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2.xml" ContentType="application/vnd.openxmlformats-officedocument.drawingml.chartshapes+xml"/>
  <Override PartName="/word/charts/chart9.xml" ContentType="application/vnd.openxmlformats-officedocument.drawingml.chart+xml"/>
  <Override PartName="/word/theme/themeOverride1.xml" ContentType="application/vnd.openxmlformats-officedocument.themeOverrid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6.xml" ContentType="application/vnd.openxmlformats-officedocument.themeOverrid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7.xml" ContentType="application/vnd.openxmlformats-officedocument.themeOverrid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8.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9.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0.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1.xml" ContentType="application/vnd.openxmlformats-officedocument.themeOverride+xml"/>
  <Override PartName="/word/drawings/drawing3.xml" ContentType="application/vnd.openxmlformats-officedocument.drawingml.chartshapes+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2.xml" ContentType="application/vnd.openxmlformats-officedocument.themeOverride+xml"/>
  <Override PartName="/word/drawings/drawing4.xml" ContentType="application/vnd.openxmlformats-officedocument.drawingml.chartshapes+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3.xml" ContentType="application/vnd.openxmlformats-officedocument.themeOverrid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4.xml" ContentType="application/vnd.openxmlformats-officedocument.themeOverrid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5.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6.xml" ContentType="application/vnd.openxmlformats-officedocument.themeOverrid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7.xml" ContentType="application/vnd.openxmlformats-officedocument.themeOverrid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8.xml" ContentType="application/vnd.openxmlformats-officedocument.themeOverrid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9.xml" ContentType="application/vnd.openxmlformats-officedocument.themeOverrid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0.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D3A2D" w:rsidRPr="00C25D4E" w:rsidRDefault="00CD3A2D" w:rsidP="00CD3A2D">
      <w:pPr>
        <w:spacing w:before="240" w:after="120" w:line="276" w:lineRule="auto"/>
        <w:rPr>
          <w:rFonts w:asciiTheme="minorHAnsi" w:hAnsiTheme="minorHAnsi" w:cstheme="minorHAnsi"/>
          <w:b/>
        </w:rPr>
      </w:pPr>
      <w:bookmarkStart w:id="0" w:name="_GoBack"/>
      <w:bookmarkEnd w:id="0"/>
    </w:p>
    <w:p w:rsidR="00CD3A2D" w:rsidRPr="00C25D4E" w:rsidRDefault="00CD3A2D" w:rsidP="00CD3A2D">
      <w:pPr>
        <w:spacing w:before="240" w:after="120" w:line="276" w:lineRule="auto"/>
        <w:jc w:val="center"/>
        <w:rPr>
          <w:rFonts w:asciiTheme="minorHAnsi" w:hAnsiTheme="minorHAnsi" w:cstheme="minorHAnsi"/>
          <w:b/>
        </w:rPr>
      </w:pPr>
      <w:r w:rsidRPr="00C25D4E">
        <w:rPr>
          <w:rFonts w:asciiTheme="minorHAnsi" w:hAnsiTheme="minorHAnsi" w:cstheme="minorHAnsi"/>
          <w:b/>
          <w:noProof/>
        </w:rPr>
        <w:drawing>
          <wp:inline distT="0" distB="0" distL="0" distR="0" wp14:anchorId="21CF1D09" wp14:editId="21999765">
            <wp:extent cx="1990725" cy="1000125"/>
            <wp:effectExtent l="0" t="0" r="9525" b="952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0725" cy="1000125"/>
                    </a:xfrm>
                    <a:prstGeom prst="rect">
                      <a:avLst/>
                    </a:prstGeom>
                    <a:noFill/>
                    <a:ln>
                      <a:noFill/>
                    </a:ln>
                  </pic:spPr>
                </pic:pic>
              </a:graphicData>
            </a:graphic>
          </wp:inline>
        </w:drawing>
      </w: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b/>
          <w:sz w:val="36"/>
          <w:szCs w:val="36"/>
        </w:rPr>
      </w:pPr>
    </w:p>
    <w:p w:rsidR="00CD3A2D" w:rsidRPr="00C25D4E" w:rsidRDefault="00CD3A2D" w:rsidP="00CD3A2D">
      <w:pPr>
        <w:spacing w:before="240" w:after="120" w:line="276" w:lineRule="auto"/>
        <w:jc w:val="center"/>
        <w:rPr>
          <w:rFonts w:asciiTheme="minorHAnsi" w:hAnsiTheme="minorHAnsi" w:cstheme="minorHAnsi"/>
          <w:b/>
          <w:sz w:val="36"/>
          <w:szCs w:val="36"/>
        </w:rPr>
      </w:pPr>
    </w:p>
    <w:p w:rsidR="00CD3A2D" w:rsidRPr="00C25D4E" w:rsidRDefault="00CD3A2D" w:rsidP="00CD3A2D">
      <w:pPr>
        <w:spacing w:before="240" w:after="120" w:line="276" w:lineRule="auto"/>
        <w:jc w:val="center"/>
        <w:rPr>
          <w:rFonts w:asciiTheme="minorHAnsi" w:hAnsiTheme="minorHAnsi" w:cstheme="minorHAnsi"/>
          <w:b/>
          <w:sz w:val="36"/>
          <w:szCs w:val="36"/>
        </w:rPr>
      </w:pPr>
      <w:r w:rsidRPr="00C25D4E">
        <w:rPr>
          <w:rFonts w:asciiTheme="minorHAnsi" w:hAnsiTheme="minorHAnsi" w:cstheme="minorHAnsi"/>
          <w:b/>
          <w:sz w:val="36"/>
          <w:szCs w:val="36"/>
        </w:rPr>
        <w:t xml:space="preserve">GODIŠNJE IZVJEŠĆE </w:t>
      </w:r>
    </w:p>
    <w:p w:rsidR="00CD3A2D" w:rsidRPr="00C25D4E" w:rsidRDefault="00CD3A2D" w:rsidP="00CD3A2D">
      <w:pPr>
        <w:spacing w:before="240" w:after="120" w:line="276" w:lineRule="auto"/>
        <w:jc w:val="center"/>
        <w:rPr>
          <w:rFonts w:asciiTheme="minorHAnsi" w:hAnsiTheme="minorHAnsi" w:cstheme="minorHAnsi"/>
          <w:b/>
          <w:sz w:val="36"/>
          <w:szCs w:val="36"/>
        </w:rPr>
      </w:pPr>
      <w:r w:rsidRPr="00C25D4E">
        <w:rPr>
          <w:rFonts w:asciiTheme="minorHAnsi" w:hAnsiTheme="minorHAnsi" w:cstheme="minorHAnsi"/>
          <w:b/>
          <w:sz w:val="36"/>
          <w:szCs w:val="36"/>
        </w:rPr>
        <w:t xml:space="preserve">GRUPE HRVATSKA BANKA ZA OBNOVU I RAZVITAK </w:t>
      </w:r>
    </w:p>
    <w:p w:rsidR="00CD3A2D" w:rsidRPr="00C25D4E" w:rsidRDefault="00CD3A2D" w:rsidP="00CD3A2D">
      <w:pPr>
        <w:spacing w:before="240" w:after="120" w:line="276" w:lineRule="auto"/>
        <w:jc w:val="center"/>
        <w:rPr>
          <w:rFonts w:asciiTheme="minorHAnsi" w:hAnsiTheme="minorHAnsi" w:cstheme="minorHAnsi"/>
          <w:b/>
          <w:sz w:val="36"/>
          <w:szCs w:val="36"/>
        </w:rPr>
      </w:pPr>
      <w:r w:rsidRPr="00C25D4E">
        <w:rPr>
          <w:rFonts w:asciiTheme="minorHAnsi" w:hAnsiTheme="minorHAnsi" w:cstheme="minorHAnsi"/>
          <w:b/>
          <w:sz w:val="36"/>
          <w:szCs w:val="36"/>
        </w:rPr>
        <w:t>ZA 2018. GODINU</w:t>
      </w: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b/>
        </w:rPr>
      </w:pPr>
    </w:p>
    <w:p w:rsidR="00CD3A2D" w:rsidRPr="00C25D4E" w:rsidRDefault="00CD3A2D" w:rsidP="00CD3A2D">
      <w:pPr>
        <w:spacing w:before="240" w:after="120" w:line="276" w:lineRule="auto"/>
        <w:rPr>
          <w:rFonts w:asciiTheme="minorHAnsi" w:hAnsiTheme="minorHAnsi" w:cstheme="minorHAnsi"/>
          <w:b/>
        </w:rPr>
      </w:pPr>
    </w:p>
    <w:p w:rsidR="00CD3A2D" w:rsidRPr="00C25D4E" w:rsidRDefault="00CD3A2D" w:rsidP="00CD3A2D">
      <w:pPr>
        <w:spacing w:before="240" w:after="120" w:line="276" w:lineRule="auto"/>
        <w:jc w:val="center"/>
        <w:rPr>
          <w:rFonts w:asciiTheme="minorHAnsi" w:hAnsiTheme="minorHAnsi" w:cstheme="minorHAnsi"/>
        </w:rPr>
      </w:pPr>
      <w:r w:rsidRPr="00C25D4E">
        <w:rPr>
          <w:rFonts w:asciiTheme="minorHAnsi" w:hAnsiTheme="minorHAnsi" w:cstheme="minorHAnsi"/>
        </w:rPr>
        <w:t>Zagreb, ožujak 2019. godine</w:t>
      </w:r>
    </w:p>
    <w:p w:rsidR="00CD3A2D" w:rsidRDefault="00CD3A2D" w:rsidP="001E69FE">
      <w:pPr>
        <w:jc w:val="center"/>
        <w:rPr>
          <w:rFonts w:asciiTheme="minorHAnsi" w:hAnsiTheme="minorHAnsi" w:cs="Arial"/>
          <w:sz w:val="22"/>
          <w:szCs w:val="22"/>
          <w:lang w:val="hr-HR"/>
        </w:rPr>
      </w:pPr>
      <w:r>
        <w:rPr>
          <w:rFonts w:asciiTheme="minorHAnsi" w:hAnsiTheme="minorHAnsi" w:cs="Arial"/>
          <w:sz w:val="22"/>
          <w:szCs w:val="22"/>
          <w:lang w:val="hr-HR"/>
        </w:rPr>
        <w:br w:type="page"/>
      </w:r>
    </w:p>
    <w:p w:rsidR="006702CC" w:rsidRPr="00CD3A2D" w:rsidRDefault="00CD3A2D" w:rsidP="00CD3A2D">
      <w:pPr>
        <w:spacing w:before="120" w:after="120"/>
        <w:rPr>
          <w:rFonts w:asciiTheme="minorHAnsi" w:hAnsiTheme="minorHAnsi" w:cstheme="minorHAnsi"/>
          <w:b/>
          <w:sz w:val="22"/>
          <w:szCs w:val="22"/>
        </w:rPr>
      </w:pPr>
      <w:r w:rsidRPr="00CD3A2D">
        <w:rPr>
          <w:rFonts w:asciiTheme="minorHAnsi" w:hAnsiTheme="minorHAnsi" w:cstheme="minorHAnsi"/>
          <w:b/>
          <w:sz w:val="22"/>
          <w:szCs w:val="22"/>
        </w:rPr>
        <w:lastRenderedPageBreak/>
        <w:t xml:space="preserve">SADRŽAJ </w:t>
      </w:r>
    </w:p>
    <w:p w:rsidR="00CD3A2D" w:rsidRDefault="00CD3A2D" w:rsidP="00CD3A2D">
      <w:pPr>
        <w:rPr>
          <w:rFonts w:asciiTheme="minorHAnsi" w:hAnsiTheme="minorHAnsi" w:cs="Arial"/>
          <w:sz w:val="22"/>
          <w:szCs w:val="22"/>
          <w:lang w:val="hr-HR"/>
        </w:rPr>
      </w:pPr>
    </w:p>
    <w:tbl>
      <w:tblPr>
        <w:tblW w:w="5000" w:type="pct"/>
        <w:tblLook w:val="01E0" w:firstRow="1" w:lastRow="1" w:firstColumn="1" w:lastColumn="1" w:noHBand="0" w:noVBand="0"/>
      </w:tblPr>
      <w:tblGrid>
        <w:gridCol w:w="8318"/>
        <w:gridCol w:w="1037"/>
      </w:tblGrid>
      <w:tr w:rsidR="00CD3A2D" w:rsidRPr="00B91844"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IZJAVA OSOBA ODGOVORNIH ZA SASTAVLJANJE GODIŠNJEG IZVJEŠĆA</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3</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IZVJEŠĆE POSLOVODSTVA ZA 2018. GODINU</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4</w:t>
            </w:r>
          </w:p>
        </w:tc>
      </w:tr>
      <w:tr w:rsidR="00CD3A2D" w:rsidRPr="00E06490" w:rsidTr="00D03AAE">
        <w:trPr>
          <w:trHeight w:val="284"/>
        </w:trPr>
        <w:tc>
          <w:tcPr>
            <w:tcW w:w="4446" w:type="pct"/>
            <w:vAlign w:val="bottom"/>
          </w:tcPr>
          <w:p w:rsidR="00CD3A2D" w:rsidRPr="00CD3A2D" w:rsidRDefault="00CD3A2D" w:rsidP="00D03AAE">
            <w:pPr>
              <w:spacing w:before="120" w:after="120"/>
              <w:rPr>
                <w:rFonts w:asciiTheme="minorHAnsi" w:hAnsiTheme="minorHAnsi" w:cstheme="minorHAnsi"/>
                <w:b/>
                <w:sz w:val="22"/>
                <w:szCs w:val="22"/>
              </w:rPr>
            </w:pPr>
            <w:r w:rsidRPr="00CD3A2D">
              <w:rPr>
                <w:rFonts w:asciiTheme="minorHAnsi" w:hAnsiTheme="minorHAnsi" w:cstheme="minorHAnsi"/>
                <w:b/>
                <w:sz w:val="22"/>
                <w:szCs w:val="22"/>
              </w:rPr>
              <w:t>IZJAVA O PRIMJENI KODEKSA KORPORATIVNOG UPRAVLJANJA</w:t>
            </w:r>
            <w:r w:rsidRPr="00CD3A2D">
              <w:rPr>
                <w:rFonts w:asciiTheme="minorHAnsi" w:hAnsiTheme="minorHAnsi" w:cstheme="minorHAnsi"/>
                <w:b/>
                <w:sz w:val="22"/>
                <w:szCs w:val="22"/>
              </w:rPr>
              <w:tab/>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8</w:t>
            </w:r>
          </w:p>
        </w:tc>
      </w:tr>
      <w:tr w:rsidR="00CD3A2D" w:rsidRPr="00E06490" w:rsidTr="00D03AAE">
        <w:trPr>
          <w:trHeight w:val="284"/>
        </w:trPr>
        <w:tc>
          <w:tcPr>
            <w:tcW w:w="4446" w:type="pct"/>
            <w:vAlign w:val="bottom"/>
          </w:tcPr>
          <w:p w:rsidR="00CD3A2D" w:rsidRPr="00CD3A2D"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OPIS POSLOVANJA GRUPE HRVATSKA BANKA ZA OBNOVU I RAZVITAK U 2018. GODINI</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13</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POSLOVANJE HRVATSKE BANKE ZA OBNOVU I RAZVITAK</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13</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MALI I SREDNJI PODUZETNICI – NAJBROJNIJI KORISNICI KREDITA</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14</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INFRASTRUKTURA - ODOBRENO VIŠE OD 1,3 MILIJARDE KUNA</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16</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KREDITIRANJE PROJEKATA SUFINANCIRANIH IZ EU FONDOVA – SNIŽENE KAMATNE STOPE ZA SVE SEKTORE</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17</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ULAGANJE U KAPITAL</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17</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HRVATSKI IZVOZ PODRŽAN IZNOSOM OD 5,63 MILIJARDI KUNA</w:t>
            </w:r>
          </w:p>
        </w:tc>
        <w:tc>
          <w:tcPr>
            <w:tcW w:w="554" w:type="pct"/>
            <w:vAlign w:val="bottom"/>
          </w:tcPr>
          <w:p w:rsidR="00CD3A2D" w:rsidRPr="003327E4" w:rsidDel="00B9184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18</w:t>
            </w:r>
          </w:p>
        </w:tc>
      </w:tr>
      <w:tr w:rsidR="00CD3A2D" w:rsidRPr="00E06490" w:rsidTr="00D03AAE">
        <w:trPr>
          <w:trHeight w:val="284"/>
        </w:trPr>
        <w:tc>
          <w:tcPr>
            <w:tcW w:w="4446" w:type="pct"/>
            <w:vAlign w:val="bottom"/>
          </w:tcPr>
          <w:p w:rsidR="00CD3A2D" w:rsidRPr="002A55F6" w:rsidRDefault="003327E4" w:rsidP="00D03AAE">
            <w:pPr>
              <w:spacing w:before="120" w:after="120"/>
              <w:rPr>
                <w:rFonts w:asciiTheme="minorHAnsi" w:hAnsiTheme="minorHAnsi" w:cstheme="minorHAnsi"/>
                <w:b/>
                <w:sz w:val="22"/>
                <w:szCs w:val="22"/>
                <w:lang w:val="en-GB"/>
              </w:rPr>
            </w:pPr>
            <w:hyperlink w:anchor="_Toc3249210" w:history="1">
              <w:r w:rsidR="00CD3A2D" w:rsidRPr="00CD3A2D">
                <w:rPr>
                  <w:rFonts w:asciiTheme="minorHAnsi" w:hAnsiTheme="minorHAnsi" w:cstheme="minorHAnsi"/>
                  <w:b/>
                  <w:sz w:val="22"/>
                  <w:szCs w:val="22"/>
                  <w:lang w:val="en-GB"/>
                </w:rPr>
                <w:t>POSLOVI OSIGURANJA IZVOZA</w:t>
              </w:r>
              <w:r w:rsidR="00CD3A2D">
                <w:rPr>
                  <w:rFonts w:asciiTheme="minorHAnsi" w:hAnsiTheme="minorHAnsi" w:cstheme="minorHAnsi"/>
                  <w:b/>
                  <w:sz w:val="22"/>
                  <w:szCs w:val="22"/>
                  <w:lang w:val="en-GB"/>
                </w:rPr>
                <w:t xml:space="preserve"> </w:t>
              </w:r>
            </w:hyperlink>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19</w:t>
            </w:r>
          </w:p>
        </w:tc>
      </w:tr>
      <w:tr w:rsidR="00CD3A2D" w:rsidRPr="00E06490" w:rsidTr="00D03AAE">
        <w:trPr>
          <w:trHeight w:val="284"/>
        </w:trPr>
        <w:tc>
          <w:tcPr>
            <w:tcW w:w="4446" w:type="pct"/>
            <w:vAlign w:val="bottom"/>
          </w:tcPr>
          <w:p w:rsidR="00CD3A2D" w:rsidRPr="002A55F6" w:rsidRDefault="00043BBB" w:rsidP="00D03AAE">
            <w:pPr>
              <w:spacing w:before="120" w:after="120"/>
              <w:rPr>
                <w:rFonts w:asciiTheme="minorHAnsi" w:hAnsiTheme="minorHAnsi" w:cstheme="minorHAnsi"/>
                <w:b/>
                <w:sz w:val="22"/>
                <w:szCs w:val="22"/>
                <w:lang w:val="en-GB"/>
              </w:rPr>
            </w:pPr>
            <w:r>
              <w:rPr>
                <w:rFonts w:asciiTheme="minorHAnsi" w:hAnsiTheme="minorHAnsi" w:cstheme="minorHAnsi"/>
                <w:b/>
                <w:sz w:val="22"/>
                <w:szCs w:val="22"/>
                <w:lang w:val="en-GB"/>
              </w:rPr>
              <w:t>UPRAVLJANJE RIZICIMA</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23</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UNUTARNJA REVIZIJA</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28</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FUNKCIJA PRAĆENJA USKLAĐENOSTI</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29</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LJUDSKI POTENCIJALI</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29</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OSTALE AKTIVNOSTI</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30</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POSLOVANJE GRUPE HRVATSKO KREDITNO OSIGURANJE</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34</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HRVATSKO KREDITNO OSIGURANJE D.D. I POSLOVNI INFO SERVIS D.O.O.</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34</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 xml:space="preserve">OSVRT NA FINANCIJSKO POSLOVANJE </w:t>
            </w:r>
            <w:r w:rsidR="006F32EC">
              <w:rPr>
                <w:rFonts w:asciiTheme="minorHAnsi" w:hAnsiTheme="minorHAnsi" w:cstheme="minorHAnsi"/>
                <w:b/>
                <w:sz w:val="22"/>
                <w:szCs w:val="22"/>
                <w:lang w:val="en-GB"/>
              </w:rPr>
              <w:t>GRUPE</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39</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r w:rsidRPr="00CD3A2D">
              <w:rPr>
                <w:rFonts w:asciiTheme="minorHAnsi" w:hAnsiTheme="minorHAnsi" w:cstheme="minorHAnsi"/>
                <w:b/>
                <w:sz w:val="22"/>
                <w:szCs w:val="22"/>
                <w:lang w:val="en-GB"/>
              </w:rPr>
              <w:t>GODIŠNJI FINANCIJSKI IZVJEŠTAJI ZA 2018. GODINU</w:t>
            </w:r>
          </w:p>
        </w:tc>
        <w:tc>
          <w:tcPr>
            <w:tcW w:w="554" w:type="pct"/>
            <w:vAlign w:val="bottom"/>
          </w:tcPr>
          <w:p w:rsidR="00CD3A2D" w:rsidRPr="003327E4" w:rsidRDefault="00CD3A2D" w:rsidP="00D03AAE">
            <w:pPr>
              <w:spacing w:before="120" w:after="120"/>
              <w:jc w:val="right"/>
              <w:rPr>
                <w:rFonts w:asciiTheme="minorHAnsi" w:hAnsiTheme="minorHAnsi" w:cs="Arial"/>
                <w:sz w:val="22"/>
                <w:szCs w:val="22"/>
                <w:lang w:val="en-GB"/>
              </w:rPr>
            </w:pPr>
            <w:r w:rsidRPr="003327E4">
              <w:rPr>
                <w:rFonts w:asciiTheme="minorHAnsi" w:hAnsiTheme="minorHAnsi" w:cs="Arial"/>
                <w:sz w:val="22"/>
                <w:szCs w:val="22"/>
                <w:lang w:val="en-GB"/>
              </w:rPr>
              <w:t>52</w:t>
            </w:r>
          </w:p>
        </w:tc>
      </w:tr>
      <w:tr w:rsidR="00CD3A2D" w:rsidRPr="00E06490" w:rsidTr="00D03AAE">
        <w:trPr>
          <w:trHeight w:val="284"/>
        </w:trPr>
        <w:tc>
          <w:tcPr>
            <w:tcW w:w="4446" w:type="pct"/>
            <w:vAlign w:val="bottom"/>
          </w:tcPr>
          <w:p w:rsidR="00CD3A2D" w:rsidRPr="002A55F6" w:rsidRDefault="00CD3A2D" w:rsidP="00D03AAE">
            <w:pPr>
              <w:spacing w:before="120" w:after="120"/>
              <w:rPr>
                <w:rFonts w:asciiTheme="minorHAnsi" w:hAnsiTheme="minorHAnsi" w:cstheme="minorHAnsi"/>
                <w:b/>
                <w:sz w:val="22"/>
                <w:szCs w:val="22"/>
                <w:lang w:val="en-GB"/>
              </w:rPr>
            </w:pPr>
          </w:p>
        </w:tc>
        <w:tc>
          <w:tcPr>
            <w:tcW w:w="554" w:type="pct"/>
            <w:vAlign w:val="bottom"/>
          </w:tcPr>
          <w:p w:rsidR="00CD3A2D" w:rsidRPr="003327E4" w:rsidRDefault="00CD3A2D" w:rsidP="00D03AAE">
            <w:pPr>
              <w:spacing w:before="120" w:after="120"/>
              <w:jc w:val="both"/>
              <w:rPr>
                <w:rFonts w:asciiTheme="minorHAnsi" w:hAnsiTheme="minorHAnsi" w:cs="Arial"/>
                <w:sz w:val="22"/>
                <w:szCs w:val="22"/>
                <w:lang w:val="en-GB"/>
              </w:rPr>
            </w:pPr>
          </w:p>
        </w:tc>
      </w:tr>
    </w:tbl>
    <w:p w:rsidR="00CD3A2D" w:rsidRDefault="00CD3A2D" w:rsidP="00CD3A2D">
      <w:pPr>
        <w:rPr>
          <w:rFonts w:asciiTheme="minorHAnsi" w:hAnsiTheme="minorHAnsi" w:cs="Arial"/>
          <w:sz w:val="22"/>
          <w:szCs w:val="22"/>
          <w:lang w:val="hr-HR"/>
        </w:rPr>
      </w:pPr>
    </w:p>
    <w:p w:rsidR="002B5EA8" w:rsidRDefault="002B5EA8" w:rsidP="00CD3A2D">
      <w:pPr>
        <w:rPr>
          <w:rFonts w:asciiTheme="minorHAnsi" w:hAnsiTheme="minorHAnsi" w:cs="Arial"/>
          <w:sz w:val="22"/>
          <w:szCs w:val="22"/>
          <w:lang w:val="hr-HR"/>
        </w:rPr>
        <w:sectPr w:rsidR="002B5EA8" w:rsidSect="000D6913">
          <w:headerReference w:type="even" r:id="rId9"/>
          <w:headerReference w:type="default" r:id="rId10"/>
          <w:footerReference w:type="even" r:id="rId11"/>
          <w:footerReference w:type="default" r:id="rId12"/>
          <w:pgSz w:w="11907" w:h="16840" w:code="9"/>
          <w:pgMar w:top="1418" w:right="1134" w:bottom="1134" w:left="1418" w:header="851" w:footer="851" w:gutter="0"/>
          <w:pgNumType w:start="1"/>
          <w:cols w:space="720"/>
          <w:noEndnote/>
          <w:titlePg/>
        </w:sectPr>
      </w:pPr>
    </w:p>
    <w:p w:rsidR="00CD3A2D" w:rsidRDefault="00CD3A2D" w:rsidP="00CD3A2D">
      <w:pPr>
        <w:rPr>
          <w:rFonts w:asciiTheme="minorHAnsi" w:hAnsiTheme="minorHAnsi" w:cs="Arial"/>
          <w:sz w:val="22"/>
          <w:szCs w:val="22"/>
          <w:lang w:val="hr-HR"/>
        </w:rPr>
      </w:pPr>
    </w:p>
    <w:p w:rsidR="002B5EA8" w:rsidRDefault="002B5EA8" w:rsidP="00CD3A2D">
      <w:pPr>
        <w:rPr>
          <w:rFonts w:asciiTheme="minorHAnsi" w:hAnsiTheme="minorHAnsi" w:cs="Arial"/>
          <w:sz w:val="22"/>
          <w:szCs w:val="22"/>
          <w:lang w:val="hr-HR"/>
        </w:rPr>
      </w:pPr>
      <w:r>
        <w:rPr>
          <w:rFonts w:asciiTheme="minorHAnsi" w:hAnsiTheme="minorHAnsi" w:cs="Arial"/>
          <w:sz w:val="22"/>
          <w:szCs w:val="22"/>
          <w:lang w:val="hr-HR"/>
        </w:rPr>
        <w:br w:type="page"/>
      </w:r>
    </w:p>
    <w:p w:rsidR="00CD3A2D" w:rsidRDefault="00CD3A2D" w:rsidP="00CD3A2D">
      <w:pPr>
        <w:rPr>
          <w:rFonts w:asciiTheme="minorHAnsi" w:hAnsiTheme="minorHAnsi" w:cs="Arial"/>
          <w:sz w:val="22"/>
          <w:szCs w:val="22"/>
          <w:lang w:val="hr-HR"/>
        </w:rPr>
      </w:pPr>
    </w:p>
    <w:p w:rsidR="002B5EA8" w:rsidRPr="00C25D4E" w:rsidRDefault="002B5EA8" w:rsidP="002B5EA8">
      <w:pPr>
        <w:keepNext/>
        <w:tabs>
          <w:tab w:val="left" w:pos="-720"/>
        </w:tabs>
        <w:suppressAutoHyphens/>
        <w:spacing w:before="240" w:after="120" w:line="276" w:lineRule="auto"/>
        <w:jc w:val="center"/>
        <w:outlineLvl w:val="0"/>
        <w:rPr>
          <w:rFonts w:asciiTheme="minorHAnsi" w:hAnsiTheme="minorHAnsi" w:cstheme="minorHAnsi"/>
          <w:b/>
          <w:spacing w:val="-3"/>
          <w:lang w:eastAsia="x-none"/>
        </w:rPr>
      </w:pPr>
      <w:bookmarkStart w:id="1" w:name="_Toc3249199"/>
      <w:r w:rsidRPr="00C25D4E">
        <w:rPr>
          <w:rFonts w:asciiTheme="minorHAnsi" w:hAnsiTheme="minorHAnsi" w:cstheme="minorHAnsi"/>
          <w:b/>
          <w:spacing w:val="-3"/>
          <w:lang w:eastAsia="x-none"/>
        </w:rPr>
        <w:t>IZJAVA OSOBA ODGOVORNIH ZA SASTAVLJANJE GODIŠNJEG IZVJEŠĆA</w:t>
      </w:r>
      <w:bookmarkEnd w:id="1"/>
    </w:p>
    <w:p w:rsidR="002B5EA8" w:rsidRPr="00C25D4E" w:rsidRDefault="002B5EA8" w:rsidP="002B5EA8">
      <w:pPr>
        <w:spacing w:before="240" w:after="120" w:line="276" w:lineRule="auto"/>
        <w:jc w:val="both"/>
        <w:rPr>
          <w:rFonts w:asciiTheme="minorHAnsi" w:hAnsiTheme="minorHAnsi" w:cstheme="minorHAnsi"/>
          <w:b/>
        </w:rPr>
      </w:pPr>
    </w:p>
    <w:p w:rsidR="002B5EA8" w:rsidRPr="00C25D4E" w:rsidRDefault="002B5EA8" w:rsidP="002B5EA8">
      <w:pPr>
        <w:spacing w:before="240" w:after="120" w:line="276" w:lineRule="auto"/>
        <w:jc w:val="both"/>
        <w:rPr>
          <w:rFonts w:asciiTheme="minorHAnsi" w:hAnsiTheme="minorHAnsi" w:cstheme="minorHAnsi"/>
          <w:b/>
        </w:rPr>
      </w:pP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Prema našem saznanju Godišnje izvješće za 2018. godinu sadrži istinit prikaz razvoja i rezultata poslovanja i položaja Hrvatske banke za obnovu i razvitak i Grupe Hrvatska banka za obnovu i razvitak te opis najznačajnijih rizika i neizvjesnosti kojima su Hrvatska banka za obnovu i razvitak i Grupa Hrvatska banka za obnovu i razvitak izloženi. </w:t>
      </w:r>
    </w:p>
    <w:p w:rsidR="002B5EA8" w:rsidRPr="00C25D4E" w:rsidRDefault="002B5EA8" w:rsidP="002B5EA8">
      <w:pPr>
        <w:spacing w:before="240" w:after="120" w:line="276" w:lineRule="auto"/>
        <w:rPr>
          <w:rFonts w:asciiTheme="minorHAnsi" w:hAnsiTheme="minorHAnsi" w:cstheme="minorHAnsi"/>
        </w:rPr>
      </w:pPr>
    </w:p>
    <w:p w:rsidR="002B5EA8" w:rsidRPr="00C25D4E" w:rsidRDefault="002B5EA8" w:rsidP="002B5EA8">
      <w:pPr>
        <w:tabs>
          <w:tab w:val="left" w:pos="8625"/>
        </w:tabs>
        <w:spacing w:before="240" w:after="120" w:line="276" w:lineRule="auto"/>
        <w:rPr>
          <w:rFonts w:asciiTheme="minorHAnsi" w:hAnsiTheme="minorHAnsi" w:cstheme="minorHAnsi"/>
        </w:rPr>
      </w:pPr>
      <w:r w:rsidRPr="00C25D4E">
        <w:rPr>
          <w:rFonts w:asciiTheme="minorHAnsi" w:hAnsiTheme="minorHAnsi" w:cstheme="minorHAnsi"/>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589"/>
        <w:gridCol w:w="3364"/>
      </w:tblGrid>
      <w:tr w:rsidR="001C684D" w:rsidTr="003327E4">
        <w:tc>
          <w:tcPr>
            <w:tcW w:w="3402" w:type="dxa"/>
          </w:tcPr>
          <w:p w:rsidR="001C684D" w:rsidRDefault="002B5EA8" w:rsidP="00043BBB">
            <w:pPr>
              <w:spacing w:before="240" w:after="120" w:line="276" w:lineRule="auto"/>
              <w:jc w:val="center"/>
              <w:rPr>
                <w:rFonts w:asciiTheme="minorHAnsi" w:hAnsiTheme="minorHAnsi" w:cstheme="minorHAnsi"/>
              </w:rPr>
            </w:pPr>
            <w:r w:rsidRPr="00C25D4E">
              <w:rPr>
                <w:rFonts w:asciiTheme="minorHAnsi" w:hAnsiTheme="minorHAnsi" w:cstheme="minorHAnsi"/>
              </w:rPr>
              <w:t xml:space="preserve"> </w:t>
            </w:r>
            <w:r w:rsidR="001C684D" w:rsidRPr="00C25D4E">
              <w:rPr>
                <w:rFonts w:asciiTheme="minorHAnsi" w:hAnsiTheme="minorHAnsi" w:cstheme="minorHAnsi"/>
              </w:rPr>
              <w:t>Član Uprave</w:t>
            </w:r>
          </w:p>
          <w:p w:rsidR="001C684D" w:rsidRDefault="001C684D" w:rsidP="003327E4">
            <w:pPr>
              <w:spacing w:before="240" w:after="120" w:line="276" w:lineRule="auto"/>
              <w:jc w:val="center"/>
              <w:rPr>
                <w:rFonts w:asciiTheme="minorHAnsi" w:hAnsiTheme="minorHAnsi" w:cstheme="minorHAnsi"/>
                <w:lang w:val="en-GB"/>
              </w:rPr>
            </w:pPr>
          </w:p>
        </w:tc>
        <w:tc>
          <w:tcPr>
            <w:tcW w:w="2589" w:type="dxa"/>
          </w:tcPr>
          <w:p w:rsidR="001C684D" w:rsidRPr="00C25D4E" w:rsidRDefault="001C684D">
            <w:pPr>
              <w:spacing w:before="240" w:after="120" w:line="276" w:lineRule="auto"/>
              <w:jc w:val="center"/>
              <w:rPr>
                <w:rFonts w:asciiTheme="minorHAnsi" w:hAnsiTheme="minorHAnsi" w:cstheme="minorHAnsi"/>
              </w:rPr>
            </w:pPr>
          </w:p>
        </w:tc>
        <w:tc>
          <w:tcPr>
            <w:tcW w:w="3364" w:type="dxa"/>
          </w:tcPr>
          <w:p w:rsidR="001C684D" w:rsidRDefault="001C684D" w:rsidP="003327E4">
            <w:pPr>
              <w:spacing w:before="240" w:after="120" w:line="276" w:lineRule="auto"/>
              <w:jc w:val="center"/>
              <w:rPr>
                <w:rFonts w:asciiTheme="minorHAnsi" w:hAnsiTheme="minorHAnsi" w:cstheme="minorHAnsi"/>
                <w:lang w:val="en-GB"/>
              </w:rPr>
            </w:pPr>
            <w:r w:rsidRPr="00C25D4E">
              <w:rPr>
                <w:rFonts w:asciiTheme="minorHAnsi" w:hAnsiTheme="minorHAnsi" w:cstheme="minorHAnsi"/>
              </w:rPr>
              <w:t>Predsjednica Uprave</w:t>
            </w:r>
          </w:p>
        </w:tc>
      </w:tr>
      <w:tr w:rsidR="00FD5E5D" w:rsidTr="001C684D">
        <w:tc>
          <w:tcPr>
            <w:tcW w:w="3402" w:type="dxa"/>
          </w:tcPr>
          <w:p w:rsidR="00FD5E5D" w:rsidRPr="00C25D4E" w:rsidRDefault="00FD5E5D" w:rsidP="00043BBB">
            <w:pPr>
              <w:spacing w:before="240" w:after="120" w:line="276" w:lineRule="auto"/>
              <w:jc w:val="center"/>
              <w:rPr>
                <w:rFonts w:asciiTheme="minorHAnsi" w:hAnsiTheme="minorHAnsi" w:cstheme="minorHAnsi"/>
              </w:rPr>
            </w:pPr>
          </w:p>
        </w:tc>
        <w:tc>
          <w:tcPr>
            <w:tcW w:w="2589" w:type="dxa"/>
          </w:tcPr>
          <w:p w:rsidR="00FD5E5D" w:rsidRPr="00C25D4E" w:rsidRDefault="00FD5E5D">
            <w:pPr>
              <w:spacing w:before="240" w:after="120" w:line="276" w:lineRule="auto"/>
              <w:jc w:val="center"/>
              <w:rPr>
                <w:rFonts w:asciiTheme="minorHAnsi" w:hAnsiTheme="minorHAnsi" w:cstheme="minorHAnsi"/>
              </w:rPr>
            </w:pPr>
          </w:p>
        </w:tc>
        <w:tc>
          <w:tcPr>
            <w:tcW w:w="3364" w:type="dxa"/>
          </w:tcPr>
          <w:p w:rsidR="00FD5E5D" w:rsidRPr="00C25D4E" w:rsidRDefault="00FD5E5D">
            <w:pPr>
              <w:spacing w:before="240" w:after="120" w:line="276" w:lineRule="auto"/>
              <w:jc w:val="center"/>
              <w:rPr>
                <w:rFonts w:asciiTheme="minorHAnsi" w:hAnsiTheme="minorHAnsi" w:cstheme="minorHAnsi"/>
              </w:rPr>
            </w:pPr>
          </w:p>
        </w:tc>
      </w:tr>
      <w:tr w:rsidR="001C684D" w:rsidTr="003327E4">
        <w:tc>
          <w:tcPr>
            <w:tcW w:w="3402" w:type="dxa"/>
          </w:tcPr>
          <w:p w:rsidR="001C684D" w:rsidRDefault="001C684D" w:rsidP="003327E4">
            <w:pPr>
              <w:spacing w:before="240" w:after="120" w:line="276" w:lineRule="auto"/>
              <w:jc w:val="center"/>
              <w:rPr>
                <w:rFonts w:asciiTheme="minorHAnsi" w:hAnsiTheme="minorHAnsi" w:cstheme="minorHAnsi"/>
                <w:lang w:val="en-GB"/>
              </w:rPr>
            </w:pPr>
            <w:r w:rsidRPr="00C25D4E">
              <w:rPr>
                <w:rFonts w:asciiTheme="minorHAnsi" w:hAnsiTheme="minorHAnsi" w:cstheme="minorHAnsi"/>
              </w:rPr>
              <w:t>mr.</w:t>
            </w:r>
            <w:r>
              <w:rPr>
                <w:rFonts w:asciiTheme="minorHAnsi" w:hAnsiTheme="minorHAnsi" w:cstheme="minorHAnsi"/>
              </w:rPr>
              <w:t xml:space="preserve"> </w:t>
            </w:r>
            <w:r w:rsidRPr="00C25D4E">
              <w:rPr>
                <w:rFonts w:asciiTheme="minorHAnsi" w:hAnsiTheme="minorHAnsi" w:cstheme="minorHAnsi"/>
              </w:rPr>
              <w:t>sc. Hrvoje Čuvalo</w:t>
            </w:r>
          </w:p>
        </w:tc>
        <w:tc>
          <w:tcPr>
            <w:tcW w:w="2589" w:type="dxa"/>
          </w:tcPr>
          <w:p w:rsidR="001C684D" w:rsidRPr="00C25D4E" w:rsidRDefault="001C684D">
            <w:pPr>
              <w:spacing w:before="240" w:after="120" w:line="276" w:lineRule="auto"/>
              <w:jc w:val="center"/>
              <w:rPr>
                <w:rFonts w:asciiTheme="minorHAnsi" w:hAnsiTheme="minorHAnsi" w:cstheme="minorHAnsi"/>
              </w:rPr>
            </w:pPr>
          </w:p>
        </w:tc>
        <w:tc>
          <w:tcPr>
            <w:tcW w:w="3364" w:type="dxa"/>
          </w:tcPr>
          <w:p w:rsidR="001C684D" w:rsidRDefault="001C684D" w:rsidP="003327E4">
            <w:pPr>
              <w:spacing w:before="240" w:after="120" w:line="276" w:lineRule="auto"/>
              <w:jc w:val="center"/>
              <w:rPr>
                <w:rFonts w:asciiTheme="minorHAnsi" w:hAnsiTheme="minorHAnsi" w:cstheme="minorHAnsi"/>
                <w:lang w:val="en-GB"/>
              </w:rPr>
            </w:pPr>
            <w:r w:rsidRPr="00C25D4E">
              <w:rPr>
                <w:rFonts w:asciiTheme="minorHAnsi" w:hAnsiTheme="minorHAnsi" w:cstheme="minorHAnsi"/>
              </w:rPr>
              <w:t>mr.</w:t>
            </w:r>
            <w:r>
              <w:rPr>
                <w:rFonts w:asciiTheme="minorHAnsi" w:hAnsiTheme="minorHAnsi" w:cstheme="minorHAnsi"/>
              </w:rPr>
              <w:t xml:space="preserve"> </w:t>
            </w:r>
            <w:r w:rsidRPr="00C25D4E">
              <w:rPr>
                <w:rFonts w:asciiTheme="minorHAnsi" w:hAnsiTheme="minorHAnsi" w:cstheme="minorHAnsi"/>
              </w:rPr>
              <w:t>sc. Tamara Perko</w:t>
            </w:r>
          </w:p>
        </w:tc>
      </w:tr>
    </w:tbl>
    <w:p w:rsidR="002B5EA8" w:rsidRPr="00C25D4E" w:rsidRDefault="002B5EA8" w:rsidP="002B5EA8">
      <w:pPr>
        <w:spacing w:before="240" w:after="120" w:line="276" w:lineRule="auto"/>
        <w:rPr>
          <w:rFonts w:asciiTheme="minorHAnsi" w:hAnsiTheme="minorHAnsi" w:cstheme="minorHAnsi"/>
        </w:rPr>
      </w:pPr>
    </w:p>
    <w:p w:rsidR="002B5EA8" w:rsidRPr="00C25D4E" w:rsidRDefault="002B5EA8" w:rsidP="002B5EA8">
      <w:pPr>
        <w:spacing w:before="240" w:after="120" w:line="276" w:lineRule="auto"/>
        <w:rPr>
          <w:rFonts w:asciiTheme="minorHAnsi" w:hAnsiTheme="minorHAnsi" w:cstheme="minorHAnsi"/>
        </w:rPr>
      </w:pPr>
    </w:p>
    <w:p w:rsidR="002B5EA8" w:rsidRDefault="002B5EA8" w:rsidP="002B5EA8">
      <w:pPr>
        <w:spacing w:before="240" w:after="120" w:line="276" w:lineRule="auto"/>
        <w:rPr>
          <w:rFonts w:asciiTheme="minorHAnsi" w:hAnsiTheme="minorHAnsi" w:cstheme="minorHAnsi"/>
        </w:rPr>
      </w:pPr>
      <w:r w:rsidRPr="005F30C5">
        <w:rPr>
          <w:rFonts w:asciiTheme="minorHAnsi" w:hAnsiTheme="minorHAnsi" w:cstheme="minorHAnsi"/>
        </w:rPr>
        <w:t xml:space="preserve">U Zagrebu </w:t>
      </w:r>
      <w:r>
        <w:rPr>
          <w:rFonts w:asciiTheme="minorHAnsi" w:hAnsiTheme="minorHAnsi" w:cstheme="minorHAnsi"/>
        </w:rPr>
        <w:t>25.</w:t>
      </w:r>
      <w:r w:rsidRPr="005F30C5">
        <w:rPr>
          <w:rFonts w:asciiTheme="minorHAnsi" w:hAnsiTheme="minorHAnsi" w:cstheme="minorHAnsi"/>
        </w:rPr>
        <w:t xml:space="preserve"> ožujka 2019.</w:t>
      </w:r>
      <w:r w:rsidRPr="00C25D4E">
        <w:rPr>
          <w:rFonts w:asciiTheme="minorHAnsi" w:hAnsiTheme="minorHAnsi" w:cstheme="minorHAnsi"/>
        </w:rPr>
        <w:t xml:space="preserve"> </w:t>
      </w:r>
    </w:p>
    <w:p w:rsidR="002B5EA8" w:rsidRPr="00C25D4E" w:rsidRDefault="002B5EA8" w:rsidP="002B5EA8">
      <w:pPr>
        <w:spacing w:before="240" w:after="120" w:line="276" w:lineRule="auto"/>
        <w:rPr>
          <w:rFonts w:asciiTheme="minorHAnsi" w:hAnsiTheme="minorHAnsi" w:cstheme="minorHAnsi"/>
        </w:rPr>
      </w:pPr>
    </w:p>
    <w:p w:rsidR="002B5EA8" w:rsidRDefault="002B5EA8" w:rsidP="00CD3A2D">
      <w:pPr>
        <w:rPr>
          <w:rFonts w:asciiTheme="minorHAnsi" w:hAnsiTheme="minorHAnsi" w:cs="Arial"/>
          <w:sz w:val="22"/>
          <w:szCs w:val="22"/>
          <w:lang w:val="hr-HR"/>
        </w:rPr>
        <w:sectPr w:rsidR="002B5EA8" w:rsidSect="002B5EA8">
          <w:headerReference w:type="default" r:id="rId13"/>
          <w:footerReference w:type="default" r:id="rId14"/>
          <w:type w:val="continuous"/>
          <w:pgSz w:w="11907" w:h="16840" w:code="9"/>
          <w:pgMar w:top="1418" w:right="1134" w:bottom="1134" w:left="1418" w:header="851" w:footer="851" w:gutter="0"/>
          <w:pgNumType w:start="1"/>
          <w:cols w:space="720"/>
          <w:noEndnote/>
          <w:titlePg/>
        </w:sectPr>
      </w:pPr>
    </w:p>
    <w:p w:rsidR="002B5EA8" w:rsidRDefault="002B5EA8" w:rsidP="00CD3A2D">
      <w:pPr>
        <w:rPr>
          <w:rFonts w:asciiTheme="minorHAnsi" w:hAnsiTheme="minorHAnsi" w:cs="Arial"/>
          <w:sz w:val="22"/>
          <w:szCs w:val="22"/>
          <w:lang w:val="hr-HR"/>
        </w:rPr>
      </w:pPr>
    </w:p>
    <w:p w:rsidR="002B5EA8" w:rsidRDefault="002B5EA8" w:rsidP="00CD3A2D">
      <w:pPr>
        <w:rPr>
          <w:rFonts w:asciiTheme="minorHAnsi" w:hAnsiTheme="minorHAnsi" w:cs="Arial"/>
          <w:sz w:val="22"/>
          <w:szCs w:val="22"/>
          <w:lang w:val="hr-HR"/>
        </w:rPr>
      </w:pPr>
    </w:p>
    <w:p w:rsidR="002B5EA8" w:rsidRDefault="002B5EA8" w:rsidP="00CD3A2D">
      <w:pPr>
        <w:rPr>
          <w:rFonts w:asciiTheme="minorHAnsi" w:hAnsiTheme="minorHAnsi" w:cs="Arial"/>
          <w:sz w:val="22"/>
          <w:szCs w:val="22"/>
          <w:lang w:val="hr-HR"/>
        </w:rPr>
      </w:pPr>
      <w:r>
        <w:rPr>
          <w:rFonts w:asciiTheme="minorHAnsi" w:hAnsiTheme="minorHAnsi" w:cs="Arial"/>
          <w:sz w:val="22"/>
          <w:szCs w:val="22"/>
          <w:lang w:val="hr-HR"/>
        </w:rPr>
        <w:br w:type="page"/>
      </w:r>
    </w:p>
    <w:p w:rsidR="002B5EA8" w:rsidRPr="00C25D4E" w:rsidDel="003A05C9" w:rsidRDefault="002B5EA8" w:rsidP="002B5EA8">
      <w:pPr>
        <w:keepNext/>
        <w:tabs>
          <w:tab w:val="left" w:pos="-720"/>
        </w:tabs>
        <w:suppressAutoHyphens/>
        <w:spacing w:before="240" w:after="120" w:line="276" w:lineRule="auto"/>
        <w:jc w:val="center"/>
        <w:outlineLvl w:val="0"/>
        <w:rPr>
          <w:rFonts w:asciiTheme="minorHAnsi" w:hAnsiTheme="minorHAnsi" w:cstheme="minorHAnsi"/>
          <w:b/>
          <w:spacing w:val="-3"/>
          <w:lang w:eastAsia="x-none"/>
        </w:rPr>
      </w:pPr>
      <w:bookmarkStart w:id="2" w:name="_Toc3249200"/>
      <w:bookmarkStart w:id="3" w:name="_Toc255898363"/>
      <w:bookmarkStart w:id="4" w:name="_Hlk3972812"/>
      <w:r w:rsidRPr="00C25D4E" w:rsidDel="003A05C9">
        <w:rPr>
          <w:rFonts w:asciiTheme="minorHAnsi" w:hAnsiTheme="minorHAnsi" w:cstheme="minorHAnsi"/>
          <w:b/>
          <w:spacing w:val="-3"/>
          <w:lang w:eastAsia="x-none"/>
        </w:rPr>
        <w:t>IZVJEŠĆE POSLOVODSTVA ZA 201</w:t>
      </w:r>
      <w:r w:rsidRPr="00C25D4E">
        <w:rPr>
          <w:rFonts w:asciiTheme="minorHAnsi" w:hAnsiTheme="minorHAnsi" w:cstheme="minorHAnsi"/>
          <w:b/>
          <w:spacing w:val="-3"/>
          <w:lang w:eastAsia="x-none"/>
        </w:rPr>
        <w:t>8</w:t>
      </w:r>
      <w:r w:rsidRPr="00C25D4E" w:rsidDel="003A05C9">
        <w:rPr>
          <w:rFonts w:asciiTheme="minorHAnsi" w:hAnsiTheme="minorHAnsi" w:cstheme="minorHAnsi"/>
          <w:b/>
          <w:spacing w:val="-3"/>
          <w:lang w:eastAsia="x-none"/>
        </w:rPr>
        <w:t>. GODINU</w:t>
      </w:r>
      <w:bookmarkEnd w:id="2"/>
    </w:p>
    <w:bookmarkEnd w:id="3"/>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Godišnje izvješće obuhvaća sažetak financijskih informacija, opis poslovanja te revidirane Godišnje financijske izvještaje zajedno s Izvješ</w:t>
      </w:r>
      <w:r>
        <w:rPr>
          <w:rFonts w:asciiTheme="minorHAnsi" w:hAnsiTheme="minorHAnsi" w:cstheme="minorHAnsi"/>
        </w:rPr>
        <w:t>ćem</w:t>
      </w:r>
      <w:r w:rsidRPr="00C25D4E">
        <w:rPr>
          <w:rFonts w:asciiTheme="minorHAnsi" w:hAnsiTheme="minorHAnsi" w:cstheme="minorHAnsi"/>
        </w:rPr>
        <w:t xml:space="preserve"> neovisnog revizora za godinu koja je završila 31. prosinca 2018. Revidirani financijski izvještaji prikazani su za Grupu Hrvatska banka za obnovu i razvitak i Hrvatsku banku za obnovu i razvitak. </w:t>
      </w:r>
    </w:p>
    <w:p w:rsidR="002B5EA8" w:rsidRPr="00C25D4E" w:rsidRDefault="002B5EA8" w:rsidP="002B5EA8">
      <w:pPr>
        <w:spacing w:before="240" w:after="120" w:line="276" w:lineRule="auto"/>
        <w:rPr>
          <w:rFonts w:asciiTheme="minorHAnsi" w:hAnsiTheme="minorHAnsi" w:cstheme="minorHAnsi"/>
          <w:b/>
        </w:rPr>
      </w:pPr>
      <w:bookmarkStart w:id="5" w:name="_Hlk3975557"/>
      <w:r w:rsidRPr="00C25D4E">
        <w:rPr>
          <w:rFonts w:asciiTheme="minorHAnsi" w:hAnsiTheme="minorHAnsi" w:cstheme="minorHAnsi"/>
          <w:b/>
        </w:rPr>
        <w:t>Pravni status</w:t>
      </w:r>
    </w:p>
    <w:p w:rsidR="002B5EA8" w:rsidRPr="00C25D4E" w:rsidRDefault="002B5EA8" w:rsidP="002F39FB">
      <w:pPr>
        <w:spacing w:before="120" w:after="120" w:line="276" w:lineRule="auto"/>
        <w:jc w:val="both"/>
        <w:rPr>
          <w:rFonts w:asciiTheme="minorHAnsi" w:hAnsiTheme="minorHAnsi" w:cstheme="minorHAnsi"/>
        </w:rPr>
      </w:pPr>
      <w:r w:rsidRPr="00C25D4E">
        <w:rPr>
          <w:rFonts w:asciiTheme="minorHAnsi" w:hAnsiTheme="minorHAnsi" w:cstheme="minorHAnsi"/>
        </w:rPr>
        <w:t xml:space="preserve">Godišnje izvješće uključuje Godišnje financijske izvještaje pripremljene sukladno Međunarodnim standardima financijskog izvještavanja i Zakonu o računovodstvu te revidirane sukladno Međunarodnim revizijskim standardima. Usklađenost Godišnjeg izvješća s Godišnjim financijskim izvještajima potvrđena je od strane revizora </w:t>
      </w:r>
      <w:r>
        <w:rPr>
          <w:rFonts w:asciiTheme="minorHAnsi" w:hAnsiTheme="minorHAnsi" w:cstheme="minorHAnsi"/>
        </w:rPr>
        <w:t>provođenjem procedure zahtijevane</w:t>
      </w:r>
      <w:r w:rsidRPr="00C25D4E">
        <w:rPr>
          <w:rFonts w:asciiTheme="minorHAnsi" w:hAnsiTheme="minorHAnsi" w:cstheme="minorHAnsi"/>
        </w:rPr>
        <w:t xml:space="preserve"> Zakon</w:t>
      </w:r>
      <w:r>
        <w:rPr>
          <w:rFonts w:asciiTheme="minorHAnsi" w:hAnsiTheme="minorHAnsi" w:cstheme="minorHAnsi"/>
        </w:rPr>
        <w:t>om</w:t>
      </w:r>
      <w:r w:rsidRPr="00C25D4E">
        <w:rPr>
          <w:rFonts w:asciiTheme="minorHAnsi" w:hAnsiTheme="minorHAnsi" w:cstheme="minorHAnsi"/>
        </w:rPr>
        <w:t xml:space="preserve"> o računovodstvu.</w:t>
      </w:r>
    </w:p>
    <w:bookmarkEnd w:id="4"/>
    <w:bookmarkEnd w:id="5"/>
    <w:p w:rsidR="002B5EA8" w:rsidRPr="00C25D4E" w:rsidRDefault="002B5EA8" w:rsidP="002B5EA8">
      <w:pPr>
        <w:spacing w:before="240" w:after="120" w:line="276" w:lineRule="auto"/>
        <w:rPr>
          <w:rFonts w:asciiTheme="minorHAnsi" w:hAnsiTheme="minorHAnsi" w:cstheme="minorHAnsi"/>
          <w:b/>
        </w:rPr>
      </w:pPr>
      <w:r w:rsidRPr="00C25D4E">
        <w:rPr>
          <w:rFonts w:asciiTheme="minorHAnsi" w:hAnsiTheme="minorHAnsi" w:cstheme="minorHAnsi"/>
          <w:b/>
        </w:rPr>
        <w:t>Osnivanje</w:t>
      </w:r>
    </w:p>
    <w:p w:rsidR="002B5EA8" w:rsidRPr="00C25D4E" w:rsidRDefault="002B5EA8" w:rsidP="002F39FB">
      <w:pPr>
        <w:tabs>
          <w:tab w:val="left" w:pos="3836"/>
        </w:tabs>
        <w:spacing w:before="120" w:after="120" w:line="276" w:lineRule="auto"/>
        <w:jc w:val="both"/>
        <w:rPr>
          <w:rFonts w:asciiTheme="minorHAnsi" w:hAnsiTheme="minorHAnsi" w:cstheme="minorHAnsi"/>
        </w:rPr>
      </w:pPr>
      <w:r w:rsidRPr="00C25D4E">
        <w:rPr>
          <w:rFonts w:asciiTheme="minorHAnsi" w:hAnsiTheme="minorHAnsi" w:cstheme="minorHAnsi"/>
        </w:rPr>
        <w:t xml:space="preserve">Hrvatska banka za obnovu i razvitak je osnovana 12. lipnja 1992. donošenjem Zakona o Hrvatskoj kreditnoj banci za obnovu (HKBO). Izmjenama i dopunama Zakona u prosincu 1995. godine </w:t>
      </w:r>
      <w:r>
        <w:rPr>
          <w:rFonts w:asciiTheme="minorHAnsi" w:hAnsiTheme="minorHAnsi" w:cstheme="minorHAnsi"/>
        </w:rPr>
        <w:t xml:space="preserve">naziv se </w:t>
      </w:r>
      <w:r w:rsidRPr="00C25D4E">
        <w:rPr>
          <w:rFonts w:asciiTheme="minorHAnsi" w:hAnsiTheme="minorHAnsi" w:cstheme="minorHAnsi"/>
        </w:rPr>
        <w:t xml:space="preserve">mijenja u Hrvatska banka za obnovu i razvitak. U prosincu 2006. godine Hrvatski sabor donio je Zakon o Hrvatskoj banci za obnovu i razvitak koji je stupio na snagu 28. prosinca 2006. Hrvatski je sabor 15. veljače 2013. donio Zakon o izmjeni Zakona o Hrvatskoj banci za obnovu i razvitak kojim je izmijenjen sastav Nadzornog odbora, odnosno Nadzorni odbor je povećan za jednog člana – ministra nadležnog za regionalni razvoj i fondove Europske unije te ukupno broji deset članova. </w:t>
      </w:r>
    </w:p>
    <w:p w:rsidR="002B5EA8" w:rsidRPr="00C25D4E" w:rsidRDefault="002B5EA8" w:rsidP="002B5EA8">
      <w:pPr>
        <w:spacing w:before="240" w:after="120" w:line="276" w:lineRule="auto"/>
        <w:rPr>
          <w:rFonts w:asciiTheme="minorHAnsi" w:eastAsia="Arial Unicode MS" w:hAnsiTheme="minorHAnsi" w:cstheme="minorHAnsi"/>
          <w:b/>
        </w:rPr>
      </w:pPr>
      <w:r w:rsidRPr="00C25D4E">
        <w:rPr>
          <w:rFonts w:asciiTheme="minorHAnsi" w:eastAsia="Arial Unicode MS" w:hAnsiTheme="minorHAnsi" w:cstheme="minorHAnsi"/>
          <w:b/>
        </w:rPr>
        <w:t>Grupa Hrvatska banka za obnovu i razvitak</w:t>
      </w:r>
    </w:p>
    <w:p w:rsidR="002B5EA8" w:rsidRPr="00C25D4E" w:rsidRDefault="002B5EA8" w:rsidP="002F39FB">
      <w:pPr>
        <w:tabs>
          <w:tab w:val="left" w:pos="3836"/>
        </w:tabs>
        <w:spacing w:before="120" w:after="120" w:line="276" w:lineRule="auto"/>
        <w:jc w:val="both"/>
        <w:rPr>
          <w:rFonts w:asciiTheme="minorHAnsi" w:hAnsiTheme="minorHAnsi" w:cstheme="minorHAnsi"/>
        </w:rPr>
      </w:pPr>
      <w:r w:rsidRPr="00C25D4E">
        <w:rPr>
          <w:rFonts w:asciiTheme="minorHAnsi" w:hAnsiTheme="minorHAnsi" w:cstheme="minorHAnsi"/>
        </w:rPr>
        <w:t xml:space="preserve">Hrvatska banka za obnovu i razvitak (HBOR) je matično društvo Grupe Hrvatska banka za obnovu i razvitak (Grupa HBOR) koja je formirana tijekom 2010. godine. Grupu HBOR uz matično društvo čine Hrvatsko kreditno osiguranje d.d. (HKO) i Poslovni info servis d.o.o. (PIS). </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firstRow="1" w:lastRow="0" w:firstColumn="1" w:lastColumn="0" w:noHBand="0" w:noVBand="1"/>
      </w:tblPr>
      <w:tblGrid>
        <w:gridCol w:w="1454"/>
        <w:gridCol w:w="1779"/>
        <w:gridCol w:w="2000"/>
        <w:gridCol w:w="992"/>
        <w:gridCol w:w="3252"/>
      </w:tblGrid>
      <w:tr w:rsidR="002B5EA8" w:rsidRPr="00C25D4E" w:rsidTr="00D03AAE">
        <w:trPr>
          <w:trHeight w:val="832"/>
          <w:jc w:val="center"/>
        </w:trPr>
        <w:tc>
          <w:tcPr>
            <w:tcW w:w="1454" w:type="dxa"/>
            <w:shd w:val="clear" w:color="auto" w:fill="auto"/>
            <w:vAlign w:val="center"/>
          </w:tcPr>
          <w:p w:rsidR="002B5EA8" w:rsidRPr="00C25D4E" w:rsidRDefault="002B5EA8" w:rsidP="00D03AAE">
            <w:pPr>
              <w:spacing w:before="240" w:after="120" w:line="276" w:lineRule="auto"/>
              <w:rPr>
                <w:rFonts w:asciiTheme="minorHAnsi" w:eastAsia="SimSun" w:hAnsiTheme="minorHAnsi" w:cstheme="minorHAnsi"/>
                <w:b/>
                <w:bCs/>
                <w:sz w:val="22"/>
              </w:rPr>
            </w:pPr>
            <w:r w:rsidRPr="00C25D4E">
              <w:rPr>
                <w:rFonts w:asciiTheme="minorHAnsi" w:eastAsia="SimSun" w:hAnsiTheme="minorHAnsi" w:cstheme="minorHAnsi"/>
                <w:b/>
                <w:bCs/>
                <w:sz w:val="22"/>
              </w:rPr>
              <w:t>naziv</w:t>
            </w:r>
          </w:p>
        </w:tc>
        <w:tc>
          <w:tcPr>
            <w:tcW w:w="1780" w:type="dxa"/>
            <w:shd w:val="clear" w:color="auto" w:fill="auto"/>
            <w:vAlign w:val="center"/>
          </w:tcPr>
          <w:p w:rsidR="002B5EA8" w:rsidRPr="00C25D4E" w:rsidRDefault="002B5EA8" w:rsidP="00D03AAE">
            <w:pPr>
              <w:spacing w:before="240" w:after="120" w:line="276" w:lineRule="auto"/>
              <w:jc w:val="right"/>
              <w:rPr>
                <w:rFonts w:asciiTheme="minorHAnsi" w:eastAsia="SimSun" w:hAnsiTheme="minorHAnsi" w:cstheme="minorHAnsi"/>
                <w:b/>
                <w:bCs/>
                <w:sz w:val="22"/>
              </w:rPr>
            </w:pPr>
            <w:r w:rsidRPr="00C25D4E">
              <w:rPr>
                <w:rFonts w:asciiTheme="minorHAnsi" w:eastAsia="SimSun" w:hAnsiTheme="minorHAnsi" w:cstheme="minorHAnsi"/>
                <w:b/>
                <w:bCs/>
                <w:sz w:val="22"/>
              </w:rPr>
              <w:t>uloga unutar grupe</w:t>
            </w:r>
          </w:p>
        </w:tc>
        <w:tc>
          <w:tcPr>
            <w:tcW w:w="2001" w:type="dxa"/>
            <w:shd w:val="clear" w:color="auto" w:fill="auto"/>
            <w:vAlign w:val="center"/>
          </w:tcPr>
          <w:p w:rsidR="002B5EA8" w:rsidRPr="00C25D4E" w:rsidRDefault="002B5EA8" w:rsidP="00D03AAE">
            <w:pPr>
              <w:spacing w:before="240" w:after="120" w:line="276" w:lineRule="auto"/>
              <w:jc w:val="right"/>
              <w:rPr>
                <w:rFonts w:asciiTheme="minorHAnsi" w:eastAsia="SimSun" w:hAnsiTheme="minorHAnsi" w:cstheme="minorHAnsi"/>
                <w:b/>
                <w:bCs/>
                <w:sz w:val="22"/>
              </w:rPr>
            </w:pPr>
            <w:r w:rsidRPr="00C25D4E">
              <w:rPr>
                <w:rFonts w:asciiTheme="minorHAnsi" w:eastAsia="SimSun" w:hAnsiTheme="minorHAnsi" w:cstheme="minorHAnsi"/>
                <w:b/>
                <w:bCs/>
                <w:sz w:val="22"/>
              </w:rPr>
              <w:t>% povezanosti</w:t>
            </w:r>
          </w:p>
        </w:tc>
        <w:tc>
          <w:tcPr>
            <w:tcW w:w="992" w:type="dxa"/>
            <w:shd w:val="clear" w:color="auto" w:fill="auto"/>
            <w:vAlign w:val="center"/>
          </w:tcPr>
          <w:p w:rsidR="002B5EA8" w:rsidRPr="00C25D4E" w:rsidRDefault="002B5EA8" w:rsidP="00D03AAE">
            <w:pPr>
              <w:spacing w:before="240" w:after="120" w:line="276" w:lineRule="auto"/>
              <w:jc w:val="right"/>
              <w:rPr>
                <w:rFonts w:asciiTheme="minorHAnsi" w:eastAsia="SimSun" w:hAnsiTheme="minorHAnsi" w:cstheme="minorHAnsi"/>
                <w:b/>
                <w:bCs/>
                <w:sz w:val="22"/>
              </w:rPr>
            </w:pPr>
            <w:r w:rsidRPr="00C25D4E">
              <w:rPr>
                <w:rFonts w:asciiTheme="minorHAnsi" w:eastAsia="SimSun" w:hAnsiTheme="minorHAnsi" w:cstheme="minorHAnsi"/>
                <w:b/>
                <w:bCs/>
                <w:sz w:val="22"/>
              </w:rPr>
              <w:t>sjedište</w:t>
            </w:r>
          </w:p>
        </w:tc>
        <w:tc>
          <w:tcPr>
            <w:tcW w:w="3255" w:type="dxa"/>
            <w:shd w:val="clear" w:color="auto" w:fill="auto"/>
            <w:vAlign w:val="center"/>
          </w:tcPr>
          <w:p w:rsidR="002B5EA8" w:rsidRPr="00C25D4E" w:rsidRDefault="002B5EA8" w:rsidP="00D03AAE">
            <w:pPr>
              <w:spacing w:before="240" w:after="120" w:line="276" w:lineRule="auto"/>
              <w:jc w:val="right"/>
              <w:rPr>
                <w:rFonts w:asciiTheme="minorHAnsi" w:eastAsia="SimSun" w:hAnsiTheme="minorHAnsi" w:cstheme="minorHAnsi"/>
                <w:b/>
                <w:bCs/>
                <w:sz w:val="22"/>
              </w:rPr>
            </w:pPr>
            <w:r w:rsidRPr="00C25D4E">
              <w:rPr>
                <w:rFonts w:asciiTheme="minorHAnsi" w:eastAsia="SimSun" w:hAnsiTheme="minorHAnsi" w:cstheme="minorHAnsi"/>
                <w:b/>
                <w:bCs/>
                <w:sz w:val="22"/>
              </w:rPr>
              <w:t>poslovne aktivnosti</w:t>
            </w:r>
          </w:p>
        </w:tc>
      </w:tr>
      <w:tr w:rsidR="002B5EA8" w:rsidRPr="00C25D4E" w:rsidTr="00D03AAE">
        <w:trPr>
          <w:trHeight w:val="1274"/>
          <w:jc w:val="center"/>
        </w:trPr>
        <w:tc>
          <w:tcPr>
            <w:tcW w:w="1454" w:type="dxa"/>
            <w:shd w:val="clear" w:color="auto" w:fill="auto"/>
          </w:tcPr>
          <w:p w:rsidR="002B5EA8" w:rsidRPr="00C25D4E" w:rsidRDefault="003327E4" w:rsidP="00D03AAE">
            <w:pPr>
              <w:autoSpaceDE w:val="0"/>
              <w:autoSpaceDN w:val="0"/>
              <w:adjustRightInd w:val="0"/>
              <w:spacing w:before="240" w:after="120" w:line="276" w:lineRule="auto"/>
              <w:rPr>
                <w:rFonts w:asciiTheme="minorHAnsi" w:eastAsia="Calibri" w:hAnsiTheme="minorHAnsi" w:cstheme="minorHAnsi"/>
                <w:b/>
                <w:bCs/>
                <w:sz w:val="22"/>
              </w:rPr>
            </w:pPr>
            <w:hyperlink r:id="rId15" w:tgtFrame="_blank" w:history="1">
              <w:r w:rsidR="002B5EA8" w:rsidRPr="00C25D4E">
                <w:rPr>
                  <w:rFonts w:asciiTheme="minorHAnsi" w:eastAsia="Calibri" w:hAnsiTheme="minorHAnsi" w:cstheme="minorHAnsi"/>
                  <w:b/>
                  <w:bCs/>
                  <w:sz w:val="22"/>
                </w:rPr>
                <w:t>Hrvatsko kreditno osiguranje d.d.</w:t>
              </w:r>
            </w:hyperlink>
          </w:p>
        </w:tc>
        <w:tc>
          <w:tcPr>
            <w:tcW w:w="1780" w:type="dxa"/>
            <w:shd w:val="clear" w:color="auto" w:fill="auto"/>
          </w:tcPr>
          <w:p w:rsidR="002B5EA8" w:rsidRPr="00C25D4E" w:rsidRDefault="002B5EA8" w:rsidP="00D03AAE">
            <w:pPr>
              <w:autoSpaceDE w:val="0"/>
              <w:autoSpaceDN w:val="0"/>
              <w:adjustRightInd w:val="0"/>
              <w:spacing w:before="240" w:after="120" w:line="276" w:lineRule="auto"/>
              <w:jc w:val="right"/>
              <w:rPr>
                <w:rFonts w:asciiTheme="minorHAnsi" w:eastAsia="Calibri" w:hAnsiTheme="minorHAnsi" w:cstheme="minorHAnsi"/>
                <w:sz w:val="22"/>
              </w:rPr>
            </w:pPr>
            <w:r w:rsidRPr="00C25D4E">
              <w:rPr>
                <w:rFonts w:asciiTheme="minorHAnsi" w:eastAsia="Calibri" w:hAnsiTheme="minorHAnsi" w:cstheme="minorHAnsi"/>
                <w:sz w:val="22"/>
              </w:rPr>
              <w:t>ovisno društvo, neposredna kapitalna povezanost</w:t>
            </w:r>
          </w:p>
        </w:tc>
        <w:tc>
          <w:tcPr>
            <w:tcW w:w="2001" w:type="dxa"/>
            <w:shd w:val="clear" w:color="auto" w:fill="auto"/>
          </w:tcPr>
          <w:p w:rsidR="002B5EA8" w:rsidRPr="00C25D4E" w:rsidRDefault="002B5EA8" w:rsidP="00D03AAE">
            <w:pPr>
              <w:autoSpaceDE w:val="0"/>
              <w:autoSpaceDN w:val="0"/>
              <w:adjustRightInd w:val="0"/>
              <w:spacing w:before="240" w:after="120" w:line="276" w:lineRule="auto"/>
              <w:jc w:val="right"/>
              <w:rPr>
                <w:rFonts w:asciiTheme="minorHAnsi" w:eastAsia="Calibri" w:hAnsiTheme="minorHAnsi" w:cstheme="minorHAnsi"/>
                <w:sz w:val="22"/>
              </w:rPr>
            </w:pPr>
            <w:r w:rsidRPr="00C25D4E">
              <w:rPr>
                <w:rFonts w:asciiTheme="minorHAnsi" w:eastAsia="Calibri" w:hAnsiTheme="minorHAnsi" w:cstheme="minorHAnsi"/>
                <w:sz w:val="22"/>
              </w:rPr>
              <w:t>100% s HBOR</w:t>
            </w:r>
          </w:p>
        </w:tc>
        <w:tc>
          <w:tcPr>
            <w:tcW w:w="992" w:type="dxa"/>
            <w:shd w:val="clear" w:color="auto" w:fill="auto"/>
          </w:tcPr>
          <w:p w:rsidR="002B5EA8" w:rsidRPr="00C25D4E" w:rsidRDefault="002B5EA8" w:rsidP="00D03AAE">
            <w:pPr>
              <w:autoSpaceDE w:val="0"/>
              <w:autoSpaceDN w:val="0"/>
              <w:adjustRightInd w:val="0"/>
              <w:spacing w:before="240" w:after="120" w:line="276" w:lineRule="auto"/>
              <w:jc w:val="right"/>
              <w:rPr>
                <w:rFonts w:asciiTheme="minorHAnsi" w:eastAsia="Calibri" w:hAnsiTheme="minorHAnsi" w:cstheme="minorHAnsi"/>
                <w:sz w:val="22"/>
              </w:rPr>
            </w:pPr>
            <w:r w:rsidRPr="00C25D4E">
              <w:rPr>
                <w:rFonts w:asciiTheme="minorHAnsi" w:eastAsia="Calibri" w:hAnsiTheme="minorHAnsi" w:cstheme="minorHAnsi"/>
                <w:sz w:val="22"/>
              </w:rPr>
              <w:t>RH</w:t>
            </w:r>
          </w:p>
        </w:tc>
        <w:tc>
          <w:tcPr>
            <w:tcW w:w="3255" w:type="dxa"/>
            <w:shd w:val="clear" w:color="auto" w:fill="auto"/>
          </w:tcPr>
          <w:p w:rsidR="002B5EA8" w:rsidRPr="00C25D4E" w:rsidRDefault="002B5EA8" w:rsidP="00D03AAE">
            <w:pPr>
              <w:autoSpaceDE w:val="0"/>
              <w:autoSpaceDN w:val="0"/>
              <w:adjustRightInd w:val="0"/>
              <w:spacing w:before="240" w:after="120" w:line="276" w:lineRule="auto"/>
              <w:jc w:val="right"/>
              <w:rPr>
                <w:rFonts w:asciiTheme="minorHAnsi" w:eastAsia="Calibri" w:hAnsiTheme="minorHAnsi" w:cstheme="minorHAnsi"/>
                <w:sz w:val="22"/>
              </w:rPr>
            </w:pPr>
            <w:r w:rsidRPr="00C25D4E">
              <w:rPr>
                <w:rFonts w:asciiTheme="minorHAnsi" w:eastAsia="Calibri" w:hAnsiTheme="minorHAnsi" w:cstheme="minorHAnsi"/>
                <w:sz w:val="22"/>
              </w:rPr>
              <w:t>osiguravanje inozemnih i domaćih kratkoročnih potraživanja poslovnih subjekata vezanih za isporuke roba i usluga</w:t>
            </w:r>
          </w:p>
        </w:tc>
      </w:tr>
      <w:tr w:rsidR="002B5EA8" w:rsidRPr="00C25D4E" w:rsidTr="00D03AAE">
        <w:trPr>
          <w:trHeight w:val="1722"/>
          <w:jc w:val="center"/>
        </w:trPr>
        <w:tc>
          <w:tcPr>
            <w:tcW w:w="1454" w:type="dxa"/>
            <w:shd w:val="clear" w:color="auto" w:fill="auto"/>
          </w:tcPr>
          <w:p w:rsidR="002B5EA8" w:rsidRPr="00C25D4E" w:rsidRDefault="002B5EA8" w:rsidP="00D03AAE">
            <w:pPr>
              <w:autoSpaceDE w:val="0"/>
              <w:autoSpaceDN w:val="0"/>
              <w:adjustRightInd w:val="0"/>
              <w:spacing w:before="240" w:after="120" w:line="276" w:lineRule="auto"/>
              <w:rPr>
                <w:rFonts w:asciiTheme="minorHAnsi" w:eastAsia="Calibri" w:hAnsiTheme="minorHAnsi" w:cstheme="minorHAnsi"/>
                <w:b/>
                <w:bCs/>
                <w:sz w:val="22"/>
              </w:rPr>
            </w:pPr>
            <w:r w:rsidRPr="00C25D4E">
              <w:rPr>
                <w:rFonts w:asciiTheme="minorHAnsi" w:eastAsia="Calibri" w:hAnsiTheme="minorHAnsi" w:cstheme="minorHAnsi"/>
                <w:b/>
                <w:bCs/>
                <w:sz w:val="22"/>
              </w:rPr>
              <w:t>Poslovni info servis d.o.o.</w:t>
            </w:r>
          </w:p>
        </w:tc>
        <w:tc>
          <w:tcPr>
            <w:tcW w:w="1780" w:type="dxa"/>
            <w:shd w:val="clear" w:color="auto" w:fill="auto"/>
          </w:tcPr>
          <w:p w:rsidR="002B5EA8" w:rsidRPr="00C25D4E" w:rsidRDefault="002B5EA8" w:rsidP="00D03AAE">
            <w:pPr>
              <w:autoSpaceDE w:val="0"/>
              <w:autoSpaceDN w:val="0"/>
              <w:adjustRightInd w:val="0"/>
              <w:spacing w:before="240" w:after="120" w:line="276" w:lineRule="auto"/>
              <w:jc w:val="right"/>
              <w:rPr>
                <w:rFonts w:asciiTheme="minorHAnsi" w:eastAsia="Calibri" w:hAnsiTheme="minorHAnsi" w:cstheme="minorHAnsi"/>
                <w:sz w:val="22"/>
              </w:rPr>
            </w:pPr>
            <w:r w:rsidRPr="00C25D4E">
              <w:rPr>
                <w:rFonts w:asciiTheme="minorHAnsi" w:eastAsia="Calibri" w:hAnsiTheme="minorHAnsi" w:cstheme="minorHAnsi"/>
                <w:sz w:val="22"/>
              </w:rPr>
              <w:t>ovisno društvo, posredna kapitalna povezanost</w:t>
            </w:r>
          </w:p>
        </w:tc>
        <w:tc>
          <w:tcPr>
            <w:tcW w:w="2001" w:type="dxa"/>
            <w:shd w:val="clear" w:color="auto" w:fill="auto"/>
          </w:tcPr>
          <w:p w:rsidR="002B5EA8" w:rsidRPr="00C25D4E" w:rsidRDefault="002B5EA8" w:rsidP="00D03AAE">
            <w:pPr>
              <w:autoSpaceDE w:val="0"/>
              <w:autoSpaceDN w:val="0"/>
              <w:adjustRightInd w:val="0"/>
              <w:spacing w:before="240" w:after="120" w:line="276" w:lineRule="auto"/>
              <w:jc w:val="right"/>
              <w:rPr>
                <w:rFonts w:asciiTheme="minorHAnsi" w:eastAsia="Calibri" w:hAnsiTheme="minorHAnsi" w:cstheme="minorHAnsi"/>
                <w:sz w:val="22"/>
              </w:rPr>
            </w:pPr>
            <w:r w:rsidRPr="00C25D4E">
              <w:rPr>
                <w:rFonts w:asciiTheme="minorHAnsi" w:eastAsia="Calibri" w:hAnsiTheme="minorHAnsi" w:cstheme="minorHAnsi"/>
                <w:sz w:val="22"/>
              </w:rPr>
              <w:t>100% s HKO</w:t>
            </w:r>
          </w:p>
        </w:tc>
        <w:tc>
          <w:tcPr>
            <w:tcW w:w="992" w:type="dxa"/>
            <w:shd w:val="clear" w:color="auto" w:fill="auto"/>
          </w:tcPr>
          <w:p w:rsidR="002B5EA8" w:rsidRPr="00C25D4E" w:rsidRDefault="002B5EA8" w:rsidP="00D03AAE">
            <w:pPr>
              <w:autoSpaceDE w:val="0"/>
              <w:autoSpaceDN w:val="0"/>
              <w:adjustRightInd w:val="0"/>
              <w:spacing w:before="240" w:after="120" w:line="276" w:lineRule="auto"/>
              <w:jc w:val="right"/>
              <w:rPr>
                <w:rFonts w:asciiTheme="minorHAnsi" w:eastAsia="Calibri" w:hAnsiTheme="minorHAnsi" w:cstheme="minorHAnsi"/>
                <w:sz w:val="22"/>
              </w:rPr>
            </w:pPr>
            <w:r w:rsidRPr="00C25D4E">
              <w:rPr>
                <w:rFonts w:asciiTheme="minorHAnsi" w:eastAsia="Calibri" w:hAnsiTheme="minorHAnsi" w:cstheme="minorHAnsi"/>
                <w:sz w:val="22"/>
              </w:rPr>
              <w:t>RH</w:t>
            </w:r>
          </w:p>
        </w:tc>
        <w:tc>
          <w:tcPr>
            <w:tcW w:w="3255" w:type="dxa"/>
            <w:shd w:val="clear" w:color="auto" w:fill="auto"/>
          </w:tcPr>
          <w:p w:rsidR="002B5EA8" w:rsidRPr="00C25D4E" w:rsidRDefault="002B5EA8" w:rsidP="00D03AAE">
            <w:pPr>
              <w:autoSpaceDE w:val="0"/>
              <w:autoSpaceDN w:val="0"/>
              <w:adjustRightInd w:val="0"/>
              <w:spacing w:before="240" w:after="120" w:line="276" w:lineRule="auto"/>
              <w:jc w:val="right"/>
              <w:rPr>
                <w:rFonts w:asciiTheme="minorHAnsi" w:eastAsia="Calibri" w:hAnsiTheme="minorHAnsi" w:cstheme="minorHAnsi"/>
                <w:sz w:val="22"/>
              </w:rPr>
            </w:pPr>
            <w:r w:rsidRPr="00C25D4E">
              <w:rPr>
                <w:rFonts w:asciiTheme="minorHAnsi" w:eastAsia="Calibri" w:hAnsiTheme="minorHAnsi" w:cstheme="minorHAnsi"/>
                <w:sz w:val="22"/>
              </w:rPr>
              <w:t>izrada analiza, procjena kreditnih rizika i pružanje informacija o kreditnoj sposobnosti</w:t>
            </w:r>
          </w:p>
        </w:tc>
      </w:tr>
    </w:tbl>
    <w:p w:rsidR="002F39FB" w:rsidRDefault="002F39FB" w:rsidP="002B5EA8">
      <w:pPr>
        <w:autoSpaceDE w:val="0"/>
        <w:autoSpaceDN w:val="0"/>
        <w:adjustRightInd w:val="0"/>
        <w:spacing w:before="240" w:after="120" w:line="276" w:lineRule="auto"/>
        <w:rPr>
          <w:rFonts w:asciiTheme="minorHAnsi" w:eastAsia="Arial Unicode MS" w:hAnsiTheme="minorHAnsi" w:cstheme="minorHAnsi"/>
          <w:b/>
        </w:rPr>
      </w:pPr>
      <w:r>
        <w:rPr>
          <w:rFonts w:asciiTheme="minorHAnsi" w:eastAsia="Arial Unicode MS" w:hAnsiTheme="minorHAnsi" w:cstheme="minorHAnsi"/>
          <w:b/>
        </w:rPr>
        <w:br w:type="page"/>
      </w:r>
    </w:p>
    <w:p w:rsidR="002B5EA8" w:rsidRPr="00C25D4E" w:rsidRDefault="002B5EA8" w:rsidP="002B5EA8">
      <w:pPr>
        <w:autoSpaceDE w:val="0"/>
        <w:autoSpaceDN w:val="0"/>
        <w:adjustRightInd w:val="0"/>
        <w:spacing w:before="240" w:after="120" w:line="276" w:lineRule="auto"/>
        <w:jc w:val="center"/>
        <w:rPr>
          <w:rFonts w:asciiTheme="minorHAnsi" w:eastAsia="Arial Unicode MS" w:hAnsiTheme="minorHAnsi" w:cstheme="minorHAnsi"/>
          <w:i/>
        </w:rPr>
      </w:pPr>
      <w:r w:rsidRPr="00C25D4E">
        <w:rPr>
          <w:rFonts w:asciiTheme="minorHAnsi" w:eastAsia="Arial Unicode MS" w:hAnsiTheme="minorHAnsi" w:cstheme="minorHAnsi"/>
          <w:i/>
        </w:rPr>
        <w:t>Struktura Grupe HBOR – shematski prikaz</w:t>
      </w:r>
    </w:p>
    <w:p w:rsidR="002B5EA8" w:rsidRPr="00C25D4E" w:rsidRDefault="002B5EA8" w:rsidP="002B5EA8">
      <w:pPr>
        <w:tabs>
          <w:tab w:val="left" w:pos="3836"/>
        </w:tabs>
        <w:spacing w:before="240" w:after="120" w:line="276" w:lineRule="auto"/>
        <w:jc w:val="center"/>
        <w:rPr>
          <w:rFonts w:asciiTheme="minorHAnsi" w:hAnsiTheme="minorHAnsi" w:cstheme="minorHAnsi"/>
          <w:b/>
        </w:rPr>
      </w:pPr>
      <w:r w:rsidRPr="00C25D4E">
        <w:rPr>
          <w:rFonts w:asciiTheme="minorHAnsi" w:hAnsiTheme="minorHAnsi" w:cstheme="minorHAnsi"/>
          <w:noProof/>
        </w:rPr>
        <w:drawing>
          <wp:inline distT="0" distB="0" distL="0" distR="0" wp14:anchorId="1C51CF37" wp14:editId="09873C70">
            <wp:extent cx="3448050" cy="3448050"/>
            <wp:effectExtent l="0" t="0" r="0" b="0"/>
            <wp:docPr id="3" name="Picture 4" descr="l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g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48050" cy="3448050"/>
                    </a:xfrm>
                    <a:prstGeom prst="rect">
                      <a:avLst/>
                    </a:prstGeom>
                    <a:noFill/>
                    <a:ln>
                      <a:noFill/>
                    </a:ln>
                  </pic:spPr>
                </pic:pic>
              </a:graphicData>
            </a:graphic>
          </wp:inline>
        </w:drawing>
      </w:r>
    </w:p>
    <w:p w:rsidR="002B5EA8" w:rsidRPr="00C25D4E" w:rsidRDefault="002B5EA8" w:rsidP="002B5EA8">
      <w:pPr>
        <w:tabs>
          <w:tab w:val="left" w:pos="3836"/>
        </w:tabs>
        <w:spacing w:before="240" w:after="120" w:line="276" w:lineRule="auto"/>
        <w:rPr>
          <w:rFonts w:asciiTheme="minorHAnsi" w:hAnsiTheme="minorHAnsi" w:cstheme="minorHAnsi"/>
          <w:b/>
        </w:rPr>
      </w:pPr>
      <w:r w:rsidRPr="00C25D4E">
        <w:rPr>
          <w:rFonts w:asciiTheme="minorHAnsi" w:hAnsiTheme="minorHAnsi" w:cstheme="minorHAnsi"/>
          <w:b/>
        </w:rPr>
        <w:t xml:space="preserve">Strateški ciljevi </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 xml:space="preserve">HBOR poslovanjem u okviru svojih ovlasti i nadležnosti potiče sustavan, održiv i ravnomjeran gospodarski i društveni razvitak sukladno općim strateškim ciljevima Republike Hrvatske. </w:t>
      </w:r>
    </w:p>
    <w:p w:rsidR="002B5EA8" w:rsidRPr="00C25D4E" w:rsidRDefault="002B5EA8" w:rsidP="002B5EA8">
      <w:pPr>
        <w:spacing w:before="240" w:after="120" w:line="276" w:lineRule="auto"/>
        <w:rPr>
          <w:rFonts w:asciiTheme="minorHAnsi" w:hAnsiTheme="minorHAnsi" w:cstheme="minorHAnsi"/>
          <w:b/>
        </w:rPr>
      </w:pPr>
      <w:r w:rsidRPr="00C25D4E">
        <w:rPr>
          <w:rFonts w:asciiTheme="minorHAnsi" w:hAnsiTheme="minorHAnsi" w:cstheme="minorHAnsi"/>
          <w:b/>
        </w:rPr>
        <w:t>Prioritetna područja djelovanja</w:t>
      </w:r>
    </w:p>
    <w:p w:rsidR="002B5EA8" w:rsidRPr="00C25D4E" w:rsidRDefault="002B5EA8" w:rsidP="002B5EA8">
      <w:pPr>
        <w:numPr>
          <w:ilvl w:val="0"/>
          <w:numId w:val="14"/>
        </w:num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Poticanje utemeljenja i razvoja malog i srednjeg poduzetništva</w:t>
      </w:r>
    </w:p>
    <w:p w:rsidR="002B5EA8" w:rsidRPr="00C25D4E" w:rsidRDefault="002B5EA8" w:rsidP="002B5EA8">
      <w:pPr>
        <w:numPr>
          <w:ilvl w:val="0"/>
          <w:numId w:val="14"/>
        </w:num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Poticanje izvoza</w:t>
      </w:r>
    </w:p>
    <w:p w:rsidR="002B5EA8" w:rsidRPr="00C25D4E" w:rsidRDefault="002B5EA8" w:rsidP="002B5EA8">
      <w:pPr>
        <w:numPr>
          <w:ilvl w:val="0"/>
          <w:numId w:val="14"/>
        </w:num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Razvitak turizma</w:t>
      </w:r>
    </w:p>
    <w:p w:rsidR="002B5EA8" w:rsidRPr="00C25D4E" w:rsidRDefault="002B5EA8" w:rsidP="002B5EA8">
      <w:pPr>
        <w:numPr>
          <w:ilvl w:val="0"/>
          <w:numId w:val="14"/>
        </w:num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Financiranje inovacija i razvoja novih tehnologija</w:t>
      </w:r>
    </w:p>
    <w:p w:rsidR="002B5EA8" w:rsidRPr="00C25D4E" w:rsidRDefault="002B5EA8" w:rsidP="002B5EA8">
      <w:pPr>
        <w:numPr>
          <w:ilvl w:val="0"/>
          <w:numId w:val="14"/>
        </w:num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Financiranje razvitka poljoprivrede</w:t>
      </w:r>
    </w:p>
    <w:p w:rsidR="002B5EA8" w:rsidRPr="00C25D4E" w:rsidRDefault="002B5EA8" w:rsidP="002B5EA8">
      <w:pPr>
        <w:numPr>
          <w:ilvl w:val="0"/>
          <w:numId w:val="14"/>
        </w:num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Poticanje korištenja EU fondova</w:t>
      </w:r>
    </w:p>
    <w:p w:rsidR="002B5EA8" w:rsidRPr="00C25D4E" w:rsidRDefault="002B5EA8" w:rsidP="002B5EA8">
      <w:pPr>
        <w:numPr>
          <w:ilvl w:val="0"/>
          <w:numId w:val="14"/>
        </w:numPr>
        <w:tabs>
          <w:tab w:val="left" w:pos="3836"/>
        </w:tabs>
        <w:spacing w:before="240" w:after="120" w:line="276" w:lineRule="auto"/>
        <w:jc w:val="both"/>
        <w:rPr>
          <w:rFonts w:asciiTheme="minorHAnsi" w:hAnsiTheme="minorHAnsi" w:cstheme="minorHAnsi"/>
          <w:b/>
          <w:bCs/>
          <w:lang w:eastAsia="x-none"/>
        </w:rPr>
      </w:pPr>
      <w:r w:rsidRPr="00C25D4E">
        <w:rPr>
          <w:rFonts w:asciiTheme="minorHAnsi" w:hAnsiTheme="minorHAnsi" w:cstheme="minorHAnsi"/>
          <w:lang w:eastAsia="x-none"/>
        </w:rPr>
        <w:t>Financiranje projekata zaštite okoliša, energetske učinkovitosti i obnovljivih izvora energije</w:t>
      </w:r>
    </w:p>
    <w:p w:rsidR="002F39FB" w:rsidRDefault="002F39FB" w:rsidP="002B5EA8">
      <w:pPr>
        <w:spacing w:before="240" w:after="120" w:line="276" w:lineRule="auto"/>
        <w:jc w:val="center"/>
        <w:rPr>
          <w:rFonts w:asciiTheme="minorHAnsi" w:hAnsiTheme="minorHAnsi" w:cstheme="minorHAnsi"/>
          <w:i/>
        </w:rPr>
      </w:pPr>
      <w:r>
        <w:rPr>
          <w:rFonts w:asciiTheme="minorHAnsi" w:hAnsiTheme="minorHAnsi" w:cstheme="minorHAnsi"/>
          <w:i/>
        </w:rPr>
        <w:br w:type="page"/>
      </w:r>
    </w:p>
    <w:p w:rsidR="002B5EA8" w:rsidRPr="00C25D4E" w:rsidDel="00776C06" w:rsidRDefault="002B5EA8" w:rsidP="002B5EA8">
      <w:pPr>
        <w:spacing w:before="240" w:after="120" w:line="276" w:lineRule="auto"/>
        <w:jc w:val="center"/>
        <w:rPr>
          <w:rFonts w:asciiTheme="minorHAnsi" w:hAnsiTheme="minorHAnsi" w:cstheme="minorHAnsi"/>
          <w:i/>
        </w:rPr>
      </w:pPr>
      <w:r w:rsidRPr="00C25D4E" w:rsidDel="00776C06">
        <w:rPr>
          <w:rFonts w:asciiTheme="minorHAnsi" w:hAnsiTheme="minorHAnsi" w:cstheme="minorHAnsi"/>
          <w:i/>
        </w:rPr>
        <w:t xml:space="preserve">Pregled najvažnijih financijskih informacija za HBOR </w:t>
      </w:r>
    </w:p>
    <w:p w:rsidR="002B5EA8" w:rsidRPr="00C25D4E" w:rsidDel="00776C06" w:rsidRDefault="002B5EA8" w:rsidP="002B5EA8">
      <w:pPr>
        <w:tabs>
          <w:tab w:val="left" w:pos="3836"/>
        </w:tabs>
        <w:spacing w:before="240" w:after="120" w:line="276" w:lineRule="auto"/>
        <w:jc w:val="center"/>
        <w:rPr>
          <w:rFonts w:asciiTheme="minorHAnsi" w:hAnsiTheme="minorHAnsi" w:cstheme="minorHAnsi"/>
        </w:rPr>
      </w:pPr>
      <w:r w:rsidRPr="00C25D4E">
        <w:rPr>
          <w:rFonts w:asciiTheme="minorHAnsi" w:hAnsiTheme="minorHAnsi" w:cstheme="minorHAnsi"/>
          <w:bCs/>
          <w:sz w:val="20"/>
        </w:rPr>
        <w:t>u mil</w:t>
      </w:r>
      <w:r w:rsidRPr="00C25D4E" w:rsidDel="00776C06">
        <w:rPr>
          <w:rFonts w:asciiTheme="minorHAnsi" w:hAnsiTheme="minorHAnsi" w:cstheme="minorHAnsi"/>
          <w:bCs/>
          <w:sz w:val="20"/>
        </w:rPr>
        <w:t xml:space="preserve"> </w:t>
      </w:r>
      <w:r w:rsidRPr="00C25D4E">
        <w:rPr>
          <w:rFonts w:asciiTheme="minorHAnsi" w:hAnsiTheme="minorHAnsi" w:cstheme="minorHAnsi"/>
          <w:bCs/>
          <w:sz w:val="20"/>
        </w:rPr>
        <w:t>kn</w:t>
      </w:r>
    </w:p>
    <w:p w:rsidR="002B5EA8" w:rsidRPr="00C25D4E" w:rsidRDefault="002B5EA8" w:rsidP="002B5EA8">
      <w:pPr>
        <w:spacing w:before="240" w:after="120" w:line="276" w:lineRule="auto"/>
        <w:jc w:val="center"/>
        <w:rPr>
          <w:rFonts w:asciiTheme="minorHAnsi" w:hAnsiTheme="minorHAnsi" w:cstheme="minorHAnsi"/>
          <w:b/>
        </w:rPr>
      </w:pPr>
    </w:p>
    <w:tbl>
      <w:tblPr>
        <w:tblW w:w="9373" w:type="dxa"/>
        <w:jc w:val="center"/>
        <w:tblCellMar>
          <w:left w:w="0" w:type="dxa"/>
          <w:right w:w="0" w:type="dxa"/>
        </w:tblCellMar>
        <w:tblLook w:val="04A0" w:firstRow="1" w:lastRow="0" w:firstColumn="1" w:lastColumn="0" w:noHBand="0" w:noVBand="1"/>
      </w:tblPr>
      <w:tblGrid>
        <w:gridCol w:w="1869"/>
        <w:gridCol w:w="1500"/>
        <w:gridCol w:w="1501"/>
        <w:gridCol w:w="1501"/>
        <w:gridCol w:w="1501"/>
        <w:gridCol w:w="1501"/>
      </w:tblGrid>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spacing w:before="240" w:after="120" w:line="276" w:lineRule="auto"/>
              <w:jc w:val="center"/>
              <w:rPr>
                <w:rFonts w:asciiTheme="minorHAnsi" w:eastAsia="SimSun" w:hAnsiTheme="minorHAnsi" w:cstheme="minorHAnsi"/>
                <w:b/>
                <w:bCs/>
              </w:rPr>
            </w:pP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spacing w:before="240" w:after="120" w:line="276" w:lineRule="auto"/>
              <w:ind w:right="142"/>
              <w:jc w:val="right"/>
              <w:rPr>
                <w:rFonts w:asciiTheme="minorHAnsi" w:eastAsia="SimSun" w:hAnsiTheme="minorHAnsi" w:cstheme="minorHAnsi"/>
                <w:b/>
                <w:bCs/>
              </w:rPr>
            </w:pPr>
            <w:r w:rsidRPr="00C25D4E" w:rsidDel="00776C06">
              <w:rPr>
                <w:rFonts w:asciiTheme="minorHAnsi" w:eastAsia="SimSun" w:hAnsiTheme="minorHAnsi" w:cstheme="minorHAnsi"/>
                <w:b/>
                <w:bCs/>
              </w:rPr>
              <w:t>2014.</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spacing w:before="240" w:after="120" w:line="276" w:lineRule="auto"/>
              <w:ind w:right="142"/>
              <w:jc w:val="right"/>
              <w:rPr>
                <w:rFonts w:asciiTheme="minorHAnsi" w:eastAsia="SimSun" w:hAnsiTheme="minorHAnsi" w:cstheme="minorHAnsi"/>
                <w:b/>
                <w:bCs/>
              </w:rPr>
            </w:pPr>
            <w:r w:rsidRPr="00C25D4E" w:rsidDel="00776C06">
              <w:rPr>
                <w:rFonts w:asciiTheme="minorHAnsi" w:eastAsia="SimSun" w:hAnsiTheme="minorHAnsi" w:cstheme="minorHAnsi"/>
                <w:b/>
                <w:bCs/>
              </w:rPr>
              <w:t>2015.</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spacing w:before="240" w:after="120" w:line="276" w:lineRule="auto"/>
              <w:ind w:right="142"/>
              <w:jc w:val="right"/>
              <w:rPr>
                <w:rFonts w:asciiTheme="minorHAnsi" w:eastAsia="SimSun" w:hAnsiTheme="minorHAnsi" w:cstheme="minorHAnsi"/>
                <w:b/>
                <w:bCs/>
              </w:rPr>
            </w:pPr>
            <w:r w:rsidRPr="00C25D4E" w:rsidDel="00776C06">
              <w:rPr>
                <w:rFonts w:asciiTheme="minorHAnsi" w:eastAsia="SimSun" w:hAnsiTheme="minorHAnsi" w:cstheme="minorHAnsi"/>
                <w:b/>
                <w:bCs/>
              </w:rPr>
              <w:t>2016.</w:t>
            </w:r>
          </w:p>
        </w:tc>
        <w:tc>
          <w:tcPr>
            <w:tcW w:w="1501" w:type="dxa"/>
            <w:tcBorders>
              <w:top w:val="single" w:sz="6" w:space="0" w:color="999999"/>
              <w:left w:val="single" w:sz="6" w:space="0" w:color="999999"/>
              <w:bottom w:val="single" w:sz="6" w:space="0" w:color="auto"/>
              <w:right w:val="single" w:sz="6" w:space="0" w:color="999999"/>
            </w:tcBorders>
            <w:shd w:val="clear" w:color="auto" w:fill="FFFFFF"/>
          </w:tcPr>
          <w:p w:rsidR="002B5EA8" w:rsidRPr="00C25D4E" w:rsidDel="00776C06" w:rsidRDefault="002B5EA8" w:rsidP="00D03AAE">
            <w:pPr>
              <w:spacing w:before="240" w:after="120" w:line="276" w:lineRule="auto"/>
              <w:ind w:right="142"/>
              <w:jc w:val="right"/>
              <w:rPr>
                <w:rFonts w:asciiTheme="minorHAnsi" w:eastAsia="SimSun" w:hAnsiTheme="minorHAnsi" w:cstheme="minorHAnsi"/>
                <w:b/>
                <w:bCs/>
              </w:rPr>
            </w:pPr>
            <w:r w:rsidRPr="00C25D4E">
              <w:rPr>
                <w:rFonts w:asciiTheme="minorHAnsi" w:eastAsia="SimSun" w:hAnsiTheme="minorHAnsi" w:cstheme="minorHAnsi"/>
                <w:b/>
                <w:bCs/>
              </w:rPr>
              <w:t>2017.</w:t>
            </w:r>
          </w:p>
        </w:tc>
        <w:tc>
          <w:tcPr>
            <w:tcW w:w="1501" w:type="dxa"/>
            <w:tcBorders>
              <w:top w:val="single" w:sz="6" w:space="0" w:color="999999"/>
              <w:left w:val="single" w:sz="6" w:space="0" w:color="999999"/>
              <w:bottom w:val="single" w:sz="6" w:space="0" w:color="auto"/>
              <w:right w:val="single" w:sz="6" w:space="0" w:color="999999"/>
            </w:tcBorders>
            <w:shd w:val="clear" w:color="auto" w:fill="FFFFFF"/>
          </w:tcPr>
          <w:p w:rsidR="002B5EA8" w:rsidRPr="00C25D4E" w:rsidRDefault="002B5EA8" w:rsidP="00D03AAE">
            <w:pPr>
              <w:spacing w:before="240" w:after="120" w:line="276" w:lineRule="auto"/>
              <w:ind w:right="142"/>
              <w:jc w:val="right"/>
              <w:rPr>
                <w:rFonts w:asciiTheme="minorHAnsi" w:eastAsia="SimSun" w:hAnsiTheme="minorHAnsi" w:cstheme="minorHAnsi"/>
                <w:b/>
                <w:bCs/>
              </w:rPr>
            </w:pPr>
            <w:r w:rsidRPr="00C25D4E">
              <w:rPr>
                <w:rFonts w:asciiTheme="minorHAnsi" w:eastAsia="SimSun" w:hAnsiTheme="minorHAnsi" w:cstheme="minorHAnsi"/>
                <w:b/>
                <w:bCs/>
              </w:rPr>
              <w:t>2018.</w:t>
            </w: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jc w:val="both"/>
              <w:rPr>
                <w:rFonts w:asciiTheme="minorHAnsi" w:hAnsiTheme="minorHAnsi" w:cstheme="minorHAnsi"/>
                <w:b/>
              </w:rPr>
            </w:pPr>
            <w:r w:rsidRPr="00C25D4E" w:rsidDel="00776C06">
              <w:rPr>
                <w:rFonts w:asciiTheme="minorHAnsi" w:hAnsiTheme="minorHAnsi" w:cstheme="minorHAnsi"/>
                <w:b/>
              </w:rPr>
              <w:t>Ukupna imovina</w:t>
            </w: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25.777,05</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25.540,78</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27.374,92</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28.055,80</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RDefault="002B5EA8" w:rsidP="00D03AAE">
            <w:pPr>
              <w:spacing w:before="240" w:after="120" w:line="276" w:lineRule="auto"/>
              <w:ind w:right="142"/>
              <w:jc w:val="right"/>
              <w:rPr>
                <w:rFonts w:asciiTheme="minorHAnsi" w:hAnsiTheme="minorHAnsi" w:cstheme="minorHAnsi"/>
              </w:rPr>
            </w:pPr>
            <w:r w:rsidRPr="00C25D4E">
              <w:rPr>
                <w:rFonts w:asciiTheme="minorHAnsi" w:hAnsiTheme="minorHAnsi" w:cstheme="minorHAnsi"/>
              </w:rPr>
              <w:t>27.198,93</w:t>
            </w: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jc w:val="both"/>
              <w:rPr>
                <w:rFonts w:asciiTheme="minorHAnsi" w:hAnsiTheme="minorHAnsi" w:cstheme="minorHAnsi"/>
                <w:b/>
              </w:rPr>
            </w:pPr>
            <w:r w:rsidRPr="00C25D4E" w:rsidDel="00776C06">
              <w:rPr>
                <w:rFonts w:asciiTheme="minorHAnsi" w:hAnsiTheme="minorHAnsi" w:cstheme="minorHAnsi"/>
                <w:b/>
              </w:rPr>
              <w:t>Bruto krediti</w:t>
            </w: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24.721,41</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24.722,82</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26.343,12</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26.332,99</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RDefault="002B5EA8" w:rsidP="00D03AAE">
            <w:pPr>
              <w:spacing w:before="240" w:after="120" w:line="276" w:lineRule="auto"/>
              <w:ind w:right="142"/>
              <w:jc w:val="right"/>
              <w:rPr>
                <w:rFonts w:asciiTheme="minorHAnsi" w:hAnsiTheme="minorHAnsi" w:cstheme="minorHAnsi"/>
              </w:rPr>
            </w:pPr>
            <w:r w:rsidRPr="00C25D4E">
              <w:rPr>
                <w:rFonts w:asciiTheme="minorHAnsi" w:hAnsiTheme="minorHAnsi" w:cstheme="minorHAnsi"/>
              </w:rPr>
              <w:t>26.243,12</w:t>
            </w: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rPr>
                <w:rFonts w:asciiTheme="minorHAnsi" w:hAnsiTheme="minorHAnsi" w:cstheme="minorHAnsi"/>
                <w:b/>
              </w:rPr>
            </w:pPr>
            <w:r w:rsidRPr="00C25D4E" w:rsidDel="00776C06">
              <w:rPr>
                <w:rFonts w:asciiTheme="minorHAnsi" w:hAnsiTheme="minorHAnsi" w:cstheme="minorHAnsi"/>
                <w:b/>
              </w:rPr>
              <w:t>Ukupn</w:t>
            </w:r>
            <w:r w:rsidRPr="00C25D4E">
              <w:rPr>
                <w:rFonts w:asciiTheme="minorHAnsi" w:hAnsiTheme="minorHAnsi" w:cstheme="minorHAnsi"/>
                <w:b/>
              </w:rPr>
              <w:t>i kapital i rezerve</w:t>
            </w: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9.430,13</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9.662,45</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10.037,98</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10.268,83</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RDefault="002B5EA8" w:rsidP="00D03AAE">
            <w:pPr>
              <w:spacing w:before="240" w:after="120" w:line="276" w:lineRule="auto"/>
              <w:ind w:right="142"/>
              <w:jc w:val="right"/>
              <w:rPr>
                <w:rFonts w:asciiTheme="minorHAnsi" w:hAnsiTheme="minorHAnsi" w:cstheme="minorHAnsi"/>
              </w:rPr>
            </w:pPr>
            <w:r w:rsidRPr="00C25D4E">
              <w:rPr>
                <w:rFonts w:asciiTheme="minorHAnsi" w:hAnsiTheme="minorHAnsi" w:cstheme="minorHAnsi"/>
              </w:rPr>
              <w:t>10.054,01</w:t>
            </w: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jc w:val="both"/>
              <w:rPr>
                <w:rFonts w:asciiTheme="minorHAnsi" w:hAnsiTheme="minorHAnsi" w:cstheme="minorHAnsi"/>
                <w:b/>
              </w:rPr>
            </w:pP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spacing w:before="240" w:after="120" w:line="276" w:lineRule="auto"/>
              <w:ind w:right="142"/>
              <w:jc w:val="right"/>
              <w:rPr>
                <w:rFonts w:asciiTheme="minorHAnsi" w:hAnsiTheme="minorHAnsi" w:cstheme="minorHAnsi"/>
              </w:rPr>
            </w:pP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jc w:val="both"/>
              <w:rPr>
                <w:rFonts w:asciiTheme="minorHAnsi" w:hAnsiTheme="minorHAnsi" w:cstheme="minorHAnsi"/>
                <w:b/>
              </w:rPr>
            </w:pPr>
            <w:r w:rsidRPr="00C25D4E" w:rsidDel="00776C06">
              <w:rPr>
                <w:rFonts w:asciiTheme="minorHAnsi" w:hAnsiTheme="minorHAnsi" w:cstheme="minorHAnsi"/>
                <w:b/>
              </w:rPr>
              <w:t>Ukupni prihodi</w:t>
            </w: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918,13</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917,11</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924,00</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919,36</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RDefault="002B5EA8" w:rsidP="00D03AAE">
            <w:pPr>
              <w:spacing w:before="240" w:after="120" w:line="276" w:lineRule="auto"/>
              <w:ind w:right="142"/>
              <w:jc w:val="right"/>
              <w:rPr>
                <w:rFonts w:asciiTheme="minorHAnsi" w:hAnsiTheme="minorHAnsi" w:cstheme="minorHAnsi"/>
              </w:rPr>
            </w:pPr>
            <w:r w:rsidRPr="00C25D4E">
              <w:rPr>
                <w:rFonts w:asciiTheme="minorHAnsi" w:hAnsiTheme="minorHAnsi" w:cstheme="minorHAnsi"/>
              </w:rPr>
              <w:t>791,25</w:t>
            </w: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jc w:val="both"/>
              <w:rPr>
                <w:rFonts w:asciiTheme="minorHAnsi" w:hAnsiTheme="minorHAnsi" w:cstheme="minorHAnsi"/>
                <w:b/>
              </w:rPr>
            </w:pPr>
            <w:r w:rsidRPr="00C25D4E" w:rsidDel="00776C06">
              <w:rPr>
                <w:rFonts w:asciiTheme="minorHAnsi" w:hAnsiTheme="minorHAnsi" w:cstheme="minorHAnsi"/>
                <w:b/>
              </w:rPr>
              <w:t>Ukupni rashodi</w:t>
            </w: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(749,79)</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(711,88)</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(610,47)</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(758,58)</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RDefault="002B5EA8" w:rsidP="00D03AAE">
            <w:pPr>
              <w:spacing w:before="240" w:after="120" w:line="276" w:lineRule="auto"/>
              <w:ind w:right="142"/>
              <w:jc w:val="right"/>
              <w:rPr>
                <w:rFonts w:asciiTheme="minorHAnsi" w:hAnsiTheme="minorHAnsi" w:cstheme="minorHAnsi"/>
              </w:rPr>
            </w:pPr>
            <w:r w:rsidRPr="00C25D4E">
              <w:rPr>
                <w:rFonts w:asciiTheme="minorHAnsi" w:hAnsiTheme="minorHAnsi" w:cstheme="minorHAnsi"/>
              </w:rPr>
              <w:t>(586,92)</w:t>
            </w: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jc w:val="both"/>
              <w:rPr>
                <w:rFonts w:asciiTheme="minorHAnsi" w:hAnsiTheme="minorHAnsi" w:cstheme="minorHAnsi"/>
                <w:b/>
              </w:rPr>
            </w:pPr>
            <w:r w:rsidRPr="00C25D4E" w:rsidDel="00776C06">
              <w:rPr>
                <w:rFonts w:asciiTheme="minorHAnsi" w:hAnsiTheme="minorHAnsi" w:cstheme="minorHAnsi"/>
                <w:b/>
              </w:rPr>
              <w:t>Dobit</w:t>
            </w: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168,34</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205,23</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313,53</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160,78</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RDefault="002B5EA8" w:rsidP="00D03AAE">
            <w:pPr>
              <w:spacing w:before="240" w:after="120" w:line="276" w:lineRule="auto"/>
              <w:ind w:right="142"/>
              <w:jc w:val="right"/>
              <w:rPr>
                <w:rFonts w:asciiTheme="minorHAnsi" w:hAnsiTheme="minorHAnsi" w:cstheme="minorHAnsi"/>
              </w:rPr>
            </w:pPr>
            <w:r w:rsidRPr="00C25D4E">
              <w:rPr>
                <w:rFonts w:asciiTheme="minorHAnsi" w:hAnsiTheme="minorHAnsi" w:cstheme="minorHAnsi"/>
              </w:rPr>
              <w:t>204,33</w:t>
            </w: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jc w:val="both"/>
              <w:rPr>
                <w:rFonts w:asciiTheme="minorHAnsi" w:hAnsiTheme="minorHAnsi" w:cstheme="minorHAnsi"/>
                <w:b/>
              </w:rPr>
            </w:pP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spacing w:before="240" w:after="120" w:line="276" w:lineRule="auto"/>
              <w:ind w:right="142"/>
              <w:jc w:val="right"/>
              <w:rPr>
                <w:rFonts w:asciiTheme="minorHAnsi" w:hAnsiTheme="minorHAnsi" w:cstheme="minorHAnsi"/>
              </w:rPr>
            </w:pP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jc w:val="both"/>
              <w:rPr>
                <w:rFonts w:asciiTheme="minorHAnsi" w:hAnsiTheme="minorHAnsi" w:cstheme="minorHAnsi"/>
                <w:b/>
              </w:rPr>
            </w:pPr>
            <w:r w:rsidRPr="00C25D4E" w:rsidDel="00776C06">
              <w:rPr>
                <w:rFonts w:asciiTheme="minorHAnsi" w:hAnsiTheme="minorHAnsi" w:cstheme="minorHAnsi"/>
                <w:b/>
              </w:rPr>
              <w:t>Kamatni prihodi</w:t>
            </w: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903,57</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872,61</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870,34</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866,20</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RDefault="002B5EA8" w:rsidP="00D03AAE">
            <w:pPr>
              <w:spacing w:before="240" w:after="120" w:line="276" w:lineRule="auto"/>
              <w:ind w:right="142"/>
              <w:jc w:val="right"/>
              <w:rPr>
                <w:rFonts w:asciiTheme="minorHAnsi" w:hAnsiTheme="minorHAnsi" w:cstheme="minorHAnsi"/>
              </w:rPr>
            </w:pPr>
            <w:r w:rsidRPr="00C25D4E">
              <w:rPr>
                <w:rFonts w:asciiTheme="minorHAnsi" w:hAnsiTheme="minorHAnsi" w:cstheme="minorHAnsi"/>
              </w:rPr>
              <w:t>731,71</w:t>
            </w: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jc w:val="both"/>
              <w:rPr>
                <w:rFonts w:asciiTheme="minorHAnsi" w:hAnsiTheme="minorHAnsi" w:cstheme="minorHAnsi"/>
                <w:b/>
              </w:rPr>
            </w:pPr>
            <w:r w:rsidRPr="00C25D4E" w:rsidDel="00776C06">
              <w:rPr>
                <w:rFonts w:asciiTheme="minorHAnsi" w:hAnsiTheme="minorHAnsi" w:cstheme="minorHAnsi"/>
                <w:b/>
              </w:rPr>
              <w:t>Kamatni rashodi</w:t>
            </w: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(490,16)</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(474,53)</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(452,67)</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(390,46)</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RDefault="002B5EA8" w:rsidP="00D03AAE">
            <w:pPr>
              <w:spacing w:before="240" w:after="120" w:line="276" w:lineRule="auto"/>
              <w:ind w:right="142"/>
              <w:jc w:val="right"/>
              <w:rPr>
                <w:rFonts w:asciiTheme="minorHAnsi" w:hAnsiTheme="minorHAnsi" w:cstheme="minorHAnsi"/>
              </w:rPr>
            </w:pPr>
            <w:r w:rsidRPr="00C25D4E">
              <w:rPr>
                <w:rFonts w:asciiTheme="minorHAnsi" w:hAnsiTheme="minorHAnsi" w:cstheme="minorHAnsi"/>
              </w:rPr>
              <w:t>(356,07)</w:t>
            </w:r>
          </w:p>
        </w:tc>
      </w:tr>
      <w:tr w:rsidR="002B5EA8" w:rsidRPr="00C25D4E" w:rsidDel="00776C06" w:rsidTr="00D03AAE">
        <w:trPr>
          <w:trHeight w:val="445"/>
          <w:jc w:val="center"/>
        </w:trPr>
        <w:tc>
          <w:tcPr>
            <w:tcW w:w="1869" w:type="dxa"/>
            <w:tcBorders>
              <w:top w:val="single" w:sz="6" w:space="0" w:color="999999"/>
              <w:left w:val="single" w:sz="4" w:space="0" w:color="808080"/>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rPr>
                <w:rFonts w:asciiTheme="minorHAnsi" w:hAnsiTheme="minorHAnsi" w:cstheme="minorHAnsi"/>
                <w:b/>
              </w:rPr>
            </w:pPr>
            <w:r w:rsidRPr="00C25D4E" w:rsidDel="00776C06">
              <w:rPr>
                <w:rFonts w:asciiTheme="minorHAnsi" w:hAnsiTheme="minorHAnsi" w:cstheme="minorHAnsi"/>
                <w:b/>
              </w:rPr>
              <w:t>Neto kamatni prihod</w:t>
            </w:r>
          </w:p>
        </w:tc>
        <w:tc>
          <w:tcPr>
            <w:tcW w:w="1500"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413,41</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398,08</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417,67</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Del="00776C06" w:rsidRDefault="002B5EA8" w:rsidP="00D03AAE">
            <w:pPr>
              <w:tabs>
                <w:tab w:val="left" w:pos="3836"/>
              </w:tabs>
              <w:spacing w:before="240" w:after="120" w:line="276" w:lineRule="auto"/>
              <w:ind w:right="142"/>
              <w:jc w:val="right"/>
              <w:rPr>
                <w:rFonts w:asciiTheme="minorHAnsi" w:hAnsiTheme="minorHAnsi" w:cstheme="minorHAnsi"/>
              </w:rPr>
            </w:pPr>
            <w:r w:rsidRPr="00C25D4E">
              <w:rPr>
                <w:rFonts w:asciiTheme="minorHAnsi" w:hAnsiTheme="minorHAnsi" w:cstheme="minorHAnsi"/>
              </w:rPr>
              <w:t>475,74</w:t>
            </w:r>
          </w:p>
        </w:tc>
        <w:tc>
          <w:tcPr>
            <w:tcW w:w="1501" w:type="dxa"/>
            <w:tcBorders>
              <w:top w:val="single" w:sz="6" w:space="0" w:color="999999"/>
              <w:left w:val="single" w:sz="6" w:space="0" w:color="999999"/>
              <w:bottom w:val="single" w:sz="6" w:space="0" w:color="auto"/>
              <w:right w:val="single" w:sz="6" w:space="0" w:color="999999"/>
            </w:tcBorders>
            <w:shd w:val="clear" w:color="auto" w:fill="FFFFFF"/>
            <w:vAlign w:val="center"/>
          </w:tcPr>
          <w:p w:rsidR="002B5EA8" w:rsidRPr="00C25D4E" w:rsidRDefault="002B5EA8" w:rsidP="00D03AAE">
            <w:pPr>
              <w:spacing w:before="240" w:after="120" w:line="276" w:lineRule="auto"/>
              <w:ind w:right="142"/>
              <w:jc w:val="right"/>
              <w:rPr>
                <w:rFonts w:asciiTheme="minorHAnsi" w:hAnsiTheme="minorHAnsi" w:cstheme="minorHAnsi"/>
              </w:rPr>
            </w:pPr>
            <w:r w:rsidRPr="00C25D4E">
              <w:rPr>
                <w:rFonts w:asciiTheme="minorHAnsi" w:hAnsiTheme="minorHAnsi" w:cstheme="minorHAnsi"/>
              </w:rPr>
              <w:t>375,64</w:t>
            </w:r>
          </w:p>
        </w:tc>
      </w:tr>
    </w:tbl>
    <w:p w:rsidR="002B5EA8" w:rsidRPr="00C25D4E" w:rsidRDefault="002B5EA8" w:rsidP="002B5EA8">
      <w:pPr>
        <w:spacing w:before="240" w:after="120" w:line="276" w:lineRule="auto"/>
        <w:rPr>
          <w:rFonts w:asciiTheme="minorHAnsi" w:hAnsiTheme="minorHAnsi" w:cstheme="minorHAnsi"/>
        </w:rPr>
        <w:sectPr w:rsidR="002B5EA8" w:rsidRPr="00C25D4E" w:rsidSect="00D03AAE">
          <w:footerReference w:type="first" r:id="rId17"/>
          <w:type w:val="continuous"/>
          <w:pgSz w:w="11907" w:h="16840"/>
          <w:pgMar w:top="1418" w:right="992" w:bottom="1134" w:left="1418" w:header="720" w:footer="720" w:gutter="0"/>
          <w:cols w:space="720"/>
          <w:titlePg/>
          <w:docGrid w:linePitch="326"/>
        </w:sectPr>
      </w:pPr>
    </w:p>
    <w:p w:rsidR="002B5EA8" w:rsidRPr="00C25D4E" w:rsidRDefault="002B5EA8" w:rsidP="002B5EA8">
      <w:pPr>
        <w:spacing w:before="240" w:after="120" w:line="276" w:lineRule="auto"/>
        <w:jc w:val="both"/>
        <w:rPr>
          <w:rFonts w:asciiTheme="minorHAnsi" w:hAnsiTheme="minorHAnsi" w:cstheme="minorHAnsi"/>
        </w:rPr>
      </w:pPr>
    </w:p>
    <w:p w:rsidR="002B5EA8" w:rsidRPr="00C25D4E" w:rsidRDefault="002B5EA8" w:rsidP="002B5EA8">
      <w:pPr>
        <w:spacing w:before="240" w:after="120" w:line="276" w:lineRule="auto"/>
        <w:rPr>
          <w:rFonts w:asciiTheme="minorHAnsi" w:hAnsiTheme="minorHAnsi" w:cstheme="minorHAnsi"/>
          <w:b/>
        </w:rPr>
      </w:pPr>
      <w:r w:rsidRPr="00C25D4E">
        <w:rPr>
          <w:rFonts w:asciiTheme="minorHAnsi" w:hAnsiTheme="minorHAnsi" w:cstheme="minorHAnsi"/>
          <w:b/>
        </w:rPr>
        <w:t xml:space="preserve">Kreditni rejting, 31. prosinca 2018. </w:t>
      </w:r>
    </w:p>
    <w:p w:rsidR="002B5EA8" w:rsidRPr="00C25D4E" w:rsidRDefault="002B5EA8" w:rsidP="002B5EA8">
      <w:pPr>
        <w:numPr>
          <w:ilvl w:val="0"/>
          <w:numId w:val="12"/>
        </w:numPr>
        <w:tabs>
          <w:tab w:val="clear" w:pos="340"/>
          <w:tab w:val="num" w:pos="312"/>
          <w:tab w:val="left" w:pos="3836"/>
        </w:tabs>
        <w:spacing w:before="240" w:after="120" w:line="276" w:lineRule="auto"/>
        <w:ind w:left="312"/>
        <w:jc w:val="both"/>
        <w:rPr>
          <w:rFonts w:asciiTheme="minorHAnsi" w:hAnsiTheme="minorHAnsi" w:cstheme="minorHAnsi"/>
        </w:rPr>
      </w:pPr>
      <w:r w:rsidRPr="00C25D4E">
        <w:rPr>
          <w:rFonts w:asciiTheme="minorHAnsi" w:hAnsiTheme="minorHAnsi" w:cstheme="minorHAnsi"/>
        </w:rPr>
        <w:t>Ba2 rejting agencije Moody's</w:t>
      </w:r>
    </w:p>
    <w:p w:rsidR="002B5EA8" w:rsidRPr="00C25D4E" w:rsidRDefault="002B5EA8" w:rsidP="002B5EA8">
      <w:pPr>
        <w:numPr>
          <w:ilvl w:val="0"/>
          <w:numId w:val="12"/>
        </w:numPr>
        <w:tabs>
          <w:tab w:val="clear" w:pos="340"/>
          <w:tab w:val="num" w:pos="312"/>
          <w:tab w:val="left" w:pos="3836"/>
        </w:tabs>
        <w:spacing w:before="240" w:after="120" w:line="276" w:lineRule="auto"/>
        <w:ind w:left="312"/>
        <w:jc w:val="both"/>
        <w:rPr>
          <w:rFonts w:asciiTheme="minorHAnsi" w:hAnsiTheme="minorHAnsi" w:cstheme="minorHAnsi"/>
        </w:rPr>
      </w:pPr>
      <w:r w:rsidRPr="00C25D4E">
        <w:rPr>
          <w:rFonts w:asciiTheme="minorHAnsi" w:hAnsiTheme="minorHAnsi" w:cstheme="minorHAnsi"/>
        </w:rPr>
        <w:t>BB+ rejting agencije Standard &amp; Poor's</w:t>
      </w:r>
    </w:p>
    <w:p w:rsidR="002B5EA8" w:rsidRPr="00C25D4E" w:rsidRDefault="002B5EA8" w:rsidP="002B5EA8">
      <w:pPr>
        <w:spacing w:before="240" w:after="120" w:line="276" w:lineRule="auto"/>
        <w:rPr>
          <w:rFonts w:asciiTheme="minorHAnsi" w:hAnsiTheme="minorHAnsi" w:cstheme="minorHAnsi"/>
        </w:rPr>
      </w:pPr>
    </w:p>
    <w:p w:rsidR="002B5EA8" w:rsidRPr="00C25D4E" w:rsidRDefault="002B5EA8" w:rsidP="002B5EA8">
      <w:pPr>
        <w:spacing w:before="240" w:after="120" w:line="276" w:lineRule="auto"/>
        <w:rPr>
          <w:rFonts w:asciiTheme="minorHAnsi" w:hAnsiTheme="minorHAnsi" w:cstheme="minorHAnsi"/>
          <w:b/>
        </w:rPr>
      </w:pPr>
      <w:r w:rsidRPr="00C25D4E">
        <w:rPr>
          <w:rFonts w:asciiTheme="minorHAnsi" w:hAnsiTheme="minorHAnsi" w:cstheme="minorHAnsi"/>
          <w:b/>
        </w:rPr>
        <w:t>Područni uredi</w:t>
      </w:r>
    </w:p>
    <w:p w:rsidR="002B5EA8" w:rsidRPr="00C25D4E" w:rsidRDefault="002B5EA8" w:rsidP="002B5EA8">
      <w:pPr>
        <w:numPr>
          <w:ilvl w:val="0"/>
          <w:numId w:val="12"/>
        </w:numPr>
        <w:tabs>
          <w:tab w:val="clear" w:pos="340"/>
          <w:tab w:val="num" w:pos="312"/>
          <w:tab w:val="left" w:pos="3836"/>
        </w:tabs>
        <w:spacing w:before="240" w:after="120" w:line="276" w:lineRule="auto"/>
        <w:ind w:left="312"/>
        <w:jc w:val="both"/>
        <w:rPr>
          <w:rFonts w:asciiTheme="minorHAnsi" w:hAnsiTheme="minorHAnsi" w:cstheme="minorHAnsi"/>
        </w:rPr>
      </w:pPr>
      <w:r w:rsidRPr="00C25D4E">
        <w:rPr>
          <w:rFonts w:asciiTheme="minorHAnsi" w:hAnsiTheme="minorHAnsi" w:cstheme="minorHAnsi"/>
        </w:rPr>
        <w:t>Područni ured za Slavoniju i Baranju</w:t>
      </w:r>
    </w:p>
    <w:p w:rsidR="002B5EA8" w:rsidRPr="00C25D4E" w:rsidRDefault="002B5EA8" w:rsidP="002B5EA8">
      <w:pPr>
        <w:numPr>
          <w:ilvl w:val="0"/>
          <w:numId w:val="12"/>
        </w:numPr>
        <w:tabs>
          <w:tab w:val="clear" w:pos="340"/>
          <w:tab w:val="num" w:pos="312"/>
          <w:tab w:val="left" w:pos="3836"/>
        </w:tabs>
        <w:spacing w:before="240" w:after="120" w:line="276" w:lineRule="auto"/>
        <w:ind w:left="312"/>
        <w:jc w:val="both"/>
        <w:rPr>
          <w:rFonts w:asciiTheme="minorHAnsi" w:hAnsiTheme="minorHAnsi" w:cstheme="minorHAnsi"/>
        </w:rPr>
      </w:pPr>
      <w:r w:rsidRPr="00C25D4E">
        <w:rPr>
          <w:rFonts w:asciiTheme="minorHAnsi" w:hAnsiTheme="minorHAnsi" w:cstheme="minorHAnsi"/>
        </w:rPr>
        <w:t>Područni ured za Dalmaciju</w:t>
      </w:r>
    </w:p>
    <w:p w:rsidR="002B5EA8" w:rsidRPr="00C25D4E" w:rsidRDefault="002B5EA8" w:rsidP="002B5EA8">
      <w:pPr>
        <w:numPr>
          <w:ilvl w:val="0"/>
          <w:numId w:val="12"/>
        </w:numPr>
        <w:tabs>
          <w:tab w:val="clear" w:pos="340"/>
          <w:tab w:val="num" w:pos="312"/>
          <w:tab w:val="left" w:pos="3836"/>
        </w:tabs>
        <w:spacing w:before="240" w:after="120" w:line="276" w:lineRule="auto"/>
        <w:ind w:left="312"/>
        <w:jc w:val="both"/>
        <w:rPr>
          <w:rFonts w:asciiTheme="minorHAnsi" w:hAnsiTheme="minorHAnsi" w:cstheme="minorHAnsi"/>
        </w:rPr>
      </w:pPr>
      <w:r w:rsidRPr="00C25D4E">
        <w:rPr>
          <w:rFonts w:asciiTheme="minorHAnsi" w:hAnsiTheme="minorHAnsi" w:cstheme="minorHAnsi"/>
        </w:rPr>
        <w:t>Područni ured za Istru</w:t>
      </w:r>
    </w:p>
    <w:p w:rsidR="002B5EA8" w:rsidRPr="00C25D4E" w:rsidRDefault="002B5EA8" w:rsidP="002B5EA8">
      <w:pPr>
        <w:numPr>
          <w:ilvl w:val="0"/>
          <w:numId w:val="12"/>
        </w:numPr>
        <w:tabs>
          <w:tab w:val="clear" w:pos="340"/>
          <w:tab w:val="num" w:pos="312"/>
          <w:tab w:val="left" w:pos="3836"/>
        </w:tabs>
        <w:spacing w:before="240" w:after="120" w:line="276" w:lineRule="auto"/>
        <w:ind w:left="312"/>
        <w:jc w:val="both"/>
        <w:rPr>
          <w:rFonts w:asciiTheme="minorHAnsi" w:hAnsiTheme="minorHAnsi" w:cstheme="minorHAnsi"/>
        </w:rPr>
      </w:pPr>
      <w:r w:rsidRPr="00C25D4E">
        <w:rPr>
          <w:rFonts w:asciiTheme="minorHAnsi" w:hAnsiTheme="minorHAnsi" w:cstheme="minorHAnsi"/>
        </w:rPr>
        <w:t>Područni ured za Liku</w:t>
      </w:r>
    </w:p>
    <w:p w:rsidR="002B5EA8" w:rsidRPr="00C25D4E" w:rsidRDefault="002B5EA8" w:rsidP="002B5EA8">
      <w:pPr>
        <w:numPr>
          <w:ilvl w:val="0"/>
          <w:numId w:val="12"/>
        </w:numPr>
        <w:tabs>
          <w:tab w:val="clear" w:pos="340"/>
          <w:tab w:val="num" w:pos="312"/>
          <w:tab w:val="left" w:pos="3836"/>
        </w:tabs>
        <w:spacing w:before="240" w:after="120" w:line="276" w:lineRule="auto"/>
        <w:ind w:left="312"/>
        <w:jc w:val="both"/>
        <w:rPr>
          <w:rFonts w:asciiTheme="minorHAnsi" w:hAnsiTheme="minorHAnsi" w:cstheme="minorHAnsi"/>
        </w:rPr>
      </w:pPr>
      <w:r w:rsidRPr="00C25D4E">
        <w:rPr>
          <w:rFonts w:asciiTheme="minorHAnsi" w:hAnsiTheme="minorHAnsi" w:cstheme="minorHAnsi"/>
        </w:rPr>
        <w:t>Područni ured za Primorje i Gorski kotar</w:t>
      </w:r>
    </w:p>
    <w:p w:rsidR="002B5EA8" w:rsidRPr="00C25D4E" w:rsidRDefault="002B5EA8" w:rsidP="002B5EA8">
      <w:pPr>
        <w:spacing w:before="240" w:after="120" w:line="276" w:lineRule="auto"/>
        <w:rPr>
          <w:rFonts w:asciiTheme="minorHAnsi" w:hAnsiTheme="minorHAnsi" w:cstheme="minorHAnsi"/>
          <w:b/>
        </w:rPr>
      </w:pPr>
    </w:p>
    <w:p w:rsidR="002B5EA8" w:rsidRPr="00C25D4E" w:rsidRDefault="002B5EA8" w:rsidP="002B5EA8">
      <w:pPr>
        <w:spacing w:before="240" w:after="120" w:line="276" w:lineRule="auto"/>
        <w:rPr>
          <w:rFonts w:asciiTheme="minorHAnsi" w:hAnsiTheme="minorHAnsi" w:cstheme="minorHAnsi"/>
        </w:rPr>
      </w:pPr>
      <w:r w:rsidRPr="00C25D4E">
        <w:rPr>
          <w:rFonts w:asciiTheme="minorHAnsi" w:hAnsiTheme="minorHAnsi" w:cstheme="minorHAnsi"/>
          <w:b/>
        </w:rPr>
        <w:t>Broj zaposlenih</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Na dan 31.12.2018. u HBOR-u je bilo zaposleno 370 radnika.</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Na dan 31.12.2018. u Grupi HBOR bilo je zaposleno 390 radnika.</w:t>
      </w:r>
      <w:r w:rsidRPr="00C25D4E" w:rsidDel="00F163DC">
        <w:rPr>
          <w:rFonts w:asciiTheme="minorHAnsi" w:hAnsiTheme="minorHAnsi" w:cstheme="minorHAnsi"/>
        </w:rPr>
        <w:t xml:space="preserve"> </w:t>
      </w:r>
    </w:p>
    <w:p w:rsidR="002B5EA8" w:rsidRPr="00C25D4E" w:rsidRDefault="002B5EA8" w:rsidP="002B5EA8">
      <w:pPr>
        <w:spacing w:before="240" w:after="120" w:line="276" w:lineRule="auto"/>
        <w:rPr>
          <w:rFonts w:asciiTheme="minorHAnsi" w:hAnsiTheme="minorHAnsi" w:cstheme="minorHAnsi"/>
          <w:b/>
        </w:rPr>
      </w:pPr>
    </w:p>
    <w:p w:rsidR="002B5EA8" w:rsidRPr="00C25D4E" w:rsidRDefault="002B5EA8" w:rsidP="002B5EA8">
      <w:pPr>
        <w:spacing w:before="240" w:after="120" w:line="276" w:lineRule="auto"/>
        <w:rPr>
          <w:rFonts w:asciiTheme="minorHAnsi" w:hAnsiTheme="minorHAnsi" w:cstheme="minorHAnsi"/>
          <w:b/>
        </w:rPr>
      </w:pPr>
      <w:r w:rsidRPr="00C25D4E">
        <w:rPr>
          <w:rFonts w:asciiTheme="minorHAnsi" w:hAnsiTheme="minorHAnsi" w:cstheme="minorHAnsi"/>
          <w:b/>
        </w:rPr>
        <w:t>Tečajna lista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svrhu preračunavanja iznosa u stranim valutama u kunske iznose korišten je srednji tečaj Hrvatske narodne banke:</w:t>
      </w:r>
    </w:p>
    <w:tbl>
      <w:tblPr>
        <w:tblW w:w="5000" w:type="pct"/>
        <w:tblCellMar>
          <w:left w:w="0" w:type="dxa"/>
          <w:right w:w="0" w:type="dxa"/>
        </w:tblCellMar>
        <w:tblLook w:val="04A0" w:firstRow="1" w:lastRow="0" w:firstColumn="1" w:lastColumn="0" w:noHBand="0" w:noVBand="1"/>
      </w:tblPr>
      <w:tblGrid>
        <w:gridCol w:w="2740"/>
        <w:gridCol w:w="273"/>
        <w:gridCol w:w="3190"/>
        <w:gridCol w:w="236"/>
        <w:gridCol w:w="2915"/>
      </w:tblGrid>
      <w:tr w:rsidR="002B5EA8" w:rsidRPr="00C25D4E" w:rsidTr="00D03AAE">
        <w:trPr>
          <w:trHeight w:val="392"/>
        </w:trPr>
        <w:tc>
          <w:tcPr>
            <w:tcW w:w="1465" w:type="pct"/>
            <w:tcMar>
              <w:top w:w="0" w:type="dxa"/>
              <w:left w:w="108" w:type="dxa"/>
              <w:bottom w:w="0" w:type="dxa"/>
              <w:right w:w="108" w:type="dxa"/>
            </w:tcMar>
            <w:vAlign w:val="center"/>
            <w:hideMark/>
          </w:tcPr>
          <w:p w:rsidR="002B5EA8" w:rsidRPr="00C25D4E" w:rsidRDefault="002B5EA8" w:rsidP="00D03AAE">
            <w:pPr>
              <w:spacing w:before="240" w:after="120" w:line="276" w:lineRule="auto"/>
              <w:jc w:val="both"/>
              <w:rPr>
                <w:rFonts w:asciiTheme="minorHAnsi" w:hAnsiTheme="minorHAnsi" w:cstheme="minorHAnsi"/>
              </w:rPr>
            </w:pPr>
            <w:r w:rsidRPr="00C25D4E">
              <w:rPr>
                <w:rFonts w:asciiTheme="minorHAnsi" w:hAnsiTheme="minorHAnsi" w:cstheme="minorHAnsi"/>
              </w:rPr>
              <w:t xml:space="preserve">31. prosinca 2018. </w:t>
            </w:r>
          </w:p>
        </w:tc>
        <w:tc>
          <w:tcPr>
            <w:tcW w:w="146" w:type="pct"/>
            <w:tcMar>
              <w:top w:w="0" w:type="dxa"/>
              <w:left w:w="108" w:type="dxa"/>
              <w:bottom w:w="0" w:type="dxa"/>
              <w:right w:w="108" w:type="dxa"/>
            </w:tcMar>
            <w:vAlign w:val="center"/>
          </w:tcPr>
          <w:p w:rsidR="002B5EA8" w:rsidRPr="00C25D4E" w:rsidRDefault="002B5EA8" w:rsidP="00D03AAE">
            <w:pPr>
              <w:spacing w:before="240" w:after="120" w:line="276" w:lineRule="auto"/>
              <w:jc w:val="both"/>
              <w:rPr>
                <w:rFonts w:asciiTheme="minorHAnsi" w:hAnsiTheme="minorHAnsi" w:cstheme="minorHAnsi"/>
              </w:rPr>
            </w:pPr>
          </w:p>
        </w:tc>
        <w:tc>
          <w:tcPr>
            <w:tcW w:w="1705" w:type="pct"/>
            <w:tcMar>
              <w:top w:w="0" w:type="dxa"/>
              <w:left w:w="108" w:type="dxa"/>
              <w:bottom w:w="0" w:type="dxa"/>
              <w:right w:w="108" w:type="dxa"/>
            </w:tcMar>
            <w:vAlign w:val="center"/>
            <w:hideMark/>
          </w:tcPr>
          <w:p w:rsidR="002B5EA8" w:rsidRPr="00C25D4E" w:rsidRDefault="002B5EA8" w:rsidP="00D03AAE">
            <w:pPr>
              <w:spacing w:before="240" w:after="120" w:line="276" w:lineRule="auto"/>
              <w:jc w:val="center"/>
              <w:rPr>
                <w:rFonts w:asciiTheme="minorHAnsi" w:hAnsiTheme="minorHAnsi" w:cstheme="minorHAnsi"/>
              </w:rPr>
            </w:pPr>
            <w:r w:rsidRPr="00C25D4E">
              <w:rPr>
                <w:rFonts w:asciiTheme="minorHAnsi" w:hAnsiTheme="minorHAnsi" w:cstheme="minorHAnsi"/>
              </w:rPr>
              <w:t>1 EUR = 7,417575 kuna</w:t>
            </w:r>
          </w:p>
        </w:tc>
        <w:tc>
          <w:tcPr>
            <w:tcW w:w="126" w:type="pct"/>
            <w:tcMar>
              <w:top w:w="0" w:type="dxa"/>
              <w:left w:w="108" w:type="dxa"/>
              <w:bottom w:w="0" w:type="dxa"/>
              <w:right w:w="108" w:type="dxa"/>
            </w:tcMar>
            <w:vAlign w:val="center"/>
          </w:tcPr>
          <w:p w:rsidR="002B5EA8" w:rsidRPr="00C25D4E" w:rsidRDefault="002B5EA8" w:rsidP="00D03AAE">
            <w:pPr>
              <w:spacing w:before="240" w:after="120" w:line="276" w:lineRule="auto"/>
              <w:jc w:val="center"/>
              <w:rPr>
                <w:rFonts w:asciiTheme="minorHAnsi" w:hAnsiTheme="minorHAnsi" w:cstheme="minorHAnsi"/>
              </w:rPr>
            </w:pPr>
          </w:p>
        </w:tc>
        <w:tc>
          <w:tcPr>
            <w:tcW w:w="1558" w:type="pct"/>
            <w:tcMar>
              <w:top w:w="0" w:type="dxa"/>
              <w:left w:w="108" w:type="dxa"/>
              <w:bottom w:w="0" w:type="dxa"/>
              <w:right w:w="108" w:type="dxa"/>
            </w:tcMar>
            <w:vAlign w:val="center"/>
            <w:hideMark/>
          </w:tcPr>
          <w:p w:rsidR="002B5EA8" w:rsidRPr="00C25D4E" w:rsidRDefault="002B5EA8" w:rsidP="00D03AAE">
            <w:pPr>
              <w:spacing w:before="240" w:after="120" w:line="276" w:lineRule="auto"/>
              <w:jc w:val="center"/>
              <w:rPr>
                <w:rFonts w:asciiTheme="minorHAnsi" w:hAnsiTheme="minorHAnsi" w:cstheme="minorHAnsi"/>
              </w:rPr>
            </w:pPr>
            <w:r w:rsidRPr="00C25D4E">
              <w:rPr>
                <w:rFonts w:asciiTheme="minorHAnsi" w:hAnsiTheme="minorHAnsi" w:cstheme="minorHAnsi"/>
              </w:rPr>
              <w:t>1 USD = 6,469192 kuna</w:t>
            </w:r>
          </w:p>
        </w:tc>
      </w:tr>
      <w:tr w:rsidR="002B5EA8" w:rsidRPr="00C25D4E" w:rsidTr="00D03AAE">
        <w:trPr>
          <w:trHeight w:val="340"/>
        </w:trPr>
        <w:tc>
          <w:tcPr>
            <w:tcW w:w="1465" w:type="pct"/>
            <w:tcMar>
              <w:top w:w="0" w:type="dxa"/>
              <w:left w:w="108" w:type="dxa"/>
              <w:bottom w:w="0" w:type="dxa"/>
              <w:right w:w="108" w:type="dxa"/>
            </w:tcMar>
            <w:vAlign w:val="center"/>
            <w:hideMark/>
          </w:tcPr>
          <w:p w:rsidR="002B5EA8" w:rsidRPr="00C25D4E" w:rsidRDefault="002B5EA8" w:rsidP="00D03AAE">
            <w:pPr>
              <w:spacing w:before="240" w:after="120" w:line="276" w:lineRule="auto"/>
              <w:jc w:val="both"/>
              <w:rPr>
                <w:rFonts w:asciiTheme="minorHAnsi" w:hAnsiTheme="minorHAnsi" w:cstheme="minorHAnsi"/>
              </w:rPr>
            </w:pPr>
            <w:r w:rsidRPr="00C25D4E">
              <w:rPr>
                <w:rFonts w:asciiTheme="minorHAnsi" w:hAnsiTheme="minorHAnsi" w:cstheme="minorHAnsi"/>
              </w:rPr>
              <w:t xml:space="preserve">31. prosinca 2017. </w:t>
            </w:r>
          </w:p>
        </w:tc>
        <w:tc>
          <w:tcPr>
            <w:tcW w:w="146" w:type="pct"/>
            <w:tcMar>
              <w:top w:w="0" w:type="dxa"/>
              <w:left w:w="108" w:type="dxa"/>
              <w:bottom w:w="0" w:type="dxa"/>
              <w:right w:w="108" w:type="dxa"/>
            </w:tcMar>
            <w:vAlign w:val="center"/>
          </w:tcPr>
          <w:p w:rsidR="002B5EA8" w:rsidRPr="00C25D4E" w:rsidRDefault="002B5EA8" w:rsidP="00D03AAE">
            <w:pPr>
              <w:spacing w:before="240" w:after="120" w:line="276" w:lineRule="auto"/>
              <w:jc w:val="both"/>
              <w:rPr>
                <w:rFonts w:asciiTheme="minorHAnsi" w:hAnsiTheme="minorHAnsi" w:cstheme="minorHAnsi"/>
              </w:rPr>
            </w:pPr>
          </w:p>
        </w:tc>
        <w:tc>
          <w:tcPr>
            <w:tcW w:w="1705" w:type="pct"/>
            <w:tcMar>
              <w:top w:w="0" w:type="dxa"/>
              <w:left w:w="108" w:type="dxa"/>
              <w:bottom w:w="0" w:type="dxa"/>
              <w:right w:w="108" w:type="dxa"/>
            </w:tcMar>
            <w:vAlign w:val="center"/>
            <w:hideMark/>
          </w:tcPr>
          <w:p w:rsidR="002B5EA8" w:rsidRPr="00C25D4E" w:rsidRDefault="002B5EA8" w:rsidP="00D03AAE">
            <w:pPr>
              <w:spacing w:before="240" w:after="120" w:line="276" w:lineRule="auto"/>
              <w:jc w:val="center"/>
              <w:rPr>
                <w:rFonts w:asciiTheme="minorHAnsi" w:hAnsiTheme="minorHAnsi" w:cstheme="minorHAnsi"/>
              </w:rPr>
            </w:pPr>
            <w:r w:rsidRPr="00C25D4E">
              <w:rPr>
                <w:rFonts w:asciiTheme="minorHAnsi" w:hAnsiTheme="minorHAnsi" w:cstheme="minorHAnsi"/>
              </w:rPr>
              <w:t>1 EUR = 7,513648 kuna</w:t>
            </w:r>
          </w:p>
        </w:tc>
        <w:tc>
          <w:tcPr>
            <w:tcW w:w="126" w:type="pct"/>
            <w:tcMar>
              <w:top w:w="0" w:type="dxa"/>
              <w:left w:w="108" w:type="dxa"/>
              <w:bottom w:w="0" w:type="dxa"/>
              <w:right w:w="108" w:type="dxa"/>
            </w:tcMar>
            <w:vAlign w:val="center"/>
          </w:tcPr>
          <w:p w:rsidR="002B5EA8" w:rsidRPr="00C25D4E" w:rsidRDefault="002B5EA8" w:rsidP="00D03AAE">
            <w:pPr>
              <w:spacing w:before="240" w:after="120" w:line="276" w:lineRule="auto"/>
              <w:jc w:val="center"/>
              <w:rPr>
                <w:rFonts w:asciiTheme="minorHAnsi" w:hAnsiTheme="minorHAnsi" w:cstheme="minorHAnsi"/>
              </w:rPr>
            </w:pPr>
          </w:p>
        </w:tc>
        <w:tc>
          <w:tcPr>
            <w:tcW w:w="1558" w:type="pct"/>
            <w:tcMar>
              <w:top w:w="0" w:type="dxa"/>
              <w:left w:w="108" w:type="dxa"/>
              <w:bottom w:w="0" w:type="dxa"/>
              <w:right w:w="108" w:type="dxa"/>
            </w:tcMar>
            <w:vAlign w:val="center"/>
            <w:hideMark/>
          </w:tcPr>
          <w:p w:rsidR="002B5EA8" w:rsidRPr="00C25D4E" w:rsidRDefault="002B5EA8" w:rsidP="00D03AAE">
            <w:pPr>
              <w:spacing w:before="240" w:after="120" w:line="276" w:lineRule="auto"/>
              <w:jc w:val="center"/>
              <w:rPr>
                <w:rFonts w:asciiTheme="minorHAnsi" w:hAnsiTheme="minorHAnsi" w:cstheme="minorHAnsi"/>
              </w:rPr>
            </w:pPr>
            <w:r w:rsidRPr="00C25D4E">
              <w:rPr>
                <w:rFonts w:asciiTheme="minorHAnsi" w:hAnsiTheme="minorHAnsi" w:cstheme="minorHAnsi"/>
              </w:rPr>
              <w:t>1 USD = 6,269733 kuna</w:t>
            </w:r>
          </w:p>
        </w:tc>
      </w:tr>
    </w:tbl>
    <w:p w:rsidR="002F39FB" w:rsidRDefault="002F39FB" w:rsidP="002B5EA8">
      <w:pPr>
        <w:spacing w:before="240" w:after="120" w:line="276" w:lineRule="auto"/>
        <w:rPr>
          <w:rFonts w:asciiTheme="minorHAnsi" w:eastAsia="Calibri" w:hAnsiTheme="minorHAnsi" w:cstheme="minorHAnsi"/>
          <w:b/>
        </w:rPr>
        <w:sectPr w:rsidR="002F39FB" w:rsidSect="00D03AAE">
          <w:footerReference w:type="default" r:id="rId18"/>
          <w:type w:val="continuous"/>
          <w:pgSz w:w="11906" w:h="16838" w:code="9"/>
          <w:pgMar w:top="-993" w:right="1134" w:bottom="567" w:left="1418" w:header="709" w:footer="709" w:gutter="0"/>
          <w:cols w:space="708"/>
          <w:titlePg/>
          <w:docGrid w:linePitch="360"/>
        </w:sectPr>
      </w:pPr>
    </w:p>
    <w:p w:rsidR="002B5EA8" w:rsidRPr="00C25D4E" w:rsidRDefault="002B5EA8" w:rsidP="002B5EA8">
      <w:pPr>
        <w:spacing w:before="240" w:after="120" w:line="276" w:lineRule="auto"/>
        <w:rPr>
          <w:rFonts w:asciiTheme="minorHAnsi" w:eastAsia="Calibri" w:hAnsiTheme="minorHAnsi" w:cstheme="minorHAnsi"/>
          <w:b/>
        </w:rPr>
      </w:pPr>
    </w:p>
    <w:p w:rsidR="002B5EA8" w:rsidRPr="00C25D4E" w:rsidRDefault="002B5EA8" w:rsidP="002B5EA8">
      <w:pPr>
        <w:spacing w:before="240" w:after="120" w:line="276" w:lineRule="auto"/>
        <w:rPr>
          <w:rFonts w:asciiTheme="minorHAnsi" w:eastAsia="Calibri" w:hAnsiTheme="minorHAnsi" w:cstheme="minorHAnsi"/>
          <w:b/>
        </w:rPr>
      </w:pPr>
      <w:r w:rsidRPr="00C25D4E">
        <w:rPr>
          <w:rFonts w:asciiTheme="minorHAnsi" w:eastAsia="Calibri" w:hAnsiTheme="minorHAnsi" w:cstheme="minorHAnsi"/>
          <w:b/>
        </w:rPr>
        <w:br w:type="page"/>
      </w:r>
    </w:p>
    <w:p w:rsidR="002B5EA8" w:rsidRPr="002D2F9B" w:rsidRDefault="002B5EA8" w:rsidP="002B5EA8">
      <w:pPr>
        <w:pStyle w:val="Heading2"/>
        <w:jc w:val="left"/>
        <w:rPr>
          <w:rFonts w:asciiTheme="minorHAnsi" w:eastAsia="Calibri" w:hAnsiTheme="minorHAnsi" w:cstheme="minorHAnsi"/>
        </w:rPr>
      </w:pPr>
      <w:bookmarkStart w:id="6" w:name="_Toc3249201"/>
      <w:r w:rsidRPr="002D2F9B">
        <w:rPr>
          <w:rFonts w:asciiTheme="minorHAnsi" w:eastAsia="Calibri" w:hAnsiTheme="minorHAnsi" w:cstheme="minorHAnsi"/>
        </w:rPr>
        <w:t>IZJAVA O PRIMJENI KODEKSA KORPORATIVNOG UPRAVLJANJA</w:t>
      </w:r>
      <w:bookmarkEnd w:id="6"/>
    </w:p>
    <w:p w:rsidR="002B5EA8" w:rsidRPr="00C25D4E" w:rsidRDefault="002B5EA8" w:rsidP="002B5EA8">
      <w:pPr>
        <w:spacing w:before="240" w:after="120" w:line="276" w:lineRule="auto"/>
        <w:rPr>
          <w:rFonts w:asciiTheme="minorHAnsi" w:eastAsia="Calibri" w:hAnsiTheme="minorHAnsi" w:cstheme="minorHAnsi"/>
          <w:b/>
        </w:rPr>
      </w:pPr>
      <w:r w:rsidRPr="00C25D4E">
        <w:rPr>
          <w:rFonts w:asciiTheme="minorHAnsi" w:eastAsia="Calibri" w:hAnsiTheme="minorHAnsi" w:cstheme="minorHAnsi"/>
          <w:b/>
        </w:rPr>
        <w:t>Hrvatska banka za obnovu i razvitak (HBOR)</w:t>
      </w:r>
    </w:p>
    <w:p w:rsidR="002B5EA8" w:rsidRPr="00C25D4E" w:rsidRDefault="002B5EA8" w:rsidP="002B5EA8">
      <w:pPr>
        <w:spacing w:before="240" w:after="120" w:line="276" w:lineRule="auto"/>
        <w:jc w:val="both"/>
        <w:rPr>
          <w:rFonts w:asciiTheme="minorHAnsi" w:eastAsia="Calibri" w:hAnsiTheme="minorHAnsi" w:cstheme="minorHAnsi"/>
        </w:rPr>
      </w:pPr>
      <w:r w:rsidRPr="00C25D4E">
        <w:rPr>
          <w:rFonts w:asciiTheme="minorHAnsi" w:eastAsia="Calibri" w:hAnsiTheme="minorHAnsi" w:cstheme="minorHAnsi"/>
        </w:rPr>
        <w:t>HBOR primjenjuje Kodeks korporativnog upravljanja HBOR-a (dalje u tekstu: Kodeks) iz veljače 2013. godine, koji je usvojen od strane Uprave i Nadzornog odbora te objavljen na mrežnim stranicama HBOR-a.</w:t>
      </w:r>
    </w:p>
    <w:p w:rsidR="002B5EA8" w:rsidRPr="00C25D4E" w:rsidRDefault="002B5EA8" w:rsidP="002B5EA8">
      <w:pPr>
        <w:spacing w:before="240" w:after="120" w:line="276" w:lineRule="auto"/>
        <w:jc w:val="both"/>
        <w:rPr>
          <w:rFonts w:asciiTheme="minorHAnsi" w:eastAsia="Calibri" w:hAnsiTheme="minorHAnsi" w:cstheme="minorHAnsi"/>
        </w:rPr>
      </w:pPr>
      <w:r w:rsidRPr="00C25D4E">
        <w:rPr>
          <w:rFonts w:asciiTheme="minorHAnsi" w:eastAsia="Calibri" w:hAnsiTheme="minorHAnsi" w:cstheme="minorHAnsi"/>
        </w:rPr>
        <w:t xml:space="preserve">Kodeks sadrži temeljna načela utvrđena u Odluci o donošenju Kodeksa korporativnog upravljanja trgovačkim društvima u kojima Republika Hrvatska ima dionice ili udjele (NN 112/2010) (dalje u tekstu: Odluka) i načela utvrđena u Smjernicama o unutrašnjem upravljanju EBA-e (European Banking Authority Guidelines on Internal Governance GL 44, September/2011) (dalje u tekstu: Smjernice). </w:t>
      </w:r>
    </w:p>
    <w:p w:rsidR="002B5EA8" w:rsidRPr="00C25D4E" w:rsidRDefault="002B5EA8" w:rsidP="002B5EA8">
      <w:pPr>
        <w:spacing w:before="240" w:after="120" w:line="276" w:lineRule="auto"/>
        <w:jc w:val="both"/>
        <w:rPr>
          <w:rFonts w:asciiTheme="minorHAnsi" w:eastAsia="Calibri" w:hAnsiTheme="minorHAnsi" w:cstheme="minorHAnsi"/>
        </w:rPr>
      </w:pPr>
      <w:r w:rsidRPr="00C25D4E">
        <w:rPr>
          <w:rFonts w:asciiTheme="minorHAnsi" w:eastAsia="Calibri" w:hAnsiTheme="minorHAnsi" w:cstheme="minorHAnsi"/>
        </w:rPr>
        <w:t>HBOR je dobrovoljno u Kodeks implementirao načela navedena u Smjernicama u mjeri u kojoj su primjenjiva zbog činjenice da se Smjernice odnose na kreditne institucije i nisu u potpunosti primjenjive na HBOR kao posebnu financijsku instituciju.</w:t>
      </w:r>
    </w:p>
    <w:p w:rsidR="002B5EA8" w:rsidRPr="00C25D4E" w:rsidRDefault="002B5EA8" w:rsidP="002B5EA8">
      <w:pPr>
        <w:spacing w:before="240" w:after="120" w:line="276" w:lineRule="auto"/>
        <w:jc w:val="both"/>
        <w:rPr>
          <w:rFonts w:asciiTheme="minorHAnsi" w:eastAsia="Calibri" w:hAnsiTheme="minorHAnsi" w:cstheme="minorHAnsi"/>
          <w:u w:val="single"/>
        </w:rPr>
      </w:pPr>
      <w:r w:rsidRPr="00C25D4E">
        <w:rPr>
          <w:rFonts w:asciiTheme="minorHAnsi" w:eastAsia="Calibri" w:hAnsiTheme="minorHAnsi" w:cstheme="minorHAnsi"/>
        </w:rPr>
        <w:t>Dana 6. siječnja 2018. stupila je na snagu nova Odluka o donošenju Kodeksa korporativnog upravljanja trgovačkim društvima u kojima Republika Hrvatska ima dionice ili udjele (NN 132/17) koja se primjenjuje na HBOR.</w:t>
      </w:r>
    </w:p>
    <w:p w:rsidR="002B5EA8" w:rsidRPr="00C25D4E" w:rsidRDefault="002B5EA8" w:rsidP="002B5EA8">
      <w:pPr>
        <w:spacing w:before="240" w:after="120" w:line="276" w:lineRule="auto"/>
        <w:jc w:val="both"/>
        <w:rPr>
          <w:rFonts w:asciiTheme="minorHAnsi" w:eastAsia="Calibri" w:hAnsiTheme="minorHAnsi" w:cstheme="minorHAnsi"/>
        </w:rPr>
      </w:pPr>
      <w:r w:rsidRPr="00C25D4E">
        <w:rPr>
          <w:rFonts w:asciiTheme="minorHAnsi" w:eastAsia="Calibri" w:hAnsiTheme="minorHAnsi" w:cstheme="minorHAnsi"/>
        </w:rPr>
        <w:t xml:space="preserve">Ujedno, kao mjera dobrog korporativnog upravljanja u smislu jačanja transparentnosti i određivanja kriterija za odabir članova Uprave HBOR-a, na HBOR se tijekom 2018. godine primjenjivala Uredba o kriterijima za provedbu postupaka odabira i imenovanja kandidata za predsjednike i članove uprava trgovačkih društava i drugih pravnih osoba od strateškog i posebnog interesa za Republiku Hrvatsku. </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 xml:space="preserve">Usklađenost poslovanja sa zakonima i drugim propisima te pridržavanje internih pravila osnova su odgovornog korporativnog upravljanja i nužan preduvjet za održivu uspješnost poslovanja. HBOR sustavno prati zakonsku regulativu i najbolju praksu na području korporativnog upravljanja te istu ugrađuje u svoje poslovanje sukladno načelima dobrog bankarskog poslovanja. </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Kodeksom korporativnog upravljanja uspostavljeni su standardi korporativnog upravljanja i transparentnosti poslovanja HBOR-a i njihovog unapređenja u svrhu učinkovitog i odgovornog upravljanja javnim kapitalom i poslovima od posebnog društvenog značaja u funkciji razvoja hrvatskoga gospodarstva. Radi postizanja standarda korporativnog upravljanja, HBOR ovim Kodeksom opisuje odnose s upravljačkim tijelima i zainteresiranim stranama, kao i usvojene principe rada koji imaju za cilj umanjenje rizika poslovanja u nepovoljnim tržišnim uvjetima.</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 xml:space="preserve">Kodeksom ponašanja HBOR-a propisane su specifične vrijednosti i pravila za prevenciju korupcije i osiguranje profesionalnog ponašanja te je predviđena mogućnost prijave po osnovi kršenja Kodeksa. Obrazac za prijavu, adresa elektroničke pošte za zaprimanje prijava i opis načina podnošenja prijave dostupni su na mrežnim stranicama HBOR-a. Osoba odgovorna za rad funkcije praćenja usklađenosti podnosi godišnje izvješće o podnesenim prijavama i pokrenutim postupcima u vezi s prijavama po osnovi kršenja Kodeksa ponašanja. </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 xml:space="preserve">Sukladno načelima javnosti poslovanja financijski izvještaji HBOR-a i Grupe HBOR u izvještajnom razdoblju objavljeni su na mrežnim stranicama HBOR-a i Luksemburške burze. Godišnja </w:t>
      </w:r>
      <w:r>
        <w:rPr>
          <w:rFonts w:asciiTheme="minorHAnsi" w:hAnsiTheme="minorHAnsi" w:cstheme="minorHAnsi"/>
        </w:rPr>
        <w:t xml:space="preserve">odvojena i konsolidirana </w:t>
      </w:r>
      <w:r w:rsidRPr="00C25D4E">
        <w:rPr>
          <w:rFonts w:asciiTheme="minorHAnsi" w:hAnsiTheme="minorHAnsi" w:cstheme="minorHAnsi"/>
        </w:rPr>
        <w:t xml:space="preserve">financijska izvješća HBOR-a utvrđuje Nadzorni odbor te ih podnosi na potvrdu Hrvatskom saboru. Godišnje se provodi ocjena rejtinga HBOR-a od strane dvije međunarodne nezavisne rejting agencije (Standard &amp; Poor's i Moody's). Sukladno Zakonu o pravu na pristup informacijama, HBOR dostavlja izvješće o provedbi Zakona Povjereniku za informiranje. </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U izvještajnom razdoblju, dužnosti, odgovornosti i ovlasti članova Uprave i Nadzornog odbora regulirane su Zakonom o HBOR-u (NN 138/06) i Zakonom o izmjenama Zakona o HBOR-u (NN 25/13) i detaljnije razrađene u Statutu HBOR-a. Uprava i Nadzorni odbor ostvaruju uspješnu suradnju koja se očituje u otvorenoj raspravi, a temelj suradnje čini pravodobno podnošenje savjesno pripremljenih izvješća Nadzornom odboru u pisanom obliku. Zakonom i Statutom HBOR-a te odlukama Nadzornog odbora određene su vrste poslova koje HBOR obavlja samo uz prethodnu suglasnost Nadzornog odbora.</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b/>
        </w:rPr>
        <w:t>Nadzorni odbor</w:t>
      </w:r>
      <w:r w:rsidRPr="00C25D4E">
        <w:rPr>
          <w:rFonts w:asciiTheme="minorHAnsi" w:hAnsiTheme="minorHAnsi" w:cstheme="minorHAnsi"/>
        </w:rPr>
        <w:t xml:space="preserve"> utvrđuje načela poslovne politike i strategije, nadzire vođenje poslova banke, donosi kreditne politike HBOR-a, utvrđuje godišnje financijske izvještaje, razmatra izvješća unutarnje revizije, vanjskih neovisnih revizora i izvješća Državnog ureda za reviziju. Nadzorni odbor također prati i kontrolira zakonitost rada Uprave te imenuje i opoziva predsjednika i članove Uprave. Nadzorni odbor po Zakonu čini deset članova i to šest ministara Vlade Republike Hrvatske, tri saborska zastupnika te predsjednik Hrvatske gospodarske komore. </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Tijekom 2018. godine Nadzorni odbor djelovao je u sljedećem sastavu:</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 xml:space="preserve">dr. sc. Zdravko Marić, ministar financija, predsjednik Nadzornog odbora, </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dr. sc. Martina Dalić, potpredsjednica Vlade Republike Hrvatske i ministrica gospodarstva, poduzetništva i obrta, zamjenica predsjednika Nadzornog odbora (do 16. svibnja 2018.),</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Darko Horvat, ministar gospodarstva, poduzetništva i obrta, zamjenik predsjednika Nadzornog odbora (od 30. svibnja 2018.),</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Predrag Štromar, potpredsjednik Vlade Republike Hrvatske i ministar graditeljstva i prostornoga uređenja</w:t>
      </w:r>
      <w:r>
        <w:rPr>
          <w:rFonts w:asciiTheme="minorHAnsi" w:hAnsiTheme="minorHAnsi" w:cstheme="minorHAnsi"/>
        </w:rPr>
        <w:t>,</w:t>
      </w:r>
      <w:r w:rsidRPr="00C25D4E">
        <w:rPr>
          <w:rFonts w:asciiTheme="minorHAnsi" w:hAnsiTheme="minorHAnsi" w:cstheme="minorHAnsi"/>
        </w:rPr>
        <w:t xml:space="preserve"> </w:t>
      </w:r>
    </w:p>
    <w:p w:rsidR="000C7E9A"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Gabrijela Žalac, ministrica regionalnoga razvoja i fondova Europske unije,</w:t>
      </w:r>
      <w:r w:rsidR="000C7E9A">
        <w:rPr>
          <w:rFonts w:asciiTheme="minorHAnsi" w:hAnsiTheme="minorHAnsi" w:cstheme="minorHAnsi"/>
        </w:rPr>
        <w:br w:type="page"/>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Gari Cappelli, ministar turizma,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 xml:space="preserve">Tomislav Tolušić, </w:t>
      </w:r>
      <w:r>
        <w:rPr>
          <w:rFonts w:asciiTheme="minorHAnsi" w:hAnsiTheme="minorHAnsi" w:cstheme="minorHAnsi"/>
        </w:rPr>
        <w:t>potpredsjednik Vlade</w:t>
      </w:r>
      <w:r w:rsidR="000E7FB2">
        <w:rPr>
          <w:rFonts w:asciiTheme="minorHAnsi" w:hAnsiTheme="minorHAnsi" w:cstheme="minorHAnsi"/>
        </w:rPr>
        <w:t xml:space="preserve"> Republike Hrvatske</w:t>
      </w:r>
      <w:r>
        <w:rPr>
          <w:rFonts w:asciiTheme="minorHAnsi" w:hAnsiTheme="minorHAnsi" w:cstheme="minorHAnsi"/>
        </w:rPr>
        <w:t xml:space="preserve"> i </w:t>
      </w:r>
      <w:r w:rsidRPr="00C25D4E">
        <w:rPr>
          <w:rFonts w:asciiTheme="minorHAnsi" w:hAnsiTheme="minorHAnsi" w:cstheme="minorHAnsi"/>
        </w:rPr>
        <w:t>ministar poljoprivrede,</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 xml:space="preserve">Luka Burilović, predsjednik Hrvatske gospodarske komore, </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mr. sc. Boris Lalovac, zastupnik Hrvatskog sabora,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Božica Makar, zastupnica Hrvatskog sabora,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Grozdana Perić, predsjednica Odbora za financije i državni proračun, Hrvatski sabor.</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b/>
        </w:rPr>
        <w:t xml:space="preserve">Uprava </w:t>
      </w:r>
      <w:r w:rsidRPr="00C25D4E">
        <w:rPr>
          <w:rFonts w:asciiTheme="minorHAnsi" w:hAnsiTheme="minorHAnsi" w:cstheme="minorHAnsi"/>
        </w:rPr>
        <w:t>zastupa, vodi poslove i raspolaže imovinom HBOR-a te je dužna i ovlaštena poduzeti sve radnje i donijeti sve odluke koje smatra potrebnim za zakonito i uspješno vođenje poslova. Uprava je također zadužena za donošenje normativnih akata kojima se utvrđuje način rada i unutarnja organizacija HBOR-a, donošenje programa kreditiranja, donošenje pojedinačnih odluka o odobrenju kredita i drugih financijskih poslova, odlučivanje o imenovanju i opozivu radnika s posebnim ovlaštenjima, odlučivanje o pravima i obvezama radnika te izvješćivanje Nadzornog odbora.</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Članovi Uprave HBOR-a u 2018. godini:</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mr. sc. Tamara Perko, predsjednica Uprave,</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mr.</w:t>
      </w:r>
      <w:r>
        <w:rPr>
          <w:rFonts w:asciiTheme="minorHAnsi" w:hAnsiTheme="minorHAnsi" w:cstheme="minorHAnsi"/>
        </w:rPr>
        <w:t xml:space="preserve"> </w:t>
      </w:r>
      <w:r w:rsidRPr="00C25D4E">
        <w:rPr>
          <w:rFonts w:asciiTheme="minorHAnsi" w:hAnsiTheme="minorHAnsi" w:cstheme="minorHAnsi"/>
        </w:rPr>
        <w:t>sc. Hrvoje Čuvalo, član Uprave.</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 xml:space="preserve">Temeljem Kodeksa korporativnog upravljanja HBOR-a i Zakona o reviziji, odlukom Nadzornog odbora osnovan je Revizijski odbor HBOR-a. Revizijski odbor sastavljen je od tri člana od kojih je jedan član Nadzornog odbora HBOR-a, a druga dva člana, od kojih najmanje jedan mora biti neovisan član, imenuje Nadzorni odbor. Iz redova neovisnih članova Revizijskog odbora, Nadzorni odbor imenuje predsjednika. </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Revizijski odbor HBOR-a djeluje u sastavu:</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 xml:space="preserve">prof. dr. sc. Lajoš Žager, </w:t>
      </w:r>
      <w:r w:rsidRPr="00370F98">
        <w:rPr>
          <w:rFonts w:asciiTheme="minorHAnsi" w:hAnsiTheme="minorHAnsi" w:cstheme="minorHAnsi"/>
        </w:rPr>
        <w:t>redoviti profesor, Katedra za računovodstvo Ekonomskog fakulteta Sveučilišta u Zagrebu</w:t>
      </w:r>
      <w:r>
        <w:rPr>
          <w:rFonts w:asciiTheme="minorHAnsi" w:hAnsiTheme="minorHAnsi" w:cstheme="minorHAnsi"/>
        </w:rPr>
        <w:t xml:space="preserve">, </w:t>
      </w:r>
      <w:r w:rsidRPr="00C25D4E">
        <w:rPr>
          <w:rFonts w:asciiTheme="minorHAnsi" w:hAnsiTheme="minorHAnsi" w:cstheme="minorHAnsi"/>
        </w:rPr>
        <w:t>Ekonomski fakultet Sveučilišta u Zagrebu, predsjednik Revizijskog odbora,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Grozdana Perić, predsjednica Odbora za financije i državni proračun u Hrvatskom saboru, zamjenica predsjednika Revizijskog odbora,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Aurora Volarević, direktorica Interne kontrole, revizije i rizika u Hrvatskom Telekomu d.d., članica Revizijskog odbora.</w:t>
      </w:r>
    </w:p>
    <w:p w:rsidR="000C7E9A" w:rsidRDefault="000C7E9A" w:rsidP="002B5EA8">
      <w:pPr>
        <w:tabs>
          <w:tab w:val="left" w:pos="3836"/>
        </w:tabs>
        <w:spacing w:before="240" w:after="120" w:line="276" w:lineRule="auto"/>
        <w:jc w:val="both"/>
        <w:rPr>
          <w:rFonts w:asciiTheme="minorHAnsi" w:hAnsiTheme="minorHAnsi" w:cstheme="minorHAnsi"/>
        </w:rPr>
      </w:pPr>
      <w:r>
        <w:rPr>
          <w:rFonts w:asciiTheme="minorHAnsi" w:hAnsiTheme="minorHAnsi" w:cstheme="minorHAnsi"/>
        </w:rPr>
        <w:br w:type="page"/>
      </w:r>
    </w:p>
    <w:p w:rsidR="002B5EA8"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Radi osiguranja što efikasnijeg i kvalitetnijeg upravljanja rizicima te svođenja rizika na najmanju mjeru, pri Upravi Banke djeluju i sljedeći odbori: Odbor za upravljanje aktivom i pasivom, Odbor za procjenu i mjerenje kreditnog rizika, Odbor za upravljanje informacijskim sustavom i Odbor za upravljanje poslovnim promjenama.</w:t>
      </w:r>
    </w:p>
    <w:p w:rsidR="002B5EA8" w:rsidRPr="00C25D4E" w:rsidRDefault="002B5EA8" w:rsidP="002B5EA8">
      <w:pPr>
        <w:tabs>
          <w:tab w:val="left" w:pos="3836"/>
        </w:tabs>
        <w:spacing w:before="240" w:after="120" w:line="276" w:lineRule="auto"/>
        <w:jc w:val="both"/>
        <w:rPr>
          <w:rFonts w:asciiTheme="minorHAnsi" w:hAnsiTheme="minorHAnsi" w:cstheme="minorHAnsi"/>
        </w:rPr>
      </w:pP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rPr>
        <w:t>Sustav unutarnjih kontrola HBOR-a organiziran je kroz neovisne organizacijske jedinice:</w:t>
      </w:r>
    </w:p>
    <w:p w:rsidR="002B5EA8" w:rsidRPr="00C25D4E" w:rsidRDefault="002B5EA8" w:rsidP="002B5EA8">
      <w:pPr>
        <w:numPr>
          <w:ilvl w:val="0"/>
          <w:numId w:val="14"/>
        </w:num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Neovisna organizacijska jedinica za upravljanje rizicima provodi utvrđivanje, procjenu, odnosno mjerenje, nadzor i kontrolu rizika kojima je HBOR u svom poslovanju izložen ili bi mogao biti izložen</w:t>
      </w:r>
      <w:r>
        <w:rPr>
          <w:rFonts w:asciiTheme="minorHAnsi" w:hAnsiTheme="minorHAnsi" w:cstheme="minorHAnsi"/>
          <w:lang w:eastAsia="x-none"/>
        </w:rPr>
        <w:t>,</w:t>
      </w:r>
    </w:p>
    <w:p w:rsidR="002B5EA8" w:rsidRPr="00C25D4E" w:rsidRDefault="002B5EA8" w:rsidP="002B5EA8">
      <w:pPr>
        <w:numPr>
          <w:ilvl w:val="0"/>
          <w:numId w:val="14"/>
        </w:num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Unutarnja revizija HBOR-a kao neovisna organizacijska jedinica provodi provjeru adekvatnosti upravljanja rizicima i sustava unutarnjih kontrola, uključujući i funkciju kontrole rizika i funkciju praćenja usklađenosti, primjenu unutarnjih politika i procedura te postupke u svezi sprječavanja pranja novca</w:t>
      </w:r>
      <w:r>
        <w:rPr>
          <w:rFonts w:asciiTheme="minorHAnsi" w:hAnsiTheme="minorHAnsi" w:cstheme="minorHAnsi"/>
          <w:lang w:eastAsia="x-none"/>
        </w:rPr>
        <w:t>,</w:t>
      </w:r>
    </w:p>
    <w:p w:rsidR="002B5EA8" w:rsidRPr="00C25D4E" w:rsidRDefault="002B5EA8" w:rsidP="002B5EA8">
      <w:pPr>
        <w:numPr>
          <w:ilvl w:val="0"/>
          <w:numId w:val="14"/>
        </w:numPr>
        <w:tabs>
          <w:tab w:val="left" w:pos="3836"/>
        </w:tabs>
        <w:spacing w:before="240" w:after="120" w:line="276" w:lineRule="auto"/>
        <w:contextualSpacing/>
        <w:jc w:val="both"/>
        <w:rPr>
          <w:rFonts w:asciiTheme="minorHAnsi" w:hAnsiTheme="minorHAnsi" w:cstheme="minorHAnsi"/>
          <w:lang w:eastAsia="x-none"/>
        </w:rPr>
      </w:pPr>
      <w:r w:rsidRPr="00C25D4E">
        <w:rPr>
          <w:rFonts w:asciiTheme="minorHAnsi" w:hAnsiTheme="minorHAnsi" w:cstheme="minorHAnsi"/>
          <w:lang w:eastAsia="x-none"/>
        </w:rPr>
        <w:t>Neovisna funkcija praćenja usklađenosti organizira, koordinira i usmjerava aktivnosti praćenja usklađenosti na razini HBOR-a, savjetuje o pitanjima usklađenosti, upravlja mjerama koje se poduzimaju radi umanjivanja rizika usklađenosti, objedinjuje podatke o praćenju usklađenosti, identificira i ocjenjuje rizike usklađenosti i o tom redovito podnosi izvješća. Osnovna zadaća funkcije praćenja usklađenosti ograničiti je rizik neusklađenosti i na taj način ograničiti i njegove negativne posljedice, osigurati usklađenost svih internih akata i poslovnih procesa s relevantnim propisima te promicati načela etičnog poslovanja.</w:t>
      </w:r>
    </w:p>
    <w:p w:rsidR="002B5EA8" w:rsidRPr="00C25D4E" w:rsidRDefault="002B5EA8" w:rsidP="002B5EA8">
      <w:pPr>
        <w:tabs>
          <w:tab w:val="left" w:pos="3836"/>
        </w:tabs>
        <w:spacing w:before="240" w:after="120" w:line="276" w:lineRule="auto"/>
        <w:contextualSpacing/>
        <w:jc w:val="both"/>
        <w:rPr>
          <w:rFonts w:asciiTheme="minorHAnsi" w:hAnsiTheme="minorHAnsi" w:cstheme="minorHAnsi"/>
          <w:lang w:eastAsia="x-none"/>
        </w:rPr>
      </w:pPr>
    </w:p>
    <w:p w:rsidR="002B5EA8" w:rsidRPr="00C25D4E" w:rsidRDefault="002B5EA8" w:rsidP="002B5EA8">
      <w:pPr>
        <w:spacing w:before="240" w:after="120" w:line="276" w:lineRule="auto"/>
        <w:rPr>
          <w:rFonts w:asciiTheme="minorHAnsi" w:hAnsiTheme="minorHAnsi" w:cstheme="minorHAnsi"/>
          <w:b/>
          <w:lang w:eastAsia="x-none"/>
        </w:rPr>
      </w:pPr>
      <w:r w:rsidRPr="00C25D4E">
        <w:rPr>
          <w:rFonts w:asciiTheme="minorHAnsi" w:hAnsiTheme="minorHAnsi" w:cstheme="minorHAnsi"/>
          <w:b/>
          <w:lang w:eastAsia="x-none"/>
        </w:rPr>
        <w:br w:type="page"/>
      </w:r>
    </w:p>
    <w:p w:rsidR="002B5EA8" w:rsidRPr="00C25D4E" w:rsidRDefault="002B5EA8" w:rsidP="002B5EA8">
      <w:pPr>
        <w:spacing w:before="240" w:after="120" w:line="276" w:lineRule="auto"/>
        <w:contextualSpacing/>
        <w:jc w:val="both"/>
        <w:rPr>
          <w:rFonts w:asciiTheme="minorHAnsi" w:hAnsiTheme="minorHAnsi" w:cstheme="minorHAnsi"/>
          <w:sz w:val="22"/>
          <w:szCs w:val="22"/>
        </w:rPr>
      </w:pPr>
      <w:r w:rsidRPr="00C25D4E">
        <w:rPr>
          <w:rFonts w:asciiTheme="minorHAnsi" w:hAnsiTheme="minorHAnsi" w:cstheme="minorHAnsi"/>
          <w:b/>
          <w:bCs/>
          <w:lang w:eastAsia="x-none"/>
        </w:rPr>
        <w:t>Hrvatsko kreditno osiguranje d.d. (HKO</w:t>
      </w:r>
      <w:r>
        <w:rPr>
          <w:rFonts w:asciiTheme="minorHAnsi" w:hAnsiTheme="minorHAnsi" w:cstheme="minorHAnsi"/>
          <w:b/>
          <w:bCs/>
          <w:lang w:eastAsia="x-none"/>
        </w:rPr>
        <w:t>, Društvo</w:t>
      </w:r>
      <w:r w:rsidRPr="00C25D4E">
        <w:rPr>
          <w:rFonts w:asciiTheme="minorHAnsi" w:hAnsiTheme="minorHAnsi" w:cstheme="minorHAnsi"/>
          <w:b/>
          <w:bCs/>
          <w:lang w:eastAsia="x-none"/>
        </w:rPr>
        <w:t xml:space="preserve">) </w:t>
      </w:r>
    </w:p>
    <w:p w:rsidR="002B5EA8" w:rsidRPr="00C25D4E" w:rsidRDefault="002B5EA8" w:rsidP="002B5EA8">
      <w:pPr>
        <w:spacing w:before="240" w:after="120" w:line="276" w:lineRule="auto"/>
        <w:contextualSpacing/>
        <w:jc w:val="both"/>
        <w:rPr>
          <w:rFonts w:asciiTheme="minorHAnsi" w:hAnsiTheme="minorHAnsi" w:cstheme="minorHAnsi"/>
        </w:rPr>
      </w:pPr>
      <w:r w:rsidRPr="00C25D4E">
        <w:rPr>
          <w:rFonts w:asciiTheme="minorHAnsi" w:hAnsiTheme="minorHAnsi" w:cstheme="minorHAnsi"/>
          <w:lang w:eastAsia="x-none"/>
        </w:rPr>
        <w:t> </w:t>
      </w:r>
    </w:p>
    <w:p w:rsidR="002B5EA8" w:rsidRPr="00C25D4E" w:rsidRDefault="002B5EA8" w:rsidP="002B5EA8">
      <w:pPr>
        <w:spacing w:before="240" w:after="120" w:line="276" w:lineRule="auto"/>
        <w:contextualSpacing/>
        <w:jc w:val="both"/>
        <w:rPr>
          <w:rFonts w:asciiTheme="minorHAnsi" w:hAnsiTheme="minorHAnsi" w:cstheme="minorHAnsi"/>
        </w:rPr>
      </w:pPr>
      <w:r w:rsidRPr="00C25D4E">
        <w:rPr>
          <w:rFonts w:asciiTheme="minorHAnsi" w:hAnsiTheme="minorHAnsi" w:cstheme="minorHAnsi"/>
          <w:lang w:eastAsia="x-none"/>
        </w:rPr>
        <w:t xml:space="preserve">Sustav unutarnjih kontrola Hrvatskog kreditnog osiguranja d.d. organiziran je kroz sljedeće neovisne ključne funkcije: </w:t>
      </w:r>
    </w:p>
    <w:p w:rsidR="002B5EA8" w:rsidRPr="00C25D4E" w:rsidRDefault="002B5EA8" w:rsidP="002B5EA8">
      <w:pPr>
        <w:spacing w:before="240" w:after="120" w:line="276" w:lineRule="auto"/>
        <w:ind w:left="720" w:hanging="360"/>
        <w:jc w:val="both"/>
        <w:rPr>
          <w:rFonts w:asciiTheme="minorHAnsi" w:hAnsiTheme="minorHAnsi" w:cstheme="minorHAnsi"/>
        </w:rPr>
      </w:pPr>
      <w:r w:rsidRPr="00C25D4E">
        <w:rPr>
          <w:rFonts w:asciiTheme="minorHAnsi" w:hAnsiTheme="minorHAnsi" w:cstheme="minorHAnsi"/>
          <w:lang w:eastAsia="x-none"/>
        </w:rPr>
        <w:t>-</w:t>
      </w:r>
      <w:r w:rsidRPr="00C25D4E">
        <w:rPr>
          <w:rFonts w:asciiTheme="minorHAnsi" w:hAnsiTheme="minorHAnsi" w:cstheme="minorHAnsi"/>
          <w:sz w:val="14"/>
          <w:szCs w:val="14"/>
          <w:lang w:eastAsia="x-none"/>
        </w:rPr>
        <w:t xml:space="preserve">          </w:t>
      </w:r>
      <w:r w:rsidRPr="00C25D4E">
        <w:rPr>
          <w:rFonts w:asciiTheme="minorHAnsi" w:hAnsiTheme="minorHAnsi" w:cstheme="minorHAnsi"/>
          <w:lang w:eastAsia="x-none"/>
        </w:rPr>
        <w:t>funkciju praćenja usklađenosti</w:t>
      </w:r>
      <w:r>
        <w:rPr>
          <w:rFonts w:asciiTheme="minorHAnsi" w:hAnsiTheme="minorHAnsi" w:cstheme="minorHAnsi"/>
          <w:lang w:eastAsia="x-none"/>
        </w:rPr>
        <w:t>,</w:t>
      </w:r>
      <w:r w:rsidRPr="00C25D4E">
        <w:rPr>
          <w:rFonts w:asciiTheme="minorHAnsi" w:hAnsiTheme="minorHAnsi" w:cstheme="minorHAnsi"/>
          <w:lang w:eastAsia="x-none"/>
        </w:rPr>
        <w:t xml:space="preserve"> </w:t>
      </w:r>
    </w:p>
    <w:p w:rsidR="002B5EA8" w:rsidRPr="00C25D4E" w:rsidRDefault="002B5EA8" w:rsidP="002B5EA8">
      <w:pPr>
        <w:spacing w:before="240" w:after="120" w:line="276" w:lineRule="auto"/>
        <w:ind w:left="720" w:hanging="360"/>
        <w:jc w:val="both"/>
        <w:rPr>
          <w:rFonts w:asciiTheme="minorHAnsi" w:hAnsiTheme="minorHAnsi" w:cstheme="minorHAnsi"/>
        </w:rPr>
      </w:pPr>
      <w:r w:rsidRPr="00C25D4E">
        <w:rPr>
          <w:rFonts w:asciiTheme="minorHAnsi" w:hAnsiTheme="minorHAnsi" w:cstheme="minorHAnsi"/>
          <w:lang w:eastAsia="x-none"/>
        </w:rPr>
        <w:t>-</w:t>
      </w:r>
      <w:r w:rsidRPr="00C25D4E">
        <w:rPr>
          <w:rFonts w:asciiTheme="minorHAnsi" w:hAnsiTheme="minorHAnsi" w:cstheme="minorHAnsi"/>
          <w:sz w:val="14"/>
          <w:szCs w:val="14"/>
          <w:lang w:eastAsia="x-none"/>
        </w:rPr>
        <w:t xml:space="preserve">          </w:t>
      </w:r>
      <w:r w:rsidRPr="00C25D4E">
        <w:rPr>
          <w:rFonts w:asciiTheme="minorHAnsi" w:hAnsiTheme="minorHAnsi" w:cstheme="minorHAnsi"/>
          <w:lang w:eastAsia="x-none"/>
        </w:rPr>
        <w:t>funkciju upravljanja rizicima</w:t>
      </w:r>
      <w:r>
        <w:rPr>
          <w:rFonts w:asciiTheme="minorHAnsi" w:hAnsiTheme="minorHAnsi" w:cstheme="minorHAnsi"/>
          <w:lang w:eastAsia="x-none"/>
        </w:rPr>
        <w:t>,</w:t>
      </w:r>
    </w:p>
    <w:p w:rsidR="002B5EA8" w:rsidRPr="00C25D4E" w:rsidRDefault="002B5EA8" w:rsidP="002B5EA8">
      <w:pPr>
        <w:spacing w:before="240" w:after="120" w:line="276" w:lineRule="auto"/>
        <w:ind w:left="720" w:hanging="360"/>
        <w:jc w:val="both"/>
        <w:rPr>
          <w:rFonts w:asciiTheme="minorHAnsi" w:hAnsiTheme="minorHAnsi" w:cstheme="minorHAnsi"/>
        </w:rPr>
      </w:pPr>
      <w:r w:rsidRPr="00C25D4E">
        <w:rPr>
          <w:rFonts w:asciiTheme="minorHAnsi" w:hAnsiTheme="minorHAnsi" w:cstheme="minorHAnsi"/>
          <w:lang w:eastAsia="x-none"/>
        </w:rPr>
        <w:t>-</w:t>
      </w:r>
      <w:r w:rsidRPr="00C25D4E">
        <w:rPr>
          <w:rFonts w:asciiTheme="minorHAnsi" w:hAnsiTheme="minorHAnsi" w:cstheme="minorHAnsi"/>
          <w:sz w:val="14"/>
          <w:szCs w:val="14"/>
          <w:lang w:eastAsia="x-none"/>
        </w:rPr>
        <w:t xml:space="preserve">          </w:t>
      </w:r>
      <w:r w:rsidRPr="00C25D4E">
        <w:rPr>
          <w:rFonts w:asciiTheme="minorHAnsi" w:hAnsiTheme="minorHAnsi" w:cstheme="minorHAnsi"/>
          <w:lang w:eastAsia="x-none"/>
        </w:rPr>
        <w:t xml:space="preserve">funkciju unutarnje revizije i </w:t>
      </w:r>
    </w:p>
    <w:p w:rsidR="002B5EA8" w:rsidRPr="00C25D4E" w:rsidRDefault="002B5EA8" w:rsidP="002B5EA8">
      <w:pPr>
        <w:spacing w:before="240" w:after="120" w:line="276" w:lineRule="auto"/>
        <w:ind w:left="720" w:hanging="360"/>
        <w:jc w:val="both"/>
        <w:rPr>
          <w:rFonts w:asciiTheme="minorHAnsi" w:hAnsiTheme="minorHAnsi" w:cstheme="minorHAnsi"/>
        </w:rPr>
      </w:pPr>
      <w:r w:rsidRPr="00C25D4E">
        <w:rPr>
          <w:rFonts w:asciiTheme="minorHAnsi" w:hAnsiTheme="minorHAnsi" w:cstheme="minorHAnsi"/>
          <w:lang w:eastAsia="x-none"/>
        </w:rPr>
        <w:t>-</w:t>
      </w:r>
      <w:r w:rsidRPr="00C25D4E">
        <w:rPr>
          <w:rFonts w:asciiTheme="minorHAnsi" w:hAnsiTheme="minorHAnsi" w:cstheme="minorHAnsi"/>
          <w:sz w:val="14"/>
          <w:szCs w:val="14"/>
          <w:lang w:eastAsia="x-none"/>
        </w:rPr>
        <w:t xml:space="preserve">          </w:t>
      </w:r>
      <w:r w:rsidRPr="00C25D4E">
        <w:rPr>
          <w:rFonts w:asciiTheme="minorHAnsi" w:hAnsiTheme="minorHAnsi" w:cstheme="minorHAnsi"/>
          <w:lang w:eastAsia="x-none"/>
        </w:rPr>
        <w:t>aktuarsku funkciju.</w:t>
      </w:r>
    </w:p>
    <w:p w:rsidR="002B5EA8" w:rsidRPr="00C25D4E" w:rsidRDefault="002B5EA8" w:rsidP="003327E4">
      <w:pPr>
        <w:spacing w:before="240" w:after="120" w:line="276" w:lineRule="auto"/>
        <w:contextualSpacing/>
        <w:jc w:val="both"/>
        <w:rPr>
          <w:rFonts w:asciiTheme="minorHAnsi" w:hAnsiTheme="minorHAnsi" w:cstheme="minorHAnsi"/>
          <w:lang w:eastAsia="x-none"/>
        </w:rPr>
      </w:pPr>
      <w:r w:rsidRPr="00C25D4E">
        <w:rPr>
          <w:rFonts w:asciiTheme="minorHAnsi" w:hAnsiTheme="minorHAnsi" w:cstheme="minorHAnsi"/>
          <w:lang w:eastAsia="x-none"/>
        </w:rPr>
        <w:t>HKO ima uspostavljen odgovarajući sustav unutarnjih kontrola temeljen na internom propisu, Pravilniku o sustavu unutarnjih kontrola, čime je povećana vjerojatnost pravovremenog uočavanja prevara, doprinos smanjivanju neopravdanih troškova, smanjivanju zlouporaba i grešaka, sprečavanju neodgovarajućih aktivnosti te smanjenju rizika vezanih za usklađenost sa zakonodavnim okvirom. Društvo uspostavlja stalne i djelotvorne kontrole neovisne o poslovnim procesima i aktivnostima u kojima rizik nastaje odnosno koje prati i nadzire razmjerno svojoj veličini te vrsti, opsegu i složenosti poslovanja u skladu sa svojim profilom rizičnosti.</w:t>
      </w:r>
    </w:p>
    <w:p w:rsidR="002B5EA8" w:rsidRPr="00C25D4E" w:rsidRDefault="002B5EA8" w:rsidP="002B5EA8">
      <w:p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 xml:space="preserve">Pravni status, ustrojstvo i upravljanje u HKO te druga pitanja značajna za poslovanje uređuju se Statutom Društva te sukladno odredbama Zakona o trgovačkim društvima i Zakona o osiguranju. </w:t>
      </w:r>
    </w:p>
    <w:p w:rsidR="002B5EA8" w:rsidRPr="00C25D4E" w:rsidRDefault="002B5EA8" w:rsidP="002B5EA8">
      <w:p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Organi upravljanja Društva su Uprava, Nadzorni odbor i Glavna skupština. HKO vodi dvočlana Uprava koja odluke donosi u skladu sa Statutom Društva i Poslovnikom o radu Uprave. Sve odluke donose se temeljem principa dvostruke provjere („četiri oka“) uz odgovarajući sustav autorizacija.</w:t>
      </w:r>
    </w:p>
    <w:p w:rsidR="002B5EA8" w:rsidRPr="00C25D4E" w:rsidRDefault="002B5EA8" w:rsidP="002B5EA8">
      <w:pPr>
        <w:tabs>
          <w:tab w:val="left" w:pos="3836"/>
        </w:tabs>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HKO nije usvojio Kodeks korporativnog upravljanja, ali u svom poslovanju dobrovoljno primjenjuje načela Kodeksa korporativnog upravljanja, koji su izradile Hrvatska agencija za nadzor financijskih usluga i Zagrebačka burza d.d., u mjeri koliko je to primjereno veličini i stupnju razvoja Društva.</w:t>
      </w:r>
    </w:p>
    <w:p w:rsidR="002B5EA8" w:rsidRPr="00C25D4E" w:rsidRDefault="002B5EA8" w:rsidP="002B5EA8">
      <w:pPr>
        <w:tabs>
          <w:tab w:val="left" w:pos="3836"/>
        </w:tabs>
        <w:spacing w:before="240" w:after="120" w:line="276" w:lineRule="auto"/>
        <w:jc w:val="both"/>
        <w:rPr>
          <w:rFonts w:asciiTheme="minorHAnsi" w:hAnsiTheme="minorHAnsi" w:cstheme="minorHAnsi"/>
        </w:rPr>
      </w:pPr>
      <w:r w:rsidRPr="00C25D4E">
        <w:rPr>
          <w:rFonts w:asciiTheme="minorHAnsi" w:hAnsiTheme="minorHAnsi" w:cstheme="minorHAnsi"/>
          <w:lang w:eastAsia="x-none"/>
        </w:rPr>
        <w:t>Ova Izjava smatra se dijelom Godišnjeg izvješća Grupe HBOR za razdoblje od 1. siječnja do 31. prosinca 2018</w:t>
      </w:r>
      <w:r w:rsidRPr="00C25D4E">
        <w:rPr>
          <w:rFonts w:asciiTheme="minorHAnsi" w:hAnsiTheme="minorHAnsi" w:cstheme="minorHAnsi"/>
        </w:rPr>
        <w:t>.</w:t>
      </w:r>
    </w:p>
    <w:p w:rsidR="000C7E9A" w:rsidRDefault="000C7E9A" w:rsidP="002B5EA8">
      <w:pPr>
        <w:keepNext/>
        <w:tabs>
          <w:tab w:val="left" w:pos="-720"/>
        </w:tabs>
        <w:suppressAutoHyphens/>
        <w:spacing w:before="240" w:after="120" w:line="276" w:lineRule="auto"/>
        <w:jc w:val="center"/>
        <w:outlineLvl w:val="0"/>
        <w:rPr>
          <w:rFonts w:asciiTheme="minorHAnsi" w:hAnsiTheme="minorHAnsi" w:cstheme="minorHAnsi"/>
        </w:rPr>
      </w:pPr>
      <w:bookmarkStart w:id="7" w:name="_Toc506982558"/>
      <w:bookmarkStart w:id="8" w:name="_Toc3249202"/>
      <w:r>
        <w:rPr>
          <w:rFonts w:asciiTheme="minorHAnsi" w:hAnsiTheme="minorHAnsi" w:cstheme="minorHAnsi"/>
        </w:rPr>
        <w:br w:type="page"/>
      </w:r>
    </w:p>
    <w:p w:rsidR="002B5EA8" w:rsidRPr="00C25D4E" w:rsidRDefault="002B5EA8" w:rsidP="002B5EA8">
      <w:pPr>
        <w:keepNext/>
        <w:tabs>
          <w:tab w:val="left" w:pos="-720"/>
        </w:tabs>
        <w:suppressAutoHyphens/>
        <w:spacing w:before="240" w:after="120" w:line="276" w:lineRule="auto"/>
        <w:jc w:val="center"/>
        <w:outlineLvl w:val="0"/>
        <w:rPr>
          <w:rFonts w:asciiTheme="minorHAnsi" w:hAnsiTheme="minorHAnsi" w:cstheme="minorHAnsi"/>
          <w:b/>
          <w:spacing w:val="-3"/>
          <w:sz w:val="28"/>
          <w:szCs w:val="32"/>
          <w:lang w:eastAsia="x-none"/>
        </w:rPr>
      </w:pPr>
      <w:r w:rsidRPr="00C25D4E">
        <w:rPr>
          <w:rFonts w:asciiTheme="minorHAnsi" w:hAnsiTheme="minorHAnsi" w:cstheme="minorHAnsi"/>
          <w:b/>
          <w:spacing w:val="-3"/>
          <w:sz w:val="28"/>
          <w:szCs w:val="32"/>
          <w:lang w:eastAsia="x-none"/>
        </w:rPr>
        <w:t>OPIS POSLOVANJA</w:t>
      </w:r>
      <w:bookmarkEnd w:id="7"/>
      <w:bookmarkEnd w:id="8"/>
    </w:p>
    <w:p w:rsidR="002B5EA8" w:rsidRPr="00C25D4E" w:rsidRDefault="002B5EA8" w:rsidP="002B5EA8">
      <w:pPr>
        <w:keepNext/>
        <w:tabs>
          <w:tab w:val="left" w:pos="-720"/>
        </w:tabs>
        <w:suppressAutoHyphens/>
        <w:spacing w:before="240" w:after="120" w:line="276" w:lineRule="auto"/>
        <w:jc w:val="center"/>
        <w:outlineLvl w:val="0"/>
        <w:rPr>
          <w:rFonts w:asciiTheme="minorHAnsi" w:hAnsiTheme="minorHAnsi" w:cstheme="minorHAnsi"/>
          <w:b/>
          <w:spacing w:val="-3"/>
          <w:sz w:val="28"/>
          <w:szCs w:val="32"/>
          <w:lang w:eastAsia="x-none"/>
        </w:rPr>
      </w:pPr>
      <w:bookmarkStart w:id="9" w:name="_Toc3249203"/>
      <w:r w:rsidRPr="00C25D4E">
        <w:rPr>
          <w:rFonts w:asciiTheme="minorHAnsi" w:hAnsiTheme="minorHAnsi" w:cstheme="minorHAnsi"/>
          <w:b/>
          <w:spacing w:val="-3"/>
          <w:sz w:val="28"/>
          <w:szCs w:val="32"/>
          <w:lang w:eastAsia="x-none"/>
        </w:rPr>
        <w:t>GRUPE HRVATSKA BANKA ZA OBNOVU I RAZVITAK U 2018. GODINI</w:t>
      </w:r>
      <w:bookmarkEnd w:id="9"/>
    </w:p>
    <w:p w:rsidR="002B5EA8" w:rsidRPr="00C25D4E" w:rsidRDefault="002B5EA8" w:rsidP="002B5EA8">
      <w:pPr>
        <w:keepNext/>
        <w:tabs>
          <w:tab w:val="left" w:pos="-720"/>
        </w:tabs>
        <w:suppressAutoHyphens/>
        <w:spacing w:before="240" w:after="120" w:line="276" w:lineRule="auto"/>
        <w:jc w:val="center"/>
        <w:outlineLvl w:val="0"/>
        <w:rPr>
          <w:rFonts w:asciiTheme="minorHAnsi" w:hAnsiTheme="minorHAnsi" w:cstheme="minorHAnsi"/>
          <w:b/>
          <w:spacing w:val="-3"/>
          <w:szCs w:val="28"/>
          <w:lang w:eastAsia="x-none"/>
        </w:rPr>
      </w:pPr>
    </w:p>
    <w:p w:rsidR="002B5EA8" w:rsidRPr="00C25D4E" w:rsidRDefault="002B5EA8" w:rsidP="002B5EA8">
      <w:pPr>
        <w:keepNext/>
        <w:tabs>
          <w:tab w:val="left" w:pos="-720"/>
        </w:tabs>
        <w:suppressAutoHyphens/>
        <w:spacing w:before="240" w:after="120" w:line="276" w:lineRule="auto"/>
        <w:jc w:val="center"/>
        <w:outlineLvl w:val="0"/>
        <w:rPr>
          <w:rFonts w:asciiTheme="minorHAnsi" w:hAnsiTheme="minorHAnsi" w:cstheme="minorHAnsi"/>
          <w:b/>
          <w:spacing w:val="-3"/>
          <w:szCs w:val="28"/>
          <w:lang w:eastAsia="x-none"/>
        </w:rPr>
      </w:pPr>
      <w:bookmarkStart w:id="10" w:name="_Toc3249204"/>
      <w:r w:rsidRPr="00C25D4E">
        <w:rPr>
          <w:rFonts w:asciiTheme="minorHAnsi" w:hAnsiTheme="minorHAnsi" w:cstheme="minorHAnsi"/>
          <w:b/>
          <w:spacing w:val="-3"/>
          <w:szCs w:val="28"/>
          <w:lang w:eastAsia="x-none"/>
        </w:rPr>
        <w:t>POSLOVANJE HRVATSKE BANKE ZA OBNOVU I RAZVITAK</w:t>
      </w:r>
      <w:bookmarkEnd w:id="10"/>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r w:rsidRPr="00C25D4E">
        <w:rPr>
          <w:rFonts w:asciiTheme="minorHAnsi" w:hAnsiTheme="minorHAnsi" w:cstheme="minorHAnsi"/>
          <w:lang w:eastAsia="x-none"/>
        </w:rPr>
        <w:t xml:space="preserve">Osnovne značajke poslovanja HBOR-a tijekom 2018. godine bile su izraženiji zaokret prema poticanju poduzetnika na korištenje dostupnih sredstava EU fondova te uvođenje novih proizvoda za koje se pokazalo da nedostaju na tržištu. Godinu su stoga značajno obilježile aktivnosti na provedbi financijskih instrumenata iz izvora Europskih strukturnih i investicijskih fondova te pripreme za uvođenje novih načina financiranja. </w:t>
      </w: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r w:rsidRPr="00C25D4E">
        <w:rPr>
          <w:rFonts w:asciiTheme="minorHAnsi" w:hAnsiTheme="minorHAnsi" w:cstheme="minorHAnsi"/>
          <w:lang w:eastAsia="x-none"/>
        </w:rPr>
        <w:t xml:space="preserve">Nastavljeno je s razvojem i unapređenjem suradnje s financijskim posrednicima, prvenstveno s ciljem omogućavanja malim i srednjim poduzetnicima što lakšeg pristupa sredstvima (okvirni krediti s poslovnim bankama i leasing društvima), provođenjem mjera sniženja kamatnih stopa i naknada za obradu kreditnog zahtjeva te poboljšanjem uvjeta za ulaganje javnog sektora. </w:t>
      </w: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r w:rsidRPr="00C25D4E">
        <w:rPr>
          <w:rFonts w:asciiTheme="minorHAnsi" w:hAnsiTheme="minorHAnsi" w:cstheme="minorHAnsi"/>
          <w:lang w:eastAsia="x-none"/>
        </w:rPr>
        <w:t>Tijekom 2018. godine HBOR je kreditiranjem, izdavanjem garancija i osiguranjem izvoza podržao 2.650 projekata s ukupnim iznosom od 8,40 milijard</w:t>
      </w:r>
      <w:r>
        <w:rPr>
          <w:rFonts w:asciiTheme="minorHAnsi" w:hAnsiTheme="minorHAnsi" w:cstheme="minorHAnsi"/>
          <w:lang w:eastAsia="x-none"/>
        </w:rPr>
        <w:t>i</w:t>
      </w:r>
      <w:r w:rsidRPr="00C25D4E">
        <w:rPr>
          <w:rFonts w:asciiTheme="minorHAnsi" w:hAnsiTheme="minorHAnsi" w:cstheme="minorHAnsi"/>
          <w:lang w:eastAsia="x-none"/>
        </w:rPr>
        <w:t xml:space="preserve"> kuna što predstavlja 13 posto veći iznos od onog odobrenog tijekom 2017. godine. </w:t>
      </w: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p>
    <w:p w:rsidR="002B5EA8" w:rsidRPr="00C25D4E" w:rsidRDefault="002B5EA8" w:rsidP="002B5EA8">
      <w:pPr>
        <w:tabs>
          <w:tab w:val="left" w:pos="9072"/>
        </w:tabs>
        <w:spacing w:before="240" w:after="120" w:line="276" w:lineRule="auto"/>
        <w:ind w:right="4"/>
        <w:jc w:val="center"/>
        <w:rPr>
          <w:rFonts w:asciiTheme="minorHAnsi" w:hAnsiTheme="minorHAnsi" w:cstheme="minorHAnsi"/>
          <w:lang w:eastAsia="x-none"/>
        </w:rPr>
      </w:pPr>
      <w:r w:rsidRPr="00C25D4E">
        <w:rPr>
          <w:rFonts w:asciiTheme="minorHAnsi" w:hAnsiTheme="minorHAnsi" w:cstheme="minorHAnsi"/>
          <w:noProof/>
        </w:rPr>
        <w:drawing>
          <wp:inline distT="0" distB="0" distL="0" distR="0" wp14:anchorId="242644CB" wp14:editId="6B29EABF">
            <wp:extent cx="5172075" cy="3087370"/>
            <wp:effectExtent l="0" t="0" r="9525" b="17780"/>
            <wp:docPr id="67" name="Chart 67">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r w:rsidRPr="00C25D4E">
        <w:rPr>
          <w:rFonts w:asciiTheme="minorHAnsi" w:hAnsiTheme="minorHAnsi" w:cstheme="minorHAnsi"/>
          <w:lang w:eastAsia="x-none"/>
        </w:rPr>
        <w:t>Najveći dio odobrenja odnosi se na kreditiranje – u izvještajnoj godini kreditima je podržano 1.970 projekata s iznosom većim od 5,61 milijardi kuna što predstavlja povećanje od 9 posto u odnosu na prethodnu godinu. Ovo povećanje velikim je dijelom rezultat kreditiranja projekata sufinanciranih iz EU fondova za koje je tijekom 2018. godine odobreno 859 milijuna kuna, odnosno 5 puta veći iznos od onoga odobrenog u 2017. godini.</w:t>
      </w: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r w:rsidRPr="00C25D4E">
        <w:rPr>
          <w:rFonts w:asciiTheme="minorHAnsi" w:hAnsiTheme="minorHAnsi" w:cstheme="minorHAnsi"/>
          <w:noProof/>
        </w:rPr>
        <w:drawing>
          <wp:inline distT="0" distB="0" distL="0" distR="0" wp14:anchorId="421F9AC5" wp14:editId="51815B4C">
            <wp:extent cx="6033770" cy="2835275"/>
            <wp:effectExtent l="0" t="0" r="5080" b="3175"/>
            <wp:docPr id="68" name="Chart 68">
              <a:extLst xmlns:a="http://schemas.openxmlformats.org/drawingml/2006/main">
                <a:ext uri="{FF2B5EF4-FFF2-40B4-BE49-F238E27FC236}">
                  <a16:creationId xmlns:a16="http://schemas.microsoft.com/office/drawing/2014/main" id="{938B1263-8970-427A-81D1-C5F408BE89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r w:rsidRPr="00C25D4E">
        <w:rPr>
          <w:rFonts w:asciiTheme="minorHAnsi" w:hAnsiTheme="minorHAnsi" w:cstheme="minorHAnsi"/>
          <w:lang w:eastAsia="x-none"/>
        </w:rPr>
        <w:t xml:space="preserve">Tijekom 2018. godine od ukupno odobrenih kredita 86 posto bilo je namijenjeno za investicije, a 14 posto za obrtna sredstva. </w:t>
      </w: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r w:rsidRPr="00C25D4E">
        <w:rPr>
          <w:rFonts w:asciiTheme="minorHAnsi" w:hAnsiTheme="minorHAnsi" w:cstheme="minorHAnsi"/>
          <w:lang w:eastAsia="x-none"/>
        </w:rPr>
        <w:t xml:space="preserve">Osim kreditiranja, značajan utjecaj na volumen poslovanja imali su i poslovi osiguranja izvoza putem kojih je osigurano 654 izvoznih poslova u iznosu od 2,69 milijarde kuna. </w:t>
      </w:r>
    </w:p>
    <w:p w:rsidR="002B5EA8" w:rsidRPr="00C25D4E" w:rsidRDefault="002B5EA8" w:rsidP="002B5EA8">
      <w:pPr>
        <w:tabs>
          <w:tab w:val="left" w:pos="9072"/>
        </w:tabs>
        <w:spacing w:before="240" w:after="120" w:line="276" w:lineRule="auto"/>
        <w:ind w:right="4"/>
        <w:jc w:val="both"/>
        <w:rPr>
          <w:rFonts w:asciiTheme="minorHAnsi" w:hAnsiTheme="minorHAnsi" w:cstheme="minorHAnsi"/>
          <w:lang w:eastAsia="x-none"/>
        </w:rPr>
      </w:pPr>
    </w:p>
    <w:p w:rsidR="002B5EA8" w:rsidRPr="00C25D4E" w:rsidRDefault="002B5EA8" w:rsidP="002B5EA8">
      <w:pPr>
        <w:spacing w:before="240" w:after="120" w:line="276" w:lineRule="auto"/>
        <w:jc w:val="both"/>
        <w:outlineLvl w:val="1"/>
        <w:rPr>
          <w:rFonts w:asciiTheme="minorHAnsi" w:hAnsiTheme="minorHAnsi" w:cstheme="minorHAnsi"/>
          <w:b/>
          <w:lang w:eastAsia="x-none"/>
        </w:rPr>
      </w:pPr>
      <w:bookmarkStart w:id="11" w:name="_Toc3249205"/>
      <w:r w:rsidRPr="00C25D4E">
        <w:rPr>
          <w:rFonts w:asciiTheme="minorHAnsi" w:hAnsiTheme="minorHAnsi" w:cstheme="minorHAnsi"/>
          <w:b/>
          <w:lang w:eastAsia="x-none"/>
        </w:rPr>
        <w:t xml:space="preserve">MALI I </w:t>
      </w:r>
      <w:r w:rsidRPr="00862B6F">
        <w:rPr>
          <w:rFonts w:asciiTheme="minorHAnsi" w:hAnsiTheme="minorHAnsi" w:cstheme="minorHAnsi"/>
          <w:b/>
          <w:lang w:eastAsia="x-none"/>
        </w:rPr>
        <w:t xml:space="preserve">SREDNJI </w:t>
      </w:r>
      <w:r w:rsidRPr="00C25D4E">
        <w:rPr>
          <w:rFonts w:asciiTheme="minorHAnsi" w:hAnsiTheme="minorHAnsi" w:cstheme="minorHAnsi"/>
          <w:b/>
          <w:lang w:eastAsia="x-none"/>
        </w:rPr>
        <w:t>PODUZETNICI – NAJBROJNIJI KORISNICI KREDITA</w:t>
      </w:r>
      <w:bookmarkEnd w:id="11"/>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Najbrojniji korisnici HBOR-ovih kredita u 2018. godini bili su mali i srednji poduzetnici kojima je odobreno 1.853 kredita, odnosno 94 posto ukupnog broja odobrenih kredita u iznosu od 1,96 milijarde kuna.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Mali i srednji poduzetnici tijekom 2018. godine koristili su sredstva po 24 kreditna programa koji se provode izravno ili putem poslovnih banaka i leasing društava. Zbog jednostavne i efikasne procedure odobrenja okvirnih kredita tijekom 2018. godine najveći broj projekata podržan je putem okvirnih kredita leasing društvima i poslovnim bankama - 1.577 projekata u iznosu od  672,3 milijuna kuna. Suradnja s leasing društvima omogućila je da se samo putem tog distribucijskog kanala odobri 1.211 ugovora o financijskom leasingu vrijednosti veće od 281,56 milijuna kuna.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U srpnju 2018. godine s Osječko-baranjskom županijom sklopljen je Ugovor o poslovnoj suradnji na temelju kojeg će HBOR (ili poslovne banke) odobravati kredite po programima Poduzetništvo mladih i Žene poduzetnice, pri čemu će Županija subvencionirati 2 postotna boda kamatne stope kroz cijelo vrijeme trajanja kredita. Početkom 2019. godine ova je mjera proširena i na program kreditiranja razvoja malog i srednjeg poduzetništva te poduzetnika početnika. </w:t>
      </w:r>
    </w:p>
    <w:p w:rsidR="002B5EA8" w:rsidRPr="00C25D4E" w:rsidRDefault="002B5EA8" w:rsidP="002B5EA8">
      <w:pPr>
        <w:spacing w:before="240" w:after="120" w:line="276" w:lineRule="auto"/>
        <w:rPr>
          <w:rFonts w:asciiTheme="minorHAnsi" w:hAnsiTheme="minorHAnsi" w:cstheme="minorHAnsi"/>
          <w:b/>
          <w:i/>
        </w:rPr>
      </w:pPr>
      <w:r w:rsidRPr="00C25D4E">
        <w:rPr>
          <w:rFonts w:asciiTheme="minorHAnsi" w:hAnsiTheme="minorHAnsi" w:cstheme="minorHAnsi"/>
          <w:b/>
          <w:i/>
        </w:rPr>
        <w:t>ESIF Krediti za rast i razvoj</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Tijekom 2018. godine mali i srednji poduzetnici počeli su koristiti sredstva „ESIF Kredita za rast i razvoj“. Ovaj financijski instrument omogućava malim i srednjim poduzetnicima povoljna sredstva za dugoročne investicijske kredite s rokovima otplate do 12 godina, odnosno do 17 godina za sektor turizma. Krediti se odobravaju putem poslovnih banaka na način da se iz ovog financijskog instrumenta financira 50 posto kredita po kamatnoj stopi od 0</w:t>
      </w:r>
      <w:r>
        <w:rPr>
          <w:rFonts w:asciiTheme="minorHAnsi" w:hAnsiTheme="minorHAnsi" w:cstheme="minorHAnsi"/>
        </w:rPr>
        <w:t xml:space="preserve"> </w:t>
      </w:r>
      <w:r w:rsidRPr="00C25D4E">
        <w:rPr>
          <w:rFonts w:asciiTheme="minorHAnsi" w:hAnsiTheme="minorHAnsi" w:cstheme="minorHAnsi"/>
        </w:rPr>
        <w:t>posto, a 50 posto iz izvora poslovnih banaka po tržišnoj kamatnoj stopi koju utvrđuje poslovna banka. Ovakav način financiranja znači da je u konačnici kamatna stopa za poduzetnike upola niža od one koju bi ostvarili bez korištenja sredstava ESIF-a. Kroz suradnju s poslovnim bankama i razgranatu mrežu njihovih poslovnica, financijski instrument dostupan je na cijelom teritoriju Republike Hrvatske. Tijekom 2018. godine za investicije malih i srednjih poduzetnika iz ovog instrumenta odobreno je 173,76 milijuna kuna kredita, odnosno ukupno 347,52 milijuna kuna kada se pribroje sredstva banaka.</w:t>
      </w:r>
    </w:p>
    <w:p w:rsidR="002B5EA8" w:rsidRPr="00C25D4E" w:rsidRDefault="002B5EA8" w:rsidP="002B5EA8">
      <w:pPr>
        <w:spacing w:before="240" w:after="120" w:line="276" w:lineRule="auto"/>
        <w:rPr>
          <w:rFonts w:asciiTheme="minorHAnsi" w:hAnsiTheme="minorHAnsi" w:cstheme="minorHAnsi"/>
          <w:b/>
          <w:i/>
        </w:rPr>
      </w:pPr>
      <w:r w:rsidRPr="00C25D4E">
        <w:rPr>
          <w:rFonts w:asciiTheme="minorHAnsi" w:hAnsiTheme="minorHAnsi" w:cstheme="minorHAnsi"/>
          <w:b/>
          <w:i/>
        </w:rPr>
        <w:t>Investicijski krediti za ruralni razvoj</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2018. godin</w:t>
      </w:r>
      <w:r>
        <w:rPr>
          <w:rFonts w:asciiTheme="minorHAnsi" w:hAnsiTheme="minorHAnsi" w:cstheme="minorHAnsi"/>
        </w:rPr>
        <w:t>i</w:t>
      </w:r>
      <w:r w:rsidRPr="00C25D4E">
        <w:rPr>
          <w:rFonts w:asciiTheme="minorHAnsi" w:hAnsiTheme="minorHAnsi" w:cstheme="minorHAnsi"/>
        </w:rPr>
        <w:t xml:space="preserve"> potpisan je Sporazum o financiranju između Ministarstva poljoprivrede, Agencije za plaćanja u poljoprivredi, ribarstvu i ruralnom razvoju i Hrvatske banke za obnovu i razvitak za provedbu financijskog instrumenta „Investicijski krediti za ruralni razvoj“. Cilj ovog financijskog instrumenta je poduprijeti ulaganja prihvatljivih krajnjih primatelja iz poljoprivrednog, prerađivačkog i šumarskog sektora. Krediti će se odobravati preko poslovnih banaka koje će HBOR, putem javne nabave,</w:t>
      </w:r>
      <w:r>
        <w:rPr>
          <w:rFonts w:asciiTheme="minorHAnsi" w:hAnsiTheme="minorHAnsi" w:cstheme="minorHAnsi"/>
        </w:rPr>
        <w:t xml:space="preserve"> </w:t>
      </w:r>
      <w:r w:rsidRPr="00C25D4E">
        <w:rPr>
          <w:rFonts w:asciiTheme="minorHAnsi" w:hAnsiTheme="minorHAnsi" w:cstheme="minorHAnsi"/>
        </w:rPr>
        <w:t>odabrati za provedbu ovog financijskog instrumenta. Krediti će biti dostupni na tržištu u drugoj polovici 2019. godine.</w:t>
      </w:r>
      <w:r>
        <w:rPr>
          <w:rFonts w:asciiTheme="minorHAnsi" w:hAnsiTheme="minorHAnsi" w:cstheme="minorHAnsi"/>
        </w:rPr>
        <w:t xml:space="preserve"> </w:t>
      </w:r>
      <w:bookmarkStart w:id="12" w:name="_Hlk3903316"/>
      <w:r>
        <w:rPr>
          <w:rFonts w:asciiTheme="minorHAnsi" w:hAnsiTheme="minorHAnsi" w:cstheme="minorHAnsi"/>
        </w:rPr>
        <w:t xml:space="preserve">Kroz ovaj financijski instrument krajnjim korisnicima bit će na raspolaganju 510 milijuna kuna kreditnih sredstava. </w:t>
      </w:r>
    </w:p>
    <w:bookmarkEnd w:id="12"/>
    <w:p w:rsidR="002B5EA8" w:rsidRPr="00C25D4E" w:rsidRDefault="002B5EA8" w:rsidP="002B5EA8">
      <w:pPr>
        <w:spacing w:before="240" w:after="120" w:line="276" w:lineRule="auto"/>
        <w:rPr>
          <w:rFonts w:asciiTheme="minorHAnsi" w:hAnsiTheme="minorHAnsi" w:cstheme="minorHAnsi"/>
          <w:b/>
          <w:i/>
        </w:rPr>
      </w:pPr>
      <w:r w:rsidRPr="00C25D4E">
        <w:rPr>
          <w:rFonts w:asciiTheme="minorHAnsi" w:hAnsiTheme="minorHAnsi" w:cstheme="minorHAnsi"/>
          <w:b/>
          <w:i/>
        </w:rPr>
        <w:t xml:space="preserve">Ograničeno portfeljno jamstvo iz Europskih strukturnih i investicijskih fondova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Kao nastavak dugogodišnje poslovne suradnje HAMAG BICRO-a i HBOR-a, u okviru koje su podržani i realizirani brojni projekti malih i srednjih poduzetnika, u listopadu 2018. godine potpisan je i Sporazum o suradnji za provedbu financijskog instrumenta Ograničeno portfeljno jamstvo iz Europskih strukturnih i investicijskih fondova. Predmetni Sporazum predstavlja okvir za nastavak suradnje s ciljem daljnje podrške malim i srednjim poduzetnicima putem HBOR-ovih kreditnih sredstava i jamstava HAMAG BICRO-a.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Također, HAMAG BICRO je u posljednjem kvartalu 2018. godine pokrenuo proces realizacije programa pojedinačnih ESIF jamstava za ruralni razvoj pozivom poslovni</w:t>
      </w:r>
      <w:r>
        <w:rPr>
          <w:rFonts w:asciiTheme="minorHAnsi" w:hAnsiTheme="minorHAnsi" w:cstheme="minorHAnsi"/>
        </w:rPr>
        <w:t>m</w:t>
      </w:r>
      <w:r w:rsidRPr="00C25D4E">
        <w:rPr>
          <w:rFonts w:asciiTheme="minorHAnsi" w:hAnsiTheme="minorHAnsi" w:cstheme="minorHAnsi"/>
        </w:rPr>
        <w:t xml:space="preserve"> banka</w:t>
      </w:r>
      <w:r>
        <w:rPr>
          <w:rFonts w:asciiTheme="minorHAnsi" w:hAnsiTheme="minorHAnsi" w:cstheme="minorHAnsi"/>
        </w:rPr>
        <w:t>ma</w:t>
      </w:r>
      <w:r w:rsidRPr="00C25D4E">
        <w:rPr>
          <w:rFonts w:asciiTheme="minorHAnsi" w:hAnsiTheme="minorHAnsi" w:cstheme="minorHAnsi"/>
        </w:rPr>
        <w:t xml:space="preserve"> na iskaz interesa za sudjelovanje u programu. HBOR je, zajedno s još 13 poslovnih banaka, zadovoljio postavljene kriterije </w:t>
      </w:r>
      <w:r w:rsidRPr="00DD667D">
        <w:rPr>
          <w:rFonts w:asciiTheme="minorHAnsi" w:hAnsiTheme="minorHAnsi" w:cstheme="minorHAnsi"/>
        </w:rPr>
        <w:t xml:space="preserve">te </w:t>
      </w:r>
      <w:r w:rsidRPr="00B45673">
        <w:rPr>
          <w:rFonts w:asciiTheme="minorHAnsi" w:hAnsiTheme="minorHAnsi" w:cstheme="minorHAnsi"/>
        </w:rPr>
        <w:t>je</w:t>
      </w:r>
      <w:r w:rsidRPr="00DD667D">
        <w:rPr>
          <w:rFonts w:asciiTheme="minorHAnsi" w:hAnsiTheme="minorHAnsi" w:cstheme="minorHAnsi"/>
        </w:rPr>
        <w:t xml:space="preserve"> u prvom kvartalu 2019. godine zaključen</w:t>
      </w:r>
      <w:r>
        <w:rPr>
          <w:rFonts w:asciiTheme="minorHAnsi" w:hAnsiTheme="minorHAnsi" w:cstheme="minorHAnsi"/>
        </w:rPr>
        <w:t xml:space="preserve"> </w:t>
      </w:r>
      <w:r w:rsidRPr="00DD667D">
        <w:rPr>
          <w:rFonts w:asciiTheme="minorHAnsi" w:hAnsiTheme="minorHAnsi" w:cstheme="minorHAnsi"/>
        </w:rPr>
        <w:t>Sporazum</w:t>
      </w:r>
      <w:r w:rsidRPr="00C25D4E">
        <w:rPr>
          <w:rFonts w:asciiTheme="minorHAnsi" w:hAnsiTheme="minorHAnsi" w:cstheme="minorHAnsi"/>
        </w:rPr>
        <w:t xml:space="preserve"> o poslovnoj suradnji čiji je cilj poduzetnicima u poljoprivredi dodatno olakšati pristup povoljnim sredstvima financiranja. </w:t>
      </w:r>
    </w:p>
    <w:p w:rsidR="000C7E9A" w:rsidRDefault="000C7E9A" w:rsidP="002B5EA8">
      <w:pPr>
        <w:spacing w:before="240" w:after="120" w:line="276" w:lineRule="auto"/>
        <w:rPr>
          <w:rFonts w:asciiTheme="minorHAnsi" w:hAnsiTheme="minorHAnsi" w:cstheme="minorHAnsi"/>
          <w:b/>
          <w:i/>
        </w:rPr>
      </w:pPr>
      <w:r>
        <w:rPr>
          <w:rFonts w:asciiTheme="minorHAnsi" w:hAnsiTheme="minorHAnsi" w:cstheme="minorHAnsi"/>
          <w:b/>
          <w:i/>
        </w:rPr>
        <w:br w:type="page"/>
      </w:r>
    </w:p>
    <w:p w:rsidR="002B5EA8" w:rsidRPr="00C25D4E" w:rsidRDefault="002B5EA8" w:rsidP="002B5EA8">
      <w:pPr>
        <w:spacing w:before="240" w:after="120" w:line="276" w:lineRule="auto"/>
        <w:rPr>
          <w:rFonts w:asciiTheme="minorHAnsi" w:hAnsiTheme="minorHAnsi" w:cstheme="minorHAnsi"/>
          <w:b/>
          <w:i/>
        </w:rPr>
      </w:pPr>
      <w:r w:rsidRPr="00C25D4E">
        <w:rPr>
          <w:rFonts w:asciiTheme="minorHAnsi" w:hAnsiTheme="minorHAnsi" w:cstheme="minorHAnsi"/>
          <w:b/>
          <w:i/>
        </w:rPr>
        <w:t>Snižavanje kamatnih stopa za zapošljavanje mladih i inovativne projekte</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Tijekom 2018. godine mali i srednji poduzetnici imali su mogućnost koristiti snižene kamatne stope u okviru Inicijative za zapošljavanje mladih (Jobs for Youth Initiative) Europske investicijske banke (European Investment Bank – EIB) kroz koju se financiraju ulaganja malih i srednjih poduzetnika u obrazovanje, vještine i zapošljavanje mladih ljudi. Osnovna značajka ove inicijative je snižavanje kamatne stope za 0,20 postotna boda za subjekte koji zapošljavaju ili osposobljavaju mlade osobe. Također, sniženje kamatne stope bilo je omogućeno i u okviru InnovFin Programa u suradnji s Europskim investicijskim fondom (European Investment Fund – EIF).</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Tijekom 2018. godine mjera sniženja kamatne stope za zapošljavanje mladih proširena je i na srednje kapitalizirana poduzeća, a u okviru programa InnovFin ukinuta su ograničenja pojedinih djelatnosti te iznosa kredita </w:t>
      </w:r>
      <w:r>
        <w:rPr>
          <w:rFonts w:asciiTheme="minorHAnsi" w:hAnsiTheme="minorHAnsi" w:cstheme="minorHAnsi"/>
        </w:rPr>
        <w:t>i</w:t>
      </w:r>
      <w:r w:rsidRPr="00C25D4E">
        <w:rPr>
          <w:rFonts w:asciiTheme="minorHAnsi" w:hAnsiTheme="minorHAnsi" w:cstheme="minorHAnsi"/>
        </w:rPr>
        <w:t xml:space="preserve"> omogućen </w:t>
      </w:r>
      <w:r>
        <w:rPr>
          <w:rFonts w:asciiTheme="minorHAnsi" w:hAnsiTheme="minorHAnsi" w:cstheme="minorHAnsi"/>
        </w:rPr>
        <w:t xml:space="preserve">je </w:t>
      </w:r>
      <w:r w:rsidRPr="00C25D4E">
        <w:rPr>
          <w:rFonts w:asciiTheme="minorHAnsi" w:hAnsiTheme="minorHAnsi" w:cstheme="minorHAnsi"/>
        </w:rPr>
        <w:t xml:space="preserve">poček dulji od 3 godine. </w:t>
      </w:r>
    </w:p>
    <w:p w:rsidR="002B5EA8" w:rsidRPr="00C25D4E" w:rsidRDefault="002B5EA8" w:rsidP="002B5EA8">
      <w:pPr>
        <w:spacing w:before="240" w:after="120" w:line="276" w:lineRule="auto"/>
        <w:jc w:val="both"/>
        <w:outlineLvl w:val="1"/>
        <w:rPr>
          <w:rFonts w:asciiTheme="minorHAnsi" w:hAnsiTheme="minorHAnsi" w:cstheme="minorHAnsi"/>
          <w:lang w:eastAsia="x-none"/>
        </w:rPr>
      </w:pPr>
      <w:bookmarkStart w:id="13" w:name="_Toc507064056"/>
      <w:bookmarkStart w:id="14" w:name="_Toc3249206"/>
      <w:r w:rsidRPr="00C25D4E">
        <w:rPr>
          <w:rFonts w:asciiTheme="minorHAnsi" w:hAnsiTheme="minorHAnsi" w:cstheme="minorHAnsi"/>
          <w:b/>
          <w:lang w:eastAsia="x-none"/>
        </w:rPr>
        <w:t xml:space="preserve">INFRASTRUKTURA - </w:t>
      </w:r>
      <w:r w:rsidRPr="001B2362">
        <w:rPr>
          <w:rFonts w:asciiTheme="minorHAnsi" w:hAnsiTheme="minorHAnsi" w:cstheme="minorHAnsi"/>
          <w:b/>
          <w:lang w:eastAsia="x-none"/>
        </w:rPr>
        <w:t>ODOBRENO VIŠE OD 1,3 MILIJARDE KUNA</w:t>
      </w:r>
      <w:bookmarkEnd w:id="13"/>
      <w:bookmarkEnd w:id="14"/>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 xml:space="preserve">Tijekom 2018. godine HBOR je kreditirao 66 projekata ulaganja u infrastrukturu, energetsku učinkovitost, zaštitu okoliša i obnovljive izvore energije u iznosu većem od 1,34 milijarde kuna. </w:t>
      </w:r>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 xml:space="preserve">Ulaganja u poslovnu i turističku infrastrukturu stvaraju preduvjete za kvalitetniji razvoj pojedinog područja i daljnja ulaganja privatnog sektora te stvaranje novih radnih mjesta, a jedinice lokalne i </w:t>
      </w:r>
      <w:r>
        <w:rPr>
          <w:rFonts w:asciiTheme="minorHAnsi" w:hAnsiTheme="minorHAnsi" w:cstheme="minorHAnsi"/>
          <w:lang w:eastAsia="x-none"/>
        </w:rPr>
        <w:t>područne (</w:t>
      </w:r>
      <w:r w:rsidRPr="00C25D4E">
        <w:rPr>
          <w:rFonts w:asciiTheme="minorHAnsi" w:hAnsiTheme="minorHAnsi" w:cstheme="minorHAnsi"/>
          <w:lang w:eastAsia="x-none"/>
        </w:rPr>
        <w:t>regionalne</w:t>
      </w:r>
      <w:r>
        <w:rPr>
          <w:rFonts w:asciiTheme="minorHAnsi" w:hAnsiTheme="minorHAnsi" w:cstheme="minorHAnsi"/>
          <w:lang w:eastAsia="x-none"/>
        </w:rPr>
        <w:t>)</w:t>
      </w:r>
      <w:r w:rsidRPr="00C25D4E">
        <w:rPr>
          <w:rFonts w:asciiTheme="minorHAnsi" w:hAnsiTheme="minorHAnsi" w:cstheme="minorHAnsi"/>
          <w:lang w:eastAsia="x-none"/>
        </w:rPr>
        <w:t xml:space="preserve"> samouprave</w:t>
      </w:r>
      <w:r>
        <w:rPr>
          <w:rFonts w:asciiTheme="minorHAnsi" w:hAnsiTheme="minorHAnsi" w:cstheme="minorHAnsi"/>
          <w:lang w:eastAsia="x-none"/>
        </w:rPr>
        <w:t xml:space="preserve"> (</w:t>
      </w:r>
      <w:r w:rsidRPr="00C25D4E">
        <w:rPr>
          <w:rFonts w:asciiTheme="minorHAnsi" w:hAnsiTheme="minorHAnsi" w:cstheme="minorHAnsi"/>
          <w:lang w:eastAsia="x-none"/>
        </w:rPr>
        <w:t>JLP(R)S</w:t>
      </w:r>
      <w:r>
        <w:rPr>
          <w:rFonts w:asciiTheme="minorHAnsi" w:hAnsiTheme="minorHAnsi" w:cstheme="minorHAnsi"/>
          <w:lang w:eastAsia="x-none"/>
        </w:rPr>
        <w:t>)</w:t>
      </w:r>
      <w:r w:rsidRPr="00C25D4E">
        <w:rPr>
          <w:rFonts w:asciiTheme="minorHAnsi" w:hAnsiTheme="minorHAnsi" w:cstheme="minorHAnsi"/>
          <w:lang w:eastAsia="x-none"/>
        </w:rPr>
        <w:t xml:space="preserve"> ključne su u povlačenju sredstava iz EU fondova. </w:t>
      </w:r>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 xml:space="preserve">S ciljem poticanja ovakvih ulaganja HBOR je u 2018. godini za korisnike kredita koji su JLP(R)S-ovi, agencije i ustanove u njihovom većinskom vlasništvu i/ili većinskom vlasništvu Republike Hrvatske snizio kamatnu stopu s 2,5 na 2 ili 1,75 posto ovisno o području na kojem se provodi projekt. Za ove korisnike nastavljena je i mjera obustave naplate naknade za rezervaciju sredstava. </w:t>
      </w:r>
    </w:p>
    <w:p w:rsidR="002B5EA8" w:rsidRPr="00C25D4E" w:rsidRDefault="002B5EA8" w:rsidP="002B5EA8">
      <w:pPr>
        <w:spacing w:before="240" w:after="120" w:line="276" w:lineRule="auto"/>
        <w:rPr>
          <w:rFonts w:asciiTheme="minorHAnsi" w:hAnsiTheme="minorHAnsi" w:cstheme="minorHAnsi"/>
        </w:rPr>
      </w:pPr>
      <w:r w:rsidRPr="00C25D4E">
        <w:rPr>
          <w:rFonts w:asciiTheme="minorHAnsi" w:hAnsiTheme="minorHAnsi" w:cstheme="minorHAnsi"/>
          <w:lang w:eastAsia="x-none"/>
        </w:rPr>
        <w:t xml:space="preserve">Tijekom 2018. godine javni sektor koristio je i sredstva financijskih instrumenata: </w:t>
      </w:r>
      <w:r w:rsidRPr="00C25D4E">
        <w:rPr>
          <w:rFonts w:asciiTheme="minorHAnsi" w:hAnsiTheme="minorHAnsi" w:cstheme="minorHAnsi"/>
        </w:rPr>
        <w:t xml:space="preserve">„ESIF Krediti za energetsku učinkovitost“ i „ESIF Krediti za javnu rasvjetu“. </w:t>
      </w:r>
    </w:p>
    <w:p w:rsidR="002B5EA8" w:rsidRPr="00C25D4E" w:rsidRDefault="002B5EA8" w:rsidP="002B5EA8">
      <w:pPr>
        <w:spacing w:before="240" w:after="120" w:line="276" w:lineRule="auto"/>
        <w:jc w:val="both"/>
        <w:rPr>
          <w:rFonts w:asciiTheme="minorHAnsi" w:hAnsiTheme="minorHAnsi" w:cstheme="minorHAnsi"/>
          <w:b/>
          <w:i/>
        </w:rPr>
      </w:pPr>
      <w:r w:rsidRPr="00C25D4E">
        <w:rPr>
          <w:rFonts w:asciiTheme="minorHAnsi" w:hAnsiTheme="minorHAnsi" w:cstheme="minorHAnsi"/>
          <w:b/>
          <w:i/>
        </w:rPr>
        <w:t>ESIF Krediti za energetsku učinkovitost</w:t>
      </w:r>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rPr>
        <w:t>„</w:t>
      </w:r>
      <w:r w:rsidRPr="00C25D4E">
        <w:rPr>
          <w:rFonts w:asciiTheme="minorHAnsi" w:hAnsiTheme="minorHAnsi" w:cstheme="minorHAnsi"/>
          <w:lang w:eastAsia="x-none"/>
        </w:rPr>
        <w:t xml:space="preserve">ESIF Krediti za energetsku učinkovitost u zgradama javnog sektora“ financijski je instrument koji omogućava iznimno povoljno financiranje ulaganja u energetsku učinkovitost te poticanje korištenja obnovljivih izvora energije u zgradama javnog sektora radi postizanja energetskih ušteda koje će rezultirati smanjenjem potrošnje energije za grijanje/hlađenje na godišnjoj razini od najmanje 50 posto. Kredite odobrava izravno HBOR na rok do 14 godina po iznimno povoljnim kamatnim stopama od 0,1, 0,25 ili 0,5 posto godišnje ovisno o stupnju razvijenosti područja na kojemu se projekt provodi te bez uobičajenih bankarskih naknada. Sufinanciraju se projekti koji su dobili Odluku o financiranju od strane Ministarstva graditeljstva i prostornoga uređenja za natječaje za bespovratna sredstva. </w:t>
      </w:r>
    </w:p>
    <w:p w:rsidR="000C7E9A" w:rsidRDefault="000C7E9A" w:rsidP="002B5EA8">
      <w:pPr>
        <w:spacing w:before="240" w:after="120" w:line="276" w:lineRule="auto"/>
        <w:jc w:val="both"/>
        <w:rPr>
          <w:rFonts w:asciiTheme="minorHAnsi" w:hAnsiTheme="minorHAnsi" w:cstheme="minorHAnsi"/>
          <w:b/>
          <w:i/>
        </w:rPr>
      </w:pPr>
      <w:r>
        <w:rPr>
          <w:rFonts w:asciiTheme="minorHAnsi" w:hAnsiTheme="minorHAnsi" w:cstheme="minorHAnsi"/>
          <w:b/>
          <w:i/>
        </w:rPr>
        <w:br w:type="page"/>
      </w:r>
    </w:p>
    <w:p w:rsidR="002B5EA8" w:rsidRPr="00C25D4E" w:rsidRDefault="002B5EA8" w:rsidP="002B5EA8">
      <w:pPr>
        <w:spacing w:before="240" w:after="120" w:line="276" w:lineRule="auto"/>
        <w:jc w:val="both"/>
        <w:rPr>
          <w:rFonts w:asciiTheme="minorHAnsi" w:hAnsiTheme="minorHAnsi" w:cstheme="minorHAnsi"/>
          <w:b/>
          <w:i/>
        </w:rPr>
      </w:pPr>
      <w:r w:rsidRPr="00C25D4E">
        <w:rPr>
          <w:rFonts w:asciiTheme="minorHAnsi" w:hAnsiTheme="minorHAnsi" w:cstheme="minorHAnsi"/>
          <w:b/>
          <w:i/>
        </w:rPr>
        <w:t>ESIF Krediti za javnu rasvjetu</w:t>
      </w:r>
    </w:p>
    <w:p w:rsidR="002B5EA8" w:rsidRPr="00C25D4E" w:rsidRDefault="002B5EA8" w:rsidP="003327E4">
      <w:pPr>
        <w:spacing w:before="120" w:after="120" w:line="276" w:lineRule="auto"/>
        <w:jc w:val="both"/>
        <w:rPr>
          <w:rFonts w:asciiTheme="minorHAnsi" w:hAnsiTheme="minorHAnsi" w:cstheme="minorHAnsi"/>
        </w:rPr>
      </w:pPr>
      <w:r w:rsidRPr="00C25D4E">
        <w:rPr>
          <w:rFonts w:asciiTheme="minorHAnsi" w:hAnsiTheme="minorHAnsi" w:cstheme="minorHAnsi"/>
        </w:rPr>
        <w:t>„ESIF Krediti za javnu rasvjetu“ financijski je instrument uveden s ciljem kreditiranja ulaganja u energetske uštede sustava javne rasvjete provedbom mjera energetske obnove postojećih sustava. Prihvatljiva za financiranje su ulaganja koja rezultiraju uštedom energije od minimalno 50 posto u odnosu na postojeće stanje.</w:t>
      </w:r>
    </w:p>
    <w:p w:rsidR="002B5EA8" w:rsidRPr="00C25D4E" w:rsidRDefault="002B5EA8" w:rsidP="003327E4">
      <w:pPr>
        <w:spacing w:before="120" w:after="120" w:line="276" w:lineRule="auto"/>
        <w:jc w:val="both"/>
        <w:rPr>
          <w:rFonts w:asciiTheme="minorHAnsi" w:hAnsiTheme="minorHAnsi" w:cstheme="minorHAnsi"/>
          <w:lang w:eastAsia="x-none"/>
        </w:rPr>
      </w:pPr>
      <w:r w:rsidRPr="00C25D4E">
        <w:rPr>
          <w:rFonts w:asciiTheme="minorHAnsi" w:hAnsiTheme="minorHAnsi" w:cstheme="minorHAnsi"/>
          <w:lang w:eastAsia="x-none"/>
        </w:rPr>
        <w:t xml:space="preserve">Kredite odobrava izravno HBOR na rok do 10 godina po iznimno povoljnim kamatnim stopama od 0,1, 0,25 ili 0,5 posto </w:t>
      </w:r>
      <w:r w:rsidRPr="00C25D4E">
        <w:rPr>
          <w:rFonts w:asciiTheme="minorHAnsi" w:hAnsiTheme="minorHAnsi" w:cstheme="minorHAnsi"/>
        </w:rPr>
        <w:t>godišnje</w:t>
      </w:r>
      <w:r w:rsidRPr="00C25D4E">
        <w:rPr>
          <w:rFonts w:asciiTheme="minorHAnsi" w:hAnsiTheme="minorHAnsi" w:cstheme="minorHAnsi"/>
          <w:lang w:eastAsia="x-none"/>
        </w:rPr>
        <w:t xml:space="preserve"> ovisno o stupnju razvijenosti područja na kojemu se projekt provodi te bez uobičajenih bankarskih naknada.</w:t>
      </w:r>
    </w:p>
    <w:p w:rsidR="002B5EA8" w:rsidRPr="001B2362" w:rsidRDefault="002B5EA8" w:rsidP="002B5EA8">
      <w:pPr>
        <w:keepNext/>
        <w:spacing w:before="240" w:after="120" w:line="276" w:lineRule="auto"/>
        <w:outlineLvl w:val="1"/>
        <w:rPr>
          <w:rFonts w:asciiTheme="minorHAnsi" w:hAnsiTheme="minorHAnsi" w:cstheme="minorHAnsi"/>
          <w:b/>
          <w:lang w:eastAsia="x-none"/>
        </w:rPr>
      </w:pPr>
      <w:bookmarkStart w:id="15" w:name="_Toc3249207"/>
      <w:r w:rsidRPr="00C25D4E">
        <w:rPr>
          <w:rFonts w:asciiTheme="minorHAnsi" w:hAnsiTheme="minorHAnsi" w:cstheme="minorHAnsi"/>
          <w:b/>
          <w:lang w:eastAsia="x-none"/>
        </w:rPr>
        <w:t xml:space="preserve">KREDITIRANJE PROJEKATA SUFINANCIRANIH IZ EU FONDOVA – </w:t>
      </w:r>
      <w:r w:rsidRPr="001B2362">
        <w:rPr>
          <w:rFonts w:asciiTheme="minorHAnsi" w:hAnsiTheme="minorHAnsi" w:cstheme="minorHAnsi"/>
          <w:b/>
          <w:lang w:eastAsia="x-none"/>
        </w:rPr>
        <w:t>SNIŽENE KAMATNE STOPE ZA SVE SEKTORE</w:t>
      </w:r>
      <w:bookmarkEnd w:id="15"/>
    </w:p>
    <w:p w:rsidR="002B5EA8" w:rsidRPr="00C25D4E" w:rsidRDefault="002B5EA8" w:rsidP="003327E4">
      <w:pPr>
        <w:spacing w:before="120" w:after="120" w:line="276" w:lineRule="auto"/>
        <w:jc w:val="both"/>
        <w:rPr>
          <w:rFonts w:asciiTheme="minorHAnsi" w:hAnsiTheme="minorHAnsi" w:cstheme="minorHAnsi"/>
        </w:rPr>
      </w:pPr>
      <w:r w:rsidRPr="00C25D4E">
        <w:rPr>
          <w:rFonts w:asciiTheme="minorHAnsi" w:hAnsiTheme="minorHAnsi" w:cstheme="minorHAnsi"/>
        </w:rPr>
        <w:t xml:space="preserve">Osim implementacije spomenutih financijskih instrumenata, nastavljeno je snižavanje kamatnih stopa za korisnike kredita po Programu kreditiranja EU projekata privatnog sektora, Programu kreditiranja EU projekata ruralnog razvoja, ribarstva i vinske omotnice te po Programu kreditiranja EU projekata javnog sektora. </w:t>
      </w:r>
    </w:p>
    <w:p w:rsidR="002B5EA8" w:rsidRPr="00C25D4E" w:rsidRDefault="002B5EA8" w:rsidP="003327E4">
      <w:pPr>
        <w:spacing w:before="120" w:after="120" w:line="276" w:lineRule="auto"/>
        <w:jc w:val="both"/>
        <w:rPr>
          <w:rFonts w:asciiTheme="minorHAnsi" w:hAnsiTheme="minorHAnsi" w:cstheme="minorHAnsi"/>
        </w:rPr>
      </w:pPr>
      <w:r w:rsidRPr="00C25D4E">
        <w:rPr>
          <w:rFonts w:asciiTheme="minorHAnsi" w:hAnsiTheme="minorHAnsi" w:cstheme="minorHAnsi"/>
        </w:rPr>
        <w:t xml:space="preserve">Sniženje je omogućilo financiranje EU projekata privatnog sektora i EU projekata ruralnog razvoja, ribarstva i vinske omotnice po kamatnoj stopi već od 1,7 posto za rokove otplate do 10 godina, odnosno 1,9 posto za duže rokove. EU projekti javnog sektora kreditirani su po spomenutoj sniženoj kamatnoj stopi od 1,75 ili 2 posto ovisno o području na kojem se provodi ulaganje. </w:t>
      </w:r>
    </w:p>
    <w:p w:rsidR="002B5EA8" w:rsidRPr="00C25D4E" w:rsidRDefault="002B5EA8" w:rsidP="003327E4">
      <w:pPr>
        <w:spacing w:before="120" w:after="120" w:line="276" w:lineRule="auto"/>
        <w:jc w:val="both"/>
        <w:rPr>
          <w:rFonts w:asciiTheme="minorHAnsi" w:hAnsiTheme="minorHAnsi" w:cstheme="minorHAnsi"/>
        </w:rPr>
      </w:pPr>
      <w:r w:rsidRPr="00C25D4E">
        <w:rPr>
          <w:rFonts w:asciiTheme="minorHAnsi" w:hAnsiTheme="minorHAnsi" w:cstheme="minorHAnsi"/>
        </w:rPr>
        <w:t xml:space="preserve">Svi ovi kreditni programi omogućavaju zatvaranje financijske konstrukcije cjelokupne investicije. Kreditiranje se provodi izravno i putem poslovnih banaka. </w:t>
      </w:r>
    </w:p>
    <w:p w:rsidR="002B5EA8" w:rsidRPr="00C25D4E" w:rsidRDefault="002B5EA8" w:rsidP="003327E4">
      <w:pPr>
        <w:spacing w:before="120" w:after="120" w:line="276" w:lineRule="auto"/>
        <w:jc w:val="both"/>
        <w:rPr>
          <w:rFonts w:asciiTheme="minorHAnsi" w:hAnsiTheme="minorHAnsi" w:cstheme="minorHAnsi"/>
          <w:b/>
        </w:rPr>
      </w:pPr>
      <w:r w:rsidRPr="00C25D4E">
        <w:rPr>
          <w:rFonts w:asciiTheme="minorHAnsi" w:hAnsiTheme="minorHAnsi" w:cstheme="minorHAnsi"/>
        </w:rPr>
        <w:t>Bespovratna sredstva se u određenim slučajevima mogu koristiti za umanjenje glavnice kredita, a kod izravnog kreditiranja HBOR može priznati do 70 posto bespovratnih sredstva za vlastito učešće korisnika kredita u investiciji.</w:t>
      </w:r>
      <w:r w:rsidRPr="00C25D4E" w:rsidDel="00DF5E9B">
        <w:rPr>
          <w:rFonts w:asciiTheme="minorHAnsi" w:hAnsiTheme="minorHAnsi" w:cstheme="minorHAnsi"/>
        </w:rPr>
        <w:t xml:space="preserve"> </w:t>
      </w:r>
      <w:r w:rsidRPr="00C25D4E">
        <w:rPr>
          <w:rFonts w:asciiTheme="minorHAnsi" w:hAnsiTheme="minorHAnsi" w:cstheme="minorHAnsi"/>
        </w:rPr>
        <w:t>Uz navedeno, HBOR korisnicima bespovratnih sredstava iz izvora EU fondova nudi i jamstva za povrat predujma i to za korisnike koje izravno kreditira, a koji planiraju koristiti EU predujam.</w:t>
      </w:r>
    </w:p>
    <w:p w:rsidR="002B5EA8" w:rsidRPr="00C25D4E" w:rsidRDefault="002B5EA8" w:rsidP="002B5EA8">
      <w:pPr>
        <w:spacing w:before="240" w:after="120" w:line="276" w:lineRule="auto"/>
        <w:jc w:val="both"/>
        <w:outlineLvl w:val="1"/>
        <w:rPr>
          <w:rFonts w:asciiTheme="minorHAnsi" w:hAnsiTheme="minorHAnsi" w:cstheme="minorHAnsi"/>
          <w:b/>
        </w:rPr>
      </w:pPr>
      <w:bookmarkStart w:id="16" w:name="_Toc3249208"/>
      <w:r w:rsidRPr="00C25D4E">
        <w:rPr>
          <w:rFonts w:asciiTheme="minorHAnsi" w:hAnsiTheme="minorHAnsi" w:cstheme="minorHAnsi"/>
          <w:b/>
        </w:rPr>
        <w:t>ULAGANJE U KAPITAL</w:t>
      </w:r>
      <w:bookmarkEnd w:id="16"/>
      <w:r w:rsidRPr="00C25D4E">
        <w:rPr>
          <w:rFonts w:asciiTheme="minorHAnsi" w:hAnsiTheme="minorHAnsi" w:cstheme="minorHAnsi"/>
          <w:b/>
        </w:rPr>
        <w:t xml:space="preserve"> </w:t>
      </w:r>
    </w:p>
    <w:p w:rsidR="002B5EA8" w:rsidRPr="00C25D4E" w:rsidRDefault="002B5EA8" w:rsidP="002B5EA8">
      <w:pPr>
        <w:spacing w:before="240" w:after="120" w:line="276" w:lineRule="auto"/>
        <w:rPr>
          <w:rFonts w:asciiTheme="minorHAnsi" w:hAnsiTheme="minorHAnsi" w:cstheme="minorHAnsi"/>
          <w:b/>
        </w:rPr>
      </w:pPr>
      <w:r w:rsidRPr="00C25D4E">
        <w:rPr>
          <w:rFonts w:asciiTheme="minorHAnsi" w:hAnsiTheme="minorHAnsi" w:cstheme="minorHAnsi"/>
          <w:b/>
          <w:bCs/>
          <w:iCs/>
        </w:rPr>
        <w:t>ESIF Fond rizičnog kapitala – za inovativna poduzeća u početnim fazama razvoja</w:t>
      </w:r>
    </w:p>
    <w:p w:rsidR="002B5EA8" w:rsidRPr="00C25D4E" w:rsidRDefault="002B5EA8" w:rsidP="003327E4">
      <w:pPr>
        <w:spacing w:before="120" w:after="120" w:line="276" w:lineRule="auto"/>
        <w:jc w:val="both"/>
        <w:rPr>
          <w:rFonts w:asciiTheme="minorHAnsi" w:hAnsiTheme="minorHAnsi" w:cstheme="minorHAnsi"/>
          <w:bCs/>
        </w:rPr>
      </w:pPr>
      <w:r w:rsidRPr="00C25D4E">
        <w:rPr>
          <w:rFonts w:asciiTheme="minorHAnsi" w:hAnsiTheme="minorHAnsi" w:cstheme="minorHAnsi"/>
        </w:rPr>
        <w:t>Sredstva za ovaj financijski instrument iznose 35 milijuna eura i financirat će se iz Europskih strukturnih</w:t>
      </w:r>
      <w:r>
        <w:rPr>
          <w:rFonts w:asciiTheme="minorHAnsi" w:hAnsiTheme="minorHAnsi" w:cstheme="minorHAnsi"/>
        </w:rPr>
        <w:t xml:space="preserve"> i</w:t>
      </w:r>
      <w:r w:rsidRPr="00C25D4E">
        <w:rPr>
          <w:rFonts w:asciiTheme="minorHAnsi" w:hAnsiTheme="minorHAnsi" w:cstheme="minorHAnsi"/>
        </w:rPr>
        <w:t xml:space="preserve"> investicijskih fondova. Rizični kapital namijenjen je prvenstveno za investicije usmjerene u </w:t>
      </w:r>
      <w:r w:rsidRPr="00C25D4E">
        <w:rPr>
          <w:rFonts w:asciiTheme="minorHAnsi" w:hAnsiTheme="minorHAnsi" w:cstheme="minorHAnsi"/>
          <w:bCs/>
        </w:rPr>
        <w:t>tehnološke sektore s visokim potencijalom rasta, a c</w:t>
      </w:r>
      <w:r w:rsidRPr="00C25D4E">
        <w:rPr>
          <w:rFonts w:asciiTheme="minorHAnsi" w:hAnsiTheme="minorHAnsi" w:cstheme="minorHAnsi"/>
        </w:rPr>
        <w:t xml:space="preserve">iljna skupina poduzeća uključuje inovativna poduzeća u njihovim početnim fazama razvoja (seed i </w:t>
      </w:r>
      <w:r w:rsidRPr="00C25D4E">
        <w:rPr>
          <w:rFonts w:asciiTheme="minorHAnsi" w:hAnsiTheme="minorHAnsi" w:cstheme="minorHAnsi"/>
          <w:iCs/>
        </w:rPr>
        <w:t>start-up</w:t>
      </w:r>
      <w:r w:rsidRPr="00C25D4E">
        <w:rPr>
          <w:rFonts w:asciiTheme="minorHAnsi" w:hAnsiTheme="minorHAnsi" w:cstheme="minorHAnsi"/>
        </w:rPr>
        <w:t xml:space="preserve">). </w:t>
      </w:r>
    </w:p>
    <w:p w:rsidR="00043BBB" w:rsidRDefault="002B5EA8" w:rsidP="00043BBB">
      <w:pPr>
        <w:spacing w:before="120" w:after="120" w:line="276" w:lineRule="auto"/>
        <w:jc w:val="both"/>
        <w:rPr>
          <w:rFonts w:asciiTheme="minorHAnsi" w:hAnsiTheme="minorHAnsi" w:cstheme="minorHAnsi"/>
          <w:bCs/>
        </w:rPr>
      </w:pPr>
      <w:r w:rsidRPr="00C25D4E">
        <w:rPr>
          <w:rFonts w:asciiTheme="minorHAnsi" w:hAnsiTheme="minorHAnsi" w:cstheme="minorHAnsi"/>
        </w:rPr>
        <w:t>HBOR je izrazio namjeru investiranja iznosa do 7,5 milijuna eura u Venture Capital fond koji će se osnovati u 2019. godini temeljem Sporazuma o financiranju</w:t>
      </w:r>
      <w:r w:rsidRPr="00C25D4E">
        <w:rPr>
          <w:rFonts w:asciiTheme="minorHAnsi" w:hAnsiTheme="minorHAnsi" w:cstheme="minorHAnsi"/>
          <w:bCs/>
        </w:rPr>
        <w:t xml:space="preserve"> potpisanog </w:t>
      </w:r>
      <w:r w:rsidRPr="00C25D4E">
        <w:rPr>
          <w:rFonts w:asciiTheme="minorHAnsi" w:hAnsiTheme="minorHAnsi" w:cstheme="minorHAnsi"/>
        </w:rPr>
        <w:t xml:space="preserve">između Ministarstva regionalnoga razvoja i fondova Europske unije (Ministarstvo) i </w:t>
      </w:r>
      <w:r w:rsidRPr="00C25D4E">
        <w:rPr>
          <w:rFonts w:asciiTheme="minorHAnsi" w:hAnsiTheme="minorHAnsi" w:cstheme="minorHAnsi"/>
          <w:bCs/>
        </w:rPr>
        <w:t xml:space="preserve">Europskog investicijskog fonda (EIF). </w:t>
      </w:r>
    </w:p>
    <w:p w:rsidR="00043BBB" w:rsidRDefault="00043BBB" w:rsidP="00043BBB">
      <w:pPr>
        <w:spacing w:before="120" w:after="120" w:line="276" w:lineRule="auto"/>
        <w:jc w:val="both"/>
        <w:rPr>
          <w:rFonts w:asciiTheme="minorHAnsi" w:hAnsiTheme="minorHAnsi" w:cstheme="minorHAnsi"/>
        </w:rPr>
      </w:pPr>
    </w:p>
    <w:p w:rsidR="00043BBB" w:rsidRDefault="00043BBB" w:rsidP="00043BBB">
      <w:pPr>
        <w:spacing w:before="120" w:after="120" w:line="276" w:lineRule="auto"/>
        <w:jc w:val="both"/>
        <w:rPr>
          <w:rFonts w:asciiTheme="minorHAnsi" w:hAnsiTheme="minorHAnsi" w:cstheme="minorHAnsi"/>
        </w:rPr>
      </w:pPr>
    </w:p>
    <w:p w:rsidR="002B5EA8" w:rsidRPr="00C25D4E" w:rsidRDefault="002B5EA8" w:rsidP="003327E4">
      <w:pPr>
        <w:spacing w:before="120" w:after="120" w:line="276" w:lineRule="auto"/>
        <w:jc w:val="both"/>
        <w:rPr>
          <w:rFonts w:asciiTheme="minorHAnsi" w:hAnsiTheme="minorHAnsi" w:cstheme="minorHAnsi"/>
        </w:rPr>
      </w:pPr>
      <w:r w:rsidRPr="00C25D4E">
        <w:rPr>
          <w:rFonts w:asciiTheme="minorHAnsi" w:hAnsiTheme="minorHAnsi" w:cstheme="minorHAnsi"/>
        </w:rPr>
        <w:t xml:space="preserve">Sporazumom o financiranju Ministarstvo je delegiralo EIF-u provedbu </w:t>
      </w:r>
      <w:r w:rsidRPr="00C25D4E">
        <w:rPr>
          <w:rFonts w:asciiTheme="minorHAnsi" w:hAnsiTheme="minorHAnsi" w:cstheme="minorHAnsi"/>
          <w:bCs/>
        </w:rPr>
        <w:t xml:space="preserve">financijskog instrumenta </w:t>
      </w:r>
      <w:r w:rsidRPr="00C25D4E">
        <w:rPr>
          <w:rFonts w:asciiTheme="minorHAnsi" w:hAnsiTheme="minorHAnsi" w:cstheme="minorHAnsi"/>
          <w:bCs/>
          <w:iCs/>
        </w:rPr>
        <w:t>ESIF Fond rizičnog kapitala</w:t>
      </w:r>
      <w:r w:rsidRPr="00C25D4E">
        <w:rPr>
          <w:rFonts w:asciiTheme="minorHAnsi" w:hAnsiTheme="minorHAnsi" w:cstheme="minorHAnsi"/>
        </w:rPr>
        <w:t xml:space="preserve"> te poslove odabira i nadzora rada upravitelja </w:t>
      </w:r>
      <w:r w:rsidRPr="00C25D4E">
        <w:rPr>
          <w:rFonts w:asciiTheme="minorHAnsi" w:hAnsiTheme="minorHAnsi" w:cstheme="minorHAnsi"/>
          <w:iCs/>
        </w:rPr>
        <w:t xml:space="preserve">ESIF Fonda rizičnog kapitala. EIF je proveo proces odabira društva za upravljanje fondom koji će, </w:t>
      </w:r>
      <w:r w:rsidRPr="00C25D4E">
        <w:rPr>
          <w:rFonts w:asciiTheme="minorHAnsi" w:hAnsiTheme="minorHAnsi" w:cstheme="minorHAnsi"/>
        </w:rPr>
        <w:t>uz EU sredstva, prikupljati i privatni kapital te ulagati u poduzetnike početnike.</w:t>
      </w:r>
    </w:p>
    <w:p w:rsidR="002B5EA8" w:rsidRPr="00C25D4E" w:rsidRDefault="002B5EA8" w:rsidP="002B5EA8">
      <w:pPr>
        <w:pStyle w:val="NormalWeb"/>
        <w:spacing w:before="240" w:beforeAutospacing="0" w:after="120" w:afterAutospacing="0" w:line="276" w:lineRule="auto"/>
        <w:jc w:val="both"/>
        <w:rPr>
          <w:rFonts w:asciiTheme="minorHAnsi" w:hAnsiTheme="minorHAnsi" w:cstheme="minorHAnsi"/>
          <w:b/>
        </w:rPr>
      </w:pPr>
      <w:r w:rsidRPr="00C25D4E">
        <w:rPr>
          <w:rFonts w:asciiTheme="minorHAnsi" w:hAnsiTheme="minorHAnsi" w:cstheme="minorHAnsi"/>
          <w:b/>
        </w:rPr>
        <w:t>NPI Equity platforma</w:t>
      </w:r>
    </w:p>
    <w:p w:rsidR="002B5EA8" w:rsidRPr="00C25D4E" w:rsidRDefault="002B5EA8" w:rsidP="002B5EA8">
      <w:pPr>
        <w:pStyle w:val="NormalWeb"/>
        <w:spacing w:before="240" w:beforeAutospacing="0" w:after="120" w:afterAutospacing="0" w:line="276" w:lineRule="auto"/>
        <w:jc w:val="both"/>
        <w:rPr>
          <w:rFonts w:asciiTheme="minorHAnsi" w:hAnsiTheme="minorHAnsi" w:cstheme="minorHAnsi"/>
        </w:rPr>
      </w:pPr>
      <w:r w:rsidRPr="00C25D4E">
        <w:rPr>
          <w:rFonts w:asciiTheme="minorHAnsi" w:hAnsiTheme="minorHAnsi" w:cstheme="minorHAnsi"/>
        </w:rPr>
        <w:t xml:space="preserve">Europska komisija je u suradnji s EIF-om i nacionalnim razvojnim institucijama (engl. </w:t>
      </w:r>
      <w:r w:rsidRPr="00C25D4E">
        <w:rPr>
          <w:rFonts w:asciiTheme="minorHAnsi" w:hAnsiTheme="minorHAnsi" w:cstheme="minorHAnsi"/>
          <w:lang w:val="en-GB"/>
        </w:rPr>
        <w:t>National Promotional Institutions - NPI</w:t>
      </w:r>
      <w:r w:rsidRPr="00C25D4E">
        <w:rPr>
          <w:rFonts w:asciiTheme="minorHAnsi" w:hAnsiTheme="minorHAnsi" w:cstheme="minorHAnsi"/>
        </w:rPr>
        <w:t>) u svrhu razvoja tržišta ulaganja u fondove rizičnog kapitala pokrenula NPI equity platformu. HBOR sudjeluje u radu dvaju tijela platforme</w:t>
      </w:r>
      <w:r>
        <w:rPr>
          <w:rFonts w:asciiTheme="minorHAnsi" w:hAnsiTheme="minorHAnsi" w:cstheme="minorHAnsi"/>
        </w:rPr>
        <w:t xml:space="preserve"> </w:t>
      </w:r>
      <w:r w:rsidRPr="00C25D4E">
        <w:rPr>
          <w:rFonts w:asciiTheme="minorHAnsi" w:hAnsiTheme="minorHAnsi" w:cstheme="minorHAnsi"/>
        </w:rPr>
        <w:t>– Generalnog foruma i Konzultativnog foruma čiji rad je usmjeren na razmjenu iskustava i znanja u svrhu jačanja industrije rizičnog kapitala.</w:t>
      </w:r>
    </w:p>
    <w:p w:rsidR="002B5EA8" w:rsidRPr="00C25D4E" w:rsidRDefault="002B5EA8" w:rsidP="002B5EA8">
      <w:pPr>
        <w:pStyle w:val="NormalWeb"/>
        <w:spacing w:before="240" w:beforeAutospacing="0" w:after="120" w:afterAutospacing="0" w:line="276" w:lineRule="auto"/>
        <w:jc w:val="both"/>
        <w:rPr>
          <w:rFonts w:asciiTheme="minorHAnsi" w:hAnsiTheme="minorHAnsi" w:cstheme="minorHAnsi"/>
        </w:rPr>
      </w:pPr>
      <w:r w:rsidRPr="00C25D4E">
        <w:rPr>
          <w:rFonts w:asciiTheme="minorHAnsi" w:hAnsiTheme="minorHAnsi" w:cstheme="minorHAnsi"/>
        </w:rPr>
        <w:t>Nastavno na Memorandum o razumijevanju koji je potpisan između EIF-a i HBOR-a, tijekom 2018. godine na</w:t>
      </w:r>
      <w:r>
        <w:rPr>
          <w:rFonts w:asciiTheme="minorHAnsi" w:hAnsiTheme="minorHAnsi" w:cstheme="minorHAnsi"/>
        </w:rPr>
        <w:t>s</w:t>
      </w:r>
      <w:r w:rsidRPr="00C25D4E">
        <w:rPr>
          <w:rFonts w:asciiTheme="minorHAnsi" w:hAnsiTheme="minorHAnsi" w:cstheme="minorHAnsi"/>
        </w:rPr>
        <w:t>tavljeni su pregovori koji su rezultirali potpisivanjem ugovora kojim je početkom 2019. godine pokrenut Croatian Growth Investment Programme - CROGIP. CROGIP je inicijativa koja će potaknuti kapitalna ulaganja u mala i srednja te srednje kapitalizirana poduzeća u ukupnom iznosu od najmanje 70 milijuna eura. Potpisani ugovor preduvjet je za zajedničko ulaganje sredstava EIF-a i HBOR-a, od kojih će svaki uložiti po 35 milijuna eura u fondove rizičnog kapitala. Fondovima će upravljati društva koja odabere EIF sukladno svojim metodologijama. HBOR ne sudjeluje u odabiru društava, ali će EIF uvažiti postavljene investicijske parametre od strane HBOR-a. HBOR-u su prihvatljivi svi fondovi koje EIF ocijeni prihvatljivim, a koji u svojoj investicijskoj strategiji imaju utvrđeno da će najmanje 70</w:t>
      </w:r>
      <w:r>
        <w:rPr>
          <w:rFonts w:asciiTheme="minorHAnsi" w:hAnsiTheme="minorHAnsi" w:cstheme="minorHAnsi"/>
        </w:rPr>
        <w:t xml:space="preserve"> posto</w:t>
      </w:r>
      <w:r w:rsidRPr="00C25D4E">
        <w:rPr>
          <w:rFonts w:asciiTheme="minorHAnsi" w:hAnsiTheme="minorHAnsi" w:cstheme="minorHAnsi"/>
        </w:rPr>
        <w:t xml:space="preserve"> ukupnih ulaganja fonda uložiti u društva koja su osnovana u Hrvatskoj i koja najveći dio poslovanja obavljaju u Hrvatskoj i/ili koja će planiranim ulaganjima započeti dugoročno poslovanje u Hrvatskoj pri tome zapošljavajući značajan broj radnika iz Hrvatske.  </w:t>
      </w:r>
    </w:p>
    <w:p w:rsidR="002B5EA8" w:rsidRPr="00C25D4E" w:rsidRDefault="002B5EA8" w:rsidP="002B5EA8">
      <w:pPr>
        <w:pStyle w:val="Heading2"/>
        <w:spacing w:before="240" w:after="120" w:line="276" w:lineRule="auto"/>
        <w:jc w:val="left"/>
        <w:rPr>
          <w:rFonts w:asciiTheme="minorHAnsi" w:hAnsiTheme="minorHAnsi" w:cstheme="minorHAnsi"/>
        </w:rPr>
      </w:pPr>
      <w:bookmarkStart w:id="17" w:name="_Toc3249209"/>
      <w:bookmarkStart w:id="18" w:name="_Toc255898372"/>
      <w:r w:rsidRPr="00C25D4E">
        <w:rPr>
          <w:rFonts w:asciiTheme="minorHAnsi" w:hAnsiTheme="minorHAnsi" w:cstheme="minorHAnsi"/>
        </w:rPr>
        <w:t>HRVATSKI IZVOZ PODRŽAN IZNOSOM OD 5,63 MILIJARDI KUNA</w:t>
      </w:r>
      <w:bookmarkEnd w:id="17"/>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Provođenjem programa poticanja izvoza HBOR nastoji doprinijeti povećanju konkurentnosti i vrijednosti hrvatskog izvoza te poboljšati prepoznatljivost i kvalitetu hrvatskih proizvoda i usluga na svjetskom tržištu.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okviru zadaće poticanja izvoza, HBOR putem programa kreditiranja, izdavanja činidbenih garancija po nalogu izvoznika i osiguranja kredita, činidbenih garancija i izvoznih potraživanja prati izvoznike u svim fazama izvoza, počevši od pregovaranja pa do konačne naplate ostvarenog izvoza. HBOR je, kao hrvatska izvozna banka i izvozno-kreditna agencija, razvio sustav financijske potpore izvoznicima kakve imaju i druge izvozne banke i izvozno-kreditne agencije kako bi hrvatski izvoznici mogli ravnopravno konkurirati na međunarodnom tržištu.</w:t>
      </w:r>
    </w:p>
    <w:p w:rsidR="000C7E9A" w:rsidRDefault="000C7E9A" w:rsidP="002B5EA8">
      <w:pPr>
        <w:spacing w:before="240" w:after="120" w:line="276" w:lineRule="auto"/>
        <w:jc w:val="both"/>
        <w:rPr>
          <w:rFonts w:asciiTheme="minorHAnsi" w:hAnsiTheme="minorHAnsi" w:cstheme="minorHAnsi"/>
        </w:rPr>
      </w:pPr>
      <w:r>
        <w:rPr>
          <w:rFonts w:asciiTheme="minorHAnsi" w:hAnsiTheme="minorHAnsi" w:cstheme="minorHAnsi"/>
        </w:rPr>
        <w:br w:type="page"/>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Uz programe namijenjene isključivo izvoznim poslovima, HBOR izvoznike prati i kratkoročnim i dugoročnim kreditnim linijama uz povoljne kamatne stope. Tako su izvoznicima na raspolaganju investicijski krediti namijenjeni npr. proširenju i modernizaciji proizvodnje, izgradnji novih pogona, ali i različiti krediti za obrtna sredstva koji nisu nužno vezani isključivo za izvozni posao, već je korištenje tih sredstava namijenjeno povećanju konkurentnosti poduzetnika, što je i preduvjet za ostvarivanje uspješnog izlaska na inozemno tržište.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Hrvatske izvoznike HBOR je tijekom 2018. godine podržao sredstvima u ukupnom iznosu od 5,63 milijardi kuna: izvoznicima je po svim programima odobreno ukupno 293 kredita u iznosu od 2,88 milijarde kuna, kroz police osiguranja izvoza osiguran je izvozni promet u vrijednosti 2,69 milijarde kuna i odobreno 15 izvoznih bankarskih garancija po nalogu izvoznika u iznosu od 57,70 milijuna kuna. </w:t>
      </w:r>
    </w:p>
    <w:p w:rsidR="002B5EA8" w:rsidRPr="00C25D4E" w:rsidRDefault="002B5EA8" w:rsidP="002B5EA8">
      <w:pPr>
        <w:pStyle w:val="Heading3"/>
        <w:rPr>
          <w:rFonts w:asciiTheme="minorHAnsi" w:hAnsiTheme="minorHAnsi" w:cstheme="minorHAnsi"/>
          <w:bCs w:val="0"/>
          <w:lang w:eastAsia="x-none"/>
        </w:rPr>
      </w:pPr>
      <w:bookmarkStart w:id="19" w:name="_Toc3249210"/>
      <w:r w:rsidRPr="00C25D4E">
        <w:rPr>
          <w:rFonts w:asciiTheme="minorHAnsi" w:hAnsiTheme="minorHAnsi" w:cstheme="minorHAnsi"/>
          <w:bCs w:val="0"/>
          <w:lang w:eastAsia="x-none"/>
        </w:rPr>
        <w:t>POSLOVI OSIGURANJA IZVOZA</w:t>
      </w:r>
      <w:bookmarkEnd w:id="19"/>
      <w:r w:rsidRPr="00C25D4E">
        <w:rPr>
          <w:rFonts w:asciiTheme="minorHAnsi" w:hAnsiTheme="minorHAnsi" w:cstheme="minorHAnsi"/>
          <w:bCs w:val="0"/>
          <w:lang w:eastAsia="x-none"/>
        </w:rPr>
        <w:t xml:space="preserve">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Poslovi osiguranja i reosiguranja izvoza obavljaju se kao mandatni posao u HBOR-u.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HBOR je u 2018. godini obilježio punih 20 godina od početka obavljanja poslova osiguranja izvoza, što pokazuje da je opravdao svoju ulogu na financijskom tržištu u Republici Hrvatskoj i pokazao se kao pouzdan partner hrvatskim gospodarstvenicima koji posluju s partnerima u inozemstvu.</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HBOR je važna podrška gospodarstvenicima koji već izvoze, ali i malim poduzetnicima koji se tek spremaju u izvozni poduhvat. Osim s poduzetnicima, HBOR surađuje vrlo usko i s bankama, kojima polica osiguranja izdana od HBOR-a služi kao kolateral za plasmane. Plasmani koje odobravaju banke, a HBOR ih osigurava, mogu biti odobreni izvoznicima ili njihovim kupcima u inozemstvu, čime se omogućava financiranje proizvodnje i prodaja robe ili usluga.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Kroz programe namijenjene za izvoznike HBOR preuzima dio rizika neplaćanja iz izvoznih potraživanja. Kroz programe za banke koje prate izvoznike omogućen je prijenos dijela rizika nevraćanja kredita na HBOR. Bankama je ujedno namijenjen program osiguranja garancija temeljem kojeg se mogu zaštiti</w:t>
      </w:r>
      <w:r>
        <w:rPr>
          <w:rFonts w:asciiTheme="minorHAnsi" w:hAnsiTheme="minorHAnsi" w:cstheme="minorHAnsi"/>
        </w:rPr>
        <w:t>ti</w:t>
      </w:r>
      <w:r w:rsidRPr="00C25D4E">
        <w:rPr>
          <w:rFonts w:asciiTheme="minorHAnsi" w:hAnsiTheme="minorHAnsi" w:cstheme="minorHAnsi"/>
        </w:rPr>
        <w:t xml:space="preserve"> od rizika poziva na plaćanje po garancijama koje su vezane za izvozne poslove. HBOR programom reosiguranja kratkoročnih izvoznih potraživanja omogućuje privatnim kreditnim osigurateljima preuzimanje rizika za koje nisu u mogućnosti pribaviti reosiguranje na privatnom tržištu.</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Kao institucija u Hrvatskoj koja se bavi preuzimanjem rizika kod izvoznih transakcija koje privatno tržište osiguranja ne preuzima, HBOR je i u 2018. godini vrlo često sudjelovao u pokriću izvoznih transakcija na rizičnijim tržištima.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HBOR-ovim programima osiguranja izvoza hrvatskim izvoznicima omogućeno je:</w:t>
      </w:r>
    </w:p>
    <w:p w:rsidR="002B5EA8" w:rsidRPr="00C25D4E" w:rsidRDefault="002B5EA8" w:rsidP="002B5EA8">
      <w:pPr>
        <w:pStyle w:val="ListParagraph"/>
        <w:numPr>
          <w:ilvl w:val="0"/>
          <w:numId w:val="40"/>
        </w:numPr>
        <w:spacing w:before="240" w:after="120" w:line="276" w:lineRule="auto"/>
        <w:jc w:val="both"/>
        <w:rPr>
          <w:rFonts w:asciiTheme="minorHAnsi" w:hAnsiTheme="minorHAnsi" w:cstheme="minorHAnsi"/>
        </w:rPr>
      </w:pPr>
      <w:r w:rsidRPr="00C25D4E">
        <w:rPr>
          <w:rFonts w:asciiTheme="minorHAnsi" w:hAnsiTheme="minorHAnsi" w:cstheme="minorHAnsi"/>
        </w:rPr>
        <w:t>sigurnije prodavati robu ili usluge i to uz odgodu plaćanja,</w:t>
      </w:r>
    </w:p>
    <w:p w:rsidR="002B5EA8" w:rsidRPr="00C25D4E" w:rsidRDefault="002B5EA8" w:rsidP="002B5EA8">
      <w:pPr>
        <w:pStyle w:val="ListParagraph"/>
        <w:numPr>
          <w:ilvl w:val="0"/>
          <w:numId w:val="40"/>
        </w:numPr>
        <w:spacing w:before="240" w:after="120" w:line="276" w:lineRule="auto"/>
        <w:jc w:val="both"/>
        <w:rPr>
          <w:rFonts w:asciiTheme="minorHAnsi" w:hAnsiTheme="minorHAnsi" w:cstheme="minorHAnsi"/>
        </w:rPr>
      </w:pPr>
      <w:r w:rsidRPr="00C25D4E">
        <w:rPr>
          <w:rFonts w:asciiTheme="minorHAnsi" w:hAnsiTheme="minorHAnsi" w:cstheme="minorHAnsi"/>
        </w:rPr>
        <w:t>prodavati kapitalnu opremu uz duže rokove plaćanja ili uz financijski kredit duže ročnosti,</w:t>
      </w:r>
    </w:p>
    <w:p w:rsidR="002B5EA8" w:rsidRPr="00C25D4E" w:rsidRDefault="002B5EA8" w:rsidP="002B5EA8">
      <w:pPr>
        <w:pStyle w:val="ListParagraph"/>
        <w:numPr>
          <w:ilvl w:val="0"/>
          <w:numId w:val="40"/>
        </w:numPr>
        <w:spacing w:before="240" w:after="120" w:line="276" w:lineRule="auto"/>
        <w:jc w:val="both"/>
        <w:rPr>
          <w:rFonts w:asciiTheme="minorHAnsi" w:hAnsiTheme="minorHAnsi" w:cstheme="minorHAnsi"/>
        </w:rPr>
      </w:pPr>
      <w:r w:rsidRPr="00C25D4E">
        <w:rPr>
          <w:rFonts w:asciiTheme="minorHAnsi" w:hAnsiTheme="minorHAnsi" w:cstheme="minorHAnsi"/>
        </w:rPr>
        <w:t xml:space="preserve">financirati proizvodnju svojih roba i usluga za izvoz, </w:t>
      </w:r>
    </w:p>
    <w:p w:rsidR="002B5EA8" w:rsidRPr="00C25D4E" w:rsidRDefault="002B5EA8" w:rsidP="002B5EA8">
      <w:pPr>
        <w:pStyle w:val="ListParagraph"/>
        <w:numPr>
          <w:ilvl w:val="0"/>
          <w:numId w:val="40"/>
        </w:numPr>
        <w:spacing w:before="240" w:after="120" w:line="276" w:lineRule="auto"/>
        <w:jc w:val="both"/>
        <w:rPr>
          <w:rFonts w:asciiTheme="minorHAnsi" w:hAnsiTheme="minorHAnsi" w:cstheme="minorHAnsi"/>
        </w:rPr>
      </w:pPr>
      <w:r w:rsidRPr="00C25D4E">
        <w:rPr>
          <w:rFonts w:asciiTheme="minorHAnsi" w:hAnsiTheme="minorHAnsi" w:cstheme="minorHAnsi"/>
        </w:rPr>
        <w:t>pribaviti činidbenu garanciju od strane banke za potrebe sudjelovanja na međunarodnim natječajima ili za ugovaranje izvoznog posla.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Europska</w:t>
      </w:r>
      <w:r w:rsidRPr="00C25D4E">
        <w:rPr>
          <w:rFonts w:asciiTheme="minorHAnsi" w:hAnsiTheme="minorHAnsi" w:cstheme="minorHAnsi"/>
          <w:iCs/>
        </w:rPr>
        <w:t xml:space="preserve"> komisija je u 2018. godini HBOR-u odobrila nastavak pružanja podrške za segment osiguranja i reosiguranja </w:t>
      </w:r>
      <w:r w:rsidRPr="00C25D4E">
        <w:rPr>
          <w:rFonts w:asciiTheme="minorHAnsi" w:hAnsiTheme="minorHAnsi" w:cstheme="minorHAnsi"/>
        </w:rPr>
        <w:t>kratkoročnih izvoznih potraživanja od privremeno netržišnih rizika. Predmetno odobrenje se odnosi na razdoblje od narednih šest godina, zaključno do kraja 2024. godine te je u skladu s EU regulativom.</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Navedeno će omogućiti HBOR-u da i u idućem razdoblju osigurava izvoznike koji svoja kratkoročna potraživanja nisu u mogućnosti osigurati na privatnom tržištu osiguranja. Temeljem dozvole Europske komisije HBOR će nadalje moći i reosiguravati privatne kreditne osiguratelje koji ne mogu ugovoriti reosiguranje kratkoročnih izvoznih potraživanja na privatnom tržištu.</w:t>
      </w:r>
    </w:p>
    <w:p w:rsidR="002B5EA8" w:rsidRPr="00C25D4E" w:rsidRDefault="002B5EA8" w:rsidP="002B5EA8">
      <w:pPr>
        <w:spacing w:before="240" w:after="120" w:line="276" w:lineRule="auto"/>
        <w:jc w:val="center"/>
        <w:rPr>
          <w:rFonts w:asciiTheme="minorHAnsi" w:hAnsiTheme="minorHAnsi" w:cstheme="minorHAnsi"/>
        </w:rPr>
      </w:pPr>
      <w:r w:rsidRPr="00C25D4E">
        <w:rPr>
          <w:rFonts w:asciiTheme="minorHAnsi" w:hAnsiTheme="minorHAnsi" w:cstheme="minorHAnsi"/>
        </w:rPr>
        <w:t>Sažetak rezultata po poslovima osiguranja izvoza</w:t>
      </w:r>
    </w:p>
    <w:p w:rsidR="002B5EA8" w:rsidRPr="00C25D4E" w:rsidRDefault="002B5EA8" w:rsidP="002B5EA8">
      <w:pPr>
        <w:spacing w:before="240" w:after="120" w:line="276" w:lineRule="auto"/>
        <w:jc w:val="center"/>
        <w:rPr>
          <w:rFonts w:asciiTheme="minorHAnsi" w:hAnsiTheme="minorHAnsi" w:cstheme="minorHAnsi"/>
          <w:sz w:val="20"/>
        </w:rPr>
      </w:pPr>
      <w:r w:rsidRPr="00C25D4E">
        <w:rPr>
          <w:rFonts w:asciiTheme="minorHAnsi" w:hAnsiTheme="minorHAnsi" w:cstheme="minorHAnsi"/>
          <w:sz w:val="20"/>
        </w:rPr>
        <w:t>u mil</w:t>
      </w:r>
      <w:r w:rsidR="00F91646">
        <w:rPr>
          <w:rFonts w:asciiTheme="minorHAnsi" w:hAnsiTheme="minorHAnsi" w:cstheme="minorHAnsi"/>
          <w:sz w:val="20"/>
        </w:rPr>
        <w:t xml:space="preserve"> kn</w:t>
      </w:r>
    </w:p>
    <w:tbl>
      <w:tblPr>
        <w:tblW w:w="5000" w:type="pct"/>
        <w:tblLook w:val="04A0" w:firstRow="1" w:lastRow="0" w:firstColumn="1" w:lastColumn="0" w:noHBand="0" w:noVBand="1"/>
      </w:tblPr>
      <w:tblGrid>
        <w:gridCol w:w="4676"/>
        <w:gridCol w:w="1553"/>
        <w:gridCol w:w="1557"/>
        <w:gridCol w:w="1559"/>
      </w:tblGrid>
      <w:tr w:rsidR="002B5EA8" w:rsidRPr="00C25D4E" w:rsidTr="00D03AAE">
        <w:trPr>
          <w:trHeight w:val="567"/>
        </w:trPr>
        <w:tc>
          <w:tcPr>
            <w:tcW w:w="2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both"/>
              <w:rPr>
                <w:rFonts w:asciiTheme="minorHAnsi" w:hAnsiTheme="minorHAnsi" w:cstheme="minorHAnsi"/>
                <w:b/>
                <w:bCs/>
                <w:sz w:val="22"/>
                <w:lang w:eastAsia="hr-HR"/>
              </w:rPr>
            </w:pPr>
            <w:r w:rsidRPr="00C25D4E">
              <w:rPr>
                <w:rFonts w:asciiTheme="minorHAnsi" w:hAnsiTheme="minorHAnsi" w:cstheme="minorHAnsi"/>
                <w:b/>
                <w:bCs/>
                <w:sz w:val="22"/>
                <w:lang w:eastAsia="hr-HR"/>
              </w:rPr>
              <w:t>Opis</w:t>
            </w:r>
          </w:p>
        </w:tc>
        <w:tc>
          <w:tcPr>
            <w:tcW w:w="831" w:type="pct"/>
            <w:tcBorders>
              <w:top w:val="single" w:sz="4" w:space="0" w:color="auto"/>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b/>
                <w:bCs/>
                <w:sz w:val="22"/>
                <w:lang w:eastAsia="hr-HR"/>
              </w:rPr>
            </w:pPr>
            <w:r w:rsidRPr="00C25D4E">
              <w:rPr>
                <w:rFonts w:asciiTheme="minorHAnsi" w:hAnsiTheme="minorHAnsi" w:cstheme="minorHAnsi"/>
                <w:b/>
                <w:bCs/>
                <w:sz w:val="22"/>
                <w:lang w:eastAsia="hr-HR"/>
              </w:rPr>
              <w:t>2016.</w:t>
            </w:r>
          </w:p>
        </w:tc>
        <w:tc>
          <w:tcPr>
            <w:tcW w:w="833" w:type="pct"/>
            <w:tcBorders>
              <w:top w:val="single" w:sz="4" w:space="0" w:color="auto"/>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b/>
                <w:bCs/>
                <w:sz w:val="22"/>
                <w:lang w:eastAsia="hr-HR"/>
              </w:rPr>
            </w:pPr>
            <w:r w:rsidRPr="00C25D4E">
              <w:rPr>
                <w:rFonts w:asciiTheme="minorHAnsi" w:hAnsiTheme="minorHAnsi" w:cstheme="minorHAnsi"/>
                <w:b/>
                <w:bCs/>
                <w:sz w:val="22"/>
                <w:lang w:eastAsia="hr-HR"/>
              </w:rPr>
              <w:t>2017.</w:t>
            </w:r>
          </w:p>
        </w:tc>
        <w:tc>
          <w:tcPr>
            <w:tcW w:w="834" w:type="pct"/>
            <w:tcBorders>
              <w:top w:val="single" w:sz="4" w:space="0" w:color="auto"/>
              <w:left w:val="nil"/>
              <w:bottom w:val="single" w:sz="4" w:space="0" w:color="auto"/>
              <w:right w:val="single" w:sz="4" w:space="0" w:color="auto"/>
            </w:tcBorders>
          </w:tcPr>
          <w:p w:rsidR="002B5EA8" w:rsidRPr="00C25D4E" w:rsidRDefault="002B5EA8" w:rsidP="00D03AAE">
            <w:pPr>
              <w:spacing w:before="240" w:after="120" w:line="276" w:lineRule="auto"/>
              <w:jc w:val="right"/>
              <w:rPr>
                <w:rFonts w:asciiTheme="minorHAnsi" w:hAnsiTheme="minorHAnsi" w:cstheme="minorHAnsi"/>
                <w:b/>
                <w:bCs/>
                <w:sz w:val="22"/>
                <w:lang w:eastAsia="hr-HR"/>
              </w:rPr>
            </w:pPr>
            <w:r w:rsidRPr="00C25D4E">
              <w:rPr>
                <w:rFonts w:asciiTheme="minorHAnsi" w:hAnsiTheme="minorHAnsi" w:cstheme="minorHAnsi"/>
                <w:b/>
                <w:bCs/>
                <w:sz w:val="22"/>
                <w:lang w:eastAsia="hr-HR"/>
              </w:rPr>
              <w:t>2018.</w:t>
            </w:r>
          </w:p>
        </w:tc>
      </w:tr>
      <w:tr w:rsidR="002B5EA8" w:rsidRPr="00C25D4E" w:rsidTr="00D03AAE">
        <w:trPr>
          <w:trHeight w:val="292"/>
        </w:trPr>
        <w:tc>
          <w:tcPr>
            <w:tcW w:w="2502" w:type="pct"/>
            <w:tcBorders>
              <w:top w:val="nil"/>
              <w:left w:val="single" w:sz="4" w:space="0" w:color="auto"/>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both"/>
              <w:rPr>
                <w:rFonts w:asciiTheme="minorHAnsi" w:hAnsiTheme="minorHAnsi" w:cstheme="minorHAnsi"/>
                <w:sz w:val="22"/>
                <w:lang w:eastAsia="hr-HR"/>
              </w:rPr>
            </w:pPr>
            <w:r w:rsidRPr="00C25D4E">
              <w:rPr>
                <w:rFonts w:asciiTheme="minorHAnsi" w:hAnsiTheme="minorHAnsi" w:cstheme="minorHAnsi"/>
                <w:sz w:val="22"/>
                <w:lang w:eastAsia="hr-HR"/>
              </w:rPr>
              <w:t>Ukupno odobrena osigurana svota</w:t>
            </w:r>
          </w:p>
        </w:tc>
        <w:tc>
          <w:tcPr>
            <w:tcW w:w="831"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 xml:space="preserve">759,52 </w:t>
            </w:r>
          </w:p>
        </w:tc>
        <w:tc>
          <w:tcPr>
            <w:tcW w:w="833"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 xml:space="preserve">1.002,32 </w:t>
            </w:r>
          </w:p>
        </w:tc>
        <w:tc>
          <w:tcPr>
            <w:tcW w:w="834" w:type="pct"/>
            <w:tcBorders>
              <w:top w:val="nil"/>
              <w:left w:val="nil"/>
              <w:bottom w:val="single" w:sz="4" w:space="0" w:color="auto"/>
              <w:right w:val="single" w:sz="4" w:space="0" w:color="auto"/>
            </w:tcBorders>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1.787,58</w:t>
            </w:r>
          </w:p>
        </w:tc>
      </w:tr>
      <w:tr w:rsidR="002B5EA8" w:rsidRPr="00C25D4E" w:rsidTr="00D03AAE">
        <w:trPr>
          <w:trHeight w:val="292"/>
        </w:trPr>
        <w:tc>
          <w:tcPr>
            <w:tcW w:w="2502" w:type="pct"/>
            <w:tcBorders>
              <w:top w:val="nil"/>
              <w:left w:val="single" w:sz="4" w:space="0" w:color="auto"/>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both"/>
              <w:rPr>
                <w:rFonts w:asciiTheme="minorHAnsi" w:hAnsiTheme="minorHAnsi" w:cstheme="minorHAnsi"/>
                <w:sz w:val="22"/>
                <w:lang w:eastAsia="hr-HR"/>
              </w:rPr>
            </w:pPr>
            <w:r w:rsidRPr="00C25D4E">
              <w:rPr>
                <w:rFonts w:asciiTheme="minorHAnsi" w:hAnsiTheme="minorHAnsi" w:cstheme="minorHAnsi"/>
                <w:sz w:val="22"/>
                <w:lang w:eastAsia="hr-HR"/>
              </w:rPr>
              <w:t>Ukupno osigurani izvozni promet</w:t>
            </w:r>
          </w:p>
        </w:tc>
        <w:tc>
          <w:tcPr>
            <w:tcW w:w="831"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 xml:space="preserve">1.442,40 </w:t>
            </w:r>
          </w:p>
        </w:tc>
        <w:tc>
          <w:tcPr>
            <w:tcW w:w="833"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 xml:space="preserve">1.727,86 </w:t>
            </w:r>
          </w:p>
        </w:tc>
        <w:tc>
          <w:tcPr>
            <w:tcW w:w="834" w:type="pct"/>
            <w:tcBorders>
              <w:top w:val="nil"/>
              <w:left w:val="nil"/>
              <w:bottom w:val="single" w:sz="4" w:space="0" w:color="auto"/>
              <w:right w:val="single" w:sz="4" w:space="0" w:color="auto"/>
            </w:tcBorders>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2.692,00</w:t>
            </w:r>
          </w:p>
        </w:tc>
      </w:tr>
      <w:tr w:rsidR="002B5EA8" w:rsidRPr="00C25D4E" w:rsidTr="00D03AAE">
        <w:trPr>
          <w:trHeight w:val="292"/>
        </w:trPr>
        <w:tc>
          <w:tcPr>
            <w:tcW w:w="2502" w:type="pct"/>
            <w:tcBorders>
              <w:top w:val="nil"/>
              <w:left w:val="single" w:sz="4" w:space="0" w:color="auto"/>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both"/>
              <w:rPr>
                <w:rFonts w:asciiTheme="minorHAnsi" w:hAnsiTheme="minorHAnsi" w:cstheme="minorHAnsi"/>
                <w:sz w:val="22"/>
                <w:lang w:eastAsia="hr-HR"/>
              </w:rPr>
            </w:pPr>
            <w:r w:rsidRPr="00C25D4E">
              <w:rPr>
                <w:rFonts w:asciiTheme="minorHAnsi" w:hAnsiTheme="minorHAnsi" w:cstheme="minorHAnsi"/>
                <w:sz w:val="22"/>
                <w:lang w:eastAsia="hr-HR"/>
              </w:rPr>
              <w:t>Bruto izloženost na 31.12.</w:t>
            </w:r>
          </w:p>
        </w:tc>
        <w:tc>
          <w:tcPr>
            <w:tcW w:w="831"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1.655,96</w:t>
            </w:r>
          </w:p>
        </w:tc>
        <w:tc>
          <w:tcPr>
            <w:tcW w:w="833"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2.128,97</w:t>
            </w:r>
          </w:p>
        </w:tc>
        <w:tc>
          <w:tcPr>
            <w:tcW w:w="834" w:type="pct"/>
            <w:tcBorders>
              <w:top w:val="nil"/>
              <w:left w:val="nil"/>
              <w:bottom w:val="single" w:sz="4" w:space="0" w:color="auto"/>
              <w:right w:val="single" w:sz="4" w:space="0" w:color="auto"/>
            </w:tcBorders>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2.959,73</w:t>
            </w:r>
          </w:p>
        </w:tc>
      </w:tr>
      <w:tr w:rsidR="002B5EA8" w:rsidRPr="00C25D4E" w:rsidTr="00D03AAE">
        <w:trPr>
          <w:trHeight w:val="292"/>
        </w:trPr>
        <w:tc>
          <w:tcPr>
            <w:tcW w:w="2502" w:type="pct"/>
            <w:tcBorders>
              <w:top w:val="nil"/>
              <w:left w:val="single" w:sz="4" w:space="0" w:color="auto"/>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both"/>
              <w:rPr>
                <w:rFonts w:asciiTheme="minorHAnsi" w:hAnsiTheme="minorHAnsi" w:cstheme="minorHAnsi"/>
                <w:sz w:val="22"/>
                <w:lang w:eastAsia="hr-HR"/>
              </w:rPr>
            </w:pPr>
            <w:r w:rsidRPr="00C25D4E">
              <w:rPr>
                <w:rFonts w:asciiTheme="minorHAnsi" w:hAnsiTheme="minorHAnsi" w:cstheme="minorHAnsi"/>
                <w:sz w:val="22"/>
                <w:lang w:eastAsia="hr-HR"/>
              </w:rPr>
              <w:t>Premija osiguranja</w:t>
            </w:r>
          </w:p>
        </w:tc>
        <w:tc>
          <w:tcPr>
            <w:tcW w:w="831" w:type="pct"/>
            <w:tcBorders>
              <w:top w:val="nil"/>
              <w:left w:val="nil"/>
              <w:bottom w:val="single" w:sz="4" w:space="0" w:color="auto"/>
              <w:right w:val="single" w:sz="4" w:space="0" w:color="auto"/>
            </w:tcBorders>
            <w:shd w:val="clear" w:color="auto" w:fill="auto"/>
            <w:noWrap/>
            <w:vAlign w:val="center"/>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16,46</w:t>
            </w:r>
          </w:p>
        </w:tc>
        <w:tc>
          <w:tcPr>
            <w:tcW w:w="833" w:type="pct"/>
            <w:tcBorders>
              <w:top w:val="nil"/>
              <w:left w:val="nil"/>
              <w:bottom w:val="single" w:sz="4" w:space="0" w:color="auto"/>
              <w:right w:val="single" w:sz="4" w:space="0" w:color="auto"/>
            </w:tcBorders>
            <w:shd w:val="clear" w:color="auto" w:fill="auto"/>
            <w:noWrap/>
            <w:vAlign w:val="center"/>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14,18</w:t>
            </w:r>
          </w:p>
        </w:tc>
        <w:tc>
          <w:tcPr>
            <w:tcW w:w="834" w:type="pct"/>
            <w:tcBorders>
              <w:top w:val="nil"/>
              <w:left w:val="nil"/>
              <w:bottom w:val="single" w:sz="4" w:space="0" w:color="auto"/>
              <w:right w:val="single" w:sz="4" w:space="0" w:color="auto"/>
            </w:tcBorders>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17,48</w:t>
            </w:r>
          </w:p>
        </w:tc>
      </w:tr>
      <w:tr w:rsidR="002B5EA8" w:rsidRPr="00C25D4E" w:rsidTr="00D03AAE">
        <w:trPr>
          <w:trHeight w:val="292"/>
        </w:trPr>
        <w:tc>
          <w:tcPr>
            <w:tcW w:w="2502" w:type="pct"/>
            <w:tcBorders>
              <w:top w:val="nil"/>
              <w:left w:val="single" w:sz="4" w:space="0" w:color="auto"/>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both"/>
              <w:rPr>
                <w:rFonts w:asciiTheme="minorHAnsi" w:hAnsiTheme="minorHAnsi" w:cstheme="minorHAnsi"/>
                <w:sz w:val="22"/>
                <w:lang w:eastAsia="hr-HR"/>
              </w:rPr>
            </w:pPr>
            <w:r w:rsidRPr="00C25D4E">
              <w:rPr>
                <w:rFonts w:asciiTheme="minorHAnsi" w:hAnsiTheme="minorHAnsi" w:cstheme="minorHAnsi"/>
                <w:sz w:val="22"/>
                <w:lang w:eastAsia="hr-HR"/>
              </w:rPr>
              <w:t xml:space="preserve">Isplaćene odštete </w:t>
            </w:r>
          </w:p>
        </w:tc>
        <w:tc>
          <w:tcPr>
            <w:tcW w:w="831"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 xml:space="preserve">8,81 </w:t>
            </w:r>
          </w:p>
        </w:tc>
        <w:tc>
          <w:tcPr>
            <w:tcW w:w="833"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 xml:space="preserve">30,04 </w:t>
            </w:r>
          </w:p>
        </w:tc>
        <w:tc>
          <w:tcPr>
            <w:tcW w:w="834" w:type="pct"/>
            <w:tcBorders>
              <w:top w:val="nil"/>
              <w:left w:val="nil"/>
              <w:bottom w:val="single" w:sz="4" w:space="0" w:color="auto"/>
              <w:right w:val="single" w:sz="4" w:space="0" w:color="auto"/>
            </w:tcBorders>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0,21</w:t>
            </w:r>
          </w:p>
        </w:tc>
      </w:tr>
      <w:tr w:rsidR="002B5EA8" w:rsidRPr="00C25D4E" w:rsidTr="00D03AAE">
        <w:trPr>
          <w:trHeight w:val="292"/>
        </w:trPr>
        <w:tc>
          <w:tcPr>
            <w:tcW w:w="2502" w:type="pct"/>
            <w:tcBorders>
              <w:top w:val="nil"/>
              <w:left w:val="single" w:sz="4" w:space="0" w:color="auto"/>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both"/>
              <w:rPr>
                <w:rFonts w:asciiTheme="minorHAnsi" w:hAnsiTheme="minorHAnsi" w:cstheme="minorHAnsi"/>
                <w:sz w:val="22"/>
                <w:lang w:eastAsia="hr-HR"/>
              </w:rPr>
            </w:pPr>
            <w:r w:rsidRPr="00C25D4E">
              <w:rPr>
                <w:rFonts w:asciiTheme="minorHAnsi" w:hAnsiTheme="minorHAnsi" w:cstheme="minorHAnsi"/>
                <w:sz w:val="22"/>
                <w:lang w:eastAsia="hr-HR"/>
              </w:rPr>
              <w:t>Regresne naplate od dužnika</w:t>
            </w:r>
          </w:p>
        </w:tc>
        <w:tc>
          <w:tcPr>
            <w:tcW w:w="831"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 xml:space="preserve">1,50 </w:t>
            </w:r>
          </w:p>
        </w:tc>
        <w:tc>
          <w:tcPr>
            <w:tcW w:w="833"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 xml:space="preserve">0,04 </w:t>
            </w:r>
          </w:p>
        </w:tc>
        <w:tc>
          <w:tcPr>
            <w:tcW w:w="834" w:type="pct"/>
            <w:tcBorders>
              <w:top w:val="nil"/>
              <w:left w:val="nil"/>
              <w:bottom w:val="single" w:sz="4" w:space="0" w:color="auto"/>
              <w:right w:val="single" w:sz="4" w:space="0" w:color="auto"/>
            </w:tcBorders>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40,66</w:t>
            </w:r>
          </w:p>
        </w:tc>
      </w:tr>
      <w:tr w:rsidR="002B5EA8" w:rsidRPr="00C25D4E" w:rsidTr="00D03AAE">
        <w:trPr>
          <w:trHeight w:val="292"/>
        </w:trPr>
        <w:tc>
          <w:tcPr>
            <w:tcW w:w="2502" w:type="pct"/>
            <w:tcBorders>
              <w:top w:val="nil"/>
              <w:left w:val="single" w:sz="4" w:space="0" w:color="auto"/>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both"/>
              <w:rPr>
                <w:rFonts w:asciiTheme="minorHAnsi" w:hAnsiTheme="minorHAnsi" w:cstheme="minorHAnsi"/>
                <w:sz w:val="22"/>
                <w:lang w:eastAsia="hr-HR"/>
              </w:rPr>
            </w:pPr>
            <w:r w:rsidRPr="00C25D4E">
              <w:rPr>
                <w:rFonts w:asciiTheme="minorHAnsi" w:hAnsiTheme="minorHAnsi" w:cstheme="minorHAnsi"/>
                <w:sz w:val="22"/>
                <w:lang w:eastAsia="hr-HR"/>
              </w:rPr>
              <w:t xml:space="preserve">Raspoloživa sredstva Garantnog fonda na 31.12. </w:t>
            </w:r>
          </w:p>
        </w:tc>
        <w:tc>
          <w:tcPr>
            <w:tcW w:w="831"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 xml:space="preserve">332,36 </w:t>
            </w:r>
          </w:p>
        </w:tc>
        <w:tc>
          <w:tcPr>
            <w:tcW w:w="833" w:type="pct"/>
            <w:tcBorders>
              <w:top w:val="nil"/>
              <w:left w:val="nil"/>
              <w:bottom w:val="single" w:sz="4" w:space="0" w:color="auto"/>
              <w:right w:val="single" w:sz="4" w:space="0" w:color="auto"/>
            </w:tcBorders>
            <w:shd w:val="clear" w:color="auto" w:fill="auto"/>
            <w:noWrap/>
            <w:vAlign w:val="center"/>
            <w:hideMark/>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327,95</w:t>
            </w:r>
          </w:p>
        </w:tc>
        <w:tc>
          <w:tcPr>
            <w:tcW w:w="834" w:type="pct"/>
            <w:tcBorders>
              <w:top w:val="nil"/>
              <w:left w:val="nil"/>
              <w:bottom w:val="single" w:sz="4" w:space="0" w:color="auto"/>
              <w:right w:val="single" w:sz="4" w:space="0" w:color="auto"/>
            </w:tcBorders>
          </w:tcPr>
          <w:p w:rsidR="002B5EA8" w:rsidRPr="00C25D4E" w:rsidRDefault="002B5EA8" w:rsidP="00D03AAE">
            <w:pPr>
              <w:spacing w:before="240" w:after="120" w:line="276" w:lineRule="auto"/>
              <w:jc w:val="right"/>
              <w:rPr>
                <w:rFonts w:asciiTheme="minorHAnsi" w:hAnsiTheme="minorHAnsi" w:cstheme="minorHAnsi"/>
                <w:sz w:val="22"/>
                <w:lang w:eastAsia="hr-HR"/>
              </w:rPr>
            </w:pPr>
            <w:r w:rsidRPr="00C25D4E">
              <w:rPr>
                <w:rFonts w:asciiTheme="minorHAnsi" w:hAnsiTheme="minorHAnsi" w:cstheme="minorHAnsi"/>
                <w:sz w:val="22"/>
                <w:lang w:eastAsia="hr-HR"/>
              </w:rPr>
              <w:t>387,74</w:t>
            </w:r>
          </w:p>
        </w:tc>
      </w:tr>
    </w:tbl>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Na dan 31. 12. 2018. bruto izloženost HBOR-a po poslovima osiguranja izvoza iznosila je 2,96 milijardi kuna, što predstavlja porast od 39 posto u odnosu na isti dan 2017.</w:t>
      </w:r>
      <w:r>
        <w:rPr>
          <w:rFonts w:asciiTheme="minorHAnsi" w:hAnsiTheme="minorHAnsi" w:cstheme="minorHAnsi"/>
        </w:rPr>
        <w:t xml:space="preserve"> godine.</w:t>
      </w:r>
      <w:r w:rsidRPr="00C25D4E">
        <w:rPr>
          <w:rFonts w:asciiTheme="minorHAnsi" w:hAnsiTheme="minorHAnsi" w:cstheme="minorHAnsi"/>
        </w:rPr>
        <w:t xml:space="preserve"> Na porast bruto izloženosti u najvećoj mjeri je utjecao rast izloženosti po programu osiguranja kredita inozemnom kupcu i programu osiguranja kredita za pripremu izvoza, u okviru kojih je podržan izvoz kapitalnih dobara. </w:t>
      </w:r>
    </w:p>
    <w:p w:rsidR="002B5EA8" w:rsidRPr="00C25D4E" w:rsidRDefault="002B5EA8" w:rsidP="002B5EA8">
      <w:pPr>
        <w:spacing w:before="240" w:after="120" w:line="276" w:lineRule="auto"/>
        <w:jc w:val="both"/>
        <w:rPr>
          <w:rFonts w:asciiTheme="minorHAnsi" w:hAnsiTheme="minorHAnsi" w:cstheme="minorHAnsi"/>
        </w:rPr>
      </w:pPr>
    </w:p>
    <w:p w:rsidR="000C7E9A" w:rsidRDefault="000C7E9A" w:rsidP="002B5EA8">
      <w:pPr>
        <w:spacing w:before="240" w:after="120" w:line="276" w:lineRule="auto"/>
        <w:jc w:val="both"/>
        <w:rPr>
          <w:rFonts w:asciiTheme="minorHAnsi" w:hAnsiTheme="minorHAnsi" w:cstheme="minorHAnsi"/>
          <w:b/>
        </w:rPr>
      </w:pPr>
      <w:r>
        <w:rPr>
          <w:rFonts w:asciiTheme="minorHAnsi" w:hAnsiTheme="minorHAnsi" w:cstheme="minorHAnsi"/>
          <w:b/>
        </w:rPr>
        <w:br w:type="page"/>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OSIGURANI IZVOZNI PROMET</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U 2018. godini HBOR je ostvario rekordan iznos osiguranog izvoznog prometa te navedeni rezultat ne bi bio moguć bez sinergije s poslovnim bankama i izvoznicima.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HBOR je kroz programe osiguranja izvoza u 2018. godini podržao izvoz hrvatskih roba i usluga u 51 državu svijeta te je osigurao izvozni promet u visini od 2,69 milijarde kuna, što predstavlja rast od 56 posto u odnosu na 2017. godinu.</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Hrvatskim izvoznicima i bankama koje financijski prate izvoznike HBOR je u 2018. godini odobrio ukupnu osiguranu svotu u vrijednosti od 1,79 milijarde kuna, što predstavlja porast od 78 posto u odnosu na 2017. godinu.</w:t>
      </w:r>
    </w:p>
    <w:p w:rsidR="002B5EA8" w:rsidRPr="00C25D4E" w:rsidRDefault="002B5EA8" w:rsidP="002B5EA8">
      <w:pPr>
        <w:spacing w:before="240" w:after="120" w:line="276" w:lineRule="auto"/>
        <w:jc w:val="center"/>
        <w:rPr>
          <w:rFonts w:asciiTheme="minorHAnsi" w:hAnsiTheme="minorHAnsi" w:cstheme="minorHAnsi"/>
        </w:rPr>
      </w:pPr>
      <w:r w:rsidRPr="00C25D4E">
        <w:rPr>
          <w:rFonts w:asciiTheme="minorHAnsi" w:hAnsiTheme="minorHAnsi" w:cstheme="minorHAnsi"/>
          <w:noProof/>
        </w:rPr>
        <w:drawing>
          <wp:inline distT="0" distB="0" distL="0" distR="0" wp14:anchorId="6A984361" wp14:editId="6E5DD918">
            <wp:extent cx="6591300" cy="3505200"/>
            <wp:effectExtent l="0" t="0" r="0" b="0"/>
            <wp:docPr id="2" name="Chart 2">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Po programu osiguranja kredita inozemnom kupcu u 2018. godini odobreno je osiguranje u iznosu od 716,42 milijuna kuna što predstavlja rast od 157 posto u odnosu na 2017. godinu.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Kroz program osiguranja kredita za pripremu izvoza tijekom 2018. godine bankama je odobreno osiguranje kredita u visini od 752,28 milijuna kuna što je rast od 147 posto u odnosu na 2017. godinu. Ovim programom je bankama omogućeno financiranje obrtnih sredstava izvoznika u fazi proizvodnje robe za izvoz, a izvoznicima je omogućeno dobivanje kredita koje inače ne bi bilo moguće realizirati zbog nedostatnosti kolaterala.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Kroz program osiguranja kratkoročnih izvoznih potraživanja HBOR osigurava kratkoročna potraživanja izvoznika od netržišnih i privremeno netržišnih rizika.</w:t>
      </w:r>
    </w:p>
    <w:p w:rsidR="00043BBB" w:rsidRDefault="00043BBB" w:rsidP="002B5EA8">
      <w:pPr>
        <w:spacing w:before="240" w:after="120" w:line="276" w:lineRule="auto"/>
        <w:jc w:val="both"/>
        <w:rPr>
          <w:rFonts w:asciiTheme="minorHAnsi" w:hAnsiTheme="minorHAnsi" w:cstheme="minorHAnsi"/>
        </w:rPr>
      </w:pPr>
      <w:r>
        <w:rPr>
          <w:rFonts w:asciiTheme="minorHAnsi" w:hAnsiTheme="minorHAnsi" w:cstheme="minorHAnsi"/>
        </w:rPr>
        <w:br w:type="page"/>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HBOR je u 2018. godini osigurao izvozni promet od 456,85 milijuna kuna što predstavlja rast od 44 posto u odnosu na 2017. godinu. Kroz program osiguranja kratkoročnih izvoznih potraživanja ponajviše su podržani izvoznici koji se bave proizvodnjom teretnih vagona, proizvoda od drva, farmaceutskih pripravaka, solarnih panela i gumenih proizvoda.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Najveći osigurani izvozni promet ostvaren je prema kupcima u Njemačkoj, Francuskoj, Luksemburgu, Ukrajini, Nizozemskoj i Italiji.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Program osiguranja naplate kratkoročnih izvoznih potraživanja za male izvoznike namijenjen je srednjim i malim izvoznicima s godišnjim izvoznim prometom do 2 milijuna eura i onima koji tek započinju s prodajom svojih proizvoda i usluga na inozemnom tržištu.</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Za ovu skupinu izvoznika tijekom 2018. godine odobreno je osiguranje u ukupnom iznosu od 6,45 milijuna kuna, što predstavlja rast od 17 posto u odnosu na 2017. godinu. Većina podržanih poslova odnosila se na izvoz roba i usluga iz sektora prerađivačke industrije među kojima prednjači izvoz sanitarne opreme, morskih plodova, klima komora i sistema za ventilaciju, projektnih usluga, rasvjetnih tijela i vina.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Najveći osigurani izvozni promet ostvaren je prema kupcima u Italiji, Sloveniji, Bosni i Hercegovini, Španjolskoj i Francuskoj.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Po programu osiguranja izravnih isporuka roba i usluga u 2018. godini unutar kojeg osiguravamo pretežito izvoz kapitalne opreme uz duže rokove naplate osiguran je izvozni promet od 26,81 milijuna kuna što predstavlja rast od 96 posto u odnosu na 2017. godinu. Unutar programa osigurani su izvoz telekomunikacijske opreme i usluga na tržište Kube te isporuka transformatora na tržište Litve.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Kroz program osiguranja izvoznih činidbenih garancija osigurane garancije su se odnosile na produženo trajanje garancija po zaključenim izvoznim ugovorima iz prijašnjih godina te su također podržane novo izdane ponudbene garancije za potrebe izvoznika za tendere u Ukrajini u području energetike te garancije za dobro izvršenje posla za projekt izgradnje ceste u Sloveniji. Odobreno je osiguranje u ukupnoj vrijednosti od 131,04 milijuna kuna.</w:t>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REOSIGURANI IZVOZNI PROMET</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HBOR je kroz program reosiguranja kratkoročnih izvoznih potraživanja u 2018. godini reosigurao izvozni promet u visini od 602,11 milijuna kuna, što predstavlja rast od 7 posto  u odnosu na 2017. godinu. Većina podržanih poslova odnosila se na izvoz roba i usluga iz sektora prerađivačke industrije od čega se najveći dio odnosi na izvoz staklene ambalaže, proizvoda za grijanje i hlađenje, farmaceutskih pripravaka i recikliranog papira. Najveći reosigurani izvozni promet ostvaren je prema kupcima u Srbiji, Bosni i Hercegovini, Makedoniji, Crnoj Gori i Kosovu.</w:t>
      </w:r>
    </w:p>
    <w:p w:rsidR="002B5EA8" w:rsidRDefault="002B5EA8" w:rsidP="002B5EA8">
      <w:pPr>
        <w:spacing w:before="240" w:after="120" w:line="276" w:lineRule="auto"/>
        <w:jc w:val="both"/>
        <w:rPr>
          <w:rFonts w:asciiTheme="minorHAnsi" w:hAnsiTheme="minorHAnsi" w:cstheme="minorHAnsi"/>
          <w:b/>
        </w:rPr>
      </w:pPr>
    </w:p>
    <w:p w:rsidR="002B5EA8" w:rsidRDefault="002B5EA8" w:rsidP="002B5EA8">
      <w:pPr>
        <w:spacing w:before="240" w:after="120" w:line="276" w:lineRule="auto"/>
        <w:jc w:val="both"/>
        <w:rPr>
          <w:rFonts w:asciiTheme="minorHAnsi" w:hAnsiTheme="minorHAnsi" w:cstheme="minorHAnsi"/>
          <w:b/>
        </w:rPr>
      </w:pPr>
    </w:p>
    <w:p w:rsidR="000C7E9A" w:rsidRDefault="000C7E9A" w:rsidP="002B5EA8">
      <w:pPr>
        <w:spacing w:before="240" w:after="120" w:line="276" w:lineRule="auto"/>
        <w:jc w:val="both"/>
        <w:rPr>
          <w:rFonts w:asciiTheme="minorHAnsi" w:hAnsiTheme="minorHAnsi" w:cstheme="minorHAnsi"/>
          <w:b/>
        </w:rPr>
      </w:pPr>
      <w:r>
        <w:rPr>
          <w:rFonts w:asciiTheme="minorHAnsi" w:hAnsiTheme="minorHAnsi" w:cstheme="minorHAnsi"/>
          <w:b/>
        </w:rPr>
        <w:br w:type="page"/>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 xml:space="preserve">ISPLAĆENE ODŠTETE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Tijekom 2018. godine isplaćene su dvije odštete u ukupnom iznosu od 213 tisuća kuna, jedna po programu osiguranja kratkoročnih potraživanja zbog neplaćanja kupca u Rusiji, a druga po poslovima kratkoročnog reosiguranja zbog neplaćanja kupca u Izraelu.</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2018. godini osiguranicima je isplaćeno i 400 tisuća kuna po osnovi naknade troškova koji su nastali u svrhu umanjenja potencijalnih šteta ili u svrhu prisilne naplate.</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Iako je u 2018. godini isplaćen relativno mali broj odšteta, zamijećen je veći broj kašnjenja dužnika te je zaprimljeno 16 obavijesti o neplaćanju dužnika i to većim dijelom s teritorija Hrvatske, Bosne i Hercegovine i Francuske.</w:t>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REGRESNE NAPLATE OD DUŽNIKA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2018. godini HBOR je ostvario rekordnu godinu po visini regresnih naplata jer je u predmetnoj godini regresno naplaćeno 40,66 milijuna kuna po ranije isplaćenim odštetama. Navedeni iznos predstavlja gotovo 80 posto svih regresnih naplata koje su ostvarene od početka obavljanja ovih poslova u HBOR-u. Od navedenog iznosa regresnih naplata udio od 98 posto se odnosi na regresnu naplatu od javnog dužnika iz Bosne i Hercegovine, dok se ostale regresne naplate odnose na dužnike iz Hrvatske (po programu osiguranja garancija i osiguranja kredita za pripremu izvoza) i na regresnu naplatu po poslovima kratkoročnog reosiguranja od dužnika iz Srbije.</w:t>
      </w:r>
    </w:p>
    <w:p w:rsidR="002B5EA8" w:rsidRPr="00C25D4E" w:rsidRDefault="002B5EA8" w:rsidP="000C7E9A">
      <w:pPr>
        <w:spacing w:before="240" w:after="120" w:line="276" w:lineRule="auto"/>
        <w:rPr>
          <w:rFonts w:asciiTheme="minorHAnsi" w:hAnsiTheme="minorHAnsi" w:cstheme="minorHAnsi"/>
          <w:b/>
          <w:bCs/>
          <w:lang w:eastAsia="x-none"/>
        </w:rPr>
      </w:pPr>
      <w:bookmarkStart w:id="20" w:name="_Toc255898376"/>
      <w:bookmarkEnd w:id="18"/>
      <w:r w:rsidRPr="00C25D4E">
        <w:rPr>
          <w:rFonts w:asciiTheme="minorHAnsi" w:hAnsiTheme="minorHAnsi" w:cstheme="minorHAnsi"/>
          <w:b/>
          <w:bCs/>
          <w:lang w:eastAsia="x-none"/>
        </w:rPr>
        <w:t>UPRAVLJANJE RIZICIMA</w:t>
      </w:r>
    </w:p>
    <w:p w:rsidR="002B5EA8" w:rsidRPr="00C25D4E" w:rsidRDefault="002B5EA8" w:rsidP="002B5EA8">
      <w:pPr>
        <w:spacing w:before="240" w:after="120" w:line="276" w:lineRule="auto"/>
        <w:jc w:val="both"/>
        <w:rPr>
          <w:rFonts w:asciiTheme="minorHAnsi" w:hAnsiTheme="minorHAnsi" w:cstheme="minorHAnsi"/>
          <w:bCs/>
          <w:spacing w:val="-3"/>
        </w:rPr>
      </w:pPr>
      <w:r w:rsidRPr="00C25D4E">
        <w:rPr>
          <w:rFonts w:asciiTheme="minorHAnsi" w:hAnsiTheme="minorHAnsi" w:cstheme="minorHAnsi"/>
          <w:bCs/>
          <w:spacing w:val="-3"/>
        </w:rPr>
        <w:t>Temeljem Zakona o HBOR-u Banka je dužna rizike u poslovanju svoditi na najmanju mjeru rukovodeći se načelima bankarskog poslovanja. Banka u procesu upravljanja rizicima kontinuirano utvrđuje, procjenjuje, odnosno mjeri, prati, ovladava i kontrolira rizike kojima je u poslovanju izložena ili bi mogla biti izložena. Način, postupci i učestalost procjene, odnosno mjerenja rizika propisani su internim aktima Banke. U svakodnevnom poslovanju Banka upravlja kreditnim rizikom, rizikom likvidnosti, kamatnim rizikom u knjizi banke, valutnim rizikom, operativnim rizikom i rizikom eksternalizacije putem politika, procedura, metodologija, pravilnika, limita te kontrola.</w:t>
      </w:r>
    </w:p>
    <w:p w:rsidR="002B5EA8" w:rsidRPr="00C25D4E" w:rsidRDefault="002B5EA8" w:rsidP="002B5EA8">
      <w:pPr>
        <w:spacing w:before="240" w:after="120" w:line="276" w:lineRule="auto"/>
        <w:jc w:val="both"/>
        <w:rPr>
          <w:rFonts w:asciiTheme="minorHAnsi" w:hAnsiTheme="minorHAnsi" w:cstheme="minorHAnsi"/>
          <w:bCs/>
          <w:spacing w:val="-3"/>
        </w:rPr>
      </w:pPr>
      <w:r w:rsidRPr="00C25D4E">
        <w:rPr>
          <w:rFonts w:asciiTheme="minorHAnsi" w:hAnsiTheme="minorHAnsi" w:cstheme="minorHAnsi"/>
          <w:bCs/>
          <w:spacing w:val="-3"/>
        </w:rPr>
        <w:t>Banka ima funkcionalno i organizacijski odvojenu i neovisnu organizacijsku jedinicu za kontrolu rizika u poslovanju koja je neposredno odgovorna Upravi. Ova organizacijska jedinica odgovorna je za utvrđivanje, procjenu, odnosno mjerenje, nadzor i kontrolu rizika kojima je Banka u svom poslovanju izložena ili bi mogla biti izložena. Svoju funkciju ostvaruje i analizom, davanjem prijedloga i preporuka za adekvatno upravljanje izloženošću kreditnim i nekreditnim rizicima, zatim razvojem politika, pravilnika, procedura i metodologija vezanih za rizike, predlaganjem i praćenjem poštivanja usvojenih limita izloženosti, izvješćivanjem Uprave i nadležnih odbora o rizicima i sl.</w:t>
      </w:r>
    </w:p>
    <w:p w:rsidR="000C7E9A" w:rsidRDefault="000C7E9A" w:rsidP="002B5EA8">
      <w:pPr>
        <w:spacing w:before="240" w:after="120" w:line="276" w:lineRule="auto"/>
        <w:jc w:val="both"/>
        <w:rPr>
          <w:rFonts w:asciiTheme="minorHAnsi" w:hAnsiTheme="minorHAnsi" w:cstheme="minorHAnsi"/>
          <w:bCs/>
          <w:spacing w:val="-3"/>
          <w:lang w:eastAsia="hr-HR"/>
        </w:rPr>
      </w:pPr>
      <w:r>
        <w:rPr>
          <w:rFonts w:asciiTheme="minorHAnsi" w:hAnsiTheme="minorHAnsi" w:cstheme="minorHAnsi"/>
          <w:bCs/>
          <w:spacing w:val="-3"/>
          <w:lang w:eastAsia="hr-HR"/>
        </w:rPr>
        <w:br w:type="page"/>
      </w:r>
    </w:p>
    <w:p w:rsidR="002B5EA8" w:rsidRDefault="002B5EA8" w:rsidP="002B5EA8">
      <w:pPr>
        <w:spacing w:before="240" w:after="120" w:line="276" w:lineRule="auto"/>
        <w:jc w:val="both"/>
        <w:rPr>
          <w:rFonts w:asciiTheme="minorHAnsi" w:hAnsiTheme="minorHAnsi" w:cstheme="minorHAnsi"/>
          <w:bCs/>
          <w:spacing w:val="-3"/>
          <w:lang w:eastAsia="hr-HR"/>
        </w:rPr>
      </w:pPr>
      <w:r w:rsidRPr="00C25D4E">
        <w:rPr>
          <w:rFonts w:asciiTheme="minorHAnsi" w:hAnsiTheme="minorHAnsi" w:cstheme="minorHAnsi"/>
          <w:bCs/>
          <w:spacing w:val="-3"/>
          <w:lang w:eastAsia="hr-HR"/>
        </w:rPr>
        <w:t>Pri procjeni, odnosno mjerenju rizika Banka uvažava povijesne podatke, planove poslovanja, trenutne i očekivane tržišne uvjete te specifičnosti Banke kao posebne financijske institucije. O rezultatima mjerenja i procjene te provedenih analiza iz područja rizika izvještavaju se odbori za upravljanje rizicima, Uprava i Nadzorni odbor. Utvrđen je sustav limita za upravljanje, praćenje i kontrolu kreditnog rizika, rizika likvidnosti, kamatnog rizika u knjizi banke i valutnog rizika. Banka provodi analize osjetljivosti i analize scenarija pod pretpostavkom promjene jednoga, odnosno više faktora rizika u redovnim i stresnim okolnostima te se o rezultatima istih izvještavaju nadležna tijela HBOR-a. Kontinuirano se razvijaju sustavi proaktivnog upravljanja rizicima radi smanjenja potencijalnih budućih rizika.</w:t>
      </w:r>
    </w:p>
    <w:p w:rsidR="002B5EA8" w:rsidRPr="00C25D4E" w:rsidRDefault="002B5EA8" w:rsidP="002B5EA8">
      <w:pPr>
        <w:spacing w:before="240" w:after="120" w:line="276" w:lineRule="auto"/>
        <w:jc w:val="both"/>
        <w:rPr>
          <w:rFonts w:asciiTheme="minorHAnsi" w:hAnsiTheme="minorHAnsi" w:cstheme="minorHAnsi"/>
          <w:bCs/>
          <w:spacing w:val="-3"/>
        </w:rPr>
      </w:pPr>
      <w:r w:rsidRPr="00C25D4E">
        <w:rPr>
          <w:rFonts w:asciiTheme="minorHAnsi" w:hAnsiTheme="minorHAnsi" w:cstheme="minorHAnsi"/>
          <w:bCs/>
          <w:spacing w:val="-3"/>
        </w:rPr>
        <w:t>Uprava HBOR-a odgovorna je za provođenje strategije upravljanja rizicima te uspostavljanje i provođenje učinkovitog i pouzdanog sustava upravljanja svim rizicima. Za ostvarenje svoje funkcije Uprava je svoja ovlaštenja delegirala na četiri odbora za upravljanje rizicima:</w:t>
      </w:r>
    </w:p>
    <w:p w:rsidR="002B5EA8" w:rsidRPr="00C25D4E" w:rsidRDefault="002B5EA8" w:rsidP="002B5EA8">
      <w:pPr>
        <w:numPr>
          <w:ilvl w:val="0"/>
          <w:numId w:val="13"/>
        </w:numPr>
        <w:spacing w:before="240" w:after="120" w:line="276" w:lineRule="auto"/>
        <w:jc w:val="both"/>
        <w:rPr>
          <w:rFonts w:asciiTheme="minorHAnsi" w:hAnsiTheme="minorHAnsi" w:cstheme="minorHAnsi"/>
          <w:bCs/>
          <w:spacing w:val="-3"/>
          <w:lang w:eastAsia="x-none"/>
        </w:rPr>
      </w:pPr>
      <w:r w:rsidRPr="00C25D4E">
        <w:rPr>
          <w:rFonts w:asciiTheme="minorHAnsi" w:hAnsiTheme="minorHAnsi" w:cstheme="minorHAnsi"/>
          <w:bCs/>
          <w:spacing w:val="-3"/>
          <w:lang w:eastAsia="x-none"/>
        </w:rPr>
        <w:t>Odbor za upravljanje aktivom i pasivom - upravlja rizikom likvidnosti, kamatnim rizikom u knjizi banke i valutnim rizikom u okviru propisanih politika,</w:t>
      </w:r>
      <w:r w:rsidRPr="00C25D4E">
        <w:rPr>
          <w:rFonts w:asciiTheme="minorHAnsi" w:hAnsiTheme="minorHAnsi" w:cstheme="minorHAnsi"/>
        </w:rPr>
        <w:t xml:space="preserve"> </w:t>
      </w:r>
      <w:r w:rsidRPr="00C25D4E">
        <w:rPr>
          <w:rFonts w:asciiTheme="minorHAnsi" w:hAnsiTheme="minorHAnsi" w:cstheme="minorHAnsi"/>
          <w:bCs/>
          <w:spacing w:val="-3"/>
          <w:lang w:eastAsia="x-none"/>
        </w:rPr>
        <w:t xml:space="preserve">pravilnika i procedura kojima je regulirano ovo područje </w:t>
      </w:r>
    </w:p>
    <w:p w:rsidR="002B5EA8" w:rsidRPr="00C25D4E" w:rsidRDefault="002B5EA8" w:rsidP="002B5EA8">
      <w:pPr>
        <w:numPr>
          <w:ilvl w:val="0"/>
          <w:numId w:val="13"/>
        </w:numPr>
        <w:spacing w:before="240" w:after="120" w:line="276" w:lineRule="auto"/>
        <w:jc w:val="both"/>
        <w:rPr>
          <w:rFonts w:asciiTheme="minorHAnsi" w:hAnsiTheme="minorHAnsi" w:cstheme="minorHAnsi"/>
          <w:bCs/>
          <w:spacing w:val="-3"/>
          <w:lang w:eastAsia="x-none"/>
        </w:rPr>
      </w:pPr>
      <w:r w:rsidRPr="00C25D4E">
        <w:rPr>
          <w:rFonts w:asciiTheme="minorHAnsi" w:hAnsiTheme="minorHAnsi" w:cstheme="minorHAnsi"/>
          <w:bCs/>
          <w:spacing w:val="-3"/>
          <w:lang w:eastAsia="x-none"/>
        </w:rPr>
        <w:t>Odbor za procjenu i mjerenje kreditnog rizika - upravlja kreditnim rizikom u okviru propisanih politika,</w:t>
      </w:r>
      <w:r w:rsidRPr="00C25D4E">
        <w:rPr>
          <w:rFonts w:asciiTheme="minorHAnsi" w:hAnsiTheme="minorHAnsi" w:cstheme="minorHAnsi"/>
        </w:rPr>
        <w:t xml:space="preserve"> </w:t>
      </w:r>
      <w:r w:rsidRPr="00C25D4E">
        <w:rPr>
          <w:rFonts w:asciiTheme="minorHAnsi" w:hAnsiTheme="minorHAnsi" w:cstheme="minorHAnsi"/>
          <w:bCs/>
          <w:spacing w:val="-3"/>
          <w:lang w:eastAsia="x-none"/>
        </w:rPr>
        <w:t>pravilnika, procedura i ostalih internih akata vezanih za kreditni rizik</w:t>
      </w:r>
    </w:p>
    <w:p w:rsidR="002B5EA8" w:rsidRPr="00C25D4E" w:rsidRDefault="002B5EA8" w:rsidP="002B5EA8">
      <w:pPr>
        <w:numPr>
          <w:ilvl w:val="0"/>
          <w:numId w:val="13"/>
        </w:numPr>
        <w:spacing w:before="240" w:after="120" w:line="276" w:lineRule="auto"/>
        <w:jc w:val="both"/>
        <w:rPr>
          <w:rFonts w:asciiTheme="minorHAnsi" w:hAnsiTheme="minorHAnsi" w:cstheme="minorHAnsi"/>
          <w:bCs/>
          <w:spacing w:val="-3"/>
          <w:lang w:eastAsia="x-none"/>
        </w:rPr>
      </w:pPr>
      <w:r w:rsidRPr="00C25D4E">
        <w:rPr>
          <w:rFonts w:asciiTheme="minorHAnsi" w:hAnsiTheme="minorHAnsi" w:cstheme="minorHAnsi"/>
          <w:bCs/>
          <w:spacing w:val="-3"/>
          <w:lang w:eastAsia="x-none"/>
        </w:rPr>
        <w:t>Odbor za upravljanje informacijskim sustavom HBOR-a - upravlja resursima informacijskog sustava uz primjereno upravljanje rizicima koji proizlaze iz korištenja informacijske tehnologije</w:t>
      </w:r>
    </w:p>
    <w:p w:rsidR="002B5EA8" w:rsidRPr="00C25D4E" w:rsidRDefault="002B5EA8" w:rsidP="002B5EA8">
      <w:pPr>
        <w:numPr>
          <w:ilvl w:val="0"/>
          <w:numId w:val="13"/>
        </w:numPr>
        <w:spacing w:before="240" w:after="120" w:line="276" w:lineRule="auto"/>
        <w:jc w:val="both"/>
        <w:rPr>
          <w:rFonts w:asciiTheme="minorHAnsi" w:hAnsiTheme="minorHAnsi" w:cstheme="minorHAnsi"/>
          <w:bCs/>
          <w:spacing w:val="-3"/>
          <w:lang w:eastAsia="x-none"/>
        </w:rPr>
      </w:pPr>
      <w:r w:rsidRPr="00C25D4E">
        <w:rPr>
          <w:rFonts w:asciiTheme="minorHAnsi" w:hAnsiTheme="minorHAnsi" w:cstheme="minorHAnsi"/>
          <w:bCs/>
          <w:spacing w:val="-3"/>
          <w:lang w:eastAsia="x-none"/>
        </w:rPr>
        <w:t>Odbor za upravljanje poslovnim promjenama - upravlja poslovnim promjenama (koordinacija postupka predlaganja, odobravanja, praćenja i uvođenja poslovnih promjena) s ciljem smanjenja rizika pri uvođenju poslovnih promjena.</w:t>
      </w:r>
    </w:p>
    <w:p w:rsidR="002B5EA8" w:rsidRPr="00C25D4E" w:rsidRDefault="002B5EA8" w:rsidP="002B5EA8">
      <w:pPr>
        <w:spacing w:before="240" w:after="120" w:line="276" w:lineRule="auto"/>
        <w:jc w:val="both"/>
        <w:rPr>
          <w:rFonts w:asciiTheme="minorHAnsi" w:hAnsiTheme="minorHAnsi" w:cstheme="minorHAnsi"/>
          <w:bCs/>
          <w:spacing w:val="-3"/>
        </w:rPr>
      </w:pPr>
      <w:r w:rsidRPr="00C25D4E">
        <w:rPr>
          <w:rFonts w:asciiTheme="minorHAnsi" w:hAnsiTheme="minorHAnsi" w:cstheme="minorHAnsi"/>
          <w:bCs/>
          <w:spacing w:val="-3"/>
        </w:rPr>
        <w:t>Strategija upravljanja rizicima usmjerena je prema postizanju i održavanju kvalitetnog i efikasnog sustava upravljanja rizicima usklađenog s domaćim i stranim bankarskim praksama te preporukama Hrvatske narodne banke, europske regulative i Bazelskog odbora primjenjivim na HBOR kao posebnu financijsku instituciju.</w:t>
      </w:r>
    </w:p>
    <w:p w:rsidR="002B5EA8" w:rsidRPr="00C25D4E" w:rsidRDefault="002B5EA8" w:rsidP="002B5EA8">
      <w:pPr>
        <w:spacing w:before="240" w:after="120" w:line="276" w:lineRule="auto"/>
        <w:jc w:val="both"/>
        <w:rPr>
          <w:rFonts w:asciiTheme="minorHAnsi" w:hAnsiTheme="minorHAnsi" w:cstheme="minorHAnsi"/>
          <w:b/>
        </w:rPr>
      </w:pPr>
    </w:p>
    <w:p w:rsidR="000C7E9A" w:rsidRDefault="000C7E9A" w:rsidP="002B5EA8">
      <w:pPr>
        <w:spacing w:before="240" w:after="120" w:line="276" w:lineRule="auto"/>
        <w:jc w:val="both"/>
        <w:rPr>
          <w:rFonts w:asciiTheme="minorHAnsi" w:hAnsiTheme="minorHAnsi" w:cstheme="minorHAnsi"/>
          <w:b/>
        </w:rPr>
      </w:pPr>
      <w:r>
        <w:rPr>
          <w:rFonts w:asciiTheme="minorHAnsi" w:hAnsiTheme="minorHAnsi" w:cstheme="minorHAnsi"/>
          <w:b/>
        </w:rPr>
        <w:br w:type="page"/>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 xml:space="preserve">Kreditni rizik </w:t>
      </w:r>
    </w:p>
    <w:p w:rsidR="002B5EA8" w:rsidRPr="00C25D4E" w:rsidRDefault="002B5EA8" w:rsidP="002B5EA8">
      <w:pPr>
        <w:spacing w:before="240" w:after="120" w:line="276" w:lineRule="auto"/>
        <w:jc w:val="both"/>
        <w:rPr>
          <w:rFonts w:asciiTheme="minorHAnsi" w:hAnsiTheme="minorHAnsi" w:cstheme="minorHAnsi"/>
          <w:bCs/>
          <w:spacing w:val="-3"/>
        </w:rPr>
      </w:pPr>
      <w:r w:rsidRPr="00C25D4E">
        <w:rPr>
          <w:rFonts w:asciiTheme="minorHAnsi" w:hAnsiTheme="minorHAnsi" w:cstheme="minorHAnsi"/>
          <w:bCs/>
          <w:spacing w:val="-3"/>
        </w:rPr>
        <w:t>Banka kontrolira kreditni rizik putem kreditnih politika, pravilnika i propisanih procedura rada u kojima su utvrđeni sustavi unutarnjih kontrola s ciljem preventivnog djelovanja na rizik.</w:t>
      </w:r>
    </w:p>
    <w:p w:rsidR="002B5EA8" w:rsidRPr="00C25D4E" w:rsidRDefault="002B5EA8" w:rsidP="002B5EA8">
      <w:pPr>
        <w:spacing w:before="240" w:after="120" w:line="276" w:lineRule="auto"/>
        <w:jc w:val="both"/>
        <w:rPr>
          <w:rFonts w:asciiTheme="minorHAnsi" w:hAnsiTheme="minorHAnsi" w:cstheme="minorHAnsi"/>
          <w:bCs/>
          <w:spacing w:val="-3"/>
        </w:rPr>
      </w:pPr>
      <w:r w:rsidRPr="00C25D4E">
        <w:rPr>
          <w:rFonts w:asciiTheme="minorHAnsi" w:hAnsiTheme="minorHAnsi" w:cstheme="minorHAnsi"/>
          <w:bCs/>
          <w:spacing w:val="-3"/>
        </w:rPr>
        <w:t xml:space="preserve">Uprava HBOR-a vodi konzervativnu politiku upravljanja kreditnim rizikom. Sustav upravljanja kreditnim rizikom čini najvažniji dio poslovne politike HBOR-a i bitan je čimbenik njezine strategije poslovanja zbog čega je ovo područje regulirano posebnim aktom - </w:t>
      </w:r>
      <w:r>
        <w:rPr>
          <w:rFonts w:asciiTheme="minorHAnsi" w:hAnsiTheme="minorHAnsi" w:cstheme="minorHAnsi"/>
          <w:bCs/>
          <w:spacing w:val="-3"/>
        </w:rPr>
        <w:t>Pravilnikom</w:t>
      </w:r>
      <w:r w:rsidRPr="00C25D4E">
        <w:rPr>
          <w:rFonts w:asciiTheme="minorHAnsi" w:hAnsiTheme="minorHAnsi" w:cstheme="minorHAnsi"/>
          <w:bCs/>
          <w:spacing w:val="-3"/>
        </w:rPr>
        <w:t xml:space="preserve"> upravljanja kreditnim rizikom koji se primjenjuje na sve faze kreditnog procesa (od razvoja novih bankarskih proizvoda, zahtjeva za kredit, praćenja poslovanja klijenta do konačne otplate kredita). Pravilnik o upravljanju kreditnim rizikom sveobuhvatan je dokument koji obuhvaća i zasebne metodologije namijenjene ocjeni različitih ciljnih skupina klijenata.</w:t>
      </w:r>
    </w:p>
    <w:p w:rsidR="002B5EA8" w:rsidRPr="00C25D4E" w:rsidRDefault="002B5EA8" w:rsidP="002B5EA8">
      <w:pPr>
        <w:spacing w:before="240" w:after="120" w:line="276" w:lineRule="auto"/>
        <w:jc w:val="both"/>
        <w:rPr>
          <w:rFonts w:asciiTheme="minorHAnsi" w:hAnsiTheme="minorHAnsi" w:cstheme="minorHAnsi"/>
          <w:bCs/>
          <w:spacing w:val="-3"/>
        </w:rPr>
      </w:pPr>
      <w:r w:rsidRPr="00C25D4E">
        <w:rPr>
          <w:rFonts w:asciiTheme="minorHAnsi" w:hAnsiTheme="minorHAnsi" w:cstheme="minorHAnsi"/>
          <w:bCs/>
          <w:spacing w:val="-3"/>
        </w:rPr>
        <w:t xml:space="preserve">U svrhu ublažavanja kreditnog rizika i smanjenja troškova poslovanja, a sukladno Zakonu o HBOR-u, dio svojih plasmana Banka odobrava putem poslovnih banaka koje snose rizik povrata plasmana krajnjeg korisnika. Radi lakše dostupnosti sredstava HBOR-a, dio svojih plasmana Banka plasira po modelima podjele rizika s poslovnim bankama. Svi izravni plasmani i plasmani uz podjelu rizika uglavnom su osigurani hipotekom na nekretninama i ako je to moguće, kao osiguranje od kreditnog rizika Banka pribavlja jamstvo HAMAG BICRO-a te ostale vrste jamstava i garancija. Ovisno o vrsti instrumenta osiguranja, kreditnom programu, općim uvjetima osiguranja ili odluci nadležnog tijela, Banka je odredila potreban omjer visine plasmana i vrijednosti osiguranja. </w:t>
      </w:r>
    </w:p>
    <w:p w:rsidR="002B5EA8" w:rsidRPr="00C25D4E" w:rsidRDefault="002B5EA8" w:rsidP="002B5EA8">
      <w:pPr>
        <w:spacing w:before="240" w:after="120" w:line="276" w:lineRule="auto"/>
        <w:jc w:val="both"/>
        <w:rPr>
          <w:rFonts w:asciiTheme="minorHAnsi" w:hAnsiTheme="minorHAnsi" w:cstheme="minorHAnsi"/>
          <w:bCs/>
          <w:spacing w:val="-3"/>
        </w:rPr>
      </w:pPr>
      <w:r w:rsidRPr="00C25D4E">
        <w:rPr>
          <w:rFonts w:asciiTheme="minorHAnsi" w:hAnsiTheme="minorHAnsi" w:cstheme="minorHAnsi"/>
          <w:bCs/>
          <w:spacing w:val="-3"/>
        </w:rPr>
        <w:t xml:space="preserve">Banka kroz razvojne programe kreditiranja obuhvaća područje cijele Republike Hrvatske s naglaskom na područja posebne državne skrbi. Kreditni rizik rasprostranjen je po geografskim područjima, djelatnostima, sektorima te kreditnim programima. Banka nastoji izbjeći pretjeranu koncentraciju kreditnog rizika te povoljnijim uvjetima i novim kreditnim programima (proizvodima) potaknuti razvoj slabije razvijenih područja Republike Hrvatske u skladu s državnom strategijom razvoja pojedinih djelatnosti. </w:t>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Rizik likvidnosti, valutni rizik i kamatni rizik u knjizi banke</w:t>
      </w:r>
    </w:p>
    <w:p w:rsidR="002B5EA8" w:rsidRPr="00C25D4E" w:rsidRDefault="002B5EA8" w:rsidP="002B5EA8">
      <w:pPr>
        <w:spacing w:before="240" w:after="120" w:line="276" w:lineRule="auto"/>
        <w:jc w:val="both"/>
        <w:rPr>
          <w:rFonts w:asciiTheme="minorHAnsi" w:hAnsiTheme="minorHAnsi" w:cstheme="minorHAnsi"/>
          <w:bCs/>
          <w:spacing w:val="-3"/>
          <w:lang w:eastAsia="hr-HR"/>
        </w:rPr>
      </w:pPr>
      <w:r w:rsidRPr="00C25D4E">
        <w:rPr>
          <w:rFonts w:asciiTheme="minorHAnsi" w:hAnsiTheme="minorHAnsi" w:cstheme="minorHAnsi"/>
          <w:spacing w:val="-3"/>
          <w:lang w:eastAsia="hr-HR"/>
        </w:rPr>
        <w:t xml:space="preserve">Kroz djelovanje Odbora za upravljanje aktivom i pasivom, Banka osigurava adekvatno upravljanje rizikom likvidnosti te valutnim rizikom i kamatnim rizikom u knjizi banke. Upravljanje ovim rizicima podrazumijeva svođenje kamatnog i valutnog rizika te rizika likvidnosti na najmanju mjeru. </w:t>
      </w:r>
      <w:r w:rsidRPr="00C25D4E">
        <w:rPr>
          <w:rFonts w:asciiTheme="minorHAnsi" w:hAnsiTheme="minorHAnsi" w:cstheme="minorHAnsi"/>
          <w:bCs/>
          <w:spacing w:val="-3"/>
          <w:lang w:eastAsia="hr-HR"/>
        </w:rPr>
        <w:t xml:space="preserve">Izravnim i neizravnim uključivanjem većine organizacijskih jedinica Banke u rad Odbora za upravljanje aktivom i pasivom nastoji se osigurati kvalitetan, integriran i sveobuhvatan sustav upravljanja navedenim rizicima. </w:t>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Rizik likvidnosti</w:t>
      </w:r>
    </w:p>
    <w:p w:rsidR="002B5EA8" w:rsidRPr="00C25D4E" w:rsidRDefault="002B5EA8" w:rsidP="002B5EA8">
      <w:pPr>
        <w:spacing w:before="240" w:after="120" w:line="276" w:lineRule="auto"/>
        <w:jc w:val="both"/>
        <w:rPr>
          <w:rFonts w:asciiTheme="minorHAnsi" w:hAnsiTheme="minorHAnsi" w:cstheme="minorHAnsi"/>
          <w:spacing w:val="-3"/>
        </w:rPr>
      </w:pPr>
      <w:r w:rsidRPr="00C25D4E">
        <w:rPr>
          <w:rFonts w:asciiTheme="minorHAnsi" w:hAnsiTheme="minorHAnsi" w:cstheme="minorHAnsi"/>
          <w:spacing w:val="-3"/>
        </w:rPr>
        <w:t xml:space="preserve">Temeljna načela upravljanja rizikom likvidnosti HBOR-a utvrđena su internim aktima te odlukama i zaključcima Nadzornog odbora, Uprave i Odbora za upravljanje aktivom i pasivom. </w:t>
      </w:r>
    </w:p>
    <w:p w:rsidR="000C7E9A" w:rsidRDefault="000C7E9A" w:rsidP="002B5EA8">
      <w:pPr>
        <w:widowControl w:val="0"/>
        <w:tabs>
          <w:tab w:val="left" w:pos="-720"/>
        </w:tabs>
        <w:suppressAutoHyphens/>
        <w:spacing w:before="240" w:after="120" w:line="276" w:lineRule="auto"/>
        <w:ind w:right="-6"/>
        <w:jc w:val="both"/>
        <w:rPr>
          <w:rFonts w:asciiTheme="minorHAnsi" w:hAnsiTheme="minorHAnsi" w:cstheme="minorHAnsi"/>
          <w:spacing w:val="-3"/>
        </w:rPr>
      </w:pPr>
      <w:r>
        <w:rPr>
          <w:rFonts w:asciiTheme="minorHAnsi" w:hAnsiTheme="minorHAnsi" w:cstheme="minorHAnsi"/>
          <w:spacing w:val="-3"/>
        </w:rPr>
        <w:br w:type="page"/>
      </w:r>
    </w:p>
    <w:p w:rsidR="002B5EA8" w:rsidRPr="00C25D4E" w:rsidRDefault="002B5EA8" w:rsidP="002B5EA8">
      <w:pPr>
        <w:widowControl w:val="0"/>
        <w:tabs>
          <w:tab w:val="left" w:pos="-720"/>
        </w:tabs>
        <w:suppressAutoHyphens/>
        <w:spacing w:before="240" w:after="120" w:line="276" w:lineRule="auto"/>
        <w:ind w:right="-6"/>
        <w:jc w:val="both"/>
        <w:rPr>
          <w:rFonts w:asciiTheme="minorHAnsi" w:hAnsiTheme="minorHAnsi" w:cstheme="minorHAnsi"/>
          <w:spacing w:val="-3"/>
        </w:rPr>
      </w:pPr>
      <w:r w:rsidRPr="00C25D4E">
        <w:rPr>
          <w:rFonts w:asciiTheme="minorHAnsi" w:hAnsiTheme="minorHAnsi" w:cstheme="minorHAnsi"/>
          <w:spacing w:val="-3"/>
        </w:rPr>
        <w:t xml:space="preserve">U svrhu upravljanja rizikom likvidnosti, Banka je uspostavila sustav limita te prati i kontrolira njihovo poštivanje, održava potrebnu razinu rezerve likvidnosti, kontinuirano prati tekuću i planiranu likvidnost, osigurava dostatna kunska i devizna sredstva potrebna za pravovremeno podmirenje obveza te za isplate po odobrenim kreditima i planiranim odobrenjima kredita. Pri upravljanju rizikom likvidnosti Banka prati i nastoji postići ročnu usklađenost postojećih i planiranih plasmana i njihovih izvora. Banka nema depozite građana te nije izložena značajnijim dnevnim oscilacijama likvidnosti. Praćenje rizika likvidnosti Banka provodi i kroz analize scenarija i analize osjetljivosti pod pretpostavkom redovnih i stresnih uvjeta poslovanja. </w:t>
      </w:r>
      <w:r w:rsidRPr="00C25D4E">
        <w:rPr>
          <w:rFonts w:asciiTheme="minorHAnsi" w:hAnsiTheme="minorHAnsi" w:cstheme="minorHAnsi"/>
          <w:bCs/>
          <w:spacing w:val="-3"/>
          <w:lang w:eastAsia="hr-HR"/>
        </w:rPr>
        <w:t>Pravilnikom o upravljanju rizikom likvidnosti</w:t>
      </w:r>
      <w:r w:rsidRPr="00C25D4E">
        <w:rPr>
          <w:rFonts w:asciiTheme="minorHAnsi" w:hAnsiTheme="minorHAnsi" w:cstheme="minorHAnsi"/>
          <w:spacing w:val="-3"/>
        </w:rPr>
        <w:t xml:space="preserve"> utvrđeni su signali ranog upozorenja te postupci u slučaju naznake kao i nastupa krize likvidnosti. </w:t>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Kamatni rizik u knjizi banke</w:t>
      </w:r>
    </w:p>
    <w:p w:rsidR="002B5EA8" w:rsidRPr="00C25D4E" w:rsidRDefault="002B5EA8" w:rsidP="002B5EA8">
      <w:pPr>
        <w:spacing w:before="240" w:after="120" w:line="276" w:lineRule="auto"/>
        <w:jc w:val="both"/>
        <w:rPr>
          <w:rFonts w:asciiTheme="minorHAnsi" w:hAnsiTheme="minorHAnsi" w:cstheme="minorHAnsi"/>
          <w:lang w:eastAsia="hr-HR"/>
        </w:rPr>
      </w:pPr>
      <w:r w:rsidRPr="00C25D4E">
        <w:rPr>
          <w:rFonts w:asciiTheme="minorHAnsi" w:hAnsiTheme="minorHAnsi" w:cstheme="minorHAnsi"/>
          <w:lang w:eastAsia="hr-HR"/>
        </w:rPr>
        <w:t>Temeljna načela upravljanja kamatnim rizikom Banke utvrđena su internim aktima te odlukama i zaključcima Uprave i Odbora za upravljanje aktivom i pasivom. Za mjerenje i praćenje kamatnog rizika Banka provodi analizu kamatnog jaza. Kamatni se jaz izrađuje za određena razdoblja prema mogućnosti promjene kamatnih stopa i prikazuje osjetljivost Banke na promjene kamatnih stopa. Provodi se i detaljna razrada kamatnih stopa po valuti, vrsti i visini kamatne stope te se izrađuju projekcije kretanja prosječnih ponderiranih kamatnih stopa izvora i plasmana. Pored usklađivanja kamatnih stopa izvora i plasmana prate se trenutni tržišni uvjeti i prognoze kretanja osnovnih tržišnih pokazatelja.</w:t>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Valutni rizik</w:t>
      </w:r>
    </w:p>
    <w:p w:rsidR="002B5EA8" w:rsidRPr="00C25D4E" w:rsidRDefault="002B5EA8" w:rsidP="002B5EA8">
      <w:pPr>
        <w:tabs>
          <w:tab w:val="left" w:pos="8280"/>
        </w:tabs>
        <w:spacing w:before="240" w:after="120" w:line="276" w:lineRule="auto"/>
        <w:jc w:val="both"/>
        <w:rPr>
          <w:rFonts w:asciiTheme="minorHAnsi" w:hAnsiTheme="minorHAnsi" w:cstheme="minorHAnsi"/>
        </w:rPr>
      </w:pPr>
      <w:r w:rsidRPr="00C25D4E">
        <w:rPr>
          <w:rFonts w:asciiTheme="minorHAnsi" w:hAnsiTheme="minorHAnsi" w:cstheme="minorHAnsi"/>
        </w:rPr>
        <w:t xml:space="preserve">Temeljna načela upravljanja valutnim rizikom HBOR-a utvrđena su internim aktima te odlukama i zaključcima Uprave i Odbora za upravljanje aktivom i pasivom. Postavljene su metode za mjerenje, odnosno procjenu, praćenje i upravljanje valutnim rizikom, utvrđeni su limiti, postupci u slučaju naznake, kao i nastupa krize te su definirana izvješća potrebna za cjelovito ovladavanje ovim rizikom. </w:t>
      </w:r>
    </w:p>
    <w:p w:rsidR="002B5EA8" w:rsidRPr="00C25D4E" w:rsidRDefault="002B5EA8" w:rsidP="002B5EA8">
      <w:pPr>
        <w:tabs>
          <w:tab w:val="left" w:pos="8280"/>
        </w:tabs>
        <w:spacing w:before="240" w:after="120" w:line="276" w:lineRule="auto"/>
        <w:jc w:val="both"/>
        <w:rPr>
          <w:rFonts w:asciiTheme="minorHAnsi" w:hAnsiTheme="minorHAnsi" w:cstheme="minorHAnsi"/>
          <w:spacing w:val="-3"/>
        </w:rPr>
      </w:pPr>
      <w:r w:rsidRPr="00C25D4E">
        <w:rPr>
          <w:rFonts w:asciiTheme="minorHAnsi" w:hAnsiTheme="minorHAnsi" w:cstheme="minorHAnsi"/>
          <w:spacing w:val="-3"/>
        </w:rPr>
        <w:t xml:space="preserve">Za mjerenje izloženosti valutnom riziku Banka prati otvorenost devizne pozicije. Osim dnevnog praćenja otvorenosti devizne pozicije i projiciranja njezinog kretanja, Banka za potrebe procjene i mjerenja valutnog rizika koristi i VaR model kao pomoćni model te redovito izvještava nadležna tijela o najvećim potencijalnim gubicima po značajnim valutama. Provode se analize scenarija i analize osjetljivosti pod pretpostavkom redovnih i stresnih uvjeta poslovanja. </w:t>
      </w:r>
    </w:p>
    <w:p w:rsidR="000C7E9A" w:rsidRDefault="000C7E9A" w:rsidP="002B5EA8">
      <w:pPr>
        <w:spacing w:before="240" w:after="120" w:line="276" w:lineRule="auto"/>
        <w:jc w:val="both"/>
        <w:rPr>
          <w:rFonts w:asciiTheme="minorHAnsi" w:hAnsiTheme="minorHAnsi" w:cstheme="minorHAnsi"/>
          <w:b/>
        </w:rPr>
      </w:pPr>
      <w:r>
        <w:rPr>
          <w:rFonts w:asciiTheme="minorHAnsi" w:hAnsiTheme="minorHAnsi" w:cstheme="minorHAnsi"/>
          <w:b/>
        </w:rPr>
        <w:br w:type="page"/>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 xml:space="preserve">Operativni rizik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Temeljna načela upravljanja operativnim rizikom utvrđena su krovnim aktom Politike upravljanja operativnim rizikom, uspostavljena je struktura upravljanja i odgovornosti u sustavu, utvrđen pristup za izračun kapitalnog zahtjeva za operativni rizik te uspostavljen sustav izvještavanja.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Za praćenje i nadziranje rada informacijskog sustava zadužen je Odbor za upravljanje informacijskim sustavom čiji je cilj upravljanje resursima informacijskog sustava uz uspostavljanje odgovarajuće razine učinkovitosti i sigurnosti informacijskog sustava kako bi se osiguralo, između ostalog, primjereno upravljanje rizicima koji proizlaze iz korištenja informacijske tehnologije. Nadzor nad sigurnošću informacijskog sustava obavlja funkcija sigurnosti informacijskog sustava. U okviru ove funkcije uspostavljen je sustav upravljanja kontinuitetom poslovanja HBOR-a.</w:t>
      </w:r>
    </w:p>
    <w:p w:rsidR="002B5EA8" w:rsidRPr="00C25D4E" w:rsidRDefault="002B5EA8" w:rsidP="002B5EA8">
      <w:pPr>
        <w:spacing w:before="240" w:after="120" w:line="276" w:lineRule="auto"/>
        <w:jc w:val="both"/>
        <w:rPr>
          <w:rFonts w:asciiTheme="minorHAnsi" w:eastAsia="Calibri" w:hAnsiTheme="minorHAnsi" w:cstheme="minorHAnsi"/>
          <w:b/>
          <w:lang w:eastAsia="hr-HR"/>
        </w:rPr>
      </w:pPr>
      <w:r w:rsidRPr="00C25D4E">
        <w:rPr>
          <w:rFonts w:asciiTheme="minorHAnsi" w:eastAsia="Calibri" w:hAnsiTheme="minorHAnsi" w:cstheme="minorHAnsi"/>
          <w:b/>
          <w:lang w:eastAsia="hr-HR"/>
        </w:rPr>
        <w:t>Rizik eksternalizacije</w:t>
      </w:r>
    </w:p>
    <w:p w:rsidR="002B5EA8" w:rsidRPr="00C25D4E" w:rsidRDefault="002B5EA8" w:rsidP="002B5EA8">
      <w:pPr>
        <w:widowControl w:val="0"/>
        <w:spacing w:before="240" w:after="120" w:line="276" w:lineRule="auto"/>
        <w:jc w:val="both"/>
        <w:rPr>
          <w:rFonts w:asciiTheme="minorHAnsi" w:hAnsiTheme="minorHAnsi" w:cstheme="minorHAnsi"/>
        </w:rPr>
      </w:pPr>
      <w:r w:rsidRPr="00C25D4E">
        <w:rPr>
          <w:rFonts w:asciiTheme="minorHAnsi" w:hAnsiTheme="minorHAnsi" w:cstheme="minorHAnsi"/>
        </w:rPr>
        <w:t>Banka upravlja rizikom eksternalizacije temeljem internih akata usklađenih s regulativom HNB-a primjenjivom na Banku kao posebnu financijsku instituciju. Internim aktima kojima je propisano upravljanje ovim rizikom utvrđeni su postupci provođenja eksternaliziranih aktivnosti, upravljanje odnosima s pružateljima usluga te svođenje rizika na najmanju mjeru.</w:t>
      </w:r>
    </w:p>
    <w:p w:rsidR="002B5EA8" w:rsidRPr="00C25D4E" w:rsidRDefault="002B5EA8" w:rsidP="002B5EA8">
      <w:pPr>
        <w:tabs>
          <w:tab w:val="left" w:pos="709"/>
        </w:tabs>
        <w:spacing w:before="240" w:after="120" w:line="276" w:lineRule="auto"/>
        <w:jc w:val="both"/>
        <w:rPr>
          <w:rFonts w:asciiTheme="minorHAnsi" w:hAnsiTheme="minorHAnsi" w:cstheme="minorHAnsi"/>
        </w:rPr>
      </w:pPr>
      <w:r w:rsidRPr="00C25D4E">
        <w:rPr>
          <w:rFonts w:asciiTheme="minorHAnsi" w:hAnsiTheme="minorHAnsi" w:cstheme="minorHAnsi"/>
        </w:rPr>
        <w:t xml:space="preserve">Uspostavljena je centralna evidencija o eksternaliziranim aktivnostima, a o materijalno značajnim eksternalizacijama godišnje se izvještava Upravu i Nadzorni odbor Banke.  </w:t>
      </w:r>
    </w:p>
    <w:p w:rsidR="002B5EA8" w:rsidRPr="00C25D4E" w:rsidRDefault="002B5EA8" w:rsidP="002B5EA8">
      <w:pPr>
        <w:spacing w:before="240" w:after="120" w:line="276" w:lineRule="auto"/>
        <w:jc w:val="both"/>
        <w:rPr>
          <w:rFonts w:asciiTheme="minorHAnsi" w:eastAsia="Calibri" w:hAnsiTheme="minorHAnsi" w:cstheme="minorHAnsi"/>
          <w:b/>
          <w:lang w:eastAsia="hr-HR"/>
        </w:rPr>
      </w:pPr>
      <w:r w:rsidRPr="00C25D4E">
        <w:rPr>
          <w:rFonts w:asciiTheme="minorHAnsi" w:eastAsia="Calibri" w:hAnsiTheme="minorHAnsi" w:cstheme="minorHAnsi"/>
          <w:b/>
          <w:lang w:eastAsia="hr-HR"/>
        </w:rPr>
        <w:t>Kvaliteta imovine HBOR-a</w:t>
      </w:r>
    </w:p>
    <w:p w:rsidR="002B5EA8" w:rsidRPr="00C25D4E" w:rsidRDefault="002B5EA8" w:rsidP="002B5EA8">
      <w:pPr>
        <w:widowControl w:val="0"/>
        <w:spacing w:before="240" w:after="120" w:line="276" w:lineRule="auto"/>
        <w:jc w:val="both"/>
        <w:rPr>
          <w:rFonts w:asciiTheme="minorHAnsi" w:hAnsiTheme="minorHAnsi" w:cstheme="minorHAnsi"/>
        </w:rPr>
      </w:pPr>
      <w:r w:rsidRPr="00C25D4E">
        <w:rPr>
          <w:rFonts w:asciiTheme="minorHAnsi" w:hAnsiTheme="minorHAnsi" w:cstheme="minorHAnsi"/>
        </w:rPr>
        <w:t>HBOR je u 2018. godini primijenio Međunarodni standard financijskog izvještavanja broj 9 za umanjenje vrijednosti financijskih instrumenata.</w:t>
      </w:r>
    </w:p>
    <w:p w:rsidR="002B5EA8" w:rsidRPr="00C25D4E" w:rsidRDefault="002B5EA8" w:rsidP="002B5EA8">
      <w:pPr>
        <w:widowControl w:val="0"/>
        <w:spacing w:before="240" w:after="120" w:line="276" w:lineRule="auto"/>
        <w:jc w:val="both"/>
        <w:rPr>
          <w:rFonts w:asciiTheme="minorHAnsi" w:hAnsiTheme="minorHAnsi" w:cstheme="minorHAnsi"/>
        </w:rPr>
      </w:pPr>
      <w:r w:rsidRPr="00C25D4E">
        <w:rPr>
          <w:rFonts w:asciiTheme="minorHAnsi" w:hAnsiTheme="minorHAnsi" w:cstheme="minorHAnsi"/>
        </w:rPr>
        <w:t xml:space="preserve">Ukupni portfelj HBOR-a na 31. prosinca 2018. iznosio je oko 35.808,1 milijuna kuna. Od ukupnog portfelja, u 1. stupanj kreditnog rizika razvrstano je 74,6 posto, u 2. stupanj kreditnog rizika 6,9 posto te 18,5 posto u 3. stupanj kreditnog rizika. </w:t>
      </w:r>
    </w:p>
    <w:p w:rsidR="002B5EA8" w:rsidRPr="00C25D4E" w:rsidRDefault="002B5EA8" w:rsidP="002B5EA8">
      <w:pPr>
        <w:widowControl w:val="0"/>
        <w:spacing w:before="240" w:after="120" w:line="276" w:lineRule="auto"/>
        <w:jc w:val="both"/>
        <w:rPr>
          <w:rFonts w:asciiTheme="minorHAnsi" w:hAnsiTheme="minorHAnsi" w:cstheme="minorHAnsi"/>
        </w:rPr>
      </w:pPr>
      <w:r w:rsidRPr="00C25D4E">
        <w:rPr>
          <w:rFonts w:asciiTheme="minorHAnsi" w:hAnsiTheme="minorHAnsi" w:cstheme="minorHAnsi"/>
        </w:rPr>
        <w:t xml:space="preserve">S obzirom na to da bruto krediti čine 73 posto ukupnog portfelja, nije izražena značajnija razlika u kvaliteti ukupnog portfelja i ukupnih kredita. U 1. stupanj kreditnog rizika razvrstano je 76,5 posto ukupnih kredita, u 2. stupanj kreditnog rizika 6,9 posto i u 3. stupanj kreditnog rizika 16,6 posto ukupnih kredita.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noProof/>
        </w:rPr>
        <w:drawing>
          <wp:inline distT="0" distB="0" distL="0" distR="0" wp14:anchorId="215E6D66" wp14:editId="3E97A950">
            <wp:extent cx="5172075" cy="3087370"/>
            <wp:effectExtent l="0" t="0" r="9525" b="17780"/>
            <wp:docPr id="7" name="Chart 7">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B5EA8" w:rsidRPr="00C25D4E" w:rsidRDefault="002B5EA8" w:rsidP="002B5EA8">
      <w:pPr>
        <w:spacing w:before="240" w:after="120" w:line="276" w:lineRule="auto"/>
        <w:jc w:val="both"/>
        <w:rPr>
          <w:rFonts w:asciiTheme="minorHAnsi" w:hAnsiTheme="minorHAnsi" w:cstheme="minorHAnsi"/>
        </w:rPr>
      </w:pPr>
    </w:p>
    <w:p w:rsidR="002B5EA8"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noProof/>
        </w:rPr>
        <w:drawing>
          <wp:inline distT="0" distB="0" distL="0" distR="0" wp14:anchorId="5B4731EF" wp14:editId="55538FCA">
            <wp:extent cx="5172075" cy="3087370"/>
            <wp:effectExtent l="0" t="0" r="9525" b="17780"/>
            <wp:docPr id="8" name="Chart 8">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B5EA8" w:rsidRPr="00C25D4E" w:rsidRDefault="002B5EA8" w:rsidP="000C7E9A">
      <w:pPr>
        <w:keepNext/>
        <w:spacing w:before="240" w:after="120" w:line="276" w:lineRule="auto"/>
        <w:outlineLvl w:val="1"/>
        <w:rPr>
          <w:rFonts w:asciiTheme="minorHAnsi" w:hAnsiTheme="minorHAnsi" w:cstheme="minorHAnsi"/>
          <w:b/>
          <w:bCs/>
          <w:lang w:eastAsia="x-none"/>
        </w:rPr>
      </w:pPr>
      <w:bookmarkStart w:id="21" w:name="_Toc3249211"/>
      <w:r w:rsidRPr="00C25D4E">
        <w:rPr>
          <w:rFonts w:asciiTheme="minorHAnsi" w:hAnsiTheme="minorHAnsi" w:cstheme="minorHAnsi"/>
          <w:b/>
          <w:bCs/>
          <w:lang w:eastAsia="x-none"/>
        </w:rPr>
        <w:t>UNUTARNJA REVIZIJA</w:t>
      </w:r>
      <w:bookmarkEnd w:id="21"/>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Unutarnja revizija dio je sustava nadzora HBOR-a zadužen za praćenje ukupnog poslovanja temeljenog na zakonitosti i internim aktima HBOR-a, koji se provodi primjenom standarda interne revizije. Unutarnja revizija organizacijski je nezavisna u obavljanju poslova te samostalno određuje način rada, izvještavanja, nalaza, mišljenja i preporuka. Za svoj rad odgovara administrativno Upravi, a funkcionalno Revizijskom i Nadzornom odboru HBOR-a koje izvješćuje polugodišnje. Temeljem izvješća o reviziji, na prijedlog Unutarnje revizije, Uprava donosi potrebne odluke za poduzimanje korektivnih mjera i aktivnosti. </w:t>
      </w:r>
    </w:p>
    <w:bookmarkEnd w:id="20"/>
    <w:p w:rsidR="002B5EA8" w:rsidRPr="00C25D4E" w:rsidRDefault="002B5EA8" w:rsidP="002B5EA8">
      <w:pPr>
        <w:spacing w:before="240" w:after="120" w:line="276" w:lineRule="auto"/>
        <w:jc w:val="both"/>
        <w:rPr>
          <w:rFonts w:asciiTheme="minorHAnsi" w:hAnsiTheme="minorHAnsi" w:cstheme="minorHAnsi"/>
        </w:rPr>
      </w:pPr>
    </w:p>
    <w:p w:rsidR="002B5EA8" w:rsidRPr="00C25D4E" w:rsidRDefault="002B5EA8" w:rsidP="000C7E9A">
      <w:pPr>
        <w:keepNext/>
        <w:spacing w:before="240" w:after="120" w:line="276" w:lineRule="auto"/>
        <w:outlineLvl w:val="1"/>
        <w:rPr>
          <w:rFonts w:asciiTheme="minorHAnsi" w:hAnsiTheme="minorHAnsi" w:cstheme="minorHAnsi"/>
          <w:b/>
          <w:bCs/>
          <w:lang w:eastAsia="x-none"/>
        </w:rPr>
      </w:pPr>
      <w:bookmarkStart w:id="22" w:name="_Toc3249212"/>
      <w:r w:rsidRPr="00C25D4E">
        <w:rPr>
          <w:rFonts w:asciiTheme="minorHAnsi" w:hAnsiTheme="minorHAnsi" w:cstheme="minorHAnsi"/>
          <w:b/>
          <w:bCs/>
          <w:lang w:eastAsia="x-none"/>
        </w:rPr>
        <w:t>FUNKCIJA PRAĆENJA USKLAĐENOSTI</w:t>
      </w:r>
      <w:bookmarkEnd w:id="22"/>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Funkcija praćenja usklađenosti uspostavljena je kao neovisna i trajna funkcija. Poslovi praćenja usklađenosti uključuju utvrđivanje i procjenu rizika usklađenosti kojem je HBOR izložen ili bi mogao biti izložen, savjetovanje Uprave i drugih odgovornih osoba o načinu primjene relevantnih zakona, standarda i pravila uključujući i informiranje o aktualnostima iz tih područja.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Funkcija praćenja usklađenosti vrši procjenu učinaka koje će na poslovanje HBOR-a imati izmjene relevantnih propisa, procjenjuje usklađenost novih proizvoda ili novih postupaka s relevantnim zakonima i propisima kao i s izmjenama propisa, savjetuje u dijelu pripreme obrazovnih programa vezanih za usklađenost, savjetuje i obrazuje o etičkom ponašanju, sudjeluje u vođenju postupaka po prigovorima i prijavama nepravilnosti te nadzire provedbu i pridržavanje odredbi Kodeksa ponašanja. Funkcija praćenja usklađenosti podnosi periodička izvješća Upravi, Revizijskom i Nadzornom odboru HBOR-a.</w:t>
      </w:r>
    </w:p>
    <w:p w:rsidR="002B5EA8" w:rsidRPr="00C25D4E" w:rsidRDefault="002B5EA8" w:rsidP="000C7E9A">
      <w:pPr>
        <w:keepNext/>
        <w:spacing w:before="240" w:after="120" w:line="276" w:lineRule="auto"/>
        <w:outlineLvl w:val="1"/>
        <w:rPr>
          <w:rFonts w:asciiTheme="minorHAnsi" w:hAnsiTheme="minorHAnsi" w:cstheme="minorHAnsi"/>
          <w:b/>
          <w:bCs/>
          <w:lang w:eastAsia="x-none"/>
        </w:rPr>
      </w:pPr>
      <w:bookmarkStart w:id="23" w:name="_Toc3249213"/>
      <w:r w:rsidRPr="00C25D4E">
        <w:rPr>
          <w:rFonts w:asciiTheme="minorHAnsi" w:hAnsiTheme="minorHAnsi" w:cstheme="minorHAnsi"/>
          <w:b/>
          <w:bCs/>
          <w:lang w:eastAsia="x-none"/>
        </w:rPr>
        <w:t>LJUDSKI POTENCIJALI</w:t>
      </w:r>
      <w:bookmarkEnd w:id="23"/>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HBOR je 2018. godine obnovio Certifikat Poslodavac Partner koji dodjeljuje Selectio d.o.o. za izvrsnost u upravljanju ljudskim potencijalima. Od 2006. godine, kada je HBOR ušao u projekt, prisutan je stalni rast i razvoj u svim segmentima upravljanja ljudskim potencijalima.</w:t>
      </w:r>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U 2018. godini HBOR je postigao 87 posto ukupnih bodova, čime je zadržao visok standard  po svih 45 procjenjivanih procesa upravljanja ljudskim potencijalima.</w:t>
      </w:r>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Takav rezultat postignut je zbog postavljenih procesa u svih pet ocjenjivanih područja i kontinuiranog rada Banke na razvoju procesa upravljanja zaposlenicima kako bi pratila kako interne potrebe u banci, tako i potrebe tržišta.</w:t>
      </w:r>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Cilj procesa upravljanja ljudskim potencijalima jest kvalitetan odabir zaposlenika, njihovo kvalitetno usavršavanje i vođenje</w:t>
      </w:r>
      <w:r>
        <w:rPr>
          <w:rFonts w:asciiTheme="minorHAnsi" w:hAnsiTheme="minorHAnsi" w:cstheme="minorHAnsi"/>
          <w:lang w:eastAsia="x-none"/>
        </w:rPr>
        <w:t>,</w:t>
      </w:r>
      <w:r w:rsidRPr="00C25D4E">
        <w:rPr>
          <w:rFonts w:asciiTheme="minorHAnsi" w:hAnsiTheme="minorHAnsi" w:cstheme="minorHAnsi"/>
          <w:lang w:eastAsia="x-none"/>
        </w:rPr>
        <w:t xml:space="preserve"> jer samo na taj način Banka može pokazati izvrsnost u svojem radu. Redoviti procesi i aktivnosti upravljanja ljudskim potencijalima pokrivaju cjelokupni tijek karijere zaposlenika u organizaciji te omogućuju podršku menadžmentu u upravljanju ljudskim potencijalima: odabiru zaposlenika i zapošljavanju, upravljanju ciljevima i kompetencijama te nagrađivanju kao i razvoju zaposlenika. Nakon zapošljavanja, koje se provodi po transparentnim selekcijskim kriterijima, novi zaposlenici uključuju se u program uvođenja u posao kroz interne edukacije. Radni učinak svih zaposlenika HBOR-a prati se i dokumentira u kvartalnoj dinamici, a jednom godišnje provodi se proces godišnjih razgovora. Razvoj i usavršavanje u kompetencijama, koje su ključne u poslovima koje zaposlenici obavljaju, provodi se kroz održavanje internih edukacija te kroz sudjelovanje zaposlenika na pojedinačnim eksternim edukacijama.</w:t>
      </w:r>
    </w:p>
    <w:p w:rsidR="000C7E9A" w:rsidRDefault="000C7E9A" w:rsidP="002B5EA8">
      <w:pPr>
        <w:spacing w:before="240" w:after="120" w:line="276" w:lineRule="auto"/>
        <w:jc w:val="both"/>
        <w:rPr>
          <w:rFonts w:asciiTheme="minorHAnsi" w:hAnsiTheme="minorHAnsi" w:cstheme="minorHAnsi"/>
        </w:rPr>
      </w:pPr>
      <w:r>
        <w:rPr>
          <w:rFonts w:asciiTheme="minorHAnsi" w:hAnsiTheme="minorHAnsi" w:cstheme="minorHAnsi"/>
        </w:rPr>
        <w:br w:type="page"/>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Na dan 31. prosinca 2018. od ukupno 370 zaposlenika njih čak 324, odnosno 88 posto, bilo je visokoobrazovano i prosječne dobi od 43 godine. Žene čine 66 posto, a muškarci 34 posto zaposlenika. </w:t>
      </w:r>
    </w:p>
    <w:p w:rsidR="002B5EA8" w:rsidRPr="00C25D4E" w:rsidRDefault="002B5EA8" w:rsidP="002B5EA8">
      <w:pPr>
        <w:tabs>
          <w:tab w:val="left" w:pos="0"/>
        </w:tabs>
        <w:spacing w:before="240" w:after="120" w:line="276" w:lineRule="auto"/>
        <w:jc w:val="both"/>
        <w:rPr>
          <w:rFonts w:asciiTheme="minorHAnsi" w:hAnsiTheme="minorHAnsi" w:cstheme="minorHAnsi"/>
          <w:b/>
        </w:rPr>
      </w:pPr>
      <w:r w:rsidRPr="00C25D4E">
        <w:rPr>
          <w:rFonts w:asciiTheme="minorHAnsi" w:hAnsiTheme="minorHAnsi" w:cstheme="minorHAnsi"/>
          <w:b/>
        </w:rPr>
        <w:t xml:space="preserve">Organizacijska struktura HBOR-a 31. prosinca 2018. </w:t>
      </w:r>
    </w:p>
    <w:p w:rsidR="002B5EA8" w:rsidRPr="00C25D4E" w:rsidRDefault="002B5EA8" w:rsidP="002B5EA8">
      <w:pPr>
        <w:tabs>
          <w:tab w:val="left" w:pos="0"/>
        </w:tabs>
        <w:spacing w:before="240" w:after="120" w:line="276" w:lineRule="auto"/>
        <w:rPr>
          <w:rFonts w:asciiTheme="minorHAnsi" w:hAnsiTheme="minorHAnsi" w:cstheme="minorHAnsi"/>
          <w:b/>
        </w:rPr>
      </w:pPr>
    </w:p>
    <w:p w:rsidR="002B5EA8" w:rsidRPr="00C25D4E" w:rsidRDefault="002B5EA8" w:rsidP="002B5EA8">
      <w:pPr>
        <w:tabs>
          <w:tab w:val="left" w:pos="0"/>
        </w:tabs>
        <w:spacing w:before="240" w:after="120" w:line="276" w:lineRule="auto"/>
        <w:jc w:val="both"/>
        <w:rPr>
          <w:rFonts w:asciiTheme="minorHAnsi" w:hAnsiTheme="minorHAnsi" w:cstheme="minorHAnsi"/>
          <w:b/>
        </w:rPr>
      </w:pPr>
      <w:r w:rsidRPr="00426011">
        <w:rPr>
          <w:rFonts w:ascii="Calibri" w:eastAsia="Calibri" w:hAnsi="Calibri"/>
          <w:noProof/>
          <w:sz w:val="22"/>
          <w:szCs w:val="22"/>
        </w:rPr>
        <w:drawing>
          <wp:inline distT="0" distB="0" distL="0" distR="0" wp14:anchorId="01C01CCA" wp14:editId="421D3425">
            <wp:extent cx="5722620" cy="31705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2620" cy="3170555"/>
                    </a:xfrm>
                    <a:prstGeom prst="rect">
                      <a:avLst/>
                    </a:prstGeom>
                    <a:noFill/>
                    <a:ln>
                      <a:noFill/>
                    </a:ln>
                  </pic:spPr>
                </pic:pic>
              </a:graphicData>
            </a:graphic>
          </wp:inline>
        </w:drawing>
      </w:r>
    </w:p>
    <w:p w:rsidR="002B5EA8" w:rsidRPr="00C25D4E" w:rsidRDefault="002B5EA8" w:rsidP="000C7E9A">
      <w:pPr>
        <w:keepNext/>
        <w:spacing w:before="240" w:after="120" w:line="276" w:lineRule="auto"/>
        <w:outlineLvl w:val="1"/>
        <w:rPr>
          <w:rFonts w:asciiTheme="minorHAnsi" w:hAnsiTheme="minorHAnsi" w:cstheme="minorHAnsi"/>
          <w:b/>
          <w:bCs/>
          <w:lang w:eastAsia="x-none"/>
        </w:rPr>
      </w:pPr>
      <w:bookmarkStart w:id="24" w:name="_Toc3249214"/>
      <w:bookmarkStart w:id="25" w:name="_Hlk2943388"/>
      <w:r w:rsidRPr="00C25D4E">
        <w:rPr>
          <w:rFonts w:asciiTheme="minorHAnsi" w:hAnsiTheme="minorHAnsi" w:cstheme="minorHAnsi"/>
          <w:b/>
          <w:bCs/>
          <w:lang w:eastAsia="x-none"/>
        </w:rPr>
        <w:t>OSTALE AKTIVNOSTI</w:t>
      </w:r>
      <w:bookmarkEnd w:id="24"/>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Radi što boljeg ispunjavanja razvojne uloge, unapređenja poslovnih procesa i efikasnosti te prilagodbe novim tržišnim izazovima, HBOR je započeo s provedbom projekta izrade srednjoročne strategije poslovanja i razvoja Banke. Temelj izrade strategije je analiza postojećih internih i eksternih uvjeta poslovanja, analiza poslovnih procesa, tržišnih potreb</w:t>
      </w:r>
      <w:r>
        <w:rPr>
          <w:rFonts w:asciiTheme="minorHAnsi" w:hAnsiTheme="minorHAnsi" w:cstheme="minorHAnsi"/>
          <w:lang w:eastAsia="x-none"/>
        </w:rPr>
        <w:t>a</w:t>
      </w:r>
      <w:r w:rsidRPr="00C25D4E">
        <w:rPr>
          <w:rFonts w:asciiTheme="minorHAnsi" w:hAnsiTheme="minorHAnsi" w:cstheme="minorHAnsi"/>
          <w:lang w:eastAsia="x-none"/>
        </w:rPr>
        <w:t xml:space="preserve"> i jazova. </w:t>
      </w:r>
      <w:r w:rsidRPr="00C25D4E" w:rsidDel="003033C9">
        <w:rPr>
          <w:rFonts w:asciiTheme="minorHAnsi" w:hAnsiTheme="minorHAnsi" w:cstheme="minorHAnsi"/>
          <w:lang w:eastAsia="x-none"/>
        </w:rPr>
        <w:t xml:space="preserve"> </w:t>
      </w:r>
      <w:r w:rsidRPr="00C25D4E">
        <w:rPr>
          <w:rFonts w:asciiTheme="minorHAnsi" w:hAnsiTheme="minorHAnsi" w:cstheme="minorHAnsi"/>
          <w:lang w:eastAsia="x-none"/>
        </w:rPr>
        <w:t>Sredstva za provedbu ovog projekta osigurana su u okviru EU Programa potpore strukturnim reformama (SRSP) pri Europskoj komisiji. Europska komisija je za provedbu projekta izabrala konzultanta koji će raditi na provedbi ovog projekta.</w:t>
      </w:r>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HBOR je u lipnju 2018. godine objavio Izvješće o društvenoj odgovornosti za 2017. godinu. Ovo je HBOR-ovo deveto izvješće o načinu i napretku primjene načela UN Global Compact-a u području ljudskih prava, radnih prava, okoliša i borbe protiv korupcije.</w:t>
      </w:r>
    </w:p>
    <w:p w:rsidR="000C7E9A" w:rsidRDefault="000C7E9A" w:rsidP="002B5EA8">
      <w:pPr>
        <w:shd w:val="clear" w:color="auto" w:fill="FFFFFF"/>
        <w:spacing w:before="240" w:after="120" w:line="276" w:lineRule="auto"/>
        <w:jc w:val="both"/>
        <w:rPr>
          <w:rFonts w:asciiTheme="minorHAnsi" w:hAnsiTheme="minorHAnsi" w:cstheme="minorHAnsi"/>
          <w:lang w:eastAsia="x-none"/>
        </w:rPr>
      </w:pPr>
      <w:r>
        <w:rPr>
          <w:rFonts w:asciiTheme="minorHAnsi" w:hAnsiTheme="minorHAnsi" w:cstheme="minorHAnsi"/>
          <w:lang w:eastAsia="x-none"/>
        </w:rPr>
        <w:br w:type="page"/>
      </w:r>
    </w:p>
    <w:p w:rsidR="002B5EA8" w:rsidRPr="00C25D4E" w:rsidRDefault="002B5EA8" w:rsidP="002B5EA8">
      <w:pPr>
        <w:shd w:val="clear" w:color="auto" w:fill="FFFFFF"/>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Tijekom 2018. godine HBOR je raspisao Javni natječaj za dodjelu donacija „STVARAMO JEDNAKE MOGUĆNOSTI“ namijenjen projektima koji se provode na područjima s manje mogućnosti, a koji utječu na unapređenje kvalitete života i/ili zdravlja i potiču socijalnu uključenost u zajednicu.</w:t>
      </w:r>
    </w:p>
    <w:p w:rsidR="002B5EA8" w:rsidRPr="00C25D4E" w:rsidRDefault="002B5EA8" w:rsidP="002B5EA8">
      <w:pPr>
        <w:spacing w:before="240" w:after="120" w:line="276" w:lineRule="auto"/>
        <w:jc w:val="both"/>
        <w:rPr>
          <w:rFonts w:asciiTheme="minorHAnsi" w:hAnsiTheme="minorHAnsi" w:cstheme="minorHAnsi"/>
          <w:lang w:eastAsia="x-none"/>
        </w:rPr>
      </w:pPr>
      <w:r w:rsidRPr="00C25D4E">
        <w:rPr>
          <w:rFonts w:asciiTheme="minorHAnsi" w:hAnsiTheme="minorHAnsi" w:cstheme="minorHAnsi"/>
          <w:lang w:eastAsia="x-none"/>
        </w:rPr>
        <w:t xml:space="preserve">Donacije su dodijeljene za 11 projekata u ukupnom iznosu nešto većem od 480 tisuća kuna. Podaci o svim primateljima donacija objavljeni su na HBOR-ovim mrežnim stranicama. </w:t>
      </w:r>
    </w:p>
    <w:bookmarkEnd w:id="25"/>
    <w:p w:rsidR="002B5EA8" w:rsidRPr="00C25D4E" w:rsidRDefault="002B5EA8" w:rsidP="002B5EA8">
      <w:pPr>
        <w:spacing w:before="240" w:after="120" w:line="276" w:lineRule="auto"/>
        <w:rPr>
          <w:rFonts w:asciiTheme="minorHAnsi" w:hAnsiTheme="minorHAnsi" w:cstheme="minorHAnsi"/>
          <w:b/>
        </w:rPr>
      </w:pPr>
      <w:r w:rsidRPr="00C25D4E">
        <w:rPr>
          <w:rFonts w:asciiTheme="minorHAnsi" w:hAnsiTheme="minorHAnsi" w:cstheme="minorHAnsi"/>
          <w:b/>
        </w:rPr>
        <w:t>Međunarodna suradnja i internacionalizacija</w:t>
      </w:r>
    </w:p>
    <w:p w:rsidR="002B5EA8" w:rsidRPr="00C25D4E" w:rsidRDefault="002B5EA8" w:rsidP="002B5EA8">
      <w:pPr>
        <w:spacing w:before="240" w:after="120" w:line="276" w:lineRule="auto"/>
        <w:jc w:val="both"/>
        <w:rPr>
          <w:rFonts w:asciiTheme="minorHAnsi" w:hAnsiTheme="minorHAnsi" w:cstheme="minorHAnsi"/>
          <w:highlight w:val="yellow"/>
        </w:rPr>
      </w:pPr>
      <w:r w:rsidRPr="00C25D4E">
        <w:rPr>
          <w:rFonts w:asciiTheme="minorHAnsi" w:hAnsiTheme="minorHAnsi" w:cstheme="minorHAnsi"/>
        </w:rPr>
        <w:t xml:space="preserve">HBOR posvećuje posebnu pažnju uspostavljanju i održavanju uspješnih odnosa s međunarodnim financijskim institucijama, razvojnim bankama, izvozno-kreditnim agencijama te udruženjima i klubovima među kojima su Europska udruga javnih banaka (EAPB), Mreža europskih financijskih institucija za mikro, mala i srednja poduzeća (NEFI), Udruženje banaka </w:t>
      </w:r>
      <w:r>
        <w:rPr>
          <w:rFonts w:asciiTheme="minorHAnsi" w:hAnsiTheme="minorHAnsi" w:cstheme="minorHAnsi"/>
        </w:rPr>
        <w:t>s</w:t>
      </w:r>
      <w:r w:rsidRPr="00C25D4E">
        <w:rPr>
          <w:rFonts w:asciiTheme="minorHAnsi" w:hAnsiTheme="minorHAnsi" w:cstheme="minorHAnsi"/>
        </w:rPr>
        <w:t xml:space="preserve">rednje i </w:t>
      </w:r>
      <w:r>
        <w:rPr>
          <w:rFonts w:asciiTheme="minorHAnsi" w:hAnsiTheme="minorHAnsi" w:cstheme="minorHAnsi"/>
        </w:rPr>
        <w:t>i</w:t>
      </w:r>
      <w:r w:rsidRPr="00C25D4E">
        <w:rPr>
          <w:rFonts w:asciiTheme="minorHAnsi" w:hAnsiTheme="minorHAnsi" w:cstheme="minorHAnsi"/>
        </w:rPr>
        <w:t>stočne Europe (BACEE), Bernska unija, UN-ov Program zaštite okoliša (UNEP FI), UN Global Compact, Međunarodni klub za financiranje razvoja (IDFC), Međubankarsko udruženje NR Kine i zemalja srednje i istočne Europe (The China-CEEC Inter-Bank Association), više bilateralnih trgovinskih komora te Europska udruga dugoročnih investitora (ELTI) čiji je HBOR suosnivač. Sudjelovanje u radu navedenih organizacija HBOR koristi za stjecanje znanja i razvoj poslovanja Banke te kao učinkovit kanal za razmjenu najboljih praksi i specifičnih saznanja članica po različitim pitanjima poslovanja.</w:t>
      </w:r>
      <w:r w:rsidRPr="00C25D4E">
        <w:rPr>
          <w:rFonts w:asciiTheme="minorHAnsi" w:hAnsiTheme="minorHAnsi" w:cstheme="minorHAnsi"/>
          <w:highlight w:val="yellow"/>
        </w:rPr>
        <w:t xml:space="preserve">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lipnju 2018. godine HBOR je bio domaćin EAPB CEO konferencije i Glavne skupštine EAPB-a na kojoj je predsjednica Uprave HBOR-a</w:t>
      </w:r>
      <w:r>
        <w:rPr>
          <w:rFonts w:asciiTheme="minorHAnsi" w:hAnsiTheme="minorHAnsi" w:cstheme="minorHAnsi"/>
        </w:rPr>
        <w:t>,</w:t>
      </w:r>
      <w:r w:rsidRPr="00C25D4E">
        <w:rPr>
          <w:rFonts w:asciiTheme="minorHAnsi" w:hAnsiTheme="minorHAnsi" w:cstheme="minorHAnsi"/>
        </w:rPr>
        <w:t xml:space="preserve"> Tamara Perko izabrana na mjesto članice Upravnog vijeća EAPB-a na mandat od dvije godine. Imenovanjem Tamare Perko u Upravno vijeće ukazano je povjerenje i priznanje HBOR-u, ali isto tako i Republici Hrvatskoj, da kao ravnopravna razvojna institucija i zemlja članica EU predstavljaju važan čimbenik u provođenju zajedničkih europskih politika.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Tijekom 2018. godine zaključen je Sporazum o suradnji između nacionalnih razvojnih banaka jugoistočne Europe (Bugarska, Mađarska, Hrvatska, Makedonija), Black Sea Trade and Development Bank i International Investment Bank, a kojem je glavni fokus poticanje infrastrukturnih projekata na području jugoistočne Europe, identificiranje projekata od ključnog značaja za regiju te financiranje istih. U okviru aktivnosti u vezi s Međubankarskim udruženjem NR Kine i zemalja srednje i istočne Europe (The China-CEEC Inter-Bank Association) potpisana su  dva sporazuma: Sporazum o programu aktivnosti Međubankarskog udruženja Narodne Republike Kine i zemalja srednje i istočne Europe u periodu 2018.</w:t>
      </w:r>
      <w:r>
        <w:rPr>
          <w:rFonts w:asciiTheme="minorHAnsi" w:hAnsiTheme="minorHAnsi" w:cstheme="minorHAnsi"/>
        </w:rPr>
        <w:t xml:space="preserve"> </w:t>
      </w:r>
      <w:r w:rsidRPr="00C25D4E">
        <w:rPr>
          <w:rFonts w:asciiTheme="minorHAnsi" w:hAnsiTheme="minorHAnsi" w:cstheme="minorHAnsi"/>
        </w:rPr>
        <w:t>-</w:t>
      </w:r>
      <w:r>
        <w:rPr>
          <w:rFonts w:asciiTheme="minorHAnsi" w:hAnsiTheme="minorHAnsi" w:cstheme="minorHAnsi"/>
        </w:rPr>
        <w:t xml:space="preserve"> </w:t>
      </w:r>
      <w:r w:rsidRPr="00C25D4E">
        <w:rPr>
          <w:rFonts w:asciiTheme="minorHAnsi" w:hAnsiTheme="minorHAnsi" w:cstheme="minorHAnsi"/>
        </w:rPr>
        <w:t>2020. godine i Sporazum o edukaciji djelatnika i razmjeni iskustava među članicama Međubankarskog udruženja NR Kine i zemalja srednje i istočne Europe.</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Započete su pripreme u suradnji s Ministarstvom financija za </w:t>
      </w:r>
      <w:r>
        <w:rPr>
          <w:rFonts w:asciiTheme="minorHAnsi" w:hAnsiTheme="minorHAnsi" w:cstheme="minorHAnsi"/>
        </w:rPr>
        <w:t>p</w:t>
      </w:r>
      <w:r w:rsidRPr="00C25D4E">
        <w:rPr>
          <w:rFonts w:asciiTheme="minorHAnsi" w:hAnsiTheme="minorHAnsi" w:cstheme="minorHAnsi"/>
        </w:rPr>
        <w:t xml:space="preserve">redsjedanje RH Vijećem EU u 2020. godini tijekom kojeg će HBOR biti zamjenik predsjedavatelja Radne skupine za izvozne kredite Vijeća EU (Export Credits Group).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Nastavljena je suradnja s udruženjem Hrvatski izvoznici, a internacionalizacija gospodarstva podržana je i sudjelovanjem u gospodarskim delegacijama u inozemstvu,  kao i na gospodarskim forumima održanim u Republici Hrvatskoj.</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S ciljem jačanja konkurentnosti hrvatskih gospodarstvenika i izvoza te općenito poboljšanja uvjeta poslovanja, naglašena je bila i suradnja s inozemnim veleposlanstvima u RH kao i već uspješna dugogodišnja suradnja s trgovinskim komorama u Republici Hrvatskoj gdje su, sukladno potrebama HBOR-a i hrvatskih gospodarstvenika, predstavnici HBOR-a sudjelovali u radu relevantnih odbora.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listopadu 2018. godine je pod pokroviteljstvom Vlade Republike Hrvatske održana HBOR-ova 17. međunarodna konferencija o poticanju izvoza koja je okupila brojne inozemne i domaće partnere. Na konferenciji je zaključen Sporazum o suradnji s uglednom nizozemskom izvozno-kreditnom institucijom Atradius DSB čime je dodatno proširen institucionalni okvir suradnje s ciljem pomoći hrvatskim izvoznicima.</w:t>
      </w:r>
      <w:r w:rsidRPr="00C25D4E" w:rsidDel="00180738">
        <w:rPr>
          <w:rFonts w:asciiTheme="minorHAnsi" w:hAnsiTheme="minorHAnsi" w:cstheme="minorHAnsi"/>
        </w:rPr>
        <w:t xml:space="preserve"> </w:t>
      </w:r>
    </w:p>
    <w:p w:rsidR="002B5EA8" w:rsidRPr="00C25D4E" w:rsidRDefault="002B5EA8" w:rsidP="002B5EA8">
      <w:pPr>
        <w:spacing w:before="240" w:after="120" w:line="276" w:lineRule="auto"/>
        <w:jc w:val="center"/>
        <w:rPr>
          <w:rFonts w:asciiTheme="minorHAnsi" w:hAnsiTheme="minorHAnsi" w:cstheme="minorHAnsi"/>
          <w:b/>
        </w:rPr>
      </w:pPr>
      <w:r w:rsidRPr="00C25D4E">
        <w:rPr>
          <w:rFonts w:asciiTheme="minorHAnsi" w:hAnsiTheme="minorHAnsi" w:cstheme="minorHAnsi"/>
          <w:b/>
        </w:rPr>
        <w:t>OPĆA UREDBA O ZAŠTITI OSOBNIH PODATAKA</w:t>
      </w:r>
    </w:p>
    <w:p w:rsidR="002B5EA8"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GDPR (General Data Protection Regulation) ili Opća </w:t>
      </w:r>
      <w:r>
        <w:rPr>
          <w:rFonts w:asciiTheme="minorHAnsi" w:hAnsiTheme="minorHAnsi" w:cstheme="minorHAnsi"/>
        </w:rPr>
        <w:t>u</w:t>
      </w:r>
      <w:r w:rsidRPr="00C25D4E">
        <w:rPr>
          <w:rFonts w:asciiTheme="minorHAnsi" w:hAnsiTheme="minorHAnsi" w:cstheme="minorHAnsi"/>
        </w:rPr>
        <w:t xml:space="preserve">redba o zaštiti osobnih podataka regulira zaštitu osobnih podataka građana Europske unije. Cilj GDPR-a je pružiti kontrolu građanima EU nad njihovim osobnim podacima i stvoriti visoku i ujednačenu razinu zaštite podataka u EU. Uz pomoć vanjskih konzultanata, radna skupina HBOR-a je utvrdila mjere potrebne za usklađivanje s Uredbom i rokove za provedbu. Temeljem utvrđenih mjera, u propisanim rokovima, osigurana su ključna usklađenja s Uredbom, odnosno provedeno je donošenje Politike zaštite osobnih podataka HBOR-a, donošenje Pravilnika o zaštiti osobnih podataka, donošenje i javna objava dokumenata Politika privatnosti i Informacije ispitanicima, izrada Registra obrada osobnih podataka i evidencija obrada, imenovanje </w:t>
      </w:r>
      <w:r>
        <w:rPr>
          <w:rFonts w:asciiTheme="minorHAnsi" w:hAnsiTheme="minorHAnsi" w:cstheme="minorHAnsi"/>
        </w:rPr>
        <w:t>s</w:t>
      </w:r>
      <w:r w:rsidRPr="00C25D4E">
        <w:rPr>
          <w:rFonts w:asciiTheme="minorHAnsi" w:hAnsiTheme="minorHAnsi" w:cstheme="minorHAnsi"/>
        </w:rPr>
        <w:t>lužbenika za zaštitu podataka i izrada aplikacije za upravljanje privolama. Donošenjem internih akata i javnom objavom dokumenata, HBOR je, iz pozicije ispitanika i nadzornog tijela, osigurao glavnu pretpostavku usklađenosti s Uredbom i provedbenim Zakonom. Novim internim aktima iz područja zaštite osobnih podataka utvrđeni su način, nositelj i termini za program edukacija i podizanja svijesti zaposlenika o zaštiti osobnih podataka, kao i izobrazbe novih zaposlenika na području zaštite osobnih podataka. Slijedom navedenog tijekom 2018. godine je organizirana edukacija svih zaposlenika iz područja osnova zaštite osobnih podataka.</w:t>
      </w:r>
    </w:p>
    <w:p w:rsidR="002B5EA8" w:rsidRDefault="002B5EA8" w:rsidP="002B5EA8">
      <w:pPr>
        <w:rPr>
          <w:rFonts w:asciiTheme="minorHAnsi" w:hAnsiTheme="minorHAnsi" w:cstheme="minorHAnsi"/>
        </w:rPr>
      </w:pPr>
      <w:r>
        <w:rPr>
          <w:rFonts w:asciiTheme="minorHAnsi" w:hAnsiTheme="minorHAnsi" w:cstheme="minorHAnsi"/>
        </w:rPr>
        <w:br w:type="page"/>
      </w:r>
    </w:p>
    <w:p w:rsidR="002B5EA8" w:rsidRPr="00C25D4E" w:rsidRDefault="002B5EA8" w:rsidP="002B5EA8">
      <w:pPr>
        <w:spacing w:before="240" w:after="120" w:line="276" w:lineRule="auto"/>
        <w:jc w:val="center"/>
        <w:rPr>
          <w:rFonts w:asciiTheme="minorHAnsi" w:hAnsiTheme="minorHAnsi" w:cstheme="minorHAnsi"/>
          <w:b/>
        </w:rPr>
      </w:pPr>
      <w:r w:rsidRPr="00C25D4E">
        <w:rPr>
          <w:rFonts w:asciiTheme="minorHAnsi" w:hAnsiTheme="minorHAnsi" w:cstheme="minorHAnsi"/>
          <w:b/>
        </w:rPr>
        <w:t>PODRUČNI UREDI</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Regionalnoj dostupnosti financijskih usluga HBOR-a te jačanju vidljivosti banke, posebno u odnosu na sektor malih i srednje velikih poduzeća, doprinosi mreža od pet područnih ureda koju HBOR razvija od 2003. godine. Aktivnosti područnih ureda HBOR-a usmjerene su na savjetovanje i informiranje poduzetnika o korištenju HBOR-a kao izvora financiranja pokretanja poslovanja, rasta i razvoja.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Područni uredi HBOR-a u prostornom smislu obuhvaćaju 14 županija. U gospodarskom smislu područnim uredima je orijentirano više od 120 tisuća aktivnih trgovačkih društava i obrta (ili 62 posto ukupne populacije poslovnih subjekata u zemlji).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Područni uredi su u prošloj godini održali ukupno 315 radionica i edukacija, uključujući radionice pod nazivom „7 koraka do kredita“ koje su usmjerene na osnaživanje financijske pismenosti potencijalnih i postojećih poduzetnika.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Pojedinačna savjetovanja poduzetnika, bilo početnika ili onih s višegodišnjom gospodarskom aktivnošću, područni uredi realiziraju u okviru organiziranja i izvođenja info-dana u suradnji s uredima za gospodarstvo jedinica lokalne uprave i samouprave, nadležnim gospodarskim i obrtničkim komorama, poduzetničkim centrima ili razvojnim agencijama te lokalnim akcijskim grupama. Područni uredi, kao dio distribucijske mreže HBOR-a, tijekom 2018. godine inicirali su značajan broj pojedinačnih kreditnih zahtjeva, izravno ili putem financijskih institucija s kojima HBOR surađuje.</w:t>
      </w:r>
    </w:p>
    <w:p w:rsidR="002B5EA8" w:rsidRPr="00C25D4E" w:rsidRDefault="002B5EA8" w:rsidP="002B5EA8">
      <w:pPr>
        <w:spacing w:before="240" w:after="120" w:line="276" w:lineRule="auto"/>
        <w:jc w:val="center"/>
        <w:rPr>
          <w:rFonts w:asciiTheme="minorHAnsi" w:hAnsiTheme="minorHAnsi" w:cstheme="minorHAnsi"/>
          <w:b/>
        </w:rPr>
      </w:pPr>
      <w:r w:rsidRPr="00C25D4E">
        <w:rPr>
          <w:rFonts w:asciiTheme="minorHAnsi" w:hAnsiTheme="minorHAnsi" w:cstheme="minorHAnsi"/>
          <w:b/>
        </w:rPr>
        <w:t>JAVNOST RADA</w:t>
      </w:r>
    </w:p>
    <w:p w:rsidR="002B5EA8" w:rsidRPr="00C25D4E" w:rsidRDefault="002B5EA8" w:rsidP="002B5EA8">
      <w:pPr>
        <w:autoSpaceDE w:val="0"/>
        <w:autoSpaceDN w:val="0"/>
        <w:adjustRightInd w:val="0"/>
        <w:spacing w:before="240" w:after="120" w:line="276" w:lineRule="auto"/>
        <w:jc w:val="both"/>
        <w:rPr>
          <w:rFonts w:asciiTheme="minorHAnsi" w:hAnsiTheme="minorHAnsi" w:cstheme="minorHAnsi"/>
        </w:rPr>
      </w:pPr>
      <w:r w:rsidRPr="00C25D4E">
        <w:rPr>
          <w:rFonts w:asciiTheme="minorHAnsi" w:hAnsiTheme="minorHAnsi" w:cstheme="minorHAnsi"/>
        </w:rPr>
        <w:t xml:space="preserve">HBOR osobitu pozornost posvećuje informiranju javnosti o ciljevima svog rada i mjerama za njihovo ostvarivanje kao i o rezultatima svojih aktivnosti, poštujući pri tome i vodeći računa o propisanoj bankovnoj tajni i njezinoj funkciji. Primjenom različitih oblika informiranja HBOR je i tijekom 2018. godine redovito obavještavao javnost o svim važnijim aktivnostima. </w:t>
      </w:r>
    </w:p>
    <w:p w:rsidR="002B5EA8" w:rsidRPr="00C25D4E" w:rsidRDefault="002B5EA8" w:rsidP="002B5EA8">
      <w:pPr>
        <w:autoSpaceDE w:val="0"/>
        <w:autoSpaceDN w:val="0"/>
        <w:adjustRightInd w:val="0"/>
        <w:spacing w:before="240" w:after="120" w:line="276" w:lineRule="auto"/>
        <w:jc w:val="both"/>
        <w:rPr>
          <w:rFonts w:asciiTheme="minorHAnsi" w:hAnsiTheme="minorHAnsi" w:cstheme="minorHAnsi"/>
        </w:rPr>
      </w:pPr>
      <w:r w:rsidRPr="00C25D4E">
        <w:rPr>
          <w:rFonts w:asciiTheme="minorHAnsi" w:hAnsiTheme="minorHAnsi" w:cstheme="minorHAnsi"/>
        </w:rPr>
        <w:t>U izvještajnoj godini HBOR je objavio 18 priopćenja kojima je javnost informirana o poslovanju, postignutim poslovnim rezultatima, uvođenju novih i izmjenama postojećih programa. Na mrežnim stranicama HBOR-a javnosti su dostupne sve informacije o radu, osim onih koje podliježu bankovnoj tajni sukladno Zakonu o kreditnim institucijama.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Tijekom izvještajne godine objavljeno je 27 postupaka javne nabave u elektroničkom oglasniku javne nabave. Od 1. srpnja 2017. na mrežnim stranicama HBOR-a objavljuju se i postupci jednostavne nabave. </w:t>
      </w:r>
    </w:p>
    <w:p w:rsidR="002B5EA8" w:rsidRPr="00C25D4E" w:rsidRDefault="002B5EA8" w:rsidP="002B5EA8">
      <w:pPr>
        <w:autoSpaceDE w:val="0"/>
        <w:autoSpaceDN w:val="0"/>
        <w:adjustRightInd w:val="0"/>
        <w:spacing w:before="240" w:after="120" w:line="276" w:lineRule="auto"/>
        <w:jc w:val="both"/>
        <w:rPr>
          <w:rFonts w:asciiTheme="minorHAnsi" w:hAnsiTheme="minorHAnsi" w:cstheme="minorHAnsi"/>
        </w:rPr>
      </w:pPr>
      <w:r w:rsidRPr="00C25D4E">
        <w:rPr>
          <w:rFonts w:asciiTheme="minorHAnsi" w:hAnsiTheme="minorHAnsi" w:cstheme="minorHAnsi"/>
        </w:rPr>
        <w:t>Tijekom 2018. godine zaprimljeno je 39 zahtjeva za pristup informacijama sukladno Zakonu o pravu na pristup informacijama.</w:t>
      </w:r>
    </w:p>
    <w:p w:rsidR="002B5EA8" w:rsidRPr="00C25D4E" w:rsidRDefault="002B5EA8" w:rsidP="002B5EA8">
      <w:pPr>
        <w:pStyle w:val="Heading1"/>
        <w:spacing w:before="240" w:after="120" w:line="276" w:lineRule="auto"/>
        <w:jc w:val="center"/>
        <w:rPr>
          <w:rFonts w:asciiTheme="minorHAnsi" w:hAnsiTheme="minorHAnsi" w:cstheme="minorHAnsi"/>
          <w:b/>
          <w:sz w:val="24"/>
          <w:szCs w:val="24"/>
          <w:u w:val="none"/>
          <w:lang w:val="hr-HR"/>
        </w:rPr>
      </w:pPr>
      <w:bookmarkStart w:id="26" w:name="_Toc3249215"/>
      <w:r w:rsidRPr="00C25D4E">
        <w:rPr>
          <w:rFonts w:asciiTheme="minorHAnsi" w:hAnsiTheme="minorHAnsi" w:cstheme="minorHAnsi"/>
          <w:b/>
          <w:sz w:val="24"/>
          <w:szCs w:val="24"/>
          <w:u w:val="none"/>
          <w:lang w:val="hr-HR"/>
        </w:rPr>
        <w:t>POSLOVANJE GRUPE HRVATSKO KREDITNO OSIGURANJE</w:t>
      </w:r>
      <w:bookmarkEnd w:id="26"/>
    </w:p>
    <w:p w:rsidR="002B5EA8" w:rsidRPr="00C25D4E" w:rsidRDefault="002B5EA8" w:rsidP="002B5EA8">
      <w:pPr>
        <w:keepNext/>
        <w:spacing w:before="240" w:after="120" w:line="276" w:lineRule="auto"/>
        <w:jc w:val="center"/>
        <w:outlineLvl w:val="1"/>
        <w:rPr>
          <w:rFonts w:asciiTheme="minorHAnsi" w:hAnsiTheme="minorHAnsi" w:cstheme="minorHAnsi"/>
          <w:b/>
          <w:bCs/>
          <w:lang w:eastAsia="x-none"/>
        </w:rPr>
      </w:pPr>
      <w:bookmarkStart w:id="27" w:name="_Toc3249216"/>
      <w:r w:rsidRPr="00C25D4E">
        <w:rPr>
          <w:rFonts w:asciiTheme="minorHAnsi" w:hAnsiTheme="minorHAnsi" w:cstheme="minorHAnsi"/>
          <w:b/>
          <w:bCs/>
          <w:lang w:eastAsia="x-none"/>
        </w:rPr>
        <w:t>HRVATSKO KREDITNO OSIGURANJE D.D. I POSLOVNI INFO SERVIS D.O.O.</w:t>
      </w:r>
      <w:bookmarkEnd w:id="27"/>
    </w:p>
    <w:p w:rsidR="002B5EA8" w:rsidRPr="00C25D4E" w:rsidRDefault="002B5EA8" w:rsidP="002B5EA8">
      <w:pPr>
        <w:suppressAutoHyphens/>
        <w:spacing w:before="240" w:after="120" w:line="276" w:lineRule="auto"/>
        <w:jc w:val="both"/>
        <w:rPr>
          <w:rFonts w:asciiTheme="minorHAnsi" w:eastAsia="PMingLiU" w:hAnsiTheme="minorHAnsi" w:cstheme="minorHAnsi"/>
        </w:rPr>
      </w:pPr>
      <w:r w:rsidRPr="00C25D4E">
        <w:rPr>
          <w:rFonts w:asciiTheme="minorHAnsi" w:hAnsiTheme="minorHAnsi" w:cstheme="minorHAnsi"/>
        </w:rPr>
        <w:t xml:space="preserve">Hrvatsko kreditno osiguranje d.d. (HKO) dioničko je društvo za osiguranje specijalizirano </w:t>
      </w:r>
      <w:r w:rsidRPr="00C25D4E">
        <w:rPr>
          <w:rFonts w:asciiTheme="minorHAnsi" w:eastAsia="PMingLiU" w:hAnsiTheme="minorHAnsi" w:cstheme="minorHAnsi"/>
        </w:rPr>
        <w:t>za osiguranje kratkoročnih potraživanja (rokovi plaćanja do 2 godine) nastalih temeljem prodaje roba i usluga među poslovnim subjektima. Osiguravaju se politički i komercijalni rizici.</w:t>
      </w:r>
    </w:p>
    <w:p w:rsidR="002B5EA8" w:rsidRPr="00C25D4E" w:rsidRDefault="002B5EA8" w:rsidP="002B5EA8">
      <w:pPr>
        <w:suppressAutoHyphens/>
        <w:spacing w:before="240" w:after="120" w:line="276" w:lineRule="auto"/>
        <w:jc w:val="both"/>
        <w:rPr>
          <w:rFonts w:asciiTheme="minorHAnsi" w:eastAsia="PMingLiU" w:hAnsiTheme="minorHAnsi" w:cstheme="minorHAnsi"/>
        </w:rPr>
      </w:pPr>
      <w:r w:rsidRPr="00C25D4E">
        <w:rPr>
          <w:rFonts w:asciiTheme="minorHAnsi" w:eastAsia="PMingLiU" w:hAnsiTheme="minorHAnsi" w:cstheme="minorHAnsi"/>
        </w:rPr>
        <w:t>U 2018. godini HKO je u ponudi imao sljedeće proizvode osiguranja: osiguranje domaćih i izvoznih potraživanja.</w:t>
      </w:r>
    </w:p>
    <w:p w:rsidR="002B5EA8" w:rsidRPr="00C25D4E" w:rsidRDefault="002B5EA8" w:rsidP="002B5EA8">
      <w:pPr>
        <w:spacing w:before="240" w:after="120" w:line="276" w:lineRule="auto"/>
        <w:jc w:val="both"/>
        <w:rPr>
          <w:rFonts w:asciiTheme="minorHAnsi" w:eastAsia="PMingLiU" w:hAnsiTheme="minorHAnsi" w:cstheme="minorHAnsi"/>
        </w:rPr>
      </w:pPr>
      <w:r w:rsidRPr="00C25D4E">
        <w:rPr>
          <w:rFonts w:asciiTheme="minorHAnsi" w:hAnsiTheme="minorHAnsi" w:cstheme="minorHAnsi"/>
        </w:rPr>
        <w:t xml:space="preserve">HKO je </w:t>
      </w:r>
      <w:r w:rsidRPr="00C25D4E">
        <w:rPr>
          <w:rFonts w:asciiTheme="minorHAnsi" w:eastAsia="PMingLiU" w:hAnsiTheme="minorHAnsi" w:cstheme="minorHAnsi"/>
        </w:rPr>
        <w:t xml:space="preserve">u listopadu 2010. godine osnovao društvo Poslovni info servis d.o.o. te je počeo </w:t>
      </w:r>
      <w:r w:rsidRPr="00C25D4E">
        <w:rPr>
          <w:rFonts w:asciiTheme="minorHAnsi" w:hAnsiTheme="minorHAnsi" w:cstheme="minorHAnsi"/>
        </w:rPr>
        <w:t xml:space="preserve">poslovati kao Grupa </w:t>
      </w:r>
      <w:r w:rsidRPr="00C25D4E">
        <w:rPr>
          <w:rFonts w:asciiTheme="minorHAnsi" w:eastAsia="PMingLiU" w:hAnsiTheme="minorHAnsi" w:cstheme="minorHAnsi"/>
        </w:rPr>
        <w:t>Hrvatsko kreditno osiguranje</w:t>
      </w:r>
      <w:r w:rsidRPr="00C25D4E">
        <w:rPr>
          <w:rFonts w:asciiTheme="minorHAnsi" w:hAnsiTheme="minorHAnsi" w:cstheme="minorHAnsi"/>
        </w:rPr>
        <w:t xml:space="preserve"> (Grupa HKO) i iskazivati konsolidirane financijske podatke. </w:t>
      </w:r>
      <w:r w:rsidRPr="00C25D4E">
        <w:rPr>
          <w:rFonts w:asciiTheme="minorHAnsi" w:eastAsia="PMingLiU" w:hAnsiTheme="minorHAnsi" w:cstheme="minorHAnsi"/>
        </w:rPr>
        <w:t xml:space="preserve">Poslovni info servis d.o.o. (PIS) unutar Grupe HKO zadužen je za provedbu analize i ocjene kreditnih rizika u vezi s poslovima osiguranja.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Na dan 31. prosinca 2018. Grupa HKO je zapošljavala 20 zaposlenika, od čega je 15 bilo zaposleno u Hrvatskom kreditnom osiguranju d.d., a 5 u društvu PIS. Visoku stručnu spremu ima 17 zaposlenika, a troje srednju stručnu spremu.</w:t>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Vlasnička struktura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Hrvatska banka za obnovu i razvitak je 100%-tni vlasnik HKO-a.</w:t>
      </w:r>
    </w:p>
    <w:p w:rsidR="002B5EA8" w:rsidRPr="00C25D4E" w:rsidRDefault="002B5EA8" w:rsidP="002B5EA8">
      <w:pPr>
        <w:spacing w:before="240" w:after="120" w:line="276" w:lineRule="auto"/>
        <w:jc w:val="both"/>
        <w:rPr>
          <w:rFonts w:asciiTheme="minorHAnsi" w:hAnsiTheme="minorHAnsi" w:cstheme="minorHAnsi"/>
          <w:b/>
        </w:rPr>
      </w:pPr>
      <w:r w:rsidRPr="00C25D4E">
        <w:rPr>
          <w:rFonts w:asciiTheme="minorHAnsi" w:hAnsiTheme="minorHAnsi" w:cstheme="minorHAnsi"/>
          <w:b/>
        </w:rPr>
        <w:t>Upravljanje</w:t>
      </w:r>
    </w:p>
    <w:p w:rsidR="002B5EA8" w:rsidRPr="00C25D4E" w:rsidRDefault="002B5EA8" w:rsidP="002B5EA8">
      <w:pPr>
        <w:spacing w:before="240" w:after="120" w:line="276" w:lineRule="auto"/>
        <w:jc w:val="both"/>
        <w:rPr>
          <w:rFonts w:asciiTheme="minorHAnsi" w:eastAsia="PMingLiU" w:hAnsiTheme="minorHAnsi" w:cstheme="minorHAnsi"/>
        </w:rPr>
      </w:pPr>
      <w:r w:rsidRPr="00C25D4E">
        <w:rPr>
          <w:rFonts w:asciiTheme="minorHAnsi" w:eastAsia="PMingLiU" w:hAnsiTheme="minorHAnsi" w:cstheme="minorHAnsi"/>
        </w:rPr>
        <w:t>Statutom Društva uređuju se pravni status, ustrojstvo i upravljanje Društvom te druga pitanja značajna za poslovanje Društva kao i ostala usklađenja sukladno Zakonu o trgovačkim društvima i Zakonu o osiguranju. Tijela koja upravljaju Društvom su: Uprava, Nadzorni odbor i Glavna skupština.</w:t>
      </w:r>
    </w:p>
    <w:p w:rsidR="002B5EA8" w:rsidRPr="00C25D4E" w:rsidRDefault="002B5EA8" w:rsidP="002B5EA8">
      <w:pPr>
        <w:spacing w:before="240" w:after="120" w:line="276" w:lineRule="auto"/>
        <w:jc w:val="both"/>
        <w:rPr>
          <w:rFonts w:asciiTheme="minorHAnsi" w:eastAsia="PMingLiU" w:hAnsiTheme="minorHAnsi" w:cstheme="minorHAnsi"/>
          <w:b/>
        </w:rPr>
      </w:pPr>
      <w:r w:rsidRPr="00C25D4E">
        <w:rPr>
          <w:rFonts w:asciiTheme="minorHAnsi" w:eastAsia="PMingLiU" w:hAnsiTheme="minorHAnsi" w:cstheme="minorHAnsi"/>
          <w:b/>
        </w:rPr>
        <w:t>Osobe ovlaštene za zastupanje</w:t>
      </w:r>
    </w:p>
    <w:p w:rsidR="002B5EA8" w:rsidRPr="00C25D4E" w:rsidRDefault="002B5EA8" w:rsidP="002B5EA8">
      <w:pPr>
        <w:spacing w:before="240" w:after="120" w:line="276" w:lineRule="auto"/>
        <w:jc w:val="both"/>
        <w:rPr>
          <w:rFonts w:asciiTheme="minorHAnsi" w:eastAsia="PMingLiU" w:hAnsiTheme="minorHAnsi" w:cstheme="minorHAnsi"/>
          <w:b/>
        </w:rPr>
      </w:pPr>
      <w:r w:rsidRPr="00C25D4E">
        <w:rPr>
          <w:rFonts w:asciiTheme="minorHAnsi" w:eastAsia="PMingLiU" w:hAnsiTheme="minorHAnsi" w:cstheme="minorHAnsi"/>
          <w:b/>
        </w:rPr>
        <w:t>Uprava tijekom 2018. godine</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Zvonimir Samodol, predsjednik Uprave</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eastAsia="PMingLiU" w:hAnsiTheme="minorHAnsi" w:cstheme="minorHAnsi"/>
          <w:b/>
        </w:rPr>
      </w:pPr>
      <w:r w:rsidRPr="00C25D4E">
        <w:rPr>
          <w:rFonts w:asciiTheme="minorHAnsi" w:hAnsiTheme="minorHAnsi" w:cstheme="minorHAnsi"/>
        </w:rPr>
        <w:t>Ružica Adamović, članica Uprave</w:t>
      </w:r>
    </w:p>
    <w:p w:rsidR="002B5EA8" w:rsidRPr="00C25D4E" w:rsidRDefault="002B5EA8" w:rsidP="002B5EA8">
      <w:pPr>
        <w:spacing w:before="240" w:after="120" w:line="276" w:lineRule="auto"/>
        <w:jc w:val="both"/>
        <w:rPr>
          <w:rFonts w:asciiTheme="minorHAnsi" w:eastAsia="PMingLiU" w:hAnsiTheme="minorHAnsi" w:cstheme="minorHAnsi"/>
          <w:b/>
        </w:rPr>
      </w:pPr>
      <w:r w:rsidRPr="00C25D4E">
        <w:rPr>
          <w:rFonts w:asciiTheme="minorHAnsi" w:eastAsia="PMingLiU" w:hAnsiTheme="minorHAnsi" w:cstheme="minorHAnsi"/>
          <w:b/>
        </w:rPr>
        <w:t>Nadzorni odbor HKO-a</w:t>
      </w:r>
    </w:p>
    <w:p w:rsidR="002B5EA8" w:rsidRPr="00C25D4E" w:rsidRDefault="002B5EA8" w:rsidP="002B5EA8">
      <w:pPr>
        <w:spacing w:before="240" w:after="120" w:line="276" w:lineRule="auto"/>
        <w:jc w:val="both"/>
        <w:rPr>
          <w:rFonts w:asciiTheme="minorHAnsi" w:eastAsia="PMingLiU" w:hAnsiTheme="minorHAnsi" w:cstheme="minorHAnsi"/>
        </w:rPr>
      </w:pPr>
      <w:r w:rsidRPr="00C25D4E">
        <w:rPr>
          <w:rFonts w:asciiTheme="minorHAnsi" w:eastAsia="PMingLiU" w:hAnsiTheme="minorHAnsi" w:cstheme="minorHAnsi"/>
        </w:rPr>
        <w:t>Nadzorni odbor HKO-a je u 2018. godini djelovao u sljedećem sastavu:</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Tamara Perko, predsjednica Nadzornog odbora,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Marko Topić, zamjenik predsjednika Nadzornog odbora,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Ante Artuković, član Nadzornog odbora,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Marija Jerkić, članica Nadzornog odbora, do 25. rujna 2018.,</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Vedran Jakšić, član Nadzornog odbora, od 25. rujna 2018.,</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Andreja Mergeduš, članica Nadzornog odbora.</w:t>
      </w:r>
    </w:p>
    <w:p w:rsidR="002B5EA8" w:rsidRPr="00C25D4E" w:rsidRDefault="002B5EA8" w:rsidP="002B5EA8">
      <w:pPr>
        <w:spacing w:before="240" w:after="120" w:line="276" w:lineRule="auto"/>
        <w:rPr>
          <w:rFonts w:asciiTheme="minorHAnsi" w:eastAsia="PMingLiU" w:hAnsiTheme="minorHAnsi" w:cstheme="minorHAnsi"/>
          <w:b/>
        </w:rPr>
      </w:pPr>
      <w:r w:rsidRPr="00C25D4E">
        <w:rPr>
          <w:rFonts w:asciiTheme="minorHAnsi" w:eastAsia="PMingLiU" w:hAnsiTheme="minorHAnsi" w:cstheme="minorHAnsi"/>
          <w:b/>
        </w:rPr>
        <w:t>Poslovni info servis d.o.o.</w:t>
      </w:r>
    </w:p>
    <w:p w:rsidR="002B5EA8" w:rsidRPr="00C25D4E" w:rsidRDefault="002B5EA8" w:rsidP="002B5EA8">
      <w:pPr>
        <w:spacing w:before="240" w:after="120" w:line="276" w:lineRule="auto"/>
        <w:jc w:val="both"/>
        <w:rPr>
          <w:rFonts w:asciiTheme="minorHAnsi" w:eastAsia="PMingLiU" w:hAnsiTheme="minorHAnsi" w:cstheme="minorHAnsi"/>
        </w:rPr>
      </w:pPr>
      <w:r w:rsidRPr="00C25D4E">
        <w:rPr>
          <w:rFonts w:asciiTheme="minorHAnsi" w:eastAsia="PMingLiU" w:hAnsiTheme="minorHAnsi" w:cstheme="minorHAnsi"/>
        </w:rPr>
        <w:t xml:space="preserve">Funkciju direktorice PIS-a u 2018. godini obavljala je Jelena Boromisa. </w:t>
      </w:r>
    </w:p>
    <w:p w:rsidR="002B5EA8" w:rsidRPr="00C25D4E" w:rsidRDefault="002B5EA8" w:rsidP="002B5EA8">
      <w:pPr>
        <w:spacing w:before="240" w:after="120" w:line="276" w:lineRule="auto"/>
        <w:jc w:val="both"/>
        <w:rPr>
          <w:rFonts w:asciiTheme="minorHAnsi" w:eastAsia="PMingLiU" w:hAnsiTheme="minorHAnsi" w:cstheme="minorHAnsi"/>
        </w:rPr>
      </w:pPr>
      <w:r w:rsidRPr="00C25D4E">
        <w:rPr>
          <w:rFonts w:asciiTheme="minorHAnsi" w:eastAsia="PMingLiU" w:hAnsiTheme="minorHAnsi" w:cstheme="minorHAnsi"/>
        </w:rPr>
        <w:t>Prokuristica Društva je Ivana Paić.</w:t>
      </w:r>
    </w:p>
    <w:p w:rsidR="002B5EA8" w:rsidRPr="00C25D4E" w:rsidRDefault="002B5EA8" w:rsidP="002B5EA8">
      <w:pPr>
        <w:spacing w:before="240" w:after="120" w:line="276" w:lineRule="auto"/>
        <w:jc w:val="both"/>
        <w:rPr>
          <w:rFonts w:asciiTheme="minorHAnsi" w:eastAsia="PMingLiU" w:hAnsiTheme="minorHAnsi" w:cstheme="minorHAnsi"/>
          <w:b/>
        </w:rPr>
      </w:pPr>
      <w:r w:rsidRPr="00DD667D">
        <w:rPr>
          <w:rFonts w:asciiTheme="minorHAnsi" w:eastAsia="PMingLiU" w:hAnsiTheme="minorHAnsi" w:cstheme="minorHAnsi"/>
          <w:b/>
        </w:rPr>
        <w:t>Revizorski odbor HKO-a</w:t>
      </w:r>
    </w:p>
    <w:p w:rsidR="002B5EA8" w:rsidRPr="00C25D4E" w:rsidRDefault="002B5EA8" w:rsidP="002B5EA8">
      <w:pPr>
        <w:spacing w:before="240" w:after="120" w:line="276" w:lineRule="auto"/>
        <w:jc w:val="both"/>
        <w:rPr>
          <w:rFonts w:asciiTheme="minorHAnsi" w:eastAsia="PMingLiU" w:hAnsiTheme="minorHAnsi" w:cstheme="minorHAnsi"/>
        </w:rPr>
      </w:pPr>
      <w:r w:rsidRPr="00C25D4E">
        <w:rPr>
          <w:rFonts w:asciiTheme="minorHAnsi" w:eastAsia="PMingLiU" w:hAnsiTheme="minorHAnsi" w:cstheme="minorHAnsi"/>
        </w:rPr>
        <w:t>Revizorski odbor HKO-a u 2018. godini djelovao je u sljedećem sastavu:</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Ante Artuković, predsjednik Revizorskog odbora,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Andreja Sekušak, članica Revizorskog odbora,</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Marija Jerkić, zamjenica predsjednika Revizorskog odbora, do 25. rujna 2018.,</w:t>
      </w:r>
    </w:p>
    <w:p w:rsidR="002B5EA8" w:rsidRPr="00C25D4E" w:rsidRDefault="002B5EA8" w:rsidP="002B5EA8">
      <w:pPr>
        <w:numPr>
          <w:ilvl w:val="0"/>
          <w:numId w:val="15"/>
        </w:numPr>
        <w:tabs>
          <w:tab w:val="left" w:pos="3836"/>
        </w:tabs>
        <w:spacing w:before="240" w:after="120" w:line="276" w:lineRule="auto"/>
        <w:ind w:left="284" w:hanging="284"/>
        <w:jc w:val="both"/>
        <w:rPr>
          <w:rFonts w:asciiTheme="minorHAnsi" w:hAnsiTheme="minorHAnsi" w:cstheme="minorHAnsi"/>
        </w:rPr>
      </w:pPr>
      <w:r w:rsidRPr="00C25D4E">
        <w:rPr>
          <w:rFonts w:asciiTheme="minorHAnsi" w:hAnsiTheme="minorHAnsi" w:cstheme="minorHAnsi"/>
        </w:rPr>
        <w:t>Vedran Jakšić, zamjenik predsjednika Revizorskog odbora, od 25. rujna 2018.</w:t>
      </w:r>
    </w:p>
    <w:p w:rsidR="002B5EA8" w:rsidRPr="00C25D4E" w:rsidRDefault="002B5EA8" w:rsidP="002B5EA8">
      <w:pPr>
        <w:spacing w:before="240" w:after="120" w:line="276" w:lineRule="auto"/>
        <w:rPr>
          <w:rFonts w:asciiTheme="minorHAnsi" w:eastAsia="PMingLiU" w:hAnsiTheme="minorHAnsi" w:cstheme="minorHAnsi"/>
          <w:b/>
        </w:rPr>
      </w:pPr>
      <w:r w:rsidRPr="00C25D4E">
        <w:rPr>
          <w:rFonts w:asciiTheme="minorHAnsi" w:eastAsia="PMingLiU" w:hAnsiTheme="minorHAnsi" w:cstheme="minorHAnsi"/>
          <w:b/>
        </w:rPr>
        <w:t>Izvještavanje nadzornih tijela</w:t>
      </w:r>
    </w:p>
    <w:p w:rsidR="002B5EA8"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Društvo je tijekom 2018. godine redovito izvještavalo nadzorna tijela sukladno Zakonu o osiguranju, pravilnicima Hrvatske agencije za nadzor financijskih institucija i drugim važećim propisima o svim relevantnim činjenicama i promjenama u Društvu. Društvo je uredno odgovaralo na sve zahtjeve nadzornih tijela u smislu kontrole poslovanja i dostave podataka Društva.</w:t>
      </w:r>
    </w:p>
    <w:p w:rsidR="002B5EA8" w:rsidRPr="00C25D4E" w:rsidRDefault="002B5EA8" w:rsidP="002B5EA8">
      <w:pPr>
        <w:spacing w:before="240" w:after="120" w:line="276" w:lineRule="auto"/>
        <w:rPr>
          <w:rFonts w:asciiTheme="minorHAnsi" w:hAnsiTheme="minorHAnsi" w:cstheme="minorHAnsi"/>
          <w:b/>
          <w:bCs/>
          <w:iCs/>
        </w:rPr>
      </w:pPr>
      <w:r w:rsidRPr="00C25D4E">
        <w:rPr>
          <w:rFonts w:asciiTheme="minorHAnsi" w:hAnsiTheme="minorHAnsi" w:cstheme="minorHAnsi"/>
          <w:b/>
          <w:bCs/>
          <w:iCs/>
        </w:rPr>
        <w:t>POSLOVANJE U 2018. GODINI</w:t>
      </w:r>
    </w:p>
    <w:p w:rsidR="002B5EA8" w:rsidRPr="00C25D4E" w:rsidRDefault="002B5EA8" w:rsidP="002B5EA8">
      <w:pPr>
        <w:widowControl w:val="0"/>
        <w:suppressAutoHyphens/>
        <w:spacing w:before="240" w:after="120" w:line="276" w:lineRule="auto"/>
        <w:jc w:val="both"/>
        <w:rPr>
          <w:rFonts w:asciiTheme="minorHAnsi" w:hAnsiTheme="minorHAnsi" w:cstheme="minorHAnsi"/>
        </w:rPr>
      </w:pPr>
      <w:r w:rsidRPr="00C25D4E">
        <w:rPr>
          <w:rFonts w:asciiTheme="minorHAnsi" w:eastAsia="PMingLiU" w:hAnsiTheme="minorHAnsi" w:cstheme="minorHAnsi"/>
        </w:rPr>
        <w:t>Hrvatsko kreditno osiguranje d.d. je 2018. godinu završilo sa 156 zaključenih ugovora o osiguranju. O</w:t>
      </w:r>
      <w:r w:rsidRPr="00C25D4E">
        <w:rPr>
          <w:rFonts w:asciiTheme="minorHAnsi" w:hAnsiTheme="minorHAnsi" w:cstheme="minorHAnsi"/>
        </w:rPr>
        <w:t>siguranjem je pokriveno 4.615 kreditnih limita, što je za 9,80 posto više u odnosu na prethodnu godinu. U ukupnoj strukturi limita, na domaća potraživanja se odnosi 3.134 kreditna limita, a 1.481 kreditni limit se odnosi na izvozna potraživanja prema kupcima u 66 zemalja svijeta.</w:t>
      </w:r>
    </w:p>
    <w:p w:rsidR="002B5EA8" w:rsidRPr="00C25D4E" w:rsidRDefault="002B5EA8" w:rsidP="002B5EA8">
      <w:pPr>
        <w:spacing w:before="240" w:after="120" w:line="276" w:lineRule="auto"/>
        <w:rPr>
          <w:rFonts w:asciiTheme="minorHAnsi" w:hAnsiTheme="minorHAnsi" w:cstheme="minorHAnsi"/>
        </w:rPr>
      </w:pPr>
    </w:p>
    <w:p w:rsidR="002B5EA8" w:rsidRPr="00C25D4E" w:rsidRDefault="002B5EA8" w:rsidP="002B5EA8">
      <w:pPr>
        <w:spacing w:before="240" w:after="120" w:line="276" w:lineRule="auto"/>
        <w:jc w:val="center"/>
        <w:rPr>
          <w:rFonts w:asciiTheme="minorHAnsi" w:hAnsiTheme="minorHAnsi" w:cstheme="minorHAnsi"/>
          <w:i/>
        </w:rPr>
      </w:pPr>
      <w:r w:rsidRPr="00C25D4E">
        <w:rPr>
          <w:rFonts w:asciiTheme="minorHAnsi" w:hAnsiTheme="minorHAnsi" w:cstheme="minorHAnsi"/>
          <w:noProof/>
        </w:rPr>
        <w:drawing>
          <wp:inline distT="0" distB="0" distL="0" distR="0" wp14:anchorId="75664336" wp14:editId="6F2D624E">
            <wp:extent cx="6276975" cy="3481705"/>
            <wp:effectExtent l="0" t="0" r="9525" b="4445"/>
            <wp:docPr id="11" name="Chart 11">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B5EA8" w:rsidRPr="00C25D4E" w:rsidRDefault="002B5EA8" w:rsidP="000C7E9A">
      <w:pPr>
        <w:spacing w:before="120" w:after="120" w:line="276" w:lineRule="auto"/>
        <w:jc w:val="both"/>
        <w:rPr>
          <w:rFonts w:asciiTheme="minorHAnsi" w:hAnsiTheme="minorHAnsi" w:cstheme="minorHAnsi"/>
        </w:rPr>
      </w:pPr>
      <w:r w:rsidRPr="00C25D4E">
        <w:rPr>
          <w:rFonts w:asciiTheme="minorHAnsi" w:hAnsiTheme="minorHAnsi" w:cstheme="minorHAnsi"/>
        </w:rPr>
        <w:t>Ukupni volumen osiguranih poslova u 2018. godini iznosio je 4,17 milijarde kuna, dok je u 2017. godini iznosio 3,90 milijarde kuna, što predstavlja rast osiguranog prometa u iznosu od 6,92 posto.</w:t>
      </w:r>
    </w:p>
    <w:p w:rsidR="002B5EA8" w:rsidRPr="00C25D4E" w:rsidRDefault="002B5EA8" w:rsidP="000C7E9A">
      <w:pPr>
        <w:spacing w:before="120" w:after="120" w:line="276" w:lineRule="auto"/>
        <w:jc w:val="both"/>
        <w:rPr>
          <w:rFonts w:asciiTheme="minorHAnsi" w:eastAsia="PMingLiU" w:hAnsiTheme="minorHAnsi" w:cstheme="minorHAnsi"/>
        </w:rPr>
      </w:pPr>
      <w:r w:rsidRPr="00C25D4E">
        <w:rPr>
          <w:rFonts w:asciiTheme="minorHAnsi" w:eastAsia="PMingLiU" w:hAnsiTheme="minorHAnsi" w:cstheme="minorHAnsi"/>
        </w:rPr>
        <w:t>Ukupno zaračunata premija u 2018. godini iznosila je 10,46 milijuna kuna</w:t>
      </w:r>
      <w:r>
        <w:rPr>
          <w:rFonts w:asciiTheme="minorHAnsi" w:eastAsia="PMingLiU" w:hAnsiTheme="minorHAnsi" w:cstheme="minorHAnsi"/>
        </w:rPr>
        <w:t>,</w:t>
      </w:r>
      <w:r w:rsidRPr="00C25D4E">
        <w:rPr>
          <w:rFonts w:asciiTheme="minorHAnsi" w:eastAsia="PMingLiU" w:hAnsiTheme="minorHAnsi" w:cstheme="minorHAnsi"/>
        </w:rPr>
        <w:t xml:space="preserve"> što predstavlja pad od 1,26 posto u odnosu na 2017. godinu kada je iznosila 10,59 milijuna kuna. </w:t>
      </w:r>
    </w:p>
    <w:p w:rsidR="002B5EA8" w:rsidRPr="00C25D4E" w:rsidRDefault="002B5EA8" w:rsidP="000C7E9A">
      <w:pPr>
        <w:widowControl w:val="0"/>
        <w:suppressAutoHyphens/>
        <w:spacing w:before="120" w:after="120" w:line="276" w:lineRule="auto"/>
        <w:jc w:val="both"/>
        <w:rPr>
          <w:rFonts w:asciiTheme="minorHAnsi" w:eastAsia="PMingLiU" w:hAnsiTheme="minorHAnsi" w:cstheme="minorHAnsi"/>
        </w:rPr>
      </w:pPr>
      <w:r w:rsidRPr="00C25D4E">
        <w:rPr>
          <w:rFonts w:asciiTheme="minorHAnsi" w:eastAsia="PMingLiU" w:hAnsiTheme="minorHAnsi" w:cstheme="minorHAnsi"/>
        </w:rPr>
        <w:t>Društvo je u 2018. godini isplatilo 17 naknada za štete. Ukupni iznos likvidiranih šteta u 2018. godini iznosio je 9,78 milijuna kuna, dok je u prethodnoj godini iznos likvidiranih šteta iznosio 6,21 milijuna kuna. Štete su isplaćene za kupce u Hrvatskoj, Srbiji, Sloveniji i Izraelu.</w:t>
      </w:r>
    </w:p>
    <w:p w:rsidR="002B5EA8" w:rsidRPr="00C25D4E" w:rsidRDefault="002B5EA8" w:rsidP="000C7E9A">
      <w:pPr>
        <w:widowControl w:val="0"/>
        <w:suppressAutoHyphens/>
        <w:spacing w:before="240" w:line="276" w:lineRule="auto"/>
        <w:jc w:val="center"/>
        <w:rPr>
          <w:rFonts w:asciiTheme="minorHAnsi" w:hAnsiTheme="minorHAnsi" w:cstheme="minorHAnsi"/>
          <w:i/>
        </w:rPr>
      </w:pPr>
      <w:r w:rsidRPr="00C25D4E">
        <w:rPr>
          <w:rFonts w:asciiTheme="minorHAnsi" w:hAnsiTheme="minorHAnsi" w:cstheme="minorHAnsi"/>
          <w:i/>
        </w:rPr>
        <w:t>Indikatori poslova osiguranja</w:t>
      </w:r>
    </w:p>
    <w:p w:rsidR="002B5EA8" w:rsidRPr="00C25D4E" w:rsidRDefault="002B5EA8" w:rsidP="000C7E9A">
      <w:pPr>
        <w:spacing w:before="120" w:after="120" w:line="276" w:lineRule="auto"/>
        <w:jc w:val="center"/>
        <w:rPr>
          <w:rFonts w:asciiTheme="minorHAnsi" w:hAnsiTheme="minorHAnsi" w:cstheme="minorHAnsi"/>
          <w:sz w:val="20"/>
        </w:rPr>
      </w:pPr>
      <w:r w:rsidRPr="00C25D4E">
        <w:rPr>
          <w:rFonts w:asciiTheme="minorHAnsi" w:hAnsiTheme="minorHAnsi" w:cstheme="minorHAnsi"/>
          <w:sz w:val="20"/>
        </w:rPr>
        <w:t xml:space="preserve">u tis. </w:t>
      </w:r>
      <w:r>
        <w:rPr>
          <w:rFonts w:asciiTheme="minorHAnsi" w:hAnsiTheme="minorHAnsi" w:cstheme="minorHAnsi"/>
          <w:sz w:val="20"/>
        </w:rPr>
        <w:t>kn</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A0" w:firstRow="1" w:lastRow="0" w:firstColumn="1" w:lastColumn="0" w:noHBand="0" w:noVBand="0"/>
      </w:tblPr>
      <w:tblGrid>
        <w:gridCol w:w="3036"/>
        <w:gridCol w:w="2084"/>
        <w:gridCol w:w="2084"/>
        <w:gridCol w:w="2084"/>
      </w:tblGrid>
      <w:tr w:rsidR="002B5EA8" w:rsidRPr="00C25D4E" w:rsidTr="00D03AAE">
        <w:trPr>
          <w:trHeight w:val="533"/>
        </w:trPr>
        <w:tc>
          <w:tcPr>
            <w:tcW w:w="3036" w:type="dxa"/>
            <w:tcBorders>
              <w:top w:val="single" w:sz="4" w:space="0" w:color="auto"/>
              <w:left w:val="single" w:sz="4" w:space="0" w:color="808080"/>
              <w:bottom w:val="single" w:sz="4" w:space="0" w:color="808080"/>
              <w:right w:val="single" w:sz="4" w:space="0" w:color="808080"/>
            </w:tcBorders>
            <w:shd w:val="clear" w:color="auto" w:fill="FFFFFF" w:themeFill="background1"/>
            <w:vAlign w:val="center"/>
          </w:tcPr>
          <w:p w:rsidR="002B5EA8" w:rsidRPr="00C25D4E" w:rsidRDefault="002B5EA8" w:rsidP="00D03AAE">
            <w:pPr>
              <w:spacing w:before="240" w:after="120" w:line="276" w:lineRule="auto"/>
              <w:jc w:val="center"/>
              <w:rPr>
                <w:rFonts w:asciiTheme="minorHAnsi" w:hAnsiTheme="minorHAnsi" w:cstheme="minorHAnsi"/>
                <w:b/>
                <w:bCs/>
              </w:rPr>
            </w:pPr>
          </w:p>
        </w:tc>
        <w:tc>
          <w:tcPr>
            <w:tcW w:w="2084" w:type="dxa"/>
            <w:tcBorders>
              <w:top w:val="single" w:sz="4" w:space="0" w:color="auto"/>
              <w:left w:val="single" w:sz="4" w:space="0" w:color="808080"/>
              <w:bottom w:val="single" w:sz="4" w:space="0" w:color="808080"/>
              <w:right w:val="single" w:sz="4" w:space="0" w:color="808080"/>
            </w:tcBorders>
            <w:shd w:val="clear" w:color="auto" w:fill="FFFFFF" w:themeFill="background1"/>
          </w:tcPr>
          <w:p w:rsidR="002B5EA8" w:rsidRPr="00C25D4E" w:rsidRDefault="002B5EA8" w:rsidP="00D03AAE">
            <w:pPr>
              <w:spacing w:before="240" w:after="120" w:line="276" w:lineRule="auto"/>
              <w:jc w:val="center"/>
              <w:rPr>
                <w:rFonts w:asciiTheme="minorHAnsi" w:hAnsiTheme="minorHAnsi" w:cstheme="minorHAnsi"/>
                <w:b/>
                <w:bCs/>
                <w:sz w:val="22"/>
              </w:rPr>
            </w:pPr>
            <w:r w:rsidRPr="00C25D4E">
              <w:rPr>
                <w:rFonts w:asciiTheme="minorHAnsi" w:hAnsiTheme="minorHAnsi" w:cstheme="minorHAnsi"/>
                <w:b/>
                <w:bCs/>
                <w:sz w:val="22"/>
              </w:rPr>
              <w:t>2016.</w:t>
            </w:r>
          </w:p>
        </w:tc>
        <w:tc>
          <w:tcPr>
            <w:tcW w:w="2084" w:type="dxa"/>
            <w:tcBorders>
              <w:top w:val="single" w:sz="4" w:space="0" w:color="auto"/>
              <w:left w:val="single" w:sz="4" w:space="0" w:color="808080"/>
              <w:bottom w:val="single" w:sz="4" w:space="0" w:color="808080"/>
              <w:right w:val="single" w:sz="4" w:space="0" w:color="808080"/>
            </w:tcBorders>
            <w:shd w:val="clear" w:color="auto" w:fill="FFFFFF" w:themeFill="background1"/>
          </w:tcPr>
          <w:p w:rsidR="002B5EA8" w:rsidRPr="00C25D4E" w:rsidRDefault="002B5EA8" w:rsidP="00D03AAE">
            <w:pPr>
              <w:spacing w:before="240" w:after="120" w:line="276" w:lineRule="auto"/>
              <w:jc w:val="center"/>
              <w:rPr>
                <w:rFonts w:asciiTheme="minorHAnsi" w:hAnsiTheme="minorHAnsi" w:cstheme="minorHAnsi"/>
                <w:b/>
                <w:bCs/>
                <w:sz w:val="22"/>
              </w:rPr>
            </w:pPr>
            <w:r w:rsidRPr="00C25D4E">
              <w:rPr>
                <w:rFonts w:asciiTheme="minorHAnsi" w:hAnsiTheme="minorHAnsi" w:cstheme="minorHAnsi"/>
                <w:b/>
                <w:bCs/>
                <w:sz w:val="22"/>
              </w:rPr>
              <w:t>2017.</w:t>
            </w:r>
          </w:p>
        </w:tc>
        <w:tc>
          <w:tcPr>
            <w:tcW w:w="2084" w:type="dxa"/>
            <w:tcBorders>
              <w:top w:val="single" w:sz="4" w:space="0" w:color="auto"/>
              <w:left w:val="single" w:sz="4" w:space="0" w:color="808080"/>
              <w:bottom w:val="single" w:sz="4" w:space="0" w:color="808080"/>
              <w:right w:val="single" w:sz="4" w:space="0" w:color="808080"/>
            </w:tcBorders>
            <w:shd w:val="clear" w:color="auto" w:fill="FFFFFF" w:themeFill="background1"/>
          </w:tcPr>
          <w:p w:rsidR="002B5EA8" w:rsidRPr="00C25D4E" w:rsidRDefault="002B5EA8" w:rsidP="00D03AAE">
            <w:pPr>
              <w:spacing w:before="240" w:after="120" w:line="276" w:lineRule="auto"/>
              <w:jc w:val="center"/>
              <w:rPr>
                <w:rFonts w:asciiTheme="minorHAnsi" w:hAnsiTheme="minorHAnsi" w:cstheme="minorHAnsi"/>
                <w:b/>
                <w:bCs/>
                <w:sz w:val="22"/>
              </w:rPr>
            </w:pPr>
            <w:r w:rsidRPr="00C25D4E">
              <w:rPr>
                <w:rFonts w:asciiTheme="minorHAnsi" w:hAnsiTheme="minorHAnsi" w:cstheme="minorHAnsi"/>
                <w:b/>
                <w:bCs/>
                <w:sz w:val="22"/>
              </w:rPr>
              <w:t>2018.</w:t>
            </w:r>
          </w:p>
        </w:tc>
      </w:tr>
      <w:tr w:rsidR="002B5EA8" w:rsidRPr="00C25D4E" w:rsidTr="00D03AAE">
        <w:trPr>
          <w:trHeight w:val="669"/>
        </w:trPr>
        <w:tc>
          <w:tcPr>
            <w:tcW w:w="303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rPr>
                <w:rFonts w:asciiTheme="minorHAnsi" w:hAnsiTheme="minorHAnsi" w:cstheme="minorHAnsi"/>
                <w:bCs/>
                <w:sz w:val="22"/>
              </w:rPr>
            </w:pPr>
            <w:r w:rsidRPr="00C25D4E">
              <w:rPr>
                <w:rFonts w:asciiTheme="minorHAnsi" w:hAnsiTheme="minorHAnsi" w:cstheme="minorHAnsi"/>
                <w:bCs/>
                <w:sz w:val="22"/>
              </w:rPr>
              <w:t xml:space="preserve">Volumen osiguranih potraživanja </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3.798.540,23</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3.904.430,83</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4.169.288,73</w:t>
            </w:r>
          </w:p>
        </w:tc>
      </w:tr>
      <w:tr w:rsidR="002B5EA8" w:rsidRPr="00C25D4E" w:rsidTr="00D03AAE">
        <w:trPr>
          <w:trHeight w:val="722"/>
        </w:trPr>
        <w:tc>
          <w:tcPr>
            <w:tcW w:w="303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rPr>
                <w:rFonts w:asciiTheme="minorHAnsi" w:hAnsiTheme="minorHAnsi" w:cstheme="minorHAnsi"/>
                <w:bCs/>
                <w:sz w:val="22"/>
              </w:rPr>
            </w:pPr>
            <w:r w:rsidRPr="00C25D4E">
              <w:rPr>
                <w:rFonts w:asciiTheme="minorHAnsi" w:hAnsiTheme="minorHAnsi" w:cstheme="minorHAnsi"/>
                <w:bCs/>
                <w:sz w:val="22"/>
              </w:rPr>
              <w:t xml:space="preserve">Izloženost, na 31.12. </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1.709.409,46</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1.886.028,64</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2.091.809,54</w:t>
            </w:r>
          </w:p>
        </w:tc>
      </w:tr>
      <w:tr w:rsidR="002B5EA8" w:rsidRPr="00C25D4E" w:rsidTr="00D03AAE">
        <w:trPr>
          <w:trHeight w:val="720"/>
        </w:trPr>
        <w:tc>
          <w:tcPr>
            <w:tcW w:w="303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rPr>
                <w:rFonts w:asciiTheme="minorHAnsi" w:hAnsiTheme="minorHAnsi" w:cstheme="minorHAnsi"/>
                <w:bCs/>
                <w:sz w:val="22"/>
              </w:rPr>
            </w:pPr>
            <w:r w:rsidRPr="00C25D4E">
              <w:rPr>
                <w:rFonts w:asciiTheme="minorHAnsi" w:hAnsiTheme="minorHAnsi" w:cstheme="minorHAnsi"/>
                <w:bCs/>
                <w:sz w:val="22"/>
              </w:rPr>
              <w:t xml:space="preserve">Zaračunata bruto premija </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11.814,18</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10.594,00</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10.460,82</w:t>
            </w:r>
          </w:p>
        </w:tc>
      </w:tr>
      <w:tr w:rsidR="002B5EA8" w:rsidRPr="00C25D4E" w:rsidTr="00D03AAE">
        <w:trPr>
          <w:trHeight w:val="700"/>
        </w:trPr>
        <w:tc>
          <w:tcPr>
            <w:tcW w:w="3036"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rPr>
                <w:rFonts w:asciiTheme="minorHAnsi" w:hAnsiTheme="minorHAnsi" w:cstheme="minorHAnsi"/>
                <w:bCs/>
                <w:sz w:val="22"/>
              </w:rPr>
            </w:pPr>
            <w:r w:rsidRPr="00C25D4E">
              <w:rPr>
                <w:rFonts w:asciiTheme="minorHAnsi" w:hAnsiTheme="minorHAnsi" w:cstheme="minorHAnsi"/>
                <w:bCs/>
                <w:sz w:val="22"/>
              </w:rPr>
              <w:t xml:space="preserve">Iznos isplaćenih naknada šteta </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1.717,33</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6.212,88</w:t>
            </w:r>
          </w:p>
        </w:tc>
        <w:tc>
          <w:tcPr>
            <w:tcW w:w="2084" w:type="dxa"/>
            <w:tcBorders>
              <w:top w:val="single" w:sz="4" w:space="0" w:color="808080"/>
              <w:left w:val="single" w:sz="4" w:space="0" w:color="808080"/>
              <w:bottom w:val="single" w:sz="4" w:space="0" w:color="808080"/>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9.777,21</w:t>
            </w:r>
          </w:p>
        </w:tc>
      </w:tr>
      <w:tr w:rsidR="002B5EA8" w:rsidRPr="00C25D4E" w:rsidTr="00D03AAE">
        <w:trPr>
          <w:trHeight w:val="714"/>
        </w:trPr>
        <w:tc>
          <w:tcPr>
            <w:tcW w:w="3036" w:type="dxa"/>
            <w:tcBorders>
              <w:top w:val="single" w:sz="4" w:space="0" w:color="808080"/>
              <w:left w:val="single" w:sz="4" w:space="0" w:color="808080"/>
              <w:bottom w:val="single" w:sz="4" w:space="0" w:color="auto"/>
              <w:right w:val="single" w:sz="4" w:space="0" w:color="808080"/>
            </w:tcBorders>
            <w:shd w:val="clear" w:color="auto" w:fill="FFFFFF"/>
            <w:vAlign w:val="center"/>
          </w:tcPr>
          <w:p w:rsidR="002B5EA8" w:rsidRPr="00C25D4E" w:rsidRDefault="002B5EA8" w:rsidP="00D03AAE">
            <w:pPr>
              <w:spacing w:before="240" w:after="120" w:line="276" w:lineRule="auto"/>
              <w:rPr>
                <w:rFonts w:asciiTheme="minorHAnsi" w:hAnsiTheme="minorHAnsi" w:cstheme="minorHAnsi"/>
                <w:bCs/>
                <w:sz w:val="22"/>
              </w:rPr>
            </w:pPr>
            <w:r w:rsidRPr="00C25D4E">
              <w:rPr>
                <w:rFonts w:asciiTheme="minorHAnsi" w:hAnsiTheme="minorHAnsi" w:cstheme="minorHAnsi"/>
                <w:bCs/>
                <w:sz w:val="22"/>
              </w:rPr>
              <w:t>Broj aktivnih limita na 31.12.</w:t>
            </w:r>
          </w:p>
        </w:tc>
        <w:tc>
          <w:tcPr>
            <w:tcW w:w="2084" w:type="dxa"/>
            <w:tcBorders>
              <w:top w:val="single" w:sz="4" w:space="0" w:color="808080"/>
              <w:left w:val="single" w:sz="4" w:space="0" w:color="808080"/>
              <w:bottom w:val="single" w:sz="4" w:space="0" w:color="auto"/>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rPr>
            </w:pPr>
            <w:r w:rsidRPr="00C25D4E">
              <w:rPr>
                <w:rFonts w:asciiTheme="minorHAnsi" w:hAnsiTheme="minorHAnsi" w:cstheme="minorHAnsi"/>
                <w:bCs/>
                <w:sz w:val="22"/>
              </w:rPr>
              <w:t>3.026</w:t>
            </w:r>
          </w:p>
        </w:tc>
        <w:tc>
          <w:tcPr>
            <w:tcW w:w="2084" w:type="dxa"/>
            <w:tcBorders>
              <w:top w:val="single" w:sz="4" w:space="0" w:color="808080"/>
              <w:left w:val="single" w:sz="4" w:space="0" w:color="808080"/>
              <w:bottom w:val="single" w:sz="4" w:space="0" w:color="auto"/>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highlight w:val="yellow"/>
              </w:rPr>
            </w:pPr>
            <w:r w:rsidRPr="00C25D4E">
              <w:rPr>
                <w:rFonts w:asciiTheme="minorHAnsi" w:hAnsiTheme="minorHAnsi" w:cstheme="minorHAnsi"/>
                <w:bCs/>
                <w:sz w:val="22"/>
              </w:rPr>
              <w:t>4.203</w:t>
            </w:r>
          </w:p>
        </w:tc>
        <w:tc>
          <w:tcPr>
            <w:tcW w:w="2084" w:type="dxa"/>
            <w:tcBorders>
              <w:top w:val="single" w:sz="4" w:space="0" w:color="808080"/>
              <w:left w:val="single" w:sz="4" w:space="0" w:color="808080"/>
              <w:bottom w:val="single" w:sz="4" w:space="0" w:color="auto"/>
              <w:right w:val="single" w:sz="4" w:space="0" w:color="808080"/>
            </w:tcBorders>
            <w:shd w:val="clear" w:color="auto" w:fill="FFFFFF"/>
            <w:vAlign w:val="center"/>
          </w:tcPr>
          <w:p w:rsidR="002B5EA8" w:rsidRPr="00C25D4E" w:rsidRDefault="002B5EA8" w:rsidP="00D03AAE">
            <w:pPr>
              <w:spacing w:before="240" w:after="120" w:line="276" w:lineRule="auto"/>
              <w:jc w:val="center"/>
              <w:rPr>
                <w:rFonts w:asciiTheme="minorHAnsi" w:hAnsiTheme="minorHAnsi" w:cstheme="minorHAnsi"/>
                <w:bCs/>
                <w:sz w:val="22"/>
                <w:highlight w:val="yellow"/>
              </w:rPr>
            </w:pPr>
            <w:r w:rsidRPr="00C25D4E">
              <w:rPr>
                <w:rFonts w:asciiTheme="minorHAnsi" w:hAnsiTheme="minorHAnsi" w:cstheme="minorHAnsi"/>
                <w:bCs/>
                <w:sz w:val="22"/>
              </w:rPr>
              <w:t>4.615</w:t>
            </w:r>
          </w:p>
        </w:tc>
      </w:tr>
    </w:tbl>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Troškovi pribave, marketinga i administrativni troškovi te ostali poslovni rashodi Grupe HKO u 2018. godini iznosili su 6,</w:t>
      </w:r>
      <w:r w:rsidR="00F91646">
        <w:rPr>
          <w:rFonts w:asciiTheme="minorHAnsi" w:hAnsiTheme="minorHAnsi" w:cstheme="minorHAnsi"/>
        </w:rPr>
        <w:t>69</w:t>
      </w:r>
      <w:r w:rsidRPr="00C25D4E">
        <w:rPr>
          <w:rFonts w:asciiTheme="minorHAnsi" w:hAnsiTheme="minorHAnsi" w:cstheme="minorHAnsi"/>
        </w:rPr>
        <w:t xml:space="preserve"> milijuna kuna, a na razini društva troškovi pribave, marketinga i administrativni troškovi te ostali poslovni rashodi iznosili su 5,</w:t>
      </w:r>
      <w:r w:rsidR="00F91646">
        <w:rPr>
          <w:rFonts w:asciiTheme="minorHAnsi" w:hAnsiTheme="minorHAnsi" w:cstheme="minorHAnsi"/>
        </w:rPr>
        <w:t>61</w:t>
      </w:r>
      <w:r w:rsidRPr="00C25D4E">
        <w:rPr>
          <w:rFonts w:asciiTheme="minorHAnsi" w:hAnsiTheme="minorHAnsi" w:cstheme="minorHAnsi"/>
        </w:rPr>
        <w:t xml:space="preserve"> milijuna kuna.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Poslovna 2018. godina osmo je cjelogodišnje razdoblje poslovanja te je Grupa HKO, prije konsolidacije s maticom, ostvarila dobit tekuće godine prije poreza u iznosu od 293 tisuće kuna, dok je 2017. godinu završila s dobiti od 756 tisuća kuna.</w:t>
      </w:r>
    </w:p>
    <w:p w:rsidR="002B5EA8"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Ukupna imovina Grupe HKO na 31. prosinca 2018. u iznosu od 56,</w:t>
      </w:r>
      <w:r w:rsidR="009C1268">
        <w:rPr>
          <w:rFonts w:asciiTheme="minorHAnsi" w:hAnsiTheme="minorHAnsi" w:cstheme="minorHAnsi"/>
        </w:rPr>
        <w:t>23</w:t>
      </w:r>
      <w:r w:rsidRPr="00C25D4E">
        <w:rPr>
          <w:rFonts w:asciiTheme="minorHAnsi" w:hAnsiTheme="minorHAnsi" w:cstheme="minorHAnsi"/>
        </w:rPr>
        <w:t xml:space="preserve"> milijuna kuna veća je za 0,</w:t>
      </w:r>
      <w:r w:rsidR="009C1268">
        <w:rPr>
          <w:rFonts w:asciiTheme="minorHAnsi" w:hAnsiTheme="minorHAnsi" w:cstheme="minorHAnsi"/>
        </w:rPr>
        <w:t>35</w:t>
      </w:r>
      <w:r w:rsidRPr="00C25D4E">
        <w:rPr>
          <w:rFonts w:asciiTheme="minorHAnsi" w:hAnsiTheme="minorHAnsi" w:cstheme="minorHAnsi"/>
        </w:rPr>
        <w:t xml:space="preserve"> posto u odnosu na prethodnu godinu. Ukupni kapital je na dan 31. prosinca 2018. iznosio 40,8</w:t>
      </w:r>
      <w:r w:rsidR="009C1268">
        <w:rPr>
          <w:rFonts w:asciiTheme="minorHAnsi" w:hAnsiTheme="minorHAnsi" w:cstheme="minorHAnsi"/>
        </w:rPr>
        <w:t>1</w:t>
      </w:r>
      <w:r w:rsidRPr="00C25D4E">
        <w:rPr>
          <w:rFonts w:asciiTheme="minorHAnsi" w:hAnsiTheme="minorHAnsi" w:cstheme="minorHAnsi"/>
        </w:rPr>
        <w:t xml:space="preserve"> milijuna kuna, a neto tehničke pričuve 10,71 milijuna kuna.</w:t>
      </w:r>
    </w:p>
    <w:p w:rsidR="002B5EA8" w:rsidRDefault="002B5EA8" w:rsidP="002B5EA8">
      <w:pPr>
        <w:keepNext/>
        <w:spacing w:before="240" w:after="120" w:line="276" w:lineRule="auto"/>
        <w:rPr>
          <w:rFonts w:asciiTheme="minorHAnsi" w:hAnsiTheme="minorHAnsi" w:cstheme="minorHAnsi"/>
          <w:b/>
          <w:bCs/>
        </w:rPr>
      </w:pPr>
      <w:r w:rsidRPr="00C92EE4">
        <w:rPr>
          <w:rFonts w:asciiTheme="minorHAnsi" w:hAnsiTheme="minorHAnsi" w:cstheme="minorHAnsi"/>
          <w:b/>
          <w:bCs/>
        </w:rPr>
        <w:t>TRENUTAČNA GOSPODARSKA SITUACIJA I NJEN UTJECAJ NA BANKU</w:t>
      </w:r>
    </w:p>
    <w:p w:rsidR="002B5EA8" w:rsidRPr="00E279BB" w:rsidRDefault="002B5EA8" w:rsidP="002B5EA8">
      <w:pPr>
        <w:tabs>
          <w:tab w:val="left" w:pos="-720"/>
        </w:tabs>
        <w:spacing w:before="240" w:after="120" w:line="276" w:lineRule="auto"/>
        <w:jc w:val="both"/>
        <w:rPr>
          <w:rFonts w:asciiTheme="minorHAnsi" w:hAnsiTheme="minorHAnsi" w:cstheme="minorHAnsi"/>
        </w:rPr>
      </w:pPr>
      <w:r w:rsidRPr="00E279BB">
        <w:rPr>
          <w:rFonts w:asciiTheme="minorHAnsi" w:hAnsiTheme="minorHAnsi" w:cstheme="minorHAnsi"/>
        </w:rPr>
        <w:t>U 2018. godini hrvatsko gospodarstvo je raslo prilično stabilnim tempom, s realnim rastom BDP-a procijenjen</w:t>
      </w:r>
      <w:r>
        <w:rPr>
          <w:rFonts w:asciiTheme="minorHAnsi" w:hAnsiTheme="minorHAnsi" w:cstheme="minorHAnsi"/>
        </w:rPr>
        <w:t>im</w:t>
      </w:r>
      <w:r w:rsidRPr="00E279BB">
        <w:rPr>
          <w:rFonts w:asciiTheme="minorHAnsi" w:hAnsiTheme="minorHAnsi" w:cstheme="minorHAnsi"/>
        </w:rPr>
        <w:t xml:space="preserve"> na 2,8</w:t>
      </w:r>
      <w:r>
        <w:rPr>
          <w:rFonts w:asciiTheme="minorHAnsi" w:hAnsiTheme="minorHAnsi" w:cstheme="minorHAnsi"/>
        </w:rPr>
        <w:t xml:space="preserve"> posto</w:t>
      </w:r>
      <w:r w:rsidRPr="00E279BB">
        <w:rPr>
          <w:rFonts w:asciiTheme="minorHAnsi" w:hAnsiTheme="minorHAnsi" w:cstheme="minorHAnsi"/>
        </w:rPr>
        <w:t>*, što je tek neznatno niže nego u 2017. godini. Rast je prvenstveno bio potaknut privatnom potrošnjom.</w:t>
      </w:r>
    </w:p>
    <w:p w:rsidR="002B5EA8" w:rsidRPr="00E279BB" w:rsidRDefault="002B5EA8" w:rsidP="002B5EA8">
      <w:pPr>
        <w:tabs>
          <w:tab w:val="left" w:pos="-720"/>
        </w:tabs>
        <w:spacing w:before="240" w:after="120" w:line="276" w:lineRule="auto"/>
        <w:jc w:val="both"/>
        <w:rPr>
          <w:rFonts w:asciiTheme="minorHAnsi" w:hAnsiTheme="minorHAnsi" w:cstheme="minorHAnsi"/>
        </w:rPr>
      </w:pPr>
      <w:r w:rsidRPr="00E279BB">
        <w:rPr>
          <w:rFonts w:asciiTheme="minorHAnsi" w:hAnsiTheme="minorHAnsi" w:cstheme="minorHAnsi"/>
        </w:rPr>
        <w:t>Očekuje se da će privatna potrošnja ostati glavni pokretač rasta, podržana poboljšanjem uvjeta na tržištu rada, pozitivnim raspoloženjem potrošača, niskim kamatnim stopama i umanjenom inflacijom</w:t>
      </w:r>
      <w:r>
        <w:rPr>
          <w:rFonts w:asciiTheme="minorHAnsi" w:hAnsiTheme="minorHAnsi" w:cstheme="minorHAnsi"/>
        </w:rPr>
        <w:t>.</w:t>
      </w:r>
      <w:r w:rsidRPr="00E279BB">
        <w:rPr>
          <w:rFonts w:asciiTheme="minorHAnsi" w:hAnsiTheme="minorHAnsi" w:cstheme="minorHAnsi"/>
        </w:rPr>
        <w:t xml:space="preserve"> </w:t>
      </w:r>
    </w:p>
    <w:p w:rsidR="002B5EA8" w:rsidRPr="00E279BB" w:rsidRDefault="002B5EA8" w:rsidP="002B5EA8">
      <w:pPr>
        <w:tabs>
          <w:tab w:val="left" w:pos="-720"/>
        </w:tabs>
        <w:spacing w:before="240" w:after="120" w:line="276" w:lineRule="auto"/>
        <w:jc w:val="both"/>
        <w:rPr>
          <w:rFonts w:asciiTheme="minorHAnsi" w:hAnsiTheme="minorHAnsi" w:cstheme="minorHAnsi"/>
        </w:rPr>
      </w:pPr>
      <w:r w:rsidRPr="00E279BB">
        <w:rPr>
          <w:rFonts w:asciiTheme="minorHAnsi" w:hAnsiTheme="minorHAnsi" w:cstheme="minorHAnsi"/>
        </w:rPr>
        <w:t>Nadalje, projicirano povećanje izdvajanja iz fondova EU trebalo bi dati poticaj javnim ulaganjima, koja će ipak ostati znatno ispod predrecesijskih razina. Ukupno gledajući, predviđa se da će se realni rast BDP-a nastaviti smanjivati na 2,7</w:t>
      </w:r>
      <w:r>
        <w:rPr>
          <w:rFonts w:asciiTheme="minorHAnsi" w:hAnsiTheme="minorHAnsi" w:cstheme="minorHAnsi"/>
        </w:rPr>
        <w:t xml:space="preserve"> posto</w:t>
      </w:r>
      <w:r w:rsidRPr="00E279BB">
        <w:rPr>
          <w:rFonts w:asciiTheme="minorHAnsi" w:hAnsiTheme="minorHAnsi" w:cstheme="minorHAnsi"/>
        </w:rPr>
        <w:t>* u 2019. godini te na 2,6</w:t>
      </w:r>
      <w:r>
        <w:rPr>
          <w:rFonts w:asciiTheme="minorHAnsi" w:hAnsiTheme="minorHAnsi" w:cstheme="minorHAnsi"/>
        </w:rPr>
        <w:t xml:space="preserve"> posto</w:t>
      </w:r>
      <w:r w:rsidRPr="00E279BB">
        <w:rPr>
          <w:rFonts w:asciiTheme="minorHAnsi" w:hAnsiTheme="minorHAnsi" w:cstheme="minorHAnsi"/>
        </w:rPr>
        <w:t>* u 2020. godini.</w:t>
      </w:r>
    </w:p>
    <w:p w:rsidR="002B5EA8" w:rsidRPr="00E279BB" w:rsidRDefault="002B5EA8" w:rsidP="002B5EA8">
      <w:pPr>
        <w:tabs>
          <w:tab w:val="left" w:pos="-720"/>
        </w:tabs>
        <w:spacing w:before="240" w:after="120" w:line="276" w:lineRule="auto"/>
        <w:jc w:val="both"/>
        <w:rPr>
          <w:rFonts w:asciiTheme="minorHAnsi" w:hAnsiTheme="minorHAnsi" w:cstheme="minorHAnsi"/>
        </w:rPr>
      </w:pPr>
      <w:r w:rsidRPr="00E279BB">
        <w:rPr>
          <w:rFonts w:asciiTheme="minorHAnsi" w:hAnsiTheme="minorHAnsi" w:cstheme="minorHAnsi"/>
        </w:rPr>
        <w:t>S obzirom na očekivano usporavanje glavnih trgovinskih partnera Hrvatske u EU, izvoz roba vjerojatno će rasti sporije nego u posljednjih nekoliko godina. Ipak, očekuje se da će izvoz usluga i dalje zadržati pozitivan trend zbog sve jače turističke sezone i značajnih ulaganja u hotele više kategorije u posljednjih nekoliko godina. Po</w:t>
      </w:r>
      <w:r>
        <w:rPr>
          <w:rFonts w:asciiTheme="minorHAnsi" w:hAnsiTheme="minorHAnsi" w:cstheme="minorHAnsi"/>
        </w:rPr>
        <w:t>taknut</w:t>
      </w:r>
      <w:r w:rsidRPr="00E279BB">
        <w:rPr>
          <w:rFonts w:asciiTheme="minorHAnsi" w:hAnsiTheme="minorHAnsi" w:cstheme="minorHAnsi"/>
        </w:rPr>
        <w:t xml:space="preserve"> visokom domaćom potražnjom, uvoz roba će ostati jak, usporavajući tek neznatno tijekom razdoblja predviđanja, što će negativno utjecati na trgovinsku bilancu robe.</w:t>
      </w:r>
    </w:p>
    <w:p w:rsidR="002B5EA8" w:rsidRPr="00E279BB" w:rsidRDefault="002B5EA8" w:rsidP="002B5EA8">
      <w:pPr>
        <w:tabs>
          <w:tab w:val="left" w:pos="-720"/>
        </w:tabs>
        <w:spacing w:before="240" w:after="120" w:line="276" w:lineRule="auto"/>
        <w:jc w:val="both"/>
        <w:rPr>
          <w:rFonts w:asciiTheme="minorHAnsi" w:hAnsiTheme="minorHAnsi" w:cstheme="minorHAnsi"/>
        </w:rPr>
      </w:pPr>
      <w:r w:rsidRPr="00E279BB">
        <w:rPr>
          <w:rFonts w:asciiTheme="minorHAnsi" w:hAnsiTheme="minorHAnsi" w:cstheme="minorHAnsi"/>
        </w:rPr>
        <w:t xml:space="preserve">HBOR će i u 2019. godini nastaviti korištenje financijskih instrumenata iz Europskih strukturnih i investicijskih fondova (ESIF), koji predstavljaju učinkovit način primjene financijskih resursa dostupnih Republici Hrvatskoj. Financijski instrumenti pomažu u mobilizaciji dodatnih javnih ili privatnih suinvesticija, a mogu se koristiti u obliku zajmova, jamstava ili drugih mehanizama. </w:t>
      </w:r>
    </w:p>
    <w:p w:rsidR="002B5EA8" w:rsidRPr="00E279BB" w:rsidRDefault="002B5EA8" w:rsidP="002B5EA8">
      <w:pPr>
        <w:tabs>
          <w:tab w:val="left" w:pos="-720"/>
        </w:tabs>
        <w:spacing w:before="240" w:after="120" w:line="276" w:lineRule="auto"/>
        <w:jc w:val="both"/>
        <w:rPr>
          <w:rFonts w:asciiTheme="minorHAnsi" w:hAnsiTheme="minorHAnsi" w:cstheme="minorHAnsi"/>
        </w:rPr>
      </w:pPr>
      <w:r w:rsidRPr="00E279BB">
        <w:rPr>
          <w:rFonts w:asciiTheme="minorHAnsi" w:hAnsiTheme="minorHAnsi" w:cstheme="minorHAnsi"/>
        </w:rPr>
        <w:t>Kako bi plasirala sredstva za kreditiranje svih planiranih aktivnosti, podmirila preuzete obveze i održala potrebnu rezervu likvidnosti</w:t>
      </w:r>
      <w:r>
        <w:rPr>
          <w:rFonts w:asciiTheme="minorHAnsi" w:hAnsiTheme="minorHAnsi" w:cstheme="minorHAnsi"/>
        </w:rPr>
        <w:t>,</w:t>
      </w:r>
      <w:r w:rsidRPr="00E279BB">
        <w:rPr>
          <w:rFonts w:asciiTheme="minorHAnsi" w:hAnsiTheme="minorHAnsi" w:cstheme="minorHAnsi"/>
        </w:rPr>
        <w:t xml:space="preserve"> Banka je osigurala sredstva i dovoljnu razinu likvidnosti.</w:t>
      </w:r>
    </w:p>
    <w:p w:rsidR="002B5EA8" w:rsidRPr="00E279BB" w:rsidRDefault="002B5EA8" w:rsidP="002B5EA8">
      <w:pPr>
        <w:tabs>
          <w:tab w:val="left" w:pos="-720"/>
        </w:tabs>
        <w:spacing w:before="240" w:after="120" w:line="276" w:lineRule="auto"/>
        <w:jc w:val="both"/>
        <w:rPr>
          <w:rFonts w:asciiTheme="minorHAnsi" w:hAnsiTheme="minorHAnsi" w:cstheme="minorHAnsi"/>
        </w:rPr>
      </w:pPr>
    </w:p>
    <w:p w:rsidR="002B5EA8" w:rsidRPr="000C7E9A" w:rsidRDefault="002B5EA8" w:rsidP="002B5EA8">
      <w:pPr>
        <w:tabs>
          <w:tab w:val="left" w:pos="-720"/>
        </w:tabs>
        <w:spacing w:before="240" w:after="120" w:line="276" w:lineRule="auto"/>
        <w:jc w:val="both"/>
        <w:rPr>
          <w:rFonts w:asciiTheme="minorHAnsi" w:hAnsiTheme="minorHAnsi" w:cstheme="minorHAnsi"/>
          <w:sz w:val="18"/>
          <w:szCs w:val="18"/>
        </w:rPr>
      </w:pPr>
      <w:r w:rsidRPr="000C7E9A">
        <w:rPr>
          <w:rFonts w:asciiTheme="minorHAnsi" w:hAnsiTheme="minorHAnsi" w:cstheme="minorHAnsi"/>
          <w:sz w:val="18"/>
          <w:szCs w:val="18"/>
        </w:rPr>
        <w:t xml:space="preserve">*Izvor: Europska komisija: Zimska gospodarska prognoza 2019.: rast se usporava zbog globalnih neizvjesnosti. Preuzeto s: </w:t>
      </w:r>
      <w:hyperlink r:id="rId26" w:history="1">
        <w:r w:rsidR="00D57AB3" w:rsidRPr="00FD258B">
          <w:rPr>
            <w:rStyle w:val="Hyperlink"/>
            <w:rFonts w:asciiTheme="minorHAnsi" w:hAnsiTheme="minorHAnsi" w:cstheme="minorHAnsi"/>
            <w:sz w:val="18"/>
            <w:szCs w:val="18"/>
          </w:rPr>
          <w:t>https://ec.europa.eu/croatia/news/zimska-gospodarska-prognoza-2019-rast-se-usporava-zbog-globalnih-neizvjesnosti_hr</w:t>
        </w:r>
      </w:hyperlink>
      <w:r w:rsidR="00D57AB3">
        <w:rPr>
          <w:rFonts w:asciiTheme="minorHAnsi" w:hAnsiTheme="minorHAnsi" w:cstheme="minorHAnsi"/>
          <w:sz w:val="18"/>
          <w:szCs w:val="18"/>
        </w:rPr>
        <w:t xml:space="preserve"> </w:t>
      </w:r>
      <w:r w:rsidRPr="000C7E9A">
        <w:rPr>
          <w:rFonts w:asciiTheme="minorHAnsi" w:hAnsiTheme="minorHAnsi" w:cstheme="minorHAnsi"/>
          <w:sz w:val="18"/>
          <w:szCs w:val="18"/>
        </w:rPr>
        <w:t xml:space="preserve"> (2019-3-8) </w:t>
      </w:r>
    </w:p>
    <w:p w:rsidR="002B5EA8" w:rsidRDefault="002B5EA8" w:rsidP="002B5EA8">
      <w:pPr>
        <w:rPr>
          <w:rFonts w:asciiTheme="minorHAnsi" w:hAnsiTheme="minorHAnsi" w:cstheme="minorHAnsi"/>
        </w:rPr>
      </w:pPr>
      <w:r>
        <w:rPr>
          <w:rFonts w:asciiTheme="minorHAnsi" w:hAnsiTheme="minorHAnsi" w:cstheme="minorHAnsi"/>
        </w:rPr>
        <w:br w:type="page"/>
      </w:r>
    </w:p>
    <w:p w:rsidR="002B5EA8" w:rsidRPr="00860646" w:rsidRDefault="002B5EA8" w:rsidP="003327E4">
      <w:pPr>
        <w:tabs>
          <w:tab w:val="left" w:pos="-720"/>
        </w:tabs>
        <w:spacing w:before="240" w:after="120" w:line="276" w:lineRule="auto"/>
        <w:rPr>
          <w:rFonts w:asciiTheme="minorHAnsi" w:hAnsiTheme="minorHAnsi" w:cstheme="minorHAnsi"/>
          <w:b/>
        </w:rPr>
      </w:pPr>
      <w:r w:rsidRPr="00860646">
        <w:rPr>
          <w:rFonts w:asciiTheme="minorHAnsi" w:hAnsiTheme="minorHAnsi" w:cstheme="minorHAnsi"/>
          <w:b/>
        </w:rPr>
        <w:t>NAČELA FINANCIJSKOG IZVJEŠTAVANJA</w:t>
      </w:r>
    </w:p>
    <w:p w:rsidR="002B5EA8" w:rsidRPr="00E279BB" w:rsidRDefault="002B5EA8" w:rsidP="002B5EA8">
      <w:pPr>
        <w:tabs>
          <w:tab w:val="left" w:pos="-720"/>
        </w:tabs>
        <w:spacing w:before="240" w:after="120" w:line="276" w:lineRule="auto"/>
        <w:jc w:val="both"/>
        <w:rPr>
          <w:rFonts w:asciiTheme="minorHAnsi" w:hAnsiTheme="minorHAnsi" w:cstheme="minorHAnsi"/>
        </w:rPr>
      </w:pPr>
      <w:r w:rsidRPr="00860646">
        <w:rPr>
          <w:rFonts w:asciiTheme="minorHAnsi" w:hAnsiTheme="minorHAnsi" w:cstheme="minorHAnsi"/>
        </w:rPr>
        <w:t>Grupa HBOR priprema:</w:t>
      </w:r>
    </w:p>
    <w:p w:rsidR="002B5EA8" w:rsidRPr="00C25D4E" w:rsidRDefault="002B5EA8" w:rsidP="002B5EA8">
      <w:pPr>
        <w:numPr>
          <w:ilvl w:val="0"/>
          <w:numId w:val="41"/>
        </w:numPr>
        <w:suppressAutoHyphens/>
        <w:autoSpaceDN w:val="0"/>
        <w:spacing w:before="240" w:after="120" w:line="276" w:lineRule="auto"/>
        <w:jc w:val="both"/>
        <w:textAlignment w:val="baseline"/>
        <w:rPr>
          <w:rFonts w:asciiTheme="minorHAnsi" w:hAnsiTheme="minorHAnsi" w:cstheme="minorHAnsi"/>
        </w:rPr>
      </w:pPr>
      <w:r w:rsidRPr="00C25D4E">
        <w:rPr>
          <w:rFonts w:asciiTheme="minorHAnsi" w:hAnsiTheme="minorHAnsi" w:cstheme="minorHAnsi"/>
        </w:rPr>
        <w:t>odvojene financijske izvještaje matice  - HBOR</w:t>
      </w:r>
    </w:p>
    <w:p w:rsidR="002B5EA8" w:rsidRPr="00C25D4E" w:rsidRDefault="002B5EA8" w:rsidP="002B5EA8">
      <w:pPr>
        <w:numPr>
          <w:ilvl w:val="0"/>
          <w:numId w:val="41"/>
        </w:numPr>
        <w:suppressAutoHyphens/>
        <w:autoSpaceDN w:val="0"/>
        <w:spacing w:before="240" w:after="120" w:line="276" w:lineRule="auto"/>
        <w:ind w:left="714" w:hanging="357"/>
        <w:jc w:val="both"/>
        <w:textAlignment w:val="baseline"/>
        <w:rPr>
          <w:rFonts w:asciiTheme="minorHAnsi" w:hAnsiTheme="minorHAnsi" w:cstheme="minorHAnsi"/>
        </w:rPr>
      </w:pPr>
      <w:r w:rsidRPr="00C25D4E">
        <w:rPr>
          <w:rFonts w:asciiTheme="minorHAnsi" w:hAnsiTheme="minorHAnsi" w:cstheme="minorHAnsi"/>
        </w:rPr>
        <w:t xml:space="preserve">konsolidirane financijske izvještaje koji uključuju HBOR i društva pod njegovom kontrolom – ovisna društva. </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Grupa HBOR (matica i ovisna društva) pri sastavljanju i prezentiranju godišnjih financijskih izvještaja primjenjuje Međunarodne standarde financijskog izvještavanja (MSFI).</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Financijski izvještaji sastavljaju se i pripremaju s ciljem pružanja informacija o financijskom položaju, uspješnosti poslovanja i promjenama financijskog položaja HBOR-a i Grupe HBOR radi donošenja odgovarajućih ekonomskih odluka od strane njihovih korisnika te pružanja  financijskih podataka o provedbi strategije Grupe HBOR.</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Grupa HBOR pri financijskom izvještavanju i objavama primjenjuje sljedeća načela:</w:t>
      </w:r>
    </w:p>
    <w:p w:rsidR="002B5EA8" w:rsidRPr="00C25D4E" w:rsidRDefault="002B5EA8" w:rsidP="002B5EA8">
      <w:pPr>
        <w:numPr>
          <w:ilvl w:val="0"/>
          <w:numId w:val="42"/>
        </w:numPr>
        <w:suppressAutoHyphens/>
        <w:autoSpaceDN w:val="0"/>
        <w:spacing w:before="240" w:after="120" w:line="276" w:lineRule="auto"/>
        <w:jc w:val="both"/>
        <w:textAlignment w:val="baseline"/>
        <w:rPr>
          <w:rFonts w:asciiTheme="minorHAnsi" w:hAnsiTheme="minorHAnsi" w:cstheme="minorHAnsi"/>
        </w:rPr>
      </w:pPr>
      <w:r w:rsidRPr="00C25D4E">
        <w:rPr>
          <w:rFonts w:asciiTheme="minorHAnsi" w:hAnsiTheme="minorHAnsi" w:cstheme="minorHAnsi"/>
          <w:b/>
        </w:rPr>
        <w:t>transparentnost prezentiranja</w:t>
      </w:r>
      <w:r w:rsidRPr="00C25D4E">
        <w:rPr>
          <w:rFonts w:asciiTheme="minorHAnsi" w:hAnsiTheme="minorHAnsi" w:cstheme="minorHAnsi"/>
        </w:rPr>
        <w:t xml:space="preserve"> radi osiguravanja većeg razumijevanja prezentiranih informacija od strane korisnika financijskih izvještaja,</w:t>
      </w:r>
    </w:p>
    <w:p w:rsidR="002B5EA8" w:rsidRPr="00C25D4E" w:rsidRDefault="002B5EA8" w:rsidP="002B5EA8">
      <w:pPr>
        <w:numPr>
          <w:ilvl w:val="0"/>
          <w:numId w:val="42"/>
        </w:numPr>
        <w:suppressAutoHyphens/>
        <w:autoSpaceDN w:val="0"/>
        <w:spacing w:before="240" w:after="120" w:line="276" w:lineRule="auto"/>
        <w:jc w:val="both"/>
        <w:textAlignment w:val="baseline"/>
        <w:rPr>
          <w:rFonts w:asciiTheme="minorHAnsi" w:hAnsiTheme="minorHAnsi" w:cstheme="minorHAnsi"/>
        </w:rPr>
      </w:pPr>
      <w:r w:rsidRPr="00C25D4E">
        <w:rPr>
          <w:rFonts w:asciiTheme="minorHAnsi" w:hAnsiTheme="minorHAnsi" w:cstheme="minorHAnsi"/>
          <w:b/>
        </w:rPr>
        <w:t>dosljednost prezentiranja</w:t>
      </w:r>
      <w:r w:rsidRPr="00C25D4E">
        <w:rPr>
          <w:rFonts w:asciiTheme="minorHAnsi" w:hAnsiTheme="minorHAnsi" w:cstheme="minorHAnsi"/>
        </w:rPr>
        <w:t xml:space="preserve"> unutar svakog izvještajnog razdoblja i između izvještajnih razdoblja,</w:t>
      </w:r>
    </w:p>
    <w:p w:rsidR="002B5EA8" w:rsidRPr="00C25D4E" w:rsidRDefault="002B5EA8" w:rsidP="002B5EA8">
      <w:pPr>
        <w:numPr>
          <w:ilvl w:val="0"/>
          <w:numId w:val="42"/>
        </w:numPr>
        <w:suppressAutoHyphens/>
        <w:autoSpaceDN w:val="0"/>
        <w:spacing w:before="240" w:after="120" w:line="276" w:lineRule="auto"/>
        <w:jc w:val="both"/>
        <w:textAlignment w:val="baseline"/>
        <w:rPr>
          <w:rFonts w:asciiTheme="minorHAnsi" w:hAnsiTheme="minorHAnsi" w:cstheme="minorHAnsi"/>
        </w:rPr>
      </w:pPr>
      <w:r w:rsidRPr="00C25D4E">
        <w:rPr>
          <w:rFonts w:asciiTheme="minorHAnsi" w:hAnsiTheme="minorHAnsi" w:cstheme="minorHAnsi"/>
          <w:b/>
        </w:rPr>
        <w:t>jednostavnost prezentiranja</w:t>
      </w:r>
      <w:r w:rsidRPr="00C25D4E">
        <w:rPr>
          <w:rFonts w:asciiTheme="minorHAnsi" w:hAnsiTheme="minorHAnsi" w:cstheme="minorHAnsi"/>
        </w:rPr>
        <w:t xml:space="preserve"> kako bi se korisnicima omogućilo lakše razumijevanje položaja, uspješnosti poslovanja te promjena financijskog položaja i donošenje odluka, </w:t>
      </w:r>
    </w:p>
    <w:p w:rsidR="002B5EA8" w:rsidRPr="00C25D4E" w:rsidRDefault="002B5EA8" w:rsidP="002B5EA8">
      <w:pPr>
        <w:numPr>
          <w:ilvl w:val="0"/>
          <w:numId w:val="42"/>
        </w:numPr>
        <w:suppressAutoHyphens/>
        <w:autoSpaceDN w:val="0"/>
        <w:spacing w:before="240" w:after="120" w:line="276" w:lineRule="auto"/>
        <w:jc w:val="both"/>
        <w:textAlignment w:val="baseline"/>
        <w:rPr>
          <w:rFonts w:asciiTheme="minorHAnsi" w:hAnsiTheme="minorHAnsi" w:cstheme="minorHAnsi"/>
        </w:rPr>
      </w:pPr>
      <w:r w:rsidRPr="00C25D4E">
        <w:rPr>
          <w:rFonts w:asciiTheme="minorHAnsi" w:hAnsiTheme="minorHAnsi" w:cstheme="minorHAnsi"/>
          <w:b/>
        </w:rPr>
        <w:t xml:space="preserve">usmjerenost na zahtjeve zakonske regulative </w:t>
      </w:r>
      <w:r w:rsidRPr="00C25D4E">
        <w:rPr>
          <w:rFonts w:asciiTheme="minorHAnsi" w:hAnsiTheme="minorHAnsi" w:cstheme="minorHAnsi"/>
        </w:rPr>
        <w:t>kako bi se osigurala usklađenost,</w:t>
      </w:r>
    </w:p>
    <w:p w:rsidR="002B5EA8" w:rsidRPr="00C25D4E" w:rsidRDefault="002B5EA8" w:rsidP="002B5EA8">
      <w:pPr>
        <w:numPr>
          <w:ilvl w:val="0"/>
          <w:numId w:val="42"/>
        </w:numPr>
        <w:suppressAutoHyphens/>
        <w:autoSpaceDN w:val="0"/>
        <w:spacing w:before="240" w:after="120" w:line="276" w:lineRule="auto"/>
        <w:jc w:val="both"/>
        <w:textAlignment w:val="baseline"/>
        <w:rPr>
          <w:rFonts w:asciiTheme="minorHAnsi" w:hAnsiTheme="minorHAnsi" w:cstheme="minorHAnsi"/>
        </w:rPr>
      </w:pPr>
      <w:r w:rsidRPr="00C25D4E">
        <w:rPr>
          <w:rFonts w:asciiTheme="minorHAnsi" w:hAnsiTheme="minorHAnsi" w:cstheme="minorHAnsi"/>
          <w:b/>
        </w:rPr>
        <w:t>primjena najbolje prakse</w:t>
      </w:r>
      <w:r w:rsidRPr="00C25D4E">
        <w:rPr>
          <w:rFonts w:asciiTheme="minorHAnsi" w:hAnsiTheme="minorHAnsi" w:cstheme="minorHAnsi"/>
        </w:rPr>
        <w:t xml:space="preserve"> </w:t>
      </w:r>
      <w:r w:rsidRPr="00C25D4E">
        <w:rPr>
          <w:rFonts w:asciiTheme="minorHAnsi" w:hAnsiTheme="minorHAnsi" w:cstheme="minorHAnsi"/>
          <w:b/>
        </w:rPr>
        <w:t xml:space="preserve">prezentiranja </w:t>
      </w:r>
      <w:r w:rsidRPr="00C25D4E">
        <w:rPr>
          <w:rFonts w:asciiTheme="minorHAnsi" w:hAnsiTheme="minorHAnsi" w:cstheme="minorHAnsi"/>
        </w:rPr>
        <w:t xml:space="preserve">primjenjive na djelatnost poslovanja Grupe uz uvažavanje suvremenih međunarodnih trendova u financijskom izvještavanju, kao i zahtjeva tržišta. </w:t>
      </w:r>
    </w:p>
    <w:p w:rsidR="002B5EA8" w:rsidRPr="00C25D4E" w:rsidRDefault="002B5EA8" w:rsidP="002B5EA8">
      <w:pPr>
        <w:keepNext/>
        <w:tabs>
          <w:tab w:val="left" w:pos="-720"/>
        </w:tabs>
        <w:spacing w:before="240" w:after="120" w:line="276" w:lineRule="auto"/>
        <w:jc w:val="both"/>
        <w:rPr>
          <w:rFonts w:asciiTheme="minorHAnsi" w:hAnsiTheme="minorHAnsi" w:cstheme="minorHAnsi"/>
          <w:b/>
          <w:spacing w:val="-3"/>
        </w:rPr>
      </w:pPr>
      <w:r w:rsidRPr="00C25D4E">
        <w:rPr>
          <w:rFonts w:asciiTheme="minorHAnsi" w:hAnsiTheme="minorHAnsi" w:cstheme="minorHAnsi"/>
          <w:b/>
          <w:spacing w:val="-3"/>
        </w:rPr>
        <w:t>PREGLED FINANCIJSKOG POSLOVANJA U 2018. GODINI</w:t>
      </w:r>
    </w:p>
    <w:p w:rsidR="002B5EA8" w:rsidRPr="00C25D4E" w:rsidRDefault="002B5EA8" w:rsidP="002B5EA8">
      <w:pPr>
        <w:tabs>
          <w:tab w:val="left" w:pos="-720"/>
        </w:tabs>
        <w:spacing w:before="240" w:after="120" w:line="276" w:lineRule="auto"/>
        <w:jc w:val="both"/>
        <w:rPr>
          <w:rFonts w:asciiTheme="minorHAnsi" w:hAnsiTheme="minorHAnsi" w:cstheme="minorHAnsi"/>
        </w:rPr>
      </w:pPr>
      <w:r w:rsidRPr="00C25D4E">
        <w:rPr>
          <w:rFonts w:asciiTheme="minorHAnsi" w:hAnsiTheme="minorHAnsi" w:cstheme="minorHAnsi"/>
        </w:rPr>
        <w:t xml:space="preserve">Financijski izvještaji uključuju odvojene financijske izvještaje HBOR-a i konsolidirane financijske izvještaje Grupe HBOR. </w:t>
      </w:r>
    </w:p>
    <w:p w:rsidR="002B5EA8" w:rsidRPr="00C25D4E" w:rsidRDefault="002B5EA8" w:rsidP="002B5EA8">
      <w:pPr>
        <w:tabs>
          <w:tab w:val="left" w:pos="-720"/>
        </w:tabs>
        <w:spacing w:before="240" w:after="120" w:line="276" w:lineRule="auto"/>
        <w:jc w:val="both"/>
        <w:rPr>
          <w:rFonts w:asciiTheme="minorHAnsi" w:hAnsiTheme="minorHAnsi" w:cstheme="minorHAnsi"/>
        </w:rPr>
      </w:pPr>
      <w:r w:rsidRPr="00C25D4E">
        <w:rPr>
          <w:rFonts w:asciiTheme="minorHAnsi" w:hAnsiTheme="minorHAnsi" w:cstheme="minorHAnsi"/>
        </w:rPr>
        <w:t>U nastavku se daje financijski pregled i pregled poslovanja zasebno za Grupu HBOR i HBOR, kao matično društvo i izvještajni subjekt.</w:t>
      </w:r>
    </w:p>
    <w:p w:rsidR="002B5EA8" w:rsidRPr="00C25D4E" w:rsidRDefault="002B5EA8" w:rsidP="002B5EA8">
      <w:pPr>
        <w:tabs>
          <w:tab w:val="left" w:pos="-720"/>
        </w:tabs>
        <w:spacing w:before="240" w:after="120" w:line="276" w:lineRule="auto"/>
        <w:jc w:val="both"/>
        <w:rPr>
          <w:rFonts w:asciiTheme="minorHAnsi" w:hAnsiTheme="minorHAnsi" w:cstheme="minorHAnsi"/>
        </w:rPr>
      </w:pPr>
      <w:r w:rsidRPr="00C25D4E">
        <w:rPr>
          <w:rFonts w:asciiTheme="minorHAnsi" w:hAnsiTheme="minorHAnsi" w:cstheme="minorHAnsi"/>
        </w:rPr>
        <w:t xml:space="preserve">Reviziju odvojenih i konsolidiranih Godišnjih financijskih izvještaja HBOR-a za 2018. godinu koji se nalaze u privitku obavilo je revizorsko društvo KPMG d.o.o. te o tome izrazilo pozitivno mišljenje u Izvješću neovisnog revizora. </w:t>
      </w:r>
    </w:p>
    <w:p w:rsidR="002B5EA8" w:rsidRDefault="002B5EA8" w:rsidP="002B5EA8">
      <w:pPr>
        <w:spacing w:before="240" w:after="120" w:line="276" w:lineRule="auto"/>
        <w:ind w:left="720"/>
        <w:rPr>
          <w:rFonts w:asciiTheme="minorHAnsi" w:hAnsiTheme="minorHAnsi" w:cstheme="minorHAnsi"/>
          <w:b/>
          <w:bCs/>
        </w:rPr>
      </w:pPr>
    </w:p>
    <w:p w:rsidR="002B5EA8" w:rsidRPr="00C25D4E" w:rsidRDefault="002B5EA8" w:rsidP="002B5EA8">
      <w:pPr>
        <w:keepNext/>
        <w:spacing w:before="240" w:after="120" w:line="276" w:lineRule="auto"/>
        <w:rPr>
          <w:rFonts w:asciiTheme="minorHAnsi" w:hAnsiTheme="minorHAnsi" w:cstheme="minorHAnsi"/>
        </w:rPr>
      </w:pPr>
      <w:r w:rsidRPr="00C25D4E">
        <w:rPr>
          <w:rFonts w:asciiTheme="minorHAnsi" w:hAnsiTheme="minorHAnsi" w:cstheme="minorHAnsi"/>
          <w:b/>
          <w:bCs/>
        </w:rPr>
        <w:t>OSVRT NA FINANCIJSKO POSLOVANJE GRUPE</w:t>
      </w:r>
    </w:p>
    <w:p w:rsidR="002B5EA8" w:rsidRPr="00C25D4E" w:rsidRDefault="002B5EA8" w:rsidP="002B5EA8">
      <w:pPr>
        <w:tabs>
          <w:tab w:val="left" w:pos="-720"/>
        </w:tabs>
        <w:spacing w:before="240" w:after="120" w:line="276" w:lineRule="auto"/>
        <w:jc w:val="both"/>
        <w:rPr>
          <w:rFonts w:asciiTheme="minorHAnsi" w:hAnsiTheme="minorHAnsi" w:cstheme="minorHAnsi"/>
        </w:rPr>
      </w:pPr>
      <w:r w:rsidRPr="00C25D4E">
        <w:rPr>
          <w:rFonts w:asciiTheme="minorHAnsi" w:hAnsiTheme="minorHAnsi" w:cstheme="minorHAnsi"/>
        </w:rPr>
        <w:t>S obzirom na veličinu ovisnih društava i obujam njihovog poslovanja u usporedbi s poslovanjem matice, njihovi financijski podaci nisu od značaja da bi se posebno isticali u okviru konsolidiranog financijskog izvještaja te shodno tome nemaju materijalan utjecaj na konsolidirane financijske izvještaje u odnosu na odvojene financijske izvještaje HBOR-a kao matičnog društva. Naime, Grupa Hrvatsko kreditno osiguranje d.d. čini tek 0,21 posto imovine matičnog društva.</w:t>
      </w:r>
    </w:p>
    <w:p w:rsidR="002B5EA8" w:rsidRPr="00C25D4E" w:rsidRDefault="002B5EA8" w:rsidP="002B5EA8">
      <w:pPr>
        <w:tabs>
          <w:tab w:val="left" w:pos="-720"/>
          <w:tab w:val="left" w:pos="426"/>
        </w:tabs>
        <w:spacing w:before="240" w:after="120" w:line="276" w:lineRule="auto"/>
        <w:jc w:val="center"/>
        <w:rPr>
          <w:rFonts w:asciiTheme="minorHAnsi" w:hAnsiTheme="minorHAnsi" w:cstheme="minorHAnsi"/>
        </w:rPr>
      </w:pPr>
      <w:r w:rsidRPr="00C25D4E">
        <w:rPr>
          <w:rFonts w:asciiTheme="minorHAnsi" w:hAnsiTheme="minorHAnsi" w:cstheme="minorHAnsi"/>
          <w:b/>
          <w:caps/>
          <w:spacing w:val="-3"/>
          <w:sz w:val="26"/>
          <w:szCs w:val="26"/>
          <w:lang w:eastAsia="hr-HR"/>
        </w:rPr>
        <w:t>PREGLED NAJVAŽNIJIH FINANCIJSKIH INFORMACIJA GRUPE HBOR</w:t>
      </w:r>
    </w:p>
    <w:p w:rsidR="002B5EA8" w:rsidRPr="00C25D4E" w:rsidRDefault="002B5EA8" w:rsidP="002B5EA8">
      <w:pPr>
        <w:pStyle w:val="ListParagraph"/>
        <w:numPr>
          <w:ilvl w:val="0"/>
          <w:numId w:val="43"/>
        </w:numPr>
        <w:tabs>
          <w:tab w:val="left" w:pos="-720"/>
          <w:tab w:val="left" w:pos="426"/>
        </w:tabs>
        <w:suppressAutoHyphens/>
        <w:autoSpaceDN w:val="0"/>
        <w:spacing w:before="240" w:after="120" w:line="276" w:lineRule="auto"/>
        <w:contextualSpacing w:val="0"/>
        <w:jc w:val="center"/>
        <w:textAlignment w:val="baseline"/>
        <w:rPr>
          <w:rFonts w:asciiTheme="minorHAnsi" w:hAnsiTheme="minorHAnsi" w:cstheme="minorHAnsi"/>
          <w:b/>
          <w:spacing w:val="-3"/>
          <w:sz w:val="26"/>
          <w:szCs w:val="26"/>
        </w:rPr>
      </w:pPr>
      <w:r w:rsidRPr="00C25D4E">
        <w:rPr>
          <w:rFonts w:asciiTheme="minorHAnsi" w:hAnsiTheme="minorHAnsi" w:cstheme="minorHAnsi"/>
          <w:b/>
          <w:spacing w:val="-3"/>
          <w:sz w:val="26"/>
          <w:szCs w:val="26"/>
        </w:rPr>
        <w:t>u milijunima kuna     -</w:t>
      </w:r>
    </w:p>
    <w:tbl>
      <w:tblPr>
        <w:tblW w:w="8495" w:type="dxa"/>
        <w:jc w:val="center"/>
        <w:tblLayout w:type="fixed"/>
        <w:tblCellMar>
          <w:left w:w="10" w:type="dxa"/>
          <w:right w:w="10" w:type="dxa"/>
        </w:tblCellMar>
        <w:tblLook w:val="0000" w:firstRow="0" w:lastRow="0" w:firstColumn="0" w:lastColumn="0" w:noHBand="0" w:noVBand="0"/>
      </w:tblPr>
      <w:tblGrid>
        <w:gridCol w:w="3818"/>
        <w:gridCol w:w="1559"/>
        <w:gridCol w:w="1559"/>
        <w:gridCol w:w="1559"/>
      </w:tblGrid>
      <w:tr w:rsidR="00D57AB3" w:rsidRPr="00C25D4E" w:rsidTr="00580C8B">
        <w:trPr>
          <w:trHeight w:val="324"/>
          <w:jc w:val="center"/>
        </w:trPr>
        <w:tc>
          <w:tcPr>
            <w:tcW w:w="3818" w:type="dxa"/>
            <w:tcBorders>
              <w:top w:val="single" w:sz="8" w:space="0" w:color="808080"/>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center"/>
          </w:tcPr>
          <w:p w:rsidR="00D57AB3" w:rsidRPr="00C25D4E" w:rsidRDefault="00D57AB3" w:rsidP="00580C8B">
            <w:pPr>
              <w:spacing w:after="120" w:line="276" w:lineRule="auto"/>
              <w:rPr>
                <w:rFonts w:asciiTheme="minorHAnsi" w:hAnsiTheme="minorHAnsi" w:cstheme="minorHAnsi"/>
                <w:lang w:eastAsia="hr-HR"/>
              </w:rPr>
            </w:pPr>
            <w:bookmarkStart w:id="28" w:name="_Hlk4580033"/>
            <w:r w:rsidRPr="00C25D4E">
              <w:rPr>
                <w:rFonts w:asciiTheme="minorHAnsi" w:hAnsiTheme="minorHAnsi" w:cstheme="minorHAnsi"/>
                <w:lang w:eastAsia="hr-HR"/>
              </w:rPr>
              <w:t> </w:t>
            </w:r>
          </w:p>
        </w:tc>
        <w:tc>
          <w:tcPr>
            <w:tcW w:w="1559" w:type="dxa"/>
            <w:tcBorders>
              <w:top w:val="single" w:sz="8" w:space="0" w:color="808080"/>
              <w:bottom w:val="single" w:sz="8" w:space="0" w:color="999999"/>
              <w:right w:val="single" w:sz="8" w:space="0" w:color="999999"/>
            </w:tcBorders>
            <w:shd w:val="clear" w:color="auto" w:fill="FFFFFF"/>
            <w:tcMar>
              <w:top w:w="0" w:type="dxa"/>
              <w:left w:w="108" w:type="dxa"/>
              <w:bottom w:w="0" w:type="dxa"/>
              <w:right w:w="108" w:type="dxa"/>
            </w:tcMar>
          </w:tcPr>
          <w:p w:rsidR="00D57AB3" w:rsidRPr="00C25D4E" w:rsidRDefault="00D57AB3" w:rsidP="00580C8B">
            <w:pPr>
              <w:spacing w:after="120" w:line="276" w:lineRule="auto"/>
              <w:jc w:val="right"/>
              <w:rPr>
                <w:rFonts w:asciiTheme="minorHAnsi" w:hAnsiTheme="minorHAnsi" w:cstheme="minorHAnsi"/>
                <w:b/>
                <w:bCs/>
                <w:lang w:eastAsia="hr-HR"/>
              </w:rPr>
            </w:pPr>
            <w:r w:rsidRPr="00C25D4E">
              <w:rPr>
                <w:rFonts w:asciiTheme="minorHAnsi" w:hAnsiTheme="minorHAnsi" w:cstheme="minorHAnsi"/>
                <w:b/>
                <w:bCs/>
                <w:lang w:eastAsia="hr-HR"/>
              </w:rPr>
              <w:t>2016.</w:t>
            </w:r>
          </w:p>
        </w:tc>
        <w:tc>
          <w:tcPr>
            <w:tcW w:w="1559" w:type="dxa"/>
            <w:tcBorders>
              <w:top w:val="single" w:sz="8" w:space="0" w:color="808080"/>
              <w:bottom w:val="single" w:sz="8" w:space="0" w:color="999999"/>
              <w:right w:val="single" w:sz="8" w:space="0" w:color="999999"/>
            </w:tcBorders>
            <w:shd w:val="clear" w:color="auto" w:fill="FFFFFF"/>
            <w:tcMar>
              <w:top w:w="0" w:type="dxa"/>
              <w:left w:w="10" w:type="dxa"/>
              <w:bottom w:w="0" w:type="dxa"/>
              <w:right w:w="10" w:type="dxa"/>
            </w:tcMar>
          </w:tcPr>
          <w:p w:rsidR="00D57AB3" w:rsidRPr="00C25D4E" w:rsidRDefault="00D57AB3" w:rsidP="00580C8B">
            <w:pPr>
              <w:spacing w:after="120" w:line="276" w:lineRule="auto"/>
              <w:jc w:val="center"/>
              <w:rPr>
                <w:rFonts w:asciiTheme="minorHAnsi" w:hAnsiTheme="minorHAnsi" w:cstheme="minorHAnsi"/>
              </w:rPr>
            </w:pPr>
            <w:r w:rsidRPr="00C25D4E">
              <w:rPr>
                <w:rFonts w:asciiTheme="minorHAnsi" w:hAnsiTheme="minorHAnsi" w:cstheme="minorHAnsi"/>
                <w:b/>
                <w:bCs/>
                <w:lang w:eastAsia="hr-HR"/>
              </w:rPr>
              <w:t xml:space="preserve">              2017.</w:t>
            </w:r>
          </w:p>
        </w:tc>
        <w:tc>
          <w:tcPr>
            <w:tcW w:w="1559" w:type="dxa"/>
            <w:tcBorders>
              <w:top w:val="single" w:sz="8" w:space="0" w:color="808080"/>
              <w:bottom w:val="single" w:sz="8" w:space="0" w:color="999999"/>
              <w:right w:val="single" w:sz="8" w:space="0" w:color="999999"/>
            </w:tcBorders>
            <w:shd w:val="clear" w:color="auto" w:fill="FFFFFF"/>
            <w:tcMar>
              <w:top w:w="0" w:type="dxa"/>
              <w:left w:w="10" w:type="dxa"/>
              <w:bottom w:w="0" w:type="dxa"/>
              <w:right w:w="10" w:type="dxa"/>
            </w:tcMar>
          </w:tcPr>
          <w:p w:rsidR="00D57AB3" w:rsidRPr="00C25D4E" w:rsidRDefault="00124788" w:rsidP="00580C8B">
            <w:pPr>
              <w:spacing w:after="120" w:line="276" w:lineRule="auto"/>
              <w:jc w:val="center"/>
              <w:rPr>
                <w:rFonts w:asciiTheme="minorHAnsi" w:hAnsiTheme="minorHAnsi" w:cstheme="minorHAnsi"/>
                <w:b/>
                <w:bCs/>
                <w:lang w:eastAsia="hr-HR"/>
              </w:rPr>
            </w:pPr>
            <w:r>
              <w:rPr>
                <w:rFonts w:asciiTheme="minorHAnsi" w:hAnsiTheme="minorHAnsi" w:cstheme="minorHAnsi"/>
                <w:b/>
                <w:bCs/>
                <w:lang w:eastAsia="hr-HR"/>
              </w:rPr>
              <w:t xml:space="preserve">              </w:t>
            </w:r>
            <w:r w:rsidR="00D57AB3" w:rsidRPr="00C25D4E">
              <w:rPr>
                <w:rFonts w:asciiTheme="minorHAnsi" w:hAnsiTheme="minorHAnsi" w:cstheme="minorHAnsi"/>
                <w:b/>
                <w:bCs/>
                <w:lang w:eastAsia="hr-HR"/>
              </w:rPr>
              <w:t>2018.</w:t>
            </w: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Ukupna imovina</w:t>
            </w:r>
          </w:p>
        </w:tc>
        <w:tc>
          <w:tcPr>
            <w:tcW w:w="1559" w:type="dxa"/>
            <w:tcBorders>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r w:rsidRPr="00C25D4E">
              <w:rPr>
                <w:rFonts w:asciiTheme="minorHAnsi" w:hAnsiTheme="minorHAnsi" w:cstheme="minorHAnsi"/>
                <w:lang w:eastAsia="hr-HR"/>
              </w:rPr>
              <w:t>27.390,82</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center"/>
              <w:rPr>
                <w:rFonts w:asciiTheme="minorHAnsi" w:hAnsiTheme="minorHAnsi" w:cstheme="minorHAnsi"/>
                <w:lang w:eastAsia="hr-HR"/>
              </w:rPr>
            </w:pPr>
            <w:r w:rsidRPr="00C25D4E">
              <w:rPr>
                <w:rFonts w:asciiTheme="minorHAnsi" w:hAnsiTheme="minorHAnsi" w:cstheme="minorHAnsi"/>
                <w:lang w:eastAsia="hr-HR"/>
              </w:rPr>
              <w:t xml:space="preserve">      28.075,56</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124788" w:rsidP="003327E4">
            <w:pPr>
              <w:spacing w:after="120"/>
              <w:jc w:val="both"/>
              <w:rPr>
                <w:rFonts w:asciiTheme="minorHAnsi" w:hAnsiTheme="minorHAnsi" w:cstheme="minorHAnsi"/>
                <w:lang w:eastAsia="hr-HR"/>
              </w:rPr>
            </w:pPr>
            <w:r>
              <w:rPr>
                <w:rFonts w:asciiTheme="minorHAnsi" w:hAnsiTheme="minorHAnsi" w:cstheme="minorHAnsi"/>
                <w:lang w:eastAsia="hr-HR"/>
              </w:rPr>
              <w:t xml:space="preserve">         </w:t>
            </w:r>
            <w:r w:rsidR="00D57AB3" w:rsidRPr="00C25D4E">
              <w:rPr>
                <w:rFonts w:asciiTheme="minorHAnsi" w:hAnsiTheme="minorHAnsi" w:cstheme="minorHAnsi"/>
                <w:lang w:eastAsia="hr-HR"/>
              </w:rPr>
              <w:t>27.218,98</w:t>
            </w: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Bruto krediti</w:t>
            </w:r>
          </w:p>
        </w:tc>
        <w:tc>
          <w:tcPr>
            <w:tcW w:w="1559" w:type="dxa"/>
            <w:tcBorders>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r w:rsidRPr="00C25D4E">
              <w:rPr>
                <w:rFonts w:asciiTheme="minorHAnsi" w:hAnsiTheme="minorHAnsi" w:cstheme="minorHAnsi"/>
                <w:lang w:eastAsia="hr-HR"/>
              </w:rPr>
              <w:t>26.343,12</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center"/>
              <w:rPr>
                <w:rFonts w:asciiTheme="minorHAnsi" w:hAnsiTheme="minorHAnsi" w:cstheme="minorHAnsi"/>
                <w:lang w:eastAsia="hr-HR"/>
              </w:rPr>
            </w:pPr>
            <w:r w:rsidRPr="00C25D4E">
              <w:rPr>
                <w:rFonts w:asciiTheme="minorHAnsi" w:hAnsiTheme="minorHAnsi" w:cstheme="minorHAnsi"/>
                <w:lang w:eastAsia="hr-HR"/>
              </w:rPr>
              <w:t xml:space="preserve">      26.332,99</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124788" w:rsidP="003327E4">
            <w:pPr>
              <w:spacing w:after="120"/>
              <w:jc w:val="both"/>
              <w:rPr>
                <w:rFonts w:asciiTheme="minorHAnsi" w:hAnsiTheme="minorHAnsi" w:cstheme="minorHAnsi"/>
                <w:lang w:eastAsia="hr-HR"/>
              </w:rPr>
            </w:pPr>
            <w:r>
              <w:rPr>
                <w:rFonts w:asciiTheme="minorHAnsi" w:hAnsiTheme="minorHAnsi" w:cstheme="minorHAnsi"/>
                <w:lang w:eastAsia="hr-HR"/>
              </w:rPr>
              <w:t xml:space="preserve">         </w:t>
            </w:r>
            <w:r w:rsidR="00D57AB3" w:rsidRPr="00C25D4E">
              <w:rPr>
                <w:rFonts w:asciiTheme="minorHAnsi" w:hAnsiTheme="minorHAnsi" w:cstheme="minorHAnsi"/>
                <w:lang w:eastAsia="hr-HR"/>
              </w:rPr>
              <w:t>26.243,12</w:t>
            </w: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Ukupni kapital i rezerve</w:t>
            </w:r>
          </w:p>
        </w:tc>
        <w:tc>
          <w:tcPr>
            <w:tcW w:w="1559" w:type="dxa"/>
            <w:tcBorders>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r w:rsidRPr="00C25D4E">
              <w:rPr>
                <w:rFonts w:asciiTheme="minorHAnsi" w:hAnsiTheme="minorHAnsi" w:cstheme="minorHAnsi"/>
                <w:lang w:eastAsia="hr-HR"/>
              </w:rPr>
              <w:t>10.042,70</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center"/>
              <w:rPr>
                <w:rFonts w:asciiTheme="minorHAnsi" w:hAnsiTheme="minorHAnsi" w:cstheme="minorHAnsi"/>
                <w:lang w:eastAsia="hr-HR"/>
              </w:rPr>
            </w:pPr>
            <w:r w:rsidRPr="00C25D4E">
              <w:rPr>
                <w:rFonts w:asciiTheme="minorHAnsi" w:hAnsiTheme="minorHAnsi" w:cstheme="minorHAnsi"/>
                <w:lang w:eastAsia="hr-HR"/>
              </w:rPr>
              <w:t xml:space="preserve">      10.275,78</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124788" w:rsidP="003327E4">
            <w:pPr>
              <w:spacing w:after="120"/>
              <w:jc w:val="both"/>
              <w:rPr>
                <w:rFonts w:asciiTheme="minorHAnsi" w:hAnsiTheme="minorHAnsi" w:cstheme="minorHAnsi"/>
                <w:lang w:eastAsia="hr-HR"/>
              </w:rPr>
            </w:pPr>
            <w:r>
              <w:rPr>
                <w:rFonts w:asciiTheme="minorHAnsi" w:hAnsiTheme="minorHAnsi" w:cstheme="minorHAnsi"/>
                <w:lang w:eastAsia="hr-HR"/>
              </w:rPr>
              <w:t xml:space="preserve">         </w:t>
            </w:r>
            <w:r w:rsidR="00D57AB3" w:rsidRPr="00C25D4E">
              <w:rPr>
                <w:rFonts w:asciiTheme="minorHAnsi" w:hAnsiTheme="minorHAnsi" w:cstheme="minorHAnsi"/>
                <w:lang w:eastAsia="hr-HR"/>
              </w:rPr>
              <w:t>10.061,10</w:t>
            </w: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 </w:t>
            </w:r>
          </w:p>
        </w:tc>
        <w:tc>
          <w:tcPr>
            <w:tcW w:w="1559" w:type="dxa"/>
            <w:tcBorders>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right"/>
              <w:rPr>
                <w:rFonts w:asciiTheme="minorHAnsi" w:hAnsiTheme="minorHAnsi" w:cstheme="minorHAnsi"/>
                <w:lang w:eastAsia="hr-HR"/>
              </w:rPr>
            </w:pP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both"/>
              <w:rPr>
                <w:rFonts w:asciiTheme="minorHAnsi" w:hAnsiTheme="minorHAnsi" w:cstheme="minorHAnsi"/>
                <w:lang w:eastAsia="hr-HR"/>
              </w:rPr>
            </w:pP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Ukupni prihodi</w:t>
            </w:r>
          </w:p>
        </w:tc>
        <w:tc>
          <w:tcPr>
            <w:tcW w:w="1559" w:type="dxa"/>
            <w:tcBorders>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r w:rsidRPr="00C25D4E">
              <w:rPr>
                <w:rFonts w:asciiTheme="minorHAnsi" w:hAnsiTheme="minorHAnsi" w:cstheme="minorHAnsi"/>
                <w:lang w:eastAsia="hr-HR"/>
              </w:rPr>
              <w:t>933,67</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center"/>
              <w:rPr>
                <w:rFonts w:asciiTheme="minorHAnsi" w:hAnsiTheme="minorHAnsi" w:cstheme="minorHAnsi"/>
              </w:rPr>
            </w:pPr>
            <w:r w:rsidRPr="00C25D4E">
              <w:rPr>
                <w:rFonts w:asciiTheme="minorHAnsi" w:hAnsiTheme="minorHAnsi" w:cstheme="minorHAnsi"/>
                <w:lang w:eastAsia="hr-HR"/>
              </w:rPr>
              <w:t xml:space="preserve">           930,81</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124788" w:rsidP="003327E4">
            <w:pPr>
              <w:spacing w:after="120"/>
              <w:jc w:val="both"/>
              <w:rPr>
                <w:rFonts w:asciiTheme="minorHAnsi" w:hAnsiTheme="minorHAnsi" w:cstheme="minorHAnsi"/>
                <w:lang w:eastAsia="hr-HR"/>
              </w:rPr>
            </w:pPr>
            <w:r>
              <w:rPr>
                <w:rFonts w:asciiTheme="minorHAnsi" w:hAnsiTheme="minorHAnsi" w:cstheme="minorHAnsi"/>
                <w:lang w:eastAsia="hr-HR"/>
              </w:rPr>
              <w:t xml:space="preserve">              </w:t>
            </w:r>
            <w:r w:rsidR="00D57AB3" w:rsidRPr="00C25D4E">
              <w:rPr>
                <w:rFonts w:asciiTheme="minorHAnsi" w:hAnsiTheme="minorHAnsi" w:cstheme="minorHAnsi"/>
                <w:lang w:eastAsia="hr-HR"/>
              </w:rPr>
              <w:t>801,40</w:t>
            </w: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Ukupni rashodi</w:t>
            </w:r>
          </w:p>
        </w:tc>
        <w:tc>
          <w:tcPr>
            <w:tcW w:w="1559" w:type="dxa"/>
            <w:tcBorders>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r w:rsidRPr="00C25D4E">
              <w:rPr>
                <w:rFonts w:asciiTheme="minorHAnsi" w:hAnsiTheme="minorHAnsi" w:cstheme="minorHAnsi"/>
                <w:lang w:eastAsia="hr-HR"/>
              </w:rPr>
              <w:t>(618,83)</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center"/>
              <w:rPr>
                <w:rFonts w:asciiTheme="minorHAnsi" w:hAnsiTheme="minorHAnsi" w:cstheme="minorHAnsi"/>
              </w:rPr>
            </w:pPr>
            <w:r w:rsidRPr="00C25D4E">
              <w:rPr>
                <w:rFonts w:asciiTheme="minorHAnsi" w:hAnsiTheme="minorHAnsi" w:cstheme="minorHAnsi"/>
                <w:lang w:eastAsia="hr-HR"/>
              </w:rPr>
              <w:t xml:space="preserve">         (768,61)</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124788" w:rsidP="003327E4">
            <w:pPr>
              <w:spacing w:after="120"/>
              <w:jc w:val="both"/>
              <w:rPr>
                <w:rFonts w:asciiTheme="minorHAnsi" w:hAnsiTheme="minorHAnsi" w:cstheme="minorHAnsi"/>
                <w:lang w:eastAsia="hr-HR"/>
              </w:rPr>
            </w:pPr>
            <w:r>
              <w:rPr>
                <w:rFonts w:asciiTheme="minorHAnsi" w:hAnsiTheme="minorHAnsi" w:cstheme="minorHAnsi"/>
                <w:lang w:eastAsia="hr-HR"/>
              </w:rPr>
              <w:t xml:space="preserve">            </w:t>
            </w:r>
            <w:r w:rsidR="00D57AB3" w:rsidRPr="00C25D4E">
              <w:rPr>
                <w:rFonts w:asciiTheme="minorHAnsi" w:hAnsiTheme="minorHAnsi" w:cstheme="minorHAnsi"/>
                <w:lang w:eastAsia="hr-HR"/>
              </w:rPr>
              <w:t>(596,67)</w:t>
            </w: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Dobit</w:t>
            </w:r>
          </w:p>
        </w:tc>
        <w:tc>
          <w:tcPr>
            <w:tcW w:w="1559" w:type="dxa"/>
            <w:tcBorders>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r w:rsidRPr="00C25D4E">
              <w:rPr>
                <w:rFonts w:asciiTheme="minorHAnsi" w:hAnsiTheme="minorHAnsi" w:cstheme="minorHAnsi"/>
                <w:lang w:eastAsia="hr-HR"/>
              </w:rPr>
              <w:t>314,84</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center"/>
              <w:rPr>
                <w:rFonts w:asciiTheme="minorHAnsi" w:hAnsiTheme="minorHAnsi" w:cstheme="minorHAnsi"/>
                <w:lang w:eastAsia="hr-HR"/>
              </w:rPr>
            </w:pPr>
            <w:r w:rsidRPr="00C25D4E">
              <w:rPr>
                <w:rFonts w:asciiTheme="minorHAnsi" w:hAnsiTheme="minorHAnsi" w:cstheme="minorHAnsi"/>
                <w:lang w:eastAsia="hr-HR"/>
              </w:rPr>
              <w:t xml:space="preserve">           162,20</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124788" w:rsidP="003327E4">
            <w:pPr>
              <w:spacing w:after="120"/>
              <w:jc w:val="both"/>
              <w:rPr>
                <w:rFonts w:asciiTheme="minorHAnsi" w:hAnsiTheme="minorHAnsi" w:cstheme="minorHAnsi"/>
                <w:lang w:eastAsia="hr-HR"/>
              </w:rPr>
            </w:pPr>
            <w:r>
              <w:rPr>
                <w:rFonts w:asciiTheme="minorHAnsi" w:hAnsiTheme="minorHAnsi" w:cstheme="minorHAnsi"/>
                <w:lang w:eastAsia="hr-HR"/>
              </w:rPr>
              <w:t xml:space="preserve">              </w:t>
            </w:r>
            <w:r w:rsidR="00D57AB3" w:rsidRPr="00C25D4E">
              <w:rPr>
                <w:rFonts w:asciiTheme="minorHAnsi" w:hAnsiTheme="minorHAnsi" w:cstheme="minorHAnsi"/>
                <w:lang w:eastAsia="hr-HR"/>
              </w:rPr>
              <w:t>204,73</w:t>
            </w: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 </w:t>
            </w:r>
          </w:p>
        </w:tc>
        <w:tc>
          <w:tcPr>
            <w:tcW w:w="1559" w:type="dxa"/>
            <w:tcBorders>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right"/>
              <w:rPr>
                <w:rFonts w:asciiTheme="minorHAnsi" w:hAnsiTheme="minorHAnsi" w:cstheme="minorHAnsi"/>
                <w:lang w:eastAsia="hr-HR"/>
              </w:rPr>
            </w:pP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both"/>
              <w:rPr>
                <w:rFonts w:asciiTheme="minorHAnsi" w:hAnsiTheme="minorHAnsi" w:cstheme="minorHAnsi"/>
                <w:lang w:eastAsia="hr-HR"/>
              </w:rPr>
            </w:pP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 xml:space="preserve">Kamatni prihodi </w:t>
            </w:r>
          </w:p>
        </w:tc>
        <w:tc>
          <w:tcPr>
            <w:tcW w:w="1559" w:type="dxa"/>
            <w:tcBorders>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r w:rsidRPr="00C25D4E">
              <w:rPr>
                <w:rFonts w:asciiTheme="minorHAnsi" w:hAnsiTheme="minorHAnsi" w:cstheme="minorHAnsi"/>
                <w:lang w:eastAsia="hr-HR"/>
              </w:rPr>
              <w:t>871,98</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center"/>
              <w:rPr>
                <w:rFonts w:asciiTheme="minorHAnsi" w:hAnsiTheme="minorHAnsi" w:cstheme="minorHAnsi"/>
              </w:rPr>
            </w:pPr>
            <w:r w:rsidRPr="00C25D4E">
              <w:rPr>
                <w:rFonts w:asciiTheme="minorHAnsi" w:hAnsiTheme="minorHAnsi" w:cstheme="minorHAnsi"/>
                <w:lang w:eastAsia="hr-HR"/>
              </w:rPr>
              <w:t xml:space="preserve">            867,83</w:t>
            </w:r>
          </w:p>
        </w:tc>
        <w:tc>
          <w:tcPr>
            <w:tcW w:w="1559" w:type="dxa"/>
            <w:tcBorders>
              <w:bottom w:val="single" w:sz="8" w:space="0" w:color="999999"/>
              <w:right w:val="single" w:sz="8" w:space="0" w:color="999999"/>
            </w:tcBorders>
            <w:shd w:val="clear" w:color="auto" w:fill="FFFFFF"/>
            <w:tcMar>
              <w:top w:w="0" w:type="dxa"/>
              <w:left w:w="10" w:type="dxa"/>
              <w:bottom w:w="0" w:type="dxa"/>
              <w:right w:w="10" w:type="dxa"/>
            </w:tcMar>
            <w:vAlign w:val="bottom"/>
          </w:tcPr>
          <w:p w:rsidR="00D57AB3" w:rsidRPr="00C25D4E" w:rsidRDefault="00124788" w:rsidP="003327E4">
            <w:pPr>
              <w:spacing w:after="120"/>
              <w:jc w:val="both"/>
              <w:rPr>
                <w:rFonts w:asciiTheme="minorHAnsi" w:hAnsiTheme="minorHAnsi" w:cstheme="minorHAnsi"/>
                <w:lang w:eastAsia="hr-HR"/>
              </w:rPr>
            </w:pPr>
            <w:r>
              <w:rPr>
                <w:rFonts w:asciiTheme="minorHAnsi" w:hAnsiTheme="minorHAnsi" w:cstheme="minorHAnsi"/>
                <w:lang w:eastAsia="hr-HR"/>
              </w:rPr>
              <w:t xml:space="preserve">              </w:t>
            </w:r>
            <w:r w:rsidR="00D57AB3" w:rsidRPr="00C25D4E">
              <w:rPr>
                <w:rFonts w:asciiTheme="minorHAnsi" w:hAnsiTheme="minorHAnsi" w:cstheme="minorHAnsi"/>
                <w:lang w:eastAsia="hr-HR"/>
              </w:rPr>
              <w:t>733,08</w:t>
            </w:r>
          </w:p>
        </w:tc>
      </w:tr>
      <w:tr w:rsidR="00D57AB3" w:rsidRPr="00C25D4E" w:rsidTr="003327E4">
        <w:trPr>
          <w:trHeight w:val="324"/>
          <w:jc w:val="center"/>
        </w:trPr>
        <w:tc>
          <w:tcPr>
            <w:tcW w:w="3818" w:type="dxa"/>
            <w:tcBorders>
              <w:left w:val="single" w:sz="8" w:space="0" w:color="808080"/>
              <w:bottom w:val="single" w:sz="8" w:space="0" w:color="999999"/>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Kamatni rashodi</w:t>
            </w:r>
          </w:p>
        </w:tc>
        <w:tc>
          <w:tcPr>
            <w:tcW w:w="1559" w:type="dxa"/>
            <w:tcBorders>
              <w:bottom w:val="single" w:sz="8" w:space="0" w:color="999999"/>
              <w:right w:val="single" w:sz="8" w:space="0" w:color="999999"/>
            </w:tcBorders>
            <w:shd w:val="clear" w:color="auto" w:fill="auto"/>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r w:rsidRPr="00C25D4E">
              <w:rPr>
                <w:rFonts w:asciiTheme="minorHAnsi" w:hAnsiTheme="minorHAnsi" w:cstheme="minorHAnsi"/>
                <w:lang w:eastAsia="hr-HR"/>
              </w:rPr>
              <w:t>(452,67)</w:t>
            </w:r>
          </w:p>
        </w:tc>
        <w:tc>
          <w:tcPr>
            <w:tcW w:w="1559" w:type="dxa"/>
            <w:tcBorders>
              <w:bottom w:val="single" w:sz="8" w:space="0" w:color="999999"/>
              <w:right w:val="single" w:sz="8" w:space="0" w:color="999999"/>
            </w:tcBorders>
            <w:shd w:val="clear" w:color="auto" w:fill="auto"/>
            <w:tcMar>
              <w:top w:w="0" w:type="dxa"/>
              <w:left w:w="10" w:type="dxa"/>
              <w:bottom w:w="0" w:type="dxa"/>
              <w:right w:w="10" w:type="dxa"/>
            </w:tcMar>
            <w:vAlign w:val="bottom"/>
          </w:tcPr>
          <w:p w:rsidR="00D57AB3" w:rsidRPr="00C25D4E" w:rsidRDefault="00D57AB3" w:rsidP="003327E4">
            <w:pPr>
              <w:spacing w:after="120"/>
              <w:jc w:val="center"/>
              <w:rPr>
                <w:rFonts w:asciiTheme="minorHAnsi" w:hAnsiTheme="minorHAnsi" w:cstheme="minorHAnsi"/>
                <w:lang w:eastAsia="hr-HR"/>
              </w:rPr>
            </w:pPr>
            <w:r w:rsidRPr="00C25D4E">
              <w:rPr>
                <w:rFonts w:asciiTheme="minorHAnsi" w:hAnsiTheme="minorHAnsi" w:cstheme="minorHAnsi"/>
                <w:lang w:eastAsia="hr-HR"/>
              </w:rPr>
              <w:t xml:space="preserve">         (390,46)</w:t>
            </w:r>
          </w:p>
        </w:tc>
        <w:tc>
          <w:tcPr>
            <w:tcW w:w="1559" w:type="dxa"/>
            <w:tcBorders>
              <w:bottom w:val="single" w:sz="8" w:space="0" w:color="999999"/>
              <w:right w:val="single" w:sz="8" w:space="0" w:color="999999"/>
            </w:tcBorders>
            <w:shd w:val="clear" w:color="auto" w:fill="auto"/>
            <w:tcMar>
              <w:top w:w="0" w:type="dxa"/>
              <w:left w:w="10" w:type="dxa"/>
              <w:bottom w:w="0" w:type="dxa"/>
              <w:right w:w="10" w:type="dxa"/>
            </w:tcMar>
            <w:vAlign w:val="bottom"/>
          </w:tcPr>
          <w:p w:rsidR="00D57AB3" w:rsidRPr="00C25D4E" w:rsidRDefault="00124788" w:rsidP="003327E4">
            <w:pPr>
              <w:spacing w:after="120"/>
              <w:jc w:val="both"/>
              <w:rPr>
                <w:rFonts w:asciiTheme="minorHAnsi" w:hAnsiTheme="minorHAnsi" w:cstheme="minorHAnsi"/>
                <w:lang w:eastAsia="hr-HR"/>
              </w:rPr>
            </w:pPr>
            <w:r>
              <w:rPr>
                <w:rFonts w:asciiTheme="minorHAnsi" w:hAnsiTheme="minorHAnsi" w:cstheme="minorHAnsi"/>
                <w:lang w:eastAsia="hr-HR"/>
              </w:rPr>
              <w:t xml:space="preserve">            </w:t>
            </w:r>
            <w:r w:rsidR="00D57AB3" w:rsidRPr="00C25D4E">
              <w:rPr>
                <w:rFonts w:asciiTheme="minorHAnsi" w:hAnsiTheme="minorHAnsi" w:cstheme="minorHAnsi"/>
                <w:lang w:eastAsia="hr-HR"/>
              </w:rPr>
              <w:t>(356,07)</w:t>
            </w:r>
          </w:p>
        </w:tc>
      </w:tr>
      <w:tr w:rsidR="00D57AB3" w:rsidRPr="00C25D4E" w:rsidTr="003327E4">
        <w:trPr>
          <w:trHeight w:val="225"/>
          <w:jc w:val="center"/>
        </w:trPr>
        <w:tc>
          <w:tcPr>
            <w:tcW w:w="3818" w:type="dxa"/>
            <w:tcBorders>
              <w:left w:val="single" w:sz="8" w:space="0" w:color="808080"/>
              <w:bottom w:val="single" w:sz="8" w:space="0" w:color="808080"/>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rPr>
                <w:rFonts w:asciiTheme="minorHAnsi" w:hAnsiTheme="minorHAnsi" w:cstheme="minorHAnsi"/>
                <w:lang w:eastAsia="hr-HR"/>
              </w:rPr>
            </w:pPr>
            <w:r w:rsidRPr="00C25D4E">
              <w:rPr>
                <w:rFonts w:asciiTheme="minorHAnsi" w:hAnsiTheme="minorHAnsi" w:cstheme="minorHAnsi"/>
                <w:lang w:eastAsia="hr-HR"/>
              </w:rPr>
              <w:t>Neto kamatni prihod</w:t>
            </w:r>
          </w:p>
        </w:tc>
        <w:tc>
          <w:tcPr>
            <w:tcW w:w="1559" w:type="dxa"/>
            <w:tcBorders>
              <w:bottom w:val="single" w:sz="8" w:space="0" w:color="808080"/>
              <w:right w:val="single" w:sz="8" w:space="0" w:color="999999"/>
            </w:tcBorders>
            <w:shd w:val="clear" w:color="auto" w:fill="FFFFFF"/>
            <w:tcMar>
              <w:top w:w="0" w:type="dxa"/>
              <w:left w:w="108" w:type="dxa"/>
              <w:bottom w:w="0" w:type="dxa"/>
              <w:right w:w="108" w:type="dxa"/>
            </w:tcMar>
            <w:vAlign w:val="bottom"/>
          </w:tcPr>
          <w:p w:rsidR="00D57AB3" w:rsidRPr="00C25D4E" w:rsidRDefault="00D57AB3" w:rsidP="003327E4">
            <w:pPr>
              <w:spacing w:after="120"/>
              <w:jc w:val="right"/>
              <w:rPr>
                <w:rFonts w:asciiTheme="minorHAnsi" w:hAnsiTheme="minorHAnsi" w:cstheme="minorHAnsi"/>
                <w:lang w:eastAsia="hr-HR"/>
              </w:rPr>
            </w:pPr>
            <w:r w:rsidRPr="00C25D4E">
              <w:rPr>
                <w:rFonts w:asciiTheme="minorHAnsi" w:hAnsiTheme="minorHAnsi" w:cstheme="minorHAnsi"/>
                <w:lang w:eastAsia="hr-HR"/>
              </w:rPr>
              <w:t>419,31</w:t>
            </w:r>
          </w:p>
        </w:tc>
        <w:tc>
          <w:tcPr>
            <w:tcW w:w="1559" w:type="dxa"/>
            <w:tcBorders>
              <w:bottom w:val="single" w:sz="8" w:space="0" w:color="808080"/>
              <w:right w:val="single" w:sz="8" w:space="0" w:color="999999"/>
            </w:tcBorders>
            <w:shd w:val="clear" w:color="auto" w:fill="FFFFFF"/>
            <w:tcMar>
              <w:top w:w="0" w:type="dxa"/>
              <w:left w:w="10" w:type="dxa"/>
              <w:bottom w:w="0" w:type="dxa"/>
              <w:right w:w="10" w:type="dxa"/>
            </w:tcMar>
            <w:vAlign w:val="bottom"/>
          </w:tcPr>
          <w:p w:rsidR="00D57AB3" w:rsidRPr="00C25D4E" w:rsidRDefault="00D57AB3" w:rsidP="003327E4">
            <w:pPr>
              <w:spacing w:after="120"/>
              <w:jc w:val="center"/>
              <w:rPr>
                <w:rFonts w:asciiTheme="minorHAnsi" w:hAnsiTheme="minorHAnsi" w:cstheme="minorHAnsi"/>
              </w:rPr>
            </w:pPr>
            <w:r w:rsidRPr="00C25D4E">
              <w:rPr>
                <w:rFonts w:asciiTheme="minorHAnsi" w:hAnsiTheme="minorHAnsi" w:cstheme="minorHAnsi"/>
                <w:lang w:eastAsia="hr-HR"/>
              </w:rPr>
              <w:t xml:space="preserve">           477,37</w:t>
            </w:r>
          </w:p>
        </w:tc>
        <w:tc>
          <w:tcPr>
            <w:tcW w:w="1559" w:type="dxa"/>
            <w:tcBorders>
              <w:bottom w:val="single" w:sz="8" w:space="0" w:color="808080"/>
              <w:right w:val="single" w:sz="8" w:space="0" w:color="999999"/>
            </w:tcBorders>
            <w:shd w:val="clear" w:color="auto" w:fill="FFFFFF"/>
            <w:tcMar>
              <w:top w:w="0" w:type="dxa"/>
              <w:left w:w="10" w:type="dxa"/>
              <w:bottom w:w="0" w:type="dxa"/>
              <w:right w:w="10" w:type="dxa"/>
            </w:tcMar>
            <w:vAlign w:val="bottom"/>
          </w:tcPr>
          <w:p w:rsidR="00D57AB3" w:rsidRPr="00C25D4E" w:rsidRDefault="00124788" w:rsidP="003327E4">
            <w:pPr>
              <w:spacing w:after="120"/>
              <w:jc w:val="both"/>
              <w:rPr>
                <w:rFonts w:asciiTheme="minorHAnsi" w:hAnsiTheme="minorHAnsi" w:cstheme="minorHAnsi"/>
                <w:lang w:eastAsia="hr-HR"/>
              </w:rPr>
            </w:pPr>
            <w:r>
              <w:rPr>
                <w:rFonts w:asciiTheme="minorHAnsi" w:hAnsiTheme="minorHAnsi" w:cstheme="minorHAnsi"/>
                <w:lang w:eastAsia="hr-HR"/>
              </w:rPr>
              <w:t xml:space="preserve">              </w:t>
            </w:r>
            <w:r w:rsidR="00D57AB3" w:rsidRPr="00C25D4E">
              <w:rPr>
                <w:rFonts w:asciiTheme="minorHAnsi" w:hAnsiTheme="minorHAnsi" w:cstheme="minorHAnsi"/>
                <w:lang w:eastAsia="hr-HR"/>
              </w:rPr>
              <w:t>377,01</w:t>
            </w:r>
          </w:p>
        </w:tc>
      </w:tr>
      <w:bookmarkEnd w:id="28"/>
    </w:tbl>
    <w:p w:rsidR="002B5EA8" w:rsidRDefault="002B5EA8" w:rsidP="002B5EA8">
      <w:pPr>
        <w:tabs>
          <w:tab w:val="left" w:pos="-720"/>
          <w:tab w:val="left" w:pos="426"/>
        </w:tabs>
        <w:spacing w:before="240" w:after="120" w:line="276" w:lineRule="auto"/>
        <w:jc w:val="both"/>
        <w:rPr>
          <w:rFonts w:asciiTheme="minorHAnsi" w:hAnsiTheme="minorHAnsi" w:cstheme="minorHAnsi"/>
          <w:b/>
          <w:caps/>
          <w:spacing w:val="-3"/>
          <w:sz w:val="26"/>
          <w:szCs w:val="26"/>
          <w:lang w:eastAsia="hr-HR"/>
        </w:rPr>
      </w:pPr>
    </w:p>
    <w:p w:rsidR="00D57AB3" w:rsidRDefault="00D57AB3" w:rsidP="002B5EA8">
      <w:pPr>
        <w:tabs>
          <w:tab w:val="left" w:pos="-720"/>
          <w:tab w:val="left" w:pos="426"/>
        </w:tabs>
        <w:spacing w:before="240" w:after="120" w:line="276" w:lineRule="auto"/>
        <w:jc w:val="both"/>
        <w:rPr>
          <w:rFonts w:asciiTheme="minorHAnsi" w:hAnsiTheme="minorHAnsi" w:cstheme="minorHAnsi"/>
          <w:b/>
          <w:caps/>
          <w:spacing w:val="-3"/>
          <w:sz w:val="26"/>
          <w:szCs w:val="26"/>
          <w:lang w:eastAsia="hr-HR"/>
        </w:rPr>
      </w:pPr>
      <w:r>
        <w:rPr>
          <w:rFonts w:asciiTheme="minorHAnsi" w:hAnsiTheme="minorHAnsi" w:cstheme="minorHAnsi"/>
          <w:b/>
          <w:caps/>
          <w:spacing w:val="-3"/>
          <w:sz w:val="26"/>
          <w:szCs w:val="26"/>
          <w:lang w:eastAsia="hr-HR"/>
        </w:rPr>
        <w:br w:type="page"/>
      </w:r>
    </w:p>
    <w:p w:rsidR="00D57AB3" w:rsidRPr="00C25D4E" w:rsidRDefault="00D57AB3" w:rsidP="002B5EA8">
      <w:pPr>
        <w:tabs>
          <w:tab w:val="left" w:pos="-720"/>
          <w:tab w:val="left" w:pos="426"/>
        </w:tabs>
        <w:spacing w:before="240" w:after="120" w:line="276" w:lineRule="auto"/>
        <w:jc w:val="both"/>
        <w:rPr>
          <w:rFonts w:asciiTheme="minorHAnsi" w:hAnsiTheme="minorHAnsi" w:cstheme="minorHAnsi"/>
          <w:b/>
          <w:caps/>
          <w:spacing w:val="-3"/>
          <w:sz w:val="26"/>
          <w:szCs w:val="26"/>
          <w:lang w:eastAsia="hr-HR"/>
        </w:rPr>
      </w:pPr>
    </w:p>
    <w:p w:rsidR="002B5EA8" w:rsidRPr="00C25D4E" w:rsidRDefault="002B5EA8" w:rsidP="002B5EA8">
      <w:pPr>
        <w:tabs>
          <w:tab w:val="left" w:pos="-720"/>
          <w:tab w:val="left" w:pos="0"/>
          <w:tab w:val="left" w:pos="4820"/>
        </w:tabs>
        <w:suppressAutoHyphens/>
        <w:spacing w:before="240" w:after="120" w:line="276" w:lineRule="auto"/>
        <w:ind w:left="-426" w:right="-425"/>
        <w:jc w:val="both"/>
        <w:rPr>
          <w:rFonts w:asciiTheme="minorHAnsi" w:hAnsiTheme="minorHAnsi" w:cstheme="minorHAnsi"/>
          <w:b/>
          <w:caps/>
          <w:spacing w:val="-3"/>
          <w:sz w:val="26"/>
          <w:szCs w:val="26"/>
          <w:lang w:eastAsia="hr-HR"/>
        </w:rPr>
      </w:pPr>
      <w:r w:rsidRPr="00C25D4E">
        <w:rPr>
          <w:rFonts w:asciiTheme="minorHAnsi" w:hAnsiTheme="minorHAnsi" w:cstheme="minorHAnsi"/>
          <w:b/>
          <w:caps/>
          <w:spacing w:val="-3"/>
          <w:sz w:val="26"/>
          <w:szCs w:val="26"/>
          <w:lang w:eastAsia="hr-HR"/>
        </w:rPr>
        <w:t xml:space="preserve">  </w:t>
      </w:r>
      <w:r w:rsidRPr="00C25D4E">
        <w:rPr>
          <w:rFonts w:asciiTheme="minorHAnsi" w:hAnsiTheme="minorHAnsi" w:cstheme="minorHAnsi"/>
          <w:noProof/>
        </w:rPr>
        <w:drawing>
          <wp:inline distT="0" distB="0" distL="0" distR="0" wp14:anchorId="3B21358F" wp14:editId="0C950A82">
            <wp:extent cx="3053273" cy="2449002"/>
            <wp:effectExtent l="0" t="0" r="0" b="8890"/>
            <wp:docPr id="29" name="Chart 29">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C25D4E">
        <w:rPr>
          <w:rFonts w:asciiTheme="minorHAnsi" w:hAnsiTheme="minorHAnsi" w:cstheme="minorHAnsi"/>
          <w:b/>
          <w:caps/>
          <w:spacing w:val="-3"/>
          <w:sz w:val="26"/>
          <w:szCs w:val="26"/>
          <w:lang w:eastAsia="hr-HR"/>
        </w:rPr>
        <w:t xml:space="preserve">     </w:t>
      </w:r>
      <w:r w:rsidRPr="00C25D4E">
        <w:rPr>
          <w:rFonts w:asciiTheme="minorHAnsi" w:hAnsiTheme="minorHAnsi" w:cstheme="minorHAnsi"/>
          <w:noProof/>
        </w:rPr>
        <w:drawing>
          <wp:inline distT="0" distB="0" distL="0" distR="0" wp14:anchorId="08F503B7" wp14:editId="1A9DABE1">
            <wp:extent cx="3124835" cy="2456483"/>
            <wp:effectExtent l="0" t="0" r="0" b="1270"/>
            <wp:docPr id="31" name="Chart 31">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B5EA8" w:rsidRPr="00C25D4E" w:rsidRDefault="002B5EA8" w:rsidP="002B5EA8">
      <w:pPr>
        <w:tabs>
          <w:tab w:val="left" w:pos="-720"/>
          <w:tab w:val="left" w:pos="0"/>
          <w:tab w:val="left" w:pos="4820"/>
        </w:tabs>
        <w:suppressAutoHyphens/>
        <w:spacing w:before="240" w:after="120" w:line="276" w:lineRule="auto"/>
        <w:ind w:left="-426" w:right="-425"/>
        <w:jc w:val="both"/>
        <w:rPr>
          <w:rFonts w:asciiTheme="minorHAnsi" w:hAnsiTheme="minorHAnsi" w:cstheme="minorHAnsi"/>
          <w:b/>
          <w:caps/>
          <w:spacing w:val="-3"/>
          <w:sz w:val="26"/>
          <w:szCs w:val="26"/>
          <w:lang w:eastAsia="hr-HR"/>
        </w:rPr>
      </w:pPr>
    </w:p>
    <w:p w:rsidR="002B5EA8" w:rsidRPr="00C25D4E" w:rsidRDefault="002B5EA8" w:rsidP="002B5EA8">
      <w:pPr>
        <w:tabs>
          <w:tab w:val="left" w:pos="-720"/>
          <w:tab w:val="left" w:pos="0"/>
          <w:tab w:val="left" w:pos="4820"/>
        </w:tabs>
        <w:suppressAutoHyphens/>
        <w:spacing w:before="240" w:after="120" w:line="276" w:lineRule="auto"/>
        <w:ind w:left="-426" w:right="-425"/>
        <w:jc w:val="both"/>
        <w:rPr>
          <w:rFonts w:asciiTheme="minorHAnsi" w:hAnsiTheme="minorHAnsi" w:cstheme="minorHAnsi"/>
          <w:b/>
          <w:caps/>
          <w:spacing w:val="-3"/>
          <w:sz w:val="26"/>
          <w:szCs w:val="26"/>
          <w:lang w:eastAsia="hr-HR"/>
        </w:rPr>
      </w:pPr>
    </w:p>
    <w:p w:rsidR="002B5EA8" w:rsidRPr="00C25D4E" w:rsidRDefault="002B5EA8" w:rsidP="002B5EA8">
      <w:pPr>
        <w:tabs>
          <w:tab w:val="left" w:pos="-720"/>
          <w:tab w:val="left" w:pos="0"/>
          <w:tab w:val="left" w:pos="4820"/>
        </w:tabs>
        <w:suppressAutoHyphens/>
        <w:spacing w:before="240" w:after="120" w:line="276" w:lineRule="auto"/>
        <w:ind w:left="-426" w:right="-425"/>
        <w:jc w:val="both"/>
        <w:rPr>
          <w:rFonts w:asciiTheme="minorHAnsi" w:hAnsiTheme="minorHAnsi" w:cstheme="minorHAnsi"/>
          <w:b/>
          <w:caps/>
          <w:spacing w:val="-3"/>
          <w:sz w:val="26"/>
          <w:szCs w:val="26"/>
          <w:lang w:eastAsia="hr-HR"/>
        </w:rPr>
      </w:pPr>
    </w:p>
    <w:p w:rsidR="002B5EA8" w:rsidRPr="00C25D4E" w:rsidRDefault="002B5EA8" w:rsidP="002B5EA8">
      <w:pPr>
        <w:tabs>
          <w:tab w:val="left" w:pos="-720"/>
          <w:tab w:val="left" w:pos="0"/>
          <w:tab w:val="left" w:pos="4820"/>
        </w:tabs>
        <w:suppressAutoHyphens/>
        <w:spacing w:before="240" w:after="120" w:line="276" w:lineRule="auto"/>
        <w:ind w:left="-426" w:right="-425"/>
        <w:jc w:val="both"/>
        <w:rPr>
          <w:rFonts w:asciiTheme="minorHAnsi" w:hAnsiTheme="minorHAnsi" w:cstheme="minorHAnsi"/>
          <w:b/>
          <w:caps/>
          <w:spacing w:val="-3"/>
          <w:sz w:val="26"/>
          <w:szCs w:val="26"/>
          <w:lang w:eastAsia="hr-HR"/>
        </w:rPr>
      </w:pPr>
      <w:r w:rsidRPr="00C25D4E">
        <w:rPr>
          <w:rFonts w:asciiTheme="minorHAnsi" w:hAnsiTheme="minorHAnsi" w:cstheme="minorHAnsi"/>
          <w:noProof/>
        </w:rPr>
        <w:drawing>
          <wp:inline distT="0" distB="0" distL="0" distR="0" wp14:anchorId="15207040" wp14:editId="2DD7886B">
            <wp:extent cx="3124863" cy="2544418"/>
            <wp:effectExtent l="0" t="0" r="0" b="8890"/>
            <wp:docPr id="32" name="Chart 32">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C25D4E">
        <w:rPr>
          <w:rFonts w:asciiTheme="minorHAnsi" w:hAnsiTheme="minorHAnsi" w:cstheme="minorHAnsi"/>
          <w:b/>
          <w:caps/>
          <w:spacing w:val="-3"/>
          <w:sz w:val="26"/>
          <w:szCs w:val="26"/>
          <w:lang w:eastAsia="hr-HR"/>
        </w:rPr>
        <w:t xml:space="preserve">     </w:t>
      </w:r>
      <w:r w:rsidRPr="00C25D4E">
        <w:rPr>
          <w:rFonts w:asciiTheme="minorHAnsi" w:hAnsiTheme="minorHAnsi" w:cstheme="minorHAnsi"/>
          <w:noProof/>
        </w:rPr>
        <w:drawing>
          <wp:inline distT="0" distB="0" distL="0" distR="0" wp14:anchorId="5A098761" wp14:editId="409934C2">
            <wp:extent cx="3156585" cy="2520563"/>
            <wp:effectExtent l="0" t="0" r="5715" b="0"/>
            <wp:docPr id="33" name="Chart 33">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57AB3" w:rsidRDefault="00D57AB3" w:rsidP="002B5EA8">
      <w:pPr>
        <w:spacing w:before="240" w:after="120" w:line="276" w:lineRule="auto"/>
        <w:rPr>
          <w:rFonts w:asciiTheme="minorHAnsi" w:hAnsiTheme="minorHAnsi" w:cstheme="minorHAnsi"/>
          <w:b/>
          <w:caps/>
          <w:spacing w:val="-3"/>
          <w:sz w:val="26"/>
          <w:szCs w:val="26"/>
          <w:lang w:eastAsia="hr-HR"/>
        </w:rPr>
      </w:pPr>
      <w:r>
        <w:rPr>
          <w:rFonts w:asciiTheme="minorHAnsi" w:hAnsiTheme="minorHAnsi" w:cstheme="minorHAnsi"/>
          <w:b/>
          <w:caps/>
          <w:spacing w:val="-3"/>
          <w:sz w:val="26"/>
          <w:szCs w:val="26"/>
          <w:lang w:eastAsia="hr-HR"/>
        </w:rPr>
        <w:br w:type="page"/>
      </w:r>
    </w:p>
    <w:p w:rsidR="002B5EA8" w:rsidRPr="00C25D4E" w:rsidRDefault="002B5EA8" w:rsidP="002B5EA8">
      <w:pPr>
        <w:spacing w:before="240" w:after="120" w:line="276" w:lineRule="auto"/>
        <w:rPr>
          <w:rFonts w:asciiTheme="minorHAnsi" w:hAnsiTheme="minorHAnsi" w:cstheme="minorHAnsi"/>
          <w:b/>
        </w:rPr>
      </w:pPr>
      <w:r w:rsidRPr="00C25D4E">
        <w:rPr>
          <w:rFonts w:asciiTheme="minorHAnsi" w:hAnsiTheme="minorHAnsi" w:cstheme="minorHAnsi"/>
          <w:b/>
        </w:rPr>
        <w:t>Rezultat Grupe</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Učinci primjene MSFI-ja 9 priznati na teret zadržane dobiti i rezervi na dan 1. siječnja 2018. iznose 469,97 milijuna kuna.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Grupa HBOR je u 2018. godini ostvarila dobit nakon oporezivanja u iznosu od 204,73 milijuna kuna. Ostvarena dobit veća je za 26,22 posto u odnosu na prethodnu godinu, a razlozi se daju u opisu financijskog poslovanja HBOR-a.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Matično društvo temeljem odredbi Zakona o HBOR-u nije obveznik plaćanja poreza na dobit te porezne obveze na ime poreza na dobit proizlaze isključivo iz aktivnosti ostalih članica Grupe.</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Konsolidirani ukupni prihodi u 2018. godini iznose 801,40 milijuna kuna, dok ukupni rashodi iznose 596,67 milijuna kuna.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strukturi prihoda Grupe najveći dio, tj. 91,47 posto odnosi se na prihode od kamata kao rezultat poslovanja matičnog društva.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dijelu ukupnih rashoda, najveći dio čine rashodi od kamata i to 59,68 posto koji proizlaze iz poslovanja matičnog društva.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Konsolidirani operativni troškovi u 2018. godini iznose 170,90 milijuna kuna, a čine ih opći i administrativni troškovi te ostali troškovi poslovanja.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Ukupan broj zaposlenih u Grupi na dan 31. prosinca 2018. je 390, dok je na kraju 2017. godine Grupa zapošljavala 386 radnika.</w:t>
      </w:r>
    </w:p>
    <w:p w:rsidR="002B5EA8" w:rsidRPr="00C25D4E" w:rsidRDefault="002B5EA8" w:rsidP="002B5EA8">
      <w:pPr>
        <w:spacing w:before="240" w:after="120" w:line="276" w:lineRule="auto"/>
        <w:rPr>
          <w:rFonts w:asciiTheme="minorHAnsi" w:hAnsiTheme="minorHAnsi" w:cstheme="minorHAnsi"/>
          <w:b/>
        </w:rPr>
      </w:pPr>
      <w:r w:rsidRPr="00C25D4E">
        <w:rPr>
          <w:rFonts w:asciiTheme="minorHAnsi" w:hAnsiTheme="minorHAnsi" w:cstheme="minorHAnsi"/>
          <w:b/>
        </w:rPr>
        <w:t>Imovina i obveze Grupe</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 xml:space="preserve">Ukupna imovina Grupe na konsolidiranoj osnovi iznosi </w:t>
      </w:r>
      <w:r w:rsidRPr="00C25D4E">
        <w:rPr>
          <w:rFonts w:asciiTheme="minorHAnsi" w:hAnsiTheme="minorHAnsi" w:cstheme="minorHAnsi"/>
          <w:spacing w:val="-3"/>
          <w:lang w:eastAsia="hr-HR"/>
        </w:rPr>
        <w:t xml:space="preserve">27.218,98 </w:t>
      </w:r>
      <w:r w:rsidRPr="00C25D4E">
        <w:rPr>
          <w:rFonts w:asciiTheme="minorHAnsi" w:hAnsiTheme="minorHAnsi" w:cstheme="minorHAnsi"/>
        </w:rPr>
        <w:t xml:space="preserve"> milij</w:t>
      </w:r>
      <w:r>
        <w:rPr>
          <w:rFonts w:asciiTheme="minorHAnsi" w:hAnsiTheme="minorHAnsi" w:cstheme="minorHAnsi"/>
        </w:rPr>
        <w:t>una</w:t>
      </w:r>
      <w:r w:rsidRPr="00C25D4E">
        <w:rPr>
          <w:rFonts w:asciiTheme="minorHAnsi" w:hAnsiTheme="minorHAnsi" w:cstheme="minorHAnsi"/>
        </w:rPr>
        <w:t xml:space="preserve"> kuna i smanjena je za 3,05 posto u odnosu na početak godine. Razlozi ovakvog trenda daju se u opisu financijskog poslovanja HBOR-a.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strukturi imovine najveće učešće odnosi se na kreditno poslovanje matičnog društva te neto krediti čine 83,57 posto ukupne imovine.</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spacing w:val="-3"/>
          <w:lang w:eastAsia="hr-HR"/>
        </w:rPr>
        <w:t>Ukupne obveze i kapital i rezerve na dan 31. prosinca 2018. iznose 27.218,98 milijuna kuna od čega ukupne obveze iznose 17.157,88</w:t>
      </w:r>
      <w:r w:rsidRPr="00C25D4E">
        <w:rPr>
          <w:rFonts w:asciiTheme="minorHAnsi" w:hAnsiTheme="minorHAnsi" w:cstheme="minorHAnsi"/>
          <w:bCs/>
          <w:lang w:eastAsia="hr-HR"/>
        </w:rPr>
        <w:t xml:space="preserve"> </w:t>
      </w:r>
      <w:r w:rsidRPr="00C25D4E">
        <w:rPr>
          <w:rFonts w:asciiTheme="minorHAnsi" w:hAnsiTheme="minorHAnsi" w:cstheme="minorHAnsi"/>
          <w:spacing w:val="-3"/>
          <w:lang w:eastAsia="hr-HR"/>
        </w:rPr>
        <w:t>milijuna kuna, odnosno 63,04 posto.</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ukupnim obvezama i kapitalu i rezervama Grupe najveći dio, tj. 58,89 posto čine obveze po kreditima i obveze za izdane vrijednosne papire matičnog društva.</w:t>
      </w:r>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Ukupni kapital i rezerve na konsolidiranoj osnovi na kraju 2018. godine iznos</w:t>
      </w:r>
      <w:r>
        <w:rPr>
          <w:rFonts w:asciiTheme="minorHAnsi" w:hAnsiTheme="minorHAnsi" w:cstheme="minorHAnsi"/>
        </w:rPr>
        <w:t>e</w:t>
      </w:r>
      <w:r w:rsidRPr="00C25D4E">
        <w:rPr>
          <w:rFonts w:asciiTheme="minorHAnsi" w:hAnsiTheme="minorHAnsi" w:cstheme="minorHAnsi"/>
        </w:rPr>
        <w:t xml:space="preserve"> 10.061,10 milijuna kuna i čin</w:t>
      </w:r>
      <w:r>
        <w:rPr>
          <w:rFonts w:asciiTheme="minorHAnsi" w:hAnsiTheme="minorHAnsi" w:cstheme="minorHAnsi"/>
        </w:rPr>
        <w:t>e</w:t>
      </w:r>
      <w:r w:rsidRPr="00C25D4E">
        <w:rPr>
          <w:rFonts w:asciiTheme="minorHAnsi" w:hAnsiTheme="minorHAnsi" w:cstheme="minorHAnsi"/>
        </w:rPr>
        <w:t xml:space="preserve"> 36,96 posto ukupnih obveza i kapitala i rezervi Grupe.</w:t>
      </w:r>
    </w:p>
    <w:p w:rsidR="002B5EA8" w:rsidRPr="00C25D4E" w:rsidRDefault="002B5EA8" w:rsidP="002B5EA8">
      <w:pPr>
        <w:spacing w:before="240" w:after="120" w:line="276" w:lineRule="auto"/>
        <w:ind w:left="-284" w:right="-285"/>
        <w:jc w:val="both"/>
        <w:rPr>
          <w:rFonts w:asciiTheme="minorHAnsi" w:hAnsiTheme="minorHAnsi" w:cstheme="minorHAnsi"/>
        </w:rPr>
      </w:pPr>
      <w:r w:rsidRPr="00C25D4E">
        <w:rPr>
          <w:rFonts w:asciiTheme="minorHAnsi" w:hAnsiTheme="minorHAnsi" w:cstheme="minorHAnsi"/>
        </w:rPr>
        <w:t xml:space="preserve"> </w:t>
      </w:r>
      <w:r w:rsidRPr="00C25D4E">
        <w:rPr>
          <w:rFonts w:asciiTheme="minorHAnsi" w:hAnsiTheme="minorHAnsi" w:cstheme="minorHAnsi"/>
          <w:noProof/>
        </w:rPr>
        <w:drawing>
          <wp:inline distT="0" distB="0" distL="0" distR="0" wp14:anchorId="7A4D6ABE" wp14:editId="0704EABF">
            <wp:extent cx="3018790" cy="3996000"/>
            <wp:effectExtent l="0" t="0" r="0" b="5080"/>
            <wp:docPr id="34" name="Grafikon 39">
              <a:extLst xmlns:a="http://schemas.openxmlformats.org/drawingml/2006/main">
                <a:ext uri="{FF2B5EF4-FFF2-40B4-BE49-F238E27FC236}">
                  <a16:creationId xmlns:a16="http://schemas.microsoft.com/office/drawing/2014/main" id="{00000000-0008-0000-02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Pr>
          <w:noProof/>
        </w:rPr>
        <w:drawing>
          <wp:inline distT="0" distB="0" distL="0" distR="0" wp14:anchorId="62AE4E44" wp14:editId="53FD7F56">
            <wp:extent cx="3036499" cy="3915913"/>
            <wp:effectExtent l="0" t="0" r="0" b="8890"/>
            <wp:docPr id="4" name="Chart 4">
              <a:extLst xmlns:a="http://schemas.openxmlformats.org/drawingml/2006/main">
                <a:ext uri="{FF2B5EF4-FFF2-40B4-BE49-F238E27FC236}">
                  <a16:creationId xmlns:a16="http://schemas.microsoft.com/office/drawing/2014/main" id="{00000000-0008-0000-02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B5EA8" w:rsidRPr="00C25D4E" w:rsidRDefault="002B5EA8" w:rsidP="002B5EA8">
      <w:pPr>
        <w:spacing w:before="240" w:after="120" w:line="276" w:lineRule="auto"/>
        <w:ind w:left="-284" w:right="-285"/>
        <w:jc w:val="both"/>
        <w:rPr>
          <w:rFonts w:asciiTheme="minorHAnsi" w:hAnsiTheme="minorHAnsi" w:cstheme="minorHAnsi"/>
        </w:rPr>
      </w:pPr>
    </w:p>
    <w:p w:rsidR="002B5EA8" w:rsidRPr="00C25D4E" w:rsidRDefault="002B5EA8" w:rsidP="003327E4">
      <w:pPr>
        <w:spacing w:before="240" w:line="276" w:lineRule="auto"/>
        <w:jc w:val="both"/>
        <w:rPr>
          <w:rFonts w:asciiTheme="minorHAnsi" w:hAnsiTheme="minorHAnsi" w:cstheme="minorHAnsi"/>
          <w:spacing w:val="-3"/>
          <w:sz w:val="18"/>
          <w:szCs w:val="18"/>
          <w:lang w:eastAsia="hr-HR"/>
        </w:rPr>
      </w:pPr>
      <w:r w:rsidRPr="00C25D4E">
        <w:rPr>
          <w:rFonts w:asciiTheme="minorHAnsi" w:hAnsiTheme="minorHAnsi" w:cstheme="minorHAnsi"/>
          <w:spacing w:val="-3"/>
          <w:sz w:val="20"/>
          <w:szCs w:val="20"/>
          <w:lang w:eastAsia="hr-HR"/>
        </w:rPr>
        <w:t>*</w:t>
      </w:r>
      <w:r w:rsidRPr="00C25D4E">
        <w:rPr>
          <w:rFonts w:asciiTheme="minorHAnsi" w:hAnsiTheme="minorHAnsi" w:cstheme="minorHAnsi"/>
          <w:spacing w:val="-3"/>
          <w:sz w:val="18"/>
          <w:szCs w:val="18"/>
          <w:lang w:eastAsia="hr-HR"/>
        </w:rPr>
        <w:t xml:space="preserve">Financijska imovina po "fair" vrijednosti kroz </w:t>
      </w:r>
      <w:r>
        <w:rPr>
          <w:rFonts w:asciiTheme="minorHAnsi" w:hAnsiTheme="minorHAnsi" w:cstheme="minorHAnsi"/>
          <w:spacing w:val="-3"/>
          <w:sz w:val="18"/>
          <w:szCs w:val="18"/>
          <w:lang w:eastAsia="hr-HR"/>
        </w:rPr>
        <w:t>R</w:t>
      </w:r>
      <w:r w:rsidRPr="00C25D4E">
        <w:rPr>
          <w:rFonts w:asciiTheme="minorHAnsi" w:hAnsiTheme="minorHAnsi" w:cstheme="minorHAnsi"/>
          <w:spacing w:val="-3"/>
          <w:sz w:val="18"/>
          <w:szCs w:val="18"/>
          <w:lang w:eastAsia="hr-HR"/>
        </w:rPr>
        <w:t xml:space="preserve">DG, Imovina koja se drži do dospijeća, Nekretnine, postrojenja i oprema i nematerijalna imovina, </w:t>
      </w:r>
      <w:r w:rsidR="00A553F7">
        <w:rPr>
          <w:rFonts w:asciiTheme="minorHAnsi" w:hAnsiTheme="minorHAnsi" w:cstheme="minorHAnsi"/>
          <w:spacing w:val="-3"/>
          <w:sz w:val="18"/>
          <w:szCs w:val="18"/>
          <w:lang w:eastAsia="hr-HR"/>
        </w:rPr>
        <w:t>Preuzeta imovina</w:t>
      </w:r>
      <w:r w:rsidRPr="00C25D4E">
        <w:rPr>
          <w:rFonts w:asciiTheme="minorHAnsi" w:hAnsiTheme="minorHAnsi" w:cstheme="minorHAnsi"/>
          <w:spacing w:val="-3"/>
          <w:sz w:val="18"/>
          <w:szCs w:val="18"/>
          <w:lang w:eastAsia="hr-HR"/>
        </w:rPr>
        <w:t xml:space="preserve"> i Ostala imovina.</w:t>
      </w:r>
    </w:p>
    <w:p w:rsidR="002B5EA8" w:rsidRPr="00C25D4E" w:rsidRDefault="002B5EA8" w:rsidP="003327E4">
      <w:pPr>
        <w:spacing w:after="120" w:line="276" w:lineRule="auto"/>
        <w:jc w:val="both"/>
        <w:rPr>
          <w:rFonts w:asciiTheme="minorHAnsi" w:hAnsiTheme="minorHAnsi" w:cstheme="minorHAnsi"/>
          <w:b/>
          <w:spacing w:val="-3"/>
          <w:sz w:val="18"/>
          <w:szCs w:val="18"/>
          <w:u w:val="single"/>
          <w:lang w:eastAsia="hr-HR"/>
        </w:rPr>
      </w:pPr>
      <w:r w:rsidRPr="00C25D4E">
        <w:rPr>
          <w:rFonts w:asciiTheme="minorHAnsi" w:hAnsiTheme="minorHAnsi" w:cstheme="minorHAnsi"/>
          <w:spacing w:val="-3"/>
          <w:sz w:val="18"/>
          <w:szCs w:val="18"/>
          <w:lang w:eastAsia="hr-HR"/>
        </w:rPr>
        <w:t xml:space="preserve">**Nekretnine, postrojenja i oprema i nematerijalna imovina, </w:t>
      </w:r>
      <w:r w:rsidR="00A553F7">
        <w:rPr>
          <w:rFonts w:asciiTheme="minorHAnsi" w:hAnsiTheme="minorHAnsi" w:cstheme="minorHAnsi"/>
          <w:spacing w:val="-3"/>
          <w:sz w:val="18"/>
          <w:szCs w:val="18"/>
          <w:lang w:eastAsia="hr-HR"/>
        </w:rPr>
        <w:t>Preuzeta imovina</w:t>
      </w:r>
      <w:r w:rsidRPr="00C25D4E">
        <w:rPr>
          <w:rFonts w:asciiTheme="minorHAnsi" w:hAnsiTheme="minorHAnsi" w:cstheme="minorHAnsi"/>
          <w:spacing w:val="-3"/>
          <w:sz w:val="18"/>
          <w:szCs w:val="18"/>
          <w:lang w:eastAsia="hr-HR"/>
        </w:rPr>
        <w:t xml:space="preserve"> i Ostala imovina.</w:t>
      </w:r>
    </w:p>
    <w:p w:rsidR="002B5EA8" w:rsidRPr="00C25D4E" w:rsidRDefault="002B5EA8" w:rsidP="002B5EA8">
      <w:pPr>
        <w:spacing w:before="240" w:after="120" w:line="276" w:lineRule="auto"/>
        <w:ind w:left="-284" w:right="-425"/>
        <w:rPr>
          <w:rFonts w:asciiTheme="minorHAnsi" w:hAnsiTheme="minorHAnsi" w:cstheme="minorHAnsi"/>
          <w:b/>
          <w:spacing w:val="-3"/>
          <w:lang w:eastAsia="hr-HR"/>
        </w:rPr>
      </w:pPr>
      <w:r w:rsidRPr="00C25D4E">
        <w:rPr>
          <w:rFonts w:asciiTheme="minorHAnsi" w:hAnsiTheme="minorHAnsi" w:cstheme="minorHAnsi"/>
          <w:b/>
          <w:spacing w:val="-3"/>
          <w:lang w:eastAsia="hr-HR"/>
        </w:rPr>
        <w:t xml:space="preserve">    </w:t>
      </w:r>
      <w:r w:rsidRPr="00C25D4E">
        <w:rPr>
          <w:rFonts w:asciiTheme="minorHAnsi" w:hAnsiTheme="minorHAnsi" w:cstheme="minorHAnsi"/>
          <w:noProof/>
        </w:rPr>
        <w:drawing>
          <wp:inline distT="0" distB="0" distL="0" distR="0" wp14:anchorId="3F0AF104" wp14:editId="21CCFA13">
            <wp:extent cx="3020400" cy="3996000"/>
            <wp:effectExtent l="0" t="0" r="8890" b="5080"/>
            <wp:docPr id="37" name="Chart 37">
              <a:extLst xmlns:a="http://schemas.openxmlformats.org/drawingml/2006/main">
                <a:ext uri="{FF2B5EF4-FFF2-40B4-BE49-F238E27FC236}">
                  <a16:creationId xmlns:a16="http://schemas.microsoft.com/office/drawing/2014/main" id="{00000000-0008-0000-02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C25D4E">
        <w:rPr>
          <w:rFonts w:asciiTheme="minorHAnsi" w:hAnsiTheme="minorHAnsi" w:cstheme="minorHAnsi"/>
          <w:b/>
          <w:spacing w:val="-3"/>
          <w:lang w:eastAsia="hr-HR"/>
        </w:rPr>
        <w:t xml:space="preserve"> </w:t>
      </w:r>
      <w:r w:rsidRPr="00C25D4E">
        <w:rPr>
          <w:rFonts w:asciiTheme="minorHAnsi" w:hAnsiTheme="minorHAnsi" w:cstheme="minorHAnsi"/>
        </w:rPr>
        <w:t xml:space="preserve">  </w:t>
      </w:r>
      <w:r w:rsidRPr="00C25D4E">
        <w:rPr>
          <w:rFonts w:asciiTheme="minorHAnsi" w:hAnsiTheme="minorHAnsi" w:cstheme="minorHAnsi"/>
          <w:noProof/>
        </w:rPr>
        <w:drawing>
          <wp:inline distT="0" distB="0" distL="0" distR="0" wp14:anchorId="4FA279A7" wp14:editId="2721D1D6">
            <wp:extent cx="3020400" cy="3996000"/>
            <wp:effectExtent l="0" t="0" r="8890" b="5080"/>
            <wp:docPr id="38" name="Chart 38">
              <a:extLst xmlns:a="http://schemas.openxmlformats.org/drawingml/2006/main">
                <a:ext uri="{FF2B5EF4-FFF2-40B4-BE49-F238E27FC236}">
                  <a16:creationId xmlns:a16="http://schemas.microsoft.com/office/drawing/2014/main" id="{00000000-0008-0000-02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B5EA8" w:rsidRPr="00C25D4E" w:rsidRDefault="002B5EA8" w:rsidP="002B5EA8">
      <w:pPr>
        <w:spacing w:before="240" w:after="120" w:line="276" w:lineRule="auto"/>
        <w:rPr>
          <w:rFonts w:asciiTheme="minorHAnsi" w:hAnsiTheme="minorHAnsi" w:cstheme="minorHAnsi"/>
          <w:b/>
          <w:spacing w:val="-3"/>
          <w:u w:val="single"/>
          <w:lang w:eastAsia="hr-HR"/>
        </w:rPr>
        <w:sectPr w:rsidR="002B5EA8" w:rsidRPr="00C25D4E" w:rsidSect="000C7E9A">
          <w:type w:val="continuous"/>
          <w:pgSz w:w="11906" w:h="16838" w:code="9"/>
          <w:pgMar w:top="-1134" w:right="1133" w:bottom="567" w:left="1418" w:header="709" w:footer="709" w:gutter="0"/>
          <w:cols w:space="708"/>
          <w:titlePg/>
          <w:docGrid w:linePitch="360"/>
        </w:sectPr>
      </w:pPr>
    </w:p>
    <w:p w:rsidR="002B5EA8" w:rsidRPr="00A141E5" w:rsidRDefault="002B5EA8" w:rsidP="002B5EA8">
      <w:pPr>
        <w:pStyle w:val="Heading1"/>
        <w:rPr>
          <w:rFonts w:asciiTheme="minorHAnsi" w:hAnsiTheme="minorHAnsi" w:cstheme="minorHAnsi"/>
          <w:b/>
          <w:bCs/>
          <w:sz w:val="24"/>
          <w:szCs w:val="24"/>
          <w:u w:val="none"/>
          <w:lang w:eastAsia="x-none"/>
        </w:rPr>
      </w:pPr>
      <w:bookmarkStart w:id="29" w:name="_Toc477261950"/>
      <w:bookmarkStart w:id="30" w:name="_Toc3249217"/>
      <w:r w:rsidRPr="00A141E5">
        <w:rPr>
          <w:rFonts w:asciiTheme="minorHAnsi" w:hAnsiTheme="minorHAnsi" w:cstheme="minorHAnsi"/>
          <w:b/>
          <w:bCs/>
          <w:sz w:val="24"/>
          <w:szCs w:val="24"/>
          <w:u w:val="none"/>
          <w:lang w:eastAsia="x-none"/>
        </w:rPr>
        <w:t>OSVRT NA FINANCIJSKO POSLOVANJE HBOR-a</w:t>
      </w:r>
      <w:bookmarkEnd w:id="29"/>
      <w:bookmarkEnd w:id="30"/>
    </w:p>
    <w:p w:rsidR="002B5EA8" w:rsidRPr="00C25D4E" w:rsidRDefault="002B5EA8" w:rsidP="002B5EA8">
      <w:pPr>
        <w:spacing w:before="240" w:after="120" w:line="276" w:lineRule="auto"/>
        <w:jc w:val="both"/>
        <w:rPr>
          <w:rFonts w:asciiTheme="minorHAnsi" w:hAnsiTheme="minorHAnsi" w:cstheme="minorHAnsi"/>
        </w:rPr>
      </w:pPr>
      <w:r w:rsidRPr="00C25D4E">
        <w:rPr>
          <w:rFonts w:asciiTheme="minorHAnsi" w:hAnsiTheme="minorHAnsi" w:cstheme="minorHAnsi"/>
        </w:rPr>
        <w:t>U nastavku se daje pregled i objašnjenja značajnih promjena u financijskom položaju i uspješnosti poslovanja u izvještajnoj godini.</w:t>
      </w:r>
    </w:p>
    <w:p w:rsidR="002B5EA8" w:rsidRPr="00C25D4E" w:rsidRDefault="002B5EA8" w:rsidP="002B5E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120" w:line="276" w:lineRule="auto"/>
        <w:jc w:val="both"/>
        <w:rPr>
          <w:rFonts w:asciiTheme="minorHAnsi" w:hAnsiTheme="minorHAnsi" w:cstheme="minorHAnsi"/>
        </w:rPr>
      </w:pPr>
      <w:r w:rsidRPr="00C25D4E">
        <w:rPr>
          <w:rFonts w:asciiTheme="minorHAnsi" w:hAnsiTheme="minorHAnsi" w:cstheme="minorHAnsi"/>
        </w:rPr>
        <w:t xml:space="preserve">Banka od 1. siječnja 2018. primjenjuje Međunarodni standard financijskog izvještavanja (MSFI) 9 Financijski instrumenti i nije prepravila usporedne podatke za 2017. godinu, kako to dopušta standard. Prema navedenome, rezultati za 2018. godinu temelje se na MSFI-ju 9 „Financijski instrumenti“, dok su rezultati za 2017. godinu temeljeni na Međunarodnom računovodstvenom standardu (MRS) 39 „Financijski instrumenti: priznavanje i mjerenje“ te usporedni podaci za 2017. godinu nisu usporedivi s informacijama predočenim u 2018. godini. </w:t>
      </w:r>
    </w:p>
    <w:p w:rsidR="002B5EA8" w:rsidRPr="00C25D4E" w:rsidRDefault="002B5EA8" w:rsidP="002B5EA8">
      <w:pPr>
        <w:tabs>
          <w:tab w:val="left" w:pos="-720"/>
        </w:tabs>
        <w:spacing w:before="240" w:after="120" w:line="276" w:lineRule="auto"/>
        <w:jc w:val="both"/>
        <w:rPr>
          <w:rFonts w:asciiTheme="minorHAnsi" w:hAnsiTheme="minorHAnsi" w:cstheme="minorHAnsi"/>
          <w:b/>
          <w:spacing w:val="-3"/>
        </w:rPr>
      </w:pPr>
      <w:r w:rsidRPr="00C25D4E">
        <w:rPr>
          <w:rFonts w:asciiTheme="minorHAnsi" w:hAnsiTheme="minorHAnsi" w:cstheme="minorHAnsi"/>
          <w:b/>
          <w:spacing w:val="-3"/>
        </w:rPr>
        <w:t xml:space="preserve">Uspješnost poslovanja </w:t>
      </w:r>
    </w:p>
    <w:p w:rsidR="002B5EA8" w:rsidRPr="00C25D4E" w:rsidRDefault="002B5EA8" w:rsidP="002B5EA8">
      <w:pPr>
        <w:spacing w:before="240" w:after="120" w:line="276" w:lineRule="auto"/>
        <w:ind w:right="-1"/>
        <w:jc w:val="both"/>
        <w:rPr>
          <w:rFonts w:asciiTheme="minorHAnsi" w:hAnsiTheme="minorHAnsi" w:cstheme="minorHAnsi"/>
        </w:rPr>
      </w:pPr>
      <w:r w:rsidRPr="00C25D4E">
        <w:rPr>
          <w:rFonts w:asciiTheme="minorHAnsi" w:hAnsiTheme="minorHAnsi" w:cstheme="minorHAnsi"/>
        </w:rPr>
        <w:t>Učinci primjene MSFI-ja 9 priznati na teret zadržane dobiti i rezervi na dan 1. siječnja 2018. iznose 469,66 milijuna kuna.</w:t>
      </w:r>
    </w:p>
    <w:p w:rsidR="002B5EA8" w:rsidRPr="00C25D4E" w:rsidRDefault="002B5EA8" w:rsidP="002B5EA8">
      <w:pPr>
        <w:tabs>
          <w:tab w:val="left" w:pos="-720"/>
        </w:tabs>
        <w:spacing w:before="240" w:after="120" w:line="276" w:lineRule="auto"/>
        <w:jc w:val="both"/>
        <w:rPr>
          <w:rFonts w:asciiTheme="minorHAnsi" w:hAnsiTheme="minorHAnsi" w:cstheme="minorHAnsi"/>
          <w:spacing w:val="-3"/>
        </w:rPr>
      </w:pPr>
      <w:r w:rsidRPr="00C25D4E">
        <w:rPr>
          <w:rFonts w:asciiTheme="minorHAnsi" w:hAnsiTheme="minorHAnsi" w:cstheme="minorHAnsi"/>
          <w:spacing w:val="-3"/>
        </w:rPr>
        <w:t>U 2018. godini HBOR je ostvario ukupne prihode u iznosu od 791,25 milijuna kuna, rashode u iznosu od 586,92 milijuna kuna i dobit u iznosu od 204,33 milijuna kuna. Dobit HBOR-a u 2018. godini je za 43,55 milijuna kuna, odnosno 27,09 posto veća od dobiti za 2017. godinu.</w:t>
      </w:r>
    </w:p>
    <w:p w:rsidR="002B5EA8" w:rsidRPr="00C25D4E" w:rsidRDefault="002B5EA8" w:rsidP="002B5EA8">
      <w:pPr>
        <w:tabs>
          <w:tab w:val="left" w:pos="-720"/>
        </w:tabs>
        <w:spacing w:before="240" w:after="120" w:line="276" w:lineRule="auto"/>
        <w:jc w:val="both"/>
        <w:rPr>
          <w:rFonts w:asciiTheme="minorHAnsi" w:hAnsiTheme="minorHAnsi" w:cstheme="minorHAnsi"/>
          <w:spacing w:val="-3"/>
        </w:rPr>
      </w:pPr>
      <w:r w:rsidRPr="00C25D4E">
        <w:rPr>
          <w:rFonts w:asciiTheme="minorHAnsi" w:hAnsiTheme="minorHAnsi" w:cstheme="minorHAnsi"/>
          <w:spacing w:val="-3"/>
        </w:rPr>
        <w:t>U nastavku se daju najznačajnije okolnosti koje su utjecale na povećanje dobiti u 2018. godini u odnosu na 2017. godinu:</w:t>
      </w:r>
    </w:p>
    <w:p w:rsidR="002B5EA8" w:rsidRPr="00C25D4E" w:rsidRDefault="002B5EA8" w:rsidP="003327E4">
      <w:pPr>
        <w:pStyle w:val="ListParagraph"/>
        <w:numPr>
          <w:ilvl w:val="0"/>
          <w:numId w:val="44"/>
        </w:numPr>
        <w:tabs>
          <w:tab w:val="left" w:pos="-720"/>
        </w:tabs>
        <w:suppressAutoHyphens/>
        <w:autoSpaceDN w:val="0"/>
        <w:spacing w:line="276" w:lineRule="auto"/>
        <w:ind w:left="714" w:hanging="357"/>
        <w:contextualSpacing w:val="0"/>
        <w:jc w:val="both"/>
        <w:textAlignment w:val="baseline"/>
        <w:rPr>
          <w:rFonts w:asciiTheme="minorHAnsi" w:hAnsiTheme="minorHAnsi" w:cstheme="minorHAnsi"/>
        </w:rPr>
      </w:pPr>
      <w:r w:rsidRPr="00C25D4E">
        <w:rPr>
          <w:rFonts w:asciiTheme="minorHAnsi" w:hAnsiTheme="minorHAnsi" w:cstheme="minorHAnsi"/>
        </w:rPr>
        <w:t>niže ostvarenje prihoda od kamata za 134,49 milijuna kuna,</w:t>
      </w:r>
    </w:p>
    <w:p w:rsidR="002B5EA8" w:rsidRPr="00C25D4E" w:rsidRDefault="002B5EA8" w:rsidP="003327E4">
      <w:pPr>
        <w:pStyle w:val="ListParagraph"/>
        <w:numPr>
          <w:ilvl w:val="0"/>
          <w:numId w:val="44"/>
        </w:numPr>
        <w:tabs>
          <w:tab w:val="left" w:pos="-720"/>
        </w:tabs>
        <w:suppressAutoHyphens/>
        <w:autoSpaceDN w:val="0"/>
        <w:spacing w:line="276" w:lineRule="auto"/>
        <w:ind w:left="714" w:hanging="357"/>
        <w:contextualSpacing w:val="0"/>
        <w:jc w:val="both"/>
        <w:textAlignment w:val="baseline"/>
        <w:rPr>
          <w:rFonts w:asciiTheme="minorHAnsi" w:hAnsiTheme="minorHAnsi" w:cstheme="minorHAnsi"/>
        </w:rPr>
      </w:pPr>
      <w:r w:rsidRPr="00C25D4E">
        <w:rPr>
          <w:rFonts w:asciiTheme="minorHAnsi" w:hAnsiTheme="minorHAnsi" w:cstheme="minorHAnsi"/>
          <w:bCs/>
          <w:spacing w:val="-3"/>
        </w:rPr>
        <w:t xml:space="preserve">niže ostvarenje rashoda od kamata za 34,39 milijuna kuna, </w:t>
      </w:r>
    </w:p>
    <w:p w:rsidR="002B5EA8" w:rsidRPr="00C25D4E" w:rsidRDefault="002B5EA8" w:rsidP="003327E4">
      <w:pPr>
        <w:pStyle w:val="ListParagraph"/>
        <w:numPr>
          <w:ilvl w:val="0"/>
          <w:numId w:val="44"/>
        </w:numPr>
        <w:tabs>
          <w:tab w:val="left" w:pos="-720"/>
        </w:tabs>
        <w:suppressAutoHyphens/>
        <w:autoSpaceDN w:val="0"/>
        <w:spacing w:line="276" w:lineRule="auto"/>
        <w:ind w:left="714" w:hanging="357"/>
        <w:contextualSpacing w:val="0"/>
        <w:jc w:val="both"/>
        <w:textAlignment w:val="baseline"/>
        <w:rPr>
          <w:rFonts w:asciiTheme="minorHAnsi" w:hAnsiTheme="minorHAnsi" w:cstheme="minorHAnsi"/>
        </w:rPr>
      </w:pPr>
      <w:r w:rsidRPr="00C25D4E">
        <w:rPr>
          <w:rFonts w:asciiTheme="minorHAnsi" w:hAnsiTheme="minorHAnsi" w:cstheme="minorHAnsi"/>
          <w:spacing w:val="-3"/>
        </w:rPr>
        <w:t xml:space="preserve">veće ostvarenje </w:t>
      </w:r>
      <w:r w:rsidRPr="00C25D4E">
        <w:rPr>
          <w:rFonts w:asciiTheme="minorHAnsi" w:hAnsiTheme="minorHAnsi" w:cstheme="minorHAnsi"/>
          <w:bCs/>
          <w:spacing w:val="-3"/>
        </w:rPr>
        <w:t>operativnih troškova</w:t>
      </w:r>
      <w:r w:rsidRPr="00C25D4E">
        <w:rPr>
          <w:rFonts w:asciiTheme="minorHAnsi" w:hAnsiTheme="minorHAnsi" w:cstheme="minorHAnsi"/>
          <w:spacing w:val="-3"/>
        </w:rPr>
        <w:t xml:space="preserve"> za 11,73 milijuna kuna, </w:t>
      </w:r>
    </w:p>
    <w:p w:rsidR="002B5EA8" w:rsidRPr="00C25D4E" w:rsidRDefault="002B5EA8" w:rsidP="003327E4">
      <w:pPr>
        <w:pStyle w:val="ListParagraph"/>
        <w:numPr>
          <w:ilvl w:val="0"/>
          <w:numId w:val="44"/>
        </w:numPr>
        <w:tabs>
          <w:tab w:val="left" w:pos="-720"/>
        </w:tabs>
        <w:suppressAutoHyphens/>
        <w:autoSpaceDN w:val="0"/>
        <w:spacing w:line="276" w:lineRule="auto"/>
        <w:ind w:left="714" w:hanging="357"/>
        <w:contextualSpacing w:val="0"/>
        <w:jc w:val="both"/>
        <w:textAlignment w:val="baseline"/>
        <w:rPr>
          <w:rFonts w:asciiTheme="minorHAnsi" w:hAnsiTheme="minorHAnsi" w:cstheme="minorHAnsi"/>
        </w:rPr>
      </w:pPr>
      <w:r w:rsidRPr="00C25D4E">
        <w:rPr>
          <w:rFonts w:asciiTheme="minorHAnsi" w:hAnsiTheme="minorHAnsi" w:cstheme="minorHAnsi"/>
          <w:spacing w:val="-3"/>
        </w:rPr>
        <w:t>ostvarenje neto prihoda od financijskih aktivnosti u visini od 9,51 milijuna kuna dok su u 2017. godini ostvareni neto rashodi od financijskih aktivnosti od 20,63 milijuna kuna,</w:t>
      </w:r>
    </w:p>
    <w:p w:rsidR="002B5EA8" w:rsidRPr="00C25D4E" w:rsidRDefault="002B5EA8" w:rsidP="003327E4">
      <w:pPr>
        <w:pStyle w:val="ListParagraph"/>
        <w:numPr>
          <w:ilvl w:val="0"/>
          <w:numId w:val="44"/>
        </w:numPr>
        <w:suppressAutoHyphens/>
        <w:autoSpaceDN w:val="0"/>
        <w:spacing w:line="276" w:lineRule="auto"/>
        <w:ind w:left="714" w:hanging="357"/>
        <w:contextualSpacing w:val="0"/>
        <w:textAlignment w:val="baseline"/>
        <w:rPr>
          <w:rFonts w:asciiTheme="minorHAnsi" w:hAnsiTheme="minorHAnsi" w:cstheme="minorHAnsi"/>
          <w:spacing w:val="-3"/>
        </w:rPr>
      </w:pPr>
      <w:r w:rsidRPr="00C25D4E">
        <w:rPr>
          <w:rFonts w:asciiTheme="minorHAnsi" w:hAnsiTheme="minorHAnsi" w:cstheme="minorHAnsi"/>
          <w:spacing w:val="-3"/>
        </w:rPr>
        <w:t xml:space="preserve">smanjenje gubitka od umanjenja vrijednosti i rezerviranja za 129,01 milijuna kuna u odnosu na 2017. godinu, </w:t>
      </w:r>
    </w:p>
    <w:p w:rsidR="002B5EA8" w:rsidRPr="00C25D4E" w:rsidRDefault="002B5EA8" w:rsidP="003327E4">
      <w:pPr>
        <w:pStyle w:val="ListParagraph"/>
        <w:numPr>
          <w:ilvl w:val="0"/>
          <w:numId w:val="44"/>
        </w:numPr>
        <w:suppressAutoHyphens/>
        <w:autoSpaceDN w:val="0"/>
        <w:spacing w:line="276" w:lineRule="auto"/>
        <w:contextualSpacing w:val="0"/>
        <w:textAlignment w:val="baseline"/>
        <w:rPr>
          <w:rFonts w:asciiTheme="minorHAnsi" w:hAnsiTheme="minorHAnsi" w:cstheme="minorHAnsi"/>
          <w:spacing w:val="-3"/>
        </w:rPr>
      </w:pPr>
      <w:r w:rsidRPr="00C25D4E">
        <w:rPr>
          <w:rFonts w:asciiTheme="minorHAnsi" w:hAnsiTheme="minorHAnsi" w:cstheme="minorHAnsi"/>
          <w:spacing w:val="-3"/>
        </w:rPr>
        <w:t>niže ostvarenje neto prihoda od naknada za 3,75 milijuna kuna.</w:t>
      </w:r>
    </w:p>
    <w:p w:rsidR="002B5EA8" w:rsidRPr="00C25D4E" w:rsidRDefault="002B5EA8" w:rsidP="002B5EA8">
      <w:pPr>
        <w:tabs>
          <w:tab w:val="left" w:pos="-720"/>
        </w:tabs>
        <w:spacing w:before="240" w:after="120" w:line="276" w:lineRule="auto"/>
        <w:jc w:val="both"/>
        <w:rPr>
          <w:rFonts w:asciiTheme="minorHAnsi" w:hAnsiTheme="minorHAnsi" w:cstheme="minorHAnsi"/>
          <w:spacing w:val="-3"/>
        </w:rPr>
      </w:pPr>
      <w:r w:rsidRPr="00C25D4E">
        <w:rPr>
          <w:rFonts w:asciiTheme="minorHAnsi" w:hAnsiTheme="minorHAnsi" w:cstheme="minorHAnsi"/>
          <w:spacing w:val="-3"/>
        </w:rPr>
        <w:t>Detaljniji opis trendova daje se kod svake kategorije zasebno u nastavku.</w:t>
      </w:r>
    </w:p>
    <w:p w:rsidR="002B5EA8" w:rsidRPr="00C25D4E" w:rsidRDefault="002B5EA8" w:rsidP="002B5EA8">
      <w:pPr>
        <w:tabs>
          <w:tab w:val="left" w:pos="-720"/>
        </w:tabs>
        <w:suppressAutoHyphens/>
        <w:spacing w:before="240" w:after="120" w:line="276" w:lineRule="auto"/>
        <w:jc w:val="both"/>
        <w:rPr>
          <w:rFonts w:asciiTheme="minorHAnsi" w:hAnsiTheme="minorHAnsi" w:cstheme="minorHAnsi"/>
          <w:spacing w:val="-3"/>
        </w:rPr>
      </w:pPr>
    </w:p>
    <w:p w:rsidR="002B5EA8" w:rsidRPr="00C25D4E" w:rsidRDefault="002B5EA8" w:rsidP="002B5EA8">
      <w:pPr>
        <w:tabs>
          <w:tab w:val="left" w:pos="-720"/>
        </w:tabs>
        <w:suppressAutoHyphens/>
        <w:spacing w:before="240" w:after="120" w:line="276" w:lineRule="auto"/>
        <w:ind w:left="-284" w:right="-426"/>
        <w:rPr>
          <w:rFonts w:asciiTheme="minorHAnsi" w:hAnsiTheme="minorHAnsi" w:cstheme="minorHAnsi"/>
          <w:b/>
          <w:i/>
          <w:spacing w:val="-3"/>
          <w:lang w:eastAsia="hr-HR"/>
        </w:rPr>
      </w:pPr>
      <w:r w:rsidRPr="00C25D4E">
        <w:rPr>
          <w:rFonts w:asciiTheme="minorHAnsi" w:hAnsiTheme="minorHAnsi" w:cstheme="minorHAnsi"/>
          <w:noProof/>
        </w:rPr>
        <w:drawing>
          <wp:inline distT="0" distB="0" distL="0" distR="0" wp14:anchorId="577BD43C" wp14:editId="4489E54D">
            <wp:extent cx="3067200" cy="3895200"/>
            <wp:effectExtent l="0" t="0" r="0" b="0"/>
            <wp:docPr id="39" name="Chart 39">
              <a:extLst xmlns:a="http://schemas.openxmlformats.org/drawingml/2006/main">
                <a:ext uri="{FF2B5EF4-FFF2-40B4-BE49-F238E27FC236}">
                  <a16:creationId xmlns:a16="http://schemas.microsoft.com/office/drawing/2014/main" id="{00000000-0008-0000-03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C25D4E">
        <w:rPr>
          <w:rFonts w:asciiTheme="minorHAnsi" w:hAnsiTheme="minorHAnsi" w:cstheme="minorHAnsi"/>
        </w:rPr>
        <w:t xml:space="preserve"> </w:t>
      </w:r>
      <w:r w:rsidRPr="00C25D4E">
        <w:rPr>
          <w:rFonts w:asciiTheme="minorHAnsi" w:hAnsiTheme="minorHAnsi" w:cstheme="minorHAnsi"/>
          <w:noProof/>
        </w:rPr>
        <w:drawing>
          <wp:inline distT="0" distB="0" distL="0" distR="0" wp14:anchorId="792E9D33" wp14:editId="0C51B2C1">
            <wp:extent cx="3067200" cy="3895200"/>
            <wp:effectExtent l="0" t="0" r="0" b="0"/>
            <wp:docPr id="40" name="Chart 40">
              <a:extLst xmlns:a="http://schemas.openxmlformats.org/drawingml/2006/main">
                <a:ext uri="{FF2B5EF4-FFF2-40B4-BE49-F238E27FC236}">
                  <a16:creationId xmlns:a16="http://schemas.microsoft.com/office/drawing/2014/main" id="{00000000-0008-0000-03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C25D4E">
        <w:rPr>
          <w:rFonts w:asciiTheme="minorHAnsi" w:hAnsiTheme="minorHAnsi" w:cstheme="minorHAnsi"/>
          <w:b/>
          <w:i/>
          <w:spacing w:val="-3"/>
          <w:lang w:eastAsia="hr-HR"/>
        </w:rPr>
        <w:t xml:space="preserve">  </w:t>
      </w:r>
    </w:p>
    <w:p w:rsidR="002B5EA8" w:rsidRPr="00C25D4E" w:rsidRDefault="002B5EA8" w:rsidP="002B5EA8">
      <w:pPr>
        <w:tabs>
          <w:tab w:val="left" w:pos="-720"/>
        </w:tabs>
        <w:suppressAutoHyphens/>
        <w:spacing w:before="240" w:after="120" w:line="276" w:lineRule="auto"/>
        <w:ind w:left="-284" w:right="-426"/>
        <w:jc w:val="center"/>
        <w:rPr>
          <w:rFonts w:asciiTheme="minorHAnsi" w:hAnsiTheme="minorHAnsi" w:cstheme="minorHAnsi"/>
          <w:b/>
          <w:i/>
          <w:spacing w:val="-3"/>
          <w:lang w:eastAsia="hr-HR"/>
        </w:rPr>
      </w:pPr>
      <w:r w:rsidRPr="00C25D4E">
        <w:rPr>
          <w:rFonts w:asciiTheme="minorHAnsi" w:hAnsiTheme="minorHAnsi" w:cstheme="minorHAnsi"/>
          <w:b/>
          <w:i/>
          <w:spacing w:val="-3"/>
          <w:lang w:eastAsia="hr-HR"/>
        </w:rPr>
        <w:t xml:space="preserve"> </w:t>
      </w:r>
    </w:p>
    <w:p w:rsidR="002B5EA8" w:rsidRDefault="002B5EA8" w:rsidP="002B5EA8">
      <w:pPr>
        <w:tabs>
          <w:tab w:val="left" w:pos="-720"/>
        </w:tabs>
        <w:suppressAutoHyphens/>
        <w:spacing w:before="240" w:after="120" w:line="276" w:lineRule="auto"/>
        <w:ind w:left="-426" w:right="-285"/>
        <w:jc w:val="both"/>
        <w:rPr>
          <w:rFonts w:asciiTheme="minorHAnsi" w:hAnsiTheme="minorHAnsi" w:cstheme="minorHAnsi"/>
          <w:b/>
          <w:i/>
          <w:spacing w:val="-3"/>
          <w:lang w:eastAsia="hr-HR"/>
        </w:rPr>
      </w:pPr>
      <w:r w:rsidRPr="00C25D4E">
        <w:rPr>
          <w:rFonts w:asciiTheme="minorHAnsi" w:hAnsiTheme="minorHAnsi" w:cstheme="minorHAnsi"/>
          <w:noProof/>
        </w:rPr>
        <w:drawing>
          <wp:inline distT="0" distB="0" distL="0" distR="0" wp14:anchorId="35434817" wp14:editId="71317A1C">
            <wp:extent cx="3024000" cy="4320000"/>
            <wp:effectExtent l="0" t="0" r="5080" b="4445"/>
            <wp:docPr id="41" name="Chart 41">
              <a:extLst xmlns:a="http://schemas.openxmlformats.org/drawingml/2006/main">
                <a:ext uri="{FF2B5EF4-FFF2-40B4-BE49-F238E27FC236}">
                  <a16:creationId xmlns:a16="http://schemas.microsoft.com/office/drawing/2014/main" id="{00000000-0008-0000-03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C25D4E">
        <w:rPr>
          <w:rFonts w:asciiTheme="minorHAnsi" w:hAnsiTheme="minorHAnsi" w:cstheme="minorHAnsi"/>
          <w:b/>
          <w:i/>
          <w:spacing w:val="-3"/>
          <w:lang w:eastAsia="hr-HR"/>
        </w:rPr>
        <w:t xml:space="preserve">     </w:t>
      </w:r>
      <w:r w:rsidRPr="00C25D4E">
        <w:rPr>
          <w:rFonts w:asciiTheme="minorHAnsi" w:hAnsiTheme="minorHAnsi" w:cstheme="minorHAnsi"/>
          <w:noProof/>
        </w:rPr>
        <w:drawing>
          <wp:inline distT="0" distB="0" distL="0" distR="0" wp14:anchorId="1226899F" wp14:editId="6B7A5F91">
            <wp:extent cx="3024000" cy="4320000"/>
            <wp:effectExtent l="0" t="0" r="5080" b="4445"/>
            <wp:docPr id="42" name="Chart 42">
              <a:extLst xmlns:a="http://schemas.openxmlformats.org/drawingml/2006/main">
                <a:ext uri="{FF2B5EF4-FFF2-40B4-BE49-F238E27FC236}">
                  <a16:creationId xmlns:a16="http://schemas.microsoft.com/office/drawing/2014/main" id="{00000000-0008-0000-03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C25D4E">
        <w:rPr>
          <w:rFonts w:asciiTheme="minorHAnsi" w:hAnsiTheme="minorHAnsi" w:cstheme="minorHAnsi"/>
          <w:b/>
          <w:i/>
          <w:spacing w:val="-3"/>
          <w:lang w:eastAsia="hr-HR"/>
        </w:rPr>
        <w:t xml:space="preserve"> </w:t>
      </w:r>
    </w:p>
    <w:p w:rsidR="00D57AB3" w:rsidRDefault="002B5EA8" w:rsidP="00D57AB3">
      <w:pPr>
        <w:tabs>
          <w:tab w:val="left" w:pos="-720"/>
        </w:tabs>
        <w:suppressAutoHyphens/>
        <w:spacing w:before="100" w:line="276" w:lineRule="auto"/>
        <w:ind w:left="-426" w:right="-285"/>
        <w:jc w:val="both"/>
        <w:rPr>
          <w:rFonts w:asciiTheme="minorHAnsi" w:hAnsiTheme="minorHAnsi" w:cstheme="minorHAnsi"/>
          <w:b/>
          <w:i/>
          <w:spacing w:val="-3"/>
          <w:lang w:eastAsia="hr-HR"/>
        </w:rPr>
      </w:pPr>
      <w:r>
        <w:rPr>
          <w:rFonts w:asciiTheme="minorHAnsi" w:hAnsiTheme="minorHAnsi" w:cstheme="minorHAnsi"/>
          <w:b/>
          <w:i/>
          <w:spacing w:val="-3"/>
          <w:lang w:eastAsia="hr-HR"/>
        </w:rPr>
        <w:tab/>
      </w:r>
      <w:r w:rsidR="00D57AB3">
        <w:rPr>
          <w:rFonts w:asciiTheme="minorHAnsi" w:hAnsiTheme="minorHAnsi" w:cstheme="minorHAnsi"/>
          <w:b/>
          <w:i/>
          <w:spacing w:val="-3"/>
          <w:lang w:eastAsia="hr-HR"/>
        </w:rPr>
        <w:br w:type="page"/>
      </w:r>
    </w:p>
    <w:p w:rsidR="002B5EA8" w:rsidRPr="00C25D4E" w:rsidRDefault="002B5EA8" w:rsidP="00D57AB3">
      <w:pPr>
        <w:tabs>
          <w:tab w:val="left" w:pos="-720"/>
        </w:tabs>
        <w:suppressAutoHyphens/>
        <w:spacing w:before="100" w:line="276" w:lineRule="auto"/>
        <w:ind w:right="-285"/>
        <w:jc w:val="both"/>
        <w:rPr>
          <w:rFonts w:asciiTheme="minorHAnsi" w:hAnsiTheme="minorHAnsi" w:cstheme="minorHAnsi"/>
          <w:b/>
          <w:i/>
          <w:spacing w:val="-3"/>
          <w:lang w:eastAsia="hr-HR"/>
        </w:rPr>
      </w:pPr>
      <w:r w:rsidRPr="00C25D4E">
        <w:rPr>
          <w:rFonts w:asciiTheme="minorHAnsi" w:hAnsiTheme="minorHAnsi" w:cstheme="minorHAnsi"/>
          <w:b/>
          <w:i/>
          <w:spacing w:val="-3"/>
          <w:lang w:eastAsia="hr-HR"/>
        </w:rPr>
        <w:t>Neto prihodi od kamata</w:t>
      </w:r>
    </w:p>
    <w:p w:rsidR="002B5EA8" w:rsidRPr="00C25D4E" w:rsidRDefault="002B5EA8" w:rsidP="00D57AB3">
      <w:pPr>
        <w:tabs>
          <w:tab w:val="left" w:pos="-720"/>
        </w:tabs>
        <w:suppressAutoHyphens/>
        <w:autoSpaceDN w:val="0"/>
        <w:spacing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 xml:space="preserve">Neto kamatni prihodi ostvareni su u iznosu od 375,64 milijuna kuna i u odnosu na ostvarenje prethodne izvještajne godine niži su za 21,04 posto. </w:t>
      </w:r>
    </w:p>
    <w:p w:rsidR="002B5EA8"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Prihodi od kamata izračunati metodom efektivne kamatne stope ostvareni su u iznosu od 731,71 milijuna kuna i niži su u odnosu na prethodnu godinu za 15,53 posto uslijed smanjenja kamatnih prihoda po dugoročnim kreditima zbog dugogodišnjeg provođenja mjera sniženja kamatnih stopa, smanjenja kamatnih prihoda od subvencije kamatnih stopa, značajnih iznosa prijevremenih otplata kredita u 2017. i 2018. godini, provedenih restrukturiranja te zbog načina evidentiranja kamatnih prihoda izloženosti klasificiranih u 3. stupanj i POCI imovinu (unwinding).</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Primjena MSFI-ja 9 utječe na usporedivost kamatnih prihoda u 2018. godini u odnosu na 2017. godinu, kako slijedi:</w:t>
      </w:r>
    </w:p>
    <w:p w:rsidR="002B5EA8" w:rsidRPr="00C25D4E" w:rsidRDefault="002B5EA8" w:rsidP="00D57AB3">
      <w:pPr>
        <w:numPr>
          <w:ilvl w:val="0"/>
          <w:numId w:val="45"/>
        </w:numPr>
        <w:tabs>
          <w:tab w:val="left" w:pos="-181"/>
        </w:tabs>
        <w:suppressAutoHyphens/>
        <w:autoSpaceDN w:val="0"/>
        <w:spacing w:line="276" w:lineRule="auto"/>
        <w:jc w:val="both"/>
        <w:textAlignment w:val="baseline"/>
        <w:rPr>
          <w:rFonts w:asciiTheme="minorHAnsi" w:hAnsiTheme="minorHAnsi" w:cstheme="minorHAnsi"/>
        </w:rPr>
      </w:pPr>
      <w:r w:rsidRPr="00C25D4E">
        <w:rPr>
          <w:rFonts w:asciiTheme="minorHAnsi" w:hAnsiTheme="minorHAnsi" w:cstheme="minorHAnsi"/>
          <w:spacing w:val="-3"/>
        </w:rPr>
        <w:t xml:space="preserve">na dan 1. siječnja 2018. su izravno isključene kamate iz ranijih razdoblja (osim zatezne kamate za klijente 3. stupnja rizika) iz izvanbilančne evidencije prenijete u izvještaj o financijskom položaju. Zbog navedenoga se ne mogu usporediti prihodi od naplate izravno isključenih kamatnih prihoda iz ranijih godina jer se u tekućoj godini ne vodi zasebna evidencija ovih prihoda; </w:t>
      </w:r>
    </w:p>
    <w:p w:rsidR="002B5EA8" w:rsidRPr="00C25D4E" w:rsidRDefault="002B5EA8" w:rsidP="00D57AB3">
      <w:pPr>
        <w:numPr>
          <w:ilvl w:val="0"/>
          <w:numId w:val="45"/>
        </w:numPr>
        <w:tabs>
          <w:tab w:val="left" w:pos="-181"/>
        </w:tabs>
        <w:suppressAutoHyphens/>
        <w:autoSpaceDN w:val="0"/>
        <w:spacing w:line="276" w:lineRule="auto"/>
        <w:jc w:val="both"/>
        <w:textAlignment w:val="baseline"/>
        <w:rPr>
          <w:rFonts w:asciiTheme="minorHAnsi" w:hAnsiTheme="minorHAnsi" w:cstheme="minorHAnsi"/>
        </w:rPr>
      </w:pPr>
      <w:r w:rsidRPr="00C25D4E">
        <w:rPr>
          <w:rFonts w:asciiTheme="minorHAnsi" w:hAnsiTheme="minorHAnsi" w:cstheme="minorHAnsi"/>
          <w:spacing w:val="-3"/>
        </w:rPr>
        <w:t>u svrhu izračuna kamatnog prihoda za izloženosti alocirane u 3. stupanj ili za imovinu klasificiranu kao kupljenu ili stvorenu imovinu umanjenu za kreditni gubitak, koristi se koncept vremenske vrijednosti novca (unwinding). Unwinding, odnosno kamatni prihod za navedene izloženosti se izračunava nakon datuma prelaska izloženosti u 3. stupanj ili nakon datuma klasifikacije imovine kao POCI i evidentira kao ispravak vrijednosti financijskog instrumenta uz istovremeno smanjenje kamatnih prihoda. Po ovoj osnovi su kamatni prihodi u 2018. godini umanjeni za 57,36 milijuna kuna.</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Rashodi od kamata ostvareni su u iznosu od 356,07 milijuna kuna i niži su za 8,81 posto u odnosu na prethodnu izvještajnu godinu na što je najviše utjecalo razduživanje po izdanim obveznicama uz višu kamatnu stopu u 2017. godini te korištenje kreditnih linija posebnih financijskih institucija uz povoljniju kamatnu stopu.</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spacing w:val="-3"/>
        </w:rPr>
        <w:t>S obzirom na opisane trendove u kamatnim prihodima i kamatnim rashodima, neto kamatna marža smanjena je za 0,36 postotnih bodova u odnosu na prethodnu godinu i iznosi 1,36 posto.</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hAnsiTheme="minorHAnsi" w:cstheme="minorHAnsi"/>
          <w:b/>
          <w:i/>
          <w:spacing w:val="-3"/>
          <w:lang w:eastAsia="hr-HR"/>
        </w:rPr>
      </w:pPr>
      <w:r w:rsidRPr="00C25D4E">
        <w:rPr>
          <w:rFonts w:asciiTheme="minorHAnsi" w:hAnsiTheme="minorHAnsi" w:cstheme="minorHAnsi"/>
          <w:b/>
          <w:i/>
          <w:spacing w:val="-3"/>
          <w:lang w:eastAsia="hr-HR"/>
        </w:rPr>
        <w:t>Neto prihod od naknada</w:t>
      </w:r>
    </w:p>
    <w:p w:rsidR="002B5EA8" w:rsidRDefault="002B5EA8" w:rsidP="00D57AB3">
      <w:pPr>
        <w:tabs>
          <w:tab w:val="left" w:pos="-720"/>
        </w:tabs>
        <w:suppressAutoHyphens/>
        <w:autoSpaceDN w:val="0"/>
        <w:spacing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Neto prihod od naknada ostvaren je u iznosu od 38,65 milijuna kuna i niži je za 8,84 posto u odnosu na prethodnu godinu zbog manjeg obujma izdanih garancija u 2018. godini kao i zbog plaćanja po pozivima za izdane garancije čime je izloženost po izdanim garancijama smanjena.</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hAnsiTheme="minorHAnsi" w:cstheme="minorHAnsi"/>
          <w:b/>
          <w:i/>
          <w:lang w:eastAsia="hr-HR"/>
        </w:rPr>
      </w:pPr>
      <w:r w:rsidRPr="00C25D4E">
        <w:rPr>
          <w:rFonts w:asciiTheme="minorHAnsi" w:hAnsiTheme="minorHAnsi" w:cstheme="minorHAnsi"/>
          <w:b/>
          <w:i/>
          <w:lang w:eastAsia="hr-HR"/>
        </w:rPr>
        <w:t>Neto prihodi/(rashodi) od financijskih aktivnosti</w:t>
      </w:r>
    </w:p>
    <w:p w:rsidR="002B5EA8" w:rsidRPr="00C25D4E" w:rsidRDefault="002B5EA8" w:rsidP="00D57AB3">
      <w:pPr>
        <w:tabs>
          <w:tab w:val="left" w:pos="-720"/>
        </w:tabs>
        <w:suppressAutoHyphens/>
        <w:autoSpaceDN w:val="0"/>
        <w:spacing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spacing w:val="-3"/>
        </w:rPr>
        <w:t xml:space="preserve">Neto prihode/(rashode) od financijskih aktivnosti čine neto tečajne razlike po glavnici potraživanja i obveza, neto prihodi ili troškovi nastali temeljem ugovora o kreditu s ugrađenom „call opcijom”, dobitak/(gubitak) </w:t>
      </w:r>
      <w:r w:rsidRPr="00C25D4E">
        <w:rPr>
          <w:rFonts w:asciiTheme="minorHAnsi" w:hAnsiTheme="minorHAnsi" w:cstheme="minorHAnsi"/>
          <w:spacing w:val="-3"/>
          <w:lang w:eastAsia="hr-HR"/>
        </w:rPr>
        <w:t>od vrijednosnog usklađenja imovine koja se iskazuje po fer vrijednosti kroz dobit ili gubitak te realizirani dobitak/(gubitak) od imovine koja se iskazuje po fer vrijednosti kroz ostalu sveobuhvatnu dobit.</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 xml:space="preserve">U izvještajnom razdoblju ostvareni su neto prihodi od financijskih aktivnosti u iznosu od 9,51 milijuna kuna, dok su u prethodnoj godini ostvareni neto rashodi u iznosu od 20,63 milijuna kuna. </w:t>
      </w:r>
    </w:p>
    <w:p w:rsidR="002B5EA8" w:rsidRPr="00C25D4E" w:rsidRDefault="002B5EA8" w:rsidP="00D57AB3">
      <w:pPr>
        <w:tabs>
          <w:tab w:val="left" w:pos="-720"/>
        </w:tabs>
        <w:suppressAutoHyphens/>
        <w:spacing w:before="100" w:line="276" w:lineRule="auto"/>
        <w:jc w:val="both"/>
        <w:rPr>
          <w:rFonts w:asciiTheme="minorHAnsi" w:hAnsiTheme="minorHAnsi" w:cstheme="minorHAnsi"/>
          <w:spacing w:val="-3"/>
        </w:rPr>
      </w:pPr>
      <w:r w:rsidRPr="00C25D4E">
        <w:rPr>
          <w:rFonts w:asciiTheme="minorHAnsi" w:hAnsiTheme="minorHAnsi" w:cstheme="minorHAnsi"/>
          <w:spacing w:val="-3"/>
        </w:rPr>
        <w:t>Pregled kretanja tečaja kune u odnosu na tečaj eura i dolara:</w:t>
      </w:r>
    </w:p>
    <w:p w:rsidR="002B5EA8" w:rsidRPr="00C25D4E" w:rsidRDefault="002B5EA8" w:rsidP="00D57AB3">
      <w:pPr>
        <w:tabs>
          <w:tab w:val="left" w:pos="-720"/>
          <w:tab w:val="left" w:pos="4820"/>
        </w:tabs>
        <w:suppressAutoHyphens/>
        <w:spacing w:before="240" w:after="120" w:line="276" w:lineRule="auto"/>
        <w:ind w:left="-426" w:right="-567"/>
        <w:jc w:val="both"/>
        <w:rPr>
          <w:rFonts w:asciiTheme="minorHAnsi" w:eastAsia="Calibri" w:hAnsiTheme="minorHAnsi" w:cstheme="minorHAnsi"/>
        </w:rPr>
      </w:pPr>
      <w:r w:rsidRPr="00C25D4E">
        <w:rPr>
          <w:rFonts w:asciiTheme="minorHAnsi" w:hAnsiTheme="minorHAnsi" w:cstheme="minorHAnsi"/>
          <w:spacing w:val="-3"/>
          <w:lang w:eastAsia="hr-HR"/>
        </w:rPr>
        <w:t xml:space="preserve">      </w:t>
      </w:r>
      <w:r w:rsidRPr="00C25D4E">
        <w:rPr>
          <w:rFonts w:asciiTheme="minorHAnsi" w:hAnsiTheme="minorHAnsi" w:cstheme="minorHAnsi"/>
          <w:noProof/>
        </w:rPr>
        <w:drawing>
          <wp:inline distT="0" distB="0" distL="0" distR="0" wp14:anchorId="50B13077" wp14:editId="389D298F">
            <wp:extent cx="2872800" cy="2278800"/>
            <wp:effectExtent l="0" t="0" r="3810" b="7620"/>
            <wp:docPr id="43" name="Chart 43">
              <a:extLst xmlns:a="http://schemas.openxmlformats.org/drawingml/2006/main">
                <a:ext uri="{FF2B5EF4-FFF2-40B4-BE49-F238E27FC236}">
                  <a16:creationId xmlns:a16="http://schemas.microsoft.com/office/drawing/2014/main" id="{864E9BD4-C4F2-47E9-84BD-89F7012696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C25D4E">
        <w:rPr>
          <w:rFonts w:asciiTheme="minorHAnsi" w:hAnsiTheme="minorHAnsi" w:cstheme="minorHAnsi"/>
          <w:spacing w:val="-3"/>
          <w:lang w:eastAsia="hr-HR"/>
        </w:rPr>
        <w:t xml:space="preserve"> </w:t>
      </w:r>
      <w:r w:rsidRPr="00C25D4E">
        <w:rPr>
          <w:rFonts w:asciiTheme="minorHAnsi" w:hAnsiTheme="minorHAnsi" w:cstheme="minorHAnsi"/>
          <w:spacing w:val="-3"/>
        </w:rPr>
        <w:t xml:space="preserve">       </w:t>
      </w:r>
      <w:r w:rsidRPr="00C25D4E">
        <w:rPr>
          <w:rFonts w:asciiTheme="minorHAnsi" w:hAnsiTheme="minorHAnsi" w:cstheme="minorHAnsi"/>
          <w:noProof/>
        </w:rPr>
        <w:drawing>
          <wp:inline distT="0" distB="0" distL="0" distR="0" wp14:anchorId="0050351C" wp14:editId="201224B4">
            <wp:extent cx="2872800" cy="2278800"/>
            <wp:effectExtent l="0" t="0" r="3810" b="7620"/>
            <wp:docPr id="44" name="Chart 44">
              <a:extLst xmlns:a="http://schemas.openxmlformats.org/drawingml/2006/main">
                <a:ext uri="{FF2B5EF4-FFF2-40B4-BE49-F238E27FC236}">
                  <a16:creationId xmlns:a16="http://schemas.microsoft.com/office/drawing/2014/main" id="{5086900E-12F0-438B-9F16-74B171CC12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C25D4E">
        <w:rPr>
          <w:rFonts w:asciiTheme="minorHAnsi" w:eastAsia="Calibri" w:hAnsiTheme="minorHAnsi" w:cstheme="minorHAnsi"/>
          <w:spacing w:val="-3"/>
        </w:rPr>
        <w:t xml:space="preserve">           Napomena:</w:t>
      </w:r>
    </w:p>
    <w:p w:rsidR="002B5EA8" w:rsidRPr="00C25D4E" w:rsidRDefault="002B5EA8" w:rsidP="002B5EA8">
      <w:pPr>
        <w:tabs>
          <w:tab w:val="left" w:pos="-720"/>
          <w:tab w:val="left" w:pos="4820"/>
        </w:tabs>
        <w:suppressAutoHyphens/>
        <w:autoSpaceDN w:val="0"/>
        <w:spacing w:before="240" w:after="12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A = aprecijacija kune 2018./2017.</w:t>
      </w:r>
      <w:r w:rsidRPr="00C25D4E">
        <w:rPr>
          <w:rFonts w:asciiTheme="minorHAnsi" w:eastAsia="Calibri" w:hAnsiTheme="minorHAnsi" w:cstheme="minorHAnsi"/>
          <w:spacing w:val="-3"/>
        </w:rPr>
        <w:tab/>
        <w:t xml:space="preserve">              D = deprecijacija kune 2018./2017.</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 xml:space="preserve">Sredstva i izvore sredstava koji su izraženi u stranim sredstvima plaćanja ili su izraženi s valutnom klauzulom, HBOR preračunava u kunsku protuvrijednost po srednjem tečaju HNB-a na izvještajni dan. </w:t>
      </w:r>
    </w:p>
    <w:p w:rsidR="002B5EA8" w:rsidRPr="00C25D4E" w:rsidRDefault="002B5EA8" w:rsidP="00D57AB3">
      <w:pPr>
        <w:spacing w:before="100" w:line="276" w:lineRule="auto"/>
        <w:jc w:val="both"/>
        <w:rPr>
          <w:rFonts w:asciiTheme="minorHAnsi" w:eastAsia="Calibri" w:hAnsiTheme="minorHAnsi" w:cstheme="minorHAnsi"/>
          <w:spacing w:val="-3"/>
        </w:rPr>
      </w:pPr>
      <w:r w:rsidRPr="00C25D4E">
        <w:rPr>
          <w:rFonts w:asciiTheme="minorHAnsi" w:eastAsia="Calibri" w:hAnsiTheme="minorHAnsi" w:cstheme="minorHAnsi"/>
          <w:spacing w:val="-3"/>
        </w:rPr>
        <w:t>Prihodi i rashodi u stranim sredstvima plaćanja preračunavaju se po tečaju na dan transakcije. Ostvareni prihodi i rashodi nastali preračunavanjem po tečaju iskazuju se u Računu dobiti i gubitka u neto iznosu.</w:t>
      </w:r>
    </w:p>
    <w:p w:rsidR="002B5EA8" w:rsidRPr="00C25D4E" w:rsidRDefault="002B5EA8" w:rsidP="00D57AB3">
      <w:pPr>
        <w:spacing w:before="100" w:line="276" w:lineRule="auto"/>
        <w:jc w:val="both"/>
        <w:rPr>
          <w:rFonts w:asciiTheme="minorHAnsi" w:hAnsiTheme="minorHAnsi" w:cstheme="minorHAnsi"/>
          <w:b/>
          <w:i/>
          <w:lang w:eastAsia="hr-HR"/>
        </w:rPr>
      </w:pPr>
      <w:r w:rsidRPr="00C25D4E">
        <w:rPr>
          <w:rFonts w:asciiTheme="minorHAnsi" w:hAnsiTheme="minorHAnsi" w:cstheme="minorHAnsi"/>
          <w:b/>
          <w:i/>
          <w:lang w:eastAsia="hr-HR"/>
        </w:rPr>
        <w:t>Operativni troškovi</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spacing w:val="-3"/>
        </w:rPr>
        <w:t>Operativni troškovi obuhvaćaju opće i administrativne troškove te ostale troškove poslovanja, a ostvareni su u iznosu od 161,16 milijuna kuna te su za 7,85 posto veći u odnosu na prethodnu godinu</w:t>
      </w:r>
      <w:r w:rsidRPr="00C25D4E">
        <w:rPr>
          <w:rFonts w:asciiTheme="minorHAnsi" w:eastAsia="Calibri" w:hAnsiTheme="minorHAnsi" w:cstheme="minorHAnsi"/>
        </w:rPr>
        <w:t xml:space="preserve"> kao utjecaj porasta ostalih troškova za 97,22 posto. Ovaj porast rezultat je povećanja reobračuna po financijskim proizvodima za 148,31 posto.</w:t>
      </w:r>
      <w:r w:rsidRPr="00C25D4E">
        <w:rPr>
          <w:rFonts w:asciiTheme="minorHAnsi" w:eastAsia="Calibri" w:hAnsiTheme="minorHAnsi" w:cstheme="minorHAnsi"/>
          <w:spacing w:val="-3"/>
        </w:rPr>
        <w:t xml:space="preserve"> </w:t>
      </w:r>
    </w:p>
    <w:p w:rsidR="002B5EA8" w:rsidRDefault="002B5EA8" w:rsidP="00D57AB3">
      <w:pPr>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spacing w:val="-3"/>
        </w:rPr>
        <w:t xml:space="preserve">Ukupan broj zaposlenih na kraju 2018. godine je 370 (31. prosinca 2017. bilo je 366 zaposlenika) </w:t>
      </w:r>
      <w:r w:rsidRPr="00C25D4E">
        <w:rPr>
          <w:rFonts w:asciiTheme="minorHAnsi" w:eastAsia="Calibri" w:hAnsiTheme="minorHAnsi" w:cstheme="minorHAnsi"/>
        </w:rPr>
        <w:t xml:space="preserve">od čega su 4 zaposlenika na zamjeni za porodiljni dopust, dugotrajna bolovanja i povratak s neplaćenog dopusta. </w:t>
      </w:r>
    </w:p>
    <w:p w:rsidR="002B5EA8" w:rsidRPr="00C25D4E" w:rsidRDefault="002B5EA8" w:rsidP="00D57AB3">
      <w:pPr>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hAnsiTheme="minorHAnsi" w:cstheme="minorHAnsi"/>
          <w:b/>
          <w:i/>
          <w:spacing w:val="-3"/>
          <w:lang w:eastAsia="hr-HR"/>
        </w:rPr>
        <w:t xml:space="preserve">Gubitak od umanjenja </w:t>
      </w:r>
      <w:r w:rsidRPr="00C25D4E">
        <w:rPr>
          <w:rFonts w:asciiTheme="minorHAnsi" w:hAnsiTheme="minorHAnsi" w:cstheme="minorHAnsi"/>
          <w:b/>
          <w:i/>
          <w:lang w:eastAsia="hr-HR"/>
        </w:rPr>
        <w:t>vrijednosti</w:t>
      </w:r>
      <w:r w:rsidRPr="00C25D4E">
        <w:rPr>
          <w:rFonts w:asciiTheme="minorHAnsi" w:hAnsiTheme="minorHAnsi" w:cstheme="minorHAnsi"/>
          <w:b/>
          <w:i/>
          <w:spacing w:val="-3"/>
          <w:lang w:eastAsia="hr-HR"/>
        </w:rPr>
        <w:t xml:space="preserve"> i rezerviranja</w:t>
      </w:r>
      <w:r w:rsidRPr="00C25D4E">
        <w:rPr>
          <w:rFonts w:asciiTheme="minorHAnsi" w:hAnsiTheme="minorHAnsi" w:cstheme="minorHAnsi"/>
          <w:b/>
          <w:i/>
          <w:lang w:eastAsia="hr-HR"/>
        </w:rPr>
        <w:t xml:space="preserve"> </w:t>
      </w:r>
    </w:p>
    <w:p w:rsidR="002B5EA8" w:rsidRPr="00C25D4E" w:rsidRDefault="002B5EA8" w:rsidP="00D57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HBOR je od 1. siječnja 2018. primijenio Međunarodni standard financijskog izvještavanja (MSFI) 9  Financijski instrumenti prema kojem su značajne izmjene u vezi umanjenja vrijednosti u odnosu na dosadašnji način umanjenja prema MRS-u 39.</w:t>
      </w:r>
    </w:p>
    <w:p w:rsidR="002B5EA8" w:rsidRPr="00C25D4E" w:rsidRDefault="002B5EA8" w:rsidP="00D57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 xml:space="preserve">Za instrumente koji se vrednuju po amortiziranom trošku i po fer vrijednosti kroz ostalu sveobuhvatnu dobit (koji nisu vlasnički instrumenti), uveden je model temeljen na konceptu „očekivanih gubitaka“, umjesto koncepta "nastalog gubitka" prema MRS-u 39. </w:t>
      </w:r>
    </w:p>
    <w:p w:rsidR="002B5EA8" w:rsidRPr="00C25D4E" w:rsidRDefault="002B5EA8" w:rsidP="00D57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Sukladno navedenome, učinci primjene MSFI-ja 9 na dan 1. siječnja 2018. priznati su izravno u zadržanu dobit i rezerve HBOR-a u visini od 469,66 milijuna kuna.</w:t>
      </w:r>
      <w:r w:rsidRPr="00C25D4E">
        <w:rPr>
          <w:rFonts w:asciiTheme="minorHAnsi" w:eastAsia="Calibri" w:hAnsiTheme="minorHAnsi" w:cstheme="minorHAnsi"/>
          <w:spacing w:val="-3"/>
        </w:rPr>
        <w:t xml:space="preserve"> </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spacing w:val="-3"/>
        </w:rPr>
        <w:t>U izvještajnom razdoblju ostvaren je neto gubitak od umanjenja vrijednosti plasmana u visini od 65,91 milijuna kuna.</w:t>
      </w:r>
    </w:p>
    <w:p w:rsidR="002B5EA8" w:rsidRPr="00C25D4E" w:rsidRDefault="002B5EA8" w:rsidP="00D57AB3">
      <w:pPr>
        <w:tabs>
          <w:tab w:val="left" w:pos="-720"/>
        </w:tabs>
        <w:spacing w:before="100" w:line="276" w:lineRule="auto"/>
        <w:jc w:val="both"/>
        <w:rPr>
          <w:rFonts w:asciiTheme="minorHAnsi" w:hAnsiTheme="minorHAnsi" w:cstheme="minorHAnsi"/>
          <w:sz w:val="18"/>
          <w:szCs w:val="18"/>
        </w:rPr>
      </w:pPr>
      <w:r w:rsidRPr="00C25D4E">
        <w:rPr>
          <w:rFonts w:asciiTheme="minorHAnsi" w:hAnsiTheme="minorHAnsi" w:cstheme="minorHAnsi"/>
          <w:spacing w:val="-3"/>
        </w:rPr>
        <w:t>U nastavku se daje pregled kvalitete portfelja:</w:t>
      </w:r>
      <w:r w:rsidRPr="00C25D4E">
        <w:rPr>
          <w:rFonts w:asciiTheme="minorHAnsi" w:hAnsiTheme="minorHAnsi" w:cstheme="minorHAnsi"/>
          <w:lang w:eastAsia="hr-HR"/>
        </w:rPr>
        <w:t xml:space="preserve"> </w:t>
      </w:r>
    </w:p>
    <w:p w:rsidR="002B5EA8" w:rsidRDefault="002B5EA8" w:rsidP="002B5EA8">
      <w:pPr>
        <w:tabs>
          <w:tab w:val="left" w:pos="4536"/>
        </w:tabs>
        <w:spacing w:before="240" w:after="120" w:line="276" w:lineRule="auto"/>
        <w:ind w:right="-285" w:hanging="284"/>
        <w:jc w:val="both"/>
        <w:rPr>
          <w:rFonts w:asciiTheme="minorHAnsi" w:hAnsiTheme="minorHAnsi" w:cstheme="minorHAnsi"/>
          <w:b/>
          <w:spacing w:val="-3"/>
          <w:lang w:eastAsia="hr-HR"/>
        </w:rPr>
      </w:pPr>
      <w:r w:rsidRPr="00C25D4E">
        <w:rPr>
          <w:rFonts w:asciiTheme="minorHAnsi" w:hAnsiTheme="minorHAnsi" w:cstheme="minorHAnsi"/>
          <w:b/>
          <w:spacing w:val="-3"/>
          <w:lang w:eastAsia="hr-HR"/>
        </w:rPr>
        <w:t xml:space="preserve"> </w:t>
      </w:r>
      <w:r w:rsidRPr="00C25D4E">
        <w:rPr>
          <w:rFonts w:asciiTheme="minorHAnsi" w:hAnsiTheme="minorHAnsi" w:cstheme="minorHAnsi"/>
          <w:noProof/>
        </w:rPr>
        <w:drawing>
          <wp:inline distT="0" distB="0" distL="0" distR="0" wp14:anchorId="7316C356" wp14:editId="4B50C070">
            <wp:extent cx="2771775" cy="2808000"/>
            <wp:effectExtent l="0" t="0" r="0" b="0"/>
            <wp:docPr id="45" name="Chart 45">
              <a:extLst xmlns:a="http://schemas.openxmlformats.org/drawingml/2006/main">
                <a:ext uri="{FF2B5EF4-FFF2-40B4-BE49-F238E27FC236}">
                  <a16:creationId xmlns:a16="http://schemas.microsoft.com/office/drawing/2014/main" id="{00000000-0008-0000-05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C25D4E">
        <w:rPr>
          <w:rFonts w:asciiTheme="minorHAnsi" w:hAnsiTheme="minorHAnsi" w:cstheme="minorHAnsi"/>
          <w:b/>
          <w:spacing w:val="-3"/>
          <w:lang w:eastAsia="hr-HR"/>
        </w:rPr>
        <w:t xml:space="preserve">      </w:t>
      </w:r>
      <w:r w:rsidRPr="00C25D4E">
        <w:rPr>
          <w:rFonts w:asciiTheme="minorHAnsi" w:hAnsiTheme="minorHAnsi" w:cstheme="minorHAnsi"/>
          <w:noProof/>
        </w:rPr>
        <w:drawing>
          <wp:inline distT="0" distB="0" distL="0" distR="0" wp14:anchorId="73F36ED0" wp14:editId="5CEF1181">
            <wp:extent cx="3135600" cy="2808000"/>
            <wp:effectExtent l="0" t="0" r="8255" b="0"/>
            <wp:docPr id="46" name="Chart 46">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C25D4E">
        <w:rPr>
          <w:rFonts w:asciiTheme="minorHAnsi" w:hAnsiTheme="minorHAnsi" w:cstheme="minorHAnsi"/>
          <w:b/>
          <w:spacing w:val="-3"/>
          <w:lang w:eastAsia="hr-HR"/>
        </w:rPr>
        <w:t xml:space="preserve">  </w:t>
      </w:r>
    </w:p>
    <w:p w:rsidR="002B5EA8" w:rsidRDefault="002B5EA8" w:rsidP="002B5EA8">
      <w:pPr>
        <w:tabs>
          <w:tab w:val="left" w:pos="4536"/>
        </w:tabs>
        <w:spacing w:before="240" w:after="120" w:line="276" w:lineRule="auto"/>
        <w:ind w:right="-285" w:hanging="284"/>
        <w:jc w:val="both"/>
        <w:rPr>
          <w:rFonts w:asciiTheme="minorHAnsi" w:hAnsiTheme="minorHAnsi" w:cstheme="minorHAnsi"/>
          <w:spacing w:val="-3"/>
          <w:sz w:val="18"/>
          <w:szCs w:val="18"/>
          <w:lang w:eastAsia="hr-HR"/>
        </w:rPr>
      </w:pPr>
    </w:p>
    <w:p w:rsidR="002B5EA8" w:rsidRDefault="002B5EA8" w:rsidP="002B5EA8">
      <w:pPr>
        <w:tabs>
          <w:tab w:val="left" w:pos="4536"/>
        </w:tabs>
        <w:spacing w:before="240" w:after="120" w:line="276" w:lineRule="auto"/>
        <w:ind w:left="-142" w:right="-285"/>
        <w:jc w:val="both"/>
        <w:rPr>
          <w:rFonts w:asciiTheme="minorHAnsi" w:hAnsiTheme="minorHAnsi" w:cstheme="minorHAnsi"/>
          <w:spacing w:val="-3"/>
          <w:sz w:val="18"/>
          <w:szCs w:val="18"/>
          <w:lang w:eastAsia="hr-HR"/>
        </w:rPr>
      </w:pPr>
      <w:r w:rsidRPr="00C25D4E">
        <w:rPr>
          <w:rFonts w:asciiTheme="minorHAnsi" w:hAnsiTheme="minorHAnsi" w:cstheme="minorHAnsi"/>
          <w:spacing w:val="-3"/>
          <w:sz w:val="18"/>
          <w:szCs w:val="18"/>
          <w:lang w:eastAsia="hr-HR"/>
        </w:rPr>
        <w:t>*Objavljeni financijski izvještaji na dan i za godinu koja je završila 31. prosinca 2017. godine u sklopu ovih pozicija uključivali su i ulaganja u investicijske fondove.</w:t>
      </w:r>
    </w:p>
    <w:p w:rsidR="002B5EA8" w:rsidRPr="00C25D4E" w:rsidRDefault="002B5EA8" w:rsidP="002B5EA8">
      <w:pPr>
        <w:tabs>
          <w:tab w:val="left" w:pos="4536"/>
        </w:tabs>
        <w:spacing w:before="240" w:after="120" w:line="276" w:lineRule="auto"/>
        <w:ind w:right="-285" w:hanging="284"/>
        <w:jc w:val="both"/>
        <w:rPr>
          <w:rFonts w:asciiTheme="minorHAnsi" w:hAnsiTheme="minorHAnsi" w:cstheme="minorHAnsi"/>
          <w:b/>
          <w:i/>
          <w:spacing w:val="-3"/>
          <w:lang w:eastAsia="hr-HR"/>
        </w:rPr>
      </w:pPr>
    </w:p>
    <w:tbl>
      <w:tblPr>
        <w:tblW w:w="9923" w:type="dxa"/>
        <w:tblInd w:w="-176" w:type="dxa"/>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Look w:val="04A0" w:firstRow="1" w:lastRow="0" w:firstColumn="1" w:lastColumn="0" w:noHBand="0" w:noVBand="1"/>
      </w:tblPr>
      <w:tblGrid>
        <w:gridCol w:w="2834"/>
        <w:gridCol w:w="2009"/>
        <w:gridCol w:w="1512"/>
        <w:gridCol w:w="1898"/>
        <w:gridCol w:w="1670"/>
      </w:tblGrid>
      <w:tr w:rsidR="002B5EA8" w:rsidRPr="00C25D4E" w:rsidTr="00D03AAE">
        <w:trPr>
          <w:trHeight w:val="420"/>
        </w:trPr>
        <w:tc>
          <w:tcPr>
            <w:tcW w:w="2834" w:type="dxa"/>
            <w:shd w:val="clear" w:color="auto" w:fill="auto"/>
            <w:vAlign w:val="center"/>
            <w:hideMark/>
          </w:tcPr>
          <w:p w:rsidR="002B5EA8" w:rsidRPr="00C25D4E" w:rsidRDefault="002B5EA8" w:rsidP="00D57AB3">
            <w:pPr>
              <w:spacing w:line="276" w:lineRule="auto"/>
              <w:rPr>
                <w:rFonts w:asciiTheme="minorHAnsi" w:hAnsiTheme="minorHAnsi" w:cstheme="minorHAnsi"/>
                <w:lang w:eastAsia="hr-HR"/>
              </w:rPr>
            </w:pPr>
          </w:p>
        </w:tc>
        <w:tc>
          <w:tcPr>
            <w:tcW w:w="3521" w:type="dxa"/>
            <w:gridSpan w:val="2"/>
            <w:shd w:val="clear" w:color="auto" w:fill="auto"/>
            <w:vAlign w:val="center"/>
            <w:hideMark/>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lang w:eastAsia="hr-HR"/>
              </w:rPr>
              <w:t>2017.</w:t>
            </w:r>
          </w:p>
        </w:tc>
        <w:tc>
          <w:tcPr>
            <w:tcW w:w="3568" w:type="dxa"/>
            <w:gridSpan w:val="2"/>
            <w:shd w:val="clear" w:color="auto" w:fill="auto"/>
            <w:vAlign w:val="center"/>
            <w:hideMark/>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lang w:eastAsia="hr-HR"/>
              </w:rPr>
              <w:t>2018.</w:t>
            </w:r>
          </w:p>
        </w:tc>
      </w:tr>
      <w:tr w:rsidR="002B5EA8" w:rsidRPr="00C25D4E" w:rsidTr="00D03AAE">
        <w:trPr>
          <w:trHeight w:val="873"/>
        </w:trPr>
        <w:tc>
          <w:tcPr>
            <w:tcW w:w="2834" w:type="dxa"/>
            <w:shd w:val="clear" w:color="auto" w:fill="auto"/>
            <w:vAlign w:val="center"/>
            <w:hideMark/>
          </w:tcPr>
          <w:p w:rsidR="002B5EA8" w:rsidRPr="00C25D4E" w:rsidRDefault="002B5EA8" w:rsidP="00D57AB3">
            <w:pPr>
              <w:spacing w:line="276" w:lineRule="auto"/>
              <w:jc w:val="center"/>
              <w:rPr>
                <w:rFonts w:asciiTheme="minorHAnsi" w:hAnsiTheme="minorHAnsi" w:cstheme="minorHAnsi"/>
                <w:b/>
                <w:bCs/>
                <w:lang w:eastAsia="hr-HR"/>
              </w:rPr>
            </w:pPr>
          </w:p>
        </w:tc>
        <w:tc>
          <w:tcPr>
            <w:tcW w:w="2009" w:type="dxa"/>
            <w:shd w:val="clear" w:color="auto" w:fill="auto"/>
            <w:vAlign w:val="center"/>
            <w:hideMark/>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lang w:eastAsia="hr-HR"/>
              </w:rPr>
              <w:t>u milijunima kuna</w:t>
            </w:r>
          </w:p>
        </w:tc>
        <w:tc>
          <w:tcPr>
            <w:tcW w:w="1512" w:type="dxa"/>
            <w:shd w:val="clear" w:color="auto" w:fill="auto"/>
            <w:vAlign w:val="center"/>
            <w:hideMark/>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lang w:eastAsia="hr-HR"/>
              </w:rPr>
              <w:t>Struktura</w:t>
            </w:r>
          </w:p>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lang w:eastAsia="hr-HR"/>
              </w:rPr>
              <w:t>(posto)</w:t>
            </w:r>
          </w:p>
        </w:tc>
        <w:tc>
          <w:tcPr>
            <w:tcW w:w="1898" w:type="dxa"/>
            <w:shd w:val="clear" w:color="auto" w:fill="auto"/>
            <w:vAlign w:val="center"/>
            <w:hideMark/>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lang w:eastAsia="hr-HR"/>
              </w:rPr>
              <w:t>u milijunima kuna</w:t>
            </w:r>
          </w:p>
        </w:tc>
        <w:tc>
          <w:tcPr>
            <w:tcW w:w="1670" w:type="dxa"/>
            <w:shd w:val="clear" w:color="auto" w:fill="auto"/>
            <w:vAlign w:val="center"/>
            <w:hideMark/>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lang w:eastAsia="hr-HR"/>
              </w:rPr>
              <w:t>Struktura</w:t>
            </w:r>
          </w:p>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lang w:eastAsia="hr-HR"/>
              </w:rPr>
              <w:t>(posto)</w:t>
            </w:r>
          </w:p>
        </w:tc>
      </w:tr>
      <w:tr w:rsidR="002B5EA8" w:rsidRPr="00C25D4E" w:rsidTr="00D03AAE">
        <w:trPr>
          <w:trHeight w:val="411"/>
        </w:trPr>
        <w:tc>
          <w:tcPr>
            <w:tcW w:w="2834" w:type="dxa"/>
            <w:shd w:val="clear" w:color="auto" w:fill="auto"/>
            <w:vAlign w:val="bottom"/>
            <w:hideMark/>
          </w:tcPr>
          <w:p w:rsidR="002B5EA8" w:rsidRPr="00C25D4E" w:rsidRDefault="002B5EA8" w:rsidP="00D57AB3">
            <w:pPr>
              <w:spacing w:line="276" w:lineRule="auto"/>
              <w:rPr>
                <w:rFonts w:asciiTheme="minorHAnsi" w:hAnsiTheme="minorHAnsi" w:cstheme="minorHAnsi"/>
                <w:b/>
                <w:bCs/>
                <w:lang w:eastAsia="hr-HR"/>
              </w:rPr>
            </w:pPr>
            <w:r w:rsidRPr="00C25D4E">
              <w:rPr>
                <w:rFonts w:asciiTheme="minorHAnsi" w:hAnsiTheme="minorHAnsi" w:cstheme="minorHAnsi"/>
                <w:b/>
                <w:bCs/>
                <w:lang w:eastAsia="hr-HR"/>
              </w:rPr>
              <w:t>Ukupni bruto portfelj</w:t>
            </w: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bottom"/>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rPr>
              <w:t>36.039,89</w:t>
            </w:r>
          </w:p>
        </w:tc>
        <w:tc>
          <w:tcPr>
            <w:tcW w:w="1512" w:type="dxa"/>
            <w:tcBorders>
              <w:top w:val="single" w:sz="2" w:space="0" w:color="A6A6A6"/>
              <w:left w:val="single" w:sz="2" w:space="0" w:color="A6A6A6"/>
              <w:bottom w:val="single" w:sz="2" w:space="0" w:color="A6A6A6"/>
              <w:right w:val="single" w:sz="2" w:space="0" w:color="A6A6A6"/>
            </w:tcBorders>
            <w:shd w:val="clear" w:color="auto" w:fill="auto"/>
            <w:vAlign w:val="bottom"/>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rPr>
              <w:t>100,00</w:t>
            </w: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bottom"/>
          </w:tcPr>
          <w:p w:rsidR="002B5EA8" w:rsidRPr="00C25D4E" w:rsidRDefault="002B5EA8" w:rsidP="00D57AB3">
            <w:pPr>
              <w:spacing w:line="276" w:lineRule="auto"/>
              <w:jc w:val="center"/>
              <w:rPr>
                <w:rFonts w:asciiTheme="minorHAnsi" w:hAnsiTheme="minorHAnsi" w:cstheme="minorHAnsi"/>
                <w:b/>
                <w:bCs/>
              </w:rPr>
            </w:pPr>
            <w:r w:rsidRPr="00C25D4E">
              <w:rPr>
                <w:rFonts w:asciiTheme="minorHAnsi" w:hAnsiTheme="minorHAnsi" w:cstheme="minorHAnsi"/>
                <w:b/>
                <w:bCs/>
              </w:rPr>
              <w:t>35.808,08</w:t>
            </w:r>
          </w:p>
        </w:tc>
        <w:tc>
          <w:tcPr>
            <w:tcW w:w="1670" w:type="dxa"/>
            <w:tcBorders>
              <w:top w:val="single" w:sz="2" w:space="0" w:color="A6A6A6"/>
              <w:left w:val="single" w:sz="2" w:space="0" w:color="A6A6A6"/>
              <w:bottom w:val="single" w:sz="2" w:space="0" w:color="A6A6A6"/>
              <w:right w:val="single" w:sz="2" w:space="0" w:color="A6A6A6"/>
            </w:tcBorders>
            <w:shd w:val="clear" w:color="auto" w:fill="auto"/>
            <w:vAlign w:val="bottom"/>
          </w:tcPr>
          <w:p w:rsidR="002B5EA8" w:rsidRPr="00C25D4E" w:rsidRDefault="002B5EA8" w:rsidP="00D57AB3">
            <w:pPr>
              <w:spacing w:line="276" w:lineRule="auto"/>
              <w:jc w:val="center"/>
              <w:rPr>
                <w:rFonts w:asciiTheme="minorHAnsi" w:hAnsiTheme="minorHAnsi" w:cstheme="minorHAnsi"/>
                <w:b/>
                <w:bCs/>
              </w:rPr>
            </w:pPr>
            <w:r w:rsidRPr="00C25D4E">
              <w:rPr>
                <w:rFonts w:asciiTheme="minorHAnsi" w:hAnsiTheme="minorHAnsi" w:cstheme="minorHAnsi"/>
                <w:b/>
                <w:bCs/>
              </w:rPr>
              <w:t>100,00</w:t>
            </w:r>
          </w:p>
        </w:tc>
      </w:tr>
      <w:tr w:rsidR="002B5EA8" w:rsidRPr="00C25D4E" w:rsidTr="00D03AAE">
        <w:trPr>
          <w:trHeight w:val="246"/>
        </w:trPr>
        <w:tc>
          <w:tcPr>
            <w:tcW w:w="2834" w:type="dxa"/>
            <w:shd w:val="clear" w:color="auto" w:fill="auto"/>
            <w:vAlign w:val="bottom"/>
            <w:hideMark/>
          </w:tcPr>
          <w:p w:rsidR="002B5EA8" w:rsidRPr="00C25D4E" w:rsidRDefault="002B5EA8" w:rsidP="00D57AB3">
            <w:pPr>
              <w:spacing w:line="276" w:lineRule="auto"/>
              <w:rPr>
                <w:rFonts w:asciiTheme="minorHAnsi" w:hAnsiTheme="minorHAnsi" w:cstheme="minorHAnsi"/>
                <w:lang w:eastAsia="hr-HR"/>
              </w:rPr>
            </w:pPr>
            <w:r w:rsidRPr="00C25D4E">
              <w:rPr>
                <w:rFonts w:asciiTheme="minorHAnsi" w:hAnsiTheme="minorHAnsi" w:cstheme="minorHAnsi"/>
                <w:lang w:eastAsia="hr-HR"/>
              </w:rPr>
              <w:t xml:space="preserve"> Od čega:</w:t>
            </w: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p>
        </w:tc>
        <w:tc>
          <w:tcPr>
            <w:tcW w:w="1512"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c>
          <w:tcPr>
            <w:tcW w:w="1670"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r>
      <w:tr w:rsidR="002B5EA8" w:rsidRPr="00C25D4E" w:rsidTr="00D03AAE">
        <w:trPr>
          <w:trHeight w:val="246"/>
        </w:trPr>
        <w:tc>
          <w:tcPr>
            <w:tcW w:w="2834" w:type="dxa"/>
            <w:shd w:val="clear" w:color="auto" w:fill="auto"/>
            <w:vAlign w:val="bottom"/>
            <w:hideMark/>
          </w:tcPr>
          <w:p w:rsidR="002B5EA8" w:rsidRPr="00C25D4E" w:rsidRDefault="002B5EA8" w:rsidP="00D57AB3">
            <w:pPr>
              <w:spacing w:line="276" w:lineRule="auto"/>
              <w:rPr>
                <w:rFonts w:asciiTheme="minorHAnsi" w:hAnsiTheme="minorHAnsi" w:cstheme="minorHAnsi"/>
                <w:lang w:eastAsia="hr-HR"/>
              </w:rPr>
            </w:pPr>
            <w:r w:rsidRPr="00C25D4E">
              <w:rPr>
                <w:rFonts w:asciiTheme="minorHAnsi" w:hAnsiTheme="minorHAnsi" w:cstheme="minorHAnsi"/>
                <w:lang w:eastAsia="hr-HR"/>
              </w:rPr>
              <w:t xml:space="preserve">    - financijske institucije</w:t>
            </w: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r w:rsidRPr="00C25D4E">
              <w:rPr>
                <w:rFonts w:asciiTheme="minorHAnsi" w:hAnsiTheme="minorHAnsi" w:cstheme="minorHAnsi"/>
              </w:rPr>
              <w:t>14.374,59</w:t>
            </w:r>
          </w:p>
        </w:tc>
        <w:tc>
          <w:tcPr>
            <w:tcW w:w="1512"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r w:rsidRPr="00C25D4E">
              <w:rPr>
                <w:rFonts w:asciiTheme="minorHAnsi" w:hAnsiTheme="minorHAnsi" w:cstheme="minorHAnsi"/>
              </w:rPr>
              <w:t>39,89</w:t>
            </w: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rPr>
            </w:pPr>
            <w:r w:rsidRPr="00C25D4E">
              <w:rPr>
                <w:rFonts w:asciiTheme="minorHAnsi" w:hAnsiTheme="minorHAnsi" w:cstheme="minorHAnsi"/>
              </w:rPr>
              <w:t>13.194,50</w:t>
            </w:r>
          </w:p>
        </w:tc>
        <w:tc>
          <w:tcPr>
            <w:tcW w:w="1670"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rPr>
            </w:pPr>
            <w:r w:rsidRPr="00C25D4E">
              <w:rPr>
                <w:rFonts w:asciiTheme="minorHAnsi" w:hAnsiTheme="minorHAnsi" w:cstheme="minorHAnsi"/>
              </w:rPr>
              <w:t>36,85</w:t>
            </w:r>
          </w:p>
        </w:tc>
      </w:tr>
      <w:tr w:rsidR="002B5EA8" w:rsidRPr="00C25D4E" w:rsidTr="00D03AAE">
        <w:trPr>
          <w:trHeight w:val="205"/>
        </w:trPr>
        <w:tc>
          <w:tcPr>
            <w:tcW w:w="2834" w:type="dxa"/>
            <w:shd w:val="clear" w:color="auto" w:fill="auto"/>
            <w:vAlign w:val="bottom"/>
            <w:hideMark/>
          </w:tcPr>
          <w:p w:rsidR="002B5EA8" w:rsidRPr="00C25D4E" w:rsidRDefault="002B5EA8" w:rsidP="00D57AB3">
            <w:pPr>
              <w:spacing w:line="276" w:lineRule="auto"/>
              <w:rPr>
                <w:rFonts w:asciiTheme="minorHAnsi" w:hAnsiTheme="minorHAnsi" w:cstheme="minorHAnsi"/>
                <w:lang w:eastAsia="hr-HR"/>
              </w:rPr>
            </w:pPr>
            <w:r w:rsidRPr="00C25D4E">
              <w:rPr>
                <w:rFonts w:asciiTheme="minorHAnsi" w:hAnsiTheme="minorHAnsi" w:cstheme="minorHAnsi"/>
                <w:lang w:eastAsia="hr-HR"/>
              </w:rPr>
              <w:t xml:space="preserve">    - direktni</w:t>
            </w: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r w:rsidRPr="00C25D4E">
              <w:rPr>
                <w:rFonts w:asciiTheme="minorHAnsi" w:hAnsiTheme="minorHAnsi" w:cstheme="minorHAnsi"/>
              </w:rPr>
              <w:t>21.665,30</w:t>
            </w:r>
          </w:p>
        </w:tc>
        <w:tc>
          <w:tcPr>
            <w:tcW w:w="1512"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r w:rsidRPr="00C25D4E">
              <w:rPr>
                <w:rFonts w:asciiTheme="minorHAnsi" w:hAnsiTheme="minorHAnsi" w:cstheme="minorHAnsi"/>
              </w:rPr>
              <w:t>60,11</w:t>
            </w: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rPr>
            </w:pPr>
            <w:r w:rsidRPr="00C25D4E">
              <w:rPr>
                <w:rFonts w:asciiTheme="minorHAnsi" w:hAnsiTheme="minorHAnsi" w:cstheme="minorHAnsi"/>
              </w:rPr>
              <w:t>22.613,58</w:t>
            </w:r>
          </w:p>
        </w:tc>
        <w:tc>
          <w:tcPr>
            <w:tcW w:w="1670"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rPr>
            </w:pPr>
            <w:r w:rsidRPr="00C25D4E">
              <w:rPr>
                <w:rFonts w:asciiTheme="minorHAnsi" w:hAnsiTheme="minorHAnsi" w:cstheme="minorHAnsi"/>
              </w:rPr>
              <w:t>63,15</w:t>
            </w:r>
          </w:p>
        </w:tc>
      </w:tr>
      <w:tr w:rsidR="002B5EA8" w:rsidRPr="00C25D4E" w:rsidTr="00D03AAE">
        <w:trPr>
          <w:trHeight w:val="205"/>
        </w:trPr>
        <w:tc>
          <w:tcPr>
            <w:tcW w:w="2834" w:type="dxa"/>
            <w:shd w:val="clear" w:color="auto" w:fill="auto"/>
            <w:vAlign w:val="bottom"/>
            <w:hideMark/>
          </w:tcPr>
          <w:p w:rsidR="002B5EA8" w:rsidRPr="00C25D4E" w:rsidRDefault="002B5EA8" w:rsidP="00D57AB3">
            <w:pPr>
              <w:spacing w:line="276" w:lineRule="auto"/>
              <w:rPr>
                <w:rFonts w:asciiTheme="minorHAnsi" w:hAnsiTheme="minorHAnsi" w:cstheme="minorHAnsi"/>
                <w:lang w:eastAsia="hr-HR"/>
              </w:rPr>
            </w:pP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c>
          <w:tcPr>
            <w:tcW w:w="1512"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c>
          <w:tcPr>
            <w:tcW w:w="1670"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r>
      <w:tr w:rsidR="002B5EA8" w:rsidRPr="00C25D4E" w:rsidTr="00D03AAE">
        <w:trPr>
          <w:trHeight w:val="375"/>
        </w:trPr>
        <w:tc>
          <w:tcPr>
            <w:tcW w:w="2834" w:type="dxa"/>
            <w:shd w:val="clear" w:color="auto" w:fill="auto"/>
            <w:vAlign w:val="bottom"/>
            <w:hideMark/>
          </w:tcPr>
          <w:p w:rsidR="002B5EA8" w:rsidRPr="00C25D4E" w:rsidRDefault="002B5EA8" w:rsidP="00D57AB3">
            <w:pPr>
              <w:spacing w:line="276" w:lineRule="auto"/>
              <w:rPr>
                <w:rFonts w:asciiTheme="minorHAnsi" w:hAnsiTheme="minorHAnsi" w:cstheme="minorHAnsi"/>
                <w:b/>
                <w:bCs/>
                <w:lang w:eastAsia="hr-HR"/>
              </w:rPr>
            </w:pPr>
            <w:r w:rsidRPr="00C25D4E">
              <w:rPr>
                <w:rFonts w:asciiTheme="minorHAnsi" w:hAnsiTheme="minorHAnsi" w:cstheme="minorHAnsi"/>
                <w:b/>
                <w:bCs/>
                <w:lang w:eastAsia="hr-HR"/>
              </w:rPr>
              <w:t>Ukupno rezerviranja</w:t>
            </w: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rPr>
              <w:t>3.201,97</w:t>
            </w:r>
          </w:p>
        </w:tc>
        <w:tc>
          <w:tcPr>
            <w:tcW w:w="1512" w:type="dxa"/>
            <w:tcBorders>
              <w:top w:val="single" w:sz="2" w:space="0" w:color="A6A6A6"/>
              <w:left w:val="single" w:sz="2" w:space="0" w:color="A6A6A6"/>
              <w:bottom w:val="single" w:sz="2" w:space="0" w:color="A6A6A6"/>
              <w:right w:val="single" w:sz="2" w:space="0" w:color="A6A6A6"/>
            </w:tcBorders>
            <w:shd w:val="clear" w:color="auto" w:fill="auto"/>
            <w:noWrap/>
            <w:vAlign w:val="center"/>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rPr>
              <w:t>100,00</w:t>
            </w: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b/>
                <w:bCs/>
              </w:rPr>
            </w:pPr>
            <w:r w:rsidRPr="00C25D4E">
              <w:rPr>
                <w:rFonts w:asciiTheme="minorHAnsi" w:hAnsiTheme="minorHAnsi" w:cstheme="minorHAnsi"/>
                <w:b/>
                <w:bCs/>
              </w:rPr>
              <w:t>3.795,63</w:t>
            </w:r>
          </w:p>
        </w:tc>
        <w:tc>
          <w:tcPr>
            <w:tcW w:w="1670" w:type="dxa"/>
            <w:tcBorders>
              <w:top w:val="single" w:sz="2" w:space="0" w:color="A6A6A6"/>
              <w:left w:val="single" w:sz="2" w:space="0" w:color="A6A6A6"/>
              <w:bottom w:val="single" w:sz="2" w:space="0" w:color="A6A6A6"/>
              <w:right w:val="single" w:sz="2" w:space="0" w:color="A6A6A6"/>
            </w:tcBorders>
            <w:shd w:val="clear" w:color="auto" w:fill="auto"/>
            <w:noWrap/>
            <w:vAlign w:val="center"/>
          </w:tcPr>
          <w:p w:rsidR="002B5EA8" w:rsidRPr="00C25D4E" w:rsidRDefault="002B5EA8" w:rsidP="00D57AB3">
            <w:pPr>
              <w:spacing w:line="276" w:lineRule="auto"/>
              <w:jc w:val="center"/>
              <w:rPr>
                <w:rFonts w:asciiTheme="minorHAnsi" w:hAnsiTheme="minorHAnsi" w:cstheme="minorHAnsi"/>
                <w:b/>
                <w:bCs/>
              </w:rPr>
            </w:pPr>
            <w:r w:rsidRPr="00C25D4E">
              <w:rPr>
                <w:rFonts w:asciiTheme="minorHAnsi" w:hAnsiTheme="minorHAnsi" w:cstheme="minorHAnsi"/>
                <w:b/>
                <w:bCs/>
              </w:rPr>
              <w:t>100,00</w:t>
            </w:r>
          </w:p>
        </w:tc>
      </w:tr>
      <w:tr w:rsidR="002B5EA8" w:rsidRPr="00C25D4E" w:rsidTr="00D03AAE">
        <w:trPr>
          <w:trHeight w:val="235"/>
        </w:trPr>
        <w:tc>
          <w:tcPr>
            <w:tcW w:w="2834" w:type="dxa"/>
            <w:shd w:val="clear" w:color="auto" w:fill="auto"/>
            <w:vAlign w:val="bottom"/>
            <w:hideMark/>
          </w:tcPr>
          <w:p w:rsidR="002B5EA8" w:rsidRPr="00C25D4E" w:rsidRDefault="002B5EA8" w:rsidP="00D57AB3">
            <w:pPr>
              <w:spacing w:line="276" w:lineRule="auto"/>
              <w:rPr>
                <w:rFonts w:asciiTheme="minorHAnsi" w:hAnsiTheme="minorHAnsi" w:cstheme="minorHAnsi"/>
                <w:lang w:eastAsia="hr-HR"/>
              </w:rPr>
            </w:pPr>
            <w:r w:rsidRPr="00C25D4E">
              <w:rPr>
                <w:rFonts w:asciiTheme="minorHAnsi" w:hAnsiTheme="minorHAnsi" w:cstheme="minorHAnsi"/>
                <w:lang w:eastAsia="hr-HR"/>
              </w:rPr>
              <w:t>Od čega:</w:t>
            </w: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p>
        </w:tc>
        <w:tc>
          <w:tcPr>
            <w:tcW w:w="1512" w:type="dxa"/>
            <w:tcBorders>
              <w:top w:val="single" w:sz="2" w:space="0" w:color="A6A6A6"/>
              <w:left w:val="single" w:sz="2" w:space="0" w:color="A6A6A6"/>
              <w:bottom w:val="single" w:sz="2" w:space="0" w:color="A6A6A6"/>
              <w:right w:val="single" w:sz="2" w:space="0" w:color="A6A6A6"/>
            </w:tcBorders>
            <w:shd w:val="clear" w:color="auto" w:fill="auto"/>
            <w:noWrap/>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c>
          <w:tcPr>
            <w:tcW w:w="1670" w:type="dxa"/>
            <w:tcBorders>
              <w:top w:val="single" w:sz="2" w:space="0" w:color="A6A6A6"/>
              <w:left w:val="single" w:sz="2" w:space="0" w:color="A6A6A6"/>
              <w:bottom w:val="single" w:sz="2" w:space="0" w:color="A6A6A6"/>
              <w:right w:val="single" w:sz="2" w:space="0" w:color="A6A6A6"/>
            </w:tcBorders>
            <w:shd w:val="clear" w:color="auto" w:fill="auto"/>
            <w:noWrap/>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r>
      <w:tr w:rsidR="002B5EA8" w:rsidRPr="00C25D4E" w:rsidTr="00D03AAE">
        <w:trPr>
          <w:trHeight w:val="267"/>
        </w:trPr>
        <w:tc>
          <w:tcPr>
            <w:tcW w:w="2834" w:type="dxa"/>
            <w:shd w:val="clear" w:color="auto" w:fill="auto"/>
            <w:vAlign w:val="bottom"/>
            <w:hideMark/>
          </w:tcPr>
          <w:p w:rsidR="002B5EA8" w:rsidRPr="00C25D4E" w:rsidRDefault="002B5EA8" w:rsidP="00D57AB3">
            <w:pPr>
              <w:spacing w:line="276" w:lineRule="auto"/>
              <w:ind w:firstLineChars="100" w:firstLine="240"/>
              <w:rPr>
                <w:rFonts w:asciiTheme="minorHAnsi" w:hAnsiTheme="minorHAnsi" w:cstheme="minorHAnsi"/>
                <w:lang w:eastAsia="hr-HR"/>
              </w:rPr>
            </w:pPr>
            <w:r w:rsidRPr="00C25D4E">
              <w:rPr>
                <w:rFonts w:asciiTheme="minorHAnsi" w:hAnsiTheme="minorHAnsi" w:cstheme="minorHAnsi"/>
                <w:lang w:eastAsia="hr-HR"/>
              </w:rPr>
              <w:t>- financijske institucije</w:t>
            </w: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r w:rsidRPr="00C25D4E">
              <w:rPr>
                <w:rFonts w:asciiTheme="minorHAnsi" w:hAnsiTheme="minorHAnsi" w:cstheme="minorHAnsi"/>
              </w:rPr>
              <w:t>259,82</w:t>
            </w:r>
          </w:p>
        </w:tc>
        <w:tc>
          <w:tcPr>
            <w:tcW w:w="1512"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r w:rsidRPr="00C25D4E">
              <w:rPr>
                <w:rFonts w:asciiTheme="minorHAnsi" w:hAnsiTheme="minorHAnsi" w:cstheme="minorHAnsi"/>
              </w:rPr>
              <w:t>8,11</w:t>
            </w: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rPr>
            </w:pPr>
            <w:r w:rsidRPr="00C25D4E">
              <w:rPr>
                <w:rFonts w:asciiTheme="minorHAnsi" w:hAnsiTheme="minorHAnsi" w:cstheme="minorHAnsi"/>
              </w:rPr>
              <w:t>122,62</w:t>
            </w:r>
          </w:p>
        </w:tc>
        <w:tc>
          <w:tcPr>
            <w:tcW w:w="1670" w:type="dxa"/>
            <w:tcBorders>
              <w:top w:val="single" w:sz="2" w:space="0" w:color="A6A6A6"/>
              <w:left w:val="single" w:sz="2" w:space="0" w:color="A6A6A6"/>
              <w:bottom w:val="single" w:sz="2" w:space="0" w:color="A6A6A6"/>
              <w:right w:val="single" w:sz="2" w:space="0" w:color="A6A6A6"/>
            </w:tcBorders>
            <w:shd w:val="clear" w:color="auto" w:fill="auto"/>
            <w:noWrap/>
            <w:vAlign w:val="center"/>
          </w:tcPr>
          <w:p w:rsidR="002B5EA8" w:rsidRPr="00C25D4E" w:rsidRDefault="002B5EA8" w:rsidP="00D57AB3">
            <w:pPr>
              <w:spacing w:line="276" w:lineRule="auto"/>
              <w:jc w:val="center"/>
              <w:rPr>
                <w:rFonts w:asciiTheme="minorHAnsi" w:hAnsiTheme="minorHAnsi" w:cstheme="minorHAnsi"/>
              </w:rPr>
            </w:pPr>
            <w:r w:rsidRPr="00C25D4E">
              <w:rPr>
                <w:rFonts w:asciiTheme="minorHAnsi" w:hAnsiTheme="minorHAnsi" w:cstheme="minorHAnsi"/>
              </w:rPr>
              <w:t>3,23</w:t>
            </w:r>
          </w:p>
        </w:tc>
      </w:tr>
      <w:tr w:rsidR="002B5EA8" w:rsidRPr="00C25D4E" w:rsidTr="00D03AAE">
        <w:trPr>
          <w:trHeight w:val="205"/>
        </w:trPr>
        <w:tc>
          <w:tcPr>
            <w:tcW w:w="2834" w:type="dxa"/>
            <w:shd w:val="clear" w:color="auto" w:fill="auto"/>
            <w:vAlign w:val="bottom"/>
            <w:hideMark/>
          </w:tcPr>
          <w:p w:rsidR="002B5EA8" w:rsidRPr="00C25D4E" w:rsidRDefault="002B5EA8" w:rsidP="00D57AB3">
            <w:pPr>
              <w:spacing w:line="276" w:lineRule="auto"/>
              <w:ind w:firstLineChars="100" w:firstLine="240"/>
              <w:rPr>
                <w:rFonts w:asciiTheme="minorHAnsi" w:hAnsiTheme="minorHAnsi" w:cstheme="minorHAnsi"/>
                <w:lang w:eastAsia="hr-HR"/>
              </w:rPr>
            </w:pPr>
            <w:r w:rsidRPr="00C25D4E">
              <w:rPr>
                <w:rFonts w:asciiTheme="minorHAnsi" w:hAnsiTheme="minorHAnsi" w:cstheme="minorHAnsi"/>
                <w:lang w:eastAsia="hr-HR"/>
              </w:rPr>
              <w:t>- direktni</w:t>
            </w: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r w:rsidRPr="00C25D4E">
              <w:rPr>
                <w:rFonts w:asciiTheme="minorHAnsi" w:hAnsiTheme="minorHAnsi" w:cstheme="minorHAnsi"/>
              </w:rPr>
              <w:t>2.942,15</w:t>
            </w:r>
          </w:p>
        </w:tc>
        <w:tc>
          <w:tcPr>
            <w:tcW w:w="1512"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lang w:eastAsia="hr-HR"/>
              </w:rPr>
            </w:pPr>
            <w:r w:rsidRPr="00C25D4E">
              <w:rPr>
                <w:rFonts w:asciiTheme="minorHAnsi" w:hAnsiTheme="minorHAnsi" w:cstheme="minorHAnsi"/>
              </w:rPr>
              <w:t>91,89</w:t>
            </w: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rPr>
            </w:pPr>
            <w:r w:rsidRPr="00C25D4E">
              <w:rPr>
                <w:rFonts w:asciiTheme="minorHAnsi" w:hAnsiTheme="minorHAnsi" w:cstheme="minorHAnsi"/>
              </w:rPr>
              <w:t>3.673,01</w:t>
            </w:r>
          </w:p>
        </w:tc>
        <w:tc>
          <w:tcPr>
            <w:tcW w:w="1670" w:type="dxa"/>
            <w:tcBorders>
              <w:top w:val="single" w:sz="2" w:space="0" w:color="A6A6A6"/>
              <w:left w:val="single" w:sz="2" w:space="0" w:color="A6A6A6"/>
              <w:bottom w:val="single" w:sz="2" w:space="0" w:color="A6A6A6"/>
              <w:right w:val="single" w:sz="2" w:space="0" w:color="A6A6A6"/>
            </w:tcBorders>
            <w:shd w:val="clear" w:color="auto" w:fill="auto"/>
            <w:noWrap/>
            <w:vAlign w:val="center"/>
          </w:tcPr>
          <w:p w:rsidR="002B5EA8" w:rsidRPr="00C25D4E" w:rsidRDefault="002B5EA8" w:rsidP="00D57AB3">
            <w:pPr>
              <w:spacing w:line="276" w:lineRule="auto"/>
              <w:jc w:val="center"/>
              <w:rPr>
                <w:rFonts w:asciiTheme="minorHAnsi" w:hAnsiTheme="minorHAnsi" w:cstheme="minorHAnsi"/>
              </w:rPr>
            </w:pPr>
            <w:r w:rsidRPr="00C25D4E">
              <w:rPr>
                <w:rFonts w:asciiTheme="minorHAnsi" w:hAnsiTheme="minorHAnsi" w:cstheme="minorHAnsi"/>
              </w:rPr>
              <w:t>96,77</w:t>
            </w:r>
          </w:p>
        </w:tc>
      </w:tr>
      <w:tr w:rsidR="002B5EA8" w:rsidRPr="00C25D4E" w:rsidTr="00D03AAE">
        <w:trPr>
          <w:trHeight w:val="205"/>
        </w:trPr>
        <w:tc>
          <w:tcPr>
            <w:tcW w:w="2834" w:type="dxa"/>
            <w:shd w:val="clear" w:color="auto" w:fill="auto"/>
            <w:vAlign w:val="bottom"/>
            <w:hideMark/>
          </w:tcPr>
          <w:p w:rsidR="002B5EA8" w:rsidRPr="00C25D4E" w:rsidRDefault="002B5EA8" w:rsidP="00D57AB3">
            <w:pPr>
              <w:spacing w:line="276" w:lineRule="auto"/>
              <w:rPr>
                <w:rFonts w:asciiTheme="minorHAnsi" w:hAnsiTheme="minorHAnsi" w:cstheme="minorHAnsi"/>
                <w:lang w:eastAsia="hr-HR"/>
              </w:rPr>
            </w:pP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ind w:firstLineChars="100" w:firstLine="200"/>
              <w:jc w:val="center"/>
              <w:rPr>
                <w:rFonts w:asciiTheme="minorHAnsi" w:hAnsiTheme="minorHAnsi" w:cstheme="minorHAnsi"/>
                <w:sz w:val="20"/>
                <w:szCs w:val="20"/>
                <w:lang w:eastAsia="hr-HR"/>
              </w:rPr>
            </w:pPr>
          </w:p>
        </w:tc>
        <w:tc>
          <w:tcPr>
            <w:tcW w:w="1512" w:type="dxa"/>
            <w:tcBorders>
              <w:top w:val="single" w:sz="2" w:space="0" w:color="A6A6A6"/>
              <w:left w:val="single" w:sz="2" w:space="0" w:color="A6A6A6"/>
              <w:bottom w:val="single" w:sz="2" w:space="0" w:color="A6A6A6"/>
              <w:right w:val="single" w:sz="2" w:space="0" w:color="A6A6A6"/>
            </w:tcBorders>
            <w:shd w:val="clear" w:color="auto" w:fill="auto"/>
            <w:noWrap/>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c>
          <w:tcPr>
            <w:tcW w:w="1670" w:type="dxa"/>
            <w:tcBorders>
              <w:top w:val="single" w:sz="2" w:space="0" w:color="A6A6A6"/>
              <w:left w:val="single" w:sz="2" w:space="0" w:color="A6A6A6"/>
              <w:bottom w:val="single" w:sz="2" w:space="0" w:color="A6A6A6"/>
              <w:right w:val="single" w:sz="2" w:space="0" w:color="A6A6A6"/>
            </w:tcBorders>
            <w:shd w:val="clear" w:color="auto" w:fill="auto"/>
            <w:noWrap/>
            <w:vAlign w:val="center"/>
          </w:tcPr>
          <w:p w:rsidR="002B5EA8" w:rsidRPr="00C25D4E" w:rsidRDefault="002B5EA8" w:rsidP="00D57AB3">
            <w:pPr>
              <w:spacing w:line="276" w:lineRule="auto"/>
              <w:jc w:val="center"/>
              <w:rPr>
                <w:rFonts w:asciiTheme="minorHAnsi" w:hAnsiTheme="minorHAnsi" w:cstheme="minorHAnsi"/>
                <w:sz w:val="20"/>
                <w:szCs w:val="20"/>
                <w:lang w:eastAsia="hr-HR"/>
              </w:rPr>
            </w:pPr>
          </w:p>
        </w:tc>
      </w:tr>
      <w:tr w:rsidR="002B5EA8" w:rsidRPr="00C25D4E" w:rsidTr="00D03AAE">
        <w:trPr>
          <w:trHeight w:val="410"/>
        </w:trPr>
        <w:tc>
          <w:tcPr>
            <w:tcW w:w="2834" w:type="dxa"/>
            <w:shd w:val="clear" w:color="auto" w:fill="auto"/>
            <w:vAlign w:val="bottom"/>
            <w:hideMark/>
          </w:tcPr>
          <w:p w:rsidR="002B5EA8" w:rsidRPr="00C25D4E" w:rsidRDefault="002B5EA8" w:rsidP="00D57AB3">
            <w:pPr>
              <w:spacing w:line="276" w:lineRule="auto"/>
              <w:rPr>
                <w:rFonts w:asciiTheme="minorHAnsi" w:hAnsiTheme="minorHAnsi" w:cstheme="minorHAnsi"/>
                <w:b/>
                <w:bCs/>
                <w:lang w:eastAsia="hr-HR"/>
              </w:rPr>
            </w:pPr>
            <w:r w:rsidRPr="00C25D4E">
              <w:rPr>
                <w:rFonts w:asciiTheme="minorHAnsi" w:hAnsiTheme="minorHAnsi" w:cstheme="minorHAnsi"/>
                <w:b/>
                <w:bCs/>
                <w:lang w:eastAsia="hr-HR"/>
              </w:rPr>
              <w:t>Rezerviranja/bruto portfelj</w:t>
            </w:r>
          </w:p>
        </w:tc>
        <w:tc>
          <w:tcPr>
            <w:tcW w:w="2009" w:type="dxa"/>
            <w:tcBorders>
              <w:top w:val="single" w:sz="2" w:space="0" w:color="A6A6A6"/>
              <w:left w:val="single" w:sz="2" w:space="0" w:color="A6A6A6"/>
              <w:bottom w:val="single" w:sz="2" w:space="0" w:color="A6A6A6"/>
              <w:right w:val="single" w:sz="2" w:space="0" w:color="A6A6A6"/>
            </w:tcBorders>
            <w:shd w:val="clear" w:color="auto" w:fill="auto"/>
            <w:vAlign w:val="bottom"/>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rPr>
              <w:t xml:space="preserve">8,88 posto </w:t>
            </w:r>
          </w:p>
        </w:tc>
        <w:tc>
          <w:tcPr>
            <w:tcW w:w="1512" w:type="dxa"/>
            <w:tcBorders>
              <w:top w:val="single" w:sz="2" w:space="0" w:color="A6A6A6"/>
              <w:left w:val="single" w:sz="2" w:space="0" w:color="A6A6A6"/>
              <w:bottom w:val="single" w:sz="2" w:space="0" w:color="A6A6A6"/>
              <w:right w:val="single" w:sz="2" w:space="0" w:color="A6A6A6"/>
            </w:tcBorders>
            <w:shd w:val="clear" w:color="auto" w:fill="auto"/>
            <w:noWrap/>
            <w:vAlign w:val="bottom"/>
          </w:tcPr>
          <w:p w:rsidR="002B5EA8" w:rsidRPr="00C25D4E" w:rsidRDefault="002B5EA8" w:rsidP="00D57AB3">
            <w:pPr>
              <w:spacing w:line="276" w:lineRule="auto"/>
              <w:jc w:val="center"/>
              <w:rPr>
                <w:rFonts w:asciiTheme="minorHAnsi" w:hAnsiTheme="minorHAnsi" w:cstheme="minorHAnsi"/>
                <w:b/>
                <w:bCs/>
                <w:lang w:eastAsia="hr-HR"/>
              </w:rPr>
            </w:pPr>
            <w:r w:rsidRPr="00C25D4E">
              <w:rPr>
                <w:rFonts w:asciiTheme="minorHAnsi" w:hAnsiTheme="minorHAnsi" w:cstheme="minorHAnsi"/>
                <w:b/>
                <w:bCs/>
              </w:rPr>
              <w:t>-</w:t>
            </w:r>
          </w:p>
        </w:tc>
        <w:tc>
          <w:tcPr>
            <w:tcW w:w="1898" w:type="dxa"/>
            <w:tcBorders>
              <w:top w:val="single" w:sz="2" w:space="0" w:color="A6A6A6"/>
              <w:left w:val="single" w:sz="2" w:space="0" w:color="A6A6A6"/>
              <w:bottom w:val="single" w:sz="2" w:space="0" w:color="A6A6A6"/>
              <w:right w:val="single" w:sz="2" w:space="0" w:color="A6A6A6"/>
            </w:tcBorders>
            <w:shd w:val="clear" w:color="auto" w:fill="auto"/>
            <w:vAlign w:val="bottom"/>
          </w:tcPr>
          <w:p w:rsidR="002B5EA8" w:rsidRPr="00C25D4E" w:rsidRDefault="002B5EA8" w:rsidP="00D57AB3">
            <w:pPr>
              <w:spacing w:line="276" w:lineRule="auto"/>
              <w:jc w:val="center"/>
              <w:rPr>
                <w:rFonts w:asciiTheme="minorHAnsi" w:hAnsiTheme="minorHAnsi" w:cstheme="minorHAnsi"/>
                <w:b/>
                <w:bCs/>
              </w:rPr>
            </w:pPr>
            <w:r w:rsidRPr="00C25D4E">
              <w:rPr>
                <w:rFonts w:asciiTheme="minorHAnsi" w:hAnsiTheme="minorHAnsi" w:cstheme="minorHAnsi"/>
                <w:b/>
                <w:bCs/>
              </w:rPr>
              <w:t>10,60 posto</w:t>
            </w:r>
          </w:p>
        </w:tc>
        <w:tc>
          <w:tcPr>
            <w:tcW w:w="1670" w:type="dxa"/>
            <w:tcBorders>
              <w:top w:val="single" w:sz="2" w:space="0" w:color="A6A6A6"/>
              <w:left w:val="single" w:sz="2" w:space="0" w:color="A6A6A6"/>
              <w:bottom w:val="single" w:sz="2" w:space="0" w:color="A6A6A6"/>
              <w:right w:val="single" w:sz="2" w:space="0" w:color="A6A6A6"/>
            </w:tcBorders>
            <w:shd w:val="clear" w:color="auto" w:fill="auto"/>
            <w:noWrap/>
            <w:vAlign w:val="bottom"/>
          </w:tcPr>
          <w:p w:rsidR="002B5EA8" w:rsidRPr="00C25D4E" w:rsidRDefault="002B5EA8" w:rsidP="00D57AB3">
            <w:pPr>
              <w:spacing w:line="276" w:lineRule="auto"/>
              <w:jc w:val="center"/>
              <w:rPr>
                <w:rFonts w:asciiTheme="minorHAnsi" w:hAnsiTheme="minorHAnsi" w:cstheme="minorHAnsi"/>
                <w:b/>
                <w:bCs/>
              </w:rPr>
            </w:pPr>
            <w:r w:rsidRPr="00C25D4E">
              <w:rPr>
                <w:rFonts w:asciiTheme="minorHAnsi" w:hAnsiTheme="minorHAnsi" w:cstheme="minorHAnsi"/>
                <w:b/>
                <w:bCs/>
              </w:rPr>
              <w:t>-</w:t>
            </w:r>
          </w:p>
        </w:tc>
      </w:tr>
    </w:tbl>
    <w:p w:rsidR="00D57AB3" w:rsidRDefault="00D57AB3" w:rsidP="002B5EA8">
      <w:pPr>
        <w:tabs>
          <w:tab w:val="left" w:pos="-720"/>
        </w:tabs>
        <w:spacing w:before="240" w:after="120" w:line="276" w:lineRule="auto"/>
        <w:jc w:val="both"/>
        <w:rPr>
          <w:rFonts w:asciiTheme="minorHAnsi" w:hAnsiTheme="minorHAnsi" w:cstheme="minorHAnsi"/>
          <w:b/>
          <w:spacing w:val="-3"/>
        </w:rPr>
      </w:pPr>
      <w:r>
        <w:rPr>
          <w:rFonts w:asciiTheme="minorHAnsi" w:hAnsiTheme="minorHAnsi" w:cstheme="minorHAnsi"/>
          <w:b/>
          <w:spacing w:val="-3"/>
        </w:rPr>
        <w:br w:type="page"/>
      </w:r>
    </w:p>
    <w:p w:rsidR="002B5EA8" w:rsidRPr="00C25D4E" w:rsidRDefault="002B5EA8" w:rsidP="00D57AB3">
      <w:pPr>
        <w:tabs>
          <w:tab w:val="left" w:pos="-720"/>
        </w:tabs>
        <w:spacing w:before="100" w:line="276" w:lineRule="auto"/>
        <w:jc w:val="both"/>
        <w:rPr>
          <w:rFonts w:asciiTheme="minorHAnsi" w:hAnsiTheme="minorHAnsi" w:cstheme="minorHAnsi"/>
          <w:b/>
          <w:spacing w:val="-3"/>
        </w:rPr>
      </w:pPr>
      <w:r w:rsidRPr="00C25D4E">
        <w:rPr>
          <w:rFonts w:asciiTheme="minorHAnsi" w:hAnsiTheme="minorHAnsi" w:cstheme="minorHAnsi"/>
          <w:b/>
          <w:spacing w:val="-3"/>
        </w:rPr>
        <w:t>Značajne promjene u financijskom položaju</w:t>
      </w:r>
    </w:p>
    <w:p w:rsidR="002B5EA8" w:rsidRPr="00C25D4E" w:rsidRDefault="002B5EA8" w:rsidP="00D57AB3">
      <w:pPr>
        <w:tabs>
          <w:tab w:val="left" w:pos="-720"/>
        </w:tabs>
        <w:suppressAutoHyphens/>
        <w:autoSpaceDN w:val="0"/>
        <w:spacing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spacing w:val="-3"/>
        </w:rPr>
        <w:t>Ukupna imovina HBOR-a na dan 31. prosinca 2018. iznosi 27.198,93 milijuna kuna te je u odnosu na 2017. godinu smanjena za 3,05 posto, najvećim dijelom zbog prijevremenih otplata kredita koje u 2018. godini iznose 2.418,81 milijuna kuna. Dodatno, značajan učinak ima</w:t>
      </w:r>
      <w:r w:rsidRPr="00C25D4E">
        <w:rPr>
          <w:rFonts w:asciiTheme="minorHAnsi" w:hAnsiTheme="minorHAnsi" w:cstheme="minorHAnsi"/>
          <w:spacing w:val="-3"/>
          <w:lang w:eastAsia="hr-HR"/>
        </w:rPr>
        <w:t xml:space="preserve"> primjena MSFI-ja 9 od 1. siječnja 2018. radi povećanja ispravaka vrijednosti financijskih instrumenata za 469,66 milijuna kuna. </w:t>
      </w:r>
    </w:p>
    <w:p w:rsidR="002B5EA8" w:rsidRPr="00C25D4E" w:rsidRDefault="002B5EA8" w:rsidP="00D57AB3">
      <w:pPr>
        <w:keepNext/>
        <w:tabs>
          <w:tab w:val="left" w:pos="426"/>
        </w:tabs>
        <w:suppressAutoHyphens/>
        <w:autoSpaceDN w:val="0"/>
        <w:spacing w:before="100" w:line="276" w:lineRule="auto"/>
        <w:jc w:val="both"/>
        <w:textAlignment w:val="baseline"/>
        <w:rPr>
          <w:rFonts w:asciiTheme="minorHAnsi" w:eastAsia="Calibri" w:hAnsiTheme="minorHAnsi" w:cstheme="minorHAnsi"/>
          <w:b/>
          <w:bCs/>
          <w:i/>
        </w:rPr>
      </w:pPr>
      <w:r w:rsidRPr="00C25D4E">
        <w:rPr>
          <w:rFonts w:asciiTheme="minorHAnsi" w:eastAsia="Calibri" w:hAnsiTheme="minorHAnsi" w:cstheme="minorHAnsi"/>
          <w:b/>
          <w:bCs/>
          <w:i/>
        </w:rPr>
        <w:t>Klasifikacija financijske imovine</w:t>
      </w:r>
    </w:p>
    <w:p w:rsidR="002B5EA8" w:rsidRPr="00C25D4E" w:rsidRDefault="002B5EA8" w:rsidP="00D57AB3">
      <w:pPr>
        <w:suppressAutoHyphens/>
        <w:autoSpaceDN w:val="0"/>
        <w:spacing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Primjenom MSFI-ja 9 od 1. siječnja 2018. sva financijska imovina klasificira se na temelju alokacije financijske imovine u poslovne modele i SPPI testa kao imovina koja se naknadno mjeri po:</w:t>
      </w:r>
    </w:p>
    <w:p w:rsidR="002B5EA8" w:rsidRPr="00C25D4E" w:rsidRDefault="002B5EA8" w:rsidP="00D57AB3">
      <w:pPr>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1) amortiziranom trošku, a</w:t>
      </w:r>
      <w:r w:rsidRPr="00C25D4E">
        <w:rPr>
          <w:rFonts w:asciiTheme="minorHAnsi" w:eastAsia="Calibri" w:hAnsiTheme="minorHAnsi" w:cstheme="minorHAnsi"/>
          <w:bCs/>
        </w:rPr>
        <w:t>ko su ispunjena oba uvjeta:</w:t>
      </w:r>
    </w:p>
    <w:p w:rsidR="002B5EA8" w:rsidRPr="00D57AB3" w:rsidRDefault="002B5EA8" w:rsidP="00D57AB3">
      <w:pPr>
        <w:pStyle w:val="ListParagraph"/>
        <w:keepNext/>
        <w:numPr>
          <w:ilvl w:val="0"/>
          <w:numId w:val="47"/>
        </w:numPr>
        <w:tabs>
          <w:tab w:val="left" w:pos="993"/>
        </w:tabs>
        <w:suppressAutoHyphens/>
        <w:autoSpaceDN w:val="0"/>
        <w:spacing w:line="276" w:lineRule="auto"/>
        <w:ind w:left="567" w:hanging="567"/>
        <w:jc w:val="both"/>
        <w:textAlignment w:val="baseline"/>
        <w:rPr>
          <w:rFonts w:asciiTheme="minorHAnsi" w:eastAsia="Calibri" w:hAnsiTheme="minorHAnsi" w:cstheme="minorHAnsi"/>
          <w:bCs/>
        </w:rPr>
      </w:pPr>
      <w:r w:rsidRPr="00D57AB3">
        <w:rPr>
          <w:rFonts w:asciiTheme="minorHAnsi" w:eastAsia="Calibri" w:hAnsiTheme="minorHAnsi" w:cstheme="minorHAnsi"/>
          <w:bCs/>
        </w:rPr>
        <w:t xml:space="preserve">financijska imovina je alocirana u poslovni model čiji je cilj držanje imovine radi naplate    ugovorenih novčanih tokova i </w:t>
      </w:r>
    </w:p>
    <w:p w:rsidR="002B5EA8" w:rsidRPr="00D57AB3" w:rsidRDefault="002B5EA8" w:rsidP="00D57AB3">
      <w:pPr>
        <w:pStyle w:val="ListParagraph"/>
        <w:keepNext/>
        <w:numPr>
          <w:ilvl w:val="0"/>
          <w:numId w:val="47"/>
        </w:numPr>
        <w:tabs>
          <w:tab w:val="left" w:pos="993"/>
        </w:tabs>
        <w:suppressAutoHyphens/>
        <w:autoSpaceDN w:val="0"/>
        <w:spacing w:line="276" w:lineRule="auto"/>
        <w:ind w:left="567" w:hanging="567"/>
        <w:jc w:val="both"/>
        <w:textAlignment w:val="baseline"/>
        <w:rPr>
          <w:rFonts w:asciiTheme="minorHAnsi" w:eastAsia="Calibri" w:hAnsiTheme="minorHAnsi" w:cstheme="minorHAnsi"/>
          <w:bCs/>
        </w:rPr>
      </w:pPr>
      <w:r w:rsidRPr="00D57AB3">
        <w:rPr>
          <w:rFonts w:asciiTheme="minorHAnsi" w:eastAsia="Calibri" w:hAnsiTheme="minorHAnsi" w:cstheme="minorHAnsi"/>
          <w:bCs/>
        </w:rPr>
        <w:t>SPPI test je zadovoljen – za financijsku imovinu utvrđeni su novčani tokovi koji su samo plaćanje glavnice i kamate na nepodmireni iznos glavnice.</w:t>
      </w:r>
    </w:p>
    <w:p w:rsidR="002B5EA8" w:rsidRPr="00C25D4E" w:rsidRDefault="002B5EA8" w:rsidP="00D57AB3">
      <w:pPr>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2) fer vrijednosti kroz ostalu sveobuhvatnu dobit, ako su ispunjena oba uvjeta:</w:t>
      </w:r>
    </w:p>
    <w:p w:rsidR="002B5EA8" w:rsidRPr="00C25D4E" w:rsidRDefault="002B5EA8" w:rsidP="00D57AB3">
      <w:pPr>
        <w:pStyle w:val="ListParagraph"/>
        <w:keepNext/>
        <w:numPr>
          <w:ilvl w:val="0"/>
          <w:numId w:val="47"/>
        </w:numPr>
        <w:tabs>
          <w:tab w:val="left" w:pos="993"/>
        </w:tabs>
        <w:suppressAutoHyphens/>
        <w:autoSpaceDN w:val="0"/>
        <w:spacing w:line="276" w:lineRule="auto"/>
        <w:ind w:left="284"/>
        <w:jc w:val="both"/>
        <w:textAlignment w:val="baseline"/>
        <w:rPr>
          <w:rFonts w:asciiTheme="minorHAnsi" w:eastAsia="Calibri" w:hAnsiTheme="minorHAnsi" w:cstheme="minorHAnsi"/>
          <w:bCs/>
        </w:rPr>
      </w:pPr>
      <w:r w:rsidRPr="00C25D4E">
        <w:rPr>
          <w:rFonts w:asciiTheme="minorHAnsi" w:eastAsia="Calibri" w:hAnsiTheme="minorHAnsi" w:cstheme="minorHAnsi"/>
          <w:bCs/>
        </w:rPr>
        <w:t xml:space="preserve">- financijska imovina je alocirana u poslovni model čiji je cilj prikupljanje ugovorenih novčanih tokova i prodaja financijske imovine i </w:t>
      </w:r>
    </w:p>
    <w:p w:rsidR="002B5EA8" w:rsidRPr="00D57AB3" w:rsidRDefault="002B5EA8" w:rsidP="00D57AB3">
      <w:pPr>
        <w:pStyle w:val="ListParagraph"/>
        <w:keepNext/>
        <w:numPr>
          <w:ilvl w:val="0"/>
          <w:numId w:val="47"/>
        </w:numPr>
        <w:tabs>
          <w:tab w:val="left" w:pos="993"/>
        </w:tabs>
        <w:suppressAutoHyphens/>
        <w:autoSpaceDN w:val="0"/>
        <w:spacing w:line="276" w:lineRule="auto"/>
        <w:ind w:left="284"/>
        <w:jc w:val="both"/>
        <w:textAlignment w:val="baseline"/>
        <w:rPr>
          <w:rFonts w:asciiTheme="minorHAnsi" w:eastAsia="Calibri" w:hAnsiTheme="minorHAnsi" w:cstheme="minorHAnsi"/>
          <w:bCs/>
        </w:rPr>
      </w:pPr>
      <w:r w:rsidRPr="00C25D4E">
        <w:rPr>
          <w:rFonts w:asciiTheme="minorHAnsi" w:eastAsia="Calibri" w:hAnsiTheme="minorHAnsi" w:cstheme="minorHAnsi"/>
          <w:bCs/>
        </w:rPr>
        <w:t>- SPPI test je zadovoljen – za financijsku imovinu utvrđeni su novčani tokovi koji su samo   plaćanje glavnice i kamate na nepodmireni iznos glavnice.</w:t>
      </w:r>
    </w:p>
    <w:p w:rsidR="002B5EA8" w:rsidRPr="00C25D4E" w:rsidRDefault="002B5EA8" w:rsidP="00D57AB3">
      <w:pPr>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3) fer vrijednosti kroz dobit ili gubitak</w:t>
      </w:r>
    </w:p>
    <w:p w:rsidR="002B5EA8" w:rsidRPr="00E8056C" w:rsidRDefault="002B5EA8" w:rsidP="00D57AB3">
      <w:pPr>
        <w:keepNext/>
        <w:tabs>
          <w:tab w:val="left" w:pos="709"/>
          <w:tab w:val="left" w:pos="851"/>
          <w:tab w:val="left" w:pos="1985"/>
        </w:tabs>
        <w:suppressAutoHyphens/>
        <w:autoSpaceDN w:val="0"/>
        <w:spacing w:before="100" w:line="276" w:lineRule="auto"/>
        <w:ind w:right="-1"/>
        <w:jc w:val="both"/>
        <w:textAlignment w:val="baseline"/>
        <w:rPr>
          <w:rFonts w:asciiTheme="minorHAnsi" w:eastAsia="Calibri" w:hAnsiTheme="minorHAnsi" w:cstheme="minorHAnsi"/>
          <w:bCs/>
        </w:rPr>
      </w:pPr>
      <w:r w:rsidRPr="00C25D4E">
        <w:rPr>
          <w:rFonts w:asciiTheme="minorHAnsi" w:eastAsia="Calibri" w:hAnsiTheme="minorHAnsi" w:cstheme="minorHAnsi"/>
          <w:bCs/>
        </w:rPr>
        <w:t xml:space="preserve">Financijska imovina se naknadno mjeri po fer vrijednosti kroz dobit ili gubitak ako se naknadno ne mjeri po amortiziranom trošku ili po fer vrijednosti kroz ostalu sveobuhvatnu  dobit. Iznimno, za ulaganja u vlasničke instrumente koji bi se u protivnom mjerili po fer vrijednosti kroz </w:t>
      </w:r>
      <w:r>
        <w:rPr>
          <w:rFonts w:asciiTheme="minorHAnsi" w:eastAsia="Calibri" w:hAnsiTheme="minorHAnsi" w:cstheme="minorHAnsi"/>
          <w:bCs/>
        </w:rPr>
        <w:t>dobit il</w:t>
      </w:r>
      <w:r w:rsidRPr="00C25D4E">
        <w:rPr>
          <w:rFonts w:asciiTheme="minorHAnsi" w:eastAsia="Calibri" w:hAnsiTheme="minorHAnsi" w:cstheme="minorHAnsi"/>
          <w:bCs/>
        </w:rPr>
        <w:t>i gubit</w:t>
      </w:r>
      <w:r>
        <w:rPr>
          <w:rFonts w:asciiTheme="minorHAnsi" w:eastAsia="Calibri" w:hAnsiTheme="minorHAnsi" w:cstheme="minorHAnsi"/>
          <w:bCs/>
        </w:rPr>
        <w:t>a</w:t>
      </w:r>
      <w:r w:rsidRPr="00C25D4E">
        <w:rPr>
          <w:rFonts w:asciiTheme="minorHAnsi" w:eastAsia="Calibri" w:hAnsiTheme="minorHAnsi" w:cstheme="minorHAnsi"/>
          <w:bCs/>
        </w:rPr>
        <w:t xml:space="preserve">k, pri početnom priznavanju postoji mogućnost neopozive opcije iskazivanja promjena fer vrijednosti kroz ostalu sveobuhvatnu dobit. </w:t>
      </w:r>
      <w:r w:rsidRPr="00C25D4E">
        <w:rPr>
          <w:rFonts w:asciiTheme="minorHAnsi" w:eastAsia="Calibri" w:hAnsiTheme="minorHAnsi" w:cstheme="minorHAnsi"/>
        </w:rPr>
        <w:t xml:space="preserve">U tom slučaju rezerve priznate unutar ostale sveobuhvatne dobiti se nikada neće prenijeti u račun dobiti i gubitka, čak ni u slučaju prestanka priznavanja financijskog instrumenta (financijska imovina vrednovana po fer vrijednosti kroz ostalu sveobuhvatnu dobit bez „recycling-a”). </w:t>
      </w:r>
      <w:r w:rsidRPr="00C25D4E">
        <w:rPr>
          <w:rFonts w:asciiTheme="minorHAnsi" w:eastAsia="Calibri" w:hAnsiTheme="minorHAnsi" w:cstheme="minorHAnsi"/>
          <w:bCs/>
        </w:rPr>
        <w:t>Banka je ovu mogućnost iskoristila na dio vlasničkih instrumenata.</w:t>
      </w:r>
    </w:p>
    <w:p w:rsidR="002B5EA8" w:rsidRPr="00C25D4E" w:rsidRDefault="002B5EA8" w:rsidP="00D57AB3">
      <w:pPr>
        <w:suppressAutoHyphens/>
        <w:autoSpaceDN w:val="0"/>
        <w:spacing w:before="100" w:line="276" w:lineRule="auto"/>
        <w:jc w:val="both"/>
        <w:textAlignment w:val="baseline"/>
        <w:rPr>
          <w:rFonts w:asciiTheme="minorHAnsi" w:hAnsiTheme="minorHAnsi" w:cstheme="minorHAnsi"/>
          <w:b/>
          <w:i/>
          <w:lang w:eastAsia="hr-HR"/>
        </w:rPr>
      </w:pPr>
      <w:r w:rsidRPr="00C25D4E">
        <w:rPr>
          <w:rFonts w:asciiTheme="minorHAnsi" w:hAnsiTheme="minorHAnsi" w:cstheme="minorHAnsi"/>
          <w:b/>
          <w:i/>
          <w:lang w:eastAsia="hr-HR"/>
        </w:rPr>
        <w:t xml:space="preserve">Novčana sredstva i depoziti kod drugih banaka </w:t>
      </w:r>
    </w:p>
    <w:p w:rsidR="002B5EA8" w:rsidRPr="00C25D4E" w:rsidRDefault="002B5EA8" w:rsidP="00D57AB3">
      <w:pPr>
        <w:suppressAutoHyphens/>
        <w:autoSpaceDN w:val="0"/>
        <w:spacing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Stanje novčanih sredstava i depozita kod drugih banaka na kraju 2018. godine iznosi 1.203,00 milijuna kuna i čini 4,42 posto ukupne imovine te bilježi smanjenje od 15,89 posto u odnosu na prethodnu godinu kao rezultat prerasporeda sredstava rezerve likvidnosti.</w:t>
      </w:r>
    </w:p>
    <w:p w:rsidR="002B5EA8" w:rsidRPr="00C25D4E" w:rsidRDefault="002B5EA8" w:rsidP="00D57AB3">
      <w:pPr>
        <w:spacing w:before="100" w:line="276" w:lineRule="auto"/>
        <w:jc w:val="both"/>
        <w:rPr>
          <w:rFonts w:asciiTheme="minorHAnsi" w:hAnsiTheme="minorHAnsi" w:cstheme="minorHAnsi"/>
          <w:b/>
          <w:i/>
          <w:lang w:eastAsia="hr-HR"/>
        </w:rPr>
      </w:pPr>
      <w:r w:rsidRPr="00C25D4E">
        <w:rPr>
          <w:rFonts w:asciiTheme="minorHAnsi" w:hAnsiTheme="minorHAnsi" w:cstheme="minorHAnsi"/>
          <w:b/>
          <w:i/>
          <w:lang w:eastAsia="hr-HR"/>
        </w:rPr>
        <w:t xml:space="preserve">Krediti financijskim institucijama i ostalim korisnicima </w:t>
      </w:r>
    </w:p>
    <w:p w:rsidR="002B5EA8" w:rsidRPr="00C25D4E" w:rsidRDefault="002B5EA8" w:rsidP="00D57AB3">
      <w:pPr>
        <w:suppressAutoHyphens/>
        <w:autoSpaceDN w:val="0"/>
        <w:spacing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 xml:space="preserve">Ukupni neto krediti smanjeni su za 2,04 posto u odnosu na prošlu godinu te na kraju 2018. godine iznose 22.745,68 milijuna kuna i čine 83,63 posto ukupne imovine. </w:t>
      </w:r>
    </w:p>
    <w:p w:rsidR="002B5EA8" w:rsidRPr="00C25D4E" w:rsidRDefault="002B5EA8" w:rsidP="00D57AB3">
      <w:pPr>
        <w:suppressAutoHyphens/>
        <w:autoSpaceDN w:val="0"/>
        <w:spacing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Ukupni bruto krediti iskazani su u iznosu od 26.243,12 milijuna kuna i ostvareni su na nivou  prethodne godine. Bruto krediti ostalim korisnicima povećani su za 4,14 posto u odnosu na početak godine što je najvećim dijelom rezultat isplata po programima poticanja izvoza te kreditiranj</w:t>
      </w:r>
      <w:r>
        <w:rPr>
          <w:rFonts w:asciiTheme="minorHAnsi" w:eastAsia="Calibri" w:hAnsiTheme="minorHAnsi" w:cstheme="minorHAnsi"/>
          <w:spacing w:val="-3"/>
        </w:rPr>
        <w:t>a</w:t>
      </w:r>
      <w:r w:rsidRPr="00C25D4E">
        <w:rPr>
          <w:rFonts w:asciiTheme="minorHAnsi" w:eastAsia="Calibri" w:hAnsiTheme="minorHAnsi" w:cstheme="minorHAnsi"/>
          <w:spacing w:val="-3"/>
        </w:rPr>
        <w:t xml:space="preserve"> obnove i razvitka infrastrukture u RH. Bruto krediti financijskim institucijama smanjeni su za 6,52 posto u odnosu na prethodnu godinu kao rezultat prijevremenih otplata kredita.</w:t>
      </w:r>
    </w:p>
    <w:p w:rsidR="002B5EA8" w:rsidRPr="00C25D4E" w:rsidRDefault="002B5EA8" w:rsidP="00D57AB3">
      <w:pPr>
        <w:suppressAutoHyphens/>
        <w:autoSpaceDN w:val="0"/>
        <w:spacing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Na kraju 2018. godine odnos kreditnih bruto plasmana putem financijskih institucija i izravnih plasmana čini 39,45 posto : 60,55 posto.</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b/>
          <w:i/>
        </w:rPr>
      </w:pPr>
      <w:r w:rsidRPr="00C25D4E">
        <w:rPr>
          <w:rFonts w:asciiTheme="minorHAnsi" w:eastAsia="Calibri" w:hAnsiTheme="minorHAnsi" w:cstheme="minorHAnsi"/>
          <w:b/>
          <w:i/>
        </w:rPr>
        <w:t>Financijska imovina po fer vrijednosti kroz dobit ili gubitak</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 xml:space="preserve">U ovu imovinu klasificirani su krediti po fer vrijednosti (HBOR je odredio da se ovdje klasificiraju mezzanine krediti), ulaganja u investicijske fondove i dio vlasničkih instrumenata. Ukupan iznos ove imovine na dan 31. prosinca 2018. iznosi 330,80 milijuna kuna i čini 1,22 posto ukupne imovine. </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b/>
          <w:i/>
        </w:rPr>
      </w:pPr>
      <w:r w:rsidRPr="00C25D4E">
        <w:rPr>
          <w:rFonts w:asciiTheme="minorHAnsi" w:eastAsia="Calibri" w:hAnsiTheme="minorHAnsi" w:cstheme="minorHAnsi"/>
          <w:b/>
          <w:i/>
        </w:rPr>
        <w:t>Financijska imovina po fer vrijednosti kroz ostalu sveobuhvatnu dobit</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b/>
          <w:i/>
        </w:rPr>
      </w:pPr>
      <w:r w:rsidRPr="00C25D4E">
        <w:rPr>
          <w:rFonts w:asciiTheme="minorHAnsi" w:eastAsia="Calibri" w:hAnsiTheme="minorHAnsi" w:cstheme="minorHAnsi"/>
          <w:b/>
          <w:i/>
        </w:rPr>
        <w:t>a) Dužnički vrijednosni papiri</w:t>
      </w:r>
    </w:p>
    <w:p w:rsidR="002B5EA8" w:rsidRPr="00C25D4E" w:rsidRDefault="002B5EA8" w:rsidP="00D57AB3">
      <w:pPr>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U ovu imovinu klasificirane su obveznice Republike Hrvatske i trgovačkih društava i trezorski zapisi Ministarstva financija kao dio rezerve likvidnosti te na izvještajni datum iznose 2.766,36 milijuna kuna i čine 10,17 posto ukupne imovine. Umanjenje ove financijske imovine obračunava se primjenom modela očekivanih kreditnih gubitaka na način da se rezerv</w:t>
      </w:r>
      <w:r>
        <w:rPr>
          <w:rFonts w:asciiTheme="minorHAnsi" w:eastAsia="Calibri" w:hAnsiTheme="minorHAnsi" w:cstheme="minorHAnsi"/>
        </w:rPr>
        <w:t>iranja</w:t>
      </w:r>
      <w:r w:rsidRPr="00C25D4E">
        <w:rPr>
          <w:rFonts w:asciiTheme="minorHAnsi" w:eastAsia="Calibri" w:hAnsiTheme="minorHAnsi" w:cstheme="minorHAnsi"/>
        </w:rPr>
        <w:t xml:space="preserve"> za umanjenje vrijednosti priznaju na računima ostale sveobuhvatne dobiti i ne umanjuju knjigovodstveni iznos ove financijske imovine u izvještaju o financijskom položaju te na izvještajni datum u ostalim rezervama iznose 6,46 milijuna kuna.</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b/>
          <w:i/>
        </w:rPr>
      </w:pPr>
      <w:r w:rsidRPr="00C25D4E">
        <w:rPr>
          <w:rFonts w:asciiTheme="minorHAnsi" w:eastAsia="Calibri" w:hAnsiTheme="minorHAnsi" w:cstheme="minorHAnsi"/>
          <w:b/>
          <w:i/>
        </w:rPr>
        <w:t>b) Vlasnički vrijednosni papiri</w:t>
      </w:r>
    </w:p>
    <w:p w:rsidR="002B5EA8" w:rsidRPr="00C25D4E" w:rsidRDefault="002B5EA8" w:rsidP="00D57AB3">
      <w:pPr>
        <w:tabs>
          <w:tab w:val="left" w:pos="-720"/>
        </w:tabs>
        <w:suppressAutoHyphens/>
        <w:autoSpaceDN w:val="0"/>
        <w:spacing w:before="10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rPr>
        <w:t>U ovu imovinu klasificirani su vlasnički vrijednosni papiri (dionice trgovačkih društava) koje HBOR nema namjeru prodavati i na koje se primjenjuje neopoziva opcija naknadnog mjerenja fer vrijednosti kroz ostalu sveobuhvatnu dobit bez recikliranja, odnosno, rezerve priznate unutar ostale sveobuhvatne dobiti nikada se neće prenijeti u dobit ili gubitak.</w:t>
      </w:r>
    </w:p>
    <w:p w:rsidR="002B5EA8" w:rsidRPr="00C25D4E" w:rsidRDefault="002B5EA8" w:rsidP="00D57AB3">
      <w:pPr>
        <w:spacing w:before="100" w:line="276" w:lineRule="auto"/>
        <w:jc w:val="both"/>
        <w:rPr>
          <w:rFonts w:asciiTheme="minorHAnsi" w:hAnsiTheme="minorHAnsi" w:cstheme="minorHAnsi"/>
          <w:b/>
          <w:i/>
          <w:spacing w:val="-3"/>
          <w:lang w:eastAsia="hr-HR"/>
        </w:rPr>
      </w:pPr>
      <w:r w:rsidRPr="00C25D4E">
        <w:rPr>
          <w:rFonts w:asciiTheme="minorHAnsi" w:eastAsia="Calibri" w:hAnsiTheme="minorHAnsi" w:cstheme="minorHAnsi"/>
          <w:spacing w:val="-3"/>
        </w:rPr>
        <w:t>Ova imovina na izvještajni datum iznosi 25,71 milijuna kuna i čini 0,</w:t>
      </w:r>
      <w:r>
        <w:rPr>
          <w:rFonts w:asciiTheme="minorHAnsi" w:eastAsia="Calibri" w:hAnsiTheme="minorHAnsi" w:cstheme="minorHAnsi"/>
          <w:spacing w:val="-3"/>
        </w:rPr>
        <w:t>10</w:t>
      </w:r>
      <w:r w:rsidRPr="00C25D4E">
        <w:rPr>
          <w:rFonts w:asciiTheme="minorHAnsi" w:eastAsia="Calibri" w:hAnsiTheme="minorHAnsi" w:cstheme="minorHAnsi"/>
          <w:spacing w:val="-3"/>
        </w:rPr>
        <w:t xml:space="preserve"> posto ukupne imovine.</w:t>
      </w:r>
    </w:p>
    <w:p w:rsidR="002B5EA8" w:rsidRPr="00C25D4E" w:rsidRDefault="002B5EA8" w:rsidP="002B5EA8">
      <w:pPr>
        <w:tabs>
          <w:tab w:val="left" w:pos="-720"/>
        </w:tabs>
        <w:suppressAutoHyphens/>
        <w:spacing w:before="240" w:after="120" w:line="276" w:lineRule="auto"/>
        <w:ind w:left="-567" w:right="-284"/>
        <w:jc w:val="both"/>
        <w:rPr>
          <w:rFonts w:asciiTheme="minorHAnsi" w:hAnsiTheme="minorHAnsi" w:cstheme="minorHAnsi"/>
          <w:spacing w:val="-3"/>
        </w:rPr>
      </w:pPr>
      <w:r w:rsidRPr="00C25D4E">
        <w:rPr>
          <w:rFonts w:asciiTheme="minorHAnsi" w:hAnsiTheme="minorHAnsi" w:cstheme="minorHAnsi"/>
          <w:noProof/>
        </w:rPr>
        <w:drawing>
          <wp:inline distT="0" distB="0" distL="0" distR="0" wp14:anchorId="5A7F6A16" wp14:editId="6515C13B">
            <wp:extent cx="3006000" cy="3434400"/>
            <wp:effectExtent l="0" t="0" r="4445" b="0"/>
            <wp:docPr id="54" name="Chart 54">
              <a:extLst xmlns:a="http://schemas.openxmlformats.org/drawingml/2006/main">
                <a:ext uri="{FF2B5EF4-FFF2-40B4-BE49-F238E27FC236}">
                  <a16:creationId xmlns:a16="http://schemas.microsoft.com/office/drawing/2014/main" id="{2723DBFA-97B3-4BF3-8928-47F2669D78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C25D4E">
        <w:rPr>
          <w:rFonts w:asciiTheme="minorHAnsi" w:hAnsiTheme="minorHAnsi" w:cstheme="minorHAnsi"/>
          <w:spacing w:val="-3"/>
        </w:rPr>
        <w:t xml:space="preserve">   </w:t>
      </w:r>
      <w:r w:rsidRPr="00C25D4E">
        <w:rPr>
          <w:rFonts w:asciiTheme="minorHAnsi" w:hAnsiTheme="minorHAnsi" w:cstheme="minorHAnsi"/>
          <w:noProof/>
        </w:rPr>
        <w:drawing>
          <wp:inline distT="0" distB="0" distL="0" distR="0" wp14:anchorId="0EA2DC36" wp14:editId="18E6CD0D">
            <wp:extent cx="3006000" cy="3434400"/>
            <wp:effectExtent l="0" t="0" r="4445" b="0"/>
            <wp:docPr id="59" name="Chart 59">
              <a:extLst xmlns:a="http://schemas.openxmlformats.org/drawingml/2006/main">
                <a:ext uri="{FF2B5EF4-FFF2-40B4-BE49-F238E27FC236}">
                  <a16:creationId xmlns:a16="http://schemas.microsoft.com/office/drawing/2014/main" id="{88E5FEA4-2703-41FC-9FA0-90A0E349C3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B5EA8" w:rsidRPr="00C25D4E" w:rsidRDefault="002B5EA8" w:rsidP="002B5EA8">
      <w:pPr>
        <w:tabs>
          <w:tab w:val="left" w:pos="-720"/>
        </w:tabs>
        <w:suppressAutoHyphens/>
        <w:spacing w:before="240" w:after="120" w:line="276" w:lineRule="auto"/>
        <w:ind w:right="-284" w:hanging="567"/>
        <w:jc w:val="both"/>
        <w:rPr>
          <w:rFonts w:asciiTheme="minorHAnsi" w:hAnsiTheme="minorHAnsi" w:cstheme="minorHAnsi"/>
          <w:spacing w:val="-3"/>
        </w:rPr>
      </w:pPr>
      <w:r w:rsidRPr="00C25D4E">
        <w:rPr>
          <w:rFonts w:asciiTheme="minorHAnsi" w:hAnsiTheme="minorHAnsi" w:cstheme="minorHAnsi"/>
          <w:spacing w:val="-3"/>
        </w:rPr>
        <w:t xml:space="preserve">    </w:t>
      </w:r>
    </w:p>
    <w:p w:rsidR="00D57AB3" w:rsidRDefault="00D57AB3" w:rsidP="002B5EA8">
      <w:pPr>
        <w:tabs>
          <w:tab w:val="left" w:pos="-720"/>
        </w:tabs>
        <w:suppressAutoHyphens/>
        <w:spacing w:before="240" w:after="120" w:line="276" w:lineRule="auto"/>
        <w:jc w:val="both"/>
        <w:rPr>
          <w:rFonts w:asciiTheme="minorHAnsi" w:hAnsiTheme="minorHAnsi" w:cstheme="minorHAnsi"/>
          <w:b/>
          <w:i/>
          <w:spacing w:val="-3"/>
          <w:lang w:eastAsia="hr-HR"/>
        </w:rPr>
      </w:pPr>
      <w:r>
        <w:rPr>
          <w:rFonts w:asciiTheme="minorHAnsi" w:hAnsiTheme="minorHAnsi" w:cstheme="minorHAnsi"/>
          <w:b/>
          <w:i/>
          <w:spacing w:val="-3"/>
          <w:lang w:eastAsia="hr-HR"/>
        </w:rPr>
        <w:br w:type="page"/>
      </w:r>
    </w:p>
    <w:p w:rsidR="002B5EA8" w:rsidRPr="00C25D4E" w:rsidRDefault="002B5EA8" w:rsidP="002B5EA8">
      <w:pPr>
        <w:tabs>
          <w:tab w:val="left" w:pos="-720"/>
        </w:tabs>
        <w:suppressAutoHyphens/>
        <w:spacing w:before="240" w:after="120" w:line="276" w:lineRule="auto"/>
        <w:jc w:val="both"/>
        <w:rPr>
          <w:rFonts w:asciiTheme="minorHAnsi" w:hAnsiTheme="minorHAnsi" w:cstheme="minorHAnsi"/>
          <w:b/>
          <w:i/>
          <w:spacing w:val="-3"/>
          <w:lang w:eastAsia="hr-HR"/>
        </w:rPr>
      </w:pPr>
      <w:r w:rsidRPr="00C25D4E">
        <w:rPr>
          <w:rFonts w:asciiTheme="minorHAnsi" w:hAnsiTheme="minorHAnsi" w:cstheme="minorHAnsi"/>
          <w:b/>
          <w:i/>
          <w:spacing w:val="-3"/>
          <w:lang w:eastAsia="hr-HR"/>
        </w:rPr>
        <w:t xml:space="preserve">Ukupne obveze </w:t>
      </w:r>
    </w:p>
    <w:p w:rsidR="002B5EA8" w:rsidRPr="00C25D4E" w:rsidRDefault="002B5EA8" w:rsidP="002B5EA8">
      <w:pPr>
        <w:tabs>
          <w:tab w:val="left" w:pos="-720"/>
        </w:tabs>
        <w:suppressAutoHyphens/>
        <w:autoSpaceDN w:val="0"/>
        <w:spacing w:before="240" w:after="12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 xml:space="preserve">Stanje ukupnih obveza na kraju 2018. godine iznosi 17.144,92 milijuna kuna i čini 63,04 posto ukupnih obveza i kapitala i rezervi. Najveći iznos ukupnih obveza čine kreditna zaduženja HBOR-a u inozemstvu i obveze po izdanim obveznicama u ukupnom iznosu od 16.028,55 milijuna kuna. </w:t>
      </w:r>
    </w:p>
    <w:p w:rsidR="002B5EA8" w:rsidRPr="00C25D4E" w:rsidRDefault="002B5EA8" w:rsidP="002B5EA8">
      <w:pPr>
        <w:tabs>
          <w:tab w:val="left" w:pos="-720"/>
        </w:tabs>
        <w:suppressAutoHyphens/>
        <w:autoSpaceDN w:val="0"/>
        <w:spacing w:before="240" w:after="12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Obveze po kreditima i izdanim dugoročnim vrijednosnim papirima smanjene su u odnosu na početak godine za 3,15 posto, a promjene po ovim obvezama daju se u tabeli u nastavku:</w:t>
      </w:r>
    </w:p>
    <w:tbl>
      <w:tblPr>
        <w:tblW w:w="9063" w:type="dxa"/>
        <w:tblCellMar>
          <w:left w:w="10" w:type="dxa"/>
          <w:right w:w="10" w:type="dxa"/>
        </w:tblCellMar>
        <w:tblLook w:val="0000" w:firstRow="0" w:lastRow="0" w:firstColumn="0" w:lastColumn="0" w:noHBand="0" w:noVBand="0"/>
      </w:tblPr>
      <w:tblGrid>
        <w:gridCol w:w="6379"/>
        <w:gridCol w:w="2684"/>
      </w:tblGrid>
      <w:tr w:rsidR="002B5EA8" w:rsidRPr="00C25D4E" w:rsidTr="00D03AAE">
        <w:trPr>
          <w:trHeight w:val="295"/>
        </w:trPr>
        <w:tc>
          <w:tcPr>
            <w:tcW w:w="6379" w:type="dxa"/>
            <w:shd w:val="clear" w:color="auto" w:fill="auto"/>
            <w:tcMar>
              <w:top w:w="0" w:type="dxa"/>
              <w:left w:w="108" w:type="dxa"/>
              <w:bottom w:w="0" w:type="dxa"/>
              <w:right w:w="108" w:type="dxa"/>
            </w:tcMar>
            <w:vAlign w:val="bottom"/>
          </w:tcPr>
          <w:p w:rsidR="002B5EA8" w:rsidRPr="00C25D4E" w:rsidRDefault="002B5EA8" w:rsidP="00D57AB3">
            <w:pPr>
              <w:tabs>
                <w:tab w:val="left" w:pos="-720"/>
              </w:tabs>
              <w:suppressAutoHyphens/>
              <w:autoSpaceDN w:val="0"/>
              <w:spacing w:line="276" w:lineRule="auto"/>
              <w:rPr>
                <w:rFonts w:asciiTheme="minorHAnsi" w:eastAsia="Calibri" w:hAnsiTheme="minorHAnsi" w:cstheme="minorHAnsi"/>
                <w:spacing w:val="-3"/>
              </w:rPr>
            </w:pPr>
          </w:p>
        </w:tc>
        <w:tc>
          <w:tcPr>
            <w:tcW w:w="2684" w:type="dxa"/>
            <w:shd w:val="clear" w:color="auto" w:fill="auto"/>
            <w:tcMar>
              <w:top w:w="0" w:type="dxa"/>
              <w:left w:w="108" w:type="dxa"/>
              <w:bottom w:w="0" w:type="dxa"/>
              <w:right w:w="108" w:type="dxa"/>
            </w:tcMar>
            <w:vAlign w:val="bottom"/>
          </w:tcPr>
          <w:p w:rsidR="002B5EA8" w:rsidRPr="00C25D4E" w:rsidRDefault="002B5EA8" w:rsidP="00D57AB3">
            <w:pPr>
              <w:tabs>
                <w:tab w:val="left" w:pos="-720"/>
              </w:tabs>
              <w:suppressAutoHyphens/>
              <w:autoSpaceDN w:val="0"/>
              <w:spacing w:line="276" w:lineRule="auto"/>
              <w:jc w:val="right"/>
              <w:rPr>
                <w:rFonts w:asciiTheme="minorHAnsi" w:eastAsia="Calibri" w:hAnsiTheme="minorHAnsi" w:cstheme="minorHAnsi"/>
                <w:spacing w:val="-3"/>
              </w:rPr>
            </w:pPr>
            <w:r w:rsidRPr="00C25D4E">
              <w:rPr>
                <w:rFonts w:asciiTheme="minorHAnsi" w:eastAsia="Calibri" w:hAnsiTheme="minorHAnsi" w:cstheme="minorHAnsi"/>
                <w:spacing w:val="-3"/>
              </w:rPr>
              <w:t>(u milijunima kuna)</w:t>
            </w:r>
          </w:p>
        </w:tc>
      </w:tr>
      <w:tr w:rsidR="002B5EA8" w:rsidRPr="00C25D4E" w:rsidTr="00D03AAE">
        <w:tc>
          <w:tcPr>
            <w:tcW w:w="6379" w:type="dxa"/>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rPr>
                <w:rFonts w:asciiTheme="minorHAnsi" w:eastAsia="Calibri" w:hAnsiTheme="minorHAnsi" w:cstheme="minorHAnsi"/>
                <w:spacing w:val="-3"/>
              </w:rPr>
            </w:pPr>
            <w:r w:rsidRPr="00C25D4E">
              <w:rPr>
                <w:rFonts w:asciiTheme="minorHAnsi" w:eastAsia="Calibri" w:hAnsiTheme="minorHAnsi" w:cstheme="minorHAnsi"/>
                <w:spacing w:val="-3"/>
              </w:rPr>
              <w:t xml:space="preserve">- povlačenje sredstava zaduženja po ranije ugovorenim sredstvima posebnih financijskih institucija </w:t>
            </w:r>
          </w:p>
        </w:tc>
        <w:tc>
          <w:tcPr>
            <w:tcW w:w="2684" w:type="dxa"/>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right"/>
              <w:rPr>
                <w:rFonts w:asciiTheme="minorHAnsi" w:eastAsia="Calibri" w:hAnsiTheme="minorHAnsi" w:cstheme="minorHAnsi"/>
                <w:spacing w:val="-3"/>
              </w:rPr>
            </w:pPr>
          </w:p>
          <w:p w:rsidR="002B5EA8" w:rsidRPr="00C25D4E" w:rsidRDefault="002B5EA8" w:rsidP="00D57AB3">
            <w:pPr>
              <w:tabs>
                <w:tab w:val="left" w:pos="-720"/>
              </w:tabs>
              <w:suppressAutoHyphens/>
              <w:autoSpaceDN w:val="0"/>
              <w:spacing w:line="276" w:lineRule="auto"/>
              <w:jc w:val="right"/>
              <w:rPr>
                <w:rFonts w:asciiTheme="minorHAnsi" w:eastAsia="Calibri" w:hAnsiTheme="minorHAnsi" w:cstheme="minorHAnsi"/>
                <w:spacing w:val="-3"/>
              </w:rPr>
            </w:pPr>
            <w:r w:rsidRPr="00C25D4E">
              <w:rPr>
                <w:rFonts w:asciiTheme="minorHAnsi" w:eastAsia="Calibri" w:hAnsiTheme="minorHAnsi" w:cstheme="minorHAnsi"/>
                <w:spacing w:val="-3"/>
              </w:rPr>
              <w:t>2.284,76</w:t>
            </w:r>
          </w:p>
        </w:tc>
      </w:tr>
      <w:tr w:rsidR="002B5EA8" w:rsidRPr="00C25D4E" w:rsidTr="00D03AAE">
        <w:tc>
          <w:tcPr>
            <w:tcW w:w="6379" w:type="dxa"/>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both"/>
              <w:rPr>
                <w:rFonts w:asciiTheme="minorHAnsi" w:eastAsia="Calibri" w:hAnsiTheme="minorHAnsi" w:cstheme="minorHAnsi"/>
                <w:spacing w:val="-3"/>
              </w:rPr>
            </w:pPr>
            <w:r w:rsidRPr="00C25D4E">
              <w:rPr>
                <w:rFonts w:asciiTheme="minorHAnsi" w:eastAsia="Calibri" w:hAnsiTheme="minorHAnsi" w:cstheme="minorHAnsi"/>
                <w:spacing w:val="-3"/>
              </w:rPr>
              <w:t>- otplate zaduženja</w:t>
            </w:r>
          </w:p>
        </w:tc>
        <w:tc>
          <w:tcPr>
            <w:tcW w:w="2684" w:type="dxa"/>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right"/>
              <w:rPr>
                <w:rFonts w:asciiTheme="minorHAnsi" w:eastAsia="Calibri" w:hAnsiTheme="minorHAnsi" w:cstheme="minorHAnsi"/>
                <w:spacing w:val="-3"/>
              </w:rPr>
            </w:pPr>
            <w:r w:rsidRPr="00C25D4E">
              <w:rPr>
                <w:rFonts w:asciiTheme="minorHAnsi" w:eastAsia="Calibri" w:hAnsiTheme="minorHAnsi" w:cstheme="minorHAnsi"/>
                <w:spacing w:val="-3"/>
              </w:rPr>
              <w:t>(2.658,94)</w:t>
            </w:r>
          </w:p>
        </w:tc>
      </w:tr>
      <w:tr w:rsidR="002B5EA8" w:rsidRPr="00C25D4E" w:rsidTr="00D03AAE">
        <w:tc>
          <w:tcPr>
            <w:tcW w:w="6379" w:type="dxa"/>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both"/>
              <w:rPr>
                <w:rFonts w:asciiTheme="minorHAnsi" w:eastAsia="Calibri" w:hAnsiTheme="minorHAnsi" w:cstheme="minorHAnsi"/>
              </w:rPr>
            </w:pPr>
            <w:r w:rsidRPr="00C25D4E">
              <w:rPr>
                <w:rFonts w:asciiTheme="minorHAnsi" w:eastAsia="Calibri" w:hAnsiTheme="minorHAnsi" w:cstheme="minorHAnsi"/>
                <w:spacing w:val="-3"/>
              </w:rPr>
              <w:t>- tečajne razlike</w:t>
            </w:r>
          </w:p>
        </w:tc>
        <w:tc>
          <w:tcPr>
            <w:tcW w:w="2684" w:type="dxa"/>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right"/>
              <w:rPr>
                <w:rFonts w:asciiTheme="minorHAnsi" w:eastAsia="Calibri" w:hAnsiTheme="minorHAnsi" w:cstheme="minorHAnsi"/>
                <w:spacing w:val="-3"/>
              </w:rPr>
            </w:pPr>
            <w:r w:rsidRPr="00C25D4E">
              <w:rPr>
                <w:rFonts w:asciiTheme="minorHAnsi" w:eastAsia="Calibri" w:hAnsiTheme="minorHAnsi" w:cstheme="minorHAnsi"/>
                <w:spacing w:val="-3"/>
              </w:rPr>
              <w:t>(176,60)</w:t>
            </w:r>
          </w:p>
        </w:tc>
      </w:tr>
      <w:tr w:rsidR="002B5EA8" w:rsidRPr="00C25D4E" w:rsidTr="00D03AAE">
        <w:tc>
          <w:tcPr>
            <w:tcW w:w="6379" w:type="dxa"/>
            <w:tcBorders>
              <w:bottom w:val="single" w:sz="4" w:space="0" w:color="000000"/>
            </w:tcBorders>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both"/>
              <w:rPr>
                <w:rFonts w:asciiTheme="minorHAnsi" w:eastAsia="Calibri" w:hAnsiTheme="minorHAnsi" w:cstheme="minorHAnsi"/>
                <w:spacing w:val="-3"/>
              </w:rPr>
            </w:pPr>
            <w:r w:rsidRPr="00C25D4E">
              <w:rPr>
                <w:rFonts w:asciiTheme="minorHAnsi" w:eastAsia="Calibri" w:hAnsiTheme="minorHAnsi" w:cstheme="minorHAnsi"/>
                <w:spacing w:val="-3"/>
              </w:rPr>
              <w:t>- ostali obračuni*</w:t>
            </w:r>
          </w:p>
        </w:tc>
        <w:tc>
          <w:tcPr>
            <w:tcW w:w="2684" w:type="dxa"/>
            <w:tcBorders>
              <w:bottom w:val="single" w:sz="4" w:space="0" w:color="000000"/>
            </w:tcBorders>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right"/>
              <w:rPr>
                <w:rFonts w:asciiTheme="minorHAnsi" w:eastAsia="Calibri" w:hAnsiTheme="minorHAnsi" w:cstheme="minorHAnsi"/>
                <w:spacing w:val="-3"/>
              </w:rPr>
            </w:pPr>
            <w:r w:rsidRPr="00C25D4E">
              <w:rPr>
                <w:rFonts w:asciiTheme="minorHAnsi" w:eastAsia="Calibri" w:hAnsiTheme="minorHAnsi" w:cstheme="minorHAnsi"/>
                <w:spacing w:val="-3"/>
              </w:rPr>
              <w:t>29,75</w:t>
            </w:r>
          </w:p>
        </w:tc>
      </w:tr>
      <w:tr w:rsidR="002B5EA8" w:rsidRPr="00C25D4E" w:rsidTr="00D03AAE">
        <w:tc>
          <w:tcPr>
            <w:tcW w:w="6379" w:type="dxa"/>
            <w:tcBorders>
              <w:top w:val="single" w:sz="4" w:space="0" w:color="000000"/>
            </w:tcBorders>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both"/>
              <w:rPr>
                <w:rFonts w:asciiTheme="minorHAnsi" w:eastAsia="Calibri" w:hAnsiTheme="minorHAnsi" w:cstheme="minorHAnsi"/>
                <w:b/>
                <w:spacing w:val="-3"/>
              </w:rPr>
            </w:pPr>
            <w:r w:rsidRPr="00C25D4E">
              <w:rPr>
                <w:rFonts w:asciiTheme="minorHAnsi" w:eastAsia="Calibri" w:hAnsiTheme="minorHAnsi" w:cstheme="minorHAnsi"/>
                <w:b/>
                <w:spacing w:val="-3"/>
              </w:rPr>
              <w:t>Ukupno promjene</w:t>
            </w:r>
          </w:p>
        </w:tc>
        <w:tc>
          <w:tcPr>
            <w:tcW w:w="2684" w:type="dxa"/>
            <w:tcBorders>
              <w:top w:val="single" w:sz="4" w:space="0" w:color="000000"/>
            </w:tcBorders>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right"/>
              <w:rPr>
                <w:rFonts w:asciiTheme="minorHAnsi" w:eastAsia="Calibri" w:hAnsiTheme="minorHAnsi" w:cstheme="minorHAnsi"/>
                <w:b/>
                <w:spacing w:val="-3"/>
              </w:rPr>
            </w:pPr>
            <w:r w:rsidRPr="00C25D4E">
              <w:rPr>
                <w:rFonts w:asciiTheme="minorHAnsi" w:eastAsia="Calibri" w:hAnsiTheme="minorHAnsi" w:cstheme="minorHAnsi"/>
                <w:b/>
                <w:spacing w:val="-3"/>
              </w:rPr>
              <w:t>(521,03)</w:t>
            </w:r>
          </w:p>
        </w:tc>
      </w:tr>
      <w:tr w:rsidR="002B5EA8" w:rsidRPr="00C25D4E" w:rsidTr="00D03AAE">
        <w:tc>
          <w:tcPr>
            <w:tcW w:w="6379" w:type="dxa"/>
            <w:tcBorders>
              <w:top w:val="single" w:sz="4" w:space="0" w:color="000000"/>
            </w:tcBorders>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both"/>
              <w:rPr>
                <w:rFonts w:asciiTheme="minorHAnsi" w:eastAsia="Calibri" w:hAnsiTheme="minorHAnsi" w:cstheme="minorHAnsi"/>
                <w:b/>
                <w:spacing w:val="-3"/>
                <w:sz w:val="16"/>
                <w:szCs w:val="16"/>
              </w:rPr>
            </w:pPr>
          </w:p>
        </w:tc>
        <w:tc>
          <w:tcPr>
            <w:tcW w:w="2684" w:type="dxa"/>
            <w:tcBorders>
              <w:top w:val="single" w:sz="4" w:space="0" w:color="000000"/>
            </w:tcBorders>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right"/>
              <w:rPr>
                <w:rFonts w:asciiTheme="minorHAnsi" w:eastAsia="Calibri" w:hAnsiTheme="minorHAnsi" w:cstheme="minorHAnsi"/>
                <w:b/>
                <w:spacing w:val="-3"/>
                <w:sz w:val="16"/>
                <w:szCs w:val="16"/>
              </w:rPr>
            </w:pPr>
          </w:p>
        </w:tc>
      </w:tr>
      <w:tr w:rsidR="002B5EA8" w:rsidRPr="00C25D4E" w:rsidTr="00D03AAE">
        <w:tc>
          <w:tcPr>
            <w:tcW w:w="9063" w:type="dxa"/>
            <w:gridSpan w:val="2"/>
            <w:shd w:val="clear" w:color="auto" w:fill="auto"/>
            <w:tcMar>
              <w:top w:w="0" w:type="dxa"/>
              <w:left w:w="108" w:type="dxa"/>
              <w:bottom w:w="0" w:type="dxa"/>
              <w:right w:w="108" w:type="dxa"/>
            </w:tcMar>
          </w:tcPr>
          <w:p w:rsidR="002B5EA8" w:rsidRPr="00C25D4E" w:rsidRDefault="002B5EA8" w:rsidP="00D57AB3">
            <w:pPr>
              <w:tabs>
                <w:tab w:val="left" w:pos="-720"/>
              </w:tabs>
              <w:suppressAutoHyphens/>
              <w:autoSpaceDN w:val="0"/>
              <w:spacing w:line="276" w:lineRule="auto"/>
              <w:jc w:val="both"/>
              <w:rPr>
                <w:rFonts w:asciiTheme="minorHAnsi" w:eastAsia="Calibri" w:hAnsiTheme="minorHAnsi" w:cstheme="minorHAnsi"/>
                <w:i/>
                <w:spacing w:val="-3"/>
                <w:sz w:val="20"/>
                <w:szCs w:val="20"/>
              </w:rPr>
            </w:pPr>
            <w:r w:rsidRPr="00C25D4E">
              <w:rPr>
                <w:rFonts w:asciiTheme="minorHAnsi" w:eastAsia="Calibri" w:hAnsiTheme="minorHAnsi" w:cstheme="minorHAnsi"/>
                <w:i/>
                <w:spacing w:val="-3"/>
                <w:sz w:val="20"/>
                <w:szCs w:val="20"/>
              </w:rPr>
              <w:t>*Ostali obračuni odnose se na promjene diskonta, promjene iznosa nedospjele kamate i odgođene naknade.</w:t>
            </w:r>
          </w:p>
        </w:tc>
      </w:tr>
    </w:tbl>
    <w:p w:rsidR="002B5EA8" w:rsidRPr="00C25D4E" w:rsidRDefault="002B5EA8" w:rsidP="002B5EA8">
      <w:pPr>
        <w:suppressAutoHyphens/>
        <w:autoSpaceDN w:val="0"/>
        <w:spacing w:before="240" w:after="120" w:line="276" w:lineRule="auto"/>
        <w:jc w:val="both"/>
        <w:textAlignment w:val="baseline"/>
        <w:rPr>
          <w:rFonts w:asciiTheme="minorHAnsi" w:eastAsia="Calibri" w:hAnsiTheme="minorHAnsi" w:cstheme="minorHAnsi"/>
        </w:rPr>
      </w:pPr>
      <w:r w:rsidRPr="00C25D4E">
        <w:rPr>
          <w:rFonts w:asciiTheme="minorHAnsi" w:eastAsia="Calibri" w:hAnsiTheme="minorHAnsi" w:cstheme="minorHAnsi"/>
          <w:spacing w:val="-3"/>
        </w:rPr>
        <w:t xml:space="preserve">HBOR je tijekom 2018. godine nastavio s pribavljanjem namjenskih sredstava posebnih financijskih institucija te je dana 6. ožujka 2018. </w:t>
      </w:r>
      <w:r w:rsidRPr="00C25D4E">
        <w:rPr>
          <w:rFonts w:asciiTheme="minorHAnsi" w:eastAsia="Calibri" w:hAnsiTheme="minorHAnsi" w:cstheme="minorHAnsi"/>
        </w:rPr>
        <w:t xml:space="preserve">s Europskom investicijskom bankom </w:t>
      </w:r>
      <w:r w:rsidRPr="00C25D4E">
        <w:rPr>
          <w:rFonts w:asciiTheme="minorHAnsi" w:eastAsia="Calibri" w:hAnsiTheme="minorHAnsi" w:cstheme="minorHAnsi"/>
          <w:spacing w:val="-3"/>
        </w:rPr>
        <w:t xml:space="preserve">zaključio ugovor o kreditu </w:t>
      </w:r>
      <w:r w:rsidRPr="00C25D4E">
        <w:rPr>
          <w:rFonts w:asciiTheme="minorHAnsi" w:eastAsia="Calibri" w:hAnsiTheme="minorHAnsi" w:cstheme="minorHAnsi"/>
        </w:rPr>
        <w:t xml:space="preserve">u iznosu od </w:t>
      </w:r>
      <w:r w:rsidRPr="002D2F9B">
        <w:rPr>
          <w:rFonts w:asciiTheme="minorHAnsi" w:eastAsia="Calibri" w:hAnsiTheme="minorHAnsi" w:cstheme="minorHAnsi"/>
        </w:rPr>
        <w:t>15</w:t>
      </w:r>
      <w:r>
        <w:rPr>
          <w:rFonts w:asciiTheme="minorHAnsi" w:eastAsia="Calibri" w:hAnsiTheme="minorHAnsi" w:cstheme="minorHAnsi"/>
        </w:rPr>
        <w:t xml:space="preserve"> </w:t>
      </w:r>
      <w:r w:rsidRPr="002D2F9B">
        <w:rPr>
          <w:rFonts w:asciiTheme="minorHAnsi" w:eastAsia="Calibri" w:hAnsiTheme="minorHAnsi" w:cstheme="minorHAnsi"/>
        </w:rPr>
        <w:t>milijuna eura</w:t>
      </w:r>
      <w:r w:rsidRPr="00C25D4E">
        <w:rPr>
          <w:rFonts w:asciiTheme="minorHAnsi" w:eastAsia="Calibri" w:hAnsiTheme="minorHAnsi" w:cstheme="minorHAnsi"/>
        </w:rPr>
        <w:t xml:space="preserve"> za financiranje zelenih projekata (Natural Capital Financing Facility – NCFF). NCFF je financijski instrument koji kombinira sredstva EIB-a i Europske komisije iz LIFE programa (</w:t>
      </w:r>
      <w:r w:rsidRPr="00C25D4E">
        <w:rPr>
          <w:rFonts w:asciiTheme="minorHAnsi" w:eastAsia="Calibri" w:hAnsiTheme="minorHAnsi" w:cstheme="minorHAnsi"/>
          <w:i/>
          <w:iCs/>
        </w:rPr>
        <w:t>Programme for the Environment and Climate Action</w:t>
      </w:r>
      <w:r w:rsidRPr="00C25D4E">
        <w:rPr>
          <w:rFonts w:asciiTheme="minorHAnsi" w:eastAsia="Calibri" w:hAnsiTheme="minorHAnsi" w:cstheme="minorHAnsi"/>
        </w:rPr>
        <w:t>), a s ciljem pružanja potpore projektima za koje se očekuje da će imati pozitivan utjecaj na bioraznolikost i/ili prilagodbu klimatskim promjenama.</w:t>
      </w:r>
    </w:p>
    <w:p w:rsidR="002B5EA8" w:rsidRPr="00C25D4E" w:rsidRDefault="002B5EA8" w:rsidP="002B5EA8">
      <w:pPr>
        <w:tabs>
          <w:tab w:val="left" w:pos="-720"/>
        </w:tabs>
        <w:suppressAutoHyphens/>
        <w:spacing w:before="240" w:after="120" w:line="276" w:lineRule="auto"/>
        <w:jc w:val="both"/>
        <w:rPr>
          <w:rFonts w:asciiTheme="minorHAnsi" w:hAnsiTheme="minorHAnsi" w:cstheme="minorHAnsi"/>
          <w:spacing w:val="-3"/>
          <w:lang w:eastAsia="hr-HR"/>
        </w:rPr>
      </w:pPr>
      <w:r w:rsidRPr="00C25D4E">
        <w:rPr>
          <w:rFonts w:asciiTheme="minorHAnsi" w:hAnsiTheme="minorHAnsi" w:cstheme="minorHAnsi"/>
          <w:spacing w:val="-3"/>
          <w:lang w:eastAsia="hr-HR"/>
        </w:rPr>
        <w:t xml:space="preserve">Nadalje, u rujnu 2018. godine zaključen je drugi ugovor s Europskom investicijskom bankom u visini od </w:t>
      </w:r>
      <w:r w:rsidRPr="002D2F9B">
        <w:rPr>
          <w:rFonts w:asciiTheme="minorHAnsi" w:hAnsiTheme="minorHAnsi" w:cstheme="minorHAnsi"/>
          <w:spacing w:val="-3"/>
          <w:lang w:eastAsia="hr-HR"/>
        </w:rPr>
        <w:t>40</w:t>
      </w:r>
      <w:r>
        <w:rPr>
          <w:rFonts w:asciiTheme="minorHAnsi" w:hAnsiTheme="minorHAnsi" w:cstheme="minorHAnsi"/>
          <w:spacing w:val="-3"/>
          <w:lang w:eastAsia="hr-HR"/>
        </w:rPr>
        <w:t xml:space="preserve"> </w:t>
      </w:r>
      <w:r w:rsidRPr="002D2F9B">
        <w:rPr>
          <w:rFonts w:asciiTheme="minorHAnsi" w:hAnsiTheme="minorHAnsi" w:cstheme="minorHAnsi"/>
          <w:spacing w:val="-3"/>
          <w:lang w:eastAsia="hr-HR"/>
        </w:rPr>
        <w:t>milijuna eura</w:t>
      </w:r>
      <w:r w:rsidRPr="00C25D4E">
        <w:rPr>
          <w:rFonts w:asciiTheme="minorHAnsi" w:hAnsiTheme="minorHAnsi" w:cstheme="minorHAnsi"/>
          <w:spacing w:val="-3"/>
          <w:lang w:eastAsia="hr-HR"/>
        </w:rPr>
        <w:t xml:space="preserve"> za financiranje projekta iz turističkog sektora.</w:t>
      </w:r>
    </w:p>
    <w:p w:rsidR="002B5EA8" w:rsidRPr="00C25D4E" w:rsidRDefault="002B5EA8" w:rsidP="002B5EA8">
      <w:pPr>
        <w:tabs>
          <w:tab w:val="left" w:pos="-720"/>
        </w:tabs>
        <w:suppressAutoHyphens/>
        <w:spacing w:before="240" w:after="120" w:line="276" w:lineRule="auto"/>
        <w:jc w:val="both"/>
        <w:rPr>
          <w:rFonts w:asciiTheme="minorHAnsi" w:hAnsiTheme="minorHAnsi" w:cstheme="minorHAnsi"/>
          <w:b/>
          <w:i/>
          <w:spacing w:val="-3"/>
          <w:lang w:eastAsia="hr-HR"/>
        </w:rPr>
      </w:pPr>
      <w:r w:rsidRPr="00C25D4E">
        <w:rPr>
          <w:rFonts w:asciiTheme="minorHAnsi" w:hAnsiTheme="minorHAnsi" w:cstheme="minorHAnsi"/>
          <w:b/>
          <w:i/>
          <w:spacing w:val="-3"/>
          <w:lang w:eastAsia="hr-HR"/>
        </w:rPr>
        <w:t xml:space="preserve">Ukupni kapital i rezerve </w:t>
      </w:r>
    </w:p>
    <w:p w:rsidR="002B5EA8" w:rsidRPr="00C25D4E" w:rsidRDefault="002B5EA8" w:rsidP="002B5EA8">
      <w:pPr>
        <w:suppressAutoHyphens/>
        <w:autoSpaceDN w:val="0"/>
        <w:spacing w:before="240" w:after="120" w:line="276" w:lineRule="auto"/>
        <w:jc w:val="both"/>
        <w:textAlignment w:val="baseline"/>
        <w:rPr>
          <w:rFonts w:asciiTheme="minorHAnsi" w:hAnsiTheme="minorHAnsi" w:cstheme="minorHAnsi"/>
          <w:spacing w:val="-3"/>
          <w:lang w:eastAsia="hr-HR"/>
        </w:rPr>
      </w:pPr>
      <w:r w:rsidRPr="00C25D4E">
        <w:rPr>
          <w:rFonts w:asciiTheme="minorHAnsi" w:hAnsiTheme="minorHAnsi" w:cstheme="minorHAnsi"/>
          <w:spacing w:val="-3"/>
          <w:lang w:eastAsia="hr-HR"/>
        </w:rPr>
        <w:t>Od ukupnog iznosa ukupnih obveza i kapitala i rezervi na ukupni kapital i rezerve se odnosi 10</w:t>
      </w:r>
      <w:r>
        <w:rPr>
          <w:rFonts w:asciiTheme="minorHAnsi" w:hAnsiTheme="minorHAnsi" w:cstheme="minorHAnsi"/>
          <w:spacing w:val="-3"/>
          <w:lang w:eastAsia="hr-HR"/>
        </w:rPr>
        <w:t>.054,01 milijuna</w:t>
      </w:r>
      <w:r w:rsidRPr="00C25D4E">
        <w:rPr>
          <w:rFonts w:asciiTheme="minorHAnsi" w:hAnsiTheme="minorHAnsi" w:cstheme="minorHAnsi"/>
          <w:spacing w:val="-3"/>
          <w:lang w:eastAsia="hr-HR"/>
        </w:rPr>
        <w:t xml:space="preserve"> kuna ili 36,96 posto.</w:t>
      </w:r>
    </w:p>
    <w:p w:rsidR="002B5EA8" w:rsidRPr="00C25D4E" w:rsidRDefault="002B5EA8" w:rsidP="002B5EA8">
      <w:pPr>
        <w:tabs>
          <w:tab w:val="left" w:pos="-720"/>
        </w:tabs>
        <w:suppressAutoHyphens/>
        <w:autoSpaceDN w:val="0"/>
        <w:spacing w:before="240" w:after="12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Ukupan kapital i rezerve HBOR-a čine osnivački kapital uplaćen iz proračuna Republike Hrvatske, zadržana dobit formirana iz ostvarene dobiti u prethodnim godinama, ostale rezerve, Garantni fond te dobit tekuće</w:t>
      </w:r>
      <w:r>
        <w:rPr>
          <w:rFonts w:asciiTheme="minorHAnsi" w:eastAsia="Calibri" w:hAnsiTheme="minorHAnsi" w:cstheme="minorHAnsi"/>
          <w:spacing w:val="-3"/>
        </w:rPr>
        <w:t xml:space="preserve"> godine</w:t>
      </w:r>
      <w:r w:rsidRPr="00C25D4E">
        <w:rPr>
          <w:rFonts w:asciiTheme="minorHAnsi" w:eastAsia="Calibri" w:hAnsiTheme="minorHAnsi" w:cstheme="minorHAnsi"/>
          <w:spacing w:val="-3"/>
        </w:rPr>
        <w:t xml:space="preserve">. </w:t>
      </w:r>
    </w:p>
    <w:p w:rsidR="002B5EA8" w:rsidRPr="00C25D4E" w:rsidRDefault="002B5EA8" w:rsidP="002B5EA8">
      <w:pPr>
        <w:tabs>
          <w:tab w:val="left" w:pos="-720"/>
        </w:tabs>
        <w:suppressAutoHyphens/>
        <w:autoSpaceDN w:val="0"/>
        <w:spacing w:before="240" w:after="12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U izvještajnom razdoblju je iz proračuna Republike Hrvatske u osnivački kapital uplaćeno 50,00 milijuna kuna, tako da na kraju 2018. godine ukupno uplaćeni kapital iz proračuna Republike Hrvatske iznosi 6</w:t>
      </w:r>
      <w:r>
        <w:rPr>
          <w:rFonts w:asciiTheme="minorHAnsi" w:eastAsia="Calibri" w:hAnsiTheme="minorHAnsi" w:cstheme="minorHAnsi"/>
          <w:spacing w:val="-3"/>
        </w:rPr>
        <w:t xml:space="preserve">.633,00 milijuna </w:t>
      </w:r>
      <w:r w:rsidRPr="00C25D4E">
        <w:rPr>
          <w:rFonts w:asciiTheme="minorHAnsi" w:eastAsia="Calibri" w:hAnsiTheme="minorHAnsi" w:cstheme="minorHAnsi"/>
          <w:spacing w:val="-3"/>
        </w:rPr>
        <w:t xml:space="preserve"> kuna te za uplatu do Zakonom o HBOR-u propisanog iznosa od 7.000,00 milijuna kuna preostaje 367,00 milijuna kuna.</w:t>
      </w:r>
    </w:p>
    <w:p w:rsidR="002B5EA8" w:rsidRPr="00C25D4E" w:rsidRDefault="002B5EA8" w:rsidP="002B5EA8">
      <w:pPr>
        <w:tabs>
          <w:tab w:val="left" w:pos="-720"/>
        </w:tabs>
        <w:suppressAutoHyphens/>
        <w:autoSpaceDN w:val="0"/>
        <w:spacing w:before="240" w:after="120" w:line="276" w:lineRule="auto"/>
        <w:jc w:val="both"/>
        <w:textAlignment w:val="baseline"/>
        <w:rPr>
          <w:rFonts w:asciiTheme="minorHAnsi" w:eastAsia="Calibri" w:hAnsiTheme="minorHAnsi" w:cstheme="minorHAnsi"/>
          <w:spacing w:val="-3"/>
        </w:rPr>
      </w:pPr>
      <w:r w:rsidRPr="00C25D4E">
        <w:rPr>
          <w:rFonts w:asciiTheme="minorHAnsi" w:eastAsia="Calibri" w:hAnsiTheme="minorHAnsi" w:cstheme="minorHAnsi"/>
          <w:spacing w:val="-3"/>
        </w:rPr>
        <w:t>Sukladno odredbama Zakona o HBOR-u, cjelokupna ostvarena dobit izvještajnog razdoblja Banke se raspoređuje u rezerve.</w:t>
      </w:r>
    </w:p>
    <w:p w:rsidR="002B5EA8" w:rsidRPr="00C25D4E" w:rsidRDefault="002B5EA8" w:rsidP="002B5EA8">
      <w:pPr>
        <w:tabs>
          <w:tab w:val="left" w:pos="-720"/>
        </w:tabs>
        <w:suppressAutoHyphens/>
        <w:spacing w:before="240" w:after="120" w:line="276" w:lineRule="auto"/>
        <w:ind w:left="-426" w:right="-426"/>
        <w:jc w:val="both"/>
        <w:rPr>
          <w:rFonts w:asciiTheme="minorHAnsi" w:hAnsiTheme="minorHAnsi" w:cstheme="minorHAnsi"/>
          <w:lang w:eastAsia="hr-HR"/>
        </w:rPr>
      </w:pPr>
      <w:r w:rsidRPr="00C25D4E">
        <w:rPr>
          <w:rFonts w:asciiTheme="minorHAnsi" w:hAnsiTheme="minorHAnsi" w:cstheme="minorHAnsi"/>
          <w:lang w:eastAsia="hr-HR"/>
        </w:rPr>
        <w:t xml:space="preserve">         </w:t>
      </w:r>
      <w:r w:rsidRPr="00C25D4E">
        <w:rPr>
          <w:rFonts w:asciiTheme="minorHAnsi" w:hAnsiTheme="minorHAnsi" w:cstheme="minorHAnsi"/>
          <w:noProof/>
        </w:rPr>
        <w:drawing>
          <wp:inline distT="0" distB="0" distL="0" distR="0" wp14:anchorId="69551F7F" wp14:editId="01A638B0">
            <wp:extent cx="2771775" cy="3700800"/>
            <wp:effectExtent l="0" t="0" r="0" b="0"/>
            <wp:docPr id="60" name="Grafikon 10">
              <a:extLst xmlns:a="http://schemas.openxmlformats.org/drawingml/2006/main">
                <a:ext uri="{FF2B5EF4-FFF2-40B4-BE49-F238E27FC236}">
                  <a16:creationId xmlns:a16="http://schemas.microsoft.com/office/drawing/2014/main" id="{00000000-0008-0000-07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C25D4E">
        <w:rPr>
          <w:rFonts w:asciiTheme="minorHAnsi" w:hAnsiTheme="minorHAnsi" w:cstheme="minorHAnsi"/>
          <w:lang w:eastAsia="hr-HR"/>
        </w:rPr>
        <w:t xml:space="preserve">    </w:t>
      </w:r>
      <w:r>
        <w:rPr>
          <w:noProof/>
        </w:rPr>
        <w:drawing>
          <wp:inline distT="0" distB="0" distL="0" distR="0" wp14:anchorId="60D95A7A" wp14:editId="0D70F069">
            <wp:extent cx="3188335" cy="3633719"/>
            <wp:effectExtent l="0" t="0" r="0" b="5080"/>
            <wp:docPr id="5" name="Chart 5">
              <a:extLst xmlns:a="http://schemas.openxmlformats.org/drawingml/2006/main">
                <a:ext uri="{FF2B5EF4-FFF2-40B4-BE49-F238E27FC236}">
                  <a16:creationId xmlns:a16="http://schemas.microsoft.com/office/drawing/2014/main" id="{00000000-0008-0000-07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B5EA8" w:rsidRDefault="002B5EA8" w:rsidP="002B5EA8">
      <w:pPr>
        <w:tabs>
          <w:tab w:val="left" w:pos="-720"/>
          <w:tab w:val="left" w:pos="426"/>
        </w:tabs>
        <w:suppressAutoHyphens/>
        <w:spacing w:before="240" w:after="120" w:line="276" w:lineRule="auto"/>
        <w:ind w:left="426"/>
        <w:jc w:val="both"/>
        <w:rPr>
          <w:rFonts w:asciiTheme="minorHAnsi" w:hAnsiTheme="minorHAnsi" w:cstheme="minorHAnsi"/>
        </w:rPr>
      </w:pPr>
    </w:p>
    <w:p w:rsidR="002B5EA8" w:rsidRPr="00B45673" w:rsidRDefault="002B5EA8" w:rsidP="002B5EA8">
      <w:pPr>
        <w:tabs>
          <w:tab w:val="left" w:pos="-720"/>
        </w:tabs>
        <w:suppressAutoHyphens/>
        <w:spacing w:before="240" w:after="120" w:line="276" w:lineRule="auto"/>
        <w:jc w:val="both"/>
        <w:rPr>
          <w:rFonts w:asciiTheme="minorHAnsi" w:hAnsiTheme="minorHAnsi" w:cstheme="minorHAnsi"/>
          <w:spacing w:val="-3"/>
          <w:sz w:val="18"/>
          <w:szCs w:val="18"/>
          <w:lang w:eastAsia="hr-HR"/>
        </w:rPr>
      </w:pPr>
      <w:r w:rsidRPr="00B45673">
        <w:rPr>
          <w:rFonts w:asciiTheme="minorHAnsi" w:hAnsiTheme="minorHAnsi" w:cstheme="minorHAnsi"/>
          <w:spacing w:val="-3"/>
          <w:sz w:val="18"/>
          <w:szCs w:val="18"/>
          <w:lang w:eastAsia="hr-HR"/>
        </w:rPr>
        <w:t xml:space="preserve">*Ulaganja u ovisna društva, Nekretnine, postrojenja i oprema i nematerijalna imovina, </w:t>
      </w:r>
      <w:r w:rsidR="00A553F7">
        <w:rPr>
          <w:rFonts w:asciiTheme="minorHAnsi" w:hAnsiTheme="minorHAnsi" w:cstheme="minorHAnsi"/>
          <w:spacing w:val="-3"/>
          <w:sz w:val="18"/>
          <w:szCs w:val="18"/>
          <w:lang w:eastAsia="hr-HR"/>
        </w:rPr>
        <w:t>Preuzeta imovina</w:t>
      </w:r>
      <w:r w:rsidRPr="00B45673">
        <w:rPr>
          <w:rFonts w:asciiTheme="minorHAnsi" w:hAnsiTheme="minorHAnsi" w:cstheme="minorHAnsi"/>
          <w:spacing w:val="-3"/>
          <w:sz w:val="18"/>
          <w:szCs w:val="18"/>
          <w:lang w:eastAsia="hr-HR"/>
        </w:rPr>
        <w:t xml:space="preserve"> i Ostala imovina.</w:t>
      </w:r>
    </w:p>
    <w:p w:rsidR="002B5EA8" w:rsidRPr="00C25D4E" w:rsidRDefault="002B5EA8" w:rsidP="002B5EA8">
      <w:pPr>
        <w:spacing w:before="240" w:after="120" w:line="276" w:lineRule="auto"/>
        <w:ind w:left="-284" w:right="-425"/>
        <w:rPr>
          <w:rFonts w:asciiTheme="minorHAnsi" w:hAnsiTheme="minorHAnsi" w:cstheme="minorHAnsi"/>
          <w:b/>
          <w:spacing w:val="-3"/>
          <w:lang w:eastAsia="hr-HR"/>
        </w:rPr>
      </w:pPr>
      <w:r w:rsidRPr="00C25D4E">
        <w:rPr>
          <w:rFonts w:asciiTheme="minorHAnsi" w:hAnsiTheme="minorHAnsi" w:cstheme="minorHAnsi"/>
        </w:rPr>
        <w:t xml:space="preserve">     </w:t>
      </w:r>
      <w:r w:rsidRPr="00C25D4E">
        <w:rPr>
          <w:rFonts w:asciiTheme="minorHAnsi" w:hAnsiTheme="minorHAnsi" w:cstheme="minorHAnsi"/>
          <w:b/>
          <w:spacing w:val="-3"/>
          <w:lang w:eastAsia="hr-HR"/>
        </w:rPr>
        <w:t xml:space="preserve">     </w:t>
      </w:r>
      <w:r w:rsidRPr="00C25D4E">
        <w:rPr>
          <w:rFonts w:asciiTheme="minorHAnsi" w:hAnsiTheme="minorHAnsi" w:cstheme="minorHAnsi"/>
          <w:noProof/>
        </w:rPr>
        <w:drawing>
          <wp:inline distT="0" distB="0" distL="0" distR="0" wp14:anchorId="40C3B546" wp14:editId="2F0E230F">
            <wp:extent cx="2924175" cy="3733800"/>
            <wp:effectExtent l="0" t="0" r="0" b="0"/>
            <wp:docPr id="62" name="Chart 62">
              <a:extLst xmlns:a="http://schemas.openxmlformats.org/drawingml/2006/main">
                <a:ext uri="{FF2B5EF4-FFF2-40B4-BE49-F238E27FC236}">
                  <a16:creationId xmlns:a16="http://schemas.microsoft.com/office/drawing/2014/main" id="{00000000-0008-0000-07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C25D4E">
        <w:rPr>
          <w:rFonts w:asciiTheme="minorHAnsi" w:hAnsiTheme="minorHAnsi" w:cstheme="minorHAnsi"/>
          <w:b/>
          <w:spacing w:val="-3"/>
          <w:lang w:eastAsia="hr-HR"/>
        </w:rPr>
        <w:t xml:space="preserve">     </w:t>
      </w:r>
      <w:r w:rsidRPr="00C25D4E">
        <w:rPr>
          <w:rFonts w:asciiTheme="minorHAnsi" w:hAnsiTheme="minorHAnsi" w:cstheme="minorHAnsi"/>
          <w:noProof/>
        </w:rPr>
        <w:drawing>
          <wp:inline distT="0" distB="0" distL="0" distR="0" wp14:anchorId="4C63CE1D" wp14:editId="2BE71C4F">
            <wp:extent cx="2876400" cy="3592800"/>
            <wp:effectExtent l="0" t="0" r="635" b="8255"/>
            <wp:docPr id="63" name="Chart 63">
              <a:extLst xmlns:a="http://schemas.openxmlformats.org/drawingml/2006/main">
                <a:ext uri="{FF2B5EF4-FFF2-40B4-BE49-F238E27FC236}">
                  <a16:creationId xmlns:a16="http://schemas.microsoft.com/office/drawing/2014/main" id="{00000000-0008-0000-07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2B5EA8" w:rsidRDefault="002B5EA8" w:rsidP="00D57AB3">
      <w:pPr>
        <w:tabs>
          <w:tab w:val="left" w:pos="-720"/>
        </w:tabs>
        <w:suppressAutoHyphens/>
        <w:spacing w:before="240" w:after="120" w:line="276" w:lineRule="auto"/>
        <w:ind w:left="-284" w:right="-567"/>
        <w:jc w:val="both"/>
        <w:rPr>
          <w:rFonts w:asciiTheme="minorHAnsi" w:hAnsiTheme="minorHAnsi" w:cstheme="minorHAnsi"/>
          <w:b/>
          <w:i/>
          <w:spacing w:val="-3"/>
          <w:lang w:eastAsia="hr-HR"/>
        </w:rPr>
      </w:pPr>
      <w:r w:rsidRPr="00C25D4E">
        <w:rPr>
          <w:rFonts w:asciiTheme="minorHAnsi" w:hAnsiTheme="minorHAnsi" w:cstheme="minorHAnsi"/>
        </w:rPr>
        <w:t xml:space="preserve"> </w:t>
      </w:r>
    </w:p>
    <w:p w:rsidR="002F39FB" w:rsidRDefault="002F39FB" w:rsidP="00CD3A2D">
      <w:pPr>
        <w:rPr>
          <w:rFonts w:asciiTheme="minorHAnsi" w:hAnsiTheme="minorHAnsi" w:cs="Arial"/>
          <w:sz w:val="22"/>
          <w:szCs w:val="22"/>
          <w:lang w:val="hr-HR"/>
        </w:rPr>
        <w:sectPr w:rsidR="002F39FB" w:rsidSect="00D57AB3">
          <w:type w:val="continuous"/>
          <w:pgSz w:w="11907" w:h="16840" w:code="9"/>
          <w:pgMar w:top="1135" w:right="1134" w:bottom="851" w:left="1418" w:header="851" w:footer="568" w:gutter="0"/>
          <w:cols w:space="720"/>
          <w:noEndnote/>
          <w:titlePg/>
        </w:sectPr>
      </w:pPr>
    </w:p>
    <w:p w:rsidR="002F39FB" w:rsidRDefault="002F39FB" w:rsidP="00CD3A2D">
      <w:pPr>
        <w:rPr>
          <w:rFonts w:asciiTheme="minorHAnsi" w:hAnsiTheme="minorHAnsi" w:cs="Arial"/>
          <w:sz w:val="22"/>
          <w:szCs w:val="22"/>
          <w:lang w:val="hr-HR"/>
        </w:rPr>
      </w:pPr>
      <w:r>
        <w:rPr>
          <w:rFonts w:asciiTheme="minorHAnsi" w:hAnsiTheme="minorHAnsi" w:cs="Arial"/>
          <w:sz w:val="22"/>
          <w:szCs w:val="22"/>
          <w:lang w:val="hr-HR"/>
        </w:rPr>
        <w:br w:type="page"/>
      </w:r>
    </w:p>
    <w:p w:rsidR="008D6725" w:rsidRDefault="008D6725" w:rsidP="008D6725">
      <w:pPr>
        <w:pStyle w:val="T1"/>
        <w:keepNext w:val="0"/>
        <w:spacing w:after="0" w:line="240" w:lineRule="auto"/>
        <w:rPr>
          <w:rFonts w:asciiTheme="minorHAnsi" w:hAnsiTheme="minorHAnsi" w:cs="Arial"/>
          <w:smallCaps/>
          <w:sz w:val="22"/>
          <w:szCs w:val="22"/>
          <w:lang w:val="hr-HR"/>
        </w:rPr>
      </w:pPr>
    </w:p>
    <w:p w:rsidR="008D6725" w:rsidRDefault="008D6725" w:rsidP="008D6725">
      <w:pPr>
        <w:pStyle w:val="T1"/>
        <w:keepNext w:val="0"/>
        <w:spacing w:after="0" w:line="240" w:lineRule="auto"/>
        <w:rPr>
          <w:rFonts w:asciiTheme="minorHAnsi" w:hAnsiTheme="minorHAnsi" w:cs="Arial"/>
          <w:smallCaps/>
          <w:sz w:val="22"/>
          <w:szCs w:val="22"/>
          <w:lang w:val="hr-HR"/>
        </w:rPr>
      </w:pPr>
    </w:p>
    <w:p w:rsidR="008D6725" w:rsidRDefault="008D6725" w:rsidP="008D6725">
      <w:pPr>
        <w:pStyle w:val="T1"/>
        <w:keepNext w:val="0"/>
        <w:spacing w:after="0" w:line="240" w:lineRule="auto"/>
        <w:rPr>
          <w:rFonts w:asciiTheme="minorHAnsi" w:hAnsiTheme="minorHAnsi" w:cs="Arial"/>
          <w:smallCaps/>
          <w:sz w:val="22"/>
          <w:szCs w:val="22"/>
          <w:lang w:val="hr-HR"/>
        </w:rPr>
      </w:pPr>
    </w:p>
    <w:p w:rsidR="001B3648" w:rsidRDefault="001B3648" w:rsidP="008D6725">
      <w:pPr>
        <w:pStyle w:val="T1"/>
        <w:keepNext w:val="0"/>
        <w:spacing w:after="0" w:line="240" w:lineRule="auto"/>
        <w:rPr>
          <w:rFonts w:asciiTheme="minorHAnsi" w:hAnsiTheme="minorHAnsi" w:cs="Arial"/>
          <w:smallCaps/>
          <w:sz w:val="22"/>
          <w:szCs w:val="22"/>
          <w:lang w:val="hr-HR"/>
        </w:rPr>
      </w:pPr>
    </w:p>
    <w:p w:rsidR="001B3648" w:rsidRDefault="001B3648" w:rsidP="008D6725">
      <w:pPr>
        <w:pStyle w:val="T1"/>
        <w:keepNext w:val="0"/>
        <w:spacing w:after="0" w:line="240" w:lineRule="auto"/>
        <w:rPr>
          <w:rFonts w:asciiTheme="minorHAnsi" w:hAnsiTheme="minorHAnsi" w:cs="Arial"/>
          <w:smallCaps/>
          <w:sz w:val="22"/>
          <w:szCs w:val="22"/>
          <w:lang w:val="hr-HR"/>
        </w:rPr>
      </w:pPr>
    </w:p>
    <w:p w:rsidR="001B3648" w:rsidRDefault="001B3648" w:rsidP="008D6725">
      <w:pPr>
        <w:pStyle w:val="T1"/>
        <w:keepNext w:val="0"/>
        <w:spacing w:after="0" w:line="240" w:lineRule="auto"/>
        <w:rPr>
          <w:rFonts w:asciiTheme="minorHAnsi" w:hAnsiTheme="minorHAnsi" w:cs="Arial"/>
          <w:smallCaps/>
          <w:sz w:val="22"/>
          <w:szCs w:val="22"/>
          <w:lang w:val="hr-HR"/>
        </w:rPr>
      </w:pPr>
    </w:p>
    <w:p w:rsidR="001B3648" w:rsidRDefault="001B3648" w:rsidP="008D6725">
      <w:pPr>
        <w:pStyle w:val="T1"/>
        <w:keepNext w:val="0"/>
        <w:spacing w:after="0" w:line="240" w:lineRule="auto"/>
        <w:rPr>
          <w:rFonts w:asciiTheme="minorHAnsi" w:hAnsiTheme="minorHAnsi" w:cs="Arial"/>
          <w:smallCaps/>
          <w:sz w:val="22"/>
          <w:szCs w:val="22"/>
          <w:lang w:val="hr-HR"/>
        </w:rPr>
      </w:pPr>
    </w:p>
    <w:p w:rsidR="001B3648" w:rsidRDefault="001B3648" w:rsidP="008D6725">
      <w:pPr>
        <w:pStyle w:val="T1"/>
        <w:keepNext w:val="0"/>
        <w:spacing w:after="0" w:line="240" w:lineRule="auto"/>
        <w:rPr>
          <w:rFonts w:asciiTheme="minorHAnsi" w:hAnsiTheme="minorHAnsi" w:cs="Arial"/>
          <w:smallCaps/>
          <w:sz w:val="22"/>
          <w:szCs w:val="22"/>
          <w:lang w:val="hr-HR"/>
        </w:rPr>
      </w:pPr>
    </w:p>
    <w:p w:rsidR="001B3648" w:rsidRDefault="001B3648" w:rsidP="008D6725">
      <w:pPr>
        <w:pStyle w:val="T1"/>
        <w:keepNext w:val="0"/>
        <w:spacing w:after="0" w:line="240" w:lineRule="auto"/>
        <w:rPr>
          <w:rFonts w:asciiTheme="minorHAnsi" w:hAnsiTheme="minorHAnsi" w:cs="Arial"/>
          <w:smallCaps/>
          <w:sz w:val="22"/>
          <w:szCs w:val="22"/>
          <w:lang w:val="hr-HR"/>
        </w:rPr>
      </w:pPr>
    </w:p>
    <w:p w:rsidR="001B3648" w:rsidRDefault="001B3648" w:rsidP="008D6725">
      <w:pPr>
        <w:pStyle w:val="T1"/>
        <w:keepNext w:val="0"/>
        <w:spacing w:after="0" w:line="240" w:lineRule="auto"/>
        <w:rPr>
          <w:rFonts w:asciiTheme="minorHAnsi" w:hAnsiTheme="minorHAnsi" w:cs="Arial"/>
          <w:smallCaps/>
          <w:sz w:val="22"/>
          <w:szCs w:val="22"/>
          <w:lang w:val="hr-HR"/>
        </w:rPr>
      </w:pPr>
    </w:p>
    <w:p w:rsidR="008D6725" w:rsidRDefault="008D6725" w:rsidP="008D6725">
      <w:pPr>
        <w:pStyle w:val="T1"/>
        <w:keepNext w:val="0"/>
        <w:spacing w:after="0" w:line="240" w:lineRule="auto"/>
        <w:rPr>
          <w:rFonts w:asciiTheme="minorHAnsi" w:hAnsiTheme="minorHAnsi" w:cs="Arial"/>
          <w:smallCaps/>
          <w:sz w:val="22"/>
          <w:szCs w:val="22"/>
          <w:lang w:val="hr-HR"/>
        </w:rPr>
      </w:pPr>
      <w:r>
        <w:rPr>
          <w:rFonts w:asciiTheme="minorHAnsi" w:hAnsiTheme="minorHAnsi" w:cs="Arial"/>
          <w:smallCaps/>
          <w:sz w:val="22"/>
          <w:szCs w:val="22"/>
          <w:lang w:val="hr-HR"/>
        </w:rPr>
        <w:tab/>
      </w:r>
    </w:p>
    <w:p w:rsidR="008D6725" w:rsidRDefault="008D6725" w:rsidP="008D6725">
      <w:pPr>
        <w:pStyle w:val="Heading2"/>
        <w:spacing w:line="360" w:lineRule="auto"/>
        <w:ind w:left="-142" w:right="-709"/>
        <w:jc w:val="left"/>
        <w:rPr>
          <w:rFonts w:asciiTheme="minorHAnsi" w:hAnsiTheme="minorHAnsi"/>
          <w:sz w:val="36"/>
          <w:szCs w:val="36"/>
          <w:lang w:val="hr-HR"/>
        </w:rPr>
      </w:pPr>
      <w:r>
        <w:rPr>
          <w:rFonts w:asciiTheme="minorHAnsi" w:hAnsiTheme="minorHAnsi"/>
          <w:sz w:val="36"/>
          <w:szCs w:val="36"/>
          <w:lang w:val="hr-HR"/>
        </w:rPr>
        <w:t>HRVATSKA BANKA ZA OBNOVU I RAZVITAK</w:t>
      </w:r>
    </w:p>
    <w:p w:rsidR="008D6725" w:rsidRDefault="008D6725" w:rsidP="008D6725">
      <w:pPr>
        <w:spacing w:line="317" w:lineRule="atLeast"/>
        <w:ind w:left="-142"/>
        <w:rPr>
          <w:rFonts w:asciiTheme="minorHAnsi" w:hAnsiTheme="minorHAnsi" w:cs="Arial"/>
          <w:sz w:val="32"/>
          <w:szCs w:val="32"/>
          <w:lang w:val="hr-HR"/>
        </w:rPr>
      </w:pPr>
      <w:r>
        <w:rPr>
          <w:rFonts w:asciiTheme="minorHAnsi" w:hAnsiTheme="minorHAnsi" w:cs="Arial"/>
          <w:sz w:val="32"/>
          <w:szCs w:val="32"/>
          <w:lang w:val="hr-HR"/>
        </w:rPr>
        <w:t xml:space="preserve">Godišnji financijski izvještaji za 2018. godinu  </w:t>
      </w: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rPr>
          <w:rFonts w:asciiTheme="minorHAnsi" w:hAnsiTheme="minorHAnsi" w:cs="Arial"/>
          <w:sz w:val="22"/>
          <w:szCs w:val="22"/>
          <w:lang w:val="hr-HR"/>
        </w:rPr>
      </w:pPr>
    </w:p>
    <w:p w:rsidR="008D6725" w:rsidRDefault="008D6725" w:rsidP="008D6725">
      <w:pPr>
        <w:jc w:val="center"/>
        <w:rPr>
          <w:rFonts w:asciiTheme="minorHAnsi" w:hAnsiTheme="minorHAnsi" w:cs="Arial"/>
          <w:b/>
          <w:i/>
          <w:sz w:val="22"/>
          <w:szCs w:val="22"/>
          <w:lang w:val="hr-HR"/>
        </w:rPr>
      </w:pPr>
    </w:p>
    <w:p w:rsidR="008D6725" w:rsidRDefault="008D6725" w:rsidP="008D6725">
      <w:pPr>
        <w:jc w:val="center"/>
        <w:rPr>
          <w:rFonts w:asciiTheme="minorHAnsi" w:hAnsiTheme="minorHAnsi" w:cs="Arial"/>
          <w:b/>
          <w:sz w:val="22"/>
          <w:szCs w:val="22"/>
          <w:lang w:val="hr-HR"/>
        </w:rPr>
      </w:pPr>
    </w:p>
    <w:p w:rsidR="008D6725" w:rsidRDefault="008D6725" w:rsidP="008D6725">
      <w:pPr>
        <w:jc w:val="center"/>
        <w:rPr>
          <w:rFonts w:asciiTheme="minorHAnsi" w:hAnsiTheme="minorHAnsi" w:cs="Arial"/>
          <w:sz w:val="22"/>
          <w:szCs w:val="22"/>
          <w:lang w:val="hr-HR"/>
        </w:rPr>
      </w:pPr>
      <w:r>
        <w:rPr>
          <w:rFonts w:asciiTheme="minorHAnsi" w:hAnsiTheme="minorHAnsi" w:cs="Arial"/>
          <w:sz w:val="22"/>
          <w:szCs w:val="22"/>
          <w:lang w:val="hr-HR"/>
        </w:rPr>
        <w:t>Zagreb, ožujak 2019. godine</w:t>
      </w:r>
    </w:p>
    <w:p w:rsidR="002B5EA8" w:rsidRDefault="002B5EA8" w:rsidP="00CD3A2D">
      <w:pPr>
        <w:rPr>
          <w:rFonts w:asciiTheme="minorHAnsi" w:hAnsiTheme="minorHAnsi" w:cs="Arial"/>
          <w:sz w:val="22"/>
          <w:szCs w:val="22"/>
          <w:lang w:val="hr-HR"/>
        </w:rPr>
      </w:pPr>
    </w:p>
    <w:p w:rsidR="002B5EA8" w:rsidRPr="00DA25D1" w:rsidRDefault="002B5EA8" w:rsidP="00CD3A2D">
      <w:pPr>
        <w:rPr>
          <w:rFonts w:asciiTheme="minorHAnsi" w:hAnsiTheme="minorHAnsi" w:cs="Arial"/>
          <w:sz w:val="22"/>
          <w:szCs w:val="22"/>
          <w:lang w:val="hr-HR"/>
        </w:rPr>
      </w:pPr>
    </w:p>
    <w:p w:rsidR="006702CC" w:rsidRPr="00DA25D1" w:rsidRDefault="006702CC" w:rsidP="00060FB1">
      <w:pPr>
        <w:rPr>
          <w:rFonts w:asciiTheme="minorHAnsi" w:hAnsiTheme="minorHAnsi" w:cs="Arial"/>
          <w:sz w:val="22"/>
          <w:szCs w:val="22"/>
          <w:lang w:val="hr-HR"/>
        </w:rPr>
        <w:sectPr w:rsidR="006702CC" w:rsidRPr="00DA25D1" w:rsidSect="002F39FB">
          <w:footerReference w:type="default" r:id="rId49"/>
          <w:type w:val="continuous"/>
          <w:pgSz w:w="11907" w:h="16840" w:code="9"/>
          <w:pgMar w:top="1418" w:right="1134" w:bottom="1134" w:left="1418" w:header="851" w:footer="851" w:gutter="0"/>
          <w:cols w:space="720"/>
          <w:noEndnote/>
          <w:titlePg/>
        </w:sectPr>
      </w:pPr>
    </w:p>
    <w:p w:rsidR="006D0890" w:rsidRPr="00DA25D1" w:rsidRDefault="006D0890">
      <w:pPr>
        <w:rPr>
          <w:rFonts w:asciiTheme="minorHAnsi" w:hAnsiTheme="minorHAnsi" w:cs="Arial"/>
          <w:sz w:val="22"/>
          <w:szCs w:val="22"/>
          <w:lang w:val="hr-HR"/>
        </w:rPr>
      </w:pPr>
    </w:p>
    <w:tbl>
      <w:tblPr>
        <w:tblW w:w="9487" w:type="dxa"/>
        <w:tblInd w:w="-132" w:type="dxa"/>
        <w:tblLook w:val="01E0" w:firstRow="1" w:lastRow="1" w:firstColumn="1" w:lastColumn="1" w:noHBand="0" w:noVBand="0"/>
      </w:tblPr>
      <w:tblGrid>
        <w:gridCol w:w="8429"/>
        <w:gridCol w:w="1058"/>
      </w:tblGrid>
      <w:tr w:rsidR="006D0890" w:rsidRPr="001567C8" w:rsidTr="00AD4170">
        <w:tc>
          <w:tcPr>
            <w:tcW w:w="8429" w:type="dxa"/>
            <w:vAlign w:val="bottom"/>
          </w:tcPr>
          <w:p w:rsidR="00D334D3" w:rsidRPr="00DA25D1" w:rsidRDefault="00D334D3" w:rsidP="00D334D3">
            <w:pPr>
              <w:spacing w:before="120"/>
              <w:rPr>
                <w:rFonts w:asciiTheme="minorHAnsi" w:hAnsiTheme="minorHAnsi" w:cs="Arial"/>
                <w:sz w:val="22"/>
                <w:szCs w:val="22"/>
                <w:lang w:val="hr-HR"/>
              </w:rPr>
            </w:pPr>
          </w:p>
        </w:tc>
        <w:tc>
          <w:tcPr>
            <w:tcW w:w="1058" w:type="dxa"/>
            <w:vAlign w:val="bottom"/>
          </w:tcPr>
          <w:p w:rsidR="006D0890" w:rsidRPr="00DA25D1" w:rsidRDefault="006D0890" w:rsidP="00D334D3">
            <w:pPr>
              <w:spacing w:before="120"/>
              <w:jc w:val="right"/>
              <w:rPr>
                <w:rFonts w:asciiTheme="minorHAnsi" w:hAnsiTheme="minorHAnsi" w:cs="Arial"/>
                <w:sz w:val="22"/>
                <w:szCs w:val="22"/>
                <w:lang w:val="hr-HR"/>
              </w:rPr>
            </w:pPr>
            <w:r w:rsidRPr="00DA25D1">
              <w:rPr>
                <w:rFonts w:asciiTheme="minorHAnsi" w:hAnsiTheme="minorHAnsi" w:cs="Arial"/>
                <w:sz w:val="22"/>
                <w:szCs w:val="22"/>
                <w:lang w:val="hr-HR"/>
              </w:rPr>
              <w:t>Stranica</w:t>
            </w:r>
          </w:p>
        </w:tc>
      </w:tr>
      <w:tr w:rsidR="006D0890" w:rsidRPr="001567C8" w:rsidTr="00AD4170">
        <w:tc>
          <w:tcPr>
            <w:tcW w:w="8429" w:type="dxa"/>
            <w:vAlign w:val="bottom"/>
          </w:tcPr>
          <w:p w:rsidR="006D0890" w:rsidRPr="001567C8" w:rsidRDefault="006D0890" w:rsidP="00D334D3">
            <w:pPr>
              <w:spacing w:before="120"/>
              <w:rPr>
                <w:rFonts w:asciiTheme="minorHAnsi" w:hAnsiTheme="minorHAnsi" w:cs="Arial"/>
                <w:sz w:val="22"/>
                <w:szCs w:val="22"/>
                <w:lang w:val="hr-HR"/>
              </w:rPr>
            </w:pPr>
          </w:p>
        </w:tc>
        <w:tc>
          <w:tcPr>
            <w:tcW w:w="1058" w:type="dxa"/>
            <w:vAlign w:val="bottom"/>
          </w:tcPr>
          <w:p w:rsidR="006D0890" w:rsidRPr="001567C8" w:rsidRDefault="006D0890" w:rsidP="00D334D3">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Odgovornosti Uprave i Nadzornog odbora za pripremu i prihvaćanje godišnjeg izvješća</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hr-HR"/>
              </w:rPr>
              <w:t>54</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Pr>
                <w:rFonts w:asciiTheme="minorHAnsi" w:hAnsiTheme="minorHAnsi" w:cs="Arial"/>
                <w:sz w:val="22"/>
                <w:szCs w:val="22"/>
                <w:lang w:val="hr-HR"/>
              </w:rPr>
              <w:t>Izvješće neovisnog revizora vlasniku Hrvatske banke za obnovu i razvitak</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55</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rPr>
          <w:trHeight w:val="281"/>
        </w:trPr>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Konsolidirani financijski izvještaji Grupe</w:t>
            </w:r>
            <w:r w:rsidR="006F32EC">
              <w:rPr>
                <w:rFonts w:asciiTheme="minorHAnsi" w:hAnsiTheme="minorHAnsi" w:cs="Arial"/>
                <w:sz w:val="22"/>
                <w:szCs w:val="22"/>
                <w:lang w:val="hr-HR"/>
              </w:rPr>
              <w:t>:</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62</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Račun dobiti i gubitka</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62</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Izvještaj o dobiti i gubitku te ostaloj sveobuhvatnoj dobiti</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63</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Izvještaj o financijskom položaju</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64</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Izvještaj o novčanim tokovima</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65</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Izvještaj o promjenama na kapitalu</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66</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Odvojeni financijski izvještaji Banke:</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67</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Račun dobiti i gubitka</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67</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Izvještaj o dobiti i gubitku te ostaloj sveobuhvatnoj dobiti</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68</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Izvještaj o financijskom položaju</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69</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Izvještaj o novčanim tokovima</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70</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r w:rsidRPr="001567C8">
              <w:rPr>
                <w:rFonts w:asciiTheme="minorHAnsi" w:hAnsiTheme="minorHAnsi" w:cs="Arial"/>
                <w:sz w:val="22"/>
                <w:szCs w:val="22"/>
                <w:lang w:val="hr-HR"/>
              </w:rPr>
              <w:t>Izvještaj o promjenama na kapitalu</w:t>
            </w: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en-GB"/>
              </w:rPr>
              <w:t>71</w:t>
            </w:r>
          </w:p>
        </w:tc>
      </w:tr>
      <w:tr w:rsidR="00817AB7" w:rsidRPr="001567C8" w:rsidTr="00AD4170">
        <w:tc>
          <w:tcPr>
            <w:tcW w:w="8429" w:type="dxa"/>
            <w:vAlign w:val="bottom"/>
          </w:tcPr>
          <w:p w:rsidR="00817AB7" w:rsidRPr="001567C8" w:rsidRDefault="00817AB7" w:rsidP="00817AB7">
            <w:pPr>
              <w:spacing w:before="120"/>
              <w:rPr>
                <w:rFonts w:asciiTheme="minorHAnsi" w:hAnsiTheme="minorHAnsi" w:cs="Arial"/>
                <w:sz w:val="22"/>
                <w:szCs w:val="22"/>
                <w:lang w:val="hr-HR"/>
              </w:rPr>
            </w:pPr>
          </w:p>
        </w:tc>
        <w:tc>
          <w:tcPr>
            <w:tcW w:w="1058" w:type="dxa"/>
            <w:vAlign w:val="bottom"/>
          </w:tcPr>
          <w:p w:rsidR="00817AB7" w:rsidRPr="001567C8" w:rsidRDefault="00817AB7" w:rsidP="00817AB7">
            <w:pPr>
              <w:spacing w:before="120"/>
              <w:jc w:val="right"/>
              <w:rPr>
                <w:rFonts w:asciiTheme="minorHAnsi" w:hAnsiTheme="minorHAnsi" w:cs="Arial"/>
                <w:sz w:val="22"/>
                <w:szCs w:val="22"/>
                <w:lang w:val="hr-HR"/>
              </w:rPr>
            </w:pPr>
          </w:p>
        </w:tc>
      </w:tr>
      <w:tr w:rsidR="00817AB7" w:rsidRPr="001567C8" w:rsidTr="00447AB8">
        <w:tc>
          <w:tcPr>
            <w:tcW w:w="8429" w:type="dxa"/>
            <w:vAlign w:val="bottom"/>
          </w:tcPr>
          <w:p w:rsidR="00817AB7" w:rsidRPr="001567C8" w:rsidRDefault="00817AB7" w:rsidP="00817AB7">
            <w:pPr>
              <w:pStyle w:val="PH"/>
              <w:spacing w:line="320" w:lineRule="exact"/>
              <w:rPr>
                <w:rFonts w:asciiTheme="minorHAnsi" w:hAnsiTheme="minorHAnsi" w:cs="Arial"/>
                <w:sz w:val="22"/>
                <w:szCs w:val="22"/>
                <w:lang w:val="hr-HR"/>
              </w:rPr>
            </w:pPr>
            <w:r w:rsidRPr="001567C8">
              <w:rPr>
                <w:rFonts w:asciiTheme="minorHAnsi" w:hAnsiTheme="minorHAnsi" w:cs="Arial"/>
                <w:sz w:val="22"/>
                <w:szCs w:val="22"/>
                <w:lang w:val="hr-HR"/>
              </w:rPr>
              <w:t xml:space="preserve">Bilješke uz financijske izvještaje koje obuhvaćaju važne računovodstvene politike i druga objašnjenja </w:t>
            </w:r>
          </w:p>
        </w:tc>
        <w:tc>
          <w:tcPr>
            <w:tcW w:w="1058" w:type="dxa"/>
            <w:shd w:val="clear" w:color="auto" w:fill="auto"/>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hr-HR"/>
              </w:rPr>
              <w:t>72-224</w:t>
            </w:r>
          </w:p>
        </w:tc>
      </w:tr>
      <w:tr w:rsidR="00817AB7" w:rsidRPr="001567C8" w:rsidTr="00447AB8">
        <w:trPr>
          <w:trHeight w:val="482"/>
        </w:trPr>
        <w:tc>
          <w:tcPr>
            <w:tcW w:w="8429" w:type="dxa"/>
            <w:vAlign w:val="bottom"/>
          </w:tcPr>
          <w:p w:rsidR="00817AB7" w:rsidRPr="001567C8" w:rsidRDefault="00817AB7" w:rsidP="00817AB7">
            <w:pPr>
              <w:pStyle w:val="PH"/>
              <w:spacing w:line="320" w:lineRule="exact"/>
              <w:rPr>
                <w:rFonts w:asciiTheme="minorHAnsi" w:hAnsiTheme="minorHAnsi" w:cs="Arial"/>
                <w:sz w:val="22"/>
                <w:szCs w:val="22"/>
                <w:lang w:val="hr-HR"/>
              </w:rPr>
            </w:pPr>
            <w:r w:rsidRPr="001567C8">
              <w:rPr>
                <w:rFonts w:asciiTheme="minorHAnsi" w:hAnsiTheme="minorHAnsi" w:cs="Arial"/>
                <w:sz w:val="22"/>
                <w:szCs w:val="22"/>
                <w:lang w:val="hr-HR"/>
              </w:rPr>
              <w:t>Dodatak – Financijsko poslovanje Grupe HKO</w:t>
            </w:r>
          </w:p>
        </w:tc>
        <w:tc>
          <w:tcPr>
            <w:tcW w:w="1058" w:type="dxa"/>
            <w:shd w:val="clear" w:color="auto" w:fill="auto"/>
            <w:vAlign w:val="bottom"/>
          </w:tcPr>
          <w:p w:rsidR="00817AB7" w:rsidRPr="001567C8" w:rsidRDefault="00817AB7" w:rsidP="00817AB7">
            <w:pPr>
              <w:spacing w:before="120"/>
              <w:jc w:val="right"/>
              <w:rPr>
                <w:rFonts w:asciiTheme="minorHAnsi" w:hAnsiTheme="minorHAnsi" w:cs="Arial"/>
                <w:sz w:val="22"/>
                <w:szCs w:val="22"/>
                <w:lang w:val="hr-HR"/>
              </w:rPr>
            </w:pPr>
            <w:r w:rsidRPr="005F6959">
              <w:rPr>
                <w:rFonts w:asciiTheme="minorHAnsi" w:hAnsiTheme="minorHAnsi" w:cs="Arial"/>
                <w:sz w:val="22"/>
                <w:szCs w:val="22"/>
                <w:lang w:val="hr-HR"/>
              </w:rPr>
              <w:t>225-228</w:t>
            </w:r>
          </w:p>
        </w:tc>
      </w:tr>
    </w:tbl>
    <w:p w:rsidR="00F71353" w:rsidRPr="001567C8" w:rsidRDefault="00F71353" w:rsidP="00060FB2">
      <w:pPr>
        <w:spacing w:before="120" w:after="120" w:line="276" w:lineRule="auto"/>
        <w:rPr>
          <w:rFonts w:ascii="Calibri" w:hAnsi="Calibri" w:cs="Calibri"/>
          <w:b/>
          <w:lang w:val="hr-HR"/>
        </w:rPr>
        <w:sectPr w:rsidR="00F71353" w:rsidRPr="001567C8" w:rsidSect="000D6913">
          <w:footerReference w:type="default" r:id="rId50"/>
          <w:headerReference w:type="first" r:id="rId51"/>
          <w:pgSz w:w="11907" w:h="16840" w:code="9"/>
          <w:pgMar w:top="1418" w:right="987" w:bottom="1134" w:left="1418" w:header="851" w:footer="851" w:gutter="0"/>
          <w:cols w:space="720"/>
          <w:noEndnote/>
          <w:titlePg/>
          <w:docGrid w:linePitch="326"/>
        </w:sectPr>
      </w:pPr>
      <w:bookmarkStart w:id="31" w:name="shema"/>
      <w:bookmarkEnd w:id="31"/>
    </w:p>
    <w:p w:rsidR="00F905B3" w:rsidRPr="00CD3A2D" w:rsidRDefault="00F905B3" w:rsidP="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color w:val="000000"/>
          <w:sz w:val="22"/>
          <w:szCs w:val="22"/>
          <w:lang w:val="hr-HR" w:eastAsia="hr-HR"/>
        </w:rPr>
      </w:pPr>
    </w:p>
    <w:p w:rsidR="00F905B3" w:rsidRPr="00CD3A2D" w:rsidRDefault="00F905B3" w:rsidP="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color w:val="000000"/>
          <w:sz w:val="22"/>
          <w:szCs w:val="22"/>
          <w:lang w:val="hr-HR" w:eastAsia="hr-HR"/>
        </w:rPr>
      </w:pPr>
      <w:r w:rsidRPr="00CD3A2D">
        <w:rPr>
          <w:rFonts w:asciiTheme="minorHAnsi" w:hAnsiTheme="minorHAnsi" w:cstheme="minorHAnsi"/>
          <w:color w:val="000000"/>
          <w:sz w:val="22"/>
          <w:szCs w:val="22"/>
          <w:lang w:val="hr-HR" w:eastAsia="hr-HR"/>
        </w:rPr>
        <w:t>Odgovornost Uprave Hrvatske banke za obnovu i razv</w:t>
      </w:r>
      <w:r w:rsidR="00434829" w:rsidRPr="00CD3A2D">
        <w:rPr>
          <w:rFonts w:asciiTheme="minorHAnsi" w:hAnsiTheme="minorHAnsi" w:cstheme="minorHAnsi"/>
          <w:color w:val="000000"/>
          <w:sz w:val="22"/>
          <w:szCs w:val="22"/>
          <w:lang w:val="hr-HR" w:eastAsia="hr-HR"/>
        </w:rPr>
        <w:t>itak</w:t>
      </w:r>
      <w:r w:rsidRPr="00CD3A2D">
        <w:rPr>
          <w:rFonts w:asciiTheme="minorHAnsi" w:hAnsiTheme="minorHAnsi" w:cstheme="minorHAnsi"/>
          <w:color w:val="000000"/>
          <w:sz w:val="22"/>
          <w:szCs w:val="22"/>
          <w:lang w:val="hr-HR" w:eastAsia="hr-HR"/>
        </w:rPr>
        <w:t xml:space="preserve"> („HBOR“ ili „Banka“) je pripremiti odvojena i konsolidirana financijska izvješća za svaku poslovnu godinu, koja daju istinit i vjeran prikaz financijskog položaja Banke i Grupe Hrvatske banke za obnovu i razv</w:t>
      </w:r>
      <w:r w:rsidR="00434829" w:rsidRPr="00CD3A2D">
        <w:rPr>
          <w:rFonts w:asciiTheme="minorHAnsi" w:hAnsiTheme="minorHAnsi" w:cstheme="minorHAnsi"/>
          <w:color w:val="000000"/>
          <w:sz w:val="22"/>
          <w:szCs w:val="22"/>
          <w:lang w:val="hr-HR" w:eastAsia="hr-HR"/>
        </w:rPr>
        <w:t>itak</w:t>
      </w:r>
      <w:r w:rsidRPr="00CD3A2D">
        <w:rPr>
          <w:rFonts w:asciiTheme="minorHAnsi" w:hAnsiTheme="minorHAnsi" w:cstheme="minorHAnsi"/>
          <w:color w:val="000000"/>
          <w:sz w:val="22"/>
          <w:szCs w:val="22"/>
          <w:lang w:val="hr-HR" w:eastAsia="hr-HR"/>
        </w:rPr>
        <w:t xml:space="preserve"> („Grupa“) te njihovog rezultata poslovanja i novčanih tokova, u skladu s primjenjivim računovodstvenim standardima te vođenje odgovarajućih računovodstvenih evidencija potrebnih za pripremanje financijskih izvješ</w:t>
      </w:r>
      <w:r w:rsidR="00DD6D7C" w:rsidRPr="00CD3A2D">
        <w:rPr>
          <w:rFonts w:asciiTheme="minorHAnsi" w:hAnsiTheme="minorHAnsi" w:cstheme="minorHAnsi"/>
          <w:color w:val="000000"/>
          <w:sz w:val="22"/>
          <w:szCs w:val="22"/>
          <w:lang w:val="hr-HR" w:eastAsia="hr-HR"/>
        </w:rPr>
        <w:t>taja</w:t>
      </w:r>
      <w:r w:rsidRPr="00CD3A2D">
        <w:rPr>
          <w:rFonts w:asciiTheme="minorHAnsi" w:hAnsiTheme="minorHAnsi" w:cstheme="minorHAnsi"/>
          <w:color w:val="000000"/>
          <w:sz w:val="22"/>
          <w:szCs w:val="22"/>
          <w:lang w:val="hr-HR" w:eastAsia="hr-HR"/>
        </w:rPr>
        <w:t xml:space="preserve"> bilo koje vrijeme. Uprava ima opću odgovornost za poduzimanje raspoloživih mjera u cilju očuvanja imovine Banke i Grupe te sprečavanja i otkrivanja prijevara i drugih nepravilnosti.</w:t>
      </w:r>
    </w:p>
    <w:p w:rsidR="00F905B3" w:rsidRPr="00CD3A2D" w:rsidRDefault="00F905B3" w:rsidP="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sz w:val="22"/>
          <w:szCs w:val="22"/>
          <w:lang w:val="hr-HR"/>
        </w:rPr>
      </w:pPr>
    </w:p>
    <w:p w:rsidR="00F905B3" w:rsidRPr="00CD3A2D" w:rsidRDefault="00F905B3" w:rsidP="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color w:val="000000"/>
          <w:sz w:val="22"/>
          <w:szCs w:val="22"/>
          <w:lang w:val="hr-HR" w:eastAsia="hr-HR"/>
        </w:rPr>
      </w:pPr>
      <w:r w:rsidRPr="00CD3A2D">
        <w:rPr>
          <w:rFonts w:asciiTheme="minorHAnsi" w:hAnsiTheme="minorHAnsi" w:cstheme="minorHAnsi"/>
          <w:color w:val="000000"/>
          <w:sz w:val="22"/>
          <w:szCs w:val="22"/>
          <w:lang w:val="hr-HR" w:eastAsia="hr-HR"/>
        </w:rPr>
        <w:t>Uprava je odgovorna za odabir prikladnih računovodstvenih politika koje su u skladu s primjenjivim računovodstvenim standardima koje će dosljedno primjenjivati; donošenje razumnih i razboritih prosudbi i procjena; te pripremanje financijskih izvješ</w:t>
      </w:r>
      <w:r w:rsidR="00DD6D7C" w:rsidRPr="00CD3A2D">
        <w:rPr>
          <w:rFonts w:asciiTheme="minorHAnsi" w:hAnsiTheme="minorHAnsi" w:cstheme="minorHAnsi"/>
          <w:color w:val="000000"/>
          <w:sz w:val="22"/>
          <w:szCs w:val="22"/>
          <w:lang w:val="hr-HR" w:eastAsia="hr-HR"/>
        </w:rPr>
        <w:t>taja</w:t>
      </w:r>
      <w:r w:rsidRPr="00CD3A2D">
        <w:rPr>
          <w:rFonts w:asciiTheme="minorHAnsi" w:hAnsiTheme="minorHAnsi" w:cstheme="minorHAnsi"/>
          <w:color w:val="000000"/>
          <w:sz w:val="22"/>
          <w:szCs w:val="22"/>
          <w:lang w:val="hr-HR" w:eastAsia="hr-HR"/>
        </w:rPr>
        <w:t xml:space="preserve"> temeljem principa neograničenog vremena poslovanja, osim ako je pretpostavka da će Banka i Grupa nastaviti s poslovanjem neprimjerena.</w:t>
      </w:r>
    </w:p>
    <w:p w:rsidR="00F905B3" w:rsidRPr="00CD3A2D" w:rsidRDefault="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ind w:right="-1"/>
        <w:jc w:val="both"/>
        <w:rPr>
          <w:rFonts w:asciiTheme="minorHAnsi" w:hAnsiTheme="minorHAnsi" w:cstheme="minorHAnsi"/>
          <w:color w:val="000000"/>
          <w:sz w:val="22"/>
          <w:szCs w:val="22"/>
          <w:lang w:val="hr-HR" w:eastAsia="hr-HR"/>
        </w:rPr>
      </w:pPr>
    </w:p>
    <w:p w:rsidR="00550468" w:rsidRPr="00CD3A2D" w:rsidRDefault="00550468" w:rsidP="00550468">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sz w:val="22"/>
          <w:szCs w:val="22"/>
          <w:lang w:val="hr-HR" w:eastAsia="hr-HR"/>
        </w:rPr>
      </w:pPr>
      <w:r w:rsidRPr="00CD3A2D">
        <w:rPr>
          <w:rFonts w:asciiTheme="minorHAnsi" w:hAnsiTheme="minorHAnsi" w:cstheme="minorHAnsi"/>
          <w:color w:val="000000"/>
          <w:sz w:val="22"/>
          <w:szCs w:val="22"/>
          <w:lang w:val="hr-HR" w:eastAsia="hr-HR"/>
        </w:rPr>
        <w:t>Uprava j</w:t>
      </w:r>
      <w:r w:rsidR="00CB2037">
        <w:rPr>
          <w:rFonts w:asciiTheme="minorHAnsi" w:hAnsiTheme="minorHAnsi" w:cstheme="minorHAnsi"/>
          <w:color w:val="000000"/>
          <w:sz w:val="22"/>
          <w:szCs w:val="22"/>
          <w:lang w:val="hr-HR" w:eastAsia="hr-HR"/>
        </w:rPr>
        <w:t>e dužna podnijeti na odobrenje</w:t>
      </w:r>
      <w:r w:rsidRPr="00CD3A2D">
        <w:rPr>
          <w:rFonts w:asciiTheme="minorHAnsi" w:hAnsiTheme="minorHAnsi" w:cstheme="minorHAnsi"/>
          <w:color w:val="000000"/>
          <w:sz w:val="22"/>
          <w:szCs w:val="22"/>
          <w:lang w:val="hr-HR" w:eastAsia="hr-HR"/>
        </w:rPr>
        <w:t xml:space="preserve"> Nadzornom odboru </w:t>
      </w:r>
      <w:r w:rsidR="00FE01FB" w:rsidRPr="00CD3A2D">
        <w:rPr>
          <w:rFonts w:asciiTheme="minorHAnsi" w:hAnsiTheme="minorHAnsi" w:cstheme="minorHAnsi"/>
          <w:color w:val="000000"/>
          <w:sz w:val="22"/>
          <w:szCs w:val="22"/>
          <w:lang w:val="hr-HR" w:eastAsia="hr-HR"/>
        </w:rPr>
        <w:t>G</w:t>
      </w:r>
      <w:r w:rsidRPr="00CD3A2D">
        <w:rPr>
          <w:rFonts w:asciiTheme="minorHAnsi" w:hAnsiTheme="minorHAnsi" w:cstheme="minorHAnsi"/>
          <w:color w:val="000000"/>
          <w:sz w:val="22"/>
          <w:szCs w:val="22"/>
          <w:lang w:val="hr-HR" w:eastAsia="hr-HR"/>
        </w:rPr>
        <w:t>odišnje izvješće</w:t>
      </w:r>
      <w:r w:rsidRPr="00CD3A2D">
        <w:rPr>
          <w:rFonts w:asciiTheme="minorHAnsi" w:hAnsiTheme="minorHAnsi" w:cstheme="minorHAnsi"/>
          <w:sz w:val="22"/>
          <w:szCs w:val="22"/>
          <w:lang w:val="hr-HR" w:eastAsia="hr-HR"/>
        </w:rPr>
        <w:t>, nakon čega</w:t>
      </w:r>
      <w:r w:rsidR="00FE01FB" w:rsidRPr="00CD3A2D">
        <w:rPr>
          <w:rFonts w:asciiTheme="minorHAnsi" w:hAnsiTheme="minorHAnsi" w:cstheme="minorHAnsi"/>
          <w:sz w:val="22"/>
          <w:szCs w:val="22"/>
          <w:lang w:val="hr-HR" w:eastAsia="hr-HR"/>
        </w:rPr>
        <w:t xml:space="preserve"> ih</w:t>
      </w:r>
      <w:r w:rsidRPr="00CD3A2D">
        <w:rPr>
          <w:rFonts w:asciiTheme="minorHAnsi" w:hAnsiTheme="minorHAnsi" w:cstheme="minorHAnsi"/>
          <w:sz w:val="22"/>
          <w:szCs w:val="22"/>
          <w:lang w:val="hr-HR" w:eastAsia="hr-HR"/>
        </w:rPr>
        <w:t xml:space="preserve"> Nadzorni odbor </w:t>
      </w:r>
      <w:r w:rsidR="00FE01FB" w:rsidRPr="00CD3A2D">
        <w:rPr>
          <w:rFonts w:asciiTheme="minorHAnsi" w:hAnsiTheme="minorHAnsi" w:cstheme="minorHAnsi"/>
          <w:sz w:val="22"/>
          <w:szCs w:val="22"/>
          <w:lang w:val="hr-HR" w:eastAsia="hr-HR"/>
        </w:rPr>
        <w:t>podnosi na potvrdu Hrvatskom saboru.</w:t>
      </w:r>
    </w:p>
    <w:p w:rsidR="009877C4" w:rsidRPr="00CD3A2D" w:rsidRDefault="009877C4" w:rsidP="003C6BA3">
      <w:pPr>
        <w:numPr>
          <w:ilvl w:val="12"/>
          <w:numId w:val="0"/>
        </w:numPr>
        <w:jc w:val="both"/>
        <w:rPr>
          <w:rFonts w:asciiTheme="minorHAnsi" w:hAnsiTheme="minorHAnsi" w:cstheme="minorHAnsi"/>
          <w:sz w:val="22"/>
          <w:szCs w:val="22"/>
          <w:lang w:val="hr-HR" w:eastAsia="hr-HR"/>
        </w:rPr>
      </w:pPr>
    </w:p>
    <w:p w:rsidR="00F905B3" w:rsidRPr="00CD3A2D" w:rsidRDefault="00F905B3">
      <w:pPr>
        <w:numPr>
          <w:ilvl w:val="12"/>
          <w:numId w:val="0"/>
        </w:numPr>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Odvojena i konsolidirana financijska izvješća prikazana na stranicama od </w:t>
      </w:r>
      <w:r w:rsidR="00817AB7" w:rsidRPr="003327E4">
        <w:rPr>
          <w:rFonts w:asciiTheme="minorHAnsi" w:hAnsiTheme="minorHAnsi" w:cstheme="minorHAnsi"/>
          <w:sz w:val="22"/>
          <w:szCs w:val="22"/>
          <w:lang w:val="hr-HR" w:eastAsia="hr-HR"/>
        </w:rPr>
        <w:t>62</w:t>
      </w:r>
      <w:r w:rsidR="00817AB7" w:rsidRPr="00B268C1">
        <w:rPr>
          <w:rFonts w:asciiTheme="minorHAnsi" w:hAnsiTheme="minorHAnsi" w:cstheme="minorHAnsi"/>
          <w:sz w:val="22"/>
          <w:szCs w:val="22"/>
          <w:lang w:val="hr-HR" w:eastAsia="hr-HR"/>
        </w:rPr>
        <w:t xml:space="preserve"> </w:t>
      </w:r>
      <w:r w:rsidRPr="00B268C1">
        <w:rPr>
          <w:rFonts w:asciiTheme="minorHAnsi" w:hAnsiTheme="minorHAnsi" w:cstheme="minorHAnsi"/>
          <w:sz w:val="22"/>
          <w:szCs w:val="22"/>
          <w:lang w:val="hr-HR" w:eastAsia="hr-HR"/>
        </w:rPr>
        <w:t>do</w:t>
      </w:r>
      <w:r w:rsidR="00025D3F" w:rsidRPr="00B268C1">
        <w:rPr>
          <w:rFonts w:asciiTheme="minorHAnsi" w:hAnsiTheme="minorHAnsi" w:cstheme="minorHAnsi"/>
          <w:sz w:val="22"/>
          <w:szCs w:val="22"/>
          <w:lang w:val="hr-HR" w:eastAsia="hr-HR"/>
        </w:rPr>
        <w:t xml:space="preserve"> </w:t>
      </w:r>
      <w:r w:rsidR="00131376" w:rsidRPr="003327E4">
        <w:rPr>
          <w:rFonts w:asciiTheme="minorHAnsi" w:hAnsiTheme="minorHAnsi" w:cstheme="minorHAnsi"/>
          <w:sz w:val="22"/>
          <w:szCs w:val="22"/>
          <w:lang w:val="hr-HR" w:eastAsia="hr-HR"/>
        </w:rPr>
        <w:t>228</w:t>
      </w:r>
      <w:r w:rsidR="00817AB7" w:rsidRPr="00B268C1">
        <w:rPr>
          <w:rFonts w:asciiTheme="minorHAnsi" w:hAnsiTheme="minorHAnsi" w:cstheme="minorHAnsi"/>
          <w:sz w:val="22"/>
          <w:szCs w:val="22"/>
          <w:lang w:val="hr-HR" w:eastAsia="hr-HR"/>
        </w:rPr>
        <w:t xml:space="preserve"> </w:t>
      </w:r>
      <w:r w:rsidRPr="00B268C1">
        <w:rPr>
          <w:rFonts w:asciiTheme="minorHAnsi" w:hAnsiTheme="minorHAnsi" w:cstheme="minorHAnsi"/>
          <w:sz w:val="22"/>
          <w:szCs w:val="22"/>
          <w:lang w:val="hr-HR" w:eastAsia="hr-HR"/>
        </w:rPr>
        <w:t>odobrena</w:t>
      </w:r>
      <w:r w:rsidRPr="00CD3A2D">
        <w:rPr>
          <w:rFonts w:asciiTheme="minorHAnsi" w:hAnsiTheme="minorHAnsi" w:cstheme="minorHAnsi"/>
          <w:sz w:val="22"/>
          <w:szCs w:val="22"/>
          <w:lang w:val="hr-HR" w:eastAsia="hr-HR"/>
        </w:rPr>
        <w:t xml:space="preserve"> su od strane </w:t>
      </w:r>
      <w:r w:rsidRPr="002763F4">
        <w:rPr>
          <w:rFonts w:asciiTheme="minorHAnsi" w:hAnsiTheme="minorHAnsi" w:cstheme="minorHAnsi"/>
          <w:sz w:val="22"/>
          <w:szCs w:val="22"/>
          <w:lang w:val="hr-HR" w:eastAsia="hr-HR"/>
        </w:rPr>
        <w:t xml:space="preserve">Uprave </w:t>
      </w:r>
      <w:r w:rsidR="002763F4" w:rsidRPr="002763F4">
        <w:rPr>
          <w:rFonts w:asciiTheme="minorHAnsi" w:hAnsiTheme="minorHAnsi" w:cstheme="minorHAnsi"/>
          <w:sz w:val="22"/>
          <w:szCs w:val="22"/>
          <w:lang w:val="hr-HR" w:eastAsia="hr-HR"/>
        </w:rPr>
        <w:t>25</w:t>
      </w:r>
      <w:r w:rsidR="00025D3F" w:rsidRPr="002763F4">
        <w:rPr>
          <w:rFonts w:asciiTheme="minorHAnsi" w:hAnsiTheme="minorHAnsi" w:cstheme="minorHAnsi"/>
          <w:sz w:val="22"/>
          <w:szCs w:val="22"/>
          <w:lang w:val="hr-HR" w:eastAsia="hr-HR"/>
        </w:rPr>
        <w:t>. ožujka</w:t>
      </w:r>
      <w:r w:rsidRPr="00CD3A2D">
        <w:rPr>
          <w:rFonts w:asciiTheme="minorHAnsi" w:hAnsiTheme="minorHAnsi" w:cstheme="minorHAnsi"/>
          <w:sz w:val="22"/>
          <w:szCs w:val="22"/>
          <w:lang w:val="hr-HR" w:eastAsia="hr-HR"/>
        </w:rPr>
        <w:t xml:space="preserve"> 2019. godine u svrhu njihove predaje Nadzornom odboru, što je potvrđeno potpisima u nastavku.</w:t>
      </w:r>
    </w:p>
    <w:p w:rsidR="00016B15" w:rsidRPr="00CD3A2D" w:rsidRDefault="00016B15">
      <w:pPr>
        <w:numPr>
          <w:ilvl w:val="12"/>
          <w:numId w:val="0"/>
        </w:numPr>
        <w:jc w:val="both"/>
        <w:rPr>
          <w:rFonts w:asciiTheme="minorHAnsi" w:hAnsiTheme="minorHAnsi" w:cstheme="minorHAnsi"/>
          <w:sz w:val="22"/>
          <w:szCs w:val="22"/>
          <w:lang w:val="hr-HR" w:eastAsia="hr-HR"/>
        </w:rPr>
      </w:pPr>
    </w:p>
    <w:p w:rsidR="00C403E1" w:rsidRPr="00CD3A2D" w:rsidRDefault="00C403E1">
      <w:pPr>
        <w:numPr>
          <w:ilvl w:val="12"/>
          <w:numId w:val="0"/>
        </w:numPr>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Uprava je također odgovorna i za pripremu i sadržaj Izvješća poslovodstva</w:t>
      </w:r>
      <w:r w:rsidR="008629B2">
        <w:rPr>
          <w:rFonts w:asciiTheme="minorHAnsi" w:hAnsiTheme="minorHAnsi" w:cstheme="minorHAnsi"/>
          <w:sz w:val="22"/>
          <w:szCs w:val="22"/>
          <w:lang w:val="hr-HR" w:eastAsia="hr-HR"/>
        </w:rPr>
        <w:t xml:space="preserve"> i za Izjavu o primjeni kodeksa korporativnog upravljanja </w:t>
      </w:r>
      <w:r w:rsidRPr="00CD3A2D">
        <w:rPr>
          <w:rFonts w:asciiTheme="minorHAnsi" w:hAnsiTheme="minorHAnsi" w:cstheme="minorHAnsi"/>
          <w:sz w:val="22"/>
          <w:szCs w:val="22"/>
          <w:lang w:val="hr-HR" w:eastAsia="hr-HR"/>
        </w:rPr>
        <w:t>u skladu s hrvatskim Zakonom o računovodstvu</w:t>
      </w:r>
      <w:r w:rsidR="008629B2">
        <w:rPr>
          <w:rFonts w:asciiTheme="minorHAnsi" w:hAnsiTheme="minorHAnsi" w:cstheme="minorHAnsi"/>
          <w:sz w:val="22"/>
          <w:szCs w:val="22"/>
          <w:lang w:val="hr-HR" w:eastAsia="hr-HR"/>
        </w:rPr>
        <w:t xml:space="preserve"> te ostal</w:t>
      </w:r>
      <w:r w:rsidR="0067442D">
        <w:rPr>
          <w:rFonts w:asciiTheme="minorHAnsi" w:hAnsiTheme="minorHAnsi" w:cstheme="minorHAnsi"/>
          <w:sz w:val="22"/>
          <w:szCs w:val="22"/>
          <w:lang w:val="hr-HR" w:eastAsia="hr-HR"/>
        </w:rPr>
        <w:t>e</w:t>
      </w:r>
      <w:r w:rsidR="008629B2">
        <w:rPr>
          <w:rFonts w:asciiTheme="minorHAnsi" w:hAnsiTheme="minorHAnsi" w:cstheme="minorHAnsi"/>
          <w:sz w:val="22"/>
          <w:szCs w:val="22"/>
          <w:lang w:val="hr-HR" w:eastAsia="hr-HR"/>
        </w:rPr>
        <w:t xml:space="preserve"> informacij</w:t>
      </w:r>
      <w:r w:rsidR="0067442D">
        <w:rPr>
          <w:rFonts w:asciiTheme="minorHAnsi" w:hAnsiTheme="minorHAnsi" w:cstheme="minorHAnsi"/>
          <w:sz w:val="22"/>
          <w:szCs w:val="22"/>
          <w:lang w:val="hr-HR" w:eastAsia="hr-HR"/>
        </w:rPr>
        <w:t>e</w:t>
      </w:r>
      <w:r w:rsidR="008629B2">
        <w:rPr>
          <w:rFonts w:asciiTheme="minorHAnsi" w:hAnsiTheme="minorHAnsi" w:cstheme="minorHAnsi"/>
          <w:sz w:val="22"/>
          <w:szCs w:val="22"/>
          <w:lang w:val="hr-HR" w:eastAsia="hr-HR"/>
        </w:rPr>
        <w:t xml:space="preserve"> (z</w:t>
      </w:r>
      <w:r w:rsidR="003B0997">
        <w:rPr>
          <w:rFonts w:asciiTheme="minorHAnsi" w:hAnsiTheme="minorHAnsi" w:cstheme="minorHAnsi"/>
          <w:sz w:val="22"/>
          <w:szCs w:val="22"/>
          <w:lang w:val="hr-HR" w:eastAsia="hr-HR"/>
        </w:rPr>
        <w:t>a</w:t>
      </w:r>
      <w:r w:rsidR="008629B2">
        <w:rPr>
          <w:rFonts w:asciiTheme="minorHAnsi" w:hAnsiTheme="minorHAnsi" w:cstheme="minorHAnsi"/>
          <w:sz w:val="22"/>
          <w:szCs w:val="22"/>
          <w:lang w:val="hr-HR" w:eastAsia="hr-HR"/>
        </w:rPr>
        <w:t>j</w:t>
      </w:r>
      <w:r w:rsidR="003B0997">
        <w:rPr>
          <w:rFonts w:asciiTheme="minorHAnsi" w:hAnsiTheme="minorHAnsi" w:cstheme="minorHAnsi"/>
          <w:sz w:val="22"/>
          <w:szCs w:val="22"/>
          <w:lang w:val="hr-HR" w:eastAsia="hr-HR"/>
        </w:rPr>
        <w:t>e</w:t>
      </w:r>
      <w:r w:rsidR="008629B2">
        <w:rPr>
          <w:rFonts w:asciiTheme="minorHAnsi" w:hAnsiTheme="minorHAnsi" w:cstheme="minorHAnsi"/>
          <w:sz w:val="22"/>
          <w:szCs w:val="22"/>
          <w:lang w:val="hr-HR" w:eastAsia="hr-HR"/>
        </w:rPr>
        <w:t>dno „o</w:t>
      </w:r>
      <w:r w:rsidR="006F32EC">
        <w:rPr>
          <w:rFonts w:asciiTheme="minorHAnsi" w:hAnsiTheme="minorHAnsi" w:cstheme="minorHAnsi"/>
          <w:sz w:val="22"/>
          <w:szCs w:val="22"/>
          <w:lang w:val="hr-HR" w:eastAsia="hr-HR"/>
        </w:rPr>
        <w:t>s</w:t>
      </w:r>
      <w:r w:rsidR="008629B2">
        <w:rPr>
          <w:rFonts w:asciiTheme="minorHAnsi" w:hAnsiTheme="minorHAnsi" w:cstheme="minorHAnsi"/>
          <w:sz w:val="22"/>
          <w:szCs w:val="22"/>
          <w:lang w:val="hr-HR" w:eastAsia="hr-HR"/>
        </w:rPr>
        <w:t>tale informacije“)</w:t>
      </w:r>
      <w:r w:rsidRPr="00CD3A2D">
        <w:rPr>
          <w:rFonts w:asciiTheme="minorHAnsi" w:hAnsiTheme="minorHAnsi" w:cstheme="minorHAnsi"/>
          <w:sz w:val="22"/>
          <w:szCs w:val="22"/>
          <w:lang w:val="hr-HR" w:eastAsia="hr-HR"/>
        </w:rPr>
        <w:t xml:space="preserve">. Izvješće </w:t>
      </w:r>
      <w:r w:rsidR="001567C8" w:rsidRPr="001567C8">
        <w:rPr>
          <w:rFonts w:asciiTheme="minorHAnsi" w:hAnsiTheme="minorHAnsi" w:cstheme="minorHAnsi"/>
          <w:sz w:val="22"/>
          <w:szCs w:val="22"/>
          <w:lang w:val="hr-HR" w:eastAsia="hr-HR"/>
        </w:rPr>
        <w:t>poslovodstva</w:t>
      </w:r>
      <w:r w:rsidRPr="00CD3A2D">
        <w:rPr>
          <w:rFonts w:asciiTheme="minorHAnsi" w:hAnsiTheme="minorHAnsi" w:cstheme="minorHAnsi"/>
          <w:sz w:val="22"/>
          <w:szCs w:val="22"/>
          <w:lang w:val="hr-HR" w:eastAsia="hr-HR"/>
        </w:rPr>
        <w:t xml:space="preserve"> prikazano na </w:t>
      </w:r>
      <w:r w:rsidRPr="00313223">
        <w:rPr>
          <w:rFonts w:asciiTheme="minorHAnsi" w:hAnsiTheme="minorHAnsi" w:cstheme="minorHAnsi"/>
          <w:sz w:val="22"/>
          <w:szCs w:val="22"/>
          <w:lang w:val="hr-HR" w:eastAsia="hr-HR"/>
        </w:rPr>
        <w:t xml:space="preserve">stranicama </w:t>
      </w:r>
      <w:r w:rsidR="00817AB7" w:rsidRPr="003327E4">
        <w:rPr>
          <w:rFonts w:asciiTheme="minorHAnsi" w:hAnsiTheme="minorHAnsi" w:cstheme="minorHAnsi"/>
          <w:sz w:val="22"/>
          <w:szCs w:val="22"/>
          <w:lang w:val="hr-HR" w:eastAsia="hr-HR"/>
        </w:rPr>
        <w:t xml:space="preserve">4 </w:t>
      </w:r>
      <w:r w:rsidRPr="00313223">
        <w:rPr>
          <w:rFonts w:asciiTheme="minorHAnsi" w:hAnsiTheme="minorHAnsi" w:cstheme="minorHAnsi"/>
          <w:sz w:val="22"/>
          <w:szCs w:val="22"/>
          <w:lang w:val="hr-HR" w:eastAsia="hr-HR"/>
        </w:rPr>
        <w:t xml:space="preserve">do </w:t>
      </w:r>
      <w:r w:rsidR="008629B2" w:rsidRPr="003327E4">
        <w:rPr>
          <w:rFonts w:asciiTheme="minorHAnsi" w:hAnsiTheme="minorHAnsi" w:cstheme="minorHAnsi"/>
          <w:sz w:val="22"/>
          <w:szCs w:val="22"/>
          <w:lang w:val="hr-HR" w:eastAsia="hr-HR"/>
        </w:rPr>
        <w:t>7</w:t>
      </w:r>
      <w:r w:rsidRPr="00313223">
        <w:rPr>
          <w:rFonts w:asciiTheme="minorHAnsi" w:hAnsiTheme="minorHAnsi" w:cstheme="minorHAnsi"/>
          <w:sz w:val="22"/>
          <w:szCs w:val="22"/>
          <w:lang w:val="hr-HR" w:eastAsia="hr-HR"/>
        </w:rPr>
        <w:t>,</w:t>
      </w:r>
      <w:r w:rsidR="008629B2" w:rsidRPr="003327E4">
        <w:rPr>
          <w:rFonts w:asciiTheme="minorHAnsi" w:hAnsiTheme="minorHAnsi" w:cstheme="minorHAnsi"/>
          <w:sz w:val="22"/>
          <w:szCs w:val="22"/>
          <w:lang w:val="hr-HR" w:eastAsia="hr-HR"/>
        </w:rPr>
        <w:t xml:space="preserve"> </w:t>
      </w:r>
      <w:r w:rsidR="008629B2" w:rsidRPr="00313223">
        <w:rPr>
          <w:rFonts w:asciiTheme="minorHAnsi" w:hAnsiTheme="minorHAnsi" w:cstheme="minorHAnsi"/>
          <w:sz w:val="22"/>
          <w:szCs w:val="22"/>
          <w:lang w:val="hr-HR" w:eastAsia="hr-HR"/>
        </w:rPr>
        <w:t>Izjava</w:t>
      </w:r>
      <w:r w:rsidR="008629B2" w:rsidRPr="008629B2">
        <w:rPr>
          <w:rFonts w:asciiTheme="minorHAnsi" w:hAnsiTheme="minorHAnsi" w:cstheme="minorHAnsi"/>
          <w:sz w:val="22"/>
          <w:szCs w:val="22"/>
          <w:lang w:val="hr-HR" w:eastAsia="hr-HR"/>
        </w:rPr>
        <w:t xml:space="preserve"> o primjeni kodeksa korporativnog upravljanja</w:t>
      </w:r>
      <w:r w:rsidRPr="00CD3A2D">
        <w:rPr>
          <w:rFonts w:asciiTheme="minorHAnsi" w:hAnsiTheme="minorHAnsi" w:cstheme="minorHAnsi"/>
          <w:sz w:val="22"/>
          <w:szCs w:val="22"/>
          <w:lang w:val="hr-HR" w:eastAsia="hr-HR"/>
        </w:rPr>
        <w:t xml:space="preserve"> </w:t>
      </w:r>
      <w:r w:rsidR="008629B2">
        <w:rPr>
          <w:rFonts w:asciiTheme="minorHAnsi" w:hAnsiTheme="minorHAnsi" w:cstheme="minorHAnsi"/>
          <w:sz w:val="22"/>
          <w:szCs w:val="22"/>
          <w:lang w:val="hr-HR" w:eastAsia="hr-HR"/>
        </w:rPr>
        <w:t xml:space="preserve">prikazana </w:t>
      </w:r>
      <w:r w:rsidR="008629B2" w:rsidRPr="00313223">
        <w:rPr>
          <w:rFonts w:asciiTheme="minorHAnsi" w:hAnsiTheme="minorHAnsi" w:cstheme="minorHAnsi"/>
          <w:sz w:val="22"/>
          <w:szCs w:val="22"/>
          <w:lang w:val="hr-HR" w:eastAsia="hr-HR"/>
        </w:rPr>
        <w:t>na stranicama 8 do 12</w:t>
      </w:r>
      <w:r w:rsidR="008629B2">
        <w:rPr>
          <w:rFonts w:asciiTheme="minorHAnsi" w:hAnsiTheme="minorHAnsi" w:cstheme="minorHAnsi"/>
          <w:sz w:val="22"/>
          <w:szCs w:val="22"/>
          <w:lang w:val="hr-HR" w:eastAsia="hr-HR"/>
        </w:rPr>
        <w:t xml:space="preserve"> te ostale infor</w:t>
      </w:r>
      <w:r w:rsidR="006F32EC">
        <w:rPr>
          <w:rFonts w:asciiTheme="minorHAnsi" w:hAnsiTheme="minorHAnsi" w:cstheme="minorHAnsi"/>
          <w:sz w:val="22"/>
          <w:szCs w:val="22"/>
          <w:lang w:val="hr-HR" w:eastAsia="hr-HR"/>
        </w:rPr>
        <w:t>m</w:t>
      </w:r>
      <w:r w:rsidR="008629B2">
        <w:rPr>
          <w:rFonts w:asciiTheme="minorHAnsi" w:hAnsiTheme="minorHAnsi" w:cstheme="minorHAnsi"/>
          <w:sz w:val="22"/>
          <w:szCs w:val="22"/>
          <w:lang w:val="hr-HR" w:eastAsia="hr-HR"/>
        </w:rPr>
        <w:t xml:space="preserve">acije na </w:t>
      </w:r>
      <w:r w:rsidR="008629B2" w:rsidRPr="00313223">
        <w:rPr>
          <w:rFonts w:asciiTheme="minorHAnsi" w:hAnsiTheme="minorHAnsi" w:cstheme="minorHAnsi"/>
          <w:sz w:val="22"/>
          <w:szCs w:val="22"/>
          <w:lang w:val="hr-HR" w:eastAsia="hr-HR"/>
        </w:rPr>
        <w:t>stranicama 13 do 51</w:t>
      </w:r>
      <w:r w:rsidR="008629B2">
        <w:rPr>
          <w:rFonts w:asciiTheme="minorHAnsi" w:hAnsiTheme="minorHAnsi" w:cstheme="minorHAnsi"/>
          <w:sz w:val="22"/>
          <w:szCs w:val="22"/>
          <w:lang w:val="hr-HR" w:eastAsia="hr-HR"/>
        </w:rPr>
        <w:t xml:space="preserve"> </w:t>
      </w:r>
      <w:r w:rsidRPr="00CD3A2D">
        <w:rPr>
          <w:rFonts w:asciiTheme="minorHAnsi" w:hAnsiTheme="minorHAnsi" w:cstheme="minorHAnsi"/>
          <w:sz w:val="22"/>
          <w:szCs w:val="22"/>
          <w:lang w:val="hr-HR" w:eastAsia="hr-HR"/>
        </w:rPr>
        <w:t>odobren</w:t>
      </w:r>
      <w:r w:rsidR="009F47E0">
        <w:rPr>
          <w:rFonts w:asciiTheme="minorHAnsi" w:hAnsiTheme="minorHAnsi" w:cstheme="minorHAnsi"/>
          <w:sz w:val="22"/>
          <w:szCs w:val="22"/>
          <w:lang w:val="hr-HR" w:eastAsia="hr-HR"/>
        </w:rPr>
        <w:t>i</w:t>
      </w:r>
      <w:r w:rsidRPr="00CD3A2D">
        <w:rPr>
          <w:rFonts w:asciiTheme="minorHAnsi" w:hAnsiTheme="minorHAnsi" w:cstheme="minorHAnsi"/>
          <w:sz w:val="22"/>
          <w:szCs w:val="22"/>
          <w:lang w:val="hr-HR" w:eastAsia="hr-HR"/>
        </w:rPr>
        <w:t xml:space="preserve"> </w:t>
      </w:r>
      <w:r w:rsidR="008629B2">
        <w:rPr>
          <w:rFonts w:asciiTheme="minorHAnsi" w:hAnsiTheme="minorHAnsi" w:cstheme="minorHAnsi"/>
          <w:sz w:val="22"/>
          <w:szCs w:val="22"/>
          <w:lang w:val="hr-HR" w:eastAsia="hr-HR"/>
        </w:rPr>
        <w:t>su</w:t>
      </w:r>
      <w:r w:rsidRPr="00CD3A2D">
        <w:rPr>
          <w:rFonts w:asciiTheme="minorHAnsi" w:hAnsiTheme="minorHAnsi" w:cstheme="minorHAnsi"/>
          <w:sz w:val="22"/>
          <w:szCs w:val="22"/>
          <w:lang w:val="hr-HR" w:eastAsia="hr-HR"/>
        </w:rPr>
        <w:t xml:space="preserve"> za izdavanje od strane </w:t>
      </w:r>
      <w:r w:rsidRPr="002763F4">
        <w:rPr>
          <w:rFonts w:asciiTheme="minorHAnsi" w:hAnsiTheme="minorHAnsi" w:cstheme="minorHAnsi"/>
          <w:sz w:val="22"/>
          <w:szCs w:val="22"/>
          <w:lang w:val="hr-HR" w:eastAsia="hr-HR"/>
        </w:rPr>
        <w:t xml:space="preserve">Uprave </w:t>
      </w:r>
      <w:r w:rsidR="002763F4" w:rsidRPr="002763F4">
        <w:rPr>
          <w:rFonts w:asciiTheme="minorHAnsi" w:hAnsiTheme="minorHAnsi" w:cstheme="minorHAnsi"/>
          <w:sz w:val="22"/>
          <w:szCs w:val="22"/>
          <w:lang w:val="hr-HR" w:eastAsia="hr-HR"/>
        </w:rPr>
        <w:t>25</w:t>
      </w:r>
      <w:r w:rsidRPr="002763F4">
        <w:rPr>
          <w:rFonts w:asciiTheme="minorHAnsi" w:hAnsiTheme="minorHAnsi" w:cstheme="minorHAnsi"/>
          <w:sz w:val="22"/>
          <w:szCs w:val="22"/>
          <w:lang w:val="hr-HR" w:eastAsia="hr-HR"/>
        </w:rPr>
        <w:t>. ožujka 2019.</w:t>
      </w:r>
    </w:p>
    <w:p w:rsidR="00F905B3" w:rsidRPr="001567C8" w:rsidRDefault="00F905B3" w:rsidP="00F905B3">
      <w:pPr>
        <w:pStyle w:val="BodyText"/>
        <w:rPr>
          <w:rFonts w:asciiTheme="minorHAnsi" w:hAnsiTheme="minorHAnsi" w:cstheme="minorHAnsi"/>
          <w:b/>
          <w:sz w:val="22"/>
          <w:szCs w:val="22"/>
          <w:highlight w:val="yellow"/>
          <w:lang w:val="hr-HR"/>
        </w:rPr>
      </w:pPr>
    </w:p>
    <w:p w:rsidR="00F63F33" w:rsidRPr="001567C8" w:rsidRDefault="00F63F33" w:rsidP="00F905B3">
      <w:pPr>
        <w:pStyle w:val="BodyText"/>
        <w:rPr>
          <w:rFonts w:asciiTheme="minorHAnsi" w:hAnsiTheme="minorHAnsi" w:cstheme="minorHAnsi"/>
          <w:b/>
          <w:sz w:val="22"/>
          <w:szCs w:val="22"/>
          <w:highlight w:val="yellow"/>
          <w:lang w:val="hr-HR"/>
        </w:rPr>
      </w:pPr>
    </w:p>
    <w:p w:rsidR="00060FB1" w:rsidRDefault="003E6272" w:rsidP="00060FB1">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U ime i za Hrvatsku banku za obnovu i razvitak:</w:t>
      </w:r>
    </w:p>
    <w:p w:rsidR="00C928BB" w:rsidRDefault="00C928BB" w:rsidP="00060FB1">
      <w:pPr>
        <w:pStyle w:val="T1"/>
        <w:spacing w:before="0" w:after="0" w:line="240" w:lineRule="auto"/>
        <w:rPr>
          <w:rFonts w:asciiTheme="minorHAnsi" w:hAnsiTheme="minorHAnsi" w:cs="Arial"/>
          <w:b w:val="0"/>
          <w:sz w:val="22"/>
          <w:szCs w:val="22"/>
          <w:lang w:val="hr-HR"/>
        </w:rPr>
      </w:pPr>
    </w:p>
    <w:p w:rsidR="00C928BB" w:rsidRPr="001567C8" w:rsidRDefault="00C928BB" w:rsidP="00060FB1">
      <w:pPr>
        <w:pStyle w:val="T1"/>
        <w:spacing w:before="0" w:after="0" w:line="240" w:lineRule="auto"/>
        <w:rPr>
          <w:rFonts w:asciiTheme="minorHAnsi" w:hAnsiTheme="minorHAnsi" w:cs="Arial"/>
          <w:b w:val="0"/>
          <w:sz w:val="22"/>
          <w:szCs w:val="22"/>
          <w:lang w:val="hr-HR"/>
        </w:rPr>
      </w:pPr>
    </w:p>
    <w:p w:rsidR="00060FB1" w:rsidRPr="001567C8" w:rsidRDefault="00060FB1" w:rsidP="00060FB1">
      <w:pPr>
        <w:pStyle w:val="T1"/>
        <w:spacing w:before="0" w:after="0" w:line="240" w:lineRule="auto"/>
        <w:rPr>
          <w:rFonts w:asciiTheme="minorHAnsi" w:hAnsiTheme="minorHAnsi" w:cs="Arial"/>
          <w:b w:val="0"/>
          <w:sz w:val="22"/>
          <w:szCs w:val="22"/>
          <w:lang w:val="hr-HR"/>
        </w:rPr>
      </w:pPr>
    </w:p>
    <w:tbl>
      <w:tblPr>
        <w:tblW w:w="9357" w:type="dxa"/>
        <w:tblLook w:val="04A0" w:firstRow="1" w:lastRow="0" w:firstColumn="1" w:lastColumn="0" w:noHBand="0" w:noVBand="1"/>
      </w:tblPr>
      <w:tblGrid>
        <w:gridCol w:w="3402"/>
        <w:gridCol w:w="2977"/>
        <w:gridCol w:w="2978"/>
      </w:tblGrid>
      <w:tr w:rsidR="003E6272" w:rsidRPr="001567C8" w:rsidTr="00361B04">
        <w:trPr>
          <w:trHeight w:hRule="exact" w:val="284"/>
        </w:trPr>
        <w:tc>
          <w:tcPr>
            <w:tcW w:w="3402" w:type="dxa"/>
          </w:tcPr>
          <w:p w:rsidR="003E6272" w:rsidRPr="001567C8" w:rsidRDefault="003E6272" w:rsidP="00361B04">
            <w:pPr>
              <w:jc w:val="center"/>
              <w:rPr>
                <w:rFonts w:asciiTheme="minorHAnsi" w:hAnsiTheme="minorHAnsi"/>
                <w:sz w:val="22"/>
                <w:szCs w:val="22"/>
                <w:lang w:val="hr-HR"/>
              </w:rPr>
            </w:pPr>
            <w:r w:rsidRPr="001567C8">
              <w:rPr>
                <w:rFonts w:asciiTheme="minorHAnsi" w:hAnsiTheme="minorHAnsi"/>
                <w:sz w:val="22"/>
                <w:szCs w:val="22"/>
                <w:lang w:val="hr-HR"/>
              </w:rPr>
              <w:t>______________________</w:t>
            </w:r>
          </w:p>
        </w:tc>
        <w:tc>
          <w:tcPr>
            <w:tcW w:w="2977" w:type="dxa"/>
          </w:tcPr>
          <w:p w:rsidR="003E6272" w:rsidRPr="001567C8" w:rsidRDefault="003E6272" w:rsidP="003E6272">
            <w:pPr>
              <w:rPr>
                <w:rFonts w:asciiTheme="minorHAnsi" w:hAnsiTheme="minorHAnsi"/>
                <w:sz w:val="22"/>
                <w:szCs w:val="22"/>
                <w:lang w:val="hr-HR"/>
              </w:rPr>
            </w:pPr>
          </w:p>
        </w:tc>
        <w:tc>
          <w:tcPr>
            <w:tcW w:w="2978" w:type="dxa"/>
          </w:tcPr>
          <w:p w:rsidR="003E6272" w:rsidRPr="001567C8" w:rsidRDefault="003E6272" w:rsidP="003E6272">
            <w:pPr>
              <w:rPr>
                <w:rFonts w:asciiTheme="minorHAnsi" w:hAnsiTheme="minorHAnsi" w:cs="Arial"/>
                <w:sz w:val="22"/>
                <w:szCs w:val="22"/>
                <w:lang w:val="hr-HR"/>
              </w:rPr>
            </w:pPr>
            <w:bookmarkStart w:id="32" w:name="_Hlk506894968"/>
            <w:r w:rsidRPr="001567C8">
              <w:rPr>
                <w:rFonts w:asciiTheme="minorHAnsi" w:hAnsiTheme="minorHAnsi"/>
                <w:sz w:val="22"/>
                <w:szCs w:val="22"/>
                <w:lang w:val="hr-HR"/>
              </w:rPr>
              <w:t>______________________</w:t>
            </w:r>
          </w:p>
        </w:tc>
      </w:tr>
      <w:tr w:rsidR="003E6272" w:rsidRPr="001567C8" w:rsidTr="00361B04">
        <w:trPr>
          <w:trHeight w:val="269"/>
        </w:trPr>
        <w:tc>
          <w:tcPr>
            <w:tcW w:w="3402" w:type="dxa"/>
            <w:vAlign w:val="bottom"/>
          </w:tcPr>
          <w:p w:rsidR="003E6272" w:rsidRPr="001567C8" w:rsidRDefault="003E6272" w:rsidP="003E6272">
            <w:pPr>
              <w:jc w:val="center"/>
              <w:rPr>
                <w:rFonts w:asciiTheme="minorHAnsi" w:hAnsiTheme="minorHAnsi" w:cs="Arial"/>
                <w:sz w:val="22"/>
                <w:szCs w:val="22"/>
                <w:lang w:val="hr-HR"/>
              </w:rPr>
            </w:pPr>
            <w:r w:rsidRPr="001567C8">
              <w:rPr>
                <w:rFonts w:asciiTheme="minorHAnsi" w:hAnsiTheme="minorHAnsi" w:cs="Arial"/>
                <w:sz w:val="22"/>
                <w:szCs w:val="22"/>
                <w:lang w:val="hr-HR"/>
              </w:rPr>
              <w:t>Marin Pranjić</w:t>
            </w:r>
          </w:p>
        </w:tc>
        <w:tc>
          <w:tcPr>
            <w:tcW w:w="2977" w:type="dxa"/>
          </w:tcPr>
          <w:p w:rsidR="003E6272" w:rsidRPr="001567C8" w:rsidRDefault="003E6272" w:rsidP="003E6272">
            <w:pPr>
              <w:jc w:val="center"/>
              <w:rPr>
                <w:rFonts w:asciiTheme="minorHAnsi" w:hAnsiTheme="minorHAnsi" w:cs="Arial"/>
                <w:sz w:val="22"/>
                <w:szCs w:val="22"/>
                <w:lang w:val="hr-HR"/>
              </w:rPr>
            </w:pPr>
          </w:p>
        </w:tc>
        <w:tc>
          <w:tcPr>
            <w:tcW w:w="2978" w:type="dxa"/>
            <w:vAlign w:val="bottom"/>
          </w:tcPr>
          <w:p w:rsidR="003E6272" w:rsidRPr="001567C8" w:rsidRDefault="003E6272" w:rsidP="003E6272">
            <w:pPr>
              <w:jc w:val="center"/>
              <w:rPr>
                <w:rFonts w:asciiTheme="minorHAnsi" w:hAnsiTheme="minorHAnsi" w:cs="Arial"/>
                <w:sz w:val="22"/>
                <w:szCs w:val="22"/>
                <w:lang w:val="hr-HR"/>
              </w:rPr>
            </w:pPr>
            <w:r w:rsidRPr="001567C8">
              <w:rPr>
                <w:rFonts w:asciiTheme="minorHAnsi" w:hAnsiTheme="minorHAnsi" w:cs="Arial"/>
                <w:sz w:val="22"/>
                <w:szCs w:val="22"/>
                <w:lang w:val="hr-HR"/>
              </w:rPr>
              <w:t>mr. sc. Vedran Jakšić</w:t>
            </w:r>
          </w:p>
        </w:tc>
      </w:tr>
      <w:tr w:rsidR="003E6272" w:rsidRPr="001567C8" w:rsidTr="00361B04">
        <w:trPr>
          <w:trHeight w:hRule="exact" w:val="145"/>
        </w:trPr>
        <w:tc>
          <w:tcPr>
            <w:tcW w:w="3402" w:type="dxa"/>
          </w:tcPr>
          <w:p w:rsidR="003E6272" w:rsidRPr="001567C8" w:rsidRDefault="003E6272" w:rsidP="003E6272">
            <w:pPr>
              <w:jc w:val="center"/>
              <w:rPr>
                <w:rFonts w:asciiTheme="minorHAnsi" w:hAnsiTheme="minorHAnsi" w:cs="Arial"/>
                <w:sz w:val="22"/>
                <w:szCs w:val="22"/>
                <w:lang w:val="hr-HR"/>
              </w:rPr>
            </w:pPr>
          </w:p>
        </w:tc>
        <w:tc>
          <w:tcPr>
            <w:tcW w:w="2977" w:type="dxa"/>
          </w:tcPr>
          <w:p w:rsidR="003E6272" w:rsidRPr="001567C8" w:rsidRDefault="003E6272" w:rsidP="003E6272">
            <w:pPr>
              <w:jc w:val="center"/>
              <w:rPr>
                <w:rFonts w:asciiTheme="minorHAnsi" w:hAnsiTheme="minorHAnsi" w:cs="Arial"/>
                <w:sz w:val="22"/>
                <w:szCs w:val="22"/>
                <w:lang w:val="hr-HR"/>
              </w:rPr>
            </w:pPr>
          </w:p>
        </w:tc>
        <w:tc>
          <w:tcPr>
            <w:tcW w:w="2978" w:type="dxa"/>
          </w:tcPr>
          <w:p w:rsidR="003E6272" w:rsidRPr="001567C8" w:rsidRDefault="003E6272" w:rsidP="003E6272">
            <w:pPr>
              <w:jc w:val="center"/>
              <w:rPr>
                <w:rFonts w:asciiTheme="minorHAnsi" w:hAnsiTheme="minorHAnsi" w:cs="Arial"/>
                <w:sz w:val="22"/>
                <w:szCs w:val="22"/>
                <w:lang w:val="hr-HR"/>
              </w:rPr>
            </w:pPr>
          </w:p>
        </w:tc>
      </w:tr>
      <w:tr w:rsidR="003E6272" w:rsidRPr="001567C8" w:rsidTr="00361B04">
        <w:trPr>
          <w:trHeight w:val="421"/>
        </w:trPr>
        <w:tc>
          <w:tcPr>
            <w:tcW w:w="3402" w:type="dxa"/>
          </w:tcPr>
          <w:p w:rsidR="003E6272" w:rsidRPr="001567C8" w:rsidRDefault="003E6272" w:rsidP="003E6272">
            <w:pPr>
              <w:jc w:val="center"/>
              <w:rPr>
                <w:rFonts w:asciiTheme="minorHAnsi" w:hAnsiTheme="minorHAnsi" w:cs="Arial"/>
                <w:b/>
                <w:sz w:val="22"/>
                <w:szCs w:val="22"/>
                <w:lang w:val="hr-HR"/>
              </w:rPr>
            </w:pPr>
            <w:r w:rsidRPr="001567C8">
              <w:rPr>
                <w:rFonts w:asciiTheme="minorHAnsi" w:hAnsiTheme="minorHAnsi" w:cs="Arial"/>
                <w:b/>
                <w:sz w:val="22"/>
                <w:szCs w:val="22"/>
                <w:lang w:val="hr-HR"/>
              </w:rPr>
              <w:t>Direktor Sektora računovodstva</w:t>
            </w:r>
          </w:p>
        </w:tc>
        <w:tc>
          <w:tcPr>
            <w:tcW w:w="2977" w:type="dxa"/>
          </w:tcPr>
          <w:p w:rsidR="003E6272" w:rsidRPr="001567C8" w:rsidRDefault="003E6272" w:rsidP="003E6272">
            <w:pPr>
              <w:jc w:val="center"/>
              <w:rPr>
                <w:rFonts w:asciiTheme="minorHAnsi" w:hAnsiTheme="minorHAnsi" w:cs="Arial"/>
                <w:b/>
                <w:sz w:val="22"/>
                <w:szCs w:val="22"/>
                <w:lang w:val="hr-HR"/>
              </w:rPr>
            </w:pPr>
          </w:p>
        </w:tc>
        <w:tc>
          <w:tcPr>
            <w:tcW w:w="2978" w:type="dxa"/>
          </w:tcPr>
          <w:p w:rsidR="003E6272" w:rsidRPr="001567C8" w:rsidRDefault="003E6272" w:rsidP="003E6272">
            <w:pPr>
              <w:jc w:val="center"/>
              <w:rPr>
                <w:rFonts w:asciiTheme="minorHAnsi" w:hAnsiTheme="minorHAnsi" w:cs="Arial"/>
                <w:b/>
                <w:sz w:val="22"/>
                <w:szCs w:val="22"/>
                <w:lang w:val="hr-HR"/>
              </w:rPr>
            </w:pPr>
            <w:r w:rsidRPr="001567C8">
              <w:rPr>
                <w:rFonts w:asciiTheme="minorHAnsi" w:hAnsiTheme="minorHAnsi" w:cs="Arial"/>
                <w:b/>
                <w:sz w:val="22"/>
                <w:szCs w:val="22"/>
                <w:lang w:val="hr-HR"/>
              </w:rPr>
              <w:t>Izvršni direktor</w:t>
            </w:r>
          </w:p>
        </w:tc>
      </w:tr>
      <w:bookmarkEnd w:id="32"/>
    </w:tbl>
    <w:p w:rsidR="00FB0D22" w:rsidRPr="001567C8" w:rsidRDefault="00FB0D22" w:rsidP="00060FB1">
      <w:pPr>
        <w:pStyle w:val="T1"/>
        <w:spacing w:line="300" w:lineRule="exact"/>
        <w:jc w:val="left"/>
        <w:rPr>
          <w:rFonts w:asciiTheme="minorHAnsi" w:hAnsiTheme="minorHAnsi" w:cs="Arial"/>
          <w:b w:val="0"/>
          <w:sz w:val="22"/>
          <w:szCs w:val="22"/>
          <w:lang w:val="hr-HR"/>
        </w:rPr>
      </w:pPr>
    </w:p>
    <w:p w:rsidR="0045705F" w:rsidRPr="001567C8" w:rsidRDefault="0045705F" w:rsidP="00060FB1">
      <w:pPr>
        <w:pStyle w:val="T1"/>
        <w:spacing w:line="300" w:lineRule="exact"/>
        <w:rPr>
          <w:rFonts w:asciiTheme="minorHAnsi" w:hAnsiTheme="minorHAnsi" w:cs="Arial"/>
          <w:b w:val="0"/>
          <w:sz w:val="22"/>
          <w:szCs w:val="22"/>
          <w:lang w:val="hr-HR"/>
        </w:rPr>
      </w:pPr>
    </w:p>
    <w:tbl>
      <w:tblPr>
        <w:tblW w:w="9356" w:type="dxa"/>
        <w:jc w:val="center"/>
        <w:tblLook w:val="04A0" w:firstRow="1" w:lastRow="0" w:firstColumn="1" w:lastColumn="0" w:noHBand="0" w:noVBand="1"/>
      </w:tblPr>
      <w:tblGrid>
        <w:gridCol w:w="3545"/>
        <w:gridCol w:w="2552"/>
        <w:gridCol w:w="3259"/>
      </w:tblGrid>
      <w:tr w:rsidR="003E6272" w:rsidRPr="001567C8" w:rsidTr="00361B04">
        <w:trPr>
          <w:trHeight w:hRule="exact" w:val="284"/>
          <w:jc w:val="center"/>
        </w:trPr>
        <w:tc>
          <w:tcPr>
            <w:tcW w:w="3545" w:type="dxa"/>
          </w:tcPr>
          <w:p w:rsidR="003E6272" w:rsidRPr="001567C8" w:rsidRDefault="003E6272" w:rsidP="00603F8A">
            <w:pPr>
              <w:jc w:val="center"/>
              <w:rPr>
                <w:rFonts w:asciiTheme="minorHAnsi" w:hAnsiTheme="minorHAnsi" w:cs="Arial"/>
                <w:sz w:val="22"/>
                <w:szCs w:val="22"/>
                <w:lang w:val="hr-HR"/>
              </w:rPr>
            </w:pPr>
            <w:r w:rsidRPr="001567C8">
              <w:rPr>
                <w:rFonts w:asciiTheme="minorHAnsi" w:hAnsiTheme="minorHAnsi"/>
                <w:sz w:val="22"/>
                <w:szCs w:val="22"/>
                <w:lang w:val="hr-HR"/>
              </w:rPr>
              <w:t>__________________</w:t>
            </w:r>
          </w:p>
        </w:tc>
        <w:tc>
          <w:tcPr>
            <w:tcW w:w="2552" w:type="dxa"/>
          </w:tcPr>
          <w:p w:rsidR="003E6272" w:rsidRPr="001567C8" w:rsidRDefault="003E6272" w:rsidP="00603F8A">
            <w:pPr>
              <w:jc w:val="center"/>
              <w:rPr>
                <w:rFonts w:asciiTheme="minorHAnsi" w:hAnsiTheme="minorHAnsi" w:cs="Arial"/>
                <w:sz w:val="22"/>
                <w:szCs w:val="22"/>
                <w:lang w:val="hr-HR"/>
              </w:rPr>
            </w:pPr>
          </w:p>
        </w:tc>
        <w:tc>
          <w:tcPr>
            <w:tcW w:w="3259" w:type="dxa"/>
          </w:tcPr>
          <w:p w:rsidR="003E6272" w:rsidRPr="001567C8" w:rsidRDefault="003E6272" w:rsidP="00603F8A">
            <w:pPr>
              <w:jc w:val="center"/>
              <w:rPr>
                <w:rFonts w:asciiTheme="minorHAnsi" w:hAnsiTheme="minorHAnsi" w:cs="Arial"/>
                <w:sz w:val="22"/>
                <w:szCs w:val="22"/>
                <w:lang w:val="hr-HR"/>
              </w:rPr>
            </w:pPr>
            <w:r w:rsidRPr="001567C8">
              <w:rPr>
                <w:rFonts w:asciiTheme="minorHAnsi" w:hAnsiTheme="minorHAnsi"/>
                <w:sz w:val="22"/>
                <w:szCs w:val="22"/>
                <w:lang w:val="hr-HR"/>
              </w:rPr>
              <w:t>___________________</w:t>
            </w:r>
          </w:p>
        </w:tc>
      </w:tr>
      <w:tr w:rsidR="003E6272" w:rsidRPr="001567C8" w:rsidTr="00361B04">
        <w:trPr>
          <w:trHeight w:val="269"/>
          <w:jc w:val="center"/>
        </w:trPr>
        <w:tc>
          <w:tcPr>
            <w:tcW w:w="3545" w:type="dxa"/>
            <w:vAlign w:val="bottom"/>
          </w:tcPr>
          <w:p w:rsidR="003E6272" w:rsidRPr="001567C8" w:rsidRDefault="003E6272" w:rsidP="00E82873">
            <w:pPr>
              <w:jc w:val="center"/>
              <w:rPr>
                <w:rFonts w:asciiTheme="minorHAnsi" w:hAnsiTheme="minorHAnsi" w:cs="Arial"/>
                <w:sz w:val="22"/>
                <w:szCs w:val="22"/>
                <w:lang w:val="hr-HR"/>
              </w:rPr>
            </w:pPr>
            <w:r w:rsidRPr="001567C8">
              <w:rPr>
                <w:rFonts w:asciiTheme="minorHAnsi" w:hAnsiTheme="minorHAnsi" w:cs="Arial"/>
                <w:sz w:val="22"/>
                <w:szCs w:val="22"/>
                <w:lang w:val="hr-HR"/>
              </w:rPr>
              <w:t>mr. sc. Hrvoje Čuvalo</w:t>
            </w:r>
          </w:p>
        </w:tc>
        <w:tc>
          <w:tcPr>
            <w:tcW w:w="2552" w:type="dxa"/>
            <w:vAlign w:val="bottom"/>
          </w:tcPr>
          <w:p w:rsidR="003E6272" w:rsidRPr="001567C8" w:rsidRDefault="003E6272">
            <w:pPr>
              <w:jc w:val="center"/>
              <w:rPr>
                <w:rFonts w:asciiTheme="minorHAnsi" w:hAnsiTheme="minorHAnsi" w:cs="Arial"/>
                <w:sz w:val="22"/>
                <w:szCs w:val="22"/>
                <w:lang w:val="hr-HR"/>
              </w:rPr>
            </w:pPr>
          </w:p>
        </w:tc>
        <w:tc>
          <w:tcPr>
            <w:tcW w:w="3259" w:type="dxa"/>
            <w:vAlign w:val="bottom"/>
          </w:tcPr>
          <w:p w:rsidR="003E6272" w:rsidRPr="001567C8" w:rsidRDefault="003E6272" w:rsidP="008B7102">
            <w:pPr>
              <w:jc w:val="center"/>
              <w:rPr>
                <w:rFonts w:asciiTheme="minorHAnsi" w:hAnsiTheme="minorHAnsi" w:cs="Arial"/>
                <w:sz w:val="22"/>
                <w:szCs w:val="22"/>
                <w:lang w:val="hr-HR"/>
              </w:rPr>
            </w:pPr>
            <w:r w:rsidRPr="001567C8">
              <w:rPr>
                <w:rFonts w:asciiTheme="minorHAnsi" w:hAnsiTheme="minorHAnsi" w:cs="Arial"/>
                <w:sz w:val="22"/>
                <w:szCs w:val="22"/>
                <w:lang w:val="hr-HR"/>
              </w:rPr>
              <w:t>mr. sc. Tamara Perko</w:t>
            </w:r>
          </w:p>
        </w:tc>
      </w:tr>
      <w:tr w:rsidR="003E6272" w:rsidRPr="001567C8" w:rsidTr="00361B04">
        <w:trPr>
          <w:trHeight w:hRule="exact" w:val="145"/>
          <w:jc w:val="center"/>
        </w:trPr>
        <w:tc>
          <w:tcPr>
            <w:tcW w:w="3545" w:type="dxa"/>
          </w:tcPr>
          <w:p w:rsidR="003E6272" w:rsidRPr="001567C8" w:rsidRDefault="003E6272" w:rsidP="0045705F">
            <w:pPr>
              <w:jc w:val="center"/>
              <w:rPr>
                <w:rFonts w:asciiTheme="minorHAnsi" w:hAnsiTheme="minorHAnsi" w:cs="Arial"/>
                <w:sz w:val="22"/>
                <w:szCs w:val="22"/>
                <w:lang w:val="hr-HR"/>
              </w:rPr>
            </w:pPr>
          </w:p>
        </w:tc>
        <w:tc>
          <w:tcPr>
            <w:tcW w:w="2552" w:type="dxa"/>
          </w:tcPr>
          <w:p w:rsidR="003E6272" w:rsidRPr="001567C8" w:rsidRDefault="003E6272" w:rsidP="0045705F">
            <w:pPr>
              <w:jc w:val="center"/>
              <w:rPr>
                <w:rFonts w:asciiTheme="minorHAnsi" w:hAnsiTheme="minorHAnsi" w:cs="Arial"/>
                <w:sz w:val="22"/>
                <w:szCs w:val="22"/>
                <w:lang w:val="hr-HR"/>
              </w:rPr>
            </w:pPr>
          </w:p>
        </w:tc>
        <w:tc>
          <w:tcPr>
            <w:tcW w:w="3259" w:type="dxa"/>
          </w:tcPr>
          <w:p w:rsidR="003E6272" w:rsidRPr="001567C8" w:rsidRDefault="003E6272" w:rsidP="0045705F">
            <w:pPr>
              <w:jc w:val="center"/>
              <w:rPr>
                <w:rFonts w:asciiTheme="minorHAnsi" w:hAnsiTheme="minorHAnsi" w:cs="Arial"/>
                <w:sz w:val="22"/>
                <w:szCs w:val="22"/>
                <w:lang w:val="hr-HR"/>
              </w:rPr>
            </w:pPr>
          </w:p>
        </w:tc>
      </w:tr>
      <w:tr w:rsidR="003E6272" w:rsidRPr="001567C8" w:rsidTr="00361B04">
        <w:trPr>
          <w:trHeight w:val="421"/>
          <w:jc w:val="center"/>
        </w:trPr>
        <w:tc>
          <w:tcPr>
            <w:tcW w:w="3545" w:type="dxa"/>
          </w:tcPr>
          <w:p w:rsidR="003E6272" w:rsidRPr="001567C8" w:rsidRDefault="003E6272" w:rsidP="0045705F">
            <w:pPr>
              <w:jc w:val="center"/>
              <w:rPr>
                <w:rFonts w:asciiTheme="minorHAnsi" w:hAnsiTheme="minorHAnsi" w:cs="Arial"/>
                <w:b/>
                <w:sz w:val="22"/>
                <w:szCs w:val="22"/>
                <w:lang w:val="hr-HR"/>
              </w:rPr>
            </w:pPr>
            <w:r w:rsidRPr="001567C8">
              <w:rPr>
                <w:rFonts w:asciiTheme="minorHAnsi" w:hAnsiTheme="minorHAnsi" w:cs="Arial"/>
                <w:b/>
                <w:sz w:val="22"/>
                <w:szCs w:val="22"/>
                <w:lang w:val="hr-HR"/>
              </w:rPr>
              <w:t>Član Uprave</w:t>
            </w:r>
          </w:p>
        </w:tc>
        <w:tc>
          <w:tcPr>
            <w:tcW w:w="2552" w:type="dxa"/>
          </w:tcPr>
          <w:p w:rsidR="003E6272" w:rsidRPr="001567C8" w:rsidRDefault="003E6272" w:rsidP="0045705F">
            <w:pPr>
              <w:jc w:val="center"/>
              <w:rPr>
                <w:rFonts w:asciiTheme="minorHAnsi" w:hAnsiTheme="minorHAnsi" w:cs="Arial"/>
                <w:b/>
                <w:sz w:val="22"/>
                <w:szCs w:val="22"/>
                <w:lang w:val="hr-HR"/>
              </w:rPr>
            </w:pPr>
          </w:p>
        </w:tc>
        <w:tc>
          <w:tcPr>
            <w:tcW w:w="3259" w:type="dxa"/>
          </w:tcPr>
          <w:p w:rsidR="003E6272" w:rsidRPr="001567C8" w:rsidRDefault="003E6272" w:rsidP="0007650C">
            <w:pPr>
              <w:jc w:val="center"/>
              <w:rPr>
                <w:rFonts w:asciiTheme="minorHAnsi" w:hAnsiTheme="minorHAnsi" w:cs="Arial"/>
                <w:b/>
                <w:sz w:val="22"/>
                <w:szCs w:val="22"/>
                <w:lang w:val="hr-HR"/>
              </w:rPr>
            </w:pPr>
            <w:r w:rsidRPr="001567C8">
              <w:rPr>
                <w:rFonts w:asciiTheme="minorHAnsi" w:hAnsiTheme="minorHAnsi" w:cs="Arial"/>
                <w:b/>
                <w:sz w:val="22"/>
                <w:szCs w:val="22"/>
                <w:lang w:val="hr-HR"/>
              </w:rPr>
              <w:t>Predsjednica Uprave</w:t>
            </w:r>
          </w:p>
        </w:tc>
      </w:tr>
    </w:tbl>
    <w:p w:rsidR="009877C4" w:rsidRPr="001567C8" w:rsidRDefault="009877C4" w:rsidP="00447AB8">
      <w:pPr>
        <w:spacing w:before="240" w:after="120"/>
        <w:rPr>
          <w:rFonts w:asciiTheme="minorHAnsi" w:hAnsiTheme="minorHAnsi" w:cs="Arial"/>
          <w:sz w:val="22"/>
          <w:szCs w:val="22"/>
          <w:lang w:val="hr-HR"/>
        </w:rPr>
      </w:pPr>
    </w:p>
    <w:p w:rsidR="00840526" w:rsidRDefault="0045705F" w:rsidP="00447AB8">
      <w:pPr>
        <w:spacing w:before="240" w:after="120"/>
        <w:rPr>
          <w:rFonts w:asciiTheme="minorHAnsi" w:hAnsiTheme="minorHAnsi" w:cs="Arial"/>
          <w:sz w:val="22"/>
          <w:szCs w:val="22"/>
          <w:lang w:val="hr-HR"/>
        </w:rPr>
        <w:sectPr w:rsidR="00840526" w:rsidSect="000D6913">
          <w:headerReference w:type="default" r:id="rId52"/>
          <w:footerReference w:type="default" r:id="rId53"/>
          <w:pgSz w:w="11907" w:h="16840" w:code="9"/>
          <w:pgMar w:top="1418" w:right="987" w:bottom="1134" w:left="1418" w:header="851" w:footer="851" w:gutter="0"/>
          <w:cols w:space="720"/>
          <w:noEndnote/>
        </w:sectPr>
      </w:pPr>
      <w:r w:rsidRPr="002763F4">
        <w:rPr>
          <w:rFonts w:asciiTheme="minorHAnsi" w:hAnsiTheme="minorHAnsi" w:cs="Arial"/>
          <w:sz w:val="22"/>
          <w:szCs w:val="22"/>
          <w:lang w:val="hr-HR"/>
        </w:rPr>
        <w:t xml:space="preserve">U Zagrebu, </w:t>
      </w:r>
      <w:r w:rsidR="002763F4" w:rsidRPr="002763F4">
        <w:rPr>
          <w:rFonts w:asciiTheme="minorHAnsi" w:hAnsiTheme="minorHAnsi" w:cs="Arial"/>
          <w:sz w:val="22"/>
          <w:szCs w:val="22"/>
          <w:lang w:val="hr-HR"/>
        </w:rPr>
        <w:t>25</w:t>
      </w:r>
      <w:r w:rsidR="00025D3F" w:rsidRPr="002763F4">
        <w:rPr>
          <w:rFonts w:asciiTheme="minorHAnsi" w:hAnsiTheme="minorHAnsi" w:cs="Arial"/>
          <w:sz w:val="22"/>
          <w:szCs w:val="22"/>
          <w:lang w:val="hr-HR"/>
        </w:rPr>
        <w:t>.</w:t>
      </w:r>
      <w:r w:rsidRPr="002763F4">
        <w:rPr>
          <w:rFonts w:asciiTheme="minorHAnsi" w:hAnsiTheme="minorHAnsi" w:cs="Arial"/>
          <w:sz w:val="22"/>
          <w:szCs w:val="22"/>
          <w:lang w:val="hr-HR"/>
        </w:rPr>
        <w:t xml:space="preserve"> </w:t>
      </w:r>
      <w:r w:rsidR="0002528C" w:rsidRPr="002763F4">
        <w:rPr>
          <w:rFonts w:asciiTheme="minorHAnsi" w:hAnsiTheme="minorHAnsi" w:cs="Arial"/>
          <w:sz w:val="22"/>
          <w:szCs w:val="22"/>
          <w:lang w:val="hr-HR"/>
        </w:rPr>
        <w:t>ožujka</w:t>
      </w:r>
      <w:r w:rsidR="00930ABA" w:rsidRPr="002763F4">
        <w:rPr>
          <w:rFonts w:asciiTheme="minorHAnsi" w:hAnsiTheme="minorHAnsi" w:cs="Arial"/>
          <w:sz w:val="22"/>
          <w:szCs w:val="22"/>
          <w:lang w:val="hr-HR"/>
        </w:rPr>
        <w:t xml:space="preserve"> </w:t>
      </w:r>
      <w:r w:rsidR="000E3FCE" w:rsidRPr="002763F4">
        <w:rPr>
          <w:rFonts w:asciiTheme="minorHAnsi" w:hAnsiTheme="minorHAnsi" w:cs="Arial"/>
          <w:sz w:val="22"/>
          <w:szCs w:val="22"/>
          <w:lang w:val="hr-HR"/>
        </w:rPr>
        <w:t>201</w:t>
      </w:r>
      <w:r w:rsidR="007143FB" w:rsidRPr="002763F4">
        <w:rPr>
          <w:rFonts w:asciiTheme="minorHAnsi" w:hAnsiTheme="minorHAnsi" w:cs="Arial"/>
          <w:sz w:val="22"/>
          <w:szCs w:val="22"/>
          <w:lang w:val="hr-HR"/>
        </w:rPr>
        <w:t>9</w:t>
      </w:r>
      <w:r w:rsidR="000E3FCE" w:rsidRPr="002763F4">
        <w:rPr>
          <w:rFonts w:asciiTheme="minorHAnsi" w:hAnsiTheme="minorHAnsi" w:cs="Arial"/>
          <w:sz w:val="22"/>
          <w:szCs w:val="22"/>
          <w:lang w:val="hr-HR"/>
        </w:rPr>
        <w:t>. godine</w:t>
      </w:r>
      <w:r w:rsidR="00840526">
        <w:rPr>
          <w:rFonts w:asciiTheme="minorHAnsi" w:hAnsiTheme="minorHAnsi" w:cs="Arial"/>
          <w:sz w:val="22"/>
          <w:szCs w:val="22"/>
          <w:lang w:val="hr-HR"/>
        </w:rPr>
        <w:t xml:space="preserve"> </w:t>
      </w:r>
    </w:p>
    <w:p w:rsidR="00840526" w:rsidRDefault="00840526" w:rsidP="00447AB8">
      <w:pPr>
        <w:spacing w:before="240" w:after="120"/>
        <w:rPr>
          <w:rFonts w:asciiTheme="minorHAnsi" w:hAnsiTheme="minorHAnsi" w:cs="Arial"/>
          <w:sz w:val="22"/>
          <w:szCs w:val="22"/>
          <w:lang w:val="hr-HR"/>
        </w:rPr>
      </w:pPr>
      <w:r>
        <w:rPr>
          <w:rFonts w:asciiTheme="minorHAnsi" w:hAnsiTheme="minorHAnsi" w:cs="Arial"/>
          <w:sz w:val="22"/>
          <w:szCs w:val="22"/>
          <w:lang w:val="hr-HR"/>
        </w:rPr>
        <w:br w:type="page"/>
      </w:r>
    </w:p>
    <w:p w:rsidR="00B24D98" w:rsidRPr="00AA63E1" w:rsidRDefault="00B24D98" w:rsidP="00B24D98">
      <w:pPr>
        <w:spacing w:before="120" w:after="120" w:line="260" w:lineRule="exact"/>
        <w:rPr>
          <w:rFonts w:ascii="Univers for KPMG" w:hAnsi="Univers for KPMG"/>
          <w:b/>
          <w:color w:val="00338D"/>
          <w:lang w:val="hr-HR"/>
        </w:rPr>
      </w:pPr>
      <w:r w:rsidRPr="00AA63E1">
        <w:rPr>
          <w:rFonts w:ascii="Univers for KPMG" w:hAnsi="Univers for KPMG"/>
          <w:b/>
          <w:color w:val="00338D"/>
          <w:lang w:val="hr-HR"/>
        </w:rPr>
        <w:t xml:space="preserve">Izvješće o reviziji financijskih izvještaja </w:t>
      </w:r>
    </w:p>
    <w:p w:rsidR="00B24D98" w:rsidRPr="00AA63E1" w:rsidRDefault="00B24D98" w:rsidP="00B24D98">
      <w:pPr>
        <w:spacing w:before="120" w:after="120" w:line="260" w:lineRule="exact"/>
        <w:rPr>
          <w:rFonts w:ascii="Univers for KPMG" w:hAnsi="Univers for KPMG"/>
          <w:b/>
          <w:i/>
          <w:color w:val="00338D"/>
          <w:sz w:val="20"/>
          <w:lang w:val="hr-HR"/>
        </w:rPr>
      </w:pPr>
      <w:r w:rsidRPr="00AA63E1">
        <w:rPr>
          <w:rFonts w:ascii="Univers for KPMG" w:hAnsi="Univers for KPMG"/>
          <w:b/>
          <w:i/>
          <w:color w:val="00338D"/>
          <w:sz w:val="20"/>
          <w:lang w:val="hr-HR"/>
        </w:rPr>
        <w:t xml:space="preserve">Mišljenje </w:t>
      </w:r>
    </w:p>
    <w:p w:rsidR="00B24D98" w:rsidRPr="0080215E" w:rsidRDefault="00B24D98" w:rsidP="00B24D98">
      <w:pPr>
        <w:spacing w:before="120" w:after="120" w:line="260" w:lineRule="exact"/>
        <w:rPr>
          <w:rFonts w:ascii="Univers for KPMG" w:hAnsi="Univers for KPMG"/>
          <w:sz w:val="20"/>
        </w:rPr>
      </w:pPr>
      <w:r w:rsidRPr="0080215E">
        <w:rPr>
          <w:rFonts w:ascii="Univers for KPMG" w:hAnsi="Univers for KPMG" w:cs="Arial"/>
          <w:sz w:val="20"/>
        </w:rPr>
        <w:t xml:space="preserve">Obavili smo reviziju </w:t>
      </w:r>
      <w:bookmarkStart w:id="33" w:name="_Hlk2695575"/>
      <w:r w:rsidRPr="0080215E">
        <w:rPr>
          <w:rFonts w:ascii="Univers for KPMG" w:hAnsi="Univers for KPMG" w:cs="Arial"/>
          <w:sz w:val="20"/>
        </w:rPr>
        <w:t>odvojenih</w:t>
      </w:r>
      <w:bookmarkEnd w:id="33"/>
      <w:r w:rsidRPr="0080215E">
        <w:rPr>
          <w:rFonts w:ascii="Univers for KPMG" w:hAnsi="Univers for KPMG" w:cs="Arial"/>
          <w:sz w:val="20"/>
        </w:rPr>
        <w:t xml:space="preserve"> financijskih izvještaja Hrvatske banke za obnovu i razvitak</w:t>
      </w:r>
      <w:r w:rsidRPr="00EF153D" w:rsidDel="0097603F">
        <w:rPr>
          <w:rFonts w:ascii="Univers for KPMG" w:hAnsi="Univers for KPMG" w:cs="Arial"/>
          <w:sz w:val="20"/>
        </w:rPr>
        <w:t xml:space="preserve"> </w:t>
      </w:r>
      <w:r w:rsidRPr="0080215E">
        <w:rPr>
          <w:rFonts w:ascii="Univers for KPMG" w:hAnsi="Univers for KPMG" w:cs="Arial"/>
          <w:sz w:val="20"/>
        </w:rPr>
        <w:t>(„</w:t>
      </w:r>
      <w:r w:rsidRPr="00EF153D">
        <w:rPr>
          <w:rFonts w:ascii="Univers for KPMG" w:hAnsi="Univers for KPMG" w:cs="Arial"/>
          <w:sz w:val="20"/>
        </w:rPr>
        <w:t>Banka</w:t>
      </w:r>
      <w:r w:rsidRPr="0080215E">
        <w:rPr>
          <w:rFonts w:ascii="Univers for KPMG" w:hAnsi="Univers for KPMG" w:cs="Arial"/>
          <w:sz w:val="20"/>
        </w:rPr>
        <w:t xml:space="preserve">“) </w:t>
      </w:r>
      <w:bookmarkStart w:id="34" w:name="_Hlk2695583"/>
      <w:r w:rsidRPr="0080215E">
        <w:rPr>
          <w:rFonts w:ascii="Univers for KPMG" w:hAnsi="Univers for KPMG" w:cs="Arial"/>
          <w:sz w:val="20"/>
        </w:rPr>
        <w:t>te konsolidiranih financijskih izvještaja Banke i</w:t>
      </w:r>
      <w:bookmarkEnd w:id="34"/>
      <w:r w:rsidRPr="0080215E">
        <w:rPr>
          <w:rFonts w:ascii="Univers for KPMG" w:hAnsi="Univers for KPMG" w:cs="Arial"/>
          <w:sz w:val="20"/>
        </w:rPr>
        <w:t xml:space="preserve"> njezinog ovisnog društva (zajedno „Grupa“), </w:t>
      </w:r>
      <w:r w:rsidRPr="0080215E">
        <w:rPr>
          <w:rFonts w:ascii="Univers for KPMG" w:hAnsi="Univers for KPMG"/>
          <w:sz w:val="20"/>
        </w:rPr>
        <w:t xml:space="preserve">koji obuhvaćaju nekonsolidirani i konsolidirani izvještaj o financijskom položaju Banke odnosno Grupe na dan 31. prosinca 2018. godine te </w:t>
      </w:r>
      <w:bookmarkStart w:id="35" w:name="_Hlk2695640"/>
      <w:r w:rsidRPr="0080215E">
        <w:rPr>
          <w:rFonts w:ascii="Univers for KPMG" w:hAnsi="Univers for KPMG"/>
          <w:sz w:val="20"/>
        </w:rPr>
        <w:t>njihove nekonsolidirane i konsolidirane</w:t>
      </w:r>
      <w:bookmarkEnd w:id="35"/>
      <w:r w:rsidRPr="0080215E">
        <w:rPr>
          <w:rFonts w:ascii="Univers for KPMG" w:hAnsi="Univers for KPMG"/>
          <w:sz w:val="20"/>
        </w:rPr>
        <w:t xml:space="preserve"> izvještaje o dobiti i gubitku, sveobuhvatnoj dobiti, promjenama </w:t>
      </w:r>
      <w:r w:rsidR="00873B11">
        <w:rPr>
          <w:rFonts w:ascii="Univers for KPMG" w:hAnsi="Univers for KPMG"/>
          <w:sz w:val="20"/>
        </w:rPr>
        <w:t>u kapitalu</w:t>
      </w:r>
      <w:r w:rsidRPr="0080215E">
        <w:rPr>
          <w:rFonts w:ascii="Univers for KPMG" w:hAnsi="Univers for KPMG"/>
          <w:sz w:val="20"/>
        </w:rPr>
        <w:t xml:space="preserve"> i novčanom toku </w:t>
      </w:r>
      <w:r w:rsidRPr="0080215E">
        <w:rPr>
          <w:rFonts w:ascii="Univers for KPMG" w:eastAsia="Univers for KPMG" w:hAnsi="Univers for KPMG" w:cs="Univers for KPMG"/>
          <w:sz w:val="20"/>
          <w:szCs w:val="20"/>
        </w:rPr>
        <w:t>za tada završenu godinu, kao i bilješke koje sadrže značajne računovodstvene politike i ostala pojašnjenja</w:t>
      </w:r>
      <w:r w:rsidRPr="0080215E">
        <w:rPr>
          <w:rFonts w:ascii="Univers for KPMG" w:hAnsi="Univers for KPMG"/>
          <w:sz w:val="20"/>
        </w:rPr>
        <w:t xml:space="preserve"> (u nastavku „financijski izvještaji“).</w:t>
      </w:r>
    </w:p>
    <w:p w:rsidR="00B24D98" w:rsidRPr="0080215E" w:rsidRDefault="00B24D98" w:rsidP="00B24D98">
      <w:pPr>
        <w:spacing w:before="120" w:after="120" w:line="260" w:lineRule="exact"/>
        <w:rPr>
          <w:rFonts w:ascii="Univers for KPMG" w:hAnsi="Univers for KPMG"/>
          <w:sz w:val="20"/>
        </w:rPr>
      </w:pPr>
      <w:r w:rsidRPr="0080215E">
        <w:rPr>
          <w:rFonts w:ascii="Univers for KPMG" w:hAnsi="Univers for KPMG"/>
          <w:sz w:val="20"/>
        </w:rPr>
        <w:t xml:space="preserve">Prema našem mišljenju, priloženi financijski izvještaji istinito i fer prikazuju nekonsolidirani financijski položaj Banke i </w:t>
      </w:r>
      <w:bookmarkStart w:id="36" w:name="_Hlk2695753"/>
      <w:r w:rsidRPr="0080215E">
        <w:rPr>
          <w:rFonts w:ascii="Univers for KPMG" w:hAnsi="Univers for KPMG"/>
          <w:sz w:val="20"/>
        </w:rPr>
        <w:t>konsolidirani financijski položaj</w:t>
      </w:r>
      <w:bookmarkEnd w:id="36"/>
      <w:r w:rsidRPr="0080215E">
        <w:rPr>
          <w:rFonts w:ascii="Univers for KPMG" w:hAnsi="Univers for KPMG"/>
          <w:sz w:val="20"/>
        </w:rPr>
        <w:t xml:space="preserve"> Grupe na dan </w:t>
      </w:r>
      <w:r w:rsidRPr="00AA63E1">
        <w:rPr>
          <w:rFonts w:ascii="Univers for KPMG" w:hAnsi="Univers for KPMG"/>
          <w:sz w:val="20"/>
          <w:lang w:val="hr-HR"/>
        </w:rPr>
        <w:t>31. prosinca 2018.</w:t>
      </w:r>
      <w:r w:rsidRPr="0080215E">
        <w:rPr>
          <w:rFonts w:ascii="Univers for KPMG" w:hAnsi="Univers for KPMG"/>
          <w:sz w:val="20"/>
        </w:rPr>
        <w:t xml:space="preserve"> godine te njihovu </w:t>
      </w:r>
      <w:bookmarkStart w:id="37" w:name="_Hlk2694881"/>
      <w:r w:rsidRPr="00EF153D">
        <w:rPr>
          <w:rFonts w:ascii="Univers for KPMG" w:hAnsi="Univers for KPMG"/>
          <w:sz w:val="20"/>
        </w:rPr>
        <w:t>nekonsolidiranu i konsolidiranu</w:t>
      </w:r>
      <w:bookmarkEnd w:id="37"/>
      <w:r w:rsidRPr="00EF153D">
        <w:rPr>
          <w:rFonts w:ascii="Univers for KPMG" w:hAnsi="Univers for KPMG"/>
          <w:sz w:val="20"/>
        </w:rPr>
        <w:t xml:space="preserve"> </w:t>
      </w:r>
      <w:r w:rsidRPr="00A87A16">
        <w:rPr>
          <w:rFonts w:ascii="Univers for KPMG" w:hAnsi="Univers for KPMG"/>
          <w:sz w:val="20"/>
        </w:rPr>
        <w:t>financijsku uspješnost i</w:t>
      </w:r>
      <w:r w:rsidRPr="0080215E">
        <w:rPr>
          <w:rFonts w:ascii="Univers for KPMG" w:hAnsi="Univers for KPMG"/>
          <w:sz w:val="20"/>
        </w:rPr>
        <w:t xml:space="preserve"> novčane tokove za godinu koja je tada završila, sukladno Međunarodnim standardima financijskog izvještavanja usvojenim od strane Europske unije („EU MSFI“).</w:t>
      </w:r>
    </w:p>
    <w:p w:rsidR="00B24D98" w:rsidRPr="0080215E" w:rsidRDefault="00B24D98" w:rsidP="00B24D98">
      <w:pPr>
        <w:pStyle w:val="BodyText"/>
        <w:spacing w:before="240" w:after="120" w:line="260" w:lineRule="exact"/>
        <w:rPr>
          <w:rFonts w:ascii="Univers for KPMG" w:hAnsi="Univers for KPMG"/>
          <w:b/>
          <w:i/>
          <w:color w:val="00338D"/>
          <w:sz w:val="20"/>
          <w:lang w:val="hr-HR"/>
        </w:rPr>
      </w:pPr>
      <w:r w:rsidRPr="0080215E">
        <w:rPr>
          <w:rFonts w:ascii="Univers for KPMG" w:hAnsi="Univers for KPMG"/>
          <w:b/>
          <w:i/>
          <w:color w:val="00338D"/>
          <w:sz w:val="20"/>
          <w:lang w:val="hr-HR"/>
        </w:rPr>
        <w:t xml:space="preserve">Osnova za izražavanje mišljenja </w:t>
      </w:r>
    </w:p>
    <w:p w:rsidR="00B24D98" w:rsidRPr="0080215E" w:rsidRDefault="00B24D98" w:rsidP="00B24D98">
      <w:pPr>
        <w:spacing w:before="120" w:after="120" w:line="260" w:lineRule="exact"/>
        <w:rPr>
          <w:rFonts w:ascii="Univers for KPMG" w:hAnsi="Univers for KPMG"/>
          <w:b/>
          <w:i/>
          <w:color w:val="00338D"/>
        </w:rPr>
      </w:pPr>
      <w:r w:rsidRPr="0080215E">
        <w:rPr>
          <w:rFonts w:ascii="Univers for KPMG" w:hAnsi="Univers for KPMG"/>
          <w:sz w:val="20"/>
        </w:rPr>
        <w:t xml:space="preserve">Obavili smo našu reviziju u skladu s Međunarodnim revizijskim standardima. Naše odgovornosti, u skladu s tim standardima, podrobnije su opisane u našem izvješću neovisnog revizora u odjeljku </w:t>
      </w:r>
      <w:r w:rsidRPr="0080215E">
        <w:rPr>
          <w:rFonts w:ascii="Univers for KPMG" w:hAnsi="Univers for KPMG"/>
          <w:i/>
          <w:sz w:val="20"/>
        </w:rPr>
        <w:t>Odgovornosti revizora za reviziju financijskih izvještaja</w:t>
      </w:r>
      <w:r w:rsidRPr="0080215E">
        <w:rPr>
          <w:rFonts w:ascii="Univers for KPMG" w:hAnsi="Univers for KPMG"/>
          <w:sz w:val="20"/>
        </w:rPr>
        <w:t>. Neovisni smo od Banke i Grupe u skladu s etičkim zahtjevima koji su relevantni za našu reviziju financijskih izvještaja u Hrvatskoj i ispunili smo naše ostale etičke odgovornosti u skladu s tim zahtjevima. Uvjereni smo da su nam pribavljeni revizijski dokazi dostatni i primjereni te da čine odgovarajuću osnovu za potrebe izražavanja našeg mišljenja</w:t>
      </w:r>
      <w:r w:rsidRPr="0080215E">
        <w:rPr>
          <w:sz w:val="20"/>
        </w:rPr>
        <w:t>.</w:t>
      </w:r>
    </w:p>
    <w:p w:rsidR="00840526" w:rsidRDefault="00840526" w:rsidP="00840526">
      <w:pPr>
        <w:autoSpaceDE w:val="0"/>
        <w:autoSpaceDN w:val="0"/>
        <w:adjustRightInd w:val="0"/>
        <w:jc w:val="both"/>
        <w:rPr>
          <w:rFonts w:ascii="Calibri" w:hAnsi="Calibri" w:cs="Calibri"/>
          <w:sz w:val="26"/>
          <w:szCs w:val="26"/>
        </w:rPr>
      </w:pPr>
    </w:p>
    <w:p w:rsidR="00F47441" w:rsidRDefault="00F47441" w:rsidP="00447AB8">
      <w:pPr>
        <w:spacing w:before="240" w:after="120"/>
        <w:rPr>
          <w:rFonts w:asciiTheme="minorHAnsi" w:hAnsiTheme="minorHAnsi" w:cs="Arial"/>
          <w:sz w:val="22"/>
          <w:szCs w:val="22"/>
          <w:lang w:val="hr-HR"/>
        </w:rPr>
      </w:pPr>
    </w:p>
    <w:p w:rsidR="00817AB7" w:rsidRDefault="00817AB7" w:rsidP="00447AB8">
      <w:pPr>
        <w:spacing w:before="240" w:after="120"/>
        <w:rPr>
          <w:rFonts w:asciiTheme="minorHAnsi" w:hAnsiTheme="minorHAnsi" w:cs="Arial"/>
          <w:sz w:val="22"/>
          <w:szCs w:val="22"/>
          <w:lang w:val="hr-HR"/>
        </w:rPr>
        <w:sectPr w:rsidR="00817AB7" w:rsidSect="00840526">
          <w:headerReference w:type="default" r:id="rId54"/>
          <w:footerReference w:type="default" r:id="rId55"/>
          <w:type w:val="continuous"/>
          <w:pgSz w:w="11907" w:h="16840" w:code="9"/>
          <w:pgMar w:top="1418" w:right="987" w:bottom="1134" w:left="1418" w:header="851" w:footer="851" w:gutter="0"/>
          <w:cols w:space="720"/>
          <w:noEndnote/>
        </w:sectPr>
      </w:pPr>
    </w:p>
    <w:p w:rsidR="00817AB7" w:rsidRDefault="00817AB7" w:rsidP="00447AB8">
      <w:pPr>
        <w:spacing w:before="240" w:after="120"/>
        <w:rPr>
          <w:rFonts w:asciiTheme="minorHAnsi" w:hAnsiTheme="minorHAnsi" w:cs="Arial"/>
          <w:sz w:val="22"/>
          <w:szCs w:val="22"/>
          <w:lang w:val="hr-HR"/>
        </w:rPr>
      </w:pPr>
      <w:r>
        <w:rPr>
          <w:rFonts w:asciiTheme="minorHAnsi" w:hAnsiTheme="minorHAnsi" w:cs="Arial"/>
          <w:sz w:val="22"/>
          <w:szCs w:val="22"/>
          <w:lang w:val="hr-HR"/>
        </w:rPr>
        <w:br w:type="page"/>
      </w:r>
    </w:p>
    <w:p w:rsidR="00B24D98" w:rsidRPr="00A87A16" w:rsidRDefault="00B24D98" w:rsidP="00B24D98">
      <w:pPr>
        <w:pStyle w:val="BodyText"/>
        <w:spacing w:after="160" w:line="260" w:lineRule="exact"/>
        <w:rPr>
          <w:rFonts w:ascii="Univers for KPMG" w:hAnsi="Univers for KPMG"/>
          <w:b/>
          <w:color w:val="00338D"/>
          <w:lang w:val="hr-HR"/>
        </w:rPr>
      </w:pPr>
      <w:bookmarkStart w:id="38" w:name="_Hlk4491888"/>
      <w:r w:rsidRPr="0080215E">
        <w:rPr>
          <w:rFonts w:ascii="Univers for KPMG" w:hAnsi="Univers for KPMG"/>
          <w:b/>
          <w:color w:val="00338D"/>
          <w:lang w:val="hr-HR"/>
        </w:rPr>
        <w:t xml:space="preserve">Izvješće o reviziji financijskih izvještaja </w:t>
      </w:r>
      <w:r w:rsidRPr="0080215E">
        <w:rPr>
          <w:rFonts w:ascii="Univers for KPMG" w:hAnsi="Univers for KPMG"/>
          <w:b/>
          <w:i/>
          <w:color w:val="00338D"/>
          <w:lang w:val="hr-HR"/>
        </w:rPr>
        <w:t>(nastavak)</w:t>
      </w:r>
    </w:p>
    <w:bookmarkEnd w:id="38"/>
    <w:p w:rsidR="00B24D98" w:rsidRPr="0080215E" w:rsidRDefault="00B24D98" w:rsidP="00B24D98">
      <w:pPr>
        <w:pStyle w:val="BodyText"/>
        <w:spacing w:before="240" w:after="120" w:line="260" w:lineRule="exact"/>
        <w:rPr>
          <w:rFonts w:ascii="Univers for KPMG" w:hAnsi="Univers for KPMG"/>
          <w:b/>
          <w:i/>
          <w:color w:val="00338D"/>
          <w:sz w:val="20"/>
          <w:lang w:val="hr-HR"/>
        </w:rPr>
      </w:pPr>
      <w:r w:rsidRPr="0080215E">
        <w:rPr>
          <w:rFonts w:ascii="Univers for KPMG" w:hAnsi="Univers for KPMG"/>
          <w:b/>
          <w:i/>
          <w:color w:val="00338D"/>
          <w:sz w:val="20"/>
          <w:lang w:val="hr-HR"/>
        </w:rPr>
        <w:t xml:space="preserve">Ključna revizijska pitanja </w:t>
      </w:r>
    </w:p>
    <w:p w:rsidR="00B24D98" w:rsidRDefault="00B24D98" w:rsidP="00B24D98">
      <w:pPr>
        <w:pStyle w:val="BodyText"/>
        <w:spacing w:before="120" w:line="260" w:lineRule="exact"/>
        <w:rPr>
          <w:rFonts w:ascii="Univers for KPMG" w:hAnsi="Univers for KPMG"/>
          <w:sz w:val="20"/>
          <w:lang w:val="hr-HR"/>
        </w:rPr>
      </w:pPr>
      <w:r w:rsidRPr="0080215E">
        <w:rPr>
          <w:rFonts w:ascii="Univers for KPMG" w:hAnsi="Univers for KPMG"/>
          <w:sz w:val="20"/>
          <w:lang w:val="hr-HR"/>
        </w:rPr>
        <w:t>Ključna revizijska pitanja su ona pitanja koja su, po našoj profesionalnoj prosudbi, bila od najveće važnosti za našu reviziju financijskih izvještaja tekućeg razdoblja. Ta smo pitanja razmatrali u kontekstu naše revizije financijskih izvještaja kao cjeline i pri formiranju našeg mišljenja o njima te ne dajemo zasebno mišljenje o tim pitanjima.</w:t>
      </w:r>
    </w:p>
    <w:tbl>
      <w:tblPr>
        <w:tblW w:w="9876" w:type="dxa"/>
        <w:tblInd w:w="-95" w:type="dxa"/>
        <w:tblCellMar>
          <w:left w:w="10" w:type="dxa"/>
          <w:right w:w="10" w:type="dxa"/>
        </w:tblCellMar>
        <w:tblLook w:val="0000" w:firstRow="0" w:lastRow="0" w:firstColumn="0" w:lastColumn="0" w:noHBand="0" w:noVBand="0"/>
      </w:tblPr>
      <w:tblGrid>
        <w:gridCol w:w="4915"/>
        <w:gridCol w:w="4961"/>
      </w:tblGrid>
      <w:tr w:rsidR="00B24D98" w:rsidRPr="00C17DF4" w:rsidTr="004D5AFD">
        <w:trPr>
          <w:trHeight w:val="20"/>
        </w:trPr>
        <w:tc>
          <w:tcPr>
            <w:tcW w:w="9876" w:type="dxa"/>
            <w:gridSpan w:val="2"/>
            <w:tcBorders>
              <w:bottom w:val="single" w:sz="24" w:space="0" w:color="00338E"/>
            </w:tcBorders>
            <w:shd w:val="clear" w:color="auto" w:fill="auto"/>
            <w:tcMar>
              <w:top w:w="0" w:type="dxa"/>
              <w:left w:w="108" w:type="dxa"/>
              <w:bottom w:w="0" w:type="dxa"/>
              <w:right w:w="108" w:type="dxa"/>
            </w:tcMar>
          </w:tcPr>
          <w:p w:rsidR="00B24D98" w:rsidRPr="00C17DF4" w:rsidRDefault="00B24D98" w:rsidP="004D5AFD">
            <w:pPr>
              <w:pStyle w:val="NormalWeb"/>
              <w:spacing w:before="120" w:after="0" w:line="260" w:lineRule="exact"/>
              <w:rPr>
                <w:b/>
              </w:rPr>
            </w:pPr>
            <w:r w:rsidRPr="00C17DF4">
              <w:rPr>
                <w:rFonts w:ascii="Univers for KPMG" w:eastAsia="Calibri" w:hAnsi="Univers for KPMG" w:cs="Arial"/>
                <w:b/>
                <w:sz w:val="18"/>
                <w:szCs w:val="18"/>
                <w:lang w:eastAsia="en-US"/>
              </w:rPr>
              <w:t>Umanjenje vrijednosti kredita ostalim korisnicima</w:t>
            </w:r>
          </w:p>
        </w:tc>
      </w:tr>
      <w:tr w:rsidR="00B24D98" w:rsidRPr="006746C3" w:rsidTr="004D5AFD">
        <w:trPr>
          <w:trHeight w:val="71"/>
        </w:trPr>
        <w:tc>
          <w:tcPr>
            <w:tcW w:w="9876" w:type="dxa"/>
            <w:gridSpan w:val="2"/>
            <w:tcBorders>
              <w:top w:val="single" w:sz="24" w:space="0" w:color="00338E"/>
              <w:bottom w:val="single" w:sz="8" w:space="0" w:color="00338E"/>
            </w:tcBorders>
            <w:shd w:val="clear" w:color="auto" w:fill="auto"/>
            <w:tcMar>
              <w:top w:w="0" w:type="dxa"/>
              <w:left w:w="108" w:type="dxa"/>
              <w:bottom w:w="0" w:type="dxa"/>
              <w:right w:w="108" w:type="dxa"/>
            </w:tcMar>
          </w:tcPr>
          <w:p w:rsidR="00B24D98" w:rsidRPr="00AA63E1" w:rsidRDefault="00B24D98" w:rsidP="004D5AFD">
            <w:pPr>
              <w:pStyle w:val="NormalWeb"/>
              <w:spacing w:before="120"/>
              <w:rPr>
                <w:rFonts w:ascii="Univers for KPMG" w:hAnsi="Univers for KPMG"/>
                <w:sz w:val="18"/>
                <w:szCs w:val="18"/>
                <w:lang w:val="hr-HR" w:eastAsia="en-US"/>
              </w:rPr>
            </w:pPr>
            <w:r w:rsidRPr="00AA63E1">
              <w:rPr>
                <w:rFonts w:ascii="Univers for KPMG" w:hAnsi="Univers for KPMG"/>
                <w:sz w:val="18"/>
                <w:szCs w:val="18"/>
                <w:lang w:val="hr-HR" w:eastAsia="en-US"/>
              </w:rPr>
              <w:t>Na dan 3</w:t>
            </w:r>
            <w:r w:rsidRPr="00CF4258">
              <w:rPr>
                <w:rFonts w:ascii="Univers for KPMG" w:hAnsi="Univers for KPMG"/>
                <w:sz w:val="18"/>
                <w:szCs w:val="18"/>
                <w:lang w:val="hr-HR" w:eastAsia="en-US"/>
              </w:rPr>
              <w:t>1</w:t>
            </w:r>
            <w:r w:rsidRPr="00AA63E1">
              <w:rPr>
                <w:rFonts w:ascii="Univers for KPMG" w:hAnsi="Univers for KPMG"/>
                <w:sz w:val="18"/>
                <w:szCs w:val="18"/>
                <w:lang w:val="hr-HR" w:eastAsia="en-US"/>
              </w:rPr>
              <w:t xml:space="preserve">. </w:t>
            </w:r>
            <w:r w:rsidRPr="00CF4258">
              <w:rPr>
                <w:rFonts w:ascii="Univers for KPMG" w:hAnsi="Univers for KPMG"/>
                <w:sz w:val="18"/>
                <w:szCs w:val="18"/>
                <w:lang w:val="hr-HR" w:eastAsia="en-US"/>
              </w:rPr>
              <w:t>prosinca</w:t>
            </w:r>
            <w:r w:rsidRPr="00AA63E1">
              <w:rPr>
                <w:rFonts w:ascii="Univers for KPMG" w:hAnsi="Univers for KPMG"/>
                <w:sz w:val="18"/>
                <w:szCs w:val="18"/>
                <w:lang w:val="hr-HR" w:eastAsia="en-US"/>
              </w:rPr>
              <w:t xml:space="preserve"> 2018., u </w:t>
            </w:r>
            <w:r w:rsidRPr="00CF4258">
              <w:rPr>
                <w:rFonts w:ascii="Univers for KPMG" w:hAnsi="Univers for KPMG"/>
                <w:sz w:val="18"/>
                <w:szCs w:val="18"/>
                <w:lang w:val="hr-HR" w:eastAsia="en-US"/>
              </w:rPr>
              <w:t>f</w:t>
            </w:r>
            <w:r w:rsidRPr="00AA63E1">
              <w:rPr>
                <w:rFonts w:ascii="Univers for KPMG" w:hAnsi="Univers for KPMG"/>
                <w:sz w:val="18"/>
                <w:szCs w:val="18"/>
                <w:lang w:val="hr-HR" w:eastAsia="en-US"/>
              </w:rPr>
              <w:t>inancijskim izvještajima Grupe i Banke, bruto krediti ostalim korisnicima iznosili su: 15.</w:t>
            </w:r>
            <w:r w:rsidRPr="00CF4258">
              <w:rPr>
                <w:rFonts w:ascii="Univers for KPMG" w:hAnsi="Univers for KPMG"/>
                <w:sz w:val="18"/>
                <w:szCs w:val="18"/>
                <w:lang w:val="hr-HR" w:eastAsia="en-US"/>
              </w:rPr>
              <w:t>891</w:t>
            </w:r>
            <w:r w:rsidRPr="00AA63E1">
              <w:rPr>
                <w:rFonts w:ascii="Univers for KPMG" w:hAnsi="Univers for KPMG"/>
                <w:sz w:val="18"/>
                <w:szCs w:val="18"/>
                <w:lang w:val="hr-HR" w:eastAsia="en-US"/>
              </w:rPr>
              <w:t xml:space="preserve"> milijuna kuna, povezano umanjenje vrijednosti 3.</w:t>
            </w:r>
            <w:r w:rsidRPr="00CF4258">
              <w:rPr>
                <w:rFonts w:ascii="Univers for KPMG" w:hAnsi="Univers for KPMG"/>
                <w:sz w:val="18"/>
                <w:szCs w:val="18"/>
                <w:lang w:val="hr-HR" w:eastAsia="en-US"/>
              </w:rPr>
              <w:t>380</w:t>
            </w:r>
            <w:r w:rsidRPr="00AA63E1">
              <w:rPr>
                <w:rFonts w:ascii="Univers for KPMG" w:hAnsi="Univers for KPMG"/>
                <w:sz w:val="18"/>
                <w:szCs w:val="18"/>
                <w:lang w:val="hr-HR" w:eastAsia="en-US"/>
              </w:rPr>
              <w:t xml:space="preserve"> milijuna kuna i </w:t>
            </w:r>
            <w:r w:rsidRPr="00CF4258">
              <w:rPr>
                <w:rFonts w:ascii="Univers for KPMG" w:hAnsi="Univers for KPMG"/>
                <w:sz w:val="18"/>
                <w:szCs w:val="18"/>
                <w:lang w:val="hr-HR" w:eastAsia="en-US"/>
              </w:rPr>
              <w:t>otpuštanje</w:t>
            </w:r>
            <w:r w:rsidRPr="00AA63E1">
              <w:rPr>
                <w:rFonts w:ascii="Univers for KPMG" w:hAnsi="Univers for KPMG"/>
                <w:sz w:val="18"/>
                <w:szCs w:val="18"/>
                <w:lang w:val="hr-HR" w:eastAsia="en-US"/>
              </w:rPr>
              <w:t xml:space="preserve"> umanjenja vrijednosti priznat</w:t>
            </w:r>
            <w:r w:rsidRPr="00CF4258">
              <w:rPr>
                <w:rFonts w:ascii="Univers for KPMG" w:hAnsi="Univers for KPMG"/>
                <w:sz w:val="18"/>
                <w:szCs w:val="18"/>
                <w:lang w:val="hr-HR" w:eastAsia="en-US"/>
              </w:rPr>
              <w:t>o</w:t>
            </w:r>
            <w:r w:rsidRPr="00AA63E1">
              <w:rPr>
                <w:rFonts w:ascii="Univers for KPMG" w:hAnsi="Univers for KPMG"/>
                <w:sz w:val="18"/>
                <w:szCs w:val="18"/>
                <w:lang w:val="hr-HR" w:eastAsia="en-US"/>
              </w:rPr>
              <w:t xml:space="preserve"> u računu dobiti i gubitka za </w:t>
            </w:r>
            <w:r w:rsidRPr="00CF4258">
              <w:rPr>
                <w:rFonts w:ascii="Univers for KPMG" w:hAnsi="Univers for KPMG"/>
                <w:sz w:val="18"/>
                <w:szCs w:val="18"/>
                <w:lang w:val="hr-HR" w:eastAsia="en-US"/>
              </w:rPr>
              <w:t xml:space="preserve">godinu koja je </w:t>
            </w:r>
            <w:r w:rsidRPr="00AA63E1">
              <w:rPr>
                <w:rFonts w:ascii="Univers for KPMG" w:hAnsi="Univers for KPMG"/>
                <w:sz w:val="18"/>
                <w:szCs w:val="18"/>
                <w:lang w:val="hr-HR" w:eastAsia="en-US"/>
              </w:rPr>
              <w:t>tada završil</w:t>
            </w:r>
            <w:r w:rsidRPr="00CF4258">
              <w:rPr>
                <w:rFonts w:ascii="Univers for KPMG" w:hAnsi="Univers for KPMG"/>
                <w:sz w:val="18"/>
                <w:szCs w:val="18"/>
                <w:lang w:val="hr-HR" w:eastAsia="en-US"/>
              </w:rPr>
              <w:t>a</w:t>
            </w:r>
            <w:r w:rsidRPr="00AA63E1">
              <w:rPr>
                <w:rFonts w:ascii="Univers for KPMG" w:hAnsi="Univers for KPMG"/>
                <w:sz w:val="18"/>
                <w:szCs w:val="18"/>
                <w:lang w:val="hr-HR" w:eastAsia="en-US"/>
              </w:rPr>
              <w:t xml:space="preserve">: </w:t>
            </w:r>
            <w:r w:rsidRPr="00CF4258">
              <w:rPr>
                <w:rFonts w:ascii="Univers for KPMG" w:hAnsi="Univers for KPMG"/>
                <w:sz w:val="18"/>
                <w:szCs w:val="18"/>
                <w:lang w:val="hr-HR" w:eastAsia="en-US"/>
              </w:rPr>
              <w:t>211</w:t>
            </w:r>
            <w:r w:rsidRPr="00AA63E1">
              <w:rPr>
                <w:rFonts w:ascii="Univers for KPMG" w:hAnsi="Univers for KPMG"/>
                <w:sz w:val="18"/>
                <w:szCs w:val="18"/>
                <w:lang w:val="hr-HR" w:eastAsia="en-US"/>
              </w:rPr>
              <w:t xml:space="preserve"> milijuna kuna (3</w:t>
            </w:r>
            <w:r w:rsidRPr="00CF4258">
              <w:rPr>
                <w:rFonts w:ascii="Univers for KPMG" w:hAnsi="Univers for KPMG"/>
                <w:sz w:val="18"/>
                <w:szCs w:val="18"/>
                <w:lang w:val="hr-HR" w:eastAsia="en-US"/>
              </w:rPr>
              <w:t>1</w:t>
            </w:r>
            <w:r w:rsidRPr="00AA63E1">
              <w:rPr>
                <w:rFonts w:ascii="Univers for KPMG" w:hAnsi="Univers for KPMG"/>
                <w:sz w:val="18"/>
                <w:szCs w:val="18"/>
                <w:lang w:val="hr-HR" w:eastAsia="en-US"/>
              </w:rPr>
              <w:t xml:space="preserve">. </w:t>
            </w:r>
            <w:r w:rsidRPr="00CF4258">
              <w:rPr>
                <w:rFonts w:ascii="Univers for KPMG" w:hAnsi="Univers for KPMG"/>
                <w:sz w:val="18"/>
                <w:szCs w:val="18"/>
                <w:lang w:val="hr-HR" w:eastAsia="en-US"/>
              </w:rPr>
              <w:t>prosinca</w:t>
            </w:r>
            <w:r w:rsidRPr="00AA63E1">
              <w:rPr>
                <w:rFonts w:ascii="Univers for KPMG" w:hAnsi="Univers for KPMG"/>
                <w:sz w:val="18"/>
                <w:szCs w:val="18"/>
                <w:lang w:val="hr-HR" w:eastAsia="en-US"/>
              </w:rPr>
              <w:t xml:space="preserve"> 201</w:t>
            </w:r>
            <w:r w:rsidRPr="00CF4258">
              <w:rPr>
                <w:rFonts w:ascii="Univers for KPMG" w:hAnsi="Univers for KPMG"/>
                <w:sz w:val="18"/>
                <w:szCs w:val="18"/>
                <w:lang w:val="hr-HR" w:eastAsia="en-US"/>
              </w:rPr>
              <w:t>7</w:t>
            </w:r>
            <w:r w:rsidRPr="00AA63E1">
              <w:rPr>
                <w:rFonts w:ascii="Univers for KPMG" w:hAnsi="Univers for KPMG"/>
                <w:sz w:val="18"/>
                <w:szCs w:val="18"/>
                <w:lang w:val="hr-HR" w:eastAsia="en-US"/>
              </w:rPr>
              <w:t>. bruto krediti ostalim korisnicima: 1</w:t>
            </w:r>
            <w:r w:rsidRPr="00CF4258">
              <w:rPr>
                <w:rFonts w:ascii="Univers for KPMG" w:hAnsi="Univers for KPMG"/>
                <w:sz w:val="18"/>
                <w:szCs w:val="18"/>
                <w:lang w:val="hr-HR" w:eastAsia="en-US"/>
              </w:rPr>
              <w:t>5.259</w:t>
            </w:r>
            <w:r w:rsidRPr="00AA63E1">
              <w:rPr>
                <w:rFonts w:ascii="Univers for KPMG" w:hAnsi="Univers for KPMG"/>
                <w:sz w:val="18"/>
                <w:szCs w:val="18"/>
                <w:lang w:val="hr-HR" w:eastAsia="en-US"/>
              </w:rPr>
              <w:t xml:space="preserve"> milijuna kuna, umanjenje vrijednosti 2.</w:t>
            </w:r>
            <w:r w:rsidRPr="00CF4258">
              <w:rPr>
                <w:rFonts w:ascii="Univers for KPMG" w:hAnsi="Univers for KPMG"/>
                <w:sz w:val="18"/>
                <w:szCs w:val="18"/>
                <w:lang w:val="hr-HR" w:eastAsia="en-US"/>
              </w:rPr>
              <w:t>875</w:t>
            </w:r>
            <w:r w:rsidRPr="00AA63E1">
              <w:rPr>
                <w:rFonts w:ascii="Univers for KPMG" w:hAnsi="Univers for KPMG"/>
                <w:sz w:val="18"/>
                <w:szCs w:val="18"/>
                <w:lang w:val="hr-HR" w:eastAsia="en-US"/>
              </w:rPr>
              <w:t xml:space="preserve"> milijuna kuna, gubitak od umanjenja vrijednosti priznat u računu dobiti i gubitka za </w:t>
            </w:r>
            <w:r w:rsidRPr="00CF4258">
              <w:rPr>
                <w:rFonts w:ascii="Univers for KPMG" w:hAnsi="Univers for KPMG"/>
                <w:sz w:val="18"/>
                <w:szCs w:val="18"/>
                <w:lang w:val="hr-HR" w:eastAsia="en-US"/>
              </w:rPr>
              <w:t>godinu koja je tada</w:t>
            </w:r>
            <w:r w:rsidRPr="00AA63E1">
              <w:rPr>
                <w:rFonts w:ascii="Univers for KPMG" w:hAnsi="Univers for KPMG"/>
                <w:sz w:val="18"/>
                <w:szCs w:val="18"/>
                <w:lang w:val="hr-HR" w:eastAsia="en-US"/>
              </w:rPr>
              <w:t xml:space="preserve"> završil</w:t>
            </w:r>
            <w:r w:rsidRPr="00CF4258">
              <w:rPr>
                <w:rFonts w:ascii="Univers for KPMG" w:hAnsi="Univers for KPMG"/>
                <w:sz w:val="18"/>
                <w:szCs w:val="18"/>
                <w:lang w:val="hr-HR" w:eastAsia="en-US"/>
              </w:rPr>
              <w:t>a</w:t>
            </w:r>
            <w:r w:rsidRPr="00AA63E1">
              <w:rPr>
                <w:rFonts w:ascii="Univers for KPMG" w:hAnsi="Univers for KPMG"/>
                <w:sz w:val="18"/>
                <w:szCs w:val="18"/>
                <w:lang w:val="hr-HR" w:eastAsia="en-US"/>
              </w:rPr>
              <w:t xml:space="preserve">: </w:t>
            </w:r>
            <w:r w:rsidRPr="00CF4258">
              <w:rPr>
                <w:rFonts w:ascii="Univers for KPMG" w:hAnsi="Univers for KPMG"/>
                <w:sz w:val="18"/>
                <w:szCs w:val="18"/>
                <w:lang w:val="hr-HR" w:eastAsia="en-US"/>
              </w:rPr>
              <w:t>338</w:t>
            </w:r>
            <w:r w:rsidRPr="00AA63E1">
              <w:rPr>
                <w:rFonts w:ascii="Univers for KPMG" w:hAnsi="Univers for KPMG"/>
                <w:sz w:val="18"/>
                <w:szCs w:val="18"/>
                <w:lang w:val="hr-HR" w:eastAsia="en-US"/>
              </w:rPr>
              <w:t xml:space="preserve"> milijuna kuna).  </w:t>
            </w:r>
          </w:p>
          <w:p w:rsidR="00B24D98" w:rsidRPr="006746C3" w:rsidRDefault="00B24D98" w:rsidP="004D5AFD">
            <w:pPr>
              <w:pStyle w:val="NormalWeb"/>
              <w:spacing w:before="120"/>
              <w:rPr>
                <w:rFonts w:ascii="Univers for KPMG" w:eastAsia="Calibri" w:hAnsi="Univers for KPMG"/>
                <w:iCs/>
                <w:sz w:val="18"/>
                <w:szCs w:val="18"/>
              </w:rPr>
            </w:pPr>
            <w:r w:rsidRPr="00AA63E1">
              <w:rPr>
                <w:rFonts w:ascii="Univers for KPMG" w:hAnsi="Univers for KPMG"/>
                <w:sz w:val="18"/>
                <w:szCs w:val="18"/>
                <w:lang w:val="hr-HR" w:eastAsia="en-US"/>
              </w:rPr>
              <w:t>Vidi bilješk</w:t>
            </w:r>
            <w:r w:rsidRPr="00CF4258">
              <w:rPr>
                <w:rFonts w:ascii="Univers for KPMG" w:hAnsi="Univers for KPMG"/>
                <w:sz w:val="18"/>
                <w:szCs w:val="18"/>
                <w:lang w:val="hr-HR" w:eastAsia="en-US"/>
              </w:rPr>
              <w:t>u</w:t>
            </w:r>
            <w:r w:rsidRPr="00AA63E1">
              <w:rPr>
                <w:rFonts w:ascii="Univers for KPMG" w:hAnsi="Univers for KPMG"/>
                <w:sz w:val="18"/>
                <w:szCs w:val="18"/>
                <w:lang w:val="hr-HR" w:eastAsia="en-US"/>
              </w:rPr>
              <w:t xml:space="preserve"> 4</w:t>
            </w:r>
            <w:r w:rsidRPr="00CF4258">
              <w:rPr>
                <w:rFonts w:ascii="Univers for KPMG" w:hAnsi="Univers for KPMG"/>
                <w:sz w:val="18"/>
                <w:szCs w:val="18"/>
                <w:lang w:val="hr-HR" w:eastAsia="en-US"/>
              </w:rPr>
              <w:t>. Sažetak značajnih računovodstvenih politika</w:t>
            </w:r>
            <w:r w:rsidRPr="00AA63E1">
              <w:rPr>
                <w:rFonts w:ascii="Univers for KPMG" w:hAnsi="Univers for KPMG"/>
                <w:sz w:val="18"/>
                <w:szCs w:val="18"/>
                <w:lang w:val="hr-HR" w:eastAsia="en-US"/>
              </w:rPr>
              <w:t>, bilješk</w:t>
            </w:r>
            <w:r w:rsidRPr="00CF4258">
              <w:rPr>
                <w:rFonts w:ascii="Univers for KPMG" w:hAnsi="Univers for KPMG"/>
                <w:sz w:val="18"/>
                <w:szCs w:val="18"/>
                <w:lang w:val="hr-HR" w:eastAsia="en-US"/>
              </w:rPr>
              <w:t>u</w:t>
            </w:r>
            <w:r w:rsidRPr="00AA63E1">
              <w:rPr>
                <w:rFonts w:ascii="Univers for KPMG" w:hAnsi="Univers for KPMG"/>
                <w:sz w:val="18"/>
                <w:szCs w:val="18"/>
                <w:lang w:val="hr-HR" w:eastAsia="en-US"/>
              </w:rPr>
              <w:t xml:space="preserve"> 5 Prijelaz na MSFI 9, bilješk</w:t>
            </w:r>
            <w:r w:rsidRPr="00CF4258">
              <w:rPr>
                <w:rFonts w:ascii="Univers for KPMG" w:hAnsi="Univers for KPMG"/>
                <w:sz w:val="18"/>
                <w:szCs w:val="18"/>
                <w:lang w:val="hr-HR" w:eastAsia="en-US"/>
              </w:rPr>
              <w:t>u</w:t>
            </w:r>
            <w:r w:rsidRPr="00AA63E1">
              <w:rPr>
                <w:rFonts w:ascii="Univers for KPMG" w:hAnsi="Univers for KPMG"/>
                <w:sz w:val="18"/>
                <w:szCs w:val="18"/>
                <w:lang w:val="hr-HR" w:eastAsia="en-US"/>
              </w:rPr>
              <w:t xml:space="preserve"> </w:t>
            </w:r>
            <w:r w:rsidRPr="00CF4258">
              <w:rPr>
                <w:rFonts w:ascii="Univers for KPMG" w:hAnsi="Univers for KPMG"/>
                <w:sz w:val="18"/>
                <w:szCs w:val="18"/>
                <w:lang w:val="hr-HR" w:eastAsia="en-US"/>
              </w:rPr>
              <w:t>11</w:t>
            </w:r>
            <w:r w:rsidRPr="00AA63E1">
              <w:rPr>
                <w:rFonts w:ascii="Univers for KPMG" w:hAnsi="Univers for KPMG"/>
                <w:sz w:val="18"/>
                <w:szCs w:val="18"/>
                <w:lang w:val="hr-HR" w:eastAsia="en-US"/>
              </w:rPr>
              <w:t xml:space="preserve"> Gubitak od umanjenja vrijednosti i rezerviranja, bilješk</w:t>
            </w:r>
            <w:r w:rsidRPr="00CF4258">
              <w:rPr>
                <w:rFonts w:ascii="Univers for KPMG" w:hAnsi="Univers for KPMG"/>
                <w:sz w:val="18"/>
                <w:szCs w:val="18"/>
                <w:lang w:val="hr-HR" w:eastAsia="en-US"/>
              </w:rPr>
              <w:t>u</w:t>
            </w:r>
            <w:r w:rsidRPr="00AA63E1">
              <w:rPr>
                <w:rFonts w:ascii="Univers for KPMG" w:hAnsi="Univers for KPMG"/>
                <w:sz w:val="18"/>
                <w:szCs w:val="18"/>
                <w:lang w:val="hr-HR" w:eastAsia="en-US"/>
              </w:rPr>
              <w:t xml:space="preserve"> 1</w:t>
            </w:r>
            <w:r w:rsidRPr="00CF4258">
              <w:rPr>
                <w:rFonts w:ascii="Univers for KPMG" w:hAnsi="Univers for KPMG"/>
                <w:sz w:val="18"/>
                <w:szCs w:val="18"/>
                <w:lang w:val="hr-HR" w:eastAsia="en-US"/>
              </w:rPr>
              <w:t>6</w:t>
            </w:r>
            <w:r w:rsidRPr="00AA63E1">
              <w:rPr>
                <w:rFonts w:ascii="Univers for KPMG" w:hAnsi="Univers for KPMG"/>
                <w:sz w:val="18"/>
                <w:szCs w:val="18"/>
                <w:lang w:val="hr-HR" w:eastAsia="en-US"/>
              </w:rPr>
              <w:t xml:space="preserve"> Krediti ostalim korisnicima i Kreditni rizik u okviru bilješke </w:t>
            </w:r>
            <w:r w:rsidRPr="00CF4258">
              <w:rPr>
                <w:rFonts w:ascii="Univers for KPMG" w:hAnsi="Univers for KPMG"/>
                <w:sz w:val="18"/>
                <w:szCs w:val="18"/>
                <w:lang w:val="hr-HR" w:eastAsia="en-US"/>
              </w:rPr>
              <w:t>3</w:t>
            </w:r>
            <w:r w:rsidRPr="00AA63E1">
              <w:rPr>
                <w:rFonts w:ascii="Univers for KPMG" w:hAnsi="Univers for KPMG"/>
                <w:sz w:val="18"/>
                <w:szCs w:val="18"/>
                <w:lang w:val="hr-HR" w:eastAsia="en-US"/>
              </w:rPr>
              <w:t>6 Upravljanje rizicima.</w:t>
            </w:r>
            <w:r w:rsidRPr="00AA63E1">
              <w:rPr>
                <w:rFonts w:ascii="Univers for KPMG" w:hAnsi="Univers for KPMG" w:cs="Arial"/>
                <w:color w:val="000000"/>
                <w:sz w:val="18"/>
                <w:szCs w:val="18"/>
              </w:rPr>
              <w:t xml:space="preserve">  </w:t>
            </w:r>
          </w:p>
        </w:tc>
      </w:tr>
      <w:tr w:rsidR="00B24D98" w:rsidRPr="00C17DF4" w:rsidTr="004D5AFD">
        <w:trPr>
          <w:trHeight w:val="369"/>
        </w:trPr>
        <w:tc>
          <w:tcPr>
            <w:tcW w:w="4915" w:type="dxa"/>
            <w:tcBorders>
              <w:top w:val="single" w:sz="24" w:space="0" w:color="00338E"/>
            </w:tcBorders>
            <w:shd w:val="clear" w:color="auto" w:fill="auto"/>
            <w:tcMar>
              <w:top w:w="0" w:type="dxa"/>
              <w:left w:w="108" w:type="dxa"/>
              <w:bottom w:w="0" w:type="dxa"/>
              <w:right w:w="108" w:type="dxa"/>
            </w:tcMar>
            <w:vAlign w:val="center"/>
          </w:tcPr>
          <w:p w:rsidR="00B24D98" w:rsidRPr="00C17DF4" w:rsidRDefault="00B24D98" w:rsidP="004D5AFD">
            <w:pPr>
              <w:pStyle w:val="NormalWeb"/>
              <w:spacing w:before="120" w:after="0" w:line="260" w:lineRule="exact"/>
            </w:pPr>
            <w:r w:rsidRPr="00C17DF4">
              <w:rPr>
                <w:rFonts w:ascii="Univers for KPMG" w:hAnsi="Univers for KPMG"/>
                <w:b/>
                <w:color w:val="00338D"/>
                <w:sz w:val="20"/>
              </w:rPr>
              <w:t>Ključno revizijsko pitanje</w:t>
            </w:r>
          </w:p>
        </w:tc>
        <w:tc>
          <w:tcPr>
            <w:tcW w:w="4961" w:type="dxa"/>
            <w:tcBorders>
              <w:top w:val="single" w:sz="24" w:space="0" w:color="00338E"/>
            </w:tcBorders>
            <w:shd w:val="clear" w:color="auto" w:fill="auto"/>
            <w:tcMar>
              <w:top w:w="0" w:type="dxa"/>
              <w:left w:w="108" w:type="dxa"/>
              <w:bottom w:w="0" w:type="dxa"/>
              <w:right w:w="108" w:type="dxa"/>
            </w:tcMar>
            <w:vAlign w:val="center"/>
          </w:tcPr>
          <w:p w:rsidR="00B24D98" w:rsidRPr="00C17DF4" w:rsidRDefault="00B24D98" w:rsidP="004D5AFD">
            <w:pPr>
              <w:pStyle w:val="NormalWeb"/>
              <w:spacing w:before="120" w:after="0" w:line="260" w:lineRule="exact"/>
            </w:pPr>
            <w:r w:rsidRPr="00C17DF4">
              <w:rPr>
                <w:rFonts w:ascii="Univers for KPMG" w:hAnsi="Univers for KPMG"/>
                <w:b/>
                <w:color w:val="00338D"/>
                <w:sz w:val="20"/>
              </w:rPr>
              <w:t>Kako smo pristupili tom pitanju</w:t>
            </w:r>
          </w:p>
        </w:tc>
      </w:tr>
      <w:tr w:rsidR="00B24D98" w:rsidRPr="00C17DF4" w:rsidTr="004D5AFD">
        <w:trPr>
          <w:trHeight w:val="20"/>
        </w:trPr>
        <w:tc>
          <w:tcPr>
            <w:tcW w:w="4915" w:type="dxa"/>
            <w:shd w:val="clear" w:color="auto" w:fill="DEEAF6"/>
            <w:tcMar>
              <w:top w:w="0" w:type="dxa"/>
              <w:left w:w="115" w:type="dxa"/>
              <w:bottom w:w="0" w:type="dxa"/>
              <w:right w:w="115" w:type="dxa"/>
            </w:tcMar>
          </w:tcPr>
          <w:p w:rsidR="00B24D98" w:rsidRDefault="00B24D98" w:rsidP="004D5AFD">
            <w:pPr>
              <w:spacing w:before="100" w:beforeAutospacing="1" w:after="100" w:afterAutospacing="1" w:line="220" w:lineRule="exact"/>
              <w:rPr>
                <w:rFonts w:ascii="Univers for KPMG" w:hAnsi="Univers for KPMG" w:cs="Arial"/>
                <w:bCs/>
                <w:color w:val="000000"/>
                <w:kern w:val="24"/>
                <w:sz w:val="18"/>
                <w:szCs w:val="18"/>
                <w:lang w:eastAsia="hr-HR"/>
              </w:rPr>
            </w:pPr>
            <w:r w:rsidRPr="00C17DF4">
              <w:rPr>
                <w:rFonts w:ascii="Univers for KPMG" w:hAnsi="Univers for KPMG" w:cs="Arial"/>
                <w:bCs/>
                <w:color w:val="000000"/>
                <w:kern w:val="24"/>
                <w:sz w:val="18"/>
                <w:szCs w:val="18"/>
                <w:lang w:eastAsia="hr-HR"/>
              </w:rPr>
              <w:t xml:space="preserve">Umanjenje vrijednosti predstavlja najbolju procjenu rukovodstva o očekivanim kreditnim gubicima unutar kredita ostalim korisnicima na izvještajni datum. Usredotočili smo se na navedeno područje s obzirom da određivanje iznosa rezervacija za umanjenje vrijednosti zahtjeva značajnu procjenu od strane rukovodstva koja se odnosi na određivanje trenutka priznavanja umanjenja vrijednosti kao i iznosa umanjenja vrijednosti. Dodatno, na dan 1. siječnja 2018., Banka i Grupa primijenili su novi standard vezan za financijske instrumente, MSFI 9 </w:t>
            </w:r>
            <w:r w:rsidRPr="00C17DF4">
              <w:rPr>
                <w:rFonts w:ascii="Univers for KPMG" w:hAnsi="Univers for KPMG" w:cs="Arial"/>
                <w:bCs/>
                <w:i/>
                <w:color w:val="000000"/>
                <w:kern w:val="24"/>
                <w:sz w:val="18"/>
                <w:szCs w:val="18"/>
                <w:lang w:eastAsia="hr-HR"/>
              </w:rPr>
              <w:t>Financijski instrumenti</w:t>
            </w:r>
            <w:r w:rsidRPr="00C17DF4">
              <w:rPr>
                <w:rFonts w:ascii="Univers for KPMG" w:hAnsi="Univers for KPMG" w:cs="Arial"/>
                <w:bCs/>
                <w:color w:val="000000"/>
                <w:kern w:val="24"/>
                <w:sz w:val="18"/>
                <w:szCs w:val="18"/>
                <w:lang w:eastAsia="hr-HR"/>
              </w:rPr>
              <w:t>, kod kojeg se umanjenje vrijednosti temelji na modelu očekivanih kreditnih gubitaka (eng. ECL), a ne više na ranije korištenom modelu nastalih gubitaka.</w:t>
            </w:r>
          </w:p>
          <w:p w:rsidR="00B24D98" w:rsidRDefault="00B24D98" w:rsidP="004D5AFD">
            <w:pPr>
              <w:pStyle w:val="NormalWeb"/>
              <w:spacing w:before="120" w:after="0" w:line="256" w:lineRule="auto"/>
              <w:rPr>
                <w:rFonts w:ascii="Univers for KPMG" w:hAnsi="Univers for KPMG" w:cs="Arial"/>
                <w:bCs/>
                <w:color w:val="000000"/>
                <w:kern w:val="24"/>
                <w:sz w:val="18"/>
                <w:szCs w:val="18"/>
              </w:rPr>
            </w:pPr>
            <w:r w:rsidRPr="00C17DF4">
              <w:rPr>
                <w:rFonts w:ascii="Univers for KPMG" w:hAnsi="Univers for KPMG"/>
                <w:sz w:val="18"/>
                <w:szCs w:val="18"/>
              </w:rPr>
              <w:t xml:space="preserve">Prelaskom na MSFI 9, rezervacije za umanjenje vrijednosti za prihodujuće izloženosti (Stage 1 i Stage 2 po MSFI 9 hijerarhiji rizika) i neprihodujuće izloženosti (Stage 3) čija je izloženost pojedinačno manja od 1,5 milijuna kuna (u nastavku „skupno umanjenje vrijednosti“) određuju se temeljem modela. </w:t>
            </w:r>
            <w:r w:rsidRPr="00C17DF4">
              <w:rPr>
                <w:rFonts w:ascii="Univers for KPMG" w:hAnsi="Univers for KPMG" w:cs="Arial"/>
                <w:bCs/>
                <w:color w:val="000000"/>
                <w:kern w:val="24"/>
                <w:sz w:val="18"/>
                <w:szCs w:val="18"/>
              </w:rPr>
              <w:t xml:space="preserve">Povijesno iskustvo, prepoznavanje izloženosti kod kojih je došlo do značajnog pogoršanja kreditnog rizika, informacije o predviđanjima budućih kretanja te procjene rukovodstva uključeni su u pretpostavke modela. </w:t>
            </w:r>
          </w:p>
          <w:p w:rsidR="00B24D98" w:rsidRPr="00C17DF4" w:rsidRDefault="00B24D98" w:rsidP="003327E4">
            <w:pPr>
              <w:pStyle w:val="NormalWeb"/>
              <w:spacing w:after="0" w:afterAutospacing="0" w:line="240" w:lineRule="atLeast"/>
              <w:rPr>
                <w:rFonts w:ascii="Univers for KPMG" w:hAnsi="Univers for KPMG"/>
                <w:sz w:val="18"/>
                <w:szCs w:val="18"/>
              </w:rPr>
            </w:pPr>
            <w:r w:rsidRPr="00C17DF4">
              <w:rPr>
                <w:rFonts w:ascii="Univers for KPMG" w:hAnsi="Univers for KPMG" w:cs="Arial"/>
                <w:bCs/>
                <w:color w:val="000000"/>
                <w:kern w:val="24"/>
                <w:sz w:val="18"/>
                <w:szCs w:val="18"/>
              </w:rPr>
              <w:t>Za neprihodujuće izloženosti koje su pojedinačno veće od 1,5 milijuna kuna, procjena umanjenja vrijednosti temelji se na poznavanju svakog dužnika, te često na procjeni fer vrijednosti pripadajućeg kolaterala. Pripadajuća rezervacija za umanjenje vrijednosti određuje se na pojedinačnoj osnovi temeljem sadašnje vrijednosti diskontiranih budućih novčanih tokova.</w:t>
            </w:r>
          </w:p>
          <w:p w:rsidR="00B24D98" w:rsidRPr="00C17DF4" w:rsidRDefault="00B24D98" w:rsidP="004D5AFD">
            <w:pPr>
              <w:spacing w:line="256" w:lineRule="auto"/>
            </w:pPr>
          </w:p>
        </w:tc>
        <w:tc>
          <w:tcPr>
            <w:tcW w:w="4961" w:type="dxa"/>
            <w:shd w:val="clear" w:color="auto" w:fill="auto"/>
            <w:tcMar>
              <w:top w:w="0" w:type="dxa"/>
              <w:left w:w="115" w:type="dxa"/>
              <w:bottom w:w="0" w:type="dxa"/>
              <w:right w:w="115" w:type="dxa"/>
            </w:tcMar>
          </w:tcPr>
          <w:p w:rsidR="00B24D98" w:rsidRPr="00C17DF4" w:rsidRDefault="00B24D98" w:rsidP="004D5AFD">
            <w:pPr>
              <w:spacing w:before="80" w:after="120" w:line="220" w:lineRule="exact"/>
              <w:rPr>
                <w:rFonts w:ascii="Univers for KPMG" w:hAnsi="Univers for KPMG" w:cs="Arial"/>
                <w:color w:val="000000"/>
                <w:sz w:val="18"/>
                <w:szCs w:val="18"/>
              </w:rPr>
            </w:pPr>
            <w:r w:rsidRPr="00C17DF4">
              <w:rPr>
                <w:rFonts w:ascii="Univers for KPMG" w:hAnsi="Univers for KPMG" w:cs="Arial"/>
                <w:color w:val="000000"/>
                <w:sz w:val="18"/>
                <w:szCs w:val="18"/>
              </w:rPr>
              <w:t>Naše revizorske procedure vezane za ovo područje, između ostalog, uključivale su:</w:t>
            </w:r>
          </w:p>
          <w:p w:rsidR="00B24D98" w:rsidRPr="00C17DF4" w:rsidRDefault="00B24D98" w:rsidP="00B24D98">
            <w:pPr>
              <w:pStyle w:val="ListParagraph"/>
              <w:numPr>
                <w:ilvl w:val="0"/>
                <w:numId w:val="48"/>
              </w:numPr>
              <w:suppressAutoHyphens/>
              <w:autoSpaceDN w:val="0"/>
              <w:spacing w:before="80" w:after="120" w:line="220" w:lineRule="exact"/>
              <w:contextualSpacing w:val="0"/>
              <w:rPr>
                <w:rFonts w:ascii="Univers for KPMG" w:hAnsi="Univers for KPMG" w:cs="Arial"/>
                <w:color w:val="000000"/>
                <w:sz w:val="18"/>
                <w:szCs w:val="18"/>
              </w:rPr>
            </w:pPr>
            <w:r w:rsidRPr="00C17DF4">
              <w:rPr>
                <w:rFonts w:ascii="Univers for KPMG" w:hAnsi="Univers for KPMG" w:cs="Arial"/>
                <w:color w:val="000000"/>
                <w:sz w:val="18"/>
                <w:szCs w:val="18"/>
              </w:rPr>
              <w:t>Pregled metodologije umanjenja vrijednosti za Banku i Grupu koja se temelji na MSFI 9 te procjenu njezine usklađenosti sa zahtjevima MSFI-a 9. Kao dio toga, preispitivanje rukovodstva o adekvatnosti razine detalja same metodologije sagledavanjem faktora na individualnoj i portfeljnoj razini;</w:t>
            </w:r>
          </w:p>
          <w:p w:rsidR="00B24D98" w:rsidRPr="00C17DF4" w:rsidRDefault="00B24D98" w:rsidP="00B24D98">
            <w:pPr>
              <w:pStyle w:val="ListParagraph"/>
              <w:numPr>
                <w:ilvl w:val="0"/>
                <w:numId w:val="48"/>
              </w:numPr>
              <w:suppressAutoHyphens/>
              <w:autoSpaceDN w:val="0"/>
              <w:spacing w:before="80" w:after="120" w:line="220" w:lineRule="exact"/>
              <w:contextualSpacing w:val="0"/>
              <w:rPr>
                <w:rFonts w:ascii="Univers for KPMG" w:hAnsi="Univers for KPMG" w:cs="Arial"/>
                <w:color w:val="000000"/>
                <w:sz w:val="18"/>
                <w:szCs w:val="18"/>
              </w:rPr>
            </w:pPr>
            <w:r w:rsidRPr="00C17DF4">
              <w:rPr>
                <w:rFonts w:ascii="Univers for KPMG" w:hAnsi="Univers for KPMG" w:cs="Arial"/>
                <w:color w:val="000000"/>
                <w:sz w:val="18"/>
                <w:szCs w:val="18"/>
              </w:rPr>
              <w:t xml:space="preserve">Razgovor sa zaposlenicima iz odjela upravljanja rizicima i </w:t>
            </w:r>
            <w:r>
              <w:rPr>
                <w:rFonts w:ascii="Univers for KPMG" w:hAnsi="Univers for KPMG" w:cs="Arial"/>
                <w:color w:val="000000"/>
                <w:sz w:val="18"/>
                <w:szCs w:val="18"/>
              </w:rPr>
              <w:t>informacijske tehnologije (</w:t>
            </w:r>
            <w:r w:rsidRPr="00C17DF4">
              <w:rPr>
                <w:rFonts w:ascii="Univers for KPMG" w:hAnsi="Univers for KPMG" w:cs="Arial"/>
                <w:color w:val="000000"/>
                <w:sz w:val="18"/>
                <w:szCs w:val="18"/>
              </w:rPr>
              <w:t>IT</w:t>
            </w:r>
            <w:r>
              <w:rPr>
                <w:rFonts w:ascii="Univers for KPMG" w:hAnsi="Univers for KPMG" w:cs="Arial"/>
                <w:color w:val="000000"/>
                <w:sz w:val="18"/>
                <w:szCs w:val="18"/>
              </w:rPr>
              <w:t>)</w:t>
            </w:r>
            <w:r w:rsidRPr="00C17DF4">
              <w:rPr>
                <w:rFonts w:ascii="Univers for KPMG" w:hAnsi="Univers for KPMG" w:cs="Arial"/>
                <w:color w:val="000000"/>
                <w:sz w:val="18"/>
                <w:szCs w:val="18"/>
              </w:rPr>
              <w:t>, kao i pregled zaključaka dokumentacije pripremljene od strane Bančinog vanjskog stručnjaka kako bismo razumjeli proces umanjenja vrijednosti, korištenih IT aplikacija, izvora ključnih informacija i pretpostavki o podacima koji su korišteni u modelu izračuna očekivanog kreditnog gubitka (eng. ECL). Također, uz pomoć našeg IT stručnjaka, procjenu i testiranje IT kontrolnog okruženja na sigurnost i pristup podacima;</w:t>
            </w:r>
          </w:p>
          <w:p w:rsidR="00B24D98" w:rsidRPr="00C17DF4" w:rsidRDefault="00B24D98" w:rsidP="00B24D98">
            <w:pPr>
              <w:pStyle w:val="ListParagraph"/>
              <w:numPr>
                <w:ilvl w:val="0"/>
                <w:numId w:val="48"/>
              </w:numPr>
              <w:suppressAutoHyphens/>
              <w:autoSpaceDN w:val="0"/>
              <w:spacing w:before="80" w:after="120" w:line="220" w:lineRule="exact"/>
              <w:contextualSpacing w:val="0"/>
              <w:rPr>
                <w:rFonts w:ascii="Univers for KPMG" w:hAnsi="Univers for KPMG" w:cs="Arial"/>
                <w:color w:val="000000"/>
                <w:sz w:val="18"/>
                <w:szCs w:val="18"/>
              </w:rPr>
            </w:pPr>
            <w:r w:rsidRPr="00C17DF4">
              <w:rPr>
                <w:rFonts w:ascii="Univers for KPMG" w:hAnsi="Univers for KPMG" w:cs="Arial"/>
                <w:color w:val="000000"/>
                <w:sz w:val="18"/>
                <w:szCs w:val="18"/>
              </w:rPr>
              <w:t>Procjenu i testiranje dizajna, implementacije i operativne učinkovitosti odabranih kontrola vezanih za odobravanje, evidentiranje i praćenje kredita, uključujući, ali ne ograničavajući se na identifikaciju događaja koji uzrokuju umanjenje vrijednosti, primjerenost klasifikacije između prihodujućih i neprihodujućih kredita, primjerenost segmentacije u grupe sličnih rizika, izračun dana kašnjenja, izračun rezervacije za umanjenje vrijednosti te kontrole koje se odnose na procjenu vrijednosti kolaterala.</w:t>
            </w:r>
          </w:p>
        </w:tc>
      </w:tr>
    </w:tbl>
    <w:p w:rsidR="00817AB7" w:rsidRDefault="00817AB7" w:rsidP="00447AB8">
      <w:pPr>
        <w:spacing w:before="240" w:after="120"/>
        <w:rPr>
          <w:rFonts w:asciiTheme="minorHAnsi" w:hAnsiTheme="minorHAnsi" w:cs="Arial"/>
          <w:sz w:val="22"/>
          <w:szCs w:val="22"/>
          <w:lang w:val="hr-HR"/>
        </w:rPr>
      </w:pPr>
      <w:r>
        <w:rPr>
          <w:rFonts w:asciiTheme="minorHAnsi" w:hAnsiTheme="minorHAnsi" w:cs="Arial"/>
          <w:sz w:val="22"/>
          <w:szCs w:val="22"/>
          <w:lang w:val="hr-HR"/>
        </w:rPr>
        <w:br w:type="page"/>
      </w:r>
    </w:p>
    <w:p w:rsidR="00B24D98" w:rsidRPr="00C17DF4" w:rsidRDefault="00B24D98" w:rsidP="00B24D98">
      <w:pPr>
        <w:pStyle w:val="KAMKNormal"/>
        <w:spacing w:before="0" w:line="260" w:lineRule="exact"/>
      </w:pPr>
    </w:p>
    <w:tbl>
      <w:tblPr>
        <w:tblW w:w="9876" w:type="dxa"/>
        <w:tblInd w:w="-95" w:type="dxa"/>
        <w:tblLook w:val="04A0" w:firstRow="1" w:lastRow="0" w:firstColumn="1" w:lastColumn="0" w:noHBand="0" w:noVBand="1"/>
      </w:tblPr>
      <w:tblGrid>
        <w:gridCol w:w="4206"/>
        <w:gridCol w:w="5670"/>
      </w:tblGrid>
      <w:tr w:rsidR="00B24D98" w:rsidRPr="00C17DF4" w:rsidTr="004D5AFD">
        <w:trPr>
          <w:trHeight w:val="20"/>
        </w:trPr>
        <w:tc>
          <w:tcPr>
            <w:tcW w:w="4206" w:type="dxa"/>
            <w:tcBorders>
              <w:top w:val="nil"/>
              <w:left w:val="nil"/>
              <w:bottom w:val="single" w:sz="24" w:space="0" w:color="00338E"/>
              <w:right w:val="nil"/>
            </w:tcBorders>
            <w:hideMark/>
          </w:tcPr>
          <w:p w:rsidR="00B24D98" w:rsidRPr="00C17DF4" w:rsidRDefault="00B24D98" w:rsidP="004D5AFD">
            <w:pPr>
              <w:spacing w:before="100" w:beforeAutospacing="1" w:after="100" w:afterAutospacing="1" w:line="220" w:lineRule="exact"/>
              <w:rPr>
                <w:rFonts w:ascii="Univers for KPMG" w:hAnsi="Univers for KPMG" w:cs="Arial"/>
                <w:color w:val="00338E"/>
                <w:sz w:val="20"/>
                <w:lang w:eastAsia="hr-HR"/>
              </w:rPr>
            </w:pPr>
            <w:r w:rsidRPr="00C17DF4">
              <w:rPr>
                <w:rFonts w:ascii="Univers for KPMG" w:hAnsi="Univers for KPMG"/>
                <w:b/>
                <w:color w:val="00338D"/>
                <w:sz w:val="20"/>
                <w:lang w:eastAsia="hr-HR"/>
              </w:rPr>
              <w:t>Ključno revizijsko pitanje</w:t>
            </w:r>
          </w:p>
        </w:tc>
        <w:tc>
          <w:tcPr>
            <w:tcW w:w="5670" w:type="dxa"/>
            <w:tcBorders>
              <w:top w:val="nil"/>
              <w:left w:val="nil"/>
              <w:bottom w:val="single" w:sz="24" w:space="0" w:color="00338E"/>
              <w:right w:val="nil"/>
            </w:tcBorders>
            <w:hideMark/>
          </w:tcPr>
          <w:p w:rsidR="00B24D98" w:rsidRPr="00C17DF4" w:rsidRDefault="00B24D98" w:rsidP="004D5AFD">
            <w:pPr>
              <w:spacing w:before="100" w:beforeAutospacing="1" w:after="100" w:afterAutospacing="1" w:line="220" w:lineRule="exact"/>
              <w:rPr>
                <w:rFonts w:ascii="Univers for KPMG" w:hAnsi="Univers for KPMG" w:cs="Arial"/>
                <w:color w:val="00338E"/>
                <w:sz w:val="20"/>
                <w:lang w:eastAsia="hr-HR"/>
              </w:rPr>
            </w:pPr>
            <w:r w:rsidRPr="00C17DF4">
              <w:rPr>
                <w:rFonts w:ascii="Univers for KPMG" w:hAnsi="Univers for KPMG"/>
                <w:b/>
                <w:color w:val="00338D"/>
                <w:sz w:val="20"/>
                <w:lang w:eastAsia="hr-HR"/>
              </w:rPr>
              <w:t>Kako smo pristupili tom pitanju</w:t>
            </w:r>
          </w:p>
        </w:tc>
      </w:tr>
      <w:tr w:rsidR="00B24D98" w:rsidRPr="00C17DF4" w:rsidTr="004D5AFD">
        <w:trPr>
          <w:trHeight w:val="71"/>
        </w:trPr>
        <w:tc>
          <w:tcPr>
            <w:tcW w:w="4206" w:type="dxa"/>
            <w:tcBorders>
              <w:top w:val="single" w:sz="24" w:space="0" w:color="00338E"/>
              <w:left w:val="nil"/>
              <w:bottom w:val="single" w:sz="8" w:space="0" w:color="00338E"/>
              <w:right w:val="nil"/>
            </w:tcBorders>
          </w:tcPr>
          <w:p w:rsidR="00B24D98" w:rsidRPr="00C17DF4" w:rsidRDefault="00B24D98" w:rsidP="004D5AFD">
            <w:pPr>
              <w:spacing w:before="100" w:beforeAutospacing="1" w:after="100" w:afterAutospacing="1" w:line="220" w:lineRule="exact"/>
              <w:rPr>
                <w:rFonts w:ascii="Univers for KPMG" w:hAnsi="Univers for KPMG" w:cs="Arial"/>
                <w:b/>
                <w:bCs/>
                <w:color w:val="000000"/>
                <w:kern w:val="24"/>
                <w:sz w:val="8"/>
                <w:szCs w:val="8"/>
                <w:lang w:eastAsia="hr-HR"/>
              </w:rPr>
            </w:pPr>
          </w:p>
        </w:tc>
        <w:tc>
          <w:tcPr>
            <w:tcW w:w="5670" w:type="dxa"/>
            <w:tcBorders>
              <w:top w:val="single" w:sz="24" w:space="0" w:color="00338E"/>
              <w:left w:val="nil"/>
              <w:bottom w:val="single" w:sz="8" w:space="0" w:color="00338E"/>
              <w:right w:val="nil"/>
            </w:tcBorders>
          </w:tcPr>
          <w:p w:rsidR="00B24D98" w:rsidRPr="00C17DF4" w:rsidRDefault="00B24D98" w:rsidP="004D5AFD">
            <w:pPr>
              <w:spacing w:before="100" w:beforeAutospacing="1" w:after="100" w:afterAutospacing="1" w:line="220" w:lineRule="exact"/>
              <w:rPr>
                <w:rFonts w:ascii="Univers for KPMG" w:hAnsi="Univers for KPMG" w:cs="Arial"/>
                <w:b/>
                <w:bCs/>
                <w:color w:val="000000"/>
                <w:kern w:val="24"/>
                <w:sz w:val="8"/>
                <w:szCs w:val="8"/>
                <w:lang w:eastAsia="hr-HR"/>
              </w:rPr>
            </w:pPr>
          </w:p>
        </w:tc>
      </w:tr>
      <w:tr w:rsidR="00B24D98" w:rsidRPr="00C17DF4" w:rsidTr="004D5AFD">
        <w:trPr>
          <w:trHeight w:val="20"/>
        </w:trPr>
        <w:tc>
          <w:tcPr>
            <w:tcW w:w="4206" w:type="dxa"/>
            <w:tcBorders>
              <w:top w:val="single" w:sz="8" w:space="0" w:color="00338E"/>
              <w:left w:val="nil"/>
              <w:bottom w:val="nil"/>
              <w:right w:val="nil"/>
            </w:tcBorders>
            <w:shd w:val="clear" w:color="auto" w:fill="DEEAF6"/>
            <w:tcMar>
              <w:top w:w="0" w:type="dxa"/>
              <w:left w:w="115" w:type="dxa"/>
              <w:bottom w:w="0" w:type="dxa"/>
              <w:right w:w="115" w:type="dxa"/>
            </w:tcMar>
          </w:tcPr>
          <w:p w:rsidR="00B24D98" w:rsidRPr="00C17DF4" w:rsidRDefault="00B24D98" w:rsidP="004D5AFD">
            <w:pPr>
              <w:pStyle w:val="NormalWeb"/>
              <w:spacing w:before="120" w:line="256" w:lineRule="auto"/>
              <w:rPr>
                <w:rFonts w:ascii="Univers for KPMG" w:hAnsi="Univers for KPMG" w:cs="Arial"/>
                <w:sz w:val="18"/>
                <w:szCs w:val="18"/>
              </w:rPr>
            </w:pPr>
            <w:r w:rsidRPr="005716D8">
              <w:rPr>
                <w:rFonts w:ascii="Univers for KPMG" w:hAnsi="Univers for KPMG" w:cs="Arial"/>
                <w:sz w:val="18"/>
                <w:szCs w:val="18"/>
              </w:rPr>
              <w:t>Zbog navedenih razloga, smatramo umanjenje vrijednosti kredita ostalim korisnicima značajnim rizikom u našoj reviziji, koji zahtijeva našu povećanu pažnju. Sukladno tome, smatramo da je ovo područje ključno revizijsko pitanje.</w:t>
            </w:r>
          </w:p>
        </w:tc>
        <w:tc>
          <w:tcPr>
            <w:tcW w:w="5670" w:type="dxa"/>
            <w:tcBorders>
              <w:top w:val="single" w:sz="8" w:space="0" w:color="00338E"/>
              <w:left w:val="nil"/>
              <w:bottom w:val="nil"/>
              <w:right w:val="nil"/>
            </w:tcBorders>
            <w:tcMar>
              <w:top w:w="0" w:type="dxa"/>
              <w:left w:w="115" w:type="dxa"/>
              <w:bottom w:w="0" w:type="dxa"/>
              <w:right w:w="115" w:type="dxa"/>
            </w:tcMar>
          </w:tcPr>
          <w:p w:rsidR="00B24D98" w:rsidRPr="00C17DF4" w:rsidRDefault="00B24D98" w:rsidP="00B24D98">
            <w:pPr>
              <w:pStyle w:val="ListParagraph"/>
              <w:numPr>
                <w:ilvl w:val="0"/>
                <w:numId w:val="49"/>
              </w:numPr>
              <w:suppressAutoHyphens/>
              <w:autoSpaceDN w:val="0"/>
              <w:spacing w:before="80" w:after="120" w:line="220" w:lineRule="exact"/>
              <w:contextualSpacing w:val="0"/>
              <w:rPr>
                <w:rFonts w:ascii="Univers for KPMG" w:hAnsi="Univers for KPMG" w:cs="Arial"/>
                <w:color w:val="000000"/>
                <w:sz w:val="18"/>
                <w:szCs w:val="18"/>
              </w:rPr>
            </w:pPr>
            <w:r w:rsidRPr="00C17DF4">
              <w:rPr>
                <w:rFonts w:ascii="Univers for KPMG" w:hAnsi="Univers for KPMG" w:cs="Arial"/>
                <w:color w:val="000000"/>
                <w:sz w:val="18"/>
                <w:szCs w:val="18"/>
              </w:rPr>
              <w:t xml:space="preserve">U odnosu na efekte prijelaza na </w:t>
            </w:r>
            <w:r>
              <w:rPr>
                <w:rFonts w:ascii="Univers for KPMG" w:hAnsi="Univers for KPMG" w:cs="Arial"/>
                <w:color w:val="000000"/>
                <w:sz w:val="18"/>
                <w:szCs w:val="18"/>
              </w:rPr>
              <w:t>novi standard</w:t>
            </w:r>
            <w:r w:rsidRPr="00C17DF4">
              <w:rPr>
                <w:rFonts w:ascii="Univers for KPMG" w:hAnsi="Univers for KPMG" w:cs="Arial"/>
                <w:color w:val="000000"/>
                <w:sz w:val="18"/>
                <w:szCs w:val="18"/>
              </w:rPr>
              <w:t>:</w:t>
            </w:r>
          </w:p>
          <w:p w:rsidR="00B24D98" w:rsidRPr="00C17DF4" w:rsidRDefault="00B24D98" w:rsidP="00B24D98">
            <w:pPr>
              <w:numPr>
                <w:ilvl w:val="0"/>
                <w:numId w:val="50"/>
              </w:numPr>
              <w:autoSpaceDN w:val="0"/>
              <w:spacing w:before="80" w:after="120" w:line="220" w:lineRule="exact"/>
              <w:rPr>
                <w:rFonts w:ascii="Univers for KPMG" w:hAnsi="Univers for KPMG" w:cs="Arial"/>
                <w:color w:val="000000"/>
                <w:sz w:val="18"/>
                <w:szCs w:val="18"/>
              </w:rPr>
            </w:pPr>
            <w:r w:rsidRPr="00C17DF4">
              <w:rPr>
                <w:rFonts w:ascii="Univers for KPMG" w:hAnsi="Univers for KPMG" w:cs="Arial"/>
                <w:color w:val="000000"/>
                <w:sz w:val="18"/>
                <w:szCs w:val="18"/>
              </w:rPr>
              <w:t xml:space="preserve">Razumijevanje aktivnosti i kontrola vezanih uz prijelaz na </w:t>
            </w:r>
            <w:r>
              <w:rPr>
                <w:rFonts w:ascii="Univers for KPMG" w:hAnsi="Univers for KPMG" w:cs="Arial"/>
                <w:color w:val="000000"/>
                <w:sz w:val="18"/>
                <w:szCs w:val="18"/>
              </w:rPr>
              <w:t>novi standard</w:t>
            </w:r>
            <w:r w:rsidRPr="00C17DF4">
              <w:rPr>
                <w:rFonts w:ascii="Univers for KPMG" w:hAnsi="Univers for KPMG" w:cs="Arial"/>
                <w:color w:val="000000"/>
                <w:sz w:val="18"/>
                <w:szCs w:val="18"/>
              </w:rPr>
              <w:t>, uključujući procese i kontrole oko određivanja utjecaja, kao i aktivnosti vezanih uz pripadajuće objave;</w:t>
            </w:r>
          </w:p>
          <w:p w:rsidR="00B24D98" w:rsidRPr="00C17DF4" w:rsidRDefault="00B24D98" w:rsidP="00B24D98">
            <w:pPr>
              <w:numPr>
                <w:ilvl w:val="0"/>
                <w:numId w:val="50"/>
              </w:numPr>
              <w:autoSpaceDN w:val="0"/>
              <w:spacing w:before="80" w:after="120" w:line="220" w:lineRule="exact"/>
              <w:rPr>
                <w:rFonts w:ascii="Univers for KPMG" w:hAnsi="Univers for KPMG" w:cs="Arial"/>
                <w:color w:val="000000"/>
                <w:sz w:val="18"/>
                <w:szCs w:val="18"/>
              </w:rPr>
            </w:pPr>
            <w:r w:rsidRPr="00C17DF4">
              <w:rPr>
                <w:rFonts w:ascii="Univers for KPMG" w:hAnsi="Univers for KPMG" w:cs="Arial"/>
                <w:color w:val="000000"/>
                <w:sz w:val="18"/>
                <w:szCs w:val="18"/>
              </w:rPr>
              <w:t>Testiranje potpunosti i točnosti podataka koji su korišteni za određivanje rizičnih parametara (vjerojatnost nastanka statusa neispunjenja obveza (eng. PD), gubitak zbog nastanka statusa neispunjenja obveza (eng. LGD), izloženosti u tenutku nastanka statusa neispunjenja obveza (eng. EAD) i traženje objašnjenja za odstupanja gdje je to bilo potrebno;</w:t>
            </w:r>
          </w:p>
          <w:p w:rsidR="00B24D98" w:rsidRPr="00C17DF4" w:rsidRDefault="00B24D98" w:rsidP="00B24D98">
            <w:pPr>
              <w:numPr>
                <w:ilvl w:val="0"/>
                <w:numId w:val="50"/>
              </w:numPr>
              <w:autoSpaceDN w:val="0"/>
              <w:spacing w:before="80" w:after="120" w:line="220" w:lineRule="exact"/>
              <w:rPr>
                <w:rFonts w:ascii="Univers for KPMG" w:hAnsi="Univers for KPMG" w:cs="Arial"/>
                <w:color w:val="000000"/>
                <w:sz w:val="18"/>
                <w:szCs w:val="18"/>
              </w:rPr>
            </w:pPr>
            <w:r w:rsidRPr="00C17DF4">
              <w:rPr>
                <w:rFonts w:ascii="Univers for KPMG" w:hAnsi="Univers for KPMG" w:cs="Arial"/>
                <w:color w:val="000000"/>
                <w:sz w:val="18"/>
                <w:szCs w:val="18"/>
              </w:rPr>
              <w:t>Traženje relevantnih informacija o predviđanjima budućih kretanja i makroekonomskim projekcijama koji se koriste od strane Banke i Grupe u procjeni ECL. Neovisna procjena tih informacija potvrđujući navode rukovodstva ispitivanjem javno dostupnih informacija;</w:t>
            </w:r>
          </w:p>
          <w:p w:rsidR="00B24D98" w:rsidRPr="00C17DF4" w:rsidRDefault="00B24D98" w:rsidP="00B24D98">
            <w:pPr>
              <w:numPr>
                <w:ilvl w:val="0"/>
                <w:numId w:val="50"/>
              </w:numPr>
              <w:autoSpaceDN w:val="0"/>
              <w:spacing w:before="80" w:after="120" w:line="220" w:lineRule="exact"/>
              <w:rPr>
                <w:rFonts w:ascii="Univers for KPMG" w:hAnsi="Univers for KPMG" w:cs="Arial"/>
                <w:color w:val="000000"/>
                <w:sz w:val="18"/>
                <w:szCs w:val="18"/>
              </w:rPr>
            </w:pPr>
            <w:r w:rsidRPr="00C17DF4">
              <w:rPr>
                <w:rFonts w:ascii="Univers for KPMG" w:hAnsi="Univers for KPMG" w:cs="Arial"/>
                <w:color w:val="000000"/>
                <w:sz w:val="18"/>
                <w:szCs w:val="18"/>
              </w:rPr>
              <w:t xml:space="preserve">Procjena konzistentnosti korištenja definicije nastanka statusa neispunjenja obveza (eng. default) i novih kriterija standarda za raspoređivanje u rizične skupine (eng. Stage). Također, analiza usklađenosti definicije statusa neispunjenja obveza za svaki segment/portfelj sa zahtjevima </w:t>
            </w:r>
            <w:r>
              <w:rPr>
                <w:rFonts w:ascii="Univers for KPMG" w:hAnsi="Univers for KPMG" w:cs="Arial"/>
                <w:color w:val="000000"/>
                <w:sz w:val="18"/>
                <w:szCs w:val="18"/>
              </w:rPr>
              <w:t>no</w:t>
            </w:r>
            <w:r w:rsidR="00873B11">
              <w:rPr>
                <w:rFonts w:ascii="Univers for KPMG" w:hAnsi="Univers for KPMG" w:cs="Arial"/>
                <w:color w:val="000000"/>
                <w:sz w:val="18"/>
                <w:szCs w:val="18"/>
              </w:rPr>
              <w:t>v</w:t>
            </w:r>
            <w:r>
              <w:rPr>
                <w:rFonts w:ascii="Univers for KPMG" w:hAnsi="Univers for KPMG" w:cs="Arial"/>
                <w:color w:val="000000"/>
                <w:sz w:val="18"/>
                <w:szCs w:val="18"/>
              </w:rPr>
              <w:t>og sta</w:t>
            </w:r>
            <w:r w:rsidR="00873B11">
              <w:rPr>
                <w:rFonts w:ascii="Univers for KPMG" w:hAnsi="Univers for KPMG" w:cs="Arial"/>
                <w:color w:val="000000"/>
                <w:sz w:val="18"/>
                <w:szCs w:val="18"/>
              </w:rPr>
              <w:t>n</w:t>
            </w:r>
            <w:r>
              <w:rPr>
                <w:rFonts w:ascii="Univers for KPMG" w:hAnsi="Univers for KPMG" w:cs="Arial"/>
                <w:color w:val="000000"/>
                <w:sz w:val="18"/>
                <w:szCs w:val="18"/>
              </w:rPr>
              <w:t>darda</w:t>
            </w:r>
            <w:r w:rsidRPr="00C17DF4">
              <w:rPr>
                <w:rFonts w:ascii="Univers for KPMG" w:hAnsi="Univers for KPMG" w:cs="Arial"/>
                <w:color w:val="000000"/>
                <w:sz w:val="18"/>
                <w:szCs w:val="18"/>
              </w:rPr>
              <w:t>;</w:t>
            </w:r>
          </w:p>
          <w:p w:rsidR="00B24D98" w:rsidRPr="00C17DF4" w:rsidRDefault="00B24D98" w:rsidP="00B24D98">
            <w:pPr>
              <w:numPr>
                <w:ilvl w:val="0"/>
                <w:numId w:val="50"/>
              </w:numPr>
              <w:autoSpaceDN w:val="0"/>
              <w:spacing w:before="80" w:after="120" w:line="220" w:lineRule="exact"/>
              <w:rPr>
                <w:rFonts w:ascii="Univers for KPMG" w:hAnsi="Univers for KPMG" w:cs="Arial"/>
                <w:color w:val="000000"/>
                <w:sz w:val="18"/>
                <w:szCs w:val="18"/>
              </w:rPr>
            </w:pPr>
            <w:r w:rsidRPr="00C17DF4">
              <w:rPr>
                <w:rFonts w:ascii="Univers for KPMG" w:hAnsi="Univers for KPMG" w:cs="Arial"/>
                <w:color w:val="000000"/>
                <w:sz w:val="18"/>
                <w:szCs w:val="18"/>
              </w:rPr>
              <w:t xml:space="preserve">Provođenje analize efekata </w:t>
            </w:r>
            <w:r>
              <w:rPr>
                <w:rFonts w:ascii="Univers for KPMG" w:hAnsi="Univers for KPMG" w:cs="Arial"/>
                <w:color w:val="000000"/>
                <w:sz w:val="18"/>
                <w:szCs w:val="18"/>
              </w:rPr>
              <w:t>temeljem primjene ECL</w:t>
            </w:r>
            <w:r w:rsidRPr="00C17DF4">
              <w:rPr>
                <w:rFonts w:ascii="Univers for KPMG" w:hAnsi="Univers for KPMG" w:cs="Arial"/>
                <w:color w:val="000000"/>
                <w:sz w:val="18"/>
                <w:szCs w:val="18"/>
              </w:rPr>
              <w:t xml:space="preserve"> </w:t>
            </w:r>
            <w:r>
              <w:rPr>
                <w:rFonts w:ascii="Univers for KPMG" w:hAnsi="Univers for KPMG" w:cs="Arial"/>
                <w:color w:val="000000"/>
                <w:sz w:val="18"/>
                <w:szCs w:val="18"/>
              </w:rPr>
              <w:t xml:space="preserve">pristupa </w:t>
            </w:r>
            <w:r w:rsidRPr="00C17DF4">
              <w:rPr>
                <w:rFonts w:ascii="Univers for KPMG" w:hAnsi="Univers for KPMG" w:cs="Arial"/>
                <w:color w:val="000000"/>
                <w:sz w:val="18"/>
                <w:szCs w:val="18"/>
              </w:rPr>
              <w:t xml:space="preserve">koji su nastali zbog prve primjene </w:t>
            </w:r>
            <w:r>
              <w:rPr>
                <w:rFonts w:ascii="Univers for KPMG" w:hAnsi="Univers for KPMG" w:cs="Arial"/>
                <w:color w:val="000000"/>
                <w:sz w:val="18"/>
                <w:szCs w:val="18"/>
              </w:rPr>
              <w:t>novog</w:t>
            </w:r>
            <w:r w:rsidRPr="00C17DF4">
              <w:rPr>
                <w:rFonts w:ascii="Univers for KPMG" w:hAnsi="Univers for KPMG" w:cs="Arial"/>
                <w:color w:val="000000"/>
                <w:sz w:val="18"/>
                <w:szCs w:val="18"/>
              </w:rPr>
              <w:t xml:space="preserve"> standarda u odnosu na one koji su izračunati sukladno MRS-u 39, te procjena njihove razumnosti temeljem razgovora sa zaposlenicima odgovornim za upravljanje kreditnim rizicima.</w:t>
            </w:r>
          </w:p>
          <w:p w:rsidR="00B24D98" w:rsidRPr="00C17DF4" w:rsidRDefault="00B24D98" w:rsidP="004D5AFD">
            <w:pPr>
              <w:spacing w:before="80" w:after="120" w:line="220" w:lineRule="exact"/>
              <w:ind w:left="360"/>
              <w:rPr>
                <w:rFonts w:ascii="Univers for KPMG" w:hAnsi="Univers for KPMG" w:cs="Arial"/>
                <w:sz w:val="18"/>
                <w:szCs w:val="18"/>
              </w:rPr>
            </w:pPr>
            <w:r w:rsidRPr="00C17DF4">
              <w:rPr>
                <w:rFonts w:ascii="Univers for KPMG" w:hAnsi="Univers for KPMG" w:cs="Arial"/>
                <w:color w:val="000000"/>
                <w:sz w:val="18"/>
                <w:szCs w:val="18"/>
              </w:rPr>
              <w:t>Za umanjenje vrijednosti koje se određuje na pojedinačnoj osnovi:</w:t>
            </w:r>
          </w:p>
          <w:p w:rsidR="00B24D98" w:rsidRPr="00C17DF4" w:rsidRDefault="00B24D98" w:rsidP="00B24D98">
            <w:pPr>
              <w:pStyle w:val="ListParagraph"/>
              <w:numPr>
                <w:ilvl w:val="0"/>
                <w:numId w:val="49"/>
              </w:numPr>
              <w:suppressAutoHyphens/>
              <w:autoSpaceDN w:val="0"/>
              <w:spacing w:before="80" w:after="120" w:line="220" w:lineRule="exact"/>
              <w:contextualSpacing w:val="0"/>
              <w:rPr>
                <w:rFonts w:ascii="Univers for KPMG" w:hAnsi="Univers for KPMG" w:cs="Arial"/>
                <w:color w:val="000000"/>
                <w:sz w:val="18"/>
                <w:szCs w:val="18"/>
              </w:rPr>
            </w:pPr>
            <w:r w:rsidRPr="00C17DF4">
              <w:rPr>
                <w:rFonts w:ascii="Univers for KPMG" w:hAnsi="Univers for KPMG" w:cs="Arial"/>
                <w:color w:val="000000"/>
                <w:sz w:val="18"/>
                <w:szCs w:val="18"/>
              </w:rPr>
              <w:t>Odabir uzorka pojedinačnih izloženosti, s fokusom na izloženosti s potencijalno najvećim utjecajem na financijske izvještaje zbog njihove veličine i rizičnih obilježja te manje izloženosti koje smo na temelju naše neovisne procjene ocijenili kao visoko rizične, kao što su „watchlist“ izloženosti, restrukturirane ili reprogramirane izloženosti, krediti klijentima koji posluju u industrijama višeg rizika, neprihodujuće izloženosti s niskom pokrivenosti rezervacijama te izloženosti sa značajnom promjenom pokrivenosti rezervacijama;</w:t>
            </w:r>
          </w:p>
          <w:p w:rsidR="00B24D98" w:rsidRPr="00C17DF4" w:rsidRDefault="00B24D98" w:rsidP="004D5AFD">
            <w:pPr>
              <w:pStyle w:val="ListParagraph"/>
              <w:spacing w:before="80" w:after="120" w:line="220" w:lineRule="exact"/>
              <w:rPr>
                <w:rFonts w:ascii="Univers for KPMG" w:hAnsi="Univers for KPMG" w:cs="Arial"/>
                <w:color w:val="000000"/>
                <w:sz w:val="18"/>
                <w:szCs w:val="18"/>
              </w:rPr>
            </w:pPr>
          </w:p>
        </w:tc>
      </w:tr>
    </w:tbl>
    <w:p w:rsidR="00817AB7" w:rsidRDefault="00817AB7" w:rsidP="00447AB8">
      <w:pPr>
        <w:spacing w:before="240" w:after="120"/>
        <w:rPr>
          <w:rFonts w:asciiTheme="minorHAnsi" w:hAnsiTheme="minorHAnsi" w:cs="Arial"/>
          <w:sz w:val="22"/>
          <w:szCs w:val="22"/>
          <w:lang w:val="hr-HR"/>
        </w:rPr>
      </w:pPr>
      <w:r>
        <w:rPr>
          <w:rFonts w:asciiTheme="minorHAnsi" w:hAnsiTheme="minorHAnsi" w:cs="Arial"/>
          <w:sz w:val="22"/>
          <w:szCs w:val="22"/>
          <w:lang w:val="hr-HR"/>
        </w:rPr>
        <w:br w:type="page"/>
      </w:r>
    </w:p>
    <w:p w:rsidR="00B24D98" w:rsidRPr="00A87A16" w:rsidRDefault="00B24D98" w:rsidP="00B24D98">
      <w:pPr>
        <w:pStyle w:val="BodyText"/>
        <w:spacing w:after="160" w:line="260" w:lineRule="exact"/>
        <w:rPr>
          <w:rFonts w:ascii="Univers for KPMG" w:hAnsi="Univers for KPMG"/>
          <w:b/>
          <w:color w:val="00338D"/>
          <w:lang w:val="hr-HR"/>
        </w:rPr>
      </w:pPr>
      <w:r w:rsidRPr="0080215E">
        <w:rPr>
          <w:rFonts w:ascii="Univers for KPMG" w:hAnsi="Univers for KPMG"/>
          <w:b/>
          <w:color w:val="00338D"/>
          <w:lang w:val="hr-HR"/>
        </w:rPr>
        <w:t xml:space="preserve">Izvješće o reviziji financijskih izvještaja </w:t>
      </w:r>
      <w:r w:rsidRPr="0080215E">
        <w:rPr>
          <w:rFonts w:ascii="Univers for KPMG" w:hAnsi="Univers for KPMG"/>
          <w:b/>
          <w:i/>
          <w:color w:val="00338D"/>
          <w:lang w:val="hr-HR"/>
        </w:rPr>
        <w:t>(nastavak)</w:t>
      </w:r>
    </w:p>
    <w:p w:rsidR="00B24D98" w:rsidRPr="00C17DF4" w:rsidRDefault="00B24D98" w:rsidP="00B24D98">
      <w:pPr>
        <w:pStyle w:val="KAMKNormal"/>
        <w:spacing w:before="0" w:line="260" w:lineRule="exact"/>
      </w:pPr>
    </w:p>
    <w:tbl>
      <w:tblPr>
        <w:tblW w:w="9432" w:type="dxa"/>
        <w:tblInd w:w="18" w:type="dxa"/>
        <w:tblLook w:val="04A0" w:firstRow="1" w:lastRow="0" w:firstColumn="1" w:lastColumn="0" w:noHBand="0" w:noVBand="1"/>
      </w:tblPr>
      <w:tblGrid>
        <w:gridCol w:w="2952"/>
        <w:gridCol w:w="6480"/>
      </w:tblGrid>
      <w:tr w:rsidR="00B24D98" w:rsidRPr="00C17DF4" w:rsidTr="004D5AFD">
        <w:trPr>
          <w:trHeight w:val="20"/>
        </w:trPr>
        <w:tc>
          <w:tcPr>
            <w:tcW w:w="2952" w:type="dxa"/>
            <w:tcBorders>
              <w:top w:val="nil"/>
              <w:left w:val="nil"/>
              <w:bottom w:val="single" w:sz="24" w:space="0" w:color="00338E"/>
              <w:right w:val="nil"/>
            </w:tcBorders>
            <w:hideMark/>
          </w:tcPr>
          <w:p w:rsidR="00B24D98" w:rsidRPr="00C17DF4" w:rsidRDefault="00B24D98" w:rsidP="004D5AFD">
            <w:pPr>
              <w:spacing w:before="100" w:beforeAutospacing="1" w:after="100" w:afterAutospacing="1" w:line="220" w:lineRule="exact"/>
              <w:rPr>
                <w:rFonts w:ascii="Univers for KPMG" w:hAnsi="Univers for KPMG" w:cs="Arial"/>
                <w:color w:val="00338E"/>
                <w:sz w:val="20"/>
                <w:lang w:eastAsia="hr-HR"/>
              </w:rPr>
            </w:pPr>
            <w:r w:rsidRPr="00C17DF4">
              <w:rPr>
                <w:rFonts w:ascii="Univers for KPMG" w:hAnsi="Univers for KPMG"/>
                <w:b/>
                <w:color w:val="00338D"/>
                <w:sz w:val="20"/>
                <w:lang w:eastAsia="hr-HR"/>
              </w:rPr>
              <w:t>Ključno revizijsko pitanje</w:t>
            </w:r>
          </w:p>
        </w:tc>
        <w:tc>
          <w:tcPr>
            <w:tcW w:w="6480" w:type="dxa"/>
            <w:tcBorders>
              <w:top w:val="nil"/>
              <w:left w:val="nil"/>
              <w:bottom w:val="single" w:sz="24" w:space="0" w:color="00338E"/>
              <w:right w:val="nil"/>
            </w:tcBorders>
            <w:hideMark/>
          </w:tcPr>
          <w:p w:rsidR="00B24D98" w:rsidRPr="00C17DF4" w:rsidRDefault="00B24D98" w:rsidP="004D5AFD">
            <w:pPr>
              <w:spacing w:before="100" w:beforeAutospacing="1" w:after="100" w:afterAutospacing="1" w:line="220" w:lineRule="exact"/>
              <w:rPr>
                <w:rFonts w:ascii="Univers for KPMG" w:hAnsi="Univers for KPMG" w:cs="Arial"/>
                <w:color w:val="00338E"/>
                <w:sz w:val="20"/>
                <w:lang w:eastAsia="hr-HR"/>
              </w:rPr>
            </w:pPr>
            <w:r w:rsidRPr="00C17DF4">
              <w:rPr>
                <w:rFonts w:ascii="Univers for KPMG" w:hAnsi="Univers for KPMG"/>
                <w:b/>
                <w:color w:val="00338D"/>
                <w:sz w:val="20"/>
                <w:lang w:eastAsia="hr-HR"/>
              </w:rPr>
              <w:t>Kako smo pristupili tom pitanju</w:t>
            </w:r>
          </w:p>
        </w:tc>
      </w:tr>
      <w:tr w:rsidR="00B24D98" w:rsidRPr="00C17DF4" w:rsidTr="004D5AFD">
        <w:trPr>
          <w:trHeight w:val="71"/>
        </w:trPr>
        <w:tc>
          <w:tcPr>
            <w:tcW w:w="2952" w:type="dxa"/>
            <w:tcBorders>
              <w:top w:val="single" w:sz="24" w:space="0" w:color="00338E"/>
              <w:left w:val="nil"/>
              <w:bottom w:val="single" w:sz="8" w:space="0" w:color="00338E"/>
              <w:right w:val="nil"/>
            </w:tcBorders>
          </w:tcPr>
          <w:p w:rsidR="00B24D98" w:rsidRPr="00C17DF4" w:rsidRDefault="00B24D98" w:rsidP="004D5AFD">
            <w:pPr>
              <w:spacing w:before="100" w:beforeAutospacing="1" w:after="100" w:afterAutospacing="1" w:line="220" w:lineRule="exact"/>
              <w:rPr>
                <w:rFonts w:ascii="Univers for KPMG" w:hAnsi="Univers for KPMG" w:cs="Arial"/>
                <w:b/>
                <w:bCs/>
                <w:color w:val="000000"/>
                <w:kern w:val="24"/>
                <w:sz w:val="8"/>
                <w:szCs w:val="8"/>
                <w:lang w:eastAsia="hr-HR"/>
              </w:rPr>
            </w:pPr>
          </w:p>
        </w:tc>
        <w:tc>
          <w:tcPr>
            <w:tcW w:w="6480" w:type="dxa"/>
            <w:tcBorders>
              <w:top w:val="single" w:sz="24" w:space="0" w:color="00338E"/>
              <w:left w:val="nil"/>
              <w:bottom w:val="single" w:sz="8" w:space="0" w:color="00338E"/>
              <w:right w:val="nil"/>
            </w:tcBorders>
          </w:tcPr>
          <w:p w:rsidR="00B24D98" w:rsidRPr="00C17DF4" w:rsidRDefault="00B24D98" w:rsidP="004D5AFD">
            <w:pPr>
              <w:spacing w:before="100" w:beforeAutospacing="1" w:after="100" w:afterAutospacing="1" w:line="220" w:lineRule="exact"/>
              <w:rPr>
                <w:rFonts w:ascii="Univers for KPMG" w:hAnsi="Univers for KPMG" w:cs="Arial"/>
                <w:b/>
                <w:bCs/>
                <w:color w:val="000000"/>
                <w:kern w:val="24"/>
                <w:sz w:val="8"/>
                <w:szCs w:val="8"/>
                <w:lang w:eastAsia="hr-HR"/>
              </w:rPr>
            </w:pPr>
          </w:p>
        </w:tc>
      </w:tr>
      <w:tr w:rsidR="00B24D98" w:rsidRPr="00C17DF4" w:rsidTr="004D5AFD">
        <w:trPr>
          <w:trHeight w:val="20"/>
        </w:trPr>
        <w:tc>
          <w:tcPr>
            <w:tcW w:w="2952" w:type="dxa"/>
            <w:tcBorders>
              <w:top w:val="single" w:sz="8" w:space="0" w:color="00338E"/>
              <w:left w:val="nil"/>
              <w:bottom w:val="nil"/>
              <w:right w:val="nil"/>
            </w:tcBorders>
            <w:shd w:val="clear" w:color="auto" w:fill="DEEAF6"/>
            <w:tcMar>
              <w:top w:w="0" w:type="dxa"/>
              <w:left w:w="115" w:type="dxa"/>
              <w:bottom w:w="0" w:type="dxa"/>
              <w:right w:w="115" w:type="dxa"/>
            </w:tcMar>
            <w:hideMark/>
          </w:tcPr>
          <w:p w:rsidR="00B24D98" w:rsidRPr="00C17DF4" w:rsidRDefault="00B24D98" w:rsidP="004D5AFD">
            <w:pPr>
              <w:spacing w:before="100" w:beforeAutospacing="1" w:after="100" w:afterAutospacing="1" w:line="220" w:lineRule="exact"/>
              <w:rPr>
                <w:rFonts w:ascii="Univers for KPMG" w:hAnsi="Univers for KPMG" w:cs="Arial"/>
                <w:sz w:val="18"/>
                <w:szCs w:val="18"/>
                <w:lang w:eastAsia="hr-HR"/>
              </w:rPr>
            </w:pPr>
          </w:p>
        </w:tc>
        <w:tc>
          <w:tcPr>
            <w:tcW w:w="6480" w:type="dxa"/>
            <w:tcBorders>
              <w:top w:val="single" w:sz="8" w:space="0" w:color="00338E"/>
              <w:left w:val="nil"/>
              <w:bottom w:val="nil"/>
              <w:right w:val="nil"/>
            </w:tcBorders>
            <w:tcMar>
              <w:top w:w="0" w:type="dxa"/>
              <w:left w:w="115" w:type="dxa"/>
              <w:bottom w:w="0" w:type="dxa"/>
              <w:right w:w="115" w:type="dxa"/>
            </w:tcMar>
            <w:hideMark/>
          </w:tcPr>
          <w:p w:rsidR="00B24D98" w:rsidRPr="00C17DF4" w:rsidRDefault="00B24D98" w:rsidP="00B24D98">
            <w:pPr>
              <w:pStyle w:val="ListParagraph"/>
              <w:numPr>
                <w:ilvl w:val="0"/>
                <w:numId w:val="51"/>
              </w:numPr>
              <w:suppressAutoHyphens/>
              <w:autoSpaceDN w:val="0"/>
              <w:spacing w:before="80" w:after="120" w:line="220" w:lineRule="exact"/>
              <w:contextualSpacing w:val="0"/>
              <w:rPr>
                <w:rFonts w:ascii="Univers for KPMG" w:hAnsi="Univers for KPMG" w:cs="Arial"/>
                <w:sz w:val="18"/>
                <w:szCs w:val="18"/>
              </w:rPr>
            </w:pPr>
            <w:r w:rsidRPr="00C17DF4">
              <w:rPr>
                <w:rFonts w:ascii="Univers for KPMG" w:hAnsi="Univers for KPMG" w:cs="Arial"/>
                <w:color w:val="000000"/>
                <w:sz w:val="18"/>
                <w:szCs w:val="18"/>
              </w:rPr>
              <w:t>Za odabrani uzorak provođenje kritičke procjene postojanja naznaka potrebne reklasifikacije u Stage 2 ili Stage 3 na dan 3</w:t>
            </w:r>
            <w:r>
              <w:rPr>
                <w:rFonts w:ascii="Univers for KPMG" w:hAnsi="Univers for KPMG" w:cs="Arial"/>
                <w:color w:val="000000"/>
                <w:sz w:val="18"/>
                <w:szCs w:val="18"/>
              </w:rPr>
              <w:t>1</w:t>
            </w:r>
            <w:r w:rsidRPr="00C17DF4">
              <w:rPr>
                <w:rFonts w:ascii="Univers for KPMG" w:hAnsi="Univers for KPMG" w:cs="Arial"/>
                <w:color w:val="000000"/>
                <w:sz w:val="18"/>
                <w:szCs w:val="18"/>
              </w:rPr>
              <w:t xml:space="preserve">. </w:t>
            </w:r>
            <w:r>
              <w:rPr>
                <w:rFonts w:ascii="Univers for KPMG" w:hAnsi="Univers for KPMG" w:cs="Arial"/>
                <w:color w:val="000000"/>
                <w:sz w:val="18"/>
                <w:szCs w:val="18"/>
              </w:rPr>
              <w:t>prosinca</w:t>
            </w:r>
            <w:r w:rsidRPr="00C17DF4">
              <w:rPr>
                <w:rFonts w:ascii="Univers for KPMG" w:hAnsi="Univers for KPMG" w:cs="Arial"/>
                <w:color w:val="000000"/>
                <w:sz w:val="18"/>
                <w:szCs w:val="18"/>
              </w:rPr>
              <w:t xml:space="preserve"> 2018., temeljeno na pregledu pripadajuće dokumentacije (kreditnih spisa) te diskusijama s voditeljima odnosa s klijentima i nositeljima funkcije upravljanja kreditnim rizikom; </w:t>
            </w:r>
          </w:p>
          <w:p w:rsidR="00B24D98" w:rsidRPr="00C17DF4" w:rsidRDefault="00B24D98" w:rsidP="00B24D98">
            <w:pPr>
              <w:pStyle w:val="ListParagraph"/>
              <w:numPr>
                <w:ilvl w:val="0"/>
                <w:numId w:val="51"/>
              </w:numPr>
              <w:suppressAutoHyphens/>
              <w:autoSpaceDN w:val="0"/>
              <w:spacing w:before="80" w:after="120" w:line="220" w:lineRule="exact"/>
              <w:contextualSpacing w:val="0"/>
              <w:rPr>
                <w:rFonts w:ascii="Univers for KPMG" w:hAnsi="Univers for KPMG" w:cs="Arial"/>
                <w:sz w:val="18"/>
                <w:szCs w:val="18"/>
              </w:rPr>
            </w:pPr>
            <w:r w:rsidRPr="00C17DF4">
              <w:rPr>
                <w:rFonts w:ascii="Univers for KPMG" w:hAnsi="Univers for KPMG" w:cs="Arial"/>
                <w:color w:val="000000"/>
                <w:sz w:val="18"/>
                <w:szCs w:val="18"/>
              </w:rPr>
              <w:t xml:space="preserve">Za one izloženosti za koje su identificirane naznake umanjenja </w:t>
            </w:r>
            <w:r w:rsidR="00873B11">
              <w:rPr>
                <w:rFonts w:ascii="Univers for KPMG" w:hAnsi="Univers for KPMG" w:cs="Arial"/>
                <w:color w:val="000000"/>
                <w:sz w:val="18"/>
                <w:szCs w:val="18"/>
              </w:rPr>
              <w:t>(</w:t>
            </w:r>
            <w:r w:rsidRPr="00C17DF4">
              <w:rPr>
                <w:rFonts w:ascii="Univers for KPMG" w:hAnsi="Univers for KPMG" w:cs="Arial"/>
                <w:color w:val="000000"/>
                <w:sz w:val="18"/>
                <w:szCs w:val="18"/>
              </w:rPr>
              <w:t>klasifikacije u Stage 3) preispitivanje ključnih pretpostavki rukovodstva vezanih za procjene očekivanih budućih novčanih tokova za potrebe izračuna</w:t>
            </w:r>
            <w:r>
              <w:rPr>
                <w:rFonts w:ascii="Univers for KPMG" w:hAnsi="Univers for KPMG" w:cs="Arial"/>
                <w:color w:val="000000"/>
                <w:sz w:val="18"/>
                <w:szCs w:val="18"/>
              </w:rPr>
              <w:t xml:space="preserve"> umanjenja</w:t>
            </w:r>
            <w:r w:rsidRPr="00C17DF4">
              <w:rPr>
                <w:rFonts w:ascii="Univers for KPMG" w:hAnsi="Univers for KPMG" w:cs="Arial"/>
                <w:color w:val="000000"/>
                <w:sz w:val="18"/>
                <w:szCs w:val="18"/>
              </w:rPr>
              <w:t xml:space="preserve"> vrijednosti, kao što su diskontna stopa, vrijednost kolaterala i razdoblje realizacije, uz pomoć naših stručnjaka za procjenu vrijednosti, te provođenje neovisnog preračuna gdje je to bilo potrebno.</w:t>
            </w:r>
          </w:p>
          <w:p w:rsidR="00B24D98" w:rsidRDefault="00B24D98" w:rsidP="004D5AFD">
            <w:pPr>
              <w:spacing w:before="80" w:after="120" w:line="220" w:lineRule="exact"/>
              <w:rPr>
                <w:rFonts w:ascii="Univers for KPMG" w:hAnsi="Univers for KPMG" w:cs="Arial"/>
                <w:color w:val="000000"/>
                <w:sz w:val="18"/>
                <w:szCs w:val="18"/>
              </w:rPr>
            </w:pPr>
          </w:p>
          <w:p w:rsidR="00B24D98" w:rsidRDefault="00B24D98" w:rsidP="004D5AFD">
            <w:pPr>
              <w:spacing w:before="80" w:after="120" w:line="220" w:lineRule="exact"/>
              <w:rPr>
                <w:rFonts w:ascii="Univers for KPMG" w:hAnsi="Univers for KPMG" w:cs="Arial"/>
                <w:sz w:val="18"/>
                <w:szCs w:val="18"/>
              </w:rPr>
            </w:pPr>
            <w:r w:rsidRPr="00C17DF4">
              <w:rPr>
                <w:rFonts w:ascii="Univers for KPMG" w:hAnsi="Univers for KPMG" w:cs="Arial"/>
                <w:color w:val="000000"/>
                <w:sz w:val="18"/>
                <w:szCs w:val="18"/>
              </w:rPr>
              <w:t xml:space="preserve">Za umanjenje vrijednosti koje se određuje na </w:t>
            </w:r>
            <w:r>
              <w:rPr>
                <w:rFonts w:ascii="Univers for KPMG" w:hAnsi="Univers for KPMG" w:cs="Arial"/>
                <w:color w:val="000000"/>
                <w:sz w:val="18"/>
                <w:szCs w:val="18"/>
              </w:rPr>
              <w:t>skupnoj</w:t>
            </w:r>
            <w:r w:rsidRPr="00C17DF4">
              <w:rPr>
                <w:rFonts w:ascii="Univers for KPMG" w:hAnsi="Univers for KPMG" w:cs="Arial"/>
                <w:color w:val="000000"/>
                <w:sz w:val="18"/>
                <w:szCs w:val="18"/>
              </w:rPr>
              <w:t xml:space="preserve"> osnovi:</w:t>
            </w:r>
          </w:p>
          <w:p w:rsidR="00B24D98" w:rsidRDefault="00B24D98" w:rsidP="00B24D98">
            <w:pPr>
              <w:pStyle w:val="KAMKNormal"/>
              <w:numPr>
                <w:ilvl w:val="0"/>
                <w:numId w:val="51"/>
              </w:numPr>
              <w:spacing w:before="80" w:line="220" w:lineRule="exact"/>
              <w:textAlignment w:val="auto"/>
              <w:rPr>
                <w:rFonts w:ascii="Univers for KPMG" w:hAnsi="Univers for KPMG" w:cs="Arial"/>
                <w:sz w:val="18"/>
                <w:szCs w:val="18"/>
                <w:lang w:val="hr-HR"/>
              </w:rPr>
            </w:pPr>
            <w:r w:rsidRPr="00C17DF4">
              <w:rPr>
                <w:rFonts w:ascii="Univers for KPMG" w:hAnsi="Univers for KPMG" w:cs="Arial"/>
                <w:sz w:val="18"/>
                <w:szCs w:val="18"/>
                <w:lang w:val="hr-HR"/>
              </w:rPr>
              <w:t>Osim procedura vezanih uz testiranje modela, za skupno umanjenje vrijednosti, neovisna procjena ključnih parametara koji se koriste kod izračuna ECL, kako slijedi:</w:t>
            </w:r>
          </w:p>
          <w:p w:rsidR="00B24D98" w:rsidRPr="00AA63E1" w:rsidRDefault="00B24D98" w:rsidP="00B24D98">
            <w:pPr>
              <w:numPr>
                <w:ilvl w:val="0"/>
                <w:numId w:val="51"/>
              </w:numPr>
              <w:autoSpaceDN w:val="0"/>
              <w:spacing w:before="80" w:after="120" w:line="220" w:lineRule="exact"/>
              <w:rPr>
                <w:rFonts w:ascii="Univers for KPMG" w:eastAsia="Calibri" w:hAnsi="Univers for KPMG" w:cs="Arial"/>
                <w:sz w:val="18"/>
                <w:szCs w:val="18"/>
                <w:lang w:val="hr-HR"/>
              </w:rPr>
            </w:pPr>
            <w:r w:rsidRPr="00C17DF4">
              <w:rPr>
                <w:rFonts w:ascii="Univers for KPMG" w:hAnsi="Univers for KPMG" w:cs="Arial"/>
                <w:color w:val="000000"/>
                <w:sz w:val="18"/>
                <w:szCs w:val="18"/>
              </w:rPr>
              <w:t>Traženje relevantnih informacija o predviđanjima budućih kretanja i makroekonomskim projekcijama koji se koriste od strane Banke i Grupe u procjeni ECL. Neovisna procjena tih informacija potvrđujući navode rukovodstva ispitivanjem javno dostupnih informacija;</w:t>
            </w:r>
          </w:p>
          <w:p w:rsidR="00B24D98" w:rsidRDefault="00B24D98" w:rsidP="00B24D98">
            <w:pPr>
              <w:pStyle w:val="KAMKNormal"/>
              <w:numPr>
                <w:ilvl w:val="0"/>
                <w:numId w:val="51"/>
              </w:numPr>
              <w:suppressAutoHyphens w:val="0"/>
              <w:spacing w:before="80" w:line="220" w:lineRule="exact"/>
              <w:textAlignment w:val="auto"/>
              <w:rPr>
                <w:rFonts w:ascii="Univers for KPMG" w:hAnsi="Univers for KPMG" w:cs="Arial"/>
                <w:sz w:val="18"/>
                <w:szCs w:val="18"/>
                <w:lang w:val="hr-HR"/>
              </w:rPr>
            </w:pPr>
            <w:r>
              <w:rPr>
                <w:rFonts w:ascii="Univers for KPMG" w:hAnsi="Univers for KPMG" w:cs="Arial"/>
                <w:sz w:val="18"/>
                <w:szCs w:val="18"/>
                <w:lang w:val="hr-HR"/>
              </w:rPr>
              <w:t>Provjera EAD izloženosti p</w:t>
            </w:r>
            <w:r w:rsidRPr="00C17DF4">
              <w:rPr>
                <w:rFonts w:ascii="Univers for KPMG" w:hAnsi="Univers for KPMG" w:cs="Arial"/>
                <w:sz w:val="18"/>
                <w:szCs w:val="18"/>
                <w:lang w:val="hr-HR"/>
              </w:rPr>
              <w:t>otvrđivanjem podataka o izloženostima sa sustavima i podacima iz ugovora za odabrani uzorak;</w:t>
            </w:r>
          </w:p>
          <w:p w:rsidR="00B24D98" w:rsidRPr="00AA63E1" w:rsidRDefault="00B24D98" w:rsidP="00B24D98">
            <w:pPr>
              <w:pStyle w:val="KAMKNormal"/>
              <w:numPr>
                <w:ilvl w:val="0"/>
                <w:numId w:val="51"/>
              </w:numPr>
              <w:suppressAutoHyphens w:val="0"/>
              <w:spacing w:before="80" w:line="220" w:lineRule="exact"/>
              <w:textAlignment w:val="auto"/>
              <w:rPr>
                <w:rFonts w:ascii="Univers for KPMG" w:hAnsi="Univers for KPMG" w:cs="Arial"/>
                <w:sz w:val="18"/>
                <w:szCs w:val="18"/>
              </w:rPr>
            </w:pPr>
            <w:r w:rsidRPr="00AA63E1">
              <w:rPr>
                <w:rFonts w:ascii="Univers for KPMG" w:hAnsi="Univers for KPMG" w:cs="Arial"/>
                <w:sz w:val="18"/>
                <w:szCs w:val="18"/>
                <w:lang w:val="hr-HR"/>
              </w:rPr>
              <w:t>Kritičko preispitivanje LGD i PD parametara, ocijenjenih kao</w:t>
            </w:r>
            <w:r>
              <w:rPr>
                <w:rFonts w:ascii="Univers for KPMG" w:hAnsi="Univers for KPMG" w:cs="Arial"/>
                <w:sz w:val="18"/>
                <w:szCs w:val="18"/>
                <w:lang w:val="hr-HR"/>
              </w:rPr>
              <w:t xml:space="preserve"> </w:t>
            </w:r>
            <w:r w:rsidRPr="00AA63E1">
              <w:rPr>
                <w:rFonts w:ascii="Univers for KPMG" w:hAnsi="Univers for KPMG" w:cs="Arial"/>
                <w:sz w:val="18"/>
                <w:szCs w:val="18"/>
                <w:lang w:val="hr-HR"/>
              </w:rPr>
              <w:t>značajni, provođenjem back-testiranja povijesnih podataka</w:t>
            </w:r>
            <w:r>
              <w:rPr>
                <w:rFonts w:ascii="Univers for KPMG" w:hAnsi="Univers for KPMG" w:cs="Arial"/>
                <w:sz w:val="18"/>
                <w:szCs w:val="18"/>
                <w:lang w:val="hr-HR"/>
              </w:rPr>
              <w:t xml:space="preserve"> </w:t>
            </w:r>
            <w:r w:rsidRPr="00AA63E1">
              <w:rPr>
                <w:rFonts w:ascii="Univers for KPMG" w:hAnsi="Univers for KPMG" w:cs="Arial"/>
                <w:sz w:val="18"/>
                <w:szCs w:val="18"/>
                <w:lang w:val="hr-HR"/>
              </w:rPr>
              <w:t>kod neispunjenja obveza i uzimajući u obzir povijesno ostvarene</w:t>
            </w:r>
            <w:r>
              <w:rPr>
                <w:rFonts w:ascii="Univers for KPMG" w:hAnsi="Univers for KPMG" w:cs="Arial"/>
                <w:sz w:val="18"/>
                <w:szCs w:val="18"/>
                <w:lang w:val="hr-HR"/>
              </w:rPr>
              <w:t xml:space="preserve"> </w:t>
            </w:r>
            <w:r w:rsidRPr="00AA63E1">
              <w:rPr>
                <w:rFonts w:ascii="Univers for KPMG" w:hAnsi="Univers for KPMG" w:cs="Arial"/>
                <w:sz w:val="18"/>
                <w:szCs w:val="18"/>
                <w:lang w:val="hr-HR"/>
              </w:rPr>
              <w:t>gubitke kod neispunjavanja obveza;</w:t>
            </w:r>
          </w:p>
          <w:p w:rsidR="00B24D98" w:rsidRPr="00AA63E1" w:rsidRDefault="00B24D98" w:rsidP="00B24D98">
            <w:pPr>
              <w:pStyle w:val="KAMKNormal"/>
              <w:numPr>
                <w:ilvl w:val="0"/>
                <w:numId w:val="51"/>
              </w:numPr>
              <w:suppressAutoHyphens w:val="0"/>
              <w:spacing w:before="80" w:line="220" w:lineRule="exact"/>
              <w:textAlignment w:val="auto"/>
              <w:rPr>
                <w:rFonts w:ascii="Univers for KPMG" w:hAnsi="Univers for KPMG" w:cs="Arial"/>
                <w:sz w:val="18"/>
                <w:szCs w:val="18"/>
              </w:rPr>
            </w:pPr>
            <w:r w:rsidRPr="00AA63E1">
              <w:rPr>
                <w:rFonts w:ascii="Univers for KPMG" w:hAnsi="Univers for KPMG" w:cs="Arial"/>
                <w:sz w:val="18"/>
                <w:szCs w:val="18"/>
                <w:lang w:val="hr-HR"/>
              </w:rPr>
              <w:t>Za uzorak izloženosti, procjenjivanje je li stage ispravno određen;</w:t>
            </w:r>
          </w:p>
          <w:p w:rsidR="00B24D98" w:rsidRPr="000E0B94" w:rsidRDefault="00B24D98" w:rsidP="00B24D98">
            <w:pPr>
              <w:pStyle w:val="KAMKNormal"/>
              <w:numPr>
                <w:ilvl w:val="0"/>
                <w:numId w:val="51"/>
              </w:numPr>
              <w:suppressAutoHyphens w:val="0"/>
              <w:spacing w:before="80" w:line="220" w:lineRule="exact"/>
              <w:textAlignment w:val="auto"/>
              <w:rPr>
                <w:rFonts w:ascii="Univers for KPMG" w:hAnsi="Univers for KPMG" w:cs="Arial"/>
                <w:sz w:val="18"/>
                <w:szCs w:val="18"/>
                <w:lang w:val="hr-HR"/>
              </w:rPr>
            </w:pPr>
            <w:r w:rsidRPr="00AA63E1">
              <w:rPr>
                <w:rFonts w:ascii="Univers for KPMG" w:hAnsi="Univers for KPMG" w:cs="Arial"/>
                <w:sz w:val="18"/>
                <w:szCs w:val="18"/>
                <w:lang w:val="hr-HR"/>
              </w:rPr>
              <w:t>Za uzorak izloženosti koje se skupno procjenjuju, procjenjivanje</w:t>
            </w:r>
            <w:r>
              <w:rPr>
                <w:rFonts w:ascii="Univers for KPMG" w:hAnsi="Univers for KPMG" w:cs="Arial"/>
                <w:sz w:val="18"/>
                <w:szCs w:val="18"/>
                <w:lang w:val="hr-HR"/>
              </w:rPr>
              <w:t xml:space="preserve"> </w:t>
            </w:r>
            <w:r w:rsidRPr="00AA63E1">
              <w:rPr>
                <w:rFonts w:ascii="Univers for KPMG" w:hAnsi="Univers for KPMG" w:cs="Arial"/>
                <w:sz w:val="18"/>
                <w:szCs w:val="18"/>
                <w:lang w:val="hr-HR"/>
              </w:rPr>
              <w:t>primjene korištenih modela mjerenja i provjeravanje</w:t>
            </w:r>
            <w:r>
              <w:rPr>
                <w:rFonts w:ascii="Univers for KPMG" w:hAnsi="Univers for KPMG" w:cs="Arial"/>
                <w:sz w:val="18"/>
                <w:szCs w:val="18"/>
                <w:lang w:val="hr-HR"/>
              </w:rPr>
              <w:t xml:space="preserve"> </w:t>
            </w:r>
            <w:r w:rsidRPr="00AA63E1">
              <w:rPr>
                <w:rFonts w:ascii="Univers for KPMG" w:hAnsi="Univers for KPMG" w:cs="Arial"/>
                <w:sz w:val="18"/>
                <w:szCs w:val="18"/>
                <w:lang w:val="hr-HR"/>
              </w:rPr>
              <w:t>jesu li primijenjene stope umanjenja usklađene s onima</w:t>
            </w:r>
            <w:r>
              <w:rPr>
                <w:rFonts w:ascii="Univers for KPMG" w:hAnsi="Univers for KPMG" w:cs="Arial"/>
                <w:sz w:val="18"/>
                <w:szCs w:val="18"/>
                <w:lang w:val="hr-HR"/>
              </w:rPr>
              <w:t xml:space="preserve"> </w:t>
            </w:r>
            <w:r w:rsidRPr="000E0B94">
              <w:rPr>
                <w:rFonts w:ascii="UniversforKPMG" w:eastAsiaTheme="minorHAnsi" w:hAnsi="UniversforKPMG" w:cs="UniversforKPMG"/>
                <w:sz w:val="17"/>
                <w:szCs w:val="17"/>
              </w:rPr>
              <w:t>predviđenim u tim modelima;</w:t>
            </w:r>
          </w:p>
          <w:p w:rsidR="00B24D98" w:rsidRPr="00C17DF4" w:rsidRDefault="00B24D98" w:rsidP="004D5AFD">
            <w:pPr>
              <w:pStyle w:val="KAMKNormal"/>
              <w:spacing w:before="80" w:line="220" w:lineRule="exact"/>
              <w:rPr>
                <w:rFonts w:ascii="Univers for KPMG" w:hAnsi="Univers for KPMG" w:cs="Arial"/>
                <w:sz w:val="18"/>
                <w:szCs w:val="18"/>
                <w:lang w:val="hr-HR"/>
              </w:rPr>
            </w:pPr>
            <w:r w:rsidRPr="00C17DF4">
              <w:rPr>
                <w:rFonts w:ascii="Univers for KPMG" w:hAnsi="Univers for KPMG" w:cs="Arial"/>
                <w:sz w:val="18"/>
                <w:szCs w:val="18"/>
                <w:lang w:val="hr-HR"/>
              </w:rPr>
              <w:t>Za izloženosti koje se procjenjuju na individualnoj i skupnoj osnovi:</w:t>
            </w:r>
          </w:p>
          <w:p w:rsidR="00B24D98" w:rsidRPr="00AA63E1" w:rsidRDefault="00B24D98" w:rsidP="00B24D98">
            <w:pPr>
              <w:pStyle w:val="ListParagraph"/>
              <w:numPr>
                <w:ilvl w:val="0"/>
                <w:numId w:val="51"/>
              </w:numPr>
              <w:suppressAutoHyphens/>
              <w:autoSpaceDN w:val="0"/>
              <w:spacing w:before="80" w:after="120" w:line="220" w:lineRule="exact"/>
              <w:contextualSpacing w:val="0"/>
              <w:rPr>
                <w:rFonts w:ascii="Univers for KPMG" w:hAnsi="Univers for KPMG" w:cs="Arial"/>
                <w:color w:val="000000"/>
                <w:sz w:val="18"/>
                <w:szCs w:val="18"/>
              </w:rPr>
            </w:pPr>
            <w:r w:rsidRPr="000E0B94">
              <w:rPr>
                <w:rFonts w:ascii="Univers for KPMG" w:hAnsi="Univers for KPMG" w:cs="Arial"/>
                <w:color w:val="000000"/>
                <w:sz w:val="18"/>
                <w:szCs w:val="18"/>
              </w:rPr>
              <w:t>Kritičko procjenjivanje adekvatnosti cjelokupnih rezervacija za umanjenje</w:t>
            </w:r>
            <w:r>
              <w:rPr>
                <w:rFonts w:ascii="Univers for KPMG" w:hAnsi="Univers for KPMG" w:cs="Arial"/>
                <w:color w:val="000000"/>
                <w:sz w:val="18"/>
                <w:szCs w:val="18"/>
              </w:rPr>
              <w:t xml:space="preserve"> </w:t>
            </w:r>
            <w:r w:rsidRPr="00AA63E1">
              <w:rPr>
                <w:rFonts w:ascii="Univers for KPMG" w:hAnsi="Univers for KPMG" w:cs="Arial"/>
                <w:color w:val="000000"/>
                <w:sz w:val="18"/>
                <w:szCs w:val="18"/>
              </w:rPr>
              <w:t>vrijednosti, uključujući udio bruto neprihodujućih izloženosti u ukupnoj</w:t>
            </w:r>
            <w:r>
              <w:rPr>
                <w:rFonts w:ascii="Univers for KPMG" w:hAnsi="Univers for KPMG" w:cs="Arial"/>
                <w:color w:val="000000"/>
                <w:sz w:val="18"/>
                <w:szCs w:val="18"/>
              </w:rPr>
              <w:t xml:space="preserve"> </w:t>
            </w:r>
            <w:r w:rsidRPr="00AA63E1">
              <w:rPr>
                <w:rFonts w:ascii="Univers for KPMG" w:hAnsi="Univers for KPMG" w:cs="Arial"/>
                <w:color w:val="000000"/>
                <w:sz w:val="18"/>
                <w:szCs w:val="18"/>
              </w:rPr>
              <w:t>bruto izloženosti te razinu pokrivenosti rezervacijama neprihodujućih</w:t>
            </w:r>
            <w:r>
              <w:rPr>
                <w:rFonts w:ascii="Univers for KPMG" w:hAnsi="Univers for KPMG" w:cs="Arial"/>
                <w:color w:val="000000"/>
                <w:sz w:val="18"/>
                <w:szCs w:val="18"/>
              </w:rPr>
              <w:t xml:space="preserve"> </w:t>
            </w:r>
            <w:r w:rsidRPr="00AA63E1">
              <w:rPr>
                <w:rFonts w:ascii="Univers for KPMG" w:hAnsi="Univers for KPMG" w:cs="Arial"/>
                <w:color w:val="000000"/>
                <w:sz w:val="18"/>
                <w:szCs w:val="18"/>
              </w:rPr>
              <w:t>izloženosti;;</w:t>
            </w:r>
          </w:p>
          <w:p w:rsidR="00B24D98" w:rsidRPr="00C17DF4" w:rsidRDefault="00B24D98" w:rsidP="00B24D98">
            <w:pPr>
              <w:pStyle w:val="ListParagraph"/>
              <w:numPr>
                <w:ilvl w:val="0"/>
                <w:numId w:val="51"/>
              </w:numPr>
              <w:suppressAutoHyphens/>
              <w:autoSpaceDN w:val="0"/>
              <w:spacing w:before="80" w:after="120" w:line="220" w:lineRule="exact"/>
              <w:contextualSpacing w:val="0"/>
              <w:rPr>
                <w:rFonts w:ascii="Univers for KPMG" w:hAnsi="Univers for KPMG" w:cs="Arial"/>
                <w:sz w:val="18"/>
                <w:szCs w:val="18"/>
              </w:rPr>
            </w:pPr>
            <w:r w:rsidRPr="00C17DF4">
              <w:rPr>
                <w:rFonts w:ascii="Univers for KPMG" w:hAnsi="Univers for KPMG" w:cs="Arial"/>
                <w:color w:val="000000"/>
                <w:sz w:val="18"/>
                <w:szCs w:val="18"/>
              </w:rPr>
              <w:t xml:space="preserve">Procjena točnosti i potpunosti objava u financijskim izvještajima koje se odnose na </w:t>
            </w:r>
            <w:r>
              <w:rPr>
                <w:rFonts w:ascii="Univers for KPMG" w:hAnsi="Univers for KPMG" w:cs="Arial"/>
                <w:color w:val="000000"/>
                <w:sz w:val="18"/>
                <w:szCs w:val="18"/>
              </w:rPr>
              <w:t>primjenu novog standarda</w:t>
            </w:r>
            <w:r w:rsidRPr="00C17DF4">
              <w:rPr>
                <w:rFonts w:ascii="Univers for KPMG" w:hAnsi="Univers for KPMG" w:cs="Arial"/>
                <w:color w:val="000000"/>
                <w:sz w:val="18"/>
                <w:szCs w:val="18"/>
              </w:rPr>
              <w:t xml:space="preserve">. </w:t>
            </w:r>
          </w:p>
        </w:tc>
      </w:tr>
    </w:tbl>
    <w:p w:rsidR="00817AB7" w:rsidRDefault="00817AB7" w:rsidP="00447AB8">
      <w:pPr>
        <w:spacing w:before="240" w:after="120"/>
        <w:rPr>
          <w:rFonts w:asciiTheme="minorHAnsi" w:hAnsiTheme="minorHAnsi" w:cs="Arial"/>
          <w:sz w:val="22"/>
          <w:szCs w:val="22"/>
          <w:lang w:val="hr-HR"/>
        </w:rPr>
      </w:pPr>
      <w:r>
        <w:rPr>
          <w:rFonts w:asciiTheme="minorHAnsi" w:hAnsiTheme="minorHAnsi" w:cs="Arial"/>
          <w:sz w:val="22"/>
          <w:szCs w:val="22"/>
          <w:lang w:val="hr-HR"/>
        </w:rPr>
        <w:br w:type="page"/>
      </w:r>
    </w:p>
    <w:p w:rsidR="00B24D98" w:rsidRPr="00A87A16" w:rsidRDefault="00B24D98" w:rsidP="00B24D98">
      <w:pPr>
        <w:pStyle w:val="BodyText"/>
        <w:spacing w:after="160" w:line="260" w:lineRule="exact"/>
        <w:rPr>
          <w:rFonts w:ascii="Univers for KPMG" w:hAnsi="Univers for KPMG"/>
          <w:b/>
          <w:color w:val="00338D"/>
          <w:lang w:val="hr-HR"/>
        </w:rPr>
      </w:pPr>
      <w:r w:rsidRPr="0080215E">
        <w:rPr>
          <w:rFonts w:ascii="Univers for KPMG" w:hAnsi="Univers for KPMG"/>
          <w:b/>
          <w:color w:val="00338D"/>
          <w:lang w:val="hr-HR"/>
        </w:rPr>
        <w:t xml:space="preserve">Izvješće o reviziji financijskih izvještaja </w:t>
      </w:r>
      <w:r w:rsidRPr="0080215E">
        <w:rPr>
          <w:rFonts w:ascii="Univers for KPMG" w:hAnsi="Univers for KPMG"/>
          <w:b/>
          <w:i/>
          <w:color w:val="00338D"/>
          <w:lang w:val="hr-HR"/>
        </w:rPr>
        <w:t>(nastavak)</w:t>
      </w:r>
    </w:p>
    <w:p w:rsidR="00B24D98" w:rsidRPr="0080215E" w:rsidRDefault="00B24D98" w:rsidP="00B24D98">
      <w:pPr>
        <w:pStyle w:val="BodyText"/>
        <w:spacing w:before="240" w:after="120" w:line="260" w:lineRule="exact"/>
        <w:rPr>
          <w:rFonts w:ascii="Univers for KPMG" w:hAnsi="Univers for KPMG"/>
          <w:b/>
          <w:i/>
          <w:color w:val="00338D"/>
          <w:sz w:val="20"/>
          <w:lang w:val="hr-HR"/>
        </w:rPr>
      </w:pPr>
      <w:r w:rsidRPr="0080215E">
        <w:rPr>
          <w:rFonts w:ascii="Univers for KPMG" w:hAnsi="Univers for KPMG"/>
          <w:b/>
          <w:i/>
          <w:color w:val="00338D"/>
          <w:sz w:val="20"/>
          <w:lang w:val="hr-HR"/>
        </w:rPr>
        <w:t>Ostale informacije</w:t>
      </w:r>
    </w:p>
    <w:p w:rsidR="00B24D98" w:rsidRPr="0080215E" w:rsidRDefault="00B24D98" w:rsidP="00B24D98">
      <w:pPr>
        <w:pStyle w:val="BodyText"/>
        <w:spacing w:before="120" w:line="260" w:lineRule="exact"/>
        <w:rPr>
          <w:rFonts w:ascii="Univers for KPMG" w:hAnsi="Univers for KPMG" w:cs="Arial"/>
          <w:sz w:val="20"/>
          <w:lang w:val="hr-HR"/>
        </w:rPr>
      </w:pPr>
      <w:r w:rsidRPr="0080215E">
        <w:rPr>
          <w:rFonts w:ascii="Univers for KPMG" w:hAnsi="Univers for KPMG" w:cs="Arial"/>
          <w:sz w:val="20"/>
          <w:lang w:val="hr-HR"/>
        </w:rPr>
        <w:t>Uprava je odgovorna za ostale informacije. Ostale informacije uključuju Izvješće poslovodstva</w:t>
      </w:r>
      <w:r w:rsidR="008629B2">
        <w:rPr>
          <w:rFonts w:ascii="Univers for KPMG" w:hAnsi="Univers for KPMG" w:cs="Arial"/>
          <w:sz w:val="20"/>
          <w:lang w:val="hr-HR"/>
        </w:rPr>
        <w:t xml:space="preserve">, </w:t>
      </w:r>
      <w:r w:rsidRPr="0080215E">
        <w:rPr>
          <w:rFonts w:ascii="Univers for KPMG" w:hAnsi="Univers for KPMG" w:cs="Arial"/>
          <w:sz w:val="20"/>
          <w:lang w:val="hr-HR"/>
        </w:rPr>
        <w:t xml:space="preserve">Izjavu o primjeni kodeksa korporativnog upravljanja </w:t>
      </w:r>
      <w:r w:rsidR="008629B2">
        <w:rPr>
          <w:rFonts w:ascii="Univers for KPMG" w:hAnsi="Univers for KPMG" w:cs="Arial"/>
          <w:sz w:val="20"/>
          <w:lang w:val="hr-HR"/>
        </w:rPr>
        <w:t xml:space="preserve">te ostale informacije </w:t>
      </w:r>
      <w:r w:rsidRPr="0080215E">
        <w:rPr>
          <w:rFonts w:ascii="Univers for KPMG" w:hAnsi="Univers for KPMG" w:cs="Arial"/>
          <w:sz w:val="20"/>
          <w:lang w:val="hr-HR"/>
        </w:rPr>
        <w:t xml:space="preserve">koji su sastavni dio Godišnjeg izvješća Banke i Grupe, ali ne uključuju financijske izvještaje niti naše izvješće o reviziji financijskih izvještaja. </w:t>
      </w:r>
    </w:p>
    <w:p w:rsidR="00B24D98" w:rsidRPr="0080215E" w:rsidRDefault="00B24D98" w:rsidP="00B24D98">
      <w:pPr>
        <w:pStyle w:val="BodyText"/>
        <w:spacing w:before="120" w:line="260" w:lineRule="exact"/>
        <w:rPr>
          <w:rFonts w:ascii="Univers for KPMG" w:hAnsi="Univers for KPMG" w:cs="Arial"/>
          <w:sz w:val="20"/>
          <w:lang w:val="hr-HR"/>
        </w:rPr>
      </w:pPr>
      <w:r w:rsidRPr="0080215E">
        <w:rPr>
          <w:rFonts w:ascii="Univers for KPMG" w:hAnsi="Univers for KPMG" w:cs="Arial"/>
          <w:sz w:val="20"/>
          <w:lang w:val="hr-HR"/>
        </w:rPr>
        <w:t>Naše mišljenje na financijske izvještaje ne odnosi se na ostale informacije te ne izražavamo uvjerenje bilo koje vrste na ostale informacije, osim ako to nije izričito navedeno u našem izvješću.</w:t>
      </w:r>
    </w:p>
    <w:p w:rsidR="00B24D98" w:rsidRPr="0080215E" w:rsidRDefault="00B24D98" w:rsidP="00B24D98">
      <w:pPr>
        <w:spacing w:before="120" w:line="260" w:lineRule="exact"/>
        <w:rPr>
          <w:rFonts w:ascii="Univers for KPMG" w:hAnsi="Univers for KPMG" w:cs="Arial"/>
          <w:sz w:val="20"/>
        </w:rPr>
      </w:pPr>
      <w:r w:rsidRPr="0080215E">
        <w:rPr>
          <w:rFonts w:ascii="Univers for KPMG" w:hAnsi="Univers for KPMG" w:cs="Arial"/>
          <w:sz w:val="20"/>
        </w:rPr>
        <w:t>U vezi s našom revizijom financijskih izvještaja, odgovornost nam je pročitati ostale informacije te pri tome razmotriti jesu li ostale informacije značajno nekonzistentne s financijskim izvještajima ili saznanjima koja smo prikupili tijekom revizije, kao i čine li se, na neki drugi način, značajno pogrešno iskazane.</w:t>
      </w:r>
    </w:p>
    <w:p w:rsidR="00B24D98" w:rsidRPr="0080215E" w:rsidRDefault="00B24D98" w:rsidP="00B24D98">
      <w:pPr>
        <w:spacing w:before="120" w:line="260" w:lineRule="exact"/>
        <w:rPr>
          <w:rFonts w:ascii="Univers for KPMG" w:hAnsi="Univers for KPMG" w:cs="Arial"/>
          <w:sz w:val="20"/>
        </w:rPr>
      </w:pPr>
      <w:r w:rsidRPr="0080215E">
        <w:rPr>
          <w:rFonts w:ascii="Univers for KPMG" w:hAnsi="Univers for KPMG" w:cs="Arial"/>
          <w:sz w:val="20"/>
        </w:rPr>
        <w:t>Vezano za Izvješće poslovodstva te za Izjavu o primjeni kodeksa korporativnog upravljanja, također smo proveli procedure koje su zahtijevane hrvatskim Zakonom o računovodstvu („Zakon o računovodstvu“). Ove procedure uključuju razmatranje:</w:t>
      </w:r>
    </w:p>
    <w:p w:rsidR="00B24D98" w:rsidRPr="0080215E" w:rsidRDefault="00B24D98" w:rsidP="00B24D98">
      <w:pPr>
        <w:pStyle w:val="ListParagraph"/>
        <w:widowControl w:val="0"/>
        <w:numPr>
          <w:ilvl w:val="0"/>
          <w:numId w:val="53"/>
        </w:numPr>
        <w:adjustRightInd w:val="0"/>
        <w:spacing w:before="120" w:line="260" w:lineRule="exact"/>
        <w:contextualSpacing w:val="0"/>
        <w:textAlignment w:val="baseline"/>
        <w:rPr>
          <w:rFonts w:ascii="Univers for KPMG" w:hAnsi="Univers for KPMG" w:cs="Arial"/>
          <w:sz w:val="20"/>
        </w:rPr>
      </w:pPr>
      <w:r w:rsidRPr="0080215E">
        <w:rPr>
          <w:rFonts w:ascii="Univers for KPMG" w:hAnsi="Univers for KPMG" w:cs="Arial"/>
          <w:sz w:val="20"/>
        </w:rPr>
        <w:t xml:space="preserve">je li Izvješće poslovodstva pripremljeno u skladu s člancima 21. i 24. Zakona o računovodstvu </w:t>
      </w:r>
    </w:p>
    <w:p w:rsidR="00B24D98" w:rsidRPr="0080215E" w:rsidRDefault="00B24D98" w:rsidP="00B24D98">
      <w:pPr>
        <w:pStyle w:val="ListParagraph"/>
        <w:widowControl w:val="0"/>
        <w:numPr>
          <w:ilvl w:val="0"/>
          <w:numId w:val="53"/>
        </w:numPr>
        <w:adjustRightInd w:val="0"/>
        <w:spacing w:before="120" w:line="260" w:lineRule="exact"/>
        <w:contextualSpacing w:val="0"/>
        <w:textAlignment w:val="baseline"/>
        <w:rPr>
          <w:rFonts w:ascii="Univers for KPMG" w:hAnsi="Univers for KPMG" w:cs="Arial"/>
          <w:sz w:val="20"/>
        </w:rPr>
      </w:pPr>
      <w:r w:rsidRPr="0080215E">
        <w:rPr>
          <w:rFonts w:ascii="Univers for KPMG" w:hAnsi="Univers for KPMG" w:cs="Arial"/>
          <w:sz w:val="20"/>
        </w:rPr>
        <w:t>jesu li specifične informacije u Izjavi o primjeni kodeksa korporativnog upravljanja koje su zahtijevane sukladno članku 22., stavku 1., točkama 3. i 4. Zakona o računovodstvu („relevantni dijelovi Izjave o primjeni kodeksa korporativnog upravljanja“), pripremljene sukladno odredbama članka 22. Zakona o računovodstvu;</w:t>
      </w:r>
    </w:p>
    <w:p w:rsidR="00B24D98" w:rsidRPr="0080215E" w:rsidRDefault="00B24D98" w:rsidP="00B24D98">
      <w:pPr>
        <w:pStyle w:val="ListParagraph"/>
        <w:widowControl w:val="0"/>
        <w:numPr>
          <w:ilvl w:val="0"/>
          <w:numId w:val="53"/>
        </w:numPr>
        <w:adjustRightInd w:val="0"/>
        <w:spacing w:before="120" w:line="260" w:lineRule="exact"/>
        <w:contextualSpacing w:val="0"/>
        <w:textAlignment w:val="baseline"/>
        <w:rPr>
          <w:rFonts w:ascii="Univers for KPMG" w:hAnsi="Univers for KPMG" w:cs="Arial"/>
          <w:sz w:val="20"/>
        </w:rPr>
      </w:pPr>
      <w:r w:rsidRPr="0080215E">
        <w:rPr>
          <w:rFonts w:ascii="Univers for KPMG" w:hAnsi="Univers for KPMG" w:cs="Arial"/>
          <w:sz w:val="20"/>
        </w:rPr>
        <w:t xml:space="preserve">uključuje li Izjava o primjeni kodeksa korporativnog upravljanja </w:t>
      </w:r>
      <w:r w:rsidRPr="00AA63E1">
        <w:rPr>
          <w:rFonts w:ascii="Univers for KPMG" w:eastAsia="Calibri" w:hAnsi="Univers for KPMG" w:cs="Arial"/>
          <w:sz w:val="20"/>
          <w:szCs w:val="22"/>
        </w:rPr>
        <w:t xml:space="preserve">objave u skladu s člankom 22., stavkom 1., točkama </w:t>
      </w:r>
      <w:r w:rsidRPr="00AA63E1">
        <w:rPr>
          <w:rFonts w:ascii="Univers for KPMG" w:hAnsi="Univers for KPMG" w:cs="Arial"/>
          <w:sz w:val="20"/>
        </w:rPr>
        <w:t>2., 5., 6. i 7.</w:t>
      </w:r>
      <w:r w:rsidRPr="00AA63E1">
        <w:rPr>
          <w:rFonts w:ascii="Univers for KPMG" w:eastAsia="Calibri" w:hAnsi="Univers for KPMG" w:cs="Arial"/>
          <w:sz w:val="20"/>
          <w:szCs w:val="22"/>
        </w:rPr>
        <w:t xml:space="preserve"> </w:t>
      </w:r>
      <w:r w:rsidRPr="0080215E">
        <w:rPr>
          <w:rFonts w:ascii="Univers for KPMG" w:hAnsi="Univers for KPMG" w:cs="Arial"/>
          <w:sz w:val="20"/>
        </w:rPr>
        <w:t xml:space="preserve">Zakona o računovodstvu. </w:t>
      </w:r>
    </w:p>
    <w:p w:rsidR="00B24D98" w:rsidRPr="0080215E" w:rsidRDefault="00B24D98" w:rsidP="00B24D98">
      <w:pPr>
        <w:pStyle w:val="KAMKNormal"/>
        <w:spacing w:after="0" w:line="260" w:lineRule="exact"/>
        <w:rPr>
          <w:rFonts w:ascii="Univers for KPMG" w:hAnsi="Univers for KPMG" w:cs="Arial"/>
          <w:color w:val="auto"/>
          <w:sz w:val="20"/>
          <w:szCs w:val="20"/>
          <w:lang w:val="hr-HR"/>
        </w:rPr>
      </w:pPr>
      <w:r w:rsidRPr="0080215E">
        <w:rPr>
          <w:rFonts w:ascii="Univers for KPMG" w:hAnsi="Univers for KPMG" w:cs="Arial"/>
          <w:color w:val="auto"/>
          <w:sz w:val="20"/>
          <w:szCs w:val="20"/>
          <w:lang w:val="hr-HR"/>
        </w:rPr>
        <w:t xml:space="preserve">Na osnovi procedura čije je provođenje zahtijevano kao dio naše revizije financijskih izvještaja te gore navedenih procedura, prema našem mišljenju: </w:t>
      </w:r>
    </w:p>
    <w:p w:rsidR="00B24D98" w:rsidRPr="0080215E" w:rsidRDefault="00B24D98" w:rsidP="00B24D98">
      <w:pPr>
        <w:pStyle w:val="Bullet"/>
        <w:numPr>
          <w:ilvl w:val="0"/>
          <w:numId w:val="54"/>
        </w:numPr>
        <w:suppressAutoHyphens w:val="0"/>
        <w:autoSpaceDN/>
        <w:spacing w:before="120" w:line="260" w:lineRule="exact"/>
        <w:textAlignment w:val="auto"/>
        <w:rPr>
          <w:rFonts w:ascii="Univers for KPMG" w:hAnsi="Univers for KPMG" w:cs="Arial"/>
          <w:sz w:val="20"/>
          <w:szCs w:val="20"/>
          <w:lang w:val="hr-HR"/>
        </w:rPr>
      </w:pPr>
      <w:r w:rsidRPr="0080215E">
        <w:rPr>
          <w:rFonts w:ascii="Univers for KPMG" w:hAnsi="Univers for KPMG" w:cs="Arial"/>
          <w:sz w:val="20"/>
          <w:szCs w:val="20"/>
          <w:lang w:val="hr-HR"/>
        </w:rPr>
        <w:t>Informacije sadržane u Izvješću poslovodstva te relevantnim dijelovima Izjave o primjeni kodeksa korporativnog upravljanja za financijsku godinu za koji su pripremljeni financijski izvještaji, konzistentne su, u svim značajnim odrednicama, s financijskim izvještajima</w:t>
      </w:r>
      <w:r w:rsidRPr="00AA63E1">
        <w:rPr>
          <w:rFonts w:ascii="Univers for KPMG" w:hAnsi="Univers for KPMG" w:cs="Arial"/>
          <w:sz w:val="20"/>
          <w:szCs w:val="20"/>
          <w:lang w:val="hr-HR"/>
        </w:rPr>
        <w:t>;</w:t>
      </w:r>
    </w:p>
    <w:p w:rsidR="00B24D98" w:rsidRPr="0080215E" w:rsidRDefault="00B24D98" w:rsidP="00B24D98">
      <w:pPr>
        <w:pStyle w:val="Bullet"/>
        <w:numPr>
          <w:ilvl w:val="0"/>
          <w:numId w:val="54"/>
        </w:numPr>
        <w:suppressAutoHyphens w:val="0"/>
        <w:autoSpaceDN/>
        <w:spacing w:before="120" w:line="260" w:lineRule="exact"/>
        <w:textAlignment w:val="auto"/>
        <w:rPr>
          <w:rFonts w:ascii="Univers for KPMG" w:hAnsi="Univers for KPMG" w:cs="Arial"/>
          <w:sz w:val="20"/>
          <w:szCs w:val="20"/>
          <w:lang w:val="hr-HR"/>
        </w:rPr>
      </w:pPr>
      <w:r w:rsidRPr="0080215E">
        <w:rPr>
          <w:rFonts w:ascii="Univers for KPMG" w:hAnsi="Univers for KPMG" w:cs="Arial"/>
          <w:sz w:val="20"/>
          <w:szCs w:val="20"/>
          <w:lang w:val="hr-HR"/>
        </w:rPr>
        <w:t>Izvješće poslovodstva i relevantni dijelovi Izjave o primjeni kodeksa korporativnog upravljanja, pripremljeni su, u svim značajnim odrednicama, u skladu s člancima 21., 22. i 24. Zakona o računovodstvu</w:t>
      </w:r>
      <w:r w:rsidRPr="00AA63E1">
        <w:rPr>
          <w:rFonts w:ascii="Univers for KPMG" w:hAnsi="Univers for KPMG" w:cs="Arial"/>
          <w:sz w:val="20"/>
          <w:szCs w:val="20"/>
          <w:lang w:val="hr-HR"/>
        </w:rPr>
        <w:t>;</w:t>
      </w:r>
      <w:r w:rsidRPr="0080215E">
        <w:rPr>
          <w:rFonts w:ascii="Univers for KPMG" w:hAnsi="Univers for KPMG" w:cs="Arial"/>
          <w:sz w:val="20"/>
          <w:szCs w:val="20"/>
          <w:lang w:val="hr-HR"/>
        </w:rPr>
        <w:t xml:space="preserve">  </w:t>
      </w:r>
    </w:p>
    <w:p w:rsidR="00B24D98" w:rsidRPr="0080215E" w:rsidRDefault="00B24D98" w:rsidP="00B24D98">
      <w:pPr>
        <w:pStyle w:val="Bullet"/>
        <w:numPr>
          <w:ilvl w:val="0"/>
          <w:numId w:val="54"/>
        </w:numPr>
        <w:suppressAutoHyphens w:val="0"/>
        <w:autoSpaceDN/>
        <w:spacing w:before="120" w:line="260" w:lineRule="exact"/>
        <w:textAlignment w:val="auto"/>
        <w:rPr>
          <w:rFonts w:ascii="Univers for KPMG" w:hAnsi="Univers for KPMG" w:cs="Arial"/>
          <w:sz w:val="20"/>
          <w:szCs w:val="20"/>
          <w:lang w:val="hr-HR"/>
        </w:rPr>
      </w:pPr>
      <w:r w:rsidRPr="0080215E">
        <w:rPr>
          <w:rFonts w:ascii="Univers for KPMG" w:hAnsi="Univers for KPMG" w:cs="Arial"/>
          <w:sz w:val="20"/>
          <w:szCs w:val="20"/>
          <w:lang w:val="hr-HR"/>
        </w:rPr>
        <w:t xml:space="preserve">Izjava o primjeni kodeksa korporativnog upravljanja uključuje informacije koje su zahtijevane člankom 22., stavkom 1., točkama 2., 5., 6. i 7. Zakona o računovodstvu. </w:t>
      </w:r>
    </w:p>
    <w:p w:rsidR="00B24D98" w:rsidRPr="0080215E" w:rsidRDefault="00B24D98" w:rsidP="00B24D98">
      <w:pPr>
        <w:pStyle w:val="BodyText"/>
        <w:spacing w:before="120" w:line="260" w:lineRule="exact"/>
        <w:rPr>
          <w:rFonts w:ascii="Univers for KPMG" w:hAnsi="Univers for KPMG" w:cs="Arial"/>
          <w:sz w:val="20"/>
          <w:lang w:val="hr-HR"/>
        </w:rPr>
      </w:pPr>
      <w:r w:rsidRPr="0080215E">
        <w:rPr>
          <w:rFonts w:ascii="Univers for KPMG" w:hAnsi="Univers for KPMG" w:cs="Arial"/>
          <w:sz w:val="20"/>
          <w:lang w:val="hr-HR"/>
        </w:rPr>
        <w:t>Nadalje, uzevši u obzir poznavanje i razumijevanje Banke i Grupe te okruženja u kojem oni posluju, a koje smo stekli tijekom naše revizije, dužnost nam je izvijestiti jesmo li identificirali značajno pogrešne iskaze u Izvješću poslovodstva i Izjavi o primjeni kodeksa korporativnog upravljanja. U vezi s tim, nemamo ništa za izvijestiti.</w:t>
      </w:r>
    </w:p>
    <w:p w:rsidR="00B24D98" w:rsidRPr="0080215E" w:rsidRDefault="00B24D98" w:rsidP="00B24D98">
      <w:pPr>
        <w:pStyle w:val="BodyText"/>
        <w:spacing w:before="80" w:line="260" w:lineRule="exact"/>
        <w:rPr>
          <w:rFonts w:ascii="Univers for KPMG" w:hAnsi="Univers for KPMG"/>
          <w:b/>
          <w:i/>
          <w:color w:val="00338D"/>
          <w:sz w:val="20"/>
          <w:lang w:val="hr-HR"/>
        </w:rPr>
      </w:pPr>
    </w:p>
    <w:p w:rsidR="00817AB7" w:rsidRDefault="00817AB7" w:rsidP="00447AB8">
      <w:pPr>
        <w:spacing w:before="240" w:after="120"/>
        <w:rPr>
          <w:rFonts w:asciiTheme="minorHAnsi" w:hAnsiTheme="minorHAnsi" w:cs="Arial"/>
          <w:sz w:val="22"/>
          <w:szCs w:val="22"/>
          <w:lang w:val="hr-HR"/>
        </w:rPr>
      </w:pPr>
      <w:r>
        <w:rPr>
          <w:rFonts w:asciiTheme="minorHAnsi" w:hAnsiTheme="minorHAnsi" w:cs="Arial"/>
          <w:sz w:val="22"/>
          <w:szCs w:val="22"/>
          <w:lang w:val="hr-HR"/>
        </w:rPr>
        <w:br w:type="page"/>
      </w:r>
    </w:p>
    <w:p w:rsidR="00B24D98" w:rsidRPr="00A87A16" w:rsidRDefault="00B24D98" w:rsidP="00B24D98">
      <w:pPr>
        <w:pStyle w:val="BodyText"/>
        <w:spacing w:after="160" w:line="260" w:lineRule="exact"/>
        <w:rPr>
          <w:rFonts w:ascii="Univers for KPMG" w:hAnsi="Univers for KPMG"/>
          <w:b/>
          <w:color w:val="00338D"/>
          <w:lang w:val="hr-HR"/>
        </w:rPr>
      </w:pPr>
      <w:r w:rsidRPr="0080215E">
        <w:rPr>
          <w:rFonts w:ascii="Univers for KPMG" w:hAnsi="Univers for KPMG"/>
          <w:b/>
          <w:color w:val="00338D"/>
          <w:lang w:val="hr-HR"/>
        </w:rPr>
        <w:t xml:space="preserve">Izvješće o reviziji financijskih izvještaja </w:t>
      </w:r>
      <w:r w:rsidRPr="0080215E">
        <w:rPr>
          <w:rFonts w:ascii="Univers for KPMG" w:hAnsi="Univers for KPMG"/>
          <w:b/>
          <w:i/>
          <w:color w:val="00338D"/>
          <w:lang w:val="hr-HR"/>
        </w:rPr>
        <w:t>(nastavak)</w:t>
      </w:r>
    </w:p>
    <w:p w:rsidR="00B24D98" w:rsidRPr="0080215E" w:rsidRDefault="00B24D98" w:rsidP="00B24D98">
      <w:pPr>
        <w:pStyle w:val="BodyText"/>
        <w:spacing w:before="80" w:line="260" w:lineRule="exact"/>
        <w:rPr>
          <w:rFonts w:ascii="Univers for KPMG" w:hAnsi="Univers for KPMG"/>
          <w:b/>
          <w:i/>
          <w:color w:val="00338D"/>
          <w:sz w:val="20"/>
          <w:lang w:val="hr-HR"/>
        </w:rPr>
      </w:pPr>
      <w:r w:rsidRPr="0080215E">
        <w:rPr>
          <w:rFonts w:ascii="Univers for KPMG" w:hAnsi="Univers for KPMG"/>
          <w:b/>
          <w:i/>
          <w:color w:val="00338D"/>
          <w:sz w:val="20"/>
          <w:lang w:val="hr-HR"/>
        </w:rPr>
        <w:t xml:space="preserve">Odgovornosti Uprave i onih koji su zaduženi za nadzor za financijske izvještaje </w:t>
      </w:r>
    </w:p>
    <w:p w:rsidR="00B24D98" w:rsidRPr="0080215E" w:rsidRDefault="00B24D98" w:rsidP="00B24D98">
      <w:pPr>
        <w:pStyle w:val="BodyText"/>
        <w:spacing w:before="80"/>
        <w:rPr>
          <w:rFonts w:ascii="Univers for KPMG" w:hAnsi="Univers for KPMG" w:cs="Arial"/>
          <w:sz w:val="20"/>
          <w:lang w:val="hr-HR"/>
        </w:rPr>
      </w:pPr>
      <w:r w:rsidRPr="0080215E">
        <w:rPr>
          <w:rFonts w:ascii="Univers for KPMG" w:hAnsi="Univers for KPMG"/>
          <w:sz w:val="20"/>
          <w:lang w:val="hr-HR"/>
        </w:rPr>
        <w:t xml:space="preserve">Uprava je odgovorna za sastavljanje financijskih izvještaja </w:t>
      </w:r>
      <w:r w:rsidRPr="00AA63E1">
        <w:rPr>
          <w:rFonts w:ascii="Univers for KPMG" w:hAnsi="Univers for KPMG"/>
          <w:sz w:val="20"/>
          <w:lang w:val="hr-HR"/>
        </w:rPr>
        <w:t>koji daju istinit i fer prikaz</w:t>
      </w:r>
      <w:r w:rsidRPr="00A87A16">
        <w:rPr>
          <w:rFonts w:ascii="Univers for KPMG" w:hAnsi="Univers for KPMG"/>
          <w:sz w:val="20"/>
          <w:lang w:val="hr-HR"/>
        </w:rPr>
        <w:t xml:space="preserve"> u skladu </w:t>
      </w:r>
      <w:r w:rsidRPr="0080215E">
        <w:rPr>
          <w:rFonts w:ascii="Univers for KPMG" w:hAnsi="Univers for KPMG"/>
          <w:sz w:val="20"/>
          <w:lang w:val="hr-HR"/>
        </w:rPr>
        <w:t xml:space="preserve">s </w:t>
      </w:r>
      <w:r w:rsidRPr="0080215E">
        <w:rPr>
          <w:rFonts w:ascii="Univers for KPMG" w:hAnsi="Univers for KPMG" w:cs="Arial"/>
          <w:sz w:val="20"/>
          <w:lang w:val="hr-HR"/>
        </w:rPr>
        <w:t xml:space="preserve">EU MSFI te za one interne kontrole za koje Uprava odredi da su potrebne, kako bi se omogućilo sastavljanje </w:t>
      </w:r>
      <w:r w:rsidRPr="0080215E">
        <w:rPr>
          <w:rFonts w:ascii="Univers for KPMG" w:hAnsi="Univers for KPMG"/>
          <w:sz w:val="20"/>
          <w:lang w:val="hr-HR"/>
        </w:rPr>
        <w:t>f</w:t>
      </w:r>
      <w:r w:rsidRPr="0080215E">
        <w:rPr>
          <w:rFonts w:ascii="Univers for KPMG" w:hAnsi="Univers for KPMG" w:cs="Arial"/>
          <w:sz w:val="20"/>
          <w:lang w:val="hr-HR"/>
        </w:rPr>
        <w:t xml:space="preserve">inancijskih izvještaja, bez značajnog pogrešnog prikaza uslijed prijevare ili pogreške. </w:t>
      </w:r>
    </w:p>
    <w:p w:rsidR="00B24D98" w:rsidRPr="0080215E" w:rsidRDefault="00B24D98" w:rsidP="00B24D98">
      <w:pPr>
        <w:pStyle w:val="BodyText"/>
        <w:spacing w:before="120"/>
        <w:rPr>
          <w:rFonts w:ascii="Univers for KPMG" w:hAnsi="Univers for KPMG" w:cs="Arial"/>
          <w:sz w:val="20"/>
          <w:lang w:val="hr-HR"/>
        </w:rPr>
      </w:pPr>
      <w:r w:rsidRPr="0080215E">
        <w:rPr>
          <w:rFonts w:ascii="Univers for KPMG" w:hAnsi="Univers for KPMG" w:cs="Arial"/>
          <w:sz w:val="20"/>
          <w:lang w:val="hr-HR"/>
        </w:rPr>
        <w:t xml:space="preserve">U sastavljanju financijskih izvještaja, Uprava je odgovorna za procjenjivanje sposobnosti Banke i Grupe da nastave s vremenski neograničenim poslovanjem te objavljivanje, ako je primjenjivo, pitanja povezanih s vremenski neograničenim poslovanjem i korištenjem računovodstvene osnove utemeljene na vremenskoj neograničenosti poslovanja, osim u onim slučajevima kada Uprava namjerava likvidirati Društvo i Grupu, prekinuti poslovanje ili nema realne alternative nego da to učini. </w:t>
      </w:r>
    </w:p>
    <w:p w:rsidR="00B24D98" w:rsidRPr="0080215E" w:rsidRDefault="00B24D98" w:rsidP="00B24D98">
      <w:pPr>
        <w:spacing w:before="120"/>
        <w:rPr>
          <w:rFonts w:ascii="Univers for KPMG" w:hAnsi="Univers for KPMG" w:cs="Arial"/>
          <w:sz w:val="20"/>
        </w:rPr>
      </w:pPr>
      <w:r w:rsidRPr="0080215E">
        <w:rPr>
          <w:rFonts w:ascii="Univers for KPMG" w:hAnsi="Univers for KPMG" w:cs="Arial"/>
          <w:sz w:val="20"/>
        </w:rPr>
        <w:t>Oni koji su zaduženi za nadzor, odgovorni su za nadziranje procesa financijskog izvještavanja, uspostavljenog od strane Banke i Grupe.</w:t>
      </w:r>
    </w:p>
    <w:p w:rsidR="00B24D98" w:rsidRPr="0080215E" w:rsidRDefault="00B24D98" w:rsidP="00B24D98">
      <w:pPr>
        <w:pStyle w:val="BodyText"/>
        <w:spacing w:before="120" w:line="260" w:lineRule="exact"/>
        <w:rPr>
          <w:rFonts w:ascii="Univers for KPMG" w:hAnsi="Univers for KPMG"/>
          <w:b/>
          <w:i/>
          <w:color w:val="00338D"/>
          <w:sz w:val="20"/>
          <w:lang w:val="hr-HR"/>
        </w:rPr>
      </w:pPr>
      <w:r w:rsidRPr="0080215E">
        <w:rPr>
          <w:rFonts w:ascii="Univers for KPMG" w:hAnsi="Univers for KPMG"/>
          <w:b/>
          <w:i/>
          <w:color w:val="00338D"/>
          <w:sz w:val="20"/>
          <w:lang w:val="hr-HR"/>
        </w:rPr>
        <w:t xml:space="preserve">Odgovornosti revizora za reviziju financijskih izvještaja </w:t>
      </w:r>
    </w:p>
    <w:p w:rsidR="00B24D98" w:rsidRPr="0080215E" w:rsidRDefault="00B24D98" w:rsidP="00B24D98">
      <w:pPr>
        <w:pStyle w:val="BodyText"/>
        <w:spacing w:before="80"/>
        <w:rPr>
          <w:rFonts w:ascii="Univers for KPMG" w:hAnsi="Univers for KPMG" w:cs="Arial"/>
          <w:sz w:val="20"/>
          <w:lang w:val="hr-HR"/>
        </w:rPr>
      </w:pPr>
      <w:r w:rsidRPr="0080215E">
        <w:rPr>
          <w:rFonts w:ascii="Univers for KPMG" w:hAnsi="Univers for KPMG" w:cs="Arial"/>
          <w:sz w:val="20"/>
          <w:lang w:val="hr-HR"/>
        </w:rPr>
        <w:t xml:space="preserve">Naši su ciljevi steći razumno uvjerenje o tome jesu li financijski izvještaji, kao cjelina, bez značajno pogrešnog iskaza uslijed prijevare ili pogreške te izdati izvješće neovisnog revizora koje uključuje naše mišljenje. Razumno uvjerenje je visoka razina uvjerenja, ali nije garancija da će revizija obavljena u skladu s Međunarodnim revizijskim standardima uvijek otkriti postojanje značajno pogrešnih iskaza. Pogrešni iskazi mogu nastati uslijed prijevare ili pogreške, a smatraju se značajnim, ako se razumno može očekivati da bi, pojedinačno ili  zbrojeni s drugim pogrešnim iskazima, utjecali na ekonomske odluke korisnika financijskih izvještaja, donesene na osnovi ovih financijskih izvještaja. </w:t>
      </w:r>
    </w:p>
    <w:p w:rsidR="00B24D98" w:rsidRPr="0080215E" w:rsidRDefault="00B24D98" w:rsidP="00B24D98">
      <w:pPr>
        <w:pStyle w:val="BodyText"/>
        <w:spacing w:before="80"/>
        <w:rPr>
          <w:rFonts w:ascii="Univers for KPMG" w:hAnsi="Univers for KPMG" w:cs="Arial"/>
          <w:sz w:val="20"/>
          <w:lang w:val="hr-HR"/>
        </w:rPr>
      </w:pPr>
      <w:r w:rsidRPr="0080215E">
        <w:rPr>
          <w:rFonts w:ascii="Univers for KPMG" w:hAnsi="Univers for KPMG" w:cs="Arial"/>
          <w:sz w:val="20"/>
          <w:lang w:val="hr-HR"/>
        </w:rPr>
        <w:t>Kao sastavni dio revizije u skladu s Međunarodnim revizijskim standardima, donosimo profesionalne prosudbe i održavamo profesionalni skepticizam tijekom revizije. Mi također:</w:t>
      </w:r>
    </w:p>
    <w:p w:rsidR="00B24D98" w:rsidRPr="0080215E" w:rsidRDefault="00B24D98" w:rsidP="00B24D98">
      <w:pPr>
        <w:pStyle w:val="BodyText"/>
        <w:numPr>
          <w:ilvl w:val="0"/>
          <w:numId w:val="55"/>
        </w:numPr>
        <w:tabs>
          <w:tab w:val="clear" w:pos="-720"/>
          <w:tab w:val="left" w:pos="720"/>
        </w:tabs>
        <w:suppressAutoHyphens w:val="0"/>
        <w:spacing w:before="80"/>
        <w:ind w:left="714" w:right="0" w:hanging="357"/>
        <w:rPr>
          <w:rFonts w:ascii="Univers for KPMG" w:hAnsi="Univers for KPMG" w:cs="Arial"/>
          <w:sz w:val="20"/>
          <w:lang w:val="hr-HR"/>
        </w:rPr>
      </w:pPr>
      <w:r w:rsidRPr="0080215E">
        <w:rPr>
          <w:rFonts w:ascii="Univers for KPMG" w:hAnsi="Univers for KPMG" w:cs="Arial"/>
          <w:sz w:val="20"/>
          <w:lang w:val="hr-HR"/>
        </w:rPr>
        <w:t xml:space="preserve">prepoznajemo i procjenjujemo rizike značajno pogrešnog iskaza financijskih izvještaja, zbog prijevare ili pogreške; oblikujemo i obavljamo revizijske postupke kao odgovor na te rizike i pribavljamo revizijske dokaze koji su dostatni i primjereni kako bi osigurali osnovu za donošenje našeg mišljenja. Rizik neotkrivanja značajno pogrešnog iskaza nastalog uslijed prijevare, veći je od rizika neotkrivanja onog nastalog uslijed pogreške, budući da prijevara može uključiti tajne sporazume, krivotvorenje, namjerno ispuštanje, pogrešno prikazivanje ili zaobilaženje internih kontrola. </w:t>
      </w:r>
    </w:p>
    <w:p w:rsidR="00B24D98" w:rsidRPr="0080215E" w:rsidRDefault="00B24D98" w:rsidP="00B24D98">
      <w:pPr>
        <w:pStyle w:val="BodyText"/>
        <w:numPr>
          <w:ilvl w:val="0"/>
          <w:numId w:val="55"/>
        </w:numPr>
        <w:tabs>
          <w:tab w:val="clear" w:pos="-720"/>
          <w:tab w:val="left" w:pos="720"/>
        </w:tabs>
        <w:suppressAutoHyphens w:val="0"/>
        <w:spacing w:before="80"/>
        <w:ind w:left="714" w:right="0" w:hanging="357"/>
        <w:rPr>
          <w:rFonts w:ascii="Univers for KPMG" w:hAnsi="Univers for KPMG" w:cs="Arial"/>
          <w:sz w:val="20"/>
          <w:lang w:val="hr-HR"/>
        </w:rPr>
      </w:pPr>
      <w:r w:rsidRPr="0080215E">
        <w:rPr>
          <w:rFonts w:ascii="Univers for KPMG" w:hAnsi="Univers for KPMG" w:cs="Arial"/>
          <w:sz w:val="20"/>
          <w:lang w:val="hr-HR"/>
        </w:rPr>
        <w:t xml:space="preserve">stječemo razumijevanje internih kontrola relevantnih za reviziju kako bismo oblikovali revizijske postupke koji su primjereni u danim okolnostima, ali ne i u svrhu izražavanja mišljenja o učinkovitosti internih kontrola Banke i Grupe. </w:t>
      </w:r>
    </w:p>
    <w:p w:rsidR="00B24D98" w:rsidRPr="0080215E" w:rsidRDefault="00B24D98" w:rsidP="00B24D98">
      <w:pPr>
        <w:pStyle w:val="BodyText"/>
        <w:numPr>
          <w:ilvl w:val="0"/>
          <w:numId w:val="55"/>
        </w:numPr>
        <w:tabs>
          <w:tab w:val="clear" w:pos="-720"/>
          <w:tab w:val="left" w:pos="720"/>
        </w:tabs>
        <w:suppressAutoHyphens w:val="0"/>
        <w:spacing w:before="80"/>
        <w:ind w:left="714" w:right="0" w:hanging="357"/>
        <w:rPr>
          <w:rFonts w:ascii="Univers for KPMG" w:hAnsi="Univers for KPMG" w:cs="Arial"/>
          <w:sz w:val="20"/>
          <w:lang w:val="hr-HR"/>
        </w:rPr>
      </w:pPr>
      <w:r w:rsidRPr="0080215E">
        <w:rPr>
          <w:rFonts w:ascii="Univers for KPMG" w:hAnsi="Univers for KPMG" w:cs="Arial"/>
          <w:sz w:val="20"/>
          <w:lang w:val="hr-HR"/>
        </w:rPr>
        <w:t xml:space="preserve">ocjenjujemo primjerenost korištenih računovodstvenih politika i razumnost računovodstvenih procjena i povezanih objava od strane Uprave. </w:t>
      </w:r>
    </w:p>
    <w:p w:rsidR="00B24D98" w:rsidRPr="0080215E" w:rsidRDefault="00B24D98" w:rsidP="00B24D98">
      <w:pPr>
        <w:pStyle w:val="BodyText"/>
        <w:numPr>
          <w:ilvl w:val="0"/>
          <w:numId w:val="55"/>
        </w:numPr>
        <w:tabs>
          <w:tab w:val="clear" w:pos="-720"/>
          <w:tab w:val="left" w:pos="720"/>
        </w:tabs>
        <w:suppressAutoHyphens w:val="0"/>
        <w:spacing w:before="80"/>
        <w:ind w:left="714" w:right="0" w:hanging="357"/>
        <w:rPr>
          <w:rFonts w:ascii="Univers for KPMG" w:hAnsi="Univers for KPMG" w:cs="Arial"/>
          <w:sz w:val="20"/>
          <w:lang w:val="hr-HR"/>
        </w:rPr>
      </w:pPr>
      <w:r w:rsidRPr="0080215E">
        <w:rPr>
          <w:rFonts w:ascii="Univers for KPMG" w:hAnsi="Univers for KPMG" w:cs="Arial"/>
          <w:sz w:val="20"/>
          <w:lang w:val="hr-HR"/>
        </w:rPr>
        <w:t xml:space="preserve">donosimo zaključak o primjerenosti korištenja pretpostavke vremenske neograničenosti poslovanja od strane Uprave te, temeljeno na pribavljenim revizijskim dokazima, zaključujemo o tome postoji li značajna neizvjesnost u vezi s događajima ili okolnostima koji mogu stvarati značajnu sumnju u sposobnost Banke i Grupe da nastave s vremenski neograničenim poslovanjem. Ukoliko zaključimo da postoji značajna neizvjesnost, od nas se zahtijeva da skrenemo pozornost u našem izvješću neovisnog revizora na povezane objave u financijskim izvještajima ili, ako takve objave nisu odgovarajuće, da modificiramo naše mišljenje. Naši zaključci temelje se na revizijskim dokazima pribavljenim do datuma izdavanja našeg izvješća neovisnog revizora. Međutim, budući događaji ili uvjeti mogu uzrokovati da Društvo i Grupa ne budu u mogućnosti nastaviti s vremenski neograničenim poslovanjem. </w:t>
      </w:r>
    </w:p>
    <w:p w:rsidR="00B24D98" w:rsidRPr="0080215E" w:rsidRDefault="00B24D98" w:rsidP="00B24D98">
      <w:pPr>
        <w:pStyle w:val="BodyText"/>
        <w:numPr>
          <w:ilvl w:val="0"/>
          <w:numId w:val="55"/>
        </w:numPr>
        <w:tabs>
          <w:tab w:val="clear" w:pos="-720"/>
          <w:tab w:val="left" w:pos="720"/>
        </w:tabs>
        <w:suppressAutoHyphens w:val="0"/>
        <w:spacing w:before="80"/>
        <w:ind w:left="714" w:right="0" w:hanging="357"/>
        <w:rPr>
          <w:rFonts w:ascii="Univers for KPMG" w:hAnsi="Univers for KPMG" w:cs="Arial"/>
          <w:sz w:val="20"/>
          <w:lang w:val="hr-HR"/>
        </w:rPr>
      </w:pPr>
      <w:r w:rsidRPr="0080215E">
        <w:rPr>
          <w:rFonts w:ascii="Univers for KPMG" w:hAnsi="Univers for KPMG" w:cs="Arial"/>
          <w:sz w:val="20"/>
          <w:lang w:val="hr-HR"/>
        </w:rPr>
        <w:t xml:space="preserve">ocjenjujemo cjelokupnu prezentaciju, strukturu i sadržaj financijskih izvještaja, uključujući i objave te razmatramo odražavaju li financijski izvještaji transakcije i događaje na kojima su zasnovani na način kako bi se postigla fer prezentacija. </w:t>
      </w:r>
    </w:p>
    <w:p w:rsidR="00B24D98" w:rsidRPr="00EF153D" w:rsidRDefault="00B24D98" w:rsidP="00B24D98">
      <w:pPr>
        <w:pStyle w:val="BodyText"/>
        <w:spacing w:after="160" w:line="260" w:lineRule="exact"/>
        <w:rPr>
          <w:rFonts w:ascii="Univers for KPMG" w:hAnsi="Univers for KPMG"/>
          <w:b/>
          <w:color w:val="00338D"/>
          <w:lang w:val="hr-HR"/>
        </w:rPr>
      </w:pPr>
      <w:r w:rsidRPr="0080215E">
        <w:rPr>
          <w:rFonts w:ascii="Univers for KPMG" w:hAnsi="Univers for KPMG"/>
          <w:b/>
          <w:color w:val="00338D"/>
          <w:lang w:val="hr-HR"/>
        </w:rPr>
        <w:t xml:space="preserve">Izvješće o reviziji financijskih izvještaja </w:t>
      </w:r>
      <w:r w:rsidRPr="0080215E">
        <w:rPr>
          <w:rFonts w:ascii="Univers for KPMG" w:hAnsi="Univers for KPMG"/>
          <w:b/>
          <w:i/>
          <w:color w:val="00338D"/>
          <w:lang w:val="hr-HR"/>
        </w:rPr>
        <w:t>(nastavak)</w:t>
      </w:r>
    </w:p>
    <w:p w:rsidR="00B24D98" w:rsidRPr="0080215E" w:rsidRDefault="00B24D98" w:rsidP="00B24D98">
      <w:pPr>
        <w:pStyle w:val="BodyText"/>
        <w:spacing w:before="120" w:line="260" w:lineRule="exact"/>
        <w:rPr>
          <w:rFonts w:ascii="Univers for KPMG" w:hAnsi="Univers for KPMG"/>
          <w:b/>
          <w:i/>
          <w:color w:val="00338D"/>
          <w:sz w:val="20"/>
          <w:lang w:val="hr-HR"/>
        </w:rPr>
      </w:pPr>
      <w:r w:rsidRPr="0080215E">
        <w:rPr>
          <w:rFonts w:ascii="Univers for KPMG" w:hAnsi="Univers for KPMG"/>
          <w:b/>
          <w:i/>
          <w:color w:val="00338D"/>
          <w:sz w:val="20"/>
          <w:lang w:val="hr-HR"/>
        </w:rPr>
        <w:t>Odgovornosti revizora za reviziju financijskih izvještaja (nastavak)</w:t>
      </w:r>
    </w:p>
    <w:p w:rsidR="00B24D98" w:rsidRPr="00A06033" w:rsidRDefault="00B24D98" w:rsidP="00B24D98">
      <w:pPr>
        <w:pStyle w:val="Bullet"/>
        <w:numPr>
          <w:ilvl w:val="0"/>
          <w:numId w:val="55"/>
        </w:numPr>
        <w:tabs>
          <w:tab w:val="left" w:pos="720"/>
        </w:tabs>
        <w:spacing w:before="120" w:after="120"/>
        <w:ind w:left="714" w:hanging="357"/>
        <w:rPr>
          <w:lang w:val="hr-HR"/>
        </w:rPr>
      </w:pPr>
      <w:r w:rsidRPr="00A06033">
        <w:rPr>
          <w:rFonts w:ascii="Univers for KPMG" w:hAnsi="Univers for KPMG" w:cs="Arial"/>
          <w:sz w:val="20"/>
          <w:lang w:val="hr-HR"/>
        </w:rPr>
        <w:t>pribavljamo dovoljno prikladnih revizijskih dokaza u vezi financijskih informacija subjekata ili poslovnih aktivnosti unutar Grupe, kako bismo mogli izraziti mišljenje o financijskim izvještajima Grupe. Mi smo odgovorni za usmjeravanje, nadzor i provedbu grupne revizije. Jedini smo odgovorni za izražavanje našeg mišljenja.</w:t>
      </w:r>
    </w:p>
    <w:p w:rsidR="00B24D98" w:rsidRPr="0080215E" w:rsidRDefault="00B24D98" w:rsidP="00B24D98">
      <w:pPr>
        <w:pStyle w:val="BodyText"/>
        <w:spacing w:before="120" w:after="120" w:line="260" w:lineRule="exact"/>
        <w:rPr>
          <w:rFonts w:ascii="Univers for KPMG" w:hAnsi="Univers for KPMG" w:cs="Arial"/>
          <w:sz w:val="20"/>
          <w:lang w:val="hr-HR"/>
        </w:rPr>
      </w:pPr>
      <w:r w:rsidRPr="0080215E">
        <w:rPr>
          <w:rFonts w:ascii="Univers for KPMG" w:hAnsi="Univers for KPMG" w:cs="Arial"/>
          <w:sz w:val="20"/>
          <w:lang w:val="hr-HR"/>
        </w:rPr>
        <w:t xml:space="preserve">Komuniciramo s onima koji su zaduženi za nadzor u vezi s, između ostalog, planiranim djelokrugom i vremenskim rasporedom revizije i važnim revizijskim nalazima, uključujući i one u vezi sa značajnim nedostacima u internim kontrolama, koji su otkriveni tijekom naše revizije. </w:t>
      </w:r>
    </w:p>
    <w:p w:rsidR="00B24D98" w:rsidRPr="0080215E" w:rsidRDefault="00B24D98" w:rsidP="00B24D98">
      <w:pPr>
        <w:pStyle w:val="BodyText"/>
        <w:spacing w:before="120" w:after="120" w:line="260" w:lineRule="exact"/>
        <w:rPr>
          <w:rFonts w:ascii="Univers for KPMG" w:hAnsi="Univers for KPMG" w:cs="Arial"/>
          <w:sz w:val="20"/>
          <w:lang w:val="hr-HR"/>
        </w:rPr>
      </w:pPr>
      <w:r w:rsidRPr="0080215E">
        <w:rPr>
          <w:rFonts w:ascii="Univers for KPMG" w:hAnsi="Univers for KPMG" w:cs="Arial"/>
          <w:sz w:val="20"/>
          <w:lang w:val="hr-HR"/>
        </w:rPr>
        <w:t xml:space="preserve">Mi, također, dajemo izjavu onima koji su zaduženi za nadzor da smo postupali u skladu s relevantnim etičkim zahtjevima vezanim za neovisnost i da ćemo komunicirati s njima o svim odnosima i drugim pitanjima za koja se može razumno smatrati da utječu na našu neovisnost, kao i, tamo gdje je to primjenjivo, o povezanim mjerama zaštite.  </w:t>
      </w:r>
    </w:p>
    <w:p w:rsidR="00B24D98" w:rsidRPr="0080215E" w:rsidRDefault="00B24D98" w:rsidP="00B24D98">
      <w:pPr>
        <w:spacing w:before="120" w:after="120" w:line="260" w:lineRule="exact"/>
        <w:rPr>
          <w:rFonts w:ascii="Univers for KPMG" w:hAnsi="Univers for KPMG" w:cs="Arial"/>
          <w:sz w:val="20"/>
        </w:rPr>
      </w:pPr>
      <w:r w:rsidRPr="0080215E">
        <w:rPr>
          <w:rFonts w:ascii="Univers for KPMG" w:hAnsi="Univers for KPMG" w:cs="Arial"/>
          <w:sz w:val="20"/>
        </w:rPr>
        <w:t xml:space="preserve">Među pitanjima o kojima se komunicira s onima koji su zaduženi za nadzor, određujemo ona koja su od najveće važnosti za reviziju financijskih izvještaja tekućeg razdoblja i stoga su ključna revizijska pitanja. Ta pitanja opisujemo u našem izvješću neovisnog revizora, osim ukoliko zakon ili propisi sprječavaju javno objavljivanje tih pitanja ili, kada odlučimo, u iznimno rijetkim okolnostima, da ta pitanje ne trebamo komunicirati u našem izvješću neovisnog revizora, s obzirom da se razumno može očekivati da bi negativne posljedice njihove objave nadmašile dobrobiti javnog interesa. </w:t>
      </w:r>
    </w:p>
    <w:p w:rsidR="00B24D98" w:rsidRPr="00AA63E1" w:rsidRDefault="00B24D98" w:rsidP="00B24D98">
      <w:pPr>
        <w:spacing w:before="240" w:line="260" w:lineRule="exact"/>
        <w:jc w:val="both"/>
        <w:rPr>
          <w:rFonts w:ascii="Univers for KPMG" w:hAnsi="Univers for KPMG" w:cs="Arial"/>
          <w:sz w:val="20"/>
          <w:shd w:val="clear" w:color="auto" w:fill="FFFF00"/>
          <w:lang w:val="hr-HR"/>
        </w:rPr>
      </w:pPr>
      <w:r w:rsidRPr="00AA63E1">
        <w:rPr>
          <w:rFonts w:ascii="Univers for KPMG" w:hAnsi="Univers for KPMG"/>
          <w:b/>
          <w:color w:val="00338D"/>
          <w:lang w:val="hr-HR"/>
        </w:rPr>
        <w:t xml:space="preserve">Izvješće o ostalim zakonskim i regulatornim obvezama </w:t>
      </w:r>
    </w:p>
    <w:p w:rsidR="00B24D98" w:rsidRPr="0080215E" w:rsidRDefault="00B24D98" w:rsidP="00B24D98">
      <w:pPr>
        <w:pStyle w:val="Bullet"/>
        <w:numPr>
          <w:ilvl w:val="0"/>
          <w:numId w:val="0"/>
        </w:numPr>
        <w:spacing w:before="80" w:line="260" w:lineRule="exact"/>
        <w:rPr>
          <w:rFonts w:ascii="Univers for KPMG" w:hAnsi="Univers for KPMG" w:cs="Arial"/>
          <w:sz w:val="20"/>
          <w:szCs w:val="20"/>
          <w:lang w:val="hr-HR"/>
        </w:rPr>
      </w:pPr>
      <w:r w:rsidRPr="0080215E">
        <w:rPr>
          <w:rFonts w:ascii="Univers for KPMG" w:hAnsi="Univers for KPMG" w:cs="Arial"/>
          <w:sz w:val="20"/>
          <w:szCs w:val="20"/>
          <w:lang w:val="hr-HR"/>
        </w:rPr>
        <w:t xml:space="preserve">Imenovani smo revizorima od strane onih zaduženih za nadzor na </w:t>
      </w:r>
      <w:r>
        <w:rPr>
          <w:rFonts w:ascii="Univers for KPMG" w:hAnsi="Univers for KPMG" w:cs="Arial"/>
          <w:sz w:val="20"/>
          <w:szCs w:val="20"/>
          <w:lang w:val="hr-HR"/>
        </w:rPr>
        <w:t xml:space="preserve">14. ožujka 2018. </w:t>
      </w:r>
      <w:r w:rsidRPr="0080215E">
        <w:rPr>
          <w:rFonts w:ascii="Univers for KPMG" w:hAnsi="Univers for KPMG" w:cs="Arial"/>
          <w:sz w:val="20"/>
          <w:szCs w:val="20"/>
          <w:lang w:val="hr-HR"/>
        </w:rPr>
        <w:t xml:space="preserve">da obavimo reviziju financijskih izvještaja </w:t>
      </w:r>
      <w:r w:rsidRPr="00EF153D">
        <w:rPr>
          <w:rFonts w:ascii="Univers for KPMG" w:hAnsi="Univers for KPMG" w:cs="Arial"/>
          <w:sz w:val="20"/>
          <w:szCs w:val="20"/>
          <w:lang w:val="hr-HR"/>
        </w:rPr>
        <w:t>Banke i Grupe</w:t>
      </w:r>
      <w:r w:rsidRPr="00A87A16">
        <w:rPr>
          <w:rFonts w:ascii="Univers for KPMG" w:hAnsi="Univers for KPMG" w:cs="Arial"/>
          <w:sz w:val="20"/>
          <w:szCs w:val="20"/>
          <w:lang w:val="hr-HR"/>
        </w:rPr>
        <w:t xml:space="preserve"> za godinu koja je završila</w:t>
      </w:r>
      <w:r>
        <w:rPr>
          <w:rFonts w:ascii="Univers for KPMG" w:hAnsi="Univers for KPMG" w:cs="Arial"/>
          <w:sz w:val="20"/>
          <w:szCs w:val="20"/>
          <w:lang w:val="hr-HR"/>
        </w:rPr>
        <w:t xml:space="preserve"> 31.prosinca 2018.</w:t>
      </w:r>
      <w:r w:rsidRPr="00AA63E1">
        <w:rPr>
          <w:rFonts w:ascii="Univers for KPMG" w:hAnsi="Univers for KPMG" w:cs="Arial"/>
          <w:sz w:val="20"/>
          <w:szCs w:val="20"/>
          <w:lang w:val="hr-HR"/>
        </w:rPr>
        <w:t xml:space="preserve"> </w:t>
      </w:r>
      <w:r>
        <w:rPr>
          <w:rFonts w:ascii="Univers for KPMG" w:hAnsi="Univers for KPMG" w:cs="Arial"/>
          <w:sz w:val="20"/>
          <w:szCs w:val="20"/>
          <w:lang w:val="hr-HR"/>
        </w:rPr>
        <w:t>Naš dosadašnji angažman odnosi se na razdoblje koje je završilo 31. prosinca 2018. godine.</w:t>
      </w:r>
    </w:p>
    <w:p w:rsidR="00B24D98" w:rsidRPr="0080215E" w:rsidRDefault="00B24D98" w:rsidP="00B24D98">
      <w:pPr>
        <w:pStyle w:val="Bullet"/>
        <w:numPr>
          <w:ilvl w:val="0"/>
          <w:numId w:val="0"/>
        </w:numPr>
        <w:spacing w:before="80" w:line="260" w:lineRule="exact"/>
        <w:rPr>
          <w:rFonts w:ascii="Univers for KPMG" w:hAnsi="Univers for KPMG" w:cs="Arial"/>
          <w:sz w:val="20"/>
          <w:szCs w:val="20"/>
          <w:lang w:val="hr-HR"/>
        </w:rPr>
      </w:pPr>
      <w:r w:rsidRPr="0080215E">
        <w:rPr>
          <w:rFonts w:ascii="Univers for KPMG" w:hAnsi="Univers for KPMG" w:cs="Arial"/>
          <w:sz w:val="20"/>
          <w:szCs w:val="20"/>
          <w:lang w:val="hr-HR"/>
        </w:rPr>
        <w:t>Potvrđujemo sljedeće:</w:t>
      </w:r>
    </w:p>
    <w:p w:rsidR="00B24D98" w:rsidRDefault="00B24D98" w:rsidP="00B24D98">
      <w:pPr>
        <w:pStyle w:val="Bullet"/>
        <w:numPr>
          <w:ilvl w:val="0"/>
          <w:numId w:val="56"/>
        </w:numPr>
        <w:suppressAutoHyphens w:val="0"/>
        <w:autoSpaceDN/>
        <w:spacing w:before="80" w:line="260" w:lineRule="exact"/>
        <w:textAlignment w:val="auto"/>
        <w:rPr>
          <w:rFonts w:ascii="Univers for KPMG" w:hAnsi="Univers for KPMG" w:cs="Arial"/>
          <w:sz w:val="20"/>
          <w:szCs w:val="20"/>
          <w:lang w:val="hr-HR"/>
        </w:rPr>
      </w:pPr>
      <w:r w:rsidRPr="0080215E">
        <w:rPr>
          <w:rFonts w:ascii="Univers for KPMG" w:hAnsi="Univers for KPMG" w:cs="Arial"/>
          <w:sz w:val="20"/>
          <w:szCs w:val="20"/>
          <w:lang w:val="hr-HR"/>
        </w:rPr>
        <w:t xml:space="preserve">naše revizorsko mišljenje konzistentno je s dodatnim izvještajem prezentiranim Odboru za reviziju Banke na dan </w:t>
      </w:r>
      <w:r>
        <w:rPr>
          <w:rFonts w:ascii="Univers for KPMG" w:hAnsi="Univers for KPMG" w:cs="Arial"/>
          <w:sz w:val="20"/>
          <w:szCs w:val="20"/>
          <w:lang w:val="hr-HR"/>
        </w:rPr>
        <w:t>22. ožujka 2019.</w:t>
      </w:r>
      <w:r w:rsidRPr="00AA63E1">
        <w:rPr>
          <w:rFonts w:ascii="Univers for KPMG" w:hAnsi="Univers for KPMG" w:cs="Arial"/>
          <w:sz w:val="20"/>
          <w:szCs w:val="20"/>
          <w:lang w:val="hr-HR"/>
        </w:rPr>
        <w:t>;</w:t>
      </w:r>
    </w:p>
    <w:p w:rsidR="00B24D98" w:rsidRPr="00D5646F" w:rsidRDefault="00B24D98" w:rsidP="00B24D98">
      <w:pPr>
        <w:pStyle w:val="Bullet"/>
        <w:numPr>
          <w:ilvl w:val="0"/>
          <w:numId w:val="56"/>
        </w:numPr>
        <w:suppressAutoHyphens w:val="0"/>
        <w:autoSpaceDN/>
        <w:spacing w:before="80" w:line="260" w:lineRule="exact"/>
        <w:textAlignment w:val="auto"/>
        <w:rPr>
          <w:rFonts w:ascii="Univers for KPMG" w:hAnsi="Univers for KPMG" w:cs="Arial"/>
          <w:sz w:val="20"/>
          <w:szCs w:val="20"/>
          <w:lang w:val="hr-HR"/>
        </w:rPr>
      </w:pPr>
      <w:r>
        <w:rPr>
          <w:rFonts w:ascii="Univers for KPMG" w:hAnsi="Univers for KPMG" w:cs="Arial"/>
          <w:sz w:val="20"/>
          <w:szCs w:val="20"/>
          <w:lang w:val="hr-HR"/>
        </w:rPr>
        <w:t>t</w:t>
      </w:r>
      <w:r w:rsidRPr="00D5646F">
        <w:rPr>
          <w:rFonts w:ascii="Univers for KPMG" w:hAnsi="Univers for KPMG" w:cs="Arial"/>
          <w:sz w:val="20"/>
          <w:szCs w:val="20"/>
          <w:lang w:val="hr-HR"/>
        </w:rPr>
        <w:t>ijekom razdoblja na koje se odnosi naša revizija zakonskih financijskih izvještaja nismo pružali nerevizijske usluge pa samim tim niti nedozvoljene nerevizijske usluge na koje se odnosi članak 44. Zakona o reviziji. Također, zadržali smo neovisnost od subjekta revizije tijekom provedbe revizije</w:t>
      </w:r>
      <w:r>
        <w:rPr>
          <w:rFonts w:ascii="Univers for KPMG" w:hAnsi="Univers for KPMG" w:cs="Arial"/>
          <w:sz w:val="20"/>
          <w:szCs w:val="20"/>
          <w:lang w:val="hr-HR"/>
        </w:rPr>
        <w:t>.</w:t>
      </w:r>
    </w:p>
    <w:p w:rsidR="00B24D98" w:rsidRPr="00AA63E1" w:rsidRDefault="00B24D98" w:rsidP="00B24D98">
      <w:pPr>
        <w:spacing w:before="120" w:after="120" w:line="260" w:lineRule="exact"/>
        <w:jc w:val="both"/>
        <w:rPr>
          <w:rFonts w:ascii="Univers for KPMG" w:hAnsi="Univers for KPMG" w:cs="Arial"/>
          <w:sz w:val="20"/>
          <w:lang w:val="hr-HR"/>
        </w:rPr>
      </w:pPr>
    </w:p>
    <w:p w:rsidR="00B24D98" w:rsidRPr="00AA63E1" w:rsidRDefault="00B24D98" w:rsidP="00B24D98">
      <w:pPr>
        <w:jc w:val="both"/>
        <w:rPr>
          <w:rFonts w:ascii="Univers for KPMG" w:hAnsi="Univers for KPMG" w:cs="Arial"/>
          <w:sz w:val="20"/>
          <w:lang w:val="hr-HR"/>
        </w:rPr>
      </w:pPr>
    </w:p>
    <w:tbl>
      <w:tblPr>
        <w:tblW w:w="9630" w:type="dxa"/>
        <w:tblInd w:w="-90" w:type="dxa"/>
        <w:tblCellMar>
          <w:left w:w="10" w:type="dxa"/>
          <w:right w:w="10" w:type="dxa"/>
        </w:tblCellMar>
        <w:tblLook w:val="0000" w:firstRow="0" w:lastRow="0" w:firstColumn="0" w:lastColumn="0" w:noHBand="0" w:noVBand="0"/>
      </w:tblPr>
      <w:tblGrid>
        <w:gridCol w:w="4643"/>
        <w:gridCol w:w="4987"/>
      </w:tblGrid>
      <w:tr w:rsidR="00B24D98" w:rsidRPr="0080215E" w:rsidTr="004D5AFD">
        <w:tc>
          <w:tcPr>
            <w:tcW w:w="4643" w:type="dxa"/>
            <w:shd w:val="clear" w:color="auto" w:fill="auto"/>
            <w:tcMar>
              <w:top w:w="0" w:type="dxa"/>
              <w:left w:w="108" w:type="dxa"/>
              <w:bottom w:w="0" w:type="dxa"/>
              <w:right w:w="108" w:type="dxa"/>
            </w:tcMar>
          </w:tcPr>
          <w:p w:rsidR="00B24D98" w:rsidRPr="00AA63E1" w:rsidRDefault="00B24D98" w:rsidP="004D5AFD">
            <w:pPr>
              <w:pStyle w:val="RNormal"/>
              <w:spacing w:line="240" w:lineRule="exact"/>
              <w:jc w:val="left"/>
              <w:rPr>
                <w:lang w:val="hr-HR"/>
              </w:rPr>
            </w:pPr>
            <w:r w:rsidRPr="00AA63E1">
              <w:rPr>
                <w:rFonts w:ascii="Univers for KPMG" w:hAnsi="Univers for KPMG"/>
                <w:b/>
                <w:i/>
                <w:sz w:val="20"/>
                <w:lang w:val="hr-HR"/>
              </w:rPr>
              <w:t xml:space="preserve">KPMG Croatia d.o.o. za reviziju                                     </w:t>
            </w:r>
          </w:p>
        </w:tc>
        <w:tc>
          <w:tcPr>
            <w:tcW w:w="4987" w:type="dxa"/>
            <w:shd w:val="clear" w:color="auto" w:fill="auto"/>
            <w:tcMar>
              <w:top w:w="0" w:type="dxa"/>
              <w:left w:w="108" w:type="dxa"/>
              <w:bottom w:w="0" w:type="dxa"/>
              <w:right w:w="108" w:type="dxa"/>
            </w:tcMar>
          </w:tcPr>
          <w:p w:rsidR="00B24D98" w:rsidRPr="00AA63E1" w:rsidRDefault="00B24D98" w:rsidP="004D5AFD">
            <w:pPr>
              <w:pStyle w:val="RNormal"/>
              <w:spacing w:line="240" w:lineRule="exact"/>
              <w:jc w:val="right"/>
              <w:rPr>
                <w:lang w:val="hr-HR"/>
              </w:rPr>
            </w:pPr>
            <w:r w:rsidRPr="00AA63E1">
              <w:rPr>
                <w:rFonts w:ascii="Univers for KPMG" w:hAnsi="Univers for KPMG"/>
                <w:b/>
                <w:bCs/>
                <w:sz w:val="20"/>
                <w:lang w:val="hr-HR"/>
              </w:rPr>
              <w:t>25. ožujka 2019.</w:t>
            </w:r>
          </w:p>
        </w:tc>
      </w:tr>
      <w:tr w:rsidR="00B24D98" w:rsidRPr="0080215E" w:rsidTr="004D5AFD">
        <w:tc>
          <w:tcPr>
            <w:tcW w:w="4643" w:type="dxa"/>
            <w:shd w:val="clear" w:color="auto" w:fill="auto"/>
            <w:tcMar>
              <w:top w:w="0" w:type="dxa"/>
              <w:left w:w="108" w:type="dxa"/>
              <w:bottom w:w="0" w:type="dxa"/>
              <w:right w:w="108" w:type="dxa"/>
            </w:tcMar>
          </w:tcPr>
          <w:p w:rsidR="00B24D98" w:rsidRPr="0080215E" w:rsidRDefault="00B24D98" w:rsidP="004D5AFD">
            <w:pPr>
              <w:autoSpaceDE w:val="0"/>
              <w:spacing w:line="240" w:lineRule="exact"/>
              <w:rPr>
                <w:rFonts w:ascii="Univers for KPMG" w:hAnsi="Univers for KPMG" w:cs="TimesNewRomanPSMT"/>
                <w:sz w:val="20"/>
              </w:rPr>
            </w:pPr>
            <w:r w:rsidRPr="0080215E">
              <w:rPr>
                <w:rFonts w:ascii="Univers for KPMG" w:hAnsi="Univers for KPMG"/>
                <w:sz w:val="20"/>
              </w:rPr>
              <w:t>Hrvatski ovlašteni revizori</w:t>
            </w:r>
          </w:p>
        </w:tc>
        <w:tc>
          <w:tcPr>
            <w:tcW w:w="4987" w:type="dxa"/>
            <w:shd w:val="clear" w:color="auto" w:fill="auto"/>
            <w:tcMar>
              <w:top w:w="0" w:type="dxa"/>
              <w:left w:w="108" w:type="dxa"/>
              <w:bottom w:w="0" w:type="dxa"/>
              <w:right w:w="108" w:type="dxa"/>
            </w:tcMar>
          </w:tcPr>
          <w:p w:rsidR="00B24D98" w:rsidRPr="00AA63E1" w:rsidRDefault="00B24D98" w:rsidP="004D5AFD">
            <w:pPr>
              <w:pStyle w:val="RNormal"/>
              <w:spacing w:line="240" w:lineRule="exact"/>
              <w:jc w:val="left"/>
              <w:rPr>
                <w:rFonts w:ascii="Univers for KPMG" w:hAnsi="Univers for KPMG" w:cs="Arial"/>
                <w:sz w:val="20"/>
                <w:szCs w:val="22"/>
                <w:lang w:val="hr-HR"/>
              </w:rPr>
            </w:pPr>
          </w:p>
        </w:tc>
      </w:tr>
      <w:tr w:rsidR="00B24D98" w:rsidRPr="0080215E" w:rsidTr="004D5AFD">
        <w:tc>
          <w:tcPr>
            <w:tcW w:w="4643" w:type="dxa"/>
            <w:shd w:val="clear" w:color="auto" w:fill="auto"/>
            <w:tcMar>
              <w:top w:w="0" w:type="dxa"/>
              <w:left w:w="108" w:type="dxa"/>
              <w:bottom w:w="0" w:type="dxa"/>
              <w:right w:w="108" w:type="dxa"/>
            </w:tcMar>
          </w:tcPr>
          <w:p w:rsidR="00B24D98" w:rsidRPr="00AA63E1" w:rsidRDefault="00B24D98" w:rsidP="004D5AFD">
            <w:pPr>
              <w:pStyle w:val="RNormal"/>
              <w:spacing w:line="240" w:lineRule="exact"/>
              <w:jc w:val="left"/>
              <w:rPr>
                <w:lang w:val="hr-HR"/>
              </w:rPr>
            </w:pPr>
            <w:r w:rsidRPr="00AA63E1">
              <w:rPr>
                <w:rFonts w:ascii="Univers for KPMG" w:hAnsi="Univers for KPMG"/>
                <w:sz w:val="20"/>
                <w:lang w:val="hr-HR"/>
              </w:rPr>
              <w:t>Eurotower</w:t>
            </w:r>
          </w:p>
        </w:tc>
        <w:tc>
          <w:tcPr>
            <w:tcW w:w="4987" w:type="dxa"/>
            <w:shd w:val="clear" w:color="auto" w:fill="auto"/>
            <w:tcMar>
              <w:top w:w="0" w:type="dxa"/>
              <w:left w:w="108" w:type="dxa"/>
              <w:bottom w:w="0" w:type="dxa"/>
              <w:right w:w="108" w:type="dxa"/>
            </w:tcMar>
          </w:tcPr>
          <w:p w:rsidR="00B24D98" w:rsidRPr="00AA63E1" w:rsidRDefault="00B24D98" w:rsidP="004D5AFD">
            <w:pPr>
              <w:pStyle w:val="RNormal"/>
              <w:spacing w:line="240" w:lineRule="exact"/>
              <w:jc w:val="left"/>
              <w:rPr>
                <w:rFonts w:ascii="Univers for KPMG" w:hAnsi="Univers for KPMG" w:cs="Arial"/>
                <w:sz w:val="20"/>
                <w:szCs w:val="22"/>
                <w:lang w:val="hr-HR"/>
              </w:rPr>
            </w:pPr>
          </w:p>
        </w:tc>
      </w:tr>
      <w:tr w:rsidR="00B24D98" w:rsidRPr="0080215E" w:rsidTr="004D5AFD">
        <w:tc>
          <w:tcPr>
            <w:tcW w:w="4643" w:type="dxa"/>
            <w:shd w:val="clear" w:color="auto" w:fill="auto"/>
            <w:tcMar>
              <w:top w:w="0" w:type="dxa"/>
              <w:left w:w="108" w:type="dxa"/>
              <w:bottom w:w="0" w:type="dxa"/>
              <w:right w:w="108" w:type="dxa"/>
            </w:tcMar>
          </w:tcPr>
          <w:p w:rsidR="00B24D98" w:rsidRPr="0080215E" w:rsidRDefault="00B24D98" w:rsidP="004D5AFD">
            <w:pPr>
              <w:autoSpaceDE w:val="0"/>
              <w:spacing w:line="240" w:lineRule="exact"/>
              <w:rPr>
                <w:rFonts w:ascii="Univers for KPMG" w:hAnsi="Univers for KPMG" w:cs="TimesNewRomanPSMT"/>
                <w:sz w:val="20"/>
              </w:rPr>
            </w:pPr>
            <w:r w:rsidRPr="0080215E">
              <w:rPr>
                <w:rFonts w:ascii="Univers for KPMG" w:hAnsi="Univers for KPMG"/>
                <w:sz w:val="20"/>
              </w:rPr>
              <w:t>Ivana Lučića 2a</w:t>
            </w:r>
          </w:p>
        </w:tc>
        <w:tc>
          <w:tcPr>
            <w:tcW w:w="4987" w:type="dxa"/>
            <w:shd w:val="clear" w:color="auto" w:fill="auto"/>
            <w:tcMar>
              <w:top w:w="0" w:type="dxa"/>
              <w:left w:w="108" w:type="dxa"/>
              <w:bottom w:w="0" w:type="dxa"/>
              <w:right w:w="108" w:type="dxa"/>
            </w:tcMar>
          </w:tcPr>
          <w:p w:rsidR="00B24D98" w:rsidRPr="00A87A16" w:rsidRDefault="00B24D98" w:rsidP="004D5AFD">
            <w:pPr>
              <w:pStyle w:val="RNormal"/>
              <w:spacing w:line="240" w:lineRule="exact"/>
              <w:jc w:val="left"/>
              <w:rPr>
                <w:rFonts w:ascii="Univers for KPMG" w:eastAsia="Calibri" w:hAnsi="Univers for KPMG" w:cs="TimesNewRomanPSMT"/>
                <w:sz w:val="20"/>
                <w:szCs w:val="22"/>
                <w:lang w:val="hr-HR"/>
              </w:rPr>
            </w:pPr>
          </w:p>
        </w:tc>
      </w:tr>
      <w:tr w:rsidR="00B24D98" w:rsidRPr="0080215E" w:rsidTr="004D5AFD">
        <w:tc>
          <w:tcPr>
            <w:tcW w:w="4643" w:type="dxa"/>
            <w:shd w:val="clear" w:color="auto" w:fill="auto"/>
            <w:tcMar>
              <w:top w:w="0" w:type="dxa"/>
              <w:left w:w="108" w:type="dxa"/>
              <w:bottom w:w="0" w:type="dxa"/>
              <w:right w:w="108" w:type="dxa"/>
            </w:tcMar>
          </w:tcPr>
          <w:p w:rsidR="00B24D98" w:rsidRPr="0080215E" w:rsidRDefault="00B24D98" w:rsidP="004D5AFD">
            <w:pPr>
              <w:autoSpaceDE w:val="0"/>
              <w:spacing w:line="240" w:lineRule="exact"/>
              <w:rPr>
                <w:rFonts w:ascii="Univers for KPMG" w:hAnsi="Univers for KPMG" w:cs="TimesNewRomanPSMT"/>
                <w:sz w:val="20"/>
              </w:rPr>
            </w:pPr>
            <w:r w:rsidRPr="0080215E">
              <w:rPr>
                <w:rFonts w:ascii="Univers for KPMG" w:hAnsi="Univers for KPMG"/>
                <w:sz w:val="20"/>
              </w:rPr>
              <w:t>10000 Zagreb</w:t>
            </w:r>
          </w:p>
        </w:tc>
        <w:tc>
          <w:tcPr>
            <w:tcW w:w="4987" w:type="dxa"/>
            <w:shd w:val="clear" w:color="auto" w:fill="auto"/>
            <w:tcMar>
              <w:top w:w="0" w:type="dxa"/>
              <w:left w:w="108" w:type="dxa"/>
              <w:bottom w:w="0" w:type="dxa"/>
              <w:right w:w="108" w:type="dxa"/>
            </w:tcMar>
          </w:tcPr>
          <w:p w:rsidR="00B24D98" w:rsidRPr="00AA63E1" w:rsidRDefault="00B24D98" w:rsidP="004D5AFD">
            <w:pPr>
              <w:pStyle w:val="List"/>
              <w:jc w:val="right"/>
              <w:rPr>
                <w:lang w:val="hr-HR"/>
              </w:rPr>
            </w:pPr>
            <w:r w:rsidRPr="00AA63E1">
              <w:rPr>
                <w:rFonts w:ascii="Univers for KPMG" w:hAnsi="Univers for KPMG"/>
                <w:sz w:val="20"/>
                <w:lang w:val="hr-HR"/>
              </w:rPr>
              <w:t>Katarina Kecko</w:t>
            </w:r>
          </w:p>
        </w:tc>
      </w:tr>
      <w:tr w:rsidR="00B24D98" w:rsidRPr="0080215E" w:rsidTr="004D5AFD">
        <w:tc>
          <w:tcPr>
            <w:tcW w:w="4643" w:type="dxa"/>
            <w:shd w:val="clear" w:color="auto" w:fill="auto"/>
            <w:tcMar>
              <w:top w:w="0" w:type="dxa"/>
              <w:left w:w="108" w:type="dxa"/>
              <w:bottom w:w="0" w:type="dxa"/>
              <w:right w:w="108" w:type="dxa"/>
            </w:tcMar>
          </w:tcPr>
          <w:p w:rsidR="00B24D98" w:rsidRPr="00AA63E1" w:rsidRDefault="00B24D98" w:rsidP="004D5AFD">
            <w:pPr>
              <w:pStyle w:val="RNormal"/>
              <w:spacing w:line="240" w:lineRule="exact"/>
              <w:jc w:val="left"/>
              <w:rPr>
                <w:rFonts w:ascii="Univers for KPMG" w:hAnsi="Univers for KPMG" w:cs="Arial"/>
                <w:sz w:val="20"/>
                <w:szCs w:val="22"/>
                <w:lang w:val="hr-HR"/>
              </w:rPr>
            </w:pPr>
            <w:r w:rsidRPr="00AA63E1">
              <w:rPr>
                <w:rFonts w:ascii="Univers for KPMG" w:hAnsi="Univers for KPMG"/>
                <w:sz w:val="20"/>
                <w:lang w:val="hr-HR"/>
              </w:rPr>
              <w:t>Hrvatska</w:t>
            </w:r>
          </w:p>
        </w:tc>
        <w:tc>
          <w:tcPr>
            <w:tcW w:w="4987" w:type="dxa"/>
            <w:shd w:val="clear" w:color="auto" w:fill="auto"/>
            <w:tcMar>
              <w:top w:w="0" w:type="dxa"/>
              <w:left w:w="108" w:type="dxa"/>
              <w:bottom w:w="0" w:type="dxa"/>
              <w:right w:w="108" w:type="dxa"/>
            </w:tcMar>
          </w:tcPr>
          <w:p w:rsidR="00B24D98" w:rsidRPr="00AA63E1" w:rsidRDefault="00B24D98" w:rsidP="004D5AFD">
            <w:pPr>
              <w:pStyle w:val="RNormal"/>
              <w:spacing w:line="240" w:lineRule="exact"/>
              <w:jc w:val="right"/>
              <w:rPr>
                <w:lang w:val="hr-HR"/>
              </w:rPr>
            </w:pPr>
            <w:r w:rsidRPr="00AA63E1">
              <w:rPr>
                <w:rFonts w:ascii="Univers for KPMG" w:hAnsi="Univers for KPMG"/>
                <w:i/>
                <w:sz w:val="20"/>
                <w:lang w:val="hr-HR"/>
              </w:rPr>
              <w:t>Direktor, Hrvatski ovlašteni revizor</w:t>
            </w:r>
          </w:p>
        </w:tc>
      </w:tr>
    </w:tbl>
    <w:p w:rsidR="00817AB7" w:rsidRDefault="00817AB7" w:rsidP="00447AB8">
      <w:pPr>
        <w:spacing w:before="240" w:after="120"/>
        <w:rPr>
          <w:rFonts w:asciiTheme="minorHAnsi" w:hAnsiTheme="minorHAnsi" w:cs="Arial"/>
          <w:sz w:val="22"/>
          <w:szCs w:val="22"/>
          <w:lang w:val="hr-HR"/>
        </w:rPr>
      </w:pPr>
    </w:p>
    <w:p w:rsidR="00817AB7" w:rsidRDefault="00817AB7" w:rsidP="00447AB8">
      <w:pPr>
        <w:spacing w:before="240" w:after="120"/>
        <w:rPr>
          <w:rFonts w:asciiTheme="minorHAnsi" w:hAnsiTheme="minorHAnsi" w:cs="Arial"/>
          <w:sz w:val="22"/>
          <w:szCs w:val="22"/>
          <w:lang w:val="hr-HR"/>
        </w:rPr>
      </w:pPr>
    </w:p>
    <w:p w:rsidR="00840526" w:rsidRDefault="00840526" w:rsidP="00447AB8">
      <w:pPr>
        <w:spacing w:before="240" w:after="120"/>
        <w:rPr>
          <w:rFonts w:asciiTheme="minorHAnsi" w:hAnsiTheme="minorHAnsi" w:cs="Arial"/>
          <w:sz w:val="22"/>
          <w:szCs w:val="22"/>
          <w:lang w:val="hr-HR"/>
        </w:rPr>
      </w:pPr>
    </w:p>
    <w:p w:rsidR="00840526" w:rsidRPr="001567C8" w:rsidRDefault="00840526" w:rsidP="00447AB8">
      <w:pPr>
        <w:spacing w:before="240" w:after="120"/>
        <w:rPr>
          <w:rFonts w:asciiTheme="minorHAnsi" w:hAnsiTheme="minorHAnsi" w:cs="Arial"/>
          <w:sz w:val="22"/>
          <w:szCs w:val="22"/>
          <w:lang w:val="hr-HR"/>
        </w:rPr>
        <w:sectPr w:rsidR="00840526" w:rsidRPr="001567C8" w:rsidSect="003327E4">
          <w:headerReference w:type="default" r:id="rId56"/>
          <w:type w:val="continuous"/>
          <w:pgSz w:w="11907" w:h="16840" w:code="9"/>
          <w:pgMar w:top="1418" w:right="987" w:bottom="709" w:left="1418" w:header="851" w:footer="695" w:gutter="0"/>
          <w:cols w:space="720"/>
          <w:noEndnote/>
        </w:sectPr>
      </w:pPr>
    </w:p>
    <w:p w:rsidR="00A95DD7" w:rsidRPr="001567C8" w:rsidRDefault="00A95DD7" w:rsidP="007534B0">
      <w:pPr>
        <w:spacing w:line="360" w:lineRule="auto"/>
        <w:jc w:val="both"/>
        <w:rPr>
          <w:rFonts w:asciiTheme="minorHAnsi" w:hAnsiTheme="minorHAnsi"/>
          <w:b/>
          <w:sz w:val="22"/>
          <w:szCs w:val="22"/>
          <w:lang w:val="hr-HR"/>
        </w:rPr>
      </w:pPr>
    </w:p>
    <w:tbl>
      <w:tblPr>
        <w:tblpPr w:leftFromText="180" w:rightFromText="180" w:vertAnchor="text" w:horzAnchor="margin" w:tblpX="142" w:tblpY="17"/>
        <w:tblW w:w="4624" w:type="pct"/>
        <w:tblCellMar>
          <w:left w:w="119" w:type="dxa"/>
          <w:right w:w="119" w:type="dxa"/>
        </w:tblCellMar>
        <w:tblLook w:val="0000" w:firstRow="0" w:lastRow="0" w:firstColumn="0" w:lastColumn="0" w:noHBand="0" w:noVBand="0"/>
      </w:tblPr>
      <w:tblGrid>
        <w:gridCol w:w="4537"/>
        <w:gridCol w:w="992"/>
        <w:gridCol w:w="1388"/>
        <w:gridCol w:w="74"/>
        <w:gridCol w:w="1792"/>
      </w:tblGrid>
      <w:tr w:rsidR="00521D16" w:rsidRPr="001567C8" w:rsidTr="003327E4">
        <w:trPr>
          <w:trHeight w:val="260"/>
        </w:trPr>
        <w:tc>
          <w:tcPr>
            <w:tcW w:w="2583" w:type="pct"/>
          </w:tcPr>
          <w:p w:rsidR="00D5678D" w:rsidRPr="001567C8" w:rsidRDefault="00D5678D" w:rsidP="00521D16">
            <w:pPr>
              <w:pStyle w:val="TT"/>
              <w:rPr>
                <w:rFonts w:asciiTheme="minorHAnsi" w:hAnsiTheme="minorHAnsi" w:cs="Arial"/>
                <w:b/>
                <w:bCs/>
                <w:sz w:val="22"/>
                <w:szCs w:val="22"/>
                <w:lang w:val="hr-HR"/>
              </w:rPr>
            </w:pPr>
          </w:p>
        </w:tc>
        <w:tc>
          <w:tcPr>
            <w:tcW w:w="565" w:type="pct"/>
          </w:tcPr>
          <w:p w:rsidR="00D5678D" w:rsidRPr="001567C8" w:rsidRDefault="00D5678D" w:rsidP="00521D16">
            <w:pPr>
              <w:pStyle w:val="TT"/>
              <w:ind w:left="-15" w:firstLine="15"/>
              <w:jc w:val="center"/>
              <w:rPr>
                <w:rFonts w:asciiTheme="minorHAnsi" w:hAnsiTheme="minorHAnsi" w:cs="Arial"/>
                <w:b/>
                <w:bCs/>
                <w:sz w:val="22"/>
                <w:szCs w:val="22"/>
                <w:lang w:val="hr-HR"/>
              </w:rPr>
            </w:pPr>
            <w:r w:rsidRPr="001567C8">
              <w:rPr>
                <w:rFonts w:asciiTheme="minorHAnsi" w:hAnsiTheme="minorHAnsi" w:cs="Arial"/>
                <w:b/>
                <w:bCs/>
                <w:spacing w:val="-1"/>
                <w:sz w:val="22"/>
                <w:szCs w:val="22"/>
                <w:lang w:val="hr-HR"/>
              </w:rPr>
              <w:t>Bilješka</w:t>
            </w:r>
          </w:p>
        </w:tc>
        <w:tc>
          <w:tcPr>
            <w:tcW w:w="832" w:type="pct"/>
            <w:gridSpan w:val="2"/>
          </w:tcPr>
          <w:p w:rsidR="00D5678D" w:rsidRPr="001567C8" w:rsidRDefault="00D5678D" w:rsidP="00521D16">
            <w:pPr>
              <w:pStyle w:val="TT"/>
              <w:tabs>
                <w:tab w:val="clear" w:pos="1202"/>
              </w:tabs>
              <w:jc w:val="right"/>
              <w:rPr>
                <w:rFonts w:asciiTheme="minorHAnsi" w:hAnsiTheme="minorHAnsi" w:cs="Arial"/>
                <w:b/>
                <w:bCs/>
                <w:sz w:val="22"/>
                <w:szCs w:val="22"/>
                <w:lang w:val="hr-HR"/>
              </w:rPr>
            </w:pPr>
            <w:r w:rsidRPr="001567C8">
              <w:rPr>
                <w:rFonts w:asciiTheme="minorHAnsi" w:hAnsiTheme="minorHAnsi" w:cs="Arial"/>
                <w:b/>
                <w:bCs/>
                <w:sz w:val="22"/>
                <w:szCs w:val="22"/>
                <w:lang w:val="hr-HR"/>
              </w:rPr>
              <w:t>2018.</w:t>
            </w:r>
          </w:p>
        </w:tc>
        <w:tc>
          <w:tcPr>
            <w:tcW w:w="1020" w:type="pct"/>
          </w:tcPr>
          <w:p w:rsidR="00D5678D" w:rsidRPr="001567C8" w:rsidRDefault="00D5678D" w:rsidP="00521D16">
            <w:pPr>
              <w:pStyle w:val="TT"/>
              <w:tabs>
                <w:tab w:val="clear" w:pos="1202"/>
              </w:tabs>
              <w:jc w:val="right"/>
              <w:rPr>
                <w:rFonts w:asciiTheme="minorHAnsi" w:hAnsiTheme="minorHAnsi" w:cs="Arial"/>
                <w:b/>
                <w:bCs/>
                <w:sz w:val="22"/>
                <w:szCs w:val="22"/>
                <w:lang w:val="hr-HR"/>
              </w:rPr>
            </w:pPr>
            <w:r w:rsidRPr="001567C8">
              <w:rPr>
                <w:rFonts w:asciiTheme="minorHAnsi" w:hAnsiTheme="minorHAnsi" w:cs="Arial"/>
                <w:b/>
                <w:bCs/>
                <w:sz w:val="22"/>
                <w:szCs w:val="22"/>
                <w:lang w:val="hr-HR"/>
              </w:rPr>
              <w:t>2017.</w:t>
            </w:r>
          </w:p>
        </w:tc>
      </w:tr>
      <w:tr w:rsidR="00521D16" w:rsidRPr="001567C8" w:rsidTr="003327E4">
        <w:trPr>
          <w:trHeight w:val="260"/>
        </w:trPr>
        <w:tc>
          <w:tcPr>
            <w:tcW w:w="2583" w:type="pct"/>
          </w:tcPr>
          <w:p w:rsidR="00D5678D" w:rsidRPr="001567C8" w:rsidRDefault="00D5678D" w:rsidP="00521D16">
            <w:pPr>
              <w:pStyle w:val="TT"/>
              <w:rPr>
                <w:rFonts w:asciiTheme="minorHAnsi" w:hAnsiTheme="minorHAnsi" w:cs="Arial"/>
                <w:b/>
                <w:bCs/>
                <w:sz w:val="22"/>
                <w:szCs w:val="22"/>
                <w:lang w:val="hr-HR"/>
              </w:rPr>
            </w:pPr>
          </w:p>
        </w:tc>
        <w:tc>
          <w:tcPr>
            <w:tcW w:w="565" w:type="pct"/>
          </w:tcPr>
          <w:p w:rsidR="00D5678D" w:rsidRPr="001567C8" w:rsidRDefault="00D5678D" w:rsidP="00521D16">
            <w:pPr>
              <w:pStyle w:val="TT"/>
              <w:jc w:val="center"/>
              <w:rPr>
                <w:rFonts w:asciiTheme="minorHAnsi" w:hAnsiTheme="minorHAnsi" w:cs="Arial"/>
                <w:b/>
                <w:bCs/>
                <w:spacing w:val="-1"/>
                <w:sz w:val="22"/>
                <w:szCs w:val="22"/>
                <w:lang w:val="hr-HR"/>
              </w:rPr>
            </w:pPr>
          </w:p>
        </w:tc>
        <w:tc>
          <w:tcPr>
            <w:tcW w:w="832" w:type="pct"/>
            <w:gridSpan w:val="2"/>
          </w:tcPr>
          <w:p w:rsidR="00D5678D" w:rsidRPr="001567C8" w:rsidRDefault="00D5678D" w:rsidP="00521D16">
            <w:pPr>
              <w:pStyle w:val="TT"/>
              <w:tabs>
                <w:tab w:val="clear" w:pos="1202"/>
              </w:tabs>
              <w:jc w:val="right"/>
              <w:rPr>
                <w:rFonts w:asciiTheme="minorHAnsi" w:hAnsiTheme="minorHAnsi" w:cs="Arial"/>
                <w:b/>
                <w:bCs/>
                <w:sz w:val="22"/>
                <w:szCs w:val="22"/>
                <w:lang w:val="hr-HR"/>
              </w:rPr>
            </w:pPr>
            <w:r w:rsidRPr="001567C8">
              <w:rPr>
                <w:rFonts w:asciiTheme="minorHAnsi" w:hAnsiTheme="minorHAnsi" w:cs="Arial"/>
                <w:b/>
                <w:bCs/>
                <w:sz w:val="22"/>
                <w:szCs w:val="22"/>
                <w:lang w:val="hr-HR"/>
              </w:rPr>
              <w:t>000 kuna</w:t>
            </w:r>
          </w:p>
        </w:tc>
        <w:tc>
          <w:tcPr>
            <w:tcW w:w="1020" w:type="pct"/>
          </w:tcPr>
          <w:p w:rsidR="00D5678D" w:rsidRPr="001567C8" w:rsidRDefault="00D5678D" w:rsidP="00521D16">
            <w:pPr>
              <w:pStyle w:val="TT"/>
              <w:tabs>
                <w:tab w:val="clear" w:pos="1202"/>
              </w:tabs>
              <w:jc w:val="right"/>
              <w:rPr>
                <w:rFonts w:asciiTheme="minorHAnsi" w:hAnsiTheme="minorHAnsi" w:cs="Arial"/>
                <w:b/>
                <w:bCs/>
                <w:sz w:val="22"/>
                <w:szCs w:val="22"/>
                <w:lang w:val="hr-HR"/>
              </w:rPr>
            </w:pPr>
            <w:r w:rsidRPr="001567C8">
              <w:rPr>
                <w:rFonts w:asciiTheme="minorHAnsi" w:hAnsiTheme="minorHAnsi" w:cs="Arial"/>
                <w:b/>
                <w:bCs/>
                <w:sz w:val="22"/>
                <w:szCs w:val="22"/>
                <w:lang w:val="hr-HR"/>
              </w:rPr>
              <w:t>000 kuna</w:t>
            </w:r>
          </w:p>
        </w:tc>
      </w:tr>
      <w:tr w:rsidR="00521D16" w:rsidRPr="001567C8" w:rsidTr="003327E4">
        <w:trPr>
          <w:trHeight w:hRule="exact" w:val="113"/>
        </w:trPr>
        <w:tc>
          <w:tcPr>
            <w:tcW w:w="2583" w:type="pct"/>
          </w:tcPr>
          <w:p w:rsidR="00D5678D" w:rsidRPr="001567C8" w:rsidRDefault="00D5678D" w:rsidP="00521D16">
            <w:pPr>
              <w:pStyle w:val="TT"/>
              <w:rPr>
                <w:rFonts w:asciiTheme="minorHAnsi" w:hAnsiTheme="minorHAnsi" w:cs="Arial"/>
                <w:sz w:val="22"/>
                <w:szCs w:val="22"/>
                <w:lang w:val="hr-HR"/>
              </w:rPr>
            </w:pPr>
          </w:p>
        </w:tc>
        <w:tc>
          <w:tcPr>
            <w:tcW w:w="565" w:type="pct"/>
          </w:tcPr>
          <w:p w:rsidR="00D5678D" w:rsidRPr="001567C8" w:rsidRDefault="00D5678D" w:rsidP="00521D16">
            <w:pPr>
              <w:pStyle w:val="TT"/>
              <w:jc w:val="center"/>
              <w:rPr>
                <w:rFonts w:asciiTheme="minorHAnsi" w:hAnsiTheme="minorHAnsi" w:cs="Arial"/>
                <w:b/>
                <w:spacing w:val="-1"/>
                <w:sz w:val="22"/>
                <w:szCs w:val="22"/>
                <w:lang w:val="hr-HR"/>
              </w:rPr>
            </w:pPr>
          </w:p>
        </w:tc>
        <w:tc>
          <w:tcPr>
            <w:tcW w:w="832" w:type="pct"/>
            <w:gridSpan w:val="2"/>
          </w:tcPr>
          <w:p w:rsidR="00D5678D" w:rsidRPr="001567C8" w:rsidRDefault="00D5678D" w:rsidP="00521D16">
            <w:pPr>
              <w:pStyle w:val="TT"/>
              <w:tabs>
                <w:tab w:val="clear" w:pos="1202"/>
              </w:tabs>
              <w:jc w:val="right"/>
              <w:rPr>
                <w:rFonts w:asciiTheme="minorHAnsi" w:hAnsiTheme="minorHAnsi" w:cs="Arial"/>
                <w:b/>
                <w:sz w:val="22"/>
                <w:szCs w:val="22"/>
                <w:lang w:val="hr-HR"/>
              </w:rPr>
            </w:pPr>
          </w:p>
        </w:tc>
        <w:tc>
          <w:tcPr>
            <w:tcW w:w="1020" w:type="pct"/>
          </w:tcPr>
          <w:p w:rsidR="00D5678D" w:rsidRPr="001567C8" w:rsidRDefault="00D5678D" w:rsidP="00521D16">
            <w:pPr>
              <w:pStyle w:val="TT"/>
              <w:tabs>
                <w:tab w:val="clear" w:pos="1202"/>
              </w:tabs>
              <w:jc w:val="right"/>
              <w:rPr>
                <w:rFonts w:asciiTheme="minorHAnsi" w:hAnsiTheme="minorHAnsi" w:cs="Arial"/>
                <w:b/>
                <w:sz w:val="22"/>
                <w:szCs w:val="22"/>
                <w:lang w:val="hr-HR"/>
              </w:rPr>
            </w:pPr>
          </w:p>
        </w:tc>
      </w:tr>
      <w:tr w:rsidR="00521D16" w:rsidRPr="001567C8" w:rsidTr="003327E4">
        <w:trPr>
          <w:trHeight w:val="519"/>
        </w:trPr>
        <w:tc>
          <w:tcPr>
            <w:tcW w:w="2583" w:type="pct"/>
          </w:tcPr>
          <w:p w:rsidR="008A118B" w:rsidRPr="001567C8" w:rsidRDefault="008A118B" w:rsidP="00521D16">
            <w:pPr>
              <w:pStyle w:val="TT"/>
              <w:rPr>
                <w:rFonts w:asciiTheme="minorHAnsi" w:hAnsiTheme="minorHAnsi" w:cs="Arial"/>
                <w:bCs/>
                <w:sz w:val="22"/>
                <w:szCs w:val="22"/>
                <w:lang w:val="hr-HR"/>
              </w:rPr>
            </w:pPr>
            <w:r w:rsidRPr="001567C8">
              <w:rPr>
                <w:rFonts w:asciiTheme="minorHAnsi" w:hAnsiTheme="minorHAnsi" w:cs="Arial"/>
                <w:bCs/>
                <w:spacing w:val="-2"/>
                <w:sz w:val="22"/>
                <w:szCs w:val="22"/>
                <w:lang w:val="hr-HR"/>
              </w:rPr>
              <w:t>Prihodi od kamata izračunati metodom efektivne kamatne stope</w:t>
            </w:r>
          </w:p>
        </w:tc>
        <w:tc>
          <w:tcPr>
            <w:tcW w:w="565" w:type="pct"/>
            <w:vAlign w:val="bottom"/>
          </w:tcPr>
          <w:p w:rsidR="008A118B" w:rsidRPr="001567C8" w:rsidRDefault="008A118B" w:rsidP="00521D16">
            <w:pPr>
              <w:pStyle w:val="TT"/>
              <w:jc w:val="center"/>
              <w:rPr>
                <w:rFonts w:asciiTheme="minorHAnsi" w:hAnsiTheme="minorHAnsi" w:cs="Arial"/>
                <w:bCs/>
                <w:sz w:val="22"/>
                <w:szCs w:val="22"/>
                <w:lang w:val="hr-HR"/>
              </w:rPr>
            </w:pPr>
            <w:r w:rsidRPr="00CD3A2D">
              <w:rPr>
                <w:rFonts w:asciiTheme="minorHAnsi" w:hAnsiTheme="minorHAnsi" w:cs="Arial"/>
                <w:bCs/>
                <w:sz w:val="22"/>
                <w:szCs w:val="22"/>
                <w:lang w:val="hr-HR"/>
              </w:rPr>
              <w:t>6</w:t>
            </w:r>
          </w:p>
        </w:tc>
        <w:tc>
          <w:tcPr>
            <w:tcW w:w="832" w:type="pct"/>
            <w:gridSpan w:val="2"/>
            <w:tcBorders>
              <w:top w:val="nil"/>
              <w:left w:val="nil"/>
              <w:right w:val="nil"/>
            </w:tcBorders>
            <w:shd w:val="clear" w:color="auto" w:fill="auto"/>
            <w:vAlign w:val="bottom"/>
          </w:tcPr>
          <w:p w:rsidR="008A118B" w:rsidRPr="00CD3A2D" w:rsidRDefault="008A118B"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733.083 </w:t>
            </w:r>
          </w:p>
        </w:tc>
        <w:tc>
          <w:tcPr>
            <w:tcW w:w="1020" w:type="pct"/>
            <w:tcBorders>
              <w:top w:val="nil"/>
              <w:left w:val="nil"/>
              <w:bottom w:val="nil"/>
              <w:right w:val="nil"/>
            </w:tcBorders>
            <w:shd w:val="clear" w:color="auto" w:fill="auto"/>
            <w:vAlign w:val="bottom"/>
          </w:tcPr>
          <w:p w:rsidR="008A118B" w:rsidRPr="001567C8" w:rsidRDefault="008A118B" w:rsidP="00521D16">
            <w:pPr>
              <w:pStyle w:val="TT"/>
              <w:tabs>
                <w:tab w:val="clear" w:pos="1202"/>
              </w:tabs>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867.825</w:t>
            </w:r>
          </w:p>
        </w:tc>
      </w:tr>
      <w:tr w:rsidR="00521D16" w:rsidRPr="001567C8" w:rsidTr="003327E4">
        <w:trPr>
          <w:trHeight w:val="247"/>
        </w:trPr>
        <w:tc>
          <w:tcPr>
            <w:tcW w:w="2583" w:type="pct"/>
          </w:tcPr>
          <w:p w:rsidR="008A118B" w:rsidRPr="001567C8" w:rsidRDefault="008A118B" w:rsidP="00521D16">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Rashodi od kamata</w:t>
            </w:r>
          </w:p>
        </w:tc>
        <w:tc>
          <w:tcPr>
            <w:tcW w:w="565" w:type="pct"/>
            <w:vAlign w:val="bottom"/>
          </w:tcPr>
          <w:p w:rsidR="008A118B" w:rsidRPr="001567C8" w:rsidRDefault="008A118B" w:rsidP="00521D16">
            <w:pPr>
              <w:pStyle w:val="TT"/>
              <w:jc w:val="center"/>
              <w:rPr>
                <w:rFonts w:asciiTheme="minorHAnsi" w:hAnsiTheme="minorHAnsi" w:cs="Arial"/>
                <w:bCs/>
                <w:spacing w:val="-2"/>
                <w:sz w:val="22"/>
                <w:szCs w:val="22"/>
                <w:lang w:val="hr-HR"/>
              </w:rPr>
            </w:pPr>
            <w:r w:rsidRPr="00CD3A2D">
              <w:rPr>
                <w:rFonts w:asciiTheme="minorHAnsi" w:hAnsiTheme="minorHAnsi" w:cs="Arial"/>
                <w:bCs/>
                <w:spacing w:val="-2"/>
                <w:sz w:val="22"/>
                <w:szCs w:val="22"/>
                <w:lang w:val="hr-HR"/>
              </w:rPr>
              <w:t>7</w:t>
            </w:r>
          </w:p>
        </w:tc>
        <w:tc>
          <w:tcPr>
            <w:tcW w:w="832" w:type="pct"/>
            <w:gridSpan w:val="2"/>
            <w:tcBorders>
              <w:top w:val="nil"/>
              <w:left w:val="nil"/>
              <w:right w:val="nil"/>
            </w:tcBorders>
            <w:shd w:val="clear" w:color="auto" w:fill="auto"/>
            <w:vAlign w:val="center"/>
          </w:tcPr>
          <w:p w:rsidR="008A118B" w:rsidRPr="00CD3A2D" w:rsidRDefault="008A118B"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(356.06</w:t>
            </w:r>
            <w:r w:rsidR="00FB3A7C" w:rsidRPr="00CD3A2D">
              <w:rPr>
                <w:rFonts w:ascii="Calibri" w:hAnsi="Calibri" w:cs="Calibri"/>
                <w:color w:val="000000"/>
                <w:sz w:val="22"/>
                <w:szCs w:val="22"/>
                <w:lang w:val="hr-HR"/>
              </w:rPr>
              <w:t>6</w:t>
            </w:r>
            <w:r w:rsidRPr="00CD3A2D">
              <w:rPr>
                <w:rFonts w:ascii="Calibri" w:hAnsi="Calibri" w:cs="Calibri"/>
                <w:color w:val="000000"/>
                <w:sz w:val="22"/>
                <w:szCs w:val="22"/>
                <w:lang w:val="hr-HR"/>
              </w:rPr>
              <w:t>)</w:t>
            </w:r>
          </w:p>
        </w:tc>
        <w:tc>
          <w:tcPr>
            <w:tcW w:w="1020" w:type="pct"/>
            <w:tcBorders>
              <w:top w:val="nil"/>
              <w:left w:val="nil"/>
              <w:bottom w:val="nil"/>
              <w:right w:val="nil"/>
            </w:tcBorders>
            <w:shd w:val="clear" w:color="auto" w:fill="auto"/>
            <w:vAlign w:val="bottom"/>
          </w:tcPr>
          <w:p w:rsidR="008A118B" w:rsidRPr="001567C8" w:rsidRDefault="008A118B" w:rsidP="00521D16">
            <w:pPr>
              <w:pStyle w:val="TT"/>
              <w:tabs>
                <w:tab w:val="clear" w:pos="1202"/>
              </w:tabs>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 xml:space="preserve">     (390.460)</w:t>
            </w:r>
          </w:p>
        </w:tc>
      </w:tr>
      <w:tr w:rsidR="00521D16" w:rsidRPr="001567C8" w:rsidTr="003327E4">
        <w:trPr>
          <w:trHeight w:val="292"/>
        </w:trPr>
        <w:tc>
          <w:tcPr>
            <w:tcW w:w="2583" w:type="pct"/>
          </w:tcPr>
          <w:p w:rsidR="00D5678D" w:rsidRPr="001567C8" w:rsidRDefault="00D5678D" w:rsidP="00521D16">
            <w:pPr>
              <w:pStyle w:val="Tot"/>
              <w:rPr>
                <w:rFonts w:asciiTheme="minorHAnsi" w:hAnsiTheme="minorHAnsi" w:cs="Arial"/>
                <w:b/>
                <w:bCs/>
                <w:sz w:val="22"/>
                <w:szCs w:val="22"/>
                <w:vertAlign w:val="superscript"/>
                <w:lang w:val="hr-HR"/>
              </w:rPr>
            </w:pPr>
            <w:r w:rsidRPr="001567C8">
              <w:rPr>
                <w:rFonts w:asciiTheme="minorHAnsi" w:hAnsiTheme="minorHAnsi" w:cs="Arial"/>
                <w:b/>
                <w:bCs/>
                <w:sz w:val="22"/>
                <w:szCs w:val="22"/>
                <w:lang w:val="hr-HR"/>
              </w:rPr>
              <w:t>Neto prihod od kamata</w:t>
            </w:r>
          </w:p>
        </w:tc>
        <w:tc>
          <w:tcPr>
            <w:tcW w:w="565" w:type="pct"/>
            <w:vAlign w:val="bottom"/>
          </w:tcPr>
          <w:p w:rsidR="00D5678D" w:rsidRPr="001567C8" w:rsidRDefault="00D5678D" w:rsidP="00521D16">
            <w:pPr>
              <w:pStyle w:val="Tot"/>
              <w:jc w:val="center"/>
              <w:rPr>
                <w:rFonts w:asciiTheme="minorHAnsi" w:hAnsiTheme="minorHAnsi" w:cs="Arial"/>
                <w:b/>
                <w:bCs/>
                <w:sz w:val="22"/>
                <w:szCs w:val="22"/>
                <w:lang w:val="hr-HR"/>
              </w:rPr>
            </w:pPr>
          </w:p>
        </w:tc>
        <w:tc>
          <w:tcPr>
            <w:tcW w:w="832" w:type="pct"/>
            <w:gridSpan w:val="2"/>
            <w:tcBorders>
              <w:top w:val="single" w:sz="4" w:space="0" w:color="auto"/>
              <w:bottom w:val="single" w:sz="12" w:space="0" w:color="auto"/>
            </w:tcBorders>
            <w:vAlign w:val="center"/>
          </w:tcPr>
          <w:p w:rsidR="00D5678D" w:rsidRPr="00CD3A2D" w:rsidRDefault="008A118B" w:rsidP="00521D16">
            <w:pPr>
              <w:pStyle w:val="TT"/>
              <w:tabs>
                <w:tab w:val="clear" w:pos="1202"/>
              </w:tabs>
              <w:jc w:val="right"/>
              <w:rPr>
                <w:rFonts w:ascii="Calibri" w:hAnsi="Calibri" w:cs="Calibri"/>
                <w:b/>
                <w:color w:val="000000"/>
                <w:sz w:val="22"/>
                <w:szCs w:val="22"/>
                <w:lang w:val="hr-HR"/>
              </w:rPr>
            </w:pPr>
            <w:r w:rsidRPr="00CD3A2D">
              <w:rPr>
                <w:rFonts w:ascii="Calibri" w:hAnsi="Calibri" w:cs="Calibri"/>
                <w:b/>
                <w:color w:val="000000"/>
                <w:sz w:val="22"/>
                <w:szCs w:val="22"/>
                <w:lang w:val="hr-HR"/>
              </w:rPr>
              <w:t>377.01</w:t>
            </w:r>
            <w:r w:rsidR="00FB3A7C" w:rsidRPr="00CD3A2D">
              <w:rPr>
                <w:rFonts w:ascii="Calibri" w:hAnsi="Calibri" w:cs="Calibri"/>
                <w:b/>
                <w:color w:val="000000"/>
                <w:sz w:val="22"/>
                <w:szCs w:val="22"/>
                <w:lang w:val="hr-HR"/>
              </w:rPr>
              <w:t>7</w:t>
            </w:r>
          </w:p>
        </w:tc>
        <w:tc>
          <w:tcPr>
            <w:tcW w:w="1020" w:type="pct"/>
            <w:tcBorders>
              <w:top w:val="single" w:sz="4" w:space="0" w:color="auto"/>
              <w:left w:val="nil"/>
              <w:bottom w:val="single" w:sz="12" w:space="0" w:color="auto"/>
              <w:right w:val="nil"/>
            </w:tcBorders>
            <w:shd w:val="clear" w:color="auto" w:fill="auto"/>
            <w:vAlign w:val="center"/>
          </w:tcPr>
          <w:p w:rsidR="00D5678D" w:rsidRPr="001567C8" w:rsidRDefault="00D5678D" w:rsidP="00521D16">
            <w:pPr>
              <w:pStyle w:val="Tot"/>
              <w:tabs>
                <w:tab w:val="clear" w:pos="1202"/>
              </w:tabs>
              <w:jc w:val="right"/>
              <w:rPr>
                <w:rFonts w:asciiTheme="minorHAnsi" w:hAnsiTheme="minorHAnsi" w:cs="Arial"/>
                <w:b/>
                <w:bCs/>
                <w:spacing w:val="-2"/>
                <w:sz w:val="22"/>
                <w:szCs w:val="22"/>
                <w:lang w:val="hr-HR"/>
              </w:rPr>
            </w:pPr>
            <w:r w:rsidRPr="00CD3A2D">
              <w:rPr>
                <w:rFonts w:ascii="Calibri" w:hAnsi="Calibri" w:cs="Calibri"/>
                <w:b/>
                <w:bCs/>
                <w:color w:val="000000"/>
                <w:sz w:val="22"/>
                <w:szCs w:val="22"/>
                <w:lang w:val="hr-HR"/>
              </w:rPr>
              <w:t>477.365</w:t>
            </w:r>
          </w:p>
        </w:tc>
      </w:tr>
      <w:tr w:rsidR="00521D16" w:rsidRPr="001567C8" w:rsidTr="003327E4">
        <w:trPr>
          <w:trHeight w:val="260"/>
        </w:trPr>
        <w:tc>
          <w:tcPr>
            <w:tcW w:w="2583" w:type="pct"/>
          </w:tcPr>
          <w:p w:rsidR="00D5678D" w:rsidRPr="001567C8" w:rsidRDefault="00D5678D" w:rsidP="00521D16">
            <w:pPr>
              <w:pStyle w:val="TT"/>
              <w:rPr>
                <w:rFonts w:asciiTheme="minorHAnsi" w:hAnsiTheme="minorHAnsi" w:cs="Arial"/>
                <w:bCs/>
                <w:spacing w:val="-2"/>
                <w:sz w:val="22"/>
                <w:szCs w:val="22"/>
                <w:lang w:val="hr-HR"/>
              </w:rPr>
            </w:pPr>
          </w:p>
        </w:tc>
        <w:tc>
          <w:tcPr>
            <w:tcW w:w="565" w:type="pct"/>
            <w:vAlign w:val="bottom"/>
          </w:tcPr>
          <w:p w:rsidR="00D5678D" w:rsidRPr="001567C8" w:rsidRDefault="00D5678D" w:rsidP="00521D16">
            <w:pPr>
              <w:pStyle w:val="TT"/>
              <w:jc w:val="center"/>
              <w:rPr>
                <w:rFonts w:asciiTheme="minorHAnsi" w:hAnsiTheme="minorHAnsi" w:cs="Arial"/>
                <w:bCs/>
                <w:sz w:val="22"/>
                <w:szCs w:val="22"/>
                <w:lang w:val="hr-HR"/>
              </w:rPr>
            </w:pPr>
          </w:p>
        </w:tc>
        <w:tc>
          <w:tcPr>
            <w:tcW w:w="832" w:type="pct"/>
            <w:gridSpan w:val="2"/>
            <w:vAlign w:val="center"/>
          </w:tcPr>
          <w:p w:rsidR="00D5678D" w:rsidRPr="00CD3A2D" w:rsidRDefault="00D5678D" w:rsidP="00521D16">
            <w:pPr>
              <w:pStyle w:val="TT"/>
              <w:tabs>
                <w:tab w:val="clear" w:pos="1202"/>
              </w:tabs>
              <w:jc w:val="right"/>
              <w:rPr>
                <w:rFonts w:ascii="Calibri" w:hAnsi="Calibri" w:cs="Calibri"/>
                <w:color w:val="000000"/>
                <w:sz w:val="22"/>
                <w:szCs w:val="22"/>
                <w:lang w:val="hr-HR"/>
              </w:rPr>
            </w:pPr>
          </w:p>
        </w:tc>
        <w:tc>
          <w:tcPr>
            <w:tcW w:w="1020" w:type="pct"/>
          </w:tcPr>
          <w:p w:rsidR="00D5678D" w:rsidRPr="001567C8" w:rsidRDefault="00D5678D" w:rsidP="00521D16">
            <w:pPr>
              <w:pStyle w:val="TT"/>
              <w:tabs>
                <w:tab w:val="clear" w:pos="1202"/>
              </w:tabs>
              <w:jc w:val="right"/>
              <w:rPr>
                <w:rFonts w:asciiTheme="minorHAnsi" w:hAnsiTheme="minorHAnsi" w:cs="Arial"/>
                <w:bCs/>
                <w:spacing w:val="-2"/>
                <w:sz w:val="22"/>
                <w:szCs w:val="22"/>
                <w:lang w:val="hr-HR"/>
              </w:rPr>
            </w:pPr>
          </w:p>
        </w:tc>
      </w:tr>
      <w:tr w:rsidR="00521D16" w:rsidRPr="001567C8" w:rsidTr="003327E4">
        <w:trPr>
          <w:trHeight w:val="260"/>
        </w:trPr>
        <w:tc>
          <w:tcPr>
            <w:tcW w:w="2583" w:type="pct"/>
          </w:tcPr>
          <w:p w:rsidR="008A118B" w:rsidRPr="001567C8" w:rsidRDefault="008A118B" w:rsidP="00521D16">
            <w:pPr>
              <w:pStyle w:val="TT"/>
              <w:rPr>
                <w:rFonts w:asciiTheme="minorHAnsi" w:hAnsiTheme="minorHAnsi" w:cs="Arial"/>
                <w:bCs/>
                <w:sz w:val="22"/>
                <w:szCs w:val="22"/>
                <w:lang w:val="hr-HR"/>
              </w:rPr>
            </w:pPr>
            <w:r w:rsidRPr="001567C8">
              <w:rPr>
                <w:rFonts w:asciiTheme="minorHAnsi" w:hAnsiTheme="minorHAnsi" w:cs="Arial"/>
                <w:bCs/>
                <w:spacing w:val="-2"/>
                <w:sz w:val="22"/>
                <w:szCs w:val="22"/>
                <w:lang w:val="hr-HR"/>
              </w:rPr>
              <w:t>Prihodi od naknada</w:t>
            </w:r>
            <w:r w:rsidR="006D2AF3" w:rsidRPr="001567C8">
              <w:rPr>
                <w:rFonts w:asciiTheme="minorHAnsi" w:hAnsiTheme="minorHAnsi" w:cs="Arial"/>
                <w:bCs/>
                <w:spacing w:val="-2"/>
                <w:sz w:val="22"/>
                <w:szCs w:val="22"/>
                <w:lang w:val="hr-HR"/>
              </w:rPr>
              <w:t xml:space="preserve"> i provizija</w:t>
            </w:r>
          </w:p>
        </w:tc>
        <w:tc>
          <w:tcPr>
            <w:tcW w:w="565" w:type="pct"/>
          </w:tcPr>
          <w:p w:rsidR="008A118B" w:rsidRPr="001567C8" w:rsidRDefault="008A118B" w:rsidP="00521D16">
            <w:pPr>
              <w:pStyle w:val="TT"/>
              <w:jc w:val="center"/>
              <w:rPr>
                <w:rFonts w:asciiTheme="minorHAnsi" w:hAnsiTheme="minorHAnsi" w:cs="Arial"/>
                <w:bCs/>
                <w:sz w:val="22"/>
                <w:szCs w:val="22"/>
                <w:lang w:val="hr-HR"/>
              </w:rPr>
            </w:pPr>
            <w:r w:rsidRPr="001567C8">
              <w:rPr>
                <w:rFonts w:asciiTheme="minorHAnsi" w:hAnsiTheme="minorHAnsi" w:cs="Arial"/>
                <w:bCs/>
                <w:sz w:val="22"/>
                <w:szCs w:val="22"/>
                <w:lang w:val="hr-HR"/>
              </w:rPr>
              <w:t>8</w:t>
            </w:r>
          </w:p>
        </w:tc>
        <w:tc>
          <w:tcPr>
            <w:tcW w:w="832" w:type="pct"/>
            <w:gridSpan w:val="2"/>
            <w:vAlign w:val="center"/>
          </w:tcPr>
          <w:p w:rsidR="008A118B" w:rsidRPr="00CD3A2D" w:rsidRDefault="008A118B"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44.98</w:t>
            </w:r>
            <w:r w:rsidR="00FB3A7C" w:rsidRPr="00CD3A2D">
              <w:rPr>
                <w:rFonts w:ascii="Calibri" w:hAnsi="Calibri" w:cs="Calibri"/>
                <w:color w:val="000000"/>
                <w:sz w:val="22"/>
                <w:szCs w:val="22"/>
                <w:lang w:val="hr-HR"/>
              </w:rPr>
              <w:t>3</w:t>
            </w:r>
            <w:r w:rsidRPr="00CD3A2D">
              <w:rPr>
                <w:rFonts w:ascii="Calibri" w:hAnsi="Calibri" w:cs="Calibri"/>
                <w:color w:val="000000"/>
                <w:sz w:val="22"/>
                <w:szCs w:val="22"/>
                <w:lang w:val="hr-HR"/>
              </w:rPr>
              <w:t xml:space="preserve"> </w:t>
            </w:r>
          </w:p>
        </w:tc>
        <w:tc>
          <w:tcPr>
            <w:tcW w:w="1020" w:type="pct"/>
            <w:tcBorders>
              <w:top w:val="nil"/>
              <w:left w:val="nil"/>
              <w:bottom w:val="nil"/>
              <w:right w:val="nil"/>
            </w:tcBorders>
            <w:shd w:val="clear" w:color="auto" w:fill="auto"/>
            <w:vAlign w:val="center"/>
          </w:tcPr>
          <w:p w:rsidR="008A118B" w:rsidRPr="001567C8" w:rsidRDefault="008A118B" w:rsidP="00521D16">
            <w:pPr>
              <w:jc w:val="right"/>
              <w:rPr>
                <w:rFonts w:asciiTheme="minorHAnsi" w:eastAsia="Arial Unicode MS" w:hAnsiTheme="minorHAnsi" w:cs="Arial"/>
                <w:sz w:val="22"/>
                <w:szCs w:val="22"/>
                <w:lang w:val="hr-HR"/>
              </w:rPr>
            </w:pPr>
            <w:r w:rsidRPr="00CD3A2D">
              <w:rPr>
                <w:rFonts w:ascii="Calibri" w:hAnsi="Calibri" w:cs="Calibri"/>
                <w:color w:val="000000"/>
                <w:sz w:val="22"/>
                <w:szCs w:val="22"/>
                <w:lang w:val="hr-HR"/>
              </w:rPr>
              <w:t>48.125</w:t>
            </w:r>
          </w:p>
        </w:tc>
      </w:tr>
      <w:tr w:rsidR="00521D16" w:rsidRPr="001567C8" w:rsidTr="003327E4">
        <w:trPr>
          <w:trHeight w:val="326"/>
        </w:trPr>
        <w:tc>
          <w:tcPr>
            <w:tcW w:w="2583" w:type="pct"/>
            <w:vAlign w:val="center"/>
          </w:tcPr>
          <w:p w:rsidR="008A118B" w:rsidRPr="001567C8" w:rsidRDefault="008A118B" w:rsidP="00521D16">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Rashodi od naknada</w:t>
            </w:r>
            <w:r w:rsidR="006D2AF3" w:rsidRPr="001567C8">
              <w:rPr>
                <w:rFonts w:asciiTheme="minorHAnsi" w:hAnsiTheme="minorHAnsi" w:cs="Arial"/>
                <w:bCs/>
                <w:spacing w:val="-2"/>
                <w:sz w:val="22"/>
                <w:szCs w:val="22"/>
                <w:lang w:val="hr-HR"/>
              </w:rPr>
              <w:t xml:space="preserve"> i provizija</w:t>
            </w:r>
          </w:p>
        </w:tc>
        <w:tc>
          <w:tcPr>
            <w:tcW w:w="565" w:type="pct"/>
            <w:vAlign w:val="center"/>
          </w:tcPr>
          <w:p w:rsidR="008A118B" w:rsidRPr="001567C8" w:rsidRDefault="008A118B" w:rsidP="00521D16">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8</w:t>
            </w:r>
          </w:p>
        </w:tc>
        <w:tc>
          <w:tcPr>
            <w:tcW w:w="832" w:type="pct"/>
            <w:gridSpan w:val="2"/>
            <w:vAlign w:val="center"/>
          </w:tcPr>
          <w:p w:rsidR="008A118B" w:rsidRPr="00CD3A2D" w:rsidRDefault="008A118B"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(3.77</w:t>
            </w:r>
            <w:r w:rsidR="00FB3A7C" w:rsidRPr="00CD3A2D">
              <w:rPr>
                <w:rFonts w:ascii="Calibri" w:hAnsi="Calibri" w:cs="Calibri"/>
                <w:color w:val="000000"/>
                <w:sz w:val="22"/>
                <w:szCs w:val="22"/>
                <w:lang w:val="hr-HR"/>
              </w:rPr>
              <w:t>8</w:t>
            </w:r>
            <w:r w:rsidRPr="00CD3A2D">
              <w:rPr>
                <w:rFonts w:ascii="Calibri" w:hAnsi="Calibri" w:cs="Calibri"/>
                <w:color w:val="000000"/>
                <w:sz w:val="22"/>
                <w:szCs w:val="22"/>
                <w:lang w:val="hr-HR"/>
              </w:rPr>
              <w:t>)</w:t>
            </w:r>
          </w:p>
        </w:tc>
        <w:tc>
          <w:tcPr>
            <w:tcW w:w="1020" w:type="pct"/>
            <w:tcBorders>
              <w:top w:val="nil"/>
              <w:left w:val="nil"/>
              <w:bottom w:val="nil"/>
              <w:right w:val="nil"/>
            </w:tcBorders>
            <w:shd w:val="clear" w:color="auto" w:fill="auto"/>
            <w:vAlign w:val="bottom"/>
          </w:tcPr>
          <w:p w:rsidR="008A118B" w:rsidRPr="001567C8" w:rsidRDefault="008A118B" w:rsidP="00521D16">
            <w:pPr>
              <w:jc w:val="right"/>
              <w:rPr>
                <w:rFonts w:asciiTheme="minorHAnsi" w:eastAsia="Arial Unicode MS" w:hAnsiTheme="minorHAnsi" w:cs="Arial"/>
                <w:sz w:val="22"/>
                <w:szCs w:val="22"/>
                <w:lang w:val="hr-HR"/>
              </w:rPr>
            </w:pPr>
            <w:r w:rsidRPr="00CD3A2D">
              <w:rPr>
                <w:rFonts w:ascii="Calibri" w:hAnsi="Calibri" w:cs="Calibri"/>
                <w:color w:val="000000"/>
                <w:sz w:val="22"/>
                <w:szCs w:val="22"/>
                <w:lang w:val="hr-HR"/>
              </w:rPr>
              <w:t xml:space="preserve">     (3.144)</w:t>
            </w:r>
          </w:p>
        </w:tc>
      </w:tr>
      <w:tr w:rsidR="00521D16" w:rsidRPr="001567C8" w:rsidTr="003327E4">
        <w:trPr>
          <w:trHeight w:val="292"/>
        </w:trPr>
        <w:tc>
          <w:tcPr>
            <w:tcW w:w="2583" w:type="pct"/>
          </w:tcPr>
          <w:p w:rsidR="00D5678D" w:rsidRPr="001567C8" w:rsidRDefault="00D5678D" w:rsidP="00521D16">
            <w:pPr>
              <w:pStyle w:val="Tot"/>
              <w:rPr>
                <w:rFonts w:asciiTheme="minorHAnsi" w:hAnsiTheme="minorHAnsi" w:cs="Arial"/>
                <w:b/>
                <w:bCs/>
                <w:sz w:val="22"/>
                <w:szCs w:val="22"/>
                <w:vertAlign w:val="superscript"/>
                <w:lang w:val="hr-HR"/>
              </w:rPr>
            </w:pPr>
            <w:r w:rsidRPr="001567C8">
              <w:rPr>
                <w:rFonts w:asciiTheme="minorHAnsi" w:hAnsiTheme="minorHAnsi" w:cs="Arial"/>
                <w:b/>
                <w:bCs/>
                <w:sz w:val="22"/>
                <w:szCs w:val="22"/>
                <w:lang w:val="hr-HR"/>
              </w:rPr>
              <w:t>Neto prihod od naknada</w:t>
            </w:r>
            <w:r w:rsidR="001E134E">
              <w:rPr>
                <w:rFonts w:asciiTheme="minorHAnsi" w:hAnsiTheme="minorHAnsi" w:cs="Arial"/>
                <w:b/>
                <w:bCs/>
                <w:sz w:val="22"/>
                <w:szCs w:val="22"/>
                <w:lang w:val="hr-HR"/>
              </w:rPr>
              <w:t xml:space="preserve"> i provizija</w:t>
            </w:r>
          </w:p>
        </w:tc>
        <w:tc>
          <w:tcPr>
            <w:tcW w:w="565" w:type="pct"/>
            <w:vAlign w:val="bottom"/>
          </w:tcPr>
          <w:p w:rsidR="00D5678D" w:rsidRPr="001567C8" w:rsidRDefault="00D5678D" w:rsidP="00521D16">
            <w:pPr>
              <w:pStyle w:val="Tot"/>
              <w:jc w:val="center"/>
              <w:rPr>
                <w:rFonts w:asciiTheme="minorHAnsi" w:hAnsiTheme="minorHAnsi" w:cs="Arial"/>
                <w:b/>
                <w:bCs/>
                <w:sz w:val="22"/>
                <w:szCs w:val="22"/>
                <w:lang w:val="hr-HR"/>
              </w:rPr>
            </w:pPr>
          </w:p>
        </w:tc>
        <w:tc>
          <w:tcPr>
            <w:tcW w:w="832" w:type="pct"/>
            <w:gridSpan w:val="2"/>
            <w:tcBorders>
              <w:top w:val="single" w:sz="2" w:space="0" w:color="auto"/>
              <w:bottom w:val="single" w:sz="12" w:space="0" w:color="auto"/>
            </w:tcBorders>
            <w:vAlign w:val="center"/>
          </w:tcPr>
          <w:p w:rsidR="00D5678D" w:rsidRPr="00CD3A2D" w:rsidRDefault="008A118B" w:rsidP="00521D16">
            <w:pPr>
              <w:pStyle w:val="TT"/>
              <w:tabs>
                <w:tab w:val="clear" w:pos="1202"/>
              </w:tabs>
              <w:jc w:val="right"/>
              <w:rPr>
                <w:rFonts w:ascii="Calibri" w:hAnsi="Calibri" w:cs="Calibri"/>
                <w:b/>
                <w:color w:val="000000"/>
                <w:sz w:val="22"/>
                <w:szCs w:val="22"/>
                <w:lang w:val="hr-HR"/>
              </w:rPr>
            </w:pPr>
            <w:r w:rsidRPr="00CD3A2D">
              <w:rPr>
                <w:rFonts w:ascii="Calibri" w:hAnsi="Calibri" w:cs="Calibri"/>
                <w:b/>
                <w:color w:val="000000"/>
                <w:sz w:val="22"/>
                <w:szCs w:val="22"/>
                <w:lang w:val="hr-HR"/>
              </w:rPr>
              <w:t>41.205</w:t>
            </w:r>
          </w:p>
        </w:tc>
        <w:tc>
          <w:tcPr>
            <w:tcW w:w="1020" w:type="pct"/>
            <w:tcBorders>
              <w:top w:val="single" w:sz="2" w:space="0" w:color="auto"/>
              <w:left w:val="nil"/>
              <w:bottom w:val="single" w:sz="12" w:space="0" w:color="auto"/>
              <w:right w:val="nil"/>
            </w:tcBorders>
            <w:shd w:val="clear" w:color="auto" w:fill="auto"/>
            <w:vAlign w:val="center"/>
          </w:tcPr>
          <w:p w:rsidR="00D5678D" w:rsidRPr="001567C8" w:rsidRDefault="00D5678D" w:rsidP="00521D16">
            <w:pPr>
              <w:pStyle w:val="Tot"/>
              <w:tabs>
                <w:tab w:val="clear" w:pos="1202"/>
              </w:tabs>
              <w:jc w:val="right"/>
              <w:rPr>
                <w:rFonts w:asciiTheme="minorHAnsi" w:hAnsiTheme="minorHAnsi" w:cs="Arial"/>
                <w:b/>
                <w:bCs/>
                <w:spacing w:val="-2"/>
                <w:sz w:val="22"/>
                <w:szCs w:val="22"/>
                <w:lang w:val="hr-HR"/>
              </w:rPr>
            </w:pPr>
            <w:r w:rsidRPr="00CD3A2D">
              <w:rPr>
                <w:rFonts w:ascii="Calibri" w:hAnsi="Calibri" w:cs="Calibri"/>
                <w:b/>
                <w:bCs/>
                <w:color w:val="000000"/>
                <w:sz w:val="22"/>
                <w:szCs w:val="22"/>
                <w:lang w:val="hr-HR"/>
              </w:rPr>
              <w:t>44.981</w:t>
            </w:r>
          </w:p>
        </w:tc>
      </w:tr>
      <w:tr w:rsidR="00521D16" w:rsidRPr="001567C8" w:rsidTr="003327E4">
        <w:trPr>
          <w:trHeight w:hRule="exact" w:val="340"/>
        </w:trPr>
        <w:tc>
          <w:tcPr>
            <w:tcW w:w="2583" w:type="pct"/>
          </w:tcPr>
          <w:p w:rsidR="00D5678D" w:rsidRPr="001567C8" w:rsidRDefault="00D5678D" w:rsidP="00521D16">
            <w:pPr>
              <w:pStyle w:val="TT"/>
              <w:rPr>
                <w:rFonts w:asciiTheme="minorHAnsi" w:hAnsiTheme="minorHAnsi" w:cs="Arial"/>
                <w:sz w:val="22"/>
                <w:szCs w:val="22"/>
                <w:lang w:val="hr-HR"/>
              </w:rPr>
            </w:pPr>
          </w:p>
        </w:tc>
        <w:tc>
          <w:tcPr>
            <w:tcW w:w="565" w:type="pct"/>
            <w:vAlign w:val="bottom"/>
          </w:tcPr>
          <w:p w:rsidR="00D5678D" w:rsidRPr="001567C8" w:rsidRDefault="00D5678D" w:rsidP="00521D16">
            <w:pPr>
              <w:pStyle w:val="TT"/>
              <w:jc w:val="center"/>
              <w:rPr>
                <w:rFonts w:asciiTheme="minorHAnsi" w:hAnsiTheme="minorHAnsi" w:cs="Arial"/>
                <w:sz w:val="22"/>
                <w:szCs w:val="22"/>
                <w:lang w:val="hr-HR"/>
              </w:rPr>
            </w:pPr>
          </w:p>
        </w:tc>
        <w:tc>
          <w:tcPr>
            <w:tcW w:w="832" w:type="pct"/>
            <w:gridSpan w:val="2"/>
            <w:tcBorders>
              <w:top w:val="single" w:sz="12" w:space="0" w:color="auto"/>
            </w:tcBorders>
            <w:vAlign w:val="center"/>
          </w:tcPr>
          <w:p w:rsidR="00D5678D" w:rsidRPr="00CD3A2D" w:rsidRDefault="00D5678D" w:rsidP="00521D16">
            <w:pPr>
              <w:pStyle w:val="TT"/>
              <w:tabs>
                <w:tab w:val="clear" w:pos="1202"/>
              </w:tabs>
              <w:jc w:val="right"/>
              <w:rPr>
                <w:rFonts w:ascii="Calibri" w:hAnsi="Calibri" w:cs="Calibri"/>
                <w:color w:val="000000"/>
                <w:sz w:val="22"/>
                <w:szCs w:val="22"/>
                <w:lang w:val="hr-HR"/>
              </w:rPr>
            </w:pPr>
          </w:p>
        </w:tc>
        <w:tc>
          <w:tcPr>
            <w:tcW w:w="1020" w:type="pct"/>
            <w:tcBorders>
              <w:top w:val="single" w:sz="12" w:space="0" w:color="auto"/>
            </w:tcBorders>
          </w:tcPr>
          <w:p w:rsidR="00D5678D" w:rsidRPr="001567C8" w:rsidRDefault="00D5678D" w:rsidP="00521D16">
            <w:pPr>
              <w:pStyle w:val="TT"/>
              <w:jc w:val="right"/>
              <w:rPr>
                <w:rFonts w:asciiTheme="minorHAnsi" w:hAnsiTheme="minorHAnsi" w:cs="Arial"/>
                <w:sz w:val="22"/>
                <w:szCs w:val="22"/>
                <w:lang w:val="hr-HR"/>
              </w:rPr>
            </w:pPr>
          </w:p>
        </w:tc>
      </w:tr>
      <w:tr w:rsidR="00521D16" w:rsidRPr="001567C8" w:rsidTr="003327E4">
        <w:trPr>
          <w:trHeight w:val="355"/>
        </w:trPr>
        <w:tc>
          <w:tcPr>
            <w:tcW w:w="2583" w:type="pct"/>
          </w:tcPr>
          <w:p w:rsidR="008A118B" w:rsidRPr="001567C8" w:rsidRDefault="008A118B" w:rsidP="00521D16">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Neto prihodi/(rashodi) od financijskih aktivnosti </w:t>
            </w:r>
          </w:p>
        </w:tc>
        <w:tc>
          <w:tcPr>
            <w:tcW w:w="565" w:type="pct"/>
            <w:vAlign w:val="bottom"/>
          </w:tcPr>
          <w:p w:rsidR="008A118B" w:rsidRPr="001567C8" w:rsidRDefault="008A118B" w:rsidP="00521D16">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9</w:t>
            </w:r>
          </w:p>
        </w:tc>
        <w:tc>
          <w:tcPr>
            <w:tcW w:w="832" w:type="pct"/>
            <w:gridSpan w:val="2"/>
            <w:vAlign w:val="bottom"/>
          </w:tcPr>
          <w:p w:rsidR="008A118B" w:rsidRPr="00CD3A2D" w:rsidRDefault="008A118B"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9.234 </w:t>
            </w:r>
          </w:p>
        </w:tc>
        <w:tc>
          <w:tcPr>
            <w:tcW w:w="1020" w:type="pct"/>
            <w:tcBorders>
              <w:top w:val="nil"/>
              <w:left w:val="nil"/>
              <w:bottom w:val="nil"/>
              <w:right w:val="nil"/>
            </w:tcBorders>
            <w:shd w:val="clear" w:color="auto" w:fill="auto"/>
            <w:vAlign w:val="bottom"/>
          </w:tcPr>
          <w:p w:rsidR="008A118B" w:rsidRPr="001567C8" w:rsidRDefault="008A118B" w:rsidP="00521D16">
            <w:pPr>
              <w:pStyle w:val="TT"/>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 xml:space="preserve">        (20.716)</w:t>
            </w:r>
          </w:p>
        </w:tc>
      </w:tr>
      <w:tr w:rsidR="00521D16" w:rsidRPr="001567C8" w:rsidTr="003327E4">
        <w:trPr>
          <w:trHeight w:val="292"/>
        </w:trPr>
        <w:tc>
          <w:tcPr>
            <w:tcW w:w="2583" w:type="pct"/>
          </w:tcPr>
          <w:p w:rsidR="008A118B" w:rsidRPr="001567C8" w:rsidRDefault="008A118B" w:rsidP="00521D16">
            <w:pPr>
              <w:pStyle w:val="Tot"/>
              <w:rPr>
                <w:rFonts w:asciiTheme="minorHAnsi" w:hAnsiTheme="minorHAnsi" w:cs="Arial"/>
                <w:sz w:val="22"/>
                <w:szCs w:val="22"/>
                <w:lang w:val="hr-HR"/>
              </w:rPr>
            </w:pPr>
            <w:r w:rsidRPr="001567C8">
              <w:rPr>
                <w:rFonts w:asciiTheme="minorHAnsi" w:hAnsiTheme="minorHAnsi" w:cs="Arial"/>
                <w:sz w:val="22"/>
                <w:szCs w:val="22"/>
                <w:lang w:val="hr-HR"/>
              </w:rPr>
              <w:t>Ostali prihodi</w:t>
            </w:r>
          </w:p>
        </w:tc>
        <w:tc>
          <w:tcPr>
            <w:tcW w:w="565" w:type="pct"/>
            <w:vAlign w:val="bottom"/>
          </w:tcPr>
          <w:p w:rsidR="008A118B" w:rsidRPr="001567C8" w:rsidRDefault="008A118B" w:rsidP="00521D16">
            <w:pPr>
              <w:pStyle w:val="Tot"/>
              <w:jc w:val="center"/>
              <w:rPr>
                <w:rFonts w:asciiTheme="minorHAnsi" w:hAnsiTheme="minorHAnsi" w:cs="Arial"/>
                <w:b/>
                <w:bCs/>
                <w:sz w:val="22"/>
                <w:szCs w:val="22"/>
                <w:lang w:val="hr-HR"/>
              </w:rPr>
            </w:pPr>
          </w:p>
        </w:tc>
        <w:tc>
          <w:tcPr>
            <w:tcW w:w="832" w:type="pct"/>
            <w:gridSpan w:val="2"/>
            <w:vAlign w:val="center"/>
          </w:tcPr>
          <w:p w:rsidR="008A118B" w:rsidRPr="00CD3A2D" w:rsidRDefault="008A118B"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14.098 </w:t>
            </w:r>
          </w:p>
        </w:tc>
        <w:tc>
          <w:tcPr>
            <w:tcW w:w="1020" w:type="pct"/>
            <w:tcBorders>
              <w:top w:val="nil"/>
              <w:left w:val="nil"/>
              <w:bottom w:val="nil"/>
              <w:right w:val="nil"/>
            </w:tcBorders>
            <w:shd w:val="clear" w:color="auto" w:fill="auto"/>
            <w:vAlign w:val="center"/>
          </w:tcPr>
          <w:p w:rsidR="008A118B" w:rsidRPr="001567C8" w:rsidRDefault="008A118B" w:rsidP="00521D16">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14.860</w:t>
            </w:r>
          </w:p>
        </w:tc>
      </w:tr>
      <w:tr w:rsidR="00521D16" w:rsidRPr="001567C8" w:rsidTr="003327E4">
        <w:trPr>
          <w:trHeight w:val="303"/>
        </w:trPr>
        <w:tc>
          <w:tcPr>
            <w:tcW w:w="2583" w:type="pct"/>
          </w:tcPr>
          <w:p w:rsidR="00D5678D" w:rsidRPr="001567C8" w:rsidRDefault="00D5678D" w:rsidP="00521D16">
            <w:pPr>
              <w:pStyle w:val="Tot"/>
              <w:rPr>
                <w:rFonts w:asciiTheme="minorHAnsi" w:hAnsiTheme="minorHAnsi" w:cs="Arial"/>
                <w:b/>
                <w:bCs/>
                <w:sz w:val="22"/>
                <w:szCs w:val="22"/>
                <w:lang w:val="hr-HR"/>
              </w:rPr>
            </w:pPr>
          </w:p>
        </w:tc>
        <w:tc>
          <w:tcPr>
            <w:tcW w:w="565" w:type="pct"/>
            <w:vAlign w:val="bottom"/>
          </w:tcPr>
          <w:p w:rsidR="00D5678D" w:rsidRPr="001567C8" w:rsidRDefault="00D5678D" w:rsidP="00521D16">
            <w:pPr>
              <w:pStyle w:val="Tot"/>
              <w:jc w:val="center"/>
              <w:rPr>
                <w:rFonts w:asciiTheme="minorHAnsi" w:hAnsiTheme="minorHAnsi" w:cs="Arial"/>
                <w:b/>
                <w:bCs/>
                <w:sz w:val="22"/>
                <w:szCs w:val="22"/>
                <w:lang w:val="hr-HR"/>
              </w:rPr>
            </w:pPr>
          </w:p>
        </w:tc>
        <w:tc>
          <w:tcPr>
            <w:tcW w:w="832" w:type="pct"/>
            <w:gridSpan w:val="2"/>
            <w:tcBorders>
              <w:top w:val="single" w:sz="2" w:space="0" w:color="auto"/>
              <w:bottom w:val="single" w:sz="12" w:space="0" w:color="auto"/>
            </w:tcBorders>
            <w:vAlign w:val="center"/>
          </w:tcPr>
          <w:p w:rsidR="00D5678D" w:rsidRPr="00CD3A2D" w:rsidRDefault="008A118B" w:rsidP="00521D16">
            <w:pPr>
              <w:pStyle w:val="TT"/>
              <w:tabs>
                <w:tab w:val="clear" w:pos="1202"/>
              </w:tabs>
              <w:jc w:val="right"/>
              <w:rPr>
                <w:rFonts w:ascii="Calibri" w:hAnsi="Calibri" w:cs="Calibri"/>
                <w:b/>
                <w:color w:val="000000"/>
                <w:sz w:val="22"/>
                <w:szCs w:val="22"/>
                <w:lang w:val="hr-HR"/>
              </w:rPr>
            </w:pPr>
            <w:r w:rsidRPr="00CD3A2D">
              <w:rPr>
                <w:rFonts w:ascii="Calibri" w:hAnsi="Calibri" w:cs="Calibri"/>
                <w:b/>
                <w:color w:val="000000"/>
                <w:sz w:val="22"/>
                <w:szCs w:val="22"/>
                <w:lang w:val="hr-HR"/>
              </w:rPr>
              <w:t>441.55</w:t>
            </w:r>
            <w:r w:rsidR="00FB3A7C" w:rsidRPr="00CD3A2D">
              <w:rPr>
                <w:rFonts w:ascii="Calibri" w:hAnsi="Calibri" w:cs="Calibri"/>
                <w:b/>
                <w:color w:val="000000"/>
                <w:sz w:val="22"/>
                <w:szCs w:val="22"/>
                <w:lang w:val="hr-HR"/>
              </w:rPr>
              <w:t>4</w:t>
            </w:r>
          </w:p>
        </w:tc>
        <w:tc>
          <w:tcPr>
            <w:tcW w:w="1020" w:type="pct"/>
            <w:tcBorders>
              <w:top w:val="single" w:sz="2" w:space="0" w:color="auto"/>
              <w:left w:val="nil"/>
              <w:bottom w:val="single" w:sz="12" w:space="0" w:color="auto"/>
              <w:right w:val="nil"/>
            </w:tcBorders>
            <w:shd w:val="clear" w:color="auto" w:fill="auto"/>
            <w:vAlign w:val="center"/>
          </w:tcPr>
          <w:p w:rsidR="00D5678D" w:rsidRPr="001567C8" w:rsidRDefault="00D5678D" w:rsidP="00521D16">
            <w:pPr>
              <w:pStyle w:val="Tot"/>
              <w:jc w:val="right"/>
              <w:rPr>
                <w:rFonts w:asciiTheme="minorHAnsi" w:hAnsiTheme="minorHAnsi" w:cs="Arial"/>
                <w:b/>
                <w:bCs/>
                <w:sz w:val="22"/>
                <w:szCs w:val="22"/>
                <w:lang w:val="hr-HR"/>
              </w:rPr>
            </w:pPr>
            <w:r w:rsidRPr="00CD3A2D">
              <w:rPr>
                <w:rFonts w:ascii="Calibri" w:hAnsi="Calibri" w:cs="Calibri"/>
                <w:b/>
                <w:bCs/>
                <w:color w:val="000000"/>
                <w:sz w:val="22"/>
                <w:szCs w:val="22"/>
                <w:lang w:val="hr-HR"/>
              </w:rPr>
              <w:t>516.490</w:t>
            </w:r>
          </w:p>
        </w:tc>
      </w:tr>
      <w:tr w:rsidR="00521D16" w:rsidRPr="001567C8" w:rsidTr="003327E4">
        <w:trPr>
          <w:trHeight w:val="260"/>
        </w:trPr>
        <w:tc>
          <w:tcPr>
            <w:tcW w:w="2583" w:type="pct"/>
          </w:tcPr>
          <w:p w:rsidR="00D5678D" w:rsidRPr="001567C8" w:rsidRDefault="00D5678D" w:rsidP="00521D16">
            <w:pPr>
              <w:pStyle w:val="TT"/>
              <w:rPr>
                <w:rFonts w:asciiTheme="minorHAnsi" w:hAnsiTheme="minorHAnsi" w:cs="Arial"/>
                <w:bCs/>
                <w:spacing w:val="-2"/>
                <w:sz w:val="22"/>
                <w:szCs w:val="22"/>
                <w:lang w:val="hr-HR"/>
              </w:rPr>
            </w:pPr>
          </w:p>
        </w:tc>
        <w:tc>
          <w:tcPr>
            <w:tcW w:w="565" w:type="pct"/>
            <w:vAlign w:val="bottom"/>
          </w:tcPr>
          <w:p w:rsidR="00D5678D" w:rsidRPr="001567C8" w:rsidRDefault="00D5678D" w:rsidP="00521D16">
            <w:pPr>
              <w:pStyle w:val="TT"/>
              <w:jc w:val="center"/>
              <w:rPr>
                <w:rFonts w:asciiTheme="minorHAnsi" w:hAnsiTheme="minorHAnsi" w:cs="Arial"/>
                <w:bCs/>
                <w:spacing w:val="-2"/>
                <w:sz w:val="22"/>
                <w:szCs w:val="22"/>
                <w:lang w:val="hr-HR"/>
              </w:rPr>
            </w:pPr>
          </w:p>
        </w:tc>
        <w:tc>
          <w:tcPr>
            <w:tcW w:w="832" w:type="pct"/>
            <w:gridSpan w:val="2"/>
            <w:vAlign w:val="center"/>
          </w:tcPr>
          <w:p w:rsidR="00D5678D" w:rsidRPr="00CD3A2D" w:rsidRDefault="00D5678D" w:rsidP="00521D16">
            <w:pPr>
              <w:pStyle w:val="TT"/>
              <w:tabs>
                <w:tab w:val="clear" w:pos="1202"/>
              </w:tabs>
              <w:jc w:val="right"/>
              <w:rPr>
                <w:rFonts w:ascii="Calibri" w:hAnsi="Calibri" w:cs="Calibri"/>
                <w:color w:val="000000"/>
                <w:sz w:val="22"/>
                <w:szCs w:val="22"/>
                <w:lang w:val="hr-HR"/>
              </w:rPr>
            </w:pPr>
          </w:p>
        </w:tc>
        <w:tc>
          <w:tcPr>
            <w:tcW w:w="1020" w:type="pct"/>
          </w:tcPr>
          <w:p w:rsidR="00D5678D" w:rsidRPr="001567C8" w:rsidRDefault="00D5678D" w:rsidP="00521D16">
            <w:pPr>
              <w:pStyle w:val="TT"/>
              <w:tabs>
                <w:tab w:val="clear" w:pos="1202"/>
              </w:tabs>
              <w:jc w:val="right"/>
              <w:rPr>
                <w:rFonts w:asciiTheme="minorHAnsi" w:hAnsiTheme="minorHAnsi" w:cs="Arial"/>
                <w:bCs/>
                <w:spacing w:val="-2"/>
                <w:sz w:val="22"/>
                <w:szCs w:val="22"/>
                <w:lang w:val="hr-HR"/>
              </w:rPr>
            </w:pPr>
          </w:p>
        </w:tc>
      </w:tr>
      <w:tr w:rsidR="00521D16" w:rsidRPr="001567C8" w:rsidTr="003327E4">
        <w:trPr>
          <w:trHeight w:val="246"/>
        </w:trPr>
        <w:tc>
          <w:tcPr>
            <w:tcW w:w="2583" w:type="pct"/>
            <w:vAlign w:val="bottom"/>
          </w:tcPr>
          <w:p w:rsidR="008A118B" w:rsidRPr="001567C8" w:rsidRDefault="00A53655" w:rsidP="00521D16">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Troškovi osoblja</w:t>
            </w:r>
          </w:p>
        </w:tc>
        <w:tc>
          <w:tcPr>
            <w:tcW w:w="565" w:type="pct"/>
            <w:vAlign w:val="bottom"/>
          </w:tcPr>
          <w:p w:rsidR="008A118B" w:rsidRPr="001567C8" w:rsidRDefault="008A118B" w:rsidP="00521D16">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10</w:t>
            </w:r>
            <w:r w:rsidR="0008223D" w:rsidRPr="001567C8">
              <w:rPr>
                <w:rFonts w:asciiTheme="minorHAnsi" w:hAnsiTheme="minorHAnsi" w:cs="Arial"/>
                <w:bCs/>
                <w:spacing w:val="-2"/>
                <w:sz w:val="22"/>
                <w:szCs w:val="22"/>
                <w:lang w:val="hr-HR"/>
              </w:rPr>
              <w:t xml:space="preserve"> a)</w:t>
            </w:r>
          </w:p>
        </w:tc>
        <w:tc>
          <w:tcPr>
            <w:tcW w:w="832" w:type="pct"/>
            <w:gridSpan w:val="2"/>
            <w:tcBorders>
              <w:top w:val="nil"/>
              <w:left w:val="nil"/>
              <w:right w:val="nil"/>
            </w:tcBorders>
            <w:shd w:val="clear" w:color="auto" w:fill="auto"/>
            <w:vAlign w:val="center"/>
          </w:tcPr>
          <w:p w:rsidR="008A118B" w:rsidRPr="00CD3A2D" w:rsidRDefault="008A118B"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w:t>
            </w:r>
            <w:r w:rsidR="00A53655" w:rsidRPr="00CD3A2D">
              <w:rPr>
                <w:rFonts w:ascii="Calibri" w:hAnsi="Calibri" w:cs="Calibri"/>
                <w:color w:val="000000"/>
                <w:sz w:val="22"/>
                <w:szCs w:val="22"/>
                <w:lang w:val="hr-HR"/>
              </w:rPr>
              <w:t>93.845</w:t>
            </w:r>
            <w:r w:rsidRPr="00CD3A2D">
              <w:rPr>
                <w:rFonts w:ascii="Calibri" w:hAnsi="Calibri" w:cs="Calibri"/>
                <w:color w:val="000000"/>
                <w:sz w:val="22"/>
                <w:szCs w:val="22"/>
                <w:lang w:val="hr-HR"/>
              </w:rPr>
              <w:t>)</w:t>
            </w:r>
          </w:p>
        </w:tc>
        <w:tc>
          <w:tcPr>
            <w:tcW w:w="1020" w:type="pct"/>
            <w:tcBorders>
              <w:top w:val="nil"/>
              <w:left w:val="nil"/>
              <w:bottom w:val="nil"/>
              <w:right w:val="nil"/>
            </w:tcBorders>
            <w:shd w:val="clear" w:color="auto" w:fill="auto"/>
            <w:vAlign w:val="bottom"/>
          </w:tcPr>
          <w:p w:rsidR="008A118B" w:rsidRPr="001567C8" w:rsidRDefault="008A118B" w:rsidP="00521D16">
            <w:pPr>
              <w:pStyle w:val="TT"/>
              <w:tabs>
                <w:tab w:val="clear" w:pos="1202"/>
              </w:tabs>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w:t>
            </w:r>
            <w:r w:rsidR="00A53655" w:rsidRPr="00CD3A2D">
              <w:rPr>
                <w:rFonts w:ascii="Calibri" w:hAnsi="Calibri" w:cs="Calibri"/>
                <w:color w:val="000000"/>
                <w:sz w:val="22"/>
                <w:szCs w:val="22"/>
                <w:lang w:val="hr-HR"/>
              </w:rPr>
              <w:t>90</w:t>
            </w:r>
            <w:r w:rsidRPr="00CD3A2D">
              <w:rPr>
                <w:rFonts w:ascii="Calibri" w:hAnsi="Calibri" w:cs="Calibri"/>
                <w:color w:val="000000"/>
                <w:sz w:val="22"/>
                <w:szCs w:val="22"/>
                <w:lang w:val="hr-HR"/>
              </w:rPr>
              <w:t>.</w:t>
            </w:r>
            <w:r w:rsidR="00A53655" w:rsidRPr="00CD3A2D">
              <w:rPr>
                <w:rFonts w:ascii="Calibri" w:hAnsi="Calibri" w:cs="Calibri"/>
                <w:color w:val="000000"/>
                <w:sz w:val="22"/>
                <w:szCs w:val="22"/>
                <w:lang w:val="hr-HR"/>
              </w:rPr>
              <w:t>055</w:t>
            </w:r>
            <w:r w:rsidRPr="00CD3A2D">
              <w:rPr>
                <w:rFonts w:ascii="Calibri" w:hAnsi="Calibri" w:cs="Calibri"/>
                <w:color w:val="000000"/>
                <w:sz w:val="22"/>
                <w:szCs w:val="22"/>
                <w:lang w:val="hr-HR"/>
              </w:rPr>
              <w:t>)</w:t>
            </w:r>
          </w:p>
        </w:tc>
      </w:tr>
      <w:tr w:rsidR="00E3491D" w:rsidRPr="001567C8" w:rsidTr="003327E4">
        <w:trPr>
          <w:trHeight w:val="246"/>
        </w:trPr>
        <w:tc>
          <w:tcPr>
            <w:tcW w:w="2583" w:type="pct"/>
            <w:vAlign w:val="bottom"/>
          </w:tcPr>
          <w:p w:rsidR="00E3491D" w:rsidRPr="001567C8" w:rsidRDefault="00A53655" w:rsidP="00521D16">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Amortizacija</w:t>
            </w:r>
          </w:p>
        </w:tc>
        <w:tc>
          <w:tcPr>
            <w:tcW w:w="565" w:type="pct"/>
            <w:vAlign w:val="bottom"/>
          </w:tcPr>
          <w:p w:rsidR="00E3491D" w:rsidRPr="001567C8" w:rsidRDefault="00A53655" w:rsidP="00521D16">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10</w:t>
            </w:r>
            <w:r w:rsidR="0008223D" w:rsidRPr="001567C8">
              <w:rPr>
                <w:rFonts w:asciiTheme="minorHAnsi" w:hAnsiTheme="minorHAnsi" w:cs="Arial"/>
                <w:bCs/>
                <w:spacing w:val="-2"/>
                <w:sz w:val="22"/>
                <w:szCs w:val="22"/>
                <w:lang w:val="hr-HR"/>
              </w:rPr>
              <w:t xml:space="preserve"> b)</w:t>
            </w:r>
          </w:p>
        </w:tc>
        <w:tc>
          <w:tcPr>
            <w:tcW w:w="832" w:type="pct"/>
            <w:gridSpan w:val="2"/>
            <w:tcBorders>
              <w:top w:val="nil"/>
              <w:left w:val="nil"/>
              <w:right w:val="nil"/>
            </w:tcBorders>
            <w:shd w:val="clear" w:color="auto" w:fill="auto"/>
            <w:vAlign w:val="center"/>
          </w:tcPr>
          <w:p w:rsidR="00E3491D" w:rsidRPr="00CD3A2D" w:rsidRDefault="00A53655"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(6.329)</w:t>
            </w:r>
          </w:p>
        </w:tc>
        <w:tc>
          <w:tcPr>
            <w:tcW w:w="1020" w:type="pct"/>
            <w:tcBorders>
              <w:top w:val="nil"/>
              <w:left w:val="nil"/>
              <w:bottom w:val="nil"/>
              <w:right w:val="nil"/>
            </w:tcBorders>
            <w:shd w:val="clear" w:color="auto" w:fill="auto"/>
            <w:vAlign w:val="bottom"/>
          </w:tcPr>
          <w:p w:rsidR="00E3491D" w:rsidRPr="00CD3A2D" w:rsidDel="008A118B" w:rsidRDefault="00A53655"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(7.539)</w:t>
            </w:r>
          </w:p>
        </w:tc>
      </w:tr>
      <w:tr w:rsidR="00E3491D" w:rsidRPr="001567C8" w:rsidTr="003327E4">
        <w:trPr>
          <w:trHeight w:val="246"/>
        </w:trPr>
        <w:tc>
          <w:tcPr>
            <w:tcW w:w="2583" w:type="pct"/>
            <w:vAlign w:val="bottom"/>
          </w:tcPr>
          <w:p w:rsidR="00E3491D" w:rsidRPr="001567C8" w:rsidRDefault="00A53655" w:rsidP="00521D16">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Ostali troškovi</w:t>
            </w:r>
          </w:p>
        </w:tc>
        <w:tc>
          <w:tcPr>
            <w:tcW w:w="565" w:type="pct"/>
            <w:vAlign w:val="bottom"/>
          </w:tcPr>
          <w:p w:rsidR="00E3491D" w:rsidRPr="001567C8" w:rsidRDefault="00A53655" w:rsidP="00521D16">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10</w:t>
            </w:r>
            <w:r w:rsidR="0008223D" w:rsidRPr="001567C8">
              <w:rPr>
                <w:rFonts w:asciiTheme="minorHAnsi" w:hAnsiTheme="minorHAnsi" w:cs="Arial"/>
                <w:bCs/>
                <w:spacing w:val="-2"/>
                <w:sz w:val="22"/>
                <w:szCs w:val="22"/>
                <w:lang w:val="hr-HR"/>
              </w:rPr>
              <w:t xml:space="preserve"> c)</w:t>
            </w:r>
          </w:p>
        </w:tc>
        <w:tc>
          <w:tcPr>
            <w:tcW w:w="832" w:type="pct"/>
            <w:gridSpan w:val="2"/>
            <w:tcBorders>
              <w:top w:val="nil"/>
              <w:left w:val="nil"/>
              <w:right w:val="nil"/>
            </w:tcBorders>
            <w:shd w:val="clear" w:color="auto" w:fill="auto"/>
            <w:vAlign w:val="center"/>
          </w:tcPr>
          <w:p w:rsidR="00E3491D" w:rsidRPr="00CD3A2D" w:rsidRDefault="00A53655"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(70.726)</w:t>
            </w:r>
          </w:p>
        </w:tc>
        <w:tc>
          <w:tcPr>
            <w:tcW w:w="1020" w:type="pct"/>
            <w:tcBorders>
              <w:top w:val="nil"/>
              <w:left w:val="nil"/>
              <w:bottom w:val="nil"/>
              <w:right w:val="nil"/>
            </w:tcBorders>
            <w:shd w:val="clear" w:color="auto" w:fill="auto"/>
            <w:vAlign w:val="bottom"/>
          </w:tcPr>
          <w:p w:rsidR="00E3491D" w:rsidRPr="00CD3A2D" w:rsidDel="008A118B" w:rsidRDefault="00A53655"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(61.406)</w:t>
            </w:r>
          </w:p>
        </w:tc>
      </w:tr>
      <w:tr w:rsidR="00521D16" w:rsidRPr="001567C8" w:rsidTr="003327E4">
        <w:trPr>
          <w:trHeight w:val="378"/>
        </w:trPr>
        <w:tc>
          <w:tcPr>
            <w:tcW w:w="2583" w:type="pct"/>
            <w:vAlign w:val="bottom"/>
          </w:tcPr>
          <w:p w:rsidR="008A118B" w:rsidRPr="001567C8" w:rsidRDefault="008A118B" w:rsidP="00521D16">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Gubitak od umanjenja vrijednosti i rezerviranja</w:t>
            </w:r>
          </w:p>
        </w:tc>
        <w:tc>
          <w:tcPr>
            <w:tcW w:w="565" w:type="pct"/>
            <w:vAlign w:val="bottom"/>
          </w:tcPr>
          <w:p w:rsidR="008A118B" w:rsidRPr="001567C8" w:rsidRDefault="008A118B" w:rsidP="00521D16">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11</w:t>
            </w:r>
          </w:p>
        </w:tc>
        <w:tc>
          <w:tcPr>
            <w:tcW w:w="832" w:type="pct"/>
            <w:gridSpan w:val="2"/>
            <w:tcBorders>
              <w:top w:val="nil"/>
              <w:left w:val="nil"/>
              <w:right w:val="nil"/>
            </w:tcBorders>
            <w:shd w:val="clear" w:color="auto" w:fill="auto"/>
            <w:vAlign w:val="center"/>
          </w:tcPr>
          <w:p w:rsidR="008A118B" w:rsidRPr="00CD3A2D" w:rsidRDefault="008A118B"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(65.891)</w:t>
            </w:r>
          </w:p>
        </w:tc>
        <w:tc>
          <w:tcPr>
            <w:tcW w:w="1020" w:type="pct"/>
            <w:tcBorders>
              <w:top w:val="nil"/>
              <w:left w:val="nil"/>
              <w:bottom w:val="nil"/>
              <w:right w:val="nil"/>
            </w:tcBorders>
            <w:shd w:val="clear" w:color="auto" w:fill="auto"/>
            <w:vAlign w:val="bottom"/>
          </w:tcPr>
          <w:p w:rsidR="008A118B" w:rsidRPr="001567C8" w:rsidRDefault="008A118B" w:rsidP="00521D16">
            <w:pPr>
              <w:pStyle w:val="TT"/>
              <w:tabs>
                <w:tab w:val="clear" w:pos="1202"/>
              </w:tabs>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 xml:space="preserve"> (195.187)</w:t>
            </w:r>
          </w:p>
        </w:tc>
      </w:tr>
      <w:tr w:rsidR="00521D16" w:rsidRPr="001567C8" w:rsidTr="003327E4">
        <w:trPr>
          <w:trHeight w:val="303"/>
        </w:trPr>
        <w:tc>
          <w:tcPr>
            <w:tcW w:w="2583" w:type="pct"/>
          </w:tcPr>
          <w:p w:rsidR="00D5678D" w:rsidRPr="001567C8" w:rsidRDefault="00D5678D" w:rsidP="00521D16">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Dobit prije oporezivanja</w:t>
            </w:r>
          </w:p>
        </w:tc>
        <w:tc>
          <w:tcPr>
            <w:tcW w:w="565" w:type="pct"/>
            <w:vAlign w:val="bottom"/>
          </w:tcPr>
          <w:p w:rsidR="00D5678D" w:rsidRPr="001567C8" w:rsidRDefault="00D5678D" w:rsidP="00521D16">
            <w:pPr>
              <w:pStyle w:val="Tot"/>
              <w:jc w:val="center"/>
              <w:rPr>
                <w:rFonts w:asciiTheme="minorHAnsi" w:hAnsiTheme="minorHAnsi" w:cs="Arial"/>
                <w:b/>
                <w:bCs/>
                <w:sz w:val="22"/>
                <w:szCs w:val="22"/>
                <w:lang w:val="hr-HR"/>
              </w:rPr>
            </w:pPr>
          </w:p>
        </w:tc>
        <w:tc>
          <w:tcPr>
            <w:tcW w:w="832" w:type="pct"/>
            <w:gridSpan w:val="2"/>
            <w:tcBorders>
              <w:top w:val="single" w:sz="2" w:space="0" w:color="auto"/>
              <w:bottom w:val="single" w:sz="12" w:space="0" w:color="auto"/>
            </w:tcBorders>
            <w:vAlign w:val="center"/>
          </w:tcPr>
          <w:p w:rsidR="00D5678D" w:rsidRPr="00CD3A2D" w:rsidRDefault="008A118B" w:rsidP="00521D16">
            <w:pPr>
              <w:pStyle w:val="TT"/>
              <w:tabs>
                <w:tab w:val="clear" w:pos="1202"/>
              </w:tabs>
              <w:jc w:val="right"/>
              <w:rPr>
                <w:rFonts w:ascii="Calibri" w:hAnsi="Calibri" w:cs="Calibri"/>
                <w:b/>
                <w:color w:val="000000"/>
                <w:sz w:val="22"/>
                <w:szCs w:val="22"/>
                <w:lang w:val="hr-HR"/>
              </w:rPr>
            </w:pPr>
            <w:r w:rsidRPr="00CD3A2D">
              <w:rPr>
                <w:rFonts w:ascii="Calibri" w:hAnsi="Calibri" w:cs="Calibri"/>
                <w:b/>
                <w:color w:val="000000"/>
                <w:sz w:val="22"/>
                <w:szCs w:val="22"/>
                <w:lang w:val="hr-HR"/>
              </w:rPr>
              <w:t>204.763</w:t>
            </w:r>
          </w:p>
        </w:tc>
        <w:tc>
          <w:tcPr>
            <w:tcW w:w="1020" w:type="pct"/>
            <w:tcBorders>
              <w:top w:val="single" w:sz="2" w:space="0" w:color="auto"/>
              <w:left w:val="nil"/>
              <w:bottom w:val="single" w:sz="12" w:space="0" w:color="auto"/>
              <w:right w:val="nil"/>
            </w:tcBorders>
            <w:shd w:val="clear" w:color="auto" w:fill="auto"/>
            <w:vAlign w:val="center"/>
          </w:tcPr>
          <w:p w:rsidR="00D5678D" w:rsidRPr="001567C8" w:rsidRDefault="00D5678D" w:rsidP="00521D16">
            <w:pPr>
              <w:pStyle w:val="Tot"/>
              <w:jc w:val="right"/>
              <w:rPr>
                <w:rFonts w:asciiTheme="minorHAnsi" w:hAnsiTheme="minorHAnsi" w:cs="Arial"/>
                <w:b/>
                <w:bCs/>
                <w:sz w:val="22"/>
                <w:szCs w:val="22"/>
                <w:lang w:val="hr-HR"/>
              </w:rPr>
            </w:pPr>
            <w:r w:rsidRPr="00CD3A2D">
              <w:rPr>
                <w:rFonts w:ascii="Calibri" w:hAnsi="Calibri" w:cs="Calibri"/>
                <w:b/>
                <w:bCs/>
                <w:color w:val="000000"/>
                <w:sz w:val="22"/>
                <w:szCs w:val="22"/>
                <w:lang w:val="hr-HR"/>
              </w:rPr>
              <w:t>162.303</w:t>
            </w:r>
          </w:p>
        </w:tc>
      </w:tr>
      <w:tr w:rsidR="00521D16" w:rsidRPr="001567C8" w:rsidTr="003327E4">
        <w:trPr>
          <w:trHeight w:val="383"/>
        </w:trPr>
        <w:tc>
          <w:tcPr>
            <w:tcW w:w="2583" w:type="pct"/>
            <w:vAlign w:val="center"/>
          </w:tcPr>
          <w:p w:rsidR="00D5678D" w:rsidRPr="001567C8" w:rsidRDefault="00D5678D" w:rsidP="00521D16">
            <w:pPr>
              <w:pStyle w:val="Tot"/>
              <w:rPr>
                <w:rFonts w:asciiTheme="minorHAnsi" w:hAnsiTheme="minorHAnsi" w:cs="Arial"/>
                <w:sz w:val="22"/>
                <w:szCs w:val="22"/>
                <w:lang w:val="hr-HR"/>
              </w:rPr>
            </w:pPr>
            <w:r w:rsidRPr="001567C8">
              <w:rPr>
                <w:rFonts w:asciiTheme="minorHAnsi" w:hAnsiTheme="minorHAnsi" w:cs="Arial"/>
                <w:sz w:val="22"/>
                <w:szCs w:val="22"/>
                <w:lang w:val="hr-HR"/>
              </w:rPr>
              <w:t>Porez na dobit</w:t>
            </w:r>
          </w:p>
        </w:tc>
        <w:tc>
          <w:tcPr>
            <w:tcW w:w="565" w:type="pct"/>
            <w:vAlign w:val="center"/>
          </w:tcPr>
          <w:p w:rsidR="00D5678D" w:rsidRPr="001567C8" w:rsidRDefault="00016B15" w:rsidP="00521D16">
            <w:pPr>
              <w:pStyle w:val="Tot"/>
              <w:jc w:val="center"/>
              <w:rPr>
                <w:rFonts w:asciiTheme="minorHAnsi" w:hAnsiTheme="minorHAnsi" w:cs="Arial"/>
                <w:sz w:val="22"/>
                <w:szCs w:val="22"/>
                <w:lang w:val="hr-HR"/>
              </w:rPr>
            </w:pPr>
            <w:r w:rsidRPr="001567C8">
              <w:rPr>
                <w:rFonts w:asciiTheme="minorHAnsi" w:hAnsiTheme="minorHAnsi" w:cs="Arial"/>
                <w:sz w:val="22"/>
                <w:szCs w:val="22"/>
                <w:lang w:val="hr-HR"/>
              </w:rPr>
              <w:t>12</w:t>
            </w:r>
          </w:p>
        </w:tc>
        <w:tc>
          <w:tcPr>
            <w:tcW w:w="832" w:type="pct"/>
            <w:gridSpan w:val="2"/>
            <w:vAlign w:val="center"/>
          </w:tcPr>
          <w:p w:rsidR="00D5678D" w:rsidRPr="00CD3A2D" w:rsidRDefault="008A118B" w:rsidP="00521D16">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(26)</w:t>
            </w:r>
          </w:p>
        </w:tc>
        <w:tc>
          <w:tcPr>
            <w:tcW w:w="1020" w:type="pct"/>
            <w:tcBorders>
              <w:top w:val="nil"/>
              <w:left w:val="nil"/>
              <w:bottom w:val="nil"/>
              <w:right w:val="nil"/>
            </w:tcBorders>
            <w:shd w:val="clear" w:color="auto" w:fill="auto"/>
            <w:vAlign w:val="center"/>
          </w:tcPr>
          <w:p w:rsidR="00D5678D" w:rsidRPr="001567C8" w:rsidRDefault="00D5678D" w:rsidP="00521D16">
            <w:pPr>
              <w:pStyle w:val="To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(102)</w:t>
            </w:r>
          </w:p>
        </w:tc>
      </w:tr>
      <w:tr w:rsidR="00521D16" w:rsidRPr="001567C8" w:rsidTr="003327E4">
        <w:trPr>
          <w:trHeight w:val="292"/>
        </w:trPr>
        <w:tc>
          <w:tcPr>
            <w:tcW w:w="2583" w:type="pct"/>
          </w:tcPr>
          <w:p w:rsidR="00D5678D" w:rsidRPr="001567C8" w:rsidRDefault="00D5678D" w:rsidP="00521D16">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Dobit tekuće godine</w:t>
            </w:r>
          </w:p>
        </w:tc>
        <w:tc>
          <w:tcPr>
            <w:tcW w:w="565" w:type="pct"/>
            <w:vAlign w:val="bottom"/>
          </w:tcPr>
          <w:p w:rsidR="00D5678D" w:rsidRPr="001567C8" w:rsidRDefault="00D5678D" w:rsidP="00521D16">
            <w:pPr>
              <w:pStyle w:val="Tot"/>
              <w:jc w:val="center"/>
              <w:rPr>
                <w:rFonts w:asciiTheme="minorHAnsi" w:hAnsiTheme="minorHAnsi" w:cs="Arial"/>
                <w:b/>
                <w:bCs/>
                <w:sz w:val="22"/>
                <w:szCs w:val="22"/>
                <w:lang w:val="hr-HR"/>
              </w:rPr>
            </w:pPr>
          </w:p>
        </w:tc>
        <w:tc>
          <w:tcPr>
            <w:tcW w:w="832" w:type="pct"/>
            <w:gridSpan w:val="2"/>
            <w:tcBorders>
              <w:top w:val="single" w:sz="2" w:space="0" w:color="auto"/>
              <w:bottom w:val="single" w:sz="12" w:space="0" w:color="auto"/>
            </w:tcBorders>
            <w:vAlign w:val="center"/>
          </w:tcPr>
          <w:p w:rsidR="00D5678D" w:rsidRPr="00CD3A2D" w:rsidRDefault="008A118B" w:rsidP="00521D16">
            <w:pPr>
              <w:pStyle w:val="TT"/>
              <w:tabs>
                <w:tab w:val="clear" w:pos="1202"/>
              </w:tabs>
              <w:jc w:val="right"/>
              <w:rPr>
                <w:rFonts w:ascii="Calibri" w:hAnsi="Calibri" w:cs="Calibri"/>
                <w:b/>
                <w:color w:val="000000"/>
                <w:sz w:val="22"/>
                <w:szCs w:val="22"/>
                <w:lang w:val="hr-HR"/>
              </w:rPr>
            </w:pPr>
            <w:r w:rsidRPr="00CD3A2D">
              <w:rPr>
                <w:rFonts w:ascii="Calibri" w:hAnsi="Calibri" w:cs="Calibri"/>
                <w:b/>
                <w:color w:val="000000"/>
                <w:sz w:val="22"/>
                <w:szCs w:val="22"/>
                <w:lang w:val="hr-HR"/>
              </w:rPr>
              <w:t>204.737</w:t>
            </w:r>
          </w:p>
        </w:tc>
        <w:tc>
          <w:tcPr>
            <w:tcW w:w="1020" w:type="pct"/>
            <w:tcBorders>
              <w:top w:val="single" w:sz="2" w:space="0" w:color="auto"/>
              <w:left w:val="nil"/>
              <w:bottom w:val="single" w:sz="12" w:space="0" w:color="auto"/>
              <w:right w:val="nil"/>
            </w:tcBorders>
            <w:shd w:val="clear" w:color="auto" w:fill="auto"/>
            <w:vAlign w:val="center"/>
          </w:tcPr>
          <w:p w:rsidR="00D5678D" w:rsidRPr="001567C8" w:rsidRDefault="00D5678D" w:rsidP="00521D16">
            <w:pPr>
              <w:pStyle w:val="Tot"/>
              <w:jc w:val="right"/>
              <w:rPr>
                <w:rFonts w:asciiTheme="minorHAnsi" w:hAnsiTheme="minorHAnsi" w:cs="Arial"/>
                <w:b/>
                <w:bCs/>
                <w:sz w:val="22"/>
                <w:szCs w:val="22"/>
                <w:lang w:val="hr-HR"/>
              </w:rPr>
            </w:pPr>
            <w:r w:rsidRPr="00CD3A2D">
              <w:rPr>
                <w:rFonts w:ascii="Calibri" w:hAnsi="Calibri" w:cs="Calibri"/>
                <w:b/>
                <w:bCs/>
                <w:color w:val="000000"/>
                <w:sz w:val="22"/>
                <w:szCs w:val="22"/>
                <w:lang w:val="hr-HR"/>
              </w:rPr>
              <w:t>162.201</w:t>
            </w:r>
          </w:p>
        </w:tc>
      </w:tr>
      <w:tr w:rsidR="00521D16" w:rsidRPr="001567C8" w:rsidTr="003327E4">
        <w:trPr>
          <w:trHeight w:val="60"/>
        </w:trPr>
        <w:tc>
          <w:tcPr>
            <w:tcW w:w="2583" w:type="pct"/>
          </w:tcPr>
          <w:p w:rsidR="00D5678D" w:rsidRPr="001567C8" w:rsidRDefault="00D5678D" w:rsidP="00521D16">
            <w:pPr>
              <w:pStyle w:val="Thick"/>
              <w:rPr>
                <w:rFonts w:asciiTheme="minorHAnsi" w:hAnsiTheme="minorHAnsi" w:cs="Arial"/>
                <w:sz w:val="22"/>
                <w:szCs w:val="22"/>
                <w:lang w:val="hr-HR"/>
              </w:rPr>
            </w:pPr>
          </w:p>
        </w:tc>
        <w:tc>
          <w:tcPr>
            <w:tcW w:w="565" w:type="pct"/>
            <w:vAlign w:val="bottom"/>
          </w:tcPr>
          <w:p w:rsidR="00D5678D" w:rsidRPr="001567C8" w:rsidRDefault="00D5678D" w:rsidP="00521D16">
            <w:pPr>
              <w:pStyle w:val="Thick"/>
              <w:jc w:val="center"/>
              <w:rPr>
                <w:rFonts w:asciiTheme="minorHAnsi" w:hAnsiTheme="minorHAnsi" w:cs="Arial"/>
                <w:sz w:val="22"/>
                <w:szCs w:val="22"/>
                <w:lang w:val="hr-HR"/>
              </w:rPr>
            </w:pPr>
          </w:p>
        </w:tc>
        <w:tc>
          <w:tcPr>
            <w:tcW w:w="832" w:type="pct"/>
            <w:gridSpan w:val="2"/>
            <w:tcBorders>
              <w:top w:val="single" w:sz="12" w:space="0" w:color="auto"/>
            </w:tcBorders>
            <w:vAlign w:val="center"/>
          </w:tcPr>
          <w:p w:rsidR="00D5678D" w:rsidRPr="00CD3A2D" w:rsidRDefault="00D5678D" w:rsidP="00521D16">
            <w:pPr>
              <w:pStyle w:val="TT"/>
              <w:tabs>
                <w:tab w:val="clear" w:pos="1202"/>
              </w:tabs>
              <w:jc w:val="right"/>
              <w:rPr>
                <w:rFonts w:ascii="Calibri" w:hAnsi="Calibri" w:cs="Calibri"/>
                <w:color w:val="000000"/>
                <w:sz w:val="22"/>
                <w:szCs w:val="22"/>
                <w:lang w:val="hr-HR"/>
              </w:rPr>
            </w:pPr>
          </w:p>
        </w:tc>
        <w:tc>
          <w:tcPr>
            <w:tcW w:w="1020" w:type="pct"/>
            <w:tcBorders>
              <w:top w:val="single" w:sz="12" w:space="0" w:color="auto"/>
            </w:tcBorders>
          </w:tcPr>
          <w:p w:rsidR="00D5678D" w:rsidRPr="001567C8" w:rsidRDefault="00D5678D" w:rsidP="00521D16">
            <w:pPr>
              <w:pStyle w:val="Thick"/>
              <w:tabs>
                <w:tab w:val="clear" w:pos="1202"/>
              </w:tabs>
              <w:jc w:val="right"/>
              <w:rPr>
                <w:rFonts w:asciiTheme="minorHAnsi" w:hAnsiTheme="minorHAnsi" w:cs="Arial"/>
                <w:sz w:val="22"/>
                <w:szCs w:val="22"/>
                <w:lang w:val="hr-HR"/>
              </w:rPr>
            </w:pPr>
          </w:p>
        </w:tc>
      </w:tr>
      <w:tr w:rsidR="00521D16" w:rsidRPr="001567C8" w:rsidTr="003327E4">
        <w:trPr>
          <w:trHeight w:val="60"/>
        </w:trPr>
        <w:tc>
          <w:tcPr>
            <w:tcW w:w="2583" w:type="pct"/>
          </w:tcPr>
          <w:p w:rsidR="00D5678D" w:rsidRPr="001567C8" w:rsidRDefault="00D5678D" w:rsidP="00521D16">
            <w:pPr>
              <w:pStyle w:val="Thick"/>
              <w:spacing w:line="240" w:lineRule="exact"/>
              <w:rPr>
                <w:rFonts w:asciiTheme="minorHAnsi" w:hAnsiTheme="minorHAnsi" w:cs="Arial"/>
                <w:sz w:val="22"/>
                <w:szCs w:val="22"/>
                <w:lang w:val="hr-HR"/>
              </w:rPr>
            </w:pPr>
          </w:p>
        </w:tc>
        <w:tc>
          <w:tcPr>
            <w:tcW w:w="565" w:type="pct"/>
            <w:vAlign w:val="bottom"/>
          </w:tcPr>
          <w:p w:rsidR="00D5678D" w:rsidRPr="001567C8" w:rsidRDefault="00D5678D" w:rsidP="00521D16">
            <w:pPr>
              <w:pStyle w:val="Thick"/>
              <w:spacing w:line="240" w:lineRule="exact"/>
              <w:jc w:val="center"/>
              <w:rPr>
                <w:rFonts w:asciiTheme="minorHAnsi" w:hAnsiTheme="minorHAnsi" w:cs="Arial"/>
                <w:sz w:val="22"/>
                <w:szCs w:val="22"/>
                <w:lang w:val="hr-HR"/>
              </w:rPr>
            </w:pPr>
          </w:p>
        </w:tc>
        <w:tc>
          <w:tcPr>
            <w:tcW w:w="832" w:type="pct"/>
            <w:gridSpan w:val="2"/>
            <w:vAlign w:val="center"/>
          </w:tcPr>
          <w:p w:rsidR="00D5678D" w:rsidRPr="00CD3A2D" w:rsidRDefault="00D5678D" w:rsidP="00521D16">
            <w:pPr>
              <w:pStyle w:val="TT"/>
              <w:tabs>
                <w:tab w:val="clear" w:pos="1202"/>
              </w:tabs>
              <w:jc w:val="right"/>
              <w:rPr>
                <w:rFonts w:ascii="Calibri" w:hAnsi="Calibri" w:cs="Calibri"/>
                <w:color w:val="000000"/>
                <w:sz w:val="22"/>
                <w:szCs w:val="22"/>
                <w:lang w:val="hr-HR"/>
              </w:rPr>
            </w:pPr>
          </w:p>
        </w:tc>
        <w:tc>
          <w:tcPr>
            <w:tcW w:w="1020" w:type="pct"/>
          </w:tcPr>
          <w:p w:rsidR="00D5678D" w:rsidRPr="001567C8" w:rsidRDefault="00D5678D" w:rsidP="00521D16">
            <w:pPr>
              <w:pStyle w:val="Thick"/>
              <w:tabs>
                <w:tab w:val="clear" w:pos="1202"/>
              </w:tabs>
              <w:spacing w:line="240" w:lineRule="exact"/>
              <w:jc w:val="right"/>
              <w:rPr>
                <w:rFonts w:asciiTheme="minorHAnsi" w:hAnsiTheme="minorHAnsi" w:cs="Arial"/>
                <w:sz w:val="22"/>
                <w:szCs w:val="22"/>
                <w:lang w:val="hr-HR"/>
              </w:rPr>
            </w:pPr>
          </w:p>
        </w:tc>
      </w:tr>
      <w:tr w:rsidR="00521D16" w:rsidRPr="001567C8" w:rsidTr="003327E4">
        <w:trPr>
          <w:trHeight w:val="60"/>
        </w:trPr>
        <w:tc>
          <w:tcPr>
            <w:tcW w:w="2583" w:type="pct"/>
            <w:vAlign w:val="bottom"/>
          </w:tcPr>
          <w:p w:rsidR="00D5678D" w:rsidRPr="001567C8" w:rsidRDefault="00D5678D" w:rsidP="00521D16">
            <w:pPr>
              <w:pStyle w:val="Thick"/>
              <w:spacing w:line="301" w:lineRule="exact"/>
              <w:rPr>
                <w:rFonts w:asciiTheme="minorHAnsi" w:hAnsiTheme="minorHAnsi" w:cs="Arial"/>
                <w:sz w:val="22"/>
                <w:szCs w:val="22"/>
                <w:u w:val="none"/>
                <w:lang w:val="hr-HR"/>
              </w:rPr>
            </w:pPr>
            <w:r w:rsidRPr="001567C8">
              <w:rPr>
                <w:rFonts w:asciiTheme="minorHAnsi" w:hAnsiTheme="minorHAnsi" w:cs="Arial"/>
                <w:sz w:val="22"/>
                <w:szCs w:val="22"/>
                <w:u w:val="none"/>
                <w:lang w:val="hr-HR"/>
              </w:rPr>
              <w:t>Dobit za raspodjelu:</w:t>
            </w:r>
          </w:p>
        </w:tc>
        <w:tc>
          <w:tcPr>
            <w:tcW w:w="565" w:type="pct"/>
            <w:vAlign w:val="bottom"/>
          </w:tcPr>
          <w:p w:rsidR="00D5678D" w:rsidRPr="001567C8" w:rsidRDefault="00D5678D" w:rsidP="00521D16">
            <w:pPr>
              <w:pStyle w:val="Thick"/>
              <w:spacing w:line="301" w:lineRule="exact"/>
              <w:jc w:val="center"/>
              <w:rPr>
                <w:rFonts w:asciiTheme="minorHAnsi" w:hAnsiTheme="minorHAnsi" w:cs="Arial"/>
                <w:sz w:val="22"/>
                <w:szCs w:val="22"/>
                <w:lang w:val="hr-HR"/>
              </w:rPr>
            </w:pPr>
          </w:p>
        </w:tc>
        <w:tc>
          <w:tcPr>
            <w:tcW w:w="832" w:type="pct"/>
            <w:gridSpan w:val="2"/>
            <w:vAlign w:val="center"/>
          </w:tcPr>
          <w:p w:rsidR="00D5678D" w:rsidRPr="00CD3A2D" w:rsidRDefault="00D5678D" w:rsidP="00521D16">
            <w:pPr>
              <w:pStyle w:val="TT"/>
              <w:tabs>
                <w:tab w:val="clear" w:pos="1202"/>
              </w:tabs>
              <w:jc w:val="right"/>
              <w:rPr>
                <w:rFonts w:ascii="Calibri" w:hAnsi="Calibri" w:cs="Calibri"/>
                <w:color w:val="000000"/>
                <w:sz w:val="22"/>
                <w:szCs w:val="22"/>
                <w:lang w:val="hr-HR"/>
              </w:rPr>
            </w:pPr>
          </w:p>
        </w:tc>
        <w:tc>
          <w:tcPr>
            <w:tcW w:w="1020" w:type="pct"/>
          </w:tcPr>
          <w:p w:rsidR="00D5678D" w:rsidRPr="001567C8" w:rsidRDefault="00D5678D" w:rsidP="00521D16">
            <w:pPr>
              <w:pStyle w:val="Thick"/>
              <w:tabs>
                <w:tab w:val="clear" w:pos="1202"/>
              </w:tabs>
              <w:spacing w:line="301" w:lineRule="exact"/>
              <w:jc w:val="right"/>
              <w:rPr>
                <w:rFonts w:asciiTheme="minorHAnsi" w:hAnsiTheme="minorHAnsi" w:cs="Arial"/>
                <w:sz w:val="22"/>
                <w:szCs w:val="22"/>
                <w:lang w:val="hr-HR"/>
              </w:rPr>
            </w:pPr>
          </w:p>
        </w:tc>
      </w:tr>
      <w:tr w:rsidR="00521D16" w:rsidRPr="001567C8" w:rsidTr="003327E4">
        <w:trPr>
          <w:trHeight w:val="60"/>
        </w:trPr>
        <w:tc>
          <w:tcPr>
            <w:tcW w:w="2583" w:type="pct"/>
            <w:vAlign w:val="bottom"/>
          </w:tcPr>
          <w:p w:rsidR="00D5678D" w:rsidRPr="001567C8" w:rsidRDefault="00D5678D" w:rsidP="00521D16">
            <w:pPr>
              <w:pStyle w:val="Thick"/>
              <w:spacing w:line="301" w:lineRule="exact"/>
              <w:rPr>
                <w:rFonts w:asciiTheme="minorHAnsi" w:hAnsiTheme="minorHAnsi" w:cs="Arial"/>
                <w:sz w:val="22"/>
                <w:szCs w:val="22"/>
                <w:u w:val="none"/>
                <w:lang w:val="hr-HR"/>
              </w:rPr>
            </w:pPr>
            <w:r w:rsidRPr="001567C8">
              <w:rPr>
                <w:rFonts w:asciiTheme="minorHAnsi" w:hAnsiTheme="minorHAnsi" w:cs="Arial"/>
                <w:sz w:val="22"/>
                <w:szCs w:val="22"/>
                <w:u w:val="none"/>
                <w:lang w:val="hr-HR"/>
              </w:rPr>
              <w:t>Vlasniku društva</w:t>
            </w:r>
          </w:p>
        </w:tc>
        <w:tc>
          <w:tcPr>
            <w:tcW w:w="565" w:type="pct"/>
            <w:vAlign w:val="bottom"/>
          </w:tcPr>
          <w:p w:rsidR="00D5678D" w:rsidRPr="001567C8" w:rsidRDefault="00D5678D" w:rsidP="00521D16">
            <w:pPr>
              <w:pStyle w:val="Thick"/>
              <w:spacing w:line="301" w:lineRule="exact"/>
              <w:jc w:val="center"/>
              <w:rPr>
                <w:rFonts w:asciiTheme="minorHAnsi" w:hAnsiTheme="minorHAnsi" w:cs="Arial"/>
                <w:sz w:val="22"/>
                <w:szCs w:val="22"/>
                <w:lang w:val="hr-HR"/>
              </w:rPr>
            </w:pPr>
          </w:p>
        </w:tc>
        <w:tc>
          <w:tcPr>
            <w:tcW w:w="832" w:type="pct"/>
            <w:gridSpan w:val="2"/>
            <w:tcBorders>
              <w:bottom w:val="single" w:sz="12" w:space="0" w:color="auto"/>
            </w:tcBorders>
            <w:vAlign w:val="bottom"/>
          </w:tcPr>
          <w:p w:rsidR="00D5678D" w:rsidRPr="00CD3A2D" w:rsidRDefault="008A118B" w:rsidP="00521D16">
            <w:pPr>
              <w:pStyle w:val="TT"/>
              <w:tabs>
                <w:tab w:val="clear" w:pos="1202"/>
              </w:tabs>
              <w:jc w:val="right"/>
              <w:rPr>
                <w:rFonts w:ascii="Calibri" w:hAnsi="Calibri" w:cs="Calibri"/>
                <w:b/>
                <w:color w:val="000000"/>
                <w:sz w:val="22"/>
                <w:szCs w:val="22"/>
                <w:lang w:val="hr-HR"/>
              </w:rPr>
            </w:pPr>
            <w:r w:rsidRPr="00CD3A2D">
              <w:rPr>
                <w:rFonts w:ascii="Calibri" w:hAnsi="Calibri" w:cs="Calibri"/>
                <w:b/>
                <w:color w:val="000000"/>
                <w:sz w:val="22"/>
                <w:szCs w:val="22"/>
                <w:lang w:val="hr-HR"/>
              </w:rPr>
              <w:t>204.737</w:t>
            </w:r>
          </w:p>
        </w:tc>
        <w:tc>
          <w:tcPr>
            <w:tcW w:w="1020" w:type="pct"/>
            <w:tcBorders>
              <w:bottom w:val="single" w:sz="12" w:space="0" w:color="auto"/>
            </w:tcBorders>
            <w:vAlign w:val="bottom"/>
          </w:tcPr>
          <w:p w:rsidR="00D5678D" w:rsidRPr="00CD3A2D" w:rsidRDefault="00D5678D" w:rsidP="00521D16">
            <w:pPr>
              <w:pStyle w:val="Thick"/>
              <w:tabs>
                <w:tab w:val="clear" w:pos="1202"/>
              </w:tabs>
              <w:spacing w:line="301" w:lineRule="exact"/>
              <w:jc w:val="right"/>
              <w:rPr>
                <w:rFonts w:ascii="Calibri" w:hAnsi="Calibri" w:cs="Calibri"/>
                <w:color w:val="000000"/>
                <w:position w:val="0"/>
                <w:sz w:val="22"/>
                <w:szCs w:val="22"/>
                <w:u w:val="none"/>
                <w:lang w:val="hr-HR"/>
              </w:rPr>
            </w:pPr>
            <w:r w:rsidRPr="00CD3A2D">
              <w:rPr>
                <w:rFonts w:ascii="Calibri" w:hAnsi="Calibri" w:cs="Calibri"/>
                <w:color w:val="000000"/>
                <w:position w:val="0"/>
                <w:sz w:val="22"/>
                <w:szCs w:val="22"/>
                <w:u w:val="none"/>
                <w:lang w:val="hr-HR"/>
              </w:rPr>
              <w:t>162.201</w:t>
            </w:r>
          </w:p>
        </w:tc>
      </w:tr>
      <w:tr w:rsidR="00521D16" w:rsidRPr="001567C8" w:rsidTr="003327E4">
        <w:trPr>
          <w:trHeight w:val="118"/>
        </w:trPr>
        <w:tc>
          <w:tcPr>
            <w:tcW w:w="2583" w:type="pct"/>
          </w:tcPr>
          <w:p w:rsidR="00D5678D" w:rsidRPr="001567C8" w:rsidRDefault="00D5678D" w:rsidP="00521D16">
            <w:pPr>
              <w:pStyle w:val="Thick"/>
              <w:spacing w:line="140" w:lineRule="exact"/>
              <w:rPr>
                <w:rFonts w:asciiTheme="minorHAnsi" w:hAnsiTheme="minorHAnsi" w:cs="Arial"/>
                <w:sz w:val="22"/>
                <w:szCs w:val="22"/>
                <w:u w:val="none"/>
                <w:lang w:val="hr-HR"/>
              </w:rPr>
            </w:pPr>
          </w:p>
        </w:tc>
        <w:tc>
          <w:tcPr>
            <w:tcW w:w="565" w:type="pct"/>
            <w:vAlign w:val="bottom"/>
          </w:tcPr>
          <w:p w:rsidR="00D5678D" w:rsidRPr="001567C8" w:rsidRDefault="00D5678D" w:rsidP="00521D16">
            <w:pPr>
              <w:pStyle w:val="Thick"/>
              <w:spacing w:line="140" w:lineRule="exact"/>
              <w:jc w:val="center"/>
              <w:rPr>
                <w:rFonts w:asciiTheme="minorHAnsi" w:hAnsiTheme="minorHAnsi" w:cs="Arial"/>
                <w:sz w:val="22"/>
                <w:szCs w:val="22"/>
                <w:lang w:val="hr-HR"/>
              </w:rPr>
            </w:pPr>
          </w:p>
        </w:tc>
        <w:tc>
          <w:tcPr>
            <w:tcW w:w="790" w:type="pct"/>
            <w:tcBorders>
              <w:top w:val="single" w:sz="12" w:space="0" w:color="auto"/>
            </w:tcBorders>
          </w:tcPr>
          <w:p w:rsidR="00D5678D" w:rsidRPr="001567C8" w:rsidRDefault="00D5678D" w:rsidP="00521D16">
            <w:pPr>
              <w:pStyle w:val="Thick"/>
              <w:tabs>
                <w:tab w:val="clear" w:pos="1202"/>
              </w:tabs>
              <w:jc w:val="right"/>
              <w:rPr>
                <w:rFonts w:asciiTheme="minorHAnsi" w:hAnsiTheme="minorHAnsi" w:cs="Arial"/>
                <w:sz w:val="22"/>
                <w:szCs w:val="22"/>
                <w:lang w:val="hr-HR"/>
              </w:rPr>
            </w:pPr>
          </w:p>
        </w:tc>
        <w:tc>
          <w:tcPr>
            <w:tcW w:w="1062" w:type="pct"/>
            <w:gridSpan w:val="2"/>
            <w:tcBorders>
              <w:top w:val="single" w:sz="12" w:space="0" w:color="auto"/>
            </w:tcBorders>
            <w:vAlign w:val="bottom"/>
          </w:tcPr>
          <w:p w:rsidR="00D5678D" w:rsidRPr="001567C8" w:rsidRDefault="00D5678D" w:rsidP="00521D16">
            <w:pPr>
              <w:pStyle w:val="Thick"/>
              <w:tabs>
                <w:tab w:val="clear" w:pos="1202"/>
              </w:tabs>
              <w:jc w:val="right"/>
              <w:rPr>
                <w:rFonts w:asciiTheme="minorHAnsi" w:hAnsiTheme="minorHAnsi" w:cs="Arial"/>
                <w:sz w:val="22"/>
                <w:szCs w:val="22"/>
                <w:lang w:val="hr-HR"/>
              </w:rPr>
            </w:pPr>
          </w:p>
        </w:tc>
      </w:tr>
    </w:tbl>
    <w:p w:rsidR="00E23FDF" w:rsidRPr="001567C8" w:rsidRDefault="00E23FDF" w:rsidP="00E23FDF">
      <w:pPr>
        <w:pStyle w:val="T1"/>
        <w:spacing w:before="0" w:after="0" w:line="240" w:lineRule="auto"/>
        <w:rPr>
          <w:rFonts w:asciiTheme="minorHAnsi" w:hAnsiTheme="minorHAnsi" w:cs="Arial"/>
          <w:b w:val="0"/>
          <w:bCs w:val="0"/>
          <w:sz w:val="22"/>
          <w:szCs w:val="22"/>
          <w:lang w:val="hr-HR"/>
        </w:rPr>
      </w:pPr>
    </w:p>
    <w:p w:rsidR="009D11FA" w:rsidRPr="001567C8" w:rsidRDefault="009D11FA" w:rsidP="00E23FDF">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E3491D" w:rsidRPr="001567C8" w:rsidRDefault="00E3491D"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5244A4" w:rsidRPr="001567C8" w:rsidRDefault="005244A4" w:rsidP="00AA2521">
      <w:pPr>
        <w:pStyle w:val="T1"/>
        <w:spacing w:before="0" w:after="0" w:line="240" w:lineRule="auto"/>
        <w:rPr>
          <w:rFonts w:asciiTheme="minorHAnsi" w:hAnsiTheme="minorHAnsi" w:cs="Arial"/>
          <w:b w:val="0"/>
          <w:bCs w:val="0"/>
          <w:sz w:val="22"/>
          <w:szCs w:val="22"/>
          <w:lang w:val="hr-HR"/>
        </w:rPr>
      </w:pPr>
    </w:p>
    <w:p w:rsidR="00FB1285" w:rsidRPr="001567C8" w:rsidRDefault="006D0890" w:rsidP="00AA2521">
      <w:pPr>
        <w:pStyle w:val="T1"/>
        <w:spacing w:before="0" w:after="0" w:line="240" w:lineRule="auto"/>
        <w:rPr>
          <w:rFonts w:asciiTheme="minorHAnsi" w:hAnsiTheme="minorHAnsi" w:cs="Arial"/>
          <w:b w:val="0"/>
          <w:bCs w:val="0"/>
          <w:sz w:val="22"/>
          <w:szCs w:val="22"/>
          <w:lang w:val="hr-HR"/>
        </w:rPr>
        <w:sectPr w:rsidR="00FB1285" w:rsidRPr="001567C8" w:rsidSect="000D6913">
          <w:headerReference w:type="default" r:id="rId57"/>
          <w:footerReference w:type="default" r:id="rId58"/>
          <w:pgSz w:w="11907" w:h="16840" w:code="9"/>
          <w:pgMar w:top="1418" w:right="992" w:bottom="1134" w:left="1418" w:header="851" w:footer="851" w:gutter="0"/>
          <w:cols w:space="720"/>
          <w:noEndnote/>
        </w:sectPr>
      </w:pPr>
      <w:r w:rsidRPr="001567C8">
        <w:rPr>
          <w:rFonts w:asciiTheme="minorHAnsi" w:hAnsiTheme="minorHAnsi" w:cs="Arial"/>
          <w:b w:val="0"/>
          <w:bCs w:val="0"/>
          <w:sz w:val="22"/>
          <w:szCs w:val="22"/>
          <w:lang w:val="hr-HR"/>
        </w:rPr>
        <w:t xml:space="preserve">Priložene računovodstvene politike i bilješke sastavni su dio </w:t>
      </w:r>
      <w:r w:rsidR="004F2569" w:rsidRPr="001567C8">
        <w:rPr>
          <w:rFonts w:asciiTheme="minorHAnsi" w:hAnsiTheme="minorHAnsi" w:cs="Arial"/>
          <w:b w:val="0"/>
          <w:bCs w:val="0"/>
          <w:sz w:val="22"/>
          <w:szCs w:val="22"/>
          <w:lang w:val="hr-HR"/>
        </w:rPr>
        <w:t>ov</w:t>
      </w:r>
      <w:r w:rsidR="000D0719" w:rsidRPr="001567C8">
        <w:rPr>
          <w:rFonts w:asciiTheme="minorHAnsi" w:hAnsiTheme="minorHAnsi" w:cs="Arial"/>
          <w:b w:val="0"/>
          <w:bCs w:val="0"/>
          <w:sz w:val="22"/>
          <w:szCs w:val="22"/>
          <w:lang w:val="hr-HR"/>
        </w:rPr>
        <w:t>ih financijskih izvještaja.</w:t>
      </w:r>
    </w:p>
    <w:p w:rsidR="00FB1285" w:rsidRPr="001567C8" w:rsidRDefault="00FB1285">
      <w:pPr>
        <w:pStyle w:val="T1"/>
        <w:spacing w:before="0" w:after="0"/>
        <w:rPr>
          <w:rFonts w:asciiTheme="minorHAnsi" w:hAnsiTheme="minorHAnsi" w:cs="Arial"/>
          <w:b w:val="0"/>
          <w:bCs w:val="0"/>
          <w:sz w:val="16"/>
          <w:szCs w:val="16"/>
          <w:lang w:val="hr-HR"/>
        </w:rPr>
      </w:pPr>
    </w:p>
    <w:p w:rsidR="009A07E7" w:rsidRPr="001567C8" w:rsidRDefault="009A07E7" w:rsidP="003C6BA3">
      <w:pPr>
        <w:pStyle w:val="T1"/>
        <w:spacing w:before="0" w:after="0"/>
        <w:rPr>
          <w:rFonts w:asciiTheme="minorHAnsi" w:hAnsiTheme="minorHAnsi" w:cs="Arial"/>
          <w:b w:val="0"/>
          <w:bCs w:val="0"/>
          <w:sz w:val="16"/>
          <w:szCs w:val="16"/>
          <w:lang w:val="hr-HR"/>
        </w:rPr>
      </w:pPr>
    </w:p>
    <w:tbl>
      <w:tblPr>
        <w:tblW w:w="5178" w:type="pct"/>
        <w:tblInd w:w="-284" w:type="dxa"/>
        <w:tblLayout w:type="fixed"/>
        <w:tblCellMar>
          <w:left w:w="119" w:type="dxa"/>
          <w:right w:w="119" w:type="dxa"/>
        </w:tblCellMar>
        <w:tblLook w:val="0000" w:firstRow="0" w:lastRow="0" w:firstColumn="0" w:lastColumn="0" w:noHBand="0" w:noVBand="0"/>
      </w:tblPr>
      <w:tblGrid>
        <w:gridCol w:w="6753"/>
        <w:gridCol w:w="1469"/>
        <w:gridCol w:w="1613"/>
      </w:tblGrid>
      <w:tr w:rsidR="00D5678D" w:rsidRPr="001567C8" w:rsidTr="003C6BA3">
        <w:trPr>
          <w:trHeight w:val="380"/>
        </w:trPr>
        <w:tc>
          <w:tcPr>
            <w:tcW w:w="3433" w:type="pct"/>
            <w:vAlign w:val="center"/>
          </w:tcPr>
          <w:p w:rsidR="00D5678D" w:rsidRPr="001567C8" w:rsidRDefault="00D5678D" w:rsidP="00D5678D">
            <w:pPr>
              <w:pStyle w:val="TT"/>
              <w:jc w:val="center"/>
              <w:rPr>
                <w:rFonts w:asciiTheme="minorHAnsi" w:hAnsiTheme="minorHAnsi" w:cs="Arial"/>
                <w:b/>
                <w:bCs/>
                <w:szCs w:val="19"/>
                <w:lang w:val="hr-HR"/>
              </w:rPr>
            </w:pPr>
          </w:p>
        </w:tc>
        <w:tc>
          <w:tcPr>
            <w:tcW w:w="747" w:type="pct"/>
            <w:vAlign w:val="bottom"/>
          </w:tcPr>
          <w:p w:rsidR="00D5678D" w:rsidRPr="001567C8" w:rsidRDefault="00D5678D" w:rsidP="00D5678D">
            <w:pPr>
              <w:pStyle w:val="TT"/>
              <w:tabs>
                <w:tab w:val="clear" w:pos="1202"/>
              </w:tabs>
              <w:jc w:val="right"/>
              <w:rPr>
                <w:rFonts w:asciiTheme="minorHAnsi" w:hAnsiTheme="minorHAnsi" w:cs="Arial"/>
                <w:b/>
                <w:bCs/>
                <w:szCs w:val="19"/>
                <w:lang w:val="hr-HR"/>
              </w:rPr>
            </w:pPr>
            <w:r w:rsidRPr="001567C8">
              <w:rPr>
                <w:rFonts w:asciiTheme="minorHAnsi" w:hAnsiTheme="minorHAnsi" w:cs="Arial"/>
                <w:b/>
                <w:bCs/>
                <w:szCs w:val="19"/>
                <w:lang w:val="hr-HR"/>
              </w:rPr>
              <w:t>2018.</w:t>
            </w:r>
          </w:p>
        </w:tc>
        <w:tc>
          <w:tcPr>
            <w:tcW w:w="820" w:type="pct"/>
            <w:vAlign w:val="bottom"/>
          </w:tcPr>
          <w:p w:rsidR="00D5678D" w:rsidRPr="001567C8" w:rsidRDefault="00D5678D" w:rsidP="00D5678D">
            <w:pPr>
              <w:pStyle w:val="TT"/>
              <w:tabs>
                <w:tab w:val="clear" w:pos="1202"/>
              </w:tabs>
              <w:jc w:val="right"/>
              <w:rPr>
                <w:rFonts w:asciiTheme="minorHAnsi" w:hAnsiTheme="minorHAnsi" w:cs="Arial"/>
                <w:b/>
                <w:bCs/>
                <w:szCs w:val="19"/>
                <w:lang w:val="hr-HR"/>
              </w:rPr>
            </w:pPr>
            <w:r w:rsidRPr="001567C8">
              <w:rPr>
                <w:rFonts w:asciiTheme="minorHAnsi" w:hAnsiTheme="minorHAnsi" w:cs="Arial"/>
                <w:b/>
                <w:bCs/>
                <w:szCs w:val="19"/>
                <w:lang w:val="hr-HR"/>
              </w:rPr>
              <w:t>2017.</w:t>
            </w:r>
          </w:p>
        </w:tc>
      </w:tr>
      <w:tr w:rsidR="00D5678D" w:rsidRPr="001567C8" w:rsidTr="003C6BA3">
        <w:trPr>
          <w:trHeight w:hRule="exact" w:val="330"/>
        </w:trPr>
        <w:tc>
          <w:tcPr>
            <w:tcW w:w="3433" w:type="pct"/>
            <w:vAlign w:val="bottom"/>
          </w:tcPr>
          <w:p w:rsidR="00D5678D" w:rsidRPr="001567C8" w:rsidRDefault="00D5678D" w:rsidP="00D5678D">
            <w:pPr>
              <w:pStyle w:val="TT"/>
              <w:jc w:val="center"/>
              <w:rPr>
                <w:rFonts w:asciiTheme="minorHAnsi" w:hAnsiTheme="minorHAnsi" w:cs="Arial"/>
                <w:b/>
                <w:bCs/>
                <w:szCs w:val="19"/>
                <w:lang w:val="hr-HR"/>
              </w:rPr>
            </w:pPr>
          </w:p>
        </w:tc>
        <w:tc>
          <w:tcPr>
            <w:tcW w:w="747" w:type="pct"/>
            <w:vAlign w:val="bottom"/>
          </w:tcPr>
          <w:p w:rsidR="00D5678D" w:rsidRPr="001567C8" w:rsidRDefault="00D5678D" w:rsidP="00D5678D">
            <w:pPr>
              <w:pStyle w:val="TT"/>
              <w:tabs>
                <w:tab w:val="clear" w:pos="1202"/>
              </w:tabs>
              <w:jc w:val="right"/>
              <w:rPr>
                <w:rFonts w:asciiTheme="minorHAnsi" w:hAnsiTheme="minorHAnsi" w:cs="Arial"/>
                <w:b/>
                <w:bCs/>
                <w:szCs w:val="19"/>
                <w:lang w:val="hr-HR"/>
              </w:rPr>
            </w:pPr>
            <w:r w:rsidRPr="001567C8">
              <w:rPr>
                <w:rFonts w:asciiTheme="minorHAnsi" w:hAnsiTheme="minorHAnsi" w:cs="Arial"/>
                <w:b/>
                <w:bCs/>
                <w:szCs w:val="19"/>
                <w:lang w:val="hr-HR"/>
              </w:rPr>
              <w:t>000 kuna</w:t>
            </w:r>
          </w:p>
        </w:tc>
        <w:tc>
          <w:tcPr>
            <w:tcW w:w="820" w:type="pct"/>
            <w:vAlign w:val="bottom"/>
          </w:tcPr>
          <w:p w:rsidR="00D5678D" w:rsidRPr="001567C8" w:rsidRDefault="00D5678D" w:rsidP="00D5678D">
            <w:pPr>
              <w:pStyle w:val="TT"/>
              <w:tabs>
                <w:tab w:val="clear" w:pos="1202"/>
              </w:tabs>
              <w:jc w:val="right"/>
              <w:rPr>
                <w:rFonts w:asciiTheme="minorHAnsi" w:hAnsiTheme="minorHAnsi" w:cs="Arial"/>
                <w:b/>
                <w:bCs/>
                <w:szCs w:val="19"/>
                <w:lang w:val="hr-HR"/>
              </w:rPr>
            </w:pPr>
            <w:r w:rsidRPr="001567C8">
              <w:rPr>
                <w:rFonts w:asciiTheme="minorHAnsi" w:hAnsiTheme="minorHAnsi" w:cs="Arial"/>
                <w:b/>
                <w:bCs/>
                <w:szCs w:val="19"/>
                <w:lang w:val="hr-HR"/>
              </w:rPr>
              <w:t>000 kuna</w:t>
            </w:r>
          </w:p>
        </w:tc>
      </w:tr>
      <w:tr w:rsidR="00D5678D" w:rsidRPr="001567C8" w:rsidTr="003C6BA3">
        <w:trPr>
          <w:trHeight w:hRule="exact" w:val="170"/>
        </w:trPr>
        <w:tc>
          <w:tcPr>
            <w:tcW w:w="3433" w:type="pct"/>
            <w:vAlign w:val="center"/>
          </w:tcPr>
          <w:p w:rsidR="00D5678D" w:rsidRPr="001567C8" w:rsidRDefault="00D5678D" w:rsidP="00D5678D">
            <w:pPr>
              <w:pStyle w:val="TT"/>
              <w:jc w:val="center"/>
              <w:rPr>
                <w:rFonts w:asciiTheme="minorHAnsi" w:hAnsiTheme="minorHAnsi" w:cs="Arial"/>
                <w:b/>
                <w:bCs/>
                <w:szCs w:val="19"/>
                <w:lang w:val="hr-HR"/>
              </w:rPr>
            </w:pPr>
          </w:p>
        </w:tc>
        <w:tc>
          <w:tcPr>
            <w:tcW w:w="747" w:type="pct"/>
          </w:tcPr>
          <w:p w:rsidR="00D5678D" w:rsidRPr="001567C8" w:rsidRDefault="00D5678D" w:rsidP="00D5678D">
            <w:pPr>
              <w:pStyle w:val="TT"/>
              <w:tabs>
                <w:tab w:val="clear" w:pos="1202"/>
              </w:tabs>
              <w:jc w:val="right"/>
              <w:rPr>
                <w:rFonts w:asciiTheme="minorHAnsi" w:hAnsiTheme="minorHAnsi" w:cs="Arial"/>
                <w:b/>
                <w:bCs/>
                <w:szCs w:val="19"/>
                <w:lang w:val="hr-HR"/>
              </w:rPr>
            </w:pPr>
          </w:p>
        </w:tc>
        <w:tc>
          <w:tcPr>
            <w:tcW w:w="820" w:type="pct"/>
          </w:tcPr>
          <w:p w:rsidR="00D5678D" w:rsidRPr="001567C8" w:rsidRDefault="00D5678D" w:rsidP="00D5678D">
            <w:pPr>
              <w:pStyle w:val="TT"/>
              <w:tabs>
                <w:tab w:val="clear" w:pos="1202"/>
              </w:tabs>
              <w:jc w:val="right"/>
              <w:rPr>
                <w:rFonts w:asciiTheme="minorHAnsi" w:hAnsiTheme="minorHAnsi" w:cs="Arial"/>
                <w:b/>
                <w:bCs/>
                <w:szCs w:val="19"/>
                <w:lang w:val="hr-HR"/>
              </w:rPr>
            </w:pPr>
          </w:p>
        </w:tc>
      </w:tr>
      <w:tr w:rsidR="00D5678D" w:rsidRPr="001567C8" w:rsidTr="003C6BA3">
        <w:trPr>
          <w:trHeight w:val="328"/>
        </w:trPr>
        <w:tc>
          <w:tcPr>
            <w:tcW w:w="3433" w:type="pct"/>
            <w:vAlign w:val="bottom"/>
          </w:tcPr>
          <w:p w:rsidR="00D5678D" w:rsidRPr="001567C8" w:rsidRDefault="00D5678D" w:rsidP="00D5678D">
            <w:pPr>
              <w:pStyle w:val="Tot"/>
              <w:rPr>
                <w:rFonts w:asciiTheme="minorHAnsi" w:hAnsiTheme="minorHAnsi" w:cs="Arial"/>
                <w:b/>
                <w:bCs/>
                <w:szCs w:val="19"/>
                <w:lang w:val="hr-HR"/>
              </w:rPr>
            </w:pPr>
            <w:r w:rsidRPr="001567C8">
              <w:rPr>
                <w:rFonts w:asciiTheme="minorHAnsi" w:hAnsiTheme="minorHAnsi" w:cs="Arial"/>
                <w:b/>
                <w:bCs/>
                <w:szCs w:val="19"/>
                <w:lang w:val="hr-HR"/>
              </w:rPr>
              <w:t>Dobit tekuće godine</w:t>
            </w:r>
          </w:p>
        </w:tc>
        <w:tc>
          <w:tcPr>
            <w:tcW w:w="747" w:type="pct"/>
            <w:tcBorders>
              <w:bottom w:val="single" w:sz="12" w:space="0" w:color="auto"/>
            </w:tcBorders>
            <w:vAlign w:val="bottom"/>
          </w:tcPr>
          <w:p w:rsidR="00D5678D" w:rsidRPr="001567C8" w:rsidRDefault="003A3692"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204.737</w:t>
            </w:r>
          </w:p>
        </w:tc>
        <w:tc>
          <w:tcPr>
            <w:tcW w:w="820" w:type="pct"/>
            <w:tcBorders>
              <w:bottom w:val="single" w:sz="12" w:space="0" w:color="auto"/>
            </w:tcBorders>
            <w:vAlign w:val="bottom"/>
          </w:tcPr>
          <w:p w:rsidR="00D5678D" w:rsidRPr="001567C8" w:rsidRDefault="00D5678D"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162.201</w:t>
            </w:r>
          </w:p>
        </w:tc>
      </w:tr>
      <w:tr w:rsidR="00D5678D" w:rsidRPr="001567C8" w:rsidTr="003C6BA3">
        <w:trPr>
          <w:trHeight w:hRule="exact" w:val="112"/>
        </w:trPr>
        <w:tc>
          <w:tcPr>
            <w:tcW w:w="3433" w:type="pct"/>
            <w:vAlign w:val="bottom"/>
          </w:tcPr>
          <w:p w:rsidR="00D5678D" w:rsidRPr="001567C8" w:rsidRDefault="00D5678D" w:rsidP="00D5678D">
            <w:pPr>
              <w:pStyle w:val="Tot"/>
              <w:spacing w:line="140" w:lineRule="exact"/>
              <w:rPr>
                <w:rFonts w:asciiTheme="minorHAnsi" w:hAnsiTheme="minorHAnsi" w:cs="Arial"/>
                <w:b/>
                <w:bCs/>
                <w:szCs w:val="19"/>
                <w:lang w:val="hr-HR"/>
              </w:rPr>
            </w:pPr>
          </w:p>
        </w:tc>
        <w:tc>
          <w:tcPr>
            <w:tcW w:w="747" w:type="pct"/>
            <w:tcBorders>
              <w:top w:val="single" w:sz="12" w:space="0" w:color="auto"/>
            </w:tcBorders>
          </w:tcPr>
          <w:p w:rsidR="00D5678D" w:rsidRPr="001567C8" w:rsidRDefault="00D5678D" w:rsidP="00D5678D">
            <w:pPr>
              <w:pStyle w:val="Thick"/>
              <w:tabs>
                <w:tab w:val="clear" w:pos="1202"/>
              </w:tabs>
              <w:jc w:val="right"/>
              <w:rPr>
                <w:rFonts w:asciiTheme="minorHAnsi" w:hAnsiTheme="minorHAnsi" w:cs="Arial"/>
                <w:sz w:val="19"/>
                <w:szCs w:val="19"/>
                <w:lang w:val="hr-HR"/>
              </w:rPr>
            </w:pPr>
          </w:p>
        </w:tc>
        <w:tc>
          <w:tcPr>
            <w:tcW w:w="820" w:type="pct"/>
            <w:tcBorders>
              <w:top w:val="single" w:sz="12" w:space="0" w:color="auto"/>
            </w:tcBorders>
            <w:vAlign w:val="bottom"/>
          </w:tcPr>
          <w:p w:rsidR="00D5678D" w:rsidRPr="001567C8" w:rsidRDefault="00D5678D" w:rsidP="00D5678D">
            <w:pPr>
              <w:pStyle w:val="Thick"/>
              <w:tabs>
                <w:tab w:val="clear" w:pos="1202"/>
              </w:tabs>
              <w:jc w:val="right"/>
              <w:rPr>
                <w:rFonts w:asciiTheme="minorHAnsi" w:hAnsiTheme="minorHAnsi" w:cs="Arial"/>
                <w:sz w:val="19"/>
                <w:szCs w:val="19"/>
                <w:lang w:val="hr-HR"/>
              </w:rPr>
            </w:pPr>
          </w:p>
        </w:tc>
      </w:tr>
      <w:tr w:rsidR="00D5678D" w:rsidRPr="001567C8" w:rsidTr="003C6BA3">
        <w:trPr>
          <w:trHeight w:val="317"/>
        </w:trPr>
        <w:tc>
          <w:tcPr>
            <w:tcW w:w="3433" w:type="pct"/>
            <w:vAlign w:val="bottom"/>
          </w:tcPr>
          <w:p w:rsidR="00D5678D" w:rsidRPr="001567C8" w:rsidRDefault="00D5678D" w:rsidP="00D5678D">
            <w:pPr>
              <w:tabs>
                <w:tab w:val="right" w:pos="1202"/>
              </w:tabs>
              <w:spacing w:line="280" w:lineRule="exact"/>
              <w:outlineLvl w:val="0"/>
              <w:rPr>
                <w:rFonts w:asciiTheme="minorHAnsi" w:hAnsiTheme="minorHAnsi" w:cs="Arial"/>
                <w:b/>
                <w:bCs/>
                <w:sz w:val="19"/>
                <w:szCs w:val="19"/>
                <w:lang w:val="hr-HR"/>
              </w:rPr>
            </w:pPr>
            <w:r w:rsidRPr="001567C8">
              <w:rPr>
                <w:rFonts w:asciiTheme="minorHAnsi" w:hAnsiTheme="minorHAnsi" w:cs="Arial"/>
                <w:b/>
                <w:bCs/>
                <w:sz w:val="19"/>
                <w:szCs w:val="19"/>
                <w:lang w:val="hr-HR"/>
              </w:rPr>
              <w:t>Ostala sveobuhvatna dobit</w:t>
            </w:r>
          </w:p>
        </w:tc>
        <w:tc>
          <w:tcPr>
            <w:tcW w:w="747" w:type="pct"/>
          </w:tcPr>
          <w:p w:rsidR="00D5678D" w:rsidRPr="001567C8" w:rsidRDefault="00D5678D" w:rsidP="00D5678D">
            <w:pPr>
              <w:pStyle w:val="Tot"/>
              <w:jc w:val="right"/>
              <w:rPr>
                <w:rFonts w:asciiTheme="minorHAnsi" w:hAnsiTheme="minorHAnsi" w:cs="Arial"/>
                <w:b/>
                <w:bCs/>
                <w:szCs w:val="19"/>
                <w:lang w:val="hr-HR"/>
              </w:rPr>
            </w:pPr>
          </w:p>
        </w:tc>
        <w:tc>
          <w:tcPr>
            <w:tcW w:w="820" w:type="pct"/>
            <w:vAlign w:val="bottom"/>
          </w:tcPr>
          <w:p w:rsidR="00D5678D" w:rsidRPr="001567C8" w:rsidRDefault="00D5678D" w:rsidP="00D5678D">
            <w:pPr>
              <w:pStyle w:val="Tot"/>
              <w:jc w:val="right"/>
              <w:rPr>
                <w:rFonts w:asciiTheme="minorHAnsi" w:hAnsiTheme="minorHAnsi" w:cs="Arial"/>
                <w:b/>
                <w:bCs/>
                <w:szCs w:val="19"/>
                <w:lang w:val="hr-HR"/>
              </w:rPr>
            </w:pPr>
          </w:p>
        </w:tc>
      </w:tr>
      <w:tr w:rsidR="00D5678D" w:rsidRPr="001567C8" w:rsidTr="003C6BA3">
        <w:trPr>
          <w:trHeight w:val="317"/>
        </w:trPr>
        <w:tc>
          <w:tcPr>
            <w:tcW w:w="3433" w:type="pct"/>
            <w:vAlign w:val="bottom"/>
          </w:tcPr>
          <w:p w:rsidR="00D5678D" w:rsidRPr="001567C8" w:rsidRDefault="00D5678D" w:rsidP="00D5678D">
            <w:pPr>
              <w:tabs>
                <w:tab w:val="right" w:pos="1202"/>
              </w:tabs>
              <w:spacing w:line="280" w:lineRule="exact"/>
              <w:outlineLvl w:val="0"/>
              <w:rPr>
                <w:rFonts w:asciiTheme="minorHAnsi" w:hAnsiTheme="minorHAnsi" w:cs="Arial"/>
                <w:b/>
                <w:bCs/>
                <w:sz w:val="19"/>
                <w:szCs w:val="19"/>
                <w:lang w:val="hr-HR"/>
              </w:rPr>
            </w:pPr>
            <w:r w:rsidRPr="001567C8">
              <w:rPr>
                <w:rFonts w:asciiTheme="minorHAnsi" w:hAnsiTheme="minorHAnsi" w:cs="Arial"/>
                <w:b/>
                <w:bCs/>
                <w:sz w:val="19"/>
                <w:szCs w:val="19"/>
                <w:lang w:val="hr-HR"/>
              </w:rPr>
              <w:t>Stavke koje se kasnije ne prenose u dobit ili gubitak:</w:t>
            </w:r>
          </w:p>
        </w:tc>
        <w:tc>
          <w:tcPr>
            <w:tcW w:w="747" w:type="pct"/>
          </w:tcPr>
          <w:p w:rsidR="00D5678D" w:rsidRPr="001567C8" w:rsidRDefault="00D5678D" w:rsidP="00D5678D">
            <w:pPr>
              <w:pStyle w:val="Tot"/>
              <w:jc w:val="right"/>
              <w:rPr>
                <w:rFonts w:asciiTheme="minorHAnsi" w:hAnsiTheme="minorHAnsi" w:cs="Arial"/>
                <w:b/>
                <w:bCs/>
                <w:szCs w:val="19"/>
                <w:lang w:val="hr-HR"/>
              </w:rPr>
            </w:pPr>
          </w:p>
        </w:tc>
        <w:tc>
          <w:tcPr>
            <w:tcW w:w="820" w:type="pct"/>
            <w:vAlign w:val="bottom"/>
          </w:tcPr>
          <w:p w:rsidR="00D5678D" w:rsidRPr="001567C8" w:rsidRDefault="00D5678D" w:rsidP="00D5678D">
            <w:pPr>
              <w:pStyle w:val="Tot"/>
              <w:jc w:val="right"/>
              <w:rPr>
                <w:rFonts w:asciiTheme="minorHAnsi" w:hAnsiTheme="minorHAnsi" w:cs="Arial"/>
                <w:b/>
                <w:bCs/>
                <w:szCs w:val="19"/>
                <w:lang w:val="hr-HR"/>
              </w:rPr>
            </w:pPr>
          </w:p>
        </w:tc>
      </w:tr>
      <w:tr w:rsidR="003A3692" w:rsidRPr="001567C8" w:rsidTr="003C6BA3">
        <w:trPr>
          <w:trHeight w:val="317"/>
        </w:trPr>
        <w:tc>
          <w:tcPr>
            <w:tcW w:w="3433" w:type="pct"/>
            <w:vAlign w:val="bottom"/>
          </w:tcPr>
          <w:p w:rsidR="003A3692" w:rsidRPr="001567C8" w:rsidRDefault="003A3692" w:rsidP="003A3692">
            <w:pPr>
              <w:tabs>
                <w:tab w:val="right" w:pos="1202"/>
              </w:tabs>
              <w:spacing w:line="280" w:lineRule="exact"/>
              <w:outlineLvl w:val="0"/>
              <w:rPr>
                <w:rFonts w:asciiTheme="minorHAnsi" w:hAnsiTheme="minorHAnsi" w:cs="Arial"/>
                <w:b/>
                <w:bCs/>
                <w:sz w:val="19"/>
                <w:szCs w:val="19"/>
                <w:lang w:val="hr-HR"/>
              </w:rPr>
            </w:pPr>
            <w:r w:rsidRPr="001567C8">
              <w:rPr>
                <w:rFonts w:asciiTheme="minorHAnsi" w:hAnsiTheme="minorHAnsi" w:cs="Arial"/>
                <w:bCs/>
                <w:sz w:val="19"/>
                <w:szCs w:val="19"/>
                <w:lang w:val="hr-HR"/>
              </w:rPr>
              <w:t>Nerealizirani aktuarski gubitak</w:t>
            </w:r>
          </w:p>
        </w:tc>
        <w:tc>
          <w:tcPr>
            <w:tcW w:w="747" w:type="pct"/>
            <w:tcBorders>
              <w:top w:val="nil"/>
              <w:left w:val="nil"/>
              <w:bottom w:val="nil"/>
              <w:right w:val="nil"/>
            </w:tcBorders>
            <w:shd w:val="clear" w:color="auto" w:fill="auto"/>
            <w:vAlign w:val="center"/>
          </w:tcPr>
          <w:p w:rsidR="003A3692" w:rsidRPr="001567C8" w:rsidRDefault="003A3692" w:rsidP="003A3692">
            <w:pPr>
              <w:pStyle w:val="Tot"/>
              <w:jc w:val="right"/>
              <w:rPr>
                <w:rFonts w:asciiTheme="minorHAnsi" w:hAnsiTheme="minorHAnsi" w:cs="Arial"/>
                <w:bCs/>
                <w:szCs w:val="19"/>
                <w:lang w:val="hr-HR"/>
              </w:rPr>
            </w:pPr>
            <w:r w:rsidRPr="00CD3A2D">
              <w:rPr>
                <w:rFonts w:ascii="Calibri" w:hAnsi="Calibri" w:cs="Calibri"/>
                <w:color w:val="000000"/>
                <w:szCs w:val="19"/>
                <w:lang w:val="hr-HR"/>
              </w:rPr>
              <w:t xml:space="preserve">               (144)</w:t>
            </w:r>
          </w:p>
        </w:tc>
        <w:tc>
          <w:tcPr>
            <w:tcW w:w="820" w:type="pct"/>
            <w:tcBorders>
              <w:top w:val="nil"/>
              <w:left w:val="nil"/>
              <w:right w:val="nil"/>
            </w:tcBorders>
            <w:shd w:val="clear" w:color="auto" w:fill="auto"/>
            <w:vAlign w:val="bottom"/>
          </w:tcPr>
          <w:p w:rsidR="003A3692" w:rsidRPr="001567C8" w:rsidRDefault="003A3692" w:rsidP="003A3692">
            <w:pPr>
              <w:pStyle w:val="Tot"/>
              <w:jc w:val="right"/>
              <w:rPr>
                <w:rFonts w:asciiTheme="minorHAnsi" w:hAnsiTheme="minorHAnsi" w:cs="Arial"/>
                <w:bCs/>
                <w:szCs w:val="19"/>
                <w:lang w:val="hr-HR"/>
              </w:rPr>
            </w:pPr>
            <w:r w:rsidRPr="001567C8">
              <w:rPr>
                <w:rFonts w:asciiTheme="minorHAnsi" w:hAnsiTheme="minorHAnsi" w:cs="Arial"/>
                <w:bCs/>
                <w:szCs w:val="19"/>
                <w:lang w:val="hr-HR"/>
              </w:rPr>
              <w:t>(579)</w:t>
            </w:r>
          </w:p>
        </w:tc>
      </w:tr>
      <w:tr w:rsidR="003A3692" w:rsidRPr="001567C8" w:rsidTr="003C6BA3">
        <w:trPr>
          <w:trHeight w:val="317"/>
        </w:trPr>
        <w:tc>
          <w:tcPr>
            <w:tcW w:w="3433" w:type="pct"/>
            <w:vAlign w:val="bottom"/>
          </w:tcPr>
          <w:p w:rsidR="003A3692" w:rsidRPr="001567C8" w:rsidRDefault="003A3692" w:rsidP="003A3692">
            <w:pPr>
              <w:tabs>
                <w:tab w:val="right" w:pos="1202"/>
              </w:tabs>
              <w:spacing w:line="280" w:lineRule="exact"/>
              <w:outlineLvl w:val="0"/>
              <w:rPr>
                <w:rFonts w:asciiTheme="minorHAnsi" w:hAnsiTheme="minorHAnsi" w:cs="Arial"/>
                <w:bCs/>
                <w:sz w:val="19"/>
                <w:szCs w:val="19"/>
                <w:lang w:val="hr-HR"/>
              </w:rPr>
            </w:pPr>
            <w:r w:rsidRPr="001567C8">
              <w:rPr>
                <w:rFonts w:asciiTheme="minorHAnsi" w:hAnsiTheme="minorHAnsi" w:cs="Arial"/>
                <w:bCs/>
                <w:sz w:val="19"/>
                <w:szCs w:val="19"/>
                <w:lang w:val="hr-HR"/>
              </w:rPr>
              <w:t>Odgođeni porez – usklađenje prethodnog razdoblja</w:t>
            </w:r>
          </w:p>
        </w:tc>
        <w:tc>
          <w:tcPr>
            <w:tcW w:w="747" w:type="pct"/>
            <w:tcBorders>
              <w:top w:val="nil"/>
              <w:left w:val="nil"/>
              <w:bottom w:val="single" w:sz="4" w:space="0" w:color="auto"/>
              <w:right w:val="nil"/>
            </w:tcBorders>
            <w:shd w:val="clear" w:color="auto" w:fill="auto"/>
            <w:vAlign w:val="bottom"/>
          </w:tcPr>
          <w:p w:rsidR="003A3692" w:rsidRPr="001567C8" w:rsidRDefault="003A3692" w:rsidP="003A3692">
            <w:pPr>
              <w:pStyle w:val="Tot"/>
              <w:jc w:val="right"/>
              <w:rPr>
                <w:rFonts w:asciiTheme="minorHAnsi" w:hAnsiTheme="minorHAnsi" w:cs="Arial"/>
                <w:bCs/>
                <w:szCs w:val="19"/>
                <w:lang w:val="hr-HR"/>
              </w:rPr>
            </w:pPr>
            <w:r w:rsidRPr="00CD3A2D">
              <w:rPr>
                <w:rFonts w:ascii="Calibri" w:hAnsi="Calibri" w:cs="Calibri"/>
                <w:color w:val="000000"/>
                <w:szCs w:val="19"/>
                <w:lang w:val="hr-HR"/>
              </w:rPr>
              <w:t xml:space="preserve">                  (17)</w:t>
            </w:r>
          </w:p>
        </w:tc>
        <w:tc>
          <w:tcPr>
            <w:tcW w:w="820" w:type="pct"/>
            <w:tcBorders>
              <w:top w:val="nil"/>
              <w:left w:val="nil"/>
              <w:bottom w:val="single" w:sz="4" w:space="0" w:color="auto"/>
              <w:right w:val="nil"/>
            </w:tcBorders>
            <w:shd w:val="clear" w:color="auto" w:fill="auto"/>
            <w:vAlign w:val="bottom"/>
          </w:tcPr>
          <w:p w:rsidR="003A3692" w:rsidRPr="001567C8" w:rsidRDefault="003A3692" w:rsidP="003A3692">
            <w:pPr>
              <w:pStyle w:val="Tot"/>
              <w:jc w:val="right"/>
              <w:rPr>
                <w:rFonts w:asciiTheme="minorHAnsi" w:hAnsiTheme="minorHAnsi" w:cs="Arial"/>
                <w:bCs/>
                <w:szCs w:val="19"/>
                <w:lang w:val="hr-HR"/>
              </w:rPr>
            </w:pPr>
            <w:r w:rsidRPr="001567C8">
              <w:rPr>
                <w:rFonts w:asciiTheme="minorHAnsi" w:hAnsiTheme="minorHAnsi" w:cs="Arial"/>
                <w:bCs/>
                <w:szCs w:val="19"/>
                <w:lang w:val="hr-HR"/>
              </w:rPr>
              <w:t>-</w:t>
            </w:r>
          </w:p>
        </w:tc>
      </w:tr>
      <w:tr w:rsidR="00D5678D" w:rsidRPr="001567C8" w:rsidTr="003C6BA3">
        <w:trPr>
          <w:trHeight w:hRule="exact" w:val="398"/>
        </w:trPr>
        <w:tc>
          <w:tcPr>
            <w:tcW w:w="3433" w:type="pct"/>
            <w:vAlign w:val="bottom"/>
          </w:tcPr>
          <w:p w:rsidR="00D5678D" w:rsidRPr="001567C8" w:rsidRDefault="00D5678D" w:rsidP="00D5678D">
            <w:pPr>
              <w:tabs>
                <w:tab w:val="right" w:pos="1202"/>
              </w:tabs>
              <w:spacing w:line="320" w:lineRule="exact"/>
              <w:outlineLvl w:val="0"/>
              <w:rPr>
                <w:rFonts w:asciiTheme="minorHAnsi" w:hAnsiTheme="minorHAnsi" w:cs="Arial"/>
                <w:b/>
                <w:bCs/>
                <w:sz w:val="19"/>
                <w:szCs w:val="19"/>
                <w:lang w:val="hr-HR"/>
              </w:rPr>
            </w:pPr>
            <w:r w:rsidRPr="001567C8">
              <w:rPr>
                <w:rFonts w:asciiTheme="minorHAnsi" w:hAnsiTheme="minorHAnsi" w:cs="Arial"/>
                <w:b/>
                <w:bCs/>
                <w:sz w:val="19"/>
                <w:szCs w:val="19"/>
                <w:lang w:val="hr-HR"/>
              </w:rPr>
              <w:t>Ukupno stavke koje se kasnije ne prenose u dobit ili gubitak</w:t>
            </w:r>
          </w:p>
        </w:tc>
        <w:tc>
          <w:tcPr>
            <w:tcW w:w="747" w:type="pct"/>
            <w:tcBorders>
              <w:top w:val="single" w:sz="4" w:space="0" w:color="auto"/>
              <w:bottom w:val="single" w:sz="12" w:space="0" w:color="auto"/>
            </w:tcBorders>
            <w:vAlign w:val="bottom"/>
          </w:tcPr>
          <w:p w:rsidR="00D5678D" w:rsidRPr="001567C8" w:rsidRDefault="003A3692"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(161)</w:t>
            </w:r>
          </w:p>
        </w:tc>
        <w:tc>
          <w:tcPr>
            <w:tcW w:w="820" w:type="pct"/>
            <w:tcBorders>
              <w:top w:val="single" w:sz="4" w:space="0" w:color="auto"/>
              <w:bottom w:val="single" w:sz="12" w:space="0" w:color="auto"/>
            </w:tcBorders>
            <w:vAlign w:val="bottom"/>
          </w:tcPr>
          <w:p w:rsidR="00D5678D" w:rsidRPr="001567C8" w:rsidRDefault="00D5678D"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(579)</w:t>
            </w:r>
          </w:p>
        </w:tc>
      </w:tr>
      <w:tr w:rsidR="00D5678D" w:rsidRPr="001567C8" w:rsidTr="003C6BA3">
        <w:trPr>
          <w:trHeight w:hRule="exact" w:val="105"/>
        </w:trPr>
        <w:tc>
          <w:tcPr>
            <w:tcW w:w="3433" w:type="pct"/>
            <w:vAlign w:val="bottom"/>
          </w:tcPr>
          <w:p w:rsidR="00D5678D" w:rsidRPr="001567C8" w:rsidRDefault="00D5678D" w:rsidP="00D5678D">
            <w:pPr>
              <w:tabs>
                <w:tab w:val="right" w:pos="1202"/>
              </w:tabs>
              <w:spacing w:line="320" w:lineRule="exact"/>
              <w:outlineLvl w:val="0"/>
              <w:rPr>
                <w:rFonts w:asciiTheme="minorHAnsi" w:hAnsiTheme="minorHAnsi" w:cs="Arial"/>
                <w:b/>
                <w:bCs/>
                <w:sz w:val="19"/>
                <w:szCs w:val="19"/>
                <w:lang w:val="hr-HR"/>
              </w:rPr>
            </w:pPr>
          </w:p>
        </w:tc>
        <w:tc>
          <w:tcPr>
            <w:tcW w:w="747" w:type="pct"/>
            <w:tcBorders>
              <w:top w:val="single" w:sz="12" w:space="0" w:color="auto"/>
            </w:tcBorders>
          </w:tcPr>
          <w:p w:rsidR="00D5678D" w:rsidRPr="001567C8" w:rsidRDefault="00D5678D" w:rsidP="00D5678D">
            <w:pPr>
              <w:pStyle w:val="Thick"/>
              <w:tabs>
                <w:tab w:val="clear" w:pos="1202"/>
                <w:tab w:val="left" w:pos="146"/>
              </w:tabs>
              <w:jc w:val="right"/>
              <w:rPr>
                <w:rFonts w:asciiTheme="minorHAnsi" w:hAnsiTheme="minorHAnsi" w:cs="Arial"/>
                <w:sz w:val="19"/>
                <w:szCs w:val="19"/>
                <w:lang w:val="hr-HR"/>
              </w:rPr>
            </w:pPr>
          </w:p>
        </w:tc>
        <w:tc>
          <w:tcPr>
            <w:tcW w:w="820" w:type="pct"/>
            <w:tcBorders>
              <w:top w:val="single" w:sz="12" w:space="0" w:color="auto"/>
            </w:tcBorders>
            <w:vAlign w:val="bottom"/>
          </w:tcPr>
          <w:p w:rsidR="00D5678D" w:rsidRPr="001567C8" w:rsidRDefault="00D5678D" w:rsidP="00D5678D">
            <w:pPr>
              <w:pStyle w:val="Thick"/>
              <w:tabs>
                <w:tab w:val="clear" w:pos="1202"/>
                <w:tab w:val="left" w:pos="146"/>
              </w:tabs>
              <w:jc w:val="right"/>
              <w:rPr>
                <w:rFonts w:asciiTheme="minorHAnsi" w:hAnsiTheme="minorHAnsi" w:cs="Arial"/>
                <w:sz w:val="19"/>
                <w:szCs w:val="19"/>
                <w:lang w:val="hr-HR"/>
              </w:rPr>
            </w:pPr>
          </w:p>
        </w:tc>
      </w:tr>
      <w:tr w:rsidR="00D5678D" w:rsidRPr="001567C8" w:rsidTr="003C6BA3">
        <w:trPr>
          <w:trHeight w:val="334"/>
        </w:trPr>
        <w:tc>
          <w:tcPr>
            <w:tcW w:w="3433" w:type="pct"/>
            <w:vAlign w:val="bottom"/>
          </w:tcPr>
          <w:p w:rsidR="00D5678D" w:rsidRPr="001567C8" w:rsidRDefault="00D5678D" w:rsidP="00D5678D">
            <w:pPr>
              <w:pStyle w:val="Tot"/>
              <w:rPr>
                <w:rFonts w:asciiTheme="minorHAnsi" w:hAnsiTheme="minorHAnsi" w:cs="Arial"/>
                <w:b/>
                <w:bCs/>
                <w:szCs w:val="19"/>
                <w:lang w:val="hr-HR"/>
              </w:rPr>
            </w:pPr>
            <w:r w:rsidRPr="001567C8">
              <w:rPr>
                <w:rFonts w:asciiTheme="minorHAnsi" w:hAnsiTheme="minorHAnsi" w:cs="Arial"/>
                <w:b/>
                <w:bCs/>
                <w:szCs w:val="19"/>
                <w:lang w:val="hr-HR"/>
              </w:rPr>
              <w:t>Stavke koje se kasnije mogu uračunati u dobit ili gubitak:</w:t>
            </w:r>
          </w:p>
        </w:tc>
        <w:tc>
          <w:tcPr>
            <w:tcW w:w="747" w:type="pct"/>
          </w:tcPr>
          <w:p w:rsidR="00D5678D" w:rsidRPr="001567C8" w:rsidRDefault="00D5678D" w:rsidP="00D5678D">
            <w:pPr>
              <w:pStyle w:val="Tot"/>
              <w:jc w:val="right"/>
              <w:rPr>
                <w:rFonts w:asciiTheme="minorHAnsi" w:hAnsiTheme="minorHAnsi" w:cs="Arial"/>
                <w:b/>
                <w:bCs/>
                <w:szCs w:val="19"/>
                <w:lang w:val="hr-HR"/>
              </w:rPr>
            </w:pPr>
          </w:p>
        </w:tc>
        <w:tc>
          <w:tcPr>
            <w:tcW w:w="820" w:type="pct"/>
            <w:vAlign w:val="bottom"/>
          </w:tcPr>
          <w:p w:rsidR="00D5678D" w:rsidRPr="001567C8" w:rsidRDefault="00D5678D" w:rsidP="00D5678D">
            <w:pPr>
              <w:pStyle w:val="Tot"/>
              <w:jc w:val="right"/>
              <w:rPr>
                <w:rFonts w:asciiTheme="minorHAnsi" w:hAnsiTheme="minorHAnsi" w:cs="Arial"/>
                <w:b/>
                <w:bCs/>
                <w:szCs w:val="19"/>
                <w:lang w:val="hr-HR"/>
              </w:rPr>
            </w:pPr>
          </w:p>
        </w:tc>
      </w:tr>
      <w:tr w:rsidR="003A3692" w:rsidRPr="001567C8" w:rsidTr="003C6BA3">
        <w:trPr>
          <w:trHeight w:hRule="exact" w:val="644"/>
        </w:trPr>
        <w:tc>
          <w:tcPr>
            <w:tcW w:w="3433" w:type="pct"/>
            <w:vAlign w:val="bottom"/>
          </w:tcPr>
          <w:p w:rsidR="003A3692" w:rsidRPr="001567C8" w:rsidRDefault="00275EDD" w:rsidP="003A3692">
            <w:pPr>
              <w:pStyle w:val="Tot"/>
              <w:rPr>
                <w:rFonts w:asciiTheme="minorHAnsi" w:hAnsiTheme="minorHAnsi" w:cs="Arial"/>
                <w:bCs/>
                <w:szCs w:val="19"/>
                <w:lang w:val="hr-HR"/>
              </w:rPr>
            </w:pPr>
            <w:r w:rsidRPr="001567C8">
              <w:rPr>
                <w:rFonts w:asciiTheme="minorHAnsi" w:hAnsiTheme="minorHAnsi" w:cs="Arial"/>
                <w:bCs/>
                <w:szCs w:val="19"/>
                <w:lang w:val="hr-HR"/>
              </w:rPr>
              <w:t>Neto promjene financijske imovine po fer vrijednosti kroz ostalu sveobuhvatnu dobit</w:t>
            </w:r>
          </w:p>
        </w:tc>
        <w:tc>
          <w:tcPr>
            <w:tcW w:w="747" w:type="pct"/>
            <w:tcBorders>
              <w:top w:val="nil"/>
              <w:left w:val="nil"/>
              <w:bottom w:val="nil"/>
              <w:right w:val="nil"/>
            </w:tcBorders>
            <w:shd w:val="clear" w:color="auto" w:fill="auto"/>
            <w:vAlign w:val="bottom"/>
          </w:tcPr>
          <w:p w:rsidR="003A3692" w:rsidRPr="00CD3A2D" w:rsidRDefault="003A3692" w:rsidP="003A3692">
            <w:pPr>
              <w:pStyle w:val="Tot"/>
              <w:jc w:val="right"/>
              <w:rPr>
                <w:rFonts w:ascii="Calibri" w:hAnsi="Calibri" w:cs="Calibri"/>
                <w:color w:val="000000"/>
                <w:szCs w:val="19"/>
                <w:lang w:val="hr-HR"/>
              </w:rPr>
            </w:pPr>
            <w:r w:rsidRPr="00CD3A2D">
              <w:rPr>
                <w:rFonts w:ascii="Calibri" w:hAnsi="Calibri" w:cs="Calibri"/>
                <w:szCs w:val="19"/>
                <w:lang w:val="hr-HR"/>
              </w:rPr>
              <w:t xml:space="preserve">           </w:t>
            </w:r>
            <w:r w:rsidR="00275EDD" w:rsidRPr="00CD3A2D">
              <w:rPr>
                <w:rFonts w:ascii="Calibri" w:hAnsi="Calibri" w:cs="Calibri"/>
                <w:szCs w:val="19"/>
                <w:lang w:val="hr-HR"/>
              </w:rPr>
              <w:t>(2.734)</w:t>
            </w:r>
            <w:r w:rsidRPr="00CD3A2D">
              <w:rPr>
                <w:rFonts w:ascii="Calibri" w:hAnsi="Calibri" w:cs="Calibri"/>
                <w:szCs w:val="19"/>
                <w:lang w:val="hr-HR"/>
              </w:rPr>
              <w:t xml:space="preserve"> </w:t>
            </w:r>
          </w:p>
        </w:tc>
        <w:tc>
          <w:tcPr>
            <w:tcW w:w="820" w:type="pct"/>
            <w:tcBorders>
              <w:top w:val="nil"/>
              <w:left w:val="nil"/>
              <w:bottom w:val="nil"/>
              <w:right w:val="nil"/>
            </w:tcBorders>
            <w:shd w:val="clear" w:color="auto" w:fill="auto"/>
            <w:vAlign w:val="bottom"/>
          </w:tcPr>
          <w:p w:rsidR="003A3692" w:rsidRPr="001567C8" w:rsidRDefault="003A3692" w:rsidP="003A3692">
            <w:pPr>
              <w:pStyle w:val="Tot"/>
              <w:jc w:val="right"/>
              <w:rPr>
                <w:rFonts w:asciiTheme="minorHAnsi" w:hAnsiTheme="minorHAnsi" w:cs="Arial"/>
                <w:bCs/>
                <w:szCs w:val="19"/>
                <w:lang w:val="hr-HR"/>
              </w:rPr>
            </w:pPr>
            <w:r w:rsidRPr="00CD3A2D">
              <w:rPr>
                <w:rFonts w:ascii="Calibri" w:hAnsi="Calibri" w:cs="Calibri"/>
                <w:color w:val="000000"/>
                <w:szCs w:val="19"/>
                <w:lang w:val="hr-HR"/>
              </w:rPr>
              <w:t>n/p</w:t>
            </w:r>
          </w:p>
        </w:tc>
      </w:tr>
      <w:tr w:rsidR="003A3692" w:rsidRPr="001567C8" w:rsidTr="003C6BA3">
        <w:trPr>
          <w:trHeight w:hRule="exact" w:val="466"/>
        </w:trPr>
        <w:tc>
          <w:tcPr>
            <w:tcW w:w="3433" w:type="pct"/>
            <w:vAlign w:val="bottom"/>
          </w:tcPr>
          <w:p w:rsidR="003A3692" w:rsidRPr="001567C8" w:rsidRDefault="00275EDD" w:rsidP="003A3692">
            <w:pPr>
              <w:pStyle w:val="Tot"/>
              <w:rPr>
                <w:rFonts w:asciiTheme="minorHAnsi" w:hAnsiTheme="minorHAnsi" w:cstheme="minorHAnsi"/>
                <w:bCs/>
                <w:szCs w:val="19"/>
                <w:lang w:val="hr-HR"/>
              </w:rPr>
            </w:pPr>
            <w:r w:rsidRPr="001567C8">
              <w:rPr>
                <w:rFonts w:asciiTheme="minorHAnsi" w:hAnsiTheme="minorHAnsi" w:cstheme="minorHAnsi"/>
                <w:bCs/>
                <w:szCs w:val="19"/>
                <w:lang w:val="hr-HR"/>
              </w:rPr>
              <w:t>Neto tečajne razlike po vlasničkim vrijednosnim papirima</w:t>
            </w:r>
          </w:p>
        </w:tc>
        <w:tc>
          <w:tcPr>
            <w:tcW w:w="747" w:type="pct"/>
            <w:tcBorders>
              <w:top w:val="nil"/>
              <w:left w:val="nil"/>
              <w:bottom w:val="nil"/>
              <w:right w:val="nil"/>
            </w:tcBorders>
            <w:shd w:val="clear" w:color="auto" w:fill="auto"/>
            <w:vAlign w:val="bottom"/>
          </w:tcPr>
          <w:p w:rsidR="003A3692" w:rsidRPr="00CD3A2D" w:rsidRDefault="00275EDD" w:rsidP="003A3692">
            <w:pPr>
              <w:pStyle w:val="Tot"/>
              <w:jc w:val="right"/>
              <w:rPr>
                <w:rFonts w:asciiTheme="minorHAnsi" w:hAnsiTheme="minorHAnsi" w:cstheme="minorHAnsi"/>
                <w:color w:val="000000"/>
                <w:szCs w:val="19"/>
                <w:lang w:val="hr-HR"/>
              </w:rPr>
            </w:pPr>
            <w:r w:rsidRPr="00CD3A2D">
              <w:rPr>
                <w:rFonts w:ascii="Calibri" w:hAnsi="Calibri" w:cs="Calibri"/>
                <w:szCs w:val="19"/>
                <w:lang w:val="hr-HR"/>
              </w:rPr>
              <w:t>(325)</w:t>
            </w:r>
          </w:p>
        </w:tc>
        <w:tc>
          <w:tcPr>
            <w:tcW w:w="820" w:type="pct"/>
            <w:tcBorders>
              <w:top w:val="nil"/>
              <w:left w:val="nil"/>
              <w:bottom w:val="nil"/>
              <w:right w:val="nil"/>
            </w:tcBorders>
            <w:shd w:val="clear" w:color="auto" w:fill="auto"/>
            <w:vAlign w:val="bottom"/>
          </w:tcPr>
          <w:p w:rsidR="003A3692" w:rsidRPr="00CD3A2D" w:rsidRDefault="00275EDD" w:rsidP="003A3692">
            <w:pPr>
              <w:pStyle w:val="Tot"/>
              <w:jc w:val="right"/>
              <w:rPr>
                <w:rFonts w:asciiTheme="minorHAnsi" w:hAnsiTheme="minorHAnsi" w:cstheme="minorHAnsi"/>
                <w:color w:val="000000"/>
                <w:szCs w:val="19"/>
                <w:lang w:val="hr-HR"/>
              </w:rPr>
            </w:pPr>
            <w:r w:rsidRPr="00CD3A2D">
              <w:rPr>
                <w:rFonts w:asciiTheme="minorHAnsi" w:hAnsiTheme="minorHAnsi" w:cstheme="minorHAnsi"/>
                <w:color w:val="000000"/>
                <w:szCs w:val="19"/>
                <w:lang w:val="hr-HR"/>
              </w:rPr>
              <w:t>(154)</w:t>
            </w:r>
          </w:p>
        </w:tc>
      </w:tr>
      <w:tr w:rsidR="00D5678D" w:rsidRPr="001567C8" w:rsidTr="003C6BA3">
        <w:trPr>
          <w:trHeight w:val="375"/>
        </w:trPr>
        <w:tc>
          <w:tcPr>
            <w:tcW w:w="3433" w:type="pct"/>
            <w:vAlign w:val="bottom"/>
          </w:tcPr>
          <w:p w:rsidR="00D5678D" w:rsidRPr="001567C8" w:rsidRDefault="00275EDD" w:rsidP="00D5678D">
            <w:pPr>
              <w:pStyle w:val="Tot"/>
              <w:rPr>
                <w:rFonts w:asciiTheme="minorHAnsi" w:hAnsiTheme="minorHAnsi" w:cs="Arial"/>
                <w:bCs/>
                <w:szCs w:val="19"/>
                <w:lang w:val="hr-HR"/>
              </w:rPr>
            </w:pPr>
            <w:r w:rsidRPr="001567C8">
              <w:rPr>
                <w:rFonts w:asciiTheme="minorHAnsi" w:hAnsiTheme="minorHAnsi" w:cs="Arial"/>
                <w:bCs/>
                <w:szCs w:val="19"/>
                <w:lang w:val="hr-HR"/>
              </w:rPr>
              <w:t>Neto promjene po imovini raspoloživoj za prodaju</w:t>
            </w:r>
          </w:p>
        </w:tc>
        <w:tc>
          <w:tcPr>
            <w:tcW w:w="747" w:type="pct"/>
            <w:tcBorders>
              <w:top w:val="nil"/>
              <w:left w:val="nil"/>
              <w:bottom w:val="nil"/>
              <w:right w:val="nil"/>
            </w:tcBorders>
            <w:shd w:val="clear" w:color="auto" w:fill="auto"/>
            <w:vAlign w:val="bottom"/>
          </w:tcPr>
          <w:p w:rsidR="00D5678D" w:rsidRPr="00CD3A2D" w:rsidRDefault="00275EDD" w:rsidP="00D5678D">
            <w:pPr>
              <w:pStyle w:val="Tot"/>
              <w:jc w:val="right"/>
              <w:rPr>
                <w:rFonts w:ascii="Calibri" w:hAnsi="Calibri" w:cs="Calibri"/>
                <w:color w:val="000000"/>
                <w:szCs w:val="19"/>
                <w:lang w:val="hr-HR"/>
              </w:rPr>
            </w:pPr>
            <w:r w:rsidRPr="00CD3A2D">
              <w:rPr>
                <w:rFonts w:ascii="Calibri" w:hAnsi="Calibri" w:cs="Calibri"/>
                <w:color w:val="000000"/>
                <w:szCs w:val="19"/>
                <w:lang w:val="hr-HR"/>
              </w:rPr>
              <w:t>n/p</w:t>
            </w:r>
          </w:p>
        </w:tc>
        <w:tc>
          <w:tcPr>
            <w:tcW w:w="820" w:type="pct"/>
            <w:tcBorders>
              <w:top w:val="nil"/>
              <w:left w:val="nil"/>
              <w:bottom w:val="nil"/>
              <w:right w:val="nil"/>
            </w:tcBorders>
            <w:shd w:val="clear" w:color="auto" w:fill="auto"/>
            <w:vAlign w:val="bottom"/>
          </w:tcPr>
          <w:p w:rsidR="00D5678D" w:rsidRPr="001567C8" w:rsidRDefault="00275EDD" w:rsidP="00D5678D">
            <w:pPr>
              <w:pStyle w:val="Tot"/>
              <w:jc w:val="right"/>
              <w:rPr>
                <w:rFonts w:asciiTheme="minorHAnsi" w:hAnsiTheme="minorHAnsi" w:cs="Arial"/>
                <w:bCs/>
                <w:szCs w:val="19"/>
                <w:lang w:val="hr-HR"/>
              </w:rPr>
            </w:pPr>
            <w:r w:rsidRPr="00CD3A2D">
              <w:rPr>
                <w:rFonts w:ascii="Calibri" w:hAnsi="Calibri" w:cs="Calibri"/>
                <w:color w:val="000000"/>
                <w:szCs w:val="19"/>
                <w:lang w:val="hr-HR"/>
              </w:rPr>
              <w:t>21.861</w:t>
            </w:r>
          </w:p>
        </w:tc>
      </w:tr>
      <w:tr w:rsidR="00D5678D" w:rsidRPr="001567C8" w:rsidTr="003C6BA3">
        <w:trPr>
          <w:trHeight w:val="328"/>
        </w:trPr>
        <w:tc>
          <w:tcPr>
            <w:tcW w:w="3433" w:type="pct"/>
            <w:vAlign w:val="bottom"/>
          </w:tcPr>
          <w:p w:rsidR="00D5678D" w:rsidRPr="001567C8" w:rsidRDefault="00D5678D" w:rsidP="00D5678D">
            <w:pPr>
              <w:pStyle w:val="Tot"/>
              <w:rPr>
                <w:rFonts w:asciiTheme="minorHAnsi" w:hAnsiTheme="minorHAnsi" w:cs="Arial"/>
                <w:bCs/>
                <w:szCs w:val="19"/>
                <w:lang w:val="hr-HR"/>
              </w:rPr>
            </w:pPr>
            <w:r w:rsidRPr="001567C8">
              <w:rPr>
                <w:rFonts w:asciiTheme="minorHAnsi" w:hAnsiTheme="minorHAnsi" w:cs="Arial"/>
                <w:bCs/>
                <w:szCs w:val="19"/>
                <w:lang w:val="hr-HR"/>
              </w:rPr>
              <w:t>Odgođeni porez – ostala sveobuhvatna dobit</w:t>
            </w:r>
          </w:p>
        </w:tc>
        <w:tc>
          <w:tcPr>
            <w:tcW w:w="747" w:type="pct"/>
            <w:tcBorders>
              <w:bottom w:val="single" w:sz="2" w:space="0" w:color="auto"/>
            </w:tcBorders>
          </w:tcPr>
          <w:p w:rsidR="00D5678D" w:rsidRPr="00CD3A2D" w:rsidRDefault="003A3692" w:rsidP="00D5678D">
            <w:pPr>
              <w:pStyle w:val="Tot"/>
              <w:jc w:val="right"/>
              <w:rPr>
                <w:rFonts w:ascii="Calibri" w:hAnsi="Calibri" w:cs="Calibri"/>
                <w:color w:val="000000"/>
                <w:szCs w:val="19"/>
                <w:lang w:val="hr-HR"/>
              </w:rPr>
            </w:pPr>
            <w:r w:rsidRPr="00CD3A2D">
              <w:rPr>
                <w:rFonts w:ascii="Calibri" w:hAnsi="Calibri" w:cs="Calibri"/>
                <w:color w:val="000000"/>
                <w:szCs w:val="19"/>
                <w:lang w:val="hr-HR"/>
              </w:rPr>
              <w:t>(23)</w:t>
            </w:r>
          </w:p>
        </w:tc>
        <w:tc>
          <w:tcPr>
            <w:tcW w:w="820" w:type="pct"/>
            <w:tcBorders>
              <w:top w:val="nil"/>
              <w:left w:val="nil"/>
              <w:bottom w:val="single" w:sz="2" w:space="0" w:color="auto"/>
              <w:right w:val="nil"/>
            </w:tcBorders>
            <w:shd w:val="clear" w:color="auto" w:fill="auto"/>
            <w:vAlign w:val="bottom"/>
          </w:tcPr>
          <w:p w:rsidR="00D5678D" w:rsidRPr="001567C8" w:rsidRDefault="00D5678D" w:rsidP="00D5678D">
            <w:pPr>
              <w:pStyle w:val="Tot"/>
              <w:jc w:val="right"/>
              <w:rPr>
                <w:rFonts w:asciiTheme="minorHAnsi" w:hAnsiTheme="minorHAnsi" w:cs="Arial"/>
                <w:bCs/>
                <w:szCs w:val="19"/>
                <w:lang w:val="hr-HR"/>
              </w:rPr>
            </w:pPr>
            <w:r w:rsidRPr="00CD3A2D">
              <w:rPr>
                <w:rFonts w:ascii="Calibri" w:hAnsi="Calibri" w:cs="Calibri"/>
                <w:color w:val="000000"/>
                <w:szCs w:val="19"/>
                <w:lang w:val="hr-HR"/>
              </w:rPr>
              <w:t xml:space="preserve">               (178)</w:t>
            </w:r>
          </w:p>
        </w:tc>
      </w:tr>
      <w:tr w:rsidR="00D5678D" w:rsidRPr="001567C8" w:rsidTr="003C6BA3">
        <w:trPr>
          <w:trHeight w:hRule="exact" w:val="319"/>
        </w:trPr>
        <w:tc>
          <w:tcPr>
            <w:tcW w:w="3433" w:type="pct"/>
            <w:vAlign w:val="bottom"/>
          </w:tcPr>
          <w:p w:rsidR="00D5678D" w:rsidRPr="001567C8" w:rsidRDefault="00D5678D" w:rsidP="00D5678D">
            <w:pPr>
              <w:tabs>
                <w:tab w:val="right" w:pos="1202"/>
              </w:tabs>
              <w:outlineLvl w:val="0"/>
              <w:rPr>
                <w:rFonts w:asciiTheme="minorHAnsi" w:hAnsiTheme="minorHAnsi" w:cs="Arial"/>
                <w:bCs/>
                <w:sz w:val="19"/>
                <w:szCs w:val="19"/>
                <w:lang w:val="hr-HR"/>
              </w:rPr>
            </w:pPr>
            <w:r w:rsidRPr="001567C8">
              <w:rPr>
                <w:rFonts w:asciiTheme="minorHAnsi" w:hAnsiTheme="minorHAnsi" w:cs="Arial"/>
                <w:b/>
                <w:bCs/>
                <w:sz w:val="19"/>
                <w:szCs w:val="19"/>
                <w:lang w:val="hr-HR"/>
              </w:rPr>
              <w:t>Ukupno stavke koje se kasnije mogu uračunati u dobit ili gubitak</w:t>
            </w:r>
          </w:p>
        </w:tc>
        <w:tc>
          <w:tcPr>
            <w:tcW w:w="747" w:type="pct"/>
            <w:tcBorders>
              <w:top w:val="single" w:sz="2" w:space="0" w:color="auto"/>
              <w:bottom w:val="single" w:sz="4" w:space="0" w:color="auto"/>
            </w:tcBorders>
            <w:vAlign w:val="bottom"/>
          </w:tcPr>
          <w:p w:rsidR="00D5678D" w:rsidRPr="001567C8" w:rsidRDefault="003A3692"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(3.082)</w:t>
            </w:r>
          </w:p>
        </w:tc>
        <w:tc>
          <w:tcPr>
            <w:tcW w:w="820" w:type="pct"/>
            <w:tcBorders>
              <w:top w:val="single" w:sz="2" w:space="0" w:color="auto"/>
              <w:bottom w:val="single" w:sz="4" w:space="0" w:color="auto"/>
            </w:tcBorders>
            <w:vAlign w:val="bottom"/>
          </w:tcPr>
          <w:p w:rsidR="00D5678D" w:rsidRPr="001567C8" w:rsidRDefault="00D5678D"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21.529</w:t>
            </w:r>
          </w:p>
        </w:tc>
      </w:tr>
      <w:tr w:rsidR="00275EDD" w:rsidRPr="001567C8" w:rsidTr="003C6BA3">
        <w:trPr>
          <w:trHeight w:hRule="exact" w:val="170"/>
        </w:trPr>
        <w:tc>
          <w:tcPr>
            <w:tcW w:w="3433" w:type="pct"/>
            <w:vAlign w:val="bottom"/>
          </w:tcPr>
          <w:p w:rsidR="00275EDD" w:rsidRPr="001567C8" w:rsidRDefault="00275EDD" w:rsidP="00D5678D">
            <w:pPr>
              <w:tabs>
                <w:tab w:val="right" w:pos="1202"/>
              </w:tabs>
              <w:outlineLvl w:val="0"/>
              <w:rPr>
                <w:rFonts w:asciiTheme="minorHAnsi" w:hAnsiTheme="minorHAnsi" w:cs="Arial"/>
                <w:b/>
                <w:bCs/>
                <w:sz w:val="19"/>
                <w:szCs w:val="19"/>
                <w:lang w:val="hr-HR"/>
              </w:rPr>
            </w:pPr>
          </w:p>
        </w:tc>
        <w:tc>
          <w:tcPr>
            <w:tcW w:w="747" w:type="pct"/>
            <w:tcBorders>
              <w:top w:val="single" w:sz="2" w:space="0" w:color="auto"/>
            </w:tcBorders>
            <w:vAlign w:val="bottom"/>
          </w:tcPr>
          <w:p w:rsidR="00275EDD" w:rsidRPr="001567C8" w:rsidRDefault="00275EDD" w:rsidP="00D5678D">
            <w:pPr>
              <w:pStyle w:val="Tot"/>
              <w:jc w:val="right"/>
              <w:rPr>
                <w:rFonts w:asciiTheme="minorHAnsi" w:hAnsiTheme="minorHAnsi" w:cs="Arial"/>
                <w:b/>
                <w:bCs/>
                <w:szCs w:val="19"/>
                <w:lang w:val="hr-HR"/>
              </w:rPr>
            </w:pPr>
          </w:p>
        </w:tc>
        <w:tc>
          <w:tcPr>
            <w:tcW w:w="820" w:type="pct"/>
            <w:tcBorders>
              <w:top w:val="single" w:sz="2" w:space="0" w:color="auto"/>
            </w:tcBorders>
            <w:vAlign w:val="bottom"/>
          </w:tcPr>
          <w:p w:rsidR="00275EDD" w:rsidRPr="001567C8" w:rsidRDefault="00275EDD" w:rsidP="00D5678D">
            <w:pPr>
              <w:pStyle w:val="Tot"/>
              <w:jc w:val="right"/>
              <w:rPr>
                <w:rFonts w:asciiTheme="minorHAnsi" w:hAnsiTheme="minorHAnsi" w:cs="Arial"/>
                <w:b/>
                <w:bCs/>
                <w:szCs w:val="19"/>
                <w:lang w:val="hr-HR"/>
              </w:rPr>
            </w:pPr>
          </w:p>
        </w:tc>
      </w:tr>
      <w:tr w:rsidR="00D5678D" w:rsidRPr="001567C8" w:rsidTr="003C6BA3">
        <w:trPr>
          <w:trHeight w:hRule="exact" w:val="319"/>
        </w:trPr>
        <w:tc>
          <w:tcPr>
            <w:tcW w:w="3433" w:type="pct"/>
            <w:vAlign w:val="bottom"/>
          </w:tcPr>
          <w:p w:rsidR="00D5678D" w:rsidRPr="001567C8" w:rsidRDefault="00D5678D" w:rsidP="00D5678D">
            <w:pPr>
              <w:tabs>
                <w:tab w:val="right" w:pos="1202"/>
              </w:tabs>
              <w:outlineLvl w:val="0"/>
              <w:rPr>
                <w:rFonts w:asciiTheme="minorHAnsi" w:hAnsiTheme="minorHAnsi" w:cs="Arial"/>
                <w:b/>
                <w:bCs/>
                <w:sz w:val="19"/>
                <w:szCs w:val="19"/>
                <w:lang w:val="hr-HR"/>
              </w:rPr>
            </w:pPr>
            <w:r w:rsidRPr="001567C8">
              <w:rPr>
                <w:rFonts w:asciiTheme="minorHAnsi" w:hAnsiTheme="minorHAnsi" w:cs="Arial"/>
                <w:b/>
                <w:bCs/>
                <w:sz w:val="19"/>
                <w:szCs w:val="19"/>
                <w:lang w:val="hr-HR"/>
              </w:rPr>
              <w:t>Ostala sveobuhvatna dobit nakon oporezivanja</w:t>
            </w:r>
          </w:p>
        </w:tc>
        <w:tc>
          <w:tcPr>
            <w:tcW w:w="747" w:type="pct"/>
            <w:tcBorders>
              <w:bottom w:val="single" w:sz="4" w:space="0" w:color="auto"/>
            </w:tcBorders>
            <w:vAlign w:val="bottom"/>
          </w:tcPr>
          <w:p w:rsidR="00D5678D" w:rsidRPr="001567C8" w:rsidRDefault="003A3692"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(3.243)</w:t>
            </w:r>
          </w:p>
        </w:tc>
        <w:tc>
          <w:tcPr>
            <w:tcW w:w="820" w:type="pct"/>
            <w:tcBorders>
              <w:bottom w:val="single" w:sz="4" w:space="0" w:color="auto"/>
            </w:tcBorders>
            <w:vAlign w:val="bottom"/>
          </w:tcPr>
          <w:p w:rsidR="00D5678D" w:rsidRPr="001567C8" w:rsidRDefault="00D5678D"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20.950</w:t>
            </w:r>
          </w:p>
        </w:tc>
      </w:tr>
      <w:tr w:rsidR="00275EDD" w:rsidRPr="001567C8" w:rsidTr="003C6BA3">
        <w:trPr>
          <w:trHeight w:hRule="exact" w:val="170"/>
        </w:trPr>
        <w:tc>
          <w:tcPr>
            <w:tcW w:w="3433" w:type="pct"/>
            <w:vAlign w:val="bottom"/>
          </w:tcPr>
          <w:p w:rsidR="00275EDD" w:rsidRPr="001567C8" w:rsidRDefault="00275EDD" w:rsidP="00D5678D">
            <w:pPr>
              <w:tabs>
                <w:tab w:val="right" w:pos="1202"/>
              </w:tabs>
              <w:outlineLvl w:val="0"/>
              <w:rPr>
                <w:rFonts w:asciiTheme="minorHAnsi" w:hAnsiTheme="minorHAnsi" w:cs="Arial"/>
                <w:b/>
                <w:bCs/>
                <w:sz w:val="19"/>
                <w:szCs w:val="19"/>
                <w:lang w:val="hr-HR"/>
              </w:rPr>
            </w:pPr>
          </w:p>
        </w:tc>
        <w:tc>
          <w:tcPr>
            <w:tcW w:w="747" w:type="pct"/>
            <w:tcBorders>
              <w:top w:val="single" w:sz="4" w:space="0" w:color="auto"/>
            </w:tcBorders>
            <w:vAlign w:val="bottom"/>
          </w:tcPr>
          <w:p w:rsidR="00275EDD" w:rsidRPr="001567C8" w:rsidRDefault="00275EDD" w:rsidP="00D5678D">
            <w:pPr>
              <w:pStyle w:val="Tot"/>
              <w:jc w:val="right"/>
              <w:rPr>
                <w:rFonts w:asciiTheme="minorHAnsi" w:hAnsiTheme="minorHAnsi" w:cs="Arial"/>
                <w:b/>
                <w:bCs/>
                <w:szCs w:val="19"/>
                <w:lang w:val="hr-HR"/>
              </w:rPr>
            </w:pPr>
          </w:p>
        </w:tc>
        <w:tc>
          <w:tcPr>
            <w:tcW w:w="820" w:type="pct"/>
            <w:tcBorders>
              <w:top w:val="single" w:sz="4" w:space="0" w:color="auto"/>
            </w:tcBorders>
            <w:vAlign w:val="bottom"/>
          </w:tcPr>
          <w:p w:rsidR="00275EDD" w:rsidRPr="001567C8" w:rsidRDefault="00275EDD" w:rsidP="00D5678D">
            <w:pPr>
              <w:pStyle w:val="Tot"/>
              <w:jc w:val="right"/>
              <w:rPr>
                <w:rFonts w:asciiTheme="minorHAnsi" w:hAnsiTheme="minorHAnsi" w:cs="Arial"/>
                <w:b/>
                <w:bCs/>
                <w:szCs w:val="19"/>
                <w:lang w:val="hr-HR"/>
              </w:rPr>
            </w:pPr>
          </w:p>
        </w:tc>
      </w:tr>
      <w:tr w:rsidR="00D5678D" w:rsidRPr="001567C8" w:rsidTr="003C6BA3">
        <w:trPr>
          <w:trHeight w:val="317"/>
        </w:trPr>
        <w:tc>
          <w:tcPr>
            <w:tcW w:w="3433" w:type="pct"/>
            <w:vAlign w:val="bottom"/>
          </w:tcPr>
          <w:p w:rsidR="00D5678D" w:rsidRPr="001567C8" w:rsidRDefault="00D5678D" w:rsidP="00D5678D">
            <w:pPr>
              <w:pStyle w:val="Tot"/>
              <w:rPr>
                <w:rFonts w:asciiTheme="minorHAnsi" w:hAnsiTheme="minorHAnsi" w:cs="Arial"/>
                <w:b/>
                <w:bCs/>
                <w:szCs w:val="19"/>
                <w:lang w:val="hr-HR"/>
              </w:rPr>
            </w:pPr>
            <w:r w:rsidRPr="001567C8">
              <w:rPr>
                <w:rFonts w:asciiTheme="minorHAnsi" w:hAnsiTheme="minorHAnsi" w:cs="Arial"/>
                <w:b/>
                <w:bCs/>
                <w:szCs w:val="19"/>
                <w:lang w:val="hr-HR"/>
              </w:rPr>
              <w:t>Ukupna sveobuhvatna dobit nakon oporezivanja</w:t>
            </w:r>
          </w:p>
        </w:tc>
        <w:tc>
          <w:tcPr>
            <w:tcW w:w="747" w:type="pct"/>
            <w:tcBorders>
              <w:bottom w:val="single" w:sz="12" w:space="0" w:color="auto"/>
            </w:tcBorders>
          </w:tcPr>
          <w:p w:rsidR="00D5678D" w:rsidRPr="001567C8" w:rsidRDefault="003A3692"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201.494</w:t>
            </w:r>
          </w:p>
        </w:tc>
        <w:tc>
          <w:tcPr>
            <w:tcW w:w="820" w:type="pct"/>
            <w:tcBorders>
              <w:bottom w:val="single" w:sz="12" w:space="0" w:color="auto"/>
            </w:tcBorders>
            <w:vAlign w:val="bottom"/>
          </w:tcPr>
          <w:p w:rsidR="00D5678D" w:rsidRPr="001567C8" w:rsidRDefault="00D5678D"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183.151</w:t>
            </w:r>
          </w:p>
        </w:tc>
      </w:tr>
      <w:tr w:rsidR="00D5678D" w:rsidRPr="001567C8" w:rsidTr="003C6BA3">
        <w:trPr>
          <w:trHeight w:val="283"/>
        </w:trPr>
        <w:tc>
          <w:tcPr>
            <w:tcW w:w="3433" w:type="pct"/>
            <w:vAlign w:val="bottom"/>
          </w:tcPr>
          <w:p w:rsidR="00D5678D" w:rsidRPr="001567C8" w:rsidRDefault="00D5678D" w:rsidP="00D5678D">
            <w:pPr>
              <w:pStyle w:val="Tot"/>
              <w:spacing w:line="301" w:lineRule="exact"/>
              <w:rPr>
                <w:rFonts w:asciiTheme="minorHAnsi" w:hAnsiTheme="minorHAnsi" w:cs="Arial"/>
                <w:b/>
                <w:bCs/>
                <w:szCs w:val="19"/>
                <w:lang w:val="hr-HR"/>
              </w:rPr>
            </w:pPr>
            <w:r w:rsidRPr="001567C8">
              <w:rPr>
                <w:rFonts w:asciiTheme="minorHAnsi" w:hAnsiTheme="minorHAnsi" w:cs="Arial"/>
                <w:b/>
                <w:bCs/>
                <w:szCs w:val="19"/>
                <w:lang w:val="hr-HR"/>
              </w:rPr>
              <w:t>Ukupna sveobuhvatna dobit:</w:t>
            </w:r>
          </w:p>
        </w:tc>
        <w:tc>
          <w:tcPr>
            <w:tcW w:w="747" w:type="pct"/>
          </w:tcPr>
          <w:p w:rsidR="00D5678D" w:rsidRPr="001567C8" w:rsidRDefault="00D5678D" w:rsidP="00D5678D">
            <w:pPr>
              <w:pStyle w:val="Thick"/>
              <w:tabs>
                <w:tab w:val="clear" w:pos="1202"/>
              </w:tabs>
              <w:spacing w:line="301" w:lineRule="exact"/>
              <w:jc w:val="right"/>
              <w:rPr>
                <w:rFonts w:asciiTheme="minorHAnsi" w:hAnsiTheme="minorHAnsi" w:cs="Arial"/>
                <w:sz w:val="19"/>
                <w:szCs w:val="19"/>
                <w:u w:val="none"/>
                <w:lang w:val="hr-HR"/>
              </w:rPr>
            </w:pPr>
          </w:p>
        </w:tc>
        <w:tc>
          <w:tcPr>
            <w:tcW w:w="820" w:type="pct"/>
            <w:vAlign w:val="bottom"/>
          </w:tcPr>
          <w:p w:rsidR="00D5678D" w:rsidRPr="001567C8" w:rsidRDefault="00D5678D" w:rsidP="00D5678D">
            <w:pPr>
              <w:pStyle w:val="Thick"/>
              <w:tabs>
                <w:tab w:val="clear" w:pos="1202"/>
              </w:tabs>
              <w:spacing w:line="301" w:lineRule="exact"/>
              <w:jc w:val="right"/>
              <w:rPr>
                <w:rFonts w:asciiTheme="minorHAnsi" w:hAnsiTheme="minorHAnsi" w:cs="Arial"/>
                <w:sz w:val="19"/>
                <w:szCs w:val="19"/>
                <w:u w:val="none"/>
                <w:lang w:val="hr-HR"/>
              </w:rPr>
            </w:pPr>
          </w:p>
        </w:tc>
      </w:tr>
      <w:tr w:rsidR="00D5678D" w:rsidRPr="001567C8" w:rsidTr="003C6BA3">
        <w:trPr>
          <w:trHeight w:val="294"/>
        </w:trPr>
        <w:tc>
          <w:tcPr>
            <w:tcW w:w="3433" w:type="pct"/>
            <w:vAlign w:val="bottom"/>
          </w:tcPr>
          <w:p w:rsidR="00D5678D" w:rsidRPr="001567C8" w:rsidRDefault="00D5678D" w:rsidP="00D5678D">
            <w:pPr>
              <w:pStyle w:val="Tot"/>
              <w:spacing w:line="301" w:lineRule="exact"/>
              <w:rPr>
                <w:rFonts w:asciiTheme="minorHAnsi" w:hAnsiTheme="minorHAnsi" w:cs="Arial"/>
                <w:b/>
                <w:bCs/>
                <w:szCs w:val="19"/>
                <w:lang w:val="hr-HR"/>
              </w:rPr>
            </w:pPr>
            <w:r w:rsidRPr="001567C8">
              <w:rPr>
                <w:rFonts w:asciiTheme="minorHAnsi" w:hAnsiTheme="minorHAnsi" w:cs="Arial"/>
                <w:b/>
                <w:bCs/>
                <w:szCs w:val="19"/>
                <w:lang w:val="hr-HR"/>
              </w:rPr>
              <w:t>Vlasniku društva</w:t>
            </w:r>
          </w:p>
        </w:tc>
        <w:tc>
          <w:tcPr>
            <w:tcW w:w="747" w:type="pct"/>
            <w:tcBorders>
              <w:bottom w:val="single" w:sz="12" w:space="0" w:color="auto"/>
            </w:tcBorders>
          </w:tcPr>
          <w:p w:rsidR="00D5678D" w:rsidRPr="001567C8" w:rsidRDefault="003A3692"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201.494</w:t>
            </w:r>
          </w:p>
        </w:tc>
        <w:tc>
          <w:tcPr>
            <w:tcW w:w="820" w:type="pct"/>
            <w:tcBorders>
              <w:bottom w:val="single" w:sz="12" w:space="0" w:color="auto"/>
            </w:tcBorders>
            <w:vAlign w:val="bottom"/>
          </w:tcPr>
          <w:p w:rsidR="00D5678D" w:rsidRPr="001567C8" w:rsidRDefault="00D5678D" w:rsidP="00D5678D">
            <w:pPr>
              <w:pStyle w:val="Tot"/>
              <w:jc w:val="right"/>
              <w:rPr>
                <w:rFonts w:asciiTheme="minorHAnsi" w:hAnsiTheme="minorHAnsi" w:cs="Arial"/>
                <w:b/>
                <w:bCs/>
                <w:szCs w:val="19"/>
                <w:lang w:val="hr-HR"/>
              </w:rPr>
            </w:pPr>
            <w:r w:rsidRPr="001567C8">
              <w:rPr>
                <w:rFonts w:asciiTheme="minorHAnsi" w:hAnsiTheme="minorHAnsi" w:cs="Arial"/>
                <w:b/>
                <w:bCs/>
                <w:szCs w:val="19"/>
                <w:lang w:val="hr-HR"/>
              </w:rPr>
              <w:t>183.151</w:t>
            </w:r>
          </w:p>
        </w:tc>
      </w:tr>
      <w:tr w:rsidR="00D5678D" w:rsidRPr="001567C8" w:rsidTr="003C6BA3">
        <w:trPr>
          <w:trHeight w:val="107"/>
        </w:trPr>
        <w:tc>
          <w:tcPr>
            <w:tcW w:w="3433" w:type="pct"/>
          </w:tcPr>
          <w:p w:rsidR="00D5678D" w:rsidRPr="001567C8" w:rsidRDefault="00D5678D" w:rsidP="00D5678D">
            <w:pPr>
              <w:pStyle w:val="Tot"/>
              <w:spacing w:line="120" w:lineRule="exact"/>
              <w:rPr>
                <w:rFonts w:asciiTheme="minorHAnsi" w:hAnsiTheme="minorHAnsi" w:cs="Arial"/>
                <w:b/>
                <w:bCs/>
                <w:szCs w:val="19"/>
                <w:lang w:val="hr-HR"/>
              </w:rPr>
            </w:pPr>
          </w:p>
        </w:tc>
        <w:tc>
          <w:tcPr>
            <w:tcW w:w="747" w:type="pct"/>
            <w:tcBorders>
              <w:top w:val="single" w:sz="12" w:space="0" w:color="auto"/>
            </w:tcBorders>
          </w:tcPr>
          <w:p w:rsidR="00D5678D" w:rsidRPr="001567C8" w:rsidRDefault="00D5678D" w:rsidP="00D5678D">
            <w:pPr>
              <w:pStyle w:val="Thick"/>
              <w:tabs>
                <w:tab w:val="clear" w:pos="1202"/>
              </w:tabs>
              <w:jc w:val="right"/>
              <w:rPr>
                <w:rFonts w:asciiTheme="minorHAnsi" w:hAnsiTheme="minorHAnsi" w:cs="Arial"/>
                <w:sz w:val="19"/>
                <w:szCs w:val="19"/>
                <w:lang w:val="hr-HR"/>
              </w:rPr>
            </w:pPr>
          </w:p>
        </w:tc>
        <w:tc>
          <w:tcPr>
            <w:tcW w:w="820" w:type="pct"/>
            <w:tcBorders>
              <w:top w:val="single" w:sz="12" w:space="0" w:color="auto"/>
            </w:tcBorders>
            <w:vAlign w:val="center"/>
          </w:tcPr>
          <w:p w:rsidR="00D5678D" w:rsidRPr="001567C8" w:rsidRDefault="00D5678D" w:rsidP="00D5678D">
            <w:pPr>
              <w:pStyle w:val="Thick"/>
              <w:tabs>
                <w:tab w:val="clear" w:pos="1202"/>
              </w:tabs>
              <w:jc w:val="right"/>
              <w:rPr>
                <w:rFonts w:asciiTheme="minorHAnsi" w:hAnsiTheme="minorHAnsi" w:cs="Arial"/>
                <w:sz w:val="19"/>
                <w:szCs w:val="19"/>
                <w:lang w:val="hr-HR"/>
              </w:rPr>
            </w:pPr>
          </w:p>
        </w:tc>
      </w:tr>
    </w:tbl>
    <w:p w:rsidR="002C235E" w:rsidRPr="001567C8" w:rsidRDefault="00573F5D" w:rsidP="00E23FDF">
      <w:pPr>
        <w:pStyle w:val="T1"/>
        <w:keepNext w:val="0"/>
        <w:spacing w:before="0" w:after="0" w:line="301" w:lineRule="exact"/>
        <w:rPr>
          <w:rFonts w:asciiTheme="minorHAnsi" w:hAnsiTheme="minorHAnsi" w:cs="Arial"/>
          <w:b w:val="0"/>
          <w:bCs w:val="0"/>
          <w:i/>
          <w:sz w:val="20"/>
          <w:lang w:val="hr-HR"/>
        </w:rPr>
      </w:pPr>
      <w:bookmarkStart w:id="39" w:name="_Hlk1645677"/>
      <w:r w:rsidRPr="001567C8">
        <w:rPr>
          <w:rFonts w:asciiTheme="minorHAnsi" w:hAnsiTheme="minorHAnsi" w:cs="Arial"/>
          <w:b w:val="0"/>
          <w:bCs w:val="0"/>
          <w:i/>
          <w:sz w:val="20"/>
          <w:lang w:val="hr-HR"/>
        </w:rPr>
        <w:t>*n/p = nije primjenjivo uslijed primjene MSFI-ja 9</w:t>
      </w:r>
    </w:p>
    <w:bookmarkEnd w:id="39"/>
    <w:p w:rsidR="002C235E" w:rsidRPr="001567C8" w:rsidRDefault="002C235E" w:rsidP="00E23FDF">
      <w:pPr>
        <w:pStyle w:val="T1"/>
        <w:keepNext w:val="0"/>
        <w:spacing w:before="0" w:after="0" w:line="240" w:lineRule="atLeast"/>
        <w:rPr>
          <w:rFonts w:asciiTheme="minorHAnsi" w:hAnsiTheme="minorHAnsi" w:cs="Arial"/>
          <w:b w:val="0"/>
          <w:bCs w:val="0"/>
          <w:sz w:val="22"/>
          <w:szCs w:val="22"/>
          <w:lang w:val="hr-HR"/>
        </w:rPr>
      </w:pPr>
    </w:p>
    <w:p w:rsidR="008A0BD3" w:rsidRPr="001567C8" w:rsidRDefault="008A0BD3">
      <w:pPr>
        <w:pStyle w:val="T1"/>
        <w:keepNext w:val="0"/>
        <w:spacing w:before="0" w:after="0" w:line="240" w:lineRule="auto"/>
        <w:rPr>
          <w:rFonts w:asciiTheme="minorHAnsi" w:hAnsiTheme="minorHAnsi" w:cs="Arial"/>
          <w:b w:val="0"/>
          <w:bCs w:val="0"/>
          <w:sz w:val="22"/>
          <w:szCs w:val="22"/>
          <w:lang w:val="hr-HR"/>
        </w:rPr>
      </w:pPr>
    </w:p>
    <w:p w:rsidR="008A0BD3" w:rsidRPr="001567C8" w:rsidRDefault="008A0BD3">
      <w:pPr>
        <w:pStyle w:val="T1"/>
        <w:keepNext w:val="0"/>
        <w:spacing w:before="0" w:after="0" w:line="240" w:lineRule="auto"/>
        <w:rPr>
          <w:rFonts w:asciiTheme="minorHAnsi" w:hAnsiTheme="minorHAnsi" w:cs="Arial"/>
          <w:b w:val="0"/>
          <w:bCs w:val="0"/>
          <w:sz w:val="22"/>
          <w:szCs w:val="22"/>
          <w:lang w:val="hr-HR"/>
        </w:rPr>
      </w:pPr>
    </w:p>
    <w:p w:rsidR="008A0BD3" w:rsidRPr="001567C8" w:rsidRDefault="008A0BD3">
      <w:pPr>
        <w:pStyle w:val="T1"/>
        <w:keepNext w:val="0"/>
        <w:spacing w:before="0" w:after="0" w:line="240" w:lineRule="auto"/>
        <w:rPr>
          <w:rFonts w:asciiTheme="minorHAnsi" w:hAnsiTheme="minorHAnsi" w:cs="Arial"/>
          <w:b w:val="0"/>
          <w:bCs w:val="0"/>
          <w:sz w:val="22"/>
          <w:szCs w:val="22"/>
          <w:lang w:val="hr-HR"/>
        </w:rPr>
      </w:pPr>
    </w:p>
    <w:p w:rsidR="008A0BD3" w:rsidRPr="001567C8" w:rsidRDefault="008A0BD3">
      <w:pPr>
        <w:pStyle w:val="T1"/>
        <w:keepNext w:val="0"/>
        <w:spacing w:before="0" w:after="0" w:line="240" w:lineRule="auto"/>
        <w:rPr>
          <w:rFonts w:asciiTheme="minorHAnsi" w:hAnsiTheme="minorHAnsi" w:cs="Arial"/>
          <w:b w:val="0"/>
          <w:bCs w:val="0"/>
          <w:sz w:val="22"/>
          <w:szCs w:val="22"/>
          <w:lang w:val="hr-HR"/>
        </w:rPr>
      </w:pPr>
    </w:p>
    <w:p w:rsidR="008A0BD3" w:rsidRPr="001567C8" w:rsidRDefault="008A0BD3">
      <w:pPr>
        <w:pStyle w:val="T1"/>
        <w:keepNext w:val="0"/>
        <w:spacing w:before="0" w:after="0" w:line="240" w:lineRule="auto"/>
        <w:rPr>
          <w:rFonts w:asciiTheme="minorHAnsi" w:hAnsiTheme="minorHAnsi" w:cs="Arial"/>
          <w:b w:val="0"/>
          <w:bCs w:val="0"/>
          <w:sz w:val="22"/>
          <w:szCs w:val="22"/>
          <w:lang w:val="hr-HR"/>
        </w:rPr>
      </w:pPr>
    </w:p>
    <w:p w:rsidR="008A0BD3" w:rsidRPr="001567C8" w:rsidRDefault="008A0BD3">
      <w:pPr>
        <w:pStyle w:val="T1"/>
        <w:keepNext w:val="0"/>
        <w:spacing w:before="0" w:after="0" w:line="240" w:lineRule="auto"/>
        <w:rPr>
          <w:rFonts w:asciiTheme="minorHAnsi" w:hAnsiTheme="minorHAnsi" w:cs="Arial"/>
          <w:b w:val="0"/>
          <w:bCs w:val="0"/>
          <w:sz w:val="22"/>
          <w:szCs w:val="22"/>
          <w:lang w:val="hr-HR"/>
        </w:rPr>
      </w:pPr>
    </w:p>
    <w:p w:rsidR="008A0BD3" w:rsidRPr="001567C8" w:rsidRDefault="008A0BD3">
      <w:pPr>
        <w:pStyle w:val="T1"/>
        <w:keepNext w:val="0"/>
        <w:spacing w:before="0" w:after="0" w:line="240" w:lineRule="auto"/>
        <w:rPr>
          <w:rFonts w:asciiTheme="minorHAnsi" w:hAnsiTheme="minorHAnsi" w:cs="Arial"/>
          <w:b w:val="0"/>
          <w:bCs w:val="0"/>
          <w:sz w:val="22"/>
          <w:szCs w:val="22"/>
          <w:lang w:val="hr-HR"/>
        </w:rPr>
      </w:pPr>
    </w:p>
    <w:p w:rsidR="008A0BD3" w:rsidRPr="001567C8" w:rsidRDefault="008A0BD3">
      <w:pPr>
        <w:pStyle w:val="T1"/>
        <w:keepNext w:val="0"/>
        <w:spacing w:before="0" w:after="0" w:line="240" w:lineRule="auto"/>
        <w:rPr>
          <w:rFonts w:asciiTheme="minorHAnsi" w:hAnsiTheme="minorHAnsi" w:cs="Arial"/>
          <w:b w:val="0"/>
          <w:bCs w:val="0"/>
          <w:sz w:val="22"/>
          <w:szCs w:val="22"/>
          <w:lang w:val="hr-HR"/>
        </w:rPr>
      </w:pPr>
    </w:p>
    <w:p w:rsidR="008A0BD3" w:rsidRPr="001567C8" w:rsidRDefault="008A0BD3">
      <w:pPr>
        <w:pStyle w:val="T1"/>
        <w:keepNext w:val="0"/>
        <w:spacing w:before="0" w:after="0" w:line="240" w:lineRule="auto"/>
        <w:rPr>
          <w:rFonts w:asciiTheme="minorHAnsi" w:hAnsiTheme="minorHAnsi" w:cs="Arial"/>
          <w:b w:val="0"/>
          <w:bCs w:val="0"/>
          <w:sz w:val="22"/>
          <w:szCs w:val="22"/>
          <w:lang w:val="hr-HR"/>
        </w:rPr>
      </w:pPr>
    </w:p>
    <w:p w:rsidR="007B7887" w:rsidRPr="001567C8" w:rsidRDefault="000E3105" w:rsidP="003C6BA3">
      <w:pPr>
        <w:pStyle w:val="T1"/>
        <w:keepNext w:val="0"/>
        <w:spacing w:before="0" w:after="0" w:line="240" w:lineRule="auto"/>
        <w:rPr>
          <w:rFonts w:asciiTheme="minorHAnsi" w:hAnsiTheme="minorHAnsi"/>
          <w:sz w:val="22"/>
          <w:szCs w:val="22"/>
          <w:lang w:val="hr-HR"/>
        </w:rPr>
      </w:pPr>
      <w:r w:rsidRPr="001567C8">
        <w:rPr>
          <w:rFonts w:asciiTheme="minorHAnsi" w:hAnsiTheme="minorHAnsi" w:cs="Arial"/>
          <w:b w:val="0"/>
          <w:bCs w:val="0"/>
          <w:sz w:val="22"/>
          <w:szCs w:val="22"/>
          <w:lang w:val="hr-HR"/>
        </w:rPr>
        <w:t>Priložene računovodstvene politike i bilješke sastavni su dio ovih financijskih izvještaja.</w:t>
      </w:r>
    </w:p>
    <w:p w:rsidR="00AA2521" w:rsidRPr="001567C8" w:rsidRDefault="00AA2521" w:rsidP="006D5C0D">
      <w:pPr>
        <w:pStyle w:val="T1"/>
        <w:keepNext w:val="0"/>
        <w:jc w:val="left"/>
        <w:rPr>
          <w:rFonts w:asciiTheme="minorHAnsi" w:hAnsiTheme="minorHAnsi" w:cs="Arial"/>
          <w:b w:val="0"/>
          <w:bCs w:val="0"/>
          <w:sz w:val="22"/>
          <w:szCs w:val="22"/>
          <w:lang w:val="hr-HR"/>
        </w:rPr>
        <w:sectPr w:rsidR="00AA2521" w:rsidRPr="001567C8" w:rsidSect="000D6913">
          <w:headerReference w:type="default" r:id="rId59"/>
          <w:pgSz w:w="11907" w:h="16840" w:code="9"/>
          <w:pgMar w:top="1418" w:right="992" w:bottom="1134" w:left="1418" w:header="851" w:footer="851" w:gutter="0"/>
          <w:cols w:space="720"/>
          <w:noEndnote/>
        </w:sectPr>
      </w:pPr>
    </w:p>
    <w:tbl>
      <w:tblPr>
        <w:tblpPr w:leftFromText="181" w:rightFromText="181" w:vertAnchor="text" w:horzAnchor="margin" w:tblpY="392"/>
        <w:tblW w:w="9214" w:type="dxa"/>
        <w:tblLayout w:type="fixed"/>
        <w:tblLook w:val="0000" w:firstRow="0" w:lastRow="0" w:firstColumn="0" w:lastColumn="0" w:noHBand="0" w:noVBand="0"/>
      </w:tblPr>
      <w:tblGrid>
        <w:gridCol w:w="5529"/>
        <w:gridCol w:w="992"/>
        <w:gridCol w:w="1346"/>
        <w:gridCol w:w="1347"/>
      </w:tblGrid>
      <w:tr w:rsidR="006071FE" w:rsidRPr="001567C8" w:rsidTr="00FB7A08">
        <w:trPr>
          <w:trHeight w:val="230"/>
        </w:trPr>
        <w:tc>
          <w:tcPr>
            <w:tcW w:w="5529" w:type="dxa"/>
          </w:tcPr>
          <w:p w:rsidR="006071FE" w:rsidRPr="001567C8" w:rsidRDefault="006071FE" w:rsidP="00573F5D">
            <w:pPr>
              <w:rPr>
                <w:rFonts w:asciiTheme="minorHAnsi" w:hAnsiTheme="minorHAnsi" w:cs="Arial"/>
                <w:sz w:val="22"/>
                <w:szCs w:val="22"/>
                <w:lang w:val="hr-HR"/>
              </w:rPr>
            </w:pPr>
          </w:p>
          <w:p w:rsidR="006071FE" w:rsidRPr="001567C8" w:rsidRDefault="006071FE" w:rsidP="00573F5D">
            <w:pPr>
              <w:rPr>
                <w:rFonts w:asciiTheme="minorHAnsi" w:hAnsiTheme="minorHAnsi" w:cs="Arial"/>
                <w:sz w:val="22"/>
                <w:szCs w:val="22"/>
                <w:lang w:val="hr-HR"/>
              </w:rPr>
            </w:pPr>
          </w:p>
        </w:tc>
        <w:tc>
          <w:tcPr>
            <w:tcW w:w="992" w:type="dxa"/>
            <w:vAlign w:val="bottom"/>
          </w:tcPr>
          <w:p w:rsidR="006071FE" w:rsidRPr="001567C8" w:rsidRDefault="006071FE" w:rsidP="00573F5D">
            <w:pPr>
              <w:jc w:val="center"/>
              <w:rPr>
                <w:rFonts w:asciiTheme="minorHAnsi" w:hAnsiTheme="minorHAnsi" w:cs="Arial"/>
                <w:b/>
                <w:sz w:val="22"/>
                <w:szCs w:val="22"/>
                <w:lang w:val="hr-HR"/>
              </w:rPr>
            </w:pPr>
            <w:r w:rsidRPr="001567C8">
              <w:rPr>
                <w:rFonts w:asciiTheme="minorHAnsi" w:hAnsiTheme="minorHAnsi" w:cs="Arial"/>
                <w:b/>
                <w:sz w:val="22"/>
                <w:szCs w:val="22"/>
                <w:lang w:val="hr-HR"/>
              </w:rPr>
              <w:t>Bilješka</w:t>
            </w:r>
          </w:p>
        </w:tc>
        <w:tc>
          <w:tcPr>
            <w:tcW w:w="1346" w:type="dxa"/>
            <w:vAlign w:val="bottom"/>
          </w:tcPr>
          <w:p w:rsidR="006071FE" w:rsidRPr="001567C8" w:rsidRDefault="006071FE" w:rsidP="00573F5D">
            <w:pPr>
              <w:jc w:val="right"/>
              <w:rPr>
                <w:rFonts w:asciiTheme="minorHAnsi" w:hAnsiTheme="minorHAnsi" w:cs="Arial"/>
                <w:b/>
                <w:sz w:val="22"/>
                <w:szCs w:val="22"/>
                <w:lang w:val="hr-HR"/>
              </w:rPr>
            </w:pPr>
            <w:r w:rsidRPr="001567C8">
              <w:rPr>
                <w:rFonts w:asciiTheme="minorHAnsi" w:hAnsiTheme="minorHAnsi" w:cs="Arial"/>
                <w:b/>
                <w:sz w:val="22"/>
                <w:szCs w:val="22"/>
                <w:lang w:val="hr-HR"/>
              </w:rPr>
              <w:t>2018.</w:t>
            </w:r>
          </w:p>
        </w:tc>
        <w:tc>
          <w:tcPr>
            <w:tcW w:w="1347" w:type="dxa"/>
            <w:vAlign w:val="bottom"/>
          </w:tcPr>
          <w:p w:rsidR="006071FE" w:rsidRPr="001567C8" w:rsidRDefault="006071FE" w:rsidP="00573F5D">
            <w:pPr>
              <w:jc w:val="right"/>
              <w:rPr>
                <w:rFonts w:asciiTheme="minorHAnsi" w:hAnsiTheme="minorHAnsi" w:cs="Arial"/>
                <w:b/>
                <w:sz w:val="22"/>
                <w:szCs w:val="22"/>
                <w:lang w:val="hr-HR"/>
              </w:rPr>
            </w:pPr>
            <w:r w:rsidRPr="001567C8">
              <w:rPr>
                <w:rFonts w:asciiTheme="minorHAnsi" w:hAnsiTheme="minorHAnsi" w:cs="Arial"/>
                <w:b/>
                <w:sz w:val="22"/>
                <w:szCs w:val="22"/>
                <w:lang w:val="hr-HR"/>
              </w:rPr>
              <w:t>2017.</w:t>
            </w:r>
          </w:p>
        </w:tc>
      </w:tr>
      <w:tr w:rsidR="006071FE" w:rsidRPr="001567C8" w:rsidTr="00FB7A08">
        <w:trPr>
          <w:trHeight w:val="202"/>
        </w:trPr>
        <w:tc>
          <w:tcPr>
            <w:tcW w:w="5529" w:type="dxa"/>
          </w:tcPr>
          <w:p w:rsidR="006071FE" w:rsidRPr="001567C8" w:rsidRDefault="006071FE" w:rsidP="00573F5D">
            <w:pPr>
              <w:rPr>
                <w:rFonts w:asciiTheme="minorHAnsi" w:hAnsiTheme="minorHAnsi" w:cs="Arial"/>
                <w:sz w:val="22"/>
                <w:szCs w:val="22"/>
                <w:lang w:val="hr-HR"/>
              </w:rPr>
            </w:pPr>
          </w:p>
        </w:tc>
        <w:tc>
          <w:tcPr>
            <w:tcW w:w="992" w:type="dxa"/>
          </w:tcPr>
          <w:p w:rsidR="006071FE" w:rsidRPr="001567C8" w:rsidRDefault="006071FE" w:rsidP="00573F5D">
            <w:pPr>
              <w:jc w:val="center"/>
              <w:rPr>
                <w:rFonts w:asciiTheme="minorHAnsi" w:hAnsiTheme="minorHAnsi" w:cs="Arial"/>
                <w:b/>
                <w:sz w:val="22"/>
                <w:szCs w:val="22"/>
                <w:lang w:val="hr-HR"/>
              </w:rPr>
            </w:pPr>
          </w:p>
        </w:tc>
        <w:tc>
          <w:tcPr>
            <w:tcW w:w="1346" w:type="dxa"/>
          </w:tcPr>
          <w:p w:rsidR="006071FE" w:rsidRPr="001567C8" w:rsidRDefault="006071FE" w:rsidP="00573F5D">
            <w:pPr>
              <w:jc w:val="right"/>
              <w:rPr>
                <w:rFonts w:asciiTheme="minorHAnsi" w:hAnsiTheme="minorHAnsi" w:cs="Arial"/>
                <w:b/>
                <w:sz w:val="22"/>
                <w:szCs w:val="22"/>
                <w:lang w:val="hr-HR"/>
              </w:rPr>
            </w:pPr>
            <w:r w:rsidRPr="001567C8">
              <w:rPr>
                <w:rFonts w:asciiTheme="minorHAnsi" w:hAnsiTheme="minorHAnsi" w:cs="Arial"/>
                <w:b/>
                <w:sz w:val="22"/>
                <w:szCs w:val="22"/>
                <w:lang w:val="hr-HR"/>
              </w:rPr>
              <w:t>000 kuna</w:t>
            </w:r>
          </w:p>
        </w:tc>
        <w:tc>
          <w:tcPr>
            <w:tcW w:w="1347" w:type="dxa"/>
          </w:tcPr>
          <w:p w:rsidR="006071FE" w:rsidRPr="001567C8" w:rsidRDefault="006071FE" w:rsidP="00573F5D">
            <w:pPr>
              <w:jc w:val="right"/>
              <w:rPr>
                <w:rFonts w:asciiTheme="minorHAnsi" w:hAnsiTheme="minorHAnsi" w:cs="Arial"/>
                <w:b/>
                <w:sz w:val="22"/>
                <w:szCs w:val="22"/>
                <w:lang w:val="hr-HR"/>
              </w:rPr>
            </w:pPr>
            <w:r w:rsidRPr="001567C8">
              <w:rPr>
                <w:rFonts w:asciiTheme="minorHAnsi" w:hAnsiTheme="minorHAnsi" w:cs="Arial"/>
                <w:b/>
                <w:sz w:val="22"/>
                <w:szCs w:val="22"/>
                <w:lang w:val="hr-HR"/>
              </w:rPr>
              <w:t>000 kuna</w:t>
            </w:r>
          </w:p>
        </w:tc>
      </w:tr>
      <w:tr w:rsidR="006071FE" w:rsidRPr="001567C8" w:rsidTr="00FB7A08">
        <w:trPr>
          <w:trHeight w:val="303"/>
        </w:trPr>
        <w:tc>
          <w:tcPr>
            <w:tcW w:w="5529" w:type="dxa"/>
          </w:tcPr>
          <w:p w:rsidR="006071FE" w:rsidRPr="001567C8" w:rsidRDefault="006071FE" w:rsidP="00573F5D">
            <w:pPr>
              <w:pStyle w:val="TT"/>
              <w:rPr>
                <w:rFonts w:asciiTheme="minorHAnsi" w:hAnsiTheme="minorHAnsi" w:cs="Arial"/>
                <w:b/>
                <w:bCs/>
                <w:sz w:val="22"/>
                <w:szCs w:val="22"/>
                <w:lang w:val="hr-HR"/>
              </w:rPr>
            </w:pPr>
            <w:r w:rsidRPr="001567C8">
              <w:rPr>
                <w:rFonts w:asciiTheme="minorHAnsi" w:hAnsiTheme="minorHAnsi" w:cs="Arial"/>
                <w:b/>
                <w:bCs/>
                <w:sz w:val="22"/>
                <w:szCs w:val="22"/>
                <w:lang w:val="hr-HR"/>
              </w:rPr>
              <w:t xml:space="preserve">Imovina </w:t>
            </w:r>
          </w:p>
        </w:tc>
        <w:tc>
          <w:tcPr>
            <w:tcW w:w="992" w:type="dxa"/>
          </w:tcPr>
          <w:p w:rsidR="006071FE" w:rsidRPr="001567C8" w:rsidRDefault="006071FE" w:rsidP="00573F5D">
            <w:pPr>
              <w:pStyle w:val="TT"/>
              <w:rPr>
                <w:rFonts w:asciiTheme="minorHAnsi" w:hAnsiTheme="minorHAnsi" w:cs="Arial"/>
                <w:b/>
                <w:bCs/>
                <w:sz w:val="22"/>
                <w:szCs w:val="22"/>
                <w:lang w:val="hr-HR"/>
              </w:rPr>
            </w:pPr>
          </w:p>
        </w:tc>
        <w:tc>
          <w:tcPr>
            <w:tcW w:w="1346" w:type="dxa"/>
          </w:tcPr>
          <w:p w:rsidR="006071FE" w:rsidRPr="001567C8" w:rsidRDefault="006071FE" w:rsidP="00573F5D">
            <w:pPr>
              <w:pStyle w:val="TT"/>
              <w:rPr>
                <w:rFonts w:asciiTheme="minorHAnsi" w:hAnsiTheme="minorHAnsi" w:cs="Arial"/>
                <w:b/>
                <w:bCs/>
                <w:sz w:val="22"/>
                <w:szCs w:val="22"/>
                <w:lang w:val="hr-HR"/>
              </w:rPr>
            </w:pPr>
          </w:p>
        </w:tc>
        <w:tc>
          <w:tcPr>
            <w:tcW w:w="1347" w:type="dxa"/>
          </w:tcPr>
          <w:p w:rsidR="006071FE" w:rsidRPr="001567C8" w:rsidRDefault="006071FE" w:rsidP="00573F5D">
            <w:pPr>
              <w:pStyle w:val="TT"/>
              <w:rPr>
                <w:rFonts w:asciiTheme="minorHAnsi" w:hAnsiTheme="minorHAnsi" w:cs="Arial"/>
                <w:b/>
                <w:bCs/>
                <w:sz w:val="22"/>
                <w:szCs w:val="22"/>
                <w:lang w:val="hr-HR"/>
              </w:rPr>
            </w:pP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Novčana sredstva i računi kod banaka</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CD3A2D">
              <w:rPr>
                <w:rFonts w:ascii="Calibri" w:hAnsi="Calibri" w:cs="Arial"/>
                <w:snapToGrid w:val="0"/>
                <w:sz w:val="22"/>
                <w:szCs w:val="22"/>
                <w:lang w:val="hr-HR"/>
              </w:rPr>
              <w:t>13</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944.417</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1.403.680</w:t>
            </w: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Depoziti kod drugih banaka</w:t>
            </w:r>
          </w:p>
        </w:tc>
        <w:tc>
          <w:tcPr>
            <w:tcW w:w="992" w:type="dxa"/>
            <w:vAlign w:val="bottom"/>
          </w:tcPr>
          <w:p w:rsidR="006071FE" w:rsidRPr="001567C8" w:rsidRDefault="006071FE" w:rsidP="006071FE">
            <w:pPr>
              <w:pStyle w:val="TT"/>
              <w:tabs>
                <w:tab w:val="clear" w:pos="1202"/>
                <w:tab w:val="right" w:pos="681"/>
              </w:tabs>
              <w:jc w:val="center"/>
              <w:rPr>
                <w:rFonts w:asciiTheme="minorHAnsi" w:hAnsiTheme="minorHAnsi" w:cs="Arial"/>
                <w:sz w:val="22"/>
                <w:szCs w:val="22"/>
                <w:lang w:val="hr-HR"/>
              </w:rPr>
            </w:pPr>
            <w:r w:rsidRPr="00CD3A2D">
              <w:rPr>
                <w:rFonts w:ascii="Calibri" w:hAnsi="Calibri" w:cs="Arial"/>
                <w:snapToGrid w:val="0"/>
                <w:sz w:val="22"/>
                <w:szCs w:val="22"/>
                <w:lang w:val="hr-HR"/>
              </w:rPr>
              <w:t>14</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261.925</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29.138</w:t>
            </w:r>
          </w:p>
        </w:tc>
      </w:tr>
      <w:tr w:rsidR="006071FE" w:rsidRPr="001567C8" w:rsidTr="00FB7A08">
        <w:trPr>
          <w:trHeight w:val="291"/>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Krediti financijskim institucijama</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CD3A2D">
              <w:rPr>
                <w:rFonts w:ascii="Calibri" w:hAnsi="Calibri" w:cs="Arial"/>
                <w:snapToGrid w:val="0"/>
                <w:sz w:val="22"/>
                <w:szCs w:val="22"/>
                <w:lang w:val="hr-HR"/>
              </w:rPr>
              <w:t>15</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10.234.988</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10.836.141</w:t>
            </w: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Krediti ostalim korisnicima</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CD3A2D">
              <w:rPr>
                <w:rFonts w:ascii="Calibri" w:hAnsi="Calibri" w:cs="Arial"/>
                <w:spacing w:val="-2"/>
                <w:sz w:val="22"/>
                <w:szCs w:val="22"/>
                <w:lang w:val="hr-HR"/>
              </w:rPr>
              <w:t>16</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12.510.686</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12.383.623</w:t>
            </w:r>
          </w:p>
        </w:tc>
      </w:tr>
      <w:tr w:rsidR="006071FE" w:rsidRPr="001567C8" w:rsidTr="00FB7A08">
        <w:trPr>
          <w:trHeight w:val="227"/>
        </w:trPr>
        <w:tc>
          <w:tcPr>
            <w:tcW w:w="5529" w:type="dxa"/>
            <w:vAlign w:val="bottom"/>
          </w:tcPr>
          <w:p w:rsidR="006071FE" w:rsidRPr="001567C8" w:rsidRDefault="006071FE" w:rsidP="002D1D34">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Financijska imovina po fer vrijednosti kroz dobit </w:t>
            </w:r>
            <w:r w:rsidR="001E6ECF" w:rsidRPr="001567C8">
              <w:rPr>
                <w:rFonts w:asciiTheme="minorHAnsi" w:hAnsiTheme="minorHAnsi" w:cs="Arial"/>
                <w:sz w:val="22"/>
                <w:szCs w:val="22"/>
                <w:lang w:val="hr-HR"/>
              </w:rPr>
              <w:t>i</w:t>
            </w:r>
            <w:r w:rsidR="00E84DBF" w:rsidRPr="001567C8">
              <w:rPr>
                <w:rFonts w:asciiTheme="minorHAnsi" w:hAnsiTheme="minorHAnsi" w:cs="Arial"/>
                <w:sz w:val="22"/>
                <w:szCs w:val="22"/>
                <w:lang w:val="hr-HR"/>
              </w:rPr>
              <w:t>li</w:t>
            </w:r>
            <w:r w:rsidRPr="001567C8">
              <w:rPr>
                <w:rFonts w:asciiTheme="minorHAnsi" w:hAnsiTheme="minorHAnsi" w:cs="Arial"/>
                <w:sz w:val="22"/>
                <w:szCs w:val="22"/>
                <w:lang w:val="hr-HR"/>
              </w:rPr>
              <w:t xml:space="preserve"> gubitak</w:t>
            </w:r>
          </w:p>
        </w:tc>
        <w:tc>
          <w:tcPr>
            <w:tcW w:w="992" w:type="dxa"/>
            <w:vAlign w:val="bottom"/>
          </w:tcPr>
          <w:p w:rsidR="006071FE" w:rsidRPr="001567C8" w:rsidRDefault="006071FE" w:rsidP="009C0CFC">
            <w:pPr>
              <w:pStyle w:val="TT"/>
              <w:jc w:val="center"/>
              <w:rPr>
                <w:rFonts w:asciiTheme="minorHAnsi" w:hAnsiTheme="minorHAnsi" w:cs="Arial"/>
                <w:sz w:val="22"/>
                <w:szCs w:val="22"/>
                <w:lang w:val="hr-HR"/>
              </w:rPr>
            </w:pPr>
            <w:r w:rsidRPr="00CD3A2D">
              <w:rPr>
                <w:rFonts w:ascii="Calibri" w:hAnsi="Calibri" w:cs="Arial"/>
                <w:snapToGrid w:val="0"/>
                <w:sz w:val="22"/>
                <w:szCs w:val="22"/>
                <w:lang w:val="hr-HR"/>
              </w:rPr>
              <w:t>17</w:t>
            </w:r>
          </w:p>
        </w:tc>
        <w:tc>
          <w:tcPr>
            <w:tcW w:w="1346" w:type="dxa"/>
            <w:vAlign w:val="bottom"/>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336.266</w:t>
            </w:r>
          </w:p>
        </w:tc>
        <w:tc>
          <w:tcPr>
            <w:tcW w:w="1347" w:type="dxa"/>
            <w:tcBorders>
              <w:top w:val="nil"/>
              <w:left w:val="nil"/>
              <w:bottom w:val="nil"/>
              <w:right w:val="nil"/>
            </w:tcBorders>
            <w:shd w:val="clear" w:color="auto" w:fill="auto"/>
            <w:vAlign w:val="bottom"/>
          </w:tcPr>
          <w:p w:rsidR="006071FE" w:rsidRPr="001567C8" w:rsidRDefault="006071FE" w:rsidP="009C0CFC">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291</w:t>
            </w:r>
          </w:p>
        </w:tc>
      </w:tr>
      <w:tr w:rsidR="006071FE" w:rsidRPr="001567C8" w:rsidTr="00FB7A08">
        <w:trPr>
          <w:trHeight w:val="606"/>
        </w:trPr>
        <w:tc>
          <w:tcPr>
            <w:tcW w:w="5529" w:type="dxa"/>
            <w:vAlign w:val="bottom"/>
          </w:tcPr>
          <w:p w:rsidR="006071FE" w:rsidRPr="001567C8" w:rsidRDefault="006071FE" w:rsidP="00573F5D">
            <w:pPr>
              <w:pStyle w:val="TT"/>
              <w:rPr>
                <w:rFonts w:asciiTheme="minorHAnsi" w:hAnsiTheme="minorHAnsi" w:cstheme="minorHAnsi"/>
                <w:sz w:val="22"/>
                <w:szCs w:val="22"/>
                <w:lang w:val="hr-HR"/>
              </w:rPr>
            </w:pPr>
            <w:r w:rsidRPr="00CD3A2D">
              <w:rPr>
                <w:rFonts w:asciiTheme="minorHAnsi" w:hAnsiTheme="minorHAnsi" w:cstheme="minorHAnsi"/>
                <w:sz w:val="22"/>
                <w:szCs w:val="22"/>
                <w:lang w:val="hr-HR"/>
              </w:rPr>
              <w:t>Financijska imovina po fer vrijednosti kroz ostalu sveobuhvatnu dobit</w:t>
            </w:r>
          </w:p>
        </w:tc>
        <w:tc>
          <w:tcPr>
            <w:tcW w:w="992" w:type="dxa"/>
            <w:vAlign w:val="bottom"/>
          </w:tcPr>
          <w:p w:rsidR="006071FE" w:rsidRPr="001567C8" w:rsidRDefault="006071FE" w:rsidP="00573F5D">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18</w:t>
            </w:r>
          </w:p>
        </w:tc>
        <w:tc>
          <w:tcPr>
            <w:tcW w:w="1346" w:type="dxa"/>
            <w:vAlign w:val="bottom"/>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2.829.470</w:t>
            </w:r>
          </w:p>
        </w:tc>
        <w:tc>
          <w:tcPr>
            <w:tcW w:w="1347" w:type="dxa"/>
            <w:tcBorders>
              <w:top w:val="nil"/>
              <w:left w:val="nil"/>
              <w:bottom w:val="nil"/>
              <w:right w:val="nil"/>
            </w:tcBorders>
            <w:shd w:val="clear" w:color="auto" w:fill="auto"/>
            <w:vAlign w:val="bottom"/>
          </w:tcPr>
          <w:p w:rsidR="006071FE" w:rsidRPr="00CD3A2D" w:rsidRDefault="006071FE" w:rsidP="00573F5D">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n/p</w:t>
            </w:r>
          </w:p>
        </w:tc>
      </w:tr>
      <w:tr w:rsidR="006071FE" w:rsidRPr="001567C8" w:rsidTr="00FB7A08">
        <w:trPr>
          <w:trHeight w:val="340"/>
        </w:trPr>
        <w:tc>
          <w:tcPr>
            <w:tcW w:w="5529" w:type="dxa"/>
            <w:vAlign w:val="bottom"/>
          </w:tcPr>
          <w:p w:rsidR="006071FE" w:rsidRPr="00CD3A2D" w:rsidRDefault="006071FE" w:rsidP="00573F5D">
            <w:pPr>
              <w:pStyle w:val="TT"/>
              <w:rPr>
                <w:rFonts w:asciiTheme="minorHAnsi" w:hAnsiTheme="minorHAnsi" w:cstheme="minorHAnsi"/>
                <w:sz w:val="22"/>
                <w:szCs w:val="22"/>
                <w:lang w:val="hr-HR"/>
              </w:rPr>
            </w:pPr>
            <w:r w:rsidRPr="00CD3A2D">
              <w:rPr>
                <w:rFonts w:asciiTheme="minorHAnsi" w:hAnsiTheme="minorHAnsi" w:cstheme="minorHAnsi"/>
                <w:sz w:val="22"/>
                <w:szCs w:val="22"/>
                <w:lang w:val="hr-HR"/>
              </w:rPr>
              <w:t>Dužnički vrijednosni papiri po amortiziranom trošku</w:t>
            </w:r>
          </w:p>
        </w:tc>
        <w:tc>
          <w:tcPr>
            <w:tcW w:w="992" w:type="dxa"/>
            <w:vAlign w:val="bottom"/>
          </w:tcPr>
          <w:p w:rsidR="006071FE" w:rsidRPr="001567C8" w:rsidRDefault="006071FE" w:rsidP="00573F5D">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19</w:t>
            </w:r>
          </w:p>
        </w:tc>
        <w:tc>
          <w:tcPr>
            <w:tcW w:w="1346" w:type="dxa"/>
          </w:tcPr>
          <w:p w:rsidR="006071FE" w:rsidRPr="00CD3A2D" w:rsidRDefault="006071FE" w:rsidP="00573F5D">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1.363</w:t>
            </w:r>
          </w:p>
        </w:tc>
        <w:tc>
          <w:tcPr>
            <w:tcW w:w="1347" w:type="dxa"/>
            <w:tcBorders>
              <w:top w:val="nil"/>
              <w:left w:val="nil"/>
              <w:bottom w:val="nil"/>
              <w:right w:val="nil"/>
            </w:tcBorders>
            <w:shd w:val="clear" w:color="auto" w:fill="auto"/>
            <w:vAlign w:val="bottom"/>
          </w:tcPr>
          <w:p w:rsidR="006071FE" w:rsidRPr="00CD3A2D" w:rsidRDefault="006071FE" w:rsidP="00573F5D">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n/p</w:t>
            </w:r>
          </w:p>
        </w:tc>
      </w:tr>
      <w:tr w:rsidR="006071FE" w:rsidRPr="001567C8" w:rsidTr="00FB7A08">
        <w:trPr>
          <w:trHeight w:val="303"/>
        </w:trPr>
        <w:tc>
          <w:tcPr>
            <w:tcW w:w="5529" w:type="dxa"/>
          </w:tcPr>
          <w:p w:rsidR="006071FE" w:rsidRPr="001567C8" w:rsidRDefault="006071FE" w:rsidP="00573F5D">
            <w:pPr>
              <w:pStyle w:val="TT"/>
              <w:rPr>
                <w:rFonts w:asciiTheme="minorHAnsi" w:hAnsiTheme="minorHAnsi" w:cs="Arial"/>
                <w:sz w:val="22"/>
                <w:szCs w:val="22"/>
                <w:lang w:val="hr-HR"/>
              </w:rPr>
            </w:pPr>
            <w:r w:rsidRPr="001567C8">
              <w:rPr>
                <w:rFonts w:asciiTheme="minorHAnsi" w:hAnsiTheme="minorHAnsi" w:cs="Arial"/>
                <w:sz w:val="22"/>
                <w:szCs w:val="22"/>
                <w:lang w:val="hr-HR"/>
              </w:rPr>
              <w:t>Imovina raspoloživa za prodaju</w:t>
            </w:r>
          </w:p>
        </w:tc>
        <w:tc>
          <w:tcPr>
            <w:tcW w:w="992" w:type="dxa"/>
            <w:vAlign w:val="bottom"/>
          </w:tcPr>
          <w:p w:rsidR="006071FE" w:rsidRPr="001567C8" w:rsidRDefault="006071FE" w:rsidP="00573F5D">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20</w:t>
            </w:r>
          </w:p>
        </w:tc>
        <w:tc>
          <w:tcPr>
            <w:tcW w:w="1346" w:type="dxa"/>
          </w:tcPr>
          <w:p w:rsidR="006071FE" w:rsidRPr="001567C8" w:rsidRDefault="006071FE" w:rsidP="00573F5D">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n/p</w:t>
            </w:r>
          </w:p>
        </w:tc>
        <w:tc>
          <w:tcPr>
            <w:tcW w:w="1347" w:type="dxa"/>
            <w:vAlign w:val="bottom"/>
          </w:tcPr>
          <w:p w:rsidR="006071FE" w:rsidRPr="001567C8" w:rsidRDefault="006071FE" w:rsidP="00573F5D">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3.321.564</w:t>
            </w:r>
          </w:p>
        </w:tc>
      </w:tr>
      <w:tr w:rsidR="006071FE" w:rsidRPr="001567C8" w:rsidTr="00FB7A08">
        <w:trPr>
          <w:trHeight w:val="303"/>
        </w:trPr>
        <w:tc>
          <w:tcPr>
            <w:tcW w:w="5529" w:type="dxa"/>
          </w:tcPr>
          <w:p w:rsidR="006071FE" w:rsidRPr="001567C8" w:rsidRDefault="006071FE" w:rsidP="00573F5D">
            <w:pPr>
              <w:pStyle w:val="TT"/>
              <w:rPr>
                <w:rFonts w:asciiTheme="minorHAnsi" w:hAnsiTheme="minorHAnsi" w:cs="Arial"/>
                <w:sz w:val="22"/>
                <w:szCs w:val="22"/>
                <w:lang w:val="hr-HR"/>
              </w:rPr>
            </w:pPr>
            <w:r w:rsidRPr="001567C8">
              <w:rPr>
                <w:rFonts w:asciiTheme="minorHAnsi" w:hAnsiTheme="minorHAnsi" w:cs="Arial"/>
                <w:sz w:val="22"/>
                <w:szCs w:val="22"/>
                <w:lang w:val="hr-HR"/>
              </w:rPr>
              <w:t>Imovina koja se drži do dospijeća</w:t>
            </w:r>
          </w:p>
        </w:tc>
        <w:tc>
          <w:tcPr>
            <w:tcW w:w="992" w:type="dxa"/>
            <w:vAlign w:val="bottom"/>
          </w:tcPr>
          <w:p w:rsidR="006071FE" w:rsidRPr="001567C8" w:rsidRDefault="006071FE" w:rsidP="00573F5D">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21</w:t>
            </w:r>
          </w:p>
        </w:tc>
        <w:tc>
          <w:tcPr>
            <w:tcW w:w="1346" w:type="dxa"/>
          </w:tcPr>
          <w:p w:rsidR="006071FE" w:rsidRPr="001567C8" w:rsidRDefault="006071FE" w:rsidP="00573F5D">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n/p</w:t>
            </w:r>
          </w:p>
        </w:tc>
        <w:tc>
          <w:tcPr>
            <w:tcW w:w="1347" w:type="dxa"/>
          </w:tcPr>
          <w:p w:rsidR="006071FE" w:rsidRPr="001567C8" w:rsidRDefault="006071FE" w:rsidP="00573F5D">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1.399</w:t>
            </w:r>
          </w:p>
        </w:tc>
      </w:tr>
      <w:tr w:rsidR="006071FE" w:rsidRPr="001567C8" w:rsidTr="00FB7A08">
        <w:trPr>
          <w:trHeight w:val="291"/>
        </w:trPr>
        <w:tc>
          <w:tcPr>
            <w:tcW w:w="5529" w:type="dxa"/>
          </w:tcPr>
          <w:p w:rsidR="006071FE" w:rsidRPr="001567C8" w:rsidRDefault="006071FE" w:rsidP="00573F5D">
            <w:pPr>
              <w:pStyle w:val="TT"/>
              <w:rPr>
                <w:rFonts w:asciiTheme="minorHAnsi" w:hAnsiTheme="minorHAnsi" w:cs="Arial"/>
                <w:sz w:val="22"/>
                <w:szCs w:val="22"/>
                <w:lang w:val="hr-HR"/>
              </w:rPr>
            </w:pPr>
            <w:r w:rsidRPr="001567C8">
              <w:rPr>
                <w:rFonts w:asciiTheme="minorHAnsi" w:hAnsiTheme="minorHAnsi" w:cs="Arial"/>
                <w:sz w:val="22"/>
                <w:szCs w:val="22"/>
                <w:lang w:val="hr-HR"/>
              </w:rPr>
              <w:t>Ulaganja u pridružena društva</w:t>
            </w:r>
          </w:p>
        </w:tc>
        <w:tc>
          <w:tcPr>
            <w:tcW w:w="992" w:type="dxa"/>
            <w:vAlign w:val="bottom"/>
          </w:tcPr>
          <w:p w:rsidR="006071FE" w:rsidRPr="001567C8" w:rsidRDefault="006071FE" w:rsidP="00573F5D">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23</w:t>
            </w:r>
          </w:p>
        </w:tc>
        <w:tc>
          <w:tcPr>
            <w:tcW w:w="1346" w:type="dxa"/>
          </w:tcPr>
          <w:p w:rsidR="006071FE" w:rsidRPr="001567C8" w:rsidRDefault="006071FE" w:rsidP="00573F5D">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w:t>
            </w:r>
          </w:p>
        </w:tc>
        <w:tc>
          <w:tcPr>
            <w:tcW w:w="1347" w:type="dxa"/>
            <w:tcBorders>
              <w:top w:val="nil"/>
              <w:left w:val="nil"/>
              <w:bottom w:val="nil"/>
              <w:right w:val="nil"/>
            </w:tcBorders>
            <w:shd w:val="clear" w:color="auto" w:fill="auto"/>
            <w:vAlign w:val="center"/>
          </w:tcPr>
          <w:p w:rsidR="006071FE" w:rsidRPr="001567C8" w:rsidRDefault="006071FE" w:rsidP="00573F5D">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w:t>
            </w: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Nekretnine, postrojenja i oprema i nematerijalna imovina</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24</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50.832</w:t>
            </w:r>
          </w:p>
        </w:tc>
        <w:tc>
          <w:tcPr>
            <w:tcW w:w="1347" w:type="dxa"/>
            <w:tcBorders>
              <w:top w:val="nil"/>
              <w:left w:val="nil"/>
              <w:bottom w:val="nil"/>
              <w:right w:val="nil"/>
            </w:tcBorders>
            <w:shd w:val="clear" w:color="auto" w:fill="auto"/>
            <w:vAlign w:val="bottom"/>
          </w:tcPr>
          <w:p w:rsidR="006071FE" w:rsidRPr="001567C8" w:rsidRDefault="006071FE" w:rsidP="006071F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53.557</w:t>
            </w:r>
          </w:p>
        </w:tc>
      </w:tr>
      <w:tr w:rsidR="006071FE" w:rsidRPr="001567C8" w:rsidTr="00FB7A08">
        <w:trPr>
          <w:trHeight w:val="303"/>
        </w:trPr>
        <w:tc>
          <w:tcPr>
            <w:tcW w:w="5529" w:type="dxa"/>
          </w:tcPr>
          <w:p w:rsidR="006071FE" w:rsidRPr="001567C8" w:rsidRDefault="00A553F7" w:rsidP="006071FE">
            <w:pPr>
              <w:pStyle w:val="TT"/>
              <w:rPr>
                <w:rFonts w:asciiTheme="minorHAnsi" w:hAnsiTheme="minorHAnsi" w:cs="Arial"/>
                <w:sz w:val="22"/>
                <w:szCs w:val="22"/>
                <w:lang w:val="hr-HR"/>
              </w:rPr>
            </w:pPr>
            <w:r w:rsidRPr="00A553F7">
              <w:rPr>
                <w:rFonts w:asciiTheme="minorHAnsi" w:hAnsiTheme="minorHAnsi" w:cs="Arial"/>
                <w:sz w:val="22"/>
                <w:szCs w:val="22"/>
                <w:lang w:val="hr-HR"/>
              </w:rPr>
              <w:t>Preuzeta imovina</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25</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25.330</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16.697</w:t>
            </w: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Ostala imovina</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26</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23.704</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29.471</w:t>
            </w:r>
          </w:p>
        </w:tc>
      </w:tr>
      <w:tr w:rsidR="006071FE" w:rsidRPr="001567C8" w:rsidTr="00FB7A08">
        <w:trPr>
          <w:trHeight w:val="341"/>
        </w:trPr>
        <w:tc>
          <w:tcPr>
            <w:tcW w:w="5529" w:type="dxa"/>
          </w:tcPr>
          <w:p w:rsidR="006071FE" w:rsidRPr="001567C8" w:rsidRDefault="006071FE" w:rsidP="00573F5D">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Ukupna imovina</w:t>
            </w:r>
          </w:p>
        </w:tc>
        <w:tc>
          <w:tcPr>
            <w:tcW w:w="992" w:type="dxa"/>
            <w:vAlign w:val="bottom"/>
          </w:tcPr>
          <w:p w:rsidR="006071FE" w:rsidRPr="001567C8" w:rsidRDefault="006071FE" w:rsidP="00573F5D">
            <w:pPr>
              <w:pStyle w:val="Tot"/>
              <w:jc w:val="center"/>
              <w:rPr>
                <w:rFonts w:asciiTheme="minorHAnsi" w:hAnsiTheme="minorHAnsi" w:cs="Arial"/>
                <w:b/>
                <w:bCs/>
                <w:sz w:val="22"/>
                <w:szCs w:val="22"/>
                <w:lang w:val="hr-HR"/>
              </w:rPr>
            </w:pPr>
          </w:p>
        </w:tc>
        <w:tc>
          <w:tcPr>
            <w:tcW w:w="1346" w:type="dxa"/>
            <w:tcBorders>
              <w:top w:val="single" w:sz="2" w:space="0" w:color="auto"/>
              <w:bottom w:val="single" w:sz="12" w:space="0" w:color="auto"/>
            </w:tcBorders>
          </w:tcPr>
          <w:p w:rsidR="006071FE" w:rsidRPr="001567C8" w:rsidRDefault="006071FE" w:rsidP="00573F5D">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27.218.981</w:t>
            </w:r>
          </w:p>
        </w:tc>
        <w:tc>
          <w:tcPr>
            <w:tcW w:w="1347" w:type="dxa"/>
            <w:tcBorders>
              <w:top w:val="single" w:sz="2" w:space="0" w:color="auto"/>
              <w:bottom w:val="single" w:sz="12" w:space="0" w:color="auto"/>
            </w:tcBorders>
            <w:vAlign w:val="center"/>
          </w:tcPr>
          <w:p w:rsidR="006071FE" w:rsidRPr="001567C8" w:rsidRDefault="006071FE" w:rsidP="00573F5D">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28.075.561</w:t>
            </w:r>
          </w:p>
        </w:tc>
      </w:tr>
      <w:tr w:rsidR="006071FE" w:rsidRPr="001567C8" w:rsidTr="00FB7A08">
        <w:trPr>
          <w:trHeight w:val="291"/>
        </w:trPr>
        <w:tc>
          <w:tcPr>
            <w:tcW w:w="5529" w:type="dxa"/>
          </w:tcPr>
          <w:p w:rsidR="006071FE" w:rsidRPr="001567C8" w:rsidRDefault="006071FE" w:rsidP="00573F5D">
            <w:pPr>
              <w:pStyle w:val="TT"/>
              <w:rPr>
                <w:rFonts w:asciiTheme="minorHAnsi" w:hAnsiTheme="minorHAnsi" w:cs="Arial"/>
                <w:b/>
                <w:bCs/>
                <w:sz w:val="22"/>
                <w:szCs w:val="22"/>
                <w:lang w:val="hr-HR"/>
              </w:rPr>
            </w:pPr>
            <w:r w:rsidRPr="001567C8">
              <w:rPr>
                <w:rFonts w:asciiTheme="minorHAnsi" w:hAnsiTheme="minorHAnsi" w:cs="Arial"/>
                <w:b/>
                <w:bCs/>
                <w:sz w:val="22"/>
                <w:szCs w:val="22"/>
                <w:lang w:val="hr-HR"/>
              </w:rPr>
              <w:t>Obveze</w:t>
            </w:r>
          </w:p>
        </w:tc>
        <w:tc>
          <w:tcPr>
            <w:tcW w:w="992" w:type="dxa"/>
            <w:vAlign w:val="bottom"/>
          </w:tcPr>
          <w:p w:rsidR="006071FE" w:rsidRPr="001567C8" w:rsidRDefault="006071FE" w:rsidP="00573F5D">
            <w:pPr>
              <w:pStyle w:val="TT"/>
              <w:rPr>
                <w:rFonts w:asciiTheme="minorHAnsi" w:hAnsiTheme="minorHAnsi" w:cs="Arial"/>
                <w:b/>
                <w:bCs/>
                <w:sz w:val="22"/>
                <w:szCs w:val="22"/>
                <w:lang w:val="hr-HR"/>
              </w:rPr>
            </w:pPr>
          </w:p>
        </w:tc>
        <w:tc>
          <w:tcPr>
            <w:tcW w:w="1346" w:type="dxa"/>
          </w:tcPr>
          <w:p w:rsidR="006071FE" w:rsidRPr="001567C8" w:rsidRDefault="006071FE" w:rsidP="00573F5D">
            <w:pPr>
              <w:pStyle w:val="TT"/>
              <w:jc w:val="right"/>
              <w:rPr>
                <w:rFonts w:asciiTheme="minorHAnsi" w:hAnsiTheme="minorHAnsi" w:cs="Arial"/>
                <w:b/>
                <w:bCs/>
                <w:sz w:val="22"/>
                <w:szCs w:val="22"/>
                <w:lang w:val="hr-HR"/>
              </w:rPr>
            </w:pPr>
          </w:p>
        </w:tc>
        <w:tc>
          <w:tcPr>
            <w:tcW w:w="1347" w:type="dxa"/>
            <w:vAlign w:val="bottom"/>
          </w:tcPr>
          <w:p w:rsidR="006071FE" w:rsidRPr="001567C8" w:rsidRDefault="006071FE" w:rsidP="00573F5D">
            <w:pPr>
              <w:pStyle w:val="TT"/>
              <w:jc w:val="right"/>
              <w:rPr>
                <w:rFonts w:asciiTheme="minorHAnsi" w:hAnsiTheme="minorHAnsi" w:cs="Arial"/>
                <w:b/>
                <w:bCs/>
                <w:sz w:val="22"/>
                <w:szCs w:val="22"/>
                <w:lang w:val="hr-HR"/>
              </w:rPr>
            </w:pP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Obveze po depozitima</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27</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429.096</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644.741</w:t>
            </w: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Obveze po kreditima</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28</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14.877.987</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15.387.881</w:t>
            </w: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Obveze za izdane dugoročne vrijednosne papire</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29</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1.150.557</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1.161.699</w:t>
            </w: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Ostale obveze</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30</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sz w:val="22"/>
                <w:szCs w:val="22"/>
                <w:lang w:val="hr-HR"/>
              </w:rPr>
            </w:pPr>
            <w:r w:rsidRPr="00CD3A2D">
              <w:rPr>
                <w:rFonts w:ascii="Calibri" w:hAnsi="Calibri" w:cs="Calibri"/>
                <w:color w:val="000000"/>
                <w:sz w:val="22"/>
                <w:szCs w:val="22"/>
                <w:lang w:val="hr-HR"/>
              </w:rPr>
              <w:t>700.234</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z w:val="22"/>
                <w:szCs w:val="22"/>
                <w:lang w:val="hr-HR"/>
              </w:rPr>
            </w:pPr>
            <w:r w:rsidRPr="00CD3A2D">
              <w:rPr>
                <w:rFonts w:ascii="Calibri" w:hAnsi="Calibri" w:cs="Calibri"/>
                <w:sz w:val="22"/>
                <w:szCs w:val="22"/>
                <w:lang w:val="hr-HR"/>
              </w:rPr>
              <w:t>605.453</w:t>
            </w:r>
          </w:p>
        </w:tc>
      </w:tr>
      <w:tr w:rsidR="006071FE" w:rsidRPr="001567C8" w:rsidTr="00FB7A08">
        <w:trPr>
          <w:trHeight w:val="341"/>
        </w:trPr>
        <w:tc>
          <w:tcPr>
            <w:tcW w:w="5529" w:type="dxa"/>
          </w:tcPr>
          <w:p w:rsidR="006071FE" w:rsidRPr="001567C8" w:rsidRDefault="006071FE" w:rsidP="00573F5D">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Ukupne obveze</w:t>
            </w:r>
          </w:p>
        </w:tc>
        <w:tc>
          <w:tcPr>
            <w:tcW w:w="992" w:type="dxa"/>
            <w:vAlign w:val="bottom"/>
          </w:tcPr>
          <w:p w:rsidR="006071FE" w:rsidRPr="001567C8" w:rsidRDefault="006071FE" w:rsidP="00573F5D">
            <w:pPr>
              <w:pStyle w:val="Tot"/>
              <w:rPr>
                <w:rFonts w:asciiTheme="minorHAnsi" w:hAnsiTheme="minorHAnsi" w:cs="Arial"/>
                <w:b/>
                <w:bCs/>
                <w:sz w:val="22"/>
                <w:szCs w:val="22"/>
                <w:lang w:val="hr-HR"/>
              </w:rPr>
            </w:pPr>
          </w:p>
        </w:tc>
        <w:tc>
          <w:tcPr>
            <w:tcW w:w="1346" w:type="dxa"/>
            <w:tcBorders>
              <w:top w:val="single" w:sz="2" w:space="0" w:color="auto"/>
              <w:bottom w:val="single" w:sz="12" w:space="0" w:color="auto"/>
            </w:tcBorders>
          </w:tcPr>
          <w:p w:rsidR="006071FE" w:rsidRPr="001567C8" w:rsidRDefault="006071FE" w:rsidP="00573F5D">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17.157.874</w:t>
            </w:r>
          </w:p>
        </w:tc>
        <w:tc>
          <w:tcPr>
            <w:tcW w:w="1347" w:type="dxa"/>
            <w:tcBorders>
              <w:top w:val="single" w:sz="2" w:space="0" w:color="auto"/>
              <w:bottom w:val="single" w:sz="12" w:space="0" w:color="auto"/>
            </w:tcBorders>
            <w:vAlign w:val="bottom"/>
          </w:tcPr>
          <w:p w:rsidR="006071FE" w:rsidRPr="001567C8" w:rsidRDefault="006071FE" w:rsidP="00573F5D">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17.799.774</w:t>
            </w:r>
          </w:p>
        </w:tc>
      </w:tr>
      <w:tr w:rsidR="006071FE" w:rsidRPr="001567C8" w:rsidTr="00FB7A08">
        <w:trPr>
          <w:trHeight w:val="303"/>
        </w:trPr>
        <w:tc>
          <w:tcPr>
            <w:tcW w:w="5529" w:type="dxa"/>
          </w:tcPr>
          <w:p w:rsidR="006071FE" w:rsidRPr="001567C8" w:rsidRDefault="006071FE" w:rsidP="00573F5D">
            <w:pPr>
              <w:pStyle w:val="TT"/>
              <w:rPr>
                <w:rFonts w:asciiTheme="minorHAnsi" w:hAnsiTheme="minorHAnsi" w:cs="Arial"/>
                <w:b/>
                <w:bCs/>
                <w:sz w:val="22"/>
                <w:szCs w:val="22"/>
                <w:lang w:val="hr-HR"/>
              </w:rPr>
            </w:pPr>
            <w:r w:rsidRPr="001567C8">
              <w:rPr>
                <w:rFonts w:asciiTheme="minorHAnsi" w:hAnsiTheme="minorHAnsi" w:cs="Arial"/>
                <w:b/>
                <w:bCs/>
                <w:sz w:val="22"/>
                <w:szCs w:val="22"/>
                <w:lang w:val="hr-HR"/>
              </w:rPr>
              <w:t>Kapital</w:t>
            </w:r>
            <w:r w:rsidR="00887196" w:rsidRPr="001567C8">
              <w:rPr>
                <w:rFonts w:asciiTheme="minorHAnsi" w:hAnsiTheme="minorHAnsi" w:cs="Arial"/>
                <w:b/>
                <w:bCs/>
                <w:sz w:val="22"/>
                <w:szCs w:val="22"/>
                <w:lang w:val="hr-HR"/>
              </w:rPr>
              <w:t xml:space="preserve"> i rezerve</w:t>
            </w:r>
          </w:p>
        </w:tc>
        <w:tc>
          <w:tcPr>
            <w:tcW w:w="992" w:type="dxa"/>
            <w:vAlign w:val="bottom"/>
          </w:tcPr>
          <w:p w:rsidR="006071FE" w:rsidRPr="001567C8" w:rsidRDefault="006071FE" w:rsidP="00573F5D">
            <w:pPr>
              <w:pStyle w:val="TT"/>
              <w:rPr>
                <w:rFonts w:asciiTheme="minorHAnsi" w:hAnsiTheme="minorHAnsi" w:cs="Arial"/>
                <w:b/>
                <w:bCs/>
                <w:sz w:val="22"/>
                <w:szCs w:val="22"/>
                <w:lang w:val="hr-HR"/>
              </w:rPr>
            </w:pPr>
          </w:p>
        </w:tc>
        <w:tc>
          <w:tcPr>
            <w:tcW w:w="1346" w:type="dxa"/>
          </w:tcPr>
          <w:p w:rsidR="006071FE" w:rsidRPr="001567C8" w:rsidRDefault="006071FE" w:rsidP="00573F5D">
            <w:pPr>
              <w:pStyle w:val="TT"/>
              <w:jc w:val="right"/>
              <w:rPr>
                <w:rFonts w:asciiTheme="minorHAnsi" w:hAnsiTheme="minorHAnsi" w:cs="Arial"/>
                <w:b/>
                <w:bCs/>
                <w:sz w:val="22"/>
                <w:szCs w:val="22"/>
                <w:lang w:val="hr-HR"/>
              </w:rPr>
            </w:pPr>
          </w:p>
        </w:tc>
        <w:tc>
          <w:tcPr>
            <w:tcW w:w="1347" w:type="dxa"/>
            <w:vAlign w:val="bottom"/>
          </w:tcPr>
          <w:p w:rsidR="006071FE" w:rsidRPr="001567C8" w:rsidRDefault="006071FE" w:rsidP="00573F5D">
            <w:pPr>
              <w:pStyle w:val="TT"/>
              <w:jc w:val="right"/>
              <w:rPr>
                <w:rFonts w:asciiTheme="minorHAnsi" w:hAnsiTheme="minorHAnsi" w:cs="Arial"/>
                <w:b/>
                <w:bCs/>
                <w:sz w:val="22"/>
                <w:szCs w:val="22"/>
                <w:lang w:val="hr-HR"/>
              </w:rPr>
            </w:pP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Osnivački kapital</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31</w:t>
            </w: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7.059.632</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7.009.632</w:t>
            </w: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Zadržana dobit i rezerve</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2.717.118</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2.996.968</w:t>
            </w:r>
          </w:p>
        </w:tc>
      </w:tr>
      <w:tr w:rsidR="006071FE" w:rsidRPr="001567C8" w:rsidTr="00FB7A08">
        <w:trPr>
          <w:trHeight w:val="303"/>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Ostale rezerve</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67.474</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94.683</w:t>
            </w:r>
          </w:p>
        </w:tc>
      </w:tr>
      <w:tr w:rsidR="006071FE" w:rsidRPr="001567C8" w:rsidTr="00FB7A08">
        <w:trPr>
          <w:trHeight w:val="291"/>
        </w:trPr>
        <w:tc>
          <w:tcPr>
            <w:tcW w:w="5529" w:type="dxa"/>
          </w:tcPr>
          <w:p w:rsidR="006071FE" w:rsidRPr="001567C8" w:rsidRDefault="006071FE"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Dobit tekuće godine</w:t>
            </w:r>
          </w:p>
        </w:tc>
        <w:tc>
          <w:tcPr>
            <w:tcW w:w="992" w:type="dxa"/>
            <w:vAlign w:val="bottom"/>
          </w:tcPr>
          <w:p w:rsidR="006071FE" w:rsidRPr="001567C8" w:rsidRDefault="006071FE" w:rsidP="006071FE">
            <w:pPr>
              <w:pStyle w:val="TT"/>
              <w:jc w:val="center"/>
              <w:rPr>
                <w:rFonts w:asciiTheme="minorHAnsi" w:hAnsiTheme="minorHAnsi" w:cs="Arial"/>
                <w:sz w:val="22"/>
                <w:szCs w:val="22"/>
                <w:lang w:val="hr-HR"/>
              </w:rPr>
            </w:pPr>
          </w:p>
        </w:tc>
        <w:tc>
          <w:tcPr>
            <w:tcW w:w="1346" w:type="dxa"/>
            <w:tcBorders>
              <w:top w:val="nil"/>
              <w:left w:val="nil"/>
              <w:bottom w:val="nil"/>
              <w:right w:val="nil"/>
            </w:tcBorders>
            <w:shd w:val="clear" w:color="auto" w:fill="auto"/>
            <w:vAlign w:val="center"/>
          </w:tcPr>
          <w:p w:rsidR="006071FE" w:rsidRPr="00CD3A2D" w:rsidRDefault="006071FE"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204.737</w:t>
            </w:r>
          </w:p>
        </w:tc>
        <w:tc>
          <w:tcPr>
            <w:tcW w:w="1347" w:type="dxa"/>
            <w:tcBorders>
              <w:top w:val="nil"/>
              <w:left w:val="nil"/>
              <w:bottom w:val="nil"/>
              <w:right w:val="nil"/>
            </w:tcBorders>
            <w:shd w:val="clear" w:color="auto" w:fill="auto"/>
            <w:vAlign w:val="center"/>
          </w:tcPr>
          <w:p w:rsidR="006071FE" w:rsidRPr="001567C8" w:rsidRDefault="006071FE" w:rsidP="006071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162.201</w:t>
            </w:r>
          </w:p>
        </w:tc>
      </w:tr>
      <w:tr w:rsidR="00577947" w:rsidRPr="001567C8" w:rsidTr="00FB7A08">
        <w:trPr>
          <w:trHeight w:val="291"/>
        </w:trPr>
        <w:tc>
          <w:tcPr>
            <w:tcW w:w="5529" w:type="dxa"/>
          </w:tcPr>
          <w:p w:rsidR="00577947" w:rsidRPr="001567C8" w:rsidRDefault="00577947" w:rsidP="006071FE">
            <w:pPr>
              <w:pStyle w:val="TT"/>
              <w:rPr>
                <w:rFonts w:asciiTheme="minorHAnsi" w:hAnsiTheme="minorHAnsi" w:cs="Arial"/>
                <w:sz w:val="22"/>
                <w:szCs w:val="22"/>
                <w:lang w:val="hr-HR"/>
              </w:rPr>
            </w:pPr>
            <w:r w:rsidRPr="001567C8">
              <w:rPr>
                <w:rFonts w:asciiTheme="minorHAnsi" w:hAnsiTheme="minorHAnsi" w:cs="Arial"/>
                <w:sz w:val="22"/>
                <w:szCs w:val="22"/>
                <w:lang w:val="hr-HR"/>
              </w:rPr>
              <w:t>Garantni fond</w:t>
            </w:r>
          </w:p>
        </w:tc>
        <w:tc>
          <w:tcPr>
            <w:tcW w:w="992" w:type="dxa"/>
            <w:vAlign w:val="bottom"/>
          </w:tcPr>
          <w:p w:rsidR="00577947" w:rsidRPr="001567C8" w:rsidRDefault="00275EDD" w:rsidP="006071F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32</w:t>
            </w:r>
          </w:p>
        </w:tc>
        <w:tc>
          <w:tcPr>
            <w:tcW w:w="1346" w:type="dxa"/>
            <w:tcBorders>
              <w:top w:val="nil"/>
              <w:left w:val="nil"/>
              <w:bottom w:val="nil"/>
              <w:right w:val="nil"/>
            </w:tcBorders>
            <w:shd w:val="clear" w:color="auto" w:fill="auto"/>
            <w:vAlign w:val="center"/>
          </w:tcPr>
          <w:p w:rsidR="00577947" w:rsidRPr="00CD3A2D" w:rsidRDefault="00275EDD"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12.146</w:t>
            </w:r>
          </w:p>
        </w:tc>
        <w:tc>
          <w:tcPr>
            <w:tcW w:w="1347" w:type="dxa"/>
            <w:tcBorders>
              <w:top w:val="nil"/>
              <w:left w:val="nil"/>
              <w:bottom w:val="nil"/>
              <w:right w:val="nil"/>
            </w:tcBorders>
            <w:shd w:val="clear" w:color="auto" w:fill="auto"/>
            <w:vAlign w:val="center"/>
          </w:tcPr>
          <w:p w:rsidR="00577947" w:rsidRPr="00CD3A2D" w:rsidRDefault="00275EDD" w:rsidP="006071F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12.303</w:t>
            </w:r>
          </w:p>
        </w:tc>
      </w:tr>
      <w:tr w:rsidR="00036E60" w:rsidRPr="001567C8" w:rsidTr="00FB7A08">
        <w:trPr>
          <w:trHeight w:val="328"/>
        </w:trPr>
        <w:tc>
          <w:tcPr>
            <w:tcW w:w="5529" w:type="dxa"/>
          </w:tcPr>
          <w:p w:rsidR="00036E60" w:rsidRPr="001567C8" w:rsidRDefault="00275EDD" w:rsidP="00036E60">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Ukupni kapital i rezerve</w:t>
            </w:r>
          </w:p>
        </w:tc>
        <w:tc>
          <w:tcPr>
            <w:tcW w:w="992" w:type="dxa"/>
            <w:vAlign w:val="bottom"/>
          </w:tcPr>
          <w:p w:rsidR="00036E60" w:rsidRPr="001567C8" w:rsidRDefault="00036E60" w:rsidP="00036E60">
            <w:pPr>
              <w:pStyle w:val="Tot"/>
              <w:jc w:val="center"/>
              <w:rPr>
                <w:rFonts w:asciiTheme="minorHAnsi" w:hAnsiTheme="minorHAnsi" w:cs="Arial"/>
                <w:b/>
                <w:bCs/>
                <w:sz w:val="22"/>
                <w:szCs w:val="22"/>
                <w:lang w:val="hr-HR"/>
              </w:rPr>
            </w:pPr>
          </w:p>
        </w:tc>
        <w:tc>
          <w:tcPr>
            <w:tcW w:w="1346" w:type="dxa"/>
            <w:tcBorders>
              <w:top w:val="single" w:sz="4" w:space="0" w:color="auto"/>
              <w:left w:val="nil"/>
              <w:bottom w:val="single" w:sz="12" w:space="0" w:color="auto"/>
              <w:right w:val="nil"/>
            </w:tcBorders>
            <w:shd w:val="clear" w:color="auto" w:fill="auto"/>
            <w:vAlign w:val="center"/>
          </w:tcPr>
          <w:p w:rsidR="00036E60" w:rsidRPr="001567C8" w:rsidRDefault="00036E60" w:rsidP="00036E60">
            <w:pPr>
              <w:pStyle w:val="Tot"/>
              <w:jc w:val="right"/>
              <w:rPr>
                <w:rFonts w:asciiTheme="minorHAnsi" w:hAnsiTheme="minorHAnsi" w:cs="Arial"/>
                <w:b/>
                <w:bCs/>
                <w:sz w:val="22"/>
                <w:szCs w:val="22"/>
                <w:lang w:val="hr-HR"/>
              </w:rPr>
            </w:pPr>
            <w:r w:rsidRPr="00CD3A2D">
              <w:rPr>
                <w:rFonts w:ascii="Calibri" w:hAnsi="Calibri" w:cs="Calibri"/>
                <w:b/>
                <w:bCs/>
                <w:color w:val="000000"/>
                <w:sz w:val="22"/>
                <w:szCs w:val="22"/>
                <w:lang w:val="hr-HR"/>
              </w:rPr>
              <w:t>10.0</w:t>
            </w:r>
            <w:r w:rsidR="00275EDD" w:rsidRPr="00CD3A2D">
              <w:rPr>
                <w:rFonts w:ascii="Calibri" w:hAnsi="Calibri" w:cs="Calibri"/>
                <w:b/>
                <w:bCs/>
                <w:color w:val="000000"/>
                <w:sz w:val="22"/>
                <w:szCs w:val="22"/>
                <w:lang w:val="hr-HR"/>
              </w:rPr>
              <w:t>61</w:t>
            </w:r>
            <w:r w:rsidRPr="00CD3A2D">
              <w:rPr>
                <w:rFonts w:ascii="Calibri" w:hAnsi="Calibri" w:cs="Calibri"/>
                <w:b/>
                <w:bCs/>
                <w:color w:val="000000"/>
                <w:sz w:val="22"/>
                <w:szCs w:val="22"/>
                <w:lang w:val="hr-HR"/>
              </w:rPr>
              <w:t>.</w:t>
            </w:r>
            <w:r w:rsidR="00275EDD" w:rsidRPr="00CD3A2D">
              <w:rPr>
                <w:rFonts w:ascii="Calibri" w:hAnsi="Calibri" w:cs="Calibri"/>
                <w:b/>
                <w:bCs/>
                <w:color w:val="000000"/>
                <w:sz w:val="22"/>
                <w:szCs w:val="22"/>
                <w:lang w:val="hr-HR"/>
              </w:rPr>
              <w:t>107</w:t>
            </w:r>
          </w:p>
        </w:tc>
        <w:tc>
          <w:tcPr>
            <w:tcW w:w="1347" w:type="dxa"/>
            <w:tcBorders>
              <w:top w:val="single" w:sz="4" w:space="0" w:color="auto"/>
              <w:left w:val="nil"/>
              <w:bottom w:val="single" w:sz="12" w:space="0" w:color="auto"/>
              <w:right w:val="nil"/>
            </w:tcBorders>
            <w:shd w:val="clear" w:color="auto" w:fill="auto"/>
            <w:vAlign w:val="center"/>
          </w:tcPr>
          <w:p w:rsidR="00036E60" w:rsidRPr="001567C8" w:rsidRDefault="00036E60" w:rsidP="00036E60">
            <w:pPr>
              <w:pStyle w:val="Tot"/>
              <w:jc w:val="right"/>
              <w:rPr>
                <w:rFonts w:asciiTheme="minorHAnsi" w:hAnsiTheme="minorHAnsi" w:cs="Arial"/>
                <w:b/>
                <w:bCs/>
                <w:sz w:val="22"/>
                <w:szCs w:val="22"/>
                <w:lang w:val="hr-HR"/>
              </w:rPr>
            </w:pPr>
            <w:r w:rsidRPr="00CD3A2D">
              <w:rPr>
                <w:rFonts w:ascii="Calibri" w:hAnsi="Calibri" w:cs="Calibri"/>
                <w:b/>
                <w:bCs/>
                <w:color w:val="000000"/>
                <w:sz w:val="22"/>
                <w:szCs w:val="22"/>
                <w:lang w:val="hr-HR"/>
              </w:rPr>
              <w:t>10.2</w:t>
            </w:r>
            <w:r w:rsidR="00275EDD" w:rsidRPr="00CD3A2D">
              <w:rPr>
                <w:rFonts w:ascii="Calibri" w:hAnsi="Calibri" w:cs="Calibri"/>
                <w:b/>
                <w:bCs/>
                <w:color w:val="000000"/>
                <w:sz w:val="22"/>
                <w:szCs w:val="22"/>
                <w:lang w:val="hr-HR"/>
              </w:rPr>
              <w:t>75</w:t>
            </w:r>
            <w:r w:rsidRPr="00CD3A2D">
              <w:rPr>
                <w:rFonts w:ascii="Calibri" w:hAnsi="Calibri" w:cs="Calibri"/>
                <w:b/>
                <w:bCs/>
                <w:color w:val="000000"/>
                <w:sz w:val="22"/>
                <w:szCs w:val="22"/>
                <w:lang w:val="hr-HR"/>
              </w:rPr>
              <w:t>.</w:t>
            </w:r>
            <w:r w:rsidR="00275EDD" w:rsidRPr="00CD3A2D">
              <w:rPr>
                <w:rFonts w:ascii="Calibri" w:hAnsi="Calibri" w:cs="Calibri"/>
                <w:b/>
                <w:bCs/>
                <w:color w:val="000000"/>
                <w:sz w:val="22"/>
                <w:szCs w:val="22"/>
                <w:lang w:val="hr-HR"/>
              </w:rPr>
              <w:t>787</w:t>
            </w:r>
          </w:p>
        </w:tc>
      </w:tr>
      <w:tr w:rsidR="006071FE" w:rsidRPr="001567C8" w:rsidTr="00FB7A08">
        <w:trPr>
          <w:trHeight w:val="402"/>
        </w:trPr>
        <w:tc>
          <w:tcPr>
            <w:tcW w:w="5529" w:type="dxa"/>
            <w:vAlign w:val="bottom"/>
          </w:tcPr>
          <w:p w:rsidR="006071FE" w:rsidRPr="001567C8" w:rsidRDefault="006071FE" w:rsidP="00192E08">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Ukupne obveze i kapital</w:t>
            </w:r>
            <w:r w:rsidR="00887196" w:rsidRPr="001567C8">
              <w:rPr>
                <w:rFonts w:asciiTheme="minorHAnsi" w:hAnsiTheme="minorHAnsi" w:cs="Arial"/>
                <w:b/>
                <w:bCs/>
                <w:sz w:val="22"/>
                <w:szCs w:val="22"/>
                <w:lang w:val="hr-HR"/>
              </w:rPr>
              <w:t xml:space="preserve"> i rezerve</w:t>
            </w:r>
          </w:p>
        </w:tc>
        <w:tc>
          <w:tcPr>
            <w:tcW w:w="992" w:type="dxa"/>
            <w:vAlign w:val="bottom"/>
          </w:tcPr>
          <w:p w:rsidR="006071FE" w:rsidRPr="001567C8" w:rsidRDefault="006071FE" w:rsidP="00192E08">
            <w:pPr>
              <w:pStyle w:val="Tot"/>
              <w:jc w:val="center"/>
              <w:rPr>
                <w:rFonts w:asciiTheme="minorHAnsi" w:hAnsiTheme="minorHAnsi" w:cs="Arial"/>
                <w:b/>
                <w:bCs/>
                <w:sz w:val="22"/>
                <w:szCs w:val="22"/>
                <w:lang w:val="hr-HR"/>
              </w:rPr>
            </w:pPr>
          </w:p>
        </w:tc>
        <w:tc>
          <w:tcPr>
            <w:tcW w:w="1346" w:type="dxa"/>
            <w:tcBorders>
              <w:top w:val="single" w:sz="12" w:space="0" w:color="auto"/>
              <w:bottom w:val="single" w:sz="12" w:space="0" w:color="auto"/>
            </w:tcBorders>
            <w:vAlign w:val="bottom"/>
          </w:tcPr>
          <w:p w:rsidR="006071FE" w:rsidRPr="001567C8" w:rsidRDefault="006071FE" w:rsidP="00A55920">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27.218.981</w:t>
            </w:r>
          </w:p>
        </w:tc>
        <w:tc>
          <w:tcPr>
            <w:tcW w:w="1347" w:type="dxa"/>
            <w:tcBorders>
              <w:top w:val="single" w:sz="12" w:space="0" w:color="auto"/>
              <w:bottom w:val="single" w:sz="12" w:space="0" w:color="auto"/>
            </w:tcBorders>
            <w:vAlign w:val="bottom"/>
          </w:tcPr>
          <w:p w:rsidR="006071FE" w:rsidRPr="001567C8" w:rsidRDefault="006071FE" w:rsidP="00015F4E">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28.075.561</w:t>
            </w:r>
          </w:p>
        </w:tc>
      </w:tr>
    </w:tbl>
    <w:p w:rsidR="004418B3" w:rsidRPr="001567C8" w:rsidRDefault="004418B3" w:rsidP="00AA2521">
      <w:pPr>
        <w:pStyle w:val="T1"/>
        <w:keepNext w:val="0"/>
        <w:spacing w:before="0" w:after="0" w:line="240" w:lineRule="auto"/>
        <w:jc w:val="left"/>
        <w:rPr>
          <w:rFonts w:asciiTheme="minorHAnsi" w:hAnsiTheme="minorHAnsi"/>
          <w:b w:val="0"/>
          <w:bCs w:val="0"/>
          <w:sz w:val="22"/>
          <w:szCs w:val="22"/>
          <w:lang w:val="hr-HR"/>
        </w:rPr>
      </w:pPr>
    </w:p>
    <w:p w:rsidR="00573F5D" w:rsidRPr="001567C8" w:rsidRDefault="00573F5D" w:rsidP="00573F5D">
      <w:pPr>
        <w:pStyle w:val="T1"/>
        <w:keepNext w:val="0"/>
        <w:spacing w:before="0" w:after="0" w:line="301" w:lineRule="exact"/>
        <w:rPr>
          <w:rFonts w:asciiTheme="minorHAnsi" w:hAnsiTheme="minorHAnsi" w:cs="Arial"/>
          <w:b w:val="0"/>
          <w:bCs w:val="0"/>
          <w:i/>
          <w:sz w:val="20"/>
          <w:lang w:val="hr-HR"/>
        </w:rPr>
      </w:pPr>
      <w:r w:rsidRPr="001567C8">
        <w:rPr>
          <w:rFonts w:asciiTheme="minorHAnsi" w:hAnsiTheme="minorHAnsi" w:cs="Arial"/>
          <w:b w:val="0"/>
          <w:bCs w:val="0"/>
          <w:i/>
          <w:sz w:val="20"/>
          <w:lang w:val="hr-HR"/>
        </w:rPr>
        <w:t>*n/p = nije primjenjivo uslijed primjene MSFI-ja 9</w:t>
      </w:r>
    </w:p>
    <w:p w:rsidR="00192E08" w:rsidRPr="001567C8" w:rsidRDefault="00192E08" w:rsidP="00AA2521">
      <w:pPr>
        <w:pStyle w:val="T1"/>
        <w:keepNext w:val="0"/>
        <w:spacing w:before="0" w:after="0" w:line="240" w:lineRule="auto"/>
        <w:jc w:val="left"/>
        <w:rPr>
          <w:rFonts w:asciiTheme="minorHAnsi" w:hAnsiTheme="minorHAnsi" w:cs="Arial"/>
          <w:b w:val="0"/>
          <w:bCs w:val="0"/>
          <w:sz w:val="22"/>
          <w:szCs w:val="22"/>
          <w:lang w:val="hr-HR"/>
        </w:rPr>
      </w:pPr>
    </w:p>
    <w:p w:rsidR="00192E08" w:rsidRPr="001567C8" w:rsidRDefault="00192E08" w:rsidP="003C6BA3">
      <w:pPr>
        <w:pStyle w:val="T1"/>
        <w:keepNext w:val="0"/>
        <w:spacing w:before="0" w:after="0" w:line="240" w:lineRule="auto"/>
        <w:rPr>
          <w:rFonts w:asciiTheme="minorHAnsi" w:hAnsiTheme="minorHAnsi" w:cs="Arial"/>
          <w:b w:val="0"/>
          <w:bCs w:val="0"/>
          <w:sz w:val="22"/>
          <w:szCs w:val="22"/>
          <w:lang w:val="hr-HR"/>
        </w:rPr>
        <w:sectPr w:rsidR="00192E08" w:rsidRPr="001567C8" w:rsidSect="000D6913">
          <w:headerReference w:type="even" r:id="rId60"/>
          <w:headerReference w:type="default" r:id="rId61"/>
          <w:pgSz w:w="11907" w:h="16840" w:code="9"/>
          <w:pgMar w:top="1418" w:right="850" w:bottom="1134" w:left="1418" w:header="851" w:footer="851" w:gutter="0"/>
          <w:cols w:space="720"/>
          <w:noEndnote/>
        </w:sectPr>
      </w:pPr>
      <w:bookmarkStart w:id="40" w:name="_Hlk2247120"/>
      <w:r w:rsidRPr="001567C8">
        <w:rPr>
          <w:rFonts w:asciiTheme="minorHAnsi" w:hAnsiTheme="minorHAnsi" w:cs="Arial"/>
          <w:b w:val="0"/>
          <w:bCs w:val="0"/>
          <w:sz w:val="22"/>
          <w:szCs w:val="22"/>
          <w:lang w:val="hr-HR"/>
        </w:rPr>
        <w:t>Priložene računovodstvene politike i bilješke sastavni su dio ovih financijskih izvještaja.</w:t>
      </w:r>
    </w:p>
    <w:bookmarkEnd w:id="40"/>
    <w:p w:rsidR="00AE4763" w:rsidRPr="001567C8" w:rsidRDefault="00AE4763" w:rsidP="00AE4763">
      <w:pPr>
        <w:pStyle w:val="T1"/>
        <w:keepNext w:val="0"/>
        <w:spacing w:before="0" w:after="0" w:line="240" w:lineRule="auto"/>
        <w:rPr>
          <w:rFonts w:asciiTheme="minorHAnsi" w:hAnsiTheme="minorHAnsi" w:cs="Arial"/>
          <w:b w:val="0"/>
          <w:bCs w:val="0"/>
          <w:i/>
          <w:sz w:val="20"/>
          <w:lang w:val="hr-HR"/>
        </w:rPr>
      </w:pPr>
    </w:p>
    <w:tbl>
      <w:tblPr>
        <w:tblW w:w="10019" w:type="dxa"/>
        <w:tblInd w:w="-284" w:type="dxa"/>
        <w:tblLayout w:type="fixed"/>
        <w:tblCellMar>
          <w:left w:w="119" w:type="dxa"/>
          <w:right w:w="119" w:type="dxa"/>
        </w:tblCellMar>
        <w:tblLook w:val="0000" w:firstRow="0" w:lastRow="0" w:firstColumn="0" w:lastColumn="0" w:noHBand="0" w:noVBand="0"/>
      </w:tblPr>
      <w:tblGrid>
        <w:gridCol w:w="7515"/>
        <w:gridCol w:w="1252"/>
        <w:gridCol w:w="1252"/>
      </w:tblGrid>
      <w:tr w:rsidR="00AE4763" w:rsidRPr="001567C8" w:rsidTr="003C6BA3">
        <w:trPr>
          <w:trHeight w:val="173"/>
        </w:trPr>
        <w:tc>
          <w:tcPr>
            <w:tcW w:w="7515" w:type="dxa"/>
          </w:tcPr>
          <w:p w:rsidR="00AE4763" w:rsidRPr="001567C8" w:rsidRDefault="00AE4763" w:rsidP="00AE4763">
            <w:pPr>
              <w:pStyle w:val="TH"/>
              <w:keepLines/>
              <w:spacing w:line="210" w:lineRule="exact"/>
              <w:jc w:val="center"/>
              <w:rPr>
                <w:rFonts w:asciiTheme="minorHAnsi" w:hAnsiTheme="minorHAnsi" w:cstheme="minorHAnsi"/>
                <w:szCs w:val="19"/>
                <w:lang w:val="hr-HR"/>
              </w:rPr>
            </w:pPr>
            <w:r w:rsidRPr="001567C8">
              <w:rPr>
                <w:rFonts w:asciiTheme="minorHAnsi" w:hAnsiTheme="minorHAnsi" w:cstheme="minorHAnsi"/>
                <w:szCs w:val="19"/>
                <w:lang w:val="hr-HR"/>
              </w:rPr>
              <w:t xml:space="preserve">                                                                                                                              </w:t>
            </w:r>
            <w:r w:rsidR="00143164" w:rsidRPr="001567C8">
              <w:rPr>
                <w:rFonts w:asciiTheme="minorHAnsi" w:hAnsiTheme="minorHAnsi" w:cstheme="minorHAnsi"/>
                <w:szCs w:val="19"/>
                <w:lang w:val="hr-HR"/>
              </w:rPr>
              <w:t xml:space="preserve">     </w:t>
            </w:r>
            <w:r w:rsidRPr="001567C8">
              <w:rPr>
                <w:rFonts w:asciiTheme="minorHAnsi" w:hAnsiTheme="minorHAnsi" w:cstheme="minorHAnsi"/>
                <w:szCs w:val="19"/>
                <w:lang w:val="hr-HR"/>
              </w:rPr>
              <w:t xml:space="preserve">    Bilješka</w:t>
            </w:r>
          </w:p>
        </w:tc>
        <w:tc>
          <w:tcPr>
            <w:tcW w:w="1252" w:type="dxa"/>
            <w:vAlign w:val="bottom"/>
          </w:tcPr>
          <w:p w:rsidR="00AE4763" w:rsidRPr="001567C8" w:rsidRDefault="00AE4763" w:rsidP="004418B3">
            <w:pPr>
              <w:pStyle w:val="TH"/>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2018.</w:t>
            </w:r>
          </w:p>
        </w:tc>
        <w:tc>
          <w:tcPr>
            <w:tcW w:w="1252" w:type="dxa"/>
            <w:vAlign w:val="bottom"/>
          </w:tcPr>
          <w:p w:rsidR="00AE4763" w:rsidRPr="001567C8" w:rsidRDefault="00AE4763" w:rsidP="004418B3">
            <w:pPr>
              <w:pStyle w:val="TH"/>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2017.</w:t>
            </w:r>
          </w:p>
        </w:tc>
      </w:tr>
      <w:tr w:rsidR="00AE4763" w:rsidRPr="001567C8" w:rsidTr="003C6BA3">
        <w:trPr>
          <w:trHeight w:val="176"/>
        </w:trPr>
        <w:tc>
          <w:tcPr>
            <w:tcW w:w="7515" w:type="dxa"/>
          </w:tcPr>
          <w:p w:rsidR="00AE4763" w:rsidRPr="001567C8" w:rsidRDefault="00AE4763" w:rsidP="004418B3">
            <w:pPr>
              <w:pStyle w:val="TH"/>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 xml:space="preserve">                                                                                                                                     </w:t>
            </w:r>
          </w:p>
        </w:tc>
        <w:tc>
          <w:tcPr>
            <w:tcW w:w="1252" w:type="dxa"/>
            <w:vAlign w:val="bottom"/>
          </w:tcPr>
          <w:p w:rsidR="00AE4763" w:rsidRPr="001567C8" w:rsidRDefault="00AE4763" w:rsidP="004418B3">
            <w:pPr>
              <w:pStyle w:val="TH"/>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000 kuna</w:t>
            </w:r>
          </w:p>
        </w:tc>
        <w:tc>
          <w:tcPr>
            <w:tcW w:w="1252" w:type="dxa"/>
            <w:vAlign w:val="bottom"/>
          </w:tcPr>
          <w:p w:rsidR="00AE4763" w:rsidRPr="001567C8" w:rsidRDefault="00AE4763" w:rsidP="004418B3">
            <w:pPr>
              <w:pStyle w:val="TH"/>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000 kuna</w:t>
            </w:r>
          </w:p>
        </w:tc>
      </w:tr>
      <w:tr w:rsidR="00AE4763" w:rsidRPr="001567C8" w:rsidTr="003C6BA3">
        <w:tc>
          <w:tcPr>
            <w:tcW w:w="7515" w:type="dxa"/>
          </w:tcPr>
          <w:p w:rsidR="00AE4763" w:rsidRPr="001567C8" w:rsidRDefault="00AE4763" w:rsidP="004418B3">
            <w:pPr>
              <w:pStyle w:val="TT"/>
              <w:keepLines/>
              <w:spacing w:line="210" w:lineRule="exact"/>
              <w:rPr>
                <w:rFonts w:asciiTheme="minorHAnsi" w:hAnsiTheme="minorHAnsi" w:cstheme="minorHAnsi"/>
                <w:b/>
                <w:bCs/>
                <w:spacing w:val="-3"/>
                <w:szCs w:val="19"/>
                <w:lang w:val="hr-HR"/>
              </w:rPr>
            </w:pPr>
            <w:r w:rsidRPr="001567C8">
              <w:rPr>
                <w:rFonts w:asciiTheme="minorHAnsi" w:hAnsiTheme="minorHAnsi" w:cstheme="minorHAnsi"/>
                <w:b/>
                <w:bCs/>
                <w:szCs w:val="19"/>
                <w:lang w:val="hr-HR"/>
              </w:rPr>
              <w:t>Poslovne aktivnosti</w:t>
            </w:r>
          </w:p>
        </w:tc>
        <w:tc>
          <w:tcPr>
            <w:tcW w:w="1252" w:type="dxa"/>
          </w:tcPr>
          <w:p w:rsidR="00AE4763" w:rsidRPr="001567C8" w:rsidRDefault="00AE4763" w:rsidP="004418B3">
            <w:pPr>
              <w:pStyle w:val="TT"/>
              <w:keepLines/>
              <w:spacing w:line="210" w:lineRule="exact"/>
              <w:jc w:val="right"/>
              <w:rPr>
                <w:rFonts w:asciiTheme="minorHAnsi" w:hAnsiTheme="minorHAnsi" w:cstheme="minorHAnsi"/>
                <w:szCs w:val="19"/>
                <w:lang w:val="hr-HR"/>
              </w:rPr>
            </w:pPr>
          </w:p>
        </w:tc>
        <w:tc>
          <w:tcPr>
            <w:tcW w:w="1252" w:type="dxa"/>
          </w:tcPr>
          <w:p w:rsidR="00AE4763" w:rsidRPr="001567C8" w:rsidRDefault="00AE4763" w:rsidP="004418B3">
            <w:pPr>
              <w:pStyle w:val="TT"/>
              <w:keepLines/>
              <w:spacing w:line="210" w:lineRule="exact"/>
              <w:jc w:val="right"/>
              <w:rPr>
                <w:rFonts w:asciiTheme="minorHAnsi" w:hAnsiTheme="minorHAnsi" w:cstheme="minorHAnsi"/>
                <w:szCs w:val="19"/>
                <w:lang w:val="hr-HR"/>
              </w:rPr>
            </w:pPr>
          </w:p>
        </w:tc>
      </w:tr>
      <w:tr w:rsidR="00AE4763" w:rsidRPr="001567C8" w:rsidTr="003C6BA3">
        <w:tc>
          <w:tcPr>
            <w:tcW w:w="7515" w:type="dxa"/>
          </w:tcPr>
          <w:p w:rsidR="00AE4763" w:rsidRPr="001567C8" w:rsidRDefault="00AE4763" w:rsidP="004418B3">
            <w:pPr>
              <w:pStyle w:val="TT"/>
              <w:keepLines/>
              <w:spacing w:line="210" w:lineRule="exact"/>
              <w:rPr>
                <w:rFonts w:asciiTheme="minorHAnsi" w:hAnsiTheme="minorHAnsi" w:cstheme="minorHAnsi"/>
                <w:spacing w:val="-3"/>
                <w:szCs w:val="19"/>
                <w:lang w:val="hr-HR"/>
              </w:rPr>
            </w:pPr>
            <w:r w:rsidRPr="001567C8">
              <w:rPr>
                <w:rFonts w:asciiTheme="minorHAnsi" w:hAnsiTheme="minorHAnsi" w:cstheme="minorHAnsi"/>
                <w:szCs w:val="19"/>
                <w:lang w:val="hr-HR"/>
              </w:rPr>
              <w:t>Dobit prije oporezivanja</w:t>
            </w:r>
          </w:p>
        </w:tc>
        <w:tc>
          <w:tcPr>
            <w:tcW w:w="1252" w:type="dxa"/>
          </w:tcPr>
          <w:p w:rsidR="00AE4763" w:rsidRPr="00CD3A2D" w:rsidRDefault="00AE4763" w:rsidP="004418B3">
            <w:pPr>
              <w:pStyle w:val="TT"/>
              <w:keepLines/>
              <w:spacing w:line="210" w:lineRule="exact"/>
              <w:jc w:val="right"/>
              <w:rPr>
                <w:rFonts w:asciiTheme="minorHAnsi" w:hAnsiTheme="minorHAnsi" w:cstheme="minorHAnsi"/>
                <w:color w:val="000000"/>
                <w:szCs w:val="19"/>
                <w:lang w:val="hr-HR"/>
              </w:rPr>
            </w:pPr>
            <w:r w:rsidRPr="00CD3A2D">
              <w:rPr>
                <w:rFonts w:asciiTheme="minorHAnsi" w:hAnsiTheme="minorHAnsi" w:cstheme="minorHAnsi"/>
                <w:color w:val="000000"/>
                <w:szCs w:val="19"/>
                <w:lang w:val="hr-HR"/>
              </w:rPr>
              <w:t>204.76</w:t>
            </w:r>
            <w:r w:rsidR="00DC62D8" w:rsidRPr="00CD3A2D">
              <w:rPr>
                <w:rFonts w:asciiTheme="minorHAnsi" w:hAnsiTheme="minorHAnsi" w:cstheme="minorHAnsi"/>
                <w:color w:val="000000"/>
                <w:szCs w:val="19"/>
                <w:lang w:val="hr-HR"/>
              </w:rPr>
              <w:t>3</w:t>
            </w:r>
          </w:p>
        </w:tc>
        <w:tc>
          <w:tcPr>
            <w:tcW w:w="1252" w:type="dxa"/>
            <w:tcBorders>
              <w:top w:val="nil"/>
              <w:left w:val="nil"/>
              <w:bottom w:val="nil"/>
              <w:right w:val="nil"/>
            </w:tcBorders>
            <w:shd w:val="clear" w:color="auto" w:fill="auto"/>
            <w:vAlign w:val="center"/>
          </w:tcPr>
          <w:p w:rsidR="00AE4763" w:rsidRPr="001567C8" w:rsidRDefault="00AE4763" w:rsidP="004418B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color w:val="000000"/>
                <w:szCs w:val="19"/>
                <w:lang w:val="hr-HR"/>
              </w:rPr>
              <w:t>162.303</w:t>
            </w:r>
          </w:p>
        </w:tc>
      </w:tr>
      <w:tr w:rsidR="00AE4763" w:rsidRPr="001567C8" w:rsidTr="003C6BA3">
        <w:tc>
          <w:tcPr>
            <w:tcW w:w="7515" w:type="dxa"/>
          </w:tcPr>
          <w:p w:rsidR="00AE4763" w:rsidRPr="001567C8" w:rsidRDefault="00AE4763" w:rsidP="004418B3">
            <w:pPr>
              <w:pStyle w:val="TT"/>
              <w:keepLines/>
              <w:spacing w:line="210" w:lineRule="exact"/>
              <w:rPr>
                <w:rFonts w:asciiTheme="minorHAnsi" w:hAnsiTheme="minorHAnsi" w:cstheme="minorHAnsi"/>
                <w:i/>
                <w:szCs w:val="19"/>
                <w:lang w:val="hr-HR"/>
              </w:rPr>
            </w:pPr>
            <w:r w:rsidRPr="001567C8">
              <w:rPr>
                <w:rFonts w:asciiTheme="minorHAnsi" w:hAnsiTheme="minorHAnsi" w:cstheme="minorHAnsi"/>
                <w:i/>
                <w:szCs w:val="19"/>
                <w:lang w:val="hr-HR"/>
              </w:rPr>
              <w:t>Usklađenje na neto novčana sredstva ostvarena i uporabljena za poslovne aktivnosti:</w:t>
            </w:r>
          </w:p>
        </w:tc>
        <w:tc>
          <w:tcPr>
            <w:tcW w:w="1252" w:type="dxa"/>
          </w:tcPr>
          <w:p w:rsidR="00AE4763" w:rsidRPr="001567C8" w:rsidRDefault="00AE4763" w:rsidP="004418B3">
            <w:pPr>
              <w:pStyle w:val="TT"/>
              <w:keepLines/>
              <w:spacing w:line="210" w:lineRule="exact"/>
              <w:jc w:val="right"/>
              <w:rPr>
                <w:rFonts w:asciiTheme="minorHAnsi" w:hAnsiTheme="minorHAnsi" w:cstheme="minorHAnsi"/>
                <w:i/>
                <w:szCs w:val="19"/>
                <w:lang w:val="hr-HR"/>
              </w:rPr>
            </w:pPr>
          </w:p>
        </w:tc>
        <w:tc>
          <w:tcPr>
            <w:tcW w:w="1252" w:type="dxa"/>
            <w:tcBorders>
              <w:top w:val="nil"/>
              <w:left w:val="nil"/>
              <w:bottom w:val="nil"/>
              <w:right w:val="nil"/>
            </w:tcBorders>
            <w:shd w:val="clear" w:color="auto" w:fill="auto"/>
            <w:vAlign w:val="center"/>
          </w:tcPr>
          <w:p w:rsidR="00AE4763" w:rsidRPr="001567C8" w:rsidRDefault="00AE4763" w:rsidP="004418B3">
            <w:pPr>
              <w:pStyle w:val="TT"/>
              <w:keepLines/>
              <w:spacing w:line="210" w:lineRule="exact"/>
              <w:jc w:val="right"/>
              <w:rPr>
                <w:rFonts w:asciiTheme="minorHAnsi" w:hAnsiTheme="minorHAnsi" w:cstheme="minorHAnsi"/>
                <w:i/>
                <w:szCs w:val="19"/>
                <w:lang w:val="hr-HR"/>
              </w:rPr>
            </w:pP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spacing w:val="-3"/>
                <w:szCs w:val="19"/>
                <w:lang w:val="hr-HR"/>
              </w:rPr>
            </w:pPr>
            <w:r w:rsidRPr="001567C8">
              <w:rPr>
                <w:rFonts w:asciiTheme="minorHAnsi" w:hAnsiTheme="minorHAnsi" w:cstheme="minorHAnsi"/>
                <w:szCs w:val="19"/>
                <w:lang w:val="hr-HR"/>
              </w:rPr>
              <w:t>Amortizacija</w:t>
            </w:r>
          </w:p>
        </w:tc>
        <w:tc>
          <w:tcPr>
            <w:tcW w:w="1252" w:type="dxa"/>
            <w:tcBorders>
              <w:top w:val="nil"/>
              <w:left w:val="nil"/>
              <w:bottom w:val="nil"/>
              <w:right w:val="nil"/>
            </w:tcBorders>
            <w:shd w:val="clear" w:color="auto" w:fill="auto"/>
            <w:vAlign w:val="center"/>
          </w:tcPr>
          <w:p w:rsidR="00AE4763" w:rsidRPr="00CD3A2D" w:rsidRDefault="00AE4763" w:rsidP="00AE4763">
            <w:pPr>
              <w:pStyle w:val="TT"/>
              <w:keepLines/>
              <w:spacing w:line="210" w:lineRule="exact"/>
              <w:jc w:val="right"/>
              <w:rPr>
                <w:rFonts w:asciiTheme="minorHAnsi" w:hAnsiTheme="minorHAnsi" w:cstheme="minorHAnsi"/>
                <w:color w:val="000000"/>
                <w:szCs w:val="19"/>
                <w:lang w:val="hr-HR"/>
              </w:rPr>
            </w:pPr>
            <w:r w:rsidRPr="00CD3A2D">
              <w:rPr>
                <w:rFonts w:asciiTheme="minorHAnsi" w:hAnsiTheme="minorHAnsi" w:cstheme="minorHAnsi"/>
                <w:color w:val="000000"/>
                <w:szCs w:val="19"/>
                <w:lang w:val="hr-HR"/>
              </w:rPr>
              <w:t>6.3</w:t>
            </w:r>
            <w:r w:rsidR="00DE5B39" w:rsidRPr="00CD3A2D">
              <w:rPr>
                <w:rFonts w:asciiTheme="minorHAnsi" w:hAnsiTheme="minorHAnsi" w:cstheme="minorHAnsi"/>
                <w:color w:val="000000"/>
                <w:szCs w:val="19"/>
                <w:lang w:val="hr-HR"/>
              </w:rPr>
              <w:t>29</w:t>
            </w:r>
          </w:p>
        </w:tc>
        <w:tc>
          <w:tcPr>
            <w:tcW w:w="1252" w:type="dxa"/>
            <w:tcBorders>
              <w:top w:val="nil"/>
              <w:left w:val="nil"/>
              <w:bottom w:val="nil"/>
              <w:right w:val="nil"/>
            </w:tcBorders>
            <w:shd w:val="clear" w:color="auto" w:fill="auto"/>
            <w:vAlign w:val="center"/>
          </w:tcPr>
          <w:p w:rsidR="00AE4763" w:rsidRPr="001567C8" w:rsidRDefault="00AE4763" w:rsidP="00AE476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color w:val="000000"/>
                <w:szCs w:val="19"/>
                <w:lang w:val="hr-HR"/>
              </w:rPr>
              <w:t xml:space="preserve">            7.539 </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Porez na dobit</w:t>
            </w:r>
          </w:p>
        </w:tc>
        <w:tc>
          <w:tcPr>
            <w:tcW w:w="1252" w:type="dxa"/>
            <w:tcBorders>
              <w:top w:val="nil"/>
              <w:left w:val="nil"/>
              <w:bottom w:val="nil"/>
              <w:right w:val="nil"/>
            </w:tcBorders>
            <w:shd w:val="clear" w:color="auto" w:fill="auto"/>
            <w:vAlign w:val="bottom"/>
          </w:tcPr>
          <w:p w:rsidR="00AE4763" w:rsidRPr="00CD3A2D" w:rsidRDefault="00AE4763" w:rsidP="00AE476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color w:val="000000"/>
                <w:szCs w:val="19"/>
                <w:lang w:val="hr-HR"/>
              </w:rPr>
              <w:t>26</w:t>
            </w:r>
          </w:p>
        </w:tc>
        <w:tc>
          <w:tcPr>
            <w:tcW w:w="1252" w:type="dxa"/>
            <w:tcBorders>
              <w:top w:val="nil"/>
              <w:left w:val="nil"/>
              <w:bottom w:val="nil"/>
              <w:right w:val="nil"/>
            </w:tcBorders>
            <w:shd w:val="clear" w:color="auto" w:fill="auto"/>
            <w:vAlign w:val="center"/>
          </w:tcPr>
          <w:p w:rsidR="00AE4763" w:rsidRPr="001567C8" w:rsidRDefault="00AE4763" w:rsidP="00AE476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szCs w:val="19"/>
                <w:lang w:val="hr-HR"/>
              </w:rPr>
              <w:t xml:space="preserve">   102 </w:t>
            </w:r>
          </w:p>
        </w:tc>
      </w:tr>
      <w:tr w:rsidR="00AE4763" w:rsidRPr="001567C8" w:rsidTr="003C6BA3">
        <w:tc>
          <w:tcPr>
            <w:tcW w:w="7515" w:type="dxa"/>
          </w:tcPr>
          <w:p w:rsidR="00AE4763" w:rsidRPr="001567C8" w:rsidRDefault="00AE4763" w:rsidP="00AE4763">
            <w:pPr>
              <w:pStyle w:val="TT"/>
              <w:spacing w:line="210" w:lineRule="exact"/>
              <w:rPr>
                <w:rFonts w:asciiTheme="minorHAnsi" w:hAnsiTheme="minorHAnsi" w:cstheme="minorHAnsi"/>
                <w:bCs/>
                <w:spacing w:val="-2"/>
                <w:szCs w:val="19"/>
                <w:lang w:val="hr-HR"/>
              </w:rPr>
            </w:pPr>
            <w:r w:rsidRPr="001567C8">
              <w:rPr>
                <w:rFonts w:asciiTheme="minorHAnsi" w:hAnsiTheme="minorHAnsi" w:cstheme="minorHAnsi"/>
                <w:bCs/>
                <w:spacing w:val="-2"/>
                <w:szCs w:val="19"/>
                <w:lang w:val="hr-HR"/>
              </w:rPr>
              <w:t>Gubitak od umanjenja vrijednosti i rezerviranja</w:t>
            </w:r>
          </w:p>
        </w:tc>
        <w:tc>
          <w:tcPr>
            <w:tcW w:w="1252" w:type="dxa"/>
            <w:tcBorders>
              <w:top w:val="nil"/>
              <w:left w:val="nil"/>
              <w:bottom w:val="nil"/>
              <w:right w:val="nil"/>
            </w:tcBorders>
            <w:shd w:val="clear" w:color="auto" w:fill="auto"/>
            <w:vAlign w:val="bottom"/>
          </w:tcPr>
          <w:p w:rsidR="00AE4763" w:rsidRPr="00CD3A2D" w:rsidRDefault="00AE4763" w:rsidP="00AE4763">
            <w:pPr>
              <w:pStyle w:val="TT"/>
              <w:keepLines/>
              <w:spacing w:line="210" w:lineRule="exact"/>
              <w:jc w:val="right"/>
              <w:rPr>
                <w:rFonts w:asciiTheme="minorHAnsi" w:hAnsiTheme="minorHAnsi" w:cstheme="minorHAnsi"/>
                <w:color w:val="000000"/>
                <w:szCs w:val="19"/>
                <w:lang w:val="hr-HR"/>
              </w:rPr>
            </w:pPr>
            <w:r w:rsidRPr="00CD3A2D">
              <w:rPr>
                <w:rFonts w:asciiTheme="minorHAnsi" w:hAnsiTheme="minorHAnsi" w:cstheme="minorHAnsi"/>
                <w:color w:val="000000"/>
                <w:szCs w:val="19"/>
                <w:lang w:val="hr-HR"/>
              </w:rPr>
              <w:t>65.891</w:t>
            </w:r>
          </w:p>
        </w:tc>
        <w:tc>
          <w:tcPr>
            <w:tcW w:w="1252" w:type="dxa"/>
            <w:tcBorders>
              <w:top w:val="nil"/>
              <w:left w:val="nil"/>
              <w:bottom w:val="nil"/>
              <w:right w:val="nil"/>
            </w:tcBorders>
            <w:shd w:val="clear" w:color="auto" w:fill="auto"/>
            <w:vAlign w:val="center"/>
          </w:tcPr>
          <w:p w:rsidR="00AE4763" w:rsidRPr="001567C8" w:rsidRDefault="00AE4763" w:rsidP="00AE476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color w:val="000000"/>
                <w:szCs w:val="19"/>
                <w:lang w:val="hr-HR"/>
              </w:rPr>
              <w:t xml:space="preserve">        195.187 </w:t>
            </w:r>
          </w:p>
        </w:tc>
      </w:tr>
      <w:tr w:rsidR="00AE4763" w:rsidRPr="001567C8" w:rsidTr="003C6BA3">
        <w:tc>
          <w:tcPr>
            <w:tcW w:w="7515" w:type="dxa"/>
            <w:vAlign w:val="bottom"/>
          </w:tcPr>
          <w:p w:rsidR="00AE4763" w:rsidRPr="001567C8" w:rsidRDefault="00AE4763" w:rsidP="00AE4763">
            <w:pPr>
              <w:pStyle w:val="TT"/>
              <w:keepLines/>
              <w:spacing w:line="210" w:lineRule="exact"/>
              <w:rPr>
                <w:rFonts w:asciiTheme="minorHAnsi" w:hAnsiTheme="minorHAnsi" w:cstheme="minorHAnsi"/>
                <w:iCs/>
                <w:szCs w:val="19"/>
                <w:lang w:val="hr-HR"/>
              </w:rPr>
            </w:pPr>
            <w:r w:rsidRPr="001567C8">
              <w:rPr>
                <w:rFonts w:asciiTheme="minorHAnsi" w:hAnsiTheme="minorHAnsi" w:cstheme="minorHAnsi"/>
                <w:iCs/>
                <w:szCs w:val="19"/>
                <w:lang w:val="hr-HR"/>
              </w:rPr>
              <w:t xml:space="preserve">Obračunane kamate </w:t>
            </w:r>
          </w:p>
        </w:tc>
        <w:tc>
          <w:tcPr>
            <w:tcW w:w="1252" w:type="dxa"/>
            <w:tcBorders>
              <w:top w:val="nil"/>
              <w:left w:val="nil"/>
              <w:bottom w:val="nil"/>
              <w:right w:val="nil"/>
            </w:tcBorders>
            <w:shd w:val="clear" w:color="auto" w:fill="auto"/>
            <w:vAlign w:val="bottom"/>
          </w:tcPr>
          <w:p w:rsidR="00AE4763" w:rsidRPr="00CD3A2D" w:rsidRDefault="00AE4763" w:rsidP="00AE4763">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34.720</w:t>
            </w:r>
          </w:p>
        </w:tc>
        <w:tc>
          <w:tcPr>
            <w:tcW w:w="1252" w:type="dxa"/>
            <w:tcBorders>
              <w:top w:val="nil"/>
              <w:left w:val="nil"/>
              <w:bottom w:val="nil"/>
              <w:right w:val="nil"/>
            </w:tcBorders>
            <w:shd w:val="clear" w:color="auto" w:fill="auto"/>
            <w:vAlign w:val="center"/>
          </w:tcPr>
          <w:p w:rsidR="00AE4763" w:rsidRPr="001567C8" w:rsidRDefault="00AE4763" w:rsidP="00AE4763">
            <w:pPr>
              <w:pStyle w:val="CommentText"/>
              <w:keepLines/>
              <w:spacing w:line="210" w:lineRule="exact"/>
              <w:jc w:val="right"/>
              <w:rPr>
                <w:rFonts w:asciiTheme="minorHAnsi" w:hAnsiTheme="minorHAnsi" w:cstheme="minorHAnsi"/>
                <w:iCs/>
                <w:sz w:val="19"/>
                <w:szCs w:val="19"/>
                <w:lang w:val="hr-HR"/>
              </w:rPr>
            </w:pPr>
            <w:r w:rsidRPr="00CD3A2D">
              <w:rPr>
                <w:rFonts w:asciiTheme="minorHAnsi" w:hAnsiTheme="minorHAnsi" w:cstheme="minorHAnsi"/>
                <w:color w:val="000000"/>
                <w:sz w:val="19"/>
                <w:szCs w:val="19"/>
                <w:lang w:val="hr-HR"/>
              </w:rPr>
              <w:t xml:space="preserve">       (59.664)</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i/>
                <w:iCs/>
                <w:szCs w:val="19"/>
                <w:lang w:val="hr-HR"/>
              </w:rPr>
            </w:pPr>
            <w:r w:rsidRPr="001567C8">
              <w:rPr>
                <w:rFonts w:asciiTheme="minorHAnsi" w:hAnsiTheme="minorHAnsi" w:cstheme="minorHAnsi"/>
                <w:iCs/>
                <w:szCs w:val="19"/>
                <w:lang w:val="hr-HR"/>
              </w:rPr>
              <w:t>Odgođene naknade</w:t>
            </w:r>
          </w:p>
        </w:tc>
        <w:tc>
          <w:tcPr>
            <w:tcW w:w="1252" w:type="dxa"/>
            <w:tcBorders>
              <w:top w:val="nil"/>
              <w:left w:val="nil"/>
              <w:bottom w:val="nil"/>
              <w:right w:val="nil"/>
            </w:tcBorders>
            <w:shd w:val="clear" w:color="auto" w:fill="auto"/>
            <w:vAlign w:val="bottom"/>
          </w:tcPr>
          <w:p w:rsidR="00AE4763" w:rsidRPr="00CD3A2D" w:rsidRDefault="00AE4763" w:rsidP="00AE4763">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 xml:space="preserve">         (1.832)</w:t>
            </w:r>
          </w:p>
        </w:tc>
        <w:tc>
          <w:tcPr>
            <w:tcW w:w="1252" w:type="dxa"/>
            <w:tcBorders>
              <w:top w:val="nil"/>
              <w:left w:val="nil"/>
              <w:bottom w:val="nil"/>
              <w:right w:val="nil"/>
            </w:tcBorders>
            <w:shd w:val="clear" w:color="auto" w:fill="auto"/>
            <w:vAlign w:val="center"/>
          </w:tcPr>
          <w:p w:rsidR="00AE4763" w:rsidRPr="001567C8" w:rsidRDefault="00AE4763" w:rsidP="00AE4763">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color w:val="000000"/>
                <w:sz w:val="19"/>
                <w:szCs w:val="19"/>
                <w:lang w:val="hr-HR"/>
              </w:rPr>
              <w:t xml:space="preserve">       (39.093)</w:t>
            </w:r>
          </w:p>
        </w:tc>
      </w:tr>
      <w:tr w:rsidR="00AE4763" w:rsidRPr="001567C8" w:rsidTr="004418B3">
        <w:tc>
          <w:tcPr>
            <w:tcW w:w="7515" w:type="dxa"/>
          </w:tcPr>
          <w:p w:rsidR="00AE4763" w:rsidRPr="001567C8" w:rsidRDefault="00AE4763" w:rsidP="004418B3">
            <w:pPr>
              <w:pStyle w:val="TT"/>
              <w:keepLines/>
              <w:spacing w:line="210" w:lineRule="exact"/>
              <w:rPr>
                <w:rFonts w:asciiTheme="minorHAnsi" w:hAnsiTheme="minorHAnsi" w:cstheme="minorHAnsi"/>
                <w:iCs/>
                <w:szCs w:val="19"/>
                <w:lang w:val="hr-HR"/>
              </w:rPr>
            </w:pPr>
            <w:r w:rsidRPr="001567C8">
              <w:rPr>
                <w:rFonts w:asciiTheme="minorHAnsi" w:hAnsiTheme="minorHAnsi" w:cstheme="minorHAnsi"/>
                <w:iCs/>
                <w:szCs w:val="19"/>
                <w:lang w:val="hr-HR"/>
              </w:rPr>
              <w:t>Ostale promjene po imovini po fer vrijednosti</w:t>
            </w:r>
          </w:p>
        </w:tc>
        <w:tc>
          <w:tcPr>
            <w:tcW w:w="1252" w:type="dxa"/>
          </w:tcPr>
          <w:p w:rsidR="00AE4763" w:rsidRPr="00CD3A2D" w:rsidRDefault="00AE4763" w:rsidP="004418B3">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11.7</w:t>
            </w:r>
            <w:r w:rsidR="00E822EA" w:rsidRPr="00CD3A2D">
              <w:rPr>
                <w:rFonts w:asciiTheme="minorHAnsi" w:hAnsiTheme="minorHAnsi" w:cstheme="minorHAnsi"/>
                <w:color w:val="000000"/>
                <w:sz w:val="19"/>
                <w:szCs w:val="19"/>
                <w:lang w:val="hr-HR"/>
              </w:rPr>
              <w:t>1</w:t>
            </w:r>
            <w:r w:rsidR="00EE1812" w:rsidRPr="00CD3A2D">
              <w:rPr>
                <w:rFonts w:asciiTheme="minorHAnsi" w:hAnsiTheme="minorHAnsi" w:cstheme="minorHAnsi"/>
                <w:color w:val="000000"/>
                <w:sz w:val="19"/>
                <w:szCs w:val="19"/>
                <w:lang w:val="hr-HR"/>
              </w:rPr>
              <w:t>2</w:t>
            </w:r>
          </w:p>
        </w:tc>
        <w:tc>
          <w:tcPr>
            <w:tcW w:w="1252" w:type="dxa"/>
            <w:tcBorders>
              <w:top w:val="nil"/>
              <w:left w:val="nil"/>
              <w:bottom w:val="nil"/>
              <w:right w:val="nil"/>
            </w:tcBorders>
            <w:shd w:val="clear" w:color="auto" w:fill="auto"/>
            <w:vAlign w:val="center"/>
          </w:tcPr>
          <w:p w:rsidR="00AE4763" w:rsidRPr="00CD3A2D" w:rsidRDefault="00D20468" w:rsidP="004418B3">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w:t>
            </w:r>
            <w:r w:rsidR="00E822EA" w:rsidRPr="00CD3A2D">
              <w:rPr>
                <w:rFonts w:asciiTheme="minorHAnsi" w:hAnsiTheme="minorHAnsi" w:cstheme="minorHAnsi"/>
                <w:color w:val="000000"/>
                <w:sz w:val="19"/>
                <w:szCs w:val="19"/>
                <w:lang w:val="hr-HR"/>
              </w:rPr>
              <w:t>4.618</w:t>
            </w:r>
            <w:r w:rsidRPr="00CD3A2D">
              <w:rPr>
                <w:rFonts w:asciiTheme="minorHAnsi" w:hAnsiTheme="minorHAnsi" w:cstheme="minorHAnsi"/>
                <w:color w:val="000000"/>
                <w:sz w:val="19"/>
                <w:szCs w:val="19"/>
                <w:lang w:val="hr-HR"/>
              </w:rPr>
              <w:t>)</w:t>
            </w:r>
          </w:p>
        </w:tc>
      </w:tr>
      <w:tr w:rsidR="00AE4763" w:rsidRPr="001567C8" w:rsidTr="003C6BA3">
        <w:tc>
          <w:tcPr>
            <w:tcW w:w="7515" w:type="dxa"/>
          </w:tcPr>
          <w:p w:rsidR="00AE4763" w:rsidRPr="001567C8" w:rsidRDefault="00AE4763" w:rsidP="004418B3">
            <w:pPr>
              <w:pStyle w:val="TT"/>
              <w:keepLines/>
              <w:spacing w:line="210" w:lineRule="exact"/>
              <w:rPr>
                <w:rFonts w:asciiTheme="minorHAnsi" w:hAnsiTheme="minorHAnsi" w:cstheme="minorHAnsi"/>
                <w:i/>
                <w:iCs/>
                <w:szCs w:val="19"/>
                <w:lang w:val="hr-HR"/>
              </w:rPr>
            </w:pPr>
            <w:r w:rsidRPr="001567C8">
              <w:rPr>
                <w:rFonts w:asciiTheme="minorHAnsi" w:hAnsiTheme="minorHAnsi" w:cstheme="minorHAnsi"/>
                <w:i/>
                <w:iCs/>
                <w:szCs w:val="19"/>
                <w:lang w:val="hr-HR"/>
              </w:rPr>
              <w:t>Dobit iz poslovnih aktivnosti prije promjena radnog kapitala</w:t>
            </w:r>
          </w:p>
        </w:tc>
        <w:tc>
          <w:tcPr>
            <w:tcW w:w="1252" w:type="dxa"/>
          </w:tcPr>
          <w:p w:rsidR="00AE4763" w:rsidRPr="00CD3A2D" w:rsidRDefault="00E822EA" w:rsidP="004418B3">
            <w:pPr>
              <w:pStyle w:val="CommentText"/>
              <w:keepLines/>
              <w:spacing w:line="210" w:lineRule="exact"/>
              <w:jc w:val="right"/>
              <w:rPr>
                <w:rFonts w:asciiTheme="minorHAnsi" w:hAnsiTheme="minorHAnsi" w:cstheme="minorHAnsi"/>
                <w:i/>
                <w:iCs/>
                <w:color w:val="000000"/>
                <w:sz w:val="19"/>
                <w:szCs w:val="19"/>
                <w:lang w:val="hr-HR"/>
              </w:rPr>
            </w:pPr>
            <w:r w:rsidRPr="00CD3A2D">
              <w:rPr>
                <w:rFonts w:asciiTheme="minorHAnsi" w:hAnsiTheme="minorHAnsi" w:cstheme="minorHAnsi"/>
                <w:i/>
                <w:iCs/>
                <w:color w:val="000000"/>
                <w:sz w:val="19"/>
                <w:szCs w:val="19"/>
                <w:lang w:val="hr-HR"/>
              </w:rPr>
              <w:t>321.60</w:t>
            </w:r>
            <w:r w:rsidR="00205C90" w:rsidRPr="00CD3A2D">
              <w:rPr>
                <w:rFonts w:asciiTheme="minorHAnsi" w:hAnsiTheme="minorHAnsi" w:cstheme="minorHAnsi"/>
                <w:i/>
                <w:iCs/>
                <w:color w:val="000000"/>
                <w:sz w:val="19"/>
                <w:szCs w:val="19"/>
                <w:lang w:val="hr-HR"/>
              </w:rPr>
              <w:t>9</w:t>
            </w:r>
          </w:p>
        </w:tc>
        <w:tc>
          <w:tcPr>
            <w:tcW w:w="1252" w:type="dxa"/>
            <w:tcBorders>
              <w:top w:val="nil"/>
              <w:left w:val="nil"/>
              <w:bottom w:val="nil"/>
              <w:right w:val="nil"/>
            </w:tcBorders>
            <w:shd w:val="clear" w:color="auto" w:fill="auto"/>
            <w:vAlign w:val="center"/>
          </w:tcPr>
          <w:p w:rsidR="00AE4763" w:rsidRPr="001567C8" w:rsidRDefault="00E822EA" w:rsidP="004418B3">
            <w:pPr>
              <w:pStyle w:val="CommentText"/>
              <w:keepLines/>
              <w:spacing w:line="210" w:lineRule="exact"/>
              <w:jc w:val="right"/>
              <w:rPr>
                <w:rFonts w:asciiTheme="minorHAnsi" w:hAnsiTheme="minorHAnsi" w:cstheme="minorHAnsi"/>
                <w:i/>
                <w:sz w:val="19"/>
                <w:szCs w:val="19"/>
                <w:lang w:val="hr-HR"/>
              </w:rPr>
            </w:pPr>
            <w:r w:rsidRPr="00CD3A2D">
              <w:rPr>
                <w:rFonts w:asciiTheme="minorHAnsi" w:hAnsiTheme="minorHAnsi" w:cstheme="minorHAnsi"/>
                <w:i/>
                <w:iCs/>
                <w:color w:val="000000"/>
                <w:sz w:val="19"/>
                <w:szCs w:val="19"/>
                <w:lang w:val="hr-HR"/>
              </w:rPr>
              <w:t>261.756</w:t>
            </w:r>
          </w:p>
        </w:tc>
      </w:tr>
      <w:tr w:rsidR="00AE4763" w:rsidRPr="001567C8" w:rsidTr="003C6BA3">
        <w:tc>
          <w:tcPr>
            <w:tcW w:w="7515" w:type="dxa"/>
          </w:tcPr>
          <w:p w:rsidR="00AE4763" w:rsidRPr="001567C8" w:rsidRDefault="00AE4763" w:rsidP="004418B3">
            <w:pPr>
              <w:pStyle w:val="TT"/>
              <w:keepLines/>
              <w:spacing w:line="210" w:lineRule="exact"/>
              <w:rPr>
                <w:rFonts w:asciiTheme="minorHAnsi" w:hAnsiTheme="minorHAnsi" w:cstheme="minorHAnsi"/>
                <w:i/>
                <w:iCs/>
                <w:szCs w:val="19"/>
                <w:lang w:val="hr-HR"/>
              </w:rPr>
            </w:pPr>
            <w:r w:rsidRPr="001567C8">
              <w:rPr>
                <w:rFonts w:asciiTheme="minorHAnsi" w:hAnsiTheme="minorHAnsi" w:cstheme="minorHAnsi"/>
                <w:i/>
                <w:iCs/>
                <w:szCs w:val="19"/>
                <w:lang w:val="hr-HR"/>
              </w:rPr>
              <w:t>Promjene u poslovnim sredstvima i izvorima:</w:t>
            </w:r>
          </w:p>
        </w:tc>
        <w:tc>
          <w:tcPr>
            <w:tcW w:w="1252" w:type="dxa"/>
          </w:tcPr>
          <w:p w:rsidR="00AE4763" w:rsidRPr="001567C8" w:rsidRDefault="00AE4763" w:rsidP="004418B3">
            <w:pPr>
              <w:pStyle w:val="CommentText"/>
              <w:keepLines/>
              <w:spacing w:line="210" w:lineRule="exact"/>
              <w:jc w:val="right"/>
              <w:rPr>
                <w:rFonts w:asciiTheme="minorHAnsi" w:hAnsiTheme="minorHAnsi" w:cstheme="minorHAnsi"/>
                <w:i/>
                <w:sz w:val="19"/>
                <w:szCs w:val="19"/>
                <w:lang w:val="hr-HR"/>
              </w:rPr>
            </w:pPr>
          </w:p>
        </w:tc>
        <w:tc>
          <w:tcPr>
            <w:tcW w:w="1252" w:type="dxa"/>
            <w:shd w:val="clear" w:color="auto" w:fill="auto"/>
            <w:vAlign w:val="bottom"/>
          </w:tcPr>
          <w:p w:rsidR="00AE4763" w:rsidRPr="001567C8" w:rsidRDefault="00AE4763" w:rsidP="004418B3">
            <w:pPr>
              <w:pStyle w:val="CommentText"/>
              <w:keepLines/>
              <w:spacing w:line="210" w:lineRule="exact"/>
              <w:jc w:val="right"/>
              <w:rPr>
                <w:rFonts w:asciiTheme="minorHAnsi" w:hAnsiTheme="minorHAnsi" w:cstheme="minorHAnsi"/>
                <w:i/>
                <w:sz w:val="19"/>
                <w:szCs w:val="19"/>
                <w:lang w:val="hr-HR"/>
              </w:rPr>
            </w:pPr>
          </w:p>
        </w:tc>
      </w:tr>
      <w:tr w:rsidR="00AE4763" w:rsidRPr="001567C8" w:rsidTr="003C6BA3">
        <w:trPr>
          <w:trHeight w:val="143"/>
        </w:trPr>
        <w:tc>
          <w:tcPr>
            <w:tcW w:w="7515" w:type="dxa"/>
            <w:vAlign w:val="bottom"/>
          </w:tcPr>
          <w:p w:rsidR="00AE4763" w:rsidRPr="001567C8" w:rsidRDefault="00AE4763" w:rsidP="00A4531B">
            <w:pPr>
              <w:pStyle w:val="TT"/>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povećanje depozita kod drugih banaka, prije rezerviranja za </w:t>
            </w:r>
            <w:r w:rsidR="00A57318" w:rsidRPr="001567C8">
              <w:rPr>
                <w:rFonts w:asciiTheme="minorHAnsi" w:hAnsiTheme="minorHAnsi" w:cstheme="minorHAnsi"/>
                <w:szCs w:val="19"/>
                <w:lang w:val="hr-HR"/>
              </w:rPr>
              <w:t xml:space="preserve">očekivane </w:t>
            </w:r>
            <w:r w:rsidRPr="001567C8">
              <w:rPr>
                <w:rFonts w:asciiTheme="minorHAnsi" w:hAnsiTheme="minorHAnsi" w:cstheme="minorHAnsi"/>
                <w:szCs w:val="19"/>
                <w:lang w:val="hr-HR"/>
              </w:rPr>
              <w:t>gubitke</w:t>
            </w:r>
          </w:p>
        </w:tc>
        <w:tc>
          <w:tcPr>
            <w:tcW w:w="1252" w:type="dxa"/>
            <w:tcBorders>
              <w:top w:val="nil"/>
              <w:left w:val="nil"/>
              <w:bottom w:val="nil"/>
              <w:right w:val="nil"/>
            </w:tcBorders>
            <w:shd w:val="clear" w:color="auto" w:fill="auto"/>
            <w:vAlign w:val="bottom"/>
          </w:tcPr>
          <w:p w:rsidR="00AE4763" w:rsidRPr="00CD3A2D" w:rsidRDefault="00AE4763" w:rsidP="00AE4763">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 xml:space="preserve">     (233.822)</w:t>
            </w:r>
          </w:p>
        </w:tc>
        <w:tc>
          <w:tcPr>
            <w:tcW w:w="1252" w:type="dxa"/>
            <w:tcBorders>
              <w:top w:val="nil"/>
              <w:left w:val="nil"/>
              <w:bottom w:val="nil"/>
              <w:right w:val="nil"/>
            </w:tcBorders>
            <w:shd w:val="clear" w:color="auto" w:fill="auto"/>
            <w:vAlign w:val="center"/>
          </w:tcPr>
          <w:p w:rsidR="00AE4763" w:rsidRPr="001567C8" w:rsidRDefault="00AE4763" w:rsidP="00AE4763">
            <w:pPr>
              <w:pStyle w:val="CommentText"/>
              <w:keepLines/>
              <w:spacing w:line="210" w:lineRule="exact"/>
              <w:jc w:val="right"/>
              <w:rPr>
                <w:rFonts w:asciiTheme="minorHAnsi" w:hAnsiTheme="minorHAnsi" w:cstheme="minorHAnsi"/>
                <w:spacing w:val="-3"/>
                <w:sz w:val="19"/>
                <w:szCs w:val="19"/>
                <w:lang w:val="hr-HR"/>
              </w:rPr>
            </w:pPr>
            <w:r w:rsidRPr="00CD3A2D">
              <w:rPr>
                <w:rFonts w:asciiTheme="minorHAnsi" w:hAnsiTheme="minorHAnsi" w:cstheme="minorHAnsi"/>
                <w:color w:val="000000"/>
                <w:sz w:val="19"/>
                <w:szCs w:val="19"/>
                <w:lang w:val="hr-HR"/>
              </w:rPr>
              <w:t xml:space="preserve">         (5.349)</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smanjenje kredita financijskim institucijama, prije rezerviranja za </w:t>
            </w:r>
            <w:r w:rsidR="00A57318" w:rsidRPr="001567C8">
              <w:rPr>
                <w:rFonts w:asciiTheme="minorHAnsi" w:hAnsiTheme="minorHAnsi" w:cstheme="minorHAnsi"/>
                <w:szCs w:val="19"/>
                <w:lang w:val="hr-HR"/>
              </w:rPr>
              <w:t xml:space="preserve">očekivane </w:t>
            </w:r>
            <w:r w:rsidRPr="001567C8">
              <w:rPr>
                <w:rFonts w:asciiTheme="minorHAnsi" w:hAnsiTheme="minorHAnsi" w:cstheme="minorHAnsi"/>
                <w:szCs w:val="19"/>
                <w:lang w:val="hr-HR"/>
              </w:rPr>
              <w:t>gubitke</w:t>
            </w:r>
          </w:p>
        </w:tc>
        <w:tc>
          <w:tcPr>
            <w:tcW w:w="1252" w:type="dxa"/>
            <w:tcBorders>
              <w:top w:val="nil"/>
              <w:left w:val="nil"/>
              <w:bottom w:val="nil"/>
              <w:right w:val="nil"/>
            </w:tcBorders>
            <w:shd w:val="clear" w:color="auto" w:fill="auto"/>
            <w:vAlign w:val="bottom"/>
          </w:tcPr>
          <w:p w:rsidR="00AE4763" w:rsidRPr="00CD3A2D" w:rsidRDefault="00AE4763" w:rsidP="00AE4763">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 xml:space="preserve">      711.348 </w:t>
            </w:r>
          </w:p>
        </w:tc>
        <w:tc>
          <w:tcPr>
            <w:tcW w:w="1252" w:type="dxa"/>
            <w:tcBorders>
              <w:top w:val="nil"/>
              <w:left w:val="nil"/>
              <w:bottom w:val="nil"/>
              <w:right w:val="nil"/>
            </w:tcBorders>
            <w:shd w:val="clear" w:color="auto" w:fill="auto"/>
            <w:vAlign w:val="center"/>
          </w:tcPr>
          <w:p w:rsidR="00AE4763" w:rsidRPr="001567C8" w:rsidRDefault="00AE4763" w:rsidP="00AE4763">
            <w:pPr>
              <w:pStyle w:val="CommentText"/>
              <w:keepLines/>
              <w:spacing w:line="210" w:lineRule="exact"/>
              <w:jc w:val="right"/>
              <w:rPr>
                <w:rFonts w:asciiTheme="minorHAnsi" w:hAnsiTheme="minorHAnsi" w:cstheme="minorHAnsi"/>
                <w:spacing w:val="-3"/>
                <w:sz w:val="19"/>
                <w:szCs w:val="19"/>
                <w:lang w:val="hr-HR"/>
              </w:rPr>
            </w:pPr>
            <w:r w:rsidRPr="00CD3A2D">
              <w:rPr>
                <w:rFonts w:asciiTheme="minorHAnsi" w:hAnsiTheme="minorHAnsi" w:cstheme="minorHAnsi"/>
                <w:color w:val="000000"/>
                <w:sz w:val="19"/>
                <w:szCs w:val="19"/>
                <w:lang w:val="hr-HR"/>
              </w:rPr>
              <w:t xml:space="preserve">    1.175.203 </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povećanje kredita ostalim korisnicima, prije rezerviranja za </w:t>
            </w:r>
            <w:r w:rsidR="00A57318" w:rsidRPr="001567C8">
              <w:rPr>
                <w:rFonts w:asciiTheme="minorHAnsi" w:hAnsiTheme="minorHAnsi" w:cstheme="minorHAnsi"/>
                <w:szCs w:val="19"/>
                <w:lang w:val="hr-HR"/>
              </w:rPr>
              <w:t xml:space="preserve">očekivane </w:t>
            </w:r>
            <w:r w:rsidRPr="001567C8">
              <w:rPr>
                <w:rFonts w:asciiTheme="minorHAnsi" w:hAnsiTheme="minorHAnsi" w:cstheme="minorHAnsi"/>
                <w:szCs w:val="19"/>
                <w:lang w:val="hr-HR"/>
              </w:rPr>
              <w:t>gubitke</w:t>
            </w:r>
          </w:p>
        </w:tc>
        <w:tc>
          <w:tcPr>
            <w:tcW w:w="1252" w:type="dxa"/>
            <w:tcBorders>
              <w:top w:val="nil"/>
              <w:left w:val="nil"/>
              <w:bottom w:val="nil"/>
              <w:right w:val="nil"/>
            </w:tcBorders>
            <w:shd w:val="clear" w:color="auto" w:fill="auto"/>
            <w:vAlign w:val="bottom"/>
          </w:tcPr>
          <w:p w:rsidR="00AE4763" w:rsidRPr="00CD3A2D" w:rsidRDefault="00AE4763" w:rsidP="00AE4763">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 xml:space="preserve">     (571.291)</w:t>
            </w:r>
          </w:p>
        </w:tc>
        <w:tc>
          <w:tcPr>
            <w:tcW w:w="1252" w:type="dxa"/>
            <w:tcBorders>
              <w:top w:val="nil"/>
              <w:left w:val="nil"/>
              <w:bottom w:val="nil"/>
              <w:right w:val="nil"/>
            </w:tcBorders>
            <w:shd w:val="clear" w:color="auto" w:fill="auto"/>
            <w:vAlign w:val="center"/>
          </w:tcPr>
          <w:p w:rsidR="00AE4763" w:rsidRPr="001567C8" w:rsidRDefault="00AE4763" w:rsidP="00AE4763">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color w:val="000000"/>
                <w:sz w:val="19"/>
                <w:szCs w:val="19"/>
                <w:lang w:val="hr-HR"/>
              </w:rPr>
              <w:t xml:space="preserve">  (1.186.871)</w:t>
            </w:r>
          </w:p>
        </w:tc>
      </w:tr>
      <w:tr w:rsidR="00AE4763" w:rsidRPr="001567C8" w:rsidTr="003C6BA3">
        <w:trPr>
          <w:trHeight w:val="74"/>
        </w:trPr>
        <w:tc>
          <w:tcPr>
            <w:tcW w:w="7515" w:type="dxa"/>
          </w:tcPr>
          <w:p w:rsidR="00AE4763" w:rsidRPr="001567C8" w:rsidRDefault="00AE4763" w:rsidP="00AE4763">
            <w:pPr>
              <w:pStyle w:val="TT"/>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Neto gubitak</w:t>
            </w:r>
            <w:r w:rsidR="00A52086" w:rsidRPr="001567C8">
              <w:rPr>
                <w:rFonts w:asciiTheme="minorHAnsi" w:hAnsiTheme="minorHAnsi" w:cstheme="minorHAnsi"/>
                <w:szCs w:val="19"/>
                <w:lang w:val="hr-HR"/>
              </w:rPr>
              <w:t>/(dobitak)</w:t>
            </w:r>
            <w:r w:rsidRPr="001567C8">
              <w:rPr>
                <w:rFonts w:asciiTheme="minorHAnsi" w:hAnsiTheme="minorHAnsi" w:cstheme="minorHAnsi"/>
                <w:szCs w:val="19"/>
                <w:lang w:val="hr-HR"/>
              </w:rPr>
              <w:t xml:space="preserve"> od aktivnosti financijske imovine po fer vrijednosti kroz dobit ili gubitak</w:t>
            </w:r>
          </w:p>
        </w:tc>
        <w:tc>
          <w:tcPr>
            <w:tcW w:w="1252" w:type="dxa"/>
            <w:vAlign w:val="bottom"/>
          </w:tcPr>
          <w:p w:rsidR="00AE4763" w:rsidRPr="00CD3A2D" w:rsidRDefault="00AE4763" w:rsidP="00AE4763">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66</w:t>
            </w:r>
          </w:p>
        </w:tc>
        <w:tc>
          <w:tcPr>
            <w:tcW w:w="1252" w:type="dxa"/>
            <w:tcBorders>
              <w:top w:val="nil"/>
              <w:left w:val="nil"/>
              <w:bottom w:val="nil"/>
              <w:right w:val="nil"/>
            </w:tcBorders>
            <w:shd w:val="clear" w:color="auto" w:fill="auto"/>
            <w:vAlign w:val="bottom"/>
          </w:tcPr>
          <w:p w:rsidR="00AE4763" w:rsidRPr="001567C8" w:rsidRDefault="00AE4763" w:rsidP="00E822EA">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(7)</w:t>
            </w:r>
          </w:p>
        </w:tc>
      </w:tr>
      <w:tr w:rsidR="007012D4" w:rsidRPr="001567C8" w:rsidTr="003C6BA3">
        <w:trPr>
          <w:trHeight w:val="146"/>
        </w:trPr>
        <w:tc>
          <w:tcPr>
            <w:tcW w:w="7515" w:type="dxa"/>
            <w:vAlign w:val="bottom"/>
          </w:tcPr>
          <w:p w:rsidR="007012D4" w:rsidRPr="001567C8" w:rsidRDefault="007012D4" w:rsidP="007012D4">
            <w:pPr>
              <w:pStyle w:val="TT"/>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Smanjenje diskonta po izdanim dugoročnim vrijednosnim papirima</w:t>
            </w:r>
          </w:p>
        </w:tc>
        <w:tc>
          <w:tcPr>
            <w:tcW w:w="1252" w:type="dxa"/>
            <w:tcBorders>
              <w:top w:val="nil"/>
              <w:left w:val="nil"/>
              <w:bottom w:val="nil"/>
              <w:right w:val="nil"/>
            </w:tcBorders>
            <w:shd w:val="clear" w:color="auto" w:fill="auto"/>
            <w:vAlign w:val="bottom"/>
          </w:tcPr>
          <w:p w:rsidR="007012D4" w:rsidRPr="00CD3A2D" w:rsidRDefault="007012D4" w:rsidP="007012D4">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color w:val="000000"/>
                <w:sz w:val="19"/>
                <w:szCs w:val="19"/>
                <w:lang w:val="hr-HR"/>
              </w:rPr>
              <w:t>3.702</w:t>
            </w:r>
          </w:p>
        </w:tc>
        <w:tc>
          <w:tcPr>
            <w:tcW w:w="1252" w:type="dxa"/>
            <w:tcBorders>
              <w:top w:val="nil"/>
              <w:left w:val="nil"/>
              <w:bottom w:val="nil"/>
              <w:right w:val="nil"/>
            </w:tcBorders>
            <w:shd w:val="clear" w:color="auto" w:fill="auto"/>
            <w:vAlign w:val="bottom"/>
          </w:tcPr>
          <w:p w:rsidR="007012D4" w:rsidRPr="001567C8" w:rsidRDefault="007012D4" w:rsidP="007012D4">
            <w:pPr>
              <w:pStyle w:val="CommentText"/>
              <w:keepLines/>
              <w:spacing w:line="210" w:lineRule="exact"/>
              <w:jc w:val="right"/>
              <w:rPr>
                <w:rFonts w:asciiTheme="minorHAnsi" w:hAnsiTheme="minorHAnsi" w:cstheme="minorHAnsi"/>
                <w:b/>
                <w:sz w:val="19"/>
                <w:szCs w:val="19"/>
                <w:lang w:val="hr-HR"/>
              </w:rPr>
            </w:pPr>
            <w:r w:rsidRPr="00CD3A2D">
              <w:rPr>
                <w:rFonts w:asciiTheme="minorHAnsi" w:hAnsiTheme="minorHAnsi" w:cstheme="minorHAnsi"/>
                <w:sz w:val="19"/>
                <w:szCs w:val="19"/>
                <w:lang w:val="hr-HR"/>
              </w:rPr>
              <w:t xml:space="preserve">          </w:t>
            </w:r>
            <w:r w:rsidR="00E822EA" w:rsidRPr="00CD3A2D">
              <w:rPr>
                <w:rFonts w:asciiTheme="minorHAnsi" w:hAnsiTheme="minorHAnsi" w:cstheme="minorHAnsi"/>
                <w:sz w:val="19"/>
                <w:szCs w:val="19"/>
                <w:lang w:val="hr-HR"/>
              </w:rPr>
              <w:t>4.092</w:t>
            </w:r>
          </w:p>
        </w:tc>
      </w:tr>
      <w:tr w:rsidR="00AE4763" w:rsidRPr="001567C8" w:rsidTr="003C6BA3">
        <w:tc>
          <w:tcPr>
            <w:tcW w:w="7515" w:type="dxa"/>
            <w:vAlign w:val="bottom"/>
          </w:tcPr>
          <w:p w:rsidR="00AE4763" w:rsidRPr="001567C8" w:rsidRDefault="00AE4763" w:rsidP="00AE4763">
            <w:pPr>
              <w:pStyle w:val="TT"/>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w:t>
            </w:r>
            <w:r w:rsidR="00DE5B39" w:rsidRPr="001567C8">
              <w:rPr>
                <w:rFonts w:asciiTheme="minorHAnsi" w:hAnsiTheme="minorHAnsi" w:cstheme="minorHAnsi"/>
                <w:szCs w:val="19"/>
                <w:lang w:val="hr-HR"/>
              </w:rPr>
              <w:t>(povećanje)/</w:t>
            </w:r>
            <w:r w:rsidRPr="001567C8">
              <w:rPr>
                <w:rFonts w:asciiTheme="minorHAnsi" w:hAnsiTheme="minorHAnsi" w:cstheme="minorHAnsi"/>
                <w:szCs w:val="19"/>
                <w:lang w:val="hr-HR"/>
              </w:rPr>
              <w:t>smanjenje dugotrajne imovine namijenjene prodaji</w:t>
            </w:r>
          </w:p>
        </w:tc>
        <w:tc>
          <w:tcPr>
            <w:tcW w:w="1252" w:type="dxa"/>
          </w:tcPr>
          <w:p w:rsidR="00AE4763" w:rsidRPr="00CD3A2D" w:rsidRDefault="00AE4763" w:rsidP="00AE4763">
            <w:pPr>
              <w:pStyle w:val="TT"/>
              <w:keepLines/>
              <w:spacing w:line="210" w:lineRule="exact"/>
              <w:jc w:val="right"/>
              <w:rPr>
                <w:rFonts w:asciiTheme="minorHAnsi" w:hAnsiTheme="minorHAnsi" w:cstheme="minorHAnsi"/>
                <w:color w:val="000000"/>
                <w:szCs w:val="19"/>
                <w:lang w:val="hr-HR"/>
              </w:rPr>
            </w:pPr>
            <w:r w:rsidRPr="00CD3A2D">
              <w:rPr>
                <w:rFonts w:asciiTheme="minorHAnsi" w:hAnsiTheme="minorHAnsi" w:cstheme="minorHAnsi"/>
                <w:color w:val="000000"/>
                <w:szCs w:val="19"/>
                <w:lang w:val="hr-HR"/>
              </w:rPr>
              <w:t>(8.476)</w:t>
            </w:r>
          </w:p>
        </w:tc>
        <w:tc>
          <w:tcPr>
            <w:tcW w:w="1252" w:type="dxa"/>
            <w:tcBorders>
              <w:top w:val="nil"/>
              <w:left w:val="nil"/>
              <w:bottom w:val="nil"/>
              <w:right w:val="nil"/>
            </w:tcBorders>
            <w:shd w:val="clear" w:color="auto" w:fill="auto"/>
            <w:vAlign w:val="center"/>
          </w:tcPr>
          <w:p w:rsidR="00AE4763" w:rsidRPr="001567C8" w:rsidRDefault="00AE4763" w:rsidP="00AE476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color w:val="000000"/>
                <w:szCs w:val="19"/>
                <w:lang w:val="hr-HR"/>
              </w:rPr>
              <w:t xml:space="preserve">                    7 </w:t>
            </w:r>
          </w:p>
        </w:tc>
      </w:tr>
      <w:tr w:rsidR="007012D4" w:rsidRPr="001567C8" w:rsidTr="003C6BA3">
        <w:tc>
          <w:tcPr>
            <w:tcW w:w="7515" w:type="dxa"/>
          </w:tcPr>
          <w:p w:rsidR="007012D4" w:rsidRPr="001567C8" w:rsidRDefault="007012D4" w:rsidP="007012D4">
            <w:pPr>
              <w:pStyle w:val="TT"/>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povećanje ostale imovine, prije rezerviranja za </w:t>
            </w:r>
            <w:r w:rsidR="009C322E" w:rsidRPr="001567C8">
              <w:rPr>
                <w:rFonts w:asciiTheme="minorHAnsi" w:hAnsiTheme="minorHAnsi" w:cstheme="minorHAnsi"/>
                <w:szCs w:val="19"/>
                <w:lang w:val="hr-HR"/>
              </w:rPr>
              <w:t>očekivane</w:t>
            </w:r>
            <w:r w:rsidRPr="001567C8">
              <w:rPr>
                <w:rFonts w:asciiTheme="minorHAnsi" w:hAnsiTheme="minorHAnsi" w:cstheme="minorHAnsi"/>
                <w:szCs w:val="19"/>
                <w:lang w:val="hr-HR"/>
              </w:rPr>
              <w:t xml:space="preserve"> gubitke</w:t>
            </w:r>
          </w:p>
        </w:tc>
        <w:tc>
          <w:tcPr>
            <w:tcW w:w="1252" w:type="dxa"/>
            <w:tcBorders>
              <w:top w:val="nil"/>
              <w:left w:val="nil"/>
              <w:bottom w:val="nil"/>
              <w:right w:val="nil"/>
            </w:tcBorders>
            <w:shd w:val="clear" w:color="auto" w:fill="auto"/>
            <w:vAlign w:val="bottom"/>
          </w:tcPr>
          <w:p w:rsidR="007012D4" w:rsidRPr="00CD3A2D" w:rsidRDefault="00E822EA" w:rsidP="007012D4">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(21.803)</w:t>
            </w:r>
          </w:p>
        </w:tc>
        <w:tc>
          <w:tcPr>
            <w:tcW w:w="1252" w:type="dxa"/>
            <w:tcBorders>
              <w:top w:val="nil"/>
              <w:left w:val="nil"/>
              <w:bottom w:val="nil"/>
              <w:right w:val="nil"/>
            </w:tcBorders>
            <w:shd w:val="clear" w:color="auto" w:fill="auto"/>
            <w:vAlign w:val="bottom"/>
          </w:tcPr>
          <w:p w:rsidR="007012D4" w:rsidRPr="001567C8" w:rsidRDefault="007012D4" w:rsidP="007012D4">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color w:val="000000"/>
                <w:sz w:val="19"/>
                <w:szCs w:val="19"/>
                <w:lang w:val="hr-HR"/>
              </w:rPr>
              <w:t xml:space="preserve">       (22.991)</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szCs w:val="19"/>
                <w:lang w:val="hr-HR"/>
              </w:rPr>
            </w:pPr>
            <w:r w:rsidRPr="001567C8">
              <w:rPr>
                <w:rFonts w:asciiTheme="minorHAnsi" w:hAnsiTheme="minorHAnsi" w:cstheme="minorHAnsi"/>
                <w:szCs w:val="19"/>
                <w:lang w:val="hr-HR"/>
              </w:rPr>
              <w:t>Neto (smanjenje)</w:t>
            </w:r>
            <w:r w:rsidR="00DE5B39" w:rsidRPr="001567C8">
              <w:rPr>
                <w:rFonts w:asciiTheme="minorHAnsi" w:hAnsiTheme="minorHAnsi" w:cstheme="minorHAnsi"/>
                <w:szCs w:val="19"/>
                <w:lang w:val="hr-HR"/>
              </w:rPr>
              <w:t>/povećanje</w:t>
            </w:r>
            <w:r w:rsidRPr="001567C8">
              <w:rPr>
                <w:rFonts w:asciiTheme="minorHAnsi" w:hAnsiTheme="minorHAnsi" w:cstheme="minorHAnsi"/>
                <w:szCs w:val="19"/>
                <w:lang w:val="hr-HR"/>
              </w:rPr>
              <w:t xml:space="preserve"> depozita banaka i trgovačkih društava</w:t>
            </w:r>
          </w:p>
        </w:tc>
        <w:tc>
          <w:tcPr>
            <w:tcW w:w="1252" w:type="dxa"/>
          </w:tcPr>
          <w:p w:rsidR="00AE4763" w:rsidRPr="00CD3A2D" w:rsidRDefault="007012D4" w:rsidP="00AE4763">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(215.645)</w:t>
            </w:r>
          </w:p>
        </w:tc>
        <w:tc>
          <w:tcPr>
            <w:tcW w:w="1252" w:type="dxa"/>
            <w:tcBorders>
              <w:top w:val="nil"/>
              <w:left w:val="nil"/>
              <w:bottom w:val="nil"/>
              <w:right w:val="nil"/>
            </w:tcBorders>
            <w:shd w:val="clear" w:color="auto" w:fill="auto"/>
            <w:vAlign w:val="center"/>
          </w:tcPr>
          <w:p w:rsidR="00AE4763" w:rsidRPr="001567C8" w:rsidRDefault="00AE4763" w:rsidP="00AE4763">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color w:val="000000"/>
                <w:sz w:val="19"/>
                <w:szCs w:val="19"/>
                <w:lang w:val="hr-HR"/>
              </w:rPr>
              <w:t xml:space="preserve">        501.897 </w:t>
            </w:r>
          </w:p>
        </w:tc>
      </w:tr>
      <w:tr w:rsidR="007012D4" w:rsidRPr="001567C8" w:rsidTr="00DC62D8">
        <w:tc>
          <w:tcPr>
            <w:tcW w:w="7515" w:type="dxa"/>
          </w:tcPr>
          <w:p w:rsidR="007012D4" w:rsidRPr="001567C8" w:rsidRDefault="007012D4" w:rsidP="007012D4">
            <w:pPr>
              <w:pStyle w:val="TT"/>
              <w:keepLines/>
              <w:spacing w:line="210" w:lineRule="exact"/>
              <w:rPr>
                <w:rFonts w:asciiTheme="minorHAnsi" w:hAnsiTheme="minorHAnsi" w:cstheme="minorHAnsi"/>
                <w:spacing w:val="-2"/>
                <w:szCs w:val="19"/>
                <w:lang w:val="hr-HR"/>
              </w:rPr>
            </w:pPr>
            <w:r w:rsidRPr="001567C8">
              <w:rPr>
                <w:rFonts w:asciiTheme="minorHAnsi" w:hAnsiTheme="minorHAnsi" w:cstheme="minorHAnsi"/>
                <w:spacing w:val="-2"/>
                <w:szCs w:val="19"/>
                <w:lang w:val="hr-HR"/>
              </w:rPr>
              <w:t>Neto smanjenje ostalih obveza, prije rezerviranja</w:t>
            </w:r>
          </w:p>
        </w:tc>
        <w:tc>
          <w:tcPr>
            <w:tcW w:w="1252" w:type="dxa"/>
            <w:tcBorders>
              <w:top w:val="nil"/>
              <w:left w:val="nil"/>
              <w:bottom w:val="nil"/>
              <w:right w:val="nil"/>
            </w:tcBorders>
            <w:shd w:val="clear" w:color="auto" w:fill="auto"/>
            <w:vAlign w:val="bottom"/>
          </w:tcPr>
          <w:p w:rsidR="007012D4" w:rsidRPr="00CD3A2D" w:rsidRDefault="007012D4" w:rsidP="007012D4">
            <w:pPr>
              <w:pStyle w:val="CommentText"/>
              <w:keepLines/>
              <w:spacing w:line="210" w:lineRule="exact"/>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 xml:space="preserve">    (</w:t>
            </w:r>
            <w:r w:rsidR="00E822EA" w:rsidRPr="00CD3A2D">
              <w:rPr>
                <w:rFonts w:asciiTheme="minorHAnsi" w:hAnsiTheme="minorHAnsi" w:cstheme="minorHAnsi"/>
                <w:color w:val="000000"/>
                <w:sz w:val="19"/>
                <w:szCs w:val="19"/>
                <w:lang w:val="hr-HR"/>
              </w:rPr>
              <w:t>84.03</w:t>
            </w:r>
            <w:r w:rsidR="00DC62D8" w:rsidRPr="00CD3A2D">
              <w:rPr>
                <w:rFonts w:asciiTheme="minorHAnsi" w:hAnsiTheme="minorHAnsi" w:cstheme="minorHAnsi"/>
                <w:color w:val="000000"/>
                <w:sz w:val="19"/>
                <w:szCs w:val="19"/>
                <w:lang w:val="hr-HR"/>
              </w:rPr>
              <w:t>8</w:t>
            </w:r>
            <w:r w:rsidRPr="00CD3A2D">
              <w:rPr>
                <w:rFonts w:asciiTheme="minorHAnsi" w:hAnsiTheme="minorHAnsi" w:cstheme="minorHAnsi"/>
                <w:color w:val="000000"/>
                <w:sz w:val="19"/>
                <w:szCs w:val="19"/>
                <w:lang w:val="hr-HR"/>
              </w:rPr>
              <w:t>)</w:t>
            </w:r>
          </w:p>
        </w:tc>
        <w:tc>
          <w:tcPr>
            <w:tcW w:w="1252" w:type="dxa"/>
            <w:tcBorders>
              <w:top w:val="nil"/>
              <w:left w:val="nil"/>
              <w:bottom w:val="nil"/>
              <w:right w:val="nil"/>
            </w:tcBorders>
            <w:shd w:val="clear" w:color="auto" w:fill="auto"/>
            <w:vAlign w:val="bottom"/>
          </w:tcPr>
          <w:p w:rsidR="007012D4" w:rsidRPr="001567C8" w:rsidRDefault="007012D4" w:rsidP="007012D4">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color w:val="000000"/>
                <w:sz w:val="19"/>
                <w:szCs w:val="19"/>
                <w:lang w:val="hr-HR"/>
              </w:rPr>
              <w:t xml:space="preserve">        (83.617)</w:t>
            </w:r>
          </w:p>
        </w:tc>
      </w:tr>
      <w:tr w:rsidR="007012D4" w:rsidRPr="001567C8" w:rsidTr="00DC62D8">
        <w:trPr>
          <w:trHeight w:val="228"/>
        </w:trPr>
        <w:tc>
          <w:tcPr>
            <w:tcW w:w="7515" w:type="dxa"/>
          </w:tcPr>
          <w:p w:rsidR="007012D4" w:rsidRPr="001567C8" w:rsidRDefault="007012D4" w:rsidP="007012D4">
            <w:pPr>
              <w:pStyle w:val="Tot"/>
              <w:keepLines/>
              <w:spacing w:line="220" w:lineRule="exact"/>
              <w:rPr>
                <w:rFonts w:asciiTheme="minorHAnsi" w:hAnsiTheme="minorHAnsi" w:cstheme="minorHAnsi"/>
                <w:b/>
                <w:bCs/>
                <w:spacing w:val="-3"/>
                <w:szCs w:val="19"/>
                <w:lang w:val="hr-HR"/>
              </w:rPr>
            </w:pPr>
            <w:r w:rsidRPr="001567C8">
              <w:rPr>
                <w:rFonts w:asciiTheme="minorHAnsi" w:hAnsiTheme="minorHAnsi" w:cstheme="minorHAnsi"/>
                <w:b/>
                <w:bCs/>
                <w:szCs w:val="19"/>
                <w:lang w:val="hr-HR"/>
              </w:rPr>
              <w:t>Neto novčana sredstva</w:t>
            </w:r>
            <w:r w:rsidR="009978A2" w:rsidRPr="001567C8">
              <w:rPr>
                <w:rFonts w:asciiTheme="minorHAnsi" w:hAnsiTheme="minorHAnsi" w:cstheme="minorHAnsi"/>
                <w:b/>
                <w:bCs/>
                <w:szCs w:val="19"/>
                <w:lang w:val="hr-HR"/>
              </w:rPr>
              <w:t xml:space="preserve"> </w:t>
            </w:r>
            <w:r w:rsidRPr="001567C8">
              <w:rPr>
                <w:rFonts w:asciiTheme="minorHAnsi" w:hAnsiTheme="minorHAnsi" w:cstheme="minorHAnsi"/>
                <w:b/>
                <w:bCs/>
                <w:szCs w:val="19"/>
                <w:lang w:val="hr-HR"/>
              </w:rPr>
              <w:t>(uporabljena)</w:t>
            </w:r>
            <w:r w:rsidR="009978A2" w:rsidRPr="001567C8">
              <w:rPr>
                <w:rFonts w:asciiTheme="minorHAnsi" w:hAnsiTheme="minorHAnsi" w:cstheme="minorHAnsi"/>
                <w:b/>
                <w:bCs/>
                <w:szCs w:val="19"/>
                <w:lang w:val="hr-HR"/>
              </w:rPr>
              <w:t>/ostvarena</w:t>
            </w:r>
            <w:r w:rsidRPr="001567C8">
              <w:rPr>
                <w:rFonts w:asciiTheme="minorHAnsi" w:hAnsiTheme="minorHAnsi" w:cstheme="minorHAnsi"/>
                <w:b/>
                <w:bCs/>
                <w:szCs w:val="19"/>
                <w:lang w:val="hr-HR"/>
              </w:rPr>
              <w:t xml:space="preserve"> u poslovnim aktivnostima </w:t>
            </w:r>
          </w:p>
        </w:tc>
        <w:tc>
          <w:tcPr>
            <w:tcW w:w="1252" w:type="dxa"/>
            <w:tcBorders>
              <w:top w:val="single" w:sz="4" w:space="0" w:color="auto"/>
              <w:left w:val="nil"/>
              <w:bottom w:val="single" w:sz="8" w:space="0" w:color="auto"/>
              <w:right w:val="nil"/>
            </w:tcBorders>
            <w:shd w:val="clear" w:color="auto" w:fill="auto"/>
            <w:vAlign w:val="center"/>
          </w:tcPr>
          <w:p w:rsidR="007012D4" w:rsidRPr="001567C8" w:rsidRDefault="00E822EA" w:rsidP="007012D4">
            <w:pPr>
              <w:pStyle w:val="T2"/>
              <w:keepNext w:val="0"/>
              <w:spacing w:line="220" w:lineRule="exact"/>
              <w:jc w:val="right"/>
              <w:rPr>
                <w:rFonts w:asciiTheme="minorHAnsi" w:hAnsiTheme="minorHAnsi" w:cstheme="minorHAnsi"/>
                <w:b/>
                <w:spacing w:val="-2"/>
                <w:szCs w:val="19"/>
                <w:lang w:val="hr-HR"/>
              </w:rPr>
            </w:pPr>
            <w:r w:rsidRPr="00CD3A2D">
              <w:rPr>
                <w:rFonts w:asciiTheme="minorHAnsi" w:hAnsiTheme="minorHAnsi" w:cstheme="minorHAnsi"/>
                <w:b/>
                <w:bCs/>
                <w:color w:val="000000"/>
                <w:szCs w:val="19"/>
                <w:lang w:val="hr-HR"/>
              </w:rPr>
              <w:t>(98.35</w:t>
            </w:r>
            <w:r w:rsidR="00DE5B39" w:rsidRPr="00CD3A2D">
              <w:rPr>
                <w:rFonts w:asciiTheme="minorHAnsi" w:hAnsiTheme="minorHAnsi" w:cstheme="minorHAnsi"/>
                <w:b/>
                <w:bCs/>
                <w:color w:val="000000"/>
                <w:szCs w:val="19"/>
                <w:lang w:val="hr-HR"/>
              </w:rPr>
              <w:t>0</w:t>
            </w:r>
            <w:r w:rsidRPr="00CD3A2D">
              <w:rPr>
                <w:rFonts w:asciiTheme="minorHAnsi" w:hAnsiTheme="minorHAnsi" w:cstheme="minorHAnsi"/>
                <w:b/>
                <w:bCs/>
                <w:color w:val="000000"/>
                <w:szCs w:val="19"/>
                <w:lang w:val="hr-HR"/>
              </w:rPr>
              <w:t>)</w:t>
            </w:r>
          </w:p>
        </w:tc>
        <w:tc>
          <w:tcPr>
            <w:tcW w:w="1252" w:type="dxa"/>
            <w:tcBorders>
              <w:top w:val="single" w:sz="4" w:space="0" w:color="auto"/>
              <w:left w:val="nil"/>
              <w:bottom w:val="single" w:sz="8" w:space="0" w:color="auto"/>
              <w:right w:val="nil"/>
            </w:tcBorders>
            <w:shd w:val="clear" w:color="auto" w:fill="auto"/>
            <w:vAlign w:val="center"/>
          </w:tcPr>
          <w:p w:rsidR="007012D4" w:rsidRPr="001567C8" w:rsidRDefault="007012D4" w:rsidP="007012D4">
            <w:pPr>
              <w:pStyle w:val="T2"/>
              <w:keepNext w:val="0"/>
              <w:spacing w:line="220" w:lineRule="exact"/>
              <w:jc w:val="right"/>
              <w:rPr>
                <w:rFonts w:asciiTheme="minorHAnsi" w:hAnsiTheme="minorHAnsi" w:cstheme="minorHAnsi"/>
                <w:b/>
                <w:spacing w:val="-2"/>
                <w:szCs w:val="19"/>
                <w:lang w:val="hr-HR"/>
              </w:rPr>
            </w:pPr>
            <w:r w:rsidRPr="001567C8">
              <w:rPr>
                <w:rFonts w:asciiTheme="minorHAnsi" w:hAnsiTheme="minorHAnsi" w:cstheme="minorHAnsi"/>
                <w:b/>
                <w:spacing w:val="-2"/>
                <w:szCs w:val="19"/>
                <w:lang w:val="hr-HR"/>
              </w:rPr>
              <w:t>644.120</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b/>
                <w:bCs/>
                <w:szCs w:val="19"/>
                <w:lang w:val="hr-HR"/>
              </w:rPr>
            </w:pPr>
            <w:r w:rsidRPr="001567C8">
              <w:rPr>
                <w:rFonts w:asciiTheme="minorHAnsi" w:hAnsiTheme="minorHAnsi" w:cstheme="minorHAnsi"/>
                <w:b/>
                <w:bCs/>
                <w:szCs w:val="19"/>
                <w:lang w:val="hr-HR"/>
              </w:rPr>
              <w:t>Ulagateljske aktivnosti</w:t>
            </w:r>
          </w:p>
        </w:tc>
        <w:tc>
          <w:tcPr>
            <w:tcW w:w="1252" w:type="dxa"/>
            <w:tcBorders>
              <w:top w:val="single" w:sz="12" w:space="0" w:color="auto"/>
            </w:tcBorders>
          </w:tcPr>
          <w:p w:rsidR="00AE4763" w:rsidRPr="001567C8" w:rsidRDefault="00AE4763" w:rsidP="00AE4763">
            <w:pPr>
              <w:pStyle w:val="TT"/>
              <w:keepLines/>
              <w:spacing w:line="210" w:lineRule="exact"/>
              <w:jc w:val="right"/>
              <w:rPr>
                <w:rFonts w:asciiTheme="minorHAnsi" w:hAnsiTheme="minorHAnsi" w:cstheme="minorHAnsi"/>
                <w:b/>
                <w:bCs/>
                <w:szCs w:val="19"/>
                <w:lang w:val="hr-HR"/>
              </w:rPr>
            </w:pPr>
          </w:p>
        </w:tc>
        <w:tc>
          <w:tcPr>
            <w:tcW w:w="1252" w:type="dxa"/>
            <w:tcBorders>
              <w:top w:val="single" w:sz="12" w:space="0" w:color="auto"/>
            </w:tcBorders>
          </w:tcPr>
          <w:p w:rsidR="00AE4763" w:rsidRPr="001567C8" w:rsidRDefault="00AE4763" w:rsidP="00AE4763">
            <w:pPr>
              <w:pStyle w:val="TT"/>
              <w:keepLines/>
              <w:spacing w:line="210" w:lineRule="exact"/>
              <w:jc w:val="right"/>
              <w:rPr>
                <w:rFonts w:asciiTheme="minorHAnsi" w:hAnsiTheme="minorHAnsi" w:cstheme="minorHAnsi"/>
                <w:b/>
                <w:bCs/>
                <w:szCs w:val="19"/>
                <w:lang w:val="hr-HR"/>
              </w:rPr>
            </w:pP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bCs/>
                <w:szCs w:val="19"/>
                <w:lang w:val="hr-HR"/>
              </w:rPr>
            </w:pPr>
            <w:r w:rsidRPr="001567C8">
              <w:rPr>
                <w:rFonts w:asciiTheme="minorHAnsi" w:hAnsiTheme="minorHAnsi" w:cstheme="minorHAnsi"/>
                <w:bCs/>
                <w:szCs w:val="19"/>
                <w:lang w:val="hr-HR"/>
              </w:rPr>
              <w:t>Neto kupovina imovine raspoložive za prodaju</w:t>
            </w:r>
          </w:p>
        </w:tc>
        <w:tc>
          <w:tcPr>
            <w:tcW w:w="1252" w:type="dxa"/>
          </w:tcPr>
          <w:p w:rsidR="00AE4763" w:rsidRPr="001567C8" w:rsidRDefault="00AE4763" w:rsidP="00AE4763">
            <w:pPr>
              <w:pStyle w:val="TT"/>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n/p</w:t>
            </w:r>
          </w:p>
        </w:tc>
        <w:tc>
          <w:tcPr>
            <w:tcW w:w="1252" w:type="dxa"/>
            <w:vAlign w:val="center"/>
          </w:tcPr>
          <w:p w:rsidR="00AE4763" w:rsidRPr="001567C8" w:rsidRDefault="00AE4763" w:rsidP="00AE4763">
            <w:pPr>
              <w:pStyle w:val="TT"/>
              <w:keepLines/>
              <w:spacing w:line="210" w:lineRule="exact"/>
              <w:jc w:val="right"/>
              <w:rPr>
                <w:rFonts w:asciiTheme="minorHAnsi" w:hAnsiTheme="minorHAnsi" w:cstheme="minorHAnsi"/>
                <w:bCs/>
                <w:szCs w:val="19"/>
                <w:lang w:val="hr-HR"/>
              </w:rPr>
            </w:pPr>
            <w:r w:rsidRPr="00CD3A2D">
              <w:rPr>
                <w:rFonts w:asciiTheme="minorHAnsi" w:hAnsiTheme="minorHAnsi" w:cstheme="minorHAnsi"/>
                <w:szCs w:val="19"/>
                <w:lang w:val="hr-HR"/>
              </w:rPr>
              <w:t>(2.141.579)</w:t>
            </w:r>
          </w:p>
        </w:tc>
      </w:tr>
      <w:tr w:rsidR="00AE4763" w:rsidRPr="001567C8" w:rsidTr="004418B3">
        <w:tc>
          <w:tcPr>
            <w:tcW w:w="7515" w:type="dxa"/>
          </w:tcPr>
          <w:p w:rsidR="00AE4763" w:rsidRPr="001567C8" w:rsidRDefault="00AE4763" w:rsidP="00AE4763">
            <w:pPr>
              <w:pStyle w:val="TT"/>
              <w:keepLines/>
              <w:spacing w:line="210" w:lineRule="exact"/>
              <w:rPr>
                <w:rFonts w:asciiTheme="minorHAnsi" w:hAnsiTheme="minorHAnsi" w:cstheme="minorHAnsi"/>
                <w:bCs/>
                <w:szCs w:val="19"/>
                <w:lang w:val="hr-HR"/>
              </w:rPr>
            </w:pPr>
            <w:r w:rsidRPr="001567C8">
              <w:rPr>
                <w:rFonts w:asciiTheme="minorHAnsi" w:hAnsiTheme="minorHAnsi" w:cstheme="minorHAnsi"/>
                <w:szCs w:val="19"/>
                <w:lang w:val="hr-HR"/>
              </w:rPr>
              <w:t xml:space="preserve">Prodaja </w:t>
            </w:r>
            <w:r w:rsidRPr="001567C8">
              <w:rPr>
                <w:rFonts w:asciiTheme="minorHAnsi" w:hAnsiTheme="minorHAnsi" w:cstheme="minorHAnsi"/>
                <w:spacing w:val="-2"/>
                <w:szCs w:val="19"/>
                <w:lang w:val="hr-HR"/>
              </w:rPr>
              <w:t>imovine raspoložive za prodaju</w:t>
            </w:r>
          </w:p>
        </w:tc>
        <w:tc>
          <w:tcPr>
            <w:tcW w:w="1252" w:type="dxa"/>
          </w:tcPr>
          <w:p w:rsidR="00AE4763" w:rsidRPr="001567C8" w:rsidRDefault="00AE4763" w:rsidP="00AE4763">
            <w:pPr>
              <w:pStyle w:val="TT"/>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n/p</w:t>
            </w:r>
          </w:p>
        </w:tc>
        <w:tc>
          <w:tcPr>
            <w:tcW w:w="1252" w:type="dxa"/>
            <w:vAlign w:val="center"/>
          </w:tcPr>
          <w:p w:rsidR="00AE4763" w:rsidRPr="00CD3A2D" w:rsidRDefault="00AE4763" w:rsidP="00AE476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szCs w:val="19"/>
                <w:lang w:val="hr-HR"/>
              </w:rPr>
              <w:t xml:space="preserve">   2.226.277 </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bCs/>
                <w:szCs w:val="19"/>
                <w:lang w:val="hr-HR"/>
              </w:rPr>
            </w:pPr>
            <w:r w:rsidRPr="001567C8">
              <w:rPr>
                <w:rFonts w:asciiTheme="minorHAnsi" w:hAnsiTheme="minorHAnsi" w:cstheme="minorHAnsi"/>
                <w:bCs/>
                <w:szCs w:val="19"/>
                <w:lang w:val="hr-HR"/>
              </w:rPr>
              <w:t>Kupovina financijske imovine po fer vrijednosti kroz dobiti i</w:t>
            </w:r>
            <w:r w:rsidR="009A07E7" w:rsidRPr="001567C8">
              <w:rPr>
                <w:rFonts w:asciiTheme="minorHAnsi" w:hAnsiTheme="minorHAnsi" w:cstheme="minorHAnsi"/>
                <w:bCs/>
                <w:szCs w:val="19"/>
                <w:lang w:val="hr-HR"/>
              </w:rPr>
              <w:t>li</w:t>
            </w:r>
            <w:r w:rsidRPr="001567C8">
              <w:rPr>
                <w:rFonts w:asciiTheme="minorHAnsi" w:hAnsiTheme="minorHAnsi" w:cstheme="minorHAnsi"/>
                <w:bCs/>
                <w:szCs w:val="19"/>
                <w:lang w:val="hr-HR"/>
              </w:rPr>
              <w:t xml:space="preserve"> gubit</w:t>
            </w:r>
            <w:r w:rsidR="009A07E7" w:rsidRPr="001567C8">
              <w:rPr>
                <w:rFonts w:asciiTheme="minorHAnsi" w:hAnsiTheme="minorHAnsi" w:cstheme="minorHAnsi"/>
                <w:bCs/>
                <w:szCs w:val="19"/>
                <w:lang w:val="hr-HR"/>
              </w:rPr>
              <w:t>ak</w:t>
            </w:r>
          </w:p>
        </w:tc>
        <w:tc>
          <w:tcPr>
            <w:tcW w:w="1252" w:type="dxa"/>
          </w:tcPr>
          <w:p w:rsidR="00AE4763" w:rsidRPr="001567C8" w:rsidRDefault="00E822EA" w:rsidP="00AE4763">
            <w:pPr>
              <w:pStyle w:val="TT"/>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(1.500)</w:t>
            </w:r>
          </w:p>
        </w:tc>
        <w:tc>
          <w:tcPr>
            <w:tcW w:w="1252" w:type="dxa"/>
            <w:tcBorders>
              <w:top w:val="nil"/>
              <w:left w:val="nil"/>
              <w:bottom w:val="nil"/>
              <w:right w:val="nil"/>
            </w:tcBorders>
            <w:shd w:val="clear" w:color="auto" w:fill="auto"/>
            <w:vAlign w:val="bottom"/>
          </w:tcPr>
          <w:p w:rsidR="00AE4763" w:rsidRPr="001567C8" w:rsidRDefault="00AE4763" w:rsidP="00AE4763">
            <w:pPr>
              <w:pStyle w:val="TT"/>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bCs/>
                <w:szCs w:val="19"/>
                <w:lang w:val="hr-HR"/>
              </w:rPr>
            </w:pPr>
            <w:r w:rsidRPr="001567C8">
              <w:rPr>
                <w:rFonts w:asciiTheme="minorHAnsi" w:hAnsiTheme="minorHAnsi" w:cstheme="minorHAnsi"/>
                <w:bCs/>
                <w:szCs w:val="19"/>
                <w:lang w:val="hr-HR"/>
              </w:rPr>
              <w:t>Prodaja financijske imovine po fer vrijednosti kroz dobit i</w:t>
            </w:r>
            <w:r w:rsidR="00A57318" w:rsidRPr="001567C8">
              <w:rPr>
                <w:rFonts w:asciiTheme="minorHAnsi" w:hAnsiTheme="minorHAnsi" w:cstheme="minorHAnsi"/>
                <w:bCs/>
                <w:szCs w:val="19"/>
                <w:lang w:val="hr-HR"/>
              </w:rPr>
              <w:t>li</w:t>
            </w:r>
            <w:r w:rsidRPr="001567C8">
              <w:rPr>
                <w:rFonts w:asciiTheme="minorHAnsi" w:hAnsiTheme="minorHAnsi" w:cstheme="minorHAnsi"/>
                <w:bCs/>
                <w:szCs w:val="19"/>
                <w:lang w:val="hr-HR"/>
              </w:rPr>
              <w:t xml:space="preserve"> gubi</w:t>
            </w:r>
            <w:r w:rsidR="00A57318" w:rsidRPr="001567C8">
              <w:rPr>
                <w:rFonts w:asciiTheme="minorHAnsi" w:hAnsiTheme="minorHAnsi" w:cstheme="minorHAnsi"/>
                <w:bCs/>
                <w:szCs w:val="19"/>
                <w:lang w:val="hr-HR"/>
              </w:rPr>
              <w:t>tak</w:t>
            </w:r>
          </w:p>
        </w:tc>
        <w:tc>
          <w:tcPr>
            <w:tcW w:w="1252" w:type="dxa"/>
          </w:tcPr>
          <w:p w:rsidR="00AE4763" w:rsidRPr="001567C8" w:rsidRDefault="00E822EA" w:rsidP="00AE4763">
            <w:pPr>
              <w:pStyle w:val="TT"/>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474.57</w:t>
            </w:r>
            <w:r w:rsidR="00DE5B39" w:rsidRPr="001567C8">
              <w:rPr>
                <w:rFonts w:asciiTheme="minorHAnsi" w:hAnsiTheme="minorHAnsi" w:cstheme="minorHAnsi"/>
                <w:bCs/>
                <w:szCs w:val="19"/>
                <w:lang w:val="hr-HR"/>
              </w:rPr>
              <w:t>8</w:t>
            </w:r>
          </w:p>
        </w:tc>
        <w:tc>
          <w:tcPr>
            <w:tcW w:w="1252" w:type="dxa"/>
            <w:tcBorders>
              <w:top w:val="nil"/>
              <w:left w:val="nil"/>
              <w:bottom w:val="nil"/>
              <w:right w:val="nil"/>
            </w:tcBorders>
            <w:shd w:val="clear" w:color="auto" w:fill="auto"/>
            <w:vAlign w:val="bottom"/>
          </w:tcPr>
          <w:p w:rsidR="00AE4763" w:rsidRPr="001567C8" w:rsidRDefault="00AE4763" w:rsidP="00AE4763">
            <w:pPr>
              <w:pStyle w:val="TT"/>
              <w:keepLines/>
              <w:spacing w:line="21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spacing w:val="-2"/>
                <w:szCs w:val="19"/>
                <w:lang w:val="hr-HR"/>
              </w:rPr>
            </w:pPr>
            <w:r w:rsidRPr="00CD3A2D">
              <w:rPr>
                <w:rFonts w:asciiTheme="minorHAnsi" w:hAnsiTheme="minorHAnsi" w:cstheme="minorHAnsi"/>
                <w:szCs w:val="19"/>
                <w:lang w:val="hr-HR"/>
              </w:rPr>
              <w:t>Kupovina financijske imovine po fer vrijednosti kroz ostalu sveobuhvatnu dobit</w:t>
            </w:r>
          </w:p>
        </w:tc>
        <w:tc>
          <w:tcPr>
            <w:tcW w:w="1252" w:type="dxa"/>
          </w:tcPr>
          <w:p w:rsidR="00AE4763" w:rsidRPr="00CD3A2D" w:rsidRDefault="00E822EA" w:rsidP="00AE476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szCs w:val="19"/>
                <w:lang w:val="hr-HR"/>
              </w:rPr>
              <w:t>(1.860.561)</w:t>
            </w:r>
          </w:p>
        </w:tc>
        <w:tc>
          <w:tcPr>
            <w:tcW w:w="1252" w:type="dxa"/>
            <w:tcBorders>
              <w:top w:val="nil"/>
              <w:left w:val="nil"/>
              <w:bottom w:val="nil"/>
              <w:right w:val="nil"/>
            </w:tcBorders>
            <w:shd w:val="clear" w:color="auto" w:fill="auto"/>
            <w:vAlign w:val="center"/>
          </w:tcPr>
          <w:p w:rsidR="00AE4763" w:rsidRPr="001567C8" w:rsidRDefault="00AE4763" w:rsidP="00AE4763">
            <w:pPr>
              <w:pStyle w:val="TT"/>
              <w:keepLines/>
              <w:spacing w:line="210" w:lineRule="exact"/>
              <w:jc w:val="right"/>
              <w:rPr>
                <w:rFonts w:asciiTheme="minorHAnsi" w:hAnsiTheme="minorHAnsi" w:cstheme="minorHAnsi"/>
                <w:spacing w:val="-2"/>
                <w:szCs w:val="19"/>
                <w:lang w:val="hr-HR"/>
              </w:rPr>
            </w:pPr>
            <w:r w:rsidRPr="00CD3A2D">
              <w:rPr>
                <w:rFonts w:asciiTheme="minorHAnsi" w:hAnsiTheme="minorHAnsi" w:cstheme="minorHAnsi"/>
                <w:szCs w:val="19"/>
                <w:lang w:val="hr-HR"/>
              </w:rPr>
              <w:t>n/p</w:t>
            </w:r>
          </w:p>
        </w:tc>
      </w:tr>
      <w:tr w:rsidR="00AE4763" w:rsidRPr="001567C8" w:rsidTr="004418B3">
        <w:tc>
          <w:tcPr>
            <w:tcW w:w="7515" w:type="dxa"/>
          </w:tcPr>
          <w:p w:rsidR="00AE4763" w:rsidRPr="00CD3A2D" w:rsidRDefault="00AE4763" w:rsidP="00AE4763">
            <w:pPr>
              <w:pStyle w:val="TT"/>
              <w:keepLines/>
              <w:spacing w:line="210" w:lineRule="exact"/>
              <w:rPr>
                <w:rFonts w:asciiTheme="minorHAnsi" w:hAnsiTheme="minorHAnsi" w:cstheme="minorHAnsi"/>
                <w:szCs w:val="19"/>
                <w:lang w:val="hr-HR"/>
              </w:rPr>
            </w:pPr>
            <w:r w:rsidRPr="00CD3A2D">
              <w:rPr>
                <w:rFonts w:asciiTheme="minorHAnsi" w:hAnsiTheme="minorHAnsi" w:cstheme="minorHAnsi"/>
                <w:szCs w:val="19"/>
                <w:lang w:val="hr-HR"/>
              </w:rPr>
              <w:t>Prodaja financijske imovine po fer vrijednosti kroz ostalu sveobuhvatnu dobit</w:t>
            </w:r>
          </w:p>
        </w:tc>
        <w:tc>
          <w:tcPr>
            <w:tcW w:w="1252" w:type="dxa"/>
          </w:tcPr>
          <w:p w:rsidR="00AE4763" w:rsidRPr="00CD3A2D" w:rsidRDefault="00E822EA" w:rsidP="00AE476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szCs w:val="19"/>
                <w:lang w:val="hr-HR"/>
              </w:rPr>
              <w:t>1.522.138</w:t>
            </w:r>
          </w:p>
        </w:tc>
        <w:tc>
          <w:tcPr>
            <w:tcW w:w="1252" w:type="dxa"/>
            <w:tcBorders>
              <w:top w:val="nil"/>
              <w:left w:val="nil"/>
              <w:bottom w:val="nil"/>
              <w:right w:val="nil"/>
            </w:tcBorders>
            <w:shd w:val="clear" w:color="auto" w:fill="auto"/>
            <w:vAlign w:val="center"/>
          </w:tcPr>
          <w:p w:rsidR="00AE4763" w:rsidRPr="00CD3A2D" w:rsidRDefault="00AE4763" w:rsidP="00AE4763">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szCs w:val="19"/>
                <w:lang w:val="hr-HR"/>
              </w:rPr>
              <w:t>n/p</w:t>
            </w:r>
          </w:p>
        </w:tc>
      </w:tr>
      <w:tr w:rsidR="00AE4763" w:rsidRPr="001567C8" w:rsidTr="003C6BA3">
        <w:tc>
          <w:tcPr>
            <w:tcW w:w="7515" w:type="dxa"/>
            <w:shd w:val="clear" w:color="auto" w:fill="auto"/>
          </w:tcPr>
          <w:p w:rsidR="00AE4763" w:rsidRPr="001567C8" w:rsidRDefault="00AE4763" w:rsidP="00AE4763">
            <w:pPr>
              <w:pStyle w:val="TT"/>
              <w:keepLines/>
              <w:spacing w:line="210" w:lineRule="exact"/>
              <w:rPr>
                <w:rFonts w:asciiTheme="minorHAnsi" w:hAnsiTheme="minorHAnsi" w:cstheme="minorHAnsi"/>
                <w:spacing w:val="-2"/>
                <w:szCs w:val="19"/>
                <w:lang w:val="hr-HR"/>
              </w:rPr>
            </w:pPr>
            <w:r w:rsidRPr="001567C8">
              <w:rPr>
                <w:rFonts w:asciiTheme="minorHAnsi" w:hAnsiTheme="minorHAnsi" w:cstheme="minorHAnsi"/>
                <w:spacing w:val="-2"/>
                <w:szCs w:val="19"/>
                <w:lang w:val="hr-HR"/>
              </w:rPr>
              <w:t>Neto nabava nekretnina, postrojenja i opreme i nematerijalne imovine</w:t>
            </w:r>
          </w:p>
        </w:tc>
        <w:tc>
          <w:tcPr>
            <w:tcW w:w="1252" w:type="dxa"/>
            <w:tcBorders>
              <w:bottom w:val="single" w:sz="4" w:space="0" w:color="auto"/>
            </w:tcBorders>
          </w:tcPr>
          <w:p w:rsidR="00AE4763" w:rsidRPr="001567C8" w:rsidRDefault="00E822EA" w:rsidP="00AE4763">
            <w:pPr>
              <w:pStyle w:val="CommentText"/>
              <w:keepLines/>
              <w:spacing w:line="210" w:lineRule="exact"/>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(3.540)</w:t>
            </w:r>
          </w:p>
        </w:tc>
        <w:tc>
          <w:tcPr>
            <w:tcW w:w="1252" w:type="dxa"/>
            <w:tcBorders>
              <w:bottom w:val="single" w:sz="4" w:space="0" w:color="auto"/>
            </w:tcBorders>
            <w:vAlign w:val="bottom"/>
          </w:tcPr>
          <w:p w:rsidR="00AE4763" w:rsidRPr="001567C8" w:rsidRDefault="00AE4763" w:rsidP="00AE4763">
            <w:pPr>
              <w:pStyle w:val="CommentText"/>
              <w:keepLines/>
              <w:spacing w:line="210" w:lineRule="exact"/>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(3.727)</w:t>
            </w:r>
          </w:p>
        </w:tc>
      </w:tr>
      <w:tr w:rsidR="00AE4763" w:rsidRPr="001567C8" w:rsidTr="003C6BA3">
        <w:trPr>
          <w:trHeight w:val="235"/>
        </w:trPr>
        <w:tc>
          <w:tcPr>
            <w:tcW w:w="7515" w:type="dxa"/>
            <w:vAlign w:val="center"/>
          </w:tcPr>
          <w:p w:rsidR="00AE4763" w:rsidRPr="001567C8" w:rsidRDefault="00AE4763" w:rsidP="00AE4763">
            <w:pPr>
              <w:pStyle w:val="Tot"/>
              <w:keepLines/>
              <w:spacing w:line="220" w:lineRule="exact"/>
              <w:rPr>
                <w:rFonts w:asciiTheme="minorHAnsi" w:hAnsiTheme="minorHAnsi" w:cstheme="minorHAnsi"/>
                <w:b/>
                <w:bCs/>
                <w:szCs w:val="19"/>
                <w:lang w:val="hr-HR"/>
              </w:rPr>
            </w:pPr>
            <w:r w:rsidRPr="001567C8">
              <w:rPr>
                <w:rFonts w:asciiTheme="minorHAnsi" w:hAnsiTheme="minorHAnsi" w:cstheme="minorHAnsi"/>
                <w:b/>
                <w:bCs/>
                <w:szCs w:val="19"/>
                <w:lang w:val="hr-HR"/>
              </w:rPr>
              <w:t>Neto novčana sredstva ostvarena u ulagateljskim aktivnostima</w:t>
            </w:r>
          </w:p>
        </w:tc>
        <w:tc>
          <w:tcPr>
            <w:tcW w:w="1252" w:type="dxa"/>
            <w:tcBorders>
              <w:top w:val="single" w:sz="4" w:space="0" w:color="auto"/>
              <w:bottom w:val="single" w:sz="12" w:space="0" w:color="auto"/>
            </w:tcBorders>
          </w:tcPr>
          <w:p w:rsidR="00AE4763" w:rsidRPr="001567C8" w:rsidRDefault="00E822EA" w:rsidP="00AE4763">
            <w:pPr>
              <w:pStyle w:val="T2"/>
              <w:keepNext w:val="0"/>
              <w:spacing w:line="220" w:lineRule="exact"/>
              <w:jc w:val="right"/>
              <w:rPr>
                <w:rFonts w:asciiTheme="minorHAnsi" w:hAnsiTheme="minorHAnsi" w:cstheme="minorHAnsi"/>
                <w:b/>
                <w:bCs/>
                <w:spacing w:val="-2"/>
                <w:szCs w:val="19"/>
                <w:lang w:val="hr-HR"/>
              </w:rPr>
            </w:pPr>
            <w:r w:rsidRPr="001567C8">
              <w:rPr>
                <w:rFonts w:asciiTheme="minorHAnsi" w:hAnsiTheme="minorHAnsi" w:cstheme="minorHAnsi"/>
                <w:b/>
                <w:bCs/>
                <w:spacing w:val="-2"/>
                <w:szCs w:val="19"/>
                <w:lang w:val="hr-HR"/>
              </w:rPr>
              <w:t>131.11</w:t>
            </w:r>
            <w:r w:rsidR="00DE5B39" w:rsidRPr="001567C8">
              <w:rPr>
                <w:rFonts w:asciiTheme="minorHAnsi" w:hAnsiTheme="minorHAnsi" w:cstheme="minorHAnsi"/>
                <w:b/>
                <w:bCs/>
                <w:spacing w:val="-2"/>
                <w:szCs w:val="19"/>
                <w:lang w:val="hr-HR"/>
              </w:rPr>
              <w:t>5</w:t>
            </w:r>
          </w:p>
        </w:tc>
        <w:tc>
          <w:tcPr>
            <w:tcW w:w="1252" w:type="dxa"/>
            <w:tcBorders>
              <w:top w:val="single" w:sz="4" w:space="0" w:color="auto"/>
              <w:bottom w:val="single" w:sz="12" w:space="0" w:color="auto"/>
            </w:tcBorders>
            <w:vAlign w:val="bottom"/>
          </w:tcPr>
          <w:p w:rsidR="00AE4763" w:rsidRPr="001567C8" w:rsidRDefault="00AE4763" w:rsidP="00AE4763">
            <w:pPr>
              <w:pStyle w:val="T2"/>
              <w:keepNext w:val="0"/>
              <w:spacing w:line="220" w:lineRule="exact"/>
              <w:jc w:val="right"/>
              <w:rPr>
                <w:rFonts w:asciiTheme="minorHAnsi" w:hAnsiTheme="minorHAnsi" w:cstheme="minorHAnsi"/>
                <w:b/>
                <w:bCs/>
                <w:spacing w:val="-2"/>
                <w:szCs w:val="19"/>
                <w:lang w:val="hr-HR"/>
              </w:rPr>
            </w:pPr>
            <w:r w:rsidRPr="001567C8">
              <w:rPr>
                <w:rFonts w:asciiTheme="minorHAnsi" w:hAnsiTheme="minorHAnsi" w:cstheme="minorHAnsi"/>
                <w:b/>
                <w:bCs/>
                <w:spacing w:val="-2"/>
                <w:szCs w:val="19"/>
                <w:lang w:val="hr-HR"/>
              </w:rPr>
              <w:t>80.971</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b/>
                <w:bCs/>
                <w:spacing w:val="-3"/>
                <w:szCs w:val="19"/>
                <w:lang w:val="hr-HR"/>
              </w:rPr>
            </w:pPr>
            <w:r w:rsidRPr="001567C8">
              <w:rPr>
                <w:rFonts w:asciiTheme="minorHAnsi" w:hAnsiTheme="minorHAnsi" w:cstheme="minorHAnsi"/>
                <w:b/>
                <w:bCs/>
                <w:szCs w:val="19"/>
                <w:lang w:val="hr-HR"/>
              </w:rPr>
              <w:t>Financijske aktivnosti</w:t>
            </w:r>
          </w:p>
        </w:tc>
        <w:tc>
          <w:tcPr>
            <w:tcW w:w="1252" w:type="dxa"/>
            <w:tcBorders>
              <w:top w:val="single" w:sz="12" w:space="0" w:color="auto"/>
            </w:tcBorders>
          </w:tcPr>
          <w:p w:rsidR="00AE4763" w:rsidRPr="001567C8" w:rsidRDefault="00AE4763" w:rsidP="00AE4763">
            <w:pPr>
              <w:pStyle w:val="TT"/>
              <w:keepLines/>
              <w:spacing w:line="210" w:lineRule="exact"/>
              <w:jc w:val="right"/>
              <w:rPr>
                <w:rFonts w:asciiTheme="minorHAnsi" w:hAnsiTheme="minorHAnsi" w:cstheme="minorHAnsi"/>
                <w:b/>
                <w:bCs/>
                <w:szCs w:val="19"/>
                <w:lang w:val="hr-HR"/>
              </w:rPr>
            </w:pPr>
          </w:p>
        </w:tc>
        <w:tc>
          <w:tcPr>
            <w:tcW w:w="1252" w:type="dxa"/>
            <w:tcBorders>
              <w:top w:val="single" w:sz="12" w:space="0" w:color="auto"/>
            </w:tcBorders>
          </w:tcPr>
          <w:p w:rsidR="00AE4763" w:rsidRPr="001567C8" w:rsidRDefault="00AE4763" w:rsidP="00AE4763">
            <w:pPr>
              <w:pStyle w:val="TT"/>
              <w:keepLines/>
              <w:spacing w:line="210" w:lineRule="exact"/>
              <w:jc w:val="right"/>
              <w:rPr>
                <w:rFonts w:asciiTheme="minorHAnsi" w:hAnsiTheme="minorHAnsi" w:cstheme="minorHAnsi"/>
                <w:b/>
                <w:bCs/>
                <w:szCs w:val="19"/>
                <w:lang w:val="hr-HR"/>
              </w:rPr>
            </w:pPr>
          </w:p>
        </w:tc>
      </w:tr>
      <w:tr w:rsidR="00E822EA" w:rsidRPr="001567C8" w:rsidTr="003C6BA3">
        <w:tc>
          <w:tcPr>
            <w:tcW w:w="7515" w:type="dxa"/>
          </w:tcPr>
          <w:p w:rsidR="00E822EA" w:rsidRPr="001567C8" w:rsidRDefault="00E822EA" w:rsidP="00E822EA">
            <w:pPr>
              <w:pStyle w:val="TT"/>
              <w:keepLines/>
              <w:spacing w:line="21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Povećanje osnivačkog kapitala</w:t>
            </w:r>
          </w:p>
        </w:tc>
        <w:tc>
          <w:tcPr>
            <w:tcW w:w="1252" w:type="dxa"/>
            <w:tcBorders>
              <w:top w:val="nil"/>
              <w:left w:val="nil"/>
              <w:bottom w:val="nil"/>
              <w:right w:val="nil"/>
            </w:tcBorders>
            <w:shd w:val="clear" w:color="auto" w:fill="auto"/>
            <w:vAlign w:val="center"/>
          </w:tcPr>
          <w:p w:rsidR="00E822EA" w:rsidRPr="00CD3A2D" w:rsidRDefault="00E822EA" w:rsidP="00E822EA">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color w:val="000000"/>
                <w:szCs w:val="19"/>
                <w:lang w:val="hr-HR"/>
              </w:rPr>
              <w:t xml:space="preserve">       50.000 </w:t>
            </w:r>
          </w:p>
        </w:tc>
        <w:tc>
          <w:tcPr>
            <w:tcW w:w="1252" w:type="dxa"/>
            <w:tcBorders>
              <w:top w:val="nil"/>
              <w:left w:val="nil"/>
              <w:bottom w:val="nil"/>
              <w:right w:val="nil"/>
            </w:tcBorders>
            <w:shd w:val="clear" w:color="auto" w:fill="auto"/>
          </w:tcPr>
          <w:p w:rsidR="00E822EA" w:rsidRPr="001567C8" w:rsidRDefault="00E822EA" w:rsidP="00E822EA">
            <w:pPr>
              <w:pStyle w:val="TT"/>
              <w:keepLines/>
              <w:spacing w:line="210" w:lineRule="exact"/>
              <w:jc w:val="right"/>
              <w:rPr>
                <w:rFonts w:asciiTheme="minorHAnsi" w:hAnsiTheme="minorHAnsi" w:cstheme="minorHAnsi"/>
                <w:spacing w:val="-2"/>
                <w:szCs w:val="19"/>
                <w:lang w:val="hr-HR"/>
              </w:rPr>
            </w:pPr>
            <w:r w:rsidRPr="00CD3A2D">
              <w:rPr>
                <w:rFonts w:asciiTheme="minorHAnsi" w:hAnsiTheme="minorHAnsi" w:cstheme="minorHAnsi"/>
                <w:szCs w:val="19"/>
                <w:lang w:val="hr-HR"/>
              </w:rPr>
              <w:t xml:space="preserve"> 50.000 </w:t>
            </w:r>
          </w:p>
        </w:tc>
      </w:tr>
      <w:tr w:rsidR="00E822EA" w:rsidRPr="001567C8" w:rsidTr="003C6BA3">
        <w:tc>
          <w:tcPr>
            <w:tcW w:w="7515" w:type="dxa"/>
          </w:tcPr>
          <w:p w:rsidR="00E822EA" w:rsidRPr="001567C8" w:rsidRDefault="00E822EA" w:rsidP="00E822EA">
            <w:pPr>
              <w:pStyle w:val="TT"/>
              <w:keepLines/>
              <w:spacing w:line="21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Povećanje obveza po kreditima povlačenjem sredstava kredita</w:t>
            </w:r>
          </w:p>
        </w:tc>
        <w:tc>
          <w:tcPr>
            <w:tcW w:w="1252" w:type="dxa"/>
            <w:tcBorders>
              <w:top w:val="nil"/>
              <w:left w:val="nil"/>
              <w:bottom w:val="nil"/>
              <w:right w:val="nil"/>
            </w:tcBorders>
            <w:shd w:val="clear" w:color="auto" w:fill="auto"/>
            <w:vAlign w:val="center"/>
          </w:tcPr>
          <w:p w:rsidR="00E822EA" w:rsidRPr="00CD3A2D" w:rsidRDefault="00E822EA" w:rsidP="00E822EA">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color w:val="000000"/>
                <w:szCs w:val="19"/>
                <w:lang w:val="hr-HR"/>
              </w:rPr>
              <w:t xml:space="preserve">   2.284.763 </w:t>
            </w:r>
          </w:p>
        </w:tc>
        <w:tc>
          <w:tcPr>
            <w:tcW w:w="1252" w:type="dxa"/>
            <w:tcBorders>
              <w:top w:val="nil"/>
              <w:left w:val="nil"/>
              <w:bottom w:val="nil"/>
              <w:right w:val="nil"/>
            </w:tcBorders>
            <w:shd w:val="clear" w:color="auto" w:fill="auto"/>
          </w:tcPr>
          <w:p w:rsidR="00E822EA" w:rsidRPr="001567C8" w:rsidRDefault="00E822EA" w:rsidP="00E822EA">
            <w:pPr>
              <w:pStyle w:val="TT"/>
              <w:keepLines/>
              <w:spacing w:line="210" w:lineRule="exact"/>
              <w:jc w:val="right"/>
              <w:rPr>
                <w:rFonts w:asciiTheme="minorHAnsi" w:hAnsiTheme="minorHAnsi" w:cstheme="minorHAnsi"/>
                <w:spacing w:val="-2"/>
                <w:szCs w:val="19"/>
                <w:lang w:val="hr-HR"/>
              </w:rPr>
            </w:pPr>
            <w:r w:rsidRPr="00CD3A2D">
              <w:rPr>
                <w:rFonts w:asciiTheme="minorHAnsi" w:hAnsiTheme="minorHAnsi" w:cstheme="minorHAnsi"/>
                <w:szCs w:val="19"/>
                <w:lang w:val="hr-HR"/>
              </w:rPr>
              <w:t>3.849.787</w:t>
            </w:r>
          </w:p>
        </w:tc>
      </w:tr>
      <w:tr w:rsidR="00E822EA" w:rsidRPr="001567C8" w:rsidTr="003C6BA3">
        <w:tc>
          <w:tcPr>
            <w:tcW w:w="7515" w:type="dxa"/>
          </w:tcPr>
          <w:p w:rsidR="00E822EA" w:rsidRPr="001567C8" w:rsidRDefault="00E822EA" w:rsidP="00E822EA">
            <w:pPr>
              <w:pStyle w:val="TT"/>
              <w:keepLines/>
              <w:spacing w:line="21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Smanjenje obveza po kreditima otplatom glavnice kredita</w:t>
            </w:r>
          </w:p>
        </w:tc>
        <w:tc>
          <w:tcPr>
            <w:tcW w:w="1252" w:type="dxa"/>
            <w:tcBorders>
              <w:top w:val="nil"/>
              <w:left w:val="nil"/>
              <w:right w:val="nil"/>
            </w:tcBorders>
            <w:shd w:val="clear" w:color="auto" w:fill="auto"/>
            <w:vAlign w:val="center"/>
          </w:tcPr>
          <w:p w:rsidR="00E822EA" w:rsidRPr="00CD3A2D" w:rsidRDefault="00E822EA" w:rsidP="00E822EA">
            <w:pPr>
              <w:pStyle w:val="TT"/>
              <w:keepLines/>
              <w:spacing w:line="210" w:lineRule="exact"/>
              <w:jc w:val="right"/>
              <w:rPr>
                <w:rFonts w:asciiTheme="minorHAnsi" w:hAnsiTheme="minorHAnsi" w:cstheme="minorHAnsi"/>
                <w:szCs w:val="19"/>
                <w:lang w:val="hr-HR"/>
              </w:rPr>
            </w:pPr>
            <w:r w:rsidRPr="00CD3A2D">
              <w:rPr>
                <w:rFonts w:asciiTheme="minorHAnsi" w:hAnsiTheme="minorHAnsi" w:cstheme="minorHAnsi"/>
                <w:color w:val="000000"/>
                <w:szCs w:val="19"/>
                <w:lang w:val="hr-HR"/>
              </w:rPr>
              <w:t xml:space="preserve">  (2.658.936)</w:t>
            </w:r>
          </w:p>
        </w:tc>
        <w:tc>
          <w:tcPr>
            <w:tcW w:w="1252" w:type="dxa"/>
            <w:tcBorders>
              <w:top w:val="nil"/>
              <w:left w:val="nil"/>
              <w:right w:val="nil"/>
            </w:tcBorders>
            <w:shd w:val="clear" w:color="auto" w:fill="auto"/>
          </w:tcPr>
          <w:p w:rsidR="00E822EA" w:rsidRPr="001567C8" w:rsidRDefault="00E822EA" w:rsidP="00E822EA">
            <w:pPr>
              <w:pStyle w:val="TT"/>
              <w:keepLines/>
              <w:spacing w:line="210" w:lineRule="exact"/>
              <w:jc w:val="right"/>
              <w:rPr>
                <w:rFonts w:asciiTheme="minorHAnsi" w:hAnsiTheme="minorHAnsi" w:cstheme="minorHAnsi"/>
                <w:spacing w:val="-2"/>
                <w:szCs w:val="19"/>
                <w:lang w:val="hr-HR"/>
              </w:rPr>
            </w:pPr>
            <w:r w:rsidRPr="00CD3A2D">
              <w:rPr>
                <w:rFonts w:asciiTheme="minorHAnsi" w:hAnsiTheme="minorHAnsi" w:cstheme="minorHAnsi"/>
                <w:szCs w:val="19"/>
                <w:lang w:val="hr-HR"/>
              </w:rPr>
              <w:t xml:space="preserve"> (1.729.575)</w:t>
            </w:r>
          </w:p>
        </w:tc>
      </w:tr>
      <w:tr w:rsidR="00AE4763" w:rsidRPr="001567C8" w:rsidTr="003C6BA3">
        <w:tc>
          <w:tcPr>
            <w:tcW w:w="7515" w:type="dxa"/>
          </w:tcPr>
          <w:p w:rsidR="00AE4763" w:rsidRPr="001567C8" w:rsidRDefault="00AE4763" w:rsidP="00AE4763">
            <w:pPr>
              <w:pStyle w:val="TT"/>
              <w:keepLines/>
              <w:spacing w:line="21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 xml:space="preserve">Smanjenje obveza za izdane dugoročne vrijednosne papire isplatom </w:t>
            </w:r>
          </w:p>
        </w:tc>
        <w:tc>
          <w:tcPr>
            <w:tcW w:w="1252" w:type="dxa"/>
          </w:tcPr>
          <w:p w:rsidR="00AE4763" w:rsidRPr="00CD3A2D" w:rsidRDefault="00E822EA" w:rsidP="00AE4763">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252" w:type="dxa"/>
            <w:tcBorders>
              <w:top w:val="nil"/>
              <w:left w:val="nil"/>
              <w:right w:val="nil"/>
            </w:tcBorders>
            <w:shd w:val="clear" w:color="auto" w:fill="auto"/>
          </w:tcPr>
          <w:p w:rsidR="00AE4763" w:rsidRPr="001567C8" w:rsidRDefault="00AE4763" w:rsidP="00AE4763">
            <w:pPr>
              <w:pStyle w:val="CommentText"/>
              <w:keepLines/>
              <w:spacing w:line="210" w:lineRule="exact"/>
              <w:jc w:val="right"/>
              <w:rPr>
                <w:rFonts w:asciiTheme="minorHAnsi" w:hAnsiTheme="minorHAnsi" w:cstheme="minorHAnsi"/>
                <w:spacing w:val="-2"/>
                <w:sz w:val="19"/>
                <w:szCs w:val="19"/>
                <w:lang w:val="hr-HR"/>
              </w:rPr>
            </w:pPr>
            <w:r w:rsidRPr="00CD3A2D">
              <w:rPr>
                <w:rFonts w:asciiTheme="minorHAnsi" w:hAnsiTheme="minorHAnsi" w:cstheme="minorHAnsi"/>
                <w:sz w:val="19"/>
                <w:szCs w:val="19"/>
                <w:lang w:val="hr-HR"/>
              </w:rPr>
              <w:t xml:space="preserve"> (1.852.051)</w:t>
            </w:r>
          </w:p>
        </w:tc>
      </w:tr>
      <w:tr w:rsidR="00E822EA" w:rsidRPr="001567C8" w:rsidTr="003C6BA3">
        <w:tc>
          <w:tcPr>
            <w:tcW w:w="7515" w:type="dxa"/>
          </w:tcPr>
          <w:p w:rsidR="00E822EA" w:rsidRPr="001567C8" w:rsidRDefault="00E822EA" w:rsidP="00AE4763">
            <w:pPr>
              <w:pStyle w:val="TT"/>
              <w:keepLines/>
              <w:spacing w:line="21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Ostalo</w:t>
            </w:r>
          </w:p>
        </w:tc>
        <w:tc>
          <w:tcPr>
            <w:tcW w:w="1252" w:type="dxa"/>
            <w:tcBorders>
              <w:bottom w:val="single" w:sz="4" w:space="0" w:color="auto"/>
            </w:tcBorders>
          </w:tcPr>
          <w:p w:rsidR="00E822EA" w:rsidRPr="00CD3A2D" w:rsidRDefault="00E822EA" w:rsidP="00AE4763">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1.0</w:t>
            </w:r>
            <w:r w:rsidR="00DE5B39" w:rsidRPr="00CD3A2D">
              <w:rPr>
                <w:rFonts w:asciiTheme="minorHAnsi" w:hAnsiTheme="minorHAnsi" w:cstheme="minorHAnsi"/>
                <w:sz w:val="19"/>
                <w:szCs w:val="19"/>
                <w:lang w:val="hr-HR"/>
              </w:rPr>
              <w:t>9</w:t>
            </w:r>
            <w:r w:rsidRPr="00CD3A2D">
              <w:rPr>
                <w:rFonts w:asciiTheme="minorHAnsi" w:hAnsiTheme="minorHAnsi" w:cstheme="minorHAnsi"/>
                <w:sz w:val="19"/>
                <w:szCs w:val="19"/>
                <w:lang w:val="hr-HR"/>
              </w:rPr>
              <w:t>3</w:t>
            </w:r>
          </w:p>
        </w:tc>
        <w:tc>
          <w:tcPr>
            <w:tcW w:w="1252" w:type="dxa"/>
            <w:tcBorders>
              <w:left w:val="nil"/>
              <w:bottom w:val="single" w:sz="4" w:space="0" w:color="auto"/>
              <w:right w:val="nil"/>
            </w:tcBorders>
            <w:shd w:val="clear" w:color="auto" w:fill="auto"/>
          </w:tcPr>
          <w:p w:rsidR="00E822EA" w:rsidRPr="00CD3A2D" w:rsidRDefault="00E822EA" w:rsidP="00AE4763">
            <w:pPr>
              <w:pStyle w:val="CommentText"/>
              <w:keepLines/>
              <w:spacing w:line="210" w:lineRule="exact"/>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r>
      <w:tr w:rsidR="00AE4763" w:rsidRPr="001567C8" w:rsidTr="003C6BA3">
        <w:tc>
          <w:tcPr>
            <w:tcW w:w="7515" w:type="dxa"/>
          </w:tcPr>
          <w:p w:rsidR="00AE4763" w:rsidRPr="001567C8" w:rsidRDefault="00AE4763" w:rsidP="00AE4763">
            <w:pPr>
              <w:pStyle w:val="Tot"/>
              <w:keepLines/>
              <w:spacing w:line="220" w:lineRule="exact"/>
              <w:rPr>
                <w:rFonts w:asciiTheme="minorHAnsi" w:hAnsiTheme="minorHAnsi" w:cstheme="minorHAnsi"/>
                <w:b/>
                <w:bCs/>
                <w:spacing w:val="-3"/>
                <w:szCs w:val="19"/>
                <w:lang w:val="hr-HR"/>
              </w:rPr>
            </w:pPr>
            <w:r w:rsidRPr="001567C8">
              <w:rPr>
                <w:rFonts w:asciiTheme="minorHAnsi" w:hAnsiTheme="minorHAnsi" w:cstheme="minorHAnsi"/>
                <w:b/>
                <w:bCs/>
                <w:szCs w:val="19"/>
                <w:lang w:val="hr-HR"/>
              </w:rPr>
              <w:t xml:space="preserve">Neto novčana sredstva </w:t>
            </w:r>
            <w:r w:rsidR="001B4CFA" w:rsidRPr="001567C8">
              <w:rPr>
                <w:rFonts w:asciiTheme="minorHAnsi" w:hAnsiTheme="minorHAnsi" w:cstheme="minorHAnsi"/>
                <w:b/>
                <w:bCs/>
                <w:szCs w:val="19"/>
                <w:lang w:val="hr-HR"/>
              </w:rPr>
              <w:t>(uporabljena)/</w:t>
            </w:r>
            <w:r w:rsidRPr="001567C8">
              <w:rPr>
                <w:rFonts w:asciiTheme="minorHAnsi" w:hAnsiTheme="minorHAnsi" w:cstheme="minorHAnsi"/>
                <w:b/>
                <w:bCs/>
                <w:szCs w:val="19"/>
                <w:lang w:val="hr-HR"/>
              </w:rPr>
              <w:t xml:space="preserve">ostvarena u financijskim aktivnostima </w:t>
            </w:r>
          </w:p>
        </w:tc>
        <w:tc>
          <w:tcPr>
            <w:tcW w:w="1252" w:type="dxa"/>
            <w:tcBorders>
              <w:top w:val="single" w:sz="4" w:space="0" w:color="auto"/>
              <w:bottom w:val="single" w:sz="12" w:space="0" w:color="auto"/>
            </w:tcBorders>
          </w:tcPr>
          <w:p w:rsidR="00AE4763" w:rsidRPr="001567C8" w:rsidRDefault="00E822EA" w:rsidP="00AE4763">
            <w:pPr>
              <w:pStyle w:val="T2"/>
              <w:keepNext w:val="0"/>
              <w:spacing w:line="220" w:lineRule="exact"/>
              <w:jc w:val="right"/>
              <w:rPr>
                <w:rFonts w:asciiTheme="minorHAnsi" w:hAnsiTheme="minorHAnsi" w:cstheme="minorHAnsi"/>
                <w:b/>
                <w:bCs/>
                <w:szCs w:val="19"/>
                <w:lang w:val="hr-HR"/>
              </w:rPr>
            </w:pPr>
            <w:r w:rsidRPr="001567C8">
              <w:rPr>
                <w:rFonts w:asciiTheme="minorHAnsi" w:hAnsiTheme="minorHAnsi" w:cstheme="minorHAnsi"/>
                <w:b/>
                <w:bCs/>
                <w:szCs w:val="19"/>
                <w:lang w:val="hr-HR"/>
              </w:rPr>
              <w:t>(323.</w:t>
            </w:r>
            <w:r w:rsidR="00DE5B39" w:rsidRPr="001567C8">
              <w:rPr>
                <w:rFonts w:asciiTheme="minorHAnsi" w:hAnsiTheme="minorHAnsi" w:cstheme="minorHAnsi"/>
                <w:b/>
                <w:bCs/>
                <w:szCs w:val="19"/>
                <w:lang w:val="hr-HR"/>
              </w:rPr>
              <w:t>080</w:t>
            </w:r>
            <w:r w:rsidRPr="001567C8">
              <w:rPr>
                <w:rFonts w:asciiTheme="minorHAnsi" w:hAnsiTheme="minorHAnsi" w:cstheme="minorHAnsi"/>
                <w:b/>
                <w:bCs/>
                <w:szCs w:val="19"/>
                <w:lang w:val="hr-HR"/>
              </w:rPr>
              <w:t>)</w:t>
            </w:r>
          </w:p>
        </w:tc>
        <w:tc>
          <w:tcPr>
            <w:tcW w:w="1252" w:type="dxa"/>
            <w:tcBorders>
              <w:top w:val="single" w:sz="4" w:space="0" w:color="auto"/>
              <w:bottom w:val="single" w:sz="12" w:space="0" w:color="auto"/>
            </w:tcBorders>
            <w:vAlign w:val="bottom"/>
          </w:tcPr>
          <w:p w:rsidR="00AE4763" w:rsidRPr="001567C8" w:rsidRDefault="00AE4763" w:rsidP="00AE4763">
            <w:pPr>
              <w:pStyle w:val="T2"/>
              <w:keepNext w:val="0"/>
              <w:spacing w:line="220" w:lineRule="exact"/>
              <w:jc w:val="right"/>
              <w:rPr>
                <w:rFonts w:asciiTheme="minorHAnsi" w:hAnsiTheme="minorHAnsi" w:cstheme="minorHAnsi"/>
                <w:b/>
                <w:bCs/>
                <w:szCs w:val="19"/>
                <w:lang w:val="hr-HR"/>
              </w:rPr>
            </w:pPr>
            <w:r w:rsidRPr="001567C8">
              <w:rPr>
                <w:rFonts w:asciiTheme="minorHAnsi" w:hAnsiTheme="minorHAnsi" w:cstheme="minorHAnsi"/>
                <w:b/>
                <w:bCs/>
                <w:szCs w:val="19"/>
                <w:lang w:val="hr-HR"/>
              </w:rPr>
              <w:t>318.161</w:t>
            </w:r>
          </w:p>
        </w:tc>
      </w:tr>
      <w:tr w:rsidR="00AE4763" w:rsidRPr="001567C8" w:rsidTr="003C6BA3">
        <w:tc>
          <w:tcPr>
            <w:tcW w:w="7515" w:type="dxa"/>
          </w:tcPr>
          <w:p w:rsidR="00AE4763" w:rsidRPr="001567C8" w:rsidRDefault="00AE4763" w:rsidP="00AE4763">
            <w:pPr>
              <w:pStyle w:val="Tot"/>
              <w:keepLines/>
              <w:spacing w:line="220" w:lineRule="exact"/>
              <w:rPr>
                <w:rFonts w:asciiTheme="minorHAnsi" w:hAnsiTheme="minorHAnsi" w:cstheme="minorHAnsi"/>
                <w:b/>
                <w:bCs/>
                <w:szCs w:val="19"/>
                <w:lang w:val="hr-HR"/>
              </w:rPr>
            </w:pPr>
            <w:r w:rsidRPr="001567C8">
              <w:rPr>
                <w:rFonts w:asciiTheme="minorHAnsi" w:hAnsiTheme="minorHAnsi" w:cstheme="minorHAnsi"/>
                <w:b/>
                <w:bCs/>
                <w:szCs w:val="19"/>
                <w:lang w:val="hr-HR"/>
              </w:rPr>
              <w:t>Učinci promjene tečajeva na novac i novčane ekvivalente</w:t>
            </w:r>
          </w:p>
        </w:tc>
        <w:tc>
          <w:tcPr>
            <w:tcW w:w="1252" w:type="dxa"/>
            <w:tcBorders>
              <w:top w:val="single" w:sz="12" w:space="0" w:color="auto"/>
            </w:tcBorders>
          </w:tcPr>
          <w:p w:rsidR="00AE4763" w:rsidRPr="001567C8" w:rsidRDefault="00AE4763" w:rsidP="00AE4763">
            <w:pPr>
              <w:pStyle w:val="T2"/>
              <w:keepNext w:val="0"/>
              <w:spacing w:line="220" w:lineRule="exact"/>
              <w:jc w:val="right"/>
              <w:rPr>
                <w:rFonts w:asciiTheme="minorHAnsi" w:hAnsiTheme="minorHAnsi" w:cstheme="minorHAnsi"/>
                <w:b/>
                <w:bCs/>
                <w:szCs w:val="19"/>
                <w:lang w:val="hr-HR"/>
              </w:rPr>
            </w:pPr>
          </w:p>
        </w:tc>
        <w:tc>
          <w:tcPr>
            <w:tcW w:w="1252" w:type="dxa"/>
            <w:tcBorders>
              <w:top w:val="single" w:sz="12" w:space="0" w:color="auto"/>
            </w:tcBorders>
          </w:tcPr>
          <w:p w:rsidR="00AE4763" w:rsidRPr="001567C8" w:rsidRDefault="00AE4763" w:rsidP="00AE4763">
            <w:pPr>
              <w:pStyle w:val="T2"/>
              <w:keepNext w:val="0"/>
              <w:spacing w:line="220" w:lineRule="exact"/>
              <w:jc w:val="right"/>
              <w:rPr>
                <w:rFonts w:asciiTheme="minorHAnsi" w:hAnsiTheme="minorHAnsi" w:cstheme="minorHAnsi"/>
                <w:b/>
                <w:bCs/>
                <w:szCs w:val="19"/>
                <w:lang w:val="hr-HR"/>
              </w:rPr>
            </w:pPr>
          </w:p>
        </w:tc>
      </w:tr>
      <w:tr w:rsidR="00AE4763" w:rsidRPr="001567C8" w:rsidTr="003C6BA3">
        <w:tc>
          <w:tcPr>
            <w:tcW w:w="7515" w:type="dxa"/>
          </w:tcPr>
          <w:p w:rsidR="00AE4763" w:rsidRPr="001567C8" w:rsidRDefault="00AE4763" w:rsidP="00AE4763">
            <w:pPr>
              <w:pStyle w:val="Tot"/>
              <w:keepLines/>
              <w:spacing w:line="220" w:lineRule="exact"/>
              <w:rPr>
                <w:rFonts w:asciiTheme="minorHAnsi" w:hAnsiTheme="minorHAnsi" w:cstheme="minorHAnsi"/>
                <w:bCs/>
                <w:szCs w:val="19"/>
                <w:lang w:val="hr-HR"/>
              </w:rPr>
            </w:pPr>
            <w:r w:rsidRPr="001567C8">
              <w:rPr>
                <w:rFonts w:asciiTheme="minorHAnsi" w:hAnsiTheme="minorHAnsi" w:cstheme="minorHAnsi"/>
                <w:bCs/>
                <w:szCs w:val="19"/>
                <w:lang w:val="hr-HR"/>
              </w:rPr>
              <w:t>Neto tečajne razlike</w:t>
            </w:r>
          </w:p>
        </w:tc>
        <w:tc>
          <w:tcPr>
            <w:tcW w:w="1252" w:type="dxa"/>
            <w:tcBorders>
              <w:bottom w:val="single" w:sz="4" w:space="0" w:color="auto"/>
            </w:tcBorders>
          </w:tcPr>
          <w:p w:rsidR="00AE4763" w:rsidRPr="001567C8" w:rsidRDefault="00E822EA" w:rsidP="00AE4763">
            <w:pPr>
              <w:pStyle w:val="T2"/>
              <w:keepNext w:val="0"/>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(168.138)</w:t>
            </w:r>
          </w:p>
        </w:tc>
        <w:tc>
          <w:tcPr>
            <w:tcW w:w="1252" w:type="dxa"/>
            <w:tcBorders>
              <w:bottom w:val="single" w:sz="4" w:space="0" w:color="auto"/>
            </w:tcBorders>
            <w:vAlign w:val="bottom"/>
          </w:tcPr>
          <w:p w:rsidR="00AE4763" w:rsidRPr="001567C8" w:rsidRDefault="00AE4763" w:rsidP="00AE4763">
            <w:pPr>
              <w:pStyle w:val="T2"/>
              <w:keepNext w:val="0"/>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(133.039)</w:t>
            </w:r>
          </w:p>
        </w:tc>
      </w:tr>
      <w:tr w:rsidR="00AE4763" w:rsidRPr="001567C8" w:rsidTr="003C6BA3">
        <w:tc>
          <w:tcPr>
            <w:tcW w:w="7515" w:type="dxa"/>
            <w:vAlign w:val="bottom"/>
          </w:tcPr>
          <w:p w:rsidR="00AE4763" w:rsidRPr="001567C8" w:rsidRDefault="00AE4763" w:rsidP="00AE4763">
            <w:pPr>
              <w:pStyle w:val="TT"/>
              <w:keepLines/>
              <w:spacing w:line="210" w:lineRule="exact"/>
              <w:rPr>
                <w:rFonts w:asciiTheme="minorHAnsi" w:hAnsiTheme="minorHAnsi" w:cstheme="minorHAnsi"/>
                <w:b/>
                <w:spacing w:val="-3"/>
                <w:szCs w:val="19"/>
                <w:lang w:val="hr-HR"/>
              </w:rPr>
            </w:pPr>
            <w:r w:rsidRPr="001567C8">
              <w:rPr>
                <w:rFonts w:asciiTheme="minorHAnsi" w:hAnsiTheme="minorHAnsi" w:cstheme="minorHAnsi"/>
                <w:b/>
                <w:spacing w:val="-3"/>
                <w:szCs w:val="19"/>
                <w:lang w:val="hr-HR"/>
              </w:rPr>
              <w:t>Neto učinak</w:t>
            </w:r>
          </w:p>
        </w:tc>
        <w:tc>
          <w:tcPr>
            <w:tcW w:w="1252" w:type="dxa"/>
            <w:tcBorders>
              <w:top w:val="single" w:sz="4" w:space="0" w:color="auto"/>
              <w:bottom w:val="single" w:sz="12" w:space="0" w:color="auto"/>
            </w:tcBorders>
          </w:tcPr>
          <w:p w:rsidR="00AE4763" w:rsidRPr="001567C8" w:rsidRDefault="00E822EA" w:rsidP="00AE4763">
            <w:pPr>
              <w:pStyle w:val="T2"/>
              <w:keepNext w:val="0"/>
              <w:spacing w:line="220" w:lineRule="exact"/>
              <w:jc w:val="right"/>
              <w:rPr>
                <w:rFonts w:asciiTheme="minorHAnsi" w:hAnsiTheme="minorHAnsi" w:cstheme="minorHAnsi"/>
                <w:b/>
                <w:bCs/>
                <w:szCs w:val="19"/>
                <w:lang w:val="hr-HR"/>
              </w:rPr>
            </w:pPr>
            <w:r w:rsidRPr="001567C8">
              <w:rPr>
                <w:rFonts w:asciiTheme="minorHAnsi" w:hAnsiTheme="minorHAnsi" w:cstheme="minorHAnsi"/>
                <w:b/>
                <w:bCs/>
                <w:szCs w:val="19"/>
                <w:lang w:val="hr-HR"/>
              </w:rPr>
              <w:t>(168.138)</w:t>
            </w:r>
          </w:p>
        </w:tc>
        <w:tc>
          <w:tcPr>
            <w:tcW w:w="1252" w:type="dxa"/>
            <w:tcBorders>
              <w:top w:val="single" w:sz="4" w:space="0" w:color="auto"/>
              <w:bottom w:val="single" w:sz="12" w:space="0" w:color="auto"/>
            </w:tcBorders>
            <w:vAlign w:val="bottom"/>
          </w:tcPr>
          <w:p w:rsidR="00AE4763" w:rsidRPr="001567C8" w:rsidRDefault="00AE4763" w:rsidP="00AE4763">
            <w:pPr>
              <w:pStyle w:val="T2"/>
              <w:keepNext w:val="0"/>
              <w:spacing w:line="220" w:lineRule="exact"/>
              <w:jc w:val="right"/>
              <w:rPr>
                <w:rFonts w:asciiTheme="minorHAnsi" w:hAnsiTheme="minorHAnsi" w:cstheme="minorHAnsi"/>
                <w:b/>
                <w:bCs/>
                <w:szCs w:val="19"/>
                <w:lang w:val="hr-HR"/>
              </w:rPr>
            </w:pPr>
            <w:r w:rsidRPr="001567C8">
              <w:rPr>
                <w:rFonts w:asciiTheme="minorHAnsi" w:hAnsiTheme="minorHAnsi" w:cstheme="minorHAnsi"/>
                <w:b/>
                <w:bCs/>
                <w:szCs w:val="19"/>
                <w:lang w:val="hr-HR"/>
              </w:rPr>
              <w:t>(133.039)</w:t>
            </w:r>
          </w:p>
        </w:tc>
      </w:tr>
      <w:tr w:rsidR="00AE4763" w:rsidRPr="001567C8" w:rsidTr="003C6BA3">
        <w:trPr>
          <w:trHeight w:val="122"/>
        </w:trPr>
        <w:tc>
          <w:tcPr>
            <w:tcW w:w="7515" w:type="dxa"/>
            <w:vAlign w:val="center"/>
          </w:tcPr>
          <w:p w:rsidR="00AE4763" w:rsidRPr="001567C8" w:rsidRDefault="00AE4763" w:rsidP="00AE4763">
            <w:pPr>
              <w:pStyle w:val="To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w:t>
            </w:r>
            <w:r w:rsidR="009978A2" w:rsidRPr="001567C8">
              <w:rPr>
                <w:rFonts w:asciiTheme="minorHAnsi" w:hAnsiTheme="minorHAnsi" w:cstheme="minorHAnsi"/>
                <w:szCs w:val="19"/>
                <w:lang w:val="hr-HR"/>
              </w:rPr>
              <w:t>(smanjenje)/</w:t>
            </w:r>
            <w:r w:rsidRPr="001567C8">
              <w:rPr>
                <w:rFonts w:asciiTheme="minorHAnsi" w:hAnsiTheme="minorHAnsi" w:cstheme="minorHAnsi"/>
                <w:szCs w:val="19"/>
                <w:lang w:val="hr-HR"/>
              </w:rPr>
              <w:t>povećanje novca i novčanih ekvivalenata</w:t>
            </w:r>
          </w:p>
        </w:tc>
        <w:tc>
          <w:tcPr>
            <w:tcW w:w="1252" w:type="dxa"/>
            <w:tcBorders>
              <w:top w:val="single" w:sz="12" w:space="0" w:color="auto"/>
            </w:tcBorders>
          </w:tcPr>
          <w:p w:rsidR="00AE4763" w:rsidRPr="001567C8" w:rsidRDefault="00E822EA" w:rsidP="00AE4763">
            <w:pPr>
              <w:pStyle w:val="CommentText"/>
              <w:keepLines/>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(458.4</w:t>
            </w:r>
            <w:r w:rsidR="00DE5B39" w:rsidRPr="001567C8">
              <w:rPr>
                <w:rFonts w:asciiTheme="minorHAnsi" w:hAnsiTheme="minorHAnsi" w:cstheme="minorHAnsi"/>
                <w:spacing w:val="-2"/>
                <w:sz w:val="19"/>
                <w:szCs w:val="19"/>
                <w:lang w:val="hr-HR"/>
              </w:rPr>
              <w:t>53</w:t>
            </w:r>
            <w:r w:rsidRPr="001567C8">
              <w:rPr>
                <w:rFonts w:asciiTheme="minorHAnsi" w:hAnsiTheme="minorHAnsi" w:cstheme="minorHAnsi"/>
                <w:spacing w:val="-2"/>
                <w:sz w:val="19"/>
                <w:szCs w:val="19"/>
                <w:lang w:val="hr-HR"/>
              </w:rPr>
              <w:t>)</w:t>
            </w:r>
          </w:p>
        </w:tc>
        <w:tc>
          <w:tcPr>
            <w:tcW w:w="1252" w:type="dxa"/>
            <w:tcBorders>
              <w:top w:val="single" w:sz="12" w:space="0" w:color="auto"/>
            </w:tcBorders>
            <w:vAlign w:val="bottom"/>
          </w:tcPr>
          <w:p w:rsidR="00AE4763" w:rsidRPr="001567C8" w:rsidRDefault="00AE4763" w:rsidP="00AE4763">
            <w:pPr>
              <w:pStyle w:val="CommentText"/>
              <w:keepLines/>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910.213</w:t>
            </w:r>
          </w:p>
        </w:tc>
      </w:tr>
      <w:tr w:rsidR="00AE4763" w:rsidRPr="001567C8" w:rsidTr="003C6BA3">
        <w:trPr>
          <w:trHeight w:val="122"/>
        </w:trPr>
        <w:tc>
          <w:tcPr>
            <w:tcW w:w="7515" w:type="dxa"/>
            <w:vAlign w:val="center"/>
          </w:tcPr>
          <w:p w:rsidR="00AE4763" w:rsidRPr="001567C8" w:rsidRDefault="00AE4763" w:rsidP="00AE4763">
            <w:pPr>
              <w:pStyle w:val="Tot"/>
              <w:keepLines/>
              <w:spacing w:line="140" w:lineRule="exact"/>
              <w:rPr>
                <w:rFonts w:asciiTheme="minorHAnsi" w:hAnsiTheme="minorHAnsi" w:cstheme="minorHAnsi"/>
                <w:szCs w:val="19"/>
                <w:lang w:val="hr-HR"/>
              </w:rPr>
            </w:pPr>
          </w:p>
        </w:tc>
        <w:tc>
          <w:tcPr>
            <w:tcW w:w="1252" w:type="dxa"/>
          </w:tcPr>
          <w:p w:rsidR="00AE4763" w:rsidRPr="001567C8" w:rsidRDefault="00AE4763" w:rsidP="00AE4763">
            <w:pPr>
              <w:pStyle w:val="CommentText"/>
              <w:keepLines/>
              <w:spacing w:line="140" w:lineRule="exact"/>
              <w:jc w:val="right"/>
              <w:rPr>
                <w:rFonts w:asciiTheme="minorHAnsi" w:hAnsiTheme="minorHAnsi" w:cstheme="minorHAnsi"/>
                <w:spacing w:val="-2"/>
                <w:sz w:val="19"/>
                <w:szCs w:val="19"/>
                <w:lang w:val="hr-HR"/>
              </w:rPr>
            </w:pPr>
          </w:p>
        </w:tc>
        <w:tc>
          <w:tcPr>
            <w:tcW w:w="1252" w:type="dxa"/>
            <w:vAlign w:val="bottom"/>
          </w:tcPr>
          <w:p w:rsidR="00AE4763" w:rsidRPr="001567C8" w:rsidRDefault="00AE4763" w:rsidP="00AE4763">
            <w:pPr>
              <w:pStyle w:val="CommentText"/>
              <w:keepLines/>
              <w:spacing w:line="140" w:lineRule="exact"/>
              <w:jc w:val="right"/>
              <w:rPr>
                <w:rFonts w:asciiTheme="minorHAnsi" w:hAnsiTheme="minorHAnsi" w:cstheme="minorHAnsi"/>
                <w:spacing w:val="-2"/>
                <w:sz w:val="19"/>
                <w:szCs w:val="19"/>
                <w:lang w:val="hr-HR"/>
              </w:rPr>
            </w:pPr>
          </w:p>
        </w:tc>
      </w:tr>
      <w:tr w:rsidR="00E822EA" w:rsidRPr="001567C8" w:rsidTr="003C6BA3">
        <w:trPr>
          <w:trHeight w:val="122"/>
        </w:trPr>
        <w:tc>
          <w:tcPr>
            <w:tcW w:w="7515" w:type="dxa"/>
            <w:vAlign w:val="center"/>
          </w:tcPr>
          <w:p w:rsidR="00E822EA" w:rsidRPr="001567C8" w:rsidRDefault="00E822EA" w:rsidP="00E822EA">
            <w:pPr>
              <w:pStyle w:val="To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Stanje na dan 1. siječnja, prije </w:t>
            </w:r>
            <w:r w:rsidR="00A80519" w:rsidRPr="001567C8">
              <w:rPr>
                <w:rFonts w:asciiTheme="minorHAnsi" w:hAnsiTheme="minorHAnsi" w:cstheme="minorHAnsi"/>
                <w:szCs w:val="19"/>
                <w:lang w:val="hr-HR"/>
              </w:rPr>
              <w:t>umanjenja vrijednosti</w:t>
            </w:r>
            <w:r w:rsidRPr="001567C8">
              <w:rPr>
                <w:rFonts w:asciiTheme="minorHAnsi" w:hAnsiTheme="minorHAnsi" w:cstheme="minorHAnsi"/>
                <w:szCs w:val="19"/>
                <w:lang w:val="hr-HR"/>
              </w:rPr>
              <w:t xml:space="preserve"> </w:t>
            </w:r>
          </w:p>
        </w:tc>
        <w:tc>
          <w:tcPr>
            <w:tcW w:w="1252" w:type="dxa"/>
          </w:tcPr>
          <w:p w:rsidR="00E822EA" w:rsidRPr="00CD3A2D" w:rsidRDefault="00E822EA" w:rsidP="00E822EA">
            <w:pPr>
              <w:pStyle w:val="CommentText"/>
              <w:keepLines/>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1.404.538</w:t>
            </w:r>
          </w:p>
        </w:tc>
        <w:tc>
          <w:tcPr>
            <w:tcW w:w="1252" w:type="dxa"/>
          </w:tcPr>
          <w:p w:rsidR="00E822EA" w:rsidRPr="001567C8" w:rsidRDefault="00E822EA" w:rsidP="00E822EA">
            <w:pPr>
              <w:pStyle w:val="CommentText"/>
              <w:keepLines/>
              <w:jc w:val="right"/>
              <w:rPr>
                <w:rFonts w:asciiTheme="minorHAnsi" w:hAnsiTheme="minorHAnsi" w:cstheme="minorHAnsi"/>
                <w:spacing w:val="-2"/>
                <w:sz w:val="19"/>
                <w:szCs w:val="19"/>
                <w:lang w:val="hr-HR"/>
              </w:rPr>
            </w:pPr>
            <w:r w:rsidRPr="00CD3A2D">
              <w:rPr>
                <w:rFonts w:asciiTheme="minorHAnsi" w:hAnsiTheme="minorHAnsi" w:cstheme="minorHAnsi"/>
                <w:sz w:val="19"/>
                <w:szCs w:val="19"/>
                <w:lang w:val="hr-HR"/>
              </w:rPr>
              <w:t xml:space="preserve"> 494.325 </w:t>
            </w:r>
          </w:p>
        </w:tc>
      </w:tr>
      <w:tr w:rsidR="00E822EA" w:rsidRPr="001567C8" w:rsidTr="003C6BA3">
        <w:trPr>
          <w:trHeight w:val="122"/>
        </w:trPr>
        <w:tc>
          <w:tcPr>
            <w:tcW w:w="7515" w:type="dxa"/>
            <w:vAlign w:val="center"/>
          </w:tcPr>
          <w:p w:rsidR="00E822EA" w:rsidRPr="001567C8" w:rsidRDefault="00E822EA" w:rsidP="00E822EA">
            <w:pPr>
              <w:pStyle w:val="To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w:t>
            </w:r>
            <w:r w:rsidR="00143164" w:rsidRPr="001567C8">
              <w:rPr>
                <w:rFonts w:asciiTheme="minorHAnsi" w:hAnsiTheme="minorHAnsi" w:cstheme="minorHAnsi"/>
                <w:szCs w:val="19"/>
                <w:lang w:val="hr-HR"/>
              </w:rPr>
              <w:t>(smanjenje)/</w:t>
            </w:r>
            <w:r w:rsidRPr="001567C8">
              <w:rPr>
                <w:rFonts w:asciiTheme="minorHAnsi" w:hAnsiTheme="minorHAnsi" w:cstheme="minorHAnsi"/>
                <w:szCs w:val="19"/>
                <w:lang w:val="hr-HR"/>
              </w:rPr>
              <w:t>povećanje novca</w:t>
            </w:r>
          </w:p>
        </w:tc>
        <w:tc>
          <w:tcPr>
            <w:tcW w:w="1252" w:type="dxa"/>
            <w:tcBorders>
              <w:bottom w:val="single" w:sz="4" w:space="0" w:color="auto"/>
            </w:tcBorders>
          </w:tcPr>
          <w:p w:rsidR="00E822EA" w:rsidRPr="00CD3A2D" w:rsidRDefault="00E822EA" w:rsidP="00E822EA">
            <w:pPr>
              <w:pStyle w:val="CommentText"/>
              <w:keepLines/>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(458.4</w:t>
            </w:r>
            <w:r w:rsidR="00DE5B39" w:rsidRPr="00CD3A2D">
              <w:rPr>
                <w:rFonts w:asciiTheme="minorHAnsi" w:hAnsiTheme="minorHAnsi" w:cstheme="minorHAnsi"/>
                <w:sz w:val="19"/>
                <w:szCs w:val="19"/>
                <w:lang w:val="hr-HR"/>
              </w:rPr>
              <w:t>53</w:t>
            </w:r>
            <w:r w:rsidRPr="00CD3A2D">
              <w:rPr>
                <w:rFonts w:asciiTheme="minorHAnsi" w:hAnsiTheme="minorHAnsi" w:cstheme="minorHAnsi"/>
                <w:sz w:val="19"/>
                <w:szCs w:val="19"/>
                <w:lang w:val="hr-HR"/>
              </w:rPr>
              <w:t>)</w:t>
            </w:r>
          </w:p>
        </w:tc>
        <w:tc>
          <w:tcPr>
            <w:tcW w:w="1252" w:type="dxa"/>
            <w:tcBorders>
              <w:bottom w:val="single" w:sz="4" w:space="0" w:color="auto"/>
            </w:tcBorders>
          </w:tcPr>
          <w:p w:rsidR="00E822EA" w:rsidRPr="001567C8" w:rsidRDefault="00E822EA" w:rsidP="00E822EA">
            <w:pPr>
              <w:pStyle w:val="CommentText"/>
              <w:keepLines/>
              <w:jc w:val="right"/>
              <w:rPr>
                <w:rFonts w:asciiTheme="minorHAnsi" w:hAnsiTheme="minorHAnsi" w:cstheme="minorHAnsi"/>
                <w:spacing w:val="-2"/>
                <w:sz w:val="19"/>
                <w:szCs w:val="19"/>
                <w:lang w:val="hr-HR"/>
              </w:rPr>
            </w:pPr>
            <w:r w:rsidRPr="00CD3A2D">
              <w:rPr>
                <w:rFonts w:asciiTheme="minorHAnsi" w:hAnsiTheme="minorHAnsi" w:cstheme="minorHAnsi"/>
                <w:sz w:val="19"/>
                <w:szCs w:val="19"/>
                <w:lang w:val="hr-HR"/>
              </w:rPr>
              <w:t xml:space="preserve"> 910.213 </w:t>
            </w:r>
          </w:p>
        </w:tc>
      </w:tr>
      <w:tr w:rsidR="00AE4763" w:rsidRPr="001567C8" w:rsidTr="003327E4">
        <w:trPr>
          <w:trHeight w:val="267"/>
        </w:trPr>
        <w:tc>
          <w:tcPr>
            <w:tcW w:w="7515" w:type="dxa"/>
          </w:tcPr>
          <w:p w:rsidR="00AE4763" w:rsidRPr="001567C8" w:rsidRDefault="00AE4763" w:rsidP="00AE4763">
            <w:pPr>
              <w:pStyle w:val="Tot"/>
              <w:keepLines/>
              <w:spacing w:line="220" w:lineRule="exact"/>
              <w:rPr>
                <w:rFonts w:asciiTheme="minorHAnsi" w:hAnsiTheme="minorHAnsi" w:cstheme="minorHAnsi"/>
                <w:b/>
                <w:bCs/>
                <w:szCs w:val="19"/>
                <w:lang w:val="hr-HR"/>
              </w:rPr>
            </w:pPr>
            <w:r w:rsidRPr="001567C8">
              <w:rPr>
                <w:rFonts w:asciiTheme="minorHAnsi" w:hAnsiTheme="minorHAnsi" w:cstheme="minorHAnsi"/>
                <w:b/>
                <w:bCs/>
                <w:szCs w:val="19"/>
                <w:lang w:val="hr-HR"/>
              </w:rPr>
              <w:t xml:space="preserve">Stanje na dan 31. prosinca, prije </w:t>
            </w:r>
            <w:r w:rsidR="00A80519" w:rsidRPr="001567C8">
              <w:rPr>
                <w:rFonts w:asciiTheme="minorHAnsi" w:hAnsiTheme="minorHAnsi" w:cstheme="minorHAnsi"/>
                <w:b/>
                <w:bCs/>
                <w:szCs w:val="19"/>
                <w:lang w:val="hr-HR"/>
              </w:rPr>
              <w:t>umanjenja vrijednosti</w:t>
            </w:r>
            <w:r w:rsidRPr="001567C8">
              <w:rPr>
                <w:rFonts w:asciiTheme="minorHAnsi" w:hAnsiTheme="minorHAnsi" w:cstheme="minorHAnsi"/>
                <w:b/>
                <w:bCs/>
                <w:szCs w:val="19"/>
                <w:lang w:val="hr-HR"/>
              </w:rPr>
              <w:t xml:space="preserve">                                                               1</w:t>
            </w:r>
            <w:r w:rsidR="00143164" w:rsidRPr="001567C8">
              <w:rPr>
                <w:rFonts w:asciiTheme="minorHAnsi" w:hAnsiTheme="minorHAnsi" w:cstheme="minorHAnsi"/>
                <w:b/>
                <w:bCs/>
                <w:szCs w:val="19"/>
                <w:lang w:val="hr-HR"/>
              </w:rPr>
              <w:t>3</w:t>
            </w:r>
          </w:p>
        </w:tc>
        <w:tc>
          <w:tcPr>
            <w:tcW w:w="1252" w:type="dxa"/>
            <w:tcBorders>
              <w:top w:val="single" w:sz="4" w:space="0" w:color="auto"/>
              <w:bottom w:val="single" w:sz="12" w:space="0" w:color="auto"/>
            </w:tcBorders>
            <w:vAlign w:val="bottom"/>
          </w:tcPr>
          <w:p w:rsidR="00AE4763" w:rsidRPr="001567C8" w:rsidRDefault="00E822EA" w:rsidP="00AE4763">
            <w:pPr>
              <w:pStyle w:val="T2"/>
              <w:keepNext w:val="0"/>
              <w:spacing w:line="220" w:lineRule="exact"/>
              <w:jc w:val="right"/>
              <w:rPr>
                <w:rFonts w:asciiTheme="minorHAnsi" w:hAnsiTheme="minorHAnsi" w:cstheme="minorHAnsi"/>
                <w:b/>
                <w:bCs/>
                <w:spacing w:val="-2"/>
                <w:szCs w:val="19"/>
                <w:lang w:val="hr-HR"/>
              </w:rPr>
            </w:pPr>
            <w:r w:rsidRPr="001567C8">
              <w:rPr>
                <w:rFonts w:asciiTheme="minorHAnsi" w:hAnsiTheme="minorHAnsi" w:cstheme="minorHAnsi"/>
                <w:b/>
                <w:bCs/>
                <w:spacing w:val="-2"/>
                <w:szCs w:val="19"/>
                <w:lang w:val="hr-HR"/>
              </w:rPr>
              <w:t>946.0</w:t>
            </w:r>
            <w:r w:rsidR="00DE5B39" w:rsidRPr="001567C8">
              <w:rPr>
                <w:rFonts w:asciiTheme="minorHAnsi" w:hAnsiTheme="minorHAnsi" w:cstheme="minorHAnsi"/>
                <w:b/>
                <w:bCs/>
                <w:spacing w:val="-2"/>
                <w:szCs w:val="19"/>
                <w:lang w:val="hr-HR"/>
              </w:rPr>
              <w:t>85</w:t>
            </w:r>
          </w:p>
        </w:tc>
        <w:tc>
          <w:tcPr>
            <w:tcW w:w="1252" w:type="dxa"/>
            <w:tcBorders>
              <w:top w:val="single" w:sz="4" w:space="0" w:color="auto"/>
              <w:bottom w:val="single" w:sz="12" w:space="0" w:color="auto"/>
            </w:tcBorders>
            <w:vAlign w:val="bottom"/>
          </w:tcPr>
          <w:p w:rsidR="00AE4763" w:rsidRPr="001567C8" w:rsidRDefault="00AE4763" w:rsidP="00AE4763">
            <w:pPr>
              <w:pStyle w:val="T2"/>
              <w:keepNext w:val="0"/>
              <w:spacing w:line="220" w:lineRule="exact"/>
              <w:jc w:val="right"/>
              <w:rPr>
                <w:rFonts w:asciiTheme="minorHAnsi" w:hAnsiTheme="minorHAnsi" w:cstheme="minorHAnsi"/>
                <w:b/>
                <w:bCs/>
                <w:spacing w:val="-2"/>
                <w:szCs w:val="19"/>
                <w:lang w:val="hr-HR"/>
              </w:rPr>
            </w:pPr>
            <w:r w:rsidRPr="001567C8">
              <w:rPr>
                <w:rFonts w:asciiTheme="minorHAnsi" w:hAnsiTheme="minorHAnsi" w:cstheme="minorHAnsi"/>
                <w:b/>
                <w:bCs/>
                <w:spacing w:val="-2"/>
                <w:szCs w:val="19"/>
                <w:lang w:val="hr-HR"/>
              </w:rPr>
              <w:t>1.404.538</w:t>
            </w:r>
          </w:p>
        </w:tc>
      </w:tr>
      <w:tr w:rsidR="00AE4763" w:rsidRPr="001567C8" w:rsidTr="003C6BA3">
        <w:trPr>
          <w:trHeight w:val="267"/>
        </w:trPr>
        <w:tc>
          <w:tcPr>
            <w:tcW w:w="7515" w:type="dxa"/>
            <w:vAlign w:val="center"/>
          </w:tcPr>
          <w:p w:rsidR="00AE4763" w:rsidRPr="001567C8" w:rsidRDefault="00AE4763" w:rsidP="00AE4763">
            <w:pPr>
              <w:pStyle w:val="Tot"/>
              <w:keepLines/>
              <w:spacing w:line="220" w:lineRule="exact"/>
              <w:rPr>
                <w:rFonts w:asciiTheme="minorHAnsi" w:hAnsiTheme="minorHAnsi" w:cstheme="minorHAnsi"/>
                <w:szCs w:val="19"/>
                <w:lang w:val="hr-HR"/>
              </w:rPr>
            </w:pPr>
            <w:r w:rsidRPr="001567C8">
              <w:rPr>
                <w:rFonts w:asciiTheme="minorHAnsi" w:hAnsiTheme="minorHAnsi" w:cstheme="minorHAnsi"/>
                <w:b/>
                <w:bCs/>
                <w:szCs w:val="19"/>
                <w:lang w:val="hr-HR"/>
              </w:rPr>
              <w:t>Dopunski podaci – poslovne aktivnosti</w:t>
            </w:r>
          </w:p>
        </w:tc>
        <w:tc>
          <w:tcPr>
            <w:tcW w:w="1252" w:type="dxa"/>
            <w:tcBorders>
              <w:top w:val="single" w:sz="12" w:space="0" w:color="auto"/>
            </w:tcBorders>
          </w:tcPr>
          <w:p w:rsidR="00AE4763" w:rsidRPr="001567C8" w:rsidRDefault="00AE4763" w:rsidP="00AE4763">
            <w:pPr>
              <w:pStyle w:val="Thick"/>
              <w:keepNext w:val="0"/>
              <w:tabs>
                <w:tab w:val="clear" w:pos="1202"/>
              </w:tabs>
              <w:spacing w:line="220" w:lineRule="exact"/>
              <w:jc w:val="right"/>
              <w:rPr>
                <w:rFonts w:asciiTheme="minorHAnsi" w:hAnsiTheme="minorHAnsi" w:cstheme="minorHAnsi"/>
                <w:sz w:val="19"/>
                <w:szCs w:val="19"/>
                <w:u w:val="none"/>
                <w:lang w:val="hr-HR"/>
              </w:rPr>
            </w:pPr>
          </w:p>
        </w:tc>
        <w:tc>
          <w:tcPr>
            <w:tcW w:w="1252" w:type="dxa"/>
            <w:tcBorders>
              <w:top w:val="single" w:sz="12" w:space="0" w:color="auto"/>
            </w:tcBorders>
          </w:tcPr>
          <w:p w:rsidR="00AE4763" w:rsidRPr="001567C8" w:rsidRDefault="00AE4763" w:rsidP="00AE4763">
            <w:pPr>
              <w:pStyle w:val="Thick"/>
              <w:keepNext w:val="0"/>
              <w:tabs>
                <w:tab w:val="clear" w:pos="1202"/>
              </w:tabs>
              <w:spacing w:line="220" w:lineRule="exact"/>
              <w:jc w:val="right"/>
              <w:rPr>
                <w:rFonts w:asciiTheme="minorHAnsi" w:hAnsiTheme="minorHAnsi" w:cstheme="minorHAnsi"/>
                <w:sz w:val="19"/>
                <w:szCs w:val="19"/>
                <w:u w:val="none"/>
                <w:lang w:val="hr-HR"/>
              </w:rPr>
            </w:pPr>
          </w:p>
        </w:tc>
      </w:tr>
      <w:tr w:rsidR="00AE4763" w:rsidRPr="001567C8" w:rsidTr="003C6BA3">
        <w:trPr>
          <w:trHeight w:val="68"/>
        </w:trPr>
        <w:tc>
          <w:tcPr>
            <w:tcW w:w="7515" w:type="dxa"/>
            <w:vAlign w:val="bottom"/>
          </w:tcPr>
          <w:p w:rsidR="00AE4763" w:rsidRPr="001567C8" w:rsidRDefault="00AE4763" w:rsidP="00AE4763">
            <w:pPr>
              <w:pStyle w:val="Thick"/>
              <w:keepNext w:val="0"/>
              <w:spacing w:line="240" w:lineRule="exact"/>
              <w:rPr>
                <w:rFonts w:asciiTheme="minorHAnsi" w:hAnsiTheme="minorHAnsi" w:cstheme="minorHAnsi"/>
                <w:b w:val="0"/>
                <w:sz w:val="19"/>
                <w:szCs w:val="19"/>
                <w:u w:val="none"/>
                <w:lang w:val="hr-HR"/>
              </w:rPr>
            </w:pPr>
            <w:r w:rsidRPr="001567C8">
              <w:rPr>
                <w:rFonts w:asciiTheme="minorHAnsi" w:hAnsiTheme="minorHAnsi" w:cstheme="minorHAnsi"/>
                <w:b w:val="0"/>
                <w:sz w:val="19"/>
                <w:szCs w:val="19"/>
                <w:u w:val="none"/>
                <w:lang w:val="hr-HR"/>
              </w:rPr>
              <w:t>Plaćene kamate</w:t>
            </w:r>
          </w:p>
        </w:tc>
        <w:tc>
          <w:tcPr>
            <w:tcW w:w="1252" w:type="dxa"/>
          </w:tcPr>
          <w:p w:rsidR="00AE4763" w:rsidRPr="00CD3A2D" w:rsidRDefault="00E822EA" w:rsidP="00AE4763">
            <w:pPr>
              <w:pStyle w:val="Thick"/>
              <w:keepNext w:val="0"/>
              <w:tabs>
                <w:tab w:val="clear" w:pos="1202"/>
              </w:tabs>
              <w:spacing w:line="240" w:lineRule="exact"/>
              <w:jc w:val="right"/>
              <w:rPr>
                <w:rFonts w:asciiTheme="minorHAnsi" w:hAnsiTheme="minorHAnsi" w:cstheme="minorHAnsi"/>
                <w:b w:val="0"/>
                <w:sz w:val="19"/>
                <w:szCs w:val="19"/>
                <w:u w:val="none"/>
                <w:lang w:val="hr-HR"/>
              </w:rPr>
            </w:pPr>
            <w:r w:rsidRPr="00CD3A2D">
              <w:rPr>
                <w:rFonts w:asciiTheme="minorHAnsi" w:hAnsiTheme="minorHAnsi" w:cstheme="minorHAnsi"/>
                <w:b w:val="0"/>
                <w:sz w:val="19"/>
                <w:szCs w:val="19"/>
                <w:u w:val="none"/>
                <w:lang w:val="hr-HR"/>
              </w:rPr>
              <w:t>336.550</w:t>
            </w:r>
          </w:p>
        </w:tc>
        <w:tc>
          <w:tcPr>
            <w:tcW w:w="1252" w:type="dxa"/>
          </w:tcPr>
          <w:p w:rsidR="00AE4763" w:rsidRPr="001567C8" w:rsidRDefault="00AE4763" w:rsidP="00AE4763">
            <w:pPr>
              <w:pStyle w:val="Thick"/>
              <w:keepNext w:val="0"/>
              <w:tabs>
                <w:tab w:val="clear" w:pos="1202"/>
              </w:tabs>
              <w:spacing w:line="240" w:lineRule="exact"/>
              <w:jc w:val="right"/>
              <w:rPr>
                <w:rFonts w:asciiTheme="minorHAnsi" w:hAnsiTheme="minorHAnsi" w:cstheme="minorHAnsi"/>
                <w:b w:val="0"/>
                <w:sz w:val="19"/>
                <w:szCs w:val="19"/>
                <w:u w:val="none"/>
                <w:lang w:val="hr-HR"/>
              </w:rPr>
            </w:pPr>
            <w:r w:rsidRPr="00CD3A2D">
              <w:rPr>
                <w:rFonts w:asciiTheme="minorHAnsi" w:hAnsiTheme="minorHAnsi" w:cstheme="minorHAnsi"/>
                <w:b w:val="0"/>
                <w:sz w:val="19"/>
                <w:szCs w:val="19"/>
                <w:u w:val="none"/>
                <w:lang w:val="hr-HR"/>
              </w:rPr>
              <w:t xml:space="preserve"> 462.104 </w:t>
            </w:r>
          </w:p>
        </w:tc>
      </w:tr>
      <w:tr w:rsidR="00AE4763" w:rsidRPr="001567C8" w:rsidTr="003C6BA3">
        <w:trPr>
          <w:trHeight w:val="68"/>
        </w:trPr>
        <w:tc>
          <w:tcPr>
            <w:tcW w:w="7515" w:type="dxa"/>
            <w:vAlign w:val="bottom"/>
          </w:tcPr>
          <w:p w:rsidR="00AE4763" w:rsidRPr="001567C8" w:rsidRDefault="00AE4763" w:rsidP="00AE4763">
            <w:pPr>
              <w:pStyle w:val="Thick"/>
              <w:keepNext w:val="0"/>
              <w:spacing w:line="240" w:lineRule="exact"/>
              <w:rPr>
                <w:rFonts w:asciiTheme="minorHAnsi" w:hAnsiTheme="minorHAnsi" w:cstheme="minorHAnsi"/>
                <w:b w:val="0"/>
                <w:sz w:val="19"/>
                <w:szCs w:val="19"/>
                <w:u w:val="none"/>
                <w:lang w:val="hr-HR"/>
              </w:rPr>
            </w:pPr>
            <w:r w:rsidRPr="001567C8">
              <w:rPr>
                <w:rFonts w:asciiTheme="minorHAnsi" w:hAnsiTheme="minorHAnsi" w:cstheme="minorHAnsi"/>
                <w:b w:val="0"/>
                <w:sz w:val="19"/>
                <w:szCs w:val="19"/>
                <w:u w:val="none"/>
                <w:lang w:val="hr-HR"/>
              </w:rPr>
              <w:t>Primljene kamate</w:t>
            </w:r>
          </w:p>
        </w:tc>
        <w:tc>
          <w:tcPr>
            <w:tcW w:w="1252" w:type="dxa"/>
          </w:tcPr>
          <w:p w:rsidR="00AE4763" w:rsidRPr="00CD3A2D" w:rsidRDefault="008525F9" w:rsidP="00AE4763">
            <w:pPr>
              <w:pStyle w:val="Thick"/>
              <w:keepNext w:val="0"/>
              <w:tabs>
                <w:tab w:val="clear" w:pos="1202"/>
              </w:tabs>
              <w:spacing w:line="240" w:lineRule="exact"/>
              <w:jc w:val="right"/>
              <w:rPr>
                <w:rFonts w:asciiTheme="minorHAnsi" w:hAnsiTheme="minorHAnsi" w:cstheme="minorHAnsi"/>
                <w:b w:val="0"/>
                <w:sz w:val="19"/>
                <w:szCs w:val="19"/>
                <w:u w:val="none"/>
                <w:lang w:val="hr-HR"/>
              </w:rPr>
            </w:pPr>
            <w:r w:rsidRPr="00CD3A2D">
              <w:rPr>
                <w:rFonts w:asciiTheme="minorHAnsi" w:hAnsiTheme="minorHAnsi" w:cstheme="minorHAnsi"/>
                <w:b w:val="0"/>
                <w:sz w:val="19"/>
                <w:szCs w:val="19"/>
                <w:u w:val="none"/>
                <w:lang w:val="hr-HR"/>
              </w:rPr>
              <w:t>651.445</w:t>
            </w:r>
          </w:p>
        </w:tc>
        <w:tc>
          <w:tcPr>
            <w:tcW w:w="1252" w:type="dxa"/>
          </w:tcPr>
          <w:p w:rsidR="00AE4763" w:rsidRPr="001567C8" w:rsidRDefault="00AE4763" w:rsidP="00AE4763">
            <w:pPr>
              <w:pStyle w:val="Thick"/>
              <w:keepNext w:val="0"/>
              <w:tabs>
                <w:tab w:val="clear" w:pos="1202"/>
              </w:tabs>
              <w:spacing w:line="240" w:lineRule="exact"/>
              <w:jc w:val="right"/>
              <w:rPr>
                <w:rFonts w:asciiTheme="minorHAnsi" w:hAnsiTheme="minorHAnsi" w:cstheme="minorHAnsi"/>
                <w:b w:val="0"/>
                <w:sz w:val="19"/>
                <w:szCs w:val="19"/>
                <w:u w:val="none"/>
                <w:lang w:val="hr-HR"/>
              </w:rPr>
            </w:pPr>
            <w:r w:rsidRPr="00CD3A2D">
              <w:rPr>
                <w:rFonts w:asciiTheme="minorHAnsi" w:hAnsiTheme="minorHAnsi" w:cstheme="minorHAnsi"/>
                <w:b w:val="0"/>
                <w:sz w:val="19"/>
                <w:szCs w:val="19"/>
                <w:u w:val="none"/>
                <w:lang w:val="hr-HR"/>
              </w:rPr>
              <w:t xml:space="preserve"> 691.738 </w:t>
            </w:r>
          </w:p>
        </w:tc>
      </w:tr>
    </w:tbl>
    <w:p w:rsidR="00862E42" w:rsidRPr="001567C8" w:rsidRDefault="00862E42" w:rsidP="003C6BA3">
      <w:pPr>
        <w:pStyle w:val="T1"/>
        <w:keepNext w:val="0"/>
        <w:spacing w:before="0" w:after="0" w:line="240" w:lineRule="auto"/>
        <w:rPr>
          <w:rFonts w:asciiTheme="minorHAnsi" w:hAnsiTheme="minorHAnsi" w:cs="Arial"/>
          <w:b w:val="0"/>
          <w:bCs w:val="0"/>
          <w:i/>
          <w:sz w:val="20"/>
          <w:lang w:val="hr-HR"/>
        </w:rPr>
      </w:pPr>
      <w:r w:rsidRPr="001567C8">
        <w:rPr>
          <w:rFonts w:asciiTheme="minorHAnsi" w:hAnsiTheme="minorHAnsi" w:cs="Arial"/>
          <w:b w:val="0"/>
          <w:bCs w:val="0"/>
          <w:i/>
          <w:sz w:val="20"/>
          <w:lang w:val="hr-HR"/>
        </w:rPr>
        <w:t>*n/p = nije primjenjivo uslijed primjene MSFI-ja 9</w:t>
      </w:r>
    </w:p>
    <w:p w:rsidR="007720E0" w:rsidRPr="001567C8" w:rsidRDefault="007720E0" w:rsidP="00036301">
      <w:pPr>
        <w:pStyle w:val="T1"/>
        <w:keepNext w:val="0"/>
        <w:spacing w:before="0" w:after="0" w:line="240" w:lineRule="auto"/>
        <w:rPr>
          <w:rFonts w:asciiTheme="minorHAnsi" w:hAnsiTheme="minorHAnsi"/>
          <w:b w:val="0"/>
          <w:bCs w:val="0"/>
          <w:sz w:val="22"/>
          <w:szCs w:val="22"/>
          <w:lang w:val="hr-HR"/>
        </w:rPr>
      </w:pPr>
    </w:p>
    <w:p w:rsidR="00E30FB1" w:rsidRPr="001567C8" w:rsidRDefault="00545A2D" w:rsidP="003C6BA3">
      <w:pPr>
        <w:pStyle w:val="T1"/>
        <w:keepNext w:val="0"/>
        <w:spacing w:before="0" w:after="0" w:line="240" w:lineRule="auto"/>
        <w:rPr>
          <w:rFonts w:asciiTheme="minorHAnsi" w:hAnsiTheme="minorHAnsi" w:cs="Arial"/>
          <w:b w:val="0"/>
          <w:bCs w:val="0"/>
          <w:sz w:val="22"/>
          <w:szCs w:val="22"/>
          <w:lang w:val="hr-HR"/>
        </w:rPr>
        <w:sectPr w:rsidR="00E30FB1" w:rsidRPr="001567C8" w:rsidSect="000D6913">
          <w:headerReference w:type="default" r:id="rId62"/>
          <w:pgSz w:w="11907" w:h="16840" w:code="9"/>
          <w:pgMar w:top="885" w:right="992" w:bottom="1134" w:left="1418" w:header="851" w:footer="851" w:gutter="0"/>
          <w:cols w:space="720"/>
          <w:noEndnote/>
          <w:docGrid w:linePitch="326"/>
        </w:sectPr>
      </w:pPr>
      <w:bookmarkStart w:id="41" w:name="_Hlk615355"/>
      <w:r w:rsidRPr="001567C8">
        <w:rPr>
          <w:rFonts w:asciiTheme="minorHAnsi" w:hAnsiTheme="minorHAnsi" w:cs="Arial"/>
          <w:b w:val="0"/>
          <w:bCs w:val="0"/>
          <w:sz w:val="22"/>
          <w:szCs w:val="22"/>
          <w:lang w:val="hr-HR"/>
        </w:rPr>
        <w:t>Priložene računovodstvene politike i bilješke sastavni su dio ovih financijskih izvještaja.</w:t>
      </w:r>
    </w:p>
    <w:bookmarkEnd w:id="41"/>
    <w:tbl>
      <w:tblPr>
        <w:tblpPr w:leftFromText="180" w:rightFromText="180" w:vertAnchor="page" w:horzAnchor="margin" w:tblpXSpec="right" w:tblpY="2602"/>
        <w:tblW w:w="5294" w:type="pct"/>
        <w:tblLayout w:type="fixed"/>
        <w:tblCellMar>
          <w:left w:w="120" w:type="dxa"/>
          <w:right w:w="120" w:type="dxa"/>
        </w:tblCellMar>
        <w:tblLook w:val="0000" w:firstRow="0" w:lastRow="0" w:firstColumn="0" w:lastColumn="0" w:noHBand="0" w:noVBand="0"/>
      </w:tblPr>
      <w:tblGrid>
        <w:gridCol w:w="2691"/>
        <w:gridCol w:w="1141"/>
        <w:gridCol w:w="1133"/>
        <w:gridCol w:w="1276"/>
        <w:gridCol w:w="1417"/>
        <w:gridCol w:w="1133"/>
        <w:gridCol w:w="1415"/>
      </w:tblGrid>
      <w:tr w:rsidR="008A1EEE" w:rsidRPr="001567C8" w:rsidTr="003C6BA3">
        <w:trPr>
          <w:trHeight w:val="783"/>
        </w:trPr>
        <w:tc>
          <w:tcPr>
            <w:tcW w:w="1318" w:type="pct"/>
          </w:tcPr>
          <w:p w:rsidR="00CB06AA" w:rsidRPr="001567C8" w:rsidRDefault="00CB06AA" w:rsidP="00A3150E">
            <w:pPr>
              <w:pStyle w:val="TT"/>
              <w:rPr>
                <w:rFonts w:asciiTheme="minorHAnsi" w:hAnsiTheme="minorHAnsi" w:cstheme="minorHAnsi"/>
                <w:b/>
                <w:iCs/>
                <w:sz w:val="18"/>
                <w:szCs w:val="18"/>
                <w:lang w:val="hr-HR"/>
              </w:rPr>
            </w:pPr>
          </w:p>
        </w:tc>
        <w:tc>
          <w:tcPr>
            <w:tcW w:w="559" w:type="pct"/>
            <w:vAlign w:val="bottom"/>
          </w:tcPr>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 xml:space="preserve">Osnivački </w:t>
            </w:r>
          </w:p>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kapital</w:t>
            </w:r>
          </w:p>
        </w:tc>
        <w:tc>
          <w:tcPr>
            <w:tcW w:w="555" w:type="pct"/>
            <w:vAlign w:val="bottom"/>
          </w:tcPr>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 xml:space="preserve">  Zadržana </w:t>
            </w:r>
          </w:p>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dobit i rezerve</w:t>
            </w:r>
          </w:p>
        </w:tc>
        <w:tc>
          <w:tcPr>
            <w:tcW w:w="625" w:type="pct"/>
            <w:vAlign w:val="bottom"/>
          </w:tcPr>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Ostale rezerve</w:t>
            </w:r>
          </w:p>
        </w:tc>
        <w:tc>
          <w:tcPr>
            <w:tcW w:w="694" w:type="pct"/>
            <w:vAlign w:val="bottom"/>
          </w:tcPr>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 xml:space="preserve">Neto dobit </w:t>
            </w:r>
          </w:p>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tekuće godine</w:t>
            </w:r>
          </w:p>
        </w:tc>
        <w:tc>
          <w:tcPr>
            <w:tcW w:w="555" w:type="pct"/>
          </w:tcPr>
          <w:p w:rsidR="00CB06AA" w:rsidRPr="001567C8" w:rsidRDefault="00CB06AA" w:rsidP="00A3150E">
            <w:pPr>
              <w:pStyle w:val="TT"/>
              <w:jc w:val="right"/>
              <w:rPr>
                <w:rFonts w:asciiTheme="minorHAnsi" w:hAnsiTheme="minorHAnsi" w:cstheme="minorHAnsi"/>
                <w:b/>
                <w:iCs/>
                <w:sz w:val="18"/>
                <w:szCs w:val="18"/>
                <w:lang w:val="hr-HR"/>
              </w:rPr>
            </w:pPr>
          </w:p>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 xml:space="preserve">Garantni </w:t>
            </w:r>
          </w:p>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fond</w:t>
            </w:r>
          </w:p>
        </w:tc>
        <w:tc>
          <w:tcPr>
            <w:tcW w:w="693" w:type="pct"/>
            <w:vAlign w:val="bottom"/>
          </w:tcPr>
          <w:p w:rsidR="00CB06AA" w:rsidRPr="001567C8" w:rsidRDefault="00CB06AA" w:rsidP="00A3150E">
            <w:pPr>
              <w:pStyle w:val="T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 xml:space="preserve">Ukupni kapital </w:t>
            </w:r>
          </w:p>
        </w:tc>
      </w:tr>
      <w:tr w:rsidR="008A1EEE" w:rsidRPr="001567C8" w:rsidTr="003C6BA3">
        <w:trPr>
          <w:trHeight w:val="298"/>
        </w:trPr>
        <w:tc>
          <w:tcPr>
            <w:tcW w:w="1318" w:type="pct"/>
          </w:tcPr>
          <w:p w:rsidR="00CB06AA" w:rsidRPr="001567C8" w:rsidRDefault="00CB06AA" w:rsidP="00A3150E">
            <w:pPr>
              <w:pStyle w:val="TT"/>
              <w:rPr>
                <w:rFonts w:asciiTheme="minorHAnsi" w:hAnsiTheme="minorHAnsi" w:cstheme="minorHAnsi"/>
                <w:iCs/>
                <w:sz w:val="18"/>
                <w:szCs w:val="18"/>
                <w:lang w:val="hr-HR"/>
              </w:rPr>
            </w:pPr>
          </w:p>
        </w:tc>
        <w:tc>
          <w:tcPr>
            <w:tcW w:w="559" w:type="pct"/>
          </w:tcPr>
          <w:p w:rsidR="00CB06AA" w:rsidRPr="001567C8" w:rsidRDefault="00CB06AA" w:rsidP="00A3150E">
            <w:pPr>
              <w:pStyle w:val="TH"/>
              <w:keepLines/>
              <w:spacing w:line="301" w:lineRule="exact"/>
              <w:jc w:val="right"/>
              <w:rPr>
                <w:rFonts w:asciiTheme="minorHAnsi" w:hAnsiTheme="minorHAnsi" w:cstheme="minorHAnsi"/>
                <w:bCs/>
                <w:sz w:val="18"/>
                <w:szCs w:val="18"/>
                <w:lang w:val="hr-HR"/>
              </w:rPr>
            </w:pPr>
            <w:r w:rsidRPr="001567C8">
              <w:rPr>
                <w:rFonts w:asciiTheme="minorHAnsi" w:hAnsiTheme="minorHAnsi" w:cstheme="minorHAnsi"/>
                <w:bCs/>
                <w:sz w:val="18"/>
                <w:szCs w:val="18"/>
                <w:lang w:val="hr-HR"/>
              </w:rPr>
              <w:t>000 kuna</w:t>
            </w:r>
          </w:p>
        </w:tc>
        <w:tc>
          <w:tcPr>
            <w:tcW w:w="555" w:type="pct"/>
          </w:tcPr>
          <w:p w:rsidR="00CB06AA" w:rsidRPr="001567C8" w:rsidRDefault="00CB06AA" w:rsidP="00A3150E">
            <w:pPr>
              <w:pStyle w:val="TH"/>
              <w:keepLines/>
              <w:spacing w:line="301" w:lineRule="exact"/>
              <w:jc w:val="right"/>
              <w:rPr>
                <w:rFonts w:asciiTheme="minorHAnsi" w:hAnsiTheme="minorHAnsi" w:cstheme="minorHAnsi"/>
                <w:bCs/>
                <w:sz w:val="18"/>
                <w:szCs w:val="18"/>
                <w:lang w:val="hr-HR"/>
              </w:rPr>
            </w:pPr>
            <w:r w:rsidRPr="001567C8">
              <w:rPr>
                <w:rFonts w:asciiTheme="minorHAnsi" w:hAnsiTheme="minorHAnsi" w:cstheme="minorHAnsi"/>
                <w:bCs/>
                <w:sz w:val="18"/>
                <w:szCs w:val="18"/>
                <w:lang w:val="hr-HR"/>
              </w:rPr>
              <w:t>000 kuna</w:t>
            </w:r>
          </w:p>
        </w:tc>
        <w:tc>
          <w:tcPr>
            <w:tcW w:w="625" w:type="pct"/>
          </w:tcPr>
          <w:p w:rsidR="00CB06AA" w:rsidRPr="001567C8" w:rsidRDefault="00CB06AA" w:rsidP="00A3150E">
            <w:pPr>
              <w:pStyle w:val="TH"/>
              <w:keepLines/>
              <w:spacing w:line="301" w:lineRule="exact"/>
              <w:jc w:val="right"/>
              <w:rPr>
                <w:rFonts w:asciiTheme="minorHAnsi" w:hAnsiTheme="minorHAnsi" w:cstheme="minorHAnsi"/>
                <w:bCs/>
                <w:sz w:val="18"/>
                <w:szCs w:val="18"/>
                <w:lang w:val="hr-HR"/>
              </w:rPr>
            </w:pPr>
            <w:r w:rsidRPr="001567C8">
              <w:rPr>
                <w:rFonts w:asciiTheme="minorHAnsi" w:hAnsiTheme="minorHAnsi" w:cstheme="minorHAnsi"/>
                <w:bCs/>
                <w:sz w:val="18"/>
                <w:szCs w:val="18"/>
                <w:lang w:val="hr-HR"/>
              </w:rPr>
              <w:t>000 kuna</w:t>
            </w:r>
          </w:p>
        </w:tc>
        <w:tc>
          <w:tcPr>
            <w:tcW w:w="694" w:type="pct"/>
          </w:tcPr>
          <w:p w:rsidR="00CB06AA" w:rsidRPr="001567C8" w:rsidRDefault="00CB06AA" w:rsidP="00A3150E">
            <w:pPr>
              <w:pStyle w:val="TH"/>
              <w:keepLines/>
              <w:spacing w:line="301" w:lineRule="exact"/>
              <w:jc w:val="right"/>
              <w:rPr>
                <w:rFonts w:asciiTheme="minorHAnsi" w:hAnsiTheme="minorHAnsi" w:cstheme="minorHAnsi"/>
                <w:bCs/>
                <w:sz w:val="18"/>
                <w:szCs w:val="18"/>
                <w:lang w:val="hr-HR"/>
              </w:rPr>
            </w:pPr>
            <w:r w:rsidRPr="001567C8">
              <w:rPr>
                <w:rFonts w:asciiTheme="minorHAnsi" w:hAnsiTheme="minorHAnsi" w:cstheme="minorHAnsi"/>
                <w:bCs/>
                <w:sz w:val="18"/>
                <w:szCs w:val="18"/>
                <w:lang w:val="hr-HR"/>
              </w:rPr>
              <w:t>000 kuna</w:t>
            </w:r>
          </w:p>
        </w:tc>
        <w:tc>
          <w:tcPr>
            <w:tcW w:w="555" w:type="pct"/>
          </w:tcPr>
          <w:p w:rsidR="00CB06AA" w:rsidRPr="001567C8" w:rsidRDefault="00CB06AA" w:rsidP="00A3150E">
            <w:pPr>
              <w:pStyle w:val="TH"/>
              <w:keepLines/>
              <w:spacing w:line="301" w:lineRule="exact"/>
              <w:jc w:val="right"/>
              <w:rPr>
                <w:rFonts w:asciiTheme="minorHAnsi" w:hAnsiTheme="minorHAnsi" w:cstheme="minorHAnsi"/>
                <w:bCs/>
                <w:sz w:val="18"/>
                <w:szCs w:val="18"/>
                <w:lang w:val="hr-HR"/>
              </w:rPr>
            </w:pPr>
          </w:p>
        </w:tc>
        <w:tc>
          <w:tcPr>
            <w:tcW w:w="693" w:type="pct"/>
          </w:tcPr>
          <w:p w:rsidR="00CB06AA" w:rsidRPr="001567C8" w:rsidRDefault="00CB06AA" w:rsidP="00A3150E">
            <w:pPr>
              <w:pStyle w:val="TH"/>
              <w:keepLines/>
              <w:spacing w:line="301" w:lineRule="exact"/>
              <w:jc w:val="right"/>
              <w:rPr>
                <w:rFonts w:asciiTheme="minorHAnsi" w:hAnsiTheme="minorHAnsi" w:cstheme="minorHAnsi"/>
                <w:bCs/>
                <w:sz w:val="18"/>
                <w:szCs w:val="18"/>
                <w:lang w:val="hr-HR"/>
              </w:rPr>
            </w:pPr>
            <w:r w:rsidRPr="001567C8">
              <w:rPr>
                <w:rFonts w:asciiTheme="minorHAnsi" w:hAnsiTheme="minorHAnsi" w:cstheme="minorHAnsi"/>
                <w:bCs/>
                <w:sz w:val="18"/>
                <w:szCs w:val="18"/>
                <w:lang w:val="hr-HR"/>
              </w:rPr>
              <w:t>000 kuna</w:t>
            </w:r>
          </w:p>
        </w:tc>
      </w:tr>
      <w:tr w:rsidR="008A1EEE" w:rsidRPr="001567C8" w:rsidTr="003C6BA3">
        <w:trPr>
          <w:trHeight w:hRule="exact" w:val="284"/>
        </w:trPr>
        <w:tc>
          <w:tcPr>
            <w:tcW w:w="1318" w:type="pct"/>
            <w:vAlign w:val="bottom"/>
          </w:tcPr>
          <w:p w:rsidR="00CB06AA" w:rsidRPr="001567C8" w:rsidRDefault="00CB06AA" w:rsidP="00353005">
            <w:pPr>
              <w:pStyle w:val="TT"/>
              <w:spacing w:line="140" w:lineRule="exact"/>
              <w:rPr>
                <w:rFonts w:asciiTheme="minorHAnsi" w:hAnsiTheme="minorHAnsi" w:cstheme="minorHAnsi"/>
                <w:iCs/>
                <w:sz w:val="18"/>
                <w:szCs w:val="18"/>
                <w:lang w:val="hr-HR"/>
              </w:rPr>
            </w:pPr>
          </w:p>
        </w:tc>
        <w:tc>
          <w:tcPr>
            <w:tcW w:w="559" w:type="pct"/>
            <w:vAlign w:val="bottom"/>
          </w:tcPr>
          <w:p w:rsidR="00CB06AA" w:rsidRPr="001567C8" w:rsidRDefault="00CB06AA" w:rsidP="00353005">
            <w:pPr>
              <w:pStyle w:val="TT"/>
              <w:spacing w:line="140" w:lineRule="exact"/>
              <w:jc w:val="right"/>
              <w:rPr>
                <w:rFonts w:asciiTheme="minorHAnsi" w:hAnsiTheme="minorHAnsi" w:cstheme="minorHAnsi"/>
                <w:b/>
                <w:bCs/>
                <w:sz w:val="18"/>
                <w:szCs w:val="18"/>
                <w:lang w:val="hr-HR"/>
              </w:rPr>
            </w:pPr>
          </w:p>
        </w:tc>
        <w:tc>
          <w:tcPr>
            <w:tcW w:w="555" w:type="pct"/>
            <w:vAlign w:val="bottom"/>
          </w:tcPr>
          <w:p w:rsidR="00CB06AA" w:rsidRPr="001567C8" w:rsidRDefault="00CB06AA" w:rsidP="00353005">
            <w:pPr>
              <w:pStyle w:val="TT"/>
              <w:spacing w:line="140" w:lineRule="exact"/>
              <w:jc w:val="right"/>
              <w:rPr>
                <w:rFonts w:asciiTheme="minorHAnsi" w:hAnsiTheme="minorHAnsi" w:cstheme="minorHAnsi"/>
                <w:b/>
                <w:bCs/>
                <w:sz w:val="18"/>
                <w:szCs w:val="18"/>
                <w:lang w:val="hr-HR"/>
              </w:rPr>
            </w:pPr>
          </w:p>
        </w:tc>
        <w:tc>
          <w:tcPr>
            <w:tcW w:w="625" w:type="pct"/>
            <w:vAlign w:val="bottom"/>
          </w:tcPr>
          <w:p w:rsidR="00CB06AA" w:rsidRPr="001567C8" w:rsidRDefault="00CB06AA" w:rsidP="00353005">
            <w:pPr>
              <w:pStyle w:val="TT"/>
              <w:spacing w:line="140" w:lineRule="exact"/>
              <w:jc w:val="right"/>
              <w:rPr>
                <w:rFonts w:asciiTheme="minorHAnsi" w:hAnsiTheme="minorHAnsi" w:cstheme="minorHAnsi"/>
                <w:b/>
                <w:bCs/>
                <w:sz w:val="18"/>
                <w:szCs w:val="18"/>
                <w:lang w:val="hr-HR"/>
              </w:rPr>
            </w:pPr>
          </w:p>
        </w:tc>
        <w:tc>
          <w:tcPr>
            <w:tcW w:w="694" w:type="pct"/>
            <w:vAlign w:val="bottom"/>
          </w:tcPr>
          <w:p w:rsidR="00CB06AA" w:rsidRPr="001567C8" w:rsidRDefault="00CB06AA" w:rsidP="00353005">
            <w:pPr>
              <w:pStyle w:val="TT"/>
              <w:spacing w:line="140" w:lineRule="exact"/>
              <w:jc w:val="right"/>
              <w:rPr>
                <w:rFonts w:asciiTheme="minorHAnsi" w:hAnsiTheme="minorHAnsi" w:cstheme="minorHAnsi"/>
                <w:b/>
                <w:bCs/>
                <w:sz w:val="18"/>
                <w:szCs w:val="18"/>
                <w:lang w:val="hr-HR"/>
              </w:rPr>
            </w:pPr>
          </w:p>
        </w:tc>
        <w:tc>
          <w:tcPr>
            <w:tcW w:w="555" w:type="pct"/>
            <w:vAlign w:val="bottom"/>
          </w:tcPr>
          <w:p w:rsidR="00CB06AA" w:rsidRPr="001567C8" w:rsidRDefault="00CB06AA" w:rsidP="00353005">
            <w:pPr>
              <w:pStyle w:val="TT"/>
              <w:spacing w:line="140" w:lineRule="exact"/>
              <w:jc w:val="right"/>
              <w:rPr>
                <w:rFonts w:asciiTheme="minorHAnsi" w:hAnsiTheme="minorHAnsi" w:cstheme="minorHAnsi"/>
                <w:b/>
                <w:bCs/>
                <w:sz w:val="18"/>
                <w:szCs w:val="18"/>
                <w:lang w:val="hr-HR"/>
              </w:rPr>
            </w:pPr>
          </w:p>
        </w:tc>
        <w:tc>
          <w:tcPr>
            <w:tcW w:w="693" w:type="pct"/>
            <w:vAlign w:val="bottom"/>
          </w:tcPr>
          <w:p w:rsidR="00CB06AA" w:rsidRPr="001567C8" w:rsidRDefault="00CB06AA" w:rsidP="00353005">
            <w:pPr>
              <w:pStyle w:val="TT"/>
              <w:spacing w:line="140" w:lineRule="exact"/>
              <w:jc w:val="right"/>
              <w:rPr>
                <w:rFonts w:asciiTheme="minorHAnsi" w:hAnsiTheme="minorHAnsi" w:cstheme="minorHAnsi"/>
                <w:b/>
                <w:bCs/>
                <w:sz w:val="18"/>
                <w:szCs w:val="18"/>
                <w:lang w:val="hr-HR"/>
              </w:rPr>
            </w:pPr>
          </w:p>
        </w:tc>
      </w:tr>
      <w:tr w:rsidR="008A1EEE" w:rsidRPr="001567C8" w:rsidTr="003C6BA3">
        <w:trPr>
          <w:trHeight w:val="452"/>
        </w:trPr>
        <w:tc>
          <w:tcPr>
            <w:tcW w:w="1318" w:type="pct"/>
            <w:vAlign w:val="bottom"/>
          </w:tcPr>
          <w:p w:rsidR="00CB06AA" w:rsidRPr="001567C8" w:rsidRDefault="00CB06AA" w:rsidP="003A48C1">
            <w:pPr>
              <w:pStyle w:val="TT"/>
              <w:spacing w:line="240" w:lineRule="exac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Stanje 1. siječnja 2017. godine</w:t>
            </w:r>
          </w:p>
        </w:tc>
        <w:tc>
          <w:tcPr>
            <w:tcW w:w="559" w:type="pct"/>
            <w:tcBorders>
              <w:top w:val="nil"/>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6.959.632</w:t>
            </w:r>
          </w:p>
        </w:tc>
        <w:tc>
          <w:tcPr>
            <w:tcW w:w="555" w:type="pct"/>
            <w:tcBorders>
              <w:top w:val="nil"/>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2.682.127</w:t>
            </w:r>
          </w:p>
        </w:tc>
        <w:tc>
          <w:tcPr>
            <w:tcW w:w="625" w:type="pct"/>
            <w:tcBorders>
              <w:top w:val="nil"/>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73.733</w:t>
            </w:r>
          </w:p>
        </w:tc>
        <w:tc>
          <w:tcPr>
            <w:tcW w:w="694" w:type="pct"/>
            <w:tcBorders>
              <w:top w:val="nil"/>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314.841</w:t>
            </w:r>
          </w:p>
        </w:tc>
        <w:tc>
          <w:tcPr>
            <w:tcW w:w="555" w:type="pct"/>
            <w:tcBorders>
              <w:top w:val="nil"/>
              <w:left w:val="nil"/>
              <w:bottom w:val="single" w:sz="12" w:space="0" w:color="auto"/>
              <w:right w:val="nil"/>
            </w:tcBorders>
            <w:vAlign w:val="bottom"/>
          </w:tcPr>
          <w:p w:rsidR="00CB06AA" w:rsidRPr="00CD3A2D" w:rsidRDefault="008A1EEE" w:rsidP="003A48C1">
            <w:pPr>
              <w:pStyle w:val="TT"/>
              <w:jc w:val="right"/>
              <w:rPr>
                <w:rFonts w:asciiTheme="minorHAnsi" w:hAnsiTheme="minorHAnsi" w:cstheme="minorHAnsi"/>
                <w:b/>
                <w:bCs/>
                <w:color w:val="000000"/>
                <w:sz w:val="18"/>
                <w:szCs w:val="18"/>
                <w:lang w:val="hr-HR"/>
              </w:rPr>
            </w:pPr>
            <w:r w:rsidRPr="00CD3A2D">
              <w:rPr>
                <w:rFonts w:asciiTheme="minorHAnsi" w:hAnsiTheme="minorHAnsi" w:cstheme="minorHAnsi"/>
                <w:b/>
                <w:bCs/>
                <w:color w:val="000000"/>
                <w:sz w:val="18"/>
                <w:szCs w:val="18"/>
                <w:lang w:val="hr-HR"/>
              </w:rPr>
              <w:t>12.375</w:t>
            </w:r>
          </w:p>
        </w:tc>
        <w:tc>
          <w:tcPr>
            <w:tcW w:w="693" w:type="pct"/>
            <w:tcBorders>
              <w:top w:val="nil"/>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10.0</w:t>
            </w:r>
            <w:r w:rsidR="008A1EEE" w:rsidRPr="00CD3A2D">
              <w:rPr>
                <w:rFonts w:asciiTheme="minorHAnsi" w:hAnsiTheme="minorHAnsi" w:cstheme="minorHAnsi"/>
                <w:b/>
                <w:bCs/>
                <w:color w:val="000000"/>
                <w:sz w:val="18"/>
                <w:szCs w:val="18"/>
                <w:lang w:val="hr-HR"/>
              </w:rPr>
              <w:t>42</w:t>
            </w:r>
            <w:r w:rsidRPr="00CD3A2D">
              <w:rPr>
                <w:rFonts w:asciiTheme="minorHAnsi" w:hAnsiTheme="minorHAnsi" w:cstheme="minorHAnsi"/>
                <w:b/>
                <w:bCs/>
                <w:color w:val="000000"/>
                <w:sz w:val="18"/>
                <w:szCs w:val="18"/>
                <w:lang w:val="hr-HR"/>
              </w:rPr>
              <w:t>.</w:t>
            </w:r>
            <w:r w:rsidR="008A1EEE" w:rsidRPr="00CD3A2D">
              <w:rPr>
                <w:rFonts w:asciiTheme="minorHAnsi" w:hAnsiTheme="minorHAnsi" w:cstheme="minorHAnsi"/>
                <w:b/>
                <w:bCs/>
                <w:color w:val="000000"/>
                <w:sz w:val="18"/>
                <w:szCs w:val="18"/>
                <w:lang w:val="hr-HR"/>
              </w:rPr>
              <w:t>708</w:t>
            </w:r>
          </w:p>
        </w:tc>
      </w:tr>
      <w:tr w:rsidR="008A1EEE" w:rsidRPr="001567C8" w:rsidTr="003C6BA3">
        <w:trPr>
          <w:trHeight w:val="77"/>
        </w:trPr>
        <w:tc>
          <w:tcPr>
            <w:tcW w:w="1318" w:type="pct"/>
            <w:vAlign w:val="bottom"/>
          </w:tcPr>
          <w:p w:rsidR="00CB06AA" w:rsidRPr="001567C8" w:rsidRDefault="00CB06AA" w:rsidP="003A48C1">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Dobit tekuće godine</w:t>
            </w:r>
          </w:p>
        </w:tc>
        <w:tc>
          <w:tcPr>
            <w:tcW w:w="559" w:type="pct"/>
            <w:tcBorders>
              <w:top w:val="single" w:sz="12" w:space="0" w:color="auto"/>
            </w:tcBorders>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555" w:type="pct"/>
            <w:tcBorders>
              <w:top w:val="single" w:sz="12" w:space="0" w:color="auto"/>
            </w:tcBorders>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625" w:type="pct"/>
            <w:tcBorders>
              <w:top w:val="single" w:sz="12" w:space="0" w:color="auto"/>
            </w:tcBorders>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694" w:type="pct"/>
            <w:tcBorders>
              <w:top w:val="single" w:sz="12"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162.201 </w:t>
            </w:r>
          </w:p>
        </w:tc>
        <w:tc>
          <w:tcPr>
            <w:tcW w:w="555" w:type="pct"/>
            <w:tcBorders>
              <w:top w:val="single" w:sz="12" w:space="0" w:color="auto"/>
            </w:tcBorders>
          </w:tcPr>
          <w:p w:rsidR="00CB06AA" w:rsidRPr="00CD3A2D" w:rsidRDefault="008A1EEE"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693" w:type="pct"/>
            <w:tcBorders>
              <w:top w:val="single" w:sz="12" w:space="0" w:color="auto"/>
            </w:tcBorders>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 xml:space="preserve"> 162.201 </w:t>
            </w:r>
          </w:p>
        </w:tc>
      </w:tr>
      <w:tr w:rsidR="008A1EEE" w:rsidRPr="001567C8" w:rsidTr="003C6BA3">
        <w:trPr>
          <w:trHeight w:val="77"/>
        </w:trPr>
        <w:tc>
          <w:tcPr>
            <w:tcW w:w="1318" w:type="pct"/>
            <w:vAlign w:val="bottom"/>
          </w:tcPr>
          <w:p w:rsidR="00CB06AA" w:rsidRPr="001567C8" w:rsidRDefault="00CB06AA" w:rsidP="003A48C1">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Ostala sveobuhvatna dobit</w:t>
            </w:r>
          </w:p>
        </w:tc>
        <w:tc>
          <w:tcPr>
            <w:tcW w:w="559" w:type="pct"/>
            <w:tcBorders>
              <w:bottom w:val="single" w:sz="2"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555" w:type="pct"/>
            <w:tcBorders>
              <w:bottom w:val="single" w:sz="2"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625" w:type="pct"/>
            <w:tcBorders>
              <w:bottom w:val="single" w:sz="2"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20.950 </w:t>
            </w:r>
          </w:p>
        </w:tc>
        <w:tc>
          <w:tcPr>
            <w:tcW w:w="694" w:type="pct"/>
            <w:tcBorders>
              <w:bottom w:val="single" w:sz="2"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555" w:type="pct"/>
            <w:tcBorders>
              <w:bottom w:val="single" w:sz="2" w:space="0" w:color="auto"/>
            </w:tcBorders>
          </w:tcPr>
          <w:p w:rsidR="00CB06AA" w:rsidRPr="00CD3A2D" w:rsidRDefault="008A1EEE"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693" w:type="pct"/>
            <w:tcBorders>
              <w:bottom w:val="single" w:sz="2" w:space="0" w:color="auto"/>
            </w:tcBorders>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 xml:space="preserve"> 20.950 </w:t>
            </w:r>
          </w:p>
        </w:tc>
      </w:tr>
      <w:tr w:rsidR="008A1EEE" w:rsidRPr="001567C8" w:rsidTr="003C6BA3">
        <w:trPr>
          <w:trHeight w:hRule="exact" w:val="273"/>
        </w:trPr>
        <w:tc>
          <w:tcPr>
            <w:tcW w:w="1318" w:type="pct"/>
            <w:vAlign w:val="bottom"/>
          </w:tcPr>
          <w:p w:rsidR="00CB06AA" w:rsidRPr="001567C8" w:rsidRDefault="00CB06AA" w:rsidP="003A48C1">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Ukupna sveobuhvatna dobit</w:t>
            </w:r>
          </w:p>
        </w:tc>
        <w:tc>
          <w:tcPr>
            <w:tcW w:w="559" w:type="pct"/>
            <w:tcBorders>
              <w:top w:val="single" w:sz="2" w:space="0" w:color="auto"/>
              <w:bottom w:val="single" w:sz="2"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555" w:type="pct"/>
            <w:tcBorders>
              <w:top w:val="single" w:sz="2" w:space="0" w:color="auto"/>
              <w:bottom w:val="single" w:sz="2"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625" w:type="pct"/>
            <w:tcBorders>
              <w:top w:val="single" w:sz="2" w:space="0" w:color="auto"/>
              <w:bottom w:val="single" w:sz="2"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20.950 </w:t>
            </w:r>
          </w:p>
        </w:tc>
        <w:tc>
          <w:tcPr>
            <w:tcW w:w="694" w:type="pct"/>
            <w:tcBorders>
              <w:top w:val="single" w:sz="2" w:space="0" w:color="auto"/>
              <w:bottom w:val="single" w:sz="2"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162.201</w:t>
            </w:r>
          </w:p>
        </w:tc>
        <w:tc>
          <w:tcPr>
            <w:tcW w:w="555" w:type="pct"/>
            <w:tcBorders>
              <w:top w:val="single" w:sz="2" w:space="0" w:color="auto"/>
              <w:bottom w:val="single" w:sz="2" w:space="0" w:color="auto"/>
            </w:tcBorders>
            <w:vAlign w:val="bottom"/>
          </w:tcPr>
          <w:p w:rsidR="00CB06AA" w:rsidRPr="00CD3A2D" w:rsidRDefault="00275EDD"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693" w:type="pct"/>
            <w:tcBorders>
              <w:top w:val="single" w:sz="2" w:space="0" w:color="auto"/>
              <w:bottom w:val="single" w:sz="2" w:space="0" w:color="auto"/>
            </w:tcBorders>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 xml:space="preserve"> 183.151 </w:t>
            </w:r>
          </w:p>
        </w:tc>
      </w:tr>
      <w:tr w:rsidR="00BF26A6" w:rsidRPr="001567C8" w:rsidTr="003C6BA3">
        <w:trPr>
          <w:trHeight w:hRule="exact" w:val="291"/>
        </w:trPr>
        <w:tc>
          <w:tcPr>
            <w:tcW w:w="1318" w:type="pct"/>
            <w:vAlign w:val="bottom"/>
          </w:tcPr>
          <w:p w:rsidR="00BF26A6" w:rsidRPr="001567C8" w:rsidRDefault="008751BC" w:rsidP="003A48C1">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T</w:t>
            </w:r>
            <w:r w:rsidR="00BF26A6" w:rsidRPr="001567C8">
              <w:rPr>
                <w:rFonts w:asciiTheme="minorHAnsi" w:hAnsiTheme="minorHAnsi" w:cstheme="minorHAnsi"/>
                <w:iCs/>
                <w:sz w:val="18"/>
                <w:szCs w:val="18"/>
                <w:lang w:val="hr-HR"/>
              </w:rPr>
              <w:t>ečajne razlike</w:t>
            </w:r>
            <w:r w:rsidRPr="001567C8">
              <w:rPr>
                <w:rFonts w:asciiTheme="minorHAnsi" w:hAnsiTheme="minorHAnsi" w:cstheme="minorHAnsi"/>
                <w:iCs/>
                <w:sz w:val="18"/>
                <w:szCs w:val="18"/>
                <w:lang w:val="hr-HR"/>
              </w:rPr>
              <w:t xml:space="preserve"> Garantni fond</w:t>
            </w:r>
          </w:p>
        </w:tc>
        <w:tc>
          <w:tcPr>
            <w:tcW w:w="559" w:type="pct"/>
            <w:tcBorders>
              <w:top w:val="single" w:sz="2" w:space="0" w:color="auto"/>
            </w:tcBorders>
            <w:vAlign w:val="bottom"/>
          </w:tcPr>
          <w:p w:rsidR="00BF26A6" w:rsidRPr="00CD3A2D" w:rsidRDefault="00BF26A6"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555" w:type="pct"/>
            <w:tcBorders>
              <w:top w:val="single" w:sz="2" w:space="0" w:color="auto"/>
            </w:tcBorders>
            <w:vAlign w:val="bottom"/>
          </w:tcPr>
          <w:p w:rsidR="00BF26A6" w:rsidRPr="00CD3A2D" w:rsidRDefault="00BF26A6"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625" w:type="pct"/>
            <w:tcBorders>
              <w:top w:val="single" w:sz="2" w:space="0" w:color="auto"/>
            </w:tcBorders>
            <w:vAlign w:val="bottom"/>
          </w:tcPr>
          <w:p w:rsidR="00BF26A6" w:rsidRPr="00CD3A2D" w:rsidRDefault="00BF26A6"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694" w:type="pct"/>
            <w:tcBorders>
              <w:top w:val="single" w:sz="2" w:space="0" w:color="auto"/>
            </w:tcBorders>
            <w:vAlign w:val="bottom"/>
          </w:tcPr>
          <w:p w:rsidR="00BF26A6" w:rsidRPr="00CD3A2D" w:rsidRDefault="00BF26A6"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555" w:type="pct"/>
            <w:tcBorders>
              <w:top w:val="single" w:sz="2" w:space="0" w:color="auto"/>
            </w:tcBorders>
            <w:vAlign w:val="bottom"/>
          </w:tcPr>
          <w:p w:rsidR="00BF26A6" w:rsidRPr="00CD3A2D" w:rsidRDefault="00BF26A6"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(72)</w:t>
            </w:r>
          </w:p>
        </w:tc>
        <w:tc>
          <w:tcPr>
            <w:tcW w:w="693" w:type="pct"/>
            <w:tcBorders>
              <w:top w:val="single" w:sz="2" w:space="0" w:color="auto"/>
            </w:tcBorders>
            <w:vAlign w:val="bottom"/>
          </w:tcPr>
          <w:p w:rsidR="00BF26A6" w:rsidRPr="00CD3A2D" w:rsidRDefault="00BF26A6" w:rsidP="003A48C1">
            <w:pPr>
              <w:pStyle w:val="TT"/>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(72)</w:t>
            </w:r>
          </w:p>
        </w:tc>
      </w:tr>
      <w:tr w:rsidR="008A1EEE" w:rsidRPr="001567C8" w:rsidTr="003C6BA3">
        <w:trPr>
          <w:trHeight w:hRule="exact" w:val="567"/>
        </w:trPr>
        <w:tc>
          <w:tcPr>
            <w:tcW w:w="1318" w:type="pct"/>
            <w:vAlign w:val="bottom"/>
          </w:tcPr>
          <w:p w:rsidR="00CB06AA" w:rsidRPr="001567C8" w:rsidRDefault="00CB06AA" w:rsidP="003A48C1">
            <w:pPr>
              <w:pStyle w:val="TT"/>
              <w:spacing w:line="240" w:lineRule="exact"/>
              <w:rPr>
                <w:rFonts w:asciiTheme="minorHAnsi" w:hAnsiTheme="minorHAnsi" w:cstheme="minorHAnsi"/>
                <w:i/>
                <w:iCs/>
                <w:sz w:val="18"/>
                <w:szCs w:val="18"/>
                <w:lang w:val="hr-HR"/>
              </w:rPr>
            </w:pPr>
            <w:r w:rsidRPr="001567C8">
              <w:rPr>
                <w:rFonts w:asciiTheme="minorHAnsi" w:hAnsiTheme="minorHAnsi" w:cstheme="minorHAnsi"/>
                <w:iCs/>
                <w:sz w:val="18"/>
                <w:szCs w:val="18"/>
                <w:lang w:val="hr-HR"/>
              </w:rPr>
              <w:t>Uplate u osnivački kapital iz državnog proračuna</w:t>
            </w:r>
          </w:p>
        </w:tc>
        <w:tc>
          <w:tcPr>
            <w:tcW w:w="559" w:type="pct"/>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50.000 </w:t>
            </w:r>
          </w:p>
        </w:tc>
        <w:tc>
          <w:tcPr>
            <w:tcW w:w="555" w:type="pct"/>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625" w:type="pct"/>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694" w:type="pct"/>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555" w:type="pct"/>
            <w:vAlign w:val="bottom"/>
          </w:tcPr>
          <w:p w:rsidR="00CB06AA" w:rsidRPr="00CD3A2D" w:rsidRDefault="00BF26A6"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693" w:type="pct"/>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 xml:space="preserve"> 50.000 </w:t>
            </w:r>
          </w:p>
        </w:tc>
      </w:tr>
      <w:tr w:rsidR="008A1EEE" w:rsidRPr="001567C8" w:rsidTr="003C6BA3">
        <w:trPr>
          <w:trHeight w:val="463"/>
        </w:trPr>
        <w:tc>
          <w:tcPr>
            <w:tcW w:w="1318" w:type="pct"/>
            <w:vAlign w:val="bottom"/>
          </w:tcPr>
          <w:p w:rsidR="00CB06AA" w:rsidRPr="001567C8" w:rsidRDefault="00CB06AA" w:rsidP="003A48C1">
            <w:pPr>
              <w:pStyle w:val="TT"/>
              <w:spacing w:line="240" w:lineRule="exact"/>
              <w:rPr>
                <w:rFonts w:asciiTheme="minorHAnsi" w:hAnsiTheme="minorHAnsi" w:cstheme="minorHAnsi"/>
                <w:i/>
                <w:iCs/>
                <w:sz w:val="18"/>
                <w:szCs w:val="18"/>
                <w:lang w:val="hr-HR"/>
              </w:rPr>
            </w:pPr>
            <w:r w:rsidRPr="001567C8">
              <w:rPr>
                <w:rFonts w:asciiTheme="minorHAnsi" w:hAnsiTheme="minorHAnsi" w:cstheme="minorHAnsi"/>
                <w:iCs/>
                <w:sz w:val="18"/>
                <w:szCs w:val="18"/>
                <w:lang w:val="hr-HR"/>
              </w:rPr>
              <w:t>Prijenos dobiti iz 2016. godine u zadržanu dobit</w:t>
            </w:r>
          </w:p>
        </w:tc>
        <w:tc>
          <w:tcPr>
            <w:tcW w:w="559" w:type="pct"/>
            <w:tcBorders>
              <w:bottom w:val="single" w:sz="4"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555" w:type="pct"/>
            <w:tcBorders>
              <w:bottom w:val="single" w:sz="4"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314.841 </w:t>
            </w:r>
          </w:p>
        </w:tc>
        <w:tc>
          <w:tcPr>
            <w:tcW w:w="625" w:type="pct"/>
            <w:tcBorders>
              <w:bottom w:val="single" w:sz="4"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 </w:t>
            </w:r>
          </w:p>
        </w:tc>
        <w:tc>
          <w:tcPr>
            <w:tcW w:w="694" w:type="pct"/>
            <w:tcBorders>
              <w:bottom w:val="single" w:sz="4" w:space="0" w:color="auto"/>
            </w:tcBorders>
            <w:vAlign w:val="bottom"/>
          </w:tcPr>
          <w:p w:rsidR="00CB06AA" w:rsidRPr="001567C8" w:rsidRDefault="00CB06AA" w:rsidP="003A48C1">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 xml:space="preserve"> (314.841)</w:t>
            </w:r>
          </w:p>
        </w:tc>
        <w:tc>
          <w:tcPr>
            <w:tcW w:w="555" w:type="pct"/>
            <w:tcBorders>
              <w:bottom w:val="single" w:sz="4" w:space="0" w:color="auto"/>
            </w:tcBorders>
            <w:vAlign w:val="bottom"/>
          </w:tcPr>
          <w:p w:rsidR="00CB06AA" w:rsidRPr="00CD3A2D" w:rsidRDefault="00BF26A6"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693" w:type="pct"/>
            <w:tcBorders>
              <w:bottom w:val="single" w:sz="4" w:space="0" w:color="auto"/>
            </w:tcBorders>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 xml:space="preserve"> - </w:t>
            </w:r>
          </w:p>
        </w:tc>
      </w:tr>
      <w:tr w:rsidR="008A1EEE" w:rsidRPr="001567C8" w:rsidTr="003C6BA3">
        <w:trPr>
          <w:trHeight w:val="338"/>
        </w:trPr>
        <w:tc>
          <w:tcPr>
            <w:tcW w:w="1318" w:type="pct"/>
            <w:vAlign w:val="bottom"/>
          </w:tcPr>
          <w:p w:rsidR="00CB06AA" w:rsidRPr="001567C8" w:rsidRDefault="00CB06AA" w:rsidP="003A48C1">
            <w:pPr>
              <w:pStyle w:val="TT"/>
              <w:spacing w:line="240" w:lineRule="exac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Stanje 31. prosinca 2017. godine</w:t>
            </w:r>
          </w:p>
        </w:tc>
        <w:tc>
          <w:tcPr>
            <w:tcW w:w="559" w:type="pct"/>
            <w:tcBorders>
              <w:top w:val="single" w:sz="4" w:space="0" w:color="auto"/>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7.009.632</w:t>
            </w:r>
          </w:p>
        </w:tc>
        <w:tc>
          <w:tcPr>
            <w:tcW w:w="555" w:type="pct"/>
            <w:tcBorders>
              <w:top w:val="single" w:sz="4" w:space="0" w:color="auto"/>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2.996.968</w:t>
            </w:r>
          </w:p>
        </w:tc>
        <w:tc>
          <w:tcPr>
            <w:tcW w:w="625" w:type="pct"/>
            <w:tcBorders>
              <w:top w:val="single" w:sz="4" w:space="0" w:color="auto"/>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94.683</w:t>
            </w:r>
          </w:p>
        </w:tc>
        <w:tc>
          <w:tcPr>
            <w:tcW w:w="694" w:type="pct"/>
            <w:tcBorders>
              <w:top w:val="single" w:sz="4" w:space="0" w:color="auto"/>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162.201</w:t>
            </w:r>
          </w:p>
        </w:tc>
        <w:tc>
          <w:tcPr>
            <w:tcW w:w="555" w:type="pct"/>
            <w:tcBorders>
              <w:top w:val="single" w:sz="4" w:space="0" w:color="auto"/>
              <w:left w:val="nil"/>
              <w:bottom w:val="single" w:sz="12" w:space="0" w:color="auto"/>
              <w:right w:val="nil"/>
            </w:tcBorders>
            <w:vAlign w:val="bottom"/>
          </w:tcPr>
          <w:p w:rsidR="00CB06AA" w:rsidRPr="00CD3A2D" w:rsidRDefault="00BF26A6" w:rsidP="003A48C1">
            <w:pPr>
              <w:pStyle w:val="TT"/>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12.303</w:t>
            </w:r>
          </w:p>
        </w:tc>
        <w:tc>
          <w:tcPr>
            <w:tcW w:w="693" w:type="pct"/>
            <w:tcBorders>
              <w:top w:val="single" w:sz="4" w:space="0" w:color="auto"/>
              <w:left w:val="nil"/>
              <w:bottom w:val="single" w:sz="12" w:space="0" w:color="auto"/>
              <w:right w:val="nil"/>
            </w:tcBorders>
            <w:shd w:val="clear" w:color="auto" w:fill="auto"/>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10.2</w:t>
            </w:r>
            <w:r w:rsidR="00BF26A6" w:rsidRPr="00CD3A2D">
              <w:rPr>
                <w:rFonts w:asciiTheme="minorHAnsi" w:hAnsiTheme="minorHAnsi" w:cstheme="minorHAnsi"/>
                <w:b/>
                <w:sz w:val="18"/>
                <w:szCs w:val="18"/>
                <w:lang w:val="hr-HR"/>
              </w:rPr>
              <w:t>75</w:t>
            </w:r>
            <w:r w:rsidRPr="00CD3A2D">
              <w:rPr>
                <w:rFonts w:asciiTheme="minorHAnsi" w:hAnsiTheme="minorHAnsi" w:cstheme="minorHAnsi"/>
                <w:b/>
                <w:sz w:val="18"/>
                <w:szCs w:val="18"/>
                <w:lang w:val="hr-HR"/>
              </w:rPr>
              <w:t>.</w:t>
            </w:r>
            <w:r w:rsidR="00BF26A6" w:rsidRPr="00CD3A2D">
              <w:rPr>
                <w:rFonts w:asciiTheme="minorHAnsi" w:hAnsiTheme="minorHAnsi" w:cstheme="minorHAnsi"/>
                <w:b/>
                <w:sz w:val="18"/>
                <w:szCs w:val="18"/>
                <w:lang w:val="hr-HR"/>
              </w:rPr>
              <w:t>787</w:t>
            </w:r>
          </w:p>
        </w:tc>
      </w:tr>
      <w:tr w:rsidR="008A1EEE" w:rsidRPr="001567C8" w:rsidTr="003C6BA3">
        <w:trPr>
          <w:trHeight w:val="76"/>
        </w:trPr>
        <w:tc>
          <w:tcPr>
            <w:tcW w:w="1318" w:type="pct"/>
            <w:vAlign w:val="bottom"/>
          </w:tcPr>
          <w:p w:rsidR="00CB06AA" w:rsidRPr="001567C8" w:rsidRDefault="00CB06AA" w:rsidP="003A48C1">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Učinak MSFI 9 na dan 1. siječnja 2018. godine</w:t>
            </w:r>
          </w:p>
        </w:tc>
        <w:tc>
          <w:tcPr>
            <w:tcW w:w="559" w:type="pct"/>
            <w:vAlign w:val="bottom"/>
          </w:tcPr>
          <w:p w:rsidR="00CB06AA" w:rsidRPr="00CD3A2D" w:rsidRDefault="00CB06AA" w:rsidP="003A48C1">
            <w:pPr>
              <w:pStyle w:val="Thick"/>
              <w:tabs>
                <w:tab w:val="clear" w:pos="1202"/>
                <w:tab w:val="decimal" w:pos="1015"/>
              </w:tabs>
              <w:spacing w:line="301" w:lineRule="exact"/>
              <w:jc w:val="right"/>
              <w:rPr>
                <w:rFonts w:asciiTheme="minorHAnsi" w:hAnsiTheme="minorHAnsi" w:cstheme="minorHAnsi"/>
                <w:b w:val="0"/>
                <w:iCs/>
                <w:position w:val="0"/>
                <w:sz w:val="18"/>
                <w:szCs w:val="18"/>
                <w:u w:val="none"/>
                <w:lang w:val="hr-HR"/>
              </w:rPr>
            </w:pPr>
            <w:r w:rsidRPr="00CD3A2D">
              <w:rPr>
                <w:rFonts w:asciiTheme="minorHAnsi" w:hAnsiTheme="minorHAnsi" w:cstheme="minorHAnsi"/>
                <w:b w:val="0"/>
                <w:sz w:val="18"/>
                <w:szCs w:val="18"/>
                <w:u w:val="none"/>
                <w:lang w:val="hr-HR"/>
              </w:rPr>
              <w:t>-</w:t>
            </w:r>
          </w:p>
        </w:tc>
        <w:tc>
          <w:tcPr>
            <w:tcW w:w="555" w:type="pct"/>
            <w:vAlign w:val="bottom"/>
          </w:tcPr>
          <w:p w:rsidR="00CB06AA" w:rsidRPr="00CD3A2D" w:rsidRDefault="00CB06AA" w:rsidP="003A48C1">
            <w:pPr>
              <w:pStyle w:val="Thick"/>
              <w:tabs>
                <w:tab w:val="clear" w:pos="1202"/>
                <w:tab w:val="decimal" w:pos="1015"/>
              </w:tabs>
              <w:spacing w:line="301" w:lineRule="exact"/>
              <w:jc w:val="right"/>
              <w:rPr>
                <w:rFonts w:asciiTheme="minorHAnsi" w:hAnsiTheme="minorHAnsi" w:cstheme="minorHAnsi"/>
                <w:b w:val="0"/>
                <w:iCs/>
                <w:position w:val="0"/>
                <w:sz w:val="18"/>
                <w:szCs w:val="18"/>
                <w:u w:val="none"/>
                <w:lang w:val="hr-HR"/>
              </w:rPr>
            </w:pPr>
            <w:r w:rsidRPr="00CD3A2D">
              <w:rPr>
                <w:rFonts w:asciiTheme="minorHAnsi" w:hAnsiTheme="minorHAnsi" w:cstheme="minorHAnsi"/>
                <w:b w:val="0"/>
                <w:sz w:val="18"/>
                <w:szCs w:val="18"/>
                <w:u w:val="none"/>
                <w:lang w:val="hr-HR"/>
              </w:rPr>
              <w:t>(469.974</w:t>
            </w:r>
            <w:r w:rsidR="00F468F8" w:rsidRPr="00CD3A2D">
              <w:rPr>
                <w:rFonts w:asciiTheme="minorHAnsi" w:hAnsiTheme="minorHAnsi" w:cstheme="minorHAnsi"/>
                <w:b w:val="0"/>
                <w:sz w:val="18"/>
                <w:szCs w:val="18"/>
                <w:u w:val="none"/>
                <w:lang w:val="hr-HR"/>
              </w:rPr>
              <w:t>)</w:t>
            </w:r>
          </w:p>
        </w:tc>
        <w:tc>
          <w:tcPr>
            <w:tcW w:w="625" w:type="pct"/>
            <w:vAlign w:val="bottom"/>
          </w:tcPr>
          <w:p w:rsidR="00CB06AA" w:rsidRPr="00CD3A2D" w:rsidRDefault="00CB06AA" w:rsidP="003A48C1">
            <w:pPr>
              <w:pStyle w:val="Thick"/>
              <w:tabs>
                <w:tab w:val="clear" w:pos="1202"/>
                <w:tab w:val="decimal" w:pos="1015"/>
              </w:tabs>
              <w:spacing w:line="301" w:lineRule="exact"/>
              <w:jc w:val="right"/>
              <w:rPr>
                <w:rFonts w:asciiTheme="minorHAnsi" w:hAnsiTheme="minorHAnsi" w:cstheme="minorHAnsi"/>
                <w:b w:val="0"/>
                <w:iCs/>
                <w:position w:val="0"/>
                <w:sz w:val="18"/>
                <w:szCs w:val="18"/>
                <w:u w:val="none"/>
                <w:lang w:val="hr-HR"/>
              </w:rPr>
            </w:pPr>
            <w:r w:rsidRPr="00CD3A2D">
              <w:rPr>
                <w:rFonts w:asciiTheme="minorHAnsi" w:hAnsiTheme="minorHAnsi" w:cstheme="minorHAnsi"/>
                <w:b w:val="0"/>
                <w:sz w:val="18"/>
                <w:szCs w:val="18"/>
                <w:u w:val="none"/>
                <w:lang w:val="hr-HR"/>
              </w:rPr>
              <w:t>-</w:t>
            </w:r>
          </w:p>
        </w:tc>
        <w:tc>
          <w:tcPr>
            <w:tcW w:w="694" w:type="pct"/>
            <w:vAlign w:val="bottom"/>
          </w:tcPr>
          <w:p w:rsidR="00CB06AA" w:rsidRPr="00CD3A2D" w:rsidRDefault="00CB06AA" w:rsidP="003A48C1">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555" w:type="pct"/>
            <w:vAlign w:val="bottom"/>
          </w:tcPr>
          <w:p w:rsidR="00CB06AA" w:rsidRPr="00CD3A2D" w:rsidRDefault="00937F4C" w:rsidP="003A48C1">
            <w:pPr>
              <w:pStyle w:val="TT"/>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w:t>
            </w:r>
          </w:p>
        </w:tc>
        <w:tc>
          <w:tcPr>
            <w:tcW w:w="693" w:type="pct"/>
            <w:vAlign w:val="bottom"/>
          </w:tcPr>
          <w:p w:rsidR="00CB06AA" w:rsidRPr="001567C8" w:rsidRDefault="00CB06AA" w:rsidP="003A48C1">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(469.974)</w:t>
            </w:r>
          </w:p>
        </w:tc>
      </w:tr>
      <w:tr w:rsidR="008A1EEE" w:rsidRPr="001567C8" w:rsidTr="003C6BA3">
        <w:trPr>
          <w:trHeight w:val="76"/>
        </w:trPr>
        <w:tc>
          <w:tcPr>
            <w:tcW w:w="1318" w:type="pct"/>
            <w:vAlign w:val="bottom"/>
          </w:tcPr>
          <w:p w:rsidR="00CB06AA" w:rsidRPr="001567C8" w:rsidRDefault="00CB06AA" w:rsidP="003A48C1">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Učinak reklasifikacije financijske imovine po MSFI 9</w:t>
            </w:r>
            <w:r w:rsidRPr="001567C8">
              <w:rPr>
                <w:rStyle w:val="FootnoteReference"/>
                <w:rFonts w:asciiTheme="minorHAnsi" w:hAnsiTheme="minorHAnsi" w:cstheme="minorHAnsi"/>
                <w:iCs/>
                <w:sz w:val="18"/>
                <w:szCs w:val="18"/>
                <w:lang w:val="hr-HR"/>
              </w:rPr>
              <w:footnoteReference w:id="1"/>
            </w:r>
          </w:p>
        </w:tc>
        <w:tc>
          <w:tcPr>
            <w:tcW w:w="559" w:type="pct"/>
            <w:tcBorders>
              <w:left w:val="nil"/>
              <w:right w:val="nil"/>
            </w:tcBorders>
            <w:shd w:val="clear" w:color="auto" w:fill="auto"/>
            <w:vAlign w:val="bottom"/>
          </w:tcPr>
          <w:p w:rsidR="00CB06AA" w:rsidRPr="00CD3A2D" w:rsidRDefault="00CB06AA" w:rsidP="003C6BA3">
            <w:pPr>
              <w:pStyle w:val="Thick"/>
              <w:tabs>
                <w:tab w:val="clear" w:pos="1202"/>
                <w:tab w:val="decimal" w:pos="1015"/>
              </w:tabs>
              <w:spacing w:line="240" w:lineRule="auto"/>
              <w:jc w:val="right"/>
              <w:rPr>
                <w:rFonts w:asciiTheme="minorHAnsi" w:hAnsiTheme="minorHAnsi" w:cstheme="minorHAnsi"/>
                <w:b w:val="0"/>
                <w:sz w:val="18"/>
                <w:szCs w:val="18"/>
                <w:u w:val="none"/>
                <w:lang w:val="hr-HR"/>
              </w:rPr>
            </w:pPr>
            <w:r w:rsidRPr="001567C8">
              <w:rPr>
                <w:rFonts w:asciiTheme="minorHAnsi" w:hAnsiTheme="minorHAnsi" w:cstheme="minorHAnsi"/>
                <w:b w:val="0"/>
                <w:iCs/>
                <w:sz w:val="18"/>
                <w:szCs w:val="18"/>
                <w:u w:val="none"/>
                <w:lang w:val="hr-HR"/>
              </w:rPr>
              <w:t>-</w:t>
            </w:r>
          </w:p>
        </w:tc>
        <w:tc>
          <w:tcPr>
            <w:tcW w:w="555" w:type="pct"/>
            <w:tcBorders>
              <w:left w:val="nil"/>
              <w:right w:val="nil"/>
            </w:tcBorders>
            <w:shd w:val="clear" w:color="auto" w:fill="auto"/>
            <w:vAlign w:val="bottom"/>
          </w:tcPr>
          <w:p w:rsidR="00CB06AA" w:rsidRPr="00CD3A2D" w:rsidRDefault="00CB06AA" w:rsidP="003C6BA3">
            <w:pPr>
              <w:pStyle w:val="Thick"/>
              <w:tabs>
                <w:tab w:val="clear" w:pos="1202"/>
                <w:tab w:val="decimal" w:pos="1015"/>
              </w:tabs>
              <w:spacing w:line="240" w:lineRule="auto"/>
              <w:jc w:val="right"/>
              <w:rPr>
                <w:rFonts w:asciiTheme="minorHAnsi" w:hAnsiTheme="minorHAnsi" w:cstheme="minorHAnsi"/>
                <w:b w:val="0"/>
                <w:sz w:val="18"/>
                <w:szCs w:val="18"/>
                <w:u w:val="none"/>
                <w:lang w:val="hr-HR"/>
              </w:rPr>
            </w:pPr>
            <w:r w:rsidRPr="001567C8">
              <w:rPr>
                <w:rFonts w:asciiTheme="minorHAnsi" w:hAnsiTheme="minorHAnsi" w:cstheme="minorHAnsi"/>
                <w:b w:val="0"/>
                <w:iCs/>
                <w:sz w:val="18"/>
                <w:szCs w:val="18"/>
                <w:u w:val="none"/>
                <w:lang w:val="hr-HR"/>
              </w:rPr>
              <w:t>28.254</w:t>
            </w:r>
          </w:p>
        </w:tc>
        <w:tc>
          <w:tcPr>
            <w:tcW w:w="625" w:type="pct"/>
            <w:tcBorders>
              <w:left w:val="nil"/>
              <w:right w:val="nil"/>
            </w:tcBorders>
            <w:shd w:val="clear" w:color="auto" w:fill="auto"/>
            <w:vAlign w:val="bottom"/>
          </w:tcPr>
          <w:p w:rsidR="00CB06AA" w:rsidRPr="00CD3A2D" w:rsidRDefault="00CB06AA" w:rsidP="003C6BA3">
            <w:pPr>
              <w:pStyle w:val="Thick"/>
              <w:tabs>
                <w:tab w:val="clear" w:pos="1202"/>
                <w:tab w:val="decimal" w:pos="1015"/>
              </w:tabs>
              <w:spacing w:line="240" w:lineRule="auto"/>
              <w:jc w:val="right"/>
              <w:rPr>
                <w:rFonts w:asciiTheme="minorHAnsi" w:hAnsiTheme="minorHAnsi" w:cstheme="minorHAnsi"/>
                <w:b w:val="0"/>
                <w:sz w:val="18"/>
                <w:szCs w:val="18"/>
                <w:u w:val="none"/>
                <w:lang w:val="hr-HR"/>
              </w:rPr>
            </w:pPr>
            <w:r w:rsidRPr="001567C8">
              <w:rPr>
                <w:rFonts w:asciiTheme="minorHAnsi" w:hAnsiTheme="minorHAnsi" w:cstheme="minorHAnsi"/>
                <w:b w:val="0"/>
                <w:iCs/>
                <w:sz w:val="18"/>
                <w:szCs w:val="18"/>
                <w:u w:val="none"/>
                <w:lang w:val="hr-HR"/>
              </w:rPr>
              <w:t>(2</w:t>
            </w:r>
            <w:r w:rsidR="00CA459D" w:rsidRPr="001567C8">
              <w:rPr>
                <w:rFonts w:asciiTheme="minorHAnsi" w:hAnsiTheme="minorHAnsi" w:cstheme="minorHAnsi"/>
                <w:b w:val="0"/>
                <w:iCs/>
                <w:sz w:val="18"/>
                <w:szCs w:val="18"/>
                <w:u w:val="none"/>
                <w:lang w:val="hr-HR"/>
              </w:rPr>
              <w:t>3</w:t>
            </w:r>
            <w:r w:rsidRPr="001567C8">
              <w:rPr>
                <w:rFonts w:asciiTheme="minorHAnsi" w:hAnsiTheme="minorHAnsi" w:cstheme="minorHAnsi"/>
                <w:b w:val="0"/>
                <w:iCs/>
                <w:sz w:val="18"/>
                <w:szCs w:val="18"/>
                <w:u w:val="none"/>
                <w:lang w:val="hr-HR"/>
              </w:rPr>
              <w:t>.</w:t>
            </w:r>
            <w:r w:rsidR="00C87A52" w:rsidRPr="001567C8">
              <w:rPr>
                <w:rFonts w:asciiTheme="minorHAnsi" w:hAnsiTheme="minorHAnsi" w:cstheme="minorHAnsi"/>
                <w:b w:val="0"/>
                <w:iCs/>
                <w:sz w:val="18"/>
                <w:szCs w:val="18"/>
                <w:u w:val="none"/>
                <w:lang w:val="hr-HR"/>
              </w:rPr>
              <w:t>966</w:t>
            </w:r>
            <w:r w:rsidRPr="001567C8">
              <w:rPr>
                <w:rFonts w:asciiTheme="minorHAnsi" w:hAnsiTheme="minorHAnsi" w:cstheme="minorHAnsi"/>
                <w:b w:val="0"/>
                <w:iCs/>
                <w:sz w:val="18"/>
                <w:szCs w:val="18"/>
                <w:u w:val="none"/>
                <w:lang w:val="hr-HR"/>
              </w:rPr>
              <w:t>)</w:t>
            </w:r>
          </w:p>
        </w:tc>
        <w:tc>
          <w:tcPr>
            <w:tcW w:w="694" w:type="pct"/>
            <w:tcBorders>
              <w:left w:val="nil"/>
              <w:right w:val="nil"/>
            </w:tcBorders>
            <w:shd w:val="clear" w:color="auto" w:fill="auto"/>
            <w:vAlign w:val="bottom"/>
          </w:tcPr>
          <w:p w:rsidR="00CB06AA" w:rsidRPr="00CD3A2D" w:rsidRDefault="00CB06AA" w:rsidP="003C6BA3">
            <w:pPr>
              <w:pStyle w:val="TT"/>
              <w:spacing w:line="240" w:lineRule="auto"/>
              <w:jc w:val="right"/>
              <w:rPr>
                <w:rFonts w:asciiTheme="minorHAnsi" w:hAnsiTheme="minorHAnsi" w:cstheme="minorHAnsi"/>
                <w:sz w:val="18"/>
                <w:szCs w:val="18"/>
                <w:lang w:val="hr-HR"/>
              </w:rPr>
            </w:pPr>
            <w:r w:rsidRPr="001567C8">
              <w:rPr>
                <w:rFonts w:asciiTheme="minorHAnsi" w:hAnsiTheme="minorHAnsi" w:cstheme="minorHAnsi"/>
                <w:iCs/>
                <w:sz w:val="18"/>
                <w:szCs w:val="18"/>
                <w:lang w:val="hr-HR"/>
              </w:rPr>
              <w:t>-</w:t>
            </w:r>
          </w:p>
        </w:tc>
        <w:tc>
          <w:tcPr>
            <w:tcW w:w="555" w:type="pct"/>
            <w:tcBorders>
              <w:left w:val="nil"/>
              <w:right w:val="nil"/>
            </w:tcBorders>
            <w:vAlign w:val="bottom"/>
          </w:tcPr>
          <w:p w:rsidR="00CB06AA" w:rsidRPr="001567C8" w:rsidRDefault="00937F4C">
            <w:pPr>
              <w:pStyle w:val="TT"/>
              <w:spacing w:line="240" w:lineRule="auto"/>
              <w:jc w:val="right"/>
              <w:rPr>
                <w:rFonts w:asciiTheme="minorHAnsi" w:hAnsiTheme="minorHAnsi" w:cstheme="minorHAnsi"/>
                <w:iCs/>
                <w:sz w:val="18"/>
                <w:szCs w:val="18"/>
                <w:lang w:val="hr-HR"/>
              </w:rPr>
            </w:pPr>
            <w:r w:rsidRPr="001567C8">
              <w:rPr>
                <w:rFonts w:asciiTheme="minorHAnsi" w:hAnsiTheme="minorHAnsi" w:cstheme="minorHAnsi"/>
                <w:iCs/>
                <w:sz w:val="18"/>
                <w:szCs w:val="18"/>
                <w:lang w:val="hr-HR"/>
              </w:rPr>
              <w:t>-</w:t>
            </w:r>
          </w:p>
        </w:tc>
        <w:tc>
          <w:tcPr>
            <w:tcW w:w="693" w:type="pct"/>
            <w:tcBorders>
              <w:left w:val="nil"/>
              <w:right w:val="nil"/>
            </w:tcBorders>
            <w:shd w:val="clear" w:color="auto" w:fill="auto"/>
            <w:vAlign w:val="bottom"/>
          </w:tcPr>
          <w:p w:rsidR="00CB06AA" w:rsidRPr="00CD3A2D" w:rsidRDefault="00C87A52" w:rsidP="003C6BA3">
            <w:pPr>
              <w:pStyle w:val="TT"/>
              <w:spacing w:line="240" w:lineRule="auto"/>
              <w:jc w:val="right"/>
              <w:rPr>
                <w:rFonts w:asciiTheme="minorHAnsi" w:hAnsiTheme="minorHAnsi" w:cstheme="minorHAnsi"/>
                <w:b/>
                <w:sz w:val="18"/>
                <w:szCs w:val="18"/>
                <w:lang w:val="hr-HR"/>
              </w:rPr>
            </w:pPr>
            <w:r w:rsidRPr="001567C8">
              <w:rPr>
                <w:rFonts w:asciiTheme="minorHAnsi" w:hAnsiTheme="minorHAnsi" w:cstheme="minorHAnsi"/>
                <w:b/>
                <w:iCs/>
                <w:sz w:val="18"/>
                <w:szCs w:val="18"/>
                <w:lang w:val="hr-HR"/>
              </w:rPr>
              <w:t>4.288</w:t>
            </w:r>
          </w:p>
        </w:tc>
      </w:tr>
      <w:tr w:rsidR="008A1EEE" w:rsidRPr="001567C8" w:rsidTr="003C6BA3">
        <w:trPr>
          <w:trHeight w:val="239"/>
        </w:trPr>
        <w:tc>
          <w:tcPr>
            <w:tcW w:w="1318" w:type="pct"/>
            <w:vAlign w:val="bottom"/>
          </w:tcPr>
          <w:p w:rsidR="00CB06AA" w:rsidRPr="001567C8" w:rsidRDefault="00CB06AA" w:rsidP="003C6BA3">
            <w:pPr>
              <w:pStyle w:val="TT"/>
              <w:spacing w:line="240" w:lineRule="auto"/>
              <w:rPr>
                <w:rFonts w:asciiTheme="minorHAnsi" w:hAnsiTheme="minorHAnsi" w:cstheme="minorHAnsi"/>
                <w:iCs/>
                <w:sz w:val="18"/>
                <w:szCs w:val="18"/>
                <w:lang w:val="hr-HR"/>
              </w:rPr>
            </w:pPr>
            <w:r w:rsidRPr="001567C8">
              <w:rPr>
                <w:rFonts w:asciiTheme="minorHAnsi" w:hAnsiTheme="minorHAnsi" w:cstheme="minorHAnsi"/>
                <w:iCs/>
                <w:sz w:val="18"/>
                <w:szCs w:val="18"/>
                <w:lang w:val="hr-HR"/>
              </w:rPr>
              <w:t>Ostala usklađenja</w:t>
            </w:r>
          </w:p>
        </w:tc>
        <w:tc>
          <w:tcPr>
            <w:tcW w:w="559" w:type="pct"/>
            <w:tcBorders>
              <w:left w:val="nil"/>
              <w:bottom w:val="single" w:sz="4" w:space="0" w:color="auto"/>
              <w:right w:val="nil"/>
            </w:tcBorders>
            <w:shd w:val="clear" w:color="auto" w:fill="auto"/>
            <w:vAlign w:val="bottom"/>
          </w:tcPr>
          <w:p w:rsidR="00CB06AA" w:rsidRPr="001567C8" w:rsidRDefault="00CB06AA" w:rsidP="003C6BA3">
            <w:pPr>
              <w:pStyle w:val="Thick"/>
              <w:tabs>
                <w:tab w:val="clear" w:pos="1202"/>
                <w:tab w:val="decimal" w:pos="1015"/>
              </w:tabs>
              <w:spacing w:line="240" w:lineRule="auto"/>
              <w:jc w:val="right"/>
              <w:rPr>
                <w:rFonts w:asciiTheme="minorHAnsi" w:hAnsiTheme="minorHAnsi" w:cstheme="minorHAnsi"/>
                <w:b w:val="0"/>
                <w:iCs/>
                <w:sz w:val="18"/>
                <w:szCs w:val="18"/>
                <w:u w:val="none"/>
                <w:lang w:val="hr-HR"/>
              </w:rPr>
            </w:pPr>
            <w:r w:rsidRPr="001567C8">
              <w:rPr>
                <w:rFonts w:asciiTheme="minorHAnsi" w:hAnsiTheme="minorHAnsi" w:cstheme="minorHAnsi"/>
                <w:b w:val="0"/>
                <w:iCs/>
                <w:sz w:val="18"/>
                <w:szCs w:val="18"/>
                <w:u w:val="none"/>
                <w:lang w:val="hr-HR"/>
              </w:rPr>
              <w:t>-</w:t>
            </w:r>
          </w:p>
        </w:tc>
        <w:tc>
          <w:tcPr>
            <w:tcW w:w="555" w:type="pct"/>
            <w:tcBorders>
              <w:left w:val="nil"/>
              <w:bottom w:val="single" w:sz="4" w:space="0" w:color="auto"/>
              <w:right w:val="nil"/>
            </w:tcBorders>
            <w:shd w:val="clear" w:color="auto" w:fill="auto"/>
            <w:vAlign w:val="bottom"/>
          </w:tcPr>
          <w:p w:rsidR="00CB06AA" w:rsidRPr="001567C8" w:rsidRDefault="00CB06AA" w:rsidP="003C6BA3">
            <w:pPr>
              <w:pStyle w:val="Thick"/>
              <w:tabs>
                <w:tab w:val="clear" w:pos="1202"/>
                <w:tab w:val="decimal" w:pos="1015"/>
              </w:tabs>
              <w:spacing w:line="240" w:lineRule="auto"/>
              <w:jc w:val="right"/>
              <w:rPr>
                <w:rFonts w:asciiTheme="minorHAnsi" w:hAnsiTheme="minorHAnsi" w:cstheme="minorHAnsi"/>
                <w:b w:val="0"/>
                <w:iCs/>
                <w:sz w:val="18"/>
                <w:szCs w:val="18"/>
                <w:u w:val="none"/>
                <w:lang w:val="hr-HR"/>
              </w:rPr>
            </w:pPr>
            <w:r w:rsidRPr="001567C8">
              <w:rPr>
                <w:rFonts w:asciiTheme="minorHAnsi" w:hAnsiTheme="minorHAnsi" w:cstheme="minorHAnsi"/>
                <w:b w:val="0"/>
                <w:iCs/>
                <w:sz w:val="18"/>
                <w:szCs w:val="18"/>
                <w:u w:val="none"/>
                <w:lang w:val="hr-HR"/>
              </w:rPr>
              <w:t>(331)</w:t>
            </w:r>
          </w:p>
        </w:tc>
        <w:tc>
          <w:tcPr>
            <w:tcW w:w="625" w:type="pct"/>
            <w:tcBorders>
              <w:left w:val="nil"/>
              <w:bottom w:val="single" w:sz="4" w:space="0" w:color="auto"/>
              <w:right w:val="nil"/>
            </w:tcBorders>
            <w:shd w:val="clear" w:color="auto" w:fill="auto"/>
            <w:vAlign w:val="bottom"/>
          </w:tcPr>
          <w:p w:rsidR="00CB06AA" w:rsidRPr="001567C8" w:rsidRDefault="00CB06AA" w:rsidP="003C6BA3">
            <w:pPr>
              <w:pStyle w:val="Thick"/>
              <w:tabs>
                <w:tab w:val="clear" w:pos="1202"/>
                <w:tab w:val="decimal" w:pos="1015"/>
              </w:tabs>
              <w:spacing w:line="240" w:lineRule="auto"/>
              <w:jc w:val="right"/>
              <w:rPr>
                <w:rFonts w:asciiTheme="minorHAnsi" w:hAnsiTheme="minorHAnsi" w:cstheme="minorHAnsi"/>
                <w:b w:val="0"/>
                <w:iCs/>
                <w:sz w:val="18"/>
                <w:szCs w:val="18"/>
                <w:u w:val="none"/>
                <w:lang w:val="hr-HR"/>
              </w:rPr>
            </w:pPr>
            <w:r w:rsidRPr="001567C8">
              <w:rPr>
                <w:rFonts w:asciiTheme="minorHAnsi" w:hAnsiTheme="minorHAnsi" w:cstheme="minorHAnsi"/>
                <w:b w:val="0"/>
                <w:iCs/>
                <w:sz w:val="18"/>
                <w:szCs w:val="18"/>
                <w:u w:val="none"/>
                <w:lang w:val="hr-HR"/>
              </w:rPr>
              <w:t>-</w:t>
            </w:r>
          </w:p>
        </w:tc>
        <w:tc>
          <w:tcPr>
            <w:tcW w:w="694" w:type="pct"/>
            <w:tcBorders>
              <w:left w:val="nil"/>
              <w:bottom w:val="single" w:sz="4" w:space="0" w:color="auto"/>
              <w:right w:val="nil"/>
            </w:tcBorders>
            <w:shd w:val="clear" w:color="auto" w:fill="auto"/>
            <w:vAlign w:val="bottom"/>
          </w:tcPr>
          <w:p w:rsidR="00CB06AA" w:rsidRPr="001567C8" w:rsidRDefault="00CB06AA" w:rsidP="003C6BA3">
            <w:pPr>
              <w:pStyle w:val="TT"/>
              <w:spacing w:line="240" w:lineRule="auto"/>
              <w:jc w:val="right"/>
              <w:rPr>
                <w:rFonts w:asciiTheme="minorHAnsi" w:hAnsiTheme="minorHAnsi" w:cstheme="minorHAnsi"/>
                <w:iCs/>
                <w:sz w:val="18"/>
                <w:szCs w:val="18"/>
                <w:lang w:val="hr-HR"/>
              </w:rPr>
            </w:pPr>
            <w:r w:rsidRPr="001567C8">
              <w:rPr>
                <w:rFonts w:asciiTheme="minorHAnsi" w:hAnsiTheme="minorHAnsi" w:cstheme="minorHAnsi"/>
                <w:iCs/>
                <w:sz w:val="18"/>
                <w:szCs w:val="18"/>
                <w:lang w:val="hr-HR"/>
              </w:rPr>
              <w:t>-</w:t>
            </w:r>
          </w:p>
        </w:tc>
        <w:tc>
          <w:tcPr>
            <w:tcW w:w="555" w:type="pct"/>
            <w:tcBorders>
              <w:left w:val="nil"/>
              <w:bottom w:val="single" w:sz="4" w:space="0" w:color="auto"/>
              <w:right w:val="nil"/>
            </w:tcBorders>
            <w:vAlign w:val="bottom"/>
          </w:tcPr>
          <w:p w:rsidR="00CB06AA" w:rsidRPr="001567C8" w:rsidRDefault="00937F4C">
            <w:pPr>
              <w:pStyle w:val="TT"/>
              <w:spacing w:line="240" w:lineRule="auto"/>
              <w:jc w:val="right"/>
              <w:rPr>
                <w:rFonts w:asciiTheme="minorHAnsi" w:hAnsiTheme="minorHAnsi" w:cstheme="minorHAnsi"/>
                <w:iCs/>
                <w:sz w:val="18"/>
                <w:szCs w:val="18"/>
                <w:lang w:val="hr-HR"/>
              </w:rPr>
            </w:pPr>
            <w:r w:rsidRPr="001567C8">
              <w:rPr>
                <w:rFonts w:asciiTheme="minorHAnsi" w:hAnsiTheme="minorHAnsi" w:cstheme="minorHAnsi"/>
                <w:iCs/>
                <w:sz w:val="18"/>
                <w:szCs w:val="18"/>
                <w:lang w:val="hr-HR"/>
              </w:rPr>
              <w:t>-</w:t>
            </w:r>
          </w:p>
        </w:tc>
        <w:tc>
          <w:tcPr>
            <w:tcW w:w="693" w:type="pct"/>
            <w:tcBorders>
              <w:left w:val="nil"/>
              <w:bottom w:val="single" w:sz="4" w:space="0" w:color="auto"/>
              <w:right w:val="nil"/>
            </w:tcBorders>
            <w:shd w:val="clear" w:color="auto" w:fill="auto"/>
            <w:vAlign w:val="bottom"/>
          </w:tcPr>
          <w:p w:rsidR="00CB06AA" w:rsidRPr="001567C8" w:rsidRDefault="00CB06AA" w:rsidP="003C6BA3">
            <w:pPr>
              <w:pStyle w:val="TT"/>
              <w:spacing w:line="240" w:lineRule="auto"/>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(331)</w:t>
            </w:r>
          </w:p>
        </w:tc>
      </w:tr>
      <w:tr w:rsidR="008A1EEE" w:rsidRPr="001567C8" w:rsidTr="003C6BA3">
        <w:trPr>
          <w:trHeight w:hRule="exact" w:val="397"/>
        </w:trPr>
        <w:tc>
          <w:tcPr>
            <w:tcW w:w="1318" w:type="pct"/>
            <w:vAlign w:val="bottom"/>
          </w:tcPr>
          <w:p w:rsidR="00CB06AA" w:rsidRPr="001567C8" w:rsidRDefault="00CB06AA" w:rsidP="003C6BA3">
            <w:pPr>
              <w:pStyle w:val="TT"/>
              <w:spacing w:line="240" w:lineRule="auto"/>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Stanje 1. siječnja 2018. godine</w:t>
            </w:r>
          </w:p>
        </w:tc>
        <w:tc>
          <w:tcPr>
            <w:tcW w:w="559" w:type="pct"/>
            <w:tcBorders>
              <w:top w:val="single" w:sz="4" w:space="0" w:color="auto"/>
              <w:left w:val="nil"/>
              <w:bottom w:val="single" w:sz="12" w:space="0" w:color="auto"/>
              <w:right w:val="nil"/>
            </w:tcBorders>
            <w:shd w:val="clear" w:color="auto" w:fill="auto"/>
            <w:vAlign w:val="bottom"/>
          </w:tcPr>
          <w:p w:rsidR="00CB06AA" w:rsidRPr="001567C8" w:rsidRDefault="00CB06AA" w:rsidP="003C6BA3">
            <w:pPr>
              <w:pStyle w:val="Thick"/>
              <w:tabs>
                <w:tab w:val="clear" w:pos="1202"/>
                <w:tab w:val="decimal" w:pos="1015"/>
              </w:tabs>
              <w:spacing w:line="240" w:lineRule="auto"/>
              <w:jc w:val="right"/>
              <w:rPr>
                <w:rFonts w:asciiTheme="minorHAnsi" w:hAnsiTheme="minorHAnsi" w:cstheme="minorHAnsi"/>
                <w:iCs/>
                <w:sz w:val="18"/>
                <w:szCs w:val="18"/>
                <w:u w:val="none"/>
                <w:lang w:val="hr-HR"/>
              </w:rPr>
            </w:pPr>
            <w:r w:rsidRPr="001567C8">
              <w:rPr>
                <w:rFonts w:asciiTheme="minorHAnsi" w:hAnsiTheme="minorHAnsi" w:cstheme="minorHAnsi"/>
                <w:iCs/>
                <w:sz w:val="18"/>
                <w:szCs w:val="18"/>
                <w:u w:val="none"/>
                <w:lang w:val="hr-HR"/>
              </w:rPr>
              <w:t>7.009.632</w:t>
            </w:r>
          </w:p>
        </w:tc>
        <w:tc>
          <w:tcPr>
            <w:tcW w:w="555" w:type="pct"/>
            <w:tcBorders>
              <w:top w:val="single" w:sz="4" w:space="0" w:color="auto"/>
              <w:left w:val="nil"/>
              <w:bottom w:val="single" w:sz="12" w:space="0" w:color="auto"/>
              <w:right w:val="nil"/>
            </w:tcBorders>
            <w:shd w:val="clear" w:color="auto" w:fill="auto"/>
            <w:vAlign w:val="bottom"/>
          </w:tcPr>
          <w:p w:rsidR="00CB06AA" w:rsidRPr="001567C8" w:rsidRDefault="00CB06AA" w:rsidP="003C6BA3">
            <w:pPr>
              <w:pStyle w:val="Thick"/>
              <w:tabs>
                <w:tab w:val="clear" w:pos="1202"/>
                <w:tab w:val="decimal" w:pos="1015"/>
              </w:tabs>
              <w:spacing w:line="240" w:lineRule="auto"/>
              <w:jc w:val="right"/>
              <w:rPr>
                <w:rFonts w:asciiTheme="minorHAnsi" w:hAnsiTheme="minorHAnsi" w:cstheme="minorHAnsi"/>
                <w:iCs/>
                <w:sz w:val="18"/>
                <w:szCs w:val="18"/>
                <w:u w:val="none"/>
                <w:lang w:val="hr-HR"/>
              </w:rPr>
            </w:pPr>
            <w:r w:rsidRPr="001567C8">
              <w:rPr>
                <w:rFonts w:asciiTheme="minorHAnsi" w:hAnsiTheme="minorHAnsi" w:cstheme="minorHAnsi"/>
                <w:iCs/>
                <w:sz w:val="18"/>
                <w:szCs w:val="18"/>
                <w:u w:val="none"/>
                <w:lang w:val="hr-HR"/>
              </w:rPr>
              <w:t>2.554.917</w:t>
            </w:r>
          </w:p>
        </w:tc>
        <w:tc>
          <w:tcPr>
            <w:tcW w:w="625" w:type="pct"/>
            <w:tcBorders>
              <w:top w:val="single" w:sz="4" w:space="0" w:color="auto"/>
              <w:left w:val="nil"/>
              <w:bottom w:val="single" w:sz="12" w:space="0" w:color="auto"/>
              <w:right w:val="nil"/>
            </w:tcBorders>
            <w:shd w:val="clear" w:color="auto" w:fill="auto"/>
            <w:vAlign w:val="bottom"/>
          </w:tcPr>
          <w:p w:rsidR="00CB06AA" w:rsidRPr="001567C8" w:rsidRDefault="00CB06AA" w:rsidP="003C6BA3">
            <w:pPr>
              <w:pStyle w:val="Thick"/>
              <w:tabs>
                <w:tab w:val="clear" w:pos="1202"/>
                <w:tab w:val="decimal" w:pos="1015"/>
              </w:tabs>
              <w:spacing w:line="240" w:lineRule="auto"/>
              <w:jc w:val="right"/>
              <w:rPr>
                <w:rFonts w:asciiTheme="minorHAnsi" w:hAnsiTheme="minorHAnsi" w:cstheme="minorHAnsi"/>
                <w:iCs/>
                <w:sz w:val="18"/>
                <w:szCs w:val="18"/>
                <w:u w:val="none"/>
                <w:lang w:val="hr-HR"/>
              </w:rPr>
            </w:pPr>
            <w:r w:rsidRPr="001567C8">
              <w:rPr>
                <w:rFonts w:asciiTheme="minorHAnsi" w:hAnsiTheme="minorHAnsi" w:cstheme="minorHAnsi"/>
                <w:iCs/>
                <w:sz w:val="18"/>
                <w:szCs w:val="18"/>
                <w:u w:val="none"/>
                <w:lang w:val="hr-HR"/>
              </w:rPr>
              <w:t>70.717</w:t>
            </w:r>
          </w:p>
        </w:tc>
        <w:tc>
          <w:tcPr>
            <w:tcW w:w="694" w:type="pct"/>
            <w:tcBorders>
              <w:top w:val="single" w:sz="4" w:space="0" w:color="auto"/>
              <w:left w:val="nil"/>
              <w:bottom w:val="single" w:sz="12" w:space="0" w:color="auto"/>
              <w:right w:val="nil"/>
            </w:tcBorders>
            <w:shd w:val="clear" w:color="auto" w:fill="auto"/>
            <w:vAlign w:val="bottom"/>
          </w:tcPr>
          <w:p w:rsidR="00CB06AA" w:rsidRPr="001567C8" w:rsidRDefault="00CB06AA" w:rsidP="003C6BA3">
            <w:pPr>
              <w:pStyle w:val="TT"/>
              <w:spacing w:line="240" w:lineRule="auto"/>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162.201</w:t>
            </w:r>
          </w:p>
        </w:tc>
        <w:tc>
          <w:tcPr>
            <w:tcW w:w="555" w:type="pct"/>
            <w:tcBorders>
              <w:top w:val="single" w:sz="4" w:space="0" w:color="auto"/>
              <w:left w:val="nil"/>
              <w:bottom w:val="single" w:sz="12" w:space="0" w:color="auto"/>
              <w:right w:val="nil"/>
            </w:tcBorders>
            <w:vAlign w:val="bottom"/>
          </w:tcPr>
          <w:p w:rsidR="00CB06AA" w:rsidRPr="001567C8" w:rsidRDefault="00937F4C">
            <w:pPr>
              <w:pStyle w:val="TT"/>
              <w:spacing w:line="240" w:lineRule="auto"/>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12.303</w:t>
            </w:r>
          </w:p>
        </w:tc>
        <w:tc>
          <w:tcPr>
            <w:tcW w:w="693" w:type="pct"/>
            <w:tcBorders>
              <w:top w:val="single" w:sz="4" w:space="0" w:color="auto"/>
              <w:left w:val="nil"/>
              <w:bottom w:val="single" w:sz="12" w:space="0" w:color="auto"/>
              <w:right w:val="nil"/>
            </w:tcBorders>
            <w:shd w:val="clear" w:color="auto" w:fill="auto"/>
            <w:vAlign w:val="bottom"/>
          </w:tcPr>
          <w:p w:rsidR="00CB06AA" w:rsidRPr="001567C8" w:rsidRDefault="00CB06AA" w:rsidP="003C6BA3">
            <w:pPr>
              <w:pStyle w:val="TT"/>
              <w:spacing w:line="240" w:lineRule="auto"/>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9.</w:t>
            </w:r>
            <w:r w:rsidR="00937F4C" w:rsidRPr="001567C8">
              <w:rPr>
                <w:rFonts w:asciiTheme="minorHAnsi" w:hAnsiTheme="minorHAnsi" w:cstheme="minorHAnsi"/>
                <w:b/>
                <w:iCs/>
                <w:sz w:val="18"/>
                <w:szCs w:val="18"/>
                <w:lang w:val="hr-HR"/>
              </w:rPr>
              <w:t>809</w:t>
            </w:r>
            <w:r w:rsidRPr="001567C8">
              <w:rPr>
                <w:rFonts w:asciiTheme="minorHAnsi" w:hAnsiTheme="minorHAnsi" w:cstheme="minorHAnsi"/>
                <w:b/>
                <w:iCs/>
                <w:sz w:val="18"/>
                <w:szCs w:val="18"/>
                <w:lang w:val="hr-HR"/>
              </w:rPr>
              <w:t>.</w:t>
            </w:r>
            <w:r w:rsidR="00937F4C" w:rsidRPr="001567C8">
              <w:rPr>
                <w:rFonts w:asciiTheme="minorHAnsi" w:hAnsiTheme="minorHAnsi" w:cstheme="minorHAnsi"/>
                <w:b/>
                <w:iCs/>
                <w:sz w:val="18"/>
                <w:szCs w:val="18"/>
                <w:lang w:val="hr-HR"/>
              </w:rPr>
              <w:t>770</w:t>
            </w:r>
          </w:p>
        </w:tc>
      </w:tr>
      <w:tr w:rsidR="00A4531B" w:rsidRPr="001567C8" w:rsidTr="003C6BA3">
        <w:trPr>
          <w:trHeight w:val="443"/>
        </w:trPr>
        <w:tc>
          <w:tcPr>
            <w:tcW w:w="1318" w:type="pct"/>
            <w:vAlign w:val="bottom"/>
          </w:tcPr>
          <w:p w:rsidR="00A4531B" w:rsidRPr="001567C8" w:rsidRDefault="00A4531B" w:rsidP="00A4531B">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Dobit tekuće godine</w:t>
            </w:r>
          </w:p>
        </w:tc>
        <w:tc>
          <w:tcPr>
            <w:tcW w:w="559" w:type="pct"/>
            <w:vAlign w:val="bottom"/>
          </w:tcPr>
          <w:p w:rsidR="00A4531B" w:rsidRPr="00CD3A2D" w:rsidDel="003A48C1" w:rsidRDefault="00A4531B" w:rsidP="003C6BA3">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55" w:type="pct"/>
            <w:vAlign w:val="bottom"/>
          </w:tcPr>
          <w:p w:rsidR="00A4531B" w:rsidRPr="00CD3A2D" w:rsidDel="003A48C1" w:rsidRDefault="00A4531B" w:rsidP="003C6BA3">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625" w:type="pct"/>
            <w:vAlign w:val="bottom"/>
          </w:tcPr>
          <w:p w:rsidR="00A4531B" w:rsidRPr="00CD3A2D" w:rsidDel="003A48C1" w:rsidRDefault="00A4531B" w:rsidP="003C6BA3">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694" w:type="pct"/>
            <w:vAlign w:val="bottom"/>
          </w:tcPr>
          <w:p w:rsidR="00A4531B" w:rsidRPr="00CD3A2D" w:rsidDel="003A48C1" w:rsidRDefault="00A4531B" w:rsidP="00A4531B">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204.737 </w:t>
            </w:r>
          </w:p>
        </w:tc>
        <w:tc>
          <w:tcPr>
            <w:tcW w:w="555" w:type="pct"/>
            <w:vAlign w:val="bottom"/>
          </w:tcPr>
          <w:p w:rsidR="00A4531B" w:rsidRPr="00CD3A2D" w:rsidDel="003A48C1" w:rsidRDefault="00A4531B" w:rsidP="00A4531B">
            <w:pPr>
              <w:pStyle w:val="TT"/>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693" w:type="pct"/>
            <w:vAlign w:val="bottom"/>
          </w:tcPr>
          <w:p w:rsidR="00A4531B" w:rsidRPr="00CD3A2D" w:rsidDel="003A48C1" w:rsidRDefault="00A4531B" w:rsidP="00A4531B">
            <w:pPr>
              <w:pStyle w:val="TT"/>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 xml:space="preserve"> 204.737 </w:t>
            </w:r>
          </w:p>
        </w:tc>
      </w:tr>
      <w:tr w:rsidR="00A4531B" w:rsidRPr="001567C8" w:rsidTr="003C6BA3">
        <w:trPr>
          <w:trHeight w:val="276"/>
        </w:trPr>
        <w:tc>
          <w:tcPr>
            <w:tcW w:w="1318" w:type="pct"/>
            <w:vAlign w:val="bottom"/>
          </w:tcPr>
          <w:p w:rsidR="00A4531B" w:rsidRPr="001567C8" w:rsidRDefault="00A4531B" w:rsidP="00A4531B">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Ostala sveobuhvatna dobit</w:t>
            </w:r>
          </w:p>
        </w:tc>
        <w:tc>
          <w:tcPr>
            <w:tcW w:w="559" w:type="pct"/>
            <w:tcBorders>
              <w:bottom w:val="single" w:sz="4" w:space="0" w:color="auto"/>
            </w:tcBorders>
            <w:vAlign w:val="bottom"/>
          </w:tcPr>
          <w:p w:rsidR="00A4531B" w:rsidRPr="001567C8" w:rsidRDefault="00A4531B" w:rsidP="003C6BA3">
            <w:pPr>
              <w:pStyle w:val="TT"/>
              <w:spacing w:line="240" w:lineRule="exact"/>
              <w:jc w:val="right"/>
              <w:rPr>
                <w:rFonts w:asciiTheme="minorHAnsi" w:hAnsiTheme="minorHAnsi" w:cstheme="minorHAnsi"/>
                <w:b/>
                <w:iCs/>
                <w:sz w:val="18"/>
                <w:szCs w:val="18"/>
                <w:lang w:val="hr-HR"/>
              </w:rPr>
            </w:pPr>
            <w:r w:rsidRPr="001567C8">
              <w:rPr>
                <w:rFonts w:asciiTheme="minorHAnsi" w:hAnsiTheme="minorHAnsi" w:cstheme="minorHAnsi"/>
                <w:iCs/>
                <w:sz w:val="18"/>
                <w:szCs w:val="18"/>
                <w:lang w:val="hr-HR"/>
              </w:rPr>
              <w:t xml:space="preserve"> - </w:t>
            </w:r>
          </w:p>
        </w:tc>
        <w:tc>
          <w:tcPr>
            <w:tcW w:w="555" w:type="pct"/>
            <w:tcBorders>
              <w:bottom w:val="single" w:sz="4" w:space="0" w:color="auto"/>
            </w:tcBorders>
            <w:vAlign w:val="bottom"/>
          </w:tcPr>
          <w:p w:rsidR="00A4531B" w:rsidRPr="001567C8" w:rsidRDefault="00A4531B" w:rsidP="003C6BA3">
            <w:pPr>
              <w:pStyle w:val="TT"/>
              <w:spacing w:line="240" w:lineRule="exact"/>
              <w:jc w:val="right"/>
              <w:rPr>
                <w:rFonts w:asciiTheme="minorHAnsi" w:hAnsiTheme="minorHAnsi" w:cstheme="minorHAnsi"/>
                <w:b/>
                <w:iCs/>
                <w:sz w:val="18"/>
                <w:szCs w:val="18"/>
                <w:lang w:val="hr-HR"/>
              </w:rPr>
            </w:pPr>
            <w:r w:rsidRPr="001567C8">
              <w:rPr>
                <w:rFonts w:asciiTheme="minorHAnsi" w:hAnsiTheme="minorHAnsi" w:cstheme="minorHAnsi"/>
                <w:iCs/>
                <w:sz w:val="18"/>
                <w:szCs w:val="18"/>
                <w:lang w:val="hr-HR"/>
              </w:rPr>
              <w:t xml:space="preserve"> - </w:t>
            </w:r>
          </w:p>
        </w:tc>
        <w:tc>
          <w:tcPr>
            <w:tcW w:w="625" w:type="pct"/>
            <w:tcBorders>
              <w:bottom w:val="single" w:sz="4" w:space="0" w:color="auto"/>
            </w:tcBorders>
            <w:vAlign w:val="bottom"/>
          </w:tcPr>
          <w:p w:rsidR="00A4531B" w:rsidRPr="001567C8" w:rsidRDefault="00A4531B" w:rsidP="003C6BA3">
            <w:pPr>
              <w:pStyle w:val="TT"/>
              <w:spacing w:line="240" w:lineRule="exact"/>
              <w:jc w:val="right"/>
              <w:rPr>
                <w:rFonts w:asciiTheme="minorHAnsi" w:hAnsiTheme="minorHAnsi" w:cstheme="minorHAnsi"/>
                <w:b/>
                <w:iCs/>
                <w:sz w:val="18"/>
                <w:szCs w:val="18"/>
                <w:lang w:val="hr-HR"/>
              </w:rPr>
            </w:pPr>
            <w:r w:rsidRPr="001567C8">
              <w:rPr>
                <w:rFonts w:asciiTheme="minorHAnsi" w:hAnsiTheme="minorHAnsi" w:cstheme="minorHAnsi"/>
                <w:iCs/>
                <w:sz w:val="18"/>
                <w:szCs w:val="18"/>
                <w:lang w:val="hr-HR"/>
              </w:rPr>
              <w:t xml:space="preserve"> (3.243)</w:t>
            </w:r>
          </w:p>
        </w:tc>
        <w:tc>
          <w:tcPr>
            <w:tcW w:w="694" w:type="pct"/>
            <w:tcBorders>
              <w:bottom w:val="single" w:sz="4" w:space="0" w:color="auto"/>
            </w:tcBorders>
            <w:vAlign w:val="bottom"/>
          </w:tcPr>
          <w:p w:rsidR="00A4531B" w:rsidRPr="001567C8" w:rsidRDefault="00A4531B" w:rsidP="003C6BA3">
            <w:pPr>
              <w:pStyle w:val="TT"/>
              <w:spacing w:line="240" w:lineRule="exact"/>
              <w:jc w:val="right"/>
              <w:rPr>
                <w:rFonts w:asciiTheme="minorHAnsi" w:hAnsiTheme="minorHAnsi" w:cstheme="minorHAnsi"/>
                <w:b/>
                <w:iCs/>
                <w:sz w:val="18"/>
                <w:szCs w:val="18"/>
                <w:lang w:val="hr-HR"/>
              </w:rPr>
            </w:pPr>
            <w:r w:rsidRPr="001567C8">
              <w:rPr>
                <w:rFonts w:asciiTheme="minorHAnsi" w:hAnsiTheme="minorHAnsi" w:cstheme="minorHAnsi"/>
                <w:iCs/>
                <w:sz w:val="18"/>
                <w:szCs w:val="18"/>
                <w:lang w:val="hr-HR"/>
              </w:rPr>
              <w:t xml:space="preserve"> - </w:t>
            </w:r>
          </w:p>
        </w:tc>
        <w:tc>
          <w:tcPr>
            <w:tcW w:w="555" w:type="pct"/>
            <w:tcBorders>
              <w:bottom w:val="single" w:sz="4" w:space="0" w:color="auto"/>
            </w:tcBorders>
            <w:vAlign w:val="bottom"/>
          </w:tcPr>
          <w:p w:rsidR="00A4531B" w:rsidRPr="001567C8" w:rsidDel="003A48C1" w:rsidRDefault="00A4531B" w:rsidP="003C6BA3">
            <w:pPr>
              <w:pStyle w:val="TT"/>
              <w:spacing w:line="240" w:lineRule="exact"/>
              <w:jc w:val="right"/>
              <w:rPr>
                <w:rFonts w:asciiTheme="minorHAnsi" w:hAnsiTheme="minorHAnsi" w:cstheme="minorHAnsi"/>
                <w:iCs/>
                <w:sz w:val="18"/>
                <w:szCs w:val="18"/>
                <w:lang w:val="hr-HR"/>
              </w:rPr>
            </w:pPr>
            <w:r w:rsidRPr="001567C8">
              <w:rPr>
                <w:rFonts w:asciiTheme="minorHAnsi" w:hAnsiTheme="minorHAnsi" w:cstheme="minorHAnsi"/>
                <w:iCs/>
                <w:sz w:val="18"/>
                <w:szCs w:val="18"/>
                <w:lang w:val="hr-HR"/>
              </w:rPr>
              <w:t xml:space="preserve"> - </w:t>
            </w:r>
          </w:p>
        </w:tc>
        <w:tc>
          <w:tcPr>
            <w:tcW w:w="693" w:type="pct"/>
            <w:tcBorders>
              <w:bottom w:val="single" w:sz="4" w:space="0" w:color="auto"/>
            </w:tcBorders>
            <w:vAlign w:val="bottom"/>
          </w:tcPr>
          <w:p w:rsidR="00A4531B" w:rsidRPr="001567C8" w:rsidRDefault="00A4531B" w:rsidP="003C6BA3">
            <w:pPr>
              <w:pStyle w:val="TT"/>
              <w:spacing w:line="240" w:lineRule="exact"/>
              <w:jc w:val="right"/>
              <w:rPr>
                <w:rFonts w:asciiTheme="minorHAnsi" w:hAnsiTheme="minorHAnsi" w:cstheme="minorHAnsi"/>
                <w:b/>
                <w:iCs/>
                <w:sz w:val="18"/>
                <w:szCs w:val="18"/>
                <w:lang w:val="hr-HR"/>
              </w:rPr>
            </w:pPr>
            <w:r w:rsidRPr="001567C8">
              <w:rPr>
                <w:rFonts w:asciiTheme="minorHAnsi" w:hAnsiTheme="minorHAnsi" w:cstheme="minorHAnsi"/>
                <w:b/>
                <w:iCs/>
                <w:sz w:val="18"/>
                <w:szCs w:val="18"/>
                <w:lang w:val="hr-HR"/>
              </w:rPr>
              <w:t xml:space="preserve"> (3.243)</w:t>
            </w:r>
          </w:p>
        </w:tc>
      </w:tr>
      <w:tr w:rsidR="00A4531B" w:rsidRPr="001567C8" w:rsidTr="00C87A52">
        <w:trPr>
          <w:trHeight w:val="76"/>
        </w:trPr>
        <w:tc>
          <w:tcPr>
            <w:tcW w:w="1318" w:type="pct"/>
            <w:vAlign w:val="bottom"/>
          </w:tcPr>
          <w:p w:rsidR="00A4531B" w:rsidRPr="001567C8" w:rsidRDefault="00A4531B" w:rsidP="00A4531B">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Ukupna sveobuhvatna dobit</w:t>
            </w:r>
          </w:p>
        </w:tc>
        <w:tc>
          <w:tcPr>
            <w:tcW w:w="559" w:type="pct"/>
            <w:tcBorders>
              <w:top w:val="nil"/>
              <w:left w:val="nil"/>
              <w:bottom w:val="single" w:sz="4"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iCs/>
                <w:sz w:val="18"/>
                <w:szCs w:val="18"/>
                <w:lang w:val="hr-HR"/>
              </w:rPr>
            </w:pPr>
            <w:r w:rsidRPr="00CD3A2D">
              <w:rPr>
                <w:rFonts w:asciiTheme="minorHAnsi" w:hAnsiTheme="minorHAnsi" w:cstheme="minorHAnsi"/>
                <w:color w:val="000000"/>
                <w:sz w:val="18"/>
                <w:szCs w:val="18"/>
                <w:lang w:val="hr-HR"/>
              </w:rPr>
              <w:t xml:space="preserve"> - </w:t>
            </w:r>
          </w:p>
        </w:tc>
        <w:tc>
          <w:tcPr>
            <w:tcW w:w="555" w:type="pct"/>
            <w:tcBorders>
              <w:top w:val="nil"/>
              <w:left w:val="nil"/>
              <w:bottom w:val="single" w:sz="4"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iCs/>
                <w:sz w:val="18"/>
                <w:szCs w:val="18"/>
                <w:lang w:val="hr-HR"/>
              </w:rPr>
            </w:pPr>
            <w:r w:rsidRPr="00CD3A2D">
              <w:rPr>
                <w:rFonts w:asciiTheme="minorHAnsi" w:hAnsiTheme="minorHAnsi" w:cstheme="minorHAnsi"/>
                <w:color w:val="000000"/>
                <w:sz w:val="18"/>
                <w:szCs w:val="18"/>
                <w:lang w:val="hr-HR"/>
              </w:rPr>
              <w:t xml:space="preserve"> - </w:t>
            </w:r>
          </w:p>
        </w:tc>
        <w:tc>
          <w:tcPr>
            <w:tcW w:w="625" w:type="pct"/>
            <w:tcBorders>
              <w:top w:val="nil"/>
              <w:left w:val="nil"/>
              <w:bottom w:val="single" w:sz="4"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iCs/>
                <w:sz w:val="18"/>
                <w:szCs w:val="18"/>
                <w:lang w:val="hr-HR"/>
              </w:rPr>
            </w:pPr>
            <w:r w:rsidRPr="00CD3A2D">
              <w:rPr>
                <w:rFonts w:asciiTheme="minorHAnsi" w:hAnsiTheme="minorHAnsi" w:cstheme="minorHAnsi"/>
                <w:color w:val="000000"/>
                <w:sz w:val="18"/>
                <w:szCs w:val="18"/>
                <w:lang w:val="hr-HR"/>
              </w:rPr>
              <w:t xml:space="preserve">        (3.243)</w:t>
            </w:r>
          </w:p>
        </w:tc>
        <w:tc>
          <w:tcPr>
            <w:tcW w:w="694" w:type="pct"/>
            <w:tcBorders>
              <w:top w:val="nil"/>
              <w:left w:val="nil"/>
              <w:bottom w:val="single" w:sz="4"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iCs/>
                <w:sz w:val="18"/>
                <w:szCs w:val="18"/>
                <w:lang w:val="hr-HR"/>
              </w:rPr>
            </w:pPr>
            <w:r w:rsidRPr="00CD3A2D">
              <w:rPr>
                <w:rFonts w:asciiTheme="minorHAnsi" w:hAnsiTheme="minorHAnsi" w:cstheme="minorHAnsi"/>
                <w:color w:val="000000"/>
                <w:sz w:val="18"/>
                <w:szCs w:val="18"/>
                <w:lang w:val="hr-HR"/>
              </w:rPr>
              <w:t xml:space="preserve">            204.737 </w:t>
            </w:r>
          </w:p>
        </w:tc>
        <w:tc>
          <w:tcPr>
            <w:tcW w:w="555" w:type="pct"/>
            <w:tcBorders>
              <w:top w:val="nil"/>
              <w:left w:val="nil"/>
              <w:bottom w:val="single" w:sz="4" w:space="0" w:color="auto"/>
              <w:right w:val="nil"/>
            </w:tcBorders>
            <w:shd w:val="clear" w:color="auto" w:fill="auto"/>
            <w:vAlign w:val="bottom"/>
          </w:tcPr>
          <w:p w:rsidR="00A4531B" w:rsidRPr="00CD3A2D" w:rsidDel="003A48C1" w:rsidRDefault="00A4531B" w:rsidP="00A4531B">
            <w:pPr>
              <w:pStyle w:val="TT"/>
              <w:jc w:val="right"/>
              <w:rPr>
                <w:rFonts w:asciiTheme="minorHAnsi" w:hAnsiTheme="minorHAnsi" w:cstheme="minorHAnsi"/>
                <w:b/>
                <w:sz w:val="18"/>
                <w:szCs w:val="18"/>
                <w:lang w:val="hr-HR"/>
              </w:rPr>
            </w:pPr>
            <w:r w:rsidRPr="00CD3A2D">
              <w:rPr>
                <w:rFonts w:asciiTheme="minorHAnsi" w:hAnsiTheme="minorHAnsi" w:cstheme="minorHAnsi"/>
                <w:color w:val="000000"/>
                <w:sz w:val="18"/>
                <w:szCs w:val="18"/>
                <w:lang w:val="hr-HR"/>
              </w:rPr>
              <w:t xml:space="preserve"> - </w:t>
            </w:r>
          </w:p>
        </w:tc>
        <w:tc>
          <w:tcPr>
            <w:tcW w:w="693" w:type="pct"/>
            <w:tcBorders>
              <w:top w:val="nil"/>
              <w:left w:val="nil"/>
              <w:bottom w:val="single" w:sz="4"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b/>
                <w:iCs/>
                <w:sz w:val="18"/>
                <w:szCs w:val="18"/>
                <w:lang w:val="hr-HR"/>
              </w:rPr>
            </w:pPr>
            <w:r w:rsidRPr="00CD3A2D">
              <w:rPr>
                <w:rFonts w:asciiTheme="minorHAnsi" w:hAnsiTheme="minorHAnsi" w:cstheme="minorHAnsi"/>
                <w:b/>
                <w:color w:val="000000"/>
                <w:sz w:val="18"/>
                <w:szCs w:val="18"/>
                <w:lang w:val="hr-HR"/>
              </w:rPr>
              <w:t xml:space="preserve">            201.494 </w:t>
            </w:r>
          </w:p>
        </w:tc>
      </w:tr>
      <w:tr w:rsidR="00A4531B" w:rsidRPr="001567C8" w:rsidTr="003C6BA3">
        <w:trPr>
          <w:trHeight w:val="76"/>
        </w:trPr>
        <w:tc>
          <w:tcPr>
            <w:tcW w:w="1318" w:type="pct"/>
            <w:vAlign w:val="bottom"/>
          </w:tcPr>
          <w:p w:rsidR="00A4531B" w:rsidRPr="001567C8" w:rsidRDefault="008751BC" w:rsidP="00A4531B">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iCs/>
                <w:sz w:val="18"/>
                <w:szCs w:val="18"/>
                <w:lang w:val="hr-HR"/>
              </w:rPr>
              <w:t>Tečajne razlike Garantni fond</w:t>
            </w:r>
          </w:p>
        </w:tc>
        <w:tc>
          <w:tcPr>
            <w:tcW w:w="559" w:type="pct"/>
            <w:tcBorders>
              <w:top w:val="nil"/>
              <w:left w:val="nil"/>
              <w:bottom w:val="nil"/>
              <w:right w:val="nil"/>
            </w:tcBorders>
            <w:shd w:val="clear" w:color="auto" w:fill="auto"/>
            <w:vAlign w:val="bottom"/>
          </w:tcPr>
          <w:p w:rsidR="00A4531B" w:rsidRPr="00CD3A2D" w:rsidRDefault="00A4531B" w:rsidP="00A4531B">
            <w:pPr>
              <w:pStyle w:val="TT"/>
              <w:jc w:val="right"/>
              <w:rPr>
                <w:rFonts w:asciiTheme="minorHAnsi" w:hAnsiTheme="minorHAnsi" w:cstheme="minorHAnsi"/>
                <w:color w:val="000000"/>
                <w:sz w:val="18"/>
                <w:szCs w:val="18"/>
                <w:lang w:val="hr-HR"/>
              </w:rPr>
            </w:pPr>
            <w:r w:rsidRPr="00CD3A2D">
              <w:rPr>
                <w:rFonts w:asciiTheme="minorHAnsi" w:hAnsiTheme="minorHAnsi" w:cstheme="minorHAnsi"/>
                <w:color w:val="000000"/>
                <w:sz w:val="18"/>
                <w:szCs w:val="18"/>
                <w:lang w:val="hr-HR"/>
              </w:rPr>
              <w:t xml:space="preserve"> - </w:t>
            </w:r>
          </w:p>
        </w:tc>
        <w:tc>
          <w:tcPr>
            <w:tcW w:w="555" w:type="pct"/>
            <w:tcBorders>
              <w:top w:val="nil"/>
              <w:left w:val="nil"/>
              <w:bottom w:val="nil"/>
              <w:right w:val="nil"/>
            </w:tcBorders>
            <w:shd w:val="clear" w:color="auto" w:fill="auto"/>
            <w:vAlign w:val="bottom"/>
          </w:tcPr>
          <w:p w:rsidR="00A4531B" w:rsidRPr="00CD3A2D" w:rsidRDefault="00A4531B" w:rsidP="00A4531B">
            <w:pPr>
              <w:pStyle w:val="TT"/>
              <w:jc w:val="right"/>
              <w:rPr>
                <w:rFonts w:asciiTheme="minorHAnsi" w:hAnsiTheme="minorHAnsi" w:cstheme="minorHAnsi"/>
                <w:color w:val="000000"/>
                <w:sz w:val="18"/>
                <w:szCs w:val="18"/>
                <w:lang w:val="hr-HR"/>
              </w:rPr>
            </w:pPr>
            <w:r w:rsidRPr="00CD3A2D">
              <w:rPr>
                <w:rFonts w:asciiTheme="minorHAnsi" w:hAnsiTheme="minorHAnsi" w:cstheme="minorHAnsi"/>
                <w:color w:val="000000"/>
                <w:sz w:val="18"/>
                <w:szCs w:val="18"/>
                <w:lang w:val="hr-HR"/>
              </w:rPr>
              <w:t xml:space="preserve"> - </w:t>
            </w:r>
          </w:p>
        </w:tc>
        <w:tc>
          <w:tcPr>
            <w:tcW w:w="625" w:type="pct"/>
            <w:tcBorders>
              <w:top w:val="nil"/>
              <w:left w:val="nil"/>
              <w:bottom w:val="nil"/>
              <w:right w:val="nil"/>
            </w:tcBorders>
            <w:shd w:val="clear" w:color="auto" w:fill="auto"/>
            <w:vAlign w:val="bottom"/>
          </w:tcPr>
          <w:p w:rsidR="00A4531B" w:rsidRPr="00CD3A2D" w:rsidRDefault="00A4531B" w:rsidP="00A4531B">
            <w:pPr>
              <w:pStyle w:val="TT"/>
              <w:jc w:val="right"/>
              <w:rPr>
                <w:rFonts w:asciiTheme="minorHAnsi" w:hAnsiTheme="minorHAnsi" w:cstheme="minorHAnsi"/>
                <w:color w:val="000000"/>
                <w:sz w:val="18"/>
                <w:szCs w:val="18"/>
                <w:lang w:val="hr-HR"/>
              </w:rPr>
            </w:pPr>
            <w:r w:rsidRPr="00CD3A2D">
              <w:rPr>
                <w:rFonts w:asciiTheme="minorHAnsi" w:hAnsiTheme="minorHAnsi" w:cstheme="minorHAnsi"/>
                <w:color w:val="000000"/>
                <w:sz w:val="18"/>
                <w:szCs w:val="18"/>
                <w:lang w:val="hr-HR"/>
              </w:rPr>
              <w:t xml:space="preserve"> - </w:t>
            </w:r>
          </w:p>
        </w:tc>
        <w:tc>
          <w:tcPr>
            <w:tcW w:w="694" w:type="pct"/>
            <w:tcBorders>
              <w:top w:val="nil"/>
              <w:left w:val="nil"/>
              <w:bottom w:val="nil"/>
              <w:right w:val="nil"/>
            </w:tcBorders>
            <w:shd w:val="clear" w:color="auto" w:fill="auto"/>
            <w:vAlign w:val="bottom"/>
          </w:tcPr>
          <w:p w:rsidR="00A4531B" w:rsidRPr="00CD3A2D" w:rsidRDefault="00A4531B" w:rsidP="00A4531B">
            <w:pPr>
              <w:pStyle w:val="TT"/>
              <w:jc w:val="right"/>
              <w:rPr>
                <w:rFonts w:asciiTheme="minorHAnsi" w:hAnsiTheme="minorHAnsi" w:cstheme="minorHAnsi"/>
                <w:color w:val="000000"/>
                <w:sz w:val="18"/>
                <w:szCs w:val="18"/>
                <w:lang w:val="hr-HR"/>
              </w:rPr>
            </w:pPr>
            <w:r w:rsidRPr="00CD3A2D">
              <w:rPr>
                <w:rFonts w:asciiTheme="minorHAnsi" w:hAnsiTheme="minorHAnsi" w:cstheme="minorHAnsi"/>
                <w:color w:val="000000"/>
                <w:sz w:val="18"/>
                <w:szCs w:val="18"/>
                <w:lang w:val="hr-HR"/>
              </w:rPr>
              <w:t xml:space="preserve"> - </w:t>
            </w:r>
          </w:p>
        </w:tc>
        <w:tc>
          <w:tcPr>
            <w:tcW w:w="555" w:type="pct"/>
            <w:tcBorders>
              <w:top w:val="nil"/>
              <w:left w:val="nil"/>
              <w:bottom w:val="nil"/>
              <w:right w:val="nil"/>
            </w:tcBorders>
            <w:shd w:val="clear" w:color="auto" w:fill="auto"/>
            <w:vAlign w:val="bottom"/>
          </w:tcPr>
          <w:p w:rsidR="00A4531B" w:rsidRPr="00CD3A2D" w:rsidRDefault="00A4531B" w:rsidP="00A4531B">
            <w:pPr>
              <w:pStyle w:val="TT"/>
              <w:jc w:val="right"/>
              <w:rPr>
                <w:rFonts w:asciiTheme="minorHAnsi" w:hAnsiTheme="minorHAnsi" w:cstheme="minorHAnsi"/>
                <w:color w:val="000000"/>
                <w:sz w:val="18"/>
                <w:szCs w:val="18"/>
                <w:lang w:val="hr-HR"/>
              </w:rPr>
            </w:pPr>
            <w:r w:rsidRPr="00CD3A2D">
              <w:rPr>
                <w:rFonts w:asciiTheme="minorHAnsi" w:hAnsiTheme="minorHAnsi" w:cstheme="minorHAnsi"/>
                <w:color w:val="000000"/>
                <w:sz w:val="18"/>
                <w:szCs w:val="18"/>
                <w:lang w:val="hr-HR"/>
              </w:rPr>
              <w:t xml:space="preserve">         (157)</w:t>
            </w:r>
          </w:p>
        </w:tc>
        <w:tc>
          <w:tcPr>
            <w:tcW w:w="693" w:type="pct"/>
            <w:tcBorders>
              <w:top w:val="nil"/>
              <w:left w:val="nil"/>
              <w:bottom w:val="nil"/>
              <w:right w:val="nil"/>
            </w:tcBorders>
            <w:shd w:val="clear" w:color="auto" w:fill="auto"/>
            <w:vAlign w:val="bottom"/>
          </w:tcPr>
          <w:p w:rsidR="00A4531B" w:rsidRPr="00CD3A2D" w:rsidRDefault="00A4531B" w:rsidP="00A4531B">
            <w:pPr>
              <w:pStyle w:val="TT"/>
              <w:jc w:val="right"/>
              <w:rPr>
                <w:rFonts w:asciiTheme="minorHAnsi" w:hAnsiTheme="minorHAnsi" w:cstheme="minorHAnsi"/>
                <w:b/>
                <w:color w:val="000000"/>
                <w:sz w:val="18"/>
                <w:szCs w:val="18"/>
                <w:lang w:val="hr-HR"/>
              </w:rPr>
            </w:pPr>
            <w:r w:rsidRPr="00CD3A2D">
              <w:rPr>
                <w:rFonts w:asciiTheme="minorHAnsi" w:hAnsiTheme="minorHAnsi" w:cstheme="minorHAnsi"/>
                <w:b/>
                <w:color w:val="000000"/>
                <w:sz w:val="18"/>
                <w:szCs w:val="18"/>
                <w:lang w:val="hr-HR"/>
              </w:rPr>
              <w:t xml:space="preserve">             (157)</w:t>
            </w:r>
          </w:p>
        </w:tc>
      </w:tr>
      <w:tr w:rsidR="00A4531B" w:rsidRPr="001567C8" w:rsidTr="00C87A52">
        <w:trPr>
          <w:trHeight w:val="76"/>
        </w:trPr>
        <w:tc>
          <w:tcPr>
            <w:tcW w:w="1318" w:type="pct"/>
            <w:vAlign w:val="bottom"/>
          </w:tcPr>
          <w:p w:rsidR="00A4531B" w:rsidRPr="001567C8" w:rsidRDefault="00A4531B" w:rsidP="00A4531B">
            <w:pPr>
              <w:pStyle w:val="TT"/>
              <w:spacing w:line="240" w:lineRule="exact"/>
              <w:rPr>
                <w:rFonts w:asciiTheme="minorHAnsi" w:hAnsiTheme="minorHAnsi" w:cstheme="minorHAnsi"/>
                <w:i/>
                <w:iCs/>
                <w:sz w:val="18"/>
                <w:szCs w:val="18"/>
                <w:lang w:val="hr-HR"/>
              </w:rPr>
            </w:pPr>
            <w:r w:rsidRPr="001567C8">
              <w:rPr>
                <w:rFonts w:asciiTheme="minorHAnsi" w:hAnsiTheme="minorHAnsi" w:cstheme="minorHAnsi"/>
                <w:iCs/>
                <w:sz w:val="18"/>
                <w:szCs w:val="18"/>
                <w:lang w:val="hr-HR"/>
              </w:rPr>
              <w:t>Uplate u osnivački kapital iz državnog proračuna</w:t>
            </w:r>
          </w:p>
        </w:tc>
        <w:tc>
          <w:tcPr>
            <w:tcW w:w="559" w:type="pct"/>
            <w:tcBorders>
              <w:top w:val="nil"/>
              <w:left w:val="nil"/>
              <w:bottom w:val="nil"/>
              <w:right w:val="nil"/>
            </w:tcBorders>
            <w:shd w:val="clear" w:color="auto" w:fill="auto"/>
            <w:vAlign w:val="bottom"/>
          </w:tcPr>
          <w:p w:rsidR="00A4531B" w:rsidRPr="001567C8" w:rsidRDefault="00A4531B" w:rsidP="00A4531B">
            <w:pPr>
              <w:pStyle w:val="TT"/>
              <w:jc w:val="right"/>
              <w:rPr>
                <w:rFonts w:asciiTheme="minorHAnsi" w:hAnsiTheme="minorHAnsi" w:cstheme="minorHAnsi"/>
                <w:b/>
                <w:iCs/>
                <w:sz w:val="18"/>
                <w:szCs w:val="18"/>
                <w:lang w:val="hr-HR"/>
              </w:rPr>
            </w:pPr>
            <w:r w:rsidRPr="00CD3A2D">
              <w:rPr>
                <w:rFonts w:asciiTheme="minorHAnsi" w:hAnsiTheme="minorHAnsi" w:cstheme="minorHAnsi"/>
                <w:color w:val="000000"/>
                <w:sz w:val="18"/>
                <w:szCs w:val="18"/>
                <w:lang w:val="hr-HR"/>
              </w:rPr>
              <w:t>50.000</w:t>
            </w:r>
          </w:p>
        </w:tc>
        <w:tc>
          <w:tcPr>
            <w:tcW w:w="555" w:type="pct"/>
            <w:tcBorders>
              <w:top w:val="nil"/>
              <w:left w:val="nil"/>
              <w:bottom w:val="nil"/>
              <w:right w:val="nil"/>
            </w:tcBorders>
            <w:shd w:val="clear" w:color="auto" w:fill="auto"/>
            <w:vAlign w:val="bottom"/>
          </w:tcPr>
          <w:p w:rsidR="00A4531B" w:rsidRPr="001567C8" w:rsidRDefault="00A4531B" w:rsidP="00A4531B">
            <w:pPr>
              <w:pStyle w:val="TT"/>
              <w:jc w:val="right"/>
              <w:rPr>
                <w:rFonts w:asciiTheme="minorHAnsi" w:hAnsiTheme="minorHAnsi" w:cstheme="minorHAnsi"/>
                <w:b/>
                <w:iCs/>
                <w:sz w:val="18"/>
                <w:szCs w:val="18"/>
                <w:lang w:val="hr-HR"/>
              </w:rPr>
            </w:pPr>
            <w:r w:rsidRPr="00CD3A2D">
              <w:rPr>
                <w:rFonts w:asciiTheme="minorHAnsi" w:hAnsiTheme="minorHAnsi" w:cstheme="minorHAnsi"/>
                <w:color w:val="000000"/>
                <w:sz w:val="18"/>
                <w:szCs w:val="18"/>
                <w:lang w:val="hr-HR"/>
              </w:rPr>
              <w:t>-</w:t>
            </w:r>
          </w:p>
        </w:tc>
        <w:tc>
          <w:tcPr>
            <w:tcW w:w="625" w:type="pct"/>
            <w:tcBorders>
              <w:top w:val="nil"/>
              <w:left w:val="nil"/>
              <w:bottom w:val="nil"/>
              <w:right w:val="nil"/>
            </w:tcBorders>
            <w:shd w:val="clear" w:color="auto" w:fill="auto"/>
            <w:vAlign w:val="bottom"/>
          </w:tcPr>
          <w:p w:rsidR="00A4531B" w:rsidRPr="001567C8" w:rsidRDefault="00A4531B" w:rsidP="00A4531B">
            <w:pPr>
              <w:pStyle w:val="TT"/>
              <w:jc w:val="right"/>
              <w:rPr>
                <w:rFonts w:asciiTheme="minorHAnsi" w:hAnsiTheme="minorHAnsi" w:cstheme="minorHAnsi"/>
                <w:iCs/>
                <w:sz w:val="18"/>
                <w:szCs w:val="18"/>
                <w:lang w:val="hr-HR"/>
              </w:rPr>
            </w:pPr>
            <w:r w:rsidRPr="00CD3A2D">
              <w:rPr>
                <w:rFonts w:asciiTheme="minorHAnsi" w:hAnsiTheme="minorHAnsi" w:cstheme="minorHAnsi"/>
                <w:color w:val="000000"/>
                <w:sz w:val="18"/>
                <w:szCs w:val="18"/>
                <w:lang w:val="hr-HR"/>
              </w:rPr>
              <w:t xml:space="preserve">                    - </w:t>
            </w:r>
          </w:p>
        </w:tc>
        <w:tc>
          <w:tcPr>
            <w:tcW w:w="694" w:type="pct"/>
            <w:tcBorders>
              <w:top w:val="nil"/>
              <w:left w:val="nil"/>
              <w:bottom w:val="nil"/>
              <w:right w:val="nil"/>
            </w:tcBorders>
            <w:shd w:val="clear" w:color="auto" w:fill="auto"/>
            <w:vAlign w:val="bottom"/>
          </w:tcPr>
          <w:p w:rsidR="00A4531B" w:rsidRPr="001567C8" w:rsidRDefault="00A4531B" w:rsidP="00A4531B">
            <w:pPr>
              <w:pStyle w:val="TT"/>
              <w:jc w:val="right"/>
              <w:rPr>
                <w:rFonts w:asciiTheme="minorHAnsi" w:hAnsiTheme="minorHAnsi" w:cstheme="minorHAnsi"/>
                <w:iCs/>
                <w:sz w:val="18"/>
                <w:szCs w:val="18"/>
                <w:lang w:val="hr-HR"/>
              </w:rPr>
            </w:pPr>
            <w:r w:rsidRPr="00CD3A2D">
              <w:rPr>
                <w:rFonts w:asciiTheme="minorHAnsi" w:hAnsiTheme="minorHAnsi" w:cstheme="minorHAnsi"/>
                <w:color w:val="000000"/>
                <w:sz w:val="18"/>
                <w:szCs w:val="18"/>
                <w:lang w:val="hr-HR"/>
              </w:rPr>
              <w:t xml:space="preserve">                         - </w:t>
            </w:r>
          </w:p>
        </w:tc>
        <w:tc>
          <w:tcPr>
            <w:tcW w:w="555" w:type="pct"/>
            <w:tcBorders>
              <w:top w:val="nil"/>
              <w:left w:val="nil"/>
              <w:bottom w:val="nil"/>
              <w:right w:val="nil"/>
            </w:tcBorders>
            <w:shd w:val="clear" w:color="auto" w:fill="auto"/>
            <w:vAlign w:val="bottom"/>
          </w:tcPr>
          <w:p w:rsidR="00A4531B" w:rsidRPr="00CD3A2D" w:rsidDel="003A48C1" w:rsidRDefault="00A4531B" w:rsidP="00A4531B">
            <w:pPr>
              <w:pStyle w:val="TT"/>
              <w:jc w:val="right"/>
              <w:rPr>
                <w:rFonts w:asciiTheme="minorHAnsi" w:hAnsiTheme="minorHAnsi" w:cstheme="minorHAnsi"/>
                <w:b/>
                <w:sz w:val="18"/>
                <w:szCs w:val="18"/>
                <w:lang w:val="hr-HR"/>
              </w:rPr>
            </w:pPr>
            <w:r w:rsidRPr="00CD3A2D">
              <w:rPr>
                <w:rFonts w:asciiTheme="minorHAnsi" w:hAnsiTheme="minorHAnsi" w:cstheme="minorHAnsi"/>
                <w:color w:val="000000"/>
                <w:sz w:val="18"/>
                <w:szCs w:val="18"/>
                <w:lang w:val="hr-HR"/>
              </w:rPr>
              <w:t xml:space="preserve"> - </w:t>
            </w:r>
          </w:p>
        </w:tc>
        <w:tc>
          <w:tcPr>
            <w:tcW w:w="693" w:type="pct"/>
            <w:tcBorders>
              <w:top w:val="nil"/>
              <w:left w:val="nil"/>
              <w:bottom w:val="nil"/>
              <w:right w:val="nil"/>
            </w:tcBorders>
            <w:shd w:val="clear" w:color="auto" w:fill="auto"/>
            <w:vAlign w:val="bottom"/>
          </w:tcPr>
          <w:p w:rsidR="00A4531B" w:rsidRPr="001567C8" w:rsidRDefault="00A4531B" w:rsidP="00A4531B">
            <w:pPr>
              <w:pStyle w:val="TT"/>
              <w:jc w:val="right"/>
              <w:rPr>
                <w:rFonts w:asciiTheme="minorHAnsi" w:hAnsiTheme="minorHAnsi" w:cstheme="minorHAnsi"/>
                <w:b/>
                <w:iCs/>
                <w:sz w:val="18"/>
                <w:szCs w:val="18"/>
                <w:lang w:val="hr-HR"/>
              </w:rPr>
            </w:pPr>
            <w:r w:rsidRPr="00CD3A2D">
              <w:rPr>
                <w:rFonts w:asciiTheme="minorHAnsi" w:hAnsiTheme="minorHAnsi" w:cstheme="minorHAnsi"/>
                <w:b/>
                <w:color w:val="000000"/>
                <w:sz w:val="18"/>
                <w:szCs w:val="18"/>
                <w:lang w:val="hr-HR"/>
              </w:rPr>
              <w:t>50.000</w:t>
            </w:r>
          </w:p>
        </w:tc>
      </w:tr>
      <w:tr w:rsidR="008A1EEE" w:rsidRPr="001567C8" w:rsidTr="003C6BA3">
        <w:trPr>
          <w:trHeight w:val="76"/>
        </w:trPr>
        <w:tc>
          <w:tcPr>
            <w:tcW w:w="1318" w:type="pct"/>
            <w:vAlign w:val="bottom"/>
          </w:tcPr>
          <w:p w:rsidR="00CB06AA" w:rsidRPr="001567C8" w:rsidRDefault="00CB06AA" w:rsidP="008472CF">
            <w:pPr>
              <w:pStyle w:val="TT"/>
              <w:spacing w:line="240" w:lineRule="exact"/>
              <w:rPr>
                <w:rFonts w:asciiTheme="minorHAnsi" w:hAnsiTheme="minorHAnsi" w:cstheme="minorHAnsi"/>
                <w:i/>
                <w:iCs/>
                <w:sz w:val="18"/>
                <w:szCs w:val="18"/>
                <w:lang w:val="hr-HR"/>
              </w:rPr>
            </w:pPr>
            <w:r w:rsidRPr="001567C8">
              <w:rPr>
                <w:rFonts w:asciiTheme="minorHAnsi" w:hAnsiTheme="minorHAnsi" w:cstheme="minorHAnsi"/>
                <w:iCs/>
                <w:sz w:val="18"/>
                <w:szCs w:val="18"/>
                <w:lang w:val="hr-HR"/>
              </w:rPr>
              <w:t>Prijenos dobiti iz 2017. godine u zadržanu dobit</w:t>
            </w:r>
          </w:p>
        </w:tc>
        <w:tc>
          <w:tcPr>
            <w:tcW w:w="559" w:type="pct"/>
            <w:tcBorders>
              <w:bottom w:val="single" w:sz="4" w:space="0" w:color="auto"/>
            </w:tcBorders>
            <w:vAlign w:val="bottom"/>
          </w:tcPr>
          <w:p w:rsidR="00CB06AA" w:rsidRPr="001567C8" w:rsidRDefault="00CB06AA" w:rsidP="008472CF">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w:t>
            </w:r>
          </w:p>
        </w:tc>
        <w:tc>
          <w:tcPr>
            <w:tcW w:w="555" w:type="pct"/>
            <w:tcBorders>
              <w:bottom w:val="single" w:sz="4" w:space="0" w:color="auto"/>
            </w:tcBorders>
            <w:vAlign w:val="bottom"/>
          </w:tcPr>
          <w:p w:rsidR="00CB06AA" w:rsidRPr="001567C8" w:rsidRDefault="00CB06AA" w:rsidP="008472CF">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162.201</w:t>
            </w:r>
          </w:p>
        </w:tc>
        <w:tc>
          <w:tcPr>
            <w:tcW w:w="625" w:type="pct"/>
            <w:tcBorders>
              <w:bottom w:val="single" w:sz="4" w:space="0" w:color="auto"/>
            </w:tcBorders>
            <w:vAlign w:val="bottom"/>
          </w:tcPr>
          <w:p w:rsidR="00CB06AA" w:rsidRPr="001567C8" w:rsidRDefault="00CB06AA" w:rsidP="008472CF">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w:t>
            </w:r>
          </w:p>
        </w:tc>
        <w:tc>
          <w:tcPr>
            <w:tcW w:w="694" w:type="pct"/>
            <w:tcBorders>
              <w:bottom w:val="single" w:sz="4" w:space="0" w:color="auto"/>
            </w:tcBorders>
            <w:vAlign w:val="bottom"/>
          </w:tcPr>
          <w:p w:rsidR="00CB06AA" w:rsidRPr="001567C8" w:rsidRDefault="00CB06AA" w:rsidP="008472CF">
            <w:pPr>
              <w:pStyle w:val="TT"/>
              <w:jc w:val="right"/>
              <w:rPr>
                <w:rFonts w:asciiTheme="minorHAnsi" w:hAnsiTheme="minorHAnsi" w:cstheme="minorHAnsi"/>
                <w:iCs/>
                <w:sz w:val="18"/>
                <w:szCs w:val="18"/>
                <w:lang w:val="hr-HR"/>
              </w:rPr>
            </w:pPr>
            <w:r w:rsidRPr="00CD3A2D">
              <w:rPr>
                <w:rFonts w:asciiTheme="minorHAnsi" w:hAnsiTheme="minorHAnsi" w:cstheme="minorHAnsi"/>
                <w:sz w:val="18"/>
                <w:szCs w:val="18"/>
                <w:lang w:val="hr-HR"/>
              </w:rPr>
              <w:t>(162.201)</w:t>
            </w:r>
          </w:p>
        </w:tc>
        <w:tc>
          <w:tcPr>
            <w:tcW w:w="555" w:type="pct"/>
            <w:tcBorders>
              <w:bottom w:val="single" w:sz="4" w:space="0" w:color="auto"/>
            </w:tcBorders>
          </w:tcPr>
          <w:p w:rsidR="00CB06AA" w:rsidRPr="00CD3A2D" w:rsidRDefault="00CB06AA" w:rsidP="008472CF">
            <w:pPr>
              <w:pStyle w:val="TT"/>
              <w:jc w:val="right"/>
              <w:rPr>
                <w:rFonts w:asciiTheme="minorHAnsi" w:hAnsiTheme="minorHAnsi" w:cstheme="minorHAnsi"/>
                <w:b/>
                <w:sz w:val="18"/>
                <w:szCs w:val="18"/>
                <w:lang w:val="hr-HR"/>
              </w:rPr>
            </w:pPr>
          </w:p>
        </w:tc>
        <w:tc>
          <w:tcPr>
            <w:tcW w:w="693" w:type="pct"/>
            <w:tcBorders>
              <w:bottom w:val="single" w:sz="4" w:space="0" w:color="auto"/>
            </w:tcBorders>
            <w:vAlign w:val="bottom"/>
          </w:tcPr>
          <w:p w:rsidR="00CB06AA" w:rsidRPr="001567C8" w:rsidRDefault="00CB06AA" w:rsidP="008472CF">
            <w:pPr>
              <w:pStyle w:val="TT"/>
              <w:jc w:val="right"/>
              <w:rPr>
                <w:rFonts w:asciiTheme="minorHAnsi" w:hAnsiTheme="minorHAnsi" w:cstheme="minorHAnsi"/>
                <w:b/>
                <w:iCs/>
                <w:sz w:val="18"/>
                <w:szCs w:val="18"/>
                <w:lang w:val="hr-HR"/>
              </w:rPr>
            </w:pPr>
            <w:r w:rsidRPr="00CD3A2D">
              <w:rPr>
                <w:rFonts w:asciiTheme="minorHAnsi" w:hAnsiTheme="minorHAnsi" w:cstheme="minorHAnsi"/>
                <w:b/>
                <w:sz w:val="18"/>
                <w:szCs w:val="18"/>
                <w:lang w:val="hr-HR"/>
              </w:rPr>
              <w:t>-</w:t>
            </w:r>
          </w:p>
        </w:tc>
      </w:tr>
      <w:tr w:rsidR="00A4531B" w:rsidRPr="001567C8" w:rsidTr="003C6BA3">
        <w:trPr>
          <w:trHeight w:hRule="exact" w:val="357"/>
        </w:trPr>
        <w:tc>
          <w:tcPr>
            <w:tcW w:w="1318" w:type="pct"/>
            <w:vAlign w:val="bottom"/>
          </w:tcPr>
          <w:p w:rsidR="00A4531B" w:rsidRPr="001567C8" w:rsidRDefault="00A4531B" w:rsidP="00A4531B">
            <w:pPr>
              <w:pStyle w:val="TT"/>
              <w:spacing w:line="240" w:lineRule="exact"/>
              <w:rPr>
                <w:rFonts w:asciiTheme="minorHAnsi" w:hAnsiTheme="minorHAnsi" w:cstheme="minorHAnsi"/>
                <w:iCs/>
                <w:sz w:val="18"/>
                <w:szCs w:val="18"/>
                <w:lang w:val="hr-HR"/>
              </w:rPr>
            </w:pPr>
            <w:r w:rsidRPr="001567C8">
              <w:rPr>
                <w:rFonts w:asciiTheme="minorHAnsi" w:hAnsiTheme="minorHAnsi" w:cstheme="minorHAnsi"/>
                <w:b/>
                <w:iCs/>
                <w:sz w:val="18"/>
                <w:szCs w:val="18"/>
                <w:lang w:val="hr-HR"/>
              </w:rPr>
              <w:t>Stanje 31. prosinca 2018. godine</w:t>
            </w:r>
          </w:p>
        </w:tc>
        <w:tc>
          <w:tcPr>
            <w:tcW w:w="559" w:type="pct"/>
            <w:tcBorders>
              <w:top w:val="nil"/>
              <w:left w:val="nil"/>
              <w:bottom w:val="single" w:sz="12"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7.059.632</w:t>
            </w:r>
          </w:p>
        </w:tc>
        <w:tc>
          <w:tcPr>
            <w:tcW w:w="555" w:type="pct"/>
            <w:tcBorders>
              <w:top w:val="nil"/>
              <w:left w:val="nil"/>
              <w:bottom w:val="single" w:sz="12"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2.717.118</w:t>
            </w:r>
          </w:p>
        </w:tc>
        <w:tc>
          <w:tcPr>
            <w:tcW w:w="625" w:type="pct"/>
            <w:tcBorders>
              <w:top w:val="nil"/>
              <w:left w:val="nil"/>
              <w:bottom w:val="single" w:sz="12"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67.474</w:t>
            </w:r>
          </w:p>
        </w:tc>
        <w:tc>
          <w:tcPr>
            <w:tcW w:w="694" w:type="pct"/>
            <w:tcBorders>
              <w:top w:val="nil"/>
              <w:left w:val="nil"/>
              <w:bottom w:val="single" w:sz="12"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 xml:space="preserve">            204.737 </w:t>
            </w:r>
          </w:p>
        </w:tc>
        <w:tc>
          <w:tcPr>
            <w:tcW w:w="555" w:type="pct"/>
            <w:tcBorders>
              <w:top w:val="nil"/>
              <w:left w:val="nil"/>
              <w:bottom w:val="single" w:sz="12" w:space="0" w:color="auto"/>
              <w:right w:val="nil"/>
            </w:tcBorders>
            <w:shd w:val="clear" w:color="auto" w:fill="auto"/>
            <w:vAlign w:val="bottom"/>
          </w:tcPr>
          <w:p w:rsidR="00A4531B" w:rsidRPr="00CD3A2D" w:rsidDel="003A48C1" w:rsidRDefault="00A4531B" w:rsidP="00143164">
            <w:pPr>
              <w:pStyle w:val="TT"/>
              <w:jc w:val="right"/>
              <w:rPr>
                <w:rFonts w:asciiTheme="minorHAnsi" w:hAnsiTheme="minorHAnsi" w:cstheme="minorHAnsi"/>
                <w:b/>
                <w:bCs/>
                <w:color w:val="000000"/>
                <w:sz w:val="18"/>
                <w:szCs w:val="18"/>
                <w:lang w:val="hr-HR"/>
              </w:rPr>
            </w:pPr>
            <w:r w:rsidRPr="00CD3A2D">
              <w:rPr>
                <w:rFonts w:asciiTheme="minorHAnsi" w:hAnsiTheme="minorHAnsi" w:cstheme="minorHAnsi"/>
                <w:b/>
                <w:bCs/>
                <w:color w:val="000000"/>
                <w:sz w:val="18"/>
                <w:szCs w:val="18"/>
                <w:lang w:val="hr-HR"/>
              </w:rPr>
              <w:t>12.146</w:t>
            </w:r>
          </w:p>
        </w:tc>
        <w:tc>
          <w:tcPr>
            <w:tcW w:w="693" w:type="pct"/>
            <w:tcBorders>
              <w:top w:val="nil"/>
              <w:left w:val="nil"/>
              <w:bottom w:val="single" w:sz="12" w:space="0" w:color="auto"/>
              <w:right w:val="nil"/>
            </w:tcBorders>
            <w:shd w:val="clear" w:color="auto" w:fill="auto"/>
            <w:vAlign w:val="bottom"/>
          </w:tcPr>
          <w:p w:rsidR="00A4531B" w:rsidRPr="001567C8" w:rsidRDefault="00A4531B" w:rsidP="00A4531B">
            <w:pPr>
              <w:pStyle w:val="TT"/>
              <w:jc w:val="right"/>
              <w:rPr>
                <w:rFonts w:asciiTheme="minorHAnsi" w:hAnsiTheme="minorHAnsi" w:cstheme="minorHAnsi"/>
                <w:b/>
                <w:iCs/>
                <w:sz w:val="18"/>
                <w:szCs w:val="18"/>
                <w:lang w:val="hr-HR"/>
              </w:rPr>
            </w:pPr>
            <w:r w:rsidRPr="00CD3A2D">
              <w:rPr>
                <w:rFonts w:asciiTheme="minorHAnsi" w:hAnsiTheme="minorHAnsi" w:cstheme="minorHAnsi"/>
                <w:b/>
                <w:bCs/>
                <w:color w:val="000000"/>
                <w:sz w:val="18"/>
                <w:szCs w:val="18"/>
                <w:lang w:val="hr-HR"/>
              </w:rPr>
              <w:t>10.061.107</w:t>
            </w:r>
          </w:p>
        </w:tc>
      </w:tr>
    </w:tbl>
    <w:p w:rsidR="008378D3" w:rsidRPr="001567C8" w:rsidRDefault="008378D3" w:rsidP="00B90B52">
      <w:pPr>
        <w:pStyle w:val="T1"/>
        <w:keepNext w:val="0"/>
        <w:spacing w:before="120" w:after="0"/>
        <w:rPr>
          <w:rFonts w:asciiTheme="minorHAnsi" w:hAnsiTheme="minorHAnsi" w:cs="Arial"/>
          <w:b w:val="0"/>
          <w:bCs w:val="0"/>
          <w:sz w:val="22"/>
          <w:szCs w:val="22"/>
          <w:lang w:val="hr-HR"/>
        </w:rPr>
      </w:pPr>
    </w:p>
    <w:p w:rsidR="0086306E" w:rsidRPr="001567C8" w:rsidRDefault="0086306E" w:rsidP="00AA2521">
      <w:pPr>
        <w:pStyle w:val="T1"/>
        <w:keepNext w:val="0"/>
        <w:spacing w:before="0" w:after="0" w:line="240" w:lineRule="auto"/>
        <w:rPr>
          <w:rFonts w:asciiTheme="minorHAnsi" w:hAnsiTheme="minorHAnsi" w:cs="Arial"/>
          <w:b w:val="0"/>
          <w:bCs w:val="0"/>
          <w:sz w:val="22"/>
          <w:szCs w:val="22"/>
          <w:lang w:val="hr-HR"/>
        </w:rPr>
      </w:pPr>
    </w:p>
    <w:p w:rsidR="00AA2521" w:rsidRPr="001567C8" w:rsidRDefault="00AA2521" w:rsidP="00AA2521">
      <w:pPr>
        <w:pStyle w:val="T1"/>
        <w:keepNext w:val="0"/>
        <w:spacing w:before="0" w:after="0" w:line="240" w:lineRule="auto"/>
        <w:rPr>
          <w:rFonts w:asciiTheme="minorHAnsi" w:hAnsiTheme="minorHAnsi" w:cs="Arial"/>
          <w:b w:val="0"/>
          <w:bCs w:val="0"/>
          <w:sz w:val="22"/>
          <w:szCs w:val="22"/>
          <w:lang w:val="hr-HR"/>
        </w:rPr>
      </w:pPr>
    </w:p>
    <w:p w:rsidR="00B1030E" w:rsidRPr="001567C8" w:rsidRDefault="00B1030E" w:rsidP="00AA2521">
      <w:pPr>
        <w:pStyle w:val="T1"/>
        <w:keepNext w:val="0"/>
        <w:spacing w:before="0" w:after="0" w:line="240" w:lineRule="auto"/>
        <w:rPr>
          <w:rFonts w:asciiTheme="minorHAnsi" w:hAnsiTheme="minorHAnsi" w:cs="Arial"/>
          <w:b w:val="0"/>
          <w:bCs w:val="0"/>
          <w:sz w:val="22"/>
          <w:szCs w:val="22"/>
          <w:lang w:val="hr-HR"/>
        </w:rPr>
      </w:pPr>
    </w:p>
    <w:p w:rsidR="00B1030E" w:rsidRPr="001567C8" w:rsidRDefault="00B1030E" w:rsidP="00AA2521">
      <w:pPr>
        <w:pStyle w:val="T1"/>
        <w:keepNext w:val="0"/>
        <w:spacing w:before="0" w:after="0" w:line="240" w:lineRule="auto"/>
        <w:rPr>
          <w:rFonts w:asciiTheme="minorHAnsi" w:hAnsiTheme="minorHAnsi" w:cs="Arial"/>
          <w:b w:val="0"/>
          <w:bCs w:val="0"/>
          <w:sz w:val="22"/>
          <w:szCs w:val="22"/>
          <w:lang w:val="hr-HR"/>
        </w:rPr>
      </w:pPr>
    </w:p>
    <w:p w:rsidR="00B1030E" w:rsidRPr="001567C8" w:rsidRDefault="00B1030E" w:rsidP="00AA2521">
      <w:pPr>
        <w:pStyle w:val="T1"/>
        <w:keepNext w:val="0"/>
        <w:spacing w:before="0" w:after="0" w:line="240" w:lineRule="auto"/>
        <w:rPr>
          <w:rFonts w:asciiTheme="minorHAnsi" w:hAnsiTheme="minorHAnsi" w:cs="Arial"/>
          <w:b w:val="0"/>
          <w:bCs w:val="0"/>
          <w:sz w:val="22"/>
          <w:szCs w:val="22"/>
          <w:lang w:val="hr-HR"/>
        </w:rPr>
      </w:pPr>
    </w:p>
    <w:p w:rsidR="00606236" w:rsidRPr="001567C8" w:rsidRDefault="00B1030E" w:rsidP="003C6BA3">
      <w:pPr>
        <w:pStyle w:val="T1"/>
        <w:rPr>
          <w:rFonts w:asciiTheme="minorHAnsi" w:hAnsiTheme="minorHAnsi" w:cs="Arial"/>
          <w:sz w:val="22"/>
          <w:szCs w:val="22"/>
          <w:lang w:val="hr-HR"/>
        </w:rPr>
      </w:pPr>
      <w:r w:rsidRPr="001567C8">
        <w:rPr>
          <w:rFonts w:asciiTheme="minorHAnsi" w:hAnsiTheme="minorHAnsi" w:cs="Arial"/>
          <w:b w:val="0"/>
          <w:bCs w:val="0"/>
          <w:sz w:val="22"/>
          <w:szCs w:val="22"/>
          <w:lang w:val="hr-HR"/>
        </w:rPr>
        <w:t>Priložene računovodstvene politike i bilješke sastavni su dio ovih financijskih izvještaja.</w:t>
      </w:r>
    </w:p>
    <w:p w:rsidR="00606236" w:rsidRPr="001567C8" w:rsidRDefault="00606236" w:rsidP="00793B9F">
      <w:pPr>
        <w:pStyle w:val="TT"/>
        <w:tabs>
          <w:tab w:val="clear" w:pos="1202"/>
        </w:tabs>
        <w:rPr>
          <w:rFonts w:asciiTheme="minorHAnsi" w:hAnsiTheme="minorHAnsi" w:cs="Arial"/>
          <w:sz w:val="22"/>
          <w:szCs w:val="22"/>
          <w:lang w:val="hr-HR"/>
        </w:rPr>
      </w:pPr>
    </w:p>
    <w:p w:rsidR="00606236" w:rsidRPr="001567C8" w:rsidRDefault="00606236" w:rsidP="0086306E">
      <w:pPr>
        <w:pStyle w:val="TT"/>
        <w:tabs>
          <w:tab w:val="clear" w:pos="1202"/>
        </w:tabs>
        <w:rPr>
          <w:rFonts w:asciiTheme="minorHAnsi" w:hAnsiTheme="minorHAnsi" w:cs="Arial"/>
          <w:sz w:val="22"/>
          <w:szCs w:val="22"/>
          <w:lang w:val="hr-HR"/>
        </w:rPr>
        <w:sectPr w:rsidR="00606236" w:rsidRPr="001567C8" w:rsidSect="000D6913">
          <w:headerReference w:type="even" r:id="rId63"/>
          <w:headerReference w:type="default" r:id="rId64"/>
          <w:pgSz w:w="11907" w:h="16840" w:code="9"/>
          <w:pgMar w:top="1418" w:right="850" w:bottom="1134" w:left="1418" w:header="851" w:footer="851" w:gutter="0"/>
          <w:cols w:space="720"/>
          <w:noEndnote/>
        </w:sectPr>
      </w:pPr>
    </w:p>
    <w:tbl>
      <w:tblPr>
        <w:tblpPr w:leftFromText="181" w:rightFromText="181" w:vertAnchor="page" w:horzAnchor="margin" w:tblpY="2966"/>
        <w:tblW w:w="4706" w:type="pct"/>
        <w:tblCellMar>
          <w:left w:w="119" w:type="dxa"/>
          <w:right w:w="119" w:type="dxa"/>
        </w:tblCellMar>
        <w:tblLook w:val="0000" w:firstRow="0" w:lastRow="0" w:firstColumn="0" w:lastColumn="0" w:noHBand="0" w:noVBand="0"/>
      </w:tblPr>
      <w:tblGrid>
        <w:gridCol w:w="4675"/>
        <w:gridCol w:w="933"/>
        <w:gridCol w:w="1622"/>
        <w:gridCol w:w="1842"/>
      </w:tblGrid>
      <w:tr w:rsidR="00AE2E7F" w:rsidRPr="001567C8" w:rsidTr="003C6BA3">
        <w:tc>
          <w:tcPr>
            <w:tcW w:w="2577" w:type="pct"/>
          </w:tcPr>
          <w:p w:rsidR="00AE2E7F" w:rsidRPr="001567C8" w:rsidRDefault="00AE2E7F" w:rsidP="00600855">
            <w:pPr>
              <w:pStyle w:val="TT"/>
              <w:rPr>
                <w:rFonts w:asciiTheme="minorHAnsi" w:hAnsiTheme="minorHAnsi" w:cs="Arial"/>
                <w:b/>
                <w:bCs/>
                <w:sz w:val="22"/>
                <w:szCs w:val="22"/>
                <w:lang w:val="hr-HR"/>
              </w:rPr>
            </w:pPr>
          </w:p>
        </w:tc>
        <w:tc>
          <w:tcPr>
            <w:tcW w:w="514" w:type="pct"/>
          </w:tcPr>
          <w:p w:rsidR="00AE2E7F" w:rsidRPr="001567C8" w:rsidRDefault="00AE2E7F" w:rsidP="00600855">
            <w:pPr>
              <w:pStyle w:val="TT"/>
              <w:ind w:left="-15" w:firstLine="15"/>
              <w:jc w:val="center"/>
              <w:rPr>
                <w:rFonts w:asciiTheme="minorHAnsi" w:hAnsiTheme="minorHAnsi" w:cs="Arial"/>
                <w:b/>
                <w:bCs/>
                <w:sz w:val="22"/>
                <w:szCs w:val="22"/>
                <w:lang w:val="hr-HR"/>
              </w:rPr>
            </w:pPr>
            <w:r w:rsidRPr="001567C8">
              <w:rPr>
                <w:rFonts w:asciiTheme="minorHAnsi" w:hAnsiTheme="minorHAnsi" w:cs="Arial"/>
                <w:b/>
                <w:bCs/>
                <w:spacing w:val="-1"/>
                <w:sz w:val="22"/>
                <w:szCs w:val="22"/>
                <w:lang w:val="hr-HR"/>
              </w:rPr>
              <w:t>Bilješka</w:t>
            </w:r>
          </w:p>
        </w:tc>
        <w:tc>
          <w:tcPr>
            <w:tcW w:w="894" w:type="pct"/>
          </w:tcPr>
          <w:p w:rsidR="00AE2E7F" w:rsidRPr="001567C8" w:rsidRDefault="004F7EAC" w:rsidP="00600855">
            <w:pPr>
              <w:pStyle w:val="TT"/>
              <w:tabs>
                <w:tab w:val="clear" w:pos="1202"/>
              </w:tabs>
              <w:jc w:val="right"/>
              <w:rPr>
                <w:rFonts w:asciiTheme="minorHAnsi" w:hAnsiTheme="minorHAnsi" w:cs="Arial"/>
                <w:b/>
                <w:bCs/>
                <w:sz w:val="22"/>
                <w:szCs w:val="22"/>
                <w:lang w:val="hr-HR"/>
              </w:rPr>
            </w:pPr>
            <w:r w:rsidRPr="001567C8">
              <w:rPr>
                <w:rFonts w:asciiTheme="minorHAnsi" w:hAnsiTheme="minorHAnsi" w:cs="Arial"/>
                <w:b/>
                <w:bCs/>
                <w:sz w:val="22"/>
                <w:szCs w:val="22"/>
                <w:lang w:val="hr-HR"/>
              </w:rPr>
              <w:t>2018.</w:t>
            </w:r>
          </w:p>
        </w:tc>
        <w:tc>
          <w:tcPr>
            <w:tcW w:w="1015" w:type="pct"/>
          </w:tcPr>
          <w:p w:rsidR="00AE2E7F" w:rsidRPr="001567C8" w:rsidRDefault="00AE2E7F" w:rsidP="00600855">
            <w:pPr>
              <w:pStyle w:val="TT"/>
              <w:tabs>
                <w:tab w:val="clear" w:pos="1202"/>
              </w:tabs>
              <w:jc w:val="right"/>
              <w:rPr>
                <w:rFonts w:asciiTheme="minorHAnsi" w:hAnsiTheme="minorHAnsi" w:cs="Arial"/>
                <w:b/>
                <w:bCs/>
                <w:sz w:val="22"/>
                <w:szCs w:val="22"/>
                <w:lang w:val="hr-HR"/>
              </w:rPr>
            </w:pPr>
            <w:r w:rsidRPr="001567C8">
              <w:rPr>
                <w:rFonts w:asciiTheme="minorHAnsi" w:hAnsiTheme="minorHAnsi" w:cs="Arial"/>
                <w:b/>
                <w:bCs/>
                <w:sz w:val="22"/>
                <w:szCs w:val="22"/>
                <w:lang w:val="hr-HR"/>
              </w:rPr>
              <w:t>2017.</w:t>
            </w:r>
          </w:p>
        </w:tc>
      </w:tr>
      <w:tr w:rsidR="00AE2E7F" w:rsidRPr="001567C8" w:rsidTr="003C6BA3">
        <w:tc>
          <w:tcPr>
            <w:tcW w:w="2577" w:type="pct"/>
          </w:tcPr>
          <w:p w:rsidR="00AE2E7F" w:rsidRPr="001567C8" w:rsidRDefault="00AE2E7F" w:rsidP="00600855">
            <w:pPr>
              <w:pStyle w:val="TT"/>
              <w:rPr>
                <w:rFonts w:asciiTheme="minorHAnsi" w:hAnsiTheme="minorHAnsi" w:cs="Arial"/>
                <w:b/>
                <w:bCs/>
                <w:sz w:val="22"/>
                <w:szCs w:val="22"/>
                <w:lang w:val="hr-HR"/>
              </w:rPr>
            </w:pPr>
          </w:p>
        </w:tc>
        <w:tc>
          <w:tcPr>
            <w:tcW w:w="514" w:type="pct"/>
          </w:tcPr>
          <w:p w:rsidR="00AE2E7F" w:rsidRPr="001567C8" w:rsidRDefault="00AE2E7F" w:rsidP="00600855">
            <w:pPr>
              <w:pStyle w:val="TT"/>
              <w:jc w:val="center"/>
              <w:rPr>
                <w:rFonts w:asciiTheme="minorHAnsi" w:hAnsiTheme="minorHAnsi" w:cs="Arial"/>
                <w:b/>
                <w:bCs/>
                <w:spacing w:val="-1"/>
                <w:sz w:val="22"/>
                <w:szCs w:val="22"/>
                <w:lang w:val="hr-HR"/>
              </w:rPr>
            </w:pPr>
          </w:p>
        </w:tc>
        <w:tc>
          <w:tcPr>
            <w:tcW w:w="894" w:type="pct"/>
          </w:tcPr>
          <w:p w:rsidR="00AE2E7F" w:rsidRPr="001567C8" w:rsidRDefault="004F7EAC" w:rsidP="00600855">
            <w:pPr>
              <w:pStyle w:val="TT"/>
              <w:tabs>
                <w:tab w:val="clear" w:pos="1202"/>
              </w:tabs>
              <w:jc w:val="right"/>
              <w:rPr>
                <w:rFonts w:asciiTheme="minorHAnsi" w:hAnsiTheme="minorHAnsi" w:cs="Arial"/>
                <w:b/>
                <w:bCs/>
                <w:sz w:val="22"/>
                <w:szCs w:val="22"/>
                <w:lang w:val="hr-HR"/>
              </w:rPr>
            </w:pPr>
            <w:r w:rsidRPr="001567C8">
              <w:rPr>
                <w:rFonts w:asciiTheme="minorHAnsi" w:hAnsiTheme="minorHAnsi" w:cs="Arial"/>
                <w:b/>
                <w:bCs/>
                <w:sz w:val="22"/>
                <w:szCs w:val="22"/>
                <w:lang w:val="hr-HR"/>
              </w:rPr>
              <w:t>000 kuna</w:t>
            </w:r>
          </w:p>
        </w:tc>
        <w:tc>
          <w:tcPr>
            <w:tcW w:w="1015" w:type="pct"/>
          </w:tcPr>
          <w:p w:rsidR="00AE2E7F" w:rsidRPr="001567C8" w:rsidRDefault="00AE2E7F" w:rsidP="00600855">
            <w:pPr>
              <w:pStyle w:val="TT"/>
              <w:tabs>
                <w:tab w:val="clear" w:pos="1202"/>
              </w:tabs>
              <w:jc w:val="right"/>
              <w:rPr>
                <w:rFonts w:asciiTheme="minorHAnsi" w:hAnsiTheme="minorHAnsi" w:cs="Arial"/>
                <w:b/>
                <w:bCs/>
                <w:sz w:val="22"/>
                <w:szCs w:val="22"/>
                <w:lang w:val="hr-HR"/>
              </w:rPr>
            </w:pPr>
            <w:r w:rsidRPr="001567C8">
              <w:rPr>
                <w:rFonts w:asciiTheme="minorHAnsi" w:hAnsiTheme="minorHAnsi" w:cs="Arial"/>
                <w:b/>
                <w:bCs/>
                <w:sz w:val="22"/>
                <w:szCs w:val="22"/>
                <w:lang w:val="hr-HR"/>
              </w:rPr>
              <w:t>000 kuna</w:t>
            </w:r>
          </w:p>
        </w:tc>
      </w:tr>
      <w:tr w:rsidR="00AE2E7F" w:rsidRPr="001567C8" w:rsidTr="003C6BA3">
        <w:tc>
          <w:tcPr>
            <w:tcW w:w="2577" w:type="pct"/>
          </w:tcPr>
          <w:p w:rsidR="00AE2E7F" w:rsidRPr="001567C8" w:rsidRDefault="00AE2E7F" w:rsidP="00600855">
            <w:pPr>
              <w:pStyle w:val="TT"/>
              <w:rPr>
                <w:rFonts w:asciiTheme="minorHAnsi" w:hAnsiTheme="minorHAnsi" w:cs="Arial"/>
                <w:sz w:val="22"/>
                <w:szCs w:val="22"/>
                <w:lang w:val="hr-HR"/>
              </w:rPr>
            </w:pPr>
          </w:p>
        </w:tc>
        <w:tc>
          <w:tcPr>
            <w:tcW w:w="514" w:type="pct"/>
          </w:tcPr>
          <w:p w:rsidR="00AE2E7F" w:rsidRPr="001567C8" w:rsidRDefault="00AE2E7F" w:rsidP="00600855">
            <w:pPr>
              <w:pStyle w:val="TT"/>
              <w:jc w:val="center"/>
              <w:rPr>
                <w:rFonts w:asciiTheme="minorHAnsi" w:hAnsiTheme="minorHAnsi" w:cs="Arial"/>
                <w:b/>
                <w:spacing w:val="-1"/>
                <w:sz w:val="22"/>
                <w:szCs w:val="22"/>
                <w:lang w:val="hr-HR"/>
              </w:rPr>
            </w:pPr>
          </w:p>
        </w:tc>
        <w:tc>
          <w:tcPr>
            <w:tcW w:w="894" w:type="pct"/>
          </w:tcPr>
          <w:p w:rsidR="00AE2E7F" w:rsidRPr="001567C8" w:rsidRDefault="00AE2E7F" w:rsidP="00600855">
            <w:pPr>
              <w:pStyle w:val="TT"/>
              <w:tabs>
                <w:tab w:val="clear" w:pos="1202"/>
              </w:tabs>
              <w:jc w:val="right"/>
              <w:rPr>
                <w:rFonts w:asciiTheme="minorHAnsi" w:hAnsiTheme="minorHAnsi" w:cs="Arial"/>
                <w:b/>
                <w:sz w:val="22"/>
                <w:szCs w:val="22"/>
                <w:lang w:val="hr-HR"/>
              </w:rPr>
            </w:pPr>
          </w:p>
        </w:tc>
        <w:tc>
          <w:tcPr>
            <w:tcW w:w="1015" w:type="pct"/>
          </w:tcPr>
          <w:p w:rsidR="00AE2E7F" w:rsidRPr="001567C8" w:rsidRDefault="00AE2E7F" w:rsidP="00600855">
            <w:pPr>
              <w:pStyle w:val="TT"/>
              <w:tabs>
                <w:tab w:val="clear" w:pos="1202"/>
              </w:tabs>
              <w:jc w:val="right"/>
              <w:rPr>
                <w:rFonts w:asciiTheme="minorHAnsi" w:hAnsiTheme="minorHAnsi" w:cs="Arial"/>
                <w:b/>
                <w:sz w:val="22"/>
                <w:szCs w:val="22"/>
                <w:lang w:val="hr-HR"/>
              </w:rPr>
            </w:pPr>
          </w:p>
        </w:tc>
      </w:tr>
      <w:tr w:rsidR="00002249" w:rsidRPr="001567C8" w:rsidTr="00052742">
        <w:tc>
          <w:tcPr>
            <w:tcW w:w="2577" w:type="pct"/>
          </w:tcPr>
          <w:p w:rsidR="00002249" w:rsidRPr="001567C8" w:rsidRDefault="00002249" w:rsidP="00002249">
            <w:pPr>
              <w:pStyle w:val="TT"/>
              <w:rPr>
                <w:rFonts w:asciiTheme="minorHAnsi" w:hAnsiTheme="minorHAnsi" w:cs="Arial"/>
                <w:bCs/>
                <w:sz w:val="22"/>
                <w:szCs w:val="22"/>
                <w:lang w:val="hr-HR"/>
              </w:rPr>
            </w:pPr>
            <w:r w:rsidRPr="001567C8">
              <w:rPr>
                <w:rFonts w:asciiTheme="minorHAnsi" w:hAnsiTheme="minorHAnsi" w:cs="Arial"/>
                <w:bCs/>
                <w:spacing w:val="-2"/>
                <w:sz w:val="22"/>
                <w:szCs w:val="22"/>
                <w:lang w:val="hr-HR"/>
              </w:rPr>
              <w:t>Prihodi od kamata izračunati metodom efektivne kamatne stope</w:t>
            </w:r>
          </w:p>
        </w:tc>
        <w:tc>
          <w:tcPr>
            <w:tcW w:w="514" w:type="pct"/>
            <w:vAlign w:val="bottom"/>
          </w:tcPr>
          <w:p w:rsidR="00002249" w:rsidRPr="001567C8" w:rsidRDefault="004418B3" w:rsidP="00002249">
            <w:pPr>
              <w:pStyle w:val="TT"/>
              <w:jc w:val="center"/>
              <w:rPr>
                <w:rFonts w:asciiTheme="minorHAnsi" w:hAnsiTheme="minorHAnsi" w:cs="Arial"/>
                <w:bCs/>
                <w:sz w:val="22"/>
                <w:szCs w:val="22"/>
                <w:lang w:val="hr-HR"/>
              </w:rPr>
            </w:pPr>
            <w:r w:rsidRPr="001567C8">
              <w:rPr>
                <w:rFonts w:asciiTheme="minorHAnsi" w:hAnsiTheme="minorHAnsi" w:cs="Arial"/>
                <w:bCs/>
                <w:sz w:val="22"/>
                <w:szCs w:val="22"/>
                <w:lang w:val="hr-HR"/>
              </w:rPr>
              <w:t>6</w:t>
            </w:r>
          </w:p>
        </w:tc>
        <w:tc>
          <w:tcPr>
            <w:tcW w:w="894" w:type="pct"/>
            <w:tcBorders>
              <w:top w:val="nil"/>
              <w:left w:val="nil"/>
              <w:bottom w:val="nil"/>
              <w:right w:val="nil"/>
            </w:tcBorders>
            <w:shd w:val="clear" w:color="auto" w:fill="auto"/>
            <w:vAlign w:val="bottom"/>
          </w:tcPr>
          <w:p w:rsidR="00002249" w:rsidRPr="00CD3A2D" w:rsidRDefault="00002249" w:rsidP="00002249">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731.708</w:t>
            </w:r>
          </w:p>
        </w:tc>
        <w:tc>
          <w:tcPr>
            <w:tcW w:w="1015" w:type="pct"/>
            <w:tcBorders>
              <w:top w:val="nil"/>
              <w:left w:val="nil"/>
              <w:bottom w:val="nil"/>
              <w:right w:val="nil"/>
            </w:tcBorders>
            <w:shd w:val="clear" w:color="auto" w:fill="auto"/>
            <w:vAlign w:val="bottom"/>
          </w:tcPr>
          <w:p w:rsidR="00002249" w:rsidRPr="001567C8" w:rsidRDefault="00002249" w:rsidP="00002249">
            <w:pPr>
              <w:pStyle w:val="TT"/>
              <w:tabs>
                <w:tab w:val="clear" w:pos="1202"/>
              </w:tabs>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866.198</w:t>
            </w:r>
          </w:p>
        </w:tc>
      </w:tr>
      <w:tr w:rsidR="00002249" w:rsidRPr="001567C8" w:rsidTr="00052742">
        <w:tc>
          <w:tcPr>
            <w:tcW w:w="2577" w:type="pct"/>
          </w:tcPr>
          <w:p w:rsidR="00002249" w:rsidRPr="001567C8" w:rsidRDefault="00002249" w:rsidP="00002249">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Rashodi od kamata</w:t>
            </w:r>
          </w:p>
        </w:tc>
        <w:tc>
          <w:tcPr>
            <w:tcW w:w="514" w:type="pct"/>
            <w:vAlign w:val="bottom"/>
          </w:tcPr>
          <w:p w:rsidR="00002249" w:rsidRPr="001567C8" w:rsidRDefault="004418B3" w:rsidP="00002249">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7</w:t>
            </w:r>
          </w:p>
        </w:tc>
        <w:tc>
          <w:tcPr>
            <w:tcW w:w="894" w:type="pct"/>
            <w:tcBorders>
              <w:top w:val="nil"/>
              <w:left w:val="nil"/>
              <w:bottom w:val="nil"/>
              <w:right w:val="nil"/>
            </w:tcBorders>
            <w:shd w:val="clear" w:color="auto" w:fill="auto"/>
            <w:vAlign w:val="bottom"/>
          </w:tcPr>
          <w:p w:rsidR="00002249" w:rsidRPr="00CD3A2D" w:rsidRDefault="00002249" w:rsidP="00002249">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(356.066)</w:t>
            </w:r>
          </w:p>
        </w:tc>
        <w:tc>
          <w:tcPr>
            <w:tcW w:w="1015" w:type="pct"/>
            <w:tcBorders>
              <w:top w:val="nil"/>
              <w:left w:val="nil"/>
              <w:bottom w:val="single" w:sz="4" w:space="0" w:color="auto"/>
              <w:right w:val="nil"/>
            </w:tcBorders>
            <w:shd w:val="clear" w:color="auto" w:fill="auto"/>
            <w:vAlign w:val="bottom"/>
          </w:tcPr>
          <w:p w:rsidR="00002249" w:rsidRPr="001567C8" w:rsidRDefault="00002249" w:rsidP="00002249">
            <w:pPr>
              <w:pStyle w:val="TT"/>
              <w:tabs>
                <w:tab w:val="clear" w:pos="1202"/>
              </w:tabs>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 xml:space="preserve">          (390.460)</w:t>
            </w:r>
          </w:p>
        </w:tc>
      </w:tr>
      <w:tr w:rsidR="00AE2E7F" w:rsidRPr="001567C8" w:rsidTr="003C6BA3">
        <w:tc>
          <w:tcPr>
            <w:tcW w:w="2577" w:type="pct"/>
          </w:tcPr>
          <w:p w:rsidR="00AE2E7F" w:rsidRPr="001567C8" w:rsidRDefault="00AE2E7F" w:rsidP="00D54F07">
            <w:pPr>
              <w:pStyle w:val="Tot"/>
              <w:rPr>
                <w:rFonts w:asciiTheme="minorHAnsi" w:hAnsiTheme="minorHAnsi" w:cs="Arial"/>
                <w:b/>
                <w:bCs/>
                <w:sz w:val="22"/>
                <w:szCs w:val="22"/>
                <w:vertAlign w:val="superscript"/>
                <w:lang w:val="hr-HR"/>
              </w:rPr>
            </w:pPr>
            <w:r w:rsidRPr="001567C8">
              <w:rPr>
                <w:rFonts w:asciiTheme="minorHAnsi" w:hAnsiTheme="minorHAnsi" w:cs="Arial"/>
                <w:b/>
                <w:bCs/>
                <w:sz w:val="22"/>
                <w:szCs w:val="22"/>
                <w:lang w:val="hr-HR"/>
              </w:rPr>
              <w:t>Neto prihod od kamata</w:t>
            </w:r>
          </w:p>
        </w:tc>
        <w:tc>
          <w:tcPr>
            <w:tcW w:w="514" w:type="pct"/>
            <w:vAlign w:val="bottom"/>
          </w:tcPr>
          <w:p w:rsidR="00AE2E7F" w:rsidRPr="001567C8" w:rsidRDefault="00AE2E7F" w:rsidP="00D54F07">
            <w:pPr>
              <w:pStyle w:val="Tot"/>
              <w:jc w:val="center"/>
              <w:rPr>
                <w:rFonts w:asciiTheme="minorHAnsi" w:hAnsiTheme="minorHAnsi" w:cs="Arial"/>
                <w:b/>
                <w:bCs/>
                <w:sz w:val="22"/>
                <w:szCs w:val="22"/>
                <w:lang w:val="hr-HR"/>
              </w:rPr>
            </w:pPr>
          </w:p>
        </w:tc>
        <w:tc>
          <w:tcPr>
            <w:tcW w:w="894" w:type="pct"/>
            <w:tcBorders>
              <w:top w:val="single" w:sz="4" w:space="0" w:color="auto"/>
              <w:bottom w:val="single" w:sz="12" w:space="0" w:color="auto"/>
            </w:tcBorders>
          </w:tcPr>
          <w:p w:rsidR="00AE2E7F" w:rsidRPr="00CD3A2D" w:rsidRDefault="00002249" w:rsidP="00D54F07">
            <w:pPr>
              <w:pStyle w:val="Tot"/>
              <w:tabs>
                <w:tab w:val="clear" w:pos="1202"/>
              </w:tabs>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375.642</w:t>
            </w:r>
          </w:p>
        </w:tc>
        <w:tc>
          <w:tcPr>
            <w:tcW w:w="1015" w:type="pct"/>
            <w:tcBorders>
              <w:top w:val="single" w:sz="4" w:space="0" w:color="auto"/>
              <w:left w:val="nil"/>
              <w:bottom w:val="single" w:sz="12" w:space="0" w:color="auto"/>
              <w:right w:val="nil"/>
            </w:tcBorders>
            <w:shd w:val="clear" w:color="auto" w:fill="auto"/>
            <w:vAlign w:val="center"/>
          </w:tcPr>
          <w:p w:rsidR="00AE2E7F" w:rsidRPr="001567C8" w:rsidRDefault="00AE2E7F" w:rsidP="00D54F07">
            <w:pPr>
              <w:pStyle w:val="Tot"/>
              <w:tabs>
                <w:tab w:val="clear" w:pos="1202"/>
              </w:tabs>
              <w:jc w:val="right"/>
              <w:rPr>
                <w:rFonts w:asciiTheme="minorHAnsi" w:hAnsiTheme="minorHAnsi" w:cs="Arial"/>
                <w:b/>
                <w:bCs/>
                <w:spacing w:val="-2"/>
                <w:sz w:val="22"/>
                <w:szCs w:val="22"/>
                <w:lang w:val="hr-HR"/>
              </w:rPr>
            </w:pPr>
            <w:r w:rsidRPr="00CD3A2D">
              <w:rPr>
                <w:rFonts w:ascii="Calibri" w:hAnsi="Calibri" w:cs="Calibri"/>
                <w:b/>
                <w:bCs/>
                <w:color w:val="000000"/>
                <w:sz w:val="22"/>
                <w:szCs w:val="22"/>
                <w:lang w:val="hr-HR"/>
              </w:rPr>
              <w:t>475.738</w:t>
            </w:r>
          </w:p>
        </w:tc>
      </w:tr>
      <w:tr w:rsidR="00AE2E7F" w:rsidRPr="001567C8" w:rsidTr="003C6BA3">
        <w:tc>
          <w:tcPr>
            <w:tcW w:w="2577" w:type="pct"/>
          </w:tcPr>
          <w:p w:rsidR="00AE2E7F" w:rsidRPr="001567C8" w:rsidRDefault="00AE2E7F" w:rsidP="00D54F07">
            <w:pPr>
              <w:pStyle w:val="TT"/>
              <w:rPr>
                <w:rFonts w:asciiTheme="minorHAnsi" w:hAnsiTheme="minorHAnsi" w:cs="Arial"/>
                <w:bCs/>
                <w:spacing w:val="-2"/>
                <w:sz w:val="22"/>
                <w:szCs w:val="22"/>
                <w:lang w:val="hr-HR"/>
              </w:rPr>
            </w:pPr>
          </w:p>
        </w:tc>
        <w:tc>
          <w:tcPr>
            <w:tcW w:w="514" w:type="pct"/>
            <w:vAlign w:val="bottom"/>
          </w:tcPr>
          <w:p w:rsidR="00AE2E7F" w:rsidRPr="001567C8" w:rsidRDefault="00AE2E7F" w:rsidP="00D54F07">
            <w:pPr>
              <w:pStyle w:val="TT"/>
              <w:jc w:val="center"/>
              <w:rPr>
                <w:rFonts w:asciiTheme="minorHAnsi" w:hAnsiTheme="minorHAnsi" w:cs="Arial"/>
                <w:bCs/>
                <w:sz w:val="22"/>
                <w:szCs w:val="22"/>
                <w:lang w:val="hr-HR"/>
              </w:rPr>
            </w:pPr>
          </w:p>
        </w:tc>
        <w:tc>
          <w:tcPr>
            <w:tcW w:w="894" w:type="pct"/>
            <w:tcBorders>
              <w:top w:val="single" w:sz="12" w:space="0" w:color="auto"/>
            </w:tcBorders>
          </w:tcPr>
          <w:p w:rsidR="00AE2E7F" w:rsidRPr="001567C8" w:rsidRDefault="00AE2E7F" w:rsidP="00D54F07">
            <w:pPr>
              <w:pStyle w:val="TT"/>
              <w:tabs>
                <w:tab w:val="clear" w:pos="1202"/>
              </w:tabs>
              <w:jc w:val="right"/>
              <w:rPr>
                <w:rFonts w:asciiTheme="minorHAnsi" w:hAnsiTheme="minorHAnsi" w:cs="Arial"/>
                <w:bCs/>
                <w:spacing w:val="-2"/>
                <w:sz w:val="22"/>
                <w:szCs w:val="22"/>
                <w:lang w:val="hr-HR"/>
              </w:rPr>
            </w:pPr>
          </w:p>
        </w:tc>
        <w:tc>
          <w:tcPr>
            <w:tcW w:w="1015" w:type="pct"/>
            <w:tcBorders>
              <w:top w:val="single" w:sz="12" w:space="0" w:color="auto"/>
            </w:tcBorders>
          </w:tcPr>
          <w:p w:rsidR="00AE2E7F" w:rsidRPr="001567C8" w:rsidRDefault="00AE2E7F" w:rsidP="00D54F07">
            <w:pPr>
              <w:pStyle w:val="TT"/>
              <w:tabs>
                <w:tab w:val="clear" w:pos="1202"/>
              </w:tabs>
              <w:jc w:val="right"/>
              <w:rPr>
                <w:rFonts w:asciiTheme="minorHAnsi" w:hAnsiTheme="minorHAnsi" w:cs="Arial"/>
                <w:bCs/>
                <w:spacing w:val="-2"/>
                <w:sz w:val="22"/>
                <w:szCs w:val="22"/>
                <w:lang w:val="hr-HR"/>
              </w:rPr>
            </w:pPr>
          </w:p>
        </w:tc>
      </w:tr>
      <w:tr w:rsidR="00002249" w:rsidRPr="001567C8" w:rsidTr="00052742">
        <w:tc>
          <w:tcPr>
            <w:tcW w:w="2577" w:type="pct"/>
          </w:tcPr>
          <w:p w:rsidR="00002249" w:rsidRPr="001567C8" w:rsidRDefault="00002249" w:rsidP="00002249">
            <w:pPr>
              <w:pStyle w:val="TT"/>
              <w:rPr>
                <w:rFonts w:asciiTheme="minorHAnsi" w:hAnsiTheme="minorHAnsi" w:cs="Arial"/>
                <w:bCs/>
                <w:sz w:val="22"/>
                <w:szCs w:val="22"/>
                <w:lang w:val="hr-HR"/>
              </w:rPr>
            </w:pPr>
            <w:r w:rsidRPr="001567C8">
              <w:rPr>
                <w:rFonts w:asciiTheme="minorHAnsi" w:hAnsiTheme="minorHAnsi" w:cs="Arial"/>
                <w:bCs/>
                <w:spacing w:val="-2"/>
                <w:sz w:val="22"/>
                <w:szCs w:val="22"/>
                <w:lang w:val="hr-HR"/>
              </w:rPr>
              <w:t>Prihodi od naknada</w:t>
            </w:r>
            <w:r w:rsidR="006D2AF3" w:rsidRPr="001567C8">
              <w:rPr>
                <w:rFonts w:asciiTheme="minorHAnsi" w:hAnsiTheme="minorHAnsi" w:cs="Arial"/>
                <w:bCs/>
                <w:spacing w:val="-2"/>
                <w:sz w:val="22"/>
                <w:szCs w:val="22"/>
                <w:lang w:val="hr-HR"/>
              </w:rPr>
              <w:t xml:space="preserve"> i provizija</w:t>
            </w:r>
          </w:p>
        </w:tc>
        <w:tc>
          <w:tcPr>
            <w:tcW w:w="514" w:type="pct"/>
          </w:tcPr>
          <w:p w:rsidR="00002249" w:rsidRPr="001567C8" w:rsidRDefault="004418B3" w:rsidP="00002249">
            <w:pPr>
              <w:pStyle w:val="TT"/>
              <w:jc w:val="center"/>
              <w:rPr>
                <w:rFonts w:asciiTheme="minorHAnsi" w:hAnsiTheme="minorHAnsi" w:cs="Arial"/>
                <w:bCs/>
                <w:sz w:val="22"/>
                <w:szCs w:val="22"/>
                <w:lang w:val="hr-HR"/>
              </w:rPr>
            </w:pPr>
            <w:r w:rsidRPr="001567C8">
              <w:rPr>
                <w:rFonts w:asciiTheme="minorHAnsi" w:hAnsiTheme="minorHAnsi" w:cs="Arial"/>
                <w:bCs/>
                <w:sz w:val="22"/>
                <w:szCs w:val="22"/>
                <w:lang w:val="hr-HR"/>
              </w:rPr>
              <w:t>8</w:t>
            </w:r>
          </w:p>
        </w:tc>
        <w:tc>
          <w:tcPr>
            <w:tcW w:w="894" w:type="pct"/>
            <w:tcBorders>
              <w:top w:val="nil"/>
              <w:left w:val="nil"/>
              <w:bottom w:val="nil"/>
              <w:right w:val="nil"/>
            </w:tcBorders>
            <w:shd w:val="clear" w:color="auto" w:fill="auto"/>
            <w:vAlign w:val="center"/>
          </w:tcPr>
          <w:p w:rsidR="00002249" w:rsidRPr="00CD3A2D" w:rsidRDefault="00002249" w:rsidP="00002249">
            <w:pPr>
              <w:jc w:val="right"/>
              <w:rPr>
                <w:rFonts w:ascii="Calibri" w:hAnsi="Calibri" w:cs="Calibri"/>
                <w:color w:val="000000"/>
                <w:sz w:val="22"/>
                <w:szCs w:val="22"/>
                <w:lang w:val="hr-HR"/>
              </w:rPr>
            </w:pPr>
            <w:r w:rsidRPr="00CD3A2D">
              <w:rPr>
                <w:rFonts w:ascii="Calibri" w:hAnsi="Calibri" w:cs="Calibri"/>
                <w:color w:val="000000"/>
                <w:sz w:val="22"/>
                <w:szCs w:val="22"/>
                <w:lang w:val="hr-HR"/>
              </w:rPr>
              <w:t>42.428</w:t>
            </w:r>
          </w:p>
        </w:tc>
        <w:tc>
          <w:tcPr>
            <w:tcW w:w="1015" w:type="pct"/>
            <w:tcBorders>
              <w:top w:val="nil"/>
              <w:left w:val="nil"/>
              <w:bottom w:val="nil"/>
              <w:right w:val="nil"/>
            </w:tcBorders>
            <w:shd w:val="clear" w:color="auto" w:fill="auto"/>
            <w:vAlign w:val="center"/>
          </w:tcPr>
          <w:p w:rsidR="00002249" w:rsidRPr="001567C8" w:rsidRDefault="00002249" w:rsidP="00002249">
            <w:pPr>
              <w:jc w:val="right"/>
              <w:rPr>
                <w:rFonts w:asciiTheme="minorHAnsi" w:eastAsia="Arial Unicode MS" w:hAnsiTheme="minorHAnsi" w:cs="Arial"/>
                <w:sz w:val="22"/>
                <w:szCs w:val="22"/>
                <w:lang w:val="hr-HR"/>
              </w:rPr>
            </w:pPr>
            <w:r w:rsidRPr="00CD3A2D">
              <w:rPr>
                <w:rFonts w:ascii="Calibri" w:hAnsi="Calibri" w:cs="Calibri"/>
                <w:color w:val="000000"/>
                <w:sz w:val="22"/>
                <w:szCs w:val="22"/>
                <w:lang w:val="hr-HR"/>
              </w:rPr>
              <w:t>45.539</w:t>
            </w:r>
          </w:p>
        </w:tc>
      </w:tr>
      <w:tr w:rsidR="00002249" w:rsidRPr="001567C8" w:rsidTr="00052742">
        <w:trPr>
          <w:trHeight w:val="333"/>
        </w:trPr>
        <w:tc>
          <w:tcPr>
            <w:tcW w:w="2577" w:type="pct"/>
            <w:vAlign w:val="center"/>
          </w:tcPr>
          <w:p w:rsidR="00002249" w:rsidRPr="001567C8" w:rsidRDefault="00002249" w:rsidP="00002249">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Rashodi od naknada</w:t>
            </w:r>
            <w:r w:rsidR="006D2AF3" w:rsidRPr="001567C8">
              <w:rPr>
                <w:rFonts w:asciiTheme="minorHAnsi" w:hAnsiTheme="minorHAnsi" w:cs="Arial"/>
                <w:bCs/>
                <w:spacing w:val="-2"/>
                <w:sz w:val="22"/>
                <w:szCs w:val="22"/>
                <w:lang w:val="hr-HR"/>
              </w:rPr>
              <w:t xml:space="preserve"> i provizija</w:t>
            </w:r>
          </w:p>
        </w:tc>
        <w:tc>
          <w:tcPr>
            <w:tcW w:w="514" w:type="pct"/>
            <w:vAlign w:val="center"/>
          </w:tcPr>
          <w:p w:rsidR="00002249" w:rsidRPr="001567C8" w:rsidRDefault="004418B3" w:rsidP="00002249">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8</w:t>
            </w:r>
          </w:p>
        </w:tc>
        <w:tc>
          <w:tcPr>
            <w:tcW w:w="894" w:type="pct"/>
            <w:tcBorders>
              <w:top w:val="nil"/>
              <w:left w:val="nil"/>
              <w:bottom w:val="nil"/>
              <w:right w:val="nil"/>
            </w:tcBorders>
            <w:shd w:val="clear" w:color="auto" w:fill="auto"/>
            <w:vAlign w:val="bottom"/>
          </w:tcPr>
          <w:p w:rsidR="00002249" w:rsidRPr="00CD3A2D" w:rsidRDefault="00002249" w:rsidP="00002249">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(3.778)</w:t>
            </w:r>
          </w:p>
        </w:tc>
        <w:tc>
          <w:tcPr>
            <w:tcW w:w="1015" w:type="pct"/>
            <w:tcBorders>
              <w:top w:val="nil"/>
              <w:left w:val="nil"/>
              <w:bottom w:val="single" w:sz="4" w:space="0" w:color="auto"/>
              <w:right w:val="nil"/>
            </w:tcBorders>
            <w:shd w:val="clear" w:color="auto" w:fill="auto"/>
            <w:vAlign w:val="bottom"/>
          </w:tcPr>
          <w:p w:rsidR="00002249" w:rsidRPr="001567C8" w:rsidRDefault="00002249" w:rsidP="00002249">
            <w:pPr>
              <w:jc w:val="right"/>
              <w:rPr>
                <w:rFonts w:asciiTheme="minorHAnsi" w:eastAsia="Arial Unicode MS" w:hAnsiTheme="minorHAnsi" w:cs="Arial"/>
                <w:sz w:val="22"/>
                <w:szCs w:val="22"/>
                <w:lang w:val="hr-HR"/>
              </w:rPr>
            </w:pPr>
            <w:r w:rsidRPr="00CD3A2D">
              <w:rPr>
                <w:rFonts w:ascii="Calibri" w:hAnsi="Calibri" w:cs="Calibri"/>
                <w:color w:val="000000"/>
                <w:sz w:val="22"/>
                <w:szCs w:val="22"/>
                <w:lang w:val="hr-HR"/>
              </w:rPr>
              <w:t xml:space="preserve">               (3.144)</w:t>
            </w:r>
          </w:p>
        </w:tc>
      </w:tr>
      <w:tr w:rsidR="00AE2E7F" w:rsidRPr="001567C8" w:rsidTr="003C6BA3">
        <w:tc>
          <w:tcPr>
            <w:tcW w:w="2577" w:type="pct"/>
          </w:tcPr>
          <w:p w:rsidR="00AE2E7F" w:rsidRPr="001567C8" w:rsidRDefault="00AE2E7F" w:rsidP="00D54F07">
            <w:pPr>
              <w:pStyle w:val="Tot"/>
              <w:rPr>
                <w:rFonts w:asciiTheme="minorHAnsi" w:hAnsiTheme="minorHAnsi" w:cs="Arial"/>
                <w:b/>
                <w:bCs/>
                <w:sz w:val="22"/>
                <w:szCs w:val="22"/>
                <w:vertAlign w:val="superscript"/>
                <w:lang w:val="hr-HR"/>
              </w:rPr>
            </w:pPr>
            <w:r w:rsidRPr="001567C8">
              <w:rPr>
                <w:rFonts w:asciiTheme="minorHAnsi" w:hAnsiTheme="minorHAnsi" w:cs="Arial"/>
                <w:b/>
                <w:bCs/>
                <w:sz w:val="22"/>
                <w:szCs w:val="22"/>
                <w:lang w:val="hr-HR"/>
              </w:rPr>
              <w:t>Neto prihod od naknada</w:t>
            </w:r>
            <w:r w:rsidR="00C72B30">
              <w:rPr>
                <w:rFonts w:asciiTheme="minorHAnsi" w:hAnsiTheme="minorHAnsi" w:cs="Arial"/>
                <w:b/>
                <w:bCs/>
                <w:sz w:val="22"/>
                <w:szCs w:val="22"/>
                <w:lang w:val="hr-HR"/>
              </w:rPr>
              <w:t xml:space="preserve"> i provizija</w:t>
            </w:r>
          </w:p>
        </w:tc>
        <w:tc>
          <w:tcPr>
            <w:tcW w:w="514" w:type="pct"/>
            <w:vAlign w:val="bottom"/>
          </w:tcPr>
          <w:p w:rsidR="00AE2E7F" w:rsidRPr="001567C8" w:rsidRDefault="00AE2E7F" w:rsidP="00D54F07">
            <w:pPr>
              <w:pStyle w:val="Tot"/>
              <w:jc w:val="center"/>
              <w:rPr>
                <w:rFonts w:asciiTheme="minorHAnsi" w:hAnsiTheme="minorHAnsi" w:cs="Arial"/>
                <w:b/>
                <w:bCs/>
                <w:sz w:val="22"/>
                <w:szCs w:val="22"/>
                <w:lang w:val="hr-HR"/>
              </w:rPr>
            </w:pPr>
          </w:p>
        </w:tc>
        <w:tc>
          <w:tcPr>
            <w:tcW w:w="894" w:type="pct"/>
            <w:tcBorders>
              <w:top w:val="single" w:sz="4" w:space="0" w:color="auto"/>
              <w:bottom w:val="single" w:sz="12" w:space="0" w:color="auto"/>
            </w:tcBorders>
          </w:tcPr>
          <w:p w:rsidR="00AE2E7F" w:rsidRPr="00CD3A2D" w:rsidRDefault="004F7EAC" w:rsidP="00D54F07">
            <w:pPr>
              <w:pStyle w:val="Tot"/>
              <w:tabs>
                <w:tab w:val="clear" w:pos="1202"/>
              </w:tabs>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38.650</w:t>
            </w:r>
          </w:p>
        </w:tc>
        <w:tc>
          <w:tcPr>
            <w:tcW w:w="1015" w:type="pct"/>
            <w:tcBorders>
              <w:top w:val="single" w:sz="4" w:space="0" w:color="auto"/>
              <w:left w:val="nil"/>
              <w:bottom w:val="single" w:sz="12" w:space="0" w:color="auto"/>
              <w:right w:val="nil"/>
            </w:tcBorders>
            <w:shd w:val="clear" w:color="auto" w:fill="auto"/>
            <w:vAlign w:val="center"/>
          </w:tcPr>
          <w:p w:rsidR="00AE2E7F" w:rsidRPr="001567C8" w:rsidRDefault="00AE2E7F" w:rsidP="00D54F07">
            <w:pPr>
              <w:pStyle w:val="Tot"/>
              <w:tabs>
                <w:tab w:val="clear" w:pos="1202"/>
              </w:tabs>
              <w:jc w:val="right"/>
              <w:rPr>
                <w:rFonts w:asciiTheme="minorHAnsi" w:hAnsiTheme="minorHAnsi" w:cs="Arial"/>
                <w:b/>
                <w:bCs/>
                <w:spacing w:val="-2"/>
                <w:sz w:val="22"/>
                <w:szCs w:val="22"/>
                <w:lang w:val="hr-HR"/>
              </w:rPr>
            </w:pPr>
            <w:r w:rsidRPr="00CD3A2D">
              <w:rPr>
                <w:rFonts w:ascii="Calibri" w:hAnsi="Calibri" w:cs="Calibri"/>
                <w:b/>
                <w:bCs/>
                <w:color w:val="000000"/>
                <w:sz w:val="22"/>
                <w:szCs w:val="22"/>
                <w:lang w:val="hr-HR"/>
              </w:rPr>
              <w:t>42.395</w:t>
            </w:r>
          </w:p>
        </w:tc>
      </w:tr>
      <w:tr w:rsidR="00AE2E7F" w:rsidRPr="001567C8" w:rsidTr="003C6BA3">
        <w:tc>
          <w:tcPr>
            <w:tcW w:w="2577" w:type="pct"/>
          </w:tcPr>
          <w:p w:rsidR="00AE2E7F" w:rsidRPr="001567C8" w:rsidRDefault="00AE2E7F" w:rsidP="00D54F07">
            <w:pPr>
              <w:pStyle w:val="TT"/>
              <w:rPr>
                <w:rFonts w:asciiTheme="minorHAnsi" w:hAnsiTheme="minorHAnsi" w:cs="Arial"/>
                <w:sz w:val="22"/>
                <w:szCs w:val="22"/>
                <w:lang w:val="hr-HR"/>
              </w:rPr>
            </w:pPr>
          </w:p>
        </w:tc>
        <w:tc>
          <w:tcPr>
            <w:tcW w:w="514" w:type="pct"/>
            <w:vAlign w:val="bottom"/>
          </w:tcPr>
          <w:p w:rsidR="00AE2E7F" w:rsidRPr="001567C8" w:rsidRDefault="00AE2E7F" w:rsidP="00D54F07">
            <w:pPr>
              <w:pStyle w:val="TT"/>
              <w:jc w:val="center"/>
              <w:rPr>
                <w:rFonts w:asciiTheme="minorHAnsi" w:hAnsiTheme="minorHAnsi" w:cs="Arial"/>
                <w:sz w:val="22"/>
                <w:szCs w:val="22"/>
                <w:lang w:val="hr-HR"/>
              </w:rPr>
            </w:pPr>
          </w:p>
        </w:tc>
        <w:tc>
          <w:tcPr>
            <w:tcW w:w="894" w:type="pct"/>
            <w:tcBorders>
              <w:top w:val="single" w:sz="12" w:space="0" w:color="auto"/>
            </w:tcBorders>
          </w:tcPr>
          <w:p w:rsidR="00AE2E7F" w:rsidRPr="001567C8" w:rsidRDefault="00AE2E7F" w:rsidP="00D54F07">
            <w:pPr>
              <w:pStyle w:val="TT"/>
              <w:jc w:val="right"/>
              <w:rPr>
                <w:rFonts w:asciiTheme="minorHAnsi" w:hAnsiTheme="minorHAnsi" w:cs="Arial"/>
                <w:sz w:val="22"/>
                <w:szCs w:val="22"/>
                <w:lang w:val="hr-HR"/>
              </w:rPr>
            </w:pPr>
          </w:p>
        </w:tc>
        <w:tc>
          <w:tcPr>
            <w:tcW w:w="1015" w:type="pct"/>
            <w:tcBorders>
              <w:top w:val="single" w:sz="12" w:space="0" w:color="auto"/>
            </w:tcBorders>
          </w:tcPr>
          <w:p w:rsidR="00AE2E7F" w:rsidRPr="001567C8" w:rsidRDefault="00AE2E7F" w:rsidP="00D54F07">
            <w:pPr>
              <w:pStyle w:val="TT"/>
              <w:jc w:val="right"/>
              <w:rPr>
                <w:rFonts w:asciiTheme="minorHAnsi" w:hAnsiTheme="minorHAnsi" w:cs="Arial"/>
                <w:sz w:val="22"/>
                <w:szCs w:val="22"/>
                <w:lang w:val="hr-HR"/>
              </w:rPr>
            </w:pPr>
          </w:p>
        </w:tc>
      </w:tr>
      <w:tr w:rsidR="004F7EAC" w:rsidRPr="001567C8" w:rsidTr="00052742">
        <w:tc>
          <w:tcPr>
            <w:tcW w:w="2577" w:type="pct"/>
          </w:tcPr>
          <w:p w:rsidR="004F7EAC" w:rsidRPr="001567C8" w:rsidRDefault="004F7EAC" w:rsidP="004F7EAC">
            <w:pPr>
              <w:pStyle w:val="TT"/>
              <w:rPr>
                <w:rFonts w:asciiTheme="minorHAnsi" w:hAnsiTheme="minorHAnsi" w:cs="Arial"/>
                <w:sz w:val="22"/>
                <w:szCs w:val="22"/>
                <w:lang w:val="hr-HR"/>
              </w:rPr>
            </w:pPr>
            <w:r w:rsidRPr="001567C8">
              <w:rPr>
                <w:rFonts w:asciiTheme="minorHAnsi" w:hAnsiTheme="minorHAnsi" w:cs="Arial"/>
                <w:sz w:val="22"/>
                <w:szCs w:val="22"/>
                <w:lang w:val="hr-HR"/>
              </w:rPr>
              <w:t>Neto</w:t>
            </w:r>
            <w:r w:rsidR="00FB3A7C" w:rsidRPr="001567C8">
              <w:rPr>
                <w:rFonts w:asciiTheme="minorHAnsi" w:hAnsiTheme="minorHAnsi" w:cs="Arial"/>
                <w:sz w:val="22"/>
                <w:szCs w:val="22"/>
                <w:lang w:val="hr-HR"/>
              </w:rPr>
              <w:t xml:space="preserve"> prihodi/</w:t>
            </w:r>
            <w:r w:rsidRPr="001567C8">
              <w:rPr>
                <w:rFonts w:asciiTheme="minorHAnsi" w:hAnsiTheme="minorHAnsi" w:cs="Arial"/>
                <w:sz w:val="22"/>
                <w:szCs w:val="22"/>
                <w:lang w:val="hr-HR"/>
              </w:rPr>
              <w:t>(rashodi)</w:t>
            </w:r>
            <w:r w:rsidR="00FB3A7C"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 xml:space="preserve">od financijskih aktivnosti </w:t>
            </w:r>
          </w:p>
        </w:tc>
        <w:tc>
          <w:tcPr>
            <w:tcW w:w="514" w:type="pct"/>
            <w:vAlign w:val="bottom"/>
          </w:tcPr>
          <w:p w:rsidR="004F7EAC" w:rsidRPr="001567C8" w:rsidRDefault="004418B3" w:rsidP="004F7EAC">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9</w:t>
            </w:r>
          </w:p>
        </w:tc>
        <w:tc>
          <w:tcPr>
            <w:tcW w:w="894" w:type="pct"/>
            <w:tcBorders>
              <w:top w:val="nil"/>
              <w:left w:val="nil"/>
              <w:bottom w:val="nil"/>
              <w:right w:val="nil"/>
            </w:tcBorders>
            <w:shd w:val="clear" w:color="auto" w:fill="auto"/>
            <w:vAlign w:val="bottom"/>
          </w:tcPr>
          <w:p w:rsidR="004F7EAC" w:rsidRPr="00CD3A2D" w:rsidRDefault="004F7EAC" w:rsidP="004F7EAC">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9.506 </w:t>
            </w:r>
          </w:p>
        </w:tc>
        <w:tc>
          <w:tcPr>
            <w:tcW w:w="1015" w:type="pct"/>
            <w:tcBorders>
              <w:top w:val="nil"/>
              <w:left w:val="nil"/>
              <w:bottom w:val="nil"/>
              <w:right w:val="nil"/>
            </w:tcBorders>
            <w:shd w:val="clear" w:color="auto" w:fill="auto"/>
            <w:vAlign w:val="bottom"/>
          </w:tcPr>
          <w:p w:rsidR="004F7EAC" w:rsidRPr="001567C8" w:rsidRDefault="004F7EAC" w:rsidP="004F7EAC">
            <w:pPr>
              <w:pStyle w:val="TT"/>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 xml:space="preserve">            (20.625)</w:t>
            </w:r>
          </w:p>
        </w:tc>
      </w:tr>
      <w:tr w:rsidR="004F7EAC" w:rsidRPr="001567C8" w:rsidTr="00052742">
        <w:tc>
          <w:tcPr>
            <w:tcW w:w="2577" w:type="pct"/>
          </w:tcPr>
          <w:p w:rsidR="004F7EAC" w:rsidRPr="001567C8" w:rsidRDefault="004F7EAC" w:rsidP="004F7EAC">
            <w:pPr>
              <w:pStyle w:val="Tot"/>
              <w:rPr>
                <w:rFonts w:asciiTheme="minorHAnsi" w:hAnsiTheme="minorHAnsi" w:cs="Arial"/>
                <w:sz w:val="22"/>
                <w:szCs w:val="22"/>
                <w:lang w:val="hr-HR"/>
              </w:rPr>
            </w:pPr>
            <w:r w:rsidRPr="001567C8">
              <w:rPr>
                <w:rFonts w:asciiTheme="minorHAnsi" w:hAnsiTheme="minorHAnsi" w:cs="Arial"/>
                <w:sz w:val="22"/>
                <w:szCs w:val="22"/>
                <w:lang w:val="hr-HR"/>
              </w:rPr>
              <w:t>Ostali prihodi</w:t>
            </w:r>
          </w:p>
        </w:tc>
        <w:tc>
          <w:tcPr>
            <w:tcW w:w="514" w:type="pct"/>
            <w:vAlign w:val="bottom"/>
          </w:tcPr>
          <w:p w:rsidR="004F7EAC" w:rsidRPr="001567C8" w:rsidRDefault="004F7EAC" w:rsidP="004F7EAC">
            <w:pPr>
              <w:pStyle w:val="Tot"/>
              <w:jc w:val="center"/>
              <w:rPr>
                <w:rFonts w:asciiTheme="minorHAnsi" w:hAnsiTheme="minorHAnsi" w:cs="Arial"/>
                <w:b/>
                <w:bCs/>
                <w:sz w:val="22"/>
                <w:szCs w:val="22"/>
                <w:lang w:val="hr-HR"/>
              </w:rPr>
            </w:pPr>
          </w:p>
        </w:tc>
        <w:tc>
          <w:tcPr>
            <w:tcW w:w="894" w:type="pct"/>
            <w:tcBorders>
              <w:top w:val="nil"/>
              <w:left w:val="nil"/>
              <w:bottom w:val="nil"/>
              <w:right w:val="nil"/>
            </w:tcBorders>
            <w:shd w:val="clear" w:color="auto" w:fill="auto"/>
            <w:vAlign w:val="center"/>
          </w:tcPr>
          <w:p w:rsidR="004F7EAC" w:rsidRPr="00CD3A2D" w:rsidRDefault="004F7EAC" w:rsidP="004F7EAC">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7.596</w:t>
            </w:r>
          </w:p>
        </w:tc>
        <w:tc>
          <w:tcPr>
            <w:tcW w:w="1015" w:type="pct"/>
            <w:tcBorders>
              <w:top w:val="nil"/>
              <w:left w:val="nil"/>
              <w:bottom w:val="single" w:sz="4" w:space="0" w:color="auto"/>
              <w:right w:val="nil"/>
            </w:tcBorders>
            <w:shd w:val="clear" w:color="auto" w:fill="auto"/>
            <w:vAlign w:val="center"/>
          </w:tcPr>
          <w:p w:rsidR="004F7EAC" w:rsidRPr="001567C8" w:rsidRDefault="004F7EAC" w:rsidP="004F7EAC">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7.627</w:t>
            </w:r>
          </w:p>
        </w:tc>
      </w:tr>
      <w:tr w:rsidR="00AE2E7F" w:rsidRPr="001567C8" w:rsidTr="003C6BA3">
        <w:tc>
          <w:tcPr>
            <w:tcW w:w="2577" w:type="pct"/>
          </w:tcPr>
          <w:p w:rsidR="00AE2E7F" w:rsidRPr="001567C8" w:rsidRDefault="00AE2E7F" w:rsidP="00D54F07">
            <w:pPr>
              <w:pStyle w:val="Tot"/>
              <w:rPr>
                <w:rFonts w:asciiTheme="minorHAnsi" w:hAnsiTheme="minorHAnsi" w:cs="Arial"/>
                <w:b/>
                <w:bCs/>
                <w:sz w:val="22"/>
                <w:szCs w:val="22"/>
                <w:lang w:val="hr-HR"/>
              </w:rPr>
            </w:pPr>
          </w:p>
        </w:tc>
        <w:tc>
          <w:tcPr>
            <w:tcW w:w="514" w:type="pct"/>
            <w:vAlign w:val="bottom"/>
          </w:tcPr>
          <w:p w:rsidR="00AE2E7F" w:rsidRPr="001567C8" w:rsidRDefault="00AE2E7F" w:rsidP="00D54F07">
            <w:pPr>
              <w:pStyle w:val="Tot"/>
              <w:jc w:val="center"/>
              <w:rPr>
                <w:rFonts w:asciiTheme="minorHAnsi" w:hAnsiTheme="minorHAnsi" w:cs="Arial"/>
                <w:b/>
                <w:bCs/>
                <w:sz w:val="22"/>
                <w:szCs w:val="22"/>
                <w:lang w:val="hr-HR"/>
              </w:rPr>
            </w:pPr>
          </w:p>
        </w:tc>
        <w:tc>
          <w:tcPr>
            <w:tcW w:w="894" w:type="pct"/>
            <w:tcBorders>
              <w:top w:val="single" w:sz="4" w:space="0" w:color="auto"/>
              <w:bottom w:val="single" w:sz="12" w:space="0" w:color="auto"/>
            </w:tcBorders>
          </w:tcPr>
          <w:p w:rsidR="00AE2E7F" w:rsidRPr="00CD3A2D" w:rsidRDefault="004F7EAC" w:rsidP="00D54F07">
            <w:pPr>
              <w:pStyle w:val="Tot"/>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431.394</w:t>
            </w:r>
          </w:p>
        </w:tc>
        <w:tc>
          <w:tcPr>
            <w:tcW w:w="1015" w:type="pct"/>
            <w:tcBorders>
              <w:top w:val="single" w:sz="4" w:space="0" w:color="auto"/>
              <w:left w:val="nil"/>
              <w:bottom w:val="single" w:sz="12" w:space="0" w:color="auto"/>
              <w:right w:val="nil"/>
            </w:tcBorders>
            <w:shd w:val="clear" w:color="auto" w:fill="auto"/>
            <w:vAlign w:val="center"/>
          </w:tcPr>
          <w:p w:rsidR="00AE2E7F" w:rsidRPr="001567C8" w:rsidRDefault="00AE2E7F" w:rsidP="00D54F07">
            <w:pPr>
              <w:pStyle w:val="Tot"/>
              <w:jc w:val="right"/>
              <w:rPr>
                <w:rFonts w:asciiTheme="minorHAnsi" w:hAnsiTheme="minorHAnsi" w:cs="Arial"/>
                <w:b/>
                <w:bCs/>
                <w:sz w:val="22"/>
                <w:szCs w:val="22"/>
                <w:lang w:val="hr-HR"/>
              </w:rPr>
            </w:pPr>
            <w:r w:rsidRPr="00CD3A2D">
              <w:rPr>
                <w:rFonts w:ascii="Calibri" w:hAnsi="Calibri" w:cs="Calibri"/>
                <w:b/>
                <w:bCs/>
                <w:color w:val="000000"/>
                <w:sz w:val="22"/>
                <w:szCs w:val="22"/>
                <w:lang w:val="hr-HR"/>
              </w:rPr>
              <w:t>505.135</w:t>
            </w:r>
          </w:p>
        </w:tc>
      </w:tr>
      <w:tr w:rsidR="00AE2E7F" w:rsidRPr="001567C8" w:rsidTr="003C6BA3">
        <w:tc>
          <w:tcPr>
            <w:tcW w:w="2577" w:type="pct"/>
          </w:tcPr>
          <w:p w:rsidR="00AE2E7F" w:rsidRPr="001567C8" w:rsidRDefault="00AE2E7F" w:rsidP="00D54F07">
            <w:pPr>
              <w:pStyle w:val="TT"/>
              <w:rPr>
                <w:rFonts w:asciiTheme="minorHAnsi" w:hAnsiTheme="minorHAnsi" w:cs="Arial"/>
                <w:bCs/>
                <w:spacing w:val="-2"/>
                <w:sz w:val="22"/>
                <w:szCs w:val="22"/>
                <w:lang w:val="hr-HR"/>
              </w:rPr>
            </w:pPr>
          </w:p>
        </w:tc>
        <w:tc>
          <w:tcPr>
            <w:tcW w:w="514" w:type="pct"/>
            <w:vAlign w:val="bottom"/>
          </w:tcPr>
          <w:p w:rsidR="00AE2E7F" w:rsidRPr="001567C8" w:rsidRDefault="00AE2E7F" w:rsidP="00D54F07">
            <w:pPr>
              <w:pStyle w:val="TT"/>
              <w:jc w:val="center"/>
              <w:rPr>
                <w:rFonts w:asciiTheme="minorHAnsi" w:hAnsiTheme="minorHAnsi" w:cs="Arial"/>
                <w:bCs/>
                <w:spacing w:val="-2"/>
                <w:sz w:val="22"/>
                <w:szCs w:val="22"/>
                <w:lang w:val="hr-HR"/>
              </w:rPr>
            </w:pPr>
          </w:p>
        </w:tc>
        <w:tc>
          <w:tcPr>
            <w:tcW w:w="894" w:type="pct"/>
            <w:tcBorders>
              <w:top w:val="single" w:sz="12" w:space="0" w:color="auto"/>
            </w:tcBorders>
          </w:tcPr>
          <w:p w:rsidR="00AE2E7F" w:rsidRPr="001567C8" w:rsidRDefault="00AE2E7F" w:rsidP="00D54F07">
            <w:pPr>
              <w:pStyle w:val="TT"/>
              <w:tabs>
                <w:tab w:val="clear" w:pos="1202"/>
              </w:tabs>
              <w:jc w:val="right"/>
              <w:rPr>
                <w:rFonts w:asciiTheme="minorHAnsi" w:hAnsiTheme="minorHAnsi" w:cs="Arial"/>
                <w:bCs/>
                <w:spacing w:val="-2"/>
                <w:sz w:val="22"/>
                <w:szCs w:val="22"/>
                <w:lang w:val="hr-HR"/>
              </w:rPr>
            </w:pPr>
          </w:p>
        </w:tc>
        <w:tc>
          <w:tcPr>
            <w:tcW w:w="1015" w:type="pct"/>
            <w:tcBorders>
              <w:top w:val="single" w:sz="12" w:space="0" w:color="auto"/>
            </w:tcBorders>
          </w:tcPr>
          <w:p w:rsidR="00AE2E7F" w:rsidRPr="001567C8" w:rsidRDefault="00AE2E7F" w:rsidP="00D54F07">
            <w:pPr>
              <w:pStyle w:val="TT"/>
              <w:tabs>
                <w:tab w:val="clear" w:pos="1202"/>
              </w:tabs>
              <w:jc w:val="right"/>
              <w:rPr>
                <w:rFonts w:asciiTheme="minorHAnsi" w:hAnsiTheme="minorHAnsi" w:cs="Arial"/>
                <w:bCs/>
                <w:spacing w:val="-2"/>
                <w:sz w:val="22"/>
                <w:szCs w:val="22"/>
                <w:lang w:val="hr-HR"/>
              </w:rPr>
            </w:pPr>
          </w:p>
        </w:tc>
      </w:tr>
      <w:tr w:rsidR="001F2D41" w:rsidRPr="001567C8" w:rsidTr="003C6BA3">
        <w:tc>
          <w:tcPr>
            <w:tcW w:w="2577" w:type="pct"/>
            <w:vAlign w:val="bottom"/>
          </w:tcPr>
          <w:p w:rsidR="001F2D41" w:rsidRPr="001567C8" w:rsidRDefault="001F2D41" w:rsidP="001F2D41">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Troškovi osoblja</w:t>
            </w:r>
          </w:p>
        </w:tc>
        <w:tc>
          <w:tcPr>
            <w:tcW w:w="514" w:type="pct"/>
            <w:vAlign w:val="bottom"/>
          </w:tcPr>
          <w:p w:rsidR="001F2D41" w:rsidRPr="001567C8" w:rsidRDefault="001F2D41" w:rsidP="001F2D41">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10 a)</w:t>
            </w:r>
          </w:p>
        </w:tc>
        <w:tc>
          <w:tcPr>
            <w:tcW w:w="894" w:type="pct"/>
            <w:tcBorders>
              <w:top w:val="nil"/>
              <w:left w:val="nil"/>
              <w:bottom w:val="nil"/>
              <w:right w:val="nil"/>
            </w:tcBorders>
            <w:shd w:val="clear" w:color="auto" w:fill="auto"/>
            <w:vAlign w:val="bottom"/>
          </w:tcPr>
          <w:p w:rsidR="001F2D41" w:rsidRPr="00CD3A2D" w:rsidRDefault="001F2D41" w:rsidP="001F2D41">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(90.469)</w:t>
            </w:r>
          </w:p>
        </w:tc>
        <w:tc>
          <w:tcPr>
            <w:tcW w:w="1015" w:type="pct"/>
            <w:tcBorders>
              <w:top w:val="nil"/>
              <w:left w:val="nil"/>
              <w:bottom w:val="nil"/>
              <w:right w:val="nil"/>
            </w:tcBorders>
            <w:shd w:val="clear" w:color="auto" w:fill="auto"/>
            <w:vAlign w:val="bottom"/>
          </w:tcPr>
          <w:p w:rsidR="001F2D41" w:rsidRPr="001567C8" w:rsidRDefault="001F2D41" w:rsidP="001F2D41">
            <w:pPr>
              <w:pStyle w:val="TT"/>
              <w:tabs>
                <w:tab w:val="clear" w:pos="1202"/>
              </w:tabs>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 xml:space="preserve">          (86.518)</w:t>
            </w:r>
          </w:p>
        </w:tc>
      </w:tr>
      <w:tr w:rsidR="001F2D41" w:rsidRPr="001567C8" w:rsidTr="003C6BA3">
        <w:tc>
          <w:tcPr>
            <w:tcW w:w="2577" w:type="pct"/>
            <w:vAlign w:val="bottom"/>
          </w:tcPr>
          <w:p w:rsidR="001F2D41" w:rsidRPr="001567C8" w:rsidRDefault="001F2D41" w:rsidP="001F2D41">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Amortizacija</w:t>
            </w:r>
          </w:p>
        </w:tc>
        <w:tc>
          <w:tcPr>
            <w:tcW w:w="514" w:type="pct"/>
            <w:vAlign w:val="bottom"/>
          </w:tcPr>
          <w:p w:rsidR="001F2D41" w:rsidRPr="001567C8" w:rsidRDefault="001F2D41" w:rsidP="001F2D41">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10 b)</w:t>
            </w:r>
          </w:p>
        </w:tc>
        <w:tc>
          <w:tcPr>
            <w:tcW w:w="894" w:type="pct"/>
            <w:tcBorders>
              <w:top w:val="nil"/>
              <w:left w:val="nil"/>
              <w:bottom w:val="nil"/>
              <w:right w:val="nil"/>
            </w:tcBorders>
            <w:shd w:val="clear" w:color="auto" w:fill="auto"/>
            <w:vAlign w:val="bottom"/>
          </w:tcPr>
          <w:p w:rsidR="001F2D41" w:rsidRPr="00CD3A2D" w:rsidRDefault="001F2D41" w:rsidP="001F2D41">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(6.284)</w:t>
            </w:r>
          </w:p>
        </w:tc>
        <w:tc>
          <w:tcPr>
            <w:tcW w:w="1015" w:type="pct"/>
            <w:tcBorders>
              <w:top w:val="nil"/>
              <w:left w:val="nil"/>
              <w:bottom w:val="nil"/>
              <w:right w:val="nil"/>
            </w:tcBorders>
            <w:shd w:val="clear" w:color="auto" w:fill="auto"/>
            <w:vAlign w:val="bottom"/>
          </w:tcPr>
          <w:p w:rsidR="001F2D41" w:rsidRPr="00CD3A2D" w:rsidRDefault="001F2D41" w:rsidP="001F2D41">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(7.482)</w:t>
            </w:r>
          </w:p>
        </w:tc>
      </w:tr>
      <w:tr w:rsidR="001F2D41" w:rsidRPr="001567C8" w:rsidTr="003C6BA3">
        <w:tc>
          <w:tcPr>
            <w:tcW w:w="2577" w:type="pct"/>
            <w:vAlign w:val="bottom"/>
          </w:tcPr>
          <w:p w:rsidR="001F2D41" w:rsidRPr="001567C8" w:rsidRDefault="001F2D41" w:rsidP="001F2D41">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Ostali troškovi</w:t>
            </w:r>
          </w:p>
        </w:tc>
        <w:tc>
          <w:tcPr>
            <w:tcW w:w="514" w:type="pct"/>
            <w:vAlign w:val="bottom"/>
          </w:tcPr>
          <w:p w:rsidR="001F2D41" w:rsidRPr="001567C8" w:rsidRDefault="001F2D41" w:rsidP="001F2D41">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10 c)</w:t>
            </w:r>
          </w:p>
        </w:tc>
        <w:tc>
          <w:tcPr>
            <w:tcW w:w="894" w:type="pct"/>
            <w:tcBorders>
              <w:top w:val="nil"/>
              <w:left w:val="nil"/>
              <w:bottom w:val="nil"/>
              <w:right w:val="nil"/>
            </w:tcBorders>
            <w:shd w:val="clear" w:color="auto" w:fill="auto"/>
            <w:vAlign w:val="bottom"/>
          </w:tcPr>
          <w:p w:rsidR="001F2D41" w:rsidRPr="00CD3A2D" w:rsidRDefault="001F2D41" w:rsidP="001F2D41">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(64.407)</w:t>
            </w:r>
          </w:p>
        </w:tc>
        <w:tc>
          <w:tcPr>
            <w:tcW w:w="1015" w:type="pct"/>
            <w:tcBorders>
              <w:top w:val="nil"/>
              <w:left w:val="nil"/>
              <w:bottom w:val="nil"/>
              <w:right w:val="nil"/>
            </w:tcBorders>
            <w:shd w:val="clear" w:color="auto" w:fill="auto"/>
            <w:vAlign w:val="bottom"/>
          </w:tcPr>
          <w:p w:rsidR="001F2D41" w:rsidRPr="00CD3A2D" w:rsidRDefault="001F2D41" w:rsidP="001F2D41">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(55.432)</w:t>
            </w:r>
          </w:p>
        </w:tc>
      </w:tr>
      <w:tr w:rsidR="004F7EAC" w:rsidRPr="001567C8" w:rsidTr="00052742">
        <w:tc>
          <w:tcPr>
            <w:tcW w:w="2577" w:type="pct"/>
          </w:tcPr>
          <w:p w:rsidR="004F7EAC" w:rsidRPr="001567C8" w:rsidRDefault="004F7EAC" w:rsidP="004F7EAC">
            <w:pPr>
              <w:pStyle w:val="TT"/>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Gubitak od umanjenja vrijednosti i rezerviranja</w:t>
            </w:r>
          </w:p>
        </w:tc>
        <w:tc>
          <w:tcPr>
            <w:tcW w:w="514" w:type="pct"/>
            <w:vAlign w:val="bottom"/>
          </w:tcPr>
          <w:p w:rsidR="004F7EAC" w:rsidRPr="001567C8" w:rsidRDefault="004418B3" w:rsidP="004F7EAC">
            <w:pPr>
              <w:pStyle w:val="TT"/>
              <w:jc w:val="center"/>
              <w:rPr>
                <w:rFonts w:asciiTheme="minorHAnsi" w:hAnsiTheme="minorHAnsi" w:cs="Arial"/>
                <w:bCs/>
                <w:spacing w:val="-2"/>
                <w:sz w:val="22"/>
                <w:szCs w:val="22"/>
                <w:lang w:val="hr-HR"/>
              </w:rPr>
            </w:pPr>
            <w:r w:rsidRPr="001567C8">
              <w:rPr>
                <w:rFonts w:asciiTheme="minorHAnsi" w:hAnsiTheme="minorHAnsi" w:cs="Arial"/>
                <w:bCs/>
                <w:spacing w:val="-2"/>
                <w:sz w:val="22"/>
                <w:szCs w:val="22"/>
                <w:lang w:val="hr-HR"/>
              </w:rPr>
              <w:t>11</w:t>
            </w:r>
          </w:p>
        </w:tc>
        <w:tc>
          <w:tcPr>
            <w:tcW w:w="894" w:type="pct"/>
            <w:tcBorders>
              <w:top w:val="nil"/>
              <w:left w:val="nil"/>
              <w:bottom w:val="nil"/>
              <w:right w:val="nil"/>
            </w:tcBorders>
            <w:shd w:val="clear" w:color="auto" w:fill="auto"/>
            <w:vAlign w:val="bottom"/>
          </w:tcPr>
          <w:p w:rsidR="004F7EAC" w:rsidRPr="00CD3A2D" w:rsidRDefault="004F7EAC" w:rsidP="004F7EAC">
            <w:pPr>
              <w:pStyle w:val="TT"/>
              <w:tabs>
                <w:tab w:val="clear" w:pos="1202"/>
              </w:tabs>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(65.906)</w:t>
            </w:r>
          </w:p>
        </w:tc>
        <w:tc>
          <w:tcPr>
            <w:tcW w:w="1015" w:type="pct"/>
            <w:tcBorders>
              <w:top w:val="nil"/>
              <w:left w:val="nil"/>
              <w:bottom w:val="single" w:sz="4" w:space="0" w:color="auto"/>
              <w:right w:val="nil"/>
            </w:tcBorders>
            <w:shd w:val="clear" w:color="auto" w:fill="auto"/>
            <w:vAlign w:val="bottom"/>
          </w:tcPr>
          <w:p w:rsidR="004F7EAC" w:rsidRPr="001567C8" w:rsidRDefault="004F7EAC" w:rsidP="004F7EAC">
            <w:pPr>
              <w:pStyle w:val="TT"/>
              <w:tabs>
                <w:tab w:val="clear" w:pos="1202"/>
              </w:tabs>
              <w:jc w:val="right"/>
              <w:rPr>
                <w:rFonts w:asciiTheme="minorHAnsi" w:hAnsiTheme="minorHAnsi" w:cs="Arial"/>
                <w:bCs/>
                <w:spacing w:val="-2"/>
                <w:sz w:val="22"/>
                <w:szCs w:val="22"/>
                <w:lang w:val="hr-HR"/>
              </w:rPr>
            </w:pPr>
            <w:r w:rsidRPr="00CD3A2D">
              <w:rPr>
                <w:rFonts w:ascii="Calibri" w:hAnsi="Calibri" w:cs="Calibri"/>
                <w:color w:val="000000"/>
                <w:sz w:val="22"/>
                <w:szCs w:val="22"/>
                <w:lang w:val="hr-HR"/>
              </w:rPr>
              <w:t xml:space="preserve">          (194.920)</w:t>
            </w:r>
          </w:p>
        </w:tc>
      </w:tr>
      <w:tr w:rsidR="00AE2E7F" w:rsidRPr="001567C8" w:rsidTr="003C6BA3">
        <w:tc>
          <w:tcPr>
            <w:tcW w:w="2577" w:type="pct"/>
          </w:tcPr>
          <w:p w:rsidR="00AE2E7F" w:rsidRPr="001567C8" w:rsidRDefault="00AE2E7F" w:rsidP="00D54F07">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Dobit prije oporezivanja</w:t>
            </w:r>
          </w:p>
        </w:tc>
        <w:tc>
          <w:tcPr>
            <w:tcW w:w="514" w:type="pct"/>
            <w:vAlign w:val="bottom"/>
          </w:tcPr>
          <w:p w:rsidR="00AE2E7F" w:rsidRPr="001567C8" w:rsidRDefault="00AE2E7F" w:rsidP="00D54F07">
            <w:pPr>
              <w:pStyle w:val="Tot"/>
              <w:jc w:val="center"/>
              <w:rPr>
                <w:rFonts w:asciiTheme="minorHAnsi" w:hAnsiTheme="minorHAnsi" w:cs="Arial"/>
                <w:b/>
                <w:bCs/>
                <w:sz w:val="22"/>
                <w:szCs w:val="22"/>
                <w:lang w:val="hr-HR"/>
              </w:rPr>
            </w:pPr>
          </w:p>
        </w:tc>
        <w:tc>
          <w:tcPr>
            <w:tcW w:w="894" w:type="pct"/>
            <w:tcBorders>
              <w:top w:val="single" w:sz="4" w:space="0" w:color="auto"/>
              <w:bottom w:val="single" w:sz="12" w:space="0" w:color="auto"/>
            </w:tcBorders>
          </w:tcPr>
          <w:p w:rsidR="00AE2E7F" w:rsidRPr="00CD3A2D" w:rsidRDefault="004F7EAC" w:rsidP="00D54F07">
            <w:pPr>
              <w:pStyle w:val="Tot"/>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204.328</w:t>
            </w:r>
          </w:p>
        </w:tc>
        <w:tc>
          <w:tcPr>
            <w:tcW w:w="1015" w:type="pct"/>
            <w:tcBorders>
              <w:top w:val="single" w:sz="4" w:space="0" w:color="auto"/>
              <w:left w:val="nil"/>
              <w:bottom w:val="single" w:sz="12" w:space="0" w:color="auto"/>
              <w:right w:val="nil"/>
            </w:tcBorders>
            <w:shd w:val="clear" w:color="auto" w:fill="auto"/>
            <w:vAlign w:val="center"/>
          </w:tcPr>
          <w:p w:rsidR="00AE2E7F" w:rsidRPr="001567C8" w:rsidRDefault="00AE2E7F" w:rsidP="00D54F07">
            <w:pPr>
              <w:pStyle w:val="Tot"/>
              <w:jc w:val="right"/>
              <w:rPr>
                <w:rFonts w:asciiTheme="minorHAnsi" w:hAnsiTheme="minorHAnsi" w:cs="Arial"/>
                <w:b/>
                <w:bCs/>
                <w:sz w:val="22"/>
                <w:szCs w:val="22"/>
                <w:lang w:val="hr-HR"/>
              </w:rPr>
            </w:pPr>
            <w:r w:rsidRPr="00CD3A2D">
              <w:rPr>
                <w:rFonts w:ascii="Calibri" w:hAnsi="Calibri" w:cs="Calibri"/>
                <w:b/>
                <w:bCs/>
                <w:color w:val="000000"/>
                <w:sz w:val="22"/>
                <w:szCs w:val="22"/>
                <w:lang w:val="hr-HR"/>
              </w:rPr>
              <w:t>160.783</w:t>
            </w:r>
          </w:p>
        </w:tc>
      </w:tr>
      <w:tr w:rsidR="00AE2E7F" w:rsidRPr="001567C8" w:rsidTr="003C6BA3">
        <w:tc>
          <w:tcPr>
            <w:tcW w:w="2577" w:type="pct"/>
          </w:tcPr>
          <w:p w:rsidR="00AE2E7F" w:rsidRPr="001567C8" w:rsidRDefault="00AE2E7F" w:rsidP="00D54F07">
            <w:pPr>
              <w:pStyle w:val="Tot"/>
              <w:rPr>
                <w:rFonts w:asciiTheme="minorHAnsi" w:hAnsiTheme="minorHAnsi" w:cs="Arial"/>
                <w:b/>
                <w:bCs/>
                <w:sz w:val="22"/>
                <w:szCs w:val="22"/>
                <w:lang w:val="hr-HR"/>
              </w:rPr>
            </w:pPr>
          </w:p>
        </w:tc>
        <w:tc>
          <w:tcPr>
            <w:tcW w:w="514" w:type="pct"/>
            <w:vAlign w:val="bottom"/>
          </w:tcPr>
          <w:p w:rsidR="00AE2E7F" w:rsidRPr="001567C8" w:rsidRDefault="00AE2E7F" w:rsidP="00D54F07">
            <w:pPr>
              <w:pStyle w:val="Tot"/>
              <w:jc w:val="center"/>
              <w:rPr>
                <w:rFonts w:asciiTheme="minorHAnsi" w:hAnsiTheme="minorHAnsi" w:cs="Arial"/>
                <w:b/>
                <w:bCs/>
                <w:sz w:val="22"/>
                <w:szCs w:val="22"/>
                <w:lang w:val="hr-HR"/>
              </w:rPr>
            </w:pPr>
          </w:p>
        </w:tc>
        <w:tc>
          <w:tcPr>
            <w:tcW w:w="894" w:type="pct"/>
            <w:tcBorders>
              <w:top w:val="single" w:sz="12" w:space="0" w:color="auto"/>
            </w:tcBorders>
          </w:tcPr>
          <w:p w:rsidR="00AE2E7F" w:rsidRPr="001567C8" w:rsidRDefault="00AE2E7F" w:rsidP="00D54F07">
            <w:pPr>
              <w:pStyle w:val="Tot"/>
              <w:jc w:val="right"/>
              <w:rPr>
                <w:rFonts w:asciiTheme="minorHAnsi" w:hAnsiTheme="minorHAnsi" w:cs="Arial"/>
                <w:b/>
                <w:bCs/>
                <w:sz w:val="22"/>
                <w:szCs w:val="22"/>
                <w:lang w:val="hr-HR"/>
              </w:rPr>
            </w:pPr>
          </w:p>
        </w:tc>
        <w:tc>
          <w:tcPr>
            <w:tcW w:w="1015" w:type="pct"/>
            <w:tcBorders>
              <w:top w:val="single" w:sz="12" w:space="0" w:color="auto"/>
            </w:tcBorders>
            <w:vAlign w:val="bottom"/>
          </w:tcPr>
          <w:p w:rsidR="00AE2E7F" w:rsidRPr="001567C8" w:rsidRDefault="00AE2E7F" w:rsidP="00D54F07">
            <w:pPr>
              <w:pStyle w:val="Tot"/>
              <w:jc w:val="right"/>
              <w:rPr>
                <w:rFonts w:asciiTheme="minorHAnsi" w:hAnsiTheme="minorHAnsi" w:cs="Arial"/>
                <w:b/>
                <w:bCs/>
                <w:sz w:val="22"/>
                <w:szCs w:val="22"/>
                <w:lang w:val="hr-HR"/>
              </w:rPr>
            </w:pPr>
          </w:p>
        </w:tc>
      </w:tr>
      <w:tr w:rsidR="00AE2E7F" w:rsidRPr="001567C8" w:rsidTr="003C6BA3">
        <w:tc>
          <w:tcPr>
            <w:tcW w:w="2577" w:type="pct"/>
          </w:tcPr>
          <w:p w:rsidR="00AE2E7F" w:rsidRPr="001567C8" w:rsidRDefault="00AE2E7F" w:rsidP="00D54F07">
            <w:pPr>
              <w:pStyle w:val="Tot"/>
              <w:rPr>
                <w:rFonts w:asciiTheme="minorHAnsi" w:hAnsiTheme="minorHAnsi" w:cs="Arial"/>
                <w:sz w:val="22"/>
                <w:szCs w:val="22"/>
                <w:lang w:val="hr-HR"/>
              </w:rPr>
            </w:pPr>
            <w:r w:rsidRPr="001567C8">
              <w:rPr>
                <w:rFonts w:asciiTheme="minorHAnsi" w:hAnsiTheme="minorHAnsi" w:cs="Arial"/>
                <w:sz w:val="22"/>
                <w:szCs w:val="22"/>
                <w:lang w:val="hr-HR"/>
              </w:rPr>
              <w:t>Porez na dobit</w:t>
            </w:r>
          </w:p>
        </w:tc>
        <w:tc>
          <w:tcPr>
            <w:tcW w:w="514" w:type="pct"/>
            <w:vAlign w:val="bottom"/>
          </w:tcPr>
          <w:p w:rsidR="00AE2E7F" w:rsidRPr="001567C8" w:rsidRDefault="004418B3" w:rsidP="00D54F07">
            <w:pPr>
              <w:pStyle w:val="Tot"/>
              <w:jc w:val="center"/>
              <w:rPr>
                <w:rFonts w:asciiTheme="minorHAnsi" w:hAnsiTheme="minorHAnsi" w:cs="Arial"/>
                <w:sz w:val="22"/>
                <w:szCs w:val="22"/>
                <w:lang w:val="hr-HR"/>
              </w:rPr>
            </w:pPr>
            <w:r w:rsidRPr="001567C8">
              <w:rPr>
                <w:rFonts w:asciiTheme="minorHAnsi" w:hAnsiTheme="minorHAnsi" w:cs="Arial"/>
                <w:sz w:val="22"/>
                <w:szCs w:val="22"/>
                <w:lang w:val="hr-HR"/>
              </w:rPr>
              <w:t>1</w:t>
            </w:r>
            <w:r w:rsidR="00AE2E7F" w:rsidRPr="001567C8">
              <w:rPr>
                <w:rFonts w:asciiTheme="minorHAnsi" w:hAnsiTheme="minorHAnsi" w:cs="Arial"/>
                <w:sz w:val="22"/>
                <w:szCs w:val="22"/>
                <w:lang w:val="hr-HR"/>
              </w:rPr>
              <w:t>2</w:t>
            </w:r>
          </w:p>
        </w:tc>
        <w:tc>
          <w:tcPr>
            <w:tcW w:w="894" w:type="pct"/>
            <w:tcBorders>
              <w:bottom w:val="single" w:sz="4" w:space="0" w:color="auto"/>
            </w:tcBorders>
          </w:tcPr>
          <w:p w:rsidR="00AE2E7F" w:rsidRPr="001567C8" w:rsidRDefault="004F7EAC" w:rsidP="00D54F07">
            <w:pPr>
              <w:pStyle w:val="Tot"/>
              <w:jc w:val="right"/>
              <w:rPr>
                <w:rFonts w:asciiTheme="minorHAnsi" w:hAnsiTheme="minorHAnsi" w:cs="Arial"/>
                <w:sz w:val="22"/>
                <w:szCs w:val="22"/>
                <w:lang w:val="hr-HR"/>
              </w:rPr>
            </w:pPr>
            <w:r w:rsidRPr="001567C8">
              <w:rPr>
                <w:rFonts w:asciiTheme="minorHAnsi" w:hAnsiTheme="minorHAnsi" w:cs="Arial"/>
                <w:sz w:val="22"/>
                <w:szCs w:val="22"/>
                <w:lang w:val="hr-HR"/>
              </w:rPr>
              <w:t>-</w:t>
            </w:r>
          </w:p>
        </w:tc>
        <w:tc>
          <w:tcPr>
            <w:tcW w:w="1015" w:type="pct"/>
            <w:tcBorders>
              <w:bottom w:val="single" w:sz="4" w:space="0" w:color="auto"/>
            </w:tcBorders>
            <w:vAlign w:val="bottom"/>
          </w:tcPr>
          <w:p w:rsidR="00AE2E7F" w:rsidRPr="001567C8" w:rsidRDefault="00AE2E7F" w:rsidP="00D54F07">
            <w:pPr>
              <w:pStyle w:val="To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AE2E7F" w:rsidRPr="001567C8" w:rsidTr="003C6BA3">
        <w:tc>
          <w:tcPr>
            <w:tcW w:w="2577" w:type="pct"/>
          </w:tcPr>
          <w:p w:rsidR="00AE2E7F" w:rsidRPr="001567C8" w:rsidRDefault="00AE2E7F" w:rsidP="00D54F07">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Dobit tekuće godine</w:t>
            </w:r>
          </w:p>
        </w:tc>
        <w:tc>
          <w:tcPr>
            <w:tcW w:w="514" w:type="pct"/>
            <w:vAlign w:val="bottom"/>
          </w:tcPr>
          <w:p w:rsidR="00AE2E7F" w:rsidRPr="001567C8" w:rsidRDefault="00AE2E7F" w:rsidP="00D54F07">
            <w:pPr>
              <w:pStyle w:val="Tot"/>
              <w:jc w:val="center"/>
              <w:rPr>
                <w:rFonts w:asciiTheme="minorHAnsi" w:hAnsiTheme="minorHAnsi" w:cs="Arial"/>
                <w:b/>
                <w:bCs/>
                <w:sz w:val="22"/>
                <w:szCs w:val="22"/>
                <w:lang w:val="hr-HR"/>
              </w:rPr>
            </w:pPr>
          </w:p>
        </w:tc>
        <w:tc>
          <w:tcPr>
            <w:tcW w:w="894" w:type="pct"/>
            <w:tcBorders>
              <w:top w:val="single" w:sz="4" w:space="0" w:color="auto"/>
              <w:bottom w:val="single" w:sz="12" w:space="0" w:color="auto"/>
            </w:tcBorders>
          </w:tcPr>
          <w:p w:rsidR="00AE2E7F" w:rsidRPr="00CD3A2D" w:rsidRDefault="004F7EAC" w:rsidP="00D54F07">
            <w:pPr>
              <w:pStyle w:val="Tot"/>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204.328</w:t>
            </w:r>
          </w:p>
        </w:tc>
        <w:tc>
          <w:tcPr>
            <w:tcW w:w="1015" w:type="pct"/>
            <w:tcBorders>
              <w:top w:val="single" w:sz="4" w:space="0" w:color="auto"/>
              <w:left w:val="nil"/>
              <w:bottom w:val="single" w:sz="12" w:space="0" w:color="auto"/>
              <w:right w:val="nil"/>
            </w:tcBorders>
            <w:shd w:val="clear" w:color="auto" w:fill="auto"/>
            <w:vAlign w:val="center"/>
          </w:tcPr>
          <w:p w:rsidR="00AE2E7F" w:rsidRPr="001567C8" w:rsidRDefault="00AE2E7F" w:rsidP="00D54F07">
            <w:pPr>
              <w:pStyle w:val="Tot"/>
              <w:jc w:val="right"/>
              <w:rPr>
                <w:rFonts w:asciiTheme="minorHAnsi" w:hAnsiTheme="minorHAnsi" w:cs="Arial"/>
                <w:b/>
                <w:bCs/>
                <w:sz w:val="22"/>
                <w:szCs w:val="22"/>
                <w:lang w:val="hr-HR"/>
              </w:rPr>
            </w:pPr>
            <w:r w:rsidRPr="00CD3A2D">
              <w:rPr>
                <w:rFonts w:ascii="Calibri" w:hAnsi="Calibri" w:cs="Calibri"/>
                <w:b/>
                <w:bCs/>
                <w:color w:val="000000"/>
                <w:sz w:val="22"/>
                <w:szCs w:val="22"/>
                <w:lang w:val="hr-HR"/>
              </w:rPr>
              <w:t>160.783</w:t>
            </w:r>
          </w:p>
        </w:tc>
      </w:tr>
      <w:tr w:rsidR="00AE2E7F" w:rsidRPr="001567C8" w:rsidTr="003C6BA3">
        <w:trPr>
          <w:trHeight w:val="70"/>
        </w:trPr>
        <w:tc>
          <w:tcPr>
            <w:tcW w:w="2577" w:type="pct"/>
          </w:tcPr>
          <w:p w:rsidR="00AE2E7F" w:rsidRPr="001567C8" w:rsidRDefault="00AE2E7F" w:rsidP="00D54F07">
            <w:pPr>
              <w:pStyle w:val="Thick"/>
              <w:spacing w:line="240" w:lineRule="exact"/>
              <w:rPr>
                <w:rFonts w:asciiTheme="minorHAnsi" w:hAnsiTheme="minorHAnsi" w:cs="Arial"/>
                <w:sz w:val="22"/>
                <w:szCs w:val="22"/>
                <w:lang w:val="hr-HR"/>
              </w:rPr>
            </w:pPr>
          </w:p>
        </w:tc>
        <w:tc>
          <w:tcPr>
            <w:tcW w:w="514" w:type="pct"/>
            <w:vAlign w:val="bottom"/>
          </w:tcPr>
          <w:p w:rsidR="00AE2E7F" w:rsidRPr="001567C8" w:rsidRDefault="00AE2E7F" w:rsidP="00D54F07">
            <w:pPr>
              <w:pStyle w:val="Thick"/>
              <w:spacing w:line="240" w:lineRule="exact"/>
              <w:jc w:val="center"/>
              <w:rPr>
                <w:rFonts w:asciiTheme="minorHAnsi" w:hAnsiTheme="minorHAnsi" w:cs="Arial"/>
                <w:sz w:val="22"/>
                <w:szCs w:val="22"/>
                <w:lang w:val="hr-HR"/>
              </w:rPr>
            </w:pPr>
          </w:p>
        </w:tc>
        <w:tc>
          <w:tcPr>
            <w:tcW w:w="894" w:type="pct"/>
            <w:tcBorders>
              <w:top w:val="single" w:sz="12" w:space="0" w:color="auto"/>
            </w:tcBorders>
          </w:tcPr>
          <w:p w:rsidR="00AE2E7F" w:rsidRPr="001567C8" w:rsidRDefault="00AE2E7F" w:rsidP="00D54F07">
            <w:pPr>
              <w:pStyle w:val="Thick"/>
              <w:tabs>
                <w:tab w:val="clear" w:pos="1202"/>
              </w:tabs>
              <w:spacing w:line="240" w:lineRule="exact"/>
              <w:jc w:val="right"/>
              <w:rPr>
                <w:rFonts w:asciiTheme="minorHAnsi" w:hAnsiTheme="minorHAnsi" w:cs="Arial"/>
                <w:sz w:val="22"/>
                <w:szCs w:val="22"/>
                <w:lang w:val="hr-HR"/>
              </w:rPr>
            </w:pPr>
          </w:p>
        </w:tc>
        <w:tc>
          <w:tcPr>
            <w:tcW w:w="1015" w:type="pct"/>
            <w:tcBorders>
              <w:top w:val="single" w:sz="12" w:space="0" w:color="auto"/>
            </w:tcBorders>
            <w:vAlign w:val="bottom"/>
          </w:tcPr>
          <w:p w:rsidR="00AE2E7F" w:rsidRPr="001567C8" w:rsidRDefault="00AE2E7F" w:rsidP="00D54F07">
            <w:pPr>
              <w:pStyle w:val="Thick"/>
              <w:tabs>
                <w:tab w:val="clear" w:pos="1202"/>
              </w:tabs>
              <w:spacing w:line="240" w:lineRule="exact"/>
              <w:jc w:val="right"/>
              <w:rPr>
                <w:rFonts w:asciiTheme="minorHAnsi" w:hAnsiTheme="minorHAnsi" w:cs="Arial"/>
                <w:sz w:val="22"/>
                <w:szCs w:val="22"/>
                <w:lang w:val="hr-HR"/>
              </w:rPr>
            </w:pPr>
          </w:p>
        </w:tc>
      </w:tr>
      <w:tr w:rsidR="00AE2E7F" w:rsidRPr="001567C8" w:rsidTr="00052742">
        <w:trPr>
          <w:trHeight w:val="70"/>
        </w:trPr>
        <w:tc>
          <w:tcPr>
            <w:tcW w:w="2577" w:type="pct"/>
          </w:tcPr>
          <w:p w:rsidR="00AE2E7F" w:rsidRPr="001567C8" w:rsidRDefault="00AE2E7F" w:rsidP="00D54F07">
            <w:pPr>
              <w:pStyle w:val="Thick"/>
              <w:spacing w:line="240" w:lineRule="exact"/>
              <w:rPr>
                <w:rFonts w:asciiTheme="minorHAnsi" w:hAnsiTheme="minorHAnsi" w:cs="Arial"/>
                <w:sz w:val="22"/>
                <w:szCs w:val="22"/>
                <w:lang w:val="hr-HR"/>
              </w:rPr>
            </w:pPr>
          </w:p>
        </w:tc>
        <w:tc>
          <w:tcPr>
            <w:tcW w:w="514" w:type="pct"/>
            <w:vAlign w:val="bottom"/>
          </w:tcPr>
          <w:p w:rsidR="00AE2E7F" w:rsidRPr="001567C8" w:rsidRDefault="00AE2E7F" w:rsidP="00D54F07">
            <w:pPr>
              <w:pStyle w:val="Thick"/>
              <w:spacing w:line="240" w:lineRule="exact"/>
              <w:jc w:val="center"/>
              <w:rPr>
                <w:rFonts w:asciiTheme="minorHAnsi" w:hAnsiTheme="minorHAnsi" w:cs="Arial"/>
                <w:sz w:val="22"/>
                <w:szCs w:val="22"/>
                <w:lang w:val="hr-HR"/>
              </w:rPr>
            </w:pPr>
          </w:p>
        </w:tc>
        <w:tc>
          <w:tcPr>
            <w:tcW w:w="894" w:type="pct"/>
          </w:tcPr>
          <w:p w:rsidR="00AE2E7F" w:rsidRPr="001567C8" w:rsidRDefault="00AE2E7F" w:rsidP="00D54F07">
            <w:pPr>
              <w:pStyle w:val="Thick"/>
              <w:tabs>
                <w:tab w:val="clear" w:pos="1202"/>
              </w:tabs>
              <w:spacing w:line="240" w:lineRule="exact"/>
              <w:jc w:val="right"/>
              <w:rPr>
                <w:rFonts w:asciiTheme="minorHAnsi" w:hAnsiTheme="minorHAnsi" w:cs="Arial"/>
                <w:sz w:val="22"/>
                <w:szCs w:val="22"/>
                <w:lang w:val="hr-HR"/>
              </w:rPr>
            </w:pPr>
          </w:p>
        </w:tc>
        <w:tc>
          <w:tcPr>
            <w:tcW w:w="1015" w:type="pct"/>
            <w:vAlign w:val="bottom"/>
          </w:tcPr>
          <w:p w:rsidR="00AE2E7F" w:rsidRPr="001567C8" w:rsidRDefault="00AE2E7F" w:rsidP="00D54F07">
            <w:pPr>
              <w:pStyle w:val="Thick"/>
              <w:tabs>
                <w:tab w:val="clear" w:pos="1202"/>
              </w:tabs>
              <w:spacing w:line="240" w:lineRule="exact"/>
              <w:jc w:val="right"/>
              <w:rPr>
                <w:rFonts w:asciiTheme="minorHAnsi" w:hAnsiTheme="minorHAnsi" w:cs="Arial"/>
                <w:sz w:val="22"/>
                <w:szCs w:val="22"/>
                <w:lang w:val="hr-HR"/>
              </w:rPr>
            </w:pPr>
          </w:p>
        </w:tc>
      </w:tr>
      <w:tr w:rsidR="00AE2E7F" w:rsidRPr="001567C8" w:rsidTr="00052742">
        <w:trPr>
          <w:trHeight w:val="70"/>
        </w:trPr>
        <w:tc>
          <w:tcPr>
            <w:tcW w:w="2577" w:type="pct"/>
            <w:vAlign w:val="bottom"/>
          </w:tcPr>
          <w:p w:rsidR="00AE2E7F" w:rsidRPr="001567C8" w:rsidRDefault="00AE2E7F" w:rsidP="00D54F07">
            <w:pPr>
              <w:pStyle w:val="Thick"/>
              <w:spacing w:line="301" w:lineRule="exact"/>
              <w:rPr>
                <w:rFonts w:asciiTheme="minorHAnsi" w:hAnsiTheme="minorHAnsi" w:cs="Arial"/>
                <w:sz w:val="22"/>
                <w:szCs w:val="22"/>
                <w:u w:val="none"/>
                <w:lang w:val="hr-HR"/>
              </w:rPr>
            </w:pPr>
            <w:r w:rsidRPr="001567C8">
              <w:rPr>
                <w:rFonts w:asciiTheme="minorHAnsi" w:hAnsiTheme="minorHAnsi" w:cs="Arial"/>
                <w:sz w:val="22"/>
                <w:szCs w:val="22"/>
                <w:u w:val="none"/>
                <w:lang w:val="hr-HR"/>
              </w:rPr>
              <w:t>Dobit za raspodjelu:</w:t>
            </w:r>
          </w:p>
        </w:tc>
        <w:tc>
          <w:tcPr>
            <w:tcW w:w="514" w:type="pct"/>
            <w:vAlign w:val="bottom"/>
          </w:tcPr>
          <w:p w:rsidR="00AE2E7F" w:rsidRPr="001567C8" w:rsidRDefault="00AE2E7F" w:rsidP="00D54F07">
            <w:pPr>
              <w:pStyle w:val="Thick"/>
              <w:spacing w:line="301" w:lineRule="exact"/>
              <w:jc w:val="center"/>
              <w:rPr>
                <w:rFonts w:asciiTheme="minorHAnsi" w:hAnsiTheme="minorHAnsi" w:cs="Arial"/>
                <w:sz w:val="22"/>
                <w:szCs w:val="22"/>
                <w:lang w:val="hr-HR"/>
              </w:rPr>
            </w:pPr>
          </w:p>
        </w:tc>
        <w:tc>
          <w:tcPr>
            <w:tcW w:w="894" w:type="pct"/>
          </w:tcPr>
          <w:p w:rsidR="00AE2E7F" w:rsidRPr="001567C8" w:rsidRDefault="00AE2E7F" w:rsidP="00D54F07">
            <w:pPr>
              <w:pStyle w:val="Thick"/>
              <w:tabs>
                <w:tab w:val="clear" w:pos="1202"/>
              </w:tabs>
              <w:spacing w:line="301" w:lineRule="exact"/>
              <w:jc w:val="right"/>
              <w:rPr>
                <w:rFonts w:asciiTheme="minorHAnsi" w:hAnsiTheme="minorHAnsi" w:cs="Arial"/>
                <w:sz w:val="22"/>
                <w:szCs w:val="22"/>
                <w:lang w:val="hr-HR"/>
              </w:rPr>
            </w:pPr>
          </w:p>
        </w:tc>
        <w:tc>
          <w:tcPr>
            <w:tcW w:w="1015" w:type="pct"/>
            <w:vAlign w:val="bottom"/>
          </w:tcPr>
          <w:p w:rsidR="00AE2E7F" w:rsidRPr="001567C8" w:rsidRDefault="00AE2E7F" w:rsidP="00D54F07">
            <w:pPr>
              <w:pStyle w:val="Thick"/>
              <w:tabs>
                <w:tab w:val="clear" w:pos="1202"/>
              </w:tabs>
              <w:spacing w:line="301" w:lineRule="exact"/>
              <w:jc w:val="right"/>
              <w:rPr>
                <w:rFonts w:asciiTheme="minorHAnsi" w:hAnsiTheme="minorHAnsi" w:cs="Arial"/>
                <w:sz w:val="22"/>
                <w:szCs w:val="22"/>
                <w:lang w:val="hr-HR"/>
              </w:rPr>
            </w:pPr>
          </w:p>
        </w:tc>
      </w:tr>
      <w:tr w:rsidR="00AE2E7F" w:rsidRPr="001567C8" w:rsidTr="00052742">
        <w:trPr>
          <w:trHeight w:val="70"/>
        </w:trPr>
        <w:tc>
          <w:tcPr>
            <w:tcW w:w="2577" w:type="pct"/>
            <w:vAlign w:val="bottom"/>
          </w:tcPr>
          <w:p w:rsidR="00AE2E7F" w:rsidRPr="001567C8" w:rsidRDefault="00AE2E7F" w:rsidP="00D54F07">
            <w:pPr>
              <w:pStyle w:val="Thick"/>
              <w:spacing w:line="301" w:lineRule="exact"/>
              <w:rPr>
                <w:rFonts w:asciiTheme="minorHAnsi" w:hAnsiTheme="minorHAnsi" w:cs="Arial"/>
                <w:sz w:val="22"/>
                <w:szCs w:val="22"/>
                <w:u w:val="none"/>
                <w:lang w:val="hr-HR"/>
              </w:rPr>
            </w:pPr>
            <w:r w:rsidRPr="001567C8">
              <w:rPr>
                <w:rFonts w:asciiTheme="minorHAnsi" w:hAnsiTheme="minorHAnsi" w:cs="Arial"/>
                <w:sz w:val="22"/>
                <w:szCs w:val="22"/>
                <w:u w:val="none"/>
                <w:lang w:val="hr-HR"/>
              </w:rPr>
              <w:t>Vlasniku društva</w:t>
            </w:r>
          </w:p>
        </w:tc>
        <w:tc>
          <w:tcPr>
            <w:tcW w:w="514" w:type="pct"/>
            <w:vAlign w:val="bottom"/>
          </w:tcPr>
          <w:p w:rsidR="00AE2E7F" w:rsidRPr="001567C8" w:rsidRDefault="00AE2E7F" w:rsidP="00D54F07">
            <w:pPr>
              <w:pStyle w:val="Thick"/>
              <w:spacing w:line="301" w:lineRule="exact"/>
              <w:jc w:val="center"/>
              <w:rPr>
                <w:rFonts w:asciiTheme="minorHAnsi" w:hAnsiTheme="minorHAnsi" w:cs="Arial"/>
                <w:sz w:val="22"/>
                <w:szCs w:val="22"/>
                <w:lang w:val="hr-HR"/>
              </w:rPr>
            </w:pPr>
          </w:p>
        </w:tc>
        <w:tc>
          <w:tcPr>
            <w:tcW w:w="894" w:type="pct"/>
            <w:tcBorders>
              <w:bottom w:val="single" w:sz="12" w:space="0" w:color="auto"/>
            </w:tcBorders>
            <w:vAlign w:val="bottom"/>
          </w:tcPr>
          <w:p w:rsidR="00AE2E7F" w:rsidRPr="001567C8" w:rsidRDefault="004F7EAC" w:rsidP="004F7EAC">
            <w:pPr>
              <w:pStyle w:val="Thick"/>
              <w:tabs>
                <w:tab w:val="clear" w:pos="1202"/>
              </w:tabs>
              <w:spacing w:line="301" w:lineRule="exact"/>
              <w:jc w:val="right"/>
              <w:rPr>
                <w:rFonts w:asciiTheme="minorHAnsi" w:hAnsiTheme="minorHAnsi" w:cs="Arial"/>
                <w:sz w:val="22"/>
                <w:szCs w:val="22"/>
                <w:u w:val="none"/>
                <w:lang w:val="hr-HR"/>
              </w:rPr>
            </w:pPr>
            <w:r w:rsidRPr="001567C8">
              <w:rPr>
                <w:rFonts w:asciiTheme="minorHAnsi" w:hAnsiTheme="minorHAnsi" w:cs="Arial"/>
                <w:sz w:val="22"/>
                <w:szCs w:val="22"/>
                <w:u w:val="none"/>
                <w:lang w:val="hr-HR"/>
              </w:rPr>
              <w:t>204.328</w:t>
            </w:r>
          </w:p>
        </w:tc>
        <w:tc>
          <w:tcPr>
            <w:tcW w:w="1015" w:type="pct"/>
            <w:tcBorders>
              <w:bottom w:val="single" w:sz="12" w:space="0" w:color="auto"/>
            </w:tcBorders>
            <w:vAlign w:val="bottom"/>
          </w:tcPr>
          <w:p w:rsidR="00AE2E7F" w:rsidRPr="001567C8" w:rsidRDefault="00AE2E7F" w:rsidP="004F7EAC">
            <w:pPr>
              <w:pStyle w:val="Thick"/>
              <w:tabs>
                <w:tab w:val="clear" w:pos="1202"/>
              </w:tabs>
              <w:spacing w:line="301" w:lineRule="exact"/>
              <w:jc w:val="right"/>
              <w:rPr>
                <w:rFonts w:asciiTheme="minorHAnsi" w:hAnsiTheme="minorHAnsi" w:cs="Arial"/>
                <w:sz w:val="22"/>
                <w:szCs w:val="22"/>
                <w:u w:val="none"/>
                <w:lang w:val="hr-HR"/>
              </w:rPr>
            </w:pPr>
            <w:r w:rsidRPr="001567C8">
              <w:rPr>
                <w:rFonts w:asciiTheme="minorHAnsi" w:hAnsiTheme="minorHAnsi" w:cs="Arial"/>
                <w:sz w:val="22"/>
                <w:szCs w:val="22"/>
                <w:u w:val="none"/>
                <w:lang w:val="hr-HR"/>
              </w:rPr>
              <w:t>160.783</w:t>
            </w:r>
          </w:p>
        </w:tc>
      </w:tr>
    </w:tbl>
    <w:p w:rsidR="00754BD4" w:rsidRPr="001567C8" w:rsidRDefault="00754BD4">
      <w:pPr>
        <w:pStyle w:val="T1"/>
        <w:spacing w:before="0" w:after="0" w:line="240" w:lineRule="auto"/>
        <w:rPr>
          <w:rFonts w:asciiTheme="minorHAnsi" w:hAnsiTheme="minorHAnsi"/>
          <w:b w:val="0"/>
          <w:bCs w:val="0"/>
          <w:sz w:val="22"/>
          <w:szCs w:val="22"/>
          <w:lang w:val="hr-HR"/>
        </w:rPr>
      </w:pPr>
    </w:p>
    <w:p w:rsidR="0086306E" w:rsidRPr="001567C8" w:rsidRDefault="0086306E">
      <w:pPr>
        <w:pStyle w:val="T1"/>
        <w:spacing w:before="0" w:after="0" w:line="240" w:lineRule="auto"/>
        <w:rPr>
          <w:rFonts w:asciiTheme="minorHAnsi" w:hAnsiTheme="minorHAnsi"/>
          <w:b w:val="0"/>
          <w:bCs w:val="0"/>
          <w:sz w:val="22"/>
          <w:szCs w:val="22"/>
          <w:lang w:val="hr-HR"/>
        </w:rPr>
      </w:pPr>
    </w:p>
    <w:p w:rsidR="0086306E" w:rsidRPr="001567C8" w:rsidRDefault="0086306E">
      <w:pPr>
        <w:pStyle w:val="T1"/>
        <w:spacing w:before="0" w:after="0" w:line="240" w:lineRule="auto"/>
        <w:rPr>
          <w:rFonts w:asciiTheme="minorHAnsi" w:hAnsiTheme="minorHAnsi"/>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1F2D41" w:rsidRPr="001567C8" w:rsidRDefault="001F2D41"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AE2E7F" w:rsidRPr="001567C8" w:rsidRDefault="00AE2E7F" w:rsidP="00036301">
      <w:pPr>
        <w:pStyle w:val="T1"/>
        <w:spacing w:before="0" w:after="0" w:line="240" w:lineRule="auto"/>
        <w:rPr>
          <w:rFonts w:asciiTheme="minorHAnsi" w:hAnsiTheme="minorHAnsi" w:cs="Arial"/>
          <w:b w:val="0"/>
          <w:bCs w:val="0"/>
          <w:sz w:val="22"/>
          <w:szCs w:val="22"/>
          <w:lang w:val="hr-HR"/>
        </w:rPr>
      </w:pPr>
    </w:p>
    <w:p w:rsidR="007720E0" w:rsidRPr="001567C8" w:rsidRDefault="007720E0" w:rsidP="00F739C6">
      <w:pPr>
        <w:pStyle w:val="T1"/>
        <w:keepNext w:val="0"/>
        <w:spacing w:before="0" w:after="0" w:line="240" w:lineRule="auto"/>
        <w:rPr>
          <w:rFonts w:asciiTheme="minorHAnsi" w:hAnsiTheme="minorHAnsi" w:cs="Arial"/>
          <w:b w:val="0"/>
          <w:bCs w:val="0"/>
          <w:sz w:val="22"/>
          <w:szCs w:val="22"/>
          <w:lang w:val="hr-HR"/>
        </w:rPr>
      </w:pPr>
    </w:p>
    <w:p w:rsidR="00A30BE1" w:rsidRPr="001567C8" w:rsidRDefault="00A30BE1" w:rsidP="00F739C6">
      <w:pPr>
        <w:pStyle w:val="T1"/>
        <w:keepNext w:val="0"/>
        <w:spacing w:before="0" w:after="0" w:line="240" w:lineRule="auto"/>
        <w:rPr>
          <w:rFonts w:asciiTheme="minorHAnsi" w:hAnsiTheme="minorHAnsi" w:cs="Arial"/>
          <w:b w:val="0"/>
          <w:bCs w:val="0"/>
          <w:sz w:val="22"/>
          <w:szCs w:val="22"/>
          <w:lang w:val="hr-HR"/>
        </w:rPr>
      </w:pPr>
    </w:p>
    <w:p w:rsidR="00A30BE1" w:rsidRPr="001567C8" w:rsidRDefault="00A30BE1" w:rsidP="00F739C6">
      <w:pPr>
        <w:pStyle w:val="T1"/>
        <w:keepNext w:val="0"/>
        <w:spacing w:before="0" w:after="0" w:line="240" w:lineRule="auto"/>
        <w:rPr>
          <w:rFonts w:asciiTheme="minorHAnsi" w:hAnsiTheme="minorHAnsi" w:cs="Arial"/>
          <w:b w:val="0"/>
          <w:bCs w:val="0"/>
          <w:sz w:val="22"/>
          <w:szCs w:val="22"/>
          <w:lang w:val="hr-HR"/>
        </w:rPr>
      </w:pPr>
    </w:p>
    <w:p w:rsidR="004A2B81" w:rsidRPr="001567C8" w:rsidRDefault="004A2B81" w:rsidP="004A2B81">
      <w:pPr>
        <w:pStyle w:val="T1"/>
        <w:rPr>
          <w:rFonts w:asciiTheme="minorHAnsi" w:hAnsiTheme="minorHAnsi" w:cs="Arial"/>
          <w:sz w:val="22"/>
          <w:szCs w:val="22"/>
          <w:lang w:val="hr-HR"/>
        </w:rPr>
      </w:pPr>
      <w:r w:rsidRPr="001567C8">
        <w:rPr>
          <w:rFonts w:asciiTheme="minorHAnsi" w:hAnsiTheme="minorHAnsi" w:cs="Arial"/>
          <w:b w:val="0"/>
          <w:bCs w:val="0"/>
          <w:sz w:val="22"/>
          <w:szCs w:val="22"/>
          <w:lang w:val="hr-HR"/>
        </w:rPr>
        <w:t>Priložene računovodstvene politike i bilješke sastavni su dio ovih financijskih izvještaja.</w:t>
      </w:r>
    </w:p>
    <w:p w:rsidR="00A84C81" w:rsidRPr="001567C8" w:rsidRDefault="00A84C81" w:rsidP="00036301">
      <w:pPr>
        <w:pStyle w:val="T1"/>
        <w:spacing w:before="0" w:after="0" w:line="240" w:lineRule="auto"/>
        <w:rPr>
          <w:rFonts w:asciiTheme="minorHAnsi" w:hAnsiTheme="minorHAnsi"/>
          <w:b w:val="0"/>
          <w:bCs w:val="0"/>
          <w:sz w:val="22"/>
          <w:szCs w:val="22"/>
          <w:lang w:val="hr-HR"/>
        </w:rPr>
        <w:sectPr w:rsidR="00A84C81" w:rsidRPr="001567C8" w:rsidSect="000D6913">
          <w:headerReference w:type="default" r:id="rId65"/>
          <w:pgSz w:w="11907" w:h="16840" w:code="9"/>
          <w:pgMar w:top="1418" w:right="850" w:bottom="1134" w:left="1418" w:header="851" w:footer="851" w:gutter="0"/>
          <w:cols w:space="720"/>
          <w:noEndnote/>
        </w:sectPr>
      </w:pPr>
    </w:p>
    <w:p w:rsidR="0086306E" w:rsidRPr="001567C8" w:rsidRDefault="0086306E">
      <w:pPr>
        <w:pStyle w:val="T1"/>
        <w:spacing w:before="0" w:after="0" w:line="240" w:lineRule="auto"/>
        <w:rPr>
          <w:rFonts w:asciiTheme="minorHAnsi" w:hAnsiTheme="minorHAnsi"/>
          <w:b w:val="0"/>
          <w:bCs w:val="0"/>
          <w:sz w:val="22"/>
          <w:szCs w:val="22"/>
          <w:lang w:val="hr-HR"/>
        </w:rPr>
      </w:pPr>
    </w:p>
    <w:p w:rsidR="0086306E" w:rsidRPr="001567C8" w:rsidRDefault="0086306E">
      <w:pPr>
        <w:pStyle w:val="T1"/>
        <w:spacing w:before="0" w:after="0" w:line="240" w:lineRule="auto"/>
        <w:rPr>
          <w:rFonts w:asciiTheme="minorHAnsi" w:hAnsiTheme="minorHAnsi"/>
          <w:b w:val="0"/>
          <w:bCs w:val="0"/>
          <w:sz w:val="22"/>
          <w:szCs w:val="22"/>
          <w:lang w:val="hr-HR"/>
        </w:rPr>
      </w:pPr>
    </w:p>
    <w:tbl>
      <w:tblPr>
        <w:tblW w:w="4853" w:type="pct"/>
        <w:tblCellMar>
          <w:left w:w="119" w:type="dxa"/>
          <w:right w:w="119" w:type="dxa"/>
        </w:tblCellMar>
        <w:tblLook w:val="0000" w:firstRow="0" w:lastRow="0" w:firstColumn="0" w:lastColumn="0" w:noHBand="0" w:noVBand="0"/>
      </w:tblPr>
      <w:tblGrid>
        <w:gridCol w:w="6664"/>
        <w:gridCol w:w="1345"/>
        <w:gridCol w:w="1347"/>
      </w:tblGrid>
      <w:tr w:rsidR="004F7EAC" w:rsidRPr="001567C8" w:rsidTr="006537CF">
        <w:trPr>
          <w:trHeight w:val="341"/>
        </w:trPr>
        <w:tc>
          <w:tcPr>
            <w:tcW w:w="3561" w:type="pct"/>
            <w:vAlign w:val="center"/>
          </w:tcPr>
          <w:p w:rsidR="004F7EAC" w:rsidRPr="001567C8" w:rsidRDefault="004F7EAC" w:rsidP="004F7EAC">
            <w:pPr>
              <w:pStyle w:val="TT"/>
              <w:jc w:val="center"/>
              <w:rPr>
                <w:rFonts w:asciiTheme="minorHAnsi" w:hAnsiTheme="minorHAnsi" w:cs="Arial"/>
                <w:b/>
                <w:bCs/>
                <w:szCs w:val="19"/>
                <w:lang w:val="hr-HR"/>
              </w:rPr>
            </w:pPr>
          </w:p>
        </w:tc>
        <w:tc>
          <w:tcPr>
            <w:tcW w:w="719" w:type="pct"/>
            <w:vAlign w:val="bottom"/>
          </w:tcPr>
          <w:p w:rsidR="004F7EAC" w:rsidRPr="001567C8" w:rsidRDefault="004F7EAC" w:rsidP="004F7EAC">
            <w:pPr>
              <w:pStyle w:val="TT"/>
              <w:tabs>
                <w:tab w:val="clear" w:pos="1202"/>
              </w:tabs>
              <w:jc w:val="right"/>
              <w:rPr>
                <w:rFonts w:asciiTheme="minorHAnsi" w:hAnsiTheme="minorHAnsi" w:cs="Arial"/>
                <w:b/>
                <w:bCs/>
                <w:szCs w:val="19"/>
                <w:lang w:val="hr-HR"/>
              </w:rPr>
            </w:pPr>
            <w:r w:rsidRPr="001567C8">
              <w:rPr>
                <w:rFonts w:asciiTheme="minorHAnsi" w:hAnsiTheme="minorHAnsi" w:cs="Arial"/>
                <w:b/>
                <w:bCs/>
                <w:szCs w:val="19"/>
                <w:lang w:val="hr-HR"/>
              </w:rPr>
              <w:t>2018.</w:t>
            </w:r>
          </w:p>
        </w:tc>
        <w:tc>
          <w:tcPr>
            <w:tcW w:w="720" w:type="pct"/>
            <w:vAlign w:val="bottom"/>
          </w:tcPr>
          <w:p w:rsidR="004F7EAC" w:rsidRPr="001567C8" w:rsidRDefault="004F7EAC" w:rsidP="004F7EAC">
            <w:pPr>
              <w:pStyle w:val="TT"/>
              <w:tabs>
                <w:tab w:val="clear" w:pos="1202"/>
              </w:tabs>
              <w:jc w:val="right"/>
              <w:rPr>
                <w:rFonts w:asciiTheme="minorHAnsi" w:hAnsiTheme="minorHAnsi" w:cs="Arial"/>
                <w:b/>
                <w:bCs/>
                <w:szCs w:val="19"/>
                <w:lang w:val="hr-HR"/>
              </w:rPr>
            </w:pPr>
            <w:r w:rsidRPr="001567C8">
              <w:rPr>
                <w:rFonts w:asciiTheme="minorHAnsi" w:hAnsiTheme="minorHAnsi" w:cs="Arial"/>
                <w:b/>
                <w:bCs/>
                <w:szCs w:val="19"/>
                <w:lang w:val="hr-HR"/>
              </w:rPr>
              <w:t>2017.</w:t>
            </w:r>
          </w:p>
        </w:tc>
      </w:tr>
      <w:tr w:rsidR="004F7EAC" w:rsidRPr="001567C8" w:rsidTr="006537CF">
        <w:trPr>
          <w:trHeight w:val="338"/>
        </w:trPr>
        <w:tc>
          <w:tcPr>
            <w:tcW w:w="3561" w:type="pct"/>
            <w:vAlign w:val="center"/>
          </w:tcPr>
          <w:p w:rsidR="004F7EAC" w:rsidRPr="001567C8" w:rsidRDefault="004F7EAC" w:rsidP="004F7EAC">
            <w:pPr>
              <w:pStyle w:val="TT"/>
              <w:jc w:val="center"/>
              <w:rPr>
                <w:rFonts w:asciiTheme="minorHAnsi" w:hAnsiTheme="minorHAnsi" w:cs="Arial"/>
                <w:b/>
                <w:bCs/>
                <w:szCs w:val="19"/>
                <w:lang w:val="hr-HR"/>
              </w:rPr>
            </w:pPr>
          </w:p>
        </w:tc>
        <w:tc>
          <w:tcPr>
            <w:tcW w:w="719" w:type="pct"/>
          </w:tcPr>
          <w:p w:rsidR="004F7EAC" w:rsidRPr="001567C8" w:rsidRDefault="004F7EAC" w:rsidP="004F7EAC">
            <w:pPr>
              <w:pStyle w:val="TT"/>
              <w:tabs>
                <w:tab w:val="clear" w:pos="1202"/>
              </w:tabs>
              <w:jc w:val="right"/>
              <w:rPr>
                <w:rFonts w:asciiTheme="minorHAnsi" w:hAnsiTheme="minorHAnsi" w:cs="Arial"/>
                <w:b/>
                <w:bCs/>
                <w:szCs w:val="19"/>
                <w:lang w:val="hr-HR"/>
              </w:rPr>
            </w:pPr>
            <w:r w:rsidRPr="001567C8">
              <w:rPr>
                <w:rFonts w:asciiTheme="minorHAnsi" w:hAnsiTheme="minorHAnsi" w:cs="Arial"/>
                <w:b/>
                <w:bCs/>
                <w:szCs w:val="19"/>
                <w:lang w:val="hr-HR"/>
              </w:rPr>
              <w:t>000 kuna</w:t>
            </w:r>
          </w:p>
        </w:tc>
        <w:tc>
          <w:tcPr>
            <w:tcW w:w="720" w:type="pct"/>
          </w:tcPr>
          <w:p w:rsidR="004F7EAC" w:rsidRPr="001567C8" w:rsidRDefault="004F7EAC" w:rsidP="004F7EAC">
            <w:pPr>
              <w:pStyle w:val="TT"/>
              <w:tabs>
                <w:tab w:val="clear" w:pos="1202"/>
              </w:tabs>
              <w:jc w:val="right"/>
              <w:rPr>
                <w:rFonts w:asciiTheme="minorHAnsi" w:hAnsiTheme="minorHAnsi" w:cs="Arial"/>
                <w:b/>
                <w:bCs/>
                <w:szCs w:val="19"/>
                <w:lang w:val="hr-HR"/>
              </w:rPr>
            </w:pPr>
            <w:r w:rsidRPr="001567C8">
              <w:rPr>
                <w:rFonts w:asciiTheme="minorHAnsi" w:hAnsiTheme="minorHAnsi" w:cs="Arial"/>
                <w:b/>
                <w:bCs/>
                <w:szCs w:val="19"/>
                <w:lang w:val="hr-HR"/>
              </w:rPr>
              <w:t>000 kuna</w:t>
            </w:r>
          </w:p>
        </w:tc>
      </w:tr>
      <w:tr w:rsidR="004F7EAC" w:rsidRPr="001567C8" w:rsidTr="006537CF">
        <w:trPr>
          <w:trHeight w:hRule="exact" w:val="284"/>
        </w:trPr>
        <w:tc>
          <w:tcPr>
            <w:tcW w:w="3561" w:type="pct"/>
            <w:vAlign w:val="center"/>
          </w:tcPr>
          <w:p w:rsidR="004F7EAC" w:rsidRPr="001567C8" w:rsidRDefault="004F7EAC" w:rsidP="004F7EAC">
            <w:pPr>
              <w:pStyle w:val="TT"/>
              <w:jc w:val="center"/>
              <w:rPr>
                <w:rFonts w:asciiTheme="minorHAnsi" w:hAnsiTheme="minorHAnsi" w:cs="Arial"/>
                <w:b/>
                <w:bCs/>
                <w:szCs w:val="19"/>
                <w:lang w:val="hr-HR"/>
              </w:rPr>
            </w:pPr>
          </w:p>
        </w:tc>
        <w:tc>
          <w:tcPr>
            <w:tcW w:w="719" w:type="pct"/>
          </w:tcPr>
          <w:p w:rsidR="004F7EAC" w:rsidRPr="001567C8" w:rsidRDefault="004F7EAC" w:rsidP="004F7EAC">
            <w:pPr>
              <w:pStyle w:val="TT"/>
              <w:tabs>
                <w:tab w:val="clear" w:pos="1202"/>
              </w:tabs>
              <w:jc w:val="right"/>
              <w:rPr>
                <w:rFonts w:asciiTheme="minorHAnsi" w:hAnsiTheme="minorHAnsi" w:cs="Arial"/>
                <w:b/>
                <w:bCs/>
                <w:szCs w:val="19"/>
                <w:lang w:val="hr-HR"/>
              </w:rPr>
            </w:pPr>
          </w:p>
        </w:tc>
        <w:tc>
          <w:tcPr>
            <w:tcW w:w="720" w:type="pct"/>
          </w:tcPr>
          <w:p w:rsidR="004F7EAC" w:rsidRPr="001567C8" w:rsidRDefault="004F7EAC" w:rsidP="004F7EAC">
            <w:pPr>
              <w:pStyle w:val="TT"/>
              <w:tabs>
                <w:tab w:val="clear" w:pos="1202"/>
              </w:tabs>
              <w:jc w:val="right"/>
              <w:rPr>
                <w:rFonts w:asciiTheme="minorHAnsi" w:hAnsiTheme="minorHAnsi" w:cs="Arial"/>
                <w:b/>
                <w:bCs/>
                <w:szCs w:val="19"/>
                <w:lang w:val="hr-HR"/>
              </w:rPr>
            </w:pPr>
          </w:p>
        </w:tc>
      </w:tr>
      <w:tr w:rsidR="004F7EAC" w:rsidRPr="001567C8" w:rsidTr="006537CF">
        <w:trPr>
          <w:trHeight w:val="335"/>
        </w:trPr>
        <w:tc>
          <w:tcPr>
            <w:tcW w:w="3561" w:type="pct"/>
            <w:vAlign w:val="center"/>
          </w:tcPr>
          <w:p w:rsidR="004F7EAC" w:rsidRPr="001567C8" w:rsidRDefault="004F7EAC" w:rsidP="004F7EAC">
            <w:pPr>
              <w:pStyle w:val="Tot"/>
              <w:spacing w:line="240" w:lineRule="exact"/>
              <w:rPr>
                <w:rFonts w:asciiTheme="minorHAnsi" w:hAnsiTheme="minorHAnsi" w:cs="Arial"/>
                <w:b/>
                <w:bCs/>
                <w:szCs w:val="19"/>
                <w:lang w:val="hr-HR"/>
              </w:rPr>
            </w:pPr>
            <w:r w:rsidRPr="001567C8">
              <w:rPr>
                <w:rFonts w:asciiTheme="minorHAnsi" w:hAnsiTheme="minorHAnsi" w:cs="Arial"/>
                <w:b/>
                <w:bCs/>
                <w:szCs w:val="19"/>
                <w:lang w:val="hr-HR"/>
              </w:rPr>
              <w:t>Dobit tekuće godine</w:t>
            </w:r>
          </w:p>
        </w:tc>
        <w:tc>
          <w:tcPr>
            <w:tcW w:w="719" w:type="pct"/>
            <w:tcBorders>
              <w:bottom w:val="single" w:sz="12" w:space="0" w:color="auto"/>
            </w:tcBorders>
            <w:vAlign w:val="center"/>
          </w:tcPr>
          <w:p w:rsidR="004F7EAC" w:rsidRPr="001567C8" w:rsidRDefault="00052742" w:rsidP="004F7EAC">
            <w:pPr>
              <w:pStyle w:val="Tot"/>
              <w:jc w:val="right"/>
              <w:rPr>
                <w:rFonts w:asciiTheme="minorHAnsi" w:hAnsiTheme="minorHAnsi" w:cs="Arial"/>
                <w:b/>
                <w:bCs/>
                <w:szCs w:val="19"/>
                <w:lang w:val="hr-HR"/>
              </w:rPr>
            </w:pPr>
            <w:r w:rsidRPr="001567C8">
              <w:rPr>
                <w:rFonts w:asciiTheme="minorHAnsi" w:hAnsiTheme="minorHAnsi" w:cs="Arial"/>
                <w:b/>
                <w:bCs/>
                <w:szCs w:val="19"/>
                <w:lang w:val="hr-HR"/>
              </w:rPr>
              <w:t>204.328</w:t>
            </w:r>
          </w:p>
        </w:tc>
        <w:tc>
          <w:tcPr>
            <w:tcW w:w="720" w:type="pct"/>
            <w:tcBorders>
              <w:bottom w:val="single" w:sz="12" w:space="0" w:color="auto"/>
            </w:tcBorders>
            <w:vAlign w:val="center"/>
          </w:tcPr>
          <w:p w:rsidR="004F7EAC" w:rsidRPr="001567C8" w:rsidRDefault="004F7EAC" w:rsidP="004F7EAC">
            <w:pPr>
              <w:pStyle w:val="Tot"/>
              <w:jc w:val="right"/>
              <w:rPr>
                <w:rFonts w:asciiTheme="minorHAnsi" w:hAnsiTheme="minorHAnsi" w:cs="Arial"/>
                <w:b/>
                <w:bCs/>
                <w:szCs w:val="19"/>
                <w:lang w:val="hr-HR"/>
              </w:rPr>
            </w:pPr>
            <w:r w:rsidRPr="001567C8">
              <w:rPr>
                <w:rFonts w:asciiTheme="minorHAnsi" w:hAnsiTheme="minorHAnsi" w:cs="Arial"/>
                <w:b/>
                <w:bCs/>
                <w:szCs w:val="19"/>
                <w:lang w:val="hr-HR"/>
              </w:rPr>
              <w:t>160.783</w:t>
            </w:r>
          </w:p>
        </w:tc>
      </w:tr>
      <w:tr w:rsidR="003A3692" w:rsidRPr="001567C8" w:rsidTr="006537CF">
        <w:trPr>
          <w:trHeight w:hRule="exact" w:val="113"/>
        </w:trPr>
        <w:tc>
          <w:tcPr>
            <w:tcW w:w="3561" w:type="pct"/>
            <w:vAlign w:val="center"/>
          </w:tcPr>
          <w:p w:rsidR="003A3692" w:rsidRPr="001567C8" w:rsidRDefault="003A3692" w:rsidP="004F7EAC">
            <w:pPr>
              <w:pStyle w:val="Tot"/>
              <w:spacing w:line="240" w:lineRule="exact"/>
              <w:rPr>
                <w:rFonts w:asciiTheme="minorHAnsi" w:hAnsiTheme="minorHAnsi" w:cs="Arial"/>
                <w:b/>
                <w:bCs/>
                <w:szCs w:val="19"/>
                <w:lang w:val="hr-HR"/>
              </w:rPr>
            </w:pPr>
          </w:p>
        </w:tc>
        <w:tc>
          <w:tcPr>
            <w:tcW w:w="719" w:type="pct"/>
            <w:vAlign w:val="center"/>
          </w:tcPr>
          <w:p w:rsidR="003A3692" w:rsidRPr="001567C8" w:rsidRDefault="003A3692" w:rsidP="004F7EAC">
            <w:pPr>
              <w:pStyle w:val="Tot"/>
              <w:jc w:val="right"/>
              <w:rPr>
                <w:rFonts w:asciiTheme="minorHAnsi" w:hAnsiTheme="minorHAnsi" w:cs="Arial"/>
                <w:b/>
                <w:bCs/>
                <w:szCs w:val="19"/>
                <w:lang w:val="hr-HR"/>
              </w:rPr>
            </w:pPr>
          </w:p>
        </w:tc>
        <w:tc>
          <w:tcPr>
            <w:tcW w:w="720" w:type="pct"/>
            <w:vAlign w:val="center"/>
          </w:tcPr>
          <w:p w:rsidR="003A3692" w:rsidRPr="001567C8" w:rsidRDefault="003A3692" w:rsidP="004F7EAC">
            <w:pPr>
              <w:pStyle w:val="Tot"/>
              <w:jc w:val="right"/>
              <w:rPr>
                <w:rFonts w:asciiTheme="minorHAnsi" w:hAnsiTheme="minorHAnsi" w:cs="Arial"/>
                <w:b/>
                <w:bCs/>
                <w:szCs w:val="19"/>
                <w:lang w:val="hr-HR"/>
              </w:rPr>
            </w:pPr>
          </w:p>
        </w:tc>
      </w:tr>
      <w:tr w:rsidR="004F7EAC" w:rsidRPr="001567C8" w:rsidTr="006537CF">
        <w:trPr>
          <w:trHeight w:val="323"/>
        </w:trPr>
        <w:tc>
          <w:tcPr>
            <w:tcW w:w="3561" w:type="pct"/>
            <w:vAlign w:val="center"/>
          </w:tcPr>
          <w:p w:rsidR="004F7EAC" w:rsidRPr="001567C8" w:rsidRDefault="004F7EAC" w:rsidP="004F7EAC">
            <w:pPr>
              <w:tabs>
                <w:tab w:val="right" w:pos="1202"/>
              </w:tabs>
              <w:spacing w:line="240" w:lineRule="exact"/>
              <w:outlineLvl w:val="0"/>
              <w:rPr>
                <w:rFonts w:asciiTheme="minorHAnsi" w:hAnsiTheme="minorHAnsi" w:cs="Arial"/>
                <w:b/>
                <w:bCs/>
                <w:sz w:val="19"/>
                <w:szCs w:val="19"/>
                <w:lang w:val="hr-HR"/>
              </w:rPr>
            </w:pPr>
            <w:r w:rsidRPr="001567C8">
              <w:rPr>
                <w:rFonts w:asciiTheme="minorHAnsi" w:hAnsiTheme="minorHAnsi" w:cs="Arial"/>
                <w:b/>
                <w:bCs/>
                <w:sz w:val="19"/>
                <w:szCs w:val="19"/>
                <w:lang w:val="hr-HR"/>
              </w:rPr>
              <w:t>Ostala sveobuhvatna dobit</w:t>
            </w:r>
          </w:p>
        </w:tc>
        <w:tc>
          <w:tcPr>
            <w:tcW w:w="719" w:type="pct"/>
            <w:vAlign w:val="center"/>
          </w:tcPr>
          <w:p w:rsidR="004F7EAC" w:rsidRPr="001567C8" w:rsidRDefault="004F7EAC" w:rsidP="004F7EAC">
            <w:pPr>
              <w:pStyle w:val="Tot"/>
              <w:jc w:val="right"/>
              <w:rPr>
                <w:rFonts w:asciiTheme="minorHAnsi" w:hAnsiTheme="minorHAnsi" w:cs="Arial"/>
                <w:b/>
                <w:bCs/>
                <w:szCs w:val="19"/>
                <w:lang w:val="hr-HR"/>
              </w:rPr>
            </w:pPr>
          </w:p>
        </w:tc>
        <w:tc>
          <w:tcPr>
            <w:tcW w:w="720" w:type="pct"/>
            <w:vAlign w:val="center"/>
          </w:tcPr>
          <w:p w:rsidR="004F7EAC" w:rsidRPr="001567C8" w:rsidRDefault="004F7EAC" w:rsidP="004F7EAC">
            <w:pPr>
              <w:pStyle w:val="Tot"/>
              <w:jc w:val="right"/>
              <w:rPr>
                <w:rFonts w:asciiTheme="minorHAnsi" w:hAnsiTheme="minorHAnsi" w:cs="Arial"/>
                <w:b/>
                <w:bCs/>
                <w:szCs w:val="19"/>
                <w:lang w:val="hr-HR"/>
              </w:rPr>
            </w:pPr>
          </w:p>
        </w:tc>
      </w:tr>
      <w:tr w:rsidR="004F7EAC" w:rsidRPr="001567C8" w:rsidTr="006537CF">
        <w:trPr>
          <w:trHeight w:hRule="exact" w:val="369"/>
        </w:trPr>
        <w:tc>
          <w:tcPr>
            <w:tcW w:w="3561" w:type="pct"/>
            <w:vAlign w:val="bottom"/>
          </w:tcPr>
          <w:p w:rsidR="004F7EAC" w:rsidRPr="001567C8" w:rsidRDefault="004F7EAC" w:rsidP="004F7EAC">
            <w:pPr>
              <w:tabs>
                <w:tab w:val="right" w:pos="1202"/>
              </w:tabs>
              <w:spacing w:line="240" w:lineRule="exact"/>
              <w:outlineLvl w:val="0"/>
              <w:rPr>
                <w:rFonts w:asciiTheme="minorHAnsi" w:hAnsiTheme="minorHAnsi" w:cs="Arial"/>
                <w:b/>
                <w:bCs/>
                <w:sz w:val="19"/>
                <w:szCs w:val="19"/>
                <w:lang w:val="hr-HR"/>
              </w:rPr>
            </w:pPr>
            <w:r w:rsidRPr="001567C8">
              <w:rPr>
                <w:rFonts w:asciiTheme="minorHAnsi" w:hAnsiTheme="minorHAnsi" w:cs="Arial"/>
                <w:b/>
                <w:bCs/>
                <w:sz w:val="19"/>
                <w:szCs w:val="19"/>
                <w:lang w:val="hr-HR"/>
              </w:rPr>
              <w:t>Stavke koje se kasnije ne prenose u dobit ili gubitak:</w:t>
            </w:r>
          </w:p>
        </w:tc>
        <w:tc>
          <w:tcPr>
            <w:tcW w:w="719" w:type="pct"/>
            <w:vAlign w:val="center"/>
          </w:tcPr>
          <w:p w:rsidR="004F7EAC" w:rsidRPr="001567C8" w:rsidRDefault="004F7EAC" w:rsidP="004F7EAC">
            <w:pPr>
              <w:pStyle w:val="Tot"/>
              <w:jc w:val="right"/>
              <w:rPr>
                <w:rFonts w:asciiTheme="minorHAnsi" w:hAnsiTheme="minorHAnsi" w:cs="Arial"/>
                <w:b/>
                <w:bCs/>
                <w:szCs w:val="19"/>
                <w:lang w:val="hr-HR"/>
              </w:rPr>
            </w:pPr>
          </w:p>
        </w:tc>
        <w:tc>
          <w:tcPr>
            <w:tcW w:w="720" w:type="pct"/>
            <w:vAlign w:val="center"/>
          </w:tcPr>
          <w:p w:rsidR="004F7EAC" w:rsidRPr="001567C8" w:rsidRDefault="004F7EAC" w:rsidP="004F7EAC">
            <w:pPr>
              <w:pStyle w:val="Tot"/>
              <w:jc w:val="right"/>
              <w:rPr>
                <w:rFonts w:asciiTheme="minorHAnsi" w:hAnsiTheme="minorHAnsi" w:cs="Arial"/>
                <w:b/>
                <w:bCs/>
                <w:szCs w:val="19"/>
                <w:lang w:val="hr-HR"/>
              </w:rPr>
            </w:pPr>
          </w:p>
        </w:tc>
      </w:tr>
      <w:tr w:rsidR="004F7EAC" w:rsidRPr="001567C8" w:rsidTr="006537CF">
        <w:trPr>
          <w:trHeight w:val="323"/>
        </w:trPr>
        <w:tc>
          <w:tcPr>
            <w:tcW w:w="3561" w:type="pct"/>
            <w:vAlign w:val="bottom"/>
          </w:tcPr>
          <w:p w:rsidR="004F7EAC" w:rsidRPr="001567C8" w:rsidRDefault="004F7EAC" w:rsidP="004F7EAC">
            <w:pPr>
              <w:tabs>
                <w:tab w:val="right" w:pos="1202"/>
              </w:tabs>
              <w:spacing w:line="240" w:lineRule="exact"/>
              <w:outlineLvl w:val="0"/>
              <w:rPr>
                <w:rFonts w:asciiTheme="minorHAnsi" w:hAnsiTheme="minorHAnsi" w:cs="Arial"/>
                <w:bCs/>
                <w:sz w:val="19"/>
                <w:szCs w:val="19"/>
                <w:lang w:val="hr-HR"/>
              </w:rPr>
            </w:pPr>
            <w:r w:rsidRPr="001567C8">
              <w:rPr>
                <w:rFonts w:asciiTheme="minorHAnsi" w:hAnsiTheme="minorHAnsi" w:cs="Arial"/>
                <w:bCs/>
                <w:sz w:val="19"/>
                <w:szCs w:val="19"/>
                <w:lang w:val="hr-HR"/>
              </w:rPr>
              <w:t>Nerealizirani aktuarski (gubitak)</w:t>
            </w:r>
            <w:r w:rsidRPr="001567C8" w:rsidDel="005829D6">
              <w:rPr>
                <w:rFonts w:asciiTheme="minorHAnsi" w:hAnsiTheme="minorHAnsi" w:cs="Arial"/>
                <w:bCs/>
                <w:sz w:val="19"/>
                <w:szCs w:val="19"/>
                <w:lang w:val="hr-HR"/>
              </w:rPr>
              <w:t xml:space="preserve"> </w:t>
            </w:r>
          </w:p>
        </w:tc>
        <w:tc>
          <w:tcPr>
            <w:tcW w:w="719" w:type="pct"/>
            <w:tcBorders>
              <w:bottom w:val="single" w:sz="4" w:space="0" w:color="auto"/>
            </w:tcBorders>
            <w:vAlign w:val="bottom"/>
          </w:tcPr>
          <w:p w:rsidR="004F7EAC" w:rsidRPr="001567C8" w:rsidRDefault="00052742" w:rsidP="004F7EAC">
            <w:pPr>
              <w:pStyle w:val="Tot"/>
              <w:jc w:val="right"/>
              <w:rPr>
                <w:rFonts w:asciiTheme="minorHAnsi" w:hAnsiTheme="minorHAnsi" w:cs="Arial"/>
                <w:bCs/>
                <w:szCs w:val="19"/>
                <w:lang w:val="hr-HR"/>
              </w:rPr>
            </w:pPr>
            <w:r w:rsidRPr="001567C8">
              <w:rPr>
                <w:rFonts w:asciiTheme="minorHAnsi" w:hAnsiTheme="minorHAnsi" w:cs="Arial"/>
                <w:bCs/>
                <w:szCs w:val="19"/>
                <w:lang w:val="hr-HR"/>
              </w:rPr>
              <w:t>(144)</w:t>
            </w:r>
          </w:p>
        </w:tc>
        <w:tc>
          <w:tcPr>
            <w:tcW w:w="720" w:type="pct"/>
            <w:tcBorders>
              <w:bottom w:val="single" w:sz="4" w:space="0" w:color="auto"/>
            </w:tcBorders>
            <w:vAlign w:val="bottom"/>
          </w:tcPr>
          <w:p w:rsidR="004F7EAC" w:rsidRPr="001567C8" w:rsidRDefault="004F7EAC" w:rsidP="004F7EAC">
            <w:pPr>
              <w:pStyle w:val="Tot"/>
              <w:jc w:val="right"/>
              <w:rPr>
                <w:rFonts w:asciiTheme="minorHAnsi" w:hAnsiTheme="minorHAnsi" w:cs="Arial"/>
                <w:bCs/>
                <w:szCs w:val="19"/>
                <w:lang w:val="hr-HR"/>
              </w:rPr>
            </w:pPr>
            <w:r w:rsidRPr="001567C8">
              <w:rPr>
                <w:rFonts w:asciiTheme="minorHAnsi" w:hAnsiTheme="minorHAnsi" w:cs="Arial"/>
                <w:bCs/>
                <w:szCs w:val="19"/>
                <w:lang w:val="hr-HR"/>
              </w:rPr>
              <w:t>(579)</w:t>
            </w:r>
          </w:p>
        </w:tc>
      </w:tr>
      <w:tr w:rsidR="004F7EAC" w:rsidRPr="001567C8" w:rsidTr="006537CF">
        <w:trPr>
          <w:trHeight w:val="311"/>
        </w:trPr>
        <w:tc>
          <w:tcPr>
            <w:tcW w:w="3561" w:type="pct"/>
            <w:vAlign w:val="bottom"/>
          </w:tcPr>
          <w:p w:rsidR="004F7EAC" w:rsidRPr="001567C8" w:rsidRDefault="004F7EAC" w:rsidP="004F7EAC">
            <w:pPr>
              <w:tabs>
                <w:tab w:val="right" w:pos="1202"/>
              </w:tabs>
              <w:spacing w:line="240" w:lineRule="exact"/>
              <w:outlineLvl w:val="0"/>
              <w:rPr>
                <w:rFonts w:asciiTheme="minorHAnsi" w:hAnsiTheme="minorHAnsi" w:cs="Arial"/>
                <w:b/>
                <w:bCs/>
                <w:sz w:val="19"/>
                <w:szCs w:val="19"/>
                <w:lang w:val="hr-HR"/>
              </w:rPr>
            </w:pPr>
            <w:r w:rsidRPr="001567C8">
              <w:rPr>
                <w:rFonts w:asciiTheme="minorHAnsi" w:hAnsiTheme="minorHAnsi" w:cs="Arial"/>
                <w:b/>
                <w:bCs/>
                <w:sz w:val="19"/>
                <w:szCs w:val="19"/>
                <w:lang w:val="hr-HR"/>
              </w:rPr>
              <w:t>Ukupno stavke koje se kasnije ne prenose u dobit ili gubitak</w:t>
            </w:r>
          </w:p>
        </w:tc>
        <w:tc>
          <w:tcPr>
            <w:tcW w:w="719" w:type="pct"/>
            <w:tcBorders>
              <w:top w:val="single" w:sz="4" w:space="0" w:color="auto"/>
              <w:bottom w:val="single" w:sz="12" w:space="0" w:color="auto"/>
            </w:tcBorders>
            <w:vAlign w:val="bottom"/>
          </w:tcPr>
          <w:p w:rsidR="004F7EAC" w:rsidRPr="001567C8" w:rsidRDefault="00052742" w:rsidP="004F7EAC">
            <w:pPr>
              <w:pStyle w:val="Tot"/>
              <w:jc w:val="right"/>
              <w:rPr>
                <w:rFonts w:asciiTheme="minorHAnsi" w:hAnsiTheme="minorHAnsi" w:cs="Arial"/>
                <w:b/>
                <w:bCs/>
                <w:szCs w:val="19"/>
                <w:lang w:val="hr-HR"/>
              </w:rPr>
            </w:pPr>
            <w:r w:rsidRPr="001567C8">
              <w:rPr>
                <w:rFonts w:asciiTheme="minorHAnsi" w:hAnsiTheme="minorHAnsi" w:cs="Arial"/>
                <w:b/>
                <w:bCs/>
                <w:szCs w:val="19"/>
                <w:lang w:val="hr-HR"/>
              </w:rPr>
              <w:t>(144)</w:t>
            </w:r>
          </w:p>
        </w:tc>
        <w:tc>
          <w:tcPr>
            <w:tcW w:w="720" w:type="pct"/>
            <w:tcBorders>
              <w:top w:val="single" w:sz="4" w:space="0" w:color="auto"/>
              <w:bottom w:val="single" w:sz="12" w:space="0" w:color="auto"/>
            </w:tcBorders>
            <w:vAlign w:val="bottom"/>
          </w:tcPr>
          <w:p w:rsidR="004F7EAC" w:rsidRPr="001567C8" w:rsidRDefault="004F7EAC" w:rsidP="004F7EAC">
            <w:pPr>
              <w:pStyle w:val="Tot"/>
              <w:tabs>
                <w:tab w:val="left" w:pos="263"/>
              </w:tabs>
              <w:jc w:val="right"/>
              <w:rPr>
                <w:rFonts w:asciiTheme="minorHAnsi" w:hAnsiTheme="minorHAnsi" w:cs="Arial"/>
                <w:b/>
                <w:bCs/>
                <w:szCs w:val="19"/>
                <w:lang w:val="hr-HR"/>
              </w:rPr>
            </w:pPr>
            <w:r w:rsidRPr="001567C8">
              <w:rPr>
                <w:rFonts w:asciiTheme="minorHAnsi" w:hAnsiTheme="minorHAnsi" w:cs="Arial"/>
                <w:b/>
                <w:bCs/>
                <w:szCs w:val="19"/>
                <w:lang w:val="hr-HR"/>
              </w:rPr>
              <w:t>(579)</w:t>
            </w:r>
          </w:p>
        </w:tc>
      </w:tr>
      <w:tr w:rsidR="003A3692" w:rsidRPr="001567C8" w:rsidTr="006537CF">
        <w:trPr>
          <w:trHeight w:hRule="exact" w:val="113"/>
        </w:trPr>
        <w:tc>
          <w:tcPr>
            <w:tcW w:w="3561" w:type="pct"/>
            <w:vAlign w:val="bottom"/>
          </w:tcPr>
          <w:p w:rsidR="003A3692" w:rsidRPr="001567C8" w:rsidRDefault="003A3692" w:rsidP="004F7EAC">
            <w:pPr>
              <w:tabs>
                <w:tab w:val="right" w:pos="1202"/>
              </w:tabs>
              <w:spacing w:line="240" w:lineRule="exact"/>
              <w:outlineLvl w:val="0"/>
              <w:rPr>
                <w:rFonts w:asciiTheme="minorHAnsi" w:hAnsiTheme="minorHAnsi" w:cs="Arial"/>
                <w:b/>
                <w:bCs/>
                <w:sz w:val="19"/>
                <w:szCs w:val="19"/>
                <w:lang w:val="hr-HR"/>
              </w:rPr>
            </w:pPr>
          </w:p>
        </w:tc>
        <w:tc>
          <w:tcPr>
            <w:tcW w:w="719" w:type="pct"/>
            <w:tcBorders>
              <w:top w:val="single" w:sz="4" w:space="0" w:color="auto"/>
            </w:tcBorders>
            <w:vAlign w:val="bottom"/>
          </w:tcPr>
          <w:p w:rsidR="003A3692" w:rsidRPr="001567C8" w:rsidRDefault="003A3692" w:rsidP="004F7EAC">
            <w:pPr>
              <w:pStyle w:val="Tot"/>
              <w:jc w:val="right"/>
              <w:rPr>
                <w:rFonts w:asciiTheme="minorHAnsi" w:hAnsiTheme="minorHAnsi" w:cs="Arial"/>
                <w:b/>
                <w:bCs/>
                <w:szCs w:val="19"/>
                <w:lang w:val="hr-HR"/>
              </w:rPr>
            </w:pPr>
          </w:p>
        </w:tc>
        <w:tc>
          <w:tcPr>
            <w:tcW w:w="720" w:type="pct"/>
            <w:tcBorders>
              <w:top w:val="single" w:sz="4" w:space="0" w:color="auto"/>
            </w:tcBorders>
            <w:vAlign w:val="bottom"/>
          </w:tcPr>
          <w:p w:rsidR="003A3692" w:rsidRPr="001567C8" w:rsidRDefault="003A3692" w:rsidP="004F7EAC">
            <w:pPr>
              <w:pStyle w:val="Tot"/>
              <w:tabs>
                <w:tab w:val="left" w:pos="263"/>
              </w:tabs>
              <w:jc w:val="right"/>
              <w:rPr>
                <w:rFonts w:asciiTheme="minorHAnsi" w:hAnsiTheme="minorHAnsi" w:cs="Arial"/>
                <w:b/>
                <w:bCs/>
                <w:szCs w:val="19"/>
                <w:lang w:val="hr-HR"/>
              </w:rPr>
            </w:pPr>
          </w:p>
        </w:tc>
      </w:tr>
      <w:tr w:rsidR="004F7EAC" w:rsidRPr="001567C8" w:rsidTr="006537CF">
        <w:trPr>
          <w:trHeight w:hRule="exact" w:val="371"/>
        </w:trPr>
        <w:tc>
          <w:tcPr>
            <w:tcW w:w="3561" w:type="pct"/>
            <w:vAlign w:val="bottom"/>
          </w:tcPr>
          <w:p w:rsidR="004F7EAC" w:rsidRPr="001567C8" w:rsidRDefault="004F7EAC" w:rsidP="004F7EAC">
            <w:pPr>
              <w:pStyle w:val="Tot"/>
              <w:spacing w:line="240" w:lineRule="exact"/>
              <w:rPr>
                <w:rFonts w:asciiTheme="minorHAnsi" w:hAnsiTheme="minorHAnsi" w:cs="Arial"/>
                <w:b/>
                <w:bCs/>
                <w:szCs w:val="19"/>
                <w:lang w:val="hr-HR"/>
              </w:rPr>
            </w:pPr>
            <w:r w:rsidRPr="001567C8">
              <w:rPr>
                <w:rFonts w:asciiTheme="minorHAnsi" w:hAnsiTheme="minorHAnsi" w:cs="Arial"/>
                <w:b/>
                <w:bCs/>
                <w:szCs w:val="19"/>
                <w:lang w:val="hr-HR"/>
              </w:rPr>
              <w:t>Stavke koje se kasnije mogu uračunati u dobit ili gubitak:</w:t>
            </w:r>
          </w:p>
        </w:tc>
        <w:tc>
          <w:tcPr>
            <w:tcW w:w="719" w:type="pct"/>
            <w:vAlign w:val="center"/>
          </w:tcPr>
          <w:p w:rsidR="004F7EAC" w:rsidRPr="001567C8" w:rsidRDefault="004F7EAC" w:rsidP="004F7EAC">
            <w:pPr>
              <w:pStyle w:val="Tot"/>
              <w:jc w:val="right"/>
              <w:rPr>
                <w:rFonts w:asciiTheme="minorHAnsi" w:hAnsiTheme="minorHAnsi" w:cs="Arial"/>
                <w:b/>
                <w:bCs/>
                <w:szCs w:val="19"/>
                <w:lang w:val="hr-HR"/>
              </w:rPr>
            </w:pPr>
          </w:p>
        </w:tc>
        <w:tc>
          <w:tcPr>
            <w:tcW w:w="720" w:type="pct"/>
            <w:vAlign w:val="center"/>
          </w:tcPr>
          <w:p w:rsidR="004F7EAC" w:rsidRPr="001567C8" w:rsidRDefault="004F7EAC" w:rsidP="004F7EAC">
            <w:pPr>
              <w:pStyle w:val="Tot"/>
              <w:jc w:val="right"/>
              <w:rPr>
                <w:rFonts w:asciiTheme="minorHAnsi" w:hAnsiTheme="minorHAnsi" w:cs="Arial"/>
                <w:b/>
                <w:bCs/>
                <w:szCs w:val="19"/>
                <w:lang w:val="hr-HR"/>
              </w:rPr>
            </w:pPr>
          </w:p>
        </w:tc>
      </w:tr>
      <w:tr w:rsidR="00CA1CFC" w:rsidRPr="001567C8" w:rsidTr="003C6BA3">
        <w:trPr>
          <w:trHeight w:val="340"/>
        </w:trPr>
        <w:tc>
          <w:tcPr>
            <w:tcW w:w="3561" w:type="pct"/>
            <w:tcBorders>
              <w:top w:val="nil"/>
              <w:left w:val="nil"/>
              <w:bottom w:val="nil"/>
              <w:right w:val="nil"/>
            </w:tcBorders>
            <w:shd w:val="clear" w:color="auto" w:fill="auto"/>
            <w:vAlign w:val="bottom"/>
          </w:tcPr>
          <w:p w:rsidR="00CA1CFC" w:rsidRPr="001567C8" w:rsidRDefault="00CA1CFC" w:rsidP="00CA1CFC">
            <w:pPr>
              <w:pStyle w:val="Tot"/>
              <w:rPr>
                <w:rFonts w:asciiTheme="minorHAnsi" w:hAnsiTheme="minorHAnsi" w:cs="Arial"/>
                <w:bCs/>
                <w:szCs w:val="19"/>
                <w:lang w:val="hr-HR"/>
              </w:rPr>
            </w:pPr>
            <w:r w:rsidRPr="001567C8">
              <w:rPr>
                <w:rFonts w:asciiTheme="minorHAnsi" w:hAnsiTheme="minorHAnsi" w:cs="Arial"/>
                <w:bCs/>
                <w:szCs w:val="19"/>
                <w:lang w:val="hr-HR"/>
              </w:rPr>
              <w:t>Neto promjene financijske imovine po fer vrijednosti kroz ostalu sveobuhvatnu dobit</w:t>
            </w:r>
          </w:p>
        </w:tc>
        <w:tc>
          <w:tcPr>
            <w:tcW w:w="719" w:type="pct"/>
            <w:tcBorders>
              <w:top w:val="nil"/>
              <w:left w:val="nil"/>
              <w:bottom w:val="nil"/>
              <w:right w:val="nil"/>
            </w:tcBorders>
            <w:shd w:val="clear" w:color="auto" w:fill="auto"/>
            <w:vAlign w:val="bottom"/>
          </w:tcPr>
          <w:p w:rsidR="00CA1CFC" w:rsidRPr="001567C8" w:rsidRDefault="00CA1CFC" w:rsidP="00CA1CFC">
            <w:pPr>
              <w:pStyle w:val="Tot"/>
              <w:jc w:val="right"/>
              <w:rPr>
                <w:rFonts w:asciiTheme="minorHAnsi" w:hAnsiTheme="minorHAnsi" w:cs="Arial"/>
                <w:b/>
                <w:bCs/>
                <w:szCs w:val="19"/>
                <w:lang w:val="hr-HR"/>
              </w:rPr>
            </w:pPr>
            <w:r w:rsidRPr="00CD3A2D">
              <w:rPr>
                <w:rFonts w:ascii="Calibri" w:hAnsi="Calibri" w:cs="Calibri"/>
                <w:szCs w:val="19"/>
                <w:lang w:val="hr-HR"/>
              </w:rPr>
              <w:t xml:space="preserve">     </w:t>
            </w:r>
            <w:r w:rsidR="00B1030E" w:rsidRPr="00CD3A2D">
              <w:rPr>
                <w:rFonts w:ascii="Calibri" w:hAnsi="Calibri" w:cs="Calibri"/>
                <w:szCs w:val="19"/>
                <w:lang w:val="hr-HR"/>
              </w:rPr>
              <w:t>(2.860)</w:t>
            </w:r>
            <w:r w:rsidRPr="00CD3A2D">
              <w:rPr>
                <w:rFonts w:ascii="Calibri" w:hAnsi="Calibri" w:cs="Calibri"/>
                <w:szCs w:val="19"/>
                <w:lang w:val="hr-HR"/>
              </w:rPr>
              <w:t xml:space="preserve">     </w:t>
            </w:r>
          </w:p>
        </w:tc>
        <w:tc>
          <w:tcPr>
            <w:tcW w:w="720" w:type="pct"/>
            <w:tcBorders>
              <w:top w:val="nil"/>
              <w:left w:val="nil"/>
              <w:bottom w:val="nil"/>
              <w:right w:val="nil"/>
            </w:tcBorders>
            <w:shd w:val="clear" w:color="auto" w:fill="auto"/>
            <w:vAlign w:val="bottom"/>
          </w:tcPr>
          <w:p w:rsidR="00CA1CFC" w:rsidRPr="001567C8" w:rsidRDefault="00CA1CFC" w:rsidP="00CA1CFC">
            <w:pPr>
              <w:pStyle w:val="Tot"/>
              <w:jc w:val="right"/>
              <w:rPr>
                <w:rFonts w:asciiTheme="minorHAnsi" w:hAnsiTheme="minorHAnsi" w:cs="Arial"/>
                <w:b/>
                <w:bCs/>
                <w:szCs w:val="19"/>
                <w:lang w:val="hr-HR"/>
              </w:rPr>
            </w:pPr>
            <w:r w:rsidRPr="00CD3A2D">
              <w:rPr>
                <w:rFonts w:ascii="Calibri" w:hAnsi="Calibri" w:cs="Calibri"/>
                <w:color w:val="000000"/>
                <w:szCs w:val="19"/>
                <w:lang w:val="hr-HR"/>
              </w:rPr>
              <w:t xml:space="preserve"> n/p    </w:t>
            </w:r>
          </w:p>
        </w:tc>
      </w:tr>
      <w:tr w:rsidR="00CA1CFC" w:rsidRPr="001567C8" w:rsidTr="003C6BA3">
        <w:trPr>
          <w:trHeight w:val="340"/>
        </w:trPr>
        <w:tc>
          <w:tcPr>
            <w:tcW w:w="3561" w:type="pct"/>
            <w:tcBorders>
              <w:top w:val="nil"/>
              <w:left w:val="nil"/>
              <w:bottom w:val="nil"/>
              <w:right w:val="nil"/>
            </w:tcBorders>
            <w:shd w:val="clear" w:color="auto" w:fill="auto"/>
            <w:vAlign w:val="bottom"/>
          </w:tcPr>
          <w:p w:rsidR="00CA1CFC" w:rsidRPr="001567C8" w:rsidRDefault="00CA1CFC" w:rsidP="00CA1CFC">
            <w:pPr>
              <w:pStyle w:val="Tot"/>
              <w:rPr>
                <w:rFonts w:asciiTheme="minorHAnsi" w:hAnsiTheme="minorHAnsi" w:cs="Arial"/>
                <w:bCs/>
                <w:szCs w:val="19"/>
                <w:lang w:val="hr-HR"/>
              </w:rPr>
            </w:pPr>
            <w:r w:rsidRPr="001567C8">
              <w:rPr>
                <w:rFonts w:asciiTheme="minorHAnsi" w:hAnsiTheme="minorHAnsi" w:cstheme="minorHAnsi"/>
                <w:bCs/>
                <w:szCs w:val="19"/>
                <w:lang w:val="hr-HR"/>
              </w:rPr>
              <w:t>Neto tečajne razlike po vlasničkim vrijednosnim papirima</w:t>
            </w:r>
          </w:p>
        </w:tc>
        <w:tc>
          <w:tcPr>
            <w:tcW w:w="719" w:type="pct"/>
            <w:tcBorders>
              <w:top w:val="nil"/>
              <w:left w:val="nil"/>
              <w:bottom w:val="nil"/>
              <w:right w:val="nil"/>
            </w:tcBorders>
            <w:shd w:val="clear" w:color="auto" w:fill="auto"/>
            <w:vAlign w:val="bottom"/>
          </w:tcPr>
          <w:p w:rsidR="00CA1CFC" w:rsidRPr="001567C8" w:rsidRDefault="00CA1CFC" w:rsidP="00CA1CFC">
            <w:pPr>
              <w:pStyle w:val="Tot"/>
              <w:jc w:val="right"/>
              <w:rPr>
                <w:rFonts w:asciiTheme="minorHAnsi" w:hAnsiTheme="minorHAnsi" w:cs="Arial"/>
                <w:b/>
                <w:bCs/>
                <w:szCs w:val="19"/>
                <w:lang w:val="hr-HR"/>
              </w:rPr>
            </w:pPr>
            <w:r w:rsidRPr="00CD3A2D">
              <w:rPr>
                <w:rFonts w:ascii="Calibri" w:hAnsi="Calibri" w:cs="Calibri"/>
                <w:szCs w:val="19"/>
                <w:lang w:val="hr-HR"/>
              </w:rPr>
              <w:t xml:space="preserve">          (</w:t>
            </w:r>
            <w:r w:rsidR="00B1030E" w:rsidRPr="00CD3A2D">
              <w:rPr>
                <w:rFonts w:ascii="Calibri" w:hAnsi="Calibri" w:cs="Calibri"/>
                <w:szCs w:val="19"/>
                <w:lang w:val="hr-HR"/>
              </w:rPr>
              <w:t>325</w:t>
            </w:r>
            <w:r w:rsidRPr="00CD3A2D">
              <w:rPr>
                <w:rFonts w:ascii="Calibri" w:hAnsi="Calibri" w:cs="Calibri"/>
                <w:szCs w:val="19"/>
                <w:lang w:val="hr-HR"/>
              </w:rPr>
              <w:t>)</w:t>
            </w:r>
          </w:p>
        </w:tc>
        <w:tc>
          <w:tcPr>
            <w:tcW w:w="720" w:type="pct"/>
            <w:tcBorders>
              <w:top w:val="nil"/>
              <w:left w:val="nil"/>
              <w:bottom w:val="nil"/>
              <w:right w:val="nil"/>
            </w:tcBorders>
            <w:shd w:val="clear" w:color="auto" w:fill="auto"/>
            <w:vAlign w:val="bottom"/>
          </w:tcPr>
          <w:p w:rsidR="00CA1CFC" w:rsidRPr="001567C8" w:rsidRDefault="00B1030E" w:rsidP="00CA1CFC">
            <w:pPr>
              <w:pStyle w:val="Tot"/>
              <w:jc w:val="right"/>
              <w:rPr>
                <w:rFonts w:asciiTheme="minorHAnsi" w:hAnsiTheme="minorHAnsi" w:cs="Arial"/>
                <w:b/>
                <w:bCs/>
                <w:szCs w:val="19"/>
                <w:lang w:val="hr-HR"/>
              </w:rPr>
            </w:pPr>
            <w:r w:rsidRPr="00CD3A2D">
              <w:rPr>
                <w:rFonts w:ascii="Calibri" w:hAnsi="Calibri" w:cs="Calibri"/>
                <w:color w:val="000000"/>
                <w:szCs w:val="19"/>
                <w:lang w:val="hr-HR"/>
              </w:rPr>
              <w:t>(154)</w:t>
            </w:r>
            <w:r w:rsidR="00CA1CFC" w:rsidRPr="00CD3A2D">
              <w:rPr>
                <w:rFonts w:ascii="Calibri" w:hAnsi="Calibri" w:cs="Calibri"/>
                <w:color w:val="000000"/>
                <w:szCs w:val="19"/>
                <w:lang w:val="hr-HR"/>
              </w:rPr>
              <w:t xml:space="preserve">   </w:t>
            </w:r>
          </w:p>
        </w:tc>
      </w:tr>
      <w:tr w:rsidR="00CA1CFC" w:rsidRPr="001567C8" w:rsidTr="003C6BA3">
        <w:trPr>
          <w:trHeight w:val="340"/>
        </w:trPr>
        <w:tc>
          <w:tcPr>
            <w:tcW w:w="3561" w:type="pct"/>
            <w:tcBorders>
              <w:top w:val="nil"/>
              <w:left w:val="nil"/>
              <w:bottom w:val="nil"/>
              <w:right w:val="nil"/>
            </w:tcBorders>
            <w:shd w:val="clear" w:color="auto" w:fill="auto"/>
            <w:vAlign w:val="bottom"/>
          </w:tcPr>
          <w:p w:rsidR="00CA1CFC" w:rsidRPr="001567C8" w:rsidRDefault="00CA1CFC" w:rsidP="00CA1CFC">
            <w:pPr>
              <w:pStyle w:val="Tot"/>
              <w:rPr>
                <w:rFonts w:asciiTheme="minorHAnsi" w:hAnsiTheme="minorHAnsi" w:cs="Arial"/>
                <w:bCs/>
                <w:szCs w:val="19"/>
                <w:lang w:val="hr-HR"/>
              </w:rPr>
            </w:pPr>
            <w:r w:rsidRPr="001567C8">
              <w:rPr>
                <w:rFonts w:asciiTheme="minorHAnsi" w:hAnsiTheme="minorHAnsi" w:cs="Arial"/>
                <w:bCs/>
                <w:szCs w:val="19"/>
                <w:lang w:val="hr-HR"/>
              </w:rPr>
              <w:t>Neto promjene po imovini raspoloživoj za prodaju</w:t>
            </w:r>
          </w:p>
        </w:tc>
        <w:tc>
          <w:tcPr>
            <w:tcW w:w="719" w:type="pct"/>
            <w:tcBorders>
              <w:top w:val="nil"/>
              <w:left w:val="nil"/>
              <w:bottom w:val="nil"/>
              <w:right w:val="nil"/>
            </w:tcBorders>
            <w:shd w:val="clear" w:color="auto" w:fill="auto"/>
            <w:vAlign w:val="bottom"/>
          </w:tcPr>
          <w:p w:rsidR="00CA1CFC" w:rsidRPr="001567C8" w:rsidRDefault="00CA1CFC" w:rsidP="00CA1CFC">
            <w:pPr>
              <w:pStyle w:val="Tot"/>
              <w:jc w:val="right"/>
              <w:rPr>
                <w:rFonts w:asciiTheme="minorHAnsi" w:hAnsiTheme="minorHAnsi" w:cs="Arial"/>
                <w:b/>
                <w:bCs/>
                <w:szCs w:val="19"/>
                <w:lang w:val="hr-HR"/>
              </w:rPr>
            </w:pPr>
            <w:r w:rsidRPr="00CD3A2D">
              <w:rPr>
                <w:rFonts w:ascii="Calibri" w:hAnsi="Calibri" w:cs="Calibri"/>
                <w:color w:val="000000"/>
                <w:szCs w:val="19"/>
                <w:lang w:val="hr-HR"/>
              </w:rPr>
              <w:t xml:space="preserve">       </w:t>
            </w:r>
            <w:r w:rsidR="00B1030E" w:rsidRPr="00CD3A2D">
              <w:rPr>
                <w:rFonts w:ascii="Calibri" w:hAnsi="Calibri" w:cs="Calibri"/>
                <w:color w:val="000000"/>
                <w:szCs w:val="19"/>
                <w:lang w:val="hr-HR"/>
              </w:rPr>
              <w:t>n/p</w:t>
            </w:r>
          </w:p>
        </w:tc>
        <w:tc>
          <w:tcPr>
            <w:tcW w:w="720" w:type="pct"/>
            <w:tcBorders>
              <w:top w:val="nil"/>
              <w:left w:val="nil"/>
              <w:bottom w:val="nil"/>
              <w:right w:val="nil"/>
            </w:tcBorders>
            <w:shd w:val="clear" w:color="auto" w:fill="auto"/>
            <w:vAlign w:val="bottom"/>
          </w:tcPr>
          <w:p w:rsidR="00CA1CFC" w:rsidRPr="001567C8" w:rsidRDefault="00B1030E" w:rsidP="00CA1CFC">
            <w:pPr>
              <w:pStyle w:val="Tot"/>
              <w:jc w:val="right"/>
              <w:rPr>
                <w:rFonts w:asciiTheme="minorHAnsi" w:hAnsiTheme="minorHAnsi" w:cs="Arial"/>
                <w:b/>
                <w:bCs/>
                <w:szCs w:val="19"/>
                <w:lang w:val="hr-HR"/>
              </w:rPr>
            </w:pPr>
            <w:r w:rsidRPr="00CD3A2D">
              <w:rPr>
                <w:rFonts w:ascii="Calibri" w:hAnsi="Calibri" w:cs="Calibri"/>
                <w:color w:val="000000"/>
                <w:szCs w:val="19"/>
                <w:lang w:val="hr-HR"/>
              </w:rPr>
              <w:t>20.873</w:t>
            </w:r>
            <w:r w:rsidR="00CA1CFC" w:rsidRPr="00CD3A2D">
              <w:rPr>
                <w:rFonts w:ascii="Calibri" w:hAnsi="Calibri" w:cs="Calibri"/>
                <w:color w:val="000000"/>
                <w:szCs w:val="19"/>
                <w:lang w:val="hr-HR"/>
              </w:rPr>
              <w:t xml:space="preserve">  </w:t>
            </w:r>
          </w:p>
        </w:tc>
      </w:tr>
      <w:tr w:rsidR="004F7EAC" w:rsidRPr="001567C8" w:rsidTr="006537CF">
        <w:trPr>
          <w:trHeight w:val="319"/>
        </w:trPr>
        <w:tc>
          <w:tcPr>
            <w:tcW w:w="3561" w:type="pct"/>
            <w:vAlign w:val="center"/>
          </w:tcPr>
          <w:p w:rsidR="004F7EAC" w:rsidRPr="001567C8" w:rsidRDefault="004F7EAC" w:rsidP="004F7EAC">
            <w:pPr>
              <w:pStyle w:val="Tot"/>
              <w:spacing w:line="240" w:lineRule="exact"/>
              <w:rPr>
                <w:rFonts w:asciiTheme="minorHAnsi" w:hAnsiTheme="minorHAnsi" w:cs="Arial"/>
                <w:b/>
                <w:bCs/>
                <w:szCs w:val="19"/>
                <w:lang w:val="hr-HR"/>
              </w:rPr>
            </w:pPr>
            <w:r w:rsidRPr="001567C8">
              <w:rPr>
                <w:rFonts w:asciiTheme="minorHAnsi" w:hAnsiTheme="minorHAnsi" w:cs="Arial"/>
                <w:b/>
                <w:bCs/>
                <w:szCs w:val="19"/>
                <w:lang w:val="hr-HR"/>
              </w:rPr>
              <w:t>Ukupno stavke koje se kasnije mogu uračunati u dobit ili gubitak</w:t>
            </w:r>
          </w:p>
        </w:tc>
        <w:tc>
          <w:tcPr>
            <w:tcW w:w="719" w:type="pct"/>
            <w:tcBorders>
              <w:top w:val="single" w:sz="4" w:space="0" w:color="auto"/>
              <w:bottom w:val="single" w:sz="12" w:space="0" w:color="auto"/>
            </w:tcBorders>
            <w:vAlign w:val="bottom"/>
          </w:tcPr>
          <w:p w:rsidR="004F7EAC" w:rsidRPr="001567C8" w:rsidRDefault="00052742" w:rsidP="004F7EAC">
            <w:pPr>
              <w:pStyle w:val="Tot"/>
              <w:jc w:val="right"/>
              <w:rPr>
                <w:rFonts w:asciiTheme="minorHAnsi" w:hAnsiTheme="minorHAnsi" w:cs="Arial"/>
                <w:b/>
                <w:bCs/>
                <w:szCs w:val="19"/>
                <w:lang w:val="hr-HR"/>
              </w:rPr>
            </w:pPr>
            <w:r w:rsidRPr="001567C8">
              <w:rPr>
                <w:rFonts w:asciiTheme="minorHAnsi" w:hAnsiTheme="minorHAnsi" w:cs="Arial"/>
                <w:b/>
                <w:bCs/>
                <w:szCs w:val="19"/>
                <w:lang w:val="hr-HR"/>
              </w:rPr>
              <w:t>(3.185)</w:t>
            </w:r>
          </w:p>
        </w:tc>
        <w:tc>
          <w:tcPr>
            <w:tcW w:w="720" w:type="pct"/>
            <w:tcBorders>
              <w:top w:val="single" w:sz="4" w:space="0" w:color="auto"/>
              <w:bottom w:val="single" w:sz="12" w:space="0" w:color="auto"/>
            </w:tcBorders>
            <w:vAlign w:val="bottom"/>
          </w:tcPr>
          <w:p w:rsidR="004F7EAC" w:rsidRPr="001567C8" w:rsidRDefault="004F7EAC" w:rsidP="004F7EAC">
            <w:pPr>
              <w:pStyle w:val="Tot"/>
              <w:jc w:val="right"/>
              <w:rPr>
                <w:rFonts w:asciiTheme="minorHAnsi" w:hAnsiTheme="minorHAnsi" w:cs="Arial"/>
                <w:b/>
                <w:bCs/>
                <w:szCs w:val="19"/>
                <w:lang w:val="hr-HR"/>
              </w:rPr>
            </w:pPr>
            <w:r w:rsidRPr="001567C8">
              <w:rPr>
                <w:rFonts w:asciiTheme="minorHAnsi" w:hAnsiTheme="minorHAnsi" w:cs="Arial"/>
                <w:b/>
                <w:bCs/>
                <w:szCs w:val="19"/>
                <w:lang w:val="hr-HR"/>
              </w:rPr>
              <w:t>20.719</w:t>
            </w:r>
          </w:p>
        </w:tc>
      </w:tr>
      <w:tr w:rsidR="00B1030E" w:rsidRPr="001567C8" w:rsidTr="003C6BA3">
        <w:trPr>
          <w:trHeight w:hRule="exact" w:val="170"/>
        </w:trPr>
        <w:tc>
          <w:tcPr>
            <w:tcW w:w="3561" w:type="pct"/>
            <w:vAlign w:val="center"/>
          </w:tcPr>
          <w:p w:rsidR="00B1030E" w:rsidRPr="001567C8" w:rsidRDefault="00B1030E" w:rsidP="004F7EAC">
            <w:pPr>
              <w:pStyle w:val="Tot"/>
              <w:spacing w:line="240" w:lineRule="exact"/>
              <w:rPr>
                <w:rFonts w:asciiTheme="minorHAnsi" w:hAnsiTheme="minorHAnsi" w:cs="Arial"/>
                <w:b/>
                <w:bCs/>
                <w:szCs w:val="19"/>
                <w:lang w:val="hr-HR"/>
              </w:rPr>
            </w:pPr>
          </w:p>
        </w:tc>
        <w:tc>
          <w:tcPr>
            <w:tcW w:w="719" w:type="pct"/>
            <w:tcBorders>
              <w:top w:val="single" w:sz="4" w:space="0" w:color="auto"/>
            </w:tcBorders>
            <w:vAlign w:val="bottom"/>
          </w:tcPr>
          <w:p w:rsidR="00B1030E" w:rsidRPr="001567C8" w:rsidRDefault="00B1030E" w:rsidP="004F7EAC">
            <w:pPr>
              <w:pStyle w:val="Tot"/>
              <w:jc w:val="right"/>
              <w:rPr>
                <w:rFonts w:asciiTheme="minorHAnsi" w:hAnsiTheme="minorHAnsi" w:cs="Arial"/>
                <w:b/>
                <w:bCs/>
                <w:szCs w:val="19"/>
                <w:lang w:val="hr-HR"/>
              </w:rPr>
            </w:pPr>
          </w:p>
        </w:tc>
        <w:tc>
          <w:tcPr>
            <w:tcW w:w="720" w:type="pct"/>
            <w:tcBorders>
              <w:top w:val="single" w:sz="4" w:space="0" w:color="auto"/>
            </w:tcBorders>
            <w:vAlign w:val="bottom"/>
          </w:tcPr>
          <w:p w:rsidR="00B1030E" w:rsidRPr="001567C8" w:rsidRDefault="00B1030E" w:rsidP="004F7EAC">
            <w:pPr>
              <w:pStyle w:val="Tot"/>
              <w:jc w:val="right"/>
              <w:rPr>
                <w:rFonts w:asciiTheme="minorHAnsi" w:hAnsiTheme="minorHAnsi" w:cs="Arial"/>
                <w:b/>
                <w:bCs/>
                <w:szCs w:val="19"/>
                <w:lang w:val="hr-HR"/>
              </w:rPr>
            </w:pPr>
          </w:p>
        </w:tc>
      </w:tr>
      <w:tr w:rsidR="004F7EAC" w:rsidRPr="001567C8" w:rsidTr="003C6BA3">
        <w:trPr>
          <w:trHeight w:val="323"/>
        </w:trPr>
        <w:tc>
          <w:tcPr>
            <w:tcW w:w="3561" w:type="pct"/>
            <w:vAlign w:val="center"/>
          </w:tcPr>
          <w:p w:rsidR="004F7EAC" w:rsidRPr="001567C8" w:rsidRDefault="004F7EAC" w:rsidP="004F7EAC">
            <w:pPr>
              <w:pStyle w:val="Tot"/>
              <w:spacing w:line="240" w:lineRule="exact"/>
              <w:rPr>
                <w:rFonts w:asciiTheme="minorHAnsi" w:hAnsiTheme="minorHAnsi" w:cs="Arial"/>
                <w:b/>
                <w:bCs/>
                <w:szCs w:val="19"/>
                <w:lang w:val="hr-HR"/>
              </w:rPr>
            </w:pPr>
            <w:r w:rsidRPr="001567C8">
              <w:rPr>
                <w:rFonts w:asciiTheme="minorHAnsi" w:hAnsiTheme="minorHAnsi" w:cs="Arial"/>
                <w:b/>
                <w:bCs/>
                <w:szCs w:val="19"/>
                <w:lang w:val="hr-HR"/>
              </w:rPr>
              <w:t>Ostala sveobuhvatna dobit nakon oporezivanja</w:t>
            </w:r>
          </w:p>
        </w:tc>
        <w:tc>
          <w:tcPr>
            <w:tcW w:w="719" w:type="pct"/>
            <w:tcBorders>
              <w:bottom w:val="single" w:sz="12" w:space="0" w:color="auto"/>
            </w:tcBorders>
            <w:vAlign w:val="bottom"/>
          </w:tcPr>
          <w:p w:rsidR="004F7EAC" w:rsidRPr="001567C8" w:rsidRDefault="00052742" w:rsidP="004F7EAC">
            <w:pPr>
              <w:pStyle w:val="Tot"/>
              <w:jc w:val="right"/>
              <w:rPr>
                <w:rFonts w:asciiTheme="minorHAnsi" w:hAnsiTheme="minorHAnsi" w:cs="Arial"/>
                <w:b/>
                <w:bCs/>
                <w:szCs w:val="19"/>
                <w:lang w:val="hr-HR"/>
              </w:rPr>
            </w:pPr>
            <w:r w:rsidRPr="001567C8">
              <w:rPr>
                <w:rFonts w:asciiTheme="minorHAnsi" w:hAnsiTheme="minorHAnsi" w:cs="Arial"/>
                <w:b/>
                <w:bCs/>
                <w:szCs w:val="19"/>
                <w:lang w:val="hr-HR"/>
              </w:rPr>
              <w:t>(3.329)</w:t>
            </w:r>
          </w:p>
        </w:tc>
        <w:tc>
          <w:tcPr>
            <w:tcW w:w="720" w:type="pct"/>
            <w:tcBorders>
              <w:bottom w:val="single" w:sz="12" w:space="0" w:color="auto"/>
            </w:tcBorders>
            <w:vAlign w:val="bottom"/>
          </w:tcPr>
          <w:p w:rsidR="004F7EAC" w:rsidRPr="001567C8" w:rsidRDefault="004F7EAC" w:rsidP="004F7EAC">
            <w:pPr>
              <w:pStyle w:val="Tot"/>
              <w:jc w:val="right"/>
              <w:rPr>
                <w:rFonts w:asciiTheme="minorHAnsi" w:hAnsiTheme="minorHAnsi" w:cs="Arial"/>
                <w:b/>
                <w:bCs/>
                <w:szCs w:val="19"/>
                <w:lang w:val="hr-HR"/>
              </w:rPr>
            </w:pPr>
            <w:r w:rsidRPr="001567C8">
              <w:rPr>
                <w:rFonts w:asciiTheme="minorHAnsi" w:hAnsiTheme="minorHAnsi" w:cs="Arial"/>
                <w:b/>
                <w:bCs/>
                <w:szCs w:val="19"/>
                <w:lang w:val="hr-HR"/>
              </w:rPr>
              <w:t>20.140</w:t>
            </w:r>
          </w:p>
        </w:tc>
      </w:tr>
      <w:tr w:rsidR="00B1030E" w:rsidRPr="001567C8" w:rsidTr="003C6BA3">
        <w:trPr>
          <w:trHeight w:hRule="exact" w:val="170"/>
        </w:trPr>
        <w:tc>
          <w:tcPr>
            <w:tcW w:w="3561" w:type="pct"/>
            <w:vAlign w:val="center"/>
          </w:tcPr>
          <w:p w:rsidR="00B1030E" w:rsidRPr="001567C8" w:rsidRDefault="00B1030E" w:rsidP="004F7EAC">
            <w:pPr>
              <w:pStyle w:val="Tot"/>
              <w:spacing w:line="240" w:lineRule="exact"/>
              <w:rPr>
                <w:rFonts w:asciiTheme="minorHAnsi" w:hAnsiTheme="minorHAnsi" w:cs="Arial"/>
                <w:b/>
                <w:bCs/>
                <w:szCs w:val="19"/>
                <w:lang w:val="hr-HR"/>
              </w:rPr>
            </w:pPr>
          </w:p>
        </w:tc>
        <w:tc>
          <w:tcPr>
            <w:tcW w:w="719" w:type="pct"/>
            <w:tcBorders>
              <w:top w:val="single" w:sz="12" w:space="0" w:color="auto"/>
            </w:tcBorders>
            <w:vAlign w:val="bottom"/>
          </w:tcPr>
          <w:p w:rsidR="00B1030E" w:rsidRPr="001567C8" w:rsidRDefault="00B1030E" w:rsidP="004F7EAC">
            <w:pPr>
              <w:pStyle w:val="Tot"/>
              <w:jc w:val="right"/>
              <w:rPr>
                <w:rFonts w:asciiTheme="minorHAnsi" w:hAnsiTheme="minorHAnsi" w:cs="Arial"/>
                <w:b/>
                <w:bCs/>
                <w:szCs w:val="19"/>
                <w:lang w:val="hr-HR"/>
              </w:rPr>
            </w:pPr>
          </w:p>
        </w:tc>
        <w:tc>
          <w:tcPr>
            <w:tcW w:w="720" w:type="pct"/>
            <w:tcBorders>
              <w:top w:val="single" w:sz="12" w:space="0" w:color="auto"/>
            </w:tcBorders>
            <w:vAlign w:val="bottom"/>
          </w:tcPr>
          <w:p w:rsidR="00B1030E" w:rsidRPr="001567C8" w:rsidRDefault="00B1030E" w:rsidP="004F7EAC">
            <w:pPr>
              <w:pStyle w:val="Tot"/>
              <w:jc w:val="right"/>
              <w:rPr>
                <w:rFonts w:asciiTheme="minorHAnsi" w:hAnsiTheme="minorHAnsi" w:cs="Arial"/>
                <w:b/>
                <w:bCs/>
                <w:szCs w:val="19"/>
                <w:lang w:val="hr-HR"/>
              </w:rPr>
            </w:pPr>
          </w:p>
        </w:tc>
      </w:tr>
      <w:tr w:rsidR="004F7EAC" w:rsidRPr="001567C8" w:rsidTr="003C6BA3">
        <w:trPr>
          <w:trHeight w:hRule="exact" w:val="335"/>
        </w:trPr>
        <w:tc>
          <w:tcPr>
            <w:tcW w:w="3561" w:type="pct"/>
            <w:vAlign w:val="center"/>
          </w:tcPr>
          <w:p w:rsidR="004F7EAC" w:rsidRPr="001567C8" w:rsidRDefault="004F7EAC" w:rsidP="004F7EAC">
            <w:pPr>
              <w:pStyle w:val="Tot"/>
              <w:spacing w:line="240" w:lineRule="exact"/>
              <w:rPr>
                <w:rFonts w:asciiTheme="minorHAnsi" w:hAnsiTheme="minorHAnsi" w:cs="Arial"/>
                <w:b/>
                <w:bCs/>
                <w:szCs w:val="19"/>
                <w:lang w:val="hr-HR"/>
              </w:rPr>
            </w:pPr>
            <w:r w:rsidRPr="001567C8">
              <w:rPr>
                <w:rFonts w:asciiTheme="minorHAnsi" w:hAnsiTheme="minorHAnsi" w:cs="Arial"/>
                <w:b/>
                <w:bCs/>
                <w:szCs w:val="19"/>
                <w:lang w:val="hr-HR"/>
              </w:rPr>
              <w:t>Ukupna sveobuhvatna dobit nakon oporezivanja</w:t>
            </w:r>
          </w:p>
        </w:tc>
        <w:tc>
          <w:tcPr>
            <w:tcW w:w="719" w:type="pct"/>
            <w:tcBorders>
              <w:bottom w:val="single" w:sz="12" w:space="0" w:color="auto"/>
            </w:tcBorders>
            <w:vAlign w:val="bottom"/>
          </w:tcPr>
          <w:p w:rsidR="004F7EAC" w:rsidRPr="001567C8" w:rsidRDefault="00052742" w:rsidP="004F7EAC">
            <w:pPr>
              <w:pStyle w:val="Tot"/>
              <w:jc w:val="right"/>
              <w:rPr>
                <w:rFonts w:asciiTheme="minorHAnsi" w:hAnsiTheme="minorHAnsi" w:cs="Arial"/>
                <w:b/>
                <w:bCs/>
                <w:szCs w:val="19"/>
                <w:lang w:val="hr-HR"/>
              </w:rPr>
            </w:pPr>
            <w:r w:rsidRPr="001567C8">
              <w:rPr>
                <w:rFonts w:asciiTheme="minorHAnsi" w:hAnsiTheme="minorHAnsi" w:cs="Arial"/>
                <w:b/>
                <w:bCs/>
                <w:szCs w:val="19"/>
                <w:lang w:val="hr-HR"/>
              </w:rPr>
              <w:t>200.999</w:t>
            </w:r>
          </w:p>
        </w:tc>
        <w:tc>
          <w:tcPr>
            <w:tcW w:w="720" w:type="pct"/>
            <w:tcBorders>
              <w:bottom w:val="single" w:sz="12" w:space="0" w:color="auto"/>
            </w:tcBorders>
            <w:vAlign w:val="bottom"/>
          </w:tcPr>
          <w:p w:rsidR="004F7EAC" w:rsidRPr="001567C8" w:rsidRDefault="004F7EAC" w:rsidP="004F7EAC">
            <w:pPr>
              <w:pStyle w:val="Tot"/>
              <w:jc w:val="right"/>
              <w:rPr>
                <w:rFonts w:asciiTheme="minorHAnsi" w:hAnsiTheme="minorHAnsi" w:cs="Arial"/>
                <w:b/>
                <w:spacing w:val="-2"/>
                <w:szCs w:val="19"/>
                <w:lang w:val="hr-HR"/>
              </w:rPr>
            </w:pPr>
            <w:r w:rsidRPr="001567C8">
              <w:rPr>
                <w:rFonts w:asciiTheme="minorHAnsi" w:hAnsiTheme="minorHAnsi" w:cs="Arial"/>
                <w:b/>
                <w:bCs/>
                <w:szCs w:val="19"/>
                <w:lang w:val="hr-HR"/>
              </w:rPr>
              <w:t>180.923</w:t>
            </w:r>
          </w:p>
        </w:tc>
      </w:tr>
      <w:tr w:rsidR="004F7EAC" w:rsidRPr="001567C8" w:rsidTr="006537CF">
        <w:trPr>
          <w:trHeight w:hRule="exact" w:val="278"/>
        </w:trPr>
        <w:tc>
          <w:tcPr>
            <w:tcW w:w="3561" w:type="pct"/>
            <w:vAlign w:val="center"/>
          </w:tcPr>
          <w:p w:rsidR="004F7EAC" w:rsidRPr="001567C8" w:rsidRDefault="004F7EAC" w:rsidP="004F7EAC">
            <w:pPr>
              <w:pStyle w:val="Tot"/>
              <w:spacing w:line="240" w:lineRule="exact"/>
              <w:rPr>
                <w:rFonts w:asciiTheme="minorHAnsi" w:hAnsiTheme="minorHAnsi" w:cs="Arial"/>
                <w:b/>
                <w:bCs/>
                <w:szCs w:val="19"/>
                <w:lang w:val="hr-HR"/>
              </w:rPr>
            </w:pPr>
          </w:p>
        </w:tc>
        <w:tc>
          <w:tcPr>
            <w:tcW w:w="719" w:type="pct"/>
            <w:tcBorders>
              <w:top w:val="single" w:sz="12" w:space="0" w:color="auto"/>
            </w:tcBorders>
            <w:vAlign w:val="center"/>
          </w:tcPr>
          <w:p w:rsidR="004F7EAC" w:rsidRPr="001567C8" w:rsidRDefault="004F7EAC" w:rsidP="004F7EAC">
            <w:pPr>
              <w:pStyle w:val="Thin"/>
              <w:tabs>
                <w:tab w:val="clear" w:pos="1202"/>
              </w:tabs>
              <w:jc w:val="right"/>
              <w:rPr>
                <w:rFonts w:asciiTheme="minorHAnsi" w:hAnsiTheme="minorHAnsi" w:cs="Arial"/>
                <w:spacing w:val="-2"/>
                <w:sz w:val="19"/>
                <w:szCs w:val="19"/>
                <w:lang w:val="hr-HR"/>
              </w:rPr>
            </w:pPr>
          </w:p>
        </w:tc>
        <w:tc>
          <w:tcPr>
            <w:tcW w:w="720" w:type="pct"/>
            <w:tcBorders>
              <w:top w:val="single" w:sz="12" w:space="0" w:color="auto"/>
            </w:tcBorders>
            <w:vAlign w:val="center"/>
          </w:tcPr>
          <w:p w:rsidR="004F7EAC" w:rsidRPr="001567C8" w:rsidRDefault="004F7EAC" w:rsidP="004F7EAC">
            <w:pPr>
              <w:pStyle w:val="Thin"/>
              <w:tabs>
                <w:tab w:val="clear" w:pos="1202"/>
              </w:tabs>
              <w:jc w:val="right"/>
              <w:rPr>
                <w:rFonts w:asciiTheme="minorHAnsi" w:hAnsiTheme="minorHAnsi" w:cs="Arial"/>
                <w:spacing w:val="-2"/>
                <w:sz w:val="19"/>
                <w:szCs w:val="19"/>
                <w:lang w:val="hr-HR"/>
              </w:rPr>
            </w:pPr>
          </w:p>
        </w:tc>
      </w:tr>
      <w:tr w:rsidR="004F7EAC" w:rsidRPr="001567C8" w:rsidTr="006537CF">
        <w:trPr>
          <w:trHeight w:val="335"/>
        </w:trPr>
        <w:tc>
          <w:tcPr>
            <w:tcW w:w="3561" w:type="pct"/>
            <w:vAlign w:val="center"/>
          </w:tcPr>
          <w:p w:rsidR="004F7EAC" w:rsidRPr="001567C8" w:rsidRDefault="004F7EAC" w:rsidP="004F7EAC">
            <w:pPr>
              <w:pStyle w:val="Tot"/>
              <w:spacing w:line="240" w:lineRule="exact"/>
              <w:rPr>
                <w:rFonts w:asciiTheme="minorHAnsi" w:hAnsiTheme="minorHAnsi" w:cs="Arial"/>
                <w:b/>
                <w:bCs/>
                <w:szCs w:val="19"/>
                <w:lang w:val="hr-HR"/>
              </w:rPr>
            </w:pPr>
          </w:p>
        </w:tc>
        <w:tc>
          <w:tcPr>
            <w:tcW w:w="719" w:type="pct"/>
            <w:vAlign w:val="center"/>
          </w:tcPr>
          <w:p w:rsidR="004F7EAC" w:rsidRPr="001567C8" w:rsidRDefault="004F7EAC" w:rsidP="004F7EAC">
            <w:pPr>
              <w:pStyle w:val="Tot"/>
              <w:jc w:val="right"/>
              <w:rPr>
                <w:rFonts w:asciiTheme="minorHAnsi" w:hAnsiTheme="minorHAnsi" w:cs="Arial"/>
                <w:b/>
                <w:bCs/>
                <w:szCs w:val="19"/>
                <w:lang w:val="hr-HR"/>
              </w:rPr>
            </w:pPr>
          </w:p>
        </w:tc>
        <w:tc>
          <w:tcPr>
            <w:tcW w:w="720" w:type="pct"/>
            <w:vAlign w:val="center"/>
          </w:tcPr>
          <w:p w:rsidR="004F7EAC" w:rsidRPr="001567C8" w:rsidRDefault="004F7EAC" w:rsidP="004F7EAC">
            <w:pPr>
              <w:pStyle w:val="Tot"/>
              <w:jc w:val="right"/>
              <w:rPr>
                <w:rFonts w:asciiTheme="minorHAnsi" w:hAnsiTheme="minorHAnsi" w:cs="Arial"/>
                <w:b/>
                <w:bCs/>
                <w:szCs w:val="19"/>
                <w:lang w:val="hr-HR"/>
              </w:rPr>
            </w:pPr>
          </w:p>
        </w:tc>
      </w:tr>
      <w:tr w:rsidR="004F7EAC" w:rsidRPr="001567C8" w:rsidTr="006537CF">
        <w:trPr>
          <w:trHeight w:val="234"/>
        </w:trPr>
        <w:tc>
          <w:tcPr>
            <w:tcW w:w="3561" w:type="pct"/>
            <w:vAlign w:val="center"/>
          </w:tcPr>
          <w:p w:rsidR="004F7EAC" w:rsidRPr="001567C8" w:rsidRDefault="004F7EAC" w:rsidP="004F7EAC">
            <w:pPr>
              <w:pStyle w:val="Tot"/>
              <w:spacing w:line="240" w:lineRule="exact"/>
              <w:rPr>
                <w:rFonts w:asciiTheme="minorHAnsi" w:hAnsiTheme="minorHAnsi" w:cs="Arial"/>
                <w:b/>
                <w:bCs/>
                <w:szCs w:val="19"/>
                <w:lang w:val="hr-HR"/>
              </w:rPr>
            </w:pPr>
            <w:r w:rsidRPr="001567C8">
              <w:rPr>
                <w:rFonts w:asciiTheme="minorHAnsi" w:hAnsiTheme="minorHAnsi" w:cs="Arial"/>
                <w:b/>
                <w:bCs/>
                <w:szCs w:val="19"/>
                <w:lang w:val="hr-HR"/>
              </w:rPr>
              <w:t>Ukupna sveobuhvatna dobit:</w:t>
            </w:r>
          </w:p>
        </w:tc>
        <w:tc>
          <w:tcPr>
            <w:tcW w:w="719" w:type="pct"/>
            <w:vAlign w:val="center"/>
          </w:tcPr>
          <w:p w:rsidR="004F7EAC" w:rsidRPr="001567C8" w:rsidRDefault="004F7EAC" w:rsidP="004F7EAC">
            <w:pPr>
              <w:pStyle w:val="Thick"/>
              <w:tabs>
                <w:tab w:val="clear" w:pos="1202"/>
              </w:tabs>
              <w:jc w:val="right"/>
              <w:rPr>
                <w:rFonts w:asciiTheme="minorHAnsi" w:hAnsiTheme="minorHAnsi" w:cs="Arial"/>
                <w:sz w:val="19"/>
                <w:szCs w:val="19"/>
                <w:lang w:val="hr-HR"/>
              </w:rPr>
            </w:pPr>
          </w:p>
        </w:tc>
        <w:tc>
          <w:tcPr>
            <w:tcW w:w="720" w:type="pct"/>
            <w:vAlign w:val="center"/>
          </w:tcPr>
          <w:p w:rsidR="004F7EAC" w:rsidRPr="001567C8" w:rsidRDefault="004F7EAC" w:rsidP="004F7EAC">
            <w:pPr>
              <w:pStyle w:val="Thick"/>
              <w:tabs>
                <w:tab w:val="clear" w:pos="1202"/>
              </w:tabs>
              <w:jc w:val="right"/>
              <w:rPr>
                <w:rFonts w:asciiTheme="minorHAnsi" w:hAnsiTheme="minorHAnsi" w:cs="Arial"/>
                <w:sz w:val="19"/>
                <w:szCs w:val="19"/>
                <w:lang w:val="hr-HR"/>
              </w:rPr>
            </w:pPr>
          </w:p>
        </w:tc>
      </w:tr>
      <w:tr w:rsidR="004F7EAC" w:rsidRPr="001567C8" w:rsidTr="006537CF">
        <w:trPr>
          <w:trHeight w:val="357"/>
        </w:trPr>
        <w:tc>
          <w:tcPr>
            <w:tcW w:w="3561" w:type="pct"/>
            <w:vAlign w:val="bottom"/>
          </w:tcPr>
          <w:p w:rsidR="004F7EAC" w:rsidRPr="001567C8" w:rsidRDefault="004F7EAC" w:rsidP="004F7EAC">
            <w:pPr>
              <w:pStyle w:val="Tot"/>
              <w:spacing w:line="240" w:lineRule="exact"/>
              <w:rPr>
                <w:rFonts w:asciiTheme="minorHAnsi" w:hAnsiTheme="minorHAnsi" w:cs="Arial"/>
                <w:b/>
                <w:bCs/>
                <w:szCs w:val="19"/>
                <w:lang w:val="hr-HR"/>
              </w:rPr>
            </w:pPr>
            <w:r w:rsidRPr="001567C8">
              <w:rPr>
                <w:rFonts w:asciiTheme="minorHAnsi" w:hAnsiTheme="minorHAnsi" w:cs="Arial"/>
                <w:b/>
                <w:bCs/>
                <w:szCs w:val="19"/>
                <w:lang w:val="hr-HR"/>
              </w:rPr>
              <w:t>Vlasniku društva</w:t>
            </w:r>
          </w:p>
        </w:tc>
        <w:tc>
          <w:tcPr>
            <w:tcW w:w="719" w:type="pct"/>
            <w:tcBorders>
              <w:bottom w:val="single" w:sz="12" w:space="0" w:color="auto"/>
            </w:tcBorders>
            <w:vAlign w:val="bottom"/>
          </w:tcPr>
          <w:p w:rsidR="004F7EAC" w:rsidRPr="001567C8" w:rsidRDefault="00052742" w:rsidP="003A3692">
            <w:pPr>
              <w:pStyle w:val="Tot"/>
              <w:jc w:val="right"/>
              <w:rPr>
                <w:rFonts w:asciiTheme="minorHAnsi" w:hAnsiTheme="minorHAnsi" w:cs="Arial"/>
                <w:b/>
                <w:bCs/>
                <w:szCs w:val="19"/>
                <w:lang w:val="hr-HR"/>
              </w:rPr>
            </w:pPr>
            <w:r w:rsidRPr="001567C8">
              <w:rPr>
                <w:rFonts w:asciiTheme="minorHAnsi" w:hAnsiTheme="minorHAnsi" w:cs="Arial"/>
                <w:b/>
                <w:bCs/>
                <w:szCs w:val="19"/>
                <w:lang w:val="hr-HR"/>
              </w:rPr>
              <w:t>200.999</w:t>
            </w:r>
          </w:p>
        </w:tc>
        <w:tc>
          <w:tcPr>
            <w:tcW w:w="720" w:type="pct"/>
            <w:tcBorders>
              <w:bottom w:val="single" w:sz="12" w:space="0" w:color="auto"/>
            </w:tcBorders>
            <w:vAlign w:val="bottom"/>
          </w:tcPr>
          <w:p w:rsidR="004F7EAC" w:rsidRPr="001567C8" w:rsidRDefault="004F7EAC" w:rsidP="003A3692">
            <w:pPr>
              <w:pStyle w:val="Tot"/>
              <w:jc w:val="right"/>
              <w:rPr>
                <w:rFonts w:asciiTheme="minorHAnsi" w:hAnsiTheme="minorHAnsi" w:cs="Arial"/>
                <w:b/>
                <w:bCs/>
                <w:szCs w:val="19"/>
                <w:lang w:val="hr-HR"/>
              </w:rPr>
            </w:pPr>
            <w:r w:rsidRPr="001567C8">
              <w:rPr>
                <w:rFonts w:asciiTheme="minorHAnsi" w:hAnsiTheme="minorHAnsi" w:cs="Arial"/>
                <w:b/>
                <w:bCs/>
                <w:szCs w:val="19"/>
                <w:lang w:val="hr-HR"/>
              </w:rPr>
              <w:t>180.923</w:t>
            </w:r>
          </w:p>
        </w:tc>
      </w:tr>
    </w:tbl>
    <w:p w:rsidR="00AA2521" w:rsidRPr="001567C8" w:rsidRDefault="00FB7A08" w:rsidP="00AA2521">
      <w:pPr>
        <w:pStyle w:val="T1"/>
        <w:keepNext w:val="0"/>
        <w:spacing w:before="0" w:after="0" w:line="240" w:lineRule="auto"/>
        <w:rPr>
          <w:rFonts w:asciiTheme="minorHAnsi" w:hAnsiTheme="minorHAnsi"/>
          <w:b w:val="0"/>
          <w:bCs w:val="0"/>
          <w:i/>
          <w:sz w:val="20"/>
          <w:lang w:val="hr-HR"/>
        </w:rPr>
      </w:pPr>
      <w:r w:rsidRPr="001567C8">
        <w:rPr>
          <w:rFonts w:asciiTheme="minorHAnsi" w:hAnsiTheme="minorHAnsi"/>
          <w:b w:val="0"/>
          <w:bCs w:val="0"/>
          <w:i/>
          <w:sz w:val="20"/>
          <w:lang w:val="hr-HR"/>
        </w:rPr>
        <w:t>*n/p = nije primjenjivo uslijed primjene MSFI-ja 9</w:t>
      </w:r>
    </w:p>
    <w:p w:rsidR="00AA2521" w:rsidRPr="001567C8" w:rsidRDefault="00AA2521" w:rsidP="00AA2521">
      <w:pPr>
        <w:pStyle w:val="T1"/>
        <w:keepNext w:val="0"/>
        <w:spacing w:before="0" w:after="0" w:line="240" w:lineRule="auto"/>
        <w:rPr>
          <w:rFonts w:asciiTheme="minorHAnsi" w:hAnsiTheme="minorHAnsi"/>
          <w:b w:val="0"/>
          <w:bCs w:val="0"/>
          <w:sz w:val="22"/>
          <w:szCs w:val="22"/>
          <w:lang w:val="hr-HR"/>
        </w:rPr>
      </w:pPr>
    </w:p>
    <w:p w:rsidR="001E546B" w:rsidRPr="001567C8" w:rsidRDefault="001E546B" w:rsidP="004A2B81">
      <w:pPr>
        <w:pStyle w:val="T1"/>
        <w:rPr>
          <w:rFonts w:asciiTheme="minorHAnsi" w:hAnsiTheme="minorHAnsi" w:cs="Arial"/>
          <w:b w:val="0"/>
          <w:bCs w:val="0"/>
          <w:sz w:val="22"/>
          <w:szCs w:val="22"/>
          <w:lang w:val="hr-HR"/>
        </w:rPr>
      </w:pPr>
    </w:p>
    <w:p w:rsidR="001E546B" w:rsidRPr="001567C8" w:rsidRDefault="001E546B" w:rsidP="004A2B81">
      <w:pPr>
        <w:pStyle w:val="T1"/>
        <w:rPr>
          <w:rFonts w:asciiTheme="minorHAnsi" w:hAnsiTheme="minorHAnsi" w:cs="Arial"/>
          <w:b w:val="0"/>
          <w:bCs w:val="0"/>
          <w:sz w:val="22"/>
          <w:szCs w:val="22"/>
          <w:lang w:val="hr-HR"/>
        </w:rPr>
      </w:pPr>
    </w:p>
    <w:p w:rsidR="001E546B" w:rsidRPr="001567C8" w:rsidRDefault="001E546B" w:rsidP="004A2B81">
      <w:pPr>
        <w:pStyle w:val="T1"/>
        <w:rPr>
          <w:rFonts w:asciiTheme="minorHAnsi" w:hAnsiTheme="minorHAnsi" w:cs="Arial"/>
          <w:b w:val="0"/>
          <w:bCs w:val="0"/>
          <w:sz w:val="22"/>
          <w:szCs w:val="22"/>
          <w:lang w:val="hr-HR"/>
        </w:rPr>
      </w:pPr>
    </w:p>
    <w:p w:rsidR="004A2B81" w:rsidRPr="001567C8" w:rsidRDefault="004A2B81" w:rsidP="004A2B81">
      <w:pPr>
        <w:pStyle w:val="T1"/>
        <w:rPr>
          <w:rFonts w:asciiTheme="minorHAnsi" w:hAnsiTheme="minorHAnsi" w:cs="Arial"/>
          <w:sz w:val="22"/>
          <w:szCs w:val="22"/>
          <w:lang w:val="hr-HR"/>
        </w:rPr>
      </w:pPr>
      <w:r w:rsidRPr="001567C8">
        <w:rPr>
          <w:rFonts w:asciiTheme="minorHAnsi" w:hAnsiTheme="minorHAnsi" w:cs="Arial"/>
          <w:b w:val="0"/>
          <w:bCs w:val="0"/>
          <w:sz w:val="22"/>
          <w:szCs w:val="22"/>
          <w:lang w:val="hr-HR"/>
        </w:rPr>
        <w:t>Priložene računovodstvene politike i bilješke sastavni su dio ovih financijskih izvještaja.</w:t>
      </w:r>
    </w:p>
    <w:p w:rsidR="007B7887" w:rsidRPr="001567C8" w:rsidRDefault="007B7887" w:rsidP="00F062BF">
      <w:pPr>
        <w:pStyle w:val="T1"/>
        <w:keepNext w:val="0"/>
        <w:spacing w:before="0" w:after="0" w:line="240" w:lineRule="auto"/>
        <w:rPr>
          <w:rFonts w:asciiTheme="minorHAnsi" w:hAnsiTheme="minorHAnsi"/>
          <w:b w:val="0"/>
          <w:bCs w:val="0"/>
          <w:sz w:val="22"/>
          <w:szCs w:val="22"/>
          <w:lang w:val="hr-HR"/>
        </w:rPr>
        <w:sectPr w:rsidR="007B7887" w:rsidRPr="001567C8" w:rsidSect="000D6913">
          <w:headerReference w:type="default" r:id="rId66"/>
          <w:pgSz w:w="11907" w:h="16840" w:code="9"/>
          <w:pgMar w:top="1418" w:right="850" w:bottom="1134" w:left="1418" w:header="851" w:footer="851" w:gutter="0"/>
          <w:cols w:space="720"/>
          <w:noEndnote/>
        </w:sectPr>
      </w:pPr>
    </w:p>
    <w:p w:rsidR="00605B5D" w:rsidRPr="001567C8" w:rsidRDefault="00605B5D">
      <w:pPr>
        <w:rPr>
          <w:rFonts w:asciiTheme="minorHAnsi" w:hAnsiTheme="minorHAnsi"/>
          <w:sz w:val="22"/>
          <w:szCs w:val="22"/>
          <w:lang w:val="hr-HR"/>
        </w:rPr>
      </w:pPr>
    </w:p>
    <w:tbl>
      <w:tblPr>
        <w:tblW w:w="5000" w:type="pct"/>
        <w:tblInd w:w="-142" w:type="dxa"/>
        <w:tblLayout w:type="fixed"/>
        <w:tblLook w:val="0000" w:firstRow="0" w:lastRow="0" w:firstColumn="0" w:lastColumn="0" w:noHBand="0" w:noVBand="0"/>
      </w:tblPr>
      <w:tblGrid>
        <w:gridCol w:w="5530"/>
        <w:gridCol w:w="991"/>
        <w:gridCol w:w="1487"/>
        <w:gridCol w:w="1489"/>
      </w:tblGrid>
      <w:tr w:rsidR="00052742" w:rsidRPr="001567C8" w:rsidTr="003C6BA3">
        <w:trPr>
          <w:trHeight w:val="510"/>
        </w:trPr>
        <w:tc>
          <w:tcPr>
            <w:tcW w:w="2911" w:type="pct"/>
          </w:tcPr>
          <w:p w:rsidR="00052742" w:rsidRPr="001567C8" w:rsidRDefault="00052742" w:rsidP="00052742">
            <w:pPr>
              <w:rPr>
                <w:rFonts w:asciiTheme="minorHAnsi" w:hAnsiTheme="minorHAnsi" w:cs="Arial"/>
                <w:sz w:val="22"/>
                <w:szCs w:val="22"/>
                <w:lang w:val="hr-HR"/>
              </w:rPr>
            </w:pPr>
          </w:p>
          <w:p w:rsidR="00052742" w:rsidRPr="001567C8" w:rsidRDefault="00052742" w:rsidP="00052742">
            <w:pPr>
              <w:rPr>
                <w:rFonts w:asciiTheme="minorHAnsi" w:hAnsiTheme="minorHAnsi" w:cs="Arial"/>
                <w:sz w:val="22"/>
                <w:szCs w:val="22"/>
                <w:lang w:val="hr-HR"/>
              </w:rPr>
            </w:pPr>
          </w:p>
        </w:tc>
        <w:tc>
          <w:tcPr>
            <w:tcW w:w="522" w:type="pct"/>
            <w:vAlign w:val="bottom"/>
          </w:tcPr>
          <w:p w:rsidR="00052742" w:rsidRPr="001567C8" w:rsidRDefault="00052742" w:rsidP="00052742">
            <w:pPr>
              <w:jc w:val="center"/>
              <w:rPr>
                <w:rFonts w:asciiTheme="minorHAnsi" w:hAnsiTheme="minorHAnsi" w:cs="Arial"/>
                <w:b/>
                <w:sz w:val="22"/>
                <w:szCs w:val="22"/>
                <w:lang w:val="hr-HR"/>
              </w:rPr>
            </w:pPr>
            <w:r w:rsidRPr="001567C8">
              <w:rPr>
                <w:rFonts w:asciiTheme="minorHAnsi" w:hAnsiTheme="minorHAnsi" w:cs="Arial"/>
                <w:b/>
                <w:sz w:val="22"/>
                <w:szCs w:val="22"/>
                <w:lang w:val="hr-HR"/>
              </w:rPr>
              <w:t>Bilješka</w:t>
            </w:r>
          </w:p>
        </w:tc>
        <w:tc>
          <w:tcPr>
            <w:tcW w:w="783" w:type="pct"/>
            <w:vAlign w:val="bottom"/>
          </w:tcPr>
          <w:p w:rsidR="00052742" w:rsidRPr="001567C8" w:rsidRDefault="00052742" w:rsidP="00052742">
            <w:pPr>
              <w:jc w:val="right"/>
              <w:rPr>
                <w:rFonts w:asciiTheme="minorHAnsi" w:hAnsiTheme="minorHAnsi" w:cs="Arial"/>
                <w:b/>
                <w:sz w:val="22"/>
                <w:szCs w:val="22"/>
                <w:lang w:val="hr-HR"/>
              </w:rPr>
            </w:pPr>
            <w:r w:rsidRPr="001567C8">
              <w:rPr>
                <w:rFonts w:asciiTheme="minorHAnsi" w:hAnsiTheme="minorHAnsi" w:cs="Arial"/>
                <w:b/>
                <w:sz w:val="22"/>
                <w:szCs w:val="22"/>
                <w:lang w:val="hr-HR"/>
              </w:rPr>
              <w:t>2018.</w:t>
            </w:r>
          </w:p>
        </w:tc>
        <w:tc>
          <w:tcPr>
            <w:tcW w:w="784" w:type="pct"/>
            <w:vAlign w:val="bottom"/>
          </w:tcPr>
          <w:p w:rsidR="00052742" w:rsidRPr="001567C8" w:rsidRDefault="00052742" w:rsidP="00052742">
            <w:pPr>
              <w:jc w:val="right"/>
              <w:rPr>
                <w:rFonts w:asciiTheme="minorHAnsi" w:hAnsiTheme="minorHAnsi" w:cs="Arial"/>
                <w:b/>
                <w:sz w:val="22"/>
                <w:szCs w:val="22"/>
                <w:lang w:val="hr-HR"/>
              </w:rPr>
            </w:pPr>
            <w:r w:rsidRPr="001567C8">
              <w:rPr>
                <w:rFonts w:asciiTheme="minorHAnsi" w:hAnsiTheme="minorHAnsi" w:cs="Arial"/>
                <w:b/>
                <w:sz w:val="22"/>
                <w:szCs w:val="22"/>
                <w:lang w:val="hr-HR"/>
              </w:rPr>
              <w:t>2017.</w:t>
            </w:r>
          </w:p>
        </w:tc>
      </w:tr>
      <w:tr w:rsidR="00052742" w:rsidRPr="001567C8" w:rsidTr="003C6BA3">
        <w:trPr>
          <w:trHeight w:val="248"/>
        </w:trPr>
        <w:tc>
          <w:tcPr>
            <w:tcW w:w="2911" w:type="pct"/>
          </w:tcPr>
          <w:p w:rsidR="00052742" w:rsidRPr="001567C8" w:rsidRDefault="00052742" w:rsidP="00052742">
            <w:pPr>
              <w:rPr>
                <w:rFonts w:asciiTheme="minorHAnsi" w:hAnsiTheme="minorHAnsi" w:cs="Arial"/>
                <w:sz w:val="22"/>
                <w:szCs w:val="22"/>
                <w:lang w:val="hr-HR"/>
              </w:rPr>
            </w:pPr>
          </w:p>
        </w:tc>
        <w:tc>
          <w:tcPr>
            <w:tcW w:w="522" w:type="pct"/>
          </w:tcPr>
          <w:p w:rsidR="00052742" w:rsidRPr="001567C8" w:rsidRDefault="00052742" w:rsidP="00052742">
            <w:pPr>
              <w:jc w:val="center"/>
              <w:rPr>
                <w:rFonts w:asciiTheme="minorHAnsi" w:hAnsiTheme="minorHAnsi" w:cs="Arial"/>
                <w:b/>
                <w:sz w:val="22"/>
                <w:szCs w:val="22"/>
                <w:lang w:val="hr-HR"/>
              </w:rPr>
            </w:pPr>
          </w:p>
        </w:tc>
        <w:tc>
          <w:tcPr>
            <w:tcW w:w="783" w:type="pct"/>
          </w:tcPr>
          <w:p w:rsidR="00052742" w:rsidRPr="001567C8" w:rsidRDefault="00052742" w:rsidP="00052742">
            <w:pPr>
              <w:jc w:val="right"/>
              <w:rPr>
                <w:rFonts w:asciiTheme="minorHAnsi" w:hAnsiTheme="minorHAnsi" w:cs="Arial"/>
                <w:b/>
                <w:sz w:val="22"/>
                <w:szCs w:val="22"/>
                <w:lang w:val="hr-HR"/>
              </w:rPr>
            </w:pPr>
            <w:r w:rsidRPr="001567C8">
              <w:rPr>
                <w:rFonts w:asciiTheme="minorHAnsi" w:hAnsiTheme="minorHAnsi" w:cs="Arial"/>
                <w:b/>
                <w:sz w:val="22"/>
                <w:szCs w:val="22"/>
                <w:lang w:val="hr-HR"/>
              </w:rPr>
              <w:t>000 kuna</w:t>
            </w:r>
          </w:p>
        </w:tc>
        <w:tc>
          <w:tcPr>
            <w:tcW w:w="784" w:type="pct"/>
          </w:tcPr>
          <w:p w:rsidR="00052742" w:rsidRPr="001567C8" w:rsidRDefault="00052742" w:rsidP="00052742">
            <w:pPr>
              <w:jc w:val="right"/>
              <w:rPr>
                <w:rFonts w:asciiTheme="minorHAnsi" w:hAnsiTheme="minorHAnsi" w:cs="Arial"/>
                <w:b/>
                <w:sz w:val="22"/>
                <w:szCs w:val="22"/>
                <w:lang w:val="hr-HR"/>
              </w:rPr>
            </w:pPr>
            <w:r w:rsidRPr="001567C8">
              <w:rPr>
                <w:rFonts w:asciiTheme="minorHAnsi" w:hAnsiTheme="minorHAnsi" w:cs="Arial"/>
                <w:b/>
                <w:sz w:val="22"/>
                <w:szCs w:val="22"/>
                <w:lang w:val="hr-HR"/>
              </w:rPr>
              <w:t>000 kuna</w:t>
            </w:r>
          </w:p>
        </w:tc>
      </w:tr>
      <w:tr w:rsidR="00052742" w:rsidRPr="001567C8" w:rsidTr="003C6BA3">
        <w:trPr>
          <w:trHeight w:val="285"/>
        </w:trPr>
        <w:tc>
          <w:tcPr>
            <w:tcW w:w="2911" w:type="pct"/>
          </w:tcPr>
          <w:p w:rsidR="00052742" w:rsidRPr="001567C8" w:rsidRDefault="00052742" w:rsidP="00052742">
            <w:pPr>
              <w:pStyle w:val="TT"/>
              <w:rPr>
                <w:rFonts w:asciiTheme="minorHAnsi" w:hAnsiTheme="minorHAnsi" w:cs="Arial"/>
                <w:b/>
                <w:bCs/>
                <w:sz w:val="22"/>
                <w:szCs w:val="22"/>
                <w:lang w:val="hr-HR"/>
              </w:rPr>
            </w:pPr>
            <w:r w:rsidRPr="001567C8">
              <w:rPr>
                <w:rFonts w:asciiTheme="minorHAnsi" w:hAnsiTheme="minorHAnsi" w:cs="Arial"/>
                <w:b/>
                <w:bCs/>
                <w:sz w:val="22"/>
                <w:szCs w:val="22"/>
                <w:lang w:val="hr-HR"/>
              </w:rPr>
              <w:t>Imovina</w:t>
            </w:r>
          </w:p>
        </w:tc>
        <w:tc>
          <w:tcPr>
            <w:tcW w:w="522" w:type="pct"/>
          </w:tcPr>
          <w:p w:rsidR="00052742" w:rsidRPr="001567C8" w:rsidRDefault="00052742" w:rsidP="00052742">
            <w:pPr>
              <w:pStyle w:val="TT"/>
              <w:rPr>
                <w:rFonts w:asciiTheme="minorHAnsi" w:hAnsiTheme="minorHAnsi" w:cs="Arial"/>
                <w:b/>
                <w:bCs/>
                <w:sz w:val="22"/>
                <w:szCs w:val="22"/>
                <w:lang w:val="hr-HR"/>
              </w:rPr>
            </w:pPr>
          </w:p>
        </w:tc>
        <w:tc>
          <w:tcPr>
            <w:tcW w:w="783" w:type="pct"/>
          </w:tcPr>
          <w:p w:rsidR="00052742" w:rsidRPr="001567C8" w:rsidRDefault="00052742" w:rsidP="00052742">
            <w:pPr>
              <w:pStyle w:val="TT"/>
              <w:rPr>
                <w:rFonts w:asciiTheme="minorHAnsi" w:hAnsiTheme="minorHAnsi" w:cs="Arial"/>
                <w:b/>
                <w:bCs/>
                <w:sz w:val="22"/>
                <w:szCs w:val="22"/>
                <w:lang w:val="hr-HR"/>
              </w:rPr>
            </w:pPr>
          </w:p>
        </w:tc>
        <w:tc>
          <w:tcPr>
            <w:tcW w:w="784" w:type="pct"/>
          </w:tcPr>
          <w:p w:rsidR="00052742" w:rsidRPr="001567C8" w:rsidRDefault="00052742" w:rsidP="00052742">
            <w:pPr>
              <w:pStyle w:val="TT"/>
              <w:rPr>
                <w:rFonts w:asciiTheme="minorHAnsi" w:hAnsiTheme="minorHAnsi" w:cs="Arial"/>
                <w:b/>
                <w:bCs/>
                <w:sz w:val="22"/>
                <w:szCs w:val="22"/>
                <w:lang w:val="hr-HR"/>
              </w:rPr>
            </w:pP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Novčana sredstva i računi kod banaka</w:t>
            </w:r>
          </w:p>
        </w:tc>
        <w:tc>
          <w:tcPr>
            <w:tcW w:w="522" w:type="pct"/>
            <w:vAlign w:val="bottom"/>
          </w:tcPr>
          <w:p w:rsidR="00145EBE" w:rsidRPr="001567C8" w:rsidRDefault="00145EBE"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1</w:t>
            </w:r>
            <w:r w:rsidR="004418B3" w:rsidRPr="001567C8">
              <w:rPr>
                <w:rFonts w:asciiTheme="minorHAnsi" w:hAnsiTheme="minorHAnsi" w:cs="Arial"/>
                <w:sz w:val="22"/>
                <w:szCs w:val="22"/>
                <w:lang w:val="hr-HR"/>
              </w:rPr>
              <w:t>3</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941.071</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1.401.146</w:t>
            </w: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Depoziti kod drugih banaka</w:t>
            </w:r>
          </w:p>
        </w:tc>
        <w:tc>
          <w:tcPr>
            <w:tcW w:w="522" w:type="pct"/>
            <w:vAlign w:val="bottom"/>
          </w:tcPr>
          <w:p w:rsidR="00145EBE" w:rsidRPr="001567C8" w:rsidRDefault="00145EBE"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1</w:t>
            </w:r>
            <w:r w:rsidR="004418B3" w:rsidRPr="001567C8">
              <w:rPr>
                <w:rFonts w:asciiTheme="minorHAnsi" w:hAnsiTheme="minorHAnsi" w:cs="Arial"/>
                <w:sz w:val="22"/>
                <w:szCs w:val="22"/>
                <w:lang w:val="hr-HR"/>
              </w:rPr>
              <w:t>4</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261.925</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29.138</w:t>
            </w: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Krediti financijskim institucijama</w:t>
            </w:r>
          </w:p>
        </w:tc>
        <w:tc>
          <w:tcPr>
            <w:tcW w:w="522" w:type="pct"/>
            <w:vAlign w:val="bottom"/>
          </w:tcPr>
          <w:p w:rsidR="00145EBE" w:rsidRPr="001567C8" w:rsidRDefault="00145EBE"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1</w:t>
            </w:r>
            <w:r w:rsidR="004418B3" w:rsidRPr="001567C8">
              <w:rPr>
                <w:rFonts w:asciiTheme="minorHAnsi" w:hAnsiTheme="minorHAnsi" w:cs="Arial"/>
                <w:sz w:val="22"/>
                <w:szCs w:val="22"/>
                <w:lang w:val="hr-HR"/>
              </w:rPr>
              <w:t>5</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10.234.988</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10.836.141</w:t>
            </w:r>
          </w:p>
        </w:tc>
      </w:tr>
      <w:tr w:rsidR="00145EBE" w:rsidRPr="001567C8" w:rsidTr="003C6BA3">
        <w:trPr>
          <w:trHeight w:val="297"/>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Krediti ostalim korisnicima</w:t>
            </w:r>
          </w:p>
        </w:tc>
        <w:tc>
          <w:tcPr>
            <w:tcW w:w="522" w:type="pct"/>
            <w:vAlign w:val="bottom"/>
          </w:tcPr>
          <w:p w:rsidR="00145EBE" w:rsidRPr="001567C8" w:rsidRDefault="00145EBE"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1</w:t>
            </w:r>
            <w:r w:rsidR="004418B3" w:rsidRPr="001567C8">
              <w:rPr>
                <w:rFonts w:asciiTheme="minorHAnsi" w:hAnsiTheme="minorHAnsi" w:cs="Arial"/>
                <w:sz w:val="22"/>
                <w:szCs w:val="22"/>
                <w:lang w:val="hr-HR"/>
              </w:rPr>
              <w:t>6</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12.510.686</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12.383.623</w:t>
            </w:r>
          </w:p>
        </w:tc>
      </w:tr>
      <w:tr w:rsidR="00145EBE" w:rsidRPr="001567C8" w:rsidTr="003C6BA3">
        <w:trPr>
          <w:trHeight w:val="297"/>
        </w:trPr>
        <w:tc>
          <w:tcPr>
            <w:tcW w:w="2911" w:type="pct"/>
            <w:tcBorders>
              <w:top w:val="nil"/>
              <w:left w:val="nil"/>
              <w:bottom w:val="nil"/>
              <w:right w:val="nil"/>
            </w:tcBorders>
            <w:shd w:val="clear" w:color="auto" w:fill="auto"/>
            <w:vAlign w:val="center"/>
          </w:tcPr>
          <w:p w:rsidR="00145EBE" w:rsidRPr="001567C8" w:rsidRDefault="00145EBE" w:rsidP="00145EBE">
            <w:pPr>
              <w:pStyle w:val="TT"/>
              <w:rPr>
                <w:rFonts w:asciiTheme="minorHAnsi" w:hAnsiTheme="minorHAnsi" w:cs="Arial"/>
                <w:sz w:val="22"/>
                <w:szCs w:val="22"/>
                <w:lang w:val="hr-HR"/>
              </w:rPr>
            </w:pPr>
            <w:r w:rsidRPr="00CD3A2D">
              <w:rPr>
                <w:rFonts w:ascii="Calibri" w:hAnsi="Calibri" w:cs="Calibri"/>
                <w:color w:val="000000"/>
                <w:sz w:val="22"/>
                <w:szCs w:val="22"/>
                <w:lang w:val="hr-HR"/>
              </w:rPr>
              <w:t>Financijska imovina po fer vrijednosti kroz dobit i</w:t>
            </w:r>
            <w:r w:rsidR="001E6ECF" w:rsidRPr="00CD3A2D">
              <w:rPr>
                <w:rFonts w:ascii="Calibri" w:hAnsi="Calibri" w:cs="Calibri"/>
                <w:color w:val="000000"/>
                <w:sz w:val="22"/>
                <w:szCs w:val="22"/>
                <w:lang w:val="hr-HR"/>
              </w:rPr>
              <w:t>li</w:t>
            </w:r>
            <w:r w:rsidRPr="00CD3A2D">
              <w:rPr>
                <w:rFonts w:ascii="Calibri" w:hAnsi="Calibri" w:cs="Calibri"/>
                <w:color w:val="000000"/>
                <w:sz w:val="22"/>
                <w:szCs w:val="22"/>
                <w:lang w:val="hr-HR"/>
              </w:rPr>
              <w:t xml:space="preserve"> gubit</w:t>
            </w:r>
            <w:r w:rsidR="006A1B62" w:rsidRPr="00CD3A2D">
              <w:rPr>
                <w:rFonts w:ascii="Calibri" w:hAnsi="Calibri" w:cs="Calibri"/>
                <w:color w:val="000000"/>
                <w:sz w:val="22"/>
                <w:szCs w:val="22"/>
                <w:lang w:val="hr-HR"/>
              </w:rPr>
              <w:t>ak</w:t>
            </w:r>
          </w:p>
        </w:tc>
        <w:tc>
          <w:tcPr>
            <w:tcW w:w="522" w:type="pct"/>
            <w:vAlign w:val="bottom"/>
          </w:tcPr>
          <w:p w:rsidR="00145EBE" w:rsidRPr="001567C8" w:rsidRDefault="00145EBE"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1</w:t>
            </w:r>
            <w:r w:rsidR="004418B3" w:rsidRPr="001567C8">
              <w:rPr>
                <w:rFonts w:asciiTheme="minorHAnsi" w:hAnsiTheme="minorHAnsi" w:cs="Arial"/>
                <w:sz w:val="22"/>
                <w:szCs w:val="22"/>
                <w:lang w:val="hr-HR"/>
              </w:rPr>
              <w:t>7</w:t>
            </w:r>
          </w:p>
        </w:tc>
        <w:tc>
          <w:tcPr>
            <w:tcW w:w="783" w:type="pct"/>
            <w:tcBorders>
              <w:top w:val="nil"/>
              <w:left w:val="nil"/>
              <w:bottom w:val="nil"/>
              <w:right w:val="nil"/>
            </w:tcBorders>
            <w:shd w:val="clear" w:color="auto" w:fill="auto"/>
            <w:vAlign w:val="bottom"/>
          </w:tcPr>
          <w:p w:rsidR="00145EBE" w:rsidRPr="001567C8" w:rsidRDefault="00145EBE" w:rsidP="00145EBE">
            <w:pPr>
              <w:pStyle w:val="TT"/>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330.803</w:t>
            </w:r>
          </w:p>
        </w:tc>
        <w:tc>
          <w:tcPr>
            <w:tcW w:w="784" w:type="pct"/>
            <w:vAlign w:val="bottom"/>
          </w:tcPr>
          <w:p w:rsidR="00145EBE" w:rsidRPr="00CD3A2D" w:rsidRDefault="001E6ECF" w:rsidP="00145EB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w:t>
            </w:r>
          </w:p>
        </w:tc>
      </w:tr>
      <w:tr w:rsidR="00145EBE" w:rsidRPr="001567C8" w:rsidTr="003C6BA3">
        <w:trPr>
          <w:trHeight w:val="297"/>
        </w:trPr>
        <w:tc>
          <w:tcPr>
            <w:tcW w:w="2911" w:type="pct"/>
            <w:tcBorders>
              <w:top w:val="nil"/>
              <w:left w:val="nil"/>
              <w:bottom w:val="nil"/>
              <w:right w:val="nil"/>
            </w:tcBorders>
            <w:shd w:val="clear" w:color="auto" w:fill="auto"/>
            <w:vAlign w:val="bottom"/>
          </w:tcPr>
          <w:p w:rsidR="00145EBE" w:rsidRPr="001567C8" w:rsidRDefault="00145EBE" w:rsidP="00145EBE">
            <w:pPr>
              <w:pStyle w:val="TT"/>
              <w:rPr>
                <w:rFonts w:asciiTheme="minorHAnsi" w:hAnsiTheme="minorHAnsi" w:cs="Arial"/>
                <w:sz w:val="22"/>
                <w:szCs w:val="22"/>
                <w:lang w:val="hr-HR"/>
              </w:rPr>
            </w:pPr>
            <w:r w:rsidRPr="00CD3A2D">
              <w:rPr>
                <w:rFonts w:ascii="Calibri" w:hAnsi="Calibri" w:cs="Calibri"/>
                <w:color w:val="000000"/>
                <w:sz w:val="22"/>
                <w:szCs w:val="22"/>
                <w:lang w:val="hr-HR"/>
              </w:rPr>
              <w:t>Financijska imovina po fer vrijednosti kroz ostalu sveobuhvatnu dobit</w:t>
            </w:r>
          </w:p>
        </w:tc>
        <w:tc>
          <w:tcPr>
            <w:tcW w:w="522" w:type="pct"/>
            <w:vAlign w:val="bottom"/>
          </w:tcPr>
          <w:p w:rsidR="00145EBE" w:rsidRPr="001567C8" w:rsidRDefault="00145EBE"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1</w:t>
            </w:r>
            <w:r w:rsidR="004418B3" w:rsidRPr="001567C8">
              <w:rPr>
                <w:rFonts w:asciiTheme="minorHAnsi" w:hAnsiTheme="minorHAnsi" w:cs="Arial"/>
                <w:sz w:val="22"/>
                <w:szCs w:val="22"/>
                <w:lang w:val="hr-HR"/>
              </w:rPr>
              <w:t>8</w:t>
            </w:r>
          </w:p>
        </w:tc>
        <w:tc>
          <w:tcPr>
            <w:tcW w:w="783" w:type="pct"/>
            <w:tcBorders>
              <w:top w:val="nil"/>
              <w:left w:val="nil"/>
              <w:bottom w:val="nil"/>
              <w:right w:val="nil"/>
            </w:tcBorders>
            <w:shd w:val="clear" w:color="auto" w:fill="auto"/>
            <w:vAlign w:val="bottom"/>
          </w:tcPr>
          <w:p w:rsidR="00145EBE" w:rsidRPr="001567C8" w:rsidRDefault="00145EBE" w:rsidP="00145EBE">
            <w:pPr>
              <w:pStyle w:val="TT"/>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2.792.072</w:t>
            </w:r>
          </w:p>
        </w:tc>
        <w:tc>
          <w:tcPr>
            <w:tcW w:w="784" w:type="pct"/>
            <w:vAlign w:val="bottom"/>
          </w:tcPr>
          <w:p w:rsidR="00145EBE" w:rsidRPr="00CD3A2D" w:rsidRDefault="00145EBE" w:rsidP="00145EBE">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n/p</w:t>
            </w:r>
          </w:p>
        </w:tc>
      </w:tr>
      <w:tr w:rsidR="00052742" w:rsidRPr="001567C8" w:rsidTr="003C6BA3">
        <w:trPr>
          <w:trHeight w:val="285"/>
        </w:trPr>
        <w:tc>
          <w:tcPr>
            <w:tcW w:w="2911" w:type="pct"/>
          </w:tcPr>
          <w:p w:rsidR="00052742" w:rsidRPr="001567C8" w:rsidRDefault="00052742" w:rsidP="00052742">
            <w:pPr>
              <w:pStyle w:val="TT"/>
              <w:rPr>
                <w:rFonts w:asciiTheme="minorHAnsi" w:hAnsiTheme="minorHAnsi" w:cs="Arial"/>
                <w:sz w:val="22"/>
                <w:szCs w:val="22"/>
                <w:lang w:val="hr-HR"/>
              </w:rPr>
            </w:pPr>
            <w:r w:rsidRPr="001567C8">
              <w:rPr>
                <w:rFonts w:asciiTheme="minorHAnsi" w:hAnsiTheme="minorHAnsi" w:cs="Arial"/>
                <w:sz w:val="22"/>
                <w:szCs w:val="22"/>
                <w:lang w:val="hr-HR"/>
              </w:rPr>
              <w:t>Imovina raspoloživa za prodaju</w:t>
            </w:r>
          </w:p>
        </w:tc>
        <w:tc>
          <w:tcPr>
            <w:tcW w:w="522" w:type="pct"/>
            <w:vAlign w:val="bottom"/>
          </w:tcPr>
          <w:p w:rsidR="00052742" w:rsidRPr="001567C8" w:rsidRDefault="004418B3" w:rsidP="00052742">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20</w:t>
            </w:r>
          </w:p>
        </w:tc>
        <w:tc>
          <w:tcPr>
            <w:tcW w:w="783" w:type="pct"/>
            <w:tcBorders>
              <w:top w:val="nil"/>
              <w:left w:val="nil"/>
              <w:bottom w:val="nil"/>
              <w:right w:val="nil"/>
            </w:tcBorders>
            <w:shd w:val="clear" w:color="auto" w:fill="auto"/>
            <w:vAlign w:val="center"/>
          </w:tcPr>
          <w:p w:rsidR="00052742" w:rsidRPr="001567C8" w:rsidRDefault="00145EBE" w:rsidP="00052742">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n/p</w:t>
            </w:r>
          </w:p>
        </w:tc>
        <w:tc>
          <w:tcPr>
            <w:tcW w:w="784" w:type="pct"/>
            <w:vAlign w:val="center"/>
          </w:tcPr>
          <w:p w:rsidR="00052742" w:rsidRPr="001567C8" w:rsidRDefault="00052742" w:rsidP="00052742">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3.277.194</w:t>
            </w:r>
          </w:p>
        </w:tc>
      </w:tr>
      <w:tr w:rsidR="00052742" w:rsidRPr="001567C8" w:rsidTr="003C6BA3">
        <w:trPr>
          <w:trHeight w:val="285"/>
        </w:trPr>
        <w:tc>
          <w:tcPr>
            <w:tcW w:w="2911" w:type="pct"/>
          </w:tcPr>
          <w:p w:rsidR="00052742" w:rsidRPr="001567C8" w:rsidRDefault="00052742" w:rsidP="00052742">
            <w:pPr>
              <w:pStyle w:val="TT"/>
              <w:rPr>
                <w:rFonts w:asciiTheme="minorHAnsi" w:hAnsiTheme="minorHAnsi" w:cs="Arial"/>
                <w:sz w:val="22"/>
                <w:szCs w:val="22"/>
                <w:lang w:val="hr-HR"/>
              </w:rPr>
            </w:pPr>
            <w:r w:rsidRPr="001567C8">
              <w:rPr>
                <w:rFonts w:asciiTheme="minorHAnsi" w:hAnsiTheme="minorHAnsi" w:cs="Arial"/>
                <w:sz w:val="22"/>
                <w:szCs w:val="22"/>
                <w:lang w:val="hr-HR"/>
              </w:rPr>
              <w:t>Ulaganja u ovisna društva</w:t>
            </w:r>
          </w:p>
        </w:tc>
        <w:tc>
          <w:tcPr>
            <w:tcW w:w="522" w:type="pct"/>
            <w:vAlign w:val="bottom"/>
          </w:tcPr>
          <w:p w:rsidR="00052742" w:rsidRPr="001567C8" w:rsidRDefault="00B52585" w:rsidP="00052742">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22</w:t>
            </w:r>
          </w:p>
        </w:tc>
        <w:tc>
          <w:tcPr>
            <w:tcW w:w="783" w:type="pct"/>
            <w:tcBorders>
              <w:top w:val="nil"/>
              <w:left w:val="nil"/>
              <w:bottom w:val="nil"/>
              <w:right w:val="nil"/>
            </w:tcBorders>
            <w:shd w:val="clear" w:color="auto" w:fill="auto"/>
            <w:vAlign w:val="center"/>
          </w:tcPr>
          <w:p w:rsidR="00052742" w:rsidRPr="001567C8" w:rsidRDefault="00145EBE" w:rsidP="00052742">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36.124</w:t>
            </w:r>
          </w:p>
        </w:tc>
        <w:tc>
          <w:tcPr>
            <w:tcW w:w="784" w:type="pct"/>
            <w:vAlign w:val="center"/>
          </w:tcPr>
          <w:p w:rsidR="00052742" w:rsidRPr="001567C8" w:rsidRDefault="00052742" w:rsidP="00052742">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36.124</w:t>
            </w:r>
          </w:p>
        </w:tc>
      </w:tr>
      <w:tr w:rsidR="00052742" w:rsidRPr="001567C8" w:rsidTr="003C6BA3">
        <w:trPr>
          <w:trHeight w:val="285"/>
        </w:trPr>
        <w:tc>
          <w:tcPr>
            <w:tcW w:w="2911" w:type="pct"/>
          </w:tcPr>
          <w:p w:rsidR="00052742" w:rsidRPr="001567C8" w:rsidRDefault="00052742" w:rsidP="00052742">
            <w:pPr>
              <w:pStyle w:val="TT"/>
              <w:rPr>
                <w:rFonts w:asciiTheme="minorHAnsi" w:hAnsiTheme="minorHAnsi" w:cs="Arial"/>
                <w:sz w:val="22"/>
                <w:szCs w:val="22"/>
                <w:lang w:val="hr-HR"/>
              </w:rPr>
            </w:pPr>
            <w:r w:rsidRPr="001567C8">
              <w:rPr>
                <w:rFonts w:asciiTheme="minorHAnsi" w:hAnsiTheme="minorHAnsi" w:cs="Arial"/>
                <w:sz w:val="22"/>
                <w:szCs w:val="22"/>
                <w:lang w:val="hr-HR"/>
              </w:rPr>
              <w:t>Ulaganja u pridružena društva</w:t>
            </w:r>
          </w:p>
        </w:tc>
        <w:tc>
          <w:tcPr>
            <w:tcW w:w="522" w:type="pct"/>
            <w:vAlign w:val="bottom"/>
          </w:tcPr>
          <w:p w:rsidR="00052742" w:rsidRPr="001567C8" w:rsidRDefault="004418B3" w:rsidP="00052742">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23</w:t>
            </w:r>
          </w:p>
        </w:tc>
        <w:tc>
          <w:tcPr>
            <w:tcW w:w="783" w:type="pct"/>
          </w:tcPr>
          <w:p w:rsidR="00145EBE" w:rsidRPr="001567C8" w:rsidRDefault="00145EBE" w:rsidP="00145EBE">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w:t>
            </w:r>
          </w:p>
        </w:tc>
        <w:tc>
          <w:tcPr>
            <w:tcW w:w="784" w:type="pct"/>
          </w:tcPr>
          <w:p w:rsidR="00052742" w:rsidRPr="001567C8" w:rsidRDefault="00052742" w:rsidP="00052742">
            <w:pPr>
              <w:pStyle w:val="TT"/>
              <w:jc w:val="right"/>
              <w:rPr>
                <w:rFonts w:asciiTheme="minorHAnsi" w:hAnsiTheme="minorHAnsi" w:cs="Arial"/>
                <w:snapToGrid w:val="0"/>
                <w:sz w:val="22"/>
                <w:szCs w:val="22"/>
                <w:lang w:val="hr-HR"/>
              </w:rPr>
            </w:pPr>
            <w:r w:rsidRPr="001567C8">
              <w:rPr>
                <w:rFonts w:asciiTheme="minorHAnsi" w:hAnsiTheme="minorHAnsi" w:cs="Arial"/>
                <w:snapToGrid w:val="0"/>
                <w:sz w:val="22"/>
                <w:szCs w:val="22"/>
                <w:lang w:val="hr-HR"/>
              </w:rPr>
              <w:t>-</w:t>
            </w:r>
          </w:p>
        </w:tc>
      </w:tr>
      <w:tr w:rsidR="00145EBE" w:rsidRPr="001567C8" w:rsidTr="003C6BA3">
        <w:trPr>
          <w:trHeight w:val="253"/>
        </w:trPr>
        <w:tc>
          <w:tcPr>
            <w:tcW w:w="2911" w:type="pct"/>
            <w:vAlign w:val="bottom"/>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Nekretnine, postrojenja i oprema i nematerijalna imovina</w:t>
            </w:r>
          </w:p>
        </w:tc>
        <w:tc>
          <w:tcPr>
            <w:tcW w:w="522" w:type="pct"/>
            <w:vAlign w:val="bottom"/>
          </w:tcPr>
          <w:p w:rsidR="00145EBE" w:rsidRPr="001567C8" w:rsidRDefault="004418B3"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24</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50.764</w:t>
            </w:r>
          </w:p>
        </w:tc>
        <w:tc>
          <w:tcPr>
            <w:tcW w:w="784" w:type="pct"/>
            <w:vAlign w:val="bottom"/>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53.514</w:t>
            </w:r>
          </w:p>
        </w:tc>
      </w:tr>
      <w:tr w:rsidR="00145EBE" w:rsidRPr="001567C8" w:rsidTr="003C6BA3">
        <w:trPr>
          <w:trHeight w:val="285"/>
        </w:trPr>
        <w:tc>
          <w:tcPr>
            <w:tcW w:w="2911" w:type="pct"/>
          </w:tcPr>
          <w:p w:rsidR="00145EBE" w:rsidRPr="001567C8" w:rsidRDefault="00A553F7" w:rsidP="00145EBE">
            <w:pPr>
              <w:pStyle w:val="TT"/>
              <w:rPr>
                <w:rFonts w:asciiTheme="minorHAnsi" w:hAnsiTheme="minorHAnsi" w:cs="Arial"/>
                <w:sz w:val="22"/>
                <w:szCs w:val="22"/>
                <w:lang w:val="hr-HR"/>
              </w:rPr>
            </w:pPr>
            <w:r>
              <w:rPr>
                <w:rFonts w:asciiTheme="minorHAnsi" w:hAnsiTheme="minorHAnsi" w:cs="Arial"/>
                <w:sz w:val="22"/>
                <w:szCs w:val="22"/>
                <w:lang w:val="hr-HR"/>
              </w:rPr>
              <w:t>Preuzeta imovina</w:t>
            </w:r>
          </w:p>
        </w:tc>
        <w:tc>
          <w:tcPr>
            <w:tcW w:w="522" w:type="pct"/>
            <w:vAlign w:val="bottom"/>
          </w:tcPr>
          <w:p w:rsidR="00145EBE" w:rsidRPr="001567C8" w:rsidRDefault="004418B3"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25</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25.330</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16.697</w:t>
            </w: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Ostala imovina</w:t>
            </w:r>
          </w:p>
        </w:tc>
        <w:tc>
          <w:tcPr>
            <w:tcW w:w="522" w:type="pct"/>
            <w:vAlign w:val="bottom"/>
          </w:tcPr>
          <w:p w:rsidR="00145EBE" w:rsidRPr="001567C8" w:rsidRDefault="004418B3"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26</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napToGrid w:val="0"/>
                <w:sz w:val="22"/>
                <w:szCs w:val="22"/>
                <w:lang w:val="hr-HR"/>
              </w:rPr>
            </w:pPr>
            <w:r w:rsidRPr="00CD3A2D">
              <w:rPr>
                <w:rFonts w:ascii="Calibri" w:hAnsi="Calibri" w:cs="Calibri"/>
                <w:color w:val="000000"/>
                <w:sz w:val="22"/>
                <w:szCs w:val="22"/>
                <w:lang w:val="hr-HR"/>
              </w:rPr>
              <w:t>15.164</w:t>
            </w:r>
          </w:p>
        </w:tc>
        <w:tc>
          <w:tcPr>
            <w:tcW w:w="784" w:type="pct"/>
            <w:tcBorders>
              <w:bottom w:val="single" w:sz="4" w:space="0" w:color="auto"/>
            </w:tcBorders>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22.226</w:t>
            </w:r>
          </w:p>
        </w:tc>
      </w:tr>
      <w:tr w:rsidR="00052742" w:rsidRPr="001567C8" w:rsidTr="003C6BA3">
        <w:trPr>
          <w:trHeight w:val="320"/>
        </w:trPr>
        <w:tc>
          <w:tcPr>
            <w:tcW w:w="2911" w:type="pct"/>
          </w:tcPr>
          <w:p w:rsidR="00052742" w:rsidRPr="001567C8" w:rsidRDefault="00052742" w:rsidP="00052742">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Ukupna imovina</w:t>
            </w:r>
          </w:p>
        </w:tc>
        <w:tc>
          <w:tcPr>
            <w:tcW w:w="522" w:type="pct"/>
            <w:vAlign w:val="bottom"/>
          </w:tcPr>
          <w:p w:rsidR="00052742" w:rsidRPr="001567C8" w:rsidRDefault="00052742" w:rsidP="00052742">
            <w:pPr>
              <w:pStyle w:val="Tot"/>
              <w:jc w:val="center"/>
              <w:rPr>
                <w:rFonts w:asciiTheme="minorHAnsi" w:hAnsiTheme="minorHAnsi" w:cs="Arial"/>
                <w:b/>
                <w:bCs/>
                <w:sz w:val="22"/>
                <w:szCs w:val="22"/>
                <w:lang w:val="hr-HR"/>
              </w:rPr>
            </w:pPr>
          </w:p>
        </w:tc>
        <w:tc>
          <w:tcPr>
            <w:tcW w:w="783" w:type="pct"/>
            <w:tcBorders>
              <w:top w:val="single" w:sz="4" w:space="0" w:color="auto"/>
              <w:bottom w:val="single" w:sz="12" w:space="0" w:color="auto"/>
            </w:tcBorders>
            <w:vAlign w:val="bottom"/>
          </w:tcPr>
          <w:p w:rsidR="00052742" w:rsidRPr="001567C8" w:rsidRDefault="00145EBE" w:rsidP="00052742">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27.198.927</w:t>
            </w:r>
          </w:p>
        </w:tc>
        <w:tc>
          <w:tcPr>
            <w:tcW w:w="784" w:type="pct"/>
            <w:tcBorders>
              <w:top w:val="single" w:sz="4" w:space="0" w:color="auto"/>
              <w:bottom w:val="single" w:sz="12" w:space="0" w:color="auto"/>
            </w:tcBorders>
            <w:vAlign w:val="bottom"/>
          </w:tcPr>
          <w:p w:rsidR="00052742" w:rsidRPr="001567C8" w:rsidRDefault="00052742" w:rsidP="00052742">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28.055.803</w:t>
            </w:r>
          </w:p>
        </w:tc>
      </w:tr>
      <w:tr w:rsidR="00052742" w:rsidRPr="001567C8" w:rsidTr="003C6BA3">
        <w:trPr>
          <w:trHeight w:val="285"/>
        </w:trPr>
        <w:tc>
          <w:tcPr>
            <w:tcW w:w="2911" w:type="pct"/>
          </w:tcPr>
          <w:p w:rsidR="00052742" w:rsidRPr="001567C8" w:rsidRDefault="00052742" w:rsidP="00052742">
            <w:pPr>
              <w:pStyle w:val="TT"/>
              <w:rPr>
                <w:rFonts w:asciiTheme="minorHAnsi" w:hAnsiTheme="minorHAnsi" w:cs="Arial"/>
                <w:b/>
                <w:bCs/>
                <w:sz w:val="22"/>
                <w:szCs w:val="22"/>
                <w:lang w:val="hr-HR"/>
              </w:rPr>
            </w:pPr>
            <w:r w:rsidRPr="001567C8">
              <w:rPr>
                <w:rFonts w:asciiTheme="minorHAnsi" w:hAnsiTheme="minorHAnsi" w:cs="Arial"/>
                <w:b/>
                <w:bCs/>
                <w:sz w:val="22"/>
                <w:szCs w:val="22"/>
                <w:lang w:val="hr-HR"/>
              </w:rPr>
              <w:t>Obveze</w:t>
            </w:r>
          </w:p>
        </w:tc>
        <w:tc>
          <w:tcPr>
            <w:tcW w:w="522" w:type="pct"/>
            <w:vAlign w:val="bottom"/>
          </w:tcPr>
          <w:p w:rsidR="00052742" w:rsidRPr="001567C8" w:rsidRDefault="00052742" w:rsidP="00052742">
            <w:pPr>
              <w:pStyle w:val="TT"/>
              <w:rPr>
                <w:rFonts w:asciiTheme="minorHAnsi" w:hAnsiTheme="minorHAnsi" w:cs="Arial"/>
                <w:b/>
                <w:bCs/>
                <w:sz w:val="22"/>
                <w:szCs w:val="22"/>
                <w:lang w:val="hr-HR"/>
              </w:rPr>
            </w:pPr>
          </w:p>
        </w:tc>
        <w:tc>
          <w:tcPr>
            <w:tcW w:w="783" w:type="pct"/>
            <w:tcBorders>
              <w:top w:val="single" w:sz="12" w:space="0" w:color="auto"/>
            </w:tcBorders>
            <w:vAlign w:val="bottom"/>
          </w:tcPr>
          <w:p w:rsidR="00052742" w:rsidRPr="001567C8" w:rsidRDefault="00052742" w:rsidP="00052742">
            <w:pPr>
              <w:pStyle w:val="TT"/>
              <w:jc w:val="right"/>
              <w:rPr>
                <w:rFonts w:asciiTheme="minorHAnsi" w:hAnsiTheme="minorHAnsi" w:cs="Arial"/>
                <w:b/>
                <w:bCs/>
                <w:sz w:val="22"/>
                <w:szCs w:val="22"/>
                <w:lang w:val="hr-HR"/>
              </w:rPr>
            </w:pPr>
          </w:p>
        </w:tc>
        <w:tc>
          <w:tcPr>
            <w:tcW w:w="784" w:type="pct"/>
            <w:tcBorders>
              <w:top w:val="single" w:sz="12" w:space="0" w:color="auto"/>
            </w:tcBorders>
            <w:vAlign w:val="bottom"/>
          </w:tcPr>
          <w:p w:rsidR="00052742" w:rsidRPr="001567C8" w:rsidRDefault="00052742" w:rsidP="00052742">
            <w:pPr>
              <w:pStyle w:val="TT"/>
              <w:jc w:val="right"/>
              <w:rPr>
                <w:rFonts w:asciiTheme="minorHAnsi" w:hAnsiTheme="minorHAnsi" w:cs="Arial"/>
                <w:b/>
                <w:bCs/>
                <w:sz w:val="22"/>
                <w:szCs w:val="22"/>
                <w:lang w:val="hr-HR"/>
              </w:rPr>
            </w:pP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Obveze po depozitima</w:t>
            </w:r>
          </w:p>
        </w:tc>
        <w:tc>
          <w:tcPr>
            <w:tcW w:w="522" w:type="pct"/>
            <w:vAlign w:val="bottom"/>
          </w:tcPr>
          <w:p w:rsidR="00145EBE" w:rsidRPr="001567C8" w:rsidRDefault="004418B3"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27</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429.096</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644.741</w:t>
            </w: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Obveze po kreditima</w:t>
            </w:r>
          </w:p>
        </w:tc>
        <w:tc>
          <w:tcPr>
            <w:tcW w:w="522" w:type="pct"/>
            <w:vAlign w:val="bottom"/>
          </w:tcPr>
          <w:p w:rsidR="00145EBE" w:rsidRPr="001567C8" w:rsidRDefault="004418B3"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28</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14.877.987</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15.387.881</w:t>
            </w: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Obveze za izdane dugoročne vrijednosne papire</w:t>
            </w:r>
          </w:p>
        </w:tc>
        <w:tc>
          <w:tcPr>
            <w:tcW w:w="522" w:type="pct"/>
            <w:vAlign w:val="bottom"/>
          </w:tcPr>
          <w:p w:rsidR="00145EBE" w:rsidRPr="001567C8" w:rsidRDefault="004418B3"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29</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1.150.557</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1.161.699</w:t>
            </w: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Ostale obveze</w:t>
            </w:r>
          </w:p>
        </w:tc>
        <w:tc>
          <w:tcPr>
            <w:tcW w:w="522" w:type="pct"/>
            <w:vAlign w:val="bottom"/>
          </w:tcPr>
          <w:p w:rsidR="00145EBE" w:rsidRPr="001567C8" w:rsidRDefault="004418B3" w:rsidP="00145EBE">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30</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687.275</w:t>
            </w:r>
          </w:p>
        </w:tc>
        <w:tc>
          <w:tcPr>
            <w:tcW w:w="784" w:type="pct"/>
            <w:tcBorders>
              <w:bottom w:val="single" w:sz="4" w:space="0" w:color="auto"/>
            </w:tcBorders>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592.651</w:t>
            </w:r>
          </w:p>
        </w:tc>
      </w:tr>
      <w:tr w:rsidR="00052742" w:rsidRPr="001567C8" w:rsidTr="003C6BA3">
        <w:trPr>
          <w:trHeight w:val="332"/>
        </w:trPr>
        <w:tc>
          <w:tcPr>
            <w:tcW w:w="2911" w:type="pct"/>
          </w:tcPr>
          <w:p w:rsidR="00052742" w:rsidRPr="001567C8" w:rsidRDefault="00052742" w:rsidP="00052742">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Ukupne obveze</w:t>
            </w:r>
          </w:p>
        </w:tc>
        <w:tc>
          <w:tcPr>
            <w:tcW w:w="522" w:type="pct"/>
            <w:vAlign w:val="bottom"/>
          </w:tcPr>
          <w:p w:rsidR="00052742" w:rsidRPr="001567C8" w:rsidRDefault="00052742" w:rsidP="00052742">
            <w:pPr>
              <w:pStyle w:val="Tot"/>
              <w:rPr>
                <w:rFonts w:asciiTheme="minorHAnsi" w:hAnsiTheme="minorHAnsi" w:cs="Arial"/>
                <w:b/>
                <w:bCs/>
                <w:sz w:val="22"/>
                <w:szCs w:val="22"/>
                <w:highlight w:val="yellow"/>
                <w:lang w:val="hr-HR"/>
              </w:rPr>
            </w:pPr>
          </w:p>
        </w:tc>
        <w:tc>
          <w:tcPr>
            <w:tcW w:w="783" w:type="pct"/>
            <w:tcBorders>
              <w:top w:val="single" w:sz="4" w:space="0" w:color="auto"/>
              <w:bottom w:val="single" w:sz="12" w:space="0" w:color="auto"/>
            </w:tcBorders>
            <w:vAlign w:val="bottom"/>
          </w:tcPr>
          <w:p w:rsidR="00052742" w:rsidRPr="001567C8" w:rsidRDefault="00145EBE" w:rsidP="00052742">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17.144.915</w:t>
            </w:r>
          </w:p>
        </w:tc>
        <w:tc>
          <w:tcPr>
            <w:tcW w:w="784" w:type="pct"/>
            <w:tcBorders>
              <w:top w:val="single" w:sz="4" w:space="0" w:color="auto"/>
              <w:bottom w:val="single" w:sz="12" w:space="0" w:color="auto"/>
            </w:tcBorders>
            <w:vAlign w:val="bottom"/>
          </w:tcPr>
          <w:p w:rsidR="00052742" w:rsidRPr="001567C8" w:rsidRDefault="00052742" w:rsidP="00052742">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17.786.972</w:t>
            </w:r>
          </w:p>
        </w:tc>
      </w:tr>
      <w:tr w:rsidR="00052742" w:rsidRPr="001567C8" w:rsidTr="003C6BA3">
        <w:trPr>
          <w:trHeight w:val="285"/>
        </w:trPr>
        <w:tc>
          <w:tcPr>
            <w:tcW w:w="2911" w:type="pct"/>
          </w:tcPr>
          <w:p w:rsidR="00052742" w:rsidRPr="001567C8" w:rsidRDefault="00052742" w:rsidP="00052742">
            <w:pPr>
              <w:pStyle w:val="TT"/>
              <w:rPr>
                <w:rFonts w:asciiTheme="minorHAnsi" w:hAnsiTheme="minorHAnsi" w:cs="Arial"/>
                <w:b/>
                <w:bCs/>
                <w:sz w:val="22"/>
                <w:szCs w:val="22"/>
                <w:lang w:val="hr-HR"/>
              </w:rPr>
            </w:pPr>
            <w:r w:rsidRPr="001567C8">
              <w:rPr>
                <w:rFonts w:asciiTheme="minorHAnsi" w:hAnsiTheme="minorHAnsi" w:cs="Arial"/>
                <w:b/>
                <w:bCs/>
                <w:sz w:val="22"/>
                <w:szCs w:val="22"/>
                <w:lang w:val="hr-HR"/>
              </w:rPr>
              <w:t>Kapital</w:t>
            </w:r>
            <w:r w:rsidR="00FB7A08" w:rsidRPr="001567C8">
              <w:rPr>
                <w:rFonts w:asciiTheme="minorHAnsi" w:hAnsiTheme="minorHAnsi" w:cs="Arial"/>
                <w:b/>
                <w:bCs/>
                <w:sz w:val="22"/>
                <w:szCs w:val="22"/>
                <w:lang w:val="hr-HR"/>
              </w:rPr>
              <w:t xml:space="preserve"> i rezerve</w:t>
            </w:r>
          </w:p>
        </w:tc>
        <w:tc>
          <w:tcPr>
            <w:tcW w:w="522" w:type="pct"/>
            <w:vAlign w:val="bottom"/>
          </w:tcPr>
          <w:p w:rsidR="00052742" w:rsidRPr="001567C8" w:rsidRDefault="00052742" w:rsidP="00052742">
            <w:pPr>
              <w:pStyle w:val="TT"/>
              <w:rPr>
                <w:rFonts w:asciiTheme="minorHAnsi" w:hAnsiTheme="minorHAnsi" w:cs="Arial"/>
                <w:b/>
                <w:bCs/>
                <w:sz w:val="22"/>
                <w:szCs w:val="22"/>
                <w:highlight w:val="yellow"/>
                <w:lang w:val="hr-HR"/>
              </w:rPr>
            </w:pPr>
          </w:p>
        </w:tc>
        <w:tc>
          <w:tcPr>
            <w:tcW w:w="783" w:type="pct"/>
            <w:tcBorders>
              <w:top w:val="single" w:sz="12" w:space="0" w:color="auto"/>
            </w:tcBorders>
            <w:vAlign w:val="bottom"/>
          </w:tcPr>
          <w:p w:rsidR="00052742" w:rsidRPr="001567C8" w:rsidRDefault="00052742" w:rsidP="00052742">
            <w:pPr>
              <w:pStyle w:val="TT"/>
              <w:jc w:val="right"/>
              <w:rPr>
                <w:rFonts w:asciiTheme="minorHAnsi" w:hAnsiTheme="minorHAnsi" w:cs="Arial"/>
                <w:b/>
                <w:bCs/>
                <w:sz w:val="22"/>
                <w:szCs w:val="22"/>
                <w:lang w:val="hr-HR"/>
              </w:rPr>
            </w:pPr>
          </w:p>
        </w:tc>
        <w:tc>
          <w:tcPr>
            <w:tcW w:w="784" w:type="pct"/>
            <w:tcBorders>
              <w:top w:val="single" w:sz="12" w:space="0" w:color="auto"/>
            </w:tcBorders>
            <w:vAlign w:val="bottom"/>
          </w:tcPr>
          <w:p w:rsidR="00052742" w:rsidRPr="001567C8" w:rsidRDefault="00052742" w:rsidP="00052742">
            <w:pPr>
              <w:pStyle w:val="TT"/>
              <w:jc w:val="right"/>
              <w:rPr>
                <w:rFonts w:asciiTheme="minorHAnsi" w:hAnsiTheme="minorHAnsi" w:cs="Arial"/>
                <w:b/>
                <w:bCs/>
                <w:sz w:val="22"/>
                <w:szCs w:val="22"/>
                <w:lang w:val="hr-HR"/>
              </w:rPr>
            </w:pP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Osnivački kapital</w:t>
            </w:r>
          </w:p>
        </w:tc>
        <w:tc>
          <w:tcPr>
            <w:tcW w:w="522" w:type="pct"/>
            <w:vAlign w:val="bottom"/>
          </w:tcPr>
          <w:p w:rsidR="00145EBE" w:rsidRPr="001567C8" w:rsidRDefault="004418B3" w:rsidP="00145EBE">
            <w:pPr>
              <w:pStyle w:val="TT"/>
              <w:jc w:val="center"/>
              <w:rPr>
                <w:rFonts w:asciiTheme="minorHAnsi" w:hAnsiTheme="minorHAnsi" w:cs="Arial"/>
                <w:sz w:val="22"/>
                <w:szCs w:val="22"/>
                <w:highlight w:val="yellow"/>
                <w:lang w:val="hr-HR"/>
              </w:rPr>
            </w:pPr>
            <w:r w:rsidRPr="001567C8">
              <w:rPr>
                <w:rFonts w:asciiTheme="minorHAnsi" w:hAnsiTheme="minorHAnsi" w:cs="Arial"/>
                <w:sz w:val="22"/>
                <w:szCs w:val="22"/>
                <w:lang w:val="hr-HR"/>
              </w:rPr>
              <w:t>31</w:t>
            </w: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7.059.632</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7.009.632</w:t>
            </w: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Zadržana dobit i rezerve</w:t>
            </w:r>
          </w:p>
        </w:tc>
        <w:tc>
          <w:tcPr>
            <w:tcW w:w="522" w:type="pct"/>
            <w:vAlign w:val="bottom"/>
          </w:tcPr>
          <w:p w:rsidR="00145EBE" w:rsidRPr="001567C8" w:rsidRDefault="00145EBE" w:rsidP="00145EBE">
            <w:pPr>
              <w:pStyle w:val="TT"/>
              <w:jc w:val="center"/>
              <w:rPr>
                <w:rFonts w:asciiTheme="minorHAnsi" w:hAnsiTheme="minorHAnsi" w:cs="Arial"/>
                <w:sz w:val="22"/>
                <w:szCs w:val="22"/>
                <w:lang w:val="hr-HR"/>
              </w:rPr>
            </w:pPr>
          </w:p>
        </w:tc>
        <w:tc>
          <w:tcPr>
            <w:tcW w:w="783" w:type="pct"/>
            <w:tcBorders>
              <w:top w:val="nil"/>
              <w:left w:val="nil"/>
              <w:bottom w:val="nil"/>
              <w:right w:val="nil"/>
            </w:tcBorders>
            <w:shd w:val="clear" w:color="auto" w:fill="auto"/>
            <w:vAlign w:val="center"/>
          </w:tcPr>
          <w:p w:rsidR="00145EBE" w:rsidRPr="001567C8" w:rsidRDefault="00145EBE" w:rsidP="00145EB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2.715.028</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2.995.656</w:t>
            </w: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Ostale rezerve</w:t>
            </w:r>
          </w:p>
        </w:tc>
        <w:tc>
          <w:tcPr>
            <w:tcW w:w="522" w:type="pct"/>
            <w:vAlign w:val="bottom"/>
          </w:tcPr>
          <w:p w:rsidR="00145EBE" w:rsidRPr="001567C8" w:rsidRDefault="00145EBE" w:rsidP="00145EBE">
            <w:pPr>
              <w:pStyle w:val="TT"/>
              <w:jc w:val="center"/>
              <w:rPr>
                <w:rFonts w:asciiTheme="minorHAnsi" w:hAnsiTheme="minorHAnsi" w:cs="Arial"/>
                <w:sz w:val="22"/>
                <w:szCs w:val="22"/>
                <w:lang w:val="hr-HR"/>
              </w:rPr>
            </w:pPr>
          </w:p>
        </w:tc>
        <w:tc>
          <w:tcPr>
            <w:tcW w:w="783" w:type="pct"/>
            <w:tcBorders>
              <w:top w:val="nil"/>
              <w:left w:val="nil"/>
              <w:right w:val="nil"/>
            </w:tcBorders>
            <w:shd w:val="clear" w:color="auto" w:fill="auto"/>
            <w:vAlign w:val="center"/>
          </w:tcPr>
          <w:p w:rsidR="00145EBE" w:rsidRPr="001567C8" w:rsidRDefault="00145EBE" w:rsidP="00145EB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62.878</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90.457</w:t>
            </w:r>
          </w:p>
        </w:tc>
      </w:tr>
      <w:tr w:rsidR="00145EBE" w:rsidRPr="001567C8" w:rsidTr="003C6BA3">
        <w:trPr>
          <w:trHeight w:val="285"/>
        </w:trPr>
        <w:tc>
          <w:tcPr>
            <w:tcW w:w="2911" w:type="pct"/>
          </w:tcPr>
          <w:p w:rsidR="00145EBE" w:rsidRPr="001567C8" w:rsidRDefault="00145EBE" w:rsidP="00145EBE">
            <w:pPr>
              <w:pStyle w:val="TT"/>
              <w:rPr>
                <w:rFonts w:asciiTheme="minorHAnsi" w:hAnsiTheme="minorHAnsi" w:cs="Arial"/>
                <w:sz w:val="22"/>
                <w:szCs w:val="22"/>
                <w:lang w:val="hr-HR"/>
              </w:rPr>
            </w:pPr>
            <w:r w:rsidRPr="001567C8">
              <w:rPr>
                <w:rFonts w:asciiTheme="minorHAnsi" w:hAnsiTheme="minorHAnsi" w:cs="Arial"/>
                <w:sz w:val="22"/>
                <w:szCs w:val="22"/>
                <w:lang w:val="hr-HR"/>
              </w:rPr>
              <w:t>Dobit tekuće godine</w:t>
            </w:r>
          </w:p>
        </w:tc>
        <w:tc>
          <w:tcPr>
            <w:tcW w:w="522" w:type="pct"/>
            <w:vAlign w:val="bottom"/>
          </w:tcPr>
          <w:p w:rsidR="00145EBE" w:rsidRPr="001567C8" w:rsidRDefault="00145EBE" w:rsidP="00145EBE">
            <w:pPr>
              <w:pStyle w:val="TT"/>
              <w:jc w:val="center"/>
              <w:rPr>
                <w:rFonts w:asciiTheme="minorHAnsi" w:hAnsiTheme="minorHAnsi" w:cs="Arial"/>
                <w:sz w:val="22"/>
                <w:szCs w:val="22"/>
                <w:lang w:val="hr-HR"/>
              </w:rPr>
            </w:pPr>
          </w:p>
        </w:tc>
        <w:tc>
          <w:tcPr>
            <w:tcW w:w="783" w:type="pct"/>
            <w:tcBorders>
              <w:top w:val="nil"/>
              <w:left w:val="nil"/>
              <w:right w:val="nil"/>
            </w:tcBorders>
            <w:shd w:val="clear" w:color="auto" w:fill="auto"/>
            <w:vAlign w:val="center"/>
          </w:tcPr>
          <w:p w:rsidR="00145EBE" w:rsidRPr="001567C8" w:rsidRDefault="00145EBE" w:rsidP="00145EB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204.328</w:t>
            </w:r>
          </w:p>
        </w:tc>
        <w:tc>
          <w:tcPr>
            <w:tcW w:w="784" w:type="pct"/>
            <w:vAlign w:val="center"/>
          </w:tcPr>
          <w:p w:rsidR="00145EBE" w:rsidRPr="00CD3A2D" w:rsidRDefault="00145EBE" w:rsidP="00145EBE">
            <w:pPr>
              <w:pStyle w:val="TT"/>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160.783</w:t>
            </w:r>
          </w:p>
        </w:tc>
      </w:tr>
      <w:tr w:rsidR="00EB1B0D" w:rsidRPr="001567C8" w:rsidTr="003C6BA3">
        <w:trPr>
          <w:trHeight w:val="285"/>
        </w:trPr>
        <w:tc>
          <w:tcPr>
            <w:tcW w:w="2911" w:type="pct"/>
          </w:tcPr>
          <w:p w:rsidR="00EB1B0D" w:rsidRPr="001567C8" w:rsidRDefault="00EB1B0D" w:rsidP="00EB1B0D">
            <w:pPr>
              <w:pStyle w:val="TT"/>
              <w:rPr>
                <w:rFonts w:asciiTheme="minorHAnsi" w:hAnsiTheme="minorHAnsi" w:cs="Arial"/>
                <w:sz w:val="22"/>
                <w:szCs w:val="22"/>
                <w:lang w:val="hr-HR"/>
              </w:rPr>
            </w:pPr>
            <w:r w:rsidRPr="001567C8">
              <w:rPr>
                <w:rFonts w:asciiTheme="minorHAnsi" w:hAnsiTheme="minorHAnsi" w:cs="Arial"/>
                <w:sz w:val="22"/>
                <w:szCs w:val="22"/>
                <w:lang w:val="hr-HR"/>
              </w:rPr>
              <w:t>Garantni fond</w:t>
            </w:r>
          </w:p>
        </w:tc>
        <w:tc>
          <w:tcPr>
            <w:tcW w:w="522" w:type="pct"/>
            <w:vAlign w:val="bottom"/>
          </w:tcPr>
          <w:p w:rsidR="00EB1B0D" w:rsidRPr="001567C8" w:rsidRDefault="00EB0B68" w:rsidP="00EB1B0D">
            <w:pPr>
              <w:pStyle w:val="TT"/>
              <w:jc w:val="center"/>
              <w:rPr>
                <w:rFonts w:asciiTheme="minorHAnsi" w:hAnsiTheme="minorHAnsi" w:cs="Arial"/>
                <w:sz w:val="22"/>
                <w:szCs w:val="22"/>
                <w:lang w:val="hr-HR"/>
              </w:rPr>
            </w:pPr>
            <w:r w:rsidRPr="001567C8">
              <w:rPr>
                <w:rFonts w:asciiTheme="minorHAnsi" w:hAnsiTheme="minorHAnsi" w:cs="Arial"/>
                <w:sz w:val="22"/>
                <w:szCs w:val="22"/>
                <w:lang w:val="hr-HR"/>
              </w:rPr>
              <w:t>32</w:t>
            </w:r>
          </w:p>
        </w:tc>
        <w:tc>
          <w:tcPr>
            <w:tcW w:w="783" w:type="pct"/>
            <w:tcBorders>
              <w:top w:val="nil"/>
              <w:left w:val="nil"/>
              <w:right w:val="nil"/>
            </w:tcBorders>
            <w:shd w:val="clear" w:color="auto" w:fill="auto"/>
            <w:vAlign w:val="bottom"/>
          </w:tcPr>
          <w:p w:rsidR="00EB1B0D" w:rsidRPr="00CD3A2D" w:rsidRDefault="00EB1B0D" w:rsidP="00EB1B0D">
            <w:pPr>
              <w:pStyle w:val="TT"/>
              <w:jc w:val="right"/>
              <w:rPr>
                <w:rFonts w:ascii="Calibri" w:hAnsi="Calibri" w:cs="Calibri"/>
                <w:color w:val="000000"/>
                <w:sz w:val="22"/>
                <w:szCs w:val="22"/>
                <w:lang w:val="hr-HR"/>
              </w:rPr>
            </w:pPr>
            <w:r w:rsidRPr="001567C8">
              <w:rPr>
                <w:rFonts w:asciiTheme="minorHAnsi" w:hAnsiTheme="minorHAnsi" w:cs="Arial"/>
                <w:sz w:val="22"/>
                <w:szCs w:val="22"/>
                <w:lang w:val="hr-HR"/>
              </w:rPr>
              <w:t>12.146</w:t>
            </w:r>
          </w:p>
        </w:tc>
        <w:tc>
          <w:tcPr>
            <w:tcW w:w="784" w:type="pct"/>
            <w:vAlign w:val="bottom"/>
          </w:tcPr>
          <w:p w:rsidR="00EB1B0D" w:rsidRPr="00CD3A2D" w:rsidRDefault="00EB1B0D" w:rsidP="00EB1B0D">
            <w:pPr>
              <w:pStyle w:val="TT"/>
              <w:jc w:val="right"/>
              <w:rPr>
                <w:rFonts w:ascii="Calibri" w:hAnsi="Calibri" w:cs="Calibri"/>
                <w:color w:val="000000"/>
                <w:sz w:val="22"/>
                <w:szCs w:val="22"/>
                <w:lang w:val="hr-HR"/>
              </w:rPr>
            </w:pPr>
            <w:r w:rsidRPr="001567C8">
              <w:rPr>
                <w:rFonts w:asciiTheme="minorHAnsi" w:hAnsiTheme="minorHAnsi" w:cs="Arial"/>
                <w:sz w:val="22"/>
                <w:szCs w:val="22"/>
                <w:lang w:val="hr-HR"/>
              </w:rPr>
              <w:t>12.303</w:t>
            </w:r>
          </w:p>
        </w:tc>
      </w:tr>
      <w:tr w:rsidR="00EB0B68" w:rsidRPr="001567C8" w:rsidTr="003C6BA3">
        <w:trPr>
          <w:trHeight w:val="285"/>
        </w:trPr>
        <w:tc>
          <w:tcPr>
            <w:tcW w:w="2911" w:type="pct"/>
          </w:tcPr>
          <w:p w:rsidR="00EB0B68" w:rsidRPr="001567C8" w:rsidRDefault="00EB0B68" w:rsidP="00EB0B68">
            <w:pPr>
              <w:pStyle w:val="TT"/>
              <w:rPr>
                <w:rFonts w:asciiTheme="minorHAnsi" w:hAnsiTheme="minorHAnsi" w:cs="Arial"/>
                <w:sz w:val="22"/>
                <w:szCs w:val="22"/>
                <w:lang w:val="hr-HR"/>
              </w:rPr>
            </w:pPr>
            <w:r w:rsidRPr="001567C8">
              <w:rPr>
                <w:rFonts w:asciiTheme="minorHAnsi" w:hAnsiTheme="minorHAnsi" w:cs="Arial"/>
                <w:b/>
                <w:bCs/>
                <w:sz w:val="22"/>
                <w:szCs w:val="22"/>
                <w:lang w:val="hr-HR"/>
              </w:rPr>
              <w:t>Ukupni kapital i rezerve</w:t>
            </w:r>
          </w:p>
        </w:tc>
        <w:tc>
          <w:tcPr>
            <w:tcW w:w="522" w:type="pct"/>
            <w:vAlign w:val="bottom"/>
          </w:tcPr>
          <w:p w:rsidR="00EB0B68" w:rsidRPr="001567C8" w:rsidRDefault="00EB0B68" w:rsidP="00EB0B68">
            <w:pPr>
              <w:pStyle w:val="TT"/>
              <w:jc w:val="center"/>
              <w:rPr>
                <w:rFonts w:asciiTheme="minorHAnsi" w:hAnsiTheme="minorHAnsi" w:cs="Arial"/>
                <w:sz w:val="22"/>
                <w:szCs w:val="22"/>
                <w:lang w:val="hr-HR"/>
              </w:rPr>
            </w:pPr>
          </w:p>
        </w:tc>
        <w:tc>
          <w:tcPr>
            <w:tcW w:w="783" w:type="pct"/>
            <w:tcBorders>
              <w:top w:val="single" w:sz="4" w:space="0" w:color="auto"/>
              <w:left w:val="nil"/>
              <w:bottom w:val="single" w:sz="8" w:space="0" w:color="auto"/>
              <w:right w:val="nil"/>
            </w:tcBorders>
            <w:shd w:val="clear" w:color="auto" w:fill="auto"/>
            <w:vAlign w:val="center"/>
          </w:tcPr>
          <w:p w:rsidR="00EB0B68" w:rsidRPr="00CD3A2D" w:rsidRDefault="00EB0B68" w:rsidP="00EB0B68">
            <w:pPr>
              <w:pStyle w:val="TT"/>
              <w:jc w:val="right"/>
              <w:rPr>
                <w:rFonts w:ascii="Calibri" w:hAnsi="Calibri" w:cs="Calibri"/>
                <w:color w:val="000000"/>
                <w:sz w:val="22"/>
                <w:szCs w:val="22"/>
                <w:lang w:val="hr-HR"/>
              </w:rPr>
            </w:pPr>
            <w:r w:rsidRPr="00CD3A2D">
              <w:rPr>
                <w:rFonts w:ascii="Calibri" w:hAnsi="Calibri" w:cs="Calibri"/>
                <w:b/>
                <w:bCs/>
                <w:color w:val="000000"/>
                <w:sz w:val="22"/>
                <w:szCs w:val="22"/>
                <w:lang w:val="hr-HR"/>
              </w:rPr>
              <w:t>10.054.012</w:t>
            </w:r>
          </w:p>
        </w:tc>
        <w:tc>
          <w:tcPr>
            <w:tcW w:w="784" w:type="pct"/>
            <w:tcBorders>
              <w:top w:val="single" w:sz="4" w:space="0" w:color="auto"/>
              <w:left w:val="nil"/>
              <w:bottom w:val="single" w:sz="8" w:space="0" w:color="auto"/>
              <w:right w:val="nil"/>
            </w:tcBorders>
            <w:shd w:val="clear" w:color="auto" w:fill="auto"/>
            <w:vAlign w:val="center"/>
          </w:tcPr>
          <w:p w:rsidR="00EB0B68" w:rsidRPr="00CD3A2D" w:rsidRDefault="00EB0B68" w:rsidP="00EB0B68">
            <w:pPr>
              <w:pStyle w:val="TT"/>
              <w:jc w:val="right"/>
              <w:rPr>
                <w:rFonts w:ascii="Calibri" w:hAnsi="Calibri" w:cs="Calibri"/>
                <w:color w:val="000000"/>
                <w:sz w:val="22"/>
                <w:szCs w:val="22"/>
                <w:lang w:val="hr-HR"/>
              </w:rPr>
            </w:pPr>
            <w:r w:rsidRPr="00CD3A2D">
              <w:rPr>
                <w:rFonts w:ascii="Calibri" w:hAnsi="Calibri" w:cs="Calibri"/>
                <w:b/>
                <w:bCs/>
                <w:color w:val="000000"/>
                <w:sz w:val="22"/>
                <w:szCs w:val="22"/>
                <w:lang w:val="hr-HR"/>
              </w:rPr>
              <w:t>10.268.831</w:t>
            </w:r>
          </w:p>
        </w:tc>
      </w:tr>
      <w:tr w:rsidR="00EB0B68" w:rsidRPr="001567C8" w:rsidTr="003C6BA3">
        <w:trPr>
          <w:trHeight w:val="386"/>
        </w:trPr>
        <w:tc>
          <w:tcPr>
            <w:tcW w:w="2911" w:type="pct"/>
            <w:vAlign w:val="bottom"/>
          </w:tcPr>
          <w:p w:rsidR="00EB0B68" w:rsidRPr="001567C8" w:rsidRDefault="00EB0B68" w:rsidP="00EB0B68">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Ukupne obveze i kapital i rezerve</w:t>
            </w:r>
          </w:p>
        </w:tc>
        <w:tc>
          <w:tcPr>
            <w:tcW w:w="522" w:type="pct"/>
            <w:vAlign w:val="bottom"/>
          </w:tcPr>
          <w:p w:rsidR="00EB0B68" w:rsidRPr="001567C8" w:rsidRDefault="00EB0B68" w:rsidP="00EB0B68">
            <w:pPr>
              <w:pStyle w:val="Tot"/>
              <w:jc w:val="right"/>
              <w:rPr>
                <w:rFonts w:asciiTheme="minorHAnsi" w:hAnsiTheme="minorHAnsi" w:cs="Arial"/>
                <w:b/>
                <w:bCs/>
                <w:sz w:val="22"/>
                <w:szCs w:val="22"/>
                <w:lang w:val="hr-HR"/>
              </w:rPr>
            </w:pPr>
          </w:p>
        </w:tc>
        <w:tc>
          <w:tcPr>
            <w:tcW w:w="783" w:type="pct"/>
            <w:tcBorders>
              <w:top w:val="single" w:sz="12" w:space="0" w:color="auto"/>
              <w:bottom w:val="single" w:sz="12" w:space="0" w:color="auto"/>
            </w:tcBorders>
            <w:vAlign w:val="bottom"/>
          </w:tcPr>
          <w:p w:rsidR="00EB0B68" w:rsidRPr="001567C8" w:rsidRDefault="00EB0B68" w:rsidP="00EB0B68">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27.198.927</w:t>
            </w:r>
          </w:p>
        </w:tc>
        <w:tc>
          <w:tcPr>
            <w:tcW w:w="784" w:type="pct"/>
            <w:tcBorders>
              <w:top w:val="single" w:sz="12" w:space="0" w:color="auto"/>
              <w:bottom w:val="single" w:sz="12" w:space="0" w:color="auto"/>
            </w:tcBorders>
            <w:vAlign w:val="bottom"/>
          </w:tcPr>
          <w:p w:rsidR="00EB0B68" w:rsidRPr="001567C8" w:rsidRDefault="00EB0B68" w:rsidP="00EB0B68">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28.055.803</w:t>
            </w:r>
          </w:p>
        </w:tc>
      </w:tr>
    </w:tbl>
    <w:p w:rsidR="00AA2521" w:rsidRPr="001567C8" w:rsidRDefault="00FB7A08" w:rsidP="00B15083">
      <w:pPr>
        <w:pStyle w:val="T1"/>
        <w:spacing w:before="0" w:after="0" w:line="240" w:lineRule="auto"/>
        <w:rPr>
          <w:rFonts w:asciiTheme="minorHAnsi" w:hAnsiTheme="minorHAnsi"/>
          <w:b w:val="0"/>
          <w:bCs w:val="0"/>
          <w:i/>
          <w:sz w:val="20"/>
          <w:lang w:val="hr-HR"/>
        </w:rPr>
      </w:pPr>
      <w:r w:rsidRPr="001567C8">
        <w:rPr>
          <w:rFonts w:asciiTheme="minorHAnsi" w:hAnsiTheme="minorHAnsi"/>
          <w:b w:val="0"/>
          <w:bCs w:val="0"/>
          <w:i/>
          <w:sz w:val="20"/>
          <w:lang w:val="hr-HR"/>
        </w:rPr>
        <w:t>*n/p = nije primjenjivo uslijed primjene MSFI-ja 9</w:t>
      </w:r>
    </w:p>
    <w:p w:rsidR="00AA2521" w:rsidRPr="001567C8" w:rsidRDefault="00AA2521" w:rsidP="00B15083">
      <w:pPr>
        <w:pStyle w:val="T1"/>
        <w:spacing w:before="0" w:after="0" w:line="240" w:lineRule="auto"/>
        <w:rPr>
          <w:rFonts w:asciiTheme="minorHAnsi" w:hAnsiTheme="minorHAnsi"/>
          <w:b w:val="0"/>
          <w:bCs w:val="0"/>
          <w:sz w:val="22"/>
          <w:szCs w:val="22"/>
          <w:lang w:val="hr-HR"/>
        </w:rPr>
      </w:pPr>
    </w:p>
    <w:p w:rsidR="00CA0A58" w:rsidRPr="001567C8" w:rsidRDefault="00CA0A58" w:rsidP="004A2B81">
      <w:pPr>
        <w:pStyle w:val="T1"/>
        <w:rPr>
          <w:rFonts w:asciiTheme="minorHAnsi" w:hAnsiTheme="minorHAnsi" w:cs="Arial"/>
          <w:b w:val="0"/>
          <w:bCs w:val="0"/>
          <w:sz w:val="22"/>
          <w:szCs w:val="22"/>
          <w:lang w:val="hr-HR"/>
        </w:rPr>
      </w:pPr>
    </w:p>
    <w:p w:rsidR="004A2B81" w:rsidRPr="001567C8" w:rsidRDefault="004A2B81" w:rsidP="004A2B81">
      <w:pPr>
        <w:pStyle w:val="T1"/>
        <w:rPr>
          <w:rFonts w:asciiTheme="minorHAnsi" w:hAnsiTheme="minorHAnsi" w:cs="Arial"/>
          <w:sz w:val="22"/>
          <w:szCs w:val="22"/>
          <w:lang w:val="hr-HR"/>
        </w:rPr>
      </w:pPr>
      <w:r w:rsidRPr="001567C8">
        <w:rPr>
          <w:rFonts w:asciiTheme="minorHAnsi" w:hAnsiTheme="minorHAnsi" w:cs="Arial"/>
          <w:b w:val="0"/>
          <w:bCs w:val="0"/>
          <w:sz w:val="22"/>
          <w:szCs w:val="22"/>
          <w:lang w:val="hr-HR"/>
        </w:rPr>
        <w:t>Priložene računovodstvene politike i bilješke sastavni su dio ovih financijskih izvještaja.</w:t>
      </w:r>
    </w:p>
    <w:p w:rsidR="00FD3419" w:rsidRPr="001567C8" w:rsidRDefault="00FD3419" w:rsidP="00F062BF">
      <w:pPr>
        <w:pStyle w:val="T1"/>
        <w:spacing w:before="0" w:after="0" w:line="240" w:lineRule="auto"/>
        <w:rPr>
          <w:rFonts w:asciiTheme="minorHAnsi" w:hAnsiTheme="minorHAnsi" w:cs="Arial"/>
          <w:sz w:val="22"/>
          <w:szCs w:val="22"/>
          <w:lang w:val="hr-HR"/>
          <w14:shadow w14:blurRad="50800" w14:dist="38100" w14:dir="2700000" w14:sx="100000" w14:sy="100000" w14:kx="0" w14:ky="0" w14:algn="tl">
            <w14:srgbClr w14:val="000000">
              <w14:alpha w14:val="60000"/>
            </w14:srgbClr>
          </w14:shadow>
        </w:rPr>
      </w:pPr>
    </w:p>
    <w:p w:rsidR="00A84C81" w:rsidRPr="001567C8" w:rsidRDefault="00A84C81" w:rsidP="008419BF">
      <w:pPr>
        <w:pStyle w:val="T1"/>
        <w:keepNext w:val="0"/>
        <w:spacing w:before="0" w:after="0" w:line="240" w:lineRule="auto"/>
        <w:rPr>
          <w:rFonts w:asciiTheme="minorHAnsi" w:hAnsiTheme="minorHAnsi"/>
          <w:b w:val="0"/>
          <w:bCs w:val="0"/>
          <w:sz w:val="22"/>
          <w:szCs w:val="22"/>
          <w:lang w:val="hr-HR"/>
        </w:rPr>
        <w:sectPr w:rsidR="00A84C81" w:rsidRPr="001567C8" w:rsidSect="000D6913">
          <w:headerReference w:type="even" r:id="rId67"/>
          <w:headerReference w:type="default" r:id="rId68"/>
          <w:pgSz w:w="11907" w:h="16840" w:code="9"/>
          <w:pgMar w:top="1418" w:right="992" w:bottom="1134" w:left="1418" w:header="851" w:footer="851" w:gutter="0"/>
          <w:cols w:space="720"/>
          <w:noEndnote/>
        </w:sectPr>
      </w:pPr>
    </w:p>
    <w:p w:rsidR="00752CD8" w:rsidRPr="001567C8" w:rsidRDefault="00752CD8" w:rsidP="008419BF">
      <w:pPr>
        <w:pStyle w:val="T1"/>
        <w:keepNext w:val="0"/>
        <w:spacing w:before="0" w:after="0" w:line="240" w:lineRule="auto"/>
        <w:rPr>
          <w:rFonts w:asciiTheme="minorHAnsi" w:hAnsiTheme="minorHAnsi"/>
          <w:b w:val="0"/>
          <w:bCs w:val="0"/>
          <w:sz w:val="22"/>
          <w:szCs w:val="22"/>
          <w:lang w:val="hr-HR"/>
        </w:rPr>
      </w:pPr>
    </w:p>
    <w:tbl>
      <w:tblPr>
        <w:tblW w:w="5076" w:type="pct"/>
        <w:tblInd w:w="-142" w:type="dxa"/>
        <w:tblLayout w:type="fixed"/>
        <w:tblCellMar>
          <w:left w:w="119" w:type="dxa"/>
          <w:right w:w="119" w:type="dxa"/>
        </w:tblCellMar>
        <w:tblLook w:val="0000" w:firstRow="0" w:lastRow="0" w:firstColumn="0" w:lastColumn="0" w:noHBand="0" w:noVBand="0"/>
      </w:tblPr>
      <w:tblGrid>
        <w:gridCol w:w="7041"/>
        <w:gridCol w:w="1327"/>
        <w:gridCol w:w="1273"/>
      </w:tblGrid>
      <w:tr w:rsidR="00145EBE" w:rsidRPr="001567C8" w:rsidTr="00145EBE">
        <w:trPr>
          <w:trHeight w:val="173"/>
        </w:trPr>
        <w:tc>
          <w:tcPr>
            <w:tcW w:w="3652" w:type="pct"/>
          </w:tcPr>
          <w:p w:rsidR="00145EBE" w:rsidRPr="001567C8" w:rsidRDefault="00143164" w:rsidP="003C6BA3">
            <w:pPr>
              <w:pStyle w:val="TH"/>
              <w:keepLines/>
              <w:spacing w:line="220" w:lineRule="exact"/>
              <w:jc w:val="center"/>
              <w:rPr>
                <w:rFonts w:asciiTheme="minorHAnsi" w:hAnsiTheme="minorHAnsi" w:cstheme="minorHAnsi"/>
                <w:szCs w:val="19"/>
                <w:lang w:val="hr-HR"/>
              </w:rPr>
            </w:pPr>
            <w:r w:rsidRPr="001567C8">
              <w:rPr>
                <w:rFonts w:asciiTheme="minorHAnsi" w:hAnsiTheme="minorHAnsi" w:cstheme="minorHAnsi"/>
                <w:szCs w:val="19"/>
                <w:lang w:val="hr-HR"/>
              </w:rPr>
              <w:t xml:space="preserve">                                                                                                                               </w:t>
            </w:r>
            <w:r w:rsidR="00145EBE" w:rsidRPr="001567C8">
              <w:rPr>
                <w:rFonts w:asciiTheme="minorHAnsi" w:hAnsiTheme="minorHAnsi" w:cstheme="minorHAnsi"/>
                <w:szCs w:val="19"/>
                <w:lang w:val="hr-HR"/>
              </w:rPr>
              <w:t>Bilješka</w:t>
            </w:r>
          </w:p>
        </w:tc>
        <w:tc>
          <w:tcPr>
            <w:tcW w:w="688" w:type="pct"/>
            <w:vAlign w:val="bottom"/>
          </w:tcPr>
          <w:p w:rsidR="00145EBE" w:rsidRPr="001567C8" w:rsidRDefault="00145EBE" w:rsidP="00145EBE">
            <w:pPr>
              <w:pStyle w:val="TH"/>
              <w:keepLines/>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2018.</w:t>
            </w:r>
          </w:p>
        </w:tc>
        <w:tc>
          <w:tcPr>
            <w:tcW w:w="660" w:type="pct"/>
            <w:vAlign w:val="bottom"/>
          </w:tcPr>
          <w:p w:rsidR="00145EBE" w:rsidRPr="001567C8" w:rsidRDefault="00145EBE" w:rsidP="00145EBE">
            <w:pPr>
              <w:pStyle w:val="TH"/>
              <w:keepLines/>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2017.</w:t>
            </w:r>
          </w:p>
        </w:tc>
      </w:tr>
      <w:tr w:rsidR="00145EBE" w:rsidRPr="001567C8" w:rsidTr="00145EBE">
        <w:trPr>
          <w:trHeight w:val="176"/>
        </w:trPr>
        <w:tc>
          <w:tcPr>
            <w:tcW w:w="3652" w:type="pct"/>
          </w:tcPr>
          <w:p w:rsidR="00145EBE" w:rsidRPr="001567C8" w:rsidRDefault="00145EBE" w:rsidP="00145EBE">
            <w:pPr>
              <w:pStyle w:val="TH"/>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                                                                                                                          </w:t>
            </w:r>
          </w:p>
        </w:tc>
        <w:tc>
          <w:tcPr>
            <w:tcW w:w="688" w:type="pct"/>
            <w:vAlign w:val="bottom"/>
          </w:tcPr>
          <w:p w:rsidR="00145EBE" w:rsidRPr="001567C8" w:rsidRDefault="00145EBE" w:rsidP="00145EBE">
            <w:pPr>
              <w:pStyle w:val="TH"/>
              <w:keepLines/>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000 kuna</w:t>
            </w:r>
          </w:p>
        </w:tc>
        <w:tc>
          <w:tcPr>
            <w:tcW w:w="660" w:type="pct"/>
            <w:vAlign w:val="bottom"/>
          </w:tcPr>
          <w:p w:rsidR="00145EBE" w:rsidRPr="001567C8" w:rsidRDefault="00145EBE" w:rsidP="00145EBE">
            <w:pPr>
              <w:pStyle w:val="TH"/>
              <w:keepLines/>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000 kuna</w:t>
            </w:r>
          </w:p>
        </w:tc>
      </w:tr>
      <w:tr w:rsidR="00145EBE" w:rsidRPr="001567C8" w:rsidTr="00145EBE">
        <w:tc>
          <w:tcPr>
            <w:tcW w:w="3652" w:type="pct"/>
          </w:tcPr>
          <w:p w:rsidR="00145EBE" w:rsidRPr="001567C8" w:rsidRDefault="00145EBE" w:rsidP="00145EBE">
            <w:pPr>
              <w:pStyle w:val="TT"/>
              <w:keepLines/>
              <w:spacing w:line="220" w:lineRule="exact"/>
              <w:rPr>
                <w:rFonts w:asciiTheme="minorHAnsi" w:hAnsiTheme="minorHAnsi" w:cstheme="minorHAnsi"/>
                <w:b/>
                <w:bCs/>
                <w:spacing w:val="-3"/>
                <w:szCs w:val="19"/>
                <w:lang w:val="hr-HR"/>
              </w:rPr>
            </w:pPr>
            <w:r w:rsidRPr="001567C8">
              <w:rPr>
                <w:rFonts w:asciiTheme="minorHAnsi" w:hAnsiTheme="minorHAnsi" w:cstheme="minorHAnsi"/>
                <w:b/>
                <w:bCs/>
                <w:szCs w:val="19"/>
                <w:lang w:val="hr-HR"/>
              </w:rPr>
              <w:t>Poslovne aktivnosti</w:t>
            </w:r>
          </w:p>
        </w:tc>
        <w:tc>
          <w:tcPr>
            <w:tcW w:w="688" w:type="pct"/>
          </w:tcPr>
          <w:p w:rsidR="00145EBE" w:rsidRPr="001567C8" w:rsidRDefault="00145EBE" w:rsidP="00145EBE">
            <w:pPr>
              <w:pStyle w:val="TT"/>
              <w:keepLines/>
              <w:spacing w:line="220" w:lineRule="exact"/>
              <w:jc w:val="right"/>
              <w:rPr>
                <w:rFonts w:asciiTheme="minorHAnsi" w:hAnsiTheme="minorHAnsi" w:cstheme="minorHAnsi"/>
                <w:szCs w:val="19"/>
                <w:lang w:val="hr-HR"/>
              </w:rPr>
            </w:pPr>
          </w:p>
        </w:tc>
        <w:tc>
          <w:tcPr>
            <w:tcW w:w="660" w:type="pct"/>
          </w:tcPr>
          <w:p w:rsidR="00145EBE" w:rsidRPr="001567C8" w:rsidRDefault="00145EBE" w:rsidP="00145EBE">
            <w:pPr>
              <w:pStyle w:val="TT"/>
              <w:keepLines/>
              <w:spacing w:line="220" w:lineRule="exact"/>
              <w:jc w:val="right"/>
              <w:rPr>
                <w:rFonts w:asciiTheme="minorHAnsi" w:hAnsiTheme="minorHAnsi" w:cstheme="minorHAnsi"/>
                <w:szCs w:val="19"/>
                <w:lang w:val="hr-HR"/>
              </w:rPr>
            </w:pPr>
          </w:p>
        </w:tc>
      </w:tr>
      <w:tr w:rsidR="00145EBE" w:rsidRPr="001567C8" w:rsidTr="00145EBE">
        <w:tc>
          <w:tcPr>
            <w:tcW w:w="3652" w:type="pct"/>
          </w:tcPr>
          <w:p w:rsidR="00145EBE" w:rsidRPr="001567C8" w:rsidRDefault="00145EBE" w:rsidP="00145EBE">
            <w:pPr>
              <w:pStyle w:val="TT"/>
              <w:keepLines/>
              <w:spacing w:line="220" w:lineRule="exact"/>
              <w:rPr>
                <w:rFonts w:asciiTheme="minorHAnsi" w:hAnsiTheme="minorHAnsi" w:cstheme="minorHAnsi"/>
                <w:spacing w:val="-3"/>
                <w:szCs w:val="19"/>
                <w:lang w:val="hr-HR"/>
              </w:rPr>
            </w:pPr>
            <w:r w:rsidRPr="001567C8">
              <w:rPr>
                <w:rFonts w:asciiTheme="minorHAnsi" w:hAnsiTheme="minorHAnsi" w:cstheme="minorHAnsi"/>
                <w:szCs w:val="19"/>
                <w:lang w:val="hr-HR"/>
              </w:rPr>
              <w:t>Dobit prije oporezivanja</w:t>
            </w:r>
          </w:p>
        </w:tc>
        <w:tc>
          <w:tcPr>
            <w:tcW w:w="688" w:type="pct"/>
          </w:tcPr>
          <w:p w:rsidR="00145EBE" w:rsidRPr="001567C8" w:rsidRDefault="00D400FE" w:rsidP="00145EBE">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zCs w:val="19"/>
                <w:lang w:val="hr-HR"/>
              </w:rPr>
              <w:t>204.328</w:t>
            </w:r>
          </w:p>
        </w:tc>
        <w:tc>
          <w:tcPr>
            <w:tcW w:w="660" w:type="pct"/>
          </w:tcPr>
          <w:p w:rsidR="00145EBE" w:rsidRPr="001567C8" w:rsidRDefault="00145EBE" w:rsidP="00145EBE">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zCs w:val="19"/>
                <w:lang w:val="hr-HR"/>
              </w:rPr>
              <w:t>160.783</w:t>
            </w:r>
          </w:p>
        </w:tc>
      </w:tr>
      <w:tr w:rsidR="00145EBE" w:rsidRPr="001567C8" w:rsidTr="00145EBE">
        <w:tc>
          <w:tcPr>
            <w:tcW w:w="3652" w:type="pct"/>
          </w:tcPr>
          <w:p w:rsidR="00145EBE" w:rsidRPr="001567C8" w:rsidRDefault="00145EBE" w:rsidP="00145EBE">
            <w:pPr>
              <w:pStyle w:val="TT"/>
              <w:keepLines/>
              <w:spacing w:line="220" w:lineRule="exact"/>
              <w:rPr>
                <w:rFonts w:asciiTheme="minorHAnsi" w:hAnsiTheme="minorHAnsi" w:cstheme="minorHAnsi"/>
                <w:i/>
                <w:szCs w:val="19"/>
                <w:lang w:val="hr-HR"/>
              </w:rPr>
            </w:pPr>
            <w:r w:rsidRPr="001567C8">
              <w:rPr>
                <w:rFonts w:asciiTheme="minorHAnsi" w:hAnsiTheme="minorHAnsi" w:cstheme="minorHAnsi"/>
                <w:i/>
                <w:szCs w:val="19"/>
                <w:lang w:val="hr-HR"/>
              </w:rPr>
              <w:t>Usklađenje na neto novčana sredstva ostvarena i uporabljena za poslovne aktivnosti:</w:t>
            </w:r>
          </w:p>
        </w:tc>
        <w:tc>
          <w:tcPr>
            <w:tcW w:w="688" w:type="pct"/>
          </w:tcPr>
          <w:p w:rsidR="00145EBE" w:rsidRPr="001567C8" w:rsidRDefault="00145EBE" w:rsidP="00145EBE">
            <w:pPr>
              <w:pStyle w:val="TT"/>
              <w:keepLines/>
              <w:spacing w:line="220" w:lineRule="exact"/>
              <w:jc w:val="right"/>
              <w:rPr>
                <w:rFonts w:asciiTheme="minorHAnsi" w:hAnsiTheme="minorHAnsi" w:cstheme="minorHAnsi"/>
                <w:i/>
                <w:szCs w:val="19"/>
                <w:lang w:val="hr-HR"/>
              </w:rPr>
            </w:pPr>
          </w:p>
        </w:tc>
        <w:tc>
          <w:tcPr>
            <w:tcW w:w="660" w:type="pct"/>
          </w:tcPr>
          <w:p w:rsidR="00145EBE" w:rsidRPr="001567C8" w:rsidRDefault="00145EBE" w:rsidP="00145EBE">
            <w:pPr>
              <w:pStyle w:val="TT"/>
              <w:keepLines/>
              <w:spacing w:line="220" w:lineRule="exact"/>
              <w:jc w:val="right"/>
              <w:rPr>
                <w:rFonts w:asciiTheme="minorHAnsi" w:hAnsiTheme="minorHAnsi" w:cstheme="minorHAnsi"/>
                <w:i/>
                <w:szCs w:val="19"/>
                <w:lang w:val="hr-HR"/>
              </w:rPr>
            </w:pPr>
          </w:p>
        </w:tc>
      </w:tr>
      <w:tr w:rsidR="00145EBE" w:rsidRPr="001567C8" w:rsidTr="00145EBE">
        <w:tc>
          <w:tcPr>
            <w:tcW w:w="3652" w:type="pct"/>
          </w:tcPr>
          <w:p w:rsidR="00145EBE" w:rsidRPr="001567C8" w:rsidRDefault="00145EBE" w:rsidP="00145EBE">
            <w:pPr>
              <w:pStyle w:val="TT"/>
              <w:keepLines/>
              <w:spacing w:line="220" w:lineRule="exact"/>
              <w:rPr>
                <w:rFonts w:asciiTheme="minorHAnsi" w:hAnsiTheme="minorHAnsi" w:cstheme="minorHAnsi"/>
                <w:spacing w:val="-3"/>
                <w:szCs w:val="19"/>
                <w:lang w:val="hr-HR"/>
              </w:rPr>
            </w:pPr>
            <w:r w:rsidRPr="001567C8">
              <w:rPr>
                <w:rFonts w:asciiTheme="minorHAnsi" w:hAnsiTheme="minorHAnsi" w:cstheme="minorHAnsi"/>
                <w:szCs w:val="19"/>
                <w:lang w:val="hr-HR"/>
              </w:rPr>
              <w:t>Amortizacija</w:t>
            </w:r>
          </w:p>
        </w:tc>
        <w:tc>
          <w:tcPr>
            <w:tcW w:w="688" w:type="pct"/>
          </w:tcPr>
          <w:p w:rsidR="00145EBE" w:rsidRPr="001567C8" w:rsidRDefault="00D400FE" w:rsidP="00145EBE">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zCs w:val="19"/>
                <w:lang w:val="hr-HR"/>
              </w:rPr>
              <w:t>6.284</w:t>
            </w:r>
          </w:p>
        </w:tc>
        <w:tc>
          <w:tcPr>
            <w:tcW w:w="660" w:type="pct"/>
          </w:tcPr>
          <w:p w:rsidR="00145EBE" w:rsidRPr="001567C8" w:rsidRDefault="00145EBE" w:rsidP="00145EBE">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zCs w:val="19"/>
                <w:lang w:val="hr-HR"/>
              </w:rPr>
              <w:t>7.482</w:t>
            </w:r>
          </w:p>
        </w:tc>
      </w:tr>
      <w:tr w:rsidR="00D400FE" w:rsidRPr="001567C8" w:rsidTr="00D400FE">
        <w:tc>
          <w:tcPr>
            <w:tcW w:w="3652" w:type="pct"/>
          </w:tcPr>
          <w:p w:rsidR="00D400FE" w:rsidRPr="001567C8" w:rsidRDefault="00D400FE" w:rsidP="00D400FE">
            <w:pPr>
              <w:pStyle w:val="TT"/>
              <w:spacing w:line="220" w:lineRule="exact"/>
              <w:rPr>
                <w:rFonts w:asciiTheme="minorHAnsi" w:hAnsiTheme="minorHAnsi" w:cstheme="minorHAnsi"/>
                <w:bCs/>
                <w:spacing w:val="-2"/>
                <w:szCs w:val="19"/>
                <w:lang w:val="hr-HR"/>
              </w:rPr>
            </w:pPr>
            <w:r w:rsidRPr="001567C8">
              <w:rPr>
                <w:rFonts w:asciiTheme="minorHAnsi" w:hAnsiTheme="minorHAnsi" w:cstheme="minorHAnsi"/>
                <w:bCs/>
                <w:spacing w:val="-2"/>
                <w:szCs w:val="19"/>
                <w:lang w:val="hr-HR"/>
              </w:rPr>
              <w:t>Gubitak od umanjenja vrijednosti i rezerviranja</w:t>
            </w:r>
          </w:p>
        </w:tc>
        <w:tc>
          <w:tcPr>
            <w:tcW w:w="688" w:type="pct"/>
            <w:tcBorders>
              <w:top w:val="nil"/>
              <w:left w:val="nil"/>
              <w:bottom w:val="nil"/>
              <w:right w:val="nil"/>
            </w:tcBorders>
            <w:shd w:val="clear" w:color="auto" w:fill="auto"/>
            <w:vAlign w:val="bottom"/>
          </w:tcPr>
          <w:p w:rsidR="00D400FE" w:rsidRPr="001567C8" w:rsidRDefault="00D400FE" w:rsidP="00D400FE">
            <w:pPr>
              <w:pStyle w:val="TT"/>
              <w:keepLines/>
              <w:spacing w:line="220" w:lineRule="exact"/>
              <w:jc w:val="right"/>
              <w:rPr>
                <w:rFonts w:asciiTheme="minorHAnsi" w:hAnsiTheme="minorHAnsi" w:cstheme="minorHAnsi"/>
                <w:szCs w:val="19"/>
                <w:lang w:val="hr-HR"/>
              </w:rPr>
            </w:pPr>
            <w:r w:rsidRPr="00CD3A2D">
              <w:rPr>
                <w:rFonts w:asciiTheme="minorHAnsi" w:hAnsiTheme="minorHAnsi" w:cstheme="minorHAnsi"/>
                <w:color w:val="000000"/>
                <w:szCs w:val="19"/>
                <w:lang w:val="hr-HR"/>
              </w:rPr>
              <w:t>65.906</w:t>
            </w:r>
          </w:p>
        </w:tc>
        <w:tc>
          <w:tcPr>
            <w:tcW w:w="660" w:type="pct"/>
          </w:tcPr>
          <w:p w:rsidR="00D400FE" w:rsidRPr="001567C8" w:rsidRDefault="00D400FE" w:rsidP="00D400FE">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zCs w:val="19"/>
                <w:lang w:val="hr-HR"/>
              </w:rPr>
              <w:t>194.920</w:t>
            </w:r>
          </w:p>
        </w:tc>
      </w:tr>
      <w:tr w:rsidR="00D400FE" w:rsidRPr="001567C8" w:rsidTr="00D400FE">
        <w:tc>
          <w:tcPr>
            <w:tcW w:w="3652" w:type="pct"/>
            <w:vAlign w:val="bottom"/>
          </w:tcPr>
          <w:p w:rsidR="00D400FE" w:rsidRPr="001567C8" w:rsidRDefault="00D400FE" w:rsidP="00D400FE">
            <w:pPr>
              <w:pStyle w:val="TT"/>
              <w:keepLines/>
              <w:spacing w:line="220" w:lineRule="exact"/>
              <w:rPr>
                <w:rFonts w:asciiTheme="minorHAnsi" w:hAnsiTheme="minorHAnsi" w:cstheme="minorHAnsi"/>
                <w:iCs/>
                <w:szCs w:val="19"/>
                <w:lang w:val="hr-HR"/>
              </w:rPr>
            </w:pPr>
            <w:r w:rsidRPr="001567C8">
              <w:rPr>
                <w:rFonts w:asciiTheme="minorHAnsi" w:hAnsiTheme="minorHAnsi" w:cstheme="minorHAnsi"/>
                <w:iCs/>
                <w:szCs w:val="19"/>
                <w:lang w:val="hr-HR"/>
              </w:rPr>
              <w:t xml:space="preserve">Obračunane kamate </w:t>
            </w:r>
          </w:p>
        </w:tc>
        <w:tc>
          <w:tcPr>
            <w:tcW w:w="688" w:type="pct"/>
            <w:tcBorders>
              <w:top w:val="nil"/>
              <w:left w:val="nil"/>
              <w:bottom w:val="nil"/>
              <w:right w:val="nil"/>
            </w:tcBorders>
            <w:shd w:val="clear" w:color="auto" w:fill="auto"/>
            <w:vAlign w:val="bottom"/>
          </w:tcPr>
          <w:p w:rsidR="00D400FE" w:rsidRPr="001567C8" w:rsidRDefault="00D400FE" w:rsidP="00D400FE">
            <w:pPr>
              <w:pStyle w:val="CommentText"/>
              <w:keepLines/>
              <w:jc w:val="right"/>
              <w:rPr>
                <w:rFonts w:asciiTheme="minorHAnsi" w:hAnsiTheme="minorHAnsi" w:cstheme="minorHAnsi"/>
                <w:iCs/>
                <w:sz w:val="19"/>
                <w:szCs w:val="19"/>
                <w:lang w:val="hr-HR"/>
              </w:rPr>
            </w:pPr>
            <w:r w:rsidRPr="00CD3A2D">
              <w:rPr>
                <w:rFonts w:asciiTheme="minorHAnsi" w:hAnsiTheme="minorHAnsi" w:cstheme="minorHAnsi"/>
                <w:color w:val="000000"/>
                <w:sz w:val="19"/>
                <w:szCs w:val="19"/>
                <w:lang w:val="hr-HR"/>
              </w:rPr>
              <w:t>34.626</w:t>
            </w:r>
          </w:p>
        </w:tc>
        <w:tc>
          <w:tcPr>
            <w:tcW w:w="660" w:type="pct"/>
          </w:tcPr>
          <w:p w:rsidR="00D400FE" w:rsidRPr="00CD3A2D" w:rsidRDefault="00D400FE" w:rsidP="00D400FE">
            <w:pPr>
              <w:pStyle w:val="CommentText"/>
              <w:keepLines/>
              <w:jc w:val="right"/>
              <w:rPr>
                <w:rFonts w:asciiTheme="minorHAnsi" w:hAnsiTheme="minorHAnsi" w:cstheme="minorHAnsi"/>
                <w:sz w:val="19"/>
                <w:szCs w:val="19"/>
                <w:lang w:val="hr-HR"/>
              </w:rPr>
            </w:pPr>
            <w:r w:rsidRPr="001567C8">
              <w:rPr>
                <w:rFonts w:asciiTheme="minorHAnsi" w:hAnsiTheme="minorHAnsi" w:cstheme="minorHAnsi"/>
                <w:iCs/>
                <w:sz w:val="19"/>
                <w:szCs w:val="19"/>
                <w:lang w:val="hr-HR"/>
              </w:rPr>
              <w:t>(59.702)</w:t>
            </w:r>
          </w:p>
        </w:tc>
      </w:tr>
      <w:tr w:rsidR="00D400FE" w:rsidRPr="001567C8" w:rsidTr="00D400FE">
        <w:tc>
          <w:tcPr>
            <w:tcW w:w="3652" w:type="pct"/>
          </w:tcPr>
          <w:p w:rsidR="00D400FE" w:rsidRPr="001567C8" w:rsidRDefault="00D400FE" w:rsidP="00D400FE">
            <w:pPr>
              <w:pStyle w:val="TT"/>
              <w:keepLines/>
              <w:spacing w:line="220" w:lineRule="exact"/>
              <w:rPr>
                <w:rFonts w:asciiTheme="minorHAnsi" w:hAnsiTheme="minorHAnsi" w:cstheme="minorHAnsi"/>
                <w:i/>
                <w:iCs/>
                <w:szCs w:val="19"/>
                <w:lang w:val="hr-HR"/>
              </w:rPr>
            </w:pPr>
            <w:r w:rsidRPr="001567C8">
              <w:rPr>
                <w:rFonts w:asciiTheme="minorHAnsi" w:hAnsiTheme="minorHAnsi" w:cstheme="minorHAnsi"/>
                <w:iCs/>
                <w:szCs w:val="19"/>
                <w:lang w:val="hr-HR"/>
              </w:rPr>
              <w:t>Odgođene naknade</w:t>
            </w:r>
          </w:p>
        </w:tc>
        <w:tc>
          <w:tcPr>
            <w:tcW w:w="688" w:type="pct"/>
            <w:tcBorders>
              <w:top w:val="nil"/>
              <w:left w:val="nil"/>
              <w:bottom w:val="nil"/>
              <w:right w:val="nil"/>
            </w:tcBorders>
            <w:shd w:val="clear" w:color="auto" w:fill="auto"/>
            <w:vAlign w:val="bottom"/>
          </w:tcPr>
          <w:p w:rsidR="00D400FE" w:rsidRPr="001567C8" w:rsidRDefault="00D400FE" w:rsidP="00D400FE">
            <w:pPr>
              <w:pStyle w:val="CommentText"/>
              <w:keepLines/>
              <w:jc w:val="right"/>
              <w:rPr>
                <w:rFonts w:asciiTheme="minorHAnsi" w:hAnsiTheme="minorHAnsi" w:cstheme="minorHAnsi"/>
                <w:sz w:val="19"/>
                <w:szCs w:val="19"/>
                <w:lang w:val="hr-HR"/>
              </w:rPr>
            </w:pPr>
            <w:r w:rsidRPr="00CD3A2D">
              <w:rPr>
                <w:rFonts w:asciiTheme="minorHAnsi" w:hAnsiTheme="minorHAnsi" w:cstheme="minorHAnsi"/>
                <w:color w:val="000000"/>
                <w:sz w:val="19"/>
                <w:szCs w:val="19"/>
                <w:lang w:val="hr-HR"/>
              </w:rPr>
              <w:t>(1.832)</w:t>
            </w:r>
          </w:p>
        </w:tc>
        <w:tc>
          <w:tcPr>
            <w:tcW w:w="660" w:type="pct"/>
          </w:tcPr>
          <w:p w:rsidR="00D400FE" w:rsidRPr="00CD3A2D" w:rsidRDefault="00D400FE" w:rsidP="00D400F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(39.093)</w:t>
            </w:r>
          </w:p>
        </w:tc>
      </w:tr>
      <w:tr w:rsidR="00D400FE" w:rsidRPr="001567C8" w:rsidTr="00D400FE">
        <w:tc>
          <w:tcPr>
            <w:tcW w:w="3652" w:type="pct"/>
          </w:tcPr>
          <w:p w:rsidR="00D400FE" w:rsidRPr="001567C8" w:rsidRDefault="00D400FE" w:rsidP="00D400FE">
            <w:pPr>
              <w:pStyle w:val="TT"/>
              <w:keepLines/>
              <w:spacing w:line="220" w:lineRule="exact"/>
              <w:rPr>
                <w:rFonts w:asciiTheme="minorHAnsi" w:hAnsiTheme="minorHAnsi" w:cstheme="minorHAnsi"/>
                <w:iCs/>
                <w:szCs w:val="19"/>
                <w:lang w:val="hr-HR"/>
              </w:rPr>
            </w:pPr>
            <w:r w:rsidRPr="001567C8">
              <w:rPr>
                <w:rFonts w:asciiTheme="minorHAnsi" w:hAnsiTheme="minorHAnsi" w:cstheme="minorHAnsi"/>
                <w:iCs/>
                <w:szCs w:val="19"/>
                <w:lang w:val="hr-HR"/>
              </w:rPr>
              <w:t>Ostale promjene po imovini po fer vrijednosti</w:t>
            </w:r>
          </w:p>
        </w:tc>
        <w:tc>
          <w:tcPr>
            <w:tcW w:w="688" w:type="pct"/>
            <w:tcBorders>
              <w:top w:val="nil"/>
              <w:left w:val="nil"/>
              <w:bottom w:val="nil"/>
              <w:right w:val="nil"/>
            </w:tcBorders>
            <w:shd w:val="clear" w:color="auto" w:fill="auto"/>
            <w:vAlign w:val="bottom"/>
          </w:tcPr>
          <w:p w:rsidR="00D400FE" w:rsidRPr="00CD3A2D" w:rsidRDefault="00D400FE" w:rsidP="00D400FE">
            <w:pPr>
              <w:pStyle w:val="CommentText"/>
              <w:keepLines/>
              <w:jc w:val="right"/>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11.533</w:t>
            </w:r>
          </w:p>
        </w:tc>
        <w:tc>
          <w:tcPr>
            <w:tcW w:w="660" w:type="pct"/>
          </w:tcPr>
          <w:p w:rsidR="00D400FE" w:rsidRPr="001567C8" w:rsidRDefault="00752CD8" w:rsidP="00D400F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(5.031)</w:t>
            </w:r>
          </w:p>
        </w:tc>
      </w:tr>
      <w:tr w:rsidR="00145EBE" w:rsidRPr="001567C8" w:rsidTr="00145EBE">
        <w:tc>
          <w:tcPr>
            <w:tcW w:w="3652" w:type="pct"/>
          </w:tcPr>
          <w:p w:rsidR="00145EBE" w:rsidRPr="001567C8" w:rsidRDefault="00145EBE" w:rsidP="00145EBE">
            <w:pPr>
              <w:pStyle w:val="TT"/>
              <w:keepLines/>
              <w:spacing w:line="220" w:lineRule="exact"/>
              <w:rPr>
                <w:rFonts w:asciiTheme="minorHAnsi" w:hAnsiTheme="minorHAnsi" w:cstheme="minorHAnsi"/>
                <w:i/>
                <w:iCs/>
                <w:szCs w:val="19"/>
                <w:lang w:val="hr-HR"/>
              </w:rPr>
            </w:pPr>
            <w:r w:rsidRPr="001567C8">
              <w:rPr>
                <w:rFonts w:asciiTheme="minorHAnsi" w:hAnsiTheme="minorHAnsi" w:cstheme="minorHAnsi"/>
                <w:i/>
                <w:iCs/>
                <w:szCs w:val="19"/>
                <w:lang w:val="hr-HR"/>
              </w:rPr>
              <w:t>Dobit iz poslovnih aktivnosti prije promjena radnog kapitala</w:t>
            </w:r>
          </w:p>
        </w:tc>
        <w:tc>
          <w:tcPr>
            <w:tcW w:w="688" w:type="pct"/>
          </w:tcPr>
          <w:p w:rsidR="00145EBE" w:rsidRPr="001567C8" w:rsidRDefault="00D400FE" w:rsidP="00145EBE">
            <w:pPr>
              <w:pStyle w:val="CommentText"/>
              <w:keepLines/>
              <w:jc w:val="right"/>
              <w:rPr>
                <w:rFonts w:asciiTheme="minorHAnsi" w:hAnsiTheme="minorHAnsi" w:cstheme="minorHAnsi"/>
                <w:i/>
                <w:sz w:val="19"/>
                <w:szCs w:val="19"/>
                <w:lang w:val="hr-HR"/>
              </w:rPr>
            </w:pPr>
            <w:r w:rsidRPr="001567C8">
              <w:rPr>
                <w:rFonts w:asciiTheme="minorHAnsi" w:hAnsiTheme="minorHAnsi" w:cstheme="minorHAnsi"/>
                <w:i/>
                <w:sz w:val="19"/>
                <w:szCs w:val="19"/>
                <w:lang w:val="hr-HR"/>
              </w:rPr>
              <w:t>320.845</w:t>
            </w:r>
          </w:p>
        </w:tc>
        <w:tc>
          <w:tcPr>
            <w:tcW w:w="660" w:type="pct"/>
          </w:tcPr>
          <w:p w:rsidR="00145EBE" w:rsidRPr="001567C8" w:rsidRDefault="00752CD8" w:rsidP="00145EBE">
            <w:pPr>
              <w:pStyle w:val="CommentText"/>
              <w:keepLines/>
              <w:jc w:val="right"/>
              <w:rPr>
                <w:rFonts w:asciiTheme="minorHAnsi" w:hAnsiTheme="minorHAnsi" w:cstheme="minorHAnsi"/>
                <w:i/>
                <w:sz w:val="19"/>
                <w:szCs w:val="19"/>
                <w:lang w:val="hr-HR"/>
              </w:rPr>
            </w:pPr>
            <w:r w:rsidRPr="001567C8">
              <w:rPr>
                <w:rFonts w:asciiTheme="minorHAnsi" w:hAnsiTheme="minorHAnsi" w:cstheme="minorHAnsi"/>
                <w:i/>
                <w:sz w:val="19"/>
                <w:szCs w:val="19"/>
                <w:lang w:val="hr-HR"/>
              </w:rPr>
              <w:t>259.359</w:t>
            </w:r>
          </w:p>
        </w:tc>
      </w:tr>
      <w:tr w:rsidR="00145EBE" w:rsidRPr="001567C8" w:rsidTr="00145EBE">
        <w:tc>
          <w:tcPr>
            <w:tcW w:w="3652" w:type="pct"/>
          </w:tcPr>
          <w:p w:rsidR="00145EBE" w:rsidRPr="001567C8" w:rsidRDefault="00145EBE" w:rsidP="00145EBE">
            <w:pPr>
              <w:pStyle w:val="TT"/>
              <w:keepLines/>
              <w:spacing w:line="220" w:lineRule="exact"/>
              <w:rPr>
                <w:rFonts w:asciiTheme="minorHAnsi" w:hAnsiTheme="minorHAnsi" w:cstheme="minorHAnsi"/>
                <w:i/>
                <w:iCs/>
                <w:szCs w:val="19"/>
                <w:lang w:val="hr-HR"/>
              </w:rPr>
            </w:pPr>
            <w:r w:rsidRPr="001567C8">
              <w:rPr>
                <w:rFonts w:asciiTheme="minorHAnsi" w:hAnsiTheme="minorHAnsi" w:cstheme="minorHAnsi"/>
                <w:i/>
                <w:iCs/>
                <w:szCs w:val="19"/>
                <w:lang w:val="hr-HR"/>
              </w:rPr>
              <w:t>Promjene u poslovnim sredstvima i izvorima:</w:t>
            </w:r>
          </w:p>
        </w:tc>
        <w:tc>
          <w:tcPr>
            <w:tcW w:w="688" w:type="pct"/>
          </w:tcPr>
          <w:p w:rsidR="00145EBE" w:rsidRPr="001567C8" w:rsidRDefault="00145EBE" w:rsidP="00145EBE">
            <w:pPr>
              <w:pStyle w:val="CommentText"/>
              <w:keepLines/>
              <w:jc w:val="right"/>
              <w:rPr>
                <w:rFonts w:asciiTheme="minorHAnsi" w:hAnsiTheme="minorHAnsi" w:cstheme="minorHAnsi"/>
                <w:i/>
                <w:sz w:val="19"/>
                <w:szCs w:val="19"/>
                <w:lang w:val="hr-HR"/>
              </w:rPr>
            </w:pPr>
          </w:p>
        </w:tc>
        <w:tc>
          <w:tcPr>
            <w:tcW w:w="660" w:type="pct"/>
          </w:tcPr>
          <w:p w:rsidR="00145EBE" w:rsidRPr="001567C8" w:rsidRDefault="00145EBE" w:rsidP="00145EBE">
            <w:pPr>
              <w:pStyle w:val="CommentText"/>
              <w:keepLines/>
              <w:jc w:val="right"/>
              <w:rPr>
                <w:rFonts w:asciiTheme="minorHAnsi" w:hAnsiTheme="minorHAnsi" w:cstheme="minorHAnsi"/>
                <w:i/>
                <w:sz w:val="19"/>
                <w:szCs w:val="19"/>
                <w:lang w:val="hr-HR"/>
              </w:rPr>
            </w:pPr>
          </w:p>
        </w:tc>
      </w:tr>
      <w:tr w:rsidR="00D400FE" w:rsidRPr="001567C8" w:rsidTr="00D400FE">
        <w:tc>
          <w:tcPr>
            <w:tcW w:w="3652" w:type="pct"/>
          </w:tcPr>
          <w:p w:rsidR="00D400FE" w:rsidRPr="001567C8" w:rsidRDefault="00D400FE" w:rsidP="00D400FE">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Neto povećanje depozita kod drugih banaka</w:t>
            </w:r>
            <w:r w:rsidR="00556CFA" w:rsidRPr="001567C8">
              <w:rPr>
                <w:rFonts w:asciiTheme="minorHAnsi" w:hAnsiTheme="minorHAnsi" w:cstheme="minorHAnsi"/>
                <w:szCs w:val="19"/>
                <w:lang w:val="hr-HR"/>
              </w:rPr>
              <w:t>,</w:t>
            </w:r>
            <w:r w:rsidRPr="001567C8">
              <w:rPr>
                <w:rFonts w:asciiTheme="minorHAnsi" w:hAnsiTheme="minorHAnsi" w:cstheme="minorHAnsi"/>
                <w:szCs w:val="19"/>
                <w:lang w:val="hr-HR"/>
              </w:rPr>
              <w:t xml:space="preserve"> prije rezerviranja za </w:t>
            </w:r>
            <w:r w:rsidR="00A57318" w:rsidRPr="001567C8">
              <w:rPr>
                <w:rFonts w:asciiTheme="minorHAnsi" w:hAnsiTheme="minorHAnsi" w:cstheme="minorHAnsi"/>
                <w:szCs w:val="19"/>
                <w:lang w:val="hr-HR"/>
              </w:rPr>
              <w:t xml:space="preserve">očekivane </w:t>
            </w:r>
            <w:r w:rsidRPr="001567C8">
              <w:rPr>
                <w:rFonts w:asciiTheme="minorHAnsi" w:hAnsiTheme="minorHAnsi" w:cstheme="minorHAnsi"/>
                <w:szCs w:val="19"/>
                <w:lang w:val="hr-HR"/>
              </w:rPr>
              <w:t>gubitke</w:t>
            </w:r>
          </w:p>
        </w:tc>
        <w:tc>
          <w:tcPr>
            <w:tcW w:w="688" w:type="pct"/>
            <w:tcBorders>
              <w:top w:val="nil"/>
              <w:left w:val="nil"/>
              <w:bottom w:val="nil"/>
              <w:right w:val="nil"/>
            </w:tcBorders>
            <w:shd w:val="clear" w:color="auto" w:fill="auto"/>
            <w:vAlign w:val="bottom"/>
          </w:tcPr>
          <w:p w:rsidR="00D400FE" w:rsidRPr="001567C8" w:rsidRDefault="00D400FE" w:rsidP="00D400FE">
            <w:pPr>
              <w:pStyle w:val="CommentText"/>
              <w:keepLines/>
              <w:jc w:val="right"/>
              <w:rPr>
                <w:rFonts w:asciiTheme="minorHAnsi" w:hAnsiTheme="minorHAnsi" w:cstheme="minorHAnsi"/>
                <w:spacing w:val="-3"/>
                <w:sz w:val="19"/>
                <w:szCs w:val="19"/>
                <w:lang w:val="hr-HR"/>
              </w:rPr>
            </w:pPr>
            <w:r w:rsidRPr="00CD3A2D">
              <w:rPr>
                <w:rFonts w:asciiTheme="minorHAnsi" w:hAnsiTheme="minorHAnsi" w:cstheme="minorHAnsi"/>
                <w:color w:val="000000"/>
                <w:sz w:val="19"/>
                <w:szCs w:val="19"/>
                <w:lang w:val="hr-HR"/>
              </w:rPr>
              <w:t>(233.822)</w:t>
            </w:r>
          </w:p>
        </w:tc>
        <w:tc>
          <w:tcPr>
            <w:tcW w:w="660" w:type="pct"/>
            <w:vAlign w:val="bottom"/>
          </w:tcPr>
          <w:p w:rsidR="00D400FE" w:rsidRPr="00CD3A2D" w:rsidRDefault="00D400FE" w:rsidP="00D400FE">
            <w:pPr>
              <w:pStyle w:val="CommentText"/>
              <w:keepLines/>
              <w:jc w:val="right"/>
              <w:rPr>
                <w:rFonts w:asciiTheme="minorHAnsi" w:hAnsiTheme="minorHAnsi" w:cstheme="minorHAnsi"/>
                <w:sz w:val="19"/>
                <w:szCs w:val="19"/>
                <w:lang w:val="hr-HR"/>
              </w:rPr>
            </w:pPr>
            <w:r w:rsidRPr="001567C8">
              <w:rPr>
                <w:rFonts w:asciiTheme="minorHAnsi" w:hAnsiTheme="minorHAnsi" w:cstheme="minorHAnsi"/>
                <w:spacing w:val="-3"/>
                <w:sz w:val="19"/>
                <w:szCs w:val="19"/>
                <w:lang w:val="hr-HR"/>
              </w:rPr>
              <w:t>(5.349)</w:t>
            </w:r>
          </w:p>
        </w:tc>
      </w:tr>
      <w:tr w:rsidR="00D400FE" w:rsidRPr="001567C8" w:rsidTr="003C6BA3">
        <w:tc>
          <w:tcPr>
            <w:tcW w:w="3652" w:type="pct"/>
          </w:tcPr>
          <w:p w:rsidR="00D400FE" w:rsidRPr="001567C8" w:rsidRDefault="00D400FE" w:rsidP="00D400FE">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smanjenje kredita financijskim institucijama, prije rezerviranja za </w:t>
            </w:r>
            <w:r w:rsidR="00A57318" w:rsidRPr="001567C8">
              <w:rPr>
                <w:rFonts w:asciiTheme="minorHAnsi" w:hAnsiTheme="minorHAnsi" w:cstheme="minorHAnsi"/>
                <w:szCs w:val="19"/>
                <w:lang w:val="hr-HR"/>
              </w:rPr>
              <w:t xml:space="preserve">očekivane </w:t>
            </w:r>
            <w:r w:rsidRPr="001567C8">
              <w:rPr>
                <w:rFonts w:asciiTheme="minorHAnsi" w:hAnsiTheme="minorHAnsi" w:cstheme="minorHAnsi"/>
                <w:szCs w:val="19"/>
                <w:lang w:val="hr-HR"/>
              </w:rPr>
              <w:t>gubitke</w:t>
            </w:r>
          </w:p>
        </w:tc>
        <w:tc>
          <w:tcPr>
            <w:tcW w:w="688" w:type="pct"/>
            <w:tcBorders>
              <w:top w:val="nil"/>
              <w:left w:val="nil"/>
              <w:bottom w:val="nil"/>
              <w:right w:val="nil"/>
            </w:tcBorders>
            <w:shd w:val="clear" w:color="auto" w:fill="auto"/>
            <w:vAlign w:val="bottom"/>
          </w:tcPr>
          <w:p w:rsidR="00D400FE" w:rsidRPr="001567C8" w:rsidRDefault="00D400FE" w:rsidP="00D400FE">
            <w:pPr>
              <w:pStyle w:val="CommentText"/>
              <w:keepLines/>
              <w:jc w:val="right"/>
              <w:rPr>
                <w:rFonts w:asciiTheme="minorHAnsi" w:hAnsiTheme="minorHAnsi" w:cstheme="minorHAnsi"/>
                <w:spacing w:val="-3"/>
                <w:sz w:val="19"/>
                <w:szCs w:val="19"/>
                <w:lang w:val="hr-HR"/>
              </w:rPr>
            </w:pPr>
            <w:r w:rsidRPr="00CD3A2D">
              <w:rPr>
                <w:rFonts w:asciiTheme="minorHAnsi" w:hAnsiTheme="minorHAnsi" w:cstheme="minorHAnsi"/>
                <w:color w:val="000000"/>
                <w:sz w:val="19"/>
                <w:szCs w:val="19"/>
                <w:lang w:val="hr-HR"/>
              </w:rPr>
              <w:t>711.348</w:t>
            </w:r>
          </w:p>
        </w:tc>
        <w:tc>
          <w:tcPr>
            <w:tcW w:w="660" w:type="pct"/>
            <w:vAlign w:val="bottom"/>
          </w:tcPr>
          <w:p w:rsidR="00D400FE" w:rsidRPr="00CD3A2D" w:rsidRDefault="00D400FE" w:rsidP="00186847">
            <w:pPr>
              <w:pStyle w:val="CommentText"/>
              <w:keepLines/>
              <w:jc w:val="right"/>
              <w:rPr>
                <w:rFonts w:asciiTheme="minorHAnsi" w:hAnsiTheme="minorHAnsi" w:cstheme="minorHAnsi"/>
                <w:sz w:val="19"/>
                <w:szCs w:val="19"/>
                <w:lang w:val="hr-HR"/>
              </w:rPr>
            </w:pPr>
            <w:r w:rsidRPr="001567C8">
              <w:rPr>
                <w:rFonts w:asciiTheme="minorHAnsi" w:hAnsiTheme="minorHAnsi" w:cstheme="minorHAnsi"/>
                <w:spacing w:val="-3"/>
                <w:sz w:val="19"/>
                <w:szCs w:val="19"/>
                <w:lang w:val="hr-HR"/>
              </w:rPr>
              <w:t>1.175.203</w:t>
            </w:r>
          </w:p>
        </w:tc>
      </w:tr>
      <w:tr w:rsidR="00D400FE" w:rsidRPr="001567C8" w:rsidTr="00D400FE">
        <w:tc>
          <w:tcPr>
            <w:tcW w:w="3652" w:type="pct"/>
          </w:tcPr>
          <w:p w:rsidR="00D400FE" w:rsidRPr="001567C8" w:rsidRDefault="00D400FE" w:rsidP="00D400FE">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povećanje kredita ostalim korisnicima, prije rezerviranja za </w:t>
            </w:r>
            <w:r w:rsidR="00A57318" w:rsidRPr="001567C8">
              <w:rPr>
                <w:rFonts w:asciiTheme="minorHAnsi" w:hAnsiTheme="minorHAnsi" w:cstheme="minorHAnsi"/>
                <w:szCs w:val="19"/>
                <w:lang w:val="hr-HR"/>
              </w:rPr>
              <w:t xml:space="preserve">očekivane </w:t>
            </w:r>
            <w:r w:rsidRPr="001567C8">
              <w:rPr>
                <w:rFonts w:asciiTheme="minorHAnsi" w:hAnsiTheme="minorHAnsi" w:cstheme="minorHAnsi"/>
                <w:szCs w:val="19"/>
                <w:lang w:val="hr-HR"/>
              </w:rPr>
              <w:t>gubitke</w:t>
            </w:r>
          </w:p>
        </w:tc>
        <w:tc>
          <w:tcPr>
            <w:tcW w:w="688" w:type="pct"/>
            <w:tcBorders>
              <w:top w:val="nil"/>
              <w:left w:val="nil"/>
              <w:bottom w:val="nil"/>
              <w:right w:val="nil"/>
            </w:tcBorders>
            <w:shd w:val="clear" w:color="auto" w:fill="auto"/>
            <w:vAlign w:val="bottom"/>
          </w:tcPr>
          <w:p w:rsidR="00D400FE" w:rsidRPr="001567C8" w:rsidRDefault="00D400FE" w:rsidP="00D400FE">
            <w:pPr>
              <w:pStyle w:val="CommentText"/>
              <w:keepLines/>
              <w:jc w:val="right"/>
              <w:rPr>
                <w:rFonts w:asciiTheme="minorHAnsi" w:hAnsiTheme="minorHAnsi" w:cstheme="minorHAnsi"/>
                <w:sz w:val="19"/>
                <w:szCs w:val="19"/>
                <w:lang w:val="hr-HR"/>
              </w:rPr>
            </w:pPr>
            <w:r w:rsidRPr="00CD3A2D">
              <w:rPr>
                <w:rFonts w:asciiTheme="minorHAnsi" w:hAnsiTheme="minorHAnsi" w:cstheme="minorHAnsi"/>
                <w:color w:val="000000"/>
                <w:sz w:val="19"/>
                <w:szCs w:val="19"/>
                <w:lang w:val="hr-HR"/>
              </w:rPr>
              <w:t>(571.291)</w:t>
            </w:r>
          </w:p>
        </w:tc>
        <w:tc>
          <w:tcPr>
            <w:tcW w:w="660" w:type="pct"/>
          </w:tcPr>
          <w:p w:rsidR="00D400FE" w:rsidRPr="00CD3A2D" w:rsidRDefault="00D400FE" w:rsidP="00D400F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(1.186.871)</w:t>
            </w:r>
          </w:p>
        </w:tc>
      </w:tr>
      <w:tr w:rsidR="00677D5E" w:rsidRPr="001567C8" w:rsidTr="00145EBE">
        <w:tc>
          <w:tcPr>
            <w:tcW w:w="3652" w:type="pct"/>
          </w:tcPr>
          <w:p w:rsidR="00677D5E" w:rsidRPr="001567C8" w:rsidRDefault="00677D5E" w:rsidP="00145EBE">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Smanjenje diskonta po izdanim dugoročnim vrijednosnim papirima</w:t>
            </w:r>
          </w:p>
        </w:tc>
        <w:tc>
          <w:tcPr>
            <w:tcW w:w="688" w:type="pct"/>
            <w:vAlign w:val="bottom"/>
          </w:tcPr>
          <w:p w:rsidR="00677D5E" w:rsidRPr="001567C8" w:rsidRDefault="00677D5E" w:rsidP="00145EB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3.702</w:t>
            </w:r>
          </w:p>
        </w:tc>
        <w:tc>
          <w:tcPr>
            <w:tcW w:w="660" w:type="pct"/>
            <w:vAlign w:val="bottom"/>
          </w:tcPr>
          <w:p w:rsidR="00677D5E" w:rsidRPr="001567C8" w:rsidRDefault="00752CD8" w:rsidP="00145EB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4.092</w:t>
            </w:r>
          </w:p>
        </w:tc>
      </w:tr>
      <w:tr w:rsidR="00145EBE" w:rsidRPr="001567C8" w:rsidTr="00145EBE">
        <w:tc>
          <w:tcPr>
            <w:tcW w:w="3652" w:type="pct"/>
            <w:vAlign w:val="bottom"/>
          </w:tcPr>
          <w:p w:rsidR="00145EBE" w:rsidRPr="001567C8" w:rsidRDefault="00145EBE" w:rsidP="00145EBE">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w:t>
            </w:r>
            <w:r w:rsidR="00A80519" w:rsidRPr="001567C8">
              <w:rPr>
                <w:rFonts w:asciiTheme="minorHAnsi" w:hAnsiTheme="minorHAnsi" w:cstheme="minorHAnsi"/>
                <w:szCs w:val="19"/>
                <w:lang w:val="hr-HR"/>
              </w:rPr>
              <w:t>(</w:t>
            </w:r>
            <w:r w:rsidR="00392140" w:rsidRPr="001567C8">
              <w:rPr>
                <w:rFonts w:asciiTheme="minorHAnsi" w:hAnsiTheme="minorHAnsi" w:cstheme="minorHAnsi"/>
                <w:szCs w:val="19"/>
                <w:lang w:val="hr-HR"/>
              </w:rPr>
              <w:t>povećanje)/</w:t>
            </w:r>
            <w:r w:rsidRPr="001567C8">
              <w:rPr>
                <w:rFonts w:asciiTheme="minorHAnsi" w:hAnsiTheme="minorHAnsi" w:cstheme="minorHAnsi"/>
                <w:szCs w:val="19"/>
                <w:lang w:val="hr-HR"/>
              </w:rPr>
              <w:t>smanjenje dugotrajne imovine namijenjene prodaji</w:t>
            </w:r>
          </w:p>
        </w:tc>
        <w:tc>
          <w:tcPr>
            <w:tcW w:w="688" w:type="pct"/>
            <w:tcBorders>
              <w:right w:val="nil"/>
            </w:tcBorders>
          </w:tcPr>
          <w:p w:rsidR="00145EBE" w:rsidRPr="001567C8" w:rsidRDefault="00677D5E" w:rsidP="00145EBE">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zCs w:val="19"/>
                <w:lang w:val="hr-HR"/>
              </w:rPr>
              <w:t>(8.476)</w:t>
            </w:r>
          </w:p>
        </w:tc>
        <w:tc>
          <w:tcPr>
            <w:tcW w:w="660" w:type="pct"/>
          </w:tcPr>
          <w:p w:rsidR="00145EBE" w:rsidRPr="00CD3A2D" w:rsidRDefault="00145EBE" w:rsidP="00145EBE">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zCs w:val="19"/>
                <w:lang w:val="hr-HR"/>
              </w:rPr>
              <w:t>7</w:t>
            </w:r>
          </w:p>
        </w:tc>
      </w:tr>
      <w:tr w:rsidR="00145EBE" w:rsidRPr="001567C8" w:rsidTr="00145EBE">
        <w:tc>
          <w:tcPr>
            <w:tcW w:w="3652" w:type="pct"/>
          </w:tcPr>
          <w:p w:rsidR="00145EBE" w:rsidRPr="001567C8" w:rsidRDefault="00145EBE" w:rsidP="00145EBE">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povećanje ostale imovine, prije rezerviranja za </w:t>
            </w:r>
            <w:r w:rsidR="00A57318" w:rsidRPr="001567C8">
              <w:rPr>
                <w:rFonts w:asciiTheme="minorHAnsi" w:hAnsiTheme="minorHAnsi" w:cstheme="minorHAnsi"/>
                <w:szCs w:val="19"/>
                <w:lang w:val="hr-HR"/>
              </w:rPr>
              <w:t xml:space="preserve">očekivane </w:t>
            </w:r>
            <w:r w:rsidRPr="001567C8">
              <w:rPr>
                <w:rFonts w:asciiTheme="minorHAnsi" w:hAnsiTheme="minorHAnsi" w:cstheme="minorHAnsi"/>
                <w:szCs w:val="19"/>
                <w:lang w:val="hr-HR"/>
              </w:rPr>
              <w:t>gubitke</w:t>
            </w:r>
          </w:p>
        </w:tc>
        <w:tc>
          <w:tcPr>
            <w:tcW w:w="688" w:type="pct"/>
          </w:tcPr>
          <w:p w:rsidR="00145EBE" w:rsidRPr="001567C8" w:rsidRDefault="00677D5E" w:rsidP="00145EB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(20.457)</w:t>
            </w:r>
          </w:p>
        </w:tc>
        <w:tc>
          <w:tcPr>
            <w:tcW w:w="660" w:type="pct"/>
          </w:tcPr>
          <w:p w:rsidR="00145EBE" w:rsidRPr="00CD3A2D" w:rsidRDefault="00145EBE" w:rsidP="00145EB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(18.298)</w:t>
            </w:r>
          </w:p>
        </w:tc>
      </w:tr>
      <w:tr w:rsidR="00145EBE" w:rsidRPr="001567C8" w:rsidTr="00145EBE">
        <w:tc>
          <w:tcPr>
            <w:tcW w:w="3652" w:type="pct"/>
          </w:tcPr>
          <w:p w:rsidR="00145EBE" w:rsidRPr="001567C8" w:rsidRDefault="00145EBE" w:rsidP="00145EBE">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Neto (smanjenje)</w:t>
            </w:r>
            <w:r w:rsidR="00392140" w:rsidRPr="001567C8">
              <w:rPr>
                <w:rFonts w:asciiTheme="minorHAnsi" w:hAnsiTheme="minorHAnsi" w:cstheme="minorHAnsi"/>
                <w:szCs w:val="19"/>
                <w:lang w:val="hr-HR"/>
              </w:rPr>
              <w:t>/povećanje</w:t>
            </w:r>
            <w:r w:rsidRPr="001567C8">
              <w:rPr>
                <w:rFonts w:asciiTheme="minorHAnsi" w:hAnsiTheme="minorHAnsi" w:cstheme="minorHAnsi"/>
                <w:szCs w:val="19"/>
                <w:lang w:val="hr-HR"/>
              </w:rPr>
              <w:t xml:space="preserve"> depozita banaka i trgovačkih društava</w:t>
            </w:r>
          </w:p>
        </w:tc>
        <w:tc>
          <w:tcPr>
            <w:tcW w:w="688" w:type="pct"/>
          </w:tcPr>
          <w:p w:rsidR="00145EBE" w:rsidRPr="001567C8" w:rsidRDefault="00677D5E" w:rsidP="00145EB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(215.645)</w:t>
            </w:r>
          </w:p>
        </w:tc>
        <w:tc>
          <w:tcPr>
            <w:tcW w:w="660" w:type="pct"/>
          </w:tcPr>
          <w:p w:rsidR="00145EBE" w:rsidRPr="00CD3A2D" w:rsidRDefault="00145EBE" w:rsidP="00145EB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501.897</w:t>
            </w:r>
          </w:p>
        </w:tc>
      </w:tr>
      <w:tr w:rsidR="00145EBE" w:rsidRPr="001567C8" w:rsidTr="00D400FE">
        <w:tc>
          <w:tcPr>
            <w:tcW w:w="3652" w:type="pct"/>
          </w:tcPr>
          <w:p w:rsidR="00145EBE" w:rsidRPr="001567C8" w:rsidRDefault="00145EBE" w:rsidP="00145EBE">
            <w:pPr>
              <w:pStyle w:val="TT"/>
              <w:keepLines/>
              <w:spacing w:line="220" w:lineRule="exact"/>
              <w:rPr>
                <w:rFonts w:asciiTheme="minorHAnsi" w:hAnsiTheme="minorHAnsi" w:cstheme="minorHAnsi"/>
                <w:spacing w:val="-2"/>
                <w:szCs w:val="19"/>
                <w:lang w:val="hr-HR"/>
              </w:rPr>
            </w:pPr>
            <w:r w:rsidRPr="001567C8">
              <w:rPr>
                <w:rFonts w:asciiTheme="minorHAnsi" w:hAnsiTheme="minorHAnsi" w:cstheme="minorHAnsi"/>
                <w:spacing w:val="-2"/>
                <w:szCs w:val="19"/>
                <w:lang w:val="hr-HR"/>
              </w:rPr>
              <w:t>Neto smanjenje ostalih obveza, prije rezerviranja</w:t>
            </w:r>
          </w:p>
        </w:tc>
        <w:tc>
          <w:tcPr>
            <w:tcW w:w="688" w:type="pct"/>
            <w:tcBorders>
              <w:bottom w:val="single" w:sz="4" w:space="0" w:color="auto"/>
            </w:tcBorders>
          </w:tcPr>
          <w:p w:rsidR="00145EBE" w:rsidRPr="001567C8" w:rsidRDefault="00677D5E" w:rsidP="00145EB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(83.830)</w:t>
            </w:r>
          </w:p>
        </w:tc>
        <w:tc>
          <w:tcPr>
            <w:tcW w:w="660" w:type="pct"/>
            <w:tcBorders>
              <w:bottom w:val="single" w:sz="4" w:space="0" w:color="auto"/>
            </w:tcBorders>
          </w:tcPr>
          <w:p w:rsidR="00145EBE" w:rsidRPr="00CD3A2D" w:rsidRDefault="00145EBE" w:rsidP="00145EBE">
            <w:pPr>
              <w:pStyle w:val="CommentText"/>
              <w:keepLines/>
              <w:jc w:val="right"/>
              <w:rPr>
                <w:rFonts w:asciiTheme="minorHAnsi" w:hAnsiTheme="minorHAnsi" w:cstheme="minorHAnsi"/>
                <w:sz w:val="19"/>
                <w:szCs w:val="19"/>
                <w:lang w:val="hr-HR"/>
              </w:rPr>
            </w:pPr>
            <w:r w:rsidRPr="001567C8">
              <w:rPr>
                <w:rFonts w:asciiTheme="minorHAnsi" w:hAnsiTheme="minorHAnsi" w:cstheme="minorHAnsi"/>
                <w:sz w:val="19"/>
                <w:szCs w:val="19"/>
                <w:lang w:val="hr-HR"/>
              </w:rPr>
              <w:t>(85.261)</w:t>
            </w:r>
          </w:p>
        </w:tc>
      </w:tr>
      <w:tr w:rsidR="00145EBE" w:rsidRPr="001567C8" w:rsidTr="00D400FE">
        <w:trPr>
          <w:trHeight w:val="228"/>
        </w:trPr>
        <w:tc>
          <w:tcPr>
            <w:tcW w:w="3652" w:type="pct"/>
          </w:tcPr>
          <w:p w:rsidR="00145EBE" w:rsidRPr="001567C8" w:rsidRDefault="00145EBE" w:rsidP="00145EBE">
            <w:pPr>
              <w:pStyle w:val="Tot"/>
              <w:keepLines/>
              <w:spacing w:line="220" w:lineRule="exact"/>
              <w:rPr>
                <w:rFonts w:asciiTheme="minorHAnsi" w:hAnsiTheme="minorHAnsi" w:cstheme="minorHAnsi"/>
                <w:b/>
                <w:bCs/>
                <w:spacing w:val="-3"/>
                <w:szCs w:val="19"/>
                <w:lang w:val="hr-HR"/>
              </w:rPr>
            </w:pPr>
            <w:r w:rsidRPr="001567C8">
              <w:rPr>
                <w:rFonts w:asciiTheme="minorHAnsi" w:hAnsiTheme="minorHAnsi" w:cstheme="minorHAnsi"/>
                <w:b/>
                <w:bCs/>
                <w:szCs w:val="19"/>
                <w:lang w:val="hr-HR"/>
              </w:rPr>
              <w:t xml:space="preserve">Neto novčana sredstva </w:t>
            </w:r>
            <w:r w:rsidR="00AC063D" w:rsidRPr="001567C8">
              <w:rPr>
                <w:rFonts w:asciiTheme="minorHAnsi" w:hAnsiTheme="minorHAnsi" w:cstheme="minorHAnsi"/>
                <w:b/>
                <w:bCs/>
                <w:szCs w:val="19"/>
                <w:lang w:val="hr-HR"/>
              </w:rPr>
              <w:t>(uporabljena)/</w:t>
            </w:r>
            <w:r w:rsidRPr="001567C8">
              <w:rPr>
                <w:rFonts w:asciiTheme="minorHAnsi" w:hAnsiTheme="minorHAnsi" w:cstheme="minorHAnsi"/>
                <w:b/>
                <w:bCs/>
                <w:szCs w:val="19"/>
                <w:lang w:val="hr-HR"/>
              </w:rPr>
              <w:t>ostvarena</w:t>
            </w:r>
            <w:r w:rsidR="00AC063D" w:rsidRPr="001567C8">
              <w:rPr>
                <w:rFonts w:asciiTheme="minorHAnsi" w:hAnsiTheme="minorHAnsi" w:cstheme="minorHAnsi"/>
                <w:b/>
                <w:bCs/>
                <w:szCs w:val="19"/>
                <w:lang w:val="hr-HR"/>
              </w:rPr>
              <w:t xml:space="preserve"> </w:t>
            </w:r>
            <w:r w:rsidRPr="001567C8">
              <w:rPr>
                <w:rFonts w:asciiTheme="minorHAnsi" w:hAnsiTheme="minorHAnsi" w:cstheme="minorHAnsi"/>
                <w:b/>
                <w:bCs/>
                <w:szCs w:val="19"/>
                <w:lang w:val="hr-HR"/>
              </w:rPr>
              <w:t xml:space="preserve">u poslovnim aktivnostima </w:t>
            </w:r>
          </w:p>
        </w:tc>
        <w:tc>
          <w:tcPr>
            <w:tcW w:w="688" w:type="pct"/>
            <w:tcBorders>
              <w:top w:val="single" w:sz="4" w:space="0" w:color="auto"/>
              <w:bottom w:val="single" w:sz="12" w:space="0" w:color="auto"/>
            </w:tcBorders>
            <w:vAlign w:val="bottom"/>
          </w:tcPr>
          <w:p w:rsidR="00145EBE" w:rsidRPr="001567C8" w:rsidRDefault="00677D5E" w:rsidP="00145EBE">
            <w:pPr>
              <w:pStyle w:val="T2"/>
              <w:keepNext w:val="0"/>
              <w:spacing w:line="220" w:lineRule="exact"/>
              <w:jc w:val="right"/>
              <w:rPr>
                <w:rFonts w:asciiTheme="minorHAnsi" w:hAnsiTheme="minorHAnsi" w:cstheme="minorHAnsi"/>
                <w:b/>
                <w:spacing w:val="-2"/>
                <w:szCs w:val="19"/>
                <w:lang w:val="hr-HR"/>
              </w:rPr>
            </w:pPr>
            <w:r w:rsidRPr="001567C8">
              <w:rPr>
                <w:rFonts w:asciiTheme="minorHAnsi" w:hAnsiTheme="minorHAnsi" w:cstheme="minorHAnsi"/>
                <w:b/>
                <w:spacing w:val="-2"/>
                <w:szCs w:val="19"/>
                <w:lang w:val="hr-HR"/>
              </w:rPr>
              <w:t>(97.626)</w:t>
            </w:r>
          </w:p>
        </w:tc>
        <w:tc>
          <w:tcPr>
            <w:tcW w:w="660" w:type="pct"/>
            <w:tcBorders>
              <w:top w:val="single" w:sz="4" w:space="0" w:color="auto"/>
              <w:bottom w:val="single" w:sz="12" w:space="0" w:color="auto"/>
            </w:tcBorders>
            <w:vAlign w:val="bottom"/>
          </w:tcPr>
          <w:p w:rsidR="00145EBE" w:rsidRPr="001567C8" w:rsidRDefault="00145EBE" w:rsidP="00145EBE">
            <w:pPr>
              <w:pStyle w:val="T2"/>
              <w:keepNext w:val="0"/>
              <w:spacing w:line="220" w:lineRule="exact"/>
              <w:jc w:val="right"/>
              <w:rPr>
                <w:rFonts w:asciiTheme="minorHAnsi" w:hAnsiTheme="minorHAnsi" w:cstheme="minorHAnsi"/>
                <w:b/>
                <w:spacing w:val="-2"/>
                <w:szCs w:val="19"/>
                <w:lang w:val="hr-HR"/>
              </w:rPr>
            </w:pPr>
            <w:r w:rsidRPr="001567C8">
              <w:rPr>
                <w:rFonts w:asciiTheme="minorHAnsi" w:hAnsiTheme="minorHAnsi" w:cstheme="minorHAnsi"/>
                <w:b/>
                <w:spacing w:val="-2"/>
                <w:szCs w:val="19"/>
                <w:lang w:val="hr-HR"/>
              </w:rPr>
              <w:t>644.779</w:t>
            </w:r>
          </w:p>
        </w:tc>
      </w:tr>
      <w:tr w:rsidR="00145EBE" w:rsidRPr="001567C8" w:rsidTr="00D400FE">
        <w:tc>
          <w:tcPr>
            <w:tcW w:w="3652" w:type="pct"/>
          </w:tcPr>
          <w:p w:rsidR="00145EBE" w:rsidRPr="001567C8" w:rsidRDefault="00145EBE" w:rsidP="00145EBE">
            <w:pPr>
              <w:pStyle w:val="TT"/>
              <w:keepLines/>
              <w:spacing w:line="220" w:lineRule="exact"/>
              <w:rPr>
                <w:rFonts w:asciiTheme="minorHAnsi" w:hAnsiTheme="minorHAnsi" w:cstheme="minorHAnsi"/>
                <w:b/>
                <w:bCs/>
                <w:szCs w:val="19"/>
                <w:lang w:val="hr-HR"/>
              </w:rPr>
            </w:pPr>
            <w:r w:rsidRPr="001567C8">
              <w:rPr>
                <w:rFonts w:asciiTheme="minorHAnsi" w:hAnsiTheme="minorHAnsi" w:cstheme="minorHAnsi"/>
                <w:b/>
                <w:bCs/>
                <w:szCs w:val="19"/>
                <w:lang w:val="hr-HR"/>
              </w:rPr>
              <w:t>Ulagateljske aktivnosti</w:t>
            </w:r>
          </w:p>
        </w:tc>
        <w:tc>
          <w:tcPr>
            <w:tcW w:w="688" w:type="pct"/>
            <w:tcBorders>
              <w:top w:val="single" w:sz="12" w:space="0" w:color="auto"/>
            </w:tcBorders>
            <w:vAlign w:val="bottom"/>
          </w:tcPr>
          <w:p w:rsidR="00145EBE" w:rsidRPr="001567C8" w:rsidRDefault="00145EBE" w:rsidP="00145EBE">
            <w:pPr>
              <w:pStyle w:val="TT"/>
              <w:keepLines/>
              <w:spacing w:line="220" w:lineRule="exact"/>
              <w:jc w:val="right"/>
              <w:rPr>
                <w:rFonts w:asciiTheme="minorHAnsi" w:hAnsiTheme="minorHAnsi" w:cstheme="minorHAnsi"/>
                <w:b/>
                <w:bCs/>
                <w:szCs w:val="19"/>
                <w:lang w:val="hr-HR"/>
              </w:rPr>
            </w:pPr>
          </w:p>
        </w:tc>
        <w:tc>
          <w:tcPr>
            <w:tcW w:w="660" w:type="pct"/>
            <w:tcBorders>
              <w:top w:val="single" w:sz="12" w:space="0" w:color="auto"/>
            </w:tcBorders>
            <w:vAlign w:val="bottom"/>
          </w:tcPr>
          <w:p w:rsidR="00145EBE" w:rsidRPr="001567C8" w:rsidRDefault="00145EBE" w:rsidP="00145EBE">
            <w:pPr>
              <w:pStyle w:val="TT"/>
              <w:keepLines/>
              <w:spacing w:line="220" w:lineRule="exact"/>
              <w:jc w:val="right"/>
              <w:rPr>
                <w:rFonts w:asciiTheme="minorHAnsi" w:hAnsiTheme="minorHAnsi" w:cstheme="minorHAnsi"/>
                <w:b/>
                <w:bCs/>
                <w:szCs w:val="19"/>
                <w:lang w:val="hr-HR"/>
              </w:rPr>
            </w:pPr>
          </w:p>
        </w:tc>
      </w:tr>
      <w:tr w:rsidR="00145EBE" w:rsidRPr="001567C8" w:rsidTr="00145EBE">
        <w:tc>
          <w:tcPr>
            <w:tcW w:w="3652" w:type="pct"/>
          </w:tcPr>
          <w:p w:rsidR="00145EBE" w:rsidRPr="001567C8" w:rsidRDefault="00145EBE" w:rsidP="00145EBE">
            <w:pPr>
              <w:pStyle w:val="TT"/>
              <w:keepLines/>
              <w:spacing w:line="220" w:lineRule="exact"/>
              <w:rPr>
                <w:rFonts w:asciiTheme="minorHAnsi" w:hAnsiTheme="minorHAnsi" w:cstheme="minorHAnsi"/>
                <w:bCs/>
                <w:szCs w:val="19"/>
                <w:lang w:val="hr-HR"/>
              </w:rPr>
            </w:pPr>
            <w:r w:rsidRPr="001567C8">
              <w:rPr>
                <w:rFonts w:asciiTheme="minorHAnsi" w:hAnsiTheme="minorHAnsi" w:cstheme="minorHAnsi"/>
                <w:bCs/>
                <w:szCs w:val="19"/>
                <w:lang w:val="hr-HR"/>
              </w:rPr>
              <w:t>Neto kupovina imovine raspoložive za prodaju</w:t>
            </w:r>
          </w:p>
        </w:tc>
        <w:tc>
          <w:tcPr>
            <w:tcW w:w="688" w:type="pct"/>
            <w:vAlign w:val="bottom"/>
          </w:tcPr>
          <w:p w:rsidR="00145EBE" w:rsidRPr="001567C8" w:rsidRDefault="005A0701" w:rsidP="005A0701">
            <w:pPr>
              <w:pStyle w:val="TT"/>
              <w:keepLines/>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 xml:space="preserve">n/p </w:t>
            </w:r>
          </w:p>
        </w:tc>
        <w:tc>
          <w:tcPr>
            <w:tcW w:w="660" w:type="pct"/>
            <w:vAlign w:val="bottom"/>
          </w:tcPr>
          <w:p w:rsidR="00145EBE" w:rsidRPr="001567C8" w:rsidRDefault="00145EBE" w:rsidP="00145EBE">
            <w:pPr>
              <w:pStyle w:val="TT"/>
              <w:keepLines/>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(2.134.989)</w:t>
            </w:r>
          </w:p>
        </w:tc>
      </w:tr>
      <w:tr w:rsidR="00145EBE" w:rsidRPr="001567C8" w:rsidTr="00441617">
        <w:tc>
          <w:tcPr>
            <w:tcW w:w="3652" w:type="pct"/>
          </w:tcPr>
          <w:p w:rsidR="00145EBE" w:rsidRPr="001567C8" w:rsidRDefault="00145EBE" w:rsidP="00145EBE">
            <w:pPr>
              <w:pStyle w:val="TT"/>
              <w:keepLines/>
              <w:spacing w:line="220" w:lineRule="exact"/>
              <w:rPr>
                <w:rFonts w:asciiTheme="minorHAnsi" w:hAnsiTheme="minorHAnsi" w:cstheme="minorHAnsi"/>
                <w:spacing w:val="-2"/>
                <w:szCs w:val="19"/>
                <w:lang w:val="hr-HR"/>
              </w:rPr>
            </w:pPr>
            <w:r w:rsidRPr="001567C8">
              <w:rPr>
                <w:rFonts w:asciiTheme="minorHAnsi" w:hAnsiTheme="minorHAnsi" w:cstheme="minorHAnsi"/>
                <w:szCs w:val="19"/>
                <w:lang w:val="hr-HR"/>
              </w:rPr>
              <w:t xml:space="preserve">Prodaja </w:t>
            </w:r>
            <w:r w:rsidRPr="001567C8">
              <w:rPr>
                <w:rFonts w:asciiTheme="minorHAnsi" w:hAnsiTheme="minorHAnsi" w:cstheme="minorHAnsi"/>
                <w:spacing w:val="-2"/>
                <w:szCs w:val="19"/>
                <w:lang w:val="hr-HR"/>
              </w:rPr>
              <w:t>imovine raspoložive za prodaju</w:t>
            </w:r>
          </w:p>
        </w:tc>
        <w:tc>
          <w:tcPr>
            <w:tcW w:w="688" w:type="pct"/>
            <w:vAlign w:val="bottom"/>
          </w:tcPr>
          <w:p w:rsidR="00145EBE" w:rsidRPr="001567C8" w:rsidRDefault="005A0701" w:rsidP="00145EBE">
            <w:pPr>
              <w:pStyle w:val="TT"/>
              <w:keepLines/>
              <w:spacing w:line="220" w:lineRule="exact"/>
              <w:jc w:val="right"/>
              <w:rPr>
                <w:rFonts w:asciiTheme="minorHAnsi" w:hAnsiTheme="minorHAnsi" w:cstheme="minorHAnsi"/>
                <w:spacing w:val="-2"/>
                <w:szCs w:val="19"/>
                <w:lang w:val="hr-HR"/>
              </w:rPr>
            </w:pPr>
            <w:r w:rsidRPr="001567C8">
              <w:rPr>
                <w:rFonts w:asciiTheme="minorHAnsi" w:hAnsiTheme="minorHAnsi" w:cstheme="minorHAnsi"/>
                <w:spacing w:val="-2"/>
                <w:szCs w:val="19"/>
                <w:lang w:val="hr-HR"/>
              </w:rPr>
              <w:t>n/p</w:t>
            </w:r>
          </w:p>
        </w:tc>
        <w:tc>
          <w:tcPr>
            <w:tcW w:w="660" w:type="pct"/>
            <w:vAlign w:val="bottom"/>
          </w:tcPr>
          <w:p w:rsidR="00145EBE" w:rsidRPr="001567C8" w:rsidRDefault="00145EBE" w:rsidP="00145EBE">
            <w:pPr>
              <w:pStyle w:val="TT"/>
              <w:keepLines/>
              <w:spacing w:line="220" w:lineRule="exact"/>
              <w:jc w:val="right"/>
              <w:rPr>
                <w:rFonts w:asciiTheme="minorHAnsi" w:hAnsiTheme="minorHAnsi" w:cstheme="minorHAnsi"/>
                <w:spacing w:val="-2"/>
                <w:szCs w:val="19"/>
                <w:lang w:val="hr-HR"/>
              </w:rPr>
            </w:pPr>
            <w:r w:rsidRPr="001567C8">
              <w:rPr>
                <w:rFonts w:asciiTheme="minorHAnsi" w:hAnsiTheme="minorHAnsi" w:cstheme="minorHAnsi"/>
                <w:spacing w:val="-2"/>
                <w:szCs w:val="19"/>
                <w:lang w:val="hr-HR"/>
              </w:rPr>
              <w:t>2.217.157</w:t>
            </w:r>
          </w:p>
        </w:tc>
      </w:tr>
      <w:tr w:rsidR="005A0701" w:rsidRPr="001567C8" w:rsidTr="00441617">
        <w:tc>
          <w:tcPr>
            <w:tcW w:w="3652" w:type="pct"/>
          </w:tcPr>
          <w:p w:rsidR="005A0701" w:rsidRPr="001567C8" w:rsidRDefault="005A0701" w:rsidP="005A0701">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Prodaja financijske imovine po fer vrijednosti kroz dobit i</w:t>
            </w:r>
            <w:r w:rsidR="009A07E7" w:rsidRPr="001567C8">
              <w:rPr>
                <w:rFonts w:asciiTheme="minorHAnsi" w:hAnsiTheme="minorHAnsi" w:cstheme="minorHAnsi"/>
                <w:szCs w:val="19"/>
                <w:lang w:val="hr-HR"/>
              </w:rPr>
              <w:t>li</w:t>
            </w:r>
            <w:r w:rsidRPr="001567C8">
              <w:rPr>
                <w:rFonts w:asciiTheme="minorHAnsi" w:hAnsiTheme="minorHAnsi" w:cstheme="minorHAnsi"/>
                <w:szCs w:val="19"/>
                <w:lang w:val="hr-HR"/>
              </w:rPr>
              <w:t xml:space="preserve"> gubit</w:t>
            </w:r>
            <w:r w:rsidR="009A07E7" w:rsidRPr="001567C8">
              <w:rPr>
                <w:rFonts w:asciiTheme="minorHAnsi" w:hAnsiTheme="minorHAnsi" w:cstheme="minorHAnsi"/>
                <w:szCs w:val="19"/>
                <w:lang w:val="hr-HR"/>
              </w:rPr>
              <w:t>ak</w:t>
            </w:r>
          </w:p>
        </w:tc>
        <w:tc>
          <w:tcPr>
            <w:tcW w:w="688" w:type="pct"/>
            <w:tcBorders>
              <w:top w:val="nil"/>
              <w:left w:val="nil"/>
              <w:bottom w:val="nil"/>
              <w:right w:val="nil"/>
            </w:tcBorders>
            <w:shd w:val="clear" w:color="000000" w:fill="auto"/>
            <w:vAlign w:val="bottom"/>
          </w:tcPr>
          <w:p w:rsidR="005A0701" w:rsidRPr="001567C8" w:rsidRDefault="005A0701" w:rsidP="005A0701">
            <w:pPr>
              <w:pStyle w:val="TT"/>
              <w:keepLines/>
              <w:spacing w:line="220" w:lineRule="exact"/>
              <w:jc w:val="right"/>
              <w:rPr>
                <w:rFonts w:asciiTheme="minorHAnsi" w:hAnsiTheme="minorHAnsi" w:cstheme="minorHAnsi"/>
                <w:spacing w:val="-2"/>
                <w:szCs w:val="19"/>
                <w:lang w:val="hr-HR"/>
              </w:rPr>
            </w:pPr>
            <w:r w:rsidRPr="00CD3A2D">
              <w:rPr>
                <w:rFonts w:asciiTheme="minorHAnsi" w:hAnsiTheme="minorHAnsi" w:cstheme="minorHAnsi"/>
                <w:color w:val="000000"/>
                <w:szCs w:val="19"/>
                <w:lang w:val="hr-HR"/>
              </w:rPr>
              <w:t xml:space="preserve">        473.600 </w:t>
            </w:r>
          </w:p>
        </w:tc>
        <w:tc>
          <w:tcPr>
            <w:tcW w:w="660" w:type="pct"/>
          </w:tcPr>
          <w:p w:rsidR="005A0701" w:rsidRPr="001567C8" w:rsidRDefault="005A0701" w:rsidP="005A0701">
            <w:pPr>
              <w:pStyle w:val="TT"/>
              <w:keepLines/>
              <w:spacing w:line="220" w:lineRule="exact"/>
              <w:jc w:val="right"/>
              <w:rPr>
                <w:rFonts w:asciiTheme="minorHAnsi" w:hAnsiTheme="minorHAnsi" w:cstheme="minorHAnsi"/>
                <w:spacing w:val="-2"/>
                <w:szCs w:val="19"/>
                <w:lang w:val="hr-HR"/>
              </w:rPr>
            </w:pPr>
            <w:r w:rsidRPr="00CD3A2D">
              <w:rPr>
                <w:rFonts w:asciiTheme="minorHAnsi" w:hAnsiTheme="minorHAnsi" w:cstheme="minorHAnsi"/>
                <w:lang w:val="hr-HR"/>
              </w:rPr>
              <w:t xml:space="preserve">n/p </w:t>
            </w:r>
          </w:p>
        </w:tc>
      </w:tr>
      <w:tr w:rsidR="005A0701" w:rsidRPr="001567C8" w:rsidTr="00441617">
        <w:tc>
          <w:tcPr>
            <w:tcW w:w="3652" w:type="pct"/>
          </w:tcPr>
          <w:p w:rsidR="005A0701" w:rsidRPr="001567C8" w:rsidRDefault="005A0701" w:rsidP="005A0701">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Kupovina financijske imovine po fer vrijednosti kroz ostalu sveobuhvatnu dobit</w:t>
            </w:r>
          </w:p>
        </w:tc>
        <w:tc>
          <w:tcPr>
            <w:tcW w:w="688" w:type="pct"/>
            <w:tcBorders>
              <w:top w:val="nil"/>
              <w:left w:val="nil"/>
              <w:bottom w:val="nil"/>
              <w:right w:val="nil"/>
            </w:tcBorders>
            <w:shd w:val="clear" w:color="000000" w:fill="auto"/>
            <w:vAlign w:val="bottom"/>
          </w:tcPr>
          <w:p w:rsidR="005A0701" w:rsidRPr="001567C8" w:rsidRDefault="005A0701" w:rsidP="005A0701">
            <w:pPr>
              <w:pStyle w:val="TT"/>
              <w:keepLines/>
              <w:spacing w:line="220" w:lineRule="exact"/>
              <w:jc w:val="right"/>
              <w:rPr>
                <w:rFonts w:asciiTheme="minorHAnsi" w:hAnsiTheme="minorHAnsi" w:cstheme="minorHAnsi"/>
                <w:spacing w:val="-2"/>
                <w:szCs w:val="19"/>
                <w:lang w:val="hr-HR"/>
              </w:rPr>
            </w:pPr>
            <w:r w:rsidRPr="00CD3A2D">
              <w:rPr>
                <w:rFonts w:asciiTheme="minorHAnsi" w:hAnsiTheme="minorHAnsi" w:cstheme="minorHAnsi"/>
                <w:color w:val="000000"/>
                <w:szCs w:val="19"/>
                <w:lang w:val="hr-HR"/>
              </w:rPr>
              <w:t xml:space="preserve">   (1.857.535)</w:t>
            </w:r>
          </w:p>
        </w:tc>
        <w:tc>
          <w:tcPr>
            <w:tcW w:w="660" w:type="pct"/>
          </w:tcPr>
          <w:p w:rsidR="005A0701" w:rsidRPr="001567C8" w:rsidRDefault="005A0701" w:rsidP="005A0701">
            <w:pPr>
              <w:pStyle w:val="TT"/>
              <w:keepLines/>
              <w:spacing w:line="220" w:lineRule="exact"/>
              <w:jc w:val="right"/>
              <w:rPr>
                <w:rFonts w:asciiTheme="minorHAnsi" w:hAnsiTheme="minorHAnsi" w:cstheme="minorHAnsi"/>
                <w:spacing w:val="-2"/>
                <w:szCs w:val="19"/>
                <w:lang w:val="hr-HR"/>
              </w:rPr>
            </w:pPr>
            <w:r w:rsidRPr="00CD3A2D">
              <w:rPr>
                <w:rFonts w:asciiTheme="minorHAnsi" w:hAnsiTheme="minorHAnsi" w:cstheme="minorHAnsi"/>
                <w:lang w:val="hr-HR"/>
              </w:rPr>
              <w:t xml:space="preserve">n/p </w:t>
            </w:r>
          </w:p>
        </w:tc>
      </w:tr>
      <w:tr w:rsidR="005A0701" w:rsidRPr="001567C8" w:rsidTr="00441617">
        <w:tc>
          <w:tcPr>
            <w:tcW w:w="3652" w:type="pct"/>
          </w:tcPr>
          <w:p w:rsidR="005A0701" w:rsidRPr="001567C8" w:rsidRDefault="005A0701" w:rsidP="005A0701">
            <w:pPr>
              <w:pStyle w:val="T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Prodaja financijske imovine po fer vrijednosti kroz ostalu sveobuhvatnu dobit</w:t>
            </w:r>
          </w:p>
        </w:tc>
        <w:tc>
          <w:tcPr>
            <w:tcW w:w="688" w:type="pct"/>
            <w:tcBorders>
              <w:top w:val="nil"/>
              <w:left w:val="nil"/>
              <w:right w:val="nil"/>
            </w:tcBorders>
            <w:shd w:val="clear" w:color="000000" w:fill="auto"/>
            <w:vAlign w:val="bottom"/>
          </w:tcPr>
          <w:p w:rsidR="005A0701" w:rsidRPr="001567C8" w:rsidRDefault="005A0701" w:rsidP="005A0701">
            <w:pPr>
              <w:pStyle w:val="TT"/>
              <w:keepLines/>
              <w:spacing w:line="220" w:lineRule="exact"/>
              <w:jc w:val="right"/>
              <w:rPr>
                <w:rFonts w:asciiTheme="minorHAnsi" w:hAnsiTheme="minorHAnsi" w:cstheme="minorHAnsi"/>
                <w:spacing w:val="-2"/>
                <w:szCs w:val="19"/>
                <w:lang w:val="hr-HR"/>
              </w:rPr>
            </w:pPr>
            <w:r w:rsidRPr="00CD3A2D">
              <w:rPr>
                <w:rFonts w:asciiTheme="minorHAnsi" w:hAnsiTheme="minorHAnsi" w:cstheme="minorHAnsi"/>
                <w:color w:val="000000"/>
                <w:szCs w:val="19"/>
                <w:lang w:val="hr-HR"/>
              </w:rPr>
              <w:t xml:space="preserve">     1.517.138 </w:t>
            </w:r>
          </w:p>
        </w:tc>
        <w:tc>
          <w:tcPr>
            <w:tcW w:w="660" w:type="pct"/>
          </w:tcPr>
          <w:p w:rsidR="005A0701" w:rsidRPr="001567C8" w:rsidRDefault="005A0701" w:rsidP="005A0701">
            <w:pPr>
              <w:pStyle w:val="TT"/>
              <w:keepLines/>
              <w:spacing w:line="220" w:lineRule="exact"/>
              <w:jc w:val="right"/>
              <w:rPr>
                <w:rFonts w:asciiTheme="minorHAnsi" w:hAnsiTheme="minorHAnsi" w:cstheme="minorHAnsi"/>
                <w:spacing w:val="-2"/>
                <w:szCs w:val="19"/>
                <w:lang w:val="hr-HR"/>
              </w:rPr>
            </w:pPr>
            <w:r w:rsidRPr="00CD3A2D">
              <w:rPr>
                <w:rFonts w:asciiTheme="minorHAnsi" w:hAnsiTheme="minorHAnsi" w:cstheme="minorHAnsi"/>
                <w:lang w:val="hr-HR"/>
              </w:rPr>
              <w:t xml:space="preserve">n/p </w:t>
            </w:r>
          </w:p>
        </w:tc>
      </w:tr>
      <w:tr w:rsidR="005A0701" w:rsidRPr="001567C8" w:rsidTr="005A0701">
        <w:tc>
          <w:tcPr>
            <w:tcW w:w="3652" w:type="pct"/>
          </w:tcPr>
          <w:p w:rsidR="005A0701" w:rsidRPr="001567C8" w:rsidRDefault="005A0701" w:rsidP="005A0701">
            <w:pPr>
              <w:pStyle w:val="TT"/>
              <w:keepLines/>
              <w:spacing w:line="220" w:lineRule="exact"/>
              <w:rPr>
                <w:rFonts w:asciiTheme="minorHAnsi" w:hAnsiTheme="minorHAnsi" w:cstheme="minorHAnsi"/>
                <w:spacing w:val="-2"/>
                <w:szCs w:val="19"/>
                <w:lang w:val="hr-HR"/>
              </w:rPr>
            </w:pPr>
            <w:r w:rsidRPr="001567C8">
              <w:rPr>
                <w:rFonts w:asciiTheme="minorHAnsi" w:hAnsiTheme="minorHAnsi" w:cstheme="minorHAnsi"/>
                <w:spacing w:val="-2"/>
                <w:szCs w:val="19"/>
                <w:lang w:val="hr-HR"/>
              </w:rPr>
              <w:t>Neto nabava nekretnina, postrojenja i opreme i nematerijalne imovine</w:t>
            </w:r>
          </w:p>
        </w:tc>
        <w:tc>
          <w:tcPr>
            <w:tcW w:w="688" w:type="pct"/>
            <w:tcBorders>
              <w:top w:val="nil"/>
              <w:left w:val="nil"/>
              <w:bottom w:val="single" w:sz="4" w:space="0" w:color="auto"/>
              <w:right w:val="nil"/>
            </w:tcBorders>
            <w:shd w:val="clear" w:color="000000" w:fill="auto"/>
            <w:vAlign w:val="bottom"/>
          </w:tcPr>
          <w:p w:rsidR="005A0701" w:rsidRPr="001567C8" w:rsidRDefault="005A0701" w:rsidP="005A0701">
            <w:pPr>
              <w:pStyle w:val="CommentText"/>
              <w:keepLines/>
              <w:jc w:val="right"/>
              <w:rPr>
                <w:rFonts w:asciiTheme="minorHAnsi" w:hAnsiTheme="minorHAnsi" w:cstheme="minorHAnsi"/>
                <w:spacing w:val="-2"/>
                <w:sz w:val="19"/>
                <w:szCs w:val="19"/>
                <w:lang w:val="hr-HR"/>
              </w:rPr>
            </w:pPr>
            <w:r w:rsidRPr="00CD3A2D">
              <w:rPr>
                <w:rFonts w:asciiTheme="minorHAnsi" w:hAnsiTheme="minorHAnsi" w:cstheme="minorHAnsi"/>
                <w:color w:val="000000"/>
                <w:sz w:val="19"/>
                <w:szCs w:val="19"/>
                <w:lang w:val="hr-HR"/>
              </w:rPr>
              <w:t xml:space="preserve">           (3.470)</w:t>
            </w:r>
          </w:p>
        </w:tc>
        <w:tc>
          <w:tcPr>
            <w:tcW w:w="660" w:type="pct"/>
            <w:tcBorders>
              <w:bottom w:val="single" w:sz="4" w:space="0" w:color="auto"/>
            </w:tcBorders>
            <w:vAlign w:val="bottom"/>
          </w:tcPr>
          <w:p w:rsidR="005A0701" w:rsidRPr="001567C8" w:rsidRDefault="005A0701" w:rsidP="005A0701">
            <w:pPr>
              <w:pStyle w:val="CommentText"/>
              <w:keepLines/>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(3.716)</w:t>
            </w:r>
          </w:p>
        </w:tc>
      </w:tr>
      <w:tr w:rsidR="00145EBE" w:rsidRPr="001567C8" w:rsidTr="005A0701">
        <w:trPr>
          <w:trHeight w:val="196"/>
        </w:trPr>
        <w:tc>
          <w:tcPr>
            <w:tcW w:w="3652" w:type="pct"/>
          </w:tcPr>
          <w:p w:rsidR="00145EBE" w:rsidRPr="001567C8" w:rsidRDefault="00145EBE" w:rsidP="00145EBE">
            <w:pPr>
              <w:pStyle w:val="Tot"/>
              <w:keepLines/>
              <w:spacing w:line="220" w:lineRule="exact"/>
              <w:rPr>
                <w:rFonts w:asciiTheme="minorHAnsi" w:hAnsiTheme="minorHAnsi" w:cstheme="minorHAnsi"/>
                <w:b/>
                <w:bCs/>
                <w:szCs w:val="19"/>
                <w:lang w:val="hr-HR"/>
              </w:rPr>
            </w:pPr>
            <w:r w:rsidRPr="001567C8">
              <w:rPr>
                <w:rFonts w:asciiTheme="minorHAnsi" w:hAnsiTheme="minorHAnsi" w:cstheme="minorHAnsi"/>
                <w:b/>
                <w:bCs/>
                <w:szCs w:val="19"/>
                <w:lang w:val="hr-HR"/>
              </w:rPr>
              <w:t>Neto novčana sredstva ostvarena u ulagateljskim aktivnostima</w:t>
            </w:r>
          </w:p>
        </w:tc>
        <w:tc>
          <w:tcPr>
            <w:tcW w:w="688" w:type="pct"/>
            <w:tcBorders>
              <w:top w:val="single" w:sz="4" w:space="0" w:color="auto"/>
              <w:bottom w:val="single" w:sz="12" w:space="0" w:color="auto"/>
            </w:tcBorders>
            <w:vAlign w:val="bottom"/>
          </w:tcPr>
          <w:p w:rsidR="00145EBE" w:rsidRPr="001567C8" w:rsidRDefault="005A0701" w:rsidP="00145EBE">
            <w:pPr>
              <w:pStyle w:val="T2"/>
              <w:keepNext w:val="0"/>
              <w:spacing w:line="220" w:lineRule="exact"/>
              <w:jc w:val="right"/>
              <w:rPr>
                <w:rFonts w:asciiTheme="minorHAnsi" w:hAnsiTheme="minorHAnsi" w:cstheme="minorHAnsi"/>
                <w:b/>
                <w:bCs/>
                <w:spacing w:val="-2"/>
                <w:szCs w:val="19"/>
                <w:lang w:val="hr-HR"/>
              </w:rPr>
            </w:pPr>
            <w:r w:rsidRPr="001567C8">
              <w:rPr>
                <w:rFonts w:asciiTheme="minorHAnsi" w:hAnsiTheme="minorHAnsi" w:cstheme="minorHAnsi"/>
                <w:b/>
                <w:bCs/>
                <w:spacing w:val="-2"/>
                <w:szCs w:val="19"/>
                <w:lang w:val="hr-HR"/>
              </w:rPr>
              <w:t>129.733</w:t>
            </w:r>
          </w:p>
        </w:tc>
        <w:tc>
          <w:tcPr>
            <w:tcW w:w="660" w:type="pct"/>
            <w:tcBorders>
              <w:top w:val="single" w:sz="4" w:space="0" w:color="auto"/>
              <w:bottom w:val="single" w:sz="12" w:space="0" w:color="auto"/>
            </w:tcBorders>
            <w:vAlign w:val="bottom"/>
          </w:tcPr>
          <w:p w:rsidR="00145EBE" w:rsidRPr="001567C8" w:rsidRDefault="00145EBE" w:rsidP="00145EBE">
            <w:pPr>
              <w:pStyle w:val="T2"/>
              <w:keepNext w:val="0"/>
              <w:spacing w:line="220" w:lineRule="exact"/>
              <w:jc w:val="right"/>
              <w:rPr>
                <w:rFonts w:asciiTheme="minorHAnsi" w:hAnsiTheme="minorHAnsi" w:cstheme="minorHAnsi"/>
                <w:b/>
                <w:bCs/>
                <w:spacing w:val="-2"/>
                <w:szCs w:val="19"/>
                <w:lang w:val="hr-HR"/>
              </w:rPr>
            </w:pPr>
            <w:r w:rsidRPr="001567C8">
              <w:rPr>
                <w:rFonts w:asciiTheme="minorHAnsi" w:hAnsiTheme="minorHAnsi" w:cstheme="minorHAnsi"/>
                <w:b/>
                <w:bCs/>
                <w:spacing w:val="-2"/>
                <w:szCs w:val="19"/>
                <w:lang w:val="hr-HR"/>
              </w:rPr>
              <w:t>78.452</w:t>
            </w:r>
          </w:p>
        </w:tc>
      </w:tr>
      <w:tr w:rsidR="00145EBE" w:rsidRPr="001567C8" w:rsidTr="00D400FE">
        <w:tc>
          <w:tcPr>
            <w:tcW w:w="3652" w:type="pct"/>
          </w:tcPr>
          <w:p w:rsidR="00145EBE" w:rsidRPr="001567C8" w:rsidRDefault="00145EBE" w:rsidP="00145EBE">
            <w:pPr>
              <w:pStyle w:val="TT"/>
              <w:keepLines/>
              <w:spacing w:line="220" w:lineRule="exact"/>
              <w:rPr>
                <w:rFonts w:asciiTheme="minorHAnsi" w:hAnsiTheme="minorHAnsi" w:cstheme="minorHAnsi"/>
                <w:b/>
                <w:bCs/>
                <w:spacing w:val="-3"/>
                <w:szCs w:val="19"/>
                <w:lang w:val="hr-HR"/>
              </w:rPr>
            </w:pPr>
            <w:r w:rsidRPr="001567C8">
              <w:rPr>
                <w:rFonts w:asciiTheme="minorHAnsi" w:hAnsiTheme="minorHAnsi" w:cstheme="minorHAnsi"/>
                <w:b/>
                <w:bCs/>
                <w:szCs w:val="19"/>
                <w:lang w:val="hr-HR"/>
              </w:rPr>
              <w:t>Financijske aktivnosti</w:t>
            </w:r>
          </w:p>
        </w:tc>
        <w:tc>
          <w:tcPr>
            <w:tcW w:w="688" w:type="pct"/>
            <w:tcBorders>
              <w:top w:val="single" w:sz="12" w:space="0" w:color="auto"/>
            </w:tcBorders>
            <w:vAlign w:val="bottom"/>
          </w:tcPr>
          <w:p w:rsidR="00145EBE" w:rsidRPr="001567C8" w:rsidRDefault="00145EBE" w:rsidP="00145EBE">
            <w:pPr>
              <w:pStyle w:val="TT"/>
              <w:keepLines/>
              <w:spacing w:line="220" w:lineRule="exact"/>
              <w:jc w:val="right"/>
              <w:rPr>
                <w:rFonts w:asciiTheme="minorHAnsi" w:hAnsiTheme="minorHAnsi" w:cstheme="minorHAnsi"/>
                <w:b/>
                <w:bCs/>
                <w:szCs w:val="19"/>
                <w:lang w:val="hr-HR"/>
              </w:rPr>
            </w:pPr>
          </w:p>
        </w:tc>
        <w:tc>
          <w:tcPr>
            <w:tcW w:w="660" w:type="pct"/>
            <w:tcBorders>
              <w:top w:val="single" w:sz="12" w:space="0" w:color="auto"/>
            </w:tcBorders>
            <w:vAlign w:val="bottom"/>
          </w:tcPr>
          <w:p w:rsidR="00145EBE" w:rsidRPr="001567C8" w:rsidRDefault="00145EBE" w:rsidP="00145EBE">
            <w:pPr>
              <w:pStyle w:val="TT"/>
              <w:keepLines/>
              <w:spacing w:line="220" w:lineRule="exact"/>
              <w:jc w:val="right"/>
              <w:rPr>
                <w:rFonts w:asciiTheme="minorHAnsi" w:hAnsiTheme="minorHAnsi" w:cstheme="minorHAnsi"/>
                <w:b/>
                <w:bCs/>
                <w:szCs w:val="19"/>
                <w:lang w:val="hr-HR"/>
              </w:rPr>
            </w:pPr>
          </w:p>
        </w:tc>
      </w:tr>
      <w:tr w:rsidR="005A0701" w:rsidRPr="001567C8" w:rsidTr="005A0701">
        <w:tc>
          <w:tcPr>
            <w:tcW w:w="3652" w:type="pct"/>
          </w:tcPr>
          <w:p w:rsidR="005A0701" w:rsidRPr="001567C8" w:rsidRDefault="005A0701" w:rsidP="005A0701">
            <w:pPr>
              <w:pStyle w:val="TT"/>
              <w:keepLines/>
              <w:spacing w:line="22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Povećanje osnivačkog kapitala</w:t>
            </w:r>
          </w:p>
        </w:tc>
        <w:tc>
          <w:tcPr>
            <w:tcW w:w="688" w:type="pct"/>
            <w:tcBorders>
              <w:top w:val="nil"/>
              <w:left w:val="nil"/>
              <w:bottom w:val="nil"/>
              <w:right w:val="nil"/>
            </w:tcBorders>
            <w:shd w:val="clear" w:color="auto" w:fill="auto"/>
            <w:vAlign w:val="bottom"/>
          </w:tcPr>
          <w:p w:rsidR="005A0701" w:rsidRPr="001567C8" w:rsidRDefault="005A0701" w:rsidP="005A0701">
            <w:pPr>
              <w:pStyle w:val="TT"/>
              <w:keepLines/>
              <w:spacing w:line="220" w:lineRule="exact"/>
              <w:jc w:val="right"/>
              <w:rPr>
                <w:rFonts w:asciiTheme="minorHAnsi" w:hAnsiTheme="minorHAnsi" w:cstheme="minorHAnsi"/>
                <w:spacing w:val="-2"/>
                <w:szCs w:val="19"/>
                <w:lang w:val="hr-HR"/>
              </w:rPr>
            </w:pPr>
            <w:r w:rsidRPr="00CD3A2D">
              <w:rPr>
                <w:rFonts w:asciiTheme="minorHAnsi" w:hAnsiTheme="minorHAnsi" w:cstheme="minorHAnsi"/>
                <w:color w:val="000000"/>
                <w:szCs w:val="19"/>
                <w:lang w:val="hr-HR"/>
              </w:rPr>
              <w:t xml:space="preserve">           50.000 </w:t>
            </w:r>
          </w:p>
        </w:tc>
        <w:tc>
          <w:tcPr>
            <w:tcW w:w="660" w:type="pct"/>
          </w:tcPr>
          <w:p w:rsidR="005A0701" w:rsidRPr="00CD3A2D" w:rsidRDefault="005A0701" w:rsidP="005A0701">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pacing w:val="-2"/>
                <w:szCs w:val="19"/>
                <w:lang w:val="hr-HR"/>
              </w:rPr>
              <w:t>50.000</w:t>
            </w:r>
          </w:p>
        </w:tc>
      </w:tr>
      <w:tr w:rsidR="005A0701" w:rsidRPr="001567C8" w:rsidTr="005A0701">
        <w:tc>
          <w:tcPr>
            <w:tcW w:w="3652" w:type="pct"/>
          </w:tcPr>
          <w:p w:rsidR="005A0701" w:rsidRPr="001567C8" w:rsidRDefault="005A0701" w:rsidP="005A0701">
            <w:pPr>
              <w:pStyle w:val="TT"/>
              <w:keepLines/>
              <w:spacing w:line="22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Povećanje obveza po kreditima povlačenjem sredstava kredita</w:t>
            </w:r>
          </w:p>
        </w:tc>
        <w:tc>
          <w:tcPr>
            <w:tcW w:w="688" w:type="pct"/>
            <w:tcBorders>
              <w:top w:val="nil"/>
              <w:left w:val="nil"/>
              <w:bottom w:val="nil"/>
              <w:right w:val="nil"/>
            </w:tcBorders>
            <w:shd w:val="clear" w:color="auto" w:fill="auto"/>
            <w:vAlign w:val="bottom"/>
          </w:tcPr>
          <w:p w:rsidR="005A0701" w:rsidRPr="001567C8" w:rsidRDefault="005A0701" w:rsidP="005A0701">
            <w:pPr>
              <w:pStyle w:val="TT"/>
              <w:keepLines/>
              <w:spacing w:line="220" w:lineRule="exact"/>
              <w:jc w:val="right"/>
              <w:rPr>
                <w:rFonts w:asciiTheme="minorHAnsi" w:hAnsiTheme="minorHAnsi" w:cstheme="minorHAnsi"/>
                <w:spacing w:val="-2"/>
                <w:szCs w:val="19"/>
                <w:lang w:val="hr-HR"/>
              </w:rPr>
            </w:pPr>
            <w:r w:rsidRPr="00CD3A2D">
              <w:rPr>
                <w:rFonts w:asciiTheme="minorHAnsi" w:hAnsiTheme="minorHAnsi" w:cstheme="minorHAnsi"/>
                <w:color w:val="000000"/>
                <w:szCs w:val="19"/>
                <w:lang w:val="hr-HR"/>
              </w:rPr>
              <w:t xml:space="preserve">     2.284.763 </w:t>
            </w:r>
          </w:p>
        </w:tc>
        <w:tc>
          <w:tcPr>
            <w:tcW w:w="660" w:type="pct"/>
          </w:tcPr>
          <w:p w:rsidR="005A0701" w:rsidRPr="00CD3A2D" w:rsidRDefault="005A0701" w:rsidP="005A0701">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pacing w:val="-2"/>
                <w:szCs w:val="19"/>
                <w:lang w:val="hr-HR"/>
              </w:rPr>
              <w:t>3.849.787</w:t>
            </w:r>
          </w:p>
        </w:tc>
      </w:tr>
      <w:tr w:rsidR="005A0701" w:rsidRPr="001567C8" w:rsidTr="005A0701">
        <w:tc>
          <w:tcPr>
            <w:tcW w:w="3652" w:type="pct"/>
          </w:tcPr>
          <w:p w:rsidR="005A0701" w:rsidRPr="001567C8" w:rsidRDefault="005A0701" w:rsidP="005A0701">
            <w:pPr>
              <w:pStyle w:val="TT"/>
              <w:keepLines/>
              <w:spacing w:line="22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Smanjenje obveza po kreditima otplatom glavnice kredita</w:t>
            </w:r>
          </w:p>
        </w:tc>
        <w:tc>
          <w:tcPr>
            <w:tcW w:w="688" w:type="pct"/>
            <w:tcBorders>
              <w:top w:val="nil"/>
              <w:left w:val="nil"/>
              <w:right w:val="nil"/>
            </w:tcBorders>
            <w:shd w:val="clear" w:color="auto" w:fill="auto"/>
            <w:vAlign w:val="bottom"/>
          </w:tcPr>
          <w:p w:rsidR="005A0701" w:rsidRPr="001567C8" w:rsidRDefault="005A0701" w:rsidP="005A0701">
            <w:pPr>
              <w:pStyle w:val="TT"/>
              <w:keepLines/>
              <w:spacing w:line="220" w:lineRule="exact"/>
              <w:jc w:val="right"/>
              <w:rPr>
                <w:rFonts w:asciiTheme="minorHAnsi" w:hAnsiTheme="minorHAnsi" w:cstheme="minorHAnsi"/>
                <w:spacing w:val="-2"/>
                <w:szCs w:val="19"/>
                <w:lang w:val="hr-HR"/>
              </w:rPr>
            </w:pPr>
            <w:r w:rsidRPr="00CD3A2D">
              <w:rPr>
                <w:rFonts w:asciiTheme="minorHAnsi" w:hAnsiTheme="minorHAnsi" w:cstheme="minorHAnsi"/>
                <w:color w:val="000000"/>
                <w:szCs w:val="19"/>
                <w:lang w:val="hr-HR"/>
              </w:rPr>
              <w:t xml:space="preserve">   (2.658.936)</w:t>
            </w:r>
          </w:p>
        </w:tc>
        <w:tc>
          <w:tcPr>
            <w:tcW w:w="660" w:type="pct"/>
          </w:tcPr>
          <w:p w:rsidR="005A0701" w:rsidRPr="00CD3A2D" w:rsidRDefault="005A0701" w:rsidP="005A0701">
            <w:pPr>
              <w:pStyle w:val="TT"/>
              <w:keepLines/>
              <w:spacing w:line="220" w:lineRule="exact"/>
              <w:jc w:val="right"/>
              <w:rPr>
                <w:rFonts w:asciiTheme="minorHAnsi" w:hAnsiTheme="minorHAnsi" w:cstheme="minorHAnsi"/>
                <w:szCs w:val="19"/>
                <w:lang w:val="hr-HR"/>
              </w:rPr>
            </w:pPr>
            <w:r w:rsidRPr="001567C8">
              <w:rPr>
                <w:rFonts w:asciiTheme="minorHAnsi" w:hAnsiTheme="minorHAnsi" w:cstheme="minorHAnsi"/>
                <w:spacing w:val="-2"/>
                <w:szCs w:val="19"/>
                <w:lang w:val="hr-HR"/>
              </w:rPr>
              <w:t>(1.729.575)</w:t>
            </w:r>
          </w:p>
        </w:tc>
      </w:tr>
      <w:tr w:rsidR="00145EBE" w:rsidRPr="001567C8" w:rsidTr="005A0701">
        <w:tc>
          <w:tcPr>
            <w:tcW w:w="3652" w:type="pct"/>
          </w:tcPr>
          <w:p w:rsidR="00145EBE" w:rsidRPr="001567C8" w:rsidRDefault="00145EBE" w:rsidP="00145EBE">
            <w:pPr>
              <w:pStyle w:val="TT"/>
              <w:keepLines/>
              <w:spacing w:line="22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 xml:space="preserve">Smanjenje obveza za izdane dugoročne vrijednosne papire isplatom </w:t>
            </w:r>
          </w:p>
        </w:tc>
        <w:tc>
          <w:tcPr>
            <w:tcW w:w="688" w:type="pct"/>
          </w:tcPr>
          <w:p w:rsidR="00145EBE" w:rsidRPr="001567C8" w:rsidRDefault="005A0701" w:rsidP="00145EBE">
            <w:pPr>
              <w:pStyle w:val="CommentText"/>
              <w:keepLines/>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w:t>
            </w:r>
          </w:p>
        </w:tc>
        <w:tc>
          <w:tcPr>
            <w:tcW w:w="660" w:type="pct"/>
          </w:tcPr>
          <w:p w:rsidR="00145EBE" w:rsidRPr="00CD3A2D" w:rsidRDefault="00145EBE" w:rsidP="00145EBE">
            <w:pPr>
              <w:pStyle w:val="CommentText"/>
              <w:keepLines/>
              <w:jc w:val="right"/>
              <w:rPr>
                <w:rFonts w:asciiTheme="minorHAnsi" w:hAnsiTheme="minorHAnsi" w:cstheme="minorHAnsi"/>
                <w:sz w:val="19"/>
                <w:szCs w:val="19"/>
                <w:lang w:val="hr-HR"/>
              </w:rPr>
            </w:pPr>
            <w:r w:rsidRPr="001567C8">
              <w:rPr>
                <w:rFonts w:asciiTheme="minorHAnsi" w:hAnsiTheme="minorHAnsi" w:cstheme="minorHAnsi"/>
                <w:spacing w:val="-2"/>
                <w:sz w:val="19"/>
                <w:szCs w:val="19"/>
                <w:lang w:val="hr-HR"/>
              </w:rPr>
              <w:t>(1.852.051)</w:t>
            </w:r>
          </w:p>
        </w:tc>
      </w:tr>
      <w:tr w:rsidR="005A0701" w:rsidRPr="001567C8" w:rsidTr="003C6BA3">
        <w:tc>
          <w:tcPr>
            <w:tcW w:w="3652" w:type="pct"/>
            <w:vAlign w:val="bottom"/>
          </w:tcPr>
          <w:p w:rsidR="005A0701" w:rsidRPr="001567C8" w:rsidRDefault="005A0701" w:rsidP="00143164">
            <w:pPr>
              <w:pStyle w:val="TT"/>
              <w:keepLines/>
              <w:spacing w:line="220" w:lineRule="exact"/>
              <w:rPr>
                <w:rFonts w:asciiTheme="minorHAnsi" w:hAnsiTheme="minorHAnsi" w:cstheme="minorHAnsi"/>
                <w:spacing w:val="-3"/>
                <w:szCs w:val="19"/>
                <w:lang w:val="hr-HR"/>
              </w:rPr>
            </w:pPr>
            <w:r w:rsidRPr="001567C8">
              <w:rPr>
                <w:rFonts w:asciiTheme="minorHAnsi" w:hAnsiTheme="minorHAnsi" w:cstheme="minorHAnsi"/>
                <w:spacing w:val="-3"/>
                <w:szCs w:val="19"/>
                <w:lang w:val="hr-HR"/>
              </w:rPr>
              <w:t>Ostalo</w:t>
            </w:r>
          </w:p>
        </w:tc>
        <w:tc>
          <w:tcPr>
            <w:tcW w:w="688" w:type="pct"/>
            <w:tcBorders>
              <w:bottom w:val="single" w:sz="4" w:space="0" w:color="auto"/>
            </w:tcBorders>
            <w:vAlign w:val="bottom"/>
          </w:tcPr>
          <w:p w:rsidR="005A0701" w:rsidRPr="001567C8" w:rsidRDefault="005A0701" w:rsidP="00143164">
            <w:pPr>
              <w:pStyle w:val="CommentText"/>
              <w:keepLines/>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1.063</w:t>
            </w:r>
          </w:p>
        </w:tc>
        <w:tc>
          <w:tcPr>
            <w:tcW w:w="660" w:type="pct"/>
            <w:tcBorders>
              <w:bottom w:val="single" w:sz="4" w:space="0" w:color="auto"/>
            </w:tcBorders>
            <w:vAlign w:val="bottom"/>
          </w:tcPr>
          <w:p w:rsidR="005A0701" w:rsidRPr="001567C8" w:rsidRDefault="005A0701" w:rsidP="00143164">
            <w:pPr>
              <w:pStyle w:val="CommentText"/>
              <w:keepLines/>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w:t>
            </w:r>
          </w:p>
        </w:tc>
      </w:tr>
      <w:tr w:rsidR="00145EBE" w:rsidRPr="001567C8" w:rsidTr="00D400FE">
        <w:tc>
          <w:tcPr>
            <w:tcW w:w="3652" w:type="pct"/>
          </w:tcPr>
          <w:p w:rsidR="00145EBE" w:rsidRPr="001567C8" w:rsidRDefault="00145EBE" w:rsidP="00145EBE">
            <w:pPr>
              <w:pStyle w:val="Tot"/>
              <w:keepLines/>
              <w:spacing w:line="220" w:lineRule="exact"/>
              <w:rPr>
                <w:rFonts w:asciiTheme="minorHAnsi" w:hAnsiTheme="minorHAnsi" w:cstheme="minorHAnsi"/>
                <w:b/>
                <w:bCs/>
                <w:spacing w:val="-3"/>
                <w:szCs w:val="19"/>
                <w:lang w:val="hr-HR"/>
              </w:rPr>
            </w:pPr>
            <w:r w:rsidRPr="001567C8">
              <w:rPr>
                <w:rFonts w:asciiTheme="minorHAnsi" w:hAnsiTheme="minorHAnsi" w:cstheme="minorHAnsi"/>
                <w:b/>
                <w:bCs/>
                <w:szCs w:val="19"/>
                <w:lang w:val="hr-HR"/>
              </w:rPr>
              <w:t xml:space="preserve">Neto novčana sredstva </w:t>
            </w:r>
            <w:r w:rsidR="001B4CFA" w:rsidRPr="001567C8">
              <w:rPr>
                <w:rFonts w:asciiTheme="minorHAnsi" w:hAnsiTheme="minorHAnsi" w:cstheme="minorHAnsi"/>
                <w:b/>
                <w:bCs/>
                <w:szCs w:val="19"/>
                <w:lang w:val="hr-HR"/>
              </w:rPr>
              <w:t>(uporabljena)/</w:t>
            </w:r>
            <w:r w:rsidRPr="001567C8">
              <w:rPr>
                <w:rFonts w:asciiTheme="minorHAnsi" w:hAnsiTheme="minorHAnsi" w:cstheme="minorHAnsi"/>
                <w:b/>
                <w:bCs/>
                <w:szCs w:val="19"/>
                <w:lang w:val="hr-HR"/>
              </w:rPr>
              <w:t xml:space="preserve">ostvarena u financijskim aktivnostima </w:t>
            </w:r>
          </w:p>
        </w:tc>
        <w:tc>
          <w:tcPr>
            <w:tcW w:w="688" w:type="pct"/>
            <w:tcBorders>
              <w:top w:val="single" w:sz="4" w:space="0" w:color="auto"/>
              <w:bottom w:val="single" w:sz="12" w:space="0" w:color="auto"/>
            </w:tcBorders>
            <w:vAlign w:val="bottom"/>
          </w:tcPr>
          <w:p w:rsidR="00145EBE" w:rsidRPr="001567C8" w:rsidRDefault="005A0701" w:rsidP="00145EBE">
            <w:pPr>
              <w:pStyle w:val="T2"/>
              <w:keepNext w:val="0"/>
              <w:spacing w:line="220" w:lineRule="exact"/>
              <w:jc w:val="right"/>
              <w:rPr>
                <w:rFonts w:asciiTheme="minorHAnsi" w:hAnsiTheme="minorHAnsi" w:cstheme="minorHAnsi"/>
                <w:b/>
                <w:bCs/>
                <w:szCs w:val="19"/>
                <w:lang w:val="hr-HR"/>
              </w:rPr>
            </w:pPr>
            <w:r w:rsidRPr="001567C8">
              <w:rPr>
                <w:rFonts w:asciiTheme="minorHAnsi" w:hAnsiTheme="minorHAnsi" w:cstheme="minorHAnsi"/>
                <w:b/>
                <w:bCs/>
                <w:szCs w:val="19"/>
                <w:lang w:val="hr-HR"/>
              </w:rPr>
              <w:t>(323.110)</w:t>
            </w:r>
          </w:p>
        </w:tc>
        <w:tc>
          <w:tcPr>
            <w:tcW w:w="660" w:type="pct"/>
            <w:tcBorders>
              <w:top w:val="single" w:sz="4" w:space="0" w:color="auto"/>
              <w:bottom w:val="single" w:sz="12" w:space="0" w:color="auto"/>
            </w:tcBorders>
            <w:vAlign w:val="bottom"/>
          </w:tcPr>
          <w:p w:rsidR="00145EBE" w:rsidRPr="001567C8" w:rsidRDefault="00145EBE" w:rsidP="00145EBE">
            <w:pPr>
              <w:pStyle w:val="T2"/>
              <w:keepNext w:val="0"/>
              <w:spacing w:line="220" w:lineRule="exact"/>
              <w:jc w:val="right"/>
              <w:rPr>
                <w:rFonts w:asciiTheme="minorHAnsi" w:hAnsiTheme="minorHAnsi" w:cstheme="minorHAnsi"/>
                <w:b/>
                <w:bCs/>
                <w:szCs w:val="19"/>
                <w:lang w:val="hr-HR"/>
              </w:rPr>
            </w:pPr>
            <w:r w:rsidRPr="001567C8">
              <w:rPr>
                <w:rFonts w:asciiTheme="minorHAnsi" w:hAnsiTheme="minorHAnsi" w:cstheme="minorHAnsi"/>
                <w:b/>
                <w:bCs/>
                <w:szCs w:val="19"/>
                <w:lang w:val="hr-HR"/>
              </w:rPr>
              <w:t>318.161</w:t>
            </w:r>
          </w:p>
        </w:tc>
      </w:tr>
      <w:tr w:rsidR="00145EBE" w:rsidRPr="001567C8" w:rsidTr="00D400FE">
        <w:tc>
          <w:tcPr>
            <w:tcW w:w="3652" w:type="pct"/>
          </w:tcPr>
          <w:p w:rsidR="00145EBE" w:rsidRPr="001567C8" w:rsidRDefault="00145EBE" w:rsidP="00145EBE">
            <w:pPr>
              <w:pStyle w:val="Tot"/>
              <w:keepLines/>
              <w:spacing w:line="220" w:lineRule="exact"/>
              <w:rPr>
                <w:rFonts w:asciiTheme="minorHAnsi" w:hAnsiTheme="minorHAnsi" w:cstheme="minorHAnsi"/>
                <w:b/>
                <w:bCs/>
                <w:szCs w:val="19"/>
                <w:lang w:val="hr-HR"/>
              </w:rPr>
            </w:pPr>
            <w:r w:rsidRPr="001567C8">
              <w:rPr>
                <w:rFonts w:asciiTheme="minorHAnsi" w:hAnsiTheme="minorHAnsi" w:cstheme="minorHAnsi"/>
                <w:b/>
                <w:bCs/>
                <w:szCs w:val="19"/>
                <w:lang w:val="hr-HR"/>
              </w:rPr>
              <w:t>Učinci promjene tečajeva na novac i novčane ekvivalente</w:t>
            </w:r>
          </w:p>
        </w:tc>
        <w:tc>
          <w:tcPr>
            <w:tcW w:w="688" w:type="pct"/>
            <w:tcBorders>
              <w:top w:val="single" w:sz="12" w:space="0" w:color="auto"/>
            </w:tcBorders>
            <w:vAlign w:val="bottom"/>
          </w:tcPr>
          <w:p w:rsidR="00145EBE" w:rsidRPr="001567C8" w:rsidRDefault="00145EBE" w:rsidP="00145EBE">
            <w:pPr>
              <w:pStyle w:val="T2"/>
              <w:keepNext w:val="0"/>
              <w:spacing w:line="220" w:lineRule="exact"/>
              <w:jc w:val="right"/>
              <w:rPr>
                <w:rFonts w:asciiTheme="minorHAnsi" w:hAnsiTheme="minorHAnsi" w:cstheme="minorHAnsi"/>
                <w:b/>
                <w:bCs/>
                <w:szCs w:val="19"/>
                <w:lang w:val="hr-HR"/>
              </w:rPr>
            </w:pPr>
          </w:p>
        </w:tc>
        <w:tc>
          <w:tcPr>
            <w:tcW w:w="660" w:type="pct"/>
            <w:tcBorders>
              <w:top w:val="single" w:sz="12" w:space="0" w:color="auto"/>
            </w:tcBorders>
            <w:vAlign w:val="bottom"/>
          </w:tcPr>
          <w:p w:rsidR="00145EBE" w:rsidRPr="001567C8" w:rsidRDefault="00145EBE" w:rsidP="00145EBE">
            <w:pPr>
              <w:pStyle w:val="T2"/>
              <w:keepNext w:val="0"/>
              <w:spacing w:line="220" w:lineRule="exact"/>
              <w:jc w:val="right"/>
              <w:rPr>
                <w:rFonts w:asciiTheme="minorHAnsi" w:hAnsiTheme="minorHAnsi" w:cstheme="minorHAnsi"/>
                <w:b/>
                <w:bCs/>
                <w:szCs w:val="19"/>
                <w:lang w:val="hr-HR"/>
              </w:rPr>
            </w:pPr>
          </w:p>
        </w:tc>
      </w:tr>
      <w:tr w:rsidR="00145EBE" w:rsidRPr="001567C8" w:rsidTr="00D400FE">
        <w:tc>
          <w:tcPr>
            <w:tcW w:w="3652" w:type="pct"/>
          </w:tcPr>
          <w:p w:rsidR="00145EBE" w:rsidRPr="001567C8" w:rsidRDefault="00145EBE" w:rsidP="00145EBE">
            <w:pPr>
              <w:pStyle w:val="Tot"/>
              <w:keepLines/>
              <w:spacing w:line="220" w:lineRule="exact"/>
              <w:rPr>
                <w:rFonts w:asciiTheme="minorHAnsi" w:hAnsiTheme="minorHAnsi" w:cstheme="minorHAnsi"/>
                <w:bCs/>
                <w:szCs w:val="19"/>
                <w:lang w:val="hr-HR"/>
              </w:rPr>
            </w:pPr>
            <w:r w:rsidRPr="001567C8">
              <w:rPr>
                <w:rFonts w:asciiTheme="minorHAnsi" w:hAnsiTheme="minorHAnsi" w:cstheme="minorHAnsi"/>
                <w:bCs/>
                <w:szCs w:val="19"/>
                <w:lang w:val="hr-HR"/>
              </w:rPr>
              <w:t>Neto tečajne razlike</w:t>
            </w:r>
          </w:p>
        </w:tc>
        <w:tc>
          <w:tcPr>
            <w:tcW w:w="688" w:type="pct"/>
            <w:tcBorders>
              <w:bottom w:val="single" w:sz="4" w:space="0" w:color="auto"/>
            </w:tcBorders>
            <w:vAlign w:val="bottom"/>
          </w:tcPr>
          <w:p w:rsidR="00145EBE" w:rsidRPr="001567C8" w:rsidRDefault="005A0701" w:rsidP="00145EBE">
            <w:pPr>
              <w:pStyle w:val="T2"/>
              <w:keepNext w:val="0"/>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(168.279)</w:t>
            </w:r>
          </w:p>
        </w:tc>
        <w:tc>
          <w:tcPr>
            <w:tcW w:w="660" w:type="pct"/>
            <w:tcBorders>
              <w:bottom w:val="single" w:sz="4" w:space="0" w:color="auto"/>
            </w:tcBorders>
            <w:vAlign w:val="bottom"/>
          </w:tcPr>
          <w:p w:rsidR="00145EBE" w:rsidRPr="001567C8" w:rsidRDefault="00145EBE" w:rsidP="00145EBE">
            <w:pPr>
              <w:pStyle w:val="T2"/>
              <w:keepNext w:val="0"/>
              <w:spacing w:line="220" w:lineRule="exact"/>
              <w:jc w:val="right"/>
              <w:rPr>
                <w:rFonts w:asciiTheme="minorHAnsi" w:hAnsiTheme="minorHAnsi" w:cstheme="minorHAnsi"/>
                <w:bCs/>
                <w:szCs w:val="19"/>
                <w:lang w:val="hr-HR"/>
              </w:rPr>
            </w:pPr>
            <w:r w:rsidRPr="001567C8">
              <w:rPr>
                <w:rFonts w:asciiTheme="minorHAnsi" w:hAnsiTheme="minorHAnsi" w:cstheme="minorHAnsi"/>
                <w:bCs/>
                <w:szCs w:val="19"/>
                <w:lang w:val="hr-HR"/>
              </w:rPr>
              <w:t>(133.162)</w:t>
            </w:r>
          </w:p>
        </w:tc>
      </w:tr>
      <w:tr w:rsidR="00145EBE" w:rsidRPr="001567C8" w:rsidTr="00D400FE">
        <w:trPr>
          <w:trHeight w:val="247"/>
        </w:trPr>
        <w:tc>
          <w:tcPr>
            <w:tcW w:w="3652" w:type="pct"/>
            <w:vAlign w:val="bottom"/>
          </w:tcPr>
          <w:p w:rsidR="00145EBE" w:rsidRPr="001567C8" w:rsidRDefault="00145EBE" w:rsidP="00145EBE">
            <w:pPr>
              <w:pStyle w:val="TT"/>
              <w:keepLines/>
              <w:spacing w:line="220" w:lineRule="exact"/>
              <w:rPr>
                <w:rFonts w:asciiTheme="minorHAnsi" w:hAnsiTheme="minorHAnsi" w:cstheme="minorHAnsi"/>
                <w:b/>
                <w:spacing w:val="-3"/>
                <w:szCs w:val="19"/>
                <w:lang w:val="hr-HR"/>
              </w:rPr>
            </w:pPr>
            <w:r w:rsidRPr="001567C8">
              <w:rPr>
                <w:rFonts w:asciiTheme="minorHAnsi" w:hAnsiTheme="minorHAnsi" w:cstheme="minorHAnsi"/>
                <w:b/>
                <w:spacing w:val="-3"/>
                <w:szCs w:val="19"/>
                <w:lang w:val="hr-HR"/>
              </w:rPr>
              <w:t>Neto učinak</w:t>
            </w:r>
          </w:p>
        </w:tc>
        <w:tc>
          <w:tcPr>
            <w:tcW w:w="688" w:type="pct"/>
            <w:tcBorders>
              <w:top w:val="single" w:sz="4" w:space="0" w:color="auto"/>
              <w:bottom w:val="single" w:sz="12" w:space="0" w:color="auto"/>
            </w:tcBorders>
            <w:vAlign w:val="bottom"/>
          </w:tcPr>
          <w:p w:rsidR="00145EBE" w:rsidRPr="001567C8" w:rsidRDefault="005A0701" w:rsidP="00145EBE">
            <w:pPr>
              <w:pStyle w:val="TT"/>
              <w:keepLines/>
              <w:spacing w:line="220" w:lineRule="exact"/>
              <w:jc w:val="right"/>
              <w:rPr>
                <w:rFonts w:asciiTheme="minorHAnsi" w:hAnsiTheme="minorHAnsi" w:cstheme="minorHAnsi"/>
                <w:b/>
                <w:spacing w:val="-3"/>
                <w:szCs w:val="19"/>
                <w:lang w:val="hr-HR"/>
              </w:rPr>
            </w:pPr>
            <w:r w:rsidRPr="001567C8">
              <w:rPr>
                <w:rFonts w:asciiTheme="minorHAnsi" w:hAnsiTheme="minorHAnsi" w:cstheme="minorHAnsi"/>
                <w:b/>
                <w:spacing w:val="-3"/>
                <w:szCs w:val="19"/>
                <w:lang w:val="hr-HR"/>
              </w:rPr>
              <w:t>(168.279)</w:t>
            </w:r>
          </w:p>
        </w:tc>
        <w:tc>
          <w:tcPr>
            <w:tcW w:w="660" w:type="pct"/>
            <w:tcBorders>
              <w:top w:val="single" w:sz="4" w:space="0" w:color="auto"/>
              <w:bottom w:val="single" w:sz="12" w:space="0" w:color="auto"/>
            </w:tcBorders>
            <w:vAlign w:val="bottom"/>
          </w:tcPr>
          <w:p w:rsidR="00145EBE" w:rsidRPr="001567C8" w:rsidRDefault="00145EBE" w:rsidP="00145EBE">
            <w:pPr>
              <w:pStyle w:val="TT"/>
              <w:keepLines/>
              <w:spacing w:line="220" w:lineRule="exact"/>
              <w:jc w:val="right"/>
              <w:rPr>
                <w:rFonts w:asciiTheme="minorHAnsi" w:hAnsiTheme="minorHAnsi" w:cstheme="minorHAnsi"/>
                <w:b/>
                <w:bCs/>
                <w:szCs w:val="19"/>
                <w:lang w:val="hr-HR"/>
              </w:rPr>
            </w:pPr>
            <w:r w:rsidRPr="001567C8">
              <w:rPr>
                <w:rFonts w:asciiTheme="minorHAnsi" w:hAnsiTheme="minorHAnsi" w:cstheme="minorHAnsi"/>
                <w:b/>
                <w:spacing w:val="-3"/>
                <w:szCs w:val="19"/>
                <w:lang w:val="hr-HR"/>
              </w:rPr>
              <w:t>(133.162)</w:t>
            </w:r>
          </w:p>
        </w:tc>
      </w:tr>
      <w:tr w:rsidR="00145EBE" w:rsidRPr="001567C8" w:rsidTr="00D400FE">
        <w:trPr>
          <w:trHeight w:val="122"/>
        </w:trPr>
        <w:tc>
          <w:tcPr>
            <w:tcW w:w="3652" w:type="pct"/>
            <w:vAlign w:val="center"/>
          </w:tcPr>
          <w:p w:rsidR="00145EBE" w:rsidRPr="001567C8" w:rsidRDefault="00145EBE" w:rsidP="00145EBE">
            <w:pPr>
              <w:pStyle w:val="To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w:t>
            </w:r>
            <w:r w:rsidR="00FB7A08" w:rsidRPr="001567C8">
              <w:rPr>
                <w:rFonts w:asciiTheme="minorHAnsi" w:hAnsiTheme="minorHAnsi" w:cstheme="minorHAnsi"/>
                <w:szCs w:val="19"/>
                <w:lang w:val="hr-HR"/>
              </w:rPr>
              <w:t>(smanjenje)/</w:t>
            </w:r>
            <w:r w:rsidRPr="001567C8">
              <w:rPr>
                <w:rFonts w:asciiTheme="minorHAnsi" w:hAnsiTheme="minorHAnsi" w:cstheme="minorHAnsi"/>
                <w:szCs w:val="19"/>
                <w:lang w:val="hr-HR"/>
              </w:rPr>
              <w:t>povećanje novca i novčanih ekvivalenata</w:t>
            </w:r>
          </w:p>
        </w:tc>
        <w:tc>
          <w:tcPr>
            <w:tcW w:w="688" w:type="pct"/>
            <w:tcBorders>
              <w:top w:val="single" w:sz="12" w:space="0" w:color="auto"/>
            </w:tcBorders>
            <w:vAlign w:val="bottom"/>
          </w:tcPr>
          <w:p w:rsidR="00145EBE" w:rsidRPr="001567C8" w:rsidRDefault="005A0701" w:rsidP="00145EBE">
            <w:pPr>
              <w:pStyle w:val="CommentText"/>
              <w:keepLines/>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(459.282)</w:t>
            </w:r>
          </w:p>
        </w:tc>
        <w:tc>
          <w:tcPr>
            <w:tcW w:w="660" w:type="pct"/>
            <w:tcBorders>
              <w:top w:val="single" w:sz="12" w:space="0" w:color="auto"/>
            </w:tcBorders>
            <w:vAlign w:val="bottom"/>
          </w:tcPr>
          <w:p w:rsidR="00145EBE" w:rsidRPr="001567C8" w:rsidRDefault="00145EBE" w:rsidP="00145EBE">
            <w:pPr>
              <w:pStyle w:val="CommentText"/>
              <w:keepLines/>
              <w:jc w:val="right"/>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908.230</w:t>
            </w:r>
          </w:p>
        </w:tc>
      </w:tr>
      <w:tr w:rsidR="00145EBE" w:rsidRPr="001567C8" w:rsidTr="00145EBE">
        <w:trPr>
          <w:trHeight w:val="122"/>
        </w:trPr>
        <w:tc>
          <w:tcPr>
            <w:tcW w:w="3652" w:type="pct"/>
            <w:vAlign w:val="center"/>
          </w:tcPr>
          <w:p w:rsidR="00145EBE" w:rsidRPr="001567C8" w:rsidRDefault="00145EBE" w:rsidP="00145EBE">
            <w:pPr>
              <w:pStyle w:val="Tot"/>
              <w:keepLines/>
              <w:spacing w:line="140" w:lineRule="exact"/>
              <w:rPr>
                <w:rFonts w:asciiTheme="minorHAnsi" w:hAnsiTheme="minorHAnsi" w:cstheme="minorHAnsi"/>
                <w:szCs w:val="19"/>
                <w:lang w:val="hr-HR"/>
              </w:rPr>
            </w:pPr>
          </w:p>
        </w:tc>
        <w:tc>
          <w:tcPr>
            <w:tcW w:w="688" w:type="pct"/>
            <w:vAlign w:val="bottom"/>
          </w:tcPr>
          <w:p w:rsidR="00145EBE" w:rsidRPr="001567C8" w:rsidRDefault="00145EBE" w:rsidP="00145EBE">
            <w:pPr>
              <w:pStyle w:val="CommentText"/>
              <w:keepLines/>
              <w:spacing w:line="140" w:lineRule="exact"/>
              <w:jc w:val="center"/>
              <w:rPr>
                <w:rFonts w:asciiTheme="minorHAnsi" w:hAnsiTheme="minorHAnsi" w:cstheme="minorHAnsi"/>
                <w:spacing w:val="-2"/>
                <w:sz w:val="19"/>
                <w:szCs w:val="19"/>
                <w:lang w:val="hr-HR"/>
              </w:rPr>
            </w:pPr>
          </w:p>
        </w:tc>
        <w:tc>
          <w:tcPr>
            <w:tcW w:w="660" w:type="pct"/>
            <w:vAlign w:val="bottom"/>
          </w:tcPr>
          <w:p w:rsidR="00145EBE" w:rsidRPr="001567C8" w:rsidRDefault="00145EBE" w:rsidP="00145EBE">
            <w:pPr>
              <w:pStyle w:val="CommentText"/>
              <w:keepLines/>
              <w:spacing w:line="140" w:lineRule="exact"/>
              <w:jc w:val="center"/>
              <w:rPr>
                <w:rFonts w:asciiTheme="minorHAnsi" w:hAnsiTheme="minorHAnsi" w:cstheme="minorHAnsi"/>
                <w:spacing w:val="-2"/>
                <w:sz w:val="19"/>
                <w:szCs w:val="19"/>
                <w:lang w:val="hr-HR"/>
              </w:rPr>
            </w:pPr>
          </w:p>
        </w:tc>
      </w:tr>
      <w:tr w:rsidR="005A0701" w:rsidRPr="001567C8" w:rsidTr="005A0701">
        <w:trPr>
          <w:trHeight w:val="122"/>
        </w:trPr>
        <w:tc>
          <w:tcPr>
            <w:tcW w:w="3652" w:type="pct"/>
            <w:vAlign w:val="center"/>
          </w:tcPr>
          <w:p w:rsidR="005A0701" w:rsidRPr="001567C8" w:rsidRDefault="005A0701" w:rsidP="005A0701">
            <w:pPr>
              <w:pStyle w:val="To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Stanje na dan 1. siječnja, prije </w:t>
            </w:r>
            <w:r w:rsidR="00A80519" w:rsidRPr="001567C8">
              <w:rPr>
                <w:rFonts w:asciiTheme="minorHAnsi" w:hAnsiTheme="minorHAnsi" w:cstheme="minorHAnsi"/>
                <w:szCs w:val="19"/>
                <w:lang w:val="hr-HR"/>
              </w:rPr>
              <w:t>umanjenja vrijednosti</w:t>
            </w:r>
            <w:r w:rsidRPr="001567C8">
              <w:rPr>
                <w:rFonts w:asciiTheme="minorHAnsi" w:hAnsiTheme="minorHAnsi" w:cstheme="minorHAnsi"/>
                <w:szCs w:val="19"/>
                <w:lang w:val="hr-HR"/>
              </w:rPr>
              <w:t xml:space="preserve"> </w:t>
            </w:r>
          </w:p>
        </w:tc>
        <w:tc>
          <w:tcPr>
            <w:tcW w:w="688" w:type="pct"/>
            <w:tcBorders>
              <w:top w:val="nil"/>
              <w:left w:val="nil"/>
              <w:bottom w:val="nil"/>
              <w:right w:val="nil"/>
            </w:tcBorders>
            <w:shd w:val="clear" w:color="auto" w:fill="auto"/>
            <w:vAlign w:val="bottom"/>
          </w:tcPr>
          <w:p w:rsidR="005A0701" w:rsidRPr="001567C8" w:rsidRDefault="005A0701" w:rsidP="005A0701">
            <w:pPr>
              <w:pStyle w:val="CommentText"/>
              <w:keepLines/>
              <w:jc w:val="right"/>
              <w:rPr>
                <w:rFonts w:asciiTheme="minorHAnsi" w:hAnsiTheme="minorHAnsi" w:cstheme="minorHAnsi"/>
                <w:spacing w:val="-2"/>
                <w:sz w:val="19"/>
                <w:szCs w:val="19"/>
                <w:lang w:val="hr-HR"/>
              </w:rPr>
            </w:pPr>
            <w:r w:rsidRPr="00CD3A2D">
              <w:rPr>
                <w:rFonts w:asciiTheme="minorHAnsi" w:hAnsiTheme="minorHAnsi" w:cstheme="minorHAnsi"/>
                <w:color w:val="000000"/>
                <w:sz w:val="19"/>
                <w:szCs w:val="19"/>
                <w:lang w:val="hr-HR"/>
              </w:rPr>
              <w:t xml:space="preserve">     1.402.004 </w:t>
            </w:r>
          </w:p>
        </w:tc>
        <w:tc>
          <w:tcPr>
            <w:tcW w:w="660" w:type="pct"/>
          </w:tcPr>
          <w:p w:rsidR="005A0701" w:rsidRPr="00CD3A2D" w:rsidRDefault="005A0701" w:rsidP="005A0701">
            <w:pPr>
              <w:pStyle w:val="CommentText"/>
              <w:keepLines/>
              <w:jc w:val="right"/>
              <w:rPr>
                <w:rFonts w:asciiTheme="minorHAnsi" w:hAnsiTheme="minorHAnsi" w:cstheme="minorHAnsi"/>
                <w:sz w:val="19"/>
                <w:szCs w:val="19"/>
                <w:lang w:val="hr-HR"/>
              </w:rPr>
            </w:pPr>
            <w:r w:rsidRPr="001567C8">
              <w:rPr>
                <w:rFonts w:asciiTheme="minorHAnsi" w:hAnsiTheme="minorHAnsi" w:cstheme="minorHAnsi"/>
                <w:spacing w:val="-2"/>
                <w:sz w:val="19"/>
                <w:szCs w:val="19"/>
                <w:lang w:val="hr-HR"/>
              </w:rPr>
              <w:t>493.774</w:t>
            </w:r>
          </w:p>
        </w:tc>
      </w:tr>
      <w:tr w:rsidR="005A0701" w:rsidRPr="001567C8" w:rsidTr="005A0701">
        <w:trPr>
          <w:trHeight w:val="122"/>
        </w:trPr>
        <w:tc>
          <w:tcPr>
            <w:tcW w:w="3652" w:type="pct"/>
            <w:vAlign w:val="center"/>
          </w:tcPr>
          <w:p w:rsidR="005A0701" w:rsidRPr="001567C8" w:rsidRDefault="005A0701" w:rsidP="005A0701">
            <w:pPr>
              <w:pStyle w:val="Tot"/>
              <w:keepLines/>
              <w:spacing w:line="220" w:lineRule="exact"/>
              <w:rPr>
                <w:rFonts w:asciiTheme="minorHAnsi" w:hAnsiTheme="minorHAnsi" w:cstheme="minorHAnsi"/>
                <w:szCs w:val="19"/>
                <w:lang w:val="hr-HR"/>
              </w:rPr>
            </w:pPr>
            <w:r w:rsidRPr="001567C8">
              <w:rPr>
                <w:rFonts w:asciiTheme="minorHAnsi" w:hAnsiTheme="minorHAnsi" w:cstheme="minorHAnsi"/>
                <w:szCs w:val="19"/>
                <w:lang w:val="hr-HR"/>
              </w:rPr>
              <w:t xml:space="preserve">Neto </w:t>
            </w:r>
            <w:r w:rsidR="00143164" w:rsidRPr="001567C8">
              <w:rPr>
                <w:rFonts w:asciiTheme="minorHAnsi" w:hAnsiTheme="minorHAnsi" w:cstheme="minorHAnsi"/>
                <w:szCs w:val="19"/>
                <w:lang w:val="hr-HR"/>
              </w:rPr>
              <w:t>(smanjenje)/</w:t>
            </w:r>
            <w:r w:rsidRPr="001567C8">
              <w:rPr>
                <w:rFonts w:asciiTheme="minorHAnsi" w:hAnsiTheme="minorHAnsi" w:cstheme="minorHAnsi"/>
                <w:szCs w:val="19"/>
                <w:lang w:val="hr-HR"/>
              </w:rPr>
              <w:t>povećanje novca</w:t>
            </w:r>
          </w:p>
        </w:tc>
        <w:tc>
          <w:tcPr>
            <w:tcW w:w="688" w:type="pct"/>
            <w:tcBorders>
              <w:top w:val="nil"/>
              <w:left w:val="nil"/>
              <w:bottom w:val="nil"/>
              <w:right w:val="nil"/>
            </w:tcBorders>
            <w:shd w:val="clear" w:color="auto" w:fill="auto"/>
            <w:vAlign w:val="center"/>
          </w:tcPr>
          <w:p w:rsidR="005A0701" w:rsidRPr="001567C8" w:rsidRDefault="005A0701" w:rsidP="005A0701">
            <w:pPr>
              <w:pStyle w:val="CommentText"/>
              <w:keepLines/>
              <w:jc w:val="right"/>
              <w:rPr>
                <w:rFonts w:asciiTheme="minorHAnsi" w:hAnsiTheme="minorHAnsi" w:cstheme="minorHAnsi"/>
                <w:spacing w:val="-2"/>
                <w:sz w:val="19"/>
                <w:szCs w:val="19"/>
                <w:lang w:val="hr-HR"/>
              </w:rPr>
            </w:pPr>
            <w:r w:rsidRPr="00CD3A2D">
              <w:rPr>
                <w:rFonts w:asciiTheme="minorHAnsi" w:hAnsiTheme="minorHAnsi" w:cstheme="minorHAnsi"/>
                <w:color w:val="000000"/>
                <w:sz w:val="19"/>
                <w:szCs w:val="19"/>
                <w:lang w:val="hr-HR"/>
              </w:rPr>
              <w:t xml:space="preserve">       (459.282)</w:t>
            </w:r>
          </w:p>
        </w:tc>
        <w:tc>
          <w:tcPr>
            <w:tcW w:w="660" w:type="pct"/>
            <w:tcBorders>
              <w:bottom w:val="single" w:sz="4" w:space="0" w:color="auto"/>
            </w:tcBorders>
          </w:tcPr>
          <w:p w:rsidR="005A0701" w:rsidRPr="00CD3A2D" w:rsidRDefault="005A0701" w:rsidP="005A0701">
            <w:pPr>
              <w:pStyle w:val="CommentText"/>
              <w:keepLines/>
              <w:jc w:val="right"/>
              <w:rPr>
                <w:rFonts w:asciiTheme="minorHAnsi" w:hAnsiTheme="minorHAnsi" w:cstheme="minorHAnsi"/>
                <w:sz w:val="19"/>
                <w:szCs w:val="19"/>
                <w:lang w:val="hr-HR"/>
              </w:rPr>
            </w:pPr>
            <w:r w:rsidRPr="001567C8">
              <w:rPr>
                <w:rFonts w:asciiTheme="minorHAnsi" w:hAnsiTheme="minorHAnsi" w:cstheme="minorHAnsi"/>
                <w:spacing w:val="-2"/>
                <w:sz w:val="19"/>
                <w:szCs w:val="19"/>
                <w:lang w:val="hr-HR"/>
              </w:rPr>
              <w:t>908.230</w:t>
            </w:r>
          </w:p>
        </w:tc>
      </w:tr>
      <w:tr w:rsidR="00145EBE" w:rsidRPr="001567C8" w:rsidTr="00D400FE">
        <w:trPr>
          <w:trHeight w:val="122"/>
        </w:trPr>
        <w:tc>
          <w:tcPr>
            <w:tcW w:w="3652" w:type="pct"/>
          </w:tcPr>
          <w:p w:rsidR="00145EBE" w:rsidRPr="001567C8" w:rsidRDefault="00145EBE" w:rsidP="00145EBE">
            <w:pPr>
              <w:pStyle w:val="Tot"/>
              <w:keepLines/>
              <w:spacing w:line="220" w:lineRule="exact"/>
              <w:rPr>
                <w:rFonts w:asciiTheme="minorHAnsi" w:hAnsiTheme="minorHAnsi" w:cstheme="minorHAnsi"/>
                <w:b/>
                <w:bCs/>
                <w:szCs w:val="19"/>
                <w:lang w:val="hr-HR"/>
              </w:rPr>
            </w:pPr>
            <w:r w:rsidRPr="001567C8">
              <w:rPr>
                <w:rFonts w:asciiTheme="minorHAnsi" w:hAnsiTheme="minorHAnsi" w:cstheme="minorHAnsi"/>
                <w:b/>
                <w:bCs/>
                <w:szCs w:val="19"/>
                <w:lang w:val="hr-HR"/>
              </w:rPr>
              <w:t xml:space="preserve">Stanje na dan 31. prosinca, prije </w:t>
            </w:r>
            <w:r w:rsidR="00A80519" w:rsidRPr="001567C8">
              <w:rPr>
                <w:rFonts w:asciiTheme="minorHAnsi" w:hAnsiTheme="minorHAnsi" w:cstheme="minorHAnsi"/>
                <w:b/>
                <w:bCs/>
                <w:szCs w:val="19"/>
                <w:lang w:val="hr-HR"/>
              </w:rPr>
              <w:t>umanjenja vrijednosti</w:t>
            </w:r>
            <w:r w:rsidRPr="001567C8">
              <w:rPr>
                <w:rFonts w:asciiTheme="minorHAnsi" w:hAnsiTheme="minorHAnsi" w:cstheme="minorHAnsi"/>
                <w:b/>
                <w:bCs/>
                <w:szCs w:val="19"/>
                <w:lang w:val="hr-HR"/>
              </w:rPr>
              <w:t xml:space="preserve">                                     </w:t>
            </w:r>
            <w:r w:rsidR="00FB7A08" w:rsidRPr="001567C8">
              <w:rPr>
                <w:rFonts w:asciiTheme="minorHAnsi" w:hAnsiTheme="minorHAnsi" w:cstheme="minorHAnsi"/>
                <w:b/>
                <w:bCs/>
                <w:szCs w:val="19"/>
                <w:lang w:val="hr-HR"/>
              </w:rPr>
              <w:t xml:space="preserve">        </w:t>
            </w:r>
            <w:r w:rsidRPr="001567C8">
              <w:rPr>
                <w:rFonts w:asciiTheme="minorHAnsi" w:hAnsiTheme="minorHAnsi" w:cstheme="minorHAnsi"/>
                <w:b/>
                <w:bCs/>
                <w:szCs w:val="19"/>
                <w:lang w:val="hr-HR"/>
              </w:rPr>
              <w:t xml:space="preserve">    1</w:t>
            </w:r>
            <w:r w:rsidR="00143164" w:rsidRPr="001567C8">
              <w:rPr>
                <w:rFonts w:asciiTheme="minorHAnsi" w:hAnsiTheme="minorHAnsi" w:cstheme="minorHAnsi"/>
                <w:b/>
                <w:bCs/>
                <w:szCs w:val="19"/>
                <w:lang w:val="hr-HR"/>
              </w:rPr>
              <w:t>3</w:t>
            </w:r>
          </w:p>
        </w:tc>
        <w:tc>
          <w:tcPr>
            <w:tcW w:w="688" w:type="pct"/>
            <w:tcBorders>
              <w:top w:val="single" w:sz="4" w:space="0" w:color="auto"/>
              <w:bottom w:val="single" w:sz="12" w:space="0" w:color="auto"/>
            </w:tcBorders>
            <w:vAlign w:val="bottom"/>
          </w:tcPr>
          <w:p w:rsidR="00145EBE" w:rsidRPr="001567C8" w:rsidRDefault="005A0701" w:rsidP="00145EBE">
            <w:pPr>
              <w:pStyle w:val="T2"/>
              <w:keepNext w:val="0"/>
              <w:spacing w:line="220" w:lineRule="exact"/>
              <w:jc w:val="right"/>
              <w:rPr>
                <w:rFonts w:asciiTheme="minorHAnsi" w:hAnsiTheme="minorHAnsi" w:cstheme="minorHAnsi"/>
                <w:b/>
                <w:bCs/>
                <w:spacing w:val="-2"/>
                <w:szCs w:val="19"/>
                <w:lang w:val="hr-HR"/>
              </w:rPr>
            </w:pPr>
            <w:r w:rsidRPr="001567C8">
              <w:rPr>
                <w:rFonts w:asciiTheme="minorHAnsi" w:hAnsiTheme="minorHAnsi" w:cstheme="minorHAnsi"/>
                <w:b/>
                <w:bCs/>
                <w:spacing w:val="-2"/>
                <w:szCs w:val="19"/>
                <w:lang w:val="hr-HR"/>
              </w:rPr>
              <w:t>942.722</w:t>
            </w:r>
          </w:p>
        </w:tc>
        <w:tc>
          <w:tcPr>
            <w:tcW w:w="660" w:type="pct"/>
            <w:tcBorders>
              <w:top w:val="single" w:sz="4" w:space="0" w:color="auto"/>
              <w:bottom w:val="single" w:sz="12" w:space="0" w:color="auto"/>
            </w:tcBorders>
            <w:vAlign w:val="bottom"/>
          </w:tcPr>
          <w:p w:rsidR="00145EBE" w:rsidRPr="001567C8" w:rsidRDefault="00145EBE" w:rsidP="00145EBE">
            <w:pPr>
              <w:pStyle w:val="T2"/>
              <w:keepNext w:val="0"/>
              <w:spacing w:line="220" w:lineRule="exact"/>
              <w:jc w:val="right"/>
              <w:rPr>
                <w:rFonts w:asciiTheme="minorHAnsi" w:hAnsiTheme="minorHAnsi" w:cstheme="minorHAnsi"/>
                <w:b/>
                <w:bCs/>
                <w:spacing w:val="-2"/>
                <w:szCs w:val="19"/>
                <w:lang w:val="hr-HR"/>
              </w:rPr>
            </w:pPr>
            <w:r w:rsidRPr="001567C8">
              <w:rPr>
                <w:rFonts w:asciiTheme="minorHAnsi" w:hAnsiTheme="minorHAnsi" w:cstheme="minorHAnsi"/>
                <w:b/>
                <w:bCs/>
                <w:spacing w:val="-2"/>
                <w:szCs w:val="19"/>
                <w:lang w:val="hr-HR"/>
              </w:rPr>
              <w:t>1.402.004</w:t>
            </w:r>
          </w:p>
        </w:tc>
      </w:tr>
      <w:tr w:rsidR="00145EBE" w:rsidRPr="001567C8" w:rsidTr="00D400FE">
        <w:trPr>
          <w:trHeight w:val="68"/>
        </w:trPr>
        <w:tc>
          <w:tcPr>
            <w:tcW w:w="3652" w:type="pct"/>
            <w:vAlign w:val="bottom"/>
          </w:tcPr>
          <w:p w:rsidR="00145EBE" w:rsidRPr="001567C8" w:rsidRDefault="00145EBE" w:rsidP="00145EBE">
            <w:pPr>
              <w:pStyle w:val="Thick"/>
              <w:keepNext w:val="0"/>
              <w:spacing w:line="140" w:lineRule="exact"/>
              <w:rPr>
                <w:rFonts w:asciiTheme="minorHAnsi" w:hAnsiTheme="minorHAnsi" w:cstheme="minorHAnsi"/>
                <w:sz w:val="19"/>
                <w:szCs w:val="19"/>
                <w:lang w:val="hr-HR"/>
              </w:rPr>
            </w:pPr>
          </w:p>
        </w:tc>
        <w:tc>
          <w:tcPr>
            <w:tcW w:w="688" w:type="pct"/>
            <w:tcBorders>
              <w:top w:val="single" w:sz="12" w:space="0" w:color="auto"/>
            </w:tcBorders>
            <w:vAlign w:val="bottom"/>
          </w:tcPr>
          <w:p w:rsidR="00145EBE" w:rsidRPr="001567C8" w:rsidRDefault="00145EBE" w:rsidP="00145EBE">
            <w:pPr>
              <w:pStyle w:val="Thick"/>
              <w:keepNext w:val="0"/>
              <w:tabs>
                <w:tab w:val="clear" w:pos="1202"/>
              </w:tabs>
              <w:spacing w:line="140" w:lineRule="exact"/>
              <w:jc w:val="right"/>
              <w:rPr>
                <w:rFonts w:asciiTheme="minorHAnsi" w:hAnsiTheme="minorHAnsi" w:cstheme="minorHAnsi"/>
                <w:sz w:val="19"/>
                <w:szCs w:val="19"/>
                <w:lang w:val="hr-HR"/>
              </w:rPr>
            </w:pPr>
          </w:p>
        </w:tc>
        <w:tc>
          <w:tcPr>
            <w:tcW w:w="660" w:type="pct"/>
            <w:tcBorders>
              <w:top w:val="single" w:sz="12" w:space="0" w:color="auto"/>
            </w:tcBorders>
            <w:vAlign w:val="bottom"/>
          </w:tcPr>
          <w:p w:rsidR="00145EBE" w:rsidRPr="001567C8" w:rsidRDefault="00145EBE" w:rsidP="00145EBE">
            <w:pPr>
              <w:pStyle w:val="Thick"/>
              <w:keepNext w:val="0"/>
              <w:tabs>
                <w:tab w:val="clear" w:pos="1202"/>
              </w:tabs>
              <w:spacing w:line="140" w:lineRule="exact"/>
              <w:jc w:val="right"/>
              <w:rPr>
                <w:rFonts w:asciiTheme="minorHAnsi" w:hAnsiTheme="minorHAnsi" w:cstheme="minorHAnsi"/>
                <w:sz w:val="19"/>
                <w:szCs w:val="19"/>
                <w:lang w:val="hr-HR"/>
              </w:rPr>
            </w:pPr>
          </w:p>
        </w:tc>
      </w:tr>
      <w:tr w:rsidR="00145EBE" w:rsidRPr="001567C8" w:rsidTr="00145EBE">
        <w:trPr>
          <w:trHeight w:val="68"/>
        </w:trPr>
        <w:tc>
          <w:tcPr>
            <w:tcW w:w="3652" w:type="pct"/>
            <w:vAlign w:val="bottom"/>
          </w:tcPr>
          <w:p w:rsidR="00145EBE" w:rsidRPr="001567C8" w:rsidRDefault="00145EBE" w:rsidP="00145EBE">
            <w:pPr>
              <w:pStyle w:val="Thick"/>
              <w:keepNext w:val="0"/>
              <w:spacing w:line="220" w:lineRule="exact"/>
              <w:rPr>
                <w:rFonts w:asciiTheme="minorHAnsi" w:hAnsiTheme="minorHAnsi" w:cstheme="minorHAnsi"/>
                <w:sz w:val="19"/>
                <w:szCs w:val="19"/>
                <w:u w:val="none"/>
                <w:lang w:val="hr-HR"/>
              </w:rPr>
            </w:pPr>
            <w:r w:rsidRPr="001567C8">
              <w:rPr>
                <w:rFonts w:asciiTheme="minorHAnsi" w:hAnsiTheme="minorHAnsi" w:cstheme="minorHAnsi"/>
                <w:sz w:val="19"/>
                <w:szCs w:val="19"/>
                <w:u w:val="none"/>
                <w:lang w:val="hr-HR"/>
              </w:rPr>
              <w:t>Dopunski podaci – poslovne aktivnosti</w:t>
            </w:r>
          </w:p>
        </w:tc>
        <w:tc>
          <w:tcPr>
            <w:tcW w:w="688" w:type="pct"/>
          </w:tcPr>
          <w:p w:rsidR="00145EBE" w:rsidRPr="001567C8" w:rsidRDefault="00145EBE" w:rsidP="00145EBE">
            <w:pPr>
              <w:pStyle w:val="Thick"/>
              <w:keepNext w:val="0"/>
              <w:tabs>
                <w:tab w:val="clear" w:pos="1202"/>
              </w:tabs>
              <w:spacing w:line="220" w:lineRule="exact"/>
              <w:jc w:val="right"/>
              <w:rPr>
                <w:rFonts w:asciiTheme="minorHAnsi" w:hAnsiTheme="minorHAnsi" w:cstheme="minorHAnsi"/>
                <w:sz w:val="19"/>
                <w:szCs w:val="19"/>
                <w:u w:val="none"/>
                <w:lang w:val="hr-HR"/>
              </w:rPr>
            </w:pPr>
          </w:p>
        </w:tc>
        <w:tc>
          <w:tcPr>
            <w:tcW w:w="660" w:type="pct"/>
          </w:tcPr>
          <w:p w:rsidR="00145EBE" w:rsidRPr="001567C8" w:rsidRDefault="00145EBE" w:rsidP="00145EBE">
            <w:pPr>
              <w:pStyle w:val="Thick"/>
              <w:keepNext w:val="0"/>
              <w:tabs>
                <w:tab w:val="clear" w:pos="1202"/>
              </w:tabs>
              <w:spacing w:line="220" w:lineRule="exact"/>
              <w:jc w:val="right"/>
              <w:rPr>
                <w:rFonts w:asciiTheme="minorHAnsi" w:hAnsiTheme="minorHAnsi" w:cstheme="minorHAnsi"/>
                <w:sz w:val="19"/>
                <w:szCs w:val="19"/>
                <w:u w:val="none"/>
                <w:lang w:val="hr-HR"/>
              </w:rPr>
            </w:pPr>
          </w:p>
        </w:tc>
      </w:tr>
      <w:tr w:rsidR="00145EBE" w:rsidRPr="001567C8" w:rsidTr="00145EBE">
        <w:trPr>
          <w:trHeight w:val="68"/>
        </w:trPr>
        <w:tc>
          <w:tcPr>
            <w:tcW w:w="3652" w:type="pct"/>
            <w:vAlign w:val="bottom"/>
          </w:tcPr>
          <w:p w:rsidR="00145EBE" w:rsidRPr="001567C8" w:rsidRDefault="00145EBE" w:rsidP="00145EBE">
            <w:pPr>
              <w:pStyle w:val="Thick"/>
              <w:keepNext w:val="0"/>
              <w:spacing w:line="240" w:lineRule="exact"/>
              <w:rPr>
                <w:rFonts w:asciiTheme="minorHAnsi" w:hAnsiTheme="minorHAnsi" w:cstheme="minorHAnsi"/>
                <w:b w:val="0"/>
                <w:sz w:val="19"/>
                <w:szCs w:val="19"/>
                <w:u w:val="none"/>
                <w:lang w:val="hr-HR"/>
              </w:rPr>
            </w:pPr>
            <w:r w:rsidRPr="001567C8">
              <w:rPr>
                <w:rFonts w:asciiTheme="minorHAnsi" w:hAnsiTheme="minorHAnsi" w:cstheme="minorHAnsi"/>
                <w:b w:val="0"/>
                <w:sz w:val="19"/>
                <w:szCs w:val="19"/>
                <w:u w:val="none"/>
                <w:lang w:val="hr-HR"/>
              </w:rPr>
              <w:t>Plaćene kamate</w:t>
            </w:r>
          </w:p>
        </w:tc>
        <w:tc>
          <w:tcPr>
            <w:tcW w:w="688" w:type="pct"/>
            <w:tcBorders>
              <w:top w:val="nil"/>
              <w:left w:val="nil"/>
              <w:bottom w:val="nil"/>
              <w:right w:val="nil"/>
            </w:tcBorders>
            <w:shd w:val="clear" w:color="auto" w:fill="auto"/>
            <w:vAlign w:val="bottom"/>
          </w:tcPr>
          <w:p w:rsidR="00145EBE" w:rsidRPr="001567C8" w:rsidRDefault="005A0701" w:rsidP="00145EBE">
            <w:pPr>
              <w:pStyle w:val="Thick"/>
              <w:keepNext w:val="0"/>
              <w:tabs>
                <w:tab w:val="clear" w:pos="1202"/>
              </w:tabs>
              <w:spacing w:line="240" w:lineRule="exact"/>
              <w:jc w:val="right"/>
              <w:rPr>
                <w:rFonts w:asciiTheme="minorHAnsi" w:hAnsiTheme="minorHAnsi" w:cstheme="minorHAnsi"/>
                <w:b w:val="0"/>
                <w:sz w:val="19"/>
                <w:szCs w:val="19"/>
                <w:u w:val="none"/>
                <w:lang w:val="hr-HR"/>
              </w:rPr>
            </w:pPr>
            <w:r w:rsidRPr="001567C8">
              <w:rPr>
                <w:rFonts w:asciiTheme="minorHAnsi" w:hAnsiTheme="minorHAnsi" w:cstheme="minorHAnsi"/>
                <w:b w:val="0"/>
                <w:sz w:val="19"/>
                <w:szCs w:val="19"/>
                <w:u w:val="none"/>
                <w:lang w:val="hr-HR"/>
              </w:rPr>
              <w:t>336.550</w:t>
            </w:r>
          </w:p>
        </w:tc>
        <w:tc>
          <w:tcPr>
            <w:tcW w:w="660" w:type="pct"/>
            <w:vAlign w:val="bottom"/>
          </w:tcPr>
          <w:p w:rsidR="00145EBE" w:rsidRPr="00CD3A2D" w:rsidRDefault="00145EBE" w:rsidP="00145EBE">
            <w:pPr>
              <w:pStyle w:val="Thick"/>
              <w:keepNext w:val="0"/>
              <w:tabs>
                <w:tab w:val="clear" w:pos="1202"/>
              </w:tabs>
              <w:spacing w:line="240" w:lineRule="exact"/>
              <w:jc w:val="right"/>
              <w:rPr>
                <w:rFonts w:asciiTheme="minorHAnsi" w:hAnsiTheme="minorHAnsi" w:cstheme="minorHAnsi"/>
                <w:b w:val="0"/>
                <w:sz w:val="19"/>
                <w:szCs w:val="19"/>
                <w:u w:val="none"/>
                <w:lang w:val="hr-HR"/>
              </w:rPr>
            </w:pPr>
            <w:r w:rsidRPr="00CD3A2D">
              <w:rPr>
                <w:rFonts w:asciiTheme="minorHAnsi" w:hAnsiTheme="minorHAnsi" w:cstheme="minorHAnsi"/>
                <w:b w:val="0"/>
                <w:color w:val="000000"/>
                <w:sz w:val="19"/>
                <w:szCs w:val="19"/>
                <w:u w:val="none"/>
                <w:lang w:val="hr-HR"/>
              </w:rPr>
              <w:t xml:space="preserve">   462.104 </w:t>
            </w:r>
          </w:p>
        </w:tc>
      </w:tr>
      <w:tr w:rsidR="00145EBE" w:rsidRPr="001567C8" w:rsidTr="00145EBE">
        <w:trPr>
          <w:trHeight w:val="68"/>
        </w:trPr>
        <w:tc>
          <w:tcPr>
            <w:tcW w:w="3652" w:type="pct"/>
            <w:vAlign w:val="bottom"/>
          </w:tcPr>
          <w:p w:rsidR="00145EBE" w:rsidRPr="001567C8" w:rsidRDefault="00145EBE" w:rsidP="00145EBE">
            <w:pPr>
              <w:pStyle w:val="Thick"/>
              <w:keepNext w:val="0"/>
              <w:spacing w:line="240" w:lineRule="exact"/>
              <w:rPr>
                <w:rFonts w:asciiTheme="minorHAnsi" w:hAnsiTheme="minorHAnsi" w:cstheme="minorHAnsi"/>
                <w:b w:val="0"/>
                <w:sz w:val="19"/>
                <w:szCs w:val="19"/>
                <w:u w:val="none"/>
                <w:lang w:val="hr-HR"/>
              </w:rPr>
            </w:pPr>
            <w:r w:rsidRPr="001567C8">
              <w:rPr>
                <w:rFonts w:asciiTheme="minorHAnsi" w:hAnsiTheme="minorHAnsi" w:cstheme="minorHAnsi"/>
                <w:b w:val="0"/>
                <w:sz w:val="19"/>
                <w:szCs w:val="19"/>
                <w:u w:val="none"/>
                <w:lang w:val="hr-HR"/>
              </w:rPr>
              <w:t>Primljene kamate</w:t>
            </w:r>
          </w:p>
        </w:tc>
        <w:tc>
          <w:tcPr>
            <w:tcW w:w="688" w:type="pct"/>
            <w:tcBorders>
              <w:top w:val="nil"/>
              <w:left w:val="nil"/>
              <w:bottom w:val="nil"/>
              <w:right w:val="nil"/>
            </w:tcBorders>
            <w:shd w:val="clear" w:color="auto" w:fill="auto"/>
            <w:vAlign w:val="bottom"/>
          </w:tcPr>
          <w:p w:rsidR="00145EBE" w:rsidRPr="001567C8" w:rsidRDefault="008525F9" w:rsidP="00145EBE">
            <w:pPr>
              <w:pStyle w:val="Thick"/>
              <w:keepNext w:val="0"/>
              <w:tabs>
                <w:tab w:val="clear" w:pos="1202"/>
              </w:tabs>
              <w:spacing w:line="240" w:lineRule="exact"/>
              <w:jc w:val="right"/>
              <w:rPr>
                <w:rFonts w:asciiTheme="minorHAnsi" w:hAnsiTheme="minorHAnsi" w:cstheme="minorHAnsi"/>
                <w:b w:val="0"/>
                <w:sz w:val="19"/>
                <w:szCs w:val="19"/>
                <w:highlight w:val="yellow"/>
                <w:u w:val="none"/>
                <w:lang w:val="hr-HR"/>
              </w:rPr>
            </w:pPr>
            <w:r w:rsidRPr="001567C8">
              <w:rPr>
                <w:rFonts w:asciiTheme="minorHAnsi" w:hAnsiTheme="minorHAnsi" w:cstheme="minorHAnsi"/>
                <w:b w:val="0"/>
                <w:sz w:val="19"/>
                <w:szCs w:val="19"/>
                <w:u w:val="none"/>
                <w:lang w:val="hr-HR"/>
              </w:rPr>
              <w:t>649.694</w:t>
            </w:r>
          </w:p>
        </w:tc>
        <w:tc>
          <w:tcPr>
            <w:tcW w:w="660" w:type="pct"/>
            <w:vAlign w:val="bottom"/>
          </w:tcPr>
          <w:p w:rsidR="00145EBE" w:rsidRPr="00CD3A2D" w:rsidRDefault="00145EBE" w:rsidP="00145EBE">
            <w:pPr>
              <w:pStyle w:val="Thick"/>
              <w:keepNext w:val="0"/>
              <w:tabs>
                <w:tab w:val="clear" w:pos="1202"/>
              </w:tabs>
              <w:spacing w:line="240" w:lineRule="exact"/>
              <w:jc w:val="right"/>
              <w:rPr>
                <w:rFonts w:asciiTheme="minorHAnsi" w:hAnsiTheme="minorHAnsi" w:cstheme="minorHAnsi"/>
                <w:b w:val="0"/>
                <w:sz w:val="19"/>
                <w:szCs w:val="19"/>
                <w:u w:val="none"/>
                <w:lang w:val="hr-HR"/>
              </w:rPr>
            </w:pPr>
            <w:r w:rsidRPr="00CD3A2D">
              <w:rPr>
                <w:rFonts w:asciiTheme="minorHAnsi" w:hAnsiTheme="minorHAnsi" w:cstheme="minorHAnsi"/>
                <w:b w:val="0"/>
                <w:color w:val="000000"/>
                <w:sz w:val="19"/>
                <w:szCs w:val="19"/>
                <w:u w:val="none"/>
                <w:lang w:val="hr-HR"/>
              </w:rPr>
              <w:t xml:space="preserve">   689.666 </w:t>
            </w:r>
          </w:p>
        </w:tc>
      </w:tr>
    </w:tbl>
    <w:p w:rsidR="007F5E6F" w:rsidRPr="001567C8" w:rsidRDefault="00FB7A08" w:rsidP="00353005">
      <w:pPr>
        <w:pStyle w:val="T1"/>
        <w:keepNext w:val="0"/>
        <w:spacing w:before="0" w:after="0" w:line="240" w:lineRule="exact"/>
        <w:rPr>
          <w:rFonts w:asciiTheme="minorHAnsi" w:hAnsiTheme="minorHAnsi"/>
          <w:b w:val="0"/>
          <w:bCs w:val="0"/>
          <w:i/>
          <w:sz w:val="20"/>
          <w:lang w:val="hr-HR"/>
        </w:rPr>
      </w:pPr>
      <w:r w:rsidRPr="001567C8">
        <w:rPr>
          <w:rFonts w:asciiTheme="minorHAnsi" w:hAnsiTheme="minorHAnsi"/>
          <w:b w:val="0"/>
          <w:bCs w:val="0"/>
          <w:i/>
          <w:sz w:val="20"/>
          <w:lang w:val="hr-HR"/>
        </w:rPr>
        <w:t>*n/p = nije primjenjivo uslijed primjene MSFI-ja 9</w:t>
      </w:r>
    </w:p>
    <w:p w:rsidR="007F5E6F" w:rsidRPr="001567C8" w:rsidRDefault="007F5E6F" w:rsidP="009636AC">
      <w:pPr>
        <w:pStyle w:val="T1"/>
        <w:keepNext w:val="0"/>
        <w:spacing w:before="0" w:after="0" w:line="240" w:lineRule="auto"/>
        <w:rPr>
          <w:rFonts w:asciiTheme="minorHAnsi" w:hAnsiTheme="minorHAnsi"/>
          <w:b w:val="0"/>
          <w:bCs w:val="0"/>
          <w:sz w:val="22"/>
          <w:szCs w:val="22"/>
          <w:lang w:val="hr-HR"/>
        </w:rPr>
      </w:pPr>
    </w:p>
    <w:p w:rsidR="004A2B81" w:rsidRPr="001567C8" w:rsidRDefault="004A2B81" w:rsidP="004A2B81">
      <w:pPr>
        <w:pStyle w:val="T1"/>
        <w:rPr>
          <w:rFonts w:asciiTheme="minorHAnsi" w:hAnsiTheme="minorHAnsi" w:cs="Arial"/>
          <w:sz w:val="22"/>
          <w:szCs w:val="22"/>
          <w:lang w:val="hr-HR"/>
        </w:rPr>
      </w:pPr>
      <w:r w:rsidRPr="001567C8">
        <w:rPr>
          <w:rFonts w:asciiTheme="minorHAnsi" w:hAnsiTheme="minorHAnsi" w:cs="Arial"/>
          <w:b w:val="0"/>
          <w:bCs w:val="0"/>
          <w:sz w:val="22"/>
          <w:szCs w:val="22"/>
          <w:lang w:val="hr-HR"/>
        </w:rPr>
        <w:t>Priložene računovodstvene politike i bilješke sastavni su dio ovih financijskih izvještaja.</w:t>
      </w:r>
    </w:p>
    <w:p w:rsidR="007F5E6F" w:rsidRPr="001567C8" w:rsidRDefault="007F5E6F" w:rsidP="009636AC">
      <w:pPr>
        <w:pStyle w:val="T1"/>
        <w:keepNext w:val="0"/>
        <w:spacing w:before="0" w:after="0" w:line="240" w:lineRule="auto"/>
        <w:rPr>
          <w:rFonts w:asciiTheme="minorHAnsi" w:hAnsiTheme="minorHAnsi"/>
          <w:b w:val="0"/>
          <w:bCs w:val="0"/>
          <w:sz w:val="22"/>
          <w:szCs w:val="22"/>
          <w:lang w:val="hr-HR"/>
        </w:rPr>
        <w:sectPr w:rsidR="007F5E6F" w:rsidRPr="001567C8" w:rsidSect="000D6913">
          <w:headerReference w:type="default" r:id="rId69"/>
          <w:pgSz w:w="11907" w:h="16840" w:code="9"/>
          <w:pgMar w:top="1418" w:right="992" w:bottom="1134" w:left="1418" w:header="851" w:footer="851" w:gutter="0"/>
          <w:cols w:space="720"/>
          <w:noEndnote/>
        </w:sectPr>
      </w:pPr>
    </w:p>
    <w:p w:rsidR="009636AC" w:rsidRPr="001567C8" w:rsidRDefault="009636AC" w:rsidP="009636AC">
      <w:pPr>
        <w:pStyle w:val="T1"/>
        <w:keepNext w:val="0"/>
        <w:spacing w:before="0" w:after="0" w:line="240" w:lineRule="auto"/>
        <w:rPr>
          <w:rFonts w:asciiTheme="minorHAnsi" w:hAnsiTheme="minorHAnsi"/>
          <w:b w:val="0"/>
          <w:bCs w:val="0"/>
          <w:sz w:val="22"/>
          <w:szCs w:val="22"/>
          <w:lang w:val="hr-HR"/>
        </w:rPr>
      </w:pPr>
    </w:p>
    <w:p w:rsidR="0010614F" w:rsidRPr="001567C8" w:rsidRDefault="0010614F" w:rsidP="009636AC">
      <w:pPr>
        <w:pStyle w:val="T1"/>
        <w:keepNext w:val="0"/>
        <w:spacing w:before="0" w:after="0" w:line="240" w:lineRule="auto"/>
        <w:rPr>
          <w:rFonts w:asciiTheme="minorHAnsi" w:hAnsiTheme="minorHAnsi"/>
          <w:b w:val="0"/>
          <w:bCs w:val="0"/>
          <w:sz w:val="22"/>
          <w:szCs w:val="22"/>
          <w:lang w:val="hr-HR"/>
        </w:rPr>
      </w:pPr>
    </w:p>
    <w:p w:rsidR="0010614F" w:rsidRPr="001567C8" w:rsidRDefault="0010614F" w:rsidP="009636AC">
      <w:pPr>
        <w:pStyle w:val="T1"/>
        <w:keepNext w:val="0"/>
        <w:spacing w:before="0" w:after="0" w:line="240" w:lineRule="auto"/>
        <w:rPr>
          <w:rFonts w:asciiTheme="minorHAnsi" w:hAnsiTheme="minorHAnsi"/>
          <w:b w:val="0"/>
          <w:bCs w:val="0"/>
          <w:sz w:val="22"/>
          <w:szCs w:val="22"/>
          <w:lang w:val="hr-HR"/>
        </w:rPr>
      </w:pPr>
    </w:p>
    <w:tbl>
      <w:tblPr>
        <w:tblpPr w:leftFromText="181" w:rightFromText="181" w:vertAnchor="text" w:horzAnchor="margin" w:tblpX="-350" w:tblpY="1"/>
        <w:tblW w:w="5161" w:type="pct"/>
        <w:tblLayout w:type="fixed"/>
        <w:tblCellMar>
          <w:left w:w="120" w:type="dxa"/>
          <w:right w:w="120" w:type="dxa"/>
        </w:tblCellMar>
        <w:tblLook w:val="0000" w:firstRow="0" w:lastRow="0" w:firstColumn="0" w:lastColumn="0" w:noHBand="0" w:noVBand="0"/>
      </w:tblPr>
      <w:tblGrid>
        <w:gridCol w:w="2831"/>
        <w:gridCol w:w="1161"/>
        <w:gridCol w:w="1163"/>
        <w:gridCol w:w="1161"/>
        <w:gridCol w:w="1163"/>
        <w:gridCol w:w="1161"/>
        <w:gridCol w:w="1163"/>
      </w:tblGrid>
      <w:tr w:rsidR="00FB3A7C" w:rsidRPr="001567C8" w:rsidTr="003C6BA3">
        <w:trPr>
          <w:trHeight w:val="636"/>
        </w:trPr>
        <w:tc>
          <w:tcPr>
            <w:tcW w:w="1444" w:type="pct"/>
          </w:tcPr>
          <w:p w:rsidR="005F2F7A" w:rsidRPr="001567C8" w:rsidRDefault="005F2F7A" w:rsidP="00C61659">
            <w:pPr>
              <w:pStyle w:val="TT"/>
              <w:rPr>
                <w:rFonts w:asciiTheme="minorHAnsi" w:hAnsiTheme="minorHAnsi" w:cs="Arial"/>
                <w:iCs/>
                <w:sz w:val="18"/>
                <w:szCs w:val="18"/>
                <w:lang w:val="hr-HR"/>
              </w:rPr>
            </w:pPr>
          </w:p>
        </w:tc>
        <w:tc>
          <w:tcPr>
            <w:tcW w:w="592" w:type="pct"/>
            <w:vAlign w:val="bottom"/>
          </w:tcPr>
          <w:p w:rsidR="005F2F7A" w:rsidRPr="001567C8" w:rsidRDefault="005F2F7A" w:rsidP="005F2F7A">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 xml:space="preserve">Osnivački </w:t>
            </w:r>
          </w:p>
          <w:p w:rsidR="005F2F7A" w:rsidRPr="001567C8" w:rsidRDefault="005F2F7A" w:rsidP="005F2F7A">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kapital</w:t>
            </w:r>
          </w:p>
        </w:tc>
        <w:tc>
          <w:tcPr>
            <w:tcW w:w="593" w:type="pct"/>
            <w:vAlign w:val="bottom"/>
          </w:tcPr>
          <w:p w:rsidR="005F2F7A" w:rsidRPr="001567C8" w:rsidRDefault="005F2F7A" w:rsidP="005F2F7A">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 xml:space="preserve">  Zadržana </w:t>
            </w:r>
          </w:p>
          <w:p w:rsidR="005F2F7A" w:rsidRPr="001567C8" w:rsidRDefault="005F2F7A" w:rsidP="005F2F7A">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dobit i rezerve</w:t>
            </w:r>
          </w:p>
        </w:tc>
        <w:tc>
          <w:tcPr>
            <w:tcW w:w="592" w:type="pct"/>
            <w:vAlign w:val="bottom"/>
          </w:tcPr>
          <w:p w:rsidR="005F2F7A" w:rsidRPr="001567C8" w:rsidRDefault="005F2F7A" w:rsidP="005F2F7A">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Ostale rezerve</w:t>
            </w:r>
          </w:p>
        </w:tc>
        <w:tc>
          <w:tcPr>
            <w:tcW w:w="593" w:type="pct"/>
            <w:vAlign w:val="bottom"/>
          </w:tcPr>
          <w:p w:rsidR="005F2F7A" w:rsidRPr="001567C8" w:rsidRDefault="005F2F7A" w:rsidP="005F2F7A">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 xml:space="preserve">Neto dobit </w:t>
            </w:r>
          </w:p>
          <w:p w:rsidR="005F2F7A" w:rsidRPr="001567C8" w:rsidRDefault="005F2F7A" w:rsidP="005F2F7A">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tekuće godine</w:t>
            </w:r>
          </w:p>
        </w:tc>
        <w:tc>
          <w:tcPr>
            <w:tcW w:w="592" w:type="pct"/>
            <w:vAlign w:val="bottom"/>
          </w:tcPr>
          <w:p w:rsidR="005F2F7A" w:rsidRPr="001567C8" w:rsidRDefault="005F2F7A" w:rsidP="005F2F7A">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Garantni fond</w:t>
            </w:r>
          </w:p>
        </w:tc>
        <w:tc>
          <w:tcPr>
            <w:tcW w:w="593" w:type="pct"/>
            <w:vAlign w:val="bottom"/>
          </w:tcPr>
          <w:p w:rsidR="005F2F7A" w:rsidRPr="001567C8" w:rsidRDefault="005F2F7A" w:rsidP="00FE3370">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 xml:space="preserve">Ukupni kapital </w:t>
            </w:r>
          </w:p>
        </w:tc>
      </w:tr>
      <w:tr w:rsidR="00FB3A7C" w:rsidRPr="001567C8" w:rsidTr="003C6BA3">
        <w:trPr>
          <w:trHeight w:val="241"/>
        </w:trPr>
        <w:tc>
          <w:tcPr>
            <w:tcW w:w="1444" w:type="pct"/>
          </w:tcPr>
          <w:p w:rsidR="005F2F7A" w:rsidRPr="001567C8" w:rsidRDefault="005F2F7A" w:rsidP="00C61659">
            <w:pPr>
              <w:pStyle w:val="TT"/>
              <w:rPr>
                <w:rFonts w:asciiTheme="minorHAnsi" w:hAnsiTheme="minorHAnsi" w:cs="Arial"/>
                <w:iCs/>
                <w:sz w:val="18"/>
                <w:szCs w:val="18"/>
                <w:lang w:val="hr-HR"/>
              </w:rPr>
            </w:pPr>
          </w:p>
        </w:tc>
        <w:tc>
          <w:tcPr>
            <w:tcW w:w="592" w:type="pct"/>
          </w:tcPr>
          <w:p w:rsidR="005F2F7A" w:rsidRPr="001567C8" w:rsidRDefault="005F2F7A" w:rsidP="00C61659">
            <w:pPr>
              <w:pStyle w:val="TH"/>
              <w:keepLines/>
              <w:spacing w:line="301" w:lineRule="exact"/>
              <w:jc w:val="right"/>
              <w:rPr>
                <w:rFonts w:asciiTheme="minorHAnsi" w:hAnsiTheme="minorHAnsi" w:cs="Arial"/>
                <w:bCs/>
                <w:sz w:val="18"/>
                <w:szCs w:val="18"/>
                <w:lang w:val="hr-HR"/>
              </w:rPr>
            </w:pPr>
            <w:r w:rsidRPr="001567C8">
              <w:rPr>
                <w:rFonts w:asciiTheme="minorHAnsi" w:hAnsiTheme="minorHAnsi" w:cs="Arial"/>
                <w:bCs/>
                <w:sz w:val="18"/>
                <w:szCs w:val="18"/>
                <w:lang w:val="hr-HR"/>
              </w:rPr>
              <w:t>000 kuna</w:t>
            </w:r>
          </w:p>
        </w:tc>
        <w:tc>
          <w:tcPr>
            <w:tcW w:w="593" w:type="pct"/>
          </w:tcPr>
          <w:p w:rsidR="005F2F7A" w:rsidRPr="001567C8" w:rsidRDefault="005F2F7A" w:rsidP="00C61659">
            <w:pPr>
              <w:pStyle w:val="TH"/>
              <w:keepLines/>
              <w:spacing w:line="301" w:lineRule="exact"/>
              <w:jc w:val="right"/>
              <w:rPr>
                <w:rFonts w:asciiTheme="minorHAnsi" w:hAnsiTheme="minorHAnsi" w:cs="Arial"/>
                <w:bCs/>
                <w:sz w:val="18"/>
                <w:szCs w:val="18"/>
                <w:lang w:val="hr-HR"/>
              </w:rPr>
            </w:pPr>
            <w:r w:rsidRPr="001567C8">
              <w:rPr>
                <w:rFonts w:asciiTheme="minorHAnsi" w:hAnsiTheme="minorHAnsi" w:cs="Arial"/>
                <w:bCs/>
                <w:sz w:val="18"/>
                <w:szCs w:val="18"/>
                <w:lang w:val="hr-HR"/>
              </w:rPr>
              <w:t>000 kuna</w:t>
            </w:r>
          </w:p>
        </w:tc>
        <w:tc>
          <w:tcPr>
            <w:tcW w:w="592" w:type="pct"/>
          </w:tcPr>
          <w:p w:rsidR="005F2F7A" w:rsidRPr="001567C8" w:rsidRDefault="005F2F7A" w:rsidP="00C61659">
            <w:pPr>
              <w:pStyle w:val="TH"/>
              <w:keepLines/>
              <w:spacing w:line="301" w:lineRule="exact"/>
              <w:jc w:val="right"/>
              <w:rPr>
                <w:rFonts w:asciiTheme="minorHAnsi" w:hAnsiTheme="minorHAnsi" w:cs="Arial"/>
                <w:bCs/>
                <w:sz w:val="18"/>
                <w:szCs w:val="18"/>
                <w:lang w:val="hr-HR"/>
              </w:rPr>
            </w:pPr>
            <w:r w:rsidRPr="001567C8">
              <w:rPr>
                <w:rFonts w:asciiTheme="minorHAnsi" w:hAnsiTheme="minorHAnsi" w:cs="Arial"/>
                <w:bCs/>
                <w:sz w:val="18"/>
                <w:szCs w:val="18"/>
                <w:lang w:val="hr-HR"/>
              </w:rPr>
              <w:t>000 kuna</w:t>
            </w:r>
          </w:p>
        </w:tc>
        <w:tc>
          <w:tcPr>
            <w:tcW w:w="593" w:type="pct"/>
          </w:tcPr>
          <w:p w:rsidR="005F2F7A" w:rsidRPr="001567C8" w:rsidRDefault="005F2F7A" w:rsidP="00C61659">
            <w:pPr>
              <w:pStyle w:val="TH"/>
              <w:keepLines/>
              <w:spacing w:line="301" w:lineRule="exact"/>
              <w:jc w:val="right"/>
              <w:rPr>
                <w:rFonts w:asciiTheme="minorHAnsi" w:hAnsiTheme="minorHAnsi" w:cs="Arial"/>
                <w:bCs/>
                <w:sz w:val="18"/>
                <w:szCs w:val="18"/>
                <w:lang w:val="hr-HR"/>
              </w:rPr>
            </w:pPr>
            <w:r w:rsidRPr="001567C8">
              <w:rPr>
                <w:rFonts w:asciiTheme="minorHAnsi" w:hAnsiTheme="minorHAnsi" w:cs="Arial"/>
                <w:bCs/>
                <w:sz w:val="18"/>
                <w:szCs w:val="18"/>
                <w:lang w:val="hr-HR"/>
              </w:rPr>
              <w:t>000 kuna</w:t>
            </w:r>
          </w:p>
        </w:tc>
        <w:tc>
          <w:tcPr>
            <w:tcW w:w="592" w:type="pct"/>
          </w:tcPr>
          <w:p w:rsidR="005F2F7A" w:rsidRPr="001567C8" w:rsidRDefault="005F2F7A" w:rsidP="00C61659">
            <w:pPr>
              <w:pStyle w:val="TH"/>
              <w:keepLines/>
              <w:spacing w:line="301" w:lineRule="exact"/>
              <w:jc w:val="right"/>
              <w:rPr>
                <w:rFonts w:asciiTheme="minorHAnsi" w:hAnsiTheme="minorHAnsi" w:cs="Arial"/>
                <w:bCs/>
                <w:sz w:val="18"/>
                <w:szCs w:val="18"/>
                <w:lang w:val="hr-HR"/>
              </w:rPr>
            </w:pPr>
            <w:r w:rsidRPr="001567C8">
              <w:rPr>
                <w:rFonts w:asciiTheme="minorHAnsi" w:hAnsiTheme="minorHAnsi" w:cs="Arial"/>
                <w:bCs/>
                <w:sz w:val="18"/>
                <w:szCs w:val="18"/>
                <w:lang w:val="hr-HR"/>
              </w:rPr>
              <w:t>000 kuna</w:t>
            </w:r>
          </w:p>
        </w:tc>
        <w:tc>
          <w:tcPr>
            <w:tcW w:w="593" w:type="pct"/>
          </w:tcPr>
          <w:p w:rsidR="005F2F7A" w:rsidRPr="001567C8" w:rsidRDefault="005F2F7A" w:rsidP="00C61659">
            <w:pPr>
              <w:pStyle w:val="TH"/>
              <w:keepLines/>
              <w:spacing w:line="301" w:lineRule="exact"/>
              <w:jc w:val="right"/>
              <w:rPr>
                <w:rFonts w:asciiTheme="minorHAnsi" w:hAnsiTheme="minorHAnsi" w:cs="Arial"/>
                <w:bCs/>
                <w:sz w:val="18"/>
                <w:szCs w:val="18"/>
                <w:lang w:val="hr-HR"/>
              </w:rPr>
            </w:pPr>
            <w:r w:rsidRPr="001567C8">
              <w:rPr>
                <w:rFonts w:asciiTheme="minorHAnsi" w:hAnsiTheme="minorHAnsi" w:cs="Arial"/>
                <w:bCs/>
                <w:sz w:val="18"/>
                <w:szCs w:val="18"/>
                <w:lang w:val="hr-HR"/>
              </w:rPr>
              <w:t>000 kuna</w:t>
            </w:r>
          </w:p>
        </w:tc>
      </w:tr>
      <w:tr w:rsidR="00FB3A7C" w:rsidRPr="001567C8" w:rsidTr="003C6BA3">
        <w:trPr>
          <w:trHeight w:val="106"/>
        </w:trPr>
        <w:tc>
          <w:tcPr>
            <w:tcW w:w="1444" w:type="pct"/>
          </w:tcPr>
          <w:p w:rsidR="005F2F7A" w:rsidRPr="001567C8" w:rsidRDefault="005F2F7A" w:rsidP="00C61659">
            <w:pPr>
              <w:pStyle w:val="TT"/>
              <w:spacing w:line="140" w:lineRule="exact"/>
              <w:rPr>
                <w:rFonts w:asciiTheme="minorHAnsi" w:hAnsiTheme="minorHAnsi" w:cs="Arial"/>
                <w:iCs/>
                <w:sz w:val="18"/>
                <w:szCs w:val="18"/>
                <w:lang w:val="hr-HR"/>
              </w:rPr>
            </w:pPr>
          </w:p>
        </w:tc>
        <w:tc>
          <w:tcPr>
            <w:tcW w:w="592" w:type="pct"/>
            <w:vAlign w:val="bottom"/>
          </w:tcPr>
          <w:p w:rsidR="005F2F7A" w:rsidRPr="001567C8" w:rsidRDefault="005F2F7A" w:rsidP="00C61659">
            <w:pPr>
              <w:pStyle w:val="TT"/>
              <w:spacing w:line="140" w:lineRule="exact"/>
              <w:jc w:val="right"/>
              <w:rPr>
                <w:rFonts w:asciiTheme="minorHAnsi" w:hAnsiTheme="minorHAnsi" w:cs="Arial"/>
                <w:b/>
                <w:bCs/>
                <w:sz w:val="18"/>
                <w:szCs w:val="18"/>
                <w:lang w:val="hr-HR"/>
              </w:rPr>
            </w:pPr>
          </w:p>
        </w:tc>
        <w:tc>
          <w:tcPr>
            <w:tcW w:w="593" w:type="pct"/>
            <w:vAlign w:val="bottom"/>
          </w:tcPr>
          <w:p w:rsidR="005F2F7A" w:rsidRPr="001567C8" w:rsidRDefault="005F2F7A" w:rsidP="00C61659">
            <w:pPr>
              <w:pStyle w:val="TT"/>
              <w:spacing w:line="140" w:lineRule="exact"/>
              <w:jc w:val="right"/>
              <w:rPr>
                <w:rFonts w:asciiTheme="minorHAnsi" w:hAnsiTheme="minorHAnsi" w:cs="Arial"/>
                <w:b/>
                <w:bCs/>
                <w:sz w:val="18"/>
                <w:szCs w:val="18"/>
                <w:lang w:val="hr-HR"/>
              </w:rPr>
            </w:pPr>
          </w:p>
        </w:tc>
        <w:tc>
          <w:tcPr>
            <w:tcW w:w="592" w:type="pct"/>
          </w:tcPr>
          <w:p w:rsidR="005F2F7A" w:rsidRPr="001567C8" w:rsidRDefault="005F2F7A" w:rsidP="00C61659">
            <w:pPr>
              <w:pStyle w:val="TT"/>
              <w:spacing w:line="140" w:lineRule="exact"/>
              <w:jc w:val="right"/>
              <w:rPr>
                <w:rFonts w:asciiTheme="minorHAnsi" w:hAnsiTheme="minorHAnsi" w:cs="Arial"/>
                <w:b/>
                <w:bCs/>
                <w:sz w:val="18"/>
                <w:szCs w:val="18"/>
                <w:lang w:val="hr-HR"/>
              </w:rPr>
            </w:pPr>
          </w:p>
        </w:tc>
        <w:tc>
          <w:tcPr>
            <w:tcW w:w="593" w:type="pct"/>
            <w:vAlign w:val="bottom"/>
          </w:tcPr>
          <w:p w:rsidR="005F2F7A" w:rsidRPr="001567C8" w:rsidRDefault="005F2F7A" w:rsidP="00C61659">
            <w:pPr>
              <w:pStyle w:val="TT"/>
              <w:spacing w:line="140" w:lineRule="exact"/>
              <w:jc w:val="right"/>
              <w:rPr>
                <w:rFonts w:asciiTheme="minorHAnsi" w:hAnsiTheme="minorHAnsi" w:cs="Arial"/>
                <w:b/>
                <w:bCs/>
                <w:sz w:val="18"/>
                <w:szCs w:val="18"/>
                <w:lang w:val="hr-HR"/>
              </w:rPr>
            </w:pPr>
          </w:p>
        </w:tc>
        <w:tc>
          <w:tcPr>
            <w:tcW w:w="592" w:type="pct"/>
          </w:tcPr>
          <w:p w:rsidR="005F2F7A" w:rsidRPr="001567C8" w:rsidRDefault="005F2F7A" w:rsidP="00C61659">
            <w:pPr>
              <w:pStyle w:val="TT"/>
              <w:spacing w:line="140" w:lineRule="exact"/>
              <w:jc w:val="right"/>
              <w:rPr>
                <w:rFonts w:asciiTheme="minorHAnsi" w:hAnsiTheme="minorHAnsi" w:cs="Arial"/>
                <w:b/>
                <w:bCs/>
                <w:sz w:val="18"/>
                <w:szCs w:val="18"/>
                <w:lang w:val="hr-HR"/>
              </w:rPr>
            </w:pPr>
          </w:p>
        </w:tc>
        <w:tc>
          <w:tcPr>
            <w:tcW w:w="593" w:type="pct"/>
            <w:vAlign w:val="bottom"/>
          </w:tcPr>
          <w:p w:rsidR="005F2F7A" w:rsidRPr="001567C8" w:rsidRDefault="005F2F7A" w:rsidP="00C61659">
            <w:pPr>
              <w:pStyle w:val="TT"/>
              <w:spacing w:line="140" w:lineRule="exact"/>
              <w:jc w:val="right"/>
              <w:rPr>
                <w:rFonts w:asciiTheme="minorHAnsi" w:hAnsiTheme="minorHAnsi" w:cs="Arial"/>
                <w:b/>
                <w:bCs/>
                <w:sz w:val="18"/>
                <w:szCs w:val="18"/>
                <w:lang w:val="hr-HR"/>
              </w:rPr>
            </w:pPr>
          </w:p>
        </w:tc>
      </w:tr>
      <w:tr w:rsidR="00FB3A7C" w:rsidRPr="001567C8" w:rsidTr="003C6BA3">
        <w:trPr>
          <w:trHeight w:val="367"/>
        </w:trPr>
        <w:tc>
          <w:tcPr>
            <w:tcW w:w="1444" w:type="pct"/>
            <w:vAlign w:val="bottom"/>
          </w:tcPr>
          <w:p w:rsidR="00FE3370" w:rsidRPr="001567C8" w:rsidRDefault="00FE3370" w:rsidP="00FE3370">
            <w:pPr>
              <w:pStyle w:val="TT"/>
              <w:spacing w:line="240" w:lineRule="exact"/>
              <w:rPr>
                <w:rFonts w:asciiTheme="minorHAnsi" w:hAnsiTheme="minorHAnsi" w:cs="Arial"/>
                <w:b/>
                <w:iCs/>
                <w:sz w:val="18"/>
                <w:szCs w:val="18"/>
                <w:lang w:val="hr-HR"/>
              </w:rPr>
            </w:pPr>
            <w:r w:rsidRPr="001567C8">
              <w:rPr>
                <w:rFonts w:asciiTheme="minorHAnsi" w:hAnsiTheme="minorHAnsi" w:cs="Arial"/>
                <w:b/>
                <w:iCs/>
                <w:sz w:val="18"/>
                <w:szCs w:val="18"/>
                <w:lang w:val="hr-HR"/>
              </w:rPr>
              <w:t>Stanje 1. siječnja 2017. godine</w:t>
            </w:r>
          </w:p>
        </w:tc>
        <w:tc>
          <w:tcPr>
            <w:tcW w:w="592" w:type="pct"/>
            <w:tcBorders>
              <w:top w:val="nil"/>
              <w:left w:val="nil"/>
              <w:bottom w:val="single" w:sz="8"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CD3A2D">
              <w:rPr>
                <w:rFonts w:ascii="Calibri" w:hAnsi="Calibri" w:cs="Calibri"/>
                <w:b/>
                <w:bCs/>
                <w:color w:val="000000"/>
                <w:sz w:val="18"/>
                <w:szCs w:val="18"/>
                <w:lang w:val="hr-HR"/>
              </w:rPr>
              <w:t>6.959.632</w:t>
            </w:r>
          </w:p>
        </w:tc>
        <w:tc>
          <w:tcPr>
            <w:tcW w:w="593" w:type="pct"/>
            <w:tcBorders>
              <w:top w:val="nil"/>
              <w:left w:val="nil"/>
              <w:bottom w:val="single" w:sz="8"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CD3A2D">
              <w:rPr>
                <w:rFonts w:ascii="Calibri" w:hAnsi="Calibri" w:cs="Calibri"/>
                <w:b/>
                <w:bCs/>
                <w:color w:val="000000"/>
                <w:sz w:val="18"/>
                <w:szCs w:val="18"/>
                <w:lang w:val="hr-HR"/>
              </w:rPr>
              <w:t>2.682.131</w:t>
            </w:r>
          </w:p>
        </w:tc>
        <w:tc>
          <w:tcPr>
            <w:tcW w:w="592" w:type="pct"/>
            <w:tcBorders>
              <w:top w:val="nil"/>
              <w:left w:val="nil"/>
              <w:bottom w:val="single" w:sz="8"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CD3A2D">
              <w:rPr>
                <w:rFonts w:ascii="Calibri" w:hAnsi="Calibri" w:cs="Calibri"/>
                <w:b/>
                <w:bCs/>
                <w:color w:val="000000"/>
                <w:sz w:val="18"/>
                <w:szCs w:val="18"/>
                <w:lang w:val="hr-HR"/>
              </w:rPr>
              <w:t>70.317</w:t>
            </w:r>
          </w:p>
        </w:tc>
        <w:tc>
          <w:tcPr>
            <w:tcW w:w="593" w:type="pct"/>
            <w:tcBorders>
              <w:top w:val="nil"/>
              <w:left w:val="nil"/>
              <w:bottom w:val="single" w:sz="8"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CD3A2D">
              <w:rPr>
                <w:rFonts w:ascii="Calibri" w:hAnsi="Calibri" w:cs="Calibri"/>
                <w:b/>
                <w:bCs/>
                <w:color w:val="000000"/>
                <w:sz w:val="18"/>
                <w:szCs w:val="18"/>
                <w:lang w:val="hr-HR"/>
              </w:rPr>
              <w:t>313.525</w:t>
            </w:r>
          </w:p>
        </w:tc>
        <w:tc>
          <w:tcPr>
            <w:tcW w:w="592" w:type="pct"/>
            <w:tcBorders>
              <w:top w:val="nil"/>
              <w:left w:val="nil"/>
              <w:bottom w:val="single" w:sz="8"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12.375</w:t>
            </w:r>
          </w:p>
        </w:tc>
        <w:tc>
          <w:tcPr>
            <w:tcW w:w="593" w:type="pct"/>
            <w:tcBorders>
              <w:top w:val="nil"/>
              <w:left w:val="nil"/>
              <w:bottom w:val="single" w:sz="8"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10.037.980</w:t>
            </w:r>
          </w:p>
        </w:tc>
      </w:tr>
      <w:tr w:rsidR="00FB3A7C" w:rsidRPr="001567C8" w:rsidTr="003C6BA3">
        <w:trPr>
          <w:trHeight w:val="52"/>
        </w:trPr>
        <w:tc>
          <w:tcPr>
            <w:tcW w:w="1444" w:type="pct"/>
            <w:vAlign w:val="bottom"/>
          </w:tcPr>
          <w:p w:rsidR="005F2F7A" w:rsidRPr="001567C8" w:rsidRDefault="005F2F7A" w:rsidP="00C61659">
            <w:pPr>
              <w:pStyle w:val="TT"/>
              <w:spacing w:line="140" w:lineRule="exact"/>
              <w:rPr>
                <w:rFonts w:asciiTheme="minorHAnsi" w:hAnsiTheme="minorHAnsi" w:cs="Arial"/>
                <w:b/>
                <w:iCs/>
                <w:sz w:val="18"/>
                <w:szCs w:val="18"/>
                <w:lang w:val="hr-HR"/>
              </w:rPr>
            </w:pPr>
          </w:p>
        </w:tc>
        <w:tc>
          <w:tcPr>
            <w:tcW w:w="592"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3"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2"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3"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2" w:type="pct"/>
            <w:tcBorders>
              <w:top w:val="single" w:sz="12" w:space="0" w:color="auto"/>
            </w:tcBorders>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3"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b/>
                <w:iCs/>
                <w:sz w:val="18"/>
                <w:szCs w:val="18"/>
                <w:lang w:val="hr-HR"/>
              </w:rPr>
            </w:pPr>
          </w:p>
        </w:tc>
      </w:tr>
      <w:tr w:rsidR="00FB3A7C" w:rsidRPr="001567C8" w:rsidTr="003C6BA3">
        <w:trPr>
          <w:trHeight w:hRule="exact" w:val="331"/>
        </w:trPr>
        <w:tc>
          <w:tcPr>
            <w:tcW w:w="1444" w:type="pct"/>
            <w:vAlign w:val="bottom"/>
          </w:tcPr>
          <w:p w:rsidR="00FE3370" w:rsidRPr="001567C8" w:rsidRDefault="00FE3370" w:rsidP="00FE3370">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Dobit tekuće godine</w:t>
            </w:r>
          </w:p>
        </w:tc>
        <w:tc>
          <w:tcPr>
            <w:tcW w:w="592"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w:t>
            </w:r>
          </w:p>
        </w:tc>
        <w:tc>
          <w:tcPr>
            <w:tcW w:w="593"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w:t>
            </w:r>
          </w:p>
        </w:tc>
        <w:tc>
          <w:tcPr>
            <w:tcW w:w="592"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w:t>
            </w:r>
          </w:p>
        </w:tc>
        <w:tc>
          <w:tcPr>
            <w:tcW w:w="593"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160.783</w:t>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Theme="minorHAnsi" w:hAnsiTheme="minorHAnsi" w:cs="Arial"/>
                <w:b/>
                <w:color w:val="000000"/>
                <w:sz w:val="18"/>
                <w:szCs w:val="18"/>
                <w:lang w:val="hr-HR"/>
              </w:rPr>
            </w:pPr>
            <w:r w:rsidRPr="00CD3A2D">
              <w:rPr>
                <w:rFonts w:asciiTheme="minorHAnsi" w:hAnsiTheme="minorHAnsi" w:cs="Arial"/>
                <w:b/>
                <w:color w:val="000000"/>
                <w:sz w:val="18"/>
                <w:szCs w:val="18"/>
                <w:lang w:val="hr-HR"/>
              </w:rPr>
              <w:t>-</w:t>
            </w:r>
          </w:p>
        </w:tc>
        <w:tc>
          <w:tcPr>
            <w:tcW w:w="593"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CD3A2D">
              <w:rPr>
                <w:rFonts w:ascii="Calibri" w:hAnsi="Calibri" w:cs="Calibri"/>
                <w:b/>
                <w:color w:val="000000"/>
                <w:sz w:val="18"/>
                <w:szCs w:val="18"/>
                <w:lang w:val="hr-HR"/>
              </w:rPr>
              <w:t>160.783</w:t>
            </w:r>
          </w:p>
        </w:tc>
      </w:tr>
      <w:tr w:rsidR="00FB3A7C" w:rsidRPr="001567C8" w:rsidTr="003C6BA3">
        <w:trPr>
          <w:trHeight w:hRule="exact" w:val="343"/>
        </w:trPr>
        <w:tc>
          <w:tcPr>
            <w:tcW w:w="1444" w:type="pct"/>
            <w:vAlign w:val="bottom"/>
          </w:tcPr>
          <w:p w:rsidR="00FE3370" w:rsidRPr="001567C8" w:rsidRDefault="00FE3370" w:rsidP="00FE3370">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Ostala sveobuhvatna dobit</w:t>
            </w:r>
          </w:p>
        </w:tc>
        <w:tc>
          <w:tcPr>
            <w:tcW w:w="592"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20.140 </w:t>
            </w:r>
          </w:p>
        </w:tc>
        <w:tc>
          <w:tcPr>
            <w:tcW w:w="593"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single" w:sz="4" w:space="0" w:color="auto"/>
              <w:right w:val="nil"/>
            </w:tcBorders>
            <w:shd w:val="clear" w:color="auto" w:fill="auto"/>
            <w:vAlign w:val="bottom"/>
          </w:tcPr>
          <w:p w:rsidR="00FE3370" w:rsidRPr="00CD3A2D" w:rsidRDefault="00FE3370" w:rsidP="00FE3370">
            <w:pPr>
              <w:pStyle w:val="TT"/>
              <w:jc w:val="right"/>
              <w:rPr>
                <w:rFonts w:asciiTheme="minorHAnsi" w:hAnsiTheme="minorHAnsi" w:cs="Arial"/>
                <w:b/>
                <w:color w:val="000000"/>
                <w:sz w:val="18"/>
                <w:szCs w:val="18"/>
                <w:lang w:val="hr-HR"/>
              </w:rPr>
            </w:pPr>
            <w:r w:rsidRPr="00CD3A2D">
              <w:rPr>
                <w:rFonts w:asciiTheme="minorHAnsi" w:hAnsiTheme="minorHAnsi" w:cs="Arial"/>
                <w:b/>
                <w:color w:val="000000"/>
                <w:sz w:val="18"/>
                <w:szCs w:val="18"/>
                <w:lang w:val="hr-HR"/>
              </w:rPr>
              <w:t>-</w:t>
            </w:r>
          </w:p>
        </w:tc>
        <w:tc>
          <w:tcPr>
            <w:tcW w:w="593"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CD3A2D">
              <w:rPr>
                <w:rFonts w:ascii="Calibri" w:hAnsi="Calibri" w:cs="Calibri"/>
                <w:b/>
                <w:color w:val="000000"/>
                <w:sz w:val="18"/>
                <w:szCs w:val="18"/>
                <w:lang w:val="hr-HR"/>
              </w:rPr>
              <w:t xml:space="preserve">          20.140 </w:t>
            </w:r>
          </w:p>
        </w:tc>
      </w:tr>
      <w:tr w:rsidR="00FB3A7C" w:rsidRPr="001567C8" w:rsidTr="003C6BA3">
        <w:trPr>
          <w:trHeight w:val="227"/>
        </w:trPr>
        <w:tc>
          <w:tcPr>
            <w:tcW w:w="1444" w:type="pct"/>
            <w:vAlign w:val="bottom"/>
          </w:tcPr>
          <w:p w:rsidR="00FE3370" w:rsidRPr="001567C8" w:rsidRDefault="00FE3370" w:rsidP="00FE3370">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Ukupna sveobuhvatna dobit</w:t>
            </w:r>
          </w:p>
        </w:tc>
        <w:tc>
          <w:tcPr>
            <w:tcW w:w="592"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w:t>
            </w:r>
          </w:p>
        </w:tc>
        <w:tc>
          <w:tcPr>
            <w:tcW w:w="593"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w:t>
            </w:r>
          </w:p>
        </w:tc>
        <w:tc>
          <w:tcPr>
            <w:tcW w:w="592"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20.140 </w:t>
            </w:r>
          </w:p>
        </w:tc>
        <w:tc>
          <w:tcPr>
            <w:tcW w:w="593"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160.783</w:t>
            </w:r>
          </w:p>
        </w:tc>
        <w:tc>
          <w:tcPr>
            <w:tcW w:w="592" w:type="pct"/>
            <w:tcBorders>
              <w:top w:val="nil"/>
              <w:left w:val="nil"/>
              <w:bottom w:val="single" w:sz="4" w:space="0" w:color="auto"/>
              <w:right w:val="nil"/>
            </w:tcBorders>
            <w:shd w:val="clear" w:color="auto" w:fill="auto"/>
            <w:vAlign w:val="bottom"/>
          </w:tcPr>
          <w:p w:rsidR="00FE3370" w:rsidRPr="00CD3A2D" w:rsidRDefault="00FE3370" w:rsidP="00FE3370">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93"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180.923</w:t>
            </w:r>
          </w:p>
        </w:tc>
      </w:tr>
      <w:tr w:rsidR="00FB3A7C" w:rsidRPr="001567C8" w:rsidTr="003C6BA3">
        <w:trPr>
          <w:trHeight w:val="227"/>
        </w:trPr>
        <w:tc>
          <w:tcPr>
            <w:tcW w:w="1444" w:type="pct"/>
            <w:vAlign w:val="bottom"/>
          </w:tcPr>
          <w:p w:rsidR="00FE3370" w:rsidRPr="001567C8" w:rsidRDefault="008751BC" w:rsidP="00FE3370">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Tečajne razlike Garantni fond</w:t>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Theme="minorHAnsi" w:hAnsiTheme="minorHAnsi" w:cs="Arial"/>
                <w:color w:val="000000"/>
                <w:sz w:val="18"/>
                <w:szCs w:val="18"/>
                <w:lang w:val="hr-HR"/>
              </w:rPr>
            </w:pPr>
            <w:r w:rsidRPr="00CD3A2D">
              <w:rPr>
                <w:rFonts w:ascii="Calibri" w:hAnsi="Calibri" w:cs="Calibri"/>
                <w:color w:val="000000"/>
                <w:sz w:val="18"/>
                <w:szCs w:val="18"/>
                <w:lang w:val="hr-HR"/>
              </w:rPr>
              <w:t>-</w:t>
            </w:r>
          </w:p>
        </w:tc>
        <w:tc>
          <w:tcPr>
            <w:tcW w:w="593" w:type="pct"/>
            <w:tcBorders>
              <w:top w:val="nil"/>
              <w:left w:val="nil"/>
              <w:bottom w:val="nil"/>
              <w:right w:val="nil"/>
            </w:tcBorders>
            <w:shd w:val="clear" w:color="auto" w:fill="auto"/>
            <w:vAlign w:val="bottom"/>
          </w:tcPr>
          <w:p w:rsidR="00FE3370" w:rsidRPr="00CD3A2D" w:rsidRDefault="00FE3370" w:rsidP="00FE3370">
            <w:pPr>
              <w:pStyle w:val="TT"/>
              <w:jc w:val="right"/>
              <w:rPr>
                <w:rFonts w:asciiTheme="minorHAnsi" w:hAnsiTheme="minorHAnsi" w:cs="Arial"/>
                <w:color w:val="000000"/>
                <w:sz w:val="18"/>
                <w:szCs w:val="18"/>
                <w:lang w:val="hr-HR"/>
              </w:rPr>
            </w:pPr>
            <w:r w:rsidRPr="00CD3A2D">
              <w:rPr>
                <w:rFonts w:ascii="Calibri" w:hAnsi="Calibri" w:cs="Calibri"/>
                <w:color w:val="000000"/>
                <w:sz w:val="18"/>
                <w:szCs w:val="18"/>
                <w:lang w:val="hr-HR"/>
              </w:rPr>
              <w:t>-</w:t>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Theme="minorHAnsi" w:hAnsiTheme="minorHAnsi" w:cs="Arial"/>
                <w:color w:val="000000"/>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E3370" w:rsidRPr="00CD3A2D" w:rsidRDefault="00FE3370" w:rsidP="00FE3370">
            <w:pPr>
              <w:pStyle w:val="TT"/>
              <w:jc w:val="right"/>
              <w:rPr>
                <w:rFonts w:asciiTheme="minorHAnsi" w:hAnsiTheme="minorHAnsi" w:cs="Arial"/>
                <w:color w:val="000000"/>
                <w:sz w:val="18"/>
                <w:szCs w:val="18"/>
                <w:lang w:val="hr-HR"/>
              </w:rPr>
            </w:pPr>
            <w:r w:rsidRPr="00CD3A2D">
              <w:rPr>
                <w:rFonts w:ascii="Calibri" w:hAnsi="Calibri" w:cs="Calibri"/>
                <w:color w:val="000000"/>
                <w:sz w:val="18"/>
                <w:szCs w:val="18"/>
                <w:lang w:val="hr-HR"/>
              </w:rPr>
              <w:t>-</w:t>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Theme="minorHAnsi" w:hAnsiTheme="minorHAnsi" w:cs="Arial"/>
                <w:color w:val="000000"/>
                <w:sz w:val="18"/>
                <w:szCs w:val="18"/>
                <w:lang w:val="hr-HR"/>
              </w:rPr>
            </w:pPr>
            <w:r w:rsidRPr="00CD3A2D">
              <w:rPr>
                <w:rFonts w:asciiTheme="minorHAnsi" w:hAnsiTheme="minorHAnsi" w:cs="Arial"/>
                <w:color w:val="000000"/>
                <w:sz w:val="18"/>
                <w:szCs w:val="18"/>
                <w:lang w:val="hr-HR"/>
              </w:rPr>
              <w:t>(72)</w:t>
            </w:r>
          </w:p>
        </w:tc>
        <w:tc>
          <w:tcPr>
            <w:tcW w:w="593" w:type="pct"/>
            <w:tcBorders>
              <w:top w:val="nil"/>
              <w:left w:val="nil"/>
              <w:bottom w:val="nil"/>
              <w:right w:val="nil"/>
            </w:tcBorders>
            <w:shd w:val="clear" w:color="auto" w:fill="auto"/>
            <w:vAlign w:val="bottom"/>
          </w:tcPr>
          <w:p w:rsidR="00FE3370" w:rsidRPr="00CD3A2D" w:rsidRDefault="00FE3370" w:rsidP="00FE3370">
            <w:pPr>
              <w:pStyle w:val="TT"/>
              <w:jc w:val="right"/>
              <w:rPr>
                <w:rFonts w:asciiTheme="minorHAnsi" w:hAnsiTheme="minorHAnsi" w:cs="Arial"/>
                <w:b/>
                <w:color w:val="000000"/>
                <w:sz w:val="18"/>
                <w:szCs w:val="18"/>
                <w:lang w:val="hr-HR"/>
              </w:rPr>
            </w:pPr>
            <w:r w:rsidRPr="00CD3A2D">
              <w:rPr>
                <w:rFonts w:ascii="Calibri" w:hAnsi="Calibri" w:cs="Calibri"/>
                <w:b/>
                <w:color w:val="000000"/>
                <w:sz w:val="18"/>
                <w:szCs w:val="18"/>
                <w:lang w:val="hr-HR"/>
              </w:rPr>
              <w:t xml:space="preserve">              (72)</w:t>
            </w:r>
          </w:p>
        </w:tc>
      </w:tr>
      <w:tr w:rsidR="00FB3A7C" w:rsidRPr="001567C8" w:rsidTr="003C6BA3">
        <w:trPr>
          <w:trHeight w:val="565"/>
        </w:trPr>
        <w:tc>
          <w:tcPr>
            <w:tcW w:w="1444" w:type="pct"/>
            <w:vAlign w:val="bottom"/>
          </w:tcPr>
          <w:p w:rsidR="00FE3370" w:rsidRPr="001567C8" w:rsidRDefault="00FE3370" w:rsidP="00FE3370">
            <w:pPr>
              <w:pStyle w:val="TT"/>
              <w:spacing w:line="240" w:lineRule="exact"/>
              <w:rPr>
                <w:rFonts w:asciiTheme="minorHAnsi" w:hAnsiTheme="minorHAnsi" w:cs="Arial"/>
                <w:i/>
                <w:iCs/>
                <w:sz w:val="18"/>
                <w:szCs w:val="18"/>
                <w:lang w:val="hr-HR"/>
              </w:rPr>
            </w:pPr>
            <w:r w:rsidRPr="001567C8">
              <w:rPr>
                <w:rFonts w:asciiTheme="minorHAnsi" w:hAnsiTheme="minorHAnsi" w:cs="Arial"/>
                <w:iCs/>
                <w:sz w:val="18"/>
                <w:szCs w:val="18"/>
                <w:lang w:val="hr-HR"/>
              </w:rPr>
              <w:t xml:space="preserve">Uplate u osnivački kapital iz državnog proračuna </w:t>
            </w:r>
          </w:p>
        </w:tc>
        <w:tc>
          <w:tcPr>
            <w:tcW w:w="592"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50.000</w:t>
            </w:r>
          </w:p>
        </w:tc>
        <w:tc>
          <w:tcPr>
            <w:tcW w:w="593"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p>
        </w:tc>
        <w:tc>
          <w:tcPr>
            <w:tcW w:w="592"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w:t>
            </w:r>
          </w:p>
        </w:tc>
        <w:tc>
          <w:tcPr>
            <w:tcW w:w="593"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w:t>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Theme="minorHAnsi" w:hAnsiTheme="minorHAnsi" w:cs="Arial"/>
                <w:b/>
                <w:color w:val="000000"/>
                <w:sz w:val="18"/>
                <w:szCs w:val="18"/>
                <w:lang w:val="hr-HR"/>
              </w:rPr>
            </w:pPr>
            <w:r w:rsidRPr="00CD3A2D">
              <w:rPr>
                <w:rFonts w:asciiTheme="minorHAnsi" w:hAnsiTheme="minorHAnsi" w:cs="Arial"/>
                <w:b/>
                <w:color w:val="000000"/>
                <w:sz w:val="18"/>
                <w:szCs w:val="18"/>
                <w:lang w:val="hr-HR"/>
              </w:rPr>
              <w:t>-</w:t>
            </w:r>
          </w:p>
        </w:tc>
        <w:tc>
          <w:tcPr>
            <w:tcW w:w="593" w:type="pct"/>
            <w:tcBorders>
              <w:top w:val="nil"/>
              <w:left w:val="nil"/>
              <w:bottom w:val="nil"/>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CD3A2D">
              <w:rPr>
                <w:rFonts w:ascii="Calibri" w:hAnsi="Calibri" w:cs="Calibri"/>
                <w:b/>
                <w:color w:val="000000"/>
                <w:sz w:val="18"/>
                <w:szCs w:val="18"/>
                <w:lang w:val="hr-HR"/>
              </w:rPr>
              <w:t>50.000</w:t>
            </w:r>
          </w:p>
        </w:tc>
      </w:tr>
      <w:tr w:rsidR="00FB3A7C" w:rsidRPr="001567C8" w:rsidTr="003C6BA3">
        <w:trPr>
          <w:trHeight w:val="244"/>
        </w:trPr>
        <w:tc>
          <w:tcPr>
            <w:tcW w:w="1444" w:type="pct"/>
            <w:vAlign w:val="bottom"/>
          </w:tcPr>
          <w:p w:rsidR="00FE3370" w:rsidRPr="001567C8" w:rsidRDefault="00FE3370" w:rsidP="00FE3370">
            <w:pPr>
              <w:pStyle w:val="TT"/>
              <w:spacing w:line="240" w:lineRule="exact"/>
              <w:rPr>
                <w:rFonts w:asciiTheme="minorHAnsi" w:hAnsiTheme="minorHAnsi" w:cs="Arial"/>
                <w:i/>
                <w:iCs/>
                <w:sz w:val="18"/>
                <w:szCs w:val="18"/>
                <w:lang w:val="hr-HR"/>
              </w:rPr>
            </w:pPr>
            <w:r w:rsidRPr="001567C8">
              <w:rPr>
                <w:rFonts w:asciiTheme="minorHAnsi" w:hAnsiTheme="minorHAnsi" w:cs="Arial"/>
                <w:iCs/>
                <w:sz w:val="18"/>
                <w:szCs w:val="18"/>
                <w:lang w:val="hr-HR"/>
              </w:rPr>
              <w:t>Prijenos dobiti iz 201</w:t>
            </w:r>
            <w:r w:rsidR="000C0BBE" w:rsidRPr="001567C8">
              <w:rPr>
                <w:rFonts w:asciiTheme="minorHAnsi" w:hAnsiTheme="minorHAnsi" w:cs="Arial"/>
                <w:iCs/>
                <w:sz w:val="18"/>
                <w:szCs w:val="18"/>
                <w:lang w:val="hr-HR"/>
              </w:rPr>
              <w:t>6</w:t>
            </w:r>
            <w:r w:rsidRPr="001567C8">
              <w:rPr>
                <w:rFonts w:asciiTheme="minorHAnsi" w:hAnsiTheme="minorHAnsi" w:cs="Arial"/>
                <w:iCs/>
                <w:sz w:val="18"/>
                <w:szCs w:val="18"/>
                <w:lang w:val="hr-HR"/>
              </w:rPr>
              <w:t xml:space="preserve">. godine u zadržanu dobit </w:t>
            </w:r>
          </w:p>
        </w:tc>
        <w:tc>
          <w:tcPr>
            <w:tcW w:w="592"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313.525 </w:t>
            </w:r>
          </w:p>
        </w:tc>
        <w:tc>
          <w:tcPr>
            <w:tcW w:w="592"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(313.525)</w:t>
            </w:r>
          </w:p>
        </w:tc>
        <w:tc>
          <w:tcPr>
            <w:tcW w:w="592" w:type="pct"/>
            <w:tcBorders>
              <w:top w:val="nil"/>
              <w:left w:val="nil"/>
              <w:bottom w:val="single" w:sz="4" w:space="0" w:color="auto"/>
              <w:right w:val="nil"/>
            </w:tcBorders>
            <w:shd w:val="clear" w:color="auto" w:fill="auto"/>
            <w:vAlign w:val="bottom"/>
          </w:tcPr>
          <w:p w:rsidR="00FE3370" w:rsidRPr="00CD3A2D" w:rsidRDefault="00FE3370" w:rsidP="00FE3370">
            <w:pPr>
              <w:pStyle w:val="TT"/>
              <w:jc w:val="right"/>
              <w:rPr>
                <w:rFonts w:asciiTheme="minorHAnsi" w:hAnsiTheme="minorHAnsi" w:cs="Arial"/>
                <w:b/>
                <w:color w:val="000000"/>
                <w:sz w:val="18"/>
                <w:szCs w:val="18"/>
                <w:lang w:val="hr-HR"/>
              </w:rPr>
            </w:pPr>
            <w:r w:rsidRPr="00CD3A2D">
              <w:rPr>
                <w:rFonts w:asciiTheme="minorHAnsi" w:hAnsiTheme="minorHAnsi" w:cs="Arial"/>
                <w:b/>
                <w:color w:val="000000"/>
                <w:sz w:val="18"/>
                <w:szCs w:val="18"/>
                <w:lang w:val="hr-HR"/>
              </w:rPr>
              <w:t>-</w:t>
            </w:r>
          </w:p>
        </w:tc>
        <w:tc>
          <w:tcPr>
            <w:tcW w:w="593" w:type="pct"/>
            <w:tcBorders>
              <w:top w:val="nil"/>
              <w:left w:val="nil"/>
              <w:bottom w:val="single" w:sz="4" w:space="0" w:color="auto"/>
              <w:right w:val="nil"/>
            </w:tcBorders>
            <w:shd w:val="clear" w:color="auto" w:fill="auto"/>
            <w:vAlign w:val="bottom"/>
          </w:tcPr>
          <w:p w:rsidR="00FE3370" w:rsidRPr="001567C8" w:rsidRDefault="00FE3370" w:rsidP="00FE3370">
            <w:pPr>
              <w:pStyle w:val="TT"/>
              <w:jc w:val="right"/>
              <w:rPr>
                <w:rFonts w:asciiTheme="minorHAnsi" w:hAnsiTheme="minorHAnsi" w:cs="Arial"/>
                <w:b/>
                <w:iCs/>
                <w:sz w:val="18"/>
                <w:szCs w:val="18"/>
                <w:lang w:val="hr-HR"/>
              </w:rPr>
            </w:pPr>
            <w:r w:rsidRPr="001567C8">
              <w:rPr>
                <w:rFonts w:asciiTheme="minorHAnsi" w:hAnsiTheme="minorHAnsi" w:cs="Arial"/>
                <w:b/>
                <w:iCs/>
                <w:sz w:val="18"/>
                <w:szCs w:val="18"/>
                <w:lang w:val="hr-HR"/>
              </w:rPr>
              <w:t>-</w:t>
            </w:r>
          </w:p>
        </w:tc>
      </w:tr>
      <w:tr w:rsidR="00FB3A7C" w:rsidRPr="001567C8" w:rsidTr="003C6BA3">
        <w:trPr>
          <w:trHeight w:val="257"/>
        </w:trPr>
        <w:tc>
          <w:tcPr>
            <w:tcW w:w="1444" w:type="pct"/>
            <w:vAlign w:val="bottom"/>
          </w:tcPr>
          <w:p w:rsidR="00FE3370" w:rsidRPr="001567C8" w:rsidRDefault="00FE3370" w:rsidP="00FE3370">
            <w:pPr>
              <w:pStyle w:val="TT"/>
              <w:spacing w:line="240" w:lineRule="exact"/>
              <w:rPr>
                <w:rFonts w:asciiTheme="minorHAnsi" w:hAnsiTheme="minorHAnsi" w:cs="Arial"/>
                <w:b/>
                <w:iCs/>
                <w:sz w:val="18"/>
                <w:szCs w:val="18"/>
                <w:lang w:val="hr-HR"/>
              </w:rPr>
            </w:pPr>
            <w:r w:rsidRPr="001567C8">
              <w:rPr>
                <w:rFonts w:asciiTheme="minorHAnsi" w:hAnsiTheme="minorHAnsi" w:cs="Arial"/>
                <w:b/>
                <w:iCs/>
                <w:sz w:val="18"/>
                <w:szCs w:val="18"/>
                <w:lang w:val="hr-HR"/>
              </w:rPr>
              <w:t>Stanje 31. prosinca 2017. godine</w:t>
            </w:r>
          </w:p>
        </w:tc>
        <w:tc>
          <w:tcPr>
            <w:tcW w:w="592" w:type="pct"/>
            <w:tcBorders>
              <w:top w:val="nil"/>
              <w:left w:val="nil"/>
              <w:bottom w:val="single" w:sz="12" w:space="0" w:color="auto"/>
              <w:right w:val="nil"/>
            </w:tcBorders>
            <w:shd w:val="clear" w:color="auto" w:fill="auto"/>
            <w:vAlign w:val="bottom"/>
          </w:tcPr>
          <w:p w:rsidR="00FE3370" w:rsidRPr="00CD3A2D" w:rsidRDefault="00FE3370" w:rsidP="00FE3370">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7.009.632</w:t>
            </w:r>
          </w:p>
        </w:tc>
        <w:tc>
          <w:tcPr>
            <w:tcW w:w="593" w:type="pct"/>
            <w:tcBorders>
              <w:top w:val="nil"/>
              <w:left w:val="nil"/>
              <w:bottom w:val="single" w:sz="12" w:space="0" w:color="auto"/>
              <w:right w:val="nil"/>
            </w:tcBorders>
            <w:shd w:val="clear" w:color="auto" w:fill="auto"/>
            <w:vAlign w:val="bottom"/>
          </w:tcPr>
          <w:p w:rsidR="00FE3370" w:rsidRPr="00CD3A2D" w:rsidRDefault="00FE3370" w:rsidP="00FE3370">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2.995.656</w:t>
            </w:r>
          </w:p>
        </w:tc>
        <w:tc>
          <w:tcPr>
            <w:tcW w:w="592" w:type="pct"/>
            <w:tcBorders>
              <w:top w:val="nil"/>
              <w:left w:val="nil"/>
              <w:bottom w:val="single" w:sz="12" w:space="0" w:color="auto"/>
              <w:right w:val="nil"/>
            </w:tcBorders>
            <w:shd w:val="clear" w:color="auto" w:fill="auto"/>
            <w:vAlign w:val="bottom"/>
          </w:tcPr>
          <w:p w:rsidR="00FE3370" w:rsidRPr="00CD3A2D" w:rsidRDefault="00FE3370" w:rsidP="00FE3370">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90.457</w:t>
            </w:r>
          </w:p>
        </w:tc>
        <w:tc>
          <w:tcPr>
            <w:tcW w:w="593" w:type="pct"/>
            <w:tcBorders>
              <w:top w:val="nil"/>
              <w:left w:val="nil"/>
              <w:bottom w:val="single" w:sz="12" w:space="0" w:color="auto"/>
              <w:right w:val="nil"/>
            </w:tcBorders>
            <w:shd w:val="clear" w:color="auto" w:fill="auto"/>
            <w:vAlign w:val="bottom"/>
          </w:tcPr>
          <w:p w:rsidR="00FE3370" w:rsidRPr="00CD3A2D" w:rsidRDefault="00FE3370" w:rsidP="00FE3370">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160.783</w:t>
            </w:r>
          </w:p>
        </w:tc>
        <w:tc>
          <w:tcPr>
            <w:tcW w:w="592" w:type="pct"/>
            <w:tcBorders>
              <w:top w:val="nil"/>
              <w:left w:val="nil"/>
              <w:bottom w:val="single" w:sz="12" w:space="0" w:color="auto"/>
              <w:right w:val="nil"/>
            </w:tcBorders>
            <w:shd w:val="clear" w:color="auto" w:fill="auto"/>
            <w:vAlign w:val="bottom"/>
          </w:tcPr>
          <w:p w:rsidR="00FE3370" w:rsidRPr="00CD3A2D" w:rsidRDefault="00FE3370" w:rsidP="00FE3370">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12.303</w:t>
            </w:r>
          </w:p>
        </w:tc>
        <w:tc>
          <w:tcPr>
            <w:tcW w:w="593" w:type="pct"/>
            <w:tcBorders>
              <w:top w:val="nil"/>
              <w:left w:val="nil"/>
              <w:bottom w:val="single" w:sz="12" w:space="0" w:color="auto"/>
              <w:right w:val="nil"/>
            </w:tcBorders>
            <w:shd w:val="clear" w:color="auto" w:fill="auto"/>
            <w:vAlign w:val="bottom"/>
          </w:tcPr>
          <w:p w:rsidR="00FE3370" w:rsidRPr="00CD3A2D" w:rsidRDefault="00FE3370" w:rsidP="00FE3370">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10.268.831</w:t>
            </w:r>
          </w:p>
        </w:tc>
      </w:tr>
      <w:tr w:rsidR="00FB3A7C" w:rsidRPr="001567C8" w:rsidTr="003C6BA3">
        <w:trPr>
          <w:trHeight w:val="217"/>
        </w:trPr>
        <w:tc>
          <w:tcPr>
            <w:tcW w:w="1444" w:type="pct"/>
            <w:vAlign w:val="bottom"/>
          </w:tcPr>
          <w:p w:rsidR="005F2F7A" w:rsidRPr="001567C8" w:rsidRDefault="005F2F7A" w:rsidP="00C61659">
            <w:pPr>
              <w:pStyle w:val="TT"/>
              <w:spacing w:line="140" w:lineRule="exact"/>
              <w:rPr>
                <w:rFonts w:asciiTheme="minorHAnsi" w:hAnsiTheme="minorHAnsi" w:cs="Arial"/>
                <w:iCs/>
                <w:sz w:val="18"/>
                <w:szCs w:val="18"/>
                <w:lang w:val="hr-HR"/>
              </w:rPr>
            </w:pPr>
          </w:p>
        </w:tc>
        <w:tc>
          <w:tcPr>
            <w:tcW w:w="592"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3"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2"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3"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2" w:type="pct"/>
            <w:tcBorders>
              <w:top w:val="single" w:sz="12" w:space="0" w:color="auto"/>
            </w:tcBorders>
          </w:tcPr>
          <w:p w:rsidR="005F2F7A" w:rsidRPr="001567C8" w:rsidRDefault="005F2F7A" w:rsidP="00C61659">
            <w:pPr>
              <w:pStyle w:val="TT"/>
              <w:spacing w:line="140" w:lineRule="exact"/>
              <w:jc w:val="right"/>
              <w:rPr>
                <w:rFonts w:asciiTheme="minorHAnsi" w:hAnsiTheme="minorHAnsi" w:cs="Arial"/>
                <w:iCs/>
                <w:sz w:val="18"/>
                <w:szCs w:val="18"/>
                <w:lang w:val="hr-HR"/>
              </w:rPr>
            </w:pPr>
          </w:p>
        </w:tc>
        <w:tc>
          <w:tcPr>
            <w:tcW w:w="593" w:type="pct"/>
            <w:tcBorders>
              <w:top w:val="single" w:sz="12" w:space="0" w:color="auto"/>
            </w:tcBorders>
            <w:vAlign w:val="bottom"/>
          </w:tcPr>
          <w:p w:rsidR="005F2F7A" w:rsidRPr="001567C8" w:rsidRDefault="005F2F7A" w:rsidP="00C61659">
            <w:pPr>
              <w:pStyle w:val="TT"/>
              <w:spacing w:line="140" w:lineRule="exact"/>
              <w:jc w:val="right"/>
              <w:rPr>
                <w:rFonts w:asciiTheme="minorHAnsi" w:hAnsiTheme="minorHAnsi" w:cs="Arial"/>
                <w:b/>
                <w:iCs/>
                <w:sz w:val="18"/>
                <w:szCs w:val="18"/>
                <w:lang w:val="hr-HR"/>
              </w:rPr>
            </w:pPr>
          </w:p>
        </w:tc>
      </w:tr>
      <w:tr w:rsidR="00FE3370" w:rsidRPr="001567C8" w:rsidTr="003C6BA3">
        <w:trPr>
          <w:trHeight w:val="317"/>
        </w:trPr>
        <w:tc>
          <w:tcPr>
            <w:tcW w:w="1444" w:type="pct"/>
            <w:tcBorders>
              <w:top w:val="nil"/>
              <w:left w:val="nil"/>
              <w:bottom w:val="nil"/>
              <w:right w:val="nil"/>
            </w:tcBorders>
            <w:shd w:val="clear" w:color="auto" w:fill="auto"/>
            <w:vAlign w:val="bottom"/>
          </w:tcPr>
          <w:p w:rsidR="00FE3370" w:rsidRPr="001567C8" w:rsidRDefault="00FE3370" w:rsidP="00FE3370">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Učinak MSFI 9 na dan 1. siječnja 2018. godine</w:t>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E3370" w:rsidRPr="00CD3A2D" w:rsidRDefault="00FE3370" w:rsidP="00B92A2F">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(469.658)</w:t>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E3370" w:rsidRPr="00CD3A2D" w:rsidRDefault="00FE3370" w:rsidP="00FE3370">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E3370" w:rsidRPr="00CD3A2D" w:rsidRDefault="00FE3370" w:rsidP="00FE3370">
            <w:pPr>
              <w:pStyle w:val="TT"/>
              <w:jc w:val="right"/>
              <w:rPr>
                <w:rFonts w:ascii="Calibri" w:hAnsi="Calibri" w:cs="Calibri"/>
                <w:b/>
                <w:color w:val="000000"/>
                <w:sz w:val="18"/>
                <w:szCs w:val="18"/>
                <w:lang w:val="hr-HR"/>
              </w:rPr>
            </w:pPr>
            <w:r w:rsidRPr="00CD3A2D">
              <w:rPr>
                <w:rFonts w:ascii="Calibri" w:hAnsi="Calibri" w:cs="Calibri"/>
                <w:b/>
                <w:color w:val="000000"/>
                <w:sz w:val="18"/>
                <w:szCs w:val="18"/>
                <w:lang w:val="hr-HR"/>
              </w:rPr>
              <w:t xml:space="preserve"> (469.658)</w:t>
            </w:r>
          </w:p>
        </w:tc>
      </w:tr>
      <w:tr w:rsidR="00FE3370" w:rsidRPr="001567C8" w:rsidTr="003C6BA3">
        <w:trPr>
          <w:trHeight w:val="217"/>
        </w:trPr>
        <w:tc>
          <w:tcPr>
            <w:tcW w:w="1444" w:type="pct"/>
            <w:tcBorders>
              <w:top w:val="nil"/>
              <w:left w:val="nil"/>
              <w:bottom w:val="nil"/>
              <w:right w:val="nil"/>
            </w:tcBorders>
            <w:shd w:val="clear" w:color="auto" w:fill="auto"/>
            <w:vAlign w:val="bottom"/>
          </w:tcPr>
          <w:p w:rsidR="00FE3370" w:rsidRPr="001567C8" w:rsidRDefault="00FE3370" w:rsidP="00FE3370">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 xml:space="preserve">Učinak reklasifikacije </w:t>
            </w:r>
            <w:r w:rsidR="00C224AD" w:rsidRPr="001567C8">
              <w:rPr>
                <w:rFonts w:asciiTheme="minorHAnsi" w:hAnsiTheme="minorHAnsi" w:cs="Arial"/>
                <w:iCs/>
                <w:sz w:val="18"/>
                <w:szCs w:val="18"/>
                <w:lang w:val="hr-HR"/>
              </w:rPr>
              <w:t>financijske imovine</w:t>
            </w:r>
            <w:r w:rsidRPr="001567C8">
              <w:rPr>
                <w:rFonts w:asciiTheme="minorHAnsi" w:hAnsiTheme="minorHAnsi" w:cs="Arial"/>
                <w:iCs/>
                <w:sz w:val="18"/>
                <w:szCs w:val="18"/>
                <w:lang w:val="hr-HR"/>
              </w:rPr>
              <w:t xml:space="preserve"> p</w:t>
            </w:r>
            <w:r w:rsidR="00C224AD" w:rsidRPr="001567C8">
              <w:rPr>
                <w:rFonts w:asciiTheme="minorHAnsi" w:hAnsiTheme="minorHAnsi" w:cs="Arial"/>
                <w:iCs/>
                <w:sz w:val="18"/>
                <w:szCs w:val="18"/>
                <w:lang w:val="hr-HR"/>
              </w:rPr>
              <w:t>o</w:t>
            </w:r>
            <w:r w:rsidRPr="001567C8">
              <w:rPr>
                <w:rFonts w:asciiTheme="minorHAnsi" w:hAnsiTheme="minorHAnsi" w:cs="Arial"/>
                <w:iCs/>
                <w:sz w:val="18"/>
                <w:szCs w:val="18"/>
                <w:lang w:val="hr-HR"/>
              </w:rPr>
              <w:t xml:space="preserve"> MSFI 9</w:t>
            </w:r>
            <w:r w:rsidR="00C224AD" w:rsidRPr="001567C8">
              <w:rPr>
                <w:rStyle w:val="FootnoteReference"/>
                <w:rFonts w:asciiTheme="minorHAnsi" w:hAnsiTheme="minorHAnsi" w:cs="Arial"/>
                <w:iCs/>
                <w:sz w:val="18"/>
                <w:szCs w:val="18"/>
                <w:lang w:val="hr-HR"/>
              </w:rPr>
              <w:footnoteReference w:id="2"/>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E3370" w:rsidRPr="00CD3A2D" w:rsidRDefault="00FE3370" w:rsidP="00B92A2F">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28.247 </w:t>
            </w:r>
          </w:p>
        </w:tc>
        <w:tc>
          <w:tcPr>
            <w:tcW w:w="592" w:type="pct"/>
            <w:tcBorders>
              <w:top w:val="nil"/>
              <w:left w:val="nil"/>
              <w:bottom w:val="nil"/>
              <w:right w:val="nil"/>
            </w:tcBorders>
            <w:shd w:val="clear" w:color="auto" w:fill="auto"/>
            <w:vAlign w:val="bottom"/>
          </w:tcPr>
          <w:p w:rsidR="00FE3370" w:rsidRPr="00CD3A2D" w:rsidRDefault="000E70B3" w:rsidP="00FE3370">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(24.250)</w:t>
            </w:r>
          </w:p>
        </w:tc>
        <w:tc>
          <w:tcPr>
            <w:tcW w:w="593" w:type="pct"/>
            <w:tcBorders>
              <w:top w:val="nil"/>
              <w:left w:val="nil"/>
              <w:bottom w:val="nil"/>
              <w:right w:val="nil"/>
            </w:tcBorders>
            <w:shd w:val="clear" w:color="auto" w:fill="auto"/>
            <w:vAlign w:val="bottom"/>
          </w:tcPr>
          <w:p w:rsidR="00FE3370" w:rsidRPr="00CD3A2D" w:rsidRDefault="00FE3370" w:rsidP="00FE3370">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nil"/>
              <w:right w:val="nil"/>
            </w:tcBorders>
            <w:shd w:val="clear" w:color="auto" w:fill="auto"/>
            <w:vAlign w:val="bottom"/>
          </w:tcPr>
          <w:p w:rsidR="00FE3370" w:rsidRPr="00CD3A2D" w:rsidRDefault="00FE3370" w:rsidP="00FE3370">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E3370" w:rsidRPr="00CD3A2D" w:rsidRDefault="00FE3370" w:rsidP="00FE3370">
            <w:pPr>
              <w:pStyle w:val="TT"/>
              <w:jc w:val="right"/>
              <w:rPr>
                <w:rFonts w:ascii="Calibri" w:hAnsi="Calibri" w:cs="Calibri"/>
                <w:b/>
                <w:color w:val="000000"/>
                <w:sz w:val="18"/>
                <w:szCs w:val="18"/>
                <w:lang w:val="hr-HR"/>
              </w:rPr>
            </w:pPr>
            <w:r w:rsidRPr="00CD3A2D">
              <w:rPr>
                <w:rFonts w:ascii="Calibri" w:hAnsi="Calibri" w:cs="Calibri"/>
                <w:b/>
                <w:color w:val="000000"/>
                <w:sz w:val="18"/>
                <w:szCs w:val="18"/>
                <w:lang w:val="hr-HR"/>
              </w:rPr>
              <w:t xml:space="preserve">         </w:t>
            </w:r>
            <w:r w:rsidR="000E70B3" w:rsidRPr="00CD3A2D">
              <w:rPr>
                <w:rFonts w:ascii="Calibri" w:hAnsi="Calibri" w:cs="Calibri"/>
                <w:b/>
                <w:color w:val="000000"/>
                <w:sz w:val="18"/>
                <w:szCs w:val="18"/>
                <w:lang w:val="hr-HR"/>
              </w:rPr>
              <w:t xml:space="preserve">   3.997 </w:t>
            </w:r>
            <w:r w:rsidRPr="00CD3A2D">
              <w:rPr>
                <w:rFonts w:ascii="Calibri" w:hAnsi="Calibri" w:cs="Calibri"/>
                <w:b/>
                <w:color w:val="000000"/>
                <w:sz w:val="18"/>
                <w:szCs w:val="18"/>
                <w:lang w:val="hr-HR"/>
              </w:rPr>
              <w:t xml:space="preserve"> </w:t>
            </w:r>
          </w:p>
        </w:tc>
      </w:tr>
      <w:tr w:rsidR="00FB3A7C" w:rsidRPr="001567C8" w:rsidTr="003C6BA3">
        <w:trPr>
          <w:trHeight w:val="340"/>
        </w:trPr>
        <w:tc>
          <w:tcPr>
            <w:tcW w:w="1444" w:type="pct"/>
            <w:tcBorders>
              <w:top w:val="nil"/>
              <w:left w:val="nil"/>
              <w:bottom w:val="nil"/>
              <w:right w:val="nil"/>
            </w:tcBorders>
            <w:shd w:val="clear" w:color="auto" w:fill="auto"/>
            <w:vAlign w:val="bottom"/>
          </w:tcPr>
          <w:p w:rsidR="00FE3370" w:rsidRPr="001567C8" w:rsidRDefault="00FE3370" w:rsidP="00FE3370">
            <w:pPr>
              <w:pStyle w:val="TT"/>
              <w:spacing w:line="240" w:lineRule="exact"/>
              <w:rPr>
                <w:rFonts w:asciiTheme="minorHAnsi" w:hAnsiTheme="minorHAnsi" w:cs="Arial"/>
                <w:b/>
                <w:iCs/>
                <w:sz w:val="18"/>
                <w:szCs w:val="18"/>
                <w:lang w:val="hr-HR"/>
              </w:rPr>
            </w:pPr>
            <w:r w:rsidRPr="001567C8">
              <w:rPr>
                <w:rFonts w:asciiTheme="minorHAnsi" w:hAnsiTheme="minorHAnsi" w:cs="Arial"/>
                <w:b/>
                <w:iCs/>
                <w:sz w:val="18"/>
                <w:szCs w:val="18"/>
                <w:lang w:val="hr-HR"/>
              </w:rPr>
              <w:t>Stanje 1. siječnja 2018. godine</w:t>
            </w:r>
          </w:p>
        </w:tc>
        <w:tc>
          <w:tcPr>
            <w:tcW w:w="592" w:type="pct"/>
            <w:tcBorders>
              <w:top w:val="single" w:sz="4" w:space="0" w:color="auto"/>
              <w:left w:val="nil"/>
              <w:bottom w:val="single" w:sz="12" w:space="0" w:color="auto"/>
              <w:right w:val="nil"/>
            </w:tcBorders>
            <w:shd w:val="clear" w:color="auto" w:fill="auto"/>
            <w:vAlign w:val="bottom"/>
          </w:tcPr>
          <w:p w:rsidR="00FE3370" w:rsidRPr="00CD3A2D" w:rsidRDefault="00FE3370"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7.009.632</w:t>
            </w:r>
          </w:p>
        </w:tc>
        <w:tc>
          <w:tcPr>
            <w:tcW w:w="593" w:type="pct"/>
            <w:tcBorders>
              <w:top w:val="single" w:sz="4" w:space="0" w:color="auto"/>
              <w:left w:val="nil"/>
              <w:bottom w:val="single" w:sz="12" w:space="0" w:color="auto"/>
              <w:right w:val="nil"/>
            </w:tcBorders>
            <w:shd w:val="clear" w:color="auto" w:fill="auto"/>
            <w:vAlign w:val="bottom"/>
          </w:tcPr>
          <w:p w:rsidR="00FE3370" w:rsidRPr="00CD3A2D" w:rsidRDefault="00FE3370"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2.554.245</w:t>
            </w:r>
          </w:p>
        </w:tc>
        <w:tc>
          <w:tcPr>
            <w:tcW w:w="592" w:type="pct"/>
            <w:tcBorders>
              <w:top w:val="single" w:sz="4" w:space="0" w:color="auto"/>
              <w:left w:val="nil"/>
              <w:bottom w:val="single" w:sz="12" w:space="0" w:color="auto"/>
              <w:right w:val="nil"/>
            </w:tcBorders>
            <w:shd w:val="clear" w:color="auto" w:fill="auto"/>
            <w:vAlign w:val="bottom"/>
          </w:tcPr>
          <w:p w:rsidR="00FE3370" w:rsidRPr="00CD3A2D" w:rsidRDefault="00FE3370"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66.207</w:t>
            </w:r>
          </w:p>
        </w:tc>
        <w:tc>
          <w:tcPr>
            <w:tcW w:w="593" w:type="pct"/>
            <w:tcBorders>
              <w:top w:val="single" w:sz="4" w:space="0" w:color="auto"/>
              <w:left w:val="nil"/>
              <w:bottom w:val="single" w:sz="12" w:space="0" w:color="auto"/>
              <w:right w:val="nil"/>
            </w:tcBorders>
            <w:shd w:val="clear" w:color="auto" w:fill="auto"/>
            <w:vAlign w:val="bottom"/>
          </w:tcPr>
          <w:p w:rsidR="00FE3370" w:rsidRPr="00CD3A2D" w:rsidRDefault="00FE3370"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160.783</w:t>
            </w:r>
          </w:p>
        </w:tc>
        <w:tc>
          <w:tcPr>
            <w:tcW w:w="592" w:type="pct"/>
            <w:tcBorders>
              <w:top w:val="single" w:sz="4" w:space="0" w:color="auto"/>
              <w:left w:val="nil"/>
              <w:bottom w:val="single" w:sz="12" w:space="0" w:color="auto"/>
              <w:right w:val="nil"/>
            </w:tcBorders>
            <w:shd w:val="clear" w:color="auto" w:fill="auto"/>
            <w:vAlign w:val="bottom"/>
          </w:tcPr>
          <w:p w:rsidR="00FE3370" w:rsidRPr="00CD3A2D" w:rsidRDefault="00FE3370"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12.303</w:t>
            </w:r>
          </w:p>
        </w:tc>
        <w:tc>
          <w:tcPr>
            <w:tcW w:w="593" w:type="pct"/>
            <w:tcBorders>
              <w:top w:val="single" w:sz="4" w:space="0" w:color="auto"/>
              <w:left w:val="nil"/>
              <w:bottom w:val="single" w:sz="12" w:space="0" w:color="auto"/>
              <w:right w:val="nil"/>
            </w:tcBorders>
            <w:shd w:val="clear" w:color="auto" w:fill="auto"/>
            <w:vAlign w:val="bottom"/>
          </w:tcPr>
          <w:p w:rsidR="00FE3370" w:rsidRPr="00CD3A2D" w:rsidRDefault="00FE3370"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9.803.170</w:t>
            </w:r>
          </w:p>
        </w:tc>
      </w:tr>
      <w:tr w:rsidR="00FB3A7C" w:rsidRPr="001567C8" w:rsidTr="003C6BA3">
        <w:trPr>
          <w:trHeight w:val="62"/>
        </w:trPr>
        <w:tc>
          <w:tcPr>
            <w:tcW w:w="1444" w:type="pct"/>
            <w:vAlign w:val="bottom"/>
          </w:tcPr>
          <w:p w:rsidR="00FB3A7C" w:rsidRPr="001567C8" w:rsidRDefault="00FB3A7C" w:rsidP="00FB3A7C">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Dobit tekuće godine</w:t>
            </w:r>
          </w:p>
        </w:tc>
        <w:tc>
          <w:tcPr>
            <w:tcW w:w="592" w:type="pct"/>
            <w:tcBorders>
              <w:top w:val="single" w:sz="12" w:space="0" w:color="auto"/>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single" w:sz="12" w:space="0" w:color="auto"/>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2" w:type="pct"/>
            <w:tcBorders>
              <w:top w:val="single" w:sz="12" w:space="0" w:color="auto"/>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single" w:sz="12" w:space="0" w:color="auto"/>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204.328 </w:t>
            </w:r>
          </w:p>
        </w:tc>
        <w:tc>
          <w:tcPr>
            <w:tcW w:w="592" w:type="pct"/>
            <w:tcBorders>
              <w:top w:val="single" w:sz="12" w:space="0" w:color="auto"/>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color w:val="000000"/>
                <w:sz w:val="18"/>
                <w:szCs w:val="18"/>
                <w:lang w:val="hr-HR"/>
              </w:rPr>
              <w:t xml:space="preserve"> - </w:t>
            </w:r>
          </w:p>
        </w:tc>
        <w:tc>
          <w:tcPr>
            <w:tcW w:w="593" w:type="pct"/>
            <w:tcBorders>
              <w:top w:val="single" w:sz="12" w:space="0" w:color="auto"/>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b/>
                <w:color w:val="000000"/>
                <w:sz w:val="18"/>
                <w:szCs w:val="18"/>
                <w:lang w:val="hr-HR"/>
              </w:rPr>
              <w:t xml:space="preserve">    204.328 </w:t>
            </w:r>
          </w:p>
        </w:tc>
      </w:tr>
      <w:tr w:rsidR="00FB3A7C" w:rsidRPr="001567C8" w:rsidTr="003C6BA3">
        <w:trPr>
          <w:trHeight w:val="202"/>
        </w:trPr>
        <w:tc>
          <w:tcPr>
            <w:tcW w:w="1444" w:type="pct"/>
            <w:vAlign w:val="bottom"/>
          </w:tcPr>
          <w:p w:rsidR="00FB3A7C" w:rsidRPr="001567C8" w:rsidRDefault="00FB3A7C" w:rsidP="00FB3A7C">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Ostala sveobuhvatna dobit</w:t>
            </w:r>
          </w:p>
        </w:tc>
        <w:tc>
          <w:tcPr>
            <w:tcW w:w="592"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(3.329)</w:t>
            </w:r>
          </w:p>
        </w:tc>
        <w:tc>
          <w:tcPr>
            <w:tcW w:w="593"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b/>
                <w:color w:val="000000"/>
                <w:sz w:val="18"/>
                <w:szCs w:val="18"/>
                <w:lang w:val="hr-HR"/>
              </w:rPr>
              <w:t xml:space="preserve">       (3.329)</w:t>
            </w:r>
          </w:p>
        </w:tc>
      </w:tr>
      <w:tr w:rsidR="00FB3A7C" w:rsidRPr="001567C8" w:rsidTr="003C6BA3">
        <w:trPr>
          <w:trHeight w:val="62"/>
        </w:trPr>
        <w:tc>
          <w:tcPr>
            <w:tcW w:w="1444" w:type="pct"/>
            <w:vAlign w:val="bottom"/>
          </w:tcPr>
          <w:p w:rsidR="00FB3A7C" w:rsidRPr="001567C8" w:rsidRDefault="00FB3A7C" w:rsidP="00FB3A7C">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Ukupna sveobuhvatna dobit</w:t>
            </w:r>
          </w:p>
        </w:tc>
        <w:tc>
          <w:tcPr>
            <w:tcW w:w="592"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(3.329)</w:t>
            </w:r>
          </w:p>
        </w:tc>
        <w:tc>
          <w:tcPr>
            <w:tcW w:w="593"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204.328 </w:t>
            </w:r>
          </w:p>
        </w:tc>
        <w:tc>
          <w:tcPr>
            <w:tcW w:w="592"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b/>
                <w:color w:val="000000"/>
                <w:sz w:val="18"/>
                <w:szCs w:val="18"/>
                <w:lang w:val="hr-HR"/>
              </w:rPr>
              <w:t xml:space="preserve">   200.999 </w:t>
            </w:r>
          </w:p>
        </w:tc>
      </w:tr>
      <w:tr w:rsidR="00FB3A7C" w:rsidRPr="001567C8" w:rsidTr="003C6BA3">
        <w:trPr>
          <w:trHeight w:val="62"/>
        </w:trPr>
        <w:tc>
          <w:tcPr>
            <w:tcW w:w="1444" w:type="pct"/>
            <w:vAlign w:val="bottom"/>
          </w:tcPr>
          <w:p w:rsidR="00FB3A7C" w:rsidRPr="001567C8" w:rsidRDefault="008751BC" w:rsidP="00FB3A7C">
            <w:pPr>
              <w:pStyle w:val="TT"/>
              <w:spacing w:line="240" w:lineRule="exact"/>
              <w:rPr>
                <w:rFonts w:asciiTheme="minorHAnsi" w:hAnsiTheme="minorHAnsi" w:cs="Arial"/>
                <w:iCs/>
                <w:sz w:val="18"/>
                <w:szCs w:val="18"/>
                <w:lang w:val="hr-HR"/>
              </w:rPr>
            </w:pPr>
            <w:r w:rsidRPr="001567C8">
              <w:rPr>
                <w:rFonts w:asciiTheme="minorHAnsi" w:hAnsiTheme="minorHAnsi" w:cs="Arial"/>
                <w:iCs/>
                <w:sz w:val="18"/>
                <w:szCs w:val="18"/>
                <w:lang w:val="hr-HR"/>
              </w:rPr>
              <w:t>Tečajne razlike Garantni fond</w:t>
            </w:r>
          </w:p>
        </w:tc>
        <w:tc>
          <w:tcPr>
            <w:tcW w:w="592" w:type="pct"/>
            <w:tcBorders>
              <w:top w:val="nil"/>
              <w:left w:val="nil"/>
              <w:bottom w:val="nil"/>
              <w:right w:val="nil"/>
            </w:tcBorders>
            <w:shd w:val="clear" w:color="auto" w:fill="auto"/>
            <w:vAlign w:val="bottom"/>
          </w:tcPr>
          <w:p w:rsidR="00FB3A7C" w:rsidRPr="00CD3A2D" w:rsidRDefault="00FB3A7C" w:rsidP="00FB3A7C">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B3A7C" w:rsidRPr="00CD3A2D" w:rsidRDefault="00FB3A7C" w:rsidP="00FB3A7C">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nil"/>
              <w:right w:val="nil"/>
            </w:tcBorders>
            <w:shd w:val="clear" w:color="auto" w:fill="auto"/>
            <w:vAlign w:val="bottom"/>
          </w:tcPr>
          <w:p w:rsidR="00FB3A7C" w:rsidRPr="00CD3A2D" w:rsidRDefault="00FB3A7C" w:rsidP="00FB3A7C">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B3A7C" w:rsidRPr="00CD3A2D" w:rsidRDefault="00FB3A7C" w:rsidP="00FB3A7C">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nil"/>
              <w:right w:val="nil"/>
            </w:tcBorders>
            <w:shd w:val="clear" w:color="auto" w:fill="auto"/>
            <w:vAlign w:val="bottom"/>
          </w:tcPr>
          <w:p w:rsidR="00FB3A7C" w:rsidRPr="00CD3A2D" w:rsidRDefault="00FB3A7C" w:rsidP="00FB3A7C">
            <w:pPr>
              <w:pStyle w:val="TT"/>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    (157)</w:t>
            </w:r>
          </w:p>
        </w:tc>
        <w:tc>
          <w:tcPr>
            <w:tcW w:w="593" w:type="pct"/>
            <w:tcBorders>
              <w:top w:val="nil"/>
              <w:left w:val="nil"/>
              <w:bottom w:val="nil"/>
              <w:right w:val="nil"/>
            </w:tcBorders>
            <w:shd w:val="clear" w:color="auto" w:fill="auto"/>
            <w:vAlign w:val="bottom"/>
          </w:tcPr>
          <w:p w:rsidR="00FB3A7C" w:rsidRPr="00CD3A2D" w:rsidRDefault="00FB3A7C" w:rsidP="00FB3A7C">
            <w:pPr>
              <w:pStyle w:val="TT"/>
              <w:jc w:val="right"/>
              <w:rPr>
                <w:rFonts w:ascii="Calibri" w:hAnsi="Calibri" w:cs="Calibri"/>
                <w:b/>
                <w:color w:val="000000"/>
                <w:sz w:val="18"/>
                <w:szCs w:val="18"/>
                <w:lang w:val="hr-HR"/>
              </w:rPr>
            </w:pPr>
            <w:r w:rsidRPr="00CD3A2D">
              <w:rPr>
                <w:rFonts w:ascii="Calibri" w:hAnsi="Calibri" w:cs="Calibri"/>
                <w:b/>
                <w:color w:val="000000"/>
                <w:sz w:val="18"/>
                <w:szCs w:val="18"/>
                <w:lang w:val="hr-HR"/>
              </w:rPr>
              <w:t xml:space="preserve">       (157)</w:t>
            </w:r>
          </w:p>
        </w:tc>
      </w:tr>
      <w:tr w:rsidR="00FB3A7C" w:rsidRPr="001567C8" w:rsidTr="003C6BA3">
        <w:trPr>
          <w:trHeight w:val="565"/>
        </w:trPr>
        <w:tc>
          <w:tcPr>
            <w:tcW w:w="1444" w:type="pct"/>
            <w:vAlign w:val="bottom"/>
          </w:tcPr>
          <w:p w:rsidR="00FB3A7C" w:rsidRPr="001567C8" w:rsidRDefault="00FB3A7C" w:rsidP="00FB3A7C">
            <w:pPr>
              <w:pStyle w:val="TT"/>
              <w:spacing w:line="240" w:lineRule="exact"/>
              <w:rPr>
                <w:rFonts w:asciiTheme="minorHAnsi" w:hAnsiTheme="minorHAnsi" w:cs="Arial"/>
                <w:i/>
                <w:iCs/>
                <w:sz w:val="18"/>
                <w:szCs w:val="18"/>
                <w:lang w:val="hr-HR"/>
              </w:rPr>
            </w:pPr>
            <w:r w:rsidRPr="001567C8">
              <w:rPr>
                <w:rFonts w:asciiTheme="minorHAnsi" w:hAnsiTheme="minorHAnsi" w:cs="Arial"/>
                <w:iCs/>
                <w:sz w:val="18"/>
                <w:szCs w:val="18"/>
                <w:lang w:val="hr-HR"/>
              </w:rPr>
              <w:t xml:space="preserve">Uplate u osnivački kapital iz državnog proračuna </w:t>
            </w:r>
          </w:p>
        </w:tc>
        <w:tc>
          <w:tcPr>
            <w:tcW w:w="592" w:type="pct"/>
            <w:tcBorders>
              <w:top w:val="nil"/>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50.000</w:t>
            </w:r>
          </w:p>
        </w:tc>
        <w:tc>
          <w:tcPr>
            <w:tcW w:w="593" w:type="pct"/>
            <w:tcBorders>
              <w:top w:val="nil"/>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2" w:type="pct"/>
            <w:tcBorders>
              <w:top w:val="nil"/>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nil"/>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b/>
                <w:color w:val="000000"/>
                <w:sz w:val="18"/>
                <w:szCs w:val="18"/>
                <w:lang w:val="hr-HR"/>
              </w:rPr>
              <w:t>50.000</w:t>
            </w:r>
          </w:p>
        </w:tc>
      </w:tr>
      <w:tr w:rsidR="00FB3A7C" w:rsidRPr="001567C8" w:rsidTr="003C6BA3">
        <w:trPr>
          <w:trHeight w:val="385"/>
        </w:trPr>
        <w:tc>
          <w:tcPr>
            <w:tcW w:w="1444" w:type="pct"/>
            <w:vAlign w:val="bottom"/>
          </w:tcPr>
          <w:p w:rsidR="00FB3A7C" w:rsidRPr="001567C8" w:rsidRDefault="00FB3A7C" w:rsidP="00FB3A7C">
            <w:pPr>
              <w:pStyle w:val="TT"/>
              <w:spacing w:line="240" w:lineRule="exact"/>
              <w:rPr>
                <w:rFonts w:asciiTheme="minorHAnsi" w:hAnsiTheme="minorHAnsi" w:cs="Arial"/>
                <w:i/>
                <w:iCs/>
                <w:sz w:val="18"/>
                <w:szCs w:val="18"/>
                <w:lang w:val="hr-HR"/>
              </w:rPr>
            </w:pPr>
            <w:r w:rsidRPr="001567C8">
              <w:rPr>
                <w:rFonts w:asciiTheme="minorHAnsi" w:hAnsiTheme="minorHAnsi" w:cs="Arial"/>
                <w:iCs/>
                <w:sz w:val="18"/>
                <w:szCs w:val="18"/>
                <w:lang w:val="hr-HR"/>
              </w:rPr>
              <w:t xml:space="preserve">Prijenos dobiti iz </w:t>
            </w:r>
            <w:r w:rsidR="000C0BBE" w:rsidRPr="001567C8">
              <w:rPr>
                <w:rFonts w:asciiTheme="minorHAnsi" w:hAnsiTheme="minorHAnsi" w:cs="Arial"/>
                <w:iCs/>
                <w:sz w:val="18"/>
                <w:szCs w:val="18"/>
                <w:lang w:val="hr-HR"/>
              </w:rPr>
              <w:t>2017</w:t>
            </w:r>
            <w:r w:rsidRPr="001567C8">
              <w:rPr>
                <w:rFonts w:asciiTheme="minorHAnsi" w:hAnsiTheme="minorHAnsi" w:cs="Arial"/>
                <w:iCs/>
                <w:sz w:val="18"/>
                <w:szCs w:val="18"/>
                <w:lang w:val="hr-HR"/>
              </w:rPr>
              <w:t>. godine u zadržanu dobit</w:t>
            </w:r>
          </w:p>
        </w:tc>
        <w:tc>
          <w:tcPr>
            <w:tcW w:w="592"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160.783 </w:t>
            </w:r>
          </w:p>
        </w:tc>
        <w:tc>
          <w:tcPr>
            <w:tcW w:w="592"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iCs/>
                <w:sz w:val="18"/>
                <w:szCs w:val="18"/>
                <w:lang w:val="hr-HR"/>
              </w:rPr>
            </w:pPr>
            <w:r w:rsidRPr="00CD3A2D">
              <w:rPr>
                <w:rFonts w:ascii="Calibri" w:hAnsi="Calibri" w:cs="Calibri"/>
                <w:color w:val="000000"/>
                <w:sz w:val="18"/>
                <w:szCs w:val="18"/>
                <w:lang w:val="hr-HR"/>
              </w:rPr>
              <w:t xml:space="preserve">  (160.783)</w:t>
            </w:r>
          </w:p>
        </w:tc>
        <w:tc>
          <w:tcPr>
            <w:tcW w:w="592"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color w:val="000000"/>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rsidR="00FB3A7C" w:rsidRPr="001567C8" w:rsidRDefault="00FB3A7C" w:rsidP="00FB3A7C">
            <w:pPr>
              <w:pStyle w:val="TT"/>
              <w:jc w:val="right"/>
              <w:rPr>
                <w:rFonts w:asciiTheme="minorHAnsi" w:hAnsiTheme="minorHAnsi" w:cs="Arial"/>
                <w:b/>
                <w:iCs/>
                <w:sz w:val="18"/>
                <w:szCs w:val="18"/>
                <w:lang w:val="hr-HR"/>
              </w:rPr>
            </w:pPr>
            <w:r w:rsidRPr="00CD3A2D">
              <w:rPr>
                <w:rFonts w:ascii="Calibri" w:hAnsi="Calibri" w:cs="Calibri"/>
                <w:b/>
                <w:color w:val="000000"/>
                <w:sz w:val="18"/>
                <w:szCs w:val="18"/>
                <w:lang w:val="hr-HR"/>
              </w:rPr>
              <w:t xml:space="preserve">      - </w:t>
            </w:r>
          </w:p>
        </w:tc>
      </w:tr>
      <w:tr w:rsidR="00FB3A7C" w:rsidRPr="001567C8" w:rsidTr="003C6BA3">
        <w:trPr>
          <w:trHeight w:val="240"/>
        </w:trPr>
        <w:tc>
          <w:tcPr>
            <w:tcW w:w="1444" w:type="pct"/>
            <w:vAlign w:val="bottom"/>
          </w:tcPr>
          <w:p w:rsidR="00FB3A7C" w:rsidRPr="001567C8" w:rsidRDefault="00FB3A7C" w:rsidP="00FB3A7C">
            <w:pPr>
              <w:pStyle w:val="TT"/>
              <w:spacing w:line="240" w:lineRule="exact"/>
              <w:rPr>
                <w:rFonts w:asciiTheme="minorHAnsi" w:hAnsiTheme="minorHAnsi" w:cs="Arial"/>
                <w:b/>
                <w:iCs/>
                <w:sz w:val="18"/>
                <w:szCs w:val="18"/>
                <w:lang w:val="hr-HR"/>
              </w:rPr>
            </w:pPr>
            <w:r w:rsidRPr="001567C8">
              <w:rPr>
                <w:rFonts w:asciiTheme="minorHAnsi" w:hAnsiTheme="minorHAnsi" w:cs="Arial"/>
                <w:b/>
                <w:iCs/>
                <w:sz w:val="18"/>
                <w:szCs w:val="18"/>
                <w:lang w:val="hr-HR"/>
              </w:rPr>
              <w:t>Stanje 31. prosinca 2018. godine</w:t>
            </w:r>
          </w:p>
        </w:tc>
        <w:tc>
          <w:tcPr>
            <w:tcW w:w="592" w:type="pct"/>
            <w:tcBorders>
              <w:top w:val="nil"/>
              <w:left w:val="nil"/>
              <w:bottom w:val="single" w:sz="12" w:space="0" w:color="auto"/>
              <w:right w:val="nil"/>
            </w:tcBorders>
            <w:shd w:val="clear" w:color="auto" w:fill="auto"/>
            <w:vAlign w:val="bottom"/>
          </w:tcPr>
          <w:p w:rsidR="00FB3A7C" w:rsidRPr="00CD3A2D" w:rsidRDefault="00FB3A7C"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7.059.632</w:t>
            </w:r>
          </w:p>
        </w:tc>
        <w:tc>
          <w:tcPr>
            <w:tcW w:w="593" w:type="pct"/>
            <w:tcBorders>
              <w:top w:val="nil"/>
              <w:left w:val="nil"/>
              <w:bottom w:val="single" w:sz="12" w:space="0" w:color="auto"/>
              <w:right w:val="nil"/>
            </w:tcBorders>
            <w:shd w:val="clear" w:color="auto" w:fill="auto"/>
            <w:vAlign w:val="bottom"/>
          </w:tcPr>
          <w:p w:rsidR="00FB3A7C" w:rsidRPr="00CD3A2D" w:rsidRDefault="00FB3A7C"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2.715.028</w:t>
            </w:r>
          </w:p>
        </w:tc>
        <w:tc>
          <w:tcPr>
            <w:tcW w:w="592" w:type="pct"/>
            <w:tcBorders>
              <w:top w:val="nil"/>
              <w:left w:val="nil"/>
              <w:bottom w:val="single" w:sz="12" w:space="0" w:color="auto"/>
              <w:right w:val="nil"/>
            </w:tcBorders>
            <w:shd w:val="clear" w:color="auto" w:fill="auto"/>
            <w:vAlign w:val="bottom"/>
          </w:tcPr>
          <w:p w:rsidR="00FB3A7C" w:rsidRPr="00CD3A2D" w:rsidRDefault="00FB3A7C"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62.878</w:t>
            </w:r>
          </w:p>
        </w:tc>
        <w:tc>
          <w:tcPr>
            <w:tcW w:w="593" w:type="pct"/>
            <w:tcBorders>
              <w:top w:val="nil"/>
              <w:left w:val="nil"/>
              <w:bottom w:val="single" w:sz="12" w:space="0" w:color="auto"/>
              <w:right w:val="nil"/>
            </w:tcBorders>
            <w:shd w:val="clear" w:color="auto" w:fill="auto"/>
            <w:vAlign w:val="bottom"/>
          </w:tcPr>
          <w:p w:rsidR="00FB3A7C" w:rsidRPr="00CD3A2D" w:rsidRDefault="00FB3A7C"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204.328</w:t>
            </w:r>
          </w:p>
        </w:tc>
        <w:tc>
          <w:tcPr>
            <w:tcW w:w="592" w:type="pct"/>
            <w:tcBorders>
              <w:top w:val="nil"/>
              <w:left w:val="nil"/>
              <w:bottom w:val="single" w:sz="12" w:space="0" w:color="auto"/>
              <w:right w:val="nil"/>
            </w:tcBorders>
            <w:shd w:val="clear" w:color="auto" w:fill="auto"/>
            <w:vAlign w:val="bottom"/>
          </w:tcPr>
          <w:p w:rsidR="00FB3A7C" w:rsidRPr="00CD3A2D" w:rsidRDefault="00FB3A7C"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 xml:space="preserve">    12.146 </w:t>
            </w:r>
          </w:p>
        </w:tc>
        <w:tc>
          <w:tcPr>
            <w:tcW w:w="593" w:type="pct"/>
            <w:tcBorders>
              <w:top w:val="nil"/>
              <w:left w:val="nil"/>
              <w:bottom w:val="single" w:sz="12" w:space="0" w:color="auto"/>
              <w:right w:val="nil"/>
            </w:tcBorders>
            <w:shd w:val="clear" w:color="auto" w:fill="auto"/>
            <w:vAlign w:val="bottom"/>
          </w:tcPr>
          <w:p w:rsidR="00FB3A7C" w:rsidRPr="00CD3A2D" w:rsidRDefault="00FB3A7C" w:rsidP="00FB3A7C">
            <w:pPr>
              <w:pStyle w:val="TT"/>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10.054.012</w:t>
            </w:r>
          </w:p>
        </w:tc>
      </w:tr>
    </w:tbl>
    <w:p w:rsidR="00AA2521" w:rsidRPr="001567C8" w:rsidRDefault="00AA2521" w:rsidP="00C61659">
      <w:pPr>
        <w:pStyle w:val="T1"/>
        <w:spacing w:before="0" w:after="0" w:line="240" w:lineRule="auto"/>
        <w:rPr>
          <w:rFonts w:asciiTheme="minorHAnsi" w:hAnsiTheme="minorHAnsi" w:cs="Arial"/>
          <w:b w:val="0"/>
          <w:bCs w:val="0"/>
          <w:sz w:val="22"/>
          <w:szCs w:val="22"/>
          <w:lang w:val="hr-HR"/>
        </w:rPr>
      </w:pPr>
    </w:p>
    <w:p w:rsidR="00AA2521" w:rsidRPr="001567C8" w:rsidRDefault="00AA2521" w:rsidP="00C61659">
      <w:pPr>
        <w:pStyle w:val="T1"/>
        <w:spacing w:before="0" w:after="0" w:line="240" w:lineRule="auto"/>
        <w:rPr>
          <w:rFonts w:asciiTheme="minorHAnsi" w:hAnsiTheme="minorHAnsi" w:cs="Arial"/>
          <w:b w:val="0"/>
          <w:bCs w:val="0"/>
          <w:sz w:val="22"/>
          <w:szCs w:val="22"/>
          <w:lang w:val="hr-HR"/>
        </w:rPr>
      </w:pPr>
    </w:p>
    <w:p w:rsidR="004A2B81" w:rsidRPr="001567C8" w:rsidRDefault="004A2B81" w:rsidP="004A2B81">
      <w:pPr>
        <w:pStyle w:val="T1"/>
        <w:rPr>
          <w:rFonts w:asciiTheme="minorHAnsi" w:hAnsiTheme="minorHAnsi" w:cs="Arial"/>
          <w:sz w:val="22"/>
          <w:szCs w:val="22"/>
          <w:lang w:val="hr-HR"/>
        </w:rPr>
      </w:pPr>
      <w:r w:rsidRPr="001567C8">
        <w:rPr>
          <w:rFonts w:asciiTheme="minorHAnsi" w:hAnsiTheme="minorHAnsi" w:cs="Arial"/>
          <w:b w:val="0"/>
          <w:bCs w:val="0"/>
          <w:sz w:val="22"/>
          <w:szCs w:val="22"/>
          <w:lang w:val="hr-HR"/>
        </w:rPr>
        <w:t>Priložene računovodstvene politike i bilješke sastavni su dio ovih financijskih izvještaja.</w:t>
      </w:r>
    </w:p>
    <w:p w:rsidR="006D0890" w:rsidRPr="001567C8" w:rsidRDefault="006D0890" w:rsidP="00C61659">
      <w:pPr>
        <w:pStyle w:val="T1"/>
        <w:spacing w:before="0" w:after="0" w:line="240" w:lineRule="auto"/>
        <w:rPr>
          <w:rFonts w:asciiTheme="minorHAnsi" w:hAnsiTheme="minorHAnsi" w:cs="Arial"/>
          <w:b w:val="0"/>
          <w:bCs w:val="0"/>
          <w:sz w:val="22"/>
          <w:szCs w:val="22"/>
          <w:lang w:val="hr-HR"/>
        </w:rPr>
        <w:sectPr w:rsidR="006D0890" w:rsidRPr="001567C8" w:rsidSect="000D6913">
          <w:headerReference w:type="default" r:id="rId70"/>
          <w:pgSz w:w="11907" w:h="16840" w:code="9"/>
          <w:pgMar w:top="1418" w:right="992" w:bottom="1134" w:left="1418" w:header="851" w:footer="851" w:gutter="0"/>
          <w:cols w:space="720"/>
          <w:noEndnote/>
        </w:sectPr>
      </w:pPr>
    </w:p>
    <w:p w:rsidR="006F02A6" w:rsidRPr="001567C8" w:rsidRDefault="006F02A6" w:rsidP="006E68DA">
      <w:pPr>
        <w:pStyle w:val="T1"/>
        <w:tabs>
          <w:tab w:val="left" w:pos="567"/>
        </w:tabs>
        <w:spacing w:before="0" w:after="0" w:line="240" w:lineRule="auto"/>
        <w:rPr>
          <w:rFonts w:asciiTheme="minorHAnsi" w:hAnsiTheme="minorHAnsi" w:cs="Arial"/>
          <w:sz w:val="22"/>
          <w:szCs w:val="22"/>
          <w:lang w:val="hr-HR"/>
        </w:rPr>
      </w:pPr>
    </w:p>
    <w:p w:rsidR="003023D6" w:rsidRPr="001567C8" w:rsidRDefault="003023D6" w:rsidP="006F02A6">
      <w:pPr>
        <w:pStyle w:val="T1"/>
        <w:tabs>
          <w:tab w:val="left" w:pos="567"/>
        </w:tabs>
        <w:spacing w:before="0" w:after="0" w:line="240" w:lineRule="auto"/>
        <w:rPr>
          <w:rFonts w:asciiTheme="minorHAnsi" w:hAnsiTheme="minorHAnsi" w:cs="Arial"/>
          <w:strike/>
          <w:sz w:val="22"/>
          <w:szCs w:val="22"/>
          <w:lang w:val="hr-HR"/>
        </w:rPr>
      </w:pPr>
      <w:r w:rsidRPr="001567C8">
        <w:rPr>
          <w:rFonts w:asciiTheme="minorHAnsi" w:hAnsiTheme="minorHAnsi" w:cs="Arial"/>
          <w:sz w:val="22"/>
          <w:szCs w:val="22"/>
          <w:lang w:val="hr-HR"/>
        </w:rPr>
        <w:t>1.</w:t>
      </w:r>
      <w:r w:rsidR="00693F01" w:rsidRPr="001567C8">
        <w:rPr>
          <w:rFonts w:asciiTheme="minorHAnsi" w:hAnsiTheme="minorHAnsi" w:cs="Arial"/>
          <w:sz w:val="22"/>
          <w:szCs w:val="22"/>
          <w:lang w:val="hr-HR"/>
        </w:rPr>
        <w:tab/>
      </w:r>
      <w:r w:rsidRPr="001567C8">
        <w:rPr>
          <w:rFonts w:asciiTheme="minorHAnsi" w:hAnsiTheme="minorHAnsi" w:cs="Arial"/>
          <w:sz w:val="22"/>
          <w:szCs w:val="22"/>
          <w:lang w:val="hr-HR"/>
        </w:rPr>
        <w:t>Opći podaci</w:t>
      </w:r>
    </w:p>
    <w:p w:rsidR="006F02A6" w:rsidRPr="001567C8" w:rsidRDefault="006F02A6" w:rsidP="006F02A6">
      <w:pPr>
        <w:pStyle w:val="NormalWeb"/>
        <w:tabs>
          <w:tab w:val="left" w:pos="567"/>
        </w:tabs>
        <w:spacing w:before="0" w:beforeAutospacing="0" w:after="0" w:afterAutospacing="0"/>
        <w:jc w:val="both"/>
        <w:rPr>
          <w:rFonts w:asciiTheme="minorHAnsi" w:hAnsiTheme="minorHAnsi" w:cs="Arial"/>
          <w:b/>
          <w:sz w:val="22"/>
          <w:szCs w:val="22"/>
          <w:lang w:val="hr-HR"/>
        </w:rPr>
      </w:pPr>
    </w:p>
    <w:p w:rsidR="00B84DEA" w:rsidRPr="001567C8" w:rsidRDefault="00B84DEA" w:rsidP="006F02A6">
      <w:pPr>
        <w:pStyle w:val="NormalWeb"/>
        <w:tabs>
          <w:tab w:val="left" w:pos="567"/>
        </w:tabs>
        <w:spacing w:before="0" w:beforeAutospacing="0" w:after="0" w:afterAutospacing="0"/>
        <w:jc w:val="both"/>
        <w:rPr>
          <w:rFonts w:asciiTheme="minorHAnsi" w:hAnsiTheme="minorHAnsi" w:cs="Arial"/>
          <w:b/>
          <w:sz w:val="22"/>
          <w:szCs w:val="22"/>
          <w:lang w:val="hr-HR"/>
        </w:rPr>
      </w:pPr>
      <w:r w:rsidRPr="001567C8">
        <w:rPr>
          <w:rFonts w:asciiTheme="minorHAnsi" w:hAnsiTheme="minorHAnsi" w:cs="Arial"/>
          <w:b/>
          <w:sz w:val="22"/>
          <w:szCs w:val="22"/>
          <w:lang w:val="hr-HR"/>
        </w:rPr>
        <w:t>1.1.</w:t>
      </w:r>
      <w:r w:rsidR="00693F01" w:rsidRPr="001567C8">
        <w:rPr>
          <w:rFonts w:asciiTheme="minorHAnsi" w:hAnsiTheme="minorHAnsi" w:cs="Arial"/>
          <w:b/>
          <w:sz w:val="22"/>
          <w:szCs w:val="22"/>
          <w:lang w:val="hr-HR"/>
        </w:rPr>
        <w:tab/>
      </w:r>
      <w:r w:rsidRPr="001567C8">
        <w:rPr>
          <w:rFonts w:asciiTheme="minorHAnsi" w:hAnsiTheme="minorHAnsi" w:cs="Arial"/>
          <w:b/>
          <w:sz w:val="22"/>
          <w:szCs w:val="22"/>
          <w:lang w:val="hr-HR"/>
        </w:rPr>
        <w:t>Grupa:</w:t>
      </w:r>
    </w:p>
    <w:p w:rsidR="006F02A6" w:rsidRPr="001567C8" w:rsidRDefault="006F02A6" w:rsidP="006F02A6">
      <w:pPr>
        <w:pStyle w:val="Heading1"/>
        <w:tabs>
          <w:tab w:val="clear" w:pos="-720"/>
          <w:tab w:val="left" w:pos="567"/>
          <w:tab w:val="left" w:pos="1470"/>
        </w:tabs>
        <w:suppressAutoHyphens w:val="0"/>
        <w:rPr>
          <w:rFonts w:asciiTheme="minorHAnsi" w:hAnsiTheme="minorHAnsi" w:cs="Arial"/>
          <w:bCs/>
          <w:szCs w:val="22"/>
          <w:u w:val="none"/>
          <w:lang w:val="hr-HR"/>
        </w:rPr>
      </w:pPr>
    </w:p>
    <w:p w:rsidR="00B84DEA" w:rsidRPr="001567C8" w:rsidRDefault="00B84DEA" w:rsidP="005A4073">
      <w:pPr>
        <w:pStyle w:val="Heading1"/>
        <w:tabs>
          <w:tab w:val="clear" w:pos="-720"/>
          <w:tab w:val="left" w:pos="567"/>
          <w:tab w:val="left" w:pos="1470"/>
        </w:tabs>
        <w:suppressAutoHyphens w:val="0"/>
        <w:rPr>
          <w:rFonts w:asciiTheme="minorHAnsi" w:hAnsiTheme="minorHAnsi" w:cs="Arial"/>
          <w:bCs/>
          <w:szCs w:val="22"/>
          <w:u w:val="none"/>
          <w:lang w:val="hr-HR"/>
        </w:rPr>
      </w:pPr>
      <w:r w:rsidRPr="001567C8">
        <w:rPr>
          <w:rFonts w:asciiTheme="minorHAnsi" w:hAnsiTheme="minorHAnsi" w:cs="Arial"/>
          <w:bCs/>
          <w:szCs w:val="22"/>
          <w:u w:val="none"/>
          <w:lang w:val="hr-HR"/>
        </w:rPr>
        <w:t>Hrvatska banka za obnovu i razvitak („HBOR“ ili „Banka“) je matično društvo Grupe Hrvatsk</w:t>
      </w:r>
      <w:r w:rsidR="004F1A54" w:rsidRPr="001567C8">
        <w:rPr>
          <w:rFonts w:asciiTheme="minorHAnsi" w:hAnsiTheme="minorHAnsi" w:cs="Arial"/>
          <w:bCs/>
          <w:szCs w:val="22"/>
          <w:u w:val="none"/>
          <w:lang w:val="hr-HR"/>
        </w:rPr>
        <w:t>a</w:t>
      </w:r>
      <w:r w:rsidRPr="001567C8">
        <w:rPr>
          <w:rFonts w:asciiTheme="minorHAnsi" w:hAnsiTheme="minorHAnsi" w:cs="Arial"/>
          <w:bCs/>
          <w:szCs w:val="22"/>
          <w:u w:val="none"/>
          <w:lang w:val="hr-HR"/>
        </w:rPr>
        <w:t xml:space="preserve"> bank</w:t>
      </w:r>
      <w:r w:rsidR="004F1A54" w:rsidRPr="001567C8">
        <w:rPr>
          <w:rFonts w:asciiTheme="minorHAnsi" w:hAnsiTheme="minorHAnsi" w:cs="Arial"/>
          <w:bCs/>
          <w:szCs w:val="22"/>
          <w:u w:val="none"/>
          <w:lang w:val="hr-HR"/>
        </w:rPr>
        <w:t>a</w:t>
      </w:r>
      <w:r w:rsidRPr="001567C8">
        <w:rPr>
          <w:rFonts w:asciiTheme="minorHAnsi" w:hAnsiTheme="minorHAnsi" w:cs="Arial"/>
          <w:bCs/>
          <w:szCs w:val="22"/>
          <w:u w:val="none"/>
          <w:lang w:val="hr-HR"/>
        </w:rPr>
        <w:t xml:space="preserve"> za obnovu i razvitak („Grupa“) koja posluje u Republici Hrvatskoj. Grupa obavlja u najvećem obimu bankarsko poslovanje</w:t>
      </w:r>
      <w:r w:rsidR="004F1A54" w:rsidRPr="001567C8">
        <w:rPr>
          <w:rFonts w:asciiTheme="minorHAnsi" w:hAnsiTheme="minorHAnsi" w:cs="Arial"/>
          <w:bCs/>
          <w:szCs w:val="22"/>
          <w:u w:val="none"/>
          <w:lang w:val="hr-HR"/>
        </w:rPr>
        <w:t>, a u manjem</w:t>
      </w:r>
      <w:r w:rsidRPr="001567C8">
        <w:rPr>
          <w:rFonts w:asciiTheme="minorHAnsi" w:hAnsiTheme="minorHAnsi" w:cs="Arial"/>
          <w:bCs/>
          <w:szCs w:val="22"/>
          <w:u w:val="none"/>
          <w:lang w:val="hr-HR"/>
        </w:rPr>
        <w:t xml:space="preserve"> osiguravateljske aktivnosti te procjenu kreditnih rizika. Ovi financijski izvještaji obuhvaćaju </w:t>
      </w:r>
      <w:r w:rsidR="00BC0657" w:rsidRPr="001567C8">
        <w:rPr>
          <w:rFonts w:asciiTheme="minorHAnsi" w:hAnsiTheme="minorHAnsi" w:cs="Arial"/>
          <w:bCs/>
          <w:szCs w:val="22"/>
          <w:u w:val="none"/>
          <w:lang w:val="hr-HR"/>
        </w:rPr>
        <w:t xml:space="preserve">nekonsolidirane </w:t>
      </w:r>
      <w:r w:rsidRPr="001567C8">
        <w:rPr>
          <w:rFonts w:asciiTheme="minorHAnsi" w:hAnsiTheme="minorHAnsi" w:cs="Arial"/>
          <w:bCs/>
          <w:szCs w:val="22"/>
          <w:u w:val="none"/>
          <w:lang w:val="hr-HR"/>
        </w:rPr>
        <w:t xml:space="preserve"> i konsolidirane financijske izvještaje Banke i Grupe.</w:t>
      </w:r>
    </w:p>
    <w:p w:rsidR="006F02A6" w:rsidRPr="001567C8" w:rsidRDefault="006F02A6" w:rsidP="005A4073">
      <w:pPr>
        <w:rPr>
          <w:lang w:val="hr-HR"/>
        </w:rPr>
      </w:pPr>
    </w:p>
    <w:p w:rsidR="00B84DEA" w:rsidRPr="001567C8" w:rsidRDefault="00B84DEA">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Sjedište Banke je u Zagrebu, Strossmayerov trg 9, Zagreb, Hrvatska.</w:t>
      </w:r>
    </w:p>
    <w:p w:rsidR="006F02A6" w:rsidRPr="001567C8" w:rsidRDefault="006F02A6" w:rsidP="005A4073">
      <w:pPr>
        <w:rPr>
          <w:rFonts w:asciiTheme="minorHAnsi" w:hAnsiTheme="minorHAnsi" w:cs="Arial"/>
          <w:sz w:val="22"/>
          <w:szCs w:val="22"/>
          <w:lang w:val="hr-HR"/>
        </w:rPr>
      </w:pPr>
    </w:p>
    <w:p w:rsidR="00B84DEA" w:rsidRPr="001567C8" w:rsidRDefault="00B84DEA" w:rsidP="005A4073">
      <w:pPr>
        <w:jc w:val="both"/>
        <w:rPr>
          <w:rFonts w:asciiTheme="minorHAnsi" w:hAnsiTheme="minorHAnsi" w:cs="Arial"/>
          <w:sz w:val="22"/>
          <w:szCs w:val="22"/>
          <w:lang w:val="hr-HR"/>
        </w:rPr>
      </w:pPr>
      <w:r w:rsidRPr="001567C8">
        <w:rPr>
          <w:rFonts w:asciiTheme="minorHAnsi" w:hAnsiTheme="minorHAnsi" w:cs="Arial"/>
          <w:sz w:val="22"/>
          <w:szCs w:val="22"/>
          <w:lang w:val="hr-HR"/>
        </w:rPr>
        <w:t>Grupa je formirana tijekom 2010. godine</w:t>
      </w:r>
      <w:r w:rsidR="004F1A54" w:rsidRPr="001567C8">
        <w:rPr>
          <w:rFonts w:asciiTheme="minorHAnsi" w:hAnsiTheme="minorHAnsi" w:cs="Arial"/>
          <w:sz w:val="22"/>
          <w:szCs w:val="22"/>
          <w:lang w:val="hr-HR"/>
        </w:rPr>
        <w:t>,</w:t>
      </w:r>
      <w:r w:rsidRPr="001567C8">
        <w:rPr>
          <w:rFonts w:asciiTheme="minorHAnsi" w:hAnsiTheme="minorHAnsi" w:cs="Arial"/>
          <w:sz w:val="22"/>
          <w:szCs w:val="22"/>
          <w:lang w:val="hr-HR"/>
        </w:rPr>
        <w:t xml:space="preserve"> a ovisna društva Banke su Hrvatsko kreditno osiguranje d.d. i Poslovni info servis d.o.o. koji čine Grupu Hrvatsko kreditno osiguranje („Grupa HKO“). </w:t>
      </w:r>
    </w:p>
    <w:p w:rsidR="00196805" w:rsidRPr="001567C8" w:rsidRDefault="00196805" w:rsidP="005A4073">
      <w:pPr>
        <w:jc w:val="both"/>
        <w:rPr>
          <w:rFonts w:asciiTheme="minorHAnsi" w:hAnsiTheme="minorHAnsi" w:cs="Arial"/>
          <w:sz w:val="22"/>
          <w:szCs w:val="22"/>
          <w:lang w:val="hr-HR"/>
        </w:rPr>
      </w:pPr>
    </w:p>
    <w:p w:rsidR="002E2E33" w:rsidRPr="001567C8" w:rsidRDefault="002E2E33" w:rsidP="0078611A">
      <w:pPr>
        <w:jc w:val="both"/>
        <w:rPr>
          <w:rFonts w:asciiTheme="minorHAnsi" w:hAnsiTheme="minorHAnsi" w:cs="Arial"/>
          <w:sz w:val="22"/>
          <w:szCs w:val="22"/>
          <w:lang w:val="hr-HR"/>
        </w:rPr>
      </w:pPr>
      <w:r w:rsidRPr="001567C8">
        <w:rPr>
          <w:rFonts w:asciiTheme="minorHAnsi" w:hAnsiTheme="minorHAnsi" w:cs="Arial"/>
          <w:sz w:val="22"/>
          <w:szCs w:val="22"/>
          <w:lang w:val="hr-HR"/>
        </w:rPr>
        <w:t>Hrvatska banka za obnovu i razvitak je 100%-tni vlasnik HKO-a</w:t>
      </w:r>
      <w:r w:rsidR="00891497" w:rsidRPr="001567C8">
        <w:rPr>
          <w:rFonts w:asciiTheme="minorHAnsi" w:hAnsiTheme="minorHAnsi" w:cs="Arial"/>
          <w:sz w:val="22"/>
          <w:szCs w:val="22"/>
          <w:lang w:val="hr-HR"/>
        </w:rPr>
        <w:t>, koji je 100</w:t>
      </w:r>
      <w:r w:rsidR="00694ECC" w:rsidRPr="001567C8">
        <w:rPr>
          <w:rFonts w:asciiTheme="minorHAnsi" w:hAnsiTheme="minorHAnsi" w:cs="Arial"/>
          <w:sz w:val="22"/>
          <w:szCs w:val="22"/>
          <w:lang w:val="hr-HR"/>
        </w:rPr>
        <w:t>%-tni vlasnik Poslovnog info servisa d.o.o.</w:t>
      </w:r>
    </w:p>
    <w:p w:rsidR="006F02A6" w:rsidRPr="001567C8" w:rsidRDefault="006F02A6" w:rsidP="0078611A">
      <w:pPr>
        <w:rPr>
          <w:rFonts w:asciiTheme="minorHAnsi" w:hAnsiTheme="minorHAnsi" w:cs="Arial"/>
          <w:sz w:val="22"/>
          <w:szCs w:val="22"/>
          <w:lang w:val="hr-HR"/>
        </w:rPr>
      </w:pPr>
    </w:p>
    <w:p w:rsidR="00B84DEA" w:rsidRPr="001567C8" w:rsidRDefault="00B84DEA" w:rsidP="0078611A">
      <w:pPr>
        <w:rPr>
          <w:rFonts w:asciiTheme="minorHAnsi" w:hAnsiTheme="minorHAnsi" w:cs="Arial"/>
          <w:sz w:val="22"/>
          <w:szCs w:val="22"/>
          <w:lang w:val="hr-HR"/>
        </w:rPr>
      </w:pPr>
      <w:r w:rsidRPr="001567C8">
        <w:rPr>
          <w:rFonts w:asciiTheme="minorHAnsi" w:hAnsiTheme="minorHAnsi" w:cs="Arial"/>
          <w:sz w:val="22"/>
          <w:szCs w:val="22"/>
          <w:lang w:val="hr-HR"/>
        </w:rPr>
        <w:t>Sjedište Grupe HKO je u Zagrebu, Bednjanska 12.</w:t>
      </w:r>
    </w:p>
    <w:p w:rsidR="006F02A6" w:rsidRPr="001567C8" w:rsidRDefault="006F02A6">
      <w:pPr>
        <w:pStyle w:val="T1"/>
        <w:spacing w:before="0" w:after="0" w:line="240" w:lineRule="auto"/>
        <w:rPr>
          <w:rFonts w:asciiTheme="minorHAnsi" w:hAnsiTheme="minorHAnsi" w:cs="Arial"/>
          <w:b w:val="0"/>
          <w:bCs w:val="0"/>
          <w:sz w:val="22"/>
          <w:szCs w:val="22"/>
          <w:lang w:val="hr-HR"/>
        </w:rPr>
      </w:pPr>
    </w:p>
    <w:p w:rsidR="00B84DEA" w:rsidRPr="001567C8" w:rsidRDefault="00B84DEA">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Na dan 31. prosinca </w:t>
      </w:r>
      <w:r w:rsidR="00E9421C" w:rsidRPr="001567C8">
        <w:rPr>
          <w:rFonts w:asciiTheme="minorHAnsi" w:hAnsiTheme="minorHAnsi" w:cs="Arial"/>
          <w:b w:val="0"/>
          <w:bCs w:val="0"/>
          <w:sz w:val="22"/>
          <w:szCs w:val="22"/>
          <w:lang w:val="hr-HR"/>
        </w:rPr>
        <w:t>201</w:t>
      </w:r>
      <w:r w:rsidR="00694ECC" w:rsidRPr="001567C8">
        <w:rPr>
          <w:rFonts w:asciiTheme="minorHAnsi" w:hAnsiTheme="minorHAnsi" w:cs="Arial"/>
          <w:b w:val="0"/>
          <w:bCs w:val="0"/>
          <w:sz w:val="22"/>
          <w:szCs w:val="22"/>
          <w:lang w:val="hr-HR"/>
        </w:rPr>
        <w:t>8</w:t>
      </w:r>
      <w:r w:rsidRPr="001567C8">
        <w:rPr>
          <w:rFonts w:asciiTheme="minorHAnsi" w:hAnsiTheme="minorHAnsi" w:cs="Arial"/>
          <w:b w:val="0"/>
          <w:bCs w:val="0"/>
          <w:sz w:val="22"/>
          <w:szCs w:val="22"/>
          <w:lang w:val="hr-HR"/>
        </w:rPr>
        <w:t xml:space="preserve">. godine Grupa ima </w:t>
      </w:r>
      <w:r w:rsidR="009F0FF3" w:rsidRPr="001567C8">
        <w:rPr>
          <w:rFonts w:asciiTheme="minorHAnsi" w:hAnsiTheme="minorHAnsi" w:cs="Arial"/>
          <w:b w:val="0"/>
          <w:bCs w:val="0"/>
          <w:sz w:val="22"/>
          <w:szCs w:val="22"/>
          <w:lang w:val="hr-HR"/>
        </w:rPr>
        <w:t>3</w:t>
      </w:r>
      <w:r w:rsidR="00401FBD" w:rsidRPr="001567C8">
        <w:rPr>
          <w:rFonts w:asciiTheme="minorHAnsi" w:hAnsiTheme="minorHAnsi" w:cs="Arial"/>
          <w:b w:val="0"/>
          <w:bCs w:val="0"/>
          <w:sz w:val="22"/>
          <w:szCs w:val="22"/>
          <w:lang w:val="hr-HR"/>
        </w:rPr>
        <w:t>90</w:t>
      </w:r>
      <w:r w:rsidR="00470126"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zaposlenika</w:t>
      </w:r>
      <w:r w:rsidR="0034501A" w:rsidRPr="001567C8">
        <w:rPr>
          <w:rFonts w:asciiTheme="minorHAnsi" w:hAnsiTheme="minorHAnsi" w:cs="Arial"/>
          <w:b w:val="0"/>
          <w:bCs w:val="0"/>
          <w:sz w:val="22"/>
          <w:szCs w:val="22"/>
          <w:lang w:val="hr-HR"/>
        </w:rPr>
        <w:t xml:space="preserve"> (31. prosinca 201</w:t>
      </w:r>
      <w:r w:rsidR="00694ECC" w:rsidRPr="001567C8">
        <w:rPr>
          <w:rFonts w:asciiTheme="minorHAnsi" w:hAnsiTheme="minorHAnsi" w:cs="Arial"/>
          <w:b w:val="0"/>
          <w:bCs w:val="0"/>
          <w:sz w:val="22"/>
          <w:szCs w:val="22"/>
          <w:lang w:val="hr-HR"/>
        </w:rPr>
        <w:t>7</w:t>
      </w:r>
      <w:r w:rsidR="002270FE" w:rsidRPr="001567C8">
        <w:rPr>
          <w:rFonts w:asciiTheme="minorHAnsi" w:hAnsiTheme="minorHAnsi" w:cs="Arial"/>
          <w:b w:val="0"/>
          <w:bCs w:val="0"/>
          <w:sz w:val="22"/>
          <w:szCs w:val="22"/>
          <w:lang w:val="hr-HR"/>
        </w:rPr>
        <w:t xml:space="preserve">. </w:t>
      </w:r>
      <w:r w:rsidR="00857121" w:rsidRPr="001567C8">
        <w:rPr>
          <w:rFonts w:asciiTheme="minorHAnsi" w:hAnsiTheme="minorHAnsi" w:cs="Arial"/>
          <w:b w:val="0"/>
          <w:bCs w:val="0"/>
          <w:sz w:val="22"/>
          <w:szCs w:val="22"/>
          <w:lang w:val="hr-HR"/>
        </w:rPr>
        <w:t xml:space="preserve">godine bilo je </w:t>
      </w:r>
      <w:r w:rsidR="009F0FF3" w:rsidRPr="001567C8">
        <w:rPr>
          <w:rFonts w:asciiTheme="minorHAnsi" w:hAnsiTheme="minorHAnsi" w:cs="Arial"/>
          <w:b w:val="0"/>
          <w:bCs w:val="0"/>
          <w:sz w:val="22"/>
          <w:szCs w:val="22"/>
          <w:lang w:val="hr-HR"/>
        </w:rPr>
        <w:t>38</w:t>
      </w:r>
      <w:r w:rsidR="00401FBD" w:rsidRPr="001567C8">
        <w:rPr>
          <w:rFonts w:asciiTheme="minorHAnsi" w:hAnsiTheme="minorHAnsi" w:cs="Arial"/>
          <w:b w:val="0"/>
          <w:bCs w:val="0"/>
          <w:sz w:val="22"/>
          <w:szCs w:val="22"/>
          <w:lang w:val="hr-HR"/>
        </w:rPr>
        <w:t>6</w:t>
      </w:r>
      <w:r w:rsidR="00694ECC" w:rsidRPr="001567C8">
        <w:rPr>
          <w:rFonts w:asciiTheme="minorHAnsi" w:hAnsiTheme="minorHAnsi" w:cs="Arial"/>
          <w:b w:val="0"/>
          <w:bCs w:val="0"/>
          <w:sz w:val="22"/>
          <w:szCs w:val="22"/>
          <w:lang w:val="hr-HR"/>
        </w:rPr>
        <w:t xml:space="preserve"> zaposleni</w:t>
      </w:r>
      <w:r w:rsidR="0034501A" w:rsidRPr="001567C8">
        <w:rPr>
          <w:rFonts w:asciiTheme="minorHAnsi" w:hAnsiTheme="minorHAnsi" w:cs="Arial"/>
          <w:b w:val="0"/>
          <w:bCs w:val="0"/>
          <w:sz w:val="22"/>
          <w:szCs w:val="22"/>
          <w:lang w:val="hr-HR"/>
        </w:rPr>
        <w:t>ka)</w:t>
      </w:r>
      <w:r w:rsidR="00694ECC" w:rsidRPr="001567C8">
        <w:rPr>
          <w:rFonts w:asciiTheme="minorHAnsi" w:hAnsiTheme="minorHAnsi" w:cs="Arial"/>
          <w:b w:val="0"/>
          <w:bCs w:val="0"/>
          <w:sz w:val="22"/>
          <w:szCs w:val="22"/>
          <w:lang w:val="hr-HR"/>
        </w:rPr>
        <w:t xml:space="preserve"> od čega su </w:t>
      </w:r>
      <w:r w:rsidR="009F0FF3" w:rsidRPr="001567C8">
        <w:rPr>
          <w:rFonts w:asciiTheme="minorHAnsi" w:hAnsiTheme="minorHAnsi" w:cs="Arial"/>
          <w:b w:val="0"/>
          <w:bCs w:val="0"/>
          <w:sz w:val="22"/>
          <w:szCs w:val="22"/>
          <w:lang w:val="hr-HR"/>
        </w:rPr>
        <w:t>4</w:t>
      </w:r>
      <w:r w:rsidR="00694ECC" w:rsidRPr="001567C8">
        <w:rPr>
          <w:rFonts w:asciiTheme="minorHAnsi" w:hAnsiTheme="minorHAnsi" w:cs="Arial"/>
          <w:b w:val="0"/>
          <w:bCs w:val="0"/>
          <w:sz w:val="22"/>
          <w:szCs w:val="22"/>
          <w:lang w:val="hr-HR"/>
        </w:rPr>
        <w:t xml:space="preserve"> zaposlenika na zamjeni za porodiljni dopust, </w:t>
      </w:r>
      <w:r w:rsidR="00764160" w:rsidRPr="001567C8">
        <w:rPr>
          <w:rFonts w:asciiTheme="minorHAnsi" w:hAnsiTheme="minorHAnsi" w:cs="Arial"/>
          <w:b w:val="0"/>
          <w:bCs w:val="0"/>
          <w:sz w:val="22"/>
          <w:szCs w:val="22"/>
          <w:lang w:val="hr-HR"/>
        </w:rPr>
        <w:t>dugotrajna bolovanja i povratak s neplaćenog dopusta</w:t>
      </w:r>
      <w:r w:rsidRPr="001567C8">
        <w:rPr>
          <w:rFonts w:asciiTheme="minorHAnsi" w:hAnsiTheme="minorHAnsi" w:cs="Arial"/>
          <w:b w:val="0"/>
          <w:bCs w:val="0"/>
          <w:sz w:val="22"/>
          <w:szCs w:val="22"/>
          <w:lang w:val="hr-HR"/>
        </w:rPr>
        <w:t>.</w:t>
      </w:r>
    </w:p>
    <w:p w:rsidR="006F02A6" w:rsidRPr="001567C8" w:rsidRDefault="006F02A6" w:rsidP="005A4073">
      <w:pPr>
        <w:pStyle w:val="NormalWeb"/>
        <w:tabs>
          <w:tab w:val="left" w:pos="567"/>
        </w:tabs>
        <w:spacing w:before="0" w:beforeAutospacing="0" w:after="0" w:afterAutospacing="0"/>
        <w:jc w:val="both"/>
        <w:rPr>
          <w:rFonts w:asciiTheme="minorHAnsi" w:hAnsiTheme="minorHAnsi" w:cs="Arial"/>
          <w:b/>
          <w:sz w:val="22"/>
          <w:szCs w:val="22"/>
          <w:lang w:val="hr-HR"/>
        </w:rPr>
      </w:pPr>
    </w:p>
    <w:p w:rsidR="00B84DEA" w:rsidRPr="001567C8" w:rsidRDefault="00B84DEA" w:rsidP="005A4073">
      <w:pPr>
        <w:pStyle w:val="NormalWeb"/>
        <w:tabs>
          <w:tab w:val="left" w:pos="567"/>
        </w:tabs>
        <w:spacing w:before="0" w:beforeAutospacing="0" w:after="0" w:afterAutospacing="0"/>
        <w:jc w:val="both"/>
        <w:rPr>
          <w:rFonts w:asciiTheme="minorHAnsi" w:hAnsiTheme="minorHAnsi" w:cs="Arial"/>
          <w:b/>
          <w:sz w:val="22"/>
          <w:szCs w:val="22"/>
          <w:lang w:val="hr-HR"/>
        </w:rPr>
      </w:pPr>
      <w:r w:rsidRPr="001567C8">
        <w:rPr>
          <w:rFonts w:asciiTheme="minorHAnsi" w:hAnsiTheme="minorHAnsi" w:cs="Arial"/>
          <w:b/>
          <w:sz w:val="22"/>
          <w:szCs w:val="22"/>
          <w:lang w:val="hr-HR"/>
        </w:rPr>
        <w:t>1.2.</w:t>
      </w:r>
      <w:r w:rsidR="00693F01" w:rsidRPr="001567C8">
        <w:rPr>
          <w:rFonts w:asciiTheme="minorHAnsi" w:hAnsiTheme="minorHAnsi" w:cs="Arial"/>
          <w:b/>
          <w:sz w:val="22"/>
          <w:szCs w:val="22"/>
          <w:lang w:val="hr-HR"/>
        </w:rPr>
        <w:tab/>
      </w:r>
      <w:r w:rsidRPr="001567C8">
        <w:rPr>
          <w:rFonts w:asciiTheme="minorHAnsi" w:hAnsiTheme="minorHAnsi" w:cs="Arial"/>
          <w:b/>
          <w:sz w:val="22"/>
          <w:szCs w:val="22"/>
          <w:lang w:val="hr-HR"/>
        </w:rPr>
        <w:t>Banka:</w:t>
      </w:r>
    </w:p>
    <w:p w:rsidR="006F02A6" w:rsidRPr="001567C8" w:rsidRDefault="006F02A6">
      <w:pPr>
        <w:pStyle w:val="T1"/>
        <w:spacing w:before="0" w:after="0" w:line="240" w:lineRule="auto"/>
        <w:rPr>
          <w:rFonts w:asciiTheme="minorHAnsi" w:hAnsiTheme="minorHAnsi" w:cs="Arial"/>
          <w:b w:val="0"/>
          <w:bCs w:val="0"/>
          <w:sz w:val="22"/>
          <w:szCs w:val="22"/>
          <w:lang w:val="hr-HR"/>
        </w:rPr>
      </w:pPr>
    </w:p>
    <w:p w:rsidR="000430CA" w:rsidRPr="001567C8" w:rsidRDefault="00B84DEA">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Hrvatska banka za obnovu i razvitak (</w:t>
      </w:r>
      <w:r w:rsidRPr="001567C8">
        <w:rPr>
          <w:rFonts w:asciiTheme="minorHAnsi" w:hAnsiTheme="minorHAnsi" w:cs="Arial"/>
          <w:b w:val="0"/>
          <w:sz w:val="22"/>
          <w:szCs w:val="22"/>
          <w:lang w:val="hr-HR"/>
        </w:rPr>
        <w:t>„</w:t>
      </w:r>
      <w:r w:rsidRPr="001567C8">
        <w:rPr>
          <w:rFonts w:asciiTheme="minorHAnsi" w:hAnsiTheme="minorHAnsi" w:cs="Arial"/>
          <w:b w:val="0"/>
          <w:bCs w:val="0"/>
          <w:sz w:val="22"/>
          <w:szCs w:val="22"/>
          <w:lang w:val="hr-HR"/>
        </w:rPr>
        <w:t>HBOR</w:t>
      </w:r>
      <w:r w:rsidRPr="001567C8">
        <w:rPr>
          <w:rFonts w:asciiTheme="minorHAnsi" w:hAnsiTheme="minorHAnsi" w:cs="Arial"/>
          <w:b w:val="0"/>
          <w:sz w:val="22"/>
          <w:szCs w:val="22"/>
          <w:lang w:val="hr-HR"/>
        </w:rPr>
        <w:t>“</w:t>
      </w:r>
      <w:r w:rsidRPr="001567C8">
        <w:rPr>
          <w:rFonts w:asciiTheme="minorHAnsi" w:hAnsiTheme="minorHAnsi" w:cs="Arial"/>
          <w:b w:val="0"/>
          <w:bCs w:val="0"/>
          <w:sz w:val="22"/>
          <w:szCs w:val="22"/>
          <w:lang w:val="hr-HR"/>
        </w:rPr>
        <w:t xml:space="preserve"> ili </w:t>
      </w:r>
      <w:r w:rsidRPr="001567C8">
        <w:rPr>
          <w:rFonts w:asciiTheme="minorHAnsi" w:hAnsiTheme="minorHAnsi" w:cs="Arial"/>
          <w:b w:val="0"/>
          <w:sz w:val="22"/>
          <w:szCs w:val="22"/>
          <w:lang w:val="hr-HR"/>
        </w:rPr>
        <w:t>„</w:t>
      </w:r>
      <w:r w:rsidRPr="001567C8">
        <w:rPr>
          <w:rFonts w:asciiTheme="minorHAnsi" w:hAnsiTheme="minorHAnsi" w:cs="Arial"/>
          <w:b w:val="0"/>
          <w:bCs w:val="0"/>
          <w:sz w:val="22"/>
          <w:szCs w:val="22"/>
          <w:lang w:val="hr-HR"/>
        </w:rPr>
        <w:t>Banka</w:t>
      </w:r>
      <w:r w:rsidRPr="001567C8">
        <w:rPr>
          <w:rFonts w:asciiTheme="minorHAnsi" w:hAnsiTheme="minorHAnsi" w:cs="Arial"/>
          <w:sz w:val="22"/>
          <w:szCs w:val="22"/>
          <w:lang w:val="hr-HR"/>
        </w:rPr>
        <w:t>“</w:t>
      </w:r>
      <w:r w:rsidRPr="001567C8">
        <w:rPr>
          <w:rFonts w:asciiTheme="minorHAnsi" w:hAnsiTheme="minorHAnsi" w:cs="Arial"/>
          <w:b w:val="0"/>
          <w:bCs w:val="0"/>
          <w:sz w:val="22"/>
          <w:szCs w:val="22"/>
          <w:lang w:val="hr-HR"/>
        </w:rPr>
        <w:t xml:space="preserve">) osnovana je 12. lipnja 1992. godine donošenjem Zakona o Hrvatskoj kreditnoj banci za obnovu (HKBO). U prosincu 1995. godine, Banka mijenja naziv u Hrvatska banka za obnovu i razvitak. </w:t>
      </w:r>
      <w:r w:rsidR="008006C5" w:rsidRPr="001567C8">
        <w:rPr>
          <w:rFonts w:asciiTheme="minorHAnsi" w:hAnsiTheme="minorHAnsi" w:cs="Arial"/>
          <w:b w:val="0"/>
          <w:bCs w:val="0"/>
          <w:sz w:val="22"/>
          <w:szCs w:val="22"/>
          <w:lang w:val="hr-HR"/>
        </w:rPr>
        <w:t xml:space="preserve">Osnivač i 100%-tni vlasnik HBOR-a je Republika Hrvatska. </w:t>
      </w:r>
    </w:p>
    <w:p w:rsidR="006F02A6" w:rsidRPr="001567C8" w:rsidRDefault="006F02A6">
      <w:pPr>
        <w:pStyle w:val="T1"/>
        <w:spacing w:before="0" w:after="0" w:line="240" w:lineRule="auto"/>
        <w:rPr>
          <w:rFonts w:asciiTheme="minorHAnsi" w:hAnsiTheme="minorHAnsi" w:cs="Arial"/>
          <w:sz w:val="22"/>
          <w:szCs w:val="22"/>
          <w:lang w:val="hr-HR"/>
        </w:rPr>
      </w:pPr>
    </w:p>
    <w:p w:rsidR="00B84DEA" w:rsidRPr="001567C8" w:rsidRDefault="00B84DEA" w:rsidP="005A4073">
      <w:pPr>
        <w:pStyle w:val="NormalWeb"/>
        <w:spacing w:before="0" w:beforeAutospacing="0" w:after="0" w:afterAutospacing="0"/>
        <w:jc w:val="both"/>
        <w:rPr>
          <w:rFonts w:asciiTheme="minorHAnsi" w:hAnsiTheme="minorHAnsi" w:cs="Arial"/>
          <w:sz w:val="22"/>
          <w:szCs w:val="22"/>
          <w:lang w:val="hr-HR"/>
        </w:rPr>
      </w:pPr>
      <w:r w:rsidRPr="001567C8">
        <w:rPr>
          <w:rFonts w:asciiTheme="minorHAnsi" w:hAnsiTheme="minorHAnsi" w:cs="Arial"/>
          <w:sz w:val="22"/>
          <w:szCs w:val="22"/>
          <w:lang w:val="hr-HR"/>
        </w:rPr>
        <w:t>Republika Hrvatska jamči za obveze Hrvatske banke za obnovu i razvitak bezuvjetno, neopozivo i na prvi poziv te bez izdavanja posebne jamstvene isprave. Odgovornost Republike Hrvatske kao jamca za obveze HBOR-a je solidarna i neograničena.</w:t>
      </w:r>
    </w:p>
    <w:p w:rsidR="006F02A6" w:rsidRPr="001567C8" w:rsidRDefault="006F02A6" w:rsidP="005A4073">
      <w:pPr>
        <w:pStyle w:val="NormalWeb"/>
        <w:spacing w:before="0" w:beforeAutospacing="0" w:after="0" w:afterAutospacing="0"/>
        <w:jc w:val="both"/>
        <w:rPr>
          <w:rFonts w:asciiTheme="minorHAnsi" w:hAnsiTheme="minorHAnsi" w:cs="Arial"/>
          <w:sz w:val="22"/>
          <w:szCs w:val="22"/>
          <w:lang w:val="hr-HR"/>
        </w:rPr>
      </w:pPr>
    </w:p>
    <w:p w:rsidR="00B84DEA" w:rsidRPr="001567C8" w:rsidRDefault="00B84DEA" w:rsidP="005A4073">
      <w:pPr>
        <w:pStyle w:val="NormalWeb"/>
        <w:spacing w:before="0" w:beforeAutospacing="0" w:after="0" w:afterAutospacing="0"/>
        <w:jc w:val="both"/>
        <w:rPr>
          <w:rFonts w:asciiTheme="minorHAnsi" w:hAnsiTheme="minorHAnsi" w:cs="Arial"/>
          <w:sz w:val="22"/>
          <w:szCs w:val="22"/>
          <w:lang w:val="hr-HR"/>
        </w:rPr>
      </w:pPr>
      <w:r w:rsidRPr="001567C8">
        <w:rPr>
          <w:rFonts w:asciiTheme="minorHAnsi" w:hAnsiTheme="minorHAnsi" w:cs="Arial"/>
          <w:sz w:val="22"/>
          <w:szCs w:val="22"/>
          <w:lang w:val="hr-HR"/>
        </w:rPr>
        <w:t>Zakonom o HBOR-u</w:t>
      </w:r>
      <w:r w:rsidRPr="001567C8">
        <w:rPr>
          <w:rFonts w:asciiTheme="minorHAnsi" w:hAnsiTheme="minorHAnsi" w:cs="Arial"/>
          <w:b/>
          <w:sz w:val="22"/>
          <w:szCs w:val="22"/>
          <w:lang w:val="hr-HR"/>
        </w:rPr>
        <w:t xml:space="preserve"> </w:t>
      </w:r>
      <w:r w:rsidRPr="001567C8">
        <w:rPr>
          <w:rFonts w:asciiTheme="minorHAnsi" w:hAnsiTheme="minorHAnsi" w:cs="Arial"/>
          <w:sz w:val="22"/>
          <w:szCs w:val="22"/>
          <w:lang w:val="hr-HR"/>
        </w:rPr>
        <w:t xml:space="preserve">iz prosinca 2006. godine temeljni kapital HBOR-a utvrđen je u visini od 7 milijardi kuna čija se dinamika uplate za pojedinu godinu utvrđuje državnim proračunom. </w:t>
      </w:r>
    </w:p>
    <w:p w:rsidR="006F02A6" w:rsidRPr="001567C8" w:rsidRDefault="006F02A6" w:rsidP="0078611A">
      <w:pPr>
        <w:pStyle w:val="NormalWeb"/>
        <w:spacing w:before="0" w:beforeAutospacing="0" w:after="0" w:afterAutospacing="0"/>
        <w:jc w:val="both"/>
        <w:rPr>
          <w:rFonts w:asciiTheme="minorHAnsi" w:hAnsiTheme="minorHAnsi" w:cs="Arial"/>
          <w:sz w:val="22"/>
          <w:szCs w:val="22"/>
          <w:lang w:val="hr-HR"/>
        </w:rPr>
      </w:pPr>
    </w:p>
    <w:p w:rsidR="00694ECC" w:rsidRPr="001567C8" w:rsidRDefault="00694ECC" w:rsidP="00B7170D">
      <w:pPr>
        <w:pStyle w:val="T1"/>
        <w:tabs>
          <w:tab w:val="left" w:pos="567"/>
        </w:tabs>
        <w:spacing w:before="0" w:after="0" w:line="240" w:lineRule="auto"/>
        <w:rPr>
          <w:rFonts w:asciiTheme="minorHAnsi" w:hAnsiTheme="minorHAnsi" w:cs="Arial"/>
          <w:b w:val="0"/>
          <w:bCs w:val="0"/>
          <w:sz w:val="22"/>
          <w:szCs w:val="22"/>
          <w:lang w:val="hr-HR"/>
        </w:rPr>
        <w:sectPr w:rsidR="00694ECC" w:rsidRPr="001567C8" w:rsidSect="000D6913">
          <w:headerReference w:type="even" r:id="rId71"/>
          <w:headerReference w:type="default" r:id="rId72"/>
          <w:pgSz w:w="11907" w:h="16840" w:code="9"/>
          <w:pgMar w:top="1418" w:right="992" w:bottom="1134" w:left="1418" w:header="851" w:footer="851" w:gutter="0"/>
          <w:cols w:space="720"/>
          <w:noEndnote/>
        </w:sectPr>
      </w:pPr>
    </w:p>
    <w:p w:rsidR="00B7170D" w:rsidRPr="001567C8" w:rsidRDefault="00B7170D" w:rsidP="00B7170D">
      <w:pPr>
        <w:pStyle w:val="T1"/>
        <w:tabs>
          <w:tab w:val="left" w:pos="567"/>
        </w:tabs>
        <w:spacing w:before="0" w:after="0" w:line="240" w:lineRule="auto"/>
        <w:rPr>
          <w:rFonts w:asciiTheme="minorHAnsi" w:hAnsiTheme="minorHAnsi" w:cs="Arial"/>
          <w:sz w:val="22"/>
          <w:szCs w:val="22"/>
          <w:lang w:val="hr-HR"/>
        </w:rPr>
      </w:pPr>
    </w:p>
    <w:p w:rsidR="001F143E" w:rsidRPr="001567C8" w:rsidRDefault="001F143E" w:rsidP="00B7170D">
      <w:pPr>
        <w:pStyle w:val="T1"/>
        <w:tabs>
          <w:tab w:val="left" w:pos="567"/>
        </w:tabs>
        <w:spacing w:before="0" w:after="0" w:line="240" w:lineRule="auto"/>
        <w:rPr>
          <w:rFonts w:asciiTheme="minorHAnsi" w:hAnsiTheme="minorHAnsi" w:cs="Arial"/>
          <w:strike/>
          <w:sz w:val="22"/>
          <w:szCs w:val="22"/>
          <w:lang w:val="hr-HR"/>
        </w:rPr>
      </w:pPr>
      <w:r w:rsidRPr="001567C8">
        <w:rPr>
          <w:rFonts w:asciiTheme="minorHAnsi" w:hAnsiTheme="minorHAnsi" w:cs="Arial"/>
          <w:sz w:val="22"/>
          <w:szCs w:val="22"/>
          <w:lang w:val="hr-HR"/>
        </w:rPr>
        <w:t>1.</w:t>
      </w:r>
      <w:r w:rsidR="00693F01" w:rsidRPr="001567C8">
        <w:rPr>
          <w:rFonts w:asciiTheme="minorHAnsi" w:hAnsiTheme="minorHAnsi" w:cs="Arial"/>
          <w:sz w:val="22"/>
          <w:szCs w:val="22"/>
          <w:lang w:val="hr-HR"/>
        </w:rPr>
        <w:tab/>
      </w:r>
      <w:r w:rsidRPr="001567C8">
        <w:rPr>
          <w:rFonts w:asciiTheme="minorHAnsi" w:hAnsiTheme="minorHAnsi" w:cs="Arial"/>
          <w:sz w:val="22"/>
          <w:szCs w:val="22"/>
          <w:lang w:val="hr-HR"/>
        </w:rPr>
        <w:t>Opći podaci</w:t>
      </w:r>
      <w:r w:rsidR="00AA2742" w:rsidRPr="001567C8">
        <w:rPr>
          <w:rFonts w:asciiTheme="minorHAnsi" w:hAnsiTheme="minorHAnsi" w:cs="Arial"/>
          <w:sz w:val="22"/>
          <w:szCs w:val="22"/>
          <w:lang w:val="hr-HR"/>
        </w:rPr>
        <w:t xml:space="preserve"> (nastavak)</w:t>
      </w:r>
    </w:p>
    <w:p w:rsidR="00B7170D" w:rsidRPr="001567C8" w:rsidRDefault="00B7170D" w:rsidP="00B7170D">
      <w:pPr>
        <w:pStyle w:val="NormalWeb"/>
        <w:tabs>
          <w:tab w:val="left" w:pos="567"/>
        </w:tabs>
        <w:spacing w:before="0" w:beforeAutospacing="0" w:after="0" w:afterAutospacing="0"/>
        <w:jc w:val="both"/>
        <w:rPr>
          <w:rFonts w:asciiTheme="minorHAnsi" w:hAnsiTheme="minorHAnsi" w:cs="Arial"/>
          <w:b/>
          <w:sz w:val="22"/>
          <w:szCs w:val="22"/>
          <w:lang w:val="hr-HR"/>
        </w:rPr>
      </w:pPr>
    </w:p>
    <w:p w:rsidR="001F143E" w:rsidRPr="001567C8" w:rsidRDefault="001F143E" w:rsidP="00B7170D">
      <w:pPr>
        <w:pStyle w:val="NormalWeb"/>
        <w:tabs>
          <w:tab w:val="left" w:pos="567"/>
        </w:tabs>
        <w:spacing w:before="0" w:beforeAutospacing="0" w:after="0" w:afterAutospacing="0"/>
        <w:jc w:val="both"/>
        <w:rPr>
          <w:rFonts w:asciiTheme="minorHAnsi" w:hAnsiTheme="minorHAnsi" w:cs="Arial"/>
          <w:b/>
          <w:sz w:val="22"/>
          <w:szCs w:val="22"/>
          <w:lang w:val="hr-HR"/>
        </w:rPr>
      </w:pPr>
      <w:r w:rsidRPr="001567C8">
        <w:rPr>
          <w:rFonts w:asciiTheme="minorHAnsi" w:hAnsiTheme="minorHAnsi" w:cs="Arial"/>
          <w:b/>
          <w:sz w:val="22"/>
          <w:szCs w:val="22"/>
          <w:lang w:val="hr-HR"/>
        </w:rPr>
        <w:t>1.2.</w:t>
      </w:r>
      <w:r w:rsidR="00693F01" w:rsidRPr="001567C8">
        <w:rPr>
          <w:rFonts w:asciiTheme="minorHAnsi" w:hAnsiTheme="minorHAnsi" w:cs="Arial"/>
          <w:b/>
          <w:sz w:val="22"/>
          <w:szCs w:val="22"/>
          <w:lang w:val="hr-HR"/>
        </w:rPr>
        <w:tab/>
      </w:r>
      <w:r w:rsidRPr="001567C8">
        <w:rPr>
          <w:rFonts w:asciiTheme="minorHAnsi" w:hAnsiTheme="minorHAnsi" w:cs="Arial"/>
          <w:b/>
          <w:sz w:val="22"/>
          <w:szCs w:val="22"/>
          <w:lang w:val="hr-HR"/>
        </w:rPr>
        <w:t>Banka (nastavak):</w:t>
      </w:r>
    </w:p>
    <w:p w:rsidR="00B7170D" w:rsidRPr="001567C8" w:rsidRDefault="00B7170D" w:rsidP="00B7170D">
      <w:pPr>
        <w:pStyle w:val="NormalWeb"/>
        <w:tabs>
          <w:tab w:val="left" w:pos="567"/>
        </w:tabs>
        <w:spacing w:before="0" w:beforeAutospacing="0" w:after="0" w:afterAutospacing="0"/>
        <w:jc w:val="both"/>
        <w:rPr>
          <w:rFonts w:asciiTheme="minorHAnsi" w:hAnsiTheme="minorHAnsi" w:cs="Arial"/>
          <w:b/>
          <w:sz w:val="22"/>
          <w:szCs w:val="22"/>
          <w:lang w:val="hr-HR"/>
        </w:rPr>
      </w:pPr>
    </w:p>
    <w:p w:rsidR="00694ECC" w:rsidRPr="00CD3A2D" w:rsidRDefault="00694ECC" w:rsidP="00694ECC">
      <w:pPr>
        <w:pStyle w:val="NormalWeb"/>
        <w:tabs>
          <w:tab w:val="left" w:pos="567"/>
        </w:tabs>
        <w:spacing w:before="0" w:beforeAutospacing="0" w:after="0" w:afterAutospacing="0"/>
        <w:jc w:val="both"/>
        <w:rPr>
          <w:rFonts w:asciiTheme="minorHAnsi" w:hAnsiTheme="minorHAnsi" w:cs="Arial"/>
          <w:i/>
          <w:sz w:val="22"/>
          <w:szCs w:val="22"/>
          <w:lang w:val="hr-HR"/>
        </w:rPr>
      </w:pPr>
      <w:r w:rsidRPr="00CD3A2D">
        <w:rPr>
          <w:rFonts w:asciiTheme="minorHAnsi" w:hAnsiTheme="minorHAnsi" w:cs="Arial"/>
          <w:i/>
          <w:sz w:val="22"/>
          <w:szCs w:val="22"/>
          <w:lang w:val="hr-HR"/>
        </w:rPr>
        <w:t>Nadzorni odbor</w:t>
      </w:r>
    </w:p>
    <w:p w:rsidR="00694ECC" w:rsidRPr="001567C8" w:rsidRDefault="00694ECC" w:rsidP="00694ECC">
      <w:pPr>
        <w:pStyle w:val="T1PARAGRAPH"/>
        <w:widowControl w:val="0"/>
        <w:numPr>
          <w:ilvl w:val="0"/>
          <w:numId w:val="0"/>
        </w:numPr>
        <w:spacing w:after="0" w:line="240" w:lineRule="auto"/>
        <w:rPr>
          <w:rFonts w:asciiTheme="minorHAnsi" w:hAnsiTheme="minorHAnsi"/>
          <w:sz w:val="22"/>
          <w:szCs w:val="22"/>
        </w:rPr>
      </w:pPr>
      <w:r w:rsidRPr="001567C8">
        <w:rPr>
          <w:rFonts w:asciiTheme="minorHAnsi" w:hAnsiTheme="minorHAnsi"/>
          <w:sz w:val="22"/>
          <w:szCs w:val="22"/>
        </w:rPr>
        <w:t>Na dan sastavljanja ovih izvještaja Nadzorni odbor djeluje u sljedećem sastavu:</w:t>
      </w:r>
    </w:p>
    <w:p w:rsidR="00694ECC" w:rsidRPr="001567C8" w:rsidRDefault="00694ECC" w:rsidP="00694ECC">
      <w:pPr>
        <w:pStyle w:val="T1PARAGRAPH"/>
        <w:widowControl w:val="0"/>
        <w:numPr>
          <w:ilvl w:val="0"/>
          <w:numId w:val="0"/>
        </w:numPr>
        <w:spacing w:after="0" w:line="240" w:lineRule="auto"/>
        <w:rPr>
          <w:rFonts w:asciiTheme="minorHAnsi" w:hAnsiTheme="minorHAnsi"/>
          <w:sz w:val="22"/>
          <w:szCs w:val="22"/>
        </w:rPr>
      </w:pPr>
    </w:p>
    <w:p w:rsidR="00694ECC" w:rsidRPr="00CD3A2D" w:rsidRDefault="00694ECC" w:rsidP="002B5EA8">
      <w:pPr>
        <w:pStyle w:val="ListParagraph"/>
        <w:numPr>
          <w:ilvl w:val="0"/>
          <w:numId w:val="15"/>
        </w:numPr>
        <w:ind w:left="851" w:hanging="284"/>
        <w:jc w:val="both"/>
        <w:rPr>
          <w:rFonts w:asciiTheme="minorHAnsi" w:hAnsiTheme="minorHAnsi" w:cs="Arial"/>
          <w:sz w:val="22"/>
          <w:szCs w:val="22"/>
          <w:lang w:val="hr-HR"/>
        </w:rPr>
      </w:pPr>
      <w:r w:rsidRPr="00CD3A2D">
        <w:rPr>
          <w:rFonts w:asciiTheme="minorHAnsi" w:hAnsiTheme="minorHAnsi" w:cs="Arial"/>
          <w:sz w:val="22"/>
          <w:szCs w:val="22"/>
          <w:lang w:val="hr-HR"/>
        </w:rPr>
        <w:t xml:space="preserve">dr. sc. Zdravko Marić, ministar financija – po položaju predsjednik Nadzornog odbora, </w:t>
      </w:r>
    </w:p>
    <w:p w:rsidR="00694ECC" w:rsidRPr="001567C8" w:rsidRDefault="00694ECC" w:rsidP="002B5EA8">
      <w:pPr>
        <w:pStyle w:val="T1PARAGRAPH"/>
        <w:numPr>
          <w:ilvl w:val="0"/>
          <w:numId w:val="15"/>
        </w:numPr>
        <w:spacing w:after="0" w:line="240" w:lineRule="auto"/>
        <w:ind w:left="851" w:hanging="284"/>
        <w:rPr>
          <w:rFonts w:asciiTheme="minorHAnsi" w:hAnsiTheme="minorHAnsi"/>
          <w:sz w:val="22"/>
          <w:szCs w:val="22"/>
        </w:rPr>
      </w:pPr>
      <w:r w:rsidRPr="001567C8">
        <w:rPr>
          <w:rFonts w:asciiTheme="minorHAnsi" w:hAnsiTheme="minorHAnsi"/>
          <w:sz w:val="22"/>
          <w:szCs w:val="22"/>
        </w:rPr>
        <w:t>Darko Horvat, ministar gospodarstva, poduzetništva i obrta – po položaju zamjenik predsjednika Nadzornog odbora,</w:t>
      </w:r>
    </w:p>
    <w:p w:rsidR="00694ECC" w:rsidRPr="00CD3A2D" w:rsidRDefault="00694ECC" w:rsidP="002B5EA8">
      <w:pPr>
        <w:pStyle w:val="ListParagraph"/>
        <w:numPr>
          <w:ilvl w:val="0"/>
          <w:numId w:val="15"/>
        </w:numPr>
        <w:ind w:left="851" w:hanging="284"/>
        <w:jc w:val="both"/>
        <w:rPr>
          <w:rFonts w:asciiTheme="minorHAnsi" w:hAnsiTheme="minorHAnsi" w:cs="Arial"/>
          <w:sz w:val="22"/>
          <w:szCs w:val="22"/>
          <w:lang w:val="hr-HR"/>
        </w:rPr>
      </w:pPr>
      <w:r w:rsidRPr="00CD3A2D">
        <w:rPr>
          <w:rFonts w:asciiTheme="minorHAnsi" w:hAnsiTheme="minorHAnsi" w:cs="Arial"/>
          <w:sz w:val="22"/>
          <w:szCs w:val="22"/>
          <w:lang w:val="hr-HR"/>
        </w:rPr>
        <w:t>Predrag Štromar, potpredsjednik Vlade Republike Hrvatske i ministar graditeljstva i prostornoga uređenja,</w:t>
      </w:r>
    </w:p>
    <w:p w:rsidR="00694ECC" w:rsidRPr="001567C8" w:rsidRDefault="00694ECC" w:rsidP="002B5EA8">
      <w:pPr>
        <w:pStyle w:val="T1PARAGRAPH"/>
        <w:numPr>
          <w:ilvl w:val="0"/>
          <w:numId w:val="15"/>
        </w:numPr>
        <w:spacing w:after="0" w:line="240" w:lineRule="auto"/>
        <w:ind w:left="851" w:hanging="284"/>
        <w:rPr>
          <w:rFonts w:asciiTheme="minorHAnsi" w:hAnsiTheme="minorHAnsi"/>
          <w:sz w:val="22"/>
          <w:szCs w:val="22"/>
        </w:rPr>
      </w:pPr>
      <w:r w:rsidRPr="001567C8">
        <w:rPr>
          <w:rFonts w:asciiTheme="minorHAnsi" w:hAnsiTheme="minorHAnsi"/>
          <w:sz w:val="22"/>
          <w:szCs w:val="22"/>
        </w:rPr>
        <w:t>Tomislav Tolušić, potpredsjednik Vlade</w:t>
      </w:r>
      <w:r w:rsidR="0000210E">
        <w:rPr>
          <w:rFonts w:asciiTheme="minorHAnsi" w:hAnsiTheme="minorHAnsi"/>
          <w:sz w:val="22"/>
          <w:szCs w:val="22"/>
        </w:rPr>
        <w:t xml:space="preserve"> Republike Hrvatske</w:t>
      </w:r>
      <w:r w:rsidRPr="001567C8">
        <w:rPr>
          <w:rFonts w:asciiTheme="minorHAnsi" w:hAnsiTheme="minorHAnsi"/>
          <w:sz w:val="22"/>
          <w:szCs w:val="22"/>
        </w:rPr>
        <w:t xml:space="preserve"> i ministar poljoprivrede,</w:t>
      </w:r>
    </w:p>
    <w:p w:rsidR="00694ECC" w:rsidRPr="001567C8" w:rsidRDefault="00694ECC" w:rsidP="002B5EA8">
      <w:pPr>
        <w:pStyle w:val="T1PARAGRAPH"/>
        <w:numPr>
          <w:ilvl w:val="0"/>
          <w:numId w:val="15"/>
        </w:numPr>
        <w:spacing w:after="0" w:line="240" w:lineRule="auto"/>
        <w:ind w:left="851" w:hanging="284"/>
        <w:rPr>
          <w:rFonts w:asciiTheme="minorHAnsi" w:hAnsiTheme="minorHAnsi"/>
          <w:sz w:val="22"/>
          <w:szCs w:val="22"/>
        </w:rPr>
      </w:pPr>
      <w:r w:rsidRPr="001567C8">
        <w:rPr>
          <w:rFonts w:asciiTheme="minorHAnsi" w:hAnsiTheme="minorHAnsi"/>
          <w:sz w:val="22"/>
          <w:szCs w:val="22"/>
        </w:rPr>
        <w:t>Gabrijela Žalac, ministrica regionalnoga razvoja i fondova Europske unije,</w:t>
      </w:r>
    </w:p>
    <w:p w:rsidR="00694ECC" w:rsidRPr="001567C8" w:rsidRDefault="00694ECC" w:rsidP="002B5EA8">
      <w:pPr>
        <w:pStyle w:val="T1PARAGRAPH"/>
        <w:numPr>
          <w:ilvl w:val="0"/>
          <w:numId w:val="15"/>
        </w:numPr>
        <w:spacing w:after="0" w:line="240" w:lineRule="auto"/>
        <w:ind w:left="851" w:hanging="284"/>
        <w:rPr>
          <w:rFonts w:asciiTheme="minorHAnsi" w:hAnsiTheme="minorHAnsi"/>
          <w:sz w:val="22"/>
          <w:szCs w:val="22"/>
        </w:rPr>
      </w:pPr>
      <w:r w:rsidRPr="001567C8">
        <w:rPr>
          <w:rFonts w:asciiTheme="minorHAnsi" w:hAnsiTheme="minorHAnsi"/>
          <w:sz w:val="22"/>
          <w:szCs w:val="22"/>
        </w:rPr>
        <w:t>Gari Cappelli, ministar turizma,</w:t>
      </w:r>
    </w:p>
    <w:p w:rsidR="00694ECC" w:rsidRPr="00CD3A2D" w:rsidRDefault="00694ECC" w:rsidP="002B5EA8">
      <w:pPr>
        <w:pStyle w:val="ListParagraph"/>
        <w:numPr>
          <w:ilvl w:val="0"/>
          <w:numId w:val="15"/>
        </w:numPr>
        <w:ind w:left="851" w:hanging="284"/>
        <w:jc w:val="both"/>
        <w:rPr>
          <w:rFonts w:asciiTheme="minorHAnsi" w:hAnsiTheme="minorHAnsi" w:cs="Arial"/>
          <w:sz w:val="22"/>
          <w:szCs w:val="22"/>
          <w:lang w:val="hr-HR"/>
        </w:rPr>
      </w:pPr>
      <w:r w:rsidRPr="00CD3A2D">
        <w:rPr>
          <w:rFonts w:asciiTheme="minorHAnsi" w:hAnsiTheme="minorHAnsi" w:cs="Arial"/>
          <w:sz w:val="22"/>
          <w:szCs w:val="22"/>
          <w:lang w:val="hr-HR"/>
        </w:rPr>
        <w:t>Luka Burilović, predsjednik Hrvatske gospodarske komore – po položaju član Nadzornog odbora,</w:t>
      </w:r>
    </w:p>
    <w:p w:rsidR="00694ECC" w:rsidRPr="00CD3A2D" w:rsidRDefault="00694ECC" w:rsidP="002B5EA8">
      <w:pPr>
        <w:pStyle w:val="ListParagraph"/>
        <w:numPr>
          <w:ilvl w:val="0"/>
          <w:numId w:val="15"/>
        </w:numPr>
        <w:ind w:left="851" w:hanging="284"/>
        <w:jc w:val="both"/>
        <w:rPr>
          <w:rFonts w:asciiTheme="minorHAnsi" w:hAnsiTheme="minorHAnsi"/>
          <w:sz w:val="22"/>
          <w:szCs w:val="22"/>
          <w:lang w:val="hr-HR"/>
        </w:rPr>
      </w:pPr>
      <w:r w:rsidRPr="00CD3A2D">
        <w:rPr>
          <w:rFonts w:asciiTheme="minorHAnsi" w:hAnsiTheme="minorHAnsi" w:cs="Arial"/>
          <w:sz w:val="22"/>
          <w:szCs w:val="22"/>
          <w:lang w:val="hr-HR"/>
        </w:rPr>
        <w:t>mr. sc. Boris Lalovac, zastupnik Hrvatskog sabora,</w:t>
      </w:r>
    </w:p>
    <w:p w:rsidR="00694ECC" w:rsidRPr="00CD3A2D" w:rsidRDefault="00694ECC" w:rsidP="002B5EA8">
      <w:pPr>
        <w:pStyle w:val="ListParagraph"/>
        <w:numPr>
          <w:ilvl w:val="0"/>
          <w:numId w:val="15"/>
        </w:numPr>
        <w:ind w:left="851" w:hanging="284"/>
        <w:jc w:val="both"/>
        <w:rPr>
          <w:rFonts w:asciiTheme="minorHAnsi" w:hAnsiTheme="minorHAnsi"/>
          <w:sz w:val="22"/>
          <w:szCs w:val="22"/>
          <w:lang w:val="hr-HR"/>
        </w:rPr>
      </w:pPr>
      <w:r w:rsidRPr="00CD3A2D">
        <w:rPr>
          <w:rFonts w:asciiTheme="minorHAnsi" w:hAnsiTheme="minorHAnsi" w:cs="Arial"/>
          <w:sz w:val="22"/>
          <w:szCs w:val="22"/>
          <w:lang w:val="hr-HR"/>
        </w:rPr>
        <w:t>Božica Makar, zastupnica Hrvatskog sabora</w:t>
      </w:r>
      <w:r w:rsidRPr="00CD3A2D">
        <w:rPr>
          <w:rFonts w:asciiTheme="minorHAnsi" w:hAnsiTheme="minorHAnsi"/>
          <w:sz w:val="22"/>
          <w:szCs w:val="22"/>
          <w:lang w:val="hr-HR"/>
        </w:rPr>
        <w:t>,</w:t>
      </w:r>
    </w:p>
    <w:p w:rsidR="00694ECC" w:rsidRPr="00CD3A2D" w:rsidRDefault="00694ECC" w:rsidP="002B5EA8">
      <w:pPr>
        <w:pStyle w:val="ListParagraph"/>
        <w:numPr>
          <w:ilvl w:val="0"/>
          <w:numId w:val="15"/>
        </w:numPr>
        <w:ind w:left="851" w:hanging="284"/>
        <w:jc w:val="both"/>
        <w:rPr>
          <w:rFonts w:asciiTheme="minorHAnsi" w:hAnsiTheme="minorHAnsi"/>
          <w:sz w:val="22"/>
          <w:szCs w:val="22"/>
          <w:lang w:val="hr-HR"/>
        </w:rPr>
      </w:pPr>
      <w:r w:rsidRPr="00CD3A2D">
        <w:rPr>
          <w:rFonts w:asciiTheme="minorHAnsi" w:hAnsiTheme="minorHAnsi" w:cs="Arial"/>
          <w:sz w:val="22"/>
          <w:szCs w:val="22"/>
          <w:lang w:val="hr-HR"/>
        </w:rPr>
        <w:t>Grozdana Perić, predsjednica Odbora za financije i državni proračun, Hrvatski sabor.</w:t>
      </w:r>
    </w:p>
    <w:p w:rsidR="00694ECC" w:rsidRPr="00CD3A2D" w:rsidRDefault="00694ECC" w:rsidP="00694ECC">
      <w:pPr>
        <w:pStyle w:val="ListParagraph"/>
        <w:ind w:left="851"/>
        <w:jc w:val="both"/>
        <w:rPr>
          <w:rFonts w:asciiTheme="minorHAnsi" w:hAnsiTheme="minorHAnsi" w:cs="Arial"/>
          <w:sz w:val="22"/>
          <w:szCs w:val="22"/>
          <w:lang w:val="hr-HR"/>
        </w:rPr>
      </w:pPr>
    </w:p>
    <w:p w:rsidR="00694ECC" w:rsidRPr="00CD3A2D" w:rsidRDefault="00694ECC" w:rsidP="00694ECC">
      <w:pPr>
        <w:keepNext/>
        <w:tabs>
          <w:tab w:val="left" w:pos="567"/>
        </w:tabs>
        <w:jc w:val="both"/>
        <w:outlineLvl w:val="0"/>
        <w:rPr>
          <w:rFonts w:asciiTheme="minorHAnsi" w:hAnsiTheme="minorHAnsi" w:cs="Arial"/>
          <w:i/>
          <w:caps/>
          <w:sz w:val="22"/>
          <w:szCs w:val="22"/>
          <w:lang w:val="hr-HR"/>
        </w:rPr>
      </w:pPr>
      <w:r w:rsidRPr="00CD3A2D">
        <w:rPr>
          <w:rFonts w:asciiTheme="minorHAnsi" w:hAnsiTheme="minorHAnsi" w:cs="Arial"/>
          <w:i/>
          <w:sz w:val="22"/>
          <w:szCs w:val="22"/>
          <w:lang w:val="hr-HR"/>
        </w:rPr>
        <w:t>Uprava</w:t>
      </w:r>
      <w:r w:rsidRPr="00CD3A2D">
        <w:rPr>
          <w:rFonts w:asciiTheme="minorHAnsi" w:hAnsiTheme="minorHAnsi" w:cs="Arial"/>
          <w:i/>
          <w:caps/>
          <w:sz w:val="22"/>
          <w:szCs w:val="22"/>
          <w:lang w:val="hr-HR"/>
        </w:rPr>
        <w:t xml:space="preserve"> </w:t>
      </w:r>
    </w:p>
    <w:p w:rsidR="00694ECC" w:rsidRPr="00CD3A2D" w:rsidRDefault="00694ECC" w:rsidP="00694ECC">
      <w:pPr>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Na dan sastavljanja ovih izvještaja Uprava HBOR-a djeluje u sljedećem sastavu:</w:t>
      </w:r>
    </w:p>
    <w:p w:rsidR="00694ECC" w:rsidRPr="00CD3A2D" w:rsidRDefault="00694ECC" w:rsidP="00694ECC">
      <w:pPr>
        <w:jc w:val="both"/>
        <w:rPr>
          <w:rFonts w:asciiTheme="minorHAnsi" w:hAnsiTheme="minorHAnsi" w:cs="Arial"/>
          <w:sz w:val="22"/>
          <w:szCs w:val="22"/>
          <w:lang w:val="hr-HR" w:eastAsia="hr-HR"/>
        </w:rPr>
      </w:pPr>
    </w:p>
    <w:p w:rsidR="00694ECC" w:rsidRPr="00CD3A2D" w:rsidRDefault="00694ECC" w:rsidP="002B5EA8">
      <w:pPr>
        <w:pStyle w:val="ListParagraph"/>
        <w:numPr>
          <w:ilvl w:val="0"/>
          <w:numId w:val="17"/>
        </w:numPr>
        <w:tabs>
          <w:tab w:val="left" w:pos="709"/>
        </w:tabs>
        <w:ind w:left="851" w:hanging="425"/>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mr. sc. Tamara Perko, predsjednica Uprave i</w:t>
      </w:r>
    </w:p>
    <w:p w:rsidR="00694ECC" w:rsidRPr="00CD3A2D" w:rsidRDefault="00694ECC" w:rsidP="002B5EA8">
      <w:pPr>
        <w:pStyle w:val="ListParagraph"/>
        <w:numPr>
          <w:ilvl w:val="0"/>
          <w:numId w:val="17"/>
        </w:numPr>
        <w:ind w:left="709" w:hanging="283"/>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mr. sc. Hrvoje Čuvalo, član Uprave.</w:t>
      </w:r>
    </w:p>
    <w:p w:rsidR="00694ECC" w:rsidRPr="00CD3A2D" w:rsidRDefault="00694ECC" w:rsidP="00694ECC">
      <w:pPr>
        <w:jc w:val="both"/>
        <w:rPr>
          <w:rFonts w:asciiTheme="minorHAnsi" w:hAnsiTheme="minorHAnsi" w:cs="Arial"/>
          <w:sz w:val="22"/>
          <w:szCs w:val="22"/>
          <w:lang w:val="hr-HR" w:eastAsia="hr-HR"/>
        </w:rPr>
      </w:pPr>
    </w:p>
    <w:p w:rsidR="00694ECC" w:rsidRPr="00CD3A2D" w:rsidRDefault="00694ECC" w:rsidP="00694ECC">
      <w:pPr>
        <w:jc w:val="both"/>
        <w:rPr>
          <w:rFonts w:asciiTheme="minorHAnsi" w:hAnsiTheme="minorHAnsi"/>
          <w:sz w:val="22"/>
          <w:szCs w:val="22"/>
          <w:lang w:val="hr-HR"/>
        </w:rPr>
      </w:pPr>
      <w:r w:rsidRPr="00CD3A2D">
        <w:rPr>
          <w:rFonts w:asciiTheme="minorHAnsi" w:hAnsiTheme="minorHAnsi"/>
          <w:sz w:val="22"/>
          <w:szCs w:val="22"/>
          <w:lang w:val="hr-HR"/>
        </w:rPr>
        <w:t xml:space="preserve">Na dan 31. </w:t>
      </w:r>
      <w:r w:rsidR="00764160" w:rsidRPr="00CD3A2D">
        <w:rPr>
          <w:rFonts w:asciiTheme="minorHAnsi" w:hAnsiTheme="minorHAnsi"/>
          <w:sz w:val="22"/>
          <w:szCs w:val="22"/>
          <w:lang w:val="hr-HR"/>
        </w:rPr>
        <w:t>prosinca</w:t>
      </w:r>
      <w:r w:rsidRPr="00CD3A2D">
        <w:rPr>
          <w:rFonts w:asciiTheme="minorHAnsi" w:hAnsiTheme="minorHAnsi"/>
          <w:sz w:val="22"/>
          <w:szCs w:val="22"/>
          <w:lang w:val="hr-HR"/>
        </w:rPr>
        <w:t xml:space="preserve"> 2018. godine HBOR ima </w:t>
      </w:r>
      <w:r w:rsidR="009F0FF3" w:rsidRPr="00CD3A2D">
        <w:rPr>
          <w:rFonts w:asciiTheme="minorHAnsi" w:hAnsiTheme="minorHAnsi"/>
          <w:sz w:val="22"/>
          <w:szCs w:val="22"/>
          <w:lang w:val="hr-HR"/>
        </w:rPr>
        <w:t>370</w:t>
      </w:r>
      <w:r w:rsidR="00764160" w:rsidRPr="00CD3A2D">
        <w:rPr>
          <w:rFonts w:asciiTheme="minorHAnsi" w:hAnsiTheme="minorHAnsi"/>
          <w:sz w:val="22"/>
          <w:szCs w:val="22"/>
          <w:lang w:val="hr-HR"/>
        </w:rPr>
        <w:t xml:space="preserve"> </w:t>
      </w:r>
      <w:r w:rsidRPr="00CD3A2D">
        <w:rPr>
          <w:rFonts w:asciiTheme="minorHAnsi" w:hAnsiTheme="minorHAnsi"/>
          <w:sz w:val="22"/>
          <w:szCs w:val="22"/>
          <w:lang w:val="hr-HR"/>
        </w:rPr>
        <w:t>zaposlenika (3</w:t>
      </w:r>
      <w:r w:rsidR="00764160" w:rsidRPr="00CD3A2D">
        <w:rPr>
          <w:rFonts w:asciiTheme="minorHAnsi" w:hAnsiTheme="minorHAnsi"/>
          <w:sz w:val="22"/>
          <w:szCs w:val="22"/>
          <w:lang w:val="hr-HR"/>
        </w:rPr>
        <w:t>1</w:t>
      </w:r>
      <w:r w:rsidRPr="00CD3A2D">
        <w:rPr>
          <w:rFonts w:asciiTheme="minorHAnsi" w:hAnsiTheme="minorHAnsi"/>
          <w:sz w:val="22"/>
          <w:szCs w:val="22"/>
          <w:lang w:val="hr-HR"/>
        </w:rPr>
        <w:t>.</w:t>
      </w:r>
      <w:r w:rsidR="00764160" w:rsidRPr="00CD3A2D">
        <w:rPr>
          <w:rFonts w:asciiTheme="minorHAnsi" w:hAnsiTheme="minorHAnsi"/>
          <w:sz w:val="22"/>
          <w:szCs w:val="22"/>
          <w:lang w:val="hr-HR"/>
        </w:rPr>
        <w:t xml:space="preserve"> prosinca</w:t>
      </w:r>
      <w:r w:rsidRPr="00CD3A2D">
        <w:rPr>
          <w:rFonts w:asciiTheme="minorHAnsi" w:hAnsiTheme="minorHAnsi"/>
          <w:sz w:val="22"/>
          <w:szCs w:val="22"/>
          <w:lang w:val="hr-HR"/>
        </w:rPr>
        <w:t xml:space="preserve"> 2017. godine bilo je </w:t>
      </w:r>
      <w:r w:rsidR="009F0FF3" w:rsidRPr="00CD3A2D">
        <w:rPr>
          <w:rFonts w:asciiTheme="minorHAnsi" w:hAnsiTheme="minorHAnsi"/>
          <w:sz w:val="22"/>
          <w:szCs w:val="22"/>
          <w:lang w:val="hr-HR"/>
        </w:rPr>
        <w:t>366</w:t>
      </w:r>
      <w:r w:rsidRPr="00CD3A2D">
        <w:rPr>
          <w:rFonts w:asciiTheme="minorHAnsi" w:hAnsiTheme="minorHAnsi"/>
          <w:sz w:val="22"/>
          <w:szCs w:val="22"/>
          <w:lang w:val="hr-HR"/>
        </w:rPr>
        <w:t xml:space="preserve"> zaposlenika) od čega </w:t>
      </w:r>
      <w:r w:rsidR="009F0FF3" w:rsidRPr="00CD3A2D">
        <w:rPr>
          <w:rFonts w:asciiTheme="minorHAnsi" w:hAnsiTheme="minorHAnsi"/>
          <w:sz w:val="22"/>
          <w:szCs w:val="22"/>
          <w:lang w:val="hr-HR"/>
        </w:rPr>
        <w:t>su</w:t>
      </w:r>
      <w:r w:rsidRPr="00CD3A2D">
        <w:rPr>
          <w:rFonts w:asciiTheme="minorHAnsi" w:hAnsiTheme="minorHAnsi"/>
          <w:sz w:val="22"/>
          <w:szCs w:val="22"/>
          <w:lang w:val="hr-HR"/>
        </w:rPr>
        <w:t xml:space="preserve"> </w:t>
      </w:r>
      <w:r w:rsidR="009F0FF3" w:rsidRPr="00CD3A2D">
        <w:rPr>
          <w:rFonts w:asciiTheme="minorHAnsi" w:hAnsiTheme="minorHAnsi"/>
          <w:sz w:val="22"/>
          <w:szCs w:val="22"/>
          <w:lang w:val="hr-HR"/>
        </w:rPr>
        <w:t>4</w:t>
      </w:r>
      <w:r w:rsidRPr="00CD3A2D">
        <w:rPr>
          <w:rFonts w:asciiTheme="minorHAnsi" w:hAnsiTheme="minorHAnsi"/>
          <w:sz w:val="22"/>
          <w:szCs w:val="22"/>
          <w:lang w:val="hr-HR"/>
        </w:rPr>
        <w:t xml:space="preserve"> zaposlenika na zamjeni za porodiljni dopust, dugotrajna bolovanja i povratak sa neplaćenog dopusta.</w:t>
      </w:r>
    </w:p>
    <w:p w:rsidR="00694ECC" w:rsidRPr="00CD3A2D" w:rsidRDefault="00694ECC" w:rsidP="00694ECC">
      <w:pPr>
        <w:jc w:val="both"/>
        <w:rPr>
          <w:rFonts w:asciiTheme="minorHAnsi" w:hAnsiTheme="minorHAnsi" w:cs="Arial"/>
          <w:sz w:val="22"/>
          <w:szCs w:val="22"/>
          <w:lang w:val="hr-HR"/>
        </w:rPr>
      </w:pPr>
    </w:p>
    <w:p w:rsidR="00764160" w:rsidRPr="00CD3A2D" w:rsidRDefault="00764160" w:rsidP="00764160">
      <w:pPr>
        <w:jc w:val="both"/>
        <w:rPr>
          <w:rFonts w:asciiTheme="minorHAnsi" w:hAnsiTheme="minorHAnsi" w:cs="Arial"/>
          <w:i/>
          <w:sz w:val="22"/>
          <w:szCs w:val="22"/>
          <w:lang w:val="hr-HR"/>
        </w:rPr>
      </w:pPr>
      <w:r w:rsidRPr="00CD3A2D">
        <w:rPr>
          <w:rFonts w:asciiTheme="minorHAnsi" w:hAnsiTheme="minorHAnsi" w:cs="Arial"/>
          <w:i/>
          <w:sz w:val="22"/>
          <w:szCs w:val="22"/>
          <w:lang w:val="hr-HR"/>
        </w:rPr>
        <w:t>Reviz</w:t>
      </w:r>
      <w:r w:rsidR="00E57AA6" w:rsidRPr="00CD3A2D">
        <w:rPr>
          <w:rFonts w:asciiTheme="minorHAnsi" w:hAnsiTheme="minorHAnsi" w:cs="Arial"/>
          <w:i/>
          <w:sz w:val="22"/>
          <w:szCs w:val="22"/>
          <w:lang w:val="hr-HR"/>
        </w:rPr>
        <w:t>ij</w:t>
      </w:r>
      <w:r w:rsidRPr="00CD3A2D">
        <w:rPr>
          <w:rFonts w:asciiTheme="minorHAnsi" w:hAnsiTheme="minorHAnsi" w:cs="Arial"/>
          <w:i/>
          <w:sz w:val="22"/>
          <w:szCs w:val="22"/>
          <w:lang w:val="hr-HR"/>
        </w:rPr>
        <w:t>ski odbor</w:t>
      </w:r>
    </w:p>
    <w:p w:rsidR="00764160" w:rsidRPr="00CD3A2D" w:rsidRDefault="00764160" w:rsidP="00764160">
      <w:pPr>
        <w:tabs>
          <w:tab w:val="left" w:pos="426"/>
        </w:tabs>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Na dan sastavljanja ovih izvještaja Reviz</w:t>
      </w:r>
      <w:r w:rsidR="00E57AA6" w:rsidRPr="00CD3A2D">
        <w:rPr>
          <w:rFonts w:asciiTheme="minorHAnsi" w:hAnsiTheme="minorHAnsi" w:cs="Arial"/>
          <w:sz w:val="22"/>
          <w:szCs w:val="22"/>
          <w:lang w:val="hr-HR" w:eastAsia="hr-HR"/>
        </w:rPr>
        <w:t>ijski</w:t>
      </w:r>
      <w:r w:rsidRPr="00CD3A2D">
        <w:rPr>
          <w:rFonts w:asciiTheme="minorHAnsi" w:hAnsiTheme="minorHAnsi" w:cs="Arial"/>
          <w:sz w:val="22"/>
          <w:szCs w:val="22"/>
          <w:lang w:val="hr-HR" w:eastAsia="hr-HR"/>
        </w:rPr>
        <w:t xml:space="preserve"> odbor djeluje u sastavu:</w:t>
      </w:r>
    </w:p>
    <w:p w:rsidR="00764160" w:rsidRPr="00CD3A2D" w:rsidRDefault="00764160" w:rsidP="00764160">
      <w:pPr>
        <w:tabs>
          <w:tab w:val="left" w:pos="426"/>
        </w:tabs>
        <w:jc w:val="both"/>
        <w:rPr>
          <w:rFonts w:asciiTheme="minorHAnsi" w:hAnsiTheme="minorHAnsi" w:cs="Arial"/>
          <w:sz w:val="22"/>
          <w:szCs w:val="22"/>
          <w:lang w:val="hr-HR" w:eastAsia="hr-HR"/>
        </w:rPr>
      </w:pPr>
    </w:p>
    <w:p w:rsidR="00764160" w:rsidRPr="00CD3A2D" w:rsidRDefault="00764160" w:rsidP="002B5EA8">
      <w:pPr>
        <w:pStyle w:val="ListParagraph"/>
        <w:numPr>
          <w:ilvl w:val="0"/>
          <w:numId w:val="7"/>
        </w:numPr>
        <w:tabs>
          <w:tab w:val="num" w:pos="851"/>
        </w:tabs>
        <w:ind w:left="851"/>
        <w:jc w:val="both"/>
        <w:rPr>
          <w:rFonts w:asciiTheme="minorHAnsi" w:hAnsiTheme="minorHAnsi" w:cs="Arial"/>
          <w:sz w:val="22"/>
          <w:szCs w:val="22"/>
          <w:lang w:val="hr-HR"/>
        </w:rPr>
      </w:pPr>
      <w:r w:rsidRPr="00CD3A2D">
        <w:rPr>
          <w:rFonts w:asciiTheme="minorHAnsi" w:hAnsiTheme="minorHAnsi" w:cs="Arial"/>
          <w:sz w:val="22"/>
          <w:szCs w:val="22"/>
          <w:lang w:val="hr-HR"/>
        </w:rPr>
        <w:t>prof. dr. sc. Lajoš Žager, redoviti profesor, Katedra za računovodstvo Ekonomskog fakulteta Sveučilišta u Zagrebu, u svojstvu predsjednika Reviz</w:t>
      </w:r>
      <w:r w:rsidR="00E57AA6" w:rsidRPr="00CD3A2D">
        <w:rPr>
          <w:rFonts w:asciiTheme="minorHAnsi" w:hAnsiTheme="minorHAnsi" w:cs="Arial"/>
          <w:sz w:val="22"/>
          <w:szCs w:val="22"/>
          <w:lang w:val="hr-HR"/>
        </w:rPr>
        <w:t>ij</w:t>
      </w:r>
      <w:r w:rsidRPr="00CD3A2D">
        <w:rPr>
          <w:rFonts w:asciiTheme="minorHAnsi" w:hAnsiTheme="minorHAnsi" w:cs="Arial"/>
          <w:sz w:val="22"/>
          <w:szCs w:val="22"/>
          <w:lang w:val="hr-HR"/>
        </w:rPr>
        <w:t>skog odbora,</w:t>
      </w:r>
    </w:p>
    <w:p w:rsidR="00764160" w:rsidRPr="00CD3A2D" w:rsidRDefault="00764160" w:rsidP="002B5EA8">
      <w:pPr>
        <w:pStyle w:val="ListParagraph"/>
        <w:numPr>
          <w:ilvl w:val="0"/>
          <w:numId w:val="7"/>
        </w:numPr>
        <w:tabs>
          <w:tab w:val="num" w:pos="993"/>
        </w:tabs>
        <w:ind w:left="851"/>
        <w:jc w:val="both"/>
        <w:rPr>
          <w:rFonts w:asciiTheme="minorHAnsi" w:hAnsiTheme="minorHAnsi" w:cs="Arial"/>
          <w:sz w:val="22"/>
          <w:szCs w:val="22"/>
          <w:lang w:val="hr-HR"/>
        </w:rPr>
      </w:pPr>
      <w:r w:rsidRPr="00CD3A2D">
        <w:rPr>
          <w:rFonts w:asciiTheme="minorHAnsi" w:hAnsiTheme="minorHAnsi" w:cs="Arial"/>
          <w:sz w:val="22"/>
          <w:szCs w:val="22"/>
          <w:lang w:val="hr-HR"/>
        </w:rPr>
        <w:t>Grozdana Perić, predsjednica Odbora za financije i državni proračun u Hrvatskom saboru, u svojstvu zamjenice predsjednika Reviz</w:t>
      </w:r>
      <w:r w:rsidR="00E57AA6" w:rsidRPr="00CD3A2D">
        <w:rPr>
          <w:rFonts w:asciiTheme="minorHAnsi" w:hAnsiTheme="minorHAnsi" w:cs="Arial"/>
          <w:sz w:val="22"/>
          <w:szCs w:val="22"/>
          <w:lang w:val="hr-HR"/>
        </w:rPr>
        <w:t>ij</w:t>
      </w:r>
      <w:r w:rsidRPr="00CD3A2D">
        <w:rPr>
          <w:rFonts w:asciiTheme="minorHAnsi" w:hAnsiTheme="minorHAnsi" w:cs="Arial"/>
          <w:sz w:val="22"/>
          <w:szCs w:val="22"/>
          <w:lang w:val="hr-HR"/>
        </w:rPr>
        <w:t>skog odbora,</w:t>
      </w:r>
    </w:p>
    <w:p w:rsidR="00764160" w:rsidRPr="00CD3A2D" w:rsidRDefault="00764160" w:rsidP="002B5EA8">
      <w:pPr>
        <w:pStyle w:val="ListParagraph"/>
        <w:numPr>
          <w:ilvl w:val="0"/>
          <w:numId w:val="7"/>
        </w:numPr>
        <w:tabs>
          <w:tab w:val="left" w:pos="426"/>
          <w:tab w:val="num" w:pos="851"/>
        </w:tabs>
        <w:ind w:left="851"/>
        <w:jc w:val="both"/>
        <w:rPr>
          <w:rFonts w:asciiTheme="minorHAnsi" w:hAnsiTheme="minorHAnsi" w:cs="Arial"/>
          <w:sz w:val="22"/>
          <w:szCs w:val="22"/>
          <w:lang w:val="hr-HR" w:eastAsia="hr-HR"/>
        </w:rPr>
      </w:pPr>
      <w:r w:rsidRPr="00CD3A2D">
        <w:rPr>
          <w:rFonts w:asciiTheme="minorHAnsi" w:hAnsiTheme="minorHAnsi" w:cs="Arial"/>
          <w:sz w:val="22"/>
          <w:szCs w:val="22"/>
          <w:lang w:val="hr-HR"/>
        </w:rPr>
        <w:t>Aurora Volarević, direktorica Interne kontrole, revizije i rizika u Hrvatskom Telekomu d.d., u svojstvu članice Reviz</w:t>
      </w:r>
      <w:r w:rsidR="00E57AA6" w:rsidRPr="00CD3A2D">
        <w:rPr>
          <w:rFonts w:asciiTheme="minorHAnsi" w:hAnsiTheme="minorHAnsi" w:cs="Arial"/>
          <w:sz w:val="22"/>
          <w:szCs w:val="22"/>
          <w:lang w:val="hr-HR"/>
        </w:rPr>
        <w:t>ij</w:t>
      </w:r>
      <w:r w:rsidRPr="00CD3A2D">
        <w:rPr>
          <w:rFonts w:asciiTheme="minorHAnsi" w:hAnsiTheme="minorHAnsi" w:cs="Arial"/>
          <w:sz w:val="22"/>
          <w:szCs w:val="22"/>
          <w:lang w:val="hr-HR"/>
        </w:rPr>
        <w:t>skog odbora.</w:t>
      </w:r>
    </w:p>
    <w:p w:rsidR="00764160" w:rsidRPr="00CD3A2D" w:rsidRDefault="00764160" w:rsidP="00764160">
      <w:pPr>
        <w:rPr>
          <w:rFonts w:cs="Calibri"/>
          <w:b/>
          <w:spacing w:val="-3"/>
          <w:lang w:val="hr-HR" w:eastAsia="hr-HR"/>
        </w:rPr>
      </w:pPr>
    </w:p>
    <w:p w:rsidR="005F4584" w:rsidRPr="001567C8" w:rsidRDefault="005F4584">
      <w:pPr>
        <w:pStyle w:val="ListParagraph"/>
        <w:ind w:left="851"/>
        <w:jc w:val="both"/>
        <w:rPr>
          <w:rFonts w:asciiTheme="minorHAnsi" w:hAnsiTheme="minorHAnsi"/>
          <w:sz w:val="22"/>
          <w:szCs w:val="22"/>
          <w:lang w:val="hr-HR"/>
        </w:rPr>
      </w:pPr>
    </w:p>
    <w:p w:rsidR="005F4584" w:rsidRPr="001567C8" w:rsidRDefault="005F4584">
      <w:pPr>
        <w:pStyle w:val="ListParagraph"/>
        <w:ind w:left="851"/>
        <w:jc w:val="both"/>
        <w:rPr>
          <w:rFonts w:asciiTheme="minorHAnsi" w:hAnsiTheme="minorHAnsi"/>
          <w:sz w:val="22"/>
          <w:szCs w:val="22"/>
          <w:lang w:val="hr-HR"/>
        </w:rPr>
      </w:pPr>
    </w:p>
    <w:p w:rsidR="005F4584" w:rsidRPr="001567C8" w:rsidRDefault="005F4584">
      <w:pPr>
        <w:pStyle w:val="ListParagraph"/>
        <w:ind w:left="851"/>
        <w:jc w:val="both"/>
        <w:rPr>
          <w:rFonts w:asciiTheme="minorHAnsi" w:hAnsiTheme="minorHAnsi"/>
          <w:sz w:val="22"/>
          <w:szCs w:val="22"/>
          <w:lang w:val="hr-HR"/>
        </w:rPr>
        <w:sectPr w:rsidR="005F4584" w:rsidRPr="001567C8" w:rsidSect="000D6913">
          <w:headerReference w:type="default" r:id="rId73"/>
          <w:pgSz w:w="11907" w:h="16840" w:code="9"/>
          <w:pgMar w:top="1418" w:right="992" w:bottom="1134" w:left="1418" w:header="851" w:footer="851" w:gutter="0"/>
          <w:cols w:space="720"/>
          <w:noEndnote/>
        </w:sectPr>
      </w:pPr>
    </w:p>
    <w:p w:rsidR="009B08C0" w:rsidRPr="001567C8" w:rsidRDefault="009B08C0" w:rsidP="00447AB8">
      <w:pPr>
        <w:pStyle w:val="ListParagraph"/>
        <w:ind w:left="851"/>
        <w:jc w:val="both"/>
        <w:rPr>
          <w:rFonts w:asciiTheme="minorHAnsi" w:hAnsiTheme="minorHAnsi"/>
          <w:sz w:val="22"/>
          <w:szCs w:val="22"/>
          <w:lang w:val="hr-HR"/>
        </w:rPr>
      </w:pPr>
    </w:p>
    <w:p w:rsidR="009B08C0" w:rsidRPr="001567C8" w:rsidRDefault="009B08C0" w:rsidP="009B08C0">
      <w:pPr>
        <w:pStyle w:val="T1"/>
        <w:tabs>
          <w:tab w:val="left" w:pos="567"/>
        </w:tabs>
        <w:spacing w:before="0" w:after="0" w:line="240" w:lineRule="auto"/>
        <w:rPr>
          <w:rFonts w:asciiTheme="minorHAnsi" w:hAnsiTheme="minorHAnsi" w:cs="Arial"/>
          <w:strike/>
          <w:sz w:val="22"/>
          <w:szCs w:val="22"/>
          <w:lang w:val="hr-HR"/>
        </w:rPr>
      </w:pPr>
      <w:r w:rsidRPr="001567C8">
        <w:rPr>
          <w:rFonts w:asciiTheme="minorHAnsi" w:hAnsiTheme="minorHAnsi" w:cs="Arial"/>
          <w:sz w:val="22"/>
          <w:szCs w:val="22"/>
          <w:lang w:val="hr-HR"/>
        </w:rPr>
        <w:t>1.</w:t>
      </w:r>
      <w:r w:rsidRPr="001567C8">
        <w:rPr>
          <w:rFonts w:asciiTheme="minorHAnsi" w:hAnsiTheme="minorHAnsi" w:cs="Arial"/>
          <w:sz w:val="22"/>
          <w:szCs w:val="22"/>
          <w:lang w:val="hr-HR"/>
        </w:rPr>
        <w:tab/>
        <w:t>Opći podaci (nastavak)</w:t>
      </w:r>
    </w:p>
    <w:p w:rsidR="009B08C0" w:rsidRPr="001567C8" w:rsidRDefault="009B08C0" w:rsidP="009B08C0">
      <w:pPr>
        <w:pStyle w:val="NormalWeb"/>
        <w:tabs>
          <w:tab w:val="left" w:pos="567"/>
        </w:tabs>
        <w:spacing w:before="0" w:beforeAutospacing="0" w:after="0" w:afterAutospacing="0"/>
        <w:jc w:val="both"/>
        <w:rPr>
          <w:rFonts w:asciiTheme="minorHAnsi" w:hAnsiTheme="minorHAnsi" w:cs="Arial"/>
          <w:b/>
          <w:sz w:val="22"/>
          <w:szCs w:val="22"/>
          <w:lang w:val="hr-HR"/>
        </w:rPr>
      </w:pPr>
    </w:p>
    <w:p w:rsidR="00764160" w:rsidRPr="001567C8" w:rsidRDefault="00764160" w:rsidP="00764160">
      <w:pPr>
        <w:pStyle w:val="NormalWeb"/>
        <w:tabs>
          <w:tab w:val="left" w:pos="567"/>
        </w:tabs>
        <w:spacing w:before="0" w:beforeAutospacing="0" w:after="0" w:afterAutospacing="0"/>
        <w:jc w:val="both"/>
        <w:rPr>
          <w:rFonts w:asciiTheme="minorHAnsi" w:hAnsiTheme="minorHAnsi" w:cs="Arial"/>
          <w:b/>
          <w:sz w:val="22"/>
          <w:szCs w:val="22"/>
          <w:lang w:val="hr-HR"/>
        </w:rPr>
      </w:pPr>
      <w:r w:rsidRPr="001567C8">
        <w:rPr>
          <w:rFonts w:asciiTheme="minorHAnsi" w:hAnsiTheme="minorHAnsi" w:cs="Arial"/>
          <w:b/>
          <w:sz w:val="22"/>
          <w:szCs w:val="22"/>
          <w:lang w:val="hr-HR"/>
        </w:rPr>
        <w:t>1.2.</w:t>
      </w:r>
      <w:r w:rsidRPr="001567C8">
        <w:rPr>
          <w:rFonts w:asciiTheme="minorHAnsi" w:hAnsiTheme="minorHAnsi" w:cs="Arial"/>
          <w:b/>
          <w:sz w:val="22"/>
          <w:szCs w:val="22"/>
          <w:lang w:val="hr-HR"/>
        </w:rPr>
        <w:tab/>
        <w:t>Banka (nastavak):</w:t>
      </w:r>
    </w:p>
    <w:p w:rsidR="00764160" w:rsidRPr="001567C8" w:rsidRDefault="00764160" w:rsidP="00764160">
      <w:pPr>
        <w:pStyle w:val="NormalWeb"/>
        <w:tabs>
          <w:tab w:val="left" w:pos="567"/>
        </w:tabs>
        <w:spacing w:before="0" w:beforeAutospacing="0" w:after="0" w:afterAutospacing="0"/>
        <w:jc w:val="both"/>
        <w:rPr>
          <w:rFonts w:asciiTheme="minorHAnsi" w:hAnsiTheme="minorHAnsi" w:cs="Arial"/>
          <w:b/>
          <w:sz w:val="22"/>
          <w:szCs w:val="22"/>
          <w:lang w:val="hr-HR"/>
        </w:rPr>
      </w:pPr>
    </w:p>
    <w:p w:rsidR="00764160" w:rsidRPr="00CD3A2D" w:rsidRDefault="00764160" w:rsidP="00764160">
      <w:pPr>
        <w:tabs>
          <w:tab w:val="left" w:pos="426"/>
        </w:tabs>
        <w:jc w:val="both"/>
        <w:rPr>
          <w:rFonts w:asciiTheme="minorHAnsi" w:hAnsiTheme="minorHAnsi" w:cs="Arial"/>
          <w:b/>
          <w:sz w:val="22"/>
          <w:szCs w:val="22"/>
          <w:lang w:val="hr-HR" w:eastAsia="hr-HR"/>
        </w:rPr>
      </w:pPr>
      <w:r w:rsidRPr="00CD3A2D">
        <w:rPr>
          <w:rFonts w:asciiTheme="minorHAnsi" w:hAnsiTheme="minorHAnsi" w:cs="Arial"/>
          <w:b/>
          <w:sz w:val="22"/>
          <w:szCs w:val="22"/>
          <w:lang w:val="hr-HR" w:eastAsia="hr-HR"/>
        </w:rPr>
        <w:t>1.2.1. Djelatnost Banke:</w:t>
      </w:r>
    </w:p>
    <w:p w:rsidR="00764160" w:rsidRPr="00CD3A2D" w:rsidRDefault="00764160" w:rsidP="00764160">
      <w:pPr>
        <w:jc w:val="both"/>
        <w:rPr>
          <w:rFonts w:asciiTheme="minorHAnsi" w:hAnsiTheme="minorHAnsi" w:cs="Arial"/>
          <w:b/>
          <w:sz w:val="22"/>
          <w:szCs w:val="22"/>
          <w:lang w:val="hr-HR" w:eastAsia="hr-HR"/>
        </w:rPr>
      </w:pPr>
    </w:p>
    <w:p w:rsidR="00764160" w:rsidRPr="00CD3A2D" w:rsidRDefault="00764160" w:rsidP="00764160">
      <w:pPr>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 xml:space="preserve">Glavne poslovne djelatnosti Banke odnose se na: </w:t>
      </w:r>
    </w:p>
    <w:p w:rsidR="00764160" w:rsidRPr="00CD3A2D" w:rsidRDefault="00764160" w:rsidP="002B5EA8">
      <w:pPr>
        <w:numPr>
          <w:ilvl w:val="0"/>
          <w:numId w:val="6"/>
        </w:numPr>
        <w:ind w:left="1077" w:hanging="357"/>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 xml:space="preserve">financiranje obnove i razvitka hrvatskoga gospodarstva, </w:t>
      </w:r>
    </w:p>
    <w:p w:rsidR="00764160" w:rsidRPr="00CD3A2D" w:rsidRDefault="00764160" w:rsidP="002B5EA8">
      <w:pPr>
        <w:numPr>
          <w:ilvl w:val="0"/>
          <w:numId w:val="6"/>
        </w:numPr>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 xml:space="preserve">financiranje infrastrukture, </w:t>
      </w:r>
    </w:p>
    <w:p w:rsidR="00764160" w:rsidRPr="00CD3A2D" w:rsidRDefault="00764160" w:rsidP="002B5EA8">
      <w:pPr>
        <w:numPr>
          <w:ilvl w:val="0"/>
          <w:numId w:val="6"/>
        </w:numPr>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 xml:space="preserve">poticanje izvoza, </w:t>
      </w:r>
    </w:p>
    <w:p w:rsidR="00764160" w:rsidRPr="00CD3A2D" w:rsidRDefault="00764160" w:rsidP="002B5EA8">
      <w:pPr>
        <w:numPr>
          <w:ilvl w:val="0"/>
          <w:numId w:val="6"/>
        </w:numPr>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 xml:space="preserve">potporu razvitku malog i srednjeg poduzetništva, </w:t>
      </w:r>
    </w:p>
    <w:p w:rsidR="00764160" w:rsidRPr="00CD3A2D" w:rsidRDefault="00764160" w:rsidP="002B5EA8">
      <w:pPr>
        <w:numPr>
          <w:ilvl w:val="0"/>
          <w:numId w:val="6"/>
        </w:numPr>
        <w:rPr>
          <w:rFonts w:asciiTheme="minorHAnsi" w:hAnsiTheme="minorHAnsi" w:cs="Calibri"/>
          <w:b/>
          <w:spacing w:val="-3"/>
          <w:sz w:val="22"/>
          <w:szCs w:val="22"/>
          <w:lang w:val="hr-HR" w:eastAsia="hr-HR"/>
        </w:rPr>
      </w:pPr>
      <w:r w:rsidRPr="00CD3A2D">
        <w:rPr>
          <w:rFonts w:asciiTheme="minorHAnsi" w:hAnsiTheme="minorHAnsi" w:cs="Arial"/>
          <w:sz w:val="22"/>
          <w:szCs w:val="22"/>
          <w:lang w:val="hr-HR" w:eastAsia="hr-HR"/>
        </w:rPr>
        <w:t>poticanje zaštite okoliša,</w:t>
      </w:r>
    </w:p>
    <w:p w:rsidR="00764160" w:rsidRPr="00CD3A2D" w:rsidRDefault="00764160" w:rsidP="002B5EA8">
      <w:pPr>
        <w:numPr>
          <w:ilvl w:val="0"/>
          <w:numId w:val="6"/>
        </w:numPr>
        <w:rPr>
          <w:rFonts w:asciiTheme="minorHAnsi" w:hAnsiTheme="minorHAnsi" w:cs="Calibri"/>
          <w:b/>
          <w:spacing w:val="-3"/>
          <w:sz w:val="22"/>
          <w:szCs w:val="22"/>
          <w:lang w:val="hr-HR" w:eastAsia="hr-HR"/>
        </w:rPr>
      </w:pPr>
      <w:r w:rsidRPr="00CD3A2D">
        <w:rPr>
          <w:rFonts w:asciiTheme="minorHAnsi" w:hAnsiTheme="minorHAnsi" w:cs="Arial"/>
          <w:sz w:val="22"/>
          <w:szCs w:val="22"/>
          <w:lang w:val="hr-HR" w:eastAsia="hr-HR"/>
        </w:rPr>
        <w:t>kao i osiguranja izvoza hrvatskih roba i usluga od netržišnih rizika u ime i za račun Republike Hrvatske.</w:t>
      </w:r>
    </w:p>
    <w:p w:rsidR="00764160" w:rsidRPr="00CD3A2D" w:rsidRDefault="00764160" w:rsidP="00764160">
      <w:pPr>
        <w:ind w:left="720"/>
        <w:rPr>
          <w:rFonts w:asciiTheme="minorHAnsi" w:hAnsiTheme="minorHAnsi" w:cs="Calibri"/>
          <w:b/>
          <w:spacing w:val="-3"/>
          <w:sz w:val="22"/>
          <w:szCs w:val="22"/>
          <w:lang w:val="hr-HR" w:eastAsia="hr-HR"/>
        </w:rPr>
      </w:pPr>
    </w:p>
    <w:p w:rsidR="00764160" w:rsidRPr="00CD3A2D" w:rsidRDefault="00764160" w:rsidP="00764160">
      <w:pPr>
        <w:jc w:val="both"/>
        <w:rPr>
          <w:rFonts w:asciiTheme="minorHAnsi" w:hAnsiTheme="minorHAnsi" w:cs="Arial"/>
          <w:sz w:val="22"/>
          <w:szCs w:val="22"/>
          <w:lang w:val="hr-HR" w:eastAsia="hr-HR"/>
        </w:rPr>
      </w:pPr>
      <w:r w:rsidRPr="00CD3A2D">
        <w:rPr>
          <w:rFonts w:asciiTheme="minorHAnsi" w:hAnsiTheme="minorHAnsi" w:cs="Arial"/>
          <w:sz w:val="22"/>
          <w:szCs w:val="22"/>
          <w:lang w:val="hr-HR" w:eastAsia="hr-HR"/>
        </w:rPr>
        <w:t>HBOR može obavljati i druge financijske poslove sukladno odlukama Vlade Republike Hrvatske ako ona ocijeni da je to u interesu Republike Hrvatske.</w:t>
      </w:r>
    </w:p>
    <w:p w:rsidR="00764160" w:rsidRPr="00CD3A2D" w:rsidRDefault="00764160" w:rsidP="00764160">
      <w:pPr>
        <w:ind w:left="426"/>
        <w:jc w:val="both"/>
        <w:rPr>
          <w:rFonts w:asciiTheme="minorHAnsi" w:hAnsiTheme="minorHAnsi" w:cs="Arial"/>
          <w:b/>
          <w:sz w:val="22"/>
          <w:szCs w:val="22"/>
          <w:lang w:val="hr-HR" w:eastAsia="hr-HR"/>
        </w:rPr>
      </w:pPr>
    </w:p>
    <w:p w:rsidR="00764160" w:rsidRPr="001567C8" w:rsidRDefault="00764160" w:rsidP="00B861E2">
      <w:pPr>
        <w:pStyle w:val="T1"/>
        <w:tabs>
          <w:tab w:val="left" w:pos="567"/>
        </w:tabs>
        <w:spacing w:before="0" w:after="0" w:line="240" w:lineRule="auto"/>
        <w:rPr>
          <w:rFonts w:asciiTheme="minorHAnsi" w:hAnsiTheme="minorHAnsi" w:cs="Arial"/>
          <w:sz w:val="22"/>
          <w:szCs w:val="22"/>
          <w:lang w:val="hr-HR"/>
        </w:rPr>
        <w:sectPr w:rsidR="00764160" w:rsidRPr="001567C8" w:rsidSect="000D6913">
          <w:headerReference w:type="even" r:id="rId74"/>
          <w:pgSz w:w="11907" w:h="16840" w:code="9"/>
          <w:pgMar w:top="1418" w:right="992" w:bottom="1134" w:left="1418" w:header="851" w:footer="851" w:gutter="0"/>
          <w:cols w:space="720"/>
          <w:noEndnote/>
        </w:sectPr>
      </w:pPr>
    </w:p>
    <w:p w:rsidR="00ED047C" w:rsidRPr="001567C8" w:rsidRDefault="00ED047C" w:rsidP="00ED047C">
      <w:pPr>
        <w:jc w:val="both"/>
        <w:rPr>
          <w:rFonts w:ascii="Calibri" w:hAnsi="Calibri" w:cs="Arial"/>
          <w:sz w:val="22"/>
          <w:szCs w:val="22"/>
          <w:lang w:val="hr-HR"/>
        </w:rPr>
      </w:pPr>
    </w:p>
    <w:p w:rsidR="00144D98" w:rsidRPr="00CD3A2D" w:rsidRDefault="00144D98" w:rsidP="00144D98">
      <w:pPr>
        <w:tabs>
          <w:tab w:val="left" w:pos="567"/>
        </w:tabs>
        <w:jc w:val="both"/>
        <w:rPr>
          <w:rFonts w:asciiTheme="minorHAnsi" w:hAnsiTheme="minorHAnsi" w:cs="Arial"/>
          <w:b/>
          <w:sz w:val="22"/>
          <w:szCs w:val="22"/>
          <w:lang w:val="hr-HR" w:eastAsia="hr-HR"/>
        </w:rPr>
      </w:pPr>
      <w:r w:rsidRPr="00CD3A2D">
        <w:rPr>
          <w:rFonts w:asciiTheme="minorHAnsi" w:hAnsiTheme="minorHAnsi" w:cs="Arial"/>
          <w:b/>
          <w:sz w:val="22"/>
          <w:szCs w:val="22"/>
          <w:lang w:val="hr-HR" w:eastAsia="hr-HR"/>
        </w:rPr>
        <w:t>2.</w:t>
      </w:r>
      <w:r w:rsidRPr="00CD3A2D">
        <w:rPr>
          <w:rFonts w:asciiTheme="minorHAnsi" w:hAnsiTheme="minorHAnsi" w:cs="Arial"/>
          <w:b/>
          <w:sz w:val="22"/>
          <w:szCs w:val="22"/>
          <w:lang w:val="hr-HR" w:eastAsia="hr-HR"/>
        </w:rPr>
        <w:tab/>
        <w:t xml:space="preserve">Temelj za sastavljanje financijskih izvještaja </w:t>
      </w:r>
    </w:p>
    <w:p w:rsidR="00144D98" w:rsidRPr="00CD3A2D" w:rsidRDefault="00144D98" w:rsidP="00144D98">
      <w:pPr>
        <w:jc w:val="both"/>
        <w:rPr>
          <w:rFonts w:asciiTheme="minorHAnsi" w:hAnsiTheme="minorHAnsi" w:cs="Arial"/>
          <w:b/>
          <w:sz w:val="22"/>
          <w:szCs w:val="22"/>
          <w:lang w:val="hr-HR" w:eastAsia="hr-HR"/>
        </w:rPr>
      </w:pPr>
    </w:p>
    <w:p w:rsidR="00D644F2" w:rsidRPr="00CD3A2D" w:rsidRDefault="00D644F2" w:rsidP="00144D98">
      <w:pPr>
        <w:jc w:val="both"/>
        <w:rPr>
          <w:rFonts w:asciiTheme="minorHAnsi" w:hAnsiTheme="minorHAnsi" w:cs="Arial"/>
          <w:b/>
          <w:sz w:val="22"/>
          <w:szCs w:val="22"/>
          <w:lang w:val="hr-HR" w:eastAsia="hr-HR"/>
        </w:rPr>
      </w:pPr>
      <w:r w:rsidRPr="00CD3A2D">
        <w:rPr>
          <w:rFonts w:asciiTheme="minorHAnsi" w:hAnsiTheme="minorHAnsi" w:cs="Arial"/>
          <w:b/>
          <w:sz w:val="22"/>
          <w:szCs w:val="22"/>
          <w:lang w:val="hr-HR" w:eastAsia="hr-HR"/>
        </w:rPr>
        <w:t>2.1. Izjava o usklađenosti</w:t>
      </w:r>
    </w:p>
    <w:p w:rsidR="00D644F2" w:rsidRPr="00CD3A2D" w:rsidRDefault="00D644F2" w:rsidP="00144D98">
      <w:pPr>
        <w:jc w:val="both"/>
        <w:rPr>
          <w:rFonts w:asciiTheme="minorHAnsi" w:hAnsiTheme="minorHAnsi"/>
          <w:color w:val="222222"/>
          <w:sz w:val="22"/>
          <w:szCs w:val="22"/>
          <w:lang w:val="hr-HR"/>
        </w:rPr>
      </w:pPr>
    </w:p>
    <w:p w:rsidR="00D644F2" w:rsidRPr="00CD3A2D" w:rsidRDefault="00D644F2" w:rsidP="00144D98">
      <w:pPr>
        <w:jc w:val="both"/>
        <w:rPr>
          <w:rFonts w:asciiTheme="minorHAnsi" w:hAnsiTheme="minorHAnsi"/>
          <w:color w:val="222222"/>
          <w:sz w:val="22"/>
          <w:szCs w:val="22"/>
          <w:lang w:val="hr-HR"/>
        </w:rPr>
      </w:pPr>
      <w:r w:rsidRPr="00CD3A2D">
        <w:rPr>
          <w:rFonts w:asciiTheme="minorHAnsi" w:hAnsiTheme="minorHAnsi"/>
          <w:color w:val="222222"/>
          <w:sz w:val="22"/>
          <w:szCs w:val="22"/>
          <w:lang w:val="hr-HR"/>
        </w:rPr>
        <w:t xml:space="preserve">Ovi konsolidirani i odvojeni financijski izvještaji pripremljeni su u skladu s Međunarodnim standardima financijskog izvještavanja koje je usvojila EU. Odobreni su za izdavanje od strane Uprave Banke dana </w:t>
      </w:r>
      <w:r w:rsidR="0006249A" w:rsidRPr="0006249A">
        <w:rPr>
          <w:rFonts w:asciiTheme="minorHAnsi" w:hAnsiTheme="minorHAnsi"/>
          <w:color w:val="222222"/>
          <w:sz w:val="22"/>
          <w:szCs w:val="22"/>
          <w:lang w:val="hr-HR"/>
        </w:rPr>
        <w:t>25</w:t>
      </w:r>
      <w:r w:rsidR="00556CFA" w:rsidRPr="0006249A">
        <w:rPr>
          <w:rFonts w:asciiTheme="minorHAnsi" w:hAnsiTheme="minorHAnsi"/>
          <w:color w:val="222222"/>
          <w:sz w:val="22"/>
          <w:szCs w:val="22"/>
          <w:lang w:val="hr-HR"/>
        </w:rPr>
        <w:t>. ožujka 2019. godine</w:t>
      </w:r>
      <w:r w:rsidRPr="0006249A">
        <w:rPr>
          <w:rFonts w:asciiTheme="minorHAnsi" w:hAnsiTheme="minorHAnsi"/>
          <w:color w:val="222222"/>
          <w:sz w:val="22"/>
          <w:szCs w:val="22"/>
          <w:lang w:val="hr-HR"/>
        </w:rPr>
        <w:t>.</w:t>
      </w:r>
    </w:p>
    <w:p w:rsidR="00144D98" w:rsidRPr="00CD3A2D" w:rsidRDefault="00D644F2" w:rsidP="00144D98">
      <w:pPr>
        <w:jc w:val="both"/>
        <w:rPr>
          <w:rFonts w:asciiTheme="minorHAnsi" w:hAnsiTheme="minorHAnsi"/>
          <w:color w:val="222222"/>
          <w:sz w:val="22"/>
          <w:szCs w:val="22"/>
          <w:lang w:val="hr-HR"/>
        </w:rPr>
      </w:pPr>
      <w:r w:rsidRPr="00CD3A2D">
        <w:rPr>
          <w:rFonts w:asciiTheme="minorHAnsi" w:hAnsiTheme="minorHAnsi"/>
          <w:color w:val="222222"/>
          <w:sz w:val="22"/>
          <w:szCs w:val="22"/>
          <w:lang w:val="hr-HR"/>
        </w:rPr>
        <w:t xml:space="preserve">Ovo je prvi set godišnjih financijskih izvještaja Banke i Grupe u kojemu </w:t>
      </w:r>
      <w:r w:rsidR="005B3DC7" w:rsidRPr="00CD3A2D">
        <w:rPr>
          <w:rFonts w:asciiTheme="minorHAnsi" w:hAnsiTheme="minorHAnsi"/>
          <w:color w:val="222222"/>
          <w:sz w:val="22"/>
          <w:szCs w:val="22"/>
          <w:lang w:val="hr-HR"/>
        </w:rPr>
        <w:t>je</w:t>
      </w:r>
      <w:r w:rsidRPr="00CD3A2D">
        <w:rPr>
          <w:rFonts w:asciiTheme="minorHAnsi" w:hAnsiTheme="minorHAnsi"/>
          <w:color w:val="222222"/>
          <w:sz w:val="22"/>
          <w:szCs w:val="22"/>
          <w:lang w:val="hr-HR"/>
        </w:rPr>
        <w:t xml:space="preserve"> primijenjen MSFI 9 Financijski instrumenti</w:t>
      </w:r>
      <w:r w:rsidR="00434829" w:rsidRPr="00CD3A2D">
        <w:rPr>
          <w:rFonts w:asciiTheme="minorHAnsi" w:hAnsiTheme="minorHAnsi"/>
          <w:color w:val="222222"/>
          <w:sz w:val="22"/>
          <w:szCs w:val="22"/>
          <w:lang w:val="hr-HR"/>
        </w:rPr>
        <w:t xml:space="preserve"> </w:t>
      </w:r>
      <w:r w:rsidR="00434829" w:rsidRPr="00CD3A2D">
        <w:rPr>
          <w:rFonts w:asciiTheme="minorHAnsi" w:hAnsiTheme="minorHAnsi" w:cstheme="minorHAnsi"/>
          <w:color w:val="222222"/>
          <w:sz w:val="22"/>
          <w:szCs w:val="22"/>
          <w:lang w:val="hr-HR"/>
        </w:rPr>
        <w:t>i MSFI 15 Prihodi po ugovorima s kupcima</w:t>
      </w:r>
      <w:r w:rsidRPr="00CD3A2D">
        <w:rPr>
          <w:rFonts w:asciiTheme="minorHAnsi" w:hAnsiTheme="minorHAnsi" w:cstheme="minorHAnsi"/>
          <w:color w:val="222222"/>
          <w:sz w:val="22"/>
          <w:szCs w:val="22"/>
          <w:lang w:val="hr-HR"/>
        </w:rPr>
        <w:t>. Promjene</w:t>
      </w:r>
      <w:r w:rsidRPr="00CD3A2D">
        <w:rPr>
          <w:rFonts w:asciiTheme="minorHAnsi" w:hAnsiTheme="minorHAnsi"/>
          <w:color w:val="222222"/>
          <w:sz w:val="22"/>
          <w:szCs w:val="22"/>
          <w:lang w:val="hr-HR"/>
        </w:rPr>
        <w:t xml:space="preserve"> značajnih računovodstvenih politika opisane su u bilješci 4.1.</w:t>
      </w:r>
    </w:p>
    <w:p w:rsidR="00D644F2" w:rsidRPr="00CD3A2D" w:rsidRDefault="00D644F2" w:rsidP="00144D98">
      <w:pPr>
        <w:jc w:val="both"/>
        <w:rPr>
          <w:rFonts w:asciiTheme="minorHAnsi" w:hAnsiTheme="minorHAnsi" w:cs="Arial"/>
          <w:sz w:val="22"/>
          <w:szCs w:val="22"/>
          <w:lang w:val="hr-HR" w:eastAsia="hr-HR"/>
        </w:rPr>
      </w:pPr>
    </w:p>
    <w:p w:rsidR="00D644F2" w:rsidRPr="00CD3A2D" w:rsidRDefault="00D644F2" w:rsidP="00D644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2.2 Mjerenje</w:t>
      </w:r>
    </w:p>
    <w:p w:rsidR="00D644F2" w:rsidRPr="00CD3A2D" w:rsidRDefault="00D644F2" w:rsidP="00D644F2">
      <w:pPr>
        <w:jc w:val="both"/>
        <w:rPr>
          <w:rFonts w:asciiTheme="minorHAnsi" w:hAnsiTheme="minorHAnsi" w:cstheme="minorHAnsi"/>
          <w:sz w:val="22"/>
          <w:szCs w:val="22"/>
          <w:lang w:val="hr-HR" w:eastAsia="hr-HR"/>
        </w:rPr>
      </w:pPr>
    </w:p>
    <w:p w:rsidR="00D644F2" w:rsidRPr="00CD3A2D" w:rsidRDefault="00D644F2" w:rsidP="00D644F2">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 xml:space="preserve">Financijski izvještaji </w:t>
      </w:r>
      <w:r w:rsidR="00D2115F" w:rsidRPr="00CD3A2D">
        <w:rPr>
          <w:rFonts w:asciiTheme="minorHAnsi" w:hAnsiTheme="minorHAnsi" w:cstheme="minorHAnsi"/>
          <w:sz w:val="22"/>
          <w:szCs w:val="22"/>
          <w:lang w:val="hr-HR" w:eastAsia="hr-HR"/>
        </w:rPr>
        <w:t>sastavljeni</w:t>
      </w:r>
      <w:r w:rsidRPr="00CD3A2D">
        <w:rPr>
          <w:rFonts w:asciiTheme="minorHAnsi" w:hAnsiTheme="minorHAnsi" w:cstheme="minorHAnsi"/>
          <w:sz w:val="22"/>
          <w:szCs w:val="22"/>
          <w:lang w:val="hr-HR" w:eastAsia="hr-HR"/>
        </w:rPr>
        <w:t xml:space="preserve"> su na osnovi fer vrijednosti financijske imovine i obveza po fer vrijednosti kroz dobit</w:t>
      </w:r>
      <w:r w:rsidR="00B57EE7" w:rsidRPr="00CD3A2D">
        <w:rPr>
          <w:rFonts w:asciiTheme="minorHAnsi" w:hAnsiTheme="minorHAnsi" w:cstheme="minorHAnsi"/>
          <w:sz w:val="22"/>
          <w:szCs w:val="22"/>
          <w:lang w:val="hr-HR" w:eastAsia="hr-HR"/>
        </w:rPr>
        <w:t xml:space="preserve"> ili</w:t>
      </w:r>
      <w:r w:rsidRPr="00CD3A2D">
        <w:rPr>
          <w:rFonts w:asciiTheme="minorHAnsi" w:hAnsiTheme="minorHAnsi" w:cstheme="minorHAnsi"/>
          <w:sz w:val="22"/>
          <w:szCs w:val="22"/>
          <w:lang w:val="hr-HR" w:eastAsia="hr-HR"/>
        </w:rPr>
        <w:t xml:space="preserve"> gubit</w:t>
      </w:r>
      <w:r w:rsidR="00B57EE7"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k, financijske imovine po fer vrijednosti kroz ostalu sveobuhvatnu dobit i imovine raspoložive za prodaju. Ostala financijska imovina i obveze te nefinancijska imovina i obveze iskazani su po amortiziranom ili povijesnom trošku.</w:t>
      </w:r>
    </w:p>
    <w:p w:rsidR="00144D98" w:rsidRPr="00CD3A2D" w:rsidRDefault="00144D98" w:rsidP="00144D98">
      <w:pPr>
        <w:ind w:right="27"/>
        <w:jc w:val="both"/>
        <w:rPr>
          <w:rFonts w:asciiTheme="minorHAnsi" w:hAnsiTheme="minorHAnsi" w:cs="Calibri"/>
          <w:sz w:val="22"/>
          <w:szCs w:val="22"/>
          <w:lang w:val="hr-HR" w:eastAsia="hr-HR"/>
        </w:rPr>
      </w:pPr>
    </w:p>
    <w:p w:rsidR="00EC2C41" w:rsidRPr="00CD3A2D" w:rsidRDefault="00EC2C41" w:rsidP="00144D98">
      <w:pPr>
        <w:ind w:right="27"/>
        <w:jc w:val="both"/>
        <w:rPr>
          <w:rFonts w:asciiTheme="minorHAnsi" w:hAnsiTheme="minorHAnsi" w:cs="Calibri"/>
          <w:sz w:val="22"/>
          <w:szCs w:val="22"/>
          <w:lang w:val="hr-HR" w:eastAsia="hr-HR"/>
        </w:rPr>
      </w:pPr>
      <w:r w:rsidRPr="00CD3A2D">
        <w:rPr>
          <w:rFonts w:asciiTheme="minorHAnsi" w:hAnsiTheme="minorHAnsi" w:cs="Calibri"/>
          <w:sz w:val="22"/>
          <w:szCs w:val="22"/>
          <w:lang w:val="hr-HR" w:eastAsia="hr-HR"/>
        </w:rPr>
        <w:t>Financijski izvještaji sastavljeni su p</w:t>
      </w:r>
      <w:r w:rsidR="000E7E7C">
        <w:rPr>
          <w:rFonts w:asciiTheme="minorHAnsi" w:hAnsiTheme="minorHAnsi" w:cs="Calibri"/>
          <w:sz w:val="22"/>
          <w:szCs w:val="22"/>
          <w:lang w:val="hr-HR" w:eastAsia="hr-HR"/>
        </w:rPr>
        <w:t>o načelu nastanka događaja kao i</w:t>
      </w:r>
      <w:r w:rsidRPr="00CD3A2D">
        <w:rPr>
          <w:rFonts w:asciiTheme="minorHAnsi" w:hAnsiTheme="minorHAnsi" w:cs="Calibri"/>
          <w:sz w:val="22"/>
          <w:szCs w:val="22"/>
          <w:lang w:val="hr-HR" w:eastAsia="hr-HR"/>
        </w:rPr>
        <w:t xml:space="preserve"> pod pretpostavkom vremenske neograničenosti poslovanja.</w:t>
      </w:r>
    </w:p>
    <w:p w:rsidR="00EC2C41" w:rsidRPr="00CD3A2D" w:rsidRDefault="00EC2C41" w:rsidP="00144D98">
      <w:pPr>
        <w:ind w:right="27"/>
        <w:jc w:val="both"/>
        <w:rPr>
          <w:rFonts w:asciiTheme="minorHAnsi" w:hAnsiTheme="minorHAnsi" w:cs="Calibri"/>
          <w:sz w:val="22"/>
          <w:szCs w:val="22"/>
          <w:lang w:val="hr-HR" w:eastAsia="hr-HR"/>
        </w:rPr>
      </w:pP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2.3. Funkcijska i prezentacijska valuta</w:t>
      </w: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p>
    <w:p w:rsidR="00B57EE7" w:rsidRPr="001567C8" w:rsidRDefault="00B57EE7" w:rsidP="003C6BA3">
      <w:pPr>
        <w:pStyle w:val="ListParagraph"/>
        <w:ind w:left="0"/>
        <w:jc w:val="both"/>
        <w:rPr>
          <w:rFonts w:asciiTheme="minorHAnsi" w:hAnsiTheme="minorHAnsi" w:cs="Arial"/>
          <w:b/>
          <w:sz w:val="22"/>
          <w:szCs w:val="22"/>
          <w:lang w:val="hr-HR"/>
        </w:rPr>
      </w:pPr>
      <w:r w:rsidRPr="00CD3A2D">
        <w:rPr>
          <w:rFonts w:asciiTheme="minorHAnsi" w:hAnsiTheme="minorHAnsi" w:cstheme="minorHAnsi"/>
          <w:sz w:val="22"/>
          <w:szCs w:val="22"/>
          <w:lang w:val="hr-HR" w:eastAsia="hr-HR"/>
        </w:rPr>
        <w:t xml:space="preserve">Ovi financijski izvještaji Banke i Grupe </w:t>
      </w:r>
      <w:r w:rsidR="00D2115F" w:rsidRPr="00CD3A2D">
        <w:rPr>
          <w:rFonts w:asciiTheme="minorHAnsi" w:hAnsiTheme="minorHAnsi" w:cstheme="minorHAnsi"/>
          <w:sz w:val="22"/>
          <w:szCs w:val="22"/>
          <w:lang w:val="hr-HR" w:eastAsia="hr-HR"/>
        </w:rPr>
        <w:t xml:space="preserve">iskazani </w:t>
      </w:r>
      <w:r w:rsidRPr="00CD3A2D">
        <w:rPr>
          <w:rFonts w:asciiTheme="minorHAnsi" w:hAnsiTheme="minorHAnsi" w:cstheme="minorHAnsi"/>
          <w:sz w:val="22"/>
          <w:szCs w:val="22"/>
          <w:lang w:val="hr-HR" w:eastAsia="hr-HR"/>
        </w:rPr>
        <w:t>su u hrvatskim kunama (</w:t>
      </w:r>
      <w:r w:rsidR="00D2115F" w:rsidRPr="00CD3A2D">
        <w:rPr>
          <w:rFonts w:asciiTheme="minorHAnsi" w:hAnsiTheme="minorHAnsi" w:cstheme="minorHAnsi"/>
          <w:sz w:val="22"/>
          <w:szCs w:val="22"/>
          <w:lang w:val="hr-HR" w:eastAsia="hr-HR"/>
        </w:rPr>
        <w:t>“kn”</w:t>
      </w:r>
      <w:r w:rsidRPr="00CD3A2D">
        <w:rPr>
          <w:rFonts w:asciiTheme="minorHAnsi" w:hAnsiTheme="minorHAnsi" w:cstheme="minorHAnsi"/>
          <w:sz w:val="22"/>
          <w:szCs w:val="22"/>
          <w:lang w:val="hr-HR" w:eastAsia="hr-HR"/>
        </w:rPr>
        <w:t xml:space="preserve">), što je funkcionalna valuta Banke. </w:t>
      </w:r>
      <w:r w:rsidRPr="001567C8">
        <w:rPr>
          <w:rFonts w:asciiTheme="minorHAnsi" w:hAnsiTheme="minorHAnsi" w:cs="Arial"/>
          <w:sz w:val="22"/>
          <w:szCs w:val="22"/>
          <w:lang w:val="hr-HR"/>
        </w:rPr>
        <w:t xml:space="preserve">Iznosi su zaokruženi na najbližu tisuću, osim ako nije drugačije navedeno. </w:t>
      </w:r>
    </w:p>
    <w:p w:rsidR="00144D98" w:rsidRPr="00CD3A2D" w:rsidRDefault="00144D98" w:rsidP="00144D98">
      <w:pPr>
        <w:rPr>
          <w:rFonts w:asciiTheme="minorHAnsi" w:hAnsiTheme="minorHAnsi" w:cs="Arial"/>
          <w:sz w:val="22"/>
          <w:szCs w:val="22"/>
          <w:lang w:val="hr-HR" w:eastAsia="hr-HR"/>
        </w:rPr>
      </w:pP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3. Korištenje prosudbi i procjena</w:t>
      </w:r>
    </w:p>
    <w:p w:rsidR="00015326" w:rsidRPr="00CD3A2D" w:rsidRDefault="00015326"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Pri </w:t>
      </w:r>
      <w:r w:rsidR="00D2115F" w:rsidRPr="00CD3A2D">
        <w:rPr>
          <w:rFonts w:asciiTheme="minorHAnsi" w:hAnsiTheme="minorHAnsi" w:cstheme="minorHAnsi"/>
          <w:sz w:val="22"/>
          <w:szCs w:val="22"/>
          <w:lang w:val="hr-HR" w:eastAsia="hr-HR"/>
        </w:rPr>
        <w:t>pripremi</w:t>
      </w:r>
      <w:r w:rsidRPr="00CD3A2D">
        <w:rPr>
          <w:rFonts w:asciiTheme="minorHAnsi" w:hAnsiTheme="minorHAnsi" w:cstheme="minorHAnsi"/>
          <w:sz w:val="22"/>
          <w:szCs w:val="22"/>
          <w:lang w:val="hr-HR" w:eastAsia="hr-HR"/>
        </w:rPr>
        <w:t xml:space="preserve"> ovih konsolidiranih financijskih izvještaja, Uprava je </w:t>
      </w:r>
      <w:r w:rsidR="00D2115F" w:rsidRPr="00CD3A2D">
        <w:rPr>
          <w:rFonts w:asciiTheme="minorHAnsi" w:hAnsiTheme="minorHAnsi" w:cstheme="minorHAnsi"/>
          <w:sz w:val="22"/>
          <w:szCs w:val="22"/>
          <w:lang w:val="hr-HR" w:eastAsia="hr-HR"/>
        </w:rPr>
        <w:t>donijela</w:t>
      </w:r>
      <w:r w:rsidRPr="00CD3A2D">
        <w:rPr>
          <w:rFonts w:asciiTheme="minorHAnsi" w:hAnsiTheme="minorHAnsi" w:cstheme="minorHAnsi"/>
          <w:sz w:val="22"/>
          <w:szCs w:val="22"/>
          <w:lang w:val="hr-HR" w:eastAsia="hr-HR"/>
        </w:rPr>
        <w:t xml:space="preserve"> prosudbe, procjene i pretpostavke koje utječu na primjenu računovodstvenih politika Grupe </w:t>
      </w:r>
      <w:r w:rsidR="00D2115F" w:rsidRPr="00CD3A2D">
        <w:rPr>
          <w:rFonts w:asciiTheme="minorHAnsi" w:hAnsiTheme="minorHAnsi" w:cstheme="minorHAnsi"/>
          <w:sz w:val="22"/>
          <w:szCs w:val="22"/>
          <w:lang w:val="hr-HR" w:eastAsia="hr-HR"/>
        </w:rPr>
        <w:t>i</w:t>
      </w:r>
      <w:r w:rsidRPr="00CD3A2D">
        <w:rPr>
          <w:rFonts w:asciiTheme="minorHAnsi" w:hAnsiTheme="minorHAnsi" w:cstheme="minorHAnsi"/>
          <w:sz w:val="22"/>
          <w:szCs w:val="22"/>
          <w:lang w:val="hr-HR" w:eastAsia="hr-HR"/>
        </w:rPr>
        <w:t xml:space="preserve"> na iskazane iznose imovine, obveza, prihoda i rashoda. Stvarni rezultati mogu se razlikovati od tih procjena.</w:t>
      </w:r>
    </w:p>
    <w:p w:rsidR="00B57EE7" w:rsidRPr="00CD3A2D" w:rsidRDefault="00B57EE7" w:rsidP="00B57EE7">
      <w:pPr>
        <w:pStyle w:val="ListParagraph"/>
        <w:ind w:left="0"/>
        <w:jc w:val="both"/>
        <w:rPr>
          <w:rFonts w:asciiTheme="minorHAnsi" w:hAnsiTheme="minorHAnsi" w:cstheme="minorHAnsi"/>
          <w:sz w:val="22"/>
          <w:szCs w:val="22"/>
          <w:lang w:val="hr-HR" w:eastAsia="hr-HR"/>
        </w:rPr>
      </w:pPr>
    </w:p>
    <w:p w:rsidR="00B57EE7" w:rsidRPr="00CD3A2D" w:rsidRDefault="00B57EE7" w:rsidP="00B57EE7">
      <w:pPr>
        <w:pStyle w:val="ListParagraph"/>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Procjene i temeljne pretpostavke kontinuirano se pr</w:t>
      </w:r>
      <w:r w:rsidR="00D2115F" w:rsidRPr="00CD3A2D">
        <w:rPr>
          <w:rFonts w:asciiTheme="minorHAnsi" w:hAnsiTheme="minorHAnsi" w:cstheme="minorHAnsi"/>
          <w:sz w:val="22"/>
          <w:szCs w:val="22"/>
          <w:lang w:val="hr-HR" w:eastAsia="hr-HR"/>
        </w:rPr>
        <w:t>eispituju</w:t>
      </w:r>
      <w:r w:rsidRPr="00CD3A2D">
        <w:rPr>
          <w:rFonts w:asciiTheme="minorHAnsi" w:hAnsiTheme="minorHAnsi" w:cstheme="minorHAnsi"/>
          <w:sz w:val="22"/>
          <w:szCs w:val="22"/>
          <w:lang w:val="hr-HR" w:eastAsia="hr-HR"/>
        </w:rPr>
        <w:t xml:space="preserve">. </w:t>
      </w:r>
      <w:r w:rsidR="00D2115F" w:rsidRPr="00CD3A2D">
        <w:rPr>
          <w:rFonts w:asciiTheme="minorHAnsi" w:hAnsiTheme="minorHAnsi" w:cstheme="minorHAnsi"/>
          <w:sz w:val="22"/>
          <w:szCs w:val="22"/>
          <w:lang w:val="hr-HR" w:eastAsia="hr-HR"/>
        </w:rPr>
        <w:t>Promjene</w:t>
      </w:r>
      <w:r w:rsidRPr="00CD3A2D">
        <w:rPr>
          <w:rFonts w:asciiTheme="minorHAnsi" w:hAnsiTheme="minorHAnsi" w:cstheme="minorHAnsi"/>
          <w:sz w:val="22"/>
          <w:szCs w:val="22"/>
          <w:lang w:val="hr-HR" w:eastAsia="hr-HR"/>
        </w:rPr>
        <w:t xml:space="preserve"> procjena priznaju se prospektivno.</w:t>
      </w: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Prosudbe</w:t>
      </w: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Primjenjivo samo za 2018 .:</w:t>
      </w: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 klasifikacija financijske imovine: procjena poslovnog modela u kojem se </w:t>
      </w:r>
      <w:r w:rsidR="00820AFB" w:rsidRPr="00CD3A2D">
        <w:rPr>
          <w:rFonts w:asciiTheme="minorHAnsi" w:hAnsiTheme="minorHAnsi" w:cstheme="minorHAnsi"/>
          <w:sz w:val="22"/>
          <w:szCs w:val="22"/>
          <w:lang w:val="hr-HR" w:eastAsia="hr-HR"/>
        </w:rPr>
        <w:t xml:space="preserve">drži </w:t>
      </w:r>
      <w:r w:rsidRPr="00CD3A2D">
        <w:rPr>
          <w:rFonts w:asciiTheme="minorHAnsi" w:hAnsiTheme="minorHAnsi" w:cstheme="minorHAnsi"/>
          <w:sz w:val="22"/>
          <w:szCs w:val="22"/>
          <w:lang w:val="hr-HR" w:eastAsia="hr-HR"/>
        </w:rPr>
        <w:t>imovina i procjena da li ugovorni uvjeti financijske imovine prolaze SPPI test na preostali iznos glavnice (bilješka 4.2.G</w:t>
      </w:r>
      <w:r w:rsidR="00EB5BBC" w:rsidRPr="00CD3A2D">
        <w:rPr>
          <w:rFonts w:asciiTheme="minorHAnsi" w:hAnsiTheme="minorHAnsi" w:cstheme="minorHAnsi"/>
          <w:sz w:val="22"/>
          <w:szCs w:val="22"/>
          <w:lang w:val="hr-HR" w:eastAsia="hr-HR"/>
        </w:rPr>
        <w:t>.</w:t>
      </w:r>
      <w:r w:rsidRPr="00CD3A2D">
        <w:rPr>
          <w:rFonts w:asciiTheme="minorHAnsi" w:hAnsiTheme="minorHAnsi" w:cstheme="minorHAnsi"/>
          <w:sz w:val="22"/>
          <w:szCs w:val="22"/>
          <w:lang w:val="hr-HR" w:eastAsia="hr-HR"/>
        </w:rPr>
        <w:t>ii</w:t>
      </w:r>
      <w:r w:rsidR="00EB5BBC" w:rsidRPr="00CD3A2D">
        <w:rPr>
          <w:rFonts w:asciiTheme="minorHAnsi" w:hAnsiTheme="minorHAnsi" w:cstheme="minorHAnsi"/>
          <w:sz w:val="22"/>
          <w:szCs w:val="22"/>
          <w:lang w:val="hr-HR" w:eastAsia="hr-HR"/>
        </w:rPr>
        <w:t>.</w:t>
      </w:r>
      <w:r w:rsidRPr="00CD3A2D">
        <w:rPr>
          <w:rFonts w:asciiTheme="minorHAnsi" w:hAnsiTheme="minorHAnsi" w:cstheme="minorHAnsi"/>
          <w:sz w:val="22"/>
          <w:szCs w:val="22"/>
          <w:lang w:val="hr-HR" w:eastAsia="hr-HR"/>
        </w:rPr>
        <w:t>).</w:t>
      </w:r>
    </w:p>
    <w:p w:rsidR="00B57EE7" w:rsidRPr="00CD3A2D" w:rsidRDefault="00B57EE7" w:rsidP="00B57EE7">
      <w:pPr>
        <w:pStyle w:val="ListParagraph"/>
        <w:ind w:left="567"/>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 u</w:t>
      </w:r>
      <w:r w:rsidR="00820AFB" w:rsidRPr="00CD3A2D">
        <w:rPr>
          <w:rFonts w:asciiTheme="minorHAnsi" w:hAnsiTheme="minorHAnsi" w:cstheme="minorHAnsi"/>
          <w:sz w:val="22"/>
          <w:szCs w:val="22"/>
          <w:lang w:val="hr-HR" w:eastAsia="hr-HR"/>
        </w:rPr>
        <w:t>tvrđivanje</w:t>
      </w:r>
      <w:r w:rsidRPr="00CD3A2D">
        <w:rPr>
          <w:rFonts w:asciiTheme="minorHAnsi" w:hAnsiTheme="minorHAnsi" w:cstheme="minorHAnsi"/>
          <w:sz w:val="22"/>
          <w:szCs w:val="22"/>
          <w:lang w:val="hr-HR" w:eastAsia="hr-HR"/>
        </w:rPr>
        <w:t xml:space="preserve"> kriterija za </w:t>
      </w:r>
      <w:r w:rsidR="00820AFB" w:rsidRPr="00CD3A2D">
        <w:rPr>
          <w:rFonts w:asciiTheme="minorHAnsi" w:hAnsiTheme="minorHAnsi" w:cstheme="minorHAnsi"/>
          <w:sz w:val="22"/>
          <w:szCs w:val="22"/>
          <w:lang w:val="hr-HR" w:eastAsia="hr-HR"/>
        </w:rPr>
        <w:t>određivanje</w:t>
      </w:r>
      <w:r w:rsidR="00236962" w:rsidRPr="00CD3A2D">
        <w:rPr>
          <w:rFonts w:asciiTheme="minorHAnsi" w:hAnsiTheme="minorHAnsi" w:cstheme="minorHAnsi"/>
          <w:sz w:val="22"/>
          <w:szCs w:val="22"/>
          <w:lang w:val="hr-HR" w:eastAsia="hr-HR"/>
        </w:rPr>
        <w:t xml:space="preserve"> je</w:t>
      </w:r>
      <w:r w:rsidR="00820AFB" w:rsidRPr="00CD3A2D">
        <w:rPr>
          <w:rFonts w:asciiTheme="minorHAnsi" w:hAnsiTheme="minorHAnsi" w:cstheme="minorHAnsi"/>
          <w:sz w:val="22"/>
          <w:szCs w:val="22"/>
          <w:lang w:val="hr-HR" w:eastAsia="hr-HR"/>
        </w:rPr>
        <w:t xml:space="preserve"> li</w:t>
      </w:r>
      <w:r w:rsidRPr="00CD3A2D">
        <w:rPr>
          <w:rFonts w:asciiTheme="minorHAnsi" w:hAnsiTheme="minorHAnsi" w:cstheme="minorHAnsi"/>
          <w:sz w:val="22"/>
          <w:szCs w:val="22"/>
          <w:lang w:val="hr-HR" w:eastAsia="hr-HR"/>
        </w:rPr>
        <w:t xml:space="preserve"> kreditni rizik financijsk</w:t>
      </w:r>
      <w:r w:rsidR="00236962" w:rsidRPr="00CD3A2D">
        <w:rPr>
          <w:rFonts w:asciiTheme="minorHAnsi" w:hAnsiTheme="minorHAnsi" w:cstheme="minorHAnsi"/>
          <w:sz w:val="22"/>
          <w:szCs w:val="22"/>
          <w:lang w:val="hr-HR" w:eastAsia="hr-HR"/>
        </w:rPr>
        <w:t>e</w:t>
      </w:r>
      <w:r w:rsidRPr="00CD3A2D">
        <w:rPr>
          <w:rFonts w:asciiTheme="minorHAnsi" w:hAnsiTheme="minorHAnsi" w:cstheme="minorHAnsi"/>
          <w:sz w:val="22"/>
          <w:szCs w:val="22"/>
          <w:lang w:val="hr-HR" w:eastAsia="hr-HR"/>
        </w:rPr>
        <w:t xml:space="preserve"> imovin</w:t>
      </w:r>
      <w:r w:rsidR="00236962" w:rsidRPr="00CD3A2D">
        <w:rPr>
          <w:rFonts w:asciiTheme="minorHAnsi" w:hAnsiTheme="minorHAnsi" w:cstheme="minorHAnsi"/>
          <w:sz w:val="22"/>
          <w:szCs w:val="22"/>
          <w:lang w:val="hr-HR" w:eastAsia="hr-HR"/>
        </w:rPr>
        <w:t>e</w:t>
      </w:r>
      <w:r w:rsidRPr="00CD3A2D">
        <w:rPr>
          <w:rFonts w:asciiTheme="minorHAnsi" w:hAnsiTheme="minorHAnsi" w:cstheme="minorHAnsi"/>
          <w:sz w:val="22"/>
          <w:szCs w:val="22"/>
          <w:lang w:val="hr-HR" w:eastAsia="hr-HR"/>
        </w:rPr>
        <w:t xml:space="preserve"> značajno povećan od početnog priznavanja, </w:t>
      </w:r>
      <w:r w:rsidR="00820AFB" w:rsidRPr="00CD3A2D">
        <w:rPr>
          <w:rFonts w:asciiTheme="minorHAnsi" w:hAnsiTheme="minorHAnsi" w:cstheme="minorHAnsi"/>
          <w:sz w:val="22"/>
          <w:szCs w:val="22"/>
          <w:lang w:val="hr-HR" w:eastAsia="hr-HR"/>
        </w:rPr>
        <w:t>određivanje</w:t>
      </w:r>
      <w:r w:rsidRPr="00CD3A2D">
        <w:rPr>
          <w:rFonts w:asciiTheme="minorHAnsi" w:hAnsiTheme="minorHAnsi" w:cstheme="minorHAnsi"/>
          <w:sz w:val="22"/>
          <w:szCs w:val="22"/>
          <w:lang w:val="hr-HR" w:eastAsia="hr-HR"/>
        </w:rPr>
        <w:t xml:space="preserve"> metodologije za uključivanje informacija koje se odnose na budućnost u mjerenj</w:t>
      </w:r>
      <w:r w:rsidR="003909F4" w:rsidRPr="00CD3A2D">
        <w:rPr>
          <w:rFonts w:asciiTheme="minorHAnsi" w:hAnsiTheme="minorHAnsi" w:cstheme="minorHAnsi"/>
          <w:sz w:val="22"/>
          <w:szCs w:val="22"/>
          <w:lang w:val="hr-HR" w:eastAsia="hr-HR"/>
        </w:rPr>
        <w:t>e</w:t>
      </w:r>
      <w:r w:rsidRPr="00CD3A2D">
        <w:rPr>
          <w:rFonts w:asciiTheme="minorHAnsi" w:hAnsiTheme="minorHAnsi" w:cstheme="minorHAnsi"/>
          <w:sz w:val="22"/>
          <w:szCs w:val="22"/>
          <w:lang w:val="hr-HR" w:eastAsia="hr-HR"/>
        </w:rPr>
        <w:t xml:space="preserve"> </w:t>
      </w:r>
      <w:r w:rsidR="003909F4" w:rsidRPr="00CD3A2D">
        <w:rPr>
          <w:rFonts w:asciiTheme="minorHAnsi" w:hAnsiTheme="minorHAnsi" w:cstheme="minorHAnsi"/>
          <w:sz w:val="22"/>
          <w:szCs w:val="22"/>
          <w:lang w:val="hr-HR" w:eastAsia="hr-HR"/>
        </w:rPr>
        <w:t>očekivanih kreditnih gubitaka</w:t>
      </w:r>
      <w:r w:rsidRPr="00CD3A2D">
        <w:rPr>
          <w:rFonts w:asciiTheme="minorHAnsi" w:hAnsiTheme="minorHAnsi" w:cstheme="minorHAnsi"/>
          <w:sz w:val="22"/>
          <w:szCs w:val="22"/>
          <w:lang w:val="hr-HR" w:eastAsia="hr-HR"/>
        </w:rPr>
        <w:t xml:space="preserve"> te odabir i odobrenje modela za mjerenje </w:t>
      </w:r>
      <w:r w:rsidR="003909F4" w:rsidRPr="00CD3A2D">
        <w:rPr>
          <w:rFonts w:asciiTheme="minorHAnsi" w:hAnsiTheme="minorHAnsi" w:cstheme="minorHAnsi"/>
          <w:sz w:val="22"/>
          <w:szCs w:val="22"/>
          <w:lang w:val="hr-HR" w:eastAsia="hr-HR"/>
        </w:rPr>
        <w:t>očekivanih kreditnih gubitaka</w:t>
      </w:r>
      <w:r w:rsidRPr="00CD3A2D">
        <w:rPr>
          <w:rFonts w:asciiTheme="minorHAnsi" w:hAnsiTheme="minorHAnsi" w:cstheme="minorHAnsi"/>
          <w:sz w:val="22"/>
          <w:szCs w:val="22"/>
          <w:lang w:val="hr-HR" w:eastAsia="hr-HR"/>
        </w:rPr>
        <w:t>.</w:t>
      </w:r>
    </w:p>
    <w:p w:rsidR="00B57EE7" w:rsidRPr="00CD3A2D"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p>
    <w:p w:rsidR="00B57EE7" w:rsidRPr="00CD3A2D" w:rsidRDefault="0071184D"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sz w:val="22"/>
          <w:szCs w:val="22"/>
          <w:lang w:val="hr-HR" w:eastAsia="hr-HR"/>
        </w:rPr>
      </w:pPr>
      <w:r>
        <w:rPr>
          <w:rFonts w:asciiTheme="minorHAnsi" w:hAnsiTheme="minorHAnsi" w:cstheme="minorHAnsi"/>
          <w:sz w:val="22"/>
          <w:szCs w:val="22"/>
          <w:lang w:val="hr-HR" w:eastAsia="hr-HR"/>
        </w:rPr>
        <w:t>Primjenjivo za 2018. i 2017</w:t>
      </w:r>
      <w:r w:rsidR="00B57EE7" w:rsidRPr="00CD3A2D">
        <w:rPr>
          <w:rFonts w:asciiTheme="minorHAnsi" w:hAnsiTheme="minorHAnsi" w:cstheme="minorHAnsi"/>
          <w:sz w:val="22"/>
          <w:szCs w:val="22"/>
          <w:lang w:val="hr-HR" w:eastAsia="hr-HR"/>
        </w:rPr>
        <w:t>.:</w:t>
      </w:r>
    </w:p>
    <w:p w:rsidR="00B57EE7" w:rsidRPr="00CD3A2D" w:rsidRDefault="00B57EE7" w:rsidP="00B57EE7">
      <w:pPr>
        <w:pStyle w:val="ListParagraph"/>
        <w:jc w:val="both"/>
        <w:rPr>
          <w:rFonts w:asciiTheme="minorHAnsi" w:eastAsia="Calibri" w:hAnsiTheme="minorHAnsi" w:cstheme="minorHAnsi"/>
          <w:sz w:val="22"/>
          <w:szCs w:val="22"/>
          <w:lang w:val="hr-HR"/>
        </w:rPr>
      </w:pPr>
      <w:r w:rsidRPr="00CD3A2D">
        <w:rPr>
          <w:rFonts w:asciiTheme="minorHAnsi" w:hAnsiTheme="minorHAnsi" w:cstheme="minorHAnsi"/>
          <w:sz w:val="22"/>
          <w:szCs w:val="22"/>
          <w:lang w:val="hr-HR" w:eastAsia="hr-HR"/>
        </w:rPr>
        <w:t xml:space="preserve">• utvrđivanje kontrole nad </w:t>
      </w:r>
      <w:r w:rsidR="00CF02A5" w:rsidRPr="00CD3A2D">
        <w:rPr>
          <w:rFonts w:asciiTheme="minorHAnsi" w:hAnsiTheme="minorHAnsi" w:cstheme="minorHAnsi"/>
          <w:sz w:val="22"/>
          <w:szCs w:val="22"/>
          <w:lang w:val="hr-HR" w:eastAsia="hr-HR"/>
        </w:rPr>
        <w:t>društvima u koje se ulaže</w:t>
      </w:r>
      <w:r w:rsidRPr="00CD3A2D">
        <w:rPr>
          <w:rFonts w:asciiTheme="minorHAnsi" w:hAnsiTheme="minorHAnsi" w:cstheme="minorHAnsi"/>
          <w:sz w:val="22"/>
          <w:szCs w:val="22"/>
          <w:lang w:val="hr-HR" w:eastAsia="hr-HR"/>
        </w:rPr>
        <w:t xml:space="preserve"> (bilješka 4.2.A).</w:t>
      </w:r>
    </w:p>
    <w:p w:rsidR="005857BE" w:rsidRPr="00CD3A2D" w:rsidRDefault="005857BE" w:rsidP="00144D98">
      <w:pPr>
        <w:rPr>
          <w:rFonts w:cs="Arial"/>
          <w:b/>
          <w:bCs/>
          <w:lang w:val="hr-HR"/>
        </w:rPr>
        <w:sectPr w:rsidR="005857BE" w:rsidRPr="00CD3A2D" w:rsidSect="000D6913">
          <w:pgSz w:w="11907" w:h="16840" w:code="9"/>
          <w:pgMar w:top="1418" w:right="992" w:bottom="1134" w:left="1418" w:header="851" w:footer="851" w:gutter="0"/>
          <w:cols w:space="720"/>
          <w:noEndnote/>
        </w:sectPr>
      </w:pPr>
    </w:p>
    <w:p w:rsidR="00884BFA" w:rsidRPr="00CD3A2D" w:rsidRDefault="00884BFA" w:rsidP="00884B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p>
    <w:p w:rsidR="00884BFA" w:rsidRPr="00CD3A2D" w:rsidRDefault="00884BFA" w:rsidP="00884B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3. Korištenje prosudbi i procjena (nastavak)</w:t>
      </w:r>
    </w:p>
    <w:p w:rsidR="006D2C18" w:rsidRPr="001567C8" w:rsidRDefault="006D2C18" w:rsidP="00B861E2">
      <w:pPr>
        <w:pStyle w:val="T1"/>
        <w:tabs>
          <w:tab w:val="left" w:pos="567"/>
        </w:tabs>
        <w:spacing w:before="0" w:after="0" w:line="240" w:lineRule="auto"/>
        <w:rPr>
          <w:rFonts w:asciiTheme="minorHAnsi" w:hAnsiTheme="minorHAnsi" w:cs="Arial"/>
          <w:sz w:val="22"/>
          <w:szCs w:val="22"/>
          <w:lang w:val="hr-HR"/>
        </w:rPr>
      </w:pP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Pretpostavke i neizvjesnosti procjene</w:t>
      </w: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Informacije o pretpostavkama i </w:t>
      </w:r>
      <w:r w:rsidR="003909F4" w:rsidRPr="00CD3A2D">
        <w:rPr>
          <w:rFonts w:asciiTheme="minorHAnsi" w:hAnsiTheme="minorHAnsi" w:cstheme="minorHAnsi"/>
          <w:sz w:val="22"/>
          <w:szCs w:val="22"/>
          <w:lang w:val="hr-HR" w:eastAsia="hr-HR"/>
        </w:rPr>
        <w:t>neizvjesnosti procjena</w:t>
      </w:r>
      <w:r w:rsidRPr="00CD3A2D">
        <w:rPr>
          <w:rFonts w:asciiTheme="minorHAnsi" w:hAnsiTheme="minorHAnsi" w:cstheme="minorHAnsi"/>
          <w:sz w:val="22"/>
          <w:szCs w:val="22"/>
          <w:lang w:val="hr-HR" w:eastAsia="hr-HR"/>
        </w:rPr>
        <w:t xml:space="preserve"> koje imaju značajan rizik da će rezultirati </w:t>
      </w:r>
      <w:r w:rsidR="003909F4" w:rsidRPr="00CD3A2D">
        <w:rPr>
          <w:rFonts w:asciiTheme="minorHAnsi" w:hAnsiTheme="minorHAnsi" w:cstheme="minorHAnsi"/>
          <w:sz w:val="22"/>
          <w:szCs w:val="22"/>
          <w:lang w:val="hr-HR" w:eastAsia="hr-HR"/>
        </w:rPr>
        <w:t>značajnim</w:t>
      </w:r>
      <w:r w:rsidRPr="00CD3A2D">
        <w:rPr>
          <w:rFonts w:asciiTheme="minorHAnsi" w:hAnsiTheme="minorHAnsi" w:cstheme="minorHAnsi"/>
          <w:sz w:val="22"/>
          <w:szCs w:val="22"/>
          <w:lang w:val="hr-HR" w:eastAsia="hr-HR"/>
        </w:rPr>
        <w:t xml:space="preserve"> usklađivanjem u godini koja je završila 31. prosinca 2018. godine nalaze se u sljedećim bilješkama.</w:t>
      </w: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Primjenjivo samo za 2018 .</w:t>
      </w:r>
      <w:r w:rsidR="003909F4" w:rsidRPr="00CD3A2D">
        <w:rPr>
          <w:rFonts w:asciiTheme="minorHAnsi" w:hAnsiTheme="minorHAnsi" w:cstheme="minorHAnsi"/>
          <w:sz w:val="22"/>
          <w:szCs w:val="22"/>
          <w:lang w:val="hr-HR" w:eastAsia="hr-HR"/>
        </w:rPr>
        <w:t xml:space="preserve"> godinu</w:t>
      </w:r>
      <w:r w:rsidRPr="00CD3A2D">
        <w:rPr>
          <w:rFonts w:asciiTheme="minorHAnsi" w:hAnsiTheme="minorHAnsi" w:cstheme="minorHAnsi"/>
          <w:sz w:val="22"/>
          <w:szCs w:val="22"/>
          <w:lang w:val="hr-HR" w:eastAsia="hr-HR"/>
        </w:rPr>
        <w:t>:</w:t>
      </w: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 umanjenje vrijednosti financijskih instrumenata: </w:t>
      </w:r>
      <w:r w:rsidR="003909F4" w:rsidRPr="00CD3A2D">
        <w:rPr>
          <w:rFonts w:asciiTheme="minorHAnsi" w:hAnsiTheme="minorHAnsi" w:cstheme="minorHAnsi"/>
          <w:sz w:val="22"/>
          <w:szCs w:val="22"/>
          <w:lang w:val="hr-HR" w:eastAsia="hr-HR"/>
        </w:rPr>
        <w:t>utvrđivanje</w:t>
      </w:r>
      <w:r w:rsidRPr="00CD3A2D">
        <w:rPr>
          <w:rFonts w:asciiTheme="minorHAnsi" w:hAnsiTheme="minorHAnsi" w:cstheme="minorHAnsi"/>
          <w:sz w:val="22"/>
          <w:szCs w:val="22"/>
          <w:lang w:val="hr-HR" w:eastAsia="hr-HR"/>
        </w:rPr>
        <w:t xml:space="preserve"> ulaznih podataka u model mjerenja </w:t>
      </w:r>
      <w:r w:rsidR="003909F4" w:rsidRPr="00CD3A2D">
        <w:rPr>
          <w:rFonts w:asciiTheme="minorHAnsi" w:hAnsiTheme="minorHAnsi" w:cstheme="minorHAnsi"/>
          <w:sz w:val="22"/>
          <w:szCs w:val="22"/>
          <w:lang w:val="hr-HR" w:eastAsia="hr-HR"/>
        </w:rPr>
        <w:t>očekivanih kreditnih gubitaka</w:t>
      </w:r>
      <w:r w:rsidRPr="00CD3A2D">
        <w:rPr>
          <w:rFonts w:asciiTheme="minorHAnsi" w:hAnsiTheme="minorHAnsi" w:cstheme="minorHAnsi"/>
          <w:sz w:val="22"/>
          <w:szCs w:val="22"/>
          <w:lang w:val="hr-HR" w:eastAsia="hr-HR"/>
        </w:rPr>
        <w:t>, uključ</w:t>
      </w:r>
      <w:r w:rsidR="00ED3DCB" w:rsidRPr="00CD3A2D">
        <w:rPr>
          <w:rFonts w:asciiTheme="minorHAnsi" w:hAnsiTheme="minorHAnsi" w:cstheme="minorHAnsi"/>
          <w:sz w:val="22"/>
          <w:szCs w:val="22"/>
          <w:lang w:val="hr-HR" w:eastAsia="hr-HR"/>
        </w:rPr>
        <w:t>ivanje</w:t>
      </w:r>
      <w:r w:rsidRPr="00CD3A2D">
        <w:rPr>
          <w:rFonts w:asciiTheme="minorHAnsi" w:hAnsiTheme="minorHAnsi" w:cstheme="minorHAnsi"/>
          <w:sz w:val="22"/>
          <w:szCs w:val="22"/>
          <w:lang w:val="hr-HR" w:eastAsia="hr-HR"/>
        </w:rPr>
        <w:t xml:space="preserve"> informacij</w:t>
      </w:r>
      <w:r w:rsidR="00ED3DCB"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 xml:space="preserve"> koje se odnose na budućnost (bilješka 4.2.G</w:t>
      </w:r>
      <w:r w:rsidR="00ED3DCB" w:rsidRPr="00CD3A2D">
        <w:rPr>
          <w:rFonts w:asciiTheme="minorHAnsi" w:hAnsiTheme="minorHAnsi" w:cstheme="minorHAnsi"/>
          <w:sz w:val="22"/>
          <w:szCs w:val="22"/>
          <w:lang w:val="hr-HR" w:eastAsia="hr-HR"/>
        </w:rPr>
        <w:t>.</w:t>
      </w:r>
      <w:r w:rsidRPr="00CD3A2D">
        <w:rPr>
          <w:rFonts w:asciiTheme="minorHAnsi" w:hAnsiTheme="minorHAnsi" w:cstheme="minorHAnsi"/>
          <w:sz w:val="22"/>
          <w:szCs w:val="22"/>
          <w:lang w:val="hr-HR" w:eastAsia="hr-HR"/>
        </w:rPr>
        <w:t>ix</w:t>
      </w:r>
      <w:r w:rsidR="00ED3DCB" w:rsidRPr="00CD3A2D">
        <w:rPr>
          <w:rFonts w:asciiTheme="minorHAnsi" w:hAnsiTheme="minorHAnsi" w:cstheme="minorHAnsi"/>
          <w:sz w:val="22"/>
          <w:szCs w:val="22"/>
          <w:lang w:val="hr-HR" w:eastAsia="hr-HR"/>
        </w:rPr>
        <w:t>.</w:t>
      </w:r>
      <w:r w:rsidRPr="00CD3A2D">
        <w:rPr>
          <w:rFonts w:asciiTheme="minorHAnsi" w:hAnsiTheme="minorHAnsi" w:cstheme="minorHAnsi"/>
          <w:sz w:val="22"/>
          <w:szCs w:val="22"/>
          <w:lang w:val="hr-HR" w:eastAsia="hr-HR"/>
        </w:rPr>
        <w:t>).</w:t>
      </w: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Primjenjivo za 2018. i 2017 .:</w:t>
      </w: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umanjenje vrijednosti financijskih instrumenata: ključne pretpostavke korištene u procjeni nadoknadivih novčanih tokova (bilješka 4.2.G</w:t>
      </w:r>
      <w:r w:rsidR="00C04E12" w:rsidRPr="00CD3A2D">
        <w:rPr>
          <w:rFonts w:asciiTheme="minorHAnsi" w:hAnsiTheme="minorHAnsi" w:cstheme="minorHAnsi"/>
          <w:sz w:val="22"/>
          <w:szCs w:val="22"/>
          <w:lang w:val="hr-HR" w:eastAsia="hr-HR"/>
        </w:rPr>
        <w:t>.</w:t>
      </w:r>
      <w:r w:rsidRPr="00CD3A2D">
        <w:rPr>
          <w:rFonts w:asciiTheme="minorHAnsi" w:hAnsiTheme="minorHAnsi" w:cstheme="minorHAnsi"/>
          <w:sz w:val="22"/>
          <w:szCs w:val="22"/>
          <w:lang w:val="hr-HR" w:eastAsia="hr-HR"/>
        </w:rPr>
        <w:t>ix</w:t>
      </w:r>
      <w:r w:rsidR="00C04E12" w:rsidRPr="00CD3A2D">
        <w:rPr>
          <w:rFonts w:asciiTheme="minorHAnsi" w:hAnsiTheme="minorHAnsi" w:cstheme="minorHAnsi"/>
          <w:sz w:val="22"/>
          <w:szCs w:val="22"/>
          <w:lang w:val="hr-HR" w:eastAsia="hr-HR"/>
        </w:rPr>
        <w:t>.</w:t>
      </w:r>
      <w:r w:rsidRPr="00CD3A2D">
        <w:rPr>
          <w:rFonts w:asciiTheme="minorHAnsi" w:hAnsiTheme="minorHAnsi" w:cstheme="minorHAnsi"/>
          <w:sz w:val="22"/>
          <w:szCs w:val="22"/>
          <w:lang w:val="hr-HR" w:eastAsia="hr-HR"/>
        </w:rPr>
        <w:t>).</w:t>
      </w:r>
    </w:p>
    <w:p w:rsidR="006D2C18" w:rsidRPr="00CD3A2D" w:rsidRDefault="006D2C18" w:rsidP="006D2C18">
      <w:pPr>
        <w:jc w:val="both"/>
        <w:rPr>
          <w:rFonts w:asciiTheme="minorHAnsi" w:eastAsia="Calibri" w:hAnsiTheme="minorHAnsi" w:cstheme="minorHAnsi"/>
          <w:sz w:val="22"/>
          <w:szCs w:val="22"/>
          <w:lang w:val="hr-HR"/>
        </w:rPr>
      </w:pPr>
      <w:r w:rsidRPr="00CD3A2D">
        <w:rPr>
          <w:rFonts w:asciiTheme="minorHAnsi" w:hAnsiTheme="minorHAnsi" w:cstheme="minorHAnsi"/>
          <w:sz w:val="22"/>
          <w:szCs w:val="22"/>
          <w:lang w:val="hr-HR" w:eastAsia="hr-HR"/>
        </w:rPr>
        <w:t>Značajne računovodstvene procjene i prosudbe koje se odnose na primjenu MSFI-ja 9 opisane su u bilješci (bilješka 4.2.G</w:t>
      </w:r>
      <w:r w:rsidR="00C04E12" w:rsidRPr="00CD3A2D">
        <w:rPr>
          <w:rFonts w:asciiTheme="minorHAnsi" w:hAnsiTheme="minorHAnsi" w:cstheme="minorHAnsi"/>
          <w:sz w:val="22"/>
          <w:szCs w:val="22"/>
          <w:lang w:val="hr-HR" w:eastAsia="hr-HR"/>
        </w:rPr>
        <w:t>.</w:t>
      </w:r>
      <w:r w:rsidRPr="00CD3A2D">
        <w:rPr>
          <w:rFonts w:asciiTheme="minorHAnsi" w:hAnsiTheme="minorHAnsi" w:cstheme="minorHAnsi"/>
          <w:sz w:val="22"/>
          <w:szCs w:val="22"/>
          <w:lang w:val="hr-HR" w:eastAsia="hr-HR"/>
        </w:rPr>
        <w:t>).</w:t>
      </w:r>
    </w:p>
    <w:p w:rsidR="006D2C18" w:rsidRPr="00CD3A2D" w:rsidRDefault="006D2C18" w:rsidP="006D2C18">
      <w:pPr>
        <w:jc w:val="both"/>
        <w:rPr>
          <w:rFonts w:eastAsia="Calibri" w:cstheme="minorHAnsi"/>
          <w:color w:val="0070C0"/>
          <w:lang w:val="hr-HR"/>
        </w:rPr>
      </w:pPr>
    </w:p>
    <w:p w:rsidR="001B7593" w:rsidRPr="00CD3A2D" w:rsidRDefault="001B7593"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w:t>
      </w:r>
    </w:p>
    <w:p w:rsidR="001B7593" w:rsidRPr="00CD3A2D" w:rsidRDefault="001B7593"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4.1. Izmjene računovodstvenih politika</w:t>
      </w:r>
    </w:p>
    <w:p w:rsidR="006D2C18" w:rsidRPr="001567C8" w:rsidRDefault="006D2C18" w:rsidP="00B861E2">
      <w:pPr>
        <w:pStyle w:val="T1"/>
        <w:tabs>
          <w:tab w:val="left" w:pos="567"/>
        </w:tabs>
        <w:spacing w:before="0" w:after="0" w:line="240" w:lineRule="auto"/>
        <w:rPr>
          <w:rFonts w:asciiTheme="minorHAnsi" w:hAnsiTheme="minorHAnsi" w:cs="Arial"/>
          <w:sz w:val="22"/>
          <w:szCs w:val="22"/>
          <w:lang w:val="hr-HR"/>
        </w:rPr>
      </w:pP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Grupa je početno usvojila MSFI 9 (vidi 4.1.1.) </w:t>
      </w:r>
      <w:r w:rsidR="00B6295A" w:rsidRPr="00CD3A2D">
        <w:rPr>
          <w:rFonts w:asciiTheme="minorHAnsi" w:hAnsiTheme="minorHAnsi" w:cstheme="minorHAnsi"/>
          <w:sz w:val="22"/>
          <w:szCs w:val="22"/>
          <w:lang w:val="hr-HR" w:eastAsia="hr-HR"/>
        </w:rPr>
        <w:t>i</w:t>
      </w:r>
      <w:r w:rsidRPr="00CD3A2D">
        <w:rPr>
          <w:rFonts w:asciiTheme="minorHAnsi" w:hAnsiTheme="minorHAnsi" w:cstheme="minorHAnsi"/>
          <w:sz w:val="22"/>
          <w:szCs w:val="22"/>
          <w:lang w:val="hr-HR" w:eastAsia="hr-HR"/>
        </w:rPr>
        <w:t xml:space="preserve"> MSFI 15 (vidi 4.1.2.) </w:t>
      </w:r>
      <w:r w:rsidR="00B6295A" w:rsidRPr="00CD3A2D">
        <w:rPr>
          <w:rFonts w:asciiTheme="minorHAnsi" w:hAnsiTheme="minorHAnsi" w:cstheme="minorHAnsi"/>
          <w:sz w:val="22"/>
          <w:szCs w:val="22"/>
          <w:lang w:val="hr-HR" w:eastAsia="hr-HR"/>
        </w:rPr>
        <w:t>o</w:t>
      </w:r>
      <w:r w:rsidRPr="00CD3A2D">
        <w:rPr>
          <w:rFonts w:asciiTheme="minorHAnsi" w:hAnsiTheme="minorHAnsi" w:cstheme="minorHAnsi"/>
          <w:sz w:val="22"/>
          <w:szCs w:val="22"/>
          <w:lang w:val="hr-HR" w:eastAsia="hr-HR"/>
        </w:rPr>
        <w:t xml:space="preserve">d 1. siječnja 2018. </w:t>
      </w:r>
      <w:r w:rsidR="00B6295A" w:rsidRPr="00CD3A2D">
        <w:rPr>
          <w:rFonts w:asciiTheme="minorHAnsi" w:hAnsiTheme="minorHAnsi" w:cstheme="minorHAnsi"/>
          <w:sz w:val="22"/>
          <w:szCs w:val="22"/>
          <w:lang w:val="hr-HR" w:eastAsia="hr-HR"/>
        </w:rPr>
        <w:t>godine. K</w:t>
      </w:r>
      <w:r w:rsidRPr="00CD3A2D">
        <w:rPr>
          <w:rFonts w:asciiTheme="minorHAnsi" w:hAnsiTheme="minorHAnsi" w:cstheme="minorHAnsi"/>
          <w:sz w:val="22"/>
          <w:szCs w:val="22"/>
          <w:lang w:val="hr-HR" w:eastAsia="hr-HR"/>
        </w:rPr>
        <w:t>ao što je dopušteno standardom, Banka je odlučila da neće prepraviti usporedne podatke za 2017. godinu. Učinci primjene MSFI-ja 9 prizna</w:t>
      </w:r>
      <w:r w:rsidR="00C60532" w:rsidRPr="00CD3A2D">
        <w:rPr>
          <w:rFonts w:asciiTheme="minorHAnsi" w:hAnsiTheme="minorHAnsi" w:cstheme="minorHAnsi"/>
          <w:sz w:val="22"/>
          <w:szCs w:val="22"/>
          <w:lang w:val="hr-HR" w:eastAsia="hr-HR"/>
        </w:rPr>
        <w:t>ti</w:t>
      </w:r>
      <w:r w:rsidRPr="00CD3A2D">
        <w:rPr>
          <w:rFonts w:asciiTheme="minorHAnsi" w:hAnsiTheme="minorHAnsi" w:cstheme="minorHAnsi"/>
          <w:sz w:val="22"/>
          <w:szCs w:val="22"/>
          <w:lang w:val="hr-HR" w:eastAsia="hr-HR"/>
        </w:rPr>
        <w:t xml:space="preserve"> s</w:t>
      </w:r>
      <w:r w:rsidR="00C60532" w:rsidRPr="00CD3A2D">
        <w:rPr>
          <w:rFonts w:asciiTheme="minorHAnsi" w:hAnsiTheme="minorHAnsi" w:cstheme="minorHAnsi"/>
          <w:sz w:val="22"/>
          <w:szCs w:val="22"/>
          <w:lang w:val="hr-HR" w:eastAsia="hr-HR"/>
        </w:rPr>
        <w:t>u</w:t>
      </w:r>
      <w:r w:rsidRPr="00CD3A2D">
        <w:rPr>
          <w:rFonts w:asciiTheme="minorHAnsi" w:hAnsiTheme="minorHAnsi" w:cstheme="minorHAnsi"/>
          <w:sz w:val="22"/>
          <w:szCs w:val="22"/>
          <w:lang w:val="hr-HR" w:eastAsia="hr-HR"/>
        </w:rPr>
        <w:t xml:space="preserve"> u početnoj zadržanoj dobiti i ostalim rezervama tekućeg razdoblja.</w:t>
      </w:r>
    </w:p>
    <w:p w:rsidR="006D2C18" w:rsidRPr="00CD3A2D" w:rsidRDefault="006D2C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color w:val="0070C0"/>
          <w:lang w:val="hr-HR" w:eastAsia="hr-HR"/>
        </w:rPr>
      </w:pPr>
    </w:p>
    <w:p w:rsidR="006D2C18" w:rsidRPr="00CD3A2D" w:rsidRDefault="006D2C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Od 1. siječnja 2018. također su na snazi ​​brojni drugi novi standardi, ali oni nemaju značajan utjecaj na financijske izvještaje Grupe.</w:t>
      </w: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Courier New"/>
          <w:color w:val="222222"/>
          <w:lang w:val="hr-HR" w:eastAsia="hr-HR"/>
        </w:rPr>
      </w:pPr>
    </w:p>
    <w:p w:rsidR="006D2C18" w:rsidRPr="00CD3A2D" w:rsidRDefault="006D2C18" w:rsidP="006D2C18">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Iako ovisna društva, Grupa HKO, zbog nematerijalnosti, korist</w:t>
      </w:r>
      <w:r w:rsidR="00C60532" w:rsidRPr="00CD3A2D">
        <w:rPr>
          <w:rFonts w:asciiTheme="minorHAnsi" w:hAnsiTheme="minorHAnsi" w:cstheme="minorHAnsi"/>
          <w:sz w:val="22"/>
          <w:szCs w:val="22"/>
          <w:lang w:val="hr-HR"/>
        </w:rPr>
        <w:t>e</w:t>
      </w:r>
      <w:r w:rsidRPr="00CD3A2D">
        <w:rPr>
          <w:rFonts w:asciiTheme="minorHAnsi" w:hAnsiTheme="minorHAnsi" w:cstheme="minorHAnsi"/>
          <w:sz w:val="22"/>
          <w:szCs w:val="22"/>
          <w:lang w:val="hr-HR"/>
        </w:rPr>
        <w:t xml:space="preserve"> pristup privremenog izuzeća od 1. siječnja 2018. godine do 1. siječnja 2021. godine, sukladno dopuni MSFI-ja 4 – primjena MSFI-ja 9 Financijski instrumenti s MSFI-jem 4 Ugovori o osiguranju, financijski izvještaji Grupe sastavljeni su uz punu primjenu MSFI-ja 9.</w:t>
      </w:r>
    </w:p>
    <w:p w:rsidR="006D2C18" w:rsidRPr="00CD3A2D"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rPr>
      </w:pPr>
    </w:p>
    <w:p w:rsidR="001B7593" w:rsidRPr="00CD3A2D" w:rsidRDefault="001B7593" w:rsidP="001B7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Usvajanje MSFI-a 15 nije utjecalo na vrijeme ili iznos prihoda od naknada i provizija iz ugovora s kupcima i povezane imovine i obveza koje je priznala Grupa. U skladu s tim, utjecaj na usporedne informacije ograničen je na nove zahtjeve objavljivanja.</w:t>
      </w:r>
    </w:p>
    <w:p w:rsidR="001B7593" w:rsidRPr="00CD3A2D" w:rsidRDefault="001B7593"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Učinak početne primjene ovih standarda uglavnom se pripisuje sljedećem:</w:t>
      </w:r>
    </w:p>
    <w:p w:rsidR="001B7593" w:rsidRPr="00CD3A2D" w:rsidRDefault="001B7593"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povećanju gubitaka od umanjenja vrijednosti financijske imovine (vidi bilješku 5</w:t>
      </w:r>
      <w:r w:rsidR="00C60532" w:rsidRPr="00CD3A2D">
        <w:rPr>
          <w:rFonts w:asciiTheme="minorHAnsi" w:hAnsiTheme="minorHAnsi" w:cstheme="minorHAnsi"/>
          <w:sz w:val="22"/>
          <w:szCs w:val="22"/>
          <w:lang w:val="hr-HR" w:eastAsia="hr-HR"/>
        </w:rPr>
        <w:t>.</w:t>
      </w:r>
      <w:r w:rsidRPr="00CD3A2D">
        <w:rPr>
          <w:rFonts w:asciiTheme="minorHAnsi" w:hAnsiTheme="minorHAnsi" w:cstheme="minorHAnsi"/>
          <w:sz w:val="22"/>
          <w:szCs w:val="22"/>
          <w:lang w:val="hr-HR" w:eastAsia="hr-HR"/>
        </w:rPr>
        <w:t>);</w:t>
      </w:r>
    </w:p>
    <w:p w:rsidR="001B7593" w:rsidRPr="00CD3A2D" w:rsidRDefault="001B7593"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dodatna objavljivanja vezana uz MSFI 9 (vidi bilješku 36.3.);</w:t>
      </w:r>
    </w:p>
    <w:p w:rsidR="001B7593" w:rsidRPr="00CD3A2D" w:rsidRDefault="001B7593"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dodatna objavljivanja vezana uz MSFI 15 (vidi bilješku 8).</w:t>
      </w:r>
    </w:p>
    <w:p w:rsidR="001B7593" w:rsidRPr="00CD3A2D" w:rsidRDefault="001B7593" w:rsidP="001B7593">
      <w:pPr>
        <w:jc w:val="both"/>
        <w:rPr>
          <w:rFonts w:asciiTheme="minorHAnsi" w:hAnsiTheme="minorHAnsi" w:cstheme="minorHAnsi"/>
          <w:sz w:val="22"/>
          <w:szCs w:val="22"/>
          <w:lang w:val="hr-HR" w:eastAsia="hr-HR"/>
        </w:rPr>
      </w:pPr>
    </w:p>
    <w:p w:rsidR="001B7593" w:rsidRPr="00CD3A2D" w:rsidRDefault="000B7822" w:rsidP="003C6BA3">
      <w:pPr>
        <w:jc w:val="both"/>
        <w:rPr>
          <w:rFonts w:asciiTheme="minorHAnsi" w:eastAsia="Calibri" w:hAnsiTheme="minorHAnsi" w:cstheme="minorHAnsi"/>
          <w:sz w:val="22"/>
          <w:szCs w:val="22"/>
          <w:lang w:val="hr-HR"/>
        </w:rPr>
      </w:pPr>
      <w:r w:rsidRPr="00CD3A2D">
        <w:rPr>
          <w:rFonts w:asciiTheme="minorHAnsi" w:hAnsiTheme="minorHAnsi" w:cstheme="minorHAnsi"/>
          <w:sz w:val="22"/>
          <w:szCs w:val="22"/>
          <w:lang w:val="hr-HR" w:eastAsia="hr-HR"/>
        </w:rPr>
        <w:t xml:space="preserve">Posljedično </w:t>
      </w:r>
      <w:r w:rsidR="00C60532" w:rsidRPr="00CD3A2D">
        <w:rPr>
          <w:rFonts w:asciiTheme="minorHAnsi" w:hAnsiTheme="minorHAnsi" w:cstheme="minorHAnsi"/>
          <w:sz w:val="22"/>
          <w:szCs w:val="22"/>
          <w:lang w:val="hr-HR" w:eastAsia="hr-HR"/>
        </w:rPr>
        <w:t>je</w:t>
      </w:r>
      <w:r w:rsidR="001B7593" w:rsidRPr="00CD3A2D">
        <w:rPr>
          <w:rFonts w:asciiTheme="minorHAnsi" w:hAnsiTheme="minorHAnsi" w:cstheme="minorHAnsi"/>
          <w:sz w:val="22"/>
          <w:szCs w:val="22"/>
          <w:lang w:val="hr-HR" w:eastAsia="hr-HR"/>
        </w:rPr>
        <w:t xml:space="preserve"> Banka primijenila Međunarodni standard financijskog izvještavanja 7 (revidiran zbog usvajanja MSFI-ja 9). Osim promjena opisanih u nastavku, Grupa je dosljedno primjenjivala računovodstvene politike, kako je navedeno u bilješci 4.2., na sva razdoblja prikazana u ovim konsolidiranim financijskim izvještajima.</w:t>
      </w:r>
    </w:p>
    <w:p w:rsidR="005857BE" w:rsidRPr="00CD3A2D" w:rsidRDefault="005857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sectPr w:rsidR="005857BE" w:rsidRPr="00CD3A2D" w:rsidSect="000D6913">
          <w:pgSz w:w="11907" w:h="16840" w:code="9"/>
          <w:pgMar w:top="1418" w:right="992" w:bottom="1134" w:left="1418" w:header="851" w:footer="851" w:gutter="0"/>
          <w:cols w:space="720"/>
          <w:noEndnote/>
        </w:sectPr>
      </w:pPr>
    </w:p>
    <w:p w:rsidR="001B7593" w:rsidRPr="001567C8" w:rsidRDefault="001B7593" w:rsidP="00B861E2">
      <w:pPr>
        <w:pStyle w:val="T1"/>
        <w:tabs>
          <w:tab w:val="left" w:pos="567"/>
        </w:tabs>
        <w:spacing w:before="0" w:after="0" w:line="240" w:lineRule="auto"/>
        <w:rPr>
          <w:rFonts w:asciiTheme="minorHAnsi" w:hAnsiTheme="minorHAnsi" w:cs="Arial"/>
          <w:sz w:val="22"/>
          <w:szCs w:val="22"/>
          <w:lang w:val="hr-HR"/>
        </w:rPr>
      </w:pPr>
    </w:p>
    <w:p w:rsidR="001B7593" w:rsidRPr="00CD3A2D" w:rsidRDefault="001B7593" w:rsidP="001B7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0503DA" w:rsidRPr="00CD3A2D" w:rsidRDefault="000503DA" w:rsidP="00050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0503DA" w:rsidRPr="00CD3A2D" w:rsidRDefault="000503DA" w:rsidP="00050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4.1. Izmjene računovodstvenih politika (nastavak)</w:t>
      </w:r>
    </w:p>
    <w:p w:rsidR="001B7593" w:rsidRPr="00CD3A2D" w:rsidRDefault="001B7593" w:rsidP="001B7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1B7593" w:rsidRPr="00CD3A2D" w:rsidRDefault="001B7593" w:rsidP="001B7593">
      <w:pPr>
        <w:pStyle w:val="ListParagraph"/>
        <w:ind w:left="0"/>
        <w:jc w:val="both"/>
        <w:rPr>
          <w:rFonts w:asciiTheme="minorHAnsi" w:hAnsiTheme="minorHAnsi" w:cstheme="minorHAnsi"/>
          <w:b/>
          <w:sz w:val="22"/>
          <w:szCs w:val="22"/>
          <w:lang w:val="hr-HR"/>
        </w:rPr>
      </w:pPr>
      <w:r w:rsidRPr="00CD3A2D">
        <w:rPr>
          <w:rFonts w:asciiTheme="minorHAnsi" w:hAnsiTheme="minorHAnsi" w:cstheme="minorHAnsi"/>
          <w:b/>
          <w:sz w:val="22"/>
          <w:szCs w:val="22"/>
          <w:lang w:val="hr-HR"/>
        </w:rPr>
        <w:t>4.1.1. MSFI 9 Financijski instrumenti</w:t>
      </w:r>
    </w:p>
    <w:p w:rsidR="00BD1156" w:rsidRPr="00CD3A2D" w:rsidRDefault="00BD1156" w:rsidP="001B7593">
      <w:pPr>
        <w:pStyle w:val="ListParagraph"/>
        <w:ind w:left="0"/>
        <w:jc w:val="both"/>
        <w:rPr>
          <w:rFonts w:asciiTheme="minorHAnsi" w:hAnsiTheme="minorHAnsi" w:cstheme="minorHAnsi"/>
          <w:b/>
          <w:sz w:val="22"/>
          <w:szCs w:val="22"/>
          <w:lang w:val="hr-HR"/>
        </w:rPr>
      </w:pPr>
    </w:p>
    <w:p w:rsidR="001B7593" w:rsidRPr="00CD3A2D" w:rsidRDefault="001B7593" w:rsidP="001B7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MSFI 9 </w:t>
      </w:r>
      <w:r w:rsidR="00BD1156" w:rsidRPr="00CD3A2D">
        <w:rPr>
          <w:rFonts w:asciiTheme="minorHAnsi" w:hAnsiTheme="minorHAnsi" w:cstheme="minorHAnsi"/>
          <w:sz w:val="22"/>
          <w:szCs w:val="22"/>
          <w:lang w:val="hr-HR" w:eastAsia="hr-HR"/>
        </w:rPr>
        <w:t>postavlja</w:t>
      </w:r>
      <w:r w:rsidRPr="00CD3A2D">
        <w:rPr>
          <w:rFonts w:asciiTheme="minorHAnsi" w:hAnsiTheme="minorHAnsi" w:cstheme="minorHAnsi"/>
          <w:sz w:val="22"/>
          <w:szCs w:val="22"/>
          <w:lang w:val="hr-HR" w:eastAsia="hr-HR"/>
        </w:rPr>
        <w:t xml:space="preserve"> zahtjeve</w:t>
      </w:r>
      <w:r w:rsidR="00BD1156" w:rsidRPr="00CD3A2D">
        <w:rPr>
          <w:rFonts w:asciiTheme="minorHAnsi" w:hAnsiTheme="minorHAnsi" w:cstheme="minorHAnsi"/>
          <w:sz w:val="22"/>
          <w:szCs w:val="22"/>
          <w:lang w:val="hr-HR" w:eastAsia="hr-HR"/>
        </w:rPr>
        <w:t xml:space="preserve"> koji se odnose na </w:t>
      </w:r>
      <w:r w:rsidRPr="00CD3A2D">
        <w:rPr>
          <w:rFonts w:asciiTheme="minorHAnsi" w:hAnsiTheme="minorHAnsi" w:cstheme="minorHAnsi"/>
          <w:sz w:val="22"/>
          <w:szCs w:val="22"/>
          <w:lang w:val="hr-HR" w:eastAsia="hr-HR"/>
        </w:rPr>
        <w:t xml:space="preserve">priznavanje i mjerenje, umanjenje vrijednosti, prestanak priznavanja i računovodstvo zaštite općenito. Ovaj standard zamjenjuje MRS 39 Financijski instrumenti: Priznavanje i mjerenje. Zahtjevi MSFI-ja 9 predstavljaju značajnu promjenu </w:t>
      </w:r>
      <w:r w:rsidR="00E62387" w:rsidRPr="00CD3A2D">
        <w:rPr>
          <w:rFonts w:asciiTheme="minorHAnsi" w:hAnsiTheme="minorHAnsi" w:cstheme="minorHAnsi"/>
          <w:sz w:val="22"/>
          <w:szCs w:val="22"/>
          <w:lang w:val="hr-HR" w:eastAsia="hr-HR"/>
        </w:rPr>
        <w:t xml:space="preserve">u odnosu na </w:t>
      </w:r>
      <w:r w:rsidRPr="00CD3A2D">
        <w:rPr>
          <w:rFonts w:asciiTheme="minorHAnsi" w:hAnsiTheme="minorHAnsi" w:cstheme="minorHAnsi"/>
          <w:sz w:val="22"/>
          <w:szCs w:val="22"/>
          <w:lang w:val="hr-HR" w:eastAsia="hr-HR"/>
        </w:rPr>
        <w:t>MRS-a 39. Novi standard donosi temeljne promjene u računovodstvu financijske imovine i određenim aspektima računovodstva financijskih obveza.</w:t>
      </w:r>
    </w:p>
    <w:p w:rsidR="00E62387" w:rsidRPr="00CD3A2D" w:rsidRDefault="00E62387" w:rsidP="00E623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Dodatno, Grupa je usvojila izmjene i dopune MSFI-ja 7 Financijski instrumenti: Objavljivanje koji se primjenjuju na objave u 2018. godini, ali nisu primijenjene na usporedne informacije.</w:t>
      </w:r>
    </w:p>
    <w:p w:rsidR="00E62387" w:rsidRPr="00CD3A2D" w:rsidRDefault="00E62387" w:rsidP="00E62387">
      <w:pPr>
        <w:pStyle w:val="ListParagraph"/>
        <w:spacing w:after="120"/>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Ključne izmjene računovodstvenih politika Grupe koje proizlaze iz usvajanja MSFI-a 9 sažete su u nastavku. Potpuni učinak usvajanja standarda prikazan je u bilješci 5.</w:t>
      </w:r>
    </w:p>
    <w:p w:rsidR="00E62387" w:rsidRPr="00CD3A2D" w:rsidRDefault="00E62387" w:rsidP="00E62387">
      <w:pPr>
        <w:pStyle w:val="ListParagraph"/>
        <w:spacing w:after="120"/>
        <w:jc w:val="both"/>
        <w:rPr>
          <w:rFonts w:asciiTheme="minorHAnsi" w:hAnsiTheme="minorHAnsi" w:cstheme="minorHAnsi"/>
          <w:sz w:val="22"/>
          <w:szCs w:val="22"/>
          <w:lang w:val="hr-HR"/>
        </w:rPr>
      </w:pPr>
    </w:p>
    <w:p w:rsidR="00E62387" w:rsidRPr="00CD3A2D" w:rsidRDefault="00171116" w:rsidP="003C6BA3">
      <w:pPr>
        <w:spacing w:after="120"/>
        <w:jc w:val="both"/>
        <w:rPr>
          <w:rFonts w:asciiTheme="minorHAnsi" w:hAnsiTheme="minorHAnsi" w:cstheme="minorHAnsi"/>
          <w:b/>
          <w:sz w:val="22"/>
          <w:szCs w:val="22"/>
          <w:lang w:val="hr-HR"/>
        </w:rPr>
      </w:pPr>
      <w:r w:rsidRPr="00CD3A2D">
        <w:rPr>
          <w:rFonts w:asciiTheme="minorHAnsi" w:hAnsiTheme="minorHAnsi" w:cstheme="minorHAnsi"/>
          <w:b/>
          <w:sz w:val="22"/>
          <w:szCs w:val="22"/>
          <w:lang w:val="hr-HR"/>
        </w:rPr>
        <w:t>Klasifikacija financijske imovine</w:t>
      </w:r>
    </w:p>
    <w:p w:rsidR="00171116" w:rsidRPr="00CD3A2D" w:rsidRDefault="00171116" w:rsidP="001711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2"/>
          <w:lang w:val="hr-HR" w:eastAsia="hr-HR"/>
        </w:rPr>
      </w:pPr>
      <w:r w:rsidRPr="00CD3A2D">
        <w:rPr>
          <w:rFonts w:asciiTheme="minorHAnsi" w:hAnsiTheme="minorHAnsi" w:cstheme="minorHAnsi"/>
          <w:sz w:val="22"/>
          <w:szCs w:val="22"/>
          <w:lang w:val="hr-HR" w:eastAsia="hr-HR"/>
        </w:rPr>
        <w:t>MSFI 9 sadrži tri glavne klasifikacij</w:t>
      </w:r>
      <w:r w:rsidR="008A19BA" w:rsidRPr="00CD3A2D">
        <w:rPr>
          <w:rFonts w:asciiTheme="minorHAnsi" w:hAnsiTheme="minorHAnsi" w:cstheme="minorHAnsi"/>
          <w:sz w:val="22"/>
          <w:szCs w:val="22"/>
          <w:lang w:val="hr-HR" w:eastAsia="hr-HR"/>
        </w:rPr>
        <w:t>sk</w:t>
      </w:r>
      <w:r w:rsidRPr="00CD3A2D">
        <w:rPr>
          <w:rFonts w:asciiTheme="minorHAnsi" w:hAnsiTheme="minorHAnsi" w:cstheme="minorHAnsi"/>
          <w:sz w:val="22"/>
          <w:szCs w:val="22"/>
          <w:lang w:val="hr-HR" w:eastAsia="hr-HR"/>
        </w:rPr>
        <w:t xml:space="preserve">e </w:t>
      </w:r>
      <w:r w:rsidR="008A19BA" w:rsidRPr="00CD3A2D">
        <w:rPr>
          <w:rFonts w:asciiTheme="minorHAnsi" w:hAnsiTheme="minorHAnsi" w:cstheme="minorHAnsi"/>
          <w:sz w:val="22"/>
          <w:szCs w:val="22"/>
          <w:lang w:val="hr-HR" w:eastAsia="hr-HR"/>
        </w:rPr>
        <w:t>kategorije</w:t>
      </w:r>
      <w:r w:rsidRPr="00CD3A2D">
        <w:rPr>
          <w:rFonts w:asciiTheme="minorHAnsi" w:hAnsiTheme="minorHAnsi" w:cstheme="minorHAnsi"/>
          <w:sz w:val="22"/>
          <w:szCs w:val="22"/>
          <w:lang w:val="hr-HR" w:eastAsia="hr-HR"/>
        </w:rPr>
        <w:t xml:space="preserve"> financijsk</w:t>
      </w:r>
      <w:r w:rsidR="008A19BA" w:rsidRPr="00CD3A2D">
        <w:rPr>
          <w:rFonts w:asciiTheme="minorHAnsi" w:hAnsiTheme="minorHAnsi" w:cstheme="minorHAnsi"/>
          <w:sz w:val="22"/>
          <w:szCs w:val="22"/>
          <w:lang w:val="hr-HR" w:eastAsia="hr-HR"/>
        </w:rPr>
        <w:t>e</w:t>
      </w:r>
      <w:r w:rsidRPr="00CD3A2D">
        <w:rPr>
          <w:rFonts w:asciiTheme="minorHAnsi" w:hAnsiTheme="minorHAnsi" w:cstheme="minorHAnsi"/>
          <w:sz w:val="22"/>
          <w:szCs w:val="22"/>
          <w:lang w:val="hr-HR" w:eastAsia="hr-HR"/>
        </w:rPr>
        <w:t xml:space="preserve"> imovin</w:t>
      </w:r>
      <w:r w:rsidR="008A19BA" w:rsidRPr="00CD3A2D">
        <w:rPr>
          <w:rFonts w:asciiTheme="minorHAnsi" w:hAnsiTheme="minorHAnsi" w:cstheme="minorHAnsi"/>
          <w:sz w:val="22"/>
          <w:szCs w:val="22"/>
          <w:lang w:val="hr-HR" w:eastAsia="hr-HR"/>
        </w:rPr>
        <w:t>e</w:t>
      </w:r>
      <w:r w:rsidRPr="00CD3A2D">
        <w:rPr>
          <w:rFonts w:asciiTheme="minorHAnsi" w:hAnsiTheme="minorHAnsi" w:cstheme="minorHAnsi"/>
          <w:sz w:val="22"/>
          <w:szCs w:val="22"/>
          <w:lang w:val="hr-HR" w:eastAsia="hr-HR"/>
        </w:rPr>
        <w:t>: one koja se mjeri po amortiziranom trošku, po fer vrijednosti kroz ostalu sveobuhvatnu dobit (FVOSD) i po fer vrijednosti kroz dobit i gubitak (FV</w:t>
      </w:r>
      <w:r w:rsidR="00EF641B" w:rsidRPr="00CD3A2D">
        <w:rPr>
          <w:rFonts w:asciiTheme="minorHAnsi" w:hAnsiTheme="minorHAnsi" w:cstheme="minorHAnsi"/>
          <w:sz w:val="22"/>
          <w:szCs w:val="22"/>
          <w:lang w:val="hr-HR" w:eastAsia="hr-HR"/>
        </w:rPr>
        <w:t>R</w:t>
      </w:r>
      <w:r w:rsidR="00BA56D3" w:rsidRPr="00CD3A2D">
        <w:rPr>
          <w:rFonts w:asciiTheme="minorHAnsi" w:hAnsiTheme="minorHAnsi" w:cstheme="minorHAnsi"/>
          <w:sz w:val="22"/>
          <w:szCs w:val="22"/>
          <w:lang w:val="hr-HR" w:eastAsia="hr-HR"/>
        </w:rPr>
        <w:t>DG</w:t>
      </w:r>
      <w:r w:rsidRPr="00CD3A2D">
        <w:rPr>
          <w:rFonts w:asciiTheme="minorHAnsi" w:hAnsiTheme="minorHAnsi" w:cstheme="minorHAnsi"/>
          <w:sz w:val="22"/>
          <w:szCs w:val="22"/>
          <w:lang w:val="hr-HR" w:eastAsia="hr-HR"/>
        </w:rPr>
        <w:t xml:space="preserve">). </w:t>
      </w:r>
      <w:r w:rsidR="00B8018D" w:rsidRPr="00CD3A2D">
        <w:rPr>
          <w:rFonts w:asciiTheme="minorHAnsi" w:hAnsiTheme="minorHAnsi" w:cstheme="minorHAnsi"/>
          <w:sz w:val="22"/>
          <w:szCs w:val="22"/>
          <w:lang w:val="hr-HR" w:eastAsia="hr-HR"/>
        </w:rPr>
        <w:t xml:space="preserve">Klasifikacija po </w:t>
      </w:r>
      <w:r w:rsidRPr="00CD3A2D">
        <w:rPr>
          <w:rFonts w:asciiTheme="minorHAnsi" w:hAnsiTheme="minorHAnsi" w:cstheme="minorHAnsi"/>
          <w:sz w:val="22"/>
          <w:szCs w:val="22"/>
          <w:lang w:val="hr-HR" w:eastAsia="hr-HR"/>
        </w:rPr>
        <w:t>MSFI</w:t>
      </w:r>
      <w:r w:rsidR="00B8018D" w:rsidRPr="00CD3A2D">
        <w:rPr>
          <w:rFonts w:asciiTheme="minorHAnsi" w:hAnsiTheme="minorHAnsi" w:cstheme="minorHAnsi"/>
          <w:sz w:val="22"/>
          <w:szCs w:val="22"/>
          <w:lang w:val="hr-HR" w:eastAsia="hr-HR"/>
        </w:rPr>
        <w:t>-ju</w:t>
      </w:r>
      <w:r w:rsidRPr="00CD3A2D">
        <w:rPr>
          <w:rFonts w:asciiTheme="minorHAnsi" w:hAnsiTheme="minorHAnsi" w:cstheme="minorHAnsi"/>
          <w:sz w:val="22"/>
          <w:szCs w:val="22"/>
          <w:lang w:val="hr-HR" w:eastAsia="hr-HR"/>
        </w:rPr>
        <w:t xml:space="preserve"> 9 se općenito temelji na poslovnom modelu u kojem se upravlja financijsk</w:t>
      </w:r>
      <w:r w:rsidR="00BA56D3" w:rsidRPr="00CD3A2D">
        <w:rPr>
          <w:rFonts w:asciiTheme="minorHAnsi" w:hAnsiTheme="minorHAnsi" w:cstheme="minorHAnsi"/>
          <w:sz w:val="22"/>
          <w:szCs w:val="22"/>
          <w:lang w:val="hr-HR" w:eastAsia="hr-HR"/>
        </w:rPr>
        <w:t>o</w:t>
      </w:r>
      <w:r w:rsidRPr="00CD3A2D">
        <w:rPr>
          <w:rFonts w:asciiTheme="minorHAnsi" w:hAnsiTheme="minorHAnsi" w:cstheme="minorHAnsi"/>
          <w:sz w:val="22"/>
          <w:szCs w:val="22"/>
          <w:lang w:val="hr-HR" w:eastAsia="hr-HR"/>
        </w:rPr>
        <w:t xml:space="preserve">m </w:t>
      </w:r>
      <w:r w:rsidR="00751E78" w:rsidRPr="00CD3A2D">
        <w:rPr>
          <w:rFonts w:asciiTheme="minorHAnsi" w:hAnsiTheme="minorHAnsi" w:cstheme="minorHAnsi"/>
          <w:sz w:val="22"/>
          <w:szCs w:val="22"/>
          <w:lang w:val="hr-HR" w:eastAsia="hr-HR"/>
        </w:rPr>
        <w:t>imovinom</w:t>
      </w:r>
      <w:r w:rsidRPr="00CD3A2D">
        <w:rPr>
          <w:rFonts w:asciiTheme="minorHAnsi" w:hAnsiTheme="minorHAnsi" w:cstheme="minorHAnsi"/>
          <w:sz w:val="22"/>
          <w:szCs w:val="22"/>
          <w:lang w:val="hr-HR" w:eastAsia="hr-HR"/>
        </w:rPr>
        <w:t xml:space="preserve"> i nje</w:t>
      </w:r>
      <w:r w:rsidR="00B8018D" w:rsidRPr="00CD3A2D">
        <w:rPr>
          <w:rFonts w:asciiTheme="minorHAnsi" w:hAnsiTheme="minorHAnsi" w:cstheme="minorHAnsi"/>
          <w:sz w:val="22"/>
          <w:szCs w:val="22"/>
          <w:lang w:val="hr-HR" w:eastAsia="hr-HR"/>
        </w:rPr>
        <w:t>zi</w:t>
      </w:r>
      <w:r w:rsidR="00751E78" w:rsidRPr="00CD3A2D">
        <w:rPr>
          <w:rFonts w:asciiTheme="minorHAnsi" w:hAnsiTheme="minorHAnsi" w:cstheme="minorHAnsi"/>
          <w:sz w:val="22"/>
          <w:szCs w:val="22"/>
          <w:lang w:val="hr-HR" w:eastAsia="hr-HR"/>
        </w:rPr>
        <w:t>nim</w:t>
      </w:r>
      <w:r w:rsidRPr="00CD3A2D">
        <w:rPr>
          <w:rFonts w:asciiTheme="minorHAnsi" w:hAnsiTheme="minorHAnsi" w:cstheme="minorHAnsi"/>
          <w:sz w:val="22"/>
          <w:szCs w:val="22"/>
          <w:lang w:val="hr-HR" w:eastAsia="hr-HR"/>
        </w:rPr>
        <w:t xml:space="preserve"> ugovornim novčanim tokovima. Standard eliminira prethodne kategorije</w:t>
      </w:r>
      <w:r w:rsidR="00DA0C5A" w:rsidRPr="00CD3A2D">
        <w:rPr>
          <w:rFonts w:asciiTheme="minorHAnsi" w:hAnsiTheme="minorHAnsi" w:cstheme="minorHAnsi"/>
          <w:sz w:val="22"/>
          <w:szCs w:val="22"/>
          <w:lang w:val="hr-HR" w:eastAsia="hr-HR"/>
        </w:rPr>
        <w:t xml:space="preserve"> financijske imovine </w:t>
      </w:r>
      <w:r w:rsidRPr="00CD3A2D">
        <w:rPr>
          <w:rFonts w:asciiTheme="minorHAnsi" w:hAnsiTheme="minorHAnsi" w:cstheme="minorHAnsi"/>
          <w:sz w:val="22"/>
          <w:szCs w:val="22"/>
          <w:lang w:val="hr-HR" w:eastAsia="hr-HR"/>
        </w:rPr>
        <w:t>MRS-a 39</w:t>
      </w:r>
      <w:r w:rsidR="00B8018D" w:rsidRPr="00CD3A2D">
        <w:rPr>
          <w:rFonts w:asciiTheme="minorHAnsi" w:hAnsiTheme="minorHAnsi" w:cstheme="minorHAnsi"/>
          <w:sz w:val="22"/>
          <w:szCs w:val="22"/>
          <w:lang w:val="hr-HR" w:eastAsia="hr-HR"/>
        </w:rPr>
        <w:t xml:space="preserve"> - </w:t>
      </w:r>
      <w:r w:rsidRPr="00CD3A2D">
        <w:rPr>
          <w:rFonts w:asciiTheme="minorHAnsi" w:hAnsiTheme="minorHAnsi" w:cstheme="minorHAnsi"/>
          <w:sz w:val="22"/>
          <w:szCs w:val="22"/>
          <w:lang w:val="hr-HR" w:eastAsia="hr-HR"/>
        </w:rPr>
        <w:t xml:space="preserve">koje se drže do dospijeća, zajmove i potraživanja i raspoložive za prodaju. </w:t>
      </w:r>
      <w:r w:rsidR="004173CF" w:rsidRPr="00CD3A2D">
        <w:rPr>
          <w:rFonts w:ascii="Calibri" w:hAnsi="Calibri" w:cs="Calibri"/>
          <w:sz w:val="22"/>
          <w:szCs w:val="22"/>
          <w:lang w:val="hr-HR" w:eastAsia="hr-HR"/>
        </w:rPr>
        <w:t>Na temelju MSFI-ja 9, ugrađeni derivati</w:t>
      </w:r>
      <w:r w:rsidR="0071184D">
        <w:rPr>
          <w:rFonts w:ascii="Calibri" w:hAnsi="Calibri" w:cs="Calibri"/>
          <w:sz w:val="22"/>
          <w:szCs w:val="22"/>
          <w:lang w:val="hr-HR" w:eastAsia="hr-HR"/>
        </w:rPr>
        <w:t xml:space="preserve"> u ugovorima u kojima je glavni ugovor</w:t>
      </w:r>
      <w:r w:rsidR="004173CF" w:rsidRPr="00CD3A2D">
        <w:rPr>
          <w:rFonts w:ascii="Calibri" w:hAnsi="Calibri" w:cs="Calibri"/>
          <w:sz w:val="22"/>
          <w:szCs w:val="22"/>
          <w:lang w:val="hr-HR" w:eastAsia="hr-HR"/>
        </w:rPr>
        <w:t xml:space="preserve"> financijska imovina u opsegu standarda ne trebaju se dijeliti. Umjesto toga, cijeli hibridni instrument se procjenjuje za klasifikaciju.</w:t>
      </w:r>
    </w:p>
    <w:p w:rsidR="004173CF" w:rsidRPr="00CD3A2D" w:rsidRDefault="004173CF" w:rsidP="001711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171116" w:rsidRPr="00CD3A2D" w:rsidRDefault="00B8018D" w:rsidP="00171116">
      <w:pPr>
        <w:pStyle w:val="ListParagraph"/>
        <w:ind w:left="0"/>
        <w:jc w:val="both"/>
        <w:rPr>
          <w:rFonts w:asciiTheme="minorHAnsi" w:hAnsiTheme="minorHAnsi" w:cstheme="minorHAnsi"/>
          <w:b/>
          <w:sz w:val="22"/>
          <w:szCs w:val="22"/>
          <w:lang w:val="hr-HR"/>
        </w:rPr>
      </w:pPr>
      <w:r w:rsidRPr="00CD3A2D">
        <w:rPr>
          <w:rFonts w:asciiTheme="minorHAnsi" w:hAnsiTheme="minorHAnsi" w:cstheme="minorHAnsi"/>
          <w:sz w:val="22"/>
          <w:szCs w:val="22"/>
          <w:lang w:val="hr-HR" w:eastAsia="hr-HR"/>
        </w:rPr>
        <w:t>Za o</w:t>
      </w:r>
      <w:r w:rsidR="00171116" w:rsidRPr="00CD3A2D">
        <w:rPr>
          <w:rFonts w:asciiTheme="minorHAnsi" w:hAnsiTheme="minorHAnsi" w:cstheme="minorHAnsi"/>
          <w:sz w:val="22"/>
          <w:szCs w:val="22"/>
          <w:lang w:val="hr-HR" w:eastAsia="hr-HR"/>
        </w:rPr>
        <w:t>bjašnjenje o tome kako Grupa klasificira financijsku imovinu u skladu s MSFI</w:t>
      </w:r>
      <w:r w:rsidRPr="00CD3A2D">
        <w:rPr>
          <w:rFonts w:asciiTheme="minorHAnsi" w:hAnsiTheme="minorHAnsi" w:cstheme="minorHAnsi"/>
          <w:sz w:val="22"/>
          <w:szCs w:val="22"/>
          <w:lang w:val="hr-HR" w:eastAsia="hr-HR"/>
        </w:rPr>
        <w:t>-jem</w:t>
      </w:r>
      <w:r w:rsidR="00171116" w:rsidRPr="00CD3A2D">
        <w:rPr>
          <w:rFonts w:asciiTheme="minorHAnsi" w:hAnsiTheme="minorHAnsi" w:cstheme="minorHAnsi"/>
          <w:sz w:val="22"/>
          <w:szCs w:val="22"/>
          <w:lang w:val="hr-HR" w:eastAsia="hr-HR"/>
        </w:rPr>
        <w:t xml:space="preserve"> 9, vidi Bilješku 4.2.G.ii.</w:t>
      </w:r>
    </w:p>
    <w:p w:rsidR="00171116" w:rsidRPr="00CD3A2D" w:rsidRDefault="00171116" w:rsidP="00171116">
      <w:pPr>
        <w:pStyle w:val="ListParagraph"/>
        <w:jc w:val="both"/>
        <w:rPr>
          <w:rFonts w:asciiTheme="minorHAnsi" w:hAnsiTheme="minorHAnsi" w:cstheme="minorHAnsi"/>
          <w:sz w:val="22"/>
          <w:szCs w:val="22"/>
          <w:lang w:val="hr-HR"/>
        </w:rPr>
      </w:pPr>
    </w:p>
    <w:p w:rsidR="00400053" w:rsidRPr="00CD3A2D" w:rsidRDefault="00400053" w:rsidP="004000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Umanjenje vrijednosti financijske imovine</w:t>
      </w:r>
    </w:p>
    <w:p w:rsidR="00400053" w:rsidRPr="00CD3A2D" w:rsidRDefault="00400053" w:rsidP="004000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p>
    <w:p w:rsidR="00400053" w:rsidRPr="00CD3A2D" w:rsidRDefault="00400053" w:rsidP="004000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MSFI 9 zamjenjuje model „nastalih gubitaka“ </w:t>
      </w:r>
      <w:r w:rsidR="00B8018D" w:rsidRPr="00CD3A2D">
        <w:rPr>
          <w:rFonts w:asciiTheme="minorHAnsi" w:hAnsiTheme="minorHAnsi" w:cstheme="minorHAnsi"/>
          <w:sz w:val="22"/>
          <w:szCs w:val="22"/>
          <w:lang w:val="hr-HR" w:eastAsia="hr-HR"/>
        </w:rPr>
        <w:t>prema</w:t>
      </w:r>
      <w:r w:rsidRPr="00CD3A2D">
        <w:rPr>
          <w:rFonts w:asciiTheme="minorHAnsi" w:hAnsiTheme="minorHAnsi" w:cstheme="minorHAnsi"/>
          <w:sz w:val="22"/>
          <w:szCs w:val="22"/>
          <w:lang w:val="hr-HR" w:eastAsia="hr-HR"/>
        </w:rPr>
        <w:t xml:space="preserve"> MRS-u 39 s modelom „očekivan</w:t>
      </w:r>
      <w:r w:rsidR="00B8018D" w:rsidRPr="00CD3A2D">
        <w:rPr>
          <w:rFonts w:asciiTheme="minorHAnsi" w:hAnsiTheme="minorHAnsi" w:cstheme="minorHAnsi"/>
          <w:sz w:val="22"/>
          <w:szCs w:val="22"/>
          <w:lang w:val="hr-HR" w:eastAsia="hr-HR"/>
        </w:rPr>
        <w:t>ih</w:t>
      </w:r>
      <w:r w:rsidRPr="00CD3A2D">
        <w:rPr>
          <w:rFonts w:asciiTheme="minorHAnsi" w:hAnsiTheme="minorHAnsi" w:cstheme="minorHAnsi"/>
          <w:sz w:val="22"/>
          <w:szCs w:val="22"/>
          <w:lang w:val="hr-HR" w:eastAsia="hr-HR"/>
        </w:rPr>
        <w:t xml:space="preserve"> kreditn</w:t>
      </w:r>
      <w:r w:rsidR="00B8018D" w:rsidRPr="00CD3A2D">
        <w:rPr>
          <w:rFonts w:asciiTheme="minorHAnsi" w:hAnsiTheme="minorHAnsi" w:cstheme="minorHAnsi"/>
          <w:sz w:val="22"/>
          <w:szCs w:val="22"/>
          <w:lang w:val="hr-HR" w:eastAsia="hr-HR"/>
        </w:rPr>
        <w:t>ih</w:t>
      </w:r>
      <w:r w:rsidRPr="00CD3A2D">
        <w:rPr>
          <w:rFonts w:asciiTheme="minorHAnsi" w:hAnsiTheme="minorHAnsi" w:cstheme="minorHAnsi"/>
          <w:sz w:val="22"/>
          <w:szCs w:val="22"/>
          <w:lang w:val="hr-HR" w:eastAsia="hr-HR"/>
        </w:rPr>
        <w:t xml:space="preserve"> gubit</w:t>
      </w:r>
      <w:r w:rsidR="00B8018D"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ka“. Novi model umanjenja vrijedi i za određene kreditne obveze i ugovore o financijskim jamstvima, ali ne i za vlasnička ulaganja.</w:t>
      </w:r>
    </w:p>
    <w:p w:rsidR="00400053" w:rsidRPr="00CD3A2D" w:rsidRDefault="00400053" w:rsidP="00400053">
      <w:pPr>
        <w:pStyle w:val="ListParagraph"/>
        <w:ind w:left="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Prema MSFI-ju 9, kreditni gubici priznaju se ranije nego prema MRS-u 39. Za objašnjenje o tome kako Grupa primjenjuje zahtjeve za umanjenjem vrijednosti </w:t>
      </w:r>
      <w:r w:rsidR="00E75F69" w:rsidRPr="00CD3A2D">
        <w:rPr>
          <w:rFonts w:asciiTheme="minorHAnsi" w:hAnsiTheme="minorHAnsi" w:cstheme="minorHAnsi"/>
          <w:sz w:val="22"/>
          <w:szCs w:val="22"/>
          <w:lang w:val="hr-HR" w:eastAsia="hr-HR"/>
        </w:rPr>
        <w:t xml:space="preserve">prema </w:t>
      </w:r>
      <w:r w:rsidRPr="00CD3A2D">
        <w:rPr>
          <w:rFonts w:asciiTheme="minorHAnsi" w:hAnsiTheme="minorHAnsi" w:cstheme="minorHAnsi"/>
          <w:sz w:val="22"/>
          <w:szCs w:val="22"/>
          <w:lang w:val="hr-HR" w:eastAsia="hr-HR"/>
        </w:rPr>
        <w:t>MSFI-j</w:t>
      </w:r>
      <w:r w:rsidR="00E75F69" w:rsidRPr="00CD3A2D">
        <w:rPr>
          <w:rFonts w:asciiTheme="minorHAnsi" w:hAnsiTheme="minorHAnsi" w:cstheme="minorHAnsi"/>
          <w:sz w:val="22"/>
          <w:szCs w:val="22"/>
          <w:lang w:val="hr-HR" w:eastAsia="hr-HR"/>
        </w:rPr>
        <w:t>u</w:t>
      </w:r>
      <w:r w:rsidRPr="00CD3A2D">
        <w:rPr>
          <w:rFonts w:asciiTheme="minorHAnsi" w:hAnsiTheme="minorHAnsi" w:cstheme="minorHAnsi"/>
          <w:sz w:val="22"/>
          <w:szCs w:val="22"/>
          <w:lang w:val="hr-HR" w:eastAsia="hr-HR"/>
        </w:rPr>
        <w:t xml:space="preserve"> 9, vidi Bilješku 4.2.</w:t>
      </w:r>
    </w:p>
    <w:p w:rsidR="001B7593" w:rsidRPr="00CD3A2D" w:rsidRDefault="001B7593" w:rsidP="001B7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rPr>
      </w:pPr>
    </w:p>
    <w:p w:rsidR="00400053" w:rsidRPr="00CD3A2D" w:rsidRDefault="00400053" w:rsidP="004000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Tranzicija</w:t>
      </w:r>
    </w:p>
    <w:p w:rsidR="00400053" w:rsidRPr="00CD3A2D" w:rsidRDefault="00400053" w:rsidP="004000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400053" w:rsidRPr="00CD3A2D" w:rsidRDefault="00400053" w:rsidP="00400053">
      <w:pPr>
        <w:pStyle w:val="ListParagraph"/>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Usporedna razdoblja općenito nisu prepravljena. Razlike u knjigovodstvenim iznosima financijske imovine i financijskih obveza koje proizlaze iz usvajanja MSFI-ja 9 prizna</w:t>
      </w:r>
      <w:r w:rsidR="00B8018D" w:rsidRPr="00CD3A2D">
        <w:rPr>
          <w:rFonts w:asciiTheme="minorHAnsi" w:hAnsiTheme="minorHAnsi" w:cstheme="minorHAnsi"/>
          <w:sz w:val="22"/>
          <w:szCs w:val="22"/>
          <w:lang w:val="hr-HR" w:eastAsia="hr-HR"/>
        </w:rPr>
        <w:t>te</w:t>
      </w:r>
      <w:r w:rsidRPr="00CD3A2D">
        <w:rPr>
          <w:rFonts w:asciiTheme="minorHAnsi" w:hAnsiTheme="minorHAnsi" w:cstheme="minorHAnsi"/>
          <w:sz w:val="22"/>
          <w:szCs w:val="22"/>
          <w:lang w:val="hr-HR" w:eastAsia="hr-HR"/>
        </w:rPr>
        <w:t xml:space="preserve"> s</w:t>
      </w:r>
      <w:r w:rsidR="00B8018D" w:rsidRPr="00CD3A2D">
        <w:rPr>
          <w:rFonts w:asciiTheme="minorHAnsi" w:hAnsiTheme="minorHAnsi" w:cstheme="minorHAnsi"/>
          <w:sz w:val="22"/>
          <w:szCs w:val="22"/>
          <w:lang w:val="hr-HR" w:eastAsia="hr-HR"/>
        </w:rPr>
        <w:t>u</w:t>
      </w:r>
      <w:r w:rsidRPr="00CD3A2D">
        <w:rPr>
          <w:rFonts w:asciiTheme="minorHAnsi" w:hAnsiTheme="minorHAnsi" w:cstheme="minorHAnsi"/>
          <w:sz w:val="22"/>
          <w:szCs w:val="22"/>
          <w:lang w:val="hr-HR" w:eastAsia="hr-HR"/>
        </w:rPr>
        <w:t xml:space="preserve"> u zadržanoj dobiti i rezervama na dan 1. siječnja 2018. godine. Prema tome, informacije prikazane za 2017. godin</w:t>
      </w:r>
      <w:r w:rsidR="00B8018D" w:rsidRPr="00CD3A2D">
        <w:rPr>
          <w:rFonts w:asciiTheme="minorHAnsi" w:hAnsiTheme="minorHAnsi" w:cstheme="minorHAnsi"/>
          <w:sz w:val="22"/>
          <w:szCs w:val="22"/>
          <w:lang w:val="hr-HR" w:eastAsia="hr-HR"/>
        </w:rPr>
        <w:t>u</w:t>
      </w:r>
      <w:r w:rsidRPr="00CD3A2D">
        <w:rPr>
          <w:rFonts w:asciiTheme="minorHAnsi" w:hAnsiTheme="minorHAnsi" w:cstheme="minorHAnsi"/>
          <w:sz w:val="22"/>
          <w:szCs w:val="22"/>
          <w:lang w:val="hr-HR" w:eastAsia="hr-HR"/>
        </w:rPr>
        <w:t xml:space="preserve"> ne odražavaju zahtjeve MSFI-</w:t>
      </w:r>
      <w:r w:rsidR="00B8018D" w:rsidRPr="00CD3A2D">
        <w:rPr>
          <w:rFonts w:asciiTheme="minorHAnsi" w:hAnsiTheme="minorHAnsi" w:cstheme="minorHAnsi"/>
          <w:sz w:val="22"/>
          <w:szCs w:val="22"/>
          <w:lang w:val="hr-HR" w:eastAsia="hr-HR"/>
        </w:rPr>
        <w:t>j</w:t>
      </w:r>
      <w:r w:rsidRPr="00CD3A2D">
        <w:rPr>
          <w:rFonts w:asciiTheme="minorHAnsi" w:hAnsiTheme="minorHAnsi" w:cstheme="minorHAnsi"/>
          <w:sz w:val="22"/>
          <w:szCs w:val="22"/>
          <w:lang w:val="hr-HR" w:eastAsia="hr-HR"/>
        </w:rPr>
        <w:t>a 9 i stoga nisu usporedive s informacijama prikazanim u 2018. godini prema MSFI-ju 9.</w:t>
      </w:r>
    </w:p>
    <w:p w:rsidR="000503DA" w:rsidRPr="001567C8" w:rsidRDefault="000503DA" w:rsidP="00B861E2">
      <w:pPr>
        <w:pStyle w:val="T1"/>
        <w:tabs>
          <w:tab w:val="left" w:pos="567"/>
        </w:tabs>
        <w:spacing w:before="0" w:after="0" w:line="240" w:lineRule="auto"/>
        <w:rPr>
          <w:rFonts w:asciiTheme="minorHAnsi" w:hAnsiTheme="minorHAnsi" w:cs="Arial"/>
          <w:sz w:val="22"/>
          <w:szCs w:val="22"/>
          <w:highlight w:val="yellow"/>
          <w:lang w:val="hr-HR"/>
        </w:rPr>
        <w:sectPr w:rsidR="000503DA" w:rsidRPr="001567C8" w:rsidSect="000D6913">
          <w:pgSz w:w="11907" w:h="16840" w:code="9"/>
          <w:pgMar w:top="1418" w:right="992" w:bottom="1134" w:left="1418" w:header="851" w:footer="851" w:gutter="0"/>
          <w:cols w:space="720"/>
          <w:noEndnote/>
        </w:sectPr>
      </w:pPr>
    </w:p>
    <w:p w:rsidR="00400053" w:rsidRPr="001567C8" w:rsidRDefault="00400053" w:rsidP="00B861E2">
      <w:pPr>
        <w:pStyle w:val="T1"/>
        <w:tabs>
          <w:tab w:val="left" w:pos="567"/>
        </w:tabs>
        <w:spacing w:before="0" w:after="0" w:line="240" w:lineRule="auto"/>
        <w:rPr>
          <w:rFonts w:asciiTheme="minorHAnsi" w:hAnsiTheme="minorHAnsi" w:cs="Arial"/>
          <w:sz w:val="22"/>
          <w:szCs w:val="22"/>
          <w:highlight w:val="yellow"/>
          <w:lang w:val="hr-HR"/>
        </w:rPr>
      </w:pPr>
    </w:p>
    <w:p w:rsidR="000503DA" w:rsidRPr="00CD3A2D" w:rsidRDefault="000503DA" w:rsidP="00050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0503DA" w:rsidRPr="00CD3A2D" w:rsidRDefault="000503DA" w:rsidP="00050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0503DA" w:rsidRPr="00CD3A2D" w:rsidRDefault="000503DA" w:rsidP="00050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4.1. Izmjene računovodstvenih politika (nastavak)</w:t>
      </w:r>
    </w:p>
    <w:p w:rsidR="000503DA" w:rsidRPr="00CD3A2D" w:rsidRDefault="000503DA" w:rsidP="00050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0503DA" w:rsidRPr="00CD3A2D" w:rsidRDefault="000503DA" w:rsidP="000503DA">
      <w:pPr>
        <w:pStyle w:val="ListParagraph"/>
        <w:ind w:left="0"/>
        <w:jc w:val="both"/>
        <w:rPr>
          <w:rFonts w:asciiTheme="minorHAnsi" w:hAnsiTheme="minorHAnsi" w:cstheme="minorHAnsi"/>
          <w:b/>
          <w:sz w:val="22"/>
          <w:szCs w:val="22"/>
          <w:lang w:val="hr-HR"/>
        </w:rPr>
      </w:pPr>
      <w:r w:rsidRPr="00CD3A2D">
        <w:rPr>
          <w:rFonts w:asciiTheme="minorHAnsi" w:hAnsiTheme="minorHAnsi" w:cstheme="minorHAnsi"/>
          <w:b/>
          <w:sz w:val="22"/>
          <w:szCs w:val="22"/>
          <w:lang w:val="hr-HR"/>
        </w:rPr>
        <w:t>4.1.1. MSFI 9 Financijski instrumenti (nastavak)</w:t>
      </w:r>
    </w:p>
    <w:p w:rsidR="000503DA" w:rsidRPr="00CD3A2D" w:rsidRDefault="000503DA" w:rsidP="000503DA">
      <w:pPr>
        <w:pStyle w:val="ListParagraph"/>
        <w:ind w:left="0"/>
        <w:jc w:val="both"/>
        <w:rPr>
          <w:rFonts w:asciiTheme="minorHAnsi" w:hAnsiTheme="minorHAnsi" w:cstheme="minorHAnsi"/>
          <w:b/>
          <w:sz w:val="22"/>
          <w:szCs w:val="22"/>
          <w:lang w:val="hr-HR"/>
        </w:rPr>
      </w:pPr>
    </w:p>
    <w:p w:rsidR="000503DA" w:rsidRPr="00CD3A2D" w:rsidRDefault="000503DA" w:rsidP="00050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Sljedeće procjene izvršene su na temelju činjenica i okolnosti koje su postojale na datum prve primjene:</w:t>
      </w:r>
    </w:p>
    <w:p w:rsidR="000503DA" w:rsidRPr="00CD3A2D" w:rsidRDefault="000503DA" w:rsidP="00050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0503DA" w:rsidRPr="00CD3A2D" w:rsidRDefault="000503DA"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191" w:lineRule="atLeast"/>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ab/>
        <w:t>- određivanje poslovnog modela unutar kojeg se drži financijska imovina,</w:t>
      </w:r>
    </w:p>
    <w:p w:rsidR="000503DA" w:rsidRPr="00CD3A2D" w:rsidRDefault="000503DA"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191" w:lineRule="atLeast"/>
        <w:ind w:left="68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ab/>
        <w:t xml:space="preserve">- </w:t>
      </w:r>
      <w:r w:rsidR="00B8018D" w:rsidRPr="00CD3A2D">
        <w:rPr>
          <w:rFonts w:asciiTheme="minorHAnsi" w:hAnsiTheme="minorHAnsi" w:cstheme="minorHAnsi"/>
          <w:sz w:val="22"/>
          <w:szCs w:val="22"/>
          <w:lang w:val="hr-HR" w:eastAsia="hr-HR"/>
        </w:rPr>
        <w:t>utvrđivanje</w:t>
      </w:r>
      <w:r w:rsidRPr="00CD3A2D">
        <w:rPr>
          <w:rFonts w:asciiTheme="minorHAnsi" w:hAnsiTheme="minorHAnsi" w:cstheme="minorHAnsi"/>
          <w:sz w:val="22"/>
          <w:szCs w:val="22"/>
          <w:lang w:val="hr-HR" w:eastAsia="hr-HR"/>
        </w:rPr>
        <w:t xml:space="preserve"> i </w:t>
      </w:r>
      <w:r w:rsidR="005E4CB6" w:rsidRPr="00CD3A2D">
        <w:rPr>
          <w:rFonts w:asciiTheme="minorHAnsi" w:hAnsiTheme="minorHAnsi" w:cstheme="minorHAnsi"/>
          <w:sz w:val="22"/>
          <w:szCs w:val="22"/>
          <w:lang w:val="hr-HR" w:eastAsia="hr-HR"/>
        </w:rPr>
        <w:t>ukidanje</w:t>
      </w:r>
      <w:r w:rsidRPr="00CD3A2D">
        <w:rPr>
          <w:rFonts w:asciiTheme="minorHAnsi" w:hAnsiTheme="minorHAnsi" w:cstheme="minorHAnsi"/>
          <w:sz w:val="22"/>
          <w:szCs w:val="22"/>
          <w:lang w:val="hr-HR" w:eastAsia="hr-HR"/>
        </w:rPr>
        <w:t xml:space="preserve"> prethodnih oznaka </w:t>
      </w:r>
      <w:r w:rsidR="005E4CB6" w:rsidRPr="00CD3A2D">
        <w:rPr>
          <w:rFonts w:asciiTheme="minorHAnsi" w:hAnsiTheme="minorHAnsi" w:cstheme="minorHAnsi"/>
          <w:sz w:val="22"/>
          <w:szCs w:val="22"/>
          <w:lang w:val="hr-HR" w:eastAsia="hr-HR"/>
        </w:rPr>
        <w:t>o</w:t>
      </w:r>
      <w:r w:rsidRPr="00CD3A2D">
        <w:rPr>
          <w:rFonts w:asciiTheme="minorHAnsi" w:hAnsiTheme="minorHAnsi" w:cstheme="minorHAnsi"/>
          <w:sz w:val="22"/>
          <w:szCs w:val="22"/>
          <w:lang w:val="hr-HR" w:eastAsia="hr-HR"/>
        </w:rPr>
        <w:t>dređen</w:t>
      </w:r>
      <w:r w:rsidR="005E4CB6" w:rsidRPr="00CD3A2D">
        <w:rPr>
          <w:rFonts w:asciiTheme="minorHAnsi" w:hAnsiTheme="minorHAnsi" w:cstheme="minorHAnsi"/>
          <w:sz w:val="22"/>
          <w:szCs w:val="22"/>
          <w:lang w:val="hr-HR" w:eastAsia="hr-HR"/>
        </w:rPr>
        <w:t>e</w:t>
      </w:r>
      <w:r w:rsidRPr="00CD3A2D">
        <w:rPr>
          <w:rFonts w:asciiTheme="minorHAnsi" w:hAnsiTheme="minorHAnsi" w:cstheme="minorHAnsi"/>
          <w:sz w:val="22"/>
          <w:szCs w:val="22"/>
          <w:lang w:val="hr-HR" w:eastAsia="hr-HR"/>
        </w:rPr>
        <w:t xml:space="preserve"> financijsk</w:t>
      </w:r>
      <w:r w:rsidR="005E4CB6" w:rsidRPr="00CD3A2D">
        <w:rPr>
          <w:rFonts w:asciiTheme="minorHAnsi" w:hAnsiTheme="minorHAnsi" w:cstheme="minorHAnsi"/>
          <w:sz w:val="22"/>
          <w:szCs w:val="22"/>
          <w:lang w:val="hr-HR" w:eastAsia="hr-HR"/>
        </w:rPr>
        <w:t>e</w:t>
      </w:r>
      <w:r w:rsidRPr="00CD3A2D">
        <w:rPr>
          <w:rFonts w:asciiTheme="minorHAnsi" w:hAnsiTheme="minorHAnsi" w:cstheme="minorHAnsi"/>
          <w:sz w:val="22"/>
          <w:szCs w:val="22"/>
          <w:lang w:val="hr-HR" w:eastAsia="hr-HR"/>
        </w:rPr>
        <w:t xml:space="preserve"> imovin</w:t>
      </w:r>
      <w:r w:rsidR="005E4CB6" w:rsidRPr="00CD3A2D">
        <w:rPr>
          <w:rFonts w:asciiTheme="minorHAnsi" w:hAnsiTheme="minorHAnsi" w:cstheme="minorHAnsi"/>
          <w:sz w:val="22"/>
          <w:szCs w:val="22"/>
          <w:lang w:val="hr-HR" w:eastAsia="hr-HR"/>
        </w:rPr>
        <w:t>e</w:t>
      </w:r>
      <w:r w:rsidRPr="00CD3A2D">
        <w:rPr>
          <w:rFonts w:asciiTheme="minorHAnsi" w:hAnsiTheme="minorHAnsi" w:cstheme="minorHAnsi"/>
          <w:sz w:val="22"/>
          <w:szCs w:val="22"/>
          <w:lang w:val="hr-HR" w:eastAsia="hr-HR"/>
        </w:rPr>
        <w:t xml:space="preserve"> i financijsk</w:t>
      </w:r>
      <w:r w:rsidR="005E4CB6" w:rsidRPr="00CD3A2D">
        <w:rPr>
          <w:rFonts w:asciiTheme="minorHAnsi" w:hAnsiTheme="minorHAnsi" w:cstheme="minorHAnsi"/>
          <w:sz w:val="22"/>
          <w:szCs w:val="22"/>
          <w:lang w:val="hr-HR" w:eastAsia="hr-HR"/>
        </w:rPr>
        <w:t>ih</w:t>
      </w:r>
      <w:r w:rsidRPr="00CD3A2D">
        <w:rPr>
          <w:rFonts w:asciiTheme="minorHAnsi" w:hAnsiTheme="minorHAnsi" w:cstheme="minorHAnsi"/>
          <w:sz w:val="22"/>
          <w:szCs w:val="22"/>
          <w:lang w:val="hr-HR" w:eastAsia="hr-HR"/>
        </w:rPr>
        <w:t xml:space="preserve"> obvez</w:t>
      </w:r>
      <w:r w:rsidR="005E4CB6"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 xml:space="preserve">    </w:t>
      </w:r>
      <w:r w:rsidRPr="00CD3A2D">
        <w:rPr>
          <w:rFonts w:asciiTheme="minorHAnsi" w:hAnsiTheme="minorHAnsi" w:cstheme="minorHAnsi"/>
          <w:sz w:val="22"/>
          <w:szCs w:val="22"/>
          <w:lang w:val="hr-HR" w:eastAsia="hr-HR"/>
        </w:rPr>
        <w:tab/>
        <w:t xml:space="preserve">   mjeren</w:t>
      </w:r>
      <w:r w:rsidR="005E4CB6" w:rsidRPr="00CD3A2D">
        <w:rPr>
          <w:rFonts w:asciiTheme="minorHAnsi" w:hAnsiTheme="minorHAnsi" w:cstheme="minorHAnsi"/>
          <w:sz w:val="22"/>
          <w:szCs w:val="22"/>
          <w:lang w:val="hr-HR" w:eastAsia="hr-HR"/>
        </w:rPr>
        <w:t>ih</w:t>
      </w:r>
      <w:r w:rsidRPr="00CD3A2D">
        <w:rPr>
          <w:rFonts w:asciiTheme="minorHAnsi" w:hAnsiTheme="minorHAnsi" w:cstheme="minorHAnsi"/>
          <w:sz w:val="22"/>
          <w:szCs w:val="22"/>
          <w:lang w:val="hr-HR" w:eastAsia="hr-HR"/>
        </w:rPr>
        <w:t xml:space="preserve"> po fer vrijednosti kroz dobit </w:t>
      </w:r>
      <w:r w:rsidR="005E4CB6" w:rsidRPr="00CD3A2D">
        <w:rPr>
          <w:rFonts w:asciiTheme="minorHAnsi" w:hAnsiTheme="minorHAnsi" w:cstheme="minorHAnsi"/>
          <w:sz w:val="22"/>
          <w:szCs w:val="22"/>
          <w:lang w:val="hr-HR" w:eastAsia="hr-HR"/>
        </w:rPr>
        <w:t>ili</w:t>
      </w:r>
      <w:r w:rsidRPr="00CD3A2D">
        <w:rPr>
          <w:rFonts w:asciiTheme="minorHAnsi" w:hAnsiTheme="minorHAnsi" w:cstheme="minorHAnsi"/>
          <w:sz w:val="22"/>
          <w:szCs w:val="22"/>
          <w:lang w:val="hr-HR" w:eastAsia="hr-HR"/>
        </w:rPr>
        <w:t xml:space="preserve"> gubit</w:t>
      </w:r>
      <w:r w:rsidR="005E4CB6"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k,</w:t>
      </w:r>
    </w:p>
    <w:p w:rsidR="000503DA" w:rsidRPr="00CD3A2D" w:rsidRDefault="000503DA"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191" w:lineRule="atLeast"/>
        <w:ind w:left="916"/>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 </w:t>
      </w:r>
      <w:r w:rsidR="00B8018D" w:rsidRPr="00CD3A2D">
        <w:rPr>
          <w:rFonts w:asciiTheme="minorHAnsi" w:hAnsiTheme="minorHAnsi" w:cstheme="minorHAnsi"/>
          <w:sz w:val="22"/>
          <w:szCs w:val="22"/>
          <w:lang w:val="hr-HR" w:eastAsia="hr-HR"/>
        </w:rPr>
        <w:t>utvrđivanje</w:t>
      </w:r>
      <w:r w:rsidRPr="00CD3A2D">
        <w:rPr>
          <w:rFonts w:asciiTheme="minorHAnsi" w:hAnsiTheme="minorHAnsi" w:cstheme="minorHAnsi"/>
          <w:sz w:val="22"/>
          <w:szCs w:val="22"/>
          <w:lang w:val="hr-HR" w:eastAsia="hr-HR"/>
        </w:rPr>
        <w:t xml:space="preserve"> određenih ulaganja u vlasničke instrumente koji se ne drže radi trgovanja</w:t>
      </w:r>
      <w:r w:rsidR="005E4CB6" w:rsidRPr="00CD3A2D">
        <w:rPr>
          <w:rFonts w:asciiTheme="minorHAnsi" w:hAnsiTheme="minorHAnsi" w:cstheme="minorHAnsi"/>
          <w:sz w:val="22"/>
          <w:szCs w:val="22"/>
          <w:lang w:val="hr-HR" w:eastAsia="hr-HR"/>
        </w:rPr>
        <w:t xml:space="preserve"> kao financijska imovina po fer vrijednosti kroz ostalu sveobuhvatnu dobit</w:t>
      </w:r>
      <w:r w:rsidRPr="00CD3A2D">
        <w:rPr>
          <w:rFonts w:asciiTheme="minorHAnsi" w:hAnsiTheme="minorHAnsi" w:cstheme="minorHAnsi"/>
          <w:sz w:val="22"/>
          <w:szCs w:val="22"/>
          <w:lang w:val="hr-HR" w:eastAsia="hr-HR"/>
        </w:rPr>
        <w:t>.</w:t>
      </w:r>
    </w:p>
    <w:p w:rsidR="000503DA" w:rsidRPr="00CD3A2D" w:rsidRDefault="000503DA" w:rsidP="003C6BA3">
      <w:pPr>
        <w:pStyle w:val="ListParagraph"/>
        <w:spacing w:after="120" w:line="191" w:lineRule="atLeast"/>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 xml:space="preserve">Za više informacija i pojedinosti o </w:t>
      </w:r>
      <w:r w:rsidR="0074004A" w:rsidRPr="00CD3A2D">
        <w:rPr>
          <w:rFonts w:asciiTheme="minorHAnsi" w:hAnsiTheme="minorHAnsi" w:cstheme="minorHAnsi"/>
          <w:sz w:val="22"/>
          <w:szCs w:val="22"/>
          <w:lang w:val="hr-HR" w:eastAsia="hr-HR"/>
        </w:rPr>
        <w:t>izmjenama</w:t>
      </w:r>
      <w:r w:rsidRPr="00CD3A2D">
        <w:rPr>
          <w:rFonts w:asciiTheme="minorHAnsi" w:hAnsiTheme="minorHAnsi" w:cstheme="minorHAnsi"/>
          <w:sz w:val="22"/>
          <w:szCs w:val="22"/>
          <w:lang w:val="hr-HR" w:eastAsia="hr-HR"/>
        </w:rPr>
        <w:t xml:space="preserve"> i </w:t>
      </w:r>
      <w:r w:rsidR="0074004A" w:rsidRPr="00CD3A2D">
        <w:rPr>
          <w:rFonts w:asciiTheme="minorHAnsi" w:hAnsiTheme="minorHAnsi" w:cstheme="minorHAnsi"/>
          <w:sz w:val="22"/>
          <w:szCs w:val="22"/>
          <w:lang w:val="hr-HR" w:eastAsia="hr-HR"/>
        </w:rPr>
        <w:t>učincima</w:t>
      </w:r>
      <w:r w:rsidRPr="00CD3A2D">
        <w:rPr>
          <w:rFonts w:asciiTheme="minorHAnsi" w:hAnsiTheme="minorHAnsi" w:cstheme="minorHAnsi"/>
          <w:sz w:val="22"/>
          <w:szCs w:val="22"/>
          <w:lang w:val="hr-HR" w:eastAsia="hr-HR"/>
        </w:rPr>
        <w:t xml:space="preserve"> koj</w:t>
      </w:r>
      <w:r w:rsidR="0074004A" w:rsidRPr="00CD3A2D">
        <w:rPr>
          <w:rFonts w:asciiTheme="minorHAnsi" w:hAnsiTheme="minorHAnsi" w:cstheme="minorHAnsi"/>
          <w:sz w:val="22"/>
          <w:szCs w:val="22"/>
          <w:lang w:val="hr-HR" w:eastAsia="hr-HR"/>
        </w:rPr>
        <w:t>i</w:t>
      </w:r>
      <w:r w:rsidRPr="00CD3A2D">
        <w:rPr>
          <w:rFonts w:asciiTheme="minorHAnsi" w:hAnsiTheme="minorHAnsi" w:cstheme="minorHAnsi"/>
          <w:sz w:val="22"/>
          <w:szCs w:val="22"/>
          <w:lang w:val="hr-HR" w:eastAsia="hr-HR"/>
        </w:rPr>
        <w:t xml:space="preserve"> proizlaze iz usvajanja MSFI-ja 9, vidi bilješku 5. </w:t>
      </w:r>
    </w:p>
    <w:p w:rsidR="000503DA" w:rsidRPr="00CD3A2D" w:rsidRDefault="000503DA" w:rsidP="000503DA">
      <w:pPr>
        <w:pStyle w:val="ListParagraph"/>
        <w:jc w:val="both"/>
        <w:rPr>
          <w:rFonts w:cstheme="minorHAnsi"/>
          <w:lang w:val="hr-HR"/>
        </w:rPr>
      </w:pPr>
    </w:p>
    <w:p w:rsidR="0074004A" w:rsidRPr="00CD3A2D" w:rsidRDefault="0074004A" w:rsidP="007400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4.1.2. MSFI 15 Prihodi po ugovorima s kupcima</w:t>
      </w:r>
    </w:p>
    <w:p w:rsidR="0074004A" w:rsidRPr="00CD3A2D" w:rsidRDefault="0074004A" w:rsidP="007400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74004A" w:rsidRPr="00CD3A2D" w:rsidRDefault="0074004A" w:rsidP="007400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MSFI 15 uspostavlja sveobuhvatan okvir za utvrđivanje da li, koliko i kada se prihod priznaje. Zamijenio je MRS 18 Prihodi, MRS 11 Ugovori o izgradnji i povezana tumačenja.</w:t>
      </w:r>
    </w:p>
    <w:p w:rsidR="0074004A" w:rsidRPr="00CD3A2D" w:rsidRDefault="0074004A" w:rsidP="007400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74004A" w:rsidRPr="00CD3A2D" w:rsidRDefault="0074004A" w:rsidP="0074004A">
      <w:pPr>
        <w:pStyle w:val="ListParagraph"/>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Usvajanje MSFI-a 15 nije utjecalo na vrijeme ili iznos prihoda od naknada i provizija Grupe po ugovorima s kupcima. Utjecaj MSFI-ja 15 ograničen je na nove zahtjeve za objavljivanjem podataka (vidi bilješku 8</w:t>
      </w:r>
      <w:r w:rsidR="007659EC" w:rsidRPr="00CD3A2D">
        <w:rPr>
          <w:rFonts w:asciiTheme="minorHAnsi" w:hAnsiTheme="minorHAnsi" w:cstheme="minorHAnsi"/>
          <w:sz w:val="22"/>
          <w:szCs w:val="22"/>
          <w:lang w:val="hr-HR" w:eastAsia="hr-HR"/>
        </w:rPr>
        <w:t>.</w:t>
      </w:r>
      <w:r w:rsidRPr="00CD3A2D">
        <w:rPr>
          <w:rFonts w:asciiTheme="minorHAnsi" w:hAnsiTheme="minorHAnsi" w:cstheme="minorHAnsi"/>
          <w:sz w:val="22"/>
          <w:szCs w:val="22"/>
          <w:lang w:val="hr-HR" w:eastAsia="hr-HR"/>
        </w:rPr>
        <w:t>).</w:t>
      </w:r>
    </w:p>
    <w:p w:rsidR="0074004A" w:rsidRPr="001567C8" w:rsidRDefault="0074004A" w:rsidP="00B861E2">
      <w:pPr>
        <w:pStyle w:val="T1"/>
        <w:tabs>
          <w:tab w:val="left" w:pos="567"/>
        </w:tabs>
        <w:spacing w:before="0" w:after="0" w:line="240" w:lineRule="auto"/>
        <w:rPr>
          <w:rFonts w:asciiTheme="minorHAnsi" w:hAnsiTheme="minorHAnsi" w:cs="Arial"/>
          <w:sz w:val="22"/>
          <w:szCs w:val="22"/>
          <w:highlight w:val="yellow"/>
          <w:lang w:val="hr-HR"/>
        </w:rPr>
      </w:pPr>
    </w:p>
    <w:p w:rsidR="0074004A" w:rsidRPr="00CD3A2D" w:rsidRDefault="0074004A" w:rsidP="007400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w:t>
      </w:r>
    </w:p>
    <w:p w:rsidR="0074004A" w:rsidRPr="00CD3A2D" w:rsidRDefault="0074004A" w:rsidP="007400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FB35D4" w:rsidRPr="001567C8" w:rsidRDefault="00FB35D4" w:rsidP="00FB35D4">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Osnovne računovodstvene politike primijenjene pri sastavljanju ovih financijskih izvještaja sažete su u nastavku.</w:t>
      </w:r>
    </w:p>
    <w:p w:rsidR="00FB35D4" w:rsidRPr="00CD3A2D" w:rsidRDefault="00FB35D4" w:rsidP="0074004A">
      <w:pPr>
        <w:pStyle w:val="ListParagraph"/>
        <w:ind w:left="0"/>
        <w:jc w:val="both"/>
        <w:rPr>
          <w:rFonts w:asciiTheme="minorHAnsi" w:hAnsiTheme="minorHAnsi" w:cstheme="minorHAnsi"/>
          <w:sz w:val="22"/>
          <w:szCs w:val="22"/>
          <w:lang w:val="hr-HR" w:eastAsia="hr-HR"/>
        </w:rPr>
      </w:pPr>
    </w:p>
    <w:p w:rsidR="0074004A" w:rsidRPr="00CD3A2D" w:rsidRDefault="0074004A" w:rsidP="0074004A">
      <w:pPr>
        <w:pStyle w:val="ListParagraph"/>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 xml:space="preserve">Osim </w:t>
      </w:r>
      <w:r w:rsidR="00917890" w:rsidRPr="00CD3A2D">
        <w:rPr>
          <w:rFonts w:asciiTheme="minorHAnsi" w:hAnsiTheme="minorHAnsi" w:cstheme="minorHAnsi"/>
          <w:sz w:val="22"/>
          <w:szCs w:val="22"/>
          <w:lang w:val="hr-HR" w:eastAsia="hr-HR"/>
        </w:rPr>
        <w:t>izmjena</w:t>
      </w:r>
      <w:r w:rsidRPr="00CD3A2D">
        <w:rPr>
          <w:rFonts w:asciiTheme="minorHAnsi" w:hAnsiTheme="minorHAnsi" w:cstheme="minorHAnsi"/>
          <w:sz w:val="22"/>
          <w:szCs w:val="22"/>
          <w:lang w:val="hr-HR" w:eastAsia="hr-HR"/>
        </w:rPr>
        <w:t xml:space="preserve"> navedenih u bilješci 4.1., Grupa je dosljedno primjenjivala sljedeće računovodstvene politike na sva razdoblja</w:t>
      </w:r>
      <w:r w:rsidR="00EA2CF1" w:rsidRPr="00CD3A2D">
        <w:rPr>
          <w:rFonts w:asciiTheme="minorHAnsi" w:hAnsiTheme="minorHAnsi" w:cstheme="minorHAnsi"/>
          <w:sz w:val="22"/>
          <w:szCs w:val="22"/>
          <w:lang w:val="hr-HR" w:eastAsia="hr-HR"/>
        </w:rPr>
        <w:t xml:space="preserve"> iskazana</w:t>
      </w:r>
      <w:r w:rsidRPr="00CD3A2D">
        <w:rPr>
          <w:rFonts w:asciiTheme="minorHAnsi" w:hAnsiTheme="minorHAnsi" w:cstheme="minorHAnsi"/>
          <w:sz w:val="22"/>
          <w:szCs w:val="22"/>
          <w:lang w:val="hr-HR" w:eastAsia="hr-HR"/>
        </w:rPr>
        <w:t xml:space="preserve"> u ovim konsolidiranim financijskim izvještajima.</w:t>
      </w:r>
    </w:p>
    <w:p w:rsidR="00EA2CF1" w:rsidRPr="001567C8" w:rsidRDefault="00EA2CF1" w:rsidP="00B861E2">
      <w:pPr>
        <w:pStyle w:val="T1"/>
        <w:tabs>
          <w:tab w:val="left" w:pos="567"/>
        </w:tabs>
        <w:spacing w:before="0" w:after="0" w:line="240" w:lineRule="auto"/>
        <w:rPr>
          <w:rFonts w:asciiTheme="minorHAnsi" w:hAnsiTheme="minorHAnsi" w:cstheme="minorHAnsi"/>
          <w:sz w:val="22"/>
          <w:szCs w:val="22"/>
          <w:highlight w:val="yellow"/>
          <w:lang w:val="hr-HR"/>
        </w:rPr>
        <w:sectPr w:rsidR="00EA2CF1" w:rsidRPr="001567C8" w:rsidSect="000D6913">
          <w:pgSz w:w="11907" w:h="16840" w:code="9"/>
          <w:pgMar w:top="1418" w:right="992" w:bottom="1134" w:left="1418" w:header="851" w:footer="851" w:gutter="0"/>
          <w:cols w:space="720"/>
          <w:noEndnote/>
        </w:sectPr>
      </w:pPr>
    </w:p>
    <w:p w:rsidR="00EA2CF1" w:rsidRPr="00CD3A2D" w:rsidRDefault="00EA2CF1" w:rsidP="00EA2C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EA2CF1" w:rsidRPr="00CD3A2D" w:rsidRDefault="00EA2CF1" w:rsidP="00EA2C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74004A" w:rsidRPr="001567C8" w:rsidRDefault="0074004A" w:rsidP="00B861E2">
      <w:pPr>
        <w:pStyle w:val="T1"/>
        <w:tabs>
          <w:tab w:val="left" w:pos="567"/>
        </w:tabs>
        <w:spacing w:before="0" w:after="0" w:line="240" w:lineRule="auto"/>
        <w:rPr>
          <w:rFonts w:asciiTheme="minorHAnsi" w:hAnsiTheme="minorHAnsi" w:cstheme="minorHAnsi"/>
          <w:sz w:val="22"/>
          <w:szCs w:val="22"/>
          <w:highlight w:val="yellow"/>
          <w:lang w:val="hr-HR"/>
        </w:rPr>
      </w:pPr>
    </w:p>
    <w:p w:rsidR="00EA2CF1" w:rsidRPr="00CD3A2D" w:rsidRDefault="00EA2CF1" w:rsidP="00EA2C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EA2CF1" w:rsidRPr="001567C8" w:rsidRDefault="00EA2CF1" w:rsidP="00B861E2">
      <w:pPr>
        <w:pStyle w:val="T1"/>
        <w:tabs>
          <w:tab w:val="left" w:pos="567"/>
        </w:tabs>
        <w:spacing w:before="0" w:after="0" w:line="240" w:lineRule="auto"/>
        <w:rPr>
          <w:rFonts w:asciiTheme="minorHAnsi" w:hAnsiTheme="minorHAnsi" w:cstheme="minorHAnsi"/>
          <w:sz w:val="22"/>
          <w:szCs w:val="22"/>
          <w:highlight w:val="yellow"/>
          <w:lang w:val="hr-HR"/>
        </w:rPr>
      </w:pPr>
    </w:p>
    <w:p w:rsidR="0074004A" w:rsidRPr="001567C8" w:rsidRDefault="008E4DC9" w:rsidP="00B861E2">
      <w:pPr>
        <w:pStyle w:val="T1"/>
        <w:tabs>
          <w:tab w:val="left" w:pos="567"/>
        </w:tabs>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 xml:space="preserve">A. </w:t>
      </w:r>
      <w:r w:rsidR="00EA2CF1" w:rsidRPr="001567C8">
        <w:rPr>
          <w:rFonts w:asciiTheme="minorHAnsi" w:hAnsiTheme="minorHAnsi" w:cs="Arial"/>
          <w:sz w:val="22"/>
          <w:szCs w:val="22"/>
          <w:lang w:val="hr-HR"/>
        </w:rPr>
        <w:t>Osnova za konsolidaciju</w:t>
      </w:r>
    </w:p>
    <w:p w:rsidR="00EA2CF1" w:rsidRPr="001567C8" w:rsidRDefault="00EA2CF1" w:rsidP="00B861E2">
      <w:pPr>
        <w:pStyle w:val="T1"/>
        <w:tabs>
          <w:tab w:val="left" w:pos="567"/>
        </w:tabs>
        <w:spacing w:before="0" w:after="0" w:line="240" w:lineRule="auto"/>
        <w:rPr>
          <w:rFonts w:asciiTheme="minorHAnsi" w:hAnsiTheme="minorHAnsi" w:cs="Arial"/>
          <w:sz w:val="22"/>
          <w:szCs w:val="22"/>
          <w:highlight w:val="yellow"/>
          <w:lang w:val="hr-HR"/>
        </w:rPr>
      </w:pPr>
    </w:p>
    <w:p w:rsidR="00EA2CF1" w:rsidRPr="00CD3A2D" w:rsidRDefault="00EA2CF1" w:rsidP="00EA2C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Ovisna društva</w:t>
      </w:r>
    </w:p>
    <w:p w:rsidR="00EA2CF1" w:rsidRPr="00CD3A2D"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Ovisna društva su društva pod kontrolom Grupe. Grupa "kontrolira" subjekt ako je izložena ili ima prava na varijabilne povrate iz svog sudjelovanja u subjektu i ima mogućnost utjecati na te povrate kroz svoju moć nad subjektom. Grupa ponovno procjenjuje ima li kontrolu ako postoje promjene u jednom ili više elemenata kontrole. To uključuje okolnosti u kojima zaštitna prava koja se drže (npr. ona koja proizlaze iz kreditnog odnosa) postaju bitna i dovode do toga da Grupa ima vlast nad subjektom u koji ulaže.</w:t>
      </w:r>
    </w:p>
    <w:p w:rsidR="00EA2CF1" w:rsidRPr="00CD3A2D" w:rsidRDefault="00EA2CF1" w:rsidP="003C6BA3">
      <w:pPr>
        <w:pStyle w:val="ListParagraph"/>
        <w:spacing w:before="120" w:after="120"/>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Financijski izvještaji ovisnih društava uključeni su u konsolidirane financijske izvještaje od datuma početka kontrole do datuma prestanka kontrole.</w:t>
      </w:r>
    </w:p>
    <w:p w:rsidR="00EA2CF1" w:rsidRPr="00CD3A2D"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Nekontrolirajući udjeli</w:t>
      </w:r>
    </w:p>
    <w:p w:rsidR="00EA2CF1" w:rsidRPr="00CD3A2D"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Nekontrolirajući udjeli mjere se </w:t>
      </w:r>
      <w:r w:rsidR="000C4A95" w:rsidRPr="00CD3A2D">
        <w:rPr>
          <w:rFonts w:asciiTheme="minorHAnsi" w:hAnsiTheme="minorHAnsi" w:cstheme="minorHAnsi"/>
          <w:sz w:val="22"/>
          <w:szCs w:val="22"/>
          <w:lang w:val="hr-HR" w:eastAsia="hr-HR"/>
        </w:rPr>
        <w:t xml:space="preserve">prema </w:t>
      </w:r>
      <w:r w:rsidRPr="00CD3A2D">
        <w:rPr>
          <w:rFonts w:asciiTheme="minorHAnsi" w:hAnsiTheme="minorHAnsi" w:cstheme="minorHAnsi"/>
          <w:sz w:val="22"/>
          <w:szCs w:val="22"/>
          <w:lang w:val="hr-HR" w:eastAsia="hr-HR"/>
        </w:rPr>
        <w:t xml:space="preserve">njihovom proporcionalnom udjelu u </w:t>
      </w:r>
      <w:r w:rsidR="000C4A95" w:rsidRPr="00CD3A2D">
        <w:rPr>
          <w:rFonts w:asciiTheme="minorHAnsi" w:hAnsiTheme="minorHAnsi" w:cstheme="minorHAnsi"/>
          <w:sz w:val="22"/>
          <w:szCs w:val="22"/>
          <w:lang w:val="hr-HR" w:eastAsia="hr-HR"/>
        </w:rPr>
        <w:t>utvrdivoj</w:t>
      </w:r>
      <w:r w:rsidRPr="00CD3A2D">
        <w:rPr>
          <w:rFonts w:asciiTheme="minorHAnsi" w:hAnsiTheme="minorHAnsi" w:cstheme="minorHAnsi"/>
          <w:sz w:val="22"/>
          <w:szCs w:val="22"/>
          <w:lang w:val="hr-HR" w:eastAsia="hr-HR"/>
        </w:rPr>
        <w:t xml:space="preserve"> neto imovini stečenog društva na datum stjecanja.</w:t>
      </w:r>
    </w:p>
    <w:p w:rsidR="00EA2CF1" w:rsidRPr="00CD3A2D" w:rsidRDefault="00381DD9" w:rsidP="003C6BA3">
      <w:pPr>
        <w:pStyle w:val="ListParagraph"/>
        <w:spacing w:before="120" w:after="120"/>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Promjene vlasničkog udjela</w:t>
      </w:r>
      <w:r w:rsidR="00EA2CF1" w:rsidRPr="00CD3A2D">
        <w:rPr>
          <w:rFonts w:asciiTheme="minorHAnsi" w:hAnsiTheme="minorHAnsi" w:cstheme="minorHAnsi"/>
          <w:sz w:val="22"/>
          <w:szCs w:val="22"/>
          <w:lang w:val="hr-HR" w:eastAsia="hr-HR"/>
        </w:rPr>
        <w:t xml:space="preserve"> </w:t>
      </w:r>
      <w:r w:rsidR="00CA5916" w:rsidRPr="00CD3A2D">
        <w:rPr>
          <w:rFonts w:asciiTheme="minorHAnsi" w:hAnsiTheme="minorHAnsi" w:cstheme="minorHAnsi"/>
          <w:sz w:val="22"/>
          <w:szCs w:val="22"/>
          <w:lang w:val="hr-HR" w:eastAsia="hr-HR"/>
        </w:rPr>
        <w:t>Grupe</w:t>
      </w:r>
      <w:r w:rsidR="00EA2CF1" w:rsidRPr="00CD3A2D">
        <w:rPr>
          <w:rFonts w:asciiTheme="minorHAnsi" w:hAnsiTheme="minorHAnsi" w:cstheme="minorHAnsi"/>
          <w:sz w:val="22"/>
          <w:szCs w:val="22"/>
          <w:lang w:val="hr-HR" w:eastAsia="hr-HR"/>
        </w:rPr>
        <w:t xml:space="preserve"> u </w:t>
      </w:r>
      <w:r w:rsidR="000C4A95" w:rsidRPr="00CD3A2D">
        <w:rPr>
          <w:rFonts w:asciiTheme="minorHAnsi" w:hAnsiTheme="minorHAnsi" w:cstheme="minorHAnsi"/>
          <w:sz w:val="22"/>
          <w:szCs w:val="22"/>
          <w:lang w:val="hr-HR" w:eastAsia="hr-HR"/>
        </w:rPr>
        <w:t>ovisnom društvu</w:t>
      </w:r>
      <w:r w:rsidR="00EA2CF1" w:rsidRPr="00CD3A2D">
        <w:rPr>
          <w:rFonts w:asciiTheme="minorHAnsi" w:hAnsiTheme="minorHAnsi" w:cstheme="minorHAnsi"/>
          <w:sz w:val="22"/>
          <w:szCs w:val="22"/>
          <w:lang w:val="hr-HR" w:eastAsia="hr-HR"/>
        </w:rPr>
        <w:t xml:space="preserve"> koje</w:t>
      </w:r>
      <w:r w:rsidRPr="00CD3A2D">
        <w:rPr>
          <w:rFonts w:asciiTheme="minorHAnsi" w:hAnsiTheme="minorHAnsi" w:cstheme="minorHAnsi"/>
          <w:sz w:val="22"/>
          <w:szCs w:val="22"/>
          <w:lang w:val="hr-HR" w:eastAsia="hr-HR"/>
        </w:rPr>
        <w:t xml:space="preserve"> nemaju za posljedicu gubitak kontrole obračunavaju se kao transakcije</w:t>
      </w:r>
      <w:r w:rsidR="00EA2CF1" w:rsidRPr="00CD3A2D">
        <w:rPr>
          <w:rFonts w:asciiTheme="minorHAnsi" w:hAnsiTheme="minorHAnsi" w:cstheme="minorHAnsi"/>
          <w:sz w:val="22"/>
          <w:szCs w:val="22"/>
          <w:lang w:val="hr-HR" w:eastAsia="hr-HR"/>
        </w:rPr>
        <w:t xml:space="preserve"> vlasničkim kapitalom.</w:t>
      </w:r>
    </w:p>
    <w:p w:rsidR="00EA2CF1" w:rsidRPr="00CD3A2D"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Gubitak kontrole</w:t>
      </w:r>
    </w:p>
    <w:p w:rsidR="000C4A95" w:rsidRPr="00CD3A2D" w:rsidRDefault="000C4A95" w:rsidP="003C6BA3">
      <w:pPr>
        <w:pStyle w:val="ListParagraph"/>
        <w:spacing w:before="120" w:after="120"/>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Kada </w:t>
      </w:r>
      <w:r w:rsidR="00CA5916" w:rsidRPr="00CD3A2D">
        <w:rPr>
          <w:rFonts w:asciiTheme="minorHAnsi" w:hAnsiTheme="minorHAnsi" w:cstheme="minorHAnsi"/>
          <w:sz w:val="22"/>
          <w:szCs w:val="22"/>
          <w:lang w:val="hr-HR"/>
        </w:rPr>
        <w:t>Grupa</w:t>
      </w:r>
      <w:r w:rsidRPr="00CD3A2D">
        <w:rPr>
          <w:rFonts w:asciiTheme="minorHAnsi" w:hAnsiTheme="minorHAnsi" w:cstheme="minorHAnsi"/>
          <w:sz w:val="22"/>
          <w:szCs w:val="22"/>
          <w:lang w:val="hr-HR"/>
        </w:rPr>
        <w:t xml:space="preserve"> izgubi kontrolu nad ovisnim </w:t>
      </w:r>
      <w:r w:rsidR="00DA25D1" w:rsidRPr="001567C8">
        <w:rPr>
          <w:rFonts w:asciiTheme="minorHAnsi" w:hAnsiTheme="minorHAnsi" w:cstheme="minorHAnsi"/>
          <w:sz w:val="22"/>
          <w:szCs w:val="22"/>
          <w:lang w:val="hr-HR"/>
        </w:rPr>
        <w:t>društvima</w:t>
      </w:r>
      <w:r w:rsidRPr="00CD3A2D">
        <w:rPr>
          <w:rFonts w:asciiTheme="minorHAnsi" w:hAnsiTheme="minorHAnsi" w:cstheme="minorHAnsi"/>
          <w:sz w:val="22"/>
          <w:szCs w:val="22"/>
          <w:lang w:val="hr-HR"/>
        </w:rPr>
        <w:t>, prestaje priznavati imovinu i obveze ovisnog društva te sve povezane nekontrolirajuće udjele i ostale sastavne dijelove kapitala.</w:t>
      </w:r>
    </w:p>
    <w:p w:rsidR="00EA2CF1" w:rsidRPr="00CD3A2D" w:rsidRDefault="00EA2CF1" w:rsidP="003C6BA3">
      <w:pPr>
        <w:pStyle w:val="ListParagraph"/>
        <w:spacing w:before="120" w:after="120"/>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 xml:space="preserve">Dobici ili gubici </w:t>
      </w:r>
      <w:r w:rsidR="000C4A95" w:rsidRPr="00CD3A2D">
        <w:rPr>
          <w:rFonts w:asciiTheme="minorHAnsi" w:hAnsiTheme="minorHAnsi" w:cstheme="minorHAnsi"/>
          <w:sz w:val="22"/>
          <w:szCs w:val="22"/>
          <w:lang w:val="hr-HR" w:eastAsia="hr-HR"/>
        </w:rPr>
        <w:t xml:space="preserve">koji su rezultat navedenoga priznaju se u dobit ili gubitak. </w:t>
      </w:r>
      <w:r w:rsidR="00AF6D5E" w:rsidRPr="00CD3A2D">
        <w:rPr>
          <w:rFonts w:asciiTheme="minorHAnsi" w:hAnsiTheme="minorHAnsi" w:cstheme="minorHAnsi"/>
          <w:sz w:val="22"/>
          <w:szCs w:val="22"/>
          <w:lang w:val="hr-HR" w:eastAsia="hr-HR"/>
        </w:rPr>
        <w:t>Pri gubitku kontrole, bi</w:t>
      </w:r>
      <w:r w:rsidR="00381DD9" w:rsidRPr="00CD3A2D">
        <w:rPr>
          <w:rFonts w:asciiTheme="minorHAnsi" w:hAnsiTheme="minorHAnsi" w:cstheme="minorHAnsi"/>
          <w:sz w:val="22"/>
          <w:szCs w:val="22"/>
          <w:lang w:val="hr-HR" w:eastAsia="hr-HR"/>
        </w:rPr>
        <w:t>lo koji udio</w:t>
      </w:r>
      <w:r w:rsidRPr="00CD3A2D">
        <w:rPr>
          <w:rFonts w:asciiTheme="minorHAnsi" w:hAnsiTheme="minorHAnsi" w:cstheme="minorHAnsi"/>
          <w:sz w:val="22"/>
          <w:szCs w:val="22"/>
          <w:lang w:val="hr-HR" w:eastAsia="hr-HR"/>
        </w:rPr>
        <w:t xml:space="preserve"> zadržan u </w:t>
      </w:r>
      <w:r w:rsidR="00381DD9" w:rsidRPr="00CD3A2D">
        <w:rPr>
          <w:rFonts w:asciiTheme="minorHAnsi" w:hAnsiTheme="minorHAnsi" w:cstheme="minorHAnsi"/>
          <w:sz w:val="22"/>
          <w:szCs w:val="22"/>
          <w:lang w:val="hr-HR" w:eastAsia="hr-HR"/>
        </w:rPr>
        <w:t>bivšem ovisnom društvu</w:t>
      </w:r>
      <w:r w:rsidRPr="00CD3A2D">
        <w:rPr>
          <w:rFonts w:asciiTheme="minorHAnsi" w:hAnsiTheme="minorHAnsi" w:cstheme="minorHAnsi"/>
          <w:sz w:val="22"/>
          <w:szCs w:val="22"/>
          <w:lang w:val="hr-HR" w:eastAsia="hr-HR"/>
        </w:rPr>
        <w:t xml:space="preserve"> mjeri se po fer vrijednosti.</w:t>
      </w:r>
    </w:p>
    <w:p w:rsidR="00EA2CF1" w:rsidRPr="00CD3A2D"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Transakcije eliminirane prilikom konsolidacije</w:t>
      </w:r>
    </w:p>
    <w:p w:rsidR="00EA2CF1" w:rsidRPr="00CD3A2D" w:rsidRDefault="00EA2CF1" w:rsidP="003C6BA3">
      <w:pPr>
        <w:pStyle w:val="ListParagraph"/>
        <w:spacing w:before="120" w:after="120"/>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Stanja i transakcije unutar grupe te svi nerealizirani prihodi i rashodi koji proizlaze iz transakcija unutar grupe eliminiraju se prilikom sastavljanja konsolidiranih financijskih izvještaja. Nerealizirani gubici se eliminiraju na isti način kao i nerealizirani dobici, ali samo u onoj mjeri u kojoj nema dokaza o umanjenju vrijednosti.</w:t>
      </w:r>
    </w:p>
    <w:p w:rsidR="00EA2CF1" w:rsidRPr="001567C8" w:rsidRDefault="008E4DC9" w:rsidP="003C6BA3">
      <w:pPr>
        <w:pStyle w:val="T1"/>
        <w:tabs>
          <w:tab w:val="left" w:pos="567"/>
        </w:tabs>
        <w:spacing w:before="120" w:line="240" w:lineRule="auto"/>
        <w:rPr>
          <w:rFonts w:asciiTheme="minorHAnsi" w:hAnsiTheme="minorHAnsi" w:cstheme="minorHAnsi"/>
          <w:b w:val="0"/>
          <w:i/>
          <w:sz w:val="22"/>
          <w:szCs w:val="22"/>
          <w:lang w:val="hr-HR"/>
        </w:rPr>
      </w:pPr>
      <w:r w:rsidRPr="001567C8">
        <w:rPr>
          <w:rFonts w:asciiTheme="minorHAnsi" w:hAnsiTheme="minorHAnsi" w:cstheme="minorHAnsi"/>
          <w:b w:val="0"/>
          <w:i/>
          <w:sz w:val="22"/>
          <w:szCs w:val="22"/>
          <w:lang w:val="hr-HR"/>
        </w:rPr>
        <w:t>Pridružena društva</w:t>
      </w:r>
    </w:p>
    <w:p w:rsidR="008E4DC9" w:rsidRPr="00CD3A2D" w:rsidRDefault="008E4DC9"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Pridružena društva su društva u kojima Grupa ima značajan utjecaj, ali nema kontrolu. Ulaganja u pridružena društva iskazuju se primjenom metode udjela u konsolidiranim financijskim izvještajima i početno se priznaju po trošku stjecanja. Ulaganja Grupe u pridružena društva uključuju goodwill (umanjen za akumulirani gubitak od umanjenja vrijednosti) utvrđen pri stjecanju. U odvojenim financijskim izvještajima Banke ulaganja u pridružena društva iskazuju se po trošku umanjenom za umanjenje vrijednosti.</w:t>
      </w:r>
    </w:p>
    <w:p w:rsidR="009E526D" w:rsidRPr="00CD3A2D" w:rsidRDefault="009E526D" w:rsidP="009E526D">
      <w:pPr>
        <w:pStyle w:val="BodyText"/>
        <w:spacing w:before="120" w:after="120"/>
        <w:ind w:right="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Udio Grupe u dobicima ili gubicima pridruženih društava nakon stjecanja priznaje se u računu dobiti i gubitka, a njezin udio u njihovim rezervama nakon stjecanja priznaje se u rezervama. Kumulativna kretanja nakon stjecanja usklađuju se s knjigovodstvenom vrijednošću ulaganja. Kada je udio Grupe u gubicima nekog pridruženog društva jednak ili veći od udjela u tom društvu, uključujući i sva ostala neosigurana potraživanja, Grupa ne priznaje daljnje gubitke, osim ako je pretrpjela obveze ili je izvršila plaćanja u ime pridruženog društva.  </w:t>
      </w:r>
    </w:p>
    <w:p w:rsidR="008E4DC9" w:rsidRPr="001567C8" w:rsidRDefault="008E4DC9">
      <w:pPr>
        <w:pStyle w:val="T1"/>
        <w:spacing w:before="0" w:after="0" w:line="240" w:lineRule="auto"/>
        <w:rPr>
          <w:rFonts w:asciiTheme="minorHAnsi" w:hAnsiTheme="minorHAnsi" w:cs="Arial"/>
          <w:sz w:val="22"/>
          <w:szCs w:val="22"/>
          <w:highlight w:val="yellow"/>
          <w:lang w:val="hr-HR"/>
        </w:rPr>
        <w:sectPr w:rsidR="008E4DC9" w:rsidRPr="001567C8" w:rsidSect="000D6913">
          <w:pgSz w:w="11907" w:h="16840" w:code="9"/>
          <w:pgMar w:top="1418" w:right="992" w:bottom="1134" w:left="1418" w:header="851" w:footer="851" w:gutter="0"/>
          <w:cols w:space="720"/>
          <w:noEndnote/>
        </w:sectPr>
      </w:pPr>
    </w:p>
    <w:p w:rsidR="00B861E2" w:rsidRPr="001567C8" w:rsidRDefault="00B861E2">
      <w:pPr>
        <w:pStyle w:val="T1"/>
        <w:spacing w:before="0" w:after="0" w:line="240" w:lineRule="auto"/>
        <w:rPr>
          <w:rFonts w:asciiTheme="minorHAnsi" w:hAnsiTheme="minorHAnsi" w:cs="Arial"/>
          <w:b w:val="0"/>
          <w:bCs w:val="0"/>
          <w:sz w:val="22"/>
          <w:szCs w:val="22"/>
          <w:lang w:val="hr-HR"/>
        </w:rPr>
      </w:pPr>
    </w:p>
    <w:p w:rsidR="00832597" w:rsidRPr="00CD3A2D" w:rsidRDefault="00832597" w:rsidP="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104234" w:rsidRPr="00CD3A2D" w:rsidRDefault="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832597" w:rsidRPr="00CD3A2D" w:rsidRDefault="00832597" w:rsidP="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104234" w:rsidRPr="00CD3A2D" w:rsidRDefault="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p>
    <w:p w:rsidR="00832597" w:rsidRPr="001567C8" w:rsidRDefault="00832597" w:rsidP="00104234">
      <w:pPr>
        <w:pStyle w:val="T1"/>
        <w:keepNext w:val="0"/>
        <w:tabs>
          <w:tab w:val="left" w:pos="567"/>
        </w:tabs>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A. Osnova za konsolidaciju (nastavak)</w:t>
      </w:r>
    </w:p>
    <w:p w:rsidR="00104234" w:rsidRPr="001567C8" w:rsidRDefault="00104234" w:rsidP="003C6BA3">
      <w:pPr>
        <w:pStyle w:val="T1"/>
        <w:keepNext w:val="0"/>
        <w:tabs>
          <w:tab w:val="left" w:pos="567"/>
        </w:tabs>
        <w:spacing w:before="0" w:after="0" w:line="240" w:lineRule="auto"/>
        <w:rPr>
          <w:rFonts w:asciiTheme="minorHAnsi" w:hAnsiTheme="minorHAnsi" w:cs="Arial"/>
          <w:sz w:val="22"/>
          <w:szCs w:val="22"/>
          <w:lang w:val="hr-HR"/>
        </w:rPr>
      </w:pPr>
    </w:p>
    <w:p w:rsidR="00832597" w:rsidRPr="001567C8" w:rsidRDefault="00832597" w:rsidP="00104234">
      <w:pPr>
        <w:pStyle w:val="T1"/>
        <w:keepNext w:val="0"/>
        <w:tabs>
          <w:tab w:val="left" w:pos="567"/>
        </w:tabs>
        <w:spacing w:before="0" w:after="0" w:line="240" w:lineRule="auto"/>
        <w:rPr>
          <w:rFonts w:asciiTheme="minorHAnsi" w:hAnsiTheme="minorHAnsi" w:cstheme="minorHAnsi"/>
          <w:b w:val="0"/>
          <w:i/>
          <w:sz w:val="22"/>
          <w:szCs w:val="22"/>
          <w:lang w:val="hr-HR"/>
        </w:rPr>
      </w:pPr>
      <w:r w:rsidRPr="001567C8">
        <w:rPr>
          <w:rFonts w:asciiTheme="minorHAnsi" w:hAnsiTheme="minorHAnsi" w:cstheme="minorHAnsi"/>
          <w:b w:val="0"/>
          <w:i/>
          <w:sz w:val="22"/>
          <w:szCs w:val="22"/>
          <w:lang w:val="hr-HR"/>
        </w:rPr>
        <w:t>Pridružena društva (nastavak)</w:t>
      </w:r>
    </w:p>
    <w:p w:rsidR="00104234" w:rsidRPr="001567C8" w:rsidRDefault="00104234" w:rsidP="003C6BA3">
      <w:pPr>
        <w:pStyle w:val="T1"/>
        <w:keepNext w:val="0"/>
        <w:tabs>
          <w:tab w:val="left" w:pos="567"/>
        </w:tabs>
        <w:spacing w:before="0" w:after="0" w:line="240" w:lineRule="auto"/>
        <w:rPr>
          <w:rFonts w:asciiTheme="minorHAnsi" w:hAnsiTheme="minorHAnsi" w:cstheme="minorHAnsi"/>
          <w:b w:val="0"/>
          <w:i/>
          <w:sz w:val="22"/>
          <w:szCs w:val="22"/>
          <w:lang w:val="hr-HR"/>
        </w:rPr>
      </w:pPr>
    </w:p>
    <w:p w:rsidR="00832597" w:rsidRPr="00CD3A2D" w:rsidRDefault="008325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Dividende primljene od pridruženih društava tretiraju se kao smanjenje ulaganja u pridruženo društvo u konsolidiranom izvještaju o financijskom položaju Grupe i kao prihod od dividendi u </w:t>
      </w:r>
      <w:r w:rsidR="006F2C96" w:rsidRPr="00CD3A2D">
        <w:rPr>
          <w:rFonts w:asciiTheme="minorHAnsi" w:hAnsiTheme="minorHAnsi" w:cstheme="minorHAnsi"/>
          <w:sz w:val="22"/>
          <w:szCs w:val="22"/>
          <w:lang w:val="hr-HR" w:eastAsia="hr-HR"/>
        </w:rPr>
        <w:t>odvojenom</w:t>
      </w:r>
      <w:r w:rsidRPr="00CD3A2D">
        <w:rPr>
          <w:rFonts w:asciiTheme="minorHAnsi" w:hAnsiTheme="minorHAnsi" w:cstheme="minorHAnsi"/>
          <w:sz w:val="22"/>
          <w:szCs w:val="22"/>
          <w:lang w:val="hr-HR" w:eastAsia="hr-HR"/>
        </w:rPr>
        <w:t xml:space="preserve"> računu dobiti i gubitka Banke.</w:t>
      </w:r>
    </w:p>
    <w:p w:rsidR="00832597" w:rsidRPr="00CD3A2D" w:rsidRDefault="00832597" w:rsidP="003C6BA3">
      <w:pPr>
        <w:pStyle w:val="ListParagraph"/>
        <w:spacing w:before="120" w:after="120"/>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eastAsia="hr-HR"/>
        </w:rPr>
        <w:t>Nerealizirani dobici od transakcija između Grupe i njezinih pridruženih društava eliminiraju se do visine udjela Grupe u pridruženom društvu. Nerealizirani gubici se također eliminiraju, osim ako transakcija pruža dokaz o umanjenju prenesene imovine. Računovodstvene politike pridruženih društava izmijenjene su prema potrebi kako bi se osigurala usklađenost s politikama koje je usvojila Grupa.</w:t>
      </w:r>
    </w:p>
    <w:p w:rsidR="00104234" w:rsidRPr="00CD3A2D" w:rsidRDefault="00104234" w:rsidP="003C6BA3">
      <w:pPr>
        <w:pStyle w:val="ListParagraph"/>
        <w:ind w:left="0"/>
        <w:jc w:val="both"/>
        <w:rPr>
          <w:rFonts w:asciiTheme="minorHAnsi" w:hAnsiTheme="minorHAnsi" w:cstheme="minorHAnsi"/>
          <w:b/>
          <w:sz w:val="22"/>
          <w:szCs w:val="22"/>
          <w:lang w:val="hr-HR"/>
        </w:rPr>
      </w:pPr>
    </w:p>
    <w:p w:rsidR="00BB1722" w:rsidRPr="00CD3A2D" w:rsidRDefault="00BB1722">
      <w:pPr>
        <w:pStyle w:val="ListParagraph"/>
        <w:ind w:left="0"/>
        <w:jc w:val="both"/>
        <w:rPr>
          <w:rFonts w:asciiTheme="minorHAnsi" w:hAnsiTheme="minorHAnsi" w:cstheme="minorHAnsi"/>
          <w:b/>
          <w:sz w:val="22"/>
          <w:szCs w:val="22"/>
          <w:lang w:val="hr-HR"/>
        </w:rPr>
      </w:pPr>
      <w:r w:rsidRPr="00CD3A2D">
        <w:rPr>
          <w:rFonts w:asciiTheme="minorHAnsi" w:hAnsiTheme="minorHAnsi" w:cstheme="minorHAnsi"/>
          <w:b/>
          <w:sz w:val="22"/>
          <w:szCs w:val="22"/>
          <w:lang w:val="hr-HR"/>
        </w:rPr>
        <w:t>B. Transakcije u inozemnim valutama i uz valutnu klauzulu</w:t>
      </w:r>
    </w:p>
    <w:p w:rsidR="00104234" w:rsidRPr="001567C8" w:rsidRDefault="00104234">
      <w:pPr>
        <w:pStyle w:val="T1"/>
        <w:tabs>
          <w:tab w:val="left" w:pos="567"/>
        </w:tabs>
        <w:spacing w:before="0" w:after="0" w:line="240" w:lineRule="auto"/>
        <w:rPr>
          <w:rFonts w:asciiTheme="minorHAnsi" w:hAnsiTheme="minorHAnsi" w:cs="Arial"/>
          <w:sz w:val="22"/>
          <w:szCs w:val="22"/>
          <w:lang w:val="hr-HR"/>
        </w:rPr>
      </w:pPr>
    </w:p>
    <w:p w:rsidR="009B3FCB" w:rsidRPr="001567C8" w:rsidRDefault="009B3FCB">
      <w:pPr>
        <w:pStyle w:val="accountingpolicytitle"/>
        <w:rPr>
          <w:rFonts w:asciiTheme="minorHAnsi" w:hAnsiTheme="minorHAnsi" w:cs="Arial"/>
          <w:b w:val="0"/>
          <w:bCs/>
          <w:sz w:val="22"/>
          <w:szCs w:val="22"/>
          <w:lang w:val="hr-HR"/>
        </w:rPr>
      </w:pPr>
      <w:r w:rsidRPr="001567C8">
        <w:rPr>
          <w:rFonts w:asciiTheme="minorHAnsi" w:hAnsiTheme="minorHAnsi" w:cs="Arial"/>
          <w:b w:val="0"/>
          <w:bCs/>
          <w:sz w:val="22"/>
          <w:szCs w:val="22"/>
          <w:lang w:val="hr-HR"/>
        </w:rPr>
        <w:t>Sredstva i izvori sredstava izraženi u inozemnim sredstvima plaćanja preračunavaju se u kunsku protuvrijednost po tečaju Hrvatske narodne banke važećem na izvještajni dan ili po ugovornom tečaju. Prihodi i rashodi u inozemnim sredstvima plaćanja preračunavaju se po tečaju na dan transakcije. Ostvareni prihodi i rashodi nastali preračunavanjem po tečaju knjiže se u dobit ili gubitak.</w:t>
      </w:r>
    </w:p>
    <w:p w:rsidR="00CF04BE" w:rsidRPr="001567C8" w:rsidRDefault="00CF04BE" w:rsidP="003C6BA3">
      <w:pPr>
        <w:pStyle w:val="accountingpolicytitle"/>
        <w:spacing w:before="120" w:after="120"/>
        <w:rPr>
          <w:rFonts w:asciiTheme="minorHAnsi" w:hAnsiTheme="minorHAnsi" w:cs="Arial"/>
          <w:b w:val="0"/>
          <w:bCs/>
          <w:sz w:val="22"/>
          <w:szCs w:val="22"/>
          <w:lang w:val="hr-HR"/>
        </w:rPr>
      </w:pPr>
      <w:r w:rsidRPr="001567C8">
        <w:rPr>
          <w:rFonts w:asciiTheme="minorHAnsi" w:hAnsiTheme="minorHAnsi" w:cs="Arial"/>
          <w:b w:val="0"/>
          <w:bCs/>
          <w:sz w:val="22"/>
          <w:szCs w:val="22"/>
          <w:lang w:val="hr-HR"/>
        </w:rPr>
        <w:t>Banka posjeduje imovinu nastalu u hrvatskim kunama koja je jednosmjernom valutnom klauzulom vezana za inozemnu valutu. Zahvaljujući toj klauzuli, Banka ima mogućnost revalorizacije imovine primjenom deviznog tečaja važećeg na dan dospijeća koji je povoljniji za Banku u usporedbi s tečajem koji je na snazi na dan nastanka imovine.</w:t>
      </w:r>
    </w:p>
    <w:p w:rsidR="009E526D" w:rsidRPr="00CD3A2D" w:rsidRDefault="009E526D" w:rsidP="009E526D">
      <w:pPr>
        <w:jc w:val="both"/>
        <w:rPr>
          <w:rFonts w:ascii="Calibri" w:hAnsi="Calibri" w:cs="Calibri"/>
          <w:sz w:val="22"/>
          <w:szCs w:val="22"/>
          <w:lang w:val="hr-HR"/>
        </w:rPr>
      </w:pPr>
      <w:r w:rsidRPr="00CD3A2D">
        <w:rPr>
          <w:rFonts w:ascii="Calibri" w:hAnsi="Calibri" w:cs="Calibri"/>
          <w:sz w:val="22"/>
          <w:szCs w:val="22"/>
          <w:lang w:val="hr-HR"/>
        </w:rPr>
        <w:t xml:space="preserve">Tečajne razlike koje proizlaze iz preračunavanja vlasničkih ulaganja za koja je izvršen odabir </w:t>
      </w:r>
      <w:r w:rsidR="004E73F1" w:rsidRPr="00CD3A2D">
        <w:rPr>
          <w:rFonts w:ascii="Calibri" w:hAnsi="Calibri" w:cs="Calibri"/>
          <w:sz w:val="22"/>
          <w:szCs w:val="22"/>
          <w:lang w:val="hr-HR"/>
        </w:rPr>
        <w:t>prikazivanja</w:t>
      </w:r>
      <w:r w:rsidRPr="00CD3A2D">
        <w:rPr>
          <w:rFonts w:ascii="Calibri" w:hAnsi="Calibri" w:cs="Calibri"/>
          <w:sz w:val="22"/>
          <w:szCs w:val="22"/>
          <w:lang w:val="hr-HR"/>
        </w:rPr>
        <w:t xml:space="preserve"> naknadn</w:t>
      </w:r>
      <w:r w:rsidR="004E73F1" w:rsidRPr="00CD3A2D">
        <w:rPr>
          <w:rFonts w:ascii="Calibri" w:hAnsi="Calibri" w:cs="Calibri"/>
          <w:sz w:val="22"/>
          <w:szCs w:val="22"/>
          <w:lang w:val="hr-HR"/>
        </w:rPr>
        <w:t>ih</w:t>
      </w:r>
      <w:r w:rsidRPr="00CD3A2D">
        <w:rPr>
          <w:rFonts w:ascii="Calibri" w:hAnsi="Calibri" w:cs="Calibri"/>
          <w:sz w:val="22"/>
          <w:szCs w:val="22"/>
          <w:lang w:val="hr-HR"/>
        </w:rPr>
        <w:t xml:space="preserve"> promjen</w:t>
      </w:r>
      <w:r w:rsidR="004E73F1" w:rsidRPr="00CD3A2D">
        <w:rPr>
          <w:rFonts w:ascii="Calibri" w:hAnsi="Calibri" w:cs="Calibri"/>
          <w:sz w:val="22"/>
          <w:szCs w:val="22"/>
          <w:lang w:val="hr-HR"/>
        </w:rPr>
        <w:t>a</w:t>
      </w:r>
      <w:r w:rsidRPr="00CD3A2D">
        <w:rPr>
          <w:rFonts w:ascii="Calibri" w:hAnsi="Calibri" w:cs="Calibri"/>
          <w:sz w:val="22"/>
          <w:szCs w:val="22"/>
          <w:lang w:val="hr-HR"/>
        </w:rPr>
        <w:t xml:space="preserve"> fer vrijednosti u ostaloj sveobuhvatnoj dobiti, priznaju se u ostaloj sveobuhvatnoj dobiti. Iznosi priznati u ostaloj sveobuhvatnoj dobiti </w:t>
      </w:r>
      <w:r w:rsidR="00E477D2">
        <w:rPr>
          <w:rFonts w:ascii="Calibri" w:hAnsi="Calibri" w:cs="Calibri"/>
          <w:sz w:val="22"/>
          <w:szCs w:val="22"/>
          <w:lang w:val="hr-HR"/>
        </w:rPr>
        <w:t xml:space="preserve">koji proizlaze iz vlasničkih ulaganja </w:t>
      </w:r>
      <w:r w:rsidRPr="00CD3A2D">
        <w:rPr>
          <w:rFonts w:ascii="Calibri" w:hAnsi="Calibri" w:cs="Calibri"/>
          <w:sz w:val="22"/>
          <w:szCs w:val="22"/>
          <w:lang w:val="hr-HR"/>
        </w:rPr>
        <w:t xml:space="preserve">ne prenose se u dobit ili gubitak, već se zadržavaju u </w:t>
      </w:r>
      <w:r w:rsidR="00E477D2">
        <w:rPr>
          <w:rFonts w:ascii="Calibri" w:hAnsi="Calibri" w:cs="Calibri"/>
          <w:sz w:val="22"/>
          <w:szCs w:val="22"/>
          <w:lang w:val="hr-HR"/>
        </w:rPr>
        <w:t>ostaloj sveobuhvatnoj dobiti</w:t>
      </w:r>
      <w:r w:rsidRPr="00CD3A2D">
        <w:rPr>
          <w:rFonts w:ascii="Calibri" w:hAnsi="Calibri" w:cs="Calibri"/>
          <w:sz w:val="22"/>
          <w:szCs w:val="22"/>
          <w:lang w:val="hr-HR"/>
        </w:rPr>
        <w:t xml:space="preserve"> u trenutku prestanka priznavanja.</w:t>
      </w:r>
    </w:p>
    <w:p w:rsidR="007B5C1D" w:rsidRPr="001567C8" w:rsidRDefault="007B5C1D" w:rsidP="003C6BA3">
      <w:pPr>
        <w:spacing w:before="120" w:after="120"/>
        <w:jc w:val="both"/>
        <w:rPr>
          <w:rFonts w:asciiTheme="minorHAnsi" w:hAnsiTheme="minorHAnsi" w:cs="Arial"/>
          <w:sz w:val="22"/>
          <w:szCs w:val="22"/>
          <w:lang w:val="hr-HR"/>
        </w:rPr>
      </w:pPr>
      <w:r w:rsidRPr="001567C8">
        <w:rPr>
          <w:rFonts w:asciiTheme="minorHAnsi" w:hAnsiTheme="minorHAnsi" w:cs="Arial"/>
          <w:sz w:val="22"/>
          <w:szCs w:val="22"/>
          <w:lang w:val="hr-HR"/>
        </w:rPr>
        <w:t xml:space="preserve">Valutni tečajevi osnovnih valuta koje je objavila Hrvatska narodna banka i koje su korištene u sastavljanju financijskih izvještaja na izvještajni datum su: </w:t>
      </w:r>
    </w:p>
    <w:tbl>
      <w:tblPr>
        <w:tblW w:w="5000" w:type="pct"/>
        <w:tblLook w:val="0000" w:firstRow="0" w:lastRow="0" w:firstColumn="0" w:lastColumn="0" w:noHBand="0" w:noVBand="0"/>
      </w:tblPr>
      <w:tblGrid>
        <w:gridCol w:w="2741"/>
        <w:gridCol w:w="273"/>
        <w:gridCol w:w="3190"/>
        <w:gridCol w:w="236"/>
        <w:gridCol w:w="2915"/>
      </w:tblGrid>
      <w:tr w:rsidR="007B5C1D" w:rsidRPr="001567C8" w:rsidTr="003C6BA3">
        <w:trPr>
          <w:trHeight w:hRule="exact" w:val="392"/>
        </w:trPr>
        <w:tc>
          <w:tcPr>
            <w:tcW w:w="1465" w:type="pct"/>
            <w:vAlign w:val="center"/>
          </w:tcPr>
          <w:p w:rsidR="007B5C1D" w:rsidRPr="001567C8" w:rsidRDefault="007B5C1D" w:rsidP="003C6BA3">
            <w:pPr>
              <w:spacing w:before="120" w:after="120"/>
              <w:jc w:val="both"/>
              <w:rPr>
                <w:rFonts w:asciiTheme="minorHAnsi" w:hAnsiTheme="minorHAnsi" w:cs="Arial"/>
                <w:sz w:val="22"/>
                <w:szCs w:val="22"/>
                <w:lang w:val="hr-HR"/>
              </w:rPr>
            </w:pPr>
            <w:r w:rsidRPr="001567C8">
              <w:rPr>
                <w:rFonts w:asciiTheme="minorHAnsi" w:hAnsiTheme="minorHAnsi" w:cs="Arial"/>
                <w:sz w:val="22"/>
                <w:szCs w:val="22"/>
                <w:lang w:val="hr-HR"/>
              </w:rPr>
              <w:t>31. prosinca 2018. godine</w:t>
            </w:r>
          </w:p>
        </w:tc>
        <w:tc>
          <w:tcPr>
            <w:tcW w:w="146" w:type="pct"/>
            <w:vAlign w:val="center"/>
          </w:tcPr>
          <w:p w:rsidR="007B5C1D" w:rsidRPr="001567C8" w:rsidRDefault="007B5C1D" w:rsidP="003C6BA3">
            <w:pPr>
              <w:spacing w:before="120" w:after="120"/>
              <w:jc w:val="both"/>
              <w:rPr>
                <w:rFonts w:asciiTheme="minorHAnsi" w:hAnsiTheme="minorHAnsi" w:cs="Arial"/>
                <w:sz w:val="22"/>
                <w:szCs w:val="22"/>
                <w:lang w:val="hr-HR"/>
              </w:rPr>
            </w:pPr>
          </w:p>
        </w:tc>
        <w:tc>
          <w:tcPr>
            <w:tcW w:w="1705" w:type="pct"/>
            <w:vAlign w:val="center"/>
          </w:tcPr>
          <w:p w:rsidR="007B5C1D" w:rsidRPr="001567C8" w:rsidRDefault="007B5C1D" w:rsidP="003C6BA3">
            <w:pPr>
              <w:spacing w:before="120" w:after="120"/>
              <w:jc w:val="center"/>
              <w:rPr>
                <w:rFonts w:asciiTheme="minorHAnsi" w:hAnsiTheme="minorHAnsi" w:cs="Arial"/>
                <w:sz w:val="22"/>
                <w:szCs w:val="22"/>
                <w:lang w:val="hr-HR"/>
              </w:rPr>
            </w:pPr>
            <w:r w:rsidRPr="001567C8">
              <w:rPr>
                <w:rFonts w:asciiTheme="minorHAnsi" w:hAnsiTheme="minorHAnsi" w:cs="Arial"/>
                <w:sz w:val="22"/>
                <w:szCs w:val="22"/>
                <w:lang w:val="hr-HR"/>
              </w:rPr>
              <w:t>1 EUR = 7,417575 kuna</w:t>
            </w:r>
          </w:p>
        </w:tc>
        <w:tc>
          <w:tcPr>
            <w:tcW w:w="126" w:type="pct"/>
            <w:vAlign w:val="center"/>
          </w:tcPr>
          <w:p w:rsidR="007B5C1D" w:rsidRPr="001567C8" w:rsidRDefault="007B5C1D" w:rsidP="003C6BA3">
            <w:pPr>
              <w:spacing w:before="120" w:after="120"/>
              <w:jc w:val="center"/>
              <w:rPr>
                <w:rFonts w:asciiTheme="minorHAnsi" w:hAnsiTheme="minorHAnsi" w:cs="Arial"/>
                <w:sz w:val="22"/>
                <w:szCs w:val="22"/>
                <w:lang w:val="hr-HR"/>
              </w:rPr>
            </w:pPr>
          </w:p>
        </w:tc>
        <w:tc>
          <w:tcPr>
            <w:tcW w:w="1558" w:type="pct"/>
            <w:vAlign w:val="center"/>
          </w:tcPr>
          <w:p w:rsidR="007B5C1D" w:rsidRPr="001567C8" w:rsidRDefault="007B5C1D" w:rsidP="003C6BA3">
            <w:pPr>
              <w:spacing w:before="120" w:after="120"/>
              <w:jc w:val="center"/>
              <w:rPr>
                <w:rFonts w:asciiTheme="minorHAnsi" w:hAnsiTheme="minorHAnsi" w:cs="Arial"/>
                <w:sz w:val="22"/>
                <w:szCs w:val="22"/>
                <w:lang w:val="hr-HR"/>
              </w:rPr>
            </w:pPr>
            <w:r w:rsidRPr="001567C8">
              <w:rPr>
                <w:rFonts w:asciiTheme="minorHAnsi" w:hAnsiTheme="minorHAnsi" w:cs="Arial"/>
                <w:sz w:val="22"/>
                <w:szCs w:val="22"/>
                <w:lang w:val="hr-HR"/>
              </w:rPr>
              <w:t>1 USD = 6,469192 kuna</w:t>
            </w:r>
          </w:p>
        </w:tc>
      </w:tr>
      <w:tr w:rsidR="007B5C1D" w:rsidRPr="001567C8" w:rsidTr="003C6BA3">
        <w:trPr>
          <w:trHeight w:hRule="exact" w:val="340"/>
        </w:trPr>
        <w:tc>
          <w:tcPr>
            <w:tcW w:w="1465" w:type="pct"/>
            <w:vAlign w:val="center"/>
          </w:tcPr>
          <w:p w:rsidR="007B5C1D" w:rsidRPr="001567C8" w:rsidRDefault="007B5C1D" w:rsidP="007B5C1D">
            <w:pPr>
              <w:jc w:val="both"/>
              <w:rPr>
                <w:rFonts w:asciiTheme="minorHAnsi" w:hAnsiTheme="minorHAnsi" w:cs="Arial"/>
                <w:sz w:val="22"/>
                <w:szCs w:val="22"/>
                <w:lang w:val="hr-HR"/>
              </w:rPr>
            </w:pPr>
            <w:r w:rsidRPr="001567C8">
              <w:rPr>
                <w:rFonts w:asciiTheme="minorHAnsi" w:hAnsiTheme="minorHAnsi" w:cs="Arial"/>
                <w:sz w:val="22"/>
                <w:szCs w:val="22"/>
                <w:lang w:val="hr-HR"/>
              </w:rPr>
              <w:t>31. prosinca 2017. godine</w:t>
            </w:r>
          </w:p>
        </w:tc>
        <w:tc>
          <w:tcPr>
            <w:tcW w:w="146" w:type="pct"/>
            <w:vAlign w:val="center"/>
          </w:tcPr>
          <w:p w:rsidR="007B5C1D" w:rsidRPr="001567C8" w:rsidRDefault="007B5C1D" w:rsidP="007B5C1D">
            <w:pPr>
              <w:jc w:val="both"/>
              <w:rPr>
                <w:rFonts w:asciiTheme="minorHAnsi" w:hAnsiTheme="minorHAnsi" w:cs="Arial"/>
                <w:sz w:val="22"/>
                <w:szCs w:val="22"/>
                <w:lang w:val="hr-HR"/>
              </w:rPr>
            </w:pPr>
          </w:p>
        </w:tc>
        <w:tc>
          <w:tcPr>
            <w:tcW w:w="1705" w:type="pct"/>
            <w:vAlign w:val="center"/>
          </w:tcPr>
          <w:p w:rsidR="007B5C1D" w:rsidRPr="001567C8" w:rsidRDefault="007B5C1D" w:rsidP="007B5C1D">
            <w:pPr>
              <w:jc w:val="center"/>
              <w:rPr>
                <w:rFonts w:asciiTheme="minorHAnsi" w:hAnsiTheme="minorHAnsi" w:cs="Arial"/>
                <w:sz w:val="22"/>
                <w:szCs w:val="22"/>
                <w:lang w:val="hr-HR"/>
              </w:rPr>
            </w:pPr>
            <w:r w:rsidRPr="001567C8">
              <w:rPr>
                <w:rFonts w:asciiTheme="minorHAnsi" w:hAnsiTheme="minorHAnsi" w:cs="Arial"/>
                <w:sz w:val="22"/>
                <w:szCs w:val="22"/>
                <w:lang w:val="hr-HR"/>
              </w:rPr>
              <w:t>1 EUR = 7,513648 kuna</w:t>
            </w:r>
          </w:p>
        </w:tc>
        <w:tc>
          <w:tcPr>
            <w:tcW w:w="126" w:type="pct"/>
            <w:vAlign w:val="center"/>
          </w:tcPr>
          <w:p w:rsidR="007B5C1D" w:rsidRPr="001567C8" w:rsidRDefault="007B5C1D" w:rsidP="007B5C1D">
            <w:pPr>
              <w:jc w:val="center"/>
              <w:rPr>
                <w:rFonts w:asciiTheme="minorHAnsi" w:hAnsiTheme="minorHAnsi" w:cs="Arial"/>
                <w:sz w:val="22"/>
                <w:szCs w:val="22"/>
                <w:lang w:val="hr-HR"/>
              </w:rPr>
            </w:pPr>
          </w:p>
        </w:tc>
        <w:tc>
          <w:tcPr>
            <w:tcW w:w="1558" w:type="pct"/>
            <w:vAlign w:val="center"/>
          </w:tcPr>
          <w:p w:rsidR="007B5C1D" w:rsidRPr="001567C8" w:rsidRDefault="007B5C1D" w:rsidP="007B5C1D">
            <w:pPr>
              <w:jc w:val="center"/>
              <w:rPr>
                <w:rFonts w:asciiTheme="minorHAnsi" w:hAnsiTheme="minorHAnsi" w:cs="Arial"/>
                <w:sz w:val="22"/>
                <w:szCs w:val="22"/>
                <w:lang w:val="hr-HR"/>
              </w:rPr>
            </w:pPr>
            <w:r w:rsidRPr="001567C8">
              <w:rPr>
                <w:rFonts w:asciiTheme="minorHAnsi" w:hAnsiTheme="minorHAnsi" w:cs="Arial"/>
                <w:sz w:val="22"/>
                <w:szCs w:val="22"/>
                <w:lang w:val="hr-HR"/>
              </w:rPr>
              <w:t>1 USD =  6,269733 kuna</w:t>
            </w:r>
          </w:p>
        </w:tc>
      </w:tr>
    </w:tbl>
    <w:p w:rsidR="00104234" w:rsidRPr="00CD3A2D" w:rsidRDefault="00104234" w:rsidP="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b/>
          <w:sz w:val="22"/>
          <w:szCs w:val="22"/>
          <w:lang w:val="hr-HR" w:eastAsia="hr-HR"/>
        </w:rPr>
        <w:sectPr w:rsidR="00104234" w:rsidRPr="00CD3A2D" w:rsidSect="000D6913">
          <w:pgSz w:w="11907" w:h="16840" w:code="9"/>
          <w:pgMar w:top="1418" w:right="1134" w:bottom="1134" w:left="1418" w:header="851" w:footer="851" w:gutter="0"/>
          <w:cols w:space="720"/>
          <w:noEndnote/>
        </w:sectPr>
      </w:pPr>
    </w:p>
    <w:p w:rsidR="00DC0BA4" w:rsidRPr="00CD3A2D" w:rsidRDefault="00DC0BA4" w:rsidP="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DC0BA4" w:rsidRPr="00CD3A2D" w:rsidRDefault="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DC0BA4" w:rsidRPr="00CD3A2D" w:rsidRDefault="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DC0BA4" w:rsidRPr="00CD3A2D" w:rsidRDefault="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DC0BA4" w:rsidRPr="00CD3A2D" w:rsidRDefault="00DC0BA4"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p>
    <w:p w:rsidR="007B5C1D" w:rsidRPr="00CD3A2D" w:rsidRDefault="007B5C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C. Prihodi i rashodi od kamata</w:t>
      </w:r>
    </w:p>
    <w:p w:rsidR="007B5C1D" w:rsidRPr="00CD3A2D" w:rsidRDefault="007B5C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Politika primjenjiva od 1. siječnja 2018</w:t>
      </w:r>
      <w:r w:rsidR="00A13DED" w:rsidRPr="00CD3A2D">
        <w:rPr>
          <w:rFonts w:asciiTheme="minorHAnsi" w:hAnsiTheme="minorHAnsi" w:cstheme="minorHAnsi"/>
          <w:i/>
          <w:sz w:val="22"/>
          <w:szCs w:val="22"/>
          <w:lang w:val="hr-HR" w:eastAsia="hr-HR"/>
        </w:rPr>
        <w:t>. godine</w:t>
      </w:r>
    </w:p>
    <w:p w:rsidR="007B5C1D" w:rsidRPr="001567C8" w:rsidRDefault="007B5C1D" w:rsidP="003C6BA3">
      <w:pPr>
        <w:spacing w:before="120" w:after="120"/>
        <w:jc w:val="both"/>
        <w:rPr>
          <w:rFonts w:asciiTheme="minorHAnsi" w:hAnsiTheme="minorHAnsi" w:cs="Arial"/>
          <w:i/>
          <w:sz w:val="22"/>
          <w:szCs w:val="22"/>
          <w:lang w:val="hr-HR"/>
        </w:rPr>
      </w:pPr>
      <w:r w:rsidRPr="001567C8">
        <w:rPr>
          <w:rFonts w:asciiTheme="minorHAnsi" w:hAnsiTheme="minorHAnsi" w:cs="Arial"/>
          <w:i/>
          <w:sz w:val="22"/>
          <w:szCs w:val="22"/>
          <w:lang w:val="hr-HR"/>
        </w:rPr>
        <w:t>Efektivna kamatna stopa</w:t>
      </w:r>
    </w:p>
    <w:p w:rsidR="00104234" w:rsidRPr="00CD3A2D" w:rsidRDefault="00104234" w:rsidP="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Prihodi i rashodi od kamata priznaju se u </w:t>
      </w:r>
      <w:r w:rsidR="00DC0BA4" w:rsidRPr="00CD3A2D">
        <w:rPr>
          <w:rFonts w:asciiTheme="minorHAnsi" w:hAnsiTheme="minorHAnsi" w:cstheme="minorHAnsi"/>
          <w:sz w:val="22"/>
          <w:szCs w:val="22"/>
          <w:lang w:val="hr-HR" w:eastAsia="hr-HR"/>
        </w:rPr>
        <w:t>dobit ili gubitak</w:t>
      </w:r>
      <w:r w:rsidRPr="00CD3A2D">
        <w:rPr>
          <w:rFonts w:asciiTheme="minorHAnsi" w:hAnsiTheme="minorHAnsi" w:cstheme="minorHAnsi"/>
          <w:sz w:val="22"/>
          <w:szCs w:val="22"/>
          <w:lang w:val="hr-HR" w:eastAsia="hr-HR"/>
        </w:rPr>
        <w:t xml:space="preserve"> primjenom metode efektivne kamatne stope. Efektivna kamatna stopa je stopa koja točno diskontira procijenjena buduća novčana plaćanja ili primitke kroz očekivani vijek trajanja financijskih instrumenata na:</w:t>
      </w:r>
    </w:p>
    <w:p w:rsidR="00DC0BA4" w:rsidRPr="00CD3A2D" w:rsidRDefault="00DC0BA4" w:rsidP="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              - bruto knjigovodstvenu vrijednost financijske imovine; ili</w:t>
      </w:r>
    </w:p>
    <w:p w:rsidR="00DC0BA4" w:rsidRPr="00CD3A2D" w:rsidRDefault="00DC0BA4" w:rsidP="003C6BA3">
      <w:pPr>
        <w:ind w:firstLine="680"/>
        <w:jc w:val="both"/>
        <w:rPr>
          <w:rFonts w:asciiTheme="minorHAnsi" w:eastAsia="Calibri" w:hAnsiTheme="minorHAnsi" w:cstheme="minorHAnsi"/>
          <w:sz w:val="22"/>
          <w:szCs w:val="22"/>
          <w:lang w:val="hr-HR"/>
        </w:rPr>
      </w:pPr>
      <w:r w:rsidRPr="00CD3A2D">
        <w:rPr>
          <w:rFonts w:asciiTheme="minorHAnsi" w:hAnsiTheme="minorHAnsi" w:cstheme="minorHAnsi"/>
          <w:sz w:val="22"/>
          <w:szCs w:val="22"/>
          <w:lang w:val="hr-HR" w:eastAsia="hr-HR"/>
        </w:rPr>
        <w:t>- amortizirani trošak financijsk</w:t>
      </w:r>
      <w:r w:rsidR="00AC1F82" w:rsidRPr="00CD3A2D">
        <w:rPr>
          <w:rFonts w:asciiTheme="minorHAnsi" w:hAnsiTheme="minorHAnsi" w:cstheme="minorHAnsi"/>
          <w:sz w:val="22"/>
          <w:szCs w:val="22"/>
          <w:lang w:val="hr-HR" w:eastAsia="hr-HR"/>
        </w:rPr>
        <w:t>ih</w:t>
      </w:r>
      <w:r w:rsidRPr="00CD3A2D">
        <w:rPr>
          <w:rFonts w:asciiTheme="minorHAnsi" w:hAnsiTheme="minorHAnsi" w:cstheme="minorHAnsi"/>
          <w:sz w:val="22"/>
          <w:szCs w:val="22"/>
          <w:lang w:val="hr-HR" w:eastAsia="hr-HR"/>
        </w:rPr>
        <w:t xml:space="preserve"> obvez</w:t>
      </w:r>
      <w:r w:rsidR="00AC1F82"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w:t>
      </w:r>
    </w:p>
    <w:p w:rsidR="00104234" w:rsidRPr="00CD3A2D" w:rsidRDefault="00104234" w:rsidP="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lang w:val="hr-HR" w:eastAsia="hr-HR"/>
        </w:rPr>
      </w:pPr>
    </w:p>
    <w:p w:rsidR="009E526D" w:rsidRPr="00CD3A2D" w:rsidRDefault="00AC1F82" w:rsidP="009E526D">
      <w:pPr>
        <w:jc w:val="both"/>
        <w:rPr>
          <w:rFonts w:ascii="Calibri" w:hAnsi="Calibri" w:cs="Calibri"/>
          <w:sz w:val="22"/>
          <w:szCs w:val="22"/>
          <w:lang w:val="hr-HR"/>
        </w:rPr>
      </w:pPr>
      <w:r w:rsidRPr="00CD3A2D">
        <w:rPr>
          <w:rFonts w:asciiTheme="minorHAnsi" w:hAnsiTheme="minorHAnsi" w:cstheme="minorHAnsi"/>
          <w:sz w:val="22"/>
          <w:szCs w:val="22"/>
          <w:lang w:val="hr-HR" w:eastAsia="hr-HR"/>
        </w:rPr>
        <w:t>Prilikom izračunavanja efektivne kamatne stope za financijske instrumente koji nisu kupljena ili stvorena financijska imovina umanjena za kreditne gubitke</w:t>
      </w:r>
      <w:r w:rsidR="00E477D2">
        <w:rPr>
          <w:rFonts w:asciiTheme="minorHAnsi" w:hAnsiTheme="minorHAnsi" w:cstheme="minorHAnsi"/>
          <w:sz w:val="22"/>
          <w:szCs w:val="22"/>
          <w:lang w:val="hr-HR" w:eastAsia="hr-HR"/>
        </w:rPr>
        <w:t xml:space="preserve"> („POCI“)</w:t>
      </w:r>
      <w:r w:rsidRPr="00CD3A2D">
        <w:rPr>
          <w:rFonts w:asciiTheme="minorHAnsi" w:hAnsiTheme="minorHAnsi" w:cstheme="minorHAnsi"/>
          <w:sz w:val="22"/>
          <w:szCs w:val="22"/>
          <w:lang w:val="hr-HR" w:eastAsia="hr-HR"/>
        </w:rPr>
        <w:t xml:space="preserve">, Grupa procjenjuje buduće novčane tokove uzimajući u obzir sve ugovorne uvjete financijskog instrumenta, ali ne i </w:t>
      </w:r>
      <w:r w:rsidR="009E526D" w:rsidRPr="00CD3A2D">
        <w:rPr>
          <w:rFonts w:asciiTheme="minorHAnsi" w:hAnsiTheme="minorHAnsi" w:cstheme="minorHAnsi"/>
          <w:sz w:val="22"/>
          <w:szCs w:val="22"/>
          <w:lang w:val="hr-HR" w:eastAsia="hr-HR"/>
        </w:rPr>
        <w:t>očekivane kreditne gubitke</w:t>
      </w:r>
      <w:r w:rsidRPr="00CD3A2D">
        <w:rPr>
          <w:rFonts w:asciiTheme="minorHAnsi" w:hAnsiTheme="minorHAnsi" w:cstheme="minorHAnsi"/>
          <w:sz w:val="22"/>
          <w:szCs w:val="22"/>
          <w:lang w:val="hr-HR" w:eastAsia="hr-HR"/>
        </w:rPr>
        <w:t xml:space="preserve">. </w:t>
      </w:r>
      <w:r w:rsidR="009E526D" w:rsidRPr="00CD3A2D">
        <w:rPr>
          <w:rFonts w:ascii="Calibri" w:hAnsi="Calibri" w:cs="Calibri"/>
          <w:sz w:val="22"/>
          <w:szCs w:val="22"/>
          <w:lang w:val="hr-HR"/>
        </w:rPr>
        <w:t>Za kupljenu ili stvorenu financijsku imovinu umanjenu za kreditne gubitke, efektivna kamatna stopa usklađena za kreditni rizik izračunava se na temelju procijenjenih budućih tokova uključujući i očekivane kreditne gubitke.</w:t>
      </w:r>
    </w:p>
    <w:p w:rsidR="009E526D" w:rsidRPr="00CD3A2D" w:rsidRDefault="009E526D" w:rsidP="009E526D">
      <w:pPr>
        <w:spacing w:before="120"/>
        <w:jc w:val="both"/>
        <w:rPr>
          <w:rFonts w:ascii="Calibri" w:hAnsi="Calibri" w:cs="Calibri"/>
          <w:sz w:val="22"/>
          <w:szCs w:val="22"/>
          <w:lang w:val="hr-HR"/>
        </w:rPr>
      </w:pPr>
      <w:r w:rsidRPr="00CD3A2D">
        <w:rPr>
          <w:rFonts w:ascii="Calibri" w:hAnsi="Calibri" w:cs="Calibri"/>
          <w:sz w:val="22"/>
          <w:szCs w:val="22"/>
          <w:lang w:val="hr-HR"/>
        </w:rPr>
        <w:t>Izračun efektivne kamatne stope uključuje transakcijske troškove i naknade te plaćene ili primljene bodove koji su sastavni dio efektivne kamatne stope. Transakcijski troškovi uključuju inkrementalne troškove koji se mogu izravno pripisati stjecanju ili izdavanju financijske imovine ili financijske obveze.</w:t>
      </w:r>
    </w:p>
    <w:p w:rsidR="009E526D" w:rsidRPr="00CD3A2D" w:rsidRDefault="009E526D" w:rsidP="009E526D">
      <w:pPr>
        <w:jc w:val="both"/>
        <w:rPr>
          <w:rFonts w:ascii="Calibri" w:hAnsi="Calibri" w:cs="Calibri"/>
          <w:sz w:val="22"/>
          <w:szCs w:val="22"/>
          <w:lang w:val="hr-HR" w:eastAsia="hr-HR"/>
        </w:rPr>
      </w:pPr>
    </w:p>
    <w:p w:rsidR="00794682" w:rsidRPr="00CD3A2D" w:rsidRDefault="00794682" w:rsidP="007946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Amortizirani trošak i bruto knjigovodstvena vrijednost</w:t>
      </w:r>
    </w:p>
    <w:p w:rsidR="00794682" w:rsidRPr="00CD3A2D" w:rsidRDefault="00794682" w:rsidP="007946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p>
    <w:p w:rsidR="005E3609" w:rsidRPr="00CD3A2D" w:rsidRDefault="00794682" w:rsidP="00794682">
      <w:pPr>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„Amortizirani trošak“ financijske imovine ili financijske obveze je iznos po kojem se financijsk</w:t>
      </w:r>
      <w:r w:rsidR="00003851" w:rsidRPr="00CD3A2D">
        <w:rPr>
          <w:rFonts w:asciiTheme="minorHAnsi" w:hAnsiTheme="minorHAnsi" w:cstheme="minorHAnsi"/>
          <w:sz w:val="22"/>
          <w:szCs w:val="22"/>
          <w:lang w:val="hr-HR" w:eastAsia="hr-HR"/>
        </w:rPr>
        <w:t>a imovina</w:t>
      </w:r>
      <w:r w:rsidRPr="00CD3A2D">
        <w:rPr>
          <w:rFonts w:asciiTheme="minorHAnsi" w:hAnsiTheme="minorHAnsi" w:cstheme="minorHAnsi"/>
          <w:sz w:val="22"/>
          <w:szCs w:val="22"/>
          <w:lang w:val="hr-HR" w:eastAsia="hr-HR"/>
        </w:rPr>
        <w:t xml:space="preserve"> ili financijska obveza mjeri </w:t>
      </w:r>
      <w:r w:rsidR="00A12942" w:rsidRPr="00CD3A2D">
        <w:rPr>
          <w:rFonts w:asciiTheme="minorHAnsi" w:hAnsiTheme="minorHAnsi" w:cstheme="minorHAnsi"/>
          <w:sz w:val="22"/>
          <w:szCs w:val="22"/>
          <w:lang w:val="hr-HR" w:eastAsia="hr-HR"/>
        </w:rPr>
        <w:t xml:space="preserve">pri </w:t>
      </w:r>
      <w:r w:rsidRPr="00CD3A2D">
        <w:rPr>
          <w:rFonts w:asciiTheme="minorHAnsi" w:hAnsiTheme="minorHAnsi" w:cstheme="minorHAnsi"/>
          <w:sz w:val="22"/>
          <w:szCs w:val="22"/>
          <w:lang w:val="hr-HR" w:eastAsia="hr-HR"/>
        </w:rPr>
        <w:t>početno</w:t>
      </w:r>
      <w:r w:rsidR="005E3609" w:rsidRPr="00CD3A2D">
        <w:rPr>
          <w:rFonts w:asciiTheme="minorHAnsi" w:hAnsiTheme="minorHAnsi" w:cstheme="minorHAnsi"/>
          <w:sz w:val="22"/>
          <w:szCs w:val="22"/>
          <w:lang w:val="hr-HR" w:eastAsia="hr-HR"/>
        </w:rPr>
        <w:t>m priznavanju, umanjen</w:t>
      </w:r>
      <w:r w:rsidRPr="00CD3A2D">
        <w:rPr>
          <w:rFonts w:asciiTheme="minorHAnsi" w:hAnsiTheme="minorHAnsi" w:cstheme="minorHAnsi"/>
          <w:sz w:val="22"/>
          <w:szCs w:val="22"/>
          <w:lang w:val="hr-HR" w:eastAsia="hr-HR"/>
        </w:rPr>
        <w:t xml:space="preserve"> za otplat</w:t>
      </w:r>
      <w:r w:rsidR="005E3609" w:rsidRPr="00CD3A2D">
        <w:rPr>
          <w:rFonts w:asciiTheme="minorHAnsi" w:hAnsiTheme="minorHAnsi" w:cstheme="minorHAnsi"/>
          <w:sz w:val="22"/>
          <w:szCs w:val="22"/>
          <w:lang w:val="hr-HR" w:eastAsia="hr-HR"/>
        </w:rPr>
        <w:t>u</w:t>
      </w:r>
      <w:r w:rsidRPr="00CD3A2D">
        <w:rPr>
          <w:rFonts w:asciiTheme="minorHAnsi" w:hAnsiTheme="minorHAnsi" w:cstheme="minorHAnsi"/>
          <w:sz w:val="22"/>
          <w:szCs w:val="22"/>
          <w:lang w:val="hr-HR" w:eastAsia="hr-HR"/>
        </w:rPr>
        <w:t xml:space="preserve"> glavnice, </w:t>
      </w:r>
      <w:r w:rsidR="005E3609" w:rsidRPr="00CD3A2D">
        <w:rPr>
          <w:rFonts w:asciiTheme="minorHAnsi" w:hAnsiTheme="minorHAnsi" w:cstheme="minorHAnsi"/>
          <w:sz w:val="22"/>
          <w:szCs w:val="22"/>
          <w:lang w:val="hr-HR" w:eastAsia="hr-HR"/>
        </w:rPr>
        <w:t xml:space="preserve">uvećan ili umanjen za kumulativnu amortizaciju svih razlika između početnog iznosa </w:t>
      </w:r>
      <w:r w:rsidR="00294720" w:rsidRPr="00CD3A2D">
        <w:rPr>
          <w:rFonts w:asciiTheme="minorHAnsi" w:hAnsiTheme="minorHAnsi" w:cstheme="minorHAnsi"/>
          <w:sz w:val="22"/>
          <w:szCs w:val="22"/>
          <w:lang w:val="hr-HR" w:eastAsia="hr-HR"/>
        </w:rPr>
        <w:t>i</w:t>
      </w:r>
      <w:r w:rsidR="005E3609" w:rsidRPr="00CD3A2D">
        <w:rPr>
          <w:rFonts w:asciiTheme="minorHAnsi" w:hAnsiTheme="minorHAnsi" w:cstheme="minorHAnsi"/>
          <w:sz w:val="22"/>
          <w:szCs w:val="22"/>
          <w:lang w:val="hr-HR" w:eastAsia="hr-HR"/>
        </w:rPr>
        <w:t xml:space="preserve"> iznosa po dospijeću primjenom metode efektivne kamatne stope, te usklađen za sve očekivane kreditne gubitke (ili umanjenje vrijednosti prije 1. siječnja 2018.)</w:t>
      </w:r>
    </w:p>
    <w:p w:rsidR="005E3609" w:rsidRPr="00CD3A2D" w:rsidRDefault="005E3609" w:rsidP="00794682">
      <w:pPr>
        <w:jc w:val="both"/>
        <w:rPr>
          <w:rFonts w:asciiTheme="minorHAnsi" w:hAnsiTheme="minorHAnsi" w:cstheme="minorHAnsi"/>
          <w:sz w:val="22"/>
          <w:szCs w:val="22"/>
          <w:lang w:val="hr-HR" w:eastAsia="hr-HR"/>
        </w:rPr>
      </w:pPr>
    </w:p>
    <w:p w:rsidR="00794682" w:rsidRPr="00CD3A2D" w:rsidRDefault="005E3609" w:rsidP="00794682">
      <w:pPr>
        <w:jc w:val="both"/>
        <w:rPr>
          <w:rFonts w:asciiTheme="minorHAnsi" w:eastAsia="Calibri" w:hAnsiTheme="minorHAnsi" w:cstheme="minorHAnsi"/>
          <w:sz w:val="22"/>
          <w:szCs w:val="22"/>
          <w:lang w:val="hr-HR"/>
        </w:rPr>
      </w:pPr>
      <w:r w:rsidRPr="00CD3A2D">
        <w:rPr>
          <w:rFonts w:asciiTheme="minorHAnsi" w:hAnsiTheme="minorHAnsi" w:cstheme="minorHAnsi"/>
          <w:sz w:val="22"/>
          <w:szCs w:val="22"/>
          <w:lang w:val="hr-HR"/>
        </w:rPr>
        <w:t xml:space="preserve"> </w:t>
      </w:r>
      <w:r w:rsidR="00794682" w:rsidRPr="00CD3A2D">
        <w:rPr>
          <w:rFonts w:asciiTheme="minorHAnsi" w:hAnsiTheme="minorHAnsi" w:cstheme="minorHAnsi"/>
          <w:sz w:val="22"/>
          <w:szCs w:val="22"/>
          <w:lang w:val="hr-HR"/>
        </w:rPr>
        <w:t xml:space="preserve">“Bruto knjigovodstvena vrijednost financijske imovine” je amortizirani trošak financijske imovine prije usklađivanja za bilo koji očekivani </w:t>
      </w:r>
      <w:r w:rsidRPr="00CD3A2D">
        <w:rPr>
          <w:rFonts w:asciiTheme="minorHAnsi" w:hAnsiTheme="minorHAnsi" w:cstheme="minorHAnsi"/>
          <w:sz w:val="22"/>
          <w:szCs w:val="22"/>
          <w:lang w:val="hr-HR"/>
        </w:rPr>
        <w:t xml:space="preserve">kreditni </w:t>
      </w:r>
      <w:r w:rsidR="00794682" w:rsidRPr="00CD3A2D">
        <w:rPr>
          <w:rFonts w:asciiTheme="minorHAnsi" w:hAnsiTheme="minorHAnsi" w:cstheme="minorHAnsi"/>
          <w:sz w:val="22"/>
          <w:szCs w:val="22"/>
          <w:lang w:val="hr-HR"/>
        </w:rPr>
        <w:t>gubitak.</w:t>
      </w:r>
    </w:p>
    <w:p w:rsidR="00794682" w:rsidRPr="001567C8" w:rsidRDefault="00794682" w:rsidP="005A4073">
      <w:pPr>
        <w:jc w:val="both"/>
        <w:rPr>
          <w:rFonts w:asciiTheme="minorHAnsi" w:hAnsiTheme="minorHAnsi" w:cstheme="minorHAnsi"/>
          <w:b/>
          <w:sz w:val="22"/>
          <w:szCs w:val="22"/>
          <w:lang w:val="hr-HR"/>
        </w:rPr>
      </w:pPr>
    </w:p>
    <w:p w:rsidR="005E3609" w:rsidRPr="00CD3A2D" w:rsidRDefault="005E3609" w:rsidP="005E3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Obračun prihoda i rashoda od kamata</w:t>
      </w:r>
    </w:p>
    <w:p w:rsidR="001F709B" w:rsidRPr="00CD3A2D" w:rsidRDefault="001F709B" w:rsidP="005E3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i/>
          <w:sz w:val="22"/>
          <w:szCs w:val="22"/>
          <w:lang w:val="hr-HR" w:eastAsia="hr-HR"/>
        </w:rPr>
      </w:pPr>
    </w:p>
    <w:p w:rsidR="005E3609" w:rsidRPr="00CD3A2D" w:rsidRDefault="005E3609" w:rsidP="005E3609">
      <w:pPr>
        <w:pStyle w:val="ListParagraph"/>
        <w:ind w:left="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Efektivna kamatna stopa financijske imovine ili financijske obveze izračunava se pri početnom priznavanju financijske imovine ili financijske obveze. Pri izračunu prihoda i rashoda od kamata, efektivna kamatna stopa primjenjuje se na bruto knjigovodstvenu vrijednost imovine (kada imovina nije umanjena za kreditne gubitke) ili amortizirani trošak obveze. Efektivna kamatna stopa revidira se kao rezultat periodične procjene novčanih tokova instrumenata s promjenjivom kamatnom stopom kako bi se odrazila kretanja tržišnih kamatnih stopa.</w:t>
      </w:r>
    </w:p>
    <w:p w:rsidR="007B5C1D" w:rsidRPr="001567C8" w:rsidRDefault="007B5C1D" w:rsidP="005A4073">
      <w:pPr>
        <w:jc w:val="both"/>
        <w:rPr>
          <w:rFonts w:asciiTheme="minorHAnsi" w:hAnsiTheme="minorHAnsi" w:cstheme="minorHAnsi"/>
          <w:b/>
          <w:sz w:val="22"/>
          <w:szCs w:val="22"/>
          <w:lang w:val="hr-HR"/>
        </w:rPr>
      </w:pPr>
    </w:p>
    <w:p w:rsidR="00253837" w:rsidRPr="00CD3A2D" w:rsidRDefault="005E3609" w:rsidP="005E3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sectPr w:rsidR="00253837" w:rsidRPr="00CD3A2D" w:rsidSect="000D6913">
          <w:pgSz w:w="11907" w:h="16840" w:code="9"/>
          <w:pgMar w:top="1418" w:right="1134" w:bottom="1134" w:left="1418" w:header="851" w:footer="851" w:gutter="0"/>
          <w:cols w:space="720"/>
          <w:noEndnote/>
        </w:sectPr>
      </w:pPr>
      <w:r w:rsidRPr="00CD3A2D">
        <w:rPr>
          <w:rFonts w:asciiTheme="minorHAnsi" w:hAnsiTheme="minorHAnsi" w:cstheme="minorHAnsi"/>
          <w:sz w:val="22"/>
          <w:szCs w:val="22"/>
          <w:lang w:val="hr-HR" w:eastAsia="hr-HR"/>
        </w:rPr>
        <w:t xml:space="preserve">Međutim, za financijsku imovinu koja je nakon početnog priznavanja </w:t>
      </w:r>
      <w:r w:rsidR="001F709B" w:rsidRPr="00CD3A2D">
        <w:rPr>
          <w:rFonts w:asciiTheme="minorHAnsi" w:hAnsiTheme="minorHAnsi" w:cstheme="minorHAnsi"/>
          <w:sz w:val="22"/>
          <w:szCs w:val="22"/>
          <w:lang w:val="hr-HR" w:eastAsia="hr-HR"/>
        </w:rPr>
        <w:t>umanjena za kreditne gubitke</w:t>
      </w:r>
      <w:r w:rsidRPr="00CD3A2D">
        <w:rPr>
          <w:rFonts w:asciiTheme="minorHAnsi" w:hAnsiTheme="minorHAnsi" w:cstheme="minorHAnsi"/>
          <w:sz w:val="22"/>
          <w:szCs w:val="22"/>
          <w:lang w:val="hr-HR" w:eastAsia="hr-HR"/>
        </w:rPr>
        <w:t xml:space="preserve">, prihodi od kamata izračunavaju se primjenom efektivne kamatne stope na amortizirani trošak financijske imovine. </w:t>
      </w:r>
      <w:r w:rsidR="0098482C" w:rsidRPr="00CD3A2D">
        <w:rPr>
          <w:rFonts w:asciiTheme="minorHAnsi" w:hAnsiTheme="minorHAnsi" w:cstheme="minorHAnsi"/>
          <w:sz w:val="22"/>
          <w:szCs w:val="22"/>
          <w:lang w:val="hr-HR" w:eastAsia="hr-HR"/>
        </w:rPr>
        <w:t>U slučaju smanjenja kreditnog rizika</w:t>
      </w:r>
      <w:r w:rsidRPr="00CD3A2D">
        <w:rPr>
          <w:rFonts w:asciiTheme="minorHAnsi" w:hAnsiTheme="minorHAnsi" w:cstheme="minorHAnsi"/>
          <w:sz w:val="22"/>
          <w:szCs w:val="22"/>
          <w:lang w:val="hr-HR" w:eastAsia="hr-HR"/>
        </w:rPr>
        <w:t xml:space="preserve">, izračun kamatnog prihoda se vraća na bruto </w:t>
      </w:r>
      <w:r w:rsidR="0098482C" w:rsidRPr="00CD3A2D">
        <w:rPr>
          <w:rFonts w:asciiTheme="minorHAnsi" w:hAnsiTheme="minorHAnsi" w:cstheme="minorHAnsi"/>
          <w:sz w:val="22"/>
          <w:szCs w:val="22"/>
          <w:lang w:val="hr-HR" w:eastAsia="hr-HR"/>
        </w:rPr>
        <w:t>knjigovodstvenu vrijednost financijske imovine</w:t>
      </w:r>
      <w:r w:rsidRPr="00CD3A2D">
        <w:rPr>
          <w:rFonts w:asciiTheme="minorHAnsi" w:hAnsiTheme="minorHAnsi" w:cstheme="minorHAnsi"/>
          <w:sz w:val="22"/>
          <w:szCs w:val="22"/>
          <w:lang w:val="hr-HR" w:eastAsia="hr-HR"/>
        </w:rPr>
        <w:t>.</w:t>
      </w:r>
    </w:p>
    <w:p w:rsidR="005E3609" w:rsidRPr="00CD3A2D" w:rsidRDefault="005E3609" w:rsidP="005E3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253837" w:rsidRPr="00CD3A2D"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253837" w:rsidRPr="00CD3A2D"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253837" w:rsidRPr="00CD3A2D"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253837" w:rsidRPr="00CD3A2D"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p>
    <w:p w:rsidR="00253837" w:rsidRPr="00CD3A2D"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C. Prihodi i rashodi od kamata (nastavak)</w:t>
      </w:r>
    </w:p>
    <w:p w:rsidR="00253837" w:rsidRPr="00CD3A2D"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Politika primjenjiva od 1. siječnja 2018</w:t>
      </w:r>
      <w:r w:rsidR="00A13DED" w:rsidRPr="00CD3A2D">
        <w:rPr>
          <w:rFonts w:asciiTheme="minorHAnsi" w:hAnsiTheme="minorHAnsi" w:cstheme="minorHAnsi"/>
          <w:i/>
          <w:sz w:val="22"/>
          <w:szCs w:val="22"/>
          <w:lang w:val="hr-HR" w:eastAsia="hr-HR"/>
        </w:rPr>
        <w:t>. godine</w:t>
      </w:r>
      <w:r w:rsidR="004D5AFD">
        <w:rPr>
          <w:rFonts w:asciiTheme="minorHAnsi" w:hAnsiTheme="minorHAnsi" w:cstheme="minorHAnsi"/>
          <w:i/>
          <w:sz w:val="22"/>
          <w:szCs w:val="22"/>
          <w:lang w:val="hr-HR" w:eastAsia="hr-HR"/>
        </w:rPr>
        <w:t xml:space="preserve"> </w:t>
      </w:r>
    </w:p>
    <w:p w:rsidR="00253837" w:rsidRPr="00CD3A2D" w:rsidRDefault="00253837" w:rsidP="005E3609">
      <w:pPr>
        <w:pStyle w:val="ListParagraph"/>
        <w:ind w:left="0"/>
        <w:jc w:val="both"/>
        <w:rPr>
          <w:rFonts w:asciiTheme="minorHAnsi" w:hAnsiTheme="minorHAnsi" w:cstheme="minorHAnsi"/>
          <w:sz w:val="16"/>
          <w:szCs w:val="16"/>
          <w:lang w:val="hr-HR" w:eastAsia="hr-HR"/>
        </w:rPr>
      </w:pPr>
    </w:p>
    <w:p w:rsidR="005E3609" w:rsidRPr="00CD3A2D" w:rsidRDefault="005E3609" w:rsidP="003C6BA3">
      <w:pPr>
        <w:pStyle w:val="ListParagraph"/>
        <w:spacing w:before="120" w:after="120"/>
        <w:ind w:left="0"/>
        <w:jc w:val="both"/>
        <w:rPr>
          <w:rFonts w:cstheme="minorHAnsi"/>
          <w:lang w:val="hr-HR" w:eastAsia="hr-HR"/>
        </w:rPr>
      </w:pPr>
      <w:r w:rsidRPr="00CD3A2D">
        <w:rPr>
          <w:rFonts w:asciiTheme="minorHAnsi" w:hAnsiTheme="minorHAnsi" w:cstheme="minorHAnsi"/>
          <w:sz w:val="22"/>
          <w:szCs w:val="22"/>
          <w:lang w:val="hr-HR" w:eastAsia="hr-HR"/>
        </w:rPr>
        <w:t>Za financijsku imovinu koja je bila kreditno umanjena prilikom početnog priznavanja, prihodi od kamata izračunavaju se primjenom efektivne kamatne stope</w:t>
      </w:r>
      <w:r w:rsidR="00947857" w:rsidRPr="00CD3A2D">
        <w:rPr>
          <w:rFonts w:asciiTheme="minorHAnsi" w:hAnsiTheme="minorHAnsi" w:cstheme="minorHAnsi"/>
          <w:sz w:val="22"/>
          <w:szCs w:val="22"/>
          <w:lang w:val="hr-HR" w:eastAsia="hr-HR"/>
        </w:rPr>
        <w:t xml:space="preserve"> na amortizirani trošak imovine</w:t>
      </w:r>
      <w:r w:rsidRPr="00CD3A2D">
        <w:rPr>
          <w:rFonts w:asciiTheme="minorHAnsi" w:hAnsiTheme="minorHAnsi" w:cstheme="minorHAnsi"/>
          <w:sz w:val="22"/>
          <w:szCs w:val="22"/>
          <w:lang w:val="hr-HR" w:eastAsia="hr-HR"/>
        </w:rPr>
        <w:t xml:space="preserve">. </w:t>
      </w:r>
      <w:r w:rsidR="00947857" w:rsidRPr="00CD3A2D">
        <w:rPr>
          <w:rFonts w:asciiTheme="minorHAnsi" w:hAnsiTheme="minorHAnsi" w:cstheme="minorHAnsi"/>
          <w:sz w:val="22"/>
          <w:szCs w:val="22"/>
          <w:lang w:val="hr-HR" w:eastAsia="hr-HR"/>
        </w:rPr>
        <w:t>U slučaju smanjenja kreditnog rizika, i</w:t>
      </w:r>
      <w:r w:rsidRPr="00CD3A2D">
        <w:rPr>
          <w:rFonts w:asciiTheme="minorHAnsi" w:hAnsiTheme="minorHAnsi" w:cstheme="minorHAnsi"/>
          <w:sz w:val="22"/>
          <w:szCs w:val="22"/>
          <w:lang w:val="hr-HR" w:eastAsia="hr-HR"/>
        </w:rPr>
        <w:t xml:space="preserve">zračun prihoda od kamata ne vraća se na bruto </w:t>
      </w:r>
      <w:r w:rsidR="00947857" w:rsidRPr="00CD3A2D">
        <w:rPr>
          <w:rFonts w:asciiTheme="minorHAnsi" w:hAnsiTheme="minorHAnsi" w:cstheme="minorHAnsi"/>
          <w:sz w:val="22"/>
          <w:szCs w:val="22"/>
          <w:lang w:val="hr-HR" w:eastAsia="hr-HR"/>
        </w:rPr>
        <w:t>knjigovodstvenu vrijednost.</w:t>
      </w:r>
    </w:p>
    <w:p w:rsidR="00392AD9" w:rsidRPr="00CD3A2D" w:rsidRDefault="00392AD9" w:rsidP="00392AD9">
      <w:pPr>
        <w:pStyle w:val="ListParagraph"/>
        <w:spacing w:before="120" w:after="120"/>
        <w:ind w:left="0"/>
        <w:jc w:val="both"/>
        <w:rPr>
          <w:rFonts w:ascii="Calibri" w:hAnsi="Calibri" w:cs="Calibri"/>
          <w:sz w:val="16"/>
          <w:szCs w:val="16"/>
          <w:lang w:val="hr-HR"/>
        </w:rPr>
      </w:pPr>
    </w:p>
    <w:p w:rsidR="00E657F3" w:rsidRPr="00CD3A2D" w:rsidRDefault="00E657F3" w:rsidP="003C6BA3">
      <w:pPr>
        <w:pStyle w:val="ListParagraph"/>
        <w:spacing w:before="120" w:after="120"/>
        <w:ind w:left="0"/>
        <w:jc w:val="both"/>
        <w:rPr>
          <w:rFonts w:ascii="Calibri" w:hAnsi="Calibri" w:cs="Calibri"/>
          <w:sz w:val="22"/>
          <w:szCs w:val="22"/>
          <w:lang w:val="hr-HR"/>
        </w:rPr>
      </w:pPr>
      <w:r w:rsidRPr="00CD3A2D">
        <w:rPr>
          <w:rFonts w:ascii="Calibri" w:hAnsi="Calibri" w:cs="Calibri"/>
          <w:sz w:val="22"/>
          <w:szCs w:val="22"/>
          <w:lang w:val="hr-HR"/>
        </w:rPr>
        <w:t>Za potrebe izračuna kamatnog prihoda za izloženosti raspoređene u 3. stupanj ili za imovinu klasificiranu kao kupljena ili stvorena financijska imovina umanjena za kreditne gubitke, koristi se pojam vremenske vrijednosti novca (unwinding). Unwinding, tj. prihod od kamata za navedene izloženosti izračunava se nakon datuma prijenosa izloženosti u 3. stupanj ili nakon datuma klasifikacije imovine kao POCI</w:t>
      </w:r>
      <w:r w:rsidR="0069650C" w:rsidRPr="00CD3A2D">
        <w:rPr>
          <w:rFonts w:ascii="Calibri" w:hAnsi="Calibri" w:cs="Calibri"/>
          <w:sz w:val="22"/>
          <w:szCs w:val="22"/>
          <w:lang w:val="hr-HR"/>
        </w:rPr>
        <w:t xml:space="preserve"> imovine</w:t>
      </w:r>
      <w:r w:rsidRPr="00CD3A2D">
        <w:rPr>
          <w:rFonts w:ascii="Calibri" w:hAnsi="Calibri" w:cs="Calibri"/>
          <w:sz w:val="22"/>
          <w:szCs w:val="22"/>
          <w:lang w:val="hr-HR"/>
        </w:rPr>
        <w:t xml:space="preserve"> i evidentira se kao rezerviranja za financijski instrument uz istodobno smanjenje prihoda od kamata.</w:t>
      </w:r>
    </w:p>
    <w:p w:rsidR="00392AD9" w:rsidRPr="00CD3A2D" w:rsidRDefault="00392AD9" w:rsidP="00392AD9">
      <w:pPr>
        <w:pStyle w:val="ListParagraph"/>
        <w:spacing w:before="120" w:after="120"/>
        <w:ind w:left="0"/>
        <w:jc w:val="both"/>
        <w:rPr>
          <w:rFonts w:ascii="Calibri" w:hAnsi="Calibri" w:cs="Calibri"/>
          <w:sz w:val="16"/>
          <w:szCs w:val="16"/>
          <w:lang w:val="hr-HR"/>
        </w:rPr>
      </w:pPr>
    </w:p>
    <w:p w:rsidR="00E14C19" w:rsidRPr="00CD3A2D" w:rsidRDefault="00E14C19" w:rsidP="003C6BA3">
      <w:pPr>
        <w:pStyle w:val="ListParagraph"/>
        <w:spacing w:before="120" w:after="120"/>
        <w:ind w:left="0"/>
        <w:jc w:val="both"/>
        <w:rPr>
          <w:rFonts w:ascii="Calibri" w:hAnsi="Calibri" w:cs="Calibri"/>
          <w:b/>
          <w:sz w:val="22"/>
          <w:szCs w:val="22"/>
          <w:lang w:val="hr-HR"/>
        </w:rPr>
      </w:pPr>
      <w:r w:rsidRPr="00CD3A2D">
        <w:rPr>
          <w:rFonts w:ascii="Calibri" w:hAnsi="Calibri" w:cs="Calibri"/>
          <w:sz w:val="22"/>
          <w:szCs w:val="22"/>
          <w:lang w:val="hr-HR"/>
        </w:rPr>
        <w:t>Naknade koje čine kamatni prihod, a koje se odnose na plasman</w:t>
      </w:r>
      <w:r w:rsidR="00B76085" w:rsidRPr="00CD3A2D">
        <w:rPr>
          <w:rFonts w:ascii="Calibri" w:hAnsi="Calibri" w:cs="Calibri"/>
          <w:sz w:val="22"/>
          <w:szCs w:val="22"/>
          <w:lang w:val="hr-HR"/>
        </w:rPr>
        <w:t>e</w:t>
      </w:r>
      <w:r w:rsidRPr="00CD3A2D">
        <w:rPr>
          <w:rFonts w:ascii="Calibri" w:hAnsi="Calibri" w:cs="Calibri"/>
          <w:sz w:val="22"/>
          <w:szCs w:val="22"/>
          <w:lang w:val="hr-HR"/>
        </w:rPr>
        <w:t xml:space="preserve"> i koje se obračunavaju i naplaćuju prilikom odobravanja i plasmana kredita ili tijekom razdoblja trajanja ugovora o kreditu, razgraničavaju se i priznaju u dobit ili gubitak primjenom metode efektivne kamatne stope tijekom razdoblja na koje se odnose.</w:t>
      </w:r>
    </w:p>
    <w:p w:rsidR="00116C9D" w:rsidRPr="001567C8" w:rsidRDefault="00116C9D" w:rsidP="003C6BA3">
      <w:pPr>
        <w:pStyle w:val="T1"/>
        <w:spacing w:before="12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Prihodi i rashodi od kamata iskazuju se u dobiti i gubitku u razdoblju u kojemu su nastali. Prihodi i rashodi od kamata iskazuju se u</w:t>
      </w:r>
      <w:r w:rsidR="00746C12" w:rsidRPr="001567C8">
        <w:rPr>
          <w:rFonts w:asciiTheme="minorHAnsi" w:hAnsiTheme="minorHAnsi" w:cs="Arial"/>
          <w:b w:val="0"/>
          <w:bCs w:val="0"/>
          <w:sz w:val="22"/>
          <w:szCs w:val="22"/>
          <w:lang w:val="hr-HR"/>
        </w:rPr>
        <w:t xml:space="preserve"> dobiti i gubitku</w:t>
      </w:r>
      <w:r w:rsidRPr="001567C8">
        <w:rPr>
          <w:rFonts w:asciiTheme="minorHAnsi" w:hAnsiTheme="minorHAnsi" w:cs="Arial"/>
          <w:b w:val="0"/>
          <w:bCs w:val="0"/>
          <w:sz w:val="22"/>
          <w:szCs w:val="22"/>
          <w:lang w:val="hr-HR"/>
        </w:rPr>
        <w:t xml:space="preserve"> za sve kamatonosne instrumente po načelu obračunanih kamata primjenom efektivne kamatne stope kojom se procijenjena buduća plaćanja ili naplate diskontiraju tijekom očekivanog vijeka trajanja financijskog instrumenta ili tijekom kraćeg razdoblja, kad je to primjereno. Prihod od kamata uključuje kupone zarađene od ulaganja u vrijednosnice s fiksnim prinosom.</w:t>
      </w:r>
    </w:p>
    <w:p w:rsidR="00116C9D" w:rsidRPr="001567C8" w:rsidRDefault="00116C9D" w:rsidP="003C6BA3">
      <w:pPr>
        <w:pStyle w:val="T1"/>
        <w:keepNext w:val="0"/>
        <w:spacing w:before="12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Naknade koje čine kamatni prihod,</w:t>
      </w:r>
      <w:r w:rsidR="00D637DF" w:rsidRPr="001567C8">
        <w:rPr>
          <w:rFonts w:asciiTheme="minorHAnsi" w:hAnsiTheme="minorHAnsi" w:cs="Arial"/>
          <w:b w:val="0"/>
          <w:bCs w:val="0"/>
          <w:sz w:val="22"/>
          <w:szCs w:val="22"/>
          <w:lang w:val="hr-HR"/>
        </w:rPr>
        <w:t xml:space="preserve"> zajedno s procijenjenim pripadajućim troškovima</w:t>
      </w:r>
      <w:r w:rsidRPr="001567C8">
        <w:rPr>
          <w:rFonts w:asciiTheme="minorHAnsi" w:hAnsiTheme="minorHAnsi" w:cs="Arial"/>
          <w:b w:val="0"/>
          <w:bCs w:val="0"/>
          <w:sz w:val="22"/>
          <w:szCs w:val="22"/>
          <w:lang w:val="hr-HR"/>
        </w:rPr>
        <w:t xml:space="preserve">, odgađaju se te priznaju na vremenski proporcionalnoj osnovi za razdoblje trajanja kredita kao </w:t>
      </w:r>
      <w:r w:rsidR="00D637DF" w:rsidRPr="001567C8">
        <w:rPr>
          <w:rFonts w:asciiTheme="minorHAnsi" w:hAnsiTheme="minorHAnsi" w:cs="Arial"/>
          <w:b w:val="0"/>
          <w:bCs w:val="0"/>
          <w:sz w:val="22"/>
          <w:szCs w:val="22"/>
          <w:lang w:val="hr-HR"/>
        </w:rPr>
        <w:t xml:space="preserve">usklađenje efektivnog </w:t>
      </w:r>
      <w:r w:rsidRPr="001567C8">
        <w:rPr>
          <w:rFonts w:asciiTheme="minorHAnsi" w:hAnsiTheme="minorHAnsi" w:cs="Arial"/>
          <w:b w:val="0"/>
          <w:bCs w:val="0"/>
          <w:sz w:val="22"/>
          <w:szCs w:val="22"/>
          <w:lang w:val="hr-HR"/>
        </w:rPr>
        <w:t>prinosa na kredit</w:t>
      </w:r>
      <w:r w:rsidR="00D637DF" w:rsidRPr="001567C8">
        <w:rPr>
          <w:rFonts w:asciiTheme="minorHAnsi" w:hAnsiTheme="minorHAnsi" w:cs="Arial"/>
          <w:b w:val="0"/>
          <w:bCs w:val="0"/>
          <w:sz w:val="22"/>
          <w:szCs w:val="22"/>
          <w:lang w:val="hr-HR"/>
        </w:rPr>
        <w:t xml:space="preserve"> tijekom razdoblja trajanja kredita.</w:t>
      </w:r>
    </w:p>
    <w:p w:rsidR="00D637DF" w:rsidRPr="001567C8" w:rsidRDefault="00D637DF" w:rsidP="00D637DF">
      <w:pPr>
        <w:pStyle w:val="T1"/>
        <w:spacing w:before="0" w:after="0" w:line="240" w:lineRule="auto"/>
        <w:rPr>
          <w:rFonts w:asciiTheme="minorHAnsi" w:hAnsiTheme="minorHAnsi" w:cs="Arial"/>
          <w:sz w:val="22"/>
          <w:szCs w:val="22"/>
          <w:lang w:val="hr-HR"/>
        </w:rPr>
      </w:pPr>
      <w:r w:rsidRPr="001567C8">
        <w:rPr>
          <w:rFonts w:asciiTheme="minorHAnsi" w:hAnsiTheme="minorHAnsi" w:cs="Arial"/>
          <w:b w:val="0"/>
          <w:bCs w:val="0"/>
          <w:sz w:val="22"/>
          <w:szCs w:val="22"/>
          <w:lang w:val="hr-HR"/>
        </w:rPr>
        <w:t xml:space="preserve">Kamata na kredite kod kojih postoji umanjenje vrijednosti i na ostalu financijsku imovinu se priznaje na osnovi stope korištene za svođenje budućih novčanih primitaka na njihovu sadašnju vrijednost te se iskazuje u dobiti ili gubitku. </w:t>
      </w:r>
    </w:p>
    <w:p w:rsidR="00D637DF" w:rsidRPr="001567C8" w:rsidRDefault="00D637DF" w:rsidP="005A4073">
      <w:pPr>
        <w:jc w:val="both"/>
        <w:rPr>
          <w:rFonts w:asciiTheme="minorHAnsi" w:hAnsiTheme="minorHAnsi" w:cs="Arial"/>
          <w:b/>
          <w:sz w:val="22"/>
          <w:szCs w:val="22"/>
          <w:lang w:val="hr-HR"/>
        </w:rPr>
      </w:pPr>
    </w:p>
    <w:p w:rsidR="001C3F89" w:rsidRPr="001567C8" w:rsidRDefault="009B2218" w:rsidP="001C3F89">
      <w:pPr>
        <w:pStyle w:val="accountingpolicytitle"/>
        <w:rPr>
          <w:rFonts w:asciiTheme="minorHAnsi" w:hAnsiTheme="minorHAnsi" w:cs="Arial"/>
          <w:sz w:val="22"/>
          <w:szCs w:val="22"/>
          <w:lang w:val="hr-HR"/>
        </w:rPr>
      </w:pPr>
      <w:r w:rsidRPr="001567C8">
        <w:rPr>
          <w:rFonts w:asciiTheme="minorHAnsi" w:hAnsiTheme="minorHAnsi" w:cs="Arial"/>
          <w:sz w:val="22"/>
          <w:szCs w:val="22"/>
          <w:lang w:val="hr-HR"/>
        </w:rPr>
        <w:t xml:space="preserve">D. </w:t>
      </w:r>
      <w:r w:rsidR="001C3F89" w:rsidRPr="001567C8">
        <w:rPr>
          <w:rFonts w:asciiTheme="minorHAnsi" w:hAnsiTheme="minorHAnsi" w:cs="Arial"/>
          <w:sz w:val="22"/>
          <w:szCs w:val="22"/>
          <w:lang w:val="hr-HR"/>
        </w:rPr>
        <w:t>Prihodi od naknada i provizija</w:t>
      </w:r>
    </w:p>
    <w:p w:rsidR="001C3F89" w:rsidRPr="001567C8" w:rsidRDefault="001C3F89" w:rsidP="001C3F89">
      <w:pPr>
        <w:pStyle w:val="accountingpolicytitle"/>
        <w:rPr>
          <w:rFonts w:asciiTheme="minorHAnsi" w:hAnsiTheme="minorHAnsi" w:cs="Arial"/>
          <w:sz w:val="22"/>
          <w:szCs w:val="22"/>
          <w:lang w:val="hr-HR"/>
        </w:rPr>
      </w:pPr>
    </w:p>
    <w:p w:rsidR="001C3F89" w:rsidRPr="00CD3A2D" w:rsidRDefault="001C3F89" w:rsidP="001C3F89">
      <w:pPr>
        <w:pStyle w:val="ListParagraph"/>
        <w:ind w:left="0"/>
        <w:jc w:val="both"/>
        <w:rPr>
          <w:rFonts w:asciiTheme="minorHAnsi" w:hAnsiTheme="minorHAnsi" w:cstheme="minorHAnsi"/>
          <w:b/>
          <w:sz w:val="22"/>
          <w:szCs w:val="22"/>
          <w:lang w:val="hr-HR"/>
        </w:rPr>
      </w:pPr>
      <w:r w:rsidRPr="00CD3A2D">
        <w:rPr>
          <w:rFonts w:asciiTheme="minorHAnsi" w:hAnsiTheme="minorHAnsi" w:cstheme="minorHAnsi"/>
          <w:sz w:val="22"/>
          <w:szCs w:val="22"/>
          <w:lang w:val="hr-HR" w:eastAsia="hr-HR"/>
        </w:rPr>
        <w:t xml:space="preserve">Prihodi i rashodi od naknada i provizija koji su sastavni dio efektivne kamatne stope na financijsku imovinu ili financijsku obvezu uključuju se u efektivnu kamatnu stopu (vidi (C)). Ostali prihodi od naknada i provizija - prihodi od naknada za dane garancije i ostale usluge Grupe, zajedno s provizijama za upravljanje sredstvima u ime i za račun pravnih osoba i naknadama za platni promet u zemlji i inozemstvu - priznaju se </w:t>
      </w:r>
      <w:r w:rsidR="00516A96" w:rsidRPr="00CD3A2D">
        <w:rPr>
          <w:rFonts w:asciiTheme="minorHAnsi" w:hAnsiTheme="minorHAnsi" w:cstheme="minorHAnsi"/>
          <w:sz w:val="22"/>
          <w:szCs w:val="22"/>
          <w:lang w:val="hr-HR" w:eastAsia="hr-HR"/>
        </w:rPr>
        <w:t>kada je obavljena povezana usluga</w:t>
      </w:r>
      <w:r w:rsidRPr="00CD3A2D">
        <w:rPr>
          <w:rFonts w:asciiTheme="minorHAnsi" w:hAnsiTheme="minorHAnsi" w:cstheme="minorHAnsi"/>
          <w:sz w:val="22"/>
          <w:szCs w:val="22"/>
          <w:lang w:val="hr-HR" w:eastAsia="hr-HR"/>
        </w:rPr>
        <w:t xml:space="preserve">. Ako se ne očekuje da će kreditna obveza rezultirati povlačenjem </w:t>
      </w:r>
      <w:r w:rsidR="00516A96" w:rsidRPr="00CD3A2D">
        <w:rPr>
          <w:rFonts w:asciiTheme="minorHAnsi" w:hAnsiTheme="minorHAnsi" w:cstheme="minorHAnsi"/>
          <w:sz w:val="22"/>
          <w:szCs w:val="22"/>
          <w:lang w:val="hr-HR" w:eastAsia="hr-HR"/>
        </w:rPr>
        <w:t>kredita</w:t>
      </w:r>
      <w:r w:rsidRPr="00CD3A2D">
        <w:rPr>
          <w:rFonts w:asciiTheme="minorHAnsi" w:hAnsiTheme="minorHAnsi" w:cstheme="minorHAnsi"/>
          <w:sz w:val="22"/>
          <w:szCs w:val="22"/>
          <w:lang w:val="hr-HR" w:eastAsia="hr-HR"/>
        </w:rPr>
        <w:t xml:space="preserve">, onda se pripadajuća naknada za </w:t>
      </w:r>
      <w:r w:rsidR="00516A96" w:rsidRPr="00CD3A2D">
        <w:rPr>
          <w:rFonts w:asciiTheme="minorHAnsi" w:hAnsiTheme="minorHAnsi" w:cstheme="minorHAnsi"/>
          <w:sz w:val="22"/>
          <w:szCs w:val="22"/>
          <w:lang w:val="hr-HR" w:eastAsia="hr-HR"/>
        </w:rPr>
        <w:t>neiskorištena sredstva</w:t>
      </w:r>
      <w:r w:rsidRPr="00CD3A2D">
        <w:rPr>
          <w:rFonts w:asciiTheme="minorHAnsi" w:hAnsiTheme="minorHAnsi" w:cstheme="minorHAnsi"/>
          <w:sz w:val="22"/>
          <w:szCs w:val="22"/>
          <w:lang w:val="hr-HR" w:eastAsia="hr-HR"/>
        </w:rPr>
        <w:t xml:space="preserve"> priznaje pravocrtnom metodom tijekom obvezujućeg razdoblja.</w:t>
      </w:r>
    </w:p>
    <w:p w:rsidR="00392AD9" w:rsidRPr="00CD3A2D" w:rsidRDefault="00392AD9" w:rsidP="001C3F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rPr>
      </w:pPr>
    </w:p>
    <w:p w:rsidR="001C3F89" w:rsidRPr="00CD3A2D" w:rsidRDefault="001C3F89" w:rsidP="001C3F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rPr>
        <w:t xml:space="preserve">Prihodi od naknada i provizija </w:t>
      </w:r>
      <w:r w:rsidR="0007284F" w:rsidRPr="00CD3A2D">
        <w:rPr>
          <w:rFonts w:asciiTheme="minorHAnsi" w:hAnsiTheme="minorHAnsi" w:cstheme="minorHAnsi"/>
          <w:sz w:val="22"/>
          <w:szCs w:val="22"/>
          <w:lang w:val="hr-HR"/>
        </w:rPr>
        <w:t>koji imaju karakter</w:t>
      </w:r>
      <w:r w:rsidRPr="00CD3A2D">
        <w:rPr>
          <w:rFonts w:asciiTheme="minorHAnsi" w:hAnsiTheme="minorHAnsi" w:cstheme="minorHAnsi"/>
          <w:sz w:val="22"/>
          <w:szCs w:val="22"/>
          <w:lang w:val="hr-HR"/>
        </w:rPr>
        <w:t xml:space="preserve"> nekamatnih prihoda (naknade za upravljanje kreditima u ime i za račun drugih osoba, naknade za platni promet, ostale naknade nekamatnog tipa) priznaju se u dobit ili gubit</w:t>
      </w:r>
      <w:r w:rsidR="0007284F" w:rsidRPr="00CD3A2D">
        <w:rPr>
          <w:rFonts w:asciiTheme="minorHAnsi" w:hAnsiTheme="minorHAnsi" w:cstheme="minorHAnsi"/>
          <w:sz w:val="22"/>
          <w:szCs w:val="22"/>
          <w:lang w:val="hr-HR"/>
        </w:rPr>
        <w:t>a</w:t>
      </w:r>
      <w:r w:rsidRPr="00CD3A2D">
        <w:rPr>
          <w:rFonts w:asciiTheme="minorHAnsi" w:hAnsiTheme="minorHAnsi" w:cstheme="minorHAnsi"/>
          <w:sz w:val="22"/>
          <w:szCs w:val="22"/>
          <w:lang w:val="hr-HR"/>
        </w:rPr>
        <w:t>k ka</w:t>
      </w:r>
      <w:r w:rsidR="0007284F" w:rsidRPr="00CD3A2D">
        <w:rPr>
          <w:rFonts w:asciiTheme="minorHAnsi" w:hAnsiTheme="minorHAnsi" w:cstheme="minorHAnsi"/>
          <w:sz w:val="22"/>
          <w:szCs w:val="22"/>
          <w:lang w:val="hr-HR"/>
        </w:rPr>
        <w:t xml:space="preserve">da </w:t>
      </w:r>
      <w:r w:rsidRPr="00CD3A2D">
        <w:rPr>
          <w:rFonts w:asciiTheme="minorHAnsi" w:hAnsiTheme="minorHAnsi" w:cstheme="minorHAnsi"/>
          <w:sz w:val="22"/>
          <w:szCs w:val="22"/>
          <w:lang w:val="hr-HR"/>
        </w:rPr>
        <w:t>nastaju.</w:t>
      </w:r>
    </w:p>
    <w:p w:rsidR="00392AD9" w:rsidRPr="001567C8" w:rsidRDefault="00392AD9" w:rsidP="005A4073">
      <w:pPr>
        <w:jc w:val="both"/>
        <w:rPr>
          <w:rFonts w:asciiTheme="minorHAnsi" w:hAnsiTheme="minorHAnsi" w:cs="Arial"/>
          <w:b/>
          <w:sz w:val="22"/>
          <w:szCs w:val="22"/>
          <w:lang w:val="hr-HR"/>
        </w:rPr>
        <w:sectPr w:rsidR="00392AD9" w:rsidRPr="001567C8" w:rsidSect="000D6913">
          <w:pgSz w:w="11907" w:h="16840" w:code="9"/>
          <w:pgMar w:top="1418" w:right="1134" w:bottom="1134" w:left="1418" w:header="851" w:footer="851" w:gutter="0"/>
          <w:cols w:space="720"/>
          <w:noEndnote/>
        </w:sectPr>
      </w:pPr>
    </w:p>
    <w:p w:rsidR="00C3403A" w:rsidRPr="001567C8" w:rsidRDefault="00C3403A" w:rsidP="005A4073">
      <w:pPr>
        <w:jc w:val="both"/>
        <w:rPr>
          <w:rFonts w:asciiTheme="minorHAnsi" w:hAnsiTheme="minorHAnsi" w:cs="Arial"/>
          <w:b/>
          <w:sz w:val="22"/>
          <w:szCs w:val="22"/>
          <w:lang w:val="hr-HR"/>
        </w:rPr>
      </w:pPr>
    </w:p>
    <w:p w:rsidR="009B2218" w:rsidRPr="00CD3A2D"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9B2218" w:rsidRPr="00CD3A2D"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9B2218" w:rsidRPr="00CD3A2D"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9B2218" w:rsidRPr="00CD3A2D"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b/>
          <w:color w:val="0070C0"/>
          <w:sz w:val="16"/>
          <w:szCs w:val="16"/>
          <w:lang w:val="hr-HR" w:eastAsia="hr-HR"/>
        </w:rPr>
      </w:pPr>
    </w:p>
    <w:p w:rsidR="009B2218" w:rsidRPr="00CD3A2D"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E. Najmovi</w:t>
      </w:r>
    </w:p>
    <w:p w:rsidR="009B2218" w:rsidRPr="00CD3A2D"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16"/>
          <w:szCs w:val="16"/>
          <w:lang w:val="hr-HR" w:eastAsia="hr-HR"/>
        </w:rPr>
      </w:pPr>
    </w:p>
    <w:p w:rsidR="009B2218" w:rsidRPr="00CD3A2D"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Grupa kao najmoprimac - Financijski najmovi</w:t>
      </w:r>
    </w:p>
    <w:p w:rsidR="009B2218" w:rsidRPr="00CD3A2D" w:rsidRDefault="009B22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Imovina koju Grupa drži u najmu koja prenosi na Grupu sve rizike i nagrade povezane s vlasništvom, klasificira se kao financijski naj</w:t>
      </w:r>
      <w:r w:rsidR="00644D8B"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 xml:space="preserve">m. Imovina u najmu početno se mjeri u iznosu koji je </w:t>
      </w:r>
      <w:r w:rsidR="00606729" w:rsidRPr="00CD3A2D">
        <w:rPr>
          <w:rFonts w:asciiTheme="minorHAnsi" w:hAnsiTheme="minorHAnsi" w:cstheme="minorHAnsi"/>
          <w:sz w:val="22"/>
          <w:szCs w:val="22"/>
          <w:lang w:val="hr-HR" w:eastAsia="hr-HR"/>
        </w:rPr>
        <w:t>niži</w:t>
      </w:r>
      <w:r w:rsidRPr="00CD3A2D">
        <w:rPr>
          <w:rFonts w:asciiTheme="minorHAnsi" w:hAnsiTheme="minorHAnsi" w:cstheme="minorHAnsi"/>
          <w:sz w:val="22"/>
          <w:szCs w:val="22"/>
          <w:lang w:val="hr-HR" w:eastAsia="hr-HR"/>
        </w:rPr>
        <w:t xml:space="preserve"> </w:t>
      </w:r>
      <w:r w:rsidR="00606729" w:rsidRPr="00CD3A2D">
        <w:rPr>
          <w:rFonts w:asciiTheme="minorHAnsi" w:hAnsiTheme="minorHAnsi" w:cstheme="minorHAnsi"/>
          <w:sz w:val="22"/>
          <w:szCs w:val="22"/>
          <w:lang w:val="hr-HR" w:eastAsia="hr-HR"/>
        </w:rPr>
        <w:t xml:space="preserve">između </w:t>
      </w:r>
      <w:r w:rsidRPr="00CD3A2D">
        <w:rPr>
          <w:rFonts w:asciiTheme="minorHAnsi" w:hAnsiTheme="minorHAnsi" w:cstheme="minorHAnsi"/>
          <w:sz w:val="22"/>
          <w:szCs w:val="22"/>
          <w:lang w:val="hr-HR" w:eastAsia="hr-HR"/>
        </w:rPr>
        <w:t>fer vrijednosti i sadašnje vrijednosti minimalnih plaćanja najma. Nakon početnog priznavanja, imovina se obračunava u skladu s računovodstvenom politikom primjenjivom na tu imovinu.</w:t>
      </w:r>
    </w:p>
    <w:p w:rsidR="009B2218" w:rsidRPr="00CD3A2D" w:rsidRDefault="009B22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Minimalna plaćanja zakupnine koja se vrše temeljem financijskog najma raspodjeljuju se između financijskih rashoda i smanjenja neizmirenih obveza. Financijski trošak raspoređuje se na svako razdoblje tijekom trajanja najma kako bi se dobila konstantna kamatna stopa na preostali iznos obveze.</w:t>
      </w:r>
    </w:p>
    <w:p w:rsidR="009B2218" w:rsidRPr="00CD3A2D" w:rsidRDefault="009B22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Grupa kao najmoprimac - Operativni najmovi</w:t>
      </w:r>
    </w:p>
    <w:p w:rsidR="009B2218" w:rsidRPr="00CD3A2D" w:rsidRDefault="009B22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Imovina koja se drži </w:t>
      </w:r>
      <w:r w:rsidR="00606729" w:rsidRPr="00CD3A2D">
        <w:rPr>
          <w:rFonts w:asciiTheme="minorHAnsi" w:hAnsiTheme="minorHAnsi" w:cstheme="minorHAnsi"/>
          <w:sz w:val="22"/>
          <w:szCs w:val="22"/>
          <w:lang w:val="hr-HR" w:eastAsia="hr-HR"/>
        </w:rPr>
        <w:t>kao ostali najmovi</w:t>
      </w:r>
      <w:r w:rsidRPr="00CD3A2D">
        <w:rPr>
          <w:rFonts w:asciiTheme="minorHAnsi" w:hAnsiTheme="minorHAnsi" w:cstheme="minorHAnsi"/>
          <w:sz w:val="22"/>
          <w:szCs w:val="22"/>
          <w:lang w:val="hr-HR" w:eastAsia="hr-HR"/>
        </w:rPr>
        <w:t xml:space="preserve"> klasificira se kao operativni naj</w:t>
      </w:r>
      <w:r w:rsidR="00606729"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m i ne priznaje se u izvještaj o financijskom položaju Grupe.</w:t>
      </w:r>
    </w:p>
    <w:p w:rsidR="009B2218" w:rsidRPr="00CD3A2D" w:rsidRDefault="009B22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Plaćanja po osnovi operativnih najmova priznaju se u dobit ili gubit</w:t>
      </w:r>
      <w:r w:rsidR="00606729"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k linearnom metodom tijekom trajanja najma. Primljeni poticaji za najam priznaju se kao sastavni dio ukupnog troška najma tijekom trajanja najma.</w:t>
      </w:r>
    </w:p>
    <w:p w:rsidR="00BB4A60" w:rsidRPr="00CD3A2D" w:rsidRDefault="00BB4A60"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F. Porez na do</w:t>
      </w:r>
      <w:r w:rsidR="00CA5916" w:rsidRPr="00CD3A2D">
        <w:rPr>
          <w:rFonts w:asciiTheme="minorHAnsi" w:hAnsiTheme="minorHAnsi" w:cstheme="minorHAnsi"/>
          <w:b/>
          <w:sz w:val="22"/>
          <w:szCs w:val="22"/>
          <w:lang w:val="hr-HR" w:eastAsia="hr-HR"/>
        </w:rPr>
        <w:t>bit</w:t>
      </w:r>
    </w:p>
    <w:p w:rsidR="00BB4A60" w:rsidRPr="00CD3A2D" w:rsidRDefault="00852EC8" w:rsidP="003C6BA3">
      <w:pPr>
        <w:pStyle w:val="T1"/>
        <w:keepNext w:val="0"/>
        <w:tabs>
          <w:tab w:val="left" w:pos="426"/>
        </w:tabs>
        <w:spacing w:before="120" w:line="240" w:lineRule="auto"/>
        <w:rPr>
          <w:rFonts w:asciiTheme="minorHAnsi" w:hAnsiTheme="minorHAnsi" w:cstheme="minorHAnsi"/>
          <w:sz w:val="22"/>
          <w:szCs w:val="22"/>
          <w:lang w:val="hr-HR" w:eastAsia="hr-HR"/>
        </w:rPr>
      </w:pPr>
      <w:r w:rsidRPr="001567C8">
        <w:rPr>
          <w:rFonts w:asciiTheme="minorHAnsi" w:hAnsiTheme="minorHAnsi" w:cs="Arial"/>
          <w:b w:val="0"/>
          <w:bCs w:val="0"/>
          <w:sz w:val="22"/>
          <w:szCs w:val="22"/>
          <w:lang w:val="hr-HR"/>
        </w:rPr>
        <w:t xml:space="preserve">Matično društvo temeljem članka 9. Zakona o HBOR-u nije obveznik plaćanja poreza na dobit. </w:t>
      </w:r>
      <w:r w:rsidR="00BB4A60" w:rsidRPr="00CD3A2D">
        <w:rPr>
          <w:rFonts w:asciiTheme="minorHAnsi" w:hAnsiTheme="minorHAnsi" w:cstheme="minorHAnsi"/>
          <w:b w:val="0"/>
          <w:sz w:val="22"/>
          <w:szCs w:val="22"/>
          <w:lang w:val="hr-HR" w:eastAsia="hr-HR"/>
        </w:rPr>
        <w:t xml:space="preserve">Obveze za porez na dobit proizlaze isključivo iz aktivnosti </w:t>
      </w:r>
      <w:r w:rsidRPr="00CD3A2D">
        <w:rPr>
          <w:rFonts w:asciiTheme="minorHAnsi" w:hAnsiTheme="minorHAnsi" w:cstheme="minorHAnsi"/>
          <w:b w:val="0"/>
          <w:sz w:val="22"/>
          <w:szCs w:val="22"/>
          <w:lang w:val="hr-HR" w:eastAsia="hr-HR"/>
        </w:rPr>
        <w:t xml:space="preserve">drugih </w:t>
      </w:r>
      <w:r w:rsidR="00BB4A60" w:rsidRPr="00CD3A2D">
        <w:rPr>
          <w:rFonts w:asciiTheme="minorHAnsi" w:hAnsiTheme="minorHAnsi" w:cstheme="minorHAnsi"/>
          <w:b w:val="0"/>
          <w:sz w:val="22"/>
          <w:szCs w:val="22"/>
          <w:lang w:val="hr-HR" w:eastAsia="hr-HR"/>
        </w:rPr>
        <w:t>članica Grupe.</w:t>
      </w:r>
    </w:p>
    <w:p w:rsidR="00BE1FDF" w:rsidRPr="001567C8" w:rsidRDefault="00BB4A60" w:rsidP="003C6BA3">
      <w:pPr>
        <w:pStyle w:val="BodyText"/>
        <w:spacing w:before="120" w:after="120"/>
        <w:ind w:right="-1"/>
        <w:jc w:val="both"/>
        <w:rPr>
          <w:rFonts w:asciiTheme="minorHAnsi" w:hAnsiTheme="minorHAnsi" w:cs="Arial"/>
          <w:sz w:val="22"/>
          <w:szCs w:val="22"/>
          <w:lang w:val="hr-HR"/>
        </w:rPr>
      </w:pPr>
      <w:r w:rsidRPr="00CD3A2D">
        <w:rPr>
          <w:rFonts w:asciiTheme="minorHAnsi" w:hAnsiTheme="minorHAnsi" w:cstheme="minorHAnsi"/>
          <w:sz w:val="22"/>
          <w:szCs w:val="22"/>
          <w:lang w:val="hr-HR" w:eastAsia="hr-HR"/>
        </w:rPr>
        <w:t xml:space="preserve">Porez na dobit </w:t>
      </w:r>
      <w:r w:rsidR="00852EC8" w:rsidRPr="00CD3A2D">
        <w:rPr>
          <w:rFonts w:asciiTheme="minorHAnsi" w:hAnsiTheme="minorHAnsi" w:cstheme="minorHAnsi"/>
          <w:sz w:val="22"/>
          <w:szCs w:val="22"/>
          <w:lang w:val="hr-HR" w:eastAsia="hr-HR"/>
        </w:rPr>
        <w:t xml:space="preserve">obračunava se na oporezivu dobit za godinu </w:t>
      </w:r>
      <w:r w:rsidRPr="00CD3A2D">
        <w:rPr>
          <w:rFonts w:asciiTheme="minorHAnsi" w:hAnsiTheme="minorHAnsi" w:cstheme="minorHAnsi"/>
          <w:sz w:val="22"/>
          <w:szCs w:val="22"/>
          <w:lang w:val="hr-HR" w:eastAsia="hr-HR"/>
        </w:rPr>
        <w:t>i sastoji se od tekućeg i odgođenog poreza. Porez na dobit priznaje se u dobit</w:t>
      </w:r>
      <w:r w:rsidR="00BE1FDF" w:rsidRPr="00CD3A2D">
        <w:rPr>
          <w:rFonts w:asciiTheme="minorHAnsi" w:hAnsiTheme="minorHAnsi" w:cstheme="minorHAnsi"/>
          <w:sz w:val="22"/>
          <w:szCs w:val="22"/>
          <w:lang w:val="hr-HR" w:eastAsia="hr-HR"/>
        </w:rPr>
        <w:t xml:space="preserve"> ili gubitak</w:t>
      </w:r>
      <w:r w:rsidRPr="00CD3A2D">
        <w:rPr>
          <w:rFonts w:asciiTheme="minorHAnsi" w:hAnsiTheme="minorHAnsi" w:cstheme="minorHAnsi"/>
          <w:sz w:val="22"/>
          <w:szCs w:val="22"/>
          <w:lang w:val="hr-HR" w:eastAsia="hr-HR"/>
        </w:rPr>
        <w:t xml:space="preserve">, osim u mjeri u kojoj se odnosi na stavke priznate izravno u kapitalu, </w:t>
      </w:r>
      <w:r w:rsidR="00BE1FDF" w:rsidRPr="00CD3A2D">
        <w:rPr>
          <w:rFonts w:asciiTheme="minorHAnsi" w:hAnsiTheme="minorHAnsi" w:cstheme="minorHAnsi"/>
          <w:sz w:val="22"/>
          <w:szCs w:val="22"/>
          <w:lang w:val="hr-HR" w:eastAsia="hr-HR"/>
        </w:rPr>
        <w:t>u kojem slučaju se priznaju</w:t>
      </w:r>
      <w:r w:rsidRPr="00CD3A2D">
        <w:rPr>
          <w:rFonts w:asciiTheme="minorHAnsi" w:hAnsiTheme="minorHAnsi" w:cstheme="minorHAnsi"/>
          <w:sz w:val="22"/>
          <w:szCs w:val="22"/>
          <w:lang w:val="hr-HR" w:eastAsia="hr-HR"/>
        </w:rPr>
        <w:t xml:space="preserve"> u kapitalu. </w:t>
      </w:r>
      <w:r w:rsidR="00BE1FDF" w:rsidRPr="001567C8">
        <w:rPr>
          <w:rFonts w:asciiTheme="minorHAnsi" w:hAnsiTheme="minorHAnsi" w:cs="Arial"/>
          <w:sz w:val="22"/>
          <w:szCs w:val="22"/>
          <w:lang w:val="hr-HR"/>
        </w:rPr>
        <w:t xml:space="preserve">Tekući porez predstavlja očekivanu poreznu obvezu obračunatu na oporezivi iznos dobiti za godinu, koristeći porezne stope koje su </w:t>
      </w:r>
      <w:r w:rsidR="00CB0A11" w:rsidRPr="001567C8">
        <w:rPr>
          <w:rFonts w:asciiTheme="minorHAnsi" w:hAnsiTheme="minorHAnsi" w:cs="Arial"/>
          <w:sz w:val="22"/>
          <w:szCs w:val="22"/>
          <w:lang w:val="hr-HR"/>
        </w:rPr>
        <w:t>stupile na snagu ili su bile na snazi na</w:t>
      </w:r>
      <w:r w:rsidR="00BE1FDF" w:rsidRPr="001567C8">
        <w:rPr>
          <w:rFonts w:asciiTheme="minorHAnsi" w:hAnsiTheme="minorHAnsi" w:cs="Arial"/>
          <w:sz w:val="22"/>
          <w:szCs w:val="22"/>
          <w:lang w:val="hr-HR"/>
        </w:rPr>
        <w:t xml:space="preserve"> izvještajni datum te sve korekcije iznosa porezne obveze za prethodna razdoblja.</w:t>
      </w:r>
    </w:p>
    <w:p w:rsidR="00BB4A60" w:rsidRPr="00CD3A2D" w:rsidRDefault="00CB0A11" w:rsidP="003C6BA3">
      <w:pPr>
        <w:pStyle w:val="MACNormal"/>
        <w:numPr>
          <w:ilvl w:val="12"/>
          <w:numId w:val="0"/>
        </w:numPr>
        <w:tabs>
          <w:tab w:val="left" w:pos="800"/>
          <w:tab w:val="left" w:pos="2240"/>
          <w:tab w:val="right" w:pos="4220"/>
          <w:tab w:val="right" w:pos="5660"/>
          <w:tab w:val="decimal" w:pos="7100"/>
          <w:tab w:val="decimal" w:pos="8540"/>
        </w:tabs>
        <w:spacing w:before="120" w:after="120"/>
        <w:rPr>
          <w:rFonts w:asciiTheme="minorHAnsi" w:hAnsiTheme="minorHAnsi" w:cstheme="minorHAnsi"/>
          <w:color w:val="auto"/>
          <w:sz w:val="22"/>
          <w:szCs w:val="22"/>
          <w:lang w:val="hr-HR"/>
        </w:rPr>
      </w:pPr>
      <w:r w:rsidRPr="001567C8">
        <w:rPr>
          <w:rFonts w:asciiTheme="minorHAnsi" w:hAnsiTheme="minorHAnsi" w:cs="Arial"/>
          <w:color w:val="auto"/>
          <w:sz w:val="22"/>
          <w:szCs w:val="22"/>
          <w:lang w:val="hr-HR" w:eastAsia="en-US"/>
        </w:rPr>
        <w:t xml:space="preserve">Iznos odgođenog poreza izračunava se metodom bilančne obveze. Odgođeni porez na dobit odražava privremene razlike između knjigovodstvene vrijednosti imovine i obveza za potrebe financijskog izvještavanja i iznosa koji se koriste za  potrebe izračuna poreza. Odgođena porezna imovina i obveze mjere se </w:t>
      </w:r>
      <w:r w:rsidR="00BB4A60" w:rsidRPr="00CD3A2D">
        <w:rPr>
          <w:rFonts w:asciiTheme="minorHAnsi" w:hAnsiTheme="minorHAnsi" w:cstheme="minorHAnsi"/>
          <w:color w:val="auto"/>
          <w:sz w:val="22"/>
          <w:szCs w:val="22"/>
          <w:lang w:val="hr-HR"/>
        </w:rPr>
        <w:t>primjenom poreznih stopa za koje se očekuje da će se primjenjivati ​​na oporezivu dobit u godinama u kojima se očekuje da će se te privremene razlike nadoknaditi ili</w:t>
      </w:r>
      <w:r w:rsidR="00931335" w:rsidRPr="00CD3A2D">
        <w:rPr>
          <w:rFonts w:asciiTheme="minorHAnsi" w:hAnsiTheme="minorHAnsi" w:cstheme="minorHAnsi"/>
          <w:color w:val="auto"/>
          <w:sz w:val="22"/>
          <w:szCs w:val="22"/>
          <w:lang w:val="hr-HR"/>
        </w:rPr>
        <w:t xml:space="preserve"> namiriti</w:t>
      </w:r>
      <w:r w:rsidR="00BB4A60" w:rsidRPr="00CD3A2D">
        <w:rPr>
          <w:rFonts w:asciiTheme="minorHAnsi" w:hAnsiTheme="minorHAnsi" w:cstheme="minorHAnsi"/>
          <w:color w:val="auto"/>
          <w:sz w:val="22"/>
          <w:szCs w:val="22"/>
          <w:lang w:val="hr-HR"/>
        </w:rPr>
        <w:t xml:space="preserve"> na temelju poreznih stopa koje su </w:t>
      </w:r>
      <w:r w:rsidRPr="00CD3A2D">
        <w:rPr>
          <w:rFonts w:asciiTheme="minorHAnsi" w:hAnsiTheme="minorHAnsi" w:cstheme="minorHAnsi"/>
          <w:color w:val="auto"/>
          <w:sz w:val="22"/>
          <w:szCs w:val="22"/>
          <w:lang w:val="hr-HR"/>
        </w:rPr>
        <w:t>stupile na snagu ili su bile na snazi na izvještajni datum.</w:t>
      </w:r>
    </w:p>
    <w:p w:rsidR="00BB4A60" w:rsidRPr="00CD3A2D" w:rsidRDefault="00B2041C"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Mjerenje odgođenih poreznih obveza i imovine odražava porezne posljedice koje proizlaze iz načina na koji </w:t>
      </w:r>
      <w:r w:rsidR="00632655" w:rsidRPr="00CD3A2D">
        <w:rPr>
          <w:rFonts w:asciiTheme="minorHAnsi" w:hAnsiTheme="minorHAnsi" w:cstheme="minorHAnsi"/>
          <w:sz w:val="22"/>
          <w:szCs w:val="22"/>
          <w:lang w:val="hr-HR"/>
        </w:rPr>
        <w:t xml:space="preserve">Grupa očekuje, </w:t>
      </w:r>
      <w:r w:rsidRPr="00CD3A2D">
        <w:rPr>
          <w:rFonts w:asciiTheme="minorHAnsi" w:hAnsiTheme="minorHAnsi" w:cstheme="minorHAnsi"/>
          <w:sz w:val="22"/>
          <w:szCs w:val="22"/>
          <w:lang w:val="hr-HR"/>
        </w:rPr>
        <w:t>na datum izvještavanja</w:t>
      </w:r>
      <w:r w:rsidR="00632655" w:rsidRPr="00CD3A2D">
        <w:rPr>
          <w:rFonts w:asciiTheme="minorHAnsi" w:hAnsiTheme="minorHAnsi" w:cstheme="minorHAnsi"/>
          <w:sz w:val="22"/>
          <w:szCs w:val="22"/>
          <w:lang w:val="hr-HR"/>
        </w:rPr>
        <w:t>,</w:t>
      </w:r>
      <w:r w:rsidRPr="00CD3A2D">
        <w:rPr>
          <w:rFonts w:asciiTheme="minorHAnsi" w:hAnsiTheme="minorHAnsi" w:cstheme="minorHAnsi"/>
          <w:sz w:val="22"/>
          <w:szCs w:val="22"/>
          <w:lang w:val="hr-HR"/>
        </w:rPr>
        <w:t xml:space="preserve"> povrat ili podmirenje knjigovodstvene vrijednosti imovine i obveza.</w:t>
      </w:r>
    </w:p>
    <w:p w:rsidR="00BB4A60" w:rsidRPr="00CD3A2D" w:rsidRDefault="00BB4A60"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Odgođena porezna imovina i obveze se ne diskontiraju te se klasificiraju kao dugotrajna imovina i / ili obveze u izvještaju o financijskom položaju. Odgođena porezna imovina priznaje se kada je vjerojatno da će biti raspoloživa dostatna oporeziva dobit za koju se može iskoristiti odgođena porezna imovina. Na svaki datum izvještaja o financijskom položaju, Grupa ponovno procjenjuje nepriznatu potencijalnu odgođenu poreznu imovinu i knjigovodstvenu vrijednost priznate odgođene porezne imovine.</w:t>
      </w:r>
    </w:p>
    <w:p w:rsidR="00876866" w:rsidRPr="00CD3A2D" w:rsidRDefault="00BB4A60" w:rsidP="00BB4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sectPr w:rsidR="00876866" w:rsidRPr="00CD3A2D" w:rsidSect="000D6913">
          <w:pgSz w:w="11907" w:h="16840" w:code="9"/>
          <w:pgMar w:top="1418" w:right="1134" w:bottom="1134" w:left="1418" w:header="851" w:footer="851" w:gutter="0"/>
          <w:cols w:space="720"/>
          <w:noEndnote/>
        </w:sectPr>
      </w:pPr>
      <w:r w:rsidRPr="00CD3A2D">
        <w:rPr>
          <w:rFonts w:asciiTheme="minorHAnsi" w:hAnsiTheme="minorHAnsi" w:cstheme="minorHAnsi"/>
          <w:sz w:val="22"/>
          <w:szCs w:val="22"/>
          <w:lang w:val="hr-HR" w:eastAsia="hr-HR"/>
        </w:rPr>
        <w:t>Odgođena porezna imovina i obveze prebijaju se samo ako su ispunjeni određeni kriteriji.</w:t>
      </w:r>
    </w:p>
    <w:p w:rsidR="00BB4A60" w:rsidRPr="00CD3A2D" w:rsidRDefault="00BB4A60" w:rsidP="00BB4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392AD9"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392AD9"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392AD9"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BB4A60" w:rsidRPr="001567C8" w:rsidRDefault="00BB4A60" w:rsidP="005A4073">
      <w:pPr>
        <w:jc w:val="both"/>
        <w:rPr>
          <w:rFonts w:asciiTheme="minorHAnsi" w:hAnsiTheme="minorHAnsi" w:cstheme="minorHAnsi"/>
          <w:b/>
          <w:sz w:val="22"/>
          <w:szCs w:val="22"/>
          <w:lang w:val="hr-HR"/>
        </w:rPr>
      </w:pPr>
    </w:p>
    <w:p w:rsidR="00392AD9"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w:t>
      </w:r>
    </w:p>
    <w:p w:rsidR="00392AD9"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p>
    <w:p w:rsidR="00392AD9"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sz w:val="22"/>
          <w:szCs w:val="22"/>
          <w:lang w:val="hr-HR" w:eastAsia="hr-HR"/>
        </w:rPr>
      </w:pPr>
      <w:r w:rsidRPr="00CD3A2D">
        <w:rPr>
          <w:rFonts w:asciiTheme="minorHAnsi" w:hAnsiTheme="minorHAnsi" w:cstheme="minorHAnsi"/>
          <w:b/>
          <w:i/>
          <w:sz w:val="22"/>
          <w:szCs w:val="22"/>
          <w:lang w:val="hr-HR" w:eastAsia="hr-HR"/>
        </w:rPr>
        <w:t>i. Priznavanje i početno mjerenje</w:t>
      </w:r>
    </w:p>
    <w:p w:rsidR="00392AD9"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392AD9"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Grupa početno priznaje </w:t>
      </w:r>
      <w:r w:rsidR="00B1614D" w:rsidRPr="00CD3A2D">
        <w:rPr>
          <w:rFonts w:asciiTheme="minorHAnsi" w:hAnsiTheme="minorHAnsi" w:cstheme="minorHAnsi"/>
          <w:sz w:val="22"/>
          <w:szCs w:val="22"/>
          <w:lang w:val="hr-HR" w:eastAsia="hr-HR"/>
        </w:rPr>
        <w:t>kredite financijskim institucijama, kredite ostalim korisnicima</w:t>
      </w:r>
      <w:r w:rsidRPr="00CD3A2D">
        <w:rPr>
          <w:rFonts w:asciiTheme="minorHAnsi" w:hAnsiTheme="minorHAnsi" w:cstheme="minorHAnsi"/>
          <w:sz w:val="22"/>
          <w:szCs w:val="22"/>
          <w:lang w:val="hr-HR" w:eastAsia="hr-HR"/>
        </w:rPr>
        <w:t>, depozite i izdane dužničke vrijednosne papire na datum nastanka. Svi ostali financijski instrumenti (uključujući redovitu kupnju i prodaju financijske imovine) priznaju se na datum trgovanja, odnosno na datum na koji Grupa postaje strana ugovornih odredbi instrumenta.</w:t>
      </w:r>
    </w:p>
    <w:p w:rsidR="00392AD9"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64329E" w:rsidRPr="00CD3A2D"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Financijska imovina ili financijska obveza početno se mjeri po fer vrijednosti</w:t>
      </w:r>
      <w:r w:rsidR="001D08CC" w:rsidRPr="00CD3A2D">
        <w:rPr>
          <w:rFonts w:asciiTheme="minorHAnsi" w:hAnsiTheme="minorHAnsi" w:cstheme="minorHAnsi"/>
          <w:sz w:val="22"/>
          <w:szCs w:val="22"/>
          <w:lang w:val="hr-HR" w:eastAsia="hr-HR"/>
        </w:rPr>
        <w:t>, koja se kod financijske imovine koja se naknadno ne mjeri po fer vrijednosti kroz dobit ili gubitak uvećava za transakcij</w:t>
      </w:r>
      <w:r w:rsidR="0064329E" w:rsidRPr="00CD3A2D">
        <w:rPr>
          <w:rFonts w:asciiTheme="minorHAnsi" w:hAnsiTheme="minorHAnsi" w:cstheme="minorHAnsi"/>
          <w:sz w:val="22"/>
          <w:szCs w:val="22"/>
          <w:lang w:val="hr-HR" w:eastAsia="hr-HR"/>
        </w:rPr>
        <w:t>ske troškove koji se mogu izravno pripisati stjecanju ili izdavanju financijske imovine.</w:t>
      </w:r>
    </w:p>
    <w:p w:rsidR="00C3403A" w:rsidRPr="001567C8" w:rsidRDefault="00C3403A" w:rsidP="005A4073">
      <w:pPr>
        <w:jc w:val="both"/>
        <w:rPr>
          <w:rFonts w:asciiTheme="minorHAnsi" w:hAnsiTheme="minorHAnsi" w:cstheme="minorHAnsi"/>
          <w:b/>
          <w:sz w:val="22"/>
          <w:szCs w:val="22"/>
          <w:lang w:val="hr-HR"/>
        </w:rPr>
      </w:pPr>
    </w:p>
    <w:p w:rsidR="009558ED" w:rsidRPr="00CD3A2D"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sz w:val="22"/>
          <w:szCs w:val="22"/>
          <w:lang w:val="hr-HR" w:eastAsia="hr-HR"/>
        </w:rPr>
      </w:pPr>
      <w:r w:rsidRPr="00CD3A2D">
        <w:rPr>
          <w:rFonts w:asciiTheme="minorHAnsi" w:hAnsiTheme="minorHAnsi" w:cstheme="minorHAnsi"/>
          <w:b/>
          <w:i/>
          <w:sz w:val="22"/>
          <w:szCs w:val="22"/>
          <w:lang w:val="hr-HR" w:eastAsia="hr-HR"/>
        </w:rPr>
        <w:t>ii. Klasifikacija</w:t>
      </w:r>
    </w:p>
    <w:p w:rsidR="009558ED" w:rsidRPr="00CD3A2D"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Financijska imovina - Politika primjenjiva od 1. siječnja 2018</w:t>
      </w:r>
      <w:r w:rsidR="00A13DED" w:rsidRPr="00CD3A2D">
        <w:rPr>
          <w:rFonts w:asciiTheme="minorHAnsi" w:hAnsiTheme="minorHAnsi" w:cstheme="minorHAnsi"/>
          <w:i/>
          <w:sz w:val="22"/>
          <w:szCs w:val="22"/>
          <w:lang w:val="hr-HR" w:eastAsia="hr-HR"/>
        </w:rPr>
        <w:t>. godine</w:t>
      </w:r>
    </w:p>
    <w:p w:rsidR="009558ED" w:rsidRPr="00CD3A2D"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9558ED" w:rsidRPr="00CD3A2D"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Nakon početnog priznavanja, financijska imovina se klasificira kao mjerena po amortiziranom trošku, po fer vrijednosti kroz ostalu sveobuhvatnu dobit ili po fer vrijednosti kroz dobiti ili gubitak.</w:t>
      </w:r>
    </w:p>
    <w:p w:rsidR="009558ED" w:rsidRPr="00CD3A2D"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Financijska imovina mjeri se po amortiziranom trošku ako ispunjava oba sljedeća uvjeta i </w:t>
      </w:r>
      <w:r w:rsidR="008816BE" w:rsidRPr="00CD3A2D">
        <w:rPr>
          <w:rFonts w:asciiTheme="minorHAnsi" w:hAnsiTheme="minorHAnsi" w:cstheme="minorHAnsi"/>
          <w:sz w:val="22"/>
          <w:szCs w:val="22"/>
          <w:lang w:val="hr-HR" w:eastAsia="hr-HR"/>
        </w:rPr>
        <w:t xml:space="preserve">ne mjeri se </w:t>
      </w:r>
      <w:r w:rsidRPr="00CD3A2D">
        <w:rPr>
          <w:rFonts w:asciiTheme="minorHAnsi" w:hAnsiTheme="minorHAnsi" w:cstheme="minorHAnsi"/>
          <w:sz w:val="22"/>
          <w:szCs w:val="22"/>
          <w:lang w:val="hr-HR" w:eastAsia="hr-HR"/>
        </w:rPr>
        <w:t xml:space="preserve">po fer vrijednosti kroz </w:t>
      </w:r>
      <w:r w:rsidR="008816BE" w:rsidRPr="00CD3A2D">
        <w:rPr>
          <w:rFonts w:asciiTheme="minorHAnsi" w:hAnsiTheme="minorHAnsi" w:cstheme="minorHAnsi"/>
          <w:sz w:val="22"/>
          <w:szCs w:val="22"/>
          <w:lang w:val="hr-HR" w:eastAsia="hr-HR"/>
        </w:rPr>
        <w:t>dobit ili gubitak</w:t>
      </w:r>
      <w:r w:rsidRPr="00CD3A2D">
        <w:rPr>
          <w:rFonts w:asciiTheme="minorHAnsi" w:hAnsiTheme="minorHAnsi" w:cstheme="minorHAnsi"/>
          <w:sz w:val="22"/>
          <w:szCs w:val="22"/>
          <w:lang w:val="hr-HR" w:eastAsia="hr-HR"/>
        </w:rPr>
        <w:t>:</w:t>
      </w:r>
    </w:p>
    <w:p w:rsidR="00E2497D" w:rsidRPr="00CD3A2D" w:rsidRDefault="00E2497D" w:rsidP="00E2497D">
      <w:pPr>
        <w:keepNext/>
        <w:tabs>
          <w:tab w:val="left" w:pos="993"/>
        </w:tabs>
        <w:jc w:val="both"/>
        <w:rPr>
          <w:rFonts w:asciiTheme="minorHAnsi" w:hAnsiTheme="minorHAnsi" w:cstheme="minorHAnsi"/>
          <w:bCs/>
          <w:sz w:val="22"/>
          <w:szCs w:val="22"/>
          <w:lang w:val="hr-HR"/>
        </w:rPr>
      </w:pPr>
      <w:r w:rsidRPr="00CD3A2D">
        <w:rPr>
          <w:rFonts w:asciiTheme="minorHAnsi" w:hAnsiTheme="minorHAnsi" w:cstheme="minorHAnsi"/>
          <w:bCs/>
          <w:sz w:val="22"/>
          <w:szCs w:val="22"/>
          <w:lang w:val="hr-HR"/>
        </w:rPr>
        <w:t xml:space="preserve">- financijska imovina je alocirana u poslovni model čiji je cilj držanje imovine radi prikupljanja ugovornih novčanih tokova i </w:t>
      </w:r>
    </w:p>
    <w:p w:rsidR="00E2497D" w:rsidRPr="00CD3A2D" w:rsidRDefault="00E2497D" w:rsidP="00E249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bCs/>
          <w:sz w:val="22"/>
          <w:szCs w:val="22"/>
          <w:lang w:val="hr-HR"/>
        </w:rPr>
        <w:t>-</w:t>
      </w:r>
      <w:r w:rsidRPr="00CD3A2D">
        <w:rPr>
          <w:rFonts w:asciiTheme="minorHAnsi" w:hAnsiTheme="minorHAnsi" w:cstheme="minorHAnsi"/>
          <w:sz w:val="22"/>
          <w:szCs w:val="22"/>
          <w:lang w:val="hr-HR" w:eastAsia="hr-HR"/>
        </w:rPr>
        <w:t xml:space="preserve"> ugovorni uvjeti financijske imovine nastaju na određene datume za novčane tijekove – SPPI test je zadovoljen.</w:t>
      </w:r>
    </w:p>
    <w:p w:rsidR="0064329E" w:rsidRPr="00CD3A2D" w:rsidRDefault="0064329E"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973F06" w:rsidRPr="00CD3A2D" w:rsidRDefault="00973F06"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Dužnički instrument mjeri se </w:t>
      </w:r>
      <w:r w:rsidR="0064329E" w:rsidRPr="00CD3A2D">
        <w:rPr>
          <w:rFonts w:asciiTheme="minorHAnsi" w:hAnsiTheme="minorHAnsi" w:cstheme="minorHAnsi"/>
          <w:sz w:val="22"/>
          <w:szCs w:val="22"/>
          <w:lang w:val="hr-HR" w:eastAsia="hr-HR"/>
        </w:rPr>
        <w:t xml:space="preserve">po fer vrijednosti kroz ostalu sveobuhvatnu dobit </w:t>
      </w:r>
      <w:r w:rsidRPr="00CD3A2D">
        <w:rPr>
          <w:rFonts w:asciiTheme="minorHAnsi" w:hAnsiTheme="minorHAnsi" w:cstheme="minorHAnsi"/>
          <w:sz w:val="22"/>
          <w:szCs w:val="22"/>
          <w:lang w:val="hr-HR" w:eastAsia="hr-HR"/>
        </w:rPr>
        <w:t>samo ako ispunjava oba sljedeća uvjeta i n</w:t>
      </w:r>
      <w:r w:rsidR="0064329E" w:rsidRPr="00CD3A2D">
        <w:rPr>
          <w:rFonts w:asciiTheme="minorHAnsi" w:hAnsiTheme="minorHAnsi" w:cstheme="minorHAnsi"/>
          <w:sz w:val="22"/>
          <w:szCs w:val="22"/>
          <w:lang w:val="hr-HR" w:eastAsia="hr-HR"/>
        </w:rPr>
        <w:t>e mjeri se po fer vrijednosti kroz dobit ili gubitak</w:t>
      </w:r>
      <w:r w:rsidRPr="00CD3A2D">
        <w:rPr>
          <w:rFonts w:asciiTheme="minorHAnsi" w:hAnsiTheme="minorHAnsi" w:cstheme="minorHAnsi"/>
          <w:sz w:val="22"/>
          <w:szCs w:val="22"/>
          <w:lang w:val="hr-HR" w:eastAsia="hr-HR"/>
        </w:rPr>
        <w:t>:</w:t>
      </w:r>
    </w:p>
    <w:p w:rsidR="00973F06" w:rsidRPr="00CD3A2D" w:rsidRDefault="00973F06"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imovina se drži unutar poslovnog modela čiji se cilj postiže prikupljanjem ugovornih novčanih tokova i prodajom financijske imovine; i</w:t>
      </w:r>
    </w:p>
    <w:p w:rsidR="00973F06" w:rsidRPr="00CD3A2D" w:rsidRDefault="00973F06"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 ugovorni uvjeti financijske imovine </w:t>
      </w:r>
      <w:r w:rsidR="0064329E" w:rsidRPr="00CD3A2D">
        <w:rPr>
          <w:rFonts w:asciiTheme="minorHAnsi" w:hAnsiTheme="minorHAnsi" w:cstheme="minorHAnsi"/>
          <w:sz w:val="22"/>
          <w:szCs w:val="22"/>
          <w:lang w:val="hr-HR"/>
        </w:rPr>
        <w:t>nastaju</w:t>
      </w:r>
      <w:r w:rsidRPr="00CD3A2D">
        <w:rPr>
          <w:rFonts w:asciiTheme="minorHAnsi" w:hAnsiTheme="minorHAnsi" w:cstheme="minorHAnsi"/>
          <w:sz w:val="22"/>
          <w:szCs w:val="22"/>
          <w:lang w:val="hr-HR"/>
        </w:rPr>
        <w:t xml:space="preserve"> na određene datume za novčane tijekove </w:t>
      </w:r>
      <w:r w:rsidR="0064329E" w:rsidRPr="00CD3A2D">
        <w:rPr>
          <w:rFonts w:asciiTheme="minorHAnsi" w:hAnsiTheme="minorHAnsi" w:cstheme="minorHAnsi"/>
          <w:sz w:val="22"/>
          <w:szCs w:val="22"/>
          <w:lang w:val="hr-HR"/>
        </w:rPr>
        <w:t xml:space="preserve">– </w:t>
      </w:r>
      <w:r w:rsidRPr="00CD3A2D">
        <w:rPr>
          <w:rFonts w:asciiTheme="minorHAnsi" w:hAnsiTheme="minorHAnsi" w:cstheme="minorHAnsi"/>
          <w:sz w:val="22"/>
          <w:szCs w:val="22"/>
          <w:lang w:val="hr-HR"/>
        </w:rPr>
        <w:t>SPPI</w:t>
      </w:r>
      <w:r w:rsidR="0064329E" w:rsidRPr="00CD3A2D">
        <w:rPr>
          <w:rFonts w:asciiTheme="minorHAnsi" w:hAnsiTheme="minorHAnsi" w:cstheme="minorHAnsi"/>
          <w:sz w:val="22"/>
          <w:szCs w:val="22"/>
          <w:lang w:val="hr-HR"/>
        </w:rPr>
        <w:t xml:space="preserve"> test je </w:t>
      </w:r>
      <w:r w:rsidR="00DA25D1" w:rsidRPr="001567C8">
        <w:rPr>
          <w:rFonts w:asciiTheme="minorHAnsi" w:hAnsiTheme="minorHAnsi" w:cstheme="minorHAnsi"/>
          <w:sz w:val="22"/>
          <w:szCs w:val="22"/>
          <w:lang w:val="hr-HR"/>
        </w:rPr>
        <w:t>zadovoljen</w:t>
      </w:r>
      <w:r w:rsidRPr="00CD3A2D">
        <w:rPr>
          <w:rFonts w:asciiTheme="minorHAnsi" w:hAnsiTheme="minorHAnsi" w:cstheme="minorHAnsi"/>
          <w:sz w:val="22"/>
          <w:szCs w:val="22"/>
          <w:lang w:val="hr-HR"/>
        </w:rPr>
        <w:t>.</w:t>
      </w:r>
    </w:p>
    <w:p w:rsidR="0064329E" w:rsidRPr="00CD3A2D" w:rsidRDefault="0064329E"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rPr>
      </w:pPr>
    </w:p>
    <w:p w:rsidR="00973F06" w:rsidRPr="00CD3A2D" w:rsidRDefault="00973F06"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Prilikom početnog priznavanja ulaganja u </w:t>
      </w:r>
      <w:r w:rsidR="0064329E" w:rsidRPr="00CD3A2D">
        <w:rPr>
          <w:rFonts w:asciiTheme="minorHAnsi" w:hAnsiTheme="minorHAnsi" w:cstheme="minorHAnsi"/>
          <w:sz w:val="22"/>
          <w:szCs w:val="22"/>
          <w:lang w:val="hr-HR"/>
        </w:rPr>
        <w:t xml:space="preserve">vlasničke instrumente koji </w:t>
      </w:r>
      <w:r w:rsidRPr="00CD3A2D">
        <w:rPr>
          <w:rFonts w:asciiTheme="minorHAnsi" w:hAnsiTheme="minorHAnsi" w:cstheme="minorHAnsi"/>
          <w:sz w:val="22"/>
          <w:szCs w:val="22"/>
          <w:lang w:val="hr-HR"/>
        </w:rPr>
        <w:t>se ne drž</w:t>
      </w:r>
      <w:r w:rsidR="0064329E" w:rsidRPr="00CD3A2D">
        <w:rPr>
          <w:rFonts w:asciiTheme="minorHAnsi" w:hAnsiTheme="minorHAnsi" w:cstheme="minorHAnsi"/>
          <w:sz w:val="22"/>
          <w:szCs w:val="22"/>
          <w:lang w:val="hr-HR"/>
        </w:rPr>
        <w:t>e</w:t>
      </w:r>
      <w:r w:rsidRPr="00CD3A2D">
        <w:rPr>
          <w:rFonts w:asciiTheme="minorHAnsi" w:hAnsiTheme="minorHAnsi" w:cstheme="minorHAnsi"/>
          <w:sz w:val="22"/>
          <w:szCs w:val="22"/>
          <w:lang w:val="hr-HR"/>
        </w:rPr>
        <w:t xml:space="preserve"> radi trgovanja, Grupa može neopozivo </w:t>
      </w:r>
      <w:r w:rsidR="0064329E" w:rsidRPr="00CD3A2D">
        <w:rPr>
          <w:rFonts w:asciiTheme="minorHAnsi" w:hAnsiTheme="minorHAnsi" w:cstheme="minorHAnsi"/>
          <w:sz w:val="22"/>
          <w:szCs w:val="22"/>
          <w:lang w:val="hr-HR"/>
        </w:rPr>
        <w:t>izabrati</w:t>
      </w:r>
      <w:r w:rsidRPr="00CD3A2D">
        <w:rPr>
          <w:rFonts w:asciiTheme="minorHAnsi" w:hAnsiTheme="minorHAnsi" w:cstheme="minorHAnsi"/>
          <w:sz w:val="22"/>
          <w:szCs w:val="22"/>
          <w:lang w:val="hr-HR"/>
        </w:rPr>
        <w:t xml:space="preserve"> </w:t>
      </w:r>
      <w:r w:rsidR="0064329E" w:rsidRPr="00CD3A2D">
        <w:rPr>
          <w:rFonts w:asciiTheme="minorHAnsi" w:hAnsiTheme="minorHAnsi" w:cstheme="minorHAnsi"/>
          <w:sz w:val="22"/>
          <w:szCs w:val="22"/>
          <w:lang w:val="hr-HR"/>
        </w:rPr>
        <w:t>opciju iskazivanja promjena</w:t>
      </w:r>
      <w:r w:rsidRPr="00CD3A2D">
        <w:rPr>
          <w:rFonts w:asciiTheme="minorHAnsi" w:hAnsiTheme="minorHAnsi" w:cstheme="minorHAnsi"/>
          <w:sz w:val="22"/>
          <w:szCs w:val="22"/>
          <w:lang w:val="hr-HR"/>
        </w:rPr>
        <w:t xml:space="preserve"> fer vrijednosti </w:t>
      </w:r>
      <w:r w:rsidR="0064329E" w:rsidRPr="00CD3A2D">
        <w:rPr>
          <w:rFonts w:asciiTheme="minorHAnsi" w:hAnsiTheme="minorHAnsi" w:cstheme="minorHAnsi"/>
          <w:sz w:val="22"/>
          <w:szCs w:val="22"/>
          <w:lang w:val="hr-HR"/>
        </w:rPr>
        <w:t>kroz ostalu sveobuhvatnu dobit</w:t>
      </w:r>
      <w:r w:rsidRPr="00CD3A2D">
        <w:rPr>
          <w:rFonts w:asciiTheme="minorHAnsi" w:hAnsiTheme="minorHAnsi" w:cstheme="minorHAnsi"/>
          <w:sz w:val="22"/>
          <w:szCs w:val="22"/>
          <w:lang w:val="hr-HR"/>
        </w:rPr>
        <w:t>. Ovaj izbor se vrši na temelju ulaganja po investiciji.</w:t>
      </w:r>
    </w:p>
    <w:p w:rsidR="00E2497D" w:rsidRPr="00CD3A2D" w:rsidRDefault="00E2497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9558ED" w:rsidRPr="00CD3A2D"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Sva ostala financijska imovina klasificira se kao financijska imovina po fer vrijednosti kroz dobit</w:t>
      </w:r>
      <w:r w:rsidR="0064329E" w:rsidRPr="00CD3A2D">
        <w:rPr>
          <w:rFonts w:asciiTheme="minorHAnsi" w:hAnsiTheme="minorHAnsi" w:cstheme="minorHAnsi"/>
          <w:sz w:val="22"/>
          <w:szCs w:val="22"/>
          <w:lang w:val="hr-HR" w:eastAsia="hr-HR"/>
        </w:rPr>
        <w:t xml:space="preserve"> ili gubitak.</w:t>
      </w:r>
    </w:p>
    <w:p w:rsidR="009558ED" w:rsidRPr="00CD3A2D"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rsidR="009558ED" w:rsidRPr="00CD3A2D" w:rsidRDefault="00AD77D4"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Dodatno</w:t>
      </w:r>
      <w:r w:rsidR="009558ED" w:rsidRPr="00CD3A2D">
        <w:rPr>
          <w:rFonts w:asciiTheme="minorHAnsi" w:hAnsiTheme="minorHAnsi" w:cstheme="minorHAnsi"/>
          <w:sz w:val="22"/>
          <w:szCs w:val="22"/>
          <w:lang w:val="hr-HR" w:eastAsia="hr-HR"/>
        </w:rPr>
        <w:t>, pri početno</w:t>
      </w:r>
      <w:r w:rsidR="006528B1" w:rsidRPr="00CD3A2D">
        <w:rPr>
          <w:rFonts w:asciiTheme="minorHAnsi" w:hAnsiTheme="minorHAnsi" w:cstheme="minorHAnsi"/>
          <w:sz w:val="22"/>
          <w:szCs w:val="22"/>
          <w:lang w:val="hr-HR" w:eastAsia="hr-HR"/>
        </w:rPr>
        <w:t xml:space="preserve">m </w:t>
      </w:r>
      <w:r w:rsidR="009558ED" w:rsidRPr="00CD3A2D">
        <w:rPr>
          <w:rFonts w:asciiTheme="minorHAnsi" w:hAnsiTheme="minorHAnsi" w:cstheme="minorHAnsi"/>
          <w:sz w:val="22"/>
          <w:szCs w:val="22"/>
          <w:lang w:val="hr-HR" w:eastAsia="hr-HR"/>
        </w:rPr>
        <w:t>priznavanj</w:t>
      </w:r>
      <w:r w:rsidR="006528B1" w:rsidRPr="00CD3A2D">
        <w:rPr>
          <w:rFonts w:asciiTheme="minorHAnsi" w:hAnsiTheme="minorHAnsi" w:cstheme="minorHAnsi"/>
          <w:sz w:val="22"/>
          <w:szCs w:val="22"/>
          <w:lang w:val="hr-HR" w:eastAsia="hr-HR"/>
        </w:rPr>
        <w:t>u</w:t>
      </w:r>
      <w:r w:rsidR="009558ED" w:rsidRPr="00CD3A2D">
        <w:rPr>
          <w:rFonts w:asciiTheme="minorHAnsi" w:hAnsiTheme="minorHAnsi" w:cstheme="minorHAnsi"/>
          <w:sz w:val="22"/>
          <w:szCs w:val="22"/>
          <w:lang w:val="hr-HR" w:eastAsia="hr-HR"/>
        </w:rPr>
        <w:t>, Grupa može neopozivo od</w:t>
      </w:r>
      <w:r w:rsidR="006528B1" w:rsidRPr="00CD3A2D">
        <w:rPr>
          <w:rFonts w:asciiTheme="minorHAnsi" w:hAnsiTheme="minorHAnsi" w:cstheme="minorHAnsi"/>
          <w:sz w:val="22"/>
          <w:szCs w:val="22"/>
          <w:lang w:val="hr-HR" w:eastAsia="hr-HR"/>
        </w:rPr>
        <w:t>lučiti da se financijska imovina mjeri po fer vrijednosti kroz dobit ili gubitak</w:t>
      </w:r>
      <w:r w:rsidR="009558ED" w:rsidRPr="00CD3A2D">
        <w:rPr>
          <w:rFonts w:asciiTheme="minorHAnsi" w:hAnsiTheme="minorHAnsi" w:cstheme="minorHAnsi"/>
          <w:sz w:val="22"/>
          <w:szCs w:val="22"/>
          <w:lang w:val="hr-HR" w:eastAsia="hr-HR"/>
        </w:rPr>
        <w:t xml:space="preserve"> </w:t>
      </w:r>
      <w:r w:rsidR="006528B1" w:rsidRPr="00CD3A2D">
        <w:rPr>
          <w:rFonts w:asciiTheme="minorHAnsi" w:hAnsiTheme="minorHAnsi" w:cstheme="minorHAnsi"/>
          <w:sz w:val="22"/>
          <w:szCs w:val="22"/>
          <w:lang w:val="hr-HR" w:eastAsia="hr-HR"/>
        </w:rPr>
        <w:t>(</w:t>
      </w:r>
      <w:r w:rsidR="009558ED" w:rsidRPr="00CD3A2D">
        <w:rPr>
          <w:rFonts w:asciiTheme="minorHAnsi" w:hAnsiTheme="minorHAnsi" w:cstheme="minorHAnsi"/>
          <w:sz w:val="22"/>
          <w:szCs w:val="22"/>
          <w:lang w:val="hr-HR" w:eastAsia="hr-HR"/>
        </w:rPr>
        <w:t>financijsk</w:t>
      </w:r>
      <w:r w:rsidR="006528B1" w:rsidRPr="00CD3A2D">
        <w:rPr>
          <w:rFonts w:asciiTheme="minorHAnsi" w:hAnsiTheme="minorHAnsi" w:cstheme="minorHAnsi"/>
          <w:sz w:val="22"/>
          <w:szCs w:val="22"/>
          <w:lang w:val="hr-HR" w:eastAsia="hr-HR"/>
        </w:rPr>
        <w:t>a</w:t>
      </w:r>
      <w:r w:rsidR="009558ED" w:rsidRPr="00CD3A2D">
        <w:rPr>
          <w:rFonts w:asciiTheme="minorHAnsi" w:hAnsiTheme="minorHAnsi" w:cstheme="minorHAnsi"/>
          <w:sz w:val="22"/>
          <w:szCs w:val="22"/>
          <w:lang w:val="hr-HR" w:eastAsia="hr-HR"/>
        </w:rPr>
        <w:t xml:space="preserve"> imovinu koja na drugi način ispunjava zahtjeve za mjerenje</w:t>
      </w:r>
      <w:r w:rsidRPr="00CD3A2D">
        <w:rPr>
          <w:rFonts w:asciiTheme="minorHAnsi" w:hAnsiTheme="minorHAnsi" w:cstheme="minorHAnsi"/>
          <w:sz w:val="22"/>
          <w:szCs w:val="22"/>
          <w:lang w:val="hr-HR" w:eastAsia="hr-HR"/>
        </w:rPr>
        <w:t>m</w:t>
      </w:r>
      <w:r w:rsidR="009558ED" w:rsidRPr="00CD3A2D">
        <w:rPr>
          <w:rFonts w:asciiTheme="minorHAnsi" w:hAnsiTheme="minorHAnsi" w:cstheme="minorHAnsi"/>
          <w:sz w:val="22"/>
          <w:szCs w:val="22"/>
          <w:lang w:val="hr-HR" w:eastAsia="hr-HR"/>
        </w:rPr>
        <w:t xml:space="preserve"> po amortiziranom trošku ili </w:t>
      </w:r>
      <w:r w:rsidR="001D7BC9" w:rsidRPr="00CD3A2D">
        <w:rPr>
          <w:rFonts w:asciiTheme="minorHAnsi" w:hAnsiTheme="minorHAnsi" w:cstheme="minorHAnsi"/>
          <w:sz w:val="22"/>
          <w:szCs w:val="22"/>
          <w:lang w:val="hr-HR" w:eastAsia="hr-HR"/>
        </w:rPr>
        <w:t>po fer vrijednosti kroz ostalu sveobuhvatnu dobit</w:t>
      </w:r>
      <w:r w:rsidR="006528B1" w:rsidRPr="00CD3A2D">
        <w:rPr>
          <w:rFonts w:asciiTheme="minorHAnsi" w:hAnsiTheme="minorHAnsi" w:cstheme="minorHAnsi"/>
          <w:sz w:val="22"/>
          <w:szCs w:val="22"/>
          <w:lang w:val="hr-HR" w:eastAsia="hr-HR"/>
        </w:rPr>
        <w:t>) ako se time otklanja ili znatno umanjuje računovodstvena neusklađenost koja bi u protivnome nastala.</w:t>
      </w:r>
    </w:p>
    <w:p w:rsidR="006528B1" w:rsidRPr="001567C8" w:rsidRDefault="006528B1" w:rsidP="005A4073">
      <w:pPr>
        <w:jc w:val="both"/>
        <w:rPr>
          <w:rFonts w:asciiTheme="minorHAnsi" w:hAnsiTheme="minorHAnsi" w:cstheme="minorHAnsi"/>
          <w:b/>
          <w:sz w:val="22"/>
          <w:szCs w:val="22"/>
          <w:lang w:val="hr-HR"/>
        </w:rPr>
        <w:sectPr w:rsidR="006528B1" w:rsidRPr="001567C8" w:rsidSect="000D6913">
          <w:pgSz w:w="11907" w:h="16840" w:code="9"/>
          <w:pgMar w:top="1418" w:right="1134" w:bottom="1134" w:left="1418" w:header="851" w:footer="851" w:gutter="0"/>
          <w:cols w:space="720"/>
          <w:noEndnote/>
        </w:sectPr>
      </w:pPr>
    </w:p>
    <w:p w:rsidR="00392AD9" w:rsidRPr="001567C8" w:rsidRDefault="00392AD9" w:rsidP="005A4073">
      <w:pPr>
        <w:jc w:val="both"/>
        <w:rPr>
          <w:rFonts w:asciiTheme="minorHAnsi" w:hAnsiTheme="minorHAnsi" w:cstheme="minorHAnsi"/>
          <w:b/>
          <w:sz w:val="22"/>
          <w:szCs w:val="22"/>
          <w:lang w:val="hr-HR"/>
        </w:rPr>
      </w:pPr>
    </w:p>
    <w:p w:rsidR="003E697B" w:rsidRPr="00CD3A2D" w:rsidRDefault="003E697B" w:rsidP="003E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3E697B" w:rsidRPr="00CD3A2D" w:rsidRDefault="003E697B" w:rsidP="003E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3E697B" w:rsidRPr="00CD3A2D" w:rsidRDefault="003E697B" w:rsidP="003E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3E697B" w:rsidRPr="001567C8" w:rsidRDefault="003E697B" w:rsidP="003E697B">
      <w:pPr>
        <w:jc w:val="both"/>
        <w:rPr>
          <w:rFonts w:asciiTheme="minorHAnsi" w:hAnsiTheme="minorHAnsi" w:cstheme="minorHAnsi"/>
          <w:b/>
          <w:sz w:val="22"/>
          <w:szCs w:val="22"/>
          <w:lang w:val="hr-HR"/>
        </w:rPr>
      </w:pPr>
    </w:p>
    <w:p w:rsidR="003E697B" w:rsidRPr="00CD3A2D" w:rsidRDefault="003E697B" w:rsidP="003E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333F95" w:rsidRPr="00CD3A2D" w:rsidRDefault="00333F95" w:rsidP="00333F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sz w:val="22"/>
          <w:szCs w:val="22"/>
          <w:lang w:val="hr-HR" w:eastAsia="hr-HR"/>
        </w:rPr>
      </w:pPr>
    </w:p>
    <w:p w:rsidR="00333F95" w:rsidRPr="00CD3A2D" w:rsidRDefault="00333F95" w:rsidP="00333F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sz w:val="22"/>
          <w:szCs w:val="22"/>
          <w:lang w:val="hr-HR" w:eastAsia="hr-HR"/>
        </w:rPr>
      </w:pPr>
      <w:r w:rsidRPr="00CD3A2D">
        <w:rPr>
          <w:rFonts w:asciiTheme="minorHAnsi" w:hAnsiTheme="minorHAnsi" w:cstheme="minorHAnsi"/>
          <w:b/>
          <w:i/>
          <w:sz w:val="22"/>
          <w:szCs w:val="22"/>
          <w:lang w:val="hr-HR" w:eastAsia="hr-HR"/>
        </w:rPr>
        <w:t>ii. Klasifikacija (nastavak)</w:t>
      </w:r>
    </w:p>
    <w:p w:rsidR="00333F95" w:rsidRPr="00CD3A2D" w:rsidRDefault="00333F95" w:rsidP="00333F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sz w:val="22"/>
          <w:szCs w:val="22"/>
          <w:lang w:val="hr-HR" w:eastAsia="hr-HR"/>
        </w:rPr>
      </w:pPr>
    </w:p>
    <w:p w:rsidR="00333F95" w:rsidRPr="00CD3A2D" w:rsidRDefault="00333F95" w:rsidP="00333F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sz w:val="22"/>
          <w:szCs w:val="22"/>
          <w:lang w:val="hr-HR" w:eastAsia="hr-HR"/>
        </w:rPr>
      </w:pPr>
      <w:r w:rsidRPr="00CD3A2D">
        <w:rPr>
          <w:rFonts w:asciiTheme="minorHAnsi" w:hAnsiTheme="minorHAnsi" w:cstheme="minorHAnsi"/>
          <w:b/>
          <w:i/>
          <w:sz w:val="22"/>
          <w:szCs w:val="22"/>
          <w:lang w:val="hr-HR" w:eastAsia="hr-HR"/>
        </w:rPr>
        <w:t>Poslovni modeli</w:t>
      </w:r>
    </w:p>
    <w:p w:rsidR="00855431" w:rsidRPr="00CD3A2D" w:rsidRDefault="00855431">
      <w:pPr>
        <w:spacing w:before="120"/>
        <w:jc w:val="both"/>
        <w:rPr>
          <w:rFonts w:ascii="Calibri" w:hAnsi="Calibri"/>
          <w:sz w:val="22"/>
          <w:szCs w:val="22"/>
          <w:lang w:val="hr-HR"/>
        </w:rPr>
      </w:pPr>
      <w:r w:rsidRPr="00CD3A2D">
        <w:rPr>
          <w:rFonts w:ascii="Calibri" w:hAnsi="Calibri"/>
          <w:sz w:val="22"/>
          <w:szCs w:val="22"/>
          <w:lang w:val="hr-HR"/>
        </w:rPr>
        <w:t>Grupa procjenjuje cilj poslovnog modela u kojem se imovina drži na razini portfelja jer to najbolje odražava način na koji se upravlja poslovanjem te pružaju informacije rukovodstvu.</w:t>
      </w:r>
    </w:p>
    <w:p w:rsidR="00B75245" w:rsidRPr="00CD3A2D" w:rsidRDefault="00B75245"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Sva financijska imovina, osim ulaganja u vlasničke vrijednosne papire klasificirane u kategoriju ulaganja u pridružena društva i ovisna društva s više od 20% glasačke moći ili kontrol</w:t>
      </w:r>
      <w:r w:rsidR="000D7F80" w:rsidRPr="00CD3A2D">
        <w:rPr>
          <w:rFonts w:asciiTheme="minorHAnsi" w:hAnsiTheme="minorHAnsi" w:cstheme="minorHAnsi"/>
          <w:sz w:val="22"/>
          <w:szCs w:val="22"/>
          <w:lang w:val="hr-HR" w:eastAsia="hr-HR"/>
        </w:rPr>
        <w:t>om</w:t>
      </w:r>
      <w:r w:rsidRPr="00CD3A2D">
        <w:rPr>
          <w:rFonts w:asciiTheme="minorHAnsi" w:hAnsiTheme="minorHAnsi" w:cstheme="minorHAnsi"/>
          <w:sz w:val="22"/>
          <w:szCs w:val="22"/>
          <w:lang w:val="hr-HR" w:eastAsia="hr-HR"/>
        </w:rPr>
        <w:t>, grupirana je u poslovne modele koji odražavaju način na koji Grupa upravlja skupinom financijske imovine</w:t>
      </w:r>
      <w:r w:rsidR="000D7F80" w:rsidRPr="00CD3A2D">
        <w:rPr>
          <w:rFonts w:asciiTheme="minorHAnsi" w:hAnsiTheme="minorHAnsi" w:cstheme="minorHAnsi"/>
          <w:sz w:val="22"/>
          <w:szCs w:val="22"/>
          <w:lang w:val="hr-HR" w:eastAsia="hr-HR"/>
        </w:rPr>
        <w:t xml:space="preserve"> radi ostvarenja određenog</w:t>
      </w:r>
      <w:r w:rsidRPr="00CD3A2D">
        <w:rPr>
          <w:rFonts w:asciiTheme="minorHAnsi" w:hAnsiTheme="minorHAnsi" w:cstheme="minorHAnsi"/>
          <w:sz w:val="22"/>
          <w:szCs w:val="22"/>
          <w:lang w:val="hr-HR" w:eastAsia="hr-HR"/>
        </w:rPr>
        <w:t xml:space="preserve"> poslovnog cilja i generiranj</w:t>
      </w:r>
      <w:r w:rsidR="000D7F80" w:rsidRPr="00CD3A2D">
        <w:rPr>
          <w:rFonts w:asciiTheme="minorHAnsi" w:hAnsiTheme="minorHAnsi" w:cstheme="minorHAnsi"/>
          <w:sz w:val="22"/>
          <w:szCs w:val="22"/>
          <w:lang w:val="hr-HR" w:eastAsia="hr-HR"/>
        </w:rPr>
        <w:t>a</w:t>
      </w:r>
      <w:r w:rsidRPr="00CD3A2D">
        <w:rPr>
          <w:rFonts w:asciiTheme="minorHAnsi" w:hAnsiTheme="minorHAnsi" w:cstheme="minorHAnsi"/>
          <w:sz w:val="22"/>
          <w:szCs w:val="22"/>
          <w:lang w:val="hr-HR" w:eastAsia="hr-HR"/>
        </w:rPr>
        <w:t xml:space="preserve"> novčanih tokova.</w:t>
      </w:r>
    </w:p>
    <w:p w:rsidR="000D7F80" w:rsidRPr="00CD3A2D" w:rsidRDefault="000D7F80" w:rsidP="000D7F80">
      <w:pPr>
        <w:ind w:left="567" w:hanging="567"/>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Poslovni modeli Grupe su:</w:t>
      </w:r>
    </w:p>
    <w:p w:rsidR="000D7F80" w:rsidRPr="00CD3A2D" w:rsidRDefault="000D7F80" w:rsidP="002B5EA8">
      <w:pPr>
        <w:pStyle w:val="ListParagraph"/>
        <w:numPr>
          <w:ilvl w:val="0"/>
          <w:numId w:val="6"/>
        </w:num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Poslovni model čiji je cilj držanje imovine radi naplate ugovorenih novčanih tokova – objedinjava svu financijsku imovinu koja se drži radi naplate ugovorenih novčanih tokova tijekom vijeka trajanja financijskog instrumenta. </w:t>
      </w:r>
    </w:p>
    <w:p w:rsidR="000D7F80" w:rsidRPr="00CD3A2D" w:rsidRDefault="000D7F80" w:rsidP="000D7F80">
      <w:pPr>
        <w:pStyle w:val="ListParagraph"/>
        <w:ind w:left="1080"/>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 xml:space="preserve">Poslovni model radi naplate prolazi SPPI test </w:t>
      </w:r>
      <w:r w:rsidRPr="00CD3A2D">
        <w:rPr>
          <w:rFonts w:asciiTheme="minorHAnsi" w:eastAsia="PMingLiU" w:hAnsiTheme="minorHAnsi" w:cstheme="minorHAnsi"/>
          <w:color w:val="000000"/>
          <w:sz w:val="22"/>
          <w:szCs w:val="22"/>
          <w:lang w:val="hr-HR" w:eastAsia="hr-HR" w:bidi="hr-HR"/>
        </w:rPr>
        <w:t>(engl. Solely payments of principal and interest – u nastavku SPPI test)</w:t>
      </w:r>
      <w:r w:rsidRPr="00CD3A2D">
        <w:rPr>
          <w:rFonts w:asciiTheme="minorHAnsi" w:eastAsia="PMingLiU" w:hAnsiTheme="minorHAnsi" w:cstheme="minorHAnsi"/>
          <w:sz w:val="22"/>
          <w:szCs w:val="22"/>
          <w:lang w:val="hr-HR" w:eastAsia="hr-HR" w:bidi="hr-HR"/>
        </w:rPr>
        <w:t>, a u taj model alocirana je sljedeća financijska imovina:</w:t>
      </w:r>
    </w:p>
    <w:p w:rsidR="000D7F80" w:rsidRPr="00CD3A2D" w:rsidRDefault="000D7F80" w:rsidP="002B5EA8">
      <w:pPr>
        <w:pStyle w:val="ListParagraph"/>
        <w:numPr>
          <w:ilvl w:val="1"/>
          <w:numId w:val="6"/>
        </w:num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gotovina u blagajni i novčana sredstva na transakcijskim računima,</w:t>
      </w:r>
    </w:p>
    <w:p w:rsidR="000D7F80" w:rsidRPr="00CD3A2D" w:rsidRDefault="000D7F80" w:rsidP="002B5EA8">
      <w:pPr>
        <w:pStyle w:val="ListParagraph"/>
        <w:numPr>
          <w:ilvl w:val="1"/>
          <w:numId w:val="6"/>
        </w:num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 xml:space="preserve">depoziti kod banaka, </w:t>
      </w:r>
    </w:p>
    <w:p w:rsidR="000D7F80" w:rsidRPr="00CD3A2D" w:rsidRDefault="000D7F80" w:rsidP="002B5EA8">
      <w:pPr>
        <w:pStyle w:val="ListParagraph"/>
        <w:numPr>
          <w:ilvl w:val="1"/>
          <w:numId w:val="6"/>
        </w:num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krediti i obrnuti repo plasmani,</w:t>
      </w:r>
    </w:p>
    <w:p w:rsidR="000D7F80" w:rsidRPr="00CD3A2D" w:rsidRDefault="000D7F80" w:rsidP="002B5EA8">
      <w:pPr>
        <w:pStyle w:val="ListParagraph"/>
        <w:numPr>
          <w:ilvl w:val="1"/>
          <w:numId w:val="6"/>
        </w:num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ostala potraživanja,</w:t>
      </w:r>
    </w:p>
    <w:p w:rsidR="000D7F80" w:rsidRPr="00CD3A2D" w:rsidRDefault="000D7F80" w:rsidP="000D7F80">
      <w:pPr>
        <w:pStyle w:val="ListParagraph"/>
        <w:ind w:left="108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Kreditni rizik je osnovni rizik kojim se upravlja u okviru ovog poslovnog modela.</w:t>
      </w:r>
    </w:p>
    <w:p w:rsidR="000D7F80" w:rsidRPr="00CD3A2D" w:rsidRDefault="000D7F80" w:rsidP="000D7F80">
      <w:pPr>
        <w:pStyle w:val="ListParagraph"/>
        <w:ind w:left="1080"/>
        <w:jc w:val="both"/>
        <w:rPr>
          <w:rFonts w:asciiTheme="minorHAnsi" w:hAnsiTheme="minorHAnsi" w:cstheme="minorHAnsi"/>
          <w:sz w:val="22"/>
          <w:szCs w:val="22"/>
          <w:lang w:val="hr-HR"/>
        </w:rPr>
      </w:pPr>
    </w:p>
    <w:p w:rsidR="000D7F80" w:rsidRPr="00CD3A2D" w:rsidRDefault="000D7F80" w:rsidP="002B5EA8">
      <w:pPr>
        <w:pStyle w:val="ListParagraph"/>
        <w:numPr>
          <w:ilvl w:val="0"/>
          <w:numId w:val="6"/>
        </w:num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Poslovni model čiji je cilj prikupljanje ugovorenih novčanih tokova i prodaja financijske imovine – objedinjava financijsku imovinu koja se drži s ciljem prikupljanja ugovorenih novčanih tokova i prodaje financijske imovine.</w:t>
      </w:r>
    </w:p>
    <w:p w:rsidR="000D7F80" w:rsidRPr="00CD3A2D" w:rsidRDefault="000D7F80" w:rsidP="000D7F80">
      <w:pPr>
        <w:pStyle w:val="ListParagraph"/>
        <w:ind w:left="1080"/>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U poslovni model radi naplate i prodaje alocirana je sljedeća financijska imovina:</w:t>
      </w:r>
    </w:p>
    <w:p w:rsidR="000D7F80" w:rsidRPr="00CD3A2D" w:rsidRDefault="000D7F80" w:rsidP="002B5EA8">
      <w:pPr>
        <w:pStyle w:val="ListParagraph"/>
        <w:numPr>
          <w:ilvl w:val="1"/>
          <w:numId w:val="6"/>
        </w:num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 xml:space="preserve">dužnički vrijednosni papiri (prolazi SPPI test), </w:t>
      </w:r>
    </w:p>
    <w:p w:rsidR="000D7F80" w:rsidRPr="00CD3A2D" w:rsidRDefault="000D7F80" w:rsidP="002B5EA8">
      <w:pPr>
        <w:pStyle w:val="ListParagraph"/>
        <w:numPr>
          <w:ilvl w:val="1"/>
          <w:numId w:val="6"/>
        </w:num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vlasnički vrijednosni papiri (ne prolaze SPPI test),</w:t>
      </w:r>
    </w:p>
    <w:p w:rsidR="000D7F80" w:rsidRPr="00CD3A2D" w:rsidRDefault="000D7F80" w:rsidP="002B5EA8">
      <w:pPr>
        <w:pStyle w:val="ListParagraph"/>
        <w:numPr>
          <w:ilvl w:val="1"/>
          <w:numId w:val="6"/>
        </w:num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udjeli u investicijskim fondovima (ne prolaze SPPI test),</w:t>
      </w:r>
    </w:p>
    <w:p w:rsidR="00B75245" w:rsidRPr="00CD3A2D" w:rsidRDefault="000D7F80" w:rsidP="003C6BA3">
      <w:pPr>
        <w:ind w:left="397" w:firstLine="68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Rizik likvidnosti je osnovni rizik kojim se upravlja u okviru ovog poslovnog modela.</w:t>
      </w:r>
    </w:p>
    <w:p w:rsidR="000D7F80" w:rsidRPr="001567C8" w:rsidRDefault="000D7F80" w:rsidP="000D7F80">
      <w:pPr>
        <w:jc w:val="both"/>
        <w:rPr>
          <w:rFonts w:asciiTheme="minorHAnsi" w:hAnsiTheme="minorHAnsi" w:cstheme="minorHAnsi"/>
          <w:b/>
          <w:sz w:val="22"/>
          <w:szCs w:val="22"/>
          <w:lang w:val="hr-HR"/>
        </w:rPr>
      </w:pPr>
    </w:p>
    <w:p w:rsidR="000D7F80" w:rsidRPr="00CD3A2D" w:rsidRDefault="000D7F80" w:rsidP="002B5EA8">
      <w:pPr>
        <w:pStyle w:val="ListParagraph"/>
        <w:keepNext/>
        <w:numPr>
          <w:ilvl w:val="0"/>
          <w:numId w:val="6"/>
        </w:numPr>
        <w:tabs>
          <w:tab w:val="left" w:pos="426"/>
        </w:tabs>
        <w:ind w:left="1077" w:hanging="368"/>
        <w:jc w:val="both"/>
        <w:rPr>
          <w:rFonts w:asciiTheme="minorHAnsi" w:hAnsiTheme="minorHAnsi" w:cstheme="minorHAnsi"/>
          <w:b/>
          <w:bCs/>
          <w:sz w:val="22"/>
          <w:szCs w:val="22"/>
          <w:lang w:val="hr-HR"/>
        </w:rPr>
      </w:pPr>
      <w:r w:rsidRPr="00CD3A2D">
        <w:rPr>
          <w:rFonts w:asciiTheme="minorHAnsi" w:hAnsiTheme="minorHAnsi" w:cstheme="minorHAnsi"/>
          <w:sz w:val="22"/>
          <w:szCs w:val="22"/>
          <w:lang w:val="hr-HR"/>
        </w:rPr>
        <w:t xml:space="preserve">Poslovni model unutar kojeg se financijska imovina mjeri po fer vrijednosti kroz </w:t>
      </w:r>
      <w:r w:rsidR="00AA5F2C" w:rsidRPr="00CD3A2D">
        <w:rPr>
          <w:rFonts w:asciiTheme="minorHAnsi" w:hAnsiTheme="minorHAnsi" w:cstheme="minorHAnsi"/>
          <w:sz w:val="22"/>
          <w:szCs w:val="22"/>
          <w:lang w:val="hr-HR"/>
        </w:rPr>
        <w:t>d</w:t>
      </w:r>
      <w:r w:rsidRPr="00CD3A2D">
        <w:rPr>
          <w:rFonts w:asciiTheme="minorHAnsi" w:hAnsiTheme="minorHAnsi" w:cstheme="minorHAnsi"/>
          <w:sz w:val="22"/>
          <w:szCs w:val="22"/>
          <w:lang w:val="hr-HR"/>
        </w:rPr>
        <w:t>obit i</w:t>
      </w:r>
      <w:r w:rsidR="00AA5F2C" w:rsidRPr="00CD3A2D">
        <w:rPr>
          <w:rFonts w:asciiTheme="minorHAnsi" w:hAnsiTheme="minorHAnsi" w:cstheme="minorHAnsi"/>
          <w:sz w:val="22"/>
          <w:szCs w:val="22"/>
          <w:lang w:val="hr-HR"/>
        </w:rPr>
        <w:t>li</w:t>
      </w:r>
      <w:r w:rsidRPr="00CD3A2D">
        <w:rPr>
          <w:rFonts w:asciiTheme="minorHAnsi" w:hAnsiTheme="minorHAnsi" w:cstheme="minorHAnsi"/>
          <w:sz w:val="22"/>
          <w:szCs w:val="22"/>
          <w:lang w:val="hr-HR"/>
        </w:rPr>
        <w:t xml:space="preserve"> gubit</w:t>
      </w:r>
      <w:r w:rsidR="00AA5F2C" w:rsidRPr="00CD3A2D">
        <w:rPr>
          <w:rFonts w:asciiTheme="minorHAnsi" w:hAnsiTheme="minorHAnsi" w:cstheme="minorHAnsi"/>
          <w:sz w:val="22"/>
          <w:szCs w:val="22"/>
          <w:lang w:val="hr-HR"/>
        </w:rPr>
        <w:t>ak</w:t>
      </w:r>
      <w:r w:rsidRPr="00CD3A2D">
        <w:rPr>
          <w:rFonts w:asciiTheme="minorHAnsi" w:hAnsiTheme="minorHAnsi" w:cstheme="minorHAnsi"/>
          <w:sz w:val="22"/>
          <w:szCs w:val="22"/>
          <w:lang w:val="hr-HR"/>
        </w:rPr>
        <w:t xml:space="preserve"> (ne prolazi SPPI test) – objedinjuje svu financijsku imovinu koja se ne drži u okviru prethodno navedena dva poslovna modela.</w:t>
      </w:r>
    </w:p>
    <w:p w:rsidR="000D7F80" w:rsidRPr="00CD3A2D" w:rsidRDefault="000D7F80" w:rsidP="000D7F80">
      <w:pPr>
        <w:pStyle w:val="ListParagraph"/>
        <w:keepNext/>
        <w:tabs>
          <w:tab w:val="left" w:pos="426"/>
        </w:tabs>
        <w:ind w:left="1077"/>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Financijskom imovinom u ovom poslovnom modelu upravlja se s ciljem ostvarenja novčanih tokova prodajom imovine i ostvarenjem kratkoročnog profita. </w:t>
      </w:r>
    </w:p>
    <w:p w:rsidR="000D7F80" w:rsidRPr="00CD3A2D" w:rsidRDefault="000D7F80" w:rsidP="000D7F80">
      <w:pPr>
        <w:keepNext/>
        <w:tabs>
          <w:tab w:val="left" w:pos="426"/>
        </w:tabs>
        <w:jc w:val="both"/>
        <w:rPr>
          <w:rFonts w:cs="Arial"/>
          <w:b/>
          <w:bCs/>
          <w:lang w:val="hr-HR"/>
        </w:rPr>
      </w:pPr>
    </w:p>
    <w:p w:rsidR="000D7F80" w:rsidRPr="001567C8" w:rsidRDefault="000D7F80" w:rsidP="000D7F80">
      <w:pPr>
        <w:jc w:val="both"/>
        <w:rPr>
          <w:rFonts w:asciiTheme="minorHAnsi" w:hAnsiTheme="minorHAnsi" w:cstheme="minorHAnsi"/>
          <w:b/>
          <w:sz w:val="22"/>
          <w:szCs w:val="22"/>
          <w:lang w:val="hr-HR"/>
        </w:rPr>
        <w:sectPr w:rsidR="000D7F80" w:rsidRPr="001567C8" w:rsidSect="000D6913">
          <w:pgSz w:w="11907" w:h="16840" w:code="9"/>
          <w:pgMar w:top="1418" w:right="1134" w:bottom="1134" w:left="1418" w:header="851" w:footer="851" w:gutter="0"/>
          <w:cols w:space="720"/>
          <w:noEndnote/>
        </w:sectPr>
      </w:pPr>
    </w:p>
    <w:p w:rsidR="000D7F80" w:rsidRPr="001567C8" w:rsidRDefault="000D7F80" w:rsidP="000D7F80">
      <w:pPr>
        <w:jc w:val="both"/>
        <w:rPr>
          <w:rFonts w:asciiTheme="minorHAnsi" w:hAnsiTheme="minorHAnsi" w:cstheme="minorHAnsi"/>
          <w:b/>
          <w:sz w:val="22"/>
          <w:szCs w:val="22"/>
          <w:lang w:val="hr-HR"/>
        </w:rPr>
      </w:pPr>
    </w:p>
    <w:p w:rsidR="000D7F80" w:rsidRPr="00CD3A2D" w:rsidRDefault="000D7F80" w:rsidP="000D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0D7F80" w:rsidRPr="00CD3A2D" w:rsidRDefault="000D7F80" w:rsidP="000D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0D7F80" w:rsidRPr="00CD3A2D" w:rsidRDefault="000D7F80" w:rsidP="000D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0D7F80" w:rsidRPr="001567C8" w:rsidRDefault="000D7F80" w:rsidP="000D7F80">
      <w:pPr>
        <w:jc w:val="both"/>
        <w:rPr>
          <w:rFonts w:asciiTheme="minorHAnsi" w:hAnsiTheme="minorHAnsi" w:cstheme="minorHAnsi"/>
          <w:b/>
          <w:sz w:val="22"/>
          <w:szCs w:val="22"/>
          <w:lang w:val="hr-HR"/>
        </w:rPr>
      </w:pPr>
    </w:p>
    <w:p w:rsidR="000D7F80" w:rsidRPr="00CD3A2D" w:rsidRDefault="000D7F80" w:rsidP="000D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0D7F80" w:rsidRPr="001567C8" w:rsidRDefault="000D7F80" w:rsidP="005A4073">
      <w:pPr>
        <w:jc w:val="both"/>
        <w:rPr>
          <w:rFonts w:asciiTheme="minorHAnsi" w:hAnsiTheme="minorHAnsi" w:cs="Arial"/>
          <w:b/>
          <w:sz w:val="22"/>
          <w:szCs w:val="22"/>
          <w:lang w:val="hr-HR"/>
        </w:rPr>
      </w:pPr>
    </w:p>
    <w:p w:rsidR="00FA28D6" w:rsidRPr="00CD3A2D" w:rsidRDefault="00FA28D6" w:rsidP="00FA2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sz w:val="22"/>
          <w:szCs w:val="22"/>
          <w:lang w:val="hr-HR" w:eastAsia="hr-HR"/>
        </w:rPr>
      </w:pPr>
      <w:r w:rsidRPr="00CD3A2D">
        <w:rPr>
          <w:rFonts w:asciiTheme="minorHAnsi" w:hAnsiTheme="minorHAnsi" w:cstheme="minorHAnsi"/>
          <w:b/>
          <w:i/>
          <w:sz w:val="22"/>
          <w:szCs w:val="22"/>
          <w:lang w:val="hr-HR" w:eastAsia="hr-HR"/>
        </w:rPr>
        <w:t>iii. SPPI test</w:t>
      </w:r>
    </w:p>
    <w:p w:rsidR="00A26215" w:rsidRPr="00CD3A2D" w:rsidRDefault="00A26215" w:rsidP="00FA2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p>
    <w:p w:rsidR="00FA28D6" w:rsidRPr="00CD3A2D" w:rsidRDefault="00FA28D6" w:rsidP="00FA2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Za potrebe ove procjene, „glavnica“ se definira kao fer vrijednost financijske imovine prilikom početnog priznavanja. "Kamata" se definira kao naknada za vremensku vrijednost novca i za kreditni rizik povezan s nepodmirenim iznosom glavnice u određenom vremenskom razdoblju i za ostale osnovne </w:t>
      </w:r>
      <w:r w:rsidR="00A26215" w:rsidRPr="00CD3A2D">
        <w:rPr>
          <w:rFonts w:asciiTheme="minorHAnsi" w:hAnsiTheme="minorHAnsi" w:cstheme="minorHAnsi"/>
          <w:sz w:val="22"/>
          <w:szCs w:val="22"/>
          <w:lang w:val="hr-HR" w:eastAsia="hr-HR"/>
        </w:rPr>
        <w:t xml:space="preserve">kreditne </w:t>
      </w:r>
      <w:r w:rsidRPr="00CD3A2D">
        <w:rPr>
          <w:rFonts w:asciiTheme="minorHAnsi" w:hAnsiTheme="minorHAnsi" w:cstheme="minorHAnsi"/>
          <w:sz w:val="22"/>
          <w:szCs w:val="22"/>
          <w:lang w:val="hr-HR" w:eastAsia="hr-HR"/>
        </w:rPr>
        <w:t xml:space="preserve">rizike i troškove (npr. </w:t>
      </w:r>
      <w:r w:rsidR="00A26215" w:rsidRPr="00CD3A2D">
        <w:rPr>
          <w:rFonts w:asciiTheme="minorHAnsi" w:hAnsiTheme="minorHAnsi" w:cstheme="minorHAnsi"/>
          <w:sz w:val="22"/>
          <w:szCs w:val="22"/>
          <w:lang w:val="hr-HR" w:eastAsia="hr-HR"/>
        </w:rPr>
        <w:t>r</w:t>
      </w:r>
      <w:r w:rsidRPr="00CD3A2D">
        <w:rPr>
          <w:rFonts w:asciiTheme="minorHAnsi" w:hAnsiTheme="minorHAnsi" w:cstheme="minorHAnsi"/>
          <w:sz w:val="22"/>
          <w:szCs w:val="22"/>
          <w:lang w:val="hr-HR" w:eastAsia="hr-HR"/>
        </w:rPr>
        <w:t>izik likvidnosti i administrativni troškovi), kao i profitn</w:t>
      </w:r>
      <w:r w:rsidR="00A26215" w:rsidRPr="00CD3A2D">
        <w:rPr>
          <w:rFonts w:asciiTheme="minorHAnsi" w:hAnsiTheme="minorHAnsi" w:cstheme="minorHAnsi"/>
          <w:sz w:val="22"/>
          <w:szCs w:val="22"/>
          <w:lang w:val="hr-HR" w:eastAsia="hr-HR"/>
        </w:rPr>
        <w:t>om</w:t>
      </w:r>
      <w:r w:rsidRPr="00CD3A2D">
        <w:rPr>
          <w:rFonts w:asciiTheme="minorHAnsi" w:hAnsiTheme="minorHAnsi" w:cstheme="minorHAnsi"/>
          <w:sz w:val="22"/>
          <w:szCs w:val="22"/>
          <w:lang w:val="hr-HR" w:eastAsia="hr-HR"/>
        </w:rPr>
        <w:t xml:space="preserve"> marž</w:t>
      </w:r>
      <w:r w:rsidR="00A26215" w:rsidRPr="00CD3A2D">
        <w:rPr>
          <w:rFonts w:asciiTheme="minorHAnsi" w:hAnsiTheme="minorHAnsi" w:cstheme="minorHAnsi"/>
          <w:sz w:val="22"/>
          <w:szCs w:val="22"/>
          <w:lang w:val="hr-HR" w:eastAsia="hr-HR"/>
        </w:rPr>
        <w:t>om</w:t>
      </w:r>
      <w:r w:rsidRPr="00CD3A2D">
        <w:rPr>
          <w:rFonts w:asciiTheme="minorHAnsi" w:hAnsiTheme="minorHAnsi" w:cstheme="minorHAnsi"/>
          <w:sz w:val="22"/>
          <w:szCs w:val="22"/>
          <w:lang w:val="hr-HR" w:eastAsia="hr-HR"/>
        </w:rPr>
        <w:t>.</w:t>
      </w:r>
    </w:p>
    <w:p w:rsidR="000D7F80" w:rsidRPr="001567C8" w:rsidRDefault="000D7F80" w:rsidP="005A4073">
      <w:pPr>
        <w:jc w:val="both"/>
        <w:rPr>
          <w:rFonts w:asciiTheme="minorHAnsi" w:hAnsiTheme="minorHAnsi" w:cs="Arial"/>
          <w:b/>
          <w:sz w:val="22"/>
          <w:szCs w:val="22"/>
          <w:lang w:val="hr-HR"/>
        </w:rPr>
      </w:pPr>
    </w:p>
    <w:p w:rsidR="003F7EDB" w:rsidRPr="00CD3A2D" w:rsidRDefault="003F7EDB" w:rsidP="003F7EDB">
      <w:pPr>
        <w:tabs>
          <w:tab w:val="left" w:pos="426"/>
        </w:tabs>
        <w:jc w:val="both"/>
        <w:rPr>
          <w:rFonts w:asciiTheme="minorHAnsi" w:eastAsia="PMingLiU" w:hAnsiTheme="minorHAnsi" w:cs="Arial"/>
          <w:color w:val="000000"/>
          <w:sz w:val="22"/>
          <w:szCs w:val="22"/>
          <w:lang w:val="hr-HR" w:eastAsia="hr-HR" w:bidi="hr-HR"/>
        </w:rPr>
      </w:pPr>
      <w:r w:rsidRPr="00CD3A2D">
        <w:rPr>
          <w:rFonts w:asciiTheme="minorHAnsi" w:hAnsiTheme="minorHAnsi" w:cs="Arial"/>
          <w:bCs/>
          <w:sz w:val="22"/>
          <w:szCs w:val="22"/>
          <w:lang w:val="hr-HR"/>
        </w:rPr>
        <w:t xml:space="preserve">Test obilježja ugovorenih novčanih tokova s aspekta plaćanja samo glavnice i kamate na nepodmireni iznos glavnice </w:t>
      </w:r>
      <w:r w:rsidRPr="00CD3A2D">
        <w:rPr>
          <w:rFonts w:asciiTheme="minorHAnsi" w:eastAsia="PMingLiU" w:hAnsiTheme="minorHAnsi" w:cs="Arial"/>
          <w:color w:val="000000"/>
          <w:sz w:val="22"/>
          <w:szCs w:val="22"/>
          <w:lang w:val="hr-HR" w:eastAsia="hr-HR" w:bidi="hr-HR"/>
        </w:rPr>
        <w:t xml:space="preserve">(engl. Solely payments of principal and interest – u nastavku SPPI test) jedan je od kriterija za klasifikaciju financijske imovine u pojedinu kategoriju mjerenja. SPPI test se provodi s ciljem utvrđivanja </w:t>
      </w:r>
    </w:p>
    <w:p w:rsidR="003F7EDB" w:rsidRPr="00CD3A2D" w:rsidRDefault="003F7EDB" w:rsidP="003F7EDB">
      <w:pPr>
        <w:tabs>
          <w:tab w:val="left" w:pos="426"/>
        </w:tabs>
        <w:jc w:val="both"/>
        <w:rPr>
          <w:rFonts w:asciiTheme="minorHAnsi" w:eastAsia="PMingLiU" w:hAnsiTheme="minorHAnsi" w:cs="Arial"/>
          <w:color w:val="000000"/>
          <w:sz w:val="22"/>
          <w:szCs w:val="22"/>
          <w:lang w:val="hr-HR" w:eastAsia="hr-HR" w:bidi="hr-HR"/>
        </w:rPr>
      </w:pPr>
      <w:r w:rsidRPr="00CD3A2D">
        <w:rPr>
          <w:rFonts w:asciiTheme="minorHAnsi" w:eastAsia="PMingLiU" w:hAnsiTheme="minorHAnsi" w:cs="Arial"/>
          <w:color w:val="000000"/>
          <w:sz w:val="22"/>
          <w:szCs w:val="22"/>
          <w:lang w:val="hr-HR" w:eastAsia="hr-HR" w:bidi="hr-HR"/>
        </w:rPr>
        <w:t>da li kamata na nepodmirenu glavnicu odražava naknadu za vremensku vrijednost novca, kreditni rizik i druge osnovne rizike posudbe, troškove kreditiranja i profitnu maržu.</w:t>
      </w:r>
    </w:p>
    <w:p w:rsidR="001B64B4" w:rsidRPr="00CD3A2D" w:rsidRDefault="001B64B4" w:rsidP="003F7EDB">
      <w:pPr>
        <w:tabs>
          <w:tab w:val="left" w:pos="426"/>
        </w:tabs>
        <w:jc w:val="both"/>
        <w:rPr>
          <w:rFonts w:asciiTheme="minorHAnsi" w:eastAsia="PMingLiU" w:hAnsiTheme="minorHAnsi" w:cs="Arial"/>
          <w:color w:val="000000"/>
          <w:sz w:val="22"/>
          <w:szCs w:val="22"/>
          <w:lang w:val="hr-HR" w:eastAsia="hr-HR" w:bidi="hr-HR"/>
        </w:rPr>
      </w:pPr>
    </w:p>
    <w:p w:rsidR="001B64B4" w:rsidRPr="001567C8" w:rsidRDefault="001B64B4" w:rsidP="003C6BA3">
      <w:pPr>
        <w:pStyle w:val="HTMLPreformatted"/>
        <w:jc w:val="both"/>
        <w:rPr>
          <w:rFonts w:asciiTheme="minorHAnsi" w:hAnsiTheme="minorHAnsi"/>
          <w:color w:val="222222"/>
          <w:sz w:val="22"/>
          <w:szCs w:val="22"/>
        </w:rPr>
      </w:pPr>
      <w:r w:rsidRPr="001567C8">
        <w:rPr>
          <w:rFonts w:asciiTheme="minorHAnsi" w:hAnsiTheme="minorHAnsi"/>
          <w:color w:val="222222"/>
          <w:sz w:val="22"/>
          <w:szCs w:val="22"/>
        </w:rPr>
        <w:t>Prilikom procjene zadovoljavaju li ugovoreni novčani tokovi SPPI test, Grupa razmatra ugovorne uvjete instrumenta. To uključuje procjenu sadrži li financijska imovina ugovorni uvjet koji bi mogao promijeniti vrijeme ili iznos ugovorenih novčanih tokova tako da ne bi ispunio taj uvjet. Prilikom procjene, Grupa razmatra:</w:t>
      </w:r>
    </w:p>
    <w:p w:rsidR="001B64B4" w:rsidRPr="001567C8" w:rsidRDefault="001B64B4" w:rsidP="003C6BA3">
      <w:pPr>
        <w:pStyle w:val="HTMLPreformatted"/>
        <w:jc w:val="both"/>
        <w:rPr>
          <w:rFonts w:asciiTheme="minorHAnsi" w:hAnsiTheme="minorHAnsi"/>
          <w:color w:val="222222"/>
          <w:sz w:val="22"/>
          <w:szCs w:val="22"/>
        </w:rPr>
      </w:pPr>
      <w:r w:rsidRPr="001567C8">
        <w:rPr>
          <w:rFonts w:asciiTheme="minorHAnsi" w:hAnsiTheme="minorHAnsi"/>
          <w:color w:val="222222"/>
          <w:sz w:val="22"/>
          <w:szCs w:val="22"/>
        </w:rPr>
        <w:t>- nepredviđene događaje koji bi promijenili iznos i vrijeme novčanih tokova;</w:t>
      </w:r>
    </w:p>
    <w:p w:rsidR="001B64B4" w:rsidRPr="001567C8" w:rsidRDefault="001B64B4" w:rsidP="003C6BA3">
      <w:pPr>
        <w:pStyle w:val="HTMLPreformatted"/>
        <w:jc w:val="both"/>
        <w:rPr>
          <w:rFonts w:asciiTheme="minorHAnsi" w:hAnsiTheme="minorHAnsi"/>
          <w:color w:val="222222"/>
          <w:sz w:val="22"/>
          <w:szCs w:val="22"/>
        </w:rPr>
      </w:pPr>
      <w:r w:rsidRPr="001567C8">
        <w:rPr>
          <w:rFonts w:asciiTheme="minorHAnsi" w:hAnsiTheme="minorHAnsi"/>
          <w:color w:val="222222"/>
          <w:sz w:val="22"/>
          <w:szCs w:val="22"/>
        </w:rPr>
        <w:t xml:space="preserve">- značajke </w:t>
      </w:r>
      <w:r w:rsidR="008F2AAC" w:rsidRPr="001567C8">
        <w:rPr>
          <w:rFonts w:asciiTheme="minorHAnsi" w:hAnsiTheme="minorHAnsi"/>
          <w:color w:val="222222"/>
          <w:sz w:val="22"/>
          <w:szCs w:val="22"/>
        </w:rPr>
        <w:t xml:space="preserve">(karakteristike) financijske </w:t>
      </w:r>
      <w:r w:rsidRPr="001567C8">
        <w:rPr>
          <w:rFonts w:asciiTheme="minorHAnsi" w:hAnsiTheme="minorHAnsi"/>
          <w:color w:val="222222"/>
          <w:sz w:val="22"/>
          <w:szCs w:val="22"/>
        </w:rPr>
        <w:t>poluge;</w:t>
      </w:r>
    </w:p>
    <w:p w:rsidR="001B64B4" w:rsidRPr="001567C8" w:rsidRDefault="001B64B4" w:rsidP="003C6BA3">
      <w:pPr>
        <w:pStyle w:val="HTMLPreformatted"/>
        <w:jc w:val="both"/>
        <w:rPr>
          <w:rFonts w:asciiTheme="minorHAnsi" w:hAnsiTheme="minorHAnsi"/>
          <w:color w:val="222222"/>
          <w:sz w:val="22"/>
          <w:szCs w:val="22"/>
        </w:rPr>
      </w:pPr>
      <w:r w:rsidRPr="001567C8">
        <w:rPr>
          <w:rFonts w:asciiTheme="minorHAnsi" w:hAnsiTheme="minorHAnsi"/>
          <w:color w:val="222222"/>
          <w:sz w:val="22"/>
          <w:szCs w:val="22"/>
        </w:rPr>
        <w:t>- uvjete prijevremene otplate i produljenja roka otplate;</w:t>
      </w:r>
    </w:p>
    <w:p w:rsidR="001B64B4" w:rsidRPr="001567C8" w:rsidRDefault="001B64B4" w:rsidP="003C6BA3">
      <w:pPr>
        <w:pStyle w:val="HTMLPreformatted"/>
        <w:jc w:val="both"/>
        <w:rPr>
          <w:rFonts w:asciiTheme="minorHAnsi" w:hAnsiTheme="minorHAnsi"/>
          <w:color w:val="222222"/>
          <w:sz w:val="22"/>
          <w:szCs w:val="22"/>
        </w:rPr>
      </w:pPr>
      <w:r w:rsidRPr="001567C8">
        <w:rPr>
          <w:rFonts w:asciiTheme="minorHAnsi" w:hAnsiTheme="minorHAnsi"/>
          <w:color w:val="222222"/>
          <w:sz w:val="22"/>
          <w:szCs w:val="22"/>
        </w:rPr>
        <w:t>- uvjete koji ograničavaju p</w:t>
      </w:r>
      <w:r w:rsidR="002F327C" w:rsidRPr="001567C8">
        <w:rPr>
          <w:rFonts w:asciiTheme="minorHAnsi" w:hAnsiTheme="minorHAnsi"/>
          <w:color w:val="222222"/>
          <w:sz w:val="22"/>
          <w:szCs w:val="22"/>
        </w:rPr>
        <w:t>ravo na novčane tokove</w:t>
      </w:r>
      <w:r w:rsidRPr="001567C8">
        <w:rPr>
          <w:rFonts w:asciiTheme="minorHAnsi" w:hAnsiTheme="minorHAnsi"/>
          <w:color w:val="222222"/>
          <w:sz w:val="22"/>
          <w:szCs w:val="22"/>
        </w:rPr>
        <w:t xml:space="preserve"> Grupe </w:t>
      </w:r>
      <w:r w:rsidR="002F327C" w:rsidRPr="001567C8">
        <w:rPr>
          <w:rFonts w:asciiTheme="minorHAnsi" w:hAnsiTheme="minorHAnsi"/>
          <w:color w:val="222222"/>
          <w:sz w:val="22"/>
          <w:szCs w:val="22"/>
        </w:rPr>
        <w:t>od</w:t>
      </w:r>
      <w:r w:rsidRPr="001567C8">
        <w:rPr>
          <w:rFonts w:asciiTheme="minorHAnsi" w:hAnsiTheme="minorHAnsi"/>
          <w:color w:val="222222"/>
          <w:sz w:val="22"/>
          <w:szCs w:val="22"/>
        </w:rPr>
        <w:t xml:space="preserve"> navedene imovine (npr. krediti bez prava na regres); i</w:t>
      </w:r>
    </w:p>
    <w:p w:rsidR="001B64B4" w:rsidRPr="00CD3A2D" w:rsidRDefault="001B64B4" w:rsidP="001B64B4">
      <w:pPr>
        <w:tabs>
          <w:tab w:val="left" w:pos="426"/>
        </w:tabs>
        <w:jc w:val="both"/>
        <w:rPr>
          <w:rFonts w:asciiTheme="minorHAnsi" w:hAnsiTheme="minorHAnsi"/>
          <w:color w:val="222222"/>
          <w:sz w:val="22"/>
          <w:szCs w:val="22"/>
          <w:lang w:val="hr-HR"/>
        </w:rPr>
      </w:pPr>
      <w:r w:rsidRPr="00CD3A2D">
        <w:rPr>
          <w:rFonts w:asciiTheme="minorHAnsi" w:hAnsiTheme="minorHAnsi"/>
          <w:color w:val="222222"/>
          <w:sz w:val="22"/>
          <w:szCs w:val="22"/>
          <w:lang w:val="hr-HR"/>
        </w:rPr>
        <w:t>- značajke koje mijenjaju razmatranje vremenske vrijednosti novca (npr. periodično resetiranje kamatnih stopa).</w:t>
      </w:r>
    </w:p>
    <w:p w:rsidR="002F327C" w:rsidRPr="00CD3A2D" w:rsidRDefault="002F327C" w:rsidP="001B64B4">
      <w:pPr>
        <w:tabs>
          <w:tab w:val="left" w:pos="426"/>
        </w:tabs>
        <w:jc w:val="both"/>
        <w:rPr>
          <w:rFonts w:asciiTheme="minorHAnsi" w:eastAsia="PMingLiU" w:hAnsiTheme="minorHAnsi" w:cs="Arial"/>
          <w:color w:val="000000"/>
          <w:sz w:val="22"/>
          <w:szCs w:val="22"/>
          <w:lang w:val="hr-HR" w:eastAsia="hr-HR" w:bidi="hr-HR"/>
        </w:rPr>
      </w:pPr>
    </w:p>
    <w:p w:rsidR="002F327C" w:rsidRPr="00CD3A2D" w:rsidRDefault="002F327C" w:rsidP="002F327C">
      <w:pPr>
        <w:tabs>
          <w:tab w:val="left" w:pos="426"/>
        </w:tabs>
        <w:contextualSpacing/>
        <w:jc w:val="both"/>
        <w:rPr>
          <w:rFonts w:asciiTheme="minorHAnsi" w:hAnsiTheme="minorHAnsi" w:cs="Verdana"/>
          <w:sz w:val="22"/>
          <w:szCs w:val="22"/>
          <w:lang w:val="hr-HR"/>
        </w:rPr>
      </w:pPr>
      <w:r w:rsidRPr="00CD3A2D">
        <w:rPr>
          <w:rFonts w:asciiTheme="minorHAnsi" w:hAnsiTheme="minorHAnsi" w:cs="Verdana"/>
          <w:sz w:val="22"/>
          <w:szCs w:val="22"/>
          <w:lang w:val="hr-HR"/>
        </w:rPr>
        <w:t>SPPI test se provodi:</w:t>
      </w:r>
    </w:p>
    <w:p w:rsidR="002F327C" w:rsidRPr="00CD3A2D" w:rsidRDefault="002F327C" w:rsidP="002B5EA8">
      <w:pPr>
        <w:pStyle w:val="ListParagraph"/>
        <w:numPr>
          <w:ilvl w:val="0"/>
          <w:numId w:val="7"/>
        </w:numPr>
        <w:ind w:left="284" w:hanging="331"/>
        <w:jc w:val="both"/>
        <w:rPr>
          <w:rFonts w:asciiTheme="minorHAnsi" w:eastAsia="PMingLiU" w:hAnsiTheme="minorHAnsi" w:cstheme="minorHAnsi"/>
          <w:sz w:val="22"/>
          <w:szCs w:val="22"/>
          <w:lang w:val="hr-HR" w:eastAsia="hr-HR" w:bidi="hr-HR"/>
        </w:rPr>
      </w:pPr>
      <w:r w:rsidRPr="00CD3A2D">
        <w:rPr>
          <w:rFonts w:asciiTheme="minorHAnsi" w:hAnsiTheme="minorHAnsi" w:cstheme="minorHAnsi"/>
          <w:sz w:val="22"/>
          <w:szCs w:val="22"/>
          <w:lang w:val="hr-HR"/>
        </w:rPr>
        <w:t>za svaku</w:t>
      </w:r>
      <w:r w:rsidRPr="00CD3A2D">
        <w:rPr>
          <w:rFonts w:asciiTheme="minorHAnsi" w:eastAsia="PMingLiU" w:hAnsiTheme="minorHAnsi" w:cstheme="minorHAnsi"/>
          <w:sz w:val="22"/>
          <w:szCs w:val="22"/>
          <w:lang w:val="hr-HR" w:eastAsia="hr-HR" w:bidi="hr-HR"/>
        </w:rPr>
        <w:t xml:space="preserve"> financijsku imovinu, alociranu u poslovni model čiji je cilj držanje financijske imovine radi naplate ugovorenih novčanih tokova i poslovni model čiji je cilj prikupljanje ugovorenih novčanih tokova i prodaja financijske imovine, a na datum njenog inicijalnog priznavanja,</w:t>
      </w:r>
    </w:p>
    <w:p w:rsidR="002F327C" w:rsidRPr="00CD3A2D" w:rsidRDefault="002F327C" w:rsidP="002B5EA8">
      <w:pPr>
        <w:pStyle w:val="ListParagraph"/>
        <w:keepNext/>
        <w:numPr>
          <w:ilvl w:val="0"/>
          <w:numId w:val="7"/>
        </w:numPr>
        <w:tabs>
          <w:tab w:val="left" w:pos="426"/>
        </w:tabs>
        <w:ind w:left="284" w:hanging="331"/>
        <w:jc w:val="both"/>
        <w:rPr>
          <w:rFonts w:asciiTheme="minorHAnsi" w:hAnsiTheme="minorHAnsi" w:cs="Arial"/>
          <w:b/>
          <w:bCs/>
          <w:sz w:val="22"/>
          <w:szCs w:val="22"/>
          <w:lang w:val="hr-HR"/>
        </w:rPr>
      </w:pPr>
      <w:r w:rsidRPr="00CD3A2D">
        <w:rPr>
          <w:rFonts w:asciiTheme="minorHAnsi" w:eastAsia="PMingLiU" w:hAnsiTheme="minorHAnsi" w:cstheme="minorHAnsi"/>
          <w:sz w:val="22"/>
          <w:szCs w:val="22"/>
          <w:lang w:val="hr-HR" w:eastAsia="hr-HR" w:bidi="hr-HR"/>
        </w:rPr>
        <w:t xml:space="preserve">za svaku financijsku imovinu u slučajevima u kojima je izvorna imovina značajno modificirana i zbog toga ponovno priznata kao nova imovina, </w:t>
      </w:r>
    </w:p>
    <w:p w:rsidR="002F327C" w:rsidRPr="00CD3A2D" w:rsidRDefault="002F327C" w:rsidP="002B5EA8">
      <w:pPr>
        <w:pStyle w:val="ListParagraph"/>
        <w:keepNext/>
        <w:numPr>
          <w:ilvl w:val="0"/>
          <w:numId w:val="7"/>
        </w:numPr>
        <w:tabs>
          <w:tab w:val="left" w:pos="426"/>
        </w:tabs>
        <w:ind w:left="284" w:hanging="331"/>
        <w:jc w:val="both"/>
        <w:rPr>
          <w:rFonts w:asciiTheme="minorHAnsi" w:hAnsiTheme="minorHAnsi" w:cs="Arial"/>
          <w:bCs/>
          <w:strike/>
          <w:sz w:val="22"/>
          <w:szCs w:val="22"/>
          <w:lang w:val="hr-HR"/>
        </w:rPr>
      </w:pPr>
      <w:r w:rsidRPr="00CD3A2D">
        <w:rPr>
          <w:rFonts w:asciiTheme="minorHAnsi" w:eastAsia="PMingLiU" w:hAnsiTheme="minorHAnsi" w:cstheme="minorHAnsi"/>
          <w:sz w:val="22"/>
          <w:szCs w:val="22"/>
          <w:lang w:val="hr-HR" w:eastAsia="hr-HR" w:bidi="hr-HR"/>
        </w:rPr>
        <w:t>kod uvođenja novih modele i/ili programa kreditiranja kako bi se unaprijed utvrdila prihvatljivost razmatranih uvjeta kreditiranja u odnosu na potrebu kasnijeg praćenja vrijednosti eventualne financijske imovine koja bi proizašla iz istih.</w:t>
      </w:r>
    </w:p>
    <w:p w:rsidR="002F327C" w:rsidRPr="00CD3A2D" w:rsidRDefault="002F327C">
      <w:pPr>
        <w:tabs>
          <w:tab w:val="left" w:pos="426"/>
        </w:tabs>
        <w:jc w:val="both"/>
        <w:rPr>
          <w:rFonts w:asciiTheme="minorHAnsi" w:eastAsia="PMingLiU" w:hAnsiTheme="minorHAnsi" w:cs="Arial"/>
          <w:color w:val="000000"/>
          <w:sz w:val="22"/>
          <w:szCs w:val="22"/>
          <w:lang w:val="hr-HR" w:eastAsia="hr-HR" w:bidi="hr-HR"/>
        </w:rPr>
      </w:pPr>
    </w:p>
    <w:p w:rsidR="003F7EDB" w:rsidRPr="001567C8" w:rsidRDefault="003F7EDB">
      <w:pPr>
        <w:jc w:val="both"/>
        <w:rPr>
          <w:rFonts w:asciiTheme="minorHAnsi" w:hAnsiTheme="minorHAnsi" w:cs="Arial"/>
          <w:b/>
          <w:sz w:val="22"/>
          <w:szCs w:val="22"/>
          <w:lang w:val="hr-HR"/>
        </w:rPr>
      </w:pPr>
    </w:p>
    <w:p w:rsidR="003F7EDB" w:rsidRPr="001567C8" w:rsidRDefault="003F7EDB">
      <w:pPr>
        <w:jc w:val="both"/>
        <w:rPr>
          <w:rFonts w:asciiTheme="minorHAnsi" w:hAnsiTheme="minorHAnsi" w:cs="Arial"/>
          <w:b/>
          <w:sz w:val="22"/>
          <w:szCs w:val="22"/>
          <w:lang w:val="hr-HR"/>
        </w:rPr>
      </w:pPr>
    </w:p>
    <w:p w:rsidR="003F7EDB" w:rsidRPr="001567C8" w:rsidRDefault="003F7EDB">
      <w:pPr>
        <w:jc w:val="both"/>
        <w:rPr>
          <w:rFonts w:asciiTheme="minorHAnsi" w:hAnsiTheme="minorHAnsi" w:cs="Arial"/>
          <w:b/>
          <w:sz w:val="22"/>
          <w:szCs w:val="22"/>
          <w:lang w:val="hr-HR"/>
        </w:rPr>
      </w:pPr>
    </w:p>
    <w:p w:rsidR="003F7EDB" w:rsidRPr="001567C8" w:rsidRDefault="003F7EDB">
      <w:pPr>
        <w:jc w:val="both"/>
        <w:rPr>
          <w:rFonts w:asciiTheme="minorHAnsi" w:hAnsiTheme="minorHAnsi" w:cs="Arial"/>
          <w:b/>
          <w:sz w:val="22"/>
          <w:szCs w:val="22"/>
          <w:lang w:val="hr-HR"/>
        </w:rPr>
      </w:pPr>
    </w:p>
    <w:p w:rsidR="003F7EDB" w:rsidRPr="001567C8" w:rsidRDefault="003F7EDB" w:rsidP="005A4073">
      <w:pPr>
        <w:jc w:val="both"/>
        <w:rPr>
          <w:rFonts w:asciiTheme="minorHAnsi" w:hAnsiTheme="minorHAnsi" w:cs="Arial"/>
          <w:b/>
          <w:sz w:val="22"/>
          <w:szCs w:val="22"/>
          <w:lang w:val="hr-HR"/>
        </w:rPr>
      </w:pPr>
    </w:p>
    <w:p w:rsidR="003F7EDB" w:rsidRPr="001567C8" w:rsidRDefault="003F7EDB" w:rsidP="005A4073">
      <w:pPr>
        <w:jc w:val="both"/>
        <w:rPr>
          <w:rFonts w:asciiTheme="minorHAnsi" w:hAnsiTheme="minorHAnsi" w:cs="Arial"/>
          <w:b/>
          <w:sz w:val="22"/>
          <w:szCs w:val="22"/>
          <w:lang w:val="hr-HR"/>
        </w:rPr>
      </w:pPr>
    </w:p>
    <w:p w:rsidR="003F7EDB" w:rsidRPr="001567C8" w:rsidRDefault="003F7EDB" w:rsidP="005A4073">
      <w:pPr>
        <w:jc w:val="both"/>
        <w:rPr>
          <w:rFonts w:asciiTheme="minorHAnsi" w:hAnsiTheme="minorHAnsi" w:cs="Arial"/>
          <w:b/>
          <w:sz w:val="22"/>
          <w:szCs w:val="22"/>
          <w:lang w:val="hr-HR"/>
        </w:rPr>
        <w:sectPr w:rsidR="003F7EDB" w:rsidRPr="001567C8" w:rsidSect="000D6913">
          <w:pgSz w:w="11907" w:h="16840" w:code="9"/>
          <w:pgMar w:top="1418" w:right="1134" w:bottom="1134" w:left="1418" w:header="851" w:footer="851" w:gutter="0"/>
          <w:cols w:space="720"/>
          <w:noEndnote/>
        </w:sectPr>
      </w:pPr>
    </w:p>
    <w:p w:rsidR="003F7EDB" w:rsidRPr="001567C8" w:rsidRDefault="003F7EDB" w:rsidP="005A4073">
      <w:pPr>
        <w:jc w:val="both"/>
        <w:rPr>
          <w:rFonts w:asciiTheme="minorHAnsi" w:hAnsiTheme="minorHAnsi" w:cs="Arial"/>
          <w:b/>
          <w:sz w:val="22"/>
          <w:szCs w:val="22"/>
          <w:lang w:val="hr-HR"/>
        </w:rPr>
      </w:pPr>
    </w:p>
    <w:p w:rsidR="005A5E3F" w:rsidRPr="00CD3A2D" w:rsidRDefault="005A5E3F" w:rsidP="005A5E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5A5E3F" w:rsidRPr="00CD3A2D" w:rsidRDefault="005A5E3F" w:rsidP="005A5E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5A5E3F" w:rsidRPr="00CD3A2D" w:rsidRDefault="005A5E3F" w:rsidP="005A5E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5A5E3F" w:rsidRPr="001567C8" w:rsidRDefault="005A5E3F" w:rsidP="005A5E3F">
      <w:pPr>
        <w:jc w:val="both"/>
        <w:rPr>
          <w:rFonts w:asciiTheme="minorHAnsi" w:hAnsiTheme="minorHAnsi" w:cstheme="minorHAnsi"/>
          <w:b/>
          <w:sz w:val="22"/>
          <w:szCs w:val="22"/>
          <w:lang w:val="hr-HR"/>
        </w:rPr>
      </w:pPr>
    </w:p>
    <w:p w:rsidR="005A5E3F" w:rsidRPr="00CD3A2D" w:rsidRDefault="005A5E3F" w:rsidP="005A5E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3F7EDB" w:rsidRPr="001567C8" w:rsidRDefault="003F7EDB" w:rsidP="005A4073">
      <w:pPr>
        <w:jc w:val="both"/>
        <w:rPr>
          <w:rFonts w:asciiTheme="minorHAnsi" w:hAnsiTheme="minorHAnsi" w:cs="Arial"/>
          <w:b/>
          <w:sz w:val="22"/>
          <w:szCs w:val="22"/>
          <w:lang w:val="hr-HR"/>
        </w:rPr>
      </w:pPr>
    </w:p>
    <w:p w:rsidR="005A5E3F" w:rsidRPr="00CD3A2D" w:rsidRDefault="005A5E3F" w:rsidP="005A5E3F">
      <w:pPr>
        <w:jc w:val="both"/>
        <w:rPr>
          <w:rFonts w:asciiTheme="minorHAnsi" w:hAnsiTheme="minorHAnsi" w:cs="Arial"/>
          <w:b/>
          <w:i/>
          <w:sz w:val="22"/>
          <w:szCs w:val="22"/>
          <w:lang w:val="hr-HR"/>
        </w:rPr>
      </w:pPr>
      <w:r w:rsidRPr="00CD3A2D">
        <w:rPr>
          <w:rFonts w:asciiTheme="minorHAnsi" w:hAnsiTheme="minorHAnsi" w:cs="Arial"/>
          <w:b/>
          <w:i/>
          <w:sz w:val="22"/>
          <w:szCs w:val="22"/>
          <w:lang w:val="hr-HR"/>
        </w:rPr>
        <w:t>iv. Reklasifikacija financijske imovine</w:t>
      </w:r>
    </w:p>
    <w:p w:rsidR="005A5E3F" w:rsidRPr="00CD3A2D" w:rsidRDefault="005A5E3F" w:rsidP="005A5E3F">
      <w:pPr>
        <w:jc w:val="both"/>
        <w:rPr>
          <w:rFonts w:asciiTheme="minorHAnsi" w:hAnsiTheme="minorHAnsi" w:cs="Arial"/>
          <w:b/>
          <w:sz w:val="22"/>
          <w:szCs w:val="22"/>
          <w:lang w:val="hr-HR"/>
        </w:rPr>
      </w:pPr>
    </w:p>
    <w:p w:rsidR="005A5E3F" w:rsidRPr="00CD3A2D" w:rsidRDefault="005A5E3F" w:rsidP="005A5E3F">
      <w:pPr>
        <w:jc w:val="both"/>
        <w:rPr>
          <w:rFonts w:asciiTheme="minorHAnsi" w:hAnsiTheme="minorHAnsi" w:cs="Arial"/>
          <w:sz w:val="22"/>
          <w:szCs w:val="22"/>
          <w:lang w:val="hr-HR"/>
        </w:rPr>
      </w:pPr>
      <w:r w:rsidRPr="00CD3A2D">
        <w:rPr>
          <w:rFonts w:asciiTheme="minorHAnsi" w:hAnsiTheme="minorHAnsi" w:cs="Arial"/>
          <w:sz w:val="22"/>
          <w:szCs w:val="22"/>
          <w:lang w:val="hr-HR"/>
        </w:rPr>
        <w:t>U slučaju promjene poslovnog modela upravljanja financijskom imovinom, reklasificirati će se sva financijska imovina na koju utječe reklasifikacija. Reklasifikacija će se obaviti prospektivno, od datuma reklasifikacije, odnosno od prvog dana idućeg obračunskog razdoblja, ne prepravljajući, pri tom, prethodno priznatu dobit, gubitke ni kamate.</w:t>
      </w:r>
    </w:p>
    <w:p w:rsidR="005A5E3F" w:rsidRPr="001567C8" w:rsidRDefault="005A5E3F" w:rsidP="005A4073">
      <w:pPr>
        <w:jc w:val="both"/>
        <w:rPr>
          <w:rFonts w:asciiTheme="minorHAnsi" w:hAnsiTheme="minorHAnsi" w:cs="Arial"/>
          <w:b/>
          <w:sz w:val="22"/>
          <w:szCs w:val="22"/>
          <w:lang w:val="hr-HR"/>
        </w:rPr>
      </w:pPr>
    </w:p>
    <w:p w:rsidR="003F7EDB" w:rsidRPr="001567C8" w:rsidRDefault="0061098C" w:rsidP="005A4073">
      <w:pPr>
        <w:jc w:val="both"/>
        <w:rPr>
          <w:rFonts w:asciiTheme="minorHAnsi" w:hAnsiTheme="minorHAnsi" w:cs="Arial"/>
          <w:b/>
          <w:i/>
          <w:sz w:val="22"/>
          <w:szCs w:val="22"/>
          <w:lang w:val="hr-HR"/>
        </w:rPr>
      </w:pPr>
      <w:r w:rsidRPr="001567C8">
        <w:rPr>
          <w:rFonts w:asciiTheme="minorHAnsi" w:hAnsiTheme="minorHAnsi" w:cs="Arial"/>
          <w:b/>
          <w:i/>
          <w:sz w:val="22"/>
          <w:szCs w:val="22"/>
          <w:lang w:val="hr-HR"/>
        </w:rPr>
        <w:t>v. Prestanak priznavanja</w:t>
      </w:r>
    </w:p>
    <w:p w:rsidR="0061098C" w:rsidRPr="001567C8" w:rsidRDefault="00F062D9" w:rsidP="005A4073">
      <w:pPr>
        <w:jc w:val="both"/>
        <w:rPr>
          <w:rFonts w:asciiTheme="minorHAnsi" w:hAnsiTheme="minorHAnsi" w:cs="Arial"/>
          <w:b/>
          <w:sz w:val="22"/>
          <w:szCs w:val="22"/>
          <w:lang w:val="hr-HR"/>
        </w:rPr>
      </w:pPr>
      <w:r w:rsidRPr="00CD3A2D">
        <w:rPr>
          <w:rFonts w:asciiTheme="minorHAnsi" w:hAnsiTheme="minorHAnsi" w:cstheme="minorHAnsi"/>
          <w:i/>
          <w:sz w:val="22"/>
          <w:szCs w:val="22"/>
          <w:lang w:val="hr-HR" w:eastAsia="hr-HR"/>
        </w:rPr>
        <w:t>Politika primjenjiva od 1. siječnja 2018</w:t>
      </w:r>
      <w:r w:rsidR="00A13DED" w:rsidRPr="00CD3A2D">
        <w:rPr>
          <w:rFonts w:asciiTheme="minorHAnsi" w:hAnsiTheme="minorHAnsi" w:cstheme="minorHAnsi"/>
          <w:i/>
          <w:sz w:val="22"/>
          <w:szCs w:val="22"/>
          <w:lang w:val="hr-HR" w:eastAsia="hr-HR"/>
        </w:rPr>
        <w:t>. godine</w:t>
      </w:r>
    </w:p>
    <w:p w:rsidR="004B5160" w:rsidRPr="001567C8" w:rsidRDefault="004B5160" w:rsidP="005A4073">
      <w:pPr>
        <w:jc w:val="both"/>
        <w:rPr>
          <w:rFonts w:asciiTheme="minorHAnsi" w:hAnsiTheme="minorHAnsi" w:cs="Arial"/>
          <w:b/>
          <w:sz w:val="22"/>
          <w:szCs w:val="22"/>
          <w:lang w:val="hr-HR"/>
        </w:rPr>
      </w:pPr>
    </w:p>
    <w:p w:rsidR="00DA72F7" w:rsidRPr="001567C8" w:rsidRDefault="00DA72F7" w:rsidP="00DA72F7">
      <w:pPr>
        <w:pStyle w:val="HTMLPreformatted"/>
        <w:rPr>
          <w:rFonts w:asciiTheme="minorHAnsi" w:hAnsiTheme="minorHAnsi"/>
          <w:color w:val="222222"/>
          <w:sz w:val="22"/>
          <w:szCs w:val="22"/>
        </w:rPr>
      </w:pPr>
      <w:r w:rsidRPr="001567C8">
        <w:rPr>
          <w:rFonts w:asciiTheme="minorHAnsi" w:hAnsiTheme="minorHAnsi"/>
          <w:color w:val="222222"/>
          <w:sz w:val="22"/>
          <w:szCs w:val="22"/>
        </w:rPr>
        <w:t>Financijska imovina</w:t>
      </w:r>
    </w:p>
    <w:p w:rsidR="004B5160" w:rsidRPr="001567C8" w:rsidRDefault="00DA72F7" w:rsidP="00DA72F7">
      <w:pPr>
        <w:jc w:val="both"/>
        <w:rPr>
          <w:rFonts w:asciiTheme="minorHAnsi" w:hAnsiTheme="minorHAnsi" w:cs="Arial"/>
          <w:b/>
          <w:sz w:val="22"/>
          <w:szCs w:val="22"/>
          <w:lang w:val="hr-HR"/>
        </w:rPr>
      </w:pPr>
      <w:r w:rsidRPr="00CD3A2D">
        <w:rPr>
          <w:rFonts w:asciiTheme="minorHAnsi" w:hAnsiTheme="minorHAnsi"/>
          <w:color w:val="222222"/>
          <w:sz w:val="22"/>
          <w:szCs w:val="22"/>
          <w:lang w:val="hr-HR"/>
        </w:rPr>
        <w:t xml:space="preserve">Grupa prestaje priznavati financijsku imovinu kada isteknu ugovorna prava na novčane tokove od financijske imovine ili ako prenosi prava na primanje ugovornih novčanih tokova </w:t>
      </w:r>
      <w:r w:rsidR="00CD71FF" w:rsidRPr="00CD3A2D">
        <w:rPr>
          <w:rFonts w:asciiTheme="minorHAnsi" w:hAnsiTheme="minorHAnsi"/>
          <w:color w:val="222222"/>
          <w:sz w:val="22"/>
          <w:szCs w:val="22"/>
          <w:lang w:val="hr-HR"/>
        </w:rPr>
        <w:t>u transakciji u kojoj se prenose uglavnom svi rizici i koristi od vlasništva nad financijskom imovinom ili u kojima Grupa ne prenosi niti zadržava uglavnom</w:t>
      </w:r>
      <w:r w:rsidRPr="00CD3A2D">
        <w:rPr>
          <w:rFonts w:asciiTheme="minorHAnsi" w:hAnsiTheme="minorHAnsi"/>
          <w:color w:val="222222"/>
          <w:sz w:val="22"/>
          <w:szCs w:val="22"/>
          <w:lang w:val="hr-HR"/>
        </w:rPr>
        <w:t xml:space="preserve"> sve rizike i nagrade povezane s vlasništvom te ne zadržava kontrolu nad financijskom imovinom.</w:t>
      </w:r>
    </w:p>
    <w:p w:rsidR="004B5160" w:rsidRPr="001567C8" w:rsidRDefault="004B5160" w:rsidP="005A4073">
      <w:pPr>
        <w:jc w:val="both"/>
        <w:rPr>
          <w:rFonts w:asciiTheme="minorHAnsi" w:hAnsiTheme="minorHAnsi" w:cs="Arial"/>
          <w:b/>
          <w:sz w:val="22"/>
          <w:szCs w:val="22"/>
          <w:lang w:val="hr-HR"/>
        </w:rPr>
      </w:pPr>
    </w:p>
    <w:p w:rsidR="00CD71FF" w:rsidRPr="00CD3A2D" w:rsidRDefault="00CD71FF" w:rsidP="005A4073">
      <w:pPr>
        <w:jc w:val="both"/>
        <w:rPr>
          <w:rFonts w:asciiTheme="minorHAnsi" w:hAnsiTheme="minorHAnsi"/>
          <w:color w:val="222222"/>
          <w:sz w:val="22"/>
          <w:szCs w:val="22"/>
          <w:lang w:val="hr-HR"/>
        </w:rPr>
      </w:pPr>
      <w:r w:rsidRPr="00CD3A2D">
        <w:rPr>
          <w:rFonts w:asciiTheme="minorHAnsi" w:hAnsiTheme="minorHAnsi"/>
          <w:color w:val="222222"/>
          <w:sz w:val="22"/>
          <w:szCs w:val="22"/>
          <w:lang w:val="hr-HR"/>
        </w:rPr>
        <w:t>Nakon prestanka priznavanja financijske imovine, razlika između knjigovodstvene vrijednosti imovine (ili knjigovodstvenog iznosa raspoređenog na dio imovine koja se prestala priznavati) i zbroja (i) primljene naknade</w:t>
      </w:r>
      <w:r w:rsidR="006D541E" w:rsidRPr="00CD3A2D">
        <w:rPr>
          <w:rFonts w:asciiTheme="minorHAnsi" w:hAnsiTheme="minorHAnsi"/>
          <w:color w:val="222222"/>
          <w:sz w:val="22"/>
          <w:szCs w:val="22"/>
          <w:lang w:val="hr-HR"/>
        </w:rPr>
        <w:t xml:space="preserve"> za dio koji se prestaje priznavati</w:t>
      </w:r>
      <w:r w:rsidRPr="00CD3A2D">
        <w:rPr>
          <w:rFonts w:asciiTheme="minorHAnsi" w:hAnsiTheme="minorHAnsi"/>
          <w:color w:val="222222"/>
          <w:sz w:val="22"/>
          <w:szCs w:val="22"/>
          <w:lang w:val="hr-HR"/>
        </w:rPr>
        <w:t xml:space="preserve"> (uključujući svu novo stečenu imovinu umanjenu za sv</w:t>
      </w:r>
      <w:r w:rsidR="006D541E" w:rsidRPr="00CD3A2D">
        <w:rPr>
          <w:rFonts w:asciiTheme="minorHAnsi" w:hAnsiTheme="minorHAnsi"/>
          <w:color w:val="222222"/>
          <w:sz w:val="22"/>
          <w:szCs w:val="22"/>
          <w:lang w:val="hr-HR"/>
        </w:rPr>
        <w:t>e preuzete nove</w:t>
      </w:r>
      <w:r w:rsidRPr="00CD3A2D">
        <w:rPr>
          <w:rFonts w:asciiTheme="minorHAnsi" w:hAnsiTheme="minorHAnsi"/>
          <w:color w:val="222222"/>
          <w:sz w:val="22"/>
          <w:szCs w:val="22"/>
          <w:lang w:val="hr-HR"/>
        </w:rPr>
        <w:t xml:space="preserve"> obvez</w:t>
      </w:r>
      <w:r w:rsidR="006D541E" w:rsidRPr="00CD3A2D">
        <w:rPr>
          <w:rFonts w:asciiTheme="minorHAnsi" w:hAnsiTheme="minorHAnsi"/>
          <w:color w:val="222222"/>
          <w:sz w:val="22"/>
          <w:szCs w:val="22"/>
          <w:lang w:val="hr-HR"/>
        </w:rPr>
        <w:t>e</w:t>
      </w:r>
      <w:r w:rsidRPr="00CD3A2D">
        <w:rPr>
          <w:rFonts w:asciiTheme="minorHAnsi" w:hAnsiTheme="minorHAnsi"/>
          <w:color w:val="222222"/>
          <w:sz w:val="22"/>
          <w:szCs w:val="22"/>
          <w:lang w:val="hr-HR"/>
        </w:rPr>
        <w:t>)</w:t>
      </w:r>
      <w:r w:rsidR="006D541E" w:rsidRPr="00CD3A2D">
        <w:rPr>
          <w:rFonts w:asciiTheme="minorHAnsi" w:hAnsiTheme="minorHAnsi"/>
          <w:color w:val="222222"/>
          <w:sz w:val="22"/>
          <w:szCs w:val="22"/>
          <w:lang w:val="hr-HR"/>
        </w:rPr>
        <w:t xml:space="preserve"> i </w:t>
      </w:r>
      <w:r w:rsidRPr="00CD3A2D">
        <w:rPr>
          <w:rFonts w:asciiTheme="minorHAnsi" w:hAnsiTheme="minorHAnsi"/>
          <w:color w:val="222222"/>
          <w:sz w:val="22"/>
          <w:szCs w:val="22"/>
          <w:lang w:val="hr-HR"/>
        </w:rPr>
        <w:t xml:space="preserve"> (ii) kumulativn</w:t>
      </w:r>
      <w:r w:rsidR="006D541E" w:rsidRPr="00CD3A2D">
        <w:rPr>
          <w:rFonts w:asciiTheme="minorHAnsi" w:hAnsiTheme="minorHAnsi"/>
          <w:color w:val="222222"/>
          <w:sz w:val="22"/>
          <w:szCs w:val="22"/>
          <w:lang w:val="hr-HR"/>
        </w:rPr>
        <w:t>og</w:t>
      </w:r>
      <w:r w:rsidRPr="00CD3A2D">
        <w:rPr>
          <w:rFonts w:asciiTheme="minorHAnsi" w:hAnsiTheme="minorHAnsi"/>
          <w:color w:val="222222"/>
          <w:sz w:val="22"/>
          <w:szCs w:val="22"/>
          <w:lang w:val="hr-HR"/>
        </w:rPr>
        <w:t xml:space="preserve"> dobitk</w:t>
      </w:r>
      <w:r w:rsidR="006D541E" w:rsidRPr="00CD3A2D">
        <w:rPr>
          <w:rFonts w:asciiTheme="minorHAnsi" w:hAnsiTheme="minorHAnsi"/>
          <w:color w:val="222222"/>
          <w:sz w:val="22"/>
          <w:szCs w:val="22"/>
          <w:lang w:val="hr-HR"/>
        </w:rPr>
        <w:t>a</w:t>
      </w:r>
      <w:r w:rsidRPr="00CD3A2D">
        <w:rPr>
          <w:rFonts w:asciiTheme="minorHAnsi" w:hAnsiTheme="minorHAnsi"/>
          <w:color w:val="222222"/>
          <w:sz w:val="22"/>
          <w:szCs w:val="22"/>
          <w:lang w:val="hr-HR"/>
        </w:rPr>
        <w:t xml:space="preserve"> ili gubitk</w:t>
      </w:r>
      <w:r w:rsidR="006D541E" w:rsidRPr="00CD3A2D">
        <w:rPr>
          <w:rFonts w:asciiTheme="minorHAnsi" w:hAnsiTheme="minorHAnsi"/>
          <w:color w:val="222222"/>
          <w:sz w:val="22"/>
          <w:szCs w:val="22"/>
          <w:lang w:val="hr-HR"/>
        </w:rPr>
        <w:t>a</w:t>
      </w:r>
      <w:r w:rsidRPr="00CD3A2D">
        <w:rPr>
          <w:rFonts w:asciiTheme="minorHAnsi" w:hAnsiTheme="minorHAnsi"/>
          <w:color w:val="222222"/>
          <w:sz w:val="22"/>
          <w:szCs w:val="22"/>
          <w:lang w:val="hr-HR"/>
        </w:rPr>
        <w:t xml:space="preserve"> koji je priznat u ostaloj sveobuhvatnoj dobiti</w:t>
      </w:r>
      <w:r w:rsidR="006D541E" w:rsidRPr="00CD3A2D">
        <w:rPr>
          <w:rFonts w:asciiTheme="minorHAnsi" w:hAnsiTheme="minorHAnsi"/>
          <w:color w:val="222222"/>
          <w:sz w:val="22"/>
          <w:szCs w:val="22"/>
          <w:lang w:val="hr-HR"/>
        </w:rPr>
        <w:t xml:space="preserve">, </w:t>
      </w:r>
      <w:r w:rsidRPr="00CD3A2D">
        <w:rPr>
          <w:rFonts w:asciiTheme="minorHAnsi" w:hAnsiTheme="minorHAnsi"/>
          <w:color w:val="222222"/>
          <w:sz w:val="22"/>
          <w:szCs w:val="22"/>
          <w:lang w:val="hr-HR"/>
        </w:rPr>
        <w:t xml:space="preserve"> priznaje se u dobiti i</w:t>
      </w:r>
      <w:r w:rsidR="006D541E" w:rsidRPr="00CD3A2D">
        <w:rPr>
          <w:rFonts w:asciiTheme="minorHAnsi" w:hAnsiTheme="minorHAnsi"/>
          <w:color w:val="222222"/>
          <w:sz w:val="22"/>
          <w:szCs w:val="22"/>
          <w:lang w:val="hr-HR"/>
        </w:rPr>
        <w:t>li</w:t>
      </w:r>
      <w:r w:rsidRPr="00CD3A2D">
        <w:rPr>
          <w:rFonts w:asciiTheme="minorHAnsi" w:hAnsiTheme="minorHAnsi"/>
          <w:color w:val="222222"/>
          <w:sz w:val="22"/>
          <w:szCs w:val="22"/>
          <w:lang w:val="hr-HR"/>
        </w:rPr>
        <w:t xml:space="preserve"> gubitk</w:t>
      </w:r>
      <w:r w:rsidR="006D541E" w:rsidRPr="00CD3A2D">
        <w:rPr>
          <w:rFonts w:asciiTheme="minorHAnsi" w:hAnsiTheme="minorHAnsi"/>
          <w:color w:val="222222"/>
          <w:sz w:val="22"/>
          <w:szCs w:val="22"/>
          <w:lang w:val="hr-HR"/>
        </w:rPr>
        <w:t>u</w:t>
      </w:r>
      <w:r w:rsidRPr="00CD3A2D">
        <w:rPr>
          <w:rFonts w:asciiTheme="minorHAnsi" w:hAnsiTheme="minorHAnsi"/>
          <w:color w:val="222222"/>
          <w:sz w:val="22"/>
          <w:szCs w:val="22"/>
          <w:lang w:val="hr-HR"/>
        </w:rPr>
        <w:t>.</w:t>
      </w:r>
    </w:p>
    <w:p w:rsidR="001F0D3E" w:rsidRPr="00CD3A2D" w:rsidRDefault="001F0D3E" w:rsidP="005A4073">
      <w:pPr>
        <w:jc w:val="both"/>
        <w:rPr>
          <w:color w:val="222222"/>
          <w:lang w:val="hr-HR"/>
        </w:rPr>
      </w:pPr>
    </w:p>
    <w:p w:rsidR="001379B9" w:rsidRPr="00CD3A2D" w:rsidRDefault="001379B9" w:rsidP="005A4073">
      <w:pPr>
        <w:jc w:val="both"/>
        <w:rPr>
          <w:rFonts w:asciiTheme="minorHAnsi" w:hAnsiTheme="minorHAnsi" w:cstheme="minorHAnsi"/>
          <w:color w:val="222222"/>
          <w:sz w:val="22"/>
          <w:szCs w:val="22"/>
          <w:lang w:val="hr-HR"/>
        </w:rPr>
      </w:pPr>
      <w:r w:rsidRPr="00CD3A2D">
        <w:rPr>
          <w:rFonts w:asciiTheme="minorHAnsi" w:hAnsiTheme="minorHAnsi" w:cstheme="minorHAnsi"/>
          <w:color w:val="222222"/>
          <w:sz w:val="22"/>
          <w:szCs w:val="22"/>
          <w:lang w:val="hr-HR"/>
        </w:rPr>
        <w:t>Od 1. siječnja 2018. godine svi kumulativni dobici/gubici</w:t>
      </w:r>
      <w:r w:rsidR="003208AF" w:rsidRPr="00CD3A2D">
        <w:rPr>
          <w:rFonts w:asciiTheme="minorHAnsi" w:hAnsiTheme="minorHAnsi" w:cstheme="minorHAnsi"/>
          <w:color w:val="222222"/>
          <w:sz w:val="22"/>
          <w:szCs w:val="22"/>
          <w:lang w:val="hr-HR"/>
        </w:rPr>
        <w:t xml:space="preserve"> </w:t>
      </w:r>
      <w:r w:rsidRPr="00CD3A2D">
        <w:rPr>
          <w:rFonts w:asciiTheme="minorHAnsi" w:hAnsiTheme="minorHAnsi" w:cstheme="minorHAnsi"/>
          <w:color w:val="222222"/>
          <w:sz w:val="22"/>
          <w:szCs w:val="22"/>
          <w:lang w:val="hr-HR"/>
        </w:rPr>
        <w:t xml:space="preserve">priznati u ostaloj sveobuhvatnoj dobiti </w:t>
      </w:r>
      <w:r w:rsidR="003208AF" w:rsidRPr="00CD3A2D">
        <w:rPr>
          <w:rFonts w:asciiTheme="minorHAnsi" w:hAnsiTheme="minorHAnsi" w:cstheme="minorHAnsi"/>
          <w:color w:val="222222"/>
          <w:sz w:val="22"/>
          <w:szCs w:val="22"/>
          <w:lang w:val="hr-HR"/>
        </w:rPr>
        <w:t xml:space="preserve">po vlasničkim vrijednosnim papirima vrednovanim po fer vrijednosti kroz ostalu sveobuhvatnu dobit, </w:t>
      </w:r>
      <w:r w:rsidR="00DE35B7" w:rsidRPr="00CD3A2D">
        <w:rPr>
          <w:rFonts w:asciiTheme="minorHAnsi" w:hAnsiTheme="minorHAnsi" w:cstheme="minorHAnsi"/>
          <w:color w:val="222222"/>
          <w:sz w:val="22"/>
          <w:szCs w:val="22"/>
          <w:lang w:val="hr-HR"/>
        </w:rPr>
        <w:t xml:space="preserve">ne priznaju se u dobit ili gubitak </w:t>
      </w:r>
      <w:r w:rsidR="003208AF" w:rsidRPr="00CD3A2D">
        <w:rPr>
          <w:rFonts w:asciiTheme="minorHAnsi" w:hAnsiTheme="minorHAnsi" w:cstheme="minorHAnsi"/>
          <w:color w:val="222222"/>
          <w:sz w:val="22"/>
          <w:szCs w:val="22"/>
          <w:lang w:val="hr-HR"/>
        </w:rPr>
        <w:t>po prestanku priznavanja.</w:t>
      </w:r>
      <w:r w:rsidRPr="00CD3A2D">
        <w:rPr>
          <w:rFonts w:asciiTheme="minorHAnsi" w:hAnsiTheme="minorHAnsi" w:cstheme="minorHAnsi"/>
          <w:color w:val="222222"/>
          <w:sz w:val="22"/>
          <w:szCs w:val="22"/>
          <w:lang w:val="hr-HR"/>
        </w:rPr>
        <w:t xml:space="preserve"> Svaki udio u prenesenoj financijskoj imovini koja ispunjava uvjete za prestanak priznavanja koji</w:t>
      </w:r>
      <w:r w:rsidR="003208AF" w:rsidRPr="00CD3A2D">
        <w:rPr>
          <w:rFonts w:asciiTheme="minorHAnsi" w:hAnsiTheme="minorHAnsi" w:cstheme="minorHAnsi"/>
          <w:color w:val="222222"/>
          <w:sz w:val="22"/>
          <w:szCs w:val="22"/>
          <w:lang w:val="hr-HR"/>
        </w:rPr>
        <w:t xml:space="preserve"> </w:t>
      </w:r>
      <w:r w:rsidR="00DE35B7" w:rsidRPr="00CD3A2D">
        <w:rPr>
          <w:rFonts w:asciiTheme="minorHAnsi" w:hAnsiTheme="minorHAnsi" w:cstheme="minorHAnsi"/>
          <w:color w:val="222222"/>
          <w:sz w:val="22"/>
          <w:szCs w:val="22"/>
          <w:lang w:val="hr-HR"/>
        </w:rPr>
        <w:t>je stvorila ili zadržala</w:t>
      </w:r>
      <w:r w:rsidR="003208AF" w:rsidRPr="00CD3A2D">
        <w:rPr>
          <w:rFonts w:asciiTheme="minorHAnsi" w:hAnsiTheme="minorHAnsi" w:cstheme="minorHAnsi"/>
          <w:color w:val="222222"/>
          <w:sz w:val="22"/>
          <w:szCs w:val="22"/>
          <w:lang w:val="hr-HR"/>
        </w:rPr>
        <w:t xml:space="preserve"> Grup</w:t>
      </w:r>
      <w:r w:rsidR="00DE35B7" w:rsidRPr="00CD3A2D">
        <w:rPr>
          <w:rFonts w:asciiTheme="minorHAnsi" w:hAnsiTheme="minorHAnsi" w:cstheme="minorHAnsi"/>
          <w:color w:val="222222"/>
          <w:sz w:val="22"/>
          <w:szCs w:val="22"/>
          <w:lang w:val="hr-HR"/>
        </w:rPr>
        <w:t>a</w:t>
      </w:r>
      <w:r w:rsidR="003208AF" w:rsidRPr="00CD3A2D">
        <w:rPr>
          <w:rFonts w:asciiTheme="minorHAnsi" w:hAnsiTheme="minorHAnsi" w:cstheme="minorHAnsi"/>
          <w:color w:val="222222"/>
          <w:sz w:val="22"/>
          <w:szCs w:val="22"/>
          <w:lang w:val="hr-HR"/>
        </w:rPr>
        <w:t>,</w:t>
      </w:r>
      <w:r w:rsidRPr="00CD3A2D">
        <w:rPr>
          <w:rFonts w:asciiTheme="minorHAnsi" w:hAnsiTheme="minorHAnsi" w:cstheme="minorHAnsi"/>
          <w:color w:val="222222"/>
          <w:sz w:val="22"/>
          <w:szCs w:val="22"/>
          <w:lang w:val="hr-HR"/>
        </w:rPr>
        <w:t xml:space="preserve"> priznaje se kao zasebna imovina ili obvez</w:t>
      </w:r>
      <w:r w:rsidR="003208AF" w:rsidRPr="00CD3A2D">
        <w:rPr>
          <w:rFonts w:asciiTheme="minorHAnsi" w:hAnsiTheme="minorHAnsi" w:cstheme="minorHAnsi"/>
          <w:color w:val="222222"/>
          <w:sz w:val="22"/>
          <w:szCs w:val="22"/>
          <w:lang w:val="hr-HR"/>
        </w:rPr>
        <w:t>e</w:t>
      </w:r>
      <w:r w:rsidRPr="00CD3A2D">
        <w:rPr>
          <w:rFonts w:asciiTheme="minorHAnsi" w:hAnsiTheme="minorHAnsi" w:cstheme="minorHAnsi"/>
          <w:color w:val="222222"/>
          <w:sz w:val="22"/>
          <w:szCs w:val="22"/>
          <w:lang w:val="hr-HR"/>
        </w:rPr>
        <w:t>.</w:t>
      </w:r>
    </w:p>
    <w:p w:rsidR="001379B9" w:rsidRPr="00CD3A2D" w:rsidRDefault="001379B9" w:rsidP="001379B9">
      <w:pPr>
        <w:jc w:val="both"/>
        <w:rPr>
          <w:rFonts w:asciiTheme="minorHAnsi" w:hAnsiTheme="minorHAnsi" w:cstheme="minorHAnsi"/>
          <w:bCs/>
          <w:sz w:val="22"/>
          <w:szCs w:val="22"/>
          <w:lang w:val="hr-HR"/>
        </w:rPr>
      </w:pPr>
    </w:p>
    <w:p w:rsidR="001379B9" w:rsidRPr="00CD3A2D" w:rsidRDefault="003208AF" w:rsidP="001379B9">
      <w:pPr>
        <w:jc w:val="both"/>
        <w:rPr>
          <w:rFonts w:ascii="Calibri" w:hAnsi="Calibri" w:cs="Calibri"/>
          <w:bCs/>
          <w:sz w:val="22"/>
          <w:szCs w:val="22"/>
          <w:lang w:val="hr-HR"/>
        </w:rPr>
      </w:pPr>
      <w:r w:rsidRPr="00CD3A2D">
        <w:rPr>
          <w:rFonts w:ascii="Calibri" w:hAnsi="Calibri" w:cs="Calibri"/>
          <w:bCs/>
          <w:sz w:val="22"/>
          <w:szCs w:val="22"/>
          <w:lang w:val="hr-HR"/>
        </w:rPr>
        <w:t>Financijske obveze</w:t>
      </w:r>
    </w:p>
    <w:p w:rsidR="003208AF" w:rsidRPr="00CD3A2D" w:rsidRDefault="003208AF" w:rsidP="001379B9">
      <w:pPr>
        <w:jc w:val="both"/>
        <w:rPr>
          <w:rFonts w:asciiTheme="minorHAnsi" w:hAnsiTheme="minorHAnsi"/>
          <w:color w:val="222222"/>
          <w:sz w:val="22"/>
          <w:szCs w:val="22"/>
          <w:lang w:val="hr-HR"/>
        </w:rPr>
      </w:pPr>
      <w:r w:rsidRPr="00CD3A2D">
        <w:rPr>
          <w:rFonts w:asciiTheme="minorHAnsi" w:hAnsiTheme="minorHAnsi"/>
          <w:color w:val="222222"/>
          <w:sz w:val="22"/>
          <w:szCs w:val="22"/>
          <w:lang w:val="hr-HR"/>
        </w:rPr>
        <w:t>Financijska obveza prestaje se priznavati kada je obveza podmirena, otkazana ili istekla.</w:t>
      </w:r>
    </w:p>
    <w:p w:rsidR="001379B9" w:rsidRPr="00CD3A2D" w:rsidRDefault="001379B9" w:rsidP="001379B9">
      <w:pPr>
        <w:tabs>
          <w:tab w:val="left" w:pos="426"/>
        </w:tabs>
        <w:jc w:val="both"/>
        <w:rPr>
          <w:rFonts w:asciiTheme="minorHAnsi" w:eastAsia="PMingLiU" w:hAnsiTheme="minorHAnsi" w:cstheme="minorHAnsi"/>
          <w:sz w:val="22"/>
          <w:szCs w:val="22"/>
          <w:lang w:val="hr-HR" w:eastAsia="hr-HR" w:bidi="hr-HR"/>
        </w:rPr>
      </w:pPr>
    </w:p>
    <w:p w:rsidR="001379B9" w:rsidRPr="00CD3A2D" w:rsidRDefault="001379B9" w:rsidP="005A4073">
      <w:pPr>
        <w:jc w:val="both"/>
        <w:rPr>
          <w:rFonts w:asciiTheme="minorHAnsi" w:hAnsiTheme="minorHAnsi"/>
          <w:color w:val="222222"/>
          <w:sz w:val="22"/>
          <w:szCs w:val="22"/>
          <w:lang w:val="hr-HR"/>
        </w:rPr>
        <w:sectPr w:rsidR="001379B9" w:rsidRPr="00CD3A2D" w:rsidSect="000D6913">
          <w:pgSz w:w="11907" w:h="16840" w:code="9"/>
          <w:pgMar w:top="1418" w:right="1134" w:bottom="1134" w:left="1418" w:header="851" w:footer="851" w:gutter="0"/>
          <w:cols w:space="720"/>
          <w:noEndnote/>
        </w:sectPr>
      </w:pPr>
    </w:p>
    <w:p w:rsidR="00161A3F" w:rsidRPr="001567C8" w:rsidRDefault="00161A3F" w:rsidP="00161A3F">
      <w:pPr>
        <w:jc w:val="both"/>
        <w:rPr>
          <w:rFonts w:asciiTheme="minorHAnsi" w:hAnsiTheme="minorHAnsi" w:cs="Arial"/>
          <w:b/>
          <w:sz w:val="22"/>
          <w:szCs w:val="22"/>
          <w:lang w:val="hr-HR"/>
        </w:rPr>
      </w:pPr>
    </w:p>
    <w:p w:rsidR="00161A3F" w:rsidRPr="00CD3A2D" w:rsidRDefault="00161A3F" w:rsidP="00161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161A3F" w:rsidRPr="00CD3A2D" w:rsidRDefault="00161A3F" w:rsidP="00161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161A3F" w:rsidRPr="00CD3A2D" w:rsidRDefault="00161A3F" w:rsidP="00161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161A3F" w:rsidRPr="001567C8" w:rsidRDefault="00161A3F" w:rsidP="00161A3F">
      <w:pPr>
        <w:jc w:val="both"/>
        <w:rPr>
          <w:rFonts w:asciiTheme="minorHAnsi" w:hAnsiTheme="minorHAnsi" w:cstheme="minorHAnsi"/>
          <w:b/>
          <w:sz w:val="22"/>
          <w:szCs w:val="22"/>
          <w:lang w:val="hr-HR"/>
        </w:rPr>
      </w:pPr>
    </w:p>
    <w:p w:rsidR="00161A3F" w:rsidRPr="00CD3A2D" w:rsidRDefault="00161A3F" w:rsidP="00161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161A3F" w:rsidRPr="001567C8" w:rsidRDefault="00161A3F" w:rsidP="005A4073">
      <w:pPr>
        <w:jc w:val="both"/>
        <w:rPr>
          <w:rFonts w:asciiTheme="minorHAnsi" w:hAnsiTheme="minorHAnsi" w:cs="Arial"/>
          <w:b/>
          <w:sz w:val="22"/>
          <w:szCs w:val="22"/>
          <w:lang w:val="hr-HR"/>
        </w:rPr>
      </w:pPr>
    </w:p>
    <w:p w:rsidR="00161A3F" w:rsidRPr="001567C8" w:rsidRDefault="00161A3F" w:rsidP="005A4073">
      <w:pPr>
        <w:jc w:val="both"/>
        <w:rPr>
          <w:rFonts w:asciiTheme="minorHAnsi" w:hAnsiTheme="minorHAnsi" w:cs="Arial"/>
          <w:b/>
          <w:i/>
          <w:sz w:val="22"/>
          <w:szCs w:val="22"/>
          <w:lang w:val="hr-HR"/>
        </w:rPr>
      </w:pPr>
      <w:r w:rsidRPr="001567C8">
        <w:rPr>
          <w:rFonts w:asciiTheme="minorHAnsi" w:hAnsiTheme="minorHAnsi" w:cs="Arial"/>
          <w:b/>
          <w:i/>
          <w:sz w:val="22"/>
          <w:szCs w:val="22"/>
          <w:lang w:val="hr-HR"/>
        </w:rPr>
        <w:t>vi. Modifikacija financijske imovine</w:t>
      </w:r>
    </w:p>
    <w:p w:rsidR="00161A3F" w:rsidRPr="001567C8" w:rsidRDefault="00161A3F">
      <w:pPr>
        <w:jc w:val="both"/>
        <w:rPr>
          <w:rFonts w:asciiTheme="minorHAnsi" w:hAnsiTheme="minorHAnsi" w:cs="Arial"/>
          <w:b/>
          <w:sz w:val="22"/>
          <w:szCs w:val="22"/>
          <w:lang w:val="hr-HR"/>
        </w:rPr>
      </w:pPr>
      <w:r w:rsidRPr="00CD3A2D">
        <w:rPr>
          <w:rFonts w:asciiTheme="minorHAnsi" w:hAnsiTheme="minorHAnsi" w:cstheme="minorHAnsi"/>
          <w:i/>
          <w:sz w:val="22"/>
          <w:szCs w:val="22"/>
          <w:lang w:val="hr-HR" w:eastAsia="hr-HR"/>
        </w:rPr>
        <w:t>Politika primjenjiva od 1. siječnja 2018. godine</w:t>
      </w:r>
    </w:p>
    <w:p w:rsidR="00381A59" w:rsidRPr="00CD3A2D" w:rsidRDefault="00381A59" w:rsidP="00381A59">
      <w:pPr>
        <w:jc w:val="both"/>
        <w:rPr>
          <w:rFonts w:asciiTheme="minorHAnsi" w:hAnsiTheme="minorHAnsi" w:cs="Arial"/>
          <w:sz w:val="22"/>
          <w:szCs w:val="22"/>
          <w:lang w:val="hr-HR"/>
        </w:rPr>
      </w:pPr>
    </w:p>
    <w:p w:rsidR="00AD363B" w:rsidRPr="00CD3A2D" w:rsidRDefault="00AD363B">
      <w:pPr>
        <w:jc w:val="both"/>
        <w:rPr>
          <w:rFonts w:asciiTheme="minorHAnsi" w:hAnsiTheme="minorHAnsi" w:cs="Arial"/>
          <w:sz w:val="22"/>
          <w:szCs w:val="22"/>
          <w:lang w:val="hr-HR"/>
        </w:rPr>
      </w:pPr>
      <w:r w:rsidRPr="00CD3A2D">
        <w:rPr>
          <w:rFonts w:asciiTheme="minorHAnsi" w:hAnsiTheme="minorHAnsi" w:cs="Arial"/>
          <w:sz w:val="22"/>
          <w:szCs w:val="22"/>
          <w:lang w:val="hr-HR"/>
        </w:rPr>
        <w:t xml:space="preserve">Modifikacija financijske imovine je svaka izmjena ugovornih odredbi koja rezultira izmjenom ugovorenih novčanih tokova. U slučaju kada modifikacija nije značajna, izmjena ugovornih odredbi ne dovodi do prestanka priznavanja te financijske imovine, već se utvrđuje nova bruto knjigovodstvena vrijednost kao sadašnja vrijednost modificiranih ugovornih novčanih tokova diskontiranih izvornom EKS. </w:t>
      </w:r>
    </w:p>
    <w:p w:rsidR="00AD363B" w:rsidRPr="00CD3A2D" w:rsidRDefault="00AD363B">
      <w:pPr>
        <w:jc w:val="both"/>
        <w:rPr>
          <w:rFonts w:asciiTheme="minorHAnsi" w:hAnsiTheme="minorHAnsi" w:cs="Arial"/>
          <w:sz w:val="22"/>
          <w:szCs w:val="22"/>
          <w:lang w:val="hr-HR"/>
        </w:rPr>
      </w:pPr>
      <w:r w:rsidRPr="00CD3A2D">
        <w:rPr>
          <w:rFonts w:asciiTheme="minorHAnsi" w:hAnsiTheme="minorHAnsi" w:cs="Arial"/>
          <w:sz w:val="22"/>
          <w:szCs w:val="22"/>
          <w:lang w:val="hr-HR"/>
        </w:rPr>
        <w:t>Pri tome se razlika između izvorne bruto knjigovodstvene vrijednosti prije modifikacije i bruto knjigovodstvene vrijednosti utvrđene temeljem modificiranih novčanih tokova nakon modifikacije priznaje u izvještaju o dobiti i gubitku kao modifikacijski dobitak ili gubitak.</w:t>
      </w:r>
    </w:p>
    <w:p w:rsidR="00381A59" w:rsidRPr="00CD3A2D" w:rsidRDefault="00381A59" w:rsidP="00381A59">
      <w:pPr>
        <w:jc w:val="both"/>
        <w:rPr>
          <w:rFonts w:asciiTheme="minorHAnsi" w:hAnsiTheme="minorHAnsi" w:cs="Arial"/>
          <w:sz w:val="22"/>
          <w:szCs w:val="22"/>
          <w:lang w:val="hr-HR"/>
        </w:rPr>
      </w:pPr>
    </w:p>
    <w:p w:rsidR="00AD363B" w:rsidRPr="00CD3A2D" w:rsidRDefault="00AD363B">
      <w:pPr>
        <w:jc w:val="both"/>
        <w:rPr>
          <w:rFonts w:asciiTheme="minorHAnsi" w:hAnsiTheme="minorHAnsi" w:cs="Arial"/>
          <w:sz w:val="22"/>
          <w:szCs w:val="22"/>
          <w:lang w:val="hr-HR"/>
        </w:rPr>
      </w:pPr>
      <w:r w:rsidRPr="00CD3A2D">
        <w:rPr>
          <w:rFonts w:asciiTheme="minorHAnsi" w:hAnsiTheme="minorHAnsi" w:cs="Arial"/>
          <w:sz w:val="22"/>
          <w:szCs w:val="22"/>
          <w:lang w:val="hr-HR"/>
        </w:rPr>
        <w:t>U slučaju kada je modifikacija financijske imovine značajna, financijska imovina se prije modifikacije prestaje priznavati te se modificirana financijska imovina ponovno priznaje kao „nova“ financijska imovina i utvrđuje se nova EKS. Datumom početnog priznavanja smatra se datum izmjene ugovornih odredbi.</w:t>
      </w:r>
    </w:p>
    <w:p w:rsidR="001279E4" w:rsidRDefault="001279E4">
      <w:pPr>
        <w:jc w:val="both"/>
        <w:rPr>
          <w:rFonts w:asciiTheme="minorHAnsi" w:hAnsiTheme="minorHAnsi" w:cs="Arial"/>
          <w:sz w:val="22"/>
          <w:szCs w:val="22"/>
          <w:lang w:val="hr-HR"/>
        </w:rPr>
      </w:pPr>
    </w:p>
    <w:p w:rsidR="00AD363B" w:rsidRPr="00CD3A2D" w:rsidRDefault="00AD363B">
      <w:pPr>
        <w:jc w:val="both"/>
        <w:rPr>
          <w:rFonts w:asciiTheme="minorHAnsi" w:hAnsiTheme="minorHAnsi" w:cs="Arial"/>
          <w:sz w:val="22"/>
          <w:szCs w:val="22"/>
          <w:lang w:val="hr-HR"/>
        </w:rPr>
      </w:pPr>
      <w:r w:rsidRPr="00CD3A2D">
        <w:rPr>
          <w:rFonts w:asciiTheme="minorHAnsi" w:hAnsiTheme="minorHAnsi" w:cs="Arial"/>
          <w:sz w:val="22"/>
          <w:szCs w:val="22"/>
          <w:lang w:val="hr-HR"/>
        </w:rPr>
        <w:t>Umanjenje vrijednosti na ponovno priznatu financijsku imovinu priznaje se u iznosu očekivanih kreditnih gubitaka u dvanaestomjesečnom razdoblju (1. stupanj) dok se ne ispune uvjeti za prelazak u 2. stupanj. Ukoliko se utvrdi da je modificirana financijska imovina pri početnom priznavanju umanjena za kreditne gubitke, u tom slučaju financijska imovina se priznaje kao kupljena ili stvorena financijska imovina umanjena za kreditne gubitke (POCI imovina) te se utvrđuje EKS usklađena za kreditni rizik.</w:t>
      </w:r>
    </w:p>
    <w:p w:rsidR="00161A3F" w:rsidRPr="001567C8" w:rsidRDefault="00161A3F">
      <w:pPr>
        <w:jc w:val="both"/>
        <w:rPr>
          <w:rFonts w:asciiTheme="minorHAnsi" w:hAnsiTheme="minorHAnsi" w:cs="Arial"/>
          <w:b/>
          <w:i/>
          <w:sz w:val="22"/>
          <w:szCs w:val="22"/>
          <w:lang w:val="hr-HR"/>
        </w:rPr>
      </w:pPr>
    </w:p>
    <w:p w:rsidR="00AD363B" w:rsidRPr="001567C8" w:rsidRDefault="00AD363B">
      <w:pPr>
        <w:jc w:val="both"/>
        <w:rPr>
          <w:rFonts w:asciiTheme="minorHAnsi" w:hAnsiTheme="minorHAnsi" w:cs="Arial"/>
          <w:b/>
          <w:i/>
          <w:sz w:val="22"/>
          <w:szCs w:val="22"/>
          <w:lang w:val="hr-HR"/>
        </w:rPr>
      </w:pPr>
      <w:r w:rsidRPr="00CD3A2D">
        <w:rPr>
          <w:rFonts w:asciiTheme="minorHAnsi" w:hAnsiTheme="minorHAnsi"/>
          <w:color w:val="222222"/>
          <w:sz w:val="22"/>
          <w:szCs w:val="22"/>
          <w:lang w:val="hr-HR"/>
        </w:rPr>
        <w:t>U svrhu odlučivanja je li modifikacija značajna ili beznačajna, provodi se kvantitativno ispitivanje kako bi se utvrdilo da li je prekoračen prag značajnosti. Bruto knjigovodstvena vrijednost prije i nakon modifikacije se uspoređuju, a novi novčani tokovi diskontiraju se po izvornoj efektivnoj kamatnoj stopi. Kao prag značajnosti kvantitativnih modifikacija koje utječu na izmjenu novčanih tokova, utvrđuje se razlika u visini inicijalnog novčanog toka u odnosu na modificirani novčani tok u iznosu promjene od 10% inicijalnog novčanog toka.</w:t>
      </w:r>
    </w:p>
    <w:p w:rsidR="00161A3F" w:rsidRPr="001567C8" w:rsidRDefault="00161A3F" w:rsidP="005A4073">
      <w:pPr>
        <w:jc w:val="both"/>
        <w:rPr>
          <w:rFonts w:asciiTheme="minorHAnsi" w:hAnsiTheme="minorHAnsi" w:cs="Arial"/>
          <w:b/>
          <w:sz w:val="22"/>
          <w:szCs w:val="22"/>
          <w:lang w:val="hr-HR"/>
        </w:rPr>
      </w:pPr>
    </w:p>
    <w:p w:rsidR="00EE562D" w:rsidRPr="00CD3A2D" w:rsidRDefault="00EE562D" w:rsidP="00EE562D">
      <w:pPr>
        <w:jc w:val="both"/>
        <w:rPr>
          <w:rFonts w:asciiTheme="minorHAnsi" w:hAnsiTheme="minorHAnsi" w:cs="Arial"/>
          <w:b/>
          <w:bCs/>
          <w:sz w:val="22"/>
          <w:szCs w:val="22"/>
          <w:lang w:val="hr-HR"/>
        </w:rPr>
      </w:pPr>
      <w:r w:rsidRPr="00CD3A2D">
        <w:rPr>
          <w:rFonts w:asciiTheme="minorHAnsi" w:hAnsiTheme="minorHAnsi" w:cs="Arial"/>
          <w:b/>
          <w:bCs/>
          <w:sz w:val="22"/>
          <w:szCs w:val="22"/>
          <w:lang w:val="hr-HR"/>
        </w:rPr>
        <w:t>vii. Kupljena ili stvorena financijska imovina umanjena za kreditne gubitke (POCI imovina)</w:t>
      </w:r>
    </w:p>
    <w:p w:rsidR="00EE562D" w:rsidRPr="001567C8" w:rsidRDefault="00EE562D" w:rsidP="00EE562D">
      <w:pPr>
        <w:jc w:val="both"/>
        <w:rPr>
          <w:rFonts w:asciiTheme="minorHAnsi" w:hAnsiTheme="minorHAnsi" w:cs="Arial"/>
          <w:b/>
          <w:sz w:val="22"/>
          <w:szCs w:val="22"/>
          <w:lang w:val="hr-HR"/>
        </w:rPr>
      </w:pPr>
      <w:r w:rsidRPr="00CD3A2D">
        <w:rPr>
          <w:rFonts w:asciiTheme="minorHAnsi" w:hAnsiTheme="minorHAnsi" w:cstheme="minorHAnsi"/>
          <w:i/>
          <w:sz w:val="22"/>
          <w:szCs w:val="22"/>
          <w:lang w:val="hr-HR" w:eastAsia="hr-HR"/>
        </w:rPr>
        <w:t>Politika primjenjiva od 1. siječnja 2018. godine</w:t>
      </w:r>
    </w:p>
    <w:p w:rsidR="00EE562D" w:rsidRPr="00CD3A2D" w:rsidRDefault="00EE562D" w:rsidP="003C6BA3">
      <w:pPr>
        <w:tabs>
          <w:tab w:val="left" w:pos="426"/>
        </w:tabs>
        <w:jc w:val="both"/>
        <w:rPr>
          <w:rFonts w:asciiTheme="minorHAnsi" w:hAnsiTheme="minorHAnsi" w:cs="Arial"/>
          <w:b/>
          <w:bCs/>
          <w:sz w:val="22"/>
          <w:szCs w:val="22"/>
          <w:lang w:val="hr-HR"/>
        </w:rPr>
      </w:pPr>
    </w:p>
    <w:p w:rsidR="00EE562D" w:rsidRPr="00CD3A2D" w:rsidRDefault="00EE562D" w:rsidP="003C6BA3">
      <w:pPr>
        <w:tabs>
          <w:tab w:val="left" w:pos="426"/>
        </w:tabs>
        <w:jc w:val="both"/>
        <w:rPr>
          <w:rFonts w:asciiTheme="minorHAnsi" w:hAnsiTheme="minorHAnsi" w:cs="Arial"/>
          <w:bCs/>
          <w:sz w:val="22"/>
          <w:szCs w:val="22"/>
          <w:lang w:val="hr-HR"/>
        </w:rPr>
      </w:pPr>
      <w:r w:rsidRPr="00CD3A2D">
        <w:rPr>
          <w:rFonts w:asciiTheme="minorHAnsi" w:hAnsiTheme="minorHAnsi" w:cs="Arial"/>
          <w:bCs/>
          <w:sz w:val="22"/>
          <w:szCs w:val="22"/>
          <w:lang w:val="hr-HR"/>
        </w:rPr>
        <w:t>POCI imovina je financijska imovina kod koje pri početnom priznavanju postoje objektivni dokazi o umanjenju za kreditne gubitke, zato što je kreditni rizik stvorene, odnosno izdane imovine vrlo visok ili je, u slučaju kupnje, ista nabavljena s velikim diskontom.</w:t>
      </w:r>
    </w:p>
    <w:p w:rsidR="00EE562D" w:rsidRPr="00CD3A2D" w:rsidRDefault="00EE562D" w:rsidP="003C6BA3">
      <w:pPr>
        <w:tabs>
          <w:tab w:val="left" w:pos="426"/>
        </w:tabs>
        <w:jc w:val="both"/>
        <w:rPr>
          <w:rFonts w:asciiTheme="minorHAnsi" w:hAnsiTheme="minorHAnsi" w:cs="Arial"/>
          <w:bCs/>
          <w:sz w:val="22"/>
          <w:szCs w:val="22"/>
          <w:lang w:val="hr-HR"/>
        </w:rPr>
      </w:pPr>
      <w:r w:rsidRPr="00CD3A2D">
        <w:rPr>
          <w:rFonts w:asciiTheme="minorHAnsi" w:hAnsiTheme="minorHAnsi" w:cs="Arial"/>
          <w:bCs/>
          <w:sz w:val="22"/>
          <w:szCs w:val="22"/>
          <w:lang w:val="hr-HR"/>
        </w:rPr>
        <w:t>Pri početnom priznavanju se očekivani kreditni gubici uključuju u fer vrijednost POCI imovine pa su rezervacije za umanjenje vrijednosti jednake nuli.</w:t>
      </w:r>
    </w:p>
    <w:p w:rsidR="00EE562D" w:rsidRPr="00CD3A2D" w:rsidRDefault="00EE562D" w:rsidP="003C6BA3">
      <w:pPr>
        <w:tabs>
          <w:tab w:val="left" w:pos="426"/>
        </w:tabs>
        <w:jc w:val="both"/>
        <w:rPr>
          <w:rFonts w:asciiTheme="minorHAnsi" w:hAnsiTheme="minorHAnsi" w:cs="Arial"/>
          <w:bCs/>
          <w:sz w:val="22"/>
          <w:szCs w:val="22"/>
          <w:lang w:val="hr-HR"/>
        </w:rPr>
      </w:pPr>
      <w:r w:rsidRPr="00CD3A2D">
        <w:rPr>
          <w:rFonts w:asciiTheme="minorHAnsi" w:hAnsiTheme="minorHAnsi" w:cs="Arial"/>
          <w:bCs/>
          <w:sz w:val="22"/>
          <w:szCs w:val="22"/>
          <w:lang w:val="hr-HR"/>
        </w:rPr>
        <w:t>Na datum izvještavanja kao rezervacije za umanjenje vrijednosti POCI imovine priznaju se samo kumulativne promjene očekivanih kreditnih gubitaka tijekom vijeka trajanja do kojih dođe nakon početnog priznavanja POCI imovine.</w:t>
      </w:r>
    </w:p>
    <w:p w:rsidR="00EE562D" w:rsidRPr="00CD3A2D" w:rsidRDefault="00EE562D" w:rsidP="00EE562D">
      <w:pPr>
        <w:tabs>
          <w:tab w:val="left" w:pos="426"/>
        </w:tabs>
        <w:jc w:val="both"/>
        <w:rPr>
          <w:rFonts w:asciiTheme="minorHAnsi" w:hAnsiTheme="minorHAnsi" w:cs="Arial"/>
          <w:bCs/>
          <w:sz w:val="22"/>
          <w:szCs w:val="22"/>
          <w:lang w:val="hr-HR"/>
        </w:rPr>
      </w:pPr>
    </w:p>
    <w:p w:rsidR="00EE562D" w:rsidRPr="001567C8" w:rsidRDefault="00EE562D" w:rsidP="003C6BA3">
      <w:pPr>
        <w:tabs>
          <w:tab w:val="left" w:pos="426"/>
        </w:tabs>
        <w:jc w:val="both"/>
        <w:rPr>
          <w:rFonts w:asciiTheme="minorHAnsi" w:hAnsiTheme="minorHAnsi" w:cs="Arial"/>
          <w:b/>
          <w:sz w:val="22"/>
          <w:szCs w:val="22"/>
          <w:lang w:val="hr-HR"/>
        </w:rPr>
      </w:pPr>
      <w:r w:rsidRPr="00CD3A2D">
        <w:rPr>
          <w:rFonts w:asciiTheme="minorHAnsi" w:hAnsiTheme="minorHAnsi" w:cs="Arial"/>
          <w:bCs/>
          <w:sz w:val="22"/>
          <w:szCs w:val="22"/>
          <w:lang w:val="hr-HR"/>
        </w:rPr>
        <w:t>Kod ove imovine se, za potrebe izračuna umanjenja vrijednosti, uvijek priznaju očekivani kreditni gubici tijekom vijeka trajanja imovine.</w:t>
      </w:r>
      <w:r w:rsidR="006211EF" w:rsidRPr="00CD3A2D">
        <w:rPr>
          <w:rFonts w:asciiTheme="minorHAnsi" w:hAnsiTheme="minorHAnsi" w:cs="Arial"/>
          <w:bCs/>
          <w:sz w:val="22"/>
          <w:szCs w:val="22"/>
          <w:lang w:val="hr-HR"/>
        </w:rPr>
        <w:t xml:space="preserve"> </w:t>
      </w:r>
      <w:r w:rsidRPr="00CD3A2D">
        <w:rPr>
          <w:rFonts w:asciiTheme="minorHAnsi" w:hAnsiTheme="minorHAnsi" w:cs="Arial"/>
          <w:bCs/>
          <w:sz w:val="22"/>
          <w:szCs w:val="22"/>
          <w:lang w:val="hr-HR"/>
        </w:rPr>
        <w:t>POCI imovina ostaje alocirana u 3. stupnju do prestanka priznavanja.</w:t>
      </w:r>
    </w:p>
    <w:p w:rsidR="00161A3F" w:rsidRPr="001567C8" w:rsidRDefault="00161A3F" w:rsidP="005A4073">
      <w:pPr>
        <w:jc w:val="both"/>
        <w:rPr>
          <w:rFonts w:asciiTheme="minorHAnsi" w:hAnsiTheme="minorHAnsi" w:cs="Arial"/>
          <w:b/>
          <w:sz w:val="22"/>
          <w:szCs w:val="22"/>
          <w:lang w:val="hr-HR"/>
        </w:rPr>
        <w:sectPr w:rsidR="00161A3F" w:rsidRPr="001567C8" w:rsidSect="000D6913">
          <w:pgSz w:w="11907" w:h="16840" w:code="9"/>
          <w:pgMar w:top="1418" w:right="1134" w:bottom="1134" w:left="1418" w:header="851" w:footer="851" w:gutter="0"/>
          <w:cols w:space="720"/>
          <w:noEndnote/>
        </w:sectPr>
      </w:pPr>
    </w:p>
    <w:p w:rsidR="00010DD5" w:rsidRPr="00CD3A2D"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010DD5" w:rsidRPr="00CD3A2D"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010DD5" w:rsidRPr="00CD3A2D"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010DD5" w:rsidRPr="00CD3A2D"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010DD5" w:rsidRPr="001567C8" w:rsidRDefault="00010DD5" w:rsidP="00010DD5">
      <w:pPr>
        <w:jc w:val="both"/>
        <w:rPr>
          <w:rFonts w:asciiTheme="minorHAnsi" w:hAnsiTheme="minorHAnsi" w:cstheme="minorHAnsi"/>
          <w:b/>
          <w:sz w:val="18"/>
          <w:szCs w:val="18"/>
          <w:lang w:val="hr-HR"/>
        </w:rPr>
      </w:pPr>
    </w:p>
    <w:p w:rsidR="00010DD5" w:rsidRPr="00CD3A2D"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010DD5" w:rsidRPr="001567C8" w:rsidRDefault="00010DD5" w:rsidP="00010DD5">
      <w:pPr>
        <w:jc w:val="both"/>
        <w:rPr>
          <w:rFonts w:asciiTheme="minorHAnsi" w:hAnsiTheme="minorHAnsi" w:cs="Arial"/>
          <w:b/>
          <w:sz w:val="18"/>
          <w:szCs w:val="18"/>
          <w:lang w:val="hr-HR"/>
        </w:rPr>
      </w:pPr>
    </w:p>
    <w:p w:rsidR="00E3172D" w:rsidRPr="001567C8" w:rsidRDefault="00E3172D" w:rsidP="00010DD5">
      <w:pPr>
        <w:jc w:val="both"/>
        <w:rPr>
          <w:rFonts w:asciiTheme="minorHAnsi" w:hAnsiTheme="minorHAnsi" w:cs="Arial"/>
          <w:b/>
          <w:i/>
          <w:sz w:val="22"/>
          <w:szCs w:val="22"/>
          <w:lang w:val="hr-HR"/>
        </w:rPr>
      </w:pPr>
      <w:r w:rsidRPr="001567C8">
        <w:rPr>
          <w:rFonts w:asciiTheme="minorHAnsi" w:hAnsiTheme="minorHAnsi" w:cs="Arial"/>
          <w:b/>
          <w:i/>
          <w:sz w:val="22"/>
          <w:szCs w:val="22"/>
          <w:lang w:val="hr-HR"/>
        </w:rPr>
        <w:t>viii. Mjerenje fer vrijednosti</w:t>
      </w:r>
    </w:p>
    <w:p w:rsidR="00E3172D" w:rsidRPr="001567C8" w:rsidRDefault="00E3172D" w:rsidP="00010DD5">
      <w:pPr>
        <w:jc w:val="both"/>
        <w:rPr>
          <w:rFonts w:asciiTheme="minorHAnsi" w:hAnsiTheme="minorHAnsi" w:cs="Arial"/>
          <w:b/>
          <w:sz w:val="18"/>
          <w:szCs w:val="18"/>
          <w:lang w:val="hr-HR"/>
        </w:rPr>
      </w:pPr>
    </w:p>
    <w:p w:rsidR="00762B47" w:rsidRPr="001567C8" w:rsidRDefault="00762B47" w:rsidP="005A4073">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Fer vrijednost je cijena koja bi bila ostvarena na datum mjerenja prodajom neke stavke imovine ili plaćena za prijenos neke obveze Grupe u urednoj transakciji na glavnom, odnosno najpovoljnijem tržištu pod postojećim tržišnim uvjetima. </w:t>
      </w:r>
    </w:p>
    <w:p w:rsidR="009C51FE" w:rsidRPr="001567C8" w:rsidRDefault="009C51FE" w:rsidP="0078611A">
      <w:pPr>
        <w:jc w:val="both"/>
        <w:rPr>
          <w:rFonts w:asciiTheme="minorHAnsi" w:hAnsiTheme="minorHAnsi" w:cs="Arial"/>
          <w:sz w:val="18"/>
          <w:szCs w:val="18"/>
          <w:lang w:val="hr-HR"/>
        </w:rPr>
      </w:pPr>
    </w:p>
    <w:p w:rsidR="00762B47" w:rsidRPr="001567C8" w:rsidRDefault="00762B47" w:rsidP="0078611A">
      <w:pPr>
        <w:jc w:val="both"/>
        <w:rPr>
          <w:rFonts w:asciiTheme="minorHAnsi" w:hAnsiTheme="minorHAnsi" w:cs="Arial"/>
          <w:bCs/>
          <w:sz w:val="22"/>
          <w:szCs w:val="22"/>
          <w:lang w:val="hr-HR"/>
        </w:rPr>
      </w:pPr>
      <w:r w:rsidRPr="001567C8">
        <w:rPr>
          <w:rFonts w:asciiTheme="minorHAnsi" w:hAnsiTheme="minorHAnsi" w:cs="Arial"/>
          <w:bCs/>
          <w:sz w:val="22"/>
          <w:szCs w:val="22"/>
          <w:lang w:val="hr-HR"/>
        </w:rPr>
        <w:t>Osnovnu cijenu predstavlja izlazna cijena, neovisno o tome da li je ona neposredno vidljiva ili procijenjena nekom drugom metodom vrednovanja.</w:t>
      </w:r>
    </w:p>
    <w:p w:rsidR="009C51FE" w:rsidRPr="001567C8" w:rsidRDefault="009C51FE" w:rsidP="0078611A">
      <w:pPr>
        <w:jc w:val="both"/>
        <w:rPr>
          <w:rFonts w:asciiTheme="minorHAnsi" w:hAnsiTheme="minorHAnsi" w:cs="Arial"/>
          <w:bCs/>
          <w:sz w:val="18"/>
          <w:szCs w:val="18"/>
          <w:lang w:val="hr-HR"/>
        </w:rPr>
      </w:pPr>
    </w:p>
    <w:p w:rsidR="00762B47" w:rsidRPr="001567C8" w:rsidRDefault="00762B47" w:rsidP="00E266C9">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Pri početnom priznavanju, kad je neka stavka financijske imovine stečena ili neka obveza preuzeta u razmjeni za tu stavku imovine, odnosno obvezu, transakcijska cijena je cijena plaćena za stjecanje predmetne stavke imovine, odnosno primljena za preuzimanje predmetne obveze (ulazna cijena). </w:t>
      </w:r>
    </w:p>
    <w:p w:rsidR="009C51FE" w:rsidRPr="001567C8" w:rsidRDefault="009C51FE" w:rsidP="001D233C">
      <w:pPr>
        <w:jc w:val="both"/>
        <w:rPr>
          <w:rFonts w:asciiTheme="minorHAnsi" w:hAnsiTheme="minorHAnsi" w:cs="Arial"/>
          <w:sz w:val="18"/>
          <w:szCs w:val="18"/>
          <w:lang w:val="hr-HR"/>
        </w:rPr>
      </w:pPr>
    </w:p>
    <w:p w:rsidR="00762B47" w:rsidRPr="001567C8" w:rsidRDefault="00762B47" w:rsidP="00014EE0">
      <w:pPr>
        <w:pStyle w:val="accountingpolicytitle"/>
        <w:rPr>
          <w:rFonts w:asciiTheme="minorHAnsi" w:hAnsiTheme="minorHAnsi" w:cs="Arial"/>
          <w:b w:val="0"/>
          <w:sz w:val="22"/>
          <w:szCs w:val="22"/>
          <w:lang w:val="hr-HR"/>
        </w:rPr>
      </w:pPr>
      <w:r w:rsidRPr="001567C8">
        <w:rPr>
          <w:rFonts w:asciiTheme="minorHAnsi" w:hAnsiTheme="minorHAnsi" w:cs="Arial"/>
          <w:b w:val="0"/>
          <w:sz w:val="22"/>
          <w:szCs w:val="22"/>
          <w:lang w:val="hr-HR"/>
        </w:rPr>
        <w:t>Fer vrijednost imovine ili obveze je cijena koja bi bila ostvarena prodajom imovine, odnosno plaćena za prijenos obveze (izlazna cijena).</w:t>
      </w:r>
    </w:p>
    <w:p w:rsidR="009C51FE" w:rsidRPr="001567C8" w:rsidRDefault="009C51FE">
      <w:pPr>
        <w:pStyle w:val="accountingpolicytitle"/>
        <w:rPr>
          <w:rFonts w:asciiTheme="minorHAnsi" w:hAnsiTheme="minorHAnsi" w:cs="Arial"/>
          <w:b w:val="0"/>
          <w:sz w:val="18"/>
          <w:szCs w:val="18"/>
          <w:lang w:val="hr-HR"/>
        </w:rPr>
      </w:pPr>
    </w:p>
    <w:p w:rsidR="0097205E" w:rsidRPr="001567C8" w:rsidRDefault="00762B47">
      <w:pPr>
        <w:jc w:val="both"/>
        <w:rPr>
          <w:rFonts w:asciiTheme="minorHAnsi" w:hAnsiTheme="minorHAnsi" w:cs="Arial"/>
          <w:sz w:val="22"/>
          <w:szCs w:val="22"/>
          <w:lang w:val="hr-HR"/>
        </w:rPr>
      </w:pPr>
      <w:r w:rsidRPr="001567C8">
        <w:rPr>
          <w:rFonts w:asciiTheme="minorHAnsi" w:hAnsiTheme="minorHAnsi" w:cs="Arial"/>
          <w:sz w:val="22"/>
          <w:szCs w:val="22"/>
          <w:lang w:val="hr-HR"/>
        </w:rPr>
        <w:t>Ako odredbe nekog MSFI-ja ili zakonske odredbe propisuju ili dopuštaju mjerenje neke stavke imovine ili obveze kod prvog knjiženja po fer vrijednosti i ako se u tome slučaju transakcijska cijena razlikuje od fer vrijednosti, Grupa tako nastale dobitke i gubitke uračunava u dobit i gubitak, osim ako nije propisano drugačije.</w:t>
      </w:r>
    </w:p>
    <w:p w:rsidR="009C51FE" w:rsidRPr="001567C8" w:rsidRDefault="009C51FE">
      <w:pPr>
        <w:jc w:val="both"/>
        <w:rPr>
          <w:rFonts w:asciiTheme="minorHAnsi" w:hAnsiTheme="minorHAnsi" w:cs="Arial"/>
          <w:sz w:val="18"/>
          <w:szCs w:val="18"/>
          <w:lang w:val="hr-HR"/>
        </w:rPr>
      </w:pPr>
    </w:p>
    <w:p w:rsidR="00427C1D" w:rsidRPr="001567C8" w:rsidRDefault="00427C1D">
      <w:pPr>
        <w:jc w:val="both"/>
        <w:rPr>
          <w:rFonts w:asciiTheme="minorHAnsi" w:hAnsiTheme="minorHAnsi" w:cs="Arial"/>
          <w:bCs/>
          <w:sz w:val="22"/>
          <w:szCs w:val="22"/>
          <w:lang w:val="hr-HR"/>
        </w:rPr>
      </w:pPr>
      <w:r w:rsidRPr="001567C8">
        <w:rPr>
          <w:rFonts w:asciiTheme="minorHAnsi" w:hAnsiTheme="minorHAnsi" w:cs="Arial"/>
          <w:bCs/>
          <w:sz w:val="22"/>
          <w:szCs w:val="22"/>
          <w:lang w:val="hr-HR"/>
        </w:rPr>
        <w:t>Pri utvrđivanju fer vrijednosti Grupa koristi što više relevantnih vidljivih ulaznih podataka, a što manje ulaznih podataka koji nisu vidljivi.</w:t>
      </w:r>
    </w:p>
    <w:p w:rsidR="009C51FE" w:rsidRPr="001567C8" w:rsidRDefault="009C51FE">
      <w:pPr>
        <w:jc w:val="both"/>
        <w:rPr>
          <w:rFonts w:asciiTheme="minorHAnsi" w:hAnsiTheme="minorHAnsi" w:cs="Arial"/>
          <w:bCs/>
          <w:sz w:val="18"/>
          <w:szCs w:val="18"/>
          <w:lang w:val="hr-HR"/>
        </w:rPr>
      </w:pPr>
    </w:p>
    <w:p w:rsidR="00427C1D" w:rsidRPr="001567C8" w:rsidRDefault="00427C1D">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Grupa odabire ulazne podatke prema obilježjima stavke imovine ili obveze koje bi tržišni sudionici uzeli u obzir u transakciji predmetnom imovinom, odnosno obvezom. </w:t>
      </w:r>
    </w:p>
    <w:p w:rsidR="009C51FE" w:rsidRPr="001567C8" w:rsidRDefault="009C51FE">
      <w:pPr>
        <w:jc w:val="both"/>
        <w:rPr>
          <w:rFonts w:asciiTheme="minorHAnsi" w:hAnsiTheme="minorHAnsi" w:cs="Arial"/>
          <w:sz w:val="18"/>
          <w:szCs w:val="18"/>
          <w:lang w:val="hr-HR"/>
        </w:rPr>
      </w:pPr>
    </w:p>
    <w:p w:rsidR="001A7BE4" w:rsidRPr="001567C8" w:rsidRDefault="00427C1D">
      <w:pPr>
        <w:jc w:val="both"/>
        <w:rPr>
          <w:rFonts w:asciiTheme="minorHAnsi" w:hAnsiTheme="minorHAnsi" w:cs="Arial"/>
          <w:sz w:val="22"/>
          <w:szCs w:val="22"/>
          <w:lang w:val="hr-HR"/>
        </w:rPr>
      </w:pPr>
      <w:r w:rsidRPr="001567C8">
        <w:rPr>
          <w:rFonts w:asciiTheme="minorHAnsi" w:hAnsiTheme="minorHAnsi" w:cs="Arial"/>
          <w:sz w:val="22"/>
          <w:szCs w:val="22"/>
          <w:lang w:val="hr-HR"/>
        </w:rPr>
        <w:t>Ako neka stavka imovine ili neka obveza mjerena po fer vrijednosti ima kupovnu cijenu i prodajnu cijenu (npr. ulazni podatak s dilerskog tržišta), za mjerenje fer vrijednosti koristi se cijena unutar raspona između kupovne i prodajne cijene koja najreprezentativnije odražava fer vrijednost.</w:t>
      </w:r>
    </w:p>
    <w:p w:rsidR="00B61849" w:rsidRPr="001567C8" w:rsidRDefault="00B61849">
      <w:pPr>
        <w:jc w:val="both"/>
        <w:rPr>
          <w:rFonts w:asciiTheme="minorHAnsi" w:hAnsiTheme="minorHAnsi" w:cs="Arial"/>
          <w:sz w:val="18"/>
          <w:szCs w:val="18"/>
          <w:lang w:val="hr-HR"/>
        </w:rPr>
      </w:pPr>
    </w:p>
    <w:p w:rsidR="00F34FE6" w:rsidRPr="001567C8" w:rsidRDefault="00F34FE6">
      <w:pPr>
        <w:jc w:val="both"/>
        <w:rPr>
          <w:rFonts w:asciiTheme="minorHAnsi" w:hAnsiTheme="minorHAnsi" w:cs="Arial"/>
          <w:sz w:val="22"/>
          <w:szCs w:val="22"/>
          <w:lang w:val="hr-HR"/>
        </w:rPr>
      </w:pPr>
      <w:r w:rsidRPr="001567C8">
        <w:rPr>
          <w:rFonts w:asciiTheme="minorHAnsi" w:hAnsiTheme="minorHAnsi" w:cs="Arial"/>
          <w:sz w:val="22"/>
          <w:szCs w:val="22"/>
          <w:lang w:val="hr-HR"/>
        </w:rPr>
        <w:t>Sukladno navedenome, knjigovodstveni iznosi novca i stanja na računu kod Hrvatske narodne banke općenito su približno iskazani po njihovim fer vrijednostima.</w:t>
      </w:r>
    </w:p>
    <w:p w:rsidR="00B61849" w:rsidRPr="001567C8" w:rsidRDefault="00B61849">
      <w:pPr>
        <w:jc w:val="both"/>
        <w:rPr>
          <w:rFonts w:asciiTheme="minorHAnsi" w:hAnsiTheme="minorHAnsi" w:cs="Arial"/>
          <w:sz w:val="18"/>
          <w:szCs w:val="18"/>
          <w:lang w:val="hr-HR"/>
        </w:rPr>
      </w:pPr>
    </w:p>
    <w:p w:rsidR="00F34FE6" w:rsidRPr="001567C8" w:rsidRDefault="00F34FE6">
      <w:pPr>
        <w:jc w:val="both"/>
        <w:rPr>
          <w:rFonts w:asciiTheme="minorHAnsi" w:hAnsiTheme="minorHAnsi" w:cs="Arial"/>
          <w:bCs/>
          <w:sz w:val="22"/>
          <w:szCs w:val="22"/>
          <w:lang w:val="hr-HR"/>
        </w:rPr>
      </w:pPr>
      <w:r w:rsidRPr="001567C8">
        <w:rPr>
          <w:rFonts w:asciiTheme="minorHAnsi" w:hAnsiTheme="minorHAnsi" w:cs="Arial"/>
          <w:bCs/>
          <w:sz w:val="22"/>
          <w:szCs w:val="22"/>
          <w:lang w:val="hr-HR"/>
        </w:rPr>
        <w:t>Procijenjena fer vrijednost depozita kod drugih banaka približna je njihovim knjigovodstvenim iznosima, s obzirom da svi iznosi dospijevaju najkasnije do 90 dana.</w:t>
      </w:r>
    </w:p>
    <w:p w:rsidR="00B61849" w:rsidRPr="001567C8" w:rsidRDefault="00B61849">
      <w:pPr>
        <w:jc w:val="both"/>
        <w:rPr>
          <w:rFonts w:asciiTheme="minorHAnsi" w:hAnsiTheme="minorHAnsi" w:cs="Arial"/>
          <w:bCs/>
          <w:sz w:val="18"/>
          <w:szCs w:val="18"/>
          <w:lang w:val="hr-HR"/>
        </w:rPr>
      </w:pPr>
    </w:p>
    <w:p w:rsidR="00F34FE6" w:rsidRPr="001567C8" w:rsidRDefault="00F34FE6">
      <w:pPr>
        <w:jc w:val="both"/>
        <w:rPr>
          <w:rFonts w:asciiTheme="minorHAnsi" w:hAnsiTheme="minorHAnsi" w:cs="Arial"/>
          <w:sz w:val="22"/>
          <w:szCs w:val="22"/>
          <w:lang w:val="hr-HR"/>
        </w:rPr>
      </w:pPr>
      <w:r w:rsidRPr="001567C8">
        <w:rPr>
          <w:rFonts w:asciiTheme="minorHAnsi" w:hAnsiTheme="minorHAnsi" w:cs="Arial"/>
          <w:sz w:val="22"/>
          <w:szCs w:val="22"/>
          <w:lang w:val="hr-HR"/>
        </w:rPr>
        <w:t>Krediti i predujmovi bankama i ostalim klijentima su iskazani u neto vrijednosti, odnosno umanjeni za iznos rezerviranja radi umanjenja vrijednosti. Njihova procijenjena fer vrijednost predstavlja diskontirani iznos procijenjenih očekivanih budućih priljeva novca. Prilikom sagledavanja fer vrijednosti uzima se u obzir i subvencionirana kamata koja je u diskontiranom iznosu prikazana kao odgođeno priznavanje kamatnih prihoda u ostalim obvezama. Kod kredita nastalih u kunama koji su jednosmjernom valutnom klauzulom vezani uz stranu valutu, pri procjeni fer vrijednosti ove opcije primjenjuje se postupak opisan pod „Transakcije u stranim valutama i uz valutnu klauzulu“.</w:t>
      </w:r>
    </w:p>
    <w:p w:rsidR="00A7649D" w:rsidRPr="001567C8" w:rsidRDefault="00A7649D" w:rsidP="009C51FE">
      <w:pPr>
        <w:jc w:val="both"/>
        <w:rPr>
          <w:rFonts w:asciiTheme="minorHAnsi" w:hAnsiTheme="minorHAnsi" w:cs="Arial"/>
          <w:sz w:val="22"/>
          <w:szCs w:val="22"/>
          <w:lang w:val="hr-HR"/>
        </w:rPr>
        <w:sectPr w:rsidR="00A7649D" w:rsidRPr="001567C8" w:rsidSect="000D6913">
          <w:pgSz w:w="11907" w:h="16840" w:code="9"/>
          <w:pgMar w:top="1418" w:right="1134" w:bottom="1134" w:left="1418" w:header="851" w:footer="851" w:gutter="0"/>
          <w:cols w:space="720"/>
          <w:noEndnote/>
        </w:sectPr>
      </w:pPr>
    </w:p>
    <w:p w:rsidR="00F34FE6" w:rsidRPr="001567C8" w:rsidRDefault="00F34FE6" w:rsidP="00F34FE6">
      <w:pPr>
        <w:pStyle w:val="T1"/>
        <w:tabs>
          <w:tab w:val="left" w:pos="567"/>
        </w:tabs>
        <w:spacing w:before="0" w:after="0" w:line="240" w:lineRule="auto"/>
        <w:rPr>
          <w:rFonts w:asciiTheme="minorHAnsi" w:hAnsiTheme="minorHAnsi" w:cs="Arial"/>
          <w:sz w:val="22"/>
          <w:szCs w:val="22"/>
          <w:lang w:val="hr-HR"/>
        </w:rPr>
      </w:pPr>
    </w:p>
    <w:p w:rsidR="00E3172D" w:rsidRPr="00CD3A2D" w:rsidRDefault="00E3172D" w:rsidP="00E317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E3172D" w:rsidRPr="00CD3A2D" w:rsidRDefault="00E3172D" w:rsidP="00E317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E3172D" w:rsidRPr="00CD3A2D" w:rsidRDefault="00E3172D" w:rsidP="00E317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E3172D" w:rsidRPr="001567C8" w:rsidRDefault="00E3172D" w:rsidP="00E3172D">
      <w:pPr>
        <w:jc w:val="both"/>
        <w:rPr>
          <w:rFonts w:asciiTheme="minorHAnsi" w:hAnsiTheme="minorHAnsi" w:cstheme="minorHAnsi"/>
          <w:b/>
          <w:sz w:val="18"/>
          <w:szCs w:val="18"/>
          <w:lang w:val="hr-HR"/>
        </w:rPr>
      </w:pPr>
    </w:p>
    <w:p w:rsidR="00E3172D" w:rsidRPr="00CD3A2D" w:rsidRDefault="00E3172D" w:rsidP="00E317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F34FE6" w:rsidRPr="00CD3A2D" w:rsidRDefault="00F34FE6">
      <w:pPr>
        <w:pStyle w:val="T1"/>
        <w:tabs>
          <w:tab w:val="left" w:pos="567"/>
        </w:tabs>
        <w:spacing w:before="0" w:after="0" w:line="240" w:lineRule="auto"/>
        <w:rPr>
          <w:rFonts w:asciiTheme="minorHAnsi" w:hAnsiTheme="minorHAnsi" w:cs="Arial"/>
          <w:sz w:val="18"/>
          <w:szCs w:val="18"/>
          <w:lang w:val="hr-HR"/>
        </w:rPr>
      </w:pPr>
    </w:p>
    <w:p w:rsidR="001A7BE4" w:rsidRPr="001567C8" w:rsidRDefault="00E3172D">
      <w:pPr>
        <w:pStyle w:val="T1"/>
        <w:tabs>
          <w:tab w:val="left" w:pos="426"/>
        </w:tabs>
        <w:spacing w:before="0" w:after="0" w:line="240" w:lineRule="auto"/>
        <w:rPr>
          <w:rFonts w:asciiTheme="minorHAnsi" w:hAnsiTheme="minorHAnsi" w:cs="Arial"/>
          <w:i/>
          <w:sz w:val="22"/>
          <w:szCs w:val="22"/>
          <w:lang w:val="hr-HR"/>
        </w:rPr>
      </w:pPr>
      <w:r w:rsidRPr="001567C8">
        <w:rPr>
          <w:rFonts w:asciiTheme="minorHAnsi" w:hAnsiTheme="minorHAnsi" w:cs="Arial"/>
          <w:i/>
          <w:sz w:val="22"/>
          <w:szCs w:val="22"/>
          <w:lang w:val="hr-HR"/>
        </w:rPr>
        <w:t xml:space="preserve">viii. </w:t>
      </w:r>
      <w:r w:rsidR="001A7BE4" w:rsidRPr="001567C8">
        <w:rPr>
          <w:rFonts w:asciiTheme="minorHAnsi" w:hAnsiTheme="minorHAnsi" w:cs="Arial"/>
          <w:i/>
          <w:sz w:val="22"/>
          <w:szCs w:val="22"/>
          <w:lang w:val="hr-HR"/>
        </w:rPr>
        <w:t>Mjerenje fer vrijednosti (nastavak)</w:t>
      </w:r>
    </w:p>
    <w:p w:rsidR="00F34FE6" w:rsidRPr="00CD3A2D" w:rsidRDefault="00F34FE6">
      <w:pPr>
        <w:pStyle w:val="T1"/>
        <w:tabs>
          <w:tab w:val="left" w:pos="426"/>
        </w:tabs>
        <w:spacing w:before="0" w:after="0" w:line="240" w:lineRule="auto"/>
        <w:rPr>
          <w:rFonts w:asciiTheme="minorHAnsi" w:hAnsiTheme="minorHAnsi" w:cs="Arial"/>
          <w:sz w:val="16"/>
          <w:szCs w:val="16"/>
          <w:lang w:val="hr-HR"/>
        </w:rPr>
      </w:pPr>
    </w:p>
    <w:p w:rsidR="00762B47" w:rsidRPr="001567C8" w:rsidRDefault="00762B47" w:rsidP="009C3211">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Tržišne cijene za dugoročne kredite koje je Grupa primila nisu dostupne te se njihova fer vrijednost procjenjuje kao sadašnja vrijednost budućih novčanih tokova diskontiranih primjenom važećih kamatnih stopa na datum izvještaja o financijskom položaju za nove kredite sa sličnim uvjetima i preostalim dospijećem. </w:t>
      </w:r>
    </w:p>
    <w:p w:rsidR="00F34FE6" w:rsidRPr="00CD3A2D" w:rsidRDefault="00F34FE6" w:rsidP="009C3211">
      <w:pPr>
        <w:jc w:val="both"/>
        <w:rPr>
          <w:rFonts w:asciiTheme="minorHAnsi" w:hAnsiTheme="minorHAnsi" w:cs="Arial"/>
          <w:sz w:val="18"/>
          <w:szCs w:val="18"/>
          <w:lang w:val="hr-HR"/>
        </w:rPr>
      </w:pPr>
    </w:p>
    <w:p w:rsidR="00762B47" w:rsidRPr="001567C8" w:rsidRDefault="00762B47" w:rsidP="009C3211">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Fer vrijednost obveznica izdanih od strane HBOR-a prezentira se korištenjem ulaznih podataka 2. razine u vidu tržišno potkrijepljenih podataka vidljivih na Bloomberg servisu, korištenjem „Bloomberg Generic prices“ (BGN) mid cijene te je na dan 31. prosinca </w:t>
      </w:r>
      <w:r w:rsidR="00F34FE6" w:rsidRPr="001567C8">
        <w:rPr>
          <w:rFonts w:asciiTheme="minorHAnsi" w:hAnsiTheme="minorHAnsi" w:cs="Arial"/>
          <w:sz w:val="22"/>
          <w:szCs w:val="22"/>
          <w:lang w:val="hr-HR"/>
        </w:rPr>
        <w:t>201</w:t>
      </w:r>
      <w:r w:rsidR="00E3172D" w:rsidRPr="001567C8">
        <w:rPr>
          <w:rFonts w:asciiTheme="minorHAnsi" w:hAnsiTheme="minorHAnsi" w:cs="Arial"/>
          <w:sz w:val="22"/>
          <w:szCs w:val="22"/>
          <w:lang w:val="hr-HR"/>
        </w:rPr>
        <w:t>8</w:t>
      </w:r>
      <w:r w:rsidRPr="001567C8">
        <w:rPr>
          <w:rFonts w:asciiTheme="minorHAnsi" w:hAnsiTheme="minorHAnsi" w:cs="Arial"/>
          <w:sz w:val="22"/>
          <w:szCs w:val="22"/>
          <w:lang w:val="hr-HR"/>
        </w:rPr>
        <w:t xml:space="preserve">. godine iskazana u bilješci </w:t>
      </w:r>
      <w:r w:rsidR="00513086" w:rsidRPr="001567C8">
        <w:rPr>
          <w:rFonts w:asciiTheme="minorHAnsi" w:hAnsiTheme="minorHAnsi" w:cs="Arial"/>
          <w:sz w:val="22"/>
          <w:szCs w:val="22"/>
          <w:lang w:val="hr-HR"/>
        </w:rPr>
        <w:t>29</w:t>
      </w:r>
      <w:r w:rsidRPr="001567C8">
        <w:rPr>
          <w:rFonts w:asciiTheme="minorHAnsi" w:hAnsiTheme="minorHAnsi" w:cs="Arial"/>
          <w:sz w:val="22"/>
          <w:szCs w:val="22"/>
          <w:lang w:val="hr-HR"/>
        </w:rPr>
        <w:t>.</w:t>
      </w:r>
    </w:p>
    <w:p w:rsidR="00F34FE6" w:rsidRPr="00CD3A2D" w:rsidRDefault="00F34FE6" w:rsidP="005A4073">
      <w:pPr>
        <w:jc w:val="both"/>
        <w:rPr>
          <w:rFonts w:asciiTheme="minorHAnsi" w:hAnsiTheme="minorHAnsi" w:cs="Arial"/>
          <w:b/>
          <w:sz w:val="18"/>
          <w:szCs w:val="18"/>
          <w:lang w:val="hr-HR"/>
        </w:rPr>
      </w:pPr>
    </w:p>
    <w:p w:rsidR="00762B47" w:rsidRPr="001567C8" w:rsidRDefault="00762B47" w:rsidP="005A4073">
      <w:pPr>
        <w:jc w:val="both"/>
        <w:rPr>
          <w:rFonts w:asciiTheme="minorHAnsi" w:hAnsiTheme="minorHAnsi" w:cs="Arial"/>
          <w:sz w:val="22"/>
          <w:szCs w:val="22"/>
          <w:lang w:val="hr-HR"/>
        </w:rPr>
      </w:pPr>
      <w:r w:rsidRPr="001567C8">
        <w:rPr>
          <w:rFonts w:asciiTheme="minorHAnsi" w:hAnsiTheme="minorHAnsi" w:cs="Arial"/>
          <w:sz w:val="22"/>
          <w:szCs w:val="22"/>
          <w:lang w:val="hr-HR"/>
        </w:rPr>
        <w:t>BGN ili „Bloomberg Generic prices“ predstavlja jednostavni prosjek cijena uključujući indikativne i izvršne cijene. „Mid“ cijena predstavlja prosjek kotirane „ask“ i „bid“ cijene.</w:t>
      </w:r>
    </w:p>
    <w:p w:rsidR="00F34FE6" w:rsidRPr="00CD3A2D" w:rsidRDefault="00F34FE6" w:rsidP="005A4073">
      <w:pPr>
        <w:jc w:val="both"/>
        <w:rPr>
          <w:rFonts w:asciiTheme="minorHAnsi" w:hAnsiTheme="minorHAnsi" w:cs="Arial"/>
          <w:sz w:val="18"/>
          <w:szCs w:val="18"/>
          <w:lang w:val="hr-HR"/>
        </w:rPr>
      </w:pPr>
    </w:p>
    <w:p w:rsidR="00427C1D" w:rsidRPr="001567C8" w:rsidRDefault="00427C1D" w:rsidP="0078611A">
      <w:pPr>
        <w:jc w:val="both"/>
        <w:rPr>
          <w:rFonts w:asciiTheme="minorHAnsi" w:hAnsiTheme="minorHAnsi" w:cs="Arial"/>
          <w:bCs/>
          <w:sz w:val="22"/>
          <w:szCs w:val="22"/>
          <w:lang w:val="hr-HR"/>
        </w:rPr>
      </w:pPr>
      <w:r w:rsidRPr="001567C8">
        <w:rPr>
          <w:rFonts w:asciiTheme="minorHAnsi" w:hAnsiTheme="minorHAnsi" w:cs="Arial"/>
          <w:bCs/>
          <w:sz w:val="22"/>
          <w:szCs w:val="22"/>
          <w:lang w:val="hr-HR"/>
        </w:rPr>
        <w:t>Grupa vodi računa o prezentiranju hijerarhije fer vrijednosti koja se sastoji od tri razine podataka koji ulaze u tehnike vrednovanja na način kako slijedi:</w:t>
      </w:r>
    </w:p>
    <w:p w:rsidR="00427C1D" w:rsidRPr="001567C8" w:rsidRDefault="00427C1D" w:rsidP="0078611A">
      <w:pPr>
        <w:jc w:val="both"/>
        <w:rPr>
          <w:rFonts w:asciiTheme="minorHAnsi" w:hAnsiTheme="minorHAnsi" w:cs="Arial"/>
          <w:bCs/>
          <w:sz w:val="22"/>
          <w:szCs w:val="22"/>
          <w:lang w:val="hr-HR"/>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552"/>
        <w:gridCol w:w="2551"/>
        <w:gridCol w:w="2410"/>
      </w:tblGrid>
      <w:tr w:rsidR="00427C1D" w:rsidRPr="001567C8" w:rsidTr="00BD645A">
        <w:trPr>
          <w:trHeight w:val="389"/>
          <w:jc w:val="center"/>
        </w:trPr>
        <w:tc>
          <w:tcPr>
            <w:tcW w:w="1985" w:type="dxa"/>
            <w:tcBorders>
              <w:top w:val="nil"/>
              <w:left w:val="nil"/>
            </w:tcBorders>
            <w:shd w:val="clear" w:color="auto" w:fill="auto"/>
          </w:tcPr>
          <w:p w:rsidR="00427C1D" w:rsidRPr="001567C8" w:rsidRDefault="00427C1D" w:rsidP="0078611A">
            <w:pPr>
              <w:jc w:val="both"/>
              <w:rPr>
                <w:rFonts w:asciiTheme="minorHAnsi" w:hAnsiTheme="minorHAnsi" w:cs="Arial"/>
                <w:b/>
                <w:bCs/>
                <w:sz w:val="22"/>
                <w:szCs w:val="22"/>
                <w:lang w:val="hr-HR"/>
              </w:rPr>
            </w:pPr>
            <w:r w:rsidRPr="001567C8">
              <w:rPr>
                <w:rFonts w:asciiTheme="minorHAnsi" w:hAnsiTheme="minorHAnsi" w:cs="Arial"/>
                <w:sz w:val="22"/>
                <w:szCs w:val="22"/>
                <w:lang w:val="hr-HR"/>
              </w:rPr>
              <w:br w:type="page"/>
            </w:r>
            <w:r w:rsidRPr="001567C8">
              <w:rPr>
                <w:rFonts w:asciiTheme="minorHAnsi" w:hAnsiTheme="minorHAnsi" w:cs="Arial"/>
                <w:bCs/>
                <w:sz w:val="22"/>
                <w:szCs w:val="22"/>
                <w:lang w:val="hr-HR"/>
              </w:rPr>
              <w:br w:type="page"/>
            </w:r>
          </w:p>
        </w:tc>
        <w:tc>
          <w:tcPr>
            <w:tcW w:w="2552" w:type="dxa"/>
            <w:shd w:val="clear" w:color="auto" w:fill="auto"/>
          </w:tcPr>
          <w:p w:rsidR="00427C1D" w:rsidRPr="001567C8" w:rsidRDefault="00427C1D" w:rsidP="00E266C9">
            <w:pPr>
              <w:jc w:val="both"/>
              <w:rPr>
                <w:rFonts w:asciiTheme="minorHAnsi" w:hAnsiTheme="minorHAnsi" w:cs="Arial"/>
                <w:b/>
                <w:bCs/>
                <w:sz w:val="22"/>
                <w:szCs w:val="22"/>
                <w:lang w:val="hr-HR"/>
              </w:rPr>
            </w:pPr>
            <w:r w:rsidRPr="001567C8">
              <w:rPr>
                <w:rFonts w:asciiTheme="minorHAnsi" w:hAnsiTheme="minorHAnsi" w:cs="Arial"/>
                <w:b/>
                <w:bCs/>
                <w:sz w:val="22"/>
                <w:szCs w:val="22"/>
                <w:lang w:val="hr-HR"/>
              </w:rPr>
              <w:t>Razina 1</w:t>
            </w:r>
          </w:p>
        </w:tc>
        <w:tc>
          <w:tcPr>
            <w:tcW w:w="2551" w:type="dxa"/>
            <w:shd w:val="clear" w:color="auto" w:fill="auto"/>
          </w:tcPr>
          <w:p w:rsidR="00427C1D" w:rsidRPr="001567C8" w:rsidRDefault="00427C1D" w:rsidP="001D233C">
            <w:pPr>
              <w:jc w:val="both"/>
              <w:rPr>
                <w:rFonts w:asciiTheme="minorHAnsi" w:hAnsiTheme="minorHAnsi" w:cs="Arial"/>
                <w:b/>
                <w:bCs/>
                <w:sz w:val="22"/>
                <w:szCs w:val="22"/>
                <w:lang w:val="hr-HR"/>
              </w:rPr>
            </w:pPr>
            <w:r w:rsidRPr="001567C8">
              <w:rPr>
                <w:rFonts w:asciiTheme="minorHAnsi" w:hAnsiTheme="minorHAnsi" w:cs="Arial"/>
                <w:b/>
                <w:bCs/>
                <w:sz w:val="22"/>
                <w:szCs w:val="22"/>
                <w:lang w:val="hr-HR"/>
              </w:rPr>
              <w:t>Razina 2</w:t>
            </w:r>
          </w:p>
        </w:tc>
        <w:tc>
          <w:tcPr>
            <w:tcW w:w="2410" w:type="dxa"/>
            <w:shd w:val="clear" w:color="auto" w:fill="auto"/>
          </w:tcPr>
          <w:p w:rsidR="00427C1D" w:rsidRPr="001567C8" w:rsidRDefault="00427C1D" w:rsidP="00014EE0">
            <w:pPr>
              <w:jc w:val="both"/>
              <w:rPr>
                <w:rFonts w:asciiTheme="minorHAnsi" w:hAnsiTheme="minorHAnsi" w:cs="Arial"/>
                <w:b/>
                <w:bCs/>
                <w:sz w:val="22"/>
                <w:szCs w:val="22"/>
                <w:lang w:val="hr-HR"/>
              </w:rPr>
            </w:pPr>
            <w:r w:rsidRPr="001567C8">
              <w:rPr>
                <w:rFonts w:asciiTheme="minorHAnsi" w:hAnsiTheme="minorHAnsi" w:cs="Arial"/>
                <w:b/>
                <w:bCs/>
                <w:sz w:val="22"/>
                <w:szCs w:val="22"/>
                <w:lang w:val="hr-HR"/>
              </w:rPr>
              <w:t>Razina 3</w:t>
            </w:r>
          </w:p>
        </w:tc>
      </w:tr>
      <w:tr w:rsidR="00427C1D" w:rsidRPr="001567C8" w:rsidTr="00BD645A">
        <w:trPr>
          <w:trHeight w:val="376"/>
          <w:jc w:val="center"/>
        </w:trPr>
        <w:tc>
          <w:tcPr>
            <w:tcW w:w="1985" w:type="dxa"/>
            <w:tcBorders>
              <w:bottom w:val="single" w:sz="4" w:space="0" w:color="auto"/>
            </w:tcBorders>
            <w:shd w:val="clear" w:color="auto" w:fill="auto"/>
          </w:tcPr>
          <w:p w:rsidR="00427C1D" w:rsidRPr="001567C8" w:rsidRDefault="00427C1D" w:rsidP="005A4073">
            <w:pPr>
              <w:rPr>
                <w:rFonts w:asciiTheme="minorHAnsi" w:hAnsiTheme="minorHAnsi" w:cs="Arial"/>
                <w:b/>
                <w:bCs/>
                <w:sz w:val="22"/>
                <w:szCs w:val="22"/>
                <w:lang w:val="hr-HR"/>
              </w:rPr>
            </w:pPr>
            <w:r w:rsidRPr="001567C8">
              <w:rPr>
                <w:rFonts w:asciiTheme="minorHAnsi" w:hAnsiTheme="minorHAnsi" w:cs="Arial"/>
                <w:b/>
                <w:bCs/>
                <w:sz w:val="22"/>
                <w:szCs w:val="22"/>
                <w:lang w:val="hr-HR"/>
              </w:rPr>
              <w:t>Definicija ulaznih podataka:</w:t>
            </w:r>
          </w:p>
        </w:tc>
        <w:tc>
          <w:tcPr>
            <w:tcW w:w="2552" w:type="dxa"/>
            <w:tcBorders>
              <w:bottom w:val="single" w:sz="4" w:space="0" w:color="auto"/>
            </w:tcBorders>
            <w:shd w:val="clear" w:color="auto" w:fill="auto"/>
          </w:tcPr>
          <w:p w:rsidR="00427C1D" w:rsidRPr="001567C8" w:rsidRDefault="00427C1D" w:rsidP="005A4073">
            <w:pPr>
              <w:rPr>
                <w:rFonts w:asciiTheme="minorHAnsi" w:hAnsiTheme="minorHAnsi" w:cs="Arial"/>
                <w:bCs/>
                <w:sz w:val="22"/>
                <w:szCs w:val="22"/>
                <w:lang w:val="hr-HR"/>
              </w:rPr>
            </w:pPr>
            <w:r w:rsidRPr="001567C8">
              <w:rPr>
                <w:rFonts w:asciiTheme="minorHAnsi" w:hAnsiTheme="minorHAnsi" w:cs="Arial"/>
                <w:bCs/>
                <w:sz w:val="22"/>
                <w:szCs w:val="22"/>
                <w:lang w:val="hr-HR"/>
              </w:rPr>
              <w:t>Kotirane (neusklađene) cijene na aktivnim tržištima za identičnu imovinu, odnosno identične obveze i koje su dostupne na datum mjerenja.</w:t>
            </w:r>
          </w:p>
        </w:tc>
        <w:tc>
          <w:tcPr>
            <w:tcW w:w="2551" w:type="dxa"/>
            <w:tcBorders>
              <w:bottom w:val="single" w:sz="4" w:space="0" w:color="auto"/>
            </w:tcBorders>
            <w:shd w:val="clear" w:color="auto" w:fill="auto"/>
          </w:tcPr>
          <w:p w:rsidR="00427C1D" w:rsidRPr="001567C8" w:rsidRDefault="00427C1D" w:rsidP="005A4073">
            <w:pPr>
              <w:rPr>
                <w:rFonts w:asciiTheme="minorHAnsi" w:hAnsiTheme="minorHAnsi" w:cs="Arial"/>
                <w:bCs/>
                <w:sz w:val="22"/>
                <w:szCs w:val="22"/>
                <w:lang w:val="hr-HR"/>
              </w:rPr>
            </w:pPr>
            <w:r w:rsidRPr="001567C8">
              <w:rPr>
                <w:rFonts w:asciiTheme="minorHAnsi" w:hAnsiTheme="minorHAnsi" w:cs="Arial"/>
                <w:bCs/>
                <w:sz w:val="22"/>
                <w:szCs w:val="22"/>
                <w:lang w:val="hr-HR"/>
              </w:rPr>
              <w:t>Ulazni podaci, osim kotiranih iz 1. razine koje su, bilo izravno, bilo neizravno, vidljive za predmetnu imovinu, odnosno obvezu.</w:t>
            </w:r>
          </w:p>
        </w:tc>
        <w:tc>
          <w:tcPr>
            <w:tcW w:w="2410" w:type="dxa"/>
            <w:tcBorders>
              <w:bottom w:val="single" w:sz="4" w:space="0" w:color="auto"/>
            </w:tcBorders>
            <w:shd w:val="clear" w:color="auto" w:fill="auto"/>
          </w:tcPr>
          <w:p w:rsidR="00427C1D" w:rsidRPr="001567C8" w:rsidRDefault="00427C1D" w:rsidP="0078611A">
            <w:pPr>
              <w:rPr>
                <w:rFonts w:asciiTheme="minorHAnsi" w:hAnsiTheme="minorHAnsi" w:cs="Arial"/>
                <w:bCs/>
                <w:sz w:val="22"/>
                <w:szCs w:val="22"/>
                <w:lang w:val="hr-HR"/>
              </w:rPr>
            </w:pPr>
            <w:r w:rsidRPr="001567C8">
              <w:rPr>
                <w:rFonts w:asciiTheme="minorHAnsi" w:hAnsiTheme="minorHAnsi" w:cs="Arial"/>
                <w:bCs/>
                <w:sz w:val="22"/>
                <w:szCs w:val="22"/>
                <w:lang w:val="hr-HR"/>
              </w:rPr>
              <w:t>Ulazni podaci o predmetnoj imovini, odnosno obvezi koji nisu vidljivi, odnosno koji su izvedeni iz tržišnih podataka</w:t>
            </w:r>
            <w:r w:rsidRPr="001567C8">
              <w:rPr>
                <w:rFonts w:asciiTheme="minorHAnsi" w:hAnsiTheme="minorHAnsi" w:cs="Arial"/>
                <w:b/>
                <w:bCs/>
                <w:sz w:val="22"/>
                <w:szCs w:val="22"/>
                <w:lang w:val="hr-HR"/>
              </w:rPr>
              <w:t>.</w:t>
            </w:r>
          </w:p>
        </w:tc>
      </w:tr>
    </w:tbl>
    <w:p w:rsidR="00F34FE6" w:rsidRPr="001567C8" w:rsidRDefault="00F34FE6" w:rsidP="005A4073">
      <w:pPr>
        <w:jc w:val="both"/>
        <w:rPr>
          <w:rFonts w:asciiTheme="minorHAnsi" w:hAnsiTheme="minorHAnsi" w:cs="Arial"/>
          <w:bCs/>
          <w:sz w:val="22"/>
          <w:szCs w:val="22"/>
          <w:lang w:val="hr-HR"/>
        </w:rPr>
      </w:pPr>
    </w:p>
    <w:p w:rsidR="00427C1D" w:rsidRPr="001567C8" w:rsidRDefault="00427C1D" w:rsidP="009C3211">
      <w:pPr>
        <w:jc w:val="both"/>
        <w:rPr>
          <w:rFonts w:asciiTheme="minorHAnsi" w:hAnsiTheme="minorHAnsi" w:cs="Arial"/>
          <w:bCs/>
          <w:sz w:val="22"/>
          <w:szCs w:val="22"/>
          <w:lang w:val="hr-HR"/>
        </w:rPr>
      </w:pPr>
      <w:r w:rsidRPr="001567C8">
        <w:rPr>
          <w:rFonts w:asciiTheme="minorHAnsi" w:hAnsiTheme="minorHAnsi" w:cs="Arial"/>
          <w:bCs/>
          <w:sz w:val="22"/>
          <w:szCs w:val="22"/>
          <w:lang w:val="hr-HR"/>
        </w:rPr>
        <w:t>Grupa iskazuje prijenose između razina fer vrijednosti na kraju izvještajnog razdoblja tijekom kojeg se promjena dogodila.</w:t>
      </w:r>
    </w:p>
    <w:p w:rsidR="008379BA" w:rsidRPr="00CD3A2D" w:rsidRDefault="008379BA" w:rsidP="008379BA">
      <w:pPr>
        <w:jc w:val="both"/>
        <w:rPr>
          <w:rFonts w:ascii="Calibri" w:hAnsi="Calibri" w:cs="Calibri"/>
          <w:bCs/>
          <w:sz w:val="22"/>
          <w:szCs w:val="22"/>
          <w:lang w:val="hr-HR"/>
        </w:rPr>
      </w:pPr>
    </w:p>
    <w:p w:rsidR="008379BA" w:rsidRPr="00CD3A2D" w:rsidRDefault="008379BA" w:rsidP="008379BA">
      <w:pPr>
        <w:jc w:val="both"/>
        <w:rPr>
          <w:rFonts w:ascii="Calibri" w:hAnsi="Calibri" w:cs="Calibri"/>
          <w:spacing w:val="-3"/>
          <w:sz w:val="22"/>
          <w:szCs w:val="22"/>
          <w:lang w:val="hr-HR"/>
        </w:rPr>
      </w:pPr>
      <w:r w:rsidRPr="00CD3A2D">
        <w:rPr>
          <w:rFonts w:ascii="Calibri" w:hAnsi="Calibri" w:cs="Calibri"/>
          <w:bCs/>
          <w:sz w:val="22"/>
          <w:szCs w:val="22"/>
          <w:lang w:val="hr-HR"/>
        </w:rPr>
        <w:t xml:space="preserve">Usporedba fer i knjigovodstvene vrijednosti financijskih instrumenata koji se ne vode po fer vrijednosti prikazana je u bilješci </w:t>
      </w:r>
      <w:r w:rsidRPr="00CD3A2D">
        <w:rPr>
          <w:rFonts w:ascii="Calibri" w:hAnsi="Calibri" w:cs="Calibri"/>
          <w:bCs/>
          <w:spacing w:val="-3"/>
          <w:sz w:val="22"/>
          <w:szCs w:val="22"/>
          <w:lang w:val="hr-HR"/>
        </w:rPr>
        <w:t xml:space="preserve"> 37.1.2. </w:t>
      </w:r>
    </w:p>
    <w:p w:rsidR="008379BA" w:rsidRPr="001567C8" w:rsidRDefault="008379BA" w:rsidP="009C3211">
      <w:pPr>
        <w:jc w:val="both"/>
        <w:rPr>
          <w:rFonts w:asciiTheme="minorHAnsi" w:hAnsiTheme="minorHAnsi" w:cs="Arial"/>
          <w:bCs/>
          <w:sz w:val="22"/>
          <w:szCs w:val="22"/>
          <w:lang w:val="hr-HR"/>
        </w:rPr>
      </w:pPr>
    </w:p>
    <w:p w:rsidR="00E3172D" w:rsidRPr="001567C8" w:rsidRDefault="00E3172D" w:rsidP="005A4073">
      <w:pPr>
        <w:jc w:val="both"/>
        <w:rPr>
          <w:rFonts w:asciiTheme="minorHAnsi" w:hAnsiTheme="minorHAnsi" w:cs="Arial"/>
          <w:b/>
          <w:i/>
          <w:sz w:val="22"/>
          <w:szCs w:val="22"/>
          <w:lang w:val="hr-HR"/>
        </w:rPr>
      </w:pPr>
      <w:r w:rsidRPr="001567C8">
        <w:rPr>
          <w:rFonts w:asciiTheme="minorHAnsi" w:hAnsiTheme="minorHAnsi" w:cs="Arial"/>
          <w:b/>
          <w:i/>
          <w:sz w:val="22"/>
          <w:szCs w:val="22"/>
          <w:lang w:val="hr-HR"/>
        </w:rPr>
        <w:t>ix. Umanjenje vrijednosti</w:t>
      </w:r>
    </w:p>
    <w:p w:rsidR="00E3172D" w:rsidRPr="001567C8" w:rsidRDefault="00E3172D" w:rsidP="00E3172D">
      <w:pPr>
        <w:jc w:val="both"/>
        <w:rPr>
          <w:rFonts w:asciiTheme="minorHAnsi" w:hAnsiTheme="minorHAnsi" w:cs="Arial"/>
          <w:b/>
          <w:sz w:val="22"/>
          <w:szCs w:val="22"/>
          <w:lang w:val="hr-HR"/>
        </w:rPr>
      </w:pPr>
      <w:r w:rsidRPr="00CD3A2D">
        <w:rPr>
          <w:rFonts w:asciiTheme="minorHAnsi" w:hAnsiTheme="minorHAnsi" w:cstheme="minorHAnsi"/>
          <w:i/>
          <w:sz w:val="22"/>
          <w:szCs w:val="22"/>
          <w:lang w:val="hr-HR" w:eastAsia="hr-HR"/>
        </w:rPr>
        <w:t>Politika primjenjiva od 1. siječnja 2018. godine</w:t>
      </w:r>
    </w:p>
    <w:p w:rsidR="00B019A6" w:rsidRPr="001567C8" w:rsidRDefault="00B019A6" w:rsidP="005A4073">
      <w:pPr>
        <w:pStyle w:val="accountingpolicytitle"/>
        <w:rPr>
          <w:rFonts w:asciiTheme="minorHAnsi" w:hAnsiTheme="minorHAnsi" w:cs="Arial"/>
          <w:sz w:val="22"/>
          <w:szCs w:val="22"/>
          <w:lang w:val="hr-HR"/>
        </w:rPr>
      </w:pPr>
    </w:p>
    <w:p w:rsidR="00B019A6" w:rsidRPr="00CD3A2D" w:rsidRDefault="00B019A6" w:rsidP="00B019A6">
      <w:pPr>
        <w:jc w:val="both"/>
        <w:rPr>
          <w:rFonts w:asciiTheme="minorHAnsi" w:hAnsiTheme="minorHAnsi" w:cs="Arial"/>
          <w:sz w:val="22"/>
          <w:szCs w:val="22"/>
          <w:lang w:val="hr-HR"/>
        </w:rPr>
      </w:pPr>
      <w:r w:rsidRPr="00CD3A2D">
        <w:rPr>
          <w:rFonts w:asciiTheme="minorHAnsi" w:hAnsiTheme="minorHAnsi" w:cs="Arial"/>
          <w:sz w:val="22"/>
          <w:szCs w:val="22"/>
          <w:lang w:val="hr-HR"/>
        </w:rPr>
        <w:t>Umanjenje vrijednosti financijske imovine priznaje se po modelu očekivanih kreditnih gubitaka za imovinu koja se naknadno mjeri po amortiziranom trošku i imovinu koja se naknadno mjeri po fer vrijednosti kroz ostalu sveobuhvatnu dobit.</w:t>
      </w:r>
    </w:p>
    <w:p w:rsidR="00B019A6" w:rsidRPr="00CD3A2D" w:rsidRDefault="00B019A6" w:rsidP="00B019A6">
      <w:pPr>
        <w:jc w:val="both"/>
        <w:rPr>
          <w:rFonts w:asciiTheme="minorHAnsi" w:hAnsiTheme="minorHAnsi" w:cs="Arial"/>
          <w:sz w:val="22"/>
          <w:szCs w:val="22"/>
          <w:lang w:val="hr-HR"/>
        </w:rPr>
      </w:pPr>
      <w:r w:rsidRPr="00CD3A2D">
        <w:rPr>
          <w:rFonts w:asciiTheme="minorHAnsi" w:hAnsiTheme="minorHAnsi" w:cs="Arial"/>
          <w:sz w:val="22"/>
          <w:szCs w:val="22"/>
          <w:lang w:val="hr-HR"/>
        </w:rPr>
        <w:t>Umanjenje vrijednosti provodi se tijekom obračunskih razdoblja i krajem godine na dan bilance, a efekti umanjenja vrijednosti iskazuju se po svakom plasmanu pojedinačno u izvještaju o financijskom položaju, ostaloj sveobuhvatnoj dobiti i izvještaju o dobiti i gubitku.</w:t>
      </w:r>
    </w:p>
    <w:p w:rsidR="00B019A6" w:rsidRPr="00CD3A2D" w:rsidRDefault="00B019A6" w:rsidP="00B019A6">
      <w:pPr>
        <w:jc w:val="both"/>
        <w:rPr>
          <w:rFonts w:asciiTheme="minorHAnsi" w:hAnsiTheme="minorHAnsi" w:cs="Arial"/>
          <w:sz w:val="22"/>
          <w:szCs w:val="22"/>
          <w:lang w:val="hr-HR"/>
        </w:rPr>
      </w:pPr>
    </w:p>
    <w:p w:rsidR="00B019A6" w:rsidRPr="001567C8" w:rsidRDefault="00B019A6" w:rsidP="005A4073">
      <w:pPr>
        <w:jc w:val="both"/>
        <w:rPr>
          <w:rFonts w:asciiTheme="minorHAnsi" w:hAnsiTheme="minorHAnsi" w:cs="Arial"/>
          <w:sz w:val="22"/>
          <w:szCs w:val="22"/>
          <w:lang w:val="hr-HR"/>
        </w:rPr>
      </w:pPr>
      <w:r w:rsidRPr="00CD3A2D">
        <w:rPr>
          <w:rFonts w:asciiTheme="minorHAnsi" w:hAnsiTheme="minorHAnsi" w:cs="Arial"/>
          <w:sz w:val="22"/>
          <w:szCs w:val="22"/>
          <w:lang w:val="hr-HR"/>
        </w:rPr>
        <w:t>Umanjenje vrijednosti se provodi primjenom općeg i pojednostavljenog pristupa.</w:t>
      </w:r>
    </w:p>
    <w:p w:rsidR="00E3172D" w:rsidRPr="001567C8" w:rsidRDefault="00E3172D" w:rsidP="005A4073">
      <w:pPr>
        <w:pStyle w:val="accountingpolicytitle"/>
        <w:rPr>
          <w:rFonts w:asciiTheme="minorHAnsi" w:hAnsiTheme="minorHAnsi" w:cs="Arial"/>
          <w:sz w:val="22"/>
          <w:szCs w:val="22"/>
          <w:lang w:val="hr-HR"/>
        </w:rPr>
        <w:sectPr w:rsidR="00E3172D" w:rsidRPr="001567C8" w:rsidSect="000D6913">
          <w:pgSz w:w="11907" w:h="16840" w:code="9"/>
          <w:pgMar w:top="1418" w:right="1134" w:bottom="1134" w:left="1418" w:header="851" w:footer="851" w:gutter="0"/>
          <w:cols w:space="720"/>
          <w:noEndnote/>
        </w:sectPr>
      </w:pPr>
    </w:p>
    <w:p w:rsidR="00B019A6" w:rsidRPr="00CD3A2D"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B019A6" w:rsidRPr="00CD3A2D"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B019A6" w:rsidRPr="00CD3A2D"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B019A6" w:rsidRPr="00CD3A2D"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B019A6" w:rsidRPr="001567C8" w:rsidRDefault="00B019A6" w:rsidP="00B019A6">
      <w:pPr>
        <w:jc w:val="both"/>
        <w:rPr>
          <w:rFonts w:asciiTheme="minorHAnsi" w:hAnsiTheme="minorHAnsi" w:cstheme="minorHAnsi"/>
          <w:b/>
          <w:sz w:val="18"/>
          <w:szCs w:val="18"/>
          <w:lang w:val="hr-HR"/>
        </w:rPr>
      </w:pPr>
    </w:p>
    <w:p w:rsidR="00B019A6" w:rsidRPr="00CD3A2D"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B019A6" w:rsidRPr="001567C8" w:rsidRDefault="00B019A6" w:rsidP="00B019A6">
      <w:pPr>
        <w:jc w:val="both"/>
        <w:rPr>
          <w:rFonts w:asciiTheme="minorHAnsi" w:hAnsiTheme="minorHAnsi" w:cs="Arial"/>
          <w:b/>
          <w:i/>
          <w:sz w:val="22"/>
          <w:szCs w:val="22"/>
          <w:lang w:val="hr-HR"/>
        </w:rPr>
      </w:pPr>
    </w:p>
    <w:p w:rsidR="00B019A6" w:rsidRPr="001567C8" w:rsidRDefault="00B019A6" w:rsidP="00B019A6">
      <w:pPr>
        <w:jc w:val="both"/>
        <w:rPr>
          <w:rFonts w:asciiTheme="minorHAnsi" w:hAnsiTheme="minorHAnsi" w:cs="Arial"/>
          <w:b/>
          <w:i/>
          <w:sz w:val="22"/>
          <w:szCs w:val="22"/>
          <w:lang w:val="hr-HR"/>
        </w:rPr>
      </w:pPr>
      <w:r w:rsidRPr="001567C8">
        <w:rPr>
          <w:rFonts w:asciiTheme="minorHAnsi" w:hAnsiTheme="minorHAnsi" w:cs="Arial"/>
          <w:b/>
          <w:i/>
          <w:sz w:val="22"/>
          <w:szCs w:val="22"/>
          <w:lang w:val="hr-HR"/>
        </w:rPr>
        <w:t>ix. Umanjenje vrijednosti (nastavak)</w:t>
      </w:r>
    </w:p>
    <w:p w:rsidR="00B019A6" w:rsidRPr="001567C8" w:rsidRDefault="00B019A6" w:rsidP="00B019A6">
      <w:pPr>
        <w:jc w:val="both"/>
        <w:rPr>
          <w:rFonts w:asciiTheme="minorHAnsi" w:hAnsiTheme="minorHAnsi" w:cs="Arial"/>
          <w:b/>
          <w:i/>
          <w:sz w:val="22"/>
          <w:szCs w:val="22"/>
          <w:lang w:val="hr-HR"/>
        </w:rPr>
      </w:pPr>
    </w:p>
    <w:p w:rsidR="00B019A6" w:rsidRPr="00CD3A2D" w:rsidRDefault="00B019A6" w:rsidP="00B019A6">
      <w:pPr>
        <w:jc w:val="both"/>
        <w:rPr>
          <w:rFonts w:asciiTheme="minorHAnsi" w:hAnsiTheme="minorHAnsi" w:cs="Arial"/>
          <w:sz w:val="22"/>
          <w:szCs w:val="22"/>
          <w:lang w:val="hr-HR"/>
        </w:rPr>
      </w:pPr>
      <w:r w:rsidRPr="00CD3A2D">
        <w:rPr>
          <w:rFonts w:asciiTheme="minorHAnsi" w:hAnsiTheme="minorHAnsi" w:cs="Arial"/>
          <w:sz w:val="22"/>
          <w:szCs w:val="22"/>
          <w:lang w:val="hr-HR"/>
        </w:rPr>
        <w:t xml:space="preserve">Prema </w:t>
      </w:r>
      <w:r w:rsidRPr="00CD3A2D">
        <w:rPr>
          <w:rFonts w:asciiTheme="minorHAnsi" w:hAnsiTheme="minorHAnsi" w:cs="Arial"/>
          <w:b/>
          <w:sz w:val="22"/>
          <w:szCs w:val="22"/>
          <w:lang w:val="hr-HR"/>
        </w:rPr>
        <w:t>općem pristupu</w:t>
      </w:r>
      <w:r w:rsidRPr="00CD3A2D">
        <w:rPr>
          <w:rFonts w:asciiTheme="minorHAnsi" w:hAnsiTheme="minorHAnsi" w:cs="Arial"/>
          <w:sz w:val="22"/>
          <w:szCs w:val="22"/>
          <w:lang w:val="hr-HR"/>
        </w:rPr>
        <w:t xml:space="preserve"> umanjenja vrijednosti, financijska imovina se pri inicijalnom priznavanju alocira u:</w:t>
      </w:r>
    </w:p>
    <w:p w:rsidR="00B019A6" w:rsidRPr="00CD3A2D" w:rsidRDefault="00B019A6" w:rsidP="002B5EA8">
      <w:pPr>
        <w:pStyle w:val="ListParagraph"/>
        <w:numPr>
          <w:ilvl w:val="0"/>
          <w:numId w:val="7"/>
        </w:numPr>
        <w:jc w:val="both"/>
        <w:rPr>
          <w:rFonts w:asciiTheme="minorHAnsi" w:hAnsiTheme="minorHAnsi" w:cs="Arial"/>
          <w:sz w:val="22"/>
          <w:szCs w:val="22"/>
          <w:lang w:val="hr-HR"/>
        </w:rPr>
      </w:pPr>
      <w:r w:rsidRPr="00CD3A2D">
        <w:rPr>
          <w:rFonts w:asciiTheme="minorHAnsi" w:hAnsiTheme="minorHAnsi" w:cs="Arial"/>
          <w:sz w:val="22"/>
          <w:szCs w:val="22"/>
          <w:lang w:val="hr-HR"/>
        </w:rPr>
        <w:t>1. stupanj – financijska imovina bez značajno povećanog kreditnog rizika ili</w:t>
      </w:r>
    </w:p>
    <w:p w:rsidR="00B019A6" w:rsidRPr="00CD3A2D" w:rsidRDefault="00B019A6" w:rsidP="002B5EA8">
      <w:pPr>
        <w:pStyle w:val="ListParagraph"/>
        <w:keepNext/>
        <w:numPr>
          <w:ilvl w:val="0"/>
          <w:numId w:val="7"/>
        </w:numPr>
        <w:tabs>
          <w:tab w:val="left" w:pos="426"/>
        </w:tabs>
        <w:jc w:val="both"/>
        <w:rPr>
          <w:rFonts w:asciiTheme="minorHAnsi" w:hAnsiTheme="minorHAnsi" w:cs="Arial"/>
          <w:sz w:val="22"/>
          <w:szCs w:val="22"/>
          <w:lang w:val="hr-HR"/>
        </w:rPr>
      </w:pPr>
      <w:r w:rsidRPr="00CD3A2D">
        <w:rPr>
          <w:rFonts w:asciiTheme="minorHAnsi" w:hAnsiTheme="minorHAnsi" w:cs="Arial"/>
          <w:sz w:val="22"/>
          <w:szCs w:val="22"/>
          <w:lang w:val="hr-HR"/>
        </w:rPr>
        <w:t>POCI imovinu kao financijsku imovinu koja je kupljena ili stvorena financijska imovina umanjena za kreditne gubitke, koja se alocira u 3. stupanj.</w:t>
      </w:r>
    </w:p>
    <w:p w:rsidR="00B019A6" w:rsidRPr="001567C8" w:rsidRDefault="00B019A6" w:rsidP="00B019A6">
      <w:pPr>
        <w:jc w:val="both"/>
        <w:rPr>
          <w:rFonts w:asciiTheme="minorHAnsi" w:hAnsiTheme="minorHAnsi" w:cs="Arial"/>
          <w:b/>
          <w:i/>
          <w:sz w:val="22"/>
          <w:szCs w:val="22"/>
          <w:lang w:val="hr-HR"/>
        </w:rPr>
      </w:pPr>
    </w:p>
    <w:p w:rsidR="005653A0" w:rsidRPr="00CD3A2D" w:rsidRDefault="005653A0" w:rsidP="005653A0">
      <w:pPr>
        <w:jc w:val="both"/>
        <w:rPr>
          <w:rFonts w:asciiTheme="minorHAnsi" w:eastAsia="PMingLiU" w:hAnsiTheme="minorHAnsi" w:cstheme="minorHAnsi"/>
          <w:sz w:val="22"/>
          <w:szCs w:val="22"/>
          <w:lang w:val="hr-HR" w:eastAsia="hr-HR" w:bidi="hr-HR"/>
        </w:rPr>
      </w:pPr>
      <w:r w:rsidRPr="00CD3A2D">
        <w:rPr>
          <w:rFonts w:asciiTheme="minorHAnsi" w:hAnsiTheme="minorHAnsi" w:cstheme="minorHAnsi"/>
          <w:sz w:val="22"/>
          <w:szCs w:val="22"/>
          <w:lang w:val="hr-HR"/>
        </w:rPr>
        <w:t>Na sljedeće izvještajne datume sva financijska imovina, koja nije priznata kao POCI imovina, alocira se prema utvrđenom značajnom porastu kreditnog rizika i kriterijima kreditnog umanjenja u tri stupnja:</w:t>
      </w:r>
      <w:r w:rsidRPr="00CD3A2D">
        <w:rPr>
          <w:rFonts w:asciiTheme="minorHAnsi" w:eastAsia="PMingLiU" w:hAnsiTheme="minorHAnsi" w:cstheme="minorHAnsi"/>
          <w:sz w:val="22"/>
          <w:szCs w:val="22"/>
          <w:lang w:val="hr-HR" w:eastAsia="hr-HR" w:bidi="hr-HR"/>
        </w:rPr>
        <w:t xml:space="preserve"> </w:t>
      </w:r>
    </w:p>
    <w:p w:rsidR="005653A0" w:rsidRPr="00CD3A2D" w:rsidRDefault="005653A0" w:rsidP="005653A0">
      <w:p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1. stupanj – u ovaj stupanj se raspoređuju financijski instrumenti klijenata niskog kreditnog rizika, a to su:</w:t>
      </w:r>
    </w:p>
    <w:p w:rsidR="005653A0" w:rsidRPr="00CD3A2D" w:rsidRDefault="005653A0" w:rsidP="002B5EA8">
      <w:pPr>
        <w:pStyle w:val="ListParagraph"/>
        <w:numPr>
          <w:ilvl w:val="1"/>
          <w:numId w:val="7"/>
        </w:num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financijski instrumenti klijenta s investicijskim rejtingom vanjskih kreditnih rejting agencija</w:t>
      </w:r>
    </w:p>
    <w:p w:rsidR="005653A0" w:rsidRPr="00CD3A2D" w:rsidRDefault="005653A0" w:rsidP="002B5EA8">
      <w:pPr>
        <w:pStyle w:val="ListParagraph"/>
        <w:numPr>
          <w:ilvl w:val="1"/>
          <w:numId w:val="7"/>
        </w:num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izloženosti prema Republici Hrvatskoj i jedinicama lokalne i područne (regionalne) samouprave, HNB-u, Europskoj investicijskoj banci iIi ostalim razvojnim bankama.</w:t>
      </w:r>
    </w:p>
    <w:p w:rsidR="005653A0" w:rsidRPr="00CD3A2D" w:rsidRDefault="005653A0" w:rsidP="00A019E8">
      <w:pPr>
        <w:jc w:val="both"/>
        <w:rPr>
          <w:rFonts w:asciiTheme="minorHAnsi" w:eastAsia="PMingLiU" w:hAnsiTheme="minorHAnsi" w:cstheme="minorHAnsi"/>
          <w:sz w:val="22"/>
          <w:szCs w:val="22"/>
          <w:lang w:val="hr-HR" w:eastAsia="hr-HR" w:bidi="hr-HR"/>
        </w:rPr>
      </w:pPr>
    </w:p>
    <w:p w:rsidR="00A019E8" w:rsidRPr="00CD3A2D" w:rsidRDefault="00A019E8" w:rsidP="00A019E8">
      <w:p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Financijski instrumenti klijenta ne smatraju se instrumentima niskog kreditnog rizika samo zbog vrijednosti instrumenata osiguranja jer se bez tog osiguranja ne smatraju instrumentima niskog kreditnog rizika.</w:t>
      </w:r>
    </w:p>
    <w:p w:rsidR="00A019E8" w:rsidRPr="00CD3A2D" w:rsidRDefault="00A019E8" w:rsidP="00A019E8">
      <w:pPr>
        <w:jc w:val="both"/>
        <w:rPr>
          <w:rFonts w:asciiTheme="minorHAnsi" w:eastAsia="PMingLiU" w:hAnsiTheme="minorHAnsi" w:cstheme="minorHAnsi"/>
          <w:sz w:val="22"/>
          <w:szCs w:val="22"/>
          <w:lang w:val="hr-HR" w:eastAsia="hr-HR" w:bidi="hr-HR"/>
        </w:rPr>
      </w:pPr>
    </w:p>
    <w:p w:rsidR="00A019E8" w:rsidRPr="00CD3A2D" w:rsidRDefault="00A019E8" w:rsidP="00A019E8">
      <w:p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Za financijske instrumente klijenata alociranih u ovaj stupanj, umanjenja vrijednosti se izračunavaju na skupnoj osnovi u visini dvanaestomjesečnih očekivanih kreditnih gubitaka.</w:t>
      </w:r>
    </w:p>
    <w:p w:rsidR="00A019E8" w:rsidRPr="00CD3A2D" w:rsidRDefault="00A019E8" w:rsidP="00A019E8">
      <w:pPr>
        <w:jc w:val="both"/>
        <w:rPr>
          <w:rFonts w:asciiTheme="minorHAnsi" w:eastAsia="PMingLiU" w:hAnsiTheme="minorHAnsi" w:cstheme="minorHAnsi"/>
          <w:sz w:val="22"/>
          <w:szCs w:val="22"/>
          <w:lang w:val="hr-HR" w:eastAsia="hr-HR" w:bidi="hr-HR"/>
        </w:rPr>
      </w:pPr>
    </w:p>
    <w:p w:rsidR="00A019E8" w:rsidRPr="00CD3A2D" w:rsidRDefault="00A019E8" w:rsidP="00A019E8">
      <w:p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2. stupanj -  u ovaj stupanj se raspoređuju financijski instrumenti klijenata značajnog porasta kreditnog rizika ili se individualno značajni klijent nalazi na Listi za pojačano praćenje (eng. watch list).</w:t>
      </w:r>
    </w:p>
    <w:p w:rsidR="00A019E8" w:rsidRPr="00CD3A2D" w:rsidRDefault="00A019E8" w:rsidP="00A019E8">
      <w:pPr>
        <w:jc w:val="both"/>
        <w:rPr>
          <w:rFonts w:asciiTheme="minorHAnsi" w:hAnsiTheme="minorHAnsi" w:cstheme="minorHAnsi"/>
          <w:sz w:val="22"/>
          <w:szCs w:val="22"/>
          <w:lang w:val="hr-HR"/>
        </w:rPr>
      </w:pPr>
    </w:p>
    <w:p w:rsidR="00A019E8" w:rsidRPr="00CD3A2D" w:rsidRDefault="00A019E8" w:rsidP="00A019E8">
      <w:p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 xml:space="preserve">Za detaljnije objašnjenje molimo pogledati bilješku </w:t>
      </w:r>
      <w:r w:rsidR="006D18A4" w:rsidRPr="00CD3A2D">
        <w:rPr>
          <w:rFonts w:asciiTheme="minorHAnsi" w:eastAsia="PMingLiU" w:hAnsiTheme="minorHAnsi" w:cstheme="minorHAnsi"/>
          <w:sz w:val="22"/>
          <w:szCs w:val="22"/>
          <w:lang w:val="hr-HR" w:eastAsia="hr-HR" w:bidi="hr-HR"/>
        </w:rPr>
        <w:t>3</w:t>
      </w:r>
      <w:r w:rsidRPr="00CD3A2D">
        <w:rPr>
          <w:rFonts w:asciiTheme="minorHAnsi" w:eastAsia="PMingLiU" w:hAnsiTheme="minorHAnsi" w:cstheme="minorHAnsi"/>
          <w:sz w:val="22"/>
          <w:szCs w:val="22"/>
          <w:lang w:val="hr-HR" w:eastAsia="hr-HR" w:bidi="hr-HR"/>
        </w:rPr>
        <w:t xml:space="preserve">6. Upravljanje rizicima. </w:t>
      </w:r>
    </w:p>
    <w:p w:rsidR="00A019E8" w:rsidRPr="00CD3A2D" w:rsidRDefault="00A019E8" w:rsidP="00A019E8">
      <w:pPr>
        <w:jc w:val="both"/>
        <w:rPr>
          <w:rFonts w:asciiTheme="minorHAnsi" w:eastAsia="PMingLiU" w:hAnsiTheme="minorHAnsi" w:cstheme="minorHAnsi"/>
          <w:sz w:val="22"/>
          <w:szCs w:val="22"/>
          <w:lang w:val="hr-HR" w:eastAsia="hr-HR" w:bidi="hr-HR"/>
        </w:rPr>
      </w:pPr>
    </w:p>
    <w:p w:rsidR="00A019E8" w:rsidRPr="00CD3A2D" w:rsidRDefault="00A019E8" w:rsidP="00A019E8">
      <w:pPr>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Za financijske instrumente klijenata u 2. stupnju, rezervacije za umanjenje vrijednosti se izračunavaju na skupnoj osnovi u visini cijeloživotnih očekivanih kreditnih gubitaka.</w:t>
      </w:r>
    </w:p>
    <w:p w:rsidR="00A019E8" w:rsidRPr="00CD3A2D" w:rsidRDefault="00A019E8" w:rsidP="00A019E8">
      <w:pPr>
        <w:ind w:left="709"/>
        <w:jc w:val="both"/>
        <w:rPr>
          <w:rFonts w:asciiTheme="minorHAnsi" w:eastAsia="PMingLiU" w:hAnsiTheme="minorHAnsi" w:cstheme="minorHAnsi"/>
          <w:sz w:val="22"/>
          <w:szCs w:val="22"/>
          <w:lang w:val="hr-HR" w:eastAsia="hr-HR" w:bidi="hr-HR"/>
        </w:rPr>
      </w:pPr>
    </w:p>
    <w:p w:rsidR="00A019E8" w:rsidRPr="00CD3A2D" w:rsidRDefault="00A019E8" w:rsidP="00A019E8">
      <w:p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3. stupanj – financijski instrumenti klijenta u statusu neispunjenja obveza (eng. default) – obuhvaća klijente kod kojih postoje objektivni dokazi o umanjenju vrijednosti financijskog instrumenta te kupljenu ili stvorenu kreditno umanjenu financijsku imovinu – POCI.</w:t>
      </w:r>
    </w:p>
    <w:p w:rsidR="00A019E8" w:rsidRPr="00CD3A2D" w:rsidRDefault="00A019E8" w:rsidP="00A019E8">
      <w:pPr>
        <w:jc w:val="both"/>
        <w:rPr>
          <w:rFonts w:asciiTheme="minorHAnsi" w:hAnsiTheme="minorHAnsi" w:cstheme="minorHAnsi"/>
          <w:sz w:val="22"/>
          <w:szCs w:val="22"/>
          <w:lang w:val="hr-HR"/>
        </w:rPr>
      </w:pPr>
    </w:p>
    <w:p w:rsidR="00A019E8" w:rsidRPr="00CD3A2D" w:rsidRDefault="00A019E8" w:rsidP="00A019E8">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Financijska imovina koja je priznata kao POCI imovina ostaje alocirana u 3. stupnju do prestanka priznavanja.</w:t>
      </w:r>
    </w:p>
    <w:p w:rsidR="00A019E8" w:rsidRPr="00CD3A2D" w:rsidRDefault="00A019E8" w:rsidP="00A019E8">
      <w:pPr>
        <w:tabs>
          <w:tab w:val="left" w:pos="8640"/>
        </w:tabs>
        <w:ind w:left="284" w:right="57"/>
        <w:jc w:val="both"/>
        <w:rPr>
          <w:rFonts w:asciiTheme="minorHAnsi" w:eastAsia="PMingLiU" w:hAnsiTheme="minorHAnsi" w:cstheme="minorHAnsi"/>
          <w:sz w:val="22"/>
          <w:szCs w:val="22"/>
          <w:lang w:val="hr-HR" w:eastAsia="hr-HR" w:bidi="hr-HR"/>
        </w:rPr>
      </w:pPr>
    </w:p>
    <w:p w:rsidR="00A019E8" w:rsidRPr="00CD3A2D" w:rsidRDefault="00A019E8" w:rsidP="00A019E8">
      <w:p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 xml:space="preserve">Mjerenje očekivanih kreditnih gubitaka na skupnoj osnovi koristi se za klijente u 1. i 2. stupnju te za klijente u 3. stupnju koji pripadaju portfelju malih kredita (bruto iznos izloženosti jednak ili manji od 1.500 tisuća kuna), dok se individualna procjena obavlja za financijske instrumente klijenata u statusu neispunjenja obveza i za POCI imovinu. </w:t>
      </w:r>
    </w:p>
    <w:p w:rsidR="00086AA1" w:rsidRPr="00CD3A2D" w:rsidRDefault="00086AA1" w:rsidP="00A019E8">
      <w:pPr>
        <w:rPr>
          <w:rFonts w:eastAsia="PMingLiU" w:cstheme="minorHAnsi"/>
          <w:lang w:val="hr-HR" w:eastAsia="hr-HR" w:bidi="hr-HR"/>
        </w:rPr>
        <w:sectPr w:rsidR="00086AA1" w:rsidRPr="00CD3A2D" w:rsidSect="000D6913">
          <w:pgSz w:w="11907" w:h="16840" w:code="9"/>
          <w:pgMar w:top="1418" w:right="1134" w:bottom="1134" w:left="1418" w:header="851" w:footer="851" w:gutter="0"/>
          <w:cols w:space="720"/>
          <w:noEndnote/>
        </w:sectPr>
      </w:pPr>
    </w:p>
    <w:p w:rsidR="00B019A6" w:rsidRPr="001567C8" w:rsidRDefault="00B019A6" w:rsidP="00B019A6">
      <w:pPr>
        <w:jc w:val="both"/>
        <w:rPr>
          <w:rFonts w:asciiTheme="minorHAnsi" w:hAnsiTheme="minorHAnsi" w:cs="Arial"/>
          <w:b/>
          <w:i/>
          <w:sz w:val="22"/>
          <w:szCs w:val="22"/>
          <w:lang w:val="hr-HR"/>
        </w:rPr>
      </w:pPr>
    </w:p>
    <w:p w:rsidR="00FF2BAC" w:rsidRPr="00CD3A2D" w:rsidRDefault="00FF2BAC" w:rsidP="00FF2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FF2BAC" w:rsidRPr="00CD3A2D" w:rsidRDefault="00FF2BAC" w:rsidP="00FF2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FF2BAC" w:rsidRPr="00CD3A2D" w:rsidRDefault="00FF2BAC" w:rsidP="00FF2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FF2BAC" w:rsidRPr="001567C8" w:rsidRDefault="00FF2BAC" w:rsidP="00FF2BAC">
      <w:pPr>
        <w:jc w:val="both"/>
        <w:rPr>
          <w:rFonts w:asciiTheme="minorHAnsi" w:hAnsiTheme="minorHAnsi" w:cstheme="minorHAnsi"/>
          <w:b/>
          <w:sz w:val="18"/>
          <w:szCs w:val="18"/>
          <w:lang w:val="hr-HR"/>
        </w:rPr>
      </w:pPr>
    </w:p>
    <w:p w:rsidR="00FF2BAC" w:rsidRPr="00CD3A2D" w:rsidRDefault="00FF2BAC" w:rsidP="00FF2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FF2BAC" w:rsidRPr="001567C8" w:rsidRDefault="00FF2BAC" w:rsidP="00FF2BAC">
      <w:pPr>
        <w:jc w:val="both"/>
        <w:rPr>
          <w:rFonts w:asciiTheme="minorHAnsi" w:hAnsiTheme="minorHAnsi" w:cs="Arial"/>
          <w:b/>
          <w:i/>
          <w:sz w:val="22"/>
          <w:szCs w:val="22"/>
          <w:lang w:val="hr-HR"/>
        </w:rPr>
      </w:pPr>
    </w:p>
    <w:p w:rsidR="00FF2BAC" w:rsidRPr="001567C8" w:rsidRDefault="00FF2BAC" w:rsidP="00FF2BAC">
      <w:pPr>
        <w:jc w:val="both"/>
        <w:rPr>
          <w:rFonts w:asciiTheme="minorHAnsi" w:hAnsiTheme="minorHAnsi" w:cs="Arial"/>
          <w:b/>
          <w:i/>
          <w:sz w:val="22"/>
          <w:szCs w:val="22"/>
          <w:lang w:val="hr-HR"/>
        </w:rPr>
      </w:pPr>
      <w:r w:rsidRPr="001567C8">
        <w:rPr>
          <w:rFonts w:asciiTheme="minorHAnsi" w:hAnsiTheme="minorHAnsi" w:cs="Arial"/>
          <w:b/>
          <w:i/>
          <w:sz w:val="22"/>
          <w:szCs w:val="22"/>
          <w:lang w:val="hr-HR"/>
        </w:rPr>
        <w:t>ix. Umanjenje vrijednosti (nastavak)</w:t>
      </w:r>
    </w:p>
    <w:p w:rsidR="00FF2BAC" w:rsidRPr="00CD3A2D" w:rsidRDefault="00FF2BAC" w:rsidP="00FF2BAC">
      <w:pPr>
        <w:tabs>
          <w:tab w:val="left" w:pos="8640"/>
        </w:tabs>
        <w:ind w:right="57"/>
        <w:jc w:val="both"/>
        <w:rPr>
          <w:rFonts w:eastAsia="PMingLiU" w:cstheme="minorHAnsi"/>
          <w:lang w:val="hr-HR" w:eastAsia="hr-HR" w:bidi="hr-HR"/>
        </w:rPr>
      </w:pPr>
    </w:p>
    <w:p w:rsidR="00FF2BAC" w:rsidRPr="00CD3A2D" w:rsidRDefault="00FF2BAC" w:rsidP="00FF2BAC">
      <w:p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 xml:space="preserve">Pri mjerenju očekivanih kreditnih gubitaka na skupnoj osnovi HBOR je definirao sljedeće homogene skupine na temelju zajedničkih karakteristika kreditnog rizika: </w:t>
      </w:r>
    </w:p>
    <w:p w:rsidR="00FF2BAC" w:rsidRPr="00CD3A2D" w:rsidRDefault="00FF2BAC" w:rsidP="002B5EA8">
      <w:pPr>
        <w:pStyle w:val="ListParagraph"/>
        <w:numPr>
          <w:ilvl w:val="0"/>
          <w:numId w:val="18"/>
        </w:num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financijske institucije,</w:t>
      </w:r>
    </w:p>
    <w:p w:rsidR="00FF2BAC" w:rsidRPr="00CD3A2D" w:rsidRDefault="00FF2BAC" w:rsidP="002B5EA8">
      <w:pPr>
        <w:pStyle w:val="ListParagraph"/>
        <w:numPr>
          <w:ilvl w:val="0"/>
          <w:numId w:val="18"/>
        </w:num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središnja država i lokalna i područna (regionalna) samouprava,</w:t>
      </w:r>
    </w:p>
    <w:p w:rsidR="00FF2BAC" w:rsidRPr="00CD3A2D" w:rsidRDefault="00FF2BAC" w:rsidP="002B5EA8">
      <w:pPr>
        <w:pStyle w:val="ListParagraph"/>
        <w:numPr>
          <w:ilvl w:val="0"/>
          <w:numId w:val="18"/>
        </w:num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izravni korisnici – veliki,</w:t>
      </w:r>
    </w:p>
    <w:p w:rsidR="00FF2BAC" w:rsidRPr="00CD3A2D" w:rsidRDefault="00FF2BAC" w:rsidP="002B5EA8">
      <w:pPr>
        <w:pStyle w:val="ListParagraph"/>
        <w:numPr>
          <w:ilvl w:val="0"/>
          <w:numId w:val="18"/>
        </w:num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 xml:space="preserve">izravni korisnici – mali i srednji, </w:t>
      </w:r>
    </w:p>
    <w:p w:rsidR="00FF2BAC" w:rsidRPr="00CD3A2D" w:rsidRDefault="00FF2BAC" w:rsidP="002B5EA8">
      <w:pPr>
        <w:pStyle w:val="ListParagraph"/>
        <w:numPr>
          <w:ilvl w:val="0"/>
          <w:numId w:val="18"/>
        </w:num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 xml:space="preserve">izravni korisnici – mikro, </w:t>
      </w:r>
    </w:p>
    <w:p w:rsidR="00FF2BAC" w:rsidRPr="00CD3A2D" w:rsidRDefault="00FF2BAC" w:rsidP="002B5EA8">
      <w:pPr>
        <w:pStyle w:val="ListParagraph"/>
        <w:numPr>
          <w:ilvl w:val="0"/>
          <w:numId w:val="18"/>
        </w:num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izravni korisnici – stanovništvo,</w:t>
      </w:r>
    </w:p>
    <w:p w:rsidR="00FF2BAC" w:rsidRPr="00CD3A2D" w:rsidRDefault="00FF2BAC" w:rsidP="002B5EA8">
      <w:pPr>
        <w:pStyle w:val="ListParagraph"/>
        <w:numPr>
          <w:ilvl w:val="0"/>
          <w:numId w:val="18"/>
        </w:numPr>
        <w:tabs>
          <w:tab w:val="left" w:pos="8640"/>
        </w:tabs>
        <w:ind w:right="57"/>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ostalo.</w:t>
      </w:r>
    </w:p>
    <w:p w:rsidR="00FF2BAC" w:rsidRPr="00CD3A2D" w:rsidRDefault="00FF2BAC" w:rsidP="00FF2BAC">
      <w:pPr>
        <w:jc w:val="both"/>
        <w:rPr>
          <w:rFonts w:asciiTheme="minorHAnsi" w:hAnsiTheme="minorHAnsi" w:cstheme="minorHAnsi"/>
          <w:sz w:val="22"/>
          <w:szCs w:val="22"/>
          <w:lang w:val="hr-HR"/>
        </w:rPr>
      </w:pPr>
    </w:p>
    <w:p w:rsidR="00FF2BAC" w:rsidRPr="00CD3A2D" w:rsidRDefault="00FF2BAC" w:rsidP="00FF2BAC">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Za skupinu središnje države i lokalne i područne (regionalne) samouprave kod izračuna očekivanih kreditnih gubitaka – PD-jeva (eng. probability of default) korišten je rejting vanjskih kreditnih rejting agencija za RH prema ocjeni rejting agencije S&amp;P te javno dostupni izvještaji kreditnih rejting agencija o povijesnim stopama statusa neispunjenja obveza (defaulta).  </w:t>
      </w:r>
    </w:p>
    <w:p w:rsidR="00FF2BAC" w:rsidRPr="00CD3A2D" w:rsidRDefault="00FF2BAC" w:rsidP="00FF2BAC">
      <w:pPr>
        <w:tabs>
          <w:tab w:val="left" w:pos="8640"/>
        </w:tabs>
        <w:jc w:val="both"/>
        <w:rPr>
          <w:rFonts w:asciiTheme="minorHAnsi" w:eastAsia="PMingLiU" w:hAnsiTheme="minorHAnsi" w:cstheme="minorHAnsi"/>
          <w:sz w:val="22"/>
          <w:szCs w:val="22"/>
          <w:lang w:val="hr-HR" w:eastAsia="hr-HR" w:bidi="hr-HR"/>
        </w:rPr>
      </w:pPr>
    </w:p>
    <w:p w:rsidR="00FF2BAC" w:rsidRPr="00CD3A2D" w:rsidRDefault="00FF2BAC" w:rsidP="00FF2BAC">
      <w:pPr>
        <w:tabs>
          <w:tab w:val="left" w:pos="8640"/>
        </w:tabs>
        <w:jc w:val="both"/>
        <w:rPr>
          <w:rFonts w:asciiTheme="minorHAnsi" w:eastAsia="PMingLiU" w:hAnsiTheme="minorHAnsi" w:cstheme="minorHAnsi"/>
          <w:sz w:val="22"/>
          <w:szCs w:val="22"/>
          <w:lang w:val="hr-HR" w:eastAsia="hr-HR" w:bidi="hr-HR"/>
        </w:rPr>
      </w:pPr>
      <w:r w:rsidRPr="00CD3A2D">
        <w:rPr>
          <w:rFonts w:asciiTheme="minorHAnsi" w:eastAsia="PMingLiU" w:hAnsiTheme="minorHAnsi" w:cstheme="minorHAnsi"/>
          <w:sz w:val="22"/>
          <w:szCs w:val="22"/>
          <w:lang w:val="hr-HR" w:eastAsia="hr-HR" w:bidi="hr-HR"/>
        </w:rPr>
        <w:t>Procjena kreditnih gubitaka financijskih institucija obavlja se temeljem mapiranja rejtinga HBOR-a sa PD-jevima rejting agencije S&amp;P, pri čemu je rejting Zagrebačke banke i PD Zagrebačke banke sidro (benchmark), obzirom da ta banka ima utvrđen rejting.</w:t>
      </w:r>
    </w:p>
    <w:p w:rsidR="00FF2BAC" w:rsidRPr="00CD3A2D" w:rsidRDefault="00FF2BAC" w:rsidP="00FF2BAC">
      <w:pPr>
        <w:jc w:val="both"/>
        <w:rPr>
          <w:rFonts w:asciiTheme="minorHAnsi" w:hAnsiTheme="minorHAnsi" w:cstheme="minorHAnsi"/>
          <w:sz w:val="22"/>
          <w:szCs w:val="22"/>
          <w:lang w:val="hr-HR"/>
        </w:rPr>
      </w:pPr>
    </w:p>
    <w:p w:rsidR="00FF2BAC" w:rsidRPr="00CD3A2D" w:rsidRDefault="00FF2BAC" w:rsidP="00FF2BAC">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Za skupine izravnih kredita (veliki, mali i srednji, mikro, stanovništvo) i ostalo kod modeliranja PD-jeva korišten je pristup temeljen na migracijskim matricama – kretanje izloženosti između sljedećih rizičnih skupina: </w:t>
      </w:r>
    </w:p>
    <w:p w:rsidR="00FF2BAC" w:rsidRPr="00CD3A2D" w:rsidRDefault="00FF2BAC" w:rsidP="002B5EA8">
      <w:pPr>
        <w:pStyle w:val="ListParagraph"/>
        <w:numPr>
          <w:ilvl w:val="0"/>
          <w:numId w:val="16"/>
        </w:numPr>
        <w:ind w:left="1066" w:hanging="357"/>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od 0 do 30 dana kašnjenja – 1. stupanj,</w:t>
      </w:r>
    </w:p>
    <w:p w:rsidR="00FF2BAC" w:rsidRPr="00CD3A2D" w:rsidRDefault="00FF2BAC" w:rsidP="002B5EA8">
      <w:pPr>
        <w:pStyle w:val="ListParagraph"/>
        <w:numPr>
          <w:ilvl w:val="0"/>
          <w:numId w:val="16"/>
        </w:numPr>
        <w:ind w:left="1066" w:hanging="357"/>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od 31 do 90 dana kašnjenja – 2. stupanj,</w:t>
      </w:r>
    </w:p>
    <w:p w:rsidR="00FF2BAC" w:rsidRPr="00CD3A2D" w:rsidRDefault="00FF2BAC" w:rsidP="002B5EA8">
      <w:pPr>
        <w:pStyle w:val="ListParagraph"/>
        <w:numPr>
          <w:ilvl w:val="0"/>
          <w:numId w:val="16"/>
        </w:numPr>
        <w:ind w:left="1066" w:hanging="357"/>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više od 90 dana kašnjenja i restrukturiranje – događaj statusa neispunjenja obveza  - default.</w:t>
      </w:r>
    </w:p>
    <w:p w:rsidR="00FF2BAC" w:rsidRPr="00CD3A2D" w:rsidRDefault="00FF2BAC" w:rsidP="00FF2BAC">
      <w:pPr>
        <w:jc w:val="both"/>
        <w:rPr>
          <w:rFonts w:asciiTheme="minorHAnsi" w:hAnsiTheme="minorHAnsi" w:cstheme="minorHAnsi"/>
          <w:sz w:val="22"/>
          <w:szCs w:val="22"/>
          <w:lang w:val="hr-HR"/>
        </w:rPr>
      </w:pPr>
    </w:p>
    <w:p w:rsidR="00FF2BAC" w:rsidRPr="00CD3A2D" w:rsidRDefault="00FF2BAC" w:rsidP="00FF2BAC">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Kreditni gubitak je razlika između svih ugovorenih novčanih tokova i svih novčanih tokova koji se očekuju od dužnika, diskontiranih na sadašnju vrijednost primjenom izvorne efektivne kamatne stope, ili, u slučaju POCI imovine, primjenom EKS usklađene za kreditni rizik.</w:t>
      </w:r>
    </w:p>
    <w:p w:rsidR="00FF2BAC" w:rsidRPr="00CD3A2D" w:rsidRDefault="00FF2BAC" w:rsidP="00FF2BAC">
      <w:pPr>
        <w:jc w:val="both"/>
        <w:rPr>
          <w:rFonts w:asciiTheme="minorHAnsi" w:hAnsiTheme="minorHAnsi" w:cstheme="minorHAnsi"/>
          <w:sz w:val="22"/>
          <w:szCs w:val="22"/>
          <w:lang w:val="hr-HR"/>
        </w:rPr>
      </w:pPr>
    </w:p>
    <w:p w:rsidR="00FF2BAC" w:rsidRPr="00CD3A2D" w:rsidRDefault="00FF2BAC" w:rsidP="00FF2BAC">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Za financijsku imovinu koja se naknadno mjeri po amortiziranom trošku, umanjenje vrijednosti priznaje se kao trošak u izvještaju o dobiti i gubitku, a rezervacije za umanjenje vrijednosti umanjuju knjigovodstvenu vrijednost financijske imovine u izvještaju o financijskom položaju. Rezervacije za umanjenje vrijednosti smanjuju se ili ukidaju u slučaju smanjenja očekivanih kreditnih gubitaka ili zbog naplate potraživanja u </w:t>
      </w:r>
    </w:p>
    <w:p w:rsidR="00FF2BAC" w:rsidRPr="00CD3A2D" w:rsidRDefault="00FF2BAC" w:rsidP="00FF2BAC">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izvještaju o financijskom položaju i istovremeno se priznaju kao prihod od ukidanja rezervacija ili prihod po naplati u dobiti ili gubitku.</w:t>
      </w:r>
    </w:p>
    <w:p w:rsidR="00086AA1" w:rsidRPr="00CD3A2D" w:rsidRDefault="00086AA1" w:rsidP="00FF2BAC">
      <w:pPr>
        <w:rPr>
          <w:rFonts w:asciiTheme="minorHAnsi" w:hAnsiTheme="minorHAnsi" w:cstheme="minorHAnsi"/>
          <w:b/>
          <w:bCs/>
          <w:sz w:val="22"/>
          <w:szCs w:val="22"/>
          <w:lang w:val="hr-HR"/>
        </w:rPr>
        <w:sectPr w:rsidR="00086AA1" w:rsidRPr="00CD3A2D" w:rsidSect="000D6913">
          <w:pgSz w:w="11907" w:h="16840" w:code="9"/>
          <w:pgMar w:top="1418" w:right="1134" w:bottom="1134" w:left="1418" w:header="851" w:footer="851" w:gutter="0"/>
          <w:cols w:space="720"/>
          <w:noEndnote/>
        </w:sectPr>
      </w:pPr>
    </w:p>
    <w:p w:rsidR="00B019A6" w:rsidRPr="001567C8" w:rsidRDefault="00B019A6" w:rsidP="00B019A6">
      <w:pPr>
        <w:jc w:val="both"/>
        <w:rPr>
          <w:rFonts w:asciiTheme="minorHAnsi" w:hAnsiTheme="minorHAnsi" w:cs="Arial"/>
          <w:b/>
          <w:i/>
          <w:sz w:val="22"/>
          <w:szCs w:val="22"/>
          <w:lang w:val="hr-HR"/>
        </w:rPr>
      </w:pPr>
    </w:p>
    <w:p w:rsidR="004077C9" w:rsidRPr="00CD3A2D" w:rsidRDefault="004077C9" w:rsidP="00407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4077C9" w:rsidRPr="00CD3A2D" w:rsidRDefault="004077C9" w:rsidP="00407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4077C9" w:rsidRPr="00CD3A2D" w:rsidRDefault="004077C9" w:rsidP="00407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4077C9" w:rsidRPr="001567C8" w:rsidRDefault="004077C9" w:rsidP="004077C9">
      <w:pPr>
        <w:jc w:val="both"/>
        <w:rPr>
          <w:rFonts w:asciiTheme="minorHAnsi" w:hAnsiTheme="minorHAnsi" w:cstheme="minorHAnsi"/>
          <w:b/>
          <w:sz w:val="18"/>
          <w:szCs w:val="18"/>
          <w:lang w:val="hr-HR"/>
        </w:rPr>
      </w:pPr>
    </w:p>
    <w:p w:rsidR="004077C9" w:rsidRPr="00CD3A2D" w:rsidRDefault="004077C9" w:rsidP="00407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4077C9" w:rsidRPr="001567C8" w:rsidRDefault="004077C9" w:rsidP="004077C9">
      <w:pPr>
        <w:jc w:val="both"/>
        <w:rPr>
          <w:rFonts w:asciiTheme="minorHAnsi" w:hAnsiTheme="minorHAnsi" w:cs="Arial"/>
          <w:b/>
          <w:i/>
          <w:sz w:val="22"/>
          <w:szCs w:val="22"/>
          <w:lang w:val="hr-HR"/>
        </w:rPr>
      </w:pPr>
    </w:p>
    <w:p w:rsidR="004077C9" w:rsidRPr="001567C8" w:rsidRDefault="004077C9" w:rsidP="004077C9">
      <w:pPr>
        <w:jc w:val="both"/>
        <w:rPr>
          <w:rFonts w:asciiTheme="minorHAnsi" w:hAnsiTheme="minorHAnsi" w:cs="Arial"/>
          <w:b/>
          <w:i/>
          <w:sz w:val="22"/>
          <w:szCs w:val="22"/>
          <w:lang w:val="hr-HR"/>
        </w:rPr>
      </w:pPr>
      <w:r w:rsidRPr="001567C8">
        <w:rPr>
          <w:rFonts w:asciiTheme="minorHAnsi" w:hAnsiTheme="minorHAnsi" w:cs="Arial"/>
          <w:b/>
          <w:i/>
          <w:sz w:val="22"/>
          <w:szCs w:val="22"/>
          <w:lang w:val="hr-HR"/>
        </w:rPr>
        <w:t>ix. Umanjenje vrijednosti (nastavak)</w:t>
      </w:r>
    </w:p>
    <w:p w:rsidR="00B019A6" w:rsidRPr="001567C8" w:rsidRDefault="00B019A6" w:rsidP="00B019A6">
      <w:pPr>
        <w:jc w:val="both"/>
        <w:rPr>
          <w:rFonts w:asciiTheme="minorHAnsi" w:hAnsiTheme="minorHAnsi" w:cs="Arial"/>
          <w:b/>
          <w:i/>
          <w:sz w:val="22"/>
          <w:szCs w:val="22"/>
          <w:lang w:val="hr-HR"/>
        </w:rPr>
      </w:pPr>
    </w:p>
    <w:p w:rsidR="004077C9" w:rsidRPr="00CD3A2D" w:rsidRDefault="004077C9" w:rsidP="004077C9">
      <w:pPr>
        <w:jc w:val="both"/>
        <w:rPr>
          <w:rFonts w:asciiTheme="minorHAnsi" w:hAnsiTheme="minorHAnsi" w:cstheme="minorHAnsi"/>
          <w:color w:val="000000" w:themeColor="text1"/>
          <w:sz w:val="22"/>
          <w:szCs w:val="22"/>
          <w:lang w:val="hr-HR"/>
        </w:rPr>
      </w:pPr>
      <w:r w:rsidRPr="00CD3A2D">
        <w:rPr>
          <w:rFonts w:asciiTheme="minorHAnsi" w:hAnsiTheme="minorHAnsi" w:cstheme="minorHAnsi"/>
          <w:color w:val="000000" w:themeColor="text1"/>
          <w:sz w:val="22"/>
          <w:szCs w:val="22"/>
          <w:lang w:val="hr-HR"/>
        </w:rPr>
        <w:t>Umanjenje financijske imovine klasificirane kao imovina koja se naknadno mjeri po fer vrijednosti kroz ostalu sveobuhvatnu dobit obračunava se primjenom modela očekivanih kreditnih gubitaka na način da se rezervacije za umanjenje vrijednosti priznaju u računu dobiti i gubitka te u sklopu ostale sveobuhvatne dobiti i sukladno tome ne umanjuju knjigovodstveni iznos ove financijske imovine u izvještaju o financijskom položaju.</w:t>
      </w:r>
    </w:p>
    <w:p w:rsidR="004077C9" w:rsidRPr="00CD3A2D" w:rsidRDefault="004077C9" w:rsidP="004077C9">
      <w:pPr>
        <w:jc w:val="both"/>
        <w:rPr>
          <w:rFonts w:asciiTheme="minorHAnsi" w:hAnsiTheme="minorHAnsi" w:cstheme="minorHAnsi"/>
          <w:color w:val="000000" w:themeColor="text1"/>
          <w:sz w:val="22"/>
          <w:szCs w:val="22"/>
          <w:lang w:val="hr-HR"/>
        </w:rPr>
      </w:pPr>
    </w:p>
    <w:p w:rsidR="004077C9" w:rsidRPr="00CD3A2D" w:rsidRDefault="004077C9" w:rsidP="004077C9">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Dobit ili gubitak nastao promjenom fer vrijednosti ove financijske imovine priznaje se u ostaloj sveobuhvatnoj dobiti, a dobit ili gubitak od tečajnih razlika priznaje se u izvještaju o dobiti i gubitku.</w:t>
      </w:r>
    </w:p>
    <w:p w:rsidR="004077C9" w:rsidRPr="00CD3A2D" w:rsidRDefault="004077C9" w:rsidP="004077C9">
      <w:pPr>
        <w:pStyle w:val="Style26"/>
        <w:shd w:val="clear" w:color="auto" w:fill="auto"/>
        <w:spacing w:before="0" w:line="240" w:lineRule="auto"/>
        <w:ind w:firstLine="0"/>
        <w:jc w:val="both"/>
        <w:rPr>
          <w:rFonts w:asciiTheme="minorHAnsi" w:hAnsiTheme="minorHAnsi" w:cstheme="minorHAnsi"/>
          <w:color w:val="000000" w:themeColor="text1"/>
          <w:sz w:val="22"/>
          <w:szCs w:val="22"/>
          <w:lang w:val="hr-HR"/>
        </w:rPr>
      </w:pPr>
    </w:p>
    <w:p w:rsidR="004077C9" w:rsidRPr="00CD3A2D" w:rsidRDefault="004077C9" w:rsidP="004077C9">
      <w:pPr>
        <w:pStyle w:val="Style26"/>
        <w:shd w:val="clear" w:color="auto" w:fill="auto"/>
        <w:spacing w:before="0" w:line="240" w:lineRule="auto"/>
        <w:ind w:firstLine="0"/>
        <w:jc w:val="both"/>
        <w:rPr>
          <w:rFonts w:asciiTheme="minorHAnsi" w:eastAsia="Times New Roman" w:hAnsiTheme="minorHAnsi" w:cstheme="minorHAnsi"/>
          <w:sz w:val="22"/>
          <w:szCs w:val="22"/>
          <w:lang w:val="hr-HR"/>
        </w:rPr>
      </w:pPr>
      <w:r w:rsidRPr="00CD3A2D">
        <w:rPr>
          <w:rFonts w:asciiTheme="minorHAnsi" w:eastAsia="Times New Roman" w:hAnsiTheme="minorHAnsi" w:cstheme="minorHAnsi"/>
          <w:sz w:val="22"/>
          <w:szCs w:val="22"/>
          <w:lang w:val="hr-HR"/>
        </w:rPr>
        <w:t xml:space="preserve">Akumulirana dobit/gubitak priznati u ostaloj sveobuhvatnoj dobiti reklasificiraju se iz vlasničkog kapitala u </w:t>
      </w:r>
      <w:r w:rsidR="00AA5F2C" w:rsidRPr="00CD3A2D">
        <w:rPr>
          <w:rFonts w:asciiTheme="minorHAnsi" w:eastAsia="Times New Roman" w:hAnsiTheme="minorHAnsi" w:cstheme="minorHAnsi"/>
          <w:sz w:val="22"/>
          <w:szCs w:val="22"/>
          <w:lang w:val="hr-HR"/>
        </w:rPr>
        <w:t>računu</w:t>
      </w:r>
      <w:r w:rsidRPr="00CD3A2D">
        <w:rPr>
          <w:rFonts w:asciiTheme="minorHAnsi" w:eastAsia="Times New Roman" w:hAnsiTheme="minorHAnsi" w:cstheme="minorHAnsi"/>
          <w:sz w:val="22"/>
          <w:szCs w:val="22"/>
          <w:lang w:val="hr-HR"/>
        </w:rPr>
        <w:t xml:space="preserve"> dobiti i gubitk</w:t>
      </w:r>
      <w:r w:rsidR="00AA5F2C" w:rsidRPr="00CD3A2D">
        <w:rPr>
          <w:rFonts w:asciiTheme="minorHAnsi" w:eastAsia="Times New Roman" w:hAnsiTheme="minorHAnsi" w:cstheme="minorHAnsi"/>
          <w:sz w:val="22"/>
          <w:szCs w:val="22"/>
          <w:lang w:val="hr-HR"/>
        </w:rPr>
        <w:t>a</w:t>
      </w:r>
      <w:r w:rsidRPr="00CD3A2D">
        <w:rPr>
          <w:rFonts w:asciiTheme="minorHAnsi" w:eastAsia="Times New Roman" w:hAnsiTheme="minorHAnsi" w:cstheme="minorHAnsi"/>
          <w:sz w:val="22"/>
          <w:szCs w:val="22"/>
          <w:lang w:val="hr-HR"/>
        </w:rPr>
        <w:t xml:space="preserve"> pri prestanku priznavanja imovine i predstavljaju reklasifikacijsko usklađenje, osim za vlasničke vrijednosnice klasificirane unutar financijske imovine po fer vrijednosti kroz ostalu sveobuhvatnu dobit kod kojih se rezerve priznate unutar ostale sveobuhvatne dobiti nikada neće prenijeti u </w:t>
      </w:r>
      <w:r w:rsidR="00AA5F2C" w:rsidRPr="00CD3A2D">
        <w:rPr>
          <w:rFonts w:asciiTheme="minorHAnsi" w:eastAsia="Times New Roman" w:hAnsiTheme="minorHAnsi" w:cstheme="minorHAnsi"/>
          <w:sz w:val="22"/>
          <w:szCs w:val="22"/>
          <w:lang w:val="hr-HR"/>
        </w:rPr>
        <w:t>račun</w:t>
      </w:r>
      <w:r w:rsidRPr="00CD3A2D">
        <w:rPr>
          <w:rFonts w:asciiTheme="minorHAnsi" w:eastAsia="Times New Roman" w:hAnsiTheme="minorHAnsi" w:cstheme="minorHAnsi"/>
          <w:sz w:val="22"/>
          <w:szCs w:val="22"/>
          <w:lang w:val="hr-HR"/>
        </w:rPr>
        <w:t xml:space="preserve"> dobiti i gubitk</w:t>
      </w:r>
      <w:r w:rsidR="00AA5F2C" w:rsidRPr="00CD3A2D">
        <w:rPr>
          <w:rFonts w:asciiTheme="minorHAnsi" w:eastAsia="Times New Roman" w:hAnsiTheme="minorHAnsi" w:cstheme="minorHAnsi"/>
          <w:sz w:val="22"/>
          <w:szCs w:val="22"/>
          <w:lang w:val="hr-HR"/>
        </w:rPr>
        <w:t>a</w:t>
      </w:r>
      <w:r w:rsidRPr="00CD3A2D">
        <w:rPr>
          <w:rFonts w:asciiTheme="minorHAnsi" w:eastAsia="Times New Roman" w:hAnsiTheme="minorHAnsi" w:cstheme="minorHAnsi"/>
          <w:sz w:val="22"/>
          <w:szCs w:val="22"/>
          <w:lang w:val="hr-HR"/>
        </w:rPr>
        <w:t>.</w:t>
      </w:r>
    </w:p>
    <w:p w:rsidR="004077C9" w:rsidRPr="00CD3A2D" w:rsidRDefault="004077C9" w:rsidP="004077C9">
      <w:pPr>
        <w:jc w:val="both"/>
        <w:rPr>
          <w:rFonts w:asciiTheme="minorHAnsi" w:hAnsiTheme="minorHAnsi" w:cstheme="minorHAnsi"/>
          <w:sz w:val="22"/>
          <w:szCs w:val="22"/>
          <w:lang w:val="hr-HR"/>
        </w:rPr>
      </w:pPr>
    </w:p>
    <w:p w:rsidR="004077C9" w:rsidRPr="00CD3A2D" w:rsidRDefault="004077C9" w:rsidP="004077C9">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Financijska imovina koja je klasificirana kao imovina koja se naknadno mjeri po fer vrijednosti kroz dobiti i</w:t>
      </w:r>
      <w:r w:rsidR="00AA5F2C" w:rsidRPr="00CD3A2D">
        <w:rPr>
          <w:rFonts w:asciiTheme="minorHAnsi" w:hAnsiTheme="minorHAnsi" w:cstheme="minorHAnsi"/>
          <w:sz w:val="22"/>
          <w:szCs w:val="22"/>
          <w:lang w:val="hr-HR"/>
        </w:rPr>
        <w:t>li</w:t>
      </w:r>
      <w:r w:rsidRPr="00CD3A2D">
        <w:rPr>
          <w:rFonts w:asciiTheme="minorHAnsi" w:hAnsiTheme="minorHAnsi" w:cstheme="minorHAnsi"/>
          <w:sz w:val="22"/>
          <w:szCs w:val="22"/>
          <w:lang w:val="hr-HR"/>
        </w:rPr>
        <w:t xml:space="preserve"> gubit</w:t>
      </w:r>
      <w:r w:rsidR="00AA5F2C" w:rsidRPr="00CD3A2D">
        <w:rPr>
          <w:rFonts w:asciiTheme="minorHAnsi" w:hAnsiTheme="minorHAnsi" w:cstheme="minorHAnsi"/>
          <w:sz w:val="22"/>
          <w:szCs w:val="22"/>
          <w:lang w:val="hr-HR"/>
        </w:rPr>
        <w:t>ak</w:t>
      </w:r>
      <w:r w:rsidRPr="00CD3A2D">
        <w:rPr>
          <w:rFonts w:asciiTheme="minorHAnsi" w:hAnsiTheme="minorHAnsi" w:cstheme="minorHAnsi"/>
          <w:sz w:val="22"/>
          <w:szCs w:val="22"/>
          <w:lang w:val="hr-HR"/>
        </w:rPr>
        <w:t xml:space="preserve"> početno i naknadno se mjeri po utvrđenoj fer vrijednosti i ne podliježe umanjenju vrijednosti, već se fer vrijednost imovine utvrđuje sukladno internim aktima koji uređuju metode vrednovanja financijskih instrumenata, do prestanka priznavanja financijskog instrumenta.</w:t>
      </w:r>
    </w:p>
    <w:p w:rsidR="004077C9" w:rsidRPr="00CD3A2D" w:rsidRDefault="004077C9" w:rsidP="004077C9">
      <w:pPr>
        <w:jc w:val="both"/>
        <w:rPr>
          <w:rFonts w:asciiTheme="minorHAnsi" w:hAnsiTheme="minorHAnsi" w:cstheme="minorHAnsi"/>
          <w:b/>
          <w:sz w:val="22"/>
          <w:szCs w:val="22"/>
          <w:lang w:val="hr-HR"/>
        </w:rPr>
      </w:pPr>
      <w:r w:rsidRPr="00CD3A2D">
        <w:rPr>
          <w:rFonts w:asciiTheme="minorHAnsi" w:hAnsiTheme="minorHAnsi" w:cstheme="minorHAnsi"/>
          <w:sz w:val="22"/>
          <w:szCs w:val="22"/>
          <w:lang w:val="hr-HR"/>
        </w:rPr>
        <w:t>Smanjenje ili povećanje fer vrijednosti ove financijske imovine evidentira se povećanjem ili smanjenjem njihove knjigovodstvene vrijednosti u izvještaju o financijskom položaju, a dobici ili gubici nastali promjenom fer vrijednosti priznaju se u izvještaju o dobiti ili gubitku.</w:t>
      </w:r>
    </w:p>
    <w:p w:rsidR="004077C9" w:rsidRPr="00CD3A2D" w:rsidRDefault="004077C9" w:rsidP="004077C9">
      <w:pPr>
        <w:jc w:val="both"/>
        <w:rPr>
          <w:rFonts w:asciiTheme="minorHAnsi" w:hAnsiTheme="minorHAnsi" w:cstheme="minorHAnsi"/>
          <w:sz w:val="22"/>
          <w:szCs w:val="22"/>
          <w:lang w:val="hr-HR"/>
        </w:rPr>
      </w:pPr>
    </w:p>
    <w:p w:rsidR="004077C9" w:rsidRPr="00CD3A2D" w:rsidRDefault="004077C9" w:rsidP="004077C9">
      <w:pPr>
        <w:jc w:val="both"/>
        <w:rPr>
          <w:rFonts w:asciiTheme="minorHAnsi" w:hAnsiTheme="minorHAnsi" w:cstheme="minorHAnsi"/>
          <w:sz w:val="22"/>
          <w:szCs w:val="22"/>
          <w:lang w:val="hr-HR"/>
        </w:rPr>
      </w:pPr>
      <w:r w:rsidRPr="00CD3A2D">
        <w:rPr>
          <w:rFonts w:asciiTheme="minorHAnsi" w:hAnsiTheme="minorHAnsi" w:cstheme="minorHAnsi"/>
          <w:b/>
          <w:sz w:val="22"/>
          <w:szCs w:val="22"/>
          <w:lang w:val="hr-HR"/>
        </w:rPr>
        <w:t>Pojednostavljeni pristup</w:t>
      </w:r>
      <w:r w:rsidRPr="00CD3A2D">
        <w:rPr>
          <w:rFonts w:asciiTheme="minorHAnsi" w:hAnsiTheme="minorHAnsi" w:cstheme="minorHAnsi"/>
          <w:sz w:val="22"/>
          <w:szCs w:val="22"/>
          <w:lang w:val="hr-HR"/>
        </w:rPr>
        <w:t xml:space="preserve"> umanjenja vrijednosti može se primijeniti samo na potraživanja od kupaca ili ugovornu imovinu i potraživanja na temelju najma, te ostale nekamatne naknade i ovo umanjenje vrijednosti uvijek odgovara iznosu očekivanih kreditnih gubitaka tijekom vijeka trajanja instrumenta.</w:t>
      </w:r>
    </w:p>
    <w:p w:rsidR="004077C9" w:rsidRPr="00CD3A2D" w:rsidRDefault="004077C9" w:rsidP="004077C9">
      <w:pPr>
        <w:jc w:val="both"/>
        <w:rPr>
          <w:rFonts w:asciiTheme="minorHAnsi" w:hAnsiTheme="minorHAnsi" w:cstheme="minorHAnsi"/>
          <w:sz w:val="22"/>
          <w:szCs w:val="22"/>
          <w:lang w:val="hr-HR"/>
        </w:rPr>
      </w:pPr>
    </w:p>
    <w:p w:rsidR="004077C9" w:rsidRPr="00CD3A2D" w:rsidRDefault="004077C9" w:rsidP="004077C9">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Pri inicijalnom priznavanju financijska imovina se alocira u 2. stupanj (sva financijska imovina koja nije kreditno umanjena pri inicijalnom priznavanju) ili 3. stupanj (sva POCI imovina).</w:t>
      </w:r>
    </w:p>
    <w:p w:rsidR="004077C9" w:rsidRPr="00CD3A2D" w:rsidRDefault="004077C9" w:rsidP="004077C9">
      <w:pPr>
        <w:jc w:val="both"/>
        <w:rPr>
          <w:rFonts w:asciiTheme="minorHAnsi" w:hAnsiTheme="minorHAnsi" w:cstheme="minorHAnsi"/>
          <w:sz w:val="22"/>
          <w:szCs w:val="22"/>
          <w:lang w:val="hr-HR"/>
        </w:rPr>
      </w:pPr>
    </w:p>
    <w:p w:rsidR="004077C9" w:rsidRPr="00CD3A2D" w:rsidRDefault="004077C9" w:rsidP="004077C9">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Na sljedeće izvještajne datume sva financijska imovina, koja nije priznata kao POCI imovina, alocira se isključivo prema kriterijima kreditnog umanjenja u 2. i 3. stupanj.</w:t>
      </w:r>
    </w:p>
    <w:p w:rsidR="004077C9" w:rsidRPr="00CD3A2D" w:rsidRDefault="004077C9" w:rsidP="004077C9">
      <w:pPr>
        <w:pStyle w:val="ListParagraph"/>
        <w:ind w:left="0"/>
        <w:jc w:val="both"/>
        <w:rPr>
          <w:rFonts w:asciiTheme="minorHAnsi" w:hAnsiTheme="minorHAnsi" w:cstheme="minorHAnsi"/>
          <w:sz w:val="22"/>
          <w:szCs w:val="22"/>
          <w:lang w:val="hr-HR"/>
        </w:rPr>
      </w:pPr>
    </w:p>
    <w:p w:rsidR="004077C9" w:rsidRPr="00CD3A2D" w:rsidRDefault="004077C9" w:rsidP="004077C9">
      <w:pPr>
        <w:pStyle w:val="ListParagraph"/>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Financijska imovina koja je priznata kao POCI imovina ostaje alocirana u 3. stupnju do prestanka priznavanja.</w:t>
      </w:r>
    </w:p>
    <w:p w:rsidR="004077C9" w:rsidRPr="00CD3A2D" w:rsidRDefault="004077C9" w:rsidP="004077C9">
      <w:pPr>
        <w:pStyle w:val="ListParagraph"/>
        <w:ind w:left="0"/>
        <w:jc w:val="both"/>
        <w:rPr>
          <w:rFonts w:asciiTheme="minorHAnsi" w:hAnsiTheme="minorHAnsi" w:cstheme="minorHAnsi"/>
          <w:sz w:val="22"/>
          <w:szCs w:val="22"/>
          <w:lang w:val="hr-HR"/>
        </w:rPr>
      </w:pPr>
    </w:p>
    <w:p w:rsidR="004077C9" w:rsidRPr="00CD3A2D" w:rsidRDefault="004077C9" w:rsidP="004077C9">
      <w:pPr>
        <w:pStyle w:val="ListParagraph"/>
        <w:ind w:left="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Detalji vezani uz metodologiju su navedeni u sklopu bilješke 36</w:t>
      </w:r>
      <w:r w:rsidR="0007284F" w:rsidRPr="00CD3A2D">
        <w:rPr>
          <w:rFonts w:asciiTheme="minorHAnsi" w:hAnsiTheme="minorHAnsi" w:cstheme="minorHAnsi"/>
          <w:sz w:val="22"/>
          <w:szCs w:val="22"/>
          <w:lang w:val="hr-HR"/>
        </w:rPr>
        <w:t>.</w:t>
      </w:r>
      <w:r w:rsidRPr="00CD3A2D">
        <w:rPr>
          <w:rFonts w:asciiTheme="minorHAnsi" w:hAnsiTheme="minorHAnsi" w:cstheme="minorHAnsi"/>
          <w:sz w:val="22"/>
          <w:szCs w:val="22"/>
          <w:lang w:val="hr-HR"/>
        </w:rPr>
        <w:t xml:space="preserve"> Upravljanje rizicima. </w:t>
      </w:r>
    </w:p>
    <w:p w:rsidR="00086AA1" w:rsidRPr="00CD3A2D" w:rsidRDefault="00086AA1" w:rsidP="004077C9">
      <w:pPr>
        <w:rPr>
          <w:rFonts w:cs="Arial"/>
          <w:lang w:val="hr-HR"/>
        </w:rPr>
        <w:sectPr w:rsidR="00086AA1" w:rsidRPr="00CD3A2D" w:rsidSect="000D6913">
          <w:pgSz w:w="11907" w:h="16840" w:code="9"/>
          <w:pgMar w:top="1418" w:right="1134" w:bottom="1134" w:left="1418" w:header="851" w:footer="851" w:gutter="0"/>
          <w:cols w:space="720"/>
          <w:noEndnote/>
        </w:sectPr>
      </w:pPr>
    </w:p>
    <w:p w:rsidR="004077C9" w:rsidRPr="001567C8" w:rsidRDefault="004077C9" w:rsidP="00B019A6">
      <w:pPr>
        <w:jc w:val="both"/>
        <w:rPr>
          <w:rFonts w:asciiTheme="minorHAnsi" w:hAnsiTheme="minorHAnsi" w:cs="Arial"/>
          <w:b/>
          <w:i/>
          <w:sz w:val="22"/>
          <w:szCs w:val="22"/>
          <w:lang w:val="hr-HR"/>
        </w:rPr>
      </w:pPr>
    </w:p>
    <w:p w:rsidR="006615C7" w:rsidRPr="00CD3A2D" w:rsidRDefault="006615C7" w:rsidP="00661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6615C7" w:rsidRPr="00CD3A2D" w:rsidRDefault="006615C7" w:rsidP="00661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6615C7" w:rsidRPr="00CD3A2D" w:rsidRDefault="006615C7" w:rsidP="00661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6615C7" w:rsidRPr="001567C8" w:rsidRDefault="006615C7" w:rsidP="006615C7">
      <w:pPr>
        <w:jc w:val="both"/>
        <w:rPr>
          <w:rFonts w:asciiTheme="minorHAnsi" w:hAnsiTheme="minorHAnsi" w:cstheme="minorHAnsi"/>
          <w:b/>
          <w:sz w:val="18"/>
          <w:szCs w:val="18"/>
          <w:lang w:val="hr-HR"/>
        </w:rPr>
      </w:pPr>
    </w:p>
    <w:p w:rsidR="006615C7" w:rsidRPr="00CD3A2D" w:rsidRDefault="006615C7" w:rsidP="00661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B019A6" w:rsidRPr="001567C8" w:rsidRDefault="00B019A6" w:rsidP="00B019A6">
      <w:pPr>
        <w:jc w:val="both"/>
        <w:rPr>
          <w:rFonts w:asciiTheme="minorHAnsi" w:hAnsiTheme="minorHAnsi" w:cs="Arial"/>
          <w:b/>
          <w:i/>
          <w:sz w:val="22"/>
          <w:szCs w:val="22"/>
          <w:lang w:val="hr-HR"/>
        </w:rPr>
      </w:pPr>
    </w:p>
    <w:p w:rsidR="006615C7" w:rsidRPr="001567C8" w:rsidRDefault="006615C7" w:rsidP="00B019A6">
      <w:pPr>
        <w:jc w:val="both"/>
        <w:rPr>
          <w:rFonts w:asciiTheme="minorHAnsi" w:hAnsiTheme="minorHAnsi" w:cs="Arial"/>
          <w:b/>
          <w:i/>
          <w:sz w:val="22"/>
          <w:szCs w:val="22"/>
          <w:lang w:val="hr-HR"/>
        </w:rPr>
      </w:pPr>
      <w:r w:rsidRPr="001567C8">
        <w:rPr>
          <w:rFonts w:asciiTheme="minorHAnsi" w:hAnsiTheme="minorHAnsi" w:cs="Arial"/>
          <w:b/>
          <w:i/>
          <w:sz w:val="22"/>
          <w:szCs w:val="22"/>
          <w:lang w:val="hr-HR"/>
        </w:rPr>
        <w:t>x. Financijska imovina - kategorije</w:t>
      </w:r>
    </w:p>
    <w:p w:rsidR="006615C7" w:rsidRPr="001567C8" w:rsidRDefault="006615C7" w:rsidP="006615C7">
      <w:pPr>
        <w:jc w:val="both"/>
        <w:rPr>
          <w:rFonts w:asciiTheme="minorHAnsi" w:hAnsiTheme="minorHAnsi" w:cs="Arial"/>
          <w:b/>
          <w:sz w:val="22"/>
          <w:szCs w:val="22"/>
          <w:lang w:val="hr-HR"/>
        </w:rPr>
      </w:pPr>
      <w:r w:rsidRPr="00CD3A2D">
        <w:rPr>
          <w:rFonts w:asciiTheme="minorHAnsi" w:hAnsiTheme="minorHAnsi" w:cstheme="minorHAnsi"/>
          <w:i/>
          <w:sz w:val="22"/>
          <w:szCs w:val="22"/>
          <w:lang w:val="hr-HR" w:eastAsia="hr-HR"/>
        </w:rPr>
        <w:t>Politika primjenjiva od 1. siječnja 2018. godine</w:t>
      </w:r>
    </w:p>
    <w:p w:rsidR="00B019A6" w:rsidRPr="001567C8" w:rsidRDefault="00B019A6" w:rsidP="00B019A6">
      <w:pPr>
        <w:jc w:val="both"/>
        <w:rPr>
          <w:rFonts w:asciiTheme="minorHAnsi" w:hAnsiTheme="minorHAnsi" w:cs="Arial"/>
          <w:b/>
          <w:i/>
          <w:sz w:val="22"/>
          <w:szCs w:val="22"/>
          <w:lang w:val="hr-HR"/>
        </w:rPr>
      </w:pPr>
    </w:p>
    <w:p w:rsidR="006615C7" w:rsidRPr="00CD3A2D" w:rsidRDefault="006615C7" w:rsidP="006615C7">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Financijsku imovinu Grupe čine:</w:t>
      </w:r>
    </w:p>
    <w:p w:rsidR="006615C7" w:rsidRPr="00CD3A2D" w:rsidRDefault="006615C7" w:rsidP="002B5EA8">
      <w:pPr>
        <w:pStyle w:val="ListParagraph"/>
        <w:numPr>
          <w:ilvl w:val="0"/>
          <w:numId w:val="6"/>
        </w:numPr>
        <w:spacing w:line="120" w:lineRule="atLeast"/>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gotovina u blagajni i novčana sredstva na transakcijskim računima,</w:t>
      </w:r>
    </w:p>
    <w:p w:rsidR="006615C7" w:rsidRPr="00CD3A2D" w:rsidRDefault="006615C7" w:rsidP="002B5EA8">
      <w:pPr>
        <w:pStyle w:val="ListParagraph"/>
        <w:numPr>
          <w:ilvl w:val="0"/>
          <w:numId w:val="6"/>
        </w:numPr>
        <w:spacing w:line="120" w:lineRule="atLeast"/>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depoziti kod banaka,</w:t>
      </w:r>
    </w:p>
    <w:p w:rsidR="006615C7" w:rsidRPr="00CD3A2D" w:rsidRDefault="006615C7" w:rsidP="002B5EA8">
      <w:pPr>
        <w:pStyle w:val="ListParagraph"/>
        <w:numPr>
          <w:ilvl w:val="0"/>
          <w:numId w:val="6"/>
        </w:numPr>
        <w:spacing w:line="120" w:lineRule="atLeast"/>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krediti,</w:t>
      </w:r>
    </w:p>
    <w:p w:rsidR="006615C7" w:rsidRPr="00CD3A2D" w:rsidRDefault="006615C7" w:rsidP="002B5EA8">
      <w:pPr>
        <w:pStyle w:val="ListParagraph"/>
        <w:numPr>
          <w:ilvl w:val="0"/>
          <w:numId w:val="6"/>
        </w:numPr>
        <w:spacing w:line="120" w:lineRule="atLeast"/>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dužnički vrijednosni papiri,</w:t>
      </w:r>
    </w:p>
    <w:p w:rsidR="006615C7" w:rsidRPr="00CD3A2D" w:rsidRDefault="006615C7" w:rsidP="002B5EA8">
      <w:pPr>
        <w:pStyle w:val="ListParagraph"/>
        <w:numPr>
          <w:ilvl w:val="0"/>
          <w:numId w:val="6"/>
        </w:numPr>
        <w:spacing w:line="120" w:lineRule="atLeast"/>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vlasnički vrijednosni papiri,</w:t>
      </w:r>
    </w:p>
    <w:p w:rsidR="006615C7" w:rsidRPr="00CD3A2D" w:rsidRDefault="006615C7" w:rsidP="002B5EA8">
      <w:pPr>
        <w:pStyle w:val="ListParagraph"/>
        <w:numPr>
          <w:ilvl w:val="0"/>
          <w:numId w:val="6"/>
        </w:numPr>
        <w:spacing w:line="120" w:lineRule="atLeast"/>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udjeli u investicijskim fondovima,</w:t>
      </w:r>
    </w:p>
    <w:p w:rsidR="006615C7" w:rsidRPr="00CD3A2D" w:rsidRDefault="006615C7" w:rsidP="002B5EA8">
      <w:pPr>
        <w:pStyle w:val="ListParagraph"/>
        <w:numPr>
          <w:ilvl w:val="0"/>
          <w:numId w:val="6"/>
        </w:numPr>
        <w:spacing w:line="120" w:lineRule="atLeast"/>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derivatna financijska imovina i </w:t>
      </w:r>
    </w:p>
    <w:p w:rsidR="006615C7" w:rsidRPr="00CD3A2D" w:rsidRDefault="006615C7" w:rsidP="002B5EA8">
      <w:pPr>
        <w:pStyle w:val="ListParagraph"/>
        <w:numPr>
          <w:ilvl w:val="0"/>
          <w:numId w:val="6"/>
        </w:numPr>
        <w:spacing w:line="120" w:lineRule="atLeast"/>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ostala potraživanja. </w:t>
      </w:r>
    </w:p>
    <w:p w:rsidR="006615C7" w:rsidRPr="001567C8" w:rsidRDefault="006615C7" w:rsidP="00B019A6">
      <w:pPr>
        <w:jc w:val="both"/>
        <w:rPr>
          <w:rFonts w:asciiTheme="minorHAnsi" w:hAnsiTheme="minorHAnsi" w:cs="Arial"/>
          <w:b/>
          <w:i/>
          <w:sz w:val="22"/>
          <w:szCs w:val="22"/>
          <w:lang w:val="hr-HR"/>
        </w:rPr>
      </w:pPr>
    </w:p>
    <w:p w:rsidR="00F936F3" w:rsidRPr="00CD3A2D" w:rsidRDefault="00F936F3" w:rsidP="00F936F3">
      <w:pPr>
        <w:spacing w:after="160" w:line="252" w:lineRule="auto"/>
        <w:contextualSpacing/>
        <w:jc w:val="both"/>
        <w:rPr>
          <w:rFonts w:ascii="Calibri" w:hAnsi="Calibri" w:cs="Calibri"/>
          <w:i/>
          <w:iCs/>
          <w:sz w:val="22"/>
          <w:szCs w:val="22"/>
          <w:lang w:val="hr-HR"/>
        </w:rPr>
      </w:pPr>
      <w:r w:rsidRPr="00CD3A2D">
        <w:rPr>
          <w:rFonts w:ascii="Calibri" w:hAnsi="Calibri" w:cs="Calibri"/>
          <w:i/>
          <w:iCs/>
          <w:sz w:val="22"/>
          <w:szCs w:val="22"/>
          <w:lang w:val="hr-HR"/>
        </w:rPr>
        <w:t>Gotovina u blagajni i novčana sredstva na transakcijskim računima</w:t>
      </w:r>
    </w:p>
    <w:p w:rsidR="00F936F3" w:rsidRPr="00CD3A2D" w:rsidRDefault="00F936F3" w:rsidP="00F936F3">
      <w:pPr>
        <w:jc w:val="both"/>
        <w:rPr>
          <w:rFonts w:ascii="Calibri" w:hAnsi="Calibri" w:cs="Calibri"/>
          <w:sz w:val="22"/>
          <w:szCs w:val="22"/>
          <w:lang w:val="hr-HR" w:eastAsia="hr-HR"/>
        </w:rPr>
      </w:pPr>
      <w:r w:rsidRPr="00CD3A2D">
        <w:rPr>
          <w:rFonts w:ascii="Calibri" w:hAnsi="Calibri" w:cs="Calibri"/>
          <w:color w:val="000000"/>
          <w:sz w:val="22"/>
          <w:szCs w:val="22"/>
          <w:lang w:val="hr-HR" w:eastAsia="hr-HR"/>
        </w:rPr>
        <w:t xml:space="preserve">Gotovina u blagajni i novčana sredstva na transakcijskim računima alocirani su u poslovni model </w:t>
      </w:r>
      <w:r w:rsidRPr="00CD3A2D">
        <w:rPr>
          <w:rFonts w:ascii="Calibri" w:hAnsi="Calibri" w:cs="Calibri"/>
          <w:sz w:val="22"/>
          <w:szCs w:val="22"/>
          <w:lang w:val="hr-HR" w:eastAsia="hr-HR"/>
        </w:rPr>
        <w:t>čiji je cilj držanje imovine radi naplate ugovorenih novčanih tokova, te prema uvjetima u Metodologiji za klasifikaciju i mjerenje financijskih instrumenata prolaze SPPI test.</w:t>
      </w:r>
    </w:p>
    <w:p w:rsidR="00F936F3" w:rsidRPr="00CD3A2D" w:rsidRDefault="00F936F3" w:rsidP="00F936F3">
      <w:pPr>
        <w:jc w:val="both"/>
        <w:rPr>
          <w:rFonts w:ascii="Calibri" w:hAnsi="Calibri" w:cs="Calibri"/>
          <w:sz w:val="22"/>
          <w:szCs w:val="22"/>
          <w:lang w:val="hr-HR" w:eastAsia="hr-HR"/>
        </w:rPr>
      </w:pPr>
    </w:p>
    <w:p w:rsidR="00F936F3" w:rsidRPr="00CD3A2D" w:rsidRDefault="00F936F3" w:rsidP="00F936F3">
      <w:pPr>
        <w:jc w:val="both"/>
        <w:rPr>
          <w:rFonts w:ascii="Calibri" w:hAnsi="Calibri" w:cs="Calibri"/>
          <w:color w:val="000000"/>
          <w:sz w:val="22"/>
          <w:szCs w:val="22"/>
          <w:lang w:val="hr-HR" w:eastAsia="hr-HR"/>
        </w:rPr>
      </w:pPr>
      <w:r w:rsidRPr="00CD3A2D">
        <w:rPr>
          <w:rFonts w:ascii="Calibri" w:hAnsi="Calibri" w:cs="Calibri"/>
          <w:sz w:val="22"/>
          <w:szCs w:val="22"/>
          <w:lang w:val="hr-HR" w:eastAsia="hr-HR"/>
        </w:rPr>
        <w:t xml:space="preserve">Sukladno navedenom, </w:t>
      </w:r>
      <w:r w:rsidRPr="00CD3A2D">
        <w:rPr>
          <w:rFonts w:ascii="Calibri" w:hAnsi="Calibri" w:cs="Calibri"/>
          <w:color w:val="000000"/>
          <w:sz w:val="22"/>
          <w:szCs w:val="22"/>
          <w:lang w:val="hr-HR" w:eastAsia="hr-HR"/>
        </w:rPr>
        <w:t>gotovina u blagajni i novčana sredstva na transakcijskim računima klasificiraju se u imovinu koja se naknadno mjeri po amortiziranom trošku.</w:t>
      </w:r>
    </w:p>
    <w:p w:rsidR="00F936F3" w:rsidRPr="00CD3A2D" w:rsidRDefault="00F936F3" w:rsidP="00F936F3">
      <w:pPr>
        <w:jc w:val="both"/>
        <w:rPr>
          <w:rFonts w:ascii="Calibri" w:hAnsi="Calibri" w:cs="Calibri"/>
          <w:color w:val="000000"/>
          <w:sz w:val="22"/>
          <w:szCs w:val="22"/>
          <w:lang w:val="hr-HR" w:eastAsia="hr-HR"/>
        </w:rPr>
      </w:pPr>
    </w:p>
    <w:p w:rsidR="00F936F3" w:rsidRPr="00CD3A2D" w:rsidRDefault="00F936F3" w:rsidP="00F936F3">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 slučaju identificiranih očekivanih kreditnih gubitaka novčanih sredstava na transakcijskim računima kod domaćih banaka i u inozemstvu, provodi se umanjenje vrijednosti, ali se očekivani kreditni gubici ne diskontiraju na sadašnju vrijednost u skladu sa kratkoročnim karakterom ove financijske imovine.</w:t>
      </w:r>
    </w:p>
    <w:p w:rsidR="00F936F3" w:rsidRPr="001567C8" w:rsidRDefault="00F936F3" w:rsidP="00F936F3">
      <w:pPr>
        <w:rPr>
          <w:rFonts w:ascii="Calibri" w:hAnsi="Calibri" w:cs="Calibri"/>
          <w:sz w:val="22"/>
          <w:szCs w:val="22"/>
          <w:lang w:val="hr-HR"/>
        </w:rPr>
      </w:pPr>
    </w:p>
    <w:p w:rsidR="00F936F3" w:rsidRPr="00CD3A2D" w:rsidRDefault="00F936F3" w:rsidP="00F936F3">
      <w:pPr>
        <w:jc w:val="both"/>
        <w:rPr>
          <w:rFonts w:ascii="Calibri" w:hAnsi="Calibri" w:cs="Calibri"/>
          <w:i/>
          <w:iCs/>
          <w:color w:val="000000"/>
          <w:sz w:val="22"/>
          <w:szCs w:val="22"/>
          <w:lang w:val="hr-HR" w:eastAsia="hr-HR"/>
        </w:rPr>
      </w:pPr>
      <w:r w:rsidRPr="00CD3A2D">
        <w:rPr>
          <w:rFonts w:ascii="Calibri" w:hAnsi="Calibri" w:cs="Calibri"/>
          <w:i/>
          <w:iCs/>
          <w:color w:val="000000"/>
          <w:sz w:val="22"/>
          <w:szCs w:val="22"/>
          <w:lang w:val="hr-HR" w:eastAsia="hr-HR"/>
        </w:rPr>
        <w:t>Depoziti kod banaka</w:t>
      </w:r>
    </w:p>
    <w:p w:rsidR="00F936F3" w:rsidRPr="00CD3A2D" w:rsidRDefault="00F936F3" w:rsidP="00F936F3">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Depoziti kod banaka alocirani su u poslovni model čiji je cilj držanje imovine radi naplate ugovorenih novčanih tokova, te prema uvjetima u Metodologiji za klasifikaciju i mjerenje financijskih instrumenata prolaze SPPI test. </w:t>
      </w:r>
    </w:p>
    <w:p w:rsidR="00F936F3" w:rsidRPr="00CD3A2D" w:rsidRDefault="00F936F3" w:rsidP="00F936F3">
      <w:pPr>
        <w:jc w:val="both"/>
        <w:rPr>
          <w:rFonts w:ascii="Calibri" w:hAnsi="Calibri" w:cs="Calibri"/>
          <w:color w:val="000000"/>
          <w:sz w:val="22"/>
          <w:szCs w:val="22"/>
          <w:lang w:val="hr-HR" w:eastAsia="hr-HR"/>
        </w:rPr>
      </w:pPr>
    </w:p>
    <w:p w:rsidR="00F936F3" w:rsidRPr="00CD3A2D" w:rsidRDefault="00F936F3" w:rsidP="00F936F3">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Sukladno navedenom, depoziti kod banaka klasificiraju se u imovinu koja se naknadno mjeri po amortiziranom trošku.</w:t>
      </w:r>
    </w:p>
    <w:p w:rsidR="00F936F3" w:rsidRPr="00CD3A2D" w:rsidRDefault="00F936F3" w:rsidP="00F936F3">
      <w:pPr>
        <w:jc w:val="both"/>
        <w:rPr>
          <w:rFonts w:ascii="Arial" w:hAnsi="Arial" w:cs="Arial"/>
          <w:color w:val="000000"/>
          <w:sz w:val="20"/>
          <w:szCs w:val="20"/>
          <w:lang w:val="hr-HR" w:eastAsia="hr-HR"/>
        </w:rPr>
      </w:pPr>
    </w:p>
    <w:p w:rsidR="00F936F3" w:rsidRPr="00CD3A2D" w:rsidRDefault="00F936F3" w:rsidP="00F936F3">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Umanjenje vrijednosti utvrđuje se u iznosu očekivanih kreditnih gubitaka, ali se u  slučaju kratkoročnih depozita ne diskontira na sadašnju vrijednost u skladu sa nj</w:t>
      </w:r>
      <w:bookmarkStart w:id="43" w:name="_Toc299458634"/>
      <w:bookmarkStart w:id="44" w:name="_Toc216856817"/>
      <w:bookmarkStart w:id="45" w:name="_Toc186480251"/>
      <w:r w:rsidRPr="00CD3A2D">
        <w:rPr>
          <w:rFonts w:ascii="Calibri" w:hAnsi="Calibri" w:cs="Calibri"/>
          <w:color w:val="000000"/>
          <w:sz w:val="22"/>
          <w:szCs w:val="22"/>
          <w:lang w:val="hr-HR" w:eastAsia="hr-HR"/>
        </w:rPr>
        <w:t>ihovim kratkoročnim karakterom</w:t>
      </w:r>
      <w:bookmarkEnd w:id="43"/>
      <w:bookmarkEnd w:id="44"/>
      <w:bookmarkEnd w:id="45"/>
      <w:r w:rsidRPr="00CD3A2D">
        <w:rPr>
          <w:rFonts w:ascii="Calibri" w:hAnsi="Calibri" w:cs="Calibri"/>
          <w:color w:val="000000"/>
          <w:sz w:val="22"/>
          <w:szCs w:val="22"/>
          <w:lang w:val="hr-HR" w:eastAsia="hr-HR"/>
        </w:rPr>
        <w:t>.</w:t>
      </w:r>
    </w:p>
    <w:p w:rsidR="0067384E" w:rsidRPr="00CD3A2D"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sectPr w:rsidR="0067384E" w:rsidRPr="00CD3A2D" w:rsidSect="000D6913">
          <w:pgSz w:w="11907" w:h="16840" w:code="9"/>
          <w:pgMar w:top="1418" w:right="1134" w:bottom="1134" w:left="1418" w:header="851" w:footer="851" w:gutter="0"/>
          <w:cols w:space="720"/>
          <w:noEndnote/>
        </w:sectPr>
      </w:pPr>
    </w:p>
    <w:p w:rsidR="0067384E" w:rsidRPr="00CD3A2D"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67384E" w:rsidRPr="00CD3A2D"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67384E" w:rsidRPr="00CD3A2D"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67384E" w:rsidRPr="00CD3A2D"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67384E" w:rsidRPr="001567C8" w:rsidRDefault="0067384E" w:rsidP="0067384E">
      <w:pPr>
        <w:jc w:val="both"/>
        <w:rPr>
          <w:rFonts w:asciiTheme="minorHAnsi" w:hAnsiTheme="minorHAnsi" w:cstheme="minorHAnsi"/>
          <w:b/>
          <w:sz w:val="18"/>
          <w:szCs w:val="18"/>
          <w:lang w:val="hr-HR"/>
        </w:rPr>
      </w:pPr>
    </w:p>
    <w:p w:rsidR="0067384E" w:rsidRPr="00CD3A2D"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67384E" w:rsidRPr="001567C8" w:rsidRDefault="0067384E" w:rsidP="0067384E">
      <w:pPr>
        <w:jc w:val="both"/>
        <w:rPr>
          <w:rFonts w:asciiTheme="minorHAnsi" w:hAnsiTheme="minorHAnsi" w:cs="Arial"/>
          <w:b/>
          <w:i/>
          <w:sz w:val="22"/>
          <w:szCs w:val="22"/>
          <w:lang w:val="hr-HR"/>
        </w:rPr>
      </w:pPr>
    </w:p>
    <w:p w:rsidR="0067384E" w:rsidRPr="001567C8" w:rsidRDefault="0067384E" w:rsidP="0067384E">
      <w:pPr>
        <w:jc w:val="both"/>
        <w:rPr>
          <w:rFonts w:asciiTheme="minorHAnsi" w:hAnsiTheme="minorHAnsi" w:cs="Arial"/>
          <w:b/>
          <w:i/>
          <w:sz w:val="22"/>
          <w:szCs w:val="22"/>
          <w:lang w:val="hr-HR"/>
        </w:rPr>
      </w:pPr>
      <w:r w:rsidRPr="001567C8">
        <w:rPr>
          <w:rFonts w:asciiTheme="minorHAnsi" w:hAnsiTheme="minorHAnsi" w:cs="Arial"/>
          <w:b/>
          <w:i/>
          <w:sz w:val="22"/>
          <w:szCs w:val="22"/>
          <w:lang w:val="hr-HR"/>
        </w:rPr>
        <w:t>x. Financijska imovina – kategorije (nastavak)</w:t>
      </w:r>
    </w:p>
    <w:p w:rsidR="00F936F3" w:rsidRPr="001567C8" w:rsidRDefault="00F936F3">
      <w:pPr>
        <w:pStyle w:val="T1"/>
        <w:spacing w:before="0" w:after="0" w:line="240" w:lineRule="auto"/>
        <w:rPr>
          <w:rFonts w:asciiTheme="minorHAnsi" w:hAnsiTheme="minorHAnsi" w:cs="Arial"/>
          <w:b w:val="0"/>
          <w:bCs w:val="0"/>
          <w:sz w:val="22"/>
          <w:szCs w:val="22"/>
          <w:lang w:val="hr-HR"/>
        </w:rPr>
      </w:pPr>
    </w:p>
    <w:p w:rsidR="0067384E" w:rsidRPr="00CD3A2D" w:rsidRDefault="0067384E" w:rsidP="0067384E">
      <w:pPr>
        <w:pStyle w:val="accountingpolicytitle"/>
        <w:jc w:val="left"/>
        <w:rPr>
          <w:rFonts w:ascii="Calibri" w:hAnsi="Calibri" w:cs="Calibri"/>
          <w:b w:val="0"/>
          <w:i/>
          <w:iCs/>
          <w:sz w:val="22"/>
          <w:szCs w:val="22"/>
          <w:lang w:val="hr-HR"/>
        </w:rPr>
      </w:pPr>
      <w:r w:rsidRPr="00CD3A2D">
        <w:rPr>
          <w:rFonts w:ascii="Calibri" w:hAnsi="Calibri" w:cs="Calibri"/>
          <w:b w:val="0"/>
          <w:bCs/>
          <w:i/>
          <w:iCs/>
          <w:sz w:val="22"/>
          <w:szCs w:val="22"/>
          <w:lang w:val="hr-HR"/>
        </w:rPr>
        <w:t>Krediti</w:t>
      </w:r>
    </w:p>
    <w:p w:rsidR="00512D0D" w:rsidRPr="00CD3A2D" w:rsidRDefault="00512D0D" w:rsidP="0067384E">
      <w:pPr>
        <w:jc w:val="both"/>
        <w:rPr>
          <w:rFonts w:ascii="Arial" w:hAnsi="Arial" w:cs="Arial"/>
          <w:color w:val="000000"/>
          <w:sz w:val="20"/>
          <w:szCs w:val="20"/>
          <w:lang w:val="hr-HR" w:eastAsia="hr-HR"/>
        </w:rPr>
      </w:pPr>
    </w:p>
    <w:p w:rsidR="0067384E" w:rsidRPr="00CD3A2D" w:rsidRDefault="0067384E" w:rsidP="0067384E">
      <w:pPr>
        <w:jc w:val="both"/>
        <w:rPr>
          <w:rFonts w:asciiTheme="minorHAnsi" w:hAnsiTheme="minorHAnsi" w:cstheme="minorHAnsi"/>
          <w:color w:val="000000"/>
          <w:sz w:val="22"/>
          <w:szCs w:val="22"/>
          <w:lang w:val="hr-HR" w:eastAsia="hr-HR"/>
        </w:rPr>
      </w:pPr>
      <w:r w:rsidRPr="00CD3A2D">
        <w:rPr>
          <w:rFonts w:asciiTheme="minorHAnsi" w:hAnsiTheme="minorHAnsi" w:cstheme="minorHAnsi"/>
          <w:color w:val="000000"/>
          <w:sz w:val="22"/>
          <w:szCs w:val="22"/>
          <w:lang w:val="hr-HR" w:eastAsia="hr-HR"/>
        </w:rPr>
        <w:t>Krediti su alocirani u poslovni model čiji je cilj držanje imovine radi naplate ugovorenih novčanih tokova. Krediti koji prema uvjetima u Metodologiji za klasifikaciju i mjerenje financijskih instrumenata prolaze SPPI test, klasificiraju se u imovinu koja se naknadno mjeri po amortiziranom trošku. Krediti koji prema uvjetima u Metodologiji za klasifikaciju i mjerenje financijskih instrumenata ne prolaze SPPI test,</w:t>
      </w:r>
      <w:r w:rsidRPr="00CD3A2D">
        <w:rPr>
          <w:rFonts w:asciiTheme="minorHAnsi" w:hAnsiTheme="minorHAnsi" w:cstheme="minorHAnsi"/>
          <w:sz w:val="22"/>
          <w:szCs w:val="22"/>
          <w:lang w:val="hr-HR" w:eastAsia="hr-HR"/>
        </w:rPr>
        <w:t xml:space="preserve"> </w:t>
      </w:r>
      <w:r w:rsidRPr="00CD3A2D">
        <w:rPr>
          <w:rFonts w:asciiTheme="minorHAnsi" w:hAnsiTheme="minorHAnsi" w:cstheme="minorHAnsi"/>
          <w:color w:val="000000"/>
          <w:sz w:val="22"/>
          <w:szCs w:val="22"/>
          <w:lang w:val="hr-HR" w:eastAsia="hr-HR"/>
        </w:rPr>
        <w:t>klasificiraju se u imovinu koja se naknadno mjeri po fer vrijednosti kroz dobit i</w:t>
      </w:r>
      <w:r w:rsidR="00752A1A" w:rsidRPr="00CD3A2D">
        <w:rPr>
          <w:rFonts w:asciiTheme="minorHAnsi" w:hAnsiTheme="minorHAnsi" w:cstheme="minorHAnsi"/>
          <w:color w:val="000000"/>
          <w:sz w:val="22"/>
          <w:szCs w:val="22"/>
          <w:lang w:val="hr-HR" w:eastAsia="hr-HR"/>
        </w:rPr>
        <w:t>li</w:t>
      </w:r>
      <w:r w:rsidRPr="00CD3A2D">
        <w:rPr>
          <w:rFonts w:asciiTheme="minorHAnsi" w:hAnsiTheme="minorHAnsi" w:cstheme="minorHAnsi"/>
          <w:color w:val="000000"/>
          <w:sz w:val="22"/>
          <w:szCs w:val="22"/>
          <w:lang w:val="hr-HR" w:eastAsia="hr-HR"/>
        </w:rPr>
        <w:t xml:space="preserve"> gubit</w:t>
      </w:r>
      <w:r w:rsidR="00752A1A" w:rsidRPr="00CD3A2D">
        <w:rPr>
          <w:rFonts w:asciiTheme="minorHAnsi" w:hAnsiTheme="minorHAnsi" w:cstheme="minorHAnsi"/>
          <w:color w:val="000000"/>
          <w:sz w:val="22"/>
          <w:szCs w:val="22"/>
          <w:lang w:val="hr-HR" w:eastAsia="hr-HR"/>
        </w:rPr>
        <w:t>ak</w:t>
      </w:r>
      <w:r w:rsidRPr="00CD3A2D">
        <w:rPr>
          <w:rFonts w:asciiTheme="minorHAnsi" w:hAnsiTheme="minorHAnsi" w:cstheme="minorHAnsi"/>
          <w:color w:val="000000"/>
          <w:sz w:val="22"/>
          <w:szCs w:val="22"/>
          <w:lang w:val="hr-HR" w:eastAsia="hr-HR"/>
        </w:rPr>
        <w:t>.</w:t>
      </w:r>
    </w:p>
    <w:p w:rsidR="0067384E" w:rsidRPr="00CD3A2D" w:rsidRDefault="0067384E" w:rsidP="0067384E">
      <w:pPr>
        <w:jc w:val="both"/>
        <w:rPr>
          <w:rFonts w:asciiTheme="minorHAnsi" w:hAnsiTheme="minorHAnsi" w:cstheme="minorHAnsi"/>
          <w:color w:val="000000"/>
          <w:sz w:val="22"/>
          <w:szCs w:val="22"/>
          <w:lang w:val="hr-HR" w:eastAsia="hr-HR"/>
        </w:rPr>
      </w:pPr>
    </w:p>
    <w:p w:rsidR="0067384E" w:rsidRPr="00CD3A2D" w:rsidRDefault="0067384E" w:rsidP="0067384E">
      <w:pPr>
        <w:jc w:val="both"/>
        <w:rPr>
          <w:rFonts w:asciiTheme="minorHAnsi" w:hAnsiTheme="minorHAnsi" w:cstheme="minorHAnsi"/>
          <w:color w:val="000000"/>
          <w:sz w:val="22"/>
          <w:szCs w:val="22"/>
          <w:lang w:val="hr-HR" w:eastAsia="hr-HR"/>
        </w:rPr>
      </w:pPr>
      <w:r w:rsidRPr="00CD3A2D">
        <w:rPr>
          <w:rFonts w:asciiTheme="minorHAnsi" w:hAnsiTheme="minorHAnsi" w:cstheme="minorHAnsi"/>
          <w:color w:val="000000"/>
          <w:sz w:val="22"/>
          <w:szCs w:val="22"/>
          <w:lang w:val="hr-HR" w:eastAsia="hr-HR"/>
        </w:rPr>
        <w:t>Umanjenje vrijednosti kredita koji se naknadno mjere po amortiziranom trošku utvrđuje se u visini očekivanih kreditnih gubitaka primjenjujući opći pristup umanjenja vrijednosti (</w:t>
      </w:r>
      <w:r w:rsidR="001F0D3E" w:rsidRPr="00CD3A2D">
        <w:rPr>
          <w:rFonts w:asciiTheme="minorHAnsi" w:hAnsiTheme="minorHAnsi" w:cstheme="minorHAnsi"/>
          <w:color w:val="000000"/>
          <w:sz w:val="22"/>
          <w:szCs w:val="22"/>
          <w:lang w:val="hr-HR" w:eastAsia="hr-HR"/>
        </w:rPr>
        <w:t>vidi</w:t>
      </w:r>
      <w:r w:rsidRPr="00CD3A2D">
        <w:rPr>
          <w:rFonts w:asciiTheme="minorHAnsi" w:hAnsiTheme="minorHAnsi" w:cstheme="minorHAnsi"/>
          <w:color w:val="000000"/>
          <w:sz w:val="22"/>
          <w:szCs w:val="22"/>
          <w:lang w:val="hr-HR" w:eastAsia="hr-HR"/>
        </w:rPr>
        <w:t xml:space="preserve"> </w:t>
      </w:r>
      <w:r w:rsidR="00632655" w:rsidRPr="00CD3A2D">
        <w:rPr>
          <w:rFonts w:asciiTheme="minorHAnsi" w:hAnsiTheme="minorHAnsi" w:cstheme="minorHAnsi"/>
          <w:color w:val="000000"/>
          <w:sz w:val="22"/>
          <w:szCs w:val="22"/>
          <w:lang w:val="hr-HR" w:eastAsia="hr-HR"/>
        </w:rPr>
        <w:t>G.</w:t>
      </w:r>
      <w:r w:rsidRPr="00CD3A2D">
        <w:rPr>
          <w:rFonts w:asciiTheme="minorHAnsi" w:hAnsiTheme="minorHAnsi" w:cstheme="minorHAnsi"/>
          <w:color w:val="000000"/>
          <w:sz w:val="22"/>
          <w:szCs w:val="22"/>
          <w:lang w:val="hr-HR" w:eastAsia="hr-HR"/>
        </w:rPr>
        <w:t>i</w:t>
      </w:r>
      <w:r w:rsidR="009B6C89" w:rsidRPr="00CD3A2D">
        <w:rPr>
          <w:rFonts w:asciiTheme="minorHAnsi" w:hAnsiTheme="minorHAnsi" w:cstheme="minorHAnsi"/>
          <w:color w:val="000000"/>
          <w:sz w:val="22"/>
          <w:szCs w:val="22"/>
          <w:lang w:val="hr-HR" w:eastAsia="hr-HR"/>
        </w:rPr>
        <w:t>x</w:t>
      </w:r>
      <w:r w:rsidR="001F0D3E" w:rsidRPr="00CD3A2D">
        <w:rPr>
          <w:rFonts w:asciiTheme="minorHAnsi" w:hAnsiTheme="minorHAnsi" w:cstheme="minorHAnsi"/>
          <w:color w:val="000000"/>
          <w:sz w:val="22"/>
          <w:szCs w:val="22"/>
          <w:lang w:val="hr-HR" w:eastAsia="hr-HR"/>
        </w:rPr>
        <w:t>.</w:t>
      </w:r>
      <w:r w:rsidR="006F2C96" w:rsidRPr="00CD3A2D">
        <w:rPr>
          <w:rFonts w:asciiTheme="minorHAnsi" w:hAnsiTheme="minorHAnsi" w:cstheme="minorHAnsi"/>
          <w:color w:val="000000"/>
          <w:sz w:val="22"/>
          <w:szCs w:val="22"/>
          <w:lang w:val="hr-HR" w:eastAsia="hr-HR"/>
        </w:rPr>
        <w:t xml:space="preserve"> Umanjenje vrijednosti</w:t>
      </w:r>
      <w:r w:rsidRPr="00CD3A2D">
        <w:rPr>
          <w:rFonts w:asciiTheme="minorHAnsi" w:hAnsiTheme="minorHAnsi" w:cstheme="minorHAnsi"/>
          <w:color w:val="000000"/>
          <w:sz w:val="22"/>
          <w:szCs w:val="22"/>
          <w:lang w:val="hr-HR" w:eastAsia="hr-HR"/>
        </w:rPr>
        <w:t xml:space="preserve">). </w:t>
      </w:r>
    </w:p>
    <w:p w:rsidR="0067384E" w:rsidRPr="00CD3A2D" w:rsidRDefault="0067384E" w:rsidP="0067384E">
      <w:pPr>
        <w:jc w:val="both"/>
        <w:rPr>
          <w:rFonts w:asciiTheme="minorHAnsi" w:hAnsiTheme="minorHAnsi" w:cstheme="minorHAnsi"/>
          <w:color w:val="000000"/>
          <w:sz w:val="22"/>
          <w:szCs w:val="22"/>
          <w:lang w:val="hr-HR" w:eastAsia="hr-HR"/>
        </w:rPr>
      </w:pPr>
    </w:p>
    <w:p w:rsidR="0067384E" w:rsidRPr="00CD3A2D" w:rsidRDefault="0067384E" w:rsidP="0067384E">
      <w:pPr>
        <w:jc w:val="both"/>
        <w:rPr>
          <w:rFonts w:asciiTheme="minorHAnsi" w:hAnsiTheme="minorHAnsi" w:cstheme="minorHAnsi"/>
          <w:color w:val="000000"/>
          <w:sz w:val="22"/>
          <w:szCs w:val="22"/>
          <w:lang w:val="hr-HR" w:eastAsia="hr-HR"/>
        </w:rPr>
      </w:pPr>
      <w:r w:rsidRPr="00CD3A2D">
        <w:rPr>
          <w:rFonts w:asciiTheme="minorHAnsi" w:hAnsiTheme="minorHAnsi" w:cstheme="minorHAnsi"/>
          <w:color w:val="000000"/>
          <w:sz w:val="22"/>
          <w:szCs w:val="22"/>
          <w:lang w:val="hr-HR" w:eastAsia="hr-HR"/>
        </w:rPr>
        <w:t>Potraživanja po kreditima temelje se na ugovoru. Svaka izmjena ugovornih odredbi koja mijenja ugovorene novčane tokove od kredita smatra se modifikacijom kredita (</w:t>
      </w:r>
      <w:r w:rsidR="006F2C96" w:rsidRPr="00CD3A2D">
        <w:rPr>
          <w:rFonts w:asciiTheme="minorHAnsi" w:hAnsiTheme="minorHAnsi" w:cstheme="minorHAnsi"/>
          <w:color w:val="000000"/>
          <w:sz w:val="22"/>
          <w:szCs w:val="22"/>
          <w:lang w:val="hr-HR" w:eastAsia="hr-HR"/>
        </w:rPr>
        <w:t>vidi</w:t>
      </w:r>
      <w:r w:rsidRPr="00CD3A2D">
        <w:rPr>
          <w:rFonts w:asciiTheme="minorHAnsi" w:hAnsiTheme="minorHAnsi" w:cstheme="minorHAnsi"/>
          <w:sz w:val="22"/>
          <w:szCs w:val="22"/>
          <w:lang w:val="hr-HR"/>
        </w:rPr>
        <w:t xml:space="preserve"> </w:t>
      </w:r>
      <w:r w:rsidR="006F2C96" w:rsidRPr="00CD3A2D">
        <w:rPr>
          <w:rFonts w:asciiTheme="minorHAnsi" w:hAnsiTheme="minorHAnsi" w:cstheme="minorHAnsi"/>
          <w:sz w:val="22"/>
          <w:szCs w:val="22"/>
          <w:lang w:val="hr-HR"/>
        </w:rPr>
        <w:t>G.vi.</w:t>
      </w:r>
      <w:r w:rsidRPr="00CD3A2D">
        <w:rPr>
          <w:rFonts w:asciiTheme="minorHAnsi" w:hAnsiTheme="minorHAnsi" w:cstheme="minorHAnsi"/>
          <w:sz w:val="22"/>
          <w:szCs w:val="22"/>
          <w:lang w:val="hr-HR"/>
        </w:rPr>
        <w:t>) Modifi</w:t>
      </w:r>
      <w:r w:rsidR="006F2C96" w:rsidRPr="00CD3A2D">
        <w:rPr>
          <w:rFonts w:asciiTheme="minorHAnsi" w:hAnsiTheme="minorHAnsi" w:cstheme="minorHAnsi"/>
          <w:sz w:val="22"/>
          <w:szCs w:val="22"/>
          <w:lang w:val="hr-HR"/>
        </w:rPr>
        <w:t>kacija financijske imovine</w:t>
      </w:r>
      <w:r w:rsidRPr="00CD3A2D">
        <w:rPr>
          <w:rFonts w:asciiTheme="minorHAnsi" w:hAnsiTheme="minorHAnsi" w:cstheme="minorHAnsi"/>
          <w:sz w:val="22"/>
          <w:szCs w:val="22"/>
          <w:lang w:val="hr-HR"/>
        </w:rPr>
        <w:t>)</w:t>
      </w:r>
      <w:r w:rsidRPr="00CD3A2D">
        <w:rPr>
          <w:rFonts w:asciiTheme="minorHAnsi" w:hAnsiTheme="minorHAnsi" w:cstheme="minorHAnsi"/>
          <w:color w:val="000000"/>
          <w:sz w:val="22"/>
          <w:szCs w:val="22"/>
          <w:lang w:val="hr-HR" w:eastAsia="hr-HR"/>
        </w:rPr>
        <w:t>.</w:t>
      </w:r>
    </w:p>
    <w:p w:rsidR="0067384E" w:rsidRPr="00CD3A2D" w:rsidRDefault="0067384E" w:rsidP="0067384E">
      <w:pPr>
        <w:jc w:val="both"/>
        <w:rPr>
          <w:rFonts w:asciiTheme="minorHAnsi" w:hAnsiTheme="minorHAnsi" w:cstheme="minorHAnsi"/>
          <w:color w:val="000000"/>
          <w:sz w:val="22"/>
          <w:szCs w:val="22"/>
          <w:lang w:val="hr-HR" w:eastAsia="hr-HR"/>
        </w:rPr>
      </w:pPr>
    </w:p>
    <w:p w:rsidR="0067384E" w:rsidRPr="00CD3A2D" w:rsidRDefault="0067384E" w:rsidP="0067384E">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Kupljeni ili dani krediti za koje je pri inicijalnom priznavanju utvrđeno postojanje očekivanih kreditnih gubitaka smatraju se POCI imovinom (</w:t>
      </w:r>
      <w:r w:rsidR="006F2C96" w:rsidRPr="00CD3A2D">
        <w:rPr>
          <w:rFonts w:ascii="Calibri" w:hAnsi="Calibri" w:cs="Calibri"/>
          <w:color w:val="000000"/>
          <w:sz w:val="22"/>
          <w:szCs w:val="22"/>
          <w:lang w:val="hr-HR" w:eastAsia="hr-HR"/>
        </w:rPr>
        <w:t>vidi G.vii.</w:t>
      </w:r>
      <w:r w:rsidRPr="00CD3A2D">
        <w:rPr>
          <w:rFonts w:ascii="Calibri" w:hAnsi="Calibri" w:cs="Calibri"/>
          <w:sz w:val="22"/>
          <w:szCs w:val="22"/>
          <w:lang w:val="hr-HR"/>
        </w:rPr>
        <w:t xml:space="preserve">) </w:t>
      </w:r>
      <w:r w:rsidR="006F2C96" w:rsidRPr="00CD3A2D">
        <w:rPr>
          <w:rFonts w:ascii="Calibri" w:hAnsi="Calibri" w:cs="Calibri"/>
          <w:sz w:val="22"/>
          <w:szCs w:val="22"/>
          <w:lang w:val="hr-HR"/>
        </w:rPr>
        <w:t>Kupljena ili stvorena financijska imovina umanjena za kreditne gubi</w:t>
      </w:r>
      <w:r w:rsidR="000734E0">
        <w:rPr>
          <w:rFonts w:ascii="Calibri" w:hAnsi="Calibri" w:cs="Calibri"/>
          <w:sz w:val="22"/>
          <w:szCs w:val="22"/>
          <w:lang w:val="hr-HR"/>
        </w:rPr>
        <w:t>tk</w:t>
      </w:r>
      <w:r w:rsidR="006F2C96" w:rsidRPr="00CD3A2D">
        <w:rPr>
          <w:rFonts w:ascii="Calibri" w:hAnsi="Calibri" w:cs="Calibri"/>
          <w:sz w:val="22"/>
          <w:szCs w:val="22"/>
          <w:lang w:val="hr-HR"/>
        </w:rPr>
        <w:t>e</w:t>
      </w:r>
      <w:r w:rsidRPr="00CD3A2D">
        <w:rPr>
          <w:rFonts w:ascii="Calibri" w:hAnsi="Calibri" w:cs="Calibri"/>
          <w:sz w:val="22"/>
          <w:szCs w:val="22"/>
          <w:lang w:val="hr-HR"/>
        </w:rPr>
        <w:t xml:space="preserve"> (POCI </w:t>
      </w:r>
      <w:r w:rsidR="006F2C96" w:rsidRPr="00CD3A2D">
        <w:rPr>
          <w:rFonts w:ascii="Calibri" w:hAnsi="Calibri" w:cs="Calibri"/>
          <w:sz w:val="22"/>
          <w:szCs w:val="22"/>
          <w:lang w:val="hr-HR"/>
        </w:rPr>
        <w:t>imovina</w:t>
      </w:r>
      <w:r w:rsidRPr="00CD3A2D">
        <w:rPr>
          <w:rFonts w:ascii="Calibri" w:hAnsi="Calibri" w:cs="Calibri"/>
          <w:sz w:val="22"/>
          <w:szCs w:val="22"/>
          <w:lang w:val="hr-HR"/>
        </w:rPr>
        <w:t>).</w:t>
      </w:r>
    </w:p>
    <w:p w:rsidR="0067384E" w:rsidRPr="00CD3A2D" w:rsidRDefault="0067384E" w:rsidP="0067384E">
      <w:pPr>
        <w:jc w:val="both"/>
        <w:rPr>
          <w:rFonts w:ascii="Calibri" w:hAnsi="Calibri" w:cs="Calibri"/>
          <w:color w:val="000000"/>
          <w:sz w:val="22"/>
          <w:szCs w:val="22"/>
          <w:lang w:val="hr-HR" w:eastAsia="hr-HR"/>
        </w:rPr>
      </w:pPr>
    </w:p>
    <w:p w:rsidR="0067384E" w:rsidRPr="00CD3A2D" w:rsidRDefault="0067384E" w:rsidP="0067384E">
      <w:pPr>
        <w:jc w:val="both"/>
        <w:rPr>
          <w:rFonts w:ascii="Calibri" w:hAnsi="Calibri" w:cs="Calibri"/>
          <w:sz w:val="22"/>
          <w:szCs w:val="22"/>
          <w:lang w:val="hr-HR" w:eastAsia="hr-HR"/>
        </w:rPr>
      </w:pPr>
      <w:r w:rsidRPr="00CD3A2D">
        <w:rPr>
          <w:rFonts w:ascii="Calibri" w:hAnsi="Calibri" w:cs="Calibri"/>
          <w:sz w:val="22"/>
          <w:szCs w:val="22"/>
          <w:lang w:val="hr-HR" w:eastAsia="hr-HR"/>
        </w:rPr>
        <w:t>Kamatni prihod od naknada priznaje se u dobiti i</w:t>
      </w:r>
      <w:r w:rsidR="009B6C89" w:rsidRPr="00CD3A2D">
        <w:rPr>
          <w:rFonts w:ascii="Calibri" w:hAnsi="Calibri" w:cs="Calibri"/>
          <w:sz w:val="22"/>
          <w:szCs w:val="22"/>
          <w:lang w:val="hr-HR" w:eastAsia="hr-HR"/>
        </w:rPr>
        <w:t>li</w:t>
      </w:r>
      <w:r w:rsidRPr="00CD3A2D">
        <w:rPr>
          <w:rFonts w:ascii="Calibri" w:hAnsi="Calibri" w:cs="Calibri"/>
          <w:sz w:val="22"/>
          <w:szCs w:val="22"/>
          <w:lang w:val="hr-HR" w:eastAsia="hr-HR"/>
        </w:rPr>
        <w:t xml:space="preserve"> gubitk</w:t>
      </w:r>
      <w:r w:rsidR="009B6C89" w:rsidRPr="00CD3A2D">
        <w:rPr>
          <w:rFonts w:ascii="Calibri" w:hAnsi="Calibri" w:cs="Calibri"/>
          <w:sz w:val="22"/>
          <w:szCs w:val="22"/>
          <w:lang w:val="hr-HR" w:eastAsia="hr-HR"/>
        </w:rPr>
        <w:t>u</w:t>
      </w:r>
      <w:r w:rsidRPr="00CD3A2D">
        <w:rPr>
          <w:rFonts w:ascii="Calibri" w:hAnsi="Calibri" w:cs="Calibri"/>
          <w:sz w:val="22"/>
          <w:szCs w:val="22"/>
          <w:lang w:val="hr-HR" w:eastAsia="hr-HR"/>
        </w:rPr>
        <w:t xml:space="preserve"> metodom efektivne kamatne stope gdje god je to primjenjivo. U slučaju da zaduženje naknade koja je inkrementalni trošak kredita nastupi prije prvog korištenja kredita, prihod od naknade priznaje se u računu dobiti i gubitka na vremenski proporcionalnoj osnovi (tzv. linearna metoda) do utvrđenja efektivne kamatne stope. Od trenutka utvrđenja efektivne kamatne stope do kraja vijeka trajanja kredita, na priznavanje kamatnog prihoda u računu dobiti i gubitka primjenjuje se metoda efektivne kamatne stope na neamortizirani iznos naknade. </w:t>
      </w:r>
    </w:p>
    <w:p w:rsidR="0067384E" w:rsidRPr="00CD3A2D" w:rsidRDefault="0067384E" w:rsidP="0067384E">
      <w:pPr>
        <w:jc w:val="both"/>
        <w:rPr>
          <w:rFonts w:ascii="Calibri" w:hAnsi="Calibri" w:cs="Calibri"/>
          <w:sz w:val="22"/>
          <w:szCs w:val="22"/>
          <w:lang w:val="hr-HR" w:eastAsia="hr-HR"/>
        </w:rPr>
      </w:pPr>
    </w:p>
    <w:p w:rsidR="00512D0D" w:rsidRPr="00CD3A2D" w:rsidRDefault="0067384E" w:rsidP="00512D0D">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Krediti koji su klasificirani u imovinu koja se naknadno mjeri po fer vrijednosti kroz dobit </w:t>
      </w:r>
      <w:r w:rsidR="00D23502" w:rsidRPr="00CD3A2D">
        <w:rPr>
          <w:rFonts w:ascii="Calibri" w:hAnsi="Calibri" w:cs="Calibri"/>
          <w:color w:val="000000"/>
          <w:sz w:val="22"/>
          <w:szCs w:val="22"/>
          <w:lang w:val="hr-HR" w:eastAsia="hr-HR"/>
        </w:rPr>
        <w:t>il</w:t>
      </w:r>
      <w:r w:rsidRPr="00CD3A2D">
        <w:rPr>
          <w:rFonts w:ascii="Calibri" w:hAnsi="Calibri" w:cs="Calibri"/>
          <w:color w:val="000000"/>
          <w:sz w:val="22"/>
          <w:szCs w:val="22"/>
          <w:lang w:val="hr-HR" w:eastAsia="hr-HR"/>
        </w:rPr>
        <w:t>i gubit</w:t>
      </w:r>
      <w:r w:rsidR="00D23502" w:rsidRPr="00CD3A2D">
        <w:rPr>
          <w:rFonts w:ascii="Calibri" w:hAnsi="Calibri" w:cs="Calibri"/>
          <w:color w:val="000000"/>
          <w:sz w:val="22"/>
          <w:szCs w:val="22"/>
          <w:lang w:val="hr-HR" w:eastAsia="hr-HR"/>
        </w:rPr>
        <w:t>a</w:t>
      </w:r>
      <w:r w:rsidRPr="00CD3A2D">
        <w:rPr>
          <w:rFonts w:ascii="Calibri" w:hAnsi="Calibri" w:cs="Calibri"/>
          <w:color w:val="000000"/>
          <w:sz w:val="22"/>
          <w:szCs w:val="22"/>
          <w:lang w:val="hr-HR" w:eastAsia="hr-HR"/>
        </w:rPr>
        <w:t xml:space="preserve">k ne podliježu umanjenju vrijednosti već se i na početno i naknadno vrednovanje primjenjuju odredbe opisane u točki </w:t>
      </w:r>
      <w:r w:rsidR="00512D0D" w:rsidRPr="00CD3A2D">
        <w:rPr>
          <w:rFonts w:ascii="Calibri" w:hAnsi="Calibri" w:cs="Calibri"/>
          <w:color w:val="000000"/>
          <w:sz w:val="22"/>
          <w:szCs w:val="22"/>
          <w:lang w:val="hr-HR" w:eastAsia="hr-HR"/>
        </w:rPr>
        <w:t>G.</w:t>
      </w:r>
      <w:r w:rsidRPr="00CD3A2D">
        <w:rPr>
          <w:rFonts w:ascii="Calibri" w:hAnsi="Calibri" w:cs="Calibri"/>
          <w:color w:val="000000"/>
          <w:sz w:val="22"/>
          <w:szCs w:val="22"/>
          <w:lang w:val="hr-HR" w:eastAsia="hr-HR"/>
        </w:rPr>
        <w:t>x</w:t>
      </w:r>
      <w:r w:rsidR="00512D0D" w:rsidRPr="00CD3A2D">
        <w:rPr>
          <w:rFonts w:ascii="Calibri" w:hAnsi="Calibri" w:cs="Calibri"/>
          <w:color w:val="000000"/>
          <w:sz w:val="22"/>
          <w:szCs w:val="22"/>
          <w:lang w:val="hr-HR" w:eastAsia="hr-HR"/>
        </w:rPr>
        <w:t>.</w:t>
      </w:r>
      <w:r w:rsidRPr="00CD3A2D">
        <w:rPr>
          <w:rFonts w:ascii="Calibri" w:hAnsi="Calibri" w:cs="Calibri"/>
          <w:color w:val="000000"/>
          <w:sz w:val="22"/>
          <w:szCs w:val="22"/>
          <w:lang w:val="hr-HR" w:eastAsia="hr-HR"/>
        </w:rPr>
        <w:t xml:space="preserve">) </w:t>
      </w:r>
      <w:r w:rsidR="00512D0D" w:rsidRPr="00CD3A2D">
        <w:rPr>
          <w:rFonts w:ascii="Calibri" w:hAnsi="Calibri" w:cs="Calibri"/>
          <w:color w:val="000000"/>
          <w:sz w:val="22"/>
          <w:szCs w:val="22"/>
          <w:lang w:val="hr-HR" w:eastAsia="hr-HR"/>
        </w:rPr>
        <w:t>“Udjeli u investicijskim fondovima”.</w:t>
      </w:r>
    </w:p>
    <w:p w:rsidR="00512D0D" w:rsidRPr="00CD3A2D" w:rsidRDefault="00512D0D" w:rsidP="00512D0D">
      <w:pPr>
        <w:jc w:val="both"/>
        <w:rPr>
          <w:rFonts w:ascii="Calibri" w:hAnsi="Calibri" w:cs="Calibri"/>
          <w:color w:val="000000"/>
          <w:sz w:val="22"/>
          <w:szCs w:val="22"/>
          <w:lang w:val="hr-HR" w:eastAsia="hr-HR"/>
        </w:rPr>
      </w:pPr>
    </w:p>
    <w:p w:rsidR="00F936F3" w:rsidRPr="001567C8" w:rsidRDefault="00512D0D" w:rsidP="003C6BA3">
      <w:pPr>
        <w:jc w:val="both"/>
        <w:rPr>
          <w:rFonts w:asciiTheme="minorHAnsi" w:hAnsiTheme="minorHAnsi" w:cs="Arial"/>
          <w:sz w:val="22"/>
          <w:szCs w:val="22"/>
          <w:lang w:val="hr-HR"/>
        </w:rPr>
      </w:pPr>
      <w:r w:rsidRPr="00CD3A2D">
        <w:rPr>
          <w:rFonts w:ascii="Calibri" w:hAnsi="Calibri" w:cs="Calibri"/>
          <w:color w:val="000000"/>
          <w:sz w:val="22"/>
          <w:szCs w:val="22"/>
          <w:lang w:val="hr-HR" w:eastAsia="hr-HR"/>
        </w:rPr>
        <w:t xml:space="preserve"> </w:t>
      </w:r>
    </w:p>
    <w:p w:rsidR="00512D0D" w:rsidRPr="001567C8" w:rsidRDefault="00512D0D">
      <w:pPr>
        <w:pStyle w:val="T1"/>
        <w:spacing w:before="0" w:after="0" w:line="240" w:lineRule="auto"/>
        <w:rPr>
          <w:rFonts w:asciiTheme="minorHAnsi" w:hAnsiTheme="minorHAnsi" w:cs="Arial"/>
          <w:b w:val="0"/>
          <w:bCs w:val="0"/>
          <w:sz w:val="22"/>
          <w:szCs w:val="22"/>
          <w:lang w:val="hr-HR"/>
        </w:rPr>
        <w:sectPr w:rsidR="00512D0D" w:rsidRPr="001567C8" w:rsidSect="000D6913">
          <w:pgSz w:w="11907" w:h="16840" w:code="9"/>
          <w:pgMar w:top="1418" w:right="1134" w:bottom="1134" w:left="1418" w:header="851" w:footer="851" w:gutter="0"/>
          <w:cols w:space="720"/>
          <w:noEndnote/>
        </w:sectPr>
      </w:pPr>
    </w:p>
    <w:p w:rsidR="00F936F3" w:rsidRPr="001567C8" w:rsidRDefault="00F936F3">
      <w:pPr>
        <w:pStyle w:val="T1"/>
        <w:spacing w:before="0" w:after="0" w:line="240" w:lineRule="auto"/>
        <w:rPr>
          <w:rFonts w:asciiTheme="minorHAnsi" w:hAnsiTheme="minorHAnsi" w:cs="Arial"/>
          <w:b w:val="0"/>
          <w:bCs w:val="0"/>
          <w:sz w:val="22"/>
          <w:szCs w:val="22"/>
          <w:lang w:val="hr-HR"/>
        </w:rPr>
      </w:pPr>
    </w:p>
    <w:p w:rsidR="00512D0D" w:rsidRPr="00CD3A2D" w:rsidRDefault="00512D0D" w:rsidP="00512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512D0D" w:rsidRPr="00CD3A2D" w:rsidRDefault="00512D0D" w:rsidP="00512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512D0D" w:rsidRPr="00CD3A2D" w:rsidRDefault="00512D0D" w:rsidP="00512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512D0D" w:rsidRPr="001567C8" w:rsidRDefault="00512D0D" w:rsidP="00512D0D">
      <w:pPr>
        <w:jc w:val="both"/>
        <w:rPr>
          <w:rFonts w:asciiTheme="minorHAnsi" w:hAnsiTheme="minorHAnsi" w:cstheme="minorHAnsi"/>
          <w:b/>
          <w:sz w:val="18"/>
          <w:szCs w:val="18"/>
          <w:lang w:val="hr-HR"/>
        </w:rPr>
      </w:pPr>
    </w:p>
    <w:p w:rsidR="00512D0D" w:rsidRPr="00CD3A2D" w:rsidRDefault="00512D0D" w:rsidP="00512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512D0D" w:rsidRPr="001567C8" w:rsidRDefault="00512D0D" w:rsidP="00512D0D">
      <w:pPr>
        <w:jc w:val="both"/>
        <w:rPr>
          <w:rFonts w:asciiTheme="minorHAnsi" w:hAnsiTheme="minorHAnsi" w:cs="Arial"/>
          <w:b/>
          <w:i/>
          <w:sz w:val="22"/>
          <w:szCs w:val="22"/>
          <w:lang w:val="hr-HR"/>
        </w:rPr>
      </w:pPr>
    </w:p>
    <w:p w:rsidR="00512D0D" w:rsidRPr="001567C8" w:rsidRDefault="00512D0D" w:rsidP="00512D0D">
      <w:pPr>
        <w:jc w:val="both"/>
        <w:rPr>
          <w:rFonts w:asciiTheme="minorHAnsi" w:hAnsiTheme="minorHAnsi" w:cs="Arial"/>
          <w:b/>
          <w:i/>
          <w:sz w:val="22"/>
          <w:szCs w:val="22"/>
          <w:lang w:val="hr-HR"/>
        </w:rPr>
      </w:pPr>
      <w:r w:rsidRPr="001567C8">
        <w:rPr>
          <w:rFonts w:asciiTheme="minorHAnsi" w:hAnsiTheme="minorHAnsi" w:cs="Arial"/>
          <w:b/>
          <w:i/>
          <w:sz w:val="22"/>
          <w:szCs w:val="22"/>
          <w:lang w:val="hr-HR"/>
        </w:rPr>
        <w:t>x. Financijska imovina – kategorije (nastavak)</w:t>
      </w:r>
    </w:p>
    <w:p w:rsidR="00512D0D" w:rsidRPr="001567C8" w:rsidRDefault="00512D0D" w:rsidP="00512D0D">
      <w:pPr>
        <w:pStyle w:val="T1"/>
        <w:spacing w:before="0" w:after="0" w:line="240" w:lineRule="auto"/>
        <w:rPr>
          <w:rFonts w:asciiTheme="minorHAnsi" w:hAnsiTheme="minorHAnsi" w:cs="Arial"/>
          <w:b w:val="0"/>
          <w:bCs w:val="0"/>
          <w:sz w:val="18"/>
          <w:szCs w:val="18"/>
          <w:lang w:val="hr-HR"/>
        </w:rPr>
      </w:pPr>
    </w:p>
    <w:p w:rsidR="00242F75" w:rsidRPr="00CD3A2D" w:rsidRDefault="00242F75" w:rsidP="00242F75">
      <w:pPr>
        <w:pStyle w:val="accountingpolicytitle"/>
        <w:jc w:val="left"/>
        <w:rPr>
          <w:rFonts w:ascii="Calibri" w:hAnsi="Calibri" w:cs="Calibri"/>
          <w:b w:val="0"/>
          <w:i/>
          <w:iCs/>
          <w:sz w:val="22"/>
          <w:szCs w:val="22"/>
          <w:lang w:val="hr-HR"/>
        </w:rPr>
      </w:pPr>
      <w:r w:rsidRPr="00CD3A2D">
        <w:rPr>
          <w:rFonts w:ascii="Calibri" w:hAnsi="Calibri" w:cs="Calibri"/>
          <w:b w:val="0"/>
          <w:bCs/>
          <w:i/>
          <w:iCs/>
          <w:sz w:val="22"/>
          <w:szCs w:val="22"/>
          <w:lang w:val="hr-HR"/>
        </w:rPr>
        <w:t>Dužnički vrijednosni papiri</w:t>
      </w:r>
    </w:p>
    <w:p w:rsidR="00D80C59" w:rsidRPr="00CD3A2D" w:rsidRDefault="00D80C59" w:rsidP="00242F75">
      <w:pPr>
        <w:jc w:val="both"/>
        <w:rPr>
          <w:rFonts w:ascii="Calibri" w:hAnsi="Calibri" w:cs="Calibri"/>
          <w:color w:val="000000"/>
          <w:sz w:val="18"/>
          <w:szCs w:val="18"/>
          <w:lang w:val="hr-HR" w:eastAsia="hr-HR"/>
        </w:rPr>
      </w:pPr>
    </w:p>
    <w:p w:rsidR="00242F75" w:rsidRPr="00CD3A2D" w:rsidRDefault="00242F75" w:rsidP="003C6BA3">
      <w:pPr>
        <w:spacing w:before="120"/>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HBOR ulaže dio sredstava rezervi likvidnosti u dužničke vrijednosne papire sukladno uvjetima propisnim internim aktima banke koji uređuju investicijsku politiku HBOR-a. Zbog razvojne uloge HBOR-a određene Zakonom o HBOR-u, očuvanja kapitala i svođenja rizika koji su proizašli iz obavljanja djelatnosti utvrđenih Zakonom o HBOR-u na najmanju mjeru, Banka se ne bavi stjecanjem vrijednosnih papira i ulaganja radi kratkoročnog stjecanja dobitka/gubitka od aktivnosti trgovanja, već u svrhu održavanja kratkoročne rezerve likvidnosti i upravljanja kratkoročnom likvidnošću.</w:t>
      </w:r>
    </w:p>
    <w:p w:rsidR="00242F75" w:rsidRPr="00CD3A2D" w:rsidRDefault="00242F75" w:rsidP="003C6BA3">
      <w:pPr>
        <w:spacing w:before="120"/>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Dužničke vrijednosne papire čine obveznice i instrumenti tržišta novca – trezorski, blagajnički i komercijalni zapisi. </w:t>
      </w:r>
    </w:p>
    <w:p w:rsidR="00242F75" w:rsidRPr="00CD3A2D" w:rsidRDefault="00242F75" w:rsidP="003C6BA3">
      <w:pPr>
        <w:spacing w:before="120"/>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Dužnički vrijednosni papiri alocirani su u poslovni model čiji je cilj prikupljanje ugovorenih novčanih tokova i prodaja financijske imovine, </w:t>
      </w:r>
      <w:r w:rsidRPr="00CD3A2D">
        <w:rPr>
          <w:rFonts w:ascii="Calibri" w:hAnsi="Calibri" w:cs="Calibri"/>
          <w:sz w:val="22"/>
          <w:szCs w:val="22"/>
          <w:lang w:val="hr-HR" w:eastAsia="hr-HR"/>
        </w:rPr>
        <w:t>prolaze SPPI test te se</w:t>
      </w:r>
      <w:r w:rsidRPr="00CD3A2D">
        <w:rPr>
          <w:rFonts w:ascii="Calibri" w:hAnsi="Calibri" w:cs="Calibri"/>
          <w:color w:val="000000"/>
          <w:sz w:val="22"/>
          <w:szCs w:val="22"/>
          <w:lang w:val="hr-HR" w:eastAsia="hr-HR"/>
        </w:rPr>
        <w:t xml:space="preserve"> klasificiraju u imovinu koja se naknadno mjeri po fer vrijednosti kroz ostalu sveobuhvatnu dobit.</w:t>
      </w:r>
    </w:p>
    <w:p w:rsidR="00242F75" w:rsidRPr="00CD3A2D" w:rsidRDefault="00242F75" w:rsidP="003C6BA3">
      <w:pPr>
        <w:spacing w:before="120"/>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Dužnički vrijednosni papiri iskazuju u izvanbilančnoj evidenciji na datum trgovanja po nominalnoj vrijednosti, a na datum namire priznaju se u izvještaju o financijskom položaju po fer vrijednosti koja uključuje transakcijske troškove koji se izravno mogu pripisati stjecanju financijske imovine. </w:t>
      </w:r>
    </w:p>
    <w:p w:rsidR="00242F75" w:rsidRPr="00CD3A2D" w:rsidRDefault="00242F75" w:rsidP="003C6BA3">
      <w:pPr>
        <w:spacing w:before="120"/>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Stečena kamata se priznaje kao potraživanje  po kamatama na datum namire i ne predstavlja prihod HBOR-a.</w:t>
      </w:r>
    </w:p>
    <w:p w:rsidR="00242F75" w:rsidRPr="00CD3A2D" w:rsidRDefault="00242F75" w:rsidP="003C6BA3">
      <w:pPr>
        <w:spacing w:before="120"/>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Kamate obračunane na nominalnu vrijednost dužničkih vrijednosnih papira proporcionalne su kamatnoj stopi i vremenu dospijeća, i priznaju se kao prihod od kamata u računu dobiti i gubitka metodom efektivne kamatne stope.</w:t>
      </w:r>
    </w:p>
    <w:p w:rsidR="00242F75" w:rsidRPr="00CD3A2D" w:rsidRDefault="00242F75" w:rsidP="003C6BA3">
      <w:pPr>
        <w:spacing w:before="120"/>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Amortizacija početno priznate premije ili diskonta te transakcijskih troškova kod kupnje dužničkih vrijednosnih papira, priznaje se u računu dobiti i gubitka kao povećanje ili smanjenje kamatnog prihoda, metodom efektivne kamatne stope.</w:t>
      </w:r>
    </w:p>
    <w:p w:rsidR="00242F75" w:rsidRPr="00CD3A2D" w:rsidRDefault="00242F75" w:rsidP="003C6BA3">
      <w:pPr>
        <w:spacing w:before="120"/>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Dužnički vrijednosni papiri evaluiraju se na datum bilance na fer vrijednost koja se utvrđuje na način propisan internim aktima koji uređuju metode vrednovanja financijskih instrumenata (Metodologija vrednovanja financijskih instrumenata). Dobit ili gubitak nastao uslijed promjene fer vrijednosti ove financijske imovine priznaje se u ostaloj sveobuhvatnoj dobiti, a dobit ili gubitak od tečajnih razlika priznaje se u računu dobiti ili gubitka.</w:t>
      </w:r>
    </w:p>
    <w:p w:rsidR="00242F75" w:rsidRPr="00CD3A2D" w:rsidRDefault="00242F75" w:rsidP="003C6BA3">
      <w:pPr>
        <w:spacing w:before="120"/>
        <w:jc w:val="both"/>
        <w:rPr>
          <w:rFonts w:ascii="Calibri" w:hAnsi="Calibri" w:cs="Calibri"/>
          <w:sz w:val="22"/>
          <w:szCs w:val="22"/>
          <w:lang w:val="hr-HR" w:eastAsia="hr-HR"/>
        </w:rPr>
      </w:pPr>
      <w:r w:rsidRPr="00CD3A2D">
        <w:rPr>
          <w:rFonts w:ascii="Calibri" w:hAnsi="Calibri" w:cs="Calibri"/>
          <w:sz w:val="22"/>
          <w:szCs w:val="22"/>
          <w:lang w:val="hr-HR" w:eastAsia="hr-HR"/>
        </w:rPr>
        <w:t xml:space="preserve">Ako se financijska imovina prestane priznavati, kumulativna dobit ili gubitak priznati u ostaloj sveobuhvatnoj dobiti reklasificiraju se iz vlasničkog kapitala u račun dobiti i gubitka i predstavljanju reklasifikacijsko usklađenje. </w:t>
      </w:r>
    </w:p>
    <w:p w:rsidR="00D80C59" w:rsidRPr="00CD3A2D" w:rsidRDefault="00242F75" w:rsidP="003C6BA3">
      <w:pPr>
        <w:spacing w:before="120"/>
        <w:jc w:val="both"/>
        <w:rPr>
          <w:rFonts w:ascii="Calibri" w:hAnsi="Calibri" w:cs="Calibri"/>
          <w:color w:val="000000"/>
          <w:sz w:val="22"/>
          <w:szCs w:val="22"/>
          <w:lang w:val="hr-HR" w:eastAsia="hr-HR"/>
        </w:rPr>
        <w:sectPr w:rsidR="00D80C59" w:rsidRPr="00CD3A2D" w:rsidSect="000D6913">
          <w:pgSz w:w="11907" w:h="16840" w:code="9"/>
          <w:pgMar w:top="1418" w:right="1134" w:bottom="1134" w:left="1418" w:header="851" w:footer="851" w:gutter="0"/>
          <w:cols w:space="720"/>
          <w:noEndnote/>
        </w:sectPr>
      </w:pPr>
      <w:r w:rsidRPr="00CD3A2D">
        <w:rPr>
          <w:rFonts w:ascii="Calibri" w:hAnsi="Calibri" w:cs="Calibri"/>
          <w:color w:val="000000"/>
          <w:sz w:val="22"/>
          <w:szCs w:val="22"/>
          <w:lang w:val="hr-HR" w:eastAsia="hr-HR"/>
        </w:rPr>
        <w:t>Umanjenje vrijednosti utvrđuje se u visini očekivanih kreditnih gubitaka (</w:t>
      </w:r>
      <w:r w:rsidR="001F0D3E" w:rsidRPr="00CD3A2D">
        <w:rPr>
          <w:rFonts w:ascii="Calibri" w:hAnsi="Calibri" w:cs="Calibri"/>
          <w:color w:val="000000"/>
          <w:sz w:val="22"/>
          <w:szCs w:val="22"/>
          <w:lang w:val="hr-HR" w:eastAsia="hr-HR"/>
        </w:rPr>
        <w:t xml:space="preserve">vidi </w:t>
      </w:r>
      <w:r w:rsidR="00B827B2" w:rsidRPr="00CD3A2D">
        <w:rPr>
          <w:rFonts w:ascii="Calibri" w:hAnsi="Calibri" w:cs="Calibri"/>
          <w:color w:val="000000"/>
          <w:sz w:val="22"/>
          <w:szCs w:val="22"/>
          <w:lang w:val="hr-HR" w:eastAsia="hr-HR"/>
        </w:rPr>
        <w:t>G.</w:t>
      </w:r>
      <w:r w:rsidRPr="00CD3A2D">
        <w:rPr>
          <w:rFonts w:ascii="Calibri" w:hAnsi="Calibri" w:cs="Calibri"/>
          <w:color w:val="000000"/>
          <w:sz w:val="22"/>
          <w:szCs w:val="22"/>
          <w:lang w:val="hr-HR" w:eastAsia="hr-HR"/>
        </w:rPr>
        <w:t>i</w:t>
      </w:r>
      <w:r w:rsidR="00896986" w:rsidRPr="00CD3A2D">
        <w:rPr>
          <w:rFonts w:ascii="Calibri" w:hAnsi="Calibri" w:cs="Calibri"/>
          <w:color w:val="000000"/>
          <w:sz w:val="22"/>
          <w:szCs w:val="22"/>
          <w:lang w:val="hr-HR" w:eastAsia="hr-HR"/>
        </w:rPr>
        <w:t>x.</w:t>
      </w:r>
      <w:r w:rsidRPr="00CD3A2D">
        <w:rPr>
          <w:rFonts w:ascii="Calibri" w:hAnsi="Calibri" w:cs="Calibri"/>
          <w:color w:val="000000"/>
          <w:sz w:val="22"/>
          <w:szCs w:val="22"/>
          <w:lang w:val="hr-HR" w:eastAsia="hr-HR"/>
        </w:rPr>
        <w:t>) Umanjenje</w:t>
      </w:r>
      <w:r w:rsidR="00B827B2" w:rsidRPr="00CD3A2D">
        <w:rPr>
          <w:rFonts w:ascii="Calibri" w:hAnsi="Calibri" w:cs="Calibri"/>
          <w:color w:val="000000"/>
          <w:sz w:val="22"/>
          <w:szCs w:val="22"/>
          <w:lang w:val="hr-HR" w:eastAsia="hr-HR"/>
        </w:rPr>
        <w:t xml:space="preserve"> vrijednosti</w:t>
      </w:r>
      <w:r w:rsidRPr="00CD3A2D">
        <w:rPr>
          <w:rFonts w:ascii="Calibri" w:hAnsi="Calibri" w:cs="Calibri"/>
          <w:color w:val="000000"/>
          <w:sz w:val="22"/>
          <w:szCs w:val="22"/>
          <w:lang w:val="hr-HR" w:eastAsia="hr-HR"/>
        </w:rPr>
        <w:t xml:space="preserve"> – opći pristup).</w:t>
      </w:r>
    </w:p>
    <w:p w:rsidR="00242F75" w:rsidRPr="001567C8" w:rsidRDefault="00242F75" w:rsidP="003C6BA3">
      <w:pPr>
        <w:jc w:val="both"/>
        <w:rPr>
          <w:rFonts w:ascii="Calibri" w:hAnsi="Calibri" w:cs="Calibri"/>
          <w:sz w:val="22"/>
          <w:szCs w:val="22"/>
          <w:lang w:val="hr-HR"/>
        </w:rPr>
      </w:pPr>
    </w:p>
    <w:p w:rsidR="00D80C59" w:rsidRPr="00CD3A2D" w:rsidRDefault="00D80C59" w:rsidP="00D80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D80C59" w:rsidRPr="00CD3A2D" w:rsidRDefault="00D80C59" w:rsidP="00D80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D80C59" w:rsidRPr="00CD3A2D" w:rsidRDefault="00D80C59" w:rsidP="00D80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D80C59" w:rsidRPr="001567C8" w:rsidRDefault="00D80C59" w:rsidP="00D80C59">
      <w:pPr>
        <w:jc w:val="both"/>
        <w:rPr>
          <w:rFonts w:asciiTheme="minorHAnsi" w:hAnsiTheme="minorHAnsi" w:cstheme="minorHAnsi"/>
          <w:b/>
          <w:sz w:val="18"/>
          <w:szCs w:val="18"/>
          <w:lang w:val="hr-HR"/>
        </w:rPr>
      </w:pPr>
    </w:p>
    <w:p w:rsidR="00D80C59" w:rsidRPr="00CD3A2D" w:rsidRDefault="00D80C59" w:rsidP="00D80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D80C59" w:rsidRPr="001567C8" w:rsidRDefault="00D80C59" w:rsidP="00D80C59">
      <w:pPr>
        <w:jc w:val="both"/>
        <w:rPr>
          <w:rFonts w:asciiTheme="minorHAnsi" w:hAnsiTheme="minorHAnsi" w:cs="Arial"/>
          <w:b/>
          <w:i/>
          <w:sz w:val="22"/>
          <w:szCs w:val="22"/>
          <w:lang w:val="hr-HR"/>
        </w:rPr>
      </w:pPr>
    </w:p>
    <w:p w:rsidR="00D80C59" w:rsidRPr="001567C8" w:rsidRDefault="00D80C59" w:rsidP="00D80C59">
      <w:pPr>
        <w:jc w:val="both"/>
        <w:rPr>
          <w:rFonts w:asciiTheme="minorHAnsi" w:hAnsiTheme="minorHAnsi" w:cs="Arial"/>
          <w:b/>
          <w:i/>
          <w:sz w:val="22"/>
          <w:szCs w:val="22"/>
          <w:lang w:val="hr-HR"/>
        </w:rPr>
      </w:pPr>
      <w:r w:rsidRPr="001567C8">
        <w:rPr>
          <w:rFonts w:asciiTheme="minorHAnsi" w:hAnsiTheme="minorHAnsi" w:cs="Arial"/>
          <w:b/>
          <w:i/>
          <w:sz w:val="22"/>
          <w:szCs w:val="22"/>
          <w:lang w:val="hr-HR"/>
        </w:rPr>
        <w:t>x. Financijska imovina – kategorije (nastavak)</w:t>
      </w:r>
    </w:p>
    <w:p w:rsidR="0067384E" w:rsidRPr="001567C8" w:rsidRDefault="0067384E" w:rsidP="0067384E">
      <w:pPr>
        <w:jc w:val="both"/>
        <w:rPr>
          <w:rFonts w:asciiTheme="minorHAnsi" w:hAnsiTheme="minorHAnsi" w:cs="Arial"/>
          <w:b/>
          <w:i/>
          <w:sz w:val="22"/>
          <w:szCs w:val="22"/>
          <w:lang w:val="hr-HR"/>
        </w:rPr>
      </w:pPr>
    </w:p>
    <w:p w:rsidR="00F34FE6" w:rsidRPr="001567C8" w:rsidRDefault="008D1650">
      <w:pPr>
        <w:pStyle w:val="T1"/>
        <w:keepNext w:val="0"/>
        <w:spacing w:before="0" w:after="0" w:line="240" w:lineRule="auto"/>
        <w:rPr>
          <w:rFonts w:asciiTheme="minorHAnsi" w:hAnsiTheme="minorHAnsi" w:cs="Arial"/>
          <w:b w:val="0"/>
          <w:bCs w:val="0"/>
          <w:i/>
          <w:sz w:val="22"/>
          <w:szCs w:val="22"/>
          <w:lang w:val="hr-HR"/>
        </w:rPr>
      </w:pPr>
      <w:r w:rsidRPr="001567C8">
        <w:rPr>
          <w:rFonts w:asciiTheme="minorHAnsi" w:hAnsiTheme="minorHAnsi" w:cs="Arial"/>
          <w:b w:val="0"/>
          <w:bCs w:val="0"/>
          <w:i/>
          <w:sz w:val="22"/>
          <w:szCs w:val="22"/>
          <w:lang w:val="hr-HR"/>
        </w:rPr>
        <w:t>Vlasnički vrijednosni papiri</w:t>
      </w:r>
    </w:p>
    <w:p w:rsidR="008D1650" w:rsidRPr="001567C8" w:rsidRDefault="008D1650" w:rsidP="00F34FE6">
      <w:pPr>
        <w:jc w:val="both"/>
        <w:rPr>
          <w:rFonts w:asciiTheme="minorHAnsi" w:hAnsiTheme="minorHAnsi" w:cs="Arial"/>
          <w:i/>
          <w:sz w:val="22"/>
          <w:szCs w:val="22"/>
          <w:lang w:val="hr-HR"/>
        </w:rPr>
      </w:pPr>
    </w:p>
    <w:p w:rsidR="008D1650" w:rsidRPr="00CD3A2D" w:rsidRDefault="008D1650" w:rsidP="008D1650">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Računovodstveni tretman ulaganja u obične ili povlaštene dionice ili poslovne udjele ovisi o stupnju kontrole i utjecaju HBOR-a nad poslovanjem i poslovnim politikama u trgovačkom društvu i vrsti ulaganja.</w:t>
      </w:r>
    </w:p>
    <w:p w:rsidR="008D1650" w:rsidRPr="00CD3A2D" w:rsidRDefault="008D1650" w:rsidP="008D1650">
      <w:pPr>
        <w:jc w:val="both"/>
        <w:rPr>
          <w:rFonts w:ascii="Calibri" w:hAnsi="Calibri" w:cs="Calibri"/>
          <w:color w:val="000000"/>
          <w:sz w:val="22"/>
          <w:szCs w:val="22"/>
          <w:lang w:val="hr-HR" w:eastAsia="hr-HR"/>
        </w:rPr>
      </w:pPr>
    </w:p>
    <w:p w:rsidR="008D1650" w:rsidRPr="00CD3A2D" w:rsidRDefault="008D1650" w:rsidP="008D1650">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Ulaganja se razvrstavaju kao:</w:t>
      </w:r>
    </w:p>
    <w:p w:rsidR="008D1650" w:rsidRPr="00CD3A2D" w:rsidRDefault="008D1650" w:rsidP="002B5EA8">
      <w:pPr>
        <w:numPr>
          <w:ilvl w:val="0"/>
          <w:numId w:val="19"/>
        </w:num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ulaganja bez značajnog utjecaja - udjel u vlasništvu ispod 20 %,</w:t>
      </w:r>
    </w:p>
    <w:p w:rsidR="008D1650" w:rsidRPr="00CD3A2D" w:rsidRDefault="008D1650" w:rsidP="002B5EA8">
      <w:pPr>
        <w:numPr>
          <w:ilvl w:val="0"/>
          <w:numId w:val="19"/>
        </w:num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ulaganja u pridružena društva  - značajni utjecaj,</w:t>
      </w:r>
    </w:p>
    <w:p w:rsidR="008D1650" w:rsidRPr="00CD3A2D" w:rsidRDefault="008D1650" w:rsidP="002B5EA8">
      <w:pPr>
        <w:numPr>
          <w:ilvl w:val="0"/>
          <w:numId w:val="19"/>
        </w:num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ulaganja u ovisna društva - kontrolni utjecaj.</w:t>
      </w:r>
    </w:p>
    <w:p w:rsidR="008D1650" w:rsidRPr="00CD3A2D" w:rsidRDefault="008D1650" w:rsidP="008D1650">
      <w:pPr>
        <w:jc w:val="both"/>
        <w:rPr>
          <w:rFonts w:ascii="Calibri" w:eastAsiaTheme="minorHAnsi" w:hAnsi="Calibri" w:cs="Calibri"/>
          <w:color w:val="000000"/>
          <w:sz w:val="22"/>
          <w:szCs w:val="22"/>
          <w:lang w:val="hr-HR" w:eastAsia="hr-HR"/>
        </w:rPr>
      </w:pPr>
    </w:p>
    <w:p w:rsidR="008D1650" w:rsidRPr="00CD3A2D" w:rsidRDefault="008D1650" w:rsidP="008D1650">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Pri pripremi </w:t>
      </w:r>
      <w:r w:rsidR="00EC435E" w:rsidRPr="00CD3A2D">
        <w:rPr>
          <w:rFonts w:ascii="Calibri" w:hAnsi="Calibri" w:cs="Calibri"/>
          <w:color w:val="000000"/>
          <w:sz w:val="22"/>
          <w:szCs w:val="22"/>
          <w:lang w:val="hr-HR" w:eastAsia="hr-HR"/>
        </w:rPr>
        <w:t>odvojenih</w:t>
      </w:r>
      <w:r w:rsidRPr="00CD3A2D">
        <w:rPr>
          <w:rFonts w:ascii="Calibri" w:hAnsi="Calibri" w:cs="Calibri"/>
          <w:color w:val="000000"/>
          <w:sz w:val="22"/>
          <w:szCs w:val="22"/>
          <w:lang w:val="hr-HR" w:eastAsia="hr-HR"/>
        </w:rPr>
        <w:t xml:space="preserve"> financijskih izvještaja ulaganja u pridružena i ovisna društva iskazuju se ili:</w:t>
      </w:r>
    </w:p>
    <w:p w:rsidR="008D1650" w:rsidRPr="00CD3A2D" w:rsidRDefault="008D1650" w:rsidP="002B5EA8">
      <w:pPr>
        <w:numPr>
          <w:ilvl w:val="0"/>
          <w:numId w:val="20"/>
        </w:num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po trošku ulaganja,</w:t>
      </w:r>
    </w:p>
    <w:p w:rsidR="008D1650" w:rsidRPr="00CD3A2D" w:rsidRDefault="008D1650" w:rsidP="002B5EA8">
      <w:pPr>
        <w:numPr>
          <w:ilvl w:val="0"/>
          <w:numId w:val="20"/>
        </w:num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sukladno MSFI-ju 9,</w:t>
      </w:r>
    </w:p>
    <w:p w:rsidR="008D1650" w:rsidRPr="00CD3A2D" w:rsidRDefault="008D1650" w:rsidP="002B5EA8">
      <w:pPr>
        <w:numPr>
          <w:ilvl w:val="0"/>
          <w:numId w:val="20"/>
        </w:num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primjenom metode udjela.</w:t>
      </w:r>
    </w:p>
    <w:p w:rsidR="008D1650" w:rsidRPr="00CD3A2D" w:rsidRDefault="008D1650" w:rsidP="008D1650">
      <w:pPr>
        <w:jc w:val="both"/>
        <w:rPr>
          <w:rFonts w:ascii="Calibri" w:eastAsiaTheme="minorHAnsi" w:hAnsi="Calibri" w:cs="Calibri"/>
          <w:color w:val="000000"/>
          <w:sz w:val="22"/>
          <w:szCs w:val="22"/>
          <w:lang w:val="hr-HR" w:eastAsia="hr-HR"/>
        </w:rPr>
      </w:pPr>
      <w:r w:rsidRPr="00CD3A2D">
        <w:rPr>
          <w:rFonts w:ascii="Calibri" w:hAnsi="Calibri" w:cs="Calibri"/>
          <w:color w:val="000000"/>
          <w:sz w:val="22"/>
          <w:szCs w:val="22"/>
          <w:lang w:val="hr-HR" w:eastAsia="hr-HR"/>
        </w:rPr>
        <w:t>Za svaku kategoriju ulaganja primjenjuje se isti računovodstveni tretman.</w:t>
      </w:r>
    </w:p>
    <w:p w:rsidR="008D1650" w:rsidRPr="001567C8" w:rsidRDefault="008D1650" w:rsidP="00F34FE6">
      <w:pPr>
        <w:jc w:val="both"/>
        <w:rPr>
          <w:rFonts w:asciiTheme="minorHAnsi" w:hAnsiTheme="minorHAnsi" w:cs="Arial"/>
          <w:i/>
          <w:sz w:val="22"/>
          <w:szCs w:val="22"/>
          <w:lang w:val="hr-HR"/>
        </w:rPr>
      </w:pPr>
    </w:p>
    <w:p w:rsidR="00EC435E" w:rsidRPr="00CD3A2D" w:rsidRDefault="00EC435E" w:rsidP="00EC435E">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U slučajevima kada se ulaganja u ovisna i pridružena društva koja se iskazuju po trošku ulaganja ili primjenom metode udjela klasificiraju kao ulaganja namijenjena prodaji ili distribuciji iskazuje se sukladno MSFI-ju 5 „Dugotrajna imovina namijenjena prodaji i prestanak poslovanja“. </w:t>
      </w:r>
    </w:p>
    <w:p w:rsidR="00EC435E" w:rsidRPr="00CD3A2D" w:rsidRDefault="00EC435E" w:rsidP="00EC435E">
      <w:pPr>
        <w:jc w:val="both"/>
        <w:rPr>
          <w:rFonts w:ascii="Calibri" w:hAnsi="Calibri" w:cs="Calibri"/>
          <w:color w:val="000000"/>
          <w:sz w:val="22"/>
          <w:szCs w:val="22"/>
          <w:lang w:val="hr-HR" w:eastAsia="hr-HR"/>
        </w:rPr>
      </w:pPr>
    </w:p>
    <w:p w:rsidR="00EC435E" w:rsidRPr="00CD3A2D" w:rsidRDefault="00EC435E" w:rsidP="00EC435E">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 tim okolnostima ne mijenja se mjerenje ulaganja obračunatih sukladno MSFI-ju 9.</w:t>
      </w:r>
    </w:p>
    <w:p w:rsidR="00EC435E" w:rsidRPr="001567C8" w:rsidRDefault="00EC435E" w:rsidP="00F34FE6">
      <w:pPr>
        <w:jc w:val="both"/>
        <w:rPr>
          <w:rFonts w:asciiTheme="minorHAnsi" w:hAnsiTheme="minorHAnsi" w:cs="Arial"/>
          <w:i/>
          <w:sz w:val="22"/>
          <w:szCs w:val="22"/>
          <w:lang w:val="hr-HR"/>
        </w:rPr>
      </w:pPr>
    </w:p>
    <w:p w:rsidR="00EC435E" w:rsidRPr="00CD3A2D" w:rsidRDefault="00EC435E" w:rsidP="00EC435E">
      <w:pPr>
        <w:jc w:val="both"/>
        <w:rPr>
          <w:rFonts w:ascii="Arial" w:hAnsi="Arial" w:cs="Arial"/>
          <w:i/>
          <w:iCs/>
          <w:color w:val="000000"/>
          <w:sz w:val="20"/>
          <w:szCs w:val="20"/>
          <w:u w:val="single"/>
          <w:lang w:val="hr-HR" w:eastAsia="hr-HR"/>
        </w:rPr>
      </w:pPr>
      <w:r w:rsidRPr="00CD3A2D">
        <w:rPr>
          <w:rFonts w:ascii="Calibri" w:hAnsi="Calibri" w:cs="Calibri"/>
          <w:i/>
          <w:iCs/>
          <w:color w:val="000000"/>
          <w:sz w:val="22"/>
          <w:szCs w:val="22"/>
          <w:u w:val="single"/>
          <w:lang w:val="hr-HR" w:eastAsia="hr-HR"/>
        </w:rPr>
        <w:t>Ulaganja bez značajnog utjecaja - udjel u vlasništvu ispod 20 %</w:t>
      </w:r>
    </w:p>
    <w:p w:rsidR="00EC435E" w:rsidRPr="00CD3A2D" w:rsidRDefault="00EC435E" w:rsidP="00EC435E">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Vlasnički vrijednosni papiri alocirani su u poslovni model čiji je cilj prikupljanje ugovorenih novčanih tokova i prodaja financijske imovine, t</w:t>
      </w:r>
      <w:r w:rsidRPr="00CD3A2D">
        <w:rPr>
          <w:rFonts w:ascii="Calibri" w:hAnsi="Calibri" w:cs="Calibri"/>
          <w:sz w:val="22"/>
          <w:szCs w:val="22"/>
          <w:lang w:val="hr-HR" w:eastAsia="hr-HR"/>
        </w:rPr>
        <w:t xml:space="preserve">e prema uvjetima u Metodologiji za klasifikaciju i mjerenje financijskih instrumenata ne prolaze SPPI test. Sukladno navedenom, </w:t>
      </w:r>
      <w:r w:rsidRPr="00CD3A2D">
        <w:rPr>
          <w:rFonts w:ascii="Calibri" w:hAnsi="Calibri" w:cs="Calibri"/>
          <w:color w:val="000000"/>
          <w:sz w:val="22"/>
          <w:szCs w:val="22"/>
          <w:lang w:val="hr-HR" w:eastAsia="hr-HR"/>
        </w:rPr>
        <w:t>vlasnički vrijednosni papiri klasificiraju se u imovinu koja se naknadno mjeri po fer vrijednosti kroz dobit ili gubitak te se početno i naknadno mjeri po fer vrijednosti.</w:t>
      </w:r>
    </w:p>
    <w:p w:rsidR="00EC435E" w:rsidRPr="00CD3A2D" w:rsidRDefault="00EC435E" w:rsidP="00EC435E">
      <w:pPr>
        <w:jc w:val="both"/>
        <w:rPr>
          <w:rFonts w:ascii="Calibri" w:hAnsi="Calibri" w:cs="Calibri"/>
          <w:color w:val="000000"/>
          <w:sz w:val="22"/>
          <w:szCs w:val="22"/>
          <w:lang w:val="hr-HR" w:eastAsia="hr-HR"/>
        </w:rPr>
      </w:pPr>
    </w:p>
    <w:p w:rsidR="00EC435E" w:rsidRDefault="00EC435E" w:rsidP="00EC435E">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Na dio vlasničkih vrijednosnih papira se primjenjuje opcija fer vrijednosti kroz ostalu sveobuhvatnu dobit, a to su dionice društava S.W.I.F.T. i Europskog investicijskog fonda zbog trajne namjere držanja tih dionica u </w:t>
      </w:r>
      <w:r w:rsidR="00DA25D1" w:rsidRPr="001567C8">
        <w:rPr>
          <w:rFonts w:ascii="Calibri" w:hAnsi="Calibri" w:cs="Calibri"/>
          <w:color w:val="000000"/>
          <w:sz w:val="22"/>
          <w:szCs w:val="22"/>
          <w:lang w:val="hr-HR" w:eastAsia="hr-HR"/>
        </w:rPr>
        <w:t>portfelju</w:t>
      </w:r>
      <w:r w:rsidRPr="00CD3A2D">
        <w:rPr>
          <w:rFonts w:ascii="Calibri" w:hAnsi="Calibri" w:cs="Calibri"/>
          <w:color w:val="000000"/>
          <w:sz w:val="22"/>
          <w:szCs w:val="22"/>
          <w:lang w:val="hr-HR" w:eastAsia="hr-HR"/>
        </w:rPr>
        <w:t xml:space="preserve"> HBOR-a. Opcija fer vrijednosti kroz ostalu sveobuhvatnu dobit predstavlja način naknadnog mjerenja u kojem se sve promjene fer vrijednosti priznaju u ostaloj sveobuhvatnoj dobiti, a ne u dobiti ili gubitku. Ovo je neopoziva opcija i svi vlasnički instrumenti ostaju klasificirani u ovaj model naknadnog vrednovanja do prestanka priznavanja. </w:t>
      </w:r>
    </w:p>
    <w:p w:rsidR="00CE3E5A" w:rsidRDefault="00CE3E5A" w:rsidP="00EC435E">
      <w:pPr>
        <w:jc w:val="both"/>
        <w:rPr>
          <w:rFonts w:ascii="Calibri" w:hAnsi="Calibri" w:cs="Calibri"/>
          <w:color w:val="000000"/>
          <w:sz w:val="22"/>
          <w:szCs w:val="22"/>
          <w:lang w:val="hr-HR" w:eastAsia="hr-HR"/>
        </w:rPr>
      </w:pPr>
    </w:p>
    <w:p w:rsidR="00CE3E5A" w:rsidRPr="00CD3A2D" w:rsidRDefault="00CE3E5A" w:rsidP="00CE3E5A">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Dobici ili gubici nastali uslijed promjene tečaja stranih valuta, priznaju se u ostaloj sveobuhvatnoj dobiti. Iznosi priznati u ostaloj sveobuhvatnoj dobiti ne prenose se u dobit ili gubitak, već se u trenutku prestanka priznavanja zadržavaju unutar </w:t>
      </w:r>
      <w:r>
        <w:rPr>
          <w:rFonts w:ascii="Calibri" w:hAnsi="Calibri" w:cs="Calibri"/>
          <w:color w:val="000000"/>
          <w:sz w:val="22"/>
          <w:szCs w:val="22"/>
          <w:lang w:val="hr-HR" w:eastAsia="hr-HR"/>
        </w:rPr>
        <w:t>ostale sveobuhvatne dobiti</w:t>
      </w:r>
      <w:r w:rsidRPr="00CD3A2D">
        <w:rPr>
          <w:rFonts w:ascii="Calibri" w:hAnsi="Calibri" w:cs="Calibri"/>
          <w:color w:val="000000"/>
          <w:sz w:val="22"/>
          <w:szCs w:val="22"/>
          <w:lang w:val="hr-HR" w:eastAsia="hr-HR"/>
        </w:rPr>
        <w:t xml:space="preserve">. </w:t>
      </w:r>
    </w:p>
    <w:p w:rsidR="00CE3E5A" w:rsidRPr="00CD3A2D" w:rsidRDefault="00CE3E5A" w:rsidP="00EC435E">
      <w:pPr>
        <w:jc w:val="both"/>
        <w:rPr>
          <w:rFonts w:ascii="Calibri" w:hAnsi="Calibri" w:cs="Calibri"/>
          <w:color w:val="000000"/>
          <w:sz w:val="22"/>
          <w:szCs w:val="22"/>
          <w:lang w:val="hr-HR" w:eastAsia="hr-HR"/>
        </w:rPr>
      </w:pPr>
    </w:p>
    <w:p w:rsidR="00444A56" w:rsidRPr="00CD3A2D" w:rsidRDefault="00444A56" w:rsidP="00EC435E">
      <w:pPr>
        <w:jc w:val="both"/>
        <w:rPr>
          <w:rFonts w:ascii="Calibri" w:hAnsi="Calibri" w:cs="Calibri"/>
          <w:color w:val="000000"/>
          <w:sz w:val="22"/>
          <w:szCs w:val="22"/>
          <w:lang w:val="hr-HR" w:eastAsia="hr-HR"/>
        </w:rPr>
        <w:sectPr w:rsidR="00444A56" w:rsidRPr="00CD3A2D" w:rsidSect="000D6913">
          <w:pgSz w:w="11907" w:h="16840" w:code="9"/>
          <w:pgMar w:top="1418" w:right="1134" w:bottom="1134" w:left="1418" w:header="851" w:footer="851" w:gutter="0"/>
          <w:cols w:space="720"/>
          <w:noEndnote/>
        </w:sectPr>
      </w:pPr>
    </w:p>
    <w:p w:rsidR="00EC435E" w:rsidRPr="00CD3A2D"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EC435E" w:rsidRPr="00CD3A2D"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EC435E" w:rsidRPr="00CD3A2D"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EC435E" w:rsidRPr="00CD3A2D"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EC435E" w:rsidRPr="001567C8" w:rsidRDefault="00EC435E" w:rsidP="00EC435E">
      <w:pPr>
        <w:jc w:val="both"/>
        <w:rPr>
          <w:rFonts w:asciiTheme="minorHAnsi" w:hAnsiTheme="minorHAnsi" w:cstheme="minorHAnsi"/>
          <w:b/>
          <w:sz w:val="18"/>
          <w:szCs w:val="18"/>
          <w:lang w:val="hr-HR"/>
        </w:rPr>
      </w:pPr>
    </w:p>
    <w:p w:rsidR="00EC435E" w:rsidRPr="00CD3A2D"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EC435E" w:rsidRPr="001567C8" w:rsidRDefault="00EC435E" w:rsidP="00EC435E">
      <w:pPr>
        <w:jc w:val="both"/>
        <w:rPr>
          <w:rFonts w:asciiTheme="minorHAnsi" w:hAnsiTheme="minorHAnsi" w:cs="Arial"/>
          <w:b/>
          <w:i/>
          <w:sz w:val="22"/>
          <w:szCs w:val="22"/>
          <w:lang w:val="hr-HR"/>
        </w:rPr>
      </w:pPr>
    </w:p>
    <w:p w:rsidR="00EC435E" w:rsidRPr="001567C8" w:rsidRDefault="00EC435E" w:rsidP="00EC435E">
      <w:pPr>
        <w:jc w:val="both"/>
        <w:rPr>
          <w:rFonts w:asciiTheme="minorHAnsi" w:hAnsiTheme="minorHAnsi" w:cs="Arial"/>
          <w:b/>
          <w:i/>
          <w:sz w:val="22"/>
          <w:szCs w:val="22"/>
          <w:lang w:val="hr-HR"/>
        </w:rPr>
      </w:pPr>
      <w:r w:rsidRPr="001567C8">
        <w:rPr>
          <w:rFonts w:asciiTheme="minorHAnsi" w:hAnsiTheme="minorHAnsi" w:cs="Arial"/>
          <w:b/>
          <w:i/>
          <w:sz w:val="22"/>
          <w:szCs w:val="22"/>
          <w:lang w:val="hr-HR"/>
        </w:rPr>
        <w:t>x. Financijska imovina – kategorije (nastavak)</w:t>
      </w:r>
    </w:p>
    <w:p w:rsidR="00EC435E" w:rsidRPr="001567C8" w:rsidRDefault="00EC435E" w:rsidP="00EC435E">
      <w:pPr>
        <w:jc w:val="both"/>
        <w:rPr>
          <w:rFonts w:asciiTheme="minorHAnsi" w:hAnsiTheme="minorHAnsi" w:cs="Arial"/>
          <w:b/>
          <w:i/>
          <w:sz w:val="22"/>
          <w:szCs w:val="22"/>
          <w:lang w:val="hr-HR"/>
        </w:rPr>
      </w:pPr>
    </w:p>
    <w:p w:rsidR="00077B53" w:rsidRPr="001567C8" w:rsidRDefault="00077B53" w:rsidP="00077B53">
      <w:pPr>
        <w:pStyle w:val="T1"/>
        <w:keepNext w:val="0"/>
        <w:spacing w:before="0" w:after="0" w:line="240" w:lineRule="auto"/>
        <w:rPr>
          <w:rFonts w:asciiTheme="minorHAnsi" w:hAnsiTheme="minorHAnsi" w:cs="Arial"/>
          <w:b w:val="0"/>
          <w:bCs w:val="0"/>
          <w:i/>
          <w:sz w:val="22"/>
          <w:szCs w:val="22"/>
          <w:lang w:val="hr-HR"/>
        </w:rPr>
      </w:pPr>
      <w:r w:rsidRPr="001567C8">
        <w:rPr>
          <w:rFonts w:asciiTheme="minorHAnsi" w:hAnsiTheme="minorHAnsi" w:cs="Arial"/>
          <w:b w:val="0"/>
          <w:bCs w:val="0"/>
          <w:i/>
          <w:sz w:val="22"/>
          <w:szCs w:val="22"/>
          <w:lang w:val="hr-HR"/>
        </w:rPr>
        <w:t>Vlasnički vrijednosni papiri (nastavak)</w:t>
      </w:r>
    </w:p>
    <w:p w:rsidR="00077B53" w:rsidRPr="001567C8" w:rsidRDefault="00077B53" w:rsidP="00EC435E">
      <w:pPr>
        <w:jc w:val="both"/>
        <w:rPr>
          <w:rFonts w:asciiTheme="minorHAnsi" w:hAnsiTheme="minorHAnsi" w:cs="Arial"/>
          <w:b/>
          <w:i/>
          <w:sz w:val="22"/>
          <w:szCs w:val="22"/>
          <w:lang w:val="hr-HR"/>
        </w:rPr>
      </w:pPr>
    </w:p>
    <w:p w:rsidR="00EC435E" w:rsidRPr="00CD3A2D" w:rsidRDefault="00EC435E" w:rsidP="00EC435E">
      <w:pPr>
        <w:jc w:val="both"/>
        <w:rPr>
          <w:rFonts w:ascii="Arial" w:hAnsi="Arial" w:cs="Arial"/>
          <w:i/>
          <w:iCs/>
          <w:color w:val="000000"/>
          <w:sz w:val="20"/>
          <w:szCs w:val="20"/>
          <w:u w:val="single"/>
          <w:lang w:val="hr-HR" w:eastAsia="hr-HR"/>
        </w:rPr>
      </w:pPr>
      <w:r w:rsidRPr="00CD3A2D">
        <w:rPr>
          <w:rFonts w:ascii="Calibri" w:hAnsi="Calibri" w:cs="Calibri"/>
          <w:i/>
          <w:iCs/>
          <w:color w:val="000000"/>
          <w:sz w:val="22"/>
          <w:szCs w:val="22"/>
          <w:u w:val="single"/>
          <w:lang w:val="hr-HR" w:eastAsia="hr-HR"/>
        </w:rPr>
        <w:t>Ulaganja bez značajnog utjecaja - udjel u vlasništvu ispod 20 % (nastavak)</w:t>
      </w:r>
    </w:p>
    <w:p w:rsidR="00EC435E" w:rsidRPr="001567C8" w:rsidRDefault="00EC435E" w:rsidP="00EC435E">
      <w:pPr>
        <w:jc w:val="both"/>
        <w:rPr>
          <w:rFonts w:asciiTheme="minorHAnsi" w:hAnsiTheme="minorHAnsi" w:cs="Arial"/>
          <w:b/>
          <w:i/>
          <w:sz w:val="22"/>
          <w:szCs w:val="22"/>
          <w:lang w:val="hr-HR"/>
        </w:rPr>
      </w:pPr>
    </w:p>
    <w:p w:rsidR="00EC435E" w:rsidRPr="00CD3A2D" w:rsidRDefault="00EC435E" w:rsidP="00EC435E">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Prihod od dividende po vlasničkim vrijednosnim papirima priznaje se temeljem odluke o isplati i u razdoblju u kojem je donesena, koju je donijela skupština ili drugo nadležno tijelo, ako je razumno da će se dividenda i naplatiti. </w:t>
      </w:r>
    </w:p>
    <w:p w:rsidR="00EC435E" w:rsidRPr="00CD3A2D" w:rsidRDefault="00EC435E" w:rsidP="00EC435E">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Ako je naplata neizvjesna, prihod će se priznati tek u trenutku naplate. </w:t>
      </w:r>
    </w:p>
    <w:p w:rsidR="00EC435E" w:rsidRPr="00CD3A2D" w:rsidRDefault="00EC435E" w:rsidP="00EC435E">
      <w:pPr>
        <w:jc w:val="both"/>
        <w:rPr>
          <w:rFonts w:ascii="Calibri" w:hAnsi="Calibri" w:cs="Calibri"/>
          <w:color w:val="000000"/>
          <w:sz w:val="22"/>
          <w:szCs w:val="22"/>
          <w:lang w:val="hr-HR" w:eastAsia="hr-HR"/>
        </w:rPr>
      </w:pPr>
    </w:p>
    <w:p w:rsidR="00EC435E" w:rsidRPr="00CD3A2D" w:rsidRDefault="00EC435E" w:rsidP="00EC435E">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Dividenda se priznaje u dobiti ili gubitku za sve vlasničke instrumente neovisno da li su klasificirani kao instrumenti koji se naknadno mjere po fer vrijednosti kroz </w:t>
      </w:r>
      <w:r w:rsidR="00077B53" w:rsidRPr="00CD3A2D">
        <w:rPr>
          <w:rFonts w:ascii="Calibri" w:hAnsi="Calibri" w:cs="Calibri"/>
          <w:color w:val="000000"/>
          <w:sz w:val="22"/>
          <w:szCs w:val="22"/>
          <w:lang w:val="hr-HR" w:eastAsia="hr-HR"/>
        </w:rPr>
        <w:t>d</w:t>
      </w:r>
      <w:r w:rsidRPr="00CD3A2D">
        <w:rPr>
          <w:rFonts w:ascii="Calibri" w:hAnsi="Calibri" w:cs="Calibri"/>
          <w:color w:val="000000"/>
          <w:sz w:val="22"/>
          <w:szCs w:val="22"/>
          <w:lang w:val="hr-HR" w:eastAsia="hr-HR"/>
        </w:rPr>
        <w:t>obit ili gubit</w:t>
      </w:r>
      <w:r w:rsidR="00077B53" w:rsidRPr="00CD3A2D">
        <w:rPr>
          <w:rFonts w:ascii="Calibri" w:hAnsi="Calibri" w:cs="Calibri"/>
          <w:color w:val="000000"/>
          <w:sz w:val="22"/>
          <w:szCs w:val="22"/>
          <w:lang w:val="hr-HR" w:eastAsia="hr-HR"/>
        </w:rPr>
        <w:t>a</w:t>
      </w:r>
      <w:r w:rsidRPr="00CD3A2D">
        <w:rPr>
          <w:rFonts w:ascii="Calibri" w:hAnsi="Calibri" w:cs="Calibri"/>
          <w:color w:val="000000"/>
          <w:sz w:val="22"/>
          <w:szCs w:val="22"/>
          <w:lang w:val="hr-HR" w:eastAsia="hr-HR"/>
        </w:rPr>
        <w:t>k ili kao instrumenti koji se naknadno mjere po opciji fer vrijednosti kroz ostalu sveobuhvatnu dobit.</w:t>
      </w:r>
    </w:p>
    <w:p w:rsidR="00EC435E" w:rsidRPr="00CD3A2D" w:rsidRDefault="00EC435E" w:rsidP="00EC435E">
      <w:pPr>
        <w:jc w:val="both"/>
        <w:rPr>
          <w:rFonts w:ascii="Calibri" w:hAnsi="Calibri" w:cs="Calibri"/>
          <w:color w:val="000000"/>
          <w:sz w:val="22"/>
          <w:szCs w:val="22"/>
          <w:lang w:val="hr-HR" w:eastAsia="hr-HR"/>
        </w:rPr>
      </w:pPr>
    </w:p>
    <w:p w:rsidR="00EC435E" w:rsidRPr="00CD3A2D" w:rsidRDefault="00EC435E" w:rsidP="00EC435E">
      <w:pPr>
        <w:jc w:val="both"/>
        <w:rPr>
          <w:rFonts w:ascii="Calibri" w:hAnsi="Calibri" w:cs="Calibri"/>
          <w:i/>
          <w:iCs/>
          <w:color w:val="000000"/>
          <w:sz w:val="22"/>
          <w:szCs w:val="22"/>
          <w:u w:val="single"/>
          <w:lang w:val="hr-HR" w:eastAsia="hr-HR"/>
        </w:rPr>
      </w:pPr>
      <w:r w:rsidRPr="00CD3A2D">
        <w:rPr>
          <w:rFonts w:ascii="Calibri" w:hAnsi="Calibri" w:cs="Calibri"/>
          <w:i/>
          <w:iCs/>
          <w:color w:val="000000"/>
          <w:sz w:val="22"/>
          <w:szCs w:val="22"/>
          <w:u w:val="single"/>
          <w:lang w:val="hr-HR" w:eastAsia="hr-HR"/>
        </w:rPr>
        <w:t xml:space="preserve">Ulaganja </w:t>
      </w:r>
      <w:r w:rsidR="00077B53" w:rsidRPr="00CD3A2D">
        <w:rPr>
          <w:rFonts w:ascii="Calibri" w:hAnsi="Calibri" w:cs="Calibri"/>
          <w:i/>
          <w:iCs/>
          <w:color w:val="000000"/>
          <w:sz w:val="22"/>
          <w:szCs w:val="22"/>
          <w:u w:val="single"/>
          <w:lang w:val="hr-HR" w:eastAsia="hr-HR"/>
        </w:rPr>
        <w:t>u pridružena društva -</w:t>
      </w:r>
      <w:r w:rsidRPr="00CD3A2D">
        <w:rPr>
          <w:rFonts w:ascii="Calibri" w:hAnsi="Calibri" w:cs="Calibri"/>
          <w:i/>
          <w:iCs/>
          <w:color w:val="000000"/>
          <w:sz w:val="22"/>
          <w:szCs w:val="22"/>
          <w:u w:val="single"/>
          <w:lang w:val="hr-HR" w:eastAsia="hr-HR"/>
        </w:rPr>
        <w:t xml:space="preserve"> značaj</w:t>
      </w:r>
      <w:r w:rsidR="00077B53" w:rsidRPr="00CD3A2D">
        <w:rPr>
          <w:rFonts w:ascii="Calibri" w:hAnsi="Calibri" w:cs="Calibri"/>
          <w:i/>
          <w:iCs/>
          <w:color w:val="000000"/>
          <w:sz w:val="22"/>
          <w:szCs w:val="22"/>
          <w:u w:val="single"/>
          <w:lang w:val="hr-HR" w:eastAsia="hr-HR"/>
        </w:rPr>
        <w:t>a</w:t>
      </w:r>
      <w:r w:rsidRPr="00CD3A2D">
        <w:rPr>
          <w:rFonts w:ascii="Calibri" w:hAnsi="Calibri" w:cs="Calibri"/>
          <w:i/>
          <w:iCs/>
          <w:color w:val="000000"/>
          <w:sz w:val="22"/>
          <w:szCs w:val="22"/>
          <w:u w:val="single"/>
          <w:lang w:val="hr-HR" w:eastAsia="hr-HR"/>
        </w:rPr>
        <w:t>n utjecaj</w:t>
      </w:r>
      <w:r w:rsidR="00077B53" w:rsidRPr="00CD3A2D">
        <w:rPr>
          <w:rFonts w:ascii="Calibri" w:hAnsi="Calibri" w:cs="Calibri"/>
          <w:i/>
          <w:iCs/>
          <w:color w:val="000000"/>
          <w:sz w:val="22"/>
          <w:szCs w:val="22"/>
          <w:u w:val="single"/>
          <w:lang w:val="hr-HR" w:eastAsia="hr-HR"/>
        </w:rPr>
        <w:t xml:space="preserve"> (</w:t>
      </w:r>
      <w:r w:rsidRPr="00CD3A2D">
        <w:rPr>
          <w:rFonts w:ascii="Calibri" w:hAnsi="Calibri" w:cs="Calibri"/>
          <w:i/>
          <w:iCs/>
          <w:color w:val="000000"/>
          <w:sz w:val="22"/>
          <w:szCs w:val="22"/>
          <w:u w:val="single"/>
          <w:lang w:val="hr-HR" w:eastAsia="hr-HR"/>
        </w:rPr>
        <w:t>iznad 20%</w:t>
      </w:r>
      <w:r w:rsidR="00077B53" w:rsidRPr="00CD3A2D">
        <w:rPr>
          <w:rFonts w:ascii="Calibri" w:hAnsi="Calibri" w:cs="Calibri"/>
          <w:i/>
          <w:iCs/>
          <w:color w:val="000000"/>
          <w:sz w:val="22"/>
          <w:szCs w:val="22"/>
          <w:u w:val="single"/>
          <w:lang w:val="hr-HR" w:eastAsia="hr-HR"/>
        </w:rPr>
        <w:t>)</w:t>
      </w:r>
      <w:r w:rsidRPr="00CD3A2D">
        <w:rPr>
          <w:rFonts w:ascii="Calibri" w:hAnsi="Calibri" w:cs="Calibri"/>
          <w:i/>
          <w:iCs/>
          <w:color w:val="000000"/>
          <w:sz w:val="22"/>
          <w:szCs w:val="22"/>
          <w:u w:val="single"/>
          <w:lang w:val="hr-HR" w:eastAsia="hr-HR"/>
        </w:rPr>
        <w:t xml:space="preserve"> </w:t>
      </w:r>
    </w:p>
    <w:p w:rsidR="00EC435E" w:rsidRPr="00CD3A2D" w:rsidRDefault="00EC435E" w:rsidP="00EC435E">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Ulaganja kod kojih HBOR ima iznad 20 % glasačkih prava i koja su pod značajnim utjecajem HBOR-a smatraju se ulaganjima u pridružena društva (</w:t>
      </w:r>
      <w:r w:rsidR="001378C7" w:rsidRPr="00CD3A2D">
        <w:rPr>
          <w:rFonts w:ascii="Calibri" w:hAnsi="Calibri" w:cs="Calibri"/>
          <w:color w:val="000000"/>
          <w:sz w:val="22"/>
          <w:szCs w:val="22"/>
          <w:lang w:val="hr-HR" w:eastAsia="hr-HR"/>
        </w:rPr>
        <w:t>vidi</w:t>
      </w:r>
      <w:r w:rsidRPr="00CD3A2D">
        <w:rPr>
          <w:rFonts w:ascii="Calibri" w:hAnsi="Calibri" w:cs="Calibri"/>
          <w:color w:val="000000"/>
          <w:sz w:val="22"/>
          <w:szCs w:val="22"/>
          <w:lang w:val="hr-HR" w:eastAsia="hr-HR"/>
        </w:rPr>
        <w:t xml:space="preserve"> A.</w:t>
      </w:r>
      <w:r w:rsidR="001378C7" w:rsidRPr="00CD3A2D">
        <w:rPr>
          <w:rFonts w:ascii="Calibri" w:hAnsi="Calibri" w:cs="Calibri"/>
          <w:color w:val="000000"/>
          <w:sz w:val="22"/>
          <w:szCs w:val="22"/>
          <w:lang w:val="hr-HR" w:eastAsia="hr-HR"/>
        </w:rPr>
        <w:t xml:space="preserve"> Pridružena društva</w:t>
      </w:r>
      <w:r w:rsidRPr="00CD3A2D">
        <w:rPr>
          <w:rFonts w:ascii="Calibri" w:hAnsi="Calibri" w:cs="Calibri"/>
          <w:color w:val="000000"/>
          <w:sz w:val="22"/>
          <w:szCs w:val="22"/>
          <w:lang w:val="hr-HR" w:eastAsia="hr-HR"/>
        </w:rPr>
        <w:t>).</w:t>
      </w:r>
    </w:p>
    <w:p w:rsidR="00EC435E" w:rsidRPr="00CD3A2D" w:rsidRDefault="00EC435E" w:rsidP="00EC435E">
      <w:pPr>
        <w:jc w:val="both"/>
        <w:rPr>
          <w:rFonts w:ascii="Calibri" w:hAnsi="Calibri" w:cs="Calibri"/>
          <w:color w:val="000000"/>
          <w:sz w:val="22"/>
          <w:szCs w:val="22"/>
          <w:lang w:val="hr-HR" w:eastAsia="hr-HR"/>
        </w:rPr>
      </w:pPr>
    </w:p>
    <w:p w:rsidR="00EC435E" w:rsidRPr="00CD3A2D" w:rsidRDefault="00EC435E" w:rsidP="00EC435E">
      <w:pPr>
        <w:jc w:val="both"/>
        <w:rPr>
          <w:rFonts w:ascii="Calibri" w:hAnsi="Calibri" w:cs="Calibri"/>
          <w:i/>
          <w:iCs/>
          <w:color w:val="000000"/>
          <w:sz w:val="22"/>
          <w:szCs w:val="22"/>
          <w:u w:val="single"/>
          <w:lang w:val="hr-HR" w:eastAsia="hr-HR"/>
        </w:rPr>
      </w:pPr>
      <w:r w:rsidRPr="00CD3A2D">
        <w:rPr>
          <w:rFonts w:ascii="Calibri" w:hAnsi="Calibri" w:cs="Calibri"/>
          <w:i/>
          <w:iCs/>
          <w:color w:val="000000"/>
          <w:sz w:val="22"/>
          <w:szCs w:val="22"/>
          <w:u w:val="single"/>
          <w:lang w:val="hr-HR" w:eastAsia="hr-HR"/>
        </w:rPr>
        <w:t>Ulaganja u ovisna društva – ostvarivanje kontrole (</w:t>
      </w:r>
      <w:r w:rsidR="001378C7" w:rsidRPr="00CD3A2D">
        <w:rPr>
          <w:rFonts w:ascii="Calibri" w:hAnsi="Calibri" w:cs="Calibri"/>
          <w:i/>
          <w:iCs/>
          <w:color w:val="000000"/>
          <w:sz w:val="22"/>
          <w:szCs w:val="22"/>
          <w:u w:val="single"/>
          <w:lang w:val="hr-HR" w:eastAsia="hr-HR"/>
        </w:rPr>
        <w:t>vidi</w:t>
      </w:r>
      <w:r w:rsidRPr="00CD3A2D">
        <w:rPr>
          <w:rFonts w:ascii="Calibri" w:hAnsi="Calibri" w:cs="Calibri"/>
          <w:i/>
          <w:iCs/>
          <w:color w:val="000000"/>
          <w:sz w:val="22"/>
          <w:szCs w:val="22"/>
          <w:u w:val="single"/>
          <w:lang w:val="hr-HR" w:eastAsia="hr-HR"/>
        </w:rPr>
        <w:t xml:space="preserve"> A. </w:t>
      </w:r>
      <w:r w:rsidR="001378C7" w:rsidRPr="00CD3A2D">
        <w:rPr>
          <w:rFonts w:ascii="Calibri" w:hAnsi="Calibri" w:cs="Calibri"/>
          <w:i/>
          <w:iCs/>
          <w:color w:val="000000"/>
          <w:sz w:val="22"/>
          <w:szCs w:val="22"/>
          <w:u w:val="single"/>
          <w:lang w:val="hr-HR" w:eastAsia="hr-HR"/>
        </w:rPr>
        <w:t>Ovisna društva</w:t>
      </w:r>
      <w:r w:rsidRPr="00CD3A2D">
        <w:rPr>
          <w:rFonts w:ascii="Calibri" w:hAnsi="Calibri" w:cs="Calibri"/>
          <w:i/>
          <w:iCs/>
          <w:color w:val="000000"/>
          <w:sz w:val="22"/>
          <w:szCs w:val="22"/>
          <w:u w:val="single"/>
          <w:lang w:val="hr-HR" w:eastAsia="hr-HR"/>
        </w:rPr>
        <w:t>)</w:t>
      </w:r>
    </w:p>
    <w:p w:rsidR="00EC435E" w:rsidRPr="00CD3A2D" w:rsidRDefault="00EC435E" w:rsidP="00EC435E">
      <w:pPr>
        <w:jc w:val="both"/>
        <w:rPr>
          <w:rFonts w:ascii="Calibri" w:hAnsi="Calibri" w:cs="Calibri"/>
          <w:color w:val="000000"/>
          <w:sz w:val="22"/>
          <w:szCs w:val="22"/>
          <w:lang w:val="hr-HR" w:eastAsia="hr-HR"/>
        </w:rPr>
      </w:pPr>
    </w:p>
    <w:p w:rsidR="00077B53" w:rsidRPr="00CD3A2D" w:rsidRDefault="00077B53" w:rsidP="00077B53">
      <w:pPr>
        <w:jc w:val="both"/>
        <w:rPr>
          <w:rFonts w:ascii="Calibri" w:hAnsi="Calibri" w:cs="Calibri"/>
          <w:i/>
          <w:iCs/>
          <w:color w:val="000000"/>
          <w:sz w:val="22"/>
          <w:szCs w:val="22"/>
          <w:u w:val="single"/>
          <w:lang w:val="hr-HR" w:eastAsia="hr-HR"/>
        </w:rPr>
      </w:pPr>
      <w:r w:rsidRPr="00CD3A2D">
        <w:rPr>
          <w:rFonts w:ascii="Calibri" w:hAnsi="Calibri" w:cs="Calibri"/>
          <w:i/>
          <w:iCs/>
          <w:color w:val="000000"/>
          <w:sz w:val="22"/>
          <w:szCs w:val="22"/>
          <w:u w:val="single"/>
          <w:lang w:val="hr-HR" w:eastAsia="hr-HR"/>
        </w:rPr>
        <w:t>Udjeli u investicijskim fondovima</w:t>
      </w:r>
    </w:p>
    <w:p w:rsidR="00077B53" w:rsidRPr="00CD3A2D" w:rsidRDefault="00077B53" w:rsidP="00077B53">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Udjeli u investicijskim fondovima odnose se na udjele u novčanim ili obvezničkim UCITS otvorenim investicijskim fondovima i udjele u PE/VC alternativnim investicijskim fondovima rizičnog kapitala.</w:t>
      </w:r>
    </w:p>
    <w:p w:rsidR="00077B53" w:rsidRPr="00CD3A2D" w:rsidRDefault="00077B53" w:rsidP="00077B53">
      <w:pPr>
        <w:jc w:val="both"/>
        <w:rPr>
          <w:rFonts w:ascii="Calibri" w:hAnsi="Calibri" w:cs="Calibri"/>
          <w:color w:val="000000"/>
          <w:sz w:val="22"/>
          <w:szCs w:val="22"/>
          <w:lang w:val="hr-HR" w:eastAsia="hr-HR"/>
        </w:rPr>
      </w:pPr>
    </w:p>
    <w:p w:rsidR="00077B53" w:rsidRPr="00CD3A2D" w:rsidRDefault="00077B53" w:rsidP="00077B53">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 xml:space="preserve">Udjeli u investicijskim fondovima </w:t>
      </w:r>
      <w:r w:rsidRPr="00CD3A2D">
        <w:rPr>
          <w:rFonts w:ascii="Calibri" w:hAnsi="Calibri" w:cs="Calibri"/>
          <w:sz w:val="22"/>
          <w:szCs w:val="22"/>
          <w:lang w:val="hr-HR" w:eastAsia="hr-HR"/>
        </w:rPr>
        <w:t xml:space="preserve">prema uvjetima u Metodologiji </w:t>
      </w:r>
      <w:r w:rsidRPr="00CD3A2D">
        <w:rPr>
          <w:rFonts w:ascii="Calibri" w:hAnsi="Calibri" w:cs="Calibri"/>
          <w:color w:val="000000"/>
          <w:sz w:val="22"/>
          <w:szCs w:val="22"/>
          <w:lang w:val="hr-HR" w:eastAsia="hr-HR"/>
        </w:rPr>
        <w:t>za klasifikaciju i mjerenje financijskih instrumenata, ne prolaze SPPI test. Sukladno navedenom, klasificiraju se u imovinu koja se naknadno mjeri po fer vrijednosti kroz dobit ili gubitak.</w:t>
      </w:r>
    </w:p>
    <w:p w:rsidR="00077B53" w:rsidRPr="00CD3A2D" w:rsidRDefault="00077B53" w:rsidP="00077B53">
      <w:pPr>
        <w:jc w:val="both"/>
        <w:rPr>
          <w:rFonts w:ascii="Calibri" w:hAnsi="Calibri" w:cs="Calibri"/>
          <w:color w:val="000000"/>
          <w:sz w:val="22"/>
          <w:szCs w:val="22"/>
          <w:lang w:val="hr-HR" w:eastAsia="hr-HR"/>
        </w:rPr>
      </w:pPr>
    </w:p>
    <w:p w:rsidR="003D1CEA" w:rsidRPr="00CD3A2D" w:rsidRDefault="00077B53" w:rsidP="00077B53">
      <w:pPr>
        <w:jc w:val="both"/>
        <w:rPr>
          <w:rFonts w:ascii="Calibri" w:hAnsi="Calibri" w:cs="Calibri"/>
          <w:sz w:val="22"/>
          <w:szCs w:val="22"/>
          <w:lang w:val="hr-HR" w:eastAsia="hr-HR"/>
        </w:rPr>
        <w:sectPr w:rsidR="003D1CEA" w:rsidRPr="00CD3A2D" w:rsidSect="000D6913">
          <w:pgSz w:w="11907" w:h="16840" w:code="9"/>
          <w:pgMar w:top="1418" w:right="1134" w:bottom="1134" w:left="1418" w:header="851" w:footer="851" w:gutter="0"/>
          <w:cols w:space="720"/>
          <w:noEndnote/>
        </w:sectPr>
      </w:pPr>
      <w:r w:rsidRPr="00CD3A2D">
        <w:rPr>
          <w:rFonts w:ascii="Calibri" w:hAnsi="Calibri" w:cs="Calibri"/>
          <w:sz w:val="22"/>
          <w:szCs w:val="22"/>
          <w:lang w:val="hr-HR" w:eastAsia="hr-HR"/>
        </w:rPr>
        <w:t xml:space="preserve">Fer vrijednost udjela </w:t>
      </w:r>
      <w:r w:rsidRPr="00CD3A2D">
        <w:rPr>
          <w:rFonts w:ascii="Calibri" w:hAnsi="Calibri" w:cs="Calibri"/>
          <w:color w:val="000000"/>
          <w:sz w:val="22"/>
          <w:szCs w:val="22"/>
          <w:lang w:val="hr-HR" w:eastAsia="hr-HR"/>
        </w:rPr>
        <w:t xml:space="preserve">u investicijskim fondovima </w:t>
      </w:r>
      <w:r w:rsidRPr="00CD3A2D">
        <w:rPr>
          <w:rFonts w:ascii="Calibri" w:hAnsi="Calibri" w:cs="Calibri"/>
          <w:sz w:val="22"/>
          <w:szCs w:val="22"/>
          <w:lang w:val="hr-HR" w:eastAsia="hr-HR"/>
        </w:rPr>
        <w:t xml:space="preserve">utvrđuje sukladno internim aktima koji uređuju </w:t>
      </w:r>
      <w:r w:rsidRPr="00CD3A2D">
        <w:rPr>
          <w:rFonts w:ascii="Calibri" w:hAnsi="Calibri" w:cs="Calibri"/>
          <w:color w:val="000000"/>
          <w:sz w:val="22"/>
          <w:szCs w:val="22"/>
          <w:lang w:val="hr-HR" w:eastAsia="hr-HR"/>
        </w:rPr>
        <w:t>metode vrednovanja financijskih instrumenata (Metodologija vrednovanja financijskih instrumenata)</w:t>
      </w:r>
      <w:r w:rsidRPr="00CD3A2D">
        <w:rPr>
          <w:rFonts w:ascii="Calibri" w:hAnsi="Calibri" w:cs="Calibri"/>
          <w:sz w:val="22"/>
          <w:szCs w:val="22"/>
          <w:lang w:val="hr-HR" w:eastAsia="hr-HR"/>
        </w:rPr>
        <w:t xml:space="preserve"> do prestanka priznavanja financijskog instrumenta, a u poslovnima knjigama priznaje se po fer vrijednosti kroz dobit ili gubitak.</w:t>
      </w:r>
    </w:p>
    <w:p w:rsidR="00077B53" w:rsidRPr="00CD3A2D" w:rsidRDefault="00077B53" w:rsidP="00077B53">
      <w:pPr>
        <w:jc w:val="both"/>
        <w:rPr>
          <w:rFonts w:ascii="Calibri" w:hAnsi="Calibri" w:cs="Calibri"/>
          <w:sz w:val="22"/>
          <w:szCs w:val="22"/>
          <w:lang w:val="hr-HR" w:eastAsia="hr-HR"/>
        </w:rPr>
      </w:pPr>
    </w:p>
    <w:p w:rsidR="00CA2063" w:rsidRPr="00CD3A2D" w:rsidRDefault="00CA2063" w:rsidP="00CA2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CA2063" w:rsidRPr="00CD3A2D" w:rsidRDefault="00CA2063" w:rsidP="00CA2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CA2063" w:rsidRPr="00CD3A2D" w:rsidRDefault="00CA2063" w:rsidP="00CA2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CA2063" w:rsidRPr="001567C8" w:rsidRDefault="00CA2063" w:rsidP="00CA2063">
      <w:pPr>
        <w:jc w:val="both"/>
        <w:rPr>
          <w:rFonts w:asciiTheme="minorHAnsi" w:hAnsiTheme="minorHAnsi" w:cstheme="minorHAnsi"/>
          <w:b/>
          <w:sz w:val="18"/>
          <w:szCs w:val="18"/>
          <w:lang w:val="hr-HR"/>
        </w:rPr>
      </w:pPr>
    </w:p>
    <w:p w:rsidR="00CA2063" w:rsidRPr="00CD3A2D" w:rsidRDefault="00CA2063" w:rsidP="00CA2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CA2063" w:rsidRPr="001567C8" w:rsidRDefault="00CA2063" w:rsidP="00CA2063">
      <w:pPr>
        <w:jc w:val="both"/>
        <w:rPr>
          <w:rFonts w:asciiTheme="minorHAnsi" w:hAnsiTheme="minorHAnsi" w:cs="Arial"/>
          <w:b/>
          <w:i/>
          <w:sz w:val="22"/>
          <w:szCs w:val="22"/>
          <w:lang w:val="hr-HR"/>
        </w:rPr>
      </w:pPr>
    </w:p>
    <w:p w:rsidR="00CA2063" w:rsidRPr="001567C8" w:rsidRDefault="00CA2063" w:rsidP="00CA2063">
      <w:pPr>
        <w:jc w:val="both"/>
        <w:rPr>
          <w:rFonts w:asciiTheme="minorHAnsi" w:hAnsiTheme="minorHAnsi" w:cs="Arial"/>
          <w:b/>
          <w:i/>
          <w:sz w:val="22"/>
          <w:szCs w:val="22"/>
          <w:lang w:val="hr-HR"/>
        </w:rPr>
      </w:pPr>
      <w:r w:rsidRPr="001567C8">
        <w:rPr>
          <w:rFonts w:asciiTheme="minorHAnsi" w:hAnsiTheme="minorHAnsi" w:cs="Arial"/>
          <w:b/>
          <w:i/>
          <w:sz w:val="22"/>
          <w:szCs w:val="22"/>
          <w:lang w:val="hr-HR"/>
        </w:rPr>
        <w:t>x. Financijska imovina – kategorije (nastavak)</w:t>
      </w:r>
    </w:p>
    <w:p w:rsidR="00077B53" w:rsidRPr="001567C8" w:rsidRDefault="00077B53" w:rsidP="00F34FE6">
      <w:pPr>
        <w:jc w:val="both"/>
        <w:rPr>
          <w:rFonts w:asciiTheme="minorHAnsi" w:hAnsiTheme="minorHAnsi" w:cs="Arial"/>
          <w:i/>
          <w:sz w:val="22"/>
          <w:szCs w:val="22"/>
          <w:lang w:val="hr-HR"/>
        </w:rPr>
      </w:pPr>
    </w:p>
    <w:p w:rsidR="00077B53" w:rsidRPr="00CD3A2D" w:rsidRDefault="00077B53" w:rsidP="00077B53">
      <w:pPr>
        <w:jc w:val="both"/>
        <w:rPr>
          <w:rFonts w:ascii="Arial" w:hAnsi="Arial" w:cs="Arial"/>
          <w:i/>
          <w:iCs/>
          <w:sz w:val="20"/>
          <w:szCs w:val="20"/>
          <w:lang w:val="hr-HR" w:eastAsia="hr-HR"/>
        </w:rPr>
      </w:pPr>
      <w:r w:rsidRPr="00CD3A2D">
        <w:rPr>
          <w:rFonts w:ascii="Arial" w:hAnsi="Arial" w:cs="Arial"/>
          <w:i/>
          <w:iCs/>
          <w:sz w:val="20"/>
          <w:szCs w:val="20"/>
          <w:lang w:val="hr-HR" w:eastAsia="hr-HR"/>
        </w:rPr>
        <w:t>Derivatna financijska imovina</w:t>
      </w:r>
    </w:p>
    <w:p w:rsidR="00CA2063" w:rsidRPr="00CD3A2D" w:rsidRDefault="00CA2063" w:rsidP="00077B53">
      <w:pPr>
        <w:jc w:val="both"/>
        <w:rPr>
          <w:rFonts w:ascii="Calibri" w:hAnsi="Calibri" w:cs="Calibri"/>
          <w:sz w:val="22"/>
          <w:szCs w:val="22"/>
          <w:lang w:val="hr-HR" w:eastAsia="hr-HR"/>
        </w:rPr>
      </w:pPr>
    </w:p>
    <w:p w:rsidR="00077B53" w:rsidRPr="00CD3A2D" w:rsidRDefault="00077B53" w:rsidP="00077B53">
      <w:pPr>
        <w:jc w:val="both"/>
        <w:rPr>
          <w:rFonts w:ascii="Calibri" w:hAnsi="Calibri" w:cs="Calibri"/>
          <w:sz w:val="22"/>
          <w:szCs w:val="22"/>
          <w:lang w:val="hr-HR" w:eastAsia="hr-HR"/>
        </w:rPr>
      </w:pPr>
      <w:r w:rsidRPr="00CD3A2D">
        <w:rPr>
          <w:rFonts w:ascii="Calibri" w:hAnsi="Calibri" w:cs="Calibri"/>
          <w:sz w:val="22"/>
          <w:szCs w:val="22"/>
          <w:lang w:val="hr-HR" w:eastAsia="hr-HR"/>
        </w:rPr>
        <w:t>Derivatna financijska imovina odnosi se na FX Forward i FX Swap instrumente ugovorene za potrebe upravljanja valutnim rizikom i rizikom likvidnosti.</w:t>
      </w:r>
    </w:p>
    <w:p w:rsidR="00077B53" w:rsidRPr="00CD3A2D" w:rsidRDefault="00077B53" w:rsidP="00077B53">
      <w:pPr>
        <w:jc w:val="both"/>
        <w:rPr>
          <w:rFonts w:ascii="Calibri" w:hAnsi="Calibri" w:cs="Calibri"/>
          <w:sz w:val="22"/>
          <w:szCs w:val="22"/>
          <w:lang w:val="hr-HR" w:eastAsia="hr-HR"/>
        </w:rPr>
      </w:pPr>
    </w:p>
    <w:p w:rsidR="00077B53" w:rsidRDefault="00077B53">
      <w:pPr>
        <w:jc w:val="both"/>
        <w:rPr>
          <w:rFonts w:ascii="Calibri" w:hAnsi="Calibri" w:cs="Calibri"/>
          <w:sz w:val="22"/>
          <w:szCs w:val="22"/>
          <w:lang w:val="hr-HR" w:eastAsia="hr-HR"/>
        </w:rPr>
      </w:pPr>
      <w:r w:rsidRPr="00CD3A2D">
        <w:rPr>
          <w:rFonts w:ascii="Calibri" w:hAnsi="Calibri" w:cs="Calibri"/>
          <w:sz w:val="22"/>
          <w:szCs w:val="22"/>
          <w:lang w:val="hr-HR" w:eastAsia="hr-HR"/>
        </w:rPr>
        <w:t xml:space="preserve">Derivativna financijska imovina alocirana je u poslovni model unutar kojeg se financijska imovina mjeri po fer vrijednosti  kroz dobiti </w:t>
      </w:r>
      <w:r w:rsidR="00074AEF" w:rsidRPr="00CD3A2D">
        <w:rPr>
          <w:rFonts w:ascii="Calibri" w:hAnsi="Calibri" w:cs="Calibri"/>
          <w:sz w:val="22"/>
          <w:szCs w:val="22"/>
          <w:lang w:val="hr-HR" w:eastAsia="hr-HR"/>
        </w:rPr>
        <w:t>il</w:t>
      </w:r>
      <w:r w:rsidRPr="00CD3A2D">
        <w:rPr>
          <w:rFonts w:ascii="Calibri" w:hAnsi="Calibri" w:cs="Calibri"/>
          <w:sz w:val="22"/>
          <w:szCs w:val="22"/>
          <w:lang w:val="hr-HR" w:eastAsia="hr-HR"/>
        </w:rPr>
        <w:t>i gubit</w:t>
      </w:r>
      <w:r w:rsidR="00074AEF" w:rsidRPr="00CD3A2D">
        <w:rPr>
          <w:rFonts w:ascii="Calibri" w:hAnsi="Calibri" w:cs="Calibri"/>
          <w:sz w:val="22"/>
          <w:szCs w:val="22"/>
          <w:lang w:val="hr-HR" w:eastAsia="hr-HR"/>
        </w:rPr>
        <w:t>a</w:t>
      </w:r>
      <w:r w:rsidR="00FA768D">
        <w:rPr>
          <w:rFonts w:ascii="Calibri" w:hAnsi="Calibri" w:cs="Calibri"/>
          <w:sz w:val="22"/>
          <w:szCs w:val="22"/>
          <w:lang w:val="hr-HR" w:eastAsia="hr-HR"/>
        </w:rPr>
        <w:t>k.</w:t>
      </w:r>
    </w:p>
    <w:p w:rsidR="00FA768D" w:rsidRPr="00CD3A2D" w:rsidRDefault="00FA768D">
      <w:pPr>
        <w:jc w:val="both"/>
        <w:rPr>
          <w:rFonts w:ascii="Calibri" w:hAnsi="Calibri" w:cs="Calibri"/>
          <w:sz w:val="22"/>
          <w:szCs w:val="22"/>
          <w:lang w:val="hr-HR" w:eastAsia="hr-HR"/>
        </w:rPr>
      </w:pPr>
    </w:p>
    <w:p w:rsidR="00077B53" w:rsidRPr="00CD3A2D" w:rsidRDefault="00077B53">
      <w:pPr>
        <w:jc w:val="both"/>
        <w:rPr>
          <w:rFonts w:ascii="Calibri" w:hAnsi="Calibri" w:cs="Calibri"/>
          <w:sz w:val="22"/>
          <w:szCs w:val="22"/>
          <w:lang w:val="hr-HR" w:eastAsia="hr-HR"/>
        </w:rPr>
      </w:pPr>
      <w:r w:rsidRPr="00CD3A2D">
        <w:rPr>
          <w:rFonts w:ascii="Calibri" w:hAnsi="Calibri" w:cs="Calibri"/>
          <w:sz w:val="22"/>
          <w:szCs w:val="22"/>
          <w:lang w:val="hr-HR" w:eastAsia="hr-HR"/>
        </w:rPr>
        <w:t>Na datum ugovora na računima izvanbilančne evidencije početno se iskazuje ugovorena vrijednost derivatnih financijskih instrumenata, uz istovremeno priznavanje promjene fer vrijednosti u izvještaju o financijskom položaju i dobiti ili gubitk</w:t>
      </w:r>
      <w:r w:rsidR="00074AEF" w:rsidRPr="00CD3A2D">
        <w:rPr>
          <w:rFonts w:ascii="Calibri" w:hAnsi="Calibri" w:cs="Calibri"/>
          <w:sz w:val="22"/>
          <w:szCs w:val="22"/>
          <w:lang w:val="hr-HR" w:eastAsia="hr-HR"/>
        </w:rPr>
        <w:t>u</w:t>
      </w:r>
      <w:r w:rsidRPr="00CD3A2D">
        <w:rPr>
          <w:rFonts w:ascii="Calibri" w:hAnsi="Calibri" w:cs="Calibri"/>
          <w:sz w:val="22"/>
          <w:szCs w:val="22"/>
          <w:lang w:val="hr-HR" w:eastAsia="hr-HR"/>
        </w:rPr>
        <w:t xml:space="preserve"> od promjene fer vrijednosti u dobiti i gubitk</w:t>
      </w:r>
      <w:r w:rsidR="00074AEF" w:rsidRPr="00CD3A2D">
        <w:rPr>
          <w:rFonts w:ascii="Calibri" w:hAnsi="Calibri" w:cs="Calibri"/>
          <w:sz w:val="22"/>
          <w:szCs w:val="22"/>
          <w:lang w:val="hr-HR" w:eastAsia="hr-HR"/>
        </w:rPr>
        <w:t>u</w:t>
      </w:r>
      <w:r w:rsidRPr="00CD3A2D">
        <w:rPr>
          <w:rFonts w:ascii="Calibri" w:hAnsi="Calibri" w:cs="Calibri"/>
          <w:sz w:val="22"/>
          <w:szCs w:val="22"/>
          <w:lang w:val="hr-HR" w:eastAsia="hr-HR"/>
        </w:rPr>
        <w:t xml:space="preserve"> sve do prestanka priznavanja.</w:t>
      </w:r>
    </w:p>
    <w:p w:rsidR="00077B53" w:rsidRPr="00CD3A2D" w:rsidRDefault="00077B53">
      <w:pPr>
        <w:jc w:val="both"/>
        <w:rPr>
          <w:rFonts w:ascii="Calibri" w:hAnsi="Calibri" w:cs="Calibri"/>
          <w:sz w:val="22"/>
          <w:szCs w:val="22"/>
          <w:lang w:val="hr-HR" w:eastAsia="hr-HR"/>
        </w:rPr>
      </w:pPr>
    </w:p>
    <w:p w:rsidR="00077B53" w:rsidRPr="00CD3A2D" w:rsidRDefault="00077B53">
      <w:pPr>
        <w:jc w:val="both"/>
        <w:rPr>
          <w:rFonts w:ascii="Calibri" w:hAnsi="Calibri" w:cs="Calibri"/>
          <w:sz w:val="22"/>
          <w:szCs w:val="22"/>
          <w:lang w:val="hr-HR" w:eastAsia="hr-HR"/>
        </w:rPr>
      </w:pPr>
      <w:r w:rsidRPr="00CD3A2D">
        <w:rPr>
          <w:rFonts w:ascii="Calibri" w:hAnsi="Calibri" w:cs="Calibri"/>
          <w:sz w:val="22"/>
          <w:szCs w:val="22"/>
          <w:lang w:val="hr-HR" w:eastAsia="hr-HR"/>
        </w:rPr>
        <w:t xml:space="preserve">Fer vrijednost derivatne financijske imovine utvrđuje se kao sadašnja vrijednost svih budućih novčanih tokova koja se utvrđuje metodologijom propisanom internim aktima koji uređuju metode vrednovanja financijskih instrumenata (Metodologija vrednovanja financijskih instrumenata). </w:t>
      </w:r>
    </w:p>
    <w:p w:rsidR="00077B53" w:rsidRPr="00CD3A2D" w:rsidRDefault="00077B53" w:rsidP="00077B53">
      <w:pPr>
        <w:jc w:val="both"/>
        <w:rPr>
          <w:rFonts w:ascii="Calibri" w:hAnsi="Calibri" w:cs="Calibri"/>
          <w:sz w:val="22"/>
          <w:szCs w:val="22"/>
          <w:lang w:val="hr-HR" w:eastAsia="hr-HR"/>
        </w:rPr>
      </w:pPr>
    </w:p>
    <w:p w:rsidR="00074AEF" w:rsidRPr="00CD3A2D" w:rsidRDefault="00074AEF" w:rsidP="00074AEF">
      <w:pPr>
        <w:jc w:val="both"/>
        <w:rPr>
          <w:rFonts w:ascii="Calibri" w:hAnsi="Calibri" w:cs="Calibri"/>
          <w:i/>
          <w:iCs/>
          <w:color w:val="000000"/>
          <w:sz w:val="22"/>
          <w:szCs w:val="22"/>
          <w:lang w:val="hr-HR" w:eastAsia="hr-HR"/>
        </w:rPr>
      </w:pPr>
      <w:r w:rsidRPr="00CD3A2D">
        <w:rPr>
          <w:rFonts w:ascii="Calibri" w:hAnsi="Calibri" w:cs="Calibri"/>
          <w:i/>
          <w:iCs/>
          <w:color w:val="000000"/>
          <w:sz w:val="22"/>
          <w:szCs w:val="22"/>
          <w:lang w:val="hr-HR" w:eastAsia="hr-HR"/>
        </w:rPr>
        <w:t>Ostala potraživanja</w:t>
      </w:r>
    </w:p>
    <w:p w:rsidR="00074AEF" w:rsidRPr="00CD3A2D" w:rsidRDefault="00074AEF" w:rsidP="00074AEF">
      <w:pPr>
        <w:jc w:val="both"/>
        <w:rPr>
          <w:rFonts w:ascii="Calibri" w:hAnsi="Calibri" w:cs="Calibri"/>
          <w:color w:val="000000"/>
          <w:sz w:val="22"/>
          <w:szCs w:val="22"/>
          <w:lang w:val="hr-HR" w:eastAsia="hr-HR"/>
        </w:rPr>
      </w:pPr>
    </w:p>
    <w:p w:rsidR="00074AEF" w:rsidRPr="00CD3A2D" w:rsidRDefault="00FA768D" w:rsidP="00074AEF">
      <w:pPr>
        <w:jc w:val="both"/>
        <w:rPr>
          <w:rFonts w:ascii="Calibri" w:hAnsi="Calibri" w:cs="Calibri"/>
          <w:color w:val="000000"/>
          <w:sz w:val="22"/>
          <w:szCs w:val="22"/>
          <w:lang w:val="hr-HR" w:eastAsia="hr-HR"/>
        </w:rPr>
      </w:pPr>
      <w:r>
        <w:rPr>
          <w:rFonts w:ascii="Calibri" w:hAnsi="Calibri" w:cs="Calibri"/>
          <w:color w:val="000000"/>
          <w:sz w:val="22"/>
          <w:szCs w:val="22"/>
          <w:lang w:val="hr-HR" w:eastAsia="hr-HR"/>
        </w:rPr>
        <w:t xml:space="preserve">Ostala potraživanja uključuju </w:t>
      </w:r>
      <w:r w:rsidR="00074AEF" w:rsidRPr="00CD3A2D">
        <w:rPr>
          <w:rFonts w:ascii="Calibri" w:hAnsi="Calibri" w:cs="Calibri"/>
          <w:color w:val="000000"/>
          <w:sz w:val="22"/>
          <w:szCs w:val="22"/>
          <w:lang w:val="hr-HR" w:eastAsia="hr-HR"/>
        </w:rPr>
        <w:t xml:space="preserve">dospjela i nedospjela potraživanja po obračunanim nekamatnim prihodima s temelja provizija i naknada te ostala potraživanja koja nisu uključena u ostale pozicije: dani predujmovi za kratkotrajnu imovinu dobavljačima, potraživanja od kupaca, pojedine preplate i sredstva u obračunu. </w:t>
      </w:r>
    </w:p>
    <w:p w:rsidR="00074AEF" w:rsidRPr="00CD3A2D" w:rsidRDefault="00074AEF" w:rsidP="00074AEF">
      <w:pPr>
        <w:jc w:val="both"/>
        <w:rPr>
          <w:rFonts w:ascii="Calibri" w:hAnsi="Calibri" w:cs="Calibri"/>
          <w:color w:val="000000"/>
          <w:sz w:val="22"/>
          <w:szCs w:val="22"/>
          <w:lang w:val="hr-HR" w:eastAsia="hr-HR"/>
        </w:rPr>
      </w:pPr>
    </w:p>
    <w:p w:rsidR="00074AEF" w:rsidRPr="00CD3A2D" w:rsidRDefault="00074AEF" w:rsidP="00074AEF">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Potraživanjima po osnovi naknada koja imaju karakter nekamatnih prihoda smatraju se naknade za izdane garancije, naknade za upravljanje zajmovima u ime i za račun drugih osoba, naknade za obavljanje usluga platnog prometa, ostale naknade koje imaju nekamatni karakter.</w:t>
      </w:r>
    </w:p>
    <w:p w:rsidR="00074AEF" w:rsidRPr="00CD3A2D" w:rsidRDefault="00074AEF" w:rsidP="00074AEF">
      <w:pPr>
        <w:jc w:val="both"/>
        <w:rPr>
          <w:rFonts w:ascii="Calibri" w:hAnsi="Calibri" w:cs="Calibri"/>
          <w:color w:val="000000"/>
          <w:sz w:val="22"/>
          <w:szCs w:val="22"/>
          <w:lang w:val="hr-HR" w:eastAsia="hr-HR"/>
        </w:rPr>
      </w:pPr>
    </w:p>
    <w:p w:rsidR="00074AEF" w:rsidRPr="00CD3A2D" w:rsidRDefault="00074AEF" w:rsidP="00074AEF">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Ostala potraživanja dospijevaju u roku od godine dana i kraće te se smatraju kratkoročnim potraživanjima koja se priznaju u Izvještaju o financijskom položaju kao nedospjelo potraživanje ili na dan dospijeća po načelu fakturirane realizacije.</w:t>
      </w:r>
    </w:p>
    <w:p w:rsidR="00074AEF" w:rsidRPr="00CD3A2D" w:rsidRDefault="00074AEF" w:rsidP="00074AEF">
      <w:pPr>
        <w:jc w:val="both"/>
        <w:rPr>
          <w:rFonts w:ascii="Calibri" w:hAnsi="Calibri" w:cs="Calibri"/>
          <w:color w:val="000000"/>
          <w:sz w:val="22"/>
          <w:szCs w:val="22"/>
          <w:lang w:val="hr-HR" w:eastAsia="hr-HR"/>
        </w:rPr>
      </w:pPr>
    </w:p>
    <w:p w:rsidR="00074AEF" w:rsidRPr="00CD3A2D" w:rsidRDefault="00074AEF" w:rsidP="00074AEF">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Ostala potraživanja alocirana su u poslovni model čiji je cilj držanje imovine radi naplate ugovorenih novčanih tokova te, prema uvjetima u Metodologiji za klasifikaciju i mjerenje financijskih instrumenata, prolaze SPPI test. Sukladno navedenom, ostala potraživanja klasificiraju se u imovinu koja se naknadno mjeri po amortiziranom trošku.</w:t>
      </w:r>
    </w:p>
    <w:p w:rsidR="00074AEF" w:rsidRPr="00CD3A2D" w:rsidRDefault="00074AEF" w:rsidP="00074AEF">
      <w:pPr>
        <w:jc w:val="both"/>
        <w:rPr>
          <w:rFonts w:ascii="Calibri" w:hAnsi="Calibri" w:cs="Calibri"/>
          <w:color w:val="000000"/>
          <w:sz w:val="22"/>
          <w:szCs w:val="22"/>
          <w:lang w:val="hr-HR" w:eastAsia="hr-HR"/>
        </w:rPr>
      </w:pPr>
    </w:p>
    <w:p w:rsidR="00086AA1" w:rsidRPr="00CD3A2D" w:rsidRDefault="00074AEF" w:rsidP="00074AEF">
      <w:pPr>
        <w:jc w:val="both"/>
        <w:rPr>
          <w:rFonts w:ascii="Calibri" w:hAnsi="Calibri" w:cs="Calibri"/>
          <w:color w:val="000000"/>
          <w:sz w:val="22"/>
          <w:szCs w:val="22"/>
          <w:lang w:val="hr-HR" w:eastAsia="hr-HR"/>
        </w:rPr>
        <w:sectPr w:rsidR="00086AA1" w:rsidRPr="00CD3A2D" w:rsidSect="000D6913">
          <w:pgSz w:w="11907" w:h="16840" w:code="9"/>
          <w:pgMar w:top="1418" w:right="1134" w:bottom="1134" w:left="1418" w:header="851" w:footer="851" w:gutter="0"/>
          <w:cols w:space="720"/>
          <w:noEndnote/>
        </w:sectPr>
      </w:pPr>
      <w:r w:rsidRPr="00CD3A2D">
        <w:rPr>
          <w:rFonts w:ascii="Calibri" w:hAnsi="Calibri" w:cs="Calibri"/>
          <w:color w:val="000000"/>
          <w:sz w:val="22"/>
          <w:szCs w:val="22"/>
          <w:lang w:val="hr-HR" w:eastAsia="hr-HR"/>
        </w:rPr>
        <w:t xml:space="preserve">Umanjenje vrijednosti ostalih potraživanja utvrđuje se u visini očekivanih kreditnih gubitaka, ali se ne diskontira na sadašnju vrijednost u skladu sa kratkoročnim karakterom ove financijske imovine. </w:t>
      </w:r>
      <w:r w:rsidR="00086AA1" w:rsidRPr="00CD3A2D">
        <w:rPr>
          <w:rFonts w:ascii="Calibri" w:hAnsi="Calibri" w:cs="Calibri"/>
          <w:color w:val="000000"/>
          <w:sz w:val="22"/>
          <w:szCs w:val="22"/>
          <w:lang w:val="hr-HR" w:eastAsia="hr-HR"/>
        </w:rPr>
        <w:t xml:space="preserve"> </w:t>
      </w:r>
    </w:p>
    <w:p w:rsidR="00074AEF" w:rsidRPr="00CD3A2D" w:rsidRDefault="00074AEF" w:rsidP="00074AEF">
      <w:pPr>
        <w:jc w:val="both"/>
        <w:rPr>
          <w:rFonts w:ascii="Calibri" w:hAnsi="Calibri" w:cs="Calibri"/>
          <w:color w:val="000000"/>
          <w:sz w:val="22"/>
          <w:szCs w:val="22"/>
          <w:lang w:val="hr-HR" w:eastAsia="hr-HR"/>
        </w:rPr>
      </w:pPr>
    </w:p>
    <w:p w:rsidR="00074AEF" w:rsidRPr="00CD3A2D" w:rsidRDefault="00074AEF" w:rsidP="00074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074AEF" w:rsidRPr="00CD3A2D" w:rsidRDefault="00074AEF" w:rsidP="00074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074AEF" w:rsidRPr="00CD3A2D" w:rsidRDefault="00074AEF" w:rsidP="00074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074AEF" w:rsidRPr="001567C8" w:rsidRDefault="00074AEF" w:rsidP="00074AEF">
      <w:pPr>
        <w:jc w:val="both"/>
        <w:rPr>
          <w:rFonts w:asciiTheme="minorHAnsi" w:hAnsiTheme="minorHAnsi" w:cstheme="minorHAnsi"/>
          <w:b/>
          <w:sz w:val="18"/>
          <w:szCs w:val="18"/>
          <w:lang w:val="hr-HR"/>
        </w:rPr>
      </w:pPr>
    </w:p>
    <w:p w:rsidR="00074AEF" w:rsidRPr="00CD3A2D" w:rsidRDefault="00074AEF" w:rsidP="00074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074AEF" w:rsidRPr="001567C8" w:rsidRDefault="00074AEF" w:rsidP="00074AEF">
      <w:pPr>
        <w:jc w:val="both"/>
        <w:rPr>
          <w:rFonts w:asciiTheme="minorHAnsi" w:hAnsiTheme="minorHAnsi" w:cs="Arial"/>
          <w:b/>
          <w:i/>
          <w:sz w:val="22"/>
          <w:szCs w:val="22"/>
          <w:lang w:val="hr-HR"/>
        </w:rPr>
      </w:pPr>
    </w:p>
    <w:p w:rsidR="00074AEF" w:rsidRPr="001567C8" w:rsidRDefault="00074AEF" w:rsidP="00074AEF">
      <w:pPr>
        <w:jc w:val="both"/>
        <w:rPr>
          <w:rFonts w:asciiTheme="minorHAnsi" w:hAnsiTheme="minorHAnsi" w:cs="Arial"/>
          <w:b/>
          <w:i/>
          <w:sz w:val="22"/>
          <w:szCs w:val="22"/>
          <w:lang w:val="hr-HR"/>
        </w:rPr>
      </w:pPr>
      <w:r w:rsidRPr="001567C8">
        <w:rPr>
          <w:rFonts w:asciiTheme="minorHAnsi" w:hAnsiTheme="minorHAnsi" w:cs="Arial"/>
          <w:b/>
          <w:i/>
          <w:sz w:val="22"/>
          <w:szCs w:val="22"/>
          <w:lang w:val="hr-HR"/>
        </w:rPr>
        <w:t>x. Financijska imovina – kategorije (nastavak)</w:t>
      </w:r>
    </w:p>
    <w:p w:rsidR="00074AEF" w:rsidRPr="001567C8" w:rsidRDefault="00074AEF" w:rsidP="00074AEF">
      <w:pPr>
        <w:jc w:val="both"/>
        <w:rPr>
          <w:rFonts w:asciiTheme="minorHAnsi" w:hAnsiTheme="minorHAnsi" w:cs="Arial"/>
          <w:i/>
          <w:sz w:val="22"/>
          <w:szCs w:val="22"/>
          <w:lang w:val="hr-HR"/>
        </w:rPr>
      </w:pPr>
    </w:p>
    <w:p w:rsidR="00074AEF" w:rsidRPr="00CD3A2D" w:rsidRDefault="00074AEF" w:rsidP="00074AEF">
      <w:pPr>
        <w:jc w:val="both"/>
        <w:rPr>
          <w:rFonts w:ascii="Calibri" w:hAnsi="Calibri" w:cs="Calibri"/>
          <w:i/>
          <w:iCs/>
          <w:color w:val="000000"/>
          <w:sz w:val="22"/>
          <w:szCs w:val="22"/>
          <w:lang w:val="hr-HR" w:eastAsia="hr-HR"/>
        </w:rPr>
      </w:pPr>
      <w:r w:rsidRPr="00CD3A2D">
        <w:rPr>
          <w:rFonts w:ascii="Calibri" w:hAnsi="Calibri" w:cs="Calibri"/>
          <w:i/>
          <w:iCs/>
          <w:color w:val="000000"/>
          <w:sz w:val="22"/>
          <w:szCs w:val="22"/>
          <w:lang w:val="hr-HR" w:eastAsia="hr-HR"/>
        </w:rPr>
        <w:t>Ostala potraživanja (nastavak)</w:t>
      </w:r>
    </w:p>
    <w:p w:rsidR="00074AEF" w:rsidRPr="00CD3A2D" w:rsidRDefault="00074AEF" w:rsidP="00074AEF">
      <w:pPr>
        <w:jc w:val="both"/>
        <w:rPr>
          <w:rFonts w:ascii="Calibri" w:hAnsi="Calibri" w:cs="Calibri"/>
          <w:color w:val="000000"/>
          <w:sz w:val="22"/>
          <w:szCs w:val="22"/>
          <w:lang w:val="hr-HR" w:eastAsia="hr-HR"/>
        </w:rPr>
      </w:pPr>
    </w:p>
    <w:p w:rsidR="00074AEF" w:rsidRPr="00CD3A2D" w:rsidRDefault="00074AEF" w:rsidP="00074AEF">
      <w:pPr>
        <w:jc w:val="both"/>
        <w:rPr>
          <w:rFonts w:ascii="Calibri" w:hAnsi="Calibri" w:cs="Calibri"/>
          <w:color w:val="000000"/>
          <w:sz w:val="22"/>
          <w:szCs w:val="22"/>
          <w:lang w:val="hr-HR" w:eastAsia="hr-HR"/>
        </w:rPr>
      </w:pPr>
      <w:r w:rsidRPr="00CD3A2D">
        <w:rPr>
          <w:rFonts w:ascii="Calibri" w:hAnsi="Calibri" w:cs="Calibri"/>
          <w:color w:val="000000"/>
          <w:sz w:val="22"/>
          <w:szCs w:val="22"/>
          <w:lang w:val="hr-HR" w:eastAsia="hr-HR"/>
        </w:rPr>
        <w:t>Umanjenje vrijednosti provodi se primjenom pojednostavljenog pristupa umanjenja vrijednosti (</w:t>
      </w:r>
      <w:r w:rsidR="00D471CE" w:rsidRPr="00CD3A2D">
        <w:rPr>
          <w:rFonts w:ascii="Calibri" w:hAnsi="Calibri" w:cs="Calibri"/>
          <w:color w:val="000000"/>
          <w:sz w:val="22"/>
          <w:szCs w:val="22"/>
          <w:lang w:val="hr-HR" w:eastAsia="hr-HR"/>
        </w:rPr>
        <w:t>vidi</w:t>
      </w:r>
      <w:r w:rsidRPr="00CD3A2D">
        <w:rPr>
          <w:rFonts w:ascii="Calibri" w:hAnsi="Calibri" w:cs="Calibri"/>
          <w:color w:val="000000"/>
          <w:sz w:val="22"/>
          <w:szCs w:val="22"/>
          <w:lang w:val="hr-HR" w:eastAsia="hr-HR"/>
        </w:rPr>
        <w:t xml:space="preserve"> </w:t>
      </w:r>
      <w:r w:rsidR="00E54E2D" w:rsidRPr="00CD3A2D">
        <w:rPr>
          <w:rFonts w:ascii="Calibri" w:hAnsi="Calibri" w:cs="Calibri"/>
          <w:color w:val="000000"/>
          <w:sz w:val="22"/>
          <w:szCs w:val="22"/>
          <w:lang w:val="hr-HR" w:eastAsia="hr-HR"/>
        </w:rPr>
        <w:t>G.</w:t>
      </w:r>
      <w:r w:rsidRPr="00CD3A2D">
        <w:rPr>
          <w:rFonts w:ascii="Calibri" w:hAnsi="Calibri" w:cs="Calibri"/>
          <w:color w:val="000000"/>
          <w:sz w:val="22"/>
          <w:szCs w:val="22"/>
          <w:lang w:val="hr-HR" w:eastAsia="hr-HR"/>
        </w:rPr>
        <w:t xml:space="preserve">ix. </w:t>
      </w:r>
      <w:r w:rsidR="00E54E2D" w:rsidRPr="00CD3A2D">
        <w:rPr>
          <w:rFonts w:ascii="Calibri" w:hAnsi="Calibri" w:cs="Calibri"/>
          <w:color w:val="000000"/>
          <w:sz w:val="22"/>
          <w:szCs w:val="22"/>
          <w:lang w:val="hr-HR" w:eastAsia="hr-HR"/>
        </w:rPr>
        <w:t>U</w:t>
      </w:r>
      <w:r w:rsidRPr="00CD3A2D">
        <w:rPr>
          <w:rFonts w:ascii="Calibri" w:hAnsi="Calibri" w:cs="Calibri"/>
          <w:color w:val="000000"/>
          <w:sz w:val="22"/>
          <w:szCs w:val="22"/>
          <w:lang w:val="hr-HR" w:eastAsia="hr-HR"/>
        </w:rPr>
        <w:t>manjenje</w:t>
      </w:r>
      <w:r w:rsidR="00E54E2D" w:rsidRPr="00CD3A2D">
        <w:rPr>
          <w:rFonts w:ascii="Calibri" w:hAnsi="Calibri" w:cs="Calibri"/>
          <w:color w:val="000000"/>
          <w:sz w:val="22"/>
          <w:szCs w:val="22"/>
          <w:lang w:val="hr-HR" w:eastAsia="hr-HR"/>
        </w:rPr>
        <w:t xml:space="preserve"> vrijednosti</w:t>
      </w:r>
      <w:r w:rsidRPr="00CD3A2D">
        <w:rPr>
          <w:rFonts w:ascii="Calibri" w:hAnsi="Calibri" w:cs="Calibri"/>
          <w:color w:val="000000"/>
          <w:sz w:val="22"/>
          <w:szCs w:val="22"/>
          <w:lang w:val="hr-HR" w:eastAsia="hr-HR"/>
        </w:rPr>
        <w:t xml:space="preserve"> – pojednostavljeni pristup).</w:t>
      </w:r>
    </w:p>
    <w:p w:rsidR="00074AEF" w:rsidRPr="00CD3A2D" w:rsidRDefault="00074AEF" w:rsidP="00074AEF">
      <w:pPr>
        <w:jc w:val="both"/>
        <w:rPr>
          <w:rFonts w:ascii="Calibri" w:hAnsi="Calibri" w:cs="Calibri"/>
          <w:color w:val="000000"/>
          <w:sz w:val="22"/>
          <w:szCs w:val="22"/>
          <w:lang w:val="hr-HR" w:eastAsia="hr-HR"/>
        </w:rPr>
      </w:pPr>
    </w:p>
    <w:p w:rsidR="00074AEF" w:rsidRPr="00CD3A2D" w:rsidRDefault="00074AEF" w:rsidP="00074AEF">
      <w:pPr>
        <w:jc w:val="both"/>
        <w:rPr>
          <w:rFonts w:ascii="Calibri" w:hAnsi="Calibri" w:cs="Calibri"/>
          <w:sz w:val="22"/>
          <w:szCs w:val="22"/>
          <w:lang w:val="hr-HR" w:eastAsia="hr-HR"/>
        </w:rPr>
      </w:pPr>
      <w:r w:rsidRPr="00CD3A2D">
        <w:rPr>
          <w:rFonts w:ascii="Calibri" w:hAnsi="Calibri" w:cs="Calibri"/>
          <w:sz w:val="22"/>
          <w:szCs w:val="22"/>
          <w:lang w:val="hr-HR" w:eastAsia="hr-HR"/>
        </w:rPr>
        <w:t xml:space="preserve">Na dospjela nenaplaćena potraživanja po ostalim potraživanjima obračunava se ugovorena zatezna kamata, a u slučaju da ista nije ugovorena, obračunava se zakonska zatezna kamata. </w:t>
      </w:r>
    </w:p>
    <w:p w:rsidR="00074AEF" w:rsidRPr="00CD3A2D" w:rsidRDefault="00074AEF" w:rsidP="00074AEF">
      <w:pPr>
        <w:jc w:val="both"/>
        <w:rPr>
          <w:rFonts w:ascii="Calibri" w:hAnsi="Calibri" w:cs="Calibri"/>
          <w:sz w:val="22"/>
          <w:szCs w:val="22"/>
          <w:lang w:val="hr-HR" w:eastAsia="hr-HR"/>
        </w:rPr>
      </w:pPr>
    </w:p>
    <w:p w:rsidR="00074AEF" w:rsidRPr="00CD3A2D" w:rsidRDefault="00074AEF" w:rsidP="00074AEF">
      <w:pPr>
        <w:jc w:val="both"/>
        <w:rPr>
          <w:rFonts w:ascii="Calibri" w:hAnsi="Calibri" w:cs="Calibri"/>
          <w:color w:val="000000"/>
          <w:sz w:val="22"/>
          <w:szCs w:val="22"/>
          <w:lang w:val="hr-HR" w:eastAsia="hr-HR"/>
        </w:rPr>
      </w:pPr>
    </w:p>
    <w:p w:rsidR="00017D91" w:rsidRPr="001567C8" w:rsidRDefault="00017D91" w:rsidP="00017D91">
      <w:pPr>
        <w:jc w:val="both"/>
        <w:rPr>
          <w:rFonts w:asciiTheme="minorHAnsi" w:hAnsiTheme="minorHAnsi" w:cs="Arial"/>
          <w:b/>
          <w:i/>
          <w:sz w:val="22"/>
          <w:szCs w:val="22"/>
          <w:lang w:val="hr-HR"/>
        </w:rPr>
      </w:pPr>
      <w:r w:rsidRPr="00CD3A2D">
        <w:rPr>
          <w:rFonts w:ascii="Calibri" w:hAnsi="Calibri" w:cs="Calibri"/>
          <w:b/>
          <w:i/>
          <w:color w:val="000000"/>
          <w:sz w:val="22"/>
          <w:szCs w:val="22"/>
          <w:lang w:val="hr-HR" w:eastAsia="hr-HR"/>
        </w:rPr>
        <w:t xml:space="preserve">xi. Financijska imovina - </w:t>
      </w:r>
      <w:r w:rsidRPr="00CD3A2D">
        <w:rPr>
          <w:rFonts w:asciiTheme="minorHAnsi" w:hAnsiTheme="minorHAnsi" w:cstheme="minorHAnsi"/>
          <w:b/>
          <w:i/>
          <w:sz w:val="22"/>
          <w:szCs w:val="22"/>
          <w:lang w:val="hr-HR" w:eastAsia="hr-HR"/>
        </w:rPr>
        <w:t>Politika primjenjiva prije 1. siječnja 2018. godine</w:t>
      </w:r>
    </w:p>
    <w:p w:rsidR="00074AEF" w:rsidRPr="00CD3A2D" w:rsidRDefault="00074AEF" w:rsidP="00077B53">
      <w:pPr>
        <w:jc w:val="both"/>
        <w:rPr>
          <w:rFonts w:ascii="Calibri" w:hAnsi="Calibri" w:cs="Calibri"/>
          <w:sz w:val="22"/>
          <w:szCs w:val="22"/>
          <w:lang w:val="hr-HR" w:eastAsia="hr-HR"/>
        </w:rPr>
      </w:pPr>
    </w:p>
    <w:p w:rsidR="00017D91" w:rsidRPr="001567C8" w:rsidRDefault="00017D91" w:rsidP="00017D91">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Grupa razvrstava financijske instrumente u posjedu u sljedeće kategorije:</w:t>
      </w:r>
    </w:p>
    <w:p w:rsidR="00017D91" w:rsidRPr="001567C8" w:rsidRDefault="00017D91" w:rsidP="00017D91">
      <w:pPr>
        <w:pStyle w:val="T1"/>
        <w:spacing w:before="0" w:after="0" w:line="240" w:lineRule="auto"/>
        <w:rPr>
          <w:rFonts w:asciiTheme="minorHAnsi" w:hAnsiTheme="minorHAnsi" w:cs="Arial"/>
          <w:b w:val="0"/>
          <w:sz w:val="22"/>
          <w:szCs w:val="22"/>
          <w:lang w:val="hr-HR"/>
        </w:rPr>
      </w:pPr>
    </w:p>
    <w:p w:rsidR="00017D91" w:rsidRPr="001567C8" w:rsidRDefault="00017D91" w:rsidP="002B5EA8">
      <w:pPr>
        <w:pStyle w:val="TT"/>
        <w:numPr>
          <w:ilvl w:val="0"/>
          <w:numId w:val="8"/>
        </w:numPr>
        <w:tabs>
          <w:tab w:val="clear" w:pos="1202"/>
        </w:tabs>
        <w:spacing w:line="240" w:lineRule="auto"/>
        <w:jc w:val="both"/>
        <w:outlineLvl w:val="9"/>
        <w:rPr>
          <w:rFonts w:asciiTheme="minorHAnsi" w:hAnsiTheme="minorHAnsi" w:cs="Arial"/>
          <w:sz w:val="22"/>
          <w:szCs w:val="22"/>
          <w:lang w:val="hr-HR"/>
        </w:rPr>
      </w:pPr>
      <w:r w:rsidRPr="001567C8">
        <w:rPr>
          <w:rFonts w:asciiTheme="minorHAnsi" w:hAnsiTheme="minorHAnsi" w:cs="Arial"/>
          <w:sz w:val="22"/>
          <w:szCs w:val="22"/>
          <w:lang w:val="hr-HR"/>
        </w:rPr>
        <w:t>zajmove i potraživanja,</w:t>
      </w:r>
    </w:p>
    <w:p w:rsidR="00017D91" w:rsidRPr="001567C8" w:rsidRDefault="00017D91" w:rsidP="002B5EA8">
      <w:pPr>
        <w:pStyle w:val="TT"/>
        <w:numPr>
          <w:ilvl w:val="0"/>
          <w:numId w:val="8"/>
        </w:numPr>
        <w:tabs>
          <w:tab w:val="clear" w:pos="1202"/>
        </w:tabs>
        <w:spacing w:line="240" w:lineRule="auto"/>
        <w:jc w:val="both"/>
        <w:outlineLvl w:val="9"/>
        <w:rPr>
          <w:rFonts w:asciiTheme="minorHAnsi" w:hAnsiTheme="minorHAnsi" w:cs="Arial"/>
          <w:sz w:val="22"/>
          <w:szCs w:val="22"/>
          <w:lang w:val="hr-HR"/>
        </w:rPr>
      </w:pPr>
      <w:r w:rsidRPr="001567C8">
        <w:rPr>
          <w:rFonts w:asciiTheme="minorHAnsi" w:hAnsiTheme="minorHAnsi" w:cs="Arial"/>
          <w:sz w:val="22"/>
          <w:szCs w:val="22"/>
          <w:lang w:val="hr-HR"/>
        </w:rPr>
        <w:t>financijsku imovinu koja se drži do dospijeća,</w:t>
      </w:r>
    </w:p>
    <w:p w:rsidR="00017D91" w:rsidRPr="001567C8" w:rsidRDefault="00017D91" w:rsidP="002B5EA8">
      <w:pPr>
        <w:pStyle w:val="TT"/>
        <w:numPr>
          <w:ilvl w:val="0"/>
          <w:numId w:val="8"/>
        </w:numPr>
        <w:tabs>
          <w:tab w:val="clear" w:pos="1202"/>
        </w:tabs>
        <w:spacing w:line="240" w:lineRule="auto"/>
        <w:jc w:val="both"/>
        <w:outlineLvl w:val="9"/>
        <w:rPr>
          <w:rFonts w:asciiTheme="minorHAnsi" w:hAnsiTheme="minorHAnsi" w:cs="Arial"/>
          <w:sz w:val="22"/>
          <w:szCs w:val="22"/>
          <w:lang w:val="hr-HR"/>
        </w:rPr>
      </w:pPr>
      <w:r w:rsidRPr="001567C8">
        <w:rPr>
          <w:rFonts w:asciiTheme="minorHAnsi" w:hAnsiTheme="minorHAnsi" w:cs="Arial"/>
          <w:sz w:val="22"/>
          <w:szCs w:val="22"/>
          <w:lang w:val="hr-HR"/>
        </w:rPr>
        <w:t>financijsku imovinu raspoloživu za prodaju, i</w:t>
      </w:r>
    </w:p>
    <w:p w:rsidR="00017D91" w:rsidRPr="001567C8" w:rsidRDefault="00017D91" w:rsidP="002B5EA8">
      <w:pPr>
        <w:pStyle w:val="TT"/>
        <w:numPr>
          <w:ilvl w:val="0"/>
          <w:numId w:val="8"/>
        </w:numPr>
        <w:tabs>
          <w:tab w:val="clear" w:pos="1202"/>
        </w:tabs>
        <w:spacing w:line="240" w:lineRule="auto"/>
        <w:jc w:val="both"/>
        <w:outlineLvl w:val="9"/>
        <w:rPr>
          <w:rFonts w:asciiTheme="minorHAnsi" w:hAnsiTheme="minorHAnsi" w:cs="Arial"/>
          <w:sz w:val="22"/>
          <w:szCs w:val="22"/>
          <w:lang w:val="hr-HR"/>
        </w:rPr>
      </w:pPr>
      <w:r w:rsidRPr="001567C8">
        <w:rPr>
          <w:rFonts w:asciiTheme="minorHAnsi" w:hAnsiTheme="minorHAnsi" w:cs="Arial"/>
          <w:sz w:val="22"/>
          <w:szCs w:val="22"/>
          <w:lang w:val="hr-HR"/>
        </w:rPr>
        <w:t>financijsku imovinu po fer vrijednosti kroz dobit ili gubitak.</w:t>
      </w: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r w:rsidRPr="001567C8">
        <w:rPr>
          <w:rFonts w:asciiTheme="minorHAnsi" w:hAnsiTheme="minorHAnsi" w:cs="Arial"/>
          <w:sz w:val="22"/>
          <w:szCs w:val="22"/>
          <w:lang w:val="hr-HR"/>
        </w:rPr>
        <w:t xml:space="preserve">Financijski instrumenti razvrstavaju se u navedene kategorije u ovisnosti o namjeri s kojom su pribavljeni. Razvrstavanje financijskih instrumenata prilikom početnog priznavanja te računovodstvene metode praćenja ovih instrumenata određeni su Računovodstvenim politikama koje donosi Uprava. </w:t>
      </w: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r w:rsidRPr="001567C8">
        <w:rPr>
          <w:rFonts w:asciiTheme="minorHAnsi" w:hAnsiTheme="minorHAnsi" w:cs="Arial"/>
          <w:sz w:val="22"/>
          <w:szCs w:val="22"/>
          <w:lang w:val="hr-HR"/>
        </w:rPr>
        <w:t xml:space="preserve">Osnovna razlika između kategorija je u pristupu mjerenja financijske imovine i priznavanja fer vrijednosti u financijskim izvještajima, što je objašnjeno dalje u tekstu. </w:t>
      </w: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r w:rsidRPr="001567C8">
        <w:rPr>
          <w:rFonts w:asciiTheme="minorHAnsi" w:hAnsiTheme="minorHAnsi" w:cs="Arial"/>
          <w:sz w:val="22"/>
          <w:szCs w:val="22"/>
          <w:lang w:val="hr-HR"/>
        </w:rPr>
        <w:t xml:space="preserve">Sve vrijednosnice u posjedu Grupe priznaju se na datum namire i početno iskazuju po trošku, uključujući direktne transakcijske troškove kada se ulaganja ne vrednuju po fer vrijednosti kroz dobit </w:t>
      </w:r>
      <w:r w:rsidR="00D471CE" w:rsidRPr="001567C8">
        <w:rPr>
          <w:rFonts w:asciiTheme="minorHAnsi" w:hAnsiTheme="minorHAnsi" w:cs="Arial"/>
          <w:sz w:val="22"/>
          <w:szCs w:val="22"/>
          <w:lang w:val="hr-HR"/>
        </w:rPr>
        <w:t>il</w:t>
      </w:r>
      <w:r w:rsidRPr="001567C8">
        <w:rPr>
          <w:rFonts w:asciiTheme="minorHAnsi" w:hAnsiTheme="minorHAnsi" w:cs="Arial"/>
          <w:sz w:val="22"/>
          <w:szCs w:val="22"/>
          <w:lang w:val="hr-HR"/>
        </w:rPr>
        <w:t>i gubit</w:t>
      </w:r>
      <w:r w:rsidR="00D471CE" w:rsidRPr="001567C8">
        <w:rPr>
          <w:rFonts w:asciiTheme="minorHAnsi" w:hAnsiTheme="minorHAnsi" w:cs="Arial"/>
          <w:sz w:val="22"/>
          <w:szCs w:val="22"/>
          <w:lang w:val="hr-HR"/>
        </w:rPr>
        <w:t>a</w:t>
      </w:r>
      <w:r w:rsidRPr="001567C8">
        <w:rPr>
          <w:rFonts w:asciiTheme="minorHAnsi" w:hAnsiTheme="minorHAnsi" w:cs="Arial"/>
          <w:sz w:val="22"/>
          <w:szCs w:val="22"/>
          <w:lang w:val="hr-HR"/>
        </w:rPr>
        <w:t>k.</w:t>
      </w: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r w:rsidRPr="001567C8">
        <w:rPr>
          <w:rFonts w:asciiTheme="minorHAnsi" w:hAnsiTheme="minorHAnsi" w:cs="Arial"/>
          <w:sz w:val="22"/>
          <w:szCs w:val="22"/>
          <w:lang w:val="hr-HR"/>
        </w:rPr>
        <w:t xml:space="preserve">Banka se ne bavi stjecanjem vrijednosnih papira i ulaganja radi kratkoročnog stjecanja dobiti od aktivnosti trgovanja. </w:t>
      </w: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p>
    <w:p w:rsidR="00017D91" w:rsidRPr="001567C8" w:rsidRDefault="00017D91" w:rsidP="00017D91">
      <w:pPr>
        <w:pStyle w:val="TT"/>
        <w:tabs>
          <w:tab w:val="clear" w:pos="1202"/>
        </w:tabs>
        <w:spacing w:line="240" w:lineRule="auto"/>
        <w:jc w:val="both"/>
        <w:outlineLvl w:val="9"/>
        <w:rPr>
          <w:rFonts w:asciiTheme="minorHAnsi" w:hAnsiTheme="minorHAnsi" w:cs="Arial"/>
          <w:i/>
          <w:sz w:val="22"/>
          <w:szCs w:val="22"/>
          <w:lang w:val="hr-HR"/>
        </w:rPr>
      </w:pPr>
      <w:r w:rsidRPr="001567C8">
        <w:rPr>
          <w:rFonts w:asciiTheme="minorHAnsi" w:hAnsiTheme="minorHAnsi" w:cs="Arial"/>
          <w:i/>
          <w:sz w:val="22"/>
          <w:szCs w:val="22"/>
          <w:lang w:val="hr-HR"/>
        </w:rPr>
        <w:t>Imovina raspoloživa za prodaju</w:t>
      </w:r>
    </w:p>
    <w:p w:rsidR="00017D91" w:rsidRPr="001567C8" w:rsidRDefault="00017D91" w:rsidP="00017D91">
      <w:pPr>
        <w:pStyle w:val="TT"/>
        <w:tabs>
          <w:tab w:val="clear" w:pos="1202"/>
        </w:tabs>
        <w:spacing w:line="240" w:lineRule="auto"/>
        <w:jc w:val="both"/>
        <w:outlineLvl w:val="9"/>
        <w:rPr>
          <w:rFonts w:asciiTheme="minorHAnsi" w:hAnsiTheme="minorHAnsi" w:cs="Arial"/>
          <w:sz w:val="22"/>
          <w:szCs w:val="22"/>
          <w:lang w:val="hr-HR"/>
        </w:rPr>
      </w:pPr>
    </w:p>
    <w:p w:rsidR="00017D91" w:rsidRPr="001567C8" w:rsidRDefault="00017D91" w:rsidP="00017D91">
      <w:pPr>
        <w:pStyle w:val="T1"/>
        <w:tabs>
          <w:tab w:val="left" w:pos="426"/>
        </w:tabs>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Imovina raspoloživa za prodaju obuhvaća financijsku imovinu koja je raspoređena kao raspoloživa za prodaju, a nije raspoređena u imovinu koja se drži do dospijeća ili u imovinu koja se iskazuje po fer vrijednosti kroz dobiti ili gubitak ili zajmove i potraživanja. </w:t>
      </w:r>
    </w:p>
    <w:p w:rsidR="00017D91" w:rsidRPr="001567C8" w:rsidRDefault="00017D91" w:rsidP="00017D91">
      <w:pPr>
        <w:jc w:val="both"/>
        <w:rPr>
          <w:rFonts w:asciiTheme="minorHAnsi" w:hAnsiTheme="minorHAnsi" w:cs="Arial"/>
          <w:sz w:val="22"/>
          <w:szCs w:val="22"/>
          <w:lang w:val="hr-HR"/>
        </w:rPr>
      </w:pPr>
    </w:p>
    <w:p w:rsidR="00017D91" w:rsidRPr="001567C8" w:rsidRDefault="00017D91" w:rsidP="00017D91">
      <w:pPr>
        <w:jc w:val="both"/>
        <w:rPr>
          <w:rFonts w:asciiTheme="minorHAnsi" w:hAnsiTheme="minorHAnsi" w:cs="Arial"/>
          <w:sz w:val="22"/>
          <w:szCs w:val="22"/>
          <w:lang w:val="hr-HR"/>
        </w:rPr>
        <w:sectPr w:rsidR="00017D91" w:rsidRPr="001567C8" w:rsidSect="000D6913">
          <w:pgSz w:w="11907" w:h="16840" w:code="9"/>
          <w:pgMar w:top="1418" w:right="1134" w:bottom="1134" w:left="1418" w:header="851" w:footer="851" w:gutter="0"/>
          <w:cols w:space="720"/>
          <w:noEndnote/>
        </w:sectPr>
      </w:pPr>
    </w:p>
    <w:p w:rsidR="00017D91" w:rsidRPr="001567C8" w:rsidRDefault="00017D91" w:rsidP="00017D91">
      <w:pPr>
        <w:pStyle w:val="T1"/>
        <w:tabs>
          <w:tab w:val="left" w:pos="567"/>
        </w:tabs>
        <w:spacing w:before="0" w:after="0" w:line="240" w:lineRule="auto"/>
        <w:rPr>
          <w:rFonts w:asciiTheme="minorHAnsi" w:hAnsiTheme="minorHAnsi" w:cs="Arial"/>
          <w:sz w:val="22"/>
          <w:szCs w:val="22"/>
          <w:lang w:val="hr-HR"/>
        </w:rPr>
      </w:pPr>
    </w:p>
    <w:p w:rsidR="00017D91" w:rsidRPr="00CD3A2D" w:rsidRDefault="00017D91" w:rsidP="00017D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017D91" w:rsidRPr="00CD3A2D" w:rsidRDefault="00017D91" w:rsidP="00017D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017D91" w:rsidRPr="00CD3A2D" w:rsidRDefault="00017D91" w:rsidP="00017D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017D91" w:rsidRPr="001567C8" w:rsidRDefault="00017D91" w:rsidP="00017D91">
      <w:pPr>
        <w:jc w:val="both"/>
        <w:rPr>
          <w:rFonts w:asciiTheme="minorHAnsi" w:hAnsiTheme="minorHAnsi" w:cstheme="minorHAnsi"/>
          <w:b/>
          <w:sz w:val="18"/>
          <w:szCs w:val="18"/>
          <w:lang w:val="hr-HR"/>
        </w:rPr>
      </w:pPr>
    </w:p>
    <w:p w:rsidR="00017D91" w:rsidRPr="00CD3A2D" w:rsidRDefault="00017D91" w:rsidP="00017D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017D91" w:rsidRPr="001567C8" w:rsidRDefault="00017D91" w:rsidP="00017D91">
      <w:pPr>
        <w:jc w:val="both"/>
        <w:rPr>
          <w:rFonts w:asciiTheme="minorHAnsi" w:hAnsiTheme="minorHAnsi" w:cs="Arial"/>
          <w:b/>
          <w:i/>
          <w:sz w:val="22"/>
          <w:szCs w:val="22"/>
          <w:lang w:val="hr-HR"/>
        </w:rPr>
      </w:pPr>
    </w:p>
    <w:p w:rsidR="00017D91" w:rsidRPr="001567C8" w:rsidRDefault="00017D91" w:rsidP="00017D91">
      <w:pPr>
        <w:jc w:val="both"/>
        <w:rPr>
          <w:rFonts w:asciiTheme="minorHAnsi" w:hAnsiTheme="minorHAnsi" w:cs="Arial"/>
          <w:b/>
          <w:i/>
          <w:sz w:val="22"/>
          <w:szCs w:val="22"/>
          <w:lang w:val="hr-HR"/>
        </w:rPr>
      </w:pPr>
      <w:r w:rsidRPr="00CD3A2D">
        <w:rPr>
          <w:rFonts w:ascii="Calibri" w:hAnsi="Calibri" w:cs="Calibri"/>
          <w:b/>
          <w:i/>
          <w:color w:val="000000"/>
          <w:sz w:val="22"/>
          <w:szCs w:val="22"/>
          <w:lang w:val="hr-HR" w:eastAsia="hr-HR"/>
        </w:rPr>
        <w:t xml:space="preserve">xi. Financijska imovina - </w:t>
      </w:r>
      <w:r w:rsidRPr="00CD3A2D">
        <w:rPr>
          <w:rFonts w:asciiTheme="minorHAnsi" w:hAnsiTheme="minorHAnsi" w:cstheme="minorHAnsi"/>
          <w:b/>
          <w:i/>
          <w:sz w:val="22"/>
          <w:szCs w:val="22"/>
          <w:lang w:val="hr-HR" w:eastAsia="hr-HR"/>
        </w:rPr>
        <w:t>Politika primjenjiva prije 1. siječnja 2018. godine (nastavak)</w:t>
      </w:r>
    </w:p>
    <w:p w:rsidR="00017D91" w:rsidRPr="001567C8" w:rsidRDefault="00017D91" w:rsidP="00017D91">
      <w:pPr>
        <w:jc w:val="both"/>
        <w:rPr>
          <w:rFonts w:asciiTheme="minorHAnsi" w:hAnsiTheme="minorHAnsi" w:cs="Arial"/>
          <w:i/>
          <w:sz w:val="22"/>
          <w:szCs w:val="22"/>
          <w:lang w:val="hr-HR"/>
        </w:rPr>
      </w:pPr>
    </w:p>
    <w:p w:rsidR="00EC5335" w:rsidRPr="001567C8" w:rsidRDefault="00EC5335" w:rsidP="00EC5335">
      <w:pPr>
        <w:pStyle w:val="TT"/>
        <w:tabs>
          <w:tab w:val="clear" w:pos="1202"/>
        </w:tabs>
        <w:spacing w:line="240" w:lineRule="auto"/>
        <w:jc w:val="both"/>
        <w:outlineLvl w:val="9"/>
        <w:rPr>
          <w:rFonts w:asciiTheme="minorHAnsi" w:hAnsiTheme="minorHAnsi" w:cs="Arial"/>
          <w:i/>
          <w:sz w:val="22"/>
          <w:szCs w:val="22"/>
          <w:lang w:val="hr-HR"/>
        </w:rPr>
      </w:pPr>
      <w:r w:rsidRPr="001567C8">
        <w:rPr>
          <w:rFonts w:asciiTheme="minorHAnsi" w:hAnsiTheme="minorHAnsi" w:cs="Arial"/>
          <w:i/>
          <w:sz w:val="22"/>
          <w:szCs w:val="22"/>
          <w:lang w:val="hr-HR"/>
        </w:rPr>
        <w:t>Imovina raspoloživa za prodaju (nastavak)</w:t>
      </w:r>
    </w:p>
    <w:p w:rsidR="00017D91" w:rsidRPr="001567C8" w:rsidRDefault="00017D91" w:rsidP="00017D91">
      <w:pPr>
        <w:jc w:val="both"/>
        <w:rPr>
          <w:rFonts w:asciiTheme="minorHAnsi" w:hAnsiTheme="minorHAnsi" w:cs="Arial"/>
          <w:sz w:val="22"/>
          <w:szCs w:val="22"/>
          <w:lang w:val="hr-HR"/>
        </w:rPr>
      </w:pPr>
    </w:p>
    <w:p w:rsidR="00017D91" w:rsidRPr="001567C8" w:rsidRDefault="00017D91" w:rsidP="00017D91">
      <w:pPr>
        <w:jc w:val="both"/>
        <w:rPr>
          <w:rFonts w:asciiTheme="minorHAnsi" w:hAnsiTheme="minorHAnsi" w:cs="Arial"/>
          <w:sz w:val="22"/>
          <w:szCs w:val="22"/>
          <w:lang w:val="hr-HR"/>
        </w:rPr>
      </w:pPr>
      <w:r w:rsidRPr="001567C8">
        <w:rPr>
          <w:rFonts w:asciiTheme="minorHAnsi" w:hAnsiTheme="minorHAnsi" w:cs="Arial"/>
          <w:sz w:val="22"/>
          <w:szCs w:val="22"/>
          <w:lang w:val="hr-HR"/>
        </w:rPr>
        <w:t>Financijska imovina koja se razvrstava u imovinu raspoloživu za prodaju pribavljena je u svrhu održavanja rezerve likvidnosti ili radi plasmana slobodnih sredstava do trenutka daljnjeg plasmana u dugoročno kreditiranje. U portfelju imovine raspoložive za prodaju evidentiraju se ulaganja u dužničke vrijednosne papire i druge financijske instrumente, vlasničke vrijednosne papire s namjerom držanja dužim od 90 dana i koja se drže na neodređeno vrijeme te u udjele u investicijskim fondovima koje Banka ima namjeru držati u roku dužem od 30 dana.</w:t>
      </w:r>
    </w:p>
    <w:p w:rsidR="00017D91" w:rsidRPr="001567C8" w:rsidRDefault="00017D91" w:rsidP="00017D91">
      <w:pPr>
        <w:jc w:val="both"/>
        <w:rPr>
          <w:rFonts w:asciiTheme="minorHAnsi" w:hAnsiTheme="minorHAnsi" w:cs="Arial"/>
          <w:sz w:val="22"/>
          <w:szCs w:val="22"/>
          <w:lang w:val="hr-HR"/>
        </w:rPr>
      </w:pPr>
    </w:p>
    <w:p w:rsidR="00017D91" w:rsidRPr="001567C8" w:rsidRDefault="00017D91" w:rsidP="00017D91">
      <w:pPr>
        <w:jc w:val="both"/>
        <w:rPr>
          <w:rFonts w:asciiTheme="minorHAnsi" w:hAnsiTheme="minorHAnsi" w:cs="Arial"/>
          <w:sz w:val="22"/>
          <w:szCs w:val="22"/>
          <w:lang w:val="hr-HR"/>
        </w:rPr>
      </w:pPr>
      <w:r w:rsidRPr="001567C8">
        <w:rPr>
          <w:rFonts w:asciiTheme="minorHAnsi" w:hAnsiTheme="minorHAnsi" w:cs="Arial"/>
          <w:sz w:val="22"/>
          <w:szCs w:val="22"/>
          <w:lang w:val="hr-HR"/>
        </w:rPr>
        <w:t>Imovina raspoloživa za prodaju se nakon početnog priznavanja ponovno mjeri po fer vrijednosti na temelju kotiranih cijena ili iznosa izvedenih iz modela novčanog tijeka. Ako kotirane tržišne cijene nisu dostupne, fer vrijednost dužničkih vrijednosnica procjenjuje se koristeći razne tehnike vrednovanja uključujući korištenje sadašnje vrijednosti budućih novčanih tokova i matematičkih modela, dok se fer vrijednost nekotiranih vlasničkih instrumenata procjenjuje na temelju važećih omjera između cijene i zarade ili cijene i novčanog toka razrađenih na način da odražavaju specifične okolnosti izdavatelja.</w:t>
      </w:r>
    </w:p>
    <w:p w:rsidR="00017D91" w:rsidRPr="001567C8" w:rsidRDefault="00017D91" w:rsidP="00017D91">
      <w:pPr>
        <w:jc w:val="both"/>
        <w:rPr>
          <w:rFonts w:asciiTheme="minorHAnsi" w:hAnsiTheme="minorHAnsi" w:cs="Arial"/>
          <w:sz w:val="22"/>
          <w:szCs w:val="22"/>
          <w:lang w:val="hr-HR"/>
        </w:rPr>
      </w:pPr>
    </w:p>
    <w:p w:rsidR="00017D91" w:rsidRPr="001567C8" w:rsidRDefault="00017D91" w:rsidP="00017D91">
      <w:pPr>
        <w:tabs>
          <w:tab w:val="left" w:pos="9356"/>
        </w:tabs>
        <w:jc w:val="both"/>
        <w:rPr>
          <w:rFonts w:asciiTheme="minorHAnsi" w:hAnsiTheme="minorHAnsi" w:cs="Arial"/>
          <w:sz w:val="22"/>
          <w:szCs w:val="22"/>
          <w:lang w:val="hr-HR"/>
        </w:rPr>
      </w:pPr>
      <w:r w:rsidRPr="001567C8">
        <w:rPr>
          <w:rFonts w:asciiTheme="minorHAnsi" w:hAnsiTheme="minorHAnsi" w:cs="Arial"/>
          <w:sz w:val="22"/>
          <w:szCs w:val="22"/>
          <w:lang w:val="hr-HR"/>
        </w:rPr>
        <w:t>Nerealizirani dobici i gubici nastali promjenama fer vrijednosti vrijednosnih papira iz portfelja raspoloživih za prodaju priznaju se izravno u ostaloj sveobuhvatnoj dobiti razdoblja do trenutka prodaje ili umanjenja financijske imovine, a nakon toga se ostvareni dobici ili gubici iskazuju u okviru dobiti i</w:t>
      </w:r>
      <w:r w:rsidR="00EC5335" w:rsidRPr="001567C8">
        <w:rPr>
          <w:rFonts w:asciiTheme="minorHAnsi" w:hAnsiTheme="minorHAnsi" w:cs="Arial"/>
          <w:sz w:val="22"/>
          <w:szCs w:val="22"/>
          <w:lang w:val="hr-HR"/>
        </w:rPr>
        <w:t>li</w:t>
      </w:r>
      <w:r w:rsidRPr="001567C8">
        <w:rPr>
          <w:rFonts w:asciiTheme="minorHAnsi" w:hAnsiTheme="minorHAnsi" w:cs="Arial"/>
          <w:sz w:val="22"/>
          <w:szCs w:val="22"/>
          <w:lang w:val="hr-HR"/>
        </w:rPr>
        <w:t xml:space="preserve"> gubitk</w:t>
      </w:r>
      <w:r w:rsidR="00EC5335" w:rsidRPr="001567C8">
        <w:rPr>
          <w:rFonts w:asciiTheme="minorHAnsi" w:hAnsiTheme="minorHAnsi" w:cs="Arial"/>
          <w:sz w:val="22"/>
          <w:szCs w:val="22"/>
          <w:lang w:val="hr-HR"/>
        </w:rPr>
        <w:t>a</w:t>
      </w:r>
      <w:r w:rsidRPr="001567C8">
        <w:rPr>
          <w:rFonts w:asciiTheme="minorHAnsi" w:hAnsiTheme="minorHAnsi" w:cs="Arial"/>
          <w:sz w:val="22"/>
          <w:szCs w:val="22"/>
          <w:lang w:val="hr-HR"/>
        </w:rPr>
        <w:t>.</w:t>
      </w:r>
    </w:p>
    <w:p w:rsidR="00017D91" w:rsidRPr="001567C8" w:rsidRDefault="00017D91" w:rsidP="00017D91">
      <w:pPr>
        <w:pStyle w:val="T1"/>
        <w:tabs>
          <w:tab w:val="left" w:pos="426"/>
        </w:tabs>
        <w:spacing w:before="0" w:after="0" w:line="240" w:lineRule="auto"/>
        <w:rPr>
          <w:rFonts w:asciiTheme="minorHAnsi" w:hAnsiTheme="minorHAnsi" w:cs="Arial"/>
          <w:b w:val="0"/>
          <w:color w:val="000000"/>
          <w:sz w:val="22"/>
          <w:szCs w:val="22"/>
          <w:lang w:val="hr-HR"/>
        </w:rPr>
      </w:pPr>
    </w:p>
    <w:p w:rsidR="00017D91" w:rsidRPr="001567C8" w:rsidRDefault="00017D91" w:rsidP="00017D91">
      <w:pPr>
        <w:pStyle w:val="T1"/>
        <w:tabs>
          <w:tab w:val="left" w:pos="426"/>
        </w:tabs>
        <w:spacing w:before="0" w:after="0" w:line="240" w:lineRule="auto"/>
        <w:rPr>
          <w:rFonts w:asciiTheme="minorHAnsi" w:hAnsiTheme="minorHAnsi" w:cs="Arial"/>
          <w:b w:val="0"/>
          <w:color w:val="000000"/>
          <w:sz w:val="22"/>
          <w:szCs w:val="22"/>
          <w:lang w:val="hr-HR"/>
        </w:rPr>
      </w:pPr>
      <w:r w:rsidRPr="001567C8">
        <w:rPr>
          <w:rFonts w:asciiTheme="minorHAnsi" w:hAnsiTheme="minorHAnsi" w:cs="Arial"/>
          <w:b w:val="0"/>
          <w:color w:val="000000"/>
          <w:sz w:val="22"/>
          <w:szCs w:val="22"/>
          <w:lang w:val="hr-HR"/>
        </w:rPr>
        <w:t xml:space="preserve">Gubici od umanjenja po osnovi imovine raspoložive za prodaju iskazuju se u dobiti </w:t>
      </w:r>
      <w:r w:rsidR="00EC5335" w:rsidRPr="001567C8">
        <w:rPr>
          <w:rFonts w:asciiTheme="minorHAnsi" w:hAnsiTheme="minorHAnsi" w:cs="Arial"/>
          <w:b w:val="0"/>
          <w:color w:val="000000"/>
          <w:sz w:val="22"/>
          <w:szCs w:val="22"/>
          <w:lang w:val="hr-HR"/>
        </w:rPr>
        <w:t>il</w:t>
      </w:r>
      <w:r w:rsidRPr="001567C8">
        <w:rPr>
          <w:rFonts w:asciiTheme="minorHAnsi" w:hAnsiTheme="minorHAnsi" w:cs="Arial"/>
          <w:b w:val="0"/>
          <w:color w:val="000000"/>
          <w:sz w:val="22"/>
          <w:szCs w:val="22"/>
          <w:lang w:val="hr-HR"/>
        </w:rPr>
        <w:t>i gubitku. U slučaju povećanja fer vrijednosti vlasničkih instrumenata u narednom razdoblju, povećanje fer vrijednosti će se priznati u ostaloj sveobuhvatnoj dobiti razdoblja, a ranije provedeno umanjenje vrijednosti ostaje iskazano kroz dobiti i</w:t>
      </w:r>
      <w:r w:rsidR="00EC5335" w:rsidRPr="001567C8">
        <w:rPr>
          <w:rFonts w:asciiTheme="minorHAnsi" w:hAnsiTheme="minorHAnsi" w:cs="Arial"/>
          <w:b w:val="0"/>
          <w:color w:val="000000"/>
          <w:sz w:val="22"/>
          <w:szCs w:val="22"/>
          <w:lang w:val="hr-HR"/>
        </w:rPr>
        <w:t>li</w:t>
      </w:r>
      <w:r w:rsidRPr="001567C8">
        <w:rPr>
          <w:rFonts w:asciiTheme="minorHAnsi" w:hAnsiTheme="minorHAnsi" w:cs="Arial"/>
          <w:b w:val="0"/>
          <w:color w:val="000000"/>
          <w:sz w:val="22"/>
          <w:szCs w:val="22"/>
          <w:lang w:val="hr-HR"/>
        </w:rPr>
        <w:t xml:space="preserve"> gubit</w:t>
      </w:r>
      <w:r w:rsidR="00EC5335" w:rsidRPr="001567C8">
        <w:rPr>
          <w:rFonts w:asciiTheme="minorHAnsi" w:hAnsiTheme="minorHAnsi" w:cs="Arial"/>
          <w:b w:val="0"/>
          <w:color w:val="000000"/>
          <w:sz w:val="22"/>
          <w:szCs w:val="22"/>
          <w:lang w:val="hr-HR"/>
        </w:rPr>
        <w:t>a</w:t>
      </w:r>
      <w:r w:rsidRPr="001567C8">
        <w:rPr>
          <w:rFonts w:asciiTheme="minorHAnsi" w:hAnsiTheme="minorHAnsi" w:cs="Arial"/>
          <w:b w:val="0"/>
          <w:color w:val="000000"/>
          <w:sz w:val="22"/>
          <w:szCs w:val="22"/>
          <w:lang w:val="hr-HR"/>
        </w:rPr>
        <w:t>k. U slučaju povećanja fer vrijednosti dužničkih instrumenata iz ovog portfelja u narednom razdoblju, ako se povećanje fer vrijednosti može objektivno povezati s događajem nakon priznavanja gubitaka od umanjenja, gubici od umanjenja se ukidaju priznavanjem prihoda u dobiti i</w:t>
      </w:r>
      <w:r w:rsidR="00EC5335" w:rsidRPr="001567C8">
        <w:rPr>
          <w:rFonts w:asciiTheme="minorHAnsi" w:hAnsiTheme="minorHAnsi" w:cs="Arial"/>
          <w:b w:val="0"/>
          <w:color w:val="000000"/>
          <w:sz w:val="22"/>
          <w:szCs w:val="22"/>
          <w:lang w:val="hr-HR"/>
        </w:rPr>
        <w:t>li</w:t>
      </w:r>
      <w:r w:rsidRPr="001567C8">
        <w:rPr>
          <w:rFonts w:asciiTheme="minorHAnsi" w:hAnsiTheme="minorHAnsi" w:cs="Arial"/>
          <w:b w:val="0"/>
          <w:color w:val="000000"/>
          <w:sz w:val="22"/>
          <w:szCs w:val="22"/>
          <w:lang w:val="hr-HR"/>
        </w:rPr>
        <w:t xml:space="preserve"> gubitku.</w:t>
      </w:r>
    </w:p>
    <w:p w:rsidR="00017D91" w:rsidRPr="001567C8" w:rsidRDefault="00017D91" w:rsidP="00017D91">
      <w:pPr>
        <w:pStyle w:val="T1"/>
        <w:tabs>
          <w:tab w:val="left" w:pos="426"/>
        </w:tabs>
        <w:spacing w:before="0" w:after="0" w:line="240" w:lineRule="auto"/>
        <w:rPr>
          <w:rFonts w:asciiTheme="minorHAnsi" w:hAnsiTheme="minorHAnsi" w:cs="Arial"/>
          <w:b w:val="0"/>
          <w:color w:val="000000"/>
          <w:sz w:val="22"/>
          <w:szCs w:val="22"/>
          <w:lang w:val="hr-HR"/>
        </w:rPr>
      </w:pPr>
    </w:p>
    <w:p w:rsidR="00017D91" w:rsidRPr="001567C8" w:rsidRDefault="00017D91" w:rsidP="00017D91">
      <w:pPr>
        <w:tabs>
          <w:tab w:val="left" w:pos="-720"/>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 xml:space="preserve">Ako je smanjenje fer vrijednosti financijske imovine raspoložive za prodaju priznato izravno u ostaloj sveobuhvatnoj dobiti razdoblja te postoji objektivni dokaz o umanjenju vrijednosti te imovine sukladno odredbama MRS-a 39 Financijski instrumenti: priznavanje i mjerenje, kumulativni gubitak koji je priznat izravno u ostaloj sveobuhvatnoj dobiti razdoblja uklanja se iz ostale sveobuhvatne dobiti razdoblja i priznaje u dobiti </w:t>
      </w:r>
      <w:r w:rsidR="00EC5335" w:rsidRPr="001567C8">
        <w:rPr>
          <w:rFonts w:asciiTheme="minorHAnsi" w:hAnsiTheme="minorHAnsi" w:cs="Arial"/>
          <w:sz w:val="22"/>
          <w:szCs w:val="22"/>
          <w:lang w:val="hr-HR"/>
        </w:rPr>
        <w:t>il</w:t>
      </w:r>
      <w:r w:rsidRPr="001567C8">
        <w:rPr>
          <w:rFonts w:asciiTheme="minorHAnsi" w:hAnsiTheme="minorHAnsi" w:cs="Arial"/>
          <w:sz w:val="22"/>
          <w:szCs w:val="22"/>
          <w:lang w:val="hr-HR"/>
        </w:rPr>
        <w:t>i gubitku, čak i u slučaju da se takva financijska imovina nije prestala priznavati.</w:t>
      </w:r>
    </w:p>
    <w:p w:rsidR="00017D91" w:rsidRPr="001567C8" w:rsidRDefault="00017D91" w:rsidP="00017D91">
      <w:pPr>
        <w:tabs>
          <w:tab w:val="left" w:pos="-720"/>
        </w:tabs>
        <w:suppressAutoHyphens/>
        <w:jc w:val="both"/>
        <w:rPr>
          <w:rFonts w:asciiTheme="minorHAnsi" w:hAnsiTheme="minorHAnsi" w:cs="Arial"/>
          <w:sz w:val="22"/>
          <w:szCs w:val="22"/>
          <w:lang w:val="hr-HR"/>
        </w:rPr>
      </w:pPr>
    </w:p>
    <w:p w:rsidR="00017D91" w:rsidRPr="001567C8" w:rsidRDefault="00017D91" w:rsidP="00017D91">
      <w:pPr>
        <w:tabs>
          <w:tab w:val="left" w:pos="-720"/>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Objektivan dokaz o umanjenju vrijednosti određenog ulaganja u vlasnički instrument uključuje informacije o značajnim promjenama s negativnim utjecajem na tehnološke, tržišne, ekonomske ili zakonske okolnosti poslovanja izdavatelja i ukazuje da se cijena ulaganja u vlasničke instrumente ne može nadoknaditi.</w:t>
      </w:r>
    </w:p>
    <w:p w:rsidR="00017D91" w:rsidRPr="001567C8" w:rsidRDefault="00017D91" w:rsidP="00017D91">
      <w:pPr>
        <w:tabs>
          <w:tab w:val="left" w:pos="-720"/>
        </w:tabs>
        <w:suppressAutoHyphens/>
        <w:jc w:val="both"/>
        <w:rPr>
          <w:rFonts w:asciiTheme="minorHAnsi" w:hAnsiTheme="minorHAnsi" w:cs="Arial"/>
          <w:sz w:val="22"/>
          <w:szCs w:val="22"/>
          <w:lang w:val="hr-HR"/>
        </w:rPr>
      </w:pPr>
    </w:p>
    <w:p w:rsidR="00017D91" w:rsidRPr="001567C8" w:rsidRDefault="00017D91" w:rsidP="00017D91">
      <w:pPr>
        <w:tabs>
          <w:tab w:val="left" w:pos="-720"/>
        </w:tabs>
        <w:suppressAutoHyphens/>
        <w:jc w:val="both"/>
        <w:rPr>
          <w:rFonts w:asciiTheme="minorHAnsi" w:hAnsiTheme="minorHAnsi" w:cs="Arial"/>
          <w:sz w:val="22"/>
          <w:szCs w:val="22"/>
          <w:lang w:val="hr-HR"/>
        </w:rPr>
        <w:sectPr w:rsidR="00017D91" w:rsidRPr="001567C8" w:rsidSect="000D6913">
          <w:pgSz w:w="11907" w:h="16840" w:code="9"/>
          <w:pgMar w:top="1418" w:right="1134" w:bottom="1134" w:left="1418" w:header="851" w:footer="851" w:gutter="0"/>
          <w:cols w:space="720"/>
          <w:noEndnote/>
        </w:sectPr>
      </w:pPr>
      <w:r w:rsidRPr="001567C8">
        <w:rPr>
          <w:rFonts w:asciiTheme="minorHAnsi" w:hAnsiTheme="minorHAnsi" w:cs="Arial"/>
          <w:sz w:val="22"/>
          <w:szCs w:val="22"/>
          <w:lang w:val="hr-HR"/>
        </w:rPr>
        <w:t xml:space="preserve">Značajno ili produljeno smanjenje fer vrijednosti ulaganja u vlasničke instrumente ispod njihove cijene također predstavlja objektivan dokaz umanjenja vrijednosti. </w:t>
      </w:r>
    </w:p>
    <w:p w:rsidR="00017D91" w:rsidRPr="001567C8" w:rsidRDefault="00017D91" w:rsidP="00017D91">
      <w:pPr>
        <w:pStyle w:val="T1"/>
        <w:tabs>
          <w:tab w:val="left" w:pos="567"/>
        </w:tabs>
        <w:spacing w:before="0" w:after="0" w:line="240" w:lineRule="auto"/>
        <w:rPr>
          <w:rFonts w:asciiTheme="minorHAnsi" w:hAnsiTheme="minorHAnsi" w:cs="Arial"/>
          <w:sz w:val="22"/>
          <w:szCs w:val="22"/>
          <w:lang w:val="hr-HR"/>
        </w:rPr>
      </w:pPr>
    </w:p>
    <w:p w:rsidR="00EC5335" w:rsidRPr="00CD3A2D" w:rsidRDefault="00EC5335" w:rsidP="00EC5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EC5335" w:rsidRPr="00CD3A2D" w:rsidRDefault="00EC5335" w:rsidP="00EC5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EC5335" w:rsidRPr="00CD3A2D" w:rsidRDefault="00EC5335" w:rsidP="00EC5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EC5335" w:rsidRPr="001567C8" w:rsidRDefault="00EC5335" w:rsidP="00EC5335">
      <w:pPr>
        <w:jc w:val="both"/>
        <w:rPr>
          <w:rFonts w:asciiTheme="minorHAnsi" w:hAnsiTheme="minorHAnsi" w:cstheme="minorHAnsi"/>
          <w:b/>
          <w:sz w:val="18"/>
          <w:szCs w:val="18"/>
          <w:lang w:val="hr-HR"/>
        </w:rPr>
      </w:pPr>
    </w:p>
    <w:p w:rsidR="00EC5335" w:rsidRPr="00CD3A2D" w:rsidRDefault="00EC5335" w:rsidP="00EC5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EC5335" w:rsidRPr="001567C8" w:rsidRDefault="00EC5335" w:rsidP="00EC5335">
      <w:pPr>
        <w:jc w:val="both"/>
        <w:rPr>
          <w:rFonts w:asciiTheme="minorHAnsi" w:hAnsiTheme="minorHAnsi" w:cs="Arial"/>
          <w:b/>
          <w:i/>
          <w:sz w:val="18"/>
          <w:szCs w:val="18"/>
          <w:lang w:val="hr-HR"/>
        </w:rPr>
      </w:pPr>
    </w:p>
    <w:p w:rsidR="00EC5335" w:rsidRPr="001567C8" w:rsidRDefault="00EC5335" w:rsidP="00EC5335">
      <w:pPr>
        <w:jc w:val="both"/>
        <w:rPr>
          <w:rFonts w:asciiTheme="minorHAnsi" w:hAnsiTheme="minorHAnsi" w:cs="Arial"/>
          <w:b/>
          <w:i/>
          <w:sz w:val="22"/>
          <w:szCs w:val="22"/>
          <w:lang w:val="hr-HR"/>
        </w:rPr>
      </w:pPr>
      <w:r w:rsidRPr="00CD3A2D">
        <w:rPr>
          <w:rFonts w:ascii="Calibri" w:hAnsi="Calibri" w:cs="Calibri"/>
          <w:b/>
          <w:i/>
          <w:color w:val="000000"/>
          <w:sz w:val="22"/>
          <w:szCs w:val="22"/>
          <w:lang w:val="hr-HR" w:eastAsia="hr-HR"/>
        </w:rPr>
        <w:t xml:space="preserve">xi. Financijska imovina - </w:t>
      </w:r>
      <w:r w:rsidRPr="00CD3A2D">
        <w:rPr>
          <w:rFonts w:asciiTheme="minorHAnsi" w:hAnsiTheme="minorHAnsi" w:cstheme="minorHAnsi"/>
          <w:b/>
          <w:i/>
          <w:sz w:val="22"/>
          <w:szCs w:val="22"/>
          <w:lang w:val="hr-HR" w:eastAsia="hr-HR"/>
        </w:rPr>
        <w:t>Politika primjenjiva prije 1. siječnja 2018. godine (nastavak)</w:t>
      </w:r>
    </w:p>
    <w:p w:rsidR="00EC5335" w:rsidRPr="001567C8" w:rsidRDefault="00EC5335" w:rsidP="00EC5335">
      <w:pPr>
        <w:jc w:val="both"/>
        <w:rPr>
          <w:rFonts w:asciiTheme="minorHAnsi" w:hAnsiTheme="minorHAnsi" w:cs="Arial"/>
          <w:i/>
          <w:sz w:val="18"/>
          <w:szCs w:val="18"/>
          <w:lang w:val="hr-HR"/>
        </w:rPr>
      </w:pPr>
    </w:p>
    <w:p w:rsidR="00EC5335" w:rsidRPr="001567C8" w:rsidRDefault="00EC5335" w:rsidP="00EC5335">
      <w:pPr>
        <w:pStyle w:val="TT"/>
        <w:tabs>
          <w:tab w:val="clear" w:pos="1202"/>
        </w:tabs>
        <w:spacing w:line="240" w:lineRule="auto"/>
        <w:jc w:val="both"/>
        <w:outlineLvl w:val="9"/>
        <w:rPr>
          <w:rFonts w:asciiTheme="minorHAnsi" w:hAnsiTheme="minorHAnsi" w:cs="Arial"/>
          <w:i/>
          <w:sz w:val="22"/>
          <w:szCs w:val="22"/>
          <w:lang w:val="hr-HR"/>
        </w:rPr>
      </w:pPr>
      <w:r w:rsidRPr="001567C8">
        <w:rPr>
          <w:rFonts w:asciiTheme="minorHAnsi" w:hAnsiTheme="minorHAnsi" w:cs="Arial"/>
          <w:i/>
          <w:sz w:val="22"/>
          <w:szCs w:val="22"/>
          <w:lang w:val="hr-HR"/>
        </w:rPr>
        <w:t>Imovina raspoloživa za prodaju (nastavak)</w:t>
      </w:r>
    </w:p>
    <w:p w:rsidR="00017D91" w:rsidRPr="001567C8" w:rsidRDefault="00017D91" w:rsidP="00017D91">
      <w:pPr>
        <w:pStyle w:val="T1"/>
        <w:spacing w:before="0" w:after="0" w:line="240" w:lineRule="auto"/>
        <w:rPr>
          <w:rFonts w:asciiTheme="minorHAnsi" w:hAnsiTheme="minorHAnsi" w:cs="Arial"/>
          <w:bCs w:val="0"/>
          <w:i/>
          <w:sz w:val="18"/>
          <w:szCs w:val="18"/>
          <w:lang w:val="hr-HR"/>
        </w:rPr>
      </w:pPr>
    </w:p>
    <w:p w:rsidR="00017D91" w:rsidRPr="001567C8" w:rsidRDefault="00017D91" w:rsidP="00017D91">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Kamata zarađena u razdoblju držanja dužničkih vrijednosnica raspoloživih za prodaju obračunava se svakodnevno i iskazuje u dobiti </w:t>
      </w:r>
      <w:r w:rsidR="00EC5335" w:rsidRPr="001567C8">
        <w:rPr>
          <w:rFonts w:asciiTheme="minorHAnsi" w:hAnsiTheme="minorHAnsi" w:cs="Arial"/>
          <w:sz w:val="22"/>
          <w:szCs w:val="22"/>
          <w:lang w:val="hr-HR"/>
        </w:rPr>
        <w:t>il</w:t>
      </w:r>
      <w:r w:rsidRPr="001567C8">
        <w:rPr>
          <w:rFonts w:asciiTheme="minorHAnsi" w:hAnsiTheme="minorHAnsi" w:cs="Arial"/>
          <w:sz w:val="22"/>
          <w:szCs w:val="22"/>
          <w:lang w:val="hr-HR"/>
        </w:rPr>
        <w:t>i gubit</w:t>
      </w:r>
      <w:r w:rsidR="00EC5335" w:rsidRPr="001567C8">
        <w:rPr>
          <w:rFonts w:asciiTheme="minorHAnsi" w:hAnsiTheme="minorHAnsi" w:cs="Arial"/>
          <w:sz w:val="22"/>
          <w:szCs w:val="22"/>
          <w:lang w:val="hr-HR"/>
        </w:rPr>
        <w:t>a</w:t>
      </w:r>
      <w:r w:rsidRPr="001567C8">
        <w:rPr>
          <w:rFonts w:asciiTheme="minorHAnsi" w:hAnsiTheme="minorHAnsi" w:cs="Arial"/>
          <w:sz w:val="22"/>
          <w:szCs w:val="22"/>
          <w:lang w:val="hr-HR"/>
        </w:rPr>
        <w:t>k okviru prihoda od kamata.</w:t>
      </w:r>
    </w:p>
    <w:p w:rsidR="00017D91" w:rsidRPr="001567C8" w:rsidRDefault="00017D91" w:rsidP="00017D91">
      <w:pPr>
        <w:jc w:val="both"/>
        <w:rPr>
          <w:rFonts w:asciiTheme="minorHAnsi" w:hAnsiTheme="minorHAnsi" w:cs="Arial"/>
          <w:sz w:val="18"/>
          <w:szCs w:val="18"/>
          <w:lang w:val="hr-HR"/>
        </w:rPr>
      </w:pPr>
    </w:p>
    <w:p w:rsidR="00017D91" w:rsidRPr="001567C8" w:rsidRDefault="00017D91" w:rsidP="00017D91">
      <w:pPr>
        <w:jc w:val="both"/>
        <w:rPr>
          <w:rFonts w:asciiTheme="minorHAnsi" w:hAnsiTheme="minorHAnsi" w:cs="Arial"/>
          <w:sz w:val="22"/>
          <w:szCs w:val="22"/>
          <w:lang w:val="hr-HR"/>
        </w:rPr>
      </w:pPr>
      <w:r w:rsidRPr="001567C8">
        <w:rPr>
          <w:rFonts w:asciiTheme="minorHAnsi" w:hAnsiTheme="minorHAnsi" w:cs="Arial"/>
          <w:sz w:val="22"/>
          <w:szCs w:val="22"/>
          <w:lang w:val="hr-HR"/>
        </w:rPr>
        <w:t>Tečajne razlike po vlasničkim instrumentima u stranim valutama iz portfelja raspoloživog za prodaju iskazuju se u ostaloj sveobuhvatnoj dobiti razdoblja, zajedno s dobicima i gubicima od promjene fer vrijednosti, sve do prodaje instrumenta. Tečajne razlike po dužničkim instrumentima iz portfelja raspoloživog za prodaju denominiranima u stranoj valuti iskazuju se u dobiti i</w:t>
      </w:r>
      <w:r w:rsidR="00EC5335" w:rsidRPr="001567C8">
        <w:rPr>
          <w:rFonts w:asciiTheme="minorHAnsi" w:hAnsiTheme="minorHAnsi" w:cs="Arial"/>
          <w:sz w:val="22"/>
          <w:szCs w:val="22"/>
          <w:lang w:val="hr-HR"/>
        </w:rPr>
        <w:t>li</w:t>
      </w:r>
      <w:r w:rsidRPr="001567C8">
        <w:rPr>
          <w:rFonts w:asciiTheme="minorHAnsi" w:hAnsiTheme="minorHAnsi" w:cs="Arial"/>
          <w:sz w:val="22"/>
          <w:szCs w:val="22"/>
          <w:lang w:val="hr-HR"/>
        </w:rPr>
        <w:t xml:space="preserve"> gubitku.</w:t>
      </w:r>
    </w:p>
    <w:p w:rsidR="00F34FE6" w:rsidRPr="001567C8" w:rsidRDefault="00F34FE6" w:rsidP="00F34FE6">
      <w:pPr>
        <w:pStyle w:val="T1"/>
        <w:tabs>
          <w:tab w:val="left" w:pos="567"/>
        </w:tabs>
        <w:spacing w:before="0" w:after="0" w:line="240" w:lineRule="auto"/>
        <w:rPr>
          <w:rFonts w:asciiTheme="minorHAnsi" w:hAnsiTheme="minorHAnsi" w:cs="Arial"/>
          <w:sz w:val="18"/>
          <w:szCs w:val="18"/>
          <w:lang w:val="hr-HR"/>
        </w:rPr>
      </w:pPr>
    </w:p>
    <w:p w:rsidR="00EC5335" w:rsidRPr="001567C8" w:rsidRDefault="00EC5335" w:rsidP="00EC5335">
      <w:pPr>
        <w:tabs>
          <w:tab w:val="left" w:pos="426"/>
        </w:tabs>
        <w:jc w:val="both"/>
        <w:rPr>
          <w:rFonts w:asciiTheme="minorHAnsi" w:hAnsiTheme="minorHAnsi" w:cs="Arial"/>
          <w:i/>
          <w:sz w:val="22"/>
          <w:szCs w:val="22"/>
          <w:lang w:val="hr-HR"/>
        </w:rPr>
      </w:pPr>
      <w:r w:rsidRPr="001567C8">
        <w:rPr>
          <w:rFonts w:asciiTheme="minorHAnsi" w:hAnsiTheme="minorHAnsi" w:cs="Arial"/>
          <w:i/>
          <w:sz w:val="22"/>
          <w:szCs w:val="22"/>
          <w:lang w:val="hr-HR"/>
        </w:rPr>
        <w:t>Financijska imovina koja se drži do dospijeća</w:t>
      </w:r>
    </w:p>
    <w:p w:rsidR="00EC5335" w:rsidRPr="001567C8" w:rsidRDefault="00EC5335" w:rsidP="00EC5335">
      <w:pPr>
        <w:jc w:val="both"/>
        <w:rPr>
          <w:rFonts w:asciiTheme="minorHAnsi" w:hAnsiTheme="minorHAnsi" w:cs="Arial"/>
          <w:sz w:val="18"/>
          <w:szCs w:val="18"/>
          <w:lang w:val="hr-HR"/>
        </w:rPr>
      </w:pPr>
    </w:p>
    <w:p w:rsidR="00EC5335" w:rsidRPr="001567C8" w:rsidRDefault="00EC5335" w:rsidP="00EC5335">
      <w:pPr>
        <w:pStyle w:val="TT"/>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Ovu kategoriju čini financijska imovina s fiksnim plaćanjima ili plaćanjima koja se mogu utvrditi te financijska imovina s fiksnim rokovima dospijeća koje Grupa ima namjeru i sposobna je držati do dospijeća. U ovu kategoriju financijske imovine razvrstavaju se, u pravilu, vrijednosni papiri izdani na rok dulji od godinu dana, kao što su obveznice, mjenice i sl.</w:t>
      </w:r>
    </w:p>
    <w:p w:rsidR="00EC5335" w:rsidRPr="001567C8" w:rsidRDefault="00EC5335" w:rsidP="00EC5335">
      <w:pPr>
        <w:pStyle w:val="TT"/>
        <w:spacing w:line="240" w:lineRule="auto"/>
        <w:jc w:val="both"/>
        <w:rPr>
          <w:rFonts w:asciiTheme="minorHAnsi" w:hAnsiTheme="minorHAnsi" w:cs="Arial"/>
          <w:sz w:val="18"/>
          <w:szCs w:val="18"/>
          <w:lang w:val="hr-HR"/>
        </w:rPr>
      </w:pPr>
    </w:p>
    <w:p w:rsidR="00EC5335" w:rsidRPr="001567C8" w:rsidRDefault="00EC5335" w:rsidP="00EC5335">
      <w:pPr>
        <w:pStyle w:val="TT"/>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Financijska imovina koja se drži do dospijeća početno se priznaje po fer vrijednosti, uvećanoj za transakcijske troškove. Nakon početnog priznavanja, imovina do dospijeća se mjeri i iskazuje prema amortiziranom trošku ulaganja, tj. trošku kupnje (nominalna vrijednost kupljenih vrijednosnih papira uvećana/umanjena za diskont/premiju i transakcijske troškove) korigiranom za amortizirani diskont/premiju.</w:t>
      </w:r>
    </w:p>
    <w:p w:rsidR="00EC5335" w:rsidRPr="001567C8" w:rsidRDefault="00EC5335" w:rsidP="00EC5335">
      <w:pPr>
        <w:pStyle w:val="TT"/>
        <w:spacing w:line="240" w:lineRule="auto"/>
        <w:jc w:val="both"/>
        <w:rPr>
          <w:rFonts w:asciiTheme="minorHAnsi" w:hAnsiTheme="minorHAnsi" w:cs="Arial"/>
          <w:sz w:val="22"/>
          <w:szCs w:val="22"/>
          <w:lang w:val="hr-HR"/>
        </w:rPr>
      </w:pPr>
    </w:p>
    <w:p w:rsidR="00EC5335" w:rsidRPr="001567C8" w:rsidRDefault="00EC5335" w:rsidP="00EC5335">
      <w:pPr>
        <w:pStyle w:val="T1"/>
        <w:keepNext w:val="0"/>
        <w:tabs>
          <w:tab w:val="left" w:pos="426"/>
        </w:tabs>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Stečena kamata se priznaje kao potraživanje po kamatama na datum namire i ne predstavlja prihod HBOR-a.</w:t>
      </w:r>
    </w:p>
    <w:p w:rsidR="00EC5335" w:rsidRPr="001567C8" w:rsidRDefault="00EC5335" w:rsidP="00EC5335">
      <w:pPr>
        <w:pStyle w:val="T1"/>
        <w:keepNext w:val="0"/>
        <w:tabs>
          <w:tab w:val="left" w:pos="426"/>
        </w:tabs>
        <w:spacing w:before="0" w:after="0" w:line="240" w:lineRule="auto"/>
        <w:rPr>
          <w:rFonts w:asciiTheme="minorHAnsi" w:hAnsiTheme="minorHAnsi" w:cs="Arial"/>
          <w:sz w:val="22"/>
          <w:szCs w:val="22"/>
          <w:lang w:val="hr-HR"/>
        </w:rPr>
      </w:pPr>
    </w:p>
    <w:p w:rsidR="00EC5335" w:rsidRPr="001567C8" w:rsidRDefault="00EC5335" w:rsidP="00EC5335">
      <w:pPr>
        <w:pStyle w:val="TT"/>
        <w:tabs>
          <w:tab w:val="clear" w:pos="1202"/>
        </w:tabs>
        <w:spacing w:line="240" w:lineRule="auto"/>
        <w:jc w:val="both"/>
        <w:outlineLvl w:val="9"/>
        <w:rPr>
          <w:rFonts w:asciiTheme="minorHAnsi" w:hAnsiTheme="minorHAnsi" w:cs="Arial"/>
          <w:sz w:val="22"/>
          <w:szCs w:val="22"/>
          <w:lang w:val="hr-HR"/>
        </w:rPr>
      </w:pPr>
      <w:r w:rsidRPr="001567C8">
        <w:rPr>
          <w:rFonts w:asciiTheme="minorHAnsi" w:hAnsiTheme="minorHAnsi" w:cs="Arial"/>
          <w:sz w:val="22"/>
          <w:szCs w:val="22"/>
          <w:lang w:val="hr-HR"/>
        </w:rPr>
        <w:t>Grupa redovito preispituje postoje li objektivni dokazi o eventualnom umanjenju ulaganja u posjedu do dospijeća. Financijski instrument je umanjen ako je njegov knjigovodstveni iznos veći od njegovog procijenjenog nadoknadivog iznosa, koji je jednak sadašnjoj vrijednosti očekivanih budućih novčanih tijekova diskontiranih primjenom izvorne efektivne kamatne stope tog financijskog instrumenta. Gubici od umanjenja vrijednosti za imovinu koja je knjižena po amortiziranom trošku izračunavaju se kao razlika između knjigovodstvenog iznosa sredstva i sadašnje vrijednosti očekivanih budućih novčanih tokova koji su diskontirani primjenom izvorne efektivne kamatne stope tog instrumenta. Nakon što je utvrđeno umanjenje imovine, Grupa iskazuje rezerviranja u dobiti ili gubitku u okviru gubitaka od umanjenja vrijednosti i rezerviranja.</w:t>
      </w:r>
    </w:p>
    <w:p w:rsidR="00EC5335" w:rsidRPr="001567C8" w:rsidRDefault="00EC5335" w:rsidP="00EC5335">
      <w:pPr>
        <w:pStyle w:val="TT"/>
        <w:tabs>
          <w:tab w:val="clear" w:pos="1202"/>
        </w:tabs>
        <w:spacing w:line="240" w:lineRule="auto"/>
        <w:jc w:val="both"/>
        <w:outlineLvl w:val="9"/>
        <w:rPr>
          <w:rFonts w:asciiTheme="minorHAnsi" w:hAnsiTheme="minorHAnsi" w:cs="Arial"/>
          <w:sz w:val="22"/>
          <w:szCs w:val="22"/>
          <w:lang w:val="hr-HR"/>
        </w:rPr>
      </w:pPr>
    </w:p>
    <w:p w:rsidR="00EC5335" w:rsidRPr="001567C8" w:rsidRDefault="00EC5335" w:rsidP="003C6BA3">
      <w:pPr>
        <w:pStyle w:val="accountingpolicytitle"/>
        <w:rPr>
          <w:rFonts w:asciiTheme="minorHAnsi" w:hAnsiTheme="minorHAnsi" w:cs="Arial"/>
          <w:b w:val="0"/>
          <w:i/>
          <w:sz w:val="22"/>
          <w:szCs w:val="22"/>
          <w:lang w:val="hr-HR"/>
        </w:rPr>
      </w:pPr>
      <w:r w:rsidRPr="001567C8">
        <w:rPr>
          <w:rFonts w:asciiTheme="minorHAnsi" w:hAnsiTheme="minorHAnsi" w:cs="Arial"/>
          <w:b w:val="0"/>
          <w:i/>
          <w:sz w:val="22"/>
          <w:szCs w:val="22"/>
          <w:lang w:val="hr-HR"/>
        </w:rPr>
        <w:t xml:space="preserve">Krediti financijskim institucijama i ostalim korisnicima </w:t>
      </w:r>
    </w:p>
    <w:p w:rsidR="00EC5335" w:rsidRPr="001567C8" w:rsidRDefault="00EC5335" w:rsidP="00EC5335">
      <w:pPr>
        <w:pStyle w:val="accountingpolicytitle"/>
        <w:ind w:left="357" w:hanging="357"/>
        <w:rPr>
          <w:rFonts w:asciiTheme="minorHAnsi" w:hAnsiTheme="minorHAnsi" w:cs="Arial"/>
          <w:i/>
          <w:sz w:val="22"/>
          <w:szCs w:val="22"/>
          <w:lang w:val="hr-HR"/>
        </w:rPr>
      </w:pPr>
    </w:p>
    <w:p w:rsidR="00095552" w:rsidRPr="001567C8" w:rsidRDefault="00EC5335" w:rsidP="00095552">
      <w:pPr>
        <w:pStyle w:val="T1"/>
        <w:keepNext w:val="0"/>
        <w:spacing w:before="0" w:after="0" w:line="240" w:lineRule="auto"/>
        <w:rPr>
          <w:rFonts w:asciiTheme="minorHAnsi" w:hAnsiTheme="minorHAnsi" w:cs="Arial"/>
          <w:b w:val="0"/>
          <w:bCs w:val="0"/>
          <w:sz w:val="22"/>
          <w:szCs w:val="22"/>
          <w:lang w:val="hr-HR"/>
        </w:rPr>
        <w:sectPr w:rsidR="00095552" w:rsidRPr="001567C8" w:rsidSect="000D6913">
          <w:pgSz w:w="11907" w:h="16840" w:code="9"/>
          <w:pgMar w:top="1418" w:right="1134" w:bottom="1134" w:left="1418" w:header="851" w:footer="851" w:gutter="0"/>
          <w:cols w:space="720"/>
          <w:noEndnote/>
        </w:sectPr>
      </w:pPr>
      <w:r w:rsidRPr="001567C8">
        <w:rPr>
          <w:rFonts w:asciiTheme="minorHAnsi" w:hAnsiTheme="minorHAnsi" w:cs="Arial"/>
          <w:b w:val="0"/>
          <w:bCs w:val="0"/>
          <w:sz w:val="22"/>
          <w:szCs w:val="22"/>
          <w:lang w:val="hr-HR"/>
        </w:rPr>
        <w:t>Iznosi koje je HBOR doznačio primatelju kredita priznaju se u trenutku povlačenja i iskazuju po amortiziranom trošku metodom efektivne kamatne stope i umanjenom za rezerviranja radi smanjenja vrijednosti.</w:t>
      </w:r>
    </w:p>
    <w:p w:rsidR="00EC5335" w:rsidRPr="001567C8" w:rsidRDefault="00EC5335" w:rsidP="003C6BA3">
      <w:pPr>
        <w:pStyle w:val="T1"/>
        <w:keepNext w:val="0"/>
        <w:spacing w:before="0" w:after="0" w:line="240" w:lineRule="auto"/>
        <w:rPr>
          <w:rFonts w:asciiTheme="minorHAnsi" w:hAnsiTheme="minorHAnsi" w:cs="Arial"/>
          <w:b w:val="0"/>
          <w:bCs w:val="0"/>
          <w:sz w:val="22"/>
          <w:szCs w:val="22"/>
          <w:lang w:val="hr-HR"/>
        </w:rPr>
      </w:pPr>
    </w:p>
    <w:p w:rsidR="00095552" w:rsidRPr="00CD3A2D" w:rsidRDefault="00095552" w:rsidP="00095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095552" w:rsidRPr="00CD3A2D" w:rsidRDefault="00095552" w:rsidP="00095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095552" w:rsidRPr="00CD3A2D" w:rsidRDefault="00095552" w:rsidP="00095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095552" w:rsidRPr="001567C8" w:rsidRDefault="00095552" w:rsidP="00095552">
      <w:pPr>
        <w:jc w:val="both"/>
        <w:rPr>
          <w:rFonts w:asciiTheme="minorHAnsi" w:hAnsiTheme="minorHAnsi" w:cstheme="minorHAnsi"/>
          <w:b/>
          <w:sz w:val="18"/>
          <w:szCs w:val="18"/>
          <w:lang w:val="hr-HR"/>
        </w:rPr>
      </w:pPr>
    </w:p>
    <w:p w:rsidR="00095552" w:rsidRPr="00CD3A2D" w:rsidRDefault="00095552" w:rsidP="00095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G. Financijska imovina i financijske obveze (nastavak)</w:t>
      </w:r>
    </w:p>
    <w:p w:rsidR="00095552" w:rsidRPr="001567C8" w:rsidRDefault="00095552" w:rsidP="00095552">
      <w:pPr>
        <w:jc w:val="both"/>
        <w:rPr>
          <w:rFonts w:asciiTheme="minorHAnsi" w:hAnsiTheme="minorHAnsi" w:cs="Arial"/>
          <w:b/>
          <w:i/>
          <w:sz w:val="18"/>
          <w:szCs w:val="18"/>
          <w:lang w:val="hr-HR"/>
        </w:rPr>
      </w:pPr>
    </w:p>
    <w:p w:rsidR="00095552" w:rsidRPr="001567C8" w:rsidRDefault="00095552" w:rsidP="00095552">
      <w:pPr>
        <w:jc w:val="both"/>
        <w:rPr>
          <w:rFonts w:asciiTheme="minorHAnsi" w:hAnsiTheme="minorHAnsi" w:cs="Arial"/>
          <w:b/>
          <w:i/>
          <w:sz w:val="22"/>
          <w:szCs w:val="22"/>
          <w:lang w:val="hr-HR"/>
        </w:rPr>
      </w:pPr>
      <w:r w:rsidRPr="00CD3A2D">
        <w:rPr>
          <w:rFonts w:ascii="Calibri" w:hAnsi="Calibri" w:cs="Calibri"/>
          <w:b/>
          <w:i/>
          <w:color w:val="000000"/>
          <w:sz w:val="22"/>
          <w:szCs w:val="22"/>
          <w:lang w:val="hr-HR" w:eastAsia="hr-HR"/>
        </w:rPr>
        <w:t xml:space="preserve">xi. Financijska imovina - </w:t>
      </w:r>
      <w:r w:rsidRPr="00CD3A2D">
        <w:rPr>
          <w:rFonts w:asciiTheme="minorHAnsi" w:hAnsiTheme="minorHAnsi" w:cstheme="minorHAnsi"/>
          <w:b/>
          <w:i/>
          <w:sz w:val="22"/>
          <w:szCs w:val="22"/>
          <w:lang w:val="hr-HR" w:eastAsia="hr-HR"/>
        </w:rPr>
        <w:t>Politika primjenjiva prije 1. siječnja 2018. godine (nastavak)</w:t>
      </w:r>
    </w:p>
    <w:p w:rsidR="00EC5335" w:rsidRPr="001567C8" w:rsidRDefault="00EC5335" w:rsidP="00EC5335">
      <w:pPr>
        <w:pStyle w:val="T1"/>
        <w:spacing w:before="0" w:after="0" w:line="240" w:lineRule="auto"/>
        <w:rPr>
          <w:rFonts w:asciiTheme="minorHAnsi" w:hAnsiTheme="minorHAnsi" w:cs="Arial"/>
          <w:b w:val="0"/>
          <w:bCs w:val="0"/>
          <w:sz w:val="22"/>
          <w:szCs w:val="22"/>
          <w:lang w:val="hr-HR"/>
        </w:rPr>
      </w:pPr>
    </w:p>
    <w:p w:rsidR="00095552" w:rsidRPr="001567C8" w:rsidRDefault="00095552" w:rsidP="00095552">
      <w:pPr>
        <w:pStyle w:val="accountingpolicytitle"/>
        <w:rPr>
          <w:rFonts w:asciiTheme="minorHAnsi" w:hAnsiTheme="minorHAnsi" w:cs="Arial"/>
          <w:b w:val="0"/>
          <w:i/>
          <w:sz w:val="22"/>
          <w:szCs w:val="22"/>
          <w:lang w:val="hr-HR"/>
        </w:rPr>
      </w:pPr>
      <w:r w:rsidRPr="001567C8">
        <w:rPr>
          <w:rFonts w:asciiTheme="minorHAnsi" w:hAnsiTheme="minorHAnsi" w:cs="Arial"/>
          <w:b w:val="0"/>
          <w:i/>
          <w:sz w:val="22"/>
          <w:szCs w:val="22"/>
          <w:lang w:val="hr-HR"/>
        </w:rPr>
        <w:t xml:space="preserve">Krediti financijskim institucijama i ostalim korisnicima </w:t>
      </w:r>
      <w:r w:rsidR="00220925">
        <w:rPr>
          <w:rFonts w:asciiTheme="minorHAnsi" w:hAnsiTheme="minorHAnsi" w:cs="Arial"/>
          <w:b w:val="0"/>
          <w:i/>
          <w:sz w:val="22"/>
          <w:szCs w:val="22"/>
          <w:lang w:val="hr-HR"/>
        </w:rPr>
        <w:t>(nastavak)</w:t>
      </w:r>
    </w:p>
    <w:p w:rsidR="00095552" w:rsidRPr="001567C8" w:rsidRDefault="00095552" w:rsidP="00EC5335">
      <w:pPr>
        <w:pStyle w:val="T1"/>
        <w:spacing w:before="0" w:after="0" w:line="240" w:lineRule="auto"/>
        <w:rPr>
          <w:rFonts w:asciiTheme="minorHAnsi" w:hAnsiTheme="minorHAnsi" w:cs="Arial"/>
          <w:b w:val="0"/>
          <w:bCs w:val="0"/>
          <w:sz w:val="22"/>
          <w:szCs w:val="22"/>
          <w:lang w:val="hr-HR"/>
        </w:rPr>
      </w:pPr>
    </w:p>
    <w:p w:rsidR="00EC5335" w:rsidRPr="001567C8" w:rsidRDefault="00EC5335" w:rsidP="00EC5335">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Iznos subvencionirane kamate za krajnjeg korisnika sukladno Programu povlaštenog financiranja po kreditnim programima HBOR-a iskazan je kao odgođeno priznavanje kamatnih prihoda u ostalim obvezama i priznaje se u dobiti i</w:t>
      </w:r>
      <w:r w:rsidR="00095552" w:rsidRPr="001567C8">
        <w:rPr>
          <w:rFonts w:asciiTheme="minorHAnsi" w:hAnsiTheme="minorHAnsi" w:cs="Arial"/>
          <w:b w:val="0"/>
          <w:bCs w:val="0"/>
          <w:sz w:val="22"/>
          <w:szCs w:val="22"/>
          <w:lang w:val="hr-HR"/>
        </w:rPr>
        <w:t>li</w:t>
      </w:r>
      <w:r w:rsidRPr="001567C8">
        <w:rPr>
          <w:rFonts w:asciiTheme="minorHAnsi" w:hAnsiTheme="minorHAnsi" w:cs="Arial"/>
          <w:b w:val="0"/>
          <w:bCs w:val="0"/>
          <w:sz w:val="22"/>
          <w:szCs w:val="22"/>
          <w:lang w:val="hr-HR"/>
        </w:rPr>
        <w:t xml:space="preserve"> gubitku na vremenskoj osnovi tijekom razdoblja otplate kredita koristeći metodu efektivne kamatne stope.</w:t>
      </w:r>
    </w:p>
    <w:p w:rsidR="00EC5335" w:rsidRPr="001567C8" w:rsidRDefault="00EC5335" w:rsidP="00EC5335">
      <w:pPr>
        <w:pStyle w:val="T1"/>
        <w:keepNext w:val="0"/>
        <w:spacing w:before="0" w:after="0" w:line="240" w:lineRule="auto"/>
        <w:rPr>
          <w:rFonts w:asciiTheme="minorHAnsi" w:hAnsiTheme="minorHAnsi" w:cs="Arial"/>
          <w:b w:val="0"/>
          <w:bCs w:val="0"/>
          <w:sz w:val="22"/>
          <w:szCs w:val="22"/>
          <w:lang w:val="hr-HR"/>
        </w:rPr>
      </w:pPr>
    </w:p>
    <w:p w:rsidR="00EC5335" w:rsidRPr="001567C8" w:rsidRDefault="00EC5335" w:rsidP="00EC5335">
      <w:pPr>
        <w:pStyle w:val="T1"/>
        <w:keepNext w:val="0"/>
        <w:spacing w:before="0" w:after="0" w:line="240" w:lineRule="auto"/>
        <w:jc w:val="left"/>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Svi krediti i predujmovi se priznaju kad su sredstva doznačena primatelju kredita.</w:t>
      </w:r>
    </w:p>
    <w:p w:rsidR="00EC5335" w:rsidRPr="001567C8" w:rsidRDefault="00EC5335" w:rsidP="00EC5335">
      <w:pPr>
        <w:pStyle w:val="T1"/>
        <w:keepNext w:val="0"/>
        <w:spacing w:before="0" w:after="0" w:line="240" w:lineRule="auto"/>
        <w:jc w:val="left"/>
        <w:rPr>
          <w:rFonts w:asciiTheme="minorHAnsi" w:hAnsiTheme="minorHAnsi" w:cs="Arial"/>
          <w:b w:val="0"/>
          <w:bCs w:val="0"/>
          <w:sz w:val="22"/>
          <w:szCs w:val="22"/>
          <w:lang w:val="hr-HR"/>
        </w:rPr>
      </w:pPr>
    </w:p>
    <w:p w:rsidR="00EC5335" w:rsidRPr="001567C8" w:rsidRDefault="00EC5335" w:rsidP="00EC5335">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Rezervacija za smanjenje vrijednosti kredita utvrđuje se ako postoji objektivni dokaz da HBOR neće moći naplatiti cjelokupno nastalo potraživanje. Pri određivanju razine potrebnih rezervacija Uprava HBOR-a razmatra brojne faktore, strukturu kreditnog portfelja te prethodna iskustva (veza bilješku 3</w:t>
      </w:r>
      <w:r w:rsidR="006D18A4" w:rsidRPr="001567C8">
        <w:rPr>
          <w:rFonts w:asciiTheme="minorHAnsi" w:hAnsiTheme="minorHAnsi" w:cs="Arial"/>
          <w:b w:val="0"/>
          <w:bCs w:val="0"/>
          <w:sz w:val="22"/>
          <w:szCs w:val="22"/>
          <w:lang w:val="hr-HR"/>
        </w:rPr>
        <w:t>6</w:t>
      </w:r>
      <w:r w:rsidRPr="001567C8">
        <w:rPr>
          <w:rFonts w:asciiTheme="minorHAnsi" w:hAnsiTheme="minorHAnsi" w:cs="Arial"/>
          <w:b w:val="0"/>
          <w:bCs w:val="0"/>
          <w:sz w:val="22"/>
          <w:szCs w:val="22"/>
          <w:lang w:val="hr-HR"/>
        </w:rPr>
        <w:t>.</w:t>
      </w:r>
      <w:r w:rsidR="006D18A4" w:rsidRPr="001567C8">
        <w:rPr>
          <w:rFonts w:asciiTheme="minorHAnsi" w:hAnsiTheme="minorHAnsi" w:cs="Arial"/>
          <w:b w:val="0"/>
          <w:bCs w:val="0"/>
          <w:sz w:val="22"/>
          <w:szCs w:val="22"/>
          <w:lang w:val="hr-HR"/>
        </w:rPr>
        <w:t>3</w:t>
      </w:r>
      <w:r w:rsidRPr="001567C8">
        <w:rPr>
          <w:rFonts w:asciiTheme="minorHAnsi" w:hAnsiTheme="minorHAnsi" w:cs="Arial"/>
          <w:b w:val="0"/>
          <w:bCs w:val="0"/>
          <w:sz w:val="22"/>
          <w:szCs w:val="22"/>
          <w:lang w:val="hr-HR"/>
        </w:rPr>
        <w:t>. Upravljanje rizicima – Kreditni rizik).</w:t>
      </w:r>
    </w:p>
    <w:p w:rsidR="00EC5335" w:rsidRPr="001567C8" w:rsidRDefault="00EC5335" w:rsidP="00EC5335">
      <w:pPr>
        <w:pStyle w:val="T1"/>
        <w:keepNext w:val="0"/>
        <w:spacing w:before="0" w:after="0" w:line="240" w:lineRule="auto"/>
        <w:rPr>
          <w:rFonts w:asciiTheme="minorHAnsi" w:hAnsiTheme="minorHAnsi" w:cs="Arial"/>
          <w:b w:val="0"/>
          <w:bCs w:val="0"/>
          <w:sz w:val="22"/>
          <w:szCs w:val="22"/>
          <w:lang w:val="hr-HR"/>
        </w:rPr>
      </w:pPr>
    </w:p>
    <w:p w:rsidR="00EC5335" w:rsidRPr="001567C8" w:rsidRDefault="00EC5335" w:rsidP="00EC5335">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Iznos rezerviranja predstavlja razliku između knjigovodstvenog i nadoknadivog iznosa, koja predstavlja sadašnju vrijednost očekivanih novčanih tokova, uključivši nadoknadive iznose po jamstvima i osiguranjima, diskontiranih primjenom efektivne kamatne stope.</w:t>
      </w:r>
    </w:p>
    <w:p w:rsidR="00EC5335" w:rsidRPr="001567C8" w:rsidRDefault="00EC5335" w:rsidP="00EC5335">
      <w:pPr>
        <w:pStyle w:val="T1"/>
        <w:keepNext w:val="0"/>
        <w:spacing w:before="0" w:after="0" w:line="240" w:lineRule="auto"/>
        <w:rPr>
          <w:rFonts w:asciiTheme="minorHAnsi" w:hAnsiTheme="minorHAnsi" w:cs="Arial"/>
          <w:b w:val="0"/>
          <w:bCs w:val="0"/>
          <w:sz w:val="22"/>
          <w:szCs w:val="22"/>
          <w:lang w:val="hr-HR"/>
        </w:rPr>
      </w:pPr>
    </w:p>
    <w:p w:rsidR="00EC5335" w:rsidRPr="001567C8" w:rsidRDefault="00EC5335" w:rsidP="00EC5335">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Rezervacije za smanjenje vrijednosti kredita također su utvrđene na skupnom nivou, a na temelju objektivnih dokaza njihovog postojanja u pojedinim komponentama kreditnog portfelja na datum izvještaja o financijskom položaju. Ti gubici su procijenjeni na osnovi povijesnog modela gubitka (u svakoj komponenti kreditnog razvrstavanja klijenata odražavajući njihove tekuće ekonomske uvjete poslovanja).</w:t>
      </w:r>
    </w:p>
    <w:p w:rsidR="00EC5335" w:rsidRPr="001567C8" w:rsidRDefault="00EC5335" w:rsidP="00EC5335">
      <w:pPr>
        <w:pStyle w:val="T1"/>
        <w:keepNext w:val="0"/>
        <w:spacing w:before="0" w:after="0" w:line="240" w:lineRule="auto"/>
        <w:rPr>
          <w:rFonts w:asciiTheme="minorHAnsi" w:hAnsiTheme="minorHAnsi" w:cs="Arial"/>
          <w:b w:val="0"/>
          <w:bCs w:val="0"/>
          <w:sz w:val="22"/>
          <w:szCs w:val="22"/>
          <w:lang w:val="hr-HR"/>
        </w:rPr>
      </w:pPr>
    </w:p>
    <w:p w:rsidR="00EC5335" w:rsidRPr="001567C8" w:rsidRDefault="00EC5335" w:rsidP="00EC5335">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Ako se utvrdi da ne postoji objektivan dokaz o umanjenju određenog financijskog sredstva, bilo ono značajno ili ne, spomenuto financijsko sredstvo svrstava se u skupinu financijske imovine sličnih obilježja kreditnog rizika, te se sva sredstva u istoj skupini podvrgavaju zajedničkoj procjeni u svrhu umanjenja vrijednosti. Ugovorni novčani tokovi i iskustvo povijesnog gubitka za imovinu sa sličnim obilježjima kreditnog rizika grupi imovine koja se zajednički procjenjuje čine osnovu procjene očekivanih novčanih tokova. </w:t>
      </w:r>
    </w:p>
    <w:p w:rsidR="00EC5335" w:rsidRPr="001567C8" w:rsidRDefault="00EC5335" w:rsidP="00EC5335">
      <w:pPr>
        <w:jc w:val="both"/>
        <w:rPr>
          <w:rFonts w:asciiTheme="minorHAnsi" w:hAnsiTheme="minorHAnsi" w:cs="Arial"/>
          <w:b/>
          <w:sz w:val="22"/>
          <w:szCs w:val="22"/>
          <w:lang w:val="hr-HR"/>
        </w:rPr>
      </w:pPr>
    </w:p>
    <w:p w:rsidR="00EC5335" w:rsidRPr="001567C8" w:rsidRDefault="00EC5335" w:rsidP="00EC5335">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Nenaplativi zajmovi otpisuju se u visini utvrđenih rezerviranja za smanjenje vrijednosti. Naknadne naplate takvih kredita uključuju se u dobiti </w:t>
      </w:r>
      <w:r w:rsidR="00095552" w:rsidRPr="001567C8">
        <w:rPr>
          <w:rFonts w:asciiTheme="minorHAnsi" w:hAnsiTheme="minorHAnsi" w:cs="Arial"/>
          <w:sz w:val="22"/>
          <w:szCs w:val="22"/>
          <w:lang w:val="hr-HR"/>
        </w:rPr>
        <w:t>il</w:t>
      </w:r>
      <w:r w:rsidRPr="001567C8">
        <w:rPr>
          <w:rFonts w:asciiTheme="minorHAnsi" w:hAnsiTheme="minorHAnsi" w:cs="Arial"/>
          <w:sz w:val="22"/>
          <w:szCs w:val="22"/>
          <w:lang w:val="hr-HR"/>
        </w:rPr>
        <w:t>i gubitku.</w:t>
      </w:r>
    </w:p>
    <w:p w:rsidR="00EC5335" w:rsidRPr="001567C8" w:rsidRDefault="00EC5335" w:rsidP="00EC5335">
      <w:pPr>
        <w:jc w:val="both"/>
        <w:rPr>
          <w:rFonts w:asciiTheme="minorHAnsi" w:hAnsiTheme="minorHAnsi" w:cs="Arial"/>
          <w:i/>
          <w:sz w:val="22"/>
          <w:szCs w:val="22"/>
          <w:lang w:val="hr-HR"/>
        </w:rPr>
      </w:pPr>
    </w:p>
    <w:p w:rsidR="00EC5335" w:rsidRPr="001567C8" w:rsidRDefault="00EC5335" w:rsidP="00EC5335">
      <w:pPr>
        <w:jc w:val="both"/>
        <w:rPr>
          <w:rFonts w:ascii="Calibri" w:hAnsi="Calibri" w:cs="Arial"/>
          <w:sz w:val="22"/>
          <w:szCs w:val="22"/>
          <w:lang w:val="hr-HR"/>
        </w:rPr>
        <w:sectPr w:rsidR="00EC5335" w:rsidRPr="001567C8" w:rsidSect="000D6913">
          <w:pgSz w:w="11907" w:h="16840" w:code="9"/>
          <w:pgMar w:top="1418" w:right="1134" w:bottom="1134" w:left="1418" w:header="851" w:footer="851" w:gutter="0"/>
          <w:cols w:space="720"/>
          <w:noEndnote/>
        </w:sectPr>
      </w:pPr>
      <w:r w:rsidRPr="001567C8">
        <w:rPr>
          <w:rFonts w:ascii="Calibri" w:hAnsi="Calibri" w:cs="Arial"/>
          <w:sz w:val="22"/>
          <w:szCs w:val="22"/>
          <w:lang w:val="hr-HR"/>
        </w:rPr>
        <w:t>Vrijednosnice kupljene temeljem ugovora o kupnji i ponovnoj prodaji (obrnuti repo ugovori) ne priznaju se u izvještaju o financijskom položaju Banke, a izdaci temeljem tih ugovora priznaju se u izvještaju o financijskom položaju kao krediti financijskim institucijama osigurani vrijednosnicama koje su predmet ugovora. Kamata zarađena u razdoblju kupnje vrijednosnica do ponovne prodaje obračunava se svakodnevno i iskazuje u dobiti i</w:t>
      </w:r>
      <w:r w:rsidR="00095552" w:rsidRPr="001567C8">
        <w:rPr>
          <w:rFonts w:ascii="Calibri" w:hAnsi="Calibri" w:cs="Arial"/>
          <w:sz w:val="22"/>
          <w:szCs w:val="22"/>
          <w:lang w:val="hr-HR"/>
        </w:rPr>
        <w:t>li</w:t>
      </w:r>
      <w:r w:rsidRPr="001567C8">
        <w:rPr>
          <w:rFonts w:ascii="Calibri" w:hAnsi="Calibri" w:cs="Arial"/>
          <w:sz w:val="22"/>
          <w:szCs w:val="22"/>
          <w:lang w:val="hr-HR"/>
        </w:rPr>
        <w:t xml:space="preserve"> gubitku u okviru prihoda od kamata. </w:t>
      </w:r>
    </w:p>
    <w:p w:rsidR="00EC5335" w:rsidRPr="001567C8" w:rsidRDefault="00EC5335" w:rsidP="00EC5335">
      <w:pPr>
        <w:pStyle w:val="TT"/>
        <w:tabs>
          <w:tab w:val="clear" w:pos="1202"/>
        </w:tabs>
        <w:spacing w:line="240" w:lineRule="auto"/>
        <w:jc w:val="both"/>
        <w:outlineLvl w:val="9"/>
        <w:rPr>
          <w:rFonts w:asciiTheme="minorHAnsi" w:hAnsiTheme="minorHAnsi" w:cs="Arial"/>
          <w:sz w:val="22"/>
          <w:szCs w:val="22"/>
          <w:lang w:val="hr-HR"/>
        </w:rPr>
      </w:pPr>
    </w:p>
    <w:p w:rsidR="00095552" w:rsidRPr="00CD3A2D" w:rsidRDefault="00095552" w:rsidP="00095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095552" w:rsidRPr="00CD3A2D" w:rsidRDefault="00095552" w:rsidP="00095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095552" w:rsidRPr="00CD3A2D" w:rsidRDefault="00095552" w:rsidP="00095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EC5335" w:rsidRPr="001567C8" w:rsidRDefault="00EC5335" w:rsidP="00F34FE6">
      <w:pPr>
        <w:pStyle w:val="T1"/>
        <w:tabs>
          <w:tab w:val="left" w:pos="567"/>
        </w:tabs>
        <w:spacing w:before="0" w:after="0" w:line="240" w:lineRule="auto"/>
        <w:rPr>
          <w:rFonts w:asciiTheme="minorHAnsi" w:hAnsiTheme="minorHAnsi" w:cs="Arial"/>
          <w:bCs w:val="0"/>
          <w:sz w:val="22"/>
          <w:szCs w:val="22"/>
          <w:lang w:val="hr-HR"/>
        </w:rPr>
      </w:pPr>
    </w:p>
    <w:p w:rsidR="00095552" w:rsidRPr="001567C8" w:rsidRDefault="00095552" w:rsidP="00095552">
      <w:pPr>
        <w:pStyle w:val="accountingpolicytitle"/>
        <w:rPr>
          <w:rFonts w:asciiTheme="minorHAnsi" w:hAnsiTheme="minorHAnsi" w:cs="Arial"/>
          <w:sz w:val="22"/>
          <w:szCs w:val="22"/>
          <w:lang w:val="hr-HR"/>
        </w:rPr>
      </w:pPr>
      <w:r w:rsidRPr="001567C8">
        <w:rPr>
          <w:rFonts w:asciiTheme="minorHAnsi" w:hAnsiTheme="minorHAnsi" w:cs="Arial"/>
          <w:sz w:val="22"/>
          <w:szCs w:val="22"/>
          <w:lang w:val="hr-HR"/>
        </w:rPr>
        <w:t>H. Nekretnine, postrojenja i oprema i nematerijalna imovina</w:t>
      </w:r>
    </w:p>
    <w:p w:rsidR="00095552" w:rsidRPr="001567C8" w:rsidRDefault="00095552" w:rsidP="00095552">
      <w:pPr>
        <w:pStyle w:val="T1"/>
        <w:spacing w:before="0" w:after="0" w:line="240" w:lineRule="auto"/>
        <w:rPr>
          <w:rFonts w:asciiTheme="minorHAnsi" w:hAnsiTheme="minorHAnsi" w:cs="Arial"/>
          <w:b w:val="0"/>
          <w:bCs w:val="0"/>
          <w:sz w:val="22"/>
          <w:szCs w:val="22"/>
          <w:lang w:val="hr-HR"/>
        </w:rPr>
      </w:pPr>
    </w:p>
    <w:p w:rsidR="00095552" w:rsidRPr="001567C8" w:rsidRDefault="00095552" w:rsidP="00572EC0">
      <w:pPr>
        <w:pStyle w:val="HTMLPreformatted"/>
        <w:jc w:val="both"/>
        <w:rPr>
          <w:rFonts w:asciiTheme="minorHAnsi" w:hAnsiTheme="minorHAnsi" w:cstheme="minorHAnsi"/>
          <w:color w:val="222222"/>
          <w:sz w:val="22"/>
          <w:szCs w:val="22"/>
        </w:rPr>
      </w:pPr>
      <w:r w:rsidRPr="001567C8">
        <w:rPr>
          <w:rFonts w:asciiTheme="minorHAnsi" w:hAnsiTheme="minorHAnsi" w:cstheme="minorHAnsi"/>
          <w:color w:val="222222"/>
          <w:sz w:val="22"/>
          <w:szCs w:val="22"/>
        </w:rPr>
        <w:t xml:space="preserve">Nekretnine i oprema iskazuju se po trošku </w:t>
      </w:r>
      <w:r w:rsidR="00572EC0" w:rsidRPr="001567C8">
        <w:rPr>
          <w:rFonts w:asciiTheme="minorHAnsi" w:hAnsiTheme="minorHAnsi" w:cstheme="minorHAnsi"/>
          <w:color w:val="222222"/>
          <w:sz w:val="22"/>
          <w:szCs w:val="22"/>
        </w:rPr>
        <w:t xml:space="preserve">nabave </w:t>
      </w:r>
      <w:r w:rsidRPr="001567C8">
        <w:rPr>
          <w:rFonts w:asciiTheme="minorHAnsi" w:hAnsiTheme="minorHAnsi" w:cstheme="minorHAnsi"/>
          <w:color w:val="222222"/>
          <w:sz w:val="22"/>
          <w:szCs w:val="22"/>
        </w:rPr>
        <w:t>umanjenom za akumuliranu amortizaciju i akumulirane gubitke od umanjenja vrijednosti.</w:t>
      </w:r>
    </w:p>
    <w:p w:rsidR="00572EC0" w:rsidRPr="001567C8" w:rsidRDefault="00572EC0" w:rsidP="003C6BA3">
      <w:pPr>
        <w:pStyle w:val="HTMLPreformatted"/>
        <w:jc w:val="both"/>
        <w:rPr>
          <w:rFonts w:asciiTheme="minorHAnsi" w:hAnsiTheme="minorHAnsi" w:cstheme="minorHAnsi"/>
          <w:color w:val="222222"/>
          <w:sz w:val="22"/>
          <w:szCs w:val="22"/>
        </w:rPr>
      </w:pPr>
    </w:p>
    <w:p w:rsidR="00572EC0" w:rsidRPr="00CD3A2D" w:rsidRDefault="00095552" w:rsidP="00572EC0">
      <w:pPr>
        <w:pStyle w:val="T1"/>
        <w:spacing w:before="0" w:after="0" w:line="240" w:lineRule="auto"/>
        <w:rPr>
          <w:rFonts w:asciiTheme="minorHAnsi" w:hAnsiTheme="minorHAnsi" w:cstheme="minorHAnsi"/>
          <w:b w:val="0"/>
          <w:color w:val="222222"/>
          <w:sz w:val="22"/>
          <w:szCs w:val="22"/>
          <w:lang w:val="hr-HR"/>
        </w:rPr>
      </w:pPr>
      <w:r w:rsidRPr="00CD3A2D">
        <w:rPr>
          <w:rFonts w:asciiTheme="minorHAnsi" w:hAnsiTheme="minorHAnsi" w:cstheme="minorHAnsi"/>
          <w:b w:val="0"/>
          <w:color w:val="222222"/>
          <w:sz w:val="22"/>
          <w:szCs w:val="22"/>
          <w:lang w:val="hr-HR"/>
        </w:rPr>
        <w:t>Kupljeni softver koji je sastavni dio funkcionalnosti povezane opreme kapitalizira se kao dio te opreme.</w:t>
      </w:r>
    </w:p>
    <w:p w:rsidR="00572EC0" w:rsidRPr="001567C8" w:rsidRDefault="00572EC0" w:rsidP="00572EC0">
      <w:pPr>
        <w:pStyle w:val="T1"/>
        <w:spacing w:before="0" w:after="0" w:line="240" w:lineRule="auto"/>
        <w:rPr>
          <w:rFonts w:asciiTheme="minorHAnsi" w:hAnsiTheme="minorHAnsi" w:cstheme="minorHAnsi"/>
          <w:b w:val="0"/>
          <w:bCs w:val="0"/>
          <w:sz w:val="22"/>
          <w:szCs w:val="22"/>
          <w:lang w:val="hr-HR"/>
        </w:rPr>
      </w:pPr>
    </w:p>
    <w:p w:rsidR="00572EC0" w:rsidRPr="00CD3A2D" w:rsidRDefault="00572EC0" w:rsidP="00572EC0">
      <w:pPr>
        <w:pStyle w:val="T1"/>
        <w:spacing w:before="0" w:after="0" w:line="240" w:lineRule="auto"/>
        <w:rPr>
          <w:rFonts w:asciiTheme="minorHAnsi" w:hAnsiTheme="minorHAnsi" w:cstheme="minorHAnsi"/>
          <w:b w:val="0"/>
          <w:color w:val="222222"/>
          <w:sz w:val="22"/>
          <w:szCs w:val="22"/>
          <w:lang w:val="hr-HR"/>
        </w:rPr>
      </w:pPr>
      <w:r w:rsidRPr="00CD3A2D">
        <w:rPr>
          <w:rFonts w:asciiTheme="minorHAnsi" w:hAnsiTheme="minorHAnsi" w:cstheme="minorHAnsi"/>
          <w:b w:val="0"/>
          <w:color w:val="222222"/>
          <w:sz w:val="22"/>
          <w:szCs w:val="22"/>
          <w:lang w:val="hr-HR"/>
        </w:rPr>
        <w:t>Ako značajni dijelovi nekretnina ili opreme imaju različiti korisni vijek trajanja, tada se iskazuju kao zasebne stavke (glavne komponente) nekretnina i opreme.</w:t>
      </w:r>
    </w:p>
    <w:p w:rsidR="00572EC0" w:rsidRPr="001567C8" w:rsidRDefault="00572EC0" w:rsidP="00572EC0">
      <w:pPr>
        <w:pStyle w:val="T1"/>
        <w:spacing w:before="0" w:after="0" w:line="240" w:lineRule="auto"/>
        <w:rPr>
          <w:rFonts w:asciiTheme="minorHAnsi" w:hAnsiTheme="minorHAnsi" w:cstheme="minorHAnsi"/>
          <w:b w:val="0"/>
          <w:bCs w:val="0"/>
          <w:sz w:val="22"/>
          <w:szCs w:val="22"/>
          <w:lang w:val="hr-HR"/>
        </w:rPr>
      </w:pPr>
    </w:p>
    <w:p w:rsidR="00572EC0" w:rsidRPr="001567C8" w:rsidRDefault="00572EC0" w:rsidP="00572EC0">
      <w:pPr>
        <w:pStyle w:val="T1"/>
        <w:spacing w:before="0" w:after="0" w:line="240" w:lineRule="auto"/>
        <w:rPr>
          <w:rFonts w:asciiTheme="minorHAnsi" w:hAnsiTheme="minorHAnsi" w:cstheme="minorHAnsi"/>
          <w:b w:val="0"/>
          <w:bCs w:val="0"/>
          <w:sz w:val="22"/>
          <w:szCs w:val="22"/>
          <w:lang w:val="hr-HR"/>
        </w:rPr>
      </w:pPr>
      <w:r w:rsidRPr="00CD3A2D">
        <w:rPr>
          <w:rFonts w:asciiTheme="minorHAnsi" w:hAnsiTheme="minorHAnsi" w:cstheme="minorHAnsi"/>
          <w:b w:val="0"/>
          <w:color w:val="222222"/>
          <w:sz w:val="22"/>
          <w:szCs w:val="22"/>
          <w:lang w:val="hr-HR"/>
        </w:rPr>
        <w:t xml:space="preserve">Svaki dobitak ili gubitak od prodaje nekretnina i opreme priznaje se u okviru ostalih prihoda u dobiti </w:t>
      </w:r>
      <w:r w:rsidR="0070190A" w:rsidRPr="00CD3A2D">
        <w:rPr>
          <w:rFonts w:asciiTheme="minorHAnsi" w:hAnsiTheme="minorHAnsi" w:cstheme="minorHAnsi"/>
          <w:b w:val="0"/>
          <w:color w:val="222222"/>
          <w:sz w:val="22"/>
          <w:szCs w:val="22"/>
          <w:lang w:val="hr-HR"/>
        </w:rPr>
        <w:t>il</w:t>
      </w:r>
      <w:r w:rsidRPr="00CD3A2D">
        <w:rPr>
          <w:rFonts w:asciiTheme="minorHAnsi" w:hAnsiTheme="minorHAnsi" w:cstheme="minorHAnsi"/>
          <w:b w:val="0"/>
          <w:color w:val="222222"/>
          <w:sz w:val="22"/>
          <w:szCs w:val="22"/>
          <w:lang w:val="hr-HR"/>
        </w:rPr>
        <w:t>i gubitk</w:t>
      </w:r>
      <w:r w:rsidR="0070190A" w:rsidRPr="00CD3A2D">
        <w:rPr>
          <w:rFonts w:asciiTheme="minorHAnsi" w:hAnsiTheme="minorHAnsi" w:cstheme="minorHAnsi"/>
          <w:b w:val="0"/>
          <w:color w:val="222222"/>
          <w:sz w:val="22"/>
          <w:szCs w:val="22"/>
          <w:lang w:val="hr-HR"/>
        </w:rPr>
        <w:t>u</w:t>
      </w:r>
      <w:r w:rsidRPr="00CD3A2D">
        <w:rPr>
          <w:rFonts w:asciiTheme="minorHAnsi" w:hAnsiTheme="minorHAnsi" w:cstheme="minorHAnsi"/>
          <w:b w:val="0"/>
          <w:color w:val="222222"/>
          <w:sz w:val="22"/>
          <w:szCs w:val="22"/>
          <w:lang w:val="hr-HR"/>
        </w:rPr>
        <w:t xml:space="preserve">. Naknadni izdaci kapitaliziraju se samo kada je vjerojatno da će </w:t>
      </w:r>
      <w:r w:rsidR="0070190A" w:rsidRPr="00CD3A2D">
        <w:rPr>
          <w:rFonts w:asciiTheme="minorHAnsi" w:hAnsiTheme="minorHAnsi" w:cstheme="minorHAnsi"/>
          <w:b w:val="0"/>
          <w:color w:val="222222"/>
          <w:sz w:val="22"/>
          <w:szCs w:val="22"/>
          <w:lang w:val="hr-HR"/>
        </w:rPr>
        <w:t xml:space="preserve">nastati </w:t>
      </w:r>
      <w:r w:rsidRPr="00CD3A2D">
        <w:rPr>
          <w:rFonts w:asciiTheme="minorHAnsi" w:hAnsiTheme="minorHAnsi" w:cstheme="minorHAnsi"/>
          <w:b w:val="0"/>
          <w:color w:val="222222"/>
          <w:sz w:val="22"/>
          <w:szCs w:val="22"/>
          <w:lang w:val="hr-HR"/>
        </w:rPr>
        <w:t>buduće ekonomske koristi od rashoda</w:t>
      </w:r>
      <w:r w:rsidR="0070190A" w:rsidRPr="00CD3A2D">
        <w:rPr>
          <w:rFonts w:asciiTheme="minorHAnsi" w:hAnsiTheme="minorHAnsi" w:cstheme="minorHAnsi"/>
          <w:b w:val="0"/>
          <w:color w:val="222222"/>
          <w:sz w:val="22"/>
          <w:szCs w:val="22"/>
          <w:lang w:val="hr-HR"/>
        </w:rPr>
        <w:t xml:space="preserve"> za </w:t>
      </w:r>
      <w:r w:rsidRPr="00CD3A2D">
        <w:rPr>
          <w:rFonts w:asciiTheme="minorHAnsi" w:hAnsiTheme="minorHAnsi" w:cstheme="minorHAnsi"/>
          <w:b w:val="0"/>
          <w:color w:val="222222"/>
          <w:sz w:val="22"/>
          <w:szCs w:val="22"/>
          <w:lang w:val="hr-HR"/>
        </w:rPr>
        <w:t>Grupu. Tekući popravci i održavanje se priznaju kao trošak u trenutku nastanka.</w:t>
      </w:r>
    </w:p>
    <w:p w:rsidR="00572EC0" w:rsidRPr="001567C8" w:rsidRDefault="00572EC0" w:rsidP="00572EC0">
      <w:pPr>
        <w:pStyle w:val="T1"/>
        <w:spacing w:before="0" w:after="0" w:line="240" w:lineRule="auto"/>
        <w:rPr>
          <w:rFonts w:asciiTheme="minorHAnsi" w:hAnsiTheme="minorHAnsi" w:cstheme="minorHAnsi"/>
          <w:b w:val="0"/>
          <w:bCs w:val="0"/>
          <w:sz w:val="22"/>
          <w:szCs w:val="22"/>
          <w:lang w:val="hr-HR"/>
        </w:rPr>
      </w:pPr>
    </w:p>
    <w:p w:rsidR="0070190A" w:rsidRPr="00CD3A2D" w:rsidRDefault="0070190A" w:rsidP="00572EC0">
      <w:pPr>
        <w:pStyle w:val="T1"/>
        <w:spacing w:before="0" w:after="0" w:line="240" w:lineRule="auto"/>
        <w:rPr>
          <w:rFonts w:asciiTheme="minorHAnsi" w:hAnsiTheme="minorHAnsi" w:cstheme="minorHAnsi"/>
          <w:b w:val="0"/>
          <w:color w:val="222222"/>
          <w:sz w:val="22"/>
          <w:szCs w:val="22"/>
          <w:lang w:val="hr-HR"/>
        </w:rPr>
      </w:pPr>
      <w:r w:rsidRPr="00CD3A2D">
        <w:rPr>
          <w:rFonts w:asciiTheme="minorHAnsi" w:hAnsiTheme="minorHAnsi" w:cstheme="minorHAnsi"/>
          <w:b w:val="0"/>
          <w:color w:val="222222"/>
          <w:sz w:val="22"/>
          <w:szCs w:val="22"/>
          <w:lang w:val="hr-HR"/>
        </w:rPr>
        <w:t xml:space="preserve">Amortizacija se obračunava tako da se trošak nabave nekretnina i opreme umanjuje za procijenjenu rezidualnu vrijednost primjenom </w:t>
      </w:r>
      <w:r w:rsidR="004848D1" w:rsidRPr="00CD3A2D">
        <w:rPr>
          <w:rFonts w:asciiTheme="minorHAnsi" w:hAnsiTheme="minorHAnsi" w:cstheme="minorHAnsi"/>
          <w:b w:val="0"/>
          <w:color w:val="222222"/>
          <w:sz w:val="22"/>
          <w:szCs w:val="22"/>
          <w:lang w:val="hr-HR"/>
        </w:rPr>
        <w:t>linearne</w:t>
      </w:r>
      <w:r w:rsidRPr="00CD3A2D">
        <w:rPr>
          <w:rFonts w:asciiTheme="minorHAnsi" w:hAnsiTheme="minorHAnsi" w:cstheme="minorHAnsi"/>
          <w:b w:val="0"/>
          <w:color w:val="222222"/>
          <w:sz w:val="22"/>
          <w:szCs w:val="22"/>
          <w:lang w:val="hr-HR"/>
        </w:rPr>
        <w:t xml:space="preserve"> metode tijekom njihovog procijenjenog korisnog vijeka trajanja i priznaje se u dobiti i</w:t>
      </w:r>
      <w:r w:rsidR="004848D1" w:rsidRPr="00CD3A2D">
        <w:rPr>
          <w:rFonts w:asciiTheme="minorHAnsi" w:hAnsiTheme="minorHAnsi" w:cstheme="minorHAnsi"/>
          <w:b w:val="0"/>
          <w:color w:val="222222"/>
          <w:sz w:val="22"/>
          <w:szCs w:val="22"/>
          <w:lang w:val="hr-HR"/>
        </w:rPr>
        <w:t>li</w:t>
      </w:r>
      <w:r w:rsidRPr="00CD3A2D">
        <w:rPr>
          <w:rFonts w:asciiTheme="minorHAnsi" w:hAnsiTheme="minorHAnsi" w:cstheme="minorHAnsi"/>
          <w:b w:val="0"/>
          <w:color w:val="222222"/>
          <w:sz w:val="22"/>
          <w:szCs w:val="22"/>
          <w:lang w:val="hr-HR"/>
        </w:rPr>
        <w:t xml:space="preserve"> gubit</w:t>
      </w:r>
      <w:r w:rsidR="004848D1" w:rsidRPr="00CD3A2D">
        <w:rPr>
          <w:rFonts w:asciiTheme="minorHAnsi" w:hAnsiTheme="minorHAnsi" w:cstheme="minorHAnsi"/>
          <w:b w:val="0"/>
          <w:color w:val="222222"/>
          <w:sz w:val="22"/>
          <w:szCs w:val="22"/>
          <w:lang w:val="hr-HR"/>
        </w:rPr>
        <w:t>a</w:t>
      </w:r>
      <w:r w:rsidRPr="00CD3A2D">
        <w:rPr>
          <w:rFonts w:asciiTheme="minorHAnsi" w:hAnsiTheme="minorHAnsi" w:cstheme="minorHAnsi"/>
          <w:b w:val="0"/>
          <w:color w:val="222222"/>
          <w:sz w:val="22"/>
          <w:szCs w:val="22"/>
          <w:lang w:val="hr-HR"/>
        </w:rPr>
        <w:t>k.</w:t>
      </w:r>
    </w:p>
    <w:p w:rsidR="0070190A" w:rsidRPr="001567C8" w:rsidRDefault="0070190A" w:rsidP="00572EC0">
      <w:pPr>
        <w:pStyle w:val="T1"/>
        <w:spacing w:before="0" w:after="0" w:line="240" w:lineRule="auto"/>
        <w:rPr>
          <w:rFonts w:asciiTheme="minorHAnsi" w:hAnsiTheme="minorHAnsi" w:cstheme="minorHAnsi"/>
          <w:b w:val="0"/>
          <w:bCs w:val="0"/>
          <w:sz w:val="22"/>
          <w:szCs w:val="22"/>
          <w:lang w:val="hr-HR"/>
        </w:rPr>
      </w:pPr>
    </w:p>
    <w:p w:rsidR="004848D1" w:rsidRPr="001567C8" w:rsidRDefault="004848D1" w:rsidP="004848D1">
      <w:pPr>
        <w:pStyle w:val="HTMLPreformatted"/>
        <w:rPr>
          <w:rFonts w:asciiTheme="minorHAnsi" w:hAnsiTheme="minorHAnsi" w:cstheme="minorHAnsi"/>
          <w:color w:val="222222"/>
          <w:sz w:val="22"/>
          <w:szCs w:val="22"/>
        </w:rPr>
      </w:pPr>
      <w:r w:rsidRPr="001567C8">
        <w:rPr>
          <w:rFonts w:asciiTheme="minorHAnsi" w:hAnsiTheme="minorHAnsi" w:cstheme="minorHAnsi"/>
          <w:color w:val="222222"/>
          <w:sz w:val="22"/>
          <w:szCs w:val="22"/>
        </w:rPr>
        <w:t>Zemljište se ne amortizira.</w:t>
      </w:r>
    </w:p>
    <w:p w:rsidR="004848D1" w:rsidRPr="001567C8" w:rsidRDefault="004848D1" w:rsidP="004848D1">
      <w:pPr>
        <w:pStyle w:val="HTMLPreformatted"/>
        <w:rPr>
          <w:rFonts w:asciiTheme="minorHAnsi" w:hAnsiTheme="minorHAnsi" w:cstheme="minorHAnsi"/>
          <w:color w:val="222222"/>
          <w:sz w:val="22"/>
          <w:szCs w:val="22"/>
        </w:rPr>
      </w:pPr>
    </w:p>
    <w:p w:rsidR="00095552" w:rsidRPr="001567C8" w:rsidRDefault="004848D1">
      <w:pPr>
        <w:pStyle w:val="T1"/>
        <w:spacing w:before="0" w:after="0" w:line="240" w:lineRule="auto"/>
        <w:rPr>
          <w:rFonts w:asciiTheme="minorHAnsi" w:hAnsiTheme="minorHAnsi" w:cs="Arial"/>
          <w:b w:val="0"/>
          <w:sz w:val="22"/>
          <w:szCs w:val="22"/>
          <w:lang w:val="hr-HR"/>
        </w:rPr>
      </w:pPr>
      <w:r w:rsidRPr="00CD3A2D">
        <w:rPr>
          <w:rFonts w:asciiTheme="minorHAnsi" w:hAnsiTheme="minorHAnsi" w:cstheme="minorHAnsi"/>
          <w:b w:val="0"/>
          <w:bCs w:val="0"/>
          <w:color w:val="222222"/>
          <w:sz w:val="22"/>
          <w:szCs w:val="22"/>
          <w:lang w:val="hr-HR"/>
        </w:rPr>
        <w:t>Procijenjeni korisni vijek trajanja je sljedeći:</w:t>
      </w:r>
    </w:p>
    <w:p w:rsidR="00095552" w:rsidRPr="001567C8" w:rsidRDefault="00095552" w:rsidP="00095552">
      <w:pPr>
        <w:pStyle w:val="T1"/>
        <w:spacing w:before="0" w:after="0" w:line="240" w:lineRule="auto"/>
        <w:rPr>
          <w:rFonts w:asciiTheme="minorHAnsi" w:hAnsiTheme="minorHAnsi" w:cs="Arial"/>
          <w:b w:val="0"/>
          <w:sz w:val="22"/>
          <w:szCs w:val="22"/>
          <w:lang w:val="hr-HR"/>
        </w:rPr>
      </w:pPr>
    </w:p>
    <w:tbl>
      <w:tblPr>
        <w:tblW w:w="9180" w:type="dxa"/>
        <w:tblInd w:w="108" w:type="dxa"/>
        <w:tblLayout w:type="fixed"/>
        <w:tblLook w:val="0000" w:firstRow="0" w:lastRow="0" w:firstColumn="0" w:lastColumn="0" w:noHBand="0" w:noVBand="0"/>
      </w:tblPr>
      <w:tblGrid>
        <w:gridCol w:w="4500"/>
        <w:gridCol w:w="2340"/>
        <w:gridCol w:w="2340"/>
      </w:tblGrid>
      <w:tr w:rsidR="00095552" w:rsidRPr="001567C8" w:rsidTr="0070190A">
        <w:tc>
          <w:tcPr>
            <w:tcW w:w="4500" w:type="dxa"/>
          </w:tcPr>
          <w:p w:rsidR="00095552" w:rsidRPr="001567C8" w:rsidRDefault="00095552" w:rsidP="0070190A">
            <w:pPr>
              <w:pStyle w:val="TT"/>
              <w:spacing w:line="240" w:lineRule="auto"/>
              <w:jc w:val="both"/>
              <w:rPr>
                <w:rFonts w:asciiTheme="minorHAnsi" w:hAnsiTheme="minorHAnsi" w:cs="Arial"/>
                <w:sz w:val="22"/>
                <w:szCs w:val="22"/>
                <w:lang w:val="hr-HR"/>
              </w:rPr>
            </w:pPr>
          </w:p>
        </w:tc>
        <w:tc>
          <w:tcPr>
            <w:tcW w:w="2340" w:type="dxa"/>
            <w:vAlign w:val="bottom"/>
          </w:tcPr>
          <w:p w:rsidR="00095552" w:rsidRPr="001567C8" w:rsidRDefault="00095552" w:rsidP="0070190A">
            <w:pPr>
              <w:pStyle w:val="TT"/>
              <w:spacing w:line="240" w:lineRule="auto"/>
              <w:jc w:val="right"/>
              <w:rPr>
                <w:rFonts w:asciiTheme="minorHAnsi" w:hAnsiTheme="minorHAnsi" w:cs="Arial"/>
                <w:b/>
                <w:sz w:val="22"/>
                <w:szCs w:val="22"/>
                <w:lang w:val="hr-HR"/>
              </w:rPr>
            </w:pPr>
            <w:r w:rsidRPr="001567C8">
              <w:rPr>
                <w:rFonts w:asciiTheme="minorHAnsi" w:hAnsiTheme="minorHAnsi" w:cs="Arial"/>
                <w:b/>
                <w:sz w:val="22"/>
                <w:szCs w:val="22"/>
                <w:lang w:val="hr-HR"/>
              </w:rPr>
              <w:t>201</w:t>
            </w:r>
            <w:r w:rsidR="006624BF" w:rsidRPr="001567C8">
              <w:rPr>
                <w:rFonts w:asciiTheme="minorHAnsi" w:hAnsiTheme="minorHAnsi" w:cs="Arial"/>
                <w:b/>
                <w:sz w:val="22"/>
                <w:szCs w:val="22"/>
                <w:lang w:val="hr-HR"/>
              </w:rPr>
              <w:t>8</w:t>
            </w:r>
            <w:r w:rsidRPr="001567C8">
              <w:rPr>
                <w:rFonts w:asciiTheme="minorHAnsi" w:hAnsiTheme="minorHAnsi" w:cs="Arial"/>
                <w:b/>
                <w:sz w:val="22"/>
                <w:szCs w:val="22"/>
                <w:lang w:val="hr-HR"/>
              </w:rPr>
              <w:t>.</w:t>
            </w:r>
          </w:p>
        </w:tc>
        <w:tc>
          <w:tcPr>
            <w:tcW w:w="2340" w:type="dxa"/>
            <w:vAlign w:val="bottom"/>
          </w:tcPr>
          <w:p w:rsidR="00095552" w:rsidRPr="001567C8" w:rsidRDefault="00095552" w:rsidP="0070190A">
            <w:pPr>
              <w:pStyle w:val="TT"/>
              <w:spacing w:line="240" w:lineRule="auto"/>
              <w:jc w:val="right"/>
              <w:rPr>
                <w:rFonts w:asciiTheme="minorHAnsi" w:hAnsiTheme="minorHAnsi" w:cs="Arial"/>
                <w:b/>
                <w:sz w:val="22"/>
                <w:szCs w:val="22"/>
                <w:lang w:val="hr-HR"/>
              </w:rPr>
            </w:pPr>
            <w:r w:rsidRPr="001567C8">
              <w:rPr>
                <w:rFonts w:asciiTheme="minorHAnsi" w:hAnsiTheme="minorHAnsi" w:cs="Arial"/>
                <w:b/>
                <w:sz w:val="22"/>
                <w:szCs w:val="22"/>
                <w:lang w:val="hr-HR"/>
              </w:rPr>
              <w:t>201</w:t>
            </w:r>
            <w:r w:rsidR="006624BF" w:rsidRPr="001567C8">
              <w:rPr>
                <w:rFonts w:asciiTheme="minorHAnsi" w:hAnsiTheme="minorHAnsi" w:cs="Arial"/>
                <w:b/>
                <w:sz w:val="22"/>
                <w:szCs w:val="22"/>
                <w:lang w:val="hr-HR"/>
              </w:rPr>
              <w:t>7</w:t>
            </w:r>
            <w:r w:rsidRPr="001567C8">
              <w:rPr>
                <w:rFonts w:asciiTheme="minorHAnsi" w:hAnsiTheme="minorHAnsi" w:cs="Arial"/>
                <w:b/>
                <w:sz w:val="22"/>
                <w:szCs w:val="22"/>
                <w:lang w:val="hr-HR"/>
              </w:rPr>
              <w:t>.</w:t>
            </w:r>
          </w:p>
        </w:tc>
      </w:tr>
      <w:tr w:rsidR="00095552" w:rsidRPr="001567C8" w:rsidTr="0070190A">
        <w:trPr>
          <w:trHeight w:val="293"/>
        </w:trPr>
        <w:tc>
          <w:tcPr>
            <w:tcW w:w="4500" w:type="dxa"/>
          </w:tcPr>
          <w:p w:rsidR="00095552" w:rsidRPr="001567C8" w:rsidRDefault="00095552" w:rsidP="0070190A">
            <w:pPr>
              <w:pStyle w:val="TT"/>
              <w:spacing w:line="240" w:lineRule="auto"/>
              <w:jc w:val="both"/>
              <w:rPr>
                <w:rFonts w:asciiTheme="minorHAnsi" w:hAnsiTheme="minorHAnsi" w:cs="Arial"/>
                <w:sz w:val="22"/>
                <w:szCs w:val="22"/>
                <w:lang w:val="hr-HR"/>
              </w:rPr>
            </w:pPr>
          </w:p>
        </w:tc>
        <w:tc>
          <w:tcPr>
            <w:tcW w:w="2340" w:type="dxa"/>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godine</w:t>
            </w:r>
          </w:p>
        </w:tc>
        <w:tc>
          <w:tcPr>
            <w:tcW w:w="2340" w:type="dxa"/>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godine</w:t>
            </w:r>
          </w:p>
        </w:tc>
      </w:tr>
      <w:tr w:rsidR="00095552" w:rsidRPr="001567C8" w:rsidTr="0070190A">
        <w:tc>
          <w:tcPr>
            <w:tcW w:w="4500" w:type="dxa"/>
          </w:tcPr>
          <w:p w:rsidR="00095552" w:rsidRPr="001567C8" w:rsidRDefault="00095552" w:rsidP="0070190A">
            <w:pPr>
              <w:pStyle w:val="TT"/>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Građevinski objekti</w:t>
            </w:r>
          </w:p>
        </w:tc>
        <w:tc>
          <w:tcPr>
            <w:tcW w:w="2340" w:type="dxa"/>
            <w:shd w:val="clear" w:color="auto" w:fill="auto"/>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33</w:t>
            </w:r>
          </w:p>
        </w:tc>
        <w:tc>
          <w:tcPr>
            <w:tcW w:w="2340" w:type="dxa"/>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33</w:t>
            </w:r>
          </w:p>
        </w:tc>
      </w:tr>
      <w:tr w:rsidR="00095552" w:rsidRPr="001567C8" w:rsidTr="0070190A">
        <w:tc>
          <w:tcPr>
            <w:tcW w:w="4500" w:type="dxa"/>
          </w:tcPr>
          <w:p w:rsidR="00095552" w:rsidRPr="001567C8" w:rsidRDefault="00095552" w:rsidP="0070190A">
            <w:pPr>
              <w:pStyle w:val="TT"/>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Računala</w:t>
            </w:r>
          </w:p>
        </w:tc>
        <w:tc>
          <w:tcPr>
            <w:tcW w:w="2340" w:type="dxa"/>
            <w:shd w:val="clear" w:color="auto" w:fill="auto"/>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w:t>
            </w:r>
          </w:p>
        </w:tc>
        <w:tc>
          <w:tcPr>
            <w:tcW w:w="2340" w:type="dxa"/>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w:t>
            </w:r>
          </w:p>
        </w:tc>
      </w:tr>
      <w:tr w:rsidR="00095552" w:rsidRPr="001567C8" w:rsidTr="0070190A">
        <w:tc>
          <w:tcPr>
            <w:tcW w:w="4500" w:type="dxa"/>
          </w:tcPr>
          <w:p w:rsidR="00095552" w:rsidRPr="001567C8" w:rsidRDefault="00095552" w:rsidP="0070190A">
            <w:pPr>
              <w:pStyle w:val="TT"/>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Namještaj i oprema</w:t>
            </w:r>
          </w:p>
        </w:tc>
        <w:tc>
          <w:tcPr>
            <w:tcW w:w="2340" w:type="dxa"/>
            <w:shd w:val="clear" w:color="auto" w:fill="auto"/>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5 - 8</w:t>
            </w:r>
          </w:p>
        </w:tc>
        <w:tc>
          <w:tcPr>
            <w:tcW w:w="2340" w:type="dxa"/>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5 - 8</w:t>
            </w:r>
          </w:p>
        </w:tc>
      </w:tr>
      <w:tr w:rsidR="00095552" w:rsidRPr="001567C8" w:rsidTr="0070190A">
        <w:tc>
          <w:tcPr>
            <w:tcW w:w="4500" w:type="dxa"/>
          </w:tcPr>
          <w:p w:rsidR="00095552" w:rsidRPr="001567C8" w:rsidRDefault="00095552" w:rsidP="0070190A">
            <w:pPr>
              <w:pStyle w:val="TT"/>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Motorna vozila</w:t>
            </w:r>
          </w:p>
        </w:tc>
        <w:tc>
          <w:tcPr>
            <w:tcW w:w="2340" w:type="dxa"/>
            <w:shd w:val="clear" w:color="auto" w:fill="auto"/>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w:t>
            </w:r>
          </w:p>
        </w:tc>
        <w:tc>
          <w:tcPr>
            <w:tcW w:w="2340" w:type="dxa"/>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w:t>
            </w:r>
          </w:p>
        </w:tc>
      </w:tr>
      <w:tr w:rsidR="00095552" w:rsidRPr="001567C8" w:rsidTr="0070190A">
        <w:tc>
          <w:tcPr>
            <w:tcW w:w="4500" w:type="dxa"/>
          </w:tcPr>
          <w:p w:rsidR="00095552" w:rsidRPr="001567C8" w:rsidRDefault="00095552" w:rsidP="0070190A">
            <w:pPr>
              <w:pStyle w:val="TT"/>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Ostala nespomenuta imovina i ulaganja</w:t>
            </w:r>
          </w:p>
        </w:tc>
        <w:tc>
          <w:tcPr>
            <w:tcW w:w="2340" w:type="dxa"/>
            <w:shd w:val="clear" w:color="auto" w:fill="auto"/>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5</w:t>
            </w:r>
          </w:p>
        </w:tc>
        <w:tc>
          <w:tcPr>
            <w:tcW w:w="2340" w:type="dxa"/>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5</w:t>
            </w:r>
          </w:p>
        </w:tc>
      </w:tr>
      <w:tr w:rsidR="00095552" w:rsidRPr="001567C8" w:rsidTr="0070190A">
        <w:tc>
          <w:tcPr>
            <w:tcW w:w="4500" w:type="dxa"/>
          </w:tcPr>
          <w:p w:rsidR="00095552" w:rsidRPr="001567C8" w:rsidRDefault="00095552" w:rsidP="0070190A">
            <w:pPr>
              <w:pStyle w:val="TT"/>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Nematerijalna imovina</w:t>
            </w:r>
          </w:p>
        </w:tc>
        <w:tc>
          <w:tcPr>
            <w:tcW w:w="2340" w:type="dxa"/>
            <w:shd w:val="clear" w:color="auto" w:fill="auto"/>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3 - 5</w:t>
            </w:r>
          </w:p>
        </w:tc>
        <w:tc>
          <w:tcPr>
            <w:tcW w:w="2340" w:type="dxa"/>
            <w:vAlign w:val="bottom"/>
          </w:tcPr>
          <w:p w:rsidR="00095552" w:rsidRPr="001567C8" w:rsidRDefault="00095552" w:rsidP="0070190A">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3 - 5</w:t>
            </w:r>
          </w:p>
        </w:tc>
      </w:tr>
    </w:tbl>
    <w:p w:rsidR="00095552" w:rsidRPr="001567C8" w:rsidRDefault="00095552" w:rsidP="00095552">
      <w:pPr>
        <w:pStyle w:val="T1"/>
        <w:keepNext w:val="0"/>
        <w:spacing w:before="0" w:after="0" w:line="240" w:lineRule="auto"/>
        <w:rPr>
          <w:rFonts w:asciiTheme="minorHAnsi" w:hAnsiTheme="minorHAnsi" w:cs="Arial"/>
          <w:b w:val="0"/>
          <w:bCs w:val="0"/>
          <w:sz w:val="22"/>
          <w:szCs w:val="22"/>
          <w:lang w:val="hr-HR"/>
        </w:rPr>
      </w:pPr>
    </w:p>
    <w:p w:rsidR="00EC5335" w:rsidRPr="001567C8" w:rsidRDefault="00263493" w:rsidP="00F34FE6">
      <w:pPr>
        <w:pStyle w:val="T1"/>
        <w:tabs>
          <w:tab w:val="left" w:pos="567"/>
        </w:tabs>
        <w:spacing w:before="0" w:after="0" w:line="240" w:lineRule="auto"/>
        <w:rPr>
          <w:rFonts w:asciiTheme="minorHAnsi" w:hAnsiTheme="minorHAnsi" w:cstheme="minorHAnsi"/>
          <w:b w:val="0"/>
          <w:sz w:val="22"/>
          <w:szCs w:val="22"/>
          <w:lang w:val="hr-HR"/>
        </w:rPr>
      </w:pPr>
      <w:r w:rsidRPr="00CD3A2D">
        <w:rPr>
          <w:rFonts w:asciiTheme="minorHAnsi" w:hAnsiTheme="minorHAnsi" w:cstheme="minorHAnsi"/>
          <w:b w:val="0"/>
          <w:color w:val="222222"/>
          <w:sz w:val="22"/>
          <w:szCs w:val="22"/>
          <w:lang w:val="hr-HR"/>
        </w:rPr>
        <w:t>Metode amortizacije, korisni vijek trajanja i ostatak vrijednosti pregledavaju se na svaki datum izvještavanja i po potrebi usklađuju.</w:t>
      </w:r>
    </w:p>
    <w:p w:rsidR="00EC5335" w:rsidRPr="001567C8" w:rsidRDefault="00EC5335" w:rsidP="00F34FE6">
      <w:pPr>
        <w:pStyle w:val="T1"/>
        <w:tabs>
          <w:tab w:val="left" w:pos="567"/>
        </w:tabs>
        <w:spacing w:before="0" w:after="0" w:line="240" w:lineRule="auto"/>
        <w:rPr>
          <w:rFonts w:asciiTheme="minorHAnsi" w:hAnsiTheme="minorHAnsi" w:cs="Arial"/>
          <w:sz w:val="22"/>
          <w:szCs w:val="22"/>
          <w:lang w:val="hr-HR"/>
        </w:rPr>
      </w:pPr>
    </w:p>
    <w:p w:rsidR="004848D1" w:rsidRPr="001567C8" w:rsidRDefault="004848D1" w:rsidP="00F34FE6">
      <w:pPr>
        <w:pStyle w:val="T1"/>
        <w:tabs>
          <w:tab w:val="left" w:pos="567"/>
        </w:tabs>
        <w:spacing w:before="0" w:after="0" w:line="240" w:lineRule="auto"/>
        <w:rPr>
          <w:rFonts w:asciiTheme="minorHAnsi" w:hAnsiTheme="minorHAnsi" w:cs="Arial"/>
          <w:sz w:val="22"/>
          <w:szCs w:val="22"/>
          <w:lang w:val="hr-HR"/>
        </w:rPr>
        <w:sectPr w:rsidR="004848D1" w:rsidRPr="001567C8" w:rsidSect="000D6913">
          <w:pgSz w:w="11907" w:h="16840" w:code="9"/>
          <w:pgMar w:top="1418" w:right="1134" w:bottom="1134" w:left="1418" w:header="851" w:footer="851" w:gutter="0"/>
          <w:cols w:space="720"/>
          <w:noEndnote/>
        </w:sectPr>
      </w:pPr>
    </w:p>
    <w:p w:rsidR="00EF1ECC" w:rsidRPr="00CD3A2D" w:rsidRDefault="00EF1ECC" w:rsidP="00484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4848D1" w:rsidRPr="00CD3A2D" w:rsidRDefault="004848D1" w:rsidP="00484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4848D1" w:rsidRPr="00CD3A2D" w:rsidRDefault="004848D1" w:rsidP="00B5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4848D1" w:rsidRPr="00CD3A2D" w:rsidRDefault="004848D1" w:rsidP="00B5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EC5335" w:rsidRPr="001567C8" w:rsidRDefault="004848D1" w:rsidP="00B5735A">
      <w:pPr>
        <w:pStyle w:val="T1"/>
        <w:tabs>
          <w:tab w:val="left" w:pos="567"/>
        </w:tabs>
        <w:spacing w:before="0" w:after="0" w:line="240" w:lineRule="auto"/>
        <w:rPr>
          <w:rFonts w:asciiTheme="minorHAnsi" w:hAnsiTheme="minorHAnsi" w:cs="Arial"/>
          <w:sz w:val="16"/>
          <w:szCs w:val="16"/>
          <w:lang w:val="hr-HR"/>
        </w:rPr>
      </w:pPr>
      <w:r w:rsidRPr="001567C8">
        <w:rPr>
          <w:rFonts w:asciiTheme="minorHAnsi" w:hAnsiTheme="minorHAnsi" w:cs="Arial"/>
          <w:sz w:val="16"/>
          <w:szCs w:val="16"/>
          <w:lang w:val="hr-HR"/>
        </w:rPr>
        <w:t xml:space="preserve"> </w:t>
      </w:r>
    </w:p>
    <w:p w:rsidR="004848D1" w:rsidRPr="001567C8" w:rsidRDefault="004848D1" w:rsidP="00B5735A">
      <w:pPr>
        <w:pStyle w:val="T1"/>
        <w:tabs>
          <w:tab w:val="left" w:pos="567"/>
        </w:tabs>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I. Ulaganja u nekretnine</w:t>
      </w:r>
    </w:p>
    <w:p w:rsidR="00F34FE6" w:rsidRPr="001567C8" w:rsidRDefault="00F34FE6" w:rsidP="00B5735A">
      <w:pPr>
        <w:pStyle w:val="accountingpolicytitle"/>
        <w:rPr>
          <w:rFonts w:asciiTheme="minorHAnsi" w:hAnsiTheme="minorHAnsi" w:cs="Arial"/>
          <w:b w:val="0"/>
          <w:sz w:val="16"/>
          <w:szCs w:val="16"/>
          <w:lang w:val="hr-HR"/>
        </w:rPr>
      </w:pPr>
    </w:p>
    <w:p w:rsidR="004848D1" w:rsidRPr="001567C8" w:rsidRDefault="004848D1" w:rsidP="00B5735A">
      <w:pPr>
        <w:pStyle w:val="T1"/>
        <w:keepNext w:val="0"/>
        <w:spacing w:before="0" w:after="0" w:line="240" w:lineRule="auto"/>
        <w:rPr>
          <w:rFonts w:asciiTheme="minorHAnsi" w:hAnsiTheme="minorHAnsi" w:cstheme="minorHAnsi"/>
          <w:b w:val="0"/>
          <w:sz w:val="22"/>
          <w:szCs w:val="22"/>
          <w:lang w:val="hr-HR"/>
        </w:rPr>
      </w:pPr>
      <w:r w:rsidRPr="00CD3A2D">
        <w:rPr>
          <w:rFonts w:asciiTheme="minorHAnsi" w:hAnsiTheme="minorHAnsi" w:cstheme="minorHAnsi"/>
          <w:b w:val="0"/>
          <w:color w:val="222222"/>
          <w:sz w:val="22"/>
          <w:szCs w:val="22"/>
          <w:lang w:val="hr-HR"/>
        </w:rPr>
        <w:t>Ulaganja u nekretnine koje Grupa drži radi ostvarivanja zarade od naj</w:t>
      </w:r>
      <w:r w:rsidR="006C1FD2" w:rsidRPr="00CD3A2D">
        <w:rPr>
          <w:rFonts w:asciiTheme="minorHAnsi" w:hAnsiTheme="minorHAnsi" w:cstheme="minorHAnsi"/>
          <w:b w:val="0"/>
          <w:color w:val="222222"/>
          <w:sz w:val="22"/>
          <w:szCs w:val="22"/>
          <w:lang w:val="hr-HR"/>
        </w:rPr>
        <w:t>a</w:t>
      </w:r>
      <w:r w:rsidRPr="00CD3A2D">
        <w:rPr>
          <w:rFonts w:asciiTheme="minorHAnsi" w:hAnsiTheme="minorHAnsi" w:cstheme="minorHAnsi"/>
          <w:b w:val="0"/>
          <w:color w:val="222222"/>
          <w:sz w:val="22"/>
          <w:szCs w:val="22"/>
          <w:lang w:val="hr-HR"/>
        </w:rPr>
        <w:t>m</w:t>
      </w:r>
      <w:r w:rsidR="006C1FD2" w:rsidRPr="00CD3A2D">
        <w:rPr>
          <w:rFonts w:asciiTheme="minorHAnsi" w:hAnsiTheme="minorHAnsi" w:cstheme="minorHAnsi"/>
          <w:b w:val="0"/>
          <w:color w:val="222222"/>
          <w:sz w:val="22"/>
          <w:szCs w:val="22"/>
          <w:lang w:val="hr-HR"/>
        </w:rPr>
        <w:t>nine</w:t>
      </w:r>
      <w:r w:rsidRPr="00CD3A2D">
        <w:rPr>
          <w:rFonts w:asciiTheme="minorHAnsi" w:hAnsiTheme="minorHAnsi" w:cstheme="minorHAnsi"/>
          <w:b w:val="0"/>
          <w:color w:val="222222"/>
          <w:sz w:val="22"/>
          <w:szCs w:val="22"/>
          <w:lang w:val="hr-HR"/>
        </w:rPr>
        <w:t xml:space="preserve"> ili zbog po</w:t>
      </w:r>
      <w:r w:rsidR="00754571" w:rsidRPr="00CD3A2D">
        <w:rPr>
          <w:rFonts w:asciiTheme="minorHAnsi" w:hAnsiTheme="minorHAnsi" w:cstheme="minorHAnsi"/>
          <w:b w:val="0"/>
          <w:color w:val="222222"/>
          <w:sz w:val="22"/>
          <w:szCs w:val="22"/>
          <w:lang w:val="hr-HR"/>
        </w:rPr>
        <w:t>većanja tržišne vrijednosti</w:t>
      </w:r>
      <w:r w:rsidRPr="00CD3A2D">
        <w:rPr>
          <w:rFonts w:asciiTheme="minorHAnsi" w:hAnsiTheme="minorHAnsi" w:cstheme="minorHAnsi"/>
          <w:b w:val="0"/>
          <w:color w:val="222222"/>
          <w:sz w:val="22"/>
          <w:szCs w:val="22"/>
          <w:lang w:val="hr-HR"/>
        </w:rPr>
        <w:t xml:space="preserve"> početno se mjeri po trošku</w:t>
      </w:r>
      <w:r w:rsidR="006C1FD2" w:rsidRPr="00CD3A2D">
        <w:rPr>
          <w:rFonts w:asciiTheme="minorHAnsi" w:hAnsiTheme="minorHAnsi" w:cstheme="minorHAnsi"/>
          <w:b w:val="0"/>
          <w:color w:val="222222"/>
          <w:sz w:val="22"/>
          <w:szCs w:val="22"/>
          <w:lang w:val="hr-HR"/>
        </w:rPr>
        <w:t xml:space="preserve"> nabave</w:t>
      </w:r>
      <w:r w:rsidRPr="00CD3A2D">
        <w:rPr>
          <w:rFonts w:asciiTheme="minorHAnsi" w:hAnsiTheme="minorHAnsi" w:cstheme="minorHAnsi"/>
          <w:b w:val="0"/>
          <w:color w:val="222222"/>
          <w:sz w:val="22"/>
          <w:szCs w:val="22"/>
          <w:lang w:val="hr-HR"/>
        </w:rPr>
        <w:t>, a naknadno umanjuje za akumuliranu amortizaciju i gubitke od umanjenja vrijednosti.</w:t>
      </w:r>
    </w:p>
    <w:p w:rsidR="004848D1" w:rsidRPr="001567C8" w:rsidRDefault="004848D1" w:rsidP="00B5735A">
      <w:pPr>
        <w:pStyle w:val="MACNormal"/>
        <w:numPr>
          <w:ilvl w:val="12"/>
          <w:numId w:val="0"/>
        </w:numPr>
        <w:tabs>
          <w:tab w:val="left" w:pos="800"/>
          <w:tab w:val="left" w:pos="2240"/>
          <w:tab w:val="right" w:pos="4220"/>
          <w:tab w:val="right" w:pos="5660"/>
          <w:tab w:val="decimal" w:pos="7100"/>
          <w:tab w:val="decimal" w:pos="8540"/>
        </w:tabs>
        <w:rPr>
          <w:rFonts w:asciiTheme="minorHAnsi" w:hAnsiTheme="minorHAnsi" w:cstheme="minorHAnsi"/>
          <w:sz w:val="16"/>
          <w:szCs w:val="16"/>
          <w:lang w:val="hr-HR"/>
        </w:rPr>
      </w:pPr>
    </w:p>
    <w:p w:rsidR="006C1FD2" w:rsidRPr="00CD3A2D" w:rsidRDefault="006C1FD2" w:rsidP="00B5735A">
      <w:pPr>
        <w:pStyle w:val="accountingpolicytitle"/>
        <w:rPr>
          <w:rFonts w:asciiTheme="minorHAnsi" w:hAnsiTheme="minorHAnsi" w:cstheme="minorHAnsi"/>
          <w:b w:val="0"/>
          <w:color w:val="222222"/>
          <w:sz w:val="22"/>
          <w:szCs w:val="22"/>
          <w:lang w:val="hr-HR"/>
        </w:rPr>
      </w:pPr>
      <w:r w:rsidRPr="00CD3A2D">
        <w:rPr>
          <w:rFonts w:asciiTheme="minorHAnsi" w:hAnsiTheme="minorHAnsi" w:cstheme="minorHAnsi"/>
          <w:b w:val="0"/>
          <w:color w:val="222222"/>
          <w:sz w:val="22"/>
          <w:szCs w:val="22"/>
          <w:lang w:val="hr-HR"/>
        </w:rPr>
        <w:t>Naknadni troškovi zamjene dijela postojećeg sredstva priznaju se u knjigovodstvenu vrijednost ulaganja u nekretnine u trenutku nastanka troška, kada je vjerojatno da će buduće ekonomske koristi povezane s tom stavkom pritjecati u Grupu i trošak stavke može se pouzdano izmjeriti. Svi ostali troškovi popravaka i održavanja priznaju se kao trošak u razdoblju u kojem su nastali.</w:t>
      </w:r>
    </w:p>
    <w:p w:rsidR="006C1FD2" w:rsidRPr="001567C8" w:rsidRDefault="006C1FD2" w:rsidP="00B5735A">
      <w:pPr>
        <w:pStyle w:val="accountingpolicytitle"/>
        <w:rPr>
          <w:rFonts w:asciiTheme="minorHAnsi" w:hAnsiTheme="minorHAnsi" w:cs="Arial"/>
          <w:b w:val="0"/>
          <w:sz w:val="18"/>
          <w:szCs w:val="18"/>
          <w:lang w:val="hr-HR"/>
        </w:rPr>
      </w:pPr>
    </w:p>
    <w:p w:rsidR="006C1FD2" w:rsidRPr="001567C8" w:rsidRDefault="00A361F7" w:rsidP="00B5735A">
      <w:pPr>
        <w:pStyle w:val="accountingpolicytitle"/>
        <w:rPr>
          <w:rFonts w:asciiTheme="minorHAnsi" w:hAnsiTheme="minorHAnsi" w:cstheme="minorHAnsi"/>
          <w:b w:val="0"/>
          <w:color w:val="FF0000"/>
          <w:sz w:val="22"/>
          <w:szCs w:val="22"/>
          <w:lang w:val="hr-HR"/>
        </w:rPr>
      </w:pPr>
      <w:r w:rsidRPr="00CD3A2D">
        <w:rPr>
          <w:rFonts w:asciiTheme="minorHAnsi" w:hAnsiTheme="minorHAnsi" w:cstheme="minorHAnsi"/>
          <w:b w:val="0"/>
          <w:color w:val="222222"/>
          <w:sz w:val="22"/>
          <w:szCs w:val="22"/>
          <w:lang w:val="hr-HR"/>
        </w:rPr>
        <w:t>Zemljište se ne amortizira.</w:t>
      </w:r>
      <w:r w:rsidRPr="00CD3A2D">
        <w:rPr>
          <w:rFonts w:asciiTheme="minorHAnsi" w:hAnsiTheme="minorHAnsi" w:cstheme="minorHAnsi"/>
          <w:b w:val="0"/>
          <w:color w:val="222222"/>
          <w:lang w:val="hr-HR"/>
        </w:rPr>
        <w:t xml:space="preserve"> </w:t>
      </w:r>
      <w:r w:rsidRPr="00CD3A2D">
        <w:rPr>
          <w:rFonts w:asciiTheme="minorHAnsi" w:hAnsiTheme="minorHAnsi" w:cstheme="minorHAnsi"/>
          <w:b w:val="0"/>
          <w:color w:val="222222"/>
          <w:sz w:val="22"/>
          <w:szCs w:val="22"/>
          <w:lang w:val="hr-HR"/>
        </w:rPr>
        <w:t xml:space="preserve">Amortizacija se </w:t>
      </w:r>
      <w:r w:rsidR="0020688A" w:rsidRPr="00CD3A2D">
        <w:rPr>
          <w:rFonts w:asciiTheme="minorHAnsi" w:hAnsiTheme="minorHAnsi" w:cstheme="minorHAnsi"/>
          <w:b w:val="0"/>
          <w:color w:val="222222"/>
          <w:sz w:val="22"/>
          <w:szCs w:val="22"/>
          <w:lang w:val="hr-HR"/>
        </w:rPr>
        <w:t>obračunava</w:t>
      </w:r>
      <w:r w:rsidRPr="00CD3A2D">
        <w:rPr>
          <w:rFonts w:asciiTheme="minorHAnsi" w:hAnsiTheme="minorHAnsi" w:cstheme="minorHAnsi"/>
          <w:b w:val="0"/>
          <w:color w:val="222222"/>
          <w:sz w:val="22"/>
          <w:szCs w:val="22"/>
          <w:lang w:val="hr-HR"/>
        </w:rPr>
        <w:t xml:space="preserve"> na ostal</w:t>
      </w:r>
      <w:r w:rsidR="0020688A" w:rsidRPr="00CD3A2D">
        <w:rPr>
          <w:rFonts w:asciiTheme="minorHAnsi" w:hAnsiTheme="minorHAnsi" w:cstheme="minorHAnsi"/>
          <w:b w:val="0"/>
          <w:color w:val="222222"/>
          <w:sz w:val="22"/>
          <w:szCs w:val="22"/>
          <w:lang w:val="hr-HR"/>
        </w:rPr>
        <w:t>a</w:t>
      </w:r>
      <w:r w:rsidRPr="00CD3A2D">
        <w:rPr>
          <w:rFonts w:asciiTheme="minorHAnsi" w:hAnsiTheme="minorHAnsi" w:cstheme="minorHAnsi"/>
          <w:b w:val="0"/>
          <w:color w:val="222222"/>
          <w:sz w:val="22"/>
          <w:szCs w:val="22"/>
          <w:lang w:val="hr-HR"/>
        </w:rPr>
        <w:t xml:space="preserve"> ulaganja u nekretnine po linearnoj metodi po propisanim stopama kako bi se trošak imovine otpisao tijekom procijenjenog korisnog vijeka trajanja imovine.</w:t>
      </w:r>
    </w:p>
    <w:p w:rsidR="006C1FD2" w:rsidRPr="001567C8" w:rsidRDefault="006C1FD2" w:rsidP="00B5735A">
      <w:pPr>
        <w:pStyle w:val="accountingpolicytitle"/>
        <w:rPr>
          <w:rFonts w:asciiTheme="minorHAnsi" w:hAnsiTheme="minorHAnsi" w:cstheme="minorHAnsi"/>
          <w:b w:val="0"/>
          <w:sz w:val="22"/>
          <w:szCs w:val="22"/>
          <w:lang w:val="hr-HR"/>
        </w:rPr>
      </w:pPr>
    </w:p>
    <w:tbl>
      <w:tblPr>
        <w:tblW w:w="5000" w:type="pct"/>
        <w:tblLayout w:type="fixed"/>
        <w:tblLook w:val="0000" w:firstRow="0" w:lastRow="0" w:firstColumn="0" w:lastColumn="0" w:noHBand="0" w:noVBand="0"/>
      </w:tblPr>
      <w:tblGrid>
        <w:gridCol w:w="6094"/>
        <w:gridCol w:w="1643"/>
        <w:gridCol w:w="1618"/>
      </w:tblGrid>
      <w:tr w:rsidR="00A361F7" w:rsidRPr="00220925" w:rsidTr="003C6BA3">
        <w:trPr>
          <w:trHeight w:val="239"/>
        </w:trPr>
        <w:tc>
          <w:tcPr>
            <w:tcW w:w="3257" w:type="pct"/>
          </w:tcPr>
          <w:p w:rsidR="00A361F7" w:rsidRPr="003327E4" w:rsidRDefault="00A361F7" w:rsidP="00B5735A">
            <w:pPr>
              <w:pStyle w:val="Tabletext"/>
              <w:rPr>
                <w:rFonts w:asciiTheme="minorHAnsi" w:hAnsiTheme="minorHAnsi" w:cs="Arial"/>
                <w:sz w:val="22"/>
                <w:szCs w:val="22"/>
                <w:lang w:val="hr-HR"/>
              </w:rPr>
            </w:pPr>
            <w:r w:rsidRPr="003327E4">
              <w:rPr>
                <w:rFonts w:asciiTheme="minorHAnsi" w:hAnsiTheme="minorHAnsi" w:cs="Arial"/>
                <w:sz w:val="22"/>
                <w:szCs w:val="22"/>
                <w:lang w:val="hr-HR"/>
              </w:rPr>
              <w:t xml:space="preserve">Procijenjeni vijek trajanja imovine je kako slijedi:   </w:t>
            </w:r>
          </w:p>
        </w:tc>
        <w:tc>
          <w:tcPr>
            <w:tcW w:w="878" w:type="pct"/>
            <w:vAlign w:val="bottom"/>
          </w:tcPr>
          <w:p w:rsidR="00A361F7" w:rsidRPr="003327E4" w:rsidRDefault="00A361F7" w:rsidP="00B5735A">
            <w:pPr>
              <w:pStyle w:val="Tabletext"/>
              <w:jc w:val="right"/>
              <w:rPr>
                <w:rFonts w:asciiTheme="minorHAnsi" w:hAnsiTheme="minorHAnsi" w:cs="Arial"/>
                <w:b/>
                <w:sz w:val="22"/>
                <w:szCs w:val="22"/>
                <w:lang w:val="hr-HR"/>
              </w:rPr>
            </w:pPr>
            <w:r w:rsidRPr="003327E4">
              <w:rPr>
                <w:rFonts w:asciiTheme="minorHAnsi" w:hAnsiTheme="minorHAnsi" w:cs="Arial"/>
                <w:b/>
                <w:sz w:val="22"/>
                <w:szCs w:val="22"/>
                <w:lang w:val="hr-HR"/>
              </w:rPr>
              <w:t>2018.</w:t>
            </w:r>
          </w:p>
        </w:tc>
        <w:tc>
          <w:tcPr>
            <w:tcW w:w="865" w:type="pct"/>
            <w:vAlign w:val="bottom"/>
          </w:tcPr>
          <w:p w:rsidR="00A361F7" w:rsidRPr="003327E4" w:rsidRDefault="00A361F7" w:rsidP="00B5735A">
            <w:pPr>
              <w:pStyle w:val="Tabletext"/>
              <w:jc w:val="right"/>
              <w:rPr>
                <w:rFonts w:asciiTheme="minorHAnsi" w:hAnsiTheme="minorHAnsi" w:cs="Arial"/>
                <w:b/>
                <w:sz w:val="22"/>
                <w:szCs w:val="22"/>
                <w:lang w:val="hr-HR"/>
              </w:rPr>
            </w:pPr>
            <w:r w:rsidRPr="003327E4">
              <w:rPr>
                <w:rFonts w:asciiTheme="minorHAnsi" w:hAnsiTheme="minorHAnsi" w:cs="Arial"/>
                <w:b/>
                <w:sz w:val="22"/>
                <w:szCs w:val="22"/>
                <w:lang w:val="hr-HR"/>
              </w:rPr>
              <w:t>2017.</w:t>
            </w:r>
          </w:p>
        </w:tc>
      </w:tr>
      <w:tr w:rsidR="00A361F7" w:rsidRPr="00220925" w:rsidTr="003C6BA3">
        <w:trPr>
          <w:trHeight w:val="211"/>
        </w:trPr>
        <w:tc>
          <w:tcPr>
            <w:tcW w:w="3257" w:type="pct"/>
          </w:tcPr>
          <w:p w:rsidR="00A361F7" w:rsidRPr="003327E4" w:rsidRDefault="00A361F7" w:rsidP="00B5735A">
            <w:pPr>
              <w:pStyle w:val="Tabletext"/>
              <w:rPr>
                <w:rFonts w:asciiTheme="minorHAnsi" w:hAnsiTheme="minorHAnsi" w:cs="Arial"/>
                <w:sz w:val="22"/>
                <w:szCs w:val="22"/>
                <w:lang w:val="hr-HR"/>
              </w:rPr>
            </w:pPr>
          </w:p>
        </w:tc>
        <w:tc>
          <w:tcPr>
            <w:tcW w:w="878" w:type="pct"/>
            <w:vAlign w:val="bottom"/>
          </w:tcPr>
          <w:p w:rsidR="00A361F7" w:rsidRPr="003327E4" w:rsidRDefault="00A361F7" w:rsidP="00B5735A">
            <w:pPr>
              <w:pStyle w:val="Tabletext"/>
              <w:jc w:val="right"/>
              <w:rPr>
                <w:rFonts w:asciiTheme="minorHAnsi" w:hAnsiTheme="minorHAnsi" w:cs="Arial"/>
                <w:sz w:val="22"/>
                <w:szCs w:val="22"/>
                <w:lang w:val="hr-HR"/>
              </w:rPr>
            </w:pPr>
            <w:r w:rsidRPr="003327E4">
              <w:rPr>
                <w:rFonts w:asciiTheme="minorHAnsi" w:hAnsiTheme="minorHAnsi" w:cs="Arial"/>
                <w:sz w:val="22"/>
                <w:szCs w:val="22"/>
                <w:lang w:val="hr-HR"/>
              </w:rPr>
              <w:t>godine</w:t>
            </w:r>
          </w:p>
        </w:tc>
        <w:tc>
          <w:tcPr>
            <w:tcW w:w="865" w:type="pct"/>
            <w:vAlign w:val="bottom"/>
          </w:tcPr>
          <w:p w:rsidR="00A361F7" w:rsidRPr="003327E4" w:rsidRDefault="00A361F7" w:rsidP="00B5735A">
            <w:pPr>
              <w:pStyle w:val="Tabletext"/>
              <w:jc w:val="right"/>
              <w:rPr>
                <w:rFonts w:asciiTheme="minorHAnsi" w:hAnsiTheme="minorHAnsi" w:cs="Arial"/>
                <w:sz w:val="22"/>
                <w:szCs w:val="22"/>
                <w:lang w:val="hr-HR"/>
              </w:rPr>
            </w:pPr>
            <w:r w:rsidRPr="003327E4">
              <w:rPr>
                <w:rFonts w:asciiTheme="minorHAnsi" w:hAnsiTheme="minorHAnsi" w:cs="Arial"/>
                <w:sz w:val="22"/>
                <w:szCs w:val="22"/>
                <w:lang w:val="hr-HR"/>
              </w:rPr>
              <w:t>godine</w:t>
            </w:r>
          </w:p>
        </w:tc>
      </w:tr>
      <w:tr w:rsidR="00A361F7" w:rsidRPr="00220925" w:rsidTr="00DD167C">
        <w:trPr>
          <w:trHeight w:val="284"/>
        </w:trPr>
        <w:tc>
          <w:tcPr>
            <w:tcW w:w="3257" w:type="pct"/>
            <w:vAlign w:val="bottom"/>
          </w:tcPr>
          <w:p w:rsidR="00A361F7" w:rsidRPr="003327E4" w:rsidRDefault="00A361F7" w:rsidP="00B5735A">
            <w:pPr>
              <w:pStyle w:val="Tabletext"/>
              <w:rPr>
                <w:rFonts w:asciiTheme="minorHAnsi" w:hAnsiTheme="minorHAnsi" w:cs="Arial"/>
                <w:sz w:val="22"/>
                <w:szCs w:val="22"/>
                <w:lang w:val="hr-HR"/>
              </w:rPr>
            </w:pPr>
            <w:r w:rsidRPr="003327E4">
              <w:rPr>
                <w:rFonts w:asciiTheme="minorHAnsi" w:hAnsiTheme="minorHAnsi" w:cs="Arial"/>
                <w:sz w:val="22"/>
                <w:szCs w:val="22"/>
                <w:lang w:val="hr-HR"/>
              </w:rPr>
              <w:t>Najam nekretnine</w:t>
            </w:r>
          </w:p>
        </w:tc>
        <w:tc>
          <w:tcPr>
            <w:tcW w:w="878" w:type="pct"/>
            <w:vAlign w:val="bottom"/>
          </w:tcPr>
          <w:p w:rsidR="00A361F7" w:rsidRPr="003327E4" w:rsidRDefault="00A361F7" w:rsidP="00B5735A">
            <w:pPr>
              <w:pStyle w:val="Tabletext"/>
              <w:jc w:val="right"/>
              <w:rPr>
                <w:rFonts w:asciiTheme="minorHAnsi" w:hAnsiTheme="minorHAnsi" w:cs="Arial"/>
                <w:sz w:val="22"/>
                <w:szCs w:val="22"/>
                <w:lang w:val="hr-HR"/>
              </w:rPr>
            </w:pPr>
            <w:r w:rsidRPr="003327E4">
              <w:rPr>
                <w:rFonts w:asciiTheme="minorHAnsi" w:hAnsiTheme="minorHAnsi" w:cs="Arial"/>
                <w:sz w:val="22"/>
                <w:szCs w:val="22"/>
                <w:lang w:val="hr-HR"/>
              </w:rPr>
              <w:t>33</w:t>
            </w:r>
          </w:p>
        </w:tc>
        <w:tc>
          <w:tcPr>
            <w:tcW w:w="865" w:type="pct"/>
            <w:vAlign w:val="bottom"/>
          </w:tcPr>
          <w:p w:rsidR="00A361F7" w:rsidRPr="003327E4" w:rsidRDefault="00A361F7" w:rsidP="00B5735A">
            <w:pPr>
              <w:pStyle w:val="Tabletext"/>
              <w:jc w:val="right"/>
              <w:rPr>
                <w:rFonts w:asciiTheme="minorHAnsi" w:hAnsiTheme="minorHAnsi" w:cs="Arial"/>
                <w:sz w:val="22"/>
                <w:szCs w:val="22"/>
                <w:lang w:val="hr-HR"/>
              </w:rPr>
            </w:pPr>
            <w:r w:rsidRPr="003327E4">
              <w:rPr>
                <w:rFonts w:asciiTheme="minorHAnsi" w:hAnsiTheme="minorHAnsi" w:cs="Arial"/>
                <w:sz w:val="22"/>
                <w:szCs w:val="22"/>
                <w:lang w:val="hr-HR"/>
              </w:rPr>
              <w:t>33</w:t>
            </w:r>
          </w:p>
        </w:tc>
      </w:tr>
    </w:tbl>
    <w:p w:rsidR="006C1FD2" w:rsidRPr="001567C8" w:rsidRDefault="006C1FD2" w:rsidP="00B5735A">
      <w:pPr>
        <w:pStyle w:val="accountingpolicytitle"/>
        <w:rPr>
          <w:rFonts w:asciiTheme="minorHAnsi" w:hAnsiTheme="minorHAnsi" w:cstheme="minorHAnsi"/>
          <w:b w:val="0"/>
          <w:sz w:val="22"/>
          <w:szCs w:val="22"/>
          <w:lang w:val="hr-HR"/>
        </w:rPr>
      </w:pPr>
    </w:p>
    <w:p w:rsidR="006C1FD2" w:rsidRPr="00CD3A2D" w:rsidRDefault="003E17D2" w:rsidP="00B5735A">
      <w:pPr>
        <w:pStyle w:val="accountingpolicytitle"/>
        <w:rPr>
          <w:rFonts w:asciiTheme="minorHAnsi" w:hAnsiTheme="minorHAnsi" w:cstheme="minorHAnsi"/>
          <w:b w:val="0"/>
          <w:color w:val="222222"/>
          <w:sz w:val="22"/>
          <w:szCs w:val="22"/>
          <w:lang w:val="hr-HR"/>
        </w:rPr>
      </w:pPr>
      <w:r w:rsidRPr="00CD3A2D">
        <w:rPr>
          <w:rFonts w:asciiTheme="minorHAnsi" w:hAnsiTheme="minorHAnsi" w:cstheme="minorHAnsi"/>
          <w:b w:val="0"/>
          <w:color w:val="222222"/>
          <w:sz w:val="22"/>
          <w:szCs w:val="22"/>
          <w:lang w:val="hr-HR"/>
        </w:rPr>
        <w:t>Preostala vrijednost, metode amortizacije i procijenjeni vijek uporabe periodički se pregledavaju i usklađuju, ako je potrebno, na svaki datum izvještavanja o financijskom položaju. Ako se utvrdi da je knjigovodstvena vrijednost imovine veća od procijenjenog nadoknadivog iznosa, odmah se otpisuje do nadoknadivog iznosa. Dobici i gubici od otuđenja procjenjuju se usporedbom prihoda od prodaje s knjigovodstvenim iznosom i evidentiraju se u sveobuhvatnoj dobiti.</w:t>
      </w:r>
    </w:p>
    <w:p w:rsidR="003E17D2" w:rsidRPr="001567C8" w:rsidRDefault="003E17D2" w:rsidP="00B5735A">
      <w:pPr>
        <w:pStyle w:val="accountingpolicytitle"/>
        <w:rPr>
          <w:rFonts w:asciiTheme="minorHAnsi" w:hAnsiTheme="minorHAnsi" w:cstheme="minorHAnsi"/>
          <w:b w:val="0"/>
          <w:sz w:val="18"/>
          <w:szCs w:val="18"/>
          <w:lang w:val="hr-HR"/>
        </w:rPr>
      </w:pPr>
    </w:p>
    <w:p w:rsidR="003E17D2" w:rsidRPr="001567C8" w:rsidRDefault="00BD202A" w:rsidP="00B5735A">
      <w:pPr>
        <w:pStyle w:val="accountingpolicytitle"/>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Ulaganja u nekretnine </w:t>
      </w:r>
      <w:r w:rsidR="003E17D2" w:rsidRPr="001567C8">
        <w:rPr>
          <w:rFonts w:asciiTheme="minorHAnsi" w:hAnsiTheme="minorHAnsi" w:cs="Arial"/>
          <w:b w:val="0"/>
          <w:sz w:val="22"/>
          <w:szCs w:val="22"/>
          <w:lang w:val="hr-HR"/>
        </w:rPr>
        <w:t xml:space="preserve">iskazana </w:t>
      </w:r>
      <w:r w:rsidRPr="001567C8">
        <w:rPr>
          <w:rFonts w:asciiTheme="minorHAnsi" w:hAnsiTheme="minorHAnsi" w:cs="Arial"/>
          <w:b w:val="0"/>
          <w:sz w:val="22"/>
          <w:szCs w:val="22"/>
          <w:lang w:val="hr-HR"/>
        </w:rPr>
        <w:t>su</w:t>
      </w:r>
      <w:r w:rsidR="003E17D2" w:rsidRPr="001567C8">
        <w:rPr>
          <w:rFonts w:asciiTheme="minorHAnsi" w:hAnsiTheme="minorHAnsi" w:cs="Arial"/>
          <w:b w:val="0"/>
          <w:sz w:val="22"/>
          <w:szCs w:val="22"/>
          <w:lang w:val="hr-HR"/>
        </w:rPr>
        <w:t xml:space="preserve"> u bilješci 26. Ostala imovina zbog nematerijalnog iznosa.</w:t>
      </w:r>
    </w:p>
    <w:p w:rsidR="003E17D2" w:rsidRPr="001567C8" w:rsidRDefault="003E17D2" w:rsidP="00B5735A">
      <w:pPr>
        <w:pStyle w:val="accountingpolicytitle"/>
        <w:rPr>
          <w:rFonts w:asciiTheme="minorHAnsi" w:hAnsiTheme="minorHAnsi" w:cs="Arial"/>
          <w:b w:val="0"/>
          <w:sz w:val="18"/>
          <w:szCs w:val="18"/>
          <w:lang w:val="hr-HR"/>
        </w:rPr>
      </w:pPr>
    </w:p>
    <w:p w:rsidR="00B5735A" w:rsidRPr="001567C8" w:rsidRDefault="00B5735A" w:rsidP="00B5735A">
      <w:pPr>
        <w:pStyle w:val="accountingpolicytitle"/>
        <w:rPr>
          <w:rFonts w:asciiTheme="minorHAnsi" w:hAnsiTheme="minorHAnsi" w:cs="Arial"/>
          <w:sz w:val="22"/>
          <w:szCs w:val="22"/>
          <w:lang w:val="hr-HR"/>
        </w:rPr>
      </w:pPr>
      <w:r w:rsidRPr="001567C8">
        <w:rPr>
          <w:rFonts w:asciiTheme="minorHAnsi" w:hAnsiTheme="minorHAnsi" w:cs="Arial"/>
          <w:sz w:val="22"/>
          <w:szCs w:val="22"/>
          <w:lang w:val="hr-HR"/>
        </w:rPr>
        <w:t>J</w:t>
      </w:r>
      <w:r w:rsidR="00FE7290" w:rsidRPr="001567C8">
        <w:rPr>
          <w:rFonts w:asciiTheme="minorHAnsi" w:hAnsiTheme="minorHAnsi" w:cs="Arial"/>
          <w:sz w:val="22"/>
          <w:szCs w:val="22"/>
          <w:lang w:val="hr-HR"/>
        </w:rPr>
        <w:t>.</w:t>
      </w:r>
      <w:r w:rsidRPr="001567C8">
        <w:rPr>
          <w:rFonts w:asciiTheme="minorHAnsi" w:hAnsiTheme="minorHAnsi" w:cs="Arial"/>
          <w:sz w:val="22"/>
          <w:szCs w:val="22"/>
          <w:lang w:val="hr-HR"/>
        </w:rPr>
        <w:t xml:space="preserve"> </w:t>
      </w:r>
      <w:r w:rsidR="00A553F7">
        <w:rPr>
          <w:rFonts w:asciiTheme="minorHAnsi" w:hAnsiTheme="minorHAnsi" w:cs="Arial"/>
          <w:sz w:val="22"/>
          <w:szCs w:val="22"/>
          <w:lang w:val="hr-HR"/>
        </w:rPr>
        <w:t>Preuzeta imovina</w:t>
      </w:r>
    </w:p>
    <w:p w:rsidR="00B5735A" w:rsidRPr="001567C8" w:rsidRDefault="00B5735A" w:rsidP="00B5735A">
      <w:pPr>
        <w:pStyle w:val="accountingpolicytitle"/>
        <w:rPr>
          <w:rFonts w:asciiTheme="minorHAnsi" w:hAnsiTheme="minorHAnsi" w:cs="Arial"/>
          <w:sz w:val="18"/>
          <w:szCs w:val="18"/>
          <w:lang w:val="hr-HR"/>
        </w:rPr>
      </w:pPr>
    </w:p>
    <w:p w:rsidR="00B5735A" w:rsidRPr="001567C8" w:rsidRDefault="00A553F7" w:rsidP="00B5735A">
      <w:pPr>
        <w:pStyle w:val="T1"/>
        <w:keepNext w:val="0"/>
        <w:tabs>
          <w:tab w:val="right" w:pos="9781"/>
        </w:tabs>
        <w:spacing w:before="0" w:after="0" w:line="240" w:lineRule="auto"/>
        <w:rPr>
          <w:rFonts w:asciiTheme="minorHAnsi" w:hAnsiTheme="minorHAnsi" w:cs="Arial"/>
          <w:b w:val="0"/>
          <w:bCs w:val="0"/>
          <w:sz w:val="22"/>
          <w:szCs w:val="22"/>
          <w:lang w:val="hr-HR"/>
        </w:rPr>
      </w:pPr>
      <w:r>
        <w:rPr>
          <w:rFonts w:asciiTheme="minorHAnsi" w:hAnsiTheme="minorHAnsi" w:cs="Arial"/>
          <w:b w:val="0"/>
          <w:bCs w:val="0"/>
          <w:sz w:val="22"/>
          <w:szCs w:val="22"/>
          <w:lang w:val="hr-HR"/>
        </w:rPr>
        <w:t>Preuzeta imovina</w:t>
      </w:r>
      <w:r w:rsidR="00B5735A" w:rsidRPr="001567C8">
        <w:rPr>
          <w:rFonts w:asciiTheme="minorHAnsi" w:hAnsiTheme="minorHAnsi" w:cs="Arial"/>
          <w:b w:val="0"/>
          <w:bCs w:val="0"/>
          <w:sz w:val="22"/>
          <w:szCs w:val="22"/>
          <w:lang w:val="hr-HR"/>
        </w:rPr>
        <w:t xml:space="preserve"> obuhvaća nekretnine, postrojenja i opremu koju je Grupa preuzela u zamjenu za nenaplaćena potraživanja. Grupa očekuje da će tako preuzeta imovina biti nadoknađena prvenstveno putem prodaje, a ne daljnjim korištenjem.</w:t>
      </w:r>
    </w:p>
    <w:p w:rsidR="00B5735A" w:rsidRPr="001567C8" w:rsidRDefault="00B5735A" w:rsidP="00B5735A">
      <w:pPr>
        <w:pStyle w:val="T1"/>
        <w:keepNext w:val="0"/>
        <w:tabs>
          <w:tab w:val="right" w:pos="9781"/>
        </w:tabs>
        <w:spacing w:before="0" w:after="0" w:line="240" w:lineRule="auto"/>
        <w:rPr>
          <w:rFonts w:asciiTheme="minorHAnsi" w:hAnsiTheme="minorHAnsi" w:cs="Arial"/>
          <w:b w:val="0"/>
          <w:bCs w:val="0"/>
          <w:sz w:val="18"/>
          <w:szCs w:val="18"/>
          <w:lang w:val="hr-HR"/>
        </w:rPr>
      </w:pPr>
    </w:p>
    <w:p w:rsidR="00B5735A" w:rsidRPr="001567C8" w:rsidRDefault="00B5735A" w:rsidP="00B5735A">
      <w:pPr>
        <w:pStyle w:val="T1"/>
        <w:keepNext w:val="0"/>
        <w:tabs>
          <w:tab w:val="right" w:pos="9781"/>
        </w:tabs>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Grupa vrednuje ovu imovinu po </w:t>
      </w:r>
      <w:r w:rsidR="006E24CC" w:rsidRPr="001567C8">
        <w:rPr>
          <w:rFonts w:asciiTheme="minorHAnsi" w:hAnsiTheme="minorHAnsi" w:cs="Arial"/>
          <w:b w:val="0"/>
          <w:sz w:val="22"/>
          <w:szCs w:val="22"/>
          <w:lang w:val="hr-HR"/>
        </w:rPr>
        <w:t>knjigovodstvenoj vrijednosti ili fer vrijednosti</w:t>
      </w:r>
      <w:r w:rsidRPr="001567C8">
        <w:rPr>
          <w:rFonts w:asciiTheme="minorHAnsi" w:hAnsiTheme="minorHAnsi" w:cs="Arial"/>
          <w:b w:val="0"/>
          <w:sz w:val="22"/>
          <w:szCs w:val="22"/>
          <w:lang w:val="hr-HR"/>
        </w:rPr>
        <w:t xml:space="preserve"> (utvrđen</w:t>
      </w:r>
      <w:r w:rsidR="004B5B8C" w:rsidRPr="001567C8">
        <w:rPr>
          <w:rFonts w:asciiTheme="minorHAnsi" w:hAnsiTheme="minorHAnsi" w:cs="Arial"/>
          <w:b w:val="0"/>
          <w:sz w:val="22"/>
          <w:szCs w:val="22"/>
          <w:lang w:val="hr-HR"/>
        </w:rPr>
        <w:t>oj</w:t>
      </w:r>
      <w:r w:rsidRPr="001567C8">
        <w:rPr>
          <w:rFonts w:asciiTheme="minorHAnsi" w:hAnsiTheme="minorHAnsi" w:cs="Arial"/>
          <w:b w:val="0"/>
          <w:sz w:val="22"/>
          <w:szCs w:val="22"/>
          <w:lang w:val="hr-HR"/>
        </w:rPr>
        <w:t xml:space="preserve"> od strane neovisnog procjenitelja) umanjen</w:t>
      </w:r>
      <w:r w:rsidR="002A3926" w:rsidRPr="001567C8">
        <w:rPr>
          <w:rFonts w:asciiTheme="minorHAnsi" w:hAnsiTheme="minorHAnsi" w:cs="Arial"/>
          <w:b w:val="0"/>
          <w:sz w:val="22"/>
          <w:szCs w:val="22"/>
          <w:lang w:val="hr-HR"/>
        </w:rPr>
        <w:t>oj</w:t>
      </w:r>
      <w:r w:rsidRPr="001567C8">
        <w:rPr>
          <w:rFonts w:asciiTheme="minorHAnsi" w:hAnsiTheme="minorHAnsi" w:cs="Arial"/>
          <w:b w:val="0"/>
          <w:sz w:val="22"/>
          <w:szCs w:val="22"/>
          <w:lang w:val="hr-HR"/>
        </w:rPr>
        <w:t xml:space="preserve"> za procijenjene očekivane troškove otuđenja</w:t>
      </w:r>
      <w:r w:rsidR="006E24CC" w:rsidRPr="001567C8">
        <w:rPr>
          <w:rFonts w:asciiTheme="minorHAnsi" w:hAnsiTheme="minorHAnsi" w:cs="Arial"/>
          <w:b w:val="0"/>
          <w:sz w:val="22"/>
          <w:szCs w:val="22"/>
          <w:lang w:val="hr-HR"/>
        </w:rPr>
        <w:t>, ovisno što je niže</w:t>
      </w:r>
      <w:r w:rsidRPr="001567C8">
        <w:rPr>
          <w:rFonts w:asciiTheme="minorHAnsi" w:hAnsiTheme="minorHAnsi" w:cs="Arial"/>
          <w:b w:val="0"/>
          <w:sz w:val="22"/>
          <w:szCs w:val="22"/>
          <w:lang w:val="hr-HR"/>
        </w:rPr>
        <w:t xml:space="preserve">. </w:t>
      </w:r>
    </w:p>
    <w:p w:rsidR="00B5735A" w:rsidRPr="001567C8" w:rsidRDefault="00B5735A" w:rsidP="00B5735A">
      <w:pPr>
        <w:pStyle w:val="T1"/>
        <w:keepNext w:val="0"/>
        <w:tabs>
          <w:tab w:val="right" w:pos="9781"/>
        </w:tabs>
        <w:spacing w:before="0" w:after="0" w:line="240" w:lineRule="auto"/>
        <w:rPr>
          <w:rFonts w:asciiTheme="minorHAnsi" w:hAnsiTheme="minorHAnsi" w:cs="Arial"/>
          <w:b w:val="0"/>
          <w:bCs w:val="0"/>
          <w:sz w:val="22"/>
          <w:szCs w:val="22"/>
          <w:lang w:val="hr-HR"/>
        </w:rPr>
      </w:pPr>
    </w:p>
    <w:p w:rsidR="00B5735A" w:rsidRPr="001567C8" w:rsidRDefault="00B5735A" w:rsidP="00B5735A">
      <w:pPr>
        <w:pStyle w:val="T1"/>
        <w:keepNext w:val="0"/>
        <w:tabs>
          <w:tab w:val="right" w:pos="9781"/>
        </w:tabs>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Amortizacija navedene imovine se ne obračunava.</w:t>
      </w:r>
    </w:p>
    <w:p w:rsidR="00B5735A" w:rsidRPr="001567C8" w:rsidRDefault="00B5735A" w:rsidP="00B5735A">
      <w:pPr>
        <w:pStyle w:val="T1"/>
        <w:keepNext w:val="0"/>
        <w:tabs>
          <w:tab w:val="right" w:pos="9781"/>
        </w:tabs>
        <w:spacing w:before="0" w:after="0" w:line="240" w:lineRule="auto"/>
        <w:rPr>
          <w:rFonts w:asciiTheme="minorHAnsi" w:hAnsiTheme="minorHAnsi" w:cs="Arial"/>
          <w:b w:val="0"/>
          <w:bCs w:val="0"/>
          <w:sz w:val="16"/>
          <w:szCs w:val="16"/>
          <w:lang w:val="hr-HR"/>
        </w:rPr>
      </w:pPr>
    </w:p>
    <w:p w:rsidR="00B5735A" w:rsidRPr="001567C8" w:rsidRDefault="00FA768D" w:rsidP="00B5735A">
      <w:pPr>
        <w:pStyle w:val="T1"/>
        <w:tabs>
          <w:tab w:val="right" w:pos="9781"/>
        </w:tabs>
        <w:spacing w:before="0" w:after="0" w:line="240" w:lineRule="auto"/>
        <w:rPr>
          <w:rFonts w:asciiTheme="minorHAnsi" w:hAnsiTheme="minorHAnsi" w:cs="Arial"/>
          <w:b w:val="0"/>
          <w:bCs w:val="0"/>
          <w:sz w:val="22"/>
          <w:szCs w:val="22"/>
          <w:lang w:val="hr-HR"/>
        </w:rPr>
      </w:pPr>
      <w:r>
        <w:rPr>
          <w:rFonts w:asciiTheme="minorHAnsi" w:hAnsiTheme="minorHAnsi" w:cs="Arial"/>
          <w:b w:val="0"/>
          <w:bCs w:val="0"/>
          <w:sz w:val="22"/>
          <w:szCs w:val="22"/>
          <w:lang w:val="hr-HR"/>
        </w:rPr>
        <w:t>Grupa</w:t>
      </w:r>
      <w:r w:rsidR="00B5735A" w:rsidRPr="001567C8">
        <w:rPr>
          <w:rFonts w:asciiTheme="minorHAnsi" w:hAnsiTheme="minorHAnsi" w:cs="Arial"/>
          <w:b w:val="0"/>
          <w:bCs w:val="0"/>
          <w:sz w:val="22"/>
          <w:szCs w:val="22"/>
          <w:lang w:val="hr-HR"/>
        </w:rPr>
        <w:t xml:space="preserve"> priznaje gubitak od umanjenja za bilo koji početni ili naknadni djelomični otpis ove imovine do fer vrijednosti umanjene za troškove otuđenja, i priznaje dobitak za bilo koje naknadno povećanje fer vrijednosti umanjenoj za troškove otuđenja imovine, do visine kumulativnog gubitka od umanjenja koji je bio priznat.</w:t>
      </w:r>
    </w:p>
    <w:p w:rsidR="00DA248C" w:rsidRPr="00CD3A2D" w:rsidRDefault="00DA248C" w:rsidP="00B5735A">
      <w:pPr>
        <w:pStyle w:val="accountingpolicytitle"/>
        <w:rPr>
          <w:color w:val="222222"/>
          <w:lang w:val="hr-HR"/>
        </w:rPr>
      </w:pPr>
    </w:p>
    <w:p w:rsidR="00086AA1" w:rsidRPr="00CD3A2D" w:rsidRDefault="00DA248C" w:rsidP="00B5735A">
      <w:pPr>
        <w:pStyle w:val="accountingpolicytitle"/>
        <w:rPr>
          <w:rFonts w:asciiTheme="minorHAnsi" w:hAnsiTheme="minorHAnsi" w:cstheme="minorHAnsi"/>
          <w:b w:val="0"/>
          <w:sz w:val="22"/>
          <w:szCs w:val="22"/>
          <w:lang w:val="hr-HR"/>
        </w:rPr>
        <w:sectPr w:rsidR="00086AA1" w:rsidRPr="00CD3A2D" w:rsidSect="000D6913">
          <w:pgSz w:w="11907" w:h="16840" w:code="9"/>
          <w:pgMar w:top="1418" w:right="1134" w:bottom="1134" w:left="1418" w:header="851" w:footer="851" w:gutter="0"/>
          <w:cols w:space="720"/>
          <w:noEndnote/>
        </w:sectPr>
      </w:pPr>
      <w:r w:rsidRPr="00CD3A2D">
        <w:rPr>
          <w:rFonts w:asciiTheme="minorHAnsi" w:hAnsiTheme="minorHAnsi" w:cstheme="minorHAnsi"/>
          <w:b w:val="0"/>
          <w:sz w:val="22"/>
          <w:szCs w:val="22"/>
          <w:lang w:val="hr-HR"/>
        </w:rPr>
        <w:t xml:space="preserve">Rezervacije za umanjenje vrijednosti priznaju se u dobiti ili gubitku, kao dobici/gubici nakon naknadnog mjerenja i prodaje </w:t>
      </w:r>
      <w:r w:rsidR="00A553F7">
        <w:rPr>
          <w:rFonts w:asciiTheme="minorHAnsi" w:hAnsiTheme="minorHAnsi" w:cstheme="minorHAnsi"/>
          <w:b w:val="0"/>
          <w:sz w:val="22"/>
          <w:szCs w:val="22"/>
          <w:lang w:val="hr-HR"/>
        </w:rPr>
        <w:t>preuzete imovine.</w:t>
      </w:r>
    </w:p>
    <w:p w:rsidR="00DA248C" w:rsidRPr="00CD3A2D" w:rsidRDefault="00DA248C" w:rsidP="00DA24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p>
    <w:p w:rsidR="00DA248C" w:rsidRPr="00CD3A2D" w:rsidRDefault="00DA248C" w:rsidP="00DA24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DA248C" w:rsidRPr="00CD3A2D" w:rsidRDefault="00DA248C" w:rsidP="00DA24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18"/>
          <w:szCs w:val="18"/>
          <w:lang w:val="hr-HR"/>
        </w:rPr>
      </w:pPr>
    </w:p>
    <w:p w:rsidR="00DA248C" w:rsidRPr="00CD3A2D" w:rsidRDefault="00DA248C" w:rsidP="00DA24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r w:rsidRPr="00CD3A2D">
        <w:rPr>
          <w:rFonts w:asciiTheme="minorHAnsi" w:hAnsiTheme="minorHAnsi" w:cstheme="minorHAnsi"/>
          <w:b/>
          <w:sz w:val="22"/>
          <w:szCs w:val="22"/>
          <w:lang w:val="hr-HR" w:eastAsia="hr-HR"/>
        </w:rPr>
        <w:t>4.2. Značajne računovodstvene politike (nastavak)</w:t>
      </w:r>
    </w:p>
    <w:p w:rsidR="00DA248C" w:rsidRPr="001567C8" w:rsidRDefault="00DA248C" w:rsidP="00DA248C">
      <w:pPr>
        <w:pStyle w:val="accountingpolicytitle"/>
        <w:rPr>
          <w:rFonts w:asciiTheme="minorHAnsi" w:hAnsiTheme="minorHAnsi" w:cs="Arial"/>
          <w:sz w:val="22"/>
          <w:szCs w:val="22"/>
          <w:lang w:val="hr-HR"/>
        </w:rPr>
      </w:pPr>
    </w:p>
    <w:p w:rsidR="00DA248C" w:rsidRPr="001567C8" w:rsidRDefault="00DA248C" w:rsidP="00DA248C">
      <w:pPr>
        <w:pStyle w:val="accountingpolicytitle"/>
        <w:rPr>
          <w:rFonts w:asciiTheme="minorHAnsi" w:hAnsiTheme="minorHAnsi" w:cs="Arial"/>
          <w:sz w:val="22"/>
          <w:szCs w:val="22"/>
          <w:lang w:val="hr-HR"/>
        </w:rPr>
      </w:pPr>
      <w:r w:rsidRPr="001567C8">
        <w:rPr>
          <w:rFonts w:asciiTheme="minorHAnsi" w:hAnsiTheme="minorHAnsi" w:cs="Arial"/>
          <w:sz w:val="22"/>
          <w:szCs w:val="22"/>
          <w:lang w:val="hr-HR"/>
        </w:rPr>
        <w:t>J</w:t>
      </w:r>
      <w:r w:rsidR="004E0056" w:rsidRPr="001567C8">
        <w:rPr>
          <w:rFonts w:asciiTheme="minorHAnsi" w:hAnsiTheme="minorHAnsi" w:cs="Arial"/>
          <w:sz w:val="22"/>
          <w:szCs w:val="22"/>
          <w:lang w:val="hr-HR"/>
        </w:rPr>
        <w:t>.</w:t>
      </w:r>
      <w:r w:rsidRPr="001567C8">
        <w:rPr>
          <w:rFonts w:asciiTheme="minorHAnsi" w:hAnsiTheme="minorHAnsi" w:cs="Arial"/>
          <w:sz w:val="22"/>
          <w:szCs w:val="22"/>
          <w:lang w:val="hr-HR"/>
        </w:rPr>
        <w:t xml:space="preserve"> </w:t>
      </w:r>
      <w:r w:rsidR="00A553F7">
        <w:rPr>
          <w:rFonts w:asciiTheme="minorHAnsi" w:hAnsiTheme="minorHAnsi" w:cs="Arial"/>
          <w:sz w:val="22"/>
          <w:szCs w:val="22"/>
          <w:lang w:val="hr-HR"/>
        </w:rPr>
        <w:t>Preuzeta imovina</w:t>
      </w:r>
      <w:r w:rsidRPr="001567C8">
        <w:rPr>
          <w:rFonts w:asciiTheme="minorHAnsi" w:hAnsiTheme="minorHAnsi" w:cs="Arial"/>
          <w:sz w:val="22"/>
          <w:szCs w:val="22"/>
          <w:lang w:val="hr-HR"/>
        </w:rPr>
        <w:t xml:space="preserve"> (nastavak)</w:t>
      </w:r>
    </w:p>
    <w:p w:rsidR="004E0056" w:rsidRPr="001567C8" w:rsidRDefault="004E0056" w:rsidP="00A361F7">
      <w:pPr>
        <w:pStyle w:val="T1"/>
        <w:spacing w:before="0" w:after="0" w:line="240" w:lineRule="auto"/>
        <w:rPr>
          <w:rFonts w:asciiTheme="minorHAnsi" w:hAnsiTheme="minorHAnsi" w:cs="Arial"/>
          <w:sz w:val="22"/>
          <w:szCs w:val="22"/>
          <w:lang w:val="hr-HR"/>
        </w:rPr>
      </w:pPr>
    </w:p>
    <w:p w:rsidR="00DA248C" w:rsidRPr="001567C8" w:rsidRDefault="00DA248C" w:rsidP="00DA248C">
      <w:pPr>
        <w:pStyle w:val="T1"/>
        <w:tabs>
          <w:tab w:val="right" w:pos="9781"/>
        </w:tabs>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Slučajevi u kojima zbog otežanih okolnosti prodaje uslijed objektivnih okolnosti i događaja izvan kontrole Banke prodaja ne bude dovršena u planiranome roku, odnosno dođe do produženja razdoblja potrebnog za zaključenje prodaje i nakon jednogodišnjeg razdoblja, a nije donijeta odluka nadležnog tijela o odustajanju od prodaje ili od plana prodaje te se i nadalje poduzimaju aktivnosti kako bi se pronašao kupac i postoji dovoljno dokaza da je Banka ostala dosljedna planu prodaje tog oblika imovine, ne isključuju da se imovina i nadalje klasificira kao namijenjena za prodaju. </w:t>
      </w:r>
    </w:p>
    <w:p w:rsidR="00364623" w:rsidRPr="001567C8" w:rsidRDefault="00364623" w:rsidP="003C6BA3">
      <w:pPr>
        <w:pStyle w:val="T1"/>
        <w:spacing w:before="0" w:after="0" w:line="240" w:lineRule="auto"/>
        <w:rPr>
          <w:rFonts w:asciiTheme="minorHAnsi" w:hAnsiTheme="minorHAnsi" w:cs="Arial"/>
          <w:b w:val="0"/>
          <w:bCs w:val="0"/>
          <w:sz w:val="22"/>
          <w:szCs w:val="22"/>
          <w:lang w:val="hr-HR"/>
        </w:rPr>
      </w:pPr>
    </w:p>
    <w:p w:rsidR="00364623" w:rsidRPr="001567C8" w:rsidRDefault="00364623" w:rsidP="00364623">
      <w:pPr>
        <w:pStyle w:val="accountingpolicytitle"/>
        <w:rPr>
          <w:rFonts w:asciiTheme="minorHAnsi" w:hAnsiTheme="minorHAnsi" w:cs="Arial"/>
          <w:sz w:val="22"/>
          <w:szCs w:val="22"/>
          <w:lang w:val="hr-HR"/>
        </w:rPr>
      </w:pPr>
      <w:r w:rsidRPr="001567C8">
        <w:rPr>
          <w:rFonts w:asciiTheme="minorHAnsi" w:hAnsiTheme="minorHAnsi" w:cs="Arial"/>
          <w:sz w:val="22"/>
          <w:szCs w:val="22"/>
          <w:lang w:val="hr-HR"/>
        </w:rPr>
        <w:t>K. Depoziti, obveze po kreditima i obveze za izdane dugoročne vrijednosne papire</w:t>
      </w:r>
    </w:p>
    <w:p w:rsidR="00364623" w:rsidRPr="001567C8" w:rsidRDefault="00364623" w:rsidP="00364623">
      <w:pPr>
        <w:pStyle w:val="accountingpolicytitle"/>
        <w:rPr>
          <w:rFonts w:asciiTheme="minorHAnsi" w:hAnsiTheme="minorHAnsi" w:cs="Arial"/>
          <w:sz w:val="22"/>
          <w:szCs w:val="22"/>
          <w:lang w:val="hr-HR"/>
        </w:rPr>
      </w:pPr>
    </w:p>
    <w:p w:rsidR="00364623" w:rsidRPr="001567C8" w:rsidRDefault="004725A8" w:rsidP="00364623">
      <w:pPr>
        <w:pStyle w:val="accountingpolicytitle"/>
        <w:rPr>
          <w:rFonts w:asciiTheme="minorHAnsi" w:hAnsiTheme="minorHAnsi" w:cstheme="minorHAnsi"/>
          <w:b w:val="0"/>
          <w:sz w:val="22"/>
          <w:szCs w:val="22"/>
          <w:lang w:val="hr-HR"/>
        </w:rPr>
      </w:pPr>
      <w:r w:rsidRPr="001567C8">
        <w:rPr>
          <w:rFonts w:asciiTheme="minorHAnsi" w:hAnsiTheme="minorHAnsi" w:cstheme="minorHAnsi"/>
          <w:b w:val="0"/>
          <w:sz w:val="22"/>
          <w:szCs w:val="22"/>
          <w:lang w:val="hr-HR"/>
        </w:rPr>
        <w:t>I</w:t>
      </w:r>
      <w:r w:rsidR="00364623" w:rsidRPr="001567C8">
        <w:rPr>
          <w:rFonts w:asciiTheme="minorHAnsi" w:hAnsiTheme="minorHAnsi" w:cstheme="minorHAnsi"/>
          <w:b w:val="0"/>
          <w:sz w:val="22"/>
          <w:szCs w:val="22"/>
          <w:lang w:val="hr-HR"/>
        </w:rPr>
        <w:t xml:space="preserve">zdani dužnički vrijednosni papiri i zaduženja su izvori financiranja Grupe.  </w:t>
      </w:r>
    </w:p>
    <w:p w:rsidR="00364623" w:rsidRPr="001567C8" w:rsidRDefault="00364623" w:rsidP="00364623">
      <w:pPr>
        <w:pStyle w:val="accountingpolicytitle"/>
        <w:rPr>
          <w:rFonts w:asciiTheme="minorHAnsi" w:hAnsiTheme="minorHAnsi" w:cstheme="minorHAnsi"/>
          <w:b w:val="0"/>
          <w:color w:val="FF0000"/>
          <w:sz w:val="22"/>
          <w:szCs w:val="22"/>
          <w:lang w:val="hr-HR"/>
        </w:rPr>
      </w:pPr>
    </w:p>
    <w:p w:rsidR="00364623" w:rsidRPr="001567C8" w:rsidRDefault="00364623" w:rsidP="00364623">
      <w:pPr>
        <w:pStyle w:val="accountingpolicytitle"/>
        <w:rPr>
          <w:rFonts w:asciiTheme="minorHAnsi" w:hAnsiTheme="minorHAnsi" w:cstheme="minorHAnsi"/>
          <w:b w:val="0"/>
          <w:color w:val="FF0000"/>
          <w:sz w:val="22"/>
          <w:szCs w:val="22"/>
          <w:lang w:val="hr-HR"/>
        </w:rPr>
      </w:pPr>
      <w:r w:rsidRPr="00CD3A2D">
        <w:rPr>
          <w:rFonts w:asciiTheme="minorHAnsi" w:hAnsiTheme="minorHAnsi" w:cstheme="minorHAnsi"/>
          <w:b w:val="0"/>
          <w:color w:val="222222"/>
          <w:sz w:val="22"/>
          <w:szCs w:val="22"/>
          <w:lang w:val="hr-HR"/>
        </w:rPr>
        <w:t xml:space="preserve">Depoziti, </w:t>
      </w:r>
      <w:r w:rsidR="003A64D5" w:rsidRPr="00CD3A2D">
        <w:rPr>
          <w:rFonts w:asciiTheme="minorHAnsi" w:hAnsiTheme="minorHAnsi" w:cstheme="minorHAnsi"/>
          <w:b w:val="0"/>
          <w:color w:val="222222"/>
          <w:sz w:val="22"/>
          <w:szCs w:val="22"/>
          <w:lang w:val="hr-HR"/>
        </w:rPr>
        <w:t xml:space="preserve">obveze za izdane dugoročne vrijednosne papire i obveze po kreditima </w:t>
      </w:r>
      <w:r w:rsidRPr="00CD3A2D">
        <w:rPr>
          <w:rFonts w:asciiTheme="minorHAnsi" w:hAnsiTheme="minorHAnsi" w:cstheme="minorHAnsi"/>
          <w:b w:val="0"/>
          <w:color w:val="222222"/>
          <w:sz w:val="22"/>
          <w:szCs w:val="22"/>
          <w:lang w:val="hr-HR"/>
        </w:rPr>
        <w:t xml:space="preserve">početno se mjere po fer vrijednosti umanjenoj za </w:t>
      </w:r>
      <w:r w:rsidR="00F62274" w:rsidRPr="00CD3A2D">
        <w:rPr>
          <w:rFonts w:asciiTheme="minorHAnsi" w:hAnsiTheme="minorHAnsi" w:cstheme="minorHAnsi"/>
          <w:b w:val="0"/>
          <w:color w:val="222222"/>
          <w:sz w:val="22"/>
          <w:szCs w:val="22"/>
          <w:lang w:val="hr-HR"/>
        </w:rPr>
        <w:t xml:space="preserve">dodatne </w:t>
      </w:r>
      <w:r w:rsidRPr="00CD3A2D">
        <w:rPr>
          <w:rFonts w:asciiTheme="minorHAnsi" w:hAnsiTheme="minorHAnsi" w:cstheme="minorHAnsi"/>
          <w:b w:val="0"/>
          <w:color w:val="222222"/>
          <w:sz w:val="22"/>
          <w:szCs w:val="22"/>
          <w:lang w:val="hr-HR"/>
        </w:rPr>
        <w:t xml:space="preserve">izravne </w:t>
      </w:r>
      <w:r w:rsidR="00715816" w:rsidRPr="00CD3A2D">
        <w:rPr>
          <w:rFonts w:asciiTheme="minorHAnsi" w:hAnsiTheme="minorHAnsi" w:cstheme="minorHAnsi"/>
          <w:b w:val="0"/>
          <w:color w:val="222222"/>
          <w:sz w:val="22"/>
          <w:szCs w:val="22"/>
          <w:lang w:val="hr-HR"/>
        </w:rPr>
        <w:t>t</w:t>
      </w:r>
      <w:r w:rsidRPr="00CD3A2D">
        <w:rPr>
          <w:rFonts w:asciiTheme="minorHAnsi" w:hAnsiTheme="minorHAnsi" w:cstheme="minorHAnsi"/>
          <w:b w:val="0"/>
          <w:color w:val="222222"/>
          <w:sz w:val="22"/>
          <w:szCs w:val="22"/>
          <w:lang w:val="hr-HR"/>
        </w:rPr>
        <w:t>ransakcij</w:t>
      </w:r>
      <w:r w:rsidR="00715816" w:rsidRPr="00CD3A2D">
        <w:rPr>
          <w:rFonts w:asciiTheme="minorHAnsi" w:hAnsiTheme="minorHAnsi" w:cstheme="minorHAnsi"/>
          <w:b w:val="0"/>
          <w:color w:val="222222"/>
          <w:sz w:val="22"/>
          <w:szCs w:val="22"/>
          <w:lang w:val="hr-HR"/>
        </w:rPr>
        <w:t>sk</w:t>
      </w:r>
      <w:r w:rsidRPr="00CD3A2D">
        <w:rPr>
          <w:rFonts w:asciiTheme="minorHAnsi" w:hAnsiTheme="minorHAnsi" w:cstheme="minorHAnsi"/>
          <w:b w:val="0"/>
          <w:color w:val="222222"/>
          <w:sz w:val="22"/>
          <w:szCs w:val="22"/>
          <w:lang w:val="hr-HR"/>
        </w:rPr>
        <w:t>e</w:t>
      </w:r>
      <w:r w:rsidR="00715816" w:rsidRPr="00CD3A2D">
        <w:rPr>
          <w:rFonts w:asciiTheme="minorHAnsi" w:hAnsiTheme="minorHAnsi" w:cstheme="minorHAnsi"/>
          <w:b w:val="0"/>
          <w:color w:val="222222"/>
          <w:sz w:val="22"/>
          <w:szCs w:val="22"/>
          <w:lang w:val="hr-HR"/>
        </w:rPr>
        <w:t xml:space="preserve"> troškove te se </w:t>
      </w:r>
      <w:r w:rsidRPr="00CD3A2D">
        <w:rPr>
          <w:rFonts w:asciiTheme="minorHAnsi" w:hAnsiTheme="minorHAnsi" w:cstheme="minorHAnsi"/>
          <w:b w:val="0"/>
          <w:color w:val="222222"/>
          <w:sz w:val="22"/>
          <w:szCs w:val="22"/>
          <w:lang w:val="hr-HR"/>
        </w:rPr>
        <w:t>naknadno mjere po amortiziranom trošku primjenom metode efektivne kamatne stope, osim ako Grupa ne odredi obveze po fer vrijednosti kroz dobit i</w:t>
      </w:r>
      <w:r w:rsidR="00715816" w:rsidRPr="00CD3A2D">
        <w:rPr>
          <w:rFonts w:asciiTheme="minorHAnsi" w:hAnsiTheme="minorHAnsi" w:cstheme="minorHAnsi"/>
          <w:b w:val="0"/>
          <w:color w:val="222222"/>
          <w:sz w:val="22"/>
          <w:szCs w:val="22"/>
          <w:lang w:val="hr-HR"/>
        </w:rPr>
        <w:t>li</w:t>
      </w:r>
      <w:r w:rsidRPr="00CD3A2D">
        <w:rPr>
          <w:rFonts w:asciiTheme="minorHAnsi" w:hAnsiTheme="minorHAnsi" w:cstheme="minorHAnsi"/>
          <w:b w:val="0"/>
          <w:color w:val="222222"/>
          <w:sz w:val="22"/>
          <w:szCs w:val="22"/>
          <w:lang w:val="hr-HR"/>
        </w:rPr>
        <w:t xml:space="preserve"> gubit</w:t>
      </w:r>
      <w:r w:rsidR="00715816" w:rsidRPr="00CD3A2D">
        <w:rPr>
          <w:rFonts w:asciiTheme="minorHAnsi" w:hAnsiTheme="minorHAnsi" w:cstheme="minorHAnsi"/>
          <w:b w:val="0"/>
          <w:color w:val="222222"/>
          <w:sz w:val="22"/>
          <w:szCs w:val="22"/>
          <w:lang w:val="hr-HR"/>
        </w:rPr>
        <w:t>a</w:t>
      </w:r>
      <w:r w:rsidRPr="00CD3A2D">
        <w:rPr>
          <w:rFonts w:asciiTheme="minorHAnsi" w:hAnsiTheme="minorHAnsi" w:cstheme="minorHAnsi"/>
          <w:b w:val="0"/>
          <w:color w:val="222222"/>
          <w:sz w:val="22"/>
          <w:szCs w:val="22"/>
          <w:lang w:val="hr-HR"/>
        </w:rPr>
        <w:t>k.</w:t>
      </w:r>
    </w:p>
    <w:p w:rsidR="00364623" w:rsidRPr="001567C8" w:rsidRDefault="00364623" w:rsidP="001B0C35">
      <w:pPr>
        <w:pStyle w:val="T1"/>
        <w:keepNext w:val="0"/>
        <w:spacing w:before="0" w:after="0" w:line="240" w:lineRule="auto"/>
        <w:rPr>
          <w:rFonts w:asciiTheme="minorHAnsi" w:hAnsiTheme="minorHAnsi" w:cs="Arial"/>
          <w:bCs w:val="0"/>
          <w:sz w:val="22"/>
          <w:szCs w:val="22"/>
          <w:lang w:val="hr-HR"/>
        </w:rPr>
      </w:pPr>
    </w:p>
    <w:p w:rsidR="00364623" w:rsidRPr="001567C8" w:rsidRDefault="00364623" w:rsidP="00364623">
      <w:pPr>
        <w:pStyle w:val="accountingpolicytitle"/>
        <w:rPr>
          <w:rFonts w:asciiTheme="minorHAnsi" w:hAnsiTheme="minorHAnsi" w:cs="Arial"/>
          <w:b w:val="0"/>
          <w:sz w:val="22"/>
          <w:szCs w:val="22"/>
          <w:lang w:val="hr-HR"/>
        </w:rPr>
      </w:pPr>
      <w:r w:rsidRPr="001567C8">
        <w:rPr>
          <w:rFonts w:asciiTheme="minorHAnsi" w:hAnsiTheme="minorHAnsi" w:cs="Arial"/>
          <w:b w:val="0"/>
          <w:sz w:val="22"/>
          <w:szCs w:val="22"/>
          <w:lang w:val="hr-HR"/>
        </w:rPr>
        <w:t>Financijske obveze se iskazuju u ugovorenoj valuti preračunatoj u kune po srednjem tečaju HNB-a, ugovornom tečaju ili po utvrđenoj svoti koja potječe iz poslovnih i financijskih transakcija temeljenih na dokumentaciji.</w:t>
      </w:r>
    </w:p>
    <w:p w:rsidR="00364623" w:rsidRPr="001567C8" w:rsidRDefault="00364623" w:rsidP="001B0C35">
      <w:pPr>
        <w:pStyle w:val="T1"/>
        <w:keepNext w:val="0"/>
        <w:spacing w:before="0" w:after="0" w:line="240" w:lineRule="auto"/>
        <w:rPr>
          <w:rFonts w:asciiTheme="minorHAnsi" w:hAnsiTheme="minorHAnsi" w:cs="Arial"/>
          <w:bCs w:val="0"/>
          <w:sz w:val="22"/>
          <w:szCs w:val="22"/>
          <w:lang w:val="hr-HR"/>
        </w:rPr>
      </w:pPr>
    </w:p>
    <w:p w:rsidR="00715816" w:rsidRPr="00CD3A2D" w:rsidRDefault="00715816" w:rsidP="00715816">
      <w:pPr>
        <w:pStyle w:val="accountingpolicytitle"/>
        <w:rPr>
          <w:rFonts w:ascii="Calibri" w:hAnsi="Calibri" w:cs="Calibri"/>
          <w:b w:val="0"/>
          <w:bCs/>
          <w:sz w:val="22"/>
          <w:szCs w:val="22"/>
          <w:lang w:val="hr-HR"/>
        </w:rPr>
      </w:pPr>
      <w:r w:rsidRPr="00CD3A2D">
        <w:rPr>
          <w:rFonts w:ascii="Calibri" w:hAnsi="Calibri" w:cs="Calibri"/>
          <w:b w:val="0"/>
          <w:sz w:val="22"/>
          <w:szCs w:val="22"/>
          <w:lang w:val="hr-HR"/>
        </w:rPr>
        <w:t>Kada Grupa proda financijsku imovinu i istovremeno zaključi ugovor o ponovnoj kupnji te imovine (ili slične imovine) po fiksnoj cijeni na budući datum (ugovor o prodaji i ponovnoj kupnji), aranžman se obračunava kao zajmovi uzeti od financijskih institucija koji su osigurani instrumentima osiguranja, a predmetna imovin</w:t>
      </w:r>
      <w:r w:rsidR="00C20870" w:rsidRPr="00CD3A2D">
        <w:rPr>
          <w:rFonts w:ascii="Calibri" w:hAnsi="Calibri" w:cs="Calibri"/>
          <w:b w:val="0"/>
          <w:sz w:val="22"/>
          <w:szCs w:val="22"/>
          <w:lang w:val="hr-HR"/>
        </w:rPr>
        <w:t>a</w:t>
      </w:r>
      <w:r w:rsidRPr="00CD3A2D">
        <w:rPr>
          <w:rFonts w:ascii="Calibri" w:hAnsi="Calibri" w:cs="Calibri"/>
          <w:b w:val="0"/>
          <w:sz w:val="22"/>
          <w:szCs w:val="22"/>
          <w:lang w:val="hr-HR"/>
        </w:rPr>
        <w:t xml:space="preserve"> i nadalje se priznaje u financijskim izvještajima Grupe.</w:t>
      </w:r>
    </w:p>
    <w:p w:rsidR="00364623" w:rsidRPr="001567C8" w:rsidRDefault="00364623" w:rsidP="001B0C35">
      <w:pPr>
        <w:pStyle w:val="T1"/>
        <w:keepNext w:val="0"/>
        <w:spacing w:before="0" w:after="0" w:line="240" w:lineRule="auto"/>
        <w:rPr>
          <w:rFonts w:asciiTheme="minorHAnsi" w:hAnsiTheme="minorHAnsi" w:cs="Arial"/>
          <w:bCs w:val="0"/>
          <w:sz w:val="22"/>
          <w:szCs w:val="22"/>
          <w:lang w:val="hr-HR"/>
        </w:rPr>
      </w:pPr>
    </w:p>
    <w:p w:rsidR="00364623" w:rsidRPr="001567C8" w:rsidRDefault="00364623" w:rsidP="001B0C35">
      <w:pPr>
        <w:pStyle w:val="T1"/>
        <w:keepNext w:val="0"/>
        <w:spacing w:before="0" w:after="0" w:line="240" w:lineRule="auto"/>
        <w:rPr>
          <w:rFonts w:asciiTheme="minorHAnsi" w:hAnsiTheme="minorHAnsi" w:cs="Arial"/>
          <w:bCs w:val="0"/>
          <w:sz w:val="22"/>
          <w:szCs w:val="22"/>
          <w:lang w:val="hr-HR"/>
        </w:rPr>
      </w:pPr>
      <w:r w:rsidRPr="001567C8">
        <w:rPr>
          <w:rFonts w:asciiTheme="minorHAnsi" w:hAnsiTheme="minorHAnsi" w:cs="Arial"/>
          <w:bCs w:val="0"/>
          <w:sz w:val="22"/>
          <w:szCs w:val="22"/>
          <w:lang w:val="hr-HR"/>
        </w:rPr>
        <w:t>L. Državne potpore</w:t>
      </w:r>
    </w:p>
    <w:p w:rsidR="00364623" w:rsidRPr="001567C8" w:rsidRDefault="00364623" w:rsidP="001B0C35">
      <w:pPr>
        <w:pStyle w:val="T1"/>
        <w:keepNext w:val="0"/>
        <w:spacing w:before="0" w:after="0" w:line="240" w:lineRule="auto"/>
        <w:rPr>
          <w:rFonts w:asciiTheme="minorHAnsi" w:hAnsiTheme="minorHAnsi" w:cs="Arial"/>
          <w:b w:val="0"/>
          <w:bCs w:val="0"/>
          <w:sz w:val="22"/>
          <w:szCs w:val="22"/>
          <w:lang w:val="hr-HR"/>
        </w:rPr>
      </w:pPr>
    </w:p>
    <w:p w:rsidR="00364623" w:rsidRPr="001567C8" w:rsidRDefault="00364623" w:rsidP="00364623">
      <w:pPr>
        <w:pStyle w:val="accountingpolicytitle"/>
        <w:rPr>
          <w:rFonts w:asciiTheme="minorHAnsi" w:hAnsiTheme="minorHAnsi" w:cs="Arial"/>
          <w:b w:val="0"/>
          <w:sz w:val="22"/>
          <w:szCs w:val="22"/>
          <w:lang w:val="hr-HR"/>
        </w:rPr>
      </w:pPr>
      <w:r w:rsidRPr="001567C8">
        <w:rPr>
          <w:rFonts w:asciiTheme="minorHAnsi" w:hAnsiTheme="minorHAnsi" w:cs="Arial"/>
          <w:b w:val="0"/>
          <w:sz w:val="22"/>
          <w:szCs w:val="22"/>
          <w:lang w:val="hr-HR"/>
        </w:rPr>
        <w:t>Korisnicima koji ostvaruju pravo na subvenciju kamatne stope po Programu povlaštenog financiranja po kreditnim programima HBOR-a kamatna stopa je subvencionirana za cijelo vrijeme trajanja otplate kredita od strane Republike Hrvatske – Ministarstva financija.</w:t>
      </w:r>
    </w:p>
    <w:p w:rsidR="00364623" w:rsidRPr="001567C8" w:rsidRDefault="00364623" w:rsidP="00364623">
      <w:pPr>
        <w:pStyle w:val="TT"/>
        <w:tabs>
          <w:tab w:val="clear" w:pos="1202"/>
        </w:tabs>
        <w:spacing w:line="240" w:lineRule="auto"/>
        <w:jc w:val="both"/>
        <w:outlineLvl w:val="9"/>
        <w:rPr>
          <w:rFonts w:asciiTheme="minorHAnsi" w:hAnsiTheme="minorHAnsi" w:cs="Arial"/>
          <w:bCs/>
          <w:sz w:val="22"/>
          <w:szCs w:val="22"/>
          <w:lang w:val="hr-HR"/>
        </w:rPr>
      </w:pPr>
    </w:p>
    <w:p w:rsidR="00364623" w:rsidRPr="001567C8" w:rsidRDefault="00364623" w:rsidP="00364623">
      <w:pPr>
        <w:pStyle w:val="TT"/>
        <w:tabs>
          <w:tab w:val="clear" w:pos="1202"/>
        </w:tabs>
        <w:spacing w:line="240" w:lineRule="auto"/>
        <w:jc w:val="both"/>
        <w:outlineLvl w:val="9"/>
        <w:rPr>
          <w:rFonts w:asciiTheme="minorHAnsi" w:hAnsiTheme="minorHAnsi" w:cs="Arial"/>
          <w:bCs/>
          <w:sz w:val="22"/>
          <w:szCs w:val="22"/>
          <w:lang w:val="hr-HR"/>
        </w:rPr>
      </w:pPr>
      <w:r w:rsidRPr="001567C8">
        <w:rPr>
          <w:rFonts w:asciiTheme="minorHAnsi" w:hAnsiTheme="minorHAnsi" w:cs="Arial"/>
          <w:bCs/>
          <w:sz w:val="22"/>
          <w:szCs w:val="22"/>
          <w:lang w:val="hr-HR"/>
        </w:rPr>
        <w:t xml:space="preserve">Diskontirani iznos subvencionirane kamate za krajnjeg korisnika iskazan je kao odgođeno priznavanje kamatnih prihoda u ostalim obvezama i priznaje se u </w:t>
      </w:r>
      <w:r w:rsidR="00AA5F2C" w:rsidRPr="001567C8">
        <w:rPr>
          <w:rFonts w:asciiTheme="minorHAnsi" w:hAnsiTheme="minorHAnsi" w:cs="Arial"/>
          <w:bCs/>
          <w:sz w:val="22"/>
          <w:szCs w:val="22"/>
          <w:lang w:val="hr-HR"/>
        </w:rPr>
        <w:t>računu</w:t>
      </w:r>
      <w:r w:rsidRPr="001567C8">
        <w:rPr>
          <w:rFonts w:asciiTheme="minorHAnsi" w:hAnsiTheme="minorHAnsi" w:cs="Arial"/>
          <w:bCs/>
          <w:sz w:val="22"/>
          <w:szCs w:val="22"/>
          <w:lang w:val="hr-HR"/>
        </w:rPr>
        <w:t xml:space="preserve"> dobiti i gubitk</w:t>
      </w:r>
      <w:r w:rsidR="00AA5F2C" w:rsidRPr="001567C8">
        <w:rPr>
          <w:rFonts w:asciiTheme="minorHAnsi" w:hAnsiTheme="minorHAnsi" w:cs="Arial"/>
          <w:bCs/>
          <w:sz w:val="22"/>
          <w:szCs w:val="22"/>
          <w:lang w:val="hr-HR"/>
        </w:rPr>
        <w:t>a</w:t>
      </w:r>
      <w:r w:rsidRPr="001567C8">
        <w:rPr>
          <w:rFonts w:asciiTheme="minorHAnsi" w:hAnsiTheme="minorHAnsi" w:cs="Arial"/>
          <w:bCs/>
          <w:sz w:val="22"/>
          <w:szCs w:val="22"/>
          <w:lang w:val="hr-HR"/>
        </w:rPr>
        <w:t xml:space="preserve"> na vremenskoj osnovi tijekom razdoblja otplate kredita. Sukladno tome krediti su iskazani po amortiziranom trošku, korištenjem kamatne stope bez uvažavanja efekata subvencija uplaćenih od države.</w:t>
      </w:r>
    </w:p>
    <w:p w:rsidR="00364623" w:rsidRPr="001567C8" w:rsidRDefault="00364623" w:rsidP="001B0C35">
      <w:pPr>
        <w:pStyle w:val="T1"/>
        <w:keepNext w:val="0"/>
        <w:spacing w:before="0" w:after="0" w:line="240" w:lineRule="auto"/>
        <w:rPr>
          <w:rFonts w:asciiTheme="minorHAnsi" w:hAnsiTheme="minorHAnsi" w:cs="Arial"/>
          <w:b w:val="0"/>
          <w:bCs w:val="0"/>
          <w:sz w:val="22"/>
          <w:szCs w:val="22"/>
          <w:lang w:val="hr-HR"/>
        </w:rPr>
      </w:pPr>
    </w:p>
    <w:p w:rsidR="00364623" w:rsidRPr="001567C8" w:rsidRDefault="00364623" w:rsidP="001B0C35">
      <w:pPr>
        <w:pStyle w:val="T1"/>
        <w:keepNext w:val="0"/>
        <w:spacing w:before="0" w:after="0" w:line="240" w:lineRule="auto"/>
        <w:rPr>
          <w:rFonts w:asciiTheme="minorHAnsi" w:hAnsiTheme="minorHAnsi" w:cs="Arial"/>
          <w:b w:val="0"/>
          <w:bCs w:val="0"/>
          <w:sz w:val="22"/>
          <w:szCs w:val="22"/>
          <w:lang w:val="hr-HR"/>
        </w:rPr>
      </w:pPr>
    </w:p>
    <w:p w:rsidR="00364623" w:rsidRPr="001567C8" w:rsidRDefault="00364623" w:rsidP="001B0C35">
      <w:pPr>
        <w:pStyle w:val="T1"/>
        <w:keepNext w:val="0"/>
        <w:spacing w:before="0" w:after="0" w:line="240" w:lineRule="auto"/>
        <w:rPr>
          <w:rFonts w:asciiTheme="minorHAnsi" w:hAnsiTheme="minorHAnsi" w:cs="Arial"/>
          <w:b w:val="0"/>
          <w:bCs w:val="0"/>
          <w:sz w:val="22"/>
          <w:szCs w:val="22"/>
          <w:lang w:val="hr-HR"/>
        </w:rPr>
      </w:pPr>
    </w:p>
    <w:p w:rsidR="00364623" w:rsidRPr="001567C8" w:rsidRDefault="00364623" w:rsidP="001B0C35">
      <w:pPr>
        <w:pStyle w:val="T1"/>
        <w:keepNext w:val="0"/>
        <w:spacing w:before="0" w:after="0" w:line="240" w:lineRule="auto"/>
        <w:rPr>
          <w:rFonts w:asciiTheme="minorHAnsi" w:hAnsiTheme="minorHAnsi" w:cs="Arial"/>
          <w:b w:val="0"/>
          <w:bCs w:val="0"/>
          <w:sz w:val="22"/>
          <w:szCs w:val="22"/>
          <w:lang w:val="hr-HR"/>
        </w:rPr>
      </w:pPr>
    </w:p>
    <w:p w:rsidR="00364623" w:rsidRPr="001567C8" w:rsidRDefault="00364623" w:rsidP="001B0C35">
      <w:pPr>
        <w:pStyle w:val="T1"/>
        <w:keepNext w:val="0"/>
        <w:spacing w:before="0" w:after="0" w:line="240" w:lineRule="auto"/>
        <w:rPr>
          <w:rFonts w:asciiTheme="minorHAnsi" w:hAnsiTheme="minorHAnsi" w:cs="Arial"/>
          <w:b w:val="0"/>
          <w:bCs w:val="0"/>
          <w:sz w:val="22"/>
          <w:szCs w:val="22"/>
          <w:lang w:val="hr-HR"/>
        </w:rPr>
        <w:sectPr w:rsidR="00364623" w:rsidRPr="001567C8" w:rsidSect="000D6913">
          <w:pgSz w:w="11907" w:h="16840" w:code="9"/>
          <w:pgMar w:top="1418" w:right="1134" w:bottom="1134" w:left="1418" w:header="851" w:footer="851" w:gutter="0"/>
          <w:cols w:space="720"/>
          <w:noEndnote/>
        </w:sectPr>
      </w:pPr>
    </w:p>
    <w:p w:rsidR="001B0C35" w:rsidRPr="001567C8" w:rsidRDefault="001B0C35" w:rsidP="005D12B5">
      <w:pPr>
        <w:pStyle w:val="T1"/>
        <w:keepNext w:val="0"/>
        <w:spacing w:before="0" w:after="0" w:line="240" w:lineRule="auto"/>
        <w:rPr>
          <w:rFonts w:asciiTheme="minorHAnsi" w:hAnsiTheme="minorHAnsi" w:cs="Arial"/>
          <w:b w:val="0"/>
          <w:bCs w:val="0"/>
          <w:sz w:val="22"/>
          <w:szCs w:val="22"/>
          <w:lang w:val="hr-HR"/>
        </w:rPr>
      </w:pPr>
    </w:p>
    <w:p w:rsidR="00BD5797" w:rsidRPr="00CD3A2D" w:rsidRDefault="00BD5797" w:rsidP="00BD57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BD5797" w:rsidRPr="001567C8" w:rsidRDefault="00BD5797" w:rsidP="00BD5797">
      <w:pPr>
        <w:pStyle w:val="T1"/>
        <w:tabs>
          <w:tab w:val="left" w:pos="567"/>
        </w:tabs>
        <w:spacing w:before="0" w:after="0" w:line="240" w:lineRule="auto"/>
        <w:rPr>
          <w:rFonts w:asciiTheme="minorHAnsi" w:hAnsiTheme="minorHAnsi" w:cs="Arial"/>
          <w:sz w:val="22"/>
          <w:szCs w:val="22"/>
          <w:lang w:val="hr-HR"/>
        </w:rPr>
      </w:pPr>
    </w:p>
    <w:p w:rsidR="00BD5797" w:rsidRPr="001567C8" w:rsidRDefault="00BD5797" w:rsidP="00BD5797">
      <w:pPr>
        <w:pStyle w:val="T1"/>
        <w:tabs>
          <w:tab w:val="left" w:pos="567"/>
        </w:tabs>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4.2. Značajne računovodstvene politike (nastavak)</w:t>
      </w:r>
    </w:p>
    <w:p w:rsidR="001B0C35" w:rsidRPr="001567C8" w:rsidRDefault="001B0C35" w:rsidP="005D12B5">
      <w:pPr>
        <w:pStyle w:val="accountingpolicytitle"/>
        <w:rPr>
          <w:rFonts w:asciiTheme="minorHAnsi" w:hAnsiTheme="minorHAnsi" w:cs="Arial"/>
          <w:sz w:val="22"/>
          <w:szCs w:val="22"/>
          <w:lang w:val="hr-HR"/>
        </w:rPr>
      </w:pPr>
    </w:p>
    <w:p w:rsidR="0023108B" w:rsidRPr="001567C8" w:rsidRDefault="0023108B" w:rsidP="00BD5797">
      <w:pPr>
        <w:pStyle w:val="accountingpolicytitle"/>
        <w:rPr>
          <w:rFonts w:asciiTheme="minorHAnsi" w:hAnsiTheme="minorHAnsi" w:cs="Arial"/>
          <w:sz w:val="22"/>
          <w:szCs w:val="22"/>
          <w:lang w:val="hr-HR"/>
        </w:rPr>
      </w:pPr>
      <w:r w:rsidRPr="001567C8">
        <w:rPr>
          <w:rFonts w:asciiTheme="minorHAnsi" w:hAnsiTheme="minorHAnsi" w:cs="Arial"/>
          <w:sz w:val="22"/>
          <w:szCs w:val="22"/>
          <w:lang w:val="hr-HR"/>
        </w:rPr>
        <w:t xml:space="preserve">M. </w:t>
      </w:r>
      <w:r w:rsidR="004F7A67" w:rsidRPr="001567C8">
        <w:rPr>
          <w:rFonts w:asciiTheme="minorHAnsi" w:hAnsiTheme="minorHAnsi" w:cs="Arial"/>
          <w:sz w:val="22"/>
          <w:szCs w:val="22"/>
          <w:lang w:val="hr-HR"/>
        </w:rPr>
        <w:t>P</w:t>
      </w:r>
      <w:r w:rsidRPr="001567C8">
        <w:rPr>
          <w:rFonts w:asciiTheme="minorHAnsi" w:hAnsiTheme="minorHAnsi" w:cs="Arial"/>
          <w:sz w:val="22"/>
          <w:szCs w:val="22"/>
          <w:lang w:val="hr-HR"/>
        </w:rPr>
        <w:t>reuzete obveze po kreditima</w:t>
      </w:r>
    </w:p>
    <w:p w:rsidR="0023108B" w:rsidRPr="001567C8" w:rsidRDefault="0023108B" w:rsidP="00BD5797">
      <w:pPr>
        <w:pStyle w:val="accountingpolicytitle"/>
        <w:rPr>
          <w:rFonts w:asciiTheme="minorHAnsi" w:hAnsiTheme="minorHAnsi" w:cs="Arial"/>
          <w:sz w:val="22"/>
          <w:szCs w:val="22"/>
          <w:lang w:val="hr-HR"/>
        </w:rPr>
      </w:pPr>
    </w:p>
    <w:p w:rsidR="0023108B" w:rsidRPr="001567C8" w:rsidRDefault="0023108B" w:rsidP="00BD5797">
      <w:pPr>
        <w:pStyle w:val="accountingpolicytitle"/>
        <w:rPr>
          <w:rFonts w:asciiTheme="minorHAnsi" w:hAnsiTheme="minorHAnsi" w:cstheme="minorHAnsi"/>
          <w:b w:val="0"/>
          <w:sz w:val="22"/>
          <w:szCs w:val="22"/>
          <w:lang w:val="hr-HR"/>
        </w:rPr>
      </w:pPr>
      <w:r w:rsidRPr="00CD3A2D">
        <w:rPr>
          <w:rFonts w:asciiTheme="minorHAnsi" w:hAnsiTheme="minorHAnsi" w:cstheme="minorHAnsi"/>
          <w:b w:val="0"/>
          <w:color w:val="222222"/>
          <w:sz w:val="22"/>
          <w:szCs w:val="22"/>
          <w:lang w:val="hr-HR"/>
        </w:rPr>
        <w:t>Grupa nema preuzetih obveza po kreditima koje se mjere po fer vrijednosti kroz dobit ili gubitak.</w:t>
      </w:r>
    </w:p>
    <w:p w:rsidR="0023108B" w:rsidRPr="001567C8" w:rsidRDefault="0023108B" w:rsidP="00BD5797">
      <w:pPr>
        <w:pStyle w:val="accountingpolicytitle"/>
        <w:rPr>
          <w:rFonts w:asciiTheme="minorHAnsi" w:hAnsiTheme="minorHAnsi" w:cs="Arial"/>
          <w:sz w:val="22"/>
          <w:szCs w:val="22"/>
          <w:lang w:val="hr-HR"/>
        </w:rPr>
      </w:pPr>
    </w:p>
    <w:p w:rsidR="0023108B" w:rsidRPr="001567C8" w:rsidRDefault="0023108B" w:rsidP="00247F48">
      <w:pPr>
        <w:pStyle w:val="HTMLPreformatted"/>
        <w:jc w:val="both"/>
        <w:rPr>
          <w:rFonts w:asciiTheme="minorHAnsi" w:hAnsiTheme="minorHAnsi" w:cstheme="minorHAnsi"/>
          <w:color w:val="222222"/>
          <w:sz w:val="22"/>
          <w:szCs w:val="22"/>
        </w:rPr>
      </w:pPr>
      <w:r w:rsidRPr="001567C8">
        <w:rPr>
          <w:rFonts w:asciiTheme="minorHAnsi" w:hAnsiTheme="minorHAnsi" w:cstheme="minorHAnsi"/>
          <w:color w:val="222222"/>
          <w:sz w:val="22"/>
          <w:szCs w:val="22"/>
        </w:rPr>
        <w:t xml:space="preserve">Za ostale </w:t>
      </w:r>
      <w:r w:rsidR="00247F48" w:rsidRPr="001567C8">
        <w:rPr>
          <w:rFonts w:asciiTheme="minorHAnsi" w:hAnsiTheme="minorHAnsi" w:cstheme="minorHAnsi"/>
          <w:color w:val="222222"/>
          <w:sz w:val="22"/>
          <w:szCs w:val="22"/>
        </w:rPr>
        <w:t>preuzete obveze po kreditima</w:t>
      </w:r>
      <w:r w:rsidRPr="001567C8">
        <w:rPr>
          <w:rFonts w:asciiTheme="minorHAnsi" w:hAnsiTheme="minorHAnsi" w:cstheme="minorHAnsi"/>
          <w:color w:val="222222"/>
          <w:sz w:val="22"/>
          <w:szCs w:val="22"/>
        </w:rPr>
        <w:t>:</w:t>
      </w:r>
    </w:p>
    <w:p w:rsidR="00247F48" w:rsidRPr="001567C8" w:rsidRDefault="00247F48" w:rsidP="00247F48">
      <w:pPr>
        <w:pStyle w:val="HTMLPreformatted"/>
        <w:jc w:val="both"/>
        <w:rPr>
          <w:rFonts w:asciiTheme="minorHAnsi" w:hAnsiTheme="minorHAnsi" w:cstheme="minorHAnsi"/>
          <w:color w:val="222222"/>
          <w:sz w:val="22"/>
          <w:szCs w:val="22"/>
        </w:rPr>
      </w:pPr>
    </w:p>
    <w:p w:rsidR="00247F48" w:rsidRPr="00CD3A2D" w:rsidRDefault="00247F48" w:rsidP="002B5EA8">
      <w:pPr>
        <w:pStyle w:val="ListParagraph"/>
        <w:numPr>
          <w:ilvl w:val="0"/>
          <w:numId w:val="36"/>
        </w:numPr>
        <w:autoSpaceDE w:val="0"/>
        <w:autoSpaceDN w:val="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od 1. siječnja 2018.: Grupa priznaje rezerviranja za gubitke; </w:t>
      </w:r>
    </w:p>
    <w:p w:rsidR="00247F48" w:rsidRPr="00CD3A2D" w:rsidRDefault="00247F48" w:rsidP="002B5EA8">
      <w:pPr>
        <w:pStyle w:val="ListParagraph"/>
        <w:numPr>
          <w:ilvl w:val="0"/>
          <w:numId w:val="36"/>
        </w:numPr>
        <w:autoSpaceDE w:val="0"/>
        <w:autoSpaceDN w:val="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prije 1. siječnja 2018.: Grupa je priznala rezerviranja u skladu s MRS-om 37 </w:t>
      </w:r>
      <w:r w:rsidR="00556D82" w:rsidRPr="00CD3A2D">
        <w:rPr>
          <w:rFonts w:asciiTheme="minorHAnsi" w:hAnsiTheme="minorHAnsi" w:cstheme="minorHAnsi"/>
          <w:sz w:val="22"/>
          <w:szCs w:val="22"/>
          <w:lang w:val="hr-HR"/>
        </w:rPr>
        <w:t xml:space="preserve">ako se ugovor </w:t>
      </w:r>
      <w:r w:rsidR="00D84E18" w:rsidRPr="00CD3A2D">
        <w:rPr>
          <w:rFonts w:asciiTheme="minorHAnsi" w:hAnsiTheme="minorHAnsi" w:cstheme="minorHAnsi"/>
          <w:sz w:val="22"/>
          <w:szCs w:val="22"/>
          <w:lang w:val="hr-HR"/>
        </w:rPr>
        <w:t xml:space="preserve"> smatrao štetnim.</w:t>
      </w:r>
      <w:r w:rsidRPr="00CD3A2D">
        <w:rPr>
          <w:rFonts w:asciiTheme="minorHAnsi" w:hAnsiTheme="minorHAnsi" w:cstheme="minorHAnsi"/>
          <w:sz w:val="22"/>
          <w:szCs w:val="22"/>
          <w:lang w:val="hr-HR"/>
        </w:rPr>
        <w:t xml:space="preserve"> </w:t>
      </w:r>
    </w:p>
    <w:p w:rsidR="00247F48" w:rsidRPr="001567C8" w:rsidRDefault="00247F48" w:rsidP="003C6BA3">
      <w:pPr>
        <w:pStyle w:val="HTMLPreformatted"/>
        <w:jc w:val="both"/>
        <w:rPr>
          <w:rFonts w:asciiTheme="minorHAnsi" w:hAnsiTheme="minorHAnsi" w:cstheme="minorHAnsi"/>
          <w:color w:val="222222"/>
          <w:sz w:val="22"/>
          <w:szCs w:val="22"/>
        </w:rPr>
      </w:pPr>
    </w:p>
    <w:p w:rsidR="0023108B" w:rsidRPr="001567C8" w:rsidRDefault="0023108B">
      <w:pPr>
        <w:pStyle w:val="accountingpolicytitle"/>
        <w:rPr>
          <w:rFonts w:asciiTheme="minorHAnsi" w:hAnsiTheme="minorHAnsi" w:cstheme="minorHAnsi"/>
          <w:b w:val="0"/>
          <w:sz w:val="22"/>
          <w:szCs w:val="22"/>
          <w:lang w:val="hr-HR"/>
        </w:rPr>
      </w:pPr>
      <w:r w:rsidRPr="00CD3A2D">
        <w:rPr>
          <w:rFonts w:asciiTheme="minorHAnsi" w:hAnsiTheme="minorHAnsi" w:cstheme="minorHAnsi"/>
          <w:b w:val="0"/>
          <w:color w:val="222222"/>
          <w:sz w:val="22"/>
          <w:szCs w:val="22"/>
          <w:lang w:val="hr-HR"/>
        </w:rPr>
        <w:t xml:space="preserve">Obveze koje proizlaze iz obveza po </w:t>
      </w:r>
      <w:r w:rsidR="00247F48" w:rsidRPr="00CD3A2D">
        <w:rPr>
          <w:rFonts w:asciiTheme="minorHAnsi" w:hAnsiTheme="minorHAnsi" w:cstheme="minorHAnsi"/>
          <w:b w:val="0"/>
          <w:color w:val="222222"/>
          <w:sz w:val="22"/>
          <w:szCs w:val="22"/>
          <w:lang w:val="hr-HR"/>
        </w:rPr>
        <w:t xml:space="preserve">preuzetim </w:t>
      </w:r>
      <w:r w:rsidRPr="00CD3A2D">
        <w:rPr>
          <w:rFonts w:asciiTheme="minorHAnsi" w:hAnsiTheme="minorHAnsi" w:cstheme="minorHAnsi"/>
          <w:b w:val="0"/>
          <w:color w:val="222222"/>
          <w:sz w:val="22"/>
          <w:szCs w:val="22"/>
          <w:lang w:val="hr-HR"/>
        </w:rPr>
        <w:t>kreditima uključene su u rezerviranja.</w:t>
      </w:r>
    </w:p>
    <w:p w:rsidR="0023108B" w:rsidRPr="001567C8" w:rsidRDefault="0023108B" w:rsidP="00BD5797">
      <w:pPr>
        <w:pStyle w:val="accountingpolicytitle"/>
        <w:rPr>
          <w:rFonts w:asciiTheme="minorHAnsi" w:hAnsiTheme="minorHAnsi" w:cs="Arial"/>
          <w:sz w:val="22"/>
          <w:szCs w:val="22"/>
          <w:lang w:val="hr-HR"/>
        </w:rPr>
      </w:pPr>
    </w:p>
    <w:p w:rsidR="00BD5797" w:rsidRPr="001567C8" w:rsidRDefault="00BD5797" w:rsidP="00BD5797">
      <w:pPr>
        <w:pStyle w:val="accountingpolicytitle"/>
        <w:rPr>
          <w:rFonts w:asciiTheme="minorHAnsi" w:hAnsiTheme="minorHAnsi" w:cs="Arial"/>
          <w:sz w:val="22"/>
          <w:szCs w:val="22"/>
          <w:lang w:val="hr-HR"/>
        </w:rPr>
      </w:pPr>
      <w:r w:rsidRPr="001567C8">
        <w:rPr>
          <w:rFonts w:asciiTheme="minorHAnsi" w:hAnsiTheme="minorHAnsi" w:cs="Arial"/>
          <w:sz w:val="22"/>
          <w:szCs w:val="22"/>
          <w:lang w:val="hr-HR"/>
        </w:rPr>
        <w:t xml:space="preserve">N. Primanja zaposlenih </w:t>
      </w:r>
    </w:p>
    <w:p w:rsidR="00BD5797" w:rsidRPr="001567C8" w:rsidRDefault="00BD5797" w:rsidP="00BD5797">
      <w:pPr>
        <w:pStyle w:val="accountingpolicytitle"/>
        <w:rPr>
          <w:rFonts w:asciiTheme="minorHAnsi" w:hAnsiTheme="minorHAnsi" w:cs="Arial"/>
          <w:sz w:val="22"/>
          <w:szCs w:val="22"/>
          <w:lang w:val="hr-HR"/>
        </w:rPr>
      </w:pPr>
    </w:p>
    <w:p w:rsidR="0023108B" w:rsidRPr="00CD3A2D" w:rsidRDefault="0023108B" w:rsidP="00BD5797">
      <w:pPr>
        <w:jc w:val="both"/>
        <w:rPr>
          <w:rFonts w:asciiTheme="minorHAnsi" w:hAnsiTheme="minorHAnsi" w:cstheme="minorHAnsi"/>
          <w:color w:val="222222"/>
          <w:sz w:val="22"/>
          <w:szCs w:val="22"/>
          <w:lang w:val="hr-HR"/>
        </w:rPr>
      </w:pPr>
      <w:r w:rsidRPr="00CD3A2D">
        <w:rPr>
          <w:rFonts w:asciiTheme="minorHAnsi" w:hAnsiTheme="minorHAnsi" w:cstheme="minorHAnsi"/>
          <w:color w:val="222222"/>
          <w:sz w:val="22"/>
          <w:szCs w:val="22"/>
          <w:lang w:val="hr-HR"/>
        </w:rPr>
        <w:t>Grupa plaća doprinose u obvezne mirovinske planove na obveznoj, ugovornoj osnovi. Grupa nema daljnjih obveza plaćanja nakon uplate doprinosa. Doprinosi se priznaju kao rashodi za naknade zaposlenima kada dospijevaju</w:t>
      </w:r>
      <w:r w:rsidR="00F41875">
        <w:rPr>
          <w:rFonts w:asciiTheme="minorHAnsi" w:hAnsiTheme="minorHAnsi" w:cstheme="minorHAnsi"/>
          <w:color w:val="222222"/>
          <w:sz w:val="22"/>
          <w:szCs w:val="22"/>
          <w:lang w:val="hr-HR"/>
        </w:rPr>
        <w:t>.</w:t>
      </w:r>
    </w:p>
    <w:p w:rsidR="0023108B" w:rsidRPr="001567C8" w:rsidRDefault="0023108B" w:rsidP="00BD5797">
      <w:pPr>
        <w:jc w:val="both"/>
        <w:rPr>
          <w:rFonts w:asciiTheme="minorHAnsi" w:hAnsiTheme="minorHAnsi" w:cs="Arial"/>
          <w:sz w:val="22"/>
          <w:szCs w:val="22"/>
          <w:lang w:val="hr-HR"/>
        </w:rPr>
      </w:pPr>
    </w:p>
    <w:p w:rsidR="00BD5797" w:rsidRPr="001567C8" w:rsidRDefault="00BD5797" w:rsidP="00BD5797">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Grupa priznaje rezerviranje za druge obveze prema zaposlenicima kada postoji ugovorna obveza ili praksa iz prošlosti na temelju koje je nastala izvedena obveza. Nadalje, Grupa priznaje obvezu za akumulirane naknade za odsustvo s posla temeljem neiskorištenih dana godišnjeg odmora na da</w:t>
      </w:r>
      <w:r w:rsidR="008356C2" w:rsidRPr="001567C8">
        <w:rPr>
          <w:rFonts w:asciiTheme="minorHAnsi" w:hAnsiTheme="minorHAnsi" w:cs="Arial"/>
          <w:b w:val="0"/>
          <w:sz w:val="22"/>
          <w:szCs w:val="22"/>
          <w:lang w:val="hr-HR"/>
        </w:rPr>
        <w:t>tum</w:t>
      </w:r>
      <w:r w:rsidRPr="001567C8">
        <w:rPr>
          <w:rFonts w:asciiTheme="minorHAnsi" w:hAnsiTheme="minorHAnsi" w:cs="Arial"/>
          <w:b w:val="0"/>
          <w:sz w:val="22"/>
          <w:szCs w:val="22"/>
          <w:lang w:val="hr-HR"/>
        </w:rPr>
        <w:t xml:space="preserve"> financijskih izvještaja.</w:t>
      </w:r>
    </w:p>
    <w:p w:rsidR="00BD5797" w:rsidRPr="001567C8" w:rsidRDefault="00BD5797" w:rsidP="00BD5797">
      <w:pPr>
        <w:pStyle w:val="accountingpolicytitle"/>
        <w:rPr>
          <w:rFonts w:asciiTheme="minorHAnsi" w:hAnsiTheme="minorHAnsi" w:cs="Arial"/>
          <w:sz w:val="22"/>
          <w:szCs w:val="22"/>
          <w:lang w:val="hr-HR"/>
        </w:rPr>
      </w:pPr>
    </w:p>
    <w:p w:rsidR="00BD5797" w:rsidRPr="001567C8" w:rsidRDefault="00BD5797" w:rsidP="00BD5797">
      <w:pPr>
        <w:pStyle w:val="accountingpolicytitle"/>
        <w:rPr>
          <w:rFonts w:asciiTheme="minorHAnsi" w:hAnsiTheme="minorHAnsi" w:cs="Arial"/>
          <w:sz w:val="22"/>
          <w:szCs w:val="22"/>
          <w:lang w:val="hr-HR"/>
        </w:rPr>
      </w:pPr>
    </w:p>
    <w:p w:rsidR="00DD4194" w:rsidRPr="001567C8" w:rsidRDefault="00DD4194" w:rsidP="005D12B5">
      <w:pPr>
        <w:pStyle w:val="T1"/>
        <w:tabs>
          <w:tab w:val="right" w:pos="9781"/>
        </w:tabs>
        <w:spacing w:before="0" w:after="0" w:line="240" w:lineRule="auto"/>
        <w:rPr>
          <w:rFonts w:asciiTheme="minorHAnsi" w:hAnsiTheme="minorHAnsi" w:cs="Arial"/>
          <w:b w:val="0"/>
          <w:sz w:val="22"/>
          <w:szCs w:val="22"/>
          <w:lang w:val="hr-HR"/>
        </w:rPr>
        <w:sectPr w:rsidR="00DD4194" w:rsidRPr="001567C8" w:rsidSect="000D6913">
          <w:pgSz w:w="11907" w:h="16840" w:code="9"/>
          <w:pgMar w:top="1418" w:right="1134" w:bottom="1134" w:left="1418" w:header="851" w:footer="851" w:gutter="0"/>
          <w:cols w:space="720"/>
          <w:noEndnote/>
        </w:sectPr>
      </w:pPr>
    </w:p>
    <w:p w:rsidR="00DD4194" w:rsidRPr="001567C8" w:rsidRDefault="00DD4194" w:rsidP="005D12B5">
      <w:pPr>
        <w:pStyle w:val="T1"/>
        <w:tabs>
          <w:tab w:val="right" w:pos="9781"/>
        </w:tabs>
        <w:spacing w:before="0" w:after="0" w:line="240" w:lineRule="auto"/>
        <w:rPr>
          <w:rFonts w:asciiTheme="minorHAnsi" w:hAnsiTheme="minorHAnsi" w:cs="Arial"/>
          <w:b w:val="0"/>
          <w:sz w:val="22"/>
          <w:szCs w:val="22"/>
          <w:lang w:val="hr-HR"/>
        </w:rPr>
      </w:pPr>
    </w:p>
    <w:p w:rsidR="00A74B18" w:rsidRPr="00CD3A2D" w:rsidRDefault="00A74B18" w:rsidP="00A74B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BD5797" w:rsidRPr="001567C8" w:rsidRDefault="00BD5797" w:rsidP="00DD4194">
      <w:pPr>
        <w:pStyle w:val="T1"/>
        <w:tabs>
          <w:tab w:val="left" w:pos="567"/>
        </w:tabs>
        <w:spacing w:before="0" w:after="0" w:line="240" w:lineRule="auto"/>
        <w:rPr>
          <w:rFonts w:asciiTheme="minorHAnsi" w:hAnsiTheme="minorHAnsi" w:cs="Arial"/>
          <w:sz w:val="22"/>
          <w:szCs w:val="22"/>
          <w:lang w:val="hr-HR"/>
        </w:rPr>
      </w:pPr>
    </w:p>
    <w:p w:rsidR="00DD4194" w:rsidRPr="001567C8" w:rsidRDefault="00A74B18" w:rsidP="00364623">
      <w:pPr>
        <w:pStyle w:val="T1"/>
        <w:tabs>
          <w:tab w:val="left" w:pos="567"/>
        </w:tabs>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4.2. Značajne računovodstvene politike (nastavak)</w:t>
      </w:r>
    </w:p>
    <w:p w:rsidR="00DD4194" w:rsidRPr="001567C8" w:rsidRDefault="00DD4194" w:rsidP="00DD4194">
      <w:pPr>
        <w:pStyle w:val="accountingpolicytitle"/>
        <w:rPr>
          <w:rFonts w:asciiTheme="minorHAnsi" w:hAnsiTheme="minorHAnsi" w:cs="Arial"/>
          <w:sz w:val="22"/>
          <w:szCs w:val="22"/>
          <w:lang w:val="hr-HR"/>
        </w:rPr>
      </w:pPr>
    </w:p>
    <w:p w:rsidR="00A74B18" w:rsidRPr="001567C8" w:rsidRDefault="00920EAE" w:rsidP="00A74B18">
      <w:pPr>
        <w:pStyle w:val="accountingpolicytitle"/>
        <w:rPr>
          <w:rFonts w:asciiTheme="minorHAnsi" w:hAnsiTheme="minorHAnsi" w:cs="Arial"/>
          <w:bCs/>
          <w:sz w:val="22"/>
          <w:szCs w:val="22"/>
          <w:lang w:val="hr-HR"/>
        </w:rPr>
      </w:pPr>
      <w:r w:rsidRPr="001567C8">
        <w:rPr>
          <w:rFonts w:asciiTheme="minorHAnsi" w:hAnsiTheme="minorHAnsi" w:cs="Arial"/>
          <w:sz w:val="22"/>
          <w:szCs w:val="22"/>
          <w:lang w:val="hr-HR"/>
        </w:rPr>
        <w:t>O</w:t>
      </w:r>
      <w:r w:rsidR="00A74B18" w:rsidRPr="001567C8">
        <w:rPr>
          <w:rFonts w:asciiTheme="minorHAnsi" w:hAnsiTheme="minorHAnsi" w:cs="Arial"/>
          <w:sz w:val="22"/>
          <w:szCs w:val="22"/>
          <w:lang w:val="hr-HR"/>
        </w:rPr>
        <w:t xml:space="preserve">. </w:t>
      </w:r>
      <w:r w:rsidR="00A74B18" w:rsidRPr="001567C8">
        <w:rPr>
          <w:rFonts w:asciiTheme="minorHAnsi" w:hAnsiTheme="minorHAnsi" w:cs="Arial"/>
          <w:bCs/>
          <w:sz w:val="22"/>
          <w:szCs w:val="22"/>
          <w:lang w:val="hr-HR"/>
        </w:rPr>
        <w:t>Izvještavanje po segmentima</w:t>
      </w:r>
    </w:p>
    <w:p w:rsidR="00A74B18" w:rsidRPr="001567C8" w:rsidRDefault="00A74B18" w:rsidP="00A74B18">
      <w:pPr>
        <w:pStyle w:val="accountingpolicytitle"/>
        <w:rPr>
          <w:rFonts w:asciiTheme="minorHAnsi" w:hAnsiTheme="minorHAnsi" w:cs="Arial"/>
          <w:bCs/>
          <w:sz w:val="22"/>
          <w:szCs w:val="22"/>
          <w:lang w:val="hr-HR"/>
        </w:rPr>
      </w:pPr>
    </w:p>
    <w:p w:rsidR="00A74B18" w:rsidRPr="00CD3A2D" w:rsidRDefault="00A74B18" w:rsidP="00A74B18">
      <w:pPr>
        <w:jc w:val="both"/>
        <w:rPr>
          <w:rFonts w:asciiTheme="minorHAnsi" w:hAnsiTheme="minorHAnsi" w:cstheme="minorHAnsi"/>
          <w:color w:val="222222"/>
          <w:sz w:val="22"/>
          <w:szCs w:val="22"/>
          <w:lang w:val="hr-HR"/>
        </w:rPr>
      </w:pPr>
      <w:r w:rsidRPr="00CD3A2D">
        <w:rPr>
          <w:rFonts w:asciiTheme="minorHAnsi" w:hAnsiTheme="minorHAnsi" w:cstheme="minorHAnsi"/>
          <w:color w:val="222222"/>
          <w:sz w:val="22"/>
          <w:szCs w:val="22"/>
          <w:lang w:val="hr-HR"/>
        </w:rPr>
        <w:t xml:space="preserve">Segment je prepoznatljiva komponenta Grupe koja se bavi ili pružanjem proizvoda ili usluga (poslovni segment), ili pružanjem proizvoda ili usluga unutar određenog gospodarskog okruženja (zemljopisnog segmenta), koji su podložni rizicima i </w:t>
      </w:r>
      <w:r w:rsidR="00FE71C8" w:rsidRPr="00CD3A2D">
        <w:rPr>
          <w:rFonts w:asciiTheme="minorHAnsi" w:hAnsiTheme="minorHAnsi" w:cstheme="minorHAnsi"/>
          <w:color w:val="222222"/>
          <w:sz w:val="22"/>
          <w:szCs w:val="22"/>
          <w:lang w:val="hr-HR"/>
        </w:rPr>
        <w:t>koristima</w:t>
      </w:r>
      <w:r w:rsidRPr="00CD3A2D">
        <w:rPr>
          <w:rFonts w:asciiTheme="minorHAnsi" w:hAnsiTheme="minorHAnsi" w:cstheme="minorHAnsi"/>
          <w:color w:val="222222"/>
          <w:sz w:val="22"/>
          <w:szCs w:val="22"/>
          <w:lang w:val="hr-HR"/>
        </w:rPr>
        <w:t xml:space="preserve"> različitima od onih </w:t>
      </w:r>
      <w:r w:rsidR="00BD5797" w:rsidRPr="00CD3A2D">
        <w:rPr>
          <w:rFonts w:asciiTheme="minorHAnsi" w:hAnsiTheme="minorHAnsi" w:cstheme="minorHAnsi"/>
          <w:color w:val="222222"/>
          <w:sz w:val="22"/>
          <w:szCs w:val="22"/>
          <w:lang w:val="hr-HR"/>
        </w:rPr>
        <w:t>u drugim segmentima</w:t>
      </w:r>
      <w:r w:rsidRPr="00CD3A2D">
        <w:rPr>
          <w:rFonts w:asciiTheme="minorHAnsi" w:hAnsiTheme="minorHAnsi" w:cstheme="minorHAnsi"/>
          <w:color w:val="222222"/>
          <w:sz w:val="22"/>
          <w:szCs w:val="22"/>
          <w:lang w:val="hr-HR"/>
        </w:rPr>
        <w:t>. Informacije o ograničen</w:t>
      </w:r>
      <w:r w:rsidR="00BD5797" w:rsidRPr="00CD3A2D">
        <w:rPr>
          <w:rFonts w:asciiTheme="minorHAnsi" w:hAnsiTheme="minorHAnsi" w:cstheme="minorHAnsi"/>
          <w:color w:val="222222"/>
          <w:sz w:val="22"/>
          <w:szCs w:val="22"/>
          <w:lang w:val="hr-HR"/>
        </w:rPr>
        <w:t>o</w:t>
      </w:r>
      <w:r w:rsidRPr="00CD3A2D">
        <w:rPr>
          <w:rFonts w:asciiTheme="minorHAnsi" w:hAnsiTheme="minorHAnsi" w:cstheme="minorHAnsi"/>
          <w:color w:val="222222"/>
          <w:sz w:val="22"/>
          <w:szCs w:val="22"/>
          <w:lang w:val="hr-HR"/>
        </w:rPr>
        <w:t>m segment</w:t>
      </w:r>
      <w:r w:rsidR="00BD5797" w:rsidRPr="00CD3A2D">
        <w:rPr>
          <w:rFonts w:asciiTheme="minorHAnsi" w:hAnsiTheme="minorHAnsi" w:cstheme="minorHAnsi"/>
          <w:color w:val="222222"/>
          <w:sz w:val="22"/>
          <w:szCs w:val="22"/>
          <w:lang w:val="hr-HR"/>
        </w:rPr>
        <w:t>u</w:t>
      </w:r>
      <w:r w:rsidRPr="00CD3A2D">
        <w:rPr>
          <w:rFonts w:asciiTheme="minorHAnsi" w:hAnsiTheme="minorHAnsi" w:cstheme="minorHAnsi"/>
          <w:color w:val="222222"/>
          <w:sz w:val="22"/>
          <w:szCs w:val="22"/>
          <w:lang w:val="hr-HR"/>
        </w:rPr>
        <w:t xml:space="preserve"> prikazane su u odnosu na poslovne segmente Grupe. Primarni format poslovnih segmenata temelji se na </w:t>
      </w:r>
      <w:r w:rsidR="008356C2" w:rsidRPr="00CD3A2D">
        <w:rPr>
          <w:rFonts w:asciiTheme="minorHAnsi" w:hAnsiTheme="minorHAnsi" w:cstheme="minorHAnsi"/>
          <w:color w:val="222222"/>
          <w:sz w:val="22"/>
          <w:szCs w:val="22"/>
          <w:lang w:val="hr-HR"/>
        </w:rPr>
        <w:t xml:space="preserve">Bančinoj strukturi menadžmenta </w:t>
      </w:r>
      <w:r w:rsidR="00D243E1" w:rsidRPr="00CD3A2D">
        <w:rPr>
          <w:rFonts w:asciiTheme="minorHAnsi" w:hAnsiTheme="minorHAnsi" w:cstheme="minorHAnsi"/>
          <w:color w:val="222222"/>
          <w:sz w:val="22"/>
          <w:szCs w:val="22"/>
          <w:lang w:val="hr-HR"/>
        </w:rPr>
        <w:t>i</w:t>
      </w:r>
      <w:r w:rsidR="008356C2" w:rsidRPr="00CD3A2D">
        <w:rPr>
          <w:rFonts w:asciiTheme="minorHAnsi" w:hAnsiTheme="minorHAnsi" w:cstheme="minorHAnsi"/>
          <w:color w:val="222222"/>
          <w:sz w:val="22"/>
          <w:szCs w:val="22"/>
          <w:lang w:val="hr-HR"/>
        </w:rPr>
        <w:t xml:space="preserve"> strukturi internog izvještavanja</w:t>
      </w:r>
      <w:r w:rsidRPr="00CD3A2D">
        <w:rPr>
          <w:rFonts w:asciiTheme="minorHAnsi" w:hAnsiTheme="minorHAnsi" w:cstheme="minorHAnsi"/>
          <w:color w:val="222222"/>
          <w:sz w:val="22"/>
          <w:szCs w:val="22"/>
          <w:lang w:val="hr-HR"/>
        </w:rPr>
        <w:t>.</w:t>
      </w:r>
    </w:p>
    <w:p w:rsidR="00A74B18" w:rsidRPr="001567C8" w:rsidRDefault="00A74B18" w:rsidP="00A74B18">
      <w:pPr>
        <w:jc w:val="both"/>
        <w:rPr>
          <w:rFonts w:asciiTheme="minorHAnsi" w:hAnsiTheme="minorHAnsi" w:cstheme="minorHAnsi"/>
          <w:sz w:val="22"/>
          <w:szCs w:val="22"/>
          <w:lang w:val="hr-HR"/>
        </w:rPr>
      </w:pPr>
    </w:p>
    <w:p w:rsidR="00A74B18" w:rsidRPr="001567C8" w:rsidRDefault="00A74B18" w:rsidP="00A74B18">
      <w:pPr>
        <w:jc w:val="both"/>
        <w:rPr>
          <w:rFonts w:asciiTheme="minorHAnsi" w:hAnsiTheme="minorHAnsi" w:cs="Arial"/>
          <w:sz w:val="22"/>
          <w:szCs w:val="22"/>
          <w:lang w:val="hr-HR"/>
        </w:rPr>
      </w:pPr>
      <w:r w:rsidRPr="001567C8">
        <w:rPr>
          <w:rFonts w:asciiTheme="minorHAnsi" w:hAnsiTheme="minorHAnsi" w:cs="Arial"/>
          <w:sz w:val="22"/>
          <w:szCs w:val="22"/>
          <w:lang w:val="hr-HR"/>
        </w:rPr>
        <w:t>Grupa je identificirala tri glavna segmenta: bankarske aktivnosti, osiguravateljske aktivnosti i ostale aktivnosti.</w:t>
      </w:r>
    </w:p>
    <w:p w:rsidR="00A74B18" w:rsidRPr="001567C8" w:rsidRDefault="00A74B18" w:rsidP="00A74B18">
      <w:pPr>
        <w:jc w:val="both"/>
        <w:rPr>
          <w:rFonts w:asciiTheme="minorHAnsi" w:hAnsiTheme="minorHAnsi" w:cs="Arial"/>
          <w:sz w:val="22"/>
          <w:szCs w:val="22"/>
          <w:lang w:val="hr-HR"/>
        </w:rPr>
      </w:pPr>
    </w:p>
    <w:p w:rsidR="00A74B18" w:rsidRPr="001567C8" w:rsidRDefault="00A74B18" w:rsidP="00A74B18">
      <w:pPr>
        <w:jc w:val="both"/>
        <w:rPr>
          <w:rFonts w:asciiTheme="minorHAnsi" w:hAnsiTheme="minorHAnsi" w:cs="Arial"/>
          <w:sz w:val="22"/>
          <w:szCs w:val="22"/>
          <w:lang w:val="hr-HR"/>
        </w:rPr>
      </w:pPr>
      <w:r w:rsidRPr="001567C8">
        <w:rPr>
          <w:rFonts w:asciiTheme="minorHAnsi" w:hAnsiTheme="minorHAnsi" w:cs="Arial"/>
          <w:sz w:val="22"/>
          <w:szCs w:val="22"/>
          <w:lang w:val="hr-HR"/>
        </w:rPr>
        <w:t>Kako Grupa većinom posluje u Hrvatskoj ne postoje sekundarni (zemljopisni) segmenti.</w:t>
      </w:r>
    </w:p>
    <w:p w:rsidR="00DD4194" w:rsidRPr="001567C8" w:rsidRDefault="00DD4194" w:rsidP="005D12B5">
      <w:pPr>
        <w:pStyle w:val="accountingpolicytitle"/>
        <w:rPr>
          <w:rFonts w:asciiTheme="minorHAnsi" w:hAnsiTheme="minorHAnsi" w:cs="Arial"/>
          <w:bCs/>
          <w:sz w:val="22"/>
          <w:szCs w:val="22"/>
          <w:lang w:val="hr-HR"/>
        </w:rPr>
      </w:pPr>
    </w:p>
    <w:p w:rsidR="00D1333E" w:rsidRPr="001567C8" w:rsidRDefault="00920EAE" w:rsidP="00D1333E">
      <w:pPr>
        <w:pStyle w:val="accountingpolicytitle"/>
        <w:rPr>
          <w:rFonts w:asciiTheme="minorHAnsi" w:hAnsiTheme="minorHAnsi" w:cs="Arial"/>
          <w:sz w:val="22"/>
          <w:szCs w:val="22"/>
          <w:lang w:val="hr-HR"/>
        </w:rPr>
      </w:pPr>
      <w:r w:rsidRPr="001567C8">
        <w:rPr>
          <w:rFonts w:asciiTheme="minorHAnsi" w:hAnsiTheme="minorHAnsi" w:cs="Arial"/>
          <w:bCs/>
          <w:sz w:val="22"/>
          <w:szCs w:val="22"/>
          <w:lang w:val="hr-HR"/>
        </w:rPr>
        <w:t>P</w:t>
      </w:r>
      <w:r w:rsidR="00D1333E" w:rsidRPr="001567C8">
        <w:rPr>
          <w:rFonts w:asciiTheme="minorHAnsi" w:hAnsiTheme="minorHAnsi" w:cs="Arial"/>
          <w:bCs/>
          <w:sz w:val="22"/>
          <w:szCs w:val="22"/>
          <w:lang w:val="hr-HR"/>
        </w:rPr>
        <w:t>. Poslovi u ime i za račun trećih strana</w:t>
      </w:r>
    </w:p>
    <w:p w:rsidR="00D1333E" w:rsidRPr="001567C8" w:rsidRDefault="00D1333E" w:rsidP="00D1333E">
      <w:pPr>
        <w:pStyle w:val="T1"/>
        <w:keepNext w:val="0"/>
        <w:spacing w:before="0" w:after="0" w:line="240" w:lineRule="auto"/>
        <w:rPr>
          <w:rFonts w:asciiTheme="minorHAnsi" w:hAnsiTheme="minorHAnsi" w:cs="Arial"/>
          <w:b w:val="0"/>
          <w:sz w:val="22"/>
          <w:szCs w:val="22"/>
          <w:lang w:val="hr-HR"/>
        </w:rPr>
      </w:pPr>
    </w:p>
    <w:p w:rsidR="00D1333E" w:rsidRPr="001567C8" w:rsidRDefault="00D1333E" w:rsidP="00D1333E">
      <w:pPr>
        <w:pStyle w:val="T1"/>
        <w:keepNext w:val="0"/>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Banka upravlja značajnim sredstvima u ime i za račun Ministarstva financija, Ministarstva gospodarstva, poduzetništva i obrta, Ministarstva mora, prometa i infrastrukture, Ministarstva poljoprivrede, Ministarstva regionalnoga razvoja i fondova Europske unije,  Ministarstvo zaštite okoliša i energetike, Vodovoda i kanalizacije d.o.o., Split</w:t>
      </w:r>
      <w:r w:rsidR="00C8206B" w:rsidRPr="001567C8">
        <w:rPr>
          <w:rFonts w:asciiTheme="minorHAnsi" w:hAnsiTheme="minorHAnsi" w:cs="Arial"/>
          <w:b w:val="0"/>
          <w:sz w:val="22"/>
          <w:szCs w:val="22"/>
          <w:lang w:val="hr-HR"/>
        </w:rPr>
        <w:t xml:space="preserve">, </w:t>
      </w:r>
      <w:r w:rsidRPr="001567C8">
        <w:rPr>
          <w:rFonts w:asciiTheme="minorHAnsi" w:hAnsiTheme="minorHAnsi" w:cs="Arial"/>
          <w:b w:val="0"/>
          <w:sz w:val="22"/>
          <w:szCs w:val="22"/>
          <w:lang w:val="hr-HR"/>
        </w:rPr>
        <w:t>Hrvatske agencije za malo gospodarstvo, inovacije i investicije (HAMAG-BICRO)</w:t>
      </w:r>
      <w:r w:rsidR="00EA59C5" w:rsidRPr="001567C8">
        <w:rPr>
          <w:rFonts w:asciiTheme="minorHAnsi" w:hAnsiTheme="minorHAnsi" w:cs="Arial"/>
          <w:b w:val="0"/>
          <w:sz w:val="22"/>
          <w:szCs w:val="22"/>
          <w:lang w:val="hr-HR"/>
        </w:rPr>
        <w:t xml:space="preserve"> te poslovnih banaka</w:t>
      </w:r>
      <w:r w:rsidRPr="001567C8">
        <w:rPr>
          <w:rFonts w:asciiTheme="minorHAnsi" w:hAnsiTheme="minorHAnsi" w:cs="Arial"/>
          <w:b w:val="0"/>
          <w:sz w:val="22"/>
          <w:szCs w:val="22"/>
          <w:lang w:val="hr-HR"/>
        </w:rPr>
        <w:t xml:space="preserve"> koja se uglavnom koriste za kreditiranje programa obnove i razvitka. </w:t>
      </w:r>
    </w:p>
    <w:p w:rsidR="00D1333E" w:rsidRPr="001567C8" w:rsidRDefault="00D1333E" w:rsidP="00D1333E">
      <w:pPr>
        <w:pStyle w:val="T1"/>
        <w:keepNext w:val="0"/>
        <w:spacing w:before="0" w:after="0" w:line="240" w:lineRule="auto"/>
        <w:rPr>
          <w:rFonts w:asciiTheme="minorHAnsi" w:hAnsiTheme="minorHAnsi" w:cs="Arial"/>
          <w:b w:val="0"/>
          <w:bCs w:val="0"/>
          <w:sz w:val="22"/>
          <w:szCs w:val="22"/>
          <w:lang w:val="hr-HR"/>
        </w:rPr>
      </w:pPr>
    </w:p>
    <w:p w:rsidR="00D1333E" w:rsidRPr="001567C8" w:rsidRDefault="00D1333E" w:rsidP="00D1333E">
      <w:pPr>
        <w:pStyle w:val="accountingpolicytitle"/>
        <w:rPr>
          <w:rFonts w:asciiTheme="minorHAnsi" w:hAnsiTheme="minorHAnsi" w:cs="Arial"/>
          <w:b w:val="0"/>
          <w:sz w:val="22"/>
          <w:szCs w:val="22"/>
          <w:lang w:val="hr-HR"/>
        </w:rPr>
      </w:pPr>
      <w:r w:rsidRPr="001567C8">
        <w:rPr>
          <w:rFonts w:asciiTheme="minorHAnsi" w:hAnsiTheme="minorHAnsi" w:cs="Arial"/>
          <w:b w:val="0"/>
          <w:sz w:val="22"/>
          <w:szCs w:val="22"/>
          <w:lang w:val="hr-HR"/>
        </w:rPr>
        <w:t>Ti iznosi ne predstavljaju imovinu Banke te su isključeni iz Izvještaja o financijskom položaju i vode se odvojeno od poslovanja Banke.</w:t>
      </w:r>
    </w:p>
    <w:p w:rsidR="00D1333E" w:rsidRPr="001567C8" w:rsidRDefault="00D1333E" w:rsidP="00D1333E">
      <w:pPr>
        <w:pStyle w:val="accountingpolicytitle"/>
        <w:rPr>
          <w:rFonts w:asciiTheme="minorHAnsi" w:hAnsiTheme="minorHAnsi" w:cs="Arial"/>
          <w:bCs/>
          <w:sz w:val="22"/>
          <w:szCs w:val="22"/>
          <w:lang w:val="hr-HR"/>
        </w:rPr>
      </w:pPr>
    </w:p>
    <w:p w:rsidR="00D1333E" w:rsidRPr="001567C8" w:rsidRDefault="00D1333E" w:rsidP="00D1333E">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sz w:val="22"/>
          <w:szCs w:val="22"/>
          <w:lang w:val="hr-HR"/>
        </w:rPr>
        <w:t>Prihodi i rashodi po tom poslovanju terete nalogodavca, a Banka po tim poslovima ne snosi druge obveze i rizike. Za svoje usluge Banka po određenim programima naplaćuje naknadu, dok određene programe vodi bez naknade</w:t>
      </w:r>
      <w:r w:rsidRPr="001567C8">
        <w:rPr>
          <w:rFonts w:asciiTheme="minorHAnsi" w:hAnsiTheme="minorHAnsi" w:cs="Arial"/>
          <w:b w:val="0"/>
          <w:bCs w:val="0"/>
          <w:sz w:val="22"/>
          <w:szCs w:val="22"/>
          <w:lang w:val="hr-HR"/>
        </w:rPr>
        <w:t xml:space="preserve"> (vidi bilješku 34</w:t>
      </w:r>
      <w:r w:rsidR="009D2028" w:rsidRPr="001567C8">
        <w:rPr>
          <w:rFonts w:asciiTheme="minorHAnsi" w:hAnsiTheme="minorHAnsi" w:cs="Arial"/>
          <w:b w:val="0"/>
          <w:bCs w:val="0"/>
          <w:sz w:val="22"/>
          <w:szCs w:val="22"/>
          <w:lang w:val="hr-HR"/>
        </w:rPr>
        <w:t>.</w:t>
      </w:r>
      <w:r w:rsidRPr="001567C8">
        <w:rPr>
          <w:rFonts w:asciiTheme="minorHAnsi" w:hAnsiTheme="minorHAnsi" w:cs="Arial"/>
          <w:b w:val="0"/>
          <w:bCs w:val="0"/>
          <w:sz w:val="22"/>
          <w:szCs w:val="22"/>
          <w:lang w:val="hr-HR"/>
        </w:rPr>
        <w:t>).</w:t>
      </w:r>
    </w:p>
    <w:p w:rsidR="00D1333E" w:rsidRPr="001567C8" w:rsidRDefault="00D1333E" w:rsidP="00D1333E">
      <w:pPr>
        <w:pStyle w:val="accountingpolicytitle"/>
        <w:rPr>
          <w:rFonts w:asciiTheme="minorHAnsi" w:hAnsiTheme="minorHAnsi" w:cs="Arial"/>
          <w:bCs/>
          <w:sz w:val="22"/>
          <w:szCs w:val="22"/>
          <w:lang w:val="hr-HR"/>
        </w:rPr>
        <w:sectPr w:rsidR="00D1333E" w:rsidRPr="001567C8" w:rsidSect="000D6913">
          <w:pgSz w:w="11907" w:h="16840" w:code="9"/>
          <w:pgMar w:top="1418" w:right="1134" w:bottom="1134" w:left="1418" w:header="851" w:footer="851" w:gutter="0"/>
          <w:cols w:space="720"/>
          <w:noEndnote/>
        </w:sectPr>
      </w:pPr>
    </w:p>
    <w:p w:rsidR="001B0C35" w:rsidRPr="001567C8" w:rsidRDefault="001B0C35" w:rsidP="005D12B5">
      <w:pPr>
        <w:pStyle w:val="accountingpolicytitle"/>
        <w:rPr>
          <w:rFonts w:asciiTheme="minorHAnsi" w:hAnsiTheme="minorHAnsi" w:cs="Arial"/>
          <w:bCs/>
          <w:sz w:val="22"/>
          <w:szCs w:val="22"/>
          <w:lang w:val="hr-HR"/>
        </w:rPr>
      </w:pPr>
    </w:p>
    <w:p w:rsidR="00B04826" w:rsidRPr="00CD3A2D" w:rsidRDefault="00B04826" w:rsidP="00B048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B04826" w:rsidRPr="001567C8" w:rsidRDefault="00B04826" w:rsidP="00B04826">
      <w:pPr>
        <w:pStyle w:val="T1"/>
        <w:keepNext w:val="0"/>
        <w:spacing w:before="0" w:after="0" w:line="240" w:lineRule="auto"/>
        <w:rPr>
          <w:rFonts w:asciiTheme="minorHAnsi" w:hAnsiTheme="minorHAnsi" w:cstheme="minorHAnsi"/>
          <w:sz w:val="22"/>
          <w:szCs w:val="22"/>
          <w:lang w:val="hr-HR"/>
        </w:rPr>
      </w:pPr>
    </w:p>
    <w:p w:rsidR="00B04826" w:rsidRPr="00CD3A2D" w:rsidRDefault="00B04826" w:rsidP="00B04826">
      <w:pPr>
        <w:ind w:left="567" w:hanging="567"/>
        <w:jc w:val="both"/>
        <w:rPr>
          <w:rFonts w:asciiTheme="minorHAnsi" w:hAnsiTheme="minorHAnsi" w:cstheme="minorHAnsi"/>
          <w:b/>
          <w:sz w:val="22"/>
          <w:szCs w:val="22"/>
          <w:lang w:val="hr-HR"/>
        </w:rPr>
      </w:pPr>
      <w:r w:rsidRPr="001567C8">
        <w:rPr>
          <w:rFonts w:asciiTheme="minorHAnsi" w:hAnsiTheme="minorHAnsi" w:cstheme="minorHAnsi"/>
          <w:b/>
          <w:sz w:val="22"/>
          <w:szCs w:val="22"/>
          <w:lang w:val="hr-HR"/>
        </w:rPr>
        <w:t>4.3.</w:t>
      </w:r>
      <w:r w:rsidRPr="00CD3A2D">
        <w:rPr>
          <w:rFonts w:cs="Arial"/>
          <w:b/>
          <w:lang w:val="hr-HR"/>
        </w:rPr>
        <w:t xml:space="preserve"> </w:t>
      </w:r>
      <w:r w:rsidRPr="00CD3A2D">
        <w:rPr>
          <w:rFonts w:asciiTheme="minorHAnsi" w:hAnsiTheme="minorHAnsi" w:cstheme="minorHAnsi"/>
          <w:b/>
          <w:sz w:val="22"/>
          <w:szCs w:val="22"/>
          <w:lang w:val="hr-HR"/>
        </w:rPr>
        <w:t xml:space="preserve">Standardi, dodaci i tumačenja postojećih standarda koja nisu još na snazi i koji nisu bili primijenjeni u pripremi ovih financijskih izvještaja </w:t>
      </w:r>
    </w:p>
    <w:p w:rsidR="00B04826" w:rsidRPr="001567C8" w:rsidRDefault="00B04826" w:rsidP="00B04826">
      <w:pPr>
        <w:pStyle w:val="T1"/>
        <w:keepNext w:val="0"/>
        <w:spacing w:before="0" w:after="0" w:line="240" w:lineRule="auto"/>
        <w:rPr>
          <w:rFonts w:asciiTheme="minorHAnsi" w:hAnsiTheme="minorHAnsi" w:cstheme="minorHAnsi"/>
          <w:sz w:val="22"/>
          <w:szCs w:val="22"/>
          <w:lang w:val="hr-HR"/>
        </w:rPr>
      </w:pPr>
    </w:p>
    <w:p w:rsidR="00AD3755" w:rsidRPr="001567C8" w:rsidRDefault="00AD3755" w:rsidP="00AD3755">
      <w:pPr>
        <w:pStyle w:val="sez"/>
        <w:keepLines w:val="0"/>
        <w:spacing w:before="0" w:after="120" w:line="240" w:lineRule="auto"/>
        <w:rPr>
          <w:rFonts w:ascii="Calibri" w:eastAsia="PMingLiU" w:hAnsi="Calibri" w:cs="Arial"/>
          <w:b w:val="0"/>
          <w:color w:val="000000"/>
          <w:sz w:val="22"/>
          <w:lang w:val="hr-HR" w:eastAsia="hr-HR" w:bidi="hr-HR"/>
        </w:rPr>
      </w:pPr>
      <w:r w:rsidRPr="001567C8">
        <w:rPr>
          <w:rFonts w:ascii="Calibri" w:eastAsia="PMingLiU" w:hAnsi="Calibri" w:cs="Arial"/>
          <w:b w:val="0"/>
          <w:color w:val="000000"/>
          <w:sz w:val="22"/>
          <w:lang w:val="hr-HR" w:eastAsia="hr-HR" w:bidi="hr-HR"/>
        </w:rPr>
        <w:t xml:space="preserve">Brojni novi standardi i dodaci standardima su na snazi za godišnja razdoblja koja počinju nakon 1. siječnja 2018. i ranija primjena je dopuštena; međutim, Grupa ih nije ranije usvojila prilikom pripreme ovih konsolidiranih financijskih izvještaja. </w:t>
      </w:r>
    </w:p>
    <w:p w:rsidR="00AD3755" w:rsidRPr="00CD3A2D" w:rsidRDefault="00AD3755" w:rsidP="00AD3755">
      <w:pPr>
        <w:pStyle w:val="T1"/>
        <w:keepNext w:val="0"/>
        <w:spacing w:before="0" w:after="0" w:line="240" w:lineRule="auto"/>
        <w:rPr>
          <w:rFonts w:asciiTheme="minorHAnsi" w:hAnsiTheme="minorHAnsi" w:cstheme="minorHAnsi"/>
          <w:b w:val="0"/>
          <w:color w:val="222222"/>
          <w:sz w:val="22"/>
          <w:szCs w:val="22"/>
          <w:lang w:val="hr-HR"/>
        </w:rPr>
      </w:pPr>
      <w:r w:rsidRPr="00CD3A2D">
        <w:rPr>
          <w:rFonts w:asciiTheme="minorHAnsi" w:hAnsiTheme="minorHAnsi" w:cstheme="minorHAnsi"/>
          <w:b w:val="0"/>
          <w:color w:val="222222"/>
          <w:sz w:val="22"/>
          <w:szCs w:val="22"/>
          <w:lang w:val="hr-HR"/>
        </w:rPr>
        <w:t>Od standarda koji još nisu na snazi, Grupa planira primijeniti MSFI 16 Najmovi od 1. siječnja 2019. godine.</w:t>
      </w:r>
    </w:p>
    <w:p w:rsidR="00AD3755" w:rsidRPr="001567C8" w:rsidRDefault="00AD3755" w:rsidP="00AD3755">
      <w:pPr>
        <w:pStyle w:val="T1"/>
        <w:keepNext w:val="0"/>
        <w:spacing w:before="0" w:after="0" w:line="240" w:lineRule="auto"/>
        <w:rPr>
          <w:rFonts w:asciiTheme="minorHAnsi" w:hAnsiTheme="minorHAnsi" w:cstheme="minorHAnsi"/>
          <w:b w:val="0"/>
          <w:sz w:val="22"/>
          <w:szCs w:val="22"/>
          <w:lang w:val="hr-HR"/>
        </w:rPr>
      </w:pPr>
    </w:p>
    <w:p w:rsidR="00AD3755" w:rsidRPr="001567C8" w:rsidRDefault="00AD3755" w:rsidP="00AD3755">
      <w:pPr>
        <w:pStyle w:val="T1"/>
        <w:keepNext w:val="0"/>
        <w:spacing w:before="0" w:after="0" w:line="240" w:lineRule="auto"/>
        <w:rPr>
          <w:rFonts w:asciiTheme="minorHAnsi" w:hAnsiTheme="minorHAnsi" w:cstheme="minorHAnsi"/>
          <w:sz w:val="22"/>
          <w:szCs w:val="22"/>
          <w:lang w:val="hr-HR"/>
        </w:rPr>
      </w:pPr>
      <w:r w:rsidRPr="001567C8">
        <w:rPr>
          <w:rFonts w:asciiTheme="minorHAnsi" w:hAnsiTheme="minorHAnsi" w:cstheme="minorHAnsi"/>
          <w:sz w:val="22"/>
          <w:szCs w:val="22"/>
          <w:lang w:val="hr-HR"/>
        </w:rPr>
        <w:t>4.3.1. MSFI 16 Najmovi</w:t>
      </w:r>
    </w:p>
    <w:p w:rsidR="00AD3755" w:rsidRPr="001567C8" w:rsidRDefault="00AD3755" w:rsidP="00AD3755">
      <w:pPr>
        <w:pStyle w:val="T1"/>
        <w:keepNext w:val="0"/>
        <w:spacing w:before="0" w:after="0" w:line="240" w:lineRule="auto"/>
        <w:rPr>
          <w:rFonts w:asciiTheme="minorHAnsi" w:hAnsiTheme="minorHAnsi" w:cstheme="minorHAnsi"/>
          <w:b w:val="0"/>
          <w:sz w:val="22"/>
          <w:szCs w:val="22"/>
          <w:lang w:val="hr-HR"/>
        </w:rPr>
      </w:pPr>
    </w:p>
    <w:p w:rsidR="00AD5C0A" w:rsidRPr="00CD3A2D" w:rsidRDefault="00AD5C0A" w:rsidP="00AD5C0A">
      <w:pPr>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Grupa je dužna usvojiti MSFI 16 Najmovi od 1. siječnja 2019. </w:t>
      </w:r>
      <w:r w:rsidR="00CB21B5" w:rsidRPr="00CD3A2D">
        <w:rPr>
          <w:rFonts w:asciiTheme="minorHAnsi" w:hAnsiTheme="minorHAnsi" w:cstheme="minorHAnsi"/>
          <w:sz w:val="22"/>
          <w:szCs w:val="22"/>
          <w:lang w:val="hr-HR" w:eastAsia="hr-HR"/>
        </w:rPr>
        <w:t xml:space="preserve">godine. </w:t>
      </w:r>
      <w:r w:rsidRPr="00CD3A2D">
        <w:rPr>
          <w:rFonts w:asciiTheme="minorHAnsi" w:hAnsiTheme="minorHAnsi" w:cstheme="minorHAnsi"/>
          <w:sz w:val="22"/>
          <w:szCs w:val="22"/>
          <w:lang w:val="hr-HR" w:eastAsia="hr-HR"/>
        </w:rPr>
        <w:t xml:space="preserve">Grupa je procijenila utjecaj koji će početna primjena MSFI-ja 16 imati na njezine konsolidirane </w:t>
      </w:r>
      <w:r w:rsidR="00CB21B5" w:rsidRPr="00CD3A2D">
        <w:rPr>
          <w:rFonts w:asciiTheme="minorHAnsi" w:hAnsiTheme="minorHAnsi" w:cstheme="minorHAnsi"/>
          <w:sz w:val="22"/>
          <w:szCs w:val="22"/>
          <w:lang w:val="hr-HR" w:eastAsia="hr-HR"/>
        </w:rPr>
        <w:t>i odvojene</w:t>
      </w:r>
      <w:r w:rsidRPr="00CD3A2D">
        <w:rPr>
          <w:rFonts w:asciiTheme="minorHAnsi" w:hAnsiTheme="minorHAnsi" w:cstheme="minorHAnsi"/>
          <w:sz w:val="22"/>
          <w:szCs w:val="22"/>
          <w:lang w:val="hr-HR" w:eastAsia="hr-HR"/>
        </w:rPr>
        <w:t xml:space="preserve"> financijske izvještaje.</w:t>
      </w:r>
    </w:p>
    <w:p w:rsidR="00AD5C0A" w:rsidRPr="00CD3A2D" w:rsidRDefault="00AD5C0A" w:rsidP="00AD5C0A">
      <w:pPr>
        <w:jc w:val="both"/>
        <w:rPr>
          <w:lang w:val="hr-HR" w:eastAsia="hr-HR"/>
        </w:rPr>
      </w:pPr>
    </w:p>
    <w:p w:rsidR="00AD5C0A" w:rsidRPr="00CD3A2D" w:rsidRDefault="00AD5C0A" w:rsidP="00AD5C0A">
      <w:pPr>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 xml:space="preserve">MSFI 16 uvodi jedinstveni računovodstveni model najma za najmoprimce koji se iskazuje u bilanci. Najmoprimac priznaje imovinu s pravom korištenja koja predstavlja njeno pravo na korištenje predmetne imovine, kao i obvezu po najmu koja predstavlja njegovu obvezu plaćanja po najmu. Postoje izuzeća od priznavanja za kratkoročne najmove i najmove stavki male vrijednosti. Računovodstvo najmodavca  ostaje slično sadašnjem standardu, tj. najmodavci nastavljaju klasificirati najmove kao financijske ili operativne najmove. </w:t>
      </w:r>
    </w:p>
    <w:p w:rsidR="00CB21B5" w:rsidRPr="00CD3A2D" w:rsidRDefault="00CB21B5" w:rsidP="00304077">
      <w:pPr>
        <w:jc w:val="both"/>
        <w:rPr>
          <w:rFonts w:asciiTheme="minorHAnsi" w:eastAsia="Calibri" w:hAnsiTheme="minorHAnsi" w:cstheme="minorHAnsi"/>
          <w:sz w:val="22"/>
          <w:szCs w:val="22"/>
          <w:lang w:val="hr-HR" w:eastAsia="hr-HR"/>
        </w:rPr>
      </w:pPr>
    </w:p>
    <w:p w:rsidR="00CB21B5" w:rsidRPr="00CD3A2D" w:rsidRDefault="00CB21B5">
      <w:pPr>
        <w:jc w:val="both"/>
        <w:rPr>
          <w:rFonts w:ascii="Calibri" w:hAnsi="Calibri" w:cs="Calibri"/>
          <w:sz w:val="22"/>
          <w:szCs w:val="22"/>
          <w:lang w:val="hr-HR" w:eastAsia="hr-HR"/>
        </w:rPr>
      </w:pPr>
      <w:r w:rsidRPr="00CD3A2D">
        <w:rPr>
          <w:rFonts w:ascii="Calibri" w:hAnsi="Calibri" w:cs="Calibri"/>
          <w:sz w:val="22"/>
          <w:szCs w:val="22"/>
          <w:lang w:val="hr-HR" w:eastAsia="hr-HR"/>
        </w:rPr>
        <w:t>MSFI 16 zamjenjuje postojeće smjernice o najmu, uključujući MRS 17 Najmovi, IFRIC 4 Utvrđivanje sadržava li sporazum najam, SIC-15 Operativni najmovi – Poticaji i SIC-27 Procjena sadržaja transakcija koje uključuju pravni oblik najma.</w:t>
      </w:r>
    </w:p>
    <w:p w:rsidR="00304077" w:rsidRPr="00CD3A2D" w:rsidRDefault="00304077">
      <w:pPr>
        <w:jc w:val="both"/>
        <w:rPr>
          <w:rFonts w:asciiTheme="minorHAnsi" w:eastAsia="Calibri" w:hAnsiTheme="minorHAnsi" w:cstheme="minorHAnsi"/>
          <w:sz w:val="22"/>
          <w:szCs w:val="22"/>
          <w:lang w:val="hr-HR" w:eastAsia="hr-HR"/>
        </w:rPr>
      </w:pPr>
    </w:p>
    <w:p w:rsidR="00CB21B5" w:rsidRPr="00CD3A2D" w:rsidRDefault="00CB21B5">
      <w:pPr>
        <w:jc w:val="both"/>
        <w:rPr>
          <w:rFonts w:ascii="Calibri" w:hAnsi="Calibri" w:cs="Calibri"/>
          <w:i/>
          <w:iCs/>
          <w:sz w:val="22"/>
          <w:szCs w:val="22"/>
          <w:lang w:val="hr-HR" w:eastAsia="hr-HR"/>
        </w:rPr>
      </w:pPr>
      <w:r w:rsidRPr="00CD3A2D">
        <w:rPr>
          <w:rFonts w:ascii="Calibri" w:hAnsi="Calibri" w:cs="Calibri"/>
          <w:i/>
          <w:iCs/>
          <w:sz w:val="22"/>
          <w:szCs w:val="22"/>
          <w:lang w:val="hr-HR" w:eastAsia="hr-HR"/>
        </w:rPr>
        <w:t>a) Najmovi u kojima je Grupa najmoprimac</w:t>
      </w:r>
    </w:p>
    <w:p w:rsidR="00304077" w:rsidRPr="00CD3A2D" w:rsidRDefault="00304077">
      <w:pPr>
        <w:jc w:val="both"/>
        <w:rPr>
          <w:rFonts w:asciiTheme="minorHAnsi" w:eastAsia="Calibri" w:hAnsiTheme="minorHAnsi" w:cstheme="minorHAnsi"/>
          <w:i/>
          <w:sz w:val="22"/>
          <w:szCs w:val="22"/>
          <w:lang w:val="hr-HR" w:eastAsia="hr-HR"/>
        </w:rPr>
      </w:pPr>
    </w:p>
    <w:p w:rsidR="00CB21B5" w:rsidRPr="00CD3A2D" w:rsidRDefault="00CB21B5">
      <w:pPr>
        <w:jc w:val="both"/>
        <w:rPr>
          <w:rFonts w:ascii="Calibri" w:hAnsi="Calibri" w:cs="Calibri"/>
          <w:sz w:val="22"/>
          <w:szCs w:val="22"/>
          <w:lang w:val="hr-HR" w:eastAsia="hr-HR"/>
        </w:rPr>
      </w:pPr>
      <w:r w:rsidRPr="00CD3A2D">
        <w:rPr>
          <w:rFonts w:ascii="Calibri" w:hAnsi="Calibri" w:cs="Calibri"/>
          <w:sz w:val="22"/>
          <w:szCs w:val="22"/>
          <w:lang w:val="hr-HR" w:eastAsia="hr-HR"/>
        </w:rPr>
        <w:t>Grupa je završila početnu procjenu potencijalnog učinka na konsolidirane i odvojene financijske izvještaje, ali još nije dovršila svoju detaljnu procjenu. Stvarni učinak primjene MSFI-ja 16 na financijsk</w:t>
      </w:r>
      <w:r w:rsidR="00ED78B8" w:rsidRPr="00CD3A2D">
        <w:rPr>
          <w:rFonts w:ascii="Calibri" w:hAnsi="Calibri" w:cs="Calibri"/>
          <w:sz w:val="22"/>
          <w:szCs w:val="22"/>
          <w:lang w:val="hr-HR" w:eastAsia="hr-HR"/>
        </w:rPr>
        <w:t>e</w:t>
      </w:r>
      <w:r w:rsidRPr="00CD3A2D">
        <w:rPr>
          <w:rFonts w:ascii="Calibri" w:hAnsi="Calibri" w:cs="Calibri"/>
          <w:sz w:val="22"/>
          <w:szCs w:val="22"/>
          <w:lang w:val="hr-HR" w:eastAsia="hr-HR"/>
        </w:rPr>
        <w:t xml:space="preserve"> izvješ</w:t>
      </w:r>
      <w:r w:rsidR="00ED78B8" w:rsidRPr="00CD3A2D">
        <w:rPr>
          <w:rFonts w:ascii="Calibri" w:hAnsi="Calibri" w:cs="Calibri"/>
          <w:sz w:val="22"/>
          <w:szCs w:val="22"/>
          <w:lang w:val="hr-HR" w:eastAsia="hr-HR"/>
        </w:rPr>
        <w:t>taje</w:t>
      </w:r>
      <w:r w:rsidRPr="00CD3A2D">
        <w:rPr>
          <w:rFonts w:ascii="Calibri" w:hAnsi="Calibri" w:cs="Calibri"/>
          <w:sz w:val="22"/>
          <w:szCs w:val="22"/>
          <w:lang w:val="hr-HR" w:eastAsia="hr-HR"/>
        </w:rPr>
        <w:t xml:space="preserve"> u razdoblju početne primjene ovisit će o budućim ekonomskim uvjetima, razvoju portfelja najmova Grupe, procjeni Grupe hoće li iskoristiti sve opcije obnove najma i opsegu u kojem Grupa odluči koristiti praktična sredstva i izuzeća od priznavanja.</w:t>
      </w:r>
    </w:p>
    <w:p w:rsidR="00CB21B5" w:rsidRPr="00CD3A2D" w:rsidRDefault="00506E4D" w:rsidP="003C6BA3">
      <w:pPr>
        <w:jc w:val="both"/>
        <w:rPr>
          <w:rFonts w:asciiTheme="minorHAnsi" w:hAnsiTheme="minorHAnsi" w:cstheme="minorHAnsi"/>
          <w:sz w:val="22"/>
          <w:szCs w:val="22"/>
          <w:lang w:val="hr-HR" w:eastAsia="hr-HR"/>
        </w:rPr>
      </w:pPr>
      <w:r w:rsidRPr="001567C8">
        <w:rPr>
          <w:rFonts w:asciiTheme="minorHAnsi" w:hAnsiTheme="minorHAnsi" w:cstheme="minorHAnsi"/>
          <w:sz w:val="22"/>
          <w:szCs w:val="22"/>
          <w:lang w:val="hr-HR" w:eastAsia="hr-HR"/>
        </w:rPr>
        <w:t xml:space="preserve">Grupa je primijenila </w:t>
      </w:r>
      <w:r w:rsidR="00F41875">
        <w:rPr>
          <w:rFonts w:asciiTheme="minorHAnsi" w:hAnsiTheme="minorHAnsi" w:cstheme="minorHAnsi"/>
          <w:sz w:val="22"/>
          <w:szCs w:val="22"/>
          <w:lang w:val="hr-HR" w:eastAsia="hr-HR"/>
        </w:rPr>
        <w:t>modificirani retrospektivni pristup</w:t>
      </w:r>
      <w:r w:rsidR="004250B5">
        <w:rPr>
          <w:rFonts w:asciiTheme="minorHAnsi" w:hAnsiTheme="minorHAnsi" w:cstheme="minorHAnsi"/>
          <w:sz w:val="22"/>
          <w:szCs w:val="22"/>
          <w:lang w:val="hr-HR" w:eastAsia="hr-HR"/>
        </w:rPr>
        <w:t xml:space="preserve"> te na dan 1. siječnja 2019</w:t>
      </w:r>
      <w:r w:rsidRPr="001567C8">
        <w:rPr>
          <w:rFonts w:asciiTheme="minorHAnsi" w:hAnsiTheme="minorHAnsi" w:cstheme="minorHAnsi"/>
          <w:sz w:val="22"/>
          <w:szCs w:val="22"/>
          <w:lang w:val="hr-HR" w:eastAsia="hr-HR"/>
        </w:rPr>
        <w:t>. godine, buduća minimalna plaćanja najma Grupe po neopozivim operativnim najmovima iznose 2.</w:t>
      </w:r>
      <w:r w:rsidR="00185DAF" w:rsidRPr="001567C8">
        <w:rPr>
          <w:rFonts w:asciiTheme="minorHAnsi" w:hAnsiTheme="minorHAnsi" w:cstheme="minorHAnsi"/>
          <w:sz w:val="22"/>
          <w:szCs w:val="22"/>
          <w:lang w:val="hr-HR" w:eastAsia="hr-HR"/>
        </w:rPr>
        <w:t>104</w:t>
      </w:r>
      <w:r w:rsidRPr="001567C8">
        <w:rPr>
          <w:rFonts w:asciiTheme="minorHAnsi" w:hAnsiTheme="minorHAnsi" w:cstheme="minorHAnsi"/>
          <w:sz w:val="22"/>
          <w:szCs w:val="22"/>
          <w:lang w:val="hr-HR" w:eastAsia="hr-HR"/>
        </w:rPr>
        <w:t xml:space="preserve"> </w:t>
      </w:r>
      <w:r w:rsidR="00CB21B5" w:rsidRPr="00CD3A2D">
        <w:rPr>
          <w:rFonts w:asciiTheme="minorHAnsi" w:hAnsiTheme="minorHAnsi" w:cstheme="minorHAnsi"/>
          <w:sz w:val="22"/>
          <w:szCs w:val="22"/>
          <w:lang w:val="hr-HR" w:eastAsia="hr-HR"/>
        </w:rPr>
        <w:t>tisuća kuna, na diskontiranoj osnovi, za koju Grupa procjenjuje da će ih priznati kao dodatne obveze po najmu.</w:t>
      </w:r>
    </w:p>
    <w:p w:rsidR="00185DAF" w:rsidRPr="001567C8" w:rsidRDefault="00185DAF" w:rsidP="003C6BA3">
      <w:pPr>
        <w:pStyle w:val="T1"/>
        <w:keepNext w:val="0"/>
        <w:spacing w:before="0" w:after="0" w:line="240" w:lineRule="auto"/>
        <w:ind w:left="993"/>
        <w:rPr>
          <w:rFonts w:asciiTheme="minorHAnsi" w:hAnsiTheme="minorHAnsi" w:cs="Arial"/>
          <w:b w:val="0"/>
          <w:sz w:val="22"/>
          <w:szCs w:val="22"/>
          <w:lang w:val="hr-HR"/>
        </w:rPr>
        <w:sectPr w:rsidR="00185DAF" w:rsidRPr="001567C8" w:rsidSect="000D6913">
          <w:pgSz w:w="11907" w:h="16840" w:code="9"/>
          <w:pgMar w:top="1418" w:right="1134" w:bottom="1134" w:left="1418" w:header="851" w:footer="851" w:gutter="0"/>
          <w:cols w:space="720"/>
          <w:noEndnote/>
        </w:sectPr>
      </w:pPr>
    </w:p>
    <w:p w:rsidR="00F70719" w:rsidRPr="001567C8" w:rsidRDefault="00F70719" w:rsidP="003C6BA3">
      <w:pPr>
        <w:pStyle w:val="T1"/>
        <w:keepNext w:val="0"/>
        <w:spacing w:before="0" w:after="0" w:line="240" w:lineRule="auto"/>
        <w:ind w:left="993"/>
        <w:rPr>
          <w:rFonts w:asciiTheme="minorHAnsi" w:hAnsiTheme="minorHAnsi" w:cs="Arial"/>
          <w:b w:val="0"/>
          <w:sz w:val="22"/>
          <w:szCs w:val="22"/>
          <w:lang w:val="hr-HR"/>
        </w:rPr>
      </w:pPr>
    </w:p>
    <w:p w:rsidR="00D77C69" w:rsidRPr="00CD3A2D" w:rsidRDefault="00D77C69" w:rsidP="00D77C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sz w:val="22"/>
          <w:szCs w:val="22"/>
          <w:lang w:val="hr-HR"/>
        </w:rPr>
      </w:pPr>
      <w:r w:rsidRPr="00CD3A2D">
        <w:rPr>
          <w:rFonts w:asciiTheme="minorHAnsi" w:hAnsiTheme="minorHAnsi"/>
          <w:b/>
          <w:sz w:val="22"/>
          <w:szCs w:val="22"/>
          <w:lang w:val="hr-HR"/>
        </w:rPr>
        <w:t>4. Sažetak značajnih računovodstvenih politika (nastavak)</w:t>
      </w:r>
    </w:p>
    <w:p w:rsidR="00D77C69" w:rsidRPr="001567C8" w:rsidRDefault="00D77C69" w:rsidP="00D77C69">
      <w:pPr>
        <w:pStyle w:val="T1"/>
        <w:keepNext w:val="0"/>
        <w:spacing w:before="0" w:after="0" w:line="240" w:lineRule="auto"/>
        <w:rPr>
          <w:rFonts w:asciiTheme="minorHAnsi" w:hAnsiTheme="minorHAnsi" w:cstheme="minorHAnsi"/>
          <w:sz w:val="22"/>
          <w:szCs w:val="22"/>
          <w:lang w:val="hr-HR"/>
        </w:rPr>
      </w:pPr>
    </w:p>
    <w:p w:rsidR="00D77C69" w:rsidRPr="00CD3A2D" w:rsidRDefault="00D77C69" w:rsidP="00D77C69">
      <w:pPr>
        <w:ind w:left="567" w:hanging="567"/>
        <w:jc w:val="both"/>
        <w:rPr>
          <w:rFonts w:asciiTheme="minorHAnsi" w:hAnsiTheme="minorHAnsi" w:cstheme="minorHAnsi"/>
          <w:b/>
          <w:sz w:val="22"/>
          <w:szCs w:val="22"/>
          <w:lang w:val="hr-HR"/>
        </w:rPr>
      </w:pPr>
      <w:r w:rsidRPr="001567C8">
        <w:rPr>
          <w:rFonts w:asciiTheme="minorHAnsi" w:hAnsiTheme="minorHAnsi" w:cstheme="minorHAnsi"/>
          <w:b/>
          <w:sz w:val="22"/>
          <w:szCs w:val="22"/>
          <w:lang w:val="hr-HR"/>
        </w:rPr>
        <w:t>4.3.</w:t>
      </w:r>
      <w:r w:rsidRPr="00CD3A2D">
        <w:rPr>
          <w:rFonts w:cs="Arial"/>
          <w:b/>
          <w:lang w:val="hr-HR"/>
        </w:rPr>
        <w:t xml:space="preserve"> </w:t>
      </w:r>
      <w:r w:rsidRPr="00CD3A2D">
        <w:rPr>
          <w:rFonts w:asciiTheme="minorHAnsi" w:hAnsiTheme="minorHAnsi" w:cstheme="minorHAnsi"/>
          <w:b/>
          <w:sz w:val="22"/>
          <w:szCs w:val="22"/>
          <w:lang w:val="hr-HR"/>
        </w:rPr>
        <w:t>Standardi, dodaci i tumačenja postojećih standarda koja nisu još na snazi i koji nisu bili primijenjeni u pripremi ovih financijskih izvještaja (nastavak)</w:t>
      </w:r>
    </w:p>
    <w:p w:rsidR="00D77C69" w:rsidRPr="001567C8" w:rsidRDefault="00D77C69" w:rsidP="00D77C69">
      <w:pPr>
        <w:pStyle w:val="T1"/>
        <w:keepNext w:val="0"/>
        <w:spacing w:before="0" w:after="0" w:line="240" w:lineRule="auto"/>
        <w:rPr>
          <w:rFonts w:asciiTheme="minorHAnsi" w:hAnsiTheme="minorHAnsi" w:cstheme="minorHAnsi"/>
          <w:sz w:val="22"/>
          <w:szCs w:val="22"/>
          <w:lang w:val="hr-HR"/>
        </w:rPr>
      </w:pPr>
    </w:p>
    <w:p w:rsidR="00D77C69" w:rsidRPr="001567C8" w:rsidRDefault="00D77C69" w:rsidP="00D77C69">
      <w:pPr>
        <w:pStyle w:val="T1"/>
        <w:keepNext w:val="0"/>
        <w:spacing w:before="0" w:after="0" w:line="240" w:lineRule="auto"/>
        <w:rPr>
          <w:rFonts w:asciiTheme="minorHAnsi" w:hAnsiTheme="minorHAnsi" w:cstheme="minorHAnsi"/>
          <w:sz w:val="22"/>
          <w:szCs w:val="22"/>
          <w:lang w:val="hr-HR"/>
        </w:rPr>
      </w:pPr>
      <w:r w:rsidRPr="001567C8">
        <w:rPr>
          <w:rFonts w:asciiTheme="minorHAnsi" w:hAnsiTheme="minorHAnsi" w:cstheme="minorHAnsi"/>
          <w:sz w:val="22"/>
          <w:szCs w:val="22"/>
          <w:lang w:val="hr-HR"/>
        </w:rPr>
        <w:t>4.3.2. Ostali standardi</w:t>
      </w:r>
    </w:p>
    <w:p w:rsidR="00D77C69" w:rsidRPr="001567C8" w:rsidRDefault="00D77C69" w:rsidP="00D77C69">
      <w:pPr>
        <w:pStyle w:val="T1"/>
        <w:keepNext w:val="0"/>
        <w:spacing w:before="0" w:after="0" w:line="240" w:lineRule="auto"/>
        <w:rPr>
          <w:rFonts w:asciiTheme="minorHAnsi" w:hAnsiTheme="minorHAnsi" w:cstheme="minorHAnsi"/>
          <w:sz w:val="22"/>
          <w:szCs w:val="22"/>
          <w:lang w:val="hr-HR"/>
        </w:rPr>
      </w:pPr>
    </w:p>
    <w:p w:rsidR="00D77C69" w:rsidRPr="001567C8" w:rsidRDefault="00D77C69" w:rsidP="00D77C69">
      <w:pPr>
        <w:pStyle w:val="HTMLPreformatted"/>
        <w:rPr>
          <w:rFonts w:asciiTheme="minorHAnsi" w:hAnsiTheme="minorHAnsi" w:cs="Arial"/>
          <w:sz w:val="22"/>
          <w:szCs w:val="22"/>
        </w:rPr>
      </w:pPr>
      <w:r w:rsidRPr="001567C8">
        <w:rPr>
          <w:rFonts w:asciiTheme="minorHAnsi" w:hAnsiTheme="minorHAnsi" w:cstheme="minorHAnsi"/>
          <w:color w:val="222222"/>
          <w:sz w:val="22"/>
          <w:szCs w:val="22"/>
        </w:rPr>
        <w:t>Ne očekuje se da će sljedeći izmijenjeni standardi imati značajan utjecaj na konsolidirane financijske izvještaje Grupe.</w:t>
      </w:r>
    </w:p>
    <w:p w:rsidR="00D77C69" w:rsidRPr="001567C8" w:rsidRDefault="00D77C69" w:rsidP="002B5EA8">
      <w:pPr>
        <w:pStyle w:val="HTMLPreformatted"/>
        <w:numPr>
          <w:ilvl w:val="0"/>
          <w:numId w:val="6"/>
        </w:numPr>
        <w:rPr>
          <w:rFonts w:asciiTheme="minorHAnsi" w:hAnsiTheme="minorHAnsi" w:cs="Arial"/>
          <w:sz w:val="22"/>
          <w:szCs w:val="22"/>
        </w:rPr>
      </w:pPr>
      <w:r w:rsidRPr="001567C8">
        <w:rPr>
          <w:rFonts w:asciiTheme="minorHAnsi" w:hAnsiTheme="minorHAnsi" w:cs="Arial"/>
          <w:sz w:val="22"/>
          <w:szCs w:val="22"/>
        </w:rPr>
        <w:t>Godišnja poboljšanja 2015 – 2017 (različiti standardi),</w:t>
      </w:r>
    </w:p>
    <w:p w:rsidR="00D77C69" w:rsidRPr="001567C8" w:rsidRDefault="000D3DE9" w:rsidP="002B5EA8">
      <w:pPr>
        <w:pStyle w:val="HTMLPreformatted"/>
        <w:numPr>
          <w:ilvl w:val="0"/>
          <w:numId w:val="6"/>
        </w:numPr>
        <w:rPr>
          <w:rFonts w:asciiTheme="minorHAnsi" w:hAnsiTheme="minorHAnsi" w:cs="Arial"/>
          <w:sz w:val="22"/>
          <w:szCs w:val="22"/>
        </w:rPr>
      </w:pPr>
      <w:r w:rsidRPr="001567C8">
        <w:rPr>
          <w:rFonts w:asciiTheme="minorHAnsi" w:hAnsiTheme="minorHAnsi" w:cs="Arial"/>
          <w:sz w:val="22"/>
          <w:szCs w:val="22"/>
        </w:rPr>
        <w:t>Dugoročni udjeli u pridruženim subjektima i zajedničkim pothvatima (izmjena i dopune MRS-a 28),</w:t>
      </w:r>
    </w:p>
    <w:p w:rsidR="002A3926" w:rsidRPr="00CD3A2D" w:rsidRDefault="002A3926" w:rsidP="002B5EA8">
      <w:pPr>
        <w:pStyle w:val="ListParagraph"/>
        <w:numPr>
          <w:ilvl w:val="0"/>
          <w:numId w:val="6"/>
        </w:numPr>
        <w:tabs>
          <w:tab w:val="clear" w:pos="1080"/>
        </w:tabs>
        <w:ind w:left="851" w:hanging="142"/>
        <w:jc w:val="both"/>
        <w:rPr>
          <w:lang w:val="hr-HR"/>
        </w:rPr>
      </w:pPr>
      <w:r w:rsidRPr="00CD3A2D">
        <w:rPr>
          <w:rFonts w:asciiTheme="minorHAnsi" w:hAnsiTheme="minorHAnsi" w:cstheme="minorHAnsi"/>
          <w:sz w:val="22"/>
          <w:szCs w:val="22"/>
          <w:lang w:val="hr-HR"/>
        </w:rPr>
        <w:t xml:space="preserve"> Izmjena, ograničenje ili namirenje plana (izmjene i dopune MRS-a 19),</w:t>
      </w:r>
    </w:p>
    <w:p w:rsidR="000D3DE9" w:rsidRPr="00CD3A2D" w:rsidRDefault="002763F4" w:rsidP="002B5EA8">
      <w:pPr>
        <w:pStyle w:val="ListParagraph"/>
        <w:numPr>
          <w:ilvl w:val="0"/>
          <w:numId w:val="6"/>
        </w:numPr>
        <w:tabs>
          <w:tab w:val="clear" w:pos="1080"/>
        </w:tabs>
        <w:ind w:left="851" w:hanging="142"/>
        <w:jc w:val="both"/>
        <w:rPr>
          <w:rFonts w:asciiTheme="minorHAnsi" w:hAnsiTheme="minorHAnsi" w:cstheme="minorHAnsi"/>
          <w:sz w:val="22"/>
          <w:szCs w:val="22"/>
          <w:lang w:val="hr-HR"/>
        </w:rPr>
      </w:pPr>
      <w:r>
        <w:rPr>
          <w:rFonts w:asciiTheme="minorHAnsi" w:hAnsiTheme="minorHAnsi" w:cstheme="minorHAnsi"/>
          <w:sz w:val="22"/>
          <w:szCs w:val="22"/>
          <w:lang w:val="hr-HR"/>
        </w:rPr>
        <w:t xml:space="preserve"> </w:t>
      </w:r>
      <w:r w:rsidR="000D3DE9" w:rsidRPr="00CD3A2D">
        <w:rPr>
          <w:rFonts w:asciiTheme="minorHAnsi" w:hAnsiTheme="minorHAnsi" w:cstheme="minorHAnsi"/>
          <w:sz w:val="22"/>
          <w:szCs w:val="22"/>
          <w:lang w:val="hr-HR"/>
        </w:rPr>
        <w:t>Izmjena MSFI 10 Konsolidirani financijski izvještaji i MRS 28 Udjeli u pridruženim subjektima i zajedničkim pothvatima (odgođena primjena na neodređeno vrijeme),</w:t>
      </w:r>
    </w:p>
    <w:p w:rsidR="00D77C69" w:rsidRPr="001567C8" w:rsidRDefault="00D77C69" w:rsidP="002B5EA8">
      <w:pPr>
        <w:pStyle w:val="HTMLPreformatted"/>
        <w:numPr>
          <w:ilvl w:val="0"/>
          <w:numId w:val="6"/>
        </w:numPr>
        <w:rPr>
          <w:rFonts w:asciiTheme="minorHAnsi" w:hAnsiTheme="minorHAnsi" w:cs="Arial"/>
          <w:sz w:val="22"/>
          <w:szCs w:val="22"/>
        </w:rPr>
      </w:pPr>
      <w:r w:rsidRPr="001567C8">
        <w:rPr>
          <w:rFonts w:asciiTheme="minorHAnsi" w:hAnsiTheme="minorHAnsi" w:cs="Arial"/>
          <w:sz w:val="22"/>
          <w:szCs w:val="22"/>
        </w:rPr>
        <w:t>Novo tumačenje – IFRIC 23 Neizvjesnost u pogledu tretmana poreza na dobit,</w:t>
      </w:r>
    </w:p>
    <w:p w:rsidR="000D3DE9" w:rsidRPr="001567C8" w:rsidRDefault="000D3DE9" w:rsidP="002B5EA8">
      <w:pPr>
        <w:pStyle w:val="HTMLPreformatted"/>
        <w:numPr>
          <w:ilvl w:val="0"/>
          <w:numId w:val="6"/>
        </w:numPr>
        <w:rPr>
          <w:rFonts w:asciiTheme="minorHAnsi" w:hAnsiTheme="minorHAnsi" w:cs="Arial"/>
          <w:sz w:val="22"/>
          <w:szCs w:val="22"/>
        </w:rPr>
      </w:pPr>
      <w:r w:rsidRPr="001567C8">
        <w:rPr>
          <w:rFonts w:asciiTheme="minorHAnsi" w:hAnsiTheme="minorHAnsi" w:cs="Arial"/>
          <w:sz w:val="22"/>
          <w:szCs w:val="22"/>
        </w:rPr>
        <w:t>Izmjene i dopune MSFI 9</w:t>
      </w:r>
      <w:r w:rsidR="00D57F28" w:rsidRPr="001567C8">
        <w:rPr>
          <w:rFonts w:asciiTheme="minorHAnsi" w:hAnsiTheme="minorHAnsi" w:cs="Arial"/>
          <w:sz w:val="22"/>
          <w:szCs w:val="22"/>
        </w:rPr>
        <w:t xml:space="preserve"> Financijski instrumenti – Obilježja prijevremenog podmirenja uz negativnu kompenzaciju,</w:t>
      </w:r>
    </w:p>
    <w:p w:rsidR="00D77C69" w:rsidRPr="001567C8" w:rsidRDefault="00D77C69" w:rsidP="002B5EA8">
      <w:pPr>
        <w:pStyle w:val="HTMLPreformatted"/>
        <w:numPr>
          <w:ilvl w:val="0"/>
          <w:numId w:val="6"/>
        </w:numPr>
        <w:rPr>
          <w:rFonts w:asciiTheme="minorHAnsi" w:hAnsiTheme="minorHAnsi" w:cs="Arial"/>
          <w:sz w:val="22"/>
          <w:szCs w:val="22"/>
        </w:rPr>
      </w:pPr>
      <w:r w:rsidRPr="001567C8">
        <w:rPr>
          <w:rFonts w:asciiTheme="minorHAnsi" w:hAnsiTheme="minorHAnsi" w:cs="Arial"/>
          <w:sz w:val="22"/>
          <w:szCs w:val="22"/>
        </w:rPr>
        <w:t>Izmjene i dopune upućivanja na konceptualni okvir u MSFI standardima,</w:t>
      </w:r>
    </w:p>
    <w:p w:rsidR="00D77C69" w:rsidRPr="001567C8" w:rsidRDefault="00D77C69" w:rsidP="002B5EA8">
      <w:pPr>
        <w:pStyle w:val="HTMLPreformatted"/>
        <w:numPr>
          <w:ilvl w:val="0"/>
          <w:numId w:val="6"/>
        </w:numPr>
        <w:rPr>
          <w:rFonts w:asciiTheme="minorHAnsi" w:hAnsiTheme="minorHAnsi" w:cs="Arial"/>
          <w:sz w:val="22"/>
          <w:szCs w:val="22"/>
        </w:rPr>
      </w:pPr>
      <w:r w:rsidRPr="001567C8">
        <w:rPr>
          <w:rFonts w:asciiTheme="minorHAnsi" w:hAnsiTheme="minorHAnsi" w:cs="Arial"/>
          <w:sz w:val="22"/>
          <w:szCs w:val="22"/>
        </w:rPr>
        <w:t>MSFI 17 Ugovori o osiguranju</w:t>
      </w:r>
      <w:r w:rsidR="00D57F28" w:rsidRPr="001567C8">
        <w:rPr>
          <w:rFonts w:asciiTheme="minorHAnsi" w:hAnsiTheme="minorHAnsi" w:cs="Arial"/>
          <w:sz w:val="22"/>
          <w:szCs w:val="22"/>
        </w:rPr>
        <w:t>,</w:t>
      </w:r>
    </w:p>
    <w:p w:rsidR="00D57F28" w:rsidRDefault="00D57F28" w:rsidP="002B5EA8">
      <w:pPr>
        <w:pStyle w:val="HTMLPreformatted"/>
        <w:numPr>
          <w:ilvl w:val="0"/>
          <w:numId w:val="6"/>
        </w:numPr>
        <w:rPr>
          <w:rFonts w:asciiTheme="minorHAnsi" w:hAnsiTheme="minorHAnsi" w:cs="Arial"/>
          <w:sz w:val="22"/>
          <w:szCs w:val="22"/>
        </w:rPr>
      </w:pPr>
      <w:r w:rsidRPr="001567C8">
        <w:rPr>
          <w:rFonts w:asciiTheme="minorHAnsi" w:hAnsiTheme="minorHAnsi" w:cs="Arial"/>
          <w:sz w:val="22"/>
          <w:szCs w:val="22"/>
        </w:rPr>
        <w:t>Izmjene MSFI 3 Poslovn</w:t>
      </w:r>
      <w:r w:rsidR="00AB54E8" w:rsidRPr="001567C8">
        <w:rPr>
          <w:rFonts w:asciiTheme="minorHAnsi" w:hAnsiTheme="minorHAnsi" w:cs="Arial"/>
          <w:sz w:val="22"/>
          <w:szCs w:val="22"/>
        </w:rPr>
        <w:t>a spajanja</w:t>
      </w:r>
      <w:r w:rsidR="002763F4">
        <w:rPr>
          <w:rFonts w:asciiTheme="minorHAnsi" w:hAnsiTheme="minorHAnsi" w:cs="Arial"/>
          <w:sz w:val="22"/>
          <w:szCs w:val="22"/>
        </w:rPr>
        <w:t>,</w:t>
      </w:r>
    </w:p>
    <w:p w:rsidR="002763F4" w:rsidRDefault="002763F4" w:rsidP="002B5EA8">
      <w:pPr>
        <w:pStyle w:val="HTMLPreformatted"/>
        <w:numPr>
          <w:ilvl w:val="0"/>
          <w:numId w:val="6"/>
        </w:numPr>
        <w:rPr>
          <w:rFonts w:asciiTheme="minorHAnsi" w:hAnsiTheme="minorHAnsi" w:cs="Arial"/>
          <w:sz w:val="22"/>
          <w:szCs w:val="22"/>
        </w:rPr>
      </w:pPr>
      <w:r>
        <w:rPr>
          <w:rFonts w:asciiTheme="minorHAnsi" w:hAnsiTheme="minorHAnsi" w:cs="Arial"/>
          <w:sz w:val="22"/>
          <w:szCs w:val="22"/>
        </w:rPr>
        <w:t xml:space="preserve">Dopune MRS 1 </w:t>
      </w:r>
      <w:r w:rsidRPr="002763F4">
        <w:rPr>
          <w:rFonts w:asciiTheme="minorHAnsi" w:hAnsiTheme="minorHAnsi" w:cs="Arial"/>
          <w:sz w:val="22"/>
          <w:szCs w:val="22"/>
        </w:rPr>
        <w:t>Prezentiranje financijskih izvještaja</w:t>
      </w:r>
      <w:r>
        <w:rPr>
          <w:rFonts w:asciiTheme="minorHAnsi" w:hAnsiTheme="minorHAnsi" w:cs="Arial"/>
          <w:sz w:val="22"/>
          <w:szCs w:val="22"/>
        </w:rPr>
        <w:t xml:space="preserve"> i</w:t>
      </w:r>
    </w:p>
    <w:p w:rsidR="002763F4" w:rsidRPr="001567C8" w:rsidRDefault="002763F4" w:rsidP="002B5EA8">
      <w:pPr>
        <w:pStyle w:val="HTMLPreformatted"/>
        <w:numPr>
          <w:ilvl w:val="0"/>
          <w:numId w:val="6"/>
        </w:numPr>
        <w:rPr>
          <w:rFonts w:asciiTheme="minorHAnsi" w:hAnsiTheme="minorHAnsi" w:cs="Arial"/>
          <w:sz w:val="22"/>
          <w:szCs w:val="22"/>
        </w:rPr>
      </w:pPr>
      <w:r>
        <w:rPr>
          <w:rFonts w:asciiTheme="minorHAnsi" w:hAnsiTheme="minorHAnsi" w:cs="Arial"/>
          <w:sz w:val="22"/>
          <w:szCs w:val="22"/>
        </w:rPr>
        <w:t xml:space="preserve">Dopune MRS 8 </w:t>
      </w:r>
      <w:r w:rsidRPr="002763F4">
        <w:rPr>
          <w:rFonts w:asciiTheme="minorHAnsi" w:hAnsiTheme="minorHAnsi" w:cs="Arial"/>
          <w:sz w:val="22"/>
          <w:szCs w:val="22"/>
        </w:rPr>
        <w:t xml:space="preserve">  Računovodstvene politike, promjene računovodstvenih procjena i pogreške</w:t>
      </w:r>
      <w:r>
        <w:rPr>
          <w:rFonts w:asciiTheme="minorHAnsi" w:hAnsiTheme="minorHAnsi" w:cs="Arial"/>
          <w:sz w:val="22"/>
          <w:szCs w:val="22"/>
        </w:rPr>
        <w:t>.</w:t>
      </w:r>
      <w:r w:rsidRPr="002763F4">
        <w:rPr>
          <w:rFonts w:asciiTheme="minorHAnsi" w:hAnsiTheme="minorHAnsi" w:cs="Arial"/>
          <w:sz w:val="22"/>
          <w:szCs w:val="22"/>
        </w:rPr>
        <w:t xml:space="preserve">  </w:t>
      </w:r>
    </w:p>
    <w:p w:rsidR="001D67C4" w:rsidRPr="001567C8" w:rsidRDefault="001D67C4" w:rsidP="002E1CBB">
      <w:pPr>
        <w:pStyle w:val="accountingpolicytitle"/>
        <w:spacing w:before="120" w:line="300" w:lineRule="exact"/>
        <w:rPr>
          <w:rFonts w:asciiTheme="minorHAnsi" w:hAnsiTheme="minorHAnsi" w:cs="Arial"/>
          <w:b w:val="0"/>
          <w:sz w:val="22"/>
          <w:szCs w:val="22"/>
          <w:lang w:val="hr-HR"/>
        </w:rPr>
        <w:sectPr w:rsidR="001D67C4" w:rsidRPr="001567C8" w:rsidSect="000D6913">
          <w:pgSz w:w="11907" w:h="16840" w:code="9"/>
          <w:pgMar w:top="1418" w:right="1134" w:bottom="1134" w:left="1418" w:header="851" w:footer="851" w:gutter="0"/>
          <w:cols w:space="720"/>
          <w:noEndnote/>
        </w:sectPr>
      </w:pPr>
    </w:p>
    <w:p w:rsidR="006D419E" w:rsidRPr="00CD3A2D" w:rsidRDefault="006D419E">
      <w:pPr>
        <w:spacing w:line="259" w:lineRule="auto"/>
        <w:rPr>
          <w:rFonts w:asciiTheme="minorHAnsi" w:hAnsiTheme="minorHAnsi" w:cstheme="minorHAnsi"/>
          <w:b/>
          <w:sz w:val="22"/>
          <w:szCs w:val="22"/>
          <w:lang w:val="hr-HR"/>
        </w:rPr>
      </w:pPr>
    </w:p>
    <w:p w:rsidR="00D77C69" w:rsidRPr="00CD3A2D" w:rsidRDefault="00D77C69" w:rsidP="003C6BA3">
      <w:pPr>
        <w:spacing w:line="259" w:lineRule="auto"/>
        <w:rPr>
          <w:rFonts w:asciiTheme="minorHAnsi" w:hAnsiTheme="minorHAnsi" w:cstheme="minorHAnsi"/>
          <w:b/>
          <w:sz w:val="22"/>
          <w:szCs w:val="22"/>
          <w:lang w:val="hr-HR"/>
        </w:rPr>
      </w:pPr>
      <w:r w:rsidRPr="00CD3A2D">
        <w:rPr>
          <w:rFonts w:asciiTheme="minorHAnsi" w:hAnsiTheme="minorHAnsi" w:cstheme="minorHAnsi"/>
          <w:b/>
          <w:sz w:val="22"/>
          <w:szCs w:val="22"/>
          <w:lang w:val="hr-HR"/>
        </w:rPr>
        <w:t>5. Prijelaz na MSFI 9</w:t>
      </w:r>
    </w:p>
    <w:p w:rsidR="00D77C69" w:rsidRPr="00CD3A2D" w:rsidRDefault="00D77C69" w:rsidP="00364623">
      <w:pPr>
        <w:suppressAutoHyphens/>
        <w:autoSpaceDN w:val="0"/>
        <w:ind w:right="-284"/>
        <w:jc w:val="both"/>
        <w:textAlignment w:val="baseline"/>
        <w:rPr>
          <w:rFonts w:asciiTheme="minorHAnsi" w:hAnsiTheme="minorHAnsi" w:cstheme="minorHAnsi"/>
          <w:color w:val="222222"/>
          <w:sz w:val="18"/>
          <w:szCs w:val="18"/>
          <w:lang w:val="hr-HR" w:eastAsia="hr-HR"/>
        </w:rPr>
      </w:pPr>
      <w:r w:rsidRPr="00CD3A2D">
        <w:rPr>
          <w:rFonts w:asciiTheme="minorHAnsi" w:hAnsiTheme="minorHAnsi" w:cstheme="minorHAnsi"/>
          <w:color w:val="222222"/>
          <w:sz w:val="18"/>
          <w:szCs w:val="18"/>
          <w:lang w:val="hr-HR" w:eastAsia="hr-HR"/>
        </w:rPr>
        <w:t>Učinci pr</w:t>
      </w:r>
      <w:r w:rsidR="00C303A6" w:rsidRPr="00CD3A2D">
        <w:rPr>
          <w:rFonts w:asciiTheme="minorHAnsi" w:hAnsiTheme="minorHAnsi" w:cstheme="minorHAnsi"/>
          <w:color w:val="222222"/>
          <w:sz w:val="18"/>
          <w:szCs w:val="18"/>
          <w:lang w:val="hr-HR" w:eastAsia="hr-HR"/>
        </w:rPr>
        <w:t>i</w:t>
      </w:r>
      <w:r w:rsidRPr="00CD3A2D">
        <w:rPr>
          <w:rFonts w:asciiTheme="minorHAnsi" w:hAnsiTheme="minorHAnsi" w:cstheme="minorHAnsi"/>
          <w:color w:val="222222"/>
          <w:sz w:val="18"/>
          <w:szCs w:val="18"/>
          <w:lang w:val="hr-HR" w:eastAsia="hr-HR"/>
        </w:rPr>
        <w:t xml:space="preserve">mjene MSFI-ja 9 priznati na teret zadržane dobiti I rezervi na dan 1. </w:t>
      </w:r>
      <w:r w:rsidR="00C303A6" w:rsidRPr="00CD3A2D">
        <w:rPr>
          <w:rFonts w:asciiTheme="minorHAnsi" w:hAnsiTheme="minorHAnsi" w:cstheme="minorHAnsi"/>
          <w:color w:val="222222"/>
          <w:sz w:val="18"/>
          <w:szCs w:val="18"/>
          <w:lang w:val="hr-HR" w:eastAsia="hr-HR"/>
        </w:rPr>
        <w:t>s</w:t>
      </w:r>
      <w:r w:rsidRPr="00CD3A2D">
        <w:rPr>
          <w:rFonts w:asciiTheme="minorHAnsi" w:hAnsiTheme="minorHAnsi" w:cstheme="minorHAnsi"/>
          <w:color w:val="222222"/>
          <w:sz w:val="18"/>
          <w:szCs w:val="18"/>
          <w:lang w:val="hr-HR" w:eastAsia="hr-HR"/>
        </w:rPr>
        <w:t xml:space="preserve">iječnja 2018. </w:t>
      </w:r>
      <w:r w:rsidR="00C303A6" w:rsidRPr="00CD3A2D">
        <w:rPr>
          <w:rFonts w:asciiTheme="minorHAnsi" w:hAnsiTheme="minorHAnsi" w:cstheme="minorHAnsi"/>
          <w:color w:val="222222"/>
          <w:sz w:val="18"/>
          <w:szCs w:val="18"/>
          <w:lang w:val="hr-HR" w:eastAsia="hr-HR"/>
        </w:rPr>
        <w:t>g</w:t>
      </w:r>
      <w:r w:rsidRPr="00CD3A2D">
        <w:rPr>
          <w:rFonts w:asciiTheme="minorHAnsi" w:hAnsiTheme="minorHAnsi" w:cstheme="minorHAnsi"/>
          <w:color w:val="222222"/>
          <w:sz w:val="18"/>
          <w:szCs w:val="18"/>
          <w:lang w:val="hr-HR" w:eastAsia="hr-HR"/>
        </w:rPr>
        <w:t>odine za Grupu iznose 469.974 tisuća kuna.</w:t>
      </w:r>
    </w:p>
    <w:p w:rsidR="00D77C69" w:rsidRPr="00CD3A2D" w:rsidRDefault="00D77C69" w:rsidP="00D77C69">
      <w:pPr>
        <w:suppressAutoHyphens/>
        <w:autoSpaceDN w:val="0"/>
        <w:ind w:right="-284"/>
        <w:jc w:val="both"/>
        <w:textAlignment w:val="baseline"/>
        <w:rPr>
          <w:rFonts w:asciiTheme="minorHAnsi" w:hAnsiTheme="minorHAnsi" w:cstheme="minorHAnsi"/>
          <w:color w:val="222222"/>
          <w:sz w:val="18"/>
          <w:szCs w:val="18"/>
          <w:lang w:val="hr-HR" w:eastAsia="hr-HR"/>
        </w:rPr>
      </w:pPr>
      <w:r w:rsidRPr="00CD3A2D">
        <w:rPr>
          <w:rFonts w:asciiTheme="minorHAnsi" w:hAnsiTheme="minorHAnsi" w:cstheme="minorHAnsi"/>
          <w:color w:val="222222"/>
          <w:sz w:val="18"/>
          <w:szCs w:val="18"/>
          <w:lang w:val="hr-HR" w:eastAsia="hr-HR"/>
        </w:rPr>
        <w:t>U nastavku se prikazuje utjecaj usvajanja MSFI 9 na Izvještaj o financijskom položaju i Zadržanu dobit i rezerve Grupe i Banke na 1. siječnja 2018. godine, uključujući učinak zamjene računovodstvenih gubitaka po MRS-u 39 s očekivanim kreditnim gubicima po MSFI-ju 9.</w:t>
      </w:r>
    </w:p>
    <w:tbl>
      <w:tblPr>
        <w:tblW w:w="5397" w:type="pct"/>
        <w:jc w:val="center"/>
        <w:tblLayout w:type="fixed"/>
        <w:tblCellMar>
          <w:left w:w="10" w:type="dxa"/>
          <w:right w:w="10" w:type="dxa"/>
        </w:tblCellMar>
        <w:tblLook w:val="04A0" w:firstRow="1" w:lastRow="0" w:firstColumn="1" w:lastColumn="0" w:noHBand="0" w:noVBand="1"/>
      </w:tblPr>
      <w:tblGrid>
        <w:gridCol w:w="2549"/>
        <w:gridCol w:w="929"/>
        <w:gridCol w:w="752"/>
        <w:gridCol w:w="904"/>
        <w:gridCol w:w="700"/>
        <w:gridCol w:w="946"/>
        <w:gridCol w:w="730"/>
        <w:gridCol w:w="740"/>
        <w:gridCol w:w="752"/>
        <w:gridCol w:w="1085"/>
      </w:tblGrid>
      <w:tr w:rsidR="00D77C69" w:rsidRPr="001567C8" w:rsidTr="003C6BA3">
        <w:trPr>
          <w:trHeight w:hRule="exact" w:val="257"/>
          <w:jc w:val="center"/>
        </w:trPr>
        <w:tc>
          <w:tcPr>
            <w:tcW w:w="1263" w:type="pct"/>
            <w:tcBorders>
              <w:top w:val="single" w:sz="4" w:space="0" w:color="auto"/>
              <w:left w:val="single" w:sz="4" w:space="0" w:color="auto"/>
              <w:bottom w:val="single" w:sz="4" w:space="0" w:color="auto"/>
              <w:right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both"/>
              <w:rPr>
                <w:rFonts w:ascii="Calibri" w:hAnsi="Calibri" w:cs="Calibri"/>
                <w:b/>
                <w:sz w:val="15"/>
                <w:szCs w:val="15"/>
                <w:lang w:val="hr-HR"/>
              </w:rPr>
            </w:pPr>
            <w:r w:rsidRPr="001567C8">
              <w:rPr>
                <w:rStyle w:val="CharStyle65"/>
                <w:rFonts w:ascii="Calibri" w:hAnsi="Calibri" w:cs="Calibri"/>
                <w:b/>
                <w:sz w:val="15"/>
                <w:szCs w:val="15"/>
                <w:lang w:val="hr-HR"/>
              </w:rPr>
              <w:t>Grupa</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D77C69" w:rsidRPr="00CD3A2D" w:rsidRDefault="00D77C69" w:rsidP="000A5924">
            <w:pPr>
              <w:pStyle w:val="Style26"/>
              <w:shd w:val="clear" w:color="auto" w:fill="auto"/>
              <w:spacing w:before="0" w:line="240" w:lineRule="auto"/>
              <w:ind w:left="200" w:firstLine="0"/>
              <w:jc w:val="center"/>
              <w:rPr>
                <w:rFonts w:ascii="Calibri" w:hAnsi="Calibri" w:cs="Calibri"/>
                <w:b/>
                <w:sz w:val="15"/>
                <w:szCs w:val="15"/>
                <w:lang w:val="hr-HR"/>
              </w:rPr>
            </w:pPr>
            <w:r w:rsidRPr="001567C8">
              <w:rPr>
                <w:rStyle w:val="CharStyle65"/>
                <w:rFonts w:ascii="Calibri" w:hAnsi="Calibri" w:cs="Calibri"/>
                <w:b/>
                <w:sz w:val="15"/>
                <w:szCs w:val="15"/>
                <w:lang w:val="hr-HR"/>
              </w:rPr>
              <w:t>MRS  39</w:t>
            </w:r>
          </w:p>
        </w:tc>
        <w:tc>
          <w:tcPr>
            <w:tcW w:w="448" w:type="pct"/>
            <w:vMerge w:val="restart"/>
            <w:tcBorders>
              <w:top w:val="single" w:sz="4" w:space="0" w:color="auto"/>
              <w:left w:val="single" w:sz="4" w:space="0" w:color="auto"/>
              <w:bottom w:val="single" w:sz="4" w:space="0" w:color="auto"/>
              <w:right w:val="sing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Reklasifikacija</w:t>
            </w:r>
          </w:p>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eastAsia="Times New Roman" w:hAnsi="Calibri" w:cs="Calibri"/>
                <w:b/>
                <w:sz w:val="15"/>
                <w:szCs w:val="15"/>
                <w:lang w:val="hr-HR"/>
              </w:rPr>
              <w:t>000 kuna</w:t>
            </w:r>
          </w:p>
        </w:tc>
        <w:tc>
          <w:tcPr>
            <w:tcW w:w="1545" w:type="pct"/>
            <w:gridSpan w:val="4"/>
            <w:tcBorders>
              <w:top w:val="single" w:sz="4" w:space="0" w:color="auto"/>
              <w:left w:val="single" w:sz="4" w:space="0" w:color="auto"/>
              <w:bottom w:val="single" w:sz="4" w:space="0" w:color="auto"/>
              <w:right w:val="single" w:sz="4" w:space="0" w:color="auto"/>
            </w:tcBorders>
            <w:shd w:val="clear" w:color="auto" w:fill="FFFFFF"/>
          </w:tcPr>
          <w:p w:rsidR="00D77C69" w:rsidRPr="001567C8" w:rsidRDefault="00D77C69" w:rsidP="000A5924">
            <w:pPr>
              <w:pStyle w:val="Style26"/>
              <w:shd w:val="clear" w:color="auto" w:fill="auto"/>
              <w:spacing w:before="0" w:line="240" w:lineRule="auto"/>
              <w:ind w:firstLine="0"/>
              <w:jc w:val="center"/>
              <w:rPr>
                <w:rStyle w:val="CharStyle65"/>
                <w:rFonts w:ascii="Calibri" w:hAnsi="Calibri" w:cs="Calibri"/>
                <w:b/>
                <w:sz w:val="15"/>
                <w:szCs w:val="15"/>
                <w:lang w:val="hr-HR"/>
              </w:rPr>
            </w:pPr>
            <w:r w:rsidRPr="001567C8">
              <w:rPr>
                <w:rStyle w:val="CharStyle65"/>
                <w:rFonts w:ascii="Calibri" w:hAnsi="Calibri" w:cs="Calibri"/>
                <w:b/>
                <w:sz w:val="15"/>
                <w:szCs w:val="15"/>
                <w:lang w:val="hr-HR"/>
              </w:rPr>
              <w:t>Ponovno mjerenje</w:t>
            </w:r>
          </w:p>
        </w:tc>
        <w:tc>
          <w:tcPr>
            <w:tcW w:w="912"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b/>
                <w:sz w:val="15"/>
                <w:szCs w:val="15"/>
                <w:lang w:val="hr-HR"/>
              </w:rPr>
            </w:pPr>
            <w:r w:rsidRPr="001567C8">
              <w:rPr>
                <w:rStyle w:val="CharStyle65"/>
                <w:rFonts w:ascii="Calibri" w:hAnsi="Calibri" w:cs="Calibri"/>
                <w:b/>
                <w:sz w:val="15"/>
                <w:szCs w:val="15"/>
                <w:lang w:val="hr-HR"/>
              </w:rPr>
              <w:t>MSFI 9</w:t>
            </w:r>
          </w:p>
        </w:tc>
      </w:tr>
      <w:tr w:rsidR="00D77C69" w:rsidRPr="001567C8" w:rsidTr="003C6BA3">
        <w:trPr>
          <w:trHeight w:hRule="exact" w:val="1139"/>
          <w:jc w:val="center"/>
        </w:trPr>
        <w:tc>
          <w:tcPr>
            <w:tcW w:w="1263" w:type="pct"/>
            <w:tcBorders>
              <w:top w:val="single" w:sz="4" w:space="0" w:color="auto"/>
              <w:left w:val="single" w:sz="4" w:space="0" w:color="auto"/>
              <w:bottom w:val="single" w:sz="4" w:space="0" w:color="auto"/>
              <w:right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both"/>
              <w:rPr>
                <w:rFonts w:ascii="Calibri" w:hAnsi="Calibri" w:cs="Calibri"/>
                <w:sz w:val="15"/>
                <w:szCs w:val="15"/>
                <w:lang w:val="hr-HR"/>
              </w:rPr>
            </w:pPr>
          </w:p>
        </w:tc>
        <w:tc>
          <w:tcPr>
            <w:tcW w:w="460" w:type="pct"/>
            <w:tcBorders>
              <w:top w:val="single" w:sz="4" w:space="0" w:color="auto"/>
              <w:left w:val="single" w:sz="4" w:space="0" w:color="auto"/>
              <w:bottom w:val="single" w:sz="4" w:space="0" w:color="auto"/>
              <w:right w:val="single" w:sz="4" w:space="0" w:color="auto"/>
            </w:tcBorders>
            <w:shd w:val="clear" w:color="auto" w:fill="auto"/>
            <w:vAlign w:val="bottom"/>
          </w:tcPr>
          <w:p w:rsidR="00D77C69" w:rsidRPr="00CD3A2D" w:rsidRDefault="00D77C69" w:rsidP="003C6BA3">
            <w:pPr>
              <w:pStyle w:val="Style26"/>
              <w:shd w:val="clear" w:color="auto" w:fill="auto"/>
              <w:spacing w:before="0" w:line="240" w:lineRule="auto"/>
              <w:ind w:left="160" w:right="57" w:firstLine="0"/>
              <w:jc w:val="center"/>
              <w:rPr>
                <w:rFonts w:ascii="Calibri" w:hAnsi="Calibri" w:cs="Calibri"/>
                <w:b/>
                <w:sz w:val="15"/>
                <w:szCs w:val="15"/>
                <w:lang w:val="hr-HR"/>
              </w:rPr>
            </w:pPr>
            <w:r w:rsidRPr="001567C8">
              <w:rPr>
                <w:rStyle w:val="CharStyle65"/>
                <w:rFonts w:ascii="Calibri" w:hAnsi="Calibri" w:cs="Calibri"/>
                <w:b/>
                <w:sz w:val="15"/>
                <w:szCs w:val="15"/>
                <w:lang w:val="hr-HR"/>
              </w:rPr>
              <w:t>Klasifikacija financijske imovine</w:t>
            </w:r>
          </w:p>
        </w:tc>
        <w:tc>
          <w:tcPr>
            <w:tcW w:w="373" w:type="pct"/>
            <w:tcBorders>
              <w:top w:val="single" w:sz="4" w:space="0" w:color="auto"/>
              <w:left w:val="single" w:sz="4" w:space="0" w:color="auto"/>
              <w:bottom w:val="single" w:sz="4" w:space="0" w:color="auto"/>
              <w:right w:val="single" w:sz="4" w:space="0" w:color="auto"/>
            </w:tcBorders>
            <w:shd w:val="clear" w:color="auto" w:fill="auto"/>
            <w:vAlign w:val="bottom"/>
          </w:tcPr>
          <w:p w:rsidR="00D77C69" w:rsidRPr="001567C8" w:rsidRDefault="00D77C69" w:rsidP="003C6BA3">
            <w:pPr>
              <w:pStyle w:val="Style26"/>
              <w:shd w:val="clear" w:color="auto" w:fill="auto"/>
              <w:spacing w:before="0" w:line="240" w:lineRule="auto"/>
              <w:ind w:left="200" w:right="57"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Iznos</w:t>
            </w:r>
          </w:p>
          <w:p w:rsidR="00D77C69" w:rsidRPr="001567C8" w:rsidRDefault="00D77C69" w:rsidP="003C6BA3">
            <w:pPr>
              <w:pStyle w:val="Style26"/>
              <w:shd w:val="clear" w:color="auto" w:fill="auto"/>
              <w:spacing w:before="0" w:line="240" w:lineRule="auto"/>
              <w:ind w:left="200" w:right="57" w:firstLine="0"/>
              <w:jc w:val="right"/>
              <w:rPr>
                <w:rStyle w:val="CharStyle65"/>
                <w:rFonts w:ascii="Calibri" w:hAnsi="Calibri" w:cs="Calibri"/>
                <w:b/>
                <w:sz w:val="15"/>
                <w:szCs w:val="15"/>
                <w:lang w:val="hr-HR"/>
              </w:rPr>
            </w:pPr>
          </w:p>
          <w:p w:rsidR="00D77C69" w:rsidRPr="00CD3A2D" w:rsidRDefault="00D77C69" w:rsidP="003C6BA3">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eastAsia="Times New Roman" w:hAnsi="Calibri" w:cs="Calibri"/>
                <w:b/>
                <w:sz w:val="15"/>
                <w:szCs w:val="15"/>
                <w:lang w:val="hr-HR"/>
              </w:rPr>
              <w:t>000 kuna</w:t>
            </w:r>
          </w:p>
        </w:tc>
        <w:tc>
          <w:tcPr>
            <w:tcW w:w="448" w:type="pct"/>
            <w:vMerge/>
            <w:tcBorders>
              <w:top w:val="single" w:sz="4" w:space="0" w:color="auto"/>
              <w:left w:val="single" w:sz="4" w:space="0" w:color="auto"/>
              <w:bottom w:val="single" w:sz="4" w:space="0" w:color="auto"/>
              <w:right w:val="single" w:sz="4" w:space="0" w:color="auto"/>
            </w:tcBorders>
            <w:shd w:val="clear" w:color="auto" w:fill="FFFFFF"/>
            <w:vAlign w:val="bottom"/>
          </w:tcPr>
          <w:p w:rsidR="00D77C69" w:rsidRPr="00CD3A2D" w:rsidRDefault="00D77C69" w:rsidP="003C6BA3">
            <w:pPr>
              <w:pStyle w:val="Style26"/>
              <w:shd w:val="clear" w:color="auto" w:fill="auto"/>
              <w:spacing w:before="0" w:line="240" w:lineRule="auto"/>
              <w:ind w:right="57" w:firstLine="0"/>
              <w:jc w:val="right"/>
              <w:rPr>
                <w:rFonts w:ascii="Calibri" w:hAnsi="Calibri" w:cs="Calibri"/>
                <w:b/>
                <w:sz w:val="15"/>
                <w:szCs w:val="15"/>
                <w:lang w:val="hr-HR"/>
              </w:rPr>
            </w:pPr>
          </w:p>
        </w:tc>
        <w:tc>
          <w:tcPr>
            <w:tcW w:w="347" w:type="pct"/>
            <w:tcBorders>
              <w:top w:val="single" w:sz="4" w:space="0" w:color="auto"/>
              <w:left w:val="single" w:sz="4" w:space="0" w:color="auto"/>
              <w:bottom w:val="single" w:sz="4" w:space="0" w:color="auto"/>
              <w:right w:val="single" w:sz="4" w:space="0" w:color="auto"/>
            </w:tcBorders>
            <w:shd w:val="clear" w:color="auto" w:fill="FFFFFF"/>
            <w:vAlign w:val="bottom"/>
          </w:tcPr>
          <w:p w:rsidR="00D77C69" w:rsidRPr="001567C8" w:rsidRDefault="00D77C69" w:rsidP="003C6BA3">
            <w:pPr>
              <w:pStyle w:val="Style26"/>
              <w:shd w:val="clear" w:color="auto" w:fill="auto"/>
              <w:spacing w:before="0" w:line="240" w:lineRule="auto"/>
              <w:ind w:right="57"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Očekivani kreditni gubitak</w:t>
            </w:r>
          </w:p>
          <w:p w:rsidR="00D77C69" w:rsidRPr="00CD3A2D" w:rsidRDefault="00D77C69" w:rsidP="003C6BA3">
            <w:pPr>
              <w:pStyle w:val="Style26"/>
              <w:shd w:val="clear" w:color="auto" w:fill="auto"/>
              <w:spacing w:before="0" w:line="240" w:lineRule="auto"/>
              <w:ind w:right="57" w:firstLine="0"/>
              <w:jc w:val="right"/>
              <w:rPr>
                <w:rFonts w:ascii="Calibri" w:hAnsi="Calibri" w:cs="Calibri"/>
                <w:b/>
                <w:color w:val="000000"/>
                <w:sz w:val="15"/>
                <w:szCs w:val="15"/>
                <w:shd w:val="clear" w:color="auto" w:fill="FFFFFF"/>
                <w:lang w:val="hr-HR" w:bidi="en-US"/>
              </w:rPr>
            </w:pPr>
            <w:r w:rsidRPr="00CD3A2D">
              <w:rPr>
                <w:rFonts w:ascii="Calibri" w:eastAsia="Times New Roman" w:hAnsi="Calibri" w:cs="Calibri"/>
                <w:b/>
                <w:sz w:val="15"/>
                <w:szCs w:val="15"/>
                <w:lang w:val="hr-HR"/>
              </w:rPr>
              <w:t>000 kuna</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bottom"/>
          </w:tcPr>
          <w:p w:rsidR="00D77C69" w:rsidRPr="00CD3A2D" w:rsidRDefault="00D77C69" w:rsidP="003C6BA3">
            <w:pPr>
              <w:pStyle w:val="Style26"/>
              <w:shd w:val="clear" w:color="auto" w:fill="auto"/>
              <w:spacing w:before="0" w:line="240" w:lineRule="auto"/>
              <w:ind w:right="57" w:firstLine="0"/>
              <w:jc w:val="right"/>
              <w:rPr>
                <w:rFonts w:ascii="Calibri" w:hAnsi="Calibri" w:cs="Calibri"/>
                <w:b/>
                <w:sz w:val="15"/>
                <w:szCs w:val="15"/>
                <w:lang w:val="hr-HR"/>
              </w:rPr>
            </w:pPr>
            <w:r w:rsidRPr="00CD3A2D">
              <w:rPr>
                <w:rFonts w:ascii="Calibri" w:hAnsi="Calibri" w:cs="Calibri"/>
                <w:b/>
                <w:sz w:val="15"/>
                <w:szCs w:val="15"/>
                <w:lang w:val="hr-HR"/>
              </w:rPr>
              <w:t>Rezervacije priznate u ostaloj sveobuhvatnoj dobiti</w:t>
            </w:r>
          </w:p>
          <w:p w:rsidR="00D77C69" w:rsidRPr="00CD3A2D" w:rsidRDefault="00D77C69" w:rsidP="003C6BA3">
            <w:pPr>
              <w:pStyle w:val="Style26"/>
              <w:shd w:val="clear" w:color="auto" w:fill="auto"/>
              <w:spacing w:before="0" w:line="240" w:lineRule="auto"/>
              <w:ind w:right="57" w:firstLine="0"/>
              <w:jc w:val="right"/>
              <w:rPr>
                <w:rFonts w:ascii="Calibri" w:hAnsi="Calibri" w:cs="Calibri"/>
                <w:sz w:val="15"/>
                <w:szCs w:val="15"/>
                <w:lang w:val="hr-HR"/>
              </w:rPr>
            </w:pPr>
            <w:r w:rsidRPr="00CD3A2D">
              <w:rPr>
                <w:rFonts w:ascii="Calibri" w:eastAsia="Times New Roman" w:hAnsi="Calibri" w:cs="Calibri"/>
                <w:b/>
                <w:sz w:val="15"/>
                <w:szCs w:val="15"/>
                <w:lang w:val="hr-HR"/>
              </w:rPr>
              <w:t>000 kuna</w:t>
            </w:r>
          </w:p>
        </w:tc>
        <w:tc>
          <w:tcPr>
            <w:tcW w:w="362" w:type="pct"/>
            <w:tcBorders>
              <w:top w:val="single" w:sz="4" w:space="0" w:color="auto"/>
              <w:left w:val="single" w:sz="4" w:space="0" w:color="auto"/>
              <w:bottom w:val="single" w:sz="4" w:space="0" w:color="auto"/>
              <w:right w:val="single" w:sz="4" w:space="0" w:color="auto"/>
            </w:tcBorders>
            <w:shd w:val="clear" w:color="auto" w:fill="FFFFFF"/>
            <w:vAlign w:val="bottom"/>
          </w:tcPr>
          <w:p w:rsidR="00D77C69" w:rsidRPr="001567C8" w:rsidRDefault="00D77C69" w:rsidP="003C6BA3">
            <w:pPr>
              <w:pStyle w:val="Style26"/>
              <w:shd w:val="clear" w:color="auto" w:fill="auto"/>
              <w:spacing w:before="0" w:line="240" w:lineRule="auto"/>
              <w:ind w:right="57"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Ostalo</w:t>
            </w:r>
            <w:r w:rsidRPr="00CD3A2D">
              <w:rPr>
                <w:rStyle w:val="FootnoteReference"/>
                <w:rFonts w:ascii="Calibri" w:hAnsi="Calibri" w:cs="Calibri"/>
                <w:b/>
                <w:color w:val="000000"/>
                <w:sz w:val="15"/>
                <w:szCs w:val="15"/>
                <w:shd w:val="clear" w:color="auto" w:fill="FFFFFF"/>
                <w:lang w:val="hr-HR" w:bidi="en-US"/>
              </w:rPr>
              <w:footnoteReference w:id="3"/>
            </w:r>
            <w:r w:rsidRPr="001567C8">
              <w:rPr>
                <w:rStyle w:val="CharStyle65"/>
                <w:rFonts w:ascii="Calibri" w:hAnsi="Calibri" w:cs="Calibri"/>
                <w:b/>
                <w:sz w:val="15"/>
                <w:szCs w:val="15"/>
                <w:lang w:val="hr-HR"/>
              </w:rPr>
              <w:t xml:space="preserve"> </w:t>
            </w:r>
          </w:p>
          <w:p w:rsidR="00D77C69" w:rsidRPr="001567C8" w:rsidRDefault="00D77C69" w:rsidP="003C6BA3">
            <w:pPr>
              <w:pStyle w:val="Style26"/>
              <w:shd w:val="clear" w:color="auto" w:fill="auto"/>
              <w:spacing w:before="0" w:line="240" w:lineRule="auto"/>
              <w:ind w:right="57"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000 kuna</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bottom"/>
          </w:tcPr>
          <w:p w:rsidR="00D77C69" w:rsidRPr="001567C8" w:rsidRDefault="00D77C69" w:rsidP="003C6BA3">
            <w:pPr>
              <w:pStyle w:val="Style26"/>
              <w:shd w:val="clear" w:color="auto" w:fill="auto"/>
              <w:spacing w:before="0" w:line="240" w:lineRule="auto"/>
              <w:ind w:right="57"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Učinak svođenja na fer vrijednost</w:t>
            </w:r>
          </w:p>
          <w:p w:rsidR="00D77C69" w:rsidRPr="00CD3A2D" w:rsidRDefault="00D77C69" w:rsidP="003C6BA3">
            <w:pPr>
              <w:pStyle w:val="Style26"/>
              <w:shd w:val="clear" w:color="auto" w:fill="auto"/>
              <w:spacing w:before="0" w:line="240" w:lineRule="auto"/>
              <w:ind w:right="57" w:firstLine="0"/>
              <w:jc w:val="right"/>
              <w:rPr>
                <w:rFonts w:ascii="Calibri" w:hAnsi="Calibri" w:cs="Calibri"/>
                <w:b/>
                <w:sz w:val="15"/>
                <w:szCs w:val="15"/>
                <w:lang w:val="hr-HR"/>
              </w:rPr>
            </w:pPr>
            <w:r w:rsidRPr="00CD3A2D">
              <w:rPr>
                <w:rFonts w:ascii="Calibri" w:eastAsia="Times New Roman" w:hAnsi="Calibri" w:cs="Calibri"/>
                <w:b/>
                <w:sz w:val="15"/>
                <w:szCs w:val="15"/>
                <w:lang w:val="hr-HR"/>
              </w:rPr>
              <w:t>000 kuna</w:t>
            </w:r>
          </w:p>
        </w:tc>
        <w:tc>
          <w:tcPr>
            <w:tcW w:w="373" w:type="pct"/>
            <w:tcBorders>
              <w:top w:val="single" w:sz="4" w:space="0" w:color="auto"/>
              <w:left w:val="single" w:sz="4" w:space="0" w:color="auto"/>
              <w:bottom w:val="single" w:sz="4" w:space="0" w:color="auto"/>
              <w:right w:val="single" w:sz="4" w:space="0" w:color="auto"/>
            </w:tcBorders>
            <w:shd w:val="clear" w:color="auto" w:fill="auto"/>
            <w:vAlign w:val="bottom"/>
          </w:tcPr>
          <w:p w:rsidR="00D77C69" w:rsidRPr="001567C8" w:rsidRDefault="00D77C69" w:rsidP="003C6BA3">
            <w:pPr>
              <w:pStyle w:val="Style26"/>
              <w:shd w:val="clear" w:color="auto" w:fill="auto"/>
              <w:spacing w:before="0" w:line="240" w:lineRule="auto"/>
              <w:ind w:left="200" w:right="57" w:firstLine="0"/>
              <w:rPr>
                <w:rStyle w:val="CharStyle65"/>
                <w:rFonts w:ascii="Calibri" w:hAnsi="Calibri" w:cs="Calibri"/>
                <w:b/>
                <w:sz w:val="15"/>
                <w:szCs w:val="15"/>
                <w:lang w:val="hr-HR"/>
              </w:rPr>
            </w:pPr>
            <w:r w:rsidRPr="001567C8">
              <w:rPr>
                <w:rStyle w:val="CharStyle65"/>
                <w:rFonts w:ascii="Calibri" w:hAnsi="Calibri" w:cs="Calibri"/>
                <w:b/>
                <w:sz w:val="15"/>
                <w:szCs w:val="15"/>
                <w:lang w:val="hr-HR"/>
              </w:rPr>
              <w:t>Iznos</w:t>
            </w:r>
          </w:p>
          <w:p w:rsidR="00D77C69" w:rsidRPr="00CD3A2D" w:rsidRDefault="00D77C69" w:rsidP="003C6BA3">
            <w:pPr>
              <w:pStyle w:val="Style26"/>
              <w:shd w:val="clear" w:color="auto" w:fill="auto"/>
              <w:spacing w:before="0" w:line="240" w:lineRule="auto"/>
              <w:ind w:right="57" w:firstLine="0"/>
              <w:rPr>
                <w:rFonts w:ascii="Calibri" w:hAnsi="Calibri" w:cs="Calibri"/>
                <w:b/>
                <w:sz w:val="15"/>
                <w:szCs w:val="15"/>
                <w:lang w:val="hr-HR"/>
              </w:rPr>
            </w:pPr>
            <w:r w:rsidRPr="00CD3A2D">
              <w:rPr>
                <w:rFonts w:ascii="Calibri" w:eastAsia="Times New Roman" w:hAnsi="Calibri" w:cs="Calibri"/>
                <w:b/>
                <w:sz w:val="15"/>
                <w:szCs w:val="15"/>
                <w:lang w:val="hr-HR"/>
              </w:rPr>
              <w:t>000 kuna</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tcPr>
          <w:p w:rsidR="00D77C69" w:rsidRPr="00CD3A2D" w:rsidRDefault="00D77C69" w:rsidP="003C6BA3">
            <w:pPr>
              <w:pStyle w:val="Style26"/>
              <w:shd w:val="clear" w:color="auto" w:fill="auto"/>
              <w:spacing w:before="0" w:line="240" w:lineRule="auto"/>
              <w:ind w:left="160" w:right="57" w:firstLine="0"/>
              <w:jc w:val="center"/>
              <w:rPr>
                <w:rFonts w:ascii="Calibri" w:hAnsi="Calibri" w:cs="Calibri"/>
                <w:b/>
                <w:sz w:val="15"/>
                <w:szCs w:val="15"/>
                <w:lang w:val="hr-HR"/>
              </w:rPr>
            </w:pPr>
            <w:r w:rsidRPr="001567C8">
              <w:rPr>
                <w:rStyle w:val="CharStyle65"/>
                <w:rFonts w:ascii="Calibri" w:hAnsi="Calibri" w:cs="Calibri"/>
                <w:b/>
                <w:sz w:val="15"/>
                <w:szCs w:val="15"/>
                <w:lang w:val="hr-HR"/>
              </w:rPr>
              <w:t>Klasifikacija financijske imovine</w:t>
            </w:r>
          </w:p>
        </w:tc>
      </w:tr>
      <w:tr w:rsidR="00D77C69" w:rsidRPr="001567C8" w:rsidTr="003C6BA3">
        <w:trPr>
          <w:trHeight w:hRule="exact" w:val="212"/>
          <w:jc w:val="center"/>
        </w:trPr>
        <w:tc>
          <w:tcPr>
            <w:tcW w:w="1263" w:type="pct"/>
            <w:tcBorders>
              <w:top w:val="sing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both"/>
              <w:rPr>
                <w:rStyle w:val="CharStyle65"/>
                <w:rFonts w:ascii="Calibri" w:hAnsi="Calibri" w:cs="Calibri"/>
                <w:b/>
                <w:sz w:val="15"/>
                <w:szCs w:val="15"/>
                <w:lang w:val="hr-HR"/>
              </w:rPr>
            </w:pPr>
            <w:r w:rsidRPr="001567C8">
              <w:rPr>
                <w:rStyle w:val="CharStyle65"/>
                <w:rFonts w:ascii="Calibri" w:hAnsi="Calibri" w:cs="Calibri"/>
                <w:b/>
                <w:sz w:val="15"/>
                <w:szCs w:val="15"/>
                <w:lang w:val="hr-HR"/>
              </w:rPr>
              <w:t>Financijska imovina</w:t>
            </w:r>
          </w:p>
        </w:tc>
        <w:tc>
          <w:tcPr>
            <w:tcW w:w="460" w:type="pct"/>
            <w:tcBorders>
              <w:top w:val="single" w:sz="4" w:space="0" w:color="auto"/>
            </w:tcBorders>
            <w:shd w:val="clear" w:color="auto" w:fill="auto"/>
            <w:vAlign w:val="bottom"/>
          </w:tcPr>
          <w:p w:rsidR="00D77C69" w:rsidRPr="001567C8" w:rsidRDefault="00D77C69" w:rsidP="000A5924">
            <w:pPr>
              <w:pStyle w:val="Style26"/>
              <w:shd w:val="clear" w:color="auto" w:fill="auto"/>
              <w:spacing w:before="0" w:line="240" w:lineRule="auto"/>
              <w:ind w:left="160" w:firstLine="0"/>
              <w:jc w:val="center"/>
              <w:rPr>
                <w:rStyle w:val="CharStyle65"/>
                <w:rFonts w:ascii="Calibri" w:hAnsi="Calibri" w:cs="Calibri"/>
                <w:sz w:val="15"/>
                <w:szCs w:val="15"/>
                <w:lang w:val="hr-HR"/>
              </w:rPr>
            </w:pPr>
          </w:p>
        </w:tc>
        <w:tc>
          <w:tcPr>
            <w:tcW w:w="373" w:type="pct"/>
            <w:tcBorders>
              <w:top w:val="single" w:sz="4" w:space="0" w:color="auto"/>
            </w:tcBorders>
            <w:shd w:val="clear" w:color="auto" w:fill="auto"/>
            <w:vAlign w:val="bottom"/>
          </w:tcPr>
          <w:p w:rsidR="00D77C69" w:rsidRPr="001567C8" w:rsidRDefault="00D77C69" w:rsidP="000A5924">
            <w:pPr>
              <w:pStyle w:val="Style26"/>
              <w:shd w:val="clear" w:color="auto" w:fill="auto"/>
              <w:spacing w:before="0" w:line="240" w:lineRule="auto"/>
              <w:ind w:left="200" w:firstLine="0"/>
              <w:jc w:val="center"/>
              <w:rPr>
                <w:rStyle w:val="CharStyle65"/>
                <w:rFonts w:ascii="Calibri" w:hAnsi="Calibri" w:cs="Calibri"/>
                <w:sz w:val="15"/>
                <w:szCs w:val="15"/>
                <w:lang w:val="hr-HR"/>
              </w:rPr>
            </w:pPr>
          </w:p>
        </w:tc>
        <w:tc>
          <w:tcPr>
            <w:tcW w:w="448" w:type="pct"/>
            <w:tcBorders>
              <w:top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right="220" w:firstLine="0"/>
              <w:jc w:val="center"/>
              <w:rPr>
                <w:rFonts w:ascii="Calibri" w:hAnsi="Calibri" w:cs="Calibri"/>
                <w:b/>
                <w:sz w:val="15"/>
                <w:szCs w:val="15"/>
                <w:lang w:val="hr-HR"/>
              </w:rPr>
            </w:pPr>
          </w:p>
        </w:tc>
        <w:tc>
          <w:tcPr>
            <w:tcW w:w="347" w:type="pct"/>
            <w:tcBorders>
              <w:top w:val="sing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right="280" w:firstLine="0"/>
              <w:jc w:val="center"/>
              <w:rPr>
                <w:rStyle w:val="CharStyle65"/>
                <w:rFonts w:ascii="Calibri" w:hAnsi="Calibri" w:cs="Calibri"/>
                <w:sz w:val="15"/>
                <w:szCs w:val="15"/>
                <w:lang w:val="hr-HR"/>
              </w:rPr>
            </w:pPr>
          </w:p>
        </w:tc>
        <w:tc>
          <w:tcPr>
            <w:tcW w:w="469" w:type="pct"/>
            <w:tcBorders>
              <w:top w:val="sing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center"/>
              <w:rPr>
                <w:rStyle w:val="CharStyle65"/>
                <w:rFonts w:ascii="Calibri" w:hAnsi="Calibri" w:cs="Calibri"/>
                <w:sz w:val="15"/>
                <w:szCs w:val="15"/>
                <w:lang w:val="hr-HR"/>
              </w:rPr>
            </w:pPr>
          </w:p>
        </w:tc>
        <w:tc>
          <w:tcPr>
            <w:tcW w:w="362" w:type="pct"/>
            <w:tcBorders>
              <w:top w:val="single" w:sz="4" w:space="0" w:color="auto"/>
            </w:tcBorders>
            <w:shd w:val="clear" w:color="auto" w:fill="FFFFFF"/>
          </w:tcPr>
          <w:p w:rsidR="00D77C69" w:rsidRPr="001567C8" w:rsidRDefault="00D77C69" w:rsidP="000A5924">
            <w:pPr>
              <w:pStyle w:val="Style26"/>
              <w:shd w:val="clear" w:color="auto" w:fill="auto"/>
              <w:spacing w:before="0" w:line="240" w:lineRule="auto"/>
              <w:ind w:firstLine="0"/>
              <w:jc w:val="center"/>
              <w:rPr>
                <w:rStyle w:val="CharStyle65"/>
                <w:rFonts w:ascii="Calibri" w:hAnsi="Calibri" w:cs="Calibri"/>
                <w:sz w:val="15"/>
                <w:szCs w:val="15"/>
                <w:lang w:val="hr-HR"/>
              </w:rPr>
            </w:pPr>
          </w:p>
        </w:tc>
        <w:tc>
          <w:tcPr>
            <w:tcW w:w="367" w:type="pct"/>
            <w:tcBorders>
              <w:top w:val="sing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center"/>
              <w:rPr>
                <w:rStyle w:val="CharStyle65"/>
                <w:rFonts w:ascii="Calibri" w:hAnsi="Calibri" w:cs="Calibri"/>
                <w:sz w:val="15"/>
                <w:szCs w:val="15"/>
                <w:lang w:val="hr-HR"/>
              </w:rPr>
            </w:pPr>
          </w:p>
        </w:tc>
        <w:tc>
          <w:tcPr>
            <w:tcW w:w="373" w:type="pct"/>
            <w:tcBorders>
              <w:top w:val="sing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center"/>
              <w:rPr>
                <w:rStyle w:val="CharStyle65"/>
                <w:rFonts w:ascii="Calibri" w:hAnsi="Calibri" w:cs="Calibri"/>
                <w:sz w:val="15"/>
                <w:szCs w:val="15"/>
                <w:lang w:val="hr-HR"/>
              </w:rPr>
            </w:pPr>
          </w:p>
        </w:tc>
        <w:tc>
          <w:tcPr>
            <w:tcW w:w="539" w:type="pct"/>
            <w:tcBorders>
              <w:top w:val="single" w:sz="4" w:space="0" w:color="auto"/>
            </w:tcBorders>
            <w:shd w:val="clear" w:color="auto" w:fill="auto"/>
            <w:vAlign w:val="bottom"/>
          </w:tcPr>
          <w:p w:rsidR="00D77C69" w:rsidRPr="001567C8" w:rsidRDefault="00D77C69" w:rsidP="000A5924">
            <w:pPr>
              <w:pStyle w:val="Style26"/>
              <w:shd w:val="clear" w:color="auto" w:fill="auto"/>
              <w:spacing w:before="0" w:line="240" w:lineRule="auto"/>
              <w:ind w:left="160" w:firstLine="0"/>
              <w:jc w:val="center"/>
              <w:rPr>
                <w:rStyle w:val="CharStyle65"/>
                <w:rFonts w:ascii="Calibri" w:hAnsi="Calibri" w:cs="Calibri"/>
                <w:sz w:val="15"/>
                <w:szCs w:val="15"/>
                <w:lang w:val="hr-HR"/>
              </w:rPr>
            </w:pPr>
          </w:p>
        </w:tc>
      </w:tr>
      <w:tr w:rsidR="00D77C69" w:rsidRPr="001567C8" w:rsidTr="003C6BA3">
        <w:trPr>
          <w:trHeight w:hRule="exact" w:val="198"/>
          <w:jc w:val="center"/>
        </w:trPr>
        <w:tc>
          <w:tcPr>
            <w:tcW w:w="1263" w:type="pct"/>
            <w:vAlign w:val="bottom"/>
          </w:tcPr>
          <w:p w:rsidR="00D77C69" w:rsidRPr="00CD3A2D" w:rsidRDefault="00D77C69" w:rsidP="000A5924">
            <w:pPr>
              <w:tabs>
                <w:tab w:val="right" w:pos="1202"/>
              </w:tabs>
              <w:outlineLvl w:val="0"/>
              <w:rPr>
                <w:rFonts w:ascii="Calibri" w:hAnsi="Calibri" w:cs="Calibri"/>
                <w:sz w:val="15"/>
                <w:szCs w:val="15"/>
                <w:lang w:val="hr-HR"/>
              </w:rPr>
            </w:pPr>
            <w:r w:rsidRPr="00CD3A2D">
              <w:rPr>
                <w:rFonts w:ascii="Calibri" w:hAnsi="Calibri" w:cs="Calibri"/>
                <w:sz w:val="15"/>
                <w:szCs w:val="15"/>
                <w:lang w:val="hr-HR"/>
              </w:rPr>
              <w:t>Novčana sredstva i računi kod banaka</w:t>
            </w:r>
          </w:p>
        </w:tc>
        <w:tc>
          <w:tcPr>
            <w:tcW w:w="460" w:type="pct"/>
            <w:shd w:val="clear" w:color="auto" w:fill="auto"/>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sz w:val="15"/>
                <w:szCs w:val="15"/>
                <w:lang w:val="hr-HR"/>
              </w:rPr>
            </w:pPr>
            <w:r w:rsidRPr="001567C8">
              <w:rPr>
                <w:rStyle w:val="CharStyle65"/>
                <w:rFonts w:ascii="Calibri" w:hAnsi="Calibri" w:cs="Calibri"/>
                <w:sz w:val="15"/>
                <w:szCs w:val="15"/>
                <w:lang w:val="hr-HR"/>
              </w:rPr>
              <w:t>Z i P</w:t>
            </w:r>
            <w:r w:rsidRPr="001567C8">
              <w:rPr>
                <w:rStyle w:val="CharStyle65"/>
                <w:rFonts w:ascii="Calibri" w:hAnsi="Calibri" w:cs="Calibri"/>
                <w:sz w:val="15"/>
                <w:szCs w:val="15"/>
                <w:vertAlign w:val="superscript"/>
                <w:lang w:val="hr-HR"/>
              </w:rPr>
              <w:footnoteReference w:id="4"/>
            </w:r>
          </w:p>
        </w:tc>
        <w:tc>
          <w:tcPr>
            <w:tcW w:w="373" w:type="pct"/>
            <w:tcBorders>
              <w:top w:val="nil"/>
              <w:left w:val="nil"/>
              <w:bottom w:val="nil"/>
              <w:right w:val="nil"/>
            </w:tcBorders>
            <w:shd w:val="clear" w:color="auto" w:fill="auto"/>
            <w:vAlign w:val="center"/>
          </w:tcPr>
          <w:p w:rsidR="00D77C69" w:rsidRPr="001567C8" w:rsidRDefault="00D77C69" w:rsidP="000A5924">
            <w:pPr>
              <w:pStyle w:val="TT"/>
              <w:spacing w:line="240" w:lineRule="auto"/>
              <w:jc w:val="right"/>
              <w:rPr>
                <w:rFonts w:ascii="Calibri" w:hAnsi="Calibri" w:cs="Calibri"/>
                <w:snapToGrid w:val="0"/>
                <w:sz w:val="15"/>
                <w:szCs w:val="15"/>
                <w:lang w:val="hr-HR"/>
              </w:rPr>
            </w:pPr>
            <w:r w:rsidRPr="001567C8">
              <w:rPr>
                <w:rFonts w:ascii="Calibri" w:hAnsi="Calibri" w:cs="Calibri"/>
                <w:color w:val="000000"/>
                <w:sz w:val="15"/>
                <w:szCs w:val="15"/>
                <w:lang w:val="hr-HR"/>
              </w:rPr>
              <w:t>1.403.664</w:t>
            </w:r>
          </w:p>
        </w:tc>
        <w:tc>
          <w:tcPr>
            <w:tcW w:w="448" w:type="pct"/>
            <w:shd w:val="clear" w:color="auto" w:fill="FFFFFF"/>
            <w:vAlign w:val="center"/>
          </w:tcPr>
          <w:p w:rsidR="00D77C69" w:rsidRPr="00CD3A2D" w:rsidRDefault="00D77C69" w:rsidP="000A5924">
            <w:pPr>
              <w:pStyle w:val="Style26"/>
              <w:shd w:val="clear" w:color="auto" w:fill="auto"/>
              <w:spacing w:before="0" w:line="240" w:lineRule="auto"/>
              <w:ind w:right="260" w:firstLine="0"/>
              <w:jc w:val="right"/>
              <w:rPr>
                <w:rFonts w:ascii="Calibri" w:hAnsi="Calibri" w:cs="Calibri"/>
                <w:sz w:val="15"/>
                <w:szCs w:val="15"/>
                <w:lang w:val="hr-HR"/>
              </w:rPr>
            </w:pPr>
            <w:r w:rsidRPr="001567C8">
              <w:rPr>
                <w:rStyle w:val="CharStyle65"/>
                <w:rFonts w:ascii="Calibri" w:hAnsi="Calibri" w:cs="Calibri"/>
                <w:sz w:val="15"/>
                <w:szCs w:val="15"/>
                <w:lang w:val="hr-HR"/>
              </w:rPr>
              <w:t>-</w:t>
            </w:r>
          </w:p>
        </w:tc>
        <w:tc>
          <w:tcPr>
            <w:tcW w:w="347"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1567C8">
              <w:rPr>
                <w:rStyle w:val="CharStyle65"/>
                <w:rFonts w:ascii="Calibri" w:hAnsi="Calibri" w:cs="Calibri"/>
                <w:sz w:val="15"/>
                <w:szCs w:val="15"/>
                <w:lang w:val="hr-HR"/>
              </w:rPr>
              <w:t>817</w:t>
            </w:r>
          </w:p>
        </w:tc>
        <w:tc>
          <w:tcPr>
            <w:tcW w:w="469"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2"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7"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73"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color w:val="000000"/>
                <w:sz w:val="15"/>
                <w:szCs w:val="15"/>
                <w:lang w:val="hr-HR"/>
              </w:rPr>
              <w:t>1.404.481</w:t>
            </w:r>
          </w:p>
        </w:tc>
        <w:tc>
          <w:tcPr>
            <w:tcW w:w="539" w:type="pct"/>
            <w:shd w:val="clear" w:color="auto" w:fill="FFFFFF"/>
            <w:vAlign w:val="bottom"/>
          </w:tcPr>
          <w:p w:rsidR="00D77C69" w:rsidRPr="00CD3A2D" w:rsidRDefault="00D77C69" w:rsidP="000A5924">
            <w:pPr>
              <w:pStyle w:val="Style26"/>
              <w:shd w:val="clear" w:color="auto" w:fill="auto"/>
              <w:spacing w:before="0" w:line="240" w:lineRule="auto"/>
              <w:ind w:left="40" w:firstLine="0"/>
              <w:jc w:val="center"/>
              <w:rPr>
                <w:rFonts w:ascii="Calibri" w:hAnsi="Calibri" w:cs="Calibri"/>
                <w:sz w:val="15"/>
                <w:szCs w:val="15"/>
                <w:lang w:val="hr-HR"/>
              </w:rPr>
            </w:pPr>
            <w:r w:rsidRPr="001567C8">
              <w:rPr>
                <w:rStyle w:val="CharStyle65"/>
                <w:rFonts w:ascii="Calibri" w:hAnsi="Calibri" w:cs="Calibri"/>
                <w:sz w:val="15"/>
                <w:szCs w:val="15"/>
                <w:lang w:val="hr-HR"/>
              </w:rPr>
              <w:t>AT</w:t>
            </w:r>
            <w:r w:rsidRPr="001567C8">
              <w:rPr>
                <w:rStyle w:val="CharStyle65"/>
                <w:rFonts w:ascii="Calibri" w:hAnsi="Calibri" w:cs="Calibri"/>
                <w:sz w:val="15"/>
                <w:szCs w:val="15"/>
                <w:vertAlign w:val="superscript"/>
                <w:lang w:val="hr-HR"/>
              </w:rPr>
              <w:footnoteReference w:id="5"/>
            </w:r>
          </w:p>
        </w:tc>
      </w:tr>
      <w:tr w:rsidR="00D77C69" w:rsidRPr="001567C8" w:rsidTr="003C6BA3">
        <w:trPr>
          <w:trHeight w:hRule="exact" w:val="198"/>
          <w:jc w:val="center"/>
        </w:trPr>
        <w:tc>
          <w:tcPr>
            <w:tcW w:w="1263" w:type="pct"/>
            <w:vAlign w:val="bottom"/>
          </w:tcPr>
          <w:p w:rsidR="00D77C69" w:rsidRPr="00CD3A2D" w:rsidRDefault="00D77C69" w:rsidP="000A5924">
            <w:pPr>
              <w:tabs>
                <w:tab w:val="right" w:pos="1202"/>
              </w:tabs>
              <w:outlineLvl w:val="0"/>
              <w:rPr>
                <w:rFonts w:ascii="Calibri" w:hAnsi="Calibri" w:cs="Calibri"/>
                <w:sz w:val="15"/>
                <w:szCs w:val="15"/>
                <w:lang w:val="hr-HR"/>
              </w:rPr>
            </w:pPr>
            <w:r w:rsidRPr="00CD3A2D">
              <w:rPr>
                <w:rFonts w:ascii="Calibri" w:hAnsi="Calibri" w:cs="Calibri"/>
                <w:sz w:val="15"/>
                <w:szCs w:val="15"/>
                <w:lang w:val="hr-HR"/>
              </w:rPr>
              <w:t>Depoziti kod drugih banaka</w:t>
            </w:r>
          </w:p>
        </w:tc>
        <w:tc>
          <w:tcPr>
            <w:tcW w:w="460" w:type="pct"/>
            <w:shd w:val="clear" w:color="auto" w:fill="auto"/>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sz w:val="15"/>
                <w:szCs w:val="15"/>
                <w:lang w:val="hr-HR"/>
              </w:rPr>
            </w:pPr>
            <w:r w:rsidRPr="001567C8">
              <w:rPr>
                <w:rStyle w:val="CharStyle65"/>
                <w:rFonts w:ascii="Calibri" w:hAnsi="Calibri" w:cs="Calibri"/>
                <w:sz w:val="15"/>
                <w:szCs w:val="15"/>
                <w:lang w:val="hr-HR"/>
              </w:rPr>
              <w:t>Z i P</w:t>
            </w:r>
          </w:p>
        </w:tc>
        <w:tc>
          <w:tcPr>
            <w:tcW w:w="373" w:type="pct"/>
            <w:tcBorders>
              <w:top w:val="nil"/>
              <w:left w:val="nil"/>
              <w:bottom w:val="nil"/>
              <w:right w:val="nil"/>
            </w:tcBorders>
            <w:shd w:val="clear" w:color="auto" w:fill="auto"/>
            <w:vAlign w:val="center"/>
          </w:tcPr>
          <w:p w:rsidR="00D77C69" w:rsidRPr="001567C8" w:rsidRDefault="00D77C69" w:rsidP="000A5924">
            <w:pPr>
              <w:pStyle w:val="TT"/>
              <w:spacing w:line="240" w:lineRule="auto"/>
              <w:jc w:val="right"/>
              <w:rPr>
                <w:rFonts w:ascii="Calibri" w:hAnsi="Calibri" w:cs="Calibri"/>
                <w:snapToGrid w:val="0"/>
                <w:sz w:val="15"/>
                <w:szCs w:val="15"/>
                <w:lang w:val="hr-HR"/>
              </w:rPr>
            </w:pPr>
            <w:r w:rsidRPr="001567C8">
              <w:rPr>
                <w:rFonts w:ascii="Calibri" w:hAnsi="Calibri" w:cs="Calibri"/>
                <w:color w:val="000000"/>
                <w:sz w:val="15"/>
                <w:szCs w:val="15"/>
                <w:lang w:val="hr-HR"/>
              </w:rPr>
              <w:t>29.138</w:t>
            </w:r>
          </w:p>
        </w:tc>
        <w:tc>
          <w:tcPr>
            <w:tcW w:w="448" w:type="pct"/>
            <w:shd w:val="clear" w:color="auto" w:fill="FFFFFF"/>
            <w:vAlign w:val="center"/>
          </w:tcPr>
          <w:p w:rsidR="00D77C69" w:rsidRPr="00CD3A2D" w:rsidRDefault="00D77C69" w:rsidP="000A5924">
            <w:pPr>
              <w:pStyle w:val="Style26"/>
              <w:shd w:val="clear" w:color="auto" w:fill="auto"/>
              <w:spacing w:before="0" w:line="240" w:lineRule="auto"/>
              <w:ind w:right="260" w:firstLine="0"/>
              <w:jc w:val="right"/>
              <w:rPr>
                <w:rFonts w:ascii="Calibri" w:hAnsi="Calibri" w:cs="Calibri"/>
                <w:sz w:val="15"/>
                <w:szCs w:val="15"/>
                <w:lang w:val="hr-HR"/>
              </w:rPr>
            </w:pPr>
            <w:r w:rsidRPr="001567C8">
              <w:rPr>
                <w:rStyle w:val="CharStyle65"/>
                <w:rFonts w:ascii="Calibri" w:hAnsi="Calibri" w:cs="Calibri"/>
                <w:sz w:val="15"/>
                <w:szCs w:val="15"/>
                <w:lang w:val="hr-HR"/>
              </w:rPr>
              <w:t>-</w:t>
            </w:r>
          </w:p>
        </w:tc>
        <w:tc>
          <w:tcPr>
            <w:tcW w:w="347"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1567C8">
              <w:rPr>
                <w:rStyle w:val="CharStyle65"/>
                <w:rFonts w:ascii="Calibri" w:hAnsi="Calibri" w:cs="Calibri"/>
                <w:sz w:val="15"/>
                <w:szCs w:val="15"/>
                <w:lang w:val="hr-HR"/>
              </w:rPr>
              <w:t>202</w:t>
            </w:r>
          </w:p>
        </w:tc>
        <w:tc>
          <w:tcPr>
            <w:tcW w:w="469"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2"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7"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73"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29.340</w:t>
            </w:r>
          </w:p>
        </w:tc>
        <w:tc>
          <w:tcPr>
            <w:tcW w:w="539" w:type="pct"/>
            <w:shd w:val="clear" w:color="auto" w:fill="FFFFFF"/>
            <w:vAlign w:val="bottom"/>
          </w:tcPr>
          <w:p w:rsidR="00D77C69" w:rsidRPr="00CD3A2D" w:rsidRDefault="00D77C69" w:rsidP="000A5924">
            <w:pPr>
              <w:pStyle w:val="Style26"/>
              <w:shd w:val="clear" w:color="auto" w:fill="auto"/>
              <w:spacing w:before="0" w:line="240" w:lineRule="auto"/>
              <w:ind w:left="40" w:firstLine="0"/>
              <w:jc w:val="center"/>
              <w:rPr>
                <w:rFonts w:ascii="Calibri" w:hAnsi="Calibri" w:cs="Calibri"/>
                <w:sz w:val="15"/>
                <w:szCs w:val="15"/>
                <w:lang w:val="hr-HR"/>
              </w:rPr>
            </w:pPr>
            <w:r w:rsidRPr="001567C8">
              <w:rPr>
                <w:rStyle w:val="CharStyle65"/>
                <w:rFonts w:ascii="Calibri" w:hAnsi="Calibri" w:cs="Calibri"/>
                <w:sz w:val="15"/>
                <w:szCs w:val="15"/>
                <w:lang w:val="hr-HR"/>
              </w:rPr>
              <w:t>AT</w:t>
            </w:r>
          </w:p>
        </w:tc>
      </w:tr>
      <w:tr w:rsidR="00D77C69" w:rsidRPr="001567C8" w:rsidTr="003C6BA3">
        <w:trPr>
          <w:trHeight w:hRule="exact" w:val="198"/>
          <w:jc w:val="center"/>
        </w:trPr>
        <w:tc>
          <w:tcPr>
            <w:tcW w:w="1263" w:type="pct"/>
            <w:vAlign w:val="bottom"/>
          </w:tcPr>
          <w:p w:rsidR="00D77C69" w:rsidRPr="00CD3A2D" w:rsidRDefault="00D77C69" w:rsidP="000A5924">
            <w:pPr>
              <w:tabs>
                <w:tab w:val="right" w:pos="1202"/>
              </w:tabs>
              <w:outlineLvl w:val="0"/>
              <w:rPr>
                <w:rFonts w:ascii="Calibri" w:hAnsi="Calibri" w:cs="Calibri"/>
                <w:sz w:val="15"/>
                <w:szCs w:val="15"/>
                <w:lang w:val="hr-HR"/>
              </w:rPr>
            </w:pPr>
            <w:r w:rsidRPr="00CD3A2D">
              <w:rPr>
                <w:rFonts w:ascii="Calibri" w:hAnsi="Calibri" w:cs="Calibri"/>
                <w:sz w:val="15"/>
                <w:szCs w:val="15"/>
                <w:lang w:val="hr-HR"/>
              </w:rPr>
              <w:t>Krediti financijskim institucijama</w:t>
            </w:r>
          </w:p>
        </w:tc>
        <w:tc>
          <w:tcPr>
            <w:tcW w:w="460" w:type="pct"/>
            <w:shd w:val="clear" w:color="auto" w:fill="auto"/>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sz w:val="15"/>
                <w:szCs w:val="15"/>
                <w:lang w:val="hr-HR"/>
              </w:rPr>
            </w:pPr>
            <w:r w:rsidRPr="001567C8">
              <w:rPr>
                <w:rStyle w:val="CharStyle65"/>
                <w:rFonts w:ascii="Calibri" w:hAnsi="Calibri" w:cs="Calibri"/>
                <w:sz w:val="15"/>
                <w:szCs w:val="15"/>
                <w:lang w:val="hr-HR"/>
              </w:rPr>
              <w:t>Z i P</w:t>
            </w:r>
          </w:p>
        </w:tc>
        <w:tc>
          <w:tcPr>
            <w:tcW w:w="373" w:type="pct"/>
            <w:tcBorders>
              <w:top w:val="nil"/>
              <w:left w:val="nil"/>
              <w:bottom w:val="nil"/>
              <w:right w:val="nil"/>
            </w:tcBorders>
            <w:shd w:val="clear" w:color="auto" w:fill="auto"/>
            <w:vAlign w:val="center"/>
          </w:tcPr>
          <w:p w:rsidR="00D77C69" w:rsidRPr="001567C8" w:rsidRDefault="00D77C69" w:rsidP="000A5924">
            <w:pPr>
              <w:pStyle w:val="TT"/>
              <w:spacing w:line="240" w:lineRule="auto"/>
              <w:jc w:val="right"/>
              <w:rPr>
                <w:rFonts w:ascii="Calibri" w:hAnsi="Calibri" w:cs="Calibri"/>
                <w:snapToGrid w:val="0"/>
                <w:sz w:val="15"/>
                <w:szCs w:val="15"/>
                <w:lang w:val="hr-HR"/>
              </w:rPr>
            </w:pPr>
            <w:r w:rsidRPr="001567C8">
              <w:rPr>
                <w:rFonts w:ascii="Calibri" w:hAnsi="Calibri" w:cs="Calibri"/>
                <w:color w:val="000000"/>
                <w:sz w:val="15"/>
                <w:szCs w:val="15"/>
                <w:lang w:val="hr-HR"/>
              </w:rPr>
              <w:t>10.836.141</w:t>
            </w:r>
          </w:p>
        </w:tc>
        <w:tc>
          <w:tcPr>
            <w:tcW w:w="448" w:type="pct"/>
            <w:shd w:val="clear" w:color="auto" w:fill="FFFFFF"/>
            <w:vAlign w:val="center"/>
          </w:tcPr>
          <w:p w:rsidR="00D77C69" w:rsidRPr="00CD3A2D" w:rsidRDefault="00D77C69" w:rsidP="000A5924">
            <w:pPr>
              <w:pStyle w:val="Style26"/>
              <w:shd w:val="clear" w:color="auto" w:fill="auto"/>
              <w:spacing w:before="0" w:line="240" w:lineRule="auto"/>
              <w:ind w:right="260" w:firstLine="0"/>
              <w:jc w:val="right"/>
              <w:rPr>
                <w:rFonts w:ascii="Calibri" w:hAnsi="Calibri" w:cs="Calibri"/>
                <w:sz w:val="15"/>
                <w:szCs w:val="15"/>
                <w:lang w:val="hr-HR"/>
              </w:rPr>
            </w:pPr>
            <w:r w:rsidRPr="001567C8">
              <w:rPr>
                <w:rStyle w:val="CharStyle65"/>
                <w:rFonts w:ascii="Calibri" w:hAnsi="Calibri" w:cs="Calibri"/>
                <w:sz w:val="15"/>
                <w:szCs w:val="15"/>
                <w:lang w:val="hr-HR"/>
              </w:rPr>
              <w:t>-</w:t>
            </w:r>
          </w:p>
        </w:tc>
        <w:tc>
          <w:tcPr>
            <w:tcW w:w="347" w:type="pct"/>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r w:rsidRPr="001567C8">
              <w:rPr>
                <w:rStyle w:val="CharStyle65"/>
                <w:rFonts w:ascii="Calibri" w:hAnsi="Calibri" w:cs="Calibri"/>
                <w:sz w:val="15"/>
                <w:szCs w:val="15"/>
                <w:lang w:val="hr-HR"/>
              </w:rPr>
              <w:t>106.906</w:t>
            </w:r>
          </w:p>
        </w:tc>
        <w:tc>
          <w:tcPr>
            <w:tcW w:w="469"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2"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943</w:t>
            </w:r>
          </w:p>
        </w:tc>
        <w:tc>
          <w:tcPr>
            <w:tcW w:w="367"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73"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10.943.990</w:t>
            </w:r>
          </w:p>
        </w:tc>
        <w:tc>
          <w:tcPr>
            <w:tcW w:w="539" w:type="pct"/>
            <w:shd w:val="clear" w:color="auto" w:fill="FFFFFF"/>
            <w:vAlign w:val="bottom"/>
          </w:tcPr>
          <w:p w:rsidR="00D77C69" w:rsidRPr="00CD3A2D" w:rsidRDefault="00D77C69" w:rsidP="000A5924">
            <w:pPr>
              <w:pStyle w:val="Style26"/>
              <w:shd w:val="clear" w:color="auto" w:fill="auto"/>
              <w:spacing w:before="0" w:line="240" w:lineRule="auto"/>
              <w:ind w:left="40" w:firstLine="0"/>
              <w:jc w:val="center"/>
              <w:rPr>
                <w:rFonts w:ascii="Calibri" w:hAnsi="Calibri" w:cs="Calibri"/>
                <w:sz w:val="15"/>
                <w:szCs w:val="15"/>
                <w:lang w:val="hr-HR"/>
              </w:rPr>
            </w:pPr>
            <w:r w:rsidRPr="001567C8">
              <w:rPr>
                <w:rStyle w:val="CharStyle65"/>
                <w:rFonts w:ascii="Calibri" w:hAnsi="Calibri" w:cs="Calibri"/>
                <w:sz w:val="15"/>
                <w:szCs w:val="15"/>
                <w:lang w:val="hr-HR"/>
              </w:rPr>
              <w:t>AT</w:t>
            </w:r>
          </w:p>
        </w:tc>
      </w:tr>
      <w:tr w:rsidR="00D77C69" w:rsidRPr="001567C8" w:rsidTr="003C6BA3">
        <w:trPr>
          <w:trHeight w:hRule="exact" w:val="198"/>
          <w:jc w:val="center"/>
        </w:trPr>
        <w:tc>
          <w:tcPr>
            <w:tcW w:w="1263" w:type="pct"/>
            <w:tcBorders>
              <w:bottom w:val="dotted" w:sz="4" w:space="0" w:color="auto"/>
            </w:tcBorders>
            <w:vAlign w:val="bottom"/>
          </w:tcPr>
          <w:p w:rsidR="00D77C69" w:rsidRPr="00CD3A2D" w:rsidRDefault="00D77C69" w:rsidP="000A5924">
            <w:pPr>
              <w:tabs>
                <w:tab w:val="right" w:pos="1202"/>
              </w:tabs>
              <w:outlineLvl w:val="0"/>
              <w:rPr>
                <w:rFonts w:ascii="Calibri" w:hAnsi="Calibri" w:cs="Calibri"/>
                <w:sz w:val="15"/>
                <w:szCs w:val="15"/>
                <w:lang w:val="hr-HR"/>
              </w:rPr>
            </w:pPr>
            <w:r w:rsidRPr="00CD3A2D">
              <w:rPr>
                <w:rFonts w:ascii="Calibri" w:hAnsi="Calibri" w:cs="Calibri"/>
                <w:sz w:val="15"/>
                <w:szCs w:val="15"/>
                <w:lang w:val="hr-HR"/>
              </w:rPr>
              <w:t>Krediti ostalim korisnicima</w:t>
            </w:r>
          </w:p>
        </w:tc>
        <w:tc>
          <w:tcPr>
            <w:tcW w:w="460" w:type="pct"/>
            <w:tcBorders>
              <w:bottom w:val="dotted" w:sz="4"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sz w:val="15"/>
                <w:szCs w:val="15"/>
                <w:lang w:val="hr-HR"/>
              </w:rPr>
            </w:pPr>
            <w:r w:rsidRPr="001567C8">
              <w:rPr>
                <w:rStyle w:val="CharStyle65"/>
                <w:rFonts w:ascii="Calibri" w:hAnsi="Calibri" w:cs="Calibri"/>
                <w:sz w:val="15"/>
                <w:szCs w:val="15"/>
                <w:lang w:val="hr-HR"/>
              </w:rPr>
              <w:t>Z i P</w:t>
            </w:r>
          </w:p>
        </w:tc>
        <w:tc>
          <w:tcPr>
            <w:tcW w:w="373" w:type="pct"/>
            <w:tcBorders>
              <w:top w:val="nil"/>
              <w:left w:val="nil"/>
              <w:bottom w:val="dotted" w:sz="4" w:space="0" w:color="auto"/>
              <w:right w:val="nil"/>
            </w:tcBorders>
            <w:shd w:val="clear" w:color="auto" w:fill="auto"/>
            <w:vAlign w:val="center"/>
          </w:tcPr>
          <w:p w:rsidR="00D77C69" w:rsidRPr="001567C8" w:rsidRDefault="00D77C69" w:rsidP="000A5924">
            <w:pPr>
              <w:pStyle w:val="TT"/>
              <w:spacing w:line="240" w:lineRule="auto"/>
              <w:jc w:val="right"/>
              <w:rPr>
                <w:rFonts w:ascii="Calibri" w:hAnsi="Calibri" w:cs="Calibri"/>
                <w:spacing w:val="-2"/>
                <w:sz w:val="15"/>
                <w:szCs w:val="15"/>
                <w:lang w:val="hr-HR"/>
              </w:rPr>
            </w:pPr>
            <w:r w:rsidRPr="001567C8">
              <w:rPr>
                <w:rFonts w:ascii="Calibri" w:hAnsi="Calibri" w:cs="Calibri"/>
                <w:color w:val="000000"/>
                <w:sz w:val="15"/>
                <w:szCs w:val="15"/>
                <w:lang w:val="hr-HR"/>
              </w:rPr>
              <w:t>12.383.623</w:t>
            </w:r>
          </w:p>
        </w:tc>
        <w:tc>
          <w:tcPr>
            <w:tcW w:w="448"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1567C8">
              <w:rPr>
                <w:rStyle w:val="CharStyle65"/>
                <w:rFonts w:ascii="Calibri" w:hAnsi="Calibri" w:cs="Calibri"/>
                <w:sz w:val="15"/>
                <w:szCs w:val="15"/>
                <w:lang w:val="hr-HR"/>
              </w:rPr>
              <w:t>(3.840)</w:t>
            </w:r>
          </w:p>
        </w:tc>
        <w:tc>
          <w:tcPr>
            <w:tcW w:w="347"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1567C8">
              <w:rPr>
                <w:rStyle w:val="CharStyle65"/>
                <w:rFonts w:ascii="Calibri" w:hAnsi="Calibri" w:cs="Calibri"/>
                <w:sz w:val="15"/>
                <w:szCs w:val="15"/>
                <w:lang w:val="hr-HR"/>
              </w:rPr>
              <w:t>(717.902)</w:t>
            </w:r>
          </w:p>
        </w:tc>
        <w:tc>
          <w:tcPr>
            <w:tcW w:w="469"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2"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135.001</w:t>
            </w:r>
          </w:p>
        </w:tc>
        <w:tc>
          <w:tcPr>
            <w:tcW w:w="367"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(176)</w:t>
            </w:r>
          </w:p>
        </w:tc>
        <w:tc>
          <w:tcPr>
            <w:tcW w:w="373"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11.796.706</w:t>
            </w:r>
          </w:p>
        </w:tc>
        <w:tc>
          <w:tcPr>
            <w:tcW w:w="539"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left="40" w:firstLine="0"/>
              <w:jc w:val="center"/>
              <w:rPr>
                <w:rFonts w:ascii="Calibri" w:hAnsi="Calibri" w:cs="Calibri"/>
                <w:sz w:val="15"/>
                <w:szCs w:val="15"/>
                <w:lang w:val="hr-HR"/>
              </w:rPr>
            </w:pPr>
            <w:r w:rsidRPr="001567C8">
              <w:rPr>
                <w:rStyle w:val="CharStyle65"/>
                <w:rFonts w:ascii="Calibri" w:hAnsi="Calibri" w:cs="Calibri"/>
                <w:sz w:val="15"/>
                <w:szCs w:val="15"/>
                <w:lang w:val="hr-HR"/>
              </w:rPr>
              <w:t>AT</w:t>
            </w:r>
          </w:p>
        </w:tc>
      </w:tr>
      <w:tr w:rsidR="00D77C69" w:rsidRPr="001567C8" w:rsidTr="003C6BA3">
        <w:trPr>
          <w:trHeight w:hRule="exact" w:val="383"/>
          <w:jc w:val="center"/>
        </w:trPr>
        <w:tc>
          <w:tcPr>
            <w:tcW w:w="1263" w:type="pct"/>
            <w:tcBorders>
              <w:top w:val="dotted" w:sz="4" w:space="0" w:color="auto"/>
              <w:left w:val="dotted" w:sz="4" w:space="0" w:color="auto"/>
              <w:bottom w:val="dotted"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both"/>
              <w:rPr>
                <w:rStyle w:val="CharStyle118"/>
                <w:rFonts w:ascii="Calibri" w:hAnsi="Calibri" w:cs="Calibri"/>
                <w:sz w:val="15"/>
                <w:szCs w:val="15"/>
                <w:lang w:val="hr-HR"/>
              </w:rPr>
            </w:pPr>
            <w:r w:rsidRPr="001567C8">
              <w:rPr>
                <w:rStyle w:val="CharStyle65"/>
                <w:rFonts w:ascii="Calibri" w:hAnsi="Calibri" w:cs="Calibri"/>
                <w:i/>
                <w:sz w:val="15"/>
                <w:szCs w:val="15"/>
                <w:lang w:val="hr-HR"/>
              </w:rPr>
              <w:t>Na poziciju</w:t>
            </w:r>
            <w:r w:rsidRPr="001567C8">
              <w:rPr>
                <w:rStyle w:val="CharStyle118"/>
                <w:rFonts w:ascii="Calibri" w:hAnsi="Calibri" w:cs="Calibri"/>
                <w:sz w:val="15"/>
                <w:szCs w:val="15"/>
                <w:lang w:val="hr-HR"/>
              </w:rPr>
              <w:t xml:space="preserve">: Financijska imovina </w:t>
            </w:r>
          </w:p>
          <w:p w:rsidR="00D77C69" w:rsidRPr="00CD3A2D" w:rsidRDefault="00D77C69" w:rsidP="000A5924">
            <w:pPr>
              <w:pStyle w:val="Style26"/>
              <w:shd w:val="clear" w:color="auto" w:fill="auto"/>
              <w:spacing w:before="0" w:line="240" w:lineRule="auto"/>
              <w:ind w:firstLine="0"/>
              <w:jc w:val="both"/>
              <w:rPr>
                <w:rFonts w:ascii="Calibri" w:hAnsi="Calibri" w:cs="Calibri"/>
                <w:i/>
                <w:sz w:val="15"/>
                <w:szCs w:val="15"/>
                <w:lang w:val="hr-HR"/>
              </w:rPr>
            </w:pPr>
            <w:r w:rsidRPr="001567C8">
              <w:rPr>
                <w:rStyle w:val="CharStyle118"/>
                <w:rFonts w:ascii="Calibri" w:hAnsi="Calibri" w:cs="Calibri"/>
                <w:sz w:val="15"/>
                <w:szCs w:val="15"/>
                <w:lang w:val="hr-HR"/>
              </w:rPr>
              <w:t>po FV</w:t>
            </w:r>
            <w:r w:rsidR="00EF641B" w:rsidRPr="001567C8">
              <w:rPr>
                <w:rStyle w:val="CharStyle118"/>
                <w:rFonts w:ascii="Calibri" w:hAnsi="Calibri" w:cs="Calibri"/>
                <w:sz w:val="15"/>
                <w:szCs w:val="15"/>
                <w:lang w:val="hr-HR"/>
              </w:rPr>
              <w:t>RDG</w:t>
            </w:r>
            <w:r w:rsidRPr="00CD3A2D">
              <w:rPr>
                <w:rStyle w:val="FootnoteReference"/>
                <w:rFonts w:ascii="Calibri" w:hAnsi="Calibri" w:cs="Calibri"/>
                <w:b/>
                <w:i/>
                <w:iCs/>
                <w:color w:val="000000"/>
                <w:sz w:val="15"/>
                <w:szCs w:val="15"/>
                <w:shd w:val="clear" w:color="auto" w:fill="FFFFFF"/>
                <w:lang w:val="hr-HR" w:bidi="en-US"/>
              </w:rPr>
              <w:footnoteReference w:id="6"/>
            </w:r>
            <w:r w:rsidRPr="001567C8">
              <w:rPr>
                <w:rStyle w:val="CharStyle118"/>
                <w:rFonts w:ascii="Calibri" w:hAnsi="Calibri" w:cs="Calibri"/>
                <w:b/>
                <w:sz w:val="15"/>
                <w:szCs w:val="15"/>
                <w:lang w:val="hr-HR"/>
              </w:rPr>
              <w:t xml:space="preserve">                                                    A</w:t>
            </w:r>
          </w:p>
        </w:tc>
        <w:tc>
          <w:tcPr>
            <w:tcW w:w="460" w:type="pct"/>
            <w:tcBorders>
              <w:top w:val="dotted" w:sz="4" w:space="0" w:color="auto"/>
              <w:bottom w:val="dotted" w:sz="4" w:space="0" w:color="auto"/>
            </w:tcBorders>
            <w:shd w:val="clear" w:color="auto" w:fill="auto"/>
            <w:vAlign w:val="bottom"/>
          </w:tcPr>
          <w:p w:rsidR="00D77C69" w:rsidRPr="00CD3A2D" w:rsidRDefault="00D77C69" w:rsidP="000A5924">
            <w:pPr>
              <w:jc w:val="center"/>
              <w:rPr>
                <w:rFonts w:ascii="Calibri" w:hAnsi="Calibri" w:cs="Calibri"/>
                <w:i/>
                <w:sz w:val="15"/>
                <w:szCs w:val="15"/>
                <w:lang w:val="hr-HR"/>
              </w:rPr>
            </w:pPr>
          </w:p>
        </w:tc>
        <w:tc>
          <w:tcPr>
            <w:tcW w:w="373" w:type="pct"/>
            <w:tcBorders>
              <w:top w:val="dotted" w:sz="4" w:space="0" w:color="auto"/>
              <w:bottom w:val="dotted" w:sz="4" w:space="0" w:color="auto"/>
            </w:tcBorders>
            <w:shd w:val="clear" w:color="auto" w:fill="auto"/>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448" w:type="pct"/>
            <w:tcBorders>
              <w:top w:val="dotted" w:sz="4" w:space="0" w:color="auto"/>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1567C8">
              <w:rPr>
                <w:rStyle w:val="CharStyle118"/>
                <w:rFonts w:ascii="Calibri" w:hAnsi="Calibri" w:cs="Calibri"/>
                <w:sz w:val="15"/>
                <w:szCs w:val="15"/>
                <w:lang w:val="hr-HR"/>
              </w:rPr>
              <w:t>(3.840)</w:t>
            </w:r>
          </w:p>
        </w:tc>
        <w:tc>
          <w:tcPr>
            <w:tcW w:w="347"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469"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2"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7"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(176)</w:t>
            </w:r>
          </w:p>
        </w:tc>
        <w:tc>
          <w:tcPr>
            <w:tcW w:w="373"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539" w:type="pct"/>
            <w:tcBorders>
              <w:top w:val="dotted" w:sz="4" w:space="0" w:color="auto"/>
              <w:bottom w:val="dotted" w:sz="4" w:space="0" w:color="auto"/>
              <w:right w:val="dotted"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r>
      <w:tr w:rsidR="00D77C69" w:rsidRPr="001567C8" w:rsidTr="003C6BA3">
        <w:trPr>
          <w:trHeight w:hRule="exact" w:val="204"/>
          <w:jc w:val="center"/>
        </w:trPr>
        <w:tc>
          <w:tcPr>
            <w:tcW w:w="1263" w:type="pct"/>
            <w:tcBorders>
              <w:top w:val="dotted" w:sz="4" w:space="0" w:color="auto"/>
            </w:tcBorders>
            <w:vAlign w:val="bottom"/>
          </w:tcPr>
          <w:p w:rsidR="00D77C69" w:rsidRPr="00CD3A2D" w:rsidRDefault="00D77C69" w:rsidP="000A5924">
            <w:pPr>
              <w:tabs>
                <w:tab w:val="right" w:pos="1202"/>
              </w:tabs>
              <w:outlineLvl w:val="0"/>
              <w:rPr>
                <w:rFonts w:ascii="Calibri" w:hAnsi="Calibri" w:cs="Calibri"/>
                <w:sz w:val="15"/>
                <w:szCs w:val="15"/>
                <w:lang w:val="hr-HR"/>
              </w:rPr>
            </w:pPr>
            <w:r w:rsidRPr="00CD3A2D">
              <w:rPr>
                <w:rFonts w:ascii="Calibri" w:hAnsi="Calibri" w:cs="Calibri"/>
                <w:sz w:val="15"/>
                <w:szCs w:val="15"/>
                <w:lang w:val="hr-HR"/>
              </w:rPr>
              <w:t>Ostala imovina</w:t>
            </w:r>
          </w:p>
        </w:tc>
        <w:tc>
          <w:tcPr>
            <w:tcW w:w="460" w:type="pct"/>
            <w:tcBorders>
              <w:top w:val="dotted" w:sz="4" w:space="0" w:color="auto"/>
            </w:tcBorders>
            <w:shd w:val="clear" w:color="auto" w:fill="auto"/>
            <w:vAlign w:val="bottom"/>
          </w:tcPr>
          <w:p w:rsidR="00D77C69" w:rsidRPr="001567C8" w:rsidRDefault="00D77C69" w:rsidP="000A5924">
            <w:pPr>
              <w:pStyle w:val="Style26"/>
              <w:shd w:val="clear" w:color="auto" w:fill="auto"/>
              <w:spacing w:before="0" w:line="240" w:lineRule="auto"/>
              <w:ind w:firstLine="0"/>
              <w:jc w:val="center"/>
              <w:rPr>
                <w:rStyle w:val="CharStyle65"/>
                <w:rFonts w:ascii="Calibri" w:hAnsi="Calibri" w:cs="Calibri"/>
                <w:sz w:val="15"/>
                <w:szCs w:val="15"/>
                <w:lang w:val="hr-HR"/>
              </w:rPr>
            </w:pPr>
            <w:r w:rsidRPr="001567C8">
              <w:rPr>
                <w:rStyle w:val="CharStyle65"/>
                <w:rFonts w:ascii="Calibri" w:hAnsi="Calibri" w:cs="Calibri"/>
                <w:sz w:val="15"/>
                <w:szCs w:val="15"/>
                <w:lang w:val="hr-HR"/>
              </w:rPr>
              <w:t>Z i P</w:t>
            </w:r>
          </w:p>
        </w:tc>
        <w:tc>
          <w:tcPr>
            <w:tcW w:w="373" w:type="pct"/>
            <w:tcBorders>
              <w:top w:val="dotted" w:sz="4" w:space="0" w:color="auto"/>
            </w:tcBorders>
            <w:shd w:val="clear" w:color="auto" w:fill="auto"/>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19.297</w:t>
            </w:r>
          </w:p>
        </w:tc>
        <w:tc>
          <w:tcPr>
            <w:tcW w:w="448" w:type="pct"/>
            <w:tcBorders>
              <w:top w:val="dotted" w:sz="4" w:space="0" w:color="auto"/>
              <w:left w:val="nil"/>
              <w:right w:val="nil"/>
            </w:tcBorders>
            <w:shd w:val="clear" w:color="auto" w:fill="auto"/>
            <w:vAlign w:val="center"/>
          </w:tcPr>
          <w:p w:rsidR="00D77C69" w:rsidRPr="001567C8" w:rsidRDefault="00D77C69" w:rsidP="000A5924">
            <w:pPr>
              <w:pStyle w:val="TT"/>
              <w:spacing w:line="240" w:lineRule="auto"/>
              <w:jc w:val="right"/>
              <w:rPr>
                <w:rFonts w:ascii="Calibri" w:hAnsi="Calibri" w:cs="Calibri"/>
                <w:snapToGrid w:val="0"/>
                <w:sz w:val="15"/>
                <w:szCs w:val="15"/>
                <w:lang w:val="hr-HR"/>
              </w:rPr>
            </w:pPr>
            <w:r w:rsidRPr="001567C8">
              <w:rPr>
                <w:rFonts w:ascii="Calibri" w:hAnsi="Calibri" w:cs="Calibri"/>
                <w:snapToGrid w:val="0"/>
                <w:sz w:val="15"/>
                <w:szCs w:val="15"/>
                <w:lang w:val="hr-HR"/>
              </w:rPr>
              <w:t>-</w:t>
            </w:r>
          </w:p>
        </w:tc>
        <w:tc>
          <w:tcPr>
            <w:tcW w:w="347" w:type="pct"/>
            <w:tcBorders>
              <w:top w:val="dotted"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118"/>
                <w:rFonts w:ascii="Calibri" w:hAnsi="Calibri" w:cs="Calibri"/>
                <w:i w:val="0"/>
                <w:sz w:val="15"/>
                <w:szCs w:val="15"/>
                <w:lang w:val="hr-HR"/>
              </w:rPr>
            </w:pPr>
            <w:r w:rsidRPr="001567C8">
              <w:rPr>
                <w:rStyle w:val="CharStyle118"/>
                <w:rFonts w:ascii="Calibri" w:hAnsi="Calibri" w:cs="Calibri"/>
                <w:sz w:val="15"/>
                <w:szCs w:val="15"/>
                <w:lang w:val="hr-HR"/>
              </w:rPr>
              <w:t>(6.664)</w:t>
            </w:r>
          </w:p>
        </w:tc>
        <w:tc>
          <w:tcPr>
            <w:tcW w:w="469"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62"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67"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73" w:type="pct"/>
            <w:tcBorders>
              <w:top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12.633</w:t>
            </w:r>
          </w:p>
        </w:tc>
        <w:tc>
          <w:tcPr>
            <w:tcW w:w="539" w:type="pct"/>
            <w:tcBorders>
              <w:top w:val="dotted" w:sz="4" w:space="0" w:color="auto"/>
            </w:tcBorders>
            <w:shd w:val="clear" w:color="auto" w:fill="FFFFFF"/>
            <w:vAlign w:val="bottom"/>
          </w:tcPr>
          <w:p w:rsidR="00D77C69" w:rsidRPr="001567C8" w:rsidRDefault="00D77C69" w:rsidP="000A5924">
            <w:pPr>
              <w:pStyle w:val="Style26"/>
              <w:shd w:val="clear" w:color="auto" w:fill="auto"/>
              <w:spacing w:before="0" w:line="240" w:lineRule="auto"/>
              <w:ind w:left="40" w:firstLine="0"/>
              <w:jc w:val="center"/>
              <w:rPr>
                <w:rStyle w:val="CharStyle65"/>
                <w:rFonts w:ascii="Calibri" w:hAnsi="Calibri" w:cs="Calibri"/>
                <w:sz w:val="15"/>
                <w:szCs w:val="15"/>
                <w:lang w:val="hr-HR"/>
              </w:rPr>
            </w:pPr>
            <w:r w:rsidRPr="001567C8">
              <w:rPr>
                <w:rStyle w:val="CharStyle65"/>
                <w:rFonts w:ascii="Calibri" w:hAnsi="Calibri" w:cs="Calibri"/>
                <w:sz w:val="15"/>
                <w:szCs w:val="15"/>
                <w:lang w:val="hr-HR"/>
              </w:rPr>
              <w:t>AT</w:t>
            </w:r>
          </w:p>
        </w:tc>
      </w:tr>
      <w:tr w:rsidR="00D77C69" w:rsidRPr="001567C8" w:rsidTr="003C6BA3">
        <w:trPr>
          <w:trHeight w:hRule="exact" w:val="204"/>
          <w:jc w:val="center"/>
        </w:trPr>
        <w:tc>
          <w:tcPr>
            <w:tcW w:w="1263" w:type="pct"/>
            <w:tcBorders>
              <w:bottom w:val="dotted" w:sz="4" w:space="0" w:color="auto"/>
            </w:tcBorders>
            <w:vAlign w:val="bottom"/>
          </w:tcPr>
          <w:p w:rsidR="00D77C69" w:rsidRPr="00CD3A2D" w:rsidRDefault="00D77C69" w:rsidP="000A5924">
            <w:pPr>
              <w:tabs>
                <w:tab w:val="right" w:pos="1202"/>
              </w:tabs>
              <w:outlineLvl w:val="0"/>
              <w:rPr>
                <w:rFonts w:ascii="Calibri" w:hAnsi="Calibri" w:cs="Calibri"/>
                <w:sz w:val="15"/>
                <w:szCs w:val="15"/>
                <w:lang w:val="hr-HR"/>
              </w:rPr>
            </w:pPr>
            <w:r w:rsidRPr="00CD3A2D">
              <w:rPr>
                <w:rFonts w:ascii="Calibri" w:hAnsi="Calibri" w:cs="Calibri"/>
                <w:sz w:val="15"/>
                <w:szCs w:val="15"/>
                <w:lang w:val="hr-HR"/>
              </w:rPr>
              <w:t>Imovina koja se drži do dospijeća</w:t>
            </w:r>
          </w:p>
        </w:tc>
        <w:tc>
          <w:tcPr>
            <w:tcW w:w="460" w:type="pct"/>
            <w:tcBorders>
              <w:bottom w:val="dotted" w:sz="4" w:space="0" w:color="auto"/>
            </w:tcBorders>
            <w:shd w:val="clear" w:color="auto" w:fill="auto"/>
            <w:vAlign w:val="bottom"/>
          </w:tcPr>
          <w:p w:rsidR="00D77C69" w:rsidRPr="001567C8" w:rsidRDefault="00D77C69" w:rsidP="000A5924">
            <w:pPr>
              <w:pStyle w:val="Style26"/>
              <w:shd w:val="clear" w:color="auto" w:fill="auto"/>
              <w:spacing w:before="0" w:line="240" w:lineRule="auto"/>
              <w:ind w:firstLine="0"/>
              <w:jc w:val="center"/>
              <w:rPr>
                <w:rStyle w:val="CharStyle65"/>
                <w:rFonts w:ascii="Calibri" w:hAnsi="Calibri" w:cs="Calibri"/>
                <w:sz w:val="15"/>
                <w:szCs w:val="15"/>
                <w:lang w:val="hr-HR"/>
              </w:rPr>
            </w:pPr>
            <w:r w:rsidRPr="001567C8">
              <w:rPr>
                <w:rStyle w:val="CharStyle65"/>
                <w:rFonts w:ascii="Calibri" w:hAnsi="Calibri" w:cs="Calibri"/>
                <w:sz w:val="15"/>
                <w:szCs w:val="15"/>
                <w:lang w:val="hr-HR"/>
              </w:rPr>
              <w:t>Z i P</w:t>
            </w:r>
          </w:p>
        </w:tc>
        <w:tc>
          <w:tcPr>
            <w:tcW w:w="373" w:type="pct"/>
            <w:tcBorders>
              <w:bottom w:val="dotted" w:sz="4" w:space="0" w:color="auto"/>
            </w:tcBorders>
            <w:shd w:val="clear" w:color="auto" w:fill="auto"/>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1.399</w:t>
            </w:r>
          </w:p>
        </w:tc>
        <w:tc>
          <w:tcPr>
            <w:tcW w:w="448" w:type="pct"/>
            <w:tcBorders>
              <w:left w:val="nil"/>
              <w:bottom w:val="dotted" w:sz="4" w:space="0" w:color="auto"/>
              <w:right w:val="nil"/>
            </w:tcBorders>
            <w:shd w:val="clear" w:color="auto" w:fill="auto"/>
            <w:vAlign w:val="center"/>
          </w:tcPr>
          <w:p w:rsidR="00D77C69" w:rsidRPr="001567C8" w:rsidRDefault="00D77C69" w:rsidP="000A5924">
            <w:pPr>
              <w:pStyle w:val="TT"/>
              <w:spacing w:line="240" w:lineRule="auto"/>
              <w:jc w:val="right"/>
              <w:rPr>
                <w:rFonts w:ascii="Calibri" w:hAnsi="Calibri" w:cs="Calibri"/>
                <w:snapToGrid w:val="0"/>
                <w:sz w:val="15"/>
                <w:szCs w:val="15"/>
                <w:lang w:val="hr-HR"/>
              </w:rPr>
            </w:pPr>
            <w:r w:rsidRPr="001567C8">
              <w:rPr>
                <w:rFonts w:ascii="Calibri" w:hAnsi="Calibri" w:cs="Calibri"/>
                <w:snapToGrid w:val="0"/>
                <w:sz w:val="15"/>
                <w:szCs w:val="15"/>
                <w:lang w:val="hr-HR"/>
              </w:rPr>
              <w:t>(1.399)</w:t>
            </w:r>
          </w:p>
        </w:tc>
        <w:tc>
          <w:tcPr>
            <w:tcW w:w="347" w:type="pct"/>
            <w:tcBorders>
              <w:bottom w:val="dotted"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118"/>
                <w:rFonts w:ascii="Calibri" w:hAnsi="Calibri" w:cs="Calibri"/>
                <w:i w:val="0"/>
                <w:sz w:val="15"/>
                <w:szCs w:val="15"/>
                <w:lang w:val="hr-HR"/>
              </w:rPr>
            </w:pPr>
            <w:r w:rsidRPr="001567C8">
              <w:rPr>
                <w:rStyle w:val="CharStyle118"/>
                <w:rFonts w:ascii="Calibri" w:hAnsi="Calibri" w:cs="Calibri"/>
                <w:sz w:val="15"/>
                <w:szCs w:val="15"/>
                <w:lang w:val="hr-HR"/>
              </w:rPr>
              <w:t>-</w:t>
            </w:r>
          </w:p>
        </w:tc>
        <w:tc>
          <w:tcPr>
            <w:tcW w:w="469"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62"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67"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73"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539" w:type="pct"/>
            <w:tcBorders>
              <w:bottom w:val="dotted" w:sz="4" w:space="0" w:color="auto"/>
            </w:tcBorders>
            <w:shd w:val="clear" w:color="auto" w:fill="FFFFFF"/>
            <w:vAlign w:val="bottom"/>
          </w:tcPr>
          <w:p w:rsidR="00D77C69" w:rsidRPr="001567C8" w:rsidRDefault="00D77C69" w:rsidP="000A5924">
            <w:pPr>
              <w:pStyle w:val="Style26"/>
              <w:shd w:val="clear" w:color="auto" w:fill="auto"/>
              <w:spacing w:before="0" w:line="240" w:lineRule="auto"/>
              <w:ind w:left="40" w:firstLine="0"/>
              <w:jc w:val="center"/>
              <w:rPr>
                <w:rStyle w:val="CharStyle65"/>
                <w:rFonts w:ascii="Calibri" w:hAnsi="Calibri" w:cs="Calibri"/>
                <w:sz w:val="15"/>
                <w:szCs w:val="15"/>
                <w:lang w:val="hr-HR"/>
              </w:rPr>
            </w:pPr>
          </w:p>
        </w:tc>
      </w:tr>
      <w:tr w:rsidR="00D77C69" w:rsidRPr="001567C8" w:rsidTr="003C6BA3">
        <w:trPr>
          <w:trHeight w:hRule="exact" w:val="397"/>
          <w:jc w:val="center"/>
        </w:trPr>
        <w:tc>
          <w:tcPr>
            <w:tcW w:w="1263" w:type="pct"/>
            <w:tcBorders>
              <w:top w:val="dotted" w:sz="4" w:space="0" w:color="auto"/>
              <w:left w:val="dotted" w:sz="4" w:space="0" w:color="auto"/>
              <w:bottom w:val="dotted" w:sz="4" w:space="0" w:color="auto"/>
            </w:tcBorders>
            <w:vAlign w:val="bottom"/>
          </w:tcPr>
          <w:p w:rsidR="00D77C69" w:rsidRPr="001567C8" w:rsidRDefault="00D77C69" w:rsidP="000A5924">
            <w:pPr>
              <w:tabs>
                <w:tab w:val="left" w:pos="412"/>
                <w:tab w:val="right" w:pos="1202"/>
              </w:tabs>
              <w:outlineLvl w:val="0"/>
              <w:rPr>
                <w:rStyle w:val="CharStyle118"/>
                <w:rFonts w:ascii="Calibri" w:hAnsi="Calibri" w:cs="Calibri"/>
                <w:sz w:val="15"/>
                <w:szCs w:val="15"/>
                <w:lang w:val="hr-HR"/>
              </w:rPr>
            </w:pPr>
            <w:r w:rsidRPr="001567C8">
              <w:rPr>
                <w:rStyle w:val="CharStyle65"/>
                <w:rFonts w:ascii="Calibri" w:hAnsi="Calibri" w:cs="Calibri"/>
                <w:i/>
                <w:sz w:val="15"/>
                <w:szCs w:val="15"/>
                <w:lang w:val="hr-HR"/>
              </w:rPr>
              <w:t>Na poziciju</w:t>
            </w:r>
            <w:r w:rsidRPr="001567C8">
              <w:rPr>
                <w:rStyle w:val="CharStyle118"/>
                <w:rFonts w:ascii="Calibri" w:hAnsi="Calibri" w:cs="Calibri"/>
                <w:sz w:val="15"/>
                <w:szCs w:val="15"/>
                <w:lang w:val="hr-HR"/>
              </w:rPr>
              <w:t xml:space="preserve">: Dužnički vrijednosni    </w:t>
            </w:r>
          </w:p>
          <w:p w:rsidR="00D77C69" w:rsidRPr="00CD3A2D" w:rsidRDefault="00D77C69" w:rsidP="000A5924">
            <w:pPr>
              <w:tabs>
                <w:tab w:val="left" w:pos="412"/>
                <w:tab w:val="right" w:pos="1202"/>
              </w:tabs>
              <w:outlineLvl w:val="0"/>
              <w:rPr>
                <w:rFonts w:ascii="Calibri" w:hAnsi="Calibri" w:cs="Calibri"/>
                <w:sz w:val="15"/>
                <w:szCs w:val="15"/>
                <w:lang w:val="hr-HR"/>
              </w:rPr>
            </w:pPr>
            <w:r w:rsidRPr="001567C8">
              <w:rPr>
                <w:rStyle w:val="CharStyle118"/>
                <w:rFonts w:ascii="Calibri" w:hAnsi="Calibri" w:cs="Calibri"/>
                <w:sz w:val="15"/>
                <w:szCs w:val="15"/>
                <w:lang w:val="hr-HR"/>
              </w:rPr>
              <w:t>papiri po amortiziranom trošku</w:t>
            </w:r>
            <w:r w:rsidRPr="001567C8">
              <w:rPr>
                <w:rStyle w:val="CharStyle118"/>
                <w:rFonts w:ascii="Calibri" w:hAnsi="Calibri" w:cs="Calibri"/>
                <w:b/>
                <w:sz w:val="15"/>
                <w:szCs w:val="15"/>
                <w:lang w:val="hr-HR"/>
              </w:rPr>
              <w:t xml:space="preserve">              B</w:t>
            </w:r>
          </w:p>
        </w:tc>
        <w:tc>
          <w:tcPr>
            <w:tcW w:w="460" w:type="pct"/>
            <w:tcBorders>
              <w:top w:val="dotted" w:sz="4" w:space="0" w:color="auto"/>
              <w:bottom w:val="dotted" w:sz="4" w:space="0" w:color="auto"/>
            </w:tcBorders>
            <w:shd w:val="clear" w:color="auto" w:fill="auto"/>
            <w:vAlign w:val="bottom"/>
          </w:tcPr>
          <w:p w:rsidR="00D77C69" w:rsidRPr="001567C8" w:rsidRDefault="00D77C69" w:rsidP="000A5924">
            <w:pPr>
              <w:pStyle w:val="Style26"/>
              <w:shd w:val="clear" w:color="auto" w:fill="auto"/>
              <w:spacing w:before="0" w:line="240" w:lineRule="auto"/>
              <w:ind w:left="180" w:firstLine="0"/>
              <w:jc w:val="center"/>
              <w:rPr>
                <w:rStyle w:val="CharStyle65"/>
                <w:rFonts w:ascii="Calibri" w:hAnsi="Calibri" w:cs="Calibri"/>
                <w:sz w:val="15"/>
                <w:szCs w:val="15"/>
                <w:lang w:val="hr-HR"/>
              </w:rPr>
            </w:pPr>
          </w:p>
        </w:tc>
        <w:tc>
          <w:tcPr>
            <w:tcW w:w="373" w:type="pct"/>
            <w:tcBorders>
              <w:top w:val="dotted" w:sz="4" w:space="0" w:color="auto"/>
              <w:bottom w:val="dotted" w:sz="4" w:space="0" w:color="auto"/>
            </w:tcBorders>
            <w:shd w:val="clear" w:color="auto" w:fill="auto"/>
            <w:vAlign w:val="bottom"/>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448" w:type="pct"/>
            <w:tcBorders>
              <w:top w:val="dotted" w:sz="4" w:space="0" w:color="auto"/>
              <w:left w:val="nil"/>
              <w:bottom w:val="dotted" w:sz="4" w:space="0" w:color="auto"/>
              <w:right w:val="nil"/>
            </w:tcBorders>
            <w:shd w:val="clear" w:color="auto" w:fill="auto"/>
            <w:vAlign w:val="bottom"/>
          </w:tcPr>
          <w:p w:rsidR="00D77C69" w:rsidRPr="001567C8" w:rsidRDefault="00D77C69" w:rsidP="000A5924">
            <w:pPr>
              <w:pStyle w:val="TT"/>
              <w:spacing w:line="240" w:lineRule="auto"/>
              <w:jc w:val="right"/>
              <w:rPr>
                <w:rFonts w:ascii="Calibri" w:hAnsi="Calibri" w:cs="Calibri"/>
                <w:snapToGrid w:val="0"/>
                <w:sz w:val="15"/>
                <w:szCs w:val="15"/>
                <w:lang w:val="hr-HR"/>
              </w:rPr>
            </w:pPr>
            <w:r w:rsidRPr="001567C8">
              <w:rPr>
                <w:rStyle w:val="CharStyle118"/>
                <w:rFonts w:ascii="Calibri" w:hAnsi="Calibri" w:cs="Calibri"/>
                <w:sz w:val="15"/>
                <w:szCs w:val="15"/>
                <w:lang w:val="hr-HR"/>
              </w:rPr>
              <w:t>(1.399)</w:t>
            </w:r>
          </w:p>
        </w:tc>
        <w:tc>
          <w:tcPr>
            <w:tcW w:w="347" w:type="pct"/>
            <w:tcBorders>
              <w:top w:val="dotted" w:sz="4" w:space="0" w:color="auto"/>
              <w:bottom w:val="dotted"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118"/>
                <w:rFonts w:ascii="Calibri" w:hAnsi="Calibri" w:cs="Calibri"/>
                <w:i w:val="0"/>
                <w:sz w:val="15"/>
                <w:szCs w:val="15"/>
                <w:lang w:val="hr-HR"/>
              </w:rPr>
            </w:pPr>
            <w:r w:rsidRPr="00CD3A2D">
              <w:rPr>
                <w:rFonts w:ascii="Calibri" w:hAnsi="Calibri" w:cs="Calibri"/>
                <w:i/>
                <w:sz w:val="15"/>
                <w:szCs w:val="15"/>
                <w:lang w:val="hr-HR"/>
              </w:rPr>
              <w:t>-</w:t>
            </w:r>
          </w:p>
        </w:tc>
        <w:tc>
          <w:tcPr>
            <w:tcW w:w="469" w:type="pct"/>
            <w:tcBorders>
              <w:top w:val="dotted" w:sz="4" w:space="0" w:color="auto"/>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i/>
                <w:sz w:val="15"/>
                <w:szCs w:val="15"/>
                <w:lang w:val="hr-HR"/>
              </w:rPr>
              <w:t>-</w:t>
            </w:r>
          </w:p>
        </w:tc>
        <w:tc>
          <w:tcPr>
            <w:tcW w:w="362" w:type="pct"/>
            <w:tcBorders>
              <w:top w:val="dotted" w:sz="4" w:space="0" w:color="auto"/>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67" w:type="pct"/>
            <w:tcBorders>
              <w:top w:val="dotted" w:sz="4" w:space="0" w:color="auto"/>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73" w:type="pct"/>
            <w:tcBorders>
              <w:top w:val="dotted" w:sz="4" w:space="0" w:color="auto"/>
              <w:bottom w:val="dotted" w:sz="4" w:space="0" w:color="auto"/>
            </w:tcBorders>
            <w:shd w:val="clear" w:color="auto" w:fill="FFFFFF"/>
            <w:vAlign w:val="bottom"/>
          </w:tcPr>
          <w:p w:rsidR="00D77C69" w:rsidRPr="00CD3A2D" w:rsidRDefault="00D77C69" w:rsidP="000A5924">
            <w:pPr>
              <w:jc w:val="right"/>
              <w:rPr>
                <w:rFonts w:ascii="Calibri" w:hAnsi="Calibri" w:cs="Calibri"/>
                <w:sz w:val="15"/>
                <w:szCs w:val="15"/>
                <w:lang w:val="hr-HR"/>
              </w:rPr>
            </w:pPr>
            <w:r w:rsidRPr="00CD3A2D">
              <w:rPr>
                <w:rFonts w:ascii="Calibri" w:hAnsi="Calibri" w:cs="Calibri"/>
                <w:i/>
                <w:sz w:val="15"/>
                <w:szCs w:val="15"/>
                <w:lang w:val="hr-HR"/>
              </w:rPr>
              <w:t>-</w:t>
            </w:r>
          </w:p>
        </w:tc>
        <w:tc>
          <w:tcPr>
            <w:tcW w:w="539" w:type="pct"/>
            <w:tcBorders>
              <w:top w:val="dotted" w:sz="4" w:space="0" w:color="auto"/>
              <w:bottom w:val="dotted" w:sz="4" w:space="0" w:color="auto"/>
              <w:right w:val="dotted" w:sz="4" w:space="0" w:color="auto"/>
            </w:tcBorders>
            <w:shd w:val="clear" w:color="auto" w:fill="FFFFFF"/>
            <w:vAlign w:val="bottom"/>
          </w:tcPr>
          <w:p w:rsidR="00D77C69" w:rsidRPr="001567C8" w:rsidRDefault="00D77C69" w:rsidP="000A5924">
            <w:pPr>
              <w:pStyle w:val="Style26"/>
              <w:shd w:val="clear" w:color="auto" w:fill="auto"/>
              <w:spacing w:before="0" w:line="240" w:lineRule="auto"/>
              <w:ind w:left="40" w:firstLine="0"/>
              <w:jc w:val="center"/>
              <w:rPr>
                <w:rStyle w:val="CharStyle65"/>
                <w:rFonts w:ascii="Calibri" w:hAnsi="Calibri" w:cs="Calibri"/>
                <w:sz w:val="15"/>
                <w:szCs w:val="15"/>
                <w:lang w:val="hr-HR"/>
              </w:rPr>
            </w:pPr>
          </w:p>
        </w:tc>
      </w:tr>
      <w:tr w:rsidR="00D77C69" w:rsidRPr="001567C8" w:rsidTr="003C6BA3">
        <w:trPr>
          <w:trHeight w:hRule="exact" w:val="397"/>
          <w:jc w:val="center"/>
        </w:trPr>
        <w:tc>
          <w:tcPr>
            <w:tcW w:w="1263" w:type="pct"/>
            <w:tcBorders>
              <w:top w:val="dotted" w:sz="4" w:space="0" w:color="auto"/>
              <w:bottom w:val="single" w:sz="4" w:space="0" w:color="auto"/>
            </w:tcBorders>
            <w:vAlign w:val="bottom"/>
          </w:tcPr>
          <w:p w:rsidR="00D77C69" w:rsidRPr="00CD3A2D" w:rsidRDefault="00D77C69" w:rsidP="000A5924">
            <w:pPr>
              <w:tabs>
                <w:tab w:val="right" w:pos="1202"/>
              </w:tabs>
              <w:outlineLvl w:val="0"/>
              <w:rPr>
                <w:rFonts w:ascii="Calibri" w:hAnsi="Calibri" w:cs="Calibri"/>
                <w:sz w:val="15"/>
                <w:szCs w:val="15"/>
                <w:lang w:val="hr-HR"/>
              </w:rPr>
            </w:pPr>
            <w:r w:rsidRPr="00CD3A2D">
              <w:rPr>
                <w:rFonts w:ascii="Calibri" w:hAnsi="Calibri" w:cs="Calibri"/>
                <w:sz w:val="15"/>
                <w:szCs w:val="15"/>
                <w:lang w:val="hr-HR"/>
              </w:rPr>
              <w:t>Dužnički vrijednosni papiri po amortiziranom trošku</w:t>
            </w:r>
          </w:p>
        </w:tc>
        <w:tc>
          <w:tcPr>
            <w:tcW w:w="460" w:type="pct"/>
            <w:tcBorders>
              <w:top w:val="dotted" w:sz="4" w:space="0" w:color="auto"/>
              <w:bottom w:val="single" w:sz="4" w:space="0" w:color="auto"/>
            </w:tcBorders>
            <w:shd w:val="clear" w:color="auto" w:fill="auto"/>
            <w:vAlign w:val="bottom"/>
          </w:tcPr>
          <w:p w:rsidR="00D77C69" w:rsidRPr="00CD3A2D" w:rsidRDefault="00D77C69" w:rsidP="000A5924">
            <w:pPr>
              <w:pStyle w:val="Style26"/>
              <w:shd w:val="clear" w:color="auto" w:fill="auto"/>
              <w:spacing w:before="0" w:line="240" w:lineRule="auto"/>
              <w:ind w:left="180" w:firstLine="0"/>
              <w:jc w:val="center"/>
              <w:rPr>
                <w:rFonts w:ascii="Calibri" w:hAnsi="Calibri" w:cs="Calibri"/>
                <w:sz w:val="15"/>
                <w:szCs w:val="15"/>
                <w:lang w:val="hr-HR"/>
              </w:rPr>
            </w:pPr>
          </w:p>
        </w:tc>
        <w:tc>
          <w:tcPr>
            <w:tcW w:w="373" w:type="pct"/>
            <w:tcBorders>
              <w:top w:val="dotted" w:sz="4" w:space="0" w:color="auto"/>
              <w:bottom w:val="single" w:sz="4" w:space="0" w:color="auto"/>
            </w:tcBorders>
            <w:shd w:val="clear" w:color="auto" w:fill="auto"/>
            <w:vAlign w:val="bottom"/>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448" w:type="pct"/>
            <w:tcBorders>
              <w:top w:val="dotted" w:sz="4" w:space="0" w:color="auto"/>
              <w:left w:val="nil"/>
              <w:bottom w:val="single" w:sz="4" w:space="0" w:color="auto"/>
              <w:right w:val="nil"/>
            </w:tcBorders>
            <w:shd w:val="clear" w:color="auto" w:fill="auto"/>
            <w:vAlign w:val="bottom"/>
          </w:tcPr>
          <w:p w:rsidR="00D77C69" w:rsidRPr="001567C8" w:rsidRDefault="00D77C69" w:rsidP="000A5924">
            <w:pPr>
              <w:pStyle w:val="TT"/>
              <w:spacing w:line="240" w:lineRule="auto"/>
              <w:jc w:val="right"/>
              <w:rPr>
                <w:rFonts w:ascii="Calibri" w:hAnsi="Calibri" w:cs="Calibri"/>
                <w:snapToGrid w:val="0"/>
                <w:sz w:val="15"/>
                <w:szCs w:val="15"/>
                <w:lang w:val="hr-HR"/>
              </w:rPr>
            </w:pPr>
            <w:r w:rsidRPr="001567C8">
              <w:rPr>
                <w:rFonts w:ascii="Calibri" w:hAnsi="Calibri" w:cs="Calibri"/>
                <w:snapToGrid w:val="0"/>
                <w:sz w:val="15"/>
                <w:szCs w:val="15"/>
                <w:lang w:val="hr-HR"/>
              </w:rPr>
              <w:t>1.399</w:t>
            </w:r>
          </w:p>
        </w:tc>
        <w:tc>
          <w:tcPr>
            <w:tcW w:w="347" w:type="pct"/>
            <w:tcBorders>
              <w:top w:val="dotted" w:sz="4" w:space="0" w:color="auto"/>
              <w:bottom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(2)</w:t>
            </w:r>
          </w:p>
        </w:tc>
        <w:tc>
          <w:tcPr>
            <w:tcW w:w="469" w:type="pct"/>
            <w:tcBorders>
              <w:top w:val="dotted" w:sz="4" w:space="0" w:color="auto"/>
              <w:bottom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62" w:type="pct"/>
            <w:tcBorders>
              <w:top w:val="dotted" w:sz="4" w:space="0" w:color="auto"/>
              <w:bottom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67" w:type="pct"/>
            <w:tcBorders>
              <w:top w:val="dotted" w:sz="4" w:space="0" w:color="auto"/>
              <w:bottom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73" w:type="pct"/>
            <w:tcBorders>
              <w:top w:val="dotted" w:sz="4" w:space="0" w:color="auto"/>
              <w:bottom w:val="single" w:sz="4" w:space="0" w:color="auto"/>
            </w:tcBorders>
            <w:shd w:val="clear" w:color="auto" w:fill="FFFFFF"/>
            <w:vAlign w:val="bottom"/>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1.397</w:t>
            </w:r>
          </w:p>
        </w:tc>
        <w:tc>
          <w:tcPr>
            <w:tcW w:w="539" w:type="pct"/>
            <w:tcBorders>
              <w:top w:val="dotted" w:sz="4" w:space="0" w:color="auto"/>
              <w:bottom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left="40" w:firstLine="0"/>
              <w:jc w:val="center"/>
              <w:rPr>
                <w:rFonts w:ascii="Calibri" w:hAnsi="Calibri" w:cs="Calibri"/>
                <w:sz w:val="15"/>
                <w:szCs w:val="15"/>
                <w:lang w:val="hr-HR"/>
              </w:rPr>
            </w:pPr>
            <w:r w:rsidRPr="00CD3A2D">
              <w:rPr>
                <w:rFonts w:ascii="Calibri" w:hAnsi="Calibri" w:cs="Calibri"/>
                <w:sz w:val="15"/>
                <w:szCs w:val="15"/>
                <w:lang w:val="hr-HR"/>
              </w:rPr>
              <w:t>AT</w:t>
            </w:r>
          </w:p>
        </w:tc>
      </w:tr>
      <w:tr w:rsidR="00D77C69" w:rsidRPr="001567C8" w:rsidTr="003C6BA3">
        <w:trPr>
          <w:trHeight w:hRule="exact" w:val="203"/>
          <w:jc w:val="center"/>
        </w:trPr>
        <w:tc>
          <w:tcPr>
            <w:tcW w:w="1263" w:type="pct"/>
            <w:tcBorders>
              <w:top w:val="single" w:sz="4" w:space="0" w:color="auto"/>
              <w:bottom w:val="double" w:sz="4" w:space="0" w:color="auto"/>
            </w:tcBorders>
            <w:shd w:val="clear" w:color="auto" w:fill="FFFFFF"/>
            <w:vAlign w:val="bottom"/>
          </w:tcPr>
          <w:p w:rsidR="00D77C69" w:rsidRPr="00CD3A2D" w:rsidRDefault="00D77C69" w:rsidP="000A5924">
            <w:pPr>
              <w:rPr>
                <w:rFonts w:ascii="Calibri" w:hAnsi="Calibri" w:cs="Calibri"/>
                <w:b/>
                <w:sz w:val="15"/>
                <w:szCs w:val="15"/>
                <w:lang w:val="hr-HR"/>
              </w:rPr>
            </w:pPr>
          </w:p>
        </w:tc>
        <w:tc>
          <w:tcPr>
            <w:tcW w:w="460" w:type="pct"/>
            <w:tcBorders>
              <w:top w:val="single" w:sz="4" w:space="0" w:color="auto"/>
              <w:bottom w:val="double" w:sz="4"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b/>
                <w:sz w:val="15"/>
                <w:szCs w:val="15"/>
                <w:lang w:val="hr-HR"/>
              </w:rPr>
            </w:pPr>
            <w:r w:rsidRPr="001567C8">
              <w:rPr>
                <w:rStyle w:val="CharStyle65"/>
                <w:rFonts w:ascii="Calibri" w:hAnsi="Calibri" w:cs="Calibri"/>
                <w:b/>
                <w:sz w:val="15"/>
                <w:szCs w:val="15"/>
                <w:lang w:val="hr-HR"/>
              </w:rPr>
              <w:t>Z i P</w:t>
            </w:r>
          </w:p>
        </w:tc>
        <w:tc>
          <w:tcPr>
            <w:tcW w:w="373" w:type="pct"/>
            <w:tcBorders>
              <w:top w:val="single" w:sz="4" w:space="0" w:color="auto"/>
              <w:bottom w:val="double" w:sz="4"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24.673.262</w:t>
            </w:r>
          </w:p>
        </w:tc>
        <w:tc>
          <w:tcPr>
            <w:tcW w:w="448"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(3.840)</w:t>
            </w:r>
          </w:p>
        </w:tc>
        <w:tc>
          <w:tcPr>
            <w:tcW w:w="347"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(616.643)</w:t>
            </w:r>
          </w:p>
        </w:tc>
        <w:tc>
          <w:tcPr>
            <w:tcW w:w="469"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w:t>
            </w:r>
          </w:p>
        </w:tc>
        <w:tc>
          <w:tcPr>
            <w:tcW w:w="362"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135.944</w:t>
            </w:r>
          </w:p>
        </w:tc>
        <w:tc>
          <w:tcPr>
            <w:tcW w:w="367"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(176)</w:t>
            </w:r>
          </w:p>
        </w:tc>
        <w:tc>
          <w:tcPr>
            <w:tcW w:w="373"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24.188.547</w:t>
            </w:r>
          </w:p>
        </w:tc>
        <w:tc>
          <w:tcPr>
            <w:tcW w:w="539" w:type="pct"/>
            <w:tcBorders>
              <w:top w:val="single" w:sz="4" w:space="0" w:color="auto"/>
              <w:bottom w:val="doub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left="40" w:firstLine="0"/>
              <w:jc w:val="center"/>
              <w:rPr>
                <w:rFonts w:ascii="Calibri" w:hAnsi="Calibri" w:cs="Calibri"/>
                <w:b/>
                <w:sz w:val="15"/>
                <w:szCs w:val="15"/>
                <w:lang w:val="hr-HR"/>
              </w:rPr>
            </w:pPr>
            <w:r w:rsidRPr="00CD3A2D">
              <w:rPr>
                <w:rFonts w:ascii="Calibri" w:hAnsi="Calibri" w:cs="Calibri"/>
                <w:b/>
                <w:sz w:val="15"/>
                <w:szCs w:val="15"/>
                <w:lang w:val="hr-HR"/>
              </w:rPr>
              <w:t>AT</w:t>
            </w:r>
          </w:p>
        </w:tc>
      </w:tr>
      <w:tr w:rsidR="00D77C69" w:rsidRPr="001567C8" w:rsidTr="003C6BA3">
        <w:trPr>
          <w:trHeight w:hRule="exact" w:val="57"/>
          <w:jc w:val="center"/>
        </w:trPr>
        <w:tc>
          <w:tcPr>
            <w:tcW w:w="1263" w:type="pct"/>
            <w:tcBorders>
              <w:top w:val="single" w:sz="4" w:space="0" w:color="auto"/>
            </w:tcBorders>
            <w:shd w:val="clear" w:color="auto" w:fill="FFFFFF"/>
            <w:vAlign w:val="bottom"/>
          </w:tcPr>
          <w:p w:rsidR="00D77C69" w:rsidRPr="00CD3A2D" w:rsidRDefault="00D77C69" w:rsidP="000A5924">
            <w:pPr>
              <w:rPr>
                <w:rFonts w:ascii="Calibri" w:hAnsi="Calibri" w:cs="Calibri"/>
                <w:b/>
                <w:sz w:val="15"/>
                <w:szCs w:val="15"/>
                <w:lang w:val="hr-HR"/>
              </w:rPr>
            </w:pPr>
          </w:p>
        </w:tc>
        <w:tc>
          <w:tcPr>
            <w:tcW w:w="460" w:type="pct"/>
            <w:tcBorders>
              <w:top w:val="single" w:sz="4" w:space="0" w:color="auto"/>
            </w:tcBorders>
            <w:shd w:val="clear" w:color="auto" w:fill="auto"/>
            <w:vAlign w:val="bottom"/>
          </w:tcPr>
          <w:p w:rsidR="00D77C69" w:rsidRPr="001567C8" w:rsidRDefault="00D77C69" w:rsidP="000A5924">
            <w:pPr>
              <w:pStyle w:val="Style26"/>
              <w:shd w:val="clear" w:color="auto" w:fill="auto"/>
              <w:spacing w:before="0" w:line="240" w:lineRule="auto"/>
              <w:ind w:left="180" w:firstLine="0"/>
              <w:jc w:val="center"/>
              <w:rPr>
                <w:rStyle w:val="CharStyle65"/>
                <w:rFonts w:ascii="Calibri" w:hAnsi="Calibri" w:cs="Calibri"/>
                <w:b/>
                <w:sz w:val="15"/>
                <w:szCs w:val="15"/>
                <w:lang w:val="hr-HR"/>
              </w:rPr>
            </w:pPr>
          </w:p>
        </w:tc>
        <w:tc>
          <w:tcPr>
            <w:tcW w:w="373" w:type="pct"/>
            <w:tcBorders>
              <w:top w:val="single" w:sz="4" w:space="0" w:color="auto"/>
            </w:tcBorders>
            <w:shd w:val="clear" w:color="auto" w:fill="auto"/>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p>
        </w:tc>
        <w:tc>
          <w:tcPr>
            <w:tcW w:w="448" w:type="pct"/>
            <w:tcBorders>
              <w:top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right="260" w:firstLine="0"/>
              <w:jc w:val="right"/>
              <w:rPr>
                <w:rStyle w:val="CharStyle65"/>
                <w:rFonts w:ascii="Calibri" w:hAnsi="Calibri" w:cs="Calibri"/>
                <w:b/>
                <w:sz w:val="15"/>
                <w:szCs w:val="15"/>
                <w:lang w:val="hr-HR"/>
              </w:rPr>
            </w:pPr>
          </w:p>
        </w:tc>
        <w:tc>
          <w:tcPr>
            <w:tcW w:w="347" w:type="pct"/>
            <w:tcBorders>
              <w:top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right="280" w:firstLine="0"/>
              <w:jc w:val="right"/>
              <w:rPr>
                <w:rStyle w:val="CharStyle65"/>
                <w:rFonts w:ascii="Calibri" w:hAnsi="Calibri" w:cs="Calibri"/>
                <w:b/>
                <w:sz w:val="15"/>
                <w:szCs w:val="15"/>
                <w:lang w:val="hr-HR"/>
              </w:rPr>
            </w:pPr>
          </w:p>
        </w:tc>
        <w:tc>
          <w:tcPr>
            <w:tcW w:w="469" w:type="pct"/>
            <w:tcBorders>
              <w:top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p>
        </w:tc>
        <w:tc>
          <w:tcPr>
            <w:tcW w:w="362" w:type="pct"/>
            <w:tcBorders>
              <w:top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p>
        </w:tc>
        <w:tc>
          <w:tcPr>
            <w:tcW w:w="367" w:type="pct"/>
            <w:tcBorders>
              <w:top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p>
        </w:tc>
        <w:tc>
          <w:tcPr>
            <w:tcW w:w="373" w:type="pct"/>
            <w:tcBorders>
              <w:top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p>
        </w:tc>
        <w:tc>
          <w:tcPr>
            <w:tcW w:w="539" w:type="pct"/>
            <w:tcBorders>
              <w:top w:val="sing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left="40" w:firstLine="0"/>
              <w:jc w:val="center"/>
              <w:rPr>
                <w:rStyle w:val="CharStyle65"/>
                <w:rFonts w:ascii="Calibri" w:hAnsi="Calibri" w:cs="Calibri"/>
                <w:b/>
                <w:sz w:val="15"/>
                <w:szCs w:val="15"/>
                <w:lang w:val="hr-HR"/>
              </w:rPr>
            </w:pPr>
          </w:p>
        </w:tc>
      </w:tr>
      <w:tr w:rsidR="00D77C69" w:rsidRPr="001567C8" w:rsidTr="003C6BA3">
        <w:trPr>
          <w:trHeight w:hRule="exact" w:val="198"/>
          <w:jc w:val="center"/>
        </w:trPr>
        <w:tc>
          <w:tcPr>
            <w:tcW w:w="1263" w:type="pct"/>
            <w:tcBorders>
              <w:bottom w:val="dotted" w:sz="4" w:space="0" w:color="auto"/>
            </w:tcBorders>
            <w:vAlign w:val="bottom"/>
          </w:tcPr>
          <w:p w:rsidR="00D77C69" w:rsidRPr="00CD3A2D" w:rsidRDefault="00D77C69" w:rsidP="000A5924">
            <w:pPr>
              <w:pStyle w:val="Style26"/>
              <w:shd w:val="clear" w:color="auto" w:fill="auto"/>
              <w:spacing w:before="0" w:line="240" w:lineRule="auto"/>
              <w:ind w:firstLine="0"/>
              <w:jc w:val="both"/>
              <w:rPr>
                <w:rFonts w:ascii="Calibri" w:hAnsi="Calibri" w:cs="Calibri"/>
                <w:sz w:val="15"/>
                <w:szCs w:val="15"/>
                <w:lang w:val="hr-HR"/>
              </w:rPr>
            </w:pPr>
            <w:r w:rsidRPr="001567C8">
              <w:rPr>
                <w:rStyle w:val="CharStyle65"/>
                <w:rFonts w:ascii="Calibri" w:hAnsi="Calibri" w:cs="Calibri"/>
                <w:sz w:val="15"/>
                <w:szCs w:val="15"/>
                <w:lang w:val="hr-HR"/>
              </w:rPr>
              <w:t>Imovina raspoloživa za prodaju</w:t>
            </w:r>
          </w:p>
        </w:tc>
        <w:tc>
          <w:tcPr>
            <w:tcW w:w="460" w:type="pct"/>
            <w:tcBorders>
              <w:bottom w:val="dotted" w:sz="4" w:space="0" w:color="auto"/>
            </w:tcBorders>
            <w:shd w:val="clear" w:color="auto" w:fill="auto"/>
            <w:vAlign w:val="bottom"/>
          </w:tcPr>
          <w:p w:rsidR="00D77C69" w:rsidRPr="00CD3A2D" w:rsidRDefault="00D77C69" w:rsidP="000A5924">
            <w:pPr>
              <w:jc w:val="center"/>
              <w:rPr>
                <w:rFonts w:ascii="Calibri" w:hAnsi="Calibri" w:cs="Calibri"/>
                <w:sz w:val="15"/>
                <w:szCs w:val="15"/>
                <w:lang w:val="hr-HR"/>
              </w:rPr>
            </w:pPr>
            <w:r w:rsidRPr="00CD3A2D">
              <w:rPr>
                <w:rFonts w:ascii="Calibri" w:hAnsi="Calibri" w:cs="Calibri"/>
                <w:sz w:val="15"/>
                <w:szCs w:val="15"/>
                <w:lang w:val="hr-HR"/>
              </w:rPr>
              <w:t>IRP</w:t>
            </w:r>
          </w:p>
        </w:tc>
        <w:tc>
          <w:tcPr>
            <w:tcW w:w="373" w:type="pct"/>
            <w:tcBorders>
              <w:bottom w:val="dotted" w:sz="4" w:space="0" w:color="auto"/>
            </w:tcBorders>
            <w:shd w:val="clear" w:color="auto" w:fill="auto"/>
            <w:vAlign w:val="center"/>
          </w:tcPr>
          <w:p w:rsidR="00D77C69" w:rsidRPr="001567C8" w:rsidRDefault="00D77C69" w:rsidP="000A5924">
            <w:pPr>
              <w:pStyle w:val="TT"/>
              <w:spacing w:line="240" w:lineRule="auto"/>
              <w:jc w:val="right"/>
              <w:rPr>
                <w:rFonts w:ascii="Calibri" w:hAnsi="Calibri" w:cs="Calibri"/>
                <w:snapToGrid w:val="0"/>
                <w:sz w:val="15"/>
                <w:szCs w:val="15"/>
                <w:lang w:val="hr-HR"/>
              </w:rPr>
            </w:pPr>
            <w:r w:rsidRPr="001567C8">
              <w:rPr>
                <w:rFonts w:ascii="Calibri" w:hAnsi="Calibri" w:cs="Calibri"/>
                <w:snapToGrid w:val="0"/>
                <w:sz w:val="15"/>
                <w:szCs w:val="15"/>
                <w:lang w:val="hr-HR"/>
              </w:rPr>
              <w:t>3.321.564</w:t>
            </w:r>
          </w:p>
        </w:tc>
        <w:tc>
          <w:tcPr>
            <w:tcW w:w="448"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(3.321.564)</w:t>
            </w:r>
          </w:p>
        </w:tc>
        <w:tc>
          <w:tcPr>
            <w:tcW w:w="347"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469"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2"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67"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73"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539" w:type="pct"/>
            <w:tcBorders>
              <w:bottom w:val="dotted" w:sz="4" w:space="0" w:color="auto"/>
            </w:tcBorders>
            <w:shd w:val="clear" w:color="auto" w:fill="FFFFFF"/>
            <w:vAlign w:val="bottom"/>
          </w:tcPr>
          <w:p w:rsidR="00D77C69" w:rsidRPr="00CD3A2D" w:rsidRDefault="00D77C69" w:rsidP="000A5924">
            <w:pPr>
              <w:jc w:val="center"/>
              <w:rPr>
                <w:rFonts w:ascii="Calibri" w:hAnsi="Calibri" w:cs="Calibri"/>
                <w:sz w:val="15"/>
                <w:szCs w:val="15"/>
                <w:lang w:val="hr-HR"/>
              </w:rPr>
            </w:pPr>
            <w:r w:rsidRPr="00CD3A2D">
              <w:rPr>
                <w:rFonts w:ascii="Calibri" w:hAnsi="Calibri" w:cs="Calibri"/>
                <w:sz w:val="15"/>
                <w:szCs w:val="15"/>
                <w:lang w:val="hr-HR"/>
              </w:rPr>
              <w:t>n/p</w:t>
            </w:r>
          </w:p>
        </w:tc>
      </w:tr>
      <w:tr w:rsidR="00D77C69" w:rsidRPr="001567C8" w:rsidTr="003C6BA3">
        <w:trPr>
          <w:trHeight w:hRule="exact" w:val="374"/>
          <w:jc w:val="center"/>
        </w:trPr>
        <w:tc>
          <w:tcPr>
            <w:tcW w:w="1263" w:type="pct"/>
            <w:tcBorders>
              <w:top w:val="dotted" w:sz="4" w:space="0" w:color="auto"/>
              <w:left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both"/>
              <w:rPr>
                <w:rFonts w:ascii="Calibri" w:hAnsi="Calibri" w:cs="Calibri"/>
                <w:i/>
                <w:sz w:val="15"/>
                <w:szCs w:val="15"/>
                <w:lang w:val="hr-HR"/>
              </w:rPr>
            </w:pPr>
            <w:r w:rsidRPr="00CD3A2D">
              <w:rPr>
                <w:rFonts w:ascii="Calibri" w:hAnsi="Calibri" w:cs="Calibri"/>
                <w:i/>
                <w:sz w:val="15"/>
                <w:szCs w:val="15"/>
                <w:lang w:val="hr-HR"/>
              </w:rPr>
              <w:t xml:space="preserve">Na poziciju: Financijska imovina </w:t>
            </w:r>
          </w:p>
          <w:p w:rsidR="00D77C69" w:rsidRPr="00CD3A2D" w:rsidRDefault="00D77C69" w:rsidP="000A5924">
            <w:pPr>
              <w:pStyle w:val="Style26"/>
              <w:shd w:val="clear" w:color="auto" w:fill="auto"/>
              <w:spacing w:before="0" w:line="240" w:lineRule="auto"/>
              <w:ind w:firstLine="0"/>
              <w:jc w:val="both"/>
              <w:rPr>
                <w:rFonts w:ascii="Calibri" w:hAnsi="Calibri" w:cs="Calibri"/>
                <w:i/>
                <w:sz w:val="15"/>
                <w:szCs w:val="15"/>
                <w:lang w:val="hr-HR"/>
              </w:rPr>
            </w:pPr>
            <w:r w:rsidRPr="00CD3A2D">
              <w:rPr>
                <w:rFonts w:ascii="Calibri" w:hAnsi="Calibri" w:cs="Calibri"/>
                <w:i/>
                <w:sz w:val="15"/>
                <w:szCs w:val="15"/>
                <w:lang w:val="hr-HR"/>
              </w:rPr>
              <w:t>po FVOSD</w:t>
            </w:r>
            <w:r w:rsidRPr="00CD3A2D">
              <w:rPr>
                <w:rStyle w:val="FootnoteReference"/>
                <w:rFonts w:ascii="Calibri" w:hAnsi="Calibri" w:cs="Calibri"/>
                <w:i/>
                <w:sz w:val="15"/>
                <w:szCs w:val="15"/>
                <w:lang w:val="hr-HR"/>
              </w:rPr>
              <w:footnoteReference w:id="7"/>
            </w:r>
            <w:r w:rsidRPr="00CD3A2D">
              <w:rPr>
                <w:rFonts w:ascii="Calibri" w:hAnsi="Calibri" w:cs="Calibri"/>
                <w:i/>
                <w:sz w:val="15"/>
                <w:szCs w:val="15"/>
                <w:lang w:val="hr-HR"/>
              </w:rPr>
              <w:t xml:space="preserve">                                                   </w:t>
            </w:r>
            <w:r w:rsidRPr="00CD3A2D">
              <w:rPr>
                <w:rFonts w:ascii="Calibri" w:hAnsi="Calibri" w:cs="Calibri"/>
                <w:b/>
                <w:i/>
                <w:sz w:val="15"/>
                <w:szCs w:val="15"/>
                <w:lang w:val="hr-HR"/>
              </w:rPr>
              <w:t>C</w:t>
            </w:r>
          </w:p>
        </w:tc>
        <w:tc>
          <w:tcPr>
            <w:tcW w:w="460" w:type="pct"/>
            <w:tcBorders>
              <w:top w:val="dotted" w:sz="4" w:space="0" w:color="auto"/>
            </w:tcBorders>
            <w:shd w:val="clear" w:color="auto" w:fill="auto"/>
            <w:vAlign w:val="bottom"/>
          </w:tcPr>
          <w:p w:rsidR="00D77C69" w:rsidRPr="00CD3A2D" w:rsidRDefault="00D77C69" w:rsidP="000A5924">
            <w:pPr>
              <w:jc w:val="center"/>
              <w:rPr>
                <w:rFonts w:ascii="Calibri" w:hAnsi="Calibri" w:cs="Calibri"/>
                <w:i/>
                <w:sz w:val="15"/>
                <w:szCs w:val="15"/>
                <w:lang w:val="hr-HR"/>
              </w:rPr>
            </w:pPr>
          </w:p>
        </w:tc>
        <w:tc>
          <w:tcPr>
            <w:tcW w:w="373" w:type="pct"/>
            <w:tcBorders>
              <w:top w:val="dotted" w:sz="4" w:space="0" w:color="auto"/>
            </w:tcBorders>
            <w:vAlign w:val="bottom"/>
          </w:tcPr>
          <w:p w:rsidR="00D77C69" w:rsidRPr="001567C8" w:rsidRDefault="00D77C69" w:rsidP="000A5924">
            <w:pPr>
              <w:pStyle w:val="TT"/>
              <w:spacing w:line="240" w:lineRule="auto"/>
              <w:jc w:val="right"/>
              <w:rPr>
                <w:rFonts w:ascii="Calibri" w:hAnsi="Calibri" w:cs="Calibri"/>
                <w:i/>
                <w:snapToGrid w:val="0"/>
                <w:sz w:val="15"/>
                <w:szCs w:val="15"/>
                <w:lang w:val="hr-HR"/>
              </w:rPr>
            </w:pPr>
            <w:r w:rsidRPr="001567C8">
              <w:rPr>
                <w:rFonts w:ascii="Calibri" w:hAnsi="Calibri" w:cs="Calibri"/>
                <w:i/>
                <w:snapToGrid w:val="0"/>
                <w:sz w:val="15"/>
                <w:szCs w:val="15"/>
                <w:lang w:val="hr-HR"/>
              </w:rPr>
              <w:t>-</w:t>
            </w:r>
          </w:p>
        </w:tc>
        <w:tc>
          <w:tcPr>
            <w:tcW w:w="448" w:type="pct"/>
            <w:tcBorders>
              <w:top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(2.508.833)</w:t>
            </w:r>
          </w:p>
        </w:tc>
        <w:tc>
          <w:tcPr>
            <w:tcW w:w="347" w:type="pct"/>
            <w:tcBorders>
              <w:top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469" w:type="pct"/>
            <w:tcBorders>
              <w:top w:val="dotted" w:sz="4" w:space="0" w:color="auto"/>
            </w:tcBorders>
            <w:shd w:val="clear" w:color="auto" w:fill="FFFFFF"/>
            <w:vAlign w:val="bottom"/>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2" w:type="pct"/>
            <w:tcBorders>
              <w:top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367" w:type="pct"/>
            <w:tcBorders>
              <w:top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373" w:type="pct"/>
            <w:tcBorders>
              <w:top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539" w:type="pct"/>
            <w:tcBorders>
              <w:top w:val="dotted" w:sz="4" w:space="0" w:color="auto"/>
              <w:right w:val="dotted"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r>
      <w:tr w:rsidR="00D77C69" w:rsidRPr="001567C8" w:rsidTr="003C6BA3">
        <w:trPr>
          <w:trHeight w:hRule="exact" w:val="355"/>
          <w:jc w:val="center"/>
        </w:trPr>
        <w:tc>
          <w:tcPr>
            <w:tcW w:w="1263" w:type="pct"/>
            <w:tcBorders>
              <w:left w:val="dotted" w:sz="4" w:space="0" w:color="auto"/>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both"/>
              <w:rPr>
                <w:rFonts w:ascii="Calibri" w:hAnsi="Calibri" w:cs="Calibri"/>
                <w:i/>
                <w:sz w:val="15"/>
                <w:szCs w:val="15"/>
                <w:lang w:val="hr-HR"/>
              </w:rPr>
            </w:pPr>
            <w:r w:rsidRPr="00CD3A2D">
              <w:rPr>
                <w:rFonts w:ascii="Calibri" w:hAnsi="Calibri" w:cs="Calibri"/>
                <w:i/>
                <w:sz w:val="15"/>
                <w:szCs w:val="15"/>
                <w:lang w:val="hr-HR"/>
              </w:rPr>
              <w:t xml:space="preserve">Na poziciju: Financijska imovina </w:t>
            </w:r>
          </w:p>
          <w:p w:rsidR="00D77C69" w:rsidRPr="00CD3A2D" w:rsidRDefault="00D77C69" w:rsidP="000A5924">
            <w:pPr>
              <w:pStyle w:val="Style26"/>
              <w:shd w:val="clear" w:color="auto" w:fill="auto"/>
              <w:spacing w:before="0" w:line="240" w:lineRule="auto"/>
              <w:ind w:firstLine="0"/>
              <w:jc w:val="both"/>
              <w:rPr>
                <w:rFonts w:ascii="Calibri" w:hAnsi="Calibri" w:cs="Calibri"/>
                <w:i/>
                <w:sz w:val="15"/>
                <w:szCs w:val="15"/>
                <w:lang w:val="hr-HR"/>
              </w:rPr>
            </w:pPr>
            <w:r w:rsidRPr="00CD3A2D">
              <w:rPr>
                <w:rFonts w:ascii="Calibri" w:hAnsi="Calibri" w:cs="Calibri"/>
                <w:i/>
                <w:sz w:val="15"/>
                <w:szCs w:val="15"/>
                <w:lang w:val="hr-HR"/>
              </w:rPr>
              <w:t>po FV</w:t>
            </w:r>
            <w:r w:rsidR="00EF641B" w:rsidRPr="00CD3A2D">
              <w:rPr>
                <w:rFonts w:ascii="Calibri" w:hAnsi="Calibri" w:cs="Calibri"/>
                <w:i/>
                <w:sz w:val="15"/>
                <w:szCs w:val="15"/>
                <w:lang w:val="hr-HR"/>
              </w:rPr>
              <w:t>R</w:t>
            </w:r>
            <w:r w:rsidRPr="00CD3A2D">
              <w:rPr>
                <w:rFonts w:ascii="Calibri" w:hAnsi="Calibri" w:cs="Calibri"/>
                <w:i/>
                <w:sz w:val="15"/>
                <w:szCs w:val="15"/>
                <w:lang w:val="hr-HR"/>
              </w:rPr>
              <w:t xml:space="preserve">DG                                                     </w:t>
            </w:r>
            <w:r w:rsidRPr="00CD3A2D">
              <w:rPr>
                <w:rFonts w:ascii="Calibri" w:hAnsi="Calibri" w:cs="Calibri"/>
                <w:b/>
                <w:i/>
                <w:sz w:val="15"/>
                <w:szCs w:val="15"/>
                <w:lang w:val="hr-HR"/>
              </w:rPr>
              <w:t>D</w:t>
            </w:r>
          </w:p>
        </w:tc>
        <w:tc>
          <w:tcPr>
            <w:tcW w:w="460" w:type="pct"/>
            <w:tcBorders>
              <w:bottom w:val="dotted" w:sz="4" w:space="0" w:color="auto"/>
            </w:tcBorders>
            <w:shd w:val="clear" w:color="auto" w:fill="auto"/>
            <w:vAlign w:val="bottom"/>
          </w:tcPr>
          <w:p w:rsidR="00D77C69" w:rsidRPr="00CD3A2D" w:rsidRDefault="00D77C69" w:rsidP="000A5924">
            <w:pPr>
              <w:jc w:val="center"/>
              <w:rPr>
                <w:rFonts w:ascii="Calibri" w:hAnsi="Calibri" w:cs="Calibri"/>
                <w:i/>
                <w:sz w:val="15"/>
                <w:szCs w:val="15"/>
                <w:lang w:val="hr-HR"/>
              </w:rPr>
            </w:pPr>
          </w:p>
        </w:tc>
        <w:tc>
          <w:tcPr>
            <w:tcW w:w="373" w:type="pct"/>
            <w:tcBorders>
              <w:bottom w:val="dotted" w:sz="4" w:space="0" w:color="auto"/>
            </w:tcBorders>
            <w:vAlign w:val="bottom"/>
          </w:tcPr>
          <w:p w:rsidR="00D77C69" w:rsidRPr="001567C8" w:rsidRDefault="00D77C69" w:rsidP="000A5924">
            <w:pPr>
              <w:pStyle w:val="TT"/>
              <w:spacing w:line="240" w:lineRule="auto"/>
              <w:jc w:val="right"/>
              <w:rPr>
                <w:rFonts w:ascii="Calibri" w:hAnsi="Calibri" w:cs="Calibri"/>
                <w:i/>
                <w:snapToGrid w:val="0"/>
                <w:sz w:val="15"/>
                <w:szCs w:val="15"/>
                <w:lang w:val="hr-HR"/>
              </w:rPr>
            </w:pPr>
            <w:r w:rsidRPr="001567C8">
              <w:rPr>
                <w:rFonts w:ascii="Calibri" w:hAnsi="Calibri" w:cs="Calibri"/>
                <w:i/>
                <w:snapToGrid w:val="0"/>
                <w:sz w:val="15"/>
                <w:szCs w:val="15"/>
                <w:lang w:val="hr-HR"/>
              </w:rPr>
              <w:t>-</w:t>
            </w:r>
          </w:p>
        </w:tc>
        <w:tc>
          <w:tcPr>
            <w:tcW w:w="448"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(812.731)</w:t>
            </w:r>
          </w:p>
        </w:tc>
        <w:tc>
          <w:tcPr>
            <w:tcW w:w="347"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469" w:type="pct"/>
            <w:tcBorders>
              <w:bottom w:val="dotted" w:sz="4" w:space="0" w:color="auto"/>
            </w:tcBorders>
            <w:shd w:val="clear" w:color="auto" w:fill="FFFFFF"/>
            <w:vAlign w:val="bottom"/>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2"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367"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373"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539" w:type="pct"/>
            <w:tcBorders>
              <w:bottom w:val="dotted" w:sz="4" w:space="0" w:color="auto"/>
              <w:right w:val="dotted"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r>
      <w:tr w:rsidR="00D77C69" w:rsidRPr="001567C8" w:rsidTr="003C6BA3">
        <w:trPr>
          <w:trHeight w:hRule="exact" w:val="57"/>
          <w:jc w:val="center"/>
        </w:trPr>
        <w:tc>
          <w:tcPr>
            <w:tcW w:w="1263" w:type="pct"/>
            <w:tcBorders>
              <w:top w:val="dotted" w:sz="4" w:space="0" w:color="auto"/>
              <w:bottom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both"/>
              <w:rPr>
                <w:rFonts w:ascii="Calibri" w:hAnsi="Calibri" w:cs="Calibri"/>
                <w:i/>
                <w:sz w:val="15"/>
                <w:szCs w:val="15"/>
                <w:lang w:val="hr-HR"/>
              </w:rPr>
            </w:pPr>
          </w:p>
        </w:tc>
        <w:tc>
          <w:tcPr>
            <w:tcW w:w="460" w:type="pct"/>
            <w:tcBorders>
              <w:top w:val="dotted" w:sz="4" w:space="0" w:color="auto"/>
              <w:bottom w:val="single" w:sz="4" w:space="0" w:color="auto"/>
            </w:tcBorders>
            <w:shd w:val="clear" w:color="auto" w:fill="auto"/>
            <w:vAlign w:val="bottom"/>
          </w:tcPr>
          <w:p w:rsidR="00D77C69" w:rsidRPr="00CD3A2D" w:rsidRDefault="00D77C69" w:rsidP="000A5924">
            <w:pPr>
              <w:jc w:val="center"/>
              <w:rPr>
                <w:rFonts w:ascii="Calibri" w:hAnsi="Calibri" w:cs="Calibri"/>
                <w:i/>
                <w:sz w:val="15"/>
                <w:szCs w:val="15"/>
                <w:lang w:val="hr-HR"/>
              </w:rPr>
            </w:pPr>
          </w:p>
        </w:tc>
        <w:tc>
          <w:tcPr>
            <w:tcW w:w="373" w:type="pct"/>
            <w:tcBorders>
              <w:top w:val="dotted" w:sz="4" w:space="0" w:color="auto"/>
              <w:bottom w:val="single" w:sz="4" w:space="0" w:color="auto"/>
            </w:tcBorders>
            <w:vAlign w:val="center"/>
          </w:tcPr>
          <w:p w:rsidR="00D77C69" w:rsidRPr="001567C8" w:rsidRDefault="00D77C69" w:rsidP="000A5924">
            <w:pPr>
              <w:pStyle w:val="TT"/>
              <w:spacing w:line="240" w:lineRule="auto"/>
              <w:jc w:val="right"/>
              <w:rPr>
                <w:rFonts w:ascii="Calibri" w:hAnsi="Calibri" w:cs="Calibri"/>
                <w:i/>
                <w:snapToGrid w:val="0"/>
                <w:sz w:val="15"/>
                <w:szCs w:val="15"/>
                <w:lang w:val="hr-HR"/>
              </w:rPr>
            </w:pPr>
          </w:p>
        </w:tc>
        <w:tc>
          <w:tcPr>
            <w:tcW w:w="448" w:type="pct"/>
            <w:tcBorders>
              <w:top w:val="dotted" w:sz="4" w:space="0" w:color="auto"/>
              <w:bottom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347" w:type="pct"/>
            <w:tcBorders>
              <w:top w:val="dotted" w:sz="4" w:space="0" w:color="auto"/>
              <w:bottom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right="280" w:firstLine="0"/>
              <w:jc w:val="right"/>
              <w:rPr>
                <w:rFonts w:ascii="Calibri" w:hAnsi="Calibri" w:cs="Calibri"/>
                <w:i/>
                <w:sz w:val="15"/>
                <w:szCs w:val="15"/>
                <w:lang w:val="hr-HR"/>
              </w:rPr>
            </w:pPr>
          </w:p>
        </w:tc>
        <w:tc>
          <w:tcPr>
            <w:tcW w:w="469" w:type="pct"/>
            <w:tcBorders>
              <w:top w:val="dotted" w:sz="4" w:space="0" w:color="auto"/>
              <w:bottom w:val="single"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p>
        </w:tc>
        <w:tc>
          <w:tcPr>
            <w:tcW w:w="362" w:type="pct"/>
            <w:tcBorders>
              <w:top w:val="dotted" w:sz="4" w:space="0" w:color="auto"/>
              <w:bottom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367" w:type="pct"/>
            <w:tcBorders>
              <w:top w:val="dotted" w:sz="4" w:space="0" w:color="auto"/>
              <w:bottom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373" w:type="pct"/>
            <w:tcBorders>
              <w:top w:val="dotted" w:sz="4" w:space="0" w:color="auto"/>
              <w:bottom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539" w:type="pct"/>
            <w:tcBorders>
              <w:top w:val="dotted" w:sz="4" w:space="0" w:color="auto"/>
              <w:bottom w:val="single"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r>
      <w:tr w:rsidR="00D77C69" w:rsidRPr="001567C8" w:rsidTr="003C6BA3">
        <w:trPr>
          <w:trHeight w:hRule="exact" w:val="227"/>
          <w:jc w:val="center"/>
        </w:trPr>
        <w:tc>
          <w:tcPr>
            <w:tcW w:w="1263" w:type="pct"/>
            <w:tcBorders>
              <w:top w:val="single" w:sz="4" w:space="0" w:color="auto"/>
              <w:left w:val="dotted" w:sz="4" w:space="0" w:color="auto"/>
              <w:bottom w:val="doub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both"/>
              <w:rPr>
                <w:rFonts w:ascii="Calibri" w:hAnsi="Calibri" w:cs="Calibri"/>
                <w:b/>
                <w:sz w:val="15"/>
                <w:szCs w:val="15"/>
                <w:lang w:val="hr-HR"/>
              </w:rPr>
            </w:pPr>
          </w:p>
        </w:tc>
        <w:tc>
          <w:tcPr>
            <w:tcW w:w="460" w:type="pct"/>
            <w:tcBorders>
              <w:top w:val="single" w:sz="4" w:space="0" w:color="auto"/>
              <w:bottom w:val="double" w:sz="4" w:space="0" w:color="auto"/>
            </w:tcBorders>
            <w:shd w:val="clear" w:color="auto" w:fill="auto"/>
            <w:vAlign w:val="bottom"/>
          </w:tcPr>
          <w:p w:rsidR="00D77C69" w:rsidRPr="00CD3A2D" w:rsidRDefault="00D77C69" w:rsidP="000A5924">
            <w:pPr>
              <w:jc w:val="center"/>
              <w:rPr>
                <w:rFonts w:ascii="Calibri" w:hAnsi="Calibri" w:cs="Calibri"/>
                <w:b/>
                <w:sz w:val="15"/>
                <w:szCs w:val="15"/>
                <w:lang w:val="hr-HR"/>
              </w:rPr>
            </w:pPr>
            <w:r w:rsidRPr="00CD3A2D">
              <w:rPr>
                <w:rFonts w:ascii="Calibri" w:hAnsi="Calibri" w:cs="Calibri"/>
                <w:b/>
                <w:sz w:val="15"/>
                <w:szCs w:val="15"/>
                <w:lang w:val="hr-HR"/>
              </w:rPr>
              <w:t>IRP</w:t>
            </w:r>
          </w:p>
        </w:tc>
        <w:tc>
          <w:tcPr>
            <w:tcW w:w="373" w:type="pct"/>
            <w:tcBorders>
              <w:top w:val="single" w:sz="4" w:space="0" w:color="auto"/>
              <w:bottom w:val="double" w:sz="4" w:space="0" w:color="auto"/>
            </w:tcBorders>
            <w:shd w:val="clear" w:color="auto" w:fill="auto"/>
            <w:vAlign w:val="center"/>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3.321.564</w:t>
            </w:r>
          </w:p>
        </w:tc>
        <w:tc>
          <w:tcPr>
            <w:tcW w:w="448"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(3.321.564)</w:t>
            </w:r>
          </w:p>
        </w:tc>
        <w:tc>
          <w:tcPr>
            <w:tcW w:w="347" w:type="pct"/>
            <w:tcBorders>
              <w:top w:val="single" w:sz="4" w:space="0" w:color="auto"/>
              <w:bottom w:val="double" w:sz="4" w:space="0" w:color="auto"/>
            </w:tcBorders>
            <w:shd w:val="clear" w:color="auto" w:fill="FFFFFF"/>
            <w:vAlign w:val="center"/>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w:t>
            </w:r>
          </w:p>
        </w:tc>
        <w:tc>
          <w:tcPr>
            <w:tcW w:w="469" w:type="pct"/>
            <w:tcBorders>
              <w:top w:val="single" w:sz="4" w:space="0" w:color="auto"/>
              <w:bottom w:val="double" w:sz="4" w:space="0" w:color="auto"/>
            </w:tcBorders>
            <w:shd w:val="clear" w:color="auto" w:fill="FFFFFF"/>
            <w:vAlign w:val="center"/>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w:t>
            </w:r>
          </w:p>
        </w:tc>
        <w:tc>
          <w:tcPr>
            <w:tcW w:w="362" w:type="pct"/>
            <w:tcBorders>
              <w:top w:val="single" w:sz="4" w:space="0" w:color="auto"/>
              <w:bottom w:val="double" w:sz="4" w:space="0" w:color="auto"/>
            </w:tcBorders>
            <w:shd w:val="clear" w:color="auto" w:fill="FFFFFF"/>
            <w:vAlign w:val="center"/>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w:t>
            </w:r>
          </w:p>
        </w:tc>
        <w:tc>
          <w:tcPr>
            <w:tcW w:w="367" w:type="pct"/>
            <w:tcBorders>
              <w:top w:val="single" w:sz="4" w:space="0" w:color="auto"/>
              <w:bottom w:val="double" w:sz="4" w:space="0" w:color="auto"/>
            </w:tcBorders>
            <w:shd w:val="clear" w:color="auto" w:fill="FFFFFF"/>
            <w:vAlign w:val="center"/>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w:t>
            </w:r>
          </w:p>
        </w:tc>
        <w:tc>
          <w:tcPr>
            <w:tcW w:w="373" w:type="pct"/>
            <w:tcBorders>
              <w:top w:val="single" w:sz="4" w:space="0" w:color="auto"/>
              <w:bottom w:val="double" w:sz="4" w:space="0" w:color="auto"/>
            </w:tcBorders>
            <w:shd w:val="clear" w:color="auto" w:fill="FFFFFF"/>
            <w:vAlign w:val="center"/>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w:t>
            </w:r>
          </w:p>
        </w:tc>
        <w:tc>
          <w:tcPr>
            <w:tcW w:w="539" w:type="pct"/>
            <w:tcBorders>
              <w:top w:val="single" w:sz="4" w:space="0" w:color="auto"/>
              <w:bottom w:val="double" w:sz="4" w:space="0" w:color="auto"/>
              <w:right w:val="dotted" w:sz="4" w:space="0" w:color="auto"/>
            </w:tcBorders>
            <w:shd w:val="clear" w:color="auto" w:fill="FFFFFF"/>
            <w:vAlign w:val="bottom"/>
          </w:tcPr>
          <w:p w:rsidR="00D77C69" w:rsidRPr="00CD3A2D" w:rsidRDefault="00D77C69" w:rsidP="000A5924">
            <w:pPr>
              <w:jc w:val="center"/>
              <w:rPr>
                <w:rFonts w:ascii="Calibri" w:hAnsi="Calibri" w:cs="Calibri"/>
                <w:b/>
                <w:sz w:val="15"/>
                <w:szCs w:val="15"/>
                <w:lang w:val="hr-HR"/>
              </w:rPr>
            </w:pPr>
            <w:r w:rsidRPr="00CD3A2D">
              <w:rPr>
                <w:rFonts w:ascii="Calibri" w:hAnsi="Calibri" w:cs="Calibri"/>
                <w:b/>
                <w:sz w:val="15"/>
                <w:szCs w:val="15"/>
                <w:lang w:val="hr-HR"/>
              </w:rPr>
              <w:t>n/p</w:t>
            </w:r>
          </w:p>
        </w:tc>
      </w:tr>
      <w:tr w:rsidR="00D77C69" w:rsidRPr="001567C8" w:rsidTr="003C6BA3">
        <w:trPr>
          <w:trHeight w:hRule="exact" w:val="57"/>
          <w:jc w:val="center"/>
        </w:trPr>
        <w:tc>
          <w:tcPr>
            <w:tcW w:w="1263" w:type="pct"/>
            <w:tcBorders>
              <w:top w:val="doub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both"/>
              <w:rPr>
                <w:rFonts w:ascii="Calibri" w:hAnsi="Calibri" w:cs="Calibri"/>
                <w:sz w:val="15"/>
                <w:szCs w:val="15"/>
                <w:lang w:val="hr-HR"/>
              </w:rPr>
            </w:pPr>
          </w:p>
        </w:tc>
        <w:tc>
          <w:tcPr>
            <w:tcW w:w="460" w:type="pct"/>
            <w:tcBorders>
              <w:top w:val="double" w:sz="4" w:space="0" w:color="auto"/>
            </w:tcBorders>
            <w:shd w:val="clear" w:color="auto" w:fill="auto"/>
            <w:vAlign w:val="bottom"/>
          </w:tcPr>
          <w:p w:rsidR="00D77C69" w:rsidRPr="00CD3A2D" w:rsidRDefault="00D77C69" w:rsidP="000A5924">
            <w:pPr>
              <w:jc w:val="center"/>
              <w:rPr>
                <w:rFonts w:ascii="Calibri" w:hAnsi="Calibri" w:cs="Calibri"/>
                <w:sz w:val="15"/>
                <w:szCs w:val="15"/>
                <w:lang w:val="hr-HR"/>
              </w:rPr>
            </w:pPr>
          </w:p>
        </w:tc>
        <w:tc>
          <w:tcPr>
            <w:tcW w:w="373" w:type="pct"/>
            <w:tcBorders>
              <w:top w:val="double" w:sz="4" w:space="0" w:color="auto"/>
            </w:tcBorders>
            <w:shd w:val="clear" w:color="auto" w:fill="auto"/>
            <w:vAlign w:val="center"/>
          </w:tcPr>
          <w:p w:rsidR="00D77C69" w:rsidRPr="00CD3A2D" w:rsidRDefault="00D77C69" w:rsidP="000A5924">
            <w:pPr>
              <w:jc w:val="right"/>
              <w:rPr>
                <w:rFonts w:ascii="Calibri" w:hAnsi="Calibri" w:cs="Calibri"/>
                <w:sz w:val="15"/>
                <w:szCs w:val="15"/>
                <w:lang w:val="hr-HR"/>
              </w:rPr>
            </w:pPr>
          </w:p>
        </w:tc>
        <w:tc>
          <w:tcPr>
            <w:tcW w:w="448" w:type="pct"/>
            <w:tcBorders>
              <w:top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347" w:type="pct"/>
            <w:tcBorders>
              <w:top w:val="double"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p>
        </w:tc>
        <w:tc>
          <w:tcPr>
            <w:tcW w:w="469" w:type="pct"/>
            <w:tcBorders>
              <w:top w:val="double"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p>
        </w:tc>
        <w:tc>
          <w:tcPr>
            <w:tcW w:w="362" w:type="pct"/>
            <w:tcBorders>
              <w:top w:val="double"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p>
        </w:tc>
        <w:tc>
          <w:tcPr>
            <w:tcW w:w="367" w:type="pct"/>
            <w:tcBorders>
              <w:top w:val="double"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p>
        </w:tc>
        <w:tc>
          <w:tcPr>
            <w:tcW w:w="373" w:type="pct"/>
            <w:tcBorders>
              <w:top w:val="double"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p>
        </w:tc>
        <w:tc>
          <w:tcPr>
            <w:tcW w:w="539" w:type="pct"/>
            <w:tcBorders>
              <w:top w:val="double" w:sz="4" w:space="0" w:color="auto"/>
            </w:tcBorders>
            <w:shd w:val="clear" w:color="auto" w:fill="FFFFFF"/>
            <w:vAlign w:val="bottom"/>
          </w:tcPr>
          <w:p w:rsidR="00D77C69" w:rsidRPr="00CD3A2D" w:rsidRDefault="00D77C69" w:rsidP="000A5924">
            <w:pPr>
              <w:rPr>
                <w:rFonts w:ascii="Calibri" w:hAnsi="Calibri" w:cs="Calibri"/>
                <w:sz w:val="15"/>
                <w:szCs w:val="15"/>
                <w:lang w:val="hr-HR"/>
              </w:rPr>
            </w:pPr>
          </w:p>
        </w:tc>
      </w:tr>
      <w:tr w:rsidR="00D77C69" w:rsidRPr="001567C8" w:rsidTr="003C6BA3">
        <w:trPr>
          <w:trHeight w:hRule="exact" w:val="204"/>
          <w:jc w:val="center"/>
        </w:trPr>
        <w:tc>
          <w:tcPr>
            <w:tcW w:w="1263"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both"/>
              <w:rPr>
                <w:rFonts w:ascii="Calibri" w:hAnsi="Calibri" w:cs="Calibri"/>
                <w:sz w:val="15"/>
                <w:szCs w:val="15"/>
                <w:lang w:val="hr-HR"/>
              </w:rPr>
            </w:pPr>
            <w:r w:rsidRPr="00CD3A2D">
              <w:rPr>
                <w:rFonts w:ascii="Calibri" w:hAnsi="Calibri" w:cs="Calibri"/>
                <w:sz w:val="15"/>
                <w:szCs w:val="15"/>
                <w:lang w:val="hr-HR"/>
              </w:rPr>
              <w:t>Financijska imovina po FVOSD</w:t>
            </w:r>
          </w:p>
        </w:tc>
        <w:tc>
          <w:tcPr>
            <w:tcW w:w="460" w:type="pct"/>
            <w:tcBorders>
              <w:bottom w:val="dotted" w:sz="4" w:space="0" w:color="auto"/>
            </w:tcBorders>
            <w:shd w:val="clear" w:color="auto" w:fill="auto"/>
            <w:vAlign w:val="bottom"/>
          </w:tcPr>
          <w:p w:rsidR="00D77C69" w:rsidRPr="00CD3A2D" w:rsidRDefault="00D77C69" w:rsidP="000A5924">
            <w:pPr>
              <w:jc w:val="center"/>
              <w:rPr>
                <w:rFonts w:ascii="Calibri" w:hAnsi="Calibri" w:cs="Calibri"/>
                <w:sz w:val="15"/>
                <w:szCs w:val="15"/>
                <w:lang w:val="hr-HR"/>
              </w:rPr>
            </w:pPr>
            <w:r w:rsidRPr="00CD3A2D">
              <w:rPr>
                <w:rFonts w:ascii="Calibri" w:hAnsi="Calibri" w:cs="Calibri"/>
                <w:sz w:val="15"/>
                <w:szCs w:val="15"/>
                <w:lang w:val="hr-HR"/>
              </w:rPr>
              <w:t>n/p</w:t>
            </w:r>
          </w:p>
        </w:tc>
        <w:tc>
          <w:tcPr>
            <w:tcW w:w="373" w:type="pct"/>
            <w:tcBorders>
              <w:bottom w:val="dotted" w:sz="4" w:space="0" w:color="auto"/>
            </w:tcBorders>
            <w:shd w:val="clear" w:color="auto" w:fill="auto"/>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448"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47"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469"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2"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7"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73"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2.508.833</w:t>
            </w:r>
          </w:p>
        </w:tc>
        <w:tc>
          <w:tcPr>
            <w:tcW w:w="539" w:type="pct"/>
            <w:tcBorders>
              <w:bottom w:val="dotted" w:sz="4" w:space="0" w:color="auto"/>
            </w:tcBorders>
            <w:shd w:val="clear" w:color="auto" w:fill="FFFFFF"/>
            <w:vAlign w:val="bottom"/>
          </w:tcPr>
          <w:p w:rsidR="00D77C69" w:rsidRPr="00CD3A2D" w:rsidRDefault="00D77C69" w:rsidP="000A5924">
            <w:pPr>
              <w:jc w:val="center"/>
              <w:rPr>
                <w:rFonts w:ascii="Calibri" w:hAnsi="Calibri" w:cs="Calibri"/>
                <w:sz w:val="15"/>
                <w:szCs w:val="15"/>
                <w:lang w:val="hr-HR"/>
              </w:rPr>
            </w:pPr>
            <w:r w:rsidRPr="00CD3A2D">
              <w:rPr>
                <w:rFonts w:ascii="Calibri" w:hAnsi="Calibri" w:cs="Calibri"/>
                <w:sz w:val="15"/>
                <w:szCs w:val="15"/>
                <w:lang w:val="hr-HR"/>
              </w:rPr>
              <w:t>FVOSD</w:t>
            </w:r>
          </w:p>
        </w:tc>
      </w:tr>
      <w:tr w:rsidR="00D77C69" w:rsidRPr="001567C8" w:rsidTr="003C6BA3">
        <w:trPr>
          <w:trHeight w:hRule="exact" w:val="204"/>
          <w:jc w:val="center"/>
        </w:trPr>
        <w:tc>
          <w:tcPr>
            <w:tcW w:w="1263" w:type="pct"/>
            <w:tcBorders>
              <w:top w:val="dotted" w:sz="4" w:space="0" w:color="auto"/>
              <w:left w:val="dotted" w:sz="4" w:space="0" w:color="auto"/>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rPr>
                <w:rFonts w:ascii="Calibri" w:hAnsi="Calibri" w:cs="Calibri"/>
                <w:i/>
                <w:sz w:val="15"/>
                <w:szCs w:val="15"/>
                <w:lang w:val="hr-HR"/>
              </w:rPr>
            </w:pPr>
            <w:r w:rsidRPr="00CD3A2D">
              <w:rPr>
                <w:rFonts w:ascii="Calibri" w:hAnsi="Calibri" w:cs="Calibri"/>
                <w:i/>
                <w:sz w:val="15"/>
                <w:szCs w:val="15"/>
                <w:lang w:val="hr-HR"/>
              </w:rPr>
              <w:t>Sa pozicije: IRP</w:t>
            </w:r>
            <w:r w:rsidRPr="00CD3A2D">
              <w:rPr>
                <w:rStyle w:val="FootnoteReference"/>
                <w:rFonts w:ascii="Calibri" w:hAnsi="Calibri" w:cs="Calibri"/>
                <w:i/>
                <w:sz w:val="15"/>
                <w:szCs w:val="15"/>
                <w:lang w:val="hr-HR"/>
              </w:rPr>
              <w:footnoteReference w:id="8"/>
            </w:r>
            <w:r w:rsidRPr="00CD3A2D">
              <w:rPr>
                <w:rFonts w:ascii="Calibri" w:hAnsi="Calibri" w:cs="Calibri"/>
                <w:i/>
                <w:sz w:val="15"/>
                <w:szCs w:val="15"/>
                <w:lang w:val="hr-HR"/>
              </w:rPr>
              <w:t xml:space="preserve">                                          </w:t>
            </w:r>
            <w:r w:rsidRPr="00CD3A2D">
              <w:rPr>
                <w:rFonts w:ascii="Calibri" w:hAnsi="Calibri" w:cs="Calibri"/>
                <w:b/>
                <w:i/>
                <w:sz w:val="15"/>
                <w:szCs w:val="15"/>
                <w:lang w:val="hr-HR"/>
              </w:rPr>
              <w:t>E</w:t>
            </w:r>
          </w:p>
        </w:tc>
        <w:tc>
          <w:tcPr>
            <w:tcW w:w="460" w:type="pct"/>
            <w:tcBorders>
              <w:top w:val="dotted" w:sz="4" w:space="0" w:color="auto"/>
              <w:bottom w:val="dotted" w:sz="4" w:space="0" w:color="auto"/>
            </w:tcBorders>
            <w:shd w:val="clear" w:color="auto" w:fill="auto"/>
            <w:vAlign w:val="bottom"/>
          </w:tcPr>
          <w:p w:rsidR="00D77C69" w:rsidRPr="00CD3A2D" w:rsidRDefault="00D77C69" w:rsidP="000A5924">
            <w:pPr>
              <w:jc w:val="center"/>
              <w:rPr>
                <w:rFonts w:ascii="Calibri" w:hAnsi="Calibri" w:cs="Calibri"/>
                <w:i/>
                <w:sz w:val="15"/>
                <w:szCs w:val="15"/>
                <w:lang w:val="hr-HR"/>
              </w:rPr>
            </w:pPr>
          </w:p>
        </w:tc>
        <w:tc>
          <w:tcPr>
            <w:tcW w:w="373" w:type="pct"/>
            <w:tcBorders>
              <w:top w:val="dotted" w:sz="4" w:space="0" w:color="auto"/>
              <w:bottom w:val="dotted" w:sz="4" w:space="0" w:color="auto"/>
            </w:tcBorders>
            <w:shd w:val="clear" w:color="auto" w:fill="auto"/>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448" w:type="pct"/>
            <w:tcBorders>
              <w:top w:val="dotted" w:sz="4" w:space="0" w:color="auto"/>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2.508.833</w:t>
            </w:r>
          </w:p>
        </w:tc>
        <w:tc>
          <w:tcPr>
            <w:tcW w:w="347"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469"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2"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7"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73" w:type="pct"/>
            <w:tcBorders>
              <w:top w:val="dotted" w:sz="4" w:space="0" w:color="auto"/>
              <w:bottom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539" w:type="pct"/>
            <w:tcBorders>
              <w:top w:val="dotted" w:sz="4" w:space="0" w:color="auto"/>
              <w:bottom w:val="dotted" w:sz="4" w:space="0" w:color="auto"/>
              <w:right w:val="dotted"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r>
      <w:tr w:rsidR="00D77C69" w:rsidRPr="001567C8" w:rsidTr="003C6BA3">
        <w:trPr>
          <w:trHeight w:hRule="exact" w:val="57"/>
          <w:jc w:val="center"/>
        </w:trPr>
        <w:tc>
          <w:tcPr>
            <w:tcW w:w="1263" w:type="pct"/>
            <w:tcBorders>
              <w:top w:val="dotted" w:sz="4" w:space="0" w:color="auto"/>
              <w:left w:val="dotted" w:sz="4" w:space="0" w:color="auto"/>
              <w:bottom w:val="sing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rPr>
                <w:rFonts w:ascii="Calibri" w:hAnsi="Calibri" w:cs="Calibri"/>
                <w:i/>
                <w:sz w:val="15"/>
                <w:szCs w:val="15"/>
                <w:lang w:val="hr-HR"/>
              </w:rPr>
            </w:pPr>
          </w:p>
        </w:tc>
        <w:tc>
          <w:tcPr>
            <w:tcW w:w="460" w:type="pct"/>
            <w:tcBorders>
              <w:top w:val="dotted" w:sz="4" w:space="0" w:color="auto"/>
              <w:bottom w:val="single" w:sz="4" w:space="0" w:color="auto"/>
            </w:tcBorders>
            <w:shd w:val="clear" w:color="auto" w:fill="auto"/>
            <w:vAlign w:val="bottom"/>
          </w:tcPr>
          <w:p w:rsidR="00D77C69" w:rsidRPr="00CD3A2D" w:rsidRDefault="00D77C69" w:rsidP="000A5924">
            <w:pPr>
              <w:jc w:val="center"/>
              <w:rPr>
                <w:rFonts w:ascii="Calibri" w:hAnsi="Calibri" w:cs="Calibri"/>
                <w:i/>
                <w:sz w:val="15"/>
                <w:szCs w:val="15"/>
                <w:lang w:val="hr-HR"/>
              </w:rPr>
            </w:pPr>
          </w:p>
        </w:tc>
        <w:tc>
          <w:tcPr>
            <w:tcW w:w="373" w:type="pct"/>
            <w:tcBorders>
              <w:top w:val="dotted" w:sz="4" w:space="0" w:color="auto"/>
              <w:bottom w:val="single" w:sz="4" w:space="0" w:color="auto"/>
            </w:tcBorders>
            <w:shd w:val="clear" w:color="auto" w:fill="auto"/>
            <w:vAlign w:val="center"/>
          </w:tcPr>
          <w:p w:rsidR="00D77C69" w:rsidRPr="00CD3A2D" w:rsidRDefault="00D77C69" w:rsidP="000A5924">
            <w:pPr>
              <w:jc w:val="right"/>
              <w:rPr>
                <w:rFonts w:ascii="Calibri" w:hAnsi="Calibri" w:cs="Calibri"/>
                <w:i/>
                <w:sz w:val="15"/>
                <w:szCs w:val="15"/>
                <w:lang w:val="hr-HR"/>
              </w:rPr>
            </w:pPr>
          </w:p>
        </w:tc>
        <w:tc>
          <w:tcPr>
            <w:tcW w:w="448" w:type="pct"/>
            <w:tcBorders>
              <w:top w:val="dotted" w:sz="4" w:space="0" w:color="auto"/>
              <w:bottom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347" w:type="pct"/>
            <w:tcBorders>
              <w:top w:val="dotted" w:sz="4" w:space="0" w:color="auto"/>
              <w:bottom w:val="single"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p>
        </w:tc>
        <w:tc>
          <w:tcPr>
            <w:tcW w:w="469" w:type="pct"/>
            <w:tcBorders>
              <w:top w:val="dotted" w:sz="4" w:space="0" w:color="auto"/>
              <w:bottom w:val="single"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p>
        </w:tc>
        <w:tc>
          <w:tcPr>
            <w:tcW w:w="362" w:type="pct"/>
            <w:tcBorders>
              <w:top w:val="dotted" w:sz="4" w:space="0" w:color="auto"/>
              <w:bottom w:val="single"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p>
        </w:tc>
        <w:tc>
          <w:tcPr>
            <w:tcW w:w="367" w:type="pct"/>
            <w:tcBorders>
              <w:top w:val="dotted" w:sz="4" w:space="0" w:color="auto"/>
              <w:bottom w:val="single"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p>
        </w:tc>
        <w:tc>
          <w:tcPr>
            <w:tcW w:w="373" w:type="pct"/>
            <w:tcBorders>
              <w:top w:val="dotted" w:sz="4" w:space="0" w:color="auto"/>
              <w:bottom w:val="single"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p>
        </w:tc>
        <w:tc>
          <w:tcPr>
            <w:tcW w:w="539" w:type="pct"/>
            <w:tcBorders>
              <w:top w:val="dotted" w:sz="4" w:space="0" w:color="auto"/>
              <w:bottom w:val="single" w:sz="4" w:space="0" w:color="auto"/>
              <w:right w:val="dotted"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r>
      <w:tr w:rsidR="00D77C69" w:rsidRPr="001567C8" w:rsidTr="003C6BA3">
        <w:trPr>
          <w:trHeight w:hRule="exact" w:val="227"/>
          <w:jc w:val="center"/>
        </w:trPr>
        <w:tc>
          <w:tcPr>
            <w:tcW w:w="1263" w:type="pct"/>
            <w:tcBorders>
              <w:top w:val="single" w:sz="4" w:space="0" w:color="auto"/>
              <w:bottom w:val="double"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c>
          <w:tcPr>
            <w:tcW w:w="460" w:type="pct"/>
            <w:tcBorders>
              <w:top w:val="single" w:sz="4" w:space="0" w:color="auto"/>
              <w:bottom w:val="double" w:sz="4"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b/>
                <w:sz w:val="15"/>
                <w:szCs w:val="15"/>
                <w:lang w:val="hr-HR"/>
              </w:rPr>
            </w:pPr>
            <w:r w:rsidRPr="00CD3A2D">
              <w:rPr>
                <w:rFonts w:ascii="Calibri" w:hAnsi="Calibri" w:cs="Calibri"/>
                <w:b/>
                <w:sz w:val="15"/>
                <w:szCs w:val="15"/>
                <w:lang w:val="hr-HR"/>
              </w:rPr>
              <w:t>n/p</w:t>
            </w:r>
          </w:p>
        </w:tc>
        <w:tc>
          <w:tcPr>
            <w:tcW w:w="373" w:type="pct"/>
            <w:tcBorders>
              <w:top w:val="single" w:sz="4" w:space="0" w:color="auto"/>
              <w:bottom w:val="double" w:sz="4"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w:t>
            </w:r>
          </w:p>
        </w:tc>
        <w:tc>
          <w:tcPr>
            <w:tcW w:w="448" w:type="pct"/>
            <w:tcBorders>
              <w:top w:val="single" w:sz="4" w:space="0" w:color="auto"/>
              <w:bottom w:val="doub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2.508.833</w:t>
            </w:r>
          </w:p>
        </w:tc>
        <w:tc>
          <w:tcPr>
            <w:tcW w:w="347" w:type="pct"/>
            <w:tcBorders>
              <w:top w:val="single" w:sz="4" w:space="0" w:color="auto"/>
              <w:bottom w:val="doub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w:t>
            </w:r>
          </w:p>
        </w:tc>
        <w:tc>
          <w:tcPr>
            <w:tcW w:w="469" w:type="pct"/>
            <w:tcBorders>
              <w:top w:val="single" w:sz="4" w:space="0" w:color="auto"/>
              <w:bottom w:val="double" w:sz="4" w:space="0" w:color="auto"/>
            </w:tcBorders>
            <w:shd w:val="clear" w:color="auto" w:fill="FFFFFF"/>
            <w:vAlign w:val="bottom"/>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w:t>
            </w:r>
          </w:p>
        </w:tc>
        <w:tc>
          <w:tcPr>
            <w:tcW w:w="362" w:type="pct"/>
            <w:tcBorders>
              <w:top w:val="single" w:sz="4" w:space="0" w:color="auto"/>
              <w:bottom w:val="doub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r w:rsidRPr="00CD3A2D">
              <w:rPr>
                <w:rFonts w:ascii="Calibri" w:hAnsi="Calibri" w:cs="Calibri"/>
                <w:b/>
                <w:sz w:val="15"/>
                <w:szCs w:val="15"/>
                <w:lang w:val="hr-HR"/>
              </w:rPr>
              <w:t>-</w:t>
            </w:r>
          </w:p>
        </w:tc>
        <w:tc>
          <w:tcPr>
            <w:tcW w:w="367" w:type="pct"/>
            <w:tcBorders>
              <w:top w:val="single" w:sz="4" w:space="0" w:color="auto"/>
              <w:bottom w:val="doub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w:t>
            </w:r>
          </w:p>
        </w:tc>
        <w:tc>
          <w:tcPr>
            <w:tcW w:w="373" w:type="pct"/>
            <w:tcBorders>
              <w:top w:val="single" w:sz="4" w:space="0" w:color="auto"/>
              <w:bottom w:val="doub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2.508.833</w:t>
            </w:r>
          </w:p>
        </w:tc>
        <w:tc>
          <w:tcPr>
            <w:tcW w:w="539" w:type="pct"/>
            <w:tcBorders>
              <w:top w:val="single" w:sz="4" w:space="0" w:color="auto"/>
              <w:bottom w:val="double" w:sz="4" w:space="0" w:color="auto"/>
            </w:tcBorders>
            <w:shd w:val="clear" w:color="auto" w:fill="FFFFFF"/>
            <w:vAlign w:val="bottom"/>
          </w:tcPr>
          <w:p w:rsidR="00D77C69" w:rsidRPr="00CD3A2D" w:rsidRDefault="00D77C69" w:rsidP="000A5924">
            <w:pPr>
              <w:jc w:val="center"/>
              <w:rPr>
                <w:rFonts w:ascii="Calibri" w:hAnsi="Calibri" w:cs="Calibri"/>
                <w:b/>
                <w:sz w:val="15"/>
                <w:szCs w:val="15"/>
                <w:lang w:val="hr-HR"/>
              </w:rPr>
            </w:pPr>
            <w:r w:rsidRPr="00CD3A2D">
              <w:rPr>
                <w:rFonts w:ascii="Calibri" w:hAnsi="Calibri" w:cs="Calibri"/>
                <w:b/>
                <w:sz w:val="15"/>
                <w:szCs w:val="15"/>
                <w:lang w:val="hr-HR"/>
              </w:rPr>
              <w:t>FVOSD</w:t>
            </w:r>
          </w:p>
        </w:tc>
      </w:tr>
      <w:tr w:rsidR="00D77C69" w:rsidRPr="001567C8" w:rsidTr="003C6BA3">
        <w:trPr>
          <w:trHeight w:hRule="exact" w:val="147"/>
          <w:jc w:val="center"/>
        </w:trPr>
        <w:tc>
          <w:tcPr>
            <w:tcW w:w="1263" w:type="pct"/>
            <w:tcBorders>
              <w:top w:val="single"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c>
          <w:tcPr>
            <w:tcW w:w="460" w:type="pct"/>
            <w:tcBorders>
              <w:top w:val="single" w:sz="4" w:space="0" w:color="auto"/>
            </w:tcBorders>
            <w:shd w:val="clear" w:color="auto" w:fill="auto"/>
            <w:vAlign w:val="bottom"/>
          </w:tcPr>
          <w:p w:rsidR="00D77C69" w:rsidRPr="00CD3A2D" w:rsidRDefault="00D77C69" w:rsidP="000A5924">
            <w:pPr>
              <w:pStyle w:val="Style26"/>
              <w:shd w:val="clear" w:color="auto" w:fill="auto"/>
              <w:spacing w:before="0" w:line="240" w:lineRule="auto"/>
              <w:ind w:left="180" w:firstLine="0"/>
              <w:jc w:val="center"/>
              <w:rPr>
                <w:rFonts w:ascii="Calibri" w:hAnsi="Calibri" w:cs="Calibri"/>
                <w:b/>
                <w:sz w:val="15"/>
                <w:szCs w:val="15"/>
                <w:lang w:val="hr-HR"/>
              </w:rPr>
            </w:pPr>
          </w:p>
        </w:tc>
        <w:tc>
          <w:tcPr>
            <w:tcW w:w="373" w:type="pct"/>
            <w:tcBorders>
              <w:top w:val="single" w:sz="4"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p>
        </w:tc>
        <w:tc>
          <w:tcPr>
            <w:tcW w:w="448" w:type="pct"/>
            <w:tcBorders>
              <w:top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p>
        </w:tc>
        <w:tc>
          <w:tcPr>
            <w:tcW w:w="347" w:type="pct"/>
            <w:tcBorders>
              <w:top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p>
        </w:tc>
        <w:tc>
          <w:tcPr>
            <w:tcW w:w="469" w:type="pct"/>
            <w:tcBorders>
              <w:top w:val="single" w:sz="4" w:space="0" w:color="auto"/>
            </w:tcBorders>
            <w:shd w:val="clear" w:color="auto" w:fill="FFFFFF"/>
            <w:vAlign w:val="center"/>
          </w:tcPr>
          <w:p w:rsidR="00D77C69" w:rsidRPr="00CD3A2D" w:rsidRDefault="00D77C69" w:rsidP="000A5924">
            <w:pPr>
              <w:jc w:val="right"/>
              <w:rPr>
                <w:rFonts w:ascii="Calibri" w:hAnsi="Calibri" w:cs="Calibri"/>
                <w:b/>
                <w:sz w:val="15"/>
                <w:szCs w:val="15"/>
                <w:lang w:val="hr-HR"/>
              </w:rPr>
            </w:pPr>
          </w:p>
        </w:tc>
        <w:tc>
          <w:tcPr>
            <w:tcW w:w="362" w:type="pct"/>
            <w:tcBorders>
              <w:top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p>
        </w:tc>
        <w:tc>
          <w:tcPr>
            <w:tcW w:w="367" w:type="pct"/>
            <w:tcBorders>
              <w:top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p>
        </w:tc>
        <w:tc>
          <w:tcPr>
            <w:tcW w:w="373" w:type="pct"/>
            <w:tcBorders>
              <w:top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p>
        </w:tc>
        <w:tc>
          <w:tcPr>
            <w:tcW w:w="539" w:type="pct"/>
            <w:tcBorders>
              <w:top w:val="single" w:sz="4" w:space="0" w:color="auto"/>
            </w:tcBorders>
            <w:shd w:val="clear" w:color="auto" w:fill="FFFFFF"/>
            <w:vAlign w:val="bottom"/>
          </w:tcPr>
          <w:p w:rsidR="00D77C69" w:rsidRPr="00CD3A2D" w:rsidRDefault="00D77C69" w:rsidP="000A5924">
            <w:pPr>
              <w:jc w:val="center"/>
              <w:rPr>
                <w:rFonts w:ascii="Calibri" w:hAnsi="Calibri" w:cs="Calibri"/>
                <w:b/>
                <w:sz w:val="15"/>
                <w:szCs w:val="15"/>
                <w:lang w:val="hr-HR"/>
              </w:rPr>
            </w:pPr>
          </w:p>
        </w:tc>
      </w:tr>
      <w:tr w:rsidR="00D77C69" w:rsidRPr="001567C8" w:rsidTr="003C6BA3">
        <w:trPr>
          <w:trHeight w:hRule="exact" w:val="204"/>
          <w:jc w:val="center"/>
        </w:trPr>
        <w:tc>
          <w:tcPr>
            <w:tcW w:w="1263"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rPr>
                <w:rFonts w:ascii="Calibri" w:hAnsi="Calibri" w:cs="Calibri"/>
                <w:sz w:val="15"/>
                <w:szCs w:val="15"/>
                <w:lang w:val="hr-HR"/>
              </w:rPr>
            </w:pPr>
            <w:r w:rsidRPr="00CD3A2D">
              <w:rPr>
                <w:rFonts w:ascii="Calibri" w:hAnsi="Calibri" w:cs="Calibri"/>
                <w:sz w:val="15"/>
                <w:szCs w:val="15"/>
                <w:lang w:val="hr-HR"/>
              </w:rPr>
              <w:t>Financijska imovina po FV</w:t>
            </w:r>
            <w:r w:rsidR="00EF641B" w:rsidRPr="00CD3A2D">
              <w:rPr>
                <w:rFonts w:ascii="Calibri" w:hAnsi="Calibri" w:cs="Calibri"/>
                <w:sz w:val="15"/>
                <w:szCs w:val="15"/>
                <w:lang w:val="hr-HR"/>
              </w:rPr>
              <w:t>R</w:t>
            </w:r>
            <w:r w:rsidRPr="00CD3A2D">
              <w:rPr>
                <w:rFonts w:ascii="Calibri" w:hAnsi="Calibri" w:cs="Calibri"/>
                <w:sz w:val="15"/>
                <w:szCs w:val="15"/>
                <w:lang w:val="hr-HR"/>
              </w:rPr>
              <w:t>DG</w:t>
            </w:r>
          </w:p>
        </w:tc>
        <w:tc>
          <w:tcPr>
            <w:tcW w:w="460" w:type="pct"/>
            <w:tcBorders>
              <w:bottom w:val="dotted" w:sz="4"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sz w:val="15"/>
                <w:szCs w:val="15"/>
                <w:lang w:val="hr-HR"/>
              </w:rPr>
            </w:pPr>
            <w:r w:rsidRPr="00CD3A2D">
              <w:rPr>
                <w:rFonts w:ascii="Calibri" w:hAnsi="Calibri" w:cs="Calibri"/>
                <w:sz w:val="15"/>
                <w:szCs w:val="15"/>
                <w:lang w:val="hr-HR"/>
              </w:rPr>
              <w:t>FV</w:t>
            </w:r>
            <w:r w:rsidR="00EF641B" w:rsidRPr="00CD3A2D">
              <w:rPr>
                <w:rFonts w:ascii="Calibri" w:hAnsi="Calibri" w:cs="Calibri"/>
                <w:sz w:val="15"/>
                <w:szCs w:val="15"/>
                <w:lang w:val="hr-HR"/>
              </w:rPr>
              <w:t>R</w:t>
            </w:r>
            <w:r w:rsidRPr="00CD3A2D">
              <w:rPr>
                <w:rFonts w:ascii="Calibri" w:hAnsi="Calibri" w:cs="Calibri"/>
                <w:sz w:val="15"/>
                <w:szCs w:val="15"/>
                <w:lang w:val="hr-HR"/>
              </w:rPr>
              <w:t>DG/n/p</w:t>
            </w:r>
          </w:p>
        </w:tc>
        <w:tc>
          <w:tcPr>
            <w:tcW w:w="373" w:type="pct"/>
            <w:tcBorders>
              <w:bottom w:val="dotted" w:sz="4"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291</w:t>
            </w:r>
          </w:p>
        </w:tc>
        <w:tc>
          <w:tcPr>
            <w:tcW w:w="448"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47"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469"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2" w:type="pct"/>
            <w:tcBorders>
              <w:bottom w:val="dotted"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r w:rsidRPr="00CD3A2D">
              <w:rPr>
                <w:rFonts w:ascii="Calibri" w:hAnsi="Calibri" w:cs="Calibri"/>
                <w:sz w:val="15"/>
                <w:szCs w:val="15"/>
                <w:lang w:val="hr-HR"/>
              </w:rPr>
              <w:t>-</w:t>
            </w:r>
          </w:p>
        </w:tc>
        <w:tc>
          <w:tcPr>
            <w:tcW w:w="367" w:type="pct"/>
            <w:tcBorders>
              <w:bottom w:val="dotted"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r w:rsidRPr="001567C8">
              <w:rPr>
                <w:rStyle w:val="CharStyle65"/>
                <w:rFonts w:ascii="Calibri" w:hAnsi="Calibri" w:cs="Calibri"/>
                <w:sz w:val="15"/>
                <w:szCs w:val="15"/>
                <w:lang w:val="hr-HR"/>
              </w:rPr>
              <w:t>-</w:t>
            </w:r>
          </w:p>
        </w:tc>
        <w:tc>
          <w:tcPr>
            <w:tcW w:w="373"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291</w:t>
            </w:r>
          </w:p>
        </w:tc>
        <w:tc>
          <w:tcPr>
            <w:tcW w:w="539" w:type="pct"/>
            <w:tcBorders>
              <w:bottom w:val="dotted" w:sz="4" w:space="0" w:color="auto"/>
            </w:tcBorders>
            <w:shd w:val="clear" w:color="auto" w:fill="FFFFFF"/>
            <w:vAlign w:val="bottom"/>
          </w:tcPr>
          <w:p w:rsidR="00D77C69" w:rsidRPr="00CD3A2D" w:rsidRDefault="00D77C69" w:rsidP="000A5924">
            <w:pPr>
              <w:jc w:val="center"/>
              <w:rPr>
                <w:rFonts w:ascii="Calibri" w:hAnsi="Calibri" w:cs="Calibri"/>
                <w:sz w:val="15"/>
                <w:szCs w:val="15"/>
                <w:lang w:val="hr-HR"/>
              </w:rPr>
            </w:pPr>
            <w:r w:rsidRPr="00CD3A2D">
              <w:rPr>
                <w:rFonts w:ascii="Calibri" w:hAnsi="Calibri" w:cs="Calibri"/>
                <w:sz w:val="15"/>
                <w:szCs w:val="15"/>
                <w:lang w:val="hr-HR"/>
              </w:rPr>
              <w:t>FV</w:t>
            </w:r>
            <w:r w:rsidR="00EF641B" w:rsidRPr="00CD3A2D">
              <w:rPr>
                <w:rFonts w:ascii="Calibri" w:hAnsi="Calibri" w:cs="Calibri"/>
                <w:sz w:val="15"/>
                <w:szCs w:val="15"/>
                <w:lang w:val="hr-HR"/>
              </w:rPr>
              <w:t>R</w:t>
            </w:r>
            <w:r w:rsidRPr="00CD3A2D">
              <w:rPr>
                <w:rFonts w:ascii="Calibri" w:hAnsi="Calibri" w:cs="Calibri"/>
                <w:sz w:val="15"/>
                <w:szCs w:val="15"/>
                <w:lang w:val="hr-HR"/>
              </w:rPr>
              <w:t>DG</w:t>
            </w:r>
          </w:p>
        </w:tc>
      </w:tr>
      <w:tr w:rsidR="00D77C69" w:rsidRPr="001567C8" w:rsidTr="003C6BA3">
        <w:trPr>
          <w:trHeight w:hRule="exact" w:val="204"/>
          <w:jc w:val="center"/>
        </w:trPr>
        <w:tc>
          <w:tcPr>
            <w:tcW w:w="1263" w:type="pct"/>
            <w:tcBorders>
              <w:top w:val="dotted" w:sz="4" w:space="0" w:color="auto"/>
              <w:left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rPr>
                <w:rFonts w:ascii="Calibri" w:hAnsi="Calibri" w:cs="Calibri"/>
                <w:i/>
                <w:sz w:val="15"/>
                <w:szCs w:val="15"/>
                <w:lang w:val="hr-HR"/>
              </w:rPr>
            </w:pPr>
            <w:r w:rsidRPr="00CD3A2D">
              <w:rPr>
                <w:rFonts w:ascii="Calibri" w:hAnsi="Calibri" w:cs="Calibri"/>
                <w:i/>
                <w:sz w:val="15"/>
                <w:szCs w:val="15"/>
                <w:lang w:val="hr-HR"/>
              </w:rPr>
              <w:t xml:space="preserve">Sa pozicije: IRP                                            </w:t>
            </w:r>
            <w:r w:rsidRPr="00CD3A2D">
              <w:rPr>
                <w:rFonts w:ascii="Calibri" w:hAnsi="Calibri" w:cs="Calibri"/>
                <w:b/>
                <w:i/>
                <w:sz w:val="15"/>
                <w:szCs w:val="15"/>
                <w:lang w:val="hr-HR"/>
              </w:rPr>
              <w:t>F</w:t>
            </w:r>
          </w:p>
        </w:tc>
        <w:tc>
          <w:tcPr>
            <w:tcW w:w="460" w:type="pct"/>
            <w:tcBorders>
              <w:top w:val="dotted" w:sz="4" w:space="0" w:color="auto"/>
            </w:tcBorders>
            <w:shd w:val="clear" w:color="auto" w:fill="auto"/>
            <w:vAlign w:val="bottom"/>
          </w:tcPr>
          <w:p w:rsidR="00D77C69" w:rsidRPr="00CD3A2D" w:rsidRDefault="00D77C69" w:rsidP="000A5924">
            <w:pPr>
              <w:jc w:val="center"/>
              <w:rPr>
                <w:rFonts w:ascii="Calibri" w:hAnsi="Calibri" w:cs="Calibri"/>
                <w:i/>
                <w:sz w:val="15"/>
                <w:szCs w:val="15"/>
                <w:lang w:val="hr-HR"/>
              </w:rPr>
            </w:pPr>
          </w:p>
        </w:tc>
        <w:tc>
          <w:tcPr>
            <w:tcW w:w="373" w:type="pct"/>
            <w:tcBorders>
              <w:top w:val="dotted" w:sz="4" w:space="0" w:color="auto"/>
            </w:tcBorders>
            <w:shd w:val="clear" w:color="auto" w:fill="auto"/>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448"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812.731</w:t>
            </w:r>
          </w:p>
        </w:tc>
        <w:tc>
          <w:tcPr>
            <w:tcW w:w="347"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469" w:type="pct"/>
            <w:tcBorders>
              <w:top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2" w:type="pct"/>
            <w:tcBorders>
              <w:top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7" w:type="pct"/>
            <w:tcBorders>
              <w:top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73" w:type="pct"/>
            <w:tcBorders>
              <w:top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812.731</w:t>
            </w:r>
          </w:p>
        </w:tc>
        <w:tc>
          <w:tcPr>
            <w:tcW w:w="539" w:type="pct"/>
            <w:tcBorders>
              <w:top w:val="dotted" w:sz="4" w:space="0" w:color="auto"/>
              <w:right w:val="dotted"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r>
      <w:tr w:rsidR="00D77C69" w:rsidRPr="001567C8" w:rsidTr="003C6BA3">
        <w:trPr>
          <w:trHeight w:hRule="exact" w:val="413"/>
          <w:jc w:val="center"/>
        </w:trPr>
        <w:tc>
          <w:tcPr>
            <w:tcW w:w="1263" w:type="pct"/>
            <w:tcBorders>
              <w:left w:val="dotted" w:sz="4" w:space="0" w:color="auto"/>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rPr>
                <w:rFonts w:ascii="Calibri" w:hAnsi="Calibri" w:cs="Calibri"/>
                <w:i/>
                <w:sz w:val="15"/>
                <w:szCs w:val="15"/>
                <w:lang w:val="hr-HR"/>
              </w:rPr>
            </w:pPr>
            <w:r w:rsidRPr="00CD3A2D">
              <w:rPr>
                <w:rFonts w:ascii="Calibri" w:hAnsi="Calibri" w:cs="Calibri"/>
                <w:i/>
                <w:sz w:val="15"/>
                <w:szCs w:val="15"/>
                <w:lang w:val="hr-HR"/>
              </w:rPr>
              <w:t xml:space="preserve">Sa pozicije: Krediti ostalim </w:t>
            </w:r>
          </w:p>
          <w:p w:rsidR="00D77C69" w:rsidRPr="00CD3A2D" w:rsidRDefault="00D77C69" w:rsidP="000A5924">
            <w:pPr>
              <w:pStyle w:val="Style26"/>
              <w:shd w:val="clear" w:color="auto" w:fill="auto"/>
              <w:spacing w:before="0" w:line="240" w:lineRule="auto"/>
              <w:ind w:firstLine="0"/>
              <w:rPr>
                <w:rFonts w:ascii="Calibri" w:hAnsi="Calibri" w:cs="Calibri"/>
                <w:i/>
                <w:sz w:val="15"/>
                <w:szCs w:val="15"/>
                <w:lang w:val="hr-HR"/>
              </w:rPr>
            </w:pPr>
            <w:r w:rsidRPr="00CD3A2D">
              <w:rPr>
                <w:rFonts w:ascii="Calibri" w:hAnsi="Calibri" w:cs="Calibri"/>
                <w:i/>
                <w:sz w:val="15"/>
                <w:szCs w:val="15"/>
                <w:lang w:val="hr-HR"/>
              </w:rPr>
              <w:t xml:space="preserve">korisnicima                                                  </w:t>
            </w:r>
            <w:r w:rsidRPr="00CD3A2D">
              <w:rPr>
                <w:rFonts w:ascii="Calibri" w:hAnsi="Calibri" w:cs="Calibri"/>
                <w:b/>
                <w:i/>
                <w:sz w:val="15"/>
                <w:szCs w:val="15"/>
                <w:lang w:val="hr-HR"/>
              </w:rPr>
              <w:t>G</w:t>
            </w:r>
          </w:p>
        </w:tc>
        <w:tc>
          <w:tcPr>
            <w:tcW w:w="460" w:type="pct"/>
            <w:tcBorders>
              <w:bottom w:val="dotted" w:sz="4" w:space="0" w:color="auto"/>
            </w:tcBorders>
            <w:shd w:val="clear" w:color="auto" w:fill="auto"/>
            <w:vAlign w:val="bottom"/>
          </w:tcPr>
          <w:p w:rsidR="00D77C69" w:rsidRPr="00CD3A2D" w:rsidRDefault="00D77C69" w:rsidP="000A5924">
            <w:pPr>
              <w:pStyle w:val="Style26"/>
              <w:shd w:val="clear" w:color="auto" w:fill="auto"/>
              <w:spacing w:before="0" w:line="240" w:lineRule="auto"/>
              <w:ind w:left="180" w:firstLine="0"/>
              <w:jc w:val="center"/>
              <w:rPr>
                <w:rFonts w:ascii="Calibri" w:hAnsi="Calibri" w:cs="Calibri"/>
                <w:i/>
                <w:sz w:val="15"/>
                <w:szCs w:val="15"/>
                <w:lang w:val="hr-HR"/>
              </w:rPr>
            </w:pPr>
          </w:p>
        </w:tc>
        <w:tc>
          <w:tcPr>
            <w:tcW w:w="373" w:type="pct"/>
            <w:tcBorders>
              <w:bottom w:val="dotted" w:sz="4"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448"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3.840</w:t>
            </w:r>
          </w:p>
        </w:tc>
        <w:tc>
          <w:tcPr>
            <w:tcW w:w="347"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469" w:type="pct"/>
            <w:tcBorders>
              <w:bottom w:val="dotted" w:sz="4" w:space="0" w:color="auto"/>
            </w:tcBorders>
            <w:shd w:val="clear" w:color="auto" w:fill="FFFFFF"/>
            <w:vAlign w:val="bottom"/>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2" w:type="pct"/>
            <w:tcBorders>
              <w:bottom w:val="dotted"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i/>
                <w:sz w:val="15"/>
                <w:szCs w:val="15"/>
                <w:lang w:val="hr-HR"/>
              </w:rPr>
            </w:pPr>
            <w:r w:rsidRPr="00CD3A2D">
              <w:rPr>
                <w:rFonts w:ascii="Calibri" w:hAnsi="Calibri" w:cs="Calibri"/>
                <w:i/>
                <w:sz w:val="15"/>
                <w:szCs w:val="15"/>
                <w:lang w:val="hr-HR"/>
              </w:rPr>
              <w:t>-</w:t>
            </w:r>
          </w:p>
        </w:tc>
        <w:tc>
          <w:tcPr>
            <w:tcW w:w="367" w:type="pct"/>
            <w:tcBorders>
              <w:bottom w:val="dotted"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i/>
                <w:sz w:val="15"/>
                <w:szCs w:val="15"/>
                <w:lang w:val="hr-HR"/>
              </w:rPr>
            </w:pPr>
            <w:r w:rsidRPr="001567C8">
              <w:rPr>
                <w:rStyle w:val="CharStyle65"/>
                <w:rFonts w:ascii="Calibri" w:hAnsi="Calibri" w:cs="Calibri"/>
                <w:i/>
                <w:sz w:val="15"/>
                <w:szCs w:val="15"/>
                <w:lang w:val="hr-HR"/>
              </w:rPr>
              <w:t>176</w:t>
            </w:r>
          </w:p>
        </w:tc>
        <w:tc>
          <w:tcPr>
            <w:tcW w:w="373"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4.016</w:t>
            </w:r>
          </w:p>
        </w:tc>
        <w:tc>
          <w:tcPr>
            <w:tcW w:w="539" w:type="pct"/>
            <w:tcBorders>
              <w:bottom w:val="dotted" w:sz="4" w:space="0" w:color="auto"/>
              <w:right w:val="dotted" w:sz="4" w:space="0" w:color="auto"/>
            </w:tcBorders>
            <w:shd w:val="clear" w:color="auto" w:fill="FFFFFF"/>
            <w:vAlign w:val="bottom"/>
          </w:tcPr>
          <w:p w:rsidR="00D77C69" w:rsidRPr="00CD3A2D" w:rsidRDefault="00D77C69" w:rsidP="000A5924">
            <w:pPr>
              <w:jc w:val="center"/>
              <w:rPr>
                <w:rFonts w:ascii="Calibri" w:hAnsi="Calibri" w:cs="Calibri"/>
                <w:b/>
                <w:sz w:val="15"/>
                <w:szCs w:val="15"/>
                <w:lang w:val="hr-HR"/>
              </w:rPr>
            </w:pPr>
          </w:p>
        </w:tc>
      </w:tr>
      <w:tr w:rsidR="00D77C69" w:rsidRPr="001567C8" w:rsidTr="003C6BA3">
        <w:trPr>
          <w:trHeight w:hRule="exact" w:val="57"/>
          <w:jc w:val="center"/>
        </w:trPr>
        <w:tc>
          <w:tcPr>
            <w:tcW w:w="1263" w:type="pct"/>
            <w:tcBorders>
              <w:top w:val="dotted" w:sz="4" w:space="0" w:color="auto"/>
              <w:bottom w:val="single" w:sz="4" w:space="0" w:color="auto"/>
            </w:tcBorders>
            <w:shd w:val="clear" w:color="auto" w:fill="FFFFFF"/>
            <w:vAlign w:val="bottom"/>
          </w:tcPr>
          <w:p w:rsidR="00D77C69" w:rsidRPr="00CD3A2D" w:rsidRDefault="00D77C69" w:rsidP="000A5924">
            <w:pPr>
              <w:ind w:left="273"/>
              <w:rPr>
                <w:rFonts w:ascii="Calibri" w:hAnsi="Calibri" w:cs="Calibri"/>
                <w:i/>
                <w:sz w:val="15"/>
                <w:szCs w:val="15"/>
                <w:lang w:val="hr-HR"/>
              </w:rPr>
            </w:pPr>
          </w:p>
        </w:tc>
        <w:tc>
          <w:tcPr>
            <w:tcW w:w="460" w:type="pct"/>
            <w:tcBorders>
              <w:top w:val="dotted" w:sz="4" w:space="0" w:color="auto"/>
              <w:bottom w:val="single" w:sz="4" w:space="0" w:color="auto"/>
            </w:tcBorders>
            <w:shd w:val="clear" w:color="auto" w:fill="auto"/>
            <w:vAlign w:val="bottom"/>
          </w:tcPr>
          <w:p w:rsidR="00D77C69" w:rsidRPr="00CD3A2D" w:rsidRDefault="00D77C69" w:rsidP="000A5924">
            <w:pPr>
              <w:pStyle w:val="Style26"/>
              <w:shd w:val="clear" w:color="auto" w:fill="auto"/>
              <w:spacing w:before="0" w:line="240" w:lineRule="auto"/>
              <w:ind w:left="180" w:firstLine="0"/>
              <w:jc w:val="center"/>
              <w:rPr>
                <w:rFonts w:ascii="Calibri" w:hAnsi="Calibri" w:cs="Calibri"/>
                <w:i/>
                <w:sz w:val="15"/>
                <w:szCs w:val="15"/>
                <w:lang w:val="hr-HR"/>
              </w:rPr>
            </w:pPr>
          </w:p>
        </w:tc>
        <w:tc>
          <w:tcPr>
            <w:tcW w:w="373" w:type="pct"/>
            <w:tcBorders>
              <w:top w:val="dotted" w:sz="4" w:space="0" w:color="auto"/>
              <w:bottom w:val="single" w:sz="4"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448" w:type="pct"/>
            <w:tcBorders>
              <w:top w:val="dotted" w:sz="4" w:space="0" w:color="auto"/>
              <w:bottom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347" w:type="pct"/>
            <w:tcBorders>
              <w:top w:val="dotted" w:sz="4" w:space="0" w:color="auto"/>
              <w:bottom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469" w:type="pct"/>
            <w:tcBorders>
              <w:top w:val="dotted" w:sz="4" w:space="0" w:color="auto"/>
              <w:bottom w:val="single"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p>
        </w:tc>
        <w:tc>
          <w:tcPr>
            <w:tcW w:w="362" w:type="pct"/>
            <w:tcBorders>
              <w:top w:val="dotted" w:sz="4" w:space="0" w:color="auto"/>
              <w:bottom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i/>
                <w:sz w:val="15"/>
                <w:szCs w:val="15"/>
                <w:lang w:val="hr-HR"/>
              </w:rPr>
            </w:pPr>
          </w:p>
        </w:tc>
        <w:tc>
          <w:tcPr>
            <w:tcW w:w="367" w:type="pct"/>
            <w:tcBorders>
              <w:top w:val="dotted" w:sz="4" w:space="0" w:color="auto"/>
              <w:bottom w:val="sing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i/>
                <w:sz w:val="15"/>
                <w:szCs w:val="15"/>
                <w:lang w:val="hr-HR"/>
              </w:rPr>
            </w:pPr>
          </w:p>
        </w:tc>
        <w:tc>
          <w:tcPr>
            <w:tcW w:w="373" w:type="pct"/>
            <w:tcBorders>
              <w:top w:val="dotted" w:sz="4" w:space="0" w:color="auto"/>
              <w:bottom w:val="sing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539" w:type="pct"/>
            <w:tcBorders>
              <w:top w:val="dotted" w:sz="4" w:space="0" w:color="auto"/>
              <w:bottom w:val="single" w:sz="4" w:space="0" w:color="auto"/>
            </w:tcBorders>
            <w:shd w:val="clear" w:color="auto" w:fill="FFFFFF"/>
            <w:vAlign w:val="bottom"/>
          </w:tcPr>
          <w:p w:rsidR="00D77C69" w:rsidRPr="00CD3A2D" w:rsidRDefault="00D77C69" w:rsidP="000A5924">
            <w:pPr>
              <w:jc w:val="center"/>
              <w:rPr>
                <w:rFonts w:ascii="Calibri" w:hAnsi="Calibri" w:cs="Calibri"/>
                <w:b/>
                <w:sz w:val="15"/>
                <w:szCs w:val="15"/>
                <w:lang w:val="hr-HR"/>
              </w:rPr>
            </w:pPr>
          </w:p>
        </w:tc>
      </w:tr>
      <w:tr w:rsidR="00D77C69" w:rsidRPr="001567C8" w:rsidTr="003C6BA3">
        <w:trPr>
          <w:trHeight w:hRule="exact" w:val="176"/>
          <w:jc w:val="center"/>
        </w:trPr>
        <w:tc>
          <w:tcPr>
            <w:tcW w:w="1263" w:type="pct"/>
            <w:tcBorders>
              <w:top w:val="single" w:sz="4" w:space="0" w:color="auto"/>
              <w:bottom w:val="double" w:sz="4" w:space="0" w:color="auto"/>
            </w:tcBorders>
            <w:shd w:val="clear" w:color="auto" w:fill="FFFFFF"/>
            <w:vAlign w:val="bottom"/>
          </w:tcPr>
          <w:p w:rsidR="00D77C69" w:rsidRPr="00CD3A2D" w:rsidRDefault="00D77C69" w:rsidP="000A5924">
            <w:pPr>
              <w:rPr>
                <w:rFonts w:ascii="Calibri" w:hAnsi="Calibri" w:cs="Calibri"/>
                <w:sz w:val="15"/>
                <w:szCs w:val="15"/>
                <w:lang w:val="hr-HR"/>
              </w:rPr>
            </w:pPr>
          </w:p>
        </w:tc>
        <w:tc>
          <w:tcPr>
            <w:tcW w:w="460" w:type="pct"/>
            <w:tcBorders>
              <w:top w:val="single" w:sz="4" w:space="0" w:color="auto"/>
              <w:bottom w:val="double" w:sz="4"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b/>
                <w:sz w:val="15"/>
                <w:szCs w:val="15"/>
                <w:lang w:val="hr-HR"/>
              </w:rPr>
            </w:pPr>
            <w:r w:rsidRPr="00CD3A2D">
              <w:rPr>
                <w:rFonts w:ascii="Calibri" w:hAnsi="Calibri" w:cs="Calibri"/>
                <w:b/>
                <w:sz w:val="15"/>
                <w:szCs w:val="15"/>
                <w:lang w:val="hr-HR"/>
              </w:rPr>
              <w:t>FV</w:t>
            </w:r>
            <w:r w:rsidR="00EF641B" w:rsidRPr="00CD3A2D">
              <w:rPr>
                <w:rFonts w:ascii="Calibri" w:hAnsi="Calibri" w:cs="Calibri"/>
                <w:b/>
                <w:sz w:val="15"/>
                <w:szCs w:val="15"/>
                <w:lang w:val="hr-HR"/>
              </w:rPr>
              <w:t>R</w:t>
            </w:r>
            <w:r w:rsidRPr="00CD3A2D">
              <w:rPr>
                <w:rFonts w:ascii="Calibri" w:hAnsi="Calibri" w:cs="Calibri"/>
                <w:b/>
                <w:sz w:val="15"/>
                <w:szCs w:val="15"/>
                <w:lang w:val="hr-HR"/>
              </w:rPr>
              <w:t>DG/n/p</w:t>
            </w:r>
          </w:p>
        </w:tc>
        <w:tc>
          <w:tcPr>
            <w:tcW w:w="373" w:type="pct"/>
            <w:tcBorders>
              <w:top w:val="single" w:sz="4" w:space="0" w:color="auto"/>
              <w:bottom w:val="double" w:sz="4"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291</w:t>
            </w:r>
          </w:p>
        </w:tc>
        <w:tc>
          <w:tcPr>
            <w:tcW w:w="448"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816.571</w:t>
            </w:r>
          </w:p>
        </w:tc>
        <w:tc>
          <w:tcPr>
            <w:tcW w:w="347"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w:t>
            </w:r>
          </w:p>
        </w:tc>
        <w:tc>
          <w:tcPr>
            <w:tcW w:w="469" w:type="pct"/>
            <w:tcBorders>
              <w:top w:val="single" w:sz="4" w:space="0" w:color="auto"/>
              <w:bottom w:val="double" w:sz="4" w:space="0" w:color="auto"/>
            </w:tcBorders>
            <w:shd w:val="clear" w:color="auto" w:fill="FFFFFF"/>
            <w:vAlign w:val="center"/>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w:t>
            </w:r>
          </w:p>
        </w:tc>
        <w:tc>
          <w:tcPr>
            <w:tcW w:w="362" w:type="pct"/>
            <w:tcBorders>
              <w:top w:val="single" w:sz="4" w:space="0" w:color="auto"/>
              <w:bottom w:val="doub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r w:rsidRPr="00CD3A2D">
              <w:rPr>
                <w:rFonts w:ascii="Calibri" w:hAnsi="Calibri" w:cs="Calibri"/>
                <w:b/>
                <w:sz w:val="15"/>
                <w:szCs w:val="15"/>
                <w:lang w:val="hr-HR"/>
              </w:rPr>
              <w:t>-</w:t>
            </w:r>
          </w:p>
        </w:tc>
        <w:tc>
          <w:tcPr>
            <w:tcW w:w="367" w:type="pct"/>
            <w:tcBorders>
              <w:top w:val="single" w:sz="4" w:space="0" w:color="auto"/>
              <w:bottom w:val="double" w:sz="4"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176</w:t>
            </w:r>
          </w:p>
        </w:tc>
        <w:tc>
          <w:tcPr>
            <w:tcW w:w="373" w:type="pct"/>
            <w:tcBorders>
              <w:top w:val="single" w:sz="4" w:space="0" w:color="auto"/>
              <w:bottom w:val="double"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817.038</w:t>
            </w:r>
          </w:p>
        </w:tc>
        <w:tc>
          <w:tcPr>
            <w:tcW w:w="539" w:type="pct"/>
            <w:tcBorders>
              <w:top w:val="single" w:sz="4" w:space="0" w:color="auto"/>
              <w:bottom w:val="double" w:sz="4" w:space="0" w:color="auto"/>
            </w:tcBorders>
            <w:shd w:val="clear" w:color="auto" w:fill="FFFFFF"/>
            <w:vAlign w:val="bottom"/>
          </w:tcPr>
          <w:p w:rsidR="00D77C69" w:rsidRPr="00CD3A2D" w:rsidRDefault="00D77C69" w:rsidP="000A5924">
            <w:pPr>
              <w:jc w:val="center"/>
              <w:rPr>
                <w:rFonts w:ascii="Calibri" w:hAnsi="Calibri" w:cs="Calibri"/>
                <w:b/>
                <w:sz w:val="15"/>
                <w:szCs w:val="15"/>
                <w:lang w:val="hr-HR"/>
              </w:rPr>
            </w:pPr>
            <w:r w:rsidRPr="00CD3A2D">
              <w:rPr>
                <w:rFonts w:ascii="Calibri" w:hAnsi="Calibri" w:cs="Calibri"/>
                <w:b/>
                <w:sz w:val="15"/>
                <w:szCs w:val="15"/>
                <w:lang w:val="hr-HR"/>
              </w:rPr>
              <w:t>FV</w:t>
            </w:r>
            <w:r w:rsidR="00EF641B" w:rsidRPr="00CD3A2D">
              <w:rPr>
                <w:rFonts w:ascii="Calibri" w:hAnsi="Calibri" w:cs="Calibri"/>
                <w:b/>
                <w:sz w:val="15"/>
                <w:szCs w:val="15"/>
                <w:lang w:val="hr-HR"/>
              </w:rPr>
              <w:t>R</w:t>
            </w:r>
            <w:r w:rsidRPr="00CD3A2D">
              <w:rPr>
                <w:rFonts w:ascii="Calibri" w:hAnsi="Calibri" w:cs="Calibri"/>
                <w:b/>
                <w:sz w:val="15"/>
                <w:szCs w:val="15"/>
                <w:lang w:val="hr-HR"/>
              </w:rPr>
              <w:t>DG</w:t>
            </w:r>
          </w:p>
        </w:tc>
      </w:tr>
      <w:tr w:rsidR="00D77C69" w:rsidRPr="001567C8" w:rsidTr="003C6BA3">
        <w:trPr>
          <w:trHeight w:hRule="exact" w:val="57"/>
          <w:jc w:val="center"/>
        </w:trPr>
        <w:tc>
          <w:tcPr>
            <w:tcW w:w="1263" w:type="pct"/>
            <w:tcBorders>
              <w:top w:val="double" w:sz="4" w:space="0" w:color="auto"/>
              <w:bottom w:val="single" w:sz="12" w:space="0" w:color="auto"/>
            </w:tcBorders>
            <w:shd w:val="clear" w:color="auto" w:fill="FFFFFF"/>
          </w:tcPr>
          <w:p w:rsidR="00D77C69" w:rsidRPr="00CD3A2D" w:rsidRDefault="00D77C69" w:rsidP="000A5924">
            <w:pPr>
              <w:rPr>
                <w:rFonts w:ascii="Calibri" w:hAnsi="Calibri" w:cs="Calibri"/>
                <w:sz w:val="15"/>
                <w:szCs w:val="15"/>
                <w:lang w:val="hr-HR"/>
              </w:rPr>
            </w:pPr>
          </w:p>
        </w:tc>
        <w:tc>
          <w:tcPr>
            <w:tcW w:w="460" w:type="pct"/>
            <w:tcBorders>
              <w:top w:val="double" w:sz="4" w:space="0" w:color="auto"/>
              <w:bottom w:val="single" w:sz="12" w:space="0" w:color="auto"/>
            </w:tcBorders>
            <w:shd w:val="clear" w:color="auto" w:fill="auto"/>
            <w:vAlign w:val="bottom"/>
          </w:tcPr>
          <w:p w:rsidR="00D77C69" w:rsidRPr="00CD3A2D" w:rsidRDefault="00D77C69" w:rsidP="000A5924">
            <w:pPr>
              <w:pStyle w:val="Style26"/>
              <w:shd w:val="clear" w:color="auto" w:fill="auto"/>
              <w:spacing w:before="0" w:line="240" w:lineRule="auto"/>
              <w:ind w:left="180" w:firstLine="0"/>
              <w:jc w:val="center"/>
              <w:rPr>
                <w:rFonts w:ascii="Calibri" w:hAnsi="Calibri" w:cs="Calibri"/>
                <w:sz w:val="15"/>
                <w:szCs w:val="15"/>
                <w:lang w:val="hr-HR"/>
              </w:rPr>
            </w:pPr>
          </w:p>
        </w:tc>
        <w:tc>
          <w:tcPr>
            <w:tcW w:w="373" w:type="pct"/>
            <w:tcBorders>
              <w:top w:val="double" w:sz="4" w:space="0" w:color="auto"/>
              <w:bottom w:val="single" w:sz="12"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448" w:type="pct"/>
            <w:tcBorders>
              <w:top w:val="double" w:sz="4" w:space="0" w:color="auto"/>
              <w:bottom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347" w:type="pct"/>
            <w:tcBorders>
              <w:top w:val="double" w:sz="4" w:space="0" w:color="auto"/>
              <w:bottom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right="280" w:firstLine="0"/>
              <w:jc w:val="right"/>
              <w:rPr>
                <w:rFonts w:ascii="Calibri" w:hAnsi="Calibri" w:cs="Calibri"/>
                <w:sz w:val="15"/>
                <w:szCs w:val="15"/>
                <w:lang w:val="hr-HR"/>
              </w:rPr>
            </w:pPr>
          </w:p>
        </w:tc>
        <w:tc>
          <w:tcPr>
            <w:tcW w:w="469" w:type="pct"/>
            <w:tcBorders>
              <w:top w:val="double" w:sz="4" w:space="0" w:color="auto"/>
              <w:bottom w:val="single" w:sz="12"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p>
        </w:tc>
        <w:tc>
          <w:tcPr>
            <w:tcW w:w="362" w:type="pct"/>
            <w:tcBorders>
              <w:top w:val="double" w:sz="4" w:space="0" w:color="auto"/>
              <w:bottom w:val="single" w:sz="12"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p>
        </w:tc>
        <w:tc>
          <w:tcPr>
            <w:tcW w:w="367" w:type="pct"/>
            <w:tcBorders>
              <w:top w:val="double" w:sz="4" w:space="0" w:color="auto"/>
              <w:bottom w:val="single" w:sz="12"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p>
        </w:tc>
        <w:tc>
          <w:tcPr>
            <w:tcW w:w="373" w:type="pct"/>
            <w:tcBorders>
              <w:top w:val="double" w:sz="4" w:space="0" w:color="auto"/>
              <w:bottom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539" w:type="pct"/>
            <w:tcBorders>
              <w:top w:val="double" w:sz="4" w:space="0" w:color="auto"/>
              <w:bottom w:val="single" w:sz="12" w:space="0" w:color="auto"/>
            </w:tcBorders>
            <w:shd w:val="clear" w:color="auto" w:fill="FFFFFF"/>
            <w:vAlign w:val="bottom"/>
          </w:tcPr>
          <w:p w:rsidR="00D77C69" w:rsidRPr="00CD3A2D" w:rsidRDefault="00D77C69" w:rsidP="000A5924">
            <w:pPr>
              <w:rPr>
                <w:rFonts w:ascii="Calibri" w:hAnsi="Calibri" w:cs="Calibri"/>
                <w:sz w:val="15"/>
                <w:szCs w:val="15"/>
                <w:lang w:val="hr-HR"/>
              </w:rPr>
            </w:pPr>
          </w:p>
        </w:tc>
      </w:tr>
      <w:tr w:rsidR="00D77C69" w:rsidRPr="001567C8" w:rsidTr="003C6BA3">
        <w:trPr>
          <w:trHeight w:hRule="exact" w:val="205"/>
          <w:jc w:val="center"/>
        </w:trPr>
        <w:tc>
          <w:tcPr>
            <w:tcW w:w="1263" w:type="pct"/>
            <w:tcBorders>
              <w:top w:val="single" w:sz="12" w:space="0" w:color="auto"/>
              <w:bottom w:val="single" w:sz="12" w:space="0" w:color="auto"/>
            </w:tcBorders>
            <w:shd w:val="clear" w:color="auto" w:fill="FFFFFF"/>
            <w:vAlign w:val="bottom"/>
          </w:tcPr>
          <w:p w:rsidR="00D77C69" w:rsidRPr="00CD3A2D" w:rsidRDefault="00D77C69" w:rsidP="000A5924">
            <w:pPr>
              <w:rPr>
                <w:rFonts w:ascii="Calibri" w:hAnsi="Calibri" w:cs="Calibri"/>
                <w:b/>
                <w:sz w:val="15"/>
                <w:szCs w:val="15"/>
                <w:lang w:val="hr-HR"/>
              </w:rPr>
            </w:pPr>
            <w:r w:rsidRPr="00CD3A2D">
              <w:rPr>
                <w:rFonts w:ascii="Calibri" w:hAnsi="Calibri" w:cs="Calibri"/>
                <w:b/>
                <w:sz w:val="15"/>
                <w:szCs w:val="15"/>
                <w:lang w:val="hr-HR"/>
              </w:rPr>
              <w:t xml:space="preserve">Ukupna </w:t>
            </w:r>
            <w:r w:rsidR="00215F48">
              <w:rPr>
                <w:rFonts w:ascii="Calibri" w:hAnsi="Calibri" w:cs="Calibri"/>
                <w:b/>
                <w:sz w:val="15"/>
                <w:szCs w:val="15"/>
                <w:lang w:val="hr-HR"/>
              </w:rPr>
              <w:t xml:space="preserve">financijska </w:t>
            </w:r>
            <w:r w:rsidRPr="00CD3A2D">
              <w:rPr>
                <w:rFonts w:ascii="Calibri" w:hAnsi="Calibri" w:cs="Calibri"/>
                <w:b/>
                <w:sz w:val="15"/>
                <w:szCs w:val="15"/>
                <w:lang w:val="hr-HR"/>
              </w:rPr>
              <w:t>imovina</w:t>
            </w:r>
          </w:p>
        </w:tc>
        <w:tc>
          <w:tcPr>
            <w:tcW w:w="460" w:type="pct"/>
            <w:tcBorders>
              <w:top w:val="single" w:sz="12" w:space="0" w:color="auto"/>
              <w:bottom w:val="single" w:sz="12"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center"/>
              <w:rPr>
                <w:rFonts w:ascii="Calibri" w:hAnsi="Calibri" w:cs="Calibri"/>
                <w:b/>
                <w:sz w:val="15"/>
                <w:szCs w:val="15"/>
                <w:lang w:val="hr-HR"/>
              </w:rPr>
            </w:pPr>
          </w:p>
        </w:tc>
        <w:tc>
          <w:tcPr>
            <w:tcW w:w="373" w:type="pct"/>
            <w:tcBorders>
              <w:top w:val="single" w:sz="12" w:space="0" w:color="auto"/>
              <w:bottom w:val="single" w:sz="12"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27.995.117</w:t>
            </w:r>
          </w:p>
        </w:tc>
        <w:tc>
          <w:tcPr>
            <w:tcW w:w="448" w:type="pct"/>
            <w:tcBorders>
              <w:top w:val="single" w:sz="12" w:space="0" w:color="auto"/>
              <w:bottom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w:t>
            </w:r>
          </w:p>
        </w:tc>
        <w:tc>
          <w:tcPr>
            <w:tcW w:w="347" w:type="pct"/>
            <w:tcBorders>
              <w:top w:val="single" w:sz="12" w:space="0" w:color="auto"/>
              <w:bottom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(616.643)</w:t>
            </w:r>
          </w:p>
        </w:tc>
        <w:tc>
          <w:tcPr>
            <w:tcW w:w="469" w:type="pct"/>
            <w:tcBorders>
              <w:top w:val="single" w:sz="12" w:space="0" w:color="auto"/>
              <w:bottom w:val="single" w:sz="12" w:space="0" w:color="auto"/>
            </w:tcBorders>
            <w:shd w:val="clear" w:color="auto" w:fill="FFFFFF"/>
            <w:vAlign w:val="center"/>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w:t>
            </w:r>
          </w:p>
        </w:tc>
        <w:tc>
          <w:tcPr>
            <w:tcW w:w="362" w:type="pct"/>
            <w:tcBorders>
              <w:top w:val="single" w:sz="12" w:space="0" w:color="auto"/>
              <w:bottom w:val="single" w:sz="12"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r w:rsidRPr="00CD3A2D">
              <w:rPr>
                <w:rFonts w:ascii="Calibri" w:hAnsi="Calibri" w:cs="Calibri"/>
                <w:b/>
                <w:sz w:val="15"/>
                <w:szCs w:val="15"/>
                <w:lang w:val="hr-HR"/>
              </w:rPr>
              <w:t>135.944</w:t>
            </w:r>
          </w:p>
        </w:tc>
        <w:tc>
          <w:tcPr>
            <w:tcW w:w="367" w:type="pct"/>
            <w:tcBorders>
              <w:top w:val="single" w:sz="12" w:space="0" w:color="auto"/>
              <w:bottom w:val="single" w:sz="12"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w:t>
            </w:r>
          </w:p>
        </w:tc>
        <w:tc>
          <w:tcPr>
            <w:tcW w:w="373" w:type="pct"/>
            <w:tcBorders>
              <w:top w:val="single" w:sz="12" w:space="0" w:color="auto"/>
              <w:bottom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27.514.418</w:t>
            </w:r>
          </w:p>
        </w:tc>
        <w:tc>
          <w:tcPr>
            <w:tcW w:w="539" w:type="pct"/>
            <w:tcBorders>
              <w:top w:val="single" w:sz="12" w:space="0" w:color="auto"/>
              <w:bottom w:val="single" w:sz="12" w:space="0" w:color="auto"/>
            </w:tcBorders>
            <w:shd w:val="clear" w:color="auto" w:fill="FFFFFF"/>
            <w:vAlign w:val="bottom"/>
          </w:tcPr>
          <w:p w:rsidR="00D77C69" w:rsidRPr="00CD3A2D" w:rsidRDefault="00D77C69" w:rsidP="000A5924">
            <w:pPr>
              <w:jc w:val="right"/>
              <w:rPr>
                <w:rFonts w:ascii="Calibri" w:hAnsi="Calibri" w:cs="Calibri"/>
                <w:b/>
                <w:sz w:val="15"/>
                <w:szCs w:val="15"/>
                <w:lang w:val="hr-HR"/>
              </w:rPr>
            </w:pPr>
          </w:p>
        </w:tc>
      </w:tr>
      <w:tr w:rsidR="00D77C69" w:rsidRPr="001567C8" w:rsidTr="003C6BA3">
        <w:trPr>
          <w:trHeight w:hRule="exact" w:val="57"/>
          <w:jc w:val="center"/>
        </w:trPr>
        <w:tc>
          <w:tcPr>
            <w:tcW w:w="1263" w:type="pct"/>
            <w:tcBorders>
              <w:top w:val="single" w:sz="12" w:space="0" w:color="auto"/>
            </w:tcBorders>
            <w:shd w:val="clear" w:color="auto" w:fill="FFFFFF"/>
            <w:vAlign w:val="bottom"/>
          </w:tcPr>
          <w:p w:rsidR="00D77C69" w:rsidRPr="00CD3A2D" w:rsidRDefault="00D77C69" w:rsidP="000A5924">
            <w:pPr>
              <w:rPr>
                <w:rFonts w:ascii="Calibri" w:hAnsi="Calibri" w:cs="Calibri"/>
                <w:sz w:val="15"/>
                <w:szCs w:val="15"/>
                <w:lang w:val="hr-HR"/>
              </w:rPr>
            </w:pPr>
          </w:p>
        </w:tc>
        <w:tc>
          <w:tcPr>
            <w:tcW w:w="460" w:type="pct"/>
            <w:tcBorders>
              <w:top w:val="single" w:sz="12" w:space="0" w:color="auto"/>
            </w:tcBorders>
            <w:shd w:val="clear" w:color="auto" w:fill="auto"/>
            <w:vAlign w:val="bottom"/>
          </w:tcPr>
          <w:p w:rsidR="00D77C69" w:rsidRPr="00CD3A2D" w:rsidRDefault="00D77C69" w:rsidP="000A5924">
            <w:pPr>
              <w:pStyle w:val="Style26"/>
              <w:shd w:val="clear" w:color="auto" w:fill="auto"/>
              <w:spacing w:before="0" w:line="240" w:lineRule="auto"/>
              <w:ind w:left="180" w:firstLine="0"/>
              <w:jc w:val="center"/>
              <w:rPr>
                <w:rFonts w:ascii="Calibri" w:hAnsi="Calibri" w:cs="Calibri"/>
                <w:sz w:val="15"/>
                <w:szCs w:val="15"/>
                <w:lang w:val="hr-HR"/>
              </w:rPr>
            </w:pPr>
          </w:p>
        </w:tc>
        <w:tc>
          <w:tcPr>
            <w:tcW w:w="373" w:type="pct"/>
            <w:tcBorders>
              <w:top w:val="single" w:sz="12"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448" w:type="pct"/>
            <w:tcBorders>
              <w:top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347" w:type="pct"/>
            <w:tcBorders>
              <w:top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right="280" w:firstLine="0"/>
              <w:jc w:val="right"/>
              <w:rPr>
                <w:rFonts w:ascii="Calibri" w:hAnsi="Calibri" w:cs="Calibri"/>
                <w:sz w:val="15"/>
                <w:szCs w:val="15"/>
                <w:lang w:val="hr-HR"/>
              </w:rPr>
            </w:pPr>
          </w:p>
        </w:tc>
        <w:tc>
          <w:tcPr>
            <w:tcW w:w="469" w:type="pct"/>
            <w:tcBorders>
              <w:top w:val="single" w:sz="12"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p>
        </w:tc>
        <w:tc>
          <w:tcPr>
            <w:tcW w:w="362" w:type="pct"/>
            <w:tcBorders>
              <w:top w:val="single" w:sz="12"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p>
        </w:tc>
        <w:tc>
          <w:tcPr>
            <w:tcW w:w="367" w:type="pct"/>
            <w:tcBorders>
              <w:top w:val="single" w:sz="12"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p>
        </w:tc>
        <w:tc>
          <w:tcPr>
            <w:tcW w:w="373" w:type="pct"/>
            <w:tcBorders>
              <w:top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539" w:type="pct"/>
            <w:tcBorders>
              <w:top w:val="single" w:sz="12" w:space="0" w:color="auto"/>
            </w:tcBorders>
            <w:shd w:val="clear" w:color="auto" w:fill="FFFFFF"/>
            <w:vAlign w:val="bottom"/>
          </w:tcPr>
          <w:p w:rsidR="00D77C69" w:rsidRPr="00CD3A2D" w:rsidRDefault="00D77C69" w:rsidP="000A5924">
            <w:pPr>
              <w:rPr>
                <w:rFonts w:ascii="Calibri" w:hAnsi="Calibri" w:cs="Calibri"/>
                <w:sz w:val="15"/>
                <w:szCs w:val="15"/>
                <w:lang w:val="hr-HR"/>
              </w:rPr>
            </w:pPr>
          </w:p>
        </w:tc>
      </w:tr>
      <w:tr w:rsidR="00D77C69" w:rsidRPr="001567C8" w:rsidTr="003C6BA3">
        <w:trPr>
          <w:trHeight w:hRule="exact" w:val="427"/>
          <w:jc w:val="center"/>
        </w:trPr>
        <w:tc>
          <w:tcPr>
            <w:tcW w:w="1263" w:type="pct"/>
            <w:shd w:val="clear" w:color="auto" w:fill="FFFFFF"/>
            <w:vAlign w:val="bottom"/>
          </w:tcPr>
          <w:p w:rsidR="00D77C69" w:rsidRPr="00CD3A2D" w:rsidRDefault="00D77C69" w:rsidP="000A5924">
            <w:pPr>
              <w:rPr>
                <w:rFonts w:ascii="Calibri" w:hAnsi="Calibri" w:cs="Calibri"/>
                <w:sz w:val="15"/>
                <w:szCs w:val="15"/>
                <w:lang w:val="hr-HR"/>
              </w:rPr>
            </w:pPr>
            <w:r w:rsidRPr="00CD3A2D">
              <w:rPr>
                <w:rFonts w:ascii="Calibri" w:hAnsi="Calibri" w:cs="Calibri"/>
                <w:sz w:val="15"/>
                <w:szCs w:val="15"/>
                <w:lang w:val="hr-HR"/>
              </w:rPr>
              <w:t xml:space="preserve">Rezerviranja za garancije i preuzete obveze                                                        </w:t>
            </w:r>
            <w:r w:rsidRPr="00CD3A2D">
              <w:rPr>
                <w:rFonts w:ascii="Calibri" w:hAnsi="Calibri" w:cs="Calibri"/>
                <w:b/>
                <w:i/>
                <w:sz w:val="15"/>
                <w:szCs w:val="15"/>
                <w:lang w:val="hr-HR"/>
              </w:rPr>
              <w:t xml:space="preserve"> H</w:t>
            </w:r>
          </w:p>
        </w:tc>
        <w:tc>
          <w:tcPr>
            <w:tcW w:w="460" w:type="pct"/>
            <w:shd w:val="clear" w:color="auto" w:fill="auto"/>
            <w:vAlign w:val="center"/>
          </w:tcPr>
          <w:p w:rsidR="00D77C69" w:rsidRPr="00CD3A2D" w:rsidRDefault="00D77C69" w:rsidP="000A5924">
            <w:pPr>
              <w:pStyle w:val="Style26"/>
              <w:shd w:val="clear" w:color="auto" w:fill="auto"/>
              <w:spacing w:before="0" w:line="240" w:lineRule="auto"/>
              <w:ind w:left="180" w:firstLine="0"/>
              <w:jc w:val="center"/>
              <w:rPr>
                <w:rFonts w:ascii="Calibri" w:hAnsi="Calibri" w:cs="Calibri"/>
                <w:sz w:val="15"/>
                <w:szCs w:val="15"/>
                <w:lang w:val="hr-HR"/>
              </w:rPr>
            </w:pPr>
          </w:p>
        </w:tc>
        <w:tc>
          <w:tcPr>
            <w:tcW w:w="373" w:type="pct"/>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(64.360)</w:t>
            </w:r>
          </w:p>
        </w:tc>
        <w:tc>
          <w:tcPr>
            <w:tcW w:w="448"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47"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15.013</w:t>
            </w:r>
          </w:p>
        </w:tc>
        <w:tc>
          <w:tcPr>
            <w:tcW w:w="469" w:type="pct"/>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w:t>
            </w:r>
          </w:p>
        </w:tc>
        <w:tc>
          <w:tcPr>
            <w:tcW w:w="362" w:type="pct"/>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r w:rsidRPr="001567C8">
              <w:rPr>
                <w:rStyle w:val="CharStyle65"/>
                <w:rFonts w:ascii="Calibri" w:hAnsi="Calibri" w:cs="Calibri"/>
                <w:sz w:val="15"/>
                <w:szCs w:val="15"/>
                <w:lang w:val="hr-HR"/>
              </w:rPr>
              <w:t>-</w:t>
            </w:r>
          </w:p>
        </w:tc>
        <w:tc>
          <w:tcPr>
            <w:tcW w:w="367" w:type="pct"/>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r w:rsidRPr="001567C8">
              <w:rPr>
                <w:rStyle w:val="CharStyle65"/>
                <w:rFonts w:ascii="Calibri" w:hAnsi="Calibri" w:cs="Calibri"/>
                <w:sz w:val="15"/>
                <w:szCs w:val="15"/>
                <w:lang w:val="hr-HR"/>
              </w:rPr>
              <w:t>-</w:t>
            </w:r>
          </w:p>
        </w:tc>
        <w:tc>
          <w:tcPr>
            <w:tcW w:w="373"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(49.347)</w:t>
            </w:r>
          </w:p>
        </w:tc>
        <w:tc>
          <w:tcPr>
            <w:tcW w:w="539" w:type="pct"/>
            <w:shd w:val="clear" w:color="auto" w:fill="FFFFFF"/>
            <w:vAlign w:val="center"/>
          </w:tcPr>
          <w:p w:rsidR="00D77C69" w:rsidRPr="00CD3A2D" w:rsidRDefault="00D77C69" w:rsidP="000A5924">
            <w:pPr>
              <w:jc w:val="right"/>
              <w:rPr>
                <w:rFonts w:ascii="Calibri" w:hAnsi="Calibri" w:cs="Calibri"/>
                <w:sz w:val="15"/>
                <w:szCs w:val="15"/>
                <w:lang w:val="hr-HR"/>
              </w:rPr>
            </w:pPr>
          </w:p>
        </w:tc>
      </w:tr>
      <w:tr w:rsidR="00D77C69" w:rsidRPr="001567C8" w:rsidTr="003C6BA3">
        <w:trPr>
          <w:trHeight w:hRule="exact" w:val="113"/>
          <w:jc w:val="center"/>
        </w:trPr>
        <w:tc>
          <w:tcPr>
            <w:tcW w:w="1263" w:type="pct"/>
            <w:shd w:val="clear" w:color="auto" w:fill="FFFFFF"/>
            <w:vAlign w:val="bottom"/>
          </w:tcPr>
          <w:p w:rsidR="00D77C69" w:rsidRPr="00CD3A2D" w:rsidRDefault="00D77C69" w:rsidP="000A5924">
            <w:pPr>
              <w:rPr>
                <w:rFonts w:ascii="Calibri" w:hAnsi="Calibri" w:cs="Calibri"/>
                <w:sz w:val="15"/>
                <w:szCs w:val="15"/>
                <w:lang w:val="hr-HR"/>
              </w:rPr>
            </w:pPr>
          </w:p>
        </w:tc>
        <w:tc>
          <w:tcPr>
            <w:tcW w:w="460" w:type="pct"/>
            <w:shd w:val="clear" w:color="auto" w:fill="auto"/>
            <w:vAlign w:val="center"/>
          </w:tcPr>
          <w:p w:rsidR="00D77C69" w:rsidRPr="00CD3A2D" w:rsidRDefault="00D77C69" w:rsidP="000A5924">
            <w:pPr>
              <w:pStyle w:val="Style26"/>
              <w:shd w:val="clear" w:color="auto" w:fill="auto"/>
              <w:spacing w:before="0" w:line="240" w:lineRule="auto"/>
              <w:ind w:left="180" w:firstLine="0"/>
              <w:jc w:val="center"/>
              <w:rPr>
                <w:rFonts w:ascii="Calibri" w:hAnsi="Calibri" w:cs="Calibri"/>
                <w:sz w:val="15"/>
                <w:szCs w:val="15"/>
                <w:lang w:val="hr-HR"/>
              </w:rPr>
            </w:pPr>
          </w:p>
        </w:tc>
        <w:tc>
          <w:tcPr>
            <w:tcW w:w="373" w:type="pct"/>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448"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347"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469" w:type="pct"/>
            <w:shd w:val="clear" w:color="auto" w:fill="FFFFFF"/>
            <w:vAlign w:val="center"/>
          </w:tcPr>
          <w:p w:rsidR="00D77C69" w:rsidRPr="00CD3A2D" w:rsidRDefault="00D77C69" w:rsidP="000A5924">
            <w:pPr>
              <w:jc w:val="right"/>
              <w:rPr>
                <w:rFonts w:ascii="Calibri" w:hAnsi="Calibri" w:cs="Calibri"/>
                <w:sz w:val="15"/>
                <w:szCs w:val="15"/>
                <w:lang w:val="hr-HR"/>
              </w:rPr>
            </w:pPr>
          </w:p>
        </w:tc>
        <w:tc>
          <w:tcPr>
            <w:tcW w:w="362" w:type="pct"/>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p>
        </w:tc>
        <w:tc>
          <w:tcPr>
            <w:tcW w:w="367" w:type="pct"/>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sz w:val="15"/>
                <w:szCs w:val="15"/>
                <w:lang w:val="hr-HR"/>
              </w:rPr>
            </w:pPr>
          </w:p>
        </w:tc>
        <w:tc>
          <w:tcPr>
            <w:tcW w:w="373" w:type="pct"/>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p>
        </w:tc>
        <w:tc>
          <w:tcPr>
            <w:tcW w:w="539" w:type="pct"/>
            <w:shd w:val="clear" w:color="auto" w:fill="FFFFFF"/>
            <w:vAlign w:val="center"/>
          </w:tcPr>
          <w:p w:rsidR="00D77C69" w:rsidRPr="00CD3A2D" w:rsidRDefault="00D77C69" w:rsidP="000A5924">
            <w:pPr>
              <w:jc w:val="right"/>
              <w:rPr>
                <w:rFonts w:ascii="Calibri" w:hAnsi="Calibri" w:cs="Calibri"/>
                <w:sz w:val="15"/>
                <w:szCs w:val="15"/>
                <w:lang w:val="hr-HR"/>
              </w:rPr>
            </w:pPr>
          </w:p>
        </w:tc>
      </w:tr>
      <w:tr w:rsidR="00D77C69" w:rsidRPr="001567C8" w:rsidTr="003C6BA3">
        <w:trPr>
          <w:trHeight w:hRule="exact" w:val="204"/>
          <w:jc w:val="center"/>
        </w:trPr>
        <w:tc>
          <w:tcPr>
            <w:tcW w:w="1263" w:type="pct"/>
            <w:tcBorders>
              <w:bottom w:val="dotted" w:sz="4" w:space="0" w:color="auto"/>
            </w:tcBorders>
            <w:shd w:val="clear" w:color="auto" w:fill="FFFFFF"/>
            <w:vAlign w:val="bottom"/>
          </w:tcPr>
          <w:p w:rsidR="00D77C69" w:rsidRPr="00CD3A2D" w:rsidRDefault="00D77C69" w:rsidP="000A5924">
            <w:pPr>
              <w:rPr>
                <w:rFonts w:ascii="Calibri" w:hAnsi="Calibri" w:cs="Calibri"/>
                <w:sz w:val="15"/>
                <w:szCs w:val="15"/>
                <w:lang w:val="hr-HR"/>
              </w:rPr>
            </w:pPr>
            <w:r w:rsidRPr="00CD3A2D">
              <w:rPr>
                <w:rFonts w:ascii="Calibri" w:hAnsi="Calibri" w:cs="Calibri"/>
                <w:sz w:val="15"/>
                <w:szCs w:val="15"/>
                <w:lang w:val="hr-HR"/>
              </w:rPr>
              <w:t>Ostale rezerve</w:t>
            </w:r>
          </w:p>
        </w:tc>
        <w:tc>
          <w:tcPr>
            <w:tcW w:w="460" w:type="pct"/>
            <w:tcBorders>
              <w:bottom w:val="dotted" w:sz="4" w:space="0" w:color="auto"/>
            </w:tcBorders>
            <w:shd w:val="clear" w:color="auto" w:fill="auto"/>
            <w:vAlign w:val="center"/>
          </w:tcPr>
          <w:p w:rsidR="00D77C69" w:rsidRPr="00CD3A2D" w:rsidRDefault="00D77C69" w:rsidP="000A5924">
            <w:pPr>
              <w:pStyle w:val="Style26"/>
              <w:shd w:val="clear" w:color="auto" w:fill="auto"/>
              <w:spacing w:before="0" w:line="240" w:lineRule="auto"/>
              <w:ind w:left="180" w:firstLine="0"/>
              <w:jc w:val="center"/>
              <w:rPr>
                <w:rFonts w:ascii="Calibri" w:hAnsi="Calibri" w:cs="Calibri"/>
                <w:sz w:val="15"/>
                <w:szCs w:val="15"/>
                <w:lang w:val="hr-HR"/>
              </w:rPr>
            </w:pPr>
          </w:p>
        </w:tc>
        <w:tc>
          <w:tcPr>
            <w:tcW w:w="373" w:type="pct"/>
            <w:tcBorders>
              <w:bottom w:val="dotted" w:sz="4"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(94.683)</w:t>
            </w:r>
          </w:p>
        </w:tc>
        <w:tc>
          <w:tcPr>
            <w:tcW w:w="448"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28.254</w:t>
            </w:r>
          </w:p>
        </w:tc>
        <w:tc>
          <w:tcPr>
            <w:tcW w:w="347"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469"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r w:rsidRPr="00CD3A2D">
              <w:rPr>
                <w:rFonts w:ascii="Calibri" w:hAnsi="Calibri" w:cs="Calibri"/>
                <w:sz w:val="15"/>
                <w:szCs w:val="15"/>
                <w:lang w:val="hr-HR"/>
              </w:rPr>
              <w:t>(4.288)</w:t>
            </w:r>
            <w:r w:rsidRPr="00CD3A2D">
              <w:rPr>
                <w:rStyle w:val="FootnoteReference"/>
                <w:rFonts w:ascii="Calibri" w:hAnsi="Calibri" w:cs="Calibri"/>
                <w:sz w:val="15"/>
                <w:szCs w:val="15"/>
                <w:lang w:val="hr-HR"/>
              </w:rPr>
              <w:footnoteReference w:id="9"/>
            </w:r>
          </w:p>
        </w:tc>
        <w:tc>
          <w:tcPr>
            <w:tcW w:w="362"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67"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w:t>
            </w:r>
          </w:p>
        </w:tc>
        <w:tc>
          <w:tcPr>
            <w:tcW w:w="373" w:type="pct"/>
            <w:tcBorders>
              <w:bottom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sz w:val="15"/>
                <w:szCs w:val="15"/>
                <w:lang w:val="hr-HR"/>
              </w:rPr>
            </w:pPr>
            <w:r w:rsidRPr="00CD3A2D">
              <w:rPr>
                <w:rFonts w:ascii="Calibri" w:hAnsi="Calibri" w:cs="Calibri"/>
                <w:sz w:val="15"/>
                <w:szCs w:val="15"/>
                <w:lang w:val="hr-HR"/>
              </w:rPr>
              <w:t>(70.717)</w:t>
            </w:r>
          </w:p>
        </w:tc>
        <w:tc>
          <w:tcPr>
            <w:tcW w:w="539" w:type="pct"/>
            <w:tcBorders>
              <w:bottom w:val="dotted" w:sz="4" w:space="0" w:color="auto"/>
            </w:tcBorders>
            <w:shd w:val="clear" w:color="auto" w:fill="FFFFFF"/>
            <w:vAlign w:val="center"/>
          </w:tcPr>
          <w:p w:rsidR="00D77C69" w:rsidRPr="00CD3A2D" w:rsidRDefault="00D77C69" w:rsidP="000A5924">
            <w:pPr>
              <w:jc w:val="right"/>
              <w:rPr>
                <w:rFonts w:ascii="Calibri" w:hAnsi="Calibri" w:cs="Calibri"/>
                <w:sz w:val="15"/>
                <w:szCs w:val="15"/>
                <w:lang w:val="hr-HR"/>
              </w:rPr>
            </w:pPr>
          </w:p>
        </w:tc>
      </w:tr>
      <w:tr w:rsidR="00D77C69" w:rsidRPr="001567C8" w:rsidTr="003C6BA3">
        <w:trPr>
          <w:trHeight w:hRule="exact" w:val="194"/>
          <w:jc w:val="center"/>
        </w:trPr>
        <w:tc>
          <w:tcPr>
            <w:tcW w:w="1263" w:type="pct"/>
            <w:tcBorders>
              <w:top w:val="dotted" w:sz="4" w:space="0" w:color="auto"/>
              <w:left w:val="dotted"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r w:rsidRPr="00CD3A2D">
              <w:rPr>
                <w:rFonts w:ascii="Calibri" w:hAnsi="Calibri" w:cs="Calibri"/>
                <w:i/>
                <w:sz w:val="15"/>
                <w:szCs w:val="15"/>
                <w:lang w:val="hr-HR"/>
              </w:rPr>
              <w:t xml:space="preserve">Na poziciju: Zadržana dobit i rezerve      </w:t>
            </w:r>
            <w:r w:rsidRPr="00CD3A2D">
              <w:rPr>
                <w:rFonts w:ascii="Calibri" w:hAnsi="Calibri" w:cs="Calibri"/>
                <w:b/>
                <w:i/>
                <w:sz w:val="15"/>
                <w:szCs w:val="15"/>
                <w:lang w:val="hr-HR"/>
              </w:rPr>
              <w:t>I</w:t>
            </w:r>
          </w:p>
        </w:tc>
        <w:tc>
          <w:tcPr>
            <w:tcW w:w="460" w:type="pct"/>
            <w:tcBorders>
              <w:top w:val="dotted" w:sz="4" w:space="0" w:color="auto"/>
            </w:tcBorders>
            <w:shd w:val="clear" w:color="auto" w:fill="auto"/>
            <w:vAlign w:val="center"/>
          </w:tcPr>
          <w:p w:rsidR="00D77C69" w:rsidRPr="00CD3A2D" w:rsidRDefault="00D77C69" w:rsidP="000A5924">
            <w:pPr>
              <w:pStyle w:val="Style26"/>
              <w:shd w:val="clear" w:color="auto" w:fill="auto"/>
              <w:spacing w:before="0" w:line="240" w:lineRule="auto"/>
              <w:ind w:left="180" w:firstLine="0"/>
              <w:jc w:val="center"/>
              <w:rPr>
                <w:rFonts w:ascii="Calibri" w:hAnsi="Calibri" w:cs="Calibri"/>
                <w:i/>
                <w:sz w:val="15"/>
                <w:szCs w:val="15"/>
                <w:lang w:val="hr-HR"/>
              </w:rPr>
            </w:pPr>
          </w:p>
        </w:tc>
        <w:tc>
          <w:tcPr>
            <w:tcW w:w="373" w:type="pct"/>
            <w:tcBorders>
              <w:top w:val="dotted" w:sz="4"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448"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28.254</w:t>
            </w:r>
            <w:r w:rsidRPr="00CD3A2D">
              <w:rPr>
                <w:rStyle w:val="FootnoteReference"/>
                <w:rFonts w:ascii="Calibri" w:hAnsi="Calibri" w:cs="Calibri"/>
                <w:i/>
                <w:sz w:val="15"/>
                <w:szCs w:val="15"/>
                <w:lang w:val="hr-HR"/>
              </w:rPr>
              <w:footnoteReference w:id="10"/>
            </w:r>
          </w:p>
        </w:tc>
        <w:tc>
          <w:tcPr>
            <w:tcW w:w="347"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469" w:type="pct"/>
            <w:tcBorders>
              <w:top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2"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367"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373" w:type="pct"/>
            <w:tcBorders>
              <w:top w:val="dotted" w:sz="4"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539" w:type="pct"/>
            <w:tcBorders>
              <w:top w:val="dotted" w:sz="4" w:space="0" w:color="auto"/>
              <w:right w:val="dotted" w:sz="4"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p>
        </w:tc>
      </w:tr>
      <w:tr w:rsidR="00D77C69" w:rsidRPr="001567C8" w:rsidTr="003C6BA3">
        <w:trPr>
          <w:trHeight w:hRule="exact" w:val="400"/>
          <w:jc w:val="center"/>
        </w:trPr>
        <w:tc>
          <w:tcPr>
            <w:tcW w:w="1263" w:type="pct"/>
            <w:tcBorders>
              <w:left w:val="dotted" w:sz="4" w:space="0" w:color="auto"/>
              <w:bottom w:val="dotted" w:sz="4" w:space="0" w:color="auto"/>
            </w:tcBorders>
            <w:shd w:val="clear" w:color="auto" w:fill="FFFFFF"/>
            <w:vAlign w:val="bottom"/>
          </w:tcPr>
          <w:p w:rsidR="00D77C69" w:rsidRPr="00CD3A2D" w:rsidRDefault="00D77C69" w:rsidP="000A5924">
            <w:pPr>
              <w:rPr>
                <w:rFonts w:ascii="Calibri" w:hAnsi="Calibri" w:cs="Calibri"/>
                <w:i/>
                <w:sz w:val="15"/>
                <w:szCs w:val="15"/>
                <w:lang w:val="hr-HR"/>
              </w:rPr>
            </w:pPr>
            <w:r w:rsidRPr="00CD3A2D">
              <w:rPr>
                <w:rFonts w:ascii="Calibri" w:hAnsi="Calibri" w:cs="Calibri"/>
                <w:i/>
                <w:sz w:val="15"/>
                <w:szCs w:val="15"/>
                <w:lang w:val="hr-HR"/>
              </w:rPr>
              <w:t xml:space="preserve">Priznavanje očekivanih kreditnih gubitaka u zadržanu dobit                        </w:t>
            </w:r>
            <w:r w:rsidRPr="00CD3A2D">
              <w:rPr>
                <w:rFonts w:ascii="Calibri" w:hAnsi="Calibri" w:cs="Calibri"/>
                <w:b/>
                <w:i/>
                <w:sz w:val="15"/>
                <w:szCs w:val="15"/>
                <w:lang w:val="hr-HR"/>
              </w:rPr>
              <w:t>J</w:t>
            </w:r>
          </w:p>
        </w:tc>
        <w:tc>
          <w:tcPr>
            <w:tcW w:w="460" w:type="pct"/>
            <w:tcBorders>
              <w:bottom w:val="dotted" w:sz="4" w:space="0" w:color="auto"/>
            </w:tcBorders>
            <w:shd w:val="clear" w:color="auto" w:fill="auto"/>
            <w:vAlign w:val="bottom"/>
          </w:tcPr>
          <w:p w:rsidR="00D77C69" w:rsidRPr="00CD3A2D" w:rsidRDefault="00D77C69" w:rsidP="000A5924">
            <w:pPr>
              <w:pStyle w:val="Style26"/>
              <w:shd w:val="clear" w:color="auto" w:fill="auto"/>
              <w:spacing w:before="0" w:line="240" w:lineRule="auto"/>
              <w:ind w:left="180" w:firstLine="0"/>
              <w:jc w:val="center"/>
              <w:rPr>
                <w:rFonts w:ascii="Calibri" w:hAnsi="Calibri" w:cs="Calibri"/>
                <w:i/>
                <w:sz w:val="15"/>
                <w:szCs w:val="15"/>
                <w:lang w:val="hr-HR"/>
              </w:rPr>
            </w:pPr>
          </w:p>
        </w:tc>
        <w:tc>
          <w:tcPr>
            <w:tcW w:w="373" w:type="pct"/>
            <w:tcBorders>
              <w:bottom w:val="dotted" w:sz="4"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448"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347"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(4.288)</w:t>
            </w:r>
          </w:p>
        </w:tc>
        <w:tc>
          <w:tcPr>
            <w:tcW w:w="469" w:type="pct"/>
            <w:tcBorders>
              <w:bottom w:val="dotted" w:sz="4" w:space="0" w:color="auto"/>
            </w:tcBorders>
            <w:shd w:val="clear" w:color="auto" w:fill="FFFFFF"/>
            <w:vAlign w:val="bottom"/>
          </w:tcPr>
          <w:p w:rsidR="00D77C69" w:rsidRPr="00CD3A2D" w:rsidRDefault="00D77C69" w:rsidP="000A5924">
            <w:pPr>
              <w:jc w:val="right"/>
              <w:rPr>
                <w:rFonts w:ascii="Calibri" w:hAnsi="Calibri" w:cs="Calibri"/>
                <w:i/>
                <w:sz w:val="15"/>
                <w:szCs w:val="15"/>
                <w:lang w:val="hr-HR"/>
              </w:rPr>
            </w:pPr>
            <w:r w:rsidRPr="00CD3A2D">
              <w:rPr>
                <w:rFonts w:ascii="Calibri" w:hAnsi="Calibri" w:cs="Calibri"/>
                <w:i/>
                <w:sz w:val="15"/>
                <w:szCs w:val="15"/>
                <w:lang w:val="hr-HR"/>
              </w:rPr>
              <w:t>-</w:t>
            </w:r>
          </w:p>
        </w:tc>
        <w:tc>
          <w:tcPr>
            <w:tcW w:w="362" w:type="pct"/>
            <w:tcBorders>
              <w:bottom w:val="dotted"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i/>
                <w:sz w:val="15"/>
                <w:szCs w:val="15"/>
                <w:lang w:val="hr-HR"/>
              </w:rPr>
            </w:pPr>
            <w:r w:rsidRPr="001567C8">
              <w:rPr>
                <w:rStyle w:val="CharStyle65"/>
                <w:rFonts w:ascii="Calibri" w:hAnsi="Calibri" w:cs="Calibri"/>
                <w:i/>
                <w:sz w:val="15"/>
                <w:szCs w:val="15"/>
                <w:lang w:val="hr-HR"/>
              </w:rPr>
              <w:t>-</w:t>
            </w:r>
          </w:p>
        </w:tc>
        <w:tc>
          <w:tcPr>
            <w:tcW w:w="367" w:type="pct"/>
            <w:tcBorders>
              <w:bottom w:val="dotted"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i/>
                <w:sz w:val="15"/>
                <w:szCs w:val="15"/>
                <w:lang w:val="hr-HR"/>
              </w:rPr>
            </w:pPr>
            <w:r w:rsidRPr="001567C8">
              <w:rPr>
                <w:rStyle w:val="CharStyle65"/>
                <w:rFonts w:ascii="Calibri" w:hAnsi="Calibri" w:cs="Calibri"/>
                <w:i/>
                <w:sz w:val="15"/>
                <w:szCs w:val="15"/>
                <w:lang w:val="hr-HR"/>
              </w:rPr>
              <w:t>-</w:t>
            </w:r>
          </w:p>
        </w:tc>
        <w:tc>
          <w:tcPr>
            <w:tcW w:w="373" w:type="pct"/>
            <w:tcBorders>
              <w:bottom w:val="dotted"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r w:rsidRPr="00CD3A2D">
              <w:rPr>
                <w:rFonts w:ascii="Calibri" w:hAnsi="Calibri" w:cs="Calibri"/>
                <w:i/>
                <w:sz w:val="15"/>
                <w:szCs w:val="15"/>
                <w:lang w:val="hr-HR"/>
              </w:rPr>
              <w:t>-</w:t>
            </w:r>
          </w:p>
        </w:tc>
        <w:tc>
          <w:tcPr>
            <w:tcW w:w="539" w:type="pct"/>
            <w:tcBorders>
              <w:bottom w:val="dotted" w:sz="4" w:space="0" w:color="auto"/>
              <w:right w:val="dotted" w:sz="4" w:space="0" w:color="auto"/>
            </w:tcBorders>
            <w:shd w:val="clear" w:color="auto" w:fill="FFFFFF"/>
            <w:vAlign w:val="bottom"/>
          </w:tcPr>
          <w:p w:rsidR="00D77C69" w:rsidRPr="00CD3A2D" w:rsidRDefault="00D77C69" w:rsidP="000A5924">
            <w:pPr>
              <w:jc w:val="right"/>
              <w:rPr>
                <w:rFonts w:ascii="Calibri" w:hAnsi="Calibri" w:cs="Calibri"/>
                <w:i/>
                <w:sz w:val="15"/>
                <w:szCs w:val="15"/>
                <w:lang w:val="hr-HR"/>
              </w:rPr>
            </w:pPr>
          </w:p>
        </w:tc>
      </w:tr>
      <w:tr w:rsidR="00D77C69" w:rsidRPr="001567C8" w:rsidTr="003C6BA3">
        <w:trPr>
          <w:trHeight w:hRule="exact" w:val="57"/>
          <w:jc w:val="center"/>
        </w:trPr>
        <w:tc>
          <w:tcPr>
            <w:tcW w:w="1263" w:type="pct"/>
            <w:tcBorders>
              <w:top w:val="dotted" w:sz="4" w:space="0" w:color="auto"/>
              <w:bottom w:val="single" w:sz="12" w:space="0" w:color="auto"/>
            </w:tcBorders>
            <w:shd w:val="clear" w:color="auto" w:fill="FFFFFF"/>
            <w:vAlign w:val="bottom"/>
          </w:tcPr>
          <w:p w:rsidR="00D77C69" w:rsidRPr="00CD3A2D" w:rsidRDefault="00D77C69" w:rsidP="000A5924">
            <w:pPr>
              <w:ind w:left="415"/>
              <w:rPr>
                <w:rFonts w:ascii="Calibri" w:hAnsi="Calibri" w:cs="Calibri"/>
                <w:i/>
                <w:sz w:val="15"/>
                <w:szCs w:val="15"/>
                <w:lang w:val="hr-HR"/>
              </w:rPr>
            </w:pPr>
          </w:p>
        </w:tc>
        <w:tc>
          <w:tcPr>
            <w:tcW w:w="460" w:type="pct"/>
            <w:tcBorders>
              <w:top w:val="dotted" w:sz="4" w:space="0" w:color="auto"/>
              <w:bottom w:val="single" w:sz="12" w:space="0" w:color="auto"/>
            </w:tcBorders>
            <w:shd w:val="clear" w:color="auto" w:fill="auto"/>
            <w:vAlign w:val="bottom"/>
          </w:tcPr>
          <w:p w:rsidR="00D77C69" w:rsidRPr="00CD3A2D" w:rsidRDefault="00D77C69" w:rsidP="000A5924">
            <w:pPr>
              <w:pStyle w:val="Style26"/>
              <w:shd w:val="clear" w:color="auto" w:fill="auto"/>
              <w:spacing w:before="0" w:line="240" w:lineRule="auto"/>
              <w:ind w:left="180" w:firstLine="0"/>
              <w:jc w:val="center"/>
              <w:rPr>
                <w:rFonts w:ascii="Calibri" w:hAnsi="Calibri" w:cs="Calibri"/>
                <w:i/>
                <w:sz w:val="15"/>
                <w:szCs w:val="15"/>
                <w:lang w:val="hr-HR"/>
              </w:rPr>
            </w:pPr>
          </w:p>
        </w:tc>
        <w:tc>
          <w:tcPr>
            <w:tcW w:w="373" w:type="pct"/>
            <w:tcBorders>
              <w:top w:val="dotted" w:sz="4" w:space="0" w:color="auto"/>
              <w:bottom w:val="single" w:sz="12" w:space="0" w:color="auto"/>
            </w:tcBorders>
            <w:shd w:val="clear" w:color="auto" w:fill="auto"/>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448" w:type="pct"/>
            <w:tcBorders>
              <w:top w:val="dotted" w:sz="4" w:space="0" w:color="auto"/>
              <w:bottom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347" w:type="pct"/>
            <w:tcBorders>
              <w:top w:val="dotted" w:sz="4" w:space="0" w:color="auto"/>
              <w:bottom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469" w:type="pct"/>
            <w:tcBorders>
              <w:top w:val="dotted" w:sz="4" w:space="0" w:color="auto"/>
              <w:bottom w:val="single" w:sz="12" w:space="0" w:color="auto"/>
            </w:tcBorders>
            <w:shd w:val="clear" w:color="auto" w:fill="FFFFFF"/>
            <w:vAlign w:val="center"/>
          </w:tcPr>
          <w:p w:rsidR="00D77C69" w:rsidRPr="00CD3A2D" w:rsidRDefault="00D77C69" w:rsidP="000A5924">
            <w:pPr>
              <w:jc w:val="right"/>
              <w:rPr>
                <w:rFonts w:ascii="Calibri" w:hAnsi="Calibri" w:cs="Calibri"/>
                <w:i/>
                <w:sz w:val="15"/>
                <w:szCs w:val="15"/>
                <w:lang w:val="hr-HR"/>
              </w:rPr>
            </w:pPr>
          </w:p>
        </w:tc>
        <w:tc>
          <w:tcPr>
            <w:tcW w:w="362" w:type="pct"/>
            <w:tcBorders>
              <w:top w:val="dotted" w:sz="4" w:space="0" w:color="auto"/>
              <w:bottom w:val="single" w:sz="12"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i/>
                <w:sz w:val="15"/>
                <w:szCs w:val="15"/>
                <w:lang w:val="hr-HR"/>
              </w:rPr>
            </w:pPr>
          </w:p>
        </w:tc>
        <w:tc>
          <w:tcPr>
            <w:tcW w:w="367" w:type="pct"/>
            <w:tcBorders>
              <w:top w:val="dotted" w:sz="4" w:space="0" w:color="auto"/>
              <w:bottom w:val="single" w:sz="12" w:space="0" w:color="auto"/>
            </w:tcBorders>
            <w:shd w:val="clear" w:color="auto" w:fill="FFFFFF"/>
            <w:vAlign w:val="center"/>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i/>
                <w:sz w:val="15"/>
                <w:szCs w:val="15"/>
                <w:lang w:val="hr-HR"/>
              </w:rPr>
            </w:pPr>
          </w:p>
        </w:tc>
        <w:tc>
          <w:tcPr>
            <w:tcW w:w="373" w:type="pct"/>
            <w:tcBorders>
              <w:top w:val="dotted" w:sz="4" w:space="0" w:color="auto"/>
              <w:bottom w:val="single" w:sz="12" w:space="0" w:color="auto"/>
            </w:tcBorders>
            <w:shd w:val="clear" w:color="auto" w:fill="FFFFFF"/>
            <w:vAlign w:val="center"/>
          </w:tcPr>
          <w:p w:rsidR="00D77C69" w:rsidRPr="00CD3A2D" w:rsidRDefault="00D77C69" w:rsidP="000A5924">
            <w:pPr>
              <w:pStyle w:val="Style26"/>
              <w:shd w:val="clear" w:color="auto" w:fill="auto"/>
              <w:spacing w:before="0" w:line="240" w:lineRule="auto"/>
              <w:ind w:firstLine="0"/>
              <w:jc w:val="right"/>
              <w:rPr>
                <w:rFonts w:ascii="Calibri" w:hAnsi="Calibri" w:cs="Calibri"/>
                <w:i/>
                <w:sz w:val="15"/>
                <w:szCs w:val="15"/>
                <w:lang w:val="hr-HR"/>
              </w:rPr>
            </w:pPr>
          </w:p>
        </w:tc>
        <w:tc>
          <w:tcPr>
            <w:tcW w:w="539" w:type="pct"/>
            <w:tcBorders>
              <w:top w:val="dotted" w:sz="4" w:space="0" w:color="auto"/>
              <w:bottom w:val="single" w:sz="12" w:space="0" w:color="auto"/>
            </w:tcBorders>
            <w:shd w:val="clear" w:color="auto" w:fill="FFFFFF"/>
            <w:vAlign w:val="bottom"/>
          </w:tcPr>
          <w:p w:rsidR="00D77C69" w:rsidRPr="00CD3A2D" w:rsidRDefault="00D77C69" w:rsidP="000A5924">
            <w:pPr>
              <w:rPr>
                <w:rFonts w:ascii="Calibri" w:hAnsi="Calibri" w:cs="Calibri"/>
                <w:i/>
                <w:sz w:val="15"/>
                <w:szCs w:val="15"/>
                <w:lang w:val="hr-HR"/>
              </w:rPr>
            </w:pPr>
          </w:p>
        </w:tc>
      </w:tr>
      <w:tr w:rsidR="00D77C69" w:rsidRPr="001567C8" w:rsidTr="003C6BA3">
        <w:trPr>
          <w:trHeight w:hRule="exact" w:val="394"/>
          <w:jc w:val="center"/>
        </w:trPr>
        <w:tc>
          <w:tcPr>
            <w:tcW w:w="1263" w:type="pct"/>
            <w:tcBorders>
              <w:top w:val="single" w:sz="12" w:space="0" w:color="auto"/>
              <w:bottom w:val="double" w:sz="4" w:space="0" w:color="auto"/>
            </w:tcBorders>
            <w:shd w:val="clear" w:color="auto" w:fill="FFFFFF"/>
            <w:vAlign w:val="bottom"/>
          </w:tcPr>
          <w:p w:rsidR="00D77C69" w:rsidRPr="00CD3A2D" w:rsidRDefault="00D77C69" w:rsidP="000A5924">
            <w:pPr>
              <w:rPr>
                <w:rFonts w:ascii="Calibri" w:hAnsi="Calibri" w:cs="Calibri"/>
                <w:b/>
                <w:sz w:val="15"/>
                <w:szCs w:val="15"/>
                <w:lang w:val="hr-HR"/>
              </w:rPr>
            </w:pPr>
            <w:r w:rsidRPr="00CD3A2D">
              <w:rPr>
                <w:rFonts w:ascii="Calibri" w:hAnsi="Calibri" w:cs="Calibri"/>
                <w:b/>
                <w:sz w:val="15"/>
                <w:szCs w:val="15"/>
                <w:lang w:val="hr-HR"/>
              </w:rPr>
              <w:t xml:space="preserve">Učinak MSFI-ja 9 na Zadržanu dobit i rezerve                                                         </w:t>
            </w:r>
            <w:r w:rsidRPr="00CD3A2D">
              <w:rPr>
                <w:rFonts w:ascii="Calibri" w:hAnsi="Calibri" w:cs="Calibri"/>
                <w:b/>
                <w:i/>
                <w:sz w:val="15"/>
                <w:szCs w:val="15"/>
                <w:lang w:val="hr-HR"/>
              </w:rPr>
              <w:t>K</w:t>
            </w:r>
          </w:p>
        </w:tc>
        <w:tc>
          <w:tcPr>
            <w:tcW w:w="460" w:type="pct"/>
            <w:tcBorders>
              <w:top w:val="single" w:sz="12" w:space="0" w:color="auto"/>
              <w:bottom w:val="double" w:sz="4" w:space="0" w:color="auto"/>
            </w:tcBorders>
            <w:shd w:val="clear" w:color="auto" w:fill="auto"/>
            <w:vAlign w:val="bottom"/>
          </w:tcPr>
          <w:p w:rsidR="00D77C69" w:rsidRPr="00CD3A2D" w:rsidRDefault="00D77C69" w:rsidP="000A5924">
            <w:pPr>
              <w:pStyle w:val="Style26"/>
              <w:shd w:val="clear" w:color="auto" w:fill="auto"/>
              <w:spacing w:before="0" w:line="240" w:lineRule="auto"/>
              <w:ind w:left="180" w:firstLine="0"/>
              <w:jc w:val="center"/>
              <w:rPr>
                <w:rFonts w:ascii="Calibri" w:hAnsi="Calibri" w:cs="Calibri"/>
                <w:b/>
                <w:sz w:val="15"/>
                <w:szCs w:val="15"/>
                <w:lang w:val="hr-HR"/>
              </w:rPr>
            </w:pPr>
          </w:p>
        </w:tc>
        <w:tc>
          <w:tcPr>
            <w:tcW w:w="373" w:type="pct"/>
            <w:tcBorders>
              <w:top w:val="single" w:sz="12" w:space="0" w:color="auto"/>
              <w:bottom w:val="double" w:sz="4" w:space="0" w:color="auto"/>
            </w:tcBorders>
            <w:shd w:val="clear" w:color="auto" w:fill="auto"/>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w:t>
            </w:r>
          </w:p>
        </w:tc>
        <w:tc>
          <w:tcPr>
            <w:tcW w:w="448" w:type="pct"/>
            <w:tcBorders>
              <w:top w:val="single" w:sz="12" w:space="0" w:color="auto"/>
              <w:bottom w:val="doub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w:t>
            </w:r>
          </w:p>
        </w:tc>
        <w:tc>
          <w:tcPr>
            <w:tcW w:w="347" w:type="pct"/>
            <w:tcBorders>
              <w:top w:val="single" w:sz="12" w:space="0" w:color="auto"/>
              <w:bottom w:val="doub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(605.918)</w:t>
            </w:r>
          </w:p>
        </w:tc>
        <w:tc>
          <w:tcPr>
            <w:tcW w:w="469" w:type="pct"/>
            <w:tcBorders>
              <w:top w:val="single" w:sz="12" w:space="0" w:color="auto"/>
              <w:bottom w:val="double" w:sz="4" w:space="0" w:color="auto"/>
            </w:tcBorders>
            <w:shd w:val="clear" w:color="auto" w:fill="FFFFFF"/>
            <w:vAlign w:val="bottom"/>
          </w:tcPr>
          <w:p w:rsidR="00D77C69" w:rsidRPr="00CD3A2D" w:rsidRDefault="00D77C69" w:rsidP="000A5924">
            <w:pPr>
              <w:jc w:val="right"/>
              <w:rPr>
                <w:rFonts w:ascii="Calibri" w:hAnsi="Calibri" w:cs="Calibri"/>
                <w:b/>
                <w:sz w:val="15"/>
                <w:szCs w:val="15"/>
                <w:lang w:val="hr-HR"/>
              </w:rPr>
            </w:pPr>
            <w:r w:rsidRPr="00CD3A2D">
              <w:rPr>
                <w:rFonts w:ascii="Calibri" w:hAnsi="Calibri" w:cs="Calibri"/>
                <w:b/>
                <w:sz w:val="15"/>
                <w:szCs w:val="15"/>
                <w:lang w:val="hr-HR"/>
              </w:rPr>
              <w:t>(4.288)</w:t>
            </w:r>
          </w:p>
        </w:tc>
        <w:tc>
          <w:tcPr>
            <w:tcW w:w="362" w:type="pct"/>
            <w:tcBorders>
              <w:top w:val="single" w:sz="12" w:space="0" w:color="auto"/>
              <w:bottom w:val="doub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r w:rsidRPr="00CD3A2D">
              <w:rPr>
                <w:rFonts w:ascii="Calibri" w:hAnsi="Calibri" w:cs="Calibri"/>
                <w:b/>
                <w:sz w:val="15"/>
                <w:szCs w:val="15"/>
                <w:lang w:val="hr-HR"/>
              </w:rPr>
              <w:t>135.944</w:t>
            </w:r>
          </w:p>
        </w:tc>
        <w:tc>
          <w:tcPr>
            <w:tcW w:w="367" w:type="pct"/>
            <w:tcBorders>
              <w:top w:val="single" w:sz="12" w:space="0" w:color="auto"/>
              <w:bottom w:val="double" w:sz="4" w:space="0" w:color="auto"/>
            </w:tcBorders>
            <w:shd w:val="clear" w:color="auto" w:fill="FFFFFF"/>
            <w:vAlign w:val="bottom"/>
          </w:tcPr>
          <w:p w:rsidR="00D77C69" w:rsidRPr="001567C8" w:rsidRDefault="00D77C69" w:rsidP="000A5924">
            <w:pPr>
              <w:pStyle w:val="Style26"/>
              <w:shd w:val="clear" w:color="auto" w:fill="auto"/>
              <w:spacing w:before="0" w:line="240" w:lineRule="auto"/>
              <w:ind w:firstLine="0"/>
              <w:jc w:val="right"/>
              <w:rPr>
                <w:rStyle w:val="CharStyle65"/>
                <w:rFonts w:ascii="Calibri" w:hAnsi="Calibri" w:cs="Calibri"/>
                <w:b/>
                <w:sz w:val="15"/>
                <w:szCs w:val="15"/>
                <w:lang w:val="hr-HR"/>
              </w:rPr>
            </w:pPr>
            <w:r w:rsidRPr="001567C8">
              <w:rPr>
                <w:rStyle w:val="CharStyle65"/>
                <w:rFonts w:ascii="Calibri" w:hAnsi="Calibri" w:cs="Calibri"/>
                <w:b/>
                <w:sz w:val="15"/>
                <w:szCs w:val="15"/>
                <w:lang w:val="hr-HR"/>
              </w:rPr>
              <w:t>-</w:t>
            </w:r>
          </w:p>
        </w:tc>
        <w:tc>
          <w:tcPr>
            <w:tcW w:w="373" w:type="pct"/>
            <w:tcBorders>
              <w:top w:val="single" w:sz="12" w:space="0" w:color="auto"/>
              <w:bottom w:val="double" w:sz="4" w:space="0" w:color="auto"/>
            </w:tcBorders>
            <w:shd w:val="clear" w:color="auto" w:fill="FFFFFF"/>
            <w:vAlign w:val="bottom"/>
          </w:tcPr>
          <w:p w:rsidR="00D77C69" w:rsidRPr="00CD3A2D" w:rsidRDefault="00D77C69" w:rsidP="000A5924">
            <w:pPr>
              <w:pStyle w:val="Style26"/>
              <w:shd w:val="clear" w:color="auto" w:fill="auto"/>
              <w:spacing w:before="0" w:line="240" w:lineRule="auto"/>
              <w:ind w:firstLine="0"/>
              <w:jc w:val="right"/>
              <w:rPr>
                <w:rFonts w:ascii="Calibri" w:hAnsi="Calibri" w:cs="Calibri"/>
                <w:b/>
                <w:sz w:val="15"/>
                <w:szCs w:val="15"/>
                <w:lang w:val="hr-HR"/>
              </w:rPr>
            </w:pPr>
            <w:r w:rsidRPr="00CD3A2D">
              <w:rPr>
                <w:rFonts w:ascii="Calibri" w:hAnsi="Calibri" w:cs="Calibri"/>
                <w:b/>
                <w:sz w:val="15"/>
                <w:szCs w:val="15"/>
                <w:lang w:val="hr-HR"/>
              </w:rPr>
              <w:t>-</w:t>
            </w:r>
          </w:p>
        </w:tc>
        <w:tc>
          <w:tcPr>
            <w:tcW w:w="539" w:type="pct"/>
            <w:tcBorders>
              <w:top w:val="single" w:sz="12" w:space="0" w:color="auto"/>
              <w:bottom w:val="double" w:sz="4" w:space="0" w:color="auto"/>
            </w:tcBorders>
            <w:shd w:val="clear" w:color="auto" w:fill="FFFFFF"/>
            <w:vAlign w:val="bottom"/>
          </w:tcPr>
          <w:p w:rsidR="00D77C69" w:rsidRPr="00CD3A2D" w:rsidRDefault="00D77C69" w:rsidP="000A5924">
            <w:pPr>
              <w:rPr>
                <w:rFonts w:ascii="Calibri" w:hAnsi="Calibri" w:cs="Calibri"/>
                <w:b/>
                <w:sz w:val="15"/>
                <w:szCs w:val="15"/>
                <w:lang w:val="hr-HR"/>
              </w:rPr>
            </w:pPr>
          </w:p>
        </w:tc>
      </w:tr>
    </w:tbl>
    <w:p w:rsidR="000B4399" w:rsidRPr="00CD3A2D" w:rsidRDefault="000B4399" w:rsidP="009E53DC">
      <w:pPr>
        <w:tabs>
          <w:tab w:val="left" w:pos="426"/>
        </w:tabs>
        <w:contextualSpacing/>
        <w:jc w:val="both"/>
        <w:rPr>
          <w:rFonts w:ascii="Calibri" w:eastAsia="PMingLiU" w:hAnsi="Calibri" w:cs="Arial"/>
          <w:color w:val="000000"/>
          <w:sz w:val="22"/>
          <w:szCs w:val="22"/>
          <w:lang w:val="hr-HR" w:eastAsia="hr-HR" w:bidi="hr-HR"/>
        </w:rPr>
        <w:sectPr w:rsidR="000B4399" w:rsidRPr="00CD3A2D" w:rsidSect="00817AB7">
          <w:pgSz w:w="11907" w:h="16840" w:code="9"/>
          <w:pgMar w:top="1418" w:right="1134" w:bottom="1134" w:left="1418" w:header="851" w:footer="851" w:gutter="0"/>
          <w:pgNumType w:start="111"/>
          <w:cols w:space="720"/>
          <w:noEndnote/>
        </w:sectPr>
      </w:pPr>
    </w:p>
    <w:p w:rsidR="000A5924" w:rsidRPr="00CD3A2D" w:rsidRDefault="000A5924" w:rsidP="003C6BA3">
      <w:pPr>
        <w:suppressAutoHyphens/>
        <w:autoSpaceDN w:val="0"/>
        <w:spacing w:before="120"/>
        <w:jc w:val="both"/>
        <w:textAlignment w:val="baseline"/>
        <w:rPr>
          <w:rFonts w:asciiTheme="minorHAnsi" w:hAnsiTheme="minorHAnsi" w:cstheme="minorHAnsi"/>
          <w:b/>
          <w:sz w:val="22"/>
          <w:szCs w:val="22"/>
          <w:lang w:val="hr-HR"/>
        </w:rPr>
      </w:pPr>
      <w:r w:rsidRPr="00CD3A2D">
        <w:rPr>
          <w:rFonts w:asciiTheme="minorHAnsi" w:hAnsiTheme="minorHAnsi" w:cstheme="minorHAnsi"/>
          <w:b/>
          <w:sz w:val="22"/>
          <w:szCs w:val="22"/>
          <w:lang w:val="hr-HR"/>
        </w:rPr>
        <w:t>5. Prijelaz na MSFI 9 (nastavak)</w:t>
      </w:r>
    </w:p>
    <w:p w:rsidR="00C303A6" w:rsidRPr="00CD3A2D" w:rsidRDefault="00C303A6" w:rsidP="00C303A6">
      <w:pPr>
        <w:suppressAutoHyphens/>
        <w:autoSpaceDN w:val="0"/>
        <w:ind w:right="-284"/>
        <w:jc w:val="both"/>
        <w:textAlignment w:val="baseline"/>
        <w:rPr>
          <w:rFonts w:asciiTheme="minorHAnsi" w:hAnsiTheme="minorHAnsi" w:cstheme="minorHAnsi"/>
          <w:color w:val="222222"/>
          <w:sz w:val="18"/>
          <w:szCs w:val="18"/>
          <w:lang w:val="hr-HR" w:eastAsia="hr-HR"/>
        </w:rPr>
      </w:pPr>
      <w:r w:rsidRPr="00CD3A2D">
        <w:rPr>
          <w:rFonts w:asciiTheme="minorHAnsi" w:hAnsiTheme="minorHAnsi" w:cstheme="minorHAnsi"/>
          <w:color w:val="222222"/>
          <w:sz w:val="18"/>
          <w:szCs w:val="18"/>
          <w:lang w:val="hr-HR" w:eastAsia="hr-HR"/>
        </w:rPr>
        <w:t xml:space="preserve">Učinci primjene MSFI-ja 9 priznati na teret zadržane dobiti I rezervi na dan 1. </w:t>
      </w:r>
      <w:r w:rsidR="00EC429E" w:rsidRPr="00CD3A2D">
        <w:rPr>
          <w:rFonts w:asciiTheme="minorHAnsi" w:hAnsiTheme="minorHAnsi" w:cstheme="minorHAnsi"/>
          <w:color w:val="222222"/>
          <w:sz w:val="18"/>
          <w:szCs w:val="18"/>
          <w:lang w:val="hr-HR" w:eastAsia="hr-HR"/>
        </w:rPr>
        <w:t>s</w:t>
      </w:r>
      <w:r w:rsidRPr="00CD3A2D">
        <w:rPr>
          <w:rFonts w:asciiTheme="minorHAnsi" w:hAnsiTheme="minorHAnsi" w:cstheme="minorHAnsi"/>
          <w:color w:val="222222"/>
          <w:sz w:val="18"/>
          <w:szCs w:val="18"/>
          <w:lang w:val="hr-HR" w:eastAsia="hr-HR"/>
        </w:rPr>
        <w:t xml:space="preserve">iječnja 2018. </w:t>
      </w:r>
      <w:r w:rsidR="00EC429E" w:rsidRPr="00CD3A2D">
        <w:rPr>
          <w:rFonts w:asciiTheme="minorHAnsi" w:hAnsiTheme="minorHAnsi" w:cstheme="minorHAnsi"/>
          <w:color w:val="222222"/>
          <w:sz w:val="18"/>
          <w:szCs w:val="18"/>
          <w:lang w:val="hr-HR" w:eastAsia="hr-HR"/>
        </w:rPr>
        <w:t>g</w:t>
      </w:r>
      <w:r w:rsidRPr="00CD3A2D">
        <w:rPr>
          <w:rFonts w:asciiTheme="minorHAnsi" w:hAnsiTheme="minorHAnsi" w:cstheme="minorHAnsi"/>
          <w:color w:val="222222"/>
          <w:sz w:val="18"/>
          <w:szCs w:val="18"/>
          <w:lang w:val="hr-HR" w:eastAsia="hr-HR"/>
        </w:rPr>
        <w:t xml:space="preserve">odine za </w:t>
      </w:r>
      <w:r w:rsidR="00EC429E" w:rsidRPr="00CD3A2D">
        <w:rPr>
          <w:rFonts w:asciiTheme="minorHAnsi" w:hAnsiTheme="minorHAnsi" w:cstheme="minorHAnsi"/>
          <w:color w:val="222222"/>
          <w:sz w:val="18"/>
          <w:szCs w:val="18"/>
          <w:lang w:val="hr-HR" w:eastAsia="hr-HR"/>
        </w:rPr>
        <w:t>Banku</w:t>
      </w:r>
      <w:r w:rsidRPr="00CD3A2D">
        <w:rPr>
          <w:rFonts w:asciiTheme="minorHAnsi" w:hAnsiTheme="minorHAnsi" w:cstheme="minorHAnsi"/>
          <w:color w:val="222222"/>
          <w:sz w:val="18"/>
          <w:szCs w:val="18"/>
          <w:lang w:val="hr-HR" w:eastAsia="hr-HR"/>
        </w:rPr>
        <w:t xml:space="preserve"> iznose 469.</w:t>
      </w:r>
      <w:r w:rsidR="00EC429E" w:rsidRPr="00CD3A2D">
        <w:rPr>
          <w:rFonts w:asciiTheme="minorHAnsi" w:hAnsiTheme="minorHAnsi" w:cstheme="minorHAnsi"/>
          <w:color w:val="222222"/>
          <w:sz w:val="18"/>
          <w:szCs w:val="18"/>
          <w:lang w:val="hr-HR" w:eastAsia="hr-HR"/>
        </w:rPr>
        <w:t>658</w:t>
      </w:r>
      <w:r w:rsidRPr="00CD3A2D">
        <w:rPr>
          <w:rFonts w:asciiTheme="minorHAnsi" w:hAnsiTheme="minorHAnsi" w:cstheme="minorHAnsi"/>
          <w:color w:val="222222"/>
          <w:sz w:val="18"/>
          <w:szCs w:val="18"/>
          <w:lang w:val="hr-HR" w:eastAsia="hr-HR"/>
        </w:rPr>
        <w:t xml:space="preserve"> tisuća kuna.</w:t>
      </w:r>
    </w:p>
    <w:tbl>
      <w:tblPr>
        <w:tblpPr w:leftFromText="180" w:rightFromText="180" w:vertAnchor="page" w:horzAnchor="margin" w:tblpXSpec="center" w:tblpY="3198"/>
        <w:tblW w:w="10787" w:type="dxa"/>
        <w:tblLayout w:type="fixed"/>
        <w:tblCellMar>
          <w:left w:w="10" w:type="dxa"/>
          <w:right w:w="10" w:type="dxa"/>
        </w:tblCellMar>
        <w:tblLook w:val="04A0" w:firstRow="1" w:lastRow="0" w:firstColumn="1" w:lastColumn="0" w:noHBand="0" w:noVBand="1"/>
      </w:tblPr>
      <w:tblGrid>
        <w:gridCol w:w="15"/>
        <w:gridCol w:w="2050"/>
        <w:gridCol w:w="15"/>
        <w:gridCol w:w="975"/>
        <w:gridCol w:w="15"/>
        <w:gridCol w:w="746"/>
        <w:gridCol w:w="15"/>
        <w:gridCol w:w="978"/>
        <w:gridCol w:w="15"/>
        <w:gridCol w:w="977"/>
        <w:gridCol w:w="15"/>
        <w:gridCol w:w="1119"/>
        <w:gridCol w:w="15"/>
        <w:gridCol w:w="977"/>
        <w:gridCol w:w="15"/>
        <w:gridCol w:w="977"/>
        <w:gridCol w:w="15"/>
        <w:gridCol w:w="846"/>
        <w:gridCol w:w="15"/>
        <w:gridCol w:w="977"/>
        <w:gridCol w:w="15"/>
      </w:tblGrid>
      <w:tr w:rsidR="006D419E" w:rsidRPr="001567C8" w:rsidTr="006D419E">
        <w:trPr>
          <w:gridBefore w:val="1"/>
          <w:wBefore w:w="15" w:type="dxa"/>
          <w:trHeight w:hRule="exact" w:val="284"/>
        </w:trPr>
        <w:tc>
          <w:tcPr>
            <w:tcW w:w="2065"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jc w:val="both"/>
              <w:rPr>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Banka</w:t>
            </w:r>
          </w:p>
        </w:tc>
        <w:tc>
          <w:tcPr>
            <w:tcW w:w="1751"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200" w:firstLine="0"/>
              <w:jc w:val="center"/>
              <w:rPr>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MRS  39</w:t>
            </w:r>
          </w:p>
        </w:tc>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1567C8" w:rsidRDefault="006D419E" w:rsidP="006D419E">
            <w:pPr>
              <w:pStyle w:val="Style26"/>
              <w:shd w:val="clear" w:color="auto" w:fill="auto"/>
              <w:spacing w:before="0" w:line="178" w:lineRule="exact"/>
              <w:ind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Reklasifikacija</w:t>
            </w:r>
          </w:p>
          <w:p w:rsidR="006D419E" w:rsidRPr="00CD3A2D" w:rsidRDefault="006D419E" w:rsidP="006D419E">
            <w:pPr>
              <w:pStyle w:val="Style26"/>
              <w:shd w:val="clear" w:color="auto" w:fill="auto"/>
              <w:spacing w:before="0" w:line="178" w:lineRule="exact"/>
              <w:ind w:firstLine="0"/>
              <w:jc w:val="right"/>
              <w:rPr>
                <w:rFonts w:asciiTheme="minorHAnsi" w:hAnsiTheme="minorHAnsi" w:cstheme="minorHAnsi"/>
                <w:b/>
                <w:sz w:val="15"/>
                <w:szCs w:val="15"/>
                <w:lang w:val="hr-HR"/>
              </w:rPr>
            </w:pPr>
            <w:r w:rsidRPr="00CD3A2D">
              <w:rPr>
                <w:rFonts w:asciiTheme="minorHAnsi" w:eastAsia="Times New Roman" w:hAnsiTheme="minorHAnsi" w:cstheme="minorHAnsi"/>
                <w:b/>
                <w:sz w:val="15"/>
                <w:szCs w:val="15"/>
                <w:lang w:val="hr-HR"/>
              </w:rPr>
              <w:t>000 kuna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FFFF"/>
          </w:tcPr>
          <w:p w:rsidR="006D419E" w:rsidRPr="001567C8" w:rsidRDefault="006D419E" w:rsidP="006D419E">
            <w:pPr>
              <w:pStyle w:val="Style26"/>
              <w:shd w:val="clear" w:color="auto" w:fill="auto"/>
              <w:spacing w:before="0" w:line="178" w:lineRule="exact"/>
              <w:ind w:firstLine="0"/>
              <w:jc w:val="center"/>
              <w:rPr>
                <w:rStyle w:val="CharStyle65"/>
                <w:rFonts w:asciiTheme="minorHAnsi" w:hAnsiTheme="minorHAnsi" w:cstheme="minorHAnsi"/>
                <w:b/>
                <w:sz w:val="15"/>
                <w:szCs w:val="15"/>
                <w:lang w:val="hr-HR"/>
              </w:rPr>
            </w:pPr>
          </w:p>
        </w:tc>
        <w:tc>
          <w:tcPr>
            <w:tcW w:w="3118" w:type="dxa"/>
            <w:gridSpan w:val="6"/>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1567C8" w:rsidRDefault="006D419E" w:rsidP="006D419E">
            <w:pPr>
              <w:pStyle w:val="Style26"/>
              <w:shd w:val="clear" w:color="auto" w:fill="auto"/>
              <w:spacing w:before="0" w:line="178" w:lineRule="exact"/>
              <w:ind w:firstLine="0"/>
              <w:jc w:val="center"/>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Ponovno mjerenje</w:t>
            </w:r>
          </w:p>
        </w:tc>
        <w:tc>
          <w:tcPr>
            <w:tcW w:w="1853" w:type="dxa"/>
            <w:gridSpan w:val="4"/>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jc w:val="center"/>
              <w:rPr>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MSFI 9</w:t>
            </w:r>
          </w:p>
        </w:tc>
      </w:tr>
      <w:tr w:rsidR="006D419E" w:rsidRPr="001567C8" w:rsidTr="006D419E">
        <w:trPr>
          <w:gridBefore w:val="1"/>
          <w:wBefore w:w="15" w:type="dxa"/>
          <w:trHeight w:hRule="exact" w:val="1138"/>
        </w:trPr>
        <w:tc>
          <w:tcPr>
            <w:tcW w:w="2065"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jc w:val="both"/>
              <w:rPr>
                <w:rFonts w:asciiTheme="minorHAnsi" w:hAnsiTheme="minorHAnsi" w:cstheme="minorHAnsi"/>
                <w:sz w:val="15"/>
                <w:szCs w:val="15"/>
                <w:lang w:val="hr-HR"/>
              </w:rPr>
            </w:pP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60" w:firstLine="0"/>
              <w:jc w:val="center"/>
              <w:rPr>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Klasifikacija financijske imovine</w:t>
            </w:r>
          </w:p>
        </w:tc>
        <w:tc>
          <w:tcPr>
            <w:tcW w:w="76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left="200" w:right="57"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Iznos</w:t>
            </w:r>
          </w:p>
          <w:p w:rsidR="006D419E" w:rsidRPr="00CD3A2D" w:rsidRDefault="006D419E" w:rsidP="006D419E">
            <w:pPr>
              <w:pStyle w:val="Style26"/>
              <w:shd w:val="clear" w:color="auto" w:fill="auto"/>
              <w:spacing w:before="0" w:line="178" w:lineRule="exact"/>
              <w:ind w:right="57" w:firstLine="0"/>
              <w:jc w:val="right"/>
              <w:rPr>
                <w:rFonts w:asciiTheme="minorHAnsi" w:hAnsiTheme="minorHAnsi" w:cstheme="minorHAnsi"/>
                <w:b/>
                <w:sz w:val="15"/>
                <w:szCs w:val="15"/>
                <w:lang w:val="hr-HR"/>
              </w:rPr>
            </w:pPr>
            <w:r w:rsidRPr="00CD3A2D">
              <w:rPr>
                <w:rFonts w:asciiTheme="minorHAnsi" w:eastAsia="Times New Roman" w:hAnsiTheme="minorHAnsi" w:cstheme="minorHAnsi"/>
                <w:b/>
                <w:sz w:val="15"/>
                <w:szCs w:val="15"/>
                <w:lang w:val="hr-HR"/>
              </w:rPr>
              <w:t>000 kuna</w:t>
            </w:r>
          </w:p>
        </w:tc>
        <w:tc>
          <w:tcPr>
            <w:tcW w:w="993" w:type="dxa"/>
            <w:gridSpan w:val="2"/>
            <w:vMerge/>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right="57" w:firstLine="0"/>
              <w:jc w:val="right"/>
              <w:rPr>
                <w:rFonts w:asciiTheme="minorHAnsi" w:hAnsiTheme="minorHAnsi" w:cstheme="minorHAnsi"/>
                <w:b/>
                <w:sz w:val="15"/>
                <w:szCs w:val="15"/>
                <w:lang w:val="hr-HR"/>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1567C8" w:rsidRDefault="006D419E" w:rsidP="006D419E">
            <w:pPr>
              <w:pStyle w:val="Style26"/>
              <w:shd w:val="clear" w:color="auto" w:fill="auto"/>
              <w:spacing w:before="0" w:line="178" w:lineRule="exact"/>
              <w:ind w:right="57"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Očekivani kreditni gubitak</w:t>
            </w:r>
          </w:p>
          <w:p w:rsidR="006D419E" w:rsidRPr="00CD3A2D" w:rsidRDefault="006D419E" w:rsidP="006D419E">
            <w:pPr>
              <w:pStyle w:val="Style26"/>
              <w:shd w:val="clear" w:color="auto" w:fill="auto"/>
              <w:spacing w:before="0" w:line="178" w:lineRule="exact"/>
              <w:ind w:right="57" w:firstLine="0"/>
              <w:jc w:val="right"/>
              <w:rPr>
                <w:rFonts w:asciiTheme="minorHAnsi" w:hAnsiTheme="minorHAnsi" w:cstheme="minorHAnsi"/>
                <w:b/>
                <w:color w:val="000000"/>
                <w:sz w:val="15"/>
                <w:szCs w:val="15"/>
                <w:shd w:val="clear" w:color="auto" w:fill="FFFFFF"/>
                <w:lang w:val="hr-HR" w:bidi="en-US"/>
              </w:rPr>
            </w:pPr>
            <w:r w:rsidRPr="00CD3A2D">
              <w:rPr>
                <w:rFonts w:asciiTheme="minorHAnsi" w:eastAsia="Times New Roman" w:hAnsiTheme="minorHAnsi" w:cstheme="minorHAnsi"/>
                <w:b/>
                <w:sz w:val="15"/>
                <w:szCs w:val="15"/>
                <w:lang w:val="hr-HR"/>
              </w:rPr>
              <w:t>000 kuna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right="57"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Rezervacije priznate u ostaloj sveobuhvatnoj dobiti</w:t>
            </w:r>
          </w:p>
          <w:p w:rsidR="006D419E" w:rsidRPr="00CD3A2D" w:rsidRDefault="006D419E" w:rsidP="006D419E">
            <w:pPr>
              <w:pStyle w:val="Style26"/>
              <w:shd w:val="clear" w:color="auto" w:fill="auto"/>
              <w:spacing w:before="0" w:line="178" w:lineRule="exact"/>
              <w:ind w:right="57" w:firstLine="0"/>
              <w:jc w:val="right"/>
              <w:rPr>
                <w:rFonts w:asciiTheme="minorHAnsi" w:hAnsiTheme="minorHAnsi" w:cstheme="minorHAnsi"/>
                <w:b/>
                <w:sz w:val="15"/>
                <w:szCs w:val="15"/>
                <w:lang w:val="hr-HR"/>
              </w:rPr>
            </w:pPr>
            <w:r w:rsidRPr="00CD3A2D">
              <w:rPr>
                <w:rFonts w:asciiTheme="minorHAnsi" w:eastAsia="Times New Roman" w:hAnsiTheme="minorHAnsi" w:cstheme="minorHAnsi"/>
                <w:b/>
                <w:sz w:val="15"/>
                <w:szCs w:val="15"/>
                <w:lang w:val="hr-HR"/>
              </w:rPr>
              <w:t>000 kuna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1567C8" w:rsidRDefault="006D419E" w:rsidP="006D419E">
            <w:pPr>
              <w:pStyle w:val="Style26"/>
              <w:shd w:val="clear" w:color="auto" w:fill="auto"/>
              <w:spacing w:before="0" w:line="240" w:lineRule="auto"/>
              <w:ind w:right="57"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Ostalo</w:t>
            </w:r>
            <w:r w:rsidRPr="00CD3A2D">
              <w:rPr>
                <w:rStyle w:val="FootnoteReference"/>
                <w:rFonts w:asciiTheme="minorHAnsi" w:hAnsiTheme="minorHAnsi" w:cstheme="minorHAnsi"/>
                <w:b/>
                <w:color w:val="000000"/>
                <w:sz w:val="15"/>
                <w:szCs w:val="15"/>
                <w:shd w:val="clear" w:color="auto" w:fill="FFFFFF"/>
                <w:lang w:val="hr-HR" w:bidi="en-US"/>
              </w:rPr>
              <w:footnoteReference w:id="11"/>
            </w:r>
            <w:r w:rsidRPr="001567C8">
              <w:rPr>
                <w:rStyle w:val="CharStyle65"/>
                <w:rFonts w:asciiTheme="minorHAnsi" w:hAnsiTheme="minorHAnsi" w:cstheme="minorHAnsi"/>
                <w:b/>
                <w:sz w:val="15"/>
                <w:szCs w:val="15"/>
                <w:lang w:val="hr-HR"/>
              </w:rPr>
              <w:t xml:space="preserve"> </w:t>
            </w:r>
          </w:p>
          <w:p w:rsidR="006D419E" w:rsidRPr="001567C8" w:rsidRDefault="006D419E" w:rsidP="006D419E">
            <w:pPr>
              <w:pStyle w:val="Style26"/>
              <w:shd w:val="clear" w:color="auto" w:fill="auto"/>
              <w:spacing w:before="0" w:line="178" w:lineRule="exact"/>
              <w:ind w:right="57"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000 kuna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D419E" w:rsidRPr="001567C8" w:rsidRDefault="006D419E" w:rsidP="006D419E">
            <w:pPr>
              <w:pStyle w:val="Style26"/>
              <w:shd w:val="clear" w:color="auto" w:fill="auto"/>
              <w:spacing w:before="0" w:line="178" w:lineRule="exact"/>
              <w:ind w:right="57"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Učinak svođenja na fer vrijednost</w:t>
            </w:r>
          </w:p>
          <w:p w:rsidR="006D419E" w:rsidRPr="00CD3A2D" w:rsidRDefault="006D419E" w:rsidP="006D419E">
            <w:pPr>
              <w:pStyle w:val="Style26"/>
              <w:shd w:val="clear" w:color="auto" w:fill="auto"/>
              <w:spacing w:before="0" w:line="178" w:lineRule="exact"/>
              <w:ind w:right="57" w:firstLine="0"/>
              <w:jc w:val="right"/>
              <w:rPr>
                <w:rFonts w:asciiTheme="minorHAnsi" w:hAnsiTheme="minorHAnsi" w:cstheme="minorHAnsi"/>
                <w:b/>
                <w:sz w:val="15"/>
                <w:szCs w:val="15"/>
                <w:lang w:val="hr-HR"/>
              </w:rPr>
            </w:pPr>
            <w:r w:rsidRPr="00CD3A2D">
              <w:rPr>
                <w:rFonts w:asciiTheme="minorHAnsi" w:eastAsia="Times New Roman" w:hAnsiTheme="minorHAnsi" w:cstheme="minorHAnsi"/>
                <w:b/>
                <w:sz w:val="15"/>
                <w:szCs w:val="15"/>
                <w:lang w:val="hr-HR"/>
              </w:rPr>
              <w:t>000 kuna</w:t>
            </w:r>
          </w:p>
        </w:tc>
        <w:tc>
          <w:tcPr>
            <w:tcW w:w="86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left="200" w:right="57"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Iznos</w:t>
            </w:r>
          </w:p>
          <w:p w:rsidR="006D419E" w:rsidRPr="00CD3A2D" w:rsidRDefault="006D419E" w:rsidP="006D419E">
            <w:pPr>
              <w:pStyle w:val="Style26"/>
              <w:shd w:val="clear" w:color="auto" w:fill="auto"/>
              <w:spacing w:before="0" w:line="178" w:lineRule="exact"/>
              <w:ind w:left="200" w:right="57" w:firstLine="0"/>
              <w:jc w:val="right"/>
              <w:rPr>
                <w:rFonts w:asciiTheme="minorHAnsi" w:hAnsiTheme="minorHAnsi" w:cstheme="minorHAnsi"/>
                <w:b/>
                <w:sz w:val="15"/>
                <w:szCs w:val="15"/>
                <w:lang w:val="hr-HR"/>
              </w:rPr>
            </w:pPr>
            <w:r w:rsidRPr="00CD3A2D">
              <w:rPr>
                <w:rFonts w:asciiTheme="minorHAnsi" w:eastAsia="Times New Roman" w:hAnsiTheme="minorHAnsi" w:cstheme="minorHAnsi"/>
                <w:b/>
                <w:sz w:val="15"/>
                <w:szCs w:val="15"/>
                <w:lang w:val="hr-HR"/>
              </w:rPr>
              <w:t>000 kuna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60" w:firstLine="0"/>
              <w:jc w:val="center"/>
              <w:rPr>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Klasifikacija financijske imovine</w:t>
            </w:r>
          </w:p>
        </w:tc>
      </w:tr>
      <w:tr w:rsidR="006D419E" w:rsidRPr="001567C8" w:rsidTr="006D419E">
        <w:trPr>
          <w:gridBefore w:val="1"/>
          <w:wBefore w:w="15" w:type="dxa"/>
          <w:trHeight w:hRule="exact" w:val="284"/>
        </w:trPr>
        <w:tc>
          <w:tcPr>
            <w:tcW w:w="2065" w:type="dxa"/>
            <w:gridSpan w:val="2"/>
            <w:tcBorders>
              <w:top w:val="single" w:sz="4" w:space="0" w:color="auto"/>
            </w:tcBorders>
            <w:shd w:val="clear" w:color="auto" w:fill="FFFFFF"/>
            <w:vAlign w:val="bottom"/>
          </w:tcPr>
          <w:p w:rsidR="006D419E" w:rsidRPr="001567C8" w:rsidRDefault="006D419E" w:rsidP="006D419E">
            <w:pPr>
              <w:pStyle w:val="Style26"/>
              <w:shd w:val="clear" w:color="auto" w:fill="auto"/>
              <w:spacing w:before="0" w:line="178" w:lineRule="exact"/>
              <w:ind w:firstLine="0"/>
              <w:jc w:val="both"/>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Financijska imovina</w:t>
            </w:r>
          </w:p>
        </w:tc>
        <w:tc>
          <w:tcPr>
            <w:tcW w:w="990"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left="160" w:firstLine="0"/>
              <w:jc w:val="center"/>
              <w:rPr>
                <w:rStyle w:val="CharStyle65"/>
                <w:rFonts w:asciiTheme="minorHAnsi" w:hAnsiTheme="minorHAnsi" w:cstheme="minorHAnsi"/>
                <w:sz w:val="15"/>
                <w:szCs w:val="15"/>
                <w:lang w:val="hr-HR"/>
              </w:rPr>
            </w:pPr>
          </w:p>
        </w:tc>
        <w:tc>
          <w:tcPr>
            <w:tcW w:w="761"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left="200" w:firstLine="0"/>
              <w:jc w:val="right"/>
              <w:rPr>
                <w:rStyle w:val="CharStyle65"/>
                <w:rFonts w:asciiTheme="minorHAnsi" w:hAnsiTheme="minorHAnsi" w:cstheme="minorHAnsi"/>
                <w:sz w:val="15"/>
                <w:szCs w:val="15"/>
                <w:lang w:val="hr-HR"/>
              </w:rPr>
            </w:pPr>
          </w:p>
        </w:tc>
        <w:tc>
          <w:tcPr>
            <w:tcW w:w="993" w:type="dxa"/>
            <w:gridSpan w:val="2"/>
            <w:tcBorders>
              <w:top w:val="sing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right="220" w:firstLine="0"/>
              <w:jc w:val="right"/>
              <w:rPr>
                <w:rFonts w:asciiTheme="minorHAnsi" w:hAnsiTheme="minorHAnsi" w:cstheme="minorHAnsi"/>
                <w:b/>
                <w:sz w:val="15"/>
                <w:szCs w:val="15"/>
                <w:lang w:val="hr-HR"/>
              </w:rPr>
            </w:pPr>
          </w:p>
        </w:tc>
        <w:tc>
          <w:tcPr>
            <w:tcW w:w="992"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right="280" w:firstLine="0"/>
              <w:jc w:val="right"/>
              <w:rPr>
                <w:rStyle w:val="CharStyle65"/>
                <w:rFonts w:asciiTheme="minorHAnsi" w:hAnsiTheme="minorHAnsi" w:cstheme="minorHAnsi"/>
                <w:sz w:val="15"/>
                <w:szCs w:val="15"/>
                <w:lang w:val="hr-HR"/>
              </w:rPr>
            </w:pPr>
          </w:p>
        </w:tc>
        <w:tc>
          <w:tcPr>
            <w:tcW w:w="1134"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firstLine="0"/>
              <w:jc w:val="right"/>
              <w:rPr>
                <w:rStyle w:val="CharStyle65"/>
                <w:rFonts w:asciiTheme="minorHAnsi" w:hAnsiTheme="minorHAnsi" w:cstheme="minorHAnsi"/>
                <w:sz w:val="15"/>
                <w:szCs w:val="15"/>
                <w:lang w:val="hr-HR"/>
              </w:rPr>
            </w:pPr>
          </w:p>
        </w:tc>
        <w:tc>
          <w:tcPr>
            <w:tcW w:w="992"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firstLine="0"/>
              <w:jc w:val="right"/>
              <w:rPr>
                <w:rStyle w:val="CharStyle65"/>
                <w:rFonts w:asciiTheme="minorHAnsi" w:hAnsiTheme="minorHAnsi" w:cstheme="minorHAnsi"/>
                <w:sz w:val="15"/>
                <w:szCs w:val="15"/>
                <w:lang w:val="hr-HR"/>
              </w:rPr>
            </w:pPr>
          </w:p>
        </w:tc>
        <w:tc>
          <w:tcPr>
            <w:tcW w:w="992"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firstLine="0"/>
              <w:jc w:val="right"/>
              <w:rPr>
                <w:rStyle w:val="CharStyle65"/>
                <w:rFonts w:asciiTheme="minorHAnsi" w:hAnsiTheme="minorHAnsi" w:cstheme="minorHAnsi"/>
                <w:sz w:val="15"/>
                <w:szCs w:val="15"/>
                <w:lang w:val="hr-HR"/>
              </w:rPr>
            </w:pPr>
          </w:p>
        </w:tc>
        <w:tc>
          <w:tcPr>
            <w:tcW w:w="861"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firstLine="0"/>
              <w:jc w:val="right"/>
              <w:rPr>
                <w:rStyle w:val="CharStyle65"/>
                <w:rFonts w:asciiTheme="minorHAnsi" w:hAnsiTheme="minorHAnsi" w:cstheme="minorHAnsi"/>
                <w:sz w:val="15"/>
                <w:szCs w:val="15"/>
                <w:lang w:val="hr-HR"/>
              </w:rPr>
            </w:pPr>
          </w:p>
        </w:tc>
        <w:tc>
          <w:tcPr>
            <w:tcW w:w="992"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left="160" w:firstLine="0"/>
              <w:jc w:val="center"/>
              <w:rPr>
                <w:rStyle w:val="CharStyle65"/>
                <w:rFonts w:asciiTheme="minorHAnsi" w:hAnsiTheme="minorHAnsi" w:cstheme="minorHAnsi"/>
                <w:sz w:val="15"/>
                <w:szCs w:val="15"/>
                <w:lang w:val="hr-HR"/>
              </w:rPr>
            </w:pPr>
          </w:p>
        </w:tc>
      </w:tr>
      <w:tr w:rsidR="006D419E" w:rsidRPr="001567C8" w:rsidTr="006D419E">
        <w:trPr>
          <w:gridBefore w:val="1"/>
          <w:wBefore w:w="15" w:type="dxa"/>
          <w:trHeight w:hRule="exact" w:val="227"/>
        </w:trPr>
        <w:tc>
          <w:tcPr>
            <w:tcW w:w="2065" w:type="dxa"/>
            <w:gridSpan w:val="2"/>
            <w:vAlign w:val="bottom"/>
          </w:tcPr>
          <w:p w:rsidR="006D419E" w:rsidRPr="00CD3A2D" w:rsidRDefault="006D419E" w:rsidP="006D419E">
            <w:pPr>
              <w:tabs>
                <w:tab w:val="right" w:pos="1202"/>
              </w:tabs>
              <w:outlineLvl w:val="0"/>
              <w:rPr>
                <w:rFonts w:asciiTheme="minorHAnsi" w:hAnsiTheme="minorHAnsi" w:cstheme="minorHAnsi"/>
                <w:sz w:val="15"/>
                <w:szCs w:val="15"/>
                <w:lang w:val="hr-HR"/>
              </w:rPr>
            </w:pPr>
            <w:r w:rsidRPr="00CD3A2D">
              <w:rPr>
                <w:rFonts w:asciiTheme="minorHAnsi" w:hAnsiTheme="minorHAnsi" w:cstheme="minorHAnsi"/>
                <w:sz w:val="15"/>
                <w:szCs w:val="15"/>
                <w:lang w:val="hr-HR"/>
              </w:rPr>
              <w:t>Novčana sredstva i računi kod banaka</w:t>
            </w:r>
          </w:p>
        </w:tc>
        <w:tc>
          <w:tcPr>
            <w:tcW w:w="990" w:type="dxa"/>
            <w:gridSpan w:val="2"/>
            <w:shd w:val="clear" w:color="auto" w:fill="auto"/>
            <w:vAlign w:val="bottom"/>
          </w:tcPr>
          <w:p w:rsidR="006D419E" w:rsidRPr="00CD3A2D" w:rsidRDefault="006D419E" w:rsidP="006D419E">
            <w:pPr>
              <w:pStyle w:val="Style26"/>
              <w:shd w:val="clear" w:color="auto" w:fill="auto"/>
              <w:spacing w:before="0" w:line="178" w:lineRule="exact"/>
              <w:ind w:left="16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Z i P</w:t>
            </w:r>
            <w:r w:rsidRPr="001567C8">
              <w:rPr>
                <w:rStyle w:val="CharStyle65"/>
                <w:rFonts w:asciiTheme="minorHAnsi" w:hAnsiTheme="minorHAnsi" w:cstheme="minorHAnsi"/>
                <w:sz w:val="15"/>
                <w:szCs w:val="15"/>
                <w:vertAlign w:val="superscript"/>
                <w:lang w:val="hr-HR"/>
              </w:rPr>
              <w:footnoteReference w:id="12"/>
            </w:r>
          </w:p>
        </w:tc>
        <w:tc>
          <w:tcPr>
            <w:tcW w:w="761" w:type="dxa"/>
            <w:gridSpan w:val="2"/>
            <w:tcBorders>
              <w:top w:val="nil"/>
              <w:left w:val="nil"/>
              <w:bottom w:val="nil"/>
              <w:right w:val="nil"/>
            </w:tcBorders>
            <w:shd w:val="clear" w:color="auto" w:fill="auto"/>
            <w:vAlign w:val="bottom"/>
          </w:tcPr>
          <w:p w:rsidR="006D419E" w:rsidRPr="001567C8" w:rsidRDefault="006D419E" w:rsidP="006D419E">
            <w:pPr>
              <w:pStyle w:val="TT"/>
              <w:spacing w:line="240" w:lineRule="auto"/>
              <w:jc w:val="right"/>
              <w:rPr>
                <w:rFonts w:asciiTheme="minorHAnsi" w:hAnsiTheme="minorHAnsi" w:cstheme="minorHAnsi"/>
                <w:snapToGrid w:val="0"/>
                <w:sz w:val="15"/>
                <w:szCs w:val="15"/>
                <w:lang w:val="hr-HR"/>
              </w:rPr>
            </w:pPr>
            <w:r w:rsidRPr="001567C8">
              <w:rPr>
                <w:rFonts w:asciiTheme="minorHAnsi" w:hAnsiTheme="minorHAnsi" w:cstheme="minorHAnsi"/>
                <w:color w:val="000000"/>
                <w:sz w:val="15"/>
                <w:szCs w:val="15"/>
                <w:lang w:val="hr-HR"/>
              </w:rPr>
              <w:t>1.401.130</w:t>
            </w:r>
          </w:p>
        </w:tc>
        <w:tc>
          <w:tcPr>
            <w:tcW w:w="993" w:type="dxa"/>
            <w:gridSpan w:val="2"/>
            <w:shd w:val="clear" w:color="auto" w:fill="auto"/>
            <w:vAlign w:val="bottom"/>
          </w:tcPr>
          <w:p w:rsidR="006D419E" w:rsidRPr="001567C8" w:rsidRDefault="006D419E" w:rsidP="006D419E">
            <w:pPr>
              <w:pStyle w:val="TT"/>
              <w:spacing w:line="240" w:lineRule="auto"/>
              <w:jc w:val="right"/>
              <w:rPr>
                <w:rFonts w:asciiTheme="minorHAnsi" w:hAnsiTheme="minorHAnsi" w:cstheme="minorHAnsi"/>
                <w:snapToGrid w:val="0"/>
                <w:sz w:val="15"/>
                <w:szCs w:val="15"/>
                <w:lang w:val="hr-HR"/>
              </w:rPr>
            </w:pPr>
            <w:r w:rsidRPr="001567C8">
              <w:rPr>
                <w:rFonts w:asciiTheme="minorHAnsi" w:hAnsiTheme="minorHAnsi" w:cstheme="minorHAnsi"/>
                <w:snapToGrid w:val="0"/>
                <w:sz w:val="15"/>
                <w:szCs w:val="15"/>
                <w:lang w:val="hr-HR"/>
              </w:rPr>
              <w:t>-</w:t>
            </w:r>
          </w:p>
        </w:tc>
        <w:tc>
          <w:tcPr>
            <w:tcW w:w="992"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817</w:t>
            </w:r>
          </w:p>
        </w:tc>
        <w:tc>
          <w:tcPr>
            <w:tcW w:w="1134"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861"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color w:val="000000"/>
                <w:sz w:val="15"/>
                <w:szCs w:val="15"/>
                <w:lang w:val="hr-HR"/>
              </w:rPr>
              <w:t>1.401.947</w:t>
            </w:r>
          </w:p>
        </w:tc>
        <w:tc>
          <w:tcPr>
            <w:tcW w:w="992" w:type="dxa"/>
            <w:gridSpan w:val="2"/>
            <w:shd w:val="clear" w:color="auto" w:fill="FFFFFF"/>
            <w:vAlign w:val="bottom"/>
          </w:tcPr>
          <w:p w:rsidR="006D419E" w:rsidRPr="00CD3A2D" w:rsidRDefault="006D419E" w:rsidP="006D419E">
            <w:pPr>
              <w:pStyle w:val="Style26"/>
              <w:shd w:val="clear" w:color="auto" w:fill="auto"/>
              <w:spacing w:before="0" w:line="240" w:lineRule="auto"/>
              <w:ind w:left="4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AT</w:t>
            </w:r>
            <w:r w:rsidRPr="001567C8">
              <w:rPr>
                <w:rStyle w:val="CharStyle65"/>
                <w:rFonts w:asciiTheme="minorHAnsi" w:hAnsiTheme="minorHAnsi" w:cstheme="minorHAnsi"/>
                <w:sz w:val="15"/>
                <w:szCs w:val="15"/>
                <w:vertAlign w:val="superscript"/>
                <w:lang w:val="hr-HR"/>
              </w:rPr>
              <w:footnoteReference w:id="13"/>
            </w:r>
          </w:p>
        </w:tc>
      </w:tr>
      <w:tr w:rsidR="006D419E" w:rsidRPr="001567C8" w:rsidTr="006D419E">
        <w:trPr>
          <w:gridBefore w:val="1"/>
          <w:wBefore w:w="15" w:type="dxa"/>
          <w:trHeight w:hRule="exact" w:val="227"/>
        </w:trPr>
        <w:tc>
          <w:tcPr>
            <w:tcW w:w="2065" w:type="dxa"/>
            <w:gridSpan w:val="2"/>
            <w:vAlign w:val="bottom"/>
          </w:tcPr>
          <w:p w:rsidR="006D419E" w:rsidRPr="00CD3A2D" w:rsidRDefault="006D419E" w:rsidP="006D419E">
            <w:pPr>
              <w:tabs>
                <w:tab w:val="right" w:pos="1202"/>
              </w:tabs>
              <w:outlineLvl w:val="0"/>
              <w:rPr>
                <w:rFonts w:asciiTheme="minorHAnsi" w:hAnsiTheme="minorHAnsi" w:cstheme="minorHAnsi"/>
                <w:sz w:val="15"/>
                <w:szCs w:val="15"/>
                <w:lang w:val="hr-HR"/>
              </w:rPr>
            </w:pPr>
            <w:r w:rsidRPr="00CD3A2D">
              <w:rPr>
                <w:rFonts w:asciiTheme="minorHAnsi" w:hAnsiTheme="minorHAnsi" w:cstheme="minorHAnsi"/>
                <w:sz w:val="15"/>
                <w:szCs w:val="15"/>
                <w:lang w:val="hr-HR"/>
              </w:rPr>
              <w:t>Depoziti kod drugih banaka</w:t>
            </w:r>
          </w:p>
        </w:tc>
        <w:tc>
          <w:tcPr>
            <w:tcW w:w="990" w:type="dxa"/>
            <w:gridSpan w:val="2"/>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Z i P</w:t>
            </w:r>
          </w:p>
        </w:tc>
        <w:tc>
          <w:tcPr>
            <w:tcW w:w="761" w:type="dxa"/>
            <w:gridSpan w:val="2"/>
            <w:tcBorders>
              <w:top w:val="nil"/>
              <w:left w:val="nil"/>
              <w:bottom w:val="nil"/>
              <w:right w:val="nil"/>
            </w:tcBorders>
            <w:shd w:val="clear" w:color="auto" w:fill="auto"/>
            <w:vAlign w:val="bottom"/>
          </w:tcPr>
          <w:p w:rsidR="006D419E" w:rsidRPr="001567C8" w:rsidRDefault="006D419E" w:rsidP="006D419E">
            <w:pPr>
              <w:pStyle w:val="TT"/>
              <w:spacing w:line="240" w:lineRule="auto"/>
              <w:jc w:val="right"/>
              <w:rPr>
                <w:rFonts w:asciiTheme="minorHAnsi" w:hAnsiTheme="minorHAnsi" w:cstheme="minorHAnsi"/>
                <w:snapToGrid w:val="0"/>
                <w:sz w:val="15"/>
                <w:szCs w:val="15"/>
                <w:lang w:val="hr-HR"/>
              </w:rPr>
            </w:pPr>
            <w:r w:rsidRPr="001567C8">
              <w:rPr>
                <w:rFonts w:asciiTheme="minorHAnsi" w:hAnsiTheme="minorHAnsi" w:cstheme="minorHAnsi"/>
                <w:color w:val="000000"/>
                <w:sz w:val="15"/>
                <w:szCs w:val="15"/>
                <w:lang w:val="hr-HR"/>
              </w:rPr>
              <w:t>29.138</w:t>
            </w:r>
          </w:p>
        </w:tc>
        <w:tc>
          <w:tcPr>
            <w:tcW w:w="993" w:type="dxa"/>
            <w:gridSpan w:val="2"/>
            <w:shd w:val="clear" w:color="auto" w:fill="auto"/>
            <w:vAlign w:val="bottom"/>
          </w:tcPr>
          <w:p w:rsidR="006D419E" w:rsidRPr="001567C8" w:rsidRDefault="006D419E" w:rsidP="006D419E">
            <w:pPr>
              <w:pStyle w:val="TT"/>
              <w:spacing w:line="240" w:lineRule="auto"/>
              <w:jc w:val="right"/>
              <w:rPr>
                <w:rFonts w:asciiTheme="minorHAnsi" w:hAnsiTheme="minorHAnsi" w:cstheme="minorHAnsi"/>
                <w:snapToGrid w:val="0"/>
                <w:sz w:val="15"/>
                <w:szCs w:val="15"/>
                <w:lang w:val="hr-HR"/>
              </w:rPr>
            </w:pPr>
            <w:r w:rsidRPr="001567C8">
              <w:rPr>
                <w:rFonts w:asciiTheme="minorHAnsi" w:hAnsiTheme="minorHAnsi" w:cstheme="minorHAnsi"/>
                <w:snapToGrid w:val="0"/>
                <w:sz w:val="15"/>
                <w:szCs w:val="15"/>
                <w:lang w:val="hr-HR"/>
              </w:rPr>
              <w:t>-</w:t>
            </w:r>
          </w:p>
        </w:tc>
        <w:tc>
          <w:tcPr>
            <w:tcW w:w="992"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202</w:t>
            </w:r>
          </w:p>
        </w:tc>
        <w:tc>
          <w:tcPr>
            <w:tcW w:w="1134"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861"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29.340</w:t>
            </w:r>
          </w:p>
        </w:tc>
        <w:tc>
          <w:tcPr>
            <w:tcW w:w="992" w:type="dxa"/>
            <w:gridSpan w:val="2"/>
            <w:shd w:val="clear" w:color="auto" w:fill="FFFFFF"/>
            <w:vAlign w:val="bottom"/>
          </w:tcPr>
          <w:p w:rsidR="006D419E" w:rsidRPr="00CD3A2D" w:rsidRDefault="006D419E" w:rsidP="006D419E">
            <w:pPr>
              <w:pStyle w:val="Style26"/>
              <w:shd w:val="clear" w:color="auto" w:fill="auto"/>
              <w:spacing w:before="0" w:line="240" w:lineRule="auto"/>
              <w:ind w:left="4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AT</w:t>
            </w:r>
          </w:p>
        </w:tc>
      </w:tr>
      <w:tr w:rsidR="006D419E" w:rsidRPr="001567C8" w:rsidTr="006D419E">
        <w:trPr>
          <w:gridBefore w:val="1"/>
          <w:wBefore w:w="15" w:type="dxa"/>
          <w:trHeight w:hRule="exact" w:val="227"/>
        </w:trPr>
        <w:tc>
          <w:tcPr>
            <w:tcW w:w="2065" w:type="dxa"/>
            <w:gridSpan w:val="2"/>
            <w:vAlign w:val="bottom"/>
          </w:tcPr>
          <w:p w:rsidR="006D419E" w:rsidRPr="00CD3A2D" w:rsidRDefault="006D419E" w:rsidP="006D419E">
            <w:pPr>
              <w:tabs>
                <w:tab w:val="right" w:pos="1202"/>
              </w:tabs>
              <w:outlineLvl w:val="0"/>
              <w:rPr>
                <w:rFonts w:asciiTheme="minorHAnsi" w:hAnsiTheme="minorHAnsi" w:cstheme="minorHAnsi"/>
                <w:sz w:val="15"/>
                <w:szCs w:val="15"/>
                <w:lang w:val="hr-HR"/>
              </w:rPr>
            </w:pPr>
            <w:r w:rsidRPr="00CD3A2D">
              <w:rPr>
                <w:rFonts w:asciiTheme="minorHAnsi" w:hAnsiTheme="minorHAnsi" w:cstheme="minorHAnsi"/>
                <w:sz w:val="15"/>
                <w:szCs w:val="15"/>
                <w:lang w:val="hr-HR"/>
              </w:rPr>
              <w:t>Krediti financijskim institucijama</w:t>
            </w:r>
          </w:p>
        </w:tc>
        <w:tc>
          <w:tcPr>
            <w:tcW w:w="990" w:type="dxa"/>
            <w:gridSpan w:val="2"/>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Z i P</w:t>
            </w:r>
          </w:p>
        </w:tc>
        <w:tc>
          <w:tcPr>
            <w:tcW w:w="761" w:type="dxa"/>
            <w:gridSpan w:val="2"/>
            <w:tcBorders>
              <w:top w:val="nil"/>
              <w:left w:val="nil"/>
              <w:bottom w:val="nil"/>
              <w:right w:val="nil"/>
            </w:tcBorders>
            <w:shd w:val="clear" w:color="auto" w:fill="auto"/>
            <w:vAlign w:val="bottom"/>
          </w:tcPr>
          <w:p w:rsidR="006D419E" w:rsidRPr="001567C8" w:rsidRDefault="006D419E" w:rsidP="006D419E">
            <w:pPr>
              <w:pStyle w:val="TT"/>
              <w:spacing w:line="240" w:lineRule="auto"/>
              <w:jc w:val="right"/>
              <w:rPr>
                <w:rFonts w:asciiTheme="minorHAnsi" w:hAnsiTheme="minorHAnsi" w:cstheme="minorHAnsi"/>
                <w:snapToGrid w:val="0"/>
                <w:sz w:val="15"/>
                <w:szCs w:val="15"/>
                <w:lang w:val="hr-HR"/>
              </w:rPr>
            </w:pPr>
            <w:r w:rsidRPr="001567C8">
              <w:rPr>
                <w:rFonts w:asciiTheme="minorHAnsi" w:hAnsiTheme="minorHAnsi" w:cstheme="minorHAnsi"/>
                <w:color w:val="000000"/>
                <w:sz w:val="15"/>
                <w:szCs w:val="15"/>
                <w:lang w:val="hr-HR"/>
              </w:rPr>
              <w:t>10.836.141</w:t>
            </w:r>
          </w:p>
        </w:tc>
        <w:tc>
          <w:tcPr>
            <w:tcW w:w="993" w:type="dxa"/>
            <w:gridSpan w:val="2"/>
            <w:shd w:val="clear" w:color="auto" w:fill="auto"/>
            <w:vAlign w:val="bottom"/>
          </w:tcPr>
          <w:p w:rsidR="006D419E" w:rsidRPr="001567C8" w:rsidRDefault="006D419E" w:rsidP="006D419E">
            <w:pPr>
              <w:pStyle w:val="TT"/>
              <w:spacing w:line="240" w:lineRule="auto"/>
              <w:jc w:val="right"/>
              <w:rPr>
                <w:rFonts w:asciiTheme="minorHAnsi" w:hAnsiTheme="minorHAnsi" w:cstheme="minorHAnsi"/>
                <w:snapToGrid w:val="0"/>
                <w:sz w:val="15"/>
                <w:szCs w:val="15"/>
                <w:lang w:val="hr-HR"/>
              </w:rPr>
            </w:pPr>
            <w:r w:rsidRPr="001567C8">
              <w:rPr>
                <w:rFonts w:asciiTheme="minorHAnsi" w:hAnsiTheme="minorHAnsi" w:cstheme="minorHAnsi"/>
                <w:snapToGrid w:val="0"/>
                <w:sz w:val="15"/>
                <w:szCs w:val="15"/>
                <w:lang w:val="hr-HR"/>
              </w:rPr>
              <w:t>-</w:t>
            </w:r>
          </w:p>
        </w:tc>
        <w:tc>
          <w:tcPr>
            <w:tcW w:w="992"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106.906</w:t>
            </w:r>
          </w:p>
        </w:tc>
        <w:tc>
          <w:tcPr>
            <w:tcW w:w="1134"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943</w:t>
            </w:r>
          </w:p>
        </w:tc>
        <w:tc>
          <w:tcPr>
            <w:tcW w:w="992"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861"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10.943.990</w:t>
            </w:r>
          </w:p>
        </w:tc>
        <w:tc>
          <w:tcPr>
            <w:tcW w:w="992" w:type="dxa"/>
            <w:gridSpan w:val="2"/>
            <w:shd w:val="clear" w:color="auto" w:fill="FFFFFF"/>
            <w:vAlign w:val="bottom"/>
          </w:tcPr>
          <w:p w:rsidR="006D419E" w:rsidRPr="00CD3A2D" w:rsidRDefault="006D419E" w:rsidP="006D419E">
            <w:pPr>
              <w:pStyle w:val="Style26"/>
              <w:shd w:val="clear" w:color="auto" w:fill="auto"/>
              <w:spacing w:before="0" w:line="240" w:lineRule="auto"/>
              <w:ind w:left="4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AT</w:t>
            </w:r>
          </w:p>
        </w:tc>
      </w:tr>
      <w:tr w:rsidR="006D419E" w:rsidRPr="001567C8" w:rsidTr="006D419E">
        <w:trPr>
          <w:gridBefore w:val="1"/>
          <w:wBefore w:w="15" w:type="dxa"/>
          <w:trHeight w:hRule="exact" w:val="227"/>
        </w:trPr>
        <w:tc>
          <w:tcPr>
            <w:tcW w:w="2065" w:type="dxa"/>
            <w:gridSpan w:val="2"/>
            <w:tcBorders>
              <w:bottom w:val="dotted" w:sz="4" w:space="0" w:color="auto"/>
            </w:tcBorders>
            <w:vAlign w:val="bottom"/>
          </w:tcPr>
          <w:p w:rsidR="006D419E" w:rsidRPr="00CD3A2D" w:rsidRDefault="006D419E" w:rsidP="006D419E">
            <w:pPr>
              <w:tabs>
                <w:tab w:val="right" w:pos="1202"/>
              </w:tabs>
              <w:outlineLvl w:val="0"/>
              <w:rPr>
                <w:rFonts w:asciiTheme="minorHAnsi" w:hAnsiTheme="minorHAnsi" w:cstheme="minorHAnsi"/>
                <w:sz w:val="15"/>
                <w:szCs w:val="15"/>
                <w:lang w:val="hr-HR"/>
              </w:rPr>
            </w:pPr>
            <w:r w:rsidRPr="00CD3A2D">
              <w:rPr>
                <w:rFonts w:asciiTheme="minorHAnsi" w:hAnsiTheme="minorHAnsi" w:cstheme="minorHAnsi"/>
                <w:sz w:val="15"/>
                <w:szCs w:val="15"/>
                <w:lang w:val="hr-HR"/>
              </w:rPr>
              <w:t>Krediti ostalim korisnicima</w:t>
            </w:r>
          </w:p>
        </w:tc>
        <w:tc>
          <w:tcPr>
            <w:tcW w:w="990"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Z i P</w:t>
            </w:r>
          </w:p>
        </w:tc>
        <w:tc>
          <w:tcPr>
            <w:tcW w:w="761" w:type="dxa"/>
            <w:gridSpan w:val="2"/>
            <w:tcBorders>
              <w:top w:val="nil"/>
              <w:left w:val="nil"/>
              <w:bottom w:val="dotted" w:sz="4" w:space="0" w:color="auto"/>
              <w:right w:val="nil"/>
            </w:tcBorders>
            <w:shd w:val="clear" w:color="auto" w:fill="auto"/>
            <w:vAlign w:val="bottom"/>
          </w:tcPr>
          <w:p w:rsidR="006D419E" w:rsidRPr="001567C8" w:rsidRDefault="006D419E" w:rsidP="006D419E">
            <w:pPr>
              <w:pStyle w:val="TT"/>
              <w:spacing w:line="240" w:lineRule="auto"/>
              <w:jc w:val="right"/>
              <w:rPr>
                <w:rFonts w:asciiTheme="minorHAnsi" w:hAnsiTheme="minorHAnsi" w:cstheme="minorHAnsi"/>
                <w:spacing w:val="-2"/>
                <w:sz w:val="15"/>
                <w:szCs w:val="15"/>
                <w:lang w:val="hr-HR"/>
              </w:rPr>
            </w:pPr>
            <w:r w:rsidRPr="001567C8">
              <w:rPr>
                <w:rFonts w:asciiTheme="minorHAnsi" w:hAnsiTheme="minorHAnsi" w:cstheme="minorHAnsi"/>
                <w:color w:val="000000"/>
                <w:sz w:val="15"/>
                <w:szCs w:val="15"/>
                <w:lang w:val="hr-HR"/>
              </w:rPr>
              <w:t>12.383.623</w:t>
            </w:r>
          </w:p>
        </w:tc>
        <w:tc>
          <w:tcPr>
            <w:tcW w:w="993"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(3.840)</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(717.902)</w:t>
            </w:r>
          </w:p>
        </w:tc>
        <w:tc>
          <w:tcPr>
            <w:tcW w:w="1134"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135.001</w:t>
            </w:r>
          </w:p>
        </w:tc>
        <w:tc>
          <w:tcPr>
            <w:tcW w:w="992"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(176)</w:t>
            </w:r>
          </w:p>
        </w:tc>
        <w:tc>
          <w:tcPr>
            <w:tcW w:w="8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11.796.706</w:t>
            </w:r>
          </w:p>
        </w:tc>
        <w:tc>
          <w:tcPr>
            <w:tcW w:w="992" w:type="dxa"/>
            <w:gridSpan w:val="2"/>
            <w:tcBorders>
              <w:bottom w:val="dotted" w:sz="4" w:space="0" w:color="auto"/>
            </w:tcBorders>
            <w:shd w:val="clear" w:color="auto" w:fill="FFFFFF"/>
            <w:vAlign w:val="bottom"/>
          </w:tcPr>
          <w:p w:rsidR="006D419E" w:rsidRPr="00CD3A2D" w:rsidRDefault="006D419E" w:rsidP="006D419E">
            <w:pPr>
              <w:pStyle w:val="Style26"/>
              <w:shd w:val="clear" w:color="auto" w:fill="auto"/>
              <w:spacing w:before="0" w:line="240" w:lineRule="auto"/>
              <w:ind w:left="4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AT</w:t>
            </w:r>
          </w:p>
        </w:tc>
      </w:tr>
      <w:tr w:rsidR="006D419E" w:rsidRPr="001567C8" w:rsidTr="006D419E">
        <w:trPr>
          <w:gridBefore w:val="1"/>
          <w:wBefore w:w="15" w:type="dxa"/>
          <w:trHeight w:hRule="exact" w:val="383"/>
        </w:trPr>
        <w:tc>
          <w:tcPr>
            <w:tcW w:w="2065" w:type="dxa"/>
            <w:gridSpan w:val="2"/>
            <w:tcBorders>
              <w:top w:val="dotted" w:sz="4" w:space="0" w:color="auto"/>
              <w:left w:val="dotted" w:sz="4" w:space="0" w:color="auto"/>
              <w:bottom w:val="dotted"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jc w:val="both"/>
              <w:rPr>
                <w:rFonts w:asciiTheme="minorHAnsi" w:hAnsiTheme="minorHAnsi" w:cstheme="minorHAnsi"/>
                <w:i/>
                <w:sz w:val="15"/>
                <w:szCs w:val="15"/>
                <w:lang w:val="hr-HR"/>
              </w:rPr>
            </w:pPr>
            <w:r w:rsidRPr="001567C8">
              <w:rPr>
                <w:rStyle w:val="CharStyle65"/>
                <w:rFonts w:asciiTheme="minorHAnsi" w:hAnsiTheme="minorHAnsi" w:cstheme="minorHAnsi"/>
                <w:i/>
                <w:sz w:val="15"/>
                <w:szCs w:val="15"/>
                <w:lang w:val="hr-HR"/>
              </w:rPr>
              <w:t>Na poziciju</w:t>
            </w:r>
            <w:r w:rsidRPr="001567C8">
              <w:rPr>
                <w:rStyle w:val="CharStyle118"/>
                <w:rFonts w:asciiTheme="minorHAnsi" w:hAnsiTheme="minorHAnsi" w:cstheme="minorHAnsi"/>
                <w:sz w:val="15"/>
                <w:szCs w:val="15"/>
                <w:lang w:val="hr-HR"/>
              </w:rPr>
              <w:t>: Financijska imovina po FV</w:t>
            </w:r>
            <w:r w:rsidR="00EF641B" w:rsidRPr="001567C8">
              <w:rPr>
                <w:rStyle w:val="CharStyle118"/>
                <w:rFonts w:asciiTheme="minorHAnsi" w:hAnsiTheme="minorHAnsi" w:cstheme="minorHAnsi"/>
                <w:sz w:val="15"/>
                <w:szCs w:val="15"/>
                <w:lang w:val="hr-HR"/>
              </w:rPr>
              <w:t>R</w:t>
            </w:r>
            <w:r w:rsidRPr="001567C8">
              <w:rPr>
                <w:rStyle w:val="CharStyle118"/>
                <w:rFonts w:asciiTheme="minorHAnsi" w:hAnsiTheme="minorHAnsi" w:cstheme="minorHAnsi"/>
                <w:sz w:val="15"/>
                <w:szCs w:val="15"/>
                <w:lang w:val="hr-HR"/>
              </w:rPr>
              <w:t>DG</w:t>
            </w:r>
            <w:r w:rsidRPr="00CD3A2D">
              <w:rPr>
                <w:rStyle w:val="FootnoteReference"/>
                <w:rFonts w:asciiTheme="minorHAnsi" w:hAnsiTheme="minorHAnsi" w:cstheme="minorHAnsi"/>
                <w:b/>
                <w:i/>
                <w:iCs/>
                <w:color w:val="000000"/>
                <w:sz w:val="15"/>
                <w:szCs w:val="15"/>
                <w:shd w:val="clear" w:color="auto" w:fill="FFFFFF"/>
                <w:lang w:val="hr-HR" w:bidi="en-US"/>
              </w:rPr>
              <w:footnoteReference w:id="14"/>
            </w:r>
            <w:r w:rsidRPr="001567C8">
              <w:rPr>
                <w:rStyle w:val="CharStyle118"/>
                <w:rFonts w:asciiTheme="minorHAnsi" w:hAnsiTheme="minorHAnsi" w:cstheme="minorHAnsi"/>
                <w:b/>
                <w:sz w:val="15"/>
                <w:szCs w:val="15"/>
                <w:lang w:val="hr-HR"/>
              </w:rPr>
              <w:t xml:space="preserve">                                    A</w:t>
            </w:r>
          </w:p>
        </w:tc>
        <w:tc>
          <w:tcPr>
            <w:tcW w:w="990" w:type="dxa"/>
            <w:gridSpan w:val="2"/>
            <w:tcBorders>
              <w:top w:val="dotted" w:sz="4" w:space="0" w:color="auto"/>
              <w:bottom w:val="dotted" w:sz="4" w:space="0" w:color="auto"/>
            </w:tcBorders>
            <w:shd w:val="clear" w:color="auto" w:fill="auto"/>
            <w:vAlign w:val="bottom"/>
          </w:tcPr>
          <w:p w:rsidR="006D419E" w:rsidRPr="00CD3A2D" w:rsidRDefault="006D419E" w:rsidP="006D419E">
            <w:pPr>
              <w:rPr>
                <w:rFonts w:asciiTheme="minorHAnsi" w:hAnsiTheme="minorHAnsi" w:cstheme="minorHAnsi"/>
                <w:i/>
                <w:sz w:val="15"/>
                <w:szCs w:val="15"/>
                <w:lang w:val="hr-HR"/>
              </w:rPr>
            </w:pPr>
          </w:p>
        </w:tc>
        <w:tc>
          <w:tcPr>
            <w:tcW w:w="761"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3" w:type="dxa"/>
            <w:gridSpan w:val="2"/>
            <w:tcBorders>
              <w:top w:val="dotted" w:sz="4" w:space="0" w:color="auto"/>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1567C8">
              <w:rPr>
                <w:rStyle w:val="CharStyle118"/>
                <w:rFonts w:asciiTheme="minorHAnsi" w:hAnsiTheme="minorHAnsi" w:cstheme="minorHAnsi"/>
                <w:sz w:val="15"/>
                <w:szCs w:val="15"/>
                <w:lang w:val="hr-HR"/>
              </w:rPr>
              <w:t>(3.840)</w:t>
            </w:r>
          </w:p>
        </w:tc>
        <w:tc>
          <w:tcPr>
            <w:tcW w:w="992"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1134"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(176)</w:t>
            </w:r>
          </w:p>
        </w:tc>
        <w:tc>
          <w:tcPr>
            <w:tcW w:w="861"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bottom w:val="dotted" w:sz="4" w:space="0" w:color="auto"/>
              <w:right w:val="dotted"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r>
      <w:tr w:rsidR="006D419E" w:rsidRPr="001567C8" w:rsidTr="006D419E">
        <w:trPr>
          <w:gridBefore w:val="1"/>
          <w:wBefore w:w="15" w:type="dxa"/>
          <w:trHeight w:hRule="exact" w:val="227"/>
        </w:trPr>
        <w:tc>
          <w:tcPr>
            <w:tcW w:w="2065" w:type="dxa"/>
            <w:gridSpan w:val="2"/>
            <w:tcBorders>
              <w:top w:val="dotted" w:sz="4" w:space="0" w:color="auto"/>
              <w:bottom w:val="single" w:sz="4" w:space="0" w:color="auto"/>
            </w:tcBorders>
            <w:vAlign w:val="bottom"/>
          </w:tcPr>
          <w:p w:rsidR="006D419E" w:rsidRPr="00CD3A2D" w:rsidRDefault="006D419E" w:rsidP="006D419E">
            <w:pPr>
              <w:tabs>
                <w:tab w:val="right" w:pos="1202"/>
              </w:tabs>
              <w:outlineLvl w:val="0"/>
              <w:rPr>
                <w:rFonts w:asciiTheme="minorHAnsi" w:hAnsiTheme="minorHAnsi" w:cstheme="minorHAnsi"/>
                <w:sz w:val="15"/>
                <w:szCs w:val="15"/>
                <w:lang w:val="hr-HR"/>
              </w:rPr>
            </w:pPr>
            <w:r w:rsidRPr="00CD3A2D">
              <w:rPr>
                <w:rFonts w:asciiTheme="minorHAnsi" w:hAnsiTheme="minorHAnsi" w:cstheme="minorHAnsi"/>
                <w:sz w:val="15"/>
                <w:szCs w:val="15"/>
                <w:lang w:val="hr-HR"/>
              </w:rPr>
              <w:t>Ostala imovina</w:t>
            </w:r>
          </w:p>
        </w:tc>
        <w:tc>
          <w:tcPr>
            <w:tcW w:w="990"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Z i P</w:t>
            </w:r>
          </w:p>
        </w:tc>
        <w:tc>
          <w:tcPr>
            <w:tcW w:w="761"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12.282</w:t>
            </w:r>
          </w:p>
        </w:tc>
        <w:tc>
          <w:tcPr>
            <w:tcW w:w="993" w:type="dxa"/>
            <w:gridSpan w:val="2"/>
            <w:tcBorders>
              <w:top w:val="dotted" w:sz="4" w:space="0" w:color="auto"/>
              <w:left w:val="nil"/>
              <w:bottom w:val="single" w:sz="4" w:space="0" w:color="auto"/>
              <w:right w:val="nil"/>
            </w:tcBorders>
            <w:shd w:val="clear" w:color="auto" w:fill="auto"/>
            <w:vAlign w:val="bottom"/>
          </w:tcPr>
          <w:p w:rsidR="006D419E" w:rsidRPr="001567C8" w:rsidRDefault="006D419E" w:rsidP="006D419E">
            <w:pPr>
              <w:pStyle w:val="TT"/>
              <w:spacing w:line="240" w:lineRule="auto"/>
              <w:jc w:val="right"/>
              <w:rPr>
                <w:rFonts w:asciiTheme="minorHAnsi" w:hAnsiTheme="minorHAnsi" w:cstheme="minorHAnsi"/>
                <w:snapToGrid w:val="0"/>
                <w:sz w:val="15"/>
                <w:szCs w:val="15"/>
                <w:lang w:val="hr-HR"/>
              </w:rPr>
            </w:pPr>
            <w:r w:rsidRPr="001567C8">
              <w:rPr>
                <w:rFonts w:asciiTheme="minorHAnsi" w:hAnsiTheme="minorHAnsi" w:cstheme="minorHAnsi"/>
                <w:snapToGrid w:val="0"/>
                <w:sz w:val="15"/>
                <w:szCs w:val="15"/>
                <w:lang w:val="hr-HR"/>
              </w:rPr>
              <w:t>-</w:t>
            </w: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1567C8">
              <w:rPr>
                <w:rStyle w:val="CharStyle118"/>
                <w:rFonts w:asciiTheme="minorHAnsi" w:hAnsiTheme="minorHAnsi" w:cstheme="minorHAnsi"/>
                <w:sz w:val="15"/>
                <w:szCs w:val="15"/>
                <w:lang w:val="hr-HR"/>
              </w:rPr>
              <w:t>(6.641)</w:t>
            </w:r>
          </w:p>
        </w:tc>
        <w:tc>
          <w:tcPr>
            <w:tcW w:w="1134"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right="200"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861"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5.641</w:t>
            </w:r>
          </w:p>
        </w:tc>
        <w:tc>
          <w:tcPr>
            <w:tcW w:w="992" w:type="dxa"/>
            <w:gridSpan w:val="2"/>
            <w:tcBorders>
              <w:top w:val="dotted" w:sz="4" w:space="0" w:color="auto"/>
              <w:bottom w:val="single" w:sz="4" w:space="0" w:color="auto"/>
            </w:tcBorders>
            <w:shd w:val="clear" w:color="auto" w:fill="FFFFFF"/>
            <w:vAlign w:val="bottom"/>
          </w:tcPr>
          <w:p w:rsidR="006D419E" w:rsidRPr="00CD3A2D" w:rsidRDefault="006D419E" w:rsidP="006D419E">
            <w:pPr>
              <w:pStyle w:val="Style26"/>
              <w:shd w:val="clear" w:color="auto" w:fill="auto"/>
              <w:spacing w:before="0" w:line="240" w:lineRule="auto"/>
              <w:ind w:left="40" w:firstLine="0"/>
              <w:jc w:val="center"/>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AT</w:t>
            </w:r>
          </w:p>
        </w:tc>
      </w:tr>
      <w:tr w:rsidR="006D419E" w:rsidRPr="001567C8" w:rsidTr="006D419E">
        <w:trPr>
          <w:gridBefore w:val="1"/>
          <w:wBefore w:w="15" w:type="dxa"/>
          <w:trHeight w:hRule="exact" w:val="284"/>
        </w:trPr>
        <w:tc>
          <w:tcPr>
            <w:tcW w:w="2065" w:type="dxa"/>
            <w:gridSpan w:val="2"/>
            <w:tcBorders>
              <w:top w:val="single" w:sz="4" w:space="0" w:color="auto"/>
              <w:bottom w:val="double" w:sz="4" w:space="0" w:color="auto"/>
            </w:tcBorders>
            <w:shd w:val="clear" w:color="auto" w:fill="FFFFFF"/>
            <w:vAlign w:val="bottom"/>
          </w:tcPr>
          <w:p w:rsidR="006D419E" w:rsidRPr="00CD3A2D" w:rsidRDefault="006D419E" w:rsidP="006D419E">
            <w:pPr>
              <w:rPr>
                <w:rFonts w:asciiTheme="minorHAnsi" w:hAnsiTheme="minorHAnsi" w:cstheme="minorHAnsi"/>
                <w:b/>
                <w:sz w:val="15"/>
                <w:szCs w:val="15"/>
                <w:lang w:val="hr-HR"/>
              </w:rPr>
            </w:pPr>
          </w:p>
        </w:tc>
        <w:tc>
          <w:tcPr>
            <w:tcW w:w="990"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Z i P</w:t>
            </w:r>
          </w:p>
        </w:tc>
        <w:tc>
          <w:tcPr>
            <w:tcW w:w="761"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24.662.314</w:t>
            </w:r>
          </w:p>
        </w:tc>
        <w:tc>
          <w:tcPr>
            <w:tcW w:w="993"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(3.840)</w:t>
            </w:r>
          </w:p>
        </w:tc>
        <w:tc>
          <w:tcPr>
            <w:tcW w:w="992"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(616.618)</w:t>
            </w:r>
          </w:p>
        </w:tc>
        <w:tc>
          <w:tcPr>
            <w:tcW w:w="1134"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135.944</w:t>
            </w:r>
          </w:p>
        </w:tc>
        <w:tc>
          <w:tcPr>
            <w:tcW w:w="992"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(176)</w:t>
            </w:r>
          </w:p>
        </w:tc>
        <w:tc>
          <w:tcPr>
            <w:tcW w:w="861"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24.177.624</w:t>
            </w:r>
          </w:p>
        </w:tc>
        <w:tc>
          <w:tcPr>
            <w:tcW w:w="992" w:type="dxa"/>
            <w:gridSpan w:val="2"/>
            <w:tcBorders>
              <w:top w:val="single" w:sz="4" w:space="0" w:color="auto"/>
              <w:bottom w:val="double" w:sz="4" w:space="0" w:color="auto"/>
            </w:tcBorders>
            <w:shd w:val="clear" w:color="auto" w:fill="FFFFFF"/>
            <w:vAlign w:val="bottom"/>
          </w:tcPr>
          <w:p w:rsidR="006D419E" w:rsidRPr="00CD3A2D" w:rsidRDefault="006D419E" w:rsidP="006D419E">
            <w:pPr>
              <w:pStyle w:val="Style26"/>
              <w:shd w:val="clear" w:color="auto" w:fill="auto"/>
              <w:spacing w:before="0" w:line="240" w:lineRule="auto"/>
              <w:ind w:left="40" w:firstLine="0"/>
              <w:jc w:val="center"/>
              <w:rPr>
                <w:rFonts w:asciiTheme="minorHAnsi" w:hAnsiTheme="minorHAnsi" w:cstheme="minorHAnsi"/>
                <w:b/>
                <w:sz w:val="15"/>
                <w:szCs w:val="15"/>
                <w:lang w:val="hr-HR"/>
              </w:rPr>
            </w:pPr>
            <w:r w:rsidRPr="00CD3A2D">
              <w:rPr>
                <w:rFonts w:asciiTheme="minorHAnsi" w:hAnsiTheme="minorHAnsi" w:cstheme="minorHAnsi"/>
                <w:b/>
                <w:sz w:val="15"/>
                <w:szCs w:val="15"/>
                <w:lang w:val="hr-HR"/>
              </w:rPr>
              <w:t>AT</w:t>
            </w:r>
          </w:p>
        </w:tc>
      </w:tr>
      <w:tr w:rsidR="006D419E" w:rsidRPr="001567C8" w:rsidTr="006D419E">
        <w:trPr>
          <w:gridBefore w:val="1"/>
          <w:wBefore w:w="15" w:type="dxa"/>
          <w:trHeight w:hRule="exact" w:val="113"/>
        </w:trPr>
        <w:tc>
          <w:tcPr>
            <w:tcW w:w="2065" w:type="dxa"/>
            <w:gridSpan w:val="2"/>
            <w:tcBorders>
              <w:top w:val="single" w:sz="4" w:space="0" w:color="auto"/>
            </w:tcBorders>
            <w:shd w:val="clear" w:color="auto" w:fill="FFFFFF"/>
            <w:vAlign w:val="bottom"/>
          </w:tcPr>
          <w:p w:rsidR="006D419E" w:rsidRPr="00CD3A2D" w:rsidRDefault="006D419E" w:rsidP="006D419E">
            <w:pPr>
              <w:rPr>
                <w:rFonts w:asciiTheme="minorHAnsi" w:hAnsiTheme="minorHAnsi" w:cstheme="minorHAnsi"/>
                <w:b/>
                <w:sz w:val="15"/>
                <w:szCs w:val="15"/>
                <w:lang w:val="hr-HR"/>
              </w:rPr>
            </w:pPr>
          </w:p>
        </w:tc>
        <w:tc>
          <w:tcPr>
            <w:tcW w:w="990"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178" w:lineRule="exact"/>
              <w:ind w:left="180" w:firstLine="0"/>
              <w:jc w:val="center"/>
              <w:rPr>
                <w:rStyle w:val="CharStyle65"/>
                <w:rFonts w:asciiTheme="minorHAnsi" w:hAnsiTheme="minorHAnsi" w:cstheme="minorHAnsi"/>
                <w:b/>
                <w:sz w:val="15"/>
                <w:szCs w:val="15"/>
                <w:lang w:val="hr-HR"/>
              </w:rPr>
            </w:pPr>
          </w:p>
        </w:tc>
        <w:tc>
          <w:tcPr>
            <w:tcW w:w="761"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p>
        </w:tc>
        <w:tc>
          <w:tcPr>
            <w:tcW w:w="993"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right="260" w:firstLine="0"/>
              <w:jc w:val="right"/>
              <w:rPr>
                <w:rStyle w:val="CharStyle65"/>
                <w:rFonts w:asciiTheme="minorHAnsi" w:hAnsiTheme="minorHAnsi" w:cstheme="minorHAnsi"/>
                <w:b/>
                <w:sz w:val="15"/>
                <w:szCs w:val="15"/>
                <w:lang w:val="hr-HR"/>
              </w:rPr>
            </w:pPr>
          </w:p>
        </w:tc>
        <w:tc>
          <w:tcPr>
            <w:tcW w:w="992"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right="280" w:firstLine="0"/>
              <w:jc w:val="right"/>
              <w:rPr>
                <w:rStyle w:val="CharStyle65"/>
                <w:rFonts w:asciiTheme="minorHAnsi" w:hAnsiTheme="minorHAnsi" w:cstheme="minorHAnsi"/>
                <w:b/>
                <w:sz w:val="15"/>
                <w:szCs w:val="15"/>
                <w:lang w:val="hr-HR"/>
              </w:rPr>
            </w:pPr>
          </w:p>
        </w:tc>
        <w:tc>
          <w:tcPr>
            <w:tcW w:w="1134"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p>
        </w:tc>
        <w:tc>
          <w:tcPr>
            <w:tcW w:w="992"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p>
        </w:tc>
        <w:tc>
          <w:tcPr>
            <w:tcW w:w="992"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p>
        </w:tc>
        <w:tc>
          <w:tcPr>
            <w:tcW w:w="861"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p>
        </w:tc>
        <w:tc>
          <w:tcPr>
            <w:tcW w:w="992" w:type="dxa"/>
            <w:gridSpan w:val="2"/>
            <w:tcBorders>
              <w:top w:val="single" w:sz="4" w:space="0" w:color="auto"/>
            </w:tcBorders>
            <w:shd w:val="clear" w:color="auto" w:fill="FFFFFF"/>
            <w:vAlign w:val="bottom"/>
          </w:tcPr>
          <w:p w:rsidR="006D419E" w:rsidRPr="001567C8" w:rsidRDefault="006D419E" w:rsidP="006D419E">
            <w:pPr>
              <w:pStyle w:val="Style26"/>
              <w:shd w:val="clear" w:color="auto" w:fill="auto"/>
              <w:spacing w:before="0" w:line="240" w:lineRule="auto"/>
              <w:ind w:left="40" w:firstLine="0"/>
              <w:jc w:val="center"/>
              <w:rPr>
                <w:rStyle w:val="CharStyle65"/>
                <w:rFonts w:asciiTheme="minorHAnsi" w:hAnsiTheme="minorHAnsi" w:cstheme="minorHAnsi"/>
                <w:b/>
                <w:sz w:val="15"/>
                <w:szCs w:val="15"/>
                <w:lang w:val="hr-HR"/>
              </w:rPr>
            </w:pPr>
          </w:p>
        </w:tc>
      </w:tr>
      <w:tr w:rsidR="006D419E" w:rsidRPr="001567C8" w:rsidTr="006D419E">
        <w:trPr>
          <w:gridBefore w:val="1"/>
          <w:wBefore w:w="15" w:type="dxa"/>
          <w:trHeight w:hRule="exact" w:val="305"/>
        </w:trPr>
        <w:tc>
          <w:tcPr>
            <w:tcW w:w="2065" w:type="dxa"/>
            <w:gridSpan w:val="2"/>
            <w:tcBorders>
              <w:bottom w:val="dotted" w:sz="4" w:space="0" w:color="auto"/>
            </w:tcBorders>
            <w:vAlign w:val="bottom"/>
          </w:tcPr>
          <w:p w:rsidR="006D419E" w:rsidRPr="00CD3A2D" w:rsidRDefault="006D419E" w:rsidP="006D419E">
            <w:pPr>
              <w:pStyle w:val="Style26"/>
              <w:shd w:val="clear" w:color="auto" w:fill="auto"/>
              <w:spacing w:before="0" w:line="178" w:lineRule="exact"/>
              <w:ind w:firstLine="0"/>
              <w:jc w:val="both"/>
              <w:rPr>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Imovina raspoloživa za prodaju</w:t>
            </w:r>
          </w:p>
        </w:tc>
        <w:tc>
          <w:tcPr>
            <w:tcW w:w="990" w:type="dxa"/>
            <w:gridSpan w:val="2"/>
            <w:tcBorders>
              <w:bottom w:val="dotted" w:sz="4" w:space="0" w:color="auto"/>
            </w:tcBorders>
            <w:shd w:val="clear" w:color="auto" w:fill="auto"/>
            <w:vAlign w:val="bottom"/>
          </w:tcPr>
          <w:p w:rsidR="006D419E" w:rsidRPr="00CD3A2D" w:rsidRDefault="006D419E" w:rsidP="006D419E">
            <w:pPr>
              <w:jc w:val="center"/>
              <w:rPr>
                <w:rFonts w:asciiTheme="minorHAnsi" w:hAnsiTheme="minorHAnsi" w:cstheme="minorHAnsi"/>
                <w:sz w:val="15"/>
                <w:szCs w:val="15"/>
                <w:lang w:val="hr-HR"/>
              </w:rPr>
            </w:pPr>
            <w:r w:rsidRPr="00CD3A2D">
              <w:rPr>
                <w:rFonts w:asciiTheme="minorHAnsi" w:hAnsiTheme="minorHAnsi" w:cstheme="minorHAnsi"/>
                <w:sz w:val="15"/>
                <w:szCs w:val="15"/>
                <w:lang w:val="hr-HR"/>
              </w:rPr>
              <w:t>IRP</w:t>
            </w:r>
          </w:p>
        </w:tc>
        <w:tc>
          <w:tcPr>
            <w:tcW w:w="761" w:type="dxa"/>
            <w:gridSpan w:val="2"/>
            <w:tcBorders>
              <w:bottom w:val="dotted" w:sz="4" w:space="0" w:color="auto"/>
            </w:tcBorders>
            <w:shd w:val="clear" w:color="auto" w:fill="auto"/>
            <w:vAlign w:val="bottom"/>
          </w:tcPr>
          <w:p w:rsidR="006D419E" w:rsidRPr="001567C8" w:rsidRDefault="006D419E" w:rsidP="006D419E">
            <w:pPr>
              <w:pStyle w:val="TT"/>
              <w:spacing w:line="240" w:lineRule="auto"/>
              <w:jc w:val="right"/>
              <w:rPr>
                <w:rFonts w:asciiTheme="minorHAnsi" w:hAnsiTheme="minorHAnsi" w:cstheme="minorHAnsi"/>
                <w:snapToGrid w:val="0"/>
                <w:sz w:val="15"/>
                <w:szCs w:val="15"/>
                <w:lang w:val="hr-HR"/>
              </w:rPr>
            </w:pPr>
            <w:r w:rsidRPr="001567C8">
              <w:rPr>
                <w:rFonts w:asciiTheme="minorHAnsi" w:hAnsiTheme="minorHAnsi" w:cstheme="minorHAnsi"/>
                <w:snapToGrid w:val="0"/>
                <w:sz w:val="15"/>
                <w:szCs w:val="15"/>
                <w:lang w:val="hr-HR"/>
              </w:rPr>
              <w:t>3.277.194</w:t>
            </w:r>
          </w:p>
        </w:tc>
        <w:tc>
          <w:tcPr>
            <w:tcW w:w="993"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(3.277.194)</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1134"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8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FFFFFF"/>
            <w:vAlign w:val="bottom"/>
          </w:tcPr>
          <w:p w:rsidR="006D419E" w:rsidRPr="00CD3A2D" w:rsidRDefault="006D419E" w:rsidP="006D419E">
            <w:pPr>
              <w:jc w:val="center"/>
              <w:rPr>
                <w:rFonts w:asciiTheme="minorHAnsi" w:hAnsiTheme="minorHAnsi" w:cstheme="minorHAnsi"/>
                <w:sz w:val="15"/>
                <w:szCs w:val="15"/>
                <w:lang w:val="hr-HR"/>
              </w:rPr>
            </w:pPr>
            <w:r w:rsidRPr="00CD3A2D">
              <w:rPr>
                <w:rFonts w:asciiTheme="minorHAnsi" w:hAnsiTheme="minorHAnsi" w:cstheme="minorHAnsi"/>
                <w:sz w:val="15"/>
                <w:szCs w:val="15"/>
                <w:lang w:val="hr-HR"/>
              </w:rPr>
              <w:t>n/p</w:t>
            </w:r>
          </w:p>
        </w:tc>
      </w:tr>
      <w:tr w:rsidR="006D419E" w:rsidRPr="001567C8" w:rsidTr="006D419E">
        <w:trPr>
          <w:gridBefore w:val="1"/>
          <w:wBefore w:w="15" w:type="dxa"/>
          <w:trHeight w:hRule="exact" w:val="346"/>
        </w:trPr>
        <w:tc>
          <w:tcPr>
            <w:tcW w:w="2065" w:type="dxa"/>
            <w:gridSpan w:val="2"/>
            <w:tcBorders>
              <w:top w:val="dotted" w:sz="4" w:space="0" w:color="auto"/>
              <w:left w:val="dotted"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jc w:val="both"/>
              <w:rPr>
                <w:rFonts w:asciiTheme="minorHAnsi" w:hAnsiTheme="minorHAnsi" w:cstheme="minorHAnsi"/>
                <w:i/>
                <w:sz w:val="15"/>
                <w:szCs w:val="15"/>
                <w:lang w:val="hr-HR"/>
              </w:rPr>
            </w:pPr>
            <w:r w:rsidRPr="00CD3A2D">
              <w:rPr>
                <w:rFonts w:asciiTheme="minorHAnsi" w:hAnsiTheme="minorHAnsi" w:cstheme="minorHAnsi"/>
                <w:i/>
                <w:sz w:val="15"/>
                <w:szCs w:val="15"/>
                <w:lang w:val="hr-HR"/>
              </w:rPr>
              <w:t>Na poziciju: Financijska imovina po FVOSD</w:t>
            </w:r>
            <w:r w:rsidRPr="00CD3A2D">
              <w:rPr>
                <w:rStyle w:val="FootnoteReference"/>
                <w:rFonts w:asciiTheme="minorHAnsi" w:hAnsiTheme="minorHAnsi" w:cstheme="minorHAnsi"/>
                <w:i/>
                <w:sz w:val="15"/>
                <w:szCs w:val="15"/>
                <w:lang w:val="hr-HR"/>
              </w:rPr>
              <w:footnoteReference w:id="15"/>
            </w:r>
            <w:r w:rsidRPr="00CD3A2D">
              <w:rPr>
                <w:rFonts w:asciiTheme="minorHAnsi" w:hAnsiTheme="minorHAnsi" w:cstheme="minorHAnsi"/>
                <w:i/>
                <w:sz w:val="15"/>
                <w:szCs w:val="15"/>
                <w:lang w:val="hr-HR"/>
              </w:rPr>
              <w:t xml:space="preserve">                                   </w:t>
            </w:r>
            <w:r w:rsidRPr="00CD3A2D">
              <w:rPr>
                <w:rFonts w:asciiTheme="minorHAnsi" w:hAnsiTheme="minorHAnsi" w:cstheme="minorHAnsi"/>
                <w:b/>
                <w:i/>
                <w:sz w:val="15"/>
                <w:szCs w:val="15"/>
                <w:lang w:val="hr-HR"/>
              </w:rPr>
              <w:t xml:space="preserve"> C</w:t>
            </w:r>
          </w:p>
        </w:tc>
        <w:tc>
          <w:tcPr>
            <w:tcW w:w="990" w:type="dxa"/>
            <w:gridSpan w:val="2"/>
            <w:tcBorders>
              <w:top w:val="dotted" w:sz="4" w:space="0" w:color="auto"/>
            </w:tcBorders>
            <w:shd w:val="clear" w:color="auto" w:fill="auto"/>
            <w:vAlign w:val="bottom"/>
          </w:tcPr>
          <w:p w:rsidR="006D419E" w:rsidRPr="00CD3A2D" w:rsidRDefault="006D419E" w:rsidP="006D419E">
            <w:pPr>
              <w:rPr>
                <w:rFonts w:asciiTheme="minorHAnsi" w:hAnsiTheme="minorHAnsi" w:cstheme="minorHAnsi"/>
                <w:i/>
                <w:sz w:val="15"/>
                <w:szCs w:val="15"/>
                <w:lang w:val="hr-HR"/>
              </w:rPr>
            </w:pPr>
          </w:p>
        </w:tc>
        <w:tc>
          <w:tcPr>
            <w:tcW w:w="761" w:type="dxa"/>
            <w:gridSpan w:val="2"/>
            <w:tcBorders>
              <w:top w:val="dotted" w:sz="4" w:space="0" w:color="auto"/>
            </w:tcBorders>
            <w:shd w:val="clear" w:color="auto" w:fill="auto"/>
            <w:vAlign w:val="bottom"/>
          </w:tcPr>
          <w:p w:rsidR="006D419E" w:rsidRPr="001567C8" w:rsidRDefault="006D419E" w:rsidP="006D419E">
            <w:pPr>
              <w:pStyle w:val="TT"/>
              <w:spacing w:line="240" w:lineRule="auto"/>
              <w:jc w:val="right"/>
              <w:rPr>
                <w:rFonts w:asciiTheme="minorHAnsi" w:hAnsiTheme="minorHAnsi" w:cstheme="minorHAnsi"/>
                <w:i/>
                <w:snapToGrid w:val="0"/>
                <w:sz w:val="15"/>
                <w:szCs w:val="15"/>
                <w:lang w:val="hr-HR"/>
              </w:rPr>
            </w:pPr>
            <w:r w:rsidRPr="001567C8">
              <w:rPr>
                <w:rFonts w:asciiTheme="minorHAnsi" w:hAnsiTheme="minorHAnsi" w:cstheme="minorHAnsi"/>
                <w:i/>
                <w:snapToGrid w:val="0"/>
                <w:sz w:val="15"/>
                <w:szCs w:val="15"/>
                <w:lang w:val="hr-HR"/>
              </w:rPr>
              <w:t>-</w:t>
            </w:r>
          </w:p>
        </w:tc>
        <w:tc>
          <w:tcPr>
            <w:tcW w:w="993"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(2.469.160)</w:t>
            </w:r>
          </w:p>
        </w:tc>
        <w:tc>
          <w:tcPr>
            <w:tcW w:w="992"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1134" w:type="dxa"/>
            <w:gridSpan w:val="2"/>
            <w:tcBorders>
              <w:top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861"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right w:val="dotted"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r>
      <w:tr w:rsidR="006D419E" w:rsidRPr="001567C8" w:rsidTr="006D419E">
        <w:trPr>
          <w:gridBefore w:val="1"/>
          <w:wBefore w:w="15" w:type="dxa"/>
          <w:trHeight w:hRule="exact" w:val="425"/>
        </w:trPr>
        <w:tc>
          <w:tcPr>
            <w:tcW w:w="2065" w:type="dxa"/>
            <w:gridSpan w:val="2"/>
            <w:tcBorders>
              <w:left w:val="dotted" w:sz="4" w:space="0" w:color="auto"/>
              <w:bottom w:val="dotted"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jc w:val="both"/>
              <w:rPr>
                <w:rFonts w:asciiTheme="minorHAnsi" w:hAnsiTheme="minorHAnsi" w:cstheme="minorHAnsi"/>
                <w:i/>
                <w:sz w:val="15"/>
                <w:szCs w:val="15"/>
                <w:lang w:val="hr-HR"/>
              </w:rPr>
            </w:pPr>
            <w:r w:rsidRPr="00CD3A2D">
              <w:rPr>
                <w:rFonts w:asciiTheme="minorHAnsi" w:hAnsiTheme="minorHAnsi" w:cstheme="minorHAnsi"/>
                <w:i/>
                <w:sz w:val="15"/>
                <w:szCs w:val="15"/>
                <w:lang w:val="hr-HR"/>
              </w:rPr>
              <w:t>Na poziciju: Financijska imovina po FV</w:t>
            </w:r>
            <w:r w:rsidR="00EF641B" w:rsidRPr="00CD3A2D">
              <w:rPr>
                <w:rFonts w:asciiTheme="minorHAnsi" w:hAnsiTheme="minorHAnsi" w:cstheme="minorHAnsi"/>
                <w:i/>
                <w:sz w:val="15"/>
                <w:szCs w:val="15"/>
                <w:lang w:val="hr-HR"/>
              </w:rPr>
              <w:t>R</w:t>
            </w:r>
            <w:r w:rsidRPr="00CD3A2D">
              <w:rPr>
                <w:rFonts w:asciiTheme="minorHAnsi" w:hAnsiTheme="minorHAnsi" w:cstheme="minorHAnsi"/>
                <w:i/>
                <w:sz w:val="15"/>
                <w:szCs w:val="15"/>
                <w:lang w:val="hr-HR"/>
              </w:rPr>
              <w:t xml:space="preserve">DG                                        </w:t>
            </w:r>
            <w:r w:rsidRPr="00CD3A2D">
              <w:rPr>
                <w:rFonts w:asciiTheme="minorHAnsi" w:hAnsiTheme="minorHAnsi" w:cstheme="minorHAnsi"/>
                <w:b/>
                <w:i/>
                <w:sz w:val="15"/>
                <w:szCs w:val="15"/>
                <w:lang w:val="hr-HR"/>
              </w:rPr>
              <w:t>D</w:t>
            </w:r>
          </w:p>
        </w:tc>
        <w:tc>
          <w:tcPr>
            <w:tcW w:w="990" w:type="dxa"/>
            <w:gridSpan w:val="2"/>
            <w:tcBorders>
              <w:bottom w:val="dotted" w:sz="4" w:space="0" w:color="auto"/>
            </w:tcBorders>
            <w:shd w:val="clear" w:color="auto" w:fill="auto"/>
            <w:vAlign w:val="bottom"/>
          </w:tcPr>
          <w:p w:rsidR="006D419E" w:rsidRPr="00CD3A2D" w:rsidRDefault="006D419E" w:rsidP="006D419E">
            <w:pPr>
              <w:rPr>
                <w:rFonts w:asciiTheme="minorHAnsi" w:hAnsiTheme="minorHAnsi" w:cstheme="minorHAnsi"/>
                <w:i/>
                <w:sz w:val="15"/>
                <w:szCs w:val="15"/>
                <w:lang w:val="hr-HR"/>
              </w:rPr>
            </w:pPr>
          </w:p>
        </w:tc>
        <w:tc>
          <w:tcPr>
            <w:tcW w:w="761" w:type="dxa"/>
            <w:gridSpan w:val="2"/>
            <w:tcBorders>
              <w:bottom w:val="dotted" w:sz="4" w:space="0" w:color="auto"/>
            </w:tcBorders>
            <w:shd w:val="clear" w:color="auto" w:fill="auto"/>
            <w:vAlign w:val="bottom"/>
          </w:tcPr>
          <w:p w:rsidR="006D419E" w:rsidRPr="001567C8" w:rsidRDefault="006D419E" w:rsidP="006D419E">
            <w:pPr>
              <w:pStyle w:val="TT"/>
              <w:spacing w:line="240" w:lineRule="auto"/>
              <w:jc w:val="right"/>
              <w:rPr>
                <w:rFonts w:asciiTheme="minorHAnsi" w:hAnsiTheme="minorHAnsi" w:cstheme="minorHAnsi"/>
                <w:i/>
                <w:snapToGrid w:val="0"/>
                <w:sz w:val="15"/>
                <w:szCs w:val="15"/>
                <w:lang w:val="hr-HR"/>
              </w:rPr>
            </w:pPr>
            <w:r w:rsidRPr="001567C8">
              <w:rPr>
                <w:rFonts w:asciiTheme="minorHAnsi" w:hAnsiTheme="minorHAnsi" w:cstheme="minorHAnsi"/>
                <w:i/>
                <w:snapToGrid w:val="0"/>
                <w:sz w:val="15"/>
                <w:szCs w:val="15"/>
                <w:lang w:val="hr-HR"/>
              </w:rPr>
              <w:t>-</w:t>
            </w:r>
          </w:p>
        </w:tc>
        <w:tc>
          <w:tcPr>
            <w:tcW w:w="993"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(808.034)</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1134"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8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bottom w:val="dotted" w:sz="4" w:space="0" w:color="auto"/>
              <w:right w:val="dotted"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r>
      <w:tr w:rsidR="006D419E" w:rsidRPr="001567C8" w:rsidTr="006D419E">
        <w:trPr>
          <w:gridBefore w:val="1"/>
          <w:wBefore w:w="15" w:type="dxa"/>
          <w:trHeight w:hRule="exact" w:val="113"/>
        </w:trPr>
        <w:tc>
          <w:tcPr>
            <w:tcW w:w="2065" w:type="dxa"/>
            <w:gridSpan w:val="2"/>
            <w:tcBorders>
              <w:top w:val="dotted" w:sz="4" w:space="0" w:color="auto"/>
              <w:bottom w:val="single"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jc w:val="both"/>
              <w:rPr>
                <w:rFonts w:asciiTheme="minorHAnsi" w:hAnsiTheme="minorHAnsi" w:cstheme="minorHAnsi"/>
                <w:i/>
                <w:sz w:val="15"/>
                <w:szCs w:val="15"/>
                <w:lang w:val="hr-HR"/>
              </w:rPr>
            </w:pPr>
          </w:p>
        </w:tc>
        <w:tc>
          <w:tcPr>
            <w:tcW w:w="990" w:type="dxa"/>
            <w:gridSpan w:val="2"/>
            <w:tcBorders>
              <w:top w:val="dotted" w:sz="4" w:space="0" w:color="auto"/>
              <w:bottom w:val="single" w:sz="4" w:space="0" w:color="auto"/>
            </w:tcBorders>
            <w:shd w:val="clear" w:color="auto" w:fill="auto"/>
            <w:vAlign w:val="bottom"/>
          </w:tcPr>
          <w:p w:rsidR="006D419E" w:rsidRPr="00CD3A2D" w:rsidRDefault="006D419E" w:rsidP="006D419E">
            <w:pPr>
              <w:rPr>
                <w:rFonts w:asciiTheme="minorHAnsi" w:hAnsiTheme="minorHAnsi" w:cstheme="minorHAnsi"/>
                <w:i/>
                <w:sz w:val="15"/>
                <w:szCs w:val="15"/>
                <w:lang w:val="hr-HR"/>
              </w:rPr>
            </w:pPr>
          </w:p>
        </w:tc>
        <w:tc>
          <w:tcPr>
            <w:tcW w:w="761" w:type="dxa"/>
            <w:gridSpan w:val="2"/>
            <w:tcBorders>
              <w:top w:val="dotted" w:sz="4" w:space="0" w:color="auto"/>
              <w:bottom w:val="single" w:sz="4" w:space="0" w:color="auto"/>
            </w:tcBorders>
            <w:shd w:val="clear" w:color="auto" w:fill="auto"/>
            <w:vAlign w:val="bottom"/>
          </w:tcPr>
          <w:p w:rsidR="006D419E" w:rsidRPr="001567C8" w:rsidRDefault="006D419E" w:rsidP="006D419E">
            <w:pPr>
              <w:pStyle w:val="TT"/>
              <w:spacing w:line="240" w:lineRule="auto"/>
              <w:jc w:val="right"/>
              <w:rPr>
                <w:rFonts w:asciiTheme="minorHAnsi" w:hAnsiTheme="minorHAnsi" w:cstheme="minorHAnsi"/>
                <w:i/>
                <w:snapToGrid w:val="0"/>
                <w:sz w:val="15"/>
                <w:szCs w:val="15"/>
                <w:lang w:val="hr-HR"/>
              </w:rPr>
            </w:pPr>
          </w:p>
        </w:tc>
        <w:tc>
          <w:tcPr>
            <w:tcW w:w="993"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right="280" w:firstLine="0"/>
              <w:jc w:val="right"/>
              <w:rPr>
                <w:rFonts w:asciiTheme="minorHAnsi" w:hAnsiTheme="minorHAnsi" w:cstheme="minorHAnsi"/>
                <w:i/>
                <w:sz w:val="15"/>
                <w:szCs w:val="15"/>
                <w:lang w:val="hr-HR"/>
              </w:rPr>
            </w:pPr>
          </w:p>
        </w:tc>
        <w:tc>
          <w:tcPr>
            <w:tcW w:w="1134"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861"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r>
      <w:tr w:rsidR="006D419E" w:rsidRPr="001567C8" w:rsidTr="006D419E">
        <w:trPr>
          <w:gridBefore w:val="1"/>
          <w:wBefore w:w="15" w:type="dxa"/>
          <w:trHeight w:hRule="exact" w:val="284"/>
        </w:trPr>
        <w:tc>
          <w:tcPr>
            <w:tcW w:w="2065" w:type="dxa"/>
            <w:gridSpan w:val="2"/>
            <w:tcBorders>
              <w:top w:val="single" w:sz="4" w:space="0" w:color="auto"/>
              <w:left w:val="dotted" w:sz="4" w:space="0" w:color="auto"/>
              <w:bottom w:val="double" w:sz="4" w:space="0" w:color="auto"/>
            </w:tcBorders>
            <w:shd w:val="clear" w:color="auto" w:fill="FFFFFF"/>
            <w:vAlign w:val="bottom"/>
          </w:tcPr>
          <w:p w:rsidR="006D419E" w:rsidRPr="00CD3A2D" w:rsidRDefault="006D419E" w:rsidP="006D419E">
            <w:pPr>
              <w:pStyle w:val="Style26"/>
              <w:shd w:val="clear" w:color="auto" w:fill="auto"/>
              <w:spacing w:before="0" w:line="212" w:lineRule="exact"/>
              <w:ind w:firstLine="0"/>
              <w:jc w:val="both"/>
              <w:rPr>
                <w:rFonts w:asciiTheme="minorHAnsi" w:hAnsiTheme="minorHAnsi" w:cstheme="minorHAnsi"/>
                <w:b/>
                <w:sz w:val="15"/>
                <w:szCs w:val="15"/>
                <w:lang w:val="hr-HR"/>
              </w:rPr>
            </w:pPr>
          </w:p>
        </w:tc>
        <w:tc>
          <w:tcPr>
            <w:tcW w:w="990" w:type="dxa"/>
            <w:gridSpan w:val="2"/>
            <w:tcBorders>
              <w:top w:val="single" w:sz="4" w:space="0" w:color="auto"/>
              <w:bottom w:val="double" w:sz="4" w:space="0" w:color="auto"/>
            </w:tcBorders>
            <w:shd w:val="clear" w:color="auto" w:fill="auto"/>
            <w:vAlign w:val="bottom"/>
          </w:tcPr>
          <w:p w:rsidR="006D419E" w:rsidRPr="00CD3A2D" w:rsidRDefault="006D419E" w:rsidP="006D419E">
            <w:pPr>
              <w:jc w:val="center"/>
              <w:rPr>
                <w:rFonts w:asciiTheme="minorHAnsi" w:hAnsiTheme="minorHAnsi" w:cstheme="minorHAnsi"/>
                <w:b/>
                <w:sz w:val="15"/>
                <w:szCs w:val="15"/>
                <w:lang w:val="hr-HR"/>
              </w:rPr>
            </w:pPr>
            <w:r w:rsidRPr="00CD3A2D">
              <w:rPr>
                <w:rFonts w:asciiTheme="minorHAnsi" w:hAnsiTheme="minorHAnsi" w:cstheme="minorHAnsi"/>
                <w:b/>
                <w:sz w:val="15"/>
                <w:szCs w:val="15"/>
                <w:lang w:val="hr-HR"/>
              </w:rPr>
              <w:t>IRP</w:t>
            </w:r>
          </w:p>
        </w:tc>
        <w:tc>
          <w:tcPr>
            <w:tcW w:w="761" w:type="dxa"/>
            <w:gridSpan w:val="2"/>
            <w:tcBorders>
              <w:top w:val="single" w:sz="4" w:space="0" w:color="auto"/>
              <w:bottom w:val="doub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3.277.194</w:t>
            </w:r>
          </w:p>
        </w:tc>
        <w:tc>
          <w:tcPr>
            <w:tcW w:w="993"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(3.277.194)</w:t>
            </w:r>
          </w:p>
        </w:tc>
        <w:tc>
          <w:tcPr>
            <w:tcW w:w="992" w:type="dxa"/>
            <w:gridSpan w:val="2"/>
            <w:tcBorders>
              <w:top w:val="single" w:sz="4" w:space="0" w:color="auto"/>
              <w:bottom w:val="doub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1134" w:type="dxa"/>
            <w:gridSpan w:val="2"/>
            <w:tcBorders>
              <w:top w:val="single" w:sz="4" w:space="0" w:color="auto"/>
              <w:bottom w:val="doub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4" w:space="0" w:color="auto"/>
              <w:bottom w:val="doub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4" w:space="0" w:color="auto"/>
              <w:bottom w:val="doub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861" w:type="dxa"/>
            <w:gridSpan w:val="2"/>
            <w:tcBorders>
              <w:top w:val="single" w:sz="4" w:space="0" w:color="auto"/>
              <w:bottom w:val="doub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4" w:space="0" w:color="auto"/>
              <w:bottom w:val="double" w:sz="4" w:space="0" w:color="auto"/>
              <w:right w:val="dotted" w:sz="4" w:space="0" w:color="auto"/>
            </w:tcBorders>
            <w:shd w:val="clear" w:color="auto" w:fill="FFFFFF"/>
            <w:vAlign w:val="bottom"/>
          </w:tcPr>
          <w:p w:rsidR="006D419E" w:rsidRPr="00CD3A2D" w:rsidRDefault="006D419E" w:rsidP="006D419E">
            <w:pPr>
              <w:jc w:val="center"/>
              <w:rPr>
                <w:rFonts w:asciiTheme="minorHAnsi" w:hAnsiTheme="minorHAnsi" w:cstheme="minorHAnsi"/>
                <w:b/>
                <w:sz w:val="15"/>
                <w:szCs w:val="15"/>
                <w:lang w:val="hr-HR"/>
              </w:rPr>
            </w:pPr>
            <w:r w:rsidRPr="00CD3A2D">
              <w:rPr>
                <w:rFonts w:asciiTheme="minorHAnsi" w:hAnsiTheme="minorHAnsi" w:cstheme="minorHAnsi"/>
                <w:b/>
                <w:sz w:val="15"/>
                <w:szCs w:val="15"/>
                <w:lang w:val="hr-HR"/>
              </w:rPr>
              <w:t>n/p</w:t>
            </w:r>
          </w:p>
        </w:tc>
      </w:tr>
      <w:tr w:rsidR="006D419E" w:rsidRPr="001567C8" w:rsidTr="006D419E">
        <w:trPr>
          <w:gridBefore w:val="1"/>
          <w:wBefore w:w="15" w:type="dxa"/>
          <w:trHeight w:hRule="exact" w:val="132"/>
        </w:trPr>
        <w:tc>
          <w:tcPr>
            <w:tcW w:w="2065" w:type="dxa"/>
            <w:gridSpan w:val="2"/>
            <w:tcBorders>
              <w:top w:val="double"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jc w:val="both"/>
              <w:rPr>
                <w:rFonts w:asciiTheme="minorHAnsi" w:hAnsiTheme="minorHAnsi" w:cstheme="minorHAnsi"/>
                <w:sz w:val="15"/>
                <w:szCs w:val="15"/>
                <w:lang w:val="hr-HR"/>
              </w:rPr>
            </w:pPr>
          </w:p>
        </w:tc>
        <w:tc>
          <w:tcPr>
            <w:tcW w:w="990" w:type="dxa"/>
            <w:gridSpan w:val="2"/>
            <w:tcBorders>
              <w:top w:val="double" w:sz="4" w:space="0" w:color="auto"/>
            </w:tcBorders>
            <w:shd w:val="clear" w:color="auto" w:fill="auto"/>
            <w:vAlign w:val="bottom"/>
          </w:tcPr>
          <w:p w:rsidR="006D419E" w:rsidRPr="00CD3A2D" w:rsidRDefault="006D419E" w:rsidP="006D419E">
            <w:pPr>
              <w:rPr>
                <w:rFonts w:asciiTheme="minorHAnsi" w:hAnsiTheme="minorHAnsi" w:cstheme="minorHAnsi"/>
                <w:sz w:val="15"/>
                <w:szCs w:val="15"/>
                <w:lang w:val="hr-HR"/>
              </w:rPr>
            </w:pPr>
          </w:p>
        </w:tc>
        <w:tc>
          <w:tcPr>
            <w:tcW w:w="761" w:type="dxa"/>
            <w:gridSpan w:val="2"/>
            <w:tcBorders>
              <w:top w:val="double"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p>
        </w:tc>
        <w:tc>
          <w:tcPr>
            <w:tcW w:w="993" w:type="dxa"/>
            <w:gridSpan w:val="2"/>
            <w:tcBorders>
              <w:top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2" w:type="dxa"/>
            <w:gridSpan w:val="2"/>
            <w:tcBorders>
              <w:top w:val="double"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p>
        </w:tc>
        <w:tc>
          <w:tcPr>
            <w:tcW w:w="1134" w:type="dxa"/>
            <w:gridSpan w:val="2"/>
            <w:tcBorders>
              <w:top w:val="double"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p>
        </w:tc>
        <w:tc>
          <w:tcPr>
            <w:tcW w:w="992" w:type="dxa"/>
            <w:gridSpan w:val="2"/>
            <w:tcBorders>
              <w:top w:val="double"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p>
        </w:tc>
        <w:tc>
          <w:tcPr>
            <w:tcW w:w="992" w:type="dxa"/>
            <w:gridSpan w:val="2"/>
            <w:tcBorders>
              <w:top w:val="double"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p>
        </w:tc>
        <w:tc>
          <w:tcPr>
            <w:tcW w:w="861" w:type="dxa"/>
            <w:gridSpan w:val="2"/>
            <w:tcBorders>
              <w:top w:val="double"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p>
        </w:tc>
        <w:tc>
          <w:tcPr>
            <w:tcW w:w="992" w:type="dxa"/>
            <w:gridSpan w:val="2"/>
            <w:tcBorders>
              <w:top w:val="double" w:sz="4" w:space="0" w:color="auto"/>
            </w:tcBorders>
            <w:shd w:val="clear" w:color="auto" w:fill="FFFFFF"/>
            <w:vAlign w:val="bottom"/>
          </w:tcPr>
          <w:p w:rsidR="006D419E" w:rsidRPr="00CD3A2D" w:rsidRDefault="006D419E" w:rsidP="006D419E">
            <w:pPr>
              <w:rPr>
                <w:rFonts w:asciiTheme="minorHAnsi" w:hAnsiTheme="minorHAnsi" w:cstheme="minorHAnsi"/>
                <w:sz w:val="15"/>
                <w:szCs w:val="15"/>
                <w:lang w:val="hr-HR"/>
              </w:rPr>
            </w:pPr>
          </w:p>
        </w:tc>
      </w:tr>
      <w:tr w:rsidR="006D419E" w:rsidRPr="001567C8" w:rsidTr="006D419E">
        <w:trPr>
          <w:gridBefore w:val="1"/>
          <w:wBefore w:w="15" w:type="dxa"/>
          <w:trHeight w:hRule="exact" w:val="204"/>
        </w:trPr>
        <w:tc>
          <w:tcPr>
            <w:tcW w:w="2065" w:type="dxa"/>
            <w:gridSpan w:val="2"/>
            <w:tcBorders>
              <w:bottom w:val="dotted"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jc w:val="both"/>
              <w:rPr>
                <w:rFonts w:asciiTheme="minorHAnsi" w:hAnsiTheme="minorHAnsi" w:cstheme="minorHAnsi"/>
                <w:sz w:val="15"/>
                <w:szCs w:val="15"/>
                <w:lang w:val="hr-HR"/>
              </w:rPr>
            </w:pPr>
            <w:r w:rsidRPr="00CD3A2D">
              <w:rPr>
                <w:rFonts w:asciiTheme="minorHAnsi" w:hAnsiTheme="minorHAnsi" w:cstheme="minorHAnsi"/>
                <w:sz w:val="15"/>
                <w:szCs w:val="15"/>
                <w:lang w:val="hr-HR"/>
              </w:rPr>
              <w:t>Financijska imovina po FVOSD</w:t>
            </w:r>
          </w:p>
        </w:tc>
        <w:tc>
          <w:tcPr>
            <w:tcW w:w="990" w:type="dxa"/>
            <w:gridSpan w:val="2"/>
            <w:tcBorders>
              <w:bottom w:val="dotted" w:sz="4" w:space="0" w:color="auto"/>
            </w:tcBorders>
            <w:shd w:val="clear" w:color="auto" w:fill="auto"/>
            <w:vAlign w:val="bottom"/>
          </w:tcPr>
          <w:p w:rsidR="006D419E" w:rsidRPr="00CD3A2D" w:rsidRDefault="006D419E" w:rsidP="006D419E">
            <w:pPr>
              <w:jc w:val="center"/>
              <w:rPr>
                <w:rFonts w:asciiTheme="minorHAnsi" w:hAnsiTheme="minorHAnsi" w:cstheme="minorHAnsi"/>
                <w:sz w:val="15"/>
                <w:szCs w:val="15"/>
                <w:lang w:val="hr-HR"/>
              </w:rPr>
            </w:pPr>
            <w:r w:rsidRPr="00CD3A2D">
              <w:rPr>
                <w:rFonts w:asciiTheme="minorHAnsi" w:hAnsiTheme="minorHAnsi" w:cstheme="minorHAnsi"/>
                <w:sz w:val="15"/>
                <w:szCs w:val="15"/>
                <w:lang w:val="hr-HR"/>
              </w:rPr>
              <w:t>n/p</w:t>
            </w:r>
          </w:p>
        </w:tc>
        <w:tc>
          <w:tcPr>
            <w:tcW w:w="761"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3"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1134"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861"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2.469.160</w:t>
            </w:r>
          </w:p>
        </w:tc>
        <w:tc>
          <w:tcPr>
            <w:tcW w:w="992" w:type="dxa"/>
            <w:gridSpan w:val="2"/>
            <w:tcBorders>
              <w:bottom w:val="dotted" w:sz="4" w:space="0" w:color="auto"/>
            </w:tcBorders>
            <w:shd w:val="clear" w:color="auto" w:fill="FFFFFF"/>
            <w:vAlign w:val="bottom"/>
          </w:tcPr>
          <w:p w:rsidR="006D419E" w:rsidRPr="00CD3A2D" w:rsidRDefault="006D419E" w:rsidP="006D419E">
            <w:pPr>
              <w:jc w:val="center"/>
              <w:rPr>
                <w:rFonts w:asciiTheme="minorHAnsi" w:hAnsiTheme="minorHAnsi" w:cstheme="minorHAnsi"/>
                <w:sz w:val="15"/>
                <w:szCs w:val="15"/>
                <w:lang w:val="hr-HR"/>
              </w:rPr>
            </w:pPr>
            <w:r w:rsidRPr="00CD3A2D">
              <w:rPr>
                <w:rFonts w:asciiTheme="minorHAnsi" w:hAnsiTheme="minorHAnsi" w:cstheme="minorHAnsi"/>
                <w:sz w:val="15"/>
                <w:szCs w:val="15"/>
                <w:lang w:val="hr-HR"/>
              </w:rPr>
              <w:t>FVOSD</w:t>
            </w:r>
          </w:p>
        </w:tc>
      </w:tr>
      <w:tr w:rsidR="006D419E" w:rsidRPr="001567C8" w:rsidTr="006D419E">
        <w:trPr>
          <w:gridBefore w:val="1"/>
          <w:wBefore w:w="15" w:type="dxa"/>
          <w:trHeight w:hRule="exact" w:val="204"/>
        </w:trPr>
        <w:tc>
          <w:tcPr>
            <w:tcW w:w="2065" w:type="dxa"/>
            <w:gridSpan w:val="2"/>
            <w:tcBorders>
              <w:top w:val="dotted" w:sz="4" w:space="0" w:color="auto"/>
              <w:left w:val="dotted" w:sz="4" w:space="0" w:color="auto"/>
              <w:bottom w:val="dotted" w:sz="4" w:space="0" w:color="auto"/>
            </w:tcBorders>
            <w:shd w:val="clear" w:color="auto" w:fill="FFFFFF"/>
            <w:vAlign w:val="bottom"/>
          </w:tcPr>
          <w:p w:rsidR="006D419E" w:rsidRPr="00CD3A2D" w:rsidRDefault="006D419E" w:rsidP="006D419E">
            <w:pPr>
              <w:pStyle w:val="Style26"/>
              <w:shd w:val="clear" w:color="auto" w:fill="auto"/>
              <w:spacing w:before="0" w:line="212" w:lineRule="exact"/>
              <w:ind w:firstLine="0"/>
              <w:rPr>
                <w:rFonts w:asciiTheme="minorHAnsi" w:hAnsiTheme="minorHAnsi" w:cstheme="minorHAnsi"/>
                <w:i/>
                <w:sz w:val="15"/>
                <w:szCs w:val="15"/>
                <w:lang w:val="hr-HR"/>
              </w:rPr>
            </w:pPr>
            <w:r w:rsidRPr="00CD3A2D">
              <w:rPr>
                <w:rFonts w:asciiTheme="minorHAnsi" w:hAnsiTheme="minorHAnsi" w:cstheme="minorHAnsi"/>
                <w:i/>
                <w:sz w:val="15"/>
                <w:szCs w:val="15"/>
                <w:lang w:val="hr-HR"/>
              </w:rPr>
              <w:t>Sa pozicije:  IRP</w:t>
            </w:r>
            <w:r w:rsidRPr="00CD3A2D">
              <w:rPr>
                <w:rStyle w:val="FootnoteReference"/>
                <w:rFonts w:asciiTheme="minorHAnsi" w:hAnsiTheme="minorHAnsi" w:cstheme="minorHAnsi"/>
                <w:i/>
                <w:sz w:val="15"/>
                <w:szCs w:val="15"/>
                <w:lang w:val="hr-HR"/>
              </w:rPr>
              <w:footnoteReference w:id="16"/>
            </w:r>
            <w:r w:rsidRPr="00CD3A2D">
              <w:rPr>
                <w:rFonts w:asciiTheme="minorHAnsi" w:hAnsiTheme="minorHAnsi" w:cstheme="minorHAnsi"/>
                <w:i/>
                <w:sz w:val="15"/>
                <w:szCs w:val="15"/>
                <w:lang w:val="hr-HR"/>
              </w:rPr>
              <w:t xml:space="preserve">                           </w:t>
            </w:r>
            <w:r w:rsidRPr="00CD3A2D">
              <w:rPr>
                <w:rFonts w:asciiTheme="minorHAnsi" w:hAnsiTheme="minorHAnsi" w:cstheme="minorHAnsi"/>
                <w:b/>
                <w:i/>
                <w:sz w:val="15"/>
                <w:szCs w:val="15"/>
                <w:lang w:val="hr-HR"/>
              </w:rPr>
              <w:t>E</w:t>
            </w:r>
          </w:p>
        </w:tc>
        <w:tc>
          <w:tcPr>
            <w:tcW w:w="990" w:type="dxa"/>
            <w:gridSpan w:val="2"/>
            <w:tcBorders>
              <w:top w:val="dotted" w:sz="4" w:space="0" w:color="auto"/>
              <w:bottom w:val="dotted" w:sz="4" w:space="0" w:color="auto"/>
            </w:tcBorders>
            <w:shd w:val="clear" w:color="auto" w:fill="auto"/>
            <w:vAlign w:val="bottom"/>
          </w:tcPr>
          <w:p w:rsidR="006D419E" w:rsidRPr="00CD3A2D" w:rsidRDefault="006D419E" w:rsidP="006D419E">
            <w:pPr>
              <w:rPr>
                <w:rFonts w:asciiTheme="minorHAnsi" w:hAnsiTheme="minorHAnsi" w:cstheme="minorHAnsi"/>
                <w:i/>
                <w:sz w:val="15"/>
                <w:szCs w:val="15"/>
                <w:lang w:val="hr-HR"/>
              </w:rPr>
            </w:pPr>
          </w:p>
        </w:tc>
        <w:tc>
          <w:tcPr>
            <w:tcW w:w="761"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3" w:type="dxa"/>
            <w:gridSpan w:val="2"/>
            <w:tcBorders>
              <w:top w:val="dotted" w:sz="4" w:space="0" w:color="auto"/>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2.469.160</w:t>
            </w:r>
          </w:p>
        </w:tc>
        <w:tc>
          <w:tcPr>
            <w:tcW w:w="992"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1134"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861" w:type="dxa"/>
            <w:gridSpan w:val="2"/>
            <w:tcBorders>
              <w:top w:val="dotted" w:sz="4" w:space="0" w:color="auto"/>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bottom w:val="dotted" w:sz="4" w:space="0" w:color="auto"/>
              <w:right w:val="dotted"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r>
      <w:tr w:rsidR="006D419E" w:rsidRPr="001567C8" w:rsidTr="006D419E">
        <w:trPr>
          <w:gridBefore w:val="1"/>
          <w:wBefore w:w="15" w:type="dxa"/>
          <w:trHeight w:hRule="exact" w:val="113"/>
        </w:trPr>
        <w:tc>
          <w:tcPr>
            <w:tcW w:w="2065" w:type="dxa"/>
            <w:gridSpan w:val="2"/>
            <w:tcBorders>
              <w:top w:val="dotted" w:sz="4" w:space="0" w:color="auto"/>
              <w:left w:val="dotted" w:sz="4" w:space="0" w:color="auto"/>
              <w:bottom w:val="single" w:sz="4" w:space="0" w:color="auto"/>
            </w:tcBorders>
            <w:shd w:val="clear" w:color="auto" w:fill="FFFFFF"/>
            <w:vAlign w:val="bottom"/>
          </w:tcPr>
          <w:p w:rsidR="006D419E" w:rsidRPr="00CD3A2D" w:rsidRDefault="006D419E" w:rsidP="006D419E">
            <w:pPr>
              <w:pStyle w:val="Style26"/>
              <w:shd w:val="clear" w:color="auto" w:fill="auto"/>
              <w:spacing w:before="0" w:line="212" w:lineRule="exact"/>
              <w:ind w:firstLine="0"/>
              <w:rPr>
                <w:rFonts w:asciiTheme="minorHAnsi" w:hAnsiTheme="minorHAnsi" w:cstheme="minorHAnsi"/>
                <w:i/>
                <w:sz w:val="15"/>
                <w:szCs w:val="15"/>
                <w:lang w:val="hr-HR"/>
              </w:rPr>
            </w:pPr>
          </w:p>
        </w:tc>
        <w:tc>
          <w:tcPr>
            <w:tcW w:w="990" w:type="dxa"/>
            <w:gridSpan w:val="2"/>
            <w:tcBorders>
              <w:top w:val="dotted" w:sz="4" w:space="0" w:color="auto"/>
              <w:bottom w:val="single" w:sz="4" w:space="0" w:color="auto"/>
            </w:tcBorders>
            <w:shd w:val="clear" w:color="auto" w:fill="auto"/>
            <w:vAlign w:val="bottom"/>
          </w:tcPr>
          <w:p w:rsidR="006D419E" w:rsidRPr="00CD3A2D" w:rsidRDefault="006D419E" w:rsidP="006D419E">
            <w:pPr>
              <w:rPr>
                <w:rFonts w:asciiTheme="minorHAnsi" w:hAnsiTheme="minorHAnsi" w:cstheme="minorHAnsi"/>
                <w:i/>
                <w:sz w:val="15"/>
                <w:szCs w:val="15"/>
                <w:lang w:val="hr-HR"/>
              </w:rPr>
            </w:pPr>
          </w:p>
        </w:tc>
        <w:tc>
          <w:tcPr>
            <w:tcW w:w="761"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c>
          <w:tcPr>
            <w:tcW w:w="993"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c>
          <w:tcPr>
            <w:tcW w:w="1134"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c>
          <w:tcPr>
            <w:tcW w:w="861"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right w:val="dotted"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r>
      <w:tr w:rsidR="006D419E" w:rsidRPr="001567C8" w:rsidTr="006D419E">
        <w:trPr>
          <w:gridBefore w:val="1"/>
          <w:wBefore w:w="15" w:type="dxa"/>
          <w:trHeight w:hRule="exact" w:val="284"/>
        </w:trPr>
        <w:tc>
          <w:tcPr>
            <w:tcW w:w="2065" w:type="dxa"/>
            <w:gridSpan w:val="2"/>
            <w:tcBorders>
              <w:top w:val="single" w:sz="4" w:space="0" w:color="auto"/>
              <w:bottom w:val="double"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c>
          <w:tcPr>
            <w:tcW w:w="990"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b/>
                <w:sz w:val="15"/>
                <w:szCs w:val="15"/>
                <w:lang w:val="hr-HR"/>
              </w:rPr>
            </w:pPr>
            <w:r w:rsidRPr="00CD3A2D">
              <w:rPr>
                <w:rFonts w:asciiTheme="minorHAnsi" w:hAnsiTheme="minorHAnsi" w:cstheme="minorHAnsi"/>
                <w:b/>
                <w:sz w:val="15"/>
                <w:szCs w:val="15"/>
                <w:lang w:val="hr-HR"/>
              </w:rPr>
              <w:t>n/p</w:t>
            </w:r>
          </w:p>
        </w:tc>
        <w:tc>
          <w:tcPr>
            <w:tcW w:w="761"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3"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2.469.160</w:t>
            </w:r>
          </w:p>
        </w:tc>
        <w:tc>
          <w:tcPr>
            <w:tcW w:w="992"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1134" w:type="dxa"/>
            <w:gridSpan w:val="2"/>
            <w:tcBorders>
              <w:top w:val="single" w:sz="4" w:space="0" w:color="auto"/>
              <w:bottom w:val="doub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4" w:space="0" w:color="auto"/>
              <w:bottom w:val="doub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4" w:space="0" w:color="auto"/>
              <w:bottom w:val="doub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w:t>
            </w:r>
          </w:p>
        </w:tc>
        <w:tc>
          <w:tcPr>
            <w:tcW w:w="861"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2.469.160</w:t>
            </w:r>
          </w:p>
        </w:tc>
        <w:tc>
          <w:tcPr>
            <w:tcW w:w="992" w:type="dxa"/>
            <w:gridSpan w:val="2"/>
            <w:tcBorders>
              <w:top w:val="single" w:sz="4" w:space="0" w:color="auto"/>
              <w:bottom w:val="double" w:sz="4" w:space="0" w:color="auto"/>
            </w:tcBorders>
            <w:shd w:val="clear" w:color="auto" w:fill="FFFFFF"/>
            <w:vAlign w:val="bottom"/>
          </w:tcPr>
          <w:p w:rsidR="006D419E" w:rsidRPr="00CD3A2D" w:rsidRDefault="006D419E" w:rsidP="006D419E">
            <w:pPr>
              <w:jc w:val="center"/>
              <w:rPr>
                <w:rFonts w:asciiTheme="minorHAnsi" w:hAnsiTheme="minorHAnsi" w:cstheme="minorHAnsi"/>
                <w:b/>
                <w:sz w:val="15"/>
                <w:szCs w:val="15"/>
                <w:lang w:val="hr-HR"/>
              </w:rPr>
            </w:pPr>
            <w:r w:rsidRPr="00CD3A2D">
              <w:rPr>
                <w:rFonts w:asciiTheme="minorHAnsi" w:hAnsiTheme="minorHAnsi" w:cstheme="minorHAnsi"/>
                <w:b/>
                <w:sz w:val="15"/>
                <w:szCs w:val="15"/>
                <w:lang w:val="hr-HR"/>
              </w:rPr>
              <w:t>FVOSD</w:t>
            </w:r>
          </w:p>
        </w:tc>
      </w:tr>
      <w:tr w:rsidR="006D419E" w:rsidRPr="001567C8" w:rsidTr="006D419E">
        <w:trPr>
          <w:gridBefore w:val="1"/>
          <w:wBefore w:w="15" w:type="dxa"/>
          <w:trHeight w:hRule="exact" w:val="147"/>
        </w:trPr>
        <w:tc>
          <w:tcPr>
            <w:tcW w:w="2065" w:type="dxa"/>
            <w:gridSpan w:val="2"/>
            <w:tcBorders>
              <w:top w:val="single"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c>
          <w:tcPr>
            <w:tcW w:w="990" w:type="dxa"/>
            <w:gridSpan w:val="2"/>
            <w:tcBorders>
              <w:top w:val="sing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b/>
                <w:sz w:val="15"/>
                <w:szCs w:val="15"/>
                <w:lang w:val="hr-HR"/>
              </w:rPr>
            </w:pPr>
          </w:p>
        </w:tc>
        <w:tc>
          <w:tcPr>
            <w:tcW w:w="761" w:type="dxa"/>
            <w:gridSpan w:val="2"/>
            <w:tcBorders>
              <w:top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p>
        </w:tc>
        <w:tc>
          <w:tcPr>
            <w:tcW w:w="993" w:type="dxa"/>
            <w:gridSpan w:val="2"/>
            <w:tcBorders>
              <w:top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p>
        </w:tc>
        <w:tc>
          <w:tcPr>
            <w:tcW w:w="992" w:type="dxa"/>
            <w:gridSpan w:val="2"/>
            <w:tcBorders>
              <w:top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p>
        </w:tc>
        <w:tc>
          <w:tcPr>
            <w:tcW w:w="1134" w:type="dxa"/>
            <w:gridSpan w:val="2"/>
            <w:tcBorders>
              <w:top w:val="sing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p>
        </w:tc>
        <w:tc>
          <w:tcPr>
            <w:tcW w:w="992"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p>
        </w:tc>
        <w:tc>
          <w:tcPr>
            <w:tcW w:w="992" w:type="dxa"/>
            <w:gridSpan w:val="2"/>
            <w:tcBorders>
              <w:top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p>
        </w:tc>
        <w:tc>
          <w:tcPr>
            <w:tcW w:w="861" w:type="dxa"/>
            <w:gridSpan w:val="2"/>
            <w:tcBorders>
              <w:top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p>
        </w:tc>
        <w:tc>
          <w:tcPr>
            <w:tcW w:w="992" w:type="dxa"/>
            <w:gridSpan w:val="2"/>
            <w:tcBorders>
              <w:top w:val="single" w:sz="4" w:space="0" w:color="auto"/>
            </w:tcBorders>
            <w:shd w:val="clear" w:color="auto" w:fill="FFFFFF"/>
            <w:vAlign w:val="bottom"/>
          </w:tcPr>
          <w:p w:rsidR="006D419E" w:rsidRPr="00CD3A2D" w:rsidRDefault="006D419E" w:rsidP="006D419E">
            <w:pPr>
              <w:jc w:val="center"/>
              <w:rPr>
                <w:rFonts w:asciiTheme="minorHAnsi" w:hAnsiTheme="minorHAnsi" w:cstheme="minorHAnsi"/>
                <w:b/>
                <w:sz w:val="15"/>
                <w:szCs w:val="15"/>
                <w:lang w:val="hr-HR"/>
              </w:rPr>
            </w:pPr>
          </w:p>
        </w:tc>
      </w:tr>
      <w:tr w:rsidR="006D419E" w:rsidRPr="001567C8" w:rsidTr="006D419E">
        <w:trPr>
          <w:gridBefore w:val="1"/>
          <w:wBefore w:w="15" w:type="dxa"/>
          <w:trHeight w:hRule="exact" w:val="204"/>
        </w:trPr>
        <w:tc>
          <w:tcPr>
            <w:tcW w:w="2065" w:type="dxa"/>
            <w:gridSpan w:val="2"/>
            <w:tcBorders>
              <w:bottom w:val="dotted" w:sz="4" w:space="0" w:color="auto"/>
            </w:tcBorders>
            <w:shd w:val="clear" w:color="auto" w:fill="FFFFFF"/>
            <w:vAlign w:val="center"/>
          </w:tcPr>
          <w:p w:rsidR="006D419E" w:rsidRPr="00CD3A2D" w:rsidRDefault="006D419E" w:rsidP="006D419E">
            <w:pPr>
              <w:pStyle w:val="Style26"/>
              <w:shd w:val="clear" w:color="auto" w:fill="auto"/>
              <w:spacing w:before="0" w:line="178" w:lineRule="exact"/>
              <w:ind w:firstLine="0"/>
              <w:rPr>
                <w:rFonts w:asciiTheme="minorHAnsi" w:hAnsiTheme="minorHAnsi" w:cstheme="minorHAnsi"/>
                <w:sz w:val="15"/>
                <w:szCs w:val="15"/>
                <w:lang w:val="hr-HR"/>
              </w:rPr>
            </w:pPr>
            <w:r w:rsidRPr="00CD3A2D">
              <w:rPr>
                <w:rFonts w:asciiTheme="minorHAnsi" w:hAnsiTheme="minorHAnsi" w:cstheme="minorHAnsi"/>
                <w:sz w:val="15"/>
                <w:szCs w:val="15"/>
                <w:lang w:val="hr-HR"/>
              </w:rPr>
              <w:t>Financijska imovina po FV</w:t>
            </w:r>
            <w:r w:rsidR="00EF641B" w:rsidRPr="00CD3A2D">
              <w:rPr>
                <w:rFonts w:asciiTheme="minorHAnsi" w:hAnsiTheme="minorHAnsi" w:cstheme="minorHAnsi"/>
                <w:sz w:val="15"/>
                <w:szCs w:val="15"/>
                <w:lang w:val="hr-HR"/>
              </w:rPr>
              <w:t>R</w:t>
            </w:r>
            <w:r w:rsidRPr="00CD3A2D">
              <w:rPr>
                <w:rFonts w:asciiTheme="minorHAnsi" w:hAnsiTheme="minorHAnsi" w:cstheme="minorHAnsi"/>
                <w:sz w:val="15"/>
                <w:szCs w:val="15"/>
                <w:lang w:val="hr-HR"/>
              </w:rPr>
              <w:t>DG</w:t>
            </w:r>
          </w:p>
        </w:tc>
        <w:tc>
          <w:tcPr>
            <w:tcW w:w="990"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r w:rsidRPr="00CD3A2D">
              <w:rPr>
                <w:rFonts w:asciiTheme="minorHAnsi" w:hAnsiTheme="minorHAnsi" w:cstheme="minorHAnsi"/>
                <w:sz w:val="15"/>
                <w:szCs w:val="15"/>
                <w:lang w:val="hr-HR"/>
              </w:rPr>
              <w:t>n/p</w:t>
            </w:r>
          </w:p>
        </w:tc>
        <w:tc>
          <w:tcPr>
            <w:tcW w:w="7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3"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1134"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w:t>
            </w:r>
          </w:p>
        </w:tc>
        <w:tc>
          <w:tcPr>
            <w:tcW w:w="8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812.050</w:t>
            </w:r>
          </w:p>
        </w:tc>
        <w:tc>
          <w:tcPr>
            <w:tcW w:w="992" w:type="dxa"/>
            <w:gridSpan w:val="2"/>
            <w:tcBorders>
              <w:bottom w:val="dotted" w:sz="4" w:space="0" w:color="auto"/>
            </w:tcBorders>
            <w:shd w:val="clear" w:color="auto" w:fill="FFFFFF"/>
            <w:vAlign w:val="bottom"/>
          </w:tcPr>
          <w:p w:rsidR="006D419E" w:rsidRPr="00CD3A2D" w:rsidRDefault="006D419E" w:rsidP="006D419E">
            <w:pPr>
              <w:jc w:val="center"/>
              <w:rPr>
                <w:rFonts w:asciiTheme="minorHAnsi" w:hAnsiTheme="minorHAnsi" w:cstheme="minorHAnsi"/>
                <w:sz w:val="15"/>
                <w:szCs w:val="15"/>
                <w:lang w:val="hr-HR"/>
              </w:rPr>
            </w:pPr>
            <w:r w:rsidRPr="00CD3A2D">
              <w:rPr>
                <w:rFonts w:asciiTheme="minorHAnsi" w:hAnsiTheme="minorHAnsi" w:cstheme="minorHAnsi"/>
                <w:sz w:val="15"/>
                <w:szCs w:val="15"/>
                <w:lang w:val="hr-HR"/>
              </w:rPr>
              <w:t>FV</w:t>
            </w:r>
            <w:r w:rsidR="00EF641B" w:rsidRPr="00CD3A2D">
              <w:rPr>
                <w:rFonts w:asciiTheme="minorHAnsi" w:hAnsiTheme="minorHAnsi" w:cstheme="minorHAnsi"/>
                <w:sz w:val="15"/>
                <w:szCs w:val="15"/>
                <w:lang w:val="hr-HR"/>
              </w:rPr>
              <w:t>R</w:t>
            </w:r>
            <w:r w:rsidRPr="00CD3A2D">
              <w:rPr>
                <w:rFonts w:asciiTheme="minorHAnsi" w:hAnsiTheme="minorHAnsi" w:cstheme="minorHAnsi"/>
                <w:sz w:val="15"/>
                <w:szCs w:val="15"/>
                <w:lang w:val="hr-HR"/>
              </w:rPr>
              <w:t>DG</w:t>
            </w:r>
          </w:p>
        </w:tc>
      </w:tr>
      <w:tr w:rsidR="006D419E" w:rsidRPr="001567C8" w:rsidTr="006D419E">
        <w:trPr>
          <w:gridBefore w:val="1"/>
          <w:wBefore w:w="15" w:type="dxa"/>
          <w:trHeight w:hRule="exact" w:val="204"/>
        </w:trPr>
        <w:tc>
          <w:tcPr>
            <w:tcW w:w="2065" w:type="dxa"/>
            <w:gridSpan w:val="2"/>
            <w:tcBorders>
              <w:top w:val="dotted" w:sz="4" w:space="0" w:color="auto"/>
              <w:left w:val="dotted" w:sz="4" w:space="0" w:color="auto"/>
            </w:tcBorders>
            <w:shd w:val="clear" w:color="auto" w:fill="FFFFFF"/>
            <w:vAlign w:val="bottom"/>
          </w:tcPr>
          <w:p w:rsidR="006D419E" w:rsidRPr="00CD3A2D" w:rsidRDefault="006D419E" w:rsidP="006D419E">
            <w:pPr>
              <w:pStyle w:val="Style26"/>
              <w:shd w:val="clear" w:color="auto" w:fill="auto"/>
              <w:spacing w:before="0" w:line="178" w:lineRule="exact"/>
              <w:ind w:firstLine="0"/>
              <w:rPr>
                <w:rFonts w:asciiTheme="minorHAnsi" w:hAnsiTheme="minorHAnsi" w:cstheme="minorHAnsi"/>
                <w:i/>
                <w:sz w:val="15"/>
                <w:szCs w:val="15"/>
                <w:lang w:val="hr-HR"/>
              </w:rPr>
            </w:pPr>
            <w:r w:rsidRPr="00CD3A2D">
              <w:rPr>
                <w:rFonts w:asciiTheme="minorHAnsi" w:hAnsiTheme="minorHAnsi" w:cstheme="minorHAnsi"/>
                <w:i/>
                <w:sz w:val="15"/>
                <w:szCs w:val="15"/>
                <w:lang w:val="hr-HR"/>
              </w:rPr>
              <w:t xml:space="preserve">Sa pozicije: IRP                               </w:t>
            </w:r>
            <w:r w:rsidRPr="00CD3A2D">
              <w:rPr>
                <w:rFonts w:asciiTheme="minorHAnsi" w:hAnsiTheme="minorHAnsi" w:cstheme="minorHAnsi"/>
                <w:b/>
                <w:i/>
                <w:sz w:val="15"/>
                <w:szCs w:val="15"/>
                <w:lang w:val="hr-HR"/>
              </w:rPr>
              <w:t>F</w:t>
            </w:r>
          </w:p>
        </w:tc>
        <w:tc>
          <w:tcPr>
            <w:tcW w:w="990" w:type="dxa"/>
            <w:gridSpan w:val="2"/>
            <w:tcBorders>
              <w:top w:val="dotted" w:sz="4" w:space="0" w:color="auto"/>
            </w:tcBorders>
            <w:shd w:val="clear" w:color="auto" w:fill="auto"/>
            <w:vAlign w:val="bottom"/>
          </w:tcPr>
          <w:p w:rsidR="006D419E" w:rsidRPr="00CD3A2D" w:rsidRDefault="006D419E" w:rsidP="006D419E">
            <w:pPr>
              <w:rPr>
                <w:rFonts w:asciiTheme="minorHAnsi" w:hAnsiTheme="minorHAnsi" w:cstheme="minorHAnsi"/>
                <w:i/>
                <w:sz w:val="15"/>
                <w:szCs w:val="15"/>
                <w:lang w:val="hr-HR"/>
              </w:rPr>
            </w:pPr>
          </w:p>
        </w:tc>
        <w:tc>
          <w:tcPr>
            <w:tcW w:w="761" w:type="dxa"/>
            <w:gridSpan w:val="2"/>
            <w:tcBorders>
              <w:top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3"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808.034</w:t>
            </w:r>
          </w:p>
        </w:tc>
        <w:tc>
          <w:tcPr>
            <w:tcW w:w="992"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1134" w:type="dxa"/>
            <w:gridSpan w:val="2"/>
            <w:tcBorders>
              <w:top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861" w:type="dxa"/>
            <w:gridSpan w:val="2"/>
            <w:tcBorders>
              <w:top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808.034</w:t>
            </w:r>
          </w:p>
        </w:tc>
        <w:tc>
          <w:tcPr>
            <w:tcW w:w="992" w:type="dxa"/>
            <w:gridSpan w:val="2"/>
            <w:tcBorders>
              <w:top w:val="dotted" w:sz="4" w:space="0" w:color="auto"/>
              <w:right w:val="dotted"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r>
      <w:tr w:rsidR="006D419E" w:rsidRPr="001567C8" w:rsidTr="006D419E">
        <w:trPr>
          <w:gridBefore w:val="1"/>
          <w:wBefore w:w="15" w:type="dxa"/>
          <w:trHeight w:hRule="exact" w:val="413"/>
        </w:trPr>
        <w:tc>
          <w:tcPr>
            <w:tcW w:w="2065" w:type="dxa"/>
            <w:gridSpan w:val="2"/>
            <w:tcBorders>
              <w:left w:val="dotted" w:sz="4" w:space="0" w:color="auto"/>
              <w:bottom w:val="dotted"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r w:rsidRPr="00CD3A2D">
              <w:rPr>
                <w:rFonts w:asciiTheme="minorHAnsi" w:hAnsiTheme="minorHAnsi" w:cstheme="minorHAnsi"/>
                <w:i/>
                <w:sz w:val="15"/>
                <w:szCs w:val="15"/>
                <w:lang w:val="hr-HR"/>
              </w:rPr>
              <w:t xml:space="preserve">Sa pozicije: Krediti ostalim korisnicima                                    </w:t>
            </w:r>
            <w:r w:rsidRPr="00CD3A2D">
              <w:rPr>
                <w:rFonts w:asciiTheme="minorHAnsi" w:hAnsiTheme="minorHAnsi" w:cstheme="minorHAnsi"/>
                <w:b/>
                <w:i/>
                <w:sz w:val="15"/>
                <w:szCs w:val="15"/>
                <w:lang w:val="hr-HR"/>
              </w:rPr>
              <w:t>G</w:t>
            </w:r>
          </w:p>
        </w:tc>
        <w:tc>
          <w:tcPr>
            <w:tcW w:w="990"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i/>
                <w:sz w:val="15"/>
                <w:szCs w:val="15"/>
                <w:lang w:val="hr-HR"/>
              </w:rPr>
            </w:pPr>
          </w:p>
        </w:tc>
        <w:tc>
          <w:tcPr>
            <w:tcW w:w="7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3"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3.840</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1134"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bottom w:val="dotted"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bottom w:val="dotted"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i/>
                <w:sz w:val="15"/>
                <w:szCs w:val="15"/>
                <w:lang w:val="hr-HR"/>
              </w:rPr>
            </w:pPr>
            <w:r w:rsidRPr="001567C8">
              <w:rPr>
                <w:rStyle w:val="CharStyle65"/>
                <w:rFonts w:asciiTheme="minorHAnsi" w:hAnsiTheme="minorHAnsi" w:cstheme="minorHAnsi"/>
                <w:i/>
                <w:sz w:val="15"/>
                <w:szCs w:val="15"/>
                <w:lang w:val="hr-HR"/>
              </w:rPr>
              <w:t>176</w:t>
            </w:r>
          </w:p>
        </w:tc>
        <w:tc>
          <w:tcPr>
            <w:tcW w:w="8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4.016</w:t>
            </w:r>
          </w:p>
        </w:tc>
        <w:tc>
          <w:tcPr>
            <w:tcW w:w="992" w:type="dxa"/>
            <w:gridSpan w:val="2"/>
            <w:tcBorders>
              <w:bottom w:val="dotted" w:sz="4" w:space="0" w:color="auto"/>
              <w:right w:val="dotted" w:sz="4" w:space="0" w:color="auto"/>
            </w:tcBorders>
            <w:shd w:val="clear" w:color="auto" w:fill="FFFFFF"/>
            <w:vAlign w:val="bottom"/>
          </w:tcPr>
          <w:p w:rsidR="006D419E" w:rsidRPr="00CD3A2D" w:rsidRDefault="006D419E" w:rsidP="006D419E">
            <w:pPr>
              <w:jc w:val="center"/>
              <w:rPr>
                <w:rFonts w:asciiTheme="minorHAnsi" w:hAnsiTheme="minorHAnsi" w:cstheme="minorHAnsi"/>
                <w:b/>
                <w:sz w:val="15"/>
                <w:szCs w:val="15"/>
                <w:lang w:val="hr-HR"/>
              </w:rPr>
            </w:pPr>
          </w:p>
        </w:tc>
      </w:tr>
      <w:tr w:rsidR="006D419E" w:rsidRPr="001567C8" w:rsidTr="006D419E">
        <w:trPr>
          <w:gridBefore w:val="1"/>
          <w:wBefore w:w="15" w:type="dxa"/>
          <w:trHeight w:hRule="exact" w:val="57"/>
        </w:trPr>
        <w:tc>
          <w:tcPr>
            <w:tcW w:w="2065" w:type="dxa"/>
            <w:gridSpan w:val="2"/>
            <w:tcBorders>
              <w:top w:val="dotted" w:sz="4" w:space="0" w:color="auto"/>
              <w:bottom w:val="single" w:sz="4" w:space="0" w:color="auto"/>
            </w:tcBorders>
            <w:shd w:val="clear" w:color="auto" w:fill="FFFFFF"/>
            <w:vAlign w:val="bottom"/>
          </w:tcPr>
          <w:p w:rsidR="006D419E" w:rsidRPr="00CD3A2D" w:rsidRDefault="006D419E" w:rsidP="006D419E">
            <w:pPr>
              <w:ind w:left="273"/>
              <w:rPr>
                <w:rFonts w:asciiTheme="minorHAnsi" w:hAnsiTheme="minorHAnsi" w:cstheme="minorHAnsi"/>
                <w:i/>
                <w:sz w:val="15"/>
                <w:szCs w:val="15"/>
                <w:lang w:val="hr-HR"/>
              </w:rPr>
            </w:pPr>
          </w:p>
        </w:tc>
        <w:tc>
          <w:tcPr>
            <w:tcW w:w="990"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i/>
                <w:sz w:val="15"/>
                <w:szCs w:val="15"/>
                <w:lang w:val="hr-HR"/>
              </w:rPr>
            </w:pPr>
          </w:p>
        </w:tc>
        <w:tc>
          <w:tcPr>
            <w:tcW w:w="761"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3"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1134" w:type="dxa"/>
            <w:gridSpan w:val="2"/>
            <w:tcBorders>
              <w:top w:val="dotted" w:sz="4" w:space="0" w:color="auto"/>
              <w:bottom w:val="single"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i/>
                <w:sz w:val="15"/>
                <w:szCs w:val="15"/>
                <w:lang w:val="hr-HR"/>
              </w:rPr>
            </w:pPr>
          </w:p>
        </w:tc>
        <w:tc>
          <w:tcPr>
            <w:tcW w:w="861" w:type="dxa"/>
            <w:gridSpan w:val="2"/>
            <w:tcBorders>
              <w:top w:val="dotted" w:sz="4" w:space="0" w:color="auto"/>
              <w:bottom w:val="sing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2" w:type="dxa"/>
            <w:gridSpan w:val="2"/>
            <w:tcBorders>
              <w:top w:val="dotted" w:sz="4" w:space="0" w:color="auto"/>
              <w:bottom w:val="single" w:sz="4" w:space="0" w:color="auto"/>
            </w:tcBorders>
            <w:shd w:val="clear" w:color="auto" w:fill="FFFFFF"/>
            <w:vAlign w:val="bottom"/>
          </w:tcPr>
          <w:p w:rsidR="006D419E" w:rsidRPr="00CD3A2D" w:rsidRDefault="006D419E" w:rsidP="006D419E">
            <w:pPr>
              <w:jc w:val="center"/>
              <w:rPr>
                <w:rFonts w:asciiTheme="minorHAnsi" w:hAnsiTheme="minorHAnsi" w:cstheme="minorHAnsi"/>
                <w:b/>
                <w:sz w:val="15"/>
                <w:szCs w:val="15"/>
                <w:lang w:val="hr-HR"/>
              </w:rPr>
            </w:pPr>
          </w:p>
        </w:tc>
      </w:tr>
      <w:tr w:rsidR="006D419E" w:rsidRPr="001567C8" w:rsidTr="006D419E">
        <w:trPr>
          <w:gridBefore w:val="1"/>
          <w:wBefore w:w="15" w:type="dxa"/>
          <w:trHeight w:hRule="exact" w:val="284"/>
        </w:trPr>
        <w:tc>
          <w:tcPr>
            <w:tcW w:w="2065" w:type="dxa"/>
            <w:gridSpan w:val="2"/>
            <w:tcBorders>
              <w:top w:val="single" w:sz="4" w:space="0" w:color="auto"/>
              <w:bottom w:val="double" w:sz="4" w:space="0" w:color="auto"/>
            </w:tcBorders>
            <w:shd w:val="clear" w:color="auto" w:fill="FFFFFF"/>
            <w:vAlign w:val="bottom"/>
          </w:tcPr>
          <w:p w:rsidR="006D419E" w:rsidRPr="00CD3A2D" w:rsidRDefault="006D419E" w:rsidP="006D419E">
            <w:pPr>
              <w:rPr>
                <w:rFonts w:asciiTheme="minorHAnsi" w:hAnsiTheme="minorHAnsi" w:cstheme="minorHAnsi"/>
                <w:sz w:val="15"/>
                <w:szCs w:val="15"/>
                <w:lang w:val="hr-HR"/>
              </w:rPr>
            </w:pPr>
          </w:p>
        </w:tc>
        <w:tc>
          <w:tcPr>
            <w:tcW w:w="990"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b/>
                <w:sz w:val="15"/>
                <w:szCs w:val="15"/>
                <w:lang w:val="hr-HR"/>
              </w:rPr>
            </w:pPr>
            <w:r w:rsidRPr="00CD3A2D">
              <w:rPr>
                <w:rFonts w:asciiTheme="minorHAnsi" w:hAnsiTheme="minorHAnsi" w:cstheme="minorHAnsi"/>
                <w:b/>
                <w:sz w:val="15"/>
                <w:szCs w:val="15"/>
                <w:lang w:val="hr-HR"/>
              </w:rPr>
              <w:t>n/p</w:t>
            </w:r>
          </w:p>
        </w:tc>
        <w:tc>
          <w:tcPr>
            <w:tcW w:w="761"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3"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811.874</w:t>
            </w:r>
          </w:p>
        </w:tc>
        <w:tc>
          <w:tcPr>
            <w:tcW w:w="992"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1134" w:type="dxa"/>
            <w:gridSpan w:val="2"/>
            <w:tcBorders>
              <w:top w:val="single" w:sz="4" w:space="0" w:color="auto"/>
              <w:bottom w:val="doub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4" w:space="0" w:color="auto"/>
              <w:bottom w:val="doub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4" w:space="0" w:color="auto"/>
              <w:bottom w:val="doub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176</w:t>
            </w:r>
          </w:p>
        </w:tc>
        <w:tc>
          <w:tcPr>
            <w:tcW w:w="861" w:type="dxa"/>
            <w:gridSpan w:val="2"/>
            <w:tcBorders>
              <w:top w:val="single" w:sz="4"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812.050</w:t>
            </w:r>
          </w:p>
        </w:tc>
        <w:tc>
          <w:tcPr>
            <w:tcW w:w="992" w:type="dxa"/>
            <w:gridSpan w:val="2"/>
            <w:tcBorders>
              <w:top w:val="single" w:sz="4" w:space="0" w:color="auto"/>
              <w:bottom w:val="double" w:sz="4" w:space="0" w:color="auto"/>
            </w:tcBorders>
            <w:shd w:val="clear" w:color="auto" w:fill="FFFFFF"/>
            <w:vAlign w:val="bottom"/>
          </w:tcPr>
          <w:p w:rsidR="006D419E" w:rsidRPr="00CD3A2D" w:rsidRDefault="006D419E" w:rsidP="006D419E">
            <w:pPr>
              <w:jc w:val="center"/>
              <w:rPr>
                <w:rFonts w:asciiTheme="minorHAnsi" w:hAnsiTheme="minorHAnsi" w:cstheme="minorHAnsi"/>
                <w:b/>
                <w:sz w:val="15"/>
                <w:szCs w:val="15"/>
                <w:lang w:val="hr-HR"/>
              </w:rPr>
            </w:pPr>
            <w:r w:rsidRPr="00CD3A2D">
              <w:rPr>
                <w:rFonts w:asciiTheme="minorHAnsi" w:hAnsiTheme="minorHAnsi" w:cstheme="minorHAnsi"/>
                <w:b/>
                <w:sz w:val="15"/>
                <w:szCs w:val="15"/>
                <w:lang w:val="hr-HR"/>
              </w:rPr>
              <w:t>FV</w:t>
            </w:r>
            <w:r w:rsidR="00EF641B" w:rsidRPr="00CD3A2D">
              <w:rPr>
                <w:rFonts w:asciiTheme="minorHAnsi" w:hAnsiTheme="minorHAnsi" w:cstheme="minorHAnsi"/>
                <w:b/>
                <w:sz w:val="15"/>
                <w:szCs w:val="15"/>
                <w:lang w:val="hr-HR"/>
              </w:rPr>
              <w:t>R</w:t>
            </w:r>
            <w:r w:rsidRPr="00CD3A2D">
              <w:rPr>
                <w:rFonts w:asciiTheme="minorHAnsi" w:hAnsiTheme="minorHAnsi" w:cstheme="minorHAnsi"/>
                <w:b/>
                <w:sz w:val="15"/>
                <w:szCs w:val="15"/>
                <w:lang w:val="hr-HR"/>
              </w:rPr>
              <w:t>DG</w:t>
            </w:r>
          </w:p>
        </w:tc>
      </w:tr>
      <w:tr w:rsidR="006D419E" w:rsidRPr="001567C8" w:rsidTr="006D419E">
        <w:trPr>
          <w:gridBefore w:val="1"/>
          <w:wBefore w:w="15" w:type="dxa"/>
          <w:trHeight w:hRule="exact" w:val="113"/>
        </w:trPr>
        <w:tc>
          <w:tcPr>
            <w:tcW w:w="2065" w:type="dxa"/>
            <w:gridSpan w:val="2"/>
            <w:tcBorders>
              <w:top w:val="double" w:sz="4" w:space="0" w:color="auto"/>
              <w:bottom w:val="single" w:sz="12" w:space="0" w:color="auto"/>
            </w:tcBorders>
            <w:shd w:val="clear" w:color="auto" w:fill="FFFFFF"/>
          </w:tcPr>
          <w:p w:rsidR="006D419E" w:rsidRPr="00CD3A2D" w:rsidRDefault="006D419E" w:rsidP="006D419E">
            <w:pPr>
              <w:rPr>
                <w:rFonts w:asciiTheme="minorHAnsi" w:hAnsiTheme="minorHAnsi" w:cstheme="minorHAnsi"/>
                <w:sz w:val="15"/>
                <w:szCs w:val="15"/>
                <w:lang w:val="hr-HR"/>
              </w:rPr>
            </w:pPr>
          </w:p>
        </w:tc>
        <w:tc>
          <w:tcPr>
            <w:tcW w:w="990" w:type="dxa"/>
            <w:gridSpan w:val="2"/>
            <w:tcBorders>
              <w:top w:val="double"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p>
        </w:tc>
        <w:tc>
          <w:tcPr>
            <w:tcW w:w="761" w:type="dxa"/>
            <w:gridSpan w:val="2"/>
            <w:tcBorders>
              <w:top w:val="double"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3" w:type="dxa"/>
            <w:gridSpan w:val="2"/>
            <w:tcBorders>
              <w:top w:val="double"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2" w:type="dxa"/>
            <w:gridSpan w:val="2"/>
            <w:tcBorders>
              <w:top w:val="double"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right="280" w:firstLine="0"/>
              <w:jc w:val="right"/>
              <w:rPr>
                <w:rFonts w:asciiTheme="minorHAnsi" w:hAnsiTheme="minorHAnsi" w:cstheme="minorHAnsi"/>
                <w:sz w:val="15"/>
                <w:szCs w:val="15"/>
                <w:lang w:val="hr-HR"/>
              </w:rPr>
            </w:pPr>
          </w:p>
        </w:tc>
        <w:tc>
          <w:tcPr>
            <w:tcW w:w="1134" w:type="dxa"/>
            <w:gridSpan w:val="2"/>
            <w:tcBorders>
              <w:top w:val="double" w:sz="4" w:space="0" w:color="auto"/>
              <w:bottom w:val="single" w:sz="12"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p>
        </w:tc>
        <w:tc>
          <w:tcPr>
            <w:tcW w:w="992" w:type="dxa"/>
            <w:gridSpan w:val="2"/>
            <w:tcBorders>
              <w:top w:val="double" w:sz="4" w:space="0" w:color="auto"/>
              <w:bottom w:val="single" w:sz="12"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top w:val="double" w:sz="4" w:space="0" w:color="auto"/>
              <w:bottom w:val="single" w:sz="12"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p>
        </w:tc>
        <w:tc>
          <w:tcPr>
            <w:tcW w:w="861" w:type="dxa"/>
            <w:gridSpan w:val="2"/>
            <w:tcBorders>
              <w:top w:val="double"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2" w:type="dxa"/>
            <w:gridSpan w:val="2"/>
            <w:tcBorders>
              <w:top w:val="double" w:sz="4" w:space="0" w:color="auto"/>
              <w:bottom w:val="single" w:sz="12" w:space="0" w:color="auto"/>
            </w:tcBorders>
            <w:shd w:val="clear" w:color="auto" w:fill="FFFFFF"/>
            <w:vAlign w:val="bottom"/>
          </w:tcPr>
          <w:p w:rsidR="006D419E" w:rsidRPr="00CD3A2D" w:rsidRDefault="006D419E" w:rsidP="006D419E">
            <w:pPr>
              <w:rPr>
                <w:rFonts w:asciiTheme="minorHAnsi" w:hAnsiTheme="minorHAnsi" w:cstheme="minorHAnsi"/>
                <w:sz w:val="15"/>
                <w:szCs w:val="15"/>
                <w:lang w:val="hr-HR"/>
              </w:rPr>
            </w:pPr>
          </w:p>
        </w:tc>
      </w:tr>
      <w:tr w:rsidR="006D419E" w:rsidRPr="001567C8" w:rsidTr="006D419E">
        <w:trPr>
          <w:gridBefore w:val="1"/>
          <w:wBefore w:w="15" w:type="dxa"/>
          <w:trHeight w:hRule="exact" w:val="284"/>
        </w:trPr>
        <w:tc>
          <w:tcPr>
            <w:tcW w:w="2065" w:type="dxa"/>
            <w:gridSpan w:val="2"/>
            <w:tcBorders>
              <w:top w:val="single" w:sz="12" w:space="0" w:color="auto"/>
              <w:bottom w:val="single" w:sz="12" w:space="0" w:color="auto"/>
            </w:tcBorders>
            <w:shd w:val="clear" w:color="auto" w:fill="FFFFFF"/>
            <w:vAlign w:val="bottom"/>
          </w:tcPr>
          <w:p w:rsidR="006D419E" w:rsidRPr="00CD3A2D" w:rsidRDefault="006D419E" w:rsidP="006D419E">
            <w:pPr>
              <w:rPr>
                <w:rFonts w:asciiTheme="minorHAnsi" w:hAnsiTheme="minorHAnsi" w:cstheme="minorHAnsi"/>
                <w:b/>
                <w:sz w:val="15"/>
                <w:szCs w:val="15"/>
                <w:lang w:val="hr-HR"/>
              </w:rPr>
            </w:pPr>
            <w:r w:rsidRPr="00CD3A2D">
              <w:rPr>
                <w:rFonts w:asciiTheme="minorHAnsi" w:hAnsiTheme="minorHAnsi" w:cstheme="minorHAnsi"/>
                <w:b/>
                <w:sz w:val="15"/>
                <w:szCs w:val="15"/>
                <w:lang w:val="hr-HR"/>
              </w:rPr>
              <w:t>Ukupna</w:t>
            </w:r>
            <w:r w:rsidR="00215F48">
              <w:rPr>
                <w:rFonts w:asciiTheme="minorHAnsi" w:hAnsiTheme="minorHAnsi" w:cstheme="minorHAnsi"/>
                <w:b/>
                <w:sz w:val="15"/>
                <w:szCs w:val="15"/>
                <w:lang w:val="hr-HR"/>
              </w:rPr>
              <w:t xml:space="preserve"> financijska</w:t>
            </w:r>
            <w:r w:rsidRPr="00CD3A2D">
              <w:rPr>
                <w:rFonts w:asciiTheme="minorHAnsi" w:hAnsiTheme="minorHAnsi" w:cstheme="minorHAnsi"/>
                <w:b/>
                <w:sz w:val="15"/>
                <w:szCs w:val="15"/>
                <w:lang w:val="hr-HR"/>
              </w:rPr>
              <w:t xml:space="preserve"> imovina</w:t>
            </w:r>
          </w:p>
        </w:tc>
        <w:tc>
          <w:tcPr>
            <w:tcW w:w="990" w:type="dxa"/>
            <w:gridSpan w:val="2"/>
            <w:tcBorders>
              <w:top w:val="single" w:sz="12"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178" w:lineRule="exact"/>
              <w:ind w:firstLine="0"/>
              <w:jc w:val="center"/>
              <w:rPr>
                <w:rFonts w:asciiTheme="minorHAnsi" w:hAnsiTheme="minorHAnsi" w:cstheme="minorHAnsi"/>
                <w:b/>
                <w:sz w:val="15"/>
                <w:szCs w:val="15"/>
                <w:lang w:val="hr-HR"/>
              </w:rPr>
            </w:pPr>
          </w:p>
        </w:tc>
        <w:tc>
          <w:tcPr>
            <w:tcW w:w="761" w:type="dxa"/>
            <w:gridSpan w:val="2"/>
            <w:tcBorders>
              <w:top w:val="single" w:sz="12"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27.939.508</w:t>
            </w:r>
          </w:p>
        </w:tc>
        <w:tc>
          <w:tcPr>
            <w:tcW w:w="993" w:type="dxa"/>
            <w:gridSpan w:val="2"/>
            <w:tcBorders>
              <w:top w:val="single" w:sz="12"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12"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(616.618)</w:t>
            </w:r>
          </w:p>
        </w:tc>
        <w:tc>
          <w:tcPr>
            <w:tcW w:w="1134" w:type="dxa"/>
            <w:gridSpan w:val="2"/>
            <w:tcBorders>
              <w:top w:val="single" w:sz="12" w:space="0" w:color="auto"/>
              <w:bottom w:val="single" w:sz="12"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12" w:space="0" w:color="auto"/>
              <w:bottom w:val="single" w:sz="12"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r w:rsidRPr="00CD3A2D">
              <w:rPr>
                <w:rFonts w:asciiTheme="minorHAnsi" w:hAnsiTheme="minorHAnsi" w:cstheme="minorHAnsi"/>
                <w:b/>
                <w:sz w:val="15"/>
                <w:szCs w:val="15"/>
                <w:lang w:val="hr-HR"/>
              </w:rPr>
              <w:t>135.944</w:t>
            </w:r>
          </w:p>
        </w:tc>
        <w:tc>
          <w:tcPr>
            <w:tcW w:w="992" w:type="dxa"/>
            <w:gridSpan w:val="2"/>
            <w:tcBorders>
              <w:top w:val="single" w:sz="12" w:space="0" w:color="auto"/>
              <w:bottom w:val="single" w:sz="12"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w:t>
            </w:r>
          </w:p>
        </w:tc>
        <w:tc>
          <w:tcPr>
            <w:tcW w:w="861" w:type="dxa"/>
            <w:gridSpan w:val="2"/>
            <w:tcBorders>
              <w:top w:val="single" w:sz="12"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27.458.834</w:t>
            </w:r>
          </w:p>
        </w:tc>
        <w:tc>
          <w:tcPr>
            <w:tcW w:w="992" w:type="dxa"/>
            <w:gridSpan w:val="2"/>
            <w:tcBorders>
              <w:top w:val="single" w:sz="12" w:space="0" w:color="auto"/>
              <w:bottom w:val="single" w:sz="12" w:space="0" w:color="auto"/>
            </w:tcBorders>
            <w:shd w:val="clear" w:color="auto" w:fill="FFFFFF"/>
            <w:vAlign w:val="bottom"/>
          </w:tcPr>
          <w:p w:rsidR="006D419E" w:rsidRPr="00CD3A2D" w:rsidRDefault="006D419E" w:rsidP="006D419E">
            <w:pPr>
              <w:jc w:val="right"/>
              <w:rPr>
                <w:rFonts w:asciiTheme="minorHAnsi" w:hAnsiTheme="minorHAnsi" w:cstheme="minorHAnsi"/>
                <w:b/>
                <w:sz w:val="15"/>
                <w:szCs w:val="15"/>
                <w:lang w:val="hr-HR"/>
              </w:rPr>
            </w:pPr>
          </w:p>
        </w:tc>
      </w:tr>
      <w:tr w:rsidR="006D419E" w:rsidRPr="001567C8" w:rsidTr="006D419E">
        <w:trPr>
          <w:gridBefore w:val="1"/>
          <w:wBefore w:w="15" w:type="dxa"/>
          <w:trHeight w:hRule="exact" w:val="113"/>
        </w:trPr>
        <w:tc>
          <w:tcPr>
            <w:tcW w:w="2065" w:type="dxa"/>
            <w:gridSpan w:val="2"/>
            <w:tcBorders>
              <w:top w:val="single" w:sz="12" w:space="0" w:color="auto"/>
            </w:tcBorders>
            <w:shd w:val="clear" w:color="auto" w:fill="FFFFFF"/>
            <w:vAlign w:val="bottom"/>
          </w:tcPr>
          <w:p w:rsidR="006D419E" w:rsidRPr="00CD3A2D" w:rsidRDefault="006D419E" w:rsidP="006D419E">
            <w:pPr>
              <w:rPr>
                <w:rFonts w:asciiTheme="minorHAnsi" w:hAnsiTheme="minorHAnsi" w:cstheme="minorHAnsi"/>
                <w:sz w:val="15"/>
                <w:szCs w:val="15"/>
                <w:lang w:val="hr-HR"/>
              </w:rPr>
            </w:pPr>
          </w:p>
        </w:tc>
        <w:tc>
          <w:tcPr>
            <w:tcW w:w="990" w:type="dxa"/>
            <w:gridSpan w:val="2"/>
            <w:tcBorders>
              <w:top w:val="single" w:sz="12"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p>
        </w:tc>
        <w:tc>
          <w:tcPr>
            <w:tcW w:w="761" w:type="dxa"/>
            <w:gridSpan w:val="2"/>
            <w:tcBorders>
              <w:top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3" w:type="dxa"/>
            <w:gridSpan w:val="2"/>
            <w:tcBorders>
              <w:top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2" w:type="dxa"/>
            <w:gridSpan w:val="2"/>
            <w:tcBorders>
              <w:top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right="280" w:firstLine="0"/>
              <w:jc w:val="right"/>
              <w:rPr>
                <w:rFonts w:asciiTheme="minorHAnsi" w:hAnsiTheme="minorHAnsi" w:cstheme="minorHAnsi"/>
                <w:sz w:val="15"/>
                <w:szCs w:val="15"/>
                <w:lang w:val="hr-HR"/>
              </w:rPr>
            </w:pPr>
          </w:p>
        </w:tc>
        <w:tc>
          <w:tcPr>
            <w:tcW w:w="1134" w:type="dxa"/>
            <w:gridSpan w:val="2"/>
            <w:tcBorders>
              <w:top w:val="single" w:sz="12"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p>
        </w:tc>
        <w:tc>
          <w:tcPr>
            <w:tcW w:w="992" w:type="dxa"/>
            <w:gridSpan w:val="2"/>
            <w:tcBorders>
              <w:top w:val="single" w:sz="12"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p>
        </w:tc>
        <w:tc>
          <w:tcPr>
            <w:tcW w:w="992" w:type="dxa"/>
            <w:gridSpan w:val="2"/>
            <w:tcBorders>
              <w:top w:val="single" w:sz="12"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p>
        </w:tc>
        <w:tc>
          <w:tcPr>
            <w:tcW w:w="861" w:type="dxa"/>
            <w:gridSpan w:val="2"/>
            <w:tcBorders>
              <w:top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2" w:type="dxa"/>
            <w:gridSpan w:val="2"/>
            <w:tcBorders>
              <w:top w:val="single" w:sz="12" w:space="0" w:color="auto"/>
            </w:tcBorders>
            <w:shd w:val="clear" w:color="auto" w:fill="FFFFFF"/>
            <w:vAlign w:val="bottom"/>
          </w:tcPr>
          <w:p w:rsidR="006D419E" w:rsidRPr="00CD3A2D" w:rsidRDefault="006D419E" w:rsidP="006D419E">
            <w:pPr>
              <w:rPr>
                <w:rFonts w:asciiTheme="minorHAnsi" w:hAnsiTheme="minorHAnsi" w:cstheme="minorHAnsi"/>
                <w:sz w:val="15"/>
                <w:szCs w:val="15"/>
                <w:lang w:val="hr-HR"/>
              </w:rPr>
            </w:pPr>
          </w:p>
        </w:tc>
      </w:tr>
      <w:tr w:rsidR="006D419E" w:rsidRPr="001567C8" w:rsidTr="006D419E">
        <w:trPr>
          <w:gridBefore w:val="1"/>
          <w:wBefore w:w="15" w:type="dxa"/>
          <w:trHeight w:hRule="exact" w:val="397"/>
        </w:trPr>
        <w:tc>
          <w:tcPr>
            <w:tcW w:w="2065" w:type="dxa"/>
            <w:gridSpan w:val="2"/>
            <w:shd w:val="clear" w:color="auto" w:fill="FFFFFF"/>
            <w:vAlign w:val="bottom"/>
          </w:tcPr>
          <w:p w:rsidR="006D419E" w:rsidRPr="00CD3A2D" w:rsidRDefault="006D419E" w:rsidP="006D419E">
            <w:pPr>
              <w:rPr>
                <w:rFonts w:asciiTheme="minorHAnsi" w:hAnsiTheme="minorHAnsi" w:cstheme="minorHAnsi"/>
                <w:sz w:val="15"/>
                <w:szCs w:val="15"/>
                <w:lang w:val="hr-HR"/>
              </w:rPr>
            </w:pPr>
            <w:r w:rsidRPr="00CD3A2D">
              <w:rPr>
                <w:rFonts w:asciiTheme="minorHAnsi" w:hAnsiTheme="minorHAnsi" w:cstheme="minorHAnsi"/>
                <w:sz w:val="15"/>
                <w:szCs w:val="15"/>
                <w:lang w:val="hr-HR"/>
              </w:rPr>
              <w:t xml:space="preserve">Rezerviranja za garancije i preuzete obveze                          </w:t>
            </w:r>
            <w:r w:rsidRPr="00CD3A2D">
              <w:rPr>
                <w:rFonts w:asciiTheme="minorHAnsi" w:hAnsiTheme="minorHAnsi" w:cstheme="minorHAnsi"/>
                <w:b/>
                <w:i/>
                <w:sz w:val="15"/>
                <w:szCs w:val="15"/>
                <w:lang w:val="hr-HR"/>
              </w:rPr>
              <w:t>H</w:t>
            </w:r>
          </w:p>
        </w:tc>
        <w:tc>
          <w:tcPr>
            <w:tcW w:w="990" w:type="dxa"/>
            <w:gridSpan w:val="2"/>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p>
        </w:tc>
        <w:tc>
          <w:tcPr>
            <w:tcW w:w="761"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(64.360)</w:t>
            </w:r>
          </w:p>
        </w:tc>
        <w:tc>
          <w:tcPr>
            <w:tcW w:w="993"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15.013</w:t>
            </w:r>
          </w:p>
        </w:tc>
        <w:tc>
          <w:tcPr>
            <w:tcW w:w="1134"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r w:rsidRPr="001567C8">
              <w:rPr>
                <w:rStyle w:val="CharStyle65"/>
                <w:rFonts w:asciiTheme="minorHAnsi" w:hAnsiTheme="minorHAnsi" w:cstheme="minorHAnsi"/>
                <w:sz w:val="15"/>
                <w:szCs w:val="15"/>
                <w:lang w:val="hr-HR"/>
              </w:rPr>
              <w:t>-</w:t>
            </w:r>
          </w:p>
        </w:tc>
        <w:tc>
          <w:tcPr>
            <w:tcW w:w="861"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(49.347)</w:t>
            </w:r>
          </w:p>
        </w:tc>
        <w:tc>
          <w:tcPr>
            <w:tcW w:w="992" w:type="dxa"/>
            <w:gridSpan w:val="2"/>
            <w:shd w:val="clear" w:color="auto" w:fill="FFFFFF"/>
            <w:vAlign w:val="bottom"/>
          </w:tcPr>
          <w:p w:rsidR="006D419E" w:rsidRPr="00CD3A2D" w:rsidRDefault="006D419E" w:rsidP="006D419E">
            <w:pPr>
              <w:rPr>
                <w:rFonts w:asciiTheme="minorHAnsi" w:hAnsiTheme="minorHAnsi" w:cstheme="minorHAnsi"/>
                <w:sz w:val="15"/>
                <w:szCs w:val="15"/>
                <w:lang w:val="hr-HR"/>
              </w:rPr>
            </w:pPr>
          </w:p>
        </w:tc>
      </w:tr>
      <w:tr w:rsidR="006D419E" w:rsidRPr="001567C8" w:rsidTr="006D419E">
        <w:trPr>
          <w:gridBefore w:val="1"/>
          <w:wBefore w:w="15" w:type="dxa"/>
          <w:trHeight w:hRule="exact" w:val="113"/>
        </w:trPr>
        <w:tc>
          <w:tcPr>
            <w:tcW w:w="2065" w:type="dxa"/>
            <w:gridSpan w:val="2"/>
            <w:shd w:val="clear" w:color="auto" w:fill="FFFFFF"/>
            <w:vAlign w:val="bottom"/>
          </w:tcPr>
          <w:p w:rsidR="006D419E" w:rsidRPr="00CD3A2D" w:rsidRDefault="006D419E" w:rsidP="006D419E">
            <w:pPr>
              <w:rPr>
                <w:rFonts w:asciiTheme="minorHAnsi" w:hAnsiTheme="minorHAnsi" w:cstheme="minorHAnsi"/>
                <w:sz w:val="15"/>
                <w:szCs w:val="15"/>
                <w:lang w:val="hr-HR"/>
              </w:rPr>
            </w:pPr>
          </w:p>
        </w:tc>
        <w:tc>
          <w:tcPr>
            <w:tcW w:w="990" w:type="dxa"/>
            <w:gridSpan w:val="2"/>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p>
        </w:tc>
        <w:tc>
          <w:tcPr>
            <w:tcW w:w="761"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3"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2"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1134" w:type="dxa"/>
            <w:gridSpan w:val="2"/>
            <w:shd w:val="clear" w:color="auto" w:fill="auto"/>
            <w:vAlign w:val="bottom"/>
          </w:tcPr>
          <w:p w:rsidR="006D419E" w:rsidRPr="00CD3A2D" w:rsidRDefault="006D419E" w:rsidP="006D419E">
            <w:pPr>
              <w:jc w:val="right"/>
              <w:rPr>
                <w:rFonts w:asciiTheme="minorHAnsi" w:hAnsiTheme="minorHAnsi" w:cstheme="minorHAnsi"/>
                <w:sz w:val="15"/>
                <w:szCs w:val="15"/>
                <w:lang w:val="hr-HR"/>
              </w:rPr>
            </w:pPr>
          </w:p>
        </w:tc>
        <w:tc>
          <w:tcPr>
            <w:tcW w:w="992" w:type="dxa"/>
            <w:gridSpan w:val="2"/>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sz w:val="15"/>
                <w:szCs w:val="15"/>
                <w:lang w:val="hr-HR"/>
              </w:rPr>
            </w:pPr>
          </w:p>
        </w:tc>
        <w:tc>
          <w:tcPr>
            <w:tcW w:w="861" w:type="dxa"/>
            <w:gridSpan w:val="2"/>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p>
        </w:tc>
        <w:tc>
          <w:tcPr>
            <w:tcW w:w="992" w:type="dxa"/>
            <w:gridSpan w:val="2"/>
            <w:shd w:val="clear" w:color="auto" w:fill="FFFFFF"/>
            <w:vAlign w:val="bottom"/>
          </w:tcPr>
          <w:p w:rsidR="006D419E" w:rsidRPr="00CD3A2D" w:rsidRDefault="006D419E" w:rsidP="006D419E">
            <w:pPr>
              <w:rPr>
                <w:rFonts w:asciiTheme="minorHAnsi" w:hAnsiTheme="minorHAnsi" w:cstheme="minorHAnsi"/>
                <w:sz w:val="15"/>
                <w:szCs w:val="15"/>
                <w:lang w:val="hr-HR"/>
              </w:rPr>
            </w:pPr>
          </w:p>
        </w:tc>
      </w:tr>
      <w:tr w:rsidR="006D419E" w:rsidRPr="001567C8" w:rsidTr="006D419E">
        <w:trPr>
          <w:gridBefore w:val="1"/>
          <w:wBefore w:w="15" w:type="dxa"/>
          <w:trHeight w:hRule="exact" w:val="204"/>
        </w:trPr>
        <w:tc>
          <w:tcPr>
            <w:tcW w:w="2065" w:type="dxa"/>
            <w:gridSpan w:val="2"/>
            <w:tcBorders>
              <w:bottom w:val="dotted" w:sz="4" w:space="0" w:color="auto"/>
            </w:tcBorders>
            <w:shd w:val="clear" w:color="auto" w:fill="FFFFFF"/>
            <w:vAlign w:val="bottom"/>
          </w:tcPr>
          <w:p w:rsidR="006D419E" w:rsidRPr="00CD3A2D" w:rsidRDefault="006D419E" w:rsidP="006D419E">
            <w:pPr>
              <w:rPr>
                <w:rFonts w:asciiTheme="minorHAnsi" w:hAnsiTheme="minorHAnsi" w:cstheme="minorHAnsi"/>
                <w:sz w:val="15"/>
                <w:szCs w:val="15"/>
                <w:lang w:val="hr-HR"/>
              </w:rPr>
            </w:pPr>
            <w:r w:rsidRPr="00CD3A2D">
              <w:rPr>
                <w:rFonts w:asciiTheme="minorHAnsi" w:hAnsiTheme="minorHAnsi" w:cstheme="minorHAnsi"/>
                <w:sz w:val="15"/>
                <w:szCs w:val="15"/>
                <w:lang w:val="hr-HR"/>
              </w:rPr>
              <w:t>Ostale rezerve</w:t>
            </w:r>
          </w:p>
        </w:tc>
        <w:tc>
          <w:tcPr>
            <w:tcW w:w="990"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sz w:val="15"/>
                <w:szCs w:val="15"/>
                <w:lang w:val="hr-HR"/>
              </w:rPr>
            </w:pPr>
          </w:p>
        </w:tc>
        <w:tc>
          <w:tcPr>
            <w:tcW w:w="7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(90.457)</w:t>
            </w:r>
          </w:p>
        </w:tc>
        <w:tc>
          <w:tcPr>
            <w:tcW w:w="993"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28.247</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1134"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(3.997)</w:t>
            </w:r>
            <w:r w:rsidRPr="00CD3A2D">
              <w:rPr>
                <w:rStyle w:val="FootnoteReference"/>
                <w:rFonts w:asciiTheme="minorHAnsi" w:hAnsiTheme="minorHAnsi" w:cstheme="minorHAnsi"/>
                <w:sz w:val="15"/>
                <w:szCs w:val="15"/>
                <w:lang w:val="hr-HR"/>
              </w:rPr>
              <w:footnoteReference w:id="17"/>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w:t>
            </w:r>
          </w:p>
        </w:tc>
        <w:tc>
          <w:tcPr>
            <w:tcW w:w="8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sz w:val="15"/>
                <w:szCs w:val="15"/>
                <w:lang w:val="hr-HR"/>
              </w:rPr>
            </w:pPr>
            <w:r w:rsidRPr="00CD3A2D">
              <w:rPr>
                <w:rFonts w:asciiTheme="minorHAnsi" w:hAnsiTheme="minorHAnsi" w:cstheme="minorHAnsi"/>
                <w:sz w:val="15"/>
                <w:szCs w:val="15"/>
                <w:lang w:val="hr-HR"/>
              </w:rPr>
              <w:t>(66.207)</w:t>
            </w:r>
          </w:p>
        </w:tc>
        <w:tc>
          <w:tcPr>
            <w:tcW w:w="992" w:type="dxa"/>
            <w:gridSpan w:val="2"/>
            <w:tcBorders>
              <w:bottom w:val="dotted" w:sz="4" w:space="0" w:color="auto"/>
            </w:tcBorders>
            <w:shd w:val="clear" w:color="auto" w:fill="FFFFFF"/>
            <w:vAlign w:val="bottom"/>
          </w:tcPr>
          <w:p w:rsidR="006D419E" w:rsidRPr="00CD3A2D" w:rsidRDefault="006D419E" w:rsidP="006D419E">
            <w:pPr>
              <w:rPr>
                <w:rFonts w:asciiTheme="minorHAnsi" w:hAnsiTheme="minorHAnsi" w:cstheme="minorHAnsi"/>
                <w:sz w:val="15"/>
                <w:szCs w:val="15"/>
                <w:lang w:val="hr-HR"/>
              </w:rPr>
            </w:pPr>
          </w:p>
        </w:tc>
      </w:tr>
      <w:tr w:rsidR="006D419E" w:rsidRPr="001567C8" w:rsidTr="006D419E">
        <w:trPr>
          <w:gridAfter w:val="1"/>
          <w:wAfter w:w="15" w:type="dxa"/>
          <w:trHeight w:hRule="exact" w:val="418"/>
        </w:trPr>
        <w:tc>
          <w:tcPr>
            <w:tcW w:w="2065" w:type="dxa"/>
            <w:gridSpan w:val="2"/>
            <w:tcBorders>
              <w:top w:val="dotted" w:sz="4" w:space="0" w:color="auto"/>
              <w:left w:val="dotted"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r w:rsidRPr="00CD3A2D">
              <w:rPr>
                <w:rFonts w:asciiTheme="minorHAnsi" w:hAnsiTheme="minorHAnsi" w:cstheme="minorHAnsi"/>
                <w:i/>
                <w:sz w:val="15"/>
                <w:szCs w:val="15"/>
                <w:lang w:val="hr-HR"/>
              </w:rPr>
              <w:t xml:space="preserve">Na poziciju: Zadržana dobit i  rezerve                                            </w:t>
            </w:r>
            <w:r w:rsidRPr="00CD3A2D">
              <w:rPr>
                <w:rFonts w:asciiTheme="minorHAnsi" w:hAnsiTheme="minorHAnsi" w:cstheme="minorHAnsi"/>
                <w:b/>
                <w:i/>
                <w:sz w:val="15"/>
                <w:szCs w:val="15"/>
                <w:lang w:val="hr-HR"/>
              </w:rPr>
              <w:t>I</w:t>
            </w:r>
          </w:p>
        </w:tc>
        <w:tc>
          <w:tcPr>
            <w:tcW w:w="990"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i/>
                <w:sz w:val="15"/>
                <w:szCs w:val="15"/>
                <w:lang w:val="hr-HR"/>
              </w:rPr>
            </w:pPr>
          </w:p>
        </w:tc>
        <w:tc>
          <w:tcPr>
            <w:tcW w:w="761"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3"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28.247</w:t>
            </w:r>
            <w:r w:rsidRPr="00CD3A2D">
              <w:rPr>
                <w:rStyle w:val="FootnoteReference"/>
                <w:rFonts w:asciiTheme="minorHAnsi" w:hAnsiTheme="minorHAnsi" w:cstheme="minorHAnsi"/>
                <w:i/>
                <w:sz w:val="15"/>
                <w:szCs w:val="15"/>
                <w:lang w:val="hr-HR"/>
              </w:rPr>
              <w:footnoteReference w:id="18"/>
            </w:r>
          </w:p>
        </w:tc>
        <w:tc>
          <w:tcPr>
            <w:tcW w:w="992"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1134" w:type="dxa"/>
            <w:gridSpan w:val="2"/>
            <w:tcBorders>
              <w:top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sz w:val="15"/>
                <w:szCs w:val="15"/>
                <w:lang w:val="hr-HR"/>
              </w:rPr>
              <w:t>-</w:t>
            </w:r>
          </w:p>
        </w:tc>
        <w:tc>
          <w:tcPr>
            <w:tcW w:w="992"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861" w:type="dxa"/>
            <w:gridSpan w:val="2"/>
            <w:tcBorders>
              <w:top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top w:val="dotted" w:sz="4" w:space="0" w:color="auto"/>
              <w:right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r>
      <w:tr w:rsidR="006D419E" w:rsidRPr="001567C8" w:rsidTr="006D419E">
        <w:trPr>
          <w:gridAfter w:val="1"/>
          <w:wAfter w:w="15" w:type="dxa"/>
          <w:trHeight w:hRule="exact" w:val="343"/>
        </w:trPr>
        <w:tc>
          <w:tcPr>
            <w:tcW w:w="2065" w:type="dxa"/>
            <w:gridSpan w:val="2"/>
            <w:tcBorders>
              <w:left w:val="dotted" w:sz="4" w:space="0" w:color="auto"/>
              <w:bottom w:val="dotted" w:sz="4"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r w:rsidRPr="00CD3A2D">
              <w:rPr>
                <w:rFonts w:asciiTheme="minorHAnsi" w:hAnsiTheme="minorHAnsi" w:cstheme="minorHAnsi"/>
                <w:i/>
                <w:sz w:val="15"/>
                <w:szCs w:val="15"/>
                <w:lang w:val="hr-HR"/>
              </w:rPr>
              <w:t xml:space="preserve">Priznavanje očekivanih kreditnih gubitaka u zadržanu dobit          </w:t>
            </w:r>
            <w:r w:rsidRPr="00CD3A2D">
              <w:rPr>
                <w:rFonts w:asciiTheme="minorHAnsi" w:hAnsiTheme="minorHAnsi" w:cstheme="minorHAnsi"/>
                <w:b/>
                <w:i/>
                <w:sz w:val="15"/>
                <w:szCs w:val="15"/>
                <w:lang w:val="hr-HR"/>
              </w:rPr>
              <w:t>J</w:t>
            </w:r>
          </w:p>
        </w:tc>
        <w:tc>
          <w:tcPr>
            <w:tcW w:w="990"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i/>
                <w:sz w:val="15"/>
                <w:szCs w:val="15"/>
                <w:lang w:val="hr-HR"/>
              </w:rPr>
            </w:pPr>
          </w:p>
        </w:tc>
        <w:tc>
          <w:tcPr>
            <w:tcW w:w="7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3"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(3.997)</w:t>
            </w:r>
          </w:p>
        </w:tc>
        <w:tc>
          <w:tcPr>
            <w:tcW w:w="1134" w:type="dxa"/>
            <w:gridSpan w:val="2"/>
            <w:tcBorders>
              <w:bottom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bottom w:val="dotted"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i/>
                <w:sz w:val="15"/>
                <w:szCs w:val="15"/>
                <w:lang w:val="hr-HR"/>
              </w:rPr>
            </w:pPr>
            <w:r w:rsidRPr="00CD3A2D">
              <w:rPr>
                <w:rFonts w:asciiTheme="minorHAnsi" w:hAnsiTheme="minorHAnsi" w:cstheme="minorHAnsi"/>
                <w:sz w:val="15"/>
                <w:szCs w:val="15"/>
                <w:lang w:val="hr-HR"/>
              </w:rPr>
              <w:t>-</w:t>
            </w:r>
          </w:p>
        </w:tc>
        <w:tc>
          <w:tcPr>
            <w:tcW w:w="992" w:type="dxa"/>
            <w:gridSpan w:val="2"/>
            <w:tcBorders>
              <w:bottom w:val="dotted"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i/>
                <w:sz w:val="15"/>
                <w:szCs w:val="15"/>
                <w:lang w:val="hr-HR"/>
              </w:rPr>
            </w:pPr>
            <w:r w:rsidRPr="001567C8">
              <w:rPr>
                <w:rStyle w:val="CharStyle65"/>
                <w:rFonts w:asciiTheme="minorHAnsi" w:hAnsiTheme="minorHAnsi" w:cstheme="minorHAnsi"/>
                <w:i/>
                <w:sz w:val="15"/>
                <w:szCs w:val="15"/>
                <w:lang w:val="hr-HR"/>
              </w:rPr>
              <w:t>-</w:t>
            </w:r>
          </w:p>
        </w:tc>
        <w:tc>
          <w:tcPr>
            <w:tcW w:w="861" w:type="dxa"/>
            <w:gridSpan w:val="2"/>
            <w:tcBorders>
              <w:bottom w:val="dotted"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r w:rsidRPr="00CD3A2D">
              <w:rPr>
                <w:rFonts w:asciiTheme="minorHAnsi" w:hAnsiTheme="minorHAnsi" w:cstheme="minorHAnsi"/>
                <w:i/>
                <w:sz w:val="15"/>
                <w:szCs w:val="15"/>
                <w:lang w:val="hr-HR"/>
              </w:rPr>
              <w:t>-</w:t>
            </w:r>
          </w:p>
        </w:tc>
        <w:tc>
          <w:tcPr>
            <w:tcW w:w="992" w:type="dxa"/>
            <w:gridSpan w:val="2"/>
            <w:tcBorders>
              <w:bottom w:val="dotted" w:sz="4" w:space="0" w:color="auto"/>
              <w:right w:val="dotted" w:sz="4"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r>
      <w:tr w:rsidR="006D419E" w:rsidRPr="001567C8" w:rsidTr="006D419E">
        <w:trPr>
          <w:gridBefore w:val="1"/>
          <w:wBefore w:w="15" w:type="dxa"/>
          <w:trHeight w:hRule="exact" w:val="79"/>
        </w:trPr>
        <w:tc>
          <w:tcPr>
            <w:tcW w:w="2065" w:type="dxa"/>
            <w:gridSpan w:val="2"/>
            <w:tcBorders>
              <w:top w:val="dotted" w:sz="4" w:space="0" w:color="auto"/>
              <w:bottom w:val="single" w:sz="12" w:space="0" w:color="auto"/>
            </w:tcBorders>
            <w:shd w:val="clear" w:color="auto" w:fill="FFFFFF"/>
            <w:vAlign w:val="bottom"/>
          </w:tcPr>
          <w:p w:rsidR="006D419E" w:rsidRPr="00CD3A2D" w:rsidRDefault="006D419E" w:rsidP="006D419E">
            <w:pPr>
              <w:ind w:left="415"/>
              <w:rPr>
                <w:rFonts w:asciiTheme="minorHAnsi" w:hAnsiTheme="minorHAnsi" w:cstheme="minorHAnsi"/>
                <w:i/>
                <w:sz w:val="15"/>
                <w:szCs w:val="15"/>
                <w:lang w:val="hr-HR"/>
              </w:rPr>
            </w:pPr>
          </w:p>
        </w:tc>
        <w:tc>
          <w:tcPr>
            <w:tcW w:w="990" w:type="dxa"/>
            <w:gridSpan w:val="2"/>
            <w:tcBorders>
              <w:top w:val="dotted"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i/>
                <w:sz w:val="15"/>
                <w:szCs w:val="15"/>
                <w:lang w:val="hr-HR"/>
              </w:rPr>
            </w:pPr>
          </w:p>
        </w:tc>
        <w:tc>
          <w:tcPr>
            <w:tcW w:w="761" w:type="dxa"/>
            <w:gridSpan w:val="2"/>
            <w:tcBorders>
              <w:top w:val="dotted"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3" w:type="dxa"/>
            <w:gridSpan w:val="2"/>
            <w:tcBorders>
              <w:top w:val="dotted"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2" w:type="dxa"/>
            <w:gridSpan w:val="2"/>
            <w:tcBorders>
              <w:top w:val="dotted"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1134" w:type="dxa"/>
            <w:gridSpan w:val="2"/>
            <w:tcBorders>
              <w:top w:val="dotted" w:sz="4" w:space="0" w:color="auto"/>
              <w:bottom w:val="single" w:sz="12" w:space="0" w:color="auto"/>
            </w:tcBorders>
            <w:shd w:val="clear" w:color="auto" w:fill="auto"/>
            <w:vAlign w:val="bottom"/>
          </w:tcPr>
          <w:p w:rsidR="006D419E" w:rsidRPr="00CD3A2D" w:rsidRDefault="006D419E" w:rsidP="006D419E">
            <w:pPr>
              <w:jc w:val="right"/>
              <w:rPr>
                <w:rFonts w:asciiTheme="minorHAnsi" w:hAnsiTheme="minorHAnsi" w:cstheme="minorHAnsi"/>
                <w:i/>
                <w:sz w:val="15"/>
                <w:szCs w:val="15"/>
                <w:lang w:val="hr-HR"/>
              </w:rPr>
            </w:pPr>
          </w:p>
        </w:tc>
        <w:tc>
          <w:tcPr>
            <w:tcW w:w="992" w:type="dxa"/>
            <w:gridSpan w:val="2"/>
            <w:tcBorders>
              <w:top w:val="dotted" w:sz="4" w:space="0" w:color="auto"/>
              <w:bottom w:val="single" w:sz="12"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i/>
                <w:sz w:val="15"/>
                <w:szCs w:val="15"/>
                <w:lang w:val="hr-HR"/>
              </w:rPr>
            </w:pPr>
          </w:p>
        </w:tc>
        <w:tc>
          <w:tcPr>
            <w:tcW w:w="992" w:type="dxa"/>
            <w:gridSpan w:val="2"/>
            <w:tcBorders>
              <w:top w:val="dotted" w:sz="4" w:space="0" w:color="auto"/>
              <w:bottom w:val="single" w:sz="12"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i/>
                <w:sz w:val="15"/>
                <w:szCs w:val="15"/>
                <w:lang w:val="hr-HR"/>
              </w:rPr>
            </w:pPr>
          </w:p>
        </w:tc>
        <w:tc>
          <w:tcPr>
            <w:tcW w:w="861" w:type="dxa"/>
            <w:gridSpan w:val="2"/>
            <w:tcBorders>
              <w:top w:val="dotted" w:sz="4" w:space="0" w:color="auto"/>
              <w:bottom w:val="single" w:sz="12"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i/>
                <w:sz w:val="15"/>
                <w:szCs w:val="15"/>
                <w:lang w:val="hr-HR"/>
              </w:rPr>
            </w:pPr>
          </w:p>
        </w:tc>
        <w:tc>
          <w:tcPr>
            <w:tcW w:w="992" w:type="dxa"/>
            <w:gridSpan w:val="2"/>
            <w:tcBorders>
              <w:top w:val="dotted" w:sz="4" w:space="0" w:color="auto"/>
              <w:bottom w:val="single" w:sz="12" w:space="0" w:color="auto"/>
            </w:tcBorders>
            <w:shd w:val="clear" w:color="auto" w:fill="FFFFFF"/>
            <w:vAlign w:val="bottom"/>
          </w:tcPr>
          <w:p w:rsidR="006D419E" w:rsidRPr="00CD3A2D" w:rsidRDefault="006D419E" w:rsidP="006D419E">
            <w:pPr>
              <w:rPr>
                <w:rFonts w:asciiTheme="minorHAnsi" w:hAnsiTheme="minorHAnsi" w:cstheme="minorHAnsi"/>
                <w:i/>
                <w:sz w:val="15"/>
                <w:szCs w:val="15"/>
                <w:lang w:val="hr-HR"/>
              </w:rPr>
            </w:pPr>
          </w:p>
        </w:tc>
      </w:tr>
      <w:tr w:rsidR="006D419E" w:rsidRPr="001567C8" w:rsidTr="006D419E">
        <w:trPr>
          <w:gridBefore w:val="1"/>
          <w:wBefore w:w="15" w:type="dxa"/>
          <w:trHeight w:hRule="exact" w:val="460"/>
        </w:trPr>
        <w:tc>
          <w:tcPr>
            <w:tcW w:w="2065" w:type="dxa"/>
            <w:gridSpan w:val="2"/>
            <w:tcBorders>
              <w:top w:val="single" w:sz="12" w:space="0" w:color="auto"/>
              <w:bottom w:val="double" w:sz="4" w:space="0" w:color="auto"/>
            </w:tcBorders>
            <w:shd w:val="clear" w:color="auto" w:fill="FFFFFF"/>
            <w:vAlign w:val="bottom"/>
          </w:tcPr>
          <w:p w:rsidR="006D419E" w:rsidRPr="00CD3A2D" w:rsidRDefault="006D419E" w:rsidP="006D419E">
            <w:pPr>
              <w:rPr>
                <w:rFonts w:asciiTheme="minorHAnsi" w:hAnsiTheme="minorHAnsi" w:cstheme="minorHAnsi"/>
                <w:b/>
                <w:sz w:val="15"/>
                <w:szCs w:val="15"/>
                <w:lang w:val="hr-HR"/>
              </w:rPr>
            </w:pPr>
            <w:r w:rsidRPr="00CD3A2D">
              <w:rPr>
                <w:rFonts w:asciiTheme="minorHAnsi" w:hAnsiTheme="minorHAnsi" w:cstheme="minorHAnsi"/>
                <w:b/>
                <w:sz w:val="15"/>
                <w:szCs w:val="15"/>
                <w:lang w:val="hr-HR"/>
              </w:rPr>
              <w:t xml:space="preserve">Učinak MSFI-ja 9 na Zadržanu dobit i rezerve                              </w:t>
            </w:r>
            <w:r w:rsidRPr="00CD3A2D">
              <w:rPr>
                <w:rFonts w:asciiTheme="minorHAnsi" w:hAnsiTheme="minorHAnsi" w:cstheme="minorHAnsi"/>
                <w:b/>
                <w:i/>
                <w:sz w:val="15"/>
                <w:szCs w:val="15"/>
                <w:lang w:val="hr-HR"/>
              </w:rPr>
              <w:t>K</w:t>
            </w:r>
          </w:p>
        </w:tc>
        <w:tc>
          <w:tcPr>
            <w:tcW w:w="990" w:type="dxa"/>
            <w:gridSpan w:val="2"/>
            <w:tcBorders>
              <w:top w:val="single" w:sz="12"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178" w:lineRule="exact"/>
              <w:ind w:left="180" w:firstLine="0"/>
              <w:jc w:val="center"/>
              <w:rPr>
                <w:rFonts w:asciiTheme="minorHAnsi" w:hAnsiTheme="minorHAnsi" w:cstheme="minorHAnsi"/>
                <w:b/>
                <w:sz w:val="15"/>
                <w:szCs w:val="15"/>
                <w:lang w:val="hr-HR"/>
              </w:rPr>
            </w:pPr>
          </w:p>
        </w:tc>
        <w:tc>
          <w:tcPr>
            <w:tcW w:w="761" w:type="dxa"/>
            <w:gridSpan w:val="2"/>
            <w:tcBorders>
              <w:top w:val="single" w:sz="12"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3" w:type="dxa"/>
            <w:gridSpan w:val="2"/>
            <w:tcBorders>
              <w:top w:val="single" w:sz="12"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12"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(605.602)</w:t>
            </w:r>
          </w:p>
        </w:tc>
        <w:tc>
          <w:tcPr>
            <w:tcW w:w="1134" w:type="dxa"/>
            <w:gridSpan w:val="2"/>
            <w:tcBorders>
              <w:top w:val="single" w:sz="12" w:space="0" w:color="auto"/>
              <w:bottom w:val="double" w:sz="4" w:space="0" w:color="auto"/>
            </w:tcBorders>
            <w:shd w:val="clear" w:color="auto" w:fill="auto"/>
            <w:vAlign w:val="bottom"/>
          </w:tcPr>
          <w:p w:rsidR="006D419E" w:rsidRPr="00CD3A2D" w:rsidRDefault="006D419E" w:rsidP="006D419E">
            <w:pPr>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(3.997)</w:t>
            </w:r>
          </w:p>
        </w:tc>
        <w:tc>
          <w:tcPr>
            <w:tcW w:w="992" w:type="dxa"/>
            <w:gridSpan w:val="2"/>
            <w:tcBorders>
              <w:top w:val="single" w:sz="12" w:space="0" w:color="auto"/>
              <w:bottom w:val="doub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r w:rsidRPr="00CD3A2D">
              <w:rPr>
                <w:rFonts w:asciiTheme="minorHAnsi" w:hAnsiTheme="minorHAnsi" w:cstheme="minorHAnsi"/>
                <w:b/>
                <w:sz w:val="15"/>
                <w:szCs w:val="15"/>
                <w:lang w:val="hr-HR"/>
              </w:rPr>
              <w:t>135.944</w:t>
            </w:r>
          </w:p>
        </w:tc>
        <w:tc>
          <w:tcPr>
            <w:tcW w:w="992" w:type="dxa"/>
            <w:gridSpan w:val="2"/>
            <w:tcBorders>
              <w:top w:val="single" w:sz="12" w:space="0" w:color="auto"/>
              <w:bottom w:val="double" w:sz="4" w:space="0" w:color="auto"/>
            </w:tcBorders>
            <w:shd w:val="clear" w:color="auto" w:fill="auto"/>
            <w:vAlign w:val="bottom"/>
          </w:tcPr>
          <w:p w:rsidR="006D419E" w:rsidRPr="001567C8" w:rsidRDefault="006D419E" w:rsidP="006D419E">
            <w:pPr>
              <w:pStyle w:val="Style26"/>
              <w:shd w:val="clear" w:color="auto" w:fill="auto"/>
              <w:spacing w:before="0" w:line="240" w:lineRule="auto"/>
              <w:ind w:firstLine="0"/>
              <w:jc w:val="right"/>
              <w:rPr>
                <w:rStyle w:val="CharStyle65"/>
                <w:rFonts w:asciiTheme="minorHAnsi" w:hAnsiTheme="minorHAnsi" w:cstheme="minorHAnsi"/>
                <w:b/>
                <w:sz w:val="15"/>
                <w:szCs w:val="15"/>
                <w:lang w:val="hr-HR"/>
              </w:rPr>
            </w:pPr>
            <w:r w:rsidRPr="001567C8">
              <w:rPr>
                <w:rStyle w:val="CharStyle65"/>
                <w:rFonts w:asciiTheme="minorHAnsi" w:hAnsiTheme="minorHAnsi" w:cstheme="minorHAnsi"/>
                <w:b/>
                <w:sz w:val="15"/>
                <w:szCs w:val="15"/>
                <w:lang w:val="hr-HR"/>
              </w:rPr>
              <w:t>-</w:t>
            </w:r>
          </w:p>
        </w:tc>
        <w:tc>
          <w:tcPr>
            <w:tcW w:w="861" w:type="dxa"/>
            <w:gridSpan w:val="2"/>
            <w:tcBorders>
              <w:top w:val="single" w:sz="12" w:space="0" w:color="auto"/>
              <w:bottom w:val="double" w:sz="4" w:space="0" w:color="auto"/>
            </w:tcBorders>
            <w:shd w:val="clear" w:color="auto" w:fill="auto"/>
            <w:vAlign w:val="bottom"/>
          </w:tcPr>
          <w:p w:rsidR="006D419E" w:rsidRPr="00CD3A2D" w:rsidRDefault="006D419E" w:rsidP="006D419E">
            <w:pPr>
              <w:pStyle w:val="Style26"/>
              <w:shd w:val="clear" w:color="auto" w:fill="auto"/>
              <w:spacing w:before="0" w:line="240" w:lineRule="auto"/>
              <w:ind w:firstLine="0"/>
              <w:jc w:val="right"/>
              <w:rPr>
                <w:rFonts w:asciiTheme="minorHAnsi" w:hAnsiTheme="minorHAnsi" w:cstheme="minorHAnsi"/>
                <w:b/>
                <w:sz w:val="15"/>
                <w:szCs w:val="15"/>
                <w:lang w:val="hr-HR"/>
              </w:rPr>
            </w:pPr>
            <w:r w:rsidRPr="00CD3A2D">
              <w:rPr>
                <w:rFonts w:asciiTheme="minorHAnsi" w:hAnsiTheme="minorHAnsi" w:cstheme="minorHAnsi"/>
                <w:b/>
                <w:sz w:val="15"/>
                <w:szCs w:val="15"/>
                <w:lang w:val="hr-HR"/>
              </w:rPr>
              <w:t>-</w:t>
            </w:r>
          </w:p>
        </w:tc>
        <w:tc>
          <w:tcPr>
            <w:tcW w:w="992" w:type="dxa"/>
            <w:gridSpan w:val="2"/>
            <w:tcBorders>
              <w:top w:val="single" w:sz="12" w:space="0" w:color="auto"/>
              <w:bottom w:val="double" w:sz="4" w:space="0" w:color="auto"/>
            </w:tcBorders>
            <w:shd w:val="clear" w:color="auto" w:fill="FFFFFF"/>
            <w:vAlign w:val="bottom"/>
          </w:tcPr>
          <w:p w:rsidR="006D419E" w:rsidRPr="00CD3A2D" w:rsidRDefault="006D419E" w:rsidP="006D419E">
            <w:pPr>
              <w:rPr>
                <w:rFonts w:asciiTheme="minorHAnsi" w:hAnsiTheme="minorHAnsi" w:cstheme="minorHAnsi"/>
                <w:b/>
                <w:sz w:val="15"/>
                <w:szCs w:val="15"/>
                <w:lang w:val="hr-HR"/>
              </w:rPr>
            </w:pPr>
          </w:p>
        </w:tc>
      </w:tr>
    </w:tbl>
    <w:p w:rsidR="006D419E" w:rsidRPr="00CD3A2D" w:rsidRDefault="006D419E" w:rsidP="00C303A6">
      <w:pPr>
        <w:suppressAutoHyphens/>
        <w:autoSpaceDN w:val="0"/>
        <w:ind w:right="-284"/>
        <w:jc w:val="both"/>
        <w:textAlignment w:val="baseline"/>
        <w:rPr>
          <w:rFonts w:asciiTheme="minorHAnsi" w:hAnsiTheme="minorHAnsi" w:cstheme="minorHAnsi"/>
          <w:color w:val="222222"/>
          <w:sz w:val="18"/>
          <w:szCs w:val="18"/>
          <w:lang w:val="hr-HR" w:eastAsia="hr-HR"/>
        </w:rPr>
      </w:pPr>
    </w:p>
    <w:p w:rsidR="000A5924" w:rsidRPr="00CD3A2D" w:rsidRDefault="000A5924" w:rsidP="005D12B5">
      <w:pPr>
        <w:pStyle w:val="T1"/>
        <w:tabs>
          <w:tab w:val="left" w:pos="142"/>
          <w:tab w:val="left" w:pos="567"/>
        </w:tabs>
        <w:spacing w:before="0" w:after="0" w:line="240" w:lineRule="auto"/>
        <w:rPr>
          <w:rFonts w:ascii="Calibri" w:eastAsia="PMingLiU" w:hAnsi="Calibri" w:cs="Arial"/>
          <w:sz w:val="22"/>
          <w:szCs w:val="22"/>
          <w:lang w:val="hr-HR" w:eastAsia="hr-HR" w:bidi="hr-HR"/>
        </w:rPr>
        <w:sectPr w:rsidR="000A5924" w:rsidRPr="00CD3A2D" w:rsidSect="000D6913">
          <w:pgSz w:w="11907" w:h="16840" w:code="9"/>
          <w:pgMar w:top="1418" w:right="1134" w:bottom="1134" w:left="1418" w:header="851" w:footer="851" w:gutter="0"/>
          <w:cols w:space="720"/>
          <w:noEndnote/>
        </w:sectPr>
      </w:pPr>
    </w:p>
    <w:p w:rsidR="006D419E" w:rsidRPr="00CD3A2D" w:rsidRDefault="006D419E" w:rsidP="00E30B7A">
      <w:pPr>
        <w:suppressAutoHyphens/>
        <w:autoSpaceDN w:val="0"/>
        <w:jc w:val="both"/>
        <w:textAlignment w:val="baseline"/>
        <w:rPr>
          <w:rFonts w:asciiTheme="minorHAnsi" w:hAnsiTheme="minorHAnsi" w:cstheme="minorHAnsi"/>
          <w:b/>
          <w:sz w:val="22"/>
          <w:szCs w:val="22"/>
          <w:lang w:val="hr-HR"/>
        </w:rPr>
      </w:pPr>
    </w:p>
    <w:p w:rsidR="00E30B7A" w:rsidRPr="00CD3A2D" w:rsidRDefault="00E30B7A" w:rsidP="00E30B7A">
      <w:pPr>
        <w:suppressAutoHyphens/>
        <w:autoSpaceDN w:val="0"/>
        <w:jc w:val="both"/>
        <w:textAlignment w:val="baseline"/>
        <w:rPr>
          <w:rFonts w:asciiTheme="minorHAnsi" w:hAnsiTheme="minorHAnsi" w:cstheme="minorHAnsi"/>
          <w:b/>
          <w:sz w:val="22"/>
          <w:szCs w:val="22"/>
          <w:lang w:val="hr-HR"/>
        </w:rPr>
      </w:pPr>
      <w:r w:rsidRPr="00CD3A2D">
        <w:rPr>
          <w:rFonts w:asciiTheme="minorHAnsi" w:hAnsiTheme="minorHAnsi" w:cstheme="minorHAnsi"/>
          <w:b/>
          <w:sz w:val="22"/>
          <w:szCs w:val="22"/>
          <w:lang w:val="hr-HR"/>
        </w:rPr>
        <w:t>5. Prijelaz na MSFI 9 (nastavak)</w:t>
      </w:r>
    </w:p>
    <w:p w:rsidR="00C4731A" w:rsidRPr="00CD3A2D" w:rsidRDefault="00C4731A" w:rsidP="00E30B7A">
      <w:pPr>
        <w:suppressAutoHyphens/>
        <w:autoSpaceDN w:val="0"/>
        <w:jc w:val="both"/>
        <w:textAlignment w:val="baseline"/>
        <w:rPr>
          <w:rFonts w:asciiTheme="minorHAnsi" w:hAnsiTheme="minorHAnsi" w:cstheme="minorHAnsi"/>
          <w:b/>
          <w:sz w:val="22"/>
          <w:szCs w:val="22"/>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8493"/>
      </w:tblGrid>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A</w:t>
            </w:r>
          </w:p>
        </w:tc>
        <w:tc>
          <w:tcPr>
            <w:tcW w:w="8493" w:type="dxa"/>
          </w:tcPr>
          <w:p w:rsidR="00E30B7A" w:rsidRPr="001567C8" w:rsidRDefault="00E30B7A" w:rsidP="00B04826">
            <w:pPr>
              <w:pStyle w:val="Style44"/>
              <w:shd w:val="clear" w:color="auto" w:fill="auto"/>
              <w:spacing w:line="240" w:lineRule="auto"/>
              <w:ind w:left="170" w:right="17" w:firstLine="0"/>
              <w:jc w:val="both"/>
              <w:rPr>
                <w:rFonts w:asciiTheme="minorHAnsi" w:hAnsiTheme="minorHAnsi" w:cstheme="minorHAnsi"/>
                <w:color w:val="000000" w:themeColor="text1"/>
                <w:sz w:val="18"/>
                <w:szCs w:val="18"/>
                <w:lang w:val="hr-HR"/>
              </w:rPr>
            </w:pPr>
            <w:r w:rsidRPr="001567C8">
              <w:rPr>
                <w:rFonts w:asciiTheme="minorHAnsi" w:hAnsiTheme="minorHAnsi" w:cstheme="minorHAnsi"/>
                <w:color w:val="000000" w:themeColor="text1"/>
                <w:sz w:val="18"/>
                <w:szCs w:val="18"/>
                <w:lang w:val="hr-HR"/>
              </w:rPr>
              <w:t>Od 1. siječnja 2018. Grupa je utvrdila da mezzanine krediti, koji su kompleksno strukturirani proizvodi, ne ispunjavaju kriterij SPPI testa. Stoga je reklasificirala te kredite, koji su prethodno po MRS-u 39 mjereni po amortiziranom trošku, na financijsku imovinu koja se mjeri po fer vrijednosti kroz dobit i</w:t>
            </w:r>
            <w:r w:rsidR="00752A1A" w:rsidRPr="001567C8">
              <w:rPr>
                <w:rFonts w:asciiTheme="minorHAnsi" w:hAnsiTheme="minorHAnsi" w:cstheme="minorHAnsi"/>
                <w:color w:val="000000" w:themeColor="text1"/>
                <w:sz w:val="18"/>
                <w:szCs w:val="18"/>
                <w:lang w:val="hr-HR"/>
              </w:rPr>
              <w:t>li</w:t>
            </w:r>
            <w:r w:rsidRPr="001567C8">
              <w:rPr>
                <w:rFonts w:asciiTheme="minorHAnsi" w:hAnsiTheme="minorHAnsi" w:cstheme="minorHAnsi"/>
                <w:color w:val="000000" w:themeColor="text1"/>
                <w:sz w:val="18"/>
                <w:szCs w:val="18"/>
                <w:lang w:val="hr-HR"/>
              </w:rPr>
              <w:t xml:space="preserve"> gubit</w:t>
            </w:r>
            <w:r w:rsidR="00752A1A" w:rsidRPr="001567C8">
              <w:rPr>
                <w:rFonts w:asciiTheme="minorHAnsi" w:hAnsiTheme="minorHAnsi" w:cstheme="minorHAnsi"/>
                <w:color w:val="000000" w:themeColor="text1"/>
                <w:sz w:val="18"/>
                <w:szCs w:val="18"/>
                <w:lang w:val="hr-HR"/>
              </w:rPr>
              <w:t>ak</w:t>
            </w:r>
            <w:r w:rsidRPr="001567C8">
              <w:rPr>
                <w:rFonts w:asciiTheme="minorHAnsi" w:hAnsiTheme="minorHAnsi" w:cstheme="minorHAnsi"/>
                <w:color w:val="000000" w:themeColor="text1"/>
                <w:sz w:val="18"/>
                <w:szCs w:val="18"/>
                <w:lang w:val="hr-HR"/>
              </w:rPr>
              <w:t>.</w:t>
            </w:r>
          </w:p>
          <w:p w:rsidR="00E30B7A" w:rsidRPr="001567C8" w:rsidRDefault="00E30B7A" w:rsidP="00B04826">
            <w:pPr>
              <w:pStyle w:val="Style44"/>
              <w:shd w:val="clear" w:color="auto" w:fill="auto"/>
              <w:spacing w:line="240" w:lineRule="auto"/>
              <w:ind w:left="170" w:firstLine="0"/>
              <w:jc w:val="both"/>
              <w:rPr>
                <w:rFonts w:asciiTheme="minorHAnsi" w:hAnsiTheme="minorHAnsi" w:cstheme="minorHAnsi"/>
                <w:color w:val="000000" w:themeColor="text1"/>
                <w:sz w:val="18"/>
                <w:szCs w:val="18"/>
                <w:lang w:val="hr-HR" w:eastAsia="hr-HR"/>
              </w:rPr>
            </w:pPr>
            <w:r w:rsidRPr="001567C8">
              <w:rPr>
                <w:rFonts w:asciiTheme="minorHAnsi" w:hAnsiTheme="minorHAnsi" w:cstheme="minorHAnsi"/>
                <w:color w:val="000000" w:themeColor="text1"/>
                <w:sz w:val="18"/>
                <w:szCs w:val="18"/>
                <w:lang w:val="hr-HR"/>
              </w:rPr>
              <w:t>Na dan 31.</w:t>
            </w:r>
            <w:r w:rsidR="000C2DB4" w:rsidRPr="001567C8">
              <w:rPr>
                <w:rFonts w:asciiTheme="minorHAnsi" w:hAnsiTheme="minorHAnsi" w:cstheme="minorHAnsi"/>
                <w:color w:val="000000" w:themeColor="text1"/>
                <w:sz w:val="18"/>
                <w:szCs w:val="18"/>
                <w:lang w:val="hr-HR"/>
              </w:rPr>
              <w:t xml:space="preserve"> prosinca </w:t>
            </w:r>
            <w:r w:rsidRPr="001567C8">
              <w:rPr>
                <w:rFonts w:asciiTheme="minorHAnsi" w:hAnsiTheme="minorHAnsi" w:cstheme="minorHAnsi"/>
                <w:color w:val="000000" w:themeColor="text1"/>
                <w:sz w:val="18"/>
                <w:szCs w:val="18"/>
                <w:lang w:val="hr-HR"/>
              </w:rPr>
              <w:t>2017. godine neto vrijednost ovih kredita za Grupu i Banku iznosila je 3.840 tisuća kuna, a na dan 1.</w:t>
            </w:r>
            <w:r w:rsidR="000C2DB4" w:rsidRPr="001567C8">
              <w:rPr>
                <w:rFonts w:asciiTheme="minorHAnsi" w:hAnsiTheme="minorHAnsi" w:cstheme="minorHAnsi"/>
                <w:color w:val="000000" w:themeColor="text1"/>
                <w:sz w:val="18"/>
                <w:szCs w:val="18"/>
                <w:lang w:val="hr-HR"/>
              </w:rPr>
              <w:t xml:space="preserve"> siječnja </w:t>
            </w:r>
            <w:r w:rsidRPr="001567C8">
              <w:rPr>
                <w:rFonts w:asciiTheme="minorHAnsi" w:hAnsiTheme="minorHAnsi" w:cstheme="minorHAnsi"/>
                <w:color w:val="000000" w:themeColor="text1"/>
                <w:sz w:val="18"/>
                <w:szCs w:val="18"/>
                <w:lang w:val="hr-HR"/>
              </w:rPr>
              <w:t>2018. godine procijenjena je fer vrijednost u visini od 4.016 tisuća kuna te je učinak procjene u visini od 176 tisuća kuna iskazan u zadržanoj dobiti i rezervama.</w:t>
            </w:r>
            <w:r w:rsidRPr="001567C8">
              <w:rPr>
                <w:rFonts w:asciiTheme="minorHAnsi" w:eastAsia="Times New Roman" w:hAnsiTheme="minorHAnsi" w:cstheme="minorHAnsi"/>
                <w:color w:val="000000" w:themeColor="text1"/>
                <w:sz w:val="18"/>
                <w:szCs w:val="18"/>
                <w:lang w:val="hr-HR" w:eastAsia="hr-HR"/>
              </w:rPr>
              <w:t xml:space="preserve"> </w:t>
            </w:r>
          </w:p>
        </w:tc>
      </w:tr>
      <w:tr w:rsidR="00E30B7A" w:rsidRPr="001567C8" w:rsidTr="00B04826">
        <w:trPr>
          <w:cantSplit/>
          <w:trHeight w:hRule="exact" w:val="113"/>
        </w:trPr>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pStyle w:val="Style44"/>
              <w:shd w:val="clear" w:color="auto" w:fill="auto"/>
              <w:spacing w:line="240" w:lineRule="auto"/>
              <w:ind w:left="170" w:right="160" w:firstLine="0"/>
              <w:jc w:val="both"/>
              <w:rPr>
                <w:rFonts w:asciiTheme="minorHAnsi" w:hAnsiTheme="minorHAnsi" w:cstheme="minorHAnsi"/>
                <w:color w:val="000000" w:themeColor="text1"/>
                <w:sz w:val="18"/>
                <w:szCs w:val="18"/>
                <w:lang w:val="hr-HR"/>
              </w:rPr>
            </w:pPr>
          </w:p>
        </w:tc>
      </w:tr>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B</w:t>
            </w:r>
          </w:p>
        </w:tc>
        <w:tc>
          <w:tcPr>
            <w:tcW w:w="8493" w:type="dxa"/>
          </w:tcPr>
          <w:p w:rsidR="00E30B7A" w:rsidRPr="001567C8" w:rsidRDefault="00E30B7A" w:rsidP="00B04826">
            <w:pPr>
              <w:suppressAutoHyphens/>
              <w:autoSpaceDN w:val="0"/>
              <w:ind w:left="170"/>
              <w:jc w:val="both"/>
              <w:textAlignment w:val="baseline"/>
              <w:rPr>
                <w:rFonts w:asciiTheme="minorHAnsi" w:hAnsiTheme="minorHAnsi" w:cstheme="minorHAnsi"/>
                <w:color w:val="222222"/>
                <w:sz w:val="18"/>
                <w:szCs w:val="18"/>
                <w:lang w:val="hr-HR"/>
              </w:rPr>
            </w:pPr>
            <w:r w:rsidRPr="001567C8">
              <w:rPr>
                <w:rFonts w:asciiTheme="minorHAnsi" w:hAnsiTheme="minorHAnsi" w:cstheme="minorHAnsi"/>
                <w:color w:val="222222"/>
                <w:sz w:val="18"/>
                <w:szCs w:val="18"/>
                <w:lang w:val="hr-HR"/>
              </w:rPr>
              <w:t>Od 1. siječnja 2018. godine Grupa je utvrdila da se Imovinom koja se drži do dospijeća upravlja unutar poslovnog modela prikupljanja ugovornih novčanih tokova i mjere se po amortiziranom trošku kao i po MRS-u 39. Sukladno tome, Grupa je ove instrumente klasificirala kao Dužničke vrijednosne papire po amortiziranom trošku te na dan 1. siječnja 2018. godine vrijednost ovih instrumenata za Grupu iznosi 1.397 tisuća kuna i za Banku 0 tisuća kuna.</w:t>
            </w:r>
          </w:p>
        </w:tc>
      </w:tr>
      <w:tr w:rsidR="00E30B7A" w:rsidRPr="001567C8" w:rsidTr="00B04826">
        <w:trPr>
          <w:trHeight w:hRule="exact" w:val="113"/>
        </w:trPr>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suppressAutoHyphens/>
              <w:autoSpaceDN w:val="0"/>
              <w:ind w:left="170"/>
              <w:jc w:val="both"/>
              <w:textAlignment w:val="baseline"/>
              <w:rPr>
                <w:rFonts w:asciiTheme="minorHAnsi" w:hAnsiTheme="minorHAnsi" w:cstheme="minorHAnsi"/>
                <w:color w:val="222222"/>
                <w:sz w:val="18"/>
                <w:szCs w:val="18"/>
                <w:lang w:val="hr-HR"/>
              </w:rPr>
            </w:pPr>
          </w:p>
        </w:tc>
      </w:tr>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C</w:t>
            </w:r>
          </w:p>
        </w:tc>
        <w:tc>
          <w:tcPr>
            <w:tcW w:w="8493" w:type="dxa"/>
          </w:tcPr>
          <w:p w:rsidR="00E30B7A" w:rsidRPr="001567C8" w:rsidRDefault="00E30B7A" w:rsidP="00B04826">
            <w:pPr>
              <w:suppressAutoHyphens/>
              <w:autoSpaceDN w:val="0"/>
              <w:ind w:left="170"/>
              <w:jc w:val="both"/>
              <w:textAlignment w:val="baseline"/>
              <w:rPr>
                <w:rFonts w:asciiTheme="minorHAnsi" w:hAnsiTheme="minorHAnsi" w:cstheme="minorHAnsi"/>
                <w:color w:val="222222"/>
                <w:sz w:val="18"/>
                <w:szCs w:val="18"/>
                <w:lang w:val="hr-HR"/>
              </w:rPr>
            </w:pPr>
            <w:r w:rsidRPr="001567C8">
              <w:rPr>
                <w:rFonts w:asciiTheme="minorHAnsi" w:hAnsiTheme="minorHAnsi" w:cstheme="minorHAnsi"/>
                <w:color w:val="222222"/>
                <w:sz w:val="18"/>
                <w:szCs w:val="18"/>
                <w:lang w:val="hr-HR"/>
              </w:rPr>
              <w:t>Od 1. siječnja 2018. godine Grupa je utvrdila da se, osim malog dijela, kako je opisano pod D, financijskim instrumentima koji su kao rezerva likvidnosti prethodno klasificirani u portfelj imovine raspoložive za prodaju, upravlja unutar poslovnog modela prikupljanja ugovornih novčanih tokova i prodaje financijske imovine. Sukladno tome, Grupa je ove instrumente klasificirala  kao financijsku imovinu po fer vrijednosti kroz ostalu sveobuhvatnu dobit. Na dan 1. siječnja 2018. godine vrijednosti ovih instrumenata za Grupu iznosi 2.508.833 tisuća kuna, a za Banku 2.469.161 tisuća kuna.</w:t>
            </w:r>
          </w:p>
          <w:p w:rsidR="00E30B7A" w:rsidRPr="001567C8" w:rsidRDefault="00E30B7A" w:rsidP="00B04826">
            <w:pPr>
              <w:suppressAutoHyphens/>
              <w:autoSpaceDN w:val="0"/>
              <w:ind w:left="170"/>
              <w:jc w:val="both"/>
              <w:textAlignment w:val="baseline"/>
              <w:rPr>
                <w:rFonts w:asciiTheme="minorHAnsi" w:hAnsiTheme="minorHAnsi" w:cstheme="minorHAnsi"/>
                <w:color w:val="222222"/>
                <w:sz w:val="18"/>
                <w:szCs w:val="18"/>
                <w:lang w:val="hr-HR"/>
              </w:rPr>
            </w:pPr>
            <w:r w:rsidRPr="001567C8">
              <w:rPr>
                <w:rFonts w:asciiTheme="minorHAnsi" w:hAnsiTheme="minorHAnsi" w:cstheme="minorHAnsi"/>
                <w:color w:val="222222"/>
                <w:sz w:val="18"/>
                <w:szCs w:val="18"/>
                <w:lang w:val="hr-HR"/>
              </w:rPr>
              <w:t>Ova kategorija uključuje i vlasničke vrijednosne papire (dionice trgovačkih društava) koje Grupa nema namjeru prodavati i na koje se primjenjuje neopoziva opcija naknadnog mjerenja fer vrijednosti kroz ostalu sveobuhvatnu dobit bez recikliranja. Vrijednost ovih instrumenata na dan 1. siječnja 2018. godine za Grupu i Banku iznosi 25.462 tisuća kuna.</w:t>
            </w:r>
          </w:p>
        </w:tc>
      </w:tr>
      <w:tr w:rsidR="00E30B7A" w:rsidRPr="001567C8" w:rsidTr="00B04826">
        <w:trPr>
          <w:trHeight w:hRule="exact" w:val="113"/>
        </w:trPr>
        <w:tc>
          <w:tcPr>
            <w:tcW w:w="851" w:type="dxa"/>
          </w:tcPr>
          <w:p w:rsidR="00E30B7A" w:rsidRPr="001567C8" w:rsidRDefault="00E30B7A" w:rsidP="00B04826">
            <w:pPr>
              <w:suppressAutoHyphens/>
              <w:autoSpaceDN w:val="0"/>
              <w:jc w:val="both"/>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jc w:val="both"/>
              <w:rPr>
                <w:rFonts w:asciiTheme="minorHAnsi" w:hAnsiTheme="minorHAnsi" w:cstheme="minorHAnsi"/>
                <w:sz w:val="18"/>
                <w:szCs w:val="18"/>
                <w:lang w:val="hr-HR" w:eastAsia="hr-HR"/>
              </w:rPr>
            </w:pPr>
          </w:p>
        </w:tc>
      </w:tr>
      <w:tr w:rsidR="00E30B7A" w:rsidRPr="001567C8" w:rsidTr="00B04826">
        <w:trPr>
          <w:trHeight w:val="2448"/>
        </w:trPr>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D</w:t>
            </w:r>
          </w:p>
        </w:tc>
        <w:tc>
          <w:tcPr>
            <w:tcW w:w="8493" w:type="dxa"/>
          </w:tcPr>
          <w:p w:rsidR="00E30B7A" w:rsidRPr="001567C8" w:rsidRDefault="00E30B7A" w:rsidP="00B04826">
            <w:pPr>
              <w:pStyle w:val="Style44"/>
              <w:shd w:val="clear" w:color="auto" w:fill="auto"/>
              <w:spacing w:line="240" w:lineRule="auto"/>
              <w:ind w:left="170" w:firstLine="0"/>
              <w:jc w:val="both"/>
              <w:rPr>
                <w:rFonts w:asciiTheme="minorHAnsi" w:hAnsiTheme="minorHAnsi" w:cstheme="minorHAnsi"/>
                <w:sz w:val="18"/>
                <w:szCs w:val="18"/>
                <w:lang w:val="hr-HR"/>
              </w:rPr>
            </w:pPr>
            <w:r w:rsidRPr="001567C8">
              <w:rPr>
                <w:rFonts w:asciiTheme="minorHAnsi" w:hAnsiTheme="minorHAnsi" w:cstheme="minorHAnsi"/>
                <w:sz w:val="18"/>
                <w:szCs w:val="18"/>
                <w:lang w:val="hr-HR"/>
              </w:rPr>
              <w:t>Od 1. siječnja 2018. godine Grupa je klasificirala dio svojih vlasničkih instrumenata u iznosu od 19.112 tisuća kuna kao financijsku imovinu mjerenu po fer vrijednosti kroz</w:t>
            </w:r>
            <w:r w:rsidR="00AA5F2C" w:rsidRPr="001567C8">
              <w:rPr>
                <w:rFonts w:asciiTheme="minorHAnsi" w:hAnsiTheme="minorHAnsi" w:cstheme="minorHAnsi"/>
                <w:sz w:val="18"/>
                <w:szCs w:val="18"/>
                <w:lang w:val="hr-HR"/>
              </w:rPr>
              <w:t xml:space="preserve"> </w:t>
            </w:r>
            <w:r w:rsidRPr="001567C8">
              <w:rPr>
                <w:rFonts w:asciiTheme="minorHAnsi" w:hAnsiTheme="minorHAnsi" w:cstheme="minorHAnsi"/>
                <w:sz w:val="18"/>
                <w:szCs w:val="18"/>
                <w:lang w:val="hr-HR"/>
              </w:rPr>
              <w:t>dobit i</w:t>
            </w:r>
            <w:r w:rsidR="00752A1A" w:rsidRPr="001567C8">
              <w:rPr>
                <w:rFonts w:asciiTheme="minorHAnsi" w:hAnsiTheme="minorHAnsi" w:cstheme="minorHAnsi"/>
                <w:sz w:val="18"/>
                <w:szCs w:val="18"/>
                <w:lang w:val="hr-HR"/>
              </w:rPr>
              <w:t>li</w:t>
            </w:r>
            <w:r w:rsidRPr="001567C8">
              <w:rPr>
                <w:rFonts w:asciiTheme="minorHAnsi" w:hAnsiTheme="minorHAnsi" w:cstheme="minorHAnsi"/>
                <w:sz w:val="18"/>
                <w:szCs w:val="18"/>
                <w:lang w:val="hr-HR"/>
              </w:rPr>
              <w:t xml:space="preserve"> gubit</w:t>
            </w:r>
            <w:r w:rsidR="00752A1A" w:rsidRPr="001567C8">
              <w:rPr>
                <w:rFonts w:asciiTheme="minorHAnsi" w:hAnsiTheme="minorHAnsi" w:cstheme="minorHAnsi"/>
                <w:sz w:val="18"/>
                <w:szCs w:val="18"/>
                <w:lang w:val="hr-HR"/>
              </w:rPr>
              <w:t>ak</w:t>
            </w:r>
            <w:r w:rsidRPr="001567C8">
              <w:rPr>
                <w:rFonts w:asciiTheme="minorHAnsi" w:hAnsiTheme="minorHAnsi" w:cstheme="minorHAnsi"/>
                <w:sz w:val="18"/>
                <w:szCs w:val="18"/>
                <w:lang w:val="hr-HR"/>
              </w:rPr>
              <w:t xml:space="preserve"> jer se ista ne mjeri po amortiziranom trošku niti po fer vrijednosti kroz ostalu sveobuhvatnu dobit.  Nadalje, u ovu imovinu su klasificirana ulaganja u investicijske fondove (obvezno po MSFI-ju 9) u visini od 793.619 tisuća kuna za Grupu i 788.921 tisuća kuna za Banku. </w:t>
            </w:r>
          </w:p>
          <w:p w:rsidR="00E30B7A" w:rsidRPr="001567C8" w:rsidRDefault="00E30B7A" w:rsidP="00B04826">
            <w:pPr>
              <w:pStyle w:val="Style44"/>
              <w:shd w:val="clear" w:color="auto" w:fill="auto"/>
              <w:spacing w:line="240" w:lineRule="auto"/>
              <w:ind w:left="170" w:firstLine="0"/>
              <w:jc w:val="both"/>
              <w:rPr>
                <w:rFonts w:asciiTheme="minorHAnsi" w:hAnsiTheme="minorHAnsi" w:cstheme="minorHAnsi"/>
                <w:sz w:val="18"/>
                <w:szCs w:val="18"/>
                <w:lang w:val="hr-HR"/>
              </w:rPr>
            </w:pPr>
            <w:r w:rsidRPr="001567C8">
              <w:rPr>
                <w:rFonts w:asciiTheme="minorHAnsi" w:hAnsiTheme="minorHAnsi" w:cstheme="minorHAnsi"/>
                <w:sz w:val="18"/>
                <w:szCs w:val="18"/>
                <w:lang w:val="hr-HR"/>
              </w:rPr>
              <w:t>Navedena financijska imovina je prethodno bila klasificirana u imovinu raspoloživu za prodaju te su dobici ili gubici od svođenja na fer vrijednost za ulaganja u investicijske fondove prethodno priznati u ostaloj sveobuhvatnoj dobiti.</w:t>
            </w:r>
          </w:p>
          <w:p w:rsidR="00E30B7A" w:rsidRPr="001567C8" w:rsidRDefault="00E30B7A" w:rsidP="00B04826">
            <w:pPr>
              <w:pStyle w:val="Style44"/>
              <w:shd w:val="clear" w:color="auto" w:fill="auto"/>
              <w:spacing w:line="240" w:lineRule="auto"/>
              <w:ind w:left="170" w:firstLine="0"/>
              <w:jc w:val="both"/>
              <w:rPr>
                <w:rFonts w:asciiTheme="minorHAnsi" w:hAnsiTheme="minorHAnsi" w:cstheme="minorHAnsi"/>
                <w:sz w:val="18"/>
                <w:szCs w:val="18"/>
                <w:lang w:val="hr-HR" w:eastAsia="hr-HR"/>
              </w:rPr>
            </w:pPr>
            <w:r w:rsidRPr="001567C8">
              <w:rPr>
                <w:rFonts w:asciiTheme="minorHAnsi" w:hAnsiTheme="minorHAnsi" w:cstheme="minorHAnsi"/>
                <w:sz w:val="18"/>
                <w:szCs w:val="18"/>
                <w:lang w:val="hr-HR"/>
              </w:rPr>
              <w:t>Pri reklasifikaciji ove imovine, kumulativni dobici/gubici u visini od 28.254 tisuća kuna za Grupu i 28.247 tisuća kuna za Banku, prethodno priznati u ostaloj sveobuhvatnoj dobiti, reklasificirani su iz ostalih rezervi u zadržanu dobit i rezerve.</w:t>
            </w:r>
          </w:p>
        </w:tc>
      </w:tr>
      <w:tr w:rsidR="00E30B7A" w:rsidRPr="001567C8" w:rsidTr="00B04826">
        <w:trPr>
          <w:trHeight w:hRule="exact" w:val="113"/>
        </w:trPr>
        <w:tc>
          <w:tcPr>
            <w:tcW w:w="851" w:type="dxa"/>
          </w:tcPr>
          <w:p w:rsidR="00E30B7A" w:rsidRPr="001567C8" w:rsidRDefault="00E30B7A" w:rsidP="00B04826">
            <w:pPr>
              <w:suppressAutoHyphens/>
              <w:autoSpaceDN w:val="0"/>
              <w:jc w:val="both"/>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p>
        </w:tc>
      </w:tr>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E</w:t>
            </w: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r w:rsidRPr="001567C8">
              <w:rPr>
                <w:rFonts w:asciiTheme="minorHAnsi" w:hAnsiTheme="minorHAnsi" w:cstheme="minorHAnsi"/>
                <w:sz w:val="18"/>
                <w:szCs w:val="18"/>
                <w:lang w:val="hr-HR" w:eastAsia="hr-HR"/>
              </w:rPr>
              <w:t xml:space="preserve">   Opisano pod C</w:t>
            </w:r>
          </w:p>
        </w:tc>
      </w:tr>
      <w:tr w:rsidR="00E30B7A" w:rsidRPr="001567C8" w:rsidTr="00B04826">
        <w:trPr>
          <w:trHeight w:hRule="exact" w:val="113"/>
        </w:trPr>
        <w:tc>
          <w:tcPr>
            <w:tcW w:w="851" w:type="dxa"/>
          </w:tcPr>
          <w:p w:rsidR="00E30B7A" w:rsidRPr="001567C8" w:rsidRDefault="00E30B7A" w:rsidP="00B04826">
            <w:pPr>
              <w:suppressAutoHyphens/>
              <w:autoSpaceDN w:val="0"/>
              <w:jc w:val="both"/>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p>
        </w:tc>
      </w:tr>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F</w:t>
            </w: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r w:rsidRPr="001567C8">
              <w:rPr>
                <w:rFonts w:asciiTheme="minorHAnsi" w:hAnsiTheme="minorHAnsi" w:cstheme="minorHAnsi"/>
                <w:sz w:val="18"/>
                <w:szCs w:val="18"/>
                <w:lang w:val="hr-HR" w:eastAsia="hr-HR"/>
              </w:rPr>
              <w:t xml:space="preserve">   Opisano pod  D</w:t>
            </w:r>
          </w:p>
        </w:tc>
      </w:tr>
      <w:tr w:rsidR="00E30B7A" w:rsidRPr="001567C8" w:rsidTr="00B04826">
        <w:trPr>
          <w:trHeight w:hRule="exact" w:val="113"/>
        </w:trPr>
        <w:tc>
          <w:tcPr>
            <w:tcW w:w="851" w:type="dxa"/>
          </w:tcPr>
          <w:p w:rsidR="00E30B7A" w:rsidRPr="001567C8" w:rsidRDefault="00E30B7A" w:rsidP="00B04826">
            <w:pPr>
              <w:suppressAutoHyphens/>
              <w:autoSpaceDN w:val="0"/>
              <w:jc w:val="both"/>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p>
        </w:tc>
      </w:tr>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G</w:t>
            </w: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r w:rsidRPr="001567C8">
              <w:rPr>
                <w:rFonts w:asciiTheme="minorHAnsi" w:hAnsiTheme="minorHAnsi" w:cstheme="minorHAnsi"/>
                <w:sz w:val="18"/>
                <w:szCs w:val="18"/>
                <w:lang w:val="hr-HR" w:eastAsia="hr-HR"/>
              </w:rPr>
              <w:t xml:space="preserve">   Opisano pod A</w:t>
            </w:r>
          </w:p>
        </w:tc>
      </w:tr>
      <w:tr w:rsidR="00E30B7A" w:rsidRPr="001567C8" w:rsidTr="00B04826">
        <w:trPr>
          <w:trHeight w:hRule="exact" w:val="113"/>
        </w:trPr>
        <w:tc>
          <w:tcPr>
            <w:tcW w:w="851" w:type="dxa"/>
          </w:tcPr>
          <w:p w:rsidR="00E30B7A" w:rsidRPr="001567C8" w:rsidRDefault="00E30B7A" w:rsidP="00B04826">
            <w:pPr>
              <w:suppressAutoHyphens/>
              <w:autoSpaceDN w:val="0"/>
              <w:jc w:val="both"/>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p>
        </w:tc>
      </w:tr>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H</w:t>
            </w:r>
          </w:p>
        </w:tc>
        <w:tc>
          <w:tcPr>
            <w:tcW w:w="8493" w:type="dxa"/>
          </w:tcPr>
          <w:p w:rsidR="00E30B7A" w:rsidRPr="001567C8" w:rsidRDefault="00E30B7A" w:rsidP="00B04826">
            <w:pPr>
              <w:suppressAutoHyphens/>
              <w:autoSpaceDN w:val="0"/>
              <w:ind w:left="169"/>
              <w:jc w:val="both"/>
              <w:textAlignment w:val="baseline"/>
              <w:rPr>
                <w:rFonts w:asciiTheme="minorHAnsi" w:hAnsiTheme="minorHAnsi" w:cstheme="minorHAnsi"/>
                <w:sz w:val="18"/>
                <w:szCs w:val="18"/>
                <w:lang w:val="hr-HR" w:eastAsia="hr-HR"/>
              </w:rPr>
            </w:pPr>
            <w:r w:rsidRPr="001567C8">
              <w:rPr>
                <w:rFonts w:asciiTheme="minorHAnsi" w:hAnsiTheme="minorHAnsi" w:cstheme="minorHAnsi"/>
                <w:sz w:val="18"/>
                <w:szCs w:val="18"/>
                <w:lang w:val="hr-HR" w:eastAsia="hr-HR"/>
              </w:rPr>
              <w:t>Od 1. siječnja 2018. godine učinak izračuna rezerviranja po MSFI-ju 9 po preuzetim obvezama po    kreditima iznosi 15.013 tisuća kuna.</w:t>
            </w:r>
          </w:p>
        </w:tc>
      </w:tr>
      <w:tr w:rsidR="00E30B7A" w:rsidRPr="001567C8" w:rsidTr="00B04826">
        <w:trPr>
          <w:trHeight w:hRule="exact" w:val="113"/>
        </w:trPr>
        <w:tc>
          <w:tcPr>
            <w:tcW w:w="851" w:type="dxa"/>
          </w:tcPr>
          <w:p w:rsidR="00E30B7A" w:rsidRPr="001567C8" w:rsidRDefault="00E30B7A" w:rsidP="00B04826">
            <w:pPr>
              <w:suppressAutoHyphens/>
              <w:autoSpaceDN w:val="0"/>
              <w:jc w:val="both"/>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p>
        </w:tc>
      </w:tr>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I</w:t>
            </w: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r w:rsidRPr="001567C8">
              <w:rPr>
                <w:rFonts w:asciiTheme="minorHAnsi" w:hAnsiTheme="minorHAnsi" w:cstheme="minorHAnsi"/>
                <w:sz w:val="18"/>
                <w:szCs w:val="18"/>
                <w:lang w:val="hr-HR" w:eastAsia="hr-HR"/>
              </w:rPr>
              <w:t xml:space="preserve">   Opisano pod D</w:t>
            </w:r>
          </w:p>
        </w:tc>
      </w:tr>
      <w:tr w:rsidR="00E30B7A" w:rsidRPr="001567C8" w:rsidTr="00B04826">
        <w:trPr>
          <w:trHeight w:hRule="exact" w:val="113"/>
        </w:trPr>
        <w:tc>
          <w:tcPr>
            <w:tcW w:w="851" w:type="dxa"/>
          </w:tcPr>
          <w:p w:rsidR="00E30B7A" w:rsidRPr="001567C8" w:rsidRDefault="00E30B7A" w:rsidP="00B04826">
            <w:pPr>
              <w:suppressAutoHyphens/>
              <w:autoSpaceDN w:val="0"/>
              <w:jc w:val="both"/>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p>
        </w:tc>
      </w:tr>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J</w:t>
            </w:r>
          </w:p>
        </w:tc>
        <w:tc>
          <w:tcPr>
            <w:tcW w:w="8493" w:type="dxa"/>
          </w:tcPr>
          <w:p w:rsidR="00E30B7A" w:rsidRPr="001567C8" w:rsidRDefault="00E30B7A" w:rsidP="00B04826">
            <w:pPr>
              <w:suppressAutoHyphens/>
              <w:autoSpaceDN w:val="0"/>
              <w:ind w:left="169"/>
              <w:jc w:val="both"/>
              <w:textAlignment w:val="baseline"/>
              <w:rPr>
                <w:rFonts w:asciiTheme="minorHAnsi" w:hAnsiTheme="minorHAnsi" w:cstheme="minorHAnsi"/>
                <w:sz w:val="18"/>
                <w:szCs w:val="18"/>
                <w:lang w:val="hr-HR" w:eastAsia="hr-HR"/>
              </w:rPr>
            </w:pPr>
            <w:r w:rsidRPr="001567C8">
              <w:rPr>
                <w:rFonts w:asciiTheme="minorHAnsi" w:hAnsiTheme="minorHAnsi" w:cstheme="minorHAnsi"/>
                <w:sz w:val="18"/>
                <w:szCs w:val="18"/>
                <w:lang w:val="hr-HR" w:eastAsia="hr-HR"/>
              </w:rPr>
              <w:t>Umanjenje Dužničkih vrijednosnih papira koji su raspoređeni u Financijsku imovinu po fer vrijednosti kroz ostalu sveobuhvatnu dobit obračunava se na način da se rezervacije za umanjenje vrijednosti priznaju na računima ostale sveobuhvatne dobiti i ne umanjuju knjigovodstveni iznos ove financijske imovine u Izvještaju o financijskom položaju. Na dan 1. siječnja 2018. godine za Grupu iznose 4.288 tisuća kuna, a za Banku iznose 3.997 tisuća kuna.</w:t>
            </w:r>
          </w:p>
        </w:tc>
      </w:tr>
      <w:tr w:rsidR="00E30B7A" w:rsidRPr="001567C8" w:rsidTr="00B04826">
        <w:trPr>
          <w:trHeight w:hRule="exact" w:val="113"/>
        </w:trPr>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p>
        </w:tc>
        <w:tc>
          <w:tcPr>
            <w:tcW w:w="8493" w:type="dxa"/>
          </w:tcPr>
          <w:p w:rsidR="00E30B7A" w:rsidRPr="001567C8" w:rsidRDefault="00E30B7A" w:rsidP="00B04826">
            <w:pPr>
              <w:suppressAutoHyphens/>
              <w:autoSpaceDN w:val="0"/>
              <w:jc w:val="both"/>
              <w:textAlignment w:val="baseline"/>
              <w:rPr>
                <w:rFonts w:asciiTheme="minorHAnsi" w:hAnsiTheme="minorHAnsi" w:cstheme="minorHAnsi"/>
                <w:sz w:val="18"/>
                <w:szCs w:val="18"/>
                <w:lang w:val="hr-HR" w:eastAsia="hr-HR"/>
              </w:rPr>
            </w:pPr>
          </w:p>
        </w:tc>
      </w:tr>
      <w:tr w:rsidR="00E30B7A" w:rsidRPr="001567C8" w:rsidTr="00B04826">
        <w:tc>
          <w:tcPr>
            <w:tcW w:w="851" w:type="dxa"/>
          </w:tcPr>
          <w:p w:rsidR="00E30B7A" w:rsidRPr="001567C8" w:rsidRDefault="00E30B7A" w:rsidP="00B04826">
            <w:pPr>
              <w:suppressAutoHyphens/>
              <w:autoSpaceDN w:val="0"/>
              <w:jc w:val="center"/>
              <w:textAlignment w:val="baseline"/>
              <w:rPr>
                <w:rFonts w:asciiTheme="minorHAnsi" w:hAnsiTheme="minorHAnsi" w:cstheme="minorHAnsi"/>
                <w:b/>
                <w:i/>
                <w:sz w:val="18"/>
                <w:szCs w:val="18"/>
                <w:lang w:val="hr-HR" w:eastAsia="hr-HR"/>
              </w:rPr>
            </w:pPr>
            <w:r w:rsidRPr="001567C8">
              <w:rPr>
                <w:rFonts w:asciiTheme="minorHAnsi" w:hAnsiTheme="minorHAnsi" w:cstheme="minorHAnsi"/>
                <w:b/>
                <w:i/>
                <w:sz w:val="18"/>
                <w:szCs w:val="18"/>
                <w:lang w:val="hr-HR" w:eastAsia="hr-HR"/>
              </w:rPr>
              <w:t>K</w:t>
            </w:r>
          </w:p>
        </w:tc>
        <w:tc>
          <w:tcPr>
            <w:tcW w:w="8493" w:type="dxa"/>
          </w:tcPr>
          <w:p w:rsidR="00E30B7A" w:rsidRPr="001567C8" w:rsidRDefault="00E30B7A" w:rsidP="00B04826">
            <w:pPr>
              <w:suppressAutoHyphens/>
              <w:autoSpaceDN w:val="0"/>
              <w:ind w:left="169"/>
              <w:jc w:val="both"/>
              <w:textAlignment w:val="baseline"/>
              <w:rPr>
                <w:rFonts w:asciiTheme="minorHAnsi" w:hAnsiTheme="minorHAnsi" w:cstheme="minorHAnsi"/>
                <w:sz w:val="18"/>
                <w:szCs w:val="18"/>
                <w:lang w:val="hr-HR" w:eastAsia="hr-HR"/>
              </w:rPr>
            </w:pPr>
            <w:r w:rsidRPr="001567C8">
              <w:rPr>
                <w:rFonts w:asciiTheme="minorHAnsi" w:hAnsiTheme="minorHAnsi" w:cstheme="minorHAnsi"/>
                <w:sz w:val="18"/>
                <w:szCs w:val="18"/>
                <w:lang w:val="hr-HR" w:eastAsia="hr-HR"/>
              </w:rPr>
              <w:t xml:space="preserve">Ukupan učinak očekivanih kreditnih gubitaka po MSFI-ju 9 zbog ponovnog mjerenja za Grupu iznosi 469.974 tisuće kuna, a za Banku iznosi 469.658 tisuća kuna, a učinak reklasifikacije financijskih instrumenata, zbog čega su </w:t>
            </w:r>
            <w:r w:rsidRPr="001567C8">
              <w:rPr>
                <w:rFonts w:asciiTheme="minorHAnsi" w:hAnsiTheme="minorHAnsi" w:cstheme="minorHAnsi"/>
                <w:sz w:val="18"/>
                <w:szCs w:val="18"/>
                <w:lang w:val="hr-HR"/>
              </w:rPr>
              <w:t>kumulativni dobici/gubici, prethodno priznati u ostaloj sveobuhvatnoj dobiti, reklasificirani u zadržanu dobit i rezerve, iznosi 28.254 tisuća kuna za Grupu i 28.247 tisuća kuna za Banku.</w:t>
            </w:r>
          </w:p>
        </w:tc>
      </w:tr>
    </w:tbl>
    <w:p w:rsidR="00E30B7A" w:rsidRPr="00CD3A2D" w:rsidRDefault="00E30B7A" w:rsidP="00E30B7A">
      <w:pPr>
        <w:suppressAutoHyphens/>
        <w:autoSpaceDN w:val="0"/>
        <w:jc w:val="both"/>
        <w:textAlignment w:val="baseline"/>
        <w:rPr>
          <w:rFonts w:asciiTheme="minorHAnsi" w:hAnsiTheme="minorHAnsi" w:cstheme="minorHAnsi"/>
          <w:b/>
          <w:sz w:val="22"/>
          <w:szCs w:val="22"/>
          <w:lang w:val="hr-HR"/>
        </w:rPr>
      </w:pPr>
    </w:p>
    <w:p w:rsidR="00E30B7A" w:rsidRPr="00CD3A2D" w:rsidRDefault="00E30B7A" w:rsidP="005D12B5">
      <w:pPr>
        <w:pStyle w:val="T1"/>
        <w:tabs>
          <w:tab w:val="left" w:pos="142"/>
          <w:tab w:val="left" w:pos="567"/>
        </w:tabs>
        <w:spacing w:before="0" w:after="0" w:line="240" w:lineRule="auto"/>
        <w:rPr>
          <w:rFonts w:ascii="Calibri" w:eastAsia="PMingLiU" w:hAnsi="Calibri" w:cs="Arial"/>
          <w:sz w:val="22"/>
          <w:szCs w:val="22"/>
          <w:lang w:val="hr-HR" w:eastAsia="hr-HR" w:bidi="hr-HR"/>
        </w:rPr>
        <w:sectPr w:rsidR="00E30B7A" w:rsidRPr="00CD3A2D" w:rsidSect="000D6913">
          <w:pgSz w:w="11907" w:h="16840" w:code="9"/>
          <w:pgMar w:top="1418" w:right="1134" w:bottom="1134" w:left="1418" w:header="851" w:footer="851" w:gutter="0"/>
          <w:cols w:space="720"/>
          <w:noEndnote/>
        </w:sectPr>
      </w:pPr>
    </w:p>
    <w:p w:rsidR="00885D00" w:rsidRPr="001567C8" w:rsidRDefault="00885D00" w:rsidP="005D12B5">
      <w:pPr>
        <w:pStyle w:val="T1"/>
        <w:tabs>
          <w:tab w:val="left" w:pos="142"/>
          <w:tab w:val="left" w:pos="567"/>
        </w:tabs>
        <w:spacing w:before="0" w:after="0" w:line="240" w:lineRule="auto"/>
        <w:rPr>
          <w:rFonts w:asciiTheme="minorHAnsi" w:hAnsiTheme="minorHAnsi" w:cs="Arial"/>
          <w:sz w:val="22"/>
          <w:szCs w:val="22"/>
          <w:lang w:val="hr-HR"/>
        </w:rPr>
      </w:pPr>
    </w:p>
    <w:p w:rsidR="006D0890" w:rsidRPr="001567C8" w:rsidRDefault="009674B0" w:rsidP="005D12B5">
      <w:pPr>
        <w:pStyle w:val="T1"/>
        <w:tabs>
          <w:tab w:val="left" w:pos="142"/>
          <w:tab w:val="left" w:pos="567"/>
        </w:tabs>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6</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t>Prihodi od kamata</w:t>
      </w:r>
      <w:r w:rsidR="00EF3D26" w:rsidRPr="001567C8">
        <w:rPr>
          <w:rFonts w:asciiTheme="minorHAnsi" w:hAnsiTheme="minorHAnsi" w:cs="Arial"/>
          <w:sz w:val="22"/>
          <w:szCs w:val="22"/>
          <w:lang w:val="hr-HR"/>
        </w:rPr>
        <w:t xml:space="preserve"> izračunati metodom efektivne kamatne stope</w:t>
      </w:r>
    </w:p>
    <w:p w:rsidR="00D01DFD" w:rsidRPr="001567C8" w:rsidRDefault="00D01DFD" w:rsidP="00D01DFD">
      <w:pPr>
        <w:pStyle w:val="T1"/>
        <w:spacing w:before="0" w:after="0" w:line="240" w:lineRule="auto"/>
        <w:rPr>
          <w:rFonts w:asciiTheme="minorHAnsi" w:hAnsiTheme="minorHAnsi" w:cs="Arial"/>
          <w:b w:val="0"/>
          <w:bCs w:val="0"/>
          <w:sz w:val="22"/>
          <w:szCs w:val="22"/>
          <w:lang w:val="hr-HR"/>
        </w:rPr>
      </w:pPr>
    </w:p>
    <w:p w:rsidR="006D0890" w:rsidRPr="001567C8" w:rsidRDefault="006D0890" w:rsidP="00D01DFD">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Prihodi od kamata po korisnicima:</w:t>
      </w:r>
    </w:p>
    <w:tbl>
      <w:tblPr>
        <w:tblW w:w="5000" w:type="pct"/>
        <w:tblLayout w:type="fixed"/>
        <w:tblCellMar>
          <w:right w:w="113" w:type="dxa"/>
        </w:tblCellMar>
        <w:tblLook w:val="0000" w:firstRow="0" w:lastRow="0" w:firstColumn="0" w:lastColumn="0" w:noHBand="0" w:noVBand="0"/>
      </w:tblPr>
      <w:tblGrid>
        <w:gridCol w:w="3827"/>
        <w:gridCol w:w="1381"/>
        <w:gridCol w:w="1383"/>
        <w:gridCol w:w="1383"/>
        <w:gridCol w:w="1381"/>
      </w:tblGrid>
      <w:tr w:rsidR="00833713" w:rsidRPr="001567C8" w:rsidTr="004B06E1">
        <w:trPr>
          <w:trHeight w:val="225"/>
        </w:trPr>
        <w:tc>
          <w:tcPr>
            <w:tcW w:w="2045" w:type="pct"/>
          </w:tcPr>
          <w:p w:rsidR="00833713" w:rsidRPr="001567C8" w:rsidRDefault="00833713">
            <w:pPr>
              <w:tabs>
                <w:tab w:val="left" w:pos="-720"/>
              </w:tabs>
              <w:suppressAutoHyphens/>
              <w:ind w:right="4144"/>
              <w:jc w:val="right"/>
              <w:rPr>
                <w:rFonts w:asciiTheme="minorHAnsi" w:hAnsiTheme="minorHAnsi" w:cs="Arial"/>
                <w:sz w:val="22"/>
                <w:szCs w:val="22"/>
                <w:lang w:val="hr-HR"/>
              </w:rPr>
            </w:pPr>
          </w:p>
        </w:tc>
        <w:tc>
          <w:tcPr>
            <w:tcW w:w="1477" w:type="pct"/>
            <w:gridSpan w:val="2"/>
          </w:tcPr>
          <w:p w:rsidR="00833713" w:rsidRPr="001567C8" w:rsidRDefault="00833713" w:rsidP="005D12B5">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477" w:type="pct"/>
            <w:gridSpan w:val="2"/>
            <w:vAlign w:val="bottom"/>
          </w:tcPr>
          <w:p w:rsidR="00833713" w:rsidRPr="001567C8" w:rsidRDefault="00833713" w:rsidP="005D12B5">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AA3823" w:rsidRPr="001567C8" w:rsidTr="004B06E1">
        <w:trPr>
          <w:trHeight w:val="225"/>
        </w:trPr>
        <w:tc>
          <w:tcPr>
            <w:tcW w:w="2045" w:type="pct"/>
          </w:tcPr>
          <w:p w:rsidR="00AA3823" w:rsidRPr="001567C8" w:rsidRDefault="00AA3823" w:rsidP="00AA3823">
            <w:pPr>
              <w:tabs>
                <w:tab w:val="left" w:pos="-720"/>
              </w:tabs>
              <w:suppressAutoHyphens/>
              <w:ind w:right="4144"/>
              <w:jc w:val="right"/>
              <w:rPr>
                <w:rFonts w:asciiTheme="minorHAnsi" w:hAnsiTheme="minorHAnsi" w:cs="Arial"/>
                <w:sz w:val="22"/>
                <w:szCs w:val="22"/>
                <w:lang w:val="hr-HR"/>
              </w:rPr>
            </w:pPr>
          </w:p>
        </w:tc>
        <w:tc>
          <w:tcPr>
            <w:tcW w:w="738" w:type="pct"/>
            <w:vAlign w:val="bottom"/>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w:t>
            </w:r>
            <w:r w:rsidR="00752CD8" w:rsidRPr="001567C8">
              <w:rPr>
                <w:rFonts w:asciiTheme="minorHAnsi" w:hAnsiTheme="minorHAnsi" w:cs="Arial"/>
                <w:sz w:val="22"/>
                <w:szCs w:val="22"/>
                <w:lang w:val="hr-HR"/>
              </w:rPr>
              <w:t>8</w:t>
            </w:r>
            <w:r w:rsidRPr="001567C8">
              <w:rPr>
                <w:rFonts w:asciiTheme="minorHAnsi" w:hAnsiTheme="minorHAnsi" w:cs="Arial"/>
                <w:sz w:val="22"/>
                <w:szCs w:val="22"/>
                <w:lang w:val="hr-HR"/>
              </w:rPr>
              <w:t>.</w:t>
            </w:r>
          </w:p>
        </w:tc>
        <w:tc>
          <w:tcPr>
            <w:tcW w:w="739" w:type="pct"/>
            <w:vAlign w:val="bottom"/>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w:t>
            </w:r>
            <w:r w:rsidR="00752CD8" w:rsidRPr="001567C8">
              <w:rPr>
                <w:rFonts w:asciiTheme="minorHAnsi" w:hAnsiTheme="minorHAnsi" w:cs="Arial"/>
                <w:sz w:val="22"/>
                <w:szCs w:val="22"/>
                <w:lang w:val="hr-HR"/>
              </w:rPr>
              <w:t>7</w:t>
            </w:r>
            <w:r w:rsidRPr="001567C8">
              <w:rPr>
                <w:rFonts w:asciiTheme="minorHAnsi" w:hAnsiTheme="minorHAnsi" w:cs="Arial"/>
                <w:sz w:val="22"/>
                <w:szCs w:val="22"/>
                <w:lang w:val="hr-HR"/>
              </w:rPr>
              <w:t>.</w:t>
            </w:r>
          </w:p>
        </w:tc>
        <w:tc>
          <w:tcPr>
            <w:tcW w:w="739" w:type="pct"/>
            <w:vAlign w:val="bottom"/>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w:t>
            </w:r>
            <w:r w:rsidR="00752CD8" w:rsidRPr="001567C8">
              <w:rPr>
                <w:rFonts w:asciiTheme="minorHAnsi" w:hAnsiTheme="minorHAnsi" w:cs="Arial"/>
                <w:sz w:val="22"/>
                <w:szCs w:val="22"/>
                <w:lang w:val="hr-HR"/>
              </w:rPr>
              <w:t>8</w:t>
            </w:r>
            <w:r w:rsidRPr="001567C8">
              <w:rPr>
                <w:rFonts w:asciiTheme="minorHAnsi" w:hAnsiTheme="minorHAnsi" w:cs="Arial"/>
                <w:sz w:val="22"/>
                <w:szCs w:val="22"/>
                <w:lang w:val="hr-HR"/>
              </w:rPr>
              <w:t>.</w:t>
            </w:r>
          </w:p>
        </w:tc>
        <w:tc>
          <w:tcPr>
            <w:tcW w:w="738" w:type="pct"/>
            <w:vAlign w:val="bottom"/>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w:t>
            </w:r>
            <w:r w:rsidR="00752CD8" w:rsidRPr="001567C8">
              <w:rPr>
                <w:rFonts w:asciiTheme="minorHAnsi" w:hAnsiTheme="minorHAnsi" w:cs="Arial"/>
                <w:sz w:val="22"/>
                <w:szCs w:val="22"/>
                <w:lang w:val="hr-HR"/>
              </w:rPr>
              <w:t>7</w:t>
            </w:r>
            <w:r w:rsidRPr="001567C8">
              <w:rPr>
                <w:rFonts w:asciiTheme="minorHAnsi" w:hAnsiTheme="minorHAnsi" w:cs="Arial"/>
                <w:sz w:val="22"/>
                <w:szCs w:val="22"/>
                <w:lang w:val="hr-HR"/>
              </w:rPr>
              <w:t>.</w:t>
            </w:r>
          </w:p>
        </w:tc>
      </w:tr>
      <w:tr w:rsidR="00AA3823" w:rsidRPr="001567C8" w:rsidTr="004B06E1">
        <w:trPr>
          <w:trHeight w:val="187"/>
        </w:trPr>
        <w:tc>
          <w:tcPr>
            <w:tcW w:w="2045" w:type="pct"/>
          </w:tcPr>
          <w:p w:rsidR="00AA3823" w:rsidRPr="001567C8" w:rsidRDefault="00AA3823" w:rsidP="00AA3823">
            <w:pPr>
              <w:tabs>
                <w:tab w:val="left" w:pos="-720"/>
              </w:tabs>
              <w:suppressAutoHyphens/>
              <w:ind w:right="4144"/>
              <w:jc w:val="right"/>
              <w:rPr>
                <w:rFonts w:asciiTheme="minorHAnsi" w:hAnsiTheme="minorHAnsi" w:cs="Arial"/>
                <w:sz w:val="22"/>
                <w:szCs w:val="22"/>
                <w:lang w:val="hr-HR"/>
              </w:rPr>
            </w:pPr>
          </w:p>
        </w:tc>
        <w:tc>
          <w:tcPr>
            <w:tcW w:w="738" w:type="pct"/>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39" w:type="pct"/>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39" w:type="pct"/>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38" w:type="pct"/>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AA3823" w:rsidRPr="001567C8" w:rsidTr="004B06E1">
        <w:trPr>
          <w:trHeight w:val="187"/>
        </w:trPr>
        <w:tc>
          <w:tcPr>
            <w:tcW w:w="2045" w:type="pct"/>
          </w:tcPr>
          <w:p w:rsidR="00AA3823" w:rsidRPr="001567C8" w:rsidRDefault="00AA3823" w:rsidP="00AA3823">
            <w:pPr>
              <w:tabs>
                <w:tab w:val="left" w:pos="-720"/>
              </w:tabs>
              <w:suppressAutoHyphens/>
              <w:ind w:right="4144"/>
              <w:jc w:val="right"/>
              <w:rPr>
                <w:rFonts w:asciiTheme="minorHAnsi" w:hAnsiTheme="minorHAnsi" w:cs="Arial"/>
                <w:sz w:val="22"/>
                <w:szCs w:val="22"/>
                <w:lang w:val="hr-HR"/>
              </w:rPr>
            </w:pPr>
          </w:p>
        </w:tc>
        <w:tc>
          <w:tcPr>
            <w:tcW w:w="738" w:type="pct"/>
          </w:tcPr>
          <w:p w:rsidR="00AA3823" w:rsidRPr="001567C8" w:rsidRDefault="00AA3823" w:rsidP="00AA3823">
            <w:pPr>
              <w:suppressAutoHyphens/>
              <w:jc w:val="right"/>
              <w:rPr>
                <w:rFonts w:asciiTheme="minorHAnsi" w:hAnsiTheme="minorHAnsi" w:cs="Arial"/>
                <w:b/>
                <w:sz w:val="22"/>
                <w:szCs w:val="22"/>
                <w:lang w:val="hr-HR"/>
              </w:rPr>
            </w:pPr>
          </w:p>
        </w:tc>
        <w:tc>
          <w:tcPr>
            <w:tcW w:w="739" w:type="pct"/>
          </w:tcPr>
          <w:p w:rsidR="00AA3823" w:rsidRPr="001567C8" w:rsidRDefault="00AA3823" w:rsidP="00AA3823">
            <w:pPr>
              <w:suppressAutoHyphens/>
              <w:jc w:val="right"/>
              <w:rPr>
                <w:rFonts w:asciiTheme="minorHAnsi" w:hAnsiTheme="minorHAnsi" w:cs="Arial"/>
                <w:b/>
                <w:sz w:val="22"/>
                <w:szCs w:val="22"/>
                <w:lang w:val="hr-HR"/>
              </w:rPr>
            </w:pPr>
          </w:p>
        </w:tc>
        <w:tc>
          <w:tcPr>
            <w:tcW w:w="739" w:type="pct"/>
          </w:tcPr>
          <w:p w:rsidR="00AA3823" w:rsidRPr="001567C8" w:rsidRDefault="00AA3823" w:rsidP="00AA3823">
            <w:pPr>
              <w:suppressAutoHyphens/>
              <w:jc w:val="right"/>
              <w:rPr>
                <w:rFonts w:asciiTheme="minorHAnsi" w:hAnsiTheme="minorHAnsi" w:cs="Arial"/>
                <w:b/>
                <w:sz w:val="22"/>
                <w:szCs w:val="22"/>
                <w:lang w:val="hr-HR"/>
              </w:rPr>
            </w:pPr>
          </w:p>
        </w:tc>
        <w:tc>
          <w:tcPr>
            <w:tcW w:w="738" w:type="pct"/>
          </w:tcPr>
          <w:p w:rsidR="00AA3823" w:rsidRPr="001567C8" w:rsidRDefault="00AA3823" w:rsidP="00AA3823">
            <w:pPr>
              <w:suppressAutoHyphens/>
              <w:jc w:val="right"/>
              <w:rPr>
                <w:rFonts w:asciiTheme="minorHAnsi" w:hAnsiTheme="minorHAnsi" w:cs="Arial"/>
                <w:b/>
                <w:sz w:val="22"/>
                <w:szCs w:val="22"/>
                <w:lang w:val="hr-HR"/>
              </w:rPr>
            </w:pPr>
          </w:p>
        </w:tc>
      </w:tr>
      <w:tr w:rsidR="00402B0E" w:rsidRPr="001567C8" w:rsidTr="00512277">
        <w:tc>
          <w:tcPr>
            <w:tcW w:w="2045" w:type="pct"/>
          </w:tcPr>
          <w:p w:rsidR="00402B0E" w:rsidRPr="001567C8" w:rsidRDefault="00402B0E" w:rsidP="00402B0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Javni sektor</w:t>
            </w:r>
          </w:p>
        </w:tc>
        <w:tc>
          <w:tcPr>
            <w:tcW w:w="738"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98.383</w:t>
            </w:r>
          </w:p>
        </w:tc>
        <w:tc>
          <w:tcPr>
            <w:tcW w:w="739"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113.744</w:t>
            </w:r>
          </w:p>
        </w:tc>
        <w:tc>
          <w:tcPr>
            <w:tcW w:w="739"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97.008</w:t>
            </w:r>
          </w:p>
        </w:tc>
        <w:tc>
          <w:tcPr>
            <w:tcW w:w="738"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112.117</w:t>
            </w:r>
          </w:p>
        </w:tc>
      </w:tr>
      <w:tr w:rsidR="00402B0E" w:rsidRPr="001567C8" w:rsidTr="00512277">
        <w:tc>
          <w:tcPr>
            <w:tcW w:w="2045" w:type="pct"/>
          </w:tcPr>
          <w:p w:rsidR="00402B0E" w:rsidRPr="001567C8" w:rsidRDefault="00402B0E" w:rsidP="00402B0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Državna trgovačka društva</w:t>
            </w:r>
          </w:p>
        </w:tc>
        <w:tc>
          <w:tcPr>
            <w:tcW w:w="738"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32.585</w:t>
            </w:r>
          </w:p>
        </w:tc>
        <w:tc>
          <w:tcPr>
            <w:tcW w:w="739"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51.300</w:t>
            </w:r>
          </w:p>
        </w:tc>
        <w:tc>
          <w:tcPr>
            <w:tcW w:w="739"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32.585</w:t>
            </w:r>
          </w:p>
        </w:tc>
        <w:tc>
          <w:tcPr>
            <w:tcW w:w="738"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51.300</w:t>
            </w:r>
          </w:p>
        </w:tc>
      </w:tr>
      <w:tr w:rsidR="00402B0E" w:rsidRPr="001567C8" w:rsidTr="00512277">
        <w:tc>
          <w:tcPr>
            <w:tcW w:w="2045" w:type="pct"/>
          </w:tcPr>
          <w:p w:rsidR="00402B0E" w:rsidRPr="001567C8" w:rsidRDefault="00402B0E" w:rsidP="00402B0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Strane pravne osobe</w:t>
            </w:r>
          </w:p>
        </w:tc>
        <w:tc>
          <w:tcPr>
            <w:tcW w:w="738"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29.077</w:t>
            </w:r>
          </w:p>
        </w:tc>
        <w:tc>
          <w:tcPr>
            <w:tcW w:w="739"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13.566</w:t>
            </w:r>
          </w:p>
        </w:tc>
        <w:tc>
          <w:tcPr>
            <w:tcW w:w="739"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29.077</w:t>
            </w:r>
          </w:p>
        </w:tc>
        <w:tc>
          <w:tcPr>
            <w:tcW w:w="738"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13.566</w:t>
            </w:r>
          </w:p>
        </w:tc>
      </w:tr>
      <w:tr w:rsidR="00402B0E" w:rsidRPr="001567C8" w:rsidTr="00512277">
        <w:tc>
          <w:tcPr>
            <w:tcW w:w="2045" w:type="pct"/>
          </w:tcPr>
          <w:p w:rsidR="00402B0E" w:rsidRPr="001567C8" w:rsidRDefault="00402B0E" w:rsidP="00402B0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Domaća trgovačka društva</w:t>
            </w:r>
          </w:p>
        </w:tc>
        <w:tc>
          <w:tcPr>
            <w:tcW w:w="738"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332.255</w:t>
            </w:r>
          </w:p>
        </w:tc>
        <w:tc>
          <w:tcPr>
            <w:tcW w:w="739"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359.964</w:t>
            </w:r>
          </w:p>
        </w:tc>
        <w:tc>
          <w:tcPr>
            <w:tcW w:w="739"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332.255</w:t>
            </w:r>
          </w:p>
        </w:tc>
        <w:tc>
          <w:tcPr>
            <w:tcW w:w="738"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359.964</w:t>
            </w:r>
          </w:p>
        </w:tc>
      </w:tr>
      <w:tr w:rsidR="00402B0E" w:rsidRPr="001567C8" w:rsidTr="00512277">
        <w:tc>
          <w:tcPr>
            <w:tcW w:w="2045" w:type="pct"/>
          </w:tcPr>
          <w:p w:rsidR="00402B0E" w:rsidRPr="001567C8" w:rsidRDefault="00402B0E" w:rsidP="00402B0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Domaće financijske institucije</w:t>
            </w:r>
          </w:p>
        </w:tc>
        <w:tc>
          <w:tcPr>
            <w:tcW w:w="738"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203.566</w:t>
            </w:r>
          </w:p>
        </w:tc>
        <w:tc>
          <w:tcPr>
            <w:tcW w:w="739"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246.331</w:t>
            </w:r>
          </w:p>
        </w:tc>
        <w:tc>
          <w:tcPr>
            <w:tcW w:w="739"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203.566</w:t>
            </w:r>
          </w:p>
        </w:tc>
        <w:tc>
          <w:tcPr>
            <w:tcW w:w="738"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246.331</w:t>
            </w:r>
          </w:p>
        </w:tc>
      </w:tr>
      <w:tr w:rsidR="00402B0E" w:rsidRPr="001567C8" w:rsidTr="00512277">
        <w:tc>
          <w:tcPr>
            <w:tcW w:w="2045" w:type="pct"/>
          </w:tcPr>
          <w:p w:rsidR="00402B0E" w:rsidRPr="001567C8" w:rsidRDefault="00402B0E" w:rsidP="00402B0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Inozemne financijske institucije</w:t>
            </w:r>
          </w:p>
        </w:tc>
        <w:tc>
          <w:tcPr>
            <w:tcW w:w="738"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476</w:t>
            </w:r>
          </w:p>
        </w:tc>
        <w:tc>
          <w:tcPr>
            <w:tcW w:w="739"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845</w:t>
            </w:r>
          </w:p>
        </w:tc>
        <w:tc>
          <w:tcPr>
            <w:tcW w:w="739"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476</w:t>
            </w:r>
          </w:p>
        </w:tc>
        <w:tc>
          <w:tcPr>
            <w:tcW w:w="738"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845</w:t>
            </w:r>
          </w:p>
        </w:tc>
      </w:tr>
      <w:tr w:rsidR="00402B0E" w:rsidRPr="001567C8" w:rsidTr="00512277">
        <w:tc>
          <w:tcPr>
            <w:tcW w:w="2045" w:type="pct"/>
          </w:tcPr>
          <w:p w:rsidR="00402B0E" w:rsidRPr="001567C8" w:rsidRDefault="00402B0E" w:rsidP="00402B0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Zatezne kamate</w:t>
            </w:r>
          </w:p>
        </w:tc>
        <w:tc>
          <w:tcPr>
            <w:tcW w:w="738"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9.526</w:t>
            </w:r>
          </w:p>
        </w:tc>
        <w:tc>
          <w:tcPr>
            <w:tcW w:w="739"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14.461</w:t>
            </w:r>
          </w:p>
        </w:tc>
        <w:tc>
          <w:tcPr>
            <w:tcW w:w="739" w:type="pct"/>
            <w:tcBorders>
              <w:top w:val="nil"/>
              <w:left w:val="nil"/>
              <w:bottom w:val="nil"/>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9.526</w:t>
            </w:r>
          </w:p>
        </w:tc>
        <w:tc>
          <w:tcPr>
            <w:tcW w:w="738" w:type="pct"/>
            <w:tcBorders>
              <w:top w:val="nil"/>
              <w:left w:val="nil"/>
              <w:bottom w:val="nil"/>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14.461</w:t>
            </w:r>
          </w:p>
        </w:tc>
      </w:tr>
      <w:tr w:rsidR="00402B0E" w:rsidRPr="001567C8" w:rsidTr="00512277">
        <w:trPr>
          <w:trHeight w:val="293"/>
        </w:trPr>
        <w:tc>
          <w:tcPr>
            <w:tcW w:w="2045" w:type="pct"/>
          </w:tcPr>
          <w:p w:rsidR="00402B0E" w:rsidRPr="001567C8" w:rsidRDefault="00402B0E" w:rsidP="00402B0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Ostalo</w:t>
            </w:r>
          </w:p>
        </w:tc>
        <w:tc>
          <w:tcPr>
            <w:tcW w:w="738" w:type="pct"/>
            <w:tcBorders>
              <w:top w:val="nil"/>
              <w:left w:val="nil"/>
              <w:bottom w:val="single" w:sz="4" w:space="0" w:color="auto"/>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27.215</w:t>
            </w:r>
          </w:p>
        </w:tc>
        <w:tc>
          <w:tcPr>
            <w:tcW w:w="739" w:type="pct"/>
            <w:tcBorders>
              <w:top w:val="nil"/>
              <w:left w:val="nil"/>
              <w:bottom w:val="single" w:sz="4" w:space="0" w:color="auto"/>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67.614</w:t>
            </w:r>
          </w:p>
        </w:tc>
        <w:tc>
          <w:tcPr>
            <w:tcW w:w="739" w:type="pct"/>
            <w:tcBorders>
              <w:top w:val="nil"/>
              <w:left w:val="nil"/>
              <w:bottom w:val="single" w:sz="4" w:space="0" w:color="auto"/>
              <w:right w:val="nil"/>
            </w:tcBorders>
            <w:shd w:val="clear" w:color="auto" w:fill="auto"/>
            <w:vAlign w:val="bottom"/>
          </w:tcPr>
          <w:p w:rsidR="00402B0E" w:rsidRPr="001567C8" w:rsidRDefault="00402B0E">
            <w:pPr>
              <w:pStyle w:val="TT"/>
              <w:spacing w:line="240" w:lineRule="auto"/>
              <w:jc w:val="right"/>
              <w:rPr>
                <w:rFonts w:asciiTheme="minorHAnsi" w:hAnsiTheme="minorHAnsi" w:cs="Arial"/>
                <w:sz w:val="22"/>
                <w:szCs w:val="22"/>
                <w:lang w:val="hr-HR"/>
              </w:rPr>
            </w:pPr>
            <w:r w:rsidRPr="00CD3A2D">
              <w:rPr>
                <w:rFonts w:asciiTheme="minorHAnsi" w:hAnsiTheme="minorHAnsi"/>
                <w:sz w:val="22"/>
                <w:szCs w:val="22"/>
                <w:lang w:val="hr-HR"/>
              </w:rPr>
              <w:t>27.215</w:t>
            </w:r>
          </w:p>
        </w:tc>
        <w:tc>
          <w:tcPr>
            <w:tcW w:w="738" w:type="pct"/>
            <w:tcBorders>
              <w:top w:val="nil"/>
              <w:left w:val="nil"/>
              <w:bottom w:val="single" w:sz="4" w:space="0" w:color="auto"/>
              <w:right w:val="nil"/>
            </w:tcBorders>
            <w:shd w:val="clear" w:color="auto" w:fill="auto"/>
            <w:vAlign w:val="center"/>
          </w:tcPr>
          <w:p w:rsidR="00402B0E" w:rsidRPr="001567C8" w:rsidRDefault="00402B0E" w:rsidP="00402B0E">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67.614</w:t>
            </w:r>
          </w:p>
        </w:tc>
      </w:tr>
      <w:tr w:rsidR="00752CD8" w:rsidRPr="001567C8" w:rsidTr="00752CD8">
        <w:tc>
          <w:tcPr>
            <w:tcW w:w="2045" w:type="pct"/>
          </w:tcPr>
          <w:p w:rsidR="00752CD8" w:rsidRPr="001567C8" w:rsidRDefault="00752CD8" w:rsidP="00752CD8">
            <w:pPr>
              <w:pStyle w:val="Tot"/>
              <w:spacing w:line="240" w:lineRule="auto"/>
              <w:rPr>
                <w:rFonts w:asciiTheme="minorHAnsi" w:hAnsiTheme="minorHAnsi" w:cs="Arial"/>
                <w:b/>
                <w:bCs/>
                <w:sz w:val="22"/>
                <w:szCs w:val="22"/>
                <w:lang w:val="hr-HR"/>
              </w:rPr>
            </w:pPr>
          </w:p>
        </w:tc>
        <w:tc>
          <w:tcPr>
            <w:tcW w:w="738" w:type="pct"/>
            <w:tcBorders>
              <w:top w:val="single" w:sz="4" w:space="0" w:color="auto"/>
              <w:bottom w:val="single" w:sz="12" w:space="0" w:color="auto"/>
            </w:tcBorders>
            <w:vAlign w:val="center"/>
          </w:tcPr>
          <w:p w:rsidR="00752CD8" w:rsidRPr="001567C8" w:rsidRDefault="00402B0E" w:rsidP="00752CD8">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733.083</w:t>
            </w:r>
          </w:p>
        </w:tc>
        <w:tc>
          <w:tcPr>
            <w:tcW w:w="739" w:type="pct"/>
            <w:tcBorders>
              <w:top w:val="single" w:sz="4" w:space="0" w:color="auto"/>
              <w:bottom w:val="single" w:sz="12" w:space="0" w:color="auto"/>
            </w:tcBorders>
            <w:vAlign w:val="center"/>
          </w:tcPr>
          <w:p w:rsidR="00752CD8" w:rsidRPr="001567C8" w:rsidRDefault="00752CD8" w:rsidP="00752CD8">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867.825</w:t>
            </w:r>
          </w:p>
        </w:tc>
        <w:tc>
          <w:tcPr>
            <w:tcW w:w="739" w:type="pct"/>
            <w:tcBorders>
              <w:top w:val="single" w:sz="4" w:space="0" w:color="auto"/>
              <w:bottom w:val="single" w:sz="12" w:space="0" w:color="auto"/>
            </w:tcBorders>
            <w:vAlign w:val="center"/>
          </w:tcPr>
          <w:p w:rsidR="00752CD8" w:rsidRPr="001567C8" w:rsidRDefault="00402B0E" w:rsidP="00752CD8">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731.708</w:t>
            </w:r>
          </w:p>
        </w:tc>
        <w:tc>
          <w:tcPr>
            <w:tcW w:w="738" w:type="pct"/>
            <w:tcBorders>
              <w:top w:val="single" w:sz="4" w:space="0" w:color="auto"/>
              <w:bottom w:val="single" w:sz="12" w:space="0" w:color="auto"/>
            </w:tcBorders>
            <w:vAlign w:val="center"/>
          </w:tcPr>
          <w:p w:rsidR="00752CD8" w:rsidRPr="001567C8" w:rsidRDefault="00752CD8" w:rsidP="00752CD8">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866.198</w:t>
            </w:r>
          </w:p>
        </w:tc>
      </w:tr>
    </w:tbl>
    <w:p w:rsidR="00934B68" w:rsidRPr="001567C8" w:rsidRDefault="00934B68" w:rsidP="005D12B5">
      <w:pPr>
        <w:pStyle w:val="T1"/>
        <w:spacing w:before="0" w:after="0" w:line="240" w:lineRule="auto"/>
        <w:rPr>
          <w:rFonts w:asciiTheme="minorHAnsi" w:hAnsiTheme="minorHAnsi" w:cs="Arial"/>
          <w:b w:val="0"/>
          <w:bCs w:val="0"/>
          <w:sz w:val="22"/>
          <w:szCs w:val="22"/>
          <w:lang w:val="hr-HR"/>
        </w:rPr>
      </w:pPr>
    </w:p>
    <w:p w:rsidR="006D0890" w:rsidRPr="001567C8" w:rsidRDefault="006D0890" w:rsidP="005D12B5">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Prihodi od kamata po vrstama plasmana:</w:t>
      </w:r>
    </w:p>
    <w:tbl>
      <w:tblPr>
        <w:tblW w:w="5000" w:type="pct"/>
        <w:tblLayout w:type="fixed"/>
        <w:tblCellMar>
          <w:left w:w="122" w:type="dxa"/>
          <w:right w:w="122" w:type="dxa"/>
        </w:tblCellMar>
        <w:tblLook w:val="0000" w:firstRow="0" w:lastRow="0" w:firstColumn="0" w:lastColumn="0" w:noHBand="0" w:noVBand="0"/>
      </w:tblPr>
      <w:tblGrid>
        <w:gridCol w:w="3827"/>
        <w:gridCol w:w="1381"/>
        <w:gridCol w:w="1383"/>
        <w:gridCol w:w="1383"/>
        <w:gridCol w:w="1381"/>
      </w:tblGrid>
      <w:tr w:rsidR="00833713" w:rsidRPr="001567C8" w:rsidTr="00934B68">
        <w:trPr>
          <w:trHeight w:val="300"/>
        </w:trPr>
        <w:tc>
          <w:tcPr>
            <w:tcW w:w="2045" w:type="pct"/>
          </w:tcPr>
          <w:p w:rsidR="00833713" w:rsidRPr="001567C8" w:rsidRDefault="00833713" w:rsidP="005D12B5">
            <w:pPr>
              <w:pStyle w:val="TH"/>
              <w:spacing w:line="240" w:lineRule="auto"/>
              <w:jc w:val="right"/>
              <w:rPr>
                <w:rFonts w:asciiTheme="minorHAnsi" w:hAnsiTheme="minorHAnsi" w:cs="Arial"/>
                <w:sz w:val="22"/>
                <w:szCs w:val="22"/>
                <w:lang w:val="hr-HR"/>
              </w:rPr>
            </w:pPr>
          </w:p>
        </w:tc>
        <w:tc>
          <w:tcPr>
            <w:tcW w:w="1477" w:type="pct"/>
            <w:gridSpan w:val="2"/>
            <w:vAlign w:val="bottom"/>
          </w:tcPr>
          <w:p w:rsidR="00833713" w:rsidRPr="001567C8" w:rsidRDefault="00833713" w:rsidP="005D12B5">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477" w:type="pct"/>
            <w:gridSpan w:val="2"/>
            <w:vAlign w:val="bottom"/>
          </w:tcPr>
          <w:p w:rsidR="00833713" w:rsidRPr="001567C8" w:rsidRDefault="00833713" w:rsidP="005D12B5">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752CD8" w:rsidRPr="001567C8" w:rsidTr="00934B68">
        <w:trPr>
          <w:trHeight w:val="300"/>
        </w:trPr>
        <w:tc>
          <w:tcPr>
            <w:tcW w:w="2045" w:type="pct"/>
          </w:tcPr>
          <w:p w:rsidR="00752CD8" w:rsidRPr="001567C8" w:rsidRDefault="00752CD8" w:rsidP="00752CD8">
            <w:pPr>
              <w:pStyle w:val="TH"/>
              <w:spacing w:line="240" w:lineRule="auto"/>
              <w:jc w:val="right"/>
              <w:rPr>
                <w:rFonts w:asciiTheme="minorHAnsi" w:hAnsiTheme="minorHAnsi" w:cs="Arial"/>
                <w:sz w:val="22"/>
                <w:szCs w:val="22"/>
                <w:lang w:val="hr-HR"/>
              </w:rPr>
            </w:pPr>
          </w:p>
        </w:tc>
        <w:tc>
          <w:tcPr>
            <w:tcW w:w="738" w:type="pct"/>
            <w:vAlign w:val="bottom"/>
          </w:tcPr>
          <w:p w:rsidR="00752CD8" w:rsidRPr="001567C8" w:rsidRDefault="00752CD8" w:rsidP="00752CD8">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739" w:type="pct"/>
            <w:vAlign w:val="bottom"/>
          </w:tcPr>
          <w:p w:rsidR="00752CD8" w:rsidRPr="001567C8" w:rsidRDefault="00752CD8" w:rsidP="00752CD8">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c>
          <w:tcPr>
            <w:tcW w:w="739" w:type="pct"/>
            <w:vAlign w:val="bottom"/>
          </w:tcPr>
          <w:p w:rsidR="00752CD8" w:rsidRPr="001567C8" w:rsidRDefault="00752CD8" w:rsidP="00752CD8">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738" w:type="pct"/>
            <w:vAlign w:val="bottom"/>
          </w:tcPr>
          <w:p w:rsidR="00752CD8" w:rsidRPr="001567C8" w:rsidRDefault="00752CD8" w:rsidP="00752CD8">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r>
      <w:tr w:rsidR="00AA3823" w:rsidRPr="001567C8" w:rsidTr="00934B68">
        <w:tblPrEx>
          <w:tblCellMar>
            <w:left w:w="108" w:type="dxa"/>
            <w:right w:w="108" w:type="dxa"/>
          </w:tblCellMar>
        </w:tblPrEx>
        <w:trPr>
          <w:trHeight w:val="187"/>
        </w:trPr>
        <w:tc>
          <w:tcPr>
            <w:tcW w:w="2045" w:type="pct"/>
          </w:tcPr>
          <w:p w:rsidR="00AA3823" w:rsidRPr="001567C8" w:rsidRDefault="00AA3823" w:rsidP="00AA3823">
            <w:pPr>
              <w:tabs>
                <w:tab w:val="left" w:pos="-720"/>
              </w:tabs>
              <w:suppressAutoHyphens/>
              <w:ind w:right="4144"/>
              <w:jc w:val="right"/>
              <w:rPr>
                <w:rFonts w:asciiTheme="minorHAnsi" w:hAnsiTheme="minorHAnsi" w:cs="Arial"/>
                <w:sz w:val="22"/>
                <w:szCs w:val="22"/>
                <w:lang w:val="hr-HR"/>
              </w:rPr>
            </w:pPr>
          </w:p>
        </w:tc>
        <w:tc>
          <w:tcPr>
            <w:tcW w:w="738" w:type="pct"/>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39" w:type="pct"/>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39" w:type="pct"/>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38" w:type="pct"/>
          </w:tcPr>
          <w:p w:rsidR="00AA3823" w:rsidRPr="001567C8" w:rsidRDefault="00AA3823" w:rsidP="00AA3823">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AA3823" w:rsidRPr="001567C8" w:rsidTr="00934B68">
        <w:trPr>
          <w:trHeight w:val="205"/>
        </w:trPr>
        <w:tc>
          <w:tcPr>
            <w:tcW w:w="2045" w:type="pct"/>
          </w:tcPr>
          <w:p w:rsidR="00AA3823" w:rsidRPr="001567C8" w:rsidRDefault="00AA3823" w:rsidP="00AA3823">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Kamate po kreditima</w:t>
            </w:r>
          </w:p>
        </w:tc>
        <w:tc>
          <w:tcPr>
            <w:tcW w:w="738" w:type="pct"/>
          </w:tcPr>
          <w:p w:rsidR="00AA3823" w:rsidRPr="001567C8" w:rsidRDefault="00AA3823" w:rsidP="00AA3823">
            <w:pPr>
              <w:pStyle w:val="TT"/>
              <w:spacing w:line="240" w:lineRule="auto"/>
              <w:jc w:val="right"/>
              <w:rPr>
                <w:rFonts w:asciiTheme="minorHAnsi" w:hAnsiTheme="minorHAnsi" w:cs="Arial"/>
                <w:spacing w:val="-2"/>
                <w:sz w:val="22"/>
                <w:szCs w:val="22"/>
                <w:lang w:val="hr-HR"/>
              </w:rPr>
            </w:pPr>
          </w:p>
        </w:tc>
        <w:tc>
          <w:tcPr>
            <w:tcW w:w="739" w:type="pct"/>
          </w:tcPr>
          <w:p w:rsidR="00AA3823" w:rsidRPr="001567C8" w:rsidRDefault="00AA3823" w:rsidP="00AA3823">
            <w:pPr>
              <w:pStyle w:val="TT"/>
              <w:spacing w:line="240" w:lineRule="auto"/>
              <w:jc w:val="right"/>
              <w:rPr>
                <w:rFonts w:asciiTheme="minorHAnsi" w:hAnsiTheme="minorHAnsi" w:cs="Arial"/>
                <w:spacing w:val="-2"/>
                <w:sz w:val="22"/>
                <w:szCs w:val="22"/>
                <w:lang w:val="hr-HR"/>
              </w:rPr>
            </w:pPr>
          </w:p>
        </w:tc>
        <w:tc>
          <w:tcPr>
            <w:tcW w:w="739" w:type="pct"/>
            <w:vAlign w:val="bottom"/>
          </w:tcPr>
          <w:p w:rsidR="00AA3823" w:rsidRPr="001567C8" w:rsidRDefault="00AA3823" w:rsidP="00AA3823">
            <w:pPr>
              <w:pStyle w:val="TT"/>
              <w:spacing w:line="240" w:lineRule="auto"/>
              <w:jc w:val="right"/>
              <w:rPr>
                <w:rFonts w:asciiTheme="minorHAnsi" w:hAnsiTheme="minorHAnsi" w:cs="Arial"/>
                <w:spacing w:val="-2"/>
                <w:sz w:val="22"/>
                <w:szCs w:val="22"/>
                <w:lang w:val="hr-HR"/>
              </w:rPr>
            </w:pPr>
          </w:p>
        </w:tc>
        <w:tc>
          <w:tcPr>
            <w:tcW w:w="738" w:type="pct"/>
            <w:vAlign w:val="bottom"/>
          </w:tcPr>
          <w:p w:rsidR="00AA3823" w:rsidRPr="001567C8" w:rsidRDefault="00AA3823" w:rsidP="00AA3823">
            <w:pPr>
              <w:pStyle w:val="TT"/>
              <w:spacing w:line="240" w:lineRule="auto"/>
              <w:jc w:val="right"/>
              <w:rPr>
                <w:rFonts w:asciiTheme="minorHAnsi" w:hAnsiTheme="minorHAnsi" w:cs="Arial"/>
                <w:spacing w:val="-2"/>
                <w:sz w:val="22"/>
                <w:szCs w:val="22"/>
                <w:lang w:val="hr-HR"/>
              </w:rPr>
            </w:pPr>
          </w:p>
        </w:tc>
      </w:tr>
      <w:tr w:rsidR="001B6DBE" w:rsidRPr="001567C8" w:rsidTr="00934B68">
        <w:tc>
          <w:tcPr>
            <w:tcW w:w="2045" w:type="pct"/>
          </w:tcPr>
          <w:p w:rsidR="001B6DBE" w:rsidRPr="001567C8" w:rsidRDefault="001B6DBE" w:rsidP="001B6DB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 xml:space="preserve">- financijskim institucijama </w:t>
            </w:r>
          </w:p>
        </w:tc>
        <w:tc>
          <w:tcPr>
            <w:tcW w:w="738" w:type="pct"/>
            <w:tcBorders>
              <w:top w:val="nil"/>
              <w:left w:val="nil"/>
              <w:bottom w:val="nil"/>
              <w:right w:val="nil"/>
            </w:tcBorders>
            <w:shd w:val="clear" w:color="auto" w:fill="auto"/>
            <w:vAlign w:val="center"/>
          </w:tcPr>
          <w:p w:rsidR="001B6DBE" w:rsidRPr="001B6DBE" w:rsidRDefault="001B6DBE" w:rsidP="001B6DBE">
            <w:pPr>
              <w:pStyle w:val="TT"/>
              <w:spacing w:line="240" w:lineRule="auto"/>
              <w:jc w:val="right"/>
              <w:rPr>
                <w:rFonts w:ascii="Calibri" w:hAnsi="Calibri" w:cs="Calibri"/>
                <w:color w:val="000000"/>
                <w:sz w:val="22"/>
                <w:szCs w:val="22"/>
                <w:lang w:val="hr-HR"/>
              </w:rPr>
            </w:pPr>
            <w:r w:rsidRPr="001B6DBE">
              <w:rPr>
                <w:rFonts w:ascii="Calibri" w:hAnsi="Calibri" w:cs="Calibri"/>
                <w:color w:val="000000"/>
                <w:sz w:val="22"/>
                <w:szCs w:val="22"/>
                <w:lang w:val="hr-HR"/>
              </w:rPr>
              <w:t>204.190</w:t>
            </w:r>
          </w:p>
        </w:tc>
        <w:tc>
          <w:tcPr>
            <w:tcW w:w="739" w:type="pct"/>
            <w:tcBorders>
              <w:top w:val="nil"/>
              <w:left w:val="nil"/>
              <w:bottom w:val="nil"/>
              <w:right w:val="nil"/>
            </w:tcBorders>
            <w:shd w:val="clear" w:color="auto" w:fill="auto"/>
            <w:vAlign w:val="center"/>
          </w:tcPr>
          <w:p w:rsidR="001B6DBE" w:rsidRPr="001567C8" w:rsidRDefault="001B6DBE" w:rsidP="001B6DBE">
            <w:pPr>
              <w:pStyle w:val="TT"/>
              <w:spacing w:line="240" w:lineRule="auto"/>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248.613</w:t>
            </w:r>
          </w:p>
        </w:tc>
        <w:tc>
          <w:tcPr>
            <w:tcW w:w="739" w:type="pct"/>
            <w:tcBorders>
              <w:top w:val="nil"/>
              <w:left w:val="nil"/>
              <w:bottom w:val="nil"/>
              <w:right w:val="nil"/>
            </w:tcBorders>
            <w:shd w:val="clear" w:color="auto" w:fill="auto"/>
            <w:vAlign w:val="center"/>
          </w:tcPr>
          <w:p w:rsidR="001B6DBE" w:rsidRPr="001B6DBE" w:rsidRDefault="001B6DBE" w:rsidP="001B6DBE">
            <w:pPr>
              <w:pStyle w:val="TT"/>
              <w:spacing w:line="240" w:lineRule="auto"/>
              <w:jc w:val="right"/>
              <w:rPr>
                <w:rFonts w:ascii="Calibri" w:hAnsi="Calibri" w:cs="Calibri"/>
                <w:color w:val="000000"/>
                <w:sz w:val="22"/>
                <w:szCs w:val="22"/>
                <w:lang w:val="hr-HR"/>
              </w:rPr>
            </w:pPr>
            <w:r w:rsidRPr="001B6DBE">
              <w:rPr>
                <w:rFonts w:ascii="Calibri" w:hAnsi="Calibri" w:cs="Calibri"/>
                <w:color w:val="000000"/>
                <w:sz w:val="22"/>
                <w:szCs w:val="22"/>
                <w:lang w:val="hr-HR"/>
              </w:rPr>
              <w:t>204.190</w:t>
            </w:r>
          </w:p>
        </w:tc>
        <w:tc>
          <w:tcPr>
            <w:tcW w:w="738" w:type="pct"/>
            <w:tcBorders>
              <w:top w:val="nil"/>
              <w:left w:val="nil"/>
              <w:bottom w:val="nil"/>
              <w:right w:val="nil"/>
            </w:tcBorders>
            <w:shd w:val="clear" w:color="auto" w:fill="auto"/>
            <w:vAlign w:val="center"/>
          </w:tcPr>
          <w:p w:rsidR="001B6DBE" w:rsidRPr="001567C8" w:rsidRDefault="001B6DBE" w:rsidP="001B6DBE">
            <w:pPr>
              <w:pStyle w:val="TT"/>
              <w:spacing w:line="240" w:lineRule="auto"/>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248.613</w:t>
            </w:r>
          </w:p>
        </w:tc>
      </w:tr>
      <w:tr w:rsidR="001B6DBE" w:rsidRPr="001567C8" w:rsidTr="00512277">
        <w:tc>
          <w:tcPr>
            <w:tcW w:w="2045" w:type="pct"/>
          </w:tcPr>
          <w:p w:rsidR="001B6DBE" w:rsidRPr="001567C8" w:rsidRDefault="001B6DBE" w:rsidP="001B6DBE">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 xml:space="preserve">- ostalim korisnicima </w:t>
            </w:r>
          </w:p>
        </w:tc>
        <w:tc>
          <w:tcPr>
            <w:tcW w:w="738" w:type="pct"/>
            <w:tcBorders>
              <w:top w:val="nil"/>
              <w:left w:val="nil"/>
              <w:bottom w:val="nil"/>
              <w:right w:val="nil"/>
            </w:tcBorders>
            <w:shd w:val="clear" w:color="auto" w:fill="auto"/>
            <w:vAlign w:val="center"/>
          </w:tcPr>
          <w:p w:rsidR="001B6DBE" w:rsidRPr="001B6DBE" w:rsidRDefault="001B6DBE" w:rsidP="001B6DBE">
            <w:pPr>
              <w:pStyle w:val="TT"/>
              <w:spacing w:line="240" w:lineRule="auto"/>
              <w:jc w:val="right"/>
              <w:rPr>
                <w:rFonts w:ascii="Calibri" w:hAnsi="Calibri" w:cs="Calibri"/>
                <w:color w:val="000000"/>
                <w:sz w:val="22"/>
                <w:szCs w:val="22"/>
                <w:lang w:val="hr-HR"/>
              </w:rPr>
            </w:pPr>
            <w:r w:rsidRPr="001B6DBE">
              <w:rPr>
                <w:rFonts w:ascii="Calibri" w:hAnsi="Calibri" w:cs="Calibri"/>
                <w:color w:val="000000"/>
                <w:sz w:val="22"/>
                <w:szCs w:val="22"/>
                <w:lang w:val="hr-HR"/>
              </w:rPr>
              <w:t>495.078</w:t>
            </w:r>
          </w:p>
        </w:tc>
        <w:tc>
          <w:tcPr>
            <w:tcW w:w="739" w:type="pct"/>
            <w:tcBorders>
              <w:top w:val="nil"/>
              <w:left w:val="nil"/>
              <w:bottom w:val="single" w:sz="4" w:space="0" w:color="auto"/>
              <w:right w:val="nil"/>
            </w:tcBorders>
            <w:shd w:val="clear" w:color="auto" w:fill="auto"/>
            <w:vAlign w:val="center"/>
          </w:tcPr>
          <w:p w:rsidR="001B6DBE" w:rsidRPr="001567C8" w:rsidRDefault="001B6DBE" w:rsidP="001B6DBE">
            <w:pPr>
              <w:pStyle w:val="TT"/>
              <w:spacing w:line="240" w:lineRule="auto"/>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577.814</w:t>
            </w:r>
          </w:p>
        </w:tc>
        <w:tc>
          <w:tcPr>
            <w:tcW w:w="739" w:type="pct"/>
            <w:tcBorders>
              <w:top w:val="nil"/>
              <w:left w:val="nil"/>
              <w:bottom w:val="nil"/>
              <w:right w:val="nil"/>
            </w:tcBorders>
            <w:shd w:val="clear" w:color="auto" w:fill="auto"/>
            <w:vAlign w:val="center"/>
          </w:tcPr>
          <w:p w:rsidR="001B6DBE" w:rsidRPr="001B6DBE" w:rsidRDefault="001B6DBE" w:rsidP="001B6DBE">
            <w:pPr>
              <w:pStyle w:val="TT"/>
              <w:spacing w:line="240" w:lineRule="auto"/>
              <w:jc w:val="right"/>
              <w:rPr>
                <w:rFonts w:ascii="Calibri" w:hAnsi="Calibri" w:cs="Calibri"/>
                <w:color w:val="000000"/>
                <w:sz w:val="22"/>
                <w:szCs w:val="22"/>
                <w:lang w:val="hr-HR"/>
              </w:rPr>
            </w:pPr>
            <w:r w:rsidRPr="001B6DBE">
              <w:rPr>
                <w:rFonts w:ascii="Calibri" w:hAnsi="Calibri" w:cs="Calibri"/>
                <w:color w:val="000000"/>
                <w:sz w:val="22"/>
                <w:szCs w:val="22"/>
                <w:lang w:val="hr-HR"/>
              </w:rPr>
              <w:t>495.078</w:t>
            </w:r>
          </w:p>
        </w:tc>
        <w:tc>
          <w:tcPr>
            <w:tcW w:w="738" w:type="pct"/>
            <w:tcBorders>
              <w:top w:val="nil"/>
              <w:left w:val="nil"/>
              <w:bottom w:val="single" w:sz="4" w:space="0" w:color="auto"/>
              <w:right w:val="nil"/>
            </w:tcBorders>
            <w:shd w:val="clear" w:color="auto" w:fill="auto"/>
            <w:vAlign w:val="center"/>
          </w:tcPr>
          <w:p w:rsidR="001B6DBE" w:rsidRPr="001567C8" w:rsidRDefault="001B6DBE" w:rsidP="001B6DBE">
            <w:pPr>
              <w:pStyle w:val="TT"/>
              <w:spacing w:line="240" w:lineRule="auto"/>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577.814</w:t>
            </w:r>
          </w:p>
        </w:tc>
      </w:tr>
      <w:tr w:rsidR="001B6DBE" w:rsidRPr="001567C8" w:rsidTr="003A73AB">
        <w:tc>
          <w:tcPr>
            <w:tcW w:w="2045" w:type="pct"/>
          </w:tcPr>
          <w:p w:rsidR="001B6DBE" w:rsidRPr="001567C8" w:rsidRDefault="001B6DBE" w:rsidP="001B6DBE">
            <w:pPr>
              <w:pStyle w:val="Tot"/>
              <w:spacing w:line="240" w:lineRule="auto"/>
              <w:rPr>
                <w:rFonts w:asciiTheme="minorHAnsi" w:hAnsiTheme="minorHAnsi" w:cs="Arial"/>
                <w:sz w:val="22"/>
                <w:szCs w:val="22"/>
                <w:lang w:val="hr-HR"/>
              </w:rPr>
            </w:pPr>
          </w:p>
        </w:tc>
        <w:tc>
          <w:tcPr>
            <w:tcW w:w="738" w:type="pct"/>
            <w:tcBorders>
              <w:top w:val="single" w:sz="4" w:space="0" w:color="auto"/>
              <w:bottom w:val="single" w:sz="4" w:space="0" w:color="auto"/>
            </w:tcBorders>
            <w:vAlign w:val="center"/>
          </w:tcPr>
          <w:p w:rsidR="001B6DBE" w:rsidRPr="001B6DBE" w:rsidRDefault="001B6DBE" w:rsidP="001B6DBE">
            <w:pPr>
              <w:pStyle w:val="TT"/>
              <w:spacing w:line="240" w:lineRule="auto"/>
              <w:jc w:val="right"/>
              <w:rPr>
                <w:rFonts w:ascii="Calibri" w:hAnsi="Calibri" w:cs="Calibri"/>
                <w:color w:val="000000"/>
                <w:sz w:val="22"/>
                <w:szCs w:val="22"/>
                <w:lang w:val="hr-HR"/>
              </w:rPr>
            </w:pPr>
            <w:r w:rsidRPr="001B6DBE">
              <w:rPr>
                <w:rFonts w:ascii="Calibri" w:hAnsi="Calibri" w:cs="Calibri"/>
                <w:color w:val="000000"/>
                <w:sz w:val="22"/>
                <w:szCs w:val="22"/>
                <w:lang w:val="hr-HR"/>
              </w:rPr>
              <w:t>699.268</w:t>
            </w:r>
          </w:p>
        </w:tc>
        <w:tc>
          <w:tcPr>
            <w:tcW w:w="739" w:type="pct"/>
            <w:tcBorders>
              <w:top w:val="single" w:sz="4" w:space="0" w:color="auto"/>
              <w:bottom w:val="single" w:sz="4" w:space="0" w:color="auto"/>
            </w:tcBorders>
            <w:vAlign w:val="center"/>
          </w:tcPr>
          <w:p w:rsidR="001B6DBE" w:rsidRPr="001567C8" w:rsidRDefault="001B6DBE" w:rsidP="001B6DBE">
            <w:pPr>
              <w:pStyle w:val="Tot"/>
              <w:spacing w:line="240" w:lineRule="auto"/>
              <w:jc w:val="right"/>
              <w:rPr>
                <w:rFonts w:asciiTheme="minorHAnsi" w:hAnsiTheme="minorHAnsi" w:cs="Arial"/>
                <w:spacing w:val="-2"/>
                <w:sz w:val="22"/>
                <w:szCs w:val="22"/>
                <w:lang w:val="hr-HR"/>
              </w:rPr>
            </w:pPr>
            <w:r w:rsidRPr="001567C8">
              <w:rPr>
                <w:rFonts w:asciiTheme="minorHAnsi" w:hAnsiTheme="minorHAnsi" w:cs="Arial"/>
                <w:spacing w:val="-2"/>
                <w:sz w:val="22"/>
                <w:szCs w:val="22"/>
                <w:lang w:val="hr-HR"/>
              </w:rPr>
              <w:t>826.427</w:t>
            </w:r>
          </w:p>
        </w:tc>
        <w:tc>
          <w:tcPr>
            <w:tcW w:w="739" w:type="pct"/>
            <w:tcBorders>
              <w:top w:val="single" w:sz="4" w:space="0" w:color="auto"/>
              <w:left w:val="nil"/>
              <w:bottom w:val="single" w:sz="4" w:space="0" w:color="auto"/>
              <w:right w:val="nil"/>
            </w:tcBorders>
            <w:shd w:val="clear" w:color="auto" w:fill="auto"/>
            <w:vAlign w:val="center"/>
          </w:tcPr>
          <w:p w:rsidR="001B6DBE" w:rsidRPr="001B6DBE" w:rsidRDefault="001B6DBE" w:rsidP="001B6DBE">
            <w:pPr>
              <w:pStyle w:val="TT"/>
              <w:spacing w:line="240" w:lineRule="auto"/>
              <w:jc w:val="right"/>
              <w:rPr>
                <w:rFonts w:ascii="Calibri" w:hAnsi="Calibri" w:cs="Calibri"/>
                <w:color w:val="000000"/>
                <w:sz w:val="22"/>
                <w:szCs w:val="22"/>
                <w:lang w:val="hr-HR"/>
              </w:rPr>
            </w:pPr>
            <w:r w:rsidRPr="001B6DBE">
              <w:rPr>
                <w:rFonts w:ascii="Calibri" w:hAnsi="Calibri" w:cs="Calibri"/>
                <w:color w:val="000000"/>
                <w:sz w:val="22"/>
                <w:szCs w:val="22"/>
                <w:lang w:val="hr-HR"/>
              </w:rPr>
              <w:t>699.268</w:t>
            </w:r>
          </w:p>
        </w:tc>
        <w:tc>
          <w:tcPr>
            <w:tcW w:w="738" w:type="pct"/>
            <w:tcBorders>
              <w:top w:val="single" w:sz="4" w:space="0" w:color="auto"/>
              <w:left w:val="nil"/>
              <w:bottom w:val="single" w:sz="4" w:space="0" w:color="auto"/>
              <w:right w:val="nil"/>
            </w:tcBorders>
            <w:shd w:val="clear" w:color="auto" w:fill="auto"/>
            <w:vAlign w:val="center"/>
          </w:tcPr>
          <w:p w:rsidR="001B6DBE" w:rsidRPr="001567C8" w:rsidRDefault="001B6DBE" w:rsidP="001B6DBE">
            <w:pPr>
              <w:pStyle w:val="Tot"/>
              <w:spacing w:line="240" w:lineRule="auto"/>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826.427</w:t>
            </w:r>
          </w:p>
        </w:tc>
      </w:tr>
      <w:tr w:rsidR="00402B0E" w:rsidRPr="001567C8" w:rsidTr="00752CD8">
        <w:tblPrEx>
          <w:tblCellMar>
            <w:left w:w="119" w:type="dxa"/>
            <w:right w:w="119" w:type="dxa"/>
          </w:tblCellMar>
        </w:tblPrEx>
        <w:tc>
          <w:tcPr>
            <w:tcW w:w="2045" w:type="pct"/>
          </w:tcPr>
          <w:p w:rsidR="00402B0E" w:rsidRPr="001567C8" w:rsidRDefault="00402B0E" w:rsidP="00402B0E">
            <w:pPr>
              <w:pStyle w:val="TT"/>
              <w:spacing w:line="240" w:lineRule="auto"/>
              <w:rPr>
                <w:rFonts w:asciiTheme="minorHAnsi" w:hAnsiTheme="minorHAnsi" w:cs="Arial"/>
                <w:sz w:val="22"/>
                <w:szCs w:val="22"/>
                <w:lang w:val="hr-HR"/>
              </w:rPr>
            </w:pPr>
          </w:p>
        </w:tc>
        <w:tc>
          <w:tcPr>
            <w:tcW w:w="738" w:type="pct"/>
            <w:tcBorders>
              <w:top w:val="single" w:sz="4" w:space="0" w:color="auto"/>
            </w:tcBorders>
          </w:tcPr>
          <w:p w:rsidR="00402B0E" w:rsidRPr="001567C8" w:rsidRDefault="00402B0E" w:rsidP="00402B0E">
            <w:pPr>
              <w:pStyle w:val="TT"/>
              <w:spacing w:line="240" w:lineRule="auto"/>
              <w:rPr>
                <w:rFonts w:asciiTheme="minorHAnsi" w:hAnsiTheme="minorHAnsi" w:cs="Arial"/>
                <w:sz w:val="22"/>
                <w:szCs w:val="22"/>
                <w:lang w:val="hr-HR"/>
              </w:rPr>
            </w:pPr>
          </w:p>
        </w:tc>
        <w:tc>
          <w:tcPr>
            <w:tcW w:w="739" w:type="pct"/>
            <w:tcBorders>
              <w:top w:val="single" w:sz="4" w:space="0" w:color="auto"/>
            </w:tcBorders>
          </w:tcPr>
          <w:p w:rsidR="00402B0E" w:rsidRPr="001567C8" w:rsidRDefault="00402B0E" w:rsidP="00402B0E">
            <w:pPr>
              <w:pStyle w:val="TT"/>
              <w:spacing w:line="240" w:lineRule="auto"/>
              <w:rPr>
                <w:rFonts w:asciiTheme="minorHAnsi" w:hAnsiTheme="minorHAnsi" w:cs="Arial"/>
                <w:sz w:val="22"/>
                <w:szCs w:val="22"/>
                <w:lang w:val="hr-HR"/>
              </w:rPr>
            </w:pPr>
          </w:p>
        </w:tc>
        <w:tc>
          <w:tcPr>
            <w:tcW w:w="739" w:type="pct"/>
            <w:tcBorders>
              <w:top w:val="single" w:sz="4" w:space="0" w:color="auto"/>
            </w:tcBorders>
            <w:vAlign w:val="bottom"/>
          </w:tcPr>
          <w:p w:rsidR="00402B0E" w:rsidRPr="001567C8" w:rsidRDefault="00402B0E" w:rsidP="00402B0E">
            <w:pPr>
              <w:pStyle w:val="TT"/>
              <w:spacing w:line="240" w:lineRule="auto"/>
              <w:rPr>
                <w:rFonts w:asciiTheme="minorHAnsi" w:hAnsiTheme="minorHAnsi" w:cs="Arial"/>
                <w:sz w:val="22"/>
                <w:szCs w:val="22"/>
                <w:lang w:val="hr-HR"/>
              </w:rPr>
            </w:pPr>
          </w:p>
        </w:tc>
        <w:tc>
          <w:tcPr>
            <w:tcW w:w="738" w:type="pct"/>
            <w:tcBorders>
              <w:top w:val="single" w:sz="4" w:space="0" w:color="auto"/>
            </w:tcBorders>
            <w:vAlign w:val="bottom"/>
          </w:tcPr>
          <w:p w:rsidR="00402B0E" w:rsidRPr="001567C8" w:rsidRDefault="00402B0E" w:rsidP="00402B0E">
            <w:pPr>
              <w:pStyle w:val="TT"/>
              <w:spacing w:line="240" w:lineRule="auto"/>
              <w:rPr>
                <w:rFonts w:asciiTheme="minorHAnsi" w:hAnsiTheme="minorHAnsi" w:cs="Arial"/>
                <w:sz w:val="22"/>
                <w:szCs w:val="22"/>
                <w:lang w:val="hr-HR"/>
              </w:rPr>
            </w:pPr>
          </w:p>
        </w:tc>
      </w:tr>
      <w:tr w:rsidR="00FE6882" w:rsidRPr="001567C8" w:rsidTr="00447AB8">
        <w:tc>
          <w:tcPr>
            <w:tcW w:w="2045" w:type="pct"/>
          </w:tcPr>
          <w:p w:rsidR="00FE6882" w:rsidRPr="001567C8" w:rsidRDefault="00FE6882" w:rsidP="00FE6882">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Plasmani u vrijednosne papire</w:t>
            </w:r>
          </w:p>
        </w:tc>
        <w:tc>
          <w:tcPr>
            <w:tcW w:w="738"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33.325</w:t>
            </w:r>
          </w:p>
        </w:tc>
        <w:tc>
          <w:tcPr>
            <w:tcW w:w="739"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40.540</w:t>
            </w:r>
          </w:p>
        </w:tc>
        <w:tc>
          <w:tcPr>
            <w:tcW w:w="739"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31.951</w:t>
            </w:r>
          </w:p>
        </w:tc>
        <w:tc>
          <w:tcPr>
            <w:tcW w:w="738"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38.913</w:t>
            </w:r>
          </w:p>
        </w:tc>
      </w:tr>
      <w:tr w:rsidR="00FE6882" w:rsidRPr="001567C8" w:rsidTr="00512277">
        <w:tc>
          <w:tcPr>
            <w:tcW w:w="2045" w:type="pct"/>
            <w:tcBorders>
              <w:top w:val="nil"/>
              <w:left w:val="nil"/>
              <w:bottom w:val="nil"/>
              <w:right w:val="nil"/>
            </w:tcBorders>
            <w:shd w:val="clear" w:color="auto" w:fill="auto"/>
            <w:vAlign w:val="bottom"/>
          </w:tcPr>
          <w:p w:rsidR="00FE6882" w:rsidRPr="001567C8" w:rsidRDefault="00FE6882" w:rsidP="00FE6882">
            <w:pPr>
              <w:pStyle w:val="TT"/>
              <w:spacing w:line="240" w:lineRule="auto"/>
              <w:rPr>
                <w:rFonts w:asciiTheme="minorHAnsi" w:hAnsiTheme="minorHAnsi" w:cs="Arial"/>
                <w:sz w:val="22"/>
                <w:szCs w:val="22"/>
                <w:lang w:val="hr-HR"/>
              </w:rPr>
            </w:pPr>
            <w:r w:rsidRPr="00CD3A2D">
              <w:rPr>
                <w:rFonts w:ascii="Calibri" w:hAnsi="Calibri"/>
                <w:i/>
                <w:iCs/>
                <w:color w:val="000000"/>
                <w:sz w:val="22"/>
                <w:szCs w:val="22"/>
                <w:lang w:val="hr-HR"/>
              </w:rPr>
              <w:t>- obveznice Republike Hrvatske</w:t>
            </w:r>
          </w:p>
        </w:tc>
        <w:tc>
          <w:tcPr>
            <w:tcW w:w="738"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i/>
                <w:iCs/>
                <w:color w:val="000000"/>
                <w:sz w:val="22"/>
                <w:szCs w:val="22"/>
                <w:lang w:val="hr-HR"/>
              </w:rPr>
              <w:t>29.996</w:t>
            </w:r>
          </w:p>
        </w:tc>
        <w:tc>
          <w:tcPr>
            <w:tcW w:w="739" w:type="pct"/>
            <w:tcBorders>
              <w:top w:val="nil"/>
              <w:left w:val="nil"/>
              <w:bottom w:val="nil"/>
              <w:right w:val="nil"/>
            </w:tcBorders>
            <w:shd w:val="clear" w:color="auto" w:fill="auto"/>
            <w:vAlign w:val="center"/>
          </w:tcPr>
          <w:p w:rsidR="00FE6882" w:rsidRPr="00CD3A2D" w:rsidRDefault="00FE6882" w:rsidP="00FE6882">
            <w:pPr>
              <w:pStyle w:val="TT"/>
              <w:spacing w:line="240" w:lineRule="auto"/>
              <w:jc w:val="right"/>
              <w:rPr>
                <w:rFonts w:ascii="Calibri" w:hAnsi="Calibri" w:cs="Calibri"/>
                <w:color w:val="000000"/>
                <w:sz w:val="22"/>
                <w:szCs w:val="22"/>
                <w:lang w:val="hr-HR"/>
              </w:rPr>
            </w:pPr>
            <w:r w:rsidRPr="00CD3A2D">
              <w:rPr>
                <w:rFonts w:ascii="Calibri" w:hAnsi="Calibri"/>
                <w:i/>
                <w:iCs/>
                <w:color w:val="000000"/>
                <w:sz w:val="22"/>
                <w:szCs w:val="22"/>
                <w:lang w:val="hr-HR"/>
              </w:rPr>
              <w:t>31.359</w:t>
            </w:r>
          </w:p>
        </w:tc>
        <w:tc>
          <w:tcPr>
            <w:tcW w:w="739"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i/>
                <w:iCs/>
                <w:color w:val="000000"/>
                <w:sz w:val="22"/>
                <w:szCs w:val="22"/>
                <w:lang w:val="hr-HR"/>
              </w:rPr>
              <w:t>28.667</w:t>
            </w:r>
          </w:p>
        </w:tc>
        <w:tc>
          <w:tcPr>
            <w:tcW w:w="738" w:type="pct"/>
            <w:tcBorders>
              <w:top w:val="nil"/>
              <w:left w:val="nil"/>
              <w:bottom w:val="nil"/>
              <w:right w:val="nil"/>
            </w:tcBorders>
            <w:shd w:val="clear" w:color="auto" w:fill="auto"/>
            <w:vAlign w:val="center"/>
          </w:tcPr>
          <w:p w:rsidR="00FE6882" w:rsidRPr="00CD3A2D" w:rsidRDefault="00A55920" w:rsidP="00FE6882">
            <w:pPr>
              <w:pStyle w:val="TT"/>
              <w:spacing w:line="240" w:lineRule="auto"/>
              <w:jc w:val="right"/>
              <w:rPr>
                <w:rFonts w:ascii="Calibri" w:hAnsi="Calibri" w:cs="Calibri"/>
                <w:color w:val="000000"/>
                <w:sz w:val="22"/>
                <w:szCs w:val="22"/>
                <w:lang w:val="hr-HR"/>
              </w:rPr>
            </w:pPr>
            <w:r w:rsidRPr="00CD3A2D">
              <w:rPr>
                <w:rFonts w:ascii="Calibri" w:hAnsi="Calibri"/>
                <w:i/>
                <w:iCs/>
                <w:color w:val="000000"/>
                <w:sz w:val="22"/>
                <w:szCs w:val="22"/>
                <w:lang w:val="hr-HR"/>
              </w:rPr>
              <w:t>29.836</w:t>
            </w:r>
          </w:p>
        </w:tc>
      </w:tr>
      <w:tr w:rsidR="00FE6882" w:rsidRPr="001567C8" w:rsidTr="00512277">
        <w:tc>
          <w:tcPr>
            <w:tcW w:w="2045" w:type="pct"/>
            <w:tcBorders>
              <w:top w:val="nil"/>
              <w:left w:val="nil"/>
              <w:bottom w:val="nil"/>
              <w:right w:val="nil"/>
            </w:tcBorders>
            <w:shd w:val="clear" w:color="auto" w:fill="auto"/>
            <w:vAlign w:val="bottom"/>
          </w:tcPr>
          <w:p w:rsidR="00FE6882" w:rsidRPr="001567C8" w:rsidRDefault="00FE6882" w:rsidP="00FE6882">
            <w:pPr>
              <w:pStyle w:val="TT"/>
              <w:spacing w:line="240" w:lineRule="auto"/>
              <w:rPr>
                <w:rFonts w:asciiTheme="minorHAnsi" w:hAnsiTheme="minorHAnsi" w:cs="Arial"/>
                <w:sz w:val="22"/>
                <w:szCs w:val="22"/>
                <w:lang w:val="hr-HR"/>
              </w:rPr>
            </w:pPr>
            <w:r w:rsidRPr="00CD3A2D">
              <w:rPr>
                <w:rFonts w:ascii="Calibri" w:hAnsi="Calibri"/>
                <w:i/>
                <w:iCs/>
                <w:color w:val="000000"/>
                <w:sz w:val="22"/>
                <w:szCs w:val="22"/>
                <w:lang w:val="hr-HR"/>
              </w:rPr>
              <w:t>- obveznice trgovačkih društava</w:t>
            </w:r>
          </w:p>
        </w:tc>
        <w:tc>
          <w:tcPr>
            <w:tcW w:w="738"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i/>
                <w:iCs/>
                <w:color w:val="000000"/>
                <w:sz w:val="22"/>
                <w:szCs w:val="22"/>
                <w:lang w:val="hr-HR"/>
              </w:rPr>
              <w:t>113</w:t>
            </w:r>
          </w:p>
        </w:tc>
        <w:tc>
          <w:tcPr>
            <w:tcW w:w="739" w:type="pct"/>
            <w:tcBorders>
              <w:top w:val="nil"/>
              <w:left w:val="nil"/>
              <w:bottom w:val="nil"/>
              <w:right w:val="nil"/>
            </w:tcBorders>
            <w:shd w:val="clear" w:color="auto" w:fill="auto"/>
            <w:vAlign w:val="center"/>
          </w:tcPr>
          <w:p w:rsidR="00FE6882" w:rsidRPr="00CD3A2D" w:rsidRDefault="00FE6882" w:rsidP="00FE6882">
            <w:pPr>
              <w:pStyle w:val="TT"/>
              <w:spacing w:line="240" w:lineRule="auto"/>
              <w:jc w:val="right"/>
              <w:rPr>
                <w:rFonts w:ascii="Calibri" w:hAnsi="Calibri" w:cs="Calibri"/>
                <w:color w:val="000000"/>
                <w:sz w:val="22"/>
                <w:szCs w:val="22"/>
                <w:lang w:val="hr-HR"/>
              </w:rPr>
            </w:pPr>
            <w:r w:rsidRPr="00CD3A2D">
              <w:rPr>
                <w:rFonts w:ascii="Calibri" w:hAnsi="Calibri"/>
                <w:i/>
                <w:iCs/>
                <w:color w:val="000000"/>
                <w:sz w:val="22"/>
                <w:szCs w:val="22"/>
                <w:lang w:val="hr-HR"/>
              </w:rPr>
              <w:t>172</w:t>
            </w:r>
          </w:p>
        </w:tc>
        <w:tc>
          <w:tcPr>
            <w:tcW w:w="739"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i/>
                <w:iCs/>
                <w:color w:val="000000"/>
                <w:sz w:val="22"/>
                <w:szCs w:val="22"/>
                <w:lang w:val="hr-HR"/>
              </w:rPr>
              <w:t>68</w:t>
            </w:r>
          </w:p>
        </w:tc>
        <w:tc>
          <w:tcPr>
            <w:tcW w:w="738" w:type="pct"/>
            <w:tcBorders>
              <w:top w:val="nil"/>
              <w:left w:val="nil"/>
              <w:bottom w:val="nil"/>
              <w:right w:val="nil"/>
            </w:tcBorders>
            <w:shd w:val="clear" w:color="auto" w:fill="auto"/>
            <w:vAlign w:val="center"/>
          </w:tcPr>
          <w:p w:rsidR="00FE6882" w:rsidRPr="00CD3A2D" w:rsidRDefault="00FE6882" w:rsidP="00FE6882">
            <w:pPr>
              <w:pStyle w:val="TT"/>
              <w:spacing w:line="240" w:lineRule="auto"/>
              <w:jc w:val="right"/>
              <w:rPr>
                <w:rFonts w:ascii="Calibri" w:hAnsi="Calibri" w:cs="Calibri"/>
                <w:color w:val="000000"/>
                <w:sz w:val="22"/>
                <w:szCs w:val="22"/>
                <w:lang w:val="hr-HR"/>
              </w:rPr>
            </w:pPr>
            <w:r w:rsidRPr="00CD3A2D">
              <w:rPr>
                <w:rFonts w:ascii="Calibri" w:hAnsi="Calibri"/>
                <w:i/>
                <w:iCs/>
                <w:color w:val="000000"/>
                <w:sz w:val="22"/>
                <w:szCs w:val="22"/>
                <w:lang w:val="hr-HR"/>
              </w:rPr>
              <w:t>68</w:t>
            </w:r>
          </w:p>
        </w:tc>
      </w:tr>
      <w:tr w:rsidR="00FE6882" w:rsidRPr="001567C8" w:rsidTr="00512277">
        <w:tc>
          <w:tcPr>
            <w:tcW w:w="2045" w:type="pct"/>
            <w:tcBorders>
              <w:top w:val="nil"/>
              <w:left w:val="nil"/>
              <w:bottom w:val="nil"/>
              <w:right w:val="nil"/>
            </w:tcBorders>
            <w:shd w:val="clear" w:color="auto" w:fill="auto"/>
            <w:vAlign w:val="bottom"/>
          </w:tcPr>
          <w:p w:rsidR="00FE6882" w:rsidRPr="001567C8" w:rsidRDefault="00FE6882" w:rsidP="00FE6882">
            <w:pPr>
              <w:pStyle w:val="TT"/>
              <w:spacing w:line="240" w:lineRule="auto"/>
              <w:rPr>
                <w:rFonts w:asciiTheme="minorHAnsi" w:hAnsiTheme="minorHAnsi" w:cs="Arial"/>
                <w:sz w:val="22"/>
                <w:szCs w:val="22"/>
                <w:lang w:val="hr-HR"/>
              </w:rPr>
            </w:pPr>
            <w:r w:rsidRPr="00CD3A2D">
              <w:rPr>
                <w:rFonts w:ascii="Calibri" w:hAnsi="Calibri"/>
                <w:i/>
                <w:iCs/>
                <w:color w:val="000000"/>
                <w:sz w:val="22"/>
                <w:szCs w:val="22"/>
                <w:lang w:val="hr-HR"/>
              </w:rPr>
              <w:t>- trezorski zapisi Ministarstva financija</w:t>
            </w:r>
          </w:p>
        </w:tc>
        <w:tc>
          <w:tcPr>
            <w:tcW w:w="738"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i/>
                <w:iCs/>
                <w:color w:val="000000"/>
                <w:sz w:val="22"/>
                <w:szCs w:val="22"/>
                <w:lang w:val="hr-HR"/>
              </w:rPr>
              <w:t>3.216</w:t>
            </w:r>
          </w:p>
        </w:tc>
        <w:tc>
          <w:tcPr>
            <w:tcW w:w="739" w:type="pct"/>
            <w:tcBorders>
              <w:top w:val="nil"/>
              <w:left w:val="nil"/>
              <w:bottom w:val="nil"/>
              <w:right w:val="nil"/>
            </w:tcBorders>
            <w:shd w:val="clear" w:color="auto" w:fill="auto"/>
            <w:vAlign w:val="center"/>
          </w:tcPr>
          <w:p w:rsidR="00FE6882" w:rsidRPr="00CD3A2D" w:rsidRDefault="00FE6882" w:rsidP="00FE6882">
            <w:pPr>
              <w:pStyle w:val="TT"/>
              <w:spacing w:line="240" w:lineRule="auto"/>
              <w:jc w:val="right"/>
              <w:rPr>
                <w:rFonts w:ascii="Calibri" w:hAnsi="Calibri" w:cs="Calibri"/>
                <w:color w:val="000000"/>
                <w:sz w:val="22"/>
                <w:szCs w:val="22"/>
                <w:lang w:val="hr-HR"/>
              </w:rPr>
            </w:pPr>
            <w:r w:rsidRPr="00CD3A2D">
              <w:rPr>
                <w:rFonts w:ascii="Calibri" w:hAnsi="Calibri"/>
                <w:i/>
                <w:iCs/>
                <w:color w:val="000000"/>
                <w:sz w:val="22"/>
                <w:szCs w:val="22"/>
                <w:lang w:val="hr-HR"/>
              </w:rPr>
              <w:t>9.009</w:t>
            </w:r>
          </w:p>
        </w:tc>
        <w:tc>
          <w:tcPr>
            <w:tcW w:w="739"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i/>
                <w:iCs/>
                <w:color w:val="000000"/>
                <w:sz w:val="22"/>
                <w:szCs w:val="22"/>
                <w:lang w:val="hr-HR"/>
              </w:rPr>
              <w:t>3.216</w:t>
            </w:r>
          </w:p>
        </w:tc>
        <w:tc>
          <w:tcPr>
            <w:tcW w:w="738" w:type="pct"/>
            <w:tcBorders>
              <w:top w:val="nil"/>
              <w:left w:val="nil"/>
              <w:bottom w:val="nil"/>
              <w:right w:val="nil"/>
            </w:tcBorders>
            <w:shd w:val="clear" w:color="auto" w:fill="auto"/>
            <w:vAlign w:val="center"/>
          </w:tcPr>
          <w:p w:rsidR="00FE6882" w:rsidRPr="00CD3A2D" w:rsidRDefault="00A55920" w:rsidP="00FE6882">
            <w:pPr>
              <w:pStyle w:val="TT"/>
              <w:spacing w:line="240" w:lineRule="auto"/>
              <w:jc w:val="right"/>
              <w:rPr>
                <w:rFonts w:ascii="Calibri" w:hAnsi="Calibri" w:cs="Calibri"/>
                <w:color w:val="000000"/>
                <w:sz w:val="22"/>
                <w:szCs w:val="22"/>
                <w:lang w:val="hr-HR"/>
              </w:rPr>
            </w:pPr>
            <w:r w:rsidRPr="00CD3A2D">
              <w:rPr>
                <w:rFonts w:ascii="Calibri" w:hAnsi="Calibri"/>
                <w:i/>
                <w:iCs/>
                <w:color w:val="000000"/>
                <w:sz w:val="22"/>
                <w:szCs w:val="22"/>
                <w:lang w:val="hr-HR"/>
              </w:rPr>
              <w:t>9.009</w:t>
            </w:r>
          </w:p>
        </w:tc>
      </w:tr>
      <w:tr w:rsidR="00FE6882" w:rsidRPr="001567C8" w:rsidTr="00512277">
        <w:tc>
          <w:tcPr>
            <w:tcW w:w="2045" w:type="pct"/>
          </w:tcPr>
          <w:p w:rsidR="00FE6882" w:rsidRPr="001567C8" w:rsidRDefault="00FE6882" w:rsidP="00FE6882">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Depoziti</w:t>
            </w:r>
          </w:p>
        </w:tc>
        <w:tc>
          <w:tcPr>
            <w:tcW w:w="738"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490</w:t>
            </w:r>
          </w:p>
        </w:tc>
        <w:tc>
          <w:tcPr>
            <w:tcW w:w="739" w:type="pct"/>
            <w:tcBorders>
              <w:top w:val="nil"/>
              <w:left w:val="nil"/>
              <w:bottom w:val="single" w:sz="4" w:space="0" w:color="auto"/>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858</w:t>
            </w:r>
          </w:p>
        </w:tc>
        <w:tc>
          <w:tcPr>
            <w:tcW w:w="739"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489</w:t>
            </w:r>
          </w:p>
        </w:tc>
        <w:tc>
          <w:tcPr>
            <w:tcW w:w="738" w:type="pct"/>
            <w:tcBorders>
              <w:top w:val="nil"/>
              <w:left w:val="nil"/>
              <w:bottom w:val="single" w:sz="4" w:space="0" w:color="auto"/>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858</w:t>
            </w:r>
          </w:p>
        </w:tc>
      </w:tr>
      <w:tr w:rsidR="00FE6882" w:rsidRPr="001567C8" w:rsidTr="00752CD8">
        <w:trPr>
          <w:trHeight w:val="300"/>
        </w:trPr>
        <w:tc>
          <w:tcPr>
            <w:tcW w:w="2045" w:type="pct"/>
          </w:tcPr>
          <w:p w:rsidR="00FE6882" w:rsidRPr="001567C8" w:rsidRDefault="00FE6882" w:rsidP="00FE6882">
            <w:pPr>
              <w:pStyle w:val="Tot"/>
              <w:spacing w:line="240" w:lineRule="auto"/>
              <w:jc w:val="right"/>
              <w:rPr>
                <w:rFonts w:asciiTheme="minorHAnsi" w:hAnsiTheme="minorHAnsi" w:cs="Arial"/>
                <w:b/>
                <w:bCs/>
                <w:spacing w:val="-2"/>
                <w:sz w:val="22"/>
                <w:szCs w:val="22"/>
                <w:lang w:val="hr-HR"/>
              </w:rPr>
            </w:pPr>
          </w:p>
        </w:tc>
        <w:tc>
          <w:tcPr>
            <w:tcW w:w="738" w:type="pct"/>
            <w:tcBorders>
              <w:top w:val="single" w:sz="4" w:space="0" w:color="auto"/>
              <w:bottom w:val="single" w:sz="12" w:space="0" w:color="auto"/>
            </w:tcBorders>
            <w:vAlign w:val="center"/>
          </w:tcPr>
          <w:p w:rsidR="00FE6882" w:rsidRPr="001567C8" w:rsidRDefault="00FE6882" w:rsidP="00FE6882">
            <w:pPr>
              <w:pStyle w:val="Tot"/>
              <w:spacing w:line="240" w:lineRule="auto"/>
              <w:jc w:val="righ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733.083</w:t>
            </w:r>
          </w:p>
        </w:tc>
        <w:tc>
          <w:tcPr>
            <w:tcW w:w="739" w:type="pct"/>
            <w:tcBorders>
              <w:top w:val="single" w:sz="4" w:space="0" w:color="auto"/>
              <w:bottom w:val="single" w:sz="12" w:space="0" w:color="auto"/>
            </w:tcBorders>
            <w:vAlign w:val="center"/>
          </w:tcPr>
          <w:p w:rsidR="00FE6882" w:rsidRPr="001567C8" w:rsidRDefault="00FE6882" w:rsidP="00FE6882">
            <w:pPr>
              <w:pStyle w:val="Tot"/>
              <w:spacing w:line="240" w:lineRule="auto"/>
              <w:jc w:val="righ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867.825</w:t>
            </w:r>
          </w:p>
        </w:tc>
        <w:tc>
          <w:tcPr>
            <w:tcW w:w="739" w:type="pct"/>
            <w:tcBorders>
              <w:top w:val="single" w:sz="4" w:space="0" w:color="auto"/>
              <w:bottom w:val="single" w:sz="12" w:space="0" w:color="auto"/>
            </w:tcBorders>
            <w:vAlign w:val="center"/>
          </w:tcPr>
          <w:p w:rsidR="00FE6882" w:rsidRPr="001567C8" w:rsidRDefault="00FE6882" w:rsidP="00FE6882">
            <w:pPr>
              <w:jc w:val="right"/>
              <w:rPr>
                <w:rFonts w:asciiTheme="minorHAnsi" w:hAnsiTheme="minorHAnsi" w:cs="Arial"/>
                <w:b/>
                <w:bCs/>
                <w:sz w:val="22"/>
                <w:szCs w:val="22"/>
                <w:lang w:val="hr-HR"/>
              </w:rPr>
            </w:pPr>
            <w:r w:rsidRPr="001567C8">
              <w:rPr>
                <w:rFonts w:asciiTheme="minorHAnsi" w:hAnsiTheme="minorHAnsi" w:cs="Arial"/>
                <w:b/>
                <w:bCs/>
                <w:sz w:val="22"/>
                <w:szCs w:val="22"/>
                <w:lang w:val="hr-HR"/>
              </w:rPr>
              <w:t>731.708</w:t>
            </w:r>
          </w:p>
        </w:tc>
        <w:tc>
          <w:tcPr>
            <w:tcW w:w="738" w:type="pct"/>
            <w:tcBorders>
              <w:top w:val="single" w:sz="4" w:space="0" w:color="auto"/>
              <w:bottom w:val="single" w:sz="12" w:space="0" w:color="auto"/>
            </w:tcBorders>
            <w:vAlign w:val="center"/>
          </w:tcPr>
          <w:p w:rsidR="00FE6882" w:rsidRPr="001567C8" w:rsidRDefault="00FE6882" w:rsidP="00FE6882">
            <w:pPr>
              <w:jc w:val="right"/>
              <w:rPr>
                <w:rFonts w:asciiTheme="minorHAnsi" w:hAnsiTheme="minorHAnsi" w:cs="Arial"/>
                <w:b/>
                <w:bCs/>
                <w:sz w:val="22"/>
                <w:szCs w:val="22"/>
                <w:lang w:val="hr-HR"/>
              </w:rPr>
            </w:pPr>
            <w:r w:rsidRPr="001567C8">
              <w:rPr>
                <w:rFonts w:asciiTheme="minorHAnsi" w:hAnsiTheme="minorHAnsi" w:cs="Arial"/>
                <w:b/>
                <w:bCs/>
                <w:sz w:val="22"/>
                <w:szCs w:val="22"/>
                <w:lang w:val="hr-HR"/>
              </w:rPr>
              <w:t>866.198</w:t>
            </w:r>
          </w:p>
        </w:tc>
      </w:tr>
    </w:tbl>
    <w:p w:rsidR="00934B68" w:rsidRPr="001567C8" w:rsidRDefault="00934B68" w:rsidP="005D12B5">
      <w:pPr>
        <w:pStyle w:val="T1"/>
        <w:keepNext w:val="0"/>
        <w:spacing w:before="0" w:after="0" w:line="240" w:lineRule="auto"/>
        <w:rPr>
          <w:rFonts w:asciiTheme="minorHAnsi" w:hAnsiTheme="minorHAnsi" w:cs="Arial"/>
          <w:b w:val="0"/>
          <w:sz w:val="22"/>
          <w:szCs w:val="22"/>
          <w:lang w:val="hr-HR"/>
        </w:rPr>
      </w:pPr>
    </w:p>
    <w:p w:rsidR="00EC7209" w:rsidRPr="001567C8" w:rsidRDefault="00813BA8" w:rsidP="005D12B5">
      <w:pPr>
        <w:pStyle w:val="T1"/>
        <w:keepNext w:val="0"/>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Razlika između prihoda od kamata i primljenog odnosno naplaćenog iznosa kamatnih prihoda (vidi Izvještaj o novčanim tokovima) najvećim se dijelom odnosi na prihode s osnova subvencionirane kamatne stope čiji se tok novca bilježi u trenutku uplate. </w:t>
      </w:r>
      <w:r w:rsidRPr="001567C8">
        <w:rPr>
          <w:rFonts w:asciiTheme="minorHAnsi" w:hAnsiTheme="minorHAnsi" w:cs="Arial"/>
          <w:b w:val="0"/>
          <w:bCs w:val="0"/>
          <w:sz w:val="22"/>
          <w:szCs w:val="22"/>
          <w:lang w:val="hr-HR"/>
        </w:rPr>
        <w:t xml:space="preserve">Diskontirani iznos subvencionirane kamate za krajnjeg korisnika iskazan je kao odgođeno priznavanje kamatnih prihoda </w:t>
      </w:r>
      <w:r w:rsidR="00D1090B" w:rsidRPr="001567C8">
        <w:rPr>
          <w:rFonts w:asciiTheme="minorHAnsi" w:hAnsiTheme="minorHAnsi" w:cs="Arial"/>
          <w:b w:val="0"/>
          <w:sz w:val="22"/>
          <w:szCs w:val="22"/>
          <w:lang w:val="hr-HR"/>
        </w:rPr>
        <w:t xml:space="preserve">(veza </w:t>
      </w:r>
      <w:r w:rsidR="00150CA8" w:rsidRPr="001567C8">
        <w:rPr>
          <w:rFonts w:asciiTheme="minorHAnsi" w:hAnsiTheme="minorHAnsi" w:cs="Arial"/>
          <w:b w:val="0"/>
          <w:sz w:val="22"/>
          <w:szCs w:val="22"/>
          <w:lang w:val="hr-HR"/>
        </w:rPr>
        <w:t>bilješk</w:t>
      </w:r>
      <w:r w:rsidR="00326DE2" w:rsidRPr="001567C8">
        <w:rPr>
          <w:rFonts w:asciiTheme="minorHAnsi" w:hAnsiTheme="minorHAnsi" w:cs="Arial"/>
          <w:b w:val="0"/>
          <w:sz w:val="22"/>
          <w:szCs w:val="22"/>
          <w:lang w:val="hr-HR"/>
        </w:rPr>
        <w:t>a</w:t>
      </w:r>
      <w:r w:rsidR="00150CA8" w:rsidRPr="001567C8">
        <w:rPr>
          <w:rFonts w:asciiTheme="minorHAnsi" w:hAnsiTheme="minorHAnsi" w:cs="Arial"/>
          <w:b w:val="0"/>
          <w:sz w:val="22"/>
          <w:szCs w:val="22"/>
          <w:lang w:val="hr-HR"/>
        </w:rPr>
        <w:t xml:space="preserve"> </w:t>
      </w:r>
      <w:r w:rsidR="008A260B" w:rsidRPr="001567C8">
        <w:rPr>
          <w:rFonts w:asciiTheme="minorHAnsi" w:hAnsiTheme="minorHAnsi" w:cs="Arial"/>
          <w:b w:val="0"/>
          <w:sz w:val="22"/>
          <w:szCs w:val="22"/>
          <w:lang w:val="hr-HR"/>
        </w:rPr>
        <w:t>30</w:t>
      </w:r>
      <w:r w:rsidRPr="001567C8">
        <w:rPr>
          <w:rFonts w:asciiTheme="minorHAnsi" w:hAnsiTheme="minorHAnsi" w:cs="Arial"/>
          <w:b w:val="0"/>
          <w:sz w:val="22"/>
          <w:szCs w:val="22"/>
          <w:lang w:val="hr-HR"/>
        </w:rPr>
        <w:t xml:space="preserve">. Ostale obveze) </w:t>
      </w:r>
      <w:r w:rsidRPr="001567C8">
        <w:rPr>
          <w:rFonts w:asciiTheme="minorHAnsi" w:hAnsiTheme="minorHAnsi" w:cs="Arial"/>
          <w:b w:val="0"/>
          <w:bCs w:val="0"/>
          <w:sz w:val="22"/>
          <w:szCs w:val="22"/>
          <w:lang w:val="hr-HR"/>
        </w:rPr>
        <w:t xml:space="preserve">i priznaje se u </w:t>
      </w:r>
      <w:r w:rsidR="008325DA" w:rsidRPr="001567C8">
        <w:rPr>
          <w:rFonts w:asciiTheme="minorHAnsi" w:hAnsiTheme="minorHAnsi" w:cs="Arial"/>
          <w:b w:val="0"/>
          <w:bCs w:val="0"/>
          <w:sz w:val="22"/>
          <w:szCs w:val="22"/>
          <w:lang w:val="hr-HR"/>
        </w:rPr>
        <w:t>izvještaju o</w:t>
      </w:r>
      <w:r w:rsidRPr="001567C8">
        <w:rPr>
          <w:rFonts w:asciiTheme="minorHAnsi" w:hAnsiTheme="minorHAnsi" w:cs="Arial"/>
          <w:b w:val="0"/>
          <w:bCs w:val="0"/>
          <w:sz w:val="22"/>
          <w:szCs w:val="22"/>
          <w:lang w:val="hr-HR"/>
        </w:rPr>
        <w:t xml:space="preserve"> dobiti i gubitk</w:t>
      </w:r>
      <w:r w:rsidR="008325DA" w:rsidRPr="001567C8">
        <w:rPr>
          <w:rFonts w:asciiTheme="minorHAnsi" w:hAnsiTheme="minorHAnsi" w:cs="Arial"/>
          <w:b w:val="0"/>
          <w:bCs w:val="0"/>
          <w:sz w:val="22"/>
          <w:szCs w:val="22"/>
          <w:lang w:val="hr-HR"/>
        </w:rPr>
        <w:t>u</w:t>
      </w:r>
      <w:r w:rsidR="00BD645A" w:rsidRPr="001567C8">
        <w:rPr>
          <w:rFonts w:asciiTheme="minorHAnsi" w:hAnsiTheme="minorHAnsi" w:cs="Arial"/>
          <w:b w:val="0"/>
          <w:bCs w:val="0"/>
          <w:sz w:val="22"/>
          <w:szCs w:val="22"/>
          <w:lang w:val="hr-HR"/>
        </w:rPr>
        <w:t xml:space="preserve"> te ostaloj sveobuhvatnoj dobiti</w:t>
      </w:r>
      <w:r w:rsidRPr="001567C8">
        <w:rPr>
          <w:rFonts w:asciiTheme="minorHAnsi" w:hAnsiTheme="minorHAnsi" w:cs="Arial"/>
          <w:b w:val="0"/>
          <w:bCs w:val="0"/>
          <w:sz w:val="22"/>
          <w:szCs w:val="22"/>
          <w:lang w:val="hr-HR"/>
        </w:rPr>
        <w:t xml:space="preserve"> na vremenskoj osnovi tijekom razdoblja otplate kredita.</w:t>
      </w:r>
      <w:r w:rsidRPr="001567C8">
        <w:rPr>
          <w:rFonts w:asciiTheme="minorHAnsi" w:hAnsiTheme="minorHAnsi" w:cs="Arial"/>
          <w:b w:val="0"/>
          <w:sz w:val="22"/>
          <w:szCs w:val="22"/>
          <w:lang w:val="hr-HR"/>
        </w:rPr>
        <w:t xml:space="preserve"> Prihod od subvencionirane kamate u </w:t>
      </w:r>
      <w:r w:rsidR="00FE6882" w:rsidRPr="001567C8">
        <w:rPr>
          <w:rFonts w:asciiTheme="minorHAnsi" w:hAnsiTheme="minorHAnsi" w:cs="Arial"/>
          <w:b w:val="0"/>
          <w:sz w:val="22"/>
          <w:szCs w:val="22"/>
          <w:lang w:val="hr-HR"/>
        </w:rPr>
        <w:t>2018</w:t>
      </w:r>
      <w:r w:rsidRPr="001567C8">
        <w:rPr>
          <w:rFonts w:asciiTheme="minorHAnsi" w:hAnsiTheme="minorHAnsi" w:cs="Arial"/>
          <w:b w:val="0"/>
          <w:sz w:val="22"/>
          <w:szCs w:val="22"/>
          <w:lang w:val="hr-HR"/>
        </w:rPr>
        <w:t xml:space="preserve">. godini iznosi </w:t>
      </w:r>
      <w:r w:rsidR="00FE6882" w:rsidRPr="001567C8">
        <w:rPr>
          <w:rFonts w:asciiTheme="minorHAnsi" w:hAnsiTheme="minorHAnsi" w:cs="Arial"/>
          <w:b w:val="0"/>
          <w:sz w:val="22"/>
          <w:szCs w:val="22"/>
          <w:lang w:val="hr-HR"/>
        </w:rPr>
        <w:t>70.011</w:t>
      </w:r>
      <w:r w:rsidR="008D1C09" w:rsidRPr="001567C8">
        <w:rPr>
          <w:rFonts w:asciiTheme="minorHAnsi" w:hAnsiTheme="minorHAnsi" w:cs="Arial"/>
          <w:b w:val="0"/>
          <w:sz w:val="22"/>
          <w:szCs w:val="22"/>
          <w:lang w:val="hr-HR"/>
        </w:rPr>
        <w:t xml:space="preserve"> </w:t>
      </w:r>
      <w:r w:rsidRPr="001567C8">
        <w:rPr>
          <w:rFonts w:asciiTheme="minorHAnsi" w:hAnsiTheme="minorHAnsi" w:cs="Arial"/>
          <w:b w:val="0"/>
          <w:sz w:val="22"/>
          <w:szCs w:val="22"/>
          <w:lang w:val="hr-HR"/>
        </w:rPr>
        <w:t>tisuća kuna (</w:t>
      </w:r>
      <w:r w:rsidR="006D377C" w:rsidRPr="001567C8">
        <w:rPr>
          <w:rFonts w:asciiTheme="minorHAnsi" w:hAnsiTheme="minorHAnsi" w:cs="Arial"/>
          <w:b w:val="0"/>
          <w:sz w:val="22"/>
          <w:szCs w:val="22"/>
          <w:lang w:val="hr-HR"/>
        </w:rPr>
        <w:t xml:space="preserve">31. prosinca </w:t>
      </w:r>
      <w:r w:rsidRPr="001567C8">
        <w:rPr>
          <w:rFonts w:asciiTheme="minorHAnsi" w:hAnsiTheme="minorHAnsi" w:cs="Arial"/>
          <w:b w:val="0"/>
          <w:sz w:val="22"/>
          <w:szCs w:val="22"/>
          <w:lang w:val="hr-HR"/>
        </w:rPr>
        <w:t>20</w:t>
      </w:r>
      <w:r w:rsidR="00155974" w:rsidRPr="001567C8">
        <w:rPr>
          <w:rFonts w:asciiTheme="minorHAnsi" w:hAnsiTheme="minorHAnsi" w:cs="Arial"/>
          <w:b w:val="0"/>
          <w:sz w:val="22"/>
          <w:szCs w:val="22"/>
          <w:lang w:val="hr-HR"/>
        </w:rPr>
        <w:t>1</w:t>
      </w:r>
      <w:r w:rsidR="00FE6882" w:rsidRPr="001567C8">
        <w:rPr>
          <w:rFonts w:asciiTheme="minorHAnsi" w:hAnsiTheme="minorHAnsi" w:cs="Arial"/>
          <w:b w:val="0"/>
          <w:sz w:val="22"/>
          <w:szCs w:val="22"/>
          <w:lang w:val="hr-HR"/>
        </w:rPr>
        <w:t>7</w:t>
      </w:r>
      <w:r w:rsidRPr="001567C8">
        <w:rPr>
          <w:rFonts w:asciiTheme="minorHAnsi" w:hAnsiTheme="minorHAnsi" w:cs="Arial"/>
          <w:b w:val="0"/>
          <w:sz w:val="22"/>
          <w:szCs w:val="22"/>
          <w:lang w:val="hr-HR"/>
        </w:rPr>
        <w:t xml:space="preserve">. godine: </w:t>
      </w:r>
      <w:r w:rsidR="00FE6882" w:rsidRPr="001567C8">
        <w:rPr>
          <w:rFonts w:asciiTheme="minorHAnsi" w:hAnsiTheme="minorHAnsi" w:cs="Arial"/>
          <w:b w:val="0"/>
          <w:sz w:val="22"/>
          <w:szCs w:val="22"/>
          <w:lang w:val="hr-HR"/>
        </w:rPr>
        <w:t>99.635</w:t>
      </w:r>
      <w:r w:rsidR="00AA3823" w:rsidRPr="001567C8">
        <w:rPr>
          <w:rFonts w:asciiTheme="minorHAnsi" w:hAnsiTheme="minorHAnsi" w:cs="Arial"/>
          <w:b w:val="0"/>
          <w:sz w:val="22"/>
          <w:szCs w:val="22"/>
          <w:lang w:val="hr-HR"/>
        </w:rPr>
        <w:t xml:space="preserve"> </w:t>
      </w:r>
      <w:r w:rsidRPr="001567C8">
        <w:rPr>
          <w:rFonts w:asciiTheme="minorHAnsi" w:hAnsiTheme="minorHAnsi" w:cs="Arial"/>
          <w:b w:val="0"/>
          <w:sz w:val="22"/>
          <w:szCs w:val="22"/>
          <w:lang w:val="hr-HR"/>
        </w:rPr>
        <w:t>tisuća kuna).</w:t>
      </w:r>
    </w:p>
    <w:p w:rsidR="00211726" w:rsidRPr="001567C8" w:rsidRDefault="00211726" w:rsidP="005D12B5">
      <w:pPr>
        <w:pStyle w:val="T1"/>
        <w:keepNext w:val="0"/>
        <w:spacing w:before="0" w:after="0" w:line="240" w:lineRule="auto"/>
        <w:rPr>
          <w:rFonts w:asciiTheme="minorHAnsi" w:hAnsiTheme="minorHAnsi" w:cs="Arial"/>
          <w:b w:val="0"/>
          <w:sz w:val="22"/>
          <w:szCs w:val="22"/>
          <w:lang w:val="hr-HR"/>
        </w:rPr>
      </w:pPr>
    </w:p>
    <w:p w:rsidR="00EC7209" w:rsidRPr="001567C8" w:rsidRDefault="00EC7209" w:rsidP="00EC7209">
      <w:pPr>
        <w:jc w:val="both"/>
        <w:rPr>
          <w:rFonts w:asciiTheme="minorHAnsi" w:hAnsiTheme="minorHAnsi"/>
          <w:sz w:val="22"/>
          <w:szCs w:val="22"/>
          <w:lang w:val="hr-HR"/>
        </w:rPr>
      </w:pPr>
    </w:p>
    <w:p w:rsidR="00EC7209" w:rsidRPr="001567C8" w:rsidRDefault="00EC7209" w:rsidP="00EC7209">
      <w:pPr>
        <w:jc w:val="both"/>
        <w:rPr>
          <w:rFonts w:asciiTheme="minorHAnsi" w:hAnsiTheme="minorHAnsi"/>
          <w:sz w:val="22"/>
          <w:szCs w:val="22"/>
          <w:lang w:val="hr-HR"/>
        </w:rPr>
        <w:sectPr w:rsidR="00EC7209" w:rsidRPr="001567C8" w:rsidSect="000D6913">
          <w:type w:val="continuous"/>
          <w:pgSz w:w="11907" w:h="16840" w:code="9"/>
          <w:pgMar w:top="1418" w:right="1134" w:bottom="1134" w:left="1418" w:header="851" w:footer="851" w:gutter="0"/>
          <w:cols w:space="720"/>
          <w:noEndnote/>
        </w:sectPr>
      </w:pPr>
    </w:p>
    <w:p w:rsidR="00934B68" w:rsidRPr="001567C8" w:rsidRDefault="00934B68" w:rsidP="005D12B5">
      <w:pPr>
        <w:pStyle w:val="T1"/>
        <w:keepNext w:val="0"/>
        <w:spacing w:before="0" w:after="0" w:line="240" w:lineRule="auto"/>
        <w:rPr>
          <w:rFonts w:asciiTheme="minorHAnsi" w:hAnsiTheme="minorHAnsi" w:cs="Arial"/>
          <w:b w:val="0"/>
          <w:sz w:val="22"/>
          <w:szCs w:val="22"/>
          <w:lang w:val="hr-HR"/>
        </w:rPr>
      </w:pPr>
    </w:p>
    <w:p w:rsidR="00D01DFD" w:rsidRPr="001567C8" w:rsidRDefault="00D01DFD" w:rsidP="00D01DFD">
      <w:pPr>
        <w:pStyle w:val="T1"/>
        <w:spacing w:before="0" w:after="0" w:line="240" w:lineRule="auto"/>
        <w:rPr>
          <w:rFonts w:asciiTheme="minorHAnsi" w:hAnsiTheme="minorHAnsi" w:cs="Arial"/>
          <w:bCs w:val="0"/>
          <w:sz w:val="22"/>
          <w:szCs w:val="22"/>
          <w:lang w:val="hr-HR"/>
        </w:rPr>
      </w:pPr>
    </w:p>
    <w:p w:rsidR="006D0890" w:rsidRPr="001567C8" w:rsidRDefault="00AB145B" w:rsidP="00D01DFD">
      <w:pPr>
        <w:pStyle w:val="T1"/>
        <w:spacing w:before="0" w:after="0" w:line="240" w:lineRule="auto"/>
        <w:rPr>
          <w:rFonts w:asciiTheme="minorHAnsi" w:hAnsiTheme="minorHAnsi" w:cs="Arial"/>
          <w:bCs w:val="0"/>
          <w:sz w:val="22"/>
          <w:szCs w:val="22"/>
          <w:lang w:val="hr-HR"/>
        </w:rPr>
      </w:pPr>
      <w:r w:rsidRPr="001567C8">
        <w:rPr>
          <w:rFonts w:asciiTheme="minorHAnsi" w:hAnsiTheme="minorHAnsi" w:cs="Arial"/>
          <w:bCs w:val="0"/>
          <w:sz w:val="22"/>
          <w:szCs w:val="22"/>
          <w:lang w:val="hr-HR"/>
        </w:rPr>
        <w:t>7</w:t>
      </w:r>
      <w:r w:rsidR="006D0890" w:rsidRPr="001567C8">
        <w:rPr>
          <w:rFonts w:asciiTheme="minorHAnsi" w:hAnsiTheme="minorHAnsi" w:cs="Arial"/>
          <w:bCs w:val="0"/>
          <w:sz w:val="22"/>
          <w:szCs w:val="22"/>
          <w:lang w:val="hr-HR"/>
        </w:rPr>
        <w:t>.</w:t>
      </w:r>
      <w:r w:rsidR="006D0890" w:rsidRPr="001567C8">
        <w:rPr>
          <w:rFonts w:asciiTheme="minorHAnsi" w:hAnsiTheme="minorHAnsi" w:cs="Arial"/>
          <w:bCs w:val="0"/>
          <w:sz w:val="22"/>
          <w:szCs w:val="22"/>
          <w:lang w:val="hr-HR"/>
        </w:rPr>
        <w:tab/>
        <w:t>Rashodi od kamata</w:t>
      </w:r>
    </w:p>
    <w:p w:rsidR="00D01DFD" w:rsidRPr="001567C8" w:rsidRDefault="00D01DFD" w:rsidP="00D01DFD">
      <w:pPr>
        <w:pStyle w:val="T1"/>
        <w:spacing w:before="0" w:after="0" w:line="240" w:lineRule="auto"/>
        <w:rPr>
          <w:rFonts w:asciiTheme="minorHAnsi" w:hAnsiTheme="minorHAnsi" w:cs="Arial"/>
          <w:bCs w:val="0"/>
          <w:sz w:val="22"/>
          <w:szCs w:val="22"/>
          <w:lang w:val="hr-HR"/>
        </w:rPr>
      </w:pPr>
    </w:p>
    <w:p w:rsidR="006D0890" w:rsidRPr="001567C8" w:rsidRDefault="006D0890" w:rsidP="00D01DFD">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Rashodi od kamata prema primateljima:</w:t>
      </w:r>
    </w:p>
    <w:tbl>
      <w:tblPr>
        <w:tblW w:w="5000" w:type="pct"/>
        <w:tblLayout w:type="fixed"/>
        <w:tblCellMar>
          <w:left w:w="122" w:type="dxa"/>
          <w:right w:w="122" w:type="dxa"/>
        </w:tblCellMar>
        <w:tblLook w:val="0000" w:firstRow="0" w:lastRow="0" w:firstColumn="0" w:lastColumn="0" w:noHBand="0" w:noVBand="0"/>
      </w:tblPr>
      <w:tblGrid>
        <w:gridCol w:w="4259"/>
        <w:gridCol w:w="1278"/>
        <w:gridCol w:w="1274"/>
        <w:gridCol w:w="1274"/>
        <w:gridCol w:w="1270"/>
      </w:tblGrid>
      <w:tr w:rsidR="00833713" w:rsidRPr="001567C8" w:rsidTr="00950882">
        <w:trPr>
          <w:trHeight w:val="300"/>
        </w:trPr>
        <w:tc>
          <w:tcPr>
            <w:tcW w:w="2276" w:type="pct"/>
          </w:tcPr>
          <w:p w:rsidR="00833713" w:rsidRPr="001567C8" w:rsidRDefault="00833713" w:rsidP="00D01DFD">
            <w:pPr>
              <w:tabs>
                <w:tab w:val="left" w:pos="-720"/>
              </w:tabs>
              <w:suppressAutoHyphens/>
              <w:jc w:val="right"/>
              <w:rPr>
                <w:rFonts w:asciiTheme="minorHAnsi" w:hAnsiTheme="minorHAnsi" w:cs="Arial"/>
                <w:spacing w:val="-3"/>
                <w:sz w:val="22"/>
                <w:szCs w:val="22"/>
                <w:lang w:val="hr-HR"/>
              </w:rPr>
            </w:pPr>
          </w:p>
        </w:tc>
        <w:tc>
          <w:tcPr>
            <w:tcW w:w="1364" w:type="pct"/>
            <w:gridSpan w:val="2"/>
            <w:vAlign w:val="bottom"/>
          </w:tcPr>
          <w:p w:rsidR="00833713" w:rsidRPr="001567C8" w:rsidRDefault="00833713" w:rsidP="00D01DFD">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Grupa</w:t>
            </w:r>
            <w:r w:rsidRPr="001567C8" w:rsidDel="00833713">
              <w:rPr>
                <w:rFonts w:asciiTheme="minorHAnsi" w:hAnsiTheme="minorHAnsi" w:cs="Arial"/>
                <w:sz w:val="22"/>
                <w:szCs w:val="22"/>
                <w:lang w:val="hr-HR"/>
              </w:rPr>
              <w:t xml:space="preserve"> </w:t>
            </w:r>
          </w:p>
        </w:tc>
        <w:tc>
          <w:tcPr>
            <w:tcW w:w="1360" w:type="pct"/>
            <w:gridSpan w:val="2"/>
            <w:vAlign w:val="bottom"/>
          </w:tcPr>
          <w:p w:rsidR="00833713" w:rsidRPr="001567C8" w:rsidRDefault="00833713" w:rsidP="00D01DFD">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Banka</w:t>
            </w:r>
            <w:r w:rsidRPr="001567C8" w:rsidDel="00833713">
              <w:rPr>
                <w:rFonts w:asciiTheme="minorHAnsi" w:hAnsiTheme="minorHAnsi" w:cs="Arial"/>
                <w:sz w:val="22"/>
                <w:szCs w:val="22"/>
                <w:lang w:val="hr-HR"/>
              </w:rPr>
              <w:t xml:space="preserve"> </w:t>
            </w:r>
          </w:p>
        </w:tc>
      </w:tr>
      <w:tr w:rsidR="003A73AB" w:rsidRPr="001567C8" w:rsidTr="00950882">
        <w:trPr>
          <w:trHeight w:val="300"/>
        </w:trPr>
        <w:tc>
          <w:tcPr>
            <w:tcW w:w="2276" w:type="pct"/>
          </w:tcPr>
          <w:p w:rsidR="003A73AB" w:rsidRPr="001567C8" w:rsidRDefault="003A73AB" w:rsidP="003A73AB">
            <w:pPr>
              <w:tabs>
                <w:tab w:val="left" w:pos="-720"/>
              </w:tabs>
              <w:suppressAutoHyphens/>
              <w:jc w:val="right"/>
              <w:rPr>
                <w:rFonts w:asciiTheme="minorHAnsi" w:hAnsiTheme="minorHAnsi" w:cs="Arial"/>
                <w:spacing w:val="-3"/>
                <w:sz w:val="22"/>
                <w:szCs w:val="22"/>
                <w:lang w:val="hr-HR"/>
              </w:rPr>
            </w:pPr>
          </w:p>
        </w:tc>
        <w:tc>
          <w:tcPr>
            <w:tcW w:w="683"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81"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c>
          <w:tcPr>
            <w:tcW w:w="681"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79"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r>
      <w:tr w:rsidR="003A73AB" w:rsidRPr="001567C8" w:rsidTr="00950882">
        <w:tblPrEx>
          <w:tblCellMar>
            <w:left w:w="108" w:type="dxa"/>
            <w:right w:w="108" w:type="dxa"/>
          </w:tblCellMar>
        </w:tblPrEx>
        <w:trPr>
          <w:trHeight w:val="187"/>
        </w:trPr>
        <w:tc>
          <w:tcPr>
            <w:tcW w:w="2276" w:type="pct"/>
          </w:tcPr>
          <w:p w:rsidR="003A73AB" w:rsidRPr="001567C8" w:rsidRDefault="003A73AB" w:rsidP="003A73AB">
            <w:pPr>
              <w:tabs>
                <w:tab w:val="left" w:pos="-720"/>
              </w:tabs>
              <w:suppressAutoHyphens/>
              <w:ind w:right="4144"/>
              <w:jc w:val="right"/>
              <w:rPr>
                <w:rFonts w:asciiTheme="minorHAnsi" w:hAnsiTheme="minorHAnsi" w:cs="Arial"/>
                <w:sz w:val="22"/>
                <w:szCs w:val="22"/>
                <w:lang w:val="hr-HR"/>
              </w:rPr>
            </w:pPr>
          </w:p>
        </w:tc>
        <w:tc>
          <w:tcPr>
            <w:tcW w:w="683" w:type="pct"/>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81" w:type="pct"/>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81" w:type="pct"/>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79" w:type="pct"/>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3A73AB" w:rsidRPr="001567C8" w:rsidTr="00950882">
        <w:tblPrEx>
          <w:tblCellMar>
            <w:left w:w="108" w:type="dxa"/>
            <w:right w:w="108" w:type="dxa"/>
          </w:tblCellMar>
        </w:tblPrEx>
        <w:tc>
          <w:tcPr>
            <w:tcW w:w="2276" w:type="pct"/>
          </w:tcPr>
          <w:p w:rsidR="003A73AB" w:rsidRPr="001567C8" w:rsidRDefault="003A73AB" w:rsidP="003A73AB">
            <w:pPr>
              <w:tabs>
                <w:tab w:val="left" w:pos="-720"/>
              </w:tabs>
              <w:suppressAutoHyphens/>
              <w:rPr>
                <w:rFonts w:asciiTheme="minorHAnsi" w:hAnsiTheme="minorHAnsi" w:cs="Arial"/>
                <w:spacing w:val="-3"/>
                <w:sz w:val="22"/>
                <w:szCs w:val="22"/>
                <w:lang w:val="hr-HR"/>
              </w:rPr>
            </w:pPr>
          </w:p>
        </w:tc>
        <w:tc>
          <w:tcPr>
            <w:tcW w:w="683" w:type="pct"/>
          </w:tcPr>
          <w:p w:rsidR="003A73AB" w:rsidRPr="001567C8" w:rsidRDefault="003A73AB" w:rsidP="003A73AB">
            <w:pPr>
              <w:tabs>
                <w:tab w:val="left" w:pos="-720"/>
              </w:tabs>
              <w:suppressAutoHyphens/>
              <w:jc w:val="right"/>
              <w:rPr>
                <w:rFonts w:asciiTheme="minorHAnsi" w:hAnsiTheme="minorHAnsi" w:cs="Arial"/>
                <w:b/>
                <w:spacing w:val="-3"/>
                <w:sz w:val="22"/>
                <w:szCs w:val="22"/>
                <w:lang w:val="hr-HR"/>
              </w:rPr>
            </w:pPr>
          </w:p>
        </w:tc>
        <w:tc>
          <w:tcPr>
            <w:tcW w:w="681" w:type="pct"/>
          </w:tcPr>
          <w:p w:rsidR="003A73AB" w:rsidRPr="001567C8" w:rsidRDefault="003A73AB" w:rsidP="003A73AB">
            <w:pPr>
              <w:tabs>
                <w:tab w:val="left" w:pos="-720"/>
              </w:tabs>
              <w:suppressAutoHyphens/>
              <w:jc w:val="right"/>
              <w:rPr>
                <w:rFonts w:asciiTheme="minorHAnsi" w:hAnsiTheme="minorHAnsi" w:cs="Arial"/>
                <w:b/>
                <w:spacing w:val="-3"/>
                <w:sz w:val="22"/>
                <w:szCs w:val="22"/>
                <w:lang w:val="hr-HR"/>
              </w:rPr>
            </w:pPr>
          </w:p>
        </w:tc>
        <w:tc>
          <w:tcPr>
            <w:tcW w:w="681" w:type="pct"/>
          </w:tcPr>
          <w:p w:rsidR="003A73AB" w:rsidRPr="001567C8" w:rsidRDefault="003A73AB" w:rsidP="003A73AB">
            <w:pPr>
              <w:tabs>
                <w:tab w:val="left" w:pos="-720"/>
              </w:tabs>
              <w:suppressAutoHyphens/>
              <w:jc w:val="right"/>
              <w:rPr>
                <w:rFonts w:asciiTheme="minorHAnsi" w:hAnsiTheme="minorHAnsi" w:cs="Arial"/>
                <w:b/>
                <w:spacing w:val="-3"/>
                <w:sz w:val="22"/>
                <w:szCs w:val="22"/>
                <w:lang w:val="hr-HR"/>
              </w:rPr>
            </w:pPr>
          </w:p>
        </w:tc>
        <w:tc>
          <w:tcPr>
            <w:tcW w:w="679" w:type="pct"/>
          </w:tcPr>
          <w:p w:rsidR="003A73AB" w:rsidRPr="001567C8" w:rsidRDefault="003A73AB" w:rsidP="003A73AB">
            <w:pPr>
              <w:tabs>
                <w:tab w:val="left" w:pos="-720"/>
              </w:tabs>
              <w:suppressAutoHyphens/>
              <w:jc w:val="right"/>
              <w:rPr>
                <w:rFonts w:asciiTheme="minorHAnsi" w:hAnsiTheme="minorHAnsi" w:cs="Arial"/>
                <w:b/>
                <w:spacing w:val="-3"/>
                <w:sz w:val="22"/>
                <w:szCs w:val="22"/>
                <w:lang w:val="hr-HR"/>
              </w:rPr>
            </w:pPr>
          </w:p>
        </w:tc>
      </w:tr>
      <w:tr w:rsidR="00FE6882" w:rsidRPr="001567C8" w:rsidTr="004B06E1">
        <w:tc>
          <w:tcPr>
            <w:tcW w:w="2276" w:type="pct"/>
          </w:tcPr>
          <w:p w:rsidR="00FE6882" w:rsidRPr="001567C8" w:rsidRDefault="00FE6882" w:rsidP="00FE6882">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Domaće financijske institucije</w:t>
            </w:r>
          </w:p>
        </w:tc>
        <w:tc>
          <w:tcPr>
            <w:tcW w:w="683"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5.003</w:t>
            </w:r>
          </w:p>
        </w:tc>
        <w:tc>
          <w:tcPr>
            <w:tcW w:w="681"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2.246</w:t>
            </w:r>
          </w:p>
        </w:tc>
        <w:tc>
          <w:tcPr>
            <w:tcW w:w="681"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5.003</w:t>
            </w:r>
          </w:p>
        </w:tc>
        <w:tc>
          <w:tcPr>
            <w:tcW w:w="679"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2.246</w:t>
            </w:r>
          </w:p>
        </w:tc>
      </w:tr>
      <w:tr w:rsidR="00FE6882" w:rsidRPr="001567C8" w:rsidTr="00512277">
        <w:tc>
          <w:tcPr>
            <w:tcW w:w="2276" w:type="pct"/>
          </w:tcPr>
          <w:p w:rsidR="00FE6882" w:rsidRPr="001567C8" w:rsidRDefault="00FE6882" w:rsidP="00FE6882">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Inozemne financijske institucije</w:t>
            </w:r>
          </w:p>
        </w:tc>
        <w:tc>
          <w:tcPr>
            <w:tcW w:w="683"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351.063</w:t>
            </w:r>
          </w:p>
        </w:tc>
        <w:tc>
          <w:tcPr>
            <w:tcW w:w="681" w:type="pct"/>
            <w:tcBorders>
              <w:top w:val="nil"/>
              <w:left w:val="nil"/>
              <w:bottom w:val="single" w:sz="4" w:space="0" w:color="auto"/>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388.214</w:t>
            </w:r>
          </w:p>
        </w:tc>
        <w:tc>
          <w:tcPr>
            <w:tcW w:w="681"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351.063</w:t>
            </w:r>
          </w:p>
        </w:tc>
        <w:tc>
          <w:tcPr>
            <w:tcW w:w="679" w:type="pct"/>
            <w:tcBorders>
              <w:top w:val="nil"/>
              <w:left w:val="nil"/>
              <w:bottom w:val="single" w:sz="4" w:space="0" w:color="auto"/>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388.214</w:t>
            </w:r>
          </w:p>
        </w:tc>
      </w:tr>
      <w:tr w:rsidR="00FE6882" w:rsidRPr="001567C8" w:rsidTr="003A73AB">
        <w:tblPrEx>
          <w:tblCellMar>
            <w:left w:w="108" w:type="dxa"/>
            <w:right w:w="108" w:type="dxa"/>
          </w:tblCellMar>
        </w:tblPrEx>
        <w:tc>
          <w:tcPr>
            <w:tcW w:w="2276" w:type="pct"/>
          </w:tcPr>
          <w:p w:rsidR="00FE6882" w:rsidRPr="001567C8" w:rsidRDefault="00FE6882" w:rsidP="00FE6882">
            <w:pPr>
              <w:pStyle w:val="Tot"/>
              <w:spacing w:line="240" w:lineRule="auto"/>
              <w:rPr>
                <w:rFonts w:asciiTheme="minorHAnsi" w:hAnsiTheme="minorHAnsi" w:cs="Arial"/>
                <w:b/>
                <w:bCs/>
                <w:sz w:val="22"/>
                <w:szCs w:val="22"/>
                <w:lang w:val="hr-HR"/>
              </w:rPr>
            </w:pPr>
          </w:p>
        </w:tc>
        <w:tc>
          <w:tcPr>
            <w:tcW w:w="683" w:type="pct"/>
            <w:tcBorders>
              <w:top w:val="single" w:sz="4" w:space="0" w:color="auto"/>
              <w:bottom w:val="single" w:sz="12" w:space="0" w:color="auto"/>
            </w:tcBorders>
            <w:vAlign w:val="bottom"/>
          </w:tcPr>
          <w:p w:rsidR="00FE6882" w:rsidRPr="001567C8" w:rsidRDefault="00FE6882" w:rsidP="00FE6882">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356.066</w:t>
            </w:r>
          </w:p>
        </w:tc>
        <w:tc>
          <w:tcPr>
            <w:tcW w:w="681" w:type="pct"/>
            <w:tcBorders>
              <w:top w:val="single" w:sz="4" w:space="0" w:color="auto"/>
              <w:bottom w:val="single" w:sz="12" w:space="0" w:color="auto"/>
            </w:tcBorders>
            <w:vAlign w:val="bottom"/>
          </w:tcPr>
          <w:p w:rsidR="00FE6882" w:rsidRPr="001567C8" w:rsidRDefault="00FE6882" w:rsidP="00FE6882">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390.460</w:t>
            </w:r>
          </w:p>
        </w:tc>
        <w:tc>
          <w:tcPr>
            <w:tcW w:w="681" w:type="pct"/>
            <w:tcBorders>
              <w:top w:val="single" w:sz="4" w:space="0" w:color="auto"/>
              <w:bottom w:val="single" w:sz="12" w:space="0" w:color="auto"/>
            </w:tcBorders>
            <w:vAlign w:val="bottom"/>
          </w:tcPr>
          <w:p w:rsidR="00FE6882" w:rsidRPr="001567C8" w:rsidRDefault="00FE6882" w:rsidP="00FE6882">
            <w:pPr>
              <w:jc w:val="right"/>
              <w:rPr>
                <w:rFonts w:asciiTheme="minorHAnsi" w:hAnsiTheme="minorHAnsi" w:cs="Arial"/>
                <w:b/>
                <w:bCs/>
                <w:sz w:val="22"/>
                <w:szCs w:val="22"/>
                <w:lang w:val="hr-HR"/>
              </w:rPr>
            </w:pPr>
            <w:r w:rsidRPr="001567C8">
              <w:rPr>
                <w:rFonts w:asciiTheme="minorHAnsi" w:hAnsiTheme="minorHAnsi" w:cs="Arial"/>
                <w:b/>
                <w:bCs/>
                <w:sz w:val="22"/>
                <w:szCs w:val="22"/>
                <w:lang w:val="hr-HR"/>
              </w:rPr>
              <w:t>356.066</w:t>
            </w:r>
          </w:p>
        </w:tc>
        <w:tc>
          <w:tcPr>
            <w:tcW w:w="679" w:type="pct"/>
            <w:tcBorders>
              <w:top w:val="single" w:sz="4" w:space="0" w:color="auto"/>
              <w:bottom w:val="single" w:sz="12" w:space="0" w:color="auto"/>
            </w:tcBorders>
            <w:vAlign w:val="bottom"/>
          </w:tcPr>
          <w:p w:rsidR="00FE6882" w:rsidRPr="001567C8" w:rsidRDefault="00FE6882" w:rsidP="00FE6882">
            <w:pPr>
              <w:jc w:val="right"/>
              <w:rPr>
                <w:rFonts w:asciiTheme="minorHAnsi" w:hAnsiTheme="minorHAnsi" w:cs="Arial"/>
                <w:b/>
                <w:bCs/>
                <w:sz w:val="22"/>
                <w:szCs w:val="22"/>
                <w:lang w:val="hr-HR"/>
              </w:rPr>
            </w:pPr>
            <w:r w:rsidRPr="001567C8">
              <w:rPr>
                <w:rFonts w:asciiTheme="minorHAnsi" w:hAnsiTheme="minorHAnsi" w:cs="Arial"/>
                <w:b/>
                <w:bCs/>
                <w:sz w:val="22"/>
                <w:szCs w:val="22"/>
                <w:lang w:val="hr-HR"/>
              </w:rPr>
              <w:t>390.460</w:t>
            </w:r>
          </w:p>
        </w:tc>
      </w:tr>
    </w:tbl>
    <w:p w:rsidR="006D0890" w:rsidRPr="001567C8" w:rsidRDefault="006D0890" w:rsidP="00D01DFD">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Rashodi od kamata prema vrstama obveza:</w:t>
      </w:r>
    </w:p>
    <w:tbl>
      <w:tblPr>
        <w:tblW w:w="5000" w:type="pct"/>
        <w:tblLayout w:type="fixed"/>
        <w:tblCellMar>
          <w:left w:w="122" w:type="dxa"/>
          <w:right w:w="122" w:type="dxa"/>
        </w:tblCellMar>
        <w:tblLook w:val="0000" w:firstRow="0" w:lastRow="0" w:firstColumn="0" w:lastColumn="0" w:noHBand="0" w:noVBand="0"/>
      </w:tblPr>
      <w:tblGrid>
        <w:gridCol w:w="4259"/>
        <w:gridCol w:w="1274"/>
        <w:gridCol w:w="1276"/>
        <w:gridCol w:w="1274"/>
        <w:gridCol w:w="1272"/>
      </w:tblGrid>
      <w:tr w:rsidR="00833713" w:rsidRPr="001567C8" w:rsidTr="00950882">
        <w:trPr>
          <w:trHeight w:val="300"/>
        </w:trPr>
        <w:tc>
          <w:tcPr>
            <w:tcW w:w="2276" w:type="pct"/>
          </w:tcPr>
          <w:p w:rsidR="00833713" w:rsidRPr="001567C8" w:rsidRDefault="00833713" w:rsidP="00D01DFD">
            <w:pPr>
              <w:tabs>
                <w:tab w:val="left" w:pos="-720"/>
              </w:tabs>
              <w:suppressAutoHyphens/>
              <w:jc w:val="right"/>
              <w:rPr>
                <w:rFonts w:asciiTheme="minorHAnsi" w:hAnsiTheme="minorHAnsi" w:cs="Arial"/>
                <w:spacing w:val="-3"/>
                <w:sz w:val="22"/>
                <w:szCs w:val="22"/>
                <w:lang w:val="hr-HR"/>
              </w:rPr>
            </w:pPr>
            <w:r w:rsidRPr="001567C8">
              <w:rPr>
                <w:rFonts w:asciiTheme="minorHAnsi" w:hAnsiTheme="minorHAnsi" w:cs="Arial"/>
                <w:spacing w:val="-3"/>
                <w:sz w:val="22"/>
                <w:szCs w:val="22"/>
                <w:lang w:val="hr-HR"/>
              </w:rPr>
              <w:t xml:space="preserve">         </w:t>
            </w:r>
          </w:p>
        </w:tc>
        <w:tc>
          <w:tcPr>
            <w:tcW w:w="1363" w:type="pct"/>
            <w:gridSpan w:val="2"/>
            <w:vAlign w:val="bottom"/>
          </w:tcPr>
          <w:p w:rsidR="00833713" w:rsidRPr="001567C8" w:rsidRDefault="00833713" w:rsidP="00D01DFD">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Grupa</w:t>
            </w:r>
            <w:r w:rsidRPr="001567C8" w:rsidDel="00833713">
              <w:rPr>
                <w:rFonts w:asciiTheme="minorHAnsi" w:hAnsiTheme="minorHAnsi" w:cs="Arial"/>
                <w:sz w:val="22"/>
                <w:szCs w:val="22"/>
                <w:lang w:val="hr-HR"/>
              </w:rPr>
              <w:t xml:space="preserve"> </w:t>
            </w:r>
          </w:p>
        </w:tc>
        <w:tc>
          <w:tcPr>
            <w:tcW w:w="1361" w:type="pct"/>
            <w:gridSpan w:val="2"/>
            <w:vAlign w:val="bottom"/>
          </w:tcPr>
          <w:p w:rsidR="00833713" w:rsidRPr="001567C8" w:rsidRDefault="00833713" w:rsidP="00D01DFD">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Banka</w:t>
            </w:r>
            <w:r w:rsidRPr="001567C8" w:rsidDel="00833713">
              <w:rPr>
                <w:rFonts w:asciiTheme="minorHAnsi" w:hAnsiTheme="minorHAnsi" w:cs="Arial"/>
                <w:sz w:val="22"/>
                <w:szCs w:val="22"/>
                <w:lang w:val="hr-HR"/>
              </w:rPr>
              <w:t xml:space="preserve"> </w:t>
            </w:r>
          </w:p>
        </w:tc>
      </w:tr>
      <w:tr w:rsidR="003A73AB" w:rsidRPr="001567C8" w:rsidTr="00950882">
        <w:trPr>
          <w:trHeight w:val="300"/>
        </w:trPr>
        <w:tc>
          <w:tcPr>
            <w:tcW w:w="2276" w:type="pct"/>
          </w:tcPr>
          <w:p w:rsidR="003A73AB" w:rsidRPr="001567C8" w:rsidRDefault="003A73AB" w:rsidP="003A73AB">
            <w:pPr>
              <w:tabs>
                <w:tab w:val="left" w:pos="-720"/>
              </w:tabs>
              <w:suppressAutoHyphens/>
              <w:jc w:val="right"/>
              <w:rPr>
                <w:rFonts w:asciiTheme="minorHAnsi" w:hAnsiTheme="minorHAnsi" w:cs="Arial"/>
                <w:spacing w:val="-3"/>
                <w:sz w:val="22"/>
                <w:szCs w:val="22"/>
                <w:lang w:val="hr-HR"/>
              </w:rPr>
            </w:pPr>
          </w:p>
        </w:tc>
        <w:tc>
          <w:tcPr>
            <w:tcW w:w="681"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82"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c>
          <w:tcPr>
            <w:tcW w:w="681"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80"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r>
      <w:tr w:rsidR="003A73AB" w:rsidRPr="001567C8" w:rsidTr="00950882">
        <w:tblPrEx>
          <w:tblCellMar>
            <w:left w:w="108" w:type="dxa"/>
            <w:right w:w="108" w:type="dxa"/>
          </w:tblCellMar>
        </w:tblPrEx>
        <w:trPr>
          <w:trHeight w:val="187"/>
        </w:trPr>
        <w:tc>
          <w:tcPr>
            <w:tcW w:w="2276" w:type="pct"/>
          </w:tcPr>
          <w:p w:rsidR="003A73AB" w:rsidRPr="001567C8" w:rsidRDefault="003A73AB" w:rsidP="003A73AB">
            <w:pPr>
              <w:tabs>
                <w:tab w:val="left" w:pos="-720"/>
              </w:tabs>
              <w:suppressAutoHyphens/>
              <w:ind w:right="4144"/>
              <w:jc w:val="right"/>
              <w:rPr>
                <w:rFonts w:asciiTheme="minorHAnsi" w:hAnsiTheme="minorHAnsi" w:cs="Arial"/>
                <w:sz w:val="22"/>
                <w:szCs w:val="22"/>
                <w:lang w:val="hr-HR"/>
              </w:rPr>
            </w:pPr>
          </w:p>
        </w:tc>
        <w:tc>
          <w:tcPr>
            <w:tcW w:w="681" w:type="pct"/>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82" w:type="pct"/>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81" w:type="pct"/>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80" w:type="pct"/>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3A73AB" w:rsidRPr="001567C8" w:rsidTr="00950882">
        <w:trPr>
          <w:trHeight w:val="255"/>
        </w:trPr>
        <w:tc>
          <w:tcPr>
            <w:tcW w:w="2276" w:type="pct"/>
          </w:tcPr>
          <w:p w:rsidR="003A73AB" w:rsidRPr="001567C8" w:rsidRDefault="003A73AB" w:rsidP="003A73AB">
            <w:pPr>
              <w:tabs>
                <w:tab w:val="left" w:pos="-720"/>
              </w:tabs>
              <w:suppressAutoHyphens/>
              <w:rPr>
                <w:rFonts w:asciiTheme="minorHAnsi" w:hAnsiTheme="minorHAnsi" w:cs="Arial"/>
                <w:b/>
                <w:spacing w:val="-3"/>
                <w:sz w:val="22"/>
                <w:szCs w:val="22"/>
                <w:lang w:val="hr-HR"/>
              </w:rPr>
            </w:pPr>
          </w:p>
        </w:tc>
        <w:tc>
          <w:tcPr>
            <w:tcW w:w="681" w:type="pct"/>
          </w:tcPr>
          <w:p w:rsidR="003A73AB" w:rsidRPr="001567C8" w:rsidRDefault="003A73AB" w:rsidP="003A73AB">
            <w:pPr>
              <w:tabs>
                <w:tab w:val="left" w:pos="-720"/>
              </w:tabs>
              <w:suppressAutoHyphens/>
              <w:jc w:val="right"/>
              <w:rPr>
                <w:rFonts w:asciiTheme="minorHAnsi" w:hAnsiTheme="minorHAnsi" w:cs="Arial"/>
                <w:b/>
                <w:spacing w:val="-3"/>
                <w:sz w:val="22"/>
                <w:szCs w:val="22"/>
                <w:lang w:val="hr-HR"/>
              </w:rPr>
            </w:pPr>
          </w:p>
        </w:tc>
        <w:tc>
          <w:tcPr>
            <w:tcW w:w="682" w:type="pct"/>
          </w:tcPr>
          <w:p w:rsidR="003A73AB" w:rsidRPr="001567C8" w:rsidRDefault="003A73AB" w:rsidP="003A73AB">
            <w:pPr>
              <w:tabs>
                <w:tab w:val="left" w:pos="-720"/>
              </w:tabs>
              <w:suppressAutoHyphens/>
              <w:jc w:val="right"/>
              <w:rPr>
                <w:rFonts w:asciiTheme="minorHAnsi" w:hAnsiTheme="minorHAnsi" w:cs="Arial"/>
                <w:b/>
                <w:spacing w:val="-3"/>
                <w:sz w:val="22"/>
                <w:szCs w:val="22"/>
                <w:lang w:val="hr-HR"/>
              </w:rPr>
            </w:pPr>
          </w:p>
        </w:tc>
        <w:tc>
          <w:tcPr>
            <w:tcW w:w="681" w:type="pct"/>
          </w:tcPr>
          <w:p w:rsidR="003A73AB" w:rsidRPr="001567C8" w:rsidRDefault="003A73AB" w:rsidP="003A73AB">
            <w:pPr>
              <w:tabs>
                <w:tab w:val="left" w:pos="-720"/>
              </w:tabs>
              <w:suppressAutoHyphens/>
              <w:jc w:val="right"/>
              <w:rPr>
                <w:rFonts w:asciiTheme="minorHAnsi" w:hAnsiTheme="minorHAnsi" w:cs="Arial"/>
                <w:b/>
                <w:spacing w:val="-3"/>
                <w:sz w:val="22"/>
                <w:szCs w:val="22"/>
                <w:lang w:val="hr-HR"/>
              </w:rPr>
            </w:pPr>
          </w:p>
        </w:tc>
        <w:tc>
          <w:tcPr>
            <w:tcW w:w="680" w:type="pct"/>
          </w:tcPr>
          <w:p w:rsidR="003A73AB" w:rsidRPr="001567C8" w:rsidRDefault="003A73AB" w:rsidP="003A73AB">
            <w:pPr>
              <w:tabs>
                <w:tab w:val="left" w:pos="-720"/>
              </w:tabs>
              <w:suppressAutoHyphens/>
              <w:jc w:val="right"/>
              <w:rPr>
                <w:rFonts w:asciiTheme="minorHAnsi" w:hAnsiTheme="minorHAnsi" w:cs="Arial"/>
                <w:b/>
                <w:spacing w:val="-3"/>
                <w:sz w:val="22"/>
                <w:szCs w:val="22"/>
                <w:lang w:val="hr-HR"/>
              </w:rPr>
            </w:pPr>
          </w:p>
        </w:tc>
      </w:tr>
      <w:tr w:rsidR="00FE6882" w:rsidRPr="001567C8" w:rsidTr="00447AB8">
        <w:trPr>
          <w:trHeight w:val="120"/>
        </w:trPr>
        <w:tc>
          <w:tcPr>
            <w:tcW w:w="2276" w:type="pct"/>
          </w:tcPr>
          <w:p w:rsidR="00FE6882" w:rsidRPr="001567C8" w:rsidRDefault="00FE6882" w:rsidP="00FE6882">
            <w:pPr>
              <w:pStyle w:val="TT"/>
              <w:spacing w:line="240" w:lineRule="auto"/>
              <w:rPr>
                <w:rFonts w:asciiTheme="minorHAnsi" w:hAnsiTheme="minorHAnsi" w:cs="Arial"/>
                <w:b/>
                <w:sz w:val="22"/>
                <w:szCs w:val="22"/>
                <w:lang w:val="hr-HR"/>
              </w:rPr>
            </w:pPr>
            <w:r w:rsidRPr="001567C8">
              <w:rPr>
                <w:rFonts w:asciiTheme="minorHAnsi" w:hAnsiTheme="minorHAnsi" w:cs="Arial"/>
                <w:sz w:val="22"/>
                <w:szCs w:val="22"/>
                <w:lang w:val="hr-HR"/>
              </w:rPr>
              <w:t xml:space="preserve">Obveze po kreditima </w:t>
            </w:r>
          </w:p>
        </w:tc>
        <w:tc>
          <w:tcPr>
            <w:tcW w:w="681" w:type="pct"/>
            <w:tcBorders>
              <w:top w:val="nil"/>
              <w:left w:val="nil"/>
              <w:bottom w:val="nil"/>
              <w:right w:val="nil"/>
            </w:tcBorders>
            <w:shd w:val="clear" w:color="auto" w:fill="auto"/>
            <w:vAlign w:val="center"/>
          </w:tcPr>
          <w:p w:rsidR="00FE6882" w:rsidRPr="001567C8" w:rsidRDefault="00FE6882" w:rsidP="00FE6882">
            <w:pPr>
              <w:pStyle w:val="TT"/>
              <w:spacing w:line="240" w:lineRule="auto"/>
              <w:ind w:left="65"/>
              <w:jc w:val="right"/>
              <w:rPr>
                <w:rFonts w:asciiTheme="minorHAnsi" w:hAnsiTheme="minorHAnsi" w:cs="Arial"/>
                <w:sz w:val="22"/>
                <w:szCs w:val="22"/>
                <w:lang w:val="hr-HR"/>
              </w:rPr>
            </w:pPr>
            <w:r w:rsidRPr="00CD3A2D">
              <w:rPr>
                <w:rFonts w:ascii="Calibri" w:hAnsi="Calibri"/>
                <w:color w:val="000000"/>
                <w:sz w:val="22"/>
                <w:szCs w:val="22"/>
                <w:lang w:val="hr-HR"/>
              </w:rPr>
              <w:t>285.204</w:t>
            </w:r>
          </w:p>
        </w:tc>
        <w:tc>
          <w:tcPr>
            <w:tcW w:w="682" w:type="pct"/>
            <w:tcBorders>
              <w:top w:val="nil"/>
              <w:left w:val="nil"/>
              <w:bottom w:val="nil"/>
              <w:right w:val="nil"/>
            </w:tcBorders>
            <w:shd w:val="clear" w:color="auto" w:fill="auto"/>
            <w:vAlign w:val="center"/>
          </w:tcPr>
          <w:p w:rsidR="00FE6882" w:rsidRPr="001567C8" w:rsidRDefault="00FE6882" w:rsidP="00FE6882">
            <w:pPr>
              <w:pStyle w:val="TT"/>
              <w:spacing w:line="240" w:lineRule="auto"/>
              <w:ind w:left="65"/>
              <w:jc w:val="right"/>
              <w:rPr>
                <w:rFonts w:asciiTheme="minorHAnsi" w:hAnsiTheme="minorHAnsi" w:cs="Arial"/>
                <w:sz w:val="22"/>
                <w:szCs w:val="22"/>
                <w:lang w:val="hr-HR"/>
              </w:rPr>
            </w:pPr>
            <w:r w:rsidRPr="00CD3A2D">
              <w:rPr>
                <w:rFonts w:ascii="Calibri" w:hAnsi="Calibri" w:cs="Calibri"/>
                <w:color w:val="000000"/>
                <w:sz w:val="22"/>
                <w:szCs w:val="22"/>
                <w:lang w:val="hr-HR"/>
              </w:rPr>
              <w:t>276.128</w:t>
            </w:r>
          </w:p>
        </w:tc>
        <w:tc>
          <w:tcPr>
            <w:tcW w:w="681"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285.204</w:t>
            </w:r>
          </w:p>
        </w:tc>
        <w:tc>
          <w:tcPr>
            <w:tcW w:w="680"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276.128</w:t>
            </w:r>
          </w:p>
        </w:tc>
      </w:tr>
      <w:tr w:rsidR="00FE6882" w:rsidRPr="001567C8" w:rsidTr="00447AB8">
        <w:trPr>
          <w:trHeight w:val="120"/>
        </w:trPr>
        <w:tc>
          <w:tcPr>
            <w:tcW w:w="2276" w:type="pct"/>
          </w:tcPr>
          <w:p w:rsidR="00FE6882" w:rsidRPr="001567C8" w:rsidRDefault="00FE6882" w:rsidP="00FE6882">
            <w:pPr>
              <w:pStyle w:val="TT"/>
              <w:spacing w:line="240" w:lineRule="auto"/>
              <w:rPr>
                <w:rFonts w:asciiTheme="minorHAnsi" w:hAnsiTheme="minorHAnsi" w:cs="Arial"/>
                <w:b/>
                <w:sz w:val="22"/>
                <w:szCs w:val="22"/>
                <w:lang w:val="hr-HR"/>
              </w:rPr>
            </w:pPr>
            <w:r w:rsidRPr="001567C8">
              <w:rPr>
                <w:rFonts w:asciiTheme="minorHAnsi" w:hAnsiTheme="minorHAnsi" w:cs="Arial"/>
                <w:sz w:val="22"/>
                <w:szCs w:val="22"/>
                <w:lang w:val="hr-HR"/>
              </w:rPr>
              <w:t xml:space="preserve">Dužnički vrijednosni papiri </w:t>
            </w:r>
          </w:p>
        </w:tc>
        <w:tc>
          <w:tcPr>
            <w:tcW w:w="681"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70.449</w:t>
            </w:r>
          </w:p>
        </w:tc>
        <w:tc>
          <w:tcPr>
            <w:tcW w:w="682"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113.340</w:t>
            </w:r>
          </w:p>
        </w:tc>
        <w:tc>
          <w:tcPr>
            <w:tcW w:w="681"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70.449</w:t>
            </w:r>
          </w:p>
        </w:tc>
        <w:tc>
          <w:tcPr>
            <w:tcW w:w="680"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s="Calibri"/>
                <w:color w:val="000000"/>
                <w:sz w:val="22"/>
                <w:szCs w:val="22"/>
                <w:lang w:val="hr-HR"/>
              </w:rPr>
              <w:t>113.340</w:t>
            </w:r>
          </w:p>
        </w:tc>
      </w:tr>
      <w:tr w:rsidR="00FE6882" w:rsidRPr="001567C8" w:rsidTr="00512277">
        <w:trPr>
          <w:trHeight w:val="120"/>
        </w:trPr>
        <w:tc>
          <w:tcPr>
            <w:tcW w:w="2276" w:type="pct"/>
          </w:tcPr>
          <w:p w:rsidR="00FE6882" w:rsidRPr="001567C8" w:rsidRDefault="00FE6882" w:rsidP="00FE6882">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Depoziti</w:t>
            </w:r>
          </w:p>
        </w:tc>
        <w:tc>
          <w:tcPr>
            <w:tcW w:w="681"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413</w:t>
            </w:r>
          </w:p>
        </w:tc>
        <w:tc>
          <w:tcPr>
            <w:tcW w:w="682" w:type="pct"/>
            <w:tcBorders>
              <w:top w:val="nil"/>
              <w:left w:val="nil"/>
              <w:bottom w:val="single" w:sz="4" w:space="0" w:color="auto"/>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992</w:t>
            </w:r>
          </w:p>
        </w:tc>
        <w:tc>
          <w:tcPr>
            <w:tcW w:w="681" w:type="pct"/>
            <w:tcBorders>
              <w:top w:val="nil"/>
              <w:left w:val="nil"/>
              <w:bottom w:val="nil"/>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413</w:t>
            </w:r>
          </w:p>
        </w:tc>
        <w:tc>
          <w:tcPr>
            <w:tcW w:w="680" w:type="pct"/>
            <w:tcBorders>
              <w:top w:val="nil"/>
              <w:left w:val="nil"/>
              <w:bottom w:val="single" w:sz="4" w:space="0" w:color="auto"/>
              <w:right w:val="nil"/>
            </w:tcBorders>
            <w:shd w:val="clear" w:color="auto" w:fill="auto"/>
            <w:vAlign w:val="center"/>
          </w:tcPr>
          <w:p w:rsidR="00FE6882" w:rsidRPr="001567C8" w:rsidRDefault="00FE6882" w:rsidP="00FE6882">
            <w:pPr>
              <w:pStyle w:val="TT"/>
              <w:spacing w:line="240" w:lineRule="auto"/>
              <w:jc w:val="right"/>
              <w:rPr>
                <w:rFonts w:asciiTheme="minorHAnsi" w:hAnsiTheme="minorHAnsi" w:cs="Arial"/>
                <w:color w:val="000000"/>
                <w:sz w:val="22"/>
                <w:szCs w:val="22"/>
                <w:lang w:val="hr-HR"/>
              </w:rPr>
            </w:pPr>
            <w:r w:rsidRPr="00CD3A2D">
              <w:rPr>
                <w:rFonts w:ascii="Calibri" w:hAnsi="Calibri" w:cs="Calibri"/>
                <w:color w:val="000000"/>
                <w:sz w:val="22"/>
                <w:szCs w:val="22"/>
                <w:lang w:val="hr-HR"/>
              </w:rPr>
              <w:t>992</w:t>
            </w:r>
          </w:p>
        </w:tc>
      </w:tr>
      <w:tr w:rsidR="003A73AB" w:rsidRPr="001567C8" w:rsidTr="003A73AB">
        <w:trPr>
          <w:trHeight w:val="120"/>
        </w:trPr>
        <w:tc>
          <w:tcPr>
            <w:tcW w:w="2276" w:type="pct"/>
          </w:tcPr>
          <w:p w:rsidR="003A73AB" w:rsidRPr="001567C8" w:rsidRDefault="003A73AB" w:rsidP="003A73AB">
            <w:pPr>
              <w:pStyle w:val="Tot"/>
              <w:spacing w:line="240" w:lineRule="auto"/>
              <w:rPr>
                <w:rFonts w:asciiTheme="minorHAnsi" w:hAnsiTheme="minorHAnsi" w:cs="Arial"/>
                <w:b/>
                <w:bCs/>
                <w:sz w:val="22"/>
                <w:szCs w:val="22"/>
                <w:lang w:val="hr-HR"/>
              </w:rPr>
            </w:pPr>
          </w:p>
        </w:tc>
        <w:tc>
          <w:tcPr>
            <w:tcW w:w="681" w:type="pct"/>
            <w:tcBorders>
              <w:top w:val="single" w:sz="4" w:space="0" w:color="auto"/>
              <w:bottom w:val="single" w:sz="12" w:space="0" w:color="auto"/>
            </w:tcBorders>
            <w:vAlign w:val="bottom"/>
          </w:tcPr>
          <w:p w:rsidR="003A73AB" w:rsidRPr="001567C8" w:rsidRDefault="00FE6882" w:rsidP="003A73AB">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356.066</w:t>
            </w:r>
          </w:p>
        </w:tc>
        <w:tc>
          <w:tcPr>
            <w:tcW w:w="682" w:type="pct"/>
            <w:tcBorders>
              <w:top w:val="single" w:sz="4" w:space="0" w:color="auto"/>
              <w:bottom w:val="single" w:sz="12" w:space="0" w:color="auto"/>
            </w:tcBorders>
            <w:vAlign w:val="bottom"/>
          </w:tcPr>
          <w:p w:rsidR="003A73AB" w:rsidRPr="001567C8" w:rsidRDefault="003A73AB" w:rsidP="003A73AB">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390.460</w:t>
            </w:r>
          </w:p>
        </w:tc>
        <w:tc>
          <w:tcPr>
            <w:tcW w:w="681" w:type="pct"/>
            <w:tcBorders>
              <w:top w:val="single" w:sz="4" w:space="0" w:color="auto"/>
              <w:bottom w:val="single" w:sz="12" w:space="0" w:color="auto"/>
            </w:tcBorders>
            <w:vAlign w:val="bottom"/>
          </w:tcPr>
          <w:p w:rsidR="003A73AB" w:rsidRPr="001567C8" w:rsidRDefault="00FE6882" w:rsidP="003A73AB">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356.066</w:t>
            </w:r>
          </w:p>
        </w:tc>
        <w:tc>
          <w:tcPr>
            <w:tcW w:w="680" w:type="pct"/>
            <w:tcBorders>
              <w:top w:val="single" w:sz="4" w:space="0" w:color="auto"/>
              <w:bottom w:val="single" w:sz="12" w:space="0" w:color="auto"/>
            </w:tcBorders>
            <w:vAlign w:val="bottom"/>
          </w:tcPr>
          <w:p w:rsidR="003A73AB" w:rsidRPr="001567C8" w:rsidRDefault="003A73AB" w:rsidP="003A73AB">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390.460</w:t>
            </w:r>
          </w:p>
        </w:tc>
      </w:tr>
    </w:tbl>
    <w:p w:rsidR="00D01DFD" w:rsidRPr="001567C8" w:rsidRDefault="00D01DFD" w:rsidP="00D01DFD">
      <w:pPr>
        <w:pStyle w:val="T1"/>
        <w:spacing w:before="0" w:after="0" w:line="240" w:lineRule="auto"/>
        <w:rPr>
          <w:rFonts w:asciiTheme="minorHAnsi" w:hAnsiTheme="minorHAnsi" w:cs="Arial"/>
          <w:b w:val="0"/>
          <w:bCs w:val="0"/>
          <w:sz w:val="22"/>
          <w:szCs w:val="22"/>
          <w:lang w:val="hr-HR"/>
        </w:rPr>
      </w:pPr>
    </w:p>
    <w:p w:rsidR="00182173" w:rsidRPr="001567C8" w:rsidRDefault="00BA760B" w:rsidP="00D01DFD">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Razlika između rashoda od </w:t>
      </w:r>
      <w:r w:rsidR="00F57661" w:rsidRPr="001567C8">
        <w:rPr>
          <w:rFonts w:asciiTheme="minorHAnsi" w:hAnsiTheme="minorHAnsi" w:cs="Arial"/>
          <w:b w:val="0"/>
          <w:bCs w:val="0"/>
          <w:sz w:val="22"/>
          <w:szCs w:val="22"/>
          <w:lang w:val="hr-HR"/>
        </w:rPr>
        <w:t>kamata i plaćenih kamata (vidi I</w:t>
      </w:r>
      <w:r w:rsidRPr="001567C8">
        <w:rPr>
          <w:rFonts w:asciiTheme="minorHAnsi" w:hAnsiTheme="minorHAnsi" w:cs="Arial"/>
          <w:b w:val="0"/>
          <w:bCs w:val="0"/>
          <w:sz w:val="22"/>
          <w:szCs w:val="22"/>
          <w:lang w:val="hr-HR"/>
        </w:rPr>
        <w:t>zvještaj o novčanim tokovima) najvećim se dijelom odnosi na promjen</w:t>
      </w:r>
      <w:r w:rsidR="002036A7" w:rsidRPr="001567C8">
        <w:rPr>
          <w:rFonts w:asciiTheme="minorHAnsi" w:hAnsiTheme="minorHAnsi" w:cs="Arial"/>
          <w:b w:val="0"/>
          <w:bCs w:val="0"/>
          <w:sz w:val="22"/>
          <w:szCs w:val="22"/>
          <w:lang w:val="hr-HR"/>
        </w:rPr>
        <w:t>u</w:t>
      </w:r>
      <w:r w:rsidRPr="001567C8">
        <w:rPr>
          <w:rFonts w:asciiTheme="minorHAnsi" w:hAnsiTheme="minorHAnsi" w:cs="Arial"/>
          <w:b w:val="0"/>
          <w:bCs w:val="0"/>
          <w:sz w:val="22"/>
          <w:szCs w:val="22"/>
          <w:lang w:val="hr-HR"/>
        </w:rPr>
        <w:t xml:space="preserve"> iznosa </w:t>
      </w:r>
      <w:r w:rsidR="002036A7" w:rsidRPr="001567C8">
        <w:rPr>
          <w:rFonts w:asciiTheme="minorHAnsi" w:hAnsiTheme="minorHAnsi" w:cs="Arial"/>
          <w:b w:val="0"/>
          <w:bCs w:val="0"/>
          <w:sz w:val="22"/>
          <w:szCs w:val="22"/>
          <w:lang w:val="hr-HR"/>
        </w:rPr>
        <w:t>nedospjele</w:t>
      </w:r>
      <w:r w:rsidRPr="001567C8">
        <w:rPr>
          <w:rFonts w:asciiTheme="minorHAnsi" w:hAnsiTheme="minorHAnsi" w:cs="Arial"/>
          <w:b w:val="0"/>
          <w:bCs w:val="0"/>
          <w:sz w:val="22"/>
          <w:szCs w:val="22"/>
          <w:lang w:val="hr-HR"/>
        </w:rPr>
        <w:t xml:space="preserve"> kamate </w:t>
      </w:r>
      <w:r w:rsidR="002036A7" w:rsidRPr="001567C8">
        <w:rPr>
          <w:rFonts w:asciiTheme="minorHAnsi" w:hAnsiTheme="minorHAnsi" w:cs="Arial"/>
          <w:b w:val="0"/>
          <w:bCs w:val="0"/>
          <w:sz w:val="22"/>
          <w:szCs w:val="22"/>
          <w:lang w:val="hr-HR"/>
        </w:rPr>
        <w:t>u od</w:t>
      </w:r>
      <w:r w:rsidR="006622A8" w:rsidRPr="001567C8">
        <w:rPr>
          <w:rFonts w:asciiTheme="minorHAnsi" w:hAnsiTheme="minorHAnsi" w:cs="Arial"/>
          <w:b w:val="0"/>
          <w:bCs w:val="0"/>
          <w:sz w:val="22"/>
          <w:szCs w:val="22"/>
          <w:lang w:val="hr-HR"/>
        </w:rPr>
        <w:t>nosu na prethodnu godinu kao i na amortizaciju diskonta po izdanim dužničkim vrijednosnim papirima.</w:t>
      </w:r>
    </w:p>
    <w:p w:rsidR="00D01DFD" w:rsidRPr="001567C8" w:rsidRDefault="00D01DFD" w:rsidP="00D01DFD">
      <w:pPr>
        <w:pStyle w:val="T1"/>
        <w:spacing w:before="0" w:after="0" w:line="240" w:lineRule="auto"/>
        <w:rPr>
          <w:rFonts w:asciiTheme="minorHAnsi" w:hAnsiTheme="minorHAnsi" w:cs="Arial"/>
          <w:b w:val="0"/>
          <w:bCs w:val="0"/>
          <w:sz w:val="22"/>
          <w:szCs w:val="22"/>
          <w:lang w:val="hr-HR"/>
        </w:rPr>
      </w:pPr>
    </w:p>
    <w:p w:rsidR="00FD7326" w:rsidRPr="001567C8" w:rsidRDefault="00AB145B" w:rsidP="00D01DFD">
      <w:pPr>
        <w:pStyle w:val="T1"/>
        <w:spacing w:before="0" w:after="0" w:line="240" w:lineRule="auto"/>
        <w:rPr>
          <w:rFonts w:asciiTheme="minorHAnsi" w:hAnsiTheme="minorHAnsi" w:cs="Arial"/>
          <w:bCs w:val="0"/>
          <w:sz w:val="22"/>
          <w:szCs w:val="22"/>
          <w:lang w:val="hr-HR"/>
        </w:rPr>
      </w:pPr>
      <w:r w:rsidRPr="001567C8">
        <w:rPr>
          <w:rFonts w:asciiTheme="minorHAnsi" w:hAnsiTheme="minorHAnsi" w:cs="Arial"/>
          <w:bCs w:val="0"/>
          <w:sz w:val="22"/>
          <w:szCs w:val="22"/>
          <w:lang w:val="hr-HR"/>
        </w:rPr>
        <w:t>8</w:t>
      </w:r>
      <w:r w:rsidR="00FD7326" w:rsidRPr="001567C8">
        <w:rPr>
          <w:rFonts w:asciiTheme="minorHAnsi" w:hAnsiTheme="minorHAnsi" w:cs="Arial"/>
          <w:bCs w:val="0"/>
          <w:sz w:val="22"/>
          <w:szCs w:val="22"/>
          <w:lang w:val="hr-HR"/>
        </w:rPr>
        <w:t>.</w:t>
      </w:r>
      <w:r w:rsidR="00FD7326" w:rsidRPr="001567C8">
        <w:rPr>
          <w:rFonts w:asciiTheme="minorHAnsi" w:hAnsiTheme="minorHAnsi" w:cs="Arial"/>
          <w:bCs w:val="0"/>
          <w:sz w:val="22"/>
          <w:szCs w:val="22"/>
          <w:lang w:val="hr-HR"/>
        </w:rPr>
        <w:tab/>
        <w:t>Neto prihodi od naknada</w:t>
      </w:r>
      <w:r w:rsidR="00B34008" w:rsidRPr="001567C8">
        <w:rPr>
          <w:rFonts w:asciiTheme="minorHAnsi" w:hAnsiTheme="minorHAnsi" w:cs="Arial"/>
          <w:bCs w:val="0"/>
          <w:sz w:val="22"/>
          <w:szCs w:val="22"/>
          <w:lang w:val="hr-HR"/>
        </w:rPr>
        <w:t xml:space="preserve"> i provizija</w:t>
      </w:r>
    </w:p>
    <w:tbl>
      <w:tblPr>
        <w:tblW w:w="5000" w:type="pct"/>
        <w:tblLayout w:type="fixed"/>
        <w:tblCellMar>
          <w:left w:w="122" w:type="dxa"/>
          <w:right w:w="122" w:type="dxa"/>
        </w:tblCellMar>
        <w:tblLook w:val="0000" w:firstRow="0" w:lastRow="0" w:firstColumn="0" w:lastColumn="0" w:noHBand="0" w:noVBand="0"/>
      </w:tblPr>
      <w:tblGrid>
        <w:gridCol w:w="4259"/>
        <w:gridCol w:w="1274"/>
        <w:gridCol w:w="1276"/>
        <w:gridCol w:w="1274"/>
        <w:gridCol w:w="1272"/>
      </w:tblGrid>
      <w:tr w:rsidR="00833713" w:rsidRPr="00C72B30" w:rsidTr="0084696D">
        <w:trPr>
          <w:trHeight w:val="300"/>
        </w:trPr>
        <w:tc>
          <w:tcPr>
            <w:tcW w:w="2276" w:type="pct"/>
          </w:tcPr>
          <w:p w:rsidR="00833713" w:rsidRPr="003327E4" w:rsidRDefault="00833713" w:rsidP="00D01DFD">
            <w:pPr>
              <w:tabs>
                <w:tab w:val="left" w:pos="-720"/>
              </w:tabs>
              <w:suppressAutoHyphens/>
              <w:jc w:val="right"/>
              <w:rPr>
                <w:rFonts w:asciiTheme="minorHAnsi" w:hAnsiTheme="minorHAnsi" w:cstheme="minorHAnsi"/>
                <w:spacing w:val="-3"/>
                <w:sz w:val="22"/>
                <w:szCs w:val="22"/>
                <w:lang w:val="hr-HR"/>
              </w:rPr>
            </w:pPr>
          </w:p>
        </w:tc>
        <w:tc>
          <w:tcPr>
            <w:tcW w:w="1363" w:type="pct"/>
            <w:gridSpan w:val="2"/>
            <w:vAlign w:val="bottom"/>
          </w:tcPr>
          <w:p w:rsidR="00833713" w:rsidRPr="003327E4" w:rsidRDefault="00833713" w:rsidP="00D01DFD">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Grupa</w:t>
            </w:r>
            <w:r w:rsidRPr="003327E4" w:rsidDel="00833713">
              <w:rPr>
                <w:rFonts w:asciiTheme="minorHAnsi" w:hAnsiTheme="minorHAnsi" w:cstheme="minorHAnsi"/>
                <w:sz w:val="22"/>
                <w:szCs w:val="22"/>
                <w:lang w:val="hr-HR"/>
              </w:rPr>
              <w:t xml:space="preserve"> </w:t>
            </w:r>
          </w:p>
        </w:tc>
        <w:tc>
          <w:tcPr>
            <w:tcW w:w="1361" w:type="pct"/>
            <w:gridSpan w:val="2"/>
            <w:vAlign w:val="bottom"/>
          </w:tcPr>
          <w:p w:rsidR="00833713" w:rsidRPr="003327E4" w:rsidRDefault="00833713" w:rsidP="00D01DFD">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Banka</w:t>
            </w:r>
            <w:r w:rsidRPr="003327E4" w:rsidDel="00833713">
              <w:rPr>
                <w:rFonts w:asciiTheme="minorHAnsi" w:hAnsiTheme="minorHAnsi" w:cstheme="minorHAnsi"/>
                <w:sz w:val="22"/>
                <w:szCs w:val="22"/>
                <w:lang w:val="hr-HR"/>
              </w:rPr>
              <w:t xml:space="preserve"> </w:t>
            </w:r>
          </w:p>
        </w:tc>
      </w:tr>
      <w:tr w:rsidR="003A73AB" w:rsidRPr="00C72B30" w:rsidTr="0084696D">
        <w:trPr>
          <w:trHeight w:val="300"/>
        </w:trPr>
        <w:tc>
          <w:tcPr>
            <w:tcW w:w="2276" w:type="pct"/>
          </w:tcPr>
          <w:p w:rsidR="003A73AB" w:rsidRPr="003327E4" w:rsidRDefault="003A73AB" w:rsidP="003A73AB">
            <w:pPr>
              <w:tabs>
                <w:tab w:val="left" w:pos="-720"/>
              </w:tabs>
              <w:suppressAutoHyphens/>
              <w:jc w:val="right"/>
              <w:rPr>
                <w:rFonts w:asciiTheme="minorHAnsi" w:hAnsiTheme="minorHAnsi" w:cstheme="minorHAnsi"/>
                <w:spacing w:val="-3"/>
                <w:sz w:val="22"/>
                <w:szCs w:val="22"/>
                <w:lang w:val="hr-HR"/>
              </w:rPr>
            </w:pPr>
          </w:p>
        </w:tc>
        <w:tc>
          <w:tcPr>
            <w:tcW w:w="681" w:type="pct"/>
            <w:vAlign w:val="bottom"/>
          </w:tcPr>
          <w:p w:rsidR="003A73AB" w:rsidRPr="003327E4" w:rsidRDefault="003A73AB" w:rsidP="003A73AB">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2018.</w:t>
            </w:r>
          </w:p>
        </w:tc>
        <w:tc>
          <w:tcPr>
            <w:tcW w:w="682" w:type="pct"/>
            <w:vAlign w:val="bottom"/>
          </w:tcPr>
          <w:p w:rsidR="003A73AB" w:rsidRPr="003327E4" w:rsidRDefault="003A73AB" w:rsidP="003A73AB">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2017.</w:t>
            </w:r>
          </w:p>
        </w:tc>
        <w:tc>
          <w:tcPr>
            <w:tcW w:w="681" w:type="pct"/>
            <w:vAlign w:val="bottom"/>
          </w:tcPr>
          <w:p w:rsidR="003A73AB" w:rsidRPr="003327E4" w:rsidRDefault="003A73AB" w:rsidP="003A73AB">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2018.</w:t>
            </w:r>
          </w:p>
        </w:tc>
        <w:tc>
          <w:tcPr>
            <w:tcW w:w="680" w:type="pct"/>
            <w:vAlign w:val="bottom"/>
          </w:tcPr>
          <w:p w:rsidR="003A73AB" w:rsidRPr="003327E4" w:rsidRDefault="003A73AB" w:rsidP="003A73AB">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2017.</w:t>
            </w:r>
          </w:p>
        </w:tc>
      </w:tr>
      <w:tr w:rsidR="00946F7A" w:rsidRPr="00C72B30" w:rsidTr="0084696D">
        <w:tblPrEx>
          <w:tblCellMar>
            <w:left w:w="108" w:type="dxa"/>
            <w:right w:w="108" w:type="dxa"/>
          </w:tblCellMar>
        </w:tblPrEx>
        <w:trPr>
          <w:trHeight w:val="187"/>
        </w:trPr>
        <w:tc>
          <w:tcPr>
            <w:tcW w:w="2276" w:type="pct"/>
          </w:tcPr>
          <w:p w:rsidR="00946F7A" w:rsidRPr="003327E4" w:rsidRDefault="00946F7A" w:rsidP="00946F7A">
            <w:pPr>
              <w:tabs>
                <w:tab w:val="left" w:pos="-720"/>
              </w:tabs>
              <w:suppressAutoHyphens/>
              <w:ind w:right="4144"/>
              <w:jc w:val="right"/>
              <w:rPr>
                <w:rFonts w:asciiTheme="minorHAnsi" w:hAnsiTheme="minorHAnsi" w:cstheme="minorHAnsi"/>
                <w:sz w:val="22"/>
                <w:szCs w:val="22"/>
                <w:lang w:val="hr-HR"/>
              </w:rPr>
            </w:pPr>
          </w:p>
        </w:tc>
        <w:tc>
          <w:tcPr>
            <w:tcW w:w="681" w:type="pct"/>
          </w:tcPr>
          <w:p w:rsidR="00946F7A" w:rsidRPr="003327E4" w:rsidRDefault="00946F7A" w:rsidP="00946F7A">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000 kuna</w:t>
            </w:r>
          </w:p>
        </w:tc>
        <w:tc>
          <w:tcPr>
            <w:tcW w:w="682" w:type="pct"/>
          </w:tcPr>
          <w:p w:rsidR="00946F7A" w:rsidRPr="003327E4" w:rsidRDefault="00946F7A" w:rsidP="00946F7A">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000 kuna</w:t>
            </w:r>
          </w:p>
        </w:tc>
        <w:tc>
          <w:tcPr>
            <w:tcW w:w="681" w:type="pct"/>
          </w:tcPr>
          <w:p w:rsidR="00946F7A" w:rsidRPr="003327E4" w:rsidRDefault="00946F7A" w:rsidP="00946F7A">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000 kuna</w:t>
            </w:r>
          </w:p>
        </w:tc>
        <w:tc>
          <w:tcPr>
            <w:tcW w:w="680" w:type="pct"/>
          </w:tcPr>
          <w:p w:rsidR="00946F7A" w:rsidRPr="003327E4" w:rsidRDefault="00946F7A" w:rsidP="00946F7A">
            <w:pPr>
              <w:pStyle w:val="TH"/>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000 kuna</w:t>
            </w:r>
          </w:p>
        </w:tc>
      </w:tr>
      <w:tr w:rsidR="00946F7A" w:rsidRPr="00C72B30" w:rsidTr="0084696D">
        <w:tblPrEx>
          <w:tblCellMar>
            <w:left w:w="108" w:type="dxa"/>
            <w:right w:w="108" w:type="dxa"/>
          </w:tblCellMar>
        </w:tblPrEx>
        <w:tc>
          <w:tcPr>
            <w:tcW w:w="2276" w:type="pct"/>
          </w:tcPr>
          <w:p w:rsidR="00946F7A" w:rsidRPr="003327E4" w:rsidRDefault="00946F7A" w:rsidP="00946F7A">
            <w:pPr>
              <w:tabs>
                <w:tab w:val="left" w:pos="-720"/>
              </w:tabs>
              <w:suppressAutoHyphens/>
              <w:rPr>
                <w:rFonts w:asciiTheme="minorHAnsi" w:hAnsiTheme="minorHAnsi" w:cstheme="minorHAnsi"/>
                <w:b/>
                <w:spacing w:val="-3"/>
                <w:sz w:val="22"/>
                <w:szCs w:val="22"/>
                <w:lang w:val="hr-HR"/>
              </w:rPr>
            </w:pPr>
            <w:r w:rsidRPr="003327E4">
              <w:rPr>
                <w:rFonts w:asciiTheme="minorHAnsi" w:hAnsiTheme="minorHAnsi" w:cstheme="minorHAnsi"/>
                <w:b/>
                <w:spacing w:val="-3"/>
                <w:sz w:val="22"/>
                <w:szCs w:val="22"/>
                <w:lang w:val="hr-HR"/>
              </w:rPr>
              <w:t>Prihodi od naknada</w:t>
            </w:r>
            <w:r w:rsidR="00B34008" w:rsidRPr="003327E4">
              <w:rPr>
                <w:rFonts w:asciiTheme="minorHAnsi" w:hAnsiTheme="minorHAnsi" w:cstheme="minorHAnsi"/>
                <w:b/>
                <w:spacing w:val="-3"/>
                <w:sz w:val="22"/>
                <w:szCs w:val="22"/>
                <w:lang w:val="hr-HR"/>
              </w:rPr>
              <w:t xml:space="preserve"> i provizija iz ugovora s kupcima</w:t>
            </w:r>
            <w:r w:rsidRPr="003327E4">
              <w:rPr>
                <w:rFonts w:asciiTheme="minorHAnsi" w:hAnsiTheme="minorHAnsi" w:cstheme="minorHAnsi"/>
                <w:b/>
                <w:spacing w:val="-3"/>
                <w:sz w:val="22"/>
                <w:szCs w:val="22"/>
                <w:lang w:val="hr-HR"/>
              </w:rPr>
              <w:t>:</w:t>
            </w:r>
          </w:p>
        </w:tc>
        <w:tc>
          <w:tcPr>
            <w:tcW w:w="681" w:type="pct"/>
          </w:tcPr>
          <w:p w:rsidR="00946F7A" w:rsidRPr="003327E4" w:rsidRDefault="00946F7A" w:rsidP="00946F7A">
            <w:pPr>
              <w:tabs>
                <w:tab w:val="left" w:pos="-720"/>
              </w:tabs>
              <w:suppressAutoHyphens/>
              <w:jc w:val="right"/>
              <w:rPr>
                <w:rFonts w:asciiTheme="minorHAnsi" w:hAnsiTheme="minorHAnsi" w:cstheme="minorHAnsi"/>
                <w:b/>
                <w:spacing w:val="-3"/>
                <w:sz w:val="22"/>
                <w:szCs w:val="22"/>
                <w:lang w:val="hr-HR"/>
              </w:rPr>
            </w:pPr>
          </w:p>
        </w:tc>
        <w:tc>
          <w:tcPr>
            <w:tcW w:w="682" w:type="pct"/>
          </w:tcPr>
          <w:p w:rsidR="00946F7A" w:rsidRPr="003327E4" w:rsidRDefault="00946F7A" w:rsidP="00946F7A">
            <w:pPr>
              <w:tabs>
                <w:tab w:val="left" w:pos="-720"/>
              </w:tabs>
              <w:suppressAutoHyphens/>
              <w:jc w:val="right"/>
              <w:rPr>
                <w:rFonts w:asciiTheme="minorHAnsi" w:hAnsiTheme="minorHAnsi" w:cstheme="minorHAnsi"/>
                <w:b/>
                <w:spacing w:val="-3"/>
                <w:sz w:val="22"/>
                <w:szCs w:val="22"/>
                <w:lang w:val="hr-HR"/>
              </w:rPr>
            </w:pPr>
          </w:p>
        </w:tc>
        <w:tc>
          <w:tcPr>
            <w:tcW w:w="681" w:type="pct"/>
          </w:tcPr>
          <w:p w:rsidR="00946F7A" w:rsidRPr="003327E4" w:rsidRDefault="00946F7A" w:rsidP="00946F7A">
            <w:pPr>
              <w:tabs>
                <w:tab w:val="left" w:pos="-720"/>
              </w:tabs>
              <w:suppressAutoHyphens/>
              <w:jc w:val="right"/>
              <w:rPr>
                <w:rFonts w:asciiTheme="minorHAnsi" w:hAnsiTheme="minorHAnsi" w:cstheme="minorHAnsi"/>
                <w:b/>
                <w:spacing w:val="-3"/>
                <w:sz w:val="22"/>
                <w:szCs w:val="22"/>
                <w:lang w:val="hr-HR"/>
              </w:rPr>
            </w:pPr>
          </w:p>
        </w:tc>
        <w:tc>
          <w:tcPr>
            <w:tcW w:w="680" w:type="pct"/>
          </w:tcPr>
          <w:p w:rsidR="00946F7A" w:rsidRPr="003327E4" w:rsidRDefault="00946F7A" w:rsidP="00946F7A">
            <w:pPr>
              <w:tabs>
                <w:tab w:val="left" w:pos="-720"/>
              </w:tabs>
              <w:suppressAutoHyphens/>
              <w:jc w:val="right"/>
              <w:rPr>
                <w:rFonts w:asciiTheme="minorHAnsi" w:hAnsiTheme="minorHAnsi" w:cstheme="minorHAnsi"/>
                <w:b/>
                <w:spacing w:val="-3"/>
                <w:sz w:val="22"/>
                <w:szCs w:val="22"/>
                <w:lang w:val="hr-HR"/>
              </w:rPr>
            </w:pPr>
          </w:p>
        </w:tc>
      </w:tr>
      <w:tr w:rsidR="00FE6882" w:rsidRPr="00C72B30" w:rsidTr="004B06E1">
        <w:tc>
          <w:tcPr>
            <w:tcW w:w="2276" w:type="pct"/>
          </w:tcPr>
          <w:p w:rsidR="00FE6882" w:rsidRPr="003327E4" w:rsidRDefault="00FE6882" w:rsidP="00FE6882">
            <w:pPr>
              <w:pStyle w:val="TT"/>
              <w:spacing w:line="240" w:lineRule="auto"/>
              <w:rPr>
                <w:rFonts w:asciiTheme="minorHAnsi" w:hAnsiTheme="minorHAnsi" w:cstheme="minorHAnsi"/>
                <w:b/>
                <w:sz w:val="22"/>
                <w:szCs w:val="22"/>
                <w:lang w:val="hr-HR"/>
              </w:rPr>
            </w:pPr>
          </w:p>
        </w:tc>
        <w:tc>
          <w:tcPr>
            <w:tcW w:w="681"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p>
        </w:tc>
        <w:tc>
          <w:tcPr>
            <w:tcW w:w="682"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p>
        </w:tc>
        <w:tc>
          <w:tcPr>
            <w:tcW w:w="681"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p>
        </w:tc>
        <w:tc>
          <w:tcPr>
            <w:tcW w:w="680"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p>
        </w:tc>
      </w:tr>
      <w:tr w:rsidR="00FE6882" w:rsidRPr="00C72B30" w:rsidTr="004B06E1">
        <w:tc>
          <w:tcPr>
            <w:tcW w:w="2276" w:type="pct"/>
          </w:tcPr>
          <w:p w:rsidR="00FE6882" w:rsidRPr="003327E4" w:rsidRDefault="00B34008" w:rsidP="00FE6882">
            <w:pPr>
              <w:pStyle w:val="TT"/>
              <w:spacing w:line="240" w:lineRule="auto"/>
              <w:rPr>
                <w:rFonts w:asciiTheme="minorHAnsi" w:hAnsiTheme="minorHAnsi" w:cstheme="minorHAnsi"/>
                <w:sz w:val="22"/>
                <w:szCs w:val="22"/>
                <w:lang w:val="hr-HR"/>
              </w:rPr>
            </w:pPr>
            <w:r w:rsidRPr="003327E4">
              <w:rPr>
                <w:rFonts w:asciiTheme="minorHAnsi" w:hAnsiTheme="minorHAnsi" w:cstheme="minorHAnsi"/>
                <w:sz w:val="22"/>
                <w:szCs w:val="22"/>
                <w:lang w:val="hr-HR"/>
              </w:rPr>
              <w:t>Upravljanje imovinom - p</w:t>
            </w:r>
            <w:r w:rsidR="00FE6882" w:rsidRPr="003327E4">
              <w:rPr>
                <w:rFonts w:asciiTheme="minorHAnsi" w:hAnsiTheme="minorHAnsi" w:cstheme="minorHAnsi"/>
                <w:sz w:val="22"/>
                <w:szCs w:val="22"/>
                <w:lang w:val="hr-HR"/>
              </w:rPr>
              <w:t>o poslovima u ime i za račun</w:t>
            </w:r>
          </w:p>
        </w:tc>
        <w:tc>
          <w:tcPr>
            <w:tcW w:w="681"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13.423</w:t>
            </w:r>
          </w:p>
        </w:tc>
        <w:tc>
          <w:tcPr>
            <w:tcW w:w="682"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14.201</w:t>
            </w:r>
          </w:p>
        </w:tc>
        <w:tc>
          <w:tcPr>
            <w:tcW w:w="681"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13.423</w:t>
            </w:r>
          </w:p>
        </w:tc>
        <w:tc>
          <w:tcPr>
            <w:tcW w:w="680"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14.201</w:t>
            </w:r>
          </w:p>
        </w:tc>
      </w:tr>
      <w:tr w:rsidR="00FE6882" w:rsidRPr="00C72B30" w:rsidTr="004B06E1">
        <w:tc>
          <w:tcPr>
            <w:tcW w:w="2276" w:type="pct"/>
          </w:tcPr>
          <w:p w:rsidR="00FE6882" w:rsidRPr="003327E4" w:rsidRDefault="00FE6882" w:rsidP="00FE6882">
            <w:pPr>
              <w:pStyle w:val="TT"/>
              <w:spacing w:line="240" w:lineRule="auto"/>
              <w:rPr>
                <w:rFonts w:asciiTheme="minorHAnsi" w:hAnsiTheme="minorHAnsi" w:cstheme="minorHAnsi"/>
                <w:sz w:val="22"/>
                <w:szCs w:val="22"/>
                <w:lang w:val="hr-HR"/>
              </w:rPr>
            </w:pPr>
            <w:r w:rsidRPr="003327E4">
              <w:rPr>
                <w:rFonts w:asciiTheme="minorHAnsi" w:hAnsiTheme="minorHAnsi" w:cstheme="minorHAnsi"/>
                <w:sz w:val="22"/>
                <w:szCs w:val="22"/>
                <w:lang w:val="hr-HR"/>
              </w:rPr>
              <w:t>Po osnovi platnog prometa</w:t>
            </w:r>
          </w:p>
        </w:tc>
        <w:tc>
          <w:tcPr>
            <w:tcW w:w="681"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271</w:t>
            </w:r>
          </w:p>
        </w:tc>
        <w:tc>
          <w:tcPr>
            <w:tcW w:w="682"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526</w:t>
            </w:r>
          </w:p>
        </w:tc>
        <w:tc>
          <w:tcPr>
            <w:tcW w:w="681"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271</w:t>
            </w:r>
          </w:p>
        </w:tc>
        <w:tc>
          <w:tcPr>
            <w:tcW w:w="680"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526</w:t>
            </w:r>
          </w:p>
        </w:tc>
      </w:tr>
      <w:tr w:rsidR="00FE6882" w:rsidRPr="00C72B30" w:rsidTr="00512277">
        <w:tc>
          <w:tcPr>
            <w:tcW w:w="2276" w:type="pct"/>
          </w:tcPr>
          <w:p w:rsidR="00FE6882" w:rsidRPr="003327E4" w:rsidRDefault="00FE6882" w:rsidP="00FE6882">
            <w:pPr>
              <w:pStyle w:val="TT"/>
              <w:spacing w:line="240" w:lineRule="auto"/>
              <w:rPr>
                <w:rFonts w:asciiTheme="minorHAnsi" w:hAnsiTheme="minorHAnsi" w:cstheme="minorHAnsi"/>
                <w:sz w:val="22"/>
                <w:szCs w:val="22"/>
                <w:lang w:val="hr-HR"/>
              </w:rPr>
            </w:pPr>
            <w:r w:rsidRPr="003327E4">
              <w:rPr>
                <w:rFonts w:asciiTheme="minorHAnsi" w:hAnsiTheme="minorHAnsi" w:cstheme="minorHAnsi"/>
                <w:sz w:val="22"/>
                <w:szCs w:val="22"/>
                <w:lang w:val="hr-HR"/>
              </w:rPr>
              <w:t>Ostalo</w:t>
            </w:r>
          </w:p>
        </w:tc>
        <w:tc>
          <w:tcPr>
            <w:tcW w:w="681" w:type="pct"/>
            <w:tcBorders>
              <w:top w:val="nil"/>
              <w:left w:val="nil"/>
              <w:bottom w:val="nil"/>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12</w:t>
            </w:r>
          </w:p>
        </w:tc>
        <w:tc>
          <w:tcPr>
            <w:tcW w:w="682" w:type="pct"/>
            <w:tcBorders>
              <w:top w:val="nil"/>
              <w:left w:val="nil"/>
              <w:bottom w:val="single" w:sz="4" w:space="0" w:color="auto"/>
              <w:right w:val="nil"/>
            </w:tcBorders>
            <w:shd w:val="clear" w:color="auto" w:fill="auto"/>
            <w:vAlign w:val="center"/>
          </w:tcPr>
          <w:p w:rsidR="00FE6882" w:rsidRPr="003327E4" w:rsidRDefault="00FE6882" w:rsidP="00FE6882">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71</w:t>
            </w:r>
          </w:p>
        </w:tc>
        <w:tc>
          <w:tcPr>
            <w:tcW w:w="681" w:type="pct"/>
            <w:tcBorders>
              <w:top w:val="nil"/>
              <w:left w:val="nil"/>
              <w:bottom w:val="nil"/>
              <w:right w:val="nil"/>
            </w:tcBorders>
            <w:shd w:val="clear" w:color="auto" w:fill="auto"/>
            <w:vAlign w:val="center"/>
          </w:tcPr>
          <w:p w:rsidR="00FE6882" w:rsidRPr="003327E4" w:rsidRDefault="00FE6882" w:rsidP="00FE6882">
            <w:pPr>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12</w:t>
            </w:r>
          </w:p>
        </w:tc>
        <w:tc>
          <w:tcPr>
            <w:tcW w:w="680" w:type="pct"/>
            <w:tcBorders>
              <w:top w:val="nil"/>
              <w:left w:val="nil"/>
              <w:bottom w:val="single" w:sz="4" w:space="0" w:color="auto"/>
              <w:right w:val="nil"/>
            </w:tcBorders>
            <w:shd w:val="clear" w:color="auto" w:fill="auto"/>
            <w:vAlign w:val="center"/>
          </w:tcPr>
          <w:p w:rsidR="00FE6882" w:rsidRPr="003327E4" w:rsidRDefault="00FE6882" w:rsidP="00FE6882">
            <w:pPr>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71</w:t>
            </w:r>
          </w:p>
        </w:tc>
      </w:tr>
      <w:tr w:rsidR="00E1688B" w:rsidRPr="00C72B30" w:rsidTr="00397014">
        <w:tc>
          <w:tcPr>
            <w:tcW w:w="2276" w:type="pct"/>
          </w:tcPr>
          <w:p w:rsidR="00E1688B" w:rsidRPr="003327E4" w:rsidRDefault="00E1688B" w:rsidP="00E1688B">
            <w:pPr>
              <w:pStyle w:val="Tot"/>
              <w:spacing w:line="240" w:lineRule="auto"/>
              <w:rPr>
                <w:rFonts w:asciiTheme="minorHAnsi" w:hAnsiTheme="minorHAnsi" w:cstheme="minorHAnsi"/>
                <w:b/>
                <w:bCs/>
                <w:sz w:val="22"/>
                <w:szCs w:val="22"/>
                <w:lang w:val="hr-HR"/>
              </w:rPr>
            </w:pPr>
            <w:r w:rsidRPr="003327E4">
              <w:rPr>
                <w:rFonts w:asciiTheme="minorHAnsi" w:hAnsiTheme="minorHAnsi" w:cstheme="minorHAnsi"/>
                <w:b/>
                <w:bCs/>
                <w:sz w:val="22"/>
                <w:szCs w:val="22"/>
                <w:lang w:val="hr-HR"/>
              </w:rPr>
              <w:t>Ukupne naknade i provizije iz ugovora s kupcima</w:t>
            </w:r>
          </w:p>
        </w:tc>
        <w:tc>
          <w:tcPr>
            <w:tcW w:w="681" w:type="pct"/>
            <w:tcBorders>
              <w:top w:val="single" w:sz="4" w:space="0" w:color="auto"/>
              <w:bottom w:val="single" w:sz="12" w:space="0" w:color="auto"/>
            </w:tcBorders>
            <w:vAlign w:val="center"/>
          </w:tcPr>
          <w:p w:rsidR="00E1688B" w:rsidRPr="003327E4" w:rsidRDefault="00E1688B" w:rsidP="00E1688B">
            <w:pPr>
              <w:jc w:val="right"/>
              <w:rPr>
                <w:rFonts w:asciiTheme="minorHAnsi" w:hAnsiTheme="minorHAnsi" w:cstheme="minorHAnsi"/>
                <w:b/>
                <w:bCs/>
                <w:color w:val="000000"/>
                <w:sz w:val="22"/>
                <w:szCs w:val="22"/>
              </w:rPr>
            </w:pPr>
            <w:r w:rsidRPr="003327E4">
              <w:rPr>
                <w:rFonts w:asciiTheme="minorHAnsi" w:hAnsiTheme="minorHAnsi" w:cstheme="minorHAnsi"/>
                <w:b/>
                <w:bCs/>
                <w:color w:val="000000"/>
                <w:sz w:val="22"/>
                <w:szCs w:val="22"/>
              </w:rPr>
              <w:t>13.706</w:t>
            </w:r>
          </w:p>
        </w:tc>
        <w:tc>
          <w:tcPr>
            <w:tcW w:w="682" w:type="pct"/>
            <w:tcBorders>
              <w:top w:val="single" w:sz="4" w:space="0" w:color="auto"/>
              <w:bottom w:val="single" w:sz="12" w:space="0" w:color="auto"/>
            </w:tcBorders>
            <w:vAlign w:val="center"/>
          </w:tcPr>
          <w:p w:rsidR="00E1688B" w:rsidRPr="003327E4" w:rsidRDefault="00E1688B" w:rsidP="00E1688B">
            <w:pPr>
              <w:jc w:val="right"/>
              <w:rPr>
                <w:rFonts w:asciiTheme="minorHAnsi" w:hAnsiTheme="minorHAnsi" w:cstheme="minorHAnsi"/>
                <w:b/>
                <w:bCs/>
                <w:color w:val="000000"/>
                <w:sz w:val="22"/>
                <w:szCs w:val="22"/>
              </w:rPr>
            </w:pPr>
            <w:r w:rsidRPr="003327E4">
              <w:rPr>
                <w:rFonts w:asciiTheme="minorHAnsi" w:hAnsiTheme="minorHAnsi" w:cstheme="minorHAnsi"/>
                <w:b/>
                <w:bCs/>
                <w:color w:val="000000"/>
                <w:sz w:val="22"/>
                <w:szCs w:val="22"/>
              </w:rPr>
              <w:t>14.798</w:t>
            </w:r>
          </w:p>
        </w:tc>
        <w:tc>
          <w:tcPr>
            <w:tcW w:w="681" w:type="pct"/>
            <w:tcBorders>
              <w:top w:val="single" w:sz="4" w:space="0" w:color="auto"/>
              <w:bottom w:val="single" w:sz="12" w:space="0" w:color="auto"/>
            </w:tcBorders>
            <w:vAlign w:val="center"/>
          </w:tcPr>
          <w:p w:rsidR="00E1688B" w:rsidRPr="003327E4" w:rsidRDefault="00E1688B" w:rsidP="00E1688B">
            <w:pPr>
              <w:jc w:val="right"/>
              <w:rPr>
                <w:rFonts w:asciiTheme="minorHAnsi" w:hAnsiTheme="minorHAnsi" w:cstheme="minorHAnsi"/>
                <w:b/>
                <w:bCs/>
                <w:color w:val="000000"/>
                <w:sz w:val="22"/>
                <w:szCs w:val="22"/>
              </w:rPr>
            </w:pPr>
            <w:r w:rsidRPr="003327E4">
              <w:rPr>
                <w:rFonts w:asciiTheme="minorHAnsi" w:hAnsiTheme="minorHAnsi" w:cstheme="minorHAnsi"/>
                <w:b/>
                <w:bCs/>
                <w:color w:val="000000"/>
                <w:sz w:val="22"/>
                <w:szCs w:val="22"/>
              </w:rPr>
              <w:t>13.706</w:t>
            </w:r>
          </w:p>
        </w:tc>
        <w:tc>
          <w:tcPr>
            <w:tcW w:w="680" w:type="pct"/>
            <w:tcBorders>
              <w:top w:val="single" w:sz="4" w:space="0" w:color="auto"/>
              <w:bottom w:val="single" w:sz="12" w:space="0" w:color="auto"/>
            </w:tcBorders>
            <w:vAlign w:val="center"/>
          </w:tcPr>
          <w:p w:rsidR="00E1688B" w:rsidRPr="003327E4" w:rsidRDefault="00E1688B" w:rsidP="00E1688B">
            <w:pPr>
              <w:jc w:val="right"/>
              <w:rPr>
                <w:rFonts w:asciiTheme="minorHAnsi" w:hAnsiTheme="minorHAnsi" w:cstheme="minorHAnsi"/>
                <w:b/>
                <w:bCs/>
                <w:color w:val="000000"/>
                <w:sz w:val="22"/>
                <w:szCs w:val="22"/>
              </w:rPr>
            </w:pPr>
            <w:r w:rsidRPr="003327E4">
              <w:rPr>
                <w:rFonts w:asciiTheme="minorHAnsi" w:hAnsiTheme="minorHAnsi" w:cstheme="minorHAnsi"/>
                <w:b/>
                <w:bCs/>
                <w:color w:val="000000"/>
                <w:sz w:val="22"/>
                <w:szCs w:val="22"/>
              </w:rPr>
              <w:t>14.798</w:t>
            </w:r>
          </w:p>
        </w:tc>
      </w:tr>
      <w:tr w:rsidR="00B34008" w:rsidRPr="00C72B30" w:rsidTr="00CD3A2D">
        <w:tc>
          <w:tcPr>
            <w:tcW w:w="2276" w:type="pct"/>
          </w:tcPr>
          <w:p w:rsidR="00B34008" w:rsidRPr="003327E4" w:rsidRDefault="00B34008" w:rsidP="00B34008">
            <w:pPr>
              <w:pStyle w:val="Tot"/>
              <w:spacing w:line="240" w:lineRule="auto"/>
              <w:rPr>
                <w:rFonts w:asciiTheme="minorHAnsi" w:hAnsiTheme="minorHAnsi" w:cstheme="minorHAnsi"/>
                <w:bCs/>
                <w:sz w:val="22"/>
                <w:szCs w:val="22"/>
                <w:lang w:val="hr-HR"/>
              </w:rPr>
            </w:pPr>
            <w:r w:rsidRPr="003327E4">
              <w:rPr>
                <w:rFonts w:asciiTheme="minorHAnsi" w:hAnsiTheme="minorHAnsi" w:cstheme="minorHAnsi"/>
                <w:bCs/>
                <w:sz w:val="22"/>
                <w:szCs w:val="22"/>
                <w:lang w:val="hr-HR"/>
              </w:rPr>
              <w:t>Po izdanim garancijama</w:t>
            </w:r>
            <w:r w:rsidR="00384142" w:rsidRPr="003327E4">
              <w:rPr>
                <w:rStyle w:val="FootnoteReference"/>
                <w:rFonts w:asciiTheme="minorHAnsi" w:hAnsiTheme="minorHAnsi" w:cstheme="minorHAnsi"/>
                <w:bCs/>
                <w:sz w:val="22"/>
                <w:szCs w:val="22"/>
                <w:lang w:val="hr-HR"/>
              </w:rPr>
              <w:footnoteReference w:id="19"/>
            </w:r>
          </w:p>
        </w:tc>
        <w:tc>
          <w:tcPr>
            <w:tcW w:w="681" w:type="pct"/>
            <w:tcBorders>
              <w:top w:val="single" w:sz="4" w:space="0" w:color="auto"/>
            </w:tcBorders>
            <w:vAlign w:val="bottom"/>
          </w:tcPr>
          <w:p w:rsidR="00B34008" w:rsidRPr="003327E4" w:rsidRDefault="00B34008" w:rsidP="00B34008">
            <w:pPr>
              <w:pStyle w:val="Tot"/>
              <w:spacing w:line="240" w:lineRule="auto"/>
              <w:jc w:val="right"/>
              <w:rPr>
                <w:rFonts w:asciiTheme="minorHAnsi" w:hAnsiTheme="minorHAnsi" w:cstheme="minorHAnsi"/>
                <w:color w:val="000000"/>
                <w:sz w:val="22"/>
                <w:szCs w:val="22"/>
                <w:lang w:val="hr-HR"/>
              </w:rPr>
            </w:pPr>
            <w:r w:rsidRPr="003327E4">
              <w:rPr>
                <w:rFonts w:asciiTheme="minorHAnsi" w:hAnsiTheme="minorHAnsi" w:cstheme="minorHAnsi"/>
                <w:color w:val="000000"/>
                <w:sz w:val="22"/>
                <w:szCs w:val="22"/>
                <w:lang w:val="hr-HR"/>
              </w:rPr>
              <w:t>28.722</w:t>
            </w:r>
          </w:p>
        </w:tc>
        <w:tc>
          <w:tcPr>
            <w:tcW w:w="682" w:type="pct"/>
            <w:tcBorders>
              <w:top w:val="single" w:sz="4" w:space="0" w:color="auto"/>
            </w:tcBorders>
            <w:vAlign w:val="bottom"/>
          </w:tcPr>
          <w:p w:rsidR="00B34008" w:rsidRPr="003327E4" w:rsidRDefault="00B34008" w:rsidP="00B34008">
            <w:pPr>
              <w:pStyle w:val="Tot"/>
              <w:spacing w:line="240" w:lineRule="auto"/>
              <w:jc w:val="right"/>
              <w:rPr>
                <w:rFonts w:asciiTheme="minorHAnsi" w:hAnsiTheme="minorHAnsi" w:cstheme="minorHAnsi"/>
                <w:color w:val="000000"/>
                <w:sz w:val="22"/>
                <w:szCs w:val="22"/>
                <w:lang w:val="hr-HR"/>
              </w:rPr>
            </w:pPr>
            <w:r w:rsidRPr="003327E4">
              <w:rPr>
                <w:rFonts w:asciiTheme="minorHAnsi" w:hAnsiTheme="minorHAnsi" w:cstheme="minorHAnsi"/>
                <w:color w:val="000000"/>
                <w:sz w:val="22"/>
                <w:szCs w:val="22"/>
                <w:lang w:val="hr-HR"/>
              </w:rPr>
              <w:t>30.741</w:t>
            </w:r>
          </w:p>
        </w:tc>
        <w:tc>
          <w:tcPr>
            <w:tcW w:w="681" w:type="pct"/>
            <w:tcBorders>
              <w:top w:val="single" w:sz="4" w:space="0" w:color="auto"/>
            </w:tcBorders>
            <w:vAlign w:val="bottom"/>
          </w:tcPr>
          <w:p w:rsidR="00B34008" w:rsidRPr="003327E4" w:rsidRDefault="00B34008" w:rsidP="00B34008">
            <w:pPr>
              <w:jc w:val="right"/>
              <w:rPr>
                <w:rFonts w:asciiTheme="minorHAnsi" w:hAnsiTheme="minorHAnsi" w:cstheme="minorHAnsi"/>
                <w:color w:val="000000"/>
                <w:sz w:val="22"/>
                <w:szCs w:val="22"/>
                <w:lang w:val="hr-HR"/>
              </w:rPr>
            </w:pPr>
            <w:r w:rsidRPr="003327E4">
              <w:rPr>
                <w:rFonts w:asciiTheme="minorHAnsi" w:hAnsiTheme="minorHAnsi" w:cstheme="minorHAnsi"/>
                <w:color w:val="000000"/>
                <w:sz w:val="22"/>
                <w:szCs w:val="22"/>
                <w:lang w:val="hr-HR"/>
              </w:rPr>
              <w:t>28.722</w:t>
            </w:r>
          </w:p>
        </w:tc>
        <w:tc>
          <w:tcPr>
            <w:tcW w:w="680" w:type="pct"/>
            <w:tcBorders>
              <w:top w:val="single" w:sz="4" w:space="0" w:color="auto"/>
            </w:tcBorders>
            <w:vAlign w:val="bottom"/>
          </w:tcPr>
          <w:p w:rsidR="00B34008" w:rsidRPr="003327E4" w:rsidRDefault="00B34008" w:rsidP="00B34008">
            <w:pPr>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30.741</w:t>
            </w:r>
          </w:p>
        </w:tc>
      </w:tr>
      <w:tr w:rsidR="00E1688B" w:rsidRPr="00C72B30" w:rsidTr="00397014">
        <w:tc>
          <w:tcPr>
            <w:tcW w:w="2276" w:type="pct"/>
          </w:tcPr>
          <w:p w:rsidR="00E1688B" w:rsidRPr="003327E4" w:rsidRDefault="00E1688B" w:rsidP="00397014">
            <w:pPr>
              <w:pStyle w:val="TT"/>
              <w:spacing w:line="240" w:lineRule="auto"/>
              <w:rPr>
                <w:rFonts w:asciiTheme="minorHAnsi" w:hAnsiTheme="minorHAnsi" w:cstheme="minorHAnsi"/>
                <w:sz w:val="22"/>
                <w:szCs w:val="22"/>
                <w:lang w:val="hr-HR"/>
              </w:rPr>
            </w:pPr>
            <w:r w:rsidRPr="003327E4">
              <w:rPr>
                <w:rFonts w:asciiTheme="minorHAnsi" w:hAnsiTheme="minorHAnsi" w:cstheme="minorHAnsi"/>
                <w:sz w:val="22"/>
                <w:szCs w:val="22"/>
                <w:lang w:val="hr-HR"/>
              </w:rPr>
              <w:t>Prihodi od provizija po reosiguranju</w:t>
            </w:r>
          </w:p>
        </w:tc>
        <w:tc>
          <w:tcPr>
            <w:tcW w:w="681" w:type="pct"/>
            <w:tcBorders>
              <w:top w:val="nil"/>
              <w:left w:val="nil"/>
              <w:bottom w:val="nil"/>
              <w:right w:val="nil"/>
            </w:tcBorders>
            <w:shd w:val="clear" w:color="auto" w:fill="auto"/>
            <w:vAlign w:val="center"/>
          </w:tcPr>
          <w:p w:rsidR="00E1688B" w:rsidRPr="003327E4" w:rsidRDefault="00E1688B" w:rsidP="00397014">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2.555</w:t>
            </w:r>
          </w:p>
        </w:tc>
        <w:tc>
          <w:tcPr>
            <w:tcW w:w="682" w:type="pct"/>
            <w:tcBorders>
              <w:top w:val="nil"/>
              <w:left w:val="nil"/>
              <w:bottom w:val="nil"/>
              <w:right w:val="nil"/>
            </w:tcBorders>
            <w:shd w:val="clear" w:color="auto" w:fill="auto"/>
            <w:vAlign w:val="center"/>
          </w:tcPr>
          <w:p w:rsidR="00E1688B" w:rsidRPr="003327E4" w:rsidRDefault="00E1688B" w:rsidP="00397014">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2.586</w:t>
            </w:r>
          </w:p>
        </w:tc>
        <w:tc>
          <w:tcPr>
            <w:tcW w:w="681" w:type="pct"/>
            <w:tcBorders>
              <w:top w:val="nil"/>
              <w:left w:val="nil"/>
              <w:bottom w:val="nil"/>
              <w:right w:val="nil"/>
            </w:tcBorders>
            <w:shd w:val="clear" w:color="auto" w:fill="auto"/>
            <w:vAlign w:val="center"/>
          </w:tcPr>
          <w:p w:rsidR="00E1688B" w:rsidRPr="003327E4" w:rsidRDefault="00E1688B" w:rsidP="00397014">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color w:val="000000"/>
                <w:sz w:val="22"/>
                <w:szCs w:val="22"/>
                <w:lang w:val="hr-HR"/>
              </w:rPr>
              <w:t>-</w:t>
            </w:r>
          </w:p>
        </w:tc>
        <w:tc>
          <w:tcPr>
            <w:tcW w:w="680" w:type="pct"/>
            <w:tcBorders>
              <w:top w:val="nil"/>
              <w:left w:val="nil"/>
              <w:bottom w:val="nil"/>
              <w:right w:val="nil"/>
            </w:tcBorders>
            <w:shd w:val="clear" w:color="auto" w:fill="auto"/>
            <w:vAlign w:val="center"/>
          </w:tcPr>
          <w:p w:rsidR="00E1688B" w:rsidRPr="003327E4" w:rsidRDefault="00E1688B" w:rsidP="00397014">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w:t>
            </w:r>
          </w:p>
        </w:tc>
      </w:tr>
      <w:tr w:rsidR="00B34008" w:rsidRPr="00C72B30" w:rsidTr="00CD3A2D">
        <w:tc>
          <w:tcPr>
            <w:tcW w:w="2276" w:type="pct"/>
          </w:tcPr>
          <w:p w:rsidR="00B34008" w:rsidRPr="003327E4" w:rsidRDefault="00F15F83" w:rsidP="00B34008">
            <w:pPr>
              <w:pStyle w:val="Tot"/>
              <w:spacing w:line="240" w:lineRule="auto"/>
              <w:rPr>
                <w:rFonts w:asciiTheme="minorHAnsi" w:hAnsiTheme="minorHAnsi" w:cstheme="minorHAnsi"/>
                <w:b/>
                <w:bCs/>
                <w:sz w:val="22"/>
                <w:szCs w:val="22"/>
                <w:lang w:val="hr-HR"/>
              </w:rPr>
            </w:pPr>
            <w:r w:rsidRPr="003327E4">
              <w:rPr>
                <w:rFonts w:asciiTheme="minorHAnsi" w:hAnsiTheme="minorHAnsi" w:cstheme="minorHAnsi"/>
                <w:b/>
                <w:bCs/>
                <w:sz w:val="22"/>
                <w:szCs w:val="22"/>
                <w:lang w:val="hr-HR"/>
              </w:rPr>
              <w:t>Prihodi od naknada i provizija</w:t>
            </w:r>
          </w:p>
        </w:tc>
        <w:tc>
          <w:tcPr>
            <w:tcW w:w="681" w:type="pct"/>
            <w:tcBorders>
              <w:top w:val="single" w:sz="4" w:space="0" w:color="auto"/>
            </w:tcBorders>
            <w:vAlign w:val="bottom"/>
          </w:tcPr>
          <w:p w:rsidR="00B34008" w:rsidRPr="003327E4" w:rsidRDefault="00B34008" w:rsidP="00B34008">
            <w:pPr>
              <w:pStyle w:val="Tot"/>
              <w:spacing w:line="240" w:lineRule="auto"/>
              <w:jc w:val="right"/>
              <w:rPr>
                <w:rFonts w:asciiTheme="minorHAnsi" w:hAnsiTheme="minorHAnsi" w:cstheme="minorHAnsi"/>
                <w:b/>
                <w:color w:val="000000"/>
                <w:sz w:val="22"/>
                <w:szCs w:val="22"/>
                <w:lang w:val="hr-HR"/>
              </w:rPr>
            </w:pPr>
            <w:r w:rsidRPr="003327E4">
              <w:rPr>
                <w:rFonts w:asciiTheme="minorHAnsi" w:hAnsiTheme="minorHAnsi" w:cstheme="minorHAnsi"/>
                <w:b/>
                <w:bCs/>
                <w:sz w:val="22"/>
                <w:szCs w:val="22"/>
                <w:lang w:val="hr-HR"/>
              </w:rPr>
              <w:t>44.983</w:t>
            </w:r>
          </w:p>
        </w:tc>
        <w:tc>
          <w:tcPr>
            <w:tcW w:w="682" w:type="pct"/>
            <w:tcBorders>
              <w:top w:val="single" w:sz="4" w:space="0" w:color="auto"/>
            </w:tcBorders>
            <w:vAlign w:val="bottom"/>
          </w:tcPr>
          <w:p w:rsidR="00B34008" w:rsidRPr="003327E4" w:rsidRDefault="00B34008" w:rsidP="00B34008">
            <w:pPr>
              <w:pStyle w:val="Tot"/>
              <w:spacing w:line="240" w:lineRule="auto"/>
              <w:jc w:val="right"/>
              <w:rPr>
                <w:rFonts w:asciiTheme="minorHAnsi" w:hAnsiTheme="minorHAnsi" w:cstheme="minorHAnsi"/>
                <w:b/>
                <w:color w:val="000000"/>
                <w:sz w:val="22"/>
                <w:szCs w:val="22"/>
                <w:lang w:val="hr-HR"/>
              </w:rPr>
            </w:pPr>
            <w:r w:rsidRPr="003327E4">
              <w:rPr>
                <w:rFonts w:asciiTheme="minorHAnsi" w:hAnsiTheme="minorHAnsi" w:cstheme="minorHAnsi"/>
                <w:b/>
                <w:bCs/>
                <w:sz w:val="22"/>
                <w:szCs w:val="22"/>
                <w:lang w:val="hr-HR"/>
              </w:rPr>
              <w:t>48.125</w:t>
            </w:r>
          </w:p>
        </w:tc>
        <w:tc>
          <w:tcPr>
            <w:tcW w:w="681" w:type="pct"/>
            <w:tcBorders>
              <w:top w:val="single" w:sz="4" w:space="0" w:color="auto"/>
            </w:tcBorders>
            <w:vAlign w:val="bottom"/>
          </w:tcPr>
          <w:p w:rsidR="00B34008" w:rsidRPr="003327E4" w:rsidRDefault="00B34008" w:rsidP="00B34008">
            <w:pPr>
              <w:jc w:val="right"/>
              <w:rPr>
                <w:rFonts w:asciiTheme="minorHAnsi" w:hAnsiTheme="minorHAnsi" w:cstheme="minorHAnsi"/>
                <w:b/>
                <w:color w:val="000000"/>
                <w:sz w:val="22"/>
                <w:szCs w:val="22"/>
                <w:lang w:val="hr-HR"/>
              </w:rPr>
            </w:pPr>
            <w:r w:rsidRPr="003327E4">
              <w:rPr>
                <w:rFonts w:asciiTheme="minorHAnsi" w:hAnsiTheme="minorHAnsi" w:cstheme="minorHAnsi"/>
                <w:b/>
                <w:bCs/>
                <w:sz w:val="22"/>
                <w:szCs w:val="22"/>
                <w:lang w:val="hr-HR"/>
              </w:rPr>
              <w:t>42.428</w:t>
            </w:r>
          </w:p>
        </w:tc>
        <w:tc>
          <w:tcPr>
            <w:tcW w:w="680" w:type="pct"/>
            <w:tcBorders>
              <w:top w:val="single" w:sz="4" w:space="0" w:color="auto"/>
            </w:tcBorders>
            <w:vAlign w:val="bottom"/>
          </w:tcPr>
          <w:p w:rsidR="00B34008" w:rsidRPr="003327E4" w:rsidRDefault="00B34008" w:rsidP="00B34008">
            <w:pPr>
              <w:jc w:val="right"/>
              <w:rPr>
                <w:rFonts w:asciiTheme="minorHAnsi" w:hAnsiTheme="minorHAnsi" w:cstheme="minorHAnsi"/>
                <w:b/>
                <w:sz w:val="22"/>
                <w:szCs w:val="22"/>
                <w:lang w:val="hr-HR"/>
              </w:rPr>
            </w:pPr>
            <w:r w:rsidRPr="003327E4">
              <w:rPr>
                <w:rFonts w:asciiTheme="minorHAnsi" w:hAnsiTheme="minorHAnsi" w:cstheme="minorHAnsi"/>
                <w:b/>
                <w:bCs/>
                <w:sz w:val="22"/>
                <w:szCs w:val="22"/>
                <w:lang w:val="hr-HR"/>
              </w:rPr>
              <w:t>45.539</w:t>
            </w:r>
          </w:p>
        </w:tc>
      </w:tr>
      <w:tr w:rsidR="00B34008" w:rsidRPr="00C72B30" w:rsidTr="00CD3A2D">
        <w:tblPrEx>
          <w:tblCellMar>
            <w:left w:w="119" w:type="dxa"/>
            <w:right w:w="119" w:type="dxa"/>
          </w:tblCellMar>
        </w:tblPrEx>
        <w:trPr>
          <w:trHeight w:hRule="exact" w:val="284"/>
        </w:trPr>
        <w:tc>
          <w:tcPr>
            <w:tcW w:w="2276" w:type="pct"/>
            <w:vAlign w:val="bottom"/>
          </w:tcPr>
          <w:p w:rsidR="00B34008" w:rsidRPr="003327E4" w:rsidRDefault="00B34008" w:rsidP="00B34008">
            <w:pPr>
              <w:pStyle w:val="TT"/>
              <w:spacing w:line="240" w:lineRule="auto"/>
              <w:rPr>
                <w:rFonts w:asciiTheme="minorHAnsi" w:hAnsiTheme="minorHAnsi" w:cstheme="minorHAnsi"/>
                <w:sz w:val="22"/>
                <w:szCs w:val="22"/>
                <w:lang w:val="hr-HR"/>
              </w:rPr>
            </w:pPr>
            <w:r w:rsidRPr="003327E4">
              <w:rPr>
                <w:rFonts w:asciiTheme="minorHAnsi" w:hAnsiTheme="minorHAnsi" w:cstheme="minorHAnsi"/>
                <w:sz w:val="22"/>
                <w:szCs w:val="22"/>
                <w:lang w:val="hr-HR"/>
              </w:rPr>
              <w:t>Rashodi od naknada i provizija</w:t>
            </w:r>
          </w:p>
        </w:tc>
        <w:tc>
          <w:tcPr>
            <w:tcW w:w="681" w:type="pct"/>
            <w:tcBorders>
              <w:bottom w:val="single" w:sz="4" w:space="0" w:color="auto"/>
            </w:tcBorders>
            <w:vAlign w:val="bottom"/>
          </w:tcPr>
          <w:p w:rsidR="00B34008" w:rsidRPr="003327E4" w:rsidRDefault="00B34008" w:rsidP="00B34008">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(3.778)</w:t>
            </w:r>
          </w:p>
        </w:tc>
        <w:tc>
          <w:tcPr>
            <w:tcW w:w="682" w:type="pct"/>
            <w:tcBorders>
              <w:bottom w:val="single" w:sz="4" w:space="0" w:color="auto"/>
            </w:tcBorders>
            <w:vAlign w:val="bottom"/>
          </w:tcPr>
          <w:p w:rsidR="00B34008" w:rsidRPr="003327E4" w:rsidRDefault="00B34008" w:rsidP="00B34008">
            <w:pPr>
              <w:pStyle w:val="TT"/>
              <w:spacing w:line="240" w:lineRule="auto"/>
              <w:jc w:val="right"/>
              <w:rPr>
                <w:rFonts w:asciiTheme="minorHAnsi" w:hAnsiTheme="minorHAnsi" w:cstheme="minorHAnsi"/>
                <w:sz w:val="22"/>
                <w:szCs w:val="22"/>
                <w:lang w:val="hr-HR"/>
              </w:rPr>
            </w:pPr>
            <w:r w:rsidRPr="003327E4">
              <w:rPr>
                <w:rFonts w:asciiTheme="minorHAnsi" w:hAnsiTheme="minorHAnsi" w:cstheme="minorHAnsi"/>
                <w:sz w:val="22"/>
                <w:szCs w:val="22"/>
                <w:lang w:val="hr-HR"/>
              </w:rPr>
              <w:t>(3.144)</w:t>
            </w:r>
          </w:p>
        </w:tc>
        <w:tc>
          <w:tcPr>
            <w:tcW w:w="681" w:type="pct"/>
            <w:tcBorders>
              <w:bottom w:val="single" w:sz="4" w:space="0" w:color="auto"/>
            </w:tcBorders>
            <w:vAlign w:val="bottom"/>
          </w:tcPr>
          <w:p w:rsidR="00B34008" w:rsidRPr="003327E4" w:rsidRDefault="00B34008" w:rsidP="00B34008">
            <w:pPr>
              <w:jc w:val="right"/>
              <w:rPr>
                <w:rFonts w:asciiTheme="minorHAnsi" w:hAnsiTheme="minorHAnsi" w:cstheme="minorHAnsi"/>
                <w:bCs/>
                <w:sz w:val="22"/>
                <w:szCs w:val="22"/>
                <w:lang w:val="hr-HR"/>
              </w:rPr>
            </w:pPr>
            <w:r w:rsidRPr="003327E4">
              <w:rPr>
                <w:rFonts w:asciiTheme="minorHAnsi" w:hAnsiTheme="minorHAnsi" w:cstheme="minorHAnsi"/>
                <w:bCs/>
                <w:sz w:val="22"/>
                <w:szCs w:val="22"/>
                <w:lang w:val="hr-HR"/>
              </w:rPr>
              <w:t>(3.778)</w:t>
            </w:r>
          </w:p>
        </w:tc>
        <w:tc>
          <w:tcPr>
            <w:tcW w:w="680" w:type="pct"/>
            <w:tcBorders>
              <w:bottom w:val="single" w:sz="4" w:space="0" w:color="auto"/>
            </w:tcBorders>
            <w:vAlign w:val="bottom"/>
          </w:tcPr>
          <w:p w:rsidR="00B34008" w:rsidRPr="003327E4" w:rsidRDefault="006A0D4C">
            <w:pPr>
              <w:jc w:val="right"/>
              <w:rPr>
                <w:rFonts w:asciiTheme="minorHAnsi" w:hAnsiTheme="minorHAnsi" w:cstheme="minorHAnsi"/>
                <w:bCs/>
                <w:sz w:val="22"/>
                <w:szCs w:val="22"/>
                <w:lang w:val="hr-HR"/>
              </w:rPr>
            </w:pPr>
            <w:r w:rsidRPr="003327E4">
              <w:rPr>
                <w:rFonts w:asciiTheme="minorHAnsi" w:hAnsiTheme="minorHAnsi" w:cstheme="minorHAnsi"/>
                <w:bCs/>
                <w:sz w:val="22"/>
                <w:szCs w:val="22"/>
                <w:lang w:val="hr-HR"/>
              </w:rPr>
              <w:t>(3.144)</w:t>
            </w:r>
          </w:p>
        </w:tc>
      </w:tr>
      <w:tr w:rsidR="00B34008" w:rsidRPr="00C72B30" w:rsidTr="00CD3A2D">
        <w:tblPrEx>
          <w:tblCellMar>
            <w:left w:w="119" w:type="dxa"/>
            <w:right w:w="119" w:type="dxa"/>
          </w:tblCellMar>
        </w:tblPrEx>
        <w:trPr>
          <w:trHeight w:hRule="exact" w:val="340"/>
        </w:trPr>
        <w:tc>
          <w:tcPr>
            <w:tcW w:w="2276" w:type="pct"/>
            <w:vAlign w:val="center"/>
          </w:tcPr>
          <w:p w:rsidR="00B34008" w:rsidRPr="003327E4" w:rsidRDefault="00B34008" w:rsidP="00B34008">
            <w:pPr>
              <w:rPr>
                <w:rFonts w:asciiTheme="minorHAnsi" w:hAnsiTheme="minorHAnsi" w:cstheme="minorHAnsi"/>
                <w:sz w:val="22"/>
                <w:szCs w:val="22"/>
                <w:lang w:val="hr-HR"/>
              </w:rPr>
            </w:pPr>
            <w:r w:rsidRPr="003327E4">
              <w:rPr>
                <w:rFonts w:asciiTheme="minorHAnsi" w:hAnsiTheme="minorHAnsi" w:cstheme="minorHAnsi"/>
                <w:b/>
                <w:sz w:val="22"/>
                <w:szCs w:val="22"/>
                <w:lang w:val="hr-HR"/>
              </w:rPr>
              <w:t>Neto prihodi od naknada i provizija</w:t>
            </w:r>
          </w:p>
        </w:tc>
        <w:tc>
          <w:tcPr>
            <w:tcW w:w="681" w:type="pct"/>
            <w:tcBorders>
              <w:top w:val="single" w:sz="4" w:space="0" w:color="auto"/>
              <w:bottom w:val="single" w:sz="12" w:space="0" w:color="auto"/>
            </w:tcBorders>
            <w:vAlign w:val="bottom"/>
          </w:tcPr>
          <w:p w:rsidR="00B34008" w:rsidRPr="003327E4" w:rsidRDefault="00B34008" w:rsidP="00B34008">
            <w:pPr>
              <w:pStyle w:val="Tot"/>
              <w:spacing w:line="240" w:lineRule="auto"/>
              <w:jc w:val="right"/>
              <w:rPr>
                <w:rFonts w:asciiTheme="minorHAnsi" w:hAnsiTheme="minorHAnsi" w:cstheme="minorHAnsi"/>
                <w:b/>
                <w:bCs/>
                <w:sz w:val="22"/>
                <w:szCs w:val="22"/>
                <w:lang w:val="hr-HR"/>
              </w:rPr>
            </w:pPr>
            <w:r w:rsidRPr="003327E4">
              <w:rPr>
                <w:rFonts w:asciiTheme="minorHAnsi" w:hAnsiTheme="minorHAnsi" w:cstheme="minorHAnsi"/>
                <w:b/>
                <w:bCs/>
                <w:sz w:val="22"/>
                <w:szCs w:val="22"/>
                <w:lang w:val="hr-HR"/>
              </w:rPr>
              <w:t>41.205</w:t>
            </w:r>
          </w:p>
        </w:tc>
        <w:tc>
          <w:tcPr>
            <w:tcW w:w="682" w:type="pct"/>
            <w:tcBorders>
              <w:top w:val="single" w:sz="4" w:space="0" w:color="auto"/>
              <w:bottom w:val="single" w:sz="12" w:space="0" w:color="auto"/>
            </w:tcBorders>
            <w:vAlign w:val="bottom"/>
          </w:tcPr>
          <w:p w:rsidR="00B34008" w:rsidRPr="003327E4" w:rsidRDefault="00B34008" w:rsidP="00B34008">
            <w:pPr>
              <w:pStyle w:val="Tot"/>
              <w:spacing w:line="240" w:lineRule="auto"/>
              <w:jc w:val="right"/>
              <w:rPr>
                <w:rFonts w:asciiTheme="minorHAnsi" w:hAnsiTheme="minorHAnsi" w:cstheme="minorHAnsi"/>
                <w:b/>
                <w:bCs/>
                <w:sz w:val="22"/>
                <w:szCs w:val="22"/>
                <w:lang w:val="hr-HR"/>
              </w:rPr>
            </w:pPr>
            <w:r w:rsidRPr="003327E4">
              <w:rPr>
                <w:rFonts w:asciiTheme="minorHAnsi" w:hAnsiTheme="minorHAnsi" w:cstheme="minorHAnsi"/>
                <w:b/>
                <w:bCs/>
                <w:sz w:val="22"/>
                <w:szCs w:val="22"/>
                <w:lang w:val="hr-HR"/>
              </w:rPr>
              <w:t>44.981</w:t>
            </w:r>
          </w:p>
        </w:tc>
        <w:tc>
          <w:tcPr>
            <w:tcW w:w="681" w:type="pct"/>
            <w:tcBorders>
              <w:top w:val="single" w:sz="4" w:space="0" w:color="auto"/>
              <w:bottom w:val="single" w:sz="12" w:space="0" w:color="auto"/>
            </w:tcBorders>
            <w:vAlign w:val="bottom"/>
          </w:tcPr>
          <w:p w:rsidR="00B34008" w:rsidRPr="003327E4" w:rsidRDefault="00B34008" w:rsidP="00B34008">
            <w:pPr>
              <w:jc w:val="right"/>
              <w:rPr>
                <w:rFonts w:asciiTheme="minorHAnsi" w:hAnsiTheme="minorHAnsi" w:cstheme="minorHAnsi"/>
                <w:b/>
                <w:bCs/>
                <w:sz w:val="22"/>
                <w:szCs w:val="22"/>
                <w:lang w:val="hr-HR"/>
              </w:rPr>
            </w:pPr>
            <w:r w:rsidRPr="003327E4">
              <w:rPr>
                <w:rFonts w:asciiTheme="minorHAnsi" w:hAnsiTheme="minorHAnsi" w:cstheme="minorHAnsi"/>
                <w:b/>
                <w:bCs/>
                <w:sz w:val="22"/>
                <w:szCs w:val="22"/>
                <w:lang w:val="hr-HR"/>
              </w:rPr>
              <w:t>38.650</w:t>
            </w:r>
          </w:p>
        </w:tc>
        <w:tc>
          <w:tcPr>
            <w:tcW w:w="680" w:type="pct"/>
            <w:tcBorders>
              <w:top w:val="single" w:sz="4" w:space="0" w:color="auto"/>
              <w:bottom w:val="single" w:sz="12" w:space="0" w:color="auto"/>
            </w:tcBorders>
            <w:vAlign w:val="bottom"/>
          </w:tcPr>
          <w:p w:rsidR="00B34008" w:rsidRPr="003327E4" w:rsidRDefault="00B34008" w:rsidP="00B34008">
            <w:pPr>
              <w:jc w:val="right"/>
              <w:rPr>
                <w:rFonts w:asciiTheme="minorHAnsi" w:hAnsiTheme="minorHAnsi" w:cstheme="minorHAnsi"/>
                <w:b/>
                <w:bCs/>
                <w:sz w:val="22"/>
                <w:szCs w:val="22"/>
                <w:lang w:val="hr-HR"/>
              </w:rPr>
            </w:pPr>
            <w:r w:rsidRPr="003327E4">
              <w:rPr>
                <w:rFonts w:asciiTheme="minorHAnsi" w:hAnsiTheme="minorHAnsi" w:cstheme="minorHAnsi"/>
                <w:b/>
                <w:bCs/>
                <w:sz w:val="22"/>
                <w:szCs w:val="22"/>
                <w:lang w:val="hr-HR"/>
              </w:rPr>
              <w:t>42.395</w:t>
            </w:r>
          </w:p>
        </w:tc>
      </w:tr>
    </w:tbl>
    <w:p w:rsidR="00EC7209" w:rsidRPr="001567C8" w:rsidRDefault="00EC7209" w:rsidP="00BB13BA">
      <w:pPr>
        <w:jc w:val="both"/>
        <w:rPr>
          <w:rFonts w:asciiTheme="minorHAnsi" w:hAnsiTheme="minorHAnsi"/>
          <w:sz w:val="22"/>
          <w:szCs w:val="22"/>
          <w:lang w:val="hr-HR"/>
        </w:rPr>
      </w:pPr>
    </w:p>
    <w:p w:rsidR="00537613" w:rsidRPr="001567C8" w:rsidRDefault="00537613" w:rsidP="003C6BA3">
      <w:pPr>
        <w:jc w:val="both"/>
        <w:rPr>
          <w:rFonts w:asciiTheme="minorHAnsi" w:hAnsiTheme="minorHAnsi"/>
          <w:bCs/>
          <w:sz w:val="22"/>
          <w:szCs w:val="22"/>
          <w:lang w:val="hr-HR"/>
        </w:rPr>
        <w:sectPr w:rsidR="00537613" w:rsidRPr="001567C8" w:rsidSect="000D6913">
          <w:type w:val="continuous"/>
          <w:pgSz w:w="11907" w:h="16840" w:code="9"/>
          <w:pgMar w:top="1418" w:right="1134" w:bottom="1134" w:left="1418" w:header="851" w:footer="851" w:gutter="0"/>
          <w:cols w:space="720"/>
          <w:noEndnote/>
        </w:sectPr>
      </w:pPr>
    </w:p>
    <w:p w:rsidR="00D01DFD" w:rsidRPr="001567C8" w:rsidRDefault="00D01DFD" w:rsidP="00D01DFD">
      <w:pPr>
        <w:pStyle w:val="T1"/>
        <w:spacing w:before="0" w:after="0" w:line="240" w:lineRule="auto"/>
        <w:rPr>
          <w:rFonts w:asciiTheme="minorHAnsi" w:hAnsiTheme="minorHAnsi" w:cs="Arial"/>
          <w:bCs w:val="0"/>
          <w:sz w:val="22"/>
          <w:szCs w:val="22"/>
          <w:lang w:val="hr-HR"/>
        </w:rPr>
      </w:pPr>
    </w:p>
    <w:p w:rsidR="00174DB1" w:rsidRPr="001567C8" w:rsidRDefault="00B52585" w:rsidP="00D01DFD">
      <w:pPr>
        <w:pStyle w:val="T1"/>
        <w:spacing w:before="0" w:after="0" w:line="240" w:lineRule="auto"/>
        <w:rPr>
          <w:rFonts w:asciiTheme="minorHAnsi" w:hAnsiTheme="minorHAnsi" w:cs="Arial"/>
          <w:bCs w:val="0"/>
          <w:sz w:val="22"/>
          <w:szCs w:val="22"/>
          <w:lang w:val="hr-HR"/>
        </w:rPr>
      </w:pPr>
      <w:r w:rsidRPr="001567C8">
        <w:rPr>
          <w:rFonts w:asciiTheme="minorHAnsi" w:hAnsiTheme="minorHAnsi" w:cs="Arial"/>
          <w:bCs w:val="0"/>
          <w:sz w:val="22"/>
          <w:szCs w:val="22"/>
          <w:lang w:val="hr-HR"/>
        </w:rPr>
        <w:t>9</w:t>
      </w:r>
      <w:r w:rsidR="005028E4" w:rsidRPr="001567C8">
        <w:rPr>
          <w:rFonts w:asciiTheme="minorHAnsi" w:hAnsiTheme="minorHAnsi" w:cs="Arial"/>
          <w:bCs w:val="0"/>
          <w:sz w:val="22"/>
          <w:szCs w:val="22"/>
          <w:lang w:val="hr-HR"/>
        </w:rPr>
        <w:t>.</w:t>
      </w:r>
      <w:r w:rsidR="005028E4" w:rsidRPr="001567C8">
        <w:rPr>
          <w:rFonts w:asciiTheme="minorHAnsi" w:hAnsiTheme="minorHAnsi" w:cs="Arial"/>
          <w:bCs w:val="0"/>
          <w:sz w:val="22"/>
          <w:szCs w:val="22"/>
          <w:lang w:val="hr-HR"/>
        </w:rPr>
        <w:tab/>
      </w:r>
      <w:r w:rsidR="006D0890" w:rsidRPr="001567C8">
        <w:rPr>
          <w:rFonts w:asciiTheme="minorHAnsi" w:hAnsiTheme="minorHAnsi" w:cs="Arial"/>
          <w:bCs w:val="0"/>
          <w:sz w:val="22"/>
          <w:szCs w:val="22"/>
          <w:lang w:val="hr-HR"/>
        </w:rPr>
        <w:t>Neto prihodi</w:t>
      </w:r>
      <w:r w:rsidR="00E365BF" w:rsidRPr="001567C8">
        <w:rPr>
          <w:rFonts w:asciiTheme="minorHAnsi" w:hAnsiTheme="minorHAnsi" w:cs="Arial"/>
          <w:bCs w:val="0"/>
          <w:sz w:val="22"/>
          <w:szCs w:val="22"/>
          <w:lang w:val="hr-HR"/>
        </w:rPr>
        <w:t>/(rashodi)</w:t>
      </w:r>
      <w:r w:rsidR="006D0890" w:rsidRPr="001567C8">
        <w:rPr>
          <w:rFonts w:asciiTheme="minorHAnsi" w:hAnsiTheme="minorHAnsi" w:cs="Arial"/>
          <w:bCs w:val="0"/>
          <w:sz w:val="22"/>
          <w:szCs w:val="22"/>
          <w:lang w:val="hr-HR"/>
        </w:rPr>
        <w:t xml:space="preserve"> od financijskih aktivnosti</w:t>
      </w:r>
    </w:p>
    <w:p w:rsidR="00174DB1" w:rsidRPr="001567C8" w:rsidRDefault="00174DB1" w:rsidP="00C679A7">
      <w:pPr>
        <w:pStyle w:val="Thin"/>
        <w:rPr>
          <w:rFonts w:asciiTheme="minorHAnsi" w:hAnsiTheme="minorHAnsi" w:cs="Arial"/>
          <w:sz w:val="22"/>
          <w:szCs w:val="22"/>
          <w:lang w:val="hr-HR"/>
        </w:rPr>
      </w:pPr>
    </w:p>
    <w:tbl>
      <w:tblPr>
        <w:tblpPr w:leftFromText="181" w:rightFromText="181" w:vertAnchor="text" w:horzAnchor="margin" w:tblpX="-142" w:tblpY="63"/>
        <w:tblW w:w="5217" w:type="pct"/>
        <w:tblLayout w:type="fixed"/>
        <w:tblCellMar>
          <w:left w:w="122" w:type="dxa"/>
          <w:right w:w="122" w:type="dxa"/>
        </w:tblCellMar>
        <w:tblLook w:val="0000" w:firstRow="0" w:lastRow="0" w:firstColumn="0" w:lastColumn="0" w:noHBand="0" w:noVBand="0"/>
      </w:tblPr>
      <w:tblGrid>
        <w:gridCol w:w="4827"/>
        <w:gridCol w:w="1234"/>
        <w:gridCol w:w="1236"/>
        <w:gridCol w:w="1234"/>
        <w:gridCol w:w="1230"/>
      </w:tblGrid>
      <w:tr w:rsidR="00401178" w:rsidRPr="001567C8" w:rsidTr="003327E4">
        <w:trPr>
          <w:trHeight w:val="288"/>
        </w:trPr>
        <w:tc>
          <w:tcPr>
            <w:tcW w:w="2473" w:type="pct"/>
          </w:tcPr>
          <w:p w:rsidR="00401178" w:rsidRPr="001567C8" w:rsidRDefault="00401178" w:rsidP="00C72B30">
            <w:pPr>
              <w:pStyle w:val="TH"/>
              <w:rPr>
                <w:rFonts w:asciiTheme="minorHAnsi" w:hAnsiTheme="minorHAnsi" w:cs="Arial"/>
                <w:sz w:val="22"/>
                <w:szCs w:val="22"/>
                <w:lang w:val="hr-HR"/>
              </w:rPr>
            </w:pPr>
          </w:p>
        </w:tc>
        <w:tc>
          <w:tcPr>
            <w:tcW w:w="1264" w:type="pct"/>
            <w:gridSpan w:val="2"/>
            <w:vAlign w:val="bottom"/>
          </w:tcPr>
          <w:p w:rsidR="00401178" w:rsidRPr="001567C8" w:rsidRDefault="00401178" w:rsidP="00C72B30">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263" w:type="pct"/>
            <w:gridSpan w:val="2"/>
            <w:vAlign w:val="bottom"/>
          </w:tcPr>
          <w:p w:rsidR="00401178" w:rsidRPr="001567C8" w:rsidRDefault="00401178" w:rsidP="00C72B30">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3A73AB" w:rsidRPr="001567C8" w:rsidTr="003327E4">
        <w:trPr>
          <w:trHeight w:val="120"/>
        </w:trPr>
        <w:tc>
          <w:tcPr>
            <w:tcW w:w="2473" w:type="pct"/>
          </w:tcPr>
          <w:p w:rsidR="003A73AB" w:rsidRPr="001567C8" w:rsidRDefault="003A73AB" w:rsidP="00C72B30">
            <w:pPr>
              <w:pStyle w:val="TH"/>
              <w:rPr>
                <w:rFonts w:asciiTheme="minorHAnsi" w:hAnsiTheme="minorHAnsi" w:cs="Arial"/>
                <w:sz w:val="22"/>
                <w:szCs w:val="22"/>
                <w:lang w:val="hr-HR"/>
              </w:rPr>
            </w:pPr>
          </w:p>
        </w:tc>
        <w:tc>
          <w:tcPr>
            <w:tcW w:w="632" w:type="pct"/>
            <w:vAlign w:val="bottom"/>
          </w:tcPr>
          <w:p w:rsidR="003A73AB" w:rsidRPr="001567C8" w:rsidRDefault="003A73AB" w:rsidP="00C72B30">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33" w:type="pct"/>
            <w:vAlign w:val="bottom"/>
          </w:tcPr>
          <w:p w:rsidR="003A73AB" w:rsidRPr="001567C8" w:rsidRDefault="003A73AB" w:rsidP="00C72B30">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c>
          <w:tcPr>
            <w:tcW w:w="632" w:type="pct"/>
            <w:vAlign w:val="bottom"/>
          </w:tcPr>
          <w:p w:rsidR="003A73AB" w:rsidRPr="001567C8" w:rsidRDefault="003A73AB" w:rsidP="00C72B30">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32" w:type="pct"/>
            <w:vAlign w:val="bottom"/>
          </w:tcPr>
          <w:p w:rsidR="003A73AB" w:rsidRPr="001567C8" w:rsidRDefault="003A73AB" w:rsidP="00C72B30">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r>
      <w:tr w:rsidR="00C83C96" w:rsidRPr="001567C8" w:rsidTr="003327E4">
        <w:trPr>
          <w:trHeight w:val="120"/>
        </w:trPr>
        <w:tc>
          <w:tcPr>
            <w:tcW w:w="2473" w:type="pct"/>
          </w:tcPr>
          <w:p w:rsidR="00C83C96" w:rsidRPr="001567C8" w:rsidRDefault="00C83C96" w:rsidP="00C72B30">
            <w:pPr>
              <w:pStyle w:val="TH"/>
              <w:rPr>
                <w:rFonts w:asciiTheme="minorHAnsi" w:hAnsiTheme="minorHAnsi" w:cs="Arial"/>
                <w:sz w:val="22"/>
                <w:szCs w:val="22"/>
                <w:lang w:val="hr-HR"/>
              </w:rPr>
            </w:pPr>
          </w:p>
        </w:tc>
        <w:tc>
          <w:tcPr>
            <w:tcW w:w="632" w:type="pct"/>
          </w:tcPr>
          <w:p w:rsidR="00C83C96" w:rsidRPr="001567C8" w:rsidRDefault="00C83C96" w:rsidP="00C72B30">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33" w:type="pct"/>
          </w:tcPr>
          <w:p w:rsidR="00C83C96" w:rsidRPr="001567C8" w:rsidRDefault="00C83C96" w:rsidP="00C72B30">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32" w:type="pct"/>
          </w:tcPr>
          <w:p w:rsidR="00C83C96" w:rsidRPr="001567C8" w:rsidRDefault="00C83C96" w:rsidP="00C72B30">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32" w:type="pct"/>
          </w:tcPr>
          <w:p w:rsidR="00C83C96" w:rsidRPr="001567C8" w:rsidRDefault="00C83C96" w:rsidP="00C72B30">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C83C96" w:rsidRPr="001567C8" w:rsidTr="003327E4">
        <w:trPr>
          <w:trHeight w:val="57"/>
        </w:trPr>
        <w:tc>
          <w:tcPr>
            <w:tcW w:w="2473" w:type="pct"/>
          </w:tcPr>
          <w:p w:rsidR="00C83C96" w:rsidRPr="001567C8" w:rsidRDefault="00C83C96"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Neto dobit/(gubitak) od tečajnih razlika s osnova imovine nominirane u stranoj valuti:</w:t>
            </w:r>
          </w:p>
        </w:tc>
        <w:tc>
          <w:tcPr>
            <w:tcW w:w="632" w:type="pct"/>
          </w:tcPr>
          <w:p w:rsidR="00C83C96" w:rsidRPr="001567C8" w:rsidRDefault="00C83C96" w:rsidP="00C72B30">
            <w:pPr>
              <w:jc w:val="right"/>
              <w:rPr>
                <w:rFonts w:asciiTheme="minorHAnsi" w:hAnsiTheme="minorHAnsi" w:cs="Arial"/>
                <w:bCs/>
                <w:sz w:val="22"/>
                <w:szCs w:val="22"/>
                <w:lang w:val="hr-HR"/>
              </w:rPr>
            </w:pPr>
          </w:p>
        </w:tc>
        <w:tc>
          <w:tcPr>
            <w:tcW w:w="633" w:type="pct"/>
          </w:tcPr>
          <w:p w:rsidR="00C83C96" w:rsidRPr="001567C8" w:rsidRDefault="00C83C96" w:rsidP="00C72B30">
            <w:pPr>
              <w:jc w:val="right"/>
              <w:rPr>
                <w:rFonts w:asciiTheme="minorHAnsi" w:hAnsiTheme="minorHAnsi" w:cs="Arial"/>
                <w:bCs/>
                <w:sz w:val="22"/>
                <w:szCs w:val="22"/>
                <w:lang w:val="hr-HR"/>
              </w:rPr>
            </w:pPr>
          </w:p>
        </w:tc>
        <w:tc>
          <w:tcPr>
            <w:tcW w:w="632" w:type="pct"/>
            <w:vAlign w:val="bottom"/>
          </w:tcPr>
          <w:p w:rsidR="00C83C96" w:rsidRPr="001567C8" w:rsidRDefault="00C83C96" w:rsidP="00C72B30">
            <w:pPr>
              <w:jc w:val="right"/>
              <w:rPr>
                <w:rFonts w:asciiTheme="minorHAnsi" w:hAnsiTheme="minorHAnsi" w:cs="Arial"/>
                <w:bCs/>
                <w:sz w:val="22"/>
                <w:szCs w:val="22"/>
                <w:lang w:val="hr-HR"/>
              </w:rPr>
            </w:pPr>
          </w:p>
        </w:tc>
        <w:tc>
          <w:tcPr>
            <w:tcW w:w="632" w:type="pct"/>
            <w:vAlign w:val="bottom"/>
          </w:tcPr>
          <w:p w:rsidR="00C83C96" w:rsidRPr="001567C8" w:rsidRDefault="00C83C96" w:rsidP="00C72B30">
            <w:pPr>
              <w:jc w:val="right"/>
              <w:rPr>
                <w:rFonts w:asciiTheme="minorHAnsi" w:hAnsiTheme="minorHAnsi" w:cs="Arial"/>
                <w:bCs/>
                <w:sz w:val="22"/>
                <w:szCs w:val="22"/>
                <w:lang w:val="hr-HR"/>
              </w:rPr>
            </w:pPr>
          </w:p>
        </w:tc>
      </w:tr>
      <w:tr w:rsidR="00FE6882" w:rsidRPr="001567C8" w:rsidTr="003327E4">
        <w:trPr>
          <w:trHeight w:val="280"/>
        </w:trPr>
        <w:tc>
          <w:tcPr>
            <w:tcW w:w="2473" w:type="pct"/>
            <w:vAlign w:val="center"/>
          </w:tcPr>
          <w:p w:rsidR="00FE6882" w:rsidRPr="001567C8" w:rsidRDefault="00FE6882"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Novčana sredstva, računi i depoziti kod banaka</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sz w:val="22"/>
                <w:szCs w:val="22"/>
                <w:lang w:val="hr-HR"/>
              </w:rPr>
            </w:pPr>
            <w:r w:rsidRPr="00CD3A2D">
              <w:rPr>
                <w:rFonts w:asciiTheme="minorHAnsi" w:hAnsiTheme="minorHAnsi"/>
                <w:color w:val="000000"/>
                <w:sz w:val="22"/>
                <w:szCs w:val="22"/>
                <w:lang w:val="hr-HR"/>
              </w:rPr>
              <w:t xml:space="preserve">      1.732 </w:t>
            </w:r>
          </w:p>
        </w:tc>
        <w:tc>
          <w:tcPr>
            <w:tcW w:w="633"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sz w:val="22"/>
                <w:szCs w:val="22"/>
                <w:lang w:val="hr-HR"/>
              </w:rPr>
            </w:pPr>
            <w:r w:rsidRPr="00CD3A2D">
              <w:rPr>
                <w:rFonts w:asciiTheme="minorHAnsi" w:hAnsiTheme="minorHAnsi" w:cs="Calibri"/>
                <w:color w:val="000000"/>
                <w:sz w:val="22"/>
                <w:szCs w:val="22"/>
                <w:lang w:val="hr-HR"/>
              </w:rPr>
              <w:t xml:space="preserve">      (9.680)</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 xml:space="preserve">1.732 </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 xml:space="preserve">       (9.680)</w:t>
            </w:r>
          </w:p>
        </w:tc>
      </w:tr>
      <w:tr w:rsidR="00FE6882" w:rsidRPr="001567C8" w:rsidTr="003327E4">
        <w:trPr>
          <w:trHeight w:val="20"/>
        </w:trPr>
        <w:tc>
          <w:tcPr>
            <w:tcW w:w="2473" w:type="pct"/>
            <w:vAlign w:val="center"/>
          </w:tcPr>
          <w:p w:rsidR="00FE6882" w:rsidRPr="001567C8" w:rsidRDefault="00FE6882" w:rsidP="00C72B30">
            <w:pPr>
              <w:pStyle w:val="TT"/>
              <w:ind w:left="142" w:hanging="142"/>
              <w:rPr>
                <w:rFonts w:asciiTheme="minorHAnsi" w:hAnsiTheme="minorHAnsi" w:cs="Arial"/>
                <w:sz w:val="22"/>
                <w:szCs w:val="22"/>
                <w:lang w:val="hr-HR"/>
              </w:rPr>
            </w:pPr>
            <w:r w:rsidRPr="001567C8">
              <w:rPr>
                <w:rFonts w:asciiTheme="minorHAnsi" w:hAnsiTheme="minorHAnsi" w:cs="Arial"/>
                <w:sz w:val="22"/>
                <w:szCs w:val="22"/>
                <w:lang w:val="hr-HR"/>
              </w:rPr>
              <w:t xml:space="preserve">   Krediti financijskim institucijama i ostalim korisnicima</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(159.219)</w:t>
            </w:r>
          </w:p>
        </w:tc>
        <w:tc>
          <w:tcPr>
            <w:tcW w:w="633"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(149.163)</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(159.219)</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 xml:space="preserve">        (149.163)</w:t>
            </w:r>
          </w:p>
        </w:tc>
      </w:tr>
      <w:tr w:rsidR="00FE6882" w:rsidRPr="001567C8" w:rsidTr="003327E4">
        <w:trPr>
          <w:trHeight w:val="20"/>
        </w:trPr>
        <w:tc>
          <w:tcPr>
            <w:tcW w:w="2473" w:type="pct"/>
            <w:vAlign w:val="center"/>
          </w:tcPr>
          <w:p w:rsidR="00FE6882" w:rsidRPr="001567C8" w:rsidRDefault="00FE6882"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w:t>
            </w:r>
            <w:r w:rsidR="006F4525" w:rsidRPr="001567C8">
              <w:rPr>
                <w:rFonts w:asciiTheme="minorHAnsi" w:hAnsiTheme="minorHAnsi" w:cs="Arial"/>
                <w:sz w:val="22"/>
                <w:szCs w:val="22"/>
                <w:lang w:val="hr-HR"/>
              </w:rPr>
              <w:t>Financijska i</w:t>
            </w:r>
            <w:r w:rsidRPr="001567C8">
              <w:rPr>
                <w:rFonts w:asciiTheme="minorHAnsi" w:hAnsiTheme="minorHAnsi" w:cs="Arial"/>
                <w:sz w:val="22"/>
                <w:szCs w:val="22"/>
                <w:lang w:val="hr-HR"/>
              </w:rPr>
              <w:t xml:space="preserve">movina po fer vrijednosti kroz </w:t>
            </w:r>
            <w:r w:rsidR="00E365BF" w:rsidRPr="001567C8">
              <w:rPr>
                <w:rFonts w:asciiTheme="minorHAnsi" w:hAnsiTheme="minorHAnsi" w:cs="Arial"/>
                <w:sz w:val="22"/>
                <w:szCs w:val="22"/>
                <w:lang w:val="hr-HR"/>
              </w:rPr>
              <w:t xml:space="preserve">dobit </w:t>
            </w:r>
            <w:r w:rsidR="009F5A71" w:rsidRPr="001567C8">
              <w:rPr>
                <w:rFonts w:asciiTheme="minorHAnsi" w:hAnsiTheme="minorHAnsi" w:cs="Arial"/>
                <w:sz w:val="22"/>
                <w:szCs w:val="22"/>
                <w:lang w:val="hr-HR"/>
              </w:rPr>
              <w:t xml:space="preserve">            </w:t>
            </w:r>
          </w:p>
          <w:p w:rsidR="009F5A71" w:rsidRPr="001567C8" w:rsidRDefault="009F5A71"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ili gubitak</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 xml:space="preserve">       (4)</w:t>
            </w:r>
          </w:p>
        </w:tc>
        <w:tc>
          <w:tcPr>
            <w:tcW w:w="633"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 xml:space="preserve">      (2)</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 xml:space="preserve">         - </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1567C8">
              <w:rPr>
                <w:rFonts w:asciiTheme="minorHAnsi" w:hAnsiTheme="minorHAnsi" w:cs="Arial"/>
                <w:bCs/>
                <w:sz w:val="22"/>
                <w:szCs w:val="22"/>
                <w:lang w:val="hr-HR"/>
              </w:rPr>
              <w:t>-</w:t>
            </w:r>
          </w:p>
        </w:tc>
      </w:tr>
      <w:tr w:rsidR="00FE6882" w:rsidRPr="001567C8" w:rsidTr="003327E4">
        <w:trPr>
          <w:trHeight w:val="20"/>
        </w:trPr>
        <w:tc>
          <w:tcPr>
            <w:tcW w:w="2473" w:type="pct"/>
            <w:vAlign w:val="center"/>
          </w:tcPr>
          <w:p w:rsidR="00FE6882" w:rsidRPr="001567C8" w:rsidRDefault="00FE6882"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w:t>
            </w:r>
            <w:r w:rsidR="00F82013" w:rsidRPr="001567C8">
              <w:rPr>
                <w:rFonts w:asciiTheme="minorHAnsi" w:hAnsiTheme="minorHAnsi" w:cs="Arial"/>
                <w:sz w:val="22"/>
                <w:szCs w:val="22"/>
                <w:lang w:val="hr-HR"/>
              </w:rPr>
              <w:t xml:space="preserve">Dužnički vrijednosni papiri po amortiziranom </w:t>
            </w:r>
          </w:p>
          <w:p w:rsidR="009F5A71" w:rsidRPr="001567C8" w:rsidRDefault="009F5A71"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trošku</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 xml:space="preserve">       (15)</w:t>
            </w:r>
          </w:p>
        </w:tc>
        <w:tc>
          <w:tcPr>
            <w:tcW w:w="633" w:type="pct"/>
            <w:tcBorders>
              <w:top w:val="nil"/>
              <w:left w:val="nil"/>
              <w:bottom w:val="nil"/>
              <w:right w:val="nil"/>
            </w:tcBorders>
            <w:shd w:val="clear" w:color="auto" w:fill="auto"/>
            <w:vAlign w:val="bottom"/>
          </w:tcPr>
          <w:p w:rsidR="00FE6882" w:rsidRPr="001567C8" w:rsidRDefault="00920EAE"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n/p</w:t>
            </w:r>
            <w:r w:rsidR="00FE6882" w:rsidRPr="00CD3A2D">
              <w:rPr>
                <w:rFonts w:asciiTheme="minorHAnsi" w:hAnsiTheme="minorHAnsi" w:cs="Calibri"/>
                <w:color w:val="000000"/>
                <w:sz w:val="22"/>
                <w:szCs w:val="22"/>
                <w:lang w:val="hr-HR"/>
              </w:rPr>
              <w:t xml:space="preserve"> </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 xml:space="preserve">      - </w:t>
            </w:r>
          </w:p>
        </w:tc>
        <w:tc>
          <w:tcPr>
            <w:tcW w:w="632" w:type="pct"/>
            <w:tcBorders>
              <w:top w:val="nil"/>
              <w:left w:val="nil"/>
              <w:bottom w:val="nil"/>
              <w:right w:val="nil"/>
            </w:tcBorders>
            <w:shd w:val="clear" w:color="auto" w:fill="auto"/>
            <w:vAlign w:val="bottom"/>
          </w:tcPr>
          <w:p w:rsidR="00FE6882" w:rsidRPr="001567C8" w:rsidRDefault="00920EAE" w:rsidP="00C72B30">
            <w:pPr>
              <w:jc w:val="right"/>
              <w:rPr>
                <w:rFonts w:asciiTheme="minorHAnsi" w:hAnsiTheme="minorHAnsi" w:cs="Arial"/>
                <w:bCs/>
                <w:sz w:val="22"/>
                <w:szCs w:val="22"/>
                <w:lang w:val="hr-HR"/>
              </w:rPr>
            </w:pPr>
            <w:r w:rsidRPr="001567C8">
              <w:rPr>
                <w:rFonts w:asciiTheme="minorHAnsi" w:hAnsiTheme="minorHAnsi" w:cs="Arial"/>
                <w:bCs/>
                <w:sz w:val="22"/>
                <w:szCs w:val="22"/>
                <w:lang w:val="hr-HR"/>
              </w:rPr>
              <w:t>n/p</w:t>
            </w:r>
          </w:p>
        </w:tc>
      </w:tr>
      <w:tr w:rsidR="00920EAE" w:rsidRPr="001567C8" w:rsidTr="003327E4">
        <w:trPr>
          <w:trHeight w:val="20"/>
        </w:trPr>
        <w:tc>
          <w:tcPr>
            <w:tcW w:w="2473" w:type="pct"/>
            <w:vAlign w:val="center"/>
          </w:tcPr>
          <w:p w:rsidR="00920EAE" w:rsidRPr="001567C8" w:rsidRDefault="00920EAE"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Imovina koja se drži do </w:t>
            </w:r>
            <w:r w:rsidR="00DA25D1" w:rsidRPr="001567C8">
              <w:rPr>
                <w:rFonts w:asciiTheme="minorHAnsi" w:hAnsiTheme="minorHAnsi" w:cs="Arial"/>
                <w:sz w:val="22"/>
                <w:szCs w:val="22"/>
                <w:lang w:val="hr-HR"/>
              </w:rPr>
              <w:t>dospijeća</w:t>
            </w:r>
          </w:p>
        </w:tc>
        <w:tc>
          <w:tcPr>
            <w:tcW w:w="632" w:type="pct"/>
            <w:tcBorders>
              <w:top w:val="nil"/>
              <w:left w:val="nil"/>
              <w:bottom w:val="nil"/>
              <w:right w:val="nil"/>
            </w:tcBorders>
            <w:shd w:val="clear" w:color="auto" w:fill="auto"/>
            <w:vAlign w:val="bottom"/>
          </w:tcPr>
          <w:p w:rsidR="00920EAE" w:rsidRPr="00CD3A2D" w:rsidRDefault="00920EAE" w:rsidP="00C72B30">
            <w:pPr>
              <w:jc w:val="right"/>
              <w:rPr>
                <w:rFonts w:asciiTheme="minorHAnsi" w:hAnsiTheme="minorHAnsi"/>
                <w:color w:val="000000"/>
                <w:sz w:val="22"/>
                <w:szCs w:val="22"/>
                <w:lang w:val="hr-HR"/>
              </w:rPr>
            </w:pPr>
            <w:r w:rsidRPr="00CD3A2D">
              <w:rPr>
                <w:rFonts w:asciiTheme="minorHAnsi" w:hAnsiTheme="minorHAnsi"/>
                <w:color w:val="000000"/>
                <w:sz w:val="22"/>
                <w:szCs w:val="22"/>
                <w:lang w:val="hr-HR"/>
              </w:rPr>
              <w:t>n/p</w:t>
            </w:r>
          </w:p>
        </w:tc>
        <w:tc>
          <w:tcPr>
            <w:tcW w:w="633" w:type="pct"/>
            <w:tcBorders>
              <w:top w:val="nil"/>
              <w:left w:val="nil"/>
              <w:bottom w:val="nil"/>
              <w:right w:val="nil"/>
            </w:tcBorders>
            <w:shd w:val="clear" w:color="auto" w:fill="auto"/>
            <w:vAlign w:val="bottom"/>
          </w:tcPr>
          <w:p w:rsidR="00920EAE" w:rsidRPr="00CD3A2D" w:rsidRDefault="00920EAE" w:rsidP="00C72B30">
            <w:pPr>
              <w:jc w:val="right"/>
              <w:rPr>
                <w:rFonts w:asciiTheme="minorHAnsi" w:hAnsiTheme="minorHAnsi" w:cs="Calibri"/>
                <w:color w:val="000000"/>
                <w:sz w:val="22"/>
                <w:szCs w:val="22"/>
                <w:lang w:val="hr-HR"/>
              </w:rPr>
            </w:pPr>
            <w:r w:rsidRPr="00CD3A2D">
              <w:rPr>
                <w:rFonts w:asciiTheme="minorHAnsi" w:hAnsiTheme="minorHAnsi" w:cs="Calibri"/>
                <w:color w:val="000000"/>
                <w:sz w:val="22"/>
                <w:szCs w:val="22"/>
                <w:lang w:val="hr-HR"/>
              </w:rPr>
              <w:t>4</w:t>
            </w:r>
          </w:p>
        </w:tc>
        <w:tc>
          <w:tcPr>
            <w:tcW w:w="632" w:type="pct"/>
            <w:tcBorders>
              <w:top w:val="nil"/>
              <w:left w:val="nil"/>
              <w:bottom w:val="nil"/>
              <w:right w:val="nil"/>
            </w:tcBorders>
            <w:shd w:val="clear" w:color="auto" w:fill="auto"/>
            <w:vAlign w:val="bottom"/>
          </w:tcPr>
          <w:p w:rsidR="00920EAE" w:rsidRPr="00CD3A2D" w:rsidRDefault="00920EAE" w:rsidP="00C72B30">
            <w:pPr>
              <w:jc w:val="right"/>
              <w:rPr>
                <w:rFonts w:asciiTheme="minorHAnsi" w:hAnsiTheme="minorHAnsi"/>
                <w:color w:val="000000"/>
                <w:sz w:val="22"/>
                <w:szCs w:val="22"/>
                <w:lang w:val="hr-HR"/>
              </w:rPr>
            </w:pPr>
            <w:r w:rsidRPr="00CD3A2D">
              <w:rPr>
                <w:rFonts w:asciiTheme="minorHAnsi" w:hAnsiTheme="minorHAnsi"/>
                <w:color w:val="000000"/>
                <w:sz w:val="22"/>
                <w:szCs w:val="22"/>
                <w:lang w:val="hr-HR"/>
              </w:rPr>
              <w:t>n/p</w:t>
            </w:r>
          </w:p>
        </w:tc>
        <w:tc>
          <w:tcPr>
            <w:tcW w:w="632" w:type="pct"/>
            <w:tcBorders>
              <w:top w:val="nil"/>
              <w:left w:val="nil"/>
              <w:bottom w:val="nil"/>
              <w:right w:val="nil"/>
            </w:tcBorders>
            <w:shd w:val="clear" w:color="auto" w:fill="auto"/>
            <w:vAlign w:val="bottom"/>
          </w:tcPr>
          <w:p w:rsidR="00920EAE" w:rsidRPr="001567C8" w:rsidRDefault="00920EAE" w:rsidP="00C72B30">
            <w:pPr>
              <w:jc w:val="right"/>
              <w:rPr>
                <w:rFonts w:asciiTheme="minorHAnsi" w:hAnsiTheme="minorHAnsi" w:cs="Arial"/>
                <w:bCs/>
                <w:sz w:val="22"/>
                <w:szCs w:val="22"/>
                <w:lang w:val="hr-HR"/>
              </w:rPr>
            </w:pPr>
            <w:r w:rsidRPr="001567C8">
              <w:rPr>
                <w:rFonts w:asciiTheme="minorHAnsi" w:hAnsiTheme="minorHAnsi" w:cs="Arial"/>
                <w:bCs/>
                <w:sz w:val="22"/>
                <w:szCs w:val="22"/>
                <w:lang w:val="hr-HR"/>
              </w:rPr>
              <w:t>-</w:t>
            </w:r>
          </w:p>
        </w:tc>
      </w:tr>
      <w:tr w:rsidR="00FE6882" w:rsidRPr="001567C8" w:rsidTr="003327E4">
        <w:trPr>
          <w:trHeight w:val="20"/>
        </w:trPr>
        <w:tc>
          <w:tcPr>
            <w:tcW w:w="2473" w:type="pct"/>
            <w:vAlign w:val="center"/>
          </w:tcPr>
          <w:p w:rsidR="00FE6882" w:rsidRPr="001567C8" w:rsidRDefault="00FE6882"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Financijska imovina po fer vrijednosti kroz</w:t>
            </w:r>
          </w:p>
          <w:p w:rsidR="00FE6882" w:rsidRPr="001567C8" w:rsidRDefault="00FE6882"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ostalu sveobuhvatnu dobit</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 xml:space="preserve">     (8.695)</w:t>
            </w:r>
          </w:p>
        </w:tc>
        <w:tc>
          <w:tcPr>
            <w:tcW w:w="633" w:type="pct"/>
            <w:tcBorders>
              <w:top w:val="nil"/>
              <w:left w:val="nil"/>
              <w:bottom w:val="nil"/>
              <w:right w:val="nil"/>
            </w:tcBorders>
            <w:shd w:val="clear" w:color="auto" w:fill="auto"/>
            <w:vAlign w:val="bottom"/>
          </w:tcPr>
          <w:p w:rsidR="00FE6882" w:rsidRPr="001567C8" w:rsidRDefault="00920EAE"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n/p</w:t>
            </w:r>
          </w:p>
        </w:tc>
        <w:tc>
          <w:tcPr>
            <w:tcW w:w="632" w:type="pct"/>
            <w:tcBorders>
              <w:top w:val="nil"/>
              <w:left w:val="nil"/>
              <w:bottom w:val="nil"/>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 xml:space="preserve">    (8.570)</w:t>
            </w:r>
          </w:p>
        </w:tc>
        <w:tc>
          <w:tcPr>
            <w:tcW w:w="632" w:type="pct"/>
            <w:tcBorders>
              <w:top w:val="nil"/>
              <w:left w:val="nil"/>
              <w:bottom w:val="nil"/>
              <w:right w:val="nil"/>
            </w:tcBorders>
            <w:shd w:val="clear" w:color="auto" w:fill="auto"/>
            <w:vAlign w:val="bottom"/>
          </w:tcPr>
          <w:p w:rsidR="00FE6882" w:rsidRPr="001567C8" w:rsidRDefault="00920EAE"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n/p</w:t>
            </w:r>
          </w:p>
        </w:tc>
      </w:tr>
      <w:tr w:rsidR="00920EAE" w:rsidRPr="001567C8" w:rsidTr="003327E4">
        <w:trPr>
          <w:trHeight w:val="20"/>
        </w:trPr>
        <w:tc>
          <w:tcPr>
            <w:tcW w:w="2473" w:type="pct"/>
            <w:vAlign w:val="center"/>
          </w:tcPr>
          <w:p w:rsidR="00920EAE" w:rsidRPr="001567C8" w:rsidRDefault="00920EAE"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Imovina raspoloživa za prodaju</w:t>
            </w:r>
          </w:p>
        </w:tc>
        <w:tc>
          <w:tcPr>
            <w:tcW w:w="632" w:type="pct"/>
            <w:tcBorders>
              <w:top w:val="nil"/>
              <w:left w:val="nil"/>
              <w:bottom w:val="nil"/>
              <w:right w:val="nil"/>
            </w:tcBorders>
            <w:shd w:val="clear" w:color="auto" w:fill="auto"/>
            <w:vAlign w:val="bottom"/>
          </w:tcPr>
          <w:p w:rsidR="00920EAE" w:rsidRPr="00CD3A2D" w:rsidRDefault="00920EAE" w:rsidP="00C72B30">
            <w:pPr>
              <w:jc w:val="right"/>
              <w:rPr>
                <w:rFonts w:asciiTheme="minorHAnsi" w:hAnsiTheme="minorHAnsi"/>
                <w:color w:val="000000"/>
                <w:sz w:val="22"/>
                <w:szCs w:val="22"/>
                <w:lang w:val="hr-HR"/>
              </w:rPr>
            </w:pPr>
            <w:r w:rsidRPr="00CD3A2D">
              <w:rPr>
                <w:rFonts w:asciiTheme="minorHAnsi" w:hAnsiTheme="minorHAnsi"/>
                <w:color w:val="000000"/>
                <w:sz w:val="22"/>
                <w:szCs w:val="22"/>
                <w:lang w:val="hr-HR"/>
              </w:rPr>
              <w:t>n/p</w:t>
            </w:r>
          </w:p>
        </w:tc>
        <w:tc>
          <w:tcPr>
            <w:tcW w:w="633" w:type="pct"/>
            <w:tcBorders>
              <w:top w:val="nil"/>
              <w:left w:val="nil"/>
              <w:bottom w:val="nil"/>
              <w:right w:val="nil"/>
            </w:tcBorders>
            <w:shd w:val="clear" w:color="auto" w:fill="auto"/>
            <w:vAlign w:val="bottom"/>
          </w:tcPr>
          <w:p w:rsidR="00920EAE" w:rsidRPr="00CD3A2D" w:rsidDel="00920EAE" w:rsidRDefault="00920EAE" w:rsidP="00C72B30">
            <w:pPr>
              <w:jc w:val="right"/>
              <w:rPr>
                <w:rFonts w:asciiTheme="minorHAnsi" w:hAnsiTheme="minorHAnsi" w:cs="Calibri"/>
                <w:color w:val="000000"/>
                <w:sz w:val="22"/>
                <w:szCs w:val="22"/>
                <w:lang w:val="hr-HR"/>
              </w:rPr>
            </w:pPr>
            <w:r w:rsidRPr="00CD3A2D">
              <w:rPr>
                <w:rFonts w:asciiTheme="minorHAnsi" w:hAnsiTheme="minorHAnsi" w:cs="Calibri"/>
                <w:color w:val="000000"/>
                <w:sz w:val="22"/>
                <w:szCs w:val="22"/>
                <w:lang w:val="hr-HR"/>
              </w:rPr>
              <w:t>(9.855)</w:t>
            </w:r>
          </w:p>
        </w:tc>
        <w:tc>
          <w:tcPr>
            <w:tcW w:w="632" w:type="pct"/>
            <w:tcBorders>
              <w:top w:val="nil"/>
              <w:left w:val="nil"/>
              <w:bottom w:val="nil"/>
              <w:right w:val="nil"/>
            </w:tcBorders>
            <w:shd w:val="clear" w:color="auto" w:fill="auto"/>
            <w:vAlign w:val="bottom"/>
          </w:tcPr>
          <w:p w:rsidR="00920EAE" w:rsidRPr="00CD3A2D" w:rsidRDefault="00920EAE" w:rsidP="00C72B30">
            <w:pPr>
              <w:jc w:val="right"/>
              <w:rPr>
                <w:rFonts w:asciiTheme="minorHAnsi" w:hAnsiTheme="minorHAnsi"/>
                <w:color w:val="000000"/>
                <w:sz w:val="22"/>
                <w:szCs w:val="22"/>
                <w:lang w:val="hr-HR"/>
              </w:rPr>
            </w:pPr>
            <w:r w:rsidRPr="00CD3A2D">
              <w:rPr>
                <w:rFonts w:asciiTheme="minorHAnsi" w:hAnsiTheme="minorHAnsi"/>
                <w:color w:val="000000"/>
                <w:sz w:val="22"/>
                <w:szCs w:val="22"/>
                <w:lang w:val="hr-HR"/>
              </w:rPr>
              <w:t>n/p</w:t>
            </w:r>
          </w:p>
        </w:tc>
        <w:tc>
          <w:tcPr>
            <w:tcW w:w="632" w:type="pct"/>
            <w:tcBorders>
              <w:top w:val="nil"/>
              <w:left w:val="nil"/>
              <w:bottom w:val="nil"/>
              <w:right w:val="nil"/>
            </w:tcBorders>
            <w:shd w:val="clear" w:color="auto" w:fill="auto"/>
            <w:vAlign w:val="bottom"/>
          </w:tcPr>
          <w:p w:rsidR="00920EAE" w:rsidRPr="00CD3A2D" w:rsidDel="00920EAE" w:rsidRDefault="00920EAE" w:rsidP="00C72B30">
            <w:pPr>
              <w:jc w:val="right"/>
              <w:rPr>
                <w:rFonts w:asciiTheme="minorHAnsi" w:hAnsiTheme="minorHAnsi" w:cs="Calibri"/>
                <w:color w:val="000000"/>
                <w:sz w:val="22"/>
                <w:szCs w:val="22"/>
                <w:lang w:val="hr-HR"/>
              </w:rPr>
            </w:pPr>
            <w:r w:rsidRPr="00CD3A2D">
              <w:rPr>
                <w:rFonts w:asciiTheme="minorHAnsi" w:hAnsiTheme="minorHAnsi" w:cs="Calibri"/>
                <w:color w:val="000000"/>
                <w:sz w:val="22"/>
                <w:szCs w:val="22"/>
                <w:lang w:val="hr-HR"/>
              </w:rPr>
              <w:t>(9.764)</w:t>
            </w:r>
          </w:p>
        </w:tc>
      </w:tr>
      <w:tr w:rsidR="00FE6882" w:rsidRPr="001567C8" w:rsidTr="003327E4">
        <w:trPr>
          <w:trHeight w:val="20"/>
        </w:trPr>
        <w:tc>
          <w:tcPr>
            <w:tcW w:w="2473" w:type="pct"/>
            <w:vAlign w:val="center"/>
          </w:tcPr>
          <w:p w:rsidR="00FE6882" w:rsidRPr="001567C8" w:rsidRDefault="00FE6882"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Ostalo</w:t>
            </w:r>
          </w:p>
        </w:tc>
        <w:tc>
          <w:tcPr>
            <w:tcW w:w="632" w:type="pct"/>
            <w:tcBorders>
              <w:top w:val="nil"/>
              <w:left w:val="nil"/>
              <w:bottom w:val="single" w:sz="4" w:space="0" w:color="auto"/>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 xml:space="preserve">   1.170 </w:t>
            </w:r>
          </w:p>
        </w:tc>
        <w:tc>
          <w:tcPr>
            <w:tcW w:w="633" w:type="pct"/>
            <w:tcBorders>
              <w:top w:val="nil"/>
              <w:left w:val="nil"/>
              <w:bottom w:val="single" w:sz="4" w:space="0" w:color="auto"/>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 xml:space="preserve">        (72)</w:t>
            </w:r>
          </w:p>
        </w:tc>
        <w:tc>
          <w:tcPr>
            <w:tcW w:w="632" w:type="pct"/>
            <w:tcBorders>
              <w:top w:val="nil"/>
              <w:left w:val="nil"/>
              <w:bottom w:val="single" w:sz="4" w:space="0" w:color="auto"/>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olor w:val="000000"/>
                <w:sz w:val="22"/>
                <w:szCs w:val="22"/>
                <w:lang w:val="hr-HR"/>
              </w:rPr>
              <w:t xml:space="preserve">    1.170 </w:t>
            </w:r>
          </w:p>
        </w:tc>
        <w:tc>
          <w:tcPr>
            <w:tcW w:w="632" w:type="pct"/>
            <w:tcBorders>
              <w:top w:val="nil"/>
              <w:left w:val="nil"/>
              <w:bottom w:val="single" w:sz="4" w:space="0" w:color="auto"/>
              <w:right w:val="nil"/>
            </w:tcBorders>
            <w:shd w:val="clear" w:color="auto" w:fill="auto"/>
            <w:vAlign w:val="bottom"/>
          </w:tcPr>
          <w:p w:rsidR="00FE6882" w:rsidRPr="001567C8" w:rsidRDefault="00FE6882"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 xml:space="preserve">         (72)</w:t>
            </w:r>
          </w:p>
        </w:tc>
      </w:tr>
      <w:tr w:rsidR="003A73AB" w:rsidRPr="001567C8" w:rsidTr="003327E4">
        <w:trPr>
          <w:trHeight w:val="118"/>
        </w:trPr>
        <w:tc>
          <w:tcPr>
            <w:tcW w:w="2473" w:type="pct"/>
          </w:tcPr>
          <w:p w:rsidR="003A73AB" w:rsidRPr="001567C8" w:rsidRDefault="003A73AB" w:rsidP="00C72B30">
            <w:pPr>
              <w:pStyle w:val="TT"/>
              <w:spacing w:line="360" w:lineRule="auto"/>
              <w:rPr>
                <w:rFonts w:asciiTheme="minorHAnsi" w:hAnsiTheme="minorHAnsi" w:cs="Arial"/>
                <w:sz w:val="22"/>
                <w:szCs w:val="22"/>
                <w:lang w:val="hr-HR"/>
              </w:rPr>
            </w:pPr>
          </w:p>
        </w:tc>
        <w:tc>
          <w:tcPr>
            <w:tcW w:w="632" w:type="pct"/>
            <w:tcBorders>
              <w:top w:val="single" w:sz="4" w:space="0" w:color="auto"/>
              <w:bottom w:val="single" w:sz="4" w:space="0" w:color="auto"/>
            </w:tcBorders>
            <w:vAlign w:val="bottom"/>
          </w:tcPr>
          <w:p w:rsidR="003A73AB" w:rsidRPr="001567C8" w:rsidRDefault="00732D16" w:rsidP="00C72B30">
            <w:pPr>
              <w:jc w:val="right"/>
              <w:rPr>
                <w:rFonts w:asciiTheme="minorHAnsi" w:hAnsiTheme="minorHAnsi" w:cs="Arial"/>
                <w:bCs/>
                <w:sz w:val="22"/>
                <w:szCs w:val="22"/>
                <w:lang w:val="hr-HR"/>
              </w:rPr>
            </w:pPr>
            <w:r w:rsidRPr="001567C8">
              <w:rPr>
                <w:rFonts w:asciiTheme="minorHAnsi" w:hAnsiTheme="minorHAnsi" w:cs="Arial"/>
                <w:bCs/>
                <w:sz w:val="22"/>
                <w:szCs w:val="22"/>
                <w:lang w:val="hr-HR"/>
              </w:rPr>
              <w:t>(165.031)</w:t>
            </w:r>
          </w:p>
        </w:tc>
        <w:tc>
          <w:tcPr>
            <w:tcW w:w="633" w:type="pct"/>
            <w:tcBorders>
              <w:top w:val="single" w:sz="4" w:space="0" w:color="auto"/>
              <w:bottom w:val="single" w:sz="4" w:space="0" w:color="auto"/>
            </w:tcBorders>
            <w:vAlign w:val="bottom"/>
          </w:tcPr>
          <w:p w:rsidR="003A73AB" w:rsidRPr="001567C8" w:rsidRDefault="003A73AB" w:rsidP="00C72B30">
            <w:pPr>
              <w:jc w:val="right"/>
              <w:rPr>
                <w:rFonts w:asciiTheme="minorHAnsi" w:hAnsiTheme="minorHAnsi" w:cs="Arial"/>
                <w:bCs/>
                <w:sz w:val="22"/>
                <w:szCs w:val="22"/>
                <w:lang w:val="hr-HR"/>
              </w:rPr>
            </w:pPr>
            <w:r w:rsidRPr="001567C8">
              <w:rPr>
                <w:rFonts w:asciiTheme="minorHAnsi" w:hAnsiTheme="minorHAnsi" w:cs="Arial"/>
                <w:bCs/>
                <w:sz w:val="22"/>
                <w:szCs w:val="22"/>
                <w:lang w:val="hr-HR"/>
              </w:rPr>
              <w:t>(168.768)</w:t>
            </w:r>
          </w:p>
        </w:tc>
        <w:tc>
          <w:tcPr>
            <w:tcW w:w="632" w:type="pct"/>
            <w:tcBorders>
              <w:top w:val="single" w:sz="4" w:space="0" w:color="auto"/>
              <w:bottom w:val="single" w:sz="4" w:space="0" w:color="auto"/>
            </w:tcBorders>
            <w:vAlign w:val="bottom"/>
          </w:tcPr>
          <w:p w:rsidR="003A73AB" w:rsidRPr="001567C8" w:rsidRDefault="00732D16" w:rsidP="00C72B30">
            <w:pPr>
              <w:jc w:val="right"/>
              <w:rPr>
                <w:rFonts w:asciiTheme="minorHAnsi" w:hAnsiTheme="minorHAnsi" w:cs="Arial"/>
                <w:bCs/>
                <w:sz w:val="22"/>
                <w:szCs w:val="22"/>
                <w:lang w:val="hr-HR"/>
              </w:rPr>
            </w:pPr>
            <w:r w:rsidRPr="001567C8">
              <w:rPr>
                <w:rFonts w:asciiTheme="minorHAnsi" w:hAnsiTheme="minorHAnsi" w:cs="Arial"/>
                <w:bCs/>
                <w:sz w:val="22"/>
                <w:szCs w:val="22"/>
                <w:lang w:val="hr-HR"/>
              </w:rPr>
              <w:t>(164.887)</w:t>
            </w:r>
          </w:p>
        </w:tc>
        <w:tc>
          <w:tcPr>
            <w:tcW w:w="632" w:type="pct"/>
            <w:tcBorders>
              <w:top w:val="single" w:sz="4" w:space="0" w:color="auto"/>
              <w:bottom w:val="single" w:sz="4" w:space="0" w:color="auto"/>
            </w:tcBorders>
            <w:vAlign w:val="bottom"/>
          </w:tcPr>
          <w:p w:rsidR="003A73AB" w:rsidRPr="001567C8" w:rsidRDefault="003A73AB" w:rsidP="00C72B30">
            <w:pPr>
              <w:jc w:val="right"/>
              <w:rPr>
                <w:rFonts w:asciiTheme="minorHAnsi" w:hAnsiTheme="minorHAnsi" w:cs="Arial"/>
                <w:bCs/>
                <w:sz w:val="22"/>
                <w:szCs w:val="22"/>
                <w:lang w:val="hr-HR"/>
              </w:rPr>
            </w:pPr>
            <w:r w:rsidRPr="001567C8">
              <w:rPr>
                <w:rFonts w:asciiTheme="minorHAnsi" w:hAnsiTheme="minorHAnsi" w:cs="Arial"/>
                <w:bCs/>
                <w:sz w:val="22"/>
                <w:szCs w:val="22"/>
                <w:lang w:val="hr-HR"/>
              </w:rPr>
              <w:t>(168.679)</w:t>
            </w:r>
          </w:p>
        </w:tc>
      </w:tr>
      <w:tr w:rsidR="003A73AB" w:rsidRPr="001567C8" w:rsidTr="003327E4">
        <w:trPr>
          <w:trHeight w:val="20"/>
        </w:trPr>
        <w:tc>
          <w:tcPr>
            <w:tcW w:w="2473" w:type="pct"/>
          </w:tcPr>
          <w:p w:rsidR="003A73AB" w:rsidRPr="001567C8" w:rsidRDefault="003A73AB"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Neto dobit/(gubitak) od tečajnih razlika s osnova obveza nominiranih u stranoj valuti:</w:t>
            </w:r>
          </w:p>
        </w:tc>
        <w:tc>
          <w:tcPr>
            <w:tcW w:w="632" w:type="pct"/>
            <w:tcBorders>
              <w:top w:val="single" w:sz="4" w:space="0" w:color="auto"/>
            </w:tcBorders>
            <w:vAlign w:val="bottom"/>
          </w:tcPr>
          <w:p w:rsidR="003A73AB" w:rsidRPr="001567C8" w:rsidRDefault="003A73AB" w:rsidP="00C72B30">
            <w:pPr>
              <w:jc w:val="right"/>
              <w:rPr>
                <w:rFonts w:asciiTheme="minorHAnsi" w:hAnsiTheme="minorHAnsi" w:cs="Arial"/>
                <w:bCs/>
                <w:sz w:val="22"/>
                <w:szCs w:val="22"/>
                <w:lang w:val="hr-HR"/>
              </w:rPr>
            </w:pPr>
          </w:p>
        </w:tc>
        <w:tc>
          <w:tcPr>
            <w:tcW w:w="633" w:type="pct"/>
            <w:tcBorders>
              <w:top w:val="single" w:sz="4" w:space="0" w:color="auto"/>
            </w:tcBorders>
            <w:vAlign w:val="bottom"/>
          </w:tcPr>
          <w:p w:rsidR="003A73AB" w:rsidRPr="001567C8" w:rsidRDefault="003A73AB" w:rsidP="00C72B30">
            <w:pPr>
              <w:jc w:val="right"/>
              <w:rPr>
                <w:rFonts w:asciiTheme="minorHAnsi" w:hAnsiTheme="minorHAnsi" w:cs="Arial"/>
                <w:bCs/>
                <w:sz w:val="22"/>
                <w:szCs w:val="22"/>
                <w:lang w:val="hr-HR"/>
              </w:rPr>
            </w:pPr>
          </w:p>
        </w:tc>
        <w:tc>
          <w:tcPr>
            <w:tcW w:w="632" w:type="pct"/>
            <w:tcBorders>
              <w:top w:val="single" w:sz="4" w:space="0" w:color="auto"/>
            </w:tcBorders>
            <w:vAlign w:val="bottom"/>
          </w:tcPr>
          <w:p w:rsidR="003A73AB" w:rsidRPr="001567C8" w:rsidRDefault="003A73AB" w:rsidP="00C72B30">
            <w:pPr>
              <w:jc w:val="right"/>
              <w:rPr>
                <w:rFonts w:asciiTheme="minorHAnsi" w:hAnsiTheme="minorHAnsi" w:cs="Arial"/>
                <w:bCs/>
                <w:sz w:val="22"/>
                <w:szCs w:val="22"/>
                <w:lang w:val="hr-HR"/>
              </w:rPr>
            </w:pPr>
          </w:p>
        </w:tc>
        <w:tc>
          <w:tcPr>
            <w:tcW w:w="632" w:type="pct"/>
            <w:tcBorders>
              <w:top w:val="single" w:sz="4" w:space="0" w:color="auto"/>
            </w:tcBorders>
            <w:vAlign w:val="bottom"/>
          </w:tcPr>
          <w:p w:rsidR="003A73AB" w:rsidRPr="001567C8" w:rsidRDefault="003A73AB" w:rsidP="00C72B30">
            <w:pPr>
              <w:jc w:val="right"/>
              <w:rPr>
                <w:rFonts w:asciiTheme="minorHAnsi" w:hAnsiTheme="minorHAnsi" w:cs="Arial"/>
                <w:bCs/>
                <w:sz w:val="22"/>
                <w:szCs w:val="22"/>
                <w:lang w:val="hr-HR"/>
              </w:rPr>
            </w:pPr>
          </w:p>
        </w:tc>
      </w:tr>
      <w:tr w:rsidR="00732D16" w:rsidRPr="001567C8" w:rsidTr="003327E4">
        <w:trPr>
          <w:trHeight w:val="151"/>
        </w:trPr>
        <w:tc>
          <w:tcPr>
            <w:tcW w:w="2473" w:type="pct"/>
          </w:tcPr>
          <w:p w:rsidR="00732D16" w:rsidRPr="001567C8" w:rsidRDefault="00732D16"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Obveze po depozitima</w:t>
            </w:r>
          </w:p>
        </w:tc>
        <w:tc>
          <w:tcPr>
            <w:tcW w:w="632" w:type="pct"/>
            <w:tcBorders>
              <w:top w:val="nil"/>
              <w:left w:val="nil"/>
              <w:bottom w:val="nil"/>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sz w:val="22"/>
                <w:szCs w:val="22"/>
                <w:lang w:val="hr-HR"/>
              </w:rPr>
              <w:t xml:space="preserve"> 4.836 </w:t>
            </w:r>
          </w:p>
        </w:tc>
        <w:tc>
          <w:tcPr>
            <w:tcW w:w="633" w:type="pct"/>
            <w:tcBorders>
              <w:top w:val="nil"/>
              <w:left w:val="nil"/>
              <w:bottom w:val="nil"/>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 xml:space="preserve">            322 </w:t>
            </w:r>
          </w:p>
        </w:tc>
        <w:tc>
          <w:tcPr>
            <w:tcW w:w="632" w:type="pct"/>
            <w:tcBorders>
              <w:top w:val="nil"/>
              <w:left w:val="nil"/>
              <w:bottom w:val="nil"/>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sz w:val="22"/>
                <w:szCs w:val="22"/>
                <w:lang w:val="hr-HR"/>
              </w:rPr>
              <w:t>4.836</w:t>
            </w:r>
          </w:p>
        </w:tc>
        <w:tc>
          <w:tcPr>
            <w:tcW w:w="632" w:type="pct"/>
            <w:tcBorders>
              <w:top w:val="nil"/>
              <w:left w:val="nil"/>
              <w:bottom w:val="nil"/>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322</w:t>
            </w:r>
          </w:p>
        </w:tc>
      </w:tr>
      <w:tr w:rsidR="00732D16" w:rsidRPr="001567C8" w:rsidTr="003327E4">
        <w:trPr>
          <w:trHeight w:val="20"/>
        </w:trPr>
        <w:tc>
          <w:tcPr>
            <w:tcW w:w="2473" w:type="pct"/>
          </w:tcPr>
          <w:p w:rsidR="00732D16" w:rsidRPr="001567C8" w:rsidRDefault="00732D16" w:rsidP="00C72B30">
            <w:pPr>
              <w:pStyle w:val="TT"/>
              <w:ind w:left="142" w:hanging="142"/>
              <w:rPr>
                <w:rFonts w:asciiTheme="minorHAnsi" w:hAnsiTheme="minorHAnsi" w:cs="Arial"/>
                <w:sz w:val="22"/>
                <w:szCs w:val="22"/>
                <w:lang w:val="hr-HR"/>
              </w:rPr>
            </w:pPr>
            <w:r w:rsidRPr="001567C8">
              <w:rPr>
                <w:rFonts w:asciiTheme="minorHAnsi" w:hAnsiTheme="minorHAnsi" w:cs="Arial"/>
                <w:sz w:val="22"/>
                <w:szCs w:val="22"/>
                <w:lang w:val="hr-HR"/>
              </w:rPr>
              <w:t xml:space="preserve">   Obveze po kreditima i izdanim dugoročnim  vrijednosnim papirima</w:t>
            </w:r>
          </w:p>
        </w:tc>
        <w:tc>
          <w:tcPr>
            <w:tcW w:w="632" w:type="pct"/>
            <w:tcBorders>
              <w:top w:val="nil"/>
              <w:left w:val="nil"/>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sz w:val="22"/>
                <w:szCs w:val="22"/>
                <w:lang w:val="hr-HR"/>
              </w:rPr>
              <w:t xml:space="preserve"> 178.007 </w:t>
            </w:r>
          </w:p>
        </w:tc>
        <w:tc>
          <w:tcPr>
            <w:tcW w:w="633" w:type="pct"/>
            <w:tcBorders>
              <w:top w:val="nil"/>
              <w:left w:val="nil"/>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 xml:space="preserve">          144.257 </w:t>
            </w:r>
          </w:p>
        </w:tc>
        <w:tc>
          <w:tcPr>
            <w:tcW w:w="632" w:type="pct"/>
            <w:tcBorders>
              <w:top w:val="nil"/>
              <w:left w:val="nil"/>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sz w:val="22"/>
                <w:szCs w:val="22"/>
                <w:lang w:val="hr-HR"/>
              </w:rPr>
              <w:t>178.007</w:t>
            </w:r>
          </w:p>
        </w:tc>
        <w:tc>
          <w:tcPr>
            <w:tcW w:w="632" w:type="pct"/>
            <w:tcBorders>
              <w:top w:val="nil"/>
              <w:left w:val="nil"/>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144.257</w:t>
            </w:r>
          </w:p>
        </w:tc>
      </w:tr>
      <w:tr w:rsidR="00732D16" w:rsidRPr="001567C8" w:rsidTr="003327E4">
        <w:trPr>
          <w:trHeight w:val="120"/>
        </w:trPr>
        <w:tc>
          <w:tcPr>
            <w:tcW w:w="2473" w:type="pct"/>
          </w:tcPr>
          <w:p w:rsidR="00732D16" w:rsidRPr="001567C8" w:rsidRDefault="00732D16"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   Ostalo</w:t>
            </w:r>
          </w:p>
        </w:tc>
        <w:tc>
          <w:tcPr>
            <w:tcW w:w="632" w:type="pct"/>
            <w:tcBorders>
              <w:top w:val="nil"/>
              <w:left w:val="nil"/>
              <w:bottom w:val="single" w:sz="4" w:space="0" w:color="auto"/>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sz w:val="22"/>
                <w:szCs w:val="22"/>
                <w:lang w:val="hr-HR"/>
              </w:rPr>
              <w:t xml:space="preserve"> (1.483)</w:t>
            </w:r>
          </w:p>
        </w:tc>
        <w:tc>
          <w:tcPr>
            <w:tcW w:w="633" w:type="pct"/>
            <w:tcBorders>
              <w:top w:val="nil"/>
              <w:left w:val="nil"/>
              <w:bottom w:val="single" w:sz="4" w:space="0" w:color="auto"/>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 xml:space="preserve">           667 </w:t>
            </w:r>
          </w:p>
        </w:tc>
        <w:tc>
          <w:tcPr>
            <w:tcW w:w="632" w:type="pct"/>
            <w:tcBorders>
              <w:top w:val="nil"/>
              <w:left w:val="nil"/>
              <w:bottom w:val="single" w:sz="4" w:space="0" w:color="auto"/>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sz w:val="22"/>
                <w:szCs w:val="22"/>
                <w:lang w:val="hr-HR"/>
              </w:rPr>
              <w:t xml:space="preserve"> (1.397)</w:t>
            </w:r>
          </w:p>
        </w:tc>
        <w:tc>
          <w:tcPr>
            <w:tcW w:w="632" w:type="pct"/>
            <w:tcBorders>
              <w:top w:val="nil"/>
              <w:left w:val="nil"/>
              <w:bottom w:val="single" w:sz="4" w:space="0" w:color="auto"/>
              <w:right w:val="nil"/>
            </w:tcBorders>
            <w:shd w:val="clear" w:color="auto" w:fill="auto"/>
            <w:vAlign w:val="bottom"/>
          </w:tcPr>
          <w:p w:rsidR="00732D16" w:rsidRPr="001567C8" w:rsidRDefault="00732D16" w:rsidP="00C72B30">
            <w:pPr>
              <w:jc w:val="right"/>
              <w:rPr>
                <w:rFonts w:asciiTheme="minorHAnsi" w:hAnsiTheme="minorHAnsi" w:cs="Arial"/>
                <w:bCs/>
                <w:sz w:val="22"/>
                <w:szCs w:val="22"/>
                <w:lang w:val="hr-HR"/>
              </w:rPr>
            </w:pPr>
            <w:r w:rsidRPr="00CD3A2D">
              <w:rPr>
                <w:rFonts w:asciiTheme="minorHAnsi" w:hAnsiTheme="minorHAnsi" w:cs="Calibri"/>
                <w:color w:val="000000"/>
                <w:sz w:val="22"/>
                <w:szCs w:val="22"/>
                <w:lang w:val="hr-HR"/>
              </w:rPr>
              <w:t xml:space="preserve">            671 </w:t>
            </w:r>
          </w:p>
        </w:tc>
      </w:tr>
      <w:tr w:rsidR="003A73AB" w:rsidRPr="001567C8" w:rsidTr="003327E4">
        <w:trPr>
          <w:trHeight w:val="121"/>
        </w:trPr>
        <w:tc>
          <w:tcPr>
            <w:tcW w:w="2473" w:type="pct"/>
          </w:tcPr>
          <w:p w:rsidR="003A73AB" w:rsidRPr="001567C8" w:rsidRDefault="003A73AB" w:rsidP="00C72B30">
            <w:pPr>
              <w:pStyle w:val="TT"/>
              <w:spacing w:line="360" w:lineRule="auto"/>
              <w:rPr>
                <w:rFonts w:asciiTheme="minorHAnsi" w:hAnsiTheme="minorHAnsi" w:cs="Arial"/>
                <w:i/>
                <w:sz w:val="22"/>
                <w:szCs w:val="22"/>
                <w:lang w:val="hr-HR"/>
              </w:rPr>
            </w:pPr>
          </w:p>
        </w:tc>
        <w:tc>
          <w:tcPr>
            <w:tcW w:w="632" w:type="pct"/>
            <w:tcBorders>
              <w:top w:val="single" w:sz="4" w:space="0" w:color="auto"/>
              <w:left w:val="nil"/>
              <w:bottom w:val="single" w:sz="4" w:space="0" w:color="auto"/>
              <w:right w:val="nil"/>
            </w:tcBorders>
            <w:shd w:val="clear" w:color="auto" w:fill="auto"/>
            <w:vAlign w:val="bottom"/>
          </w:tcPr>
          <w:p w:rsidR="003A73AB" w:rsidRPr="001567C8" w:rsidRDefault="00732D16" w:rsidP="00C72B30">
            <w:pPr>
              <w:jc w:val="right"/>
              <w:rPr>
                <w:rFonts w:asciiTheme="minorHAnsi" w:hAnsiTheme="minorHAnsi" w:cs="Arial"/>
                <w:bCs/>
                <w:noProof/>
                <w:sz w:val="22"/>
                <w:szCs w:val="22"/>
                <w:lang w:val="hr-HR" w:eastAsia="hr-HR"/>
              </w:rPr>
            </w:pPr>
            <w:r w:rsidRPr="001567C8">
              <w:rPr>
                <w:rFonts w:asciiTheme="minorHAnsi" w:hAnsiTheme="minorHAnsi" w:cs="Arial"/>
                <w:bCs/>
                <w:noProof/>
                <w:sz w:val="22"/>
                <w:szCs w:val="22"/>
                <w:lang w:val="hr-HR" w:eastAsia="hr-HR"/>
              </w:rPr>
              <w:t>181.360</w:t>
            </w:r>
          </w:p>
        </w:tc>
        <w:tc>
          <w:tcPr>
            <w:tcW w:w="633" w:type="pct"/>
            <w:tcBorders>
              <w:top w:val="single" w:sz="4" w:space="0" w:color="auto"/>
              <w:left w:val="nil"/>
              <w:bottom w:val="single" w:sz="4" w:space="0" w:color="auto"/>
              <w:right w:val="nil"/>
            </w:tcBorders>
            <w:shd w:val="clear" w:color="auto" w:fill="auto"/>
            <w:vAlign w:val="bottom"/>
          </w:tcPr>
          <w:p w:rsidR="003A73AB" w:rsidRPr="001567C8" w:rsidRDefault="003A73AB" w:rsidP="00C72B30">
            <w:pPr>
              <w:jc w:val="right"/>
              <w:rPr>
                <w:rFonts w:asciiTheme="minorHAnsi" w:hAnsiTheme="minorHAnsi" w:cs="Arial"/>
                <w:bCs/>
                <w:noProof/>
                <w:sz w:val="22"/>
                <w:szCs w:val="22"/>
                <w:lang w:val="hr-HR" w:eastAsia="hr-HR"/>
              </w:rPr>
            </w:pPr>
            <w:r w:rsidRPr="001567C8">
              <w:rPr>
                <w:rFonts w:asciiTheme="minorHAnsi" w:hAnsiTheme="minorHAnsi" w:cs="Arial"/>
                <w:bCs/>
                <w:noProof/>
                <w:sz w:val="22"/>
                <w:szCs w:val="22"/>
                <w:lang w:val="hr-HR" w:eastAsia="hr-HR"/>
              </w:rPr>
              <w:t>145.246</w:t>
            </w:r>
          </w:p>
        </w:tc>
        <w:tc>
          <w:tcPr>
            <w:tcW w:w="632" w:type="pct"/>
            <w:tcBorders>
              <w:top w:val="single" w:sz="4" w:space="0" w:color="auto"/>
              <w:left w:val="nil"/>
              <w:bottom w:val="single" w:sz="4" w:space="0" w:color="auto"/>
              <w:right w:val="nil"/>
            </w:tcBorders>
            <w:shd w:val="clear" w:color="auto" w:fill="auto"/>
            <w:vAlign w:val="bottom"/>
          </w:tcPr>
          <w:p w:rsidR="003A73AB" w:rsidRPr="001567C8" w:rsidRDefault="00732D16" w:rsidP="00C72B30">
            <w:pPr>
              <w:jc w:val="right"/>
              <w:rPr>
                <w:rFonts w:asciiTheme="minorHAnsi" w:hAnsiTheme="minorHAnsi" w:cs="Arial"/>
                <w:bCs/>
                <w:noProof/>
                <w:sz w:val="22"/>
                <w:szCs w:val="22"/>
                <w:lang w:val="hr-HR" w:eastAsia="hr-HR"/>
              </w:rPr>
            </w:pPr>
            <w:r w:rsidRPr="001567C8">
              <w:rPr>
                <w:rFonts w:asciiTheme="minorHAnsi" w:hAnsiTheme="minorHAnsi" w:cs="Arial"/>
                <w:bCs/>
                <w:noProof/>
                <w:sz w:val="22"/>
                <w:szCs w:val="22"/>
                <w:lang w:val="hr-HR" w:eastAsia="hr-HR"/>
              </w:rPr>
              <w:t>181.446</w:t>
            </w:r>
          </w:p>
        </w:tc>
        <w:tc>
          <w:tcPr>
            <w:tcW w:w="632" w:type="pct"/>
            <w:tcBorders>
              <w:top w:val="single" w:sz="4" w:space="0" w:color="auto"/>
              <w:left w:val="nil"/>
              <w:bottom w:val="single" w:sz="4" w:space="0" w:color="auto"/>
              <w:right w:val="nil"/>
            </w:tcBorders>
            <w:shd w:val="clear" w:color="auto" w:fill="auto"/>
            <w:vAlign w:val="bottom"/>
          </w:tcPr>
          <w:p w:rsidR="003A73AB" w:rsidRPr="001567C8" w:rsidRDefault="003A73AB" w:rsidP="00C72B30">
            <w:pPr>
              <w:jc w:val="right"/>
              <w:rPr>
                <w:rFonts w:asciiTheme="minorHAnsi" w:hAnsiTheme="minorHAnsi" w:cs="Arial"/>
                <w:bCs/>
                <w:noProof/>
                <w:sz w:val="22"/>
                <w:szCs w:val="22"/>
                <w:lang w:val="hr-HR" w:eastAsia="hr-HR"/>
              </w:rPr>
            </w:pPr>
            <w:r w:rsidRPr="001567C8">
              <w:rPr>
                <w:rFonts w:asciiTheme="minorHAnsi" w:hAnsiTheme="minorHAnsi" w:cs="Arial"/>
                <w:bCs/>
                <w:noProof/>
                <w:sz w:val="22"/>
                <w:szCs w:val="22"/>
                <w:lang w:val="hr-HR" w:eastAsia="hr-HR"/>
              </w:rPr>
              <w:t>145.250</w:t>
            </w:r>
          </w:p>
        </w:tc>
      </w:tr>
      <w:tr w:rsidR="00732D16" w:rsidRPr="001567C8" w:rsidTr="003327E4">
        <w:trPr>
          <w:trHeight w:val="120"/>
        </w:trPr>
        <w:tc>
          <w:tcPr>
            <w:tcW w:w="2473" w:type="pct"/>
          </w:tcPr>
          <w:p w:rsidR="00732D16" w:rsidRPr="001567C8" w:rsidRDefault="00732D16" w:rsidP="00C72B30">
            <w:pPr>
              <w:pStyle w:val="TT"/>
              <w:rPr>
                <w:rFonts w:asciiTheme="minorHAnsi" w:hAnsiTheme="minorHAnsi" w:cs="Arial"/>
                <w:b/>
                <w:sz w:val="22"/>
                <w:szCs w:val="22"/>
                <w:lang w:val="hr-HR"/>
              </w:rPr>
            </w:pPr>
            <w:r w:rsidRPr="001567C8">
              <w:rPr>
                <w:rFonts w:asciiTheme="minorHAnsi" w:hAnsiTheme="minorHAnsi" w:cs="Arial"/>
                <w:b/>
                <w:sz w:val="22"/>
                <w:szCs w:val="22"/>
                <w:lang w:val="hr-HR"/>
              </w:rPr>
              <w:t>Neto dobit</w:t>
            </w:r>
            <w:r w:rsidR="00E365BF" w:rsidRPr="001567C8">
              <w:rPr>
                <w:rFonts w:asciiTheme="minorHAnsi" w:hAnsiTheme="minorHAnsi" w:cs="Arial"/>
                <w:b/>
                <w:sz w:val="22"/>
                <w:szCs w:val="22"/>
                <w:lang w:val="hr-HR"/>
              </w:rPr>
              <w:t>/(gubitak)</w:t>
            </w:r>
            <w:r w:rsidRPr="001567C8">
              <w:rPr>
                <w:rFonts w:asciiTheme="minorHAnsi" w:hAnsiTheme="minorHAnsi" w:cs="Arial"/>
                <w:b/>
                <w:sz w:val="22"/>
                <w:szCs w:val="22"/>
                <w:lang w:val="hr-HR"/>
              </w:rPr>
              <w:t xml:space="preserve"> od tečajnih razlika s osnova imovine i obveza nominiranih u stranoj valuti</w:t>
            </w:r>
          </w:p>
        </w:tc>
        <w:tc>
          <w:tcPr>
            <w:tcW w:w="632" w:type="pct"/>
            <w:tcBorders>
              <w:top w:val="single" w:sz="4" w:space="0" w:color="auto"/>
              <w:left w:val="nil"/>
              <w:bottom w:val="single" w:sz="12" w:space="0" w:color="auto"/>
              <w:right w:val="nil"/>
            </w:tcBorders>
            <w:shd w:val="clear" w:color="auto" w:fill="auto"/>
            <w:vAlign w:val="bottom"/>
          </w:tcPr>
          <w:p w:rsidR="00732D16" w:rsidRPr="001567C8" w:rsidRDefault="00732D16" w:rsidP="00C72B30">
            <w:pPr>
              <w:jc w:val="right"/>
              <w:rPr>
                <w:rFonts w:asciiTheme="minorHAnsi" w:hAnsiTheme="minorHAnsi" w:cs="Arial"/>
                <w:b/>
                <w:bCs/>
                <w:sz w:val="22"/>
                <w:szCs w:val="22"/>
                <w:lang w:val="hr-HR"/>
              </w:rPr>
            </w:pPr>
            <w:r w:rsidRPr="00CD3A2D">
              <w:rPr>
                <w:rFonts w:asciiTheme="minorHAnsi" w:hAnsiTheme="minorHAnsi"/>
                <w:b/>
                <w:bCs/>
                <w:color w:val="000000"/>
                <w:sz w:val="22"/>
                <w:szCs w:val="22"/>
                <w:lang w:val="hr-HR"/>
              </w:rPr>
              <w:t xml:space="preserve">            16.329 </w:t>
            </w:r>
          </w:p>
        </w:tc>
        <w:tc>
          <w:tcPr>
            <w:tcW w:w="633" w:type="pct"/>
            <w:tcBorders>
              <w:top w:val="single" w:sz="4" w:space="0" w:color="auto"/>
              <w:left w:val="nil"/>
              <w:bottom w:val="single" w:sz="12" w:space="0" w:color="auto"/>
              <w:right w:val="nil"/>
            </w:tcBorders>
            <w:shd w:val="clear" w:color="auto" w:fill="auto"/>
            <w:vAlign w:val="bottom"/>
          </w:tcPr>
          <w:p w:rsidR="00732D16" w:rsidRPr="001567C8" w:rsidRDefault="00732D16" w:rsidP="00C72B30">
            <w:pPr>
              <w:jc w:val="right"/>
              <w:rPr>
                <w:rFonts w:asciiTheme="minorHAnsi" w:hAnsiTheme="minorHAnsi" w:cs="Arial"/>
                <w:b/>
                <w:bCs/>
                <w:sz w:val="22"/>
                <w:szCs w:val="22"/>
                <w:lang w:val="hr-HR"/>
              </w:rPr>
            </w:pPr>
            <w:r w:rsidRPr="00CD3A2D">
              <w:rPr>
                <w:rFonts w:asciiTheme="minorHAnsi" w:hAnsiTheme="minorHAnsi" w:cs="Calibri"/>
                <w:b/>
                <w:bCs/>
                <w:color w:val="000000"/>
                <w:sz w:val="22"/>
                <w:szCs w:val="22"/>
                <w:lang w:val="hr-HR"/>
              </w:rPr>
              <w:t xml:space="preserve">          (23.522)</w:t>
            </w:r>
          </w:p>
        </w:tc>
        <w:tc>
          <w:tcPr>
            <w:tcW w:w="632" w:type="pct"/>
            <w:tcBorders>
              <w:top w:val="single" w:sz="4" w:space="0" w:color="auto"/>
              <w:left w:val="nil"/>
              <w:bottom w:val="single" w:sz="12" w:space="0" w:color="auto"/>
              <w:right w:val="nil"/>
            </w:tcBorders>
            <w:shd w:val="clear" w:color="auto" w:fill="auto"/>
            <w:vAlign w:val="bottom"/>
          </w:tcPr>
          <w:p w:rsidR="00732D16" w:rsidRPr="001567C8" w:rsidRDefault="00732D16" w:rsidP="00C72B30">
            <w:pPr>
              <w:jc w:val="right"/>
              <w:rPr>
                <w:rFonts w:asciiTheme="minorHAnsi" w:hAnsiTheme="minorHAnsi" w:cs="Arial"/>
                <w:b/>
                <w:bCs/>
                <w:sz w:val="22"/>
                <w:szCs w:val="22"/>
                <w:lang w:val="hr-HR"/>
              </w:rPr>
            </w:pPr>
            <w:r w:rsidRPr="00CD3A2D">
              <w:rPr>
                <w:rFonts w:asciiTheme="minorHAnsi" w:hAnsiTheme="minorHAnsi"/>
                <w:b/>
                <w:sz w:val="22"/>
                <w:szCs w:val="22"/>
                <w:lang w:val="hr-HR"/>
              </w:rPr>
              <w:t xml:space="preserve"> 16.559 </w:t>
            </w:r>
          </w:p>
        </w:tc>
        <w:tc>
          <w:tcPr>
            <w:tcW w:w="632" w:type="pct"/>
            <w:tcBorders>
              <w:top w:val="single" w:sz="4" w:space="0" w:color="auto"/>
              <w:left w:val="nil"/>
              <w:bottom w:val="single" w:sz="12" w:space="0" w:color="auto"/>
              <w:right w:val="nil"/>
            </w:tcBorders>
            <w:shd w:val="clear" w:color="auto" w:fill="auto"/>
            <w:vAlign w:val="bottom"/>
          </w:tcPr>
          <w:p w:rsidR="00732D16" w:rsidRPr="001567C8" w:rsidRDefault="00732D16" w:rsidP="00C72B30">
            <w:pPr>
              <w:jc w:val="right"/>
              <w:rPr>
                <w:rFonts w:asciiTheme="minorHAnsi" w:hAnsiTheme="minorHAnsi" w:cs="Arial"/>
                <w:b/>
                <w:bCs/>
                <w:sz w:val="22"/>
                <w:szCs w:val="22"/>
                <w:lang w:val="hr-HR"/>
              </w:rPr>
            </w:pPr>
            <w:r w:rsidRPr="001567C8">
              <w:rPr>
                <w:rFonts w:asciiTheme="minorHAnsi" w:hAnsiTheme="minorHAnsi" w:cs="Arial"/>
                <w:b/>
                <w:bCs/>
                <w:sz w:val="22"/>
                <w:szCs w:val="22"/>
                <w:lang w:val="hr-HR"/>
              </w:rPr>
              <w:t>(23.429)</w:t>
            </w:r>
          </w:p>
        </w:tc>
      </w:tr>
      <w:tr w:rsidR="00732D16" w:rsidRPr="001567C8" w:rsidTr="003327E4">
        <w:trPr>
          <w:trHeight w:val="120"/>
        </w:trPr>
        <w:tc>
          <w:tcPr>
            <w:tcW w:w="2473" w:type="pct"/>
          </w:tcPr>
          <w:p w:rsidR="00732D16" w:rsidRPr="001567C8" w:rsidRDefault="0006799C" w:rsidP="00C72B30">
            <w:pPr>
              <w:pStyle w:val="TT"/>
              <w:rPr>
                <w:rFonts w:asciiTheme="minorHAnsi" w:hAnsiTheme="minorHAnsi" w:cs="Arial"/>
                <w:sz w:val="22"/>
                <w:szCs w:val="22"/>
                <w:lang w:val="hr-HR"/>
              </w:rPr>
            </w:pPr>
            <w:r w:rsidRPr="001567C8">
              <w:rPr>
                <w:rFonts w:asciiTheme="minorHAnsi" w:hAnsiTheme="minorHAnsi" w:cs="Arial"/>
                <w:sz w:val="22"/>
                <w:szCs w:val="22"/>
                <w:lang w:val="hr-HR"/>
              </w:rPr>
              <w:t>(</w:t>
            </w:r>
            <w:r w:rsidR="00E365BF" w:rsidRPr="001567C8">
              <w:rPr>
                <w:rFonts w:asciiTheme="minorHAnsi" w:hAnsiTheme="minorHAnsi" w:cs="Arial"/>
                <w:sz w:val="22"/>
                <w:szCs w:val="22"/>
                <w:lang w:val="hr-HR"/>
              </w:rPr>
              <w:t>Gubitak</w:t>
            </w:r>
            <w:r w:rsidRPr="001567C8">
              <w:rPr>
                <w:rFonts w:asciiTheme="minorHAnsi" w:hAnsiTheme="minorHAnsi" w:cs="Arial"/>
                <w:sz w:val="22"/>
                <w:szCs w:val="22"/>
                <w:lang w:val="hr-HR"/>
              </w:rPr>
              <w:t>)</w:t>
            </w:r>
            <w:r w:rsidR="00E365BF" w:rsidRPr="001567C8">
              <w:rPr>
                <w:rFonts w:asciiTheme="minorHAnsi" w:hAnsiTheme="minorHAnsi" w:cs="Arial"/>
                <w:sz w:val="22"/>
                <w:szCs w:val="22"/>
                <w:lang w:val="hr-HR"/>
              </w:rPr>
              <w:t>/d</w:t>
            </w:r>
            <w:r w:rsidR="00732D16" w:rsidRPr="001567C8">
              <w:rPr>
                <w:rFonts w:asciiTheme="minorHAnsi" w:hAnsiTheme="minorHAnsi" w:cs="Arial"/>
                <w:sz w:val="22"/>
                <w:szCs w:val="22"/>
                <w:lang w:val="hr-HR"/>
              </w:rPr>
              <w:t xml:space="preserve">obitak od </w:t>
            </w:r>
            <w:r w:rsidR="00CD42BA" w:rsidRPr="001567C8">
              <w:rPr>
                <w:rFonts w:asciiTheme="minorHAnsi" w:hAnsiTheme="minorHAnsi" w:cs="Arial"/>
                <w:sz w:val="22"/>
                <w:szCs w:val="22"/>
                <w:lang w:val="hr-HR"/>
              </w:rPr>
              <w:t xml:space="preserve">financijske </w:t>
            </w:r>
            <w:r w:rsidR="00732D16" w:rsidRPr="001567C8">
              <w:rPr>
                <w:rFonts w:asciiTheme="minorHAnsi" w:hAnsiTheme="minorHAnsi" w:cs="Arial"/>
                <w:sz w:val="22"/>
                <w:szCs w:val="22"/>
                <w:lang w:val="hr-HR"/>
              </w:rPr>
              <w:t xml:space="preserve">imovine koja se iskazuje po fer vrijednosti kroz </w:t>
            </w:r>
            <w:r w:rsidR="00CD42BA" w:rsidRPr="001567C8">
              <w:rPr>
                <w:rFonts w:asciiTheme="minorHAnsi" w:hAnsiTheme="minorHAnsi" w:cs="Arial"/>
                <w:sz w:val="22"/>
                <w:szCs w:val="22"/>
                <w:lang w:val="hr-HR"/>
              </w:rPr>
              <w:t>dobit ili gubitak</w:t>
            </w:r>
          </w:p>
        </w:tc>
        <w:tc>
          <w:tcPr>
            <w:tcW w:w="632" w:type="pct"/>
            <w:tcBorders>
              <w:top w:val="single" w:sz="12" w:space="0" w:color="auto"/>
              <w:left w:val="nil"/>
              <w:right w:val="nil"/>
            </w:tcBorders>
            <w:shd w:val="clear" w:color="auto" w:fill="auto"/>
            <w:vAlign w:val="bottom"/>
          </w:tcPr>
          <w:p w:rsidR="00732D16" w:rsidRPr="001567C8" w:rsidRDefault="00CD42BA" w:rsidP="00C72B30">
            <w:pPr>
              <w:jc w:val="right"/>
              <w:rPr>
                <w:rFonts w:asciiTheme="minorHAnsi" w:eastAsia="Arial Unicode MS" w:hAnsiTheme="minorHAnsi" w:cs="Arial"/>
                <w:sz w:val="22"/>
                <w:szCs w:val="22"/>
                <w:lang w:val="hr-HR"/>
              </w:rPr>
            </w:pPr>
            <w:r w:rsidRPr="00CD3A2D">
              <w:rPr>
                <w:rFonts w:asciiTheme="minorHAnsi" w:hAnsiTheme="minorHAnsi"/>
                <w:color w:val="000000"/>
                <w:sz w:val="22"/>
                <w:szCs w:val="22"/>
                <w:lang w:val="hr-HR"/>
              </w:rPr>
              <w:t>(7.086)</w:t>
            </w:r>
          </w:p>
        </w:tc>
        <w:tc>
          <w:tcPr>
            <w:tcW w:w="633" w:type="pct"/>
            <w:tcBorders>
              <w:top w:val="single" w:sz="12" w:space="0" w:color="auto"/>
              <w:left w:val="nil"/>
              <w:right w:val="nil"/>
            </w:tcBorders>
            <w:shd w:val="clear" w:color="auto" w:fill="auto"/>
            <w:vAlign w:val="bottom"/>
          </w:tcPr>
          <w:p w:rsidR="00732D16" w:rsidRPr="001567C8" w:rsidRDefault="00CD42BA" w:rsidP="00C72B30">
            <w:pPr>
              <w:jc w:val="right"/>
              <w:rPr>
                <w:rFonts w:asciiTheme="minorHAnsi" w:eastAsia="Arial Unicode MS" w:hAnsiTheme="minorHAnsi" w:cs="Arial"/>
                <w:sz w:val="22"/>
                <w:szCs w:val="22"/>
                <w:lang w:val="hr-HR"/>
              </w:rPr>
            </w:pPr>
            <w:r w:rsidRPr="00CD3A2D">
              <w:rPr>
                <w:rFonts w:asciiTheme="minorHAnsi" w:hAnsiTheme="minorHAnsi" w:cs="Calibri"/>
                <w:color w:val="000000"/>
                <w:sz w:val="22"/>
                <w:szCs w:val="22"/>
                <w:lang w:val="hr-HR"/>
              </w:rPr>
              <w:t>7</w:t>
            </w:r>
          </w:p>
        </w:tc>
        <w:tc>
          <w:tcPr>
            <w:tcW w:w="632" w:type="pct"/>
            <w:tcBorders>
              <w:top w:val="single" w:sz="12" w:space="0" w:color="auto"/>
              <w:left w:val="nil"/>
              <w:right w:val="nil"/>
            </w:tcBorders>
            <w:shd w:val="clear" w:color="auto" w:fill="auto"/>
            <w:vAlign w:val="bottom"/>
          </w:tcPr>
          <w:p w:rsidR="00732D16" w:rsidRPr="001567C8" w:rsidRDefault="00CD42BA" w:rsidP="00C72B30">
            <w:pPr>
              <w:jc w:val="right"/>
              <w:rPr>
                <w:rFonts w:asciiTheme="minorHAnsi" w:eastAsia="Arial Unicode MS" w:hAnsiTheme="minorHAnsi" w:cs="Arial"/>
                <w:sz w:val="22"/>
                <w:szCs w:val="22"/>
                <w:lang w:val="hr-HR"/>
              </w:rPr>
            </w:pPr>
            <w:r w:rsidRPr="00CD3A2D">
              <w:rPr>
                <w:rFonts w:asciiTheme="minorHAnsi" w:hAnsiTheme="minorHAnsi"/>
                <w:sz w:val="22"/>
                <w:szCs w:val="22"/>
                <w:lang w:val="hr-HR"/>
              </w:rPr>
              <w:t>(7.020)</w:t>
            </w:r>
          </w:p>
        </w:tc>
        <w:tc>
          <w:tcPr>
            <w:tcW w:w="632" w:type="pct"/>
            <w:tcBorders>
              <w:top w:val="single" w:sz="12" w:space="0" w:color="auto"/>
              <w:left w:val="nil"/>
              <w:right w:val="nil"/>
            </w:tcBorders>
            <w:shd w:val="clear" w:color="auto" w:fill="auto"/>
            <w:vAlign w:val="bottom"/>
          </w:tcPr>
          <w:p w:rsidR="00732D16" w:rsidRPr="001567C8" w:rsidRDefault="00CD42BA" w:rsidP="00C72B30">
            <w:pPr>
              <w:jc w:val="right"/>
              <w:rPr>
                <w:rFonts w:asciiTheme="minorHAnsi" w:eastAsia="Arial Unicode MS" w:hAnsiTheme="minorHAnsi" w:cs="Arial"/>
                <w:sz w:val="22"/>
                <w:szCs w:val="22"/>
                <w:lang w:val="hr-HR"/>
              </w:rPr>
            </w:pPr>
            <w:r w:rsidRPr="00CD3A2D">
              <w:rPr>
                <w:rFonts w:asciiTheme="minorHAnsi" w:hAnsiTheme="minorHAnsi"/>
                <w:color w:val="000000"/>
                <w:sz w:val="22"/>
                <w:szCs w:val="22"/>
                <w:lang w:val="hr-HR"/>
              </w:rPr>
              <w:t>-</w:t>
            </w:r>
          </w:p>
        </w:tc>
      </w:tr>
      <w:tr w:rsidR="00220925" w:rsidRPr="001567C8" w:rsidTr="003327E4">
        <w:trPr>
          <w:trHeight w:val="120"/>
        </w:trPr>
        <w:tc>
          <w:tcPr>
            <w:tcW w:w="2473" w:type="pct"/>
          </w:tcPr>
          <w:p w:rsidR="00220925" w:rsidRPr="001567C8" w:rsidRDefault="00220925" w:rsidP="00C72B30">
            <w:pPr>
              <w:pStyle w:val="TT"/>
              <w:rPr>
                <w:rFonts w:asciiTheme="minorHAnsi" w:hAnsiTheme="minorHAnsi" w:cs="Arial"/>
                <w:sz w:val="22"/>
                <w:szCs w:val="22"/>
                <w:lang w:val="hr-HR"/>
              </w:rPr>
            </w:pPr>
            <w:bookmarkStart w:id="47" w:name="_Hlk4513216"/>
            <w:r w:rsidRPr="001567C8">
              <w:rPr>
                <w:rFonts w:asciiTheme="minorHAnsi" w:hAnsiTheme="minorHAnsi" w:cs="Arial"/>
                <w:sz w:val="22"/>
                <w:szCs w:val="22"/>
                <w:lang w:val="hr-HR"/>
              </w:rPr>
              <w:t>Realizirani (gubitak)/dobitak od financijske imovine po fer vrijednosti kroz ostalu sveobuhvatnu dobit</w:t>
            </w:r>
          </w:p>
        </w:tc>
        <w:tc>
          <w:tcPr>
            <w:tcW w:w="632" w:type="pct"/>
            <w:tcBorders>
              <w:left w:val="nil"/>
              <w:right w:val="nil"/>
            </w:tcBorders>
            <w:shd w:val="clear" w:color="auto" w:fill="auto"/>
            <w:vAlign w:val="bottom"/>
          </w:tcPr>
          <w:p w:rsidR="00220925" w:rsidRPr="00CD3A2D" w:rsidRDefault="00220925" w:rsidP="00C72B30">
            <w:pPr>
              <w:jc w:val="right"/>
              <w:rPr>
                <w:rFonts w:asciiTheme="minorHAnsi" w:hAnsiTheme="minorHAnsi"/>
                <w:color w:val="000000"/>
                <w:sz w:val="22"/>
                <w:szCs w:val="22"/>
                <w:lang w:val="hr-HR"/>
              </w:rPr>
            </w:pPr>
            <w:r w:rsidRPr="00E341E1">
              <w:rPr>
                <w:rFonts w:asciiTheme="minorHAnsi" w:hAnsiTheme="minorHAnsi"/>
                <w:color w:val="000000"/>
                <w:sz w:val="22"/>
                <w:szCs w:val="22"/>
              </w:rPr>
              <w:t>(9)</w:t>
            </w:r>
          </w:p>
        </w:tc>
        <w:tc>
          <w:tcPr>
            <w:tcW w:w="633" w:type="pct"/>
            <w:tcBorders>
              <w:left w:val="nil"/>
              <w:right w:val="nil"/>
            </w:tcBorders>
            <w:shd w:val="clear" w:color="auto" w:fill="auto"/>
            <w:vAlign w:val="bottom"/>
          </w:tcPr>
          <w:p w:rsidR="00220925" w:rsidRPr="00CD3A2D" w:rsidRDefault="00220925" w:rsidP="00C72B30">
            <w:pPr>
              <w:jc w:val="right"/>
              <w:rPr>
                <w:rFonts w:asciiTheme="minorHAnsi" w:hAnsiTheme="minorHAnsi" w:cs="Calibri"/>
                <w:color w:val="000000"/>
                <w:sz w:val="22"/>
                <w:szCs w:val="22"/>
                <w:lang w:val="hr-HR"/>
              </w:rPr>
            </w:pPr>
            <w:r w:rsidRPr="00E341E1">
              <w:rPr>
                <w:rFonts w:asciiTheme="minorHAnsi" w:hAnsiTheme="minorHAnsi"/>
                <w:sz w:val="22"/>
                <w:szCs w:val="22"/>
              </w:rPr>
              <w:t>n/</w:t>
            </w:r>
            <w:r w:rsidR="003B5D1C">
              <w:rPr>
                <w:rFonts w:asciiTheme="minorHAnsi" w:hAnsiTheme="minorHAnsi"/>
                <w:sz w:val="22"/>
                <w:szCs w:val="22"/>
              </w:rPr>
              <w:t>p</w:t>
            </w:r>
          </w:p>
        </w:tc>
        <w:tc>
          <w:tcPr>
            <w:tcW w:w="632" w:type="pct"/>
            <w:tcBorders>
              <w:left w:val="nil"/>
              <w:right w:val="nil"/>
            </w:tcBorders>
            <w:shd w:val="clear" w:color="auto" w:fill="auto"/>
            <w:vAlign w:val="bottom"/>
          </w:tcPr>
          <w:p w:rsidR="00220925" w:rsidRPr="00CD3A2D" w:rsidRDefault="00220925" w:rsidP="00C72B30">
            <w:pPr>
              <w:jc w:val="right"/>
              <w:rPr>
                <w:rFonts w:asciiTheme="minorHAnsi" w:hAnsiTheme="minorHAnsi"/>
                <w:sz w:val="22"/>
                <w:szCs w:val="22"/>
                <w:lang w:val="hr-HR"/>
              </w:rPr>
            </w:pPr>
            <w:r w:rsidRPr="00E341E1">
              <w:rPr>
                <w:rFonts w:asciiTheme="minorHAnsi" w:hAnsiTheme="minorHAnsi"/>
                <w:sz w:val="22"/>
                <w:szCs w:val="22"/>
              </w:rPr>
              <w:t>(33)</w:t>
            </w:r>
          </w:p>
        </w:tc>
        <w:tc>
          <w:tcPr>
            <w:tcW w:w="632" w:type="pct"/>
            <w:tcBorders>
              <w:left w:val="nil"/>
              <w:right w:val="nil"/>
            </w:tcBorders>
            <w:shd w:val="clear" w:color="auto" w:fill="auto"/>
            <w:vAlign w:val="bottom"/>
          </w:tcPr>
          <w:p w:rsidR="00220925" w:rsidRPr="00CD3A2D" w:rsidRDefault="00220925" w:rsidP="00C72B30">
            <w:pPr>
              <w:jc w:val="right"/>
              <w:rPr>
                <w:rFonts w:asciiTheme="minorHAnsi" w:hAnsiTheme="minorHAnsi"/>
                <w:color w:val="000000"/>
                <w:sz w:val="22"/>
                <w:szCs w:val="22"/>
                <w:lang w:val="hr-HR"/>
              </w:rPr>
            </w:pPr>
            <w:r w:rsidRPr="00E341E1">
              <w:rPr>
                <w:rFonts w:asciiTheme="minorHAnsi" w:hAnsiTheme="minorHAnsi"/>
                <w:sz w:val="22"/>
                <w:szCs w:val="22"/>
              </w:rPr>
              <w:t>n/</w:t>
            </w:r>
            <w:r w:rsidR="003B5D1C">
              <w:rPr>
                <w:rFonts w:asciiTheme="minorHAnsi" w:hAnsiTheme="minorHAnsi"/>
                <w:sz w:val="22"/>
                <w:szCs w:val="22"/>
              </w:rPr>
              <w:t>p</w:t>
            </w:r>
          </w:p>
        </w:tc>
      </w:tr>
      <w:tr w:rsidR="00220925" w:rsidRPr="001567C8" w:rsidTr="003327E4">
        <w:trPr>
          <w:trHeight w:val="120"/>
        </w:trPr>
        <w:tc>
          <w:tcPr>
            <w:tcW w:w="2473" w:type="pct"/>
          </w:tcPr>
          <w:p w:rsidR="00220925" w:rsidRPr="001567C8" w:rsidRDefault="00220925" w:rsidP="00C72B30">
            <w:pPr>
              <w:pStyle w:val="TT"/>
              <w:rPr>
                <w:rFonts w:asciiTheme="minorHAnsi" w:hAnsiTheme="minorHAnsi" w:cs="Arial"/>
                <w:sz w:val="22"/>
                <w:szCs w:val="22"/>
                <w:lang w:val="hr-HR"/>
              </w:rPr>
            </w:pPr>
            <w:r>
              <w:rPr>
                <w:rFonts w:asciiTheme="minorHAnsi" w:hAnsiTheme="minorHAnsi" w:cs="Arial"/>
                <w:sz w:val="22"/>
                <w:szCs w:val="22"/>
                <w:lang w:val="hr-HR"/>
              </w:rPr>
              <w:t>Imovina raspoloživa za prodaju</w:t>
            </w:r>
          </w:p>
        </w:tc>
        <w:tc>
          <w:tcPr>
            <w:tcW w:w="632" w:type="pct"/>
            <w:tcBorders>
              <w:left w:val="nil"/>
              <w:bottom w:val="single" w:sz="4" w:space="0" w:color="auto"/>
              <w:right w:val="nil"/>
            </w:tcBorders>
            <w:shd w:val="clear" w:color="auto" w:fill="auto"/>
            <w:vAlign w:val="bottom"/>
          </w:tcPr>
          <w:p w:rsidR="00220925" w:rsidRPr="00CD3A2D" w:rsidRDefault="00220925" w:rsidP="00C72B30">
            <w:pPr>
              <w:jc w:val="right"/>
              <w:rPr>
                <w:rFonts w:asciiTheme="minorHAnsi" w:hAnsiTheme="minorHAnsi"/>
                <w:color w:val="000000"/>
                <w:sz w:val="22"/>
                <w:szCs w:val="22"/>
                <w:lang w:val="hr-HR"/>
              </w:rPr>
            </w:pPr>
            <w:r w:rsidRPr="00E341E1">
              <w:rPr>
                <w:rFonts w:asciiTheme="minorHAnsi" w:hAnsiTheme="minorHAnsi"/>
                <w:color w:val="000000"/>
                <w:sz w:val="22"/>
                <w:szCs w:val="22"/>
              </w:rPr>
              <w:t xml:space="preserve">     n/</w:t>
            </w:r>
            <w:r w:rsidR="003B5D1C">
              <w:rPr>
                <w:rFonts w:asciiTheme="minorHAnsi" w:hAnsiTheme="minorHAnsi"/>
                <w:color w:val="000000"/>
                <w:sz w:val="22"/>
                <w:szCs w:val="22"/>
              </w:rPr>
              <w:t>p</w:t>
            </w:r>
          </w:p>
        </w:tc>
        <w:tc>
          <w:tcPr>
            <w:tcW w:w="633" w:type="pct"/>
            <w:tcBorders>
              <w:left w:val="nil"/>
              <w:bottom w:val="single" w:sz="4" w:space="0" w:color="auto"/>
              <w:right w:val="nil"/>
            </w:tcBorders>
            <w:shd w:val="clear" w:color="auto" w:fill="auto"/>
            <w:vAlign w:val="bottom"/>
          </w:tcPr>
          <w:p w:rsidR="00220925" w:rsidRPr="00CD3A2D" w:rsidRDefault="00220925" w:rsidP="00C72B30">
            <w:pPr>
              <w:jc w:val="right"/>
              <w:rPr>
                <w:rFonts w:asciiTheme="minorHAnsi" w:hAnsiTheme="minorHAnsi" w:cs="Calibri"/>
                <w:color w:val="000000"/>
                <w:sz w:val="22"/>
                <w:szCs w:val="22"/>
                <w:lang w:val="hr-HR"/>
              </w:rPr>
            </w:pPr>
            <w:r w:rsidRPr="00E341E1">
              <w:rPr>
                <w:rFonts w:asciiTheme="minorHAnsi" w:hAnsiTheme="minorHAnsi"/>
                <w:sz w:val="22"/>
                <w:szCs w:val="22"/>
              </w:rPr>
              <w:t>2</w:t>
            </w:r>
            <w:r>
              <w:rPr>
                <w:rFonts w:asciiTheme="minorHAnsi" w:hAnsiTheme="minorHAnsi"/>
                <w:sz w:val="22"/>
                <w:szCs w:val="22"/>
              </w:rPr>
              <w:t>.</w:t>
            </w:r>
            <w:r w:rsidRPr="00E341E1">
              <w:rPr>
                <w:rFonts w:asciiTheme="minorHAnsi" w:hAnsiTheme="minorHAnsi"/>
                <w:sz w:val="22"/>
                <w:szCs w:val="22"/>
              </w:rPr>
              <w:t>799</w:t>
            </w:r>
          </w:p>
        </w:tc>
        <w:tc>
          <w:tcPr>
            <w:tcW w:w="632" w:type="pct"/>
            <w:tcBorders>
              <w:left w:val="nil"/>
              <w:bottom w:val="single" w:sz="4" w:space="0" w:color="auto"/>
              <w:right w:val="nil"/>
            </w:tcBorders>
            <w:shd w:val="clear" w:color="auto" w:fill="auto"/>
            <w:vAlign w:val="bottom"/>
          </w:tcPr>
          <w:p w:rsidR="00220925" w:rsidRPr="00CD3A2D" w:rsidRDefault="00220925" w:rsidP="00C72B30">
            <w:pPr>
              <w:jc w:val="right"/>
              <w:rPr>
                <w:rFonts w:asciiTheme="minorHAnsi" w:hAnsiTheme="minorHAnsi"/>
                <w:sz w:val="22"/>
                <w:szCs w:val="22"/>
                <w:lang w:val="hr-HR"/>
              </w:rPr>
            </w:pPr>
            <w:r w:rsidRPr="00E341E1">
              <w:rPr>
                <w:rFonts w:asciiTheme="minorHAnsi" w:hAnsiTheme="minorHAnsi"/>
                <w:sz w:val="22"/>
                <w:szCs w:val="22"/>
              </w:rPr>
              <w:t xml:space="preserve">     n/</w:t>
            </w:r>
            <w:r w:rsidR="003B5D1C">
              <w:rPr>
                <w:rFonts w:asciiTheme="minorHAnsi" w:hAnsiTheme="minorHAnsi"/>
                <w:sz w:val="22"/>
                <w:szCs w:val="22"/>
              </w:rPr>
              <w:t>p</w:t>
            </w:r>
          </w:p>
        </w:tc>
        <w:tc>
          <w:tcPr>
            <w:tcW w:w="632" w:type="pct"/>
            <w:tcBorders>
              <w:left w:val="nil"/>
              <w:bottom w:val="single" w:sz="4" w:space="0" w:color="auto"/>
              <w:right w:val="nil"/>
            </w:tcBorders>
            <w:shd w:val="clear" w:color="auto" w:fill="auto"/>
            <w:vAlign w:val="bottom"/>
          </w:tcPr>
          <w:p w:rsidR="00220925" w:rsidRPr="00CD3A2D" w:rsidRDefault="00220925" w:rsidP="00C72B30">
            <w:pPr>
              <w:jc w:val="right"/>
              <w:rPr>
                <w:rFonts w:asciiTheme="minorHAnsi" w:hAnsiTheme="minorHAnsi"/>
                <w:color w:val="000000"/>
                <w:sz w:val="22"/>
                <w:szCs w:val="22"/>
                <w:lang w:val="hr-HR"/>
              </w:rPr>
            </w:pPr>
            <w:r w:rsidRPr="00E341E1">
              <w:rPr>
                <w:rFonts w:asciiTheme="minorHAnsi" w:hAnsiTheme="minorHAnsi"/>
                <w:sz w:val="22"/>
                <w:szCs w:val="22"/>
              </w:rPr>
              <w:t>2</w:t>
            </w:r>
            <w:r>
              <w:rPr>
                <w:rFonts w:asciiTheme="minorHAnsi" w:hAnsiTheme="minorHAnsi"/>
                <w:sz w:val="22"/>
                <w:szCs w:val="22"/>
              </w:rPr>
              <w:t>.</w:t>
            </w:r>
            <w:r w:rsidRPr="00E341E1">
              <w:rPr>
                <w:rFonts w:asciiTheme="minorHAnsi" w:hAnsiTheme="minorHAnsi"/>
                <w:sz w:val="22"/>
                <w:szCs w:val="22"/>
              </w:rPr>
              <w:t>804</w:t>
            </w:r>
          </w:p>
        </w:tc>
      </w:tr>
      <w:bookmarkEnd w:id="47"/>
      <w:tr w:rsidR="003A73AB" w:rsidRPr="001567C8" w:rsidTr="003327E4">
        <w:trPr>
          <w:trHeight w:val="120"/>
        </w:trPr>
        <w:tc>
          <w:tcPr>
            <w:tcW w:w="2473" w:type="pct"/>
          </w:tcPr>
          <w:p w:rsidR="003A73AB" w:rsidRPr="001567C8" w:rsidRDefault="003A73AB" w:rsidP="00C72B30">
            <w:pPr>
              <w:pStyle w:val="Tot"/>
              <w:rPr>
                <w:rFonts w:asciiTheme="minorHAnsi" w:hAnsiTheme="minorHAnsi" w:cs="Arial"/>
                <w:b/>
                <w:bCs/>
                <w:sz w:val="22"/>
                <w:szCs w:val="22"/>
                <w:lang w:val="hr-HR"/>
              </w:rPr>
            </w:pPr>
            <w:r w:rsidRPr="001567C8">
              <w:rPr>
                <w:rFonts w:asciiTheme="minorHAnsi" w:hAnsiTheme="minorHAnsi" w:cs="Arial"/>
                <w:b/>
                <w:bCs/>
                <w:sz w:val="22"/>
                <w:szCs w:val="22"/>
                <w:lang w:val="hr-HR"/>
              </w:rPr>
              <w:t>Neto prihodi</w:t>
            </w:r>
            <w:r w:rsidR="00E365BF" w:rsidRPr="001567C8">
              <w:rPr>
                <w:rFonts w:asciiTheme="minorHAnsi" w:hAnsiTheme="minorHAnsi" w:cs="Arial"/>
                <w:b/>
                <w:bCs/>
                <w:sz w:val="22"/>
                <w:szCs w:val="22"/>
                <w:lang w:val="hr-HR"/>
              </w:rPr>
              <w:t>/(rashodi)</w:t>
            </w:r>
            <w:r w:rsidRPr="001567C8">
              <w:rPr>
                <w:rFonts w:asciiTheme="minorHAnsi" w:hAnsiTheme="minorHAnsi" w:cs="Arial"/>
                <w:b/>
                <w:bCs/>
                <w:sz w:val="22"/>
                <w:szCs w:val="22"/>
                <w:lang w:val="hr-HR"/>
              </w:rPr>
              <w:t xml:space="preserve"> od financijskih aktivnosti </w:t>
            </w:r>
          </w:p>
        </w:tc>
        <w:tc>
          <w:tcPr>
            <w:tcW w:w="632" w:type="pct"/>
            <w:tcBorders>
              <w:top w:val="single" w:sz="4" w:space="0" w:color="auto"/>
              <w:bottom w:val="single" w:sz="12" w:space="0" w:color="auto"/>
            </w:tcBorders>
            <w:vAlign w:val="bottom"/>
          </w:tcPr>
          <w:p w:rsidR="003A73AB" w:rsidRPr="001567C8" w:rsidRDefault="00732D16" w:rsidP="00C72B30">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9.234</w:t>
            </w:r>
          </w:p>
        </w:tc>
        <w:tc>
          <w:tcPr>
            <w:tcW w:w="633" w:type="pct"/>
            <w:tcBorders>
              <w:top w:val="single" w:sz="4" w:space="0" w:color="auto"/>
              <w:bottom w:val="single" w:sz="12" w:space="0" w:color="auto"/>
            </w:tcBorders>
            <w:vAlign w:val="bottom"/>
          </w:tcPr>
          <w:p w:rsidR="003A73AB" w:rsidRPr="001567C8" w:rsidRDefault="003A73AB" w:rsidP="00C72B30">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(20.716)</w:t>
            </w:r>
          </w:p>
        </w:tc>
        <w:tc>
          <w:tcPr>
            <w:tcW w:w="632" w:type="pct"/>
            <w:tcBorders>
              <w:top w:val="single" w:sz="4" w:space="0" w:color="auto"/>
              <w:bottom w:val="single" w:sz="12" w:space="0" w:color="auto"/>
            </w:tcBorders>
            <w:vAlign w:val="bottom"/>
          </w:tcPr>
          <w:p w:rsidR="003A73AB" w:rsidRPr="001567C8" w:rsidRDefault="00732D16" w:rsidP="00C72B30">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9.506</w:t>
            </w:r>
          </w:p>
        </w:tc>
        <w:tc>
          <w:tcPr>
            <w:tcW w:w="632" w:type="pct"/>
            <w:tcBorders>
              <w:top w:val="single" w:sz="4" w:space="0" w:color="auto"/>
              <w:bottom w:val="single" w:sz="12" w:space="0" w:color="auto"/>
            </w:tcBorders>
            <w:vAlign w:val="bottom"/>
          </w:tcPr>
          <w:p w:rsidR="003A73AB" w:rsidRPr="001567C8" w:rsidRDefault="003A73AB" w:rsidP="00C72B30">
            <w:pPr>
              <w:pStyle w:val="Tot"/>
              <w:spacing w:line="240" w:lineRule="auto"/>
              <w:jc w:val="right"/>
              <w:rPr>
                <w:rFonts w:asciiTheme="minorHAnsi" w:hAnsiTheme="minorHAnsi" w:cs="Arial"/>
                <w:b/>
                <w:bCs/>
                <w:sz w:val="22"/>
                <w:szCs w:val="22"/>
                <w:lang w:val="hr-HR"/>
              </w:rPr>
            </w:pPr>
            <w:r w:rsidRPr="001567C8">
              <w:rPr>
                <w:rFonts w:asciiTheme="minorHAnsi" w:hAnsiTheme="minorHAnsi" w:cs="Arial"/>
                <w:b/>
                <w:bCs/>
                <w:sz w:val="22"/>
                <w:szCs w:val="22"/>
                <w:lang w:val="hr-HR"/>
              </w:rPr>
              <w:t>(20.625)</w:t>
            </w:r>
          </w:p>
        </w:tc>
      </w:tr>
    </w:tbl>
    <w:p w:rsidR="00DD2401" w:rsidRPr="001567C8" w:rsidRDefault="00DD2401" w:rsidP="00BC2B33">
      <w:pPr>
        <w:pStyle w:val="T1"/>
        <w:spacing w:after="0"/>
        <w:rPr>
          <w:rFonts w:asciiTheme="minorHAnsi" w:hAnsiTheme="minorHAnsi" w:cs="Arial"/>
          <w:sz w:val="22"/>
          <w:szCs w:val="22"/>
          <w:lang w:val="hr-HR"/>
        </w:rPr>
      </w:pPr>
    </w:p>
    <w:p w:rsidR="00D82D69" w:rsidRPr="001567C8" w:rsidRDefault="00D82D69" w:rsidP="00BC2B33">
      <w:pPr>
        <w:pStyle w:val="T1"/>
        <w:spacing w:after="0"/>
        <w:rPr>
          <w:rFonts w:asciiTheme="minorHAnsi" w:hAnsiTheme="minorHAnsi" w:cs="Arial"/>
          <w:sz w:val="22"/>
          <w:szCs w:val="22"/>
          <w:lang w:val="hr-HR"/>
        </w:rPr>
        <w:sectPr w:rsidR="00D82D69" w:rsidRPr="001567C8" w:rsidSect="000D6913">
          <w:pgSz w:w="11907" w:h="16840" w:code="9"/>
          <w:pgMar w:top="1418" w:right="1134" w:bottom="1134" w:left="1418" w:header="851" w:footer="851" w:gutter="0"/>
          <w:cols w:space="720"/>
          <w:noEndnote/>
        </w:sectPr>
      </w:pPr>
    </w:p>
    <w:p w:rsidR="00DD2401" w:rsidRPr="001567C8" w:rsidRDefault="00DD2401" w:rsidP="00D82D69">
      <w:pPr>
        <w:pStyle w:val="T1"/>
        <w:spacing w:before="0" w:after="0" w:line="240" w:lineRule="auto"/>
        <w:rPr>
          <w:rFonts w:asciiTheme="minorHAnsi" w:hAnsiTheme="minorHAnsi" w:cs="Arial"/>
          <w:sz w:val="18"/>
          <w:szCs w:val="18"/>
          <w:lang w:val="hr-HR"/>
        </w:rPr>
      </w:pPr>
    </w:p>
    <w:p w:rsidR="00227F1B" w:rsidRPr="001567C8" w:rsidRDefault="00B52585" w:rsidP="00D82D69">
      <w:pPr>
        <w:pStyle w:val="T1"/>
        <w:spacing w:before="0" w:after="0" w:line="240" w:lineRule="auto"/>
        <w:rPr>
          <w:rFonts w:asciiTheme="minorHAnsi" w:hAnsiTheme="minorHAnsi" w:cs="Arial"/>
          <w:sz w:val="22"/>
          <w:szCs w:val="22"/>
          <w:lang w:val="hr-HR"/>
        </w:rPr>
      </w:pPr>
      <w:bookmarkStart w:id="48" w:name="_Hlk2175999"/>
      <w:bookmarkStart w:id="49" w:name="_Hlk2179190"/>
      <w:r w:rsidRPr="001567C8">
        <w:rPr>
          <w:rFonts w:asciiTheme="minorHAnsi" w:hAnsiTheme="minorHAnsi" w:cs="Arial"/>
          <w:sz w:val="22"/>
          <w:szCs w:val="22"/>
          <w:lang w:val="hr-HR"/>
        </w:rPr>
        <w:t>10</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t>Operativni troškovi</w:t>
      </w:r>
    </w:p>
    <w:p w:rsidR="00666E7A" w:rsidRPr="001567C8" w:rsidRDefault="00666E7A" w:rsidP="00D82D69">
      <w:pPr>
        <w:pStyle w:val="TT"/>
        <w:tabs>
          <w:tab w:val="clear" w:pos="1202"/>
          <w:tab w:val="left" w:pos="-720"/>
          <w:tab w:val="left" w:pos="9600"/>
        </w:tabs>
        <w:suppressAutoHyphens/>
        <w:spacing w:line="240" w:lineRule="auto"/>
        <w:outlineLvl w:val="9"/>
        <w:rPr>
          <w:rFonts w:asciiTheme="minorHAnsi" w:hAnsiTheme="minorHAnsi" w:cs="Arial"/>
          <w:spacing w:val="-3"/>
          <w:sz w:val="18"/>
          <w:szCs w:val="18"/>
          <w:lang w:val="hr-HR"/>
        </w:rPr>
      </w:pPr>
    </w:p>
    <w:p w:rsidR="00CF27E6" w:rsidRPr="001567C8" w:rsidRDefault="00CF27E6" w:rsidP="00CF27E6">
      <w:pPr>
        <w:pStyle w:val="TT"/>
        <w:tabs>
          <w:tab w:val="clear" w:pos="1202"/>
          <w:tab w:val="left" w:pos="-720"/>
          <w:tab w:val="left" w:pos="9600"/>
        </w:tabs>
        <w:suppressAutoHyphens/>
        <w:spacing w:line="240" w:lineRule="auto"/>
        <w:outlineLvl w:val="9"/>
        <w:rPr>
          <w:rFonts w:asciiTheme="minorHAnsi" w:hAnsiTheme="minorHAnsi" w:cs="Arial"/>
          <w:spacing w:val="-3"/>
          <w:sz w:val="22"/>
          <w:szCs w:val="22"/>
          <w:lang w:val="hr-HR"/>
        </w:rPr>
      </w:pPr>
      <w:r w:rsidRPr="001567C8">
        <w:rPr>
          <w:rFonts w:asciiTheme="minorHAnsi" w:hAnsiTheme="minorHAnsi" w:cs="Arial"/>
          <w:spacing w:val="-3"/>
          <w:sz w:val="22"/>
          <w:szCs w:val="22"/>
          <w:lang w:val="hr-HR"/>
        </w:rPr>
        <w:t>Operativni troškovi mogu se prikazati kako slijedi:</w:t>
      </w:r>
    </w:p>
    <w:p w:rsidR="00CF27E6" w:rsidRPr="001567C8" w:rsidRDefault="00CF27E6" w:rsidP="00D82D69">
      <w:pPr>
        <w:pStyle w:val="TT"/>
        <w:tabs>
          <w:tab w:val="clear" w:pos="1202"/>
          <w:tab w:val="left" w:pos="-720"/>
          <w:tab w:val="left" w:pos="9600"/>
        </w:tabs>
        <w:suppressAutoHyphens/>
        <w:spacing w:line="240" w:lineRule="auto"/>
        <w:outlineLvl w:val="9"/>
        <w:rPr>
          <w:rFonts w:asciiTheme="minorHAnsi" w:hAnsiTheme="minorHAnsi" w:cs="Arial"/>
          <w:spacing w:val="-3"/>
          <w:sz w:val="18"/>
          <w:szCs w:val="18"/>
          <w:lang w:val="hr-HR"/>
        </w:rPr>
      </w:pPr>
    </w:p>
    <w:tbl>
      <w:tblPr>
        <w:tblW w:w="5000" w:type="pct"/>
        <w:tblCellMar>
          <w:left w:w="122" w:type="dxa"/>
          <w:right w:w="122" w:type="dxa"/>
        </w:tblCellMar>
        <w:tblLook w:val="0000" w:firstRow="0" w:lastRow="0" w:firstColumn="0" w:lastColumn="0" w:noHBand="0" w:noVBand="0"/>
      </w:tblPr>
      <w:tblGrid>
        <w:gridCol w:w="4111"/>
        <w:gridCol w:w="1560"/>
        <w:gridCol w:w="1136"/>
        <w:gridCol w:w="1278"/>
        <w:gridCol w:w="1270"/>
      </w:tblGrid>
      <w:tr w:rsidR="00CF27E6" w:rsidRPr="001567C8" w:rsidTr="003C6BA3">
        <w:trPr>
          <w:trHeight w:val="57"/>
        </w:trPr>
        <w:tc>
          <w:tcPr>
            <w:tcW w:w="2197" w:type="pct"/>
          </w:tcPr>
          <w:p w:rsidR="00CF27E6" w:rsidRPr="001567C8" w:rsidRDefault="00CF27E6" w:rsidP="00577947">
            <w:pPr>
              <w:tabs>
                <w:tab w:val="left" w:pos="-720"/>
              </w:tabs>
              <w:suppressAutoHyphens/>
              <w:jc w:val="right"/>
              <w:rPr>
                <w:rFonts w:asciiTheme="minorHAnsi" w:hAnsiTheme="minorHAnsi" w:cs="Arial"/>
                <w:spacing w:val="-3"/>
                <w:sz w:val="22"/>
                <w:szCs w:val="22"/>
                <w:lang w:val="hr-HR"/>
              </w:rPr>
            </w:pPr>
            <w:bookmarkStart w:id="50" w:name="_Hlk2176042"/>
          </w:p>
        </w:tc>
        <w:tc>
          <w:tcPr>
            <w:tcW w:w="1441" w:type="pct"/>
            <w:gridSpan w:val="2"/>
            <w:vAlign w:val="bottom"/>
          </w:tcPr>
          <w:p w:rsidR="00CF27E6" w:rsidRPr="001567C8" w:rsidRDefault="00CF27E6" w:rsidP="0057794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362" w:type="pct"/>
            <w:gridSpan w:val="2"/>
            <w:vAlign w:val="bottom"/>
          </w:tcPr>
          <w:p w:rsidR="00CF27E6" w:rsidRPr="001567C8" w:rsidRDefault="00CF27E6" w:rsidP="0057794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CF27E6" w:rsidRPr="001567C8" w:rsidTr="003C6BA3">
        <w:trPr>
          <w:trHeight w:val="57"/>
        </w:trPr>
        <w:tc>
          <w:tcPr>
            <w:tcW w:w="2197" w:type="pct"/>
          </w:tcPr>
          <w:p w:rsidR="00CF27E6" w:rsidRPr="001567C8" w:rsidRDefault="00CF27E6" w:rsidP="00577947">
            <w:pPr>
              <w:tabs>
                <w:tab w:val="left" w:pos="-720"/>
              </w:tabs>
              <w:suppressAutoHyphens/>
              <w:jc w:val="right"/>
              <w:rPr>
                <w:rFonts w:asciiTheme="minorHAnsi" w:hAnsiTheme="minorHAnsi" w:cs="Arial"/>
                <w:spacing w:val="-3"/>
                <w:sz w:val="22"/>
                <w:szCs w:val="22"/>
                <w:lang w:val="hr-HR"/>
              </w:rPr>
            </w:pPr>
          </w:p>
        </w:tc>
        <w:tc>
          <w:tcPr>
            <w:tcW w:w="834" w:type="pct"/>
            <w:vAlign w:val="bottom"/>
          </w:tcPr>
          <w:p w:rsidR="00CF27E6" w:rsidRPr="001567C8" w:rsidRDefault="00CF27E6" w:rsidP="0057794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07" w:type="pct"/>
            <w:vAlign w:val="bottom"/>
          </w:tcPr>
          <w:p w:rsidR="00CF27E6" w:rsidRPr="001567C8" w:rsidRDefault="00CF27E6" w:rsidP="0057794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c>
          <w:tcPr>
            <w:tcW w:w="683" w:type="pct"/>
            <w:vAlign w:val="bottom"/>
          </w:tcPr>
          <w:p w:rsidR="00CF27E6" w:rsidRPr="001567C8" w:rsidRDefault="00CF27E6" w:rsidP="0057794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79" w:type="pct"/>
            <w:vAlign w:val="bottom"/>
          </w:tcPr>
          <w:p w:rsidR="00CF27E6" w:rsidRPr="001567C8" w:rsidRDefault="00CF27E6" w:rsidP="0057794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r>
      <w:tr w:rsidR="00CF27E6" w:rsidRPr="001567C8" w:rsidTr="003C6BA3">
        <w:tblPrEx>
          <w:tblCellMar>
            <w:left w:w="108" w:type="dxa"/>
            <w:right w:w="108" w:type="dxa"/>
          </w:tblCellMar>
        </w:tblPrEx>
        <w:trPr>
          <w:trHeight w:val="57"/>
        </w:trPr>
        <w:tc>
          <w:tcPr>
            <w:tcW w:w="2197" w:type="pct"/>
          </w:tcPr>
          <w:p w:rsidR="00CF27E6" w:rsidRPr="001567C8" w:rsidRDefault="00CF27E6" w:rsidP="00577947">
            <w:pPr>
              <w:tabs>
                <w:tab w:val="left" w:pos="-720"/>
              </w:tabs>
              <w:suppressAutoHyphens/>
              <w:ind w:right="4144"/>
              <w:jc w:val="right"/>
              <w:rPr>
                <w:rFonts w:asciiTheme="minorHAnsi" w:hAnsiTheme="minorHAnsi" w:cs="Arial"/>
                <w:sz w:val="22"/>
                <w:szCs w:val="22"/>
                <w:lang w:val="hr-HR"/>
              </w:rPr>
            </w:pPr>
          </w:p>
        </w:tc>
        <w:tc>
          <w:tcPr>
            <w:tcW w:w="834" w:type="pct"/>
          </w:tcPr>
          <w:p w:rsidR="00CF27E6" w:rsidRPr="001567C8" w:rsidRDefault="00CF27E6" w:rsidP="00577947">
            <w:pPr>
              <w:pStyle w:val="TH"/>
              <w:tabs>
                <w:tab w:val="clear" w:pos="1202"/>
              </w:tabs>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07" w:type="pct"/>
          </w:tcPr>
          <w:p w:rsidR="00CF27E6" w:rsidRPr="001567C8" w:rsidRDefault="00CF27E6" w:rsidP="00577947">
            <w:pPr>
              <w:pStyle w:val="TH"/>
              <w:tabs>
                <w:tab w:val="clear" w:pos="1202"/>
              </w:tabs>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83" w:type="pct"/>
          </w:tcPr>
          <w:p w:rsidR="00CF27E6" w:rsidRPr="001567C8" w:rsidRDefault="00CF27E6" w:rsidP="00577947">
            <w:pPr>
              <w:pStyle w:val="TH"/>
              <w:tabs>
                <w:tab w:val="clear" w:pos="1202"/>
              </w:tabs>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79" w:type="pct"/>
          </w:tcPr>
          <w:p w:rsidR="00CF27E6" w:rsidRPr="001567C8" w:rsidRDefault="00CF27E6" w:rsidP="00577947">
            <w:pPr>
              <w:pStyle w:val="TH"/>
              <w:tabs>
                <w:tab w:val="clear" w:pos="1202"/>
              </w:tabs>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CF27E6" w:rsidRPr="001567C8" w:rsidTr="003C6BA3">
        <w:trPr>
          <w:trHeight w:hRule="exact" w:val="170"/>
        </w:trPr>
        <w:tc>
          <w:tcPr>
            <w:tcW w:w="2197" w:type="pct"/>
          </w:tcPr>
          <w:p w:rsidR="00CF27E6" w:rsidRPr="001567C8" w:rsidRDefault="00CF27E6" w:rsidP="00577947">
            <w:pPr>
              <w:pStyle w:val="PH1"/>
              <w:tabs>
                <w:tab w:val="left" w:pos="-720"/>
              </w:tabs>
              <w:suppressAutoHyphens/>
              <w:spacing w:line="240" w:lineRule="auto"/>
              <w:rPr>
                <w:rFonts w:asciiTheme="minorHAnsi" w:hAnsiTheme="minorHAnsi" w:cs="Arial"/>
                <w:bCs/>
                <w:spacing w:val="-3"/>
                <w:sz w:val="22"/>
                <w:szCs w:val="22"/>
                <w:lang w:val="hr-HR"/>
              </w:rPr>
            </w:pPr>
          </w:p>
        </w:tc>
        <w:tc>
          <w:tcPr>
            <w:tcW w:w="834" w:type="pct"/>
          </w:tcPr>
          <w:p w:rsidR="00CF27E6" w:rsidRPr="001567C8" w:rsidRDefault="00CF27E6" w:rsidP="00577947">
            <w:pPr>
              <w:tabs>
                <w:tab w:val="left" w:pos="-720"/>
              </w:tabs>
              <w:suppressAutoHyphens/>
              <w:jc w:val="right"/>
              <w:rPr>
                <w:rFonts w:asciiTheme="minorHAnsi" w:hAnsiTheme="minorHAnsi" w:cs="Arial"/>
                <w:b/>
                <w:spacing w:val="-3"/>
                <w:sz w:val="22"/>
                <w:szCs w:val="22"/>
                <w:lang w:val="hr-HR"/>
              </w:rPr>
            </w:pPr>
          </w:p>
        </w:tc>
        <w:tc>
          <w:tcPr>
            <w:tcW w:w="607" w:type="pct"/>
          </w:tcPr>
          <w:p w:rsidR="00CF27E6" w:rsidRPr="001567C8" w:rsidRDefault="00CF27E6" w:rsidP="00577947">
            <w:pPr>
              <w:tabs>
                <w:tab w:val="left" w:pos="-720"/>
              </w:tabs>
              <w:suppressAutoHyphens/>
              <w:jc w:val="right"/>
              <w:rPr>
                <w:rFonts w:asciiTheme="minorHAnsi" w:hAnsiTheme="minorHAnsi" w:cs="Arial"/>
                <w:b/>
                <w:spacing w:val="-3"/>
                <w:sz w:val="22"/>
                <w:szCs w:val="22"/>
                <w:lang w:val="hr-HR"/>
              </w:rPr>
            </w:pPr>
          </w:p>
        </w:tc>
        <w:tc>
          <w:tcPr>
            <w:tcW w:w="683" w:type="pct"/>
          </w:tcPr>
          <w:p w:rsidR="00CF27E6" w:rsidRPr="001567C8" w:rsidRDefault="00CF27E6" w:rsidP="00577947">
            <w:pPr>
              <w:tabs>
                <w:tab w:val="left" w:pos="-720"/>
              </w:tabs>
              <w:suppressAutoHyphens/>
              <w:jc w:val="right"/>
              <w:rPr>
                <w:rFonts w:asciiTheme="minorHAnsi" w:hAnsiTheme="minorHAnsi" w:cs="Arial"/>
                <w:b/>
                <w:spacing w:val="-3"/>
                <w:sz w:val="22"/>
                <w:szCs w:val="22"/>
                <w:lang w:val="hr-HR"/>
              </w:rPr>
            </w:pPr>
          </w:p>
        </w:tc>
        <w:tc>
          <w:tcPr>
            <w:tcW w:w="679" w:type="pct"/>
          </w:tcPr>
          <w:p w:rsidR="00CF27E6" w:rsidRPr="001567C8" w:rsidRDefault="00CF27E6" w:rsidP="00577947">
            <w:pPr>
              <w:tabs>
                <w:tab w:val="left" w:pos="-720"/>
              </w:tabs>
              <w:suppressAutoHyphens/>
              <w:jc w:val="right"/>
              <w:rPr>
                <w:rFonts w:asciiTheme="minorHAnsi" w:hAnsiTheme="minorHAnsi" w:cs="Arial"/>
                <w:b/>
                <w:spacing w:val="-3"/>
                <w:sz w:val="22"/>
                <w:szCs w:val="22"/>
                <w:lang w:val="hr-HR"/>
              </w:rPr>
            </w:pPr>
          </w:p>
        </w:tc>
      </w:tr>
      <w:tr w:rsidR="00CF27E6" w:rsidRPr="001567C8" w:rsidTr="003C6BA3">
        <w:trPr>
          <w:trHeight w:val="20"/>
        </w:trPr>
        <w:tc>
          <w:tcPr>
            <w:tcW w:w="2197" w:type="pct"/>
          </w:tcPr>
          <w:p w:rsidR="00CF27E6" w:rsidRPr="001567C8" w:rsidRDefault="00CF27E6" w:rsidP="00577947">
            <w:pPr>
              <w:pStyle w:val="TT"/>
              <w:rPr>
                <w:rFonts w:asciiTheme="minorHAnsi" w:hAnsiTheme="minorHAnsi" w:cs="Arial"/>
                <w:sz w:val="22"/>
                <w:szCs w:val="22"/>
                <w:lang w:val="hr-HR"/>
              </w:rPr>
            </w:pPr>
            <w:r w:rsidRPr="001567C8">
              <w:rPr>
                <w:rFonts w:asciiTheme="minorHAnsi" w:hAnsiTheme="minorHAnsi" w:cs="Arial"/>
                <w:sz w:val="22"/>
                <w:szCs w:val="22"/>
                <w:lang w:val="hr-HR"/>
              </w:rPr>
              <w:t>10. a) Troškovi osoblja</w:t>
            </w:r>
          </w:p>
        </w:tc>
        <w:tc>
          <w:tcPr>
            <w:tcW w:w="834" w:type="pct"/>
            <w:tcBorders>
              <w:top w:val="nil"/>
              <w:left w:val="nil"/>
              <w:bottom w:val="nil"/>
              <w:right w:val="nil"/>
            </w:tcBorders>
            <w:shd w:val="clear" w:color="auto" w:fill="auto"/>
            <w:vAlign w:val="center"/>
          </w:tcPr>
          <w:p w:rsidR="00CF27E6" w:rsidRPr="001567C8" w:rsidRDefault="00CF27E6" w:rsidP="00577947">
            <w:pPr>
              <w:pStyle w:val="TT"/>
              <w:jc w:val="right"/>
              <w:rPr>
                <w:rFonts w:asciiTheme="minorHAnsi" w:hAnsiTheme="minorHAnsi" w:cs="Arial"/>
                <w:spacing w:val="-3"/>
                <w:sz w:val="22"/>
                <w:szCs w:val="22"/>
                <w:lang w:val="hr-HR"/>
              </w:rPr>
            </w:pPr>
            <w:r w:rsidRPr="00CD3A2D">
              <w:rPr>
                <w:rFonts w:ascii="Calibri" w:hAnsi="Calibri"/>
                <w:color w:val="000000"/>
                <w:sz w:val="22"/>
                <w:szCs w:val="22"/>
                <w:lang w:val="hr-HR"/>
              </w:rPr>
              <w:t>93.845</w:t>
            </w:r>
          </w:p>
        </w:tc>
        <w:tc>
          <w:tcPr>
            <w:tcW w:w="607" w:type="pct"/>
            <w:tcBorders>
              <w:top w:val="nil"/>
              <w:left w:val="nil"/>
              <w:bottom w:val="nil"/>
              <w:right w:val="nil"/>
            </w:tcBorders>
            <w:shd w:val="clear" w:color="auto" w:fill="auto"/>
            <w:vAlign w:val="center"/>
          </w:tcPr>
          <w:p w:rsidR="00CF27E6" w:rsidRPr="001567C8" w:rsidRDefault="00CF27E6" w:rsidP="00577947">
            <w:pPr>
              <w:pStyle w:val="TT"/>
              <w:jc w:val="right"/>
              <w:rPr>
                <w:rFonts w:asciiTheme="minorHAnsi" w:hAnsiTheme="minorHAnsi" w:cs="Arial"/>
                <w:spacing w:val="-3"/>
                <w:sz w:val="22"/>
                <w:szCs w:val="22"/>
                <w:lang w:val="hr-HR"/>
              </w:rPr>
            </w:pPr>
            <w:r w:rsidRPr="00CD3A2D">
              <w:rPr>
                <w:rFonts w:ascii="Calibri" w:hAnsi="Calibri" w:cs="Calibri"/>
                <w:color w:val="000000"/>
                <w:sz w:val="22"/>
                <w:szCs w:val="22"/>
                <w:lang w:val="hr-HR"/>
              </w:rPr>
              <w:t>90.055</w:t>
            </w:r>
          </w:p>
        </w:tc>
        <w:tc>
          <w:tcPr>
            <w:tcW w:w="683" w:type="pct"/>
            <w:tcBorders>
              <w:top w:val="nil"/>
              <w:left w:val="nil"/>
              <w:bottom w:val="nil"/>
              <w:right w:val="nil"/>
            </w:tcBorders>
            <w:shd w:val="clear" w:color="auto" w:fill="auto"/>
            <w:vAlign w:val="center"/>
          </w:tcPr>
          <w:p w:rsidR="00CF27E6" w:rsidRPr="001567C8" w:rsidRDefault="00CF27E6" w:rsidP="00577947">
            <w:pPr>
              <w:pStyle w:val="TT"/>
              <w:jc w:val="right"/>
              <w:rPr>
                <w:rFonts w:asciiTheme="minorHAnsi" w:hAnsiTheme="minorHAnsi" w:cs="Arial"/>
                <w:spacing w:val="-3"/>
                <w:sz w:val="22"/>
                <w:szCs w:val="22"/>
                <w:lang w:val="hr-HR"/>
              </w:rPr>
            </w:pPr>
            <w:r w:rsidRPr="00CD3A2D">
              <w:rPr>
                <w:rFonts w:ascii="Calibri" w:hAnsi="Calibri"/>
                <w:color w:val="000000"/>
                <w:sz w:val="22"/>
                <w:szCs w:val="22"/>
                <w:lang w:val="hr-HR"/>
              </w:rPr>
              <w:t>90.469</w:t>
            </w:r>
          </w:p>
        </w:tc>
        <w:tc>
          <w:tcPr>
            <w:tcW w:w="679" w:type="pct"/>
            <w:tcBorders>
              <w:top w:val="nil"/>
              <w:left w:val="nil"/>
              <w:bottom w:val="nil"/>
              <w:right w:val="nil"/>
            </w:tcBorders>
            <w:shd w:val="clear" w:color="auto" w:fill="auto"/>
            <w:vAlign w:val="center"/>
          </w:tcPr>
          <w:p w:rsidR="00CF27E6" w:rsidRPr="001567C8" w:rsidRDefault="00CF27E6" w:rsidP="00577947">
            <w:pPr>
              <w:pStyle w:val="TT"/>
              <w:jc w:val="right"/>
              <w:rPr>
                <w:rFonts w:asciiTheme="minorHAnsi" w:hAnsiTheme="minorHAnsi" w:cs="Arial"/>
                <w:spacing w:val="-3"/>
                <w:sz w:val="22"/>
                <w:szCs w:val="22"/>
                <w:lang w:val="hr-HR"/>
              </w:rPr>
            </w:pPr>
            <w:r w:rsidRPr="00CD3A2D">
              <w:rPr>
                <w:rFonts w:ascii="Calibri" w:hAnsi="Calibri" w:cs="Calibri"/>
                <w:color w:val="000000"/>
                <w:sz w:val="22"/>
                <w:szCs w:val="22"/>
                <w:lang w:val="hr-HR"/>
              </w:rPr>
              <w:t>86.518</w:t>
            </w:r>
          </w:p>
        </w:tc>
      </w:tr>
      <w:tr w:rsidR="00023AE8" w:rsidRPr="001567C8" w:rsidTr="003C6BA3">
        <w:trPr>
          <w:trHeight w:val="20"/>
        </w:trPr>
        <w:tc>
          <w:tcPr>
            <w:tcW w:w="2197" w:type="pct"/>
          </w:tcPr>
          <w:p w:rsidR="00023AE8" w:rsidRPr="001567C8" w:rsidRDefault="00023AE8" w:rsidP="00577947">
            <w:pPr>
              <w:pStyle w:val="TT"/>
              <w:rPr>
                <w:rFonts w:asciiTheme="minorHAnsi" w:hAnsiTheme="minorHAnsi" w:cs="Arial"/>
                <w:sz w:val="22"/>
                <w:szCs w:val="22"/>
                <w:lang w:val="hr-HR"/>
              </w:rPr>
            </w:pPr>
          </w:p>
        </w:tc>
        <w:tc>
          <w:tcPr>
            <w:tcW w:w="834"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olor w:val="000000"/>
                <w:sz w:val="22"/>
                <w:szCs w:val="22"/>
                <w:lang w:val="hr-HR"/>
              </w:rPr>
            </w:pPr>
          </w:p>
        </w:tc>
        <w:tc>
          <w:tcPr>
            <w:tcW w:w="607"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s="Calibri"/>
                <w:color w:val="000000"/>
                <w:sz w:val="22"/>
                <w:szCs w:val="22"/>
                <w:lang w:val="hr-HR"/>
              </w:rPr>
            </w:pPr>
          </w:p>
        </w:tc>
        <w:tc>
          <w:tcPr>
            <w:tcW w:w="683"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olor w:val="000000"/>
                <w:sz w:val="22"/>
                <w:szCs w:val="22"/>
                <w:lang w:val="hr-HR"/>
              </w:rPr>
            </w:pPr>
          </w:p>
        </w:tc>
        <w:tc>
          <w:tcPr>
            <w:tcW w:w="679"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s="Calibri"/>
                <w:color w:val="000000"/>
                <w:sz w:val="22"/>
                <w:szCs w:val="22"/>
                <w:lang w:val="hr-HR"/>
              </w:rPr>
            </w:pPr>
          </w:p>
        </w:tc>
      </w:tr>
      <w:tr w:rsidR="00CF27E6" w:rsidRPr="001567C8" w:rsidTr="003C6BA3">
        <w:trPr>
          <w:trHeight w:val="20"/>
        </w:trPr>
        <w:tc>
          <w:tcPr>
            <w:tcW w:w="2197" w:type="pct"/>
          </w:tcPr>
          <w:p w:rsidR="00CF27E6" w:rsidRPr="001567C8" w:rsidRDefault="00CF27E6" w:rsidP="00577947">
            <w:pPr>
              <w:pStyle w:val="TT"/>
              <w:rPr>
                <w:rFonts w:asciiTheme="minorHAnsi" w:hAnsiTheme="minorHAnsi" w:cs="Arial"/>
                <w:sz w:val="22"/>
                <w:szCs w:val="22"/>
                <w:lang w:val="hr-HR"/>
              </w:rPr>
            </w:pPr>
            <w:r w:rsidRPr="001567C8">
              <w:rPr>
                <w:rFonts w:asciiTheme="minorHAnsi" w:hAnsiTheme="minorHAnsi" w:cs="Arial"/>
                <w:sz w:val="22"/>
                <w:szCs w:val="22"/>
                <w:lang w:val="hr-HR"/>
              </w:rPr>
              <w:t>10. b) Amortizacija</w:t>
            </w:r>
          </w:p>
        </w:tc>
        <w:tc>
          <w:tcPr>
            <w:tcW w:w="834" w:type="pct"/>
            <w:tcBorders>
              <w:top w:val="nil"/>
              <w:left w:val="nil"/>
              <w:bottom w:val="nil"/>
              <w:right w:val="nil"/>
            </w:tcBorders>
            <w:shd w:val="clear" w:color="auto" w:fill="auto"/>
            <w:vAlign w:val="center"/>
          </w:tcPr>
          <w:p w:rsidR="00CF27E6" w:rsidRPr="001567C8" w:rsidRDefault="00CF27E6" w:rsidP="00577947">
            <w:pPr>
              <w:pStyle w:val="TT"/>
              <w:jc w:val="right"/>
              <w:rPr>
                <w:rFonts w:asciiTheme="minorHAnsi" w:hAnsiTheme="minorHAnsi" w:cs="Arial"/>
                <w:spacing w:val="-3"/>
                <w:sz w:val="22"/>
                <w:szCs w:val="22"/>
                <w:lang w:val="hr-HR"/>
              </w:rPr>
            </w:pPr>
            <w:r w:rsidRPr="00CD3A2D">
              <w:rPr>
                <w:rFonts w:ascii="Calibri" w:hAnsi="Calibri"/>
                <w:color w:val="000000"/>
                <w:sz w:val="22"/>
                <w:szCs w:val="22"/>
                <w:lang w:val="hr-HR"/>
              </w:rPr>
              <w:t>6.329</w:t>
            </w:r>
          </w:p>
        </w:tc>
        <w:tc>
          <w:tcPr>
            <w:tcW w:w="607" w:type="pct"/>
            <w:tcBorders>
              <w:top w:val="nil"/>
              <w:left w:val="nil"/>
              <w:bottom w:val="nil"/>
              <w:right w:val="nil"/>
            </w:tcBorders>
            <w:shd w:val="clear" w:color="auto" w:fill="auto"/>
            <w:vAlign w:val="center"/>
          </w:tcPr>
          <w:p w:rsidR="00CF27E6" w:rsidRPr="001567C8" w:rsidRDefault="00CF27E6" w:rsidP="00577947">
            <w:pPr>
              <w:pStyle w:val="TT"/>
              <w:jc w:val="right"/>
              <w:rPr>
                <w:rFonts w:asciiTheme="minorHAnsi" w:hAnsiTheme="minorHAnsi" w:cs="Arial"/>
                <w:spacing w:val="-3"/>
                <w:sz w:val="22"/>
                <w:szCs w:val="22"/>
                <w:lang w:val="hr-HR"/>
              </w:rPr>
            </w:pPr>
            <w:r w:rsidRPr="00CD3A2D">
              <w:rPr>
                <w:rFonts w:ascii="Calibri" w:hAnsi="Calibri" w:cs="Calibri"/>
                <w:color w:val="000000"/>
                <w:sz w:val="22"/>
                <w:szCs w:val="22"/>
                <w:lang w:val="hr-HR"/>
              </w:rPr>
              <w:t>7.539</w:t>
            </w:r>
          </w:p>
        </w:tc>
        <w:tc>
          <w:tcPr>
            <w:tcW w:w="683" w:type="pct"/>
            <w:tcBorders>
              <w:top w:val="nil"/>
              <w:left w:val="nil"/>
              <w:bottom w:val="nil"/>
              <w:right w:val="nil"/>
            </w:tcBorders>
            <w:shd w:val="clear" w:color="auto" w:fill="auto"/>
            <w:vAlign w:val="center"/>
          </w:tcPr>
          <w:p w:rsidR="00CF27E6" w:rsidRPr="001567C8" w:rsidRDefault="00CF27E6" w:rsidP="00577947">
            <w:pPr>
              <w:pStyle w:val="TT"/>
              <w:jc w:val="right"/>
              <w:rPr>
                <w:rFonts w:asciiTheme="minorHAnsi" w:hAnsiTheme="minorHAnsi" w:cs="Arial"/>
                <w:spacing w:val="-3"/>
                <w:sz w:val="22"/>
                <w:szCs w:val="22"/>
                <w:lang w:val="hr-HR"/>
              </w:rPr>
            </w:pPr>
            <w:r w:rsidRPr="00CD3A2D">
              <w:rPr>
                <w:rFonts w:ascii="Calibri" w:hAnsi="Calibri"/>
                <w:color w:val="000000"/>
                <w:sz w:val="22"/>
                <w:szCs w:val="22"/>
                <w:lang w:val="hr-HR"/>
              </w:rPr>
              <w:t>6.284</w:t>
            </w:r>
          </w:p>
        </w:tc>
        <w:tc>
          <w:tcPr>
            <w:tcW w:w="679" w:type="pct"/>
            <w:tcBorders>
              <w:top w:val="nil"/>
              <w:left w:val="nil"/>
              <w:bottom w:val="nil"/>
              <w:right w:val="nil"/>
            </w:tcBorders>
            <w:shd w:val="clear" w:color="auto" w:fill="auto"/>
            <w:vAlign w:val="center"/>
          </w:tcPr>
          <w:p w:rsidR="00CF27E6" w:rsidRPr="001567C8" w:rsidRDefault="00CF27E6" w:rsidP="00577947">
            <w:pPr>
              <w:pStyle w:val="TT"/>
              <w:jc w:val="right"/>
              <w:rPr>
                <w:rFonts w:asciiTheme="minorHAnsi" w:hAnsiTheme="minorHAnsi" w:cs="Arial"/>
                <w:spacing w:val="-3"/>
                <w:sz w:val="22"/>
                <w:szCs w:val="22"/>
                <w:lang w:val="hr-HR"/>
              </w:rPr>
            </w:pPr>
            <w:r w:rsidRPr="00CD3A2D">
              <w:rPr>
                <w:rFonts w:ascii="Calibri" w:hAnsi="Calibri" w:cs="Calibri"/>
                <w:color w:val="000000"/>
                <w:sz w:val="22"/>
                <w:szCs w:val="22"/>
                <w:lang w:val="hr-HR"/>
              </w:rPr>
              <w:t>7.482</w:t>
            </w:r>
          </w:p>
        </w:tc>
      </w:tr>
      <w:tr w:rsidR="00023AE8" w:rsidRPr="001567C8" w:rsidTr="003C6BA3">
        <w:trPr>
          <w:trHeight w:val="20"/>
        </w:trPr>
        <w:tc>
          <w:tcPr>
            <w:tcW w:w="2197" w:type="pct"/>
          </w:tcPr>
          <w:p w:rsidR="00023AE8" w:rsidRPr="001567C8" w:rsidRDefault="00023AE8" w:rsidP="00577947">
            <w:pPr>
              <w:pStyle w:val="TT"/>
              <w:rPr>
                <w:rFonts w:asciiTheme="minorHAnsi" w:hAnsiTheme="minorHAnsi" w:cs="Arial"/>
                <w:sz w:val="22"/>
                <w:szCs w:val="22"/>
                <w:lang w:val="hr-HR"/>
              </w:rPr>
            </w:pPr>
          </w:p>
        </w:tc>
        <w:tc>
          <w:tcPr>
            <w:tcW w:w="834"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olor w:val="000000"/>
                <w:sz w:val="22"/>
                <w:szCs w:val="22"/>
                <w:lang w:val="hr-HR"/>
              </w:rPr>
            </w:pPr>
          </w:p>
        </w:tc>
        <w:tc>
          <w:tcPr>
            <w:tcW w:w="607"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s="Calibri"/>
                <w:color w:val="000000"/>
                <w:sz w:val="22"/>
                <w:szCs w:val="22"/>
                <w:lang w:val="hr-HR"/>
              </w:rPr>
            </w:pPr>
          </w:p>
        </w:tc>
        <w:tc>
          <w:tcPr>
            <w:tcW w:w="683"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olor w:val="000000"/>
                <w:sz w:val="22"/>
                <w:szCs w:val="22"/>
                <w:lang w:val="hr-HR"/>
              </w:rPr>
            </w:pPr>
          </w:p>
        </w:tc>
        <w:tc>
          <w:tcPr>
            <w:tcW w:w="679"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s="Calibri"/>
                <w:color w:val="000000"/>
                <w:sz w:val="22"/>
                <w:szCs w:val="22"/>
                <w:lang w:val="hr-HR"/>
              </w:rPr>
            </w:pPr>
          </w:p>
        </w:tc>
      </w:tr>
      <w:tr w:rsidR="00CF27E6" w:rsidRPr="001567C8" w:rsidTr="003C6BA3">
        <w:trPr>
          <w:trHeight w:val="20"/>
        </w:trPr>
        <w:tc>
          <w:tcPr>
            <w:tcW w:w="2197" w:type="pct"/>
          </w:tcPr>
          <w:p w:rsidR="00CF27E6" w:rsidRPr="001567C8" w:rsidRDefault="00CF27E6" w:rsidP="00577947">
            <w:pPr>
              <w:pStyle w:val="TT"/>
              <w:rPr>
                <w:rFonts w:asciiTheme="minorHAnsi" w:hAnsiTheme="minorHAnsi" w:cs="Arial"/>
                <w:sz w:val="22"/>
                <w:szCs w:val="22"/>
                <w:lang w:val="hr-HR"/>
              </w:rPr>
            </w:pPr>
            <w:r w:rsidRPr="001567C8">
              <w:rPr>
                <w:rFonts w:asciiTheme="minorHAnsi" w:hAnsiTheme="minorHAnsi" w:cs="Arial"/>
                <w:sz w:val="22"/>
                <w:szCs w:val="22"/>
                <w:lang w:val="hr-HR"/>
              </w:rPr>
              <w:t>10. c) Ostali troškovi</w:t>
            </w:r>
          </w:p>
        </w:tc>
        <w:tc>
          <w:tcPr>
            <w:tcW w:w="834" w:type="pct"/>
            <w:tcBorders>
              <w:top w:val="nil"/>
              <w:left w:val="nil"/>
              <w:bottom w:val="nil"/>
              <w:right w:val="nil"/>
            </w:tcBorders>
            <w:shd w:val="clear" w:color="auto" w:fill="auto"/>
            <w:vAlign w:val="center"/>
          </w:tcPr>
          <w:p w:rsidR="00CF27E6" w:rsidRPr="00CD3A2D" w:rsidRDefault="00CF27E6" w:rsidP="00577947">
            <w:pPr>
              <w:pStyle w:val="TT"/>
              <w:jc w:val="right"/>
              <w:rPr>
                <w:rFonts w:ascii="Calibri" w:hAnsi="Calibri"/>
                <w:color w:val="000000"/>
                <w:sz w:val="22"/>
                <w:szCs w:val="22"/>
                <w:lang w:val="hr-HR"/>
              </w:rPr>
            </w:pPr>
            <w:r w:rsidRPr="00CD3A2D">
              <w:rPr>
                <w:rFonts w:ascii="Calibri" w:hAnsi="Calibri"/>
                <w:color w:val="000000"/>
                <w:sz w:val="22"/>
                <w:szCs w:val="22"/>
                <w:lang w:val="hr-HR"/>
              </w:rPr>
              <w:t>70.726</w:t>
            </w:r>
          </w:p>
        </w:tc>
        <w:tc>
          <w:tcPr>
            <w:tcW w:w="607" w:type="pct"/>
            <w:tcBorders>
              <w:top w:val="nil"/>
              <w:left w:val="nil"/>
              <w:bottom w:val="nil"/>
              <w:right w:val="nil"/>
            </w:tcBorders>
            <w:shd w:val="clear" w:color="auto" w:fill="auto"/>
            <w:vAlign w:val="center"/>
          </w:tcPr>
          <w:p w:rsidR="00CF27E6" w:rsidRPr="00CD3A2D" w:rsidRDefault="00CF27E6" w:rsidP="00577947">
            <w:pPr>
              <w:pStyle w:val="TT"/>
              <w:jc w:val="right"/>
              <w:rPr>
                <w:rFonts w:ascii="Calibri" w:hAnsi="Calibri" w:cs="Calibri"/>
                <w:color w:val="000000"/>
                <w:sz w:val="22"/>
                <w:szCs w:val="22"/>
                <w:lang w:val="hr-HR"/>
              </w:rPr>
            </w:pPr>
            <w:r w:rsidRPr="00CD3A2D">
              <w:rPr>
                <w:rFonts w:ascii="Calibri" w:hAnsi="Calibri"/>
                <w:color w:val="000000"/>
                <w:sz w:val="22"/>
                <w:szCs w:val="22"/>
                <w:lang w:val="hr-HR"/>
              </w:rPr>
              <w:t>61.406</w:t>
            </w:r>
          </w:p>
        </w:tc>
        <w:tc>
          <w:tcPr>
            <w:tcW w:w="683" w:type="pct"/>
            <w:tcBorders>
              <w:top w:val="nil"/>
              <w:left w:val="nil"/>
              <w:bottom w:val="nil"/>
              <w:right w:val="nil"/>
            </w:tcBorders>
            <w:shd w:val="clear" w:color="auto" w:fill="auto"/>
            <w:vAlign w:val="center"/>
          </w:tcPr>
          <w:p w:rsidR="00CF27E6" w:rsidRPr="00CD3A2D" w:rsidRDefault="00CF27E6" w:rsidP="00577947">
            <w:pPr>
              <w:pStyle w:val="TT"/>
              <w:jc w:val="right"/>
              <w:rPr>
                <w:rFonts w:ascii="Calibri" w:hAnsi="Calibri"/>
                <w:color w:val="000000"/>
                <w:sz w:val="22"/>
                <w:szCs w:val="22"/>
                <w:lang w:val="hr-HR"/>
              </w:rPr>
            </w:pPr>
            <w:r w:rsidRPr="00CD3A2D">
              <w:rPr>
                <w:rFonts w:ascii="Calibri" w:hAnsi="Calibri"/>
                <w:color w:val="000000"/>
                <w:sz w:val="22"/>
                <w:szCs w:val="22"/>
                <w:lang w:val="hr-HR"/>
              </w:rPr>
              <w:t>64.407</w:t>
            </w:r>
          </w:p>
        </w:tc>
        <w:tc>
          <w:tcPr>
            <w:tcW w:w="679" w:type="pct"/>
            <w:tcBorders>
              <w:top w:val="nil"/>
              <w:left w:val="nil"/>
              <w:bottom w:val="nil"/>
              <w:right w:val="nil"/>
            </w:tcBorders>
            <w:shd w:val="clear" w:color="auto" w:fill="auto"/>
            <w:vAlign w:val="center"/>
          </w:tcPr>
          <w:p w:rsidR="00CF27E6" w:rsidRPr="00CD3A2D" w:rsidRDefault="00CF27E6" w:rsidP="00577947">
            <w:pPr>
              <w:pStyle w:val="TT"/>
              <w:jc w:val="right"/>
              <w:rPr>
                <w:rFonts w:ascii="Calibri" w:hAnsi="Calibri" w:cs="Calibri"/>
                <w:color w:val="000000"/>
                <w:sz w:val="22"/>
                <w:szCs w:val="22"/>
                <w:lang w:val="hr-HR"/>
              </w:rPr>
            </w:pPr>
            <w:r w:rsidRPr="00CD3A2D">
              <w:rPr>
                <w:rFonts w:ascii="Calibri" w:hAnsi="Calibri"/>
                <w:color w:val="000000"/>
                <w:sz w:val="22"/>
                <w:szCs w:val="22"/>
                <w:lang w:val="hr-HR"/>
              </w:rPr>
              <w:t>55.432</w:t>
            </w:r>
          </w:p>
        </w:tc>
      </w:tr>
      <w:tr w:rsidR="00023AE8" w:rsidRPr="001567C8" w:rsidTr="003C6BA3">
        <w:trPr>
          <w:trHeight w:hRule="exact" w:val="113"/>
        </w:trPr>
        <w:tc>
          <w:tcPr>
            <w:tcW w:w="2197" w:type="pct"/>
          </w:tcPr>
          <w:p w:rsidR="00023AE8" w:rsidRPr="001567C8" w:rsidRDefault="00023AE8" w:rsidP="00577947">
            <w:pPr>
              <w:pStyle w:val="TT"/>
              <w:rPr>
                <w:rFonts w:asciiTheme="minorHAnsi" w:hAnsiTheme="minorHAnsi" w:cs="Arial"/>
                <w:sz w:val="22"/>
                <w:szCs w:val="22"/>
                <w:lang w:val="hr-HR"/>
              </w:rPr>
            </w:pPr>
          </w:p>
        </w:tc>
        <w:tc>
          <w:tcPr>
            <w:tcW w:w="834"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olor w:val="000000"/>
                <w:sz w:val="22"/>
                <w:szCs w:val="22"/>
                <w:lang w:val="hr-HR"/>
              </w:rPr>
            </w:pPr>
          </w:p>
        </w:tc>
        <w:tc>
          <w:tcPr>
            <w:tcW w:w="607"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olor w:val="000000"/>
                <w:sz w:val="22"/>
                <w:szCs w:val="22"/>
                <w:lang w:val="hr-HR"/>
              </w:rPr>
            </w:pPr>
          </w:p>
        </w:tc>
        <w:tc>
          <w:tcPr>
            <w:tcW w:w="683"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olor w:val="000000"/>
                <w:sz w:val="22"/>
                <w:szCs w:val="22"/>
                <w:lang w:val="hr-HR"/>
              </w:rPr>
            </w:pPr>
          </w:p>
        </w:tc>
        <w:tc>
          <w:tcPr>
            <w:tcW w:w="679" w:type="pct"/>
            <w:tcBorders>
              <w:top w:val="nil"/>
              <w:left w:val="nil"/>
              <w:bottom w:val="nil"/>
              <w:right w:val="nil"/>
            </w:tcBorders>
            <w:shd w:val="clear" w:color="auto" w:fill="auto"/>
            <w:vAlign w:val="center"/>
          </w:tcPr>
          <w:p w:rsidR="00023AE8" w:rsidRPr="00CD3A2D" w:rsidRDefault="00023AE8" w:rsidP="00577947">
            <w:pPr>
              <w:pStyle w:val="TT"/>
              <w:jc w:val="right"/>
              <w:rPr>
                <w:rFonts w:ascii="Calibri" w:hAnsi="Calibri"/>
                <w:color w:val="000000"/>
                <w:sz w:val="22"/>
                <w:szCs w:val="22"/>
                <w:lang w:val="hr-HR"/>
              </w:rPr>
            </w:pPr>
          </w:p>
        </w:tc>
      </w:tr>
      <w:tr w:rsidR="00CF27E6" w:rsidRPr="001567C8" w:rsidTr="003C6BA3">
        <w:trPr>
          <w:trHeight w:val="20"/>
        </w:trPr>
        <w:tc>
          <w:tcPr>
            <w:tcW w:w="2197" w:type="pct"/>
          </w:tcPr>
          <w:p w:rsidR="00CF27E6" w:rsidRPr="001567C8" w:rsidRDefault="00CF27E6" w:rsidP="00577947">
            <w:pPr>
              <w:pStyle w:val="TT"/>
              <w:rPr>
                <w:rFonts w:asciiTheme="minorHAnsi" w:hAnsiTheme="minorHAnsi" w:cs="Arial"/>
                <w:sz w:val="22"/>
                <w:szCs w:val="22"/>
                <w:lang w:val="hr-HR"/>
              </w:rPr>
            </w:pPr>
            <w:r w:rsidRPr="001567C8">
              <w:rPr>
                <w:rFonts w:asciiTheme="minorHAnsi" w:hAnsiTheme="minorHAnsi" w:cs="Arial"/>
                <w:sz w:val="22"/>
                <w:szCs w:val="22"/>
                <w:lang w:val="hr-HR"/>
              </w:rPr>
              <w:t>Od čega:</w:t>
            </w:r>
          </w:p>
        </w:tc>
        <w:tc>
          <w:tcPr>
            <w:tcW w:w="834" w:type="pct"/>
            <w:tcBorders>
              <w:top w:val="nil"/>
              <w:left w:val="nil"/>
              <w:bottom w:val="nil"/>
              <w:right w:val="nil"/>
            </w:tcBorders>
            <w:shd w:val="clear" w:color="auto" w:fill="auto"/>
            <w:vAlign w:val="center"/>
          </w:tcPr>
          <w:p w:rsidR="00CF27E6" w:rsidRPr="00CD3A2D" w:rsidRDefault="00CF27E6" w:rsidP="00577947">
            <w:pPr>
              <w:pStyle w:val="TT"/>
              <w:jc w:val="right"/>
              <w:rPr>
                <w:rFonts w:ascii="Calibri" w:hAnsi="Calibri"/>
                <w:color w:val="000000"/>
                <w:sz w:val="22"/>
                <w:szCs w:val="22"/>
                <w:lang w:val="hr-HR"/>
              </w:rPr>
            </w:pPr>
          </w:p>
        </w:tc>
        <w:tc>
          <w:tcPr>
            <w:tcW w:w="607" w:type="pct"/>
            <w:tcBorders>
              <w:top w:val="nil"/>
              <w:left w:val="nil"/>
              <w:bottom w:val="nil"/>
              <w:right w:val="nil"/>
            </w:tcBorders>
            <w:shd w:val="clear" w:color="auto" w:fill="auto"/>
            <w:vAlign w:val="center"/>
          </w:tcPr>
          <w:p w:rsidR="00CF27E6" w:rsidRPr="00CD3A2D" w:rsidRDefault="00CF27E6" w:rsidP="00577947">
            <w:pPr>
              <w:pStyle w:val="TT"/>
              <w:jc w:val="right"/>
              <w:rPr>
                <w:rFonts w:ascii="Calibri" w:hAnsi="Calibri"/>
                <w:color w:val="000000"/>
                <w:sz w:val="22"/>
                <w:szCs w:val="22"/>
                <w:lang w:val="hr-HR"/>
              </w:rPr>
            </w:pPr>
          </w:p>
        </w:tc>
        <w:tc>
          <w:tcPr>
            <w:tcW w:w="683" w:type="pct"/>
            <w:tcBorders>
              <w:top w:val="nil"/>
              <w:left w:val="nil"/>
              <w:bottom w:val="nil"/>
              <w:right w:val="nil"/>
            </w:tcBorders>
            <w:shd w:val="clear" w:color="auto" w:fill="auto"/>
            <w:vAlign w:val="center"/>
          </w:tcPr>
          <w:p w:rsidR="00CF27E6" w:rsidRPr="00CD3A2D" w:rsidRDefault="00CF27E6" w:rsidP="00577947">
            <w:pPr>
              <w:pStyle w:val="TT"/>
              <w:jc w:val="right"/>
              <w:rPr>
                <w:rFonts w:ascii="Calibri" w:hAnsi="Calibri"/>
                <w:color w:val="000000"/>
                <w:sz w:val="22"/>
                <w:szCs w:val="22"/>
                <w:lang w:val="hr-HR"/>
              </w:rPr>
            </w:pPr>
          </w:p>
        </w:tc>
        <w:tc>
          <w:tcPr>
            <w:tcW w:w="679" w:type="pct"/>
            <w:tcBorders>
              <w:top w:val="nil"/>
              <w:left w:val="nil"/>
              <w:bottom w:val="nil"/>
              <w:right w:val="nil"/>
            </w:tcBorders>
            <w:shd w:val="clear" w:color="auto" w:fill="auto"/>
            <w:vAlign w:val="center"/>
          </w:tcPr>
          <w:p w:rsidR="00CF27E6" w:rsidRPr="00CD3A2D" w:rsidRDefault="00CF27E6" w:rsidP="00577947">
            <w:pPr>
              <w:pStyle w:val="TT"/>
              <w:jc w:val="right"/>
              <w:rPr>
                <w:rFonts w:ascii="Calibri" w:hAnsi="Calibri"/>
                <w:color w:val="000000"/>
                <w:sz w:val="22"/>
                <w:szCs w:val="22"/>
                <w:lang w:val="hr-HR"/>
              </w:rPr>
            </w:pPr>
          </w:p>
        </w:tc>
      </w:tr>
      <w:tr w:rsidR="00CF27E6" w:rsidRPr="001567C8" w:rsidTr="003C6BA3">
        <w:trPr>
          <w:trHeight w:val="20"/>
        </w:trPr>
        <w:tc>
          <w:tcPr>
            <w:tcW w:w="2197" w:type="pct"/>
          </w:tcPr>
          <w:p w:rsidR="00CF27E6" w:rsidRPr="001567C8" w:rsidRDefault="00CF27E6" w:rsidP="00CF27E6">
            <w:pPr>
              <w:pStyle w:val="TT"/>
              <w:rPr>
                <w:rFonts w:asciiTheme="minorHAnsi" w:hAnsiTheme="minorHAnsi" w:cs="Arial"/>
                <w:i/>
                <w:szCs w:val="19"/>
                <w:lang w:val="hr-HR"/>
              </w:rPr>
            </w:pPr>
            <w:r w:rsidRPr="001567C8">
              <w:rPr>
                <w:rFonts w:asciiTheme="minorHAnsi" w:hAnsiTheme="minorHAnsi" w:cs="Arial"/>
                <w:i/>
                <w:szCs w:val="19"/>
                <w:lang w:val="hr-HR"/>
              </w:rPr>
              <w:t xml:space="preserve">Troškovi administracije </w:t>
            </w:r>
          </w:p>
        </w:tc>
        <w:tc>
          <w:tcPr>
            <w:tcW w:w="834" w:type="pct"/>
            <w:tcBorders>
              <w:top w:val="nil"/>
              <w:left w:val="nil"/>
              <w:bottom w:val="nil"/>
              <w:right w:val="nil"/>
            </w:tcBorders>
            <w:shd w:val="clear" w:color="auto" w:fill="auto"/>
            <w:vAlign w:val="center"/>
          </w:tcPr>
          <w:p w:rsidR="00CF27E6" w:rsidRPr="00CD3A2D" w:rsidRDefault="00CF27E6" w:rsidP="00CF27E6">
            <w:pPr>
              <w:pStyle w:val="TT"/>
              <w:jc w:val="right"/>
              <w:rPr>
                <w:rFonts w:ascii="Calibri" w:hAnsi="Calibri"/>
                <w:i/>
                <w:color w:val="000000"/>
                <w:szCs w:val="19"/>
                <w:lang w:val="hr-HR"/>
              </w:rPr>
            </w:pPr>
            <w:r w:rsidRPr="00CD3A2D">
              <w:rPr>
                <w:rFonts w:ascii="Calibri" w:hAnsi="Calibri"/>
                <w:i/>
                <w:color w:val="000000"/>
                <w:szCs w:val="19"/>
                <w:lang w:val="hr-HR"/>
              </w:rPr>
              <w:t>20.892</w:t>
            </w:r>
          </w:p>
        </w:tc>
        <w:tc>
          <w:tcPr>
            <w:tcW w:w="607" w:type="pct"/>
            <w:tcBorders>
              <w:top w:val="nil"/>
              <w:left w:val="nil"/>
              <w:bottom w:val="nil"/>
              <w:right w:val="nil"/>
            </w:tcBorders>
            <w:shd w:val="clear" w:color="auto" w:fill="auto"/>
            <w:vAlign w:val="center"/>
          </w:tcPr>
          <w:p w:rsidR="00CF27E6" w:rsidRPr="00CD3A2D" w:rsidRDefault="00CF27E6" w:rsidP="00CF27E6">
            <w:pPr>
              <w:pStyle w:val="TT"/>
              <w:jc w:val="right"/>
              <w:rPr>
                <w:rFonts w:ascii="Calibri" w:hAnsi="Calibri"/>
                <w:i/>
                <w:color w:val="000000"/>
                <w:szCs w:val="19"/>
                <w:lang w:val="hr-HR"/>
              </w:rPr>
            </w:pPr>
            <w:r w:rsidRPr="00CD3A2D">
              <w:rPr>
                <w:rFonts w:ascii="Calibri" w:hAnsi="Calibri" w:cs="Calibri"/>
                <w:i/>
                <w:color w:val="000000"/>
                <w:szCs w:val="19"/>
                <w:lang w:val="hr-HR"/>
              </w:rPr>
              <w:t>15.831</w:t>
            </w:r>
          </w:p>
        </w:tc>
        <w:tc>
          <w:tcPr>
            <w:tcW w:w="683" w:type="pct"/>
            <w:tcBorders>
              <w:top w:val="nil"/>
              <w:left w:val="nil"/>
              <w:bottom w:val="nil"/>
              <w:right w:val="nil"/>
            </w:tcBorders>
            <w:shd w:val="clear" w:color="auto" w:fill="auto"/>
            <w:vAlign w:val="center"/>
          </w:tcPr>
          <w:p w:rsidR="00CF27E6" w:rsidRPr="00CD3A2D" w:rsidRDefault="00CF27E6" w:rsidP="00CF27E6">
            <w:pPr>
              <w:pStyle w:val="TT"/>
              <w:jc w:val="right"/>
              <w:rPr>
                <w:rFonts w:ascii="Calibri" w:hAnsi="Calibri"/>
                <w:i/>
                <w:color w:val="000000"/>
                <w:szCs w:val="19"/>
                <w:lang w:val="hr-HR"/>
              </w:rPr>
            </w:pPr>
            <w:r w:rsidRPr="00CD3A2D">
              <w:rPr>
                <w:rFonts w:ascii="Calibri" w:hAnsi="Calibri"/>
                <w:i/>
                <w:color w:val="000000"/>
                <w:szCs w:val="19"/>
                <w:lang w:val="hr-HR"/>
              </w:rPr>
              <w:t>20.376</w:t>
            </w:r>
          </w:p>
        </w:tc>
        <w:tc>
          <w:tcPr>
            <w:tcW w:w="679" w:type="pct"/>
            <w:tcBorders>
              <w:top w:val="nil"/>
              <w:left w:val="nil"/>
              <w:bottom w:val="nil"/>
              <w:right w:val="nil"/>
            </w:tcBorders>
            <w:shd w:val="clear" w:color="auto" w:fill="auto"/>
            <w:vAlign w:val="center"/>
          </w:tcPr>
          <w:p w:rsidR="00CF27E6" w:rsidRPr="00CD3A2D" w:rsidRDefault="00CF27E6" w:rsidP="00CF27E6">
            <w:pPr>
              <w:pStyle w:val="TT"/>
              <w:jc w:val="right"/>
              <w:rPr>
                <w:rFonts w:ascii="Calibri" w:hAnsi="Calibri"/>
                <w:i/>
                <w:color w:val="000000"/>
                <w:szCs w:val="19"/>
                <w:lang w:val="hr-HR"/>
              </w:rPr>
            </w:pPr>
            <w:r w:rsidRPr="00CD3A2D">
              <w:rPr>
                <w:rFonts w:ascii="Calibri" w:hAnsi="Calibri" w:cs="Calibri"/>
                <w:i/>
                <w:color w:val="000000"/>
                <w:szCs w:val="19"/>
                <w:lang w:val="hr-HR"/>
              </w:rPr>
              <w:t>15.537</w:t>
            </w:r>
          </w:p>
        </w:tc>
      </w:tr>
      <w:tr w:rsidR="00CF27E6" w:rsidRPr="001567C8" w:rsidTr="003C6BA3">
        <w:trPr>
          <w:trHeight w:val="20"/>
        </w:trPr>
        <w:tc>
          <w:tcPr>
            <w:tcW w:w="2197" w:type="pct"/>
          </w:tcPr>
          <w:p w:rsidR="00CF27E6" w:rsidRPr="001567C8" w:rsidRDefault="00CF27E6" w:rsidP="00CF27E6">
            <w:pPr>
              <w:pStyle w:val="TT"/>
              <w:rPr>
                <w:rFonts w:asciiTheme="minorHAnsi" w:hAnsiTheme="minorHAnsi" w:cs="Arial"/>
                <w:i/>
                <w:szCs w:val="19"/>
                <w:lang w:val="hr-HR"/>
              </w:rPr>
            </w:pPr>
            <w:r w:rsidRPr="001567C8">
              <w:rPr>
                <w:rFonts w:asciiTheme="minorHAnsi" w:hAnsiTheme="minorHAnsi" w:cs="Arial"/>
                <w:i/>
                <w:szCs w:val="19"/>
                <w:lang w:val="hr-HR"/>
              </w:rPr>
              <w:t>Utrošeni materijal i usluge</w:t>
            </w:r>
          </w:p>
        </w:tc>
        <w:tc>
          <w:tcPr>
            <w:tcW w:w="834" w:type="pct"/>
            <w:tcBorders>
              <w:top w:val="nil"/>
              <w:left w:val="nil"/>
              <w:bottom w:val="nil"/>
              <w:right w:val="nil"/>
            </w:tcBorders>
            <w:shd w:val="clear" w:color="auto" w:fill="auto"/>
            <w:vAlign w:val="center"/>
          </w:tcPr>
          <w:p w:rsidR="00CF27E6" w:rsidRPr="00CD3A2D" w:rsidRDefault="00CF27E6" w:rsidP="00CF27E6">
            <w:pPr>
              <w:pStyle w:val="TT"/>
              <w:jc w:val="right"/>
              <w:rPr>
                <w:rFonts w:ascii="Calibri" w:hAnsi="Calibri"/>
                <w:i/>
                <w:color w:val="000000"/>
                <w:szCs w:val="19"/>
                <w:lang w:val="hr-HR"/>
              </w:rPr>
            </w:pPr>
            <w:r w:rsidRPr="00CD3A2D">
              <w:rPr>
                <w:rFonts w:ascii="Calibri" w:hAnsi="Calibri"/>
                <w:i/>
                <w:color w:val="000000"/>
                <w:szCs w:val="19"/>
                <w:lang w:val="hr-HR"/>
              </w:rPr>
              <w:t>30.165</w:t>
            </w:r>
          </w:p>
        </w:tc>
        <w:tc>
          <w:tcPr>
            <w:tcW w:w="607" w:type="pct"/>
            <w:tcBorders>
              <w:top w:val="nil"/>
              <w:left w:val="nil"/>
              <w:bottom w:val="nil"/>
              <w:right w:val="nil"/>
            </w:tcBorders>
            <w:shd w:val="clear" w:color="auto" w:fill="auto"/>
            <w:vAlign w:val="center"/>
          </w:tcPr>
          <w:p w:rsidR="00CF27E6" w:rsidRPr="00CD3A2D" w:rsidRDefault="00CF27E6" w:rsidP="00CF27E6">
            <w:pPr>
              <w:pStyle w:val="TT"/>
              <w:jc w:val="right"/>
              <w:rPr>
                <w:rFonts w:ascii="Calibri" w:hAnsi="Calibri"/>
                <w:i/>
                <w:color w:val="000000"/>
                <w:szCs w:val="19"/>
                <w:lang w:val="hr-HR"/>
              </w:rPr>
            </w:pPr>
            <w:r w:rsidRPr="00CD3A2D">
              <w:rPr>
                <w:rFonts w:ascii="Calibri" w:hAnsi="Calibri" w:cs="Calibri"/>
                <w:i/>
                <w:color w:val="000000"/>
                <w:szCs w:val="19"/>
                <w:lang w:val="hr-HR"/>
              </w:rPr>
              <w:t>34.074</w:t>
            </w:r>
          </w:p>
        </w:tc>
        <w:tc>
          <w:tcPr>
            <w:tcW w:w="683" w:type="pct"/>
            <w:tcBorders>
              <w:top w:val="nil"/>
              <w:left w:val="nil"/>
              <w:bottom w:val="nil"/>
              <w:right w:val="nil"/>
            </w:tcBorders>
            <w:shd w:val="clear" w:color="auto" w:fill="auto"/>
            <w:vAlign w:val="center"/>
          </w:tcPr>
          <w:p w:rsidR="00CF27E6" w:rsidRPr="00CD3A2D" w:rsidRDefault="00CF27E6" w:rsidP="00CF27E6">
            <w:pPr>
              <w:pStyle w:val="TT"/>
              <w:jc w:val="right"/>
              <w:rPr>
                <w:rFonts w:ascii="Calibri" w:hAnsi="Calibri"/>
                <w:i/>
                <w:color w:val="000000"/>
                <w:szCs w:val="19"/>
                <w:lang w:val="hr-HR"/>
              </w:rPr>
            </w:pPr>
            <w:r w:rsidRPr="00CD3A2D">
              <w:rPr>
                <w:rFonts w:ascii="Calibri" w:hAnsi="Calibri"/>
                <w:i/>
                <w:color w:val="000000"/>
                <w:szCs w:val="19"/>
                <w:lang w:val="hr-HR"/>
              </w:rPr>
              <w:t>28.541</w:t>
            </w:r>
          </w:p>
        </w:tc>
        <w:tc>
          <w:tcPr>
            <w:tcW w:w="679" w:type="pct"/>
            <w:tcBorders>
              <w:top w:val="nil"/>
              <w:left w:val="nil"/>
              <w:bottom w:val="nil"/>
              <w:right w:val="nil"/>
            </w:tcBorders>
            <w:shd w:val="clear" w:color="auto" w:fill="auto"/>
            <w:vAlign w:val="center"/>
          </w:tcPr>
          <w:p w:rsidR="00CF27E6" w:rsidRPr="00CD3A2D" w:rsidRDefault="00CF27E6" w:rsidP="00CF27E6">
            <w:pPr>
              <w:pStyle w:val="TT"/>
              <w:jc w:val="right"/>
              <w:rPr>
                <w:rFonts w:ascii="Calibri" w:hAnsi="Calibri"/>
                <w:i/>
                <w:color w:val="000000"/>
                <w:szCs w:val="19"/>
                <w:lang w:val="hr-HR"/>
              </w:rPr>
            </w:pPr>
            <w:r w:rsidRPr="00CD3A2D">
              <w:rPr>
                <w:rFonts w:ascii="Calibri" w:hAnsi="Calibri" w:cs="Calibri"/>
                <w:i/>
                <w:color w:val="000000"/>
                <w:szCs w:val="19"/>
                <w:lang w:val="hr-HR"/>
              </w:rPr>
              <w:t>32.041</w:t>
            </w:r>
          </w:p>
        </w:tc>
      </w:tr>
      <w:tr w:rsidR="00397014" w:rsidRPr="001567C8" w:rsidTr="00397014">
        <w:trPr>
          <w:trHeight w:val="20"/>
        </w:trPr>
        <w:tc>
          <w:tcPr>
            <w:tcW w:w="2197" w:type="pct"/>
          </w:tcPr>
          <w:p w:rsidR="00397014" w:rsidRPr="001567C8" w:rsidRDefault="00397014" w:rsidP="00397014">
            <w:pPr>
              <w:pStyle w:val="TT"/>
              <w:rPr>
                <w:rFonts w:asciiTheme="minorHAnsi" w:hAnsiTheme="minorHAnsi" w:cs="Arial"/>
                <w:i/>
                <w:szCs w:val="19"/>
                <w:lang w:val="hr-HR"/>
              </w:rPr>
            </w:pPr>
            <w:r w:rsidRPr="001567C8">
              <w:rPr>
                <w:rFonts w:asciiTheme="minorHAnsi" w:hAnsiTheme="minorHAnsi" w:cs="Arial"/>
                <w:i/>
                <w:szCs w:val="19"/>
                <w:lang w:val="hr-HR"/>
              </w:rPr>
              <w:t>Ostali rashodi</w:t>
            </w:r>
          </w:p>
        </w:tc>
        <w:tc>
          <w:tcPr>
            <w:tcW w:w="834" w:type="pct"/>
            <w:tcBorders>
              <w:top w:val="nil"/>
              <w:left w:val="nil"/>
              <w:bottom w:val="nil"/>
              <w:right w:val="nil"/>
            </w:tcBorders>
            <w:shd w:val="clear" w:color="auto" w:fill="auto"/>
          </w:tcPr>
          <w:p w:rsidR="00397014" w:rsidRPr="00397014" w:rsidRDefault="00397014" w:rsidP="00397014">
            <w:pPr>
              <w:pStyle w:val="TT"/>
              <w:jc w:val="right"/>
              <w:rPr>
                <w:rFonts w:ascii="Calibri" w:hAnsi="Calibri"/>
                <w:i/>
                <w:color w:val="000000"/>
                <w:szCs w:val="19"/>
                <w:lang w:val="hr-HR"/>
              </w:rPr>
            </w:pPr>
            <w:r w:rsidRPr="00397014">
              <w:rPr>
                <w:rFonts w:ascii="Calibri" w:hAnsi="Calibri"/>
                <w:i/>
                <w:color w:val="000000"/>
                <w:szCs w:val="19"/>
                <w:lang w:val="hr-HR"/>
              </w:rPr>
              <w:t>19.669</w:t>
            </w:r>
          </w:p>
        </w:tc>
        <w:tc>
          <w:tcPr>
            <w:tcW w:w="607" w:type="pct"/>
            <w:tcBorders>
              <w:top w:val="nil"/>
              <w:left w:val="nil"/>
              <w:bottom w:val="nil"/>
              <w:right w:val="nil"/>
            </w:tcBorders>
            <w:shd w:val="clear" w:color="auto" w:fill="auto"/>
          </w:tcPr>
          <w:p w:rsidR="00397014" w:rsidRPr="00397014" w:rsidRDefault="00397014" w:rsidP="00397014">
            <w:pPr>
              <w:pStyle w:val="TT"/>
              <w:jc w:val="right"/>
              <w:rPr>
                <w:rFonts w:ascii="Calibri" w:hAnsi="Calibri"/>
                <w:i/>
                <w:color w:val="000000"/>
                <w:szCs w:val="19"/>
                <w:lang w:val="hr-HR"/>
              </w:rPr>
            </w:pPr>
            <w:r w:rsidRPr="00397014">
              <w:rPr>
                <w:rFonts w:ascii="Calibri" w:hAnsi="Calibri"/>
                <w:i/>
                <w:color w:val="000000"/>
                <w:szCs w:val="19"/>
                <w:lang w:val="hr-HR"/>
              </w:rPr>
              <w:t>11.501</w:t>
            </w:r>
          </w:p>
        </w:tc>
        <w:tc>
          <w:tcPr>
            <w:tcW w:w="683" w:type="pct"/>
            <w:tcBorders>
              <w:top w:val="nil"/>
              <w:left w:val="nil"/>
              <w:bottom w:val="nil"/>
              <w:right w:val="nil"/>
            </w:tcBorders>
            <w:shd w:val="clear" w:color="auto" w:fill="auto"/>
          </w:tcPr>
          <w:p w:rsidR="00397014" w:rsidRPr="00397014" w:rsidRDefault="00397014" w:rsidP="00397014">
            <w:pPr>
              <w:pStyle w:val="TT"/>
              <w:jc w:val="right"/>
              <w:rPr>
                <w:rFonts w:ascii="Calibri" w:hAnsi="Calibri"/>
                <w:i/>
                <w:color w:val="000000"/>
                <w:szCs w:val="19"/>
                <w:lang w:val="hr-HR"/>
              </w:rPr>
            </w:pPr>
            <w:r w:rsidRPr="00397014">
              <w:rPr>
                <w:rFonts w:ascii="Calibri" w:hAnsi="Calibri"/>
                <w:i/>
                <w:color w:val="000000"/>
                <w:szCs w:val="19"/>
                <w:lang w:val="hr-HR"/>
              </w:rPr>
              <w:t>15.490</w:t>
            </w:r>
          </w:p>
        </w:tc>
        <w:tc>
          <w:tcPr>
            <w:tcW w:w="679" w:type="pct"/>
            <w:tcBorders>
              <w:top w:val="nil"/>
              <w:left w:val="nil"/>
              <w:bottom w:val="nil"/>
              <w:right w:val="nil"/>
            </w:tcBorders>
            <w:shd w:val="clear" w:color="auto" w:fill="auto"/>
          </w:tcPr>
          <w:p w:rsidR="00397014" w:rsidRPr="00397014" w:rsidRDefault="00397014" w:rsidP="00397014">
            <w:pPr>
              <w:pStyle w:val="TT"/>
              <w:jc w:val="right"/>
              <w:rPr>
                <w:rFonts w:ascii="Calibri" w:hAnsi="Calibri"/>
                <w:i/>
                <w:color w:val="000000"/>
                <w:szCs w:val="19"/>
                <w:lang w:val="hr-HR"/>
              </w:rPr>
            </w:pPr>
            <w:r w:rsidRPr="00397014">
              <w:rPr>
                <w:rFonts w:ascii="Calibri" w:hAnsi="Calibri"/>
                <w:i/>
                <w:color w:val="000000"/>
                <w:szCs w:val="19"/>
                <w:lang w:val="hr-HR"/>
              </w:rPr>
              <w:t>7.854</w:t>
            </w:r>
          </w:p>
        </w:tc>
      </w:tr>
      <w:tr w:rsidR="00CF27E6" w:rsidRPr="001567C8" w:rsidTr="003C6BA3">
        <w:trPr>
          <w:trHeight w:val="20"/>
        </w:trPr>
        <w:tc>
          <w:tcPr>
            <w:tcW w:w="2197" w:type="pct"/>
          </w:tcPr>
          <w:p w:rsidR="00CF27E6" w:rsidRPr="001567C8" w:rsidRDefault="00CF27E6" w:rsidP="00CF27E6">
            <w:pPr>
              <w:pStyle w:val="TT"/>
              <w:rPr>
                <w:rFonts w:asciiTheme="minorHAnsi" w:hAnsiTheme="minorHAnsi" w:cs="Arial"/>
                <w:sz w:val="22"/>
                <w:szCs w:val="22"/>
                <w:lang w:val="hr-HR"/>
              </w:rPr>
            </w:pPr>
          </w:p>
        </w:tc>
        <w:tc>
          <w:tcPr>
            <w:tcW w:w="834" w:type="pct"/>
            <w:tcBorders>
              <w:top w:val="single" w:sz="4" w:space="0" w:color="auto"/>
              <w:left w:val="nil"/>
              <w:bottom w:val="single" w:sz="12" w:space="0" w:color="auto"/>
              <w:right w:val="nil"/>
            </w:tcBorders>
            <w:shd w:val="clear" w:color="auto" w:fill="auto"/>
            <w:vAlign w:val="center"/>
          </w:tcPr>
          <w:p w:rsidR="00CF27E6" w:rsidRPr="00CD3A2D" w:rsidRDefault="00CF27E6" w:rsidP="00CF27E6">
            <w:pPr>
              <w:pStyle w:val="TT"/>
              <w:jc w:val="right"/>
              <w:rPr>
                <w:rFonts w:ascii="Calibri" w:hAnsi="Calibri"/>
                <w:color w:val="000000"/>
                <w:sz w:val="22"/>
                <w:szCs w:val="22"/>
                <w:lang w:val="hr-HR"/>
              </w:rPr>
            </w:pPr>
            <w:r w:rsidRPr="00CD3A2D">
              <w:rPr>
                <w:rFonts w:ascii="Calibri" w:hAnsi="Calibri"/>
                <w:b/>
                <w:bCs/>
                <w:color w:val="000000"/>
                <w:sz w:val="22"/>
                <w:szCs w:val="22"/>
                <w:lang w:val="hr-HR"/>
              </w:rPr>
              <w:t>170.900</w:t>
            </w:r>
          </w:p>
        </w:tc>
        <w:tc>
          <w:tcPr>
            <w:tcW w:w="607" w:type="pct"/>
            <w:tcBorders>
              <w:top w:val="single" w:sz="4" w:space="0" w:color="auto"/>
              <w:left w:val="nil"/>
              <w:bottom w:val="single" w:sz="12" w:space="0" w:color="auto"/>
              <w:right w:val="nil"/>
            </w:tcBorders>
            <w:shd w:val="clear" w:color="auto" w:fill="auto"/>
            <w:vAlign w:val="center"/>
          </w:tcPr>
          <w:p w:rsidR="00CF27E6" w:rsidRPr="00CD3A2D" w:rsidRDefault="00CF27E6" w:rsidP="00CF27E6">
            <w:pPr>
              <w:pStyle w:val="TT"/>
              <w:jc w:val="right"/>
              <w:rPr>
                <w:rFonts w:ascii="Calibri" w:hAnsi="Calibri" w:cs="Calibri"/>
                <w:color w:val="000000"/>
                <w:sz w:val="22"/>
                <w:szCs w:val="22"/>
                <w:lang w:val="hr-HR"/>
              </w:rPr>
            </w:pPr>
            <w:r w:rsidRPr="00CD3A2D">
              <w:rPr>
                <w:rFonts w:ascii="Calibri" w:hAnsi="Calibri"/>
                <w:b/>
                <w:bCs/>
                <w:color w:val="000000"/>
                <w:sz w:val="22"/>
                <w:szCs w:val="22"/>
                <w:lang w:val="hr-HR"/>
              </w:rPr>
              <w:t>159.000</w:t>
            </w:r>
          </w:p>
        </w:tc>
        <w:tc>
          <w:tcPr>
            <w:tcW w:w="683" w:type="pct"/>
            <w:tcBorders>
              <w:top w:val="single" w:sz="4" w:space="0" w:color="auto"/>
              <w:left w:val="nil"/>
              <w:bottom w:val="single" w:sz="12" w:space="0" w:color="auto"/>
              <w:right w:val="nil"/>
            </w:tcBorders>
            <w:shd w:val="clear" w:color="auto" w:fill="auto"/>
            <w:vAlign w:val="center"/>
          </w:tcPr>
          <w:p w:rsidR="00CF27E6" w:rsidRPr="00CD3A2D" w:rsidRDefault="00CF27E6" w:rsidP="00CF27E6">
            <w:pPr>
              <w:pStyle w:val="TT"/>
              <w:jc w:val="right"/>
              <w:rPr>
                <w:rFonts w:ascii="Calibri" w:hAnsi="Calibri"/>
                <w:color w:val="000000"/>
                <w:sz w:val="22"/>
                <w:szCs w:val="22"/>
                <w:lang w:val="hr-HR"/>
              </w:rPr>
            </w:pPr>
            <w:r w:rsidRPr="00CD3A2D">
              <w:rPr>
                <w:rFonts w:ascii="Calibri" w:hAnsi="Calibri"/>
                <w:b/>
                <w:bCs/>
                <w:color w:val="000000"/>
                <w:sz w:val="22"/>
                <w:szCs w:val="22"/>
                <w:lang w:val="hr-HR"/>
              </w:rPr>
              <w:t>161.160</w:t>
            </w:r>
          </w:p>
        </w:tc>
        <w:tc>
          <w:tcPr>
            <w:tcW w:w="679" w:type="pct"/>
            <w:tcBorders>
              <w:top w:val="single" w:sz="4" w:space="0" w:color="auto"/>
              <w:left w:val="nil"/>
              <w:bottom w:val="single" w:sz="12" w:space="0" w:color="auto"/>
              <w:right w:val="nil"/>
            </w:tcBorders>
            <w:shd w:val="clear" w:color="auto" w:fill="auto"/>
            <w:vAlign w:val="center"/>
          </w:tcPr>
          <w:p w:rsidR="00CF27E6" w:rsidRPr="00CD3A2D" w:rsidRDefault="00CF27E6" w:rsidP="00CF27E6">
            <w:pPr>
              <w:pStyle w:val="TT"/>
              <w:jc w:val="right"/>
              <w:rPr>
                <w:rFonts w:ascii="Calibri" w:hAnsi="Calibri" w:cs="Calibri"/>
                <w:color w:val="000000"/>
                <w:sz w:val="22"/>
                <w:szCs w:val="22"/>
                <w:lang w:val="hr-HR"/>
              </w:rPr>
            </w:pPr>
            <w:r w:rsidRPr="00CD3A2D">
              <w:rPr>
                <w:rFonts w:ascii="Calibri" w:hAnsi="Calibri"/>
                <w:b/>
                <w:bCs/>
                <w:color w:val="000000"/>
                <w:sz w:val="22"/>
                <w:szCs w:val="22"/>
                <w:lang w:val="hr-HR"/>
              </w:rPr>
              <w:t>149.432</w:t>
            </w:r>
          </w:p>
        </w:tc>
      </w:tr>
      <w:bookmarkEnd w:id="48"/>
      <w:bookmarkEnd w:id="50"/>
    </w:tbl>
    <w:p w:rsidR="008D6ED3" w:rsidRPr="001567C8" w:rsidRDefault="008D6ED3">
      <w:pPr>
        <w:rPr>
          <w:rFonts w:asciiTheme="minorHAnsi" w:hAnsiTheme="minorHAnsi"/>
          <w:sz w:val="18"/>
          <w:szCs w:val="18"/>
          <w:lang w:val="hr-HR"/>
        </w:rPr>
      </w:pPr>
    </w:p>
    <w:p w:rsidR="000824CF" w:rsidRPr="001567C8" w:rsidRDefault="000824CF" w:rsidP="000824CF">
      <w:pPr>
        <w:rPr>
          <w:rFonts w:asciiTheme="minorHAnsi" w:hAnsiTheme="minorHAnsi" w:cs="Arial"/>
          <w:color w:val="000000" w:themeColor="text1"/>
          <w:sz w:val="22"/>
          <w:szCs w:val="22"/>
          <w:lang w:val="hr-HR"/>
        </w:rPr>
      </w:pPr>
      <w:r w:rsidRPr="001567C8">
        <w:rPr>
          <w:rFonts w:asciiTheme="minorHAnsi" w:hAnsiTheme="minorHAnsi" w:cs="Arial"/>
          <w:color w:val="000000" w:themeColor="text1"/>
          <w:sz w:val="22"/>
          <w:szCs w:val="22"/>
          <w:lang w:val="hr-HR"/>
        </w:rPr>
        <w:t>Utrošeni materijal i usluge sadržava troškove revizije, kako slijedi:</w:t>
      </w:r>
    </w:p>
    <w:p w:rsidR="000824CF" w:rsidRPr="00CD3A2D" w:rsidRDefault="000824CF" w:rsidP="000824CF">
      <w:pPr>
        <w:rPr>
          <w:color w:val="000000" w:themeColor="text1"/>
          <w:sz w:val="16"/>
          <w:szCs w:val="16"/>
          <w:lang w:val="hr-HR"/>
        </w:rPr>
      </w:pPr>
    </w:p>
    <w:tbl>
      <w:tblPr>
        <w:tblW w:w="5000" w:type="pct"/>
        <w:jc w:val="right"/>
        <w:tblCellMar>
          <w:left w:w="122" w:type="dxa"/>
          <w:right w:w="122" w:type="dxa"/>
        </w:tblCellMar>
        <w:tblLook w:val="0000" w:firstRow="0" w:lastRow="0" w:firstColumn="0" w:lastColumn="0" w:noHBand="0" w:noVBand="0"/>
      </w:tblPr>
      <w:tblGrid>
        <w:gridCol w:w="4110"/>
        <w:gridCol w:w="1559"/>
        <w:gridCol w:w="1276"/>
        <w:gridCol w:w="1136"/>
        <w:gridCol w:w="1274"/>
      </w:tblGrid>
      <w:tr w:rsidR="004F4FE6" w:rsidRPr="001567C8" w:rsidTr="003C6BA3">
        <w:trPr>
          <w:trHeight w:val="57"/>
          <w:jc w:val="right"/>
        </w:trPr>
        <w:tc>
          <w:tcPr>
            <w:tcW w:w="2197" w:type="pct"/>
          </w:tcPr>
          <w:p w:rsidR="000824CF" w:rsidRPr="001567C8" w:rsidRDefault="000824CF" w:rsidP="000824CF">
            <w:pPr>
              <w:tabs>
                <w:tab w:val="left" w:pos="-720"/>
              </w:tabs>
              <w:suppressAutoHyphens/>
              <w:jc w:val="right"/>
              <w:rPr>
                <w:rFonts w:asciiTheme="minorHAnsi" w:hAnsiTheme="minorHAnsi" w:cs="Arial"/>
                <w:color w:val="000000" w:themeColor="text1"/>
                <w:spacing w:val="-3"/>
                <w:sz w:val="22"/>
                <w:szCs w:val="22"/>
                <w:lang w:val="hr-HR"/>
              </w:rPr>
            </w:pPr>
          </w:p>
        </w:tc>
        <w:tc>
          <w:tcPr>
            <w:tcW w:w="1515" w:type="pct"/>
            <w:gridSpan w:val="2"/>
            <w:vAlign w:val="bottom"/>
          </w:tcPr>
          <w:p w:rsidR="000824CF" w:rsidRPr="001567C8" w:rsidRDefault="000824CF" w:rsidP="000824CF">
            <w:pPr>
              <w:pStyle w:val="TH"/>
              <w:jc w:val="right"/>
              <w:rPr>
                <w:rFonts w:asciiTheme="minorHAnsi" w:hAnsiTheme="minorHAnsi" w:cs="Arial"/>
                <w:color w:val="000000" w:themeColor="text1"/>
                <w:sz w:val="22"/>
                <w:szCs w:val="22"/>
                <w:lang w:val="hr-HR"/>
              </w:rPr>
            </w:pPr>
            <w:r w:rsidRPr="001567C8">
              <w:rPr>
                <w:rFonts w:asciiTheme="minorHAnsi" w:hAnsiTheme="minorHAnsi" w:cs="Arial"/>
                <w:color w:val="000000" w:themeColor="text1"/>
                <w:sz w:val="22"/>
                <w:szCs w:val="22"/>
                <w:lang w:val="hr-HR"/>
              </w:rPr>
              <w:t>Grupa</w:t>
            </w:r>
          </w:p>
        </w:tc>
        <w:tc>
          <w:tcPr>
            <w:tcW w:w="1288" w:type="pct"/>
            <w:gridSpan w:val="2"/>
            <w:vAlign w:val="bottom"/>
          </w:tcPr>
          <w:p w:rsidR="000824CF" w:rsidRPr="001567C8" w:rsidRDefault="000824CF" w:rsidP="000824CF">
            <w:pPr>
              <w:pStyle w:val="TH"/>
              <w:jc w:val="right"/>
              <w:rPr>
                <w:rFonts w:asciiTheme="minorHAnsi" w:hAnsiTheme="minorHAnsi" w:cs="Arial"/>
                <w:color w:val="000000" w:themeColor="text1"/>
                <w:sz w:val="22"/>
                <w:szCs w:val="22"/>
                <w:lang w:val="hr-HR"/>
              </w:rPr>
            </w:pPr>
            <w:r w:rsidRPr="001567C8">
              <w:rPr>
                <w:rFonts w:asciiTheme="minorHAnsi" w:hAnsiTheme="minorHAnsi" w:cs="Arial"/>
                <w:color w:val="000000" w:themeColor="text1"/>
                <w:sz w:val="22"/>
                <w:szCs w:val="22"/>
                <w:lang w:val="hr-HR"/>
              </w:rPr>
              <w:t>Banka</w:t>
            </w:r>
          </w:p>
        </w:tc>
      </w:tr>
      <w:tr w:rsidR="003A73AB" w:rsidRPr="001567C8" w:rsidTr="003C6BA3">
        <w:trPr>
          <w:trHeight w:val="57"/>
          <w:jc w:val="right"/>
        </w:trPr>
        <w:tc>
          <w:tcPr>
            <w:tcW w:w="2197" w:type="pct"/>
          </w:tcPr>
          <w:p w:rsidR="003A73AB" w:rsidRPr="001567C8" w:rsidRDefault="003A73AB" w:rsidP="003A73AB">
            <w:pPr>
              <w:tabs>
                <w:tab w:val="left" w:pos="-720"/>
              </w:tabs>
              <w:suppressAutoHyphens/>
              <w:jc w:val="right"/>
              <w:rPr>
                <w:rFonts w:asciiTheme="minorHAnsi" w:hAnsiTheme="minorHAnsi" w:cs="Arial"/>
                <w:color w:val="000000" w:themeColor="text1"/>
                <w:spacing w:val="-3"/>
                <w:sz w:val="22"/>
                <w:szCs w:val="22"/>
                <w:lang w:val="hr-HR"/>
              </w:rPr>
            </w:pPr>
          </w:p>
        </w:tc>
        <w:tc>
          <w:tcPr>
            <w:tcW w:w="833" w:type="pct"/>
            <w:vAlign w:val="bottom"/>
          </w:tcPr>
          <w:p w:rsidR="003A73AB" w:rsidRPr="001567C8" w:rsidRDefault="003A73AB" w:rsidP="003A73AB">
            <w:pPr>
              <w:pStyle w:val="TH"/>
              <w:spacing w:line="240" w:lineRule="auto"/>
              <w:jc w:val="right"/>
              <w:rPr>
                <w:rFonts w:asciiTheme="minorHAnsi" w:hAnsiTheme="minorHAnsi" w:cs="Arial"/>
                <w:color w:val="000000" w:themeColor="text1"/>
                <w:sz w:val="22"/>
                <w:szCs w:val="22"/>
                <w:lang w:val="hr-HR"/>
              </w:rPr>
            </w:pPr>
            <w:r w:rsidRPr="001567C8">
              <w:rPr>
                <w:rFonts w:asciiTheme="minorHAnsi" w:hAnsiTheme="minorHAnsi" w:cs="Arial"/>
                <w:sz w:val="22"/>
                <w:szCs w:val="22"/>
                <w:lang w:val="hr-HR"/>
              </w:rPr>
              <w:t>2018.</w:t>
            </w:r>
          </w:p>
        </w:tc>
        <w:tc>
          <w:tcPr>
            <w:tcW w:w="682" w:type="pct"/>
            <w:vAlign w:val="bottom"/>
          </w:tcPr>
          <w:p w:rsidR="003A73AB" w:rsidRPr="001567C8" w:rsidRDefault="003A73AB" w:rsidP="003A73AB">
            <w:pPr>
              <w:pStyle w:val="TH"/>
              <w:spacing w:line="240" w:lineRule="auto"/>
              <w:jc w:val="right"/>
              <w:rPr>
                <w:rFonts w:asciiTheme="minorHAnsi" w:hAnsiTheme="minorHAnsi" w:cs="Arial"/>
                <w:color w:val="000000" w:themeColor="text1"/>
                <w:sz w:val="22"/>
                <w:szCs w:val="22"/>
                <w:lang w:val="hr-HR"/>
              </w:rPr>
            </w:pPr>
            <w:r w:rsidRPr="001567C8">
              <w:rPr>
                <w:rFonts w:asciiTheme="minorHAnsi" w:hAnsiTheme="minorHAnsi" w:cs="Arial"/>
                <w:sz w:val="22"/>
                <w:szCs w:val="22"/>
                <w:lang w:val="hr-HR"/>
              </w:rPr>
              <w:t>2017.</w:t>
            </w:r>
          </w:p>
        </w:tc>
        <w:tc>
          <w:tcPr>
            <w:tcW w:w="607" w:type="pct"/>
            <w:vAlign w:val="bottom"/>
          </w:tcPr>
          <w:p w:rsidR="003A73AB" w:rsidRPr="001567C8" w:rsidRDefault="003A73AB" w:rsidP="003A73AB">
            <w:pPr>
              <w:pStyle w:val="TH"/>
              <w:spacing w:line="240" w:lineRule="auto"/>
              <w:jc w:val="right"/>
              <w:rPr>
                <w:rFonts w:asciiTheme="minorHAnsi" w:hAnsiTheme="minorHAnsi" w:cs="Arial"/>
                <w:color w:val="000000" w:themeColor="text1"/>
                <w:sz w:val="22"/>
                <w:szCs w:val="22"/>
                <w:lang w:val="hr-HR"/>
              </w:rPr>
            </w:pPr>
            <w:r w:rsidRPr="001567C8">
              <w:rPr>
                <w:rFonts w:asciiTheme="minorHAnsi" w:hAnsiTheme="minorHAnsi" w:cs="Arial"/>
                <w:sz w:val="22"/>
                <w:szCs w:val="22"/>
                <w:lang w:val="hr-HR"/>
              </w:rPr>
              <w:t>2018.</w:t>
            </w:r>
          </w:p>
        </w:tc>
        <w:tc>
          <w:tcPr>
            <w:tcW w:w="681" w:type="pct"/>
            <w:vAlign w:val="bottom"/>
          </w:tcPr>
          <w:p w:rsidR="003A73AB" w:rsidRPr="001567C8" w:rsidRDefault="003A73AB" w:rsidP="003A73AB">
            <w:pPr>
              <w:pStyle w:val="TH"/>
              <w:spacing w:line="240" w:lineRule="auto"/>
              <w:jc w:val="right"/>
              <w:rPr>
                <w:rFonts w:asciiTheme="minorHAnsi" w:hAnsiTheme="minorHAnsi" w:cs="Arial"/>
                <w:color w:val="000000" w:themeColor="text1"/>
                <w:sz w:val="22"/>
                <w:szCs w:val="22"/>
                <w:lang w:val="hr-HR"/>
              </w:rPr>
            </w:pPr>
            <w:r w:rsidRPr="001567C8">
              <w:rPr>
                <w:rFonts w:asciiTheme="minorHAnsi" w:hAnsiTheme="minorHAnsi" w:cs="Arial"/>
                <w:sz w:val="22"/>
                <w:szCs w:val="22"/>
                <w:lang w:val="hr-HR"/>
              </w:rPr>
              <w:t>2017.</w:t>
            </w:r>
          </w:p>
        </w:tc>
      </w:tr>
      <w:tr w:rsidR="004F4FE6" w:rsidRPr="001567C8" w:rsidTr="003C6BA3">
        <w:tblPrEx>
          <w:tblCellMar>
            <w:left w:w="108" w:type="dxa"/>
            <w:right w:w="108" w:type="dxa"/>
          </w:tblCellMar>
        </w:tblPrEx>
        <w:trPr>
          <w:trHeight w:val="57"/>
          <w:jc w:val="right"/>
        </w:trPr>
        <w:tc>
          <w:tcPr>
            <w:tcW w:w="2197" w:type="pct"/>
          </w:tcPr>
          <w:p w:rsidR="000824CF" w:rsidRPr="001567C8" w:rsidRDefault="000824CF" w:rsidP="000824CF">
            <w:pPr>
              <w:tabs>
                <w:tab w:val="left" w:pos="-720"/>
              </w:tabs>
              <w:suppressAutoHyphens/>
              <w:ind w:right="4144"/>
              <w:jc w:val="right"/>
              <w:rPr>
                <w:rFonts w:asciiTheme="minorHAnsi" w:hAnsiTheme="minorHAnsi" w:cs="Arial"/>
                <w:color w:val="000000" w:themeColor="text1"/>
                <w:sz w:val="22"/>
                <w:szCs w:val="22"/>
                <w:lang w:val="hr-HR"/>
              </w:rPr>
            </w:pPr>
          </w:p>
        </w:tc>
        <w:tc>
          <w:tcPr>
            <w:tcW w:w="833" w:type="pct"/>
          </w:tcPr>
          <w:p w:rsidR="000824CF" w:rsidRPr="001567C8" w:rsidRDefault="000824CF" w:rsidP="000824CF">
            <w:pPr>
              <w:pStyle w:val="TH"/>
              <w:tabs>
                <w:tab w:val="clear" w:pos="1202"/>
              </w:tabs>
              <w:jc w:val="right"/>
              <w:rPr>
                <w:rFonts w:asciiTheme="minorHAnsi" w:hAnsiTheme="minorHAnsi" w:cs="Arial"/>
                <w:color w:val="000000" w:themeColor="text1"/>
                <w:sz w:val="22"/>
                <w:szCs w:val="22"/>
                <w:lang w:val="hr-HR"/>
              </w:rPr>
            </w:pPr>
            <w:r w:rsidRPr="001567C8">
              <w:rPr>
                <w:rFonts w:asciiTheme="minorHAnsi" w:hAnsiTheme="minorHAnsi" w:cs="Arial"/>
                <w:color w:val="000000" w:themeColor="text1"/>
                <w:sz w:val="22"/>
                <w:szCs w:val="22"/>
                <w:lang w:val="hr-HR"/>
              </w:rPr>
              <w:t>000 kuna</w:t>
            </w:r>
          </w:p>
        </w:tc>
        <w:tc>
          <w:tcPr>
            <w:tcW w:w="682" w:type="pct"/>
          </w:tcPr>
          <w:p w:rsidR="000824CF" w:rsidRPr="001567C8" w:rsidRDefault="000824CF" w:rsidP="000824CF">
            <w:pPr>
              <w:pStyle w:val="TH"/>
              <w:tabs>
                <w:tab w:val="clear" w:pos="1202"/>
              </w:tabs>
              <w:jc w:val="right"/>
              <w:rPr>
                <w:rFonts w:asciiTheme="minorHAnsi" w:hAnsiTheme="minorHAnsi" w:cs="Arial"/>
                <w:color w:val="000000" w:themeColor="text1"/>
                <w:sz w:val="22"/>
                <w:szCs w:val="22"/>
                <w:lang w:val="hr-HR"/>
              </w:rPr>
            </w:pPr>
            <w:r w:rsidRPr="001567C8">
              <w:rPr>
                <w:rFonts w:asciiTheme="minorHAnsi" w:hAnsiTheme="minorHAnsi" w:cs="Arial"/>
                <w:color w:val="000000" w:themeColor="text1"/>
                <w:sz w:val="22"/>
                <w:szCs w:val="22"/>
                <w:lang w:val="hr-HR"/>
              </w:rPr>
              <w:t>000 kuna</w:t>
            </w:r>
          </w:p>
        </w:tc>
        <w:tc>
          <w:tcPr>
            <w:tcW w:w="607" w:type="pct"/>
          </w:tcPr>
          <w:p w:rsidR="000824CF" w:rsidRPr="001567C8" w:rsidRDefault="000824CF" w:rsidP="000824CF">
            <w:pPr>
              <w:pStyle w:val="TH"/>
              <w:tabs>
                <w:tab w:val="clear" w:pos="1202"/>
              </w:tabs>
              <w:jc w:val="right"/>
              <w:rPr>
                <w:rFonts w:asciiTheme="minorHAnsi" w:hAnsiTheme="minorHAnsi" w:cs="Arial"/>
                <w:color w:val="000000" w:themeColor="text1"/>
                <w:sz w:val="22"/>
                <w:szCs w:val="22"/>
                <w:lang w:val="hr-HR"/>
              </w:rPr>
            </w:pPr>
            <w:r w:rsidRPr="001567C8">
              <w:rPr>
                <w:rFonts w:asciiTheme="minorHAnsi" w:hAnsiTheme="minorHAnsi" w:cs="Arial"/>
                <w:color w:val="000000" w:themeColor="text1"/>
                <w:sz w:val="22"/>
                <w:szCs w:val="22"/>
                <w:lang w:val="hr-HR"/>
              </w:rPr>
              <w:t>000 kuna</w:t>
            </w:r>
          </w:p>
        </w:tc>
        <w:tc>
          <w:tcPr>
            <w:tcW w:w="681" w:type="pct"/>
          </w:tcPr>
          <w:p w:rsidR="000824CF" w:rsidRPr="001567C8" w:rsidRDefault="000824CF" w:rsidP="000824CF">
            <w:pPr>
              <w:pStyle w:val="TH"/>
              <w:tabs>
                <w:tab w:val="clear" w:pos="1202"/>
              </w:tabs>
              <w:jc w:val="right"/>
              <w:rPr>
                <w:rFonts w:asciiTheme="minorHAnsi" w:hAnsiTheme="minorHAnsi" w:cs="Arial"/>
                <w:color w:val="000000" w:themeColor="text1"/>
                <w:sz w:val="22"/>
                <w:szCs w:val="22"/>
                <w:lang w:val="hr-HR"/>
              </w:rPr>
            </w:pPr>
            <w:r w:rsidRPr="001567C8">
              <w:rPr>
                <w:rFonts w:asciiTheme="minorHAnsi" w:hAnsiTheme="minorHAnsi" w:cs="Arial"/>
                <w:color w:val="000000" w:themeColor="text1"/>
                <w:sz w:val="22"/>
                <w:szCs w:val="22"/>
                <w:lang w:val="hr-HR"/>
              </w:rPr>
              <w:t>000 kuna</w:t>
            </w:r>
          </w:p>
        </w:tc>
      </w:tr>
      <w:tr w:rsidR="00EC7209" w:rsidRPr="001567C8" w:rsidTr="003C6BA3">
        <w:trPr>
          <w:trHeight w:val="57"/>
          <w:jc w:val="right"/>
        </w:trPr>
        <w:tc>
          <w:tcPr>
            <w:tcW w:w="2197" w:type="pct"/>
            <w:vAlign w:val="bottom"/>
          </w:tcPr>
          <w:p w:rsidR="00EC7209" w:rsidRPr="001567C8" w:rsidRDefault="00EC7209" w:rsidP="00EC7209">
            <w:pPr>
              <w:pStyle w:val="TT"/>
              <w:rPr>
                <w:rFonts w:asciiTheme="minorHAnsi" w:hAnsiTheme="minorHAnsi" w:cs="Arial"/>
                <w:color w:val="000000" w:themeColor="text1"/>
                <w:spacing w:val="-3"/>
                <w:sz w:val="22"/>
                <w:szCs w:val="22"/>
                <w:lang w:val="hr-HR"/>
              </w:rPr>
            </w:pPr>
            <w:r w:rsidRPr="001567C8">
              <w:rPr>
                <w:rFonts w:asciiTheme="minorHAnsi" w:hAnsiTheme="minorHAnsi" w:cs="Arial"/>
                <w:color w:val="000000" w:themeColor="text1"/>
                <w:sz w:val="22"/>
                <w:szCs w:val="22"/>
                <w:lang w:val="hr-HR"/>
              </w:rPr>
              <w:t xml:space="preserve">Revizijske usluge </w:t>
            </w:r>
          </w:p>
        </w:tc>
        <w:tc>
          <w:tcPr>
            <w:tcW w:w="833" w:type="pct"/>
            <w:tcBorders>
              <w:top w:val="nil"/>
              <w:left w:val="nil"/>
              <w:bottom w:val="nil"/>
              <w:right w:val="nil"/>
            </w:tcBorders>
            <w:shd w:val="clear" w:color="auto" w:fill="auto"/>
            <w:vAlign w:val="bottom"/>
          </w:tcPr>
          <w:p w:rsidR="00EC7209" w:rsidRPr="001567C8" w:rsidRDefault="00EC7209" w:rsidP="00EC7209">
            <w:pPr>
              <w:pStyle w:val="TT"/>
              <w:jc w:val="right"/>
              <w:rPr>
                <w:rFonts w:asciiTheme="minorHAnsi" w:hAnsiTheme="minorHAnsi" w:cs="Arial"/>
                <w:color w:val="000000" w:themeColor="text1"/>
                <w:spacing w:val="-3"/>
                <w:sz w:val="22"/>
                <w:szCs w:val="22"/>
                <w:lang w:val="hr-HR"/>
              </w:rPr>
            </w:pPr>
            <w:r w:rsidRPr="00CD3A2D">
              <w:rPr>
                <w:rFonts w:ascii="Calibri" w:hAnsi="Calibri"/>
                <w:sz w:val="22"/>
                <w:szCs w:val="22"/>
                <w:lang w:val="hr-HR"/>
              </w:rPr>
              <w:t>540</w:t>
            </w:r>
          </w:p>
        </w:tc>
        <w:tc>
          <w:tcPr>
            <w:tcW w:w="682" w:type="pct"/>
            <w:tcBorders>
              <w:top w:val="nil"/>
              <w:left w:val="nil"/>
              <w:bottom w:val="nil"/>
              <w:right w:val="nil"/>
            </w:tcBorders>
            <w:shd w:val="clear" w:color="auto" w:fill="auto"/>
            <w:vAlign w:val="bottom"/>
          </w:tcPr>
          <w:p w:rsidR="00EC7209" w:rsidRPr="001567C8" w:rsidRDefault="00EC7209" w:rsidP="00EC7209">
            <w:pPr>
              <w:pStyle w:val="TT"/>
              <w:jc w:val="right"/>
              <w:rPr>
                <w:rFonts w:asciiTheme="minorHAnsi" w:hAnsiTheme="minorHAnsi" w:cs="Arial"/>
                <w:color w:val="000000" w:themeColor="text1"/>
                <w:spacing w:val="-3"/>
                <w:sz w:val="22"/>
                <w:szCs w:val="22"/>
                <w:lang w:val="hr-HR"/>
              </w:rPr>
            </w:pPr>
            <w:r w:rsidRPr="001567C8">
              <w:rPr>
                <w:rFonts w:asciiTheme="minorHAnsi" w:hAnsiTheme="minorHAnsi" w:cs="Arial"/>
                <w:color w:val="000000" w:themeColor="text1"/>
                <w:spacing w:val="-3"/>
                <w:sz w:val="22"/>
                <w:szCs w:val="22"/>
                <w:lang w:val="hr-HR"/>
              </w:rPr>
              <w:t>731</w:t>
            </w:r>
          </w:p>
        </w:tc>
        <w:tc>
          <w:tcPr>
            <w:tcW w:w="607" w:type="pct"/>
            <w:tcBorders>
              <w:top w:val="nil"/>
              <w:left w:val="nil"/>
              <w:bottom w:val="nil"/>
              <w:right w:val="nil"/>
            </w:tcBorders>
            <w:shd w:val="clear" w:color="auto" w:fill="auto"/>
            <w:vAlign w:val="bottom"/>
          </w:tcPr>
          <w:p w:rsidR="00EC7209" w:rsidRPr="001567C8" w:rsidRDefault="00EC7209" w:rsidP="00EC7209">
            <w:pPr>
              <w:pStyle w:val="TT"/>
              <w:jc w:val="right"/>
              <w:rPr>
                <w:rFonts w:asciiTheme="minorHAnsi" w:hAnsiTheme="minorHAnsi" w:cs="Arial"/>
                <w:color w:val="000000" w:themeColor="text1"/>
                <w:spacing w:val="-3"/>
                <w:sz w:val="22"/>
                <w:szCs w:val="22"/>
                <w:lang w:val="hr-HR"/>
              </w:rPr>
            </w:pPr>
            <w:r w:rsidRPr="00CD3A2D">
              <w:rPr>
                <w:rFonts w:ascii="Calibri" w:hAnsi="Calibri"/>
                <w:sz w:val="22"/>
                <w:szCs w:val="22"/>
                <w:lang w:val="hr-HR"/>
              </w:rPr>
              <w:t>366</w:t>
            </w:r>
          </w:p>
        </w:tc>
        <w:tc>
          <w:tcPr>
            <w:tcW w:w="681" w:type="pct"/>
            <w:tcBorders>
              <w:top w:val="nil"/>
              <w:left w:val="nil"/>
              <w:bottom w:val="nil"/>
              <w:right w:val="nil"/>
            </w:tcBorders>
            <w:shd w:val="clear" w:color="auto" w:fill="auto"/>
            <w:vAlign w:val="bottom"/>
          </w:tcPr>
          <w:p w:rsidR="00EC7209" w:rsidRPr="001567C8" w:rsidRDefault="00EC7209" w:rsidP="00EC7209">
            <w:pPr>
              <w:pStyle w:val="TT"/>
              <w:jc w:val="right"/>
              <w:rPr>
                <w:rFonts w:asciiTheme="minorHAnsi" w:hAnsiTheme="minorHAnsi" w:cs="Arial"/>
                <w:color w:val="000000" w:themeColor="text1"/>
                <w:spacing w:val="-3"/>
                <w:sz w:val="22"/>
                <w:szCs w:val="22"/>
                <w:lang w:val="hr-HR"/>
              </w:rPr>
            </w:pPr>
            <w:r w:rsidRPr="001567C8">
              <w:rPr>
                <w:rFonts w:asciiTheme="minorHAnsi" w:hAnsiTheme="minorHAnsi" w:cs="Arial"/>
                <w:color w:val="000000" w:themeColor="text1"/>
                <w:spacing w:val="-3"/>
                <w:sz w:val="22"/>
                <w:szCs w:val="22"/>
                <w:lang w:val="hr-HR"/>
              </w:rPr>
              <w:t>513</w:t>
            </w:r>
          </w:p>
        </w:tc>
      </w:tr>
      <w:tr w:rsidR="00483C66" w:rsidRPr="001567C8" w:rsidTr="003C6BA3">
        <w:trPr>
          <w:trHeight w:val="57"/>
          <w:jc w:val="right"/>
        </w:trPr>
        <w:tc>
          <w:tcPr>
            <w:tcW w:w="2197" w:type="pct"/>
            <w:vAlign w:val="bottom"/>
          </w:tcPr>
          <w:p w:rsidR="00EC7209" w:rsidRPr="001567C8" w:rsidRDefault="00EC7209" w:rsidP="00EC7209">
            <w:pPr>
              <w:pStyle w:val="TT"/>
              <w:rPr>
                <w:rFonts w:asciiTheme="minorHAnsi" w:hAnsiTheme="minorHAnsi" w:cs="Arial"/>
                <w:color w:val="000000" w:themeColor="text1"/>
                <w:spacing w:val="-3"/>
                <w:sz w:val="22"/>
                <w:szCs w:val="22"/>
                <w:lang w:val="hr-HR"/>
              </w:rPr>
            </w:pPr>
            <w:r w:rsidRPr="001567C8">
              <w:rPr>
                <w:rFonts w:asciiTheme="minorHAnsi" w:hAnsiTheme="minorHAnsi" w:cs="Arial"/>
                <w:color w:val="000000" w:themeColor="text1"/>
                <w:sz w:val="22"/>
                <w:szCs w:val="22"/>
                <w:lang w:val="hr-HR"/>
              </w:rPr>
              <w:t>Nerevizijske usluge (revizija podprojekta)</w:t>
            </w:r>
          </w:p>
        </w:tc>
        <w:tc>
          <w:tcPr>
            <w:tcW w:w="833" w:type="pct"/>
            <w:tcBorders>
              <w:top w:val="nil"/>
              <w:left w:val="nil"/>
              <w:bottom w:val="nil"/>
              <w:right w:val="nil"/>
            </w:tcBorders>
            <w:shd w:val="clear" w:color="auto" w:fill="auto"/>
            <w:vAlign w:val="bottom"/>
          </w:tcPr>
          <w:p w:rsidR="00EC7209" w:rsidRPr="001567C8" w:rsidRDefault="005829D5" w:rsidP="00EC7209">
            <w:pPr>
              <w:pStyle w:val="TT"/>
              <w:jc w:val="right"/>
              <w:rPr>
                <w:rFonts w:asciiTheme="minorHAnsi" w:hAnsiTheme="minorHAnsi" w:cs="Arial"/>
                <w:color w:val="000000" w:themeColor="text1"/>
                <w:spacing w:val="-3"/>
                <w:sz w:val="22"/>
                <w:szCs w:val="22"/>
                <w:lang w:val="hr-HR"/>
              </w:rPr>
            </w:pPr>
            <w:r w:rsidRPr="00CD3A2D">
              <w:rPr>
                <w:rFonts w:ascii="Calibri" w:hAnsi="Calibri"/>
                <w:sz w:val="22"/>
                <w:szCs w:val="22"/>
                <w:lang w:val="hr-HR"/>
              </w:rPr>
              <w:t>33</w:t>
            </w:r>
          </w:p>
        </w:tc>
        <w:tc>
          <w:tcPr>
            <w:tcW w:w="682" w:type="pct"/>
            <w:tcBorders>
              <w:top w:val="nil"/>
              <w:left w:val="nil"/>
              <w:bottom w:val="single" w:sz="4" w:space="0" w:color="auto"/>
              <w:right w:val="nil"/>
            </w:tcBorders>
            <w:shd w:val="clear" w:color="auto" w:fill="auto"/>
            <w:vAlign w:val="bottom"/>
          </w:tcPr>
          <w:p w:rsidR="00EC7209" w:rsidRPr="001567C8" w:rsidRDefault="00EC7209" w:rsidP="00EC7209">
            <w:pPr>
              <w:pStyle w:val="TT"/>
              <w:jc w:val="right"/>
              <w:rPr>
                <w:rFonts w:asciiTheme="minorHAnsi" w:hAnsiTheme="minorHAnsi" w:cs="Arial"/>
                <w:color w:val="000000" w:themeColor="text1"/>
                <w:spacing w:val="-3"/>
                <w:sz w:val="22"/>
                <w:szCs w:val="22"/>
                <w:lang w:val="hr-HR"/>
              </w:rPr>
            </w:pPr>
            <w:r w:rsidRPr="001567C8">
              <w:rPr>
                <w:rFonts w:asciiTheme="minorHAnsi" w:hAnsiTheme="minorHAnsi" w:cs="Arial"/>
                <w:color w:val="000000" w:themeColor="text1"/>
                <w:spacing w:val="-3"/>
                <w:sz w:val="22"/>
                <w:szCs w:val="22"/>
                <w:lang w:val="hr-HR"/>
              </w:rPr>
              <w:t>30</w:t>
            </w:r>
          </w:p>
        </w:tc>
        <w:tc>
          <w:tcPr>
            <w:tcW w:w="607" w:type="pct"/>
            <w:tcBorders>
              <w:top w:val="nil"/>
              <w:left w:val="nil"/>
              <w:bottom w:val="nil"/>
              <w:right w:val="nil"/>
            </w:tcBorders>
            <w:shd w:val="clear" w:color="auto" w:fill="auto"/>
            <w:vAlign w:val="bottom"/>
          </w:tcPr>
          <w:p w:rsidR="00EC7209" w:rsidRPr="001567C8" w:rsidRDefault="005829D5" w:rsidP="00EC7209">
            <w:pPr>
              <w:pStyle w:val="TT"/>
              <w:jc w:val="right"/>
              <w:rPr>
                <w:rFonts w:asciiTheme="minorHAnsi" w:hAnsiTheme="minorHAnsi" w:cs="Arial"/>
                <w:color w:val="000000" w:themeColor="text1"/>
                <w:spacing w:val="-3"/>
                <w:sz w:val="22"/>
                <w:szCs w:val="22"/>
                <w:lang w:val="hr-HR"/>
              </w:rPr>
            </w:pPr>
            <w:r w:rsidRPr="00CD3A2D">
              <w:rPr>
                <w:rFonts w:ascii="Calibri" w:hAnsi="Calibri"/>
                <w:sz w:val="22"/>
                <w:szCs w:val="22"/>
                <w:lang w:val="hr-HR"/>
              </w:rPr>
              <w:t>33</w:t>
            </w:r>
          </w:p>
        </w:tc>
        <w:tc>
          <w:tcPr>
            <w:tcW w:w="681" w:type="pct"/>
            <w:tcBorders>
              <w:top w:val="nil"/>
              <w:left w:val="nil"/>
              <w:bottom w:val="single" w:sz="4" w:space="0" w:color="auto"/>
              <w:right w:val="nil"/>
            </w:tcBorders>
            <w:shd w:val="clear" w:color="auto" w:fill="auto"/>
            <w:vAlign w:val="bottom"/>
          </w:tcPr>
          <w:p w:rsidR="00EC7209" w:rsidRPr="001567C8" w:rsidRDefault="00EC7209" w:rsidP="00EC7209">
            <w:pPr>
              <w:pStyle w:val="TT"/>
              <w:jc w:val="right"/>
              <w:rPr>
                <w:rFonts w:asciiTheme="minorHAnsi" w:hAnsiTheme="minorHAnsi" w:cs="Arial"/>
                <w:color w:val="000000" w:themeColor="text1"/>
                <w:spacing w:val="-3"/>
                <w:sz w:val="22"/>
                <w:szCs w:val="22"/>
                <w:lang w:val="hr-HR"/>
              </w:rPr>
            </w:pPr>
            <w:r w:rsidRPr="001567C8">
              <w:rPr>
                <w:rFonts w:asciiTheme="minorHAnsi" w:hAnsiTheme="minorHAnsi" w:cs="Arial"/>
                <w:color w:val="000000" w:themeColor="text1"/>
                <w:spacing w:val="-3"/>
                <w:sz w:val="22"/>
                <w:szCs w:val="22"/>
                <w:lang w:val="hr-HR"/>
              </w:rPr>
              <w:t>30</w:t>
            </w:r>
          </w:p>
        </w:tc>
      </w:tr>
      <w:tr w:rsidR="003A73AB" w:rsidRPr="001567C8" w:rsidTr="003C6BA3">
        <w:trPr>
          <w:trHeight w:val="57"/>
          <w:jc w:val="right"/>
        </w:trPr>
        <w:tc>
          <w:tcPr>
            <w:tcW w:w="2197" w:type="pct"/>
            <w:vAlign w:val="bottom"/>
          </w:tcPr>
          <w:p w:rsidR="003A73AB" w:rsidRPr="001567C8" w:rsidRDefault="003A73AB" w:rsidP="003A73AB">
            <w:pPr>
              <w:pStyle w:val="Tot"/>
              <w:rPr>
                <w:rFonts w:asciiTheme="minorHAnsi" w:hAnsiTheme="minorHAnsi" w:cs="Arial"/>
                <w:b/>
                <w:bCs/>
                <w:color w:val="000000" w:themeColor="text1"/>
                <w:sz w:val="22"/>
                <w:szCs w:val="22"/>
                <w:lang w:val="hr-HR"/>
              </w:rPr>
            </w:pPr>
          </w:p>
        </w:tc>
        <w:tc>
          <w:tcPr>
            <w:tcW w:w="833" w:type="pct"/>
            <w:tcBorders>
              <w:top w:val="single" w:sz="4" w:space="0" w:color="auto"/>
              <w:bottom w:val="single" w:sz="12" w:space="0" w:color="auto"/>
            </w:tcBorders>
            <w:vAlign w:val="bottom"/>
          </w:tcPr>
          <w:p w:rsidR="003A73AB" w:rsidRPr="00CD3A2D" w:rsidRDefault="005829D5" w:rsidP="003C6BA3">
            <w:pPr>
              <w:pStyle w:val="TT"/>
              <w:jc w:val="right"/>
              <w:rPr>
                <w:rFonts w:ascii="Calibri" w:hAnsi="Calibri"/>
                <w:b/>
                <w:bCs/>
                <w:color w:val="000000"/>
                <w:sz w:val="22"/>
                <w:szCs w:val="22"/>
                <w:lang w:val="hr-HR"/>
              </w:rPr>
            </w:pPr>
            <w:r w:rsidRPr="00CD3A2D">
              <w:rPr>
                <w:rFonts w:ascii="Calibri" w:hAnsi="Calibri"/>
                <w:b/>
                <w:bCs/>
                <w:color w:val="000000"/>
                <w:sz w:val="22"/>
                <w:szCs w:val="22"/>
                <w:lang w:val="hr-HR"/>
              </w:rPr>
              <w:t>573</w:t>
            </w:r>
          </w:p>
        </w:tc>
        <w:tc>
          <w:tcPr>
            <w:tcW w:w="682" w:type="pct"/>
            <w:tcBorders>
              <w:top w:val="single" w:sz="4" w:space="0" w:color="auto"/>
              <w:bottom w:val="single" w:sz="12" w:space="0" w:color="auto"/>
            </w:tcBorders>
            <w:vAlign w:val="bottom"/>
          </w:tcPr>
          <w:p w:rsidR="003A73AB" w:rsidRPr="00CD3A2D" w:rsidRDefault="003A73AB" w:rsidP="003C6BA3">
            <w:pPr>
              <w:pStyle w:val="TT"/>
              <w:jc w:val="right"/>
              <w:rPr>
                <w:rFonts w:ascii="Calibri" w:hAnsi="Calibri"/>
                <w:b/>
                <w:bCs/>
                <w:color w:val="000000"/>
                <w:sz w:val="22"/>
                <w:szCs w:val="22"/>
                <w:lang w:val="hr-HR"/>
              </w:rPr>
            </w:pPr>
            <w:r w:rsidRPr="00CD3A2D">
              <w:rPr>
                <w:rFonts w:ascii="Calibri" w:hAnsi="Calibri"/>
                <w:b/>
                <w:bCs/>
                <w:color w:val="000000"/>
                <w:sz w:val="22"/>
                <w:szCs w:val="22"/>
                <w:lang w:val="hr-HR"/>
              </w:rPr>
              <w:t>761</w:t>
            </w:r>
          </w:p>
        </w:tc>
        <w:tc>
          <w:tcPr>
            <w:tcW w:w="607" w:type="pct"/>
            <w:tcBorders>
              <w:top w:val="single" w:sz="4" w:space="0" w:color="auto"/>
              <w:bottom w:val="single" w:sz="12" w:space="0" w:color="auto"/>
            </w:tcBorders>
            <w:vAlign w:val="bottom"/>
          </w:tcPr>
          <w:p w:rsidR="003A73AB" w:rsidRPr="00CD3A2D" w:rsidRDefault="005829D5" w:rsidP="003C6BA3">
            <w:pPr>
              <w:pStyle w:val="TT"/>
              <w:jc w:val="right"/>
              <w:rPr>
                <w:rFonts w:ascii="Calibri" w:hAnsi="Calibri"/>
                <w:b/>
                <w:bCs/>
                <w:color w:val="000000"/>
                <w:sz w:val="22"/>
                <w:szCs w:val="22"/>
                <w:lang w:val="hr-HR"/>
              </w:rPr>
            </w:pPr>
            <w:r w:rsidRPr="00CD3A2D">
              <w:rPr>
                <w:rFonts w:ascii="Calibri" w:hAnsi="Calibri"/>
                <w:b/>
                <w:bCs/>
                <w:color w:val="000000"/>
                <w:sz w:val="22"/>
                <w:szCs w:val="22"/>
                <w:lang w:val="hr-HR"/>
              </w:rPr>
              <w:t>399</w:t>
            </w:r>
          </w:p>
        </w:tc>
        <w:tc>
          <w:tcPr>
            <w:tcW w:w="681" w:type="pct"/>
            <w:tcBorders>
              <w:top w:val="single" w:sz="4" w:space="0" w:color="auto"/>
              <w:bottom w:val="single" w:sz="12" w:space="0" w:color="auto"/>
            </w:tcBorders>
            <w:vAlign w:val="bottom"/>
          </w:tcPr>
          <w:p w:rsidR="003A73AB" w:rsidRPr="00CD3A2D" w:rsidRDefault="003A73AB" w:rsidP="003C6BA3">
            <w:pPr>
              <w:pStyle w:val="TT"/>
              <w:jc w:val="right"/>
              <w:rPr>
                <w:rFonts w:ascii="Calibri" w:hAnsi="Calibri"/>
                <w:b/>
                <w:bCs/>
                <w:color w:val="000000"/>
                <w:sz w:val="22"/>
                <w:szCs w:val="22"/>
                <w:lang w:val="hr-HR"/>
              </w:rPr>
            </w:pPr>
            <w:r w:rsidRPr="00CD3A2D">
              <w:rPr>
                <w:rFonts w:ascii="Calibri" w:hAnsi="Calibri"/>
                <w:b/>
                <w:bCs/>
                <w:color w:val="000000"/>
                <w:sz w:val="22"/>
                <w:szCs w:val="22"/>
                <w:lang w:val="hr-HR"/>
              </w:rPr>
              <w:t>543</w:t>
            </w:r>
          </w:p>
        </w:tc>
      </w:tr>
    </w:tbl>
    <w:p w:rsidR="008D6ED3" w:rsidRPr="001567C8" w:rsidRDefault="008D6ED3" w:rsidP="00D82D69">
      <w:pPr>
        <w:rPr>
          <w:rFonts w:asciiTheme="minorHAnsi" w:hAnsiTheme="minorHAnsi" w:cs="Arial"/>
          <w:sz w:val="22"/>
          <w:szCs w:val="22"/>
          <w:lang w:val="hr-HR"/>
        </w:rPr>
      </w:pPr>
    </w:p>
    <w:p w:rsidR="00C93348" w:rsidRPr="001567C8" w:rsidRDefault="00852EBC" w:rsidP="00D82D69">
      <w:pPr>
        <w:rPr>
          <w:rFonts w:asciiTheme="minorHAnsi" w:hAnsiTheme="minorHAnsi" w:cs="Arial"/>
          <w:sz w:val="22"/>
          <w:szCs w:val="22"/>
          <w:lang w:val="hr-HR"/>
        </w:rPr>
      </w:pPr>
      <w:r w:rsidRPr="001567C8">
        <w:rPr>
          <w:rFonts w:asciiTheme="minorHAnsi" w:hAnsiTheme="minorHAnsi" w:cs="Arial"/>
          <w:sz w:val="22"/>
          <w:szCs w:val="22"/>
          <w:lang w:val="hr-HR"/>
        </w:rPr>
        <w:t xml:space="preserve">Iskazani ostali rashodi Grupe sadrže </w:t>
      </w:r>
      <w:r w:rsidR="00271C04" w:rsidRPr="001567C8">
        <w:rPr>
          <w:rFonts w:asciiTheme="minorHAnsi" w:hAnsiTheme="minorHAnsi" w:cs="Arial"/>
          <w:sz w:val="22"/>
          <w:szCs w:val="22"/>
          <w:lang w:val="hr-HR"/>
        </w:rPr>
        <w:t>p</w:t>
      </w:r>
      <w:r w:rsidR="00C93348" w:rsidRPr="001567C8">
        <w:rPr>
          <w:rFonts w:asciiTheme="minorHAnsi" w:hAnsiTheme="minorHAnsi" w:cs="Arial"/>
          <w:sz w:val="22"/>
          <w:szCs w:val="22"/>
          <w:lang w:val="hr-HR"/>
        </w:rPr>
        <w:t>romjene tehničkih pričuva:</w:t>
      </w:r>
    </w:p>
    <w:p w:rsidR="00227F1B" w:rsidRPr="001567C8" w:rsidRDefault="00227F1B">
      <w:pPr>
        <w:rPr>
          <w:rFonts w:asciiTheme="minorHAnsi" w:hAnsiTheme="minorHAnsi" w:cs="Arial"/>
          <w:sz w:val="16"/>
          <w:szCs w:val="16"/>
          <w:lang w:val="hr-HR"/>
        </w:rPr>
      </w:pPr>
    </w:p>
    <w:tbl>
      <w:tblPr>
        <w:tblW w:w="5000" w:type="pct"/>
        <w:tblCellMar>
          <w:left w:w="122" w:type="dxa"/>
          <w:right w:w="122" w:type="dxa"/>
        </w:tblCellMar>
        <w:tblLook w:val="0000" w:firstRow="0" w:lastRow="0" w:firstColumn="0" w:lastColumn="0" w:noHBand="0" w:noVBand="0"/>
      </w:tblPr>
      <w:tblGrid>
        <w:gridCol w:w="4111"/>
        <w:gridCol w:w="1560"/>
        <w:gridCol w:w="1274"/>
        <w:gridCol w:w="1136"/>
        <w:gridCol w:w="1274"/>
      </w:tblGrid>
      <w:tr w:rsidR="00FC6195" w:rsidRPr="001567C8" w:rsidTr="003C6BA3">
        <w:trPr>
          <w:trHeight w:val="300"/>
        </w:trPr>
        <w:tc>
          <w:tcPr>
            <w:tcW w:w="2197" w:type="pct"/>
            <w:shd w:val="clear" w:color="auto" w:fill="auto"/>
          </w:tcPr>
          <w:p w:rsidR="00FC6195" w:rsidRPr="001567C8" w:rsidRDefault="00FC6195" w:rsidP="00C93348">
            <w:pPr>
              <w:tabs>
                <w:tab w:val="left" w:pos="-720"/>
              </w:tabs>
              <w:suppressAutoHyphens/>
              <w:jc w:val="right"/>
              <w:rPr>
                <w:rFonts w:asciiTheme="minorHAnsi" w:hAnsiTheme="minorHAnsi" w:cs="Arial"/>
                <w:spacing w:val="-3"/>
                <w:sz w:val="22"/>
                <w:szCs w:val="22"/>
                <w:lang w:val="hr-HR"/>
              </w:rPr>
            </w:pPr>
            <w:r w:rsidRPr="001567C8">
              <w:rPr>
                <w:rFonts w:asciiTheme="minorHAnsi" w:hAnsiTheme="minorHAnsi" w:cs="Arial"/>
                <w:spacing w:val="-3"/>
                <w:sz w:val="22"/>
                <w:szCs w:val="22"/>
                <w:lang w:val="hr-HR"/>
              </w:rPr>
              <w:t xml:space="preserve">         </w:t>
            </w:r>
          </w:p>
        </w:tc>
        <w:tc>
          <w:tcPr>
            <w:tcW w:w="1515" w:type="pct"/>
            <w:gridSpan w:val="2"/>
            <w:vAlign w:val="bottom"/>
          </w:tcPr>
          <w:p w:rsidR="00FC6195" w:rsidRPr="001567C8" w:rsidRDefault="00FC6195">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288" w:type="pct"/>
            <w:gridSpan w:val="2"/>
            <w:shd w:val="clear" w:color="auto" w:fill="auto"/>
            <w:vAlign w:val="bottom"/>
          </w:tcPr>
          <w:p w:rsidR="00FC6195" w:rsidRPr="001567C8" w:rsidRDefault="00FC6195">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3A73AB" w:rsidRPr="001567C8" w:rsidTr="003C6BA3">
        <w:trPr>
          <w:trHeight w:val="300"/>
        </w:trPr>
        <w:tc>
          <w:tcPr>
            <w:tcW w:w="2197" w:type="pct"/>
            <w:shd w:val="clear" w:color="auto" w:fill="auto"/>
          </w:tcPr>
          <w:p w:rsidR="003A73AB" w:rsidRPr="001567C8" w:rsidRDefault="003A73AB" w:rsidP="003A73AB">
            <w:pPr>
              <w:tabs>
                <w:tab w:val="left" w:pos="-720"/>
              </w:tabs>
              <w:suppressAutoHyphens/>
              <w:jc w:val="right"/>
              <w:rPr>
                <w:rFonts w:asciiTheme="minorHAnsi" w:hAnsiTheme="minorHAnsi" w:cs="Arial"/>
                <w:spacing w:val="-3"/>
                <w:sz w:val="22"/>
                <w:szCs w:val="22"/>
                <w:lang w:val="hr-HR"/>
              </w:rPr>
            </w:pPr>
          </w:p>
        </w:tc>
        <w:tc>
          <w:tcPr>
            <w:tcW w:w="834"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81"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c>
          <w:tcPr>
            <w:tcW w:w="607"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81" w:type="pct"/>
            <w:vAlign w:val="bottom"/>
          </w:tcPr>
          <w:p w:rsidR="003A73AB" w:rsidRPr="001567C8" w:rsidRDefault="003A73AB" w:rsidP="003A73AB">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r>
      <w:tr w:rsidR="009E197B" w:rsidRPr="001567C8" w:rsidTr="003C6BA3">
        <w:tblPrEx>
          <w:tblCellMar>
            <w:left w:w="108" w:type="dxa"/>
            <w:right w:w="108" w:type="dxa"/>
          </w:tblCellMar>
        </w:tblPrEx>
        <w:trPr>
          <w:trHeight w:val="187"/>
        </w:trPr>
        <w:tc>
          <w:tcPr>
            <w:tcW w:w="2197" w:type="pct"/>
            <w:shd w:val="clear" w:color="auto" w:fill="auto"/>
          </w:tcPr>
          <w:p w:rsidR="009E197B" w:rsidRPr="001567C8" w:rsidRDefault="009E197B" w:rsidP="009E197B">
            <w:pPr>
              <w:tabs>
                <w:tab w:val="left" w:pos="-720"/>
              </w:tabs>
              <w:suppressAutoHyphens/>
              <w:ind w:right="4144"/>
              <w:jc w:val="right"/>
              <w:rPr>
                <w:rFonts w:asciiTheme="minorHAnsi" w:hAnsiTheme="minorHAnsi" w:cs="Arial"/>
                <w:sz w:val="22"/>
                <w:szCs w:val="22"/>
                <w:lang w:val="hr-HR"/>
              </w:rPr>
            </w:pPr>
          </w:p>
        </w:tc>
        <w:tc>
          <w:tcPr>
            <w:tcW w:w="834" w:type="pct"/>
          </w:tcPr>
          <w:p w:rsidR="009E197B" w:rsidRPr="001567C8" w:rsidRDefault="009E197B" w:rsidP="009E197B">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81" w:type="pct"/>
          </w:tcPr>
          <w:p w:rsidR="009E197B" w:rsidRPr="001567C8" w:rsidRDefault="009E197B" w:rsidP="009E197B">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07" w:type="pct"/>
            <w:shd w:val="clear" w:color="auto" w:fill="auto"/>
          </w:tcPr>
          <w:p w:rsidR="009E197B" w:rsidRPr="001567C8" w:rsidRDefault="009E197B" w:rsidP="009E197B">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81" w:type="pct"/>
            <w:shd w:val="clear" w:color="auto" w:fill="auto"/>
          </w:tcPr>
          <w:p w:rsidR="009E197B" w:rsidRPr="001567C8" w:rsidRDefault="009E197B" w:rsidP="009E197B">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512277" w:rsidRPr="001567C8" w:rsidTr="003C6BA3">
        <w:trPr>
          <w:trHeight w:val="245"/>
        </w:trPr>
        <w:tc>
          <w:tcPr>
            <w:tcW w:w="2197" w:type="pct"/>
            <w:shd w:val="clear" w:color="auto" w:fill="auto"/>
          </w:tcPr>
          <w:p w:rsidR="00512277" w:rsidRPr="001567C8" w:rsidRDefault="00512277" w:rsidP="00512277">
            <w:pPr>
              <w:pStyle w:val="TT"/>
              <w:rPr>
                <w:rFonts w:asciiTheme="minorHAnsi" w:hAnsiTheme="minorHAnsi" w:cs="Arial"/>
                <w:b/>
                <w:sz w:val="22"/>
                <w:szCs w:val="22"/>
                <w:lang w:val="hr-HR"/>
              </w:rPr>
            </w:pPr>
            <w:r w:rsidRPr="001567C8">
              <w:rPr>
                <w:rFonts w:asciiTheme="minorHAnsi" w:hAnsiTheme="minorHAnsi"/>
                <w:sz w:val="22"/>
                <w:szCs w:val="22"/>
                <w:lang w:val="hr-HR"/>
              </w:rPr>
              <w:t>Promjena pričuva za štete</w:t>
            </w:r>
          </w:p>
        </w:tc>
        <w:tc>
          <w:tcPr>
            <w:tcW w:w="834" w:type="pct"/>
            <w:tcBorders>
              <w:top w:val="nil"/>
              <w:left w:val="nil"/>
              <w:bottom w:val="nil"/>
              <w:right w:val="nil"/>
            </w:tcBorders>
            <w:shd w:val="clear" w:color="auto" w:fill="auto"/>
            <w:vAlign w:val="center"/>
          </w:tcPr>
          <w:p w:rsidR="00512277" w:rsidRPr="001567C8" w:rsidRDefault="00512277" w:rsidP="00512277">
            <w:pPr>
              <w:pStyle w:val="TT"/>
              <w:ind w:left="65"/>
              <w:jc w:val="right"/>
              <w:rPr>
                <w:rFonts w:asciiTheme="minorHAnsi" w:hAnsiTheme="minorHAnsi" w:cstheme="minorHAnsi"/>
                <w:sz w:val="22"/>
                <w:szCs w:val="22"/>
                <w:lang w:val="hr-HR"/>
              </w:rPr>
            </w:pPr>
            <w:r w:rsidRPr="00CD3A2D">
              <w:rPr>
                <w:rFonts w:ascii="Calibri" w:hAnsi="Calibri" w:cs="Calibri"/>
                <w:sz w:val="22"/>
                <w:szCs w:val="22"/>
                <w:lang w:val="hr-HR"/>
              </w:rPr>
              <w:t xml:space="preserve">        (5.112)</w:t>
            </w:r>
          </w:p>
        </w:tc>
        <w:tc>
          <w:tcPr>
            <w:tcW w:w="681" w:type="pct"/>
            <w:tcBorders>
              <w:top w:val="nil"/>
              <w:left w:val="nil"/>
              <w:bottom w:val="nil"/>
              <w:right w:val="nil"/>
            </w:tcBorders>
            <w:shd w:val="clear" w:color="auto" w:fill="auto"/>
          </w:tcPr>
          <w:p w:rsidR="00512277" w:rsidRPr="001567C8" w:rsidRDefault="00512277" w:rsidP="00512277">
            <w:pPr>
              <w:pStyle w:val="TT"/>
              <w:ind w:left="65"/>
              <w:jc w:val="right"/>
              <w:rPr>
                <w:rFonts w:asciiTheme="minorHAnsi" w:hAnsiTheme="minorHAnsi"/>
                <w:sz w:val="22"/>
                <w:szCs w:val="22"/>
                <w:lang w:val="hr-HR"/>
              </w:rPr>
            </w:pPr>
            <w:r w:rsidRPr="00CD3A2D">
              <w:rPr>
                <w:rFonts w:asciiTheme="minorHAnsi" w:hAnsiTheme="minorHAnsi" w:cstheme="minorHAnsi"/>
                <w:sz w:val="22"/>
                <w:szCs w:val="22"/>
                <w:lang w:val="hr-HR"/>
              </w:rPr>
              <w:t xml:space="preserve"> 3.685 </w:t>
            </w:r>
          </w:p>
        </w:tc>
        <w:tc>
          <w:tcPr>
            <w:tcW w:w="607" w:type="pct"/>
            <w:shd w:val="clear" w:color="auto" w:fill="auto"/>
            <w:vAlign w:val="bottom"/>
          </w:tcPr>
          <w:p w:rsidR="00512277" w:rsidRPr="001567C8" w:rsidRDefault="00512277" w:rsidP="0051227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c>
          <w:tcPr>
            <w:tcW w:w="681" w:type="pct"/>
            <w:shd w:val="clear" w:color="auto" w:fill="auto"/>
            <w:vAlign w:val="bottom"/>
          </w:tcPr>
          <w:p w:rsidR="00512277" w:rsidRPr="001567C8" w:rsidRDefault="00512277" w:rsidP="0051227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512277" w:rsidRPr="001567C8" w:rsidTr="003C6BA3">
        <w:trPr>
          <w:trHeight w:val="120"/>
        </w:trPr>
        <w:tc>
          <w:tcPr>
            <w:tcW w:w="2197" w:type="pct"/>
            <w:shd w:val="clear" w:color="auto" w:fill="auto"/>
          </w:tcPr>
          <w:p w:rsidR="00512277" w:rsidRPr="001567C8" w:rsidRDefault="00512277" w:rsidP="00512277">
            <w:pPr>
              <w:pStyle w:val="TT"/>
              <w:rPr>
                <w:rFonts w:asciiTheme="minorHAnsi" w:hAnsiTheme="minorHAnsi" w:cs="Arial"/>
                <w:b/>
                <w:sz w:val="22"/>
                <w:szCs w:val="22"/>
                <w:lang w:val="hr-HR"/>
              </w:rPr>
            </w:pPr>
            <w:r w:rsidRPr="001567C8">
              <w:rPr>
                <w:rFonts w:asciiTheme="minorHAnsi" w:hAnsiTheme="minorHAnsi"/>
                <w:sz w:val="22"/>
                <w:szCs w:val="22"/>
                <w:lang w:val="hr-HR"/>
              </w:rPr>
              <w:t>Promjena pričuva za štete, udio reosiguranje</w:t>
            </w:r>
          </w:p>
        </w:tc>
        <w:tc>
          <w:tcPr>
            <w:tcW w:w="834" w:type="pct"/>
            <w:tcBorders>
              <w:top w:val="nil"/>
              <w:left w:val="nil"/>
              <w:bottom w:val="nil"/>
              <w:right w:val="nil"/>
            </w:tcBorders>
            <w:shd w:val="clear" w:color="auto" w:fill="auto"/>
            <w:vAlign w:val="center"/>
          </w:tcPr>
          <w:p w:rsidR="00512277" w:rsidRPr="001567C8" w:rsidRDefault="00512277" w:rsidP="00512277">
            <w:pPr>
              <w:pStyle w:val="TT"/>
              <w:jc w:val="right"/>
              <w:rPr>
                <w:rFonts w:asciiTheme="minorHAnsi" w:hAnsiTheme="minorHAnsi" w:cstheme="minorHAnsi"/>
                <w:sz w:val="22"/>
                <w:szCs w:val="22"/>
                <w:lang w:val="hr-HR"/>
              </w:rPr>
            </w:pPr>
            <w:r w:rsidRPr="00CD3A2D">
              <w:rPr>
                <w:rFonts w:ascii="Calibri" w:hAnsi="Calibri" w:cs="Calibri"/>
                <w:sz w:val="22"/>
                <w:szCs w:val="22"/>
                <w:lang w:val="hr-HR"/>
              </w:rPr>
              <w:t xml:space="preserve">                      4.454 </w:t>
            </w:r>
          </w:p>
        </w:tc>
        <w:tc>
          <w:tcPr>
            <w:tcW w:w="681" w:type="pct"/>
            <w:tcBorders>
              <w:top w:val="nil"/>
              <w:left w:val="nil"/>
              <w:bottom w:val="single" w:sz="4" w:space="0" w:color="auto"/>
              <w:right w:val="nil"/>
            </w:tcBorders>
            <w:shd w:val="clear" w:color="auto" w:fill="auto"/>
            <w:vAlign w:val="bottom"/>
          </w:tcPr>
          <w:p w:rsidR="00512277" w:rsidRPr="001567C8" w:rsidRDefault="00512277" w:rsidP="00512277">
            <w:pPr>
              <w:pStyle w:val="TT"/>
              <w:jc w:val="right"/>
              <w:rPr>
                <w:rFonts w:asciiTheme="minorHAnsi" w:hAnsiTheme="minorHAnsi"/>
                <w:sz w:val="22"/>
                <w:szCs w:val="22"/>
                <w:lang w:val="hr-HR"/>
              </w:rPr>
            </w:pPr>
            <w:r w:rsidRPr="00CD3A2D">
              <w:rPr>
                <w:rFonts w:asciiTheme="minorHAnsi" w:hAnsiTheme="minorHAnsi" w:cstheme="minorHAnsi"/>
                <w:sz w:val="22"/>
                <w:szCs w:val="22"/>
                <w:lang w:val="hr-HR"/>
              </w:rPr>
              <w:t xml:space="preserve"> (2.204)</w:t>
            </w:r>
          </w:p>
        </w:tc>
        <w:tc>
          <w:tcPr>
            <w:tcW w:w="607" w:type="pct"/>
            <w:tcBorders>
              <w:bottom w:val="single" w:sz="4" w:space="0" w:color="auto"/>
            </w:tcBorders>
            <w:shd w:val="clear" w:color="auto" w:fill="auto"/>
            <w:vAlign w:val="bottom"/>
          </w:tcPr>
          <w:p w:rsidR="00512277" w:rsidRPr="001567C8" w:rsidRDefault="00512277" w:rsidP="0051227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c>
          <w:tcPr>
            <w:tcW w:w="681" w:type="pct"/>
            <w:tcBorders>
              <w:bottom w:val="single" w:sz="4" w:space="0" w:color="auto"/>
            </w:tcBorders>
            <w:shd w:val="clear" w:color="auto" w:fill="auto"/>
            <w:vAlign w:val="bottom"/>
          </w:tcPr>
          <w:p w:rsidR="00512277" w:rsidRPr="001567C8" w:rsidRDefault="00512277" w:rsidP="0051227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541891" w:rsidRPr="001567C8" w:rsidTr="003C6BA3">
        <w:trPr>
          <w:trHeight w:val="120"/>
        </w:trPr>
        <w:tc>
          <w:tcPr>
            <w:tcW w:w="2197" w:type="pct"/>
            <w:shd w:val="clear" w:color="auto" w:fill="auto"/>
          </w:tcPr>
          <w:p w:rsidR="00541891" w:rsidRPr="001567C8" w:rsidRDefault="00541891" w:rsidP="00541891">
            <w:pPr>
              <w:pStyle w:val="Tot"/>
              <w:rPr>
                <w:rFonts w:asciiTheme="minorHAnsi" w:hAnsiTheme="minorHAnsi" w:cs="Arial"/>
                <w:b/>
                <w:bCs/>
                <w:sz w:val="22"/>
                <w:szCs w:val="22"/>
                <w:lang w:val="hr-HR"/>
              </w:rPr>
            </w:pPr>
            <w:r w:rsidRPr="001567C8">
              <w:rPr>
                <w:rFonts w:asciiTheme="minorHAnsi" w:hAnsiTheme="minorHAnsi" w:cs="Arial"/>
                <w:b/>
                <w:sz w:val="22"/>
                <w:szCs w:val="22"/>
                <w:lang w:val="hr-HR"/>
              </w:rPr>
              <w:t>Troškovi osiguravateljne djelatnosti</w:t>
            </w:r>
          </w:p>
        </w:tc>
        <w:tc>
          <w:tcPr>
            <w:tcW w:w="834" w:type="pct"/>
            <w:tcBorders>
              <w:top w:val="single" w:sz="4" w:space="0" w:color="auto"/>
              <w:bottom w:val="single" w:sz="12" w:space="0" w:color="auto"/>
            </w:tcBorders>
          </w:tcPr>
          <w:p w:rsidR="00541891" w:rsidRPr="001567C8" w:rsidRDefault="00512277" w:rsidP="00541891">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(658)</w:t>
            </w:r>
          </w:p>
        </w:tc>
        <w:tc>
          <w:tcPr>
            <w:tcW w:w="681" w:type="pct"/>
            <w:tcBorders>
              <w:top w:val="single" w:sz="4" w:space="0" w:color="auto"/>
              <w:bottom w:val="single" w:sz="12" w:space="0" w:color="auto"/>
            </w:tcBorders>
          </w:tcPr>
          <w:p w:rsidR="00541891" w:rsidRPr="001567C8" w:rsidRDefault="00541891" w:rsidP="00541891">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1.481</w:t>
            </w:r>
          </w:p>
        </w:tc>
        <w:tc>
          <w:tcPr>
            <w:tcW w:w="607" w:type="pct"/>
            <w:tcBorders>
              <w:top w:val="single" w:sz="4" w:space="0" w:color="auto"/>
              <w:bottom w:val="single" w:sz="12" w:space="0" w:color="auto"/>
            </w:tcBorders>
            <w:shd w:val="clear" w:color="auto" w:fill="auto"/>
            <w:vAlign w:val="bottom"/>
          </w:tcPr>
          <w:p w:rsidR="00541891" w:rsidRPr="001567C8" w:rsidRDefault="00541891" w:rsidP="00541891">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w:t>
            </w:r>
          </w:p>
        </w:tc>
        <w:tc>
          <w:tcPr>
            <w:tcW w:w="681" w:type="pct"/>
            <w:tcBorders>
              <w:top w:val="single" w:sz="4" w:space="0" w:color="auto"/>
              <w:bottom w:val="single" w:sz="12" w:space="0" w:color="auto"/>
            </w:tcBorders>
            <w:shd w:val="clear" w:color="auto" w:fill="auto"/>
            <w:vAlign w:val="bottom"/>
          </w:tcPr>
          <w:p w:rsidR="00541891" w:rsidRPr="001567C8" w:rsidRDefault="00541891" w:rsidP="00541891">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w:t>
            </w:r>
          </w:p>
        </w:tc>
      </w:tr>
    </w:tbl>
    <w:p w:rsidR="001566EC" w:rsidRPr="001567C8" w:rsidRDefault="001566EC" w:rsidP="00666E7A">
      <w:pPr>
        <w:pStyle w:val="Thick"/>
        <w:rPr>
          <w:rFonts w:asciiTheme="minorHAnsi" w:hAnsiTheme="minorHAnsi" w:cs="Arial"/>
          <w:sz w:val="22"/>
          <w:szCs w:val="22"/>
          <w:lang w:val="hr-HR"/>
        </w:rPr>
      </w:pPr>
    </w:p>
    <w:p w:rsidR="00541891" w:rsidRPr="00CD3A2D" w:rsidRDefault="00541891" w:rsidP="005A4073">
      <w:pPr>
        <w:jc w:val="both"/>
        <w:rPr>
          <w:rFonts w:ascii="Calibri" w:hAnsi="Calibri" w:cs="Calibri"/>
          <w:bCs/>
          <w:iCs/>
          <w:color w:val="000000"/>
          <w:sz w:val="22"/>
          <w:szCs w:val="22"/>
          <w:lang w:val="hr-HR"/>
        </w:rPr>
      </w:pPr>
    </w:p>
    <w:p w:rsidR="00284934" w:rsidRPr="00CD3A2D" w:rsidRDefault="00512277" w:rsidP="005A4073">
      <w:pPr>
        <w:jc w:val="both"/>
        <w:rPr>
          <w:rFonts w:ascii="Calibri" w:hAnsi="Calibri" w:cs="Calibri"/>
          <w:bCs/>
          <w:iCs/>
          <w:color w:val="000000"/>
          <w:sz w:val="22"/>
          <w:szCs w:val="22"/>
          <w:lang w:val="hr-HR"/>
        </w:rPr>
      </w:pPr>
      <w:r w:rsidRPr="00CD3A2D">
        <w:rPr>
          <w:rFonts w:ascii="Calibri" w:hAnsi="Calibri" w:cs="Calibri"/>
          <w:bCs/>
          <w:iCs/>
          <w:color w:val="000000"/>
          <w:sz w:val="22"/>
          <w:szCs w:val="22"/>
          <w:lang w:val="hr-HR"/>
        </w:rPr>
        <w:t xml:space="preserve">Pričuve šteta na </w:t>
      </w:r>
      <w:r w:rsidR="000C2DB4" w:rsidRPr="00CD3A2D">
        <w:rPr>
          <w:rFonts w:ascii="Calibri" w:hAnsi="Calibri" w:cs="Calibri"/>
          <w:bCs/>
          <w:iCs/>
          <w:color w:val="000000"/>
          <w:sz w:val="22"/>
          <w:szCs w:val="22"/>
          <w:lang w:val="hr-HR"/>
        </w:rPr>
        <w:t xml:space="preserve">dan </w:t>
      </w:r>
      <w:r w:rsidRPr="00CD3A2D">
        <w:rPr>
          <w:rFonts w:ascii="Calibri" w:hAnsi="Calibri" w:cs="Calibri"/>
          <w:bCs/>
          <w:iCs/>
          <w:color w:val="000000"/>
          <w:sz w:val="22"/>
          <w:szCs w:val="22"/>
          <w:lang w:val="hr-HR"/>
        </w:rPr>
        <w:t>31.</w:t>
      </w:r>
      <w:r w:rsidR="000C2DB4" w:rsidRPr="00CD3A2D">
        <w:rPr>
          <w:rFonts w:ascii="Calibri" w:hAnsi="Calibri" w:cs="Calibri"/>
          <w:bCs/>
          <w:iCs/>
          <w:color w:val="000000"/>
          <w:sz w:val="22"/>
          <w:szCs w:val="22"/>
          <w:lang w:val="hr-HR"/>
        </w:rPr>
        <w:t xml:space="preserve"> prosinca </w:t>
      </w:r>
      <w:r w:rsidRPr="00CD3A2D">
        <w:rPr>
          <w:rFonts w:ascii="Calibri" w:hAnsi="Calibri" w:cs="Calibri"/>
          <w:bCs/>
          <w:iCs/>
          <w:color w:val="000000"/>
          <w:sz w:val="22"/>
          <w:szCs w:val="22"/>
          <w:lang w:val="hr-HR"/>
        </w:rPr>
        <w:t xml:space="preserve">2018. godine sastoje </w:t>
      </w:r>
      <w:r w:rsidR="000C2DB4" w:rsidRPr="00CD3A2D">
        <w:rPr>
          <w:rFonts w:ascii="Calibri" w:hAnsi="Calibri" w:cs="Calibri"/>
          <w:bCs/>
          <w:iCs/>
          <w:color w:val="000000"/>
          <w:sz w:val="22"/>
          <w:szCs w:val="22"/>
          <w:lang w:val="hr-HR"/>
        </w:rPr>
        <w:t xml:space="preserve">se </w:t>
      </w:r>
      <w:r w:rsidRPr="00CD3A2D">
        <w:rPr>
          <w:rFonts w:ascii="Calibri" w:hAnsi="Calibri" w:cs="Calibri"/>
          <w:bCs/>
          <w:iCs/>
          <w:color w:val="000000"/>
          <w:sz w:val="22"/>
          <w:szCs w:val="22"/>
          <w:lang w:val="hr-HR"/>
        </w:rPr>
        <w:t>od prijavljenih i neprijavljenih šteta u okvirnom omjeru 30:70. Tijekom 2018. godine, ukupne bruto pričuve šteta su se značajno smanjile u odnosu na kraj 2017. godine, jer su štete koje su bile iskazane u pričuvi na kraju 2017.</w:t>
      </w:r>
      <w:r w:rsidR="0092346C" w:rsidRPr="00CD3A2D">
        <w:rPr>
          <w:rFonts w:ascii="Calibri" w:hAnsi="Calibri" w:cs="Calibri"/>
          <w:bCs/>
          <w:iCs/>
          <w:color w:val="000000"/>
          <w:sz w:val="22"/>
          <w:szCs w:val="22"/>
          <w:lang w:val="hr-HR"/>
        </w:rPr>
        <w:t xml:space="preserve"> godine</w:t>
      </w:r>
      <w:r w:rsidRPr="00CD3A2D">
        <w:rPr>
          <w:rFonts w:ascii="Calibri" w:hAnsi="Calibri" w:cs="Calibri"/>
          <w:bCs/>
          <w:iCs/>
          <w:color w:val="000000"/>
          <w:sz w:val="22"/>
          <w:szCs w:val="22"/>
          <w:lang w:val="hr-HR"/>
        </w:rPr>
        <w:t xml:space="preserve"> likvidirane i isplaćene tijekom 2018. godine. U 2018. godini je isplaćen rekordan iznos šteta (9,8 milijuna kn).</w:t>
      </w:r>
      <w:r w:rsidR="00284934" w:rsidRPr="00CD3A2D">
        <w:rPr>
          <w:rFonts w:ascii="Calibri" w:hAnsi="Calibri" w:cs="Calibri"/>
          <w:bCs/>
          <w:iCs/>
          <w:color w:val="000000"/>
          <w:sz w:val="22"/>
          <w:szCs w:val="22"/>
          <w:lang w:val="hr-HR"/>
        </w:rPr>
        <w:t xml:space="preserve"> Korištena</w:t>
      </w:r>
      <w:r w:rsidR="00BD7F48" w:rsidRPr="00CD3A2D">
        <w:rPr>
          <w:rFonts w:ascii="Calibri" w:hAnsi="Calibri" w:cs="Calibri"/>
          <w:bCs/>
          <w:iCs/>
          <w:color w:val="000000"/>
          <w:sz w:val="22"/>
          <w:szCs w:val="22"/>
          <w:lang w:val="hr-HR"/>
        </w:rPr>
        <w:t xml:space="preserve"> je</w:t>
      </w:r>
      <w:r w:rsidR="00284934" w:rsidRPr="00CD3A2D">
        <w:rPr>
          <w:rFonts w:ascii="Calibri" w:hAnsi="Calibri" w:cs="Calibri"/>
          <w:bCs/>
          <w:iCs/>
          <w:color w:val="000000"/>
          <w:sz w:val="22"/>
          <w:szCs w:val="22"/>
          <w:lang w:val="hr-HR"/>
        </w:rPr>
        <w:t xml:space="preserve"> Bornhuetter-Ferguson metoda</w:t>
      </w:r>
      <w:r w:rsidRPr="00CD3A2D">
        <w:rPr>
          <w:rFonts w:ascii="Calibri" w:hAnsi="Calibri" w:cs="Calibri"/>
          <w:bCs/>
          <w:iCs/>
          <w:color w:val="000000"/>
          <w:sz w:val="22"/>
          <w:szCs w:val="22"/>
          <w:lang w:val="hr-HR"/>
        </w:rPr>
        <w:t xml:space="preserve"> za bruto iznos pričuve.</w:t>
      </w:r>
      <w:r w:rsidR="00284934" w:rsidRPr="00CD3A2D">
        <w:rPr>
          <w:rFonts w:ascii="Calibri" w:hAnsi="Calibri" w:cs="Calibri"/>
          <w:bCs/>
          <w:iCs/>
          <w:color w:val="000000"/>
          <w:sz w:val="22"/>
          <w:szCs w:val="22"/>
          <w:lang w:val="hr-HR"/>
        </w:rPr>
        <w:t xml:space="preserve"> Udio reosiguranja određen je u skladu važećim uvjetima ugovora o reosiguranju.</w:t>
      </w:r>
    </w:p>
    <w:bookmarkEnd w:id="49"/>
    <w:p w:rsidR="00D82D69" w:rsidRPr="001567C8" w:rsidRDefault="00D82D69" w:rsidP="00361B04">
      <w:pPr>
        <w:pStyle w:val="T1"/>
        <w:spacing w:before="0" w:after="0" w:line="240" w:lineRule="auto"/>
        <w:rPr>
          <w:rFonts w:asciiTheme="minorHAnsi" w:hAnsiTheme="minorHAnsi" w:cs="Arial"/>
          <w:bCs w:val="0"/>
          <w:sz w:val="22"/>
          <w:szCs w:val="22"/>
          <w:lang w:val="hr-HR"/>
        </w:rPr>
        <w:sectPr w:rsidR="00D82D69" w:rsidRPr="001567C8" w:rsidSect="000D6913">
          <w:pgSz w:w="11907" w:h="16840" w:code="9"/>
          <w:pgMar w:top="1418" w:right="1134" w:bottom="1134" w:left="1418" w:header="851" w:footer="851" w:gutter="0"/>
          <w:cols w:space="720"/>
          <w:noEndnote/>
        </w:sectPr>
      </w:pPr>
    </w:p>
    <w:p w:rsidR="001566EC" w:rsidRPr="001567C8" w:rsidRDefault="001566EC" w:rsidP="00666E7A">
      <w:pPr>
        <w:pStyle w:val="T1"/>
        <w:spacing w:before="0" w:after="0" w:line="240" w:lineRule="auto"/>
        <w:rPr>
          <w:rFonts w:asciiTheme="minorHAnsi" w:hAnsiTheme="minorHAnsi" w:cs="Arial"/>
          <w:bCs w:val="0"/>
          <w:sz w:val="22"/>
          <w:szCs w:val="22"/>
          <w:lang w:val="hr-HR"/>
        </w:rPr>
      </w:pPr>
    </w:p>
    <w:p w:rsidR="006D0890" w:rsidRPr="001567C8" w:rsidRDefault="00B52585" w:rsidP="00666E7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11</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t>Gubitak od umanjenja vrijednosti i rezerviranja</w:t>
      </w:r>
    </w:p>
    <w:p w:rsidR="00666E7A" w:rsidRPr="001567C8" w:rsidRDefault="00666E7A" w:rsidP="00666E7A">
      <w:pPr>
        <w:pStyle w:val="T1"/>
        <w:spacing w:before="0" w:after="0" w:line="240" w:lineRule="auto"/>
        <w:rPr>
          <w:rFonts w:asciiTheme="minorHAnsi" w:hAnsiTheme="minorHAnsi" w:cs="Arial"/>
          <w:sz w:val="22"/>
          <w:szCs w:val="22"/>
          <w:lang w:val="hr-HR"/>
        </w:rPr>
      </w:pPr>
    </w:p>
    <w:p w:rsidR="006D0890" w:rsidRPr="001567C8" w:rsidRDefault="00AA59C2" w:rsidP="00666E7A">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R</w:t>
      </w:r>
      <w:r w:rsidR="006D0890" w:rsidRPr="001567C8">
        <w:rPr>
          <w:rFonts w:asciiTheme="minorHAnsi" w:hAnsiTheme="minorHAnsi" w:cs="Arial"/>
          <w:b w:val="0"/>
          <w:bCs w:val="0"/>
          <w:sz w:val="22"/>
          <w:szCs w:val="22"/>
          <w:lang w:val="hr-HR"/>
        </w:rPr>
        <w:t>ezerviranja za gubitke</w:t>
      </w:r>
      <w:r w:rsidR="00FF50C8" w:rsidRPr="001567C8">
        <w:rPr>
          <w:rFonts w:asciiTheme="minorHAnsi" w:hAnsiTheme="minorHAnsi" w:cs="Arial"/>
          <w:b w:val="0"/>
          <w:bCs w:val="0"/>
          <w:sz w:val="22"/>
          <w:szCs w:val="22"/>
          <w:lang w:val="hr-HR"/>
        </w:rPr>
        <w:t xml:space="preserve"> po plasmanima</w:t>
      </w:r>
      <w:r w:rsidR="006D0890" w:rsidRPr="001567C8">
        <w:rPr>
          <w:rFonts w:asciiTheme="minorHAnsi" w:hAnsiTheme="minorHAnsi" w:cs="Arial"/>
          <w:b w:val="0"/>
          <w:bCs w:val="0"/>
          <w:sz w:val="22"/>
          <w:szCs w:val="22"/>
          <w:lang w:val="hr-HR"/>
        </w:rPr>
        <w:t xml:space="preserve"> mogu se prikazati kako slijedi:</w:t>
      </w:r>
    </w:p>
    <w:p w:rsidR="00620424" w:rsidRPr="001567C8" w:rsidRDefault="00620424" w:rsidP="00620424">
      <w:pPr>
        <w:pStyle w:val="T1"/>
        <w:spacing w:before="0" w:after="0" w:line="240" w:lineRule="auto"/>
        <w:rPr>
          <w:rFonts w:asciiTheme="minorHAnsi" w:hAnsiTheme="minorHAnsi" w:cs="Arial"/>
          <w:bCs w:val="0"/>
          <w:sz w:val="22"/>
          <w:szCs w:val="22"/>
          <w:lang w:val="hr-HR"/>
        </w:rPr>
      </w:pPr>
    </w:p>
    <w:p w:rsidR="00620424" w:rsidRPr="001567C8" w:rsidRDefault="00620424" w:rsidP="00620424">
      <w:pPr>
        <w:pStyle w:val="T1"/>
        <w:spacing w:before="0" w:after="0" w:line="240" w:lineRule="auto"/>
        <w:rPr>
          <w:rFonts w:asciiTheme="minorHAnsi" w:hAnsiTheme="minorHAnsi" w:cs="Arial"/>
          <w:bCs w:val="0"/>
          <w:sz w:val="22"/>
          <w:szCs w:val="22"/>
          <w:lang w:val="hr-HR"/>
        </w:rPr>
      </w:pPr>
      <w:r w:rsidRPr="001567C8">
        <w:rPr>
          <w:rFonts w:asciiTheme="minorHAnsi" w:hAnsiTheme="minorHAnsi" w:cs="Arial"/>
          <w:bCs w:val="0"/>
          <w:sz w:val="22"/>
          <w:szCs w:val="22"/>
          <w:lang w:val="hr-HR"/>
        </w:rPr>
        <w:t>a) Gubitak od umanjenja vrijednosti i rezerviranja financijskih instrumenata po MSFI-ju 9</w:t>
      </w:r>
    </w:p>
    <w:p w:rsidR="00620424" w:rsidRPr="001567C8" w:rsidRDefault="00620424" w:rsidP="00620424">
      <w:pPr>
        <w:pStyle w:val="T1"/>
        <w:spacing w:before="0" w:after="0" w:line="240" w:lineRule="auto"/>
        <w:rPr>
          <w:rFonts w:asciiTheme="minorHAnsi" w:hAnsiTheme="minorHAnsi" w:cs="Arial"/>
          <w:sz w:val="22"/>
          <w:szCs w:val="22"/>
          <w:lang w:val="hr-HR"/>
        </w:rPr>
      </w:pPr>
    </w:p>
    <w:tbl>
      <w:tblPr>
        <w:tblW w:w="5128" w:type="pct"/>
        <w:tblLayout w:type="fixed"/>
        <w:tblCellMar>
          <w:left w:w="120" w:type="dxa"/>
          <w:right w:w="120" w:type="dxa"/>
        </w:tblCellMar>
        <w:tblLook w:val="0000" w:firstRow="0" w:lastRow="0" w:firstColumn="0" w:lastColumn="0" w:noHBand="0" w:noVBand="0"/>
      </w:tblPr>
      <w:tblGrid>
        <w:gridCol w:w="4834"/>
        <w:gridCol w:w="1194"/>
        <w:gridCol w:w="1193"/>
        <w:gridCol w:w="1193"/>
        <w:gridCol w:w="1180"/>
      </w:tblGrid>
      <w:tr w:rsidR="00620424" w:rsidRPr="001567C8" w:rsidTr="009A07E7">
        <w:trPr>
          <w:trHeight w:val="156"/>
        </w:trPr>
        <w:tc>
          <w:tcPr>
            <w:tcW w:w="2519" w:type="pct"/>
          </w:tcPr>
          <w:p w:rsidR="00620424" w:rsidRPr="001567C8" w:rsidRDefault="00620424" w:rsidP="009A07E7">
            <w:pPr>
              <w:pStyle w:val="TH"/>
              <w:rPr>
                <w:rFonts w:asciiTheme="minorHAnsi" w:hAnsiTheme="minorHAnsi" w:cs="Arial"/>
                <w:sz w:val="22"/>
                <w:szCs w:val="22"/>
                <w:lang w:val="hr-HR"/>
              </w:rPr>
            </w:pPr>
          </w:p>
        </w:tc>
        <w:tc>
          <w:tcPr>
            <w:tcW w:w="1244" w:type="pct"/>
            <w:gridSpan w:val="2"/>
            <w:vAlign w:val="bottom"/>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237" w:type="pct"/>
            <w:gridSpan w:val="2"/>
            <w:vAlign w:val="bottom"/>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620424" w:rsidRPr="001567C8" w:rsidTr="009A07E7">
        <w:trPr>
          <w:trHeight w:val="156"/>
        </w:trPr>
        <w:tc>
          <w:tcPr>
            <w:tcW w:w="2519" w:type="pct"/>
          </w:tcPr>
          <w:p w:rsidR="00620424" w:rsidRPr="001567C8" w:rsidRDefault="00620424" w:rsidP="009A07E7">
            <w:pPr>
              <w:pStyle w:val="TH"/>
              <w:rPr>
                <w:rFonts w:asciiTheme="minorHAnsi" w:hAnsiTheme="minorHAnsi" w:cs="Arial"/>
                <w:sz w:val="22"/>
                <w:szCs w:val="22"/>
                <w:lang w:val="hr-HR"/>
              </w:rPr>
            </w:pPr>
          </w:p>
        </w:tc>
        <w:tc>
          <w:tcPr>
            <w:tcW w:w="622" w:type="pct"/>
            <w:vAlign w:val="bottom"/>
          </w:tcPr>
          <w:p w:rsidR="00620424" w:rsidRPr="001567C8" w:rsidRDefault="00620424" w:rsidP="009A07E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22" w:type="pct"/>
            <w:vAlign w:val="bottom"/>
          </w:tcPr>
          <w:p w:rsidR="00620424" w:rsidRPr="001567C8" w:rsidRDefault="00620424" w:rsidP="009A07E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c>
          <w:tcPr>
            <w:tcW w:w="622" w:type="pct"/>
            <w:vAlign w:val="bottom"/>
          </w:tcPr>
          <w:p w:rsidR="00620424" w:rsidRPr="001567C8" w:rsidRDefault="00620424" w:rsidP="009A07E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15" w:type="pct"/>
            <w:vAlign w:val="bottom"/>
          </w:tcPr>
          <w:p w:rsidR="00620424" w:rsidRPr="001567C8" w:rsidRDefault="00620424" w:rsidP="009A07E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r>
      <w:tr w:rsidR="00620424" w:rsidRPr="001567C8" w:rsidTr="009A07E7">
        <w:trPr>
          <w:trHeight w:val="156"/>
        </w:trPr>
        <w:tc>
          <w:tcPr>
            <w:tcW w:w="2519" w:type="pct"/>
          </w:tcPr>
          <w:p w:rsidR="00620424" w:rsidRPr="001567C8" w:rsidRDefault="00620424" w:rsidP="009A07E7">
            <w:pPr>
              <w:pStyle w:val="TH"/>
              <w:rPr>
                <w:rFonts w:asciiTheme="minorHAnsi" w:hAnsiTheme="minorHAnsi" w:cs="Arial"/>
                <w:sz w:val="22"/>
                <w:szCs w:val="22"/>
                <w:lang w:val="hr-HR"/>
              </w:rPr>
            </w:pPr>
          </w:p>
        </w:tc>
        <w:tc>
          <w:tcPr>
            <w:tcW w:w="622" w:type="pct"/>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22" w:type="pct"/>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22" w:type="pct"/>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15" w:type="pct"/>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620424" w:rsidRPr="001567C8" w:rsidTr="009A07E7">
        <w:trPr>
          <w:trHeight w:val="148"/>
        </w:trPr>
        <w:tc>
          <w:tcPr>
            <w:tcW w:w="2519" w:type="pct"/>
          </w:tcPr>
          <w:p w:rsidR="00620424" w:rsidRPr="001567C8" w:rsidRDefault="00620424" w:rsidP="009A07E7">
            <w:pPr>
              <w:pStyle w:val="TH"/>
              <w:rPr>
                <w:rFonts w:asciiTheme="minorHAnsi" w:hAnsiTheme="minorHAnsi" w:cs="Arial"/>
                <w:sz w:val="22"/>
                <w:szCs w:val="22"/>
                <w:lang w:val="hr-HR"/>
              </w:rPr>
            </w:pPr>
          </w:p>
        </w:tc>
        <w:tc>
          <w:tcPr>
            <w:tcW w:w="622" w:type="pct"/>
          </w:tcPr>
          <w:p w:rsidR="00620424" w:rsidRPr="001567C8" w:rsidRDefault="00620424" w:rsidP="009A07E7">
            <w:pPr>
              <w:pStyle w:val="TH"/>
              <w:jc w:val="right"/>
              <w:rPr>
                <w:rFonts w:asciiTheme="minorHAnsi" w:hAnsiTheme="minorHAnsi" w:cs="Arial"/>
                <w:sz w:val="22"/>
                <w:szCs w:val="22"/>
                <w:lang w:val="hr-HR"/>
              </w:rPr>
            </w:pPr>
          </w:p>
        </w:tc>
        <w:tc>
          <w:tcPr>
            <w:tcW w:w="622" w:type="pct"/>
          </w:tcPr>
          <w:p w:rsidR="00620424" w:rsidRPr="001567C8" w:rsidRDefault="00620424" w:rsidP="009A07E7">
            <w:pPr>
              <w:pStyle w:val="TH"/>
              <w:jc w:val="right"/>
              <w:rPr>
                <w:rFonts w:asciiTheme="minorHAnsi" w:hAnsiTheme="minorHAnsi" w:cs="Arial"/>
                <w:sz w:val="22"/>
                <w:szCs w:val="22"/>
                <w:lang w:val="hr-HR"/>
              </w:rPr>
            </w:pPr>
          </w:p>
        </w:tc>
        <w:tc>
          <w:tcPr>
            <w:tcW w:w="622" w:type="pct"/>
            <w:vAlign w:val="bottom"/>
          </w:tcPr>
          <w:p w:rsidR="00620424" w:rsidRPr="001567C8" w:rsidRDefault="00620424" w:rsidP="009A07E7">
            <w:pPr>
              <w:pStyle w:val="TH"/>
              <w:jc w:val="right"/>
              <w:rPr>
                <w:rFonts w:asciiTheme="minorHAnsi" w:hAnsiTheme="minorHAnsi" w:cs="Arial"/>
                <w:sz w:val="22"/>
                <w:szCs w:val="22"/>
                <w:lang w:val="hr-HR"/>
              </w:rPr>
            </w:pPr>
          </w:p>
        </w:tc>
        <w:tc>
          <w:tcPr>
            <w:tcW w:w="615" w:type="pct"/>
            <w:vAlign w:val="bottom"/>
          </w:tcPr>
          <w:p w:rsidR="00620424" w:rsidRPr="001567C8" w:rsidRDefault="00620424" w:rsidP="009A07E7">
            <w:pPr>
              <w:pStyle w:val="TH"/>
              <w:jc w:val="right"/>
              <w:rPr>
                <w:rFonts w:asciiTheme="minorHAnsi" w:hAnsiTheme="minorHAnsi" w:cs="Arial"/>
                <w:sz w:val="22"/>
                <w:szCs w:val="22"/>
                <w:lang w:val="hr-HR"/>
              </w:rPr>
            </w:pPr>
          </w:p>
        </w:tc>
      </w:tr>
      <w:tr w:rsidR="00620424" w:rsidRPr="001567C8" w:rsidTr="009A07E7">
        <w:trPr>
          <w:trHeight w:val="293"/>
        </w:trPr>
        <w:tc>
          <w:tcPr>
            <w:tcW w:w="2519" w:type="pct"/>
          </w:tcPr>
          <w:p w:rsidR="00620424" w:rsidRPr="001567C8" w:rsidRDefault="00620424" w:rsidP="009A07E7">
            <w:pPr>
              <w:pStyle w:val="TT"/>
              <w:rPr>
                <w:rFonts w:asciiTheme="minorHAnsi" w:hAnsiTheme="minorHAnsi" w:cs="Arial"/>
                <w:spacing w:val="-2"/>
                <w:sz w:val="22"/>
                <w:szCs w:val="22"/>
                <w:lang w:val="hr-HR"/>
              </w:rPr>
            </w:pPr>
            <w:r w:rsidRPr="001567C8">
              <w:rPr>
                <w:rFonts w:asciiTheme="minorHAnsi" w:hAnsiTheme="minorHAnsi" w:cs="Arial"/>
                <w:sz w:val="22"/>
                <w:szCs w:val="22"/>
                <w:lang w:val="hr-HR"/>
              </w:rPr>
              <w:t>Rezerviranja za gubitke po računima kod financijskih institucija</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1.625 </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(2.221)</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1.608 </w:t>
            </w:r>
          </w:p>
        </w:tc>
        <w:tc>
          <w:tcPr>
            <w:tcW w:w="615"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(2.221)</w:t>
            </w:r>
          </w:p>
        </w:tc>
      </w:tr>
      <w:tr w:rsidR="00620424" w:rsidRPr="001567C8" w:rsidTr="009A07E7">
        <w:trPr>
          <w:trHeight w:val="387"/>
        </w:trPr>
        <w:tc>
          <w:tcPr>
            <w:tcW w:w="2519" w:type="pct"/>
          </w:tcPr>
          <w:p w:rsidR="00620424" w:rsidRPr="001567C8" w:rsidRDefault="00620424" w:rsidP="009A07E7">
            <w:pPr>
              <w:pStyle w:val="TT"/>
              <w:rPr>
                <w:rFonts w:asciiTheme="minorHAnsi" w:hAnsiTheme="minorHAnsi" w:cs="Arial"/>
                <w:spacing w:val="-2"/>
                <w:sz w:val="22"/>
                <w:szCs w:val="22"/>
                <w:lang w:val="hr-HR"/>
              </w:rPr>
            </w:pPr>
            <w:r w:rsidRPr="001567C8">
              <w:rPr>
                <w:rFonts w:asciiTheme="minorHAnsi" w:hAnsiTheme="minorHAnsi" w:cs="Arial"/>
                <w:sz w:val="22"/>
                <w:szCs w:val="22"/>
                <w:lang w:val="hr-HR"/>
              </w:rPr>
              <w:t>Rezerviranja za gubitke po depozitima kod drugih banaka</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1.216 </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106 </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1.216 </w:t>
            </w:r>
          </w:p>
        </w:tc>
        <w:tc>
          <w:tcPr>
            <w:tcW w:w="615"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106</w:t>
            </w:r>
          </w:p>
        </w:tc>
      </w:tr>
      <w:tr w:rsidR="00620424" w:rsidRPr="001567C8" w:rsidTr="009A07E7">
        <w:trPr>
          <w:trHeight w:val="387"/>
        </w:trPr>
        <w:tc>
          <w:tcPr>
            <w:tcW w:w="2519" w:type="pct"/>
          </w:tcPr>
          <w:p w:rsidR="00620424" w:rsidRPr="001567C8" w:rsidRDefault="00620424" w:rsidP="009A07E7">
            <w:pPr>
              <w:pStyle w:val="TT"/>
              <w:rPr>
                <w:rFonts w:asciiTheme="minorHAnsi" w:hAnsiTheme="minorHAnsi" w:cs="Arial"/>
                <w:spacing w:val="-2"/>
                <w:sz w:val="22"/>
                <w:szCs w:val="22"/>
                <w:lang w:val="hr-HR"/>
              </w:rPr>
            </w:pPr>
            <w:r w:rsidRPr="001567C8">
              <w:rPr>
                <w:rFonts w:asciiTheme="minorHAnsi" w:hAnsiTheme="minorHAnsi" w:cs="Arial"/>
                <w:sz w:val="22"/>
                <w:szCs w:val="22"/>
                <w:lang w:val="hr-HR"/>
              </w:rPr>
              <w:t>Rezerviranja za gubitke po kreditima financijskim institucijama</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w:t>
            </w:r>
            <w:r w:rsidR="00381EC6" w:rsidRPr="00CD3A2D">
              <w:rPr>
                <w:rFonts w:ascii="Calibri" w:hAnsi="Calibri" w:cs="Calibri"/>
                <w:color w:val="000000"/>
                <w:sz w:val="22"/>
                <w:szCs w:val="22"/>
                <w:lang w:val="hr-HR"/>
              </w:rPr>
              <w:t>13.149</w:t>
            </w:r>
            <w:r w:rsidRPr="00CD3A2D">
              <w:rPr>
                <w:rFonts w:ascii="Calibri" w:hAnsi="Calibri" w:cs="Calibri"/>
                <w:color w:val="000000"/>
                <w:sz w:val="22"/>
                <w:szCs w:val="22"/>
                <w:lang w:val="hr-HR"/>
              </w:rPr>
              <w:t>)</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(123.846)</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w:t>
            </w:r>
            <w:r w:rsidR="00901605" w:rsidRPr="00CD3A2D">
              <w:rPr>
                <w:rFonts w:ascii="Calibri" w:hAnsi="Calibri" w:cs="Calibri"/>
                <w:color w:val="000000"/>
                <w:sz w:val="22"/>
                <w:szCs w:val="22"/>
                <w:lang w:val="hr-HR"/>
              </w:rPr>
              <w:t>13.149</w:t>
            </w:r>
            <w:r w:rsidRPr="00CD3A2D">
              <w:rPr>
                <w:rFonts w:ascii="Calibri" w:hAnsi="Calibri" w:cs="Calibri"/>
                <w:color w:val="000000"/>
                <w:sz w:val="22"/>
                <w:szCs w:val="22"/>
                <w:lang w:val="hr-HR"/>
              </w:rPr>
              <w:t>)</w:t>
            </w:r>
          </w:p>
        </w:tc>
        <w:tc>
          <w:tcPr>
            <w:tcW w:w="615"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(123.846)</w:t>
            </w:r>
          </w:p>
        </w:tc>
      </w:tr>
      <w:tr w:rsidR="00620424" w:rsidRPr="001567C8" w:rsidTr="009A07E7">
        <w:trPr>
          <w:trHeight w:val="387"/>
        </w:trPr>
        <w:tc>
          <w:tcPr>
            <w:tcW w:w="2519" w:type="pct"/>
          </w:tcPr>
          <w:p w:rsidR="00620424" w:rsidRPr="001567C8" w:rsidRDefault="00620424" w:rsidP="009A07E7">
            <w:pPr>
              <w:pStyle w:val="TT"/>
              <w:rPr>
                <w:rFonts w:asciiTheme="minorHAnsi" w:hAnsiTheme="minorHAnsi" w:cs="Arial"/>
                <w:sz w:val="22"/>
                <w:szCs w:val="22"/>
                <w:lang w:val="hr-HR"/>
              </w:rPr>
            </w:pPr>
            <w:r w:rsidRPr="001567C8">
              <w:rPr>
                <w:rFonts w:asciiTheme="minorHAnsi" w:hAnsiTheme="minorHAnsi" w:cs="Arial"/>
                <w:sz w:val="22"/>
                <w:szCs w:val="22"/>
                <w:lang w:val="hr-HR"/>
              </w:rPr>
              <w:t>Rezerviranja za gubitke po kreditima ostalim korisnicima i kamatama</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w:t>
            </w:r>
            <w:r w:rsidR="00901605" w:rsidRPr="00CD3A2D">
              <w:rPr>
                <w:rFonts w:ascii="Calibri" w:hAnsi="Calibri" w:cs="Calibri"/>
                <w:color w:val="000000"/>
                <w:sz w:val="22"/>
                <w:szCs w:val="22"/>
                <w:lang w:val="hr-HR"/>
              </w:rPr>
              <w:t>211.161</w:t>
            </w:r>
            <w:r w:rsidRPr="00CD3A2D">
              <w:rPr>
                <w:rFonts w:ascii="Calibri" w:hAnsi="Calibri" w:cs="Calibri"/>
                <w:color w:val="000000"/>
                <w:sz w:val="22"/>
                <w:szCs w:val="22"/>
                <w:lang w:val="hr-HR"/>
              </w:rPr>
              <w:t>)</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337.888 </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w:t>
            </w:r>
            <w:r w:rsidR="00901605" w:rsidRPr="00CD3A2D">
              <w:rPr>
                <w:rFonts w:ascii="Calibri" w:hAnsi="Calibri" w:cs="Calibri"/>
                <w:color w:val="000000"/>
                <w:sz w:val="22"/>
                <w:szCs w:val="22"/>
                <w:lang w:val="hr-HR"/>
              </w:rPr>
              <w:t>211.161</w:t>
            </w:r>
            <w:r w:rsidRPr="00CD3A2D">
              <w:rPr>
                <w:rFonts w:ascii="Calibri" w:hAnsi="Calibri" w:cs="Calibri"/>
                <w:color w:val="000000"/>
                <w:sz w:val="22"/>
                <w:szCs w:val="22"/>
                <w:lang w:val="hr-HR"/>
              </w:rPr>
              <w:t>)</w:t>
            </w:r>
          </w:p>
        </w:tc>
        <w:tc>
          <w:tcPr>
            <w:tcW w:w="615"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337.888</w:t>
            </w:r>
          </w:p>
        </w:tc>
      </w:tr>
      <w:tr w:rsidR="00901605" w:rsidRPr="001567C8" w:rsidTr="003C6BA3">
        <w:trPr>
          <w:trHeight w:val="387"/>
        </w:trPr>
        <w:tc>
          <w:tcPr>
            <w:tcW w:w="2519" w:type="pct"/>
            <w:vAlign w:val="center"/>
          </w:tcPr>
          <w:p w:rsidR="00901605" w:rsidRPr="001567C8" w:rsidRDefault="00901605">
            <w:pPr>
              <w:pStyle w:val="TT"/>
              <w:rPr>
                <w:rFonts w:asciiTheme="minorHAnsi" w:hAnsiTheme="minorHAnsi" w:cs="Arial"/>
                <w:sz w:val="22"/>
                <w:szCs w:val="22"/>
                <w:lang w:val="hr-HR"/>
              </w:rPr>
            </w:pPr>
            <w:r w:rsidRPr="001567C8">
              <w:rPr>
                <w:rFonts w:asciiTheme="minorHAnsi" w:hAnsiTheme="minorHAnsi" w:cs="Arial"/>
                <w:sz w:val="22"/>
                <w:szCs w:val="22"/>
                <w:lang w:val="hr-HR"/>
              </w:rPr>
              <w:t>Modifikacijski gubitak po kreditima banaka</w:t>
            </w:r>
          </w:p>
        </w:tc>
        <w:tc>
          <w:tcPr>
            <w:tcW w:w="622" w:type="pct"/>
            <w:tcBorders>
              <w:top w:val="nil"/>
              <w:left w:val="nil"/>
              <w:bottom w:val="nil"/>
              <w:right w:val="nil"/>
            </w:tcBorders>
            <w:shd w:val="clear" w:color="auto" w:fill="auto"/>
            <w:vAlign w:val="bottom"/>
          </w:tcPr>
          <w:p w:rsidR="00901605" w:rsidRPr="00CD3A2D" w:rsidRDefault="00901605">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3.021</w:t>
            </w:r>
          </w:p>
        </w:tc>
        <w:tc>
          <w:tcPr>
            <w:tcW w:w="622" w:type="pct"/>
            <w:tcBorders>
              <w:top w:val="nil"/>
              <w:left w:val="nil"/>
              <w:bottom w:val="nil"/>
              <w:right w:val="nil"/>
            </w:tcBorders>
            <w:shd w:val="clear" w:color="auto" w:fill="auto"/>
            <w:vAlign w:val="bottom"/>
          </w:tcPr>
          <w:p w:rsidR="00901605" w:rsidRPr="00CD3A2D" w:rsidRDefault="00901605">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n/p</w:t>
            </w:r>
          </w:p>
        </w:tc>
        <w:tc>
          <w:tcPr>
            <w:tcW w:w="622" w:type="pct"/>
            <w:tcBorders>
              <w:top w:val="nil"/>
              <w:left w:val="nil"/>
              <w:bottom w:val="nil"/>
              <w:right w:val="nil"/>
            </w:tcBorders>
            <w:shd w:val="clear" w:color="auto" w:fill="auto"/>
            <w:vAlign w:val="bottom"/>
          </w:tcPr>
          <w:p w:rsidR="00901605" w:rsidRPr="00CD3A2D" w:rsidRDefault="00901605">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3.021</w:t>
            </w:r>
          </w:p>
        </w:tc>
        <w:tc>
          <w:tcPr>
            <w:tcW w:w="615" w:type="pct"/>
            <w:tcBorders>
              <w:top w:val="nil"/>
              <w:left w:val="nil"/>
              <w:bottom w:val="nil"/>
              <w:right w:val="nil"/>
            </w:tcBorders>
            <w:shd w:val="clear" w:color="auto" w:fill="auto"/>
            <w:vAlign w:val="bottom"/>
          </w:tcPr>
          <w:p w:rsidR="00901605" w:rsidRPr="001567C8" w:rsidRDefault="00901605">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n/p</w:t>
            </w:r>
          </w:p>
        </w:tc>
      </w:tr>
      <w:tr w:rsidR="00901605" w:rsidRPr="001567C8" w:rsidTr="003C6BA3">
        <w:trPr>
          <w:trHeight w:val="387"/>
        </w:trPr>
        <w:tc>
          <w:tcPr>
            <w:tcW w:w="2519" w:type="pct"/>
            <w:vAlign w:val="center"/>
          </w:tcPr>
          <w:p w:rsidR="00901605" w:rsidRPr="001567C8" w:rsidRDefault="00901605">
            <w:pPr>
              <w:pStyle w:val="TT"/>
              <w:rPr>
                <w:rFonts w:asciiTheme="minorHAnsi" w:hAnsiTheme="minorHAnsi" w:cs="Arial"/>
                <w:sz w:val="22"/>
                <w:szCs w:val="22"/>
                <w:lang w:val="hr-HR"/>
              </w:rPr>
            </w:pPr>
            <w:r w:rsidRPr="001567C8">
              <w:rPr>
                <w:rFonts w:asciiTheme="minorHAnsi" w:hAnsiTheme="minorHAnsi" w:cs="Arial"/>
                <w:sz w:val="22"/>
                <w:szCs w:val="22"/>
                <w:lang w:val="hr-HR"/>
              </w:rPr>
              <w:t>Modifikacijski gubitak po kreditima ostalim korisnicima</w:t>
            </w:r>
          </w:p>
        </w:tc>
        <w:tc>
          <w:tcPr>
            <w:tcW w:w="622" w:type="pct"/>
            <w:tcBorders>
              <w:top w:val="nil"/>
              <w:left w:val="nil"/>
              <w:bottom w:val="nil"/>
              <w:right w:val="nil"/>
            </w:tcBorders>
            <w:shd w:val="clear" w:color="auto" w:fill="auto"/>
            <w:vAlign w:val="bottom"/>
          </w:tcPr>
          <w:p w:rsidR="00901605" w:rsidRPr="00CD3A2D" w:rsidRDefault="00901605">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5.543</w:t>
            </w:r>
          </w:p>
        </w:tc>
        <w:tc>
          <w:tcPr>
            <w:tcW w:w="622" w:type="pct"/>
            <w:tcBorders>
              <w:top w:val="nil"/>
              <w:left w:val="nil"/>
              <w:bottom w:val="nil"/>
              <w:right w:val="nil"/>
            </w:tcBorders>
            <w:shd w:val="clear" w:color="auto" w:fill="auto"/>
            <w:vAlign w:val="bottom"/>
          </w:tcPr>
          <w:p w:rsidR="00901605" w:rsidRPr="00CD3A2D" w:rsidRDefault="00901605">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n/p</w:t>
            </w:r>
          </w:p>
        </w:tc>
        <w:tc>
          <w:tcPr>
            <w:tcW w:w="622" w:type="pct"/>
            <w:tcBorders>
              <w:top w:val="nil"/>
              <w:left w:val="nil"/>
              <w:bottom w:val="nil"/>
              <w:right w:val="nil"/>
            </w:tcBorders>
            <w:shd w:val="clear" w:color="auto" w:fill="auto"/>
            <w:vAlign w:val="bottom"/>
          </w:tcPr>
          <w:p w:rsidR="00901605" w:rsidRPr="00CD3A2D" w:rsidRDefault="00901605">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5.543</w:t>
            </w:r>
          </w:p>
        </w:tc>
        <w:tc>
          <w:tcPr>
            <w:tcW w:w="615" w:type="pct"/>
            <w:tcBorders>
              <w:top w:val="nil"/>
              <w:left w:val="nil"/>
              <w:bottom w:val="nil"/>
              <w:right w:val="nil"/>
            </w:tcBorders>
            <w:shd w:val="clear" w:color="auto" w:fill="auto"/>
            <w:vAlign w:val="bottom"/>
          </w:tcPr>
          <w:p w:rsidR="00901605" w:rsidRPr="001567C8" w:rsidRDefault="00901605">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n/p</w:t>
            </w:r>
          </w:p>
        </w:tc>
      </w:tr>
      <w:tr w:rsidR="00901605" w:rsidRPr="001567C8" w:rsidTr="003C6BA3">
        <w:trPr>
          <w:trHeight w:val="281"/>
        </w:trPr>
        <w:tc>
          <w:tcPr>
            <w:tcW w:w="2519" w:type="pct"/>
            <w:vAlign w:val="center"/>
          </w:tcPr>
          <w:p w:rsidR="00901605" w:rsidRPr="001567C8" w:rsidRDefault="00901605">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POCI imovina – </w:t>
            </w:r>
            <w:r w:rsidR="00397014">
              <w:rPr>
                <w:rFonts w:asciiTheme="minorHAnsi" w:hAnsiTheme="minorHAnsi" w:cs="Arial"/>
                <w:sz w:val="22"/>
                <w:szCs w:val="22"/>
                <w:lang w:val="hr-HR"/>
              </w:rPr>
              <w:t>usklađenje fer vrijednosti kod inicijalnog</w:t>
            </w:r>
            <w:r w:rsidRPr="001567C8">
              <w:rPr>
                <w:rFonts w:asciiTheme="minorHAnsi" w:hAnsiTheme="minorHAnsi" w:cs="Arial"/>
                <w:sz w:val="22"/>
                <w:szCs w:val="22"/>
                <w:lang w:val="hr-HR"/>
              </w:rPr>
              <w:t xml:space="preserve"> priznavanj</w:t>
            </w:r>
            <w:r w:rsidR="00397014">
              <w:rPr>
                <w:rFonts w:asciiTheme="minorHAnsi" w:hAnsiTheme="minorHAnsi" w:cs="Arial"/>
                <w:sz w:val="22"/>
                <w:szCs w:val="22"/>
                <w:lang w:val="hr-HR"/>
              </w:rPr>
              <w:t>a</w:t>
            </w:r>
          </w:p>
        </w:tc>
        <w:tc>
          <w:tcPr>
            <w:tcW w:w="622" w:type="pct"/>
            <w:tcBorders>
              <w:top w:val="nil"/>
              <w:left w:val="nil"/>
              <w:bottom w:val="nil"/>
              <w:right w:val="nil"/>
            </w:tcBorders>
            <w:shd w:val="clear" w:color="auto" w:fill="auto"/>
            <w:vAlign w:val="bottom"/>
          </w:tcPr>
          <w:p w:rsidR="00901605" w:rsidRPr="00CD3A2D" w:rsidRDefault="00901605">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62.368</w:t>
            </w:r>
          </w:p>
        </w:tc>
        <w:tc>
          <w:tcPr>
            <w:tcW w:w="622" w:type="pct"/>
            <w:tcBorders>
              <w:top w:val="nil"/>
              <w:left w:val="nil"/>
              <w:bottom w:val="nil"/>
              <w:right w:val="nil"/>
            </w:tcBorders>
            <w:shd w:val="clear" w:color="auto" w:fill="auto"/>
            <w:vAlign w:val="bottom"/>
          </w:tcPr>
          <w:p w:rsidR="00901605" w:rsidRPr="00CD3A2D" w:rsidRDefault="00901605">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n/p</w:t>
            </w:r>
          </w:p>
        </w:tc>
        <w:tc>
          <w:tcPr>
            <w:tcW w:w="622" w:type="pct"/>
            <w:tcBorders>
              <w:top w:val="nil"/>
              <w:left w:val="nil"/>
              <w:bottom w:val="nil"/>
              <w:right w:val="nil"/>
            </w:tcBorders>
            <w:shd w:val="clear" w:color="auto" w:fill="auto"/>
            <w:vAlign w:val="bottom"/>
          </w:tcPr>
          <w:p w:rsidR="00901605" w:rsidRPr="00CD3A2D" w:rsidRDefault="00901605">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62.368</w:t>
            </w:r>
          </w:p>
        </w:tc>
        <w:tc>
          <w:tcPr>
            <w:tcW w:w="615" w:type="pct"/>
            <w:tcBorders>
              <w:top w:val="nil"/>
              <w:left w:val="nil"/>
              <w:bottom w:val="nil"/>
              <w:right w:val="nil"/>
            </w:tcBorders>
            <w:shd w:val="clear" w:color="auto" w:fill="auto"/>
            <w:vAlign w:val="bottom"/>
          </w:tcPr>
          <w:p w:rsidR="00901605" w:rsidRPr="001567C8" w:rsidRDefault="00901605">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n/p</w:t>
            </w:r>
          </w:p>
        </w:tc>
      </w:tr>
      <w:tr w:rsidR="00620424" w:rsidRPr="001567C8" w:rsidTr="009A07E7">
        <w:trPr>
          <w:trHeight w:val="387"/>
        </w:trPr>
        <w:tc>
          <w:tcPr>
            <w:tcW w:w="2519" w:type="pct"/>
          </w:tcPr>
          <w:p w:rsidR="00620424" w:rsidRPr="001567C8" w:rsidRDefault="00620424" w:rsidP="009A07E7">
            <w:pPr>
              <w:pStyle w:val="TT"/>
              <w:rPr>
                <w:rFonts w:asciiTheme="minorHAnsi" w:hAnsiTheme="minorHAnsi" w:cs="Arial"/>
                <w:sz w:val="22"/>
                <w:szCs w:val="22"/>
                <w:lang w:val="hr-HR"/>
              </w:rPr>
            </w:pPr>
            <w:r w:rsidRPr="001567C8">
              <w:rPr>
                <w:rFonts w:asciiTheme="minorHAnsi" w:hAnsiTheme="minorHAnsi" w:cs="Arial"/>
                <w:sz w:val="22"/>
                <w:szCs w:val="22"/>
                <w:lang w:val="hr-HR"/>
              </w:rPr>
              <w:t>Rezerviranja za gubitke financijske imovine po fer vrijednosti kroz ostalu sveobuhvatnu dobit</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2.477 </w:t>
            </w:r>
          </w:p>
        </w:tc>
        <w:tc>
          <w:tcPr>
            <w:tcW w:w="622" w:type="pct"/>
            <w:tcBorders>
              <w:top w:val="nil"/>
              <w:left w:val="nil"/>
              <w:bottom w:val="nil"/>
              <w:right w:val="nil"/>
            </w:tcBorders>
            <w:shd w:val="clear" w:color="auto" w:fill="auto"/>
            <w:vAlign w:val="bottom"/>
          </w:tcPr>
          <w:p w:rsidR="00620424" w:rsidRPr="00CD3A2D" w:rsidRDefault="00A3751E" w:rsidP="009A07E7">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n/p</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2.481 </w:t>
            </w:r>
          </w:p>
        </w:tc>
        <w:tc>
          <w:tcPr>
            <w:tcW w:w="615" w:type="pct"/>
            <w:tcBorders>
              <w:top w:val="nil"/>
              <w:left w:val="nil"/>
              <w:bottom w:val="nil"/>
              <w:right w:val="nil"/>
            </w:tcBorders>
            <w:shd w:val="clear" w:color="auto" w:fill="auto"/>
            <w:vAlign w:val="bottom"/>
          </w:tcPr>
          <w:p w:rsidR="00620424" w:rsidRPr="001567C8" w:rsidRDefault="00A3751E"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n/p</w:t>
            </w:r>
          </w:p>
        </w:tc>
      </w:tr>
      <w:tr w:rsidR="00620424" w:rsidRPr="001567C8" w:rsidTr="009A07E7">
        <w:trPr>
          <w:trHeight w:val="387"/>
        </w:trPr>
        <w:tc>
          <w:tcPr>
            <w:tcW w:w="2519" w:type="pct"/>
            <w:vAlign w:val="bottom"/>
          </w:tcPr>
          <w:p w:rsidR="00620424" w:rsidRPr="001567C8" w:rsidRDefault="00620424" w:rsidP="009A07E7">
            <w:pPr>
              <w:pStyle w:val="TT"/>
              <w:rPr>
                <w:rFonts w:asciiTheme="minorHAnsi" w:hAnsiTheme="minorHAnsi" w:cs="Arial"/>
                <w:spacing w:val="-2"/>
                <w:sz w:val="22"/>
                <w:szCs w:val="22"/>
                <w:lang w:val="hr-HR"/>
              </w:rPr>
            </w:pPr>
            <w:r w:rsidRPr="001567C8">
              <w:rPr>
                <w:rFonts w:asciiTheme="minorHAnsi" w:hAnsiTheme="minorHAnsi" w:cs="Arial"/>
                <w:sz w:val="22"/>
                <w:szCs w:val="22"/>
                <w:lang w:val="hr-HR"/>
              </w:rPr>
              <w:t>Rezerviranja za gubitke po ostaloj imovini</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20.915</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2.195</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20.814</w:t>
            </w:r>
          </w:p>
        </w:tc>
        <w:tc>
          <w:tcPr>
            <w:tcW w:w="615"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1.908</w:t>
            </w:r>
          </w:p>
        </w:tc>
      </w:tr>
      <w:tr w:rsidR="00620424" w:rsidRPr="001567C8" w:rsidTr="009A07E7">
        <w:trPr>
          <w:trHeight w:val="387"/>
        </w:trPr>
        <w:tc>
          <w:tcPr>
            <w:tcW w:w="2519" w:type="pct"/>
          </w:tcPr>
          <w:p w:rsidR="00620424" w:rsidRPr="001567C8" w:rsidRDefault="00620424" w:rsidP="009A07E7">
            <w:pPr>
              <w:pStyle w:val="TT"/>
              <w:rPr>
                <w:rFonts w:asciiTheme="minorHAnsi" w:hAnsiTheme="minorHAnsi" w:cs="Arial"/>
                <w:spacing w:val="-2"/>
                <w:sz w:val="22"/>
                <w:szCs w:val="22"/>
                <w:lang w:val="hr-HR"/>
              </w:rPr>
            </w:pPr>
            <w:r w:rsidRPr="001567C8">
              <w:rPr>
                <w:rFonts w:asciiTheme="minorHAnsi" w:hAnsiTheme="minorHAnsi" w:cs="Arial"/>
                <w:sz w:val="22"/>
                <w:szCs w:val="22"/>
                <w:lang w:val="hr-HR"/>
              </w:rPr>
              <w:t>Rezerviranja za gubitke po preuzetim obvezama po kreditima</w:t>
            </w:r>
          </w:p>
        </w:tc>
        <w:tc>
          <w:tcPr>
            <w:tcW w:w="622" w:type="pct"/>
            <w:tcBorders>
              <w:top w:val="nil"/>
              <w:left w:val="nil"/>
              <w:bottom w:val="single" w:sz="6" w:space="0" w:color="auto"/>
              <w:right w:val="nil"/>
            </w:tcBorders>
            <w:shd w:val="clear" w:color="auto" w:fill="auto"/>
            <w:vAlign w:val="bottom"/>
          </w:tcPr>
          <w:p w:rsidR="00620424" w:rsidRPr="00CD3A2D" w:rsidRDefault="00620424" w:rsidP="009A07E7">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68.931</w:t>
            </w:r>
          </w:p>
        </w:tc>
        <w:tc>
          <w:tcPr>
            <w:tcW w:w="622" w:type="pct"/>
            <w:tcBorders>
              <w:top w:val="nil"/>
              <w:left w:val="nil"/>
              <w:bottom w:val="single" w:sz="6" w:space="0" w:color="auto"/>
              <w:right w:val="nil"/>
            </w:tcBorders>
            <w:shd w:val="clear" w:color="auto" w:fill="auto"/>
            <w:vAlign w:val="bottom"/>
          </w:tcPr>
          <w:p w:rsidR="00620424" w:rsidRPr="00CD3A2D" w:rsidRDefault="00D564BA" w:rsidP="009A07E7">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(11.125)</w:t>
            </w:r>
          </w:p>
        </w:tc>
        <w:tc>
          <w:tcPr>
            <w:tcW w:w="622" w:type="pct"/>
            <w:tcBorders>
              <w:top w:val="nil"/>
              <w:left w:val="nil"/>
              <w:bottom w:val="single" w:sz="6" w:space="0" w:color="auto"/>
              <w:right w:val="nil"/>
            </w:tcBorders>
            <w:shd w:val="clear" w:color="auto" w:fill="auto"/>
            <w:vAlign w:val="bottom"/>
          </w:tcPr>
          <w:p w:rsidR="00620424" w:rsidRPr="00CD3A2D" w:rsidRDefault="00620424" w:rsidP="009A07E7">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68.931</w:t>
            </w:r>
          </w:p>
        </w:tc>
        <w:tc>
          <w:tcPr>
            <w:tcW w:w="615" w:type="pct"/>
            <w:tcBorders>
              <w:top w:val="nil"/>
              <w:left w:val="nil"/>
              <w:bottom w:val="single" w:sz="6" w:space="0" w:color="auto"/>
              <w:right w:val="nil"/>
            </w:tcBorders>
            <w:shd w:val="clear" w:color="auto" w:fill="auto"/>
            <w:vAlign w:val="bottom"/>
          </w:tcPr>
          <w:p w:rsidR="00620424" w:rsidRPr="00CD3A2D" w:rsidRDefault="00D564BA" w:rsidP="009A07E7">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(11.125)</w:t>
            </w:r>
          </w:p>
        </w:tc>
      </w:tr>
      <w:tr w:rsidR="00D564BA" w:rsidRPr="001567C8" w:rsidTr="009A07E7">
        <w:trPr>
          <w:trHeight w:val="387"/>
        </w:trPr>
        <w:tc>
          <w:tcPr>
            <w:tcW w:w="2519" w:type="pct"/>
            <w:vAlign w:val="bottom"/>
          </w:tcPr>
          <w:p w:rsidR="00D564BA" w:rsidRPr="001567C8" w:rsidRDefault="00D564BA" w:rsidP="00D564BA">
            <w:pPr>
              <w:pStyle w:val="TT"/>
              <w:rPr>
                <w:rFonts w:asciiTheme="minorHAnsi" w:hAnsiTheme="minorHAnsi" w:cs="Arial"/>
                <w:b/>
                <w:sz w:val="22"/>
                <w:szCs w:val="22"/>
                <w:lang w:val="hr-HR"/>
              </w:rPr>
            </w:pPr>
            <w:r w:rsidRPr="001567C8">
              <w:rPr>
                <w:rFonts w:asciiTheme="minorHAnsi" w:hAnsiTheme="minorHAnsi" w:cs="Arial"/>
                <w:b/>
                <w:sz w:val="22"/>
                <w:szCs w:val="22"/>
                <w:lang w:val="hr-HR"/>
              </w:rPr>
              <w:t>Ukupno</w:t>
            </w:r>
          </w:p>
        </w:tc>
        <w:tc>
          <w:tcPr>
            <w:tcW w:w="622" w:type="pct"/>
            <w:tcBorders>
              <w:top w:val="single" w:sz="6" w:space="0" w:color="auto"/>
              <w:left w:val="nil"/>
              <w:bottom w:val="single" w:sz="12" w:space="0" w:color="auto"/>
              <w:right w:val="nil"/>
            </w:tcBorders>
            <w:shd w:val="clear" w:color="auto" w:fill="auto"/>
            <w:vAlign w:val="bottom"/>
          </w:tcPr>
          <w:p w:rsidR="00D564BA" w:rsidRPr="00CD3A2D" w:rsidRDefault="00D564BA" w:rsidP="00D564BA">
            <w:pPr>
              <w:pStyle w:val="TT"/>
              <w:jc w:val="right"/>
              <w:rPr>
                <w:rFonts w:ascii="Calibri" w:hAnsi="Calibri" w:cs="Calibri"/>
                <w:b/>
                <w:color w:val="000000"/>
                <w:sz w:val="22"/>
                <w:szCs w:val="22"/>
                <w:lang w:val="hr-HR"/>
              </w:rPr>
            </w:pPr>
            <w:r w:rsidRPr="00CD3A2D">
              <w:rPr>
                <w:rFonts w:ascii="Calibri" w:hAnsi="Calibri" w:cs="Calibri"/>
                <w:b/>
                <w:color w:val="000000"/>
                <w:sz w:val="22"/>
                <w:szCs w:val="22"/>
                <w:lang w:val="hr-HR"/>
              </w:rPr>
              <w:t>(58.214)</w:t>
            </w:r>
          </w:p>
        </w:tc>
        <w:tc>
          <w:tcPr>
            <w:tcW w:w="622" w:type="pct"/>
            <w:tcBorders>
              <w:top w:val="single" w:sz="6" w:space="0" w:color="auto"/>
              <w:left w:val="nil"/>
              <w:bottom w:val="single" w:sz="12" w:space="0" w:color="auto"/>
              <w:right w:val="nil"/>
            </w:tcBorders>
            <w:shd w:val="clear" w:color="auto" w:fill="auto"/>
            <w:vAlign w:val="bottom"/>
          </w:tcPr>
          <w:p w:rsidR="00D564BA" w:rsidRPr="00CD3A2D" w:rsidRDefault="00D564BA" w:rsidP="00D564BA">
            <w:pPr>
              <w:pStyle w:val="TT"/>
              <w:jc w:val="right"/>
              <w:rPr>
                <w:rFonts w:ascii="Calibri" w:hAnsi="Calibri" w:cs="Calibri"/>
                <w:b/>
                <w:color w:val="000000"/>
                <w:sz w:val="22"/>
                <w:szCs w:val="22"/>
                <w:lang w:val="hr-HR"/>
              </w:rPr>
            </w:pPr>
            <w:r w:rsidRPr="00CD3A2D">
              <w:rPr>
                <w:rFonts w:ascii="Calibri" w:hAnsi="Calibri" w:cs="Calibri"/>
                <w:b/>
                <w:color w:val="000000"/>
                <w:sz w:val="22"/>
                <w:szCs w:val="22"/>
                <w:lang w:val="hr-HR"/>
              </w:rPr>
              <w:t>202.997</w:t>
            </w:r>
          </w:p>
        </w:tc>
        <w:tc>
          <w:tcPr>
            <w:tcW w:w="622" w:type="pct"/>
            <w:tcBorders>
              <w:top w:val="single" w:sz="6" w:space="0" w:color="auto"/>
              <w:left w:val="nil"/>
              <w:bottom w:val="single" w:sz="12" w:space="0" w:color="auto"/>
              <w:right w:val="nil"/>
            </w:tcBorders>
            <w:shd w:val="clear" w:color="auto" w:fill="auto"/>
            <w:vAlign w:val="bottom"/>
          </w:tcPr>
          <w:p w:rsidR="00D564BA" w:rsidRPr="00CD3A2D" w:rsidRDefault="00D564BA" w:rsidP="00D564BA">
            <w:pPr>
              <w:pStyle w:val="TT"/>
              <w:jc w:val="right"/>
              <w:rPr>
                <w:rFonts w:ascii="Calibri" w:hAnsi="Calibri" w:cs="Calibri"/>
                <w:b/>
                <w:color w:val="000000"/>
                <w:sz w:val="22"/>
                <w:szCs w:val="22"/>
                <w:lang w:val="hr-HR"/>
              </w:rPr>
            </w:pPr>
            <w:r w:rsidRPr="00CD3A2D">
              <w:rPr>
                <w:rFonts w:ascii="Calibri" w:hAnsi="Calibri" w:cs="Calibri"/>
                <w:b/>
                <w:color w:val="000000"/>
                <w:sz w:val="22"/>
                <w:szCs w:val="22"/>
                <w:lang w:val="hr-HR"/>
              </w:rPr>
              <w:t>(58.328)</w:t>
            </w:r>
          </w:p>
        </w:tc>
        <w:tc>
          <w:tcPr>
            <w:tcW w:w="615" w:type="pct"/>
            <w:tcBorders>
              <w:top w:val="single" w:sz="6" w:space="0" w:color="auto"/>
              <w:left w:val="nil"/>
              <w:bottom w:val="single" w:sz="12" w:space="0" w:color="auto"/>
              <w:right w:val="nil"/>
            </w:tcBorders>
            <w:shd w:val="clear" w:color="auto" w:fill="auto"/>
            <w:vAlign w:val="bottom"/>
          </w:tcPr>
          <w:p w:rsidR="00D564BA" w:rsidRPr="00CD3A2D" w:rsidRDefault="00D564BA" w:rsidP="00D564BA">
            <w:pPr>
              <w:pStyle w:val="TT"/>
              <w:jc w:val="right"/>
              <w:rPr>
                <w:rFonts w:ascii="Calibri" w:hAnsi="Calibri" w:cs="Calibri"/>
                <w:b/>
                <w:color w:val="000000"/>
                <w:sz w:val="22"/>
                <w:szCs w:val="22"/>
                <w:lang w:val="hr-HR"/>
              </w:rPr>
            </w:pPr>
            <w:r w:rsidRPr="00CD3A2D">
              <w:rPr>
                <w:rFonts w:ascii="Calibri" w:hAnsi="Calibri" w:cs="Calibri"/>
                <w:b/>
                <w:color w:val="000000"/>
                <w:sz w:val="22"/>
                <w:szCs w:val="22"/>
                <w:lang w:val="hr-HR"/>
              </w:rPr>
              <w:t>202.710</w:t>
            </w:r>
          </w:p>
        </w:tc>
      </w:tr>
    </w:tbl>
    <w:p w:rsidR="00620424" w:rsidRPr="00CD3A2D" w:rsidRDefault="00620424" w:rsidP="00620424">
      <w:pPr>
        <w:rPr>
          <w:lang w:val="hr-HR"/>
        </w:rPr>
      </w:pPr>
    </w:p>
    <w:p w:rsidR="00620424" w:rsidRPr="001567C8" w:rsidRDefault="00620424" w:rsidP="00620424">
      <w:pPr>
        <w:rPr>
          <w:rFonts w:asciiTheme="minorHAnsi" w:hAnsiTheme="minorHAnsi"/>
          <w:b/>
          <w:sz w:val="22"/>
          <w:szCs w:val="22"/>
          <w:lang w:val="hr-HR"/>
        </w:rPr>
      </w:pPr>
      <w:r w:rsidRPr="001567C8">
        <w:rPr>
          <w:rFonts w:asciiTheme="minorHAnsi" w:hAnsiTheme="minorHAnsi"/>
          <w:b/>
          <w:sz w:val="22"/>
          <w:szCs w:val="22"/>
          <w:lang w:val="hr-HR"/>
        </w:rPr>
        <w:t>b) Ostala umanjenja</w:t>
      </w:r>
      <w:r w:rsidR="0015537E" w:rsidRPr="001567C8">
        <w:rPr>
          <w:rFonts w:asciiTheme="minorHAnsi" w:hAnsiTheme="minorHAnsi"/>
          <w:b/>
          <w:sz w:val="22"/>
          <w:szCs w:val="22"/>
          <w:lang w:val="hr-HR"/>
        </w:rPr>
        <w:t xml:space="preserve"> vrijednosti i rezerviranja</w:t>
      </w:r>
    </w:p>
    <w:tbl>
      <w:tblPr>
        <w:tblW w:w="5128" w:type="pct"/>
        <w:tblLayout w:type="fixed"/>
        <w:tblCellMar>
          <w:left w:w="120" w:type="dxa"/>
          <w:right w:w="120" w:type="dxa"/>
        </w:tblCellMar>
        <w:tblLook w:val="0000" w:firstRow="0" w:lastRow="0" w:firstColumn="0" w:lastColumn="0" w:noHBand="0" w:noVBand="0"/>
      </w:tblPr>
      <w:tblGrid>
        <w:gridCol w:w="4834"/>
        <w:gridCol w:w="1194"/>
        <w:gridCol w:w="1193"/>
        <w:gridCol w:w="1193"/>
        <w:gridCol w:w="1180"/>
      </w:tblGrid>
      <w:tr w:rsidR="00620424" w:rsidRPr="001567C8" w:rsidTr="003C6BA3">
        <w:trPr>
          <w:trHeight w:val="295"/>
        </w:trPr>
        <w:tc>
          <w:tcPr>
            <w:tcW w:w="2519" w:type="pct"/>
          </w:tcPr>
          <w:p w:rsidR="00620424" w:rsidRPr="001567C8" w:rsidRDefault="00620424" w:rsidP="009A07E7">
            <w:pPr>
              <w:pStyle w:val="TT"/>
              <w:rPr>
                <w:rFonts w:asciiTheme="minorHAnsi" w:hAnsiTheme="minorHAnsi" w:cs="Arial"/>
                <w:sz w:val="22"/>
                <w:szCs w:val="22"/>
                <w:lang w:val="hr-HR"/>
              </w:rPr>
            </w:pPr>
          </w:p>
        </w:tc>
        <w:tc>
          <w:tcPr>
            <w:tcW w:w="1244" w:type="pct"/>
            <w:gridSpan w:val="2"/>
            <w:tcBorders>
              <w:top w:val="nil"/>
              <w:left w:val="nil"/>
              <w:bottom w:val="nil"/>
              <w:right w:val="nil"/>
            </w:tcBorders>
            <w:shd w:val="clear" w:color="auto" w:fill="auto"/>
            <w:vAlign w:val="bottom"/>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237" w:type="pct"/>
            <w:gridSpan w:val="2"/>
            <w:tcBorders>
              <w:top w:val="nil"/>
              <w:left w:val="nil"/>
              <w:bottom w:val="nil"/>
              <w:right w:val="nil"/>
            </w:tcBorders>
            <w:shd w:val="clear" w:color="auto" w:fill="auto"/>
            <w:vAlign w:val="bottom"/>
          </w:tcPr>
          <w:p w:rsidR="00620424" w:rsidRPr="00CD3A2D" w:rsidRDefault="00620424" w:rsidP="009A07E7">
            <w:pPr>
              <w:pStyle w:val="TT"/>
              <w:jc w:val="right"/>
              <w:rPr>
                <w:rFonts w:ascii="Calibri" w:hAnsi="Calibri" w:cs="Calibri"/>
                <w:b/>
                <w:color w:val="000000"/>
                <w:sz w:val="22"/>
                <w:szCs w:val="22"/>
                <w:lang w:val="hr-HR"/>
              </w:rPr>
            </w:pPr>
            <w:r w:rsidRPr="001567C8">
              <w:rPr>
                <w:rFonts w:asciiTheme="minorHAnsi" w:hAnsiTheme="minorHAnsi" w:cs="Arial"/>
                <w:b/>
                <w:sz w:val="22"/>
                <w:szCs w:val="22"/>
                <w:lang w:val="hr-HR"/>
              </w:rPr>
              <w:t>Banka</w:t>
            </w:r>
          </w:p>
        </w:tc>
      </w:tr>
      <w:tr w:rsidR="00620424" w:rsidRPr="001567C8" w:rsidTr="009A07E7">
        <w:trPr>
          <w:trHeight w:hRule="exact" w:val="284"/>
        </w:trPr>
        <w:tc>
          <w:tcPr>
            <w:tcW w:w="2519" w:type="pct"/>
            <w:vAlign w:val="bottom"/>
          </w:tcPr>
          <w:p w:rsidR="00620424" w:rsidRPr="001567C8" w:rsidRDefault="00620424" w:rsidP="009A07E7">
            <w:pPr>
              <w:pStyle w:val="TT"/>
              <w:rPr>
                <w:rFonts w:asciiTheme="minorHAnsi" w:hAnsiTheme="minorHAnsi" w:cs="Arial"/>
                <w:sz w:val="22"/>
                <w:szCs w:val="22"/>
                <w:lang w:val="hr-HR"/>
              </w:rPr>
            </w:pPr>
          </w:p>
        </w:tc>
        <w:tc>
          <w:tcPr>
            <w:tcW w:w="622" w:type="pct"/>
            <w:vAlign w:val="bottom"/>
          </w:tcPr>
          <w:p w:rsidR="00620424" w:rsidRPr="001567C8" w:rsidRDefault="00620424" w:rsidP="009A07E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22" w:type="pct"/>
            <w:vAlign w:val="bottom"/>
          </w:tcPr>
          <w:p w:rsidR="00620424" w:rsidRPr="001567C8" w:rsidRDefault="00620424" w:rsidP="009A07E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c>
          <w:tcPr>
            <w:tcW w:w="622" w:type="pct"/>
            <w:vAlign w:val="bottom"/>
          </w:tcPr>
          <w:p w:rsidR="00620424" w:rsidRPr="001567C8" w:rsidRDefault="00620424" w:rsidP="009A07E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2018.</w:t>
            </w:r>
          </w:p>
        </w:tc>
        <w:tc>
          <w:tcPr>
            <w:tcW w:w="615" w:type="pct"/>
            <w:vAlign w:val="bottom"/>
          </w:tcPr>
          <w:p w:rsidR="00620424" w:rsidRPr="001567C8" w:rsidRDefault="00620424" w:rsidP="009A07E7">
            <w:pPr>
              <w:pStyle w:val="TH"/>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2017.</w:t>
            </w:r>
          </w:p>
        </w:tc>
      </w:tr>
      <w:tr w:rsidR="00620424" w:rsidRPr="001567C8" w:rsidTr="009A07E7">
        <w:trPr>
          <w:trHeight w:hRule="exact" w:val="284"/>
        </w:trPr>
        <w:tc>
          <w:tcPr>
            <w:tcW w:w="2519" w:type="pct"/>
            <w:vAlign w:val="bottom"/>
          </w:tcPr>
          <w:p w:rsidR="00620424" w:rsidRPr="001567C8" w:rsidRDefault="00620424" w:rsidP="009A07E7">
            <w:pPr>
              <w:pStyle w:val="TT"/>
              <w:rPr>
                <w:rFonts w:asciiTheme="minorHAnsi" w:hAnsiTheme="minorHAnsi" w:cs="Arial"/>
                <w:sz w:val="22"/>
                <w:szCs w:val="22"/>
                <w:lang w:val="hr-HR"/>
              </w:rPr>
            </w:pPr>
          </w:p>
        </w:tc>
        <w:tc>
          <w:tcPr>
            <w:tcW w:w="622" w:type="pct"/>
            <w:vAlign w:val="bottom"/>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22" w:type="pct"/>
            <w:vAlign w:val="bottom"/>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22" w:type="pct"/>
            <w:vAlign w:val="bottom"/>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15" w:type="pct"/>
            <w:vAlign w:val="bottom"/>
          </w:tcPr>
          <w:p w:rsidR="00620424" w:rsidRPr="001567C8" w:rsidRDefault="00620424" w:rsidP="009A07E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620424" w:rsidRPr="001567C8" w:rsidTr="009A07E7">
        <w:trPr>
          <w:trHeight w:val="387"/>
        </w:trPr>
        <w:tc>
          <w:tcPr>
            <w:tcW w:w="2519" w:type="pct"/>
            <w:vAlign w:val="bottom"/>
          </w:tcPr>
          <w:p w:rsidR="00620424" w:rsidRPr="001567C8" w:rsidRDefault="00620424" w:rsidP="009A07E7">
            <w:pPr>
              <w:pStyle w:val="TT"/>
              <w:rPr>
                <w:rFonts w:asciiTheme="minorHAnsi" w:hAnsiTheme="minorHAnsi" w:cs="Arial"/>
                <w:spacing w:val="-2"/>
                <w:sz w:val="22"/>
                <w:szCs w:val="22"/>
                <w:lang w:val="hr-HR"/>
              </w:rPr>
            </w:pPr>
            <w:r w:rsidRPr="001567C8">
              <w:rPr>
                <w:rFonts w:asciiTheme="minorHAnsi" w:hAnsiTheme="minorHAnsi" w:cs="Arial"/>
                <w:sz w:val="22"/>
                <w:szCs w:val="22"/>
                <w:lang w:val="hr-HR"/>
              </w:rPr>
              <w:t>Rezerviranja za gubitke po garancijama</w:t>
            </w:r>
          </w:p>
        </w:tc>
        <w:tc>
          <w:tcPr>
            <w:tcW w:w="622" w:type="pct"/>
            <w:tcBorders>
              <w:top w:val="nil"/>
              <w:left w:val="nil"/>
              <w:bottom w:val="nil"/>
              <w:right w:val="nil"/>
            </w:tcBorders>
            <w:shd w:val="clear" w:color="auto" w:fill="auto"/>
            <w:vAlign w:val="bottom"/>
          </w:tcPr>
          <w:p w:rsidR="00620424" w:rsidRPr="001567C8" w:rsidRDefault="00620424" w:rsidP="008F7CB8">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141.180 </w:t>
            </w:r>
          </w:p>
        </w:tc>
        <w:tc>
          <w:tcPr>
            <w:tcW w:w="622" w:type="pct"/>
            <w:tcBorders>
              <w:top w:val="nil"/>
              <w:left w:val="nil"/>
              <w:bottom w:val="nil"/>
              <w:right w:val="nil"/>
            </w:tcBorders>
            <w:shd w:val="clear" w:color="auto" w:fill="auto"/>
            <w:vAlign w:val="bottom"/>
          </w:tcPr>
          <w:p w:rsidR="00620424" w:rsidRPr="00CD3A2D" w:rsidRDefault="00D564BA">
            <w:pPr>
              <w:pStyle w:val="TT"/>
              <w:jc w:val="right"/>
              <w:rPr>
                <w:rFonts w:ascii="Calibri" w:hAnsi="Calibri" w:cs="Calibri"/>
                <w:color w:val="000000"/>
                <w:sz w:val="22"/>
                <w:szCs w:val="22"/>
                <w:lang w:val="hr-HR"/>
              </w:rPr>
            </w:pPr>
            <w:r w:rsidRPr="00CD3A2D">
              <w:rPr>
                <w:rFonts w:ascii="Calibri" w:hAnsi="Calibri" w:cs="Calibri"/>
                <w:color w:val="000000"/>
                <w:sz w:val="22"/>
                <w:szCs w:val="22"/>
                <w:lang w:val="hr-HR"/>
              </w:rPr>
              <w:t>770</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141.180</w:t>
            </w:r>
          </w:p>
        </w:tc>
        <w:tc>
          <w:tcPr>
            <w:tcW w:w="615" w:type="pct"/>
            <w:tcBorders>
              <w:top w:val="nil"/>
              <w:left w:val="nil"/>
              <w:bottom w:val="nil"/>
              <w:right w:val="nil"/>
            </w:tcBorders>
            <w:shd w:val="clear" w:color="auto" w:fill="auto"/>
            <w:vAlign w:val="bottom"/>
          </w:tcPr>
          <w:p w:rsidR="00620424" w:rsidRPr="001567C8" w:rsidRDefault="00D564BA"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770</w:t>
            </w:r>
          </w:p>
        </w:tc>
      </w:tr>
      <w:tr w:rsidR="00620424" w:rsidRPr="001567C8" w:rsidTr="009A07E7">
        <w:trPr>
          <w:trHeight w:val="327"/>
        </w:trPr>
        <w:tc>
          <w:tcPr>
            <w:tcW w:w="2519" w:type="pct"/>
          </w:tcPr>
          <w:p w:rsidR="00620424" w:rsidRPr="001567C8" w:rsidRDefault="00620424" w:rsidP="009A07E7">
            <w:pPr>
              <w:pStyle w:val="TT"/>
              <w:rPr>
                <w:rFonts w:asciiTheme="minorHAnsi" w:hAnsiTheme="minorHAnsi" w:cs="Arial"/>
                <w:sz w:val="22"/>
                <w:szCs w:val="22"/>
                <w:lang w:val="hr-HR"/>
              </w:rPr>
            </w:pPr>
            <w:r w:rsidRPr="001567C8">
              <w:rPr>
                <w:rFonts w:asciiTheme="minorHAnsi" w:hAnsiTheme="minorHAnsi" w:cs="Arial"/>
                <w:sz w:val="22"/>
                <w:szCs w:val="22"/>
                <w:lang w:val="hr-HR"/>
              </w:rPr>
              <w:t>Usklađenje vrijednosti dugotrajne imovine namijenjene prodaji</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(157)</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526 </w:t>
            </w:r>
          </w:p>
        </w:tc>
        <w:tc>
          <w:tcPr>
            <w:tcW w:w="622"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(157)</w:t>
            </w:r>
          </w:p>
        </w:tc>
        <w:tc>
          <w:tcPr>
            <w:tcW w:w="615" w:type="pct"/>
            <w:tcBorders>
              <w:top w:val="nil"/>
              <w:left w:val="nil"/>
              <w:bottom w:val="nil"/>
              <w:right w:val="nil"/>
            </w:tcBorders>
            <w:shd w:val="clear" w:color="auto" w:fill="auto"/>
            <w:vAlign w:val="bottom"/>
          </w:tcPr>
          <w:p w:rsidR="00620424" w:rsidRPr="001567C8" w:rsidRDefault="00620424" w:rsidP="009A07E7">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526</w:t>
            </w:r>
          </w:p>
        </w:tc>
      </w:tr>
      <w:tr w:rsidR="00620424" w:rsidRPr="001567C8" w:rsidTr="009A07E7">
        <w:trPr>
          <w:trHeight w:val="327"/>
        </w:trPr>
        <w:tc>
          <w:tcPr>
            <w:tcW w:w="2519" w:type="pct"/>
          </w:tcPr>
          <w:p w:rsidR="00620424" w:rsidRPr="001567C8" w:rsidRDefault="00620424" w:rsidP="009A07E7">
            <w:pPr>
              <w:pStyle w:val="TT"/>
              <w:rPr>
                <w:rFonts w:asciiTheme="minorHAnsi" w:hAnsiTheme="minorHAnsi" w:cs="Arial"/>
                <w:sz w:val="22"/>
                <w:szCs w:val="22"/>
                <w:lang w:val="hr-HR"/>
              </w:rPr>
            </w:pPr>
            <w:r w:rsidRPr="001567C8">
              <w:rPr>
                <w:rFonts w:asciiTheme="minorHAnsi" w:hAnsiTheme="minorHAnsi" w:cs="Arial"/>
                <w:sz w:val="22"/>
                <w:szCs w:val="22"/>
                <w:lang w:val="hr-HR"/>
              </w:rPr>
              <w:t>Rezerviranja za ostale obveze</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(16.918)</w:t>
            </w:r>
          </w:p>
        </w:tc>
        <w:tc>
          <w:tcPr>
            <w:tcW w:w="622" w:type="pct"/>
            <w:tcBorders>
              <w:top w:val="nil"/>
              <w:left w:val="nil"/>
              <w:right w:val="nil"/>
            </w:tcBorders>
            <w:shd w:val="clear" w:color="auto" w:fill="auto"/>
            <w:vAlign w:val="center"/>
          </w:tcPr>
          <w:p w:rsidR="00620424" w:rsidRPr="001567C8" w:rsidRDefault="00620424" w:rsidP="009A07E7">
            <w:pPr>
              <w:pStyle w:val="TT"/>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 xml:space="preserve">     (9.106)</w:t>
            </w:r>
          </w:p>
        </w:tc>
        <w:tc>
          <w:tcPr>
            <w:tcW w:w="622" w:type="pct"/>
            <w:tcBorders>
              <w:top w:val="nil"/>
              <w:left w:val="nil"/>
              <w:bottom w:val="nil"/>
              <w:right w:val="nil"/>
            </w:tcBorders>
            <w:shd w:val="clear" w:color="auto" w:fill="auto"/>
            <w:vAlign w:val="center"/>
          </w:tcPr>
          <w:p w:rsidR="00620424" w:rsidRPr="001567C8" w:rsidRDefault="00620424" w:rsidP="009A07E7">
            <w:pPr>
              <w:pStyle w:val="TT"/>
              <w:jc w:val="right"/>
              <w:rPr>
                <w:rFonts w:asciiTheme="minorHAnsi" w:hAnsiTheme="minorHAnsi" w:cs="Arial"/>
                <w:spacing w:val="-2"/>
                <w:sz w:val="22"/>
                <w:szCs w:val="22"/>
                <w:lang w:val="hr-HR"/>
              </w:rPr>
            </w:pPr>
            <w:r w:rsidRPr="00CD3A2D">
              <w:rPr>
                <w:rFonts w:ascii="Calibri" w:hAnsi="Calibri" w:cs="Calibri"/>
                <w:color w:val="000000"/>
                <w:sz w:val="22"/>
                <w:szCs w:val="22"/>
                <w:lang w:val="hr-HR"/>
              </w:rPr>
              <w:t xml:space="preserve">   (16.789)</w:t>
            </w:r>
          </w:p>
        </w:tc>
        <w:tc>
          <w:tcPr>
            <w:tcW w:w="615" w:type="pct"/>
            <w:tcBorders>
              <w:top w:val="nil"/>
              <w:left w:val="nil"/>
              <w:right w:val="nil"/>
            </w:tcBorders>
            <w:shd w:val="clear" w:color="auto" w:fill="auto"/>
            <w:vAlign w:val="bottom"/>
          </w:tcPr>
          <w:p w:rsidR="00620424" w:rsidRPr="001567C8" w:rsidRDefault="00620424" w:rsidP="009A07E7">
            <w:pPr>
              <w:pStyle w:val="TT"/>
              <w:jc w:val="right"/>
              <w:rPr>
                <w:rFonts w:asciiTheme="minorHAnsi" w:hAnsiTheme="minorHAnsi" w:cs="Arial"/>
                <w:spacing w:val="-2"/>
                <w:sz w:val="22"/>
                <w:szCs w:val="22"/>
                <w:lang w:val="hr-HR"/>
              </w:rPr>
            </w:pPr>
            <w:r w:rsidRPr="001567C8">
              <w:rPr>
                <w:rFonts w:asciiTheme="minorHAnsi" w:hAnsiTheme="minorHAnsi" w:cs="Arial"/>
                <w:spacing w:val="-2"/>
                <w:sz w:val="22"/>
                <w:szCs w:val="22"/>
                <w:lang w:val="hr-HR"/>
              </w:rPr>
              <w:t>(9.086)</w:t>
            </w:r>
          </w:p>
        </w:tc>
      </w:tr>
      <w:tr w:rsidR="00620424" w:rsidRPr="001567C8" w:rsidTr="009A07E7">
        <w:trPr>
          <w:trHeight w:hRule="exact" w:val="340"/>
        </w:trPr>
        <w:tc>
          <w:tcPr>
            <w:tcW w:w="2519" w:type="pct"/>
            <w:vAlign w:val="bottom"/>
          </w:tcPr>
          <w:p w:rsidR="00620424" w:rsidRPr="001567C8" w:rsidRDefault="00620424" w:rsidP="009A07E7">
            <w:pPr>
              <w:pStyle w:val="Tot"/>
              <w:rPr>
                <w:rFonts w:asciiTheme="minorHAnsi" w:hAnsiTheme="minorHAnsi" w:cs="Arial"/>
                <w:b/>
                <w:sz w:val="22"/>
                <w:szCs w:val="22"/>
                <w:lang w:val="hr-HR"/>
              </w:rPr>
            </w:pPr>
            <w:r w:rsidRPr="001567C8">
              <w:rPr>
                <w:rFonts w:asciiTheme="minorHAnsi" w:hAnsiTheme="minorHAnsi" w:cs="Arial"/>
                <w:b/>
                <w:sz w:val="22"/>
                <w:szCs w:val="22"/>
                <w:lang w:val="hr-HR"/>
              </w:rPr>
              <w:t>Ukupno</w:t>
            </w:r>
          </w:p>
        </w:tc>
        <w:tc>
          <w:tcPr>
            <w:tcW w:w="622" w:type="pct"/>
            <w:tcBorders>
              <w:top w:val="single" w:sz="4" w:space="0" w:color="auto"/>
              <w:bottom w:val="single" w:sz="12" w:space="0" w:color="auto"/>
            </w:tcBorders>
            <w:vAlign w:val="bottom"/>
          </w:tcPr>
          <w:p w:rsidR="00620424" w:rsidRPr="001567C8" w:rsidRDefault="00620424" w:rsidP="009A07E7">
            <w:pPr>
              <w:pStyle w:val="TT"/>
              <w:jc w:val="right"/>
              <w:rPr>
                <w:rFonts w:asciiTheme="minorHAnsi" w:hAnsiTheme="minorHAnsi" w:cs="Arial"/>
                <w:b/>
                <w:spacing w:val="-2"/>
                <w:sz w:val="22"/>
                <w:szCs w:val="22"/>
                <w:lang w:val="hr-HR"/>
              </w:rPr>
            </w:pPr>
            <w:r w:rsidRPr="001567C8">
              <w:rPr>
                <w:rFonts w:asciiTheme="minorHAnsi" w:hAnsiTheme="minorHAnsi" w:cs="Arial"/>
                <w:b/>
                <w:spacing w:val="-2"/>
                <w:sz w:val="22"/>
                <w:szCs w:val="22"/>
                <w:lang w:val="hr-HR"/>
              </w:rPr>
              <w:t>124.105</w:t>
            </w:r>
          </w:p>
        </w:tc>
        <w:tc>
          <w:tcPr>
            <w:tcW w:w="622" w:type="pct"/>
            <w:tcBorders>
              <w:top w:val="single" w:sz="4" w:space="0" w:color="auto"/>
              <w:bottom w:val="single" w:sz="12" w:space="0" w:color="auto"/>
            </w:tcBorders>
            <w:vAlign w:val="bottom"/>
          </w:tcPr>
          <w:p w:rsidR="00620424" w:rsidRPr="001567C8" w:rsidRDefault="00620424" w:rsidP="009A07E7">
            <w:pPr>
              <w:pStyle w:val="TT"/>
              <w:jc w:val="right"/>
              <w:rPr>
                <w:rFonts w:asciiTheme="minorHAnsi" w:hAnsiTheme="minorHAnsi" w:cs="Arial"/>
                <w:b/>
                <w:spacing w:val="-2"/>
                <w:sz w:val="22"/>
                <w:szCs w:val="22"/>
                <w:lang w:val="hr-HR"/>
              </w:rPr>
            </w:pPr>
            <w:r w:rsidRPr="001567C8">
              <w:rPr>
                <w:rFonts w:asciiTheme="minorHAnsi" w:hAnsiTheme="minorHAnsi" w:cs="Arial"/>
                <w:b/>
                <w:spacing w:val="-2"/>
                <w:sz w:val="22"/>
                <w:szCs w:val="22"/>
                <w:lang w:val="hr-HR"/>
              </w:rPr>
              <w:t>(</w:t>
            </w:r>
            <w:r w:rsidR="00D564BA" w:rsidRPr="001567C8">
              <w:rPr>
                <w:rFonts w:asciiTheme="minorHAnsi" w:hAnsiTheme="minorHAnsi" w:cs="Arial"/>
                <w:b/>
                <w:spacing w:val="-2"/>
                <w:sz w:val="22"/>
                <w:szCs w:val="22"/>
                <w:lang w:val="hr-HR"/>
              </w:rPr>
              <w:t>7</w:t>
            </w:r>
            <w:r w:rsidRPr="001567C8">
              <w:rPr>
                <w:rFonts w:asciiTheme="minorHAnsi" w:hAnsiTheme="minorHAnsi" w:cs="Arial"/>
                <w:b/>
                <w:spacing w:val="-2"/>
                <w:sz w:val="22"/>
                <w:szCs w:val="22"/>
                <w:lang w:val="hr-HR"/>
              </w:rPr>
              <w:t>.</w:t>
            </w:r>
            <w:r w:rsidR="00D564BA" w:rsidRPr="001567C8">
              <w:rPr>
                <w:rFonts w:asciiTheme="minorHAnsi" w:hAnsiTheme="minorHAnsi" w:cs="Arial"/>
                <w:b/>
                <w:spacing w:val="-2"/>
                <w:sz w:val="22"/>
                <w:szCs w:val="22"/>
                <w:lang w:val="hr-HR"/>
              </w:rPr>
              <w:t>810</w:t>
            </w:r>
            <w:r w:rsidRPr="001567C8">
              <w:rPr>
                <w:rFonts w:asciiTheme="minorHAnsi" w:hAnsiTheme="minorHAnsi" w:cs="Arial"/>
                <w:b/>
                <w:spacing w:val="-2"/>
                <w:sz w:val="22"/>
                <w:szCs w:val="22"/>
                <w:lang w:val="hr-HR"/>
              </w:rPr>
              <w:t>)</w:t>
            </w:r>
          </w:p>
        </w:tc>
        <w:tc>
          <w:tcPr>
            <w:tcW w:w="622" w:type="pct"/>
            <w:tcBorders>
              <w:top w:val="single" w:sz="4" w:space="0" w:color="auto"/>
              <w:bottom w:val="single" w:sz="12" w:space="0" w:color="auto"/>
            </w:tcBorders>
            <w:vAlign w:val="bottom"/>
          </w:tcPr>
          <w:p w:rsidR="00620424" w:rsidRPr="001567C8" w:rsidRDefault="00620424" w:rsidP="009A07E7">
            <w:pPr>
              <w:pStyle w:val="TT"/>
              <w:jc w:val="right"/>
              <w:rPr>
                <w:rFonts w:asciiTheme="minorHAnsi" w:hAnsiTheme="minorHAnsi" w:cs="Arial"/>
                <w:b/>
                <w:spacing w:val="-2"/>
                <w:sz w:val="22"/>
                <w:szCs w:val="22"/>
                <w:lang w:val="hr-HR"/>
              </w:rPr>
            </w:pPr>
            <w:r w:rsidRPr="001567C8">
              <w:rPr>
                <w:rFonts w:asciiTheme="minorHAnsi" w:hAnsiTheme="minorHAnsi" w:cs="Arial"/>
                <w:b/>
                <w:spacing w:val="-2"/>
                <w:sz w:val="22"/>
                <w:szCs w:val="22"/>
                <w:lang w:val="hr-HR"/>
              </w:rPr>
              <w:t>124.234</w:t>
            </w:r>
          </w:p>
        </w:tc>
        <w:tc>
          <w:tcPr>
            <w:tcW w:w="615" w:type="pct"/>
            <w:tcBorders>
              <w:top w:val="single" w:sz="4" w:space="0" w:color="auto"/>
              <w:bottom w:val="single" w:sz="12" w:space="0" w:color="auto"/>
            </w:tcBorders>
            <w:vAlign w:val="bottom"/>
          </w:tcPr>
          <w:p w:rsidR="00620424" w:rsidRPr="001567C8" w:rsidRDefault="00620424" w:rsidP="009A07E7">
            <w:pPr>
              <w:pStyle w:val="TT"/>
              <w:jc w:val="right"/>
              <w:rPr>
                <w:rFonts w:asciiTheme="minorHAnsi" w:hAnsiTheme="minorHAnsi" w:cs="Arial"/>
                <w:b/>
                <w:spacing w:val="-2"/>
                <w:sz w:val="22"/>
                <w:szCs w:val="22"/>
                <w:lang w:val="hr-HR"/>
              </w:rPr>
            </w:pPr>
            <w:r w:rsidRPr="001567C8">
              <w:rPr>
                <w:rFonts w:asciiTheme="minorHAnsi" w:hAnsiTheme="minorHAnsi" w:cs="Arial"/>
                <w:b/>
                <w:spacing w:val="-2"/>
                <w:sz w:val="22"/>
                <w:szCs w:val="22"/>
                <w:lang w:val="hr-HR"/>
              </w:rPr>
              <w:t>(</w:t>
            </w:r>
            <w:r w:rsidR="00D564BA" w:rsidRPr="001567C8">
              <w:rPr>
                <w:rFonts w:asciiTheme="minorHAnsi" w:hAnsiTheme="minorHAnsi" w:cs="Arial"/>
                <w:b/>
                <w:spacing w:val="-2"/>
                <w:sz w:val="22"/>
                <w:szCs w:val="22"/>
                <w:lang w:val="hr-HR"/>
              </w:rPr>
              <w:t>7</w:t>
            </w:r>
            <w:r w:rsidRPr="001567C8">
              <w:rPr>
                <w:rFonts w:asciiTheme="minorHAnsi" w:hAnsiTheme="minorHAnsi" w:cs="Arial"/>
                <w:b/>
                <w:spacing w:val="-2"/>
                <w:sz w:val="22"/>
                <w:szCs w:val="22"/>
                <w:lang w:val="hr-HR"/>
              </w:rPr>
              <w:t>.</w:t>
            </w:r>
            <w:r w:rsidR="00D564BA" w:rsidRPr="001567C8">
              <w:rPr>
                <w:rFonts w:asciiTheme="minorHAnsi" w:hAnsiTheme="minorHAnsi" w:cs="Arial"/>
                <w:b/>
                <w:spacing w:val="-2"/>
                <w:sz w:val="22"/>
                <w:szCs w:val="22"/>
                <w:lang w:val="hr-HR"/>
              </w:rPr>
              <w:t>790</w:t>
            </w:r>
            <w:r w:rsidRPr="001567C8">
              <w:rPr>
                <w:rFonts w:asciiTheme="minorHAnsi" w:hAnsiTheme="minorHAnsi" w:cs="Arial"/>
                <w:b/>
                <w:spacing w:val="-2"/>
                <w:sz w:val="22"/>
                <w:szCs w:val="22"/>
                <w:lang w:val="hr-HR"/>
              </w:rPr>
              <w:t>)</w:t>
            </w:r>
          </w:p>
        </w:tc>
      </w:tr>
      <w:tr w:rsidR="00620424" w:rsidRPr="001567C8" w:rsidTr="003C6BA3">
        <w:trPr>
          <w:trHeight w:hRule="exact" w:val="303"/>
        </w:trPr>
        <w:tc>
          <w:tcPr>
            <w:tcW w:w="2519" w:type="pct"/>
            <w:vAlign w:val="bottom"/>
          </w:tcPr>
          <w:p w:rsidR="00620424" w:rsidRPr="001567C8" w:rsidRDefault="00620424" w:rsidP="009A07E7">
            <w:pPr>
              <w:pStyle w:val="Tot"/>
              <w:rPr>
                <w:rFonts w:asciiTheme="minorHAnsi" w:hAnsiTheme="minorHAnsi" w:cs="Arial"/>
                <w:sz w:val="22"/>
                <w:szCs w:val="22"/>
                <w:lang w:val="hr-HR"/>
              </w:rPr>
            </w:pPr>
          </w:p>
        </w:tc>
        <w:tc>
          <w:tcPr>
            <w:tcW w:w="622" w:type="pct"/>
            <w:tcBorders>
              <w:top w:val="single" w:sz="12" w:space="0" w:color="auto"/>
            </w:tcBorders>
            <w:vAlign w:val="bottom"/>
          </w:tcPr>
          <w:p w:rsidR="00620424" w:rsidRPr="001567C8" w:rsidRDefault="00620424" w:rsidP="009A07E7">
            <w:pPr>
              <w:pStyle w:val="TT"/>
              <w:jc w:val="right"/>
              <w:rPr>
                <w:rFonts w:asciiTheme="minorHAnsi" w:hAnsiTheme="minorHAnsi" w:cs="Arial"/>
                <w:spacing w:val="-2"/>
                <w:sz w:val="22"/>
                <w:szCs w:val="22"/>
                <w:lang w:val="hr-HR"/>
              </w:rPr>
            </w:pPr>
          </w:p>
        </w:tc>
        <w:tc>
          <w:tcPr>
            <w:tcW w:w="622" w:type="pct"/>
            <w:tcBorders>
              <w:top w:val="single" w:sz="12" w:space="0" w:color="auto"/>
            </w:tcBorders>
            <w:vAlign w:val="bottom"/>
          </w:tcPr>
          <w:p w:rsidR="00620424" w:rsidRPr="001567C8" w:rsidRDefault="00620424" w:rsidP="009A07E7">
            <w:pPr>
              <w:pStyle w:val="TT"/>
              <w:jc w:val="right"/>
              <w:rPr>
                <w:rFonts w:asciiTheme="minorHAnsi" w:hAnsiTheme="minorHAnsi" w:cs="Arial"/>
                <w:spacing w:val="-2"/>
                <w:sz w:val="22"/>
                <w:szCs w:val="22"/>
                <w:lang w:val="hr-HR"/>
              </w:rPr>
            </w:pPr>
          </w:p>
        </w:tc>
        <w:tc>
          <w:tcPr>
            <w:tcW w:w="622" w:type="pct"/>
            <w:tcBorders>
              <w:top w:val="single" w:sz="12" w:space="0" w:color="auto"/>
            </w:tcBorders>
            <w:vAlign w:val="bottom"/>
          </w:tcPr>
          <w:p w:rsidR="00620424" w:rsidRPr="001567C8" w:rsidRDefault="00620424" w:rsidP="009A07E7">
            <w:pPr>
              <w:pStyle w:val="TT"/>
              <w:jc w:val="right"/>
              <w:rPr>
                <w:rFonts w:asciiTheme="minorHAnsi" w:hAnsiTheme="minorHAnsi" w:cs="Arial"/>
                <w:spacing w:val="-2"/>
                <w:sz w:val="22"/>
                <w:szCs w:val="22"/>
                <w:lang w:val="hr-HR"/>
              </w:rPr>
            </w:pPr>
          </w:p>
        </w:tc>
        <w:tc>
          <w:tcPr>
            <w:tcW w:w="615" w:type="pct"/>
            <w:tcBorders>
              <w:top w:val="single" w:sz="12" w:space="0" w:color="auto"/>
            </w:tcBorders>
            <w:vAlign w:val="bottom"/>
          </w:tcPr>
          <w:p w:rsidR="00620424" w:rsidRPr="001567C8" w:rsidRDefault="00620424" w:rsidP="009A07E7">
            <w:pPr>
              <w:pStyle w:val="TT"/>
              <w:jc w:val="right"/>
              <w:rPr>
                <w:rFonts w:asciiTheme="minorHAnsi" w:hAnsiTheme="minorHAnsi" w:cs="Arial"/>
                <w:spacing w:val="-2"/>
                <w:sz w:val="22"/>
                <w:szCs w:val="22"/>
                <w:lang w:val="hr-HR"/>
              </w:rPr>
            </w:pPr>
          </w:p>
        </w:tc>
      </w:tr>
      <w:tr w:rsidR="00620424" w:rsidRPr="001567C8" w:rsidTr="009A07E7">
        <w:trPr>
          <w:trHeight w:val="335"/>
        </w:trPr>
        <w:tc>
          <w:tcPr>
            <w:tcW w:w="2519" w:type="pct"/>
            <w:vAlign w:val="bottom"/>
          </w:tcPr>
          <w:p w:rsidR="00620424" w:rsidRPr="001567C8" w:rsidRDefault="00620424" w:rsidP="009A07E7">
            <w:pPr>
              <w:pStyle w:val="To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Sveukupno</w:t>
            </w:r>
          </w:p>
        </w:tc>
        <w:tc>
          <w:tcPr>
            <w:tcW w:w="622" w:type="pct"/>
            <w:tcBorders>
              <w:bottom w:val="single" w:sz="12" w:space="0" w:color="auto"/>
            </w:tcBorders>
            <w:vAlign w:val="bottom"/>
          </w:tcPr>
          <w:p w:rsidR="00620424" w:rsidRPr="001567C8" w:rsidRDefault="00620424" w:rsidP="009A07E7">
            <w:pPr>
              <w:pStyle w:val="Tot"/>
              <w:jc w:val="righ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65.891</w:t>
            </w:r>
          </w:p>
        </w:tc>
        <w:tc>
          <w:tcPr>
            <w:tcW w:w="622" w:type="pct"/>
            <w:tcBorders>
              <w:bottom w:val="single" w:sz="12" w:space="0" w:color="auto"/>
            </w:tcBorders>
            <w:vAlign w:val="bottom"/>
          </w:tcPr>
          <w:p w:rsidR="00620424" w:rsidRPr="001567C8" w:rsidRDefault="00620424" w:rsidP="009A07E7">
            <w:pPr>
              <w:pStyle w:val="Tot"/>
              <w:jc w:val="righ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195.187</w:t>
            </w:r>
          </w:p>
        </w:tc>
        <w:tc>
          <w:tcPr>
            <w:tcW w:w="622" w:type="pct"/>
            <w:tcBorders>
              <w:bottom w:val="single" w:sz="12" w:space="0" w:color="auto"/>
            </w:tcBorders>
            <w:vAlign w:val="bottom"/>
          </w:tcPr>
          <w:p w:rsidR="00620424" w:rsidRPr="001567C8" w:rsidRDefault="00620424" w:rsidP="009A07E7">
            <w:pPr>
              <w:pStyle w:val="Tot"/>
              <w:jc w:val="righ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65.906</w:t>
            </w:r>
          </w:p>
        </w:tc>
        <w:tc>
          <w:tcPr>
            <w:tcW w:w="615" w:type="pct"/>
            <w:tcBorders>
              <w:bottom w:val="single" w:sz="12" w:space="0" w:color="auto"/>
            </w:tcBorders>
            <w:vAlign w:val="bottom"/>
          </w:tcPr>
          <w:p w:rsidR="00620424" w:rsidRPr="001567C8" w:rsidRDefault="00620424" w:rsidP="009A07E7">
            <w:pPr>
              <w:pStyle w:val="Tot"/>
              <w:jc w:val="righ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194.920</w:t>
            </w:r>
          </w:p>
        </w:tc>
      </w:tr>
    </w:tbl>
    <w:p w:rsidR="00881023" w:rsidRPr="001567C8" w:rsidRDefault="00881023">
      <w:pPr>
        <w:pStyle w:val="T1"/>
        <w:rPr>
          <w:rFonts w:asciiTheme="minorHAnsi" w:hAnsiTheme="minorHAnsi" w:cs="Arial"/>
          <w:sz w:val="22"/>
          <w:szCs w:val="22"/>
          <w:lang w:val="hr-HR"/>
        </w:rPr>
        <w:sectPr w:rsidR="00881023" w:rsidRPr="001567C8" w:rsidSect="000D6913">
          <w:pgSz w:w="11907" w:h="16840" w:code="9"/>
          <w:pgMar w:top="1418" w:right="1134" w:bottom="1134" w:left="1418" w:header="851" w:footer="851" w:gutter="0"/>
          <w:cols w:space="720"/>
          <w:noEndnote/>
        </w:sectPr>
      </w:pPr>
    </w:p>
    <w:p w:rsidR="007D3561" w:rsidRPr="001567C8" w:rsidRDefault="00B52585" w:rsidP="00A43460">
      <w:pPr>
        <w:pStyle w:val="T1"/>
        <w:spacing w:line="300" w:lineRule="exact"/>
        <w:rPr>
          <w:rFonts w:asciiTheme="minorHAnsi" w:hAnsiTheme="minorHAnsi" w:cs="Arial"/>
          <w:sz w:val="22"/>
          <w:szCs w:val="22"/>
          <w:lang w:val="hr-HR"/>
        </w:rPr>
      </w:pPr>
      <w:r w:rsidRPr="001567C8">
        <w:rPr>
          <w:rFonts w:asciiTheme="minorHAnsi" w:hAnsiTheme="minorHAnsi" w:cs="Arial"/>
          <w:sz w:val="22"/>
          <w:szCs w:val="22"/>
          <w:lang w:val="hr-HR"/>
        </w:rPr>
        <w:t>12</w:t>
      </w:r>
      <w:r w:rsidR="007D3561" w:rsidRPr="001567C8">
        <w:rPr>
          <w:rFonts w:asciiTheme="minorHAnsi" w:hAnsiTheme="minorHAnsi" w:cs="Arial"/>
          <w:sz w:val="22"/>
          <w:szCs w:val="22"/>
          <w:lang w:val="hr-HR"/>
        </w:rPr>
        <w:t xml:space="preserve">. </w:t>
      </w:r>
      <w:r w:rsidR="007D3561" w:rsidRPr="001567C8">
        <w:rPr>
          <w:rFonts w:asciiTheme="minorHAnsi" w:hAnsiTheme="minorHAnsi" w:cs="Arial"/>
          <w:sz w:val="22"/>
          <w:szCs w:val="22"/>
          <w:lang w:val="hr-HR"/>
        </w:rPr>
        <w:tab/>
        <w:t>Porez na dobit</w:t>
      </w:r>
    </w:p>
    <w:p w:rsidR="00C04A8C" w:rsidRPr="001567C8" w:rsidRDefault="00C04A8C" w:rsidP="00227F1B">
      <w:pPr>
        <w:pStyle w:val="T1"/>
        <w:spacing w:line="300" w:lineRule="exact"/>
        <w:rPr>
          <w:rFonts w:asciiTheme="minorHAnsi" w:hAnsiTheme="minorHAnsi" w:cs="Arial"/>
          <w:b w:val="0"/>
          <w:sz w:val="22"/>
          <w:szCs w:val="22"/>
          <w:lang w:val="hr-HR"/>
        </w:rPr>
      </w:pPr>
      <w:r w:rsidRPr="001567C8">
        <w:rPr>
          <w:rFonts w:asciiTheme="minorHAnsi" w:hAnsiTheme="minorHAnsi" w:cs="Arial"/>
          <w:b w:val="0"/>
          <w:sz w:val="22"/>
          <w:szCs w:val="22"/>
          <w:lang w:val="hr-HR"/>
        </w:rPr>
        <w:t>U skladu sa člankom 9. Zakona o HBOR-u, Banka nije obveznik poreza na dobit, te se porez na dobit Grupe odnosi na ovisna društva Banke.</w:t>
      </w:r>
    </w:p>
    <w:tbl>
      <w:tblPr>
        <w:tblW w:w="5000" w:type="pct"/>
        <w:tblCellMar>
          <w:left w:w="122" w:type="dxa"/>
          <w:right w:w="122" w:type="dxa"/>
        </w:tblCellMar>
        <w:tblLook w:val="0000" w:firstRow="0" w:lastRow="0" w:firstColumn="0" w:lastColumn="0" w:noHBand="0" w:noVBand="0"/>
      </w:tblPr>
      <w:tblGrid>
        <w:gridCol w:w="6455"/>
        <w:gridCol w:w="1424"/>
        <w:gridCol w:w="1476"/>
      </w:tblGrid>
      <w:tr w:rsidR="00410917" w:rsidRPr="001567C8" w:rsidTr="002E6924">
        <w:trPr>
          <w:trHeight w:val="300"/>
        </w:trPr>
        <w:tc>
          <w:tcPr>
            <w:tcW w:w="3450" w:type="pct"/>
          </w:tcPr>
          <w:p w:rsidR="00410917" w:rsidRPr="001567C8" w:rsidRDefault="00410917" w:rsidP="00D81BB5">
            <w:pPr>
              <w:tabs>
                <w:tab w:val="left" w:pos="-720"/>
              </w:tabs>
              <w:suppressAutoHyphens/>
              <w:jc w:val="right"/>
              <w:rPr>
                <w:rFonts w:asciiTheme="minorHAnsi" w:hAnsiTheme="minorHAnsi" w:cs="Arial"/>
                <w:spacing w:val="-3"/>
                <w:sz w:val="22"/>
                <w:szCs w:val="22"/>
                <w:lang w:val="hr-HR"/>
              </w:rPr>
            </w:pPr>
          </w:p>
        </w:tc>
        <w:tc>
          <w:tcPr>
            <w:tcW w:w="1550" w:type="pct"/>
            <w:gridSpan w:val="2"/>
            <w:vAlign w:val="bottom"/>
          </w:tcPr>
          <w:p w:rsidR="00410917" w:rsidRPr="001567C8" w:rsidRDefault="0041091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r>
      <w:tr w:rsidR="008B45E4" w:rsidRPr="001567C8" w:rsidTr="002E6924">
        <w:trPr>
          <w:trHeight w:val="300"/>
        </w:trPr>
        <w:tc>
          <w:tcPr>
            <w:tcW w:w="3450" w:type="pct"/>
          </w:tcPr>
          <w:p w:rsidR="008B45E4" w:rsidRPr="001567C8" w:rsidRDefault="008B45E4" w:rsidP="008B45E4">
            <w:pPr>
              <w:tabs>
                <w:tab w:val="left" w:pos="-720"/>
              </w:tabs>
              <w:suppressAutoHyphens/>
              <w:jc w:val="right"/>
              <w:rPr>
                <w:rFonts w:asciiTheme="minorHAnsi" w:hAnsiTheme="minorHAnsi" w:cs="Arial"/>
                <w:spacing w:val="-3"/>
                <w:sz w:val="22"/>
                <w:szCs w:val="22"/>
                <w:lang w:val="hr-HR"/>
              </w:rPr>
            </w:pPr>
          </w:p>
        </w:tc>
        <w:tc>
          <w:tcPr>
            <w:tcW w:w="761" w:type="pct"/>
            <w:vAlign w:val="bottom"/>
          </w:tcPr>
          <w:p w:rsidR="008B45E4" w:rsidRPr="001567C8" w:rsidRDefault="008B45E4" w:rsidP="008B45E4">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201</w:t>
            </w:r>
            <w:r w:rsidR="00541891" w:rsidRPr="001567C8">
              <w:rPr>
                <w:rFonts w:asciiTheme="minorHAnsi" w:hAnsiTheme="minorHAnsi" w:cs="Arial"/>
                <w:sz w:val="22"/>
                <w:szCs w:val="22"/>
                <w:lang w:val="hr-HR"/>
              </w:rPr>
              <w:t>8</w:t>
            </w:r>
            <w:r w:rsidRPr="001567C8">
              <w:rPr>
                <w:rFonts w:asciiTheme="minorHAnsi" w:hAnsiTheme="minorHAnsi" w:cs="Arial"/>
                <w:sz w:val="22"/>
                <w:szCs w:val="22"/>
                <w:lang w:val="hr-HR"/>
              </w:rPr>
              <w:t>.</w:t>
            </w:r>
          </w:p>
        </w:tc>
        <w:tc>
          <w:tcPr>
            <w:tcW w:w="789" w:type="pct"/>
            <w:vAlign w:val="bottom"/>
          </w:tcPr>
          <w:p w:rsidR="008B45E4" w:rsidRPr="001567C8" w:rsidRDefault="008B45E4" w:rsidP="008B45E4">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201</w:t>
            </w:r>
            <w:r w:rsidR="00541891" w:rsidRPr="001567C8">
              <w:rPr>
                <w:rFonts w:asciiTheme="minorHAnsi" w:hAnsiTheme="minorHAnsi" w:cs="Arial"/>
                <w:sz w:val="22"/>
                <w:szCs w:val="22"/>
                <w:lang w:val="hr-HR"/>
              </w:rPr>
              <w:t>7</w:t>
            </w:r>
            <w:r w:rsidRPr="001567C8">
              <w:rPr>
                <w:rFonts w:asciiTheme="minorHAnsi" w:hAnsiTheme="minorHAnsi" w:cs="Arial"/>
                <w:sz w:val="22"/>
                <w:szCs w:val="22"/>
                <w:lang w:val="hr-HR"/>
              </w:rPr>
              <w:t>.</w:t>
            </w:r>
          </w:p>
        </w:tc>
      </w:tr>
      <w:tr w:rsidR="008B45E4" w:rsidRPr="001567C8" w:rsidTr="002E6924">
        <w:tblPrEx>
          <w:tblCellMar>
            <w:left w:w="108" w:type="dxa"/>
            <w:right w:w="108" w:type="dxa"/>
          </w:tblCellMar>
        </w:tblPrEx>
        <w:trPr>
          <w:trHeight w:val="187"/>
        </w:trPr>
        <w:tc>
          <w:tcPr>
            <w:tcW w:w="3450" w:type="pct"/>
          </w:tcPr>
          <w:p w:rsidR="008B45E4" w:rsidRPr="001567C8" w:rsidRDefault="008B45E4" w:rsidP="008B45E4">
            <w:pPr>
              <w:tabs>
                <w:tab w:val="left" w:pos="-720"/>
              </w:tabs>
              <w:suppressAutoHyphens/>
              <w:ind w:right="4144"/>
              <w:jc w:val="right"/>
              <w:rPr>
                <w:rFonts w:asciiTheme="minorHAnsi" w:hAnsiTheme="minorHAnsi" w:cs="Arial"/>
                <w:sz w:val="22"/>
                <w:szCs w:val="22"/>
                <w:lang w:val="hr-HR"/>
              </w:rPr>
            </w:pPr>
          </w:p>
        </w:tc>
        <w:tc>
          <w:tcPr>
            <w:tcW w:w="761" w:type="pct"/>
          </w:tcPr>
          <w:p w:rsidR="008B45E4" w:rsidRPr="001567C8" w:rsidRDefault="008B45E4" w:rsidP="008B45E4">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89" w:type="pct"/>
          </w:tcPr>
          <w:p w:rsidR="008B45E4" w:rsidRPr="001567C8" w:rsidRDefault="008B45E4" w:rsidP="008B45E4">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8B45E4" w:rsidRPr="001567C8" w:rsidTr="002E6924">
        <w:tblPrEx>
          <w:tblCellMar>
            <w:left w:w="108" w:type="dxa"/>
            <w:right w:w="108" w:type="dxa"/>
          </w:tblCellMar>
        </w:tblPrEx>
        <w:tc>
          <w:tcPr>
            <w:tcW w:w="3450" w:type="pct"/>
          </w:tcPr>
          <w:p w:rsidR="008B45E4" w:rsidRPr="001567C8" w:rsidRDefault="008B45E4" w:rsidP="008B45E4">
            <w:pPr>
              <w:tabs>
                <w:tab w:val="left" w:pos="-720"/>
              </w:tabs>
              <w:suppressAutoHyphens/>
              <w:spacing w:line="300" w:lineRule="exact"/>
              <w:rPr>
                <w:rFonts w:asciiTheme="minorHAnsi" w:hAnsiTheme="minorHAnsi" w:cs="Arial"/>
                <w:b/>
                <w:spacing w:val="-3"/>
                <w:sz w:val="22"/>
                <w:szCs w:val="22"/>
                <w:lang w:val="hr-HR"/>
              </w:rPr>
            </w:pPr>
            <w:r w:rsidRPr="001567C8">
              <w:rPr>
                <w:rFonts w:asciiTheme="minorHAnsi" w:hAnsiTheme="minorHAnsi" w:cs="Arial"/>
                <w:b/>
                <w:spacing w:val="-3"/>
                <w:sz w:val="22"/>
                <w:szCs w:val="22"/>
                <w:lang w:val="hr-HR"/>
              </w:rPr>
              <w:t xml:space="preserve">Priznato u </w:t>
            </w:r>
            <w:r w:rsidR="00726C85" w:rsidRPr="001567C8">
              <w:rPr>
                <w:rFonts w:asciiTheme="minorHAnsi" w:hAnsiTheme="minorHAnsi" w:cs="Arial"/>
                <w:b/>
                <w:spacing w:val="-3"/>
                <w:sz w:val="22"/>
                <w:szCs w:val="22"/>
                <w:lang w:val="hr-HR"/>
              </w:rPr>
              <w:t>Računu</w:t>
            </w:r>
            <w:r w:rsidRPr="001567C8">
              <w:rPr>
                <w:rFonts w:asciiTheme="minorHAnsi" w:hAnsiTheme="minorHAnsi" w:cs="Arial"/>
                <w:b/>
                <w:spacing w:val="-3"/>
                <w:sz w:val="22"/>
                <w:szCs w:val="22"/>
                <w:lang w:val="hr-HR"/>
              </w:rPr>
              <w:t xml:space="preserve"> dobiti i gubitk</w:t>
            </w:r>
            <w:r w:rsidR="00726C85" w:rsidRPr="001567C8">
              <w:rPr>
                <w:rFonts w:asciiTheme="minorHAnsi" w:hAnsiTheme="minorHAnsi" w:cs="Arial"/>
                <w:b/>
                <w:spacing w:val="-3"/>
                <w:sz w:val="22"/>
                <w:szCs w:val="22"/>
                <w:lang w:val="hr-HR"/>
              </w:rPr>
              <w:t>a</w:t>
            </w:r>
          </w:p>
        </w:tc>
        <w:tc>
          <w:tcPr>
            <w:tcW w:w="761" w:type="pct"/>
          </w:tcPr>
          <w:p w:rsidR="008B45E4" w:rsidRPr="001567C8" w:rsidRDefault="008B45E4" w:rsidP="008B45E4">
            <w:pPr>
              <w:tabs>
                <w:tab w:val="left" w:pos="-720"/>
              </w:tabs>
              <w:suppressAutoHyphens/>
              <w:jc w:val="right"/>
              <w:rPr>
                <w:rFonts w:asciiTheme="minorHAnsi" w:hAnsiTheme="minorHAnsi" w:cs="Arial"/>
                <w:b/>
                <w:spacing w:val="-3"/>
                <w:sz w:val="22"/>
                <w:szCs w:val="22"/>
                <w:lang w:val="hr-HR"/>
              </w:rPr>
            </w:pPr>
          </w:p>
        </w:tc>
        <w:tc>
          <w:tcPr>
            <w:tcW w:w="789" w:type="pct"/>
          </w:tcPr>
          <w:p w:rsidR="008B45E4" w:rsidRPr="001567C8" w:rsidRDefault="008B45E4" w:rsidP="008B45E4">
            <w:pPr>
              <w:tabs>
                <w:tab w:val="left" w:pos="-720"/>
              </w:tabs>
              <w:suppressAutoHyphens/>
              <w:jc w:val="right"/>
              <w:rPr>
                <w:rFonts w:asciiTheme="minorHAnsi" w:hAnsiTheme="minorHAnsi" w:cs="Arial"/>
                <w:b/>
                <w:spacing w:val="-3"/>
                <w:sz w:val="22"/>
                <w:szCs w:val="22"/>
                <w:lang w:val="hr-HR"/>
              </w:rPr>
            </w:pPr>
          </w:p>
        </w:tc>
      </w:tr>
      <w:tr w:rsidR="00541891" w:rsidRPr="001567C8" w:rsidTr="00CD3A2D">
        <w:tc>
          <w:tcPr>
            <w:tcW w:w="3450" w:type="pct"/>
          </w:tcPr>
          <w:p w:rsidR="00541891" w:rsidRPr="001567C8" w:rsidRDefault="00541891" w:rsidP="00541891">
            <w:pPr>
              <w:pStyle w:val="TT"/>
              <w:spacing w:line="300" w:lineRule="exact"/>
              <w:rPr>
                <w:rFonts w:asciiTheme="minorHAnsi" w:hAnsiTheme="minorHAnsi" w:cs="Arial"/>
                <w:sz w:val="22"/>
                <w:szCs w:val="22"/>
                <w:lang w:val="hr-HR"/>
              </w:rPr>
            </w:pPr>
            <w:r w:rsidRPr="001567C8">
              <w:rPr>
                <w:rFonts w:asciiTheme="minorHAnsi" w:hAnsiTheme="minorHAnsi" w:cs="Arial"/>
                <w:sz w:val="22"/>
                <w:szCs w:val="22"/>
                <w:lang w:val="hr-HR"/>
              </w:rPr>
              <w:t xml:space="preserve">Tekući porez - priznato u </w:t>
            </w:r>
            <w:r w:rsidR="00235EFD" w:rsidRPr="001567C8">
              <w:rPr>
                <w:rFonts w:asciiTheme="minorHAnsi" w:hAnsiTheme="minorHAnsi" w:cs="Arial"/>
                <w:sz w:val="22"/>
                <w:szCs w:val="22"/>
                <w:lang w:val="hr-HR"/>
              </w:rPr>
              <w:t>Računu</w:t>
            </w:r>
            <w:r w:rsidRPr="001567C8">
              <w:rPr>
                <w:rFonts w:asciiTheme="minorHAnsi" w:hAnsiTheme="minorHAnsi" w:cs="Arial"/>
                <w:sz w:val="22"/>
                <w:szCs w:val="22"/>
                <w:lang w:val="hr-HR"/>
              </w:rPr>
              <w:t xml:space="preserve"> dobiti i gubitk</w:t>
            </w:r>
            <w:r w:rsidR="00235EFD" w:rsidRPr="001567C8">
              <w:rPr>
                <w:rFonts w:asciiTheme="minorHAnsi" w:hAnsiTheme="minorHAnsi" w:cs="Arial"/>
                <w:sz w:val="22"/>
                <w:szCs w:val="22"/>
                <w:lang w:val="hr-HR"/>
              </w:rPr>
              <w:t>a</w:t>
            </w:r>
          </w:p>
        </w:tc>
        <w:tc>
          <w:tcPr>
            <w:tcW w:w="761" w:type="pct"/>
            <w:tcBorders>
              <w:top w:val="nil"/>
              <w:left w:val="nil"/>
              <w:bottom w:val="single" w:sz="4" w:space="0" w:color="auto"/>
              <w:right w:val="nil"/>
            </w:tcBorders>
            <w:shd w:val="clear" w:color="auto" w:fill="auto"/>
            <w:vAlign w:val="bottom"/>
          </w:tcPr>
          <w:p w:rsidR="00541891" w:rsidRPr="001567C8" w:rsidRDefault="007152ED" w:rsidP="00541891">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(26)</w:t>
            </w:r>
          </w:p>
        </w:tc>
        <w:tc>
          <w:tcPr>
            <w:tcW w:w="789" w:type="pct"/>
            <w:tcBorders>
              <w:top w:val="nil"/>
              <w:left w:val="nil"/>
              <w:bottom w:val="single" w:sz="4" w:space="0" w:color="auto"/>
              <w:right w:val="nil"/>
            </w:tcBorders>
            <w:shd w:val="clear" w:color="auto" w:fill="auto"/>
            <w:vAlign w:val="bottom"/>
          </w:tcPr>
          <w:p w:rsidR="00541891" w:rsidRPr="00CD3A2D" w:rsidRDefault="00541891" w:rsidP="00541891">
            <w:pPr>
              <w:pStyle w:val="TT"/>
              <w:jc w:val="right"/>
              <w:rPr>
                <w:rFonts w:ascii="Calibri" w:hAnsi="Calibri"/>
                <w:color w:val="000000"/>
                <w:sz w:val="22"/>
                <w:szCs w:val="22"/>
                <w:lang w:val="hr-HR"/>
              </w:rPr>
            </w:pPr>
            <w:r w:rsidRPr="001567C8">
              <w:rPr>
                <w:rFonts w:asciiTheme="minorHAnsi" w:hAnsiTheme="minorHAnsi" w:cs="Arial"/>
                <w:sz w:val="22"/>
                <w:szCs w:val="22"/>
                <w:lang w:val="hr-HR"/>
              </w:rPr>
              <w:t>(102)</w:t>
            </w:r>
          </w:p>
        </w:tc>
      </w:tr>
      <w:tr w:rsidR="00541891" w:rsidRPr="001567C8" w:rsidTr="00CD3A2D">
        <w:trPr>
          <w:trHeight w:val="329"/>
        </w:trPr>
        <w:tc>
          <w:tcPr>
            <w:tcW w:w="3450" w:type="pct"/>
          </w:tcPr>
          <w:p w:rsidR="00541891" w:rsidRPr="001567C8" w:rsidRDefault="00541891" w:rsidP="00541891">
            <w:pPr>
              <w:pStyle w:val="TT"/>
              <w:spacing w:line="300" w:lineRule="exact"/>
              <w:rPr>
                <w:rFonts w:asciiTheme="minorHAnsi" w:hAnsiTheme="minorHAnsi" w:cs="Arial"/>
                <w:b/>
                <w:sz w:val="22"/>
                <w:szCs w:val="22"/>
                <w:lang w:val="hr-HR"/>
              </w:rPr>
            </w:pPr>
            <w:r w:rsidRPr="001567C8">
              <w:rPr>
                <w:rFonts w:asciiTheme="minorHAnsi" w:hAnsiTheme="minorHAnsi" w:cs="Arial"/>
                <w:b/>
                <w:sz w:val="22"/>
                <w:szCs w:val="22"/>
                <w:lang w:val="hr-HR"/>
              </w:rPr>
              <w:t>Porez na dobit</w:t>
            </w:r>
          </w:p>
        </w:tc>
        <w:tc>
          <w:tcPr>
            <w:tcW w:w="761" w:type="pct"/>
            <w:tcBorders>
              <w:top w:val="single" w:sz="4" w:space="0" w:color="auto"/>
              <w:left w:val="nil"/>
              <w:bottom w:val="single" w:sz="4" w:space="0" w:color="auto"/>
              <w:right w:val="nil"/>
            </w:tcBorders>
            <w:shd w:val="clear" w:color="auto" w:fill="auto"/>
            <w:vAlign w:val="bottom"/>
          </w:tcPr>
          <w:p w:rsidR="00541891" w:rsidRPr="001567C8" w:rsidRDefault="007152ED" w:rsidP="00541891">
            <w:pPr>
              <w:pStyle w:val="TT"/>
              <w:jc w:val="right"/>
              <w:rPr>
                <w:rFonts w:asciiTheme="minorHAnsi" w:hAnsiTheme="minorHAnsi" w:cs="Arial"/>
                <w:b/>
                <w:sz w:val="22"/>
                <w:szCs w:val="22"/>
                <w:lang w:val="hr-HR"/>
              </w:rPr>
            </w:pPr>
            <w:r w:rsidRPr="001567C8">
              <w:rPr>
                <w:rFonts w:asciiTheme="minorHAnsi" w:hAnsiTheme="minorHAnsi" w:cs="Arial"/>
                <w:b/>
                <w:sz w:val="22"/>
                <w:szCs w:val="22"/>
                <w:lang w:val="hr-HR"/>
              </w:rPr>
              <w:t>(26)</w:t>
            </w:r>
          </w:p>
        </w:tc>
        <w:tc>
          <w:tcPr>
            <w:tcW w:w="789" w:type="pct"/>
            <w:tcBorders>
              <w:top w:val="single" w:sz="4" w:space="0" w:color="auto"/>
              <w:left w:val="nil"/>
              <w:bottom w:val="single" w:sz="4" w:space="0" w:color="auto"/>
              <w:right w:val="nil"/>
            </w:tcBorders>
            <w:shd w:val="clear" w:color="auto" w:fill="auto"/>
            <w:vAlign w:val="bottom"/>
          </w:tcPr>
          <w:p w:rsidR="00541891" w:rsidRPr="001567C8" w:rsidRDefault="00541891" w:rsidP="00541891">
            <w:pPr>
              <w:pStyle w:val="TT"/>
              <w:jc w:val="right"/>
              <w:rPr>
                <w:rFonts w:asciiTheme="minorHAnsi" w:hAnsiTheme="minorHAnsi" w:cs="Arial"/>
                <w:b/>
                <w:sz w:val="22"/>
                <w:szCs w:val="22"/>
                <w:lang w:val="hr-HR"/>
              </w:rPr>
            </w:pPr>
            <w:r w:rsidRPr="001567C8">
              <w:rPr>
                <w:rFonts w:asciiTheme="minorHAnsi" w:hAnsiTheme="minorHAnsi" w:cs="Arial"/>
                <w:b/>
                <w:sz w:val="22"/>
                <w:szCs w:val="22"/>
                <w:lang w:val="hr-HR"/>
              </w:rPr>
              <w:t>(102)</w:t>
            </w:r>
          </w:p>
        </w:tc>
      </w:tr>
      <w:tr w:rsidR="00DF4478" w:rsidRPr="001567C8" w:rsidTr="00CD3A2D">
        <w:tc>
          <w:tcPr>
            <w:tcW w:w="3450" w:type="pct"/>
            <w:vAlign w:val="bottom"/>
          </w:tcPr>
          <w:p w:rsidR="00DF4478" w:rsidRPr="001567C8" w:rsidRDefault="00DF4478" w:rsidP="00541891">
            <w:pPr>
              <w:pStyle w:val="TT"/>
              <w:spacing w:line="300" w:lineRule="exact"/>
              <w:rPr>
                <w:rFonts w:asciiTheme="minorHAnsi" w:hAnsiTheme="minorHAnsi" w:cs="Arial"/>
                <w:b/>
                <w:sz w:val="22"/>
                <w:szCs w:val="22"/>
                <w:lang w:val="hr-HR"/>
              </w:rPr>
            </w:pPr>
          </w:p>
        </w:tc>
        <w:tc>
          <w:tcPr>
            <w:tcW w:w="761" w:type="pct"/>
            <w:tcBorders>
              <w:top w:val="single" w:sz="4" w:space="0" w:color="auto"/>
              <w:left w:val="nil"/>
              <w:bottom w:val="nil"/>
              <w:right w:val="nil"/>
            </w:tcBorders>
            <w:shd w:val="clear" w:color="auto" w:fill="auto"/>
            <w:vAlign w:val="bottom"/>
          </w:tcPr>
          <w:p w:rsidR="00DF4478" w:rsidRPr="001567C8" w:rsidRDefault="00DF4478" w:rsidP="00541891">
            <w:pPr>
              <w:pStyle w:val="TT"/>
              <w:jc w:val="right"/>
              <w:rPr>
                <w:rFonts w:asciiTheme="minorHAnsi" w:hAnsiTheme="minorHAnsi" w:cs="Arial"/>
                <w:sz w:val="22"/>
                <w:szCs w:val="22"/>
                <w:lang w:val="hr-HR"/>
              </w:rPr>
            </w:pPr>
          </w:p>
        </w:tc>
        <w:tc>
          <w:tcPr>
            <w:tcW w:w="789" w:type="pct"/>
            <w:tcBorders>
              <w:top w:val="single" w:sz="4" w:space="0" w:color="auto"/>
              <w:left w:val="nil"/>
              <w:bottom w:val="nil"/>
              <w:right w:val="nil"/>
            </w:tcBorders>
            <w:shd w:val="clear" w:color="auto" w:fill="auto"/>
            <w:vAlign w:val="bottom"/>
          </w:tcPr>
          <w:p w:rsidR="00DF4478" w:rsidRPr="001567C8" w:rsidRDefault="00DF4478" w:rsidP="00541891">
            <w:pPr>
              <w:pStyle w:val="TT"/>
              <w:jc w:val="right"/>
              <w:rPr>
                <w:rFonts w:asciiTheme="minorHAnsi" w:hAnsiTheme="minorHAnsi" w:cs="Arial"/>
                <w:sz w:val="22"/>
                <w:szCs w:val="22"/>
                <w:lang w:val="hr-HR"/>
              </w:rPr>
            </w:pPr>
          </w:p>
        </w:tc>
      </w:tr>
      <w:tr w:rsidR="00DF4478" w:rsidRPr="001567C8" w:rsidTr="002E6924">
        <w:tc>
          <w:tcPr>
            <w:tcW w:w="3450" w:type="pct"/>
            <w:vAlign w:val="bottom"/>
          </w:tcPr>
          <w:p w:rsidR="00DF4478" w:rsidRPr="001567C8" w:rsidRDefault="00DF4478" w:rsidP="00541891">
            <w:pPr>
              <w:pStyle w:val="TT"/>
              <w:spacing w:line="300" w:lineRule="exact"/>
              <w:rPr>
                <w:rFonts w:asciiTheme="minorHAnsi" w:hAnsiTheme="minorHAnsi" w:cs="Arial"/>
                <w:b/>
                <w:sz w:val="22"/>
                <w:szCs w:val="22"/>
                <w:lang w:val="hr-HR"/>
              </w:rPr>
            </w:pPr>
          </w:p>
        </w:tc>
        <w:tc>
          <w:tcPr>
            <w:tcW w:w="761" w:type="pct"/>
            <w:tcBorders>
              <w:top w:val="nil"/>
              <w:left w:val="nil"/>
              <w:bottom w:val="nil"/>
              <w:right w:val="nil"/>
            </w:tcBorders>
            <w:shd w:val="clear" w:color="auto" w:fill="auto"/>
            <w:vAlign w:val="bottom"/>
          </w:tcPr>
          <w:p w:rsidR="00DF4478" w:rsidRPr="001567C8" w:rsidRDefault="00DF4478" w:rsidP="00541891">
            <w:pPr>
              <w:pStyle w:val="TT"/>
              <w:jc w:val="right"/>
              <w:rPr>
                <w:rFonts w:asciiTheme="minorHAnsi" w:hAnsiTheme="minorHAnsi" w:cs="Arial"/>
                <w:sz w:val="22"/>
                <w:szCs w:val="22"/>
                <w:lang w:val="hr-HR"/>
              </w:rPr>
            </w:pPr>
          </w:p>
        </w:tc>
        <w:tc>
          <w:tcPr>
            <w:tcW w:w="789" w:type="pct"/>
            <w:tcBorders>
              <w:top w:val="nil"/>
              <w:left w:val="nil"/>
              <w:bottom w:val="nil"/>
              <w:right w:val="nil"/>
            </w:tcBorders>
            <w:shd w:val="clear" w:color="auto" w:fill="auto"/>
            <w:vAlign w:val="bottom"/>
          </w:tcPr>
          <w:p w:rsidR="00DF4478" w:rsidRPr="001567C8" w:rsidRDefault="00DF4478" w:rsidP="00541891">
            <w:pPr>
              <w:pStyle w:val="TT"/>
              <w:jc w:val="right"/>
              <w:rPr>
                <w:rFonts w:asciiTheme="minorHAnsi" w:hAnsiTheme="minorHAnsi" w:cs="Arial"/>
                <w:sz w:val="22"/>
                <w:szCs w:val="22"/>
                <w:lang w:val="hr-HR"/>
              </w:rPr>
            </w:pPr>
          </w:p>
        </w:tc>
      </w:tr>
      <w:tr w:rsidR="00541891" w:rsidRPr="001567C8" w:rsidTr="00CD3A2D">
        <w:tc>
          <w:tcPr>
            <w:tcW w:w="3450" w:type="pct"/>
            <w:vAlign w:val="bottom"/>
          </w:tcPr>
          <w:p w:rsidR="00541891" w:rsidRPr="001567C8" w:rsidRDefault="00541891" w:rsidP="00541891">
            <w:pPr>
              <w:pStyle w:val="TT"/>
              <w:spacing w:line="300" w:lineRule="exact"/>
              <w:rPr>
                <w:rFonts w:asciiTheme="minorHAnsi" w:hAnsiTheme="minorHAnsi" w:cs="Arial"/>
                <w:b/>
                <w:sz w:val="22"/>
                <w:szCs w:val="22"/>
                <w:lang w:val="hr-HR"/>
              </w:rPr>
            </w:pPr>
            <w:r w:rsidRPr="001567C8">
              <w:rPr>
                <w:rFonts w:asciiTheme="minorHAnsi" w:hAnsiTheme="minorHAnsi" w:cs="Arial"/>
                <w:b/>
                <w:sz w:val="22"/>
                <w:szCs w:val="22"/>
                <w:lang w:val="hr-HR"/>
              </w:rPr>
              <w:t>Usklađenje poreza na dobit</w:t>
            </w:r>
          </w:p>
        </w:tc>
        <w:tc>
          <w:tcPr>
            <w:tcW w:w="761" w:type="pct"/>
            <w:tcBorders>
              <w:top w:val="nil"/>
              <w:left w:val="nil"/>
              <w:right w:val="nil"/>
            </w:tcBorders>
            <w:shd w:val="clear" w:color="auto" w:fill="auto"/>
            <w:vAlign w:val="bottom"/>
          </w:tcPr>
          <w:p w:rsidR="00541891" w:rsidRPr="001567C8" w:rsidRDefault="00541891" w:rsidP="00541891">
            <w:pPr>
              <w:pStyle w:val="TT"/>
              <w:jc w:val="right"/>
              <w:rPr>
                <w:rFonts w:asciiTheme="minorHAnsi" w:hAnsiTheme="minorHAnsi" w:cs="Arial"/>
                <w:sz w:val="22"/>
                <w:szCs w:val="22"/>
                <w:lang w:val="hr-HR"/>
              </w:rPr>
            </w:pPr>
          </w:p>
        </w:tc>
        <w:tc>
          <w:tcPr>
            <w:tcW w:w="789" w:type="pct"/>
            <w:tcBorders>
              <w:top w:val="nil"/>
              <w:left w:val="nil"/>
              <w:right w:val="nil"/>
            </w:tcBorders>
            <w:shd w:val="clear" w:color="auto" w:fill="auto"/>
            <w:vAlign w:val="bottom"/>
          </w:tcPr>
          <w:p w:rsidR="00541891" w:rsidRPr="001567C8" w:rsidRDefault="00541891" w:rsidP="00541891">
            <w:pPr>
              <w:pStyle w:val="TT"/>
              <w:jc w:val="right"/>
              <w:rPr>
                <w:rFonts w:asciiTheme="minorHAnsi" w:hAnsiTheme="minorHAnsi" w:cs="Arial"/>
                <w:sz w:val="22"/>
                <w:szCs w:val="22"/>
                <w:lang w:val="hr-HR"/>
              </w:rPr>
            </w:pPr>
          </w:p>
        </w:tc>
      </w:tr>
      <w:tr w:rsidR="00541891" w:rsidRPr="001567C8" w:rsidTr="00CD3A2D">
        <w:tc>
          <w:tcPr>
            <w:tcW w:w="3450" w:type="pct"/>
          </w:tcPr>
          <w:p w:rsidR="00541891" w:rsidRPr="001567C8" w:rsidRDefault="00541891" w:rsidP="00541891">
            <w:pPr>
              <w:pStyle w:val="TT"/>
              <w:spacing w:line="300" w:lineRule="exact"/>
              <w:rPr>
                <w:rFonts w:asciiTheme="minorHAnsi" w:hAnsiTheme="minorHAnsi" w:cs="Arial"/>
                <w:b/>
                <w:sz w:val="22"/>
                <w:szCs w:val="22"/>
                <w:lang w:val="hr-HR"/>
              </w:rPr>
            </w:pPr>
            <w:r w:rsidRPr="001567C8">
              <w:rPr>
                <w:rFonts w:asciiTheme="minorHAnsi" w:hAnsiTheme="minorHAnsi" w:cs="Arial"/>
                <w:b/>
                <w:sz w:val="22"/>
                <w:szCs w:val="22"/>
                <w:lang w:val="hr-HR"/>
              </w:rPr>
              <w:t xml:space="preserve">Dobit prije oporezivanja </w:t>
            </w:r>
          </w:p>
        </w:tc>
        <w:tc>
          <w:tcPr>
            <w:tcW w:w="761" w:type="pct"/>
            <w:tcBorders>
              <w:top w:val="nil"/>
              <w:left w:val="nil"/>
              <w:right w:val="nil"/>
            </w:tcBorders>
            <w:shd w:val="clear" w:color="auto" w:fill="auto"/>
            <w:vAlign w:val="bottom"/>
          </w:tcPr>
          <w:p w:rsidR="00541891" w:rsidRPr="001567C8" w:rsidRDefault="00840B1D" w:rsidP="00541891">
            <w:pPr>
              <w:pStyle w:val="TT"/>
              <w:jc w:val="right"/>
              <w:rPr>
                <w:rFonts w:asciiTheme="minorHAnsi" w:hAnsiTheme="minorHAnsi" w:cs="Arial"/>
                <w:b/>
                <w:sz w:val="22"/>
                <w:szCs w:val="22"/>
                <w:lang w:val="hr-HR"/>
              </w:rPr>
            </w:pPr>
            <w:r w:rsidRPr="001567C8">
              <w:rPr>
                <w:rFonts w:asciiTheme="minorHAnsi" w:hAnsiTheme="minorHAnsi" w:cs="Arial"/>
                <w:b/>
                <w:sz w:val="22"/>
                <w:szCs w:val="22"/>
                <w:lang w:val="hr-HR"/>
              </w:rPr>
              <w:t>204.763</w:t>
            </w:r>
          </w:p>
        </w:tc>
        <w:tc>
          <w:tcPr>
            <w:tcW w:w="789" w:type="pct"/>
            <w:tcBorders>
              <w:top w:val="nil"/>
              <w:left w:val="nil"/>
              <w:right w:val="nil"/>
            </w:tcBorders>
            <w:shd w:val="clear" w:color="auto" w:fill="auto"/>
            <w:vAlign w:val="bottom"/>
          </w:tcPr>
          <w:p w:rsidR="00541891" w:rsidRPr="001567C8" w:rsidRDefault="00840B1D" w:rsidP="00541891">
            <w:pPr>
              <w:pStyle w:val="TT"/>
              <w:jc w:val="right"/>
              <w:rPr>
                <w:rFonts w:asciiTheme="minorHAnsi" w:hAnsiTheme="minorHAnsi" w:cs="Arial"/>
                <w:b/>
                <w:sz w:val="22"/>
                <w:szCs w:val="22"/>
                <w:lang w:val="hr-HR"/>
              </w:rPr>
            </w:pPr>
            <w:r w:rsidRPr="001567C8">
              <w:rPr>
                <w:rFonts w:asciiTheme="minorHAnsi" w:hAnsiTheme="minorHAnsi" w:cs="Arial"/>
                <w:b/>
                <w:sz w:val="22"/>
                <w:szCs w:val="22"/>
                <w:lang w:val="hr-HR"/>
              </w:rPr>
              <w:t>162.303</w:t>
            </w:r>
          </w:p>
        </w:tc>
      </w:tr>
      <w:tr w:rsidR="00840B1D" w:rsidRPr="001567C8" w:rsidTr="00CD3A2D">
        <w:tc>
          <w:tcPr>
            <w:tcW w:w="3450" w:type="pct"/>
          </w:tcPr>
          <w:p w:rsidR="00840B1D" w:rsidRPr="00CD3A2D" w:rsidRDefault="00840B1D" w:rsidP="00541891">
            <w:pPr>
              <w:pStyle w:val="TT"/>
              <w:spacing w:line="300" w:lineRule="exact"/>
              <w:rPr>
                <w:rFonts w:asciiTheme="minorHAnsi" w:hAnsiTheme="minorHAnsi" w:cs="Arial"/>
                <w:sz w:val="22"/>
                <w:szCs w:val="22"/>
                <w:lang w:val="hr-HR"/>
              </w:rPr>
            </w:pPr>
            <w:r w:rsidRPr="00CD3A2D">
              <w:rPr>
                <w:rFonts w:asciiTheme="minorHAnsi" w:hAnsiTheme="minorHAnsi" w:cs="Arial"/>
                <w:sz w:val="22"/>
                <w:szCs w:val="22"/>
                <w:lang w:val="hr-HR"/>
              </w:rPr>
              <w:t>Dobit Banke koja nije obveznik poreza na dobit</w:t>
            </w:r>
          </w:p>
        </w:tc>
        <w:tc>
          <w:tcPr>
            <w:tcW w:w="761" w:type="pct"/>
            <w:tcBorders>
              <w:left w:val="nil"/>
              <w:bottom w:val="single" w:sz="4" w:space="0" w:color="auto"/>
              <w:right w:val="nil"/>
            </w:tcBorders>
            <w:shd w:val="clear" w:color="auto" w:fill="auto"/>
            <w:vAlign w:val="bottom"/>
          </w:tcPr>
          <w:p w:rsidR="00840B1D" w:rsidRPr="00CD3A2D" w:rsidRDefault="00840B1D" w:rsidP="00541891">
            <w:pPr>
              <w:pStyle w:val="TT"/>
              <w:jc w:val="right"/>
              <w:rPr>
                <w:rFonts w:asciiTheme="minorHAnsi" w:hAnsiTheme="minorHAnsi" w:cs="Arial"/>
                <w:sz w:val="22"/>
                <w:szCs w:val="22"/>
                <w:lang w:val="hr-HR"/>
              </w:rPr>
            </w:pPr>
            <w:r w:rsidRPr="00CD3A2D">
              <w:rPr>
                <w:rFonts w:asciiTheme="minorHAnsi" w:hAnsiTheme="minorHAnsi" w:cs="Arial"/>
                <w:sz w:val="22"/>
                <w:szCs w:val="22"/>
                <w:lang w:val="hr-HR"/>
              </w:rPr>
              <w:t>(204.328)</w:t>
            </w:r>
          </w:p>
        </w:tc>
        <w:tc>
          <w:tcPr>
            <w:tcW w:w="789" w:type="pct"/>
            <w:tcBorders>
              <w:left w:val="nil"/>
              <w:bottom w:val="single" w:sz="4" w:space="0" w:color="auto"/>
              <w:right w:val="nil"/>
            </w:tcBorders>
            <w:shd w:val="clear" w:color="auto" w:fill="auto"/>
            <w:vAlign w:val="bottom"/>
          </w:tcPr>
          <w:p w:rsidR="00840B1D" w:rsidRPr="00CD3A2D" w:rsidRDefault="00840B1D" w:rsidP="00541891">
            <w:pPr>
              <w:pStyle w:val="TT"/>
              <w:jc w:val="right"/>
              <w:rPr>
                <w:rFonts w:asciiTheme="minorHAnsi" w:hAnsiTheme="minorHAnsi" w:cs="Arial"/>
                <w:sz w:val="22"/>
                <w:szCs w:val="22"/>
                <w:lang w:val="hr-HR"/>
              </w:rPr>
            </w:pPr>
            <w:r w:rsidRPr="00CD3A2D">
              <w:rPr>
                <w:rFonts w:asciiTheme="minorHAnsi" w:hAnsiTheme="minorHAnsi" w:cs="Arial"/>
                <w:sz w:val="22"/>
                <w:szCs w:val="22"/>
                <w:lang w:val="hr-HR"/>
              </w:rPr>
              <w:t>(160.783)</w:t>
            </w:r>
          </w:p>
        </w:tc>
      </w:tr>
      <w:tr w:rsidR="00840B1D" w:rsidRPr="001567C8" w:rsidTr="00CD3A2D">
        <w:tc>
          <w:tcPr>
            <w:tcW w:w="3450" w:type="pct"/>
          </w:tcPr>
          <w:p w:rsidR="00840B1D" w:rsidRPr="001567C8" w:rsidRDefault="00840B1D" w:rsidP="00541891">
            <w:pPr>
              <w:pStyle w:val="TT"/>
              <w:spacing w:line="300" w:lineRule="exact"/>
              <w:rPr>
                <w:rFonts w:asciiTheme="minorHAnsi" w:hAnsiTheme="minorHAnsi" w:cs="Arial"/>
                <w:b/>
                <w:sz w:val="22"/>
                <w:szCs w:val="22"/>
                <w:lang w:val="hr-HR"/>
              </w:rPr>
            </w:pPr>
            <w:r w:rsidRPr="001567C8">
              <w:rPr>
                <w:rFonts w:asciiTheme="minorHAnsi" w:hAnsiTheme="minorHAnsi" w:cs="Arial"/>
                <w:b/>
                <w:sz w:val="22"/>
                <w:szCs w:val="22"/>
                <w:lang w:val="hr-HR"/>
              </w:rPr>
              <w:t>Dobit prije oporezivanja obveznika poreza na dobit</w:t>
            </w:r>
          </w:p>
        </w:tc>
        <w:tc>
          <w:tcPr>
            <w:tcW w:w="761" w:type="pct"/>
            <w:tcBorders>
              <w:top w:val="single" w:sz="4" w:space="0" w:color="auto"/>
              <w:left w:val="nil"/>
              <w:bottom w:val="nil"/>
              <w:right w:val="nil"/>
            </w:tcBorders>
            <w:shd w:val="clear" w:color="auto" w:fill="auto"/>
            <w:vAlign w:val="bottom"/>
          </w:tcPr>
          <w:p w:rsidR="00840B1D" w:rsidRPr="001567C8" w:rsidRDefault="002E6924" w:rsidP="00541891">
            <w:pPr>
              <w:pStyle w:val="TT"/>
              <w:jc w:val="right"/>
              <w:rPr>
                <w:rFonts w:asciiTheme="minorHAnsi" w:hAnsiTheme="minorHAnsi" w:cs="Arial"/>
                <w:b/>
                <w:sz w:val="22"/>
                <w:szCs w:val="22"/>
                <w:lang w:val="hr-HR"/>
              </w:rPr>
            </w:pPr>
            <w:r w:rsidRPr="001567C8">
              <w:rPr>
                <w:rFonts w:asciiTheme="minorHAnsi" w:hAnsiTheme="minorHAnsi" w:cs="Arial"/>
                <w:b/>
                <w:sz w:val="22"/>
                <w:szCs w:val="22"/>
                <w:lang w:val="hr-HR"/>
              </w:rPr>
              <w:t>435</w:t>
            </w:r>
          </w:p>
        </w:tc>
        <w:tc>
          <w:tcPr>
            <w:tcW w:w="789" w:type="pct"/>
            <w:tcBorders>
              <w:top w:val="single" w:sz="4" w:space="0" w:color="auto"/>
              <w:left w:val="nil"/>
              <w:bottom w:val="nil"/>
              <w:right w:val="nil"/>
            </w:tcBorders>
            <w:shd w:val="clear" w:color="auto" w:fill="auto"/>
            <w:vAlign w:val="bottom"/>
          </w:tcPr>
          <w:p w:rsidR="00840B1D" w:rsidRPr="001567C8" w:rsidRDefault="002E6924" w:rsidP="00541891">
            <w:pPr>
              <w:pStyle w:val="TT"/>
              <w:jc w:val="right"/>
              <w:rPr>
                <w:rFonts w:asciiTheme="minorHAnsi" w:hAnsiTheme="minorHAnsi" w:cs="Arial"/>
                <w:b/>
                <w:sz w:val="22"/>
                <w:szCs w:val="22"/>
                <w:lang w:val="hr-HR"/>
              </w:rPr>
            </w:pPr>
            <w:r w:rsidRPr="001567C8">
              <w:rPr>
                <w:rFonts w:asciiTheme="minorHAnsi" w:hAnsiTheme="minorHAnsi" w:cs="Arial"/>
                <w:b/>
                <w:sz w:val="22"/>
                <w:szCs w:val="22"/>
                <w:lang w:val="hr-HR"/>
              </w:rPr>
              <w:t>1.520</w:t>
            </w:r>
          </w:p>
        </w:tc>
      </w:tr>
      <w:tr w:rsidR="00541891" w:rsidRPr="001567C8" w:rsidTr="002E6924">
        <w:tc>
          <w:tcPr>
            <w:tcW w:w="3450" w:type="pct"/>
          </w:tcPr>
          <w:p w:rsidR="00541891" w:rsidRPr="001567C8" w:rsidRDefault="00541891" w:rsidP="00541891">
            <w:pPr>
              <w:pStyle w:val="Tot"/>
              <w:spacing w:line="300" w:lineRule="exact"/>
              <w:rPr>
                <w:rFonts w:asciiTheme="minorHAnsi" w:hAnsiTheme="minorHAnsi" w:cs="Arial"/>
                <w:bCs/>
                <w:sz w:val="22"/>
                <w:szCs w:val="22"/>
                <w:lang w:val="hr-HR"/>
              </w:rPr>
            </w:pPr>
            <w:r w:rsidRPr="001567C8">
              <w:rPr>
                <w:rFonts w:asciiTheme="minorHAnsi" w:hAnsiTheme="minorHAnsi" w:cs="Arial"/>
                <w:sz w:val="22"/>
                <w:szCs w:val="22"/>
                <w:lang w:val="hr-HR"/>
              </w:rPr>
              <w:t>Porez na dobit po stopi 18%</w:t>
            </w:r>
          </w:p>
        </w:tc>
        <w:tc>
          <w:tcPr>
            <w:tcW w:w="761" w:type="pct"/>
            <w:tcBorders>
              <w:top w:val="nil"/>
              <w:left w:val="nil"/>
              <w:bottom w:val="nil"/>
              <w:right w:val="nil"/>
            </w:tcBorders>
            <w:shd w:val="clear" w:color="auto" w:fill="auto"/>
            <w:vAlign w:val="bottom"/>
          </w:tcPr>
          <w:p w:rsidR="00541891" w:rsidRPr="001567C8" w:rsidRDefault="007152ED" w:rsidP="00541891">
            <w:pPr>
              <w:pStyle w:val="Tot"/>
              <w:jc w:val="right"/>
              <w:rPr>
                <w:rFonts w:asciiTheme="minorHAnsi" w:hAnsiTheme="minorHAnsi" w:cs="Arial"/>
                <w:bCs/>
                <w:sz w:val="22"/>
                <w:szCs w:val="22"/>
                <w:lang w:val="hr-HR"/>
              </w:rPr>
            </w:pPr>
            <w:r w:rsidRPr="001567C8">
              <w:rPr>
                <w:rFonts w:asciiTheme="minorHAnsi" w:hAnsiTheme="minorHAnsi" w:cs="Arial"/>
                <w:bCs/>
                <w:sz w:val="22"/>
                <w:szCs w:val="22"/>
                <w:lang w:val="hr-HR"/>
              </w:rPr>
              <w:t>-</w:t>
            </w:r>
          </w:p>
        </w:tc>
        <w:tc>
          <w:tcPr>
            <w:tcW w:w="789" w:type="pct"/>
            <w:tcBorders>
              <w:top w:val="nil"/>
              <w:left w:val="nil"/>
              <w:bottom w:val="nil"/>
              <w:right w:val="nil"/>
            </w:tcBorders>
            <w:shd w:val="clear" w:color="auto" w:fill="auto"/>
            <w:vAlign w:val="bottom"/>
          </w:tcPr>
          <w:p w:rsidR="00541891" w:rsidRPr="00CD3A2D" w:rsidRDefault="00541891" w:rsidP="00541891">
            <w:pPr>
              <w:pStyle w:val="Tot"/>
              <w:jc w:val="right"/>
              <w:rPr>
                <w:rFonts w:ascii="Calibri" w:hAnsi="Calibri"/>
                <w:color w:val="000000"/>
                <w:sz w:val="22"/>
                <w:szCs w:val="22"/>
                <w:lang w:val="hr-HR"/>
              </w:rPr>
            </w:pPr>
            <w:r w:rsidRPr="001567C8">
              <w:rPr>
                <w:rFonts w:asciiTheme="minorHAnsi" w:hAnsiTheme="minorHAnsi" w:cs="Arial"/>
                <w:bCs/>
                <w:sz w:val="22"/>
                <w:szCs w:val="22"/>
                <w:lang w:val="hr-HR"/>
              </w:rPr>
              <w:t>(54)</w:t>
            </w:r>
          </w:p>
        </w:tc>
      </w:tr>
      <w:tr w:rsidR="00541891" w:rsidRPr="001567C8" w:rsidTr="002E6924">
        <w:trPr>
          <w:trHeight w:val="70"/>
        </w:trPr>
        <w:tc>
          <w:tcPr>
            <w:tcW w:w="3450" w:type="pct"/>
          </w:tcPr>
          <w:p w:rsidR="00541891" w:rsidRPr="001567C8" w:rsidRDefault="00541891" w:rsidP="00541891">
            <w:pPr>
              <w:pStyle w:val="Tot"/>
              <w:spacing w:line="300" w:lineRule="exact"/>
              <w:rPr>
                <w:rFonts w:asciiTheme="minorHAnsi" w:hAnsiTheme="minorHAnsi" w:cs="Arial"/>
                <w:bCs/>
                <w:sz w:val="22"/>
                <w:szCs w:val="22"/>
                <w:lang w:val="hr-HR"/>
              </w:rPr>
            </w:pPr>
            <w:r w:rsidRPr="001567C8">
              <w:rPr>
                <w:rFonts w:asciiTheme="minorHAnsi" w:hAnsiTheme="minorHAnsi" w:cs="Arial"/>
                <w:sz w:val="22"/>
                <w:szCs w:val="22"/>
                <w:lang w:val="hr-HR"/>
              </w:rPr>
              <w:t>Porez na dobit po stopi 12%</w:t>
            </w:r>
          </w:p>
        </w:tc>
        <w:tc>
          <w:tcPr>
            <w:tcW w:w="761" w:type="pct"/>
            <w:tcBorders>
              <w:top w:val="nil"/>
              <w:left w:val="nil"/>
              <w:bottom w:val="nil"/>
              <w:right w:val="nil"/>
            </w:tcBorders>
            <w:shd w:val="clear" w:color="auto" w:fill="auto"/>
            <w:vAlign w:val="bottom"/>
          </w:tcPr>
          <w:p w:rsidR="00541891" w:rsidRPr="001567C8" w:rsidRDefault="007152ED" w:rsidP="00541891">
            <w:pPr>
              <w:pStyle w:val="Tot"/>
              <w:jc w:val="right"/>
              <w:rPr>
                <w:rFonts w:asciiTheme="minorHAnsi" w:hAnsiTheme="minorHAnsi" w:cs="Arial"/>
                <w:bCs/>
                <w:sz w:val="22"/>
                <w:szCs w:val="22"/>
                <w:lang w:val="hr-HR"/>
              </w:rPr>
            </w:pPr>
            <w:r w:rsidRPr="001567C8">
              <w:rPr>
                <w:rFonts w:asciiTheme="minorHAnsi" w:hAnsiTheme="minorHAnsi" w:cs="Arial"/>
                <w:bCs/>
                <w:sz w:val="22"/>
                <w:szCs w:val="22"/>
                <w:lang w:val="hr-HR"/>
              </w:rPr>
              <w:t>(24)</w:t>
            </w:r>
          </w:p>
        </w:tc>
        <w:tc>
          <w:tcPr>
            <w:tcW w:w="789" w:type="pct"/>
            <w:tcBorders>
              <w:top w:val="nil"/>
              <w:left w:val="nil"/>
              <w:bottom w:val="nil"/>
              <w:right w:val="nil"/>
            </w:tcBorders>
            <w:shd w:val="clear" w:color="auto" w:fill="auto"/>
            <w:vAlign w:val="bottom"/>
          </w:tcPr>
          <w:p w:rsidR="00541891" w:rsidRPr="00CD3A2D" w:rsidRDefault="00541891" w:rsidP="00541891">
            <w:pPr>
              <w:pStyle w:val="Tot"/>
              <w:jc w:val="right"/>
              <w:rPr>
                <w:rFonts w:ascii="Calibri" w:hAnsi="Calibri"/>
                <w:color w:val="000000"/>
                <w:sz w:val="22"/>
                <w:szCs w:val="22"/>
                <w:lang w:val="hr-HR"/>
              </w:rPr>
            </w:pPr>
            <w:r w:rsidRPr="001567C8">
              <w:rPr>
                <w:rFonts w:asciiTheme="minorHAnsi" w:hAnsiTheme="minorHAnsi" w:cs="Arial"/>
                <w:bCs/>
                <w:sz w:val="22"/>
                <w:szCs w:val="22"/>
                <w:lang w:val="hr-HR"/>
              </w:rPr>
              <w:t>(43)</w:t>
            </w:r>
          </w:p>
        </w:tc>
      </w:tr>
      <w:tr w:rsidR="00541891" w:rsidRPr="001567C8" w:rsidTr="002E6924">
        <w:tc>
          <w:tcPr>
            <w:tcW w:w="3450" w:type="pct"/>
          </w:tcPr>
          <w:p w:rsidR="00541891" w:rsidRPr="001567C8" w:rsidRDefault="00541891" w:rsidP="00541891">
            <w:pPr>
              <w:pStyle w:val="Tot"/>
              <w:spacing w:line="300" w:lineRule="exact"/>
              <w:rPr>
                <w:rFonts w:asciiTheme="minorHAnsi" w:hAnsiTheme="minorHAnsi" w:cs="Arial"/>
                <w:bCs/>
                <w:sz w:val="22"/>
                <w:szCs w:val="22"/>
                <w:lang w:val="hr-HR"/>
              </w:rPr>
            </w:pPr>
            <w:r w:rsidRPr="001567C8">
              <w:rPr>
                <w:rFonts w:asciiTheme="minorHAnsi" w:hAnsiTheme="minorHAnsi" w:cs="Arial"/>
                <w:bCs/>
                <w:sz w:val="22"/>
                <w:szCs w:val="22"/>
                <w:lang w:val="hr-HR"/>
              </w:rPr>
              <w:t>Porezno nepriznati troškovi</w:t>
            </w:r>
          </w:p>
        </w:tc>
        <w:tc>
          <w:tcPr>
            <w:tcW w:w="761" w:type="pct"/>
            <w:tcBorders>
              <w:top w:val="nil"/>
              <w:left w:val="nil"/>
              <w:bottom w:val="nil"/>
              <w:right w:val="nil"/>
            </w:tcBorders>
            <w:shd w:val="clear" w:color="auto" w:fill="auto"/>
            <w:vAlign w:val="bottom"/>
          </w:tcPr>
          <w:p w:rsidR="00541891" w:rsidRPr="001567C8" w:rsidRDefault="007152ED" w:rsidP="00541891">
            <w:pPr>
              <w:pStyle w:val="Tot"/>
              <w:jc w:val="right"/>
              <w:rPr>
                <w:rFonts w:asciiTheme="minorHAnsi" w:hAnsiTheme="minorHAnsi" w:cs="Arial"/>
                <w:bCs/>
                <w:sz w:val="22"/>
                <w:szCs w:val="22"/>
                <w:lang w:val="hr-HR"/>
              </w:rPr>
            </w:pPr>
            <w:r w:rsidRPr="001567C8">
              <w:rPr>
                <w:rFonts w:asciiTheme="minorHAnsi" w:hAnsiTheme="minorHAnsi" w:cs="Arial"/>
                <w:bCs/>
                <w:sz w:val="22"/>
                <w:szCs w:val="22"/>
                <w:lang w:val="hr-HR"/>
              </w:rPr>
              <w:t>(2)</w:t>
            </w:r>
          </w:p>
        </w:tc>
        <w:tc>
          <w:tcPr>
            <w:tcW w:w="789" w:type="pct"/>
            <w:tcBorders>
              <w:top w:val="nil"/>
              <w:left w:val="nil"/>
              <w:bottom w:val="nil"/>
              <w:right w:val="nil"/>
            </w:tcBorders>
            <w:shd w:val="clear" w:color="auto" w:fill="auto"/>
            <w:vAlign w:val="bottom"/>
          </w:tcPr>
          <w:p w:rsidR="00541891" w:rsidRPr="001567C8" w:rsidRDefault="00541891" w:rsidP="00541891">
            <w:pPr>
              <w:pStyle w:val="Tot"/>
              <w:jc w:val="right"/>
              <w:rPr>
                <w:rFonts w:asciiTheme="minorHAnsi" w:hAnsiTheme="minorHAnsi" w:cs="Arial"/>
                <w:bCs/>
                <w:sz w:val="22"/>
                <w:szCs w:val="22"/>
                <w:lang w:val="hr-HR"/>
              </w:rPr>
            </w:pPr>
            <w:r w:rsidRPr="001567C8">
              <w:rPr>
                <w:rFonts w:asciiTheme="minorHAnsi" w:hAnsiTheme="minorHAnsi" w:cs="Arial"/>
                <w:bCs/>
                <w:sz w:val="22"/>
                <w:szCs w:val="22"/>
                <w:lang w:val="hr-HR"/>
              </w:rPr>
              <w:t>(5)</w:t>
            </w:r>
          </w:p>
        </w:tc>
      </w:tr>
      <w:tr w:rsidR="00541891" w:rsidRPr="001567C8" w:rsidTr="002E6924">
        <w:tblPrEx>
          <w:tblCellMar>
            <w:left w:w="119" w:type="dxa"/>
            <w:right w:w="119" w:type="dxa"/>
          </w:tblCellMar>
        </w:tblPrEx>
        <w:tc>
          <w:tcPr>
            <w:tcW w:w="3450" w:type="pct"/>
            <w:vAlign w:val="bottom"/>
          </w:tcPr>
          <w:p w:rsidR="00541891" w:rsidRPr="001567C8" w:rsidRDefault="002E6924" w:rsidP="00541891">
            <w:pPr>
              <w:pStyle w:val="Thick"/>
              <w:keepNext w:val="0"/>
              <w:keepLines w:val="0"/>
              <w:spacing w:line="300" w:lineRule="exact"/>
              <w:rPr>
                <w:rFonts w:asciiTheme="minorHAnsi" w:hAnsiTheme="minorHAnsi" w:cs="Arial"/>
                <w:sz w:val="22"/>
                <w:szCs w:val="22"/>
                <w:u w:val="none"/>
                <w:lang w:val="hr-HR"/>
              </w:rPr>
            </w:pPr>
            <w:r w:rsidRPr="001567C8">
              <w:rPr>
                <w:rFonts w:asciiTheme="minorHAnsi" w:hAnsiTheme="minorHAnsi" w:cs="Arial"/>
                <w:sz w:val="22"/>
                <w:szCs w:val="22"/>
                <w:u w:val="none"/>
                <w:lang w:val="hr-HR"/>
              </w:rPr>
              <w:t>Ukupan porez</w:t>
            </w:r>
            <w:r w:rsidR="00541891" w:rsidRPr="001567C8">
              <w:rPr>
                <w:rFonts w:asciiTheme="minorHAnsi" w:hAnsiTheme="minorHAnsi" w:cs="Arial"/>
                <w:sz w:val="22"/>
                <w:szCs w:val="22"/>
                <w:u w:val="none"/>
                <w:lang w:val="hr-HR"/>
              </w:rPr>
              <w:t xml:space="preserve"> na dobit</w:t>
            </w:r>
          </w:p>
        </w:tc>
        <w:tc>
          <w:tcPr>
            <w:tcW w:w="761" w:type="pct"/>
            <w:tcBorders>
              <w:top w:val="single" w:sz="4" w:space="0" w:color="auto"/>
              <w:left w:val="nil"/>
              <w:bottom w:val="single" w:sz="12" w:space="0" w:color="auto"/>
              <w:right w:val="nil"/>
            </w:tcBorders>
            <w:shd w:val="clear" w:color="auto" w:fill="auto"/>
            <w:vAlign w:val="bottom"/>
          </w:tcPr>
          <w:p w:rsidR="00541891" w:rsidRPr="001567C8" w:rsidRDefault="007152ED" w:rsidP="00541891">
            <w:pPr>
              <w:pStyle w:val="TT"/>
              <w:jc w:val="right"/>
              <w:rPr>
                <w:rFonts w:asciiTheme="minorHAnsi" w:hAnsiTheme="minorHAnsi" w:cs="Arial"/>
                <w:b/>
                <w:sz w:val="22"/>
                <w:szCs w:val="22"/>
                <w:lang w:val="hr-HR"/>
              </w:rPr>
            </w:pPr>
            <w:r w:rsidRPr="001567C8">
              <w:rPr>
                <w:rFonts w:asciiTheme="minorHAnsi" w:hAnsiTheme="minorHAnsi" w:cs="Arial"/>
                <w:b/>
                <w:sz w:val="22"/>
                <w:szCs w:val="22"/>
                <w:lang w:val="hr-HR"/>
              </w:rPr>
              <w:t>(26)</w:t>
            </w:r>
          </w:p>
        </w:tc>
        <w:tc>
          <w:tcPr>
            <w:tcW w:w="789" w:type="pct"/>
            <w:tcBorders>
              <w:top w:val="single" w:sz="4" w:space="0" w:color="auto"/>
              <w:left w:val="nil"/>
              <w:bottom w:val="single" w:sz="12" w:space="0" w:color="auto"/>
              <w:right w:val="nil"/>
            </w:tcBorders>
            <w:shd w:val="clear" w:color="auto" w:fill="auto"/>
            <w:vAlign w:val="bottom"/>
          </w:tcPr>
          <w:p w:rsidR="00541891" w:rsidRPr="001567C8" w:rsidRDefault="00541891" w:rsidP="00541891">
            <w:pPr>
              <w:pStyle w:val="TT"/>
              <w:jc w:val="right"/>
              <w:rPr>
                <w:rFonts w:asciiTheme="minorHAnsi" w:hAnsiTheme="minorHAnsi" w:cs="Arial"/>
                <w:b/>
                <w:sz w:val="22"/>
                <w:szCs w:val="22"/>
                <w:lang w:val="hr-HR"/>
              </w:rPr>
            </w:pPr>
            <w:r w:rsidRPr="001567C8">
              <w:rPr>
                <w:rFonts w:asciiTheme="minorHAnsi" w:hAnsiTheme="minorHAnsi" w:cs="Arial"/>
                <w:b/>
                <w:sz w:val="22"/>
                <w:szCs w:val="22"/>
                <w:lang w:val="hr-HR"/>
              </w:rPr>
              <w:t>(102)</w:t>
            </w:r>
          </w:p>
        </w:tc>
      </w:tr>
    </w:tbl>
    <w:p w:rsidR="00881023" w:rsidRPr="001567C8" w:rsidRDefault="00881023" w:rsidP="00062253">
      <w:pPr>
        <w:pStyle w:val="T1"/>
        <w:rPr>
          <w:rFonts w:asciiTheme="minorHAnsi" w:hAnsiTheme="minorHAnsi" w:cs="Arial"/>
          <w:b w:val="0"/>
          <w:sz w:val="22"/>
          <w:szCs w:val="22"/>
          <w:lang w:val="hr-HR"/>
        </w:rPr>
        <w:sectPr w:rsidR="00881023" w:rsidRPr="001567C8" w:rsidSect="000D6913">
          <w:pgSz w:w="11907" w:h="16840" w:code="9"/>
          <w:pgMar w:top="1418" w:right="1134" w:bottom="1134" w:left="1418" w:header="851" w:footer="851" w:gutter="0"/>
          <w:cols w:space="720"/>
          <w:noEndnote/>
        </w:sectPr>
      </w:pPr>
    </w:p>
    <w:p w:rsidR="00666E7A" w:rsidRPr="001567C8" w:rsidRDefault="00666E7A" w:rsidP="00666E7A">
      <w:pPr>
        <w:pStyle w:val="T1"/>
        <w:spacing w:before="0" w:after="0" w:line="240" w:lineRule="auto"/>
        <w:rPr>
          <w:rFonts w:asciiTheme="minorHAnsi" w:hAnsiTheme="minorHAnsi" w:cs="Arial"/>
          <w:sz w:val="22"/>
          <w:szCs w:val="22"/>
          <w:lang w:val="hr-HR"/>
        </w:rPr>
      </w:pPr>
    </w:p>
    <w:p w:rsidR="007B2E67" w:rsidRPr="001567C8" w:rsidRDefault="009D3F50" w:rsidP="00666E7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3</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t>Novčana sredstva i računi kod banaka</w:t>
      </w:r>
    </w:p>
    <w:p w:rsidR="007B2E67" w:rsidRPr="001567C8" w:rsidRDefault="007B2E67" w:rsidP="007B2E67">
      <w:pPr>
        <w:pStyle w:val="T1"/>
        <w:spacing w:before="0" w:after="0" w:line="240" w:lineRule="auto"/>
        <w:rPr>
          <w:rFonts w:asciiTheme="minorHAnsi" w:hAnsiTheme="minorHAnsi" w:cs="Arial"/>
          <w:sz w:val="22"/>
          <w:szCs w:val="22"/>
          <w:lang w:val="hr-HR"/>
        </w:rPr>
      </w:pPr>
    </w:p>
    <w:tbl>
      <w:tblPr>
        <w:tblW w:w="5076" w:type="pct"/>
        <w:tblInd w:w="-142" w:type="dxa"/>
        <w:tblLook w:val="0000" w:firstRow="0" w:lastRow="0" w:firstColumn="0" w:lastColumn="0" w:noHBand="0" w:noVBand="0"/>
      </w:tblPr>
      <w:tblGrid>
        <w:gridCol w:w="3791"/>
        <w:gridCol w:w="1409"/>
        <w:gridCol w:w="1444"/>
        <w:gridCol w:w="1409"/>
        <w:gridCol w:w="1444"/>
      </w:tblGrid>
      <w:tr w:rsidR="00410917" w:rsidRPr="001567C8" w:rsidTr="00314EA7">
        <w:trPr>
          <w:trHeight w:val="341"/>
        </w:trPr>
        <w:tc>
          <w:tcPr>
            <w:tcW w:w="1996" w:type="pct"/>
          </w:tcPr>
          <w:p w:rsidR="00410917" w:rsidRPr="001567C8" w:rsidRDefault="00410917" w:rsidP="00A9423D">
            <w:pPr>
              <w:tabs>
                <w:tab w:val="left" w:pos="-720"/>
              </w:tabs>
              <w:suppressAutoHyphens/>
              <w:rPr>
                <w:rFonts w:asciiTheme="minorHAnsi" w:hAnsiTheme="minorHAnsi" w:cs="Arial"/>
                <w:sz w:val="20"/>
                <w:szCs w:val="20"/>
                <w:lang w:val="hr-HR"/>
              </w:rPr>
            </w:pPr>
          </w:p>
        </w:tc>
        <w:tc>
          <w:tcPr>
            <w:tcW w:w="1502" w:type="pct"/>
            <w:gridSpan w:val="2"/>
            <w:vAlign w:val="bottom"/>
          </w:tcPr>
          <w:p w:rsidR="00410917" w:rsidRPr="001567C8" w:rsidRDefault="00410917">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Grupa</w:t>
            </w:r>
          </w:p>
        </w:tc>
        <w:tc>
          <w:tcPr>
            <w:tcW w:w="1502" w:type="pct"/>
            <w:gridSpan w:val="2"/>
            <w:vAlign w:val="bottom"/>
          </w:tcPr>
          <w:p w:rsidR="00410917" w:rsidRPr="001567C8" w:rsidRDefault="00410917">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Banka</w:t>
            </w:r>
          </w:p>
        </w:tc>
      </w:tr>
      <w:tr w:rsidR="00541891" w:rsidRPr="001567C8" w:rsidTr="00314EA7">
        <w:tc>
          <w:tcPr>
            <w:tcW w:w="1996" w:type="pct"/>
          </w:tcPr>
          <w:p w:rsidR="00541891" w:rsidRPr="001567C8" w:rsidRDefault="00541891" w:rsidP="00541891">
            <w:pPr>
              <w:tabs>
                <w:tab w:val="left" w:pos="-720"/>
              </w:tabs>
              <w:suppressAutoHyphens/>
              <w:rPr>
                <w:rFonts w:asciiTheme="minorHAnsi" w:hAnsiTheme="minorHAnsi" w:cs="Arial"/>
                <w:sz w:val="20"/>
                <w:szCs w:val="20"/>
                <w:lang w:val="hr-HR"/>
              </w:rPr>
            </w:pPr>
          </w:p>
        </w:tc>
        <w:tc>
          <w:tcPr>
            <w:tcW w:w="742" w:type="pct"/>
            <w:vAlign w:val="bottom"/>
          </w:tcPr>
          <w:p w:rsidR="00541891" w:rsidRPr="001567C8" w:rsidRDefault="003275E1" w:rsidP="00541891">
            <w:pPr>
              <w:pStyle w:val="TH"/>
              <w:jc w:val="right"/>
              <w:rPr>
                <w:rFonts w:asciiTheme="minorHAnsi" w:hAnsiTheme="minorHAnsi" w:cs="Arial"/>
                <w:sz w:val="20"/>
                <w:lang w:val="hr-HR"/>
              </w:rPr>
            </w:pPr>
            <w:r w:rsidRPr="001567C8">
              <w:rPr>
                <w:rFonts w:asciiTheme="minorHAnsi" w:hAnsiTheme="minorHAnsi" w:cs="Arial"/>
                <w:sz w:val="20"/>
                <w:lang w:val="hr-HR"/>
              </w:rPr>
              <w:t>31.</w:t>
            </w:r>
            <w:r w:rsidR="0001590F">
              <w:rPr>
                <w:rFonts w:asciiTheme="minorHAnsi" w:hAnsiTheme="minorHAnsi" w:cs="Arial"/>
                <w:sz w:val="20"/>
                <w:lang w:val="hr-HR"/>
              </w:rPr>
              <w:t xml:space="preserve"> prosin</w:t>
            </w:r>
            <w:r w:rsidR="00513229" w:rsidRPr="001567C8">
              <w:rPr>
                <w:rFonts w:asciiTheme="minorHAnsi" w:hAnsiTheme="minorHAnsi" w:cs="Arial"/>
                <w:sz w:val="20"/>
                <w:lang w:val="hr-HR"/>
              </w:rPr>
              <w:t>c</w:t>
            </w:r>
            <w:r w:rsidR="0001590F">
              <w:rPr>
                <w:rFonts w:asciiTheme="minorHAnsi" w:hAnsiTheme="minorHAnsi" w:cs="Arial"/>
                <w:sz w:val="20"/>
                <w:lang w:val="hr-HR"/>
              </w:rPr>
              <w:t>a</w:t>
            </w:r>
            <w:r w:rsidR="00513229" w:rsidRPr="001567C8">
              <w:rPr>
                <w:rFonts w:asciiTheme="minorHAnsi" w:hAnsiTheme="minorHAnsi" w:cs="Arial"/>
                <w:sz w:val="20"/>
                <w:lang w:val="hr-HR"/>
              </w:rPr>
              <w:t xml:space="preserve"> </w:t>
            </w:r>
            <w:r w:rsidR="00541891" w:rsidRPr="001567C8">
              <w:rPr>
                <w:rFonts w:asciiTheme="minorHAnsi" w:hAnsiTheme="minorHAnsi" w:cs="Arial"/>
                <w:sz w:val="20"/>
                <w:lang w:val="hr-HR"/>
              </w:rPr>
              <w:t>2018.</w:t>
            </w:r>
          </w:p>
        </w:tc>
        <w:tc>
          <w:tcPr>
            <w:tcW w:w="760" w:type="pct"/>
            <w:vAlign w:val="bottom"/>
          </w:tcPr>
          <w:p w:rsidR="00541891" w:rsidRPr="001567C8" w:rsidRDefault="0001590F" w:rsidP="00541891">
            <w:pPr>
              <w:pStyle w:val="TH"/>
              <w:jc w:val="right"/>
              <w:rPr>
                <w:rFonts w:asciiTheme="minorHAnsi" w:hAnsiTheme="minorHAnsi" w:cs="Arial"/>
                <w:sz w:val="20"/>
                <w:lang w:val="hr-HR"/>
              </w:rPr>
            </w:pPr>
            <w:r w:rsidRPr="001567C8">
              <w:rPr>
                <w:rFonts w:asciiTheme="minorHAnsi" w:hAnsiTheme="minorHAnsi" w:cs="Arial"/>
                <w:sz w:val="20"/>
                <w:lang w:val="hr-HR"/>
              </w:rPr>
              <w:t>31.</w:t>
            </w:r>
            <w:r>
              <w:rPr>
                <w:rFonts w:asciiTheme="minorHAnsi" w:hAnsiTheme="minorHAnsi" w:cs="Arial"/>
                <w:sz w:val="20"/>
                <w:lang w:val="hr-HR"/>
              </w:rPr>
              <w:t xml:space="preserve">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541891" w:rsidRPr="001567C8">
              <w:rPr>
                <w:rFonts w:asciiTheme="minorHAnsi" w:hAnsiTheme="minorHAnsi" w:cs="Arial"/>
                <w:sz w:val="20"/>
                <w:lang w:val="hr-HR"/>
              </w:rPr>
              <w:t>2017.</w:t>
            </w:r>
          </w:p>
        </w:tc>
        <w:tc>
          <w:tcPr>
            <w:tcW w:w="742" w:type="pct"/>
            <w:vAlign w:val="bottom"/>
          </w:tcPr>
          <w:p w:rsidR="00541891" w:rsidRPr="001567C8" w:rsidRDefault="0001590F" w:rsidP="00541891">
            <w:pPr>
              <w:pStyle w:val="TH"/>
              <w:jc w:val="right"/>
              <w:rPr>
                <w:rFonts w:asciiTheme="minorHAnsi" w:hAnsiTheme="minorHAnsi" w:cs="Arial"/>
                <w:sz w:val="20"/>
                <w:lang w:val="hr-HR"/>
              </w:rPr>
            </w:pPr>
            <w:r w:rsidRPr="001567C8">
              <w:rPr>
                <w:rFonts w:asciiTheme="minorHAnsi" w:hAnsiTheme="minorHAnsi" w:cs="Arial"/>
                <w:sz w:val="20"/>
                <w:lang w:val="hr-HR"/>
              </w:rPr>
              <w:t>31.</w:t>
            </w:r>
            <w:r>
              <w:rPr>
                <w:rFonts w:asciiTheme="minorHAnsi" w:hAnsiTheme="minorHAnsi" w:cs="Arial"/>
                <w:sz w:val="20"/>
                <w:lang w:val="hr-HR"/>
              </w:rPr>
              <w:t xml:space="preserve">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541891" w:rsidRPr="001567C8">
              <w:rPr>
                <w:rFonts w:asciiTheme="minorHAnsi" w:hAnsiTheme="minorHAnsi" w:cs="Arial"/>
                <w:sz w:val="20"/>
                <w:lang w:val="hr-HR"/>
              </w:rPr>
              <w:t>2018.</w:t>
            </w:r>
          </w:p>
        </w:tc>
        <w:tc>
          <w:tcPr>
            <w:tcW w:w="760" w:type="pct"/>
            <w:vAlign w:val="bottom"/>
          </w:tcPr>
          <w:p w:rsidR="00541891" w:rsidRPr="001567C8" w:rsidRDefault="0001590F" w:rsidP="00541891">
            <w:pPr>
              <w:pStyle w:val="TH"/>
              <w:jc w:val="right"/>
              <w:rPr>
                <w:rFonts w:asciiTheme="minorHAnsi" w:hAnsiTheme="minorHAnsi" w:cs="Arial"/>
                <w:sz w:val="20"/>
                <w:lang w:val="hr-HR"/>
              </w:rPr>
            </w:pPr>
            <w:r w:rsidRPr="001567C8">
              <w:rPr>
                <w:rFonts w:asciiTheme="minorHAnsi" w:hAnsiTheme="minorHAnsi" w:cs="Arial"/>
                <w:sz w:val="20"/>
                <w:lang w:val="hr-HR"/>
              </w:rPr>
              <w:t>31.</w:t>
            </w:r>
            <w:r>
              <w:rPr>
                <w:rFonts w:asciiTheme="minorHAnsi" w:hAnsiTheme="minorHAnsi" w:cs="Arial"/>
                <w:sz w:val="20"/>
                <w:lang w:val="hr-HR"/>
              </w:rPr>
              <w:t xml:space="preserve">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541891" w:rsidRPr="001567C8">
              <w:rPr>
                <w:rFonts w:asciiTheme="minorHAnsi" w:hAnsiTheme="minorHAnsi" w:cs="Arial"/>
                <w:sz w:val="20"/>
                <w:lang w:val="hr-HR"/>
              </w:rPr>
              <w:t>2017.</w:t>
            </w:r>
          </w:p>
        </w:tc>
      </w:tr>
      <w:tr w:rsidR="00BA0C05" w:rsidRPr="001567C8" w:rsidTr="00314EA7">
        <w:tc>
          <w:tcPr>
            <w:tcW w:w="1996" w:type="pct"/>
          </w:tcPr>
          <w:p w:rsidR="00BA0C05" w:rsidRPr="001567C8" w:rsidRDefault="00BA0C05" w:rsidP="00BA0C05">
            <w:pPr>
              <w:tabs>
                <w:tab w:val="left" w:pos="-720"/>
              </w:tabs>
              <w:suppressAutoHyphens/>
              <w:rPr>
                <w:rFonts w:asciiTheme="minorHAnsi" w:hAnsiTheme="minorHAnsi" w:cs="Arial"/>
                <w:sz w:val="20"/>
                <w:szCs w:val="20"/>
                <w:lang w:val="hr-HR"/>
              </w:rPr>
            </w:pPr>
          </w:p>
        </w:tc>
        <w:tc>
          <w:tcPr>
            <w:tcW w:w="742" w:type="pct"/>
          </w:tcPr>
          <w:p w:rsidR="00BA0C05" w:rsidRPr="001567C8" w:rsidRDefault="00BA0C05" w:rsidP="00BA0C05">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c>
          <w:tcPr>
            <w:tcW w:w="760" w:type="pct"/>
          </w:tcPr>
          <w:p w:rsidR="00BA0C05" w:rsidRPr="001567C8" w:rsidRDefault="00BA0C05" w:rsidP="00BA0C05">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c>
          <w:tcPr>
            <w:tcW w:w="742" w:type="pct"/>
          </w:tcPr>
          <w:p w:rsidR="00BA0C05" w:rsidRPr="001567C8" w:rsidRDefault="00BA0C05" w:rsidP="00BA0C05">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c>
          <w:tcPr>
            <w:tcW w:w="760" w:type="pct"/>
          </w:tcPr>
          <w:p w:rsidR="00BA0C05" w:rsidRPr="001567C8" w:rsidRDefault="00BA0C05" w:rsidP="00BA0C05">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r>
      <w:tr w:rsidR="00B004D0" w:rsidRPr="001567C8" w:rsidTr="00314EA7">
        <w:trPr>
          <w:trHeight w:val="550"/>
        </w:trPr>
        <w:tc>
          <w:tcPr>
            <w:tcW w:w="1996" w:type="pct"/>
            <w:vAlign w:val="center"/>
          </w:tcPr>
          <w:p w:rsidR="00B004D0" w:rsidRPr="001567C8" w:rsidRDefault="00B004D0" w:rsidP="00B004D0">
            <w:pPr>
              <w:pStyle w:val="TT"/>
              <w:spacing w:line="240" w:lineRule="exact"/>
              <w:rPr>
                <w:rFonts w:asciiTheme="minorHAnsi" w:hAnsiTheme="minorHAnsi" w:cs="Arial"/>
                <w:sz w:val="20"/>
                <w:lang w:val="hr-HR"/>
              </w:rPr>
            </w:pPr>
            <w:r w:rsidRPr="001567C8">
              <w:rPr>
                <w:rFonts w:asciiTheme="minorHAnsi" w:hAnsiTheme="minorHAnsi" w:cs="Arial"/>
                <w:sz w:val="20"/>
                <w:lang w:val="hr-HR"/>
              </w:rPr>
              <w:t>Sredstva izdvojena na računu kod Hrvatske narodne banke</w:t>
            </w:r>
          </w:p>
        </w:tc>
        <w:tc>
          <w:tcPr>
            <w:tcW w:w="742" w:type="pct"/>
            <w:tcBorders>
              <w:top w:val="nil"/>
              <w:left w:val="nil"/>
              <w:bottom w:val="nil"/>
              <w:right w:val="nil"/>
            </w:tcBorders>
            <w:shd w:val="clear" w:color="auto" w:fill="auto"/>
            <w:vAlign w:val="bottom"/>
          </w:tcPr>
          <w:p w:rsidR="00B004D0" w:rsidRPr="001567C8" w:rsidRDefault="00B004D0">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921.278</w:t>
            </w:r>
          </w:p>
        </w:tc>
        <w:tc>
          <w:tcPr>
            <w:tcW w:w="760" w:type="pct"/>
            <w:tcBorders>
              <w:top w:val="nil"/>
              <w:left w:val="nil"/>
              <w:bottom w:val="nil"/>
              <w:right w:val="nil"/>
            </w:tcBorders>
            <w:shd w:val="clear" w:color="auto" w:fill="auto"/>
            <w:vAlign w:val="bottom"/>
          </w:tcPr>
          <w:p w:rsidR="00B004D0" w:rsidRPr="001567C8" w:rsidRDefault="00B004D0">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1.316.5</w:t>
            </w:r>
            <w:r w:rsidR="004536EF" w:rsidRPr="00CD3A2D">
              <w:rPr>
                <w:rFonts w:ascii="Calibri" w:hAnsi="Calibri" w:cs="Calibri"/>
                <w:color w:val="000000"/>
                <w:sz w:val="20"/>
                <w:lang w:val="hr-HR"/>
              </w:rPr>
              <w:t>20</w:t>
            </w:r>
          </w:p>
        </w:tc>
        <w:tc>
          <w:tcPr>
            <w:tcW w:w="742" w:type="pct"/>
            <w:tcBorders>
              <w:top w:val="nil"/>
              <w:left w:val="nil"/>
              <w:bottom w:val="nil"/>
              <w:right w:val="nil"/>
            </w:tcBorders>
            <w:shd w:val="clear" w:color="auto" w:fill="auto"/>
            <w:vAlign w:val="bottom"/>
          </w:tcPr>
          <w:p w:rsidR="00B004D0" w:rsidRPr="001567C8" w:rsidRDefault="00B004D0">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921.278</w:t>
            </w:r>
          </w:p>
        </w:tc>
        <w:tc>
          <w:tcPr>
            <w:tcW w:w="760" w:type="pct"/>
            <w:tcBorders>
              <w:top w:val="nil"/>
              <w:left w:val="nil"/>
              <w:bottom w:val="nil"/>
              <w:right w:val="nil"/>
            </w:tcBorders>
            <w:shd w:val="clear" w:color="auto" w:fill="auto"/>
            <w:vAlign w:val="bottom"/>
          </w:tcPr>
          <w:p w:rsidR="00B004D0" w:rsidRPr="001567C8" w:rsidRDefault="00B004D0">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1.316.5</w:t>
            </w:r>
            <w:r w:rsidR="004536EF" w:rsidRPr="00CD3A2D">
              <w:rPr>
                <w:rFonts w:ascii="Calibri" w:hAnsi="Calibri" w:cs="Calibri"/>
                <w:color w:val="000000"/>
                <w:sz w:val="20"/>
                <w:lang w:val="hr-HR"/>
              </w:rPr>
              <w:t>20</w:t>
            </w:r>
          </w:p>
        </w:tc>
      </w:tr>
      <w:tr w:rsidR="00314EA7" w:rsidRPr="001567C8" w:rsidTr="00314EA7">
        <w:trPr>
          <w:trHeight w:val="377"/>
        </w:trPr>
        <w:tc>
          <w:tcPr>
            <w:tcW w:w="1996" w:type="pct"/>
            <w:vAlign w:val="center"/>
          </w:tcPr>
          <w:p w:rsidR="00314EA7" w:rsidRPr="001567C8" w:rsidRDefault="00314EA7" w:rsidP="00314EA7">
            <w:pPr>
              <w:pStyle w:val="TT"/>
              <w:spacing w:line="240" w:lineRule="exact"/>
              <w:rPr>
                <w:rFonts w:asciiTheme="minorHAnsi" w:hAnsiTheme="minorHAnsi" w:cs="Arial"/>
                <w:sz w:val="20"/>
                <w:lang w:val="hr-HR"/>
              </w:rPr>
            </w:pPr>
            <w:r w:rsidRPr="001567C8">
              <w:rPr>
                <w:rFonts w:asciiTheme="minorHAnsi" w:hAnsiTheme="minorHAnsi" w:cs="Arial"/>
                <w:sz w:val="20"/>
                <w:lang w:val="hr-HR"/>
              </w:rPr>
              <w:t>Blagajna</w:t>
            </w:r>
          </w:p>
        </w:tc>
        <w:tc>
          <w:tcPr>
            <w:tcW w:w="742" w:type="pct"/>
            <w:tcBorders>
              <w:top w:val="nil"/>
              <w:left w:val="nil"/>
              <w:bottom w:val="nil"/>
              <w:right w:val="nil"/>
            </w:tcBorders>
            <w:shd w:val="clear" w:color="auto" w:fill="auto"/>
            <w:vAlign w:val="bottom"/>
          </w:tcPr>
          <w:p w:rsidR="00314EA7" w:rsidRPr="00CD3A2D" w:rsidRDefault="00314EA7" w:rsidP="00314EA7">
            <w:pPr>
              <w:pStyle w:val="TT"/>
              <w:spacing w:line="240" w:lineRule="exact"/>
              <w:jc w:val="right"/>
              <w:rPr>
                <w:rFonts w:asciiTheme="minorHAnsi" w:hAnsiTheme="minorHAnsi" w:cstheme="minorHAnsi"/>
                <w:color w:val="000000"/>
                <w:sz w:val="20"/>
                <w:lang w:val="hr-HR"/>
              </w:rPr>
            </w:pPr>
            <w:r w:rsidRPr="00CD3A2D">
              <w:rPr>
                <w:rFonts w:asciiTheme="minorHAnsi" w:hAnsiTheme="minorHAnsi" w:cstheme="minorHAnsi"/>
                <w:sz w:val="20"/>
                <w:lang w:val="hr-HR"/>
              </w:rPr>
              <w:t>2</w:t>
            </w:r>
          </w:p>
        </w:tc>
        <w:tc>
          <w:tcPr>
            <w:tcW w:w="760" w:type="pct"/>
            <w:tcBorders>
              <w:top w:val="nil"/>
              <w:left w:val="nil"/>
              <w:bottom w:val="nil"/>
              <w:right w:val="nil"/>
            </w:tcBorders>
            <w:shd w:val="clear" w:color="auto" w:fill="auto"/>
            <w:vAlign w:val="bottom"/>
          </w:tcPr>
          <w:p w:rsidR="00314EA7" w:rsidRPr="00CD3A2D" w:rsidRDefault="00314EA7" w:rsidP="00314EA7">
            <w:pPr>
              <w:pStyle w:val="TT"/>
              <w:spacing w:line="240" w:lineRule="exact"/>
              <w:jc w:val="right"/>
              <w:rPr>
                <w:rFonts w:asciiTheme="minorHAnsi" w:hAnsiTheme="minorHAnsi" w:cstheme="minorHAnsi"/>
                <w:color w:val="000000"/>
                <w:sz w:val="20"/>
                <w:lang w:val="hr-HR"/>
              </w:rPr>
            </w:pPr>
            <w:r w:rsidRPr="00CD3A2D">
              <w:rPr>
                <w:rFonts w:asciiTheme="minorHAnsi" w:hAnsiTheme="minorHAnsi" w:cstheme="minorHAnsi"/>
                <w:sz w:val="20"/>
                <w:lang w:val="hr-HR"/>
              </w:rPr>
              <w:t>16</w:t>
            </w:r>
          </w:p>
        </w:tc>
        <w:tc>
          <w:tcPr>
            <w:tcW w:w="742" w:type="pct"/>
            <w:tcBorders>
              <w:top w:val="nil"/>
              <w:left w:val="nil"/>
              <w:bottom w:val="nil"/>
              <w:right w:val="nil"/>
            </w:tcBorders>
            <w:shd w:val="clear" w:color="auto" w:fill="auto"/>
            <w:vAlign w:val="bottom"/>
          </w:tcPr>
          <w:p w:rsidR="00314EA7" w:rsidRPr="00CD3A2D" w:rsidRDefault="00314EA7" w:rsidP="00314EA7">
            <w:pPr>
              <w:pStyle w:val="TT"/>
              <w:spacing w:line="240" w:lineRule="exact"/>
              <w:jc w:val="right"/>
              <w:rPr>
                <w:rFonts w:asciiTheme="minorHAnsi" w:hAnsiTheme="minorHAnsi" w:cstheme="minorHAnsi"/>
                <w:color w:val="000000"/>
                <w:sz w:val="20"/>
                <w:lang w:val="hr-HR"/>
              </w:rPr>
            </w:pPr>
            <w:r w:rsidRPr="00CD3A2D">
              <w:rPr>
                <w:rFonts w:asciiTheme="minorHAnsi" w:hAnsiTheme="minorHAnsi" w:cstheme="minorHAnsi"/>
                <w:sz w:val="20"/>
                <w:lang w:val="hr-HR"/>
              </w:rPr>
              <w:t>2</w:t>
            </w:r>
          </w:p>
        </w:tc>
        <w:tc>
          <w:tcPr>
            <w:tcW w:w="760" w:type="pct"/>
            <w:tcBorders>
              <w:top w:val="nil"/>
              <w:left w:val="nil"/>
              <w:bottom w:val="nil"/>
              <w:right w:val="nil"/>
            </w:tcBorders>
            <w:shd w:val="clear" w:color="auto" w:fill="auto"/>
            <w:vAlign w:val="bottom"/>
          </w:tcPr>
          <w:p w:rsidR="00314EA7" w:rsidRPr="00CD3A2D" w:rsidRDefault="00314EA7" w:rsidP="00314EA7">
            <w:pPr>
              <w:pStyle w:val="TT"/>
              <w:spacing w:line="240" w:lineRule="exact"/>
              <w:jc w:val="right"/>
              <w:rPr>
                <w:rFonts w:asciiTheme="minorHAnsi" w:hAnsiTheme="minorHAnsi" w:cstheme="minorHAnsi"/>
                <w:color w:val="000000"/>
                <w:sz w:val="20"/>
                <w:lang w:val="hr-HR"/>
              </w:rPr>
            </w:pPr>
            <w:r w:rsidRPr="00CD3A2D">
              <w:rPr>
                <w:rFonts w:asciiTheme="minorHAnsi" w:hAnsiTheme="minorHAnsi" w:cstheme="minorHAnsi"/>
                <w:sz w:val="20"/>
                <w:lang w:val="hr-HR"/>
              </w:rPr>
              <w:t>16</w:t>
            </w:r>
          </w:p>
        </w:tc>
      </w:tr>
      <w:tr w:rsidR="00314EA7" w:rsidRPr="001567C8" w:rsidTr="00314EA7">
        <w:trPr>
          <w:trHeight w:val="377"/>
        </w:trPr>
        <w:tc>
          <w:tcPr>
            <w:tcW w:w="1996" w:type="pct"/>
            <w:vAlign w:val="center"/>
          </w:tcPr>
          <w:p w:rsidR="00314EA7" w:rsidRPr="001567C8" w:rsidRDefault="00314EA7" w:rsidP="00314EA7">
            <w:pPr>
              <w:pStyle w:val="TT"/>
              <w:spacing w:line="240" w:lineRule="exact"/>
              <w:rPr>
                <w:rFonts w:asciiTheme="minorHAnsi" w:hAnsiTheme="minorHAnsi" w:cs="Arial"/>
                <w:sz w:val="20"/>
                <w:lang w:val="hr-HR"/>
              </w:rPr>
            </w:pPr>
            <w:r w:rsidRPr="001567C8">
              <w:rPr>
                <w:rFonts w:asciiTheme="minorHAnsi" w:hAnsiTheme="minorHAnsi" w:cs="Arial"/>
                <w:sz w:val="20"/>
                <w:lang w:val="hr-HR"/>
              </w:rPr>
              <w:t>Devizni tekući računi - domaće banke</w:t>
            </w:r>
          </w:p>
        </w:tc>
        <w:tc>
          <w:tcPr>
            <w:tcW w:w="742"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6.232</w:t>
            </w:r>
          </w:p>
        </w:tc>
        <w:tc>
          <w:tcPr>
            <w:tcW w:w="760"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1.544</w:t>
            </w:r>
          </w:p>
        </w:tc>
        <w:tc>
          <w:tcPr>
            <w:tcW w:w="742"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6.231</w:t>
            </w:r>
          </w:p>
        </w:tc>
        <w:tc>
          <w:tcPr>
            <w:tcW w:w="760"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1.544</w:t>
            </w:r>
          </w:p>
        </w:tc>
      </w:tr>
      <w:tr w:rsidR="00314EA7" w:rsidRPr="001567C8" w:rsidTr="00314EA7">
        <w:trPr>
          <w:trHeight w:val="377"/>
        </w:trPr>
        <w:tc>
          <w:tcPr>
            <w:tcW w:w="1996" w:type="pct"/>
            <w:vAlign w:val="center"/>
          </w:tcPr>
          <w:p w:rsidR="00314EA7" w:rsidRPr="001567C8" w:rsidRDefault="00314EA7" w:rsidP="00314EA7">
            <w:pPr>
              <w:pStyle w:val="TT"/>
              <w:spacing w:line="240" w:lineRule="exact"/>
              <w:rPr>
                <w:rFonts w:asciiTheme="minorHAnsi" w:hAnsiTheme="minorHAnsi" w:cs="Arial"/>
                <w:sz w:val="20"/>
                <w:lang w:val="hr-HR"/>
              </w:rPr>
            </w:pPr>
            <w:r w:rsidRPr="001567C8">
              <w:rPr>
                <w:rFonts w:asciiTheme="minorHAnsi" w:hAnsiTheme="minorHAnsi" w:cs="Arial"/>
                <w:sz w:val="20"/>
                <w:lang w:val="hr-HR"/>
              </w:rPr>
              <w:t>Devizni tekući računi - inozemne banke</w:t>
            </w:r>
          </w:p>
        </w:tc>
        <w:tc>
          <w:tcPr>
            <w:tcW w:w="742"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18.129</w:t>
            </w:r>
          </w:p>
        </w:tc>
        <w:tc>
          <w:tcPr>
            <w:tcW w:w="760"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83.924</w:t>
            </w:r>
          </w:p>
        </w:tc>
        <w:tc>
          <w:tcPr>
            <w:tcW w:w="742"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15.211</w:t>
            </w:r>
          </w:p>
        </w:tc>
        <w:tc>
          <w:tcPr>
            <w:tcW w:w="760"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83.924</w:t>
            </w:r>
          </w:p>
        </w:tc>
      </w:tr>
      <w:tr w:rsidR="00314EA7" w:rsidRPr="001567C8" w:rsidTr="00314EA7">
        <w:trPr>
          <w:trHeight w:val="377"/>
        </w:trPr>
        <w:tc>
          <w:tcPr>
            <w:tcW w:w="1996" w:type="pct"/>
            <w:vAlign w:val="center"/>
          </w:tcPr>
          <w:p w:rsidR="00314EA7" w:rsidRPr="001567C8" w:rsidRDefault="00314EA7" w:rsidP="00314EA7">
            <w:pPr>
              <w:pStyle w:val="TT"/>
              <w:spacing w:line="240" w:lineRule="exact"/>
              <w:rPr>
                <w:rFonts w:asciiTheme="minorHAnsi" w:hAnsiTheme="minorHAnsi" w:cs="Arial"/>
                <w:sz w:val="20"/>
                <w:lang w:val="hr-HR"/>
              </w:rPr>
            </w:pPr>
            <w:r w:rsidRPr="001567C8">
              <w:rPr>
                <w:rFonts w:asciiTheme="minorHAnsi" w:hAnsiTheme="minorHAnsi" w:cs="Arial"/>
                <w:sz w:val="20"/>
                <w:lang w:val="hr-HR"/>
              </w:rPr>
              <w:t>Kunski tekući računi - domaće banke</w:t>
            </w:r>
          </w:p>
        </w:tc>
        <w:tc>
          <w:tcPr>
            <w:tcW w:w="742"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444</w:t>
            </w:r>
          </w:p>
        </w:tc>
        <w:tc>
          <w:tcPr>
            <w:tcW w:w="760"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2.534</w:t>
            </w:r>
          </w:p>
        </w:tc>
        <w:tc>
          <w:tcPr>
            <w:tcW w:w="742"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w:t>
            </w:r>
          </w:p>
        </w:tc>
        <w:tc>
          <w:tcPr>
            <w:tcW w:w="760" w:type="pct"/>
            <w:tcBorders>
              <w:top w:val="nil"/>
              <w:left w:val="nil"/>
              <w:bottom w:val="nil"/>
              <w:right w:val="nil"/>
            </w:tcBorders>
            <w:shd w:val="clear" w:color="auto" w:fill="auto"/>
            <w:vAlign w:val="center"/>
          </w:tcPr>
          <w:p w:rsidR="00314EA7" w:rsidRPr="001567C8" w:rsidRDefault="00314EA7" w:rsidP="00314EA7">
            <w:pPr>
              <w:pStyle w:val="TT"/>
              <w:spacing w:line="240" w:lineRule="exact"/>
              <w:jc w:val="right"/>
              <w:rPr>
                <w:rFonts w:asciiTheme="minorHAnsi" w:hAnsiTheme="minorHAnsi" w:cs="Arial"/>
                <w:sz w:val="20"/>
                <w:lang w:val="hr-HR"/>
              </w:rPr>
            </w:pPr>
            <w:r w:rsidRPr="00CD3A2D">
              <w:rPr>
                <w:rFonts w:ascii="Calibri" w:hAnsi="Calibri" w:cs="Calibri"/>
                <w:color w:val="000000"/>
                <w:sz w:val="20"/>
                <w:lang w:val="hr-HR"/>
              </w:rPr>
              <w:t>-</w:t>
            </w:r>
          </w:p>
        </w:tc>
      </w:tr>
      <w:tr w:rsidR="00541891" w:rsidRPr="001567C8" w:rsidTr="00314EA7">
        <w:tc>
          <w:tcPr>
            <w:tcW w:w="1996" w:type="pct"/>
          </w:tcPr>
          <w:p w:rsidR="00541891" w:rsidRPr="001567C8" w:rsidRDefault="00541891" w:rsidP="00541891">
            <w:pPr>
              <w:pStyle w:val="TT"/>
              <w:spacing w:line="240" w:lineRule="exact"/>
              <w:rPr>
                <w:rFonts w:asciiTheme="minorHAnsi" w:hAnsiTheme="minorHAnsi" w:cs="Arial"/>
                <w:iCs/>
                <w:sz w:val="20"/>
                <w:lang w:val="hr-HR"/>
              </w:rPr>
            </w:pPr>
          </w:p>
        </w:tc>
        <w:tc>
          <w:tcPr>
            <w:tcW w:w="742" w:type="pct"/>
            <w:tcBorders>
              <w:top w:val="single" w:sz="4" w:space="0" w:color="auto"/>
              <w:bottom w:val="single" w:sz="4" w:space="0" w:color="auto"/>
            </w:tcBorders>
            <w:vAlign w:val="bottom"/>
          </w:tcPr>
          <w:p w:rsidR="00541891" w:rsidRPr="001567C8" w:rsidRDefault="00DB7F78" w:rsidP="00541891">
            <w:pPr>
              <w:pStyle w:val="Tot"/>
              <w:spacing w:line="240" w:lineRule="exact"/>
              <w:jc w:val="right"/>
              <w:rPr>
                <w:rFonts w:asciiTheme="minorHAnsi" w:hAnsiTheme="minorHAnsi" w:cs="Arial"/>
                <w:sz w:val="20"/>
                <w:lang w:val="hr-HR"/>
              </w:rPr>
            </w:pPr>
            <w:r w:rsidRPr="001567C8">
              <w:rPr>
                <w:rFonts w:asciiTheme="minorHAnsi" w:hAnsiTheme="minorHAnsi" w:cs="Arial"/>
                <w:sz w:val="20"/>
                <w:lang w:val="hr-HR"/>
              </w:rPr>
              <w:t>946.085</w:t>
            </w:r>
          </w:p>
        </w:tc>
        <w:tc>
          <w:tcPr>
            <w:tcW w:w="760" w:type="pct"/>
            <w:tcBorders>
              <w:top w:val="single" w:sz="4" w:space="0" w:color="auto"/>
              <w:bottom w:val="single" w:sz="4" w:space="0" w:color="auto"/>
            </w:tcBorders>
            <w:vAlign w:val="bottom"/>
          </w:tcPr>
          <w:p w:rsidR="00541891" w:rsidRPr="001567C8" w:rsidRDefault="00541891" w:rsidP="00541891">
            <w:pPr>
              <w:pStyle w:val="Tot"/>
              <w:spacing w:line="240" w:lineRule="exact"/>
              <w:jc w:val="right"/>
              <w:rPr>
                <w:rFonts w:asciiTheme="minorHAnsi" w:hAnsiTheme="minorHAnsi" w:cs="Arial"/>
                <w:sz w:val="20"/>
                <w:lang w:val="hr-HR"/>
              </w:rPr>
            </w:pPr>
            <w:r w:rsidRPr="001567C8">
              <w:rPr>
                <w:rFonts w:asciiTheme="minorHAnsi" w:hAnsiTheme="minorHAnsi" w:cs="Arial"/>
                <w:sz w:val="20"/>
                <w:lang w:val="hr-HR"/>
              </w:rPr>
              <w:t>1.404.538</w:t>
            </w:r>
          </w:p>
        </w:tc>
        <w:tc>
          <w:tcPr>
            <w:tcW w:w="742" w:type="pct"/>
            <w:tcBorders>
              <w:top w:val="single" w:sz="4" w:space="0" w:color="auto"/>
              <w:bottom w:val="single" w:sz="4" w:space="0" w:color="auto"/>
            </w:tcBorders>
            <w:vAlign w:val="bottom"/>
          </w:tcPr>
          <w:p w:rsidR="00541891" w:rsidRPr="001567C8" w:rsidRDefault="00B004D0" w:rsidP="00541891">
            <w:pPr>
              <w:pStyle w:val="Tot"/>
              <w:spacing w:line="240" w:lineRule="exact"/>
              <w:jc w:val="right"/>
              <w:rPr>
                <w:rFonts w:asciiTheme="minorHAnsi" w:hAnsiTheme="minorHAnsi" w:cs="Arial"/>
                <w:sz w:val="20"/>
                <w:lang w:val="hr-HR"/>
              </w:rPr>
            </w:pPr>
            <w:r w:rsidRPr="001567C8">
              <w:rPr>
                <w:rFonts w:asciiTheme="minorHAnsi" w:hAnsiTheme="minorHAnsi" w:cs="Arial"/>
                <w:sz w:val="20"/>
                <w:lang w:val="hr-HR"/>
              </w:rPr>
              <w:t>942.722</w:t>
            </w:r>
          </w:p>
        </w:tc>
        <w:tc>
          <w:tcPr>
            <w:tcW w:w="760" w:type="pct"/>
            <w:tcBorders>
              <w:top w:val="single" w:sz="4" w:space="0" w:color="auto"/>
              <w:bottom w:val="single" w:sz="4" w:space="0" w:color="auto"/>
            </w:tcBorders>
            <w:vAlign w:val="bottom"/>
          </w:tcPr>
          <w:p w:rsidR="00541891" w:rsidRPr="001567C8" w:rsidRDefault="00541891" w:rsidP="00541891">
            <w:pPr>
              <w:pStyle w:val="Tot"/>
              <w:spacing w:line="240" w:lineRule="exact"/>
              <w:jc w:val="right"/>
              <w:rPr>
                <w:rFonts w:asciiTheme="minorHAnsi" w:hAnsiTheme="minorHAnsi" w:cs="Arial"/>
                <w:sz w:val="20"/>
                <w:lang w:val="hr-HR"/>
              </w:rPr>
            </w:pPr>
            <w:r w:rsidRPr="001567C8">
              <w:rPr>
                <w:rFonts w:asciiTheme="minorHAnsi" w:hAnsiTheme="minorHAnsi" w:cs="Arial"/>
                <w:sz w:val="20"/>
                <w:lang w:val="hr-HR"/>
              </w:rPr>
              <w:t>1.402.004</w:t>
            </w:r>
          </w:p>
        </w:tc>
      </w:tr>
      <w:tr w:rsidR="00541891" w:rsidRPr="001567C8" w:rsidTr="00314EA7">
        <w:trPr>
          <w:trHeight w:val="347"/>
        </w:trPr>
        <w:tc>
          <w:tcPr>
            <w:tcW w:w="1996" w:type="pct"/>
            <w:vAlign w:val="center"/>
          </w:tcPr>
          <w:p w:rsidR="00541891" w:rsidRPr="001567C8" w:rsidRDefault="00541891" w:rsidP="00541891">
            <w:pPr>
              <w:pStyle w:val="TT"/>
              <w:spacing w:line="240" w:lineRule="exact"/>
              <w:rPr>
                <w:rFonts w:asciiTheme="minorHAnsi" w:hAnsiTheme="minorHAnsi" w:cs="Arial"/>
                <w:sz w:val="20"/>
                <w:lang w:val="hr-HR"/>
              </w:rPr>
            </w:pPr>
            <w:r w:rsidRPr="001567C8">
              <w:rPr>
                <w:rFonts w:asciiTheme="minorHAnsi" w:hAnsiTheme="minorHAnsi" w:cs="Arial"/>
                <w:sz w:val="20"/>
                <w:lang w:val="hr-HR"/>
              </w:rPr>
              <w:t xml:space="preserve">Rezerviranja za </w:t>
            </w:r>
            <w:r w:rsidR="00726C85" w:rsidRPr="001567C8">
              <w:rPr>
                <w:rFonts w:asciiTheme="minorHAnsi" w:hAnsiTheme="minorHAnsi" w:cs="Arial"/>
                <w:sz w:val="20"/>
                <w:lang w:val="hr-HR"/>
              </w:rPr>
              <w:t>očekivane</w:t>
            </w:r>
            <w:r w:rsidRPr="001567C8">
              <w:rPr>
                <w:rFonts w:asciiTheme="minorHAnsi" w:hAnsiTheme="minorHAnsi" w:cs="Arial"/>
                <w:sz w:val="20"/>
                <w:lang w:val="hr-HR"/>
              </w:rPr>
              <w:t xml:space="preserve"> gubitke </w:t>
            </w:r>
          </w:p>
        </w:tc>
        <w:tc>
          <w:tcPr>
            <w:tcW w:w="742" w:type="pct"/>
            <w:tcBorders>
              <w:top w:val="single" w:sz="4" w:space="0" w:color="auto"/>
              <w:bottom w:val="single" w:sz="4" w:space="0" w:color="auto"/>
            </w:tcBorders>
            <w:vAlign w:val="center"/>
          </w:tcPr>
          <w:p w:rsidR="00541891" w:rsidRPr="001567C8" w:rsidRDefault="00DB7F78" w:rsidP="00541891">
            <w:pPr>
              <w:pStyle w:val="TT"/>
              <w:spacing w:line="240" w:lineRule="exact"/>
              <w:jc w:val="right"/>
              <w:rPr>
                <w:rFonts w:asciiTheme="minorHAnsi" w:hAnsiTheme="minorHAnsi" w:cs="Arial"/>
                <w:sz w:val="20"/>
                <w:lang w:val="hr-HR"/>
              </w:rPr>
            </w:pPr>
            <w:r w:rsidRPr="001567C8">
              <w:rPr>
                <w:rFonts w:asciiTheme="minorHAnsi" w:hAnsiTheme="minorHAnsi" w:cs="Arial"/>
                <w:sz w:val="20"/>
                <w:lang w:val="hr-HR"/>
              </w:rPr>
              <w:t>(1.668)</w:t>
            </w:r>
          </w:p>
        </w:tc>
        <w:tc>
          <w:tcPr>
            <w:tcW w:w="760" w:type="pct"/>
            <w:tcBorders>
              <w:top w:val="single" w:sz="4" w:space="0" w:color="auto"/>
              <w:bottom w:val="single" w:sz="4" w:space="0" w:color="auto"/>
            </w:tcBorders>
            <w:vAlign w:val="center"/>
          </w:tcPr>
          <w:p w:rsidR="00541891" w:rsidRPr="001567C8" w:rsidRDefault="00541891" w:rsidP="00541891">
            <w:pPr>
              <w:pStyle w:val="TT"/>
              <w:spacing w:line="240" w:lineRule="exact"/>
              <w:jc w:val="right"/>
              <w:rPr>
                <w:rFonts w:asciiTheme="minorHAnsi" w:hAnsiTheme="minorHAnsi" w:cs="Arial"/>
                <w:sz w:val="20"/>
                <w:lang w:val="hr-HR"/>
              </w:rPr>
            </w:pPr>
            <w:r w:rsidRPr="001567C8">
              <w:rPr>
                <w:rFonts w:asciiTheme="minorHAnsi" w:hAnsiTheme="minorHAnsi" w:cs="Arial"/>
                <w:sz w:val="20"/>
                <w:lang w:val="hr-HR"/>
              </w:rPr>
              <w:t>(858)</w:t>
            </w:r>
          </w:p>
        </w:tc>
        <w:tc>
          <w:tcPr>
            <w:tcW w:w="742" w:type="pct"/>
            <w:tcBorders>
              <w:top w:val="single" w:sz="4" w:space="0" w:color="auto"/>
              <w:bottom w:val="single" w:sz="4" w:space="0" w:color="auto"/>
            </w:tcBorders>
            <w:vAlign w:val="center"/>
          </w:tcPr>
          <w:p w:rsidR="00541891" w:rsidRPr="001567C8" w:rsidRDefault="00B004D0" w:rsidP="00541891">
            <w:pPr>
              <w:pStyle w:val="TT"/>
              <w:spacing w:line="240" w:lineRule="exact"/>
              <w:jc w:val="right"/>
              <w:rPr>
                <w:rFonts w:asciiTheme="minorHAnsi" w:hAnsiTheme="minorHAnsi" w:cs="Arial"/>
                <w:sz w:val="20"/>
                <w:lang w:val="hr-HR"/>
              </w:rPr>
            </w:pPr>
            <w:r w:rsidRPr="001567C8">
              <w:rPr>
                <w:rFonts w:asciiTheme="minorHAnsi" w:hAnsiTheme="minorHAnsi" w:cs="Arial"/>
                <w:sz w:val="20"/>
                <w:lang w:val="hr-HR"/>
              </w:rPr>
              <w:t>(1.651)</w:t>
            </w:r>
          </w:p>
        </w:tc>
        <w:tc>
          <w:tcPr>
            <w:tcW w:w="760" w:type="pct"/>
            <w:tcBorders>
              <w:top w:val="single" w:sz="4" w:space="0" w:color="auto"/>
              <w:bottom w:val="single" w:sz="4" w:space="0" w:color="auto"/>
            </w:tcBorders>
            <w:vAlign w:val="center"/>
          </w:tcPr>
          <w:p w:rsidR="00541891" w:rsidRPr="001567C8" w:rsidRDefault="00541891" w:rsidP="00541891">
            <w:pPr>
              <w:pStyle w:val="TT"/>
              <w:spacing w:line="240" w:lineRule="exact"/>
              <w:jc w:val="right"/>
              <w:rPr>
                <w:rFonts w:asciiTheme="minorHAnsi" w:hAnsiTheme="minorHAnsi" w:cs="Arial"/>
                <w:sz w:val="20"/>
                <w:lang w:val="hr-HR"/>
              </w:rPr>
            </w:pPr>
            <w:r w:rsidRPr="001567C8">
              <w:rPr>
                <w:rFonts w:asciiTheme="minorHAnsi" w:hAnsiTheme="minorHAnsi" w:cs="Arial"/>
                <w:sz w:val="20"/>
                <w:lang w:val="hr-HR"/>
              </w:rPr>
              <w:t>(858)</w:t>
            </w:r>
          </w:p>
        </w:tc>
      </w:tr>
      <w:tr w:rsidR="00541891" w:rsidRPr="001567C8" w:rsidTr="00314EA7">
        <w:tc>
          <w:tcPr>
            <w:tcW w:w="1996" w:type="pct"/>
          </w:tcPr>
          <w:p w:rsidR="00541891" w:rsidRPr="001567C8" w:rsidRDefault="00541891" w:rsidP="00541891">
            <w:pPr>
              <w:pStyle w:val="TT"/>
              <w:spacing w:line="240" w:lineRule="exact"/>
              <w:rPr>
                <w:rFonts w:asciiTheme="minorHAnsi" w:hAnsiTheme="minorHAnsi" w:cs="Arial"/>
                <w:b/>
                <w:bCs/>
                <w:sz w:val="20"/>
                <w:lang w:val="hr-HR"/>
              </w:rPr>
            </w:pPr>
          </w:p>
        </w:tc>
        <w:tc>
          <w:tcPr>
            <w:tcW w:w="742" w:type="pct"/>
            <w:tcBorders>
              <w:top w:val="single" w:sz="4" w:space="0" w:color="auto"/>
              <w:bottom w:val="single" w:sz="12" w:space="0" w:color="auto"/>
            </w:tcBorders>
            <w:vAlign w:val="bottom"/>
          </w:tcPr>
          <w:p w:rsidR="00541891" w:rsidRPr="001567C8" w:rsidRDefault="00B004D0" w:rsidP="00541891">
            <w:pPr>
              <w:pStyle w:val="Tot"/>
              <w:spacing w:line="240" w:lineRule="exact"/>
              <w:jc w:val="right"/>
              <w:rPr>
                <w:rFonts w:asciiTheme="minorHAnsi" w:hAnsiTheme="minorHAnsi" w:cs="Arial"/>
                <w:b/>
                <w:sz w:val="20"/>
                <w:lang w:val="hr-HR"/>
              </w:rPr>
            </w:pPr>
            <w:r w:rsidRPr="001567C8">
              <w:rPr>
                <w:rFonts w:asciiTheme="minorHAnsi" w:hAnsiTheme="minorHAnsi" w:cs="Arial"/>
                <w:b/>
                <w:sz w:val="20"/>
                <w:lang w:val="hr-HR"/>
              </w:rPr>
              <w:t>944.417</w:t>
            </w:r>
          </w:p>
        </w:tc>
        <w:tc>
          <w:tcPr>
            <w:tcW w:w="760" w:type="pct"/>
            <w:tcBorders>
              <w:top w:val="single" w:sz="4" w:space="0" w:color="auto"/>
              <w:bottom w:val="single" w:sz="12" w:space="0" w:color="auto"/>
            </w:tcBorders>
            <w:vAlign w:val="bottom"/>
          </w:tcPr>
          <w:p w:rsidR="00541891" w:rsidRPr="001567C8" w:rsidRDefault="00541891" w:rsidP="00541891">
            <w:pPr>
              <w:pStyle w:val="Tot"/>
              <w:spacing w:line="240" w:lineRule="exact"/>
              <w:jc w:val="right"/>
              <w:rPr>
                <w:rFonts w:asciiTheme="minorHAnsi" w:hAnsiTheme="minorHAnsi" w:cs="Arial"/>
                <w:b/>
                <w:sz w:val="20"/>
                <w:lang w:val="hr-HR"/>
              </w:rPr>
            </w:pPr>
            <w:r w:rsidRPr="001567C8">
              <w:rPr>
                <w:rFonts w:asciiTheme="minorHAnsi" w:hAnsiTheme="minorHAnsi" w:cs="Arial"/>
                <w:b/>
                <w:sz w:val="20"/>
                <w:lang w:val="hr-HR"/>
              </w:rPr>
              <w:t>1.403.680</w:t>
            </w:r>
          </w:p>
        </w:tc>
        <w:tc>
          <w:tcPr>
            <w:tcW w:w="742" w:type="pct"/>
            <w:tcBorders>
              <w:top w:val="single" w:sz="4" w:space="0" w:color="auto"/>
              <w:bottom w:val="single" w:sz="12" w:space="0" w:color="auto"/>
            </w:tcBorders>
            <w:vAlign w:val="bottom"/>
          </w:tcPr>
          <w:p w:rsidR="00541891" w:rsidRPr="001567C8" w:rsidRDefault="00B004D0" w:rsidP="00541891">
            <w:pPr>
              <w:pStyle w:val="Tot"/>
              <w:spacing w:line="240" w:lineRule="exact"/>
              <w:jc w:val="right"/>
              <w:rPr>
                <w:rFonts w:asciiTheme="minorHAnsi" w:hAnsiTheme="minorHAnsi" w:cs="Arial"/>
                <w:b/>
                <w:sz w:val="20"/>
                <w:lang w:val="hr-HR"/>
              </w:rPr>
            </w:pPr>
            <w:r w:rsidRPr="001567C8">
              <w:rPr>
                <w:rFonts w:asciiTheme="minorHAnsi" w:hAnsiTheme="minorHAnsi" w:cs="Arial"/>
                <w:b/>
                <w:sz w:val="20"/>
                <w:lang w:val="hr-HR"/>
              </w:rPr>
              <w:t>941.071</w:t>
            </w:r>
          </w:p>
        </w:tc>
        <w:tc>
          <w:tcPr>
            <w:tcW w:w="760" w:type="pct"/>
            <w:tcBorders>
              <w:top w:val="single" w:sz="4" w:space="0" w:color="auto"/>
              <w:bottom w:val="single" w:sz="12" w:space="0" w:color="auto"/>
            </w:tcBorders>
            <w:vAlign w:val="bottom"/>
          </w:tcPr>
          <w:p w:rsidR="00541891" w:rsidRPr="001567C8" w:rsidRDefault="00541891" w:rsidP="00541891">
            <w:pPr>
              <w:pStyle w:val="Tot"/>
              <w:spacing w:line="240" w:lineRule="exact"/>
              <w:jc w:val="right"/>
              <w:rPr>
                <w:rFonts w:asciiTheme="minorHAnsi" w:hAnsiTheme="minorHAnsi" w:cs="Arial"/>
                <w:b/>
                <w:sz w:val="20"/>
                <w:lang w:val="hr-HR"/>
              </w:rPr>
            </w:pPr>
            <w:r w:rsidRPr="001567C8">
              <w:rPr>
                <w:rFonts w:asciiTheme="minorHAnsi" w:hAnsiTheme="minorHAnsi" w:cs="Arial"/>
                <w:b/>
                <w:sz w:val="20"/>
                <w:lang w:val="hr-HR"/>
              </w:rPr>
              <w:t>1.401.146</w:t>
            </w:r>
          </w:p>
        </w:tc>
      </w:tr>
    </w:tbl>
    <w:p w:rsidR="00666E7A" w:rsidRPr="001567C8" w:rsidRDefault="00666E7A" w:rsidP="00666E7A">
      <w:pPr>
        <w:pStyle w:val="T1"/>
        <w:spacing w:before="0" w:after="0" w:line="240" w:lineRule="auto"/>
        <w:rPr>
          <w:rFonts w:asciiTheme="minorHAnsi" w:hAnsiTheme="minorHAnsi" w:cs="Arial"/>
          <w:b w:val="0"/>
          <w:sz w:val="22"/>
          <w:szCs w:val="22"/>
          <w:lang w:val="hr-HR"/>
        </w:rPr>
      </w:pPr>
    </w:p>
    <w:p w:rsidR="00003EA6" w:rsidRPr="001567C8" w:rsidRDefault="00003EA6" w:rsidP="00666E7A">
      <w:pPr>
        <w:pStyle w:val="T1"/>
        <w:spacing w:before="0" w:after="0" w:line="240" w:lineRule="auto"/>
        <w:rPr>
          <w:rFonts w:asciiTheme="minorHAnsi" w:hAnsiTheme="minorHAnsi" w:cs="Arial"/>
          <w:b w:val="0"/>
          <w:sz w:val="22"/>
          <w:szCs w:val="22"/>
          <w:lang w:val="hr-HR"/>
        </w:rPr>
      </w:pPr>
      <w:bookmarkStart w:id="51" w:name="_Hlk506307924"/>
    </w:p>
    <w:p w:rsidR="00266902" w:rsidRPr="001567C8" w:rsidRDefault="00266902" w:rsidP="00666E7A">
      <w:pPr>
        <w:pStyle w:val="T1"/>
        <w:spacing w:before="0" w:after="0" w:line="240" w:lineRule="auto"/>
        <w:rPr>
          <w:rFonts w:asciiTheme="minorHAnsi" w:hAnsiTheme="minorHAnsi" w:cs="Arial"/>
          <w:b w:val="0"/>
          <w:sz w:val="22"/>
          <w:szCs w:val="22"/>
          <w:lang w:val="hr-HR"/>
        </w:rPr>
      </w:pPr>
    </w:p>
    <w:p w:rsidR="00444858" w:rsidRPr="001567C8" w:rsidRDefault="005D794D" w:rsidP="00666E7A">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Sljedeća tablica prikazuje informacije o kreditnoj kvaliteti financijske imovine koja se mjeri po amortiziranom trošku. Iznosi u tablici predstavljaju bruto knjigovodstvene iznose:</w:t>
      </w:r>
    </w:p>
    <w:p w:rsidR="005D794D" w:rsidRPr="001567C8" w:rsidRDefault="005D794D" w:rsidP="00666E7A">
      <w:pPr>
        <w:pStyle w:val="T1"/>
        <w:spacing w:before="0" w:after="0" w:line="240" w:lineRule="auto"/>
        <w:rPr>
          <w:rFonts w:asciiTheme="minorHAnsi" w:hAnsiTheme="minorHAnsi" w:cs="Arial"/>
          <w:b w:val="0"/>
          <w:sz w:val="22"/>
          <w:szCs w:val="22"/>
          <w:lang w:val="hr-HR"/>
        </w:rPr>
      </w:pPr>
    </w:p>
    <w:tbl>
      <w:tblPr>
        <w:tblW w:w="10310" w:type="dxa"/>
        <w:tblInd w:w="-567" w:type="dxa"/>
        <w:tblLayout w:type="fixed"/>
        <w:tblLook w:val="04A0" w:firstRow="1" w:lastRow="0" w:firstColumn="1" w:lastColumn="0" w:noHBand="0" w:noVBand="1"/>
      </w:tblPr>
      <w:tblGrid>
        <w:gridCol w:w="2264"/>
        <w:gridCol w:w="1005"/>
        <w:gridCol w:w="1006"/>
        <w:gridCol w:w="1006"/>
        <w:gridCol w:w="1006"/>
        <w:gridCol w:w="1005"/>
        <w:gridCol w:w="1006"/>
        <w:gridCol w:w="1006"/>
        <w:gridCol w:w="1006"/>
      </w:tblGrid>
      <w:tr w:rsidR="005D794D" w:rsidRPr="001567C8" w:rsidTr="003C6BA3">
        <w:trPr>
          <w:trHeight w:val="178"/>
        </w:trPr>
        <w:tc>
          <w:tcPr>
            <w:tcW w:w="2264" w:type="dxa"/>
            <w:tcBorders>
              <w:top w:val="nil"/>
              <w:left w:val="nil"/>
              <w:bottom w:val="nil"/>
              <w:right w:val="nil"/>
            </w:tcBorders>
            <w:shd w:val="clear" w:color="auto" w:fill="auto"/>
            <w:noWrap/>
            <w:vAlign w:val="bottom"/>
            <w:hideMark/>
          </w:tcPr>
          <w:p w:rsidR="005D794D" w:rsidRPr="00CD3A2D" w:rsidRDefault="005D794D">
            <w:pPr>
              <w:rPr>
                <w:sz w:val="20"/>
                <w:szCs w:val="20"/>
                <w:lang w:val="hr-HR"/>
              </w:rPr>
            </w:pPr>
          </w:p>
        </w:tc>
        <w:tc>
          <w:tcPr>
            <w:tcW w:w="1005" w:type="dxa"/>
            <w:tcBorders>
              <w:top w:val="nil"/>
              <w:left w:val="nil"/>
              <w:bottom w:val="nil"/>
              <w:right w:val="nil"/>
            </w:tcBorders>
            <w:shd w:val="clear" w:color="auto" w:fill="auto"/>
            <w:noWrap/>
            <w:vAlign w:val="bottom"/>
            <w:hideMark/>
          </w:tcPr>
          <w:p w:rsidR="005D794D" w:rsidRPr="00CD3A2D" w:rsidRDefault="005D794D">
            <w:pPr>
              <w:rPr>
                <w:sz w:val="20"/>
                <w:szCs w:val="20"/>
                <w:lang w:val="hr-HR"/>
              </w:rPr>
            </w:pP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sz w:val="20"/>
                <w:szCs w:val="20"/>
                <w:lang w:val="hr-HR"/>
              </w:rPr>
            </w:pP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sz w:val="20"/>
                <w:szCs w:val="20"/>
                <w:lang w:val="hr-HR"/>
              </w:rPr>
            </w:pP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Grupa</w:t>
            </w:r>
          </w:p>
        </w:tc>
        <w:tc>
          <w:tcPr>
            <w:tcW w:w="1005"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sz w:val="20"/>
                <w:szCs w:val="20"/>
                <w:lang w:val="hr-HR"/>
              </w:rPr>
            </w:pP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sz w:val="20"/>
                <w:szCs w:val="20"/>
                <w:lang w:val="hr-HR"/>
              </w:rPr>
            </w:pP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Banka</w:t>
            </w:r>
          </w:p>
        </w:tc>
      </w:tr>
      <w:tr w:rsidR="005D794D" w:rsidRPr="001567C8" w:rsidTr="003C6BA3">
        <w:trPr>
          <w:trHeight w:val="310"/>
        </w:trPr>
        <w:tc>
          <w:tcPr>
            <w:tcW w:w="2264"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p>
        </w:tc>
        <w:tc>
          <w:tcPr>
            <w:tcW w:w="1005"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1</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2</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3</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c>
          <w:tcPr>
            <w:tcW w:w="1005"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1</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2</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3</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r>
      <w:tr w:rsidR="005D794D" w:rsidRPr="001567C8" w:rsidTr="003C6BA3">
        <w:trPr>
          <w:trHeight w:val="314"/>
        </w:trPr>
        <w:tc>
          <w:tcPr>
            <w:tcW w:w="2264"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p>
        </w:tc>
        <w:tc>
          <w:tcPr>
            <w:tcW w:w="1005"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05"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06"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r>
      <w:tr w:rsidR="007D4973" w:rsidRPr="001567C8" w:rsidTr="003C6BA3">
        <w:trPr>
          <w:trHeight w:val="184"/>
        </w:trPr>
        <w:tc>
          <w:tcPr>
            <w:tcW w:w="2264"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20"/>
                <w:szCs w:val="20"/>
                <w:lang w:val="hr-HR"/>
              </w:rPr>
            </w:pPr>
          </w:p>
        </w:tc>
        <w:tc>
          <w:tcPr>
            <w:tcW w:w="1005"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20"/>
                <w:szCs w:val="20"/>
                <w:lang w:val="hr-HR"/>
              </w:rPr>
            </w:pPr>
          </w:p>
        </w:tc>
        <w:tc>
          <w:tcPr>
            <w:tcW w:w="100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20"/>
                <w:szCs w:val="20"/>
                <w:lang w:val="hr-HR"/>
              </w:rPr>
            </w:pPr>
          </w:p>
        </w:tc>
        <w:tc>
          <w:tcPr>
            <w:tcW w:w="100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20"/>
                <w:szCs w:val="20"/>
                <w:lang w:val="hr-HR"/>
              </w:rPr>
            </w:pPr>
          </w:p>
        </w:tc>
        <w:tc>
          <w:tcPr>
            <w:tcW w:w="100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20"/>
                <w:szCs w:val="20"/>
                <w:lang w:val="hr-HR"/>
              </w:rPr>
            </w:pPr>
          </w:p>
        </w:tc>
        <w:tc>
          <w:tcPr>
            <w:tcW w:w="1005"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20"/>
                <w:szCs w:val="20"/>
                <w:lang w:val="hr-HR"/>
              </w:rPr>
            </w:pPr>
          </w:p>
        </w:tc>
        <w:tc>
          <w:tcPr>
            <w:tcW w:w="100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20"/>
                <w:szCs w:val="20"/>
                <w:lang w:val="hr-HR"/>
              </w:rPr>
            </w:pPr>
          </w:p>
        </w:tc>
        <w:tc>
          <w:tcPr>
            <w:tcW w:w="100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20"/>
                <w:szCs w:val="20"/>
                <w:lang w:val="hr-HR"/>
              </w:rPr>
            </w:pPr>
          </w:p>
        </w:tc>
        <w:tc>
          <w:tcPr>
            <w:tcW w:w="100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20"/>
                <w:szCs w:val="20"/>
                <w:lang w:val="hr-HR"/>
              </w:rPr>
            </w:pPr>
          </w:p>
        </w:tc>
      </w:tr>
      <w:tr w:rsidR="00015F4E" w:rsidRPr="001567C8" w:rsidTr="003C6BA3">
        <w:trPr>
          <w:trHeight w:val="319"/>
        </w:trPr>
        <w:tc>
          <w:tcPr>
            <w:tcW w:w="2264" w:type="dxa"/>
            <w:tcBorders>
              <w:top w:val="nil"/>
              <w:left w:val="nil"/>
              <w:bottom w:val="nil"/>
              <w:right w:val="nil"/>
            </w:tcBorders>
            <w:shd w:val="clear" w:color="auto" w:fill="auto"/>
            <w:noWrap/>
            <w:vAlign w:val="bottom"/>
            <w:hideMark/>
          </w:tcPr>
          <w:p w:rsidR="00015F4E" w:rsidRPr="00CD3A2D" w:rsidRDefault="00015F4E" w:rsidP="00015F4E">
            <w:pPr>
              <w:rPr>
                <w:rFonts w:ascii="Calibri" w:hAnsi="Calibri" w:cs="Calibri"/>
                <w:color w:val="000000"/>
                <w:sz w:val="20"/>
                <w:szCs w:val="20"/>
                <w:lang w:val="hr-HR"/>
              </w:rPr>
            </w:pPr>
            <w:r w:rsidRPr="00CD3A2D">
              <w:rPr>
                <w:rFonts w:ascii="Calibri" w:hAnsi="Calibri" w:cs="Calibri"/>
                <w:color w:val="000000"/>
                <w:sz w:val="20"/>
                <w:szCs w:val="20"/>
                <w:lang w:val="hr-HR"/>
              </w:rPr>
              <w:t>Bruto iznos</w:t>
            </w:r>
          </w:p>
        </w:tc>
        <w:tc>
          <w:tcPr>
            <w:tcW w:w="100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20"/>
                <w:szCs w:val="20"/>
                <w:lang w:val="hr-HR"/>
              </w:rPr>
            </w:pPr>
            <w:r w:rsidRPr="00CD3A2D">
              <w:rPr>
                <w:rFonts w:ascii="Calibri" w:hAnsi="Calibri" w:cs="Calibri"/>
                <w:color w:val="000000"/>
                <w:sz w:val="20"/>
                <w:szCs w:val="20"/>
                <w:lang w:val="hr-HR"/>
              </w:rPr>
              <w:t>946.083</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sz w:val="20"/>
                <w:szCs w:val="20"/>
                <w:lang w:val="hr-HR"/>
              </w:rPr>
            </w:pPr>
            <w:r w:rsidRPr="00CD3A2D">
              <w:rPr>
                <w:sz w:val="20"/>
                <w:szCs w:val="20"/>
                <w:lang w:val="hr-HR"/>
              </w:rPr>
              <w:t>-</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sz w:val="20"/>
                <w:szCs w:val="20"/>
                <w:lang w:val="hr-HR"/>
              </w:rPr>
            </w:pPr>
            <w:r w:rsidRPr="00CD3A2D">
              <w:rPr>
                <w:sz w:val="20"/>
                <w:szCs w:val="20"/>
                <w:lang w:val="hr-HR"/>
              </w:rPr>
              <w:t>-</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color w:val="000000"/>
                <w:sz w:val="20"/>
                <w:szCs w:val="20"/>
                <w:lang w:val="hr-HR"/>
              </w:rPr>
              <w:t>946.083</w:t>
            </w:r>
          </w:p>
        </w:tc>
        <w:tc>
          <w:tcPr>
            <w:tcW w:w="100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942.720 </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942.720 </w:t>
            </w:r>
          </w:p>
        </w:tc>
      </w:tr>
      <w:tr w:rsidR="00015F4E" w:rsidRPr="001567C8" w:rsidTr="003C6BA3">
        <w:trPr>
          <w:trHeight w:val="324"/>
        </w:trPr>
        <w:tc>
          <w:tcPr>
            <w:tcW w:w="2264" w:type="dxa"/>
            <w:tcBorders>
              <w:top w:val="nil"/>
              <w:left w:val="nil"/>
              <w:bottom w:val="nil"/>
              <w:right w:val="nil"/>
            </w:tcBorders>
            <w:shd w:val="clear" w:color="auto" w:fill="auto"/>
            <w:noWrap/>
            <w:vAlign w:val="bottom"/>
            <w:hideMark/>
          </w:tcPr>
          <w:p w:rsidR="00015F4E" w:rsidRPr="00CD3A2D" w:rsidRDefault="00015F4E" w:rsidP="00015F4E">
            <w:pPr>
              <w:rPr>
                <w:rFonts w:ascii="Calibri" w:hAnsi="Calibri" w:cs="Calibri"/>
                <w:color w:val="000000"/>
                <w:sz w:val="20"/>
                <w:szCs w:val="20"/>
                <w:lang w:val="hr-HR"/>
              </w:rPr>
            </w:pPr>
            <w:r w:rsidRPr="00CD3A2D">
              <w:rPr>
                <w:rFonts w:ascii="Calibri" w:hAnsi="Calibri" w:cs="Calibri"/>
                <w:color w:val="000000"/>
                <w:sz w:val="20"/>
                <w:szCs w:val="20"/>
                <w:lang w:val="hr-HR"/>
              </w:rPr>
              <w:t>Rezerviranja</w:t>
            </w:r>
          </w:p>
        </w:tc>
        <w:tc>
          <w:tcPr>
            <w:tcW w:w="100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20"/>
                <w:szCs w:val="20"/>
                <w:lang w:val="hr-HR"/>
              </w:rPr>
            </w:pPr>
            <w:r w:rsidRPr="00CD3A2D">
              <w:rPr>
                <w:rFonts w:ascii="Calibri" w:hAnsi="Calibri" w:cs="Calibri"/>
                <w:color w:val="000000"/>
                <w:sz w:val="20"/>
                <w:szCs w:val="20"/>
                <w:lang w:val="hr-HR"/>
              </w:rPr>
              <w:t>(1.668)</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sz w:val="20"/>
                <w:szCs w:val="20"/>
                <w:lang w:val="hr-HR"/>
              </w:rPr>
            </w:pPr>
            <w:r w:rsidRPr="00CD3A2D">
              <w:rPr>
                <w:sz w:val="20"/>
                <w:szCs w:val="20"/>
                <w:lang w:val="hr-HR"/>
              </w:rPr>
              <w:t>-</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sz w:val="20"/>
                <w:szCs w:val="20"/>
                <w:lang w:val="hr-HR"/>
              </w:rPr>
            </w:pPr>
            <w:r w:rsidRPr="00CD3A2D">
              <w:rPr>
                <w:sz w:val="20"/>
                <w:szCs w:val="20"/>
                <w:lang w:val="hr-HR"/>
              </w:rPr>
              <w:t>-</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color w:val="000000"/>
                <w:sz w:val="20"/>
                <w:szCs w:val="20"/>
                <w:lang w:val="hr-HR"/>
              </w:rPr>
              <w:t>(1.668)</w:t>
            </w:r>
          </w:p>
        </w:tc>
        <w:tc>
          <w:tcPr>
            <w:tcW w:w="100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(1.651)</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0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(1.651)</w:t>
            </w:r>
          </w:p>
        </w:tc>
      </w:tr>
      <w:tr w:rsidR="00015F4E" w:rsidRPr="001567C8" w:rsidTr="003C6BA3">
        <w:trPr>
          <w:trHeight w:val="548"/>
        </w:trPr>
        <w:tc>
          <w:tcPr>
            <w:tcW w:w="2264" w:type="dxa"/>
            <w:tcBorders>
              <w:top w:val="nil"/>
              <w:left w:val="nil"/>
              <w:bottom w:val="nil"/>
              <w:right w:val="nil"/>
            </w:tcBorders>
            <w:shd w:val="clear" w:color="auto" w:fill="auto"/>
            <w:noWrap/>
            <w:vAlign w:val="bottom"/>
            <w:hideMark/>
          </w:tcPr>
          <w:p w:rsidR="00015F4E" w:rsidRPr="00CD3A2D" w:rsidRDefault="00015F4E" w:rsidP="00015F4E">
            <w:pPr>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Stanje na dan </w:t>
            </w:r>
          </w:p>
          <w:p w:rsidR="00015F4E" w:rsidRPr="00CD3A2D" w:rsidRDefault="00015F4E" w:rsidP="00015F4E">
            <w:pPr>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31. prosinca 2018. godine    </w:t>
            </w:r>
          </w:p>
        </w:tc>
        <w:tc>
          <w:tcPr>
            <w:tcW w:w="1005"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944.415 </w:t>
            </w:r>
          </w:p>
        </w:tc>
        <w:tc>
          <w:tcPr>
            <w:tcW w:w="1006"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 </w:t>
            </w:r>
          </w:p>
        </w:tc>
        <w:tc>
          <w:tcPr>
            <w:tcW w:w="1006"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 </w:t>
            </w:r>
          </w:p>
        </w:tc>
        <w:tc>
          <w:tcPr>
            <w:tcW w:w="1006"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944.415 </w:t>
            </w:r>
          </w:p>
        </w:tc>
        <w:tc>
          <w:tcPr>
            <w:tcW w:w="1005"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941.069 </w:t>
            </w:r>
          </w:p>
        </w:tc>
        <w:tc>
          <w:tcPr>
            <w:tcW w:w="1006" w:type="dxa"/>
            <w:tcBorders>
              <w:top w:val="single" w:sz="4" w:space="0" w:color="auto"/>
              <w:left w:val="nil"/>
              <w:bottom w:val="single" w:sz="12" w:space="0" w:color="auto"/>
              <w:right w:val="nil"/>
            </w:tcBorders>
            <w:shd w:val="clear" w:color="auto" w:fill="auto"/>
            <w:noWrap/>
            <w:vAlign w:val="bottom"/>
            <w:hideMark/>
          </w:tcPr>
          <w:p w:rsidR="00015F4E" w:rsidRPr="00CD3A2D" w:rsidRDefault="00C72B30" w:rsidP="00015F4E">
            <w:pPr>
              <w:jc w:val="right"/>
              <w:rPr>
                <w:rFonts w:ascii="Calibri" w:hAnsi="Calibri" w:cs="Calibri"/>
                <w:b/>
                <w:bCs/>
                <w:color w:val="000000"/>
                <w:sz w:val="20"/>
                <w:szCs w:val="20"/>
                <w:lang w:val="hr-HR"/>
              </w:rPr>
            </w:pPr>
            <w:r>
              <w:rPr>
                <w:rFonts w:ascii="Calibri" w:hAnsi="Calibri" w:cs="Calibri"/>
                <w:b/>
                <w:bCs/>
                <w:color w:val="000000"/>
                <w:sz w:val="20"/>
                <w:szCs w:val="20"/>
                <w:lang w:val="hr-HR"/>
              </w:rPr>
              <w:t>-</w:t>
            </w:r>
            <w:r w:rsidR="00015F4E" w:rsidRPr="00CD3A2D">
              <w:rPr>
                <w:rFonts w:ascii="Calibri" w:hAnsi="Calibri" w:cs="Calibri"/>
                <w:b/>
                <w:bCs/>
                <w:color w:val="000000"/>
                <w:sz w:val="20"/>
                <w:szCs w:val="20"/>
                <w:lang w:val="hr-HR"/>
              </w:rPr>
              <w:t xml:space="preserve">      </w:t>
            </w:r>
          </w:p>
        </w:tc>
        <w:tc>
          <w:tcPr>
            <w:tcW w:w="1006"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 </w:t>
            </w:r>
          </w:p>
        </w:tc>
        <w:tc>
          <w:tcPr>
            <w:tcW w:w="1006"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941.069 </w:t>
            </w:r>
          </w:p>
        </w:tc>
      </w:tr>
    </w:tbl>
    <w:p w:rsidR="005D794D" w:rsidRPr="001567C8" w:rsidRDefault="005D794D" w:rsidP="00666E7A">
      <w:pPr>
        <w:pStyle w:val="T1"/>
        <w:spacing w:before="0" w:after="0" w:line="240" w:lineRule="auto"/>
        <w:rPr>
          <w:rFonts w:asciiTheme="minorHAnsi" w:hAnsiTheme="minorHAnsi" w:cs="Arial"/>
          <w:b w:val="0"/>
          <w:sz w:val="22"/>
          <w:szCs w:val="22"/>
          <w:lang w:val="hr-HR"/>
        </w:rPr>
      </w:pPr>
    </w:p>
    <w:bookmarkEnd w:id="51"/>
    <w:p w:rsidR="00046014" w:rsidRPr="001567C8" w:rsidRDefault="00046014" w:rsidP="00666E7A">
      <w:pPr>
        <w:pStyle w:val="T1"/>
        <w:spacing w:before="0" w:after="0" w:line="240" w:lineRule="auto"/>
        <w:rPr>
          <w:rFonts w:asciiTheme="minorHAnsi" w:hAnsiTheme="minorHAnsi" w:cs="Arial"/>
          <w:b w:val="0"/>
          <w:sz w:val="22"/>
          <w:szCs w:val="22"/>
          <w:lang w:val="hr-HR"/>
        </w:rPr>
      </w:pPr>
    </w:p>
    <w:p w:rsidR="005D794D" w:rsidRPr="001567C8" w:rsidRDefault="005D794D" w:rsidP="00666E7A">
      <w:pPr>
        <w:pStyle w:val="T1"/>
        <w:spacing w:before="0" w:after="0" w:line="240" w:lineRule="auto"/>
        <w:rPr>
          <w:rFonts w:asciiTheme="minorHAnsi" w:hAnsiTheme="minorHAnsi" w:cs="Arial"/>
          <w:b w:val="0"/>
          <w:sz w:val="22"/>
          <w:szCs w:val="22"/>
          <w:lang w:val="hr-HR"/>
        </w:rPr>
      </w:pPr>
    </w:p>
    <w:p w:rsidR="005D794D" w:rsidRPr="001567C8" w:rsidRDefault="005D794D" w:rsidP="00666E7A">
      <w:pPr>
        <w:pStyle w:val="T1"/>
        <w:spacing w:before="0" w:after="0" w:line="240" w:lineRule="auto"/>
        <w:rPr>
          <w:rFonts w:asciiTheme="minorHAnsi" w:hAnsiTheme="minorHAnsi" w:cs="Arial"/>
          <w:b w:val="0"/>
          <w:sz w:val="22"/>
          <w:szCs w:val="22"/>
          <w:lang w:val="hr-HR"/>
        </w:rPr>
      </w:pPr>
    </w:p>
    <w:p w:rsidR="005D794D" w:rsidRPr="001567C8" w:rsidRDefault="005D794D" w:rsidP="00666E7A">
      <w:pPr>
        <w:pStyle w:val="T1"/>
        <w:spacing w:before="0" w:after="0" w:line="240" w:lineRule="auto"/>
        <w:rPr>
          <w:rFonts w:asciiTheme="minorHAnsi" w:hAnsiTheme="minorHAnsi" w:cs="Arial"/>
          <w:b w:val="0"/>
          <w:sz w:val="22"/>
          <w:szCs w:val="22"/>
          <w:lang w:val="hr-HR"/>
        </w:rPr>
      </w:pPr>
    </w:p>
    <w:p w:rsidR="005D794D" w:rsidRPr="001567C8" w:rsidRDefault="005D794D" w:rsidP="00666E7A">
      <w:pPr>
        <w:pStyle w:val="T1"/>
        <w:spacing w:before="0" w:after="0" w:line="240" w:lineRule="auto"/>
        <w:rPr>
          <w:rFonts w:asciiTheme="minorHAnsi" w:hAnsiTheme="minorHAnsi" w:cs="Arial"/>
          <w:b w:val="0"/>
          <w:sz w:val="22"/>
          <w:szCs w:val="22"/>
          <w:lang w:val="hr-HR"/>
        </w:rPr>
      </w:pPr>
    </w:p>
    <w:p w:rsidR="005D794D" w:rsidRPr="001567C8" w:rsidRDefault="005D794D" w:rsidP="00666E7A">
      <w:pPr>
        <w:pStyle w:val="T1"/>
        <w:spacing w:before="0" w:after="0" w:line="240" w:lineRule="auto"/>
        <w:rPr>
          <w:rFonts w:asciiTheme="minorHAnsi" w:hAnsiTheme="minorHAnsi" w:cs="Arial"/>
          <w:b w:val="0"/>
          <w:sz w:val="22"/>
          <w:szCs w:val="22"/>
          <w:lang w:val="hr-HR"/>
        </w:rPr>
      </w:pPr>
    </w:p>
    <w:p w:rsidR="005D794D" w:rsidRPr="001567C8" w:rsidRDefault="005D794D" w:rsidP="00666E7A">
      <w:pPr>
        <w:pStyle w:val="T1"/>
        <w:spacing w:before="0" w:after="0" w:line="240" w:lineRule="auto"/>
        <w:rPr>
          <w:rFonts w:asciiTheme="minorHAnsi" w:hAnsiTheme="minorHAnsi" w:cs="Arial"/>
          <w:b w:val="0"/>
          <w:sz w:val="22"/>
          <w:szCs w:val="22"/>
          <w:lang w:val="hr-HR"/>
        </w:rPr>
      </w:pPr>
    </w:p>
    <w:p w:rsidR="005D794D" w:rsidRPr="001567C8" w:rsidRDefault="005D794D">
      <w:pPr>
        <w:rPr>
          <w:rFonts w:asciiTheme="minorHAnsi" w:hAnsiTheme="minorHAnsi" w:cs="Arial"/>
          <w:bCs/>
          <w:sz w:val="22"/>
          <w:szCs w:val="22"/>
          <w:lang w:val="hr-HR"/>
        </w:rPr>
        <w:sectPr w:rsidR="005D794D" w:rsidRPr="001567C8" w:rsidSect="000D6913">
          <w:pgSz w:w="11907" w:h="16840" w:code="9"/>
          <w:pgMar w:top="1418" w:right="1134" w:bottom="1134" w:left="1418" w:header="851" w:footer="851" w:gutter="0"/>
          <w:cols w:space="720"/>
          <w:noEndnote/>
        </w:sectPr>
      </w:pPr>
    </w:p>
    <w:p w:rsidR="005D794D" w:rsidRPr="001567C8" w:rsidRDefault="005D794D">
      <w:pPr>
        <w:rPr>
          <w:rFonts w:asciiTheme="minorHAnsi" w:hAnsiTheme="minorHAnsi" w:cs="Arial"/>
          <w:bCs/>
          <w:sz w:val="22"/>
          <w:szCs w:val="22"/>
          <w:lang w:val="hr-HR"/>
        </w:rPr>
      </w:pPr>
    </w:p>
    <w:p w:rsidR="005D794D" w:rsidRPr="001567C8" w:rsidRDefault="005D794D" w:rsidP="005D794D">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3</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Novčana sredstva i računi kod banaka (nastavak)</w:t>
      </w:r>
    </w:p>
    <w:p w:rsidR="005D794D" w:rsidRPr="001567C8" w:rsidRDefault="005D794D" w:rsidP="00666E7A">
      <w:pPr>
        <w:pStyle w:val="T1"/>
        <w:spacing w:before="0" w:after="0" w:line="240" w:lineRule="auto"/>
        <w:rPr>
          <w:rFonts w:asciiTheme="minorHAnsi" w:hAnsiTheme="minorHAnsi" w:cs="Arial"/>
          <w:b w:val="0"/>
          <w:sz w:val="22"/>
          <w:szCs w:val="22"/>
          <w:lang w:val="hr-HR"/>
        </w:rPr>
      </w:pPr>
    </w:p>
    <w:p w:rsidR="007B2E67" w:rsidRPr="001567C8" w:rsidRDefault="008006C5" w:rsidP="00666E7A">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Promjene na rezerviranjima za </w:t>
      </w:r>
      <w:r w:rsidR="00640BE0" w:rsidRPr="001567C8">
        <w:rPr>
          <w:rFonts w:asciiTheme="minorHAnsi" w:hAnsiTheme="minorHAnsi" w:cs="Arial"/>
          <w:b w:val="0"/>
          <w:bCs w:val="0"/>
          <w:sz w:val="22"/>
          <w:szCs w:val="22"/>
          <w:lang w:val="hr-HR"/>
        </w:rPr>
        <w:t>očekivane</w:t>
      </w:r>
      <w:r w:rsidR="00640BE0" w:rsidRPr="001567C8" w:rsidDel="00640BE0">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 xml:space="preserve"> gubitke po računima kod banaka mogu se prikazati kako slijedi:</w:t>
      </w:r>
    </w:p>
    <w:p w:rsidR="00C65321" w:rsidRPr="001567C8" w:rsidRDefault="00C65321" w:rsidP="00666E7A">
      <w:pPr>
        <w:pStyle w:val="T1"/>
        <w:spacing w:before="0" w:after="0" w:line="240" w:lineRule="auto"/>
        <w:rPr>
          <w:rFonts w:asciiTheme="minorHAnsi" w:hAnsiTheme="minorHAnsi" w:cs="Arial"/>
          <w:b w:val="0"/>
          <w:bCs w:val="0"/>
          <w:sz w:val="22"/>
          <w:szCs w:val="22"/>
          <w:lang w:val="hr-HR"/>
        </w:rPr>
      </w:pPr>
    </w:p>
    <w:tbl>
      <w:tblPr>
        <w:tblW w:w="5076" w:type="pct"/>
        <w:tblInd w:w="-142" w:type="dxa"/>
        <w:tblLook w:val="04A0" w:firstRow="1" w:lastRow="0" w:firstColumn="1" w:lastColumn="0" w:noHBand="0" w:noVBand="1"/>
      </w:tblPr>
      <w:tblGrid>
        <w:gridCol w:w="6531"/>
        <w:gridCol w:w="1392"/>
        <w:gridCol w:w="1574"/>
      </w:tblGrid>
      <w:tr w:rsidR="00DB7F78" w:rsidRPr="001567C8" w:rsidTr="003C6BA3">
        <w:trPr>
          <w:trHeight w:val="243"/>
        </w:trPr>
        <w:tc>
          <w:tcPr>
            <w:tcW w:w="6531" w:type="dxa"/>
            <w:tcBorders>
              <w:top w:val="nil"/>
              <w:left w:val="nil"/>
              <w:bottom w:val="nil"/>
              <w:right w:val="nil"/>
            </w:tcBorders>
            <w:shd w:val="clear" w:color="auto" w:fill="auto"/>
            <w:noWrap/>
            <w:vAlign w:val="bottom"/>
            <w:hideMark/>
          </w:tcPr>
          <w:p w:rsidR="005D794D" w:rsidRPr="00CD3A2D" w:rsidRDefault="005D794D">
            <w:pPr>
              <w:rPr>
                <w:sz w:val="20"/>
                <w:szCs w:val="20"/>
                <w:lang w:val="hr-HR"/>
              </w:rPr>
            </w:pPr>
          </w:p>
        </w:tc>
        <w:tc>
          <w:tcPr>
            <w:tcW w:w="1392" w:type="dxa"/>
            <w:tcBorders>
              <w:top w:val="nil"/>
              <w:left w:val="nil"/>
              <w:bottom w:val="nil"/>
              <w:right w:val="nil"/>
            </w:tcBorders>
            <w:shd w:val="clear" w:color="auto" w:fill="auto"/>
            <w:vAlign w:val="center"/>
            <w:hideMark/>
          </w:tcPr>
          <w:p w:rsidR="005D794D" w:rsidRPr="00CD3A2D" w:rsidRDefault="005D794D">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Grupa</w:t>
            </w:r>
          </w:p>
        </w:tc>
        <w:tc>
          <w:tcPr>
            <w:tcW w:w="1574" w:type="dxa"/>
            <w:tcBorders>
              <w:top w:val="nil"/>
              <w:left w:val="nil"/>
              <w:bottom w:val="nil"/>
              <w:right w:val="nil"/>
            </w:tcBorders>
            <w:shd w:val="clear" w:color="auto" w:fill="auto"/>
            <w:vAlign w:val="center"/>
            <w:hideMark/>
          </w:tcPr>
          <w:p w:rsidR="005D794D" w:rsidRPr="00CD3A2D" w:rsidRDefault="005D794D">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Banka</w:t>
            </w:r>
          </w:p>
        </w:tc>
      </w:tr>
      <w:tr w:rsidR="00DB7F78" w:rsidRPr="001567C8" w:rsidTr="003C6BA3">
        <w:trPr>
          <w:trHeight w:val="231"/>
        </w:trPr>
        <w:tc>
          <w:tcPr>
            <w:tcW w:w="6531" w:type="dxa"/>
            <w:tcBorders>
              <w:top w:val="nil"/>
              <w:left w:val="nil"/>
              <w:bottom w:val="nil"/>
              <w:right w:val="nil"/>
            </w:tcBorders>
            <w:shd w:val="clear" w:color="auto" w:fill="auto"/>
            <w:vAlign w:val="center"/>
            <w:hideMark/>
          </w:tcPr>
          <w:p w:rsidR="005D794D" w:rsidRPr="00CD3A2D" w:rsidRDefault="005D794D">
            <w:pPr>
              <w:jc w:val="right"/>
              <w:rPr>
                <w:rFonts w:ascii="Calibri" w:hAnsi="Calibri" w:cs="Calibri"/>
                <w:b/>
                <w:bCs/>
                <w:color w:val="000000"/>
                <w:sz w:val="22"/>
                <w:szCs w:val="22"/>
                <w:lang w:val="hr-HR"/>
              </w:rPr>
            </w:pPr>
          </w:p>
        </w:tc>
        <w:tc>
          <w:tcPr>
            <w:tcW w:w="1392" w:type="dxa"/>
            <w:tcBorders>
              <w:top w:val="nil"/>
              <w:left w:val="nil"/>
              <w:bottom w:val="nil"/>
              <w:right w:val="nil"/>
            </w:tcBorders>
            <w:shd w:val="clear" w:color="auto" w:fill="auto"/>
            <w:vAlign w:val="center"/>
            <w:hideMark/>
          </w:tcPr>
          <w:p w:rsidR="005D794D" w:rsidRPr="00CD3A2D" w:rsidRDefault="005D794D">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000 kuna</w:t>
            </w:r>
          </w:p>
        </w:tc>
        <w:tc>
          <w:tcPr>
            <w:tcW w:w="1574" w:type="dxa"/>
            <w:tcBorders>
              <w:top w:val="nil"/>
              <w:left w:val="nil"/>
              <w:bottom w:val="nil"/>
              <w:right w:val="nil"/>
            </w:tcBorders>
            <w:shd w:val="clear" w:color="auto" w:fill="auto"/>
            <w:vAlign w:val="center"/>
            <w:hideMark/>
          </w:tcPr>
          <w:p w:rsidR="005D794D" w:rsidRPr="00CD3A2D" w:rsidRDefault="005D794D">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000 kuna</w:t>
            </w:r>
          </w:p>
        </w:tc>
      </w:tr>
      <w:tr w:rsidR="00DB7F78" w:rsidRPr="001567C8" w:rsidTr="003C6BA3">
        <w:trPr>
          <w:trHeight w:val="379"/>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color w:val="000000"/>
                <w:sz w:val="22"/>
                <w:szCs w:val="22"/>
                <w:lang w:val="hr-HR"/>
              </w:rPr>
            </w:pPr>
            <w:r w:rsidRPr="00CD3A2D">
              <w:rPr>
                <w:rFonts w:ascii="Calibri" w:hAnsi="Calibri" w:cs="Calibri"/>
                <w:color w:val="000000"/>
                <w:sz w:val="22"/>
                <w:szCs w:val="22"/>
                <w:lang w:val="hr-HR"/>
              </w:rPr>
              <w:t>Stanje 1. siječnja 2017. godine</w:t>
            </w:r>
          </w:p>
        </w:tc>
        <w:tc>
          <w:tcPr>
            <w:tcW w:w="1392" w:type="dxa"/>
            <w:tcBorders>
              <w:top w:val="nil"/>
              <w:left w:val="nil"/>
              <w:bottom w:val="nil"/>
              <w:right w:val="nil"/>
            </w:tcBorders>
            <w:shd w:val="clear" w:color="auto" w:fill="auto"/>
            <w:noWrap/>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3</w:t>
            </w:r>
            <w:r w:rsidR="00DB7F78" w:rsidRPr="00CD3A2D">
              <w:rPr>
                <w:rFonts w:ascii="Calibri" w:hAnsi="Calibri" w:cs="Calibri"/>
                <w:color w:val="000000"/>
                <w:sz w:val="22"/>
                <w:szCs w:val="22"/>
                <w:lang w:val="hr-HR"/>
              </w:rPr>
              <w:t>.</w:t>
            </w:r>
            <w:r w:rsidRPr="00CD3A2D">
              <w:rPr>
                <w:rFonts w:ascii="Calibri" w:hAnsi="Calibri" w:cs="Calibri"/>
                <w:color w:val="000000"/>
                <w:sz w:val="22"/>
                <w:szCs w:val="22"/>
                <w:lang w:val="hr-HR"/>
              </w:rPr>
              <w:t>079</w:t>
            </w:r>
          </w:p>
        </w:tc>
        <w:tc>
          <w:tcPr>
            <w:tcW w:w="1574" w:type="dxa"/>
            <w:tcBorders>
              <w:top w:val="nil"/>
              <w:left w:val="nil"/>
              <w:bottom w:val="nil"/>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3.079</w:t>
            </w:r>
          </w:p>
        </w:tc>
      </w:tr>
      <w:tr w:rsidR="00DB7F78" w:rsidRPr="001567C8" w:rsidTr="003C6BA3">
        <w:trPr>
          <w:trHeight w:val="379"/>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color w:val="000000"/>
                <w:sz w:val="22"/>
                <w:szCs w:val="22"/>
                <w:lang w:val="hr-HR"/>
              </w:rPr>
            </w:pPr>
            <w:r w:rsidRPr="00CD3A2D">
              <w:rPr>
                <w:rFonts w:ascii="Calibri" w:hAnsi="Calibri" w:cs="Calibri"/>
                <w:color w:val="000000"/>
                <w:sz w:val="22"/>
                <w:szCs w:val="22"/>
                <w:lang w:val="hr-HR"/>
              </w:rPr>
              <w:t xml:space="preserve">Povećanje rezerviranja za </w:t>
            </w:r>
            <w:r w:rsidR="00726C85"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 po računima kod banaka</w:t>
            </w:r>
          </w:p>
        </w:tc>
        <w:tc>
          <w:tcPr>
            <w:tcW w:w="1392" w:type="dxa"/>
            <w:tcBorders>
              <w:top w:val="nil"/>
              <w:left w:val="nil"/>
              <w:bottom w:val="nil"/>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 </w:t>
            </w:r>
          </w:p>
        </w:tc>
        <w:tc>
          <w:tcPr>
            <w:tcW w:w="1574" w:type="dxa"/>
            <w:tcBorders>
              <w:top w:val="nil"/>
              <w:left w:val="nil"/>
              <w:bottom w:val="nil"/>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 </w:t>
            </w:r>
          </w:p>
        </w:tc>
      </w:tr>
      <w:tr w:rsidR="00DB7F78" w:rsidRPr="001567C8" w:rsidTr="003C6BA3">
        <w:trPr>
          <w:trHeight w:val="379"/>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color w:val="000000"/>
                <w:sz w:val="22"/>
                <w:szCs w:val="22"/>
                <w:lang w:val="hr-HR"/>
              </w:rPr>
            </w:pPr>
            <w:r w:rsidRPr="00CD3A2D">
              <w:rPr>
                <w:rFonts w:ascii="Calibri" w:hAnsi="Calibri" w:cs="Calibri"/>
                <w:color w:val="000000"/>
                <w:sz w:val="22"/>
                <w:szCs w:val="22"/>
                <w:lang w:val="hr-HR"/>
              </w:rPr>
              <w:t xml:space="preserve">Smanjenje rezerviranja za </w:t>
            </w:r>
            <w:r w:rsidR="00726C85"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 po računima kod banaka</w:t>
            </w:r>
          </w:p>
        </w:tc>
        <w:tc>
          <w:tcPr>
            <w:tcW w:w="1392" w:type="dxa"/>
            <w:tcBorders>
              <w:top w:val="nil"/>
              <w:left w:val="nil"/>
              <w:bottom w:val="nil"/>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(2.221)</w:t>
            </w:r>
          </w:p>
        </w:tc>
        <w:tc>
          <w:tcPr>
            <w:tcW w:w="1574" w:type="dxa"/>
            <w:tcBorders>
              <w:top w:val="nil"/>
              <w:left w:val="nil"/>
              <w:bottom w:val="nil"/>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(2.221)</w:t>
            </w:r>
          </w:p>
        </w:tc>
      </w:tr>
      <w:tr w:rsidR="00DB7F78" w:rsidRPr="001567C8" w:rsidTr="003C6BA3">
        <w:trPr>
          <w:trHeight w:val="379"/>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b/>
                <w:bCs/>
                <w:color w:val="000000"/>
                <w:sz w:val="22"/>
                <w:szCs w:val="22"/>
                <w:lang w:val="hr-HR"/>
              </w:rPr>
            </w:pPr>
            <w:r w:rsidRPr="00CD3A2D">
              <w:rPr>
                <w:rFonts w:ascii="Calibri" w:hAnsi="Calibri" w:cs="Calibri"/>
                <w:b/>
                <w:bCs/>
                <w:color w:val="000000"/>
                <w:sz w:val="22"/>
                <w:szCs w:val="22"/>
                <w:lang w:val="hr-HR"/>
              </w:rPr>
              <w:t>Stanje 31. prosinca 2017. godine</w:t>
            </w:r>
          </w:p>
        </w:tc>
        <w:tc>
          <w:tcPr>
            <w:tcW w:w="1392" w:type="dxa"/>
            <w:tcBorders>
              <w:top w:val="single" w:sz="4" w:space="0" w:color="auto"/>
              <w:left w:val="nil"/>
              <w:bottom w:val="single" w:sz="12" w:space="0" w:color="auto"/>
              <w:right w:val="nil"/>
            </w:tcBorders>
            <w:shd w:val="clear" w:color="auto" w:fill="auto"/>
            <w:vAlign w:val="bottom"/>
            <w:hideMark/>
          </w:tcPr>
          <w:p w:rsidR="005D794D" w:rsidRPr="00CD3A2D" w:rsidRDefault="005D794D">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      858 </w:t>
            </w:r>
          </w:p>
        </w:tc>
        <w:tc>
          <w:tcPr>
            <w:tcW w:w="1574" w:type="dxa"/>
            <w:tcBorders>
              <w:top w:val="single" w:sz="4" w:space="0" w:color="auto"/>
              <w:left w:val="nil"/>
              <w:bottom w:val="single" w:sz="12" w:space="0" w:color="auto"/>
              <w:right w:val="nil"/>
            </w:tcBorders>
            <w:shd w:val="clear" w:color="auto" w:fill="auto"/>
            <w:vAlign w:val="bottom"/>
            <w:hideMark/>
          </w:tcPr>
          <w:p w:rsidR="005D794D" w:rsidRPr="00CD3A2D" w:rsidRDefault="005D794D">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           858 </w:t>
            </w:r>
          </w:p>
        </w:tc>
      </w:tr>
      <w:tr w:rsidR="00DB7F78" w:rsidRPr="001567C8" w:rsidTr="003C6BA3">
        <w:trPr>
          <w:trHeight w:val="379"/>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color w:val="000000"/>
                <w:sz w:val="22"/>
                <w:szCs w:val="22"/>
                <w:lang w:val="hr-HR"/>
              </w:rPr>
            </w:pPr>
            <w:r w:rsidRPr="00CD3A2D">
              <w:rPr>
                <w:rFonts w:ascii="Calibri" w:hAnsi="Calibri" w:cs="Calibri"/>
                <w:color w:val="000000"/>
                <w:sz w:val="22"/>
                <w:szCs w:val="22"/>
                <w:lang w:val="hr-HR"/>
              </w:rPr>
              <w:t xml:space="preserve">Učinak MSFI-ja 9 </w:t>
            </w:r>
            <w:r w:rsidRPr="00CD3A2D">
              <w:rPr>
                <w:rFonts w:ascii="Calibri" w:hAnsi="Calibri" w:cs="Calibri"/>
                <w:sz w:val="22"/>
                <w:szCs w:val="22"/>
                <w:lang w:val="hr-HR"/>
              </w:rPr>
              <w:t>(bilješka 5)</w:t>
            </w:r>
          </w:p>
        </w:tc>
        <w:tc>
          <w:tcPr>
            <w:tcW w:w="1392" w:type="dxa"/>
            <w:tcBorders>
              <w:top w:val="single" w:sz="12" w:space="0" w:color="auto"/>
              <w:left w:val="nil"/>
              <w:bottom w:val="nil"/>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(817)</w:t>
            </w:r>
          </w:p>
        </w:tc>
        <w:tc>
          <w:tcPr>
            <w:tcW w:w="1574" w:type="dxa"/>
            <w:tcBorders>
              <w:top w:val="single" w:sz="12" w:space="0" w:color="auto"/>
              <w:left w:val="nil"/>
              <w:bottom w:val="nil"/>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(817)</w:t>
            </w:r>
          </w:p>
        </w:tc>
      </w:tr>
      <w:tr w:rsidR="00DB7F78" w:rsidRPr="001567C8" w:rsidTr="003C6BA3">
        <w:trPr>
          <w:trHeight w:val="379"/>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b/>
                <w:bCs/>
                <w:color w:val="000000"/>
                <w:sz w:val="22"/>
                <w:szCs w:val="22"/>
                <w:lang w:val="hr-HR"/>
              </w:rPr>
            </w:pPr>
            <w:r w:rsidRPr="00CD3A2D">
              <w:rPr>
                <w:rFonts w:ascii="Calibri" w:hAnsi="Calibri" w:cs="Calibri"/>
                <w:b/>
                <w:bCs/>
                <w:color w:val="000000"/>
                <w:sz w:val="22"/>
                <w:szCs w:val="22"/>
                <w:lang w:val="hr-HR"/>
              </w:rPr>
              <w:t>Stanje 1. siječnja 2018. godine</w:t>
            </w:r>
          </w:p>
        </w:tc>
        <w:tc>
          <w:tcPr>
            <w:tcW w:w="1392" w:type="dxa"/>
            <w:tcBorders>
              <w:top w:val="single" w:sz="4" w:space="0" w:color="auto"/>
              <w:left w:val="nil"/>
              <w:bottom w:val="single" w:sz="12" w:space="0" w:color="auto"/>
              <w:right w:val="nil"/>
            </w:tcBorders>
            <w:shd w:val="clear" w:color="auto" w:fill="auto"/>
            <w:vAlign w:val="bottom"/>
            <w:hideMark/>
          </w:tcPr>
          <w:p w:rsidR="005D794D" w:rsidRPr="00CD3A2D" w:rsidRDefault="005D794D">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    41 </w:t>
            </w:r>
          </w:p>
        </w:tc>
        <w:tc>
          <w:tcPr>
            <w:tcW w:w="1574" w:type="dxa"/>
            <w:tcBorders>
              <w:top w:val="single" w:sz="4" w:space="0" w:color="auto"/>
              <w:left w:val="nil"/>
              <w:bottom w:val="single" w:sz="12" w:space="0" w:color="auto"/>
              <w:right w:val="nil"/>
            </w:tcBorders>
            <w:shd w:val="clear" w:color="auto" w:fill="auto"/>
            <w:vAlign w:val="bottom"/>
            <w:hideMark/>
          </w:tcPr>
          <w:p w:rsidR="005D794D" w:rsidRPr="00CD3A2D" w:rsidRDefault="005D794D">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         41 </w:t>
            </w:r>
          </w:p>
        </w:tc>
      </w:tr>
      <w:tr w:rsidR="00DB7F78" w:rsidRPr="001567C8" w:rsidTr="003C6BA3">
        <w:trPr>
          <w:trHeight w:val="379"/>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color w:val="000000"/>
                <w:sz w:val="22"/>
                <w:szCs w:val="22"/>
                <w:lang w:val="hr-HR"/>
              </w:rPr>
            </w:pPr>
            <w:r w:rsidRPr="00CD3A2D">
              <w:rPr>
                <w:rFonts w:ascii="Calibri" w:hAnsi="Calibri" w:cs="Calibri"/>
                <w:color w:val="000000"/>
                <w:sz w:val="22"/>
                <w:szCs w:val="22"/>
                <w:lang w:val="hr-HR"/>
              </w:rPr>
              <w:t xml:space="preserve">Povećanje rezerviranja za </w:t>
            </w:r>
            <w:r w:rsidR="00726C85"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 po računima kod banaka</w:t>
            </w:r>
          </w:p>
        </w:tc>
        <w:tc>
          <w:tcPr>
            <w:tcW w:w="1392" w:type="dxa"/>
            <w:tcBorders>
              <w:top w:val="single" w:sz="12" w:space="0" w:color="auto"/>
              <w:left w:val="nil"/>
              <w:bottom w:val="nil"/>
              <w:right w:val="nil"/>
            </w:tcBorders>
            <w:shd w:val="clear" w:color="auto" w:fill="auto"/>
            <w:noWrap/>
            <w:vAlign w:val="bottom"/>
            <w:hideMark/>
          </w:tcPr>
          <w:p w:rsidR="005D794D" w:rsidRPr="00CD3A2D" w:rsidRDefault="00DB7F78" w:rsidP="00441617">
            <w:pPr>
              <w:jc w:val="right"/>
              <w:rPr>
                <w:rFonts w:ascii="Calibri" w:hAnsi="Calibri" w:cs="Calibri"/>
                <w:color w:val="000000"/>
                <w:sz w:val="22"/>
                <w:szCs w:val="22"/>
                <w:lang w:val="hr-HR"/>
              </w:rPr>
            </w:pPr>
            <w:r w:rsidRPr="00CD3A2D">
              <w:rPr>
                <w:rFonts w:ascii="Calibri" w:hAnsi="Calibri" w:cs="Calibri"/>
                <w:color w:val="000000"/>
                <w:sz w:val="22"/>
                <w:szCs w:val="22"/>
                <w:lang w:val="hr-HR"/>
              </w:rPr>
              <w:t>2.217</w:t>
            </w:r>
          </w:p>
        </w:tc>
        <w:tc>
          <w:tcPr>
            <w:tcW w:w="1574" w:type="dxa"/>
            <w:tcBorders>
              <w:top w:val="single" w:sz="12" w:space="0" w:color="auto"/>
              <w:left w:val="nil"/>
              <w:bottom w:val="nil"/>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2.200 </w:t>
            </w:r>
          </w:p>
        </w:tc>
      </w:tr>
      <w:tr w:rsidR="00DB7F78" w:rsidRPr="001567C8" w:rsidTr="003C6BA3">
        <w:trPr>
          <w:trHeight w:val="379"/>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color w:val="000000"/>
                <w:sz w:val="22"/>
                <w:szCs w:val="22"/>
                <w:lang w:val="hr-HR"/>
              </w:rPr>
            </w:pPr>
            <w:r w:rsidRPr="00CD3A2D">
              <w:rPr>
                <w:rFonts w:ascii="Calibri" w:hAnsi="Calibri" w:cs="Calibri"/>
                <w:color w:val="000000"/>
                <w:sz w:val="22"/>
                <w:szCs w:val="22"/>
                <w:lang w:val="hr-HR"/>
              </w:rPr>
              <w:t xml:space="preserve">Smanjenje rezerviranja za </w:t>
            </w:r>
            <w:r w:rsidR="00726C85"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 po računima kod banaka</w:t>
            </w:r>
          </w:p>
        </w:tc>
        <w:tc>
          <w:tcPr>
            <w:tcW w:w="1392" w:type="dxa"/>
            <w:tcBorders>
              <w:top w:val="nil"/>
              <w:left w:val="nil"/>
              <w:bottom w:val="nil"/>
              <w:right w:val="nil"/>
            </w:tcBorders>
            <w:shd w:val="clear" w:color="auto" w:fill="auto"/>
            <w:noWrap/>
            <w:vAlign w:val="bottom"/>
            <w:hideMark/>
          </w:tcPr>
          <w:p w:rsidR="005D794D" w:rsidRPr="00CD3A2D" w:rsidRDefault="00DB7F78" w:rsidP="00441617">
            <w:pPr>
              <w:jc w:val="right"/>
              <w:rPr>
                <w:rFonts w:ascii="Calibri" w:hAnsi="Calibri" w:cs="Calibri"/>
                <w:color w:val="000000"/>
                <w:sz w:val="22"/>
                <w:szCs w:val="22"/>
                <w:lang w:val="hr-HR"/>
              </w:rPr>
            </w:pPr>
            <w:r w:rsidRPr="00CD3A2D">
              <w:rPr>
                <w:rFonts w:ascii="Calibri" w:hAnsi="Calibri" w:cs="Calibri"/>
                <w:color w:val="000000"/>
                <w:sz w:val="22"/>
                <w:szCs w:val="22"/>
                <w:lang w:val="hr-HR"/>
              </w:rPr>
              <w:t>(592)</w:t>
            </w:r>
          </w:p>
        </w:tc>
        <w:tc>
          <w:tcPr>
            <w:tcW w:w="1574" w:type="dxa"/>
            <w:tcBorders>
              <w:top w:val="nil"/>
              <w:left w:val="nil"/>
              <w:bottom w:val="nil"/>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(592)</w:t>
            </w:r>
          </w:p>
        </w:tc>
      </w:tr>
      <w:tr w:rsidR="00DB7F78" w:rsidRPr="001567C8" w:rsidTr="003C6BA3">
        <w:trPr>
          <w:trHeight w:val="379"/>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i/>
                <w:iCs/>
                <w:sz w:val="22"/>
                <w:szCs w:val="22"/>
                <w:lang w:val="hr-HR"/>
              </w:rPr>
            </w:pPr>
            <w:r w:rsidRPr="00CD3A2D">
              <w:rPr>
                <w:rFonts w:ascii="Calibri" w:hAnsi="Calibri" w:cs="Calibri"/>
                <w:i/>
                <w:iCs/>
                <w:sz w:val="22"/>
                <w:szCs w:val="22"/>
                <w:lang w:val="hr-HR"/>
              </w:rPr>
              <w:t xml:space="preserve">Ukupno kroz </w:t>
            </w:r>
            <w:r w:rsidR="006F4525" w:rsidRPr="00CD3A2D">
              <w:rPr>
                <w:rFonts w:ascii="Calibri" w:hAnsi="Calibri" w:cs="Calibri"/>
                <w:i/>
                <w:iCs/>
                <w:sz w:val="22"/>
                <w:szCs w:val="22"/>
                <w:lang w:val="hr-HR"/>
              </w:rPr>
              <w:t>do</w:t>
            </w:r>
            <w:r w:rsidRPr="00CD3A2D">
              <w:rPr>
                <w:rFonts w:ascii="Calibri" w:hAnsi="Calibri" w:cs="Calibri"/>
                <w:i/>
                <w:iCs/>
                <w:sz w:val="22"/>
                <w:szCs w:val="22"/>
                <w:lang w:val="hr-HR"/>
              </w:rPr>
              <w:t>bit i</w:t>
            </w:r>
            <w:r w:rsidR="00316574" w:rsidRPr="00CD3A2D">
              <w:rPr>
                <w:rFonts w:ascii="Calibri" w:hAnsi="Calibri" w:cs="Calibri"/>
                <w:i/>
                <w:iCs/>
                <w:sz w:val="22"/>
                <w:szCs w:val="22"/>
                <w:lang w:val="hr-HR"/>
              </w:rPr>
              <w:t>li</w:t>
            </w:r>
            <w:r w:rsidRPr="00CD3A2D">
              <w:rPr>
                <w:rFonts w:ascii="Calibri" w:hAnsi="Calibri" w:cs="Calibri"/>
                <w:i/>
                <w:iCs/>
                <w:sz w:val="22"/>
                <w:szCs w:val="22"/>
                <w:lang w:val="hr-HR"/>
              </w:rPr>
              <w:t xml:space="preserve"> gubi</w:t>
            </w:r>
            <w:r w:rsidR="00316574" w:rsidRPr="00CD3A2D">
              <w:rPr>
                <w:rFonts w:ascii="Calibri" w:hAnsi="Calibri" w:cs="Calibri"/>
                <w:i/>
                <w:iCs/>
                <w:sz w:val="22"/>
                <w:szCs w:val="22"/>
                <w:lang w:val="hr-HR"/>
              </w:rPr>
              <w:t>tak</w:t>
            </w:r>
            <w:r w:rsidRPr="00CD3A2D">
              <w:rPr>
                <w:rFonts w:ascii="Calibri" w:hAnsi="Calibri" w:cs="Calibri"/>
                <w:i/>
                <w:iCs/>
                <w:sz w:val="22"/>
                <w:szCs w:val="22"/>
                <w:lang w:val="hr-HR"/>
              </w:rPr>
              <w:t xml:space="preserve"> (bilješka </w:t>
            </w:r>
            <w:r w:rsidR="00F60CF7" w:rsidRPr="00CD3A2D">
              <w:rPr>
                <w:rFonts w:ascii="Calibri" w:hAnsi="Calibri" w:cs="Calibri"/>
                <w:i/>
                <w:iCs/>
                <w:sz w:val="22"/>
                <w:szCs w:val="22"/>
                <w:lang w:val="hr-HR"/>
              </w:rPr>
              <w:t>11</w:t>
            </w:r>
            <w:r w:rsidRPr="00CD3A2D">
              <w:rPr>
                <w:rFonts w:ascii="Calibri" w:hAnsi="Calibri" w:cs="Calibri"/>
                <w:i/>
                <w:iCs/>
                <w:sz w:val="22"/>
                <w:szCs w:val="22"/>
                <w:lang w:val="hr-HR"/>
              </w:rPr>
              <w:t>)</w:t>
            </w:r>
          </w:p>
        </w:tc>
        <w:tc>
          <w:tcPr>
            <w:tcW w:w="1392" w:type="dxa"/>
            <w:tcBorders>
              <w:top w:val="single" w:sz="4" w:space="0" w:color="auto"/>
              <w:left w:val="nil"/>
              <w:bottom w:val="single" w:sz="4" w:space="0" w:color="auto"/>
              <w:right w:val="nil"/>
            </w:tcBorders>
            <w:shd w:val="clear" w:color="auto" w:fill="auto"/>
            <w:vAlign w:val="bottom"/>
            <w:hideMark/>
          </w:tcPr>
          <w:p w:rsidR="005D794D" w:rsidRPr="00CD3A2D" w:rsidRDefault="00DB7F78">
            <w:pPr>
              <w:jc w:val="right"/>
              <w:rPr>
                <w:rFonts w:ascii="Calibri" w:hAnsi="Calibri" w:cs="Calibri"/>
                <w:i/>
                <w:iCs/>
                <w:color w:val="000000"/>
                <w:sz w:val="22"/>
                <w:szCs w:val="22"/>
                <w:lang w:val="hr-HR"/>
              </w:rPr>
            </w:pPr>
            <w:r w:rsidRPr="00CD3A2D">
              <w:rPr>
                <w:rFonts w:ascii="Calibri" w:hAnsi="Calibri" w:cs="Calibri"/>
                <w:i/>
                <w:iCs/>
                <w:color w:val="000000"/>
                <w:sz w:val="22"/>
                <w:szCs w:val="22"/>
                <w:lang w:val="hr-HR"/>
              </w:rPr>
              <w:t>1.625</w:t>
            </w:r>
            <w:r w:rsidR="005D794D" w:rsidRPr="00CD3A2D">
              <w:rPr>
                <w:rFonts w:ascii="Calibri" w:hAnsi="Calibri" w:cs="Calibri"/>
                <w:i/>
                <w:iCs/>
                <w:color w:val="000000"/>
                <w:sz w:val="22"/>
                <w:szCs w:val="22"/>
                <w:lang w:val="hr-HR"/>
              </w:rPr>
              <w:t xml:space="preserve"> </w:t>
            </w:r>
          </w:p>
        </w:tc>
        <w:tc>
          <w:tcPr>
            <w:tcW w:w="1574" w:type="dxa"/>
            <w:tcBorders>
              <w:top w:val="single" w:sz="4" w:space="0" w:color="auto"/>
              <w:left w:val="nil"/>
              <w:bottom w:val="single" w:sz="4" w:space="0" w:color="auto"/>
              <w:right w:val="nil"/>
            </w:tcBorders>
            <w:shd w:val="clear" w:color="auto" w:fill="auto"/>
            <w:vAlign w:val="bottom"/>
            <w:hideMark/>
          </w:tcPr>
          <w:p w:rsidR="005D794D" w:rsidRPr="00CD3A2D" w:rsidRDefault="005D794D">
            <w:pPr>
              <w:jc w:val="right"/>
              <w:rPr>
                <w:rFonts w:ascii="Calibri" w:hAnsi="Calibri" w:cs="Calibri"/>
                <w:i/>
                <w:iCs/>
                <w:color w:val="000000"/>
                <w:sz w:val="22"/>
                <w:szCs w:val="22"/>
                <w:lang w:val="hr-HR"/>
              </w:rPr>
            </w:pPr>
            <w:r w:rsidRPr="00CD3A2D">
              <w:rPr>
                <w:rFonts w:ascii="Calibri" w:hAnsi="Calibri" w:cs="Calibri"/>
                <w:i/>
                <w:iCs/>
                <w:color w:val="000000"/>
                <w:sz w:val="22"/>
                <w:szCs w:val="22"/>
                <w:lang w:val="hr-HR"/>
              </w:rPr>
              <w:t xml:space="preserve">      1.608 </w:t>
            </w:r>
          </w:p>
        </w:tc>
      </w:tr>
      <w:tr w:rsidR="00DB7F78" w:rsidRPr="001567C8" w:rsidTr="003C6BA3">
        <w:trPr>
          <w:trHeight w:val="385"/>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color w:val="000000"/>
                <w:sz w:val="22"/>
                <w:szCs w:val="22"/>
                <w:lang w:val="hr-HR"/>
              </w:rPr>
            </w:pPr>
            <w:r w:rsidRPr="00CD3A2D">
              <w:rPr>
                <w:rFonts w:ascii="Calibri" w:hAnsi="Calibri" w:cs="Calibri"/>
                <w:color w:val="000000"/>
                <w:sz w:val="22"/>
                <w:szCs w:val="22"/>
                <w:lang w:val="hr-HR"/>
              </w:rPr>
              <w:t xml:space="preserve">Neto dobit </w:t>
            </w:r>
            <w:r w:rsidR="00260AF4" w:rsidRPr="00CD3A2D">
              <w:rPr>
                <w:rFonts w:ascii="Calibri" w:hAnsi="Calibri" w:cs="Calibri"/>
                <w:color w:val="000000"/>
                <w:sz w:val="22"/>
                <w:szCs w:val="22"/>
                <w:lang w:val="hr-HR"/>
              </w:rPr>
              <w:t>od</w:t>
            </w:r>
            <w:r w:rsidRPr="00CD3A2D">
              <w:rPr>
                <w:rFonts w:ascii="Calibri" w:hAnsi="Calibri" w:cs="Calibri"/>
                <w:color w:val="000000"/>
                <w:sz w:val="22"/>
                <w:szCs w:val="22"/>
                <w:lang w:val="hr-HR"/>
              </w:rPr>
              <w:t xml:space="preserve"> tečajni</w:t>
            </w:r>
            <w:r w:rsidR="00260AF4" w:rsidRPr="00CD3A2D">
              <w:rPr>
                <w:rFonts w:ascii="Calibri" w:hAnsi="Calibri" w:cs="Calibri"/>
                <w:color w:val="000000"/>
                <w:sz w:val="22"/>
                <w:szCs w:val="22"/>
                <w:lang w:val="hr-HR"/>
              </w:rPr>
              <w:t>h</w:t>
            </w:r>
            <w:r w:rsidRPr="00CD3A2D">
              <w:rPr>
                <w:rFonts w:ascii="Calibri" w:hAnsi="Calibri" w:cs="Calibri"/>
                <w:color w:val="000000"/>
                <w:sz w:val="22"/>
                <w:szCs w:val="22"/>
                <w:lang w:val="hr-HR"/>
              </w:rPr>
              <w:t xml:space="preserve"> razlika po rezerviranjima za </w:t>
            </w:r>
            <w:r w:rsidR="00640BE0" w:rsidRPr="00CD3A2D">
              <w:rPr>
                <w:rFonts w:ascii="Calibri" w:hAnsi="Calibri" w:cs="Calibri"/>
                <w:color w:val="000000"/>
                <w:sz w:val="22"/>
                <w:szCs w:val="22"/>
                <w:lang w:val="hr-HR"/>
              </w:rPr>
              <w:t xml:space="preserve">očekivane </w:t>
            </w:r>
            <w:r w:rsidRPr="00CD3A2D">
              <w:rPr>
                <w:rFonts w:ascii="Calibri" w:hAnsi="Calibri" w:cs="Calibri"/>
                <w:color w:val="000000"/>
                <w:sz w:val="22"/>
                <w:szCs w:val="22"/>
                <w:lang w:val="hr-HR"/>
              </w:rPr>
              <w:t xml:space="preserve">gubitke </w:t>
            </w:r>
          </w:p>
        </w:tc>
        <w:tc>
          <w:tcPr>
            <w:tcW w:w="1392" w:type="dxa"/>
            <w:tcBorders>
              <w:top w:val="nil"/>
              <w:left w:val="nil"/>
              <w:bottom w:val="single" w:sz="4" w:space="0" w:color="auto"/>
              <w:right w:val="nil"/>
            </w:tcBorders>
            <w:shd w:val="clear" w:color="auto" w:fill="auto"/>
            <w:noWrap/>
            <w:vAlign w:val="bottom"/>
            <w:hideMark/>
          </w:tcPr>
          <w:p w:rsidR="005D794D" w:rsidRPr="00CD3A2D" w:rsidRDefault="00DB7F78" w:rsidP="00441617">
            <w:pPr>
              <w:jc w:val="right"/>
              <w:rPr>
                <w:rFonts w:ascii="Calibri" w:hAnsi="Calibri" w:cs="Calibri"/>
                <w:color w:val="000000"/>
                <w:sz w:val="22"/>
                <w:szCs w:val="22"/>
                <w:lang w:val="hr-HR"/>
              </w:rPr>
            </w:pPr>
            <w:r w:rsidRPr="00CD3A2D">
              <w:rPr>
                <w:rFonts w:ascii="Calibri" w:hAnsi="Calibri" w:cs="Calibri"/>
                <w:color w:val="000000"/>
                <w:sz w:val="22"/>
                <w:szCs w:val="22"/>
                <w:lang w:val="hr-HR"/>
              </w:rPr>
              <w:t>2</w:t>
            </w:r>
          </w:p>
        </w:tc>
        <w:tc>
          <w:tcPr>
            <w:tcW w:w="1574" w:type="dxa"/>
            <w:tcBorders>
              <w:top w:val="nil"/>
              <w:left w:val="nil"/>
              <w:bottom w:val="single" w:sz="4" w:space="0" w:color="auto"/>
              <w:right w:val="nil"/>
            </w:tcBorders>
            <w:shd w:val="clear" w:color="auto" w:fill="auto"/>
            <w:vAlign w:val="bottom"/>
            <w:hideMark/>
          </w:tcPr>
          <w:p w:rsidR="005D794D" w:rsidRPr="00CD3A2D" w:rsidRDefault="005D794D">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2 </w:t>
            </w:r>
          </w:p>
        </w:tc>
      </w:tr>
      <w:tr w:rsidR="00DB7F78" w:rsidRPr="001567C8" w:rsidTr="003C6BA3">
        <w:trPr>
          <w:trHeight w:val="343"/>
        </w:trPr>
        <w:tc>
          <w:tcPr>
            <w:tcW w:w="6531" w:type="dxa"/>
            <w:tcBorders>
              <w:top w:val="nil"/>
              <w:left w:val="nil"/>
              <w:bottom w:val="nil"/>
              <w:right w:val="nil"/>
            </w:tcBorders>
            <w:shd w:val="clear" w:color="auto" w:fill="auto"/>
            <w:vAlign w:val="bottom"/>
            <w:hideMark/>
          </w:tcPr>
          <w:p w:rsidR="005D794D" w:rsidRPr="00CD3A2D" w:rsidRDefault="005D794D">
            <w:pPr>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Stanje 31. </w:t>
            </w:r>
            <w:r w:rsidR="00266902" w:rsidRPr="00CD3A2D">
              <w:rPr>
                <w:rFonts w:ascii="Calibri" w:hAnsi="Calibri" w:cs="Calibri"/>
                <w:b/>
                <w:bCs/>
                <w:color w:val="000000"/>
                <w:sz w:val="22"/>
                <w:szCs w:val="22"/>
                <w:lang w:val="hr-HR"/>
              </w:rPr>
              <w:t>p</w:t>
            </w:r>
            <w:r w:rsidRPr="00CD3A2D">
              <w:rPr>
                <w:rFonts w:ascii="Calibri" w:hAnsi="Calibri" w:cs="Calibri"/>
                <w:b/>
                <w:bCs/>
                <w:color w:val="000000"/>
                <w:sz w:val="22"/>
                <w:szCs w:val="22"/>
                <w:lang w:val="hr-HR"/>
              </w:rPr>
              <w:t>rosinca</w:t>
            </w:r>
            <w:r w:rsidR="00266902" w:rsidRPr="00CD3A2D">
              <w:rPr>
                <w:rFonts w:ascii="Calibri" w:hAnsi="Calibri" w:cs="Calibri"/>
                <w:b/>
                <w:bCs/>
                <w:color w:val="000000"/>
                <w:sz w:val="22"/>
                <w:szCs w:val="22"/>
                <w:lang w:val="hr-HR"/>
              </w:rPr>
              <w:t xml:space="preserve"> 2018. godine</w:t>
            </w:r>
          </w:p>
        </w:tc>
        <w:tc>
          <w:tcPr>
            <w:tcW w:w="1392" w:type="dxa"/>
            <w:tcBorders>
              <w:top w:val="single" w:sz="4" w:space="0" w:color="auto"/>
              <w:left w:val="nil"/>
              <w:bottom w:val="single" w:sz="12" w:space="0" w:color="auto"/>
              <w:right w:val="nil"/>
            </w:tcBorders>
            <w:shd w:val="clear" w:color="auto" w:fill="auto"/>
            <w:vAlign w:val="bottom"/>
            <w:hideMark/>
          </w:tcPr>
          <w:p w:rsidR="005D794D" w:rsidRPr="00CD3A2D" w:rsidRDefault="00DB7F78">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1.668</w:t>
            </w:r>
          </w:p>
        </w:tc>
        <w:tc>
          <w:tcPr>
            <w:tcW w:w="1574" w:type="dxa"/>
            <w:tcBorders>
              <w:top w:val="single" w:sz="4" w:space="0" w:color="auto"/>
              <w:left w:val="nil"/>
              <w:bottom w:val="single" w:sz="12" w:space="0" w:color="auto"/>
              <w:right w:val="nil"/>
            </w:tcBorders>
            <w:shd w:val="clear" w:color="auto" w:fill="auto"/>
            <w:vAlign w:val="bottom"/>
            <w:hideMark/>
          </w:tcPr>
          <w:p w:rsidR="005D794D" w:rsidRPr="00CD3A2D" w:rsidRDefault="005D794D">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1.651</w:t>
            </w:r>
          </w:p>
        </w:tc>
      </w:tr>
    </w:tbl>
    <w:p w:rsidR="0063609C" w:rsidRPr="001567C8" w:rsidRDefault="0063609C" w:rsidP="0063609C">
      <w:pPr>
        <w:pStyle w:val="T1"/>
        <w:spacing w:before="0" w:after="0" w:line="240" w:lineRule="auto"/>
        <w:rPr>
          <w:rFonts w:asciiTheme="minorHAnsi" w:hAnsiTheme="minorHAnsi" w:cs="Arial"/>
          <w:sz w:val="22"/>
          <w:szCs w:val="22"/>
          <w:lang w:val="hr-HR"/>
        </w:rPr>
      </w:pPr>
    </w:p>
    <w:p w:rsidR="00537613" w:rsidRPr="001567C8" w:rsidRDefault="0063609C" w:rsidP="003C6BA3">
      <w:pPr>
        <w:pStyle w:val="T1"/>
        <w:spacing w:before="0" w:after="0" w:line="240" w:lineRule="auto"/>
        <w:rPr>
          <w:rFonts w:asciiTheme="minorHAnsi" w:hAnsiTheme="minorHAnsi" w:cs="Arial"/>
          <w:b w:val="0"/>
          <w:sz w:val="22"/>
          <w:szCs w:val="22"/>
          <w:lang w:val="hr-HR"/>
        </w:rPr>
        <w:sectPr w:rsidR="00537613" w:rsidRPr="001567C8" w:rsidSect="000D6913">
          <w:pgSz w:w="11907" w:h="16840" w:code="9"/>
          <w:pgMar w:top="1418" w:right="1134" w:bottom="1134" w:left="1418" w:header="851" w:footer="851" w:gutter="0"/>
          <w:cols w:space="720"/>
          <w:noEndnote/>
        </w:sectPr>
      </w:pPr>
      <w:r w:rsidRPr="001567C8">
        <w:rPr>
          <w:rFonts w:asciiTheme="minorHAnsi" w:hAnsiTheme="minorHAnsi" w:cs="Arial"/>
          <w:b w:val="0"/>
          <w:sz w:val="22"/>
          <w:szCs w:val="22"/>
          <w:lang w:val="hr-HR"/>
        </w:rPr>
        <w:t>Neto dobit od tečajnih razlika po rezerviranjima za očekivane gubitke prikazan je unutar Neto prihoda/(rashoda) od financijskih aktivnosti u Računu dobiti i gubitka.</w:t>
      </w:r>
    </w:p>
    <w:p w:rsidR="006668D6" w:rsidRPr="001567C8" w:rsidRDefault="006668D6" w:rsidP="006668D6">
      <w:pPr>
        <w:pStyle w:val="T1"/>
        <w:spacing w:before="0" w:after="0" w:line="240" w:lineRule="auto"/>
        <w:rPr>
          <w:rFonts w:asciiTheme="minorHAnsi" w:hAnsiTheme="minorHAnsi" w:cs="Arial"/>
          <w:sz w:val="22"/>
          <w:szCs w:val="22"/>
          <w:lang w:val="hr-HR"/>
        </w:rPr>
      </w:pPr>
    </w:p>
    <w:p w:rsidR="006D0890" w:rsidRPr="001567C8" w:rsidRDefault="005028E4" w:rsidP="006668D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4</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t>Depoziti kod drugih banaka</w:t>
      </w:r>
    </w:p>
    <w:p w:rsidR="006D0890" w:rsidRPr="001567C8" w:rsidRDefault="006D0890" w:rsidP="006668D6">
      <w:pPr>
        <w:tabs>
          <w:tab w:val="left" w:pos="-720"/>
        </w:tabs>
        <w:suppressAutoHyphens/>
        <w:rPr>
          <w:rFonts w:asciiTheme="minorHAnsi" w:hAnsiTheme="minorHAnsi" w:cs="Arial"/>
          <w:sz w:val="22"/>
          <w:szCs w:val="22"/>
          <w:lang w:val="hr-HR"/>
        </w:rPr>
      </w:pPr>
    </w:p>
    <w:tbl>
      <w:tblPr>
        <w:tblW w:w="5000" w:type="pct"/>
        <w:tblCellMar>
          <w:left w:w="122" w:type="dxa"/>
          <w:right w:w="122" w:type="dxa"/>
        </w:tblCellMar>
        <w:tblLook w:val="0000" w:firstRow="0" w:lastRow="0" w:firstColumn="0" w:lastColumn="0" w:noHBand="0" w:noVBand="0"/>
      </w:tblPr>
      <w:tblGrid>
        <w:gridCol w:w="3555"/>
        <w:gridCol w:w="1450"/>
        <w:gridCol w:w="1450"/>
        <w:gridCol w:w="1450"/>
        <w:gridCol w:w="1450"/>
      </w:tblGrid>
      <w:tr w:rsidR="00200CEF" w:rsidRPr="001567C8" w:rsidTr="006668D6">
        <w:trPr>
          <w:trHeight w:val="112"/>
        </w:trPr>
        <w:tc>
          <w:tcPr>
            <w:tcW w:w="1900" w:type="pct"/>
          </w:tcPr>
          <w:p w:rsidR="00200CEF" w:rsidRPr="001567C8" w:rsidRDefault="00200CEF">
            <w:pPr>
              <w:tabs>
                <w:tab w:val="left" w:pos="-720"/>
              </w:tabs>
              <w:suppressAutoHyphens/>
              <w:rPr>
                <w:rFonts w:asciiTheme="minorHAnsi" w:hAnsiTheme="minorHAnsi" w:cs="Arial"/>
                <w:b/>
                <w:sz w:val="20"/>
                <w:szCs w:val="20"/>
                <w:lang w:val="hr-HR"/>
              </w:rPr>
            </w:pPr>
          </w:p>
        </w:tc>
        <w:tc>
          <w:tcPr>
            <w:tcW w:w="1550" w:type="pct"/>
            <w:gridSpan w:val="2"/>
            <w:vAlign w:val="bottom"/>
          </w:tcPr>
          <w:p w:rsidR="00200CEF" w:rsidRPr="001567C8" w:rsidRDefault="00200CEF">
            <w:pPr>
              <w:pStyle w:val="TH"/>
              <w:jc w:val="right"/>
              <w:rPr>
                <w:rFonts w:asciiTheme="minorHAnsi" w:hAnsiTheme="minorHAnsi" w:cs="Arial"/>
                <w:sz w:val="20"/>
                <w:lang w:val="hr-HR"/>
              </w:rPr>
            </w:pPr>
            <w:r w:rsidRPr="001567C8">
              <w:rPr>
                <w:rFonts w:asciiTheme="minorHAnsi" w:hAnsiTheme="minorHAnsi" w:cs="Arial"/>
                <w:sz w:val="20"/>
                <w:lang w:val="hr-HR"/>
              </w:rPr>
              <w:t>Grupa</w:t>
            </w:r>
          </w:p>
        </w:tc>
        <w:tc>
          <w:tcPr>
            <w:tcW w:w="1550" w:type="pct"/>
            <w:gridSpan w:val="2"/>
            <w:vAlign w:val="bottom"/>
          </w:tcPr>
          <w:p w:rsidR="00200CEF" w:rsidRPr="001567C8" w:rsidRDefault="00200CEF">
            <w:pPr>
              <w:pStyle w:val="TH"/>
              <w:jc w:val="right"/>
              <w:rPr>
                <w:rFonts w:asciiTheme="minorHAnsi" w:hAnsiTheme="minorHAnsi" w:cs="Arial"/>
                <w:sz w:val="20"/>
                <w:lang w:val="hr-HR"/>
              </w:rPr>
            </w:pPr>
            <w:r w:rsidRPr="001567C8">
              <w:rPr>
                <w:rFonts w:asciiTheme="minorHAnsi" w:hAnsiTheme="minorHAnsi" w:cs="Arial"/>
                <w:sz w:val="20"/>
                <w:lang w:val="hr-HR"/>
              </w:rPr>
              <w:t>Banka</w:t>
            </w:r>
          </w:p>
        </w:tc>
      </w:tr>
      <w:tr w:rsidR="00541891" w:rsidRPr="001567C8" w:rsidTr="006668D6">
        <w:trPr>
          <w:trHeight w:val="112"/>
        </w:trPr>
        <w:tc>
          <w:tcPr>
            <w:tcW w:w="1900" w:type="pct"/>
          </w:tcPr>
          <w:p w:rsidR="00541891" w:rsidRPr="001567C8" w:rsidRDefault="00541891" w:rsidP="00541891">
            <w:pPr>
              <w:tabs>
                <w:tab w:val="left" w:pos="-720"/>
              </w:tabs>
              <w:suppressAutoHyphens/>
              <w:rPr>
                <w:rFonts w:asciiTheme="minorHAnsi" w:hAnsiTheme="minorHAnsi" w:cs="Arial"/>
                <w:b/>
                <w:sz w:val="20"/>
                <w:szCs w:val="20"/>
                <w:lang w:val="hr-HR"/>
              </w:rPr>
            </w:pPr>
          </w:p>
        </w:tc>
        <w:tc>
          <w:tcPr>
            <w:tcW w:w="775" w:type="pct"/>
            <w:vAlign w:val="bottom"/>
          </w:tcPr>
          <w:p w:rsidR="00541891" w:rsidRPr="001567C8" w:rsidRDefault="0001590F" w:rsidP="00541891">
            <w:pPr>
              <w:pStyle w:val="TH"/>
              <w:jc w:val="right"/>
              <w:rPr>
                <w:rFonts w:asciiTheme="minorHAnsi" w:hAnsiTheme="minorHAnsi" w:cs="Arial"/>
                <w:sz w:val="20"/>
                <w:lang w:val="hr-HR"/>
              </w:rPr>
            </w:pPr>
            <w:r w:rsidRPr="001567C8">
              <w:rPr>
                <w:rFonts w:asciiTheme="minorHAnsi" w:hAnsiTheme="minorHAnsi" w:cs="Arial"/>
                <w:sz w:val="20"/>
                <w:lang w:val="hr-HR"/>
              </w:rPr>
              <w:t>31.</w:t>
            </w:r>
            <w:r>
              <w:rPr>
                <w:rFonts w:asciiTheme="minorHAnsi" w:hAnsiTheme="minorHAnsi" w:cs="Arial"/>
                <w:sz w:val="20"/>
                <w:lang w:val="hr-HR"/>
              </w:rPr>
              <w:t xml:space="preserve">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541891" w:rsidRPr="001567C8">
              <w:rPr>
                <w:rFonts w:asciiTheme="minorHAnsi" w:hAnsiTheme="minorHAnsi" w:cs="Arial"/>
                <w:sz w:val="20"/>
                <w:lang w:val="hr-HR"/>
              </w:rPr>
              <w:t>2018.</w:t>
            </w:r>
          </w:p>
        </w:tc>
        <w:tc>
          <w:tcPr>
            <w:tcW w:w="775" w:type="pct"/>
            <w:vAlign w:val="bottom"/>
          </w:tcPr>
          <w:p w:rsidR="00541891" w:rsidRPr="001567C8" w:rsidRDefault="0001590F" w:rsidP="00541891">
            <w:pPr>
              <w:pStyle w:val="TH"/>
              <w:jc w:val="right"/>
              <w:rPr>
                <w:rFonts w:asciiTheme="minorHAnsi" w:hAnsiTheme="minorHAnsi" w:cs="Arial"/>
                <w:sz w:val="20"/>
                <w:lang w:val="hr-HR"/>
              </w:rPr>
            </w:pPr>
            <w:r w:rsidRPr="001567C8">
              <w:rPr>
                <w:rFonts w:asciiTheme="minorHAnsi" w:hAnsiTheme="minorHAnsi" w:cs="Arial"/>
                <w:sz w:val="20"/>
                <w:lang w:val="hr-HR"/>
              </w:rPr>
              <w:t>31.</w:t>
            </w:r>
            <w:r>
              <w:rPr>
                <w:rFonts w:asciiTheme="minorHAnsi" w:hAnsiTheme="minorHAnsi" w:cs="Arial"/>
                <w:sz w:val="20"/>
                <w:lang w:val="hr-HR"/>
              </w:rPr>
              <w:t xml:space="preserve">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541891" w:rsidRPr="001567C8">
              <w:rPr>
                <w:rFonts w:asciiTheme="minorHAnsi" w:hAnsiTheme="minorHAnsi" w:cs="Arial"/>
                <w:sz w:val="20"/>
                <w:lang w:val="hr-HR"/>
              </w:rPr>
              <w:t>2017.</w:t>
            </w:r>
          </w:p>
        </w:tc>
        <w:tc>
          <w:tcPr>
            <w:tcW w:w="775" w:type="pct"/>
            <w:vAlign w:val="bottom"/>
          </w:tcPr>
          <w:p w:rsidR="00541891" w:rsidRPr="001567C8" w:rsidRDefault="0001590F" w:rsidP="00541891">
            <w:pPr>
              <w:pStyle w:val="TH"/>
              <w:jc w:val="right"/>
              <w:rPr>
                <w:rFonts w:asciiTheme="minorHAnsi" w:hAnsiTheme="minorHAnsi" w:cs="Arial"/>
                <w:sz w:val="20"/>
                <w:lang w:val="hr-HR"/>
              </w:rPr>
            </w:pPr>
            <w:r w:rsidRPr="001567C8">
              <w:rPr>
                <w:rFonts w:asciiTheme="minorHAnsi" w:hAnsiTheme="minorHAnsi" w:cs="Arial"/>
                <w:sz w:val="20"/>
                <w:lang w:val="hr-HR"/>
              </w:rPr>
              <w:t>31.</w:t>
            </w:r>
            <w:r>
              <w:rPr>
                <w:rFonts w:asciiTheme="minorHAnsi" w:hAnsiTheme="minorHAnsi" w:cs="Arial"/>
                <w:sz w:val="20"/>
                <w:lang w:val="hr-HR"/>
              </w:rPr>
              <w:t xml:space="preserve">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541891" w:rsidRPr="001567C8">
              <w:rPr>
                <w:rFonts w:asciiTheme="minorHAnsi" w:hAnsiTheme="minorHAnsi" w:cs="Arial"/>
                <w:sz w:val="20"/>
                <w:lang w:val="hr-HR"/>
              </w:rPr>
              <w:t>2018.</w:t>
            </w:r>
          </w:p>
        </w:tc>
        <w:tc>
          <w:tcPr>
            <w:tcW w:w="775" w:type="pct"/>
            <w:vAlign w:val="bottom"/>
          </w:tcPr>
          <w:p w:rsidR="00541891" w:rsidRPr="001567C8" w:rsidRDefault="0001590F" w:rsidP="00541891">
            <w:pPr>
              <w:pStyle w:val="TH"/>
              <w:jc w:val="right"/>
              <w:rPr>
                <w:rFonts w:asciiTheme="minorHAnsi" w:hAnsiTheme="minorHAnsi" w:cs="Arial"/>
                <w:sz w:val="20"/>
                <w:lang w:val="hr-HR"/>
              </w:rPr>
            </w:pPr>
            <w:r w:rsidRPr="001567C8">
              <w:rPr>
                <w:rFonts w:asciiTheme="minorHAnsi" w:hAnsiTheme="minorHAnsi" w:cs="Arial"/>
                <w:sz w:val="20"/>
                <w:lang w:val="hr-HR"/>
              </w:rPr>
              <w:t>31.</w:t>
            </w:r>
            <w:r>
              <w:rPr>
                <w:rFonts w:asciiTheme="minorHAnsi" w:hAnsiTheme="minorHAnsi" w:cs="Arial"/>
                <w:sz w:val="20"/>
                <w:lang w:val="hr-HR"/>
              </w:rPr>
              <w:t xml:space="preserve">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541891" w:rsidRPr="001567C8">
              <w:rPr>
                <w:rFonts w:asciiTheme="minorHAnsi" w:hAnsiTheme="minorHAnsi" w:cs="Arial"/>
                <w:sz w:val="20"/>
                <w:lang w:val="hr-HR"/>
              </w:rPr>
              <w:t>2017.</w:t>
            </w:r>
          </w:p>
        </w:tc>
      </w:tr>
      <w:tr w:rsidR="005F1963" w:rsidRPr="001567C8" w:rsidTr="006668D6">
        <w:trPr>
          <w:trHeight w:val="229"/>
        </w:trPr>
        <w:tc>
          <w:tcPr>
            <w:tcW w:w="1900" w:type="pct"/>
          </w:tcPr>
          <w:p w:rsidR="005F1963" w:rsidRPr="001567C8" w:rsidRDefault="005F1963" w:rsidP="005F1963">
            <w:pPr>
              <w:tabs>
                <w:tab w:val="left" w:pos="-720"/>
              </w:tabs>
              <w:suppressAutoHyphens/>
              <w:rPr>
                <w:rFonts w:asciiTheme="minorHAnsi" w:hAnsiTheme="minorHAnsi" w:cs="Arial"/>
                <w:b/>
                <w:sz w:val="20"/>
                <w:szCs w:val="20"/>
                <w:lang w:val="hr-HR"/>
              </w:rPr>
            </w:pPr>
          </w:p>
        </w:tc>
        <w:tc>
          <w:tcPr>
            <w:tcW w:w="775" w:type="pct"/>
          </w:tcPr>
          <w:p w:rsidR="005F1963" w:rsidRPr="001567C8" w:rsidRDefault="005F1963" w:rsidP="005F1963">
            <w:pPr>
              <w:pStyle w:val="TH"/>
              <w:jc w:val="right"/>
              <w:rPr>
                <w:rFonts w:asciiTheme="minorHAnsi" w:hAnsiTheme="minorHAnsi" w:cs="Arial"/>
                <w:sz w:val="20"/>
                <w:lang w:val="hr-HR"/>
              </w:rPr>
            </w:pPr>
            <w:r w:rsidRPr="001567C8">
              <w:rPr>
                <w:rFonts w:asciiTheme="minorHAnsi" w:hAnsiTheme="minorHAnsi" w:cs="Arial"/>
                <w:sz w:val="20"/>
                <w:lang w:val="hr-HR"/>
              </w:rPr>
              <w:t>000 kuna</w:t>
            </w:r>
          </w:p>
        </w:tc>
        <w:tc>
          <w:tcPr>
            <w:tcW w:w="775" w:type="pct"/>
          </w:tcPr>
          <w:p w:rsidR="005F1963" w:rsidRPr="001567C8" w:rsidRDefault="005F1963" w:rsidP="005F1963">
            <w:pPr>
              <w:pStyle w:val="TH"/>
              <w:jc w:val="right"/>
              <w:rPr>
                <w:rFonts w:asciiTheme="minorHAnsi" w:hAnsiTheme="minorHAnsi" w:cs="Arial"/>
                <w:sz w:val="20"/>
                <w:lang w:val="hr-HR"/>
              </w:rPr>
            </w:pPr>
            <w:r w:rsidRPr="001567C8">
              <w:rPr>
                <w:rFonts w:asciiTheme="minorHAnsi" w:hAnsiTheme="minorHAnsi" w:cs="Arial"/>
                <w:sz w:val="20"/>
                <w:lang w:val="hr-HR"/>
              </w:rPr>
              <w:t>000 kuna</w:t>
            </w:r>
          </w:p>
        </w:tc>
        <w:tc>
          <w:tcPr>
            <w:tcW w:w="775" w:type="pct"/>
          </w:tcPr>
          <w:p w:rsidR="005F1963" w:rsidRPr="001567C8" w:rsidRDefault="005F1963" w:rsidP="005F1963">
            <w:pPr>
              <w:pStyle w:val="TH"/>
              <w:jc w:val="right"/>
              <w:rPr>
                <w:rFonts w:asciiTheme="minorHAnsi" w:hAnsiTheme="minorHAnsi" w:cs="Arial"/>
                <w:sz w:val="20"/>
                <w:lang w:val="hr-HR"/>
              </w:rPr>
            </w:pPr>
            <w:r w:rsidRPr="001567C8">
              <w:rPr>
                <w:rFonts w:asciiTheme="minorHAnsi" w:hAnsiTheme="minorHAnsi" w:cs="Arial"/>
                <w:sz w:val="20"/>
                <w:lang w:val="hr-HR"/>
              </w:rPr>
              <w:t>000 kuna</w:t>
            </w:r>
          </w:p>
        </w:tc>
        <w:tc>
          <w:tcPr>
            <w:tcW w:w="775" w:type="pct"/>
          </w:tcPr>
          <w:p w:rsidR="005F1963" w:rsidRPr="001567C8" w:rsidRDefault="005F1963" w:rsidP="005F1963">
            <w:pPr>
              <w:pStyle w:val="TH"/>
              <w:jc w:val="right"/>
              <w:rPr>
                <w:rFonts w:asciiTheme="minorHAnsi" w:hAnsiTheme="minorHAnsi" w:cs="Arial"/>
                <w:sz w:val="20"/>
                <w:lang w:val="hr-HR"/>
              </w:rPr>
            </w:pPr>
            <w:r w:rsidRPr="001567C8">
              <w:rPr>
                <w:rFonts w:asciiTheme="minorHAnsi" w:hAnsiTheme="minorHAnsi" w:cs="Arial"/>
                <w:sz w:val="20"/>
                <w:lang w:val="hr-HR"/>
              </w:rPr>
              <w:t>000 kuna</w:t>
            </w:r>
          </w:p>
        </w:tc>
      </w:tr>
      <w:tr w:rsidR="005F1963" w:rsidRPr="001567C8" w:rsidTr="006668D6">
        <w:tc>
          <w:tcPr>
            <w:tcW w:w="1900" w:type="pct"/>
          </w:tcPr>
          <w:p w:rsidR="005F1963" w:rsidRPr="001567C8" w:rsidRDefault="005F1963" w:rsidP="005F1963">
            <w:pPr>
              <w:tabs>
                <w:tab w:val="left" w:pos="-720"/>
              </w:tabs>
              <w:suppressAutoHyphens/>
              <w:rPr>
                <w:rFonts w:asciiTheme="minorHAnsi" w:hAnsiTheme="minorHAnsi" w:cs="Arial"/>
                <w:sz w:val="20"/>
                <w:szCs w:val="20"/>
                <w:lang w:val="hr-HR"/>
              </w:rPr>
            </w:pPr>
          </w:p>
        </w:tc>
        <w:tc>
          <w:tcPr>
            <w:tcW w:w="775" w:type="pct"/>
          </w:tcPr>
          <w:p w:rsidR="005F1963" w:rsidRPr="001567C8" w:rsidRDefault="005F1963" w:rsidP="005F1963">
            <w:pPr>
              <w:tabs>
                <w:tab w:val="left" w:pos="-720"/>
              </w:tabs>
              <w:suppressAutoHyphens/>
              <w:jc w:val="right"/>
              <w:rPr>
                <w:rFonts w:asciiTheme="minorHAnsi" w:hAnsiTheme="minorHAnsi" w:cs="Arial"/>
                <w:sz w:val="20"/>
                <w:szCs w:val="20"/>
                <w:lang w:val="hr-HR"/>
              </w:rPr>
            </w:pPr>
          </w:p>
        </w:tc>
        <w:tc>
          <w:tcPr>
            <w:tcW w:w="775" w:type="pct"/>
          </w:tcPr>
          <w:p w:rsidR="005F1963" w:rsidRPr="001567C8" w:rsidRDefault="005F1963" w:rsidP="005F1963">
            <w:pPr>
              <w:tabs>
                <w:tab w:val="left" w:pos="-720"/>
              </w:tabs>
              <w:suppressAutoHyphens/>
              <w:jc w:val="right"/>
              <w:rPr>
                <w:rFonts w:asciiTheme="minorHAnsi" w:hAnsiTheme="minorHAnsi" w:cs="Arial"/>
                <w:sz w:val="20"/>
                <w:szCs w:val="20"/>
                <w:lang w:val="hr-HR"/>
              </w:rPr>
            </w:pPr>
          </w:p>
        </w:tc>
        <w:tc>
          <w:tcPr>
            <w:tcW w:w="775" w:type="pct"/>
            <w:vAlign w:val="bottom"/>
          </w:tcPr>
          <w:p w:rsidR="005F1963" w:rsidRPr="001567C8" w:rsidRDefault="005F1963" w:rsidP="005F1963">
            <w:pPr>
              <w:tabs>
                <w:tab w:val="left" w:pos="-720"/>
              </w:tabs>
              <w:suppressAutoHyphens/>
              <w:jc w:val="right"/>
              <w:rPr>
                <w:rFonts w:asciiTheme="minorHAnsi" w:hAnsiTheme="minorHAnsi" w:cs="Arial"/>
                <w:sz w:val="20"/>
                <w:szCs w:val="20"/>
                <w:lang w:val="hr-HR"/>
              </w:rPr>
            </w:pPr>
          </w:p>
        </w:tc>
        <w:tc>
          <w:tcPr>
            <w:tcW w:w="775" w:type="pct"/>
            <w:vAlign w:val="bottom"/>
          </w:tcPr>
          <w:p w:rsidR="005F1963" w:rsidRPr="001567C8" w:rsidRDefault="005F1963" w:rsidP="005F1963">
            <w:pPr>
              <w:tabs>
                <w:tab w:val="left" w:pos="-720"/>
              </w:tabs>
              <w:suppressAutoHyphens/>
              <w:jc w:val="right"/>
              <w:rPr>
                <w:rFonts w:asciiTheme="minorHAnsi" w:hAnsiTheme="minorHAnsi" w:cs="Arial"/>
                <w:sz w:val="20"/>
                <w:szCs w:val="20"/>
                <w:lang w:val="hr-HR"/>
              </w:rPr>
            </w:pPr>
          </w:p>
        </w:tc>
      </w:tr>
      <w:tr w:rsidR="00B004D0" w:rsidRPr="001567C8" w:rsidTr="005F1963">
        <w:tc>
          <w:tcPr>
            <w:tcW w:w="1900" w:type="pct"/>
          </w:tcPr>
          <w:p w:rsidR="00B004D0" w:rsidRPr="001567C8" w:rsidRDefault="00B004D0" w:rsidP="00B004D0">
            <w:pPr>
              <w:pStyle w:val="TT"/>
              <w:rPr>
                <w:rFonts w:asciiTheme="minorHAnsi" w:hAnsiTheme="minorHAnsi" w:cs="Arial"/>
                <w:sz w:val="20"/>
                <w:lang w:val="hr-HR"/>
              </w:rPr>
            </w:pPr>
            <w:r w:rsidRPr="001567C8">
              <w:rPr>
                <w:rFonts w:asciiTheme="minorHAnsi" w:hAnsiTheme="minorHAnsi" w:cs="Arial"/>
                <w:sz w:val="20"/>
                <w:lang w:val="hr-HR"/>
              </w:rPr>
              <w:t>Depoziti kod domaćih banaka</w:t>
            </w:r>
          </w:p>
        </w:tc>
        <w:tc>
          <w:tcPr>
            <w:tcW w:w="775" w:type="pct"/>
            <w:tcBorders>
              <w:top w:val="nil"/>
              <w:left w:val="nil"/>
              <w:bottom w:val="nil"/>
              <w:right w:val="nil"/>
            </w:tcBorders>
            <w:shd w:val="clear" w:color="auto" w:fill="auto"/>
            <w:vAlign w:val="center"/>
          </w:tcPr>
          <w:p w:rsidR="00B004D0" w:rsidRPr="001567C8" w:rsidRDefault="00B004D0" w:rsidP="00B004D0">
            <w:pPr>
              <w:pStyle w:val="TT"/>
              <w:jc w:val="right"/>
              <w:rPr>
                <w:rFonts w:asciiTheme="minorHAnsi" w:hAnsiTheme="minorHAnsi" w:cs="Arial"/>
                <w:sz w:val="20"/>
                <w:lang w:val="hr-HR"/>
              </w:rPr>
            </w:pPr>
            <w:r w:rsidRPr="00CD3A2D">
              <w:rPr>
                <w:rFonts w:ascii="Calibri" w:hAnsi="Calibri" w:cs="Calibri"/>
                <w:color w:val="000000"/>
                <w:sz w:val="20"/>
                <w:lang w:val="hr-HR"/>
              </w:rPr>
              <w:t>263.283</w:t>
            </w:r>
          </w:p>
        </w:tc>
        <w:tc>
          <w:tcPr>
            <w:tcW w:w="775" w:type="pct"/>
            <w:tcBorders>
              <w:top w:val="nil"/>
              <w:left w:val="nil"/>
              <w:bottom w:val="nil"/>
              <w:right w:val="nil"/>
            </w:tcBorders>
            <w:shd w:val="clear" w:color="auto" w:fill="auto"/>
            <w:vAlign w:val="center"/>
          </w:tcPr>
          <w:p w:rsidR="00B004D0" w:rsidRPr="001567C8" w:rsidRDefault="00B004D0" w:rsidP="00B004D0">
            <w:pPr>
              <w:pStyle w:val="TT"/>
              <w:jc w:val="right"/>
              <w:rPr>
                <w:rFonts w:asciiTheme="minorHAnsi" w:hAnsiTheme="minorHAnsi" w:cs="Arial"/>
                <w:sz w:val="20"/>
                <w:lang w:val="hr-HR"/>
              </w:rPr>
            </w:pPr>
            <w:r w:rsidRPr="00CD3A2D">
              <w:rPr>
                <w:rFonts w:ascii="Calibri" w:hAnsi="Calibri" w:cs="Calibri"/>
                <w:color w:val="000000"/>
                <w:sz w:val="20"/>
                <w:lang w:val="hr-HR"/>
              </w:rPr>
              <w:t>29.468</w:t>
            </w:r>
          </w:p>
        </w:tc>
        <w:tc>
          <w:tcPr>
            <w:tcW w:w="775" w:type="pct"/>
            <w:tcBorders>
              <w:top w:val="nil"/>
              <w:left w:val="nil"/>
              <w:bottom w:val="nil"/>
              <w:right w:val="nil"/>
            </w:tcBorders>
            <w:shd w:val="clear" w:color="auto" w:fill="auto"/>
            <w:vAlign w:val="center"/>
          </w:tcPr>
          <w:p w:rsidR="00B004D0" w:rsidRPr="001567C8" w:rsidRDefault="00B004D0" w:rsidP="00B004D0">
            <w:pPr>
              <w:pStyle w:val="TT"/>
              <w:jc w:val="right"/>
              <w:rPr>
                <w:rFonts w:asciiTheme="minorHAnsi" w:hAnsiTheme="minorHAnsi" w:cs="Arial"/>
                <w:sz w:val="20"/>
                <w:lang w:val="hr-HR"/>
              </w:rPr>
            </w:pPr>
            <w:r w:rsidRPr="00CD3A2D">
              <w:rPr>
                <w:rFonts w:ascii="Calibri" w:hAnsi="Calibri" w:cs="Calibri"/>
                <w:color w:val="000000"/>
                <w:sz w:val="20"/>
                <w:lang w:val="hr-HR"/>
              </w:rPr>
              <w:t>263.283</w:t>
            </w:r>
          </w:p>
        </w:tc>
        <w:tc>
          <w:tcPr>
            <w:tcW w:w="775" w:type="pct"/>
            <w:tcBorders>
              <w:top w:val="nil"/>
              <w:left w:val="nil"/>
              <w:bottom w:val="nil"/>
              <w:right w:val="nil"/>
            </w:tcBorders>
            <w:shd w:val="clear" w:color="auto" w:fill="auto"/>
            <w:vAlign w:val="center"/>
          </w:tcPr>
          <w:p w:rsidR="00B004D0" w:rsidRPr="001567C8" w:rsidRDefault="00B004D0" w:rsidP="00B004D0">
            <w:pPr>
              <w:pStyle w:val="TT"/>
              <w:jc w:val="right"/>
              <w:rPr>
                <w:rFonts w:asciiTheme="minorHAnsi" w:hAnsiTheme="minorHAnsi" w:cs="Arial"/>
                <w:sz w:val="20"/>
                <w:lang w:val="hr-HR"/>
              </w:rPr>
            </w:pPr>
            <w:r w:rsidRPr="00CD3A2D">
              <w:rPr>
                <w:rFonts w:ascii="Calibri" w:hAnsi="Calibri" w:cs="Calibri"/>
                <w:color w:val="000000"/>
                <w:sz w:val="20"/>
                <w:lang w:val="hr-HR"/>
              </w:rPr>
              <w:t>29.468</w:t>
            </w:r>
          </w:p>
        </w:tc>
      </w:tr>
      <w:tr w:rsidR="00B004D0" w:rsidRPr="001567C8" w:rsidTr="00441617">
        <w:tc>
          <w:tcPr>
            <w:tcW w:w="1900" w:type="pct"/>
          </w:tcPr>
          <w:p w:rsidR="00B004D0" w:rsidRPr="001567C8" w:rsidRDefault="00B004D0" w:rsidP="00B004D0">
            <w:pPr>
              <w:pStyle w:val="TT"/>
              <w:rPr>
                <w:rFonts w:asciiTheme="minorHAnsi" w:hAnsiTheme="minorHAnsi" w:cs="Arial"/>
                <w:sz w:val="20"/>
                <w:lang w:val="hr-HR"/>
              </w:rPr>
            </w:pPr>
            <w:r w:rsidRPr="001567C8">
              <w:rPr>
                <w:rFonts w:asciiTheme="minorHAnsi" w:hAnsiTheme="minorHAnsi" w:cs="Arial"/>
                <w:sz w:val="20"/>
                <w:lang w:val="hr-HR"/>
              </w:rPr>
              <w:t>Obračunata kamata</w:t>
            </w:r>
          </w:p>
        </w:tc>
        <w:tc>
          <w:tcPr>
            <w:tcW w:w="775" w:type="pct"/>
            <w:tcBorders>
              <w:top w:val="nil"/>
              <w:left w:val="nil"/>
              <w:bottom w:val="nil"/>
              <w:right w:val="nil"/>
            </w:tcBorders>
            <w:shd w:val="clear" w:color="auto" w:fill="auto"/>
            <w:vAlign w:val="center"/>
          </w:tcPr>
          <w:p w:rsidR="00B004D0" w:rsidRPr="001567C8" w:rsidRDefault="00B004D0" w:rsidP="00B004D0">
            <w:pPr>
              <w:pStyle w:val="TT"/>
              <w:jc w:val="right"/>
              <w:rPr>
                <w:rFonts w:asciiTheme="minorHAnsi" w:hAnsiTheme="minorHAnsi" w:cs="Arial"/>
                <w:sz w:val="20"/>
                <w:lang w:val="hr-HR"/>
              </w:rPr>
            </w:pPr>
            <w:r w:rsidRPr="00CD3A2D">
              <w:rPr>
                <w:rFonts w:ascii="Calibri" w:hAnsi="Calibri" w:cs="Calibri"/>
                <w:color w:val="000000"/>
                <w:sz w:val="20"/>
                <w:lang w:val="hr-HR"/>
              </w:rPr>
              <w:t>3</w:t>
            </w:r>
          </w:p>
        </w:tc>
        <w:tc>
          <w:tcPr>
            <w:tcW w:w="775" w:type="pct"/>
            <w:tcBorders>
              <w:top w:val="nil"/>
              <w:left w:val="nil"/>
              <w:bottom w:val="single" w:sz="4" w:space="0" w:color="auto"/>
              <w:right w:val="nil"/>
            </w:tcBorders>
            <w:shd w:val="clear" w:color="auto" w:fill="auto"/>
            <w:vAlign w:val="center"/>
          </w:tcPr>
          <w:p w:rsidR="00B004D0" w:rsidRPr="001567C8" w:rsidRDefault="00B004D0" w:rsidP="00B004D0">
            <w:pPr>
              <w:pStyle w:val="TT"/>
              <w:jc w:val="right"/>
              <w:rPr>
                <w:rFonts w:asciiTheme="minorHAnsi" w:hAnsiTheme="minorHAnsi" w:cs="Arial"/>
                <w:sz w:val="20"/>
                <w:lang w:val="hr-HR"/>
              </w:rPr>
            </w:pPr>
            <w:r w:rsidRPr="00CD3A2D">
              <w:rPr>
                <w:rFonts w:ascii="Calibri" w:hAnsi="Calibri" w:cs="Calibri"/>
                <w:color w:val="000000"/>
                <w:sz w:val="20"/>
                <w:lang w:val="hr-HR"/>
              </w:rPr>
              <w:t>24</w:t>
            </w:r>
          </w:p>
        </w:tc>
        <w:tc>
          <w:tcPr>
            <w:tcW w:w="775" w:type="pct"/>
            <w:tcBorders>
              <w:top w:val="nil"/>
              <w:left w:val="nil"/>
              <w:bottom w:val="nil"/>
              <w:right w:val="nil"/>
            </w:tcBorders>
            <w:shd w:val="clear" w:color="auto" w:fill="auto"/>
            <w:vAlign w:val="center"/>
          </w:tcPr>
          <w:p w:rsidR="00B004D0" w:rsidRPr="001567C8" w:rsidRDefault="00B004D0" w:rsidP="00B004D0">
            <w:pPr>
              <w:pStyle w:val="TT"/>
              <w:jc w:val="right"/>
              <w:rPr>
                <w:rFonts w:asciiTheme="minorHAnsi" w:hAnsiTheme="minorHAnsi" w:cs="Arial"/>
                <w:sz w:val="20"/>
                <w:lang w:val="hr-HR"/>
              </w:rPr>
            </w:pPr>
            <w:r w:rsidRPr="00CD3A2D">
              <w:rPr>
                <w:rFonts w:ascii="Calibri" w:hAnsi="Calibri" w:cs="Calibri"/>
                <w:color w:val="000000"/>
                <w:sz w:val="20"/>
                <w:lang w:val="hr-HR"/>
              </w:rPr>
              <w:t>3</w:t>
            </w:r>
          </w:p>
        </w:tc>
        <w:tc>
          <w:tcPr>
            <w:tcW w:w="775" w:type="pct"/>
            <w:tcBorders>
              <w:top w:val="nil"/>
              <w:left w:val="nil"/>
              <w:bottom w:val="single" w:sz="4" w:space="0" w:color="auto"/>
              <w:right w:val="nil"/>
            </w:tcBorders>
            <w:shd w:val="clear" w:color="auto" w:fill="auto"/>
            <w:vAlign w:val="center"/>
          </w:tcPr>
          <w:p w:rsidR="00B004D0" w:rsidRPr="001567C8" w:rsidRDefault="00B004D0" w:rsidP="00B004D0">
            <w:pPr>
              <w:pStyle w:val="TT"/>
              <w:jc w:val="right"/>
              <w:rPr>
                <w:rFonts w:asciiTheme="minorHAnsi" w:hAnsiTheme="minorHAnsi" w:cs="Arial"/>
                <w:sz w:val="20"/>
                <w:lang w:val="hr-HR"/>
              </w:rPr>
            </w:pPr>
            <w:r w:rsidRPr="00CD3A2D">
              <w:rPr>
                <w:rFonts w:ascii="Calibri" w:hAnsi="Calibri" w:cs="Calibri"/>
                <w:color w:val="000000"/>
                <w:sz w:val="20"/>
                <w:lang w:val="hr-HR"/>
              </w:rPr>
              <w:t>24</w:t>
            </w:r>
          </w:p>
        </w:tc>
      </w:tr>
      <w:tr w:rsidR="00541891" w:rsidRPr="001567C8" w:rsidTr="003327E4">
        <w:tc>
          <w:tcPr>
            <w:tcW w:w="1900" w:type="pct"/>
          </w:tcPr>
          <w:p w:rsidR="00541891" w:rsidRPr="001567C8" w:rsidRDefault="00541891" w:rsidP="00541891">
            <w:pPr>
              <w:pStyle w:val="Tot"/>
              <w:rPr>
                <w:rFonts w:asciiTheme="minorHAnsi" w:hAnsiTheme="minorHAnsi" w:cs="Arial"/>
                <w:sz w:val="20"/>
                <w:lang w:val="hr-HR"/>
              </w:rPr>
            </w:pPr>
          </w:p>
        </w:tc>
        <w:tc>
          <w:tcPr>
            <w:tcW w:w="775" w:type="pct"/>
            <w:tcBorders>
              <w:top w:val="single" w:sz="4" w:space="0" w:color="auto"/>
              <w:bottom w:val="single" w:sz="12" w:space="0" w:color="auto"/>
            </w:tcBorders>
          </w:tcPr>
          <w:p w:rsidR="00541891" w:rsidRPr="003327E4" w:rsidRDefault="00B004D0" w:rsidP="00541891">
            <w:pPr>
              <w:pStyle w:val="Tot"/>
              <w:jc w:val="right"/>
              <w:rPr>
                <w:rFonts w:asciiTheme="minorHAnsi" w:hAnsiTheme="minorHAnsi" w:cs="Arial"/>
                <w:b/>
                <w:sz w:val="20"/>
                <w:lang w:val="hr-HR"/>
              </w:rPr>
            </w:pPr>
            <w:r w:rsidRPr="003327E4">
              <w:rPr>
                <w:rFonts w:asciiTheme="minorHAnsi" w:hAnsiTheme="minorHAnsi" w:cs="Arial"/>
                <w:b/>
                <w:sz w:val="20"/>
                <w:lang w:val="hr-HR"/>
              </w:rPr>
              <w:t>263.286</w:t>
            </w:r>
          </w:p>
        </w:tc>
        <w:tc>
          <w:tcPr>
            <w:tcW w:w="775" w:type="pct"/>
            <w:tcBorders>
              <w:top w:val="single" w:sz="4" w:space="0" w:color="auto"/>
              <w:bottom w:val="single" w:sz="12" w:space="0" w:color="auto"/>
            </w:tcBorders>
          </w:tcPr>
          <w:p w:rsidR="00541891" w:rsidRPr="003327E4" w:rsidRDefault="00541891" w:rsidP="00541891">
            <w:pPr>
              <w:pStyle w:val="Tot"/>
              <w:jc w:val="right"/>
              <w:rPr>
                <w:rFonts w:asciiTheme="minorHAnsi" w:hAnsiTheme="minorHAnsi" w:cs="Arial"/>
                <w:b/>
                <w:sz w:val="20"/>
                <w:lang w:val="hr-HR"/>
              </w:rPr>
            </w:pPr>
            <w:r w:rsidRPr="003327E4">
              <w:rPr>
                <w:rFonts w:asciiTheme="minorHAnsi" w:hAnsiTheme="minorHAnsi" w:cs="Arial"/>
                <w:b/>
                <w:sz w:val="20"/>
                <w:lang w:val="hr-HR"/>
              </w:rPr>
              <w:t>29.492</w:t>
            </w:r>
          </w:p>
        </w:tc>
        <w:tc>
          <w:tcPr>
            <w:tcW w:w="775" w:type="pct"/>
            <w:tcBorders>
              <w:top w:val="single" w:sz="4" w:space="0" w:color="auto"/>
              <w:bottom w:val="single" w:sz="12" w:space="0" w:color="auto"/>
            </w:tcBorders>
            <w:vAlign w:val="bottom"/>
          </w:tcPr>
          <w:p w:rsidR="00541891" w:rsidRPr="003327E4" w:rsidRDefault="00B004D0" w:rsidP="00541891">
            <w:pPr>
              <w:pStyle w:val="Tot"/>
              <w:jc w:val="right"/>
              <w:rPr>
                <w:rFonts w:asciiTheme="minorHAnsi" w:hAnsiTheme="minorHAnsi" w:cs="Arial"/>
                <w:b/>
                <w:sz w:val="20"/>
                <w:lang w:val="hr-HR"/>
              </w:rPr>
            </w:pPr>
            <w:r w:rsidRPr="003327E4">
              <w:rPr>
                <w:rFonts w:asciiTheme="minorHAnsi" w:hAnsiTheme="minorHAnsi" w:cs="Arial"/>
                <w:b/>
                <w:sz w:val="20"/>
                <w:lang w:val="hr-HR"/>
              </w:rPr>
              <w:t>263.286</w:t>
            </w:r>
          </w:p>
        </w:tc>
        <w:tc>
          <w:tcPr>
            <w:tcW w:w="775" w:type="pct"/>
            <w:tcBorders>
              <w:top w:val="single" w:sz="4" w:space="0" w:color="auto"/>
              <w:bottom w:val="single" w:sz="12" w:space="0" w:color="auto"/>
            </w:tcBorders>
            <w:vAlign w:val="bottom"/>
          </w:tcPr>
          <w:p w:rsidR="00541891" w:rsidRPr="003327E4" w:rsidRDefault="00541891" w:rsidP="00541891">
            <w:pPr>
              <w:pStyle w:val="Tot"/>
              <w:jc w:val="right"/>
              <w:rPr>
                <w:rFonts w:asciiTheme="minorHAnsi" w:hAnsiTheme="minorHAnsi" w:cs="Arial"/>
                <w:b/>
                <w:sz w:val="20"/>
                <w:lang w:val="hr-HR"/>
              </w:rPr>
            </w:pPr>
            <w:r w:rsidRPr="003327E4">
              <w:rPr>
                <w:rFonts w:asciiTheme="minorHAnsi" w:hAnsiTheme="minorHAnsi" w:cs="Arial"/>
                <w:b/>
                <w:sz w:val="20"/>
                <w:lang w:val="hr-HR"/>
              </w:rPr>
              <w:t>29.492</w:t>
            </w:r>
          </w:p>
        </w:tc>
      </w:tr>
      <w:tr w:rsidR="00541891" w:rsidRPr="001567C8" w:rsidTr="003327E4">
        <w:tc>
          <w:tcPr>
            <w:tcW w:w="1900" w:type="pct"/>
          </w:tcPr>
          <w:p w:rsidR="00541891" w:rsidRPr="001567C8" w:rsidRDefault="00541891" w:rsidP="00541891">
            <w:pPr>
              <w:tabs>
                <w:tab w:val="left" w:pos="-720"/>
              </w:tabs>
              <w:suppressAutoHyphens/>
              <w:rPr>
                <w:rFonts w:asciiTheme="minorHAnsi" w:hAnsiTheme="minorHAnsi" w:cs="Arial"/>
                <w:spacing w:val="-2"/>
                <w:sz w:val="20"/>
                <w:szCs w:val="20"/>
                <w:lang w:val="hr-HR"/>
              </w:rPr>
            </w:pPr>
          </w:p>
        </w:tc>
        <w:tc>
          <w:tcPr>
            <w:tcW w:w="775" w:type="pct"/>
            <w:tcBorders>
              <w:top w:val="single" w:sz="12" w:space="0" w:color="auto"/>
            </w:tcBorders>
          </w:tcPr>
          <w:p w:rsidR="00541891" w:rsidRPr="001567C8" w:rsidRDefault="00541891" w:rsidP="00541891">
            <w:pPr>
              <w:suppressAutoHyphens/>
              <w:jc w:val="right"/>
              <w:rPr>
                <w:rFonts w:asciiTheme="minorHAnsi" w:hAnsiTheme="minorHAnsi" w:cs="Arial"/>
                <w:spacing w:val="-2"/>
                <w:sz w:val="20"/>
                <w:szCs w:val="20"/>
                <w:lang w:val="hr-HR"/>
              </w:rPr>
            </w:pPr>
          </w:p>
        </w:tc>
        <w:tc>
          <w:tcPr>
            <w:tcW w:w="775" w:type="pct"/>
            <w:tcBorders>
              <w:top w:val="single" w:sz="12" w:space="0" w:color="auto"/>
            </w:tcBorders>
          </w:tcPr>
          <w:p w:rsidR="00541891" w:rsidRPr="001567C8" w:rsidRDefault="00541891" w:rsidP="00541891">
            <w:pPr>
              <w:suppressAutoHyphens/>
              <w:jc w:val="right"/>
              <w:rPr>
                <w:rFonts w:asciiTheme="minorHAnsi" w:hAnsiTheme="minorHAnsi" w:cs="Arial"/>
                <w:spacing w:val="-2"/>
                <w:sz w:val="20"/>
                <w:szCs w:val="20"/>
                <w:lang w:val="hr-HR"/>
              </w:rPr>
            </w:pPr>
          </w:p>
        </w:tc>
        <w:tc>
          <w:tcPr>
            <w:tcW w:w="775" w:type="pct"/>
            <w:tcBorders>
              <w:top w:val="single" w:sz="12" w:space="0" w:color="auto"/>
            </w:tcBorders>
            <w:vAlign w:val="bottom"/>
          </w:tcPr>
          <w:p w:rsidR="00541891" w:rsidRPr="001567C8" w:rsidRDefault="00541891" w:rsidP="00541891">
            <w:pPr>
              <w:suppressAutoHyphens/>
              <w:jc w:val="right"/>
              <w:rPr>
                <w:rFonts w:asciiTheme="minorHAnsi" w:hAnsiTheme="minorHAnsi" w:cs="Arial"/>
                <w:spacing w:val="-2"/>
                <w:sz w:val="20"/>
                <w:szCs w:val="20"/>
                <w:lang w:val="hr-HR"/>
              </w:rPr>
            </w:pPr>
          </w:p>
        </w:tc>
        <w:tc>
          <w:tcPr>
            <w:tcW w:w="775" w:type="pct"/>
            <w:tcBorders>
              <w:top w:val="single" w:sz="12" w:space="0" w:color="auto"/>
            </w:tcBorders>
            <w:vAlign w:val="bottom"/>
          </w:tcPr>
          <w:p w:rsidR="00541891" w:rsidRPr="001567C8" w:rsidRDefault="00541891" w:rsidP="00541891">
            <w:pPr>
              <w:suppressAutoHyphens/>
              <w:jc w:val="right"/>
              <w:rPr>
                <w:rFonts w:asciiTheme="minorHAnsi" w:hAnsiTheme="minorHAnsi" w:cs="Arial"/>
                <w:spacing w:val="-2"/>
                <w:sz w:val="20"/>
                <w:szCs w:val="20"/>
                <w:lang w:val="hr-HR"/>
              </w:rPr>
            </w:pPr>
          </w:p>
        </w:tc>
      </w:tr>
      <w:tr w:rsidR="00541891" w:rsidRPr="001567C8" w:rsidTr="00541891">
        <w:tc>
          <w:tcPr>
            <w:tcW w:w="1900" w:type="pct"/>
          </w:tcPr>
          <w:p w:rsidR="00541891" w:rsidRPr="001567C8" w:rsidRDefault="00541891" w:rsidP="00541891">
            <w:pPr>
              <w:pStyle w:val="TT"/>
              <w:rPr>
                <w:rFonts w:asciiTheme="minorHAnsi" w:hAnsiTheme="minorHAnsi" w:cs="Arial"/>
                <w:sz w:val="20"/>
                <w:lang w:val="hr-HR"/>
              </w:rPr>
            </w:pPr>
            <w:r w:rsidRPr="001567C8">
              <w:rPr>
                <w:rFonts w:asciiTheme="minorHAnsi" w:hAnsiTheme="minorHAnsi" w:cs="Arial"/>
                <w:sz w:val="20"/>
                <w:lang w:val="hr-HR"/>
              </w:rPr>
              <w:t xml:space="preserve">Rezerviranja za </w:t>
            </w:r>
            <w:r w:rsidR="00726C85" w:rsidRPr="00CD3A2D">
              <w:rPr>
                <w:rFonts w:ascii="Calibri" w:hAnsi="Calibri" w:cs="Calibri"/>
                <w:color w:val="000000"/>
                <w:sz w:val="20"/>
                <w:lang w:val="hr-HR"/>
              </w:rPr>
              <w:t>očekivane</w:t>
            </w:r>
            <w:r w:rsidRPr="001567C8">
              <w:rPr>
                <w:rFonts w:asciiTheme="minorHAnsi" w:hAnsiTheme="minorHAnsi" w:cs="Arial"/>
                <w:sz w:val="20"/>
                <w:lang w:val="hr-HR"/>
              </w:rPr>
              <w:t xml:space="preserve"> gubitke</w:t>
            </w:r>
          </w:p>
        </w:tc>
        <w:tc>
          <w:tcPr>
            <w:tcW w:w="775" w:type="pct"/>
            <w:tcBorders>
              <w:bottom w:val="single" w:sz="4" w:space="0" w:color="auto"/>
            </w:tcBorders>
          </w:tcPr>
          <w:p w:rsidR="00541891" w:rsidRPr="001567C8" w:rsidRDefault="00B004D0" w:rsidP="00541891">
            <w:pPr>
              <w:pStyle w:val="TT"/>
              <w:tabs>
                <w:tab w:val="clear" w:pos="1202"/>
              </w:tabs>
              <w:jc w:val="right"/>
              <w:rPr>
                <w:rFonts w:asciiTheme="minorHAnsi" w:hAnsiTheme="minorHAnsi" w:cs="Arial"/>
                <w:sz w:val="20"/>
                <w:lang w:val="hr-HR"/>
              </w:rPr>
            </w:pPr>
            <w:r w:rsidRPr="001567C8">
              <w:rPr>
                <w:rFonts w:asciiTheme="minorHAnsi" w:hAnsiTheme="minorHAnsi" w:cs="Arial"/>
                <w:sz w:val="20"/>
                <w:lang w:val="hr-HR"/>
              </w:rPr>
              <w:t>(1.361)</w:t>
            </w:r>
          </w:p>
        </w:tc>
        <w:tc>
          <w:tcPr>
            <w:tcW w:w="775" w:type="pct"/>
            <w:tcBorders>
              <w:bottom w:val="single" w:sz="4" w:space="0" w:color="auto"/>
            </w:tcBorders>
          </w:tcPr>
          <w:p w:rsidR="00541891" w:rsidRPr="001567C8" w:rsidRDefault="00541891" w:rsidP="00541891">
            <w:pPr>
              <w:pStyle w:val="TT"/>
              <w:tabs>
                <w:tab w:val="clear" w:pos="1202"/>
              </w:tabs>
              <w:jc w:val="right"/>
              <w:rPr>
                <w:rFonts w:asciiTheme="minorHAnsi" w:hAnsiTheme="minorHAnsi" w:cs="Arial"/>
                <w:sz w:val="20"/>
                <w:lang w:val="hr-HR"/>
              </w:rPr>
            </w:pPr>
            <w:r w:rsidRPr="001567C8">
              <w:rPr>
                <w:rFonts w:asciiTheme="minorHAnsi" w:hAnsiTheme="minorHAnsi" w:cs="Arial"/>
                <w:sz w:val="20"/>
                <w:lang w:val="hr-HR"/>
              </w:rPr>
              <w:t>(354)</w:t>
            </w:r>
          </w:p>
        </w:tc>
        <w:tc>
          <w:tcPr>
            <w:tcW w:w="775" w:type="pct"/>
            <w:tcBorders>
              <w:bottom w:val="single" w:sz="4" w:space="0" w:color="auto"/>
            </w:tcBorders>
            <w:vAlign w:val="bottom"/>
          </w:tcPr>
          <w:p w:rsidR="00541891" w:rsidRPr="001567C8" w:rsidRDefault="00B004D0" w:rsidP="00541891">
            <w:pPr>
              <w:pStyle w:val="TT"/>
              <w:tabs>
                <w:tab w:val="clear" w:pos="1202"/>
              </w:tabs>
              <w:jc w:val="right"/>
              <w:rPr>
                <w:rFonts w:asciiTheme="minorHAnsi" w:hAnsiTheme="minorHAnsi" w:cs="Arial"/>
                <w:sz w:val="20"/>
                <w:lang w:val="hr-HR"/>
              </w:rPr>
            </w:pPr>
            <w:r w:rsidRPr="001567C8">
              <w:rPr>
                <w:rFonts w:asciiTheme="minorHAnsi" w:hAnsiTheme="minorHAnsi" w:cs="Arial"/>
                <w:sz w:val="20"/>
                <w:lang w:val="hr-HR"/>
              </w:rPr>
              <w:t>(1.361)</w:t>
            </w:r>
          </w:p>
        </w:tc>
        <w:tc>
          <w:tcPr>
            <w:tcW w:w="775" w:type="pct"/>
            <w:tcBorders>
              <w:bottom w:val="single" w:sz="4" w:space="0" w:color="auto"/>
            </w:tcBorders>
            <w:vAlign w:val="bottom"/>
          </w:tcPr>
          <w:p w:rsidR="00541891" w:rsidRPr="001567C8" w:rsidRDefault="00541891" w:rsidP="00541891">
            <w:pPr>
              <w:pStyle w:val="TT"/>
              <w:tabs>
                <w:tab w:val="clear" w:pos="1202"/>
              </w:tabs>
              <w:jc w:val="right"/>
              <w:rPr>
                <w:rFonts w:asciiTheme="minorHAnsi" w:hAnsiTheme="minorHAnsi" w:cs="Arial"/>
                <w:sz w:val="20"/>
                <w:lang w:val="hr-HR"/>
              </w:rPr>
            </w:pPr>
            <w:r w:rsidRPr="001567C8">
              <w:rPr>
                <w:rFonts w:asciiTheme="minorHAnsi" w:hAnsiTheme="minorHAnsi" w:cs="Arial"/>
                <w:sz w:val="20"/>
                <w:lang w:val="hr-HR"/>
              </w:rPr>
              <w:t>(354)</w:t>
            </w:r>
          </w:p>
        </w:tc>
      </w:tr>
      <w:tr w:rsidR="00541891" w:rsidRPr="001567C8" w:rsidTr="00541891">
        <w:tc>
          <w:tcPr>
            <w:tcW w:w="1900" w:type="pct"/>
          </w:tcPr>
          <w:p w:rsidR="00541891" w:rsidRPr="001567C8" w:rsidRDefault="00541891" w:rsidP="00541891">
            <w:pPr>
              <w:tabs>
                <w:tab w:val="left" w:pos="-720"/>
              </w:tabs>
              <w:suppressAutoHyphens/>
              <w:rPr>
                <w:rFonts w:asciiTheme="minorHAnsi" w:hAnsiTheme="minorHAnsi" w:cs="Arial"/>
                <w:b/>
                <w:bCs/>
                <w:spacing w:val="-2"/>
                <w:sz w:val="20"/>
                <w:szCs w:val="20"/>
                <w:lang w:val="hr-HR"/>
              </w:rPr>
            </w:pPr>
          </w:p>
        </w:tc>
        <w:tc>
          <w:tcPr>
            <w:tcW w:w="775" w:type="pct"/>
            <w:tcBorders>
              <w:top w:val="single" w:sz="4" w:space="0" w:color="auto"/>
              <w:bottom w:val="single" w:sz="12" w:space="0" w:color="auto"/>
            </w:tcBorders>
          </w:tcPr>
          <w:p w:rsidR="00541891" w:rsidRPr="001567C8" w:rsidRDefault="00B004D0" w:rsidP="00541891">
            <w:pPr>
              <w:pStyle w:val="TT"/>
              <w:tabs>
                <w:tab w:val="clear" w:pos="1202"/>
              </w:tabs>
              <w:jc w:val="right"/>
              <w:rPr>
                <w:rFonts w:asciiTheme="minorHAnsi" w:hAnsiTheme="minorHAnsi" w:cs="Arial"/>
                <w:b/>
                <w:bCs/>
                <w:sz w:val="20"/>
                <w:lang w:val="hr-HR"/>
              </w:rPr>
            </w:pPr>
            <w:r w:rsidRPr="001567C8">
              <w:rPr>
                <w:rFonts w:asciiTheme="minorHAnsi" w:hAnsiTheme="minorHAnsi" w:cs="Arial"/>
                <w:b/>
                <w:bCs/>
                <w:sz w:val="20"/>
                <w:lang w:val="hr-HR"/>
              </w:rPr>
              <w:t>261.925</w:t>
            </w:r>
          </w:p>
        </w:tc>
        <w:tc>
          <w:tcPr>
            <w:tcW w:w="775" w:type="pct"/>
            <w:tcBorders>
              <w:top w:val="single" w:sz="4" w:space="0" w:color="auto"/>
              <w:bottom w:val="single" w:sz="12" w:space="0" w:color="auto"/>
            </w:tcBorders>
          </w:tcPr>
          <w:p w:rsidR="00541891" w:rsidRPr="001567C8" w:rsidRDefault="00541891" w:rsidP="00541891">
            <w:pPr>
              <w:pStyle w:val="TT"/>
              <w:tabs>
                <w:tab w:val="clear" w:pos="1202"/>
              </w:tabs>
              <w:jc w:val="right"/>
              <w:rPr>
                <w:rFonts w:asciiTheme="minorHAnsi" w:hAnsiTheme="minorHAnsi" w:cs="Arial"/>
                <w:b/>
                <w:bCs/>
                <w:sz w:val="20"/>
                <w:lang w:val="hr-HR"/>
              </w:rPr>
            </w:pPr>
            <w:r w:rsidRPr="001567C8">
              <w:rPr>
                <w:rFonts w:asciiTheme="minorHAnsi" w:hAnsiTheme="minorHAnsi" w:cs="Arial"/>
                <w:b/>
                <w:bCs/>
                <w:sz w:val="20"/>
                <w:lang w:val="hr-HR"/>
              </w:rPr>
              <w:t>29.138</w:t>
            </w:r>
          </w:p>
        </w:tc>
        <w:tc>
          <w:tcPr>
            <w:tcW w:w="775" w:type="pct"/>
            <w:tcBorders>
              <w:top w:val="single" w:sz="4" w:space="0" w:color="auto"/>
              <w:bottom w:val="single" w:sz="12" w:space="0" w:color="auto"/>
            </w:tcBorders>
            <w:vAlign w:val="bottom"/>
          </w:tcPr>
          <w:p w:rsidR="00541891" w:rsidRPr="001567C8" w:rsidRDefault="00B004D0" w:rsidP="00541891">
            <w:pPr>
              <w:pStyle w:val="TT"/>
              <w:tabs>
                <w:tab w:val="clear" w:pos="1202"/>
              </w:tabs>
              <w:jc w:val="right"/>
              <w:rPr>
                <w:rFonts w:asciiTheme="minorHAnsi" w:hAnsiTheme="minorHAnsi" w:cs="Arial"/>
                <w:b/>
                <w:bCs/>
                <w:sz w:val="20"/>
                <w:lang w:val="hr-HR"/>
              </w:rPr>
            </w:pPr>
            <w:r w:rsidRPr="001567C8">
              <w:rPr>
                <w:rFonts w:asciiTheme="minorHAnsi" w:hAnsiTheme="minorHAnsi" w:cs="Arial"/>
                <w:b/>
                <w:bCs/>
                <w:sz w:val="20"/>
                <w:lang w:val="hr-HR"/>
              </w:rPr>
              <w:t>261.925</w:t>
            </w:r>
          </w:p>
        </w:tc>
        <w:tc>
          <w:tcPr>
            <w:tcW w:w="775" w:type="pct"/>
            <w:tcBorders>
              <w:top w:val="single" w:sz="4" w:space="0" w:color="auto"/>
              <w:bottom w:val="single" w:sz="12" w:space="0" w:color="auto"/>
            </w:tcBorders>
            <w:vAlign w:val="bottom"/>
          </w:tcPr>
          <w:p w:rsidR="00541891" w:rsidRPr="001567C8" w:rsidRDefault="00541891" w:rsidP="00541891">
            <w:pPr>
              <w:pStyle w:val="TT"/>
              <w:tabs>
                <w:tab w:val="clear" w:pos="1202"/>
              </w:tabs>
              <w:jc w:val="right"/>
              <w:rPr>
                <w:rFonts w:asciiTheme="minorHAnsi" w:hAnsiTheme="minorHAnsi" w:cs="Arial"/>
                <w:b/>
                <w:bCs/>
                <w:sz w:val="20"/>
                <w:lang w:val="hr-HR"/>
              </w:rPr>
            </w:pPr>
            <w:r w:rsidRPr="001567C8">
              <w:rPr>
                <w:rFonts w:asciiTheme="minorHAnsi" w:hAnsiTheme="minorHAnsi" w:cs="Arial"/>
                <w:b/>
                <w:bCs/>
                <w:sz w:val="20"/>
                <w:lang w:val="hr-HR"/>
              </w:rPr>
              <w:t>29.138</w:t>
            </w:r>
          </w:p>
        </w:tc>
      </w:tr>
    </w:tbl>
    <w:p w:rsidR="009B3EE9" w:rsidRPr="001567C8" w:rsidRDefault="009B3EE9" w:rsidP="009B3EE9">
      <w:pPr>
        <w:rPr>
          <w:rFonts w:asciiTheme="minorHAnsi" w:hAnsiTheme="minorHAnsi"/>
          <w:i/>
          <w:sz w:val="22"/>
          <w:szCs w:val="22"/>
          <w:lang w:val="hr-HR"/>
        </w:rPr>
      </w:pPr>
    </w:p>
    <w:p w:rsidR="00556292" w:rsidRPr="001567C8" w:rsidRDefault="00556292" w:rsidP="00226AB7">
      <w:pPr>
        <w:jc w:val="both"/>
        <w:rPr>
          <w:rFonts w:asciiTheme="minorHAnsi" w:hAnsiTheme="minorHAnsi" w:cs="Arial"/>
          <w:sz w:val="22"/>
          <w:szCs w:val="22"/>
          <w:lang w:val="hr-HR"/>
        </w:rPr>
      </w:pPr>
    </w:p>
    <w:p w:rsidR="00B004D0" w:rsidRPr="001567C8" w:rsidRDefault="00B004D0" w:rsidP="003C6BA3">
      <w:pPr>
        <w:spacing w:after="120"/>
        <w:jc w:val="both"/>
        <w:rPr>
          <w:rFonts w:asciiTheme="minorHAnsi" w:hAnsiTheme="minorHAnsi" w:cs="Arial"/>
          <w:sz w:val="22"/>
          <w:szCs w:val="22"/>
          <w:lang w:val="hr-HR"/>
        </w:rPr>
      </w:pPr>
      <w:bookmarkStart w:id="52" w:name="_Hlk1476286"/>
      <w:r w:rsidRPr="001567C8">
        <w:rPr>
          <w:rFonts w:asciiTheme="minorHAnsi" w:hAnsiTheme="minorHAnsi" w:cs="Arial"/>
          <w:sz w:val="22"/>
          <w:szCs w:val="22"/>
          <w:lang w:val="hr-HR"/>
        </w:rPr>
        <w:t>Sljedeća tablica prikazuje informacije o kreditnoj kvaliteti financijske imovine koja se mjeri po amortiziranom trošku. Iznosi u tablici predstavljaju bruto knjigovodstvene iznose:</w:t>
      </w:r>
      <w:bookmarkEnd w:id="52"/>
    </w:p>
    <w:tbl>
      <w:tblPr>
        <w:tblW w:w="10153" w:type="dxa"/>
        <w:tblInd w:w="-426" w:type="dxa"/>
        <w:tblLayout w:type="fixed"/>
        <w:tblLook w:val="04A0" w:firstRow="1" w:lastRow="0" w:firstColumn="1" w:lastColumn="0" w:noHBand="0" w:noVBand="1"/>
      </w:tblPr>
      <w:tblGrid>
        <w:gridCol w:w="2269"/>
        <w:gridCol w:w="985"/>
        <w:gridCol w:w="986"/>
        <w:gridCol w:w="985"/>
        <w:gridCol w:w="986"/>
        <w:gridCol w:w="985"/>
        <w:gridCol w:w="986"/>
        <w:gridCol w:w="985"/>
        <w:gridCol w:w="986"/>
      </w:tblGrid>
      <w:tr w:rsidR="00B004D0" w:rsidRPr="001567C8" w:rsidTr="00441617">
        <w:trPr>
          <w:trHeight w:val="261"/>
        </w:trPr>
        <w:tc>
          <w:tcPr>
            <w:tcW w:w="2269" w:type="dxa"/>
            <w:tcBorders>
              <w:top w:val="nil"/>
              <w:left w:val="nil"/>
              <w:bottom w:val="nil"/>
              <w:right w:val="nil"/>
            </w:tcBorders>
            <w:shd w:val="clear" w:color="auto" w:fill="auto"/>
            <w:noWrap/>
            <w:vAlign w:val="bottom"/>
            <w:hideMark/>
          </w:tcPr>
          <w:p w:rsidR="00B004D0" w:rsidRPr="00CD3A2D" w:rsidRDefault="00B004D0">
            <w:pPr>
              <w:rPr>
                <w:sz w:val="19"/>
                <w:szCs w:val="19"/>
                <w:lang w:val="hr-HR"/>
              </w:rPr>
            </w:pPr>
          </w:p>
        </w:tc>
        <w:tc>
          <w:tcPr>
            <w:tcW w:w="985" w:type="dxa"/>
            <w:tcBorders>
              <w:top w:val="nil"/>
              <w:left w:val="nil"/>
              <w:bottom w:val="nil"/>
              <w:right w:val="nil"/>
            </w:tcBorders>
            <w:shd w:val="clear" w:color="auto" w:fill="auto"/>
            <w:noWrap/>
            <w:vAlign w:val="bottom"/>
            <w:hideMark/>
          </w:tcPr>
          <w:p w:rsidR="00B004D0" w:rsidRPr="00CD3A2D" w:rsidRDefault="00B004D0">
            <w:pPr>
              <w:rPr>
                <w:sz w:val="19"/>
                <w:szCs w:val="19"/>
                <w:lang w:val="hr-HR"/>
              </w:rPr>
            </w:pP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sz w:val="19"/>
                <w:szCs w:val="19"/>
                <w:lang w:val="hr-HR"/>
              </w:rPr>
            </w:pP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sz w:val="19"/>
                <w:szCs w:val="19"/>
                <w:lang w:val="hr-HR"/>
              </w:rPr>
            </w:pP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Grupa</w:t>
            </w: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sz w:val="19"/>
                <w:szCs w:val="19"/>
                <w:lang w:val="hr-HR"/>
              </w:rPr>
            </w:pP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sz w:val="19"/>
                <w:szCs w:val="19"/>
                <w:lang w:val="hr-HR"/>
              </w:rPr>
            </w:pP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Banka</w:t>
            </w:r>
          </w:p>
        </w:tc>
      </w:tr>
      <w:tr w:rsidR="00B004D0" w:rsidRPr="001567C8" w:rsidTr="00441617">
        <w:trPr>
          <w:trHeight w:val="261"/>
        </w:trPr>
        <w:tc>
          <w:tcPr>
            <w:tcW w:w="2269"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B004D0" w:rsidRPr="001567C8" w:rsidTr="00441617">
        <w:trPr>
          <w:trHeight w:val="261"/>
        </w:trPr>
        <w:tc>
          <w:tcPr>
            <w:tcW w:w="2269"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985"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986" w:type="dxa"/>
            <w:tcBorders>
              <w:top w:val="nil"/>
              <w:left w:val="nil"/>
              <w:bottom w:val="nil"/>
              <w:right w:val="nil"/>
            </w:tcBorders>
            <w:shd w:val="clear" w:color="auto" w:fill="auto"/>
            <w:noWrap/>
            <w:vAlign w:val="bottom"/>
            <w:hideMark/>
          </w:tcPr>
          <w:p w:rsidR="00B004D0" w:rsidRPr="00CD3A2D" w:rsidRDefault="00B004D0">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7D4973" w:rsidRPr="001567C8" w:rsidTr="0011726C">
        <w:trPr>
          <w:trHeight w:val="70"/>
        </w:trPr>
        <w:tc>
          <w:tcPr>
            <w:tcW w:w="2269"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19"/>
                <w:szCs w:val="19"/>
                <w:lang w:val="hr-HR"/>
              </w:rPr>
            </w:pPr>
          </w:p>
        </w:tc>
        <w:tc>
          <w:tcPr>
            <w:tcW w:w="985"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19"/>
                <w:szCs w:val="19"/>
                <w:lang w:val="hr-HR"/>
              </w:rPr>
            </w:pPr>
          </w:p>
        </w:tc>
        <w:tc>
          <w:tcPr>
            <w:tcW w:w="98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19"/>
                <w:szCs w:val="19"/>
                <w:lang w:val="hr-HR"/>
              </w:rPr>
            </w:pPr>
          </w:p>
        </w:tc>
        <w:tc>
          <w:tcPr>
            <w:tcW w:w="985"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19"/>
                <w:szCs w:val="19"/>
                <w:lang w:val="hr-HR"/>
              </w:rPr>
            </w:pPr>
          </w:p>
        </w:tc>
        <w:tc>
          <w:tcPr>
            <w:tcW w:w="98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19"/>
                <w:szCs w:val="19"/>
                <w:lang w:val="hr-HR"/>
              </w:rPr>
            </w:pPr>
          </w:p>
        </w:tc>
        <w:tc>
          <w:tcPr>
            <w:tcW w:w="985"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19"/>
                <w:szCs w:val="19"/>
                <w:lang w:val="hr-HR"/>
              </w:rPr>
            </w:pPr>
          </w:p>
        </w:tc>
        <w:tc>
          <w:tcPr>
            <w:tcW w:w="98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19"/>
                <w:szCs w:val="19"/>
                <w:lang w:val="hr-HR"/>
              </w:rPr>
            </w:pPr>
          </w:p>
        </w:tc>
        <w:tc>
          <w:tcPr>
            <w:tcW w:w="985"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19"/>
                <w:szCs w:val="19"/>
                <w:lang w:val="hr-HR"/>
              </w:rPr>
            </w:pPr>
          </w:p>
        </w:tc>
        <w:tc>
          <w:tcPr>
            <w:tcW w:w="986" w:type="dxa"/>
            <w:tcBorders>
              <w:top w:val="nil"/>
              <w:left w:val="nil"/>
              <w:bottom w:val="nil"/>
              <w:right w:val="nil"/>
            </w:tcBorders>
            <w:shd w:val="clear" w:color="auto" w:fill="auto"/>
            <w:noWrap/>
            <w:vAlign w:val="bottom"/>
          </w:tcPr>
          <w:p w:rsidR="007D4973" w:rsidRPr="00CD3A2D" w:rsidRDefault="007D4973">
            <w:pPr>
              <w:jc w:val="right"/>
              <w:rPr>
                <w:rFonts w:ascii="Calibri" w:hAnsi="Calibri" w:cs="Calibri"/>
                <w:b/>
                <w:bCs/>
                <w:color w:val="000000"/>
                <w:sz w:val="19"/>
                <w:szCs w:val="19"/>
                <w:lang w:val="hr-HR"/>
              </w:rPr>
            </w:pPr>
          </w:p>
        </w:tc>
      </w:tr>
      <w:tr w:rsidR="00015F4E" w:rsidRPr="001567C8" w:rsidTr="0011726C">
        <w:trPr>
          <w:trHeight w:val="377"/>
        </w:trPr>
        <w:tc>
          <w:tcPr>
            <w:tcW w:w="2269" w:type="dxa"/>
            <w:tcBorders>
              <w:top w:val="nil"/>
              <w:left w:val="nil"/>
              <w:bottom w:val="nil"/>
              <w:right w:val="nil"/>
            </w:tcBorders>
            <w:shd w:val="clear" w:color="auto" w:fill="auto"/>
            <w:noWrap/>
            <w:vAlign w:val="bottom"/>
            <w:hideMark/>
          </w:tcPr>
          <w:p w:rsidR="00015F4E" w:rsidRPr="00CD3A2D" w:rsidRDefault="00015F4E" w:rsidP="00015F4E">
            <w:pPr>
              <w:rPr>
                <w:rFonts w:ascii="Calibri" w:hAnsi="Calibri" w:cs="Calibri"/>
                <w:color w:val="000000"/>
                <w:sz w:val="19"/>
                <w:szCs w:val="19"/>
                <w:lang w:val="hr-HR"/>
              </w:rPr>
            </w:pPr>
            <w:r w:rsidRPr="00CD3A2D">
              <w:rPr>
                <w:rFonts w:ascii="Calibri" w:hAnsi="Calibri" w:cs="Calibri"/>
                <w:color w:val="000000"/>
                <w:sz w:val="19"/>
                <w:szCs w:val="19"/>
                <w:lang w:val="hr-HR"/>
              </w:rPr>
              <w:t>Bruto iznos</w:t>
            </w:r>
          </w:p>
        </w:tc>
        <w:tc>
          <w:tcPr>
            <w:tcW w:w="98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19"/>
                <w:szCs w:val="19"/>
                <w:lang w:val="hr-HR"/>
              </w:rPr>
            </w:pPr>
            <w:r w:rsidRPr="00CD3A2D">
              <w:rPr>
                <w:rFonts w:ascii="Calibri" w:hAnsi="Calibri" w:cs="Calibri"/>
                <w:color w:val="000000"/>
                <w:sz w:val="19"/>
                <w:szCs w:val="19"/>
                <w:lang w:val="hr-HR"/>
              </w:rPr>
              <w:t>263.286</w:t>
            </w:r>
          </w:p>
        </w:tc>
        <w:tc>
          <w:tcPr>
            <w:tcW w:w="986" w:type="dxa"/>
            <w:tcBorders>
              <w:top w:val="nil"/>
              <w:left w:val="nil"/>
              <w:bottom w:val="nil"/>
              <w:right w:val="nil"/>
            </w:tcBorders>
            <w:shd w:val="clear" w:color="auto" w:fill="auto"/>
            <w:noWrap/>
            <w:vAlign w:val="bottom"/>
            <w:hideMark/>
          </w:tcPr>
          <w:p w:rsidR="00015F4E" w:rsidRPr="00CD3A2D" w:rsidRDefault="00015F4E" w:rsidP="00015F4E">
            <w:pPr>
              <w:jc w:val="right"/>
              <w:rPr>
                <w:sz w:val="19"/>
                <w:szCs w:val="19"/>
                <w:lang w:val="hr-HR"/>
              </w:rPr>
            </w:pPr>
            <w:r w:rsidRPr="00CD3A2D">
              <w:rPr>
                <w:sz w:val="19"/>
                <w:szCs w:val="19"/>
                <w:lang w:val="hr-HR"/>
              </w:rPr>
              <w:t>-</w:t>
            </w:r>
          </w:p>
        </w:tc>
        <w:tc>
          <w:tcPr>
            <w:tcW w:w="985" w:type="dxa"/>
            <w:tcBorders>
              <w:top w:val="nil"/>
              <w:left w:val="nil"/>
              <w:bottom w:val="nil"/>
              <w:right w:val="nil"/>
            </w:tcBorders>
            <w:shd w:val="clear" w:color="auto" w:fill="auto"/>
            <w:noWrap/>
            <w:vAlign w:val="bottom"/>
            <w:hideMark/>
          </w:tcPr>
          <w:p w:rsidR="00015F4E" w:rsidRPr="00CD3A2D" w:rsidRDefault="00015F4E" w:rsidP="00015F4E">
            <w:pPr>
              <w:jc w:val="right"/>
              <w:rPr>
                <w:sz w:val="19"/>
                <w:szCs w:val="19"/>
                <w:lang w:val="hr-HR"/>
              </w:rPr>
            </w:pPr>
            <w:r w:rsidRPr="00CD3A2D">
              <w:rPr>
                <w:sz w:val="19"/>
                <w:szCs w:val="19"/>
                <w:lang w:val="hr-HR"/>
              </w:rPr>
              <w:t>-</w:t>
            </w:r>
          </w:p>
        </w:tc>
        <w:tc>
          <w:tcPr>
            <w:tcW w:w="98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color w:val="000000"/>
                <w:sz w:val="19"/>
                <w:szCs w:val="19"/>
                <w:lang w:val="hr-HR"/>
              </w:rPr>
              <w:t>263.286</w:t>
            </w:r>
          </w:p>
        </w:tc>
        <w:tc>
          <w:tcPr>
            <w:tcW w:w="98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263.286 </w:t>
            </w:r>
          </w:p>
        </w:tc>
        <w:tc>
          <w:tcPr>
            <w:tcW w:w="98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 </w:t>
            </w:r>
          </w:p>
        </w:tc>
        <w:tc>
          <w:tcPr>
            <w:tcW w:w="98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 </w:t>
            </w:r>
          </w:p>
        </w:tc>
        <w:tc>
          <w:tcPr>
            <w:tcW w:w="98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263.286 </w:t>
            </w:r>
          </w:p>
        </w:tc>
      </w:tr>
      <w:tr w:rsidR="00015F4E" w:rsidRPr="001567C8" w:rsidTr="0011726C">
        <w:trPr>
          <w:trHeight w:val="341"/>
        </w:trPr>
        <w:tc>
          <w:tcPr>
            <w:tcW w:w="2269" w:type="dxa"/>
            <w:tcBorders>
              <w:top w:val="nil"/>
              <w:left w:val="nil"/>
              <w:bottom w:val="nil"/>
              <w:right w:val="nil"/>
            </w:tcBorders>
            <w:shd w:val="clear" w:color="auto" w:fill="auto"/>
            <w:noWrap/>
            <w:vAlign w:val="bottom"/>
            <w:hideMark/>
          </w:tcPr>
          <w:p w:rsidR="00015F4E" w:rsidRPr="00CD3A2D" w:rsidRDefault="00015F4E" w:rsidP="00015F4E">
            <w:pPr>
              <w:rPr>
                <w:rFonts w:ascii="Calibri" w:hAnsi="Calibri" w:cs="Calibri"/>
                <w:color w:val="000000"/>
                <w:sz w:val="19"/>
                <w:szCs w:val="19"/>
                <w:lang w:val="hr-HR"/>
              </w:rPr>
            </w:pPr>
            <w:r w:rsidRPr="00CD3A2D">
              <w:rPr>
                <w:rFonts w:ascii="Calibri" w:hAnsi="Calibri" w:cs="Calibri"/>
                <w:color w:val="000000"/>
                <w:sz w:val="19"/>
                <w:szCs w:val="19"/>
                <w:lang w:val="hr-HR"/>
              </w:rPr>
              <w:t>Rezerviranja</w:t>
            </w:r>
          </w:p>
        </w:tc>
        <w:tc>
          <w:tcPr>
            <w:tcW w:w="98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19"/>
                <w:szCs w:val="19"/>
                <w:lang w:val="hr-HR"/>
              </w:rPr>
            </w:pPr>
            <w:r w:rsidRPr="00CD3A2D">
              <w:rPr>
                <w:rFonts w:ascii="Calibri" w:hAnsi="Calibri" w:cs="Calibri"/>
                <w:color w:val="000000"/>
                <w:sz w:val="19"/>
                <w:szCs w:val="19"/>
                <w:lang w:val="hr-HR"/>
              </w:rPr>
              <w:t>(1.361)</w:t>
            </w:r>
          </w:p>
        </w:tc>
        <w:tc>
          <w:tcPr>
            <w:tcW w:w="986" w:type="dxa"/>
            <w:tcBorders>
              <w:top w:val="nil"/>
              <w:left w:val="nil"/>
              <w:bottom w:val="nil"/>
              <w:right w:val="nil"/>
            </w:tcBorders>
            <w:shd w:val="clear" w:color="auto" w:fill="auto"/>
            <w:noWrap/>
            <w:vAlign w:val="bottom"/>
            <w:hideMark/>
          </w:tcPr>
          <w:p w:rsidR="00015F4E" w:rsidRPr="00CD3A2D" w:rsidRDefault="00015F4E" w:rsidP="00015F4E">
            <w:pPr>
              <w:jc w:val="right"/>
              <w:rPr>
                <w:sz w:val="19"/>
                <w:szCs w:val="19"/>
                <w:lang w:val="hr-HR"/>
              </w:rPr>
            </w:pPr>
            <w:r w:rsidRPr="00CD3A2D">
              <w:rPr>
                <w:sz w:val="19"/>
                <w:szCs w:val="19"/>
                <w:lang w:val="hr-HR"/>
              </w:rPr>
              <w:t>-</w:t>
            </w:r>
          </w:p>
        </w:tc>
        <w:tc>
          <w:tcPr>
            <w:tcW w:w="985" w:type="dxa"/>
            <w:tcBorders>
              <w:top w:val="nil"/>
              <w:left w:val="nil"/>
              <w:bottom w:val="nil"/>
              <w:right w:val="nil"/>
            </w:tcBorders>
            <w:shd w:val="clear" w:color="auto" w:fill="auto"/>
            <w:noWrap/>
            <w:vAlign w:val="bottom"/>
            <w:hideMark/>
          </w:tcPr>
          <w:p w:rsidR="00015F4E" w:rsidRPr="00CD3A2D" w:rsidRDefault="00015F4E" w:rsidP="00015F4E">
            <w:pPr>
              <w:jc w:val="right"/>
              <w:rPr>
                <w:sz w:val="19"/>
                <w:szCs w:val="19"/>
                <w:lang w:val="hr-HR"/>
              </w:rPr>
            </w:pPr>
            <w:r w:rsidRPr="00CD3A2D">
              <w:rPr>
                <w:sz w:val="19"/>
                <w:szCs w:val="19"/>
                <w:lang w:val="hr-HR"/>
              </w:rPr>
              <w:t>-</w:t>
            </w:r>
          </w:p>
        </w:tc>
        <w:tc>
          <w:tcPr>
            <w:tcW w:w="98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color w:val="000000"/>
                <w:sz w:val="19"/>
                <w:szCs w:val="19"/>
                <w:lang w:val="hr-HR"/>
              </w:rPr>
              <w:t>(1.361)</w:t>
            </w:r>
          </w:p>
        </w:tc>
        <w:tc>
          <w:tcPr>
            <w:tcW w:w="98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(1.361)</w:t>
            </w:r>
          </w:p>
        </w:tc>
        <w:tc>
          <w:tcPr>
            <w:tcW w:w="98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 </w:t>
            </w:r>
          </w:p>
        </w:tc>
        <w:tc>
          <w:tcPr>
            <w:tcW w:w="985"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b/>
                <w:color w:val="000000"/>
                <w:sz w:val="19"/>
                <w:szCs w:val="19"/>
                <w:lang w:val="hr-HR"/>
              </w:rPr>
            </w:pPr>
            <w:r w:rsidRPr="00CD3A2D">
              <w:rPr>
                <w:rFonts w:ascii="Calibri" w:hAnsi="Calibri" w:cs="Calibri"/>
                <w:b/>
                <w:color w:val="000000"/>
                <w:sz w:val="19"/>
                <w:szCs w:val="19"/>
                <w:lang w:val="hr-HR"/>
              </w:rPr>
              <w:t xml:space="preserve">            - </w:t>
            </w:r>
          </w:p>
        </w:tc>
        <w:tc>
          <w:tcPr>
            <w:tcW w:w="986" w:type="dxa"/>
            <w:tcBorders>
              <w:top w:val="nil"/>
              <w:left w:val="nil"/>
              <w:bottom w:val="nil"/>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(1.361)</w:t>
            </w:r>
          </w:p>
        </w:tc>
      </w:tr>
      <w:tr w:rsidR="00015F4E" w:rsidRPr="001567C8" w:rsidTr="0011726C">
        <w:trPr>
          <w:trHeight w:val="593"/>
        </w:trPr>
        <w:tc>
          <w:tcPr>
            <w:tcW w:w="2269" w:type="dxa"/>
            <w:tcBorders>
              <w:top w:val="nil"/>
              <w:left w:val="nil"/>
              <w:bottom w:val="nil"/>
              <w:right w:val="nil"/>
            </w:tcBorders>
            <w:shd w:val="clear" w:color="auto" w:fill="auto"/>
            <w:noWrap/>
            <w:vAlign w:val="bottom"/>
            <w:hideMark/>
          </w:tcPr>
          <w:p w:rsidR="00015F4E" w:rsidRPr="00CD3A2D" w:rsidRDefault="00015F4E" w:rsidP="00015F4E">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Stanje na dan </w:t>
            </w:r>
          </w:p>
          <w:p w:rsidR="00015F4E" w:rsidRPr="00CD3A2D" w:rsidRDefault="00015F4E" w:rsidP="00015F4E">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31. prosinca 2018. godine    </w:t>
            </w:r>
          </w:p>
        </w:tc>
        <w:tc>
          <w:tcPr>
            <w:tcW w:w="985"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261.925  </w:t>
            </w:r>
          </w:p>
        </w:tc>
        <w:tc>
          <w:tcPr>
            <w:tcW w:w="986"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 </w:t>
            </w:r>
          </w:p>
        </w:tc>
        <w:tc>
          <w:tcPr>
            <w:tcW w:w="985"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 </w:t>
            </w:r>
          </w:p>
        </w:tc>
        <w:tc>
          <w:tcPr>
            <w:tcW w:w="986"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261.925  </w:t>
            </w:r>
          </w:p>
        </w:tc>
        <w:tc>
          <w:tcPr>
            <w:tcW w:w="985"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261.925 </w:t>
            </w:r>
          </w:p>
        </w:tc>
        <w:tc>
          <w:tcPr>
            <w:tcW w:w="986"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 </w:t>
            </w:r>
          </w:p>
        </w:tc>
        <w:tc>
          <w:tcPr>
            <w:tcW w:w="985"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               - </w:t>
            </w:r>
          </w:p>
        </w:tc>
        <w:tc>
          <w:tcPr>
            <w:tcW w:w="986" w:type="dxa"/>
            <w:tcBorders>
              <w:top w:val="single" w:sz="4" w:space="0" w:color="auto"/>
              <w:left w:val="nil"/>
              <w:bottom w:val="single" w:sz="12" w:space="0" w:color="auto"/>
              <w:right w:val="nil"/>
            </w:tcBorders>
            <w:shd w:val="clear" w:color="auto" w:fill="auto"/>
            <w:noWrap/>
            <w:vAlign w:val="bottom"/>
            <w:hideMark/>
          </w:tcPr>
          <w:p w:rsidR="00015F4E" w:rsidRPr="00CD3A2D" w:rsidRDefault="00015F4E" w:rsidP="00015F4E">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261.925 </w:t>
            </w:r>
          </w:p>
        </w:tc>
      </w:tr>
    </w:tbl>
    <w:p w:rsidR="00D415BF" w:rsidRPr="001567C8" w:rsidRDefault="00D415BF" w:rsidP="00D415BF">
      <w:pPr>
        <w:pStyle w:val="T1"/>
        <w:spacing w:before="0" w:after="0" w:line="240" w:lineRule="auto"/>
        <w:rPr>
          <w:rFonts w:asciiTheme="minorHAnsi" w:hAnsiTheme="minorHAnsi" w:cs="Arial"/>
          <w:sz w:val="22"/>
          <w:szCs w:val="22"/>
          <w:lang w:val="hr-HR"/>
        </w:rPr>
      </w:pPr>
    </w:p>
    <w:p w:rsidR="006D0890" w:rsidRPr="00CD3A2D" w:rsidRDefault="006D0890" w:rsidP="003C6BA3">
      <w:pPr>
        <w:pStyle w:val="T1"/>
        <w:spacing w:before="0" w:line="240" w:lineRule="auto"/>
        <w:rPr>
          <w:lang w:val="hr-HR"/>
        </w:rPr>
      </w:pPr>
      <w:r w:rsidRPr="001567C8">
        <w:rPr>
          <w:rFonts w:asciiTheme="minorHAnsi" w:hAnsiTheme="minorHAnsi" w:cs="Arial"/>
          <w:b w:val="0"/>
          <w:bCs w:val="0"/>
          <w:sz w:val="22"/>
          <w:szCs w:val="22"/>
          <w:lang w:val="hr-HR"/>
        </w:rPr>
        <w:t xml:space="preserve">Promjene na rezerviranjima za </w:t>
      </w:r>
      <w:r w:rsidR="00640BE0" w:rsidRPr="001567C8">
        <w:rPr>
          <w:rFonts w:asciiTheme="minorHAnsi" w:hAnsiTheme="minorHAnsi" w:cs="Arial"/>
          <w:b w:val="0"/>
          <w:bCs w:val="0"/>
          <w:sz w:val="22"/>
          <w:szCs w:val="22"/>
          <w:lang w:val="hr-HR"/>
        </w:rPr>
        <w:t>očekivane</w:t>
      </w:r>
      <w:r w:rsidR="00640BE0" w:rsidRPr="001567C8" w:rsidDel="00640BE0">
        <w:rPr>
          <w:rFonts w:asciiTheme="minorHAnsi" w:hAnsiTheme="minorHAnsi" w:cs="Arial"/>
          <w:b w:val="0"/>
          <w:bCs w:val="0"/>
          <w:sz w:val="22"/>
          <w:szCs w:val="22"/>
          <w:lang w:val="hr-HR"/>
        </w:rPr>
        <w:t xml:space="preserve"> </w:t>
      </w:r>
      <w:r w:rsidR="00640BE0"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gubitke po depozitima kod drugih banaka mogu se prikazati kako slijedi:</w:t>
      </w:r>
    </w:p>
    <w:tbl>
      <w:tblPr>
        <w:tblW w:w="5053" w:type="pct"/>
        <w:tblLook w:val="04A0" w:firstRow="1" w:lastRow="0" w:firstColumn="1" w:lastColumn="0" w:noHBand="0" w:noVBand="1"/>
      </w:tblPr>
      <w:tblGrid>
        <w:gridCol w:w="6605"/>
        <w:gridCol w:w="1427"/>
        <w:gridCol w:w="1422"/>
      </w:tblGrid>
      <w:tr w:rsidR="00B93232" w:rsidRPr="001567C8" w:rsidTr="003C6BA3">
        <w:trPr>
          <w:trHeight w:val="172"/>
        </w:trPr>
        <w:tc>
          <w:tcPr>
            <w:tcW w:w="6605" w:type="dxa"/>
            <w:tcBorders>
              <w:top w:val="nil"/>
              <w:left w:val="nil"/>
              <w:bottom w:val="nil"/>
              <w:right w:val="nil"/>
            </w:tcBorders>
            <w:shd w:val="clear" w:color="auto" w:fill="auto"/>
            <w:vAlign w:val="center"/>
            <w:hideMark/>
          </w:tcPr>
          <w:p w:rsidR="00D415BF" w:rsidRPr="00CD3A2D" w:rsidRDefault="00D415BF">
            <w:pPr>
              <w:rPr>
                <w:sz w:val="20"/>
                <w:szCs w:val="20"/>
                <w:lang w:val="hr-HR"/>
              </w:rPr>
            </w:pPr>
          </w:p>
        </w:tc>
        <w:tc>
          <w:tcPr>
            <w:tcW w:w="1427" w:type="dxa"/>
            <w:tcBorders>
              <w:top w:val="nil"/>
              <w:left w:val="nil"/>
              <w:bottom w:val="nil"/>
              <w:right w:val="nil"/>
            </w:tcBorders>
            <w:shd w:val="clear" w:color="auto" w:fill="auto"/>
            <w:vAlign w:val="center"/>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Grupa</w:t>
            </w:r>
          </w:p>
        </w:tc>
        <w:tc>
          <w:tcPr>
            <w:tcW w:w="1422" w:type="dxa"/>
            <w:tcBorders>
              <w:top w:val="nil"/>
              <w:left w:val="nil"/>
              <w:bottom w:val="nil"/>
              <w:right w:val="nil"/>
            </w:tcBorders>
            <w:shd w:val="clear" w:color="auto" w:fill="auto"/>
            <w:vAlign w:val="center"/>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Banka</w:t>
            </w:r>
          </w:p>
        </w:tc>
      </w:tr>
      <w:tr w:rsidR="00B93232" w:rsidRPr="001567C8" w:rsidTr="003C6BA3">
        <w:trPr>
          <w:trHeight w:val="172"/>
        </w:trPr>
        <w:tc>
          <w:tcPr>
            <w:tcW w:w="6605" w:type="dxa"/>
            <w:tcBorders>
              <w:top w:val="nil"/>
              <w:left w:val="nil"/>
              <w:bottom w:val="nil"/>
              <w:right w:val="nil"/>
            </w:tcBorders>
            <w:shd w:val="clear" w:color="auto" w:fill="auto"/>
            <w:vAlign w:val="center"/>
            <w:hideMark/>
          </w:tcPr>
          <w:p w:rsidR="00D415BF" w:rsidRPr="00CD3A2D" w:rsidRDefault="00D415BF">
            <w:pPr>
              <w:jc w:val="right"/>
              <w:rPr>
                <w:rFonts w:ascii="Calibri" w:hAnsi="Calibri"/>
                <w:b/>
                <w:bCs/>
                <w:color w:val="000000"/>
                <w:sz w:val="20"/>
                <w:szCs w:val="20"/>
                <w:lang w:val="hr-HR"/>
              </w:rPr>
            </w:pPr>
          </w:p>
        </w:tc>
        <w:tc>
          <w:tcPr>
            <w:tcW w:w="1427" w:type="dxa"/>
            <w:tcBorders>
              <w:top w:val="nil"/>
              <w:left w:val="nil"/>
              <w:bottom w:val="nil"/>
              <w:right w:val="nil"/>
            </w:tcBorders>
            <w:shd w:val="clear" w:color="auto" w:fill="auto"/>
            <w:vAlign w:val="center"/>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c>
          <w:tcPr>
            <w:tcW w:w="1422" w:type="dxa"/>
            <w:tcBorders>
              <w:top w:val="nil"/>
              <w:left w:val="nil"/>
              <w:bottom w:val="nil"/>
              <w:right w:val="nil"/>
            </w:tcBorders>
            <w:shd w:val="clear" w:color="auto" w:fill="auto"/>
            <w:vAlign w:val="center"/>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r>
      <w:tr w:rsidR="00B93232" w:rsidRPr="001567C8" w:rsidTr="003C6BA3">
        <w:trPr>
          <w:trHeight w:val="146"/>
        </w:trPr>
        <w:tc>
          <w:tcPr>
            <w:tcW w:w="6605" w:type="dxa"/>
            <w:tcBorders>
              <w:top w:val="nil"/>
              <w:left w:val="nil"/>
              <w:bottom w:val="nil"/>
              <w:right w:val="nil"/>
            </w:tcBorders>
            <w:shd w:val="clear" w:color="auto" w:fill="auto"/>
            <w:vAlign w:val="center"/>
            <w:hideMark/>
          </w:tcPr>
          <w:p w:rsidR="00D415BF" w:rsidRPr="00CD3A2D" w:rsidRDefault="00D415BF">
            <w:pPr>
              <w:jc w:val="right"/>
              <w:rPr>
                <w:rFonts w:ascii="Calibri" w:hAnsi="Calibri"/>
                <w:b/>
                <w:bCs/>
                <w:color w:val="000000"/>
                <w:sz w:val="20"/>
                <w:szCs w:val="20"/>
                <w:lang w:val="hr-HR"/>
              </w:rPr>
            </w:pPr>
          </w:p>
        </w:tc>
        <w:tc>
          <w:tcPr>
            <w:tcW w:w="1427" w:type="dxa"/>
            <w:tcBorders>
              <w:top w:val="nil"/>
              <w:left w:val="nil"/>
              <w:bottom w:val="nil"/>
              <w:right w:val="nil"/>
            </w:tcBorders>
            <w:shd w:val="clear" w:color="auto" w:fill="auto"/>
            <w:vAlign w:val="center"/>
            <w:hideMark/>
          </w:tcPr>
          <w:p w:rsidR="00D415BF" w:rsidRPr="00CD3A2D" w:rsidRDefault="00D415BF">
            <w:pPr>
              <w:rPr>
                <w:sz w:val="20"/>
                <w:szCs w:val="20"/>
                <w:lang w:val="hr-HR"/>
              </w:rPr>
            </w:pPr>
          </w:p>
        </w:tc>
        <w:tc>
          <w:tcPr>
            <w:tcW w:w="1422" w:type="dxa"/>
            <w:tcBorders>
              <w:top w:val="nil"/>
              <w:left w:val="nil"/>
              <w:bottom w:val="nil"/>
              <w:right w:val="nil"/>
            </w:tcBorders>
            <w:shd w:val="clear" w:color="auto" w:fill="auto"/>
            <w:vAlign w:val="center"/>
            <w:hideMark/>
          </w:tcPr>
          <w:p w:rsidR="00D415BF" w:rsidRPr="00CD3A2D" w:rsidRDefault="00D415BF">
            <w:pPr>
              <w:jc w:val="right"/>
              <w:rPr>
                <w:sz w:val="20"/>
                <w:szCs w:val="20"/>
                <w:lang w:val="hr-HR"/>
              </w:rPr>
            </w:pP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color w:val="000000"/>
                <w:sz w:val="20"/>
                <w:szCs w:val="20"/>
                <w:lang w:val="hr-HR"/>
              </w:rPr>
            </w:pPr>
            <w:r w:rsidRPr="00CD3A2D">
              <w:rPr>
                <w:rFonts w:ascii="Calibri" w:hAnsi="Calibri"/>
                <w:color w:val="000000"/>
                <w:sz w:val="20"/>
                <w:szCs w:val="20"/>
                <w:lang w:val="hr-HR"/>
              </w:rPr>
              <w:t>Stanje 1. siječnja 2017. godine</w:t>
            </w:r>
          </w:p>
        </w:tc>
        <w:tc>
          <w:tcPr>
            <w:tcW w:w="1427"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248 </w:t>
            </w:r>
          </w:p>
        </w:tc>
        <w:tc>
          <w:tcPr>
            <w:tcW w:w="1422"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248 </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color w:val="000000"/>
                <w:sz w:val="20"/>
                <w:szCs w:val="20"/>
                <w:lang w:val="hr-HR"/>
              </w:rPr>
            </w:pPr>
            <w:r w:rsidRPr="00CD3A2D">
              <w:rPr>
                <w:rFonts w:ascii="Calibri" w:hAnsi="Calibri"/>
                <w:color w:val="000000"/>
                <w:sz w:val="20"/>
                <w:szCs w:val="20"/>
                <w:lang w:val="hr-HR"/>
              </w:rPr>
              <w:t xml:space="preserve">Povećanje rezerviranja za </w:t>
            </w:r>
            <w:r w:rsidR="00726C85" w:rsidRPr="00CD3A2D">
              <w:rPr>
                <w:rFonts w:ascii="Calibri" w:hAnsi="Calibri"/>
                <w:color w:val="000000"/>
                <w:sz w:val="20"/>
                <w:szCs w:val="20"/>
                <w:lang w:val="hr-HR"/>
              </w:rPr>
              <w:t>očekivane</w:t>
            </w:r>
            <w:r w:rsidRPr="00CD3A2D">
              <w:rPr>
                <w:rFonts w:ascii="Calibri" w:hAnsi="Calibri"/>
                <w:color w:val="000000"/>
                <w:sz w:val="20"/>
                <w:szCs w:val="20"/>
                <w:lang w:val="hr-HR"/>
              </w:rPr>
              <w:t xml:space="preserve"> gubitke po depozitima kod drugih banaka</w:t>
            </w:r>
          </w:p>
        </w:tc>
        <w:tc>
          <w:tcPr>
            <w:tcW w:w="1427"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106 </w:t>
            </w:r>
          </w:p>
        </w:tc>
        <w:tc>
          <w:tcPr>
            <w:tcW w:w="1422"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106 </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color w:val="000000"/>
                <w:sz w:val="20"/>
                <w:szCs w:val="20"/>
                <w:lang w:val="hr-HR"/>
              </w:rPr>
            </w:pPr>
            <w:r w:rsidRPr="00CD3A2D">
              <w:rPr>
                <w:rFonts w:ascii="Calibri" w:hAnsi="Calibri"/>
                <w:color w:val="000000"/>
                <w:sz w:val="20"/>
                <w:szCs w:val="20"/>
                <w:lang w:val="hr-HR"/>
              </w:rPr>
              <w:t xml:space="preserve">Smanjenje rezerviranja za </w:t>
            </w:r>
            <w:r w:rsidR="00726C85" w:rsidRPr="00CD3A2D">
              <w:rPr>
                <w:rFonts w:ascii="Calibri" w:hAnsi="Calibri"/>
                <w:color w:val="000000"/>
                <w:sz w:val="20"/>
                <w:szCs w:val="20"/>
                <w:lang w:val="hr-HR"/>
              </w:rPr>
              <w:t>očekivane</w:t>
            </w:r>
            <w:r w:rsidRPr="00CD3A2D">
              <w:rPr>
                <w:rFonts w:ascii="Calibri" w:hAnsi="Calibri"/>
                <w:color w:val="000000"/>
                <w:sz w:val="20"/>
                <w:szCs w:val="20"/>
                <w:lang w:val="hr-HR"/>
              </w:rPr>
              <w:t xml:space="preserve"> gubitke po depozitima kod drugih banaka</w:t>
            </w:r>
          </w:p>
        </w:tc>
        <w:tc>
          <w:tcPr>
            <w:tcW w:w="1427"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     </w:t>
            </w:r>
          </w:p>
        </w:tc>
        <w:tc>
          <w:tcPr>
            <w:tcW w:w="1422"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    </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b/>
                <w:bCs/>
                <w:color w:val="000000"/>
                <w:sz w:val="20"/>
                <w:szCs w:val="20"/>
                <w:lang w:val="hr-HR"/>
              </w:rPr>
            </w:pPr>
            <w:r w:rsidRPr="00CD3A2D">
              <w:rPr>
                <w:rFonts w:ascii="Calibri" w:hAnsi="Calibri"/>
                <w:b/>
                <w:bCs/>
                <w:color w:val="000000"/>
                <w:sz w:val="20"/>
                <w:szCs w:val="20"/>
                <w:lang w:val="hr-HR"/>
              </w:rPr>
              <w:t>Stanje 31. prosinca 2017. godine</w:t>
            </w:r>
          </w:p>
        </w:tc>
        <w:tc>
          <w:tcPr>
            <w:tcW w:w="1427" w:type="dxa"/>
            <w:tcBorders>
              <w:top w:val="single" w:sz="4" w:space="0" w:color="auto"/>
              <w:left w:val="nil"/>
              <w:bottom w:val="single" w:sz="12" w:space="0" w:color="auto"/>
              <w:right w:val="nil"/>
            </w:tcBorders>
            <w:shd w:val="clear" w:color="auto" w:fill="auto"/>
            <w:vAlign w:val="bottom"/>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354 </w:t>
            </w:r>
          </w:p>
        </w:tc>
        <w:tc>
          <w:tcPr>
            <w:tcW w:w="1422" w:type="dxa"/>
            <w:tcBorders>
              <w:top w:val="single" w:sz="4" w:space="0" w:color="auto"/>
              <w:left w:val="nil"/>
              <w:bottom w:val="single" w:sz="12" w:space="0" w:color="auto"/>
              <w:right w:val="nil"/>
            </w:tcBorders>
            <w:shd w:val="clear" w:color="auto" w:fill="auto"/>
            <w:vAlign w:val="bottom"/>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354 </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color w:val="000000"/>
                <w:sz w:val="20"/>
                <w:szCs w:val="20"/>
                <w:lang w:val="hr-HR"/>
              </w:rPr>
            </w:pPr>
            <w:r w:rsidRPr="00CD3A2D">
              <w:rPr>
                <w:rFonts w:ascii="Calibri" w:hAnsi="Calibri"/>
                <w:color w:val="000000"/>
                <w:sz w:val="20"/>
                <w:szCs w:val="20"/>
                <w:lang w:val="hr-HR"/>
              </w:rPr>
              <w:t xml:space="preserve">Učinak MSFI-ja </w:t>
            </w:r>
            <w:r w:rsidRPr="00CD3A2D">
              <w:rPr>
                <w:rFonts w:ascii="Calibri" w:hAnsi="Calibri"/>
                <w:sz w:val="20"/>
                <w:szCs w:val="20"/>
                <w:lang w:val="hr-HR"/>
              </w:rPr>
              <w:t>9 (bilješka 5)</w:t>
            </w:r>
          </w:p>
        </w:tc>
        <w:tc>
          <w:tcPr>
            <w:tcW w:w="1427" w:type="dxa"/>
            <w:tcBorders>
              <w:top w:val="single" w:sz="12" w:space="0" w:color="auto"/>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(202)</w:t>
            </w:r>
          </w:p>
        </w:tc>
        <w:tc>
          <w:tcPr>
            <w:tcW w:w="1422" w:type="dxa"/>
            <w:tcBorders>
              <w:top w:val="single" w:sz="12" w:space="0" w:color="auto"/>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(202)</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b/>
                <w:bCs/>
                <w:color w:val="000000"/>
                <w:sz w:val="20"/>
                <w:szCs w:val="20"/>
                <w:lang w:val="hr-HR"/>
              </w:rPr>
            </w:pPr>
            <w:r w:rsidRPr="00CD3A2D">
              <w:rPr>
                <w:rFonts w:ascii="Calibri" w:hAnsi="Calibri"/>
                <w:b/>
                <w:bCs/>
                <w:color w:val="000000"/>
                <w:sz w:val="20"/>
                <w:szCs w:val="20"/>
                <w:lang w:val="hr-HR"/>
              </w:rPr>
              <w:t>Stanje 1. siječnja 2018. godine</w:t>
            </w:r>
          </w:p>
        </w:tc>
        <w:tc>
          <w:tcPr>
            <w:tcW w:w="1427" w:type="dxa"/>
            <w:tcBorders>
              <w:top w:val="single" w:sz="4" w:space="0" w:color="auto"/>
              <w:left w:val="nil"/>
              <w:bottom w:val="single" w:sz="12" w:space="0" w:color="auto"/>
              <w:right w:val="nil"/>
            </w:tcBorders>
            <w:shd w:val="clear" w:color="auto" w:fill="auto"/>
            <w:vAlign w:val="bottom"/>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152 </w:t>
            </w:r>
          </w:p>
        </w:tc>
        <w:tc>
          <w:tcPr>
            <w:tcW w:w="1422" w:type="dxa"/>
            <w:tcBorders>
              <w:top w:val="single" w:sz="4" w:space="0" w:color="auto"/>
              <w:left w:val="nil"/>
              <w:bottom w:val="single" w:sz="12" w:space="0" w:color="auto"/>
              <w:right w:val="nil"/>
            </w:tcBorders>
            <w:shd w:val="clear" w:color="auto" w:fill="auto"/>
            <w:vAlign w:val="bottom"/>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152 </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color w:val="000000"/>
                <w:sz w:val="20"/>
                <w:szCs w:val="20"/>
                <w:lang w:val="hr-HR"/>
              </w:rPr>
            </w:pPr>
            <w:r w:rsidRPr="00CD3A2D">
              <w:rPr>
                <w:rFonts w:ascii="Calibri" w:hAnsi="Calibri"/>
                <w:color w:val="000000"/>
                <w:sz w:val="20"/>
                <w:szCs w:val="20"/>
                <w:lang w:val="hr-HR"/>
              </w:rPr>
              <w:t xml:space="preserve">Povećanje rezerviranja za </w:t>
            </w:r>
            <w:r w:rsidR="00726C85" w:rsidRPr="00CD3A2D">
              <w:rPr>
                <w:rFonts w:ascii="Calibri" w:hAnsi="Calibri"/>
                <w:color w:val="000000"/>
                <w:sz w:val="20"/>
                <w:szCs w:val="20"/>
                <w:lang w:val="hr-HR"/>
              </w:rPr>
              <w:t>očekivane</w:t>
            </w:r>
            <w:r w:rsidRPr="00CD3A2D">
              <w:rPr>
                <w:rFonts w:ascii="Calibri" w:hAnsi="Calibri"/>
                <w:color w:val="000000"/>
                <w:sz w:val="20"/>
                <w:szCs w:val="20"/>
                <w:lang w:val="hr-HR"/>
              </w:rPr>
              <w:t xml:space="preserve"> gubitke po depozitima kod drugih banaka</w:t>
            </w:r>
          </w:p>
        </w:tc>
        <w:tc>
          <w:tcPr>
            <w:tcW w:w="1427" w:type="dxa"/>
            <w:tcBorders>
              <w:top w:val="single" w:sz="12" w:space="0" w:color="auto"/>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1.465 </w:t>
            </w:r>
          </w:p>
        </w:tc>
        <w:tc>
          <w:tcPr>
            <w:tcW w:w="1422" w:type="dxa"/>
            <w:tcBorders>
              <w:top w:val="single" w:sz="12" w:space="0" w:color="auto"/>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1.465 </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color w:val="000000"/>
                <w:sz w:val="20"/>
                <w:szCs w:val="20"/>
                <w:lang w:val="hr-HR"/>
              </w:rPr>
            </w:pPr>
            <w:r w:rsidRPr="00CD3A2D">
              <w:rPr>
                <w:rFonts w:ascii="Calibri" w:hAnsi="Calibri"/>
                <w:color w:val="000000"/>
                <w:sz w:val="20"/>
                <w:szCs w:val="20"/>
                <w:lang w:val="hr-HR"/>
              </w:rPr>
              <w:t xml:space="preserve">Smanjenje rezerviranja za </w:t>
            </w:r>
            <w:r w:rsidR="00726C85" w:rsidRPr="00CD3A2D">
              <w:rPr>
                <w:rFonts w:ascii="Calibri" w:hAnsi="Calibri"/>
                <w:color w:val="000000"/>
                <w:sz w:val="20"/>
                <w:szCs w:val="20"/>
                <w:lang w:val="hr-HR"/>
              </w:rPr>
              <w:t>očekivane</w:t>
            </w:r>
            <w:r w:rsidRPr="00CD3A2D">
              <w:rPr>
                <w:rFonts w:ascii="Calibri" w:hAnsi="Calibri"/>
                <w:color w:val="000000"/>
                <w:sz w:val="20"/>
                <w:szCs w:val="20"/>
                <w:lang w:val="hr-HR"/>
              </w:rPr>
              <w:t xml:space="preserve"> gubitke po depozitima kod drugih banaka</w:t>
            </w:r>
          </w:p>
        </w:tc>
        <w:tc>
          <w:tcPr>
            <w:tcW w:w="1427"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(249)</w:t>
            </w:r>
          </w:p>
        </w:tc>
        <w:tc>
          <w:tcPr>
            <w:tcW w:w="1422"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(249)</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i/>
                <w:iCs/>
                <w:color w:val="000000"/>
                <w:sz w:val="20"/>
                <w:szCs w:val="20"/>
                <w:lang w:val="hr-HR"/>
              </w:rPr>
            </w:pPr>
            <w:r w:rsidRPr="00CD3A2D">
              <w:rPr>
                <w:rFonts w:ascii="Calibri" w:hAnsi="Calibri"/>
                <w:i/>
                <w:iCs/>
                <w:color w:val="000000"/>
                <w:sz w:val="20"/>
                <w:szCs w:val="20"/>
                <w:lang w:val="hr-HR"/>
              </w:rPr>
              <w:t xml:space="preserve">Ukupno kroz </w:t>
            </w:r>
            <w:r w:rsidR="006F4525" w:rsidRPr="00CD3A2D">
              <w:rPr>
                <w:rFonts w:ascii="Calibri" w:hAnsi="Calibri"/>
                <w:i/>
                <w:iCs/>
                <w:color w:val="000000"/>
                <w:sz w:val="20"/>
                <w:szCs w:val="20"/>
                <w:lang w:val="hr-HR"/>
              </w:rPr>
              <w:t>do</w:t>
            </w:r>
            <w:r w:rsidRPr="00CD3A2D">
              <w:rPr>
                <w:rFonts w:ascii="Calibri" w:hAnsi="Calibri"/>
                <w:i/>
                <w:iCs/>
                <w:color w:val="000000"/>
                <w:sz w:val="20"/>
                <w:szCs w:val="20"/>
                <w:lang w:val="hr-HR"/>
              </w:rPr>
              <w:t>bit i</w:t>
            </w:r>
            <w:r w:rsidR="00316574" w:rsidRPr="00CD3A2D">
              <w:rPr>
                <w:rFonts w:ascii="Calibri" w:hAnsi="Calibri"/>
                <w:i/>
                <w:iCs/>
                <w:color w:val="000000"/>
                <w:sz w:val="20"/>
                <w:szCs w:val="20"/>
                <w:lang w:val="hr-HR"/>
              </w:rPr>
              <w:t>li</w:t>
            </w:r>
            <w:r w:rsidRPr="00CD3A2D">
              <w:rPr>
                <w:rFonts w:ascii="Calibri" w:hAnsi="Calibri"/>
                <w:i/>
                <w:iCs/>
                <w:color w:val="000000"/>
                <w:sz w:val="20"/>
                <w:szCs w:val="20"/>
                <w:lang w:val="hr-HR"/>
              </w:rPr>
              <w:t xml:space="preserve"> gubit</w:t>
            </w:r>
            <w:r w:rsidR="00316574" w:rsidRPr="00CD3A2D">
              <w:rPr>
                <w:rFonts w:ascii="Calibri" w:hAnsi="Calibri"/>
                <w:i/>
                <w:iCs/>
                <w:color w:val="000000"/>
                <w:sz w:val="20"/>
                <w:szCs w:val="20"/>
                <w:lang w:val="hr-HR"/>
              </w:rPr>
              <w:t>ak</w:t>
            </w:r>
            <w:r w:rsidRPr="00CD3A2D">
              <w:rPr>
                <w:rFonts w:ascii="Calibri" w:hAnsi="Calibri"/>
                <w:i/>
                <w:iCs/>
                <w:color w:val="000000"/>
                <w:sz w:val="20"/>
                <w:szCs w:val="20"/>
                <w:lang w:val="hr-HR"/>
              </w:rPr>
              <w:t xml:space="preserve"> (bilješka</w:t>
            </w:r>
            <w:r w:rsidR="002B0657" w:rsidRPr="00CD3A2D">
              <w:rPr>
                <w:rFonts w:ascii="Calibri" w:hAnsi="Calibri"/>
                <w:i/>
                <w:iCs/>
                <w:color w:val="000000"/>
                <w:sz w:val="20"/>
                <w:szCs w:val="20"/>
                <w:lang w:val="hr-HR"/>
              </w:rPr>
              <w:t xml:space="preserve"> 11</w:t>
            </w:r>
            <w:r w:rsidRPr="00CD3A2D">
              <w:rPr>
                <w:rFonts w:ascii="Calibri" w:hAnsi="Calibri"/>
                <w:i/>
                <w:iCs/>
                <w:color w:val="000000"/>
                <w:sz w:val="20"/>
                <w:szCs w:val="20"/>
                <w:lang w:val="hr-HR"/>
              </w:rPr>
              <w:t>)</w:t>
            </w:r>
          </w:p>
        </w:tc>
        <w:tc>
          <w:tcPr>
            <w:tcW w:w="1427" w:type="dxa"/>
            <w:tcBorders>
              <w:top w:val="single" w:sz="4" w:space="0" w:color="auto"/>
              <w:left w:val="nil"/>
              <w:bottom w:val="single" w:sz="4" w:space="0" w:color="auto"/>
              <w:right w:val="nil"/>
            </w:tcBorders>
            <w:shd w:val="clear" w:color="auto" w:fill="auto"/>
            <w:vAlign w:val="bottom"/>
            <w:hideMark/>
          </w:tcPr>
          <w:p w:rsidR="00D415BF" w:rsidRPr="00CD3A2D" w:rsidRDefault="00D415BF">
            <w:pPr>
              <w:jc w:val="right"/>
              <w:rPr>
                <w:rFonts w:ascii="Calibri" w:hAnsi="Calibri"/>
                <w:i/>
                <w:iCs/>
                <w:color w:val="000000"/>
                <w:sz w:val="20"/>
                <w:szCs w:val="20"/>
                <w:lang w:val="hr-HR"/>
              </w:rPr>
            </w:pPr>
            <w:r w:rsidRPr="00CD3A2D">
              <w:rPr>
                <w:rFonts w:ascii="Calibri" w:hAnsi="Calibri"/>
                <w:i/>
                <w:iCs/>
                <w:color w:val="000000"/>
                <w:sz w:val="20"/>
                <w:szCs w:val="20"/>
                <w:lang w:val="hr-HR"/>
              </w:rPr>
              <w:t xml:space="preserve">  1.216 </w:t>
            </w:r>
          </w:p>
        </w:tc>
        <w:tc>
          <w:tcPr>
            <w:tcW w:w="1422" w:type="dxa"/>
            <w:tcBorders>
              <w:top w:val="single" w:sz="4" w:space="0" w:color="auto"/>
              <w:left w:val="nil"/>
              <w:bottom w:val="single" w:sz="4" w:space="0" w:color="auto"/>
              <w:right w:val="nil"/>
            </w:tcBorders>
            <w:shd w:val="clear" w:color="auto" w:fill="auto"/>
            <w:vAlign w:val="bottom"/>
            <w:hideMark/>
          </w:tcPr>
          <w:p w:rsidR="00D415BF" w:rsidRPr="00CD3A2D" w:rsidRDefault="00D415BF">
            <w:pPr>
              <w:jc w:val="right"/>
              <w:rPr>
                <w:rFonts w:ascii="Calibri" w:hAnsi="Calibri"/>
                <w:i/>
                <w:iCs/>
                <w:color w:val="000000"/>
                <w:sz w:val="20"/>
                <w:szCs w:val="20"/>
                <w:lang w:val="hr-HR"/>
              </w:rPr>
            </w:pPr>
            <w:r w:rsidRPr="00CD3A2D">
              <w:rPr>
                <w:rFonts w:ascii="Calibri" w:hAnsi="Calibri"/>
                <w:i/>
                <w:iCs/>
                <w:color w:val="000000"/>
                <w:sz w:val="20"/>
                <w:szCs w:val="20"/>
                <w:lang w:val="hr-HR"/>
              </w:rPr>
              <w:t xml:space="preserve">1.216 </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color w:val="000000"/>
                <w:sz w:val="20"/>
                <w:szCs w:val="20"/>
                <w:lang w:val="hr-HR"/>
              </w:rPr>
            </w:pPr>
            <w:r w:rsidRPr="00CD3A2D">
              <w:rPr>
                <w:rFonts w:ascii="Calibri" w:hAnsi="Calibri"/>
                <w:color w:val="000000"/>
                <w:sz w:val="20"/>
                <w:szCs w:val="20"/>
                <w:lang w:val="hr-HR"/>
              </w:rPr>
              <w:t xml:space="preserve">Neto </w:t>
            </w:r>
            <w:r w:rsidR="003230A2" w:rsidRPr="00CD3A2D">
              <w:rPr>
                <w:rFonts w:ascii="Calibri" w:hAnsi="Calibri"/>
                <w:color w:val="000000"/>
                <w:sz w:val="20"/>
                <w:szCs w:val="20"/>
                <w:lang w:val="hr-HR"/>
              </w:rPr>
              <w:t>gubitak</w:t>
            </w:r>
            <w:r w:rsidRPr="00CD3A2D">
              <w:rPr>
                <w:rFonts w:ascii="Calibri" w:hAnsi="Calibri"/>
                <w:color w:val="000000"/>
                <w:sz w:val="20"/>
                <w:szCs w:val="20"/>
                <w:lang w:val="hr-HR"/>
              </w:rPr>
              <w:t xml:space="preserve"> od tečajnih razlika po rezerviranjima za </w:t>
            </w:r>
            <w:r w:rsidR="00640BE0" w:rsidRPr="00CD3A2D">
              <w:rPr>
                <w:rFonts w:ascii="Calibri" w:hAnsi="Calibri"/>
                <w:color w:val="000000"/>
                <w:sz w:val="20"/>
                <w:szCs w:val="20"/>
                <w:lang w:val="hr-HR"/>
              </w:rPr>
              <w:t>očekivane</w:t>
            </w:r>
            <w:r w:rsidRPr="00CD3A2D">
              <w:rPr>
                <w:rFonts w:ascii="Calibri" w:hAnsi="Calibri"/>
                <w:color w:val="000000"/>
                <w:sz w:val="20"/>
                <w:szCs w:val="20"/>
                <w:lang w:val="hr-HR"/>
              </w:rPr>
              <w:t xml:space="preserve"> gubitke </w:t>
            </w:r>
          </w:p>
        </w:tc>
        <w:tc>
          <w:tcPr>
            <w:tcW w:w="1427"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(7)</w:t>
            </w:r>
          </w:p>
        </w:tc>
        <w:tc>
          <w:tcPr>
            <w:tcW w:w="1422" w:type="dxa"/>
            <w:tcBorders>
              <w:top w:val="nil"/>
              <w:left w:val="nil"/>
              <w:bottom w:val="nil"/>
              <w:right w:val="nil"/>
            </w:tcBorders>
            <w:shd w:val="clear" w:color="auto" w:fill="auto"/>
            <w:vAlign w:val="bottom"/>
            <w:hideMark/>
          </w:tcPr>
          <w:p w:rsidR="00D415BF" w:rsidRPr="00CD3A2D" w:rsidRDefault="00D415BF">
            <w:pPr>
              <w:jc w:val="right"/>
              <w:rPr>
                <w:rFonts w:ascii="Calibri" w:hAnsi="Calibri"/>
                <w:color w:val="000000"/>
                <w:sz w:val="20"/>
                <w:szCs w:val="20"/>
                <w:lang w:val="hr-HR"/>
              </w:rPr>
            </w:pPr>
            <w:r w:rsidRPr="00CD3A2D">
              <w:rPr>
                <w:rFonts w:ascii="Calibri" w:hAnsi="Calibri"/>
                <w:color w:val="000000"/>
                <w:sz w:val="20"/>
                <w:szCs w:val="20"/>
                <w:lang w:val="hr-HR"/>
              </w:rPr>
              <w:t xml:space="preserve">  (7)</w:t>
            </w:r>
          </w:p>
        </w:tc>
      </w:tr>
      <w:tr w:rsidR="00B93232" w:rsidRPr="001567C8" w:rsidTr="003C6BA3">
        <w:trPr>
          <w:trHeight w:val="288"/>
        </w:trPr>
        <w:tc>
          <w:tcPr>
            <w:tcW w:w="6605" w:type="dxa"/>
            <w:tcBorders>
              <w:top w:val="nil"/>
              <w:left w:val="nil"/>
              <w:bottom w:val="nil"/>
              <w:right w:val="nil"/>
            </w:tcBorders>
            <w:shd w:val="clear" w:color="auto" w:fill="auto"/>
            <w:vAlign w:val="bottom"/>
            <w:hideMark/>
          </w:tcPr>
          <w:p w:rsidR="00D415BF" w:rsidRPr="00CD3A2D" w:rsidRDefault="00D415BF">
            <w:pPr>
              <w:rPr>
                <w:rFonts w:ascii="Calibri" w:hAnsi="Calibri"/>
                <w:b/>
                <w:bCs/>
                <w:color w:val="000000"/>
                <w:sz w:val="20"/>
                <w:szCs w:val="20"/>
                <w:lang w:val="hr-HR"/>
              </w:rPr>
            </w:pPr>
            <w:r w:rsidRPr="00CD3A2D">
              <w:rPr>
                <w:rFonts w:ascii="Calibri" w:hAnsi="Calibri"/>
                <w:b/>
                <w:bCs/>
                <w:color w:val="000000"/>
                <w:sz w:val="20"/>
                <w:szCs w:val="20"/>
                <w:lang w:val="hr-HR"/>
              </w:rPr>
              <w:t>Stanje 31. prosinca 2018. godine</w:t>
            </w:r>
          </w:p>
        </w:tc>
        <w:tc>
          <w:tcPr>
            <w:tcW w:w="1427" w:type="dxa"/>
            <w:tcBorders>
              <w:top w:val="single" w:sz="4" w:space="0" w:color="auto"/>
              <w:left w:val="nil"/>
              <w:bottom w:val="single" w:sz="12" w:space="0" w:color="auto"/>
              <w:right w:val="nil"/>
            </w:tcBorders>
            <w:shd w:val="clear" w:color="auto" w:fill="auto"/>
            <w:vAlign w:val="bottom"/>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1.361 </w:t>
            </w:r>
          </w:p>
        </w:tc>
        <w:tc>
          <w:tcPr>
            <w:tcW w:w="1422" w:type="dxa"/>
            <w:tcBorders>
              <w:top w:val="single" w:sz="4" w:space="0" w:color="auto"/>
              <w:left w:val="nil"/>
              <w:bottom w:val="single" w:sz="12" w:space="0" w:color="auto"/>
              <w:right w:val="nil"/>
            </w:tcBorders>
            <w:shd w:val="clear" w:color="auto" w:fill="auto"/>
            <w:vAlign w:val="bottom"/>
            <w:hideMark/>
          </w:tcPr>
          <w:p w:rsidR="00D415BF" w:rsidRPr="00CD3A2D" w:rsidRDefault="00D415BF">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1.361 </w:t>
            </w:r>
          </w:p>
        </w:tc>
      </w:tr>
    </w:tbl>
    <w:p w:rsidR="009B3EE9" w:rsidRPr="001567C8" w:rsidRDefault="007B3327" w:rsidP="003C6BA3">
      <w:pPr>
        <w:pStyle w:val="T1"/>
        <w:spacing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Neto </w:t>
      </w:r>
      <w:r w:rsidR="003230A2" w:rsidRPr="001567C8">
        <w:rPr>
          <w:rFonts w:asciiTheme="minorHAnsi" w:hAnsiTheme="minorHAnsi" w:cs="Arial"/>
          <w:b w:val="0"/>
          <w:sz w:val="22"/>
          <w:szCs w:val="22"/>
          <w:lang w:val="hr-HR"/>
        </w:rPr>
        <w:t xml:space="preserve">gubitak od </w:t>
      </w:r>
      <w:r w:rsidRPr="001567C8">
        <w:rPr>
          <w:rFonts w:asciiTheme="minorHAnsi" w:hAnsiTheme="minorHAnsi" w:cs="Arial"/>
          <w:b w:val="0"/>
          <w:sz w:val="22"/>
          <w:szCs w:val="22"/>
          <w:lang w:val="hr-HR"/>
        </w:rPr>
        <w:t>tečajn</w:t>
      </w:r>
      <w:r w:rsidR="003230A2" w:rsidRPr="001567C8">
        <w:rPr>
          <w:rFonts w:asciiTheme="minorHAnsi" w:hAnsiTheme="minorHAnsi" w:cs="Arial"/>
          <w:b w:val="0"/>
          <w:sz w:val="22"/>
          <w:szCs w:val="22"/>
          <w:lang w:val="hr-HR"/>
        </w:rPr>
        <w:t>ih</w:t>
      </w:r>
      <w:r w:rsidRPr="001567C8">
        <w:rPr>
          <w:rFonts w:asciiTheme="minorHAnsi" w:hAnsiTheme="minorHAnsi" w:cs="Arial"/>
          <w:b w:val="0"/>
          <w:sz w:val="22"/>
          <w:szCs w:val="22"/>
          <w:lang w:val="hr-HR"/>
        </w:rPr>
        <w:t xml:space="preserve"> razlik</w:t>
      </w:r>
      <w:r w:rsidR="003230A2" w:rsidRPr="001567C8">
        <w:rPr>
          <w:rFonts w:asciiTheme="minorHAnsi" w:hAnsiTheme="minorHAnsi" w:cs="Arial"/>
          <w:b w:val="0"/>
          <w:sz w:val="22"/>
          <w:szCs w:val="22"/>
          <w:lang w:val="hr-HR"/>
        </w:rPr>
        <w:t>a</w:t>
      </w:r>
      <w:r w:rsidRPr="001567C8">
        <w:rPr>
          <w:rFonts w:asciiTheme="minorHAnsi" w:hAnsiTheme="minorHAnsi" w:cs="Arial"/>
          <w:b w:val="0"/>
          <w:sz w:val="22"/>
          <w:szCs w:val="22"/>
          <w:lang w:val="hr-HR"/>
        </w:rPr>
        <w:t xml:space="preserve"> po rezerviranjima za očekivane gubitke prikazan </w:t>
      </w:r>
      <w:r w:rsidR="003230A2" w:rsidRPr="001567C8">
        <w:rPr>
          <w:rFonts w:asciiTheme="minorHAnsi" w:hAnsiTheme="minorHAnsi" w:cs="Arial"/>
          <w:b w:val="0"/>
          <w:sz w:val="22"/>
          <w:szCs w:val="22"/>
          <w:lang w:val="hr-HR"/>
        </w:rPr>
        <w:t>je</w:t>
      </w:r>
      <w:r w:rsidRPr="001567C8">
        <w:rPr>
          <w:rFonts w:asciiTheme="minorHAnsi" w:hAnsiTheme="minorHAnsi" w:cs="Arial"/>
          <w:b w:val="0"/>
          <w:sz w:val="22"/>
          <w:szCs w:val="22"/>
          <w:lang w:val="hr-HR"/>
        </w:rPr>
        <w:t xml:space="preserve"> unutar Neto prihoda/(rashoda) od financijskih aktivnosti u </w:t>
      </w:r>
      <w:r w:rsidR="003230A2" w:rsidRPr="001567C8">
        <w:rPr>
          <w:rFonts w:asciiTheme="minorHAnsi" w:hAnsiTheme="minorHAnsi" w:cs="Arial"/>
          <w:b w:val="0"/>
          <w:sz w:val="22"/>
          <w:szCs w:val="22"/>
          <w:lang w:val="hr-HR"/>
        </w:rPr>
        <w:t>Računu</w:t>
      </w:r>
      <w:r w:rsidRPr="001567C8">
        <w:rPr>
          <w:rFonts w:asciiTheme="minorHAnsi" w:hAnsiTheme="minorHAnsi" w:cs="Arial"/>
          <w:b w:val="0"/>
          <w:sz w:val="22"/>
          <w:szCs w:val="22"/>
          <w:lang w:val="hr-HR"/>
        </w:rPr>
        <w:t xml:space="preserve"> dobiti i gubitk</w:t>
      </w:r>
      <w:r w:rsidR="003230A2" w:rsidRPr="001567C8">
        <w:rPr>
          <w:rFonts w:asciiTheme="minorHAnsi" w:hAnsiTheme="minorHAnsi" w:cs="Arial"/>
          <w:b w:val="0"/>
          <w:sz w:val="22"/>
          <w:szCs w:val="22"/>
          <w:lang w:val="hr-HR"/>
        </w:rPr>
        <w:t>a</w:t>
      </w:r>
      <w:r w:rsidRPr="001567C8">
        <w:rPr>
          <w:rFonts w:asciiTheme="minorHAnsi" w:hAnsiTheme="minorHAnsi" w:cs="Arial"/>
          <w:b w:val="0"/>
          <w:sz w:val="22"/>
          <w:szCs w:val="22"/>
          <w:lang w:val="hr-HR"/>
        </w:rPr>
        <w:t>.</w:t>
      </w:r>
    </w:p>
    <w:p w:rsidR="00881023" w:rsidRPr="001567C8" w:rsidRDefault="00881023" w:rsidP="009B3EE9">
      <w:pPr>
        <w:pStyle w:val="T1"/>
        <w:keepNext w:val="0"/>
        <w:rPr>
          <w:rFonts w:asciiTheme="minorHAnsi" w:hAnsiTheme="minorHAnsi" w:cs="Arial"/>
          <w:sz w:val="22"/>
          <w:szCs w:val="22"/>
          <w:lang w:val="hr-HR"/>
        </w:rPr>
        <w:sectPr w:rsidR="00881023" w:rsidRPr="001567C8" w:rsidSect="000D6913">
          <w:pgSz w:w="11907" w:h="16840" w:code="9"/>
          <w:pgMar w:top="1418" w:right="1134" w:bottom="1134" w:left="1418" w:header="851" w:footer="851" w:gutter="0"/>
          <w:cols w:space="720"/>
          <w:noEndnote/>
        </w:sectPr>
      </w:pPr>
    </w:p>
    <w:p w:rsidR="00046014" w:rsidRPr="001567C8" w:rsidRDefault="00046014" w:rsidP="00046014">
      <w:pPr>
        <w:pStyle w:val="T1"/>
        <w:spacing w:before="0" w:after="0" w:line="240" w:lineRule="auto"/>
        <w:rPr>
          <w:rFonts w:asciiTheme="minorHAnsi" w:hAnsiTheme="minorHAnsi" w:cs="Arial"/>
          <w:sz w:val="22"/>
          <w:szCs w:val="22"/>
          <w:lang w:val="hr-HR"/>
        </w:rPr>
      </w:pPr>
    </w:p>
    <w:p w:rsidR="006D0890" w:rsidRPr="001567C8" w:rsidRDefault="006D0890" w:rsidP="00046014">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5</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 xml:space="preserve">Krediti </w:t>
      </w:r>
      <w:r w:rsidR="0036001B" w:rsidRPr="001567C8">
        <w:rPr>
          <w:rFonts w:asciiTheme="minorHAnsi" w:hAnsiTheme="minorHAnsi" w:cs="Arial"/>
          <w:sz w:val="22"/>
          <w:szCs w:val="22"/>
          <w:lang w:val="hr-HR"/>
        </w:rPr>
        <w:t>financijskim institucijama</w:t>
      </w:r>
    </w:p>
    <w:p w:rsidR="006D0890" w:rsidRPr="001567C8" w:rsidRDefault="006D0890">
      <w:pPr>
        <w:tabs>
          <w:tab w:val="left" w:pos="-720"/>
        </w:tabs>
        <w:suppressAutoHyphens/>
        <w:rPr>
          <w:rFonts w:asciiTheme="minorHAnsi" w:hAnsiTheme="minorHAnsi" w:cs="Arial"/>
          <w:sz w:val="22"/>
          <w:szCs w:val="22"/>
          <w:lang w:val="hr-HR"/>
        </w:rPr>
      </w:pPr>
    </w:p>
    <w:tbl>
      <w:tblPr>
        <w:tblW w:w="4789" w:type="pct"/>
        <w:tblInd w:w="142" w:type="dxa"/>
        <w:tblLayout w:type="fixed"/>
        <w:tblCellMar>
          <w:left w:w="119" w:type="dxa"/>
          <w:right w:w="119" w:type="dxa"/>
        </w:tblCellMar>
        <w:tblLook w:val="0000" w:firstRow="0" w:lastRow="0" w:firstColumn="0" w:lastColumn="0" w:noHBand="0" w:noVBand="0"/>
      </w:tblPr>
      <w:tblGrid>
        <w:gridCol w:w="5577"/>
        <w:gridCol w:w="1690"/>
        <w:gridCol w:w="1693"/>
      </w:tblGrid>
      <w:tr w:rsidR="006A1B62" w:rsidRPr="001567C8" w:rsidTr="0011726C">
        <w:trPr>
          <w:trHeight w:val="249"/>
        </w:trPr>
        <w:tc>
          <w:tcPr>
            <w:tcW w:w="3112" w:type="pct"/>
          </w:tcPr>
          <w:p w:rsidR="006A1B62" w:rsidRPr="001567C8" w:rsidRDefault="006A1B62">
            <w:pPr>
              <w:tabs>
                <w:tab w:val="left" w:pos="-720"/>
              </w:tabs>
              <w:suppressAutoHyphens/>
              <w:jc w:val="right"/>
              <w:rPr>
                <w:rFonts w:asciiTheme="minorHAnsi" w:hAnsiTheme="minorHAnsi" w:cs="Arial"/>
                <w:spacing w:val="-3"/>
                <w:sz w:val="22"/>
                <w:szCs w:val="22"/>
                <w:lang w:val="hr-HR"/>
              </w:rPr>
            </w:pPr>
          </w:p>
        </w:tc>
        <w:tc>
          <w:tcPr>
            <w:tcW w:w="1888" w:type="pct"/>
            <w:gridSpan w:val="2"/>
            <w:vAlign w:val="bottom"/>
          </w:tcPr>
          <w:p w:rsidR="006A1B62" w:rsidRPr="001567C8" w:rsidRDefault="006A1B62" w:rsidP="00E00220">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 i Banka</w:t>
            </w:r>
          </w:p>
        </w:tc>
      </w:tr>
      <w:tr w:rsidR="006A1B62" w:rsidRPr="001567C8" w:rsidTr="0011726C">
        <w:trPr>
          <w:trHeight w:val="152"/>
        </w:trPr>
        <w:tc>
          <w:tcPr>
            <w:tcW w:w="3112" w:type="pct"/>
          </w:tcPr>
          <w:p w:rsidR="006A1B62" w:rsidRPr="001567C8" w:rsidRDefault="006A1B62" w:rsidP="00541891">
            <w:pPr>
              <w:tabs>
                <w:tab w:val="left" w:pos="-720"/>
              </w:tabs>
              <w:suppressAutoHyphens/>
              <w:jc w:val="right"/>
              <w:rPr>
                <w:rFonts w:asciiTheme="minorHAnsi" w:hAnsiTheme="minorHAnsi" w:cs="Arial"/>
                <w:spacing w:val="-3"/>
                <w:sz w:val="22"/>
                <w:szCs w:val="22"/>
                <w:lang w:val="hr-HR"/>
              </w:rPr>
            </w:pPr>
          </w:p>
        </w:tc>
        <w:tc>
          <w:tcPr>
            <w:tcW w:w="943" w:type="pct"/>
            <w:vAlign w:val="bottom"/>
          </w:tcPr>
          <w:p w:rsidR="006A1B62" w:rsidRPr="001567C8" w:rsidRDefault="0001590F" w:rsidP="00541891">
            <w:pPr>
              <w:pStyle w:val="TH"/>
              <w:jc w:val="right"/>
              <w:rPr>
                <w:rFonts w:asciiTheme="minorHAnsi" w:hAnsiTheme="minorHAnsi" w:cs="Arial"/>
                <w:sz w:val="22"/>
                <w:szCs w:val="22"/>
                <w:lang w:val="hr-HR"/>
              </w:rPr>
            </w:pPr>
            <w:r w:rsidRPr="0001590F">
              <w:rPr>
                <w:rFonts w:asciiTheme="minorHAnsi" w:hAnsiTheme="minorHAnsi" w:cs="Arial"/>
                <w:sz w:val="22"/>
                <w:szCs w:val="22"/>
                <w:lang w:val="hr-HR"/>
              </w:rPr>
              <w:t xml:space="preserve">31. prosinca </w:t>
            </w:r>
            <w:r w:rsidR="006A1B62" w:rsidRPr="001567C8">
              <w:rPr>
                <w:rFonts w:asciiTheme="minorHAnsi" w:hAnsiTheme="minorHAnsi" w:cs="Arial"/>
                <w:sz w:val="22"/>
                <w:szCs w:val="22"/>
                <w:lang w:val="hr-HR"/>
              </w:rPr>
              <w:t>2018.</w:t>
            </w:r>
          </w:p>
        </w:tc>
        <w:tc>
          <w:tcPr>
            <w:tcW w:w="945" w:type="pct"/>
            <w:vAlign w:val="bottom"/>
          </w:tcPr>
          <w:p w:rsidR="006A1B62" w:rsidRPr="001567C8" w:rsidRDefault="0001590F" w:rsidP="00541891">
            <w:pPr>
              <w:pStyle w:val="TH"/>
              <w:jc w:val="right"/>
              <w:rPr>
                <w:rFonts w:asciiTheme="minorHAnsi" w:hAnsiTheme="minorHAnsi" w:cs="Arial"/>
                <w:sz w:val="22"/>
                <w:szCs w:val="22"/>
                <w:lang w:val="hr-HR"/>
              </w:rPr>
            </w:pPr>
            <w:r w:rsidRPr="0001590F">
              <w:rPr>
                <w:rFonts w:asciiTheme="minorHAnsi" w:hAnsiTheme="minorHAnsi" w:cs="Arial"/>
                <w:sz w:val="22"/>
                <w:szCs w:val="22"/>
                <w:lang w:val="hr-HR"/>
              </w:rPr>
              <w:t xml:space="preserve">31. prosinca </w:t>
            </w:r>
            <w:r w:rsidR="006A1B62" w:rsidRPr="001567C8">
              <w:rPr>
                <w:rFonts w:asciiTheme="minorHAnsi" w:hAnsiTheme="minorHAnsi" w:cs="Arial"/>
                <w:sz w:val="22"/>
                <w:szCs w:val="22"/>
                <w:lang w:val="hr-HR"/>
              </w:rPr>
              <w:t>2017.</w:t>
            </w:r>
          </w:p>
        </w:tc>
      </w:tr>
      <w:tr w:rsidR="006A1B62" w:rsidRPr="001567C8" w:rsidTr="0011726C">
        <w:trPr>
          <w:trHeight w:val="249"/>
        </w:trPr>
        <w:tc>
          <w:tcPr>
            <w:tcW w:w="3112" w:type="pct"/>
          </w:tcPr>
          <w:p w:rsidR="006A1B62" w:rsidRPr="001567C8" w:rsidRDefault="006A1B62" w:rsidP="0060456E">
            <w:pPr>
              <w:tabs>
                <w:tab w:val="left" w:pos="-720"/>
              </w:tabs>
              <w:suppressAutoHyphens/>
              <w:jc w:val="right"/>
              <w:rPr>
                <w:rFonts w:asciiTheme="minorHAnsi" w:hAnsiTheme="minorHAnsi" w:cs="Arial"/>
                <w:spacing w:val="-3"/>
                <w:sz w:val="22"/>
                <w:szCs w:val="22"/>
                <w:lang w:val="hr-HR"/>
              </w:rPr>
            </w:pPr>
          </w:p>
        </w:tc>
        <w:tc>
          <w:tcPr>
            <w:tcW w:w="943" w:type="pct"/>
          </w:tcPr>
          <w:p w:rsidR="006A1B62" w:rsidRPr="001567C8" w:rsidRDefault="006A1B62" w:rsidP="0060456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945" w:type="pct"/>
          </w:tcPr>
          <w:p w:rsidR="006A1B62" w:rsidRPr="001567C8" w:rsidRDefault="006A1B62" w:rsidP="0060456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6A1B62" w:rsidRPr="001567C8" w:rsidTr="0011726C">
        <w:trPr>
          <w:trHeight w:val="288"/>
        </w:trPr>
        <w:tc>
          <w:tcPr>
            <w:tcW w:w="3112" w:type="pct"/>
          </w:tcPr>
          <w:p w:rsidR="006A1B62" w:rsidRPr="001567C8" w:rsidRDefault="006A1B62" w:rsidP="0060456E">
            <w:pPr>
              <w:tabs>
                <w:tab w:val="left" w:pos="-720"/>
              </w:tabs>
              <w:suppressAutoHyphens/>
              <w:rPr>
                <w:rFonts w:asciiTheme="minorHAnsi" w:hAnsiTheme="minorHAnsi" w:cs="Arial"/>
                <w:spacing w:val="-2"/>
                <w:sz w:val="22"/>
                <w:szCs w:val="22"/>
                <w:lang w:val="hr-HR"/>
              </w:rPr>
            </w:pPr>
          </w:p>
        </w:tc>
        <w:tc>
          <w:tcPr>
            <w:tcW w:w="943" w:type="pct"/>
          </w:tcPr>
          <w:p w:rsidR="006A1B62" w:rsidRPr="001567C8" w:rsidRDefault="006A1B62" w:rsidP="0060456E">
            <w:pPr>
              <w:tabs>
                <w:tab w:val="left" w:pos="-720"/>
              </w:tabs>
              <w:suppressAutoHyphens/>
              <w:jc w:val="right"/>
              <w:rPr>
                <w:rFonts w:asciiTheme="minorHAnsi" w:hAnsiTheme="minorHAnsi" w:cs="Arial"/>
                <w:spacing w:val="-2"/>
                <w:sz w:val="22"/>
                <w:szCs w:val="22"/>
                <w:lang w:val="hr-HR"/>
              </w:rPr>
            </w:pPr>
          </w:p>
        </w:tc>
        <w:tc>
          <w:tcPr>
            <w:tcW w:w="945" w:type="pct"/>
          </w:tcPr>
          <w:p w:rsidR="006A1B62" w:rsidRPr="001567C8" w:rsidRDefault="006A1B62" w:rsidP="0060456E">
            <w:pPr>
              <w:tabs>
                <w:tab w:val="left" w:pos="-720"/>
              </w:tabs>
              <w:suppressAutoHyphens/>
              <w:jc w:val="right"/>
              <w:rPr>
                <w:rFonts w:asciiTheme="minorHAnsi" w:hAnsiTheme="minorHAnsi" w:cs="Arial"/>
                <w:spacing w:val="-2"/>
                <w:sz w:val="22"/>
                <w:szCs w:val="22"/>
                <w:lang w:val="hr-HR"/>
              </w:rPr>
            </w:pPr>
          </w:p>
        </w:tc>
      </w:tr>
      <w:tr w:rsidR="006A1B62" w:rsidRPr="001567C8" w:rsidTr="0011726C">
        <w:trPr>
          <w:trHeight w:val="259"/>
        </w:trPr>
        <w:tc>
          <w:tcPr>
            <w:tcW w:w="3112" w:type="pct"/>
          </w:tcPr>
          <w:p w:rsidR="006A1B62" w:rsidRPr="001567C8" w:rsidRDefault="006A1B62" w:rsidP="0022278C">
            <w:pPr>
              <w:pStyle w:val="TT"/>
              <w:rPr>
                <w:rFonts w:asciiTheme="minorHAnsi" w:hAnsiTheme="minorHAnsi" w:cs="Arial"/>
                <w:sz w:val="22"/>
                <w:szCs w:val="22"/>
                <w:lang w:val="hr-HR"/>
              </w:rPr>
            </w:pPr>
            <w:r w:rsidRPr="001567C8">
              <w:rPr>
                <w:rFonts w:asciiTheme="minorHAnsi" w:hAnsiTheme="minorHAnsi" w:cs="Arial"/>
                <w:sz w:val="22"/>
                <w:szCs w:val="22"/>
                <w:lang w:val="hr-HR"/>
              </w:rPr>
              <w:t>Dugoročni krediti po kreditnim programima</w:t>
            </w:r>
          </w:p>
        </w:tc>
        <w:tc>
          <w:tcPr>
            <w:tcW w:w="943" w:type="pct"/>
            <w:tcBorders>
              <w:top w:val="nil"/>
              <w:left w:val="nil"/>
              <w:bottom w:val="nil"/>
              <w:right w:val="nil"/>
            </w:tcBorders>
            <w:shd w:val="clear" w:color="auto" w:fill="auto"/>
            <w:vAlign w:val="center"/>
          </w:tcPr>
          <w:p w:rsidR="006A1B62" w:rsidRPr="001567C8" w:rsidRDefault="006A1B62" w:rsidP="0022278C">
            <w:pPr>
              <w:pStyle w:val="TT"/>
              <w:jc w:val="right"/>
              <w:rPr>
                <w:rFonts w:asciiTheme="minorHAnsi" w:hAnsiTheme="minorHAnsi" w:cs="Arial"/>
                <w:sz w:val="22"/>
                <w:szCs w:val="22"/>
                <w:lang w:val="hr-HR"/>
              </w:rPr>
            </w:pPr>
            <w:r w:rsidRPr="00CD3A2D">
              <w:rPr>
                <w:rFonts w:ascii="Calibri" w:hAnsi="Calibri"/>
                <w:color w:val="000000"/>
                <w:sz w:val="22"/>
                <w:szCs w:val="22"/>
                <w:lang w:val="hr-HR"/>
              </w:rPr>
              <w:t>9.69</w:t>
            </w:r>
            <w:r w:rsidR="0067051A" w:rsidRPr="00CD3A2D">
              <w:rPr>
                <w:rFonts w:ascii="Calibri" w:hAnsi="Calibri"/>
                <w:color w:val="000000"/>
                <w:sz w:val="22"/>
                <w:szCs w:val="22"/>
                <w:lang w:val="hr-HR"/>
              </w:rPr>
              <w:t>5.037</w:t>
            </w:r>
          </w:p>
        </w:tc>
        <w:tc>
          <w:tcPr>
            <w:tcW w:w="945" w:type="pct"/>
            <w:tcBorders>
              <w:top w:val="nil"/>
              <w:left w:val="nil"/>
              <w:bottom w:val="nil"/>
              <w:right w:val="nil"/>
            </w:tcBorders>
            <w:shd w:val="clear" w:color="auto" w:fill="auto"/>
            <w:vAlign w:val="center"/>
          </w:tcPr>
          <w:p w:rsidR="006A1B62" w:rsidRPr="001567C8" w:rsidRDefault="006A1B62" w:rsidP="0022278C">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10.868.288</w:t>
            </w:r>
          </w:p>
        </w:tc>
      </w:tr>
      <w:tr w:rsidR="006A1B62" w:rsidRPr="001567C8" w:rsidTr="0011726C">
        <w:trPr>
          <w:trHeight w:val="248"/>
        </w:trPr>
        <w:tc>
          <w:tcPr>
            <w:tcW w:w="3112" w:type="pct"/>
          </w:tcPr>
          <w:p w:rsidR="006A1B62" w:rsidRPr="001567C8" w:rsidRDefault="006A1B62" w:rsidP="0022278C">
            <w:pPr>
              <w:pStyle w:val="TT"/>
              <w:rPr>
                <w:rFonts w:asciiTheme="minorHAnsi" w:hAnsiTheme="minorHAnsi" w:cs="Arial"/>
                <w:sz w:val="22"/>
                <w:szCs w:val="22"/>
                <w:lang w:val="hr-HR"/>
              </w:rPr>
            </w:pPr>
            <w:r w:rsidRPr="001567C8">
              <w:rPr>
                <w:rFonts w:asciiTheme="minorHAnsi" w:hAnsiTheme="minorHAnsi" w:cs="Arial"/>
                <w:sz w:val="22"/>
                <w:szCs w:val="22"/>
                <w:lang w:val="hr-HR"/>
              </w:rPr>
              <w:t>Kratkoročni plasmani i obrnuti repo poslovi</w:t>
            </w:r>
          </w:p>
        </w:tc>
        <w:tc>
          <w:tcPr>
            <w:tcW w:w="943" w:type="pct"/>
            <w:tcBorders>
              <w:top w:val="nil"/>
              <w:left w:val="nil"/>
              <w:bottom w:val="nil"/>
              <w:right w:val="nil"/>
            </w:tcBorders>
            <w:shd w:val="clear" w:color="auto" w:fill="auto"/>
            <w:vAlign w:val="center"/>
          </w:tcPr>
          <w:p w:rsidR="006A1B62" w:rsidRPr="001567C8" w:rsidRDefault="006A1B62" w:rsidP="0022278C">
            <w:pPr>
              <w:pStyle w:val="TT"/>
              <w:jc w:val="right"/>
              <w:rPr>
                <w:rFonts w:asciiTheme="minorHAnsi" w:hAnsiTheme="minorHAnsi" w:cs="Arial"/>
                <w:sz w:val="22"/>
                <w:szCs w:val="22"/>
                <w:lang w:val="hr-HR"/>
              </w:rPr>
            </w:pPr>
            <w:r w:rsidRPr="00CD3A2D">
              <w:rPr>
                <w:rFonts w:ascii="Calibri" w:hAnsi="Calibri"/>
                <w:color w:val="000000"/>
                <w:sz w:val="22"/>
                <w:szCs w:val="22"/>
                <w:lang w:val="hr-HR"/>
              </w:rPr>
              <w:t>691.269</w:t>
            </w:r>
          </w:p>
        </w:tc>
        <w:tc>
          <w:tcPr>
            <w:tcW w:w="945" w:type="pct"/>
            <w:tcBorders>
              <w:top w:val="nil"/>
              <w:left w:val="nil"/>
              <w:bottom w:val="nil"/>
              <w:right w:val="nil"/>
            </w:tcBorders>
            <w:shd w:val="clear" w:color="auto" w:fill="auto"/>
            <w:vAlign w:val="center"/>
          </w:tcPr>
          <w:p w:rsidR="006A1B62" w:rsidRPr="001567C8" w:rsidRDefault="006A1B62" w:rsidP="0022278C">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236.400</w:t>
            </w:r>
          </w:p>
        </w:tc>
      </w:tr>
      <w:tr w:rsidR="006A1B62" w:rsidRPr="001567C8" w:rsidTr="0011726C">
        <w:trPr>
          <w:trHeight w:val="248"/>
        </w:trPr>
        <w:tc>
          <w:tcPr>
            <w:tcW w:w="3112" w:type="pct"/>
          </w:tcPr>
          <w:p w:rsidR="006A1B62" w:rsidRPr="001567C8" w:rsidRDefault="006A1B62" w:rsidP="0022278C">
            <w:pPr>
              <w:pStyle w:val="TT"/>
              <w:rPr>
                <w:rFonts w:asciiTheme="minorHAnsi" w:hAnsiTheme="minorHAnsi" w:cs="Arial"/>
                <w:sz w:val="22"/>
                <w:szCs w:val="22"/>
                <w:lang w:val="hr-HR"/>
              </w:rPr>
            </w:pPr>
            <w:r w:rsidRPr="001567C8">
              <w:rPr>
                <w:rFonts w:asciiTheme="minorHAnsi" w:hAnsiTheme="minorHAnsi" w:cs="Arial"/>
                <w:sz w:val="22"/>
                <w:szCs w:val="22"/>
                <w:lang w:val="hr-HR"/>
              </w:rPr>
              <w:t>Obračunata kamata</w:t>
            </w:r>
          </w:p>
        </w:tc>
        <w:tc>
          <w:tcPr>
            <w:tcW w:w="943" w:type="pct"/>
            <w:tcBorders>
              <w:top w:val="nil"/>
              <w:left w:val="nil"/>
              <w:bottom w:val="nil"/>
              <w:right w:val="nil"/>
            </w:tcBorders>
            <w:shd w:val="clear" w:color="auto" w:fill="auto"/>
            <w:vAlign w:val="center"/>
          </w:tcPr>
          <w:p w:rsidR="006A1B62" w:rsidRPr="001567C8" w:rsidRDefault="006A1B62" w:rsidP="0022278C">
            <w:pPr>
              <w:pStyle w:val="TT"/>
              <w:jc w:val="right"/>
              <w:rPr>
                <w:rFonts w:asciiTheme="minorHAnsi" w:hAnsiTheme="minorHAnsi" w:cs="Arial"/>
                <w:sz w:val="22"/>
                <w:szCs w:val="22"/>
                <w:lang w:val="hr-HR"/>
              </w:rPr>
            </w:pPr>
            <w:r w:rsidRPr="00CD3A2D">
              <w:rPr>
                <w:rFonts w:ascii="Calibri" w:hAnsi="Calibri"/>
                <w:color w:val="000000"/>
                <w:sz w:val="22"/>
                <w:szCs w:val="22"/>
                <w:lang w:val="hr-HR"/>
              </w:rPr>
              <w:t>7.350</w:t>
            </w:r>
          </w:p>
        </w:tc>
        <w:tc>
          <w:tcPr>
            <w:tcW w:w="945" w:type="pct"/>
            <w:tcBorders>
              <w:top w:val="nil"/>
              <w:left w:val="nil"/>
              <w:bottom w:val="nil"/>
              <w:right w:val="nil"/>
            </w:tcBorders>
            <w:shd w:val="clear" w:color="auto" w:fill="auto"/>
            <w:vAlign w:val="center"/>
          </w:tcPr>
          <w:p w:rsidR="006A1B62" w:rsidRPr="001567C8" w:rsidRDefault="006A1B62" w:rsidP="0022278C">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27.672</w:t>
            </w:r>
          </w:p>
        </w:tc>
      </w:tr>
      <w:tr w:rsidR="006A1B62" w:rsidRPr="001567C8" w:rsidTr="0011726C">
        <w:trPr>
          <w:trHeight w:val="152"/>
        </w:trPr>
        <w:tc>
          <w:tcPr>
            <w:tcW w:w="3112" w:type="pct"/>
            <w:vAlign w:val="bottom"/>
          </w:tcPr>
          <w:p w:rsidR="006A1B62" w:rsidRPr="001567C8" w:rsidRDefault="006A1B62" w:rsidP="0022278C">
            <w:pPr>
              <w:pStyle w:val="TT"/>
              <w:rPr>
                <w:rFonts w:asciiTheme="minorHAnsi" w:hAnsiTheme="minorHAnsi" w:cs="Arial"/>
                <w:sz w:val="22"/>
                <w:szCs w:val="22"/>
                <w:lang w:val="hr-HR"/>
              </w:rPr>
            </w:pPr>
            <w:r w:rsidRPr="001567C8">
              <w:rPr>
                <w:rFonts w:asciiTheme="minorHAnsi" w:hAnsiTheme="minorHAnsi" w:cs="Arial"/>
                <w:sz w:val="22"/>
                <w:szCs w:val="22"/>
                <w:lang w:val="hr-HR"/>
              </w:rPr>
              <w:t>Odgođena naknada po kreditima</w:t>
            </w:r>
          </w:p>
        </w:tc>
        <w:tc>
          <w:tcPr>
            <w:tcW w:w="943" w:type="pct"/>
            <w:tcBorders>
              <w:top w:val="nil"/>
              <w:left w:val="nil"/>
              <w:right w:val="nil"/>
            </w:tcBorders>
            <w:shd w:val="clear" w:color="auto" w:fill="auto"/>
            <w:vAlign w:val="center"/>
          </w:tcPr>
          <w:p w:rsidR="006A1B62" w:rsidRPr="001567C8" w:rsidRDefault="006A1B62">
            <w:pPr>
              <w:pStyle w:val="TT"/>
              <w:jc w:val="right"/>
              <w:rPr>
                <w:rFonts w:asciiTheme="minorHAnsi" w:hAnsiTheme="minorHAnsi" w:cs="Arial"/>
                <w:sz w:val="22"/>
                <w:szCs w:val="22"/>
                <w:lang w:val="hr-HR"/>
              </w:rPr>
            </w:pPr>
            <w:r w:rsidRPr="00CD3A2D">
              <w:rPr>
                <w:rFonts w:ascii="Calibri" w:hAnsi="Calibri"/>
                <w:color w:val="000000"/>
                <w:sz w:val="22"/>
                <w:szCs w:val="22"/>
                <w:lang w:val="hr-HR"/>
              </w:rPr>
              <w:t xml:space="preserve">    (41.514)</w:t>
            </w:r>
          </w:p>
        </w:tc>
        <w:tc>
          <w:tcPr>
            <w:tcW w:w="945" w:type="pct"/>
            <w:tcBorders>
              <w:top w:val="nil"/>
              <w:left w:val="nil"/>
              <w:right w:val="nil"/>
            </w:tcBorders>
            <w:shd w:val="clear" w:color="auto" w:fill="auto"/>
            <w:vAlign w:val="bottom"/>
          </w:tcPr>
          <w:p w:rsidR="006A1B62" w:rsidRPr="001567C8" w:rsidRDefault="006A1B62">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(58.293)</w:t>
            </w:r>
          </w:p>
        </w:tc>
      </w:tr>
      <w:tr w:rsidR="006A1B62" w:rsidRPr="001567C8" w:rsidTr="0011726C">
        <w:trPr>
          <w:trHeight w:val="282"/>
        </w:trPr>
        <w:tc>
          <w:tcPr>
            <w:tcW w:w="3112" w:type="pct"/>
          </w:tcPr>
          <w:p w:rsidR="006A1B62" w:rsidRPr="001567C8" w:rsidRDefault="006A1B62" w:rsidP="00541891">
            <w:pPr>
              <w:tabs>
                <w:tab w:val="left" w:pos="-720"/>
              </w:tabs>
              <w:suppressAutoHyphens/>
              <w:rPr>
                <w:rFonts w:asciiTheme="minorHAnsi" w:hAnsiTheme="minorHAnsi" w:cs="Arial"/>
                <w:iCs/>
                <w:spacing w:val="-2"/>
                <w:sz w:val="22"/>
                <w:szCs w:val="22"/>
                <w:lang w:val="hr-HR"/>
              </w:rPr>
            </w:pPr>
          </w:p>
        </w:tc>
        <w:tc>
          <w:tcPr>
            <w:tcW w:w="943" w:type="pct"/>
            <w:tcBorders>
              <w:top w:val="single" w:sz="4" w:space="0" w:color="auto"/>
              <w:bottom w:val="single" w:sz="4" w:space="0" w:color="auto"/>
            </w:tcBorders>
          </w:tcPr>
          <w:p w:rsidR="006A1B62" w:rsidRPr="001567C8" w:rsidRDefault="006A1B62" w:rsidP="00541891">
            <w:pPr>
              <w:pStyle w:val="Tot"/>
              <w:jc w:val="right"/>
              <w:rPr>
                <w:rFonts w:asciiTheme="minorHAnsi" w:hAnsiTheme="minorHAnsi" w:cs="Arial"/>
                <w:sz w:val="22"/>
                <w:szCs w:val="22"/>
                <w:lang w:val="hr-HR"/>
              </w:rPr>
            </w:pPr>
            <w:r w:rsidRPr="001567C8">
              <w:rPr>
                <w:rFonts w:asciiTheme="minorHAnsi" w:hAnsiTheme="minorHAnsi" w:cs="Arial"/>
                <w:sz w:val="22"/>
                <w:szCs w:val="22"/>
                <w:lang w:val="hr-HR"/>
              </w:rPr>
              <w:t>10.352.142</w:t>
            </w:r>
          </w:p>
        </w:tc>
        <w:tc>
          <w:tcPr>
            <w:tcW w:w="945" w:type="pct"/>
            <w:tcBorders>
              <w:top w:val="single" w:sz="4" w:space="0" w:color="auto"/>
              <w:bottom w:val="single" w:sz="4" w:space="0" w:color="auto"/>
            </w:tcBorders>
          </w:tcPr>
          <w:p w:rsidR="006A1B62" w:rsidRPr="001567C8" w:rsidRDefault="006A1B62" w:rsidP="00541891">
            <w:pPr>
              <w:pStyle w:val="Tot"/>
              <w:jc w:val="right"/>
              <w:rPr>
                <w:rFonts w:asciiTheme="minorHAnsi" w:hAnsiTheme="minorHAnsi" w:cs="Arial"/>
                <w:sz w:val="22"/>
                <w:szCs w:val="22"/>
                <w:lang w:val="hr-HR"/>
              </w:rPr>
            </w:pPr>
            <w:r w:rsidRPr="001567C8">
              <w:rPr>
                <w:rFonts w:asciiTheme="minorHAnsi" w:hAnsiTheme="minorHAnsi" w:cs="Arial"/>
                <w:sz w:val="22"/>
                <w:szCs w:val="22"/>
                <w:lang w:val="hr-HR"/>
              </w:rPr>
              <w:t>11.074.067</w:t>
            </w:r>
          </w:p>
        </w:tc>
      </w:tr>
      <w:tr w:rsidR="006A1B62" w:rsidRPr="001567C8" w:rsidTr="0011726C">
        <w:trPr>
          <w:trHeight w:val="112"/>
        </w:trPr>
        <w:tc>
          <w:tcPr>
            <w:tcW w:w="3112" w:type="pct"/>
          </w:tcPr>
          <w:p w:rsidR="006A1B62" w:rsidRPr="001567C8" w:rsidRDefault="006A1B62" w:rsidP="00541891">
            <w:pPr>
              <w:tabs>
                <w:tab w:val="left" w:pos="-720"/>
              </w:tabs>
              <w:suppressAutoHyphens/>
              <w:rPr>
                <w:rFonts w:asciiTheme="minorHAnsi" w:hAnsiTheme="minorHAnsi" w:cs="Arial"/>
                <w:iCs/>
                <w:spacing w:val="-2"/>
                <w:sz w:val="22"/>
                <w:szCs w:val="22"/>
                <w:lang w:val="hr-HR"/>
              </w:rPr>
            </w:pPr>
          </w:p>
        </w:tc>
        <w:tc>
          <w:tcPr>
            <w:tcW w:w="943" w:type="pct"/>
            <w:tcBorders>
              <w:top w:val="single" w:sz="4" w:space="0" w:color="auto"/>
            </w:tcBorders>
          </w:tcPr>
          <w:p w:rsidR="006A1B62" w:rsidRPr="001567C8" w:rsidRDefault="006A1B62" w:rsidP="00541891">
            <w:pPr>
              <w:suppressAutoHyphens/>
              <w:jc w:val="right"/>
              <w:rPr>
                <w:rFonts w:asciiTheme="minorHAnsi" w:hAnsiTheme="minorHAnsi" w:cs="Arial"/>
                <w:iCs/>
                <w:spacing w:val="-2"/>
                <w:sz w:val="22"/>
                <w:szCs w:val="22"/>
                <w:lang w:val="hr-HR"/>
              </w:rPr>
            </w:pPr>
          </w:p>
        </w:tc>
        <w:tc>
          <w:tcPr>
            <w:tcW w:w="945" w:type="pct"/>
            <w:tcBorders>
              <w:top w:val="single" w:sz="4" w:space="0" w:color="auto"/>
            </w:tcBorders>
          </w:tcPr>
          <w:p w:rsidR="006A1B62" w:rsidRPr="001567C8" w:rsidRDefault="006A1B62" w:rsidP="00541891">
            <w:pPr>
              <w:suppressAutoHyphens/>
              <w:jc w:val="right"/>
              <w:rPr>
                <w:rFonts w:asciiTheme="minorHAnsi" w:hAnsiTheme="minorHAnsi" w:cs="Arial"/>
                <w:iCs/>
                <w:spacing w:val="-2"/>
                <w:sz w:val="22"/>
                <w:szCs w:val="22"/>
                <w:lang w:val="hr-HR"/>
              </w:rPr>
            </w:pPr>
          </w:p>
        </w:tc>
      </w:tr>
      <w:tr w:rsidR="006A1B62" w:rsidRPr="001567C8" w:rsidTr="0011726C">
        <w:trPr>
          <w:trHeight w:val="248"/>
        </w:trPr>
        <w:tc>
          <w:tcPr>
            <w:tcW w:w="3112" w:type="pct"/>
          </w:tcPr>
          <w:p w:rsidR="006A1B62" w:rsidRPr="001567C8" w:rsidRDefault="006A1B62" w:rsidP="00541891">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Rezerviranja za </w:t>
            </w:r>
            <w:r w:rsidR="00726C85" w:rsidRPr="001567C8">
              <w:rPr>
                <w:rFonts w:asciiTheme="minorHAnsi" w:hAnsiTheme="minorHAnsi" w:cs="Arial"/>
                <w:sz w:val="22"/>
                <w:szCs w:val="22"/>
                <w:lang w:val="hr-HR"/>
              </w:rPr>
              <w:t xml:space="preserve">očekivane </w:t>
            </w:r>
            <w:r w:rsidRPr="001567C8">
              <w:rPr>
                <w:rFonts w:asciiTheme="minorHAnsi" w:hAnsiTheme="minorHAnsi" w:cs="Arial"/>
                <w:sz w:val="22"/>
                <w:szCs w:val="22"/>
                <w:lang w:val="hr-HR"/>
              </w:rPr>
              <w:t>gubitke</w:t>
            </w:r>
          </w:p>
        </w:tc>
        <w:tc>
          <w:tcPr>
            <w:tcW w:w="943" w:type="pct"/>
            <w:tcBorders>
              <w:bottom w:val="single" w:sz="4" w:space="0" w:color="auto"/>
            </w:tcBorders>
            <w:vAlign w:val="bottom"/>
          </w:tcPr>
          <w:p w:rsidR="006A1B62" w:rsidRPr="001567C8" w:rsidRDefault="006A1B62" w:rsidP="00541891">
            <w:pPr>
              <w:tabs>
                <w:tab w:val="left" w:pos="-720"/>
              </w:tabs>
              <w:suppressAutoHyphens/>
              <w:jc w:val="right"/>
              <w:rPr>
                <w:rFonts w:asciiTheme="minorHAnsi" w:hAnsiTheme="minorHAnsi" w:cs="Arial"/>
                <w:sz w:val="22"/>
                <w:szCs w:val="22"/>
                <w:lang w:val="hr-HR"/>
              </w:rPr>
            </w:pPr>
            <w:r w:rsidRPr="001567C8">
              <w:rPr>
                <w:rFonts w:asciiTheme="minorHAnsi" w:hAnsiTheme="minorHAnsi" w:cs="Arial"/>
                <w:sz w:val="22"/>
                <w:szCs w:val="22"/>
                <w:lang w:val="hr-HR"/>
              </w:rPr>
              <w:t>(117.154)</w:t>
            </w:r>
          </w:p>
        </w:tc>
        <w:tc>
          <w:tcPr>
            <w:tcW w:w="945" w:type="pct"/>
            <w:tcBorders>
              <w:bottom w:val="single" w:sz="4" w:space="0" w:color="auto"/>
            </w:tcBorders>
            <w:vAlign w:val="bottom"/>
          </w:tcPr>
          <w:p w:rsidR="006A1B62" w:rsidRPr="001567C8" w:rsidRDefault="006A1B62" w:rsidP="00541891">
            <w:pPr>
              <w:tabs>
                <w:tab w:val="left" w:pos="-720"/>
              </w:tabs>
              <w:suppressAutoHyphens/>
              <w:jc w:val="right"/>
              <w:rPr>
                <w:rFonts w:asciiTheme="minorHAnsi" w:hAnsiTheme="minorHAnsi" w:cs="Arial"/>
                <w:sz w:val="22"/>
                <w:szCs w:val="22"/>
                <w:lang w:val="hr-HR"/>
              </w:rPr>
            </w:pPr>
            <w:r w:rsidRPr="001567C8">
              <w:rPr>
                <w:rFonts w:asciiTheme="minorHAnsi" w:hAnsiTheme="minorHAnsi" w:cs="Arial"/>
                <w:sz w:val="22"/>
                <w:szCs w:val="22"/>
                <w:lang w:val="hr-HR"/>
              </w:rPr>
              <w:t>(237.926)</w:t>
            </w:r>
          </w:p>
        </w:tc>
      </w:tr>
      <w:tr w:rsidR="006A1B62" w:rsidRPr="001567C8" w:rsidTr="0011726C">
        <w:trPr>
          <w:trHeight w:val="288"/>
        </w:trPr>
        <w:tc>
          <w:tcPr>
            <w:tcW w:w="3112" w:type="pct"/>
          </w:tcPr>
          <w:p w:rsidR="006A1B62" w:rsidRPr="001567C8" w:rsidRDefault="006A1B62" w:rsidP="00541891">
            <w:pPr>
              <w:tabs>
                <w:tab w:val="left" w:pos="-720"/>
              </w:tabs>
              <w:suppressAutoHyphens/>
              <w:rPr>
                <w:rFonts w:asciiTheme="minorHAnsi" w:hAnsiTheme="minorHAnsi" w:cs="Arial"/>
                <w:b/>
                <w:bCs/>
                <w:sz w:val="22"/>
                <w:szCs w:val="22"/>
                <w:lang w:val="hr-HR"/>
              </w:rPr>
            </w:pPr>
          </w:p>
        </w:tc>
        <w:tc>
          <w:tcPr>
            <w:tcW w:w="943" w:type="pct"/>
            <w:tcBorders>
              <w:top w:val="single" w:sz="4" w:space="0" w:color="auto"/>
              <w:bottom w:val="single" w:sz="12" w:space="0" w:color="auto"/>
            </w:tcBorders>
            <w:vAlign w:val="bottom"/>
          </w:tcPr>
          <w:p w:rsidR="006A1B62" w:rsidRPr="001567C8" w:rsidRDefault="006A1B62" w:rsidP="00541891">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10.234.988</w:t>
            </w:r>
          </w:p>
        </w:tc>
        <w:tc>
          <w:tcPr>
            <w:tcW w:w="945" w:type="pct"/>
            <w:tcBorders>
              <w:top w:val="single" w:sz="4" w:space="0" w:color="auto"/>
              <w:bottom w:val="single" w:sz="12" w:space="0" w:color="auto"/>
            </w:tcBorders>
            <w:vAlign w:val="bottom"/>
          </w:tcPr>
          <w:p w:rsidR="006A1B62" w:rsidRPr="001567C8" w:rsidRDefault="006A1B62" w:rsidP="00541891">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10.836.141</w:t>
            </w:r>
          </w:p>
        </w:tc>
      </w:tr>
    </w:tbl>
    <w:p w:rsidR="007C12E0" w:rsidRPr="001567C8" w:rsidRDefault="007C12E0" w:rsidP="007C12E0">
      <w:pPr>
        <w:jc w:val="both"/>
        <w:rPr>
          <w:rFonts w:asciiTheme="minorHAnsi" w:hAnsiTheme="minorHAnsi" w:cs="Arial"/>
          <w:sz w:val="22"/>
          <w:szCs w:val="22"/>
          <w:lang w:val="hr-HR"/>
        </w:rPr>
      </w:pPr>
    </w:p>
    <w:p w:rsidR="007C12E0" w:rsidRPr="001567C8" w:rsidRDefault="007C12E0" w:rsidP="007C12E0">
      <w:pPr>
        <w:jc w:val="both"/>
        <w:rPr>
          <w:rFonts w:asciiTheme="minorHAnsi" w:hAnsiTheme="minorHAnsi" w:cs="Arial"/>
          <w:sz w:val="22"/>
          <w:szCs w:val="22"/>
          <w:lang w:val="hr-HR"/>
        </w:rPr>
      </w:pPr>
    </w:p>
    <w:p w:rsidR="007C12E0" w:rsidRPr="001567C8" w:rsidRDefault="007C12E0" w:rsidP="007C12E0">
      <w:pPr>
        <w:jc w:val="both"/>
        <w:rPr>
          <w:rFonts w:asciiTheme="minorHAnsi" w:hAnsiTheme="minorHAnsi" w:cs="Arial"/>
          <w:sz w:val="22"/>
          <w:szCs w:val="22"/>
          <w:lang w:val="hr-HR"/>
        </w:rPr>
      </w:pPr>
      <w:bookmarkStart w:id="53" w:name="_Hlk1479686"/>
      <w:r w:rsidRPr="001567C8">
        <w:rPr>
          <w:rFonts w:asciiTheme="minorHAnsi" w:hAnsiTheme="minorHAnsi" w:cs="Arial"/>
          <w:sz w:val="22"/>
          <w:szCs w:val="22"/>
          <w:lang w:val="hr-HR"/>
        </w:rPr>
        <w:t>Sljedeća tablica prikazuje informacije o kreditnoj kvaliteti financijske imovine koja se mjeri po amortiziranom trošku. Iznosi u tablici predstavljaju bruto knjigovodstvene iznose:</w:t>
      </w:r>
    </w:p>
    <w:p w:rsidR="007C12E0" w:rsidRPr="001567C8" w:rsidRDefault="007C12E0" w:rsidP="00046014">
      <w:pPr>
        <w:pStyle w:val="T1"/>
        <w:tabs>
          <w:tab w:val="left" w:pos="1134"/>
        </w:tabs>
        <w:spacing w:before="0" w:after="0" w:line="240" w:lineRule="auto"/>
        <w:rPr>
          <w:rFonts w:asciiTheme="minorHAnsi" w:hAnsiTheme="minorHAnsi" w:cs="Arial"/>
          <w:b w:val="0"/>
          <w:bCs w:val="0"/>
          <w:sz w:val="22"/>
          <w:szCs w:val="22"/>
          <w:lang w:val="hr-HR"/>
        </w:rPr>
      </w:pPr>
    </w:p>
    <w:tbl>
      <w:tblPr>
        <w:tblW w:w="8976" w:type="dxa"/>
        <w:tblInd w:w="142" w:type="dxa"/>
        <w:tblLayout w:type="fixed"/>
        <w:tblLook w:val="04A0" w:firstRow="1" w:lastRow="0" w:firstColumn="1" w:lastColumn="0" w:noHBand="0" w:noVBand="1"/>
      </w:tblPr>
      <w:tblGrid>
        <w:gridCol w:w="2671"/>
        <w:gridCol w:w="1623"/>
        <w:gridCol w:w="1521"/>
        <w:gridCol w:w="1521"/>
        <w:gridCol w:w="1640"/>
      </w:tblGrid>
      <w:tr w:rsidR="006A1B62" w:rsidRPr="001567C8" w:rsidTr="00B8477D">
        <w:trPr>
          <w:trHeight w:val="323"/>
        </w:trPr>
        <w:tc>
          <w:tcPr>
            <w:tcW w:w="2671" w:type="dxa"/>
            <w:tcBorders>
              <w:top w:val="nil"/>
              <w:left w:val="nil"/>
              <w:bottom w:val="nil"/>
              <w:right w:val="nil"/>
            </w:tcBorders>
            <w:shd w:val="clear" w:color="auto" w:fill="auto"/>
            <w:noWrap/>
            <w:vAlign w:val="bottom"/>
            <w:hideMark/>
          </w:tcPr>
          <w:p w:rsidR="006A1B62" w:rsidRPr="00CD3A2D" w:rsidRDefault="006A1B62">
            <w:pPr>
              <w:rPr>
                <w:sz w:val="22"/>
                <w:szCs w:val="22"/>
                <w:lang w:val="hr-HR"/>
              </w:rPr>
            </w:pPr>
          </w:p>
        </w:tc>
        <w:tc>
          <w:tcPr>
            <w:tcW w:w="1623" w:type="dxa"/>
            <w:tcBorders>
              <w:top w:val="nil"/>
              <w:left w:val="nil"/>
              <w:bottom w:val="nil"/>
              <w:right w:val="nil"/>
            </w:tcBorders>
            <w:shd w:val="clear" w:color="auto" w:fill="auto"/>
            <w:noWrap/>
            <w:vAlign w:val="bottom"/>
            <w:hideMark/>
          </w:tcPr>
          <w:p w:rsidR="006A1B62" w:rsidRPr="00CD3A2D" w:rsidRDefault="006A1B62">
            <w:pPr>
              <w:rPr>
                <w:sz w:val="22"/>
                <w:szCs w:val="22"/>
                <w:lang w:val="hr-HR"/>
              </w:rPr>
            </w:pPr>
          </w:p>
        </w:tc>
        <w:tc>
          <w:tcPr>
            <w:tcW w:w="1521" w:type="dxa"/>
            <w:tcBorders>
              <w:top w:val="nil"/>
              <w:left w:val="nil"/>
              <w:bottom w:val="nil"/>
              <w:right w:val="nil"/>
            </w:tcBorders>
            <w:shd w:val="clear" w:color="auto" w:fill="auto"/>
            <w:noWrap/>
            <w:vAlign w:val="bottom"/>
            <w:hideMark/>
          </w:tcPr>
          <w:p w:rsidR="006A1B62" w:rsidRPr="00CD3A2D" w:rsidRDefault="006A1B62">
            <w:pPr>
              <w:jc w:val="right"/>
              <w:rPr>
                <w:sz w:val="22"/>
                <w:szCs w:val="22"/>
                <w:lang w:val="hr-HR"/>
              </w:rPr>
            </w:pPr>
          </w:p>
        </w:tc>
        <w:tc>
          <w:tcPr>
            <w:tcW w:w="1521" w:type="dxa"/>
            <w:tcBorders>
              <w:top w:val="nil"/>
              <w:left w:val="nil"/>
              <w:bottom w:val="nil"/>
              <w:right w:val="nil"/>
            </w:tcBorders>
            <w:shd w:val="clear" w:color="auto" w:fill="auto"/>
            <w:noWrap/>
            <w:vAlign w:val="bottom"/>
            <w:hideMark/>
          </w:tcPr>
          <w:p w:rsidR="006A1B62" w:rsidRPr="00CD3A2D" w:rsidRDefault="006A1B62">
            <w:pPr>
              <w:jc w:val="right"/>
              <w:rPr>
                <w:sz w:val="22"/>
                <w:szCs w:val="22"/>
                <w:lang w:val="hr-HR"/>
              </w:rPr>
            </w:pPr>
          </w:p>
        </w:tc>
        <w:tc>
          <w:tcPr>
            <w:tcW w:w="1640"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Grupa i Banka</w:t>
            </w:r>
          </w:p>
        </w:tc>
      </w:tr>
      <w:tr w:rsidR="006A1B62" w:rsidRPr="001567C8" w:rsidTr="00B8477D">
        <w:trPr>
          <w:trHeight w:val="323"/>
        </w:trPr>
        <w:tc>
          <w:tcPr>
            <w:tcW w:w="2671"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p>
        </w:tc>
        <w:tc>
          <w:tcPr>
            <w:tcW w:w="1623"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Stupanj 1</w:t>
            </w:r>
          </w:p>
        </w:tc>
        <w:tc>
          <w:tcPr>
            <w:tcW w:w="1521"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Stupanj 2</w:t>
            </w:r>
          </w:p>
        </w:tc>
        <w:tc>
          <w:tcPr>
            <w:tcW w:w="1521"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Stupanj 3</w:t>
            </w:r>
          </w:p>
        </w:tc>
        <w:tc>
          <w:tcPr>
            <w:tcW w:w="1640"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Ukupno</w:t>
            </w:r>
          </w:p>
        </w:tc>
      </w:tr>
      <w:tr w:rsidR="006A1B62" w:rsidRPr="001567C8" w:rsidTr="00B8477D">
        <w:trPr>
          <w:trHeight w:val="323"/>
        </w:trPr>
        <w:tc>
          <w:tcPr>
            <w:tcW w:w="2671"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p>
        </w:tc>
        <w:tc>
          <w:tcPr>
            <w:tcW w:w="1623"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000 kuna</w:t>
            </w:r>
          </w:p>
        </w:tc>
        <w:tc>
          <w:tcPr>
            <w:tcW w:w="1521"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000 kuna</w:t>
            </w:r>
          </w:p>
        </w:tc>
        <w:tc>
          <w:tcPr>
            <w:tcW w:w="1521"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000 kuna</w:t>
            </w:r>
          </w:p>
        </w:tc>
        <w:tc>
          <w:tcPr>
            <w:tcW w:w="1640" w:type="dxa"/>
            <w:tcBorders>
              <w:top w:val="nil"/>
              <w:left w:val="nil"/>
              <w:bottom w:val="nil"/>
              <w:right w:val="nil"/>
            </w:tcBorders>
            <w:shd w:val="clear" w:color="auto" w:fill="auto"/>
            <w:noWrap/>
            <w:vAlign w:val="bottom"/>
            <w:hideMark/>
          </w:tcPr>
          <w:p w:rsidR="006A1B62" w:rsidRPr="00CD3A2D" w:rsidRDefault="006A1B62">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000 kuna</w:t>
            </w:r>
          </w:p>
        </w:tc>
      </w:tr>
      <w:tr w:rsidR="006A1B62" w:rsidRPr="001567C8" w:rsidTr="00B8477D">
        <w:trPr>
          <w:trHeight w:val="210"/>
        </w:trPr>
        <w:tc>
          <w:tcPr>
            <w:tcW w:w="2671" w:type="dxa"/>
            <w:tcBorders>
              <w:top w:val="nil"/>
              <w:left w:val="nil"/>
              <w:bottom w:val="nil"/>
              <w:right w:val="nil"/>
            </w:tcBorders>
            <w:shd w:val="clear" w:color="auto" w:fill="auto"/>
            <w:noWrap/>
            <w:vAlign w:val="bottom"/>
          </w:tcPr>
          <w:p w:rsidR="006A1B62" w:rsidRPr="00CD3A2D" w:rsidRDefault="006A1B62">
            <w:pPr>
              <w:jc w:val="right"/>
              <w:rPr>
                <w:rFonts w:ascii="Calibri" w:hAnsi="Calibri" w:cs="Calibri"/>
                <w:b/>
                <w:bCs/>
                <w:color w:val="000000"/>
                <w:sz w:val="22"/>
                <w:szCs w:val="22"/>
                <w:lang w:val="hr-HR"/>
              </w:rPr>
            </w:pPr>
          </w:p>
        </w:tc>
        <w:tc>
          <w:tcPr>
            <w:tcW w:w="1623" w:type="dxa"/>
            <w:tcBorders>
              <w:top w:val="nil"/>
              <w:left w:val="nil"/>
              <w:bottom w:val="nil"/>
              <w:right w:val="nil"/>
            </w:tcBorders>
            <w:shd w:val="clear" w:color="auto" w:fill="auto"/>
            <w:noWrap/>
            <w:vAlign w:val="bottom"/>
          </w:tcPr>
          <w:p w:rsidR="006A1B62" w:rsidRPr="00CD3A2D" w:rsidRDefault="006A1B62">
            <w:pPr>
              <w:jc w:val="right"/>
              <w:rPr>
                <w:rFonts w:ascii="Calibri" w:hAnsi="Calibri" w:cs="Calibri"/>
                <w:b/>
                <w:bCs/>
                <w:color w:val="000000"/>
                <w:sz w:val="22"/>
                <w:szCs w:val="22"/>
                <w:lang w:val="hr-HR"/>
              </w:rPr>
            </w:pPr>
          </w:p>
        </w:tc>
        <w:tc>
          <w:tcPr>
            <w:tcW w:w="1521" w:type="dxa"/>
            <w:tcBorders>
              <w:top w:val="nil"/>
              <w:left w:val="nil"/>
              <w:bottom w:val="nil"/>
              <w:right w:val="nil"/>
            </w:tcBorders>
            <w:shd w:val="clear" w:color="auto" w:fill="auto"/>
            <w:noWrap/>
            <w:vAlign w:val="bottom"/>
          </w:tcPr>
          <w:p w:rsidR="006A1B62" w:rsidRPr="00CD3A2D" w:rsidRDefault="006A1B62">
            <w:pPr>
              <w:jc w:val="right"/>
              <w:rPr>
                <w:rFonts w:ascii="Calibri" w:hAnsi="Calibri" w:cs="Calibri"/>
                <w:b/>
                <w:bCs/>
                <w:color w:val="000000"/>
                <w:sz w:val="22"/>
                <w:szCs w:val="22"/>
                <w:lang w:val="hr-HR"/>
              </w:rPr>
            </w:pPr>
          </w:p>
        </w:tc>
        <w:tc>
          <w:tcPr>
            <w:tcW w:w="1521" w:type="dxa"/>
            <w:tcBorders>
              <w:top w:val="nil"/>
              <w:left w:val="nil"/>
              <w:bottom w:val="nil"/>
              <w:right w:val="nil"/>
            </w:tcBorders>
            <w:shd w:val="clear" w:color="auto" w:fill="auto"/>
            <w:noWrap/>
            <w:vAlign w:val="bottom"/>
          </w:tcPr>
          <w:p w:rsidR="006A1B62" w:rsidRPr="00CD3A2D" w:rsidRDefault="006A1B62">
            <w:pPr>
              <w:jc w:val="right"/>
              <w:rPr>
                <w:rFonts w:ascii="Calibri" w:hAnsi="Calibri" w:cs="Calibri"/>
                <w:b/>
                <w:bCs/>
                <w:color w:val="000000"/>
                <w:sz w:val="22"/>
                <w:szCs w:val="22"/>
                <w:lang w:val="hr-HR"/>
              </w:rPr>
            </w:pPr>
          </w:p>
        </w:tc>
        <w:tc>
          <w:tcPr>
            <w:tcW w:w="1640" w:type="dxa"/>
            <w:tcBorders>
              <w:top w:val="nil"/>
              <w:left w:val="nil"/>
              <w:bottom w:val="nil"/>
              <w:right w:val="nil"/>
            </w:tcBorders>
            <w:shd w:val="clear" w:color="auto" w:fill="auto"/>
            <w:noWrap/>
            <w:vAlign w:val="bottom"/>
          </w:tcPr>
          <w:p w:rsidR="006A1B62" w:rsidRPr="00CD3A2D" w:rsidRDefault="006A1B62">
            <w:pPr>
              <w:jc w:val="right"/>
              <w:rPr>
                <w:rFonts w:ascii="Calibri" w:hAnsi="Calibri" w:cs="Calibri"/>
                <w:b/>
                <w:bCs/>
                <w:color w:val="000000"/>
                <w:sz w:val="22"/>
                <w:szCs w:val="22"/>
                <w:lang w:val="hr-HR"/>
              </w:rPr>
            </w:pPr>
          </w:p>
        </w:tc>
      </w:tr>
      <w:tr w:rsidR="006A1B62" w:rsidRPr="001567C8" w:rsidTr="00B8477D">
        <w:trPr>
          <w:trHeight w:val="323"/>
        </w:trPr>
        <w:tc>
          <w:tcPr>
            <w:tcW w:w="2671" w:type="dxa"/>
            <w:tcBorders>
              <w:top w:val="nil"/>
              <w:left w:val="nil"/>
              <w:bottom w:val="nil"/>
              <w:right w:val="nil"/>
            </w:tcBorders>
            <w:shd w:val="clear" w:color="auto" w:fill="auto"/>
            <w:noWrap/>
            <w:vAlign w:val="bottom"/>
            <w:hideMark/>
          </w:tcPr>
          <w:p w:rsidR="006A1B62" w:rsidRPr="00CD3A2D" w:rsidRDefault="006A1B62">
            <w:pPr>
              <w:rPr>
                <w:rFonts w:ascii="Calibri" w:hAnsi="Calibri" w:cs="Calibri"/>
                <w:color w:val="000000"/>
                <w:sz w:val="22"/>
                <w:szCs w:val="22"/>
                <w:lang w:val="hr-HR"/>
              </w:rPr>
            </w:pPr>
            <w:r w:rsidRPr="00CD3A2D">
              <w:rPr>
                <w:rFonts w:ascii="Calibri" w:hAnsi="Calibri" w:cs="Calibri"/>
                <w:color w:val="000000"/>
                <w:sz w:val="22"/>
                <w:szCs w:val="22"/>
                <w:lang w:val="hr-HR"/>
              </w:rPr>
              <w:t>Bruto iznos</w:t>
            </w:r>
          </w:p>
        </w:tc>
        <w:tc>
          <w:tcPr>
            <w:tcW w:w="1623" w:type="dxa"/>
            <w:tcBorders>
              <w:top w:val="nil"/>
              <w:left w:val="nil"/>
              <w:bottom w:val="nil"/>
              <w:right w:val="nil"/>
            </w:tcBorders>
            <w:shd w:val="clear" w:color="auto" w:fill="auto"/>
            <w:noWrap/>
            <w:vAlign w:val="bottom"/>
            <w:hideMark/>
          </w:tcPr>
          <w:p w:rsidR="006A1B62" w:rsidRPr="00CD3A2D" w:rsidRDefault="006A1B62" w:rsidP="0011726C">
            <w:pPr>
              <w:jc w:val="right"/>
              <w:rPr>
                <w:rFonts w:ascii="Calibri" w:hAnsi="Calibri" w:cs="Calibri"/>
                <w:color w:val="000000"/>
                <w:sz w:val="22"/>
                <w:szCs w:val="22"/>
                <w:lang w:val="hr-HR"/>
              </w:rPr>
            </w:pPr>
            <w:r w:rsidRPr="00CD3A2D">
              <w:rPr>
                <w:rFonts w:ascii="Calibri" w:hAnsi="Calibri" w:cs="Calibri"/>
                <w:color w:val="000000"/>
                <w:sz w:val="22"/>
                <w:szCs w:val="22"/>
                <w:lang w:val="hr-HR"/>
              </w:rPr>
              <w:t>10.14</w:t>
            </w:r>
            <w:r w:rsidR="0067051A" w:rsidRPr="00CD3A2D">
              <w:rPr>
                <w:rFonts w:ascii="Calibri" w:hAnsi="Calibri" w:cs="Calibri"/>
                <w:color w:val="000000"/>
                <w:sz w:val="22"/>
                <w:szCs w:val="22"/>
                <w:lang w:val="hr-HR"/>
              </w:rPr>
              <w:t>2.966</w:t>
            </w:r>
            <w:r w:rsidRPr="00CD3A2D">
              <w:rPr>
                <w:rFonts w:ascii="Calibri" w:hAnsi="Calibri" w:cs="Calibri"/>
                <w:color w:val="000000"/>
                <w:sz w:val="22"/>
                <w:szCs w:val="22"/>
                <w:lang w:val="hr-HR"/>
              </w:rPr>
              <w:t xml:space="preserve"> </w:t>
            </w:r>
          </w:p>
        </w:tc>
        <w:tc>
          <w:tcPr>
            <w:tcW w:w="1521" w:type="dxa"/>
            <w:tcBorders>
              <w:top w:val="nil"/>
              <w:left w:val="nil"/>
              <w:bottom w:val="nil"/>
              <w:right w:val="nil"/>
            </w:tcBorders>
            <w:shd w:val="clear" w:color="auto" w:fill="auto"/>
            <w:noWrap/>
            <w:vAlign w:val="bottom"/>
            <w:hideMark/>
          </w:tcPr>
          <w:p w:rsidR="006A1B62" w:rsidRPr="00CD3A2D" w:rsidRDefault="006A1B62" w:rsidP="0011726C">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158.678 </w:t>
            </w:r>
          </w:p>
        </w:tc>
        <w:tc>
          <w:tcPr>
            <w:tcW w:w="1521" w:type="dxa"/>
            <w:tcBorders>
              <w:top w:val="nil"/>
              <w:left w:val="nil"/>
              <w:bottom w:val="nil"/>
              <w:right w:val="nil"/>
            </w:tcBorders>
            <w:shd w:val="clear" w:color="auto" w:fill="auto"/>
            <w:noWrap/>
            <w:vAlign w:val="bottom"/>
            <w:hideMark/>
          </w:tcPr>
          <w:p w:rsidR="006A1B62" w:rsidRPr="00CD3A2D" w:rsidRDefault="006A1B62" w:rsidP="0011726C">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50.498 </w:t>
            </w:r>
          </w:p>
        </w:tc>
        <w:tc>
          <w:tcPr>
            <w:tcW w:w="1640" w:type="dxa"/>
            <w:tcBorders>
              <w:top w:val="nil"/>
              <w:left w:val="nil"/>
              <w:bottom w:val="nil"/>
              <w:right w:val="nil"/>
            </w:tcBorders>
            <w:shd w:val="clear" w:color="auto" w:fill="auto"/>
            <w:noWrap/>
            <w:vAlign w:val="bottom"/>
            <w:hideMark/>
          </w:tcPr>
          <w:p w:rsidR="006A1B62" w:rsidRPr="00CD3A2D" w:rsidRDefault="006A1B62" w:rsidP="0011726C">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10.35</w:t>
            </w:r>
            <w:r w:rsidR="0067051A" w:rsidRPr="00CD3A2D">
              <w:rPr>
                <w:rFonts w:ascii="Calibri" w:hAnsi="Calibri" w:cs="Calibri"/>
                <w:b/>
                <w:bCs/>
                <w:color w:val="000000"/>
                <w:sz w:val="22"/>
                <w:szCs w:val="22"/>
                <w:lang w:val="hr-HR"/>
              </w:rPr>
              <w:t>2.142</w:t>
            </w:r>
            <w:r w:rsidRPr="00CD3A2D">
              <w:rPr>
                <w:rFonts w:ascii="Calibri" w:hAnsi="Calibri" w:cs="Calibri"/>
                <w:b/>
                <w:bCs/>
                <w:color w:val="000000"/>
                <w:sz w:val="22"/>
                <w:szCs w:val="22"/>
                <w:lang w:val="hr-HR"/>
              </w:rPr>
              <w:t xml:space="preserve"> </w:t>
            </w:r>
          </w:p>
        </w:tc>
      </w:tr>
      <w:tr w:rsidR="006A1B62" w:rsidRPr="001567C8" w:rsidTr="00B8477D">
        <w:trPr>
          <w:trHeight w:val="323"/>
        </w:trPr>
        <w:tc>
          <w:tcPr>
            <w:tcW w:w="2671" w:type="dxa"/>
            <w:tcBorders>
              <w:top w:val="nil"/>
              <w:left w:val="nil"/>
              <w:bottom w:val="nil"/>
              <w:right w:val="nil"/>
            </w:tcBorders>
            <w:shd w:val="clear" w:color="auto" w:fill="auto"/>
            <w:noWrap/>
            <w:vAlign w:val="bottom"/>
            <w:hideMark/>
          </w:tcPr>
          <w:p w:rsidR="006A1B62" w:rsidRPr="00CD3A2D" w:rsidRDefault="006A1B62">
            <w:pPr>
              <w:rPr>
                <w:rFonts w:ascii="Calibri" w:hAnsi="Calibri" w:cs="Calibri"/>
                <w:color w:val="000000"/>
                <w:sz w:val="22"/>
                <w:szCs w:val="22"/>
                <w:lang w:val="hr-HR"/>
              </w:rPr>
            </w:pPr>
            <w:r w:rsidRPr="00CD3A2D">
              <w:rPr>
                <w:rFonts w:ascii="Calibri" w:hAnsi="Calibri" w:cs="Calibri"/>
                <w:color w:val="000000"/>
                <w:sz w:val="22"/>
                <w:szCs w:val="22"/>
                <w:lang w:val="hr-HR"/>
              </w:rPr>
              <w:t>Rezerviranja</w:t>
            </w:r>
          </w:p>
        </w:tc>
        <w:tc>
          <w:tcPr>
            <w:tcW w:w="1623" w:type="dxa"/>
            <w:tcBorders>
              <w:top w:val="nil"/>
              <w:left w:val="nil"/>
              <w:bottom w:val="nil"/>
              <w:right w:val="nil"/>
            </w:tcBorders>
            <w:shd w:val="clear" w:color="auto" w:fill="auto"/>
            <w:noWrap/>
            <w:vAlign w:val="bottom"/>
            <w:hideMark/>
          </w:tcPr>
          <w:p w:rsidR="006A1B62" w:rsidRPr="00CD3A2D" w:rsidRDefault="006A1B62" w:rsidP="0011726C">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(78.126)</w:t>
            </w:r>
          </w:p>
        </w:tc>
        <w:tc>
          <w:tcPr>
            <w:tcW w:w="1521" w:type="dxa"/>
            <w:tcBorders>
              <w:top w:val="nil"/>
              <w:left w:val="nil"/>
              <w:bottom w:val="nil"/>
              <w:right w:val="nil"/>
            </w:tcBorders>
            <w:shd w:val="clear" w:color="auto" w:fill="auto"/>
            <w:noWrap/>
            <w:vAlign w:val="bottom"/>
            <w:hideMark/>
          </w:tcPr>
          <w:p w:rsidR="006A1B62" w:rsidRPr="00CD3A2D" w:rsidRDefault="006A1B62" w:rsidP="0011726C">
            <w:pPr>
              <w:jc w:val="right"/>
              <w:rPr>
                <w:rFonts w:ascii="Calibri" w:hAnsi="Calibri" w:cs="Calibri"/>
                <w:color w:val="000000"/>
                <w:sz w:val="22"/>
                <w:szCs w:val="22"/>
                <w:lang w:val="hr-HR"/>
              </w:rPr>
            </w:pPr>
            <w:r w:rsidRPr="00CD3A2D">
              <w:rPr>
                <w:rFonts w:ascii="Calibri" w:hAnsi="Calibri" w:cs="Calibri"/>
                <w:color w:val="000000"/>
                <w:sz w:val="22"/>
                <w:szCs w:val="22"/>
                <w:lang w:val="hr-HR"/>
              </w:rPr>
              <w:t>(20.941)</w:t>
            </w:r>
          </w:p>
        </w:tc>
        <w:tc>
          <w:tcPr>
            <w:tcW w:w="1521" w:type="dxa"/>
            <w:tcBorders>
              <w:top w:val="nil"/>
              <w:left w:val="nil"/>
              <w:bottom w:val="nil"/>
              <w:right w:val="nil"/>
            </w:tcBorders>
            <w:shd w:val="clear" w:color="auto" w:fill="auto"/>
            <w:noWrap/>
            <w:vAlign w:val="bottom"/>
            <w:hideMark/>
          </w:tcPr>
          <w:p w:rsidR="006A1B62" w:rsidRPr="00CD3A2D" w:rsidRDefault="006A1B62" w:rsidP="0011726C">
            <w:pPr>
              <w:jc w:val="right"/>
              <w:rPr>
                <w:rFonts w:ascii="Calibri" w:hAnsi="Calibri" w:cs="Calibri"/>
                <w:color w:val="000000"/>
                <w:sz w:val="22"/>
                <w:szCs w:val="22"/>
                <w:lang w:val="hr-HR"/>
              </w:rPr>
            </w:pPr>
            <w:r w:rsidRPr="00CD3A2D">
              <w:rPr>
                <w:rFonts w:ascii="Calibri" w:hAnsi="Calibri" w:cs="Calibri"/>
                <w:color w:val="000000"/>
                <w:sz w:val="22"/>
                <w:szCs w:val="22"/>
                <w:lang w:val="hr-HR"/>
              </w:rPr>
              <w:t>(18.087)</w:t>
            </w:r>
          </w:p>
        </w:tc>
        <w:tc>
          <w:tcPr>
            <w:tcW w:w="1640" w:type="dxa"/>
            <w:tcBorders>
              <w:top w:val="nil"/>
              <w:left w:val="nil"/>
              <w:bottom w:val="nil"/>
              <w:right w:val="nil"/>
            </w:tcBorders>
            <w:shd w:val="clear" w:color="auto" w:fill="auto"/>
            <w:noWrap/>
            <w:vAlign w:val="bottom"/>
            <w:hideMark/>
          </w:tcPr>
          <w:p w:rsidR="006A1B62" w:rsidRPr="00CD3A2D" w:rsidRDefault="006A1B62" w:rsidP="0011726C">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  (117.154)</w:t>
            </w:r>
          </w:p>
        </w:tc>
      </w:tr>
      <w:tr w:rsidR="006A1B62" w:rsidRPr="001567C8" w:rsidTr="00B8477D">
        <w:trPr>
          <w:trHeight w:val="607"/>
        </w:trPr>
        <w:tc>
          <w:tcPr>
            <w:tcW w:w="2671" w:type="dxa"/>
            <w:tcBorders>
              <w:top w:val="nil"/>
              <w:left w:val="nil"/>
              <w:bottom w:val="nil"/>
              <w:right w:val="nil"/>
            </w:tcBorders>
            <w:shd w:val="clear" w:color="auto" w:fill="auto"/>
            <w:noWrap/>
            <w:vAlign w:val="bottom"/>
            <w:hideMark/>
          </w:tcPr>
          <w:p w:rsidR="006A1B62" w:rsidRPr="00CD3A2D" w:rsidRDefault="006A1B62">
            <w:pPr>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 Stanje na dan </w:t>
            </w:r>
          </w:p>
          <w:p w:rsidR="006A1B62" w:rsidRPr="00CD3A2D" w:rsidRDefault="006A1B62">
            <w:pPr>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31. prosinca 2018. godine    </w:t>
            </w:r>
          </w:p>
        </w:tc>
        <w:tc>
          <w:tcPr>
            <w:tcW w:w="1623" w:type="dxa"/>
            <w:tcBorders>
              <w:top w:val="single" w:sz="4" w:space="0" w:color="auto"/>
              <w:left w:val="nil"/>
              <w:bottom w:val="single" w:sz="12" w:space="0" w:color="auto"/>
              <w:right w:val="nil"/>
            </w:tcBorders>
            <w:shd w:val="clear" w:color="auto" w:fill="auto"/>
            <w:noWrap/>
            <w:vAlign w:val="bottom"/>
            <w:hideMark/>
          </w:tcPr>
          <w:p w:rsidR="006A1B62" w:rsidRPr="00CD3A2D" w:rsidRDefault="006A1B62" w:rsidP="0011726C">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10.064.840 </w:t>
            </w:r>
          </w:p>
        </w:tc>
        <w:tc>
          <w:tcPr>
            <w:tcW w:w="1521" w:type="dxa"/>
            <w:tcBorders>
              <w:top w:val="single" w:sz="4" w:space="0" w:color="auto"/>
              <w:left w:val="nil"/>
              <w:bottom w:val="single" w:sz="12" w:space="0" w:color="auto"/>
              <w:right w:val="nil"/>
            </w:tcBorders>
            <w:shd w:val="clear" w:color="auto" w:fill="auto"/>
            <w:noWrap/>
            <w:vAlign w:val="bottom"/>
            <w:hideMark/>
          </w:tcPr>
          <w:p w:rsidR="006A1B62" w:rsidRPr="00CD3A2D" w:rsidRDefault="006A1B62" w:rsidP="0011726C">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137.737 </w:t>
            </w:r>
          </w:p>
        </w:tc>
        <w:tc>
          <w:tcPr>
            <w:tcW w:w="1521" w:type="dxa"/>
            <w:tcBorders>
              <w:top w:val="single" w:sz="4" w:space="0" w:color="auto"/>
              <w:left w:val="nil"/>
              <w:bottom w:val="single" w:sz="12" w:space="0" w:color="auto"/>
              <w:right w:val="nil"/>
            </w:tcBorders>
            <w:shd w:val="clear" w:color="auto" w:fill="auto"/>
            <w:noWrap/>
            <w:vAlign w:val="bottom"/>
            <w:hideMark/>
          </w:tcPr>
          <w:p w:rsidR="006A1B62" w:rsidRPr="00CD3A2D" w:rsidRDefault="006A1B62" w:rsidP="0011726C">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32.411 </w:t>
            </w:r>
          </w:p>
        </w:tc>
        <w:tc>
          <w:tcPr>
            <w:tcW w:w="1640" w:type="dxa"/>
            <w:tcBorders>
              <w:top w:val="single" w:sz="4" w:space="0" w:color="auto"/>
              <w:left w:val="nil"/>
              <w:bottom w:val="single" w:sz="12" w:space="0" w:color="auto"/>
              <w:right w:val="nil"/>
            </w:tcBorders>
            <w:shd w:val="clear" w:color="auto" w:fill="auto"/>
            <w:noWrap/>
            <w:vAlign w:val="bottom"/>
            <w:hideMark/>
          </w:tcPr>
          <w:p w:rsidR="006A1B62" w:rsidRPr="00CD3A2D" w:rsidRDefault="006A1B62" w:rsidP="0011726C">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10.234.988 </w:t>
            </w:r>
          </w:p>
        </w:tc>
      </w:tr>
    </w:tbl>
    <w:p w:rsidR="007C12E0" w:rsidRPr="001567C8" w:rsidRDefault="007C12E0" w:rsidP="00046014">
      <w:pPr>
        <w:pStyle w:val="T1"/>
        <w:tabs>
          <w:tab w:val="left" w:pos="1134"/>
        </w:tabs>
        <w:spacing w:before="0" w:after="0" w:line="240" w:lineRule="auto"/>
        <w:rPr>
          <w:rFonts w:asciiTheme="minorHAnsi" w:hAnsiTheme="minorHAnsi" w:cs="Arial"/>
          <w:b w:val="0"/>
          <w:bCs w:val="0"/>
          <w:sz w:val="22"/>
          <w:szCs w:val="22"/>
          <w:lang w:val="hr-HR"/>
        </w:rPr>
        <w:sectPr w:rsidR="007C12E0" w:rsidRPr="001567C8" w:rsidSect="000D6913">
          <w:pgSz w:w="11907" w:h="16840" w:code="9"/>
          <w:pgMar w:top="1418" w:right="1134" w:bottom="1134" w:left="1418" w:header="851" w:footer="851" w:gutter="0"/>
          <w:cols w:space="720"/>
          <w:noEndnote/>
        </w:sectPr>
      </w:pPr>
    </w:p>
    <w:bookmarkEnd w:id="53"/>
    <w:p w:rsidR="00046014" w:rsidRPr="001567C8" w:rsidRDefault="00046014" w:rsidP="00046014">
      <w:pPr>
        <w:pStyle w:val="T1"/>
        <w:tabs>
          <w:tab w:val="left" w:pos="1134"/>
        </w:tabs>
        <w:spacing w:before="0" w:after="0" w:line="240" w:lineRule="auto"/>
        <w:rPr>
          <w:rFonts w:asciiTheme="minorHAnsi" w:hAnsiTheme="minorHAnsi" w:cs="Arial"/>
          <w:b w:val="0"/>
          <w:bCs w:val="0"/>
          <w:sz w:val="22"/>
          <w:szCs w:val="22"/>
          <w:lang w:val="hr-HR"/>
        </w:rPr>
      </w:pPr>
    </w:p>
    <w:p w:rsidR="007D4973" w:rsidRPr="001567C8" w:rsidRDefault="007D4973" w:rsidP="007D4973">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5</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Krediti financijskim institucijama (nastavak)</w:t>
      </w:r>
    </w:p>
    <w:p w:rsidR="007D4973" w:rsidRPr="001567C8" w:rsidRDefault="007D4973" w:rsidP="00046014">
      <w:pPr>
        <w:pStyle w:val="T1"/>
        <w:tabs>
          <w:tab w:val="left" w:pos="1134"/>
        </w:tabs>
        <w:spacing w:before="0" w:after="0" w:line="240" w:lineRule="auto"/>
        <w:rPr>
          <w:rFonts w:asciiTheme="minorHAnsi" w:hAnsiTheme="minorHAnsi" w:cs="Arial"/>
          <w:b w:val="0"/>
          <w:bCs w:val="0"/>
          <w:sz w:val="22"/>
          <w:szCs w:val="22"/>
          <w:lang w:val="hr-HR"/>
        </w:rPr>
      </w:pPr>
    </w:p>
    <w:p w:rsidR="006D0890" w:rsidRPr="001567C8" w:rsidRDefault="006D0890" w:rsidP="00046014">
      <w:pPr>
        <w:pStyle w:val="T1"/>
        <w:tabs>
          <w:tab w:val="left" w:pos="1134"/>
        </w:tabs>
        <w:spacing w:before="0" w:after="0" w:line="240" w:lineRule="auto"/>
        <w:rPr>
          <w:rFonts w:asciiTheme="minorHAnsi" w:hAnsiTheme="minorHAnsi"/>
          <w:sz w:val="22"/>
          <w:szCs w:val="22"/>
          <w:lang w:val="hr-HR"/>
        </w:rPr>
      </w:pPr>
      <w:r w:rsidRPr="001567C8">
        <w:rPr>
          <w:rFonts w:asciiTheme="minorHAnsi" w:hAnsiTheme="minorHAnsi" w:cs="Arial"/>
          <w:b w:val="0"/>
          <w:bCs w:val="0"/>
          <w:sz w:val="22"/>
          <w:szCs w:val="22"/>
          <w:lang w:val="hr-HR"/>
        </w:rPr>
        <w:t xml:space="preserve">Promjene na rezerviranjima za </w:t>
      </w:r>
      <w:r w:rsidR="00726C85" w:rsidRPr="001567C8">
        <w:rPr>
          <w:rFonts w:asciiTheme="minorHAnsi" w:hAnsiTheme="minorHAnsi" w:cs="Arial"/>
          <w:b w:val="0"/>
          <w:bCs w:val="0"/>
          <w:sz w:val="22"/>
          <w:szCs w:val="22"/>
          <w:lang w:val="hr-HR"/>
        </w:rPr>
        <w:t xml:space="preserve">očekivane </w:t>
      </w:r>
      <w:r w:rsidRPr="001567C8">
        <w:rPr>
          <w:rFonts w:asciiTheme="minorHAnsi" w:hAnsiTheme="minorHAnsi" w:cs="Arial"/>
          <w:b w:val="0"/>
          <w:bCs w:val="0"/>
          <w:sz w:val="22"/>
          <w:szCs w:val="22"/>
          <w:lang w:val="hr-HR"/>
        </w:rPr>
        <w:t xml:space="preserve">gubitke po kreditima </w:t>
      </w:r>
      <w:r w:rsidR="0036001B" w:rsidRPr="001567C8">
        <w:rPr>
          <w:rFonts w:asciiTheme="minorHAnsi" w:hAnsiTheme="minorHAnsi" w:cs="Arial"/>
          <w:b w:val="0"/>
          <w:bCs w:val="0"/>
          <w:sz w:val="22"/>
          <w:szCs w:val="22"/>
          <w:lang w:val="hr-HR"/>
        </w:rPr>
        <w:t>financijskim institucijama</w:t>
      </w:r>
      <w:r w:rsidRPr="001567C8">
        <w:rPr>
          <w:rFonts w:asciiTheme="minorHAnsi" w:hAnsiTheme="minorHAnsi" w:cs="Arial"/>
          <w:b w:val="0"/>
          <w:bCs w:val="0"/>
          <w:sz w:val="22"/>
          <w:szCs w:val="22"/>
          <w:lang w:val="hr-HR"/>
        </w:rPr>
        <w:t xml:space="preserve"> mogu se prikazati kako slijedi:</w:t>
      </w:r>
    </w:p>
    <w:p w:rsidR="00441617" w:rsidRPr="001567C8" w:rsidRDefault="00441617">
      <w:pPr>
        <w:tabs>
          <w:tab w:val="left" w:pos="-720"/>
        </w:tabs>
        <w:suppressAutoHyphens/>
        <w:rPr>
          <w:rFonts w:asciiTheme="minorHAnsi" w:hAnsiTheme="minorHAnsi" w:cs="Arial"/>
          <w:sz w:val="22"/>
          <w:szCs w:val="22"/>
          <w:lang w:val="hr-HR"/>
        </w:rPr>
      </w:pPr>
    </w:p>
    <w:tbl>
      <w:tblPr>
        <w:tblW w:w="9277" w:type="dxa"/>
        <w:tblLayout w:type="fixed"/>
        <w:tblLook w:val="04A0" w:firstRow="1" w:lastRow="0" w:firstColumn="1" w:lastColumn="0" w:noHBand="0" w:noVBand="1"/>
      </w:tblPr>
      <w:tblGrid>
        <w:gridCol w:w="7727"/>
        <w:gridCol w:w="1550"/>
      </w:tblGrid>
      <w:tr w:rsidR="002D1D34" w:rsidRPr="001567C8" w:rsidTr="0011726C">
        <w:trPr>
          <w:trHeight w:val="284"/>
        </w:trPr>
        <w:tc>
          <w:tcPr>
            <w:tcW w:w="7727" w:type="dxa"/>
            <w:tcBorders>
              <w:top w:val="nil"/>
              <w:left w:val="nil"/>
              <w:bottom w:val="nil"/>
              <w:right w:val="nil"/>
            </w:tcBorders>
            <w:shd w:val="clear" w:color="auto" w:fill="auto"/>
            <w:vAlign w:val="center"/>
            <w:hideMark/>
          </w:tcPr>
          <w:p w:rsidR="002D1D34" w:rsidRPr="001567C8" w:rsidRDefault="002D1D34" w:rsidP="007C12E0">
            <w:pPr>
              <w:rPr>
                <w:sz w:val="22"/>
                <w:szCs w:val="22"/>
                <w:lang w:val="hr-HR" w:eastAsia="hr-HR"/>
              </w:rPr>
            </w:pPr>
          </w:p>
        </w:tc>
        <w:tc>
          <w:tcPr>
            <w:tcW w:w="1550" w:type="dxa"/>
            <w:tcBorders>
              <w:top w:val="nil"/>
              <w:left w:val="nil"/>
              <w:bottom w:val="nil"/>
              <w:right w:val="nil"/>
            </w:tcBorders>
            <w:shd w:val="clear" w:color="auto" w:fill="auto"/>
            <w:vAlign w:val="center"/>
            <w:hideMark/>
          </w:tcPr>
          <w:p w:rsidR="002D1D34" w:rsidRPr="001567C8" w:rsidRDefault="002D1D34" w:rsidP="007C12E0">
            <w:pPr>
              <w:jc w:val="right"/>
              <w:rPr>
                <w:rFonts w:ascii="Calibri" w:hAnsi="Calibri" w:cs="Calibri"/>
                <w:b/>
                <w:bCs/>
                <w:color w:val="000000"/>
                <w:sz w:val="22"/>
                <w:szCs w:val="22"/>
                <w:lang w:val="hr-HR" w:eastAsia="hr-HR"/>
              </w:rPr>
            </w:pPr>
            <w:r w:rsidRPr="001567C8">
              <w:rPr>
                <w:rFonts w:ascii="Calibri" w:hAnsi="Calibri" w:cs="Calibri"/>
                <w:b/>
                <w:bCs/>
                <w:color w:val="000000"/>
                <w:sz w:val="22"/>
                <w:szCs w:val="22"/>
                <w:lang w:val="hr-HR" w:eastAsia="hr-HR"/>
              </w:rPr>
              <w:t>Grupa i Banka</w:t>
            </w:r>
          </w:p>
        </w:tc>
      </w:tr>
      <w:tr w:rsidR="002D1D34" w:rsidRPr="001567C8" w:rsidTr="0011726C">
        <w:trPr>
          <w:trHeight w:val="284"/>
        </w:trPr>
        <w:tc>
          <w:tcPr>
            <w:tcW w:w="7727" w:type="dxa"/>
            <w:tcBorders>
              <w:top w:val="nil"/>
              <w:left w:val="nil"/>
              <w:bottom w:val="nil"/>
              <w:right w:val="nil"/>
            </w:tcBorders>
            <w:shd w:val="clear" w:color="auto" w:fill="auto"/>
            <w:vAlign w:val="center"/>
            <w:hideMark/>
          </w:tcPr>
          <w:p w:rsidR="002D1D34" w:rsidRPr="001567C8" w:rsidRDefault="002D1D34" w:rsidP="007C12E0">
            <w:pPr>
              <w:jc w:val="right"/>
              <w:rPr>
                <w:rFonts w:ascii="Calibri" w:hAnsi="Calibri" w:cs="Calibri"/>
                <w:b/>
                <w:bCs/>
                <w:color w:val="000000"/>
                <w:sz w:val="22"/>
                <w:szCs w:val="22"/>
                <w:lang w:val="hr-HR" w:eastAsia="hr-HR"/>
              </w:rPr>
            </w:pPr>
          </w:p>
        </w:tc>
        <w:tc>
          <w:tcPr>
            <w:tcW w:w="1550" w:type="dxa"/>
            <w:tcBorders>
              <w:top w:val="nil"/>
              <w:left w:val="nil"/>
              <w:bottom w:val="nil"/>
              <w:right w:val="nil"/>
            </w:tcBorders>
            <w:shd w:val="clear" w:color="auto" w:fill="auto"/>
            <w:vAlign w:val="center"/>
            <w:hideMark/>
          </w:tcPr>
          <w:p w:rsidR="002D1D34" w:rsidRPr="001567C8" w:rsidRDefault="002D1D34" w:rsidP="007C12E0">
            <w:pPr>
              <w:jc w:val="right"/>
              <w:rPr>
                <w:rFonts w:ascii="Calibri" w:hAnsi="Calibri" w:cs="Calibri"/>
                <w:b/>
                <w:bCs/>
                <w:color w:val="000000"/>
                <w:sz w:val="22"/>
                <w:szCs w:val="22"/>
                <w:lang w:val="hr-HR" w:eastAsia="hr-HR"/>
              </w:rPr>
            </w:pPr>
            <w:r w:rsidRPr="001567C8">
              <w:rPr>
                <w:rFonts w:ascii="Calibri" w:hAnsi="Calibri" w:cs="Calibri"/>
                <w:b/>
                <w:bCs/>
                <w:color w:val="000000"/>
                <w:sz w:val="22"/>
                <w:szCs w:val="22"/>
                <w:lang w:val="hr-HR" w:eastAsia="hr-HR"/>
              </w:rPr>
              <w:t>000 kuna</w:t>
            </w:r>
          </w:p>
        </w:tc>
      </w:tr>
      <w:tr w:rsidR="002D1D34" w:rsidRPr="001567C8" w:rsidTr="0011726C">
        <w:trPr>
          <w:trHeight w:val="151"/>
        </w:trPr>
        <w:tc>
          <w:tcPr>
            <w:tcW w:w="7727" w:type="dxa"/>
            <w:tcBorders>
              <w:top w:val="nil"/>
              <w:left w:val="nil"/>
              <w:bottom w:val="nil"/>
              <w:right w:val="nil"/>
            </w:tcBorders>
            <w:shd w:val="clear" w:color="auto" w:fill="auto"/>
            <w:vAlign w:val="center"/>
            <w:hideMark/>
          </w:tcPr>
          <w:p w:rsidR="002D1D34" w:rsidRPr="001567C8" w:rsidRDefault="002D1D34" w:rsidP="007C12E0">
            <w:pPr>
              <w:jc w:val="right"/>
              <w:rPr>
                <w:rFonts w:ascii="Calibri" w:hAnsi="Calibri" w:cs="Calibri"/>
                <w:b/>
                <w:bCs/>
                <w:color w:val="000000"/>
                <w:sz w:val="22"/>
                <w:szCs w:val="22"/>
                <w:lang w:val="hr-HR" w:eastAsia="hr-HR"/>
              </w:rPr>
            </w:pPr>
          </w:p>
        </w:tc>
        <w:tc>
          <w:tcPr>
            <w:tcW w:w="1550" w:type="dxa"/>
            <w:tcBorders>
              <w:top w:val="nil"/>
              <w:left w:val="nil"/>
              <w:bottom w:val="nil"/>
              <w:right w:val="nil"/>
            </w:tcBorders>
            <w:shd w:val="clear" w:color="auto" w:fill="auto"/>
            <w:vAlign w:val="center"/>
            <w:hideMark/>
          </w:tcPr>
          <w:p w:rsidR="002D1D34" w:rsidRPr="001567C8" w:rsidRDefault="002D1D34" w:rsidP="007C12E0">
            <w:pPr>
              <w:rPr>
                <w:sz w:val="22"/>
                <w:szCs w:val="22"/>
                <w:lang w:val="hr-HR" w:eastAsia="hr-HR"/>
              </w:rPr>
            </w:pPr>
          </w:p>
        </w:tc>
      </w:tr>
      <w:tr w:rsidR="002D1D34" w:rsidRPr="001567C8" w:rsidTr="0011726C">
        <w:trPr>
          <w:trHeight w:val="318"/>
        </w:trPr>
        <w:tc>
          <w:tcPr>
            <w:tcW w:w="7727" w:type="dxa"/>
            <w:tcBorders>
              <w:top w:val="nil"/>
              <w:left w:val="nil"/>
              <w:bottom w:val="nil"/>
              <w:right w:val="nil"/>
            </w:tcBorders>
            <w:shd w:val="clear" w:color="auto" w:fill="auto"/>
            <w:vAlign w:val="center"/>
            <w:hideMark/>
          </w:tcPr>
          <w:p w:rsidR="002D1D34" w:rsidRPr="001567C8" w:rsidRDefault="002D1D34" w:rsidP="007C12E0">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Stanje 1. siječnja</w:t>
            </w:r>
            <w:r w:rsidR="00D64A2E">
              <w:rPr>
                <w:rFonts w:ascii="Calibri" w:hAnsi="Calibri" w:cs="Calibri"/>
                <w:color w:val="000000"/>
                <w:sz w:val="22"/>
                <w:szCs w:val="22"/>
                <w:lang w:val="hr-HR" w:eastAsia="hr-HR"/>
              </w:rPr>
              <w:t xml:space="preserve"> 2017. godine</w:t>
            </w:r>
          </w:p>
        </w:tc>
        <w:tc>
          <w:tcPr>
            <w:tcW w:w="1550" w:type="dxa"/>
            <w:tcBorders>
              <w:top w:val="nil"/>
              <w:left w:val="nil"/>
              <w:bottom w:val="nil"/>
              <w:right w:val="nil"/>
            </w:tcBorders>
            <w:shd w:val="clear" w:color="auto" w:fill="auto"/>
            <w:vAlign w:val="center"/>
            <w:hideMark/>
          </w:tcPr>
          <w:p w:rsidR="002D1D34" w:rsidRPr="001567C8" w:rsidRDefault="002D1D34" w:rsidP="007C12E0">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363.317</w:t>
            </w:r>
          </w:p>
        </w:tc>
      </w:tr>
      <w:tr w:rsidR="002D1D34" w:rsidRPr="001567C8" w:rsidTr="0011726C">
        <w:trPr>
          <w:trHeight w:val="318"/>
        </w:trPr>
        <w:tc>
          <w:tcPr>
            <w:tcW w:w="7727" w:type="dxa"/>
            <w:tcBorders>
              <w:top w:val="nil"/>
              <w:left w:val="nil"/>
              <w:bottom w:val="nil"/>
              <w:right w:val="nil"/>
            </w:tcBorders>
            <w:shd w:val="clear" w:color="auto" w:fill="auto"/>
            <w:vAlign w:val="center"/>
            <w:hideMark/>
          </w:tcPr>
          <w:p w:rsidR="002D1D34" w:rsidRPr="001567C8" w:rsidRDefault="002D1D34" w:rsidP="007C12E0">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Povećanje rezerviranja za </w:t>
            </w:r>
            <w:r w:rsidR="00726C85" w:rsidRPr="001567C8">
              <w:rPr>
                <w:rFonts w:ascii="Calibri" w:hAnsi="Calibri" w:cs="Calibri"/>
                <w:color w:val="000000"/>
                <w:sz w:val="22"/>
                <w:szCs w:val="22"/>
                <w:lang w:val="hr-HR" w:eastAsia="hr-HR"/>
              </w:rPr>
              <w:t>očekivane</w:t>
            </w:r>
            <w:r w:rsidRPr="001567C8">
              <w:rPr>
                <w:rFonts w:ascii="Calibri" w:hAnsi="Calibri" w:cs="Calibri"/>
                <w:color w:val="000000"/>
                <w:sz w:val="22"/>
                <w:szCs w:val="22"/>
                <w:lang w:val="hr-HR" w:eastAsia="hr-HR"/>
              </w:rPr>
              <w:t xml:space="preserve"> gubitke po kreditima financijskim institucijama</w:t>
            </w:r>
          </w:p>
        </w:tc>
        <w:tc>
          <w:tcPr>
            <w:tcW w:w="1550" w:type="dxa"/>
            <w:tcBorders>
              <w:top w:val="nil"/>
              <w:left w:val="nil"/>
              <w:bottom w:val="nil"/>
              <w:right w:val="nil"/>
            </w:tcBorders>
            <w:shd w:val="clear" w:color="auto" w:fill="auto"/>
            <w:vAlign w:val="bottom"/>
            <w:hideMark/>
          </w:tcPr>
          <w:p w:rsidR="002D1D34" w:rsidRPr="001567C8" w:rsidRDefault="002D1D34" w:rsidP="00441617">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7.949</w:t>
            </w:r>
          </w:p>
        </w:tc>
      </w:tr>
      <w:tr w:rsidR="002D1D34" w:rsidRPr="001567C8" w:rsidTr="00CD3A2D">
        <w:trPr>
          <w:trHeight w:val="318"/>
        </w:trPr>
        <w:tc>
          <w:tcPr>
            <w:tcW w:w="7727" w:type="dxa"/>
            <w:tcBorders>
              <w:top w:val="nil"/>
              <w:left w:val="nil"/>
              <w:bottom w:val="nil"/>
              <w:right w:val="nil"/>
            </w:tcBorders>
            <w:shd w:val="clear" w:color="auto" w:fill="auto"/>
            <w:vAlign w:val="center"/>
            <w:hideMark/>
          </w:tcPr>
          <w:p w:rsidR="002D1D34" w:rsidRPr="001567C8" w:rsidRDefault="002D1D34" w:rsidP="007C12E0">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Smanjenje rezerviranja za </w:t>
            </w:r>
            <w:r w:rsidR="00726C85" w:rsidRPr="001567C8">
              <w:rPr>
                <w:rFonts w:ascii="Calibri" w:hAnsi="Calibri" w:cs="Calibri"/>
                <w:color w:val="000000"/>
                <w:sz w:val="22"/>
                <w:szCs w:val="22"/>
                <w:lang w:val="hr-HR" w:eastAsia="hr-HR"/>
              </w:rPr>
              <w:t>očekivane</w:t>
            </w:r>
            <w:r w:rsidRPr="001567C8">
              <w:rPr>
                <w:rFonts w:ascii="Calibri" w:hAnsi="Calibri" w:cs="Calibri"/>
                <w:color w:val="000000"/>
                <w:sz w:val="22"/>
                <w:szCs w:val="22"/>
                <w:lang w:val="hr-HR" w:eastAsia="hr-HR"/>
              </w:rPr>
              <w:t xml:space="preserve"> gubitke po kreditima financijskim institucijama</w:t>
            </w:r>
          </w:p>
        </w:tc>
        <w:tc>
          <w:tcPr>
            <w:tcW w:w="1550" w:type="dxa"/>
            <w:tcBorders>
              <w:top w:val="nil"/>
              <w:left w:val="nil"/>
              <w:bottom w:val="single" w:sz="4" w:space="0" w:color="auto"/>
              <w:right w:val="nil"/>
            </w:tcBorders>
            <w:shd w:val="clear" w:color="auto" w:fill="auto"/>
            <w:vAlign w:val="bottom"/>
            <w:hideMark/>
          </w:tcPr>
          <w:p w:rsidR="002D1D34" w:rsidRPr="001567C8" w:rsidRDefault="002D1D34" w:rsidP="00441617">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(131.795)</w:t>
            </w:r>
          </w:p>
        </w:tc>
      </w:tr>
      <w:tr w:rsidR="00DF4478" w:rsidRPr="001567C8" w:rsidTr="00CD3A2D">
        <w:trPr>
          <w:trHeight w:val="318"/>
        </w:trPr>
        <w:tc>
          <w:tcPr>
            <w:tcW w:w="7727" w:type="dxa"/>
            <w:tcBorders>
              <w:top w:val="nil"/>
              <w:left w:val="nil"/>
              <w:bottom w:val="nil"/>
              <w:right w:val="nil"/>
            </w:tcBorders>
            <w:shd w:val="clear" w:color="auto" w:fill="auto"/>
            <w:vAlign w:val="center"/>
          </w:tcPr>
          <w:p w:rsidR="00DF4478" w:rsidRPr="001567C8" w:rsidRDefault="00DF4478" w:rsidP="00DF4478">
            <w:pPr>
              <w:rPr>
                <w:rFonts w:ascii="Calibri" w:hAnsi="Calibri" w:cs="Calibri"/>
                <w:color w:val="000000"/>
                <w:sz w:val="22"/>
                <w:szCs w:val="22"/>
                <w:lang w:val="hr-HR" w:eastAsia="hr-HR"/>
              </w:rPr>
            </w:pPr>
            <w:r w:rsidRPr="001567C8">
              <w:rPr>
                <w:rFonts w:ascii="Calibri" w:hAnsi="Calibri" w:cs="Calibri"/>
                <w:i/>
                <w:color w:val="000000"/>
                <w:sz w:val="22"/>
                <w:szCs w:val="22"/>
                <w:lang w:val="hr-HR" w:eastAsia="hr-HR"/>
              </w:rPr>
              <w:t>Ukupno kroz dobit ili gubitak (bilješka 11)</w:t>
            </w:r>
          </w:p>
        </w:tc>
        <w:tc>
          <w:tcPr>
            <w:tcW w:w="1550" w:type="dxa"/>
            <w:tcBorders>
              <w:top w:val="single" w:sz="4" w:space="0" w:color="auto"/>
              <w:left w:val="nil"/>
              <w:bottom w:val="single" w:sz="4" w:space="0" w:color="auto"/>
              <w:right w:val="nil"/>
            </w:tcBorders>
            <w:shd w:val="clear" w:color="auto" w:fill="auto"/>
            <w:vAlign w:val="center"/>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i/>
                <w:color w:val="000000"/>
                <w:sz w:val="22"/>
                <w:szCs w:val="22"/>
                <w:lang w:val="hr-HR" w:eastAsia="hr-HR"/>
              </w:rPr>
              <w:t xml:space="preserve">       (123.846)</w:t>
            </w:r>
          </w:p>
        </w:tc>
      </w:tr>
      <w:tr w:rsidR="00DF4478" w:rsidRPr="001567C8" w:rsidTr="00CD3A2D">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Neto gubitak od tečajnih razlika po rezerviranjima za očekivane gubitke</w:t>
            </w:r>
          </w:p>
        </w:tc>
        <w:tc>
          <w:tcPr>
            <w:tcW w:w="1550" w:type="dxa"/>
            <w:tcBorders>
              <w:top w:val="single" w:sz="4" w:space="0" w:color="auto"/>
              <w:left w:val="nil"/>
              <w:bottom w:val="nil"/>
              <w:right w:val="nil"/>
            </w:tcBorders>
            <w:shd w:val="clear" w:color="auto" w:fill="auto"/>
            <w:vAlign w:val="center"/>
            <w:hideMark/>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(1.438)</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Preuzimanje nekretnina</w:t>
            </w:r>
          </w:p>
        </w:tc>
        <w:tc>
          <w:tcPr>
            <w:tcW w:w="1550" w:type="dxa"/>
            <w:tcBorders>
              <w:top w:val="nil"/>
              <w:left w:val="nil"/>
              <w:bottom w:val="nil"/>
              <w:right w:val="nil"/>
            </w:tcBorders>
            <w:shd w:val="clear" w:color="auto" w:fill="auto"/>
            <w:vAlign w:val="center"/>
            <w:hideMark/>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(1.105)</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Donos sa kredita ostalim korisnicima</w:t>
            </w:r>
          </w:p>
        </w:tc>
        <w:tc>
          <w:tcPr>
            <w:tcW w:w="1550" w:type="dxa"/>
            <w:tcBorders>
              <w:top w:val="nil"/>
              <w:left w:val="nil"/>
              <w:bottom w:val="nil"/>
              <w:right w:val="nil"/>
            </w:tcBorders>
            <w:shd w:val="clear" w:color="auto" w:fill="auto"/>
            <w:vAlign w:val="center"/>
            <w:hideMark/>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998 </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b/>
                <w:color w:val="000000"/>
                <w:sz w:val="22"/>
                <w:szCs w:val="22"/>
                <w:lang w:val="hr-HR" w:eastAsia="hr-HR"/>
              </w:rPr>
            </w:pPr>
            <w:r w:rsidRPr="001567C8">
              <w:rPr>
                <w:rFonts w:ascii="Calibri" w:hAnsi="Calibri" w:cs="Calibri"/>
                <w:b/>
                <w:color w:val="000000"/>
                <w:sz w:val="22"/>
                <w:szCs w:val="22"/>
                <w:lang w:val="hr-HR" w:eastAsia="hr-HR"/>
              </w:rPr>
              <w:t>Stanje 31. prosinca 2017. godine</w:t>
            </w:r>
          </w:p>
        </w:tc>
        <w:tc>
          <w:tcPr>
            <w:tcW w:w="1550" w:type="dxa"/>
            <w:tcBorders>
              <w:top w:val="single" w:sz="4" w:space="0" w:color="auto"/>
              <w:left w:val="nil"/>
              <w:bottom w:val="single" w:sz="12" w:space="0" w:color="auto"/>
              <w:right w:val="nil"/>
            </w:tcBorders>
            <w:shd w:val="clear" w:color="auto" w:fill="auto"/>
            <w:vAlign w:val="center"/>
            <w:hideMark/>
          </w:tcPr>
          <w:p w:rsidR="00DF4478" w:rsidRPr="001567C8" w:rsidRDefault="00DF4478" w:rsidP="00DF4478">
            <w:pPr>
              <w:jc w:val="right"/>
              <w:rPr>
                <w:rFonts w:ascii="Calibri" w:hAnsi="Calibri" w:cs="Calibri"/>
                <w:b/>
                <w:bCs/>
                <w:color w:val="000000"/>
                <w:sz w:val="22"/>
                <w:szCs w:val="22"/>
                <w:lang w:val="hr-HR" w:eastAsia="hr-HR"/>
              </w:rPr>
            </w:pPr>
            <w:r w:rsidRPr="001567C8">
              <w:rPr>
                <w:rFonts w:ascii="Calibri" w:hAnsi="Calibri" w:cs="Calibri"/>
                <w:b/>
                <w:bCs/>
                <w:color w:val="000000"/>
                <w:sz w:val="22"/>
                <w:szCs w:val="22"/>
                <w:lang w:val="hr-HR" w:eastAsia="hr-HR"/>
              </w:rPr>
              <w:t xml:space="preserve">      237.926 </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color w:val="FF0000"/>
                <w:sz w:val="22"/>
                <w:szCs w:val="22"/>
                <w:lang w:val="hr-HR" w:eastAsia="hr-HR"/>
              </w:rPr>
            </w:pPr>
            <w:r w:rsidRPr="001567C8">
              <w:rPr>
                <w:rFonts w:ascii="Calibri" w:hAnsi="Calibri" w:cs="Calibri"/>
                <w:sz w:val="22"/>
                <w:szCs w:val="22"/>
                <w:lang w:val="hr-HR" w:eastAsia="hr-HR"/>
              </w:rPr>
              <w:t>Učinak MSFI-ja 9</w:t>
            </w:r>
            <w:r w:rsidRPr="001567C8">
              <w:rPr>
                <w:rFonts w:ascii="Calibri" w:hAnsi="Calibri" w:cs="Calibri"/>
                <w:color w:val="FF0000"/>
                <w:sz w:val="22"/>
                <w:szCs w:val="22"/>
                <w:lang w:val="hr-HR" w:eastAsia="hr-HR"/>
              </w:rPr>
              <w:t xml:space="preserve"> </w:t>
            </w:r>
            <w:r w:rsidRPr="001567C8">
              <w:rPr>
                <w:rFonts w:ascii="Calibri" w:hAnsi="Calibri" w:cs="Calibri"/>
                <w:sz w:val="22"/>
                <w:szCs w:val="22"/>
                <w:lang w:val="hr-HR" w:eastAsia="hr-HR"/>
              </w:rPr>
              <w:t>(bilješka 5)</w:t>
            </w:r>
          </w:p>
        </w:tc>
        <w:tc>
          <w:tcPr>
            <w:tcW w:w="1550" w:type="dxa"/>
            <w:tcBorders>
              <w:top w:val="single" w:sz="12" w:space="0" w:color="auto"/>
              <w:left w:val="nil"/>
              <w:bottom w:val="single" w:sz="4" w:space="0" w:color="auto"/>
              <w:right w:val="nil"/>
            </w:tcBorders>
            <w:shd w:val="clear" w:color="auto" w:fill="auto"/>
            <w:vAlign w:val="center"/>
            <w:hideMark/>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(106.906)</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b/>
                <w:bCs/>
                <w:color w:val="000000"/>
                <w:sz w:val="22"/>
                <w:szCs w:val="22"/>
                <w:lang w:val="hr-HR" w:eastAsia="hr-HR"/>
              </w:rPr>
            </w:pPr>
            <w:r w:rsidRPr="001567C8">
              <w:rPr>
                <w:rFonts w:ascii="Calibri" w:hAnsi="Calibri" w:cs="Calibri"/>
                <w:b/>
                <w:bCs/>
                <w:color w:val="000000"/>
                <w:sz w:val="22"/>
                <w:szCs w:val="22"/>
                <w:lang w:val="hr-HR" w:eastAsia="hr-HR"/>
              </w:rPr>
              <w:t>Stanje 1. siječnja 2018. godine</w:t>
            </w:r>
          </w:p>
        </w:tc>
        <w:tc>
          <w:tcPr>
            <w:tcW w:w="1550" w:type="dxa"/>
            <w:tcBorders>
              <w:top w:val="single" w:sz="4" w:space="0" w:color="auto"/>
              <w:left w:val="nil"/>
              <w:bottom w:val="single" w:sz="12" w:space="0" w:color="auto"/>
              <w:right w:val="nil"/>
            </w:tcBorders>
            <w:shd w:val="clear" w:color="auto" w:fill="auto"/>
            <w:vAlign w:val="center"/>
            <w:hideMark/>
          </w:tcPr>
          <w:p w:rsidR="00DF4478" w:rsidRPr="001567C8" w:rsidRDefault="00DF4478" w:rsidP="00DF4478">
            <w:pPr>
              <w:jc w:val="right"/>
              <w:rPr>
                <w:rFonts w:ascii="Calibri" w:hAnsi="Calibri" w:cs="Calibri"/>
                <w:b/>
                <w:bCs/>
                <w:color w:val="000000"/>
                <w:sz w:val="22"/>
                <w:szCs w:val="22"/>
                <w:lang w:val="hr-HR" w:eastAsia="hr-HR"/>
              </w:rPr>
            </w:pPr>
            <w:r w:rsidRPr="001567C8">
              <w:rPr>
                <w:rFonts w:ascii="Calibri" w:hAnsi="Calibri" w:cs="Calibri"/>
                <w:b/>
                <w:bCs/>
                <w:color w:val="000000"/>
                <w:sz w:val="22"/>
                <w:szCs w:val="22"/>
                <w:lang w:val="hr-HR" w:eastAsia="hr-HR"/>
              </w:rPr>
              <w:t xml:space="preserve">     131.020 </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Povećanje rezerviranja za očekivane gubitke po kreditima financijskim institucijama</w:t>
            </w:r>
          </w:p>
        </w:tc>
        <w:tc>
          <w:tcPr>
            <w:tcW w:w="1550" w:type="dxa"/>
            <w:tcBorders>
              <w:top w:val="single" w:sz="12" w:space="0" w:color="auto"/>
              <w:left w:val="nil"/>
              <w:bottom w:val="nil"/>
              <w:right w:val="nil"/>
            </w:tcBorders>
            <w:shd w:val="clear" w:color="auto" w:fill="auto"/>
            <w:vAlign w:val="bottom"/>
            <w:hideMark/>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45.560 </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Smanjenje rezerviranja za očekivane gubitke po kreditima financijskim institucijama</w:t>
            </w:r>
          </w:p>
        </w:tc>
        <w:tc>
          <w:tcPr>
            <w:tcW w:w="1550" w:type="dxa"/>
            <w:tcBorders>
              <w:top w:val="nil"/>
              <w:left w:val="nil"/>
              <w:bottom w:val="nil"/>
              <w:right w:val="nil"/>
            </w:tcBorders>
            <w:shd w:val="clear" w:color="auto" w:fill="auto"/>
            <w:vAlign w:val="bottom"/>
            <w:hideMark/>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(58.709)</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i/>
                <w:color w:val="000000"/>
                <w:sz w:val="22"/>
                <w:szCs w:val="22"/>
                <w:lang w:val="hr-HR" w:eastAsia="hr-HR"/>
              </w:rPr>
            </w:pPr>
            <w:r w:rsidRPr="001567C8">
              <w:rPr>
                <w:rFonts w:ascii="Calibri" w:hAnsi="Calibri" w:cs="Calibri"/>
                <w:i/>
                <w:color w:val="000000"/>
                <w:sz w:val="22"/>
                <w:szCs w:val="22"/>
                <w:lang w:val="hr-HR" w:eastAsia="hr-HR"/>
              </w:rPr>
              <w:t>Ukupno kroz dobit ili gubitak (bilješka 11)</w:t>
            </w:r>
          </w:p>
        </w:tc>
        <w:tc>
          <w:tcPr>
            <w:tcW w:w="1550" w:type="dxa"/>
            <w:tcBorders>
              <w:top w:val="single" w:sz="4" w:space="0" w:color="auto"/>
              <w:left w:val="nil"/>
              <w:bottom w:val="single" w:sz="4" w:space="0" w:color="auto"/>
              <w:right w:val="nil"/>
            </w:tcBorders>
            <w:shd w:val="clear" w:color="auto" w:fill="auto"/>
            <w:vAlign w:val="center"/>
            <w:hideMark/>
          </w:tcPr>
          <w:p w:rsidR="00DF4478" w:rsidRPr="001567C8" w:rsidRDefault="00DF4478" w:rsidP="00DF4478">
            <w:pPr>
              <w:jc w:val="right"/>
              <w:rPr>
                <w:rFonts w:ascii="Calibri" w:hAnsi="Calibri" w:cs="Calibri"/>
                <w:i/>
                <w:color w:val="000000"/>
                <w:sz w:val="22"/>
                <w:szCs w:val="22"/>
                <w:lang w:val="hr-HR" w:eastAsia="hr-HR"/>
              </w:rPr>
            </w:pPr>
            <w:r w:rsidRPr="001567C8">
              <w:rPr>
                <w:rFonts w:ascii="Calibri" w:hAnsi="Calibri" w:cs="Calibri"/>
                <w:i/>
                <w:color w:val="000000"/>
                <w:sz w:val="22"/>
                <w:szCs w:val="22"/>
                <w:lang w:val="hr-HR" w:eastAsia="hr-HR"/>
              </w:rPr>
              <w:t xml:space="preserve">       (13.149)</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Neto gubitak od tečajnih razlika po rezerviranjima za očekivane gubitke </w:t>
            </w:r>
          </w:p>
        </w:tc>
        <w:tc>
          <w:tcPr>
            <w:tcW w:w="1550" w:type="dxa"/>
            <w:tcBorders>
              <w:top w:val="nil"/>
              <w:left w:val="nil"/>
              <w:bottom w:val="nil"/>
              <w:right w:val="nil"/>
            </w:tcBorders>
            <w:shd w:val="clear" w:color="auto" w:fill="auto"/>
            <w:vAlign w:val="center"/>
            <w:hideMark/>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(964)</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Prijenos na kredite ostalim korisnicima</w:t>
            </w:r>
          </w:p>
        </w:tc>
        <w:tc>
          <w:tcPr>
            <w:tcW w:w="1550" w:type="dxa"/>
            <w:tcBorders>
              <w:top w:val="nil"/>
              <w:left w:val="nil"/>
              <w:bottom w:val="nil"/>
              <w:right w:val="nil"/>
            </w:tcBorders>
            <w:shd w:val="clear" w:color="auto" w:fill="auto"/>
            <w:vAlign w:val="center"/>
            <w:hideMark/>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(28)</w:t>
            </w:r>
          </w:p>
        </w:tc>
      </w:tr>
      <w:tr w:rsidR="00DF4478" w:rsidRPr="001567C8" w:rsidTr="0011726C">
        <w:trPr>
          <w:trHeight w:val="318"/>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Unwinding – promjena uslijed proteka vremena</w:t>
            </w:r>
          </w:p>
        </w:tc>
        <w:tc>
          <w:tcPr>
            <w:tcW w:w="1550" w:type="dxa"/>
            <w:tcBorders>
              <w:top w:val="nil"/>
              <w:left w:val="nil"/>
              <w:bottom w:val="nil"/>
              <w:right w:val="nil"/>
            </w:tcBorders>
            <w:shd w:val="clear" w:color="auto" w:fill="auto"/>
            <w:vAlign w:val="center"/>
            <w:hideMark/>
          </w:tcPr>
          <w:p w:rsidR="00DF4478" w:rsidRPr="001567C8" w:rsidRDefault="00DF4478" w:rsidP="00DF4478">
            <w:pPr>
              <w:jc w:val="right"/>
              <w:rPr>
                <w:rFonts w:ascii="Calibri" w:hAnsi="Calibri" w:cs="Calibri"/>
                <w:color w:val="000000"/>
                <w:sz w:val="22"/>
                <w:szCs w:val="22"/>
                <w:lang w:val="hr-HR" w:eastAsia="hr-HR"/>
              </w:rPr>
            </w:pPr>
            <w:r w:rsidRPr="001567C8">
              <w:rPr>
                <w:rFonts w:ascii="Calibri" w:hAnsi="Calibri" w:cs="Calibri"/>
                <w:color w:val="000000"/>
                <w:sz w:val="22"/>
                <w:szCs w:val="22"/>
                <w:lang w:val="hr-HR" w:eastAsia="hr-HR"/>
              </w:rPr>
              <w:t xml:space="preserve">         275 </w:t>
            </w:r>
          </w:p>
        </w:tc>
      </w:tr>
      <w:tr w:rsidR="00DF4478" w:rsidRPr="001567C8" w:rsidTr="0011726C">
        <w:trPr>
          <w:trHeight w:val="299"/>
        </w:trPr>
        <w:tc>
          <w:tcPr>
            <w:tcW w:w="7727" w:type="dxa"/>
            <w:tcBorders>
              <w:top w:val="nil"/>
              <w:left w:val="nil"/>
              <w:bottom w:val="nil"/>
              <w:right w:val="nil"/>
            </w:tcBorders>
            <w:shd w:val="clear" w:color="auto" w:fill="auto"/>
            <w:vAlign w:val="center"/>
            <w:hideMark/>
          </w:tcPr>
          <w:p w:rsidR="00DF4478" w:rsidRPr="001567C8" w:rsidRDefault="00DF4478" w:rsidP="00DF4478">
            <w:pPr>
              <w:rPr>
                <w:rFonts w:ascii="Calibri" w:hAnsi="Calibri" w:cs="Calibri"/>
                <w:b/>
                <w:bCs/>
                <w:color w:val="000000"/>
                <w:sz w:val="22"/>
                <w:szCs w:val="22"/>
                <w:lang w:val="hr-HR" w:eastAsia="hr-HR"/>
              </w:rPr>
            </w:pPr>
            <w:r w:rsidRPr="001567C8">
              <w:rPr>
                <w:rFonts w:ascii="Calibri" w:hAnsi="Calibri" w:cs="Calibri"/>
                <w:b/>
                <w:bCs/>
                <w:color w:val="000000"/>
                <w:sz w:val="22"/>
                <w:szCs w:val="22"/>
                <w:lang w:val="hr-HR" w:eastAsia="hr-HR"/>
              </w:rPr>
              <w:t>Stanje 31. prosinca 2018. godine</w:t>
            </w:r>
          </w:p>
        </w:tc>
        <w:tc>
          <w:tcPr>
            <w:tcW w:w="1550" w:type="dxa"/>
            <w:tcBorders>
              <w:top w:val="single" w:sz="4" w:space="0" w:color="auto"/>
              <w:left w:val="nil"/>
              <w:bottom w:val="single" w:sz="12" w:space="0" w:color="auto"/>
              <w:right w:val="nil"/>
            </w:tcBorders>
            <w:shd w:val="clear" w:color="auto" w:fill="auto"/>
            <w:vAlign w:val="center"/>
            <w:hideMark/>
          </w:tcPr>
          <w:p w:rsidR="00DF4478" w:rsidRPr="001567C8" w:rsidRDefault="00DF4478" w:rsidP="00DF4478">
            <w:pPr>
              <w:jc w:val="right"/>
              <w:rPr>
                <w:rFonts w:ascii="Calibri" w:hAnsi="Calibri" w:cs="Calibri"/>
                <w:b/>
                <w:bCs/>
                <w:color w:val="000000"/>
                <w:sz w:val="22"/>
                <w:szCs w:val="22"/>
                <w:lang w:val="hr-HR" w:eastAsia="hr-HR"/>
              </w:rPr>
            </w:pPr>
            <w:r w:rsidRPr="001567C8">
              <w:rPr>
                <w:rFonts w:ascii="Calibri" w:hAnsi="Calibri" w:cs="Calibri"/>
                <w:b/>
                <w:bCs/>
                <w:color w:val="000000"/>
                <w:sz w:val="22"/>
                <w:szCs w:val="22"/>
                <w:lang w:val="hr-HR" w:eastAsia="hr-HR"/>
              </w:rPr>
              <w:t xml:space="preserve">     117.154 </w:t>
            </w:r>
          </w:p>
        </w:tc>
      </w:tr>
    </w:tbl>
    <w:p w:rsidR="00B575D6" w:rsidRPr="001567C8" w:rsidRDefault="00B575D6">
      <w:pPr>
        <w:tabs>
          <w:tab w:val="left" w:pos="-720"/>
        </w:tabs>
        <w:suppressAutoHyphens/>
        <w:rPr>
          <w:rFonts w:asciiTheme="minorHAnsi" w:hAnsiTheme="minorHAnsi" w:cs="Arial"/>
          <w:sz w:val="22"/>
          <w:szCs w:val="22"/>
          <w:lang w:val="hr-HR"/>
        </w:rPr>
      </w:pPr>
    </w:p>
    <w:p w:rsidR="006D0890" w:rsidRPr="001567C8" w:rsidRDefault="003230A2" w:rsidP="003C6BA3">
      <w:pPr>
        <w:tabs>
          <w:tab w:val="left" w:pos="-720"/>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Neto gubitak od tečajnih razlika po rezerviranjima za očekivane gubitke prikazan je unutar Neto prihoda/(rashoda) od financijskih aktivnosti u Računu dobiti i gubitka</w:t>
      </w:r>
      <w:r w:rsidR="007B3327" w:rsidRPr="001567C8">
        <w:rPr>
          <w:rFonts w:asciiTheme="minorHAnsi" w:hAnsiTheme="minorHAnsi" w:cs="Arial"/>
          <w:sz w:val="22"/>
          <w:szCs w:val="22"/>
          <w:lang w:val="hr-HR"/>
        </w:rPr>
        <w:t>.</w:t>
      </w:r>
    </w:p>
    <w:p w:rsidR="006D0890" w:rsidRPr="001567C8" w:rsidRDefault="006D0890">
      <w:pPr>
        <w:pStyle w:val="T1"/>
        <w:rPr>
          <w:rFonts w:asciiTheme="minorHAnsi" w:hAnsiTheme="minorHAnsi" w:cs="Arial"/>
          <w:sz w:val="22"/>
          <w:szCs w:val="22"/>
          <w:lang w:val="hr-HR"/>
        </w:rPr>
        <w:sectPr w:rsidR="006D0890" w:rsidRPr="001567C8" w:rsidSect="000D6913">
          <w:pgSz w:w="11907" w:h="16840" w:code="9"/>
          <w:pgMar w:top="1418" w:right="1134" w:bottom="1134" w:left="1418" w:header="851" w:footer="851" w:gutter="0"/>
          <w:cols w:space="720"/>
          <w:noEndnote/>
        </w:sectPr>
      </w:pPr>
    </w:p>
    <w:p w:rsidR="00E51223" w:rsidRPr="001567C8" w:rsidRDefault="00E51223" w:rsidP="00E51223">
      <w:pPr>
        <w:pStyle w:val="T1"/>
        <w:spacing w:before="0" w:after="0" w:line="240" w:lineRule="auto"/>
        <w:rPr>
          <w:rFonts w:asciiTheme="minorHAnsi" w:hAnsiTheme="minorHAnsi" w:cs="Arial"/>
          <w:sz w:val="22"/>
          <w:szCs w:val="22"/>
          <w:lang w:val="hr-HR"/>
        </w:rPr>
      </w:pPr>
    </w:p>
    <w:p w:rsidR="006D0890" w:rsidRPr="001567C8" w:rsidRDefault="006D0890" w:rsidP="00E51223">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5</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 xml:space="preserve">Krediti </w:t>
      </w:r>
      <w:r w:rsidR="0036001B" w:rsidRPr="001567C8">
        <w:rPr>
          <w:rFonts w:asciiTheme="minorHAnsi" w:hAnsiTheme="minorHAnsi" w:cs="Arial"/>
          <w:sz w:val="22"/>
          <w:szCs w:val="22"/>
          <w:lang w:val="hr-HR"/>
        </w:rPr>
        <w:t>financijskim institucijama</w:t>
      </w:r>
      <w:r w:rsidRPr="001567C8">
        <w:rPr>
          <w:rFonts w:asciiTheme="minorHAnsi" w:hAnsiTheme="minorHAnsi" w:cs="Arial"/>
          <w:sz w:val="22"/>
          <w:szCs w:val="22"/>
          <w:lang w:val="hr-HR"/>
        </w:rPr>
        <w:t xml:space="preserve"> (nastavak)</w:t>
      </w:r>
    </w:p>
    <w:p w:rsidR="00E51223" w:rsidRPr="001567C8" w:rsidRDefault="00E51223" w:rsidP="00046014">
      <w:pPr>
        <w:pStyle w:val="T1"/>
        <w:spacing w:before="0" w:after="0" w:line="240" w:lineRule="auto"/>
        <w:rPr>
          <w:rFonts w:asciiTheme="minorHAnsi" w:hAnsiTheme="minorHAnsi" w:cs="Arial"/>
          <w:b w:val="0"/>
          <w:bCs w:val="0"/>
          <w:sz w:val="22"/>
          <w:szCs w:val="22"/>
          <w:lang w:val="hr-HR"/>
        </w:rPr>
      </w:pPr>
    </w:p>
    <w:p w:rsidR="006D0890" w:rsidRPr="001567C8" w:rsidRDefault="006D0890" w:rsidP="00E51223">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Krediti </w:t>
      </w:r>
      <w:r w:rsidR="0036001B" w:rsidRPr="001567C8">
        <w:rPr>
          <w:rFonts w:asciiTheme="minorHAnsi" w:hAnsiTheme="minorHAnsi" w:cs="Arial"/>
          <w:b w:val="0"/>
          <w:bCs w:val="0"/>
          <w:sz w:val="22"/>
          <w:szCs w:val="22"/>
          <w:lang w:val="hr-HR"/>
        </w:rPr>
        <w:t>financijskim institucijama</w:t>
      </w:r>
      <w:r w:rsidR="00556292" w:rsidRPr="001567C8">
        <w:rPr>
          <w:rFonts w:asciiTheme="minorHAnsi" w:hAnsiTheme="minorHAnsi" w:cs="Arial"/>
          <w:b w:val="0"/>
          <w:bCs w:val="0"/>
          <w:sz w:val="22"/>
          <w:szCs w:val="22"/>
          <w:lang w:val="hr-HR"/>
        </w:rPr>
        <w:t>,</w:t>
      </w:r>
      <w:r w:rsidRPr="001567C8">
        <w:rPr>
          <w:rFonts w:asciiTheme="minorHAnsi" w:hAnsiTheme="minorHAnsi" w:cs="Arial"/>
          <w:b w:val="0"/>
          <w:bCs w:val="0"/>
          <w:sz w:val="22"/>
          <w:szCs w:val="22"/>
          <w:lang w:val="hr-HR"/>
        </w:rPr>
        <w:t xml:space="preserve"> umanjeni za rezerviranja za </w:t>
      </w:r>
      <w:r w:rsidR="00726C85" w:rsidRPr="001567C8">
        <w:rPr>
          <w:rFonts w:asciiTheme="minorHAnsi" w:hAnsiTheme="minorHAnsi" w:cs="Arial"/>
          <w:b w:val="0"/>
          <w:bCs w:val="0"/>
          <w:sz w:val="22"/>
          <w:szCs w:val="22"/>
          <w:lang w:val="hr-HR"/>
        </w:rPr>
        <w:t xml:space="preserve">očekivane </w:t>
      </w:r>
      <w:r w:rsidRPr="001567C8">
        <w:rPr>
          <w:rFonts w:asciiTheme="minorHAnsi" w:hAnsiTheme="minorHAnsi" w:cs="Arial"/>
          <w:b w:val="0"/>
          <w:bCs w:val="0"/>
          <w:sz w:val="22"/>
          <w:szCs w:val="22"/>
          <w:lang w:val="hr-HR"/>
        </w:rPr>
        <w:t>gubitke</w:t>
      </w:r>
      <w:r w:rsidR="00556292" w:rsidRPr="001567C8">
        <w:rPr>
          <w:rFonts w:asciiTheme="minorHAnsi" w:hAnsiTheme="minorHAnsi" w:cs="Arial"/>
          <w:b w:val="0"/>
          <w:bCs w:val="0"/>
          <w:sz w:val="22"/>
          <w:szCs w:val="22"/>
          <w:lang w:val="hr-HR"/>
        </w:rPr>
        <w:t>,</w:t>
      </w:r>
      <w:r w:rsidRPr="001567C8">
        <w:rPr>
          <w:rFonts w:asciiTheme="minorHAnsi" w:hAnsiTheme="minorHAnsi" w:cs="Arial"/>
          <w:b w:val="0"/>
          <w:bCs w:val="0"/>
          <w:sz w:val="22"/>
          <w:szCs w:val="22"/>
          <w:lang w:val="hr-HR"/>
        </w:rPr>
        <w:t xml:space="preserve"> prema namjeni kreditnih programa dani su kako slijedi:</w:t>
      </w:r>
    </w:p>
    <w:tbl>
      <w:tblPr>
        <w:tblW w:w="5029" w:type="pct"/>
        <w:tblLayout w:type="fixed"/>
        <w:tblCellMar>
          <w:left w:w="107" w:type="dxa"/>
          <w:right w:w="107" w:type="dxa"/>
        </w:tblCellMar>
        <w:tblLook w:val="0000" w:firstRow="0" w:lastRow="0" w:firstColumn="0" w:lastColumn="0" w:noHBand="0" w:noVBand="0"/>
      </w:tblPr>
      <w:tblGrid>
        <w:gridCol w:w="5983"/>
        <w:gridCol w:w="1712"/>
        <w:gridCol w:w="1714"/>
      </w:tblGrid>
      <w:tr w:rsidR="002D1D34" w:rsidRPr="001567C8" w:rsidTr="0011726C">
        <w:trPr>
          <w:trHeight w:val="111"/>
        </w:trPr>
        <w:tc>
          <w:tcPr>
            <w:tcW w:w="3179" w:type="pct"/>
          </w:tcPr>
          <w:p w:rsidR="002D1D34" w:rsidRPr="001567C8" w:rsidRDefault="002D1D34">
            <w:pPr>
              <w:tabs>
                <w:tab w:val="left" w:pos="-720"/>
              </w:tabs>
              <w:suppressAutoHyphens/>
              <w:ind w:firstLine="35"/>
              <w:rPr>
                <w:rFonts w:asciiTheme="minorHAnsi" w:hAnsiTheme="minorHAnsi" w:cs="Arial"/>
                <w:spacing w:val="-3"/>
                <w:sz w:val="22"/>
                <w:szCs w:val="22"/>
                <w:lang w:val="hr-HR"/>
              </w:rPr>
            </w:pPr>
          </w:p>
        </w:tc>
        <w:tc>
          <w:tcPr>
            <w:tcW w:w="1821" w:type="pct"/>
            <w:gridSpan w:val="2"/>
            <w:vAlign w:val="bottom"/>
          </w:tcPr>
          <w:p w:rsidR="002D1D34" w:rsidRPr="001567C8" w:rsidRDefault="002D1D34" w:rsidP="00E00220">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r w:rsidR="0011726C" w:rsidRPr="001567C8">
              <w:rPr>
                <w:rFonts w:asciiTheme="minorHAnsi" w:hAnsiTheme="minorHAnsi" w:cs="Arial"/>
                <w:sz w:val="22"/>
                <w:szCs w:val="22"/>
                <w:lang w:val="hr-HR"/>
              </w:rPr>
              <w:t xml:space="preserve"> i Banka</w:t>
            </w:r>
          </w:p>
        </w:tc>
      </w:tr>
      <w:tr w:rsidR="002D1D34" w:rsidRPr="001567C8" w:rsidTr="0011726C">
        <w:trPr>
          <w:trHeight w:val="111"/>
        </w:trPr>
        <w:tc>
          <w:tcPr>
            <w:tcW w:w="3179" w:type="pct"/>
          </w:tcPr>
          <w:p w:rsidR="002D1D34" w:rsidRPr="001567C8" w:rsidRDefault="002D1D34" w:rsidP="0079360D">
            <w:pPr>
              <w:tabs>
                <w:tab w:val="left" w:pos="-720"/>
              </w:tabs>
              <w:suppressAutoHyphens/>
              <w:ind w:firstLine="35"/>
              <w:rPr>
                <w:rFonts w:asciiTheme="minorHAnsi" w:hAnsiTheme="minorHAnsi" w:cs="Arial"/>
                <w:spacing w:val="-3"/>
                <w:sz w:val="22"/>
                <w:szCs w:val="22"/>
                <w:lang w:val="hr-HR"/>
              </w:rPr>
            </w:pPr>
          </w:p>
        </w:tc>
        <w:tc>
          <w:tcPr>
            <w:tcW w:w="910" w:type="pct"/>
            <w:vAlign w:val="bottom"/>
          </w:tcPr>
          <w:p w:rsidR="002D1D34" w:rsidRPr="001567C8" w:rsidRDefault="0001590F" w:rsidP="0079360D">
            <w:pPr>
              <w:pStyle w:val="TH"/>
              <w:jc w:val="right"/>
              <w:rPr>
                <w:rFonts w:asciiTheme="minorHAnsi" w:hAnsiTheme="minorHAnsi" w:cs="Arial"/>
                <w:sz w:val="22"/>
                <w:szCs w:val="22"/>
                <w:lang w:val="hr-HR"/>
              </w:rPr>
            </w:pPr>
            <w:r w:rsidRPr="0001590F">
              <w:rPr>
                <w:rFonts w:asciiTheme="minorHAnsi" w:hAnsiTheme="minorHAnsi" w:cs="Arial"/>
                <w:sz w:val="22"/>
                <w:szCs w:val="22"/>
                <w:lang w:val="hr-HR"/>
              </w:rPr>
              <w:t xml:space="preserve">31. prosinca </w:t>
            </w:r>
            <w:r w:rsidR="002D1D34" w:rsidRPr="001567C8">
              <w:rPr>
                <w:rFonts w:asciiTheme="minorHAnsi" w:hAnsiTheme="minorHAnsi" w:cs="Arial"/>
                <w:sz w:val="22"/>
                <w:szCs w:val="22"/>
                <w:lang w:val="hr-HR"/>
              </w:rPr>
              <w:t>2018.</w:t>
            </w:r>
          </w:p>
        </w:tc>
        <w:tc>
          <w:tcPr>
            <w:tcW w:w="911" w:type="pct"/>
            <w:vAlign w:val="bottom"/>
          </w:tcPr>
          <w:p w:rsidR="002D1D34" w:rsidRPr="001567C8" w:rsidRDefault="0001590F" w:rsidP="0079360D">
            <w:pPr>
              <w:pStyle w:val="TH"/>
              <w:jc w:val="right"/>
              <w:rPr>
                <w:rFonts w:asciiTheme="minorHAnsi" w:hAnsiTheme="minorHAnsi" w:cs="Arial"/>
                <w:sz w:val="22"/>
                <w:szCs w:val="22"/>
                <w:lang w:val="hr-HR"/>
              </w:rPr>
            </w:pPr>
            <w:r w:rsidRPr="0001590F">
              <w:rPr>
                <w:rFonts w:asciiTheme="minorHAnsi" w:hAnsiTheme="minorHAnsi" w:cs="Arial"/>
                <w:sz w:val="22"/>
                <w:szCs w:val="22"/>
                <w:lang w:val="hr-HR"/>
              </w:rPr>
              <w:t xml:space="preserve">31. prosinca </w:t>
            </w:r>
            <w:r w:rsidR="002D1D34" w:rsidRPr="001567C8">
              <w:rPr>
                <w:rFonts w:asciiTheme="minorHAnsi" w:hAnsiTheme="minorHAnsi" w:cs="Arial"/>
                <w:sz w:val="22"/>
                <w:szCs w:val="22"/>
                <w:lang w:val="hr-HR"/>
              </w:rPr>
              <w:t>2017.</w:t>
            </w:r>
          </w:p>
        </w:tc>
      </w:tr>
      <w:tr w:rsidR="002D1D34" w:rsidRPr="001567C8" w:rsidTr="0011726C">
        <w:trPr>
          <w:trHeight w:val="104"/>
        </w:trPr>
        <w:tc>
          <w:tcPr>
            <w:tcW w:w="3179" w:type="pct"/>
          </w:tcPr>
          <w:p w:rsidR="002D1D34" w:rsidRPr="001567C8" w:rsidRDefault="002D1D34" w:rsidP="00D95A23">
            <w:pPr>
              <w:tabs>
                <w:tab w:val="left" w:pos="-720"/>
              </w:tabs>
              <w:suppressAutoHyphens/>
              <w:ind w:firstLine="35"/>
              <w:rPr>
                <w:rFonts w:asciiTheme="minorHAnsi" w:hAnsiTheme="minorHAnsi" w:cs="Arial"/>
                <w:spacing w:val="-3"/>
                <w:sz w:val="22"/>
                <w:szCs w:val="22"/>
                <w:lang w:val="hr-HR"/>
              </w:rPr>
            </w:pPr>
          </w:p>
        </w:tc>
        <w:tc>
          <w:tcPr>
            <w:tcW w:w="910" w:type="pct"/>
          </w:tcPr>
          <w:p w:rsidR="002D1D34" w:rsidRPr="001567C8" w:rsidRDefault="002D1D34" w:rsidP="00D95A23">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911" w:type="pct"/>
          </w:tcPr>
          <w:p w:rsidR="002D1D34" w:rsidRPr="001567C8" w:rsidRDefault="002D1D34" w:rsidP="00D95A23">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2D1D34" w:rsidRPr="001567C8" w:rsidTr="0011726C">
        <w:trPr>
          <w:trHeight w:val="87"/>
        </w:trPr>
        <w:tc>
          <w:tcPr>
            <w:tcW w:w="3179" w:type="pct"/>
          </w:tcPr>
          <w:p w:rsidR="002D1D34" w:rsidRPr="001567C8" w:rsidRDefault="002D1D34" w:rsidP="00D95A23">
            <w:pPr>
              <w:tabs>
                <w:tab w:val="left" w:pos="-720"/>
              </w:tabs>
              <w:suppressAutoHyphens/>
              <w:ind w:firstLine="35"/>
              <w:rPr>
                <w:rFonts w:asciiTheme="minorHAnsi" w:hAnsiTheme="minorHAnsi" w:cs="Arial"/>
                <w:spacing w:val="-3"/>
                <w:sz w:val="22"/>
                <w:szCs w:val="22"/>
                <w:lang w:val="hr-HR"/>
              </w:rPr>
            </w:pPr>
          </w:p>
        </w:tc>
        <w:tc>
          <w:tcPr>
            <w:tcW w:w="910" w:type="pct"/>
          </w:tcPr>
          <w:p w:rsidR="002D1D34" w:rsidRPr="001567C8" w:rsidRDefault="002D1D34" w:rsidP="00D95A23">
            <w:pPr>
              <w:tabs>
                <w:tab w:val="left" w:pos="-720"/>
              </w:tabs>
              <w:suppressAutoHyphens/>
              <w:jc w:val="right"/>
              <w:rPr>
                <w:rFonts w:asciiTheme="minorHAnsi" w:hAnsiTheme="minorHAnsi" w:cs="Arial"/>
                <w:b/>
                <w:spacing w:val="-3"/>
                <w:sz w:val="22"/>
                <w:szCs w:val="22"/>
                <w:lang w:val="hr-HR"/>
              </w:rPr>
            </w:pPr>
          </w:p>
        </w:tc>
        <w:tc>
          <w:tcPr>
            <w:tcW w:w="911" w:type="pct"/>
          </w:tcPr>
          <w:p w:rsidR="002D1D34" w:rsidRPr="001567C8" w:rsidRDefault="002D1D34" w:rsidP="00D95A23">
            <w:pPr>
              <w:tabs>
                <w:tab w:val="left" w:pos="-720"/>
              </w:tabs>
              <w:suppressAutoHyphens/>
              <w:jc w:val="right"/>
              <w:rPr>
                <w:rFonts w:asciiTheme="minorHAnsi" w:hAnsiTheme="minorHAnsi" w:cs="Arial"/>
                <w:b/>
                <w:spacing w:val="-3"/>
                <w:sz w:val="22"/>
                <w:szCs w:val="22"/>
                <w:lang w:val="hr-HR"/>
              </w:rPr>
            </w:pPr>
          </w:p>
        </w:tc>
      </w:tr>
      <w:tr w:rsidR="002D1D34" w:rsidRPr="001567C8" w:rsidTr="0011726C">
        <w:trPr>
          <w:trHeight w:val="387"/>
        </w:trPr>
        <w:tc>
          <w:tcPr>
            <w:tcW w:w="3179" w:type="pct"/>
            <w:vAlign w:val="center"/>
          </w:tcPr>
          <w:p w:rsidR="002D1D34" w:rsidRPr="001567C8" w:rsidRDefault="002D1D34" w:rsidP="002D1D34">
            <w:pPr>
              <w:pStyle w:val="TT"/>
              <w:rPr>
                <w:rFonts w:asciiTheme="minorHAnsi" w:hAnsiTheme="minorHAnsi" w:cs="Arial"/>
                <w:sz w:val="22"/>
                <w:szCs w:val="22"/>
                <w:lang w:val="hr-HR"/>
              </w:rPr>
            </w:pPr>
            <w:r w:rsidRPr="001567C8">
              <w:rPr>
                <w:rFonts w:asciiTheme="minorHAnsi" w:hAnsiTheme="minorHAnsi" w:cs="Arial"/>
                <w:sz w:val="22"/>
                <w:szCs w:val="22"/>
                <w:lang w:val="hr-HR"/>
              </w:rPr>
              <w:t>Program kreditiranja obnove i razvitka gospodarskih djelatnosti</w:t>
            </w:r>
          </w:p>
        </w:tc>
        <w:tc>
          <w:tcPr>
            <w:tcW w:w="910"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1.91</w:t>
            </w:r>
            <w:r w:rsidR="0067051A" w:rsidRPr="00CD3A2D">
              <w:rPr>
                <w:rFonts w:ascii="Calibri" w:hAnsi="Calibri" w:cs="Calibri"/>
                <w:color w:val="000000"/>
                <w:sz w:val="22"/>
                <w:szCs w:val="22"/>
                <w:lang w:val="hr-HR"/>
              </w:rPr>
              <w:t>5.895</w:t>
            </w:r>
          </w:p>
        </w:tc>
        <w:tc>
          <w:tcPr>
            <w:tcW w:w="911"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2.218.744</w:t>
            </w:r>
          </w:p>
        </w:tc>
      </w:tr>
      <w:tr w:rsidR="002D1D34" w:rsidRPr="001567C8" w:rsidTr="0011726C">
        <w:trPr>
          <w:trHeight w:val="387"/>
        </w:trPr>
        <w:tc>
          <w:tcPr>
            <w:tcW w:w="3179" w:type="pct"/>
            <w:vAlign w:val="center"/>
          </w:tcPr>
          <w:p w:rsidR="002D1D34" w:rsidRPr="001567C8" w:rsidRDefault="002D1D34" w:rsidP="002D1D34">
            <w:pPr>
              <w:pStyle w:val="TT"/>
              <w:rPr>
                <w:rFonts w:asciiTheme="minorHAnsi" w:hAnsiTheme="minorHAnsi" w:cs="Arial"/>
                <w:sz w:val="22"/>
                <w:szCs w:val="22"/>
                <w:lang w:val="hr-HR"/>
              </w:rPr>
            </w:pPr>
            <w:r w:rsidRPr="001567C8">
              <w:rPr>
                <w:rFonts w:asciiTheme="minorHAnsi" w:hAnsiTheme="minorHAnsi" w:cs="Arial"/>
                <w:sz w:val="22"/>
                <w:szCs w:val="22"/>
                <w:lang w:val="hr-HR"/>
              </w:rPr>
              <w:t>Financiranje izvoza</w:t>
            </w:r>
          </w:p>
        </w:tc>
        <w:tc>
          <w:tcPr>
            <w:tcW w:w="910"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2.4</w:t>
            </w:r>
            <w:r w:rsidR="0067051A" w:rsidRPr="00CD3A2D">
              <w:rPr>
                <w:rFonts w:ascii="Calibri" w:hAnsi="Calibri" w:cs="Calibri"/>
                <w:color w:val="000000"/>
                <w:sz w:val="22"/>
                <w:szCs w:val="22"/>
                <w:lang w:val="hr-HR"/>
              </w:rPr>
              <w:t>48.494</w:t>
            </w:r>
          </w:p>
        </w:tc>
        <w:tc>
          <w:tcPr>
            <w:tcW w:w="911"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2.935.166</w:t>
            </w:r>
          </w:p>
        </w:tc>
      </w:tr>
      <w:tr w:rsidR="002D1D34" w:rsidRPr="001567C8" w:rsidTr="0011726C">
        <w:trPr>
          <w:trHeight w:val="387"/>
        </w:trPr>
        <w:tc>
          <w:tcPr>
            <w:tcW w:w="3179" w:type="pct"/>
            <w:vAlign w:val="center"/>
          </w:tcPr>
          <w:p w:rsidR="002D1D34" w:rsidRPr="001567C8" w:rsidRDefault="002D1D34" w:rsidP="002D1D34">
            <w:pPr>
              <w:pStyle w:val="TT"/>
              <w:rPr>
                <w:rFonts w:asciiTheme="minorHAnsi" w:hAnsiTheme="minorHAnsi" w:cs="Arial"/>
                <w:sz w:val="22"/>
                <w:szCs w:val="22"/>
                <w:lang w:val="hr-HR"/>
              </w:rPr>
            </w:pPr>
            <w:r w:rsidRPr="001567C8">
              <w:rPr>
                <w:rFonts w:asciiTheme="minorHAnsi" w:hAnsiTheme="minorHAnsi" w:cs="Arial"/>
                <w:sz w:val="22"/>
                <w:szCs w:val="22"/>
                <w:lang w:val="hr-HR"/>
              </w:rPr>
              <w:t>Program obnove i razvitka infrastrukture u Republici Hrvatskoj</w:t>
            </w:r>
          </w:p>
        </w:tc>
        <w:tc>
          <w:tcPr>
            <w:tcW w:w="910"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1.130.</w:t>
            </w:r>
            <w:r w:rsidR="0067051A" w:rsidRPr="00CD3A2D">
              <w:rPr>
                <w:rFonts w:ascii="Calibri" w:hAnsi="Calibri" w:cs="Calibri"/>
                <w:color w:val="000000"/>
                <w:sz w:val="22"/>
                <w:szCs w:val="22"/>
                <w:lang w:val="hr-HR"/>
              </w:rPr>
              <w:t>702</w:t>
            </w:r>
          </w:p>
        </w:tc>
        <w:tc>
          <w:tcPr>
            <w:tcW w:w="911"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1.584.242</w:t>
            </w:r>
          </w:p>
        </w:tc>
      </w:tr>
      <w:tr w:rsidR="002D1D34" w:rsidRPr="001567C8" w:rsidTr="0011726C">
        <w:trPr>
          <w:trHeight w:val="387"/>
        </w:trPr>
        <w:tc>
          <w:tcPr>
            <w:tcW w:w="3179" w:type="pct"/>
            <w:vAlign w:val="center"/>
          </w:tcPr>
          <w:p w:rsidR="002D1D34" w:rsidRPr="001567C8" w:rsidRDefault="002D1D34" w:rsidP="002D1D34">
            <w:pPr>
              <w:pStyle w:val="TT"/>
              <w:rPr>
                <w:rFonts w:asciiTheme="minorHAnsi" w:hAnsiTheme="minorHAnsi" w:cs="Arial"/>
                <w:sz w:val="22"/>
                <w:szCs w:val="22"/>
                <w:lang w:val="hr-HR"/>
              </w:rPr>
            </w:pPr>
            <w:r w:rsidRPr="001567C8">
              <w:rPr>
                <w:rFonts w:asciiTheme="minorHAnsi" w:hAnsiTheme="minorHAnsi" w:cs="Arial"/>
                <w:sz w:val="22"/>
                <w:szCs w:val="22"/>
                <w:lang w:val="hr-HR"/>
              </w:rPr>
              <w:t>Program kreditiranja malog i srednjeg poduzetništva</w:t>
            </w:r>
          </w:p>
        </w:tc>
        <w:tc>
          <w:tcPr>
            <w:tcW w:w="910"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4.19</w:t>
            </w:r>
            <w:r w:rsidR="0067051A" w:rsidRPr="00CD3A2D">
              <w:rPr>
                <w:rFonts w:ascii="Calibri" w:hAnsi="Calibri" w:cs="Calibri"/>
                <w:color w:val="000000"/>
                <w:sz w:val="22"/>
                <w:szCs w:val="22"/>
                <w:lang w:val="hr-HR"/>
              </w:rPr>
              <w:t>2.912</w:t>
            </w:r>
          </w:p>
        </w:tc>
        <w:tc>
          <w:tcPr>
            <w:tcW w:w="911"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4.121.412</w:t>
            </w:r>
          </w:p>
        </w:tc>
      </w:tr>
      <w:tr w:rsidR="002D1D34" w:rsidRPr="001567C8" w:rsidTr="0011726C">
        <w:trPr>
          <w:trHeight w:val="411"/>
        </w:trPr>
        <w:tc>
          <w:tcPr>
            <w:tcW w:w="3179" w:type="pct"/>
            <w:vAlign w:val="center"/>
          </w:tcPr>
          <w:p w:rsidR="002D1D34" w:rsidRPr="001567C8" w:rsidRDefault="002D1D34" w:rsidP="002D1D34">
            <w:pPr>
              <w:pStyle w:val="TT"/>
              <w:rPr>
                <w:rFonts w:asciiTheme="minorHAnsi" w:hAnsiTheme="minorHAnsi" w:cs="Arial"/>
                <w:sz w:val="22"/>
                <w:szCs w:val="22"/>
                <w:lang w:val="hr-HR"/>
              </w:rPr>
            </w:pPr>
            <w:r w:rsidRPr="001567C8">
              <w:rPr>
                <w:rFonts w:asciiTheme="minorHAnsi" w:hAnsiTheme="minorHAnsi" w:cs="Arial"/>
                <w:sz w:val="22"/>
                <w:szCs w:val="22"/>
                <w:lang w:val="hr-HR"/>
              </w:rPr>
              <w:t>Program kreditiranja ratom oštećenih i razrušenih stambenih i gospodarskih objekata</w:t>
            </w:r>
          </w:p>
        </w:tc>
        <w:tc>
          <w:tcPr>
            <w:tcW w:w="910"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7.034</w:t>
            </w:r>
          </w:p>
        </w:tc>
        <w:tc>
          <w:tcPr>
            <w:tcW w:w="911"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8.724</w:t>
            </w:r>
          </w:p>
        </w:tc>
      </w:tr>
      <w:tr w:rsidR="002D1D34" w:rsidRPr="001567C8" w:rsidTr="0011726C">
        <w:trPr>
          <w:trHeight w:val="340"/>
        </w:trPr>
        <w:tc>
          <w:tcPr>
            <w:tcW w:w="3179" w:type="pct"/>
            <w:vAlign w:val="center"/>
          </w:tcPr>
          <w:p w:rsidR="002D1D34" w:rsidRPr="001567C8" w:rsidRDefault="002D1D34" w:rsidP="002D1D34">
            <w:pPr>
              <w:pStyle w:val="TT"/>
              <w:rPr>
                <w:rFonts w:asciiTheme="minorHAnsi" w:hAnsiTheme="minorHAnsi" w:cs="Arial"/>
                <w:sz w:val="22"/>
                <w:szCs w:val="22"/>
                <w:lang w:val="hr-HR"/>
              </w:rPr>
            </w:pPr>
            <w:r w:rsidRPr="001567C8">
              <w:rPr>
                <w:rFonts w:asciiTheme="minorHAnsi" w:hAnsiTheme="minorHAnsi" w:cs="Arial"/>
                <w:sz w:val="22"/>
                <w:szCs w:val="22"/>
                <w:lang w:val="hr-HR"/>
              </w:rPr>
              <w:t>Ostalo</w:t>
            </w:r>
          </w:p>
        </w:tc>
        <w:tc>
          <w:tcPr>
            <w:tcW w:w="910"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691.269</w:t>
            </w:r>
          </w:p>
        </w:tc>
        <w:tc>
          <w:tcPr>
            <w:tcW w:w="911"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236.400</w:t>
            </w:r>
          </w:p>
        </w:tc>
      </w:tr>
      <w:tr w:rsidR="002D1D34" w:rsidRPr="001567C8" w:rsidTr="0011726C">
        <w:trPr>
          <w:trHeight w:val="340"/>
        </w:trPr>
        <w:tc>
          <w:tcPr>
            <w:tcW w:w="3179" w:type="pct"/>
            <w:vAlign w:val="center"/>
          </w:tcPr>
          <w:p w:rsidR="002D1D34" w:rsidRPr="001567C8" w:rsidRDefault="002D1D34" w:rsidP="002D1D34">
            <w:pPr>
              <w:pStyle w:val="TT"/>
              <w:rPr>
                <w:rFonts w:asciiTheme="minorHAnsi" w:hAnsiTheme="minorHAnsi" w:cs="Arial"/>
                <w:sz w:val="22"/>
                <w:szCs w:val="22"/>
                <w:lang w:val="hr-HR"/>
              </w:rPr>
            </w:pPr>
            <w:r w:rsidRPr="001567C8">
              <w:rPr>
                <w:rFonts w:asciiTheme="minorHAnsi" w:hAnsiTheme="minorHAnsi" w:cs="Arial"/>
                <w:sz w:val="22"/>
                <w:szCs w:val="22"/>
                <w:lang w:val="hr-HR"/>
              </w:rPr>
              <w:t>Obračunata kamata</w:t>
            </w:r>
          </w:p>
        </w:tc>
        <w:tc>
          <w:tcPr>
            <w:tcW w:w="910"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7.350</w:t>
            </w:r>
          </w:p>
        </w:tc>
        <w:tc>
          <w:tcPr>
            <w:tcW w:w="911"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27.672</w:t>
            </w:r>
          </w:p>
        </w:tc>
      </w:tr>
      <w:tr w:rsidR="002D1D34" w:rsidRPr="001567C8" w:rsidTr="0011726C">
        <w:trPr>
          <w:trHeight w:val="340"/>
        </w:trPr>
        <w:tc>
          <w:tcPr>
            <w:tcW w:w="3179" w:type="pct"/>
            <w:vAlign w:val="center"/>
          </w:tcPr>
          <w:p w:rsidR="002D1D34" w:rsidRPr="001567C8" w:rsidRDefault="002D1D34" w:rsidP="002D1D34">
            <w:pPr>
              <w:pStyle w:val="TT"/>
              <w:rPr>
                <w:rFonts w:asciiTheme="minorHAnsi" w:hAnsiTheme="minorHAnsi" w:cs="Arial"/>
                <w:sz w:val="22"/>
                <w:szCs w:val="22"/>
                <w:lang w:val="hr-HR"/>
              </w:rPr>
            </w:pPr>
            <w:r w:rsidRPr="001567C8">
              <w:rPr>
                <w:rFonts w:asciiTheme="minorHAnsi" w:hAnsiTheme="minorHAnsi" w:cs="Arial"/>
                <w:sz w:val="22"/>
                <w:szCs w:val="22"/>
                <w:lang w:val="hr-HR"/>
              </w:rPr>
              <w:t>Odgođena naknada po kreditima</w:t>
            </w:r>
          </w:p>
        </w:tc>
        <w:tc>
          <w:tcPr>
            <w:tcW w:w="910" w:type="pct"/>
            <w:tcBorders>
              <w:top w:val="nil"/>
              <w:left w:val="nil"/>
              <w:bottom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(41.514)</w:t>
            </w:r>
          </w:p>
        </w:tc>
        <w:tc>
          <w:tcPr>
            <w:tcW w:w="911" w:type="pct"/>
            <w:tcBorders>
              <w:top w:val="nil"/>
              <w:left w:val="nil"/>
              <w:right w:val="nil"/>
            </w:tcBorders>
            <w:shd w:val="clear" w:color="auto" w:fill="auto"/>
            <w:vAlign w:val="center"/>
          </w:tcPr>
          <w:p w:rsidR="002D1D34" w:rsidRPr="001567C8" w:rsidRDefault="002D1D34" w:rsidP="002D1D34">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(58.293)</w:t>
            </w:r>
          </w:p>
        </w:tc>
      </w:tr>
      <w:tr w:rsidR="002D1D34" w:rsidRPr="001567C8" w:rsidTr="0011726C">
        <w:trPr>
          <w:trHeight w:val="196"/>
        </w:trPr>
        <w:tc>
          <w:tcPr>
            <w:tcW w:w="3179" w:type="pct"/>
          </w:tcPr>
          <w:p w:rsidR="002D1D34" w:rsidRPr="001567C8" w:rsidRDefault="002D1D34" w:rsidP="0079360D">
            <w:pPr>
              <w:pStyle w:val="Tot"/>
              <w:rPr>
                <w:rFonts w:asciiTheme="minorHAnsi" w:hAnsiTheme="minorHAnsi" w:cs="Arial"/>
                <w:sz w:val="22"/>
                <w:szCs w:val="22"/>
                <w:lang w:val="hr-HR"/>
              </w:rPr>
            </w:pPr>
          </w:p>
        </w:tc>
        <w:tc>
          <w:tcPr>
            <w:tcW w:w="910" w:type="pct"/>
            <w:tcBorders>
              <w:top w:val="single" w:sz="4" w:space="0" w:color="auto"/>
              <w:bottom w:val="single" w:sz="4" w:space="0" w:color="auto"/>
            </w:tcBorders>
            <w:vAlign w:val="bottom"/>
          </w:tcPr>
          <w:p w:rsidR="002D1D34" w:rsidRPr="001567C8" w:rsidRDefault="002D1D34" w:rsidP="0079360D">
            <w:pPr>
              <w:pStyle w:val="Tot"/>
              <w:jc w:val="right"/>
              <w:rPr>
                <w:rFonts w:asciiTheme="minorHAnsi" w:hAnsiTheme="minorHAnsi" w:cs="Arial"/>
                <w:sz w:val="22"/>
                <w:szCs w:val="22"/>
                <w:lang w:val="hr-HR"/>
              </w:rPr>
            </w:pPr>
            <w:r w:rsidRPr="001567C8">
              <w:rPr>
                <w:rFonts w:asciiTheme="minorHAnsi" w:hAnsiTheme="minorHAnsi" w:cs="Arial"/>
                <w:sz w:val="22"/>
                <w:szCs w:val="22"/>
                <w:lang w:val="hr-HR"/>
              </w:rPr>
              <w:t>10.352.142</w:t>
            </w:r>
          </w:p>
        </w:tc>
        <w:tc>
          <w:tcPr>
            <w:tcW w:w="911" w:type="pct"/>
            <w:tcBorders>
              <w:top w:val="single" w:sz="4" w:space="0" w:color="auto"/>
              <w:bottom w:val="single" w:sz="4" w:space="0" w:color="auto"/>
            </w:tcBorders>
            <w:vAlign w:val="bottom"/>
          </w:tcPr>
          <w:p w:rsidR="002D1D34" w:rsidRPr="001567C8" w:rsidRDefault="002D1D34" w:rsidP="0079360D">
            <w:pPr>
              <w:pStyle w:val="Tot"/>
              <w:jc w:val="right"/>
              <w:rPr>
                <w:rFonts w:asciiTheme="minorHAnsi" w:hAnsiTheme="minorHAnsi" w:cs="Arial"/>
                <w:sz w:val="22"/>
                <w:szCs w:val="22"/>
                <w:lang w:val="hr-HR"/>
              </w:rPr>
            </w:pPr>
            <w:r w:rsidRPr="001567C8">
              <w:rPr>
                <w:rFonts w:asciiTheme="minorHAnsi" w:hAnsiTheme="minorHAnsi" w:cs="Arial"/>
                <w:sz w:val="22"/>
                <w:szCs w:val="22"/>
                <w:lang w:val="hr-HR"/>
              </w:rPr>
              <w:t>11.074.067</w:t>
            </w:r>
          </w:p>
        </w:tc>
      </w:tr>
      <w:tr w:rsidR="002D1D34" w:rsidRPr="001567C8" w:rsidTr="0011726C">
        <w:trPr>
          <w:trHeight w:val="205"/>
        </w:trPr>
        <w:tc>
          <w:tcPr>
            <w:tcW w:w="3179" w:type="pct"/>
            <w:vAlign w:val="center"/>
          </w:tcPr>
          <w:p w:rsidR="002D1D34" w:rsidRPr="001567C8" w:rsidRDefault="002D1D34" w:rsidP="0079360D">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Rezerviranja za </w:t>
            </w:r>
            <w:r w:rsidR="00726C85" w:rsidRPr="001567C8">
              <w:rPr>
                <w:rFonts w:asciiTheme="minorHAnsi" w:hAnsiTheme="minorHAnsi" w:cs="Arial"/>
                <w:sz w:val="22"/>
                <w:szCs w:val="22"/>
                <w:lang w:val="hr-HR"/>
              </w:rPr>
              <w:t xml:space="preserve">očekivane </w:t>
            </w:r>
            <w:r w:rsidRPr="001567C8">
              <w:rPr>
                <w:rFonts w:asciiTheme="minorHAnsi" w:hAnsiTheme="minorHAnsi" w:cs="Arial"/>
                <w:sz w:val="22"/>
                <w:szCs w:val="22"/>
                <w:lang w:val="hr-HR"/>
              </w:rPr>
              <w:t>gubitke</w:t>
            </w:r>
          </w:p>
        </w:tc>
        <w:tc>
          <w:tcPr>
            <w:tcW w:w="910" w:type="pct"/>
            <w:tcBorders>
              <w:top w:val="single" w:sz="4" w:space="0" w:color="auto"/>
              <w:bottom w:val="single" w:sz="4" w:space="0" w:color="auto"/>
            </w:tcBorders>
            <w:vAlign w:val="center"/>
          </w:tcPr>
          <w:p w:rsidR="002D1D34" w:rsidRPr="001567C8" w:rsidRDefault="002D1D34" w:rsidP="0079360D">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(117.154)</w:t>
            </w:r>
          </w:p>
        </w:tc>
        <w:tc>
          <w:tcPr>
            <w:tcW w:w="911" w:type="pct"/>
            <w:tcBorders>
              <w:top w:val="single" w:sz="4" w:space="0" w:color="auto"/>
              <w:bottom w:val="single" w:sz="4" w:space="0" w:color="auto"/>
            </w:tcBorders>
            <w:vAlign w:val="center"/>
          </w:tcPr>
          <w:p w:rsidR="002D1D34" w:rsidRPr="001567C8" w:rsidRDefault="002D1D34" w:rsidP="0079360D">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(237.926)</w:t>
            </w:r>
          </w:p>
        </w:tc>
      </w:tr>
      <w:tr w:rsidR="002D1D34" w:rsidRPr="001567C8" w:rsidTr="0011726C">
        <w:trPr>
          <w:trHeight w:val="235"/>
        </w:trPr>
        <w:tc>
          <w:tcPr>
            <w:tcW w:w="3179" w:type="pct"/>
          </w:tcPr>
          <w:p w:rsidR="002D1D34" w:rsidRPr="001567C8" w:rsidRDefault="002D1D34" w:rsidP="0079360D">
            <w:pPr>
              <w:pStyle w:val="Tot"/>
              <w:rPr>
                <w:rFonts w:asciiTheme="minorHAnsi" w:hAnsiTheme="minorHAnsi" w:cs="Arial"/>
                <w:b/>
                <w:bCs/>
                <w:sz w:val="22"/>
                <w:szCs w:val="22"/>
                <w:lang w:val="hr-HR"/>
              </w:rPr>
            </w:pPr>
          </w:p>
        </w:tc>
        <w:tc>
          <w:tcPr>
            <w:tcW w:w="910" w:type="pct"/>
            <w:tcBorders>
              <w:top w:val="single" w:sz="4" w:space="0" w:color="auto"/>
              <w:bottom w:val="single" w:sz="12" w:space="0" w:color="auto"/>
            </w:tcBorders>
            <w:vAlign w:val="bottom"/>
          </w:tcPr>
          <w:p w:rsidR="002D1D34" w:rsidRPr="001567C8" w:rsidRDefault="002D1D34" w:rsidP="0079360D">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10.234.988</w:t>
            </w:r>
          </w:p>
        </w:tc>
        <w:tc>
          <w:tcPr>
            <w:tcW w:w="911" w:type="pct"/>
            <w:tcBorders>
              <w:top w:val="single" w:sz="4" w:space="0" w:color="auto"/>
              <w:bottom w:val="single" w:sz="12" w:space="0" w:color="auto"/>
            </w:tcBorders>
            <w:vAlign w:val="bottom"/>
          </w:tcPr>
          <w:p w:rsidR="002D1D34" w:rsidRPr="001567C8" w:rsidRDefault="002D1D34" w:rsidP="0079360D">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10.836.141</w:t>
            </w:r>
          </w:p>
        </w:tc>
      </w:tr>
    </w:tbl>
    <w:p w:rsidR="00E51223" w:rsidRPr="001567C8" w:rsidRDefault="00E51223" w:rsidP="00E51223">
      <w:pPr>
        <w:pStyle w:val="T1"/>
        <w:spacing w:before="0" w:after="0" w:line="240" w:lineRule="auto"/>
        <w:rPr>
          <w:rFonts w:asciiTheme="minorHAnsi" w:hAnsiTheme="minorHAnsi" w:cs="Arial"/>
          <w:b w:val="0"/>
          <w:bCs w:val="0"/>
          <w:sz w:val="22"/>
          <w:szCs w:val="22"/>
          <w:lang w:val="hr-HR"/>
        </w:rPr>
      </w:pPr>
    </w:p>
    <w:p w:rsidR="00954DDA" w:rsidRPr="001567C8" w:rsidRDefault="00602CF2" w:rsidP="00E51223">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Prosječne k</w:t>
      </w:r>
      <w:r w:rsidR="006D0890" w:rsidRPr="001567C8">
        <w:rPr>
          <w:rFonts w:asciiTheme="minorHAnsi" w:hAnsiTheme="minorHAnsi" w:cs="Arial"/>
          <w:b w:val="0"/>
          <w:bCs w:val="0"/>
          <w:sz w:val="22"/>
          <w:szCs w:val="22"/>
          <w:lang w:val="hr-HR"/>
        </w:rPr>
        <w:t xml:space="preserve">amatne stope na </w:t>
      </w:r>
      <w:r w:rsidRPr="001567C8">
        <w:rPr>
          <w:rFonts w:asciiTheme="minorHAnsi" w:hAnsiTheme="minorHAnsi" w:cs="Arial"/>
          <w:b w:val="0"/>
          <w:bCs w:val="0"/>
          <w:sz w:val="22"/>
          <w:szCs w:val="22"/>
          <w:lang w:val="hr-HR"/>
        </w:rPr>
        <w:t xml:space="preserve">ukupne </w:t>
      </w:r>
      <w:r w:rsidR="006D0890" w:rsidRPr="001567C8">
        <w:rPr>
          <w:rFonts w:asciiTheme="minorHAnsi" w:hAnsiTheme="minorHAnsi" w:cs="Arial"/>
          <w:b w:val="0"/>
          <w:bCs w:val="0"/>
          <w:sz w:val="22"/>
          <w:szCs w:val="22"/>
          <w:lang w:val="hr-HR"/>
        </w:rPr>
        <w:t xml:space="preserve">kredite </w:t>
      </w:r>
      <w:r w:rsidR="0036001B" w:rsidRPr="001567C8">
        <w:rPr>
          <w:rFonts w:asciiTheme="minorHAnsi" w:hAnsiTheme="minorHAnsi" w:cs="Arial"/>
          <w:b w:val="0"/>
          <w:bCs w:val="0"/>
          <w:sz w:val="22"/>
          <w:szCs w:val="22"/>
          <w:lang w:val="hr-HR"/>
        </w:rPr>
        <w:t>financijskim institucijama</w:t>
      </w:r>
      <w:r w:rsidRPr="001567C8">
        <w:rPr>
          <w:rFonts w:asciiTheme="minorHAnsi" w:hAnsiTheme="minorHAnsi" w:cs="Arial"/>
          <w:b w:val="0"/>
          <w:bCs w:val="0"/>
          <w:sz w:val="22"/>
          <w:szCs w:val="22"/>
          <w:lang w:val="hr-HR"/>
        </w:rPr>
        <w:t xml:space="preserve"> iskazane su u visini od </w:t>
      </w:r>
      <w:r w:rsidR="00A97E13" w:rsidRPr="001567C8">
        <w:rPr>
          <w:rFonts w:asciiTheme="minorHAnsi" w:hAnsiTheme="minorHAnsi" w:cs="Arial"/>
          <w:b w:val="0"/>
          <w:bCs w:val="0"/>
          <w:sz w:val="22"/>
          <w:szCs w:val="22"/>
          <w:lang w:val="hr-HR"/>
        </w:rPr>
        <w:t>0,</w:t>
      </w:r>
      <w:r w:rsidR="00441617" w:rsidRPr="001567C8">
        <w:rPr>
          <w:rFonts w:asciiTheme="minorHAnsi" w:hAnsiTheme="minorHAnsi" w:cs="Arial"/>
          <w:b w:val="0"/>
          <w:bCs w:val="0"/>
          <w:sz w:val="22"/>
          <w:szCs w:val="22"/>
          <w:lang w:val="hr-HR"/>
        </w:rPr>
        <w:t>74</w:t>
      </w:r>
      <w:r w:rsidRPr="001567C8">
        <w:rPr>
          <w:rFonts w:asciiTheme="minorHAnsi" w:hAnsiTheme="minorHAnsi" w:cs="Arial"/>
          <w:b w:val="0"/>
          <w:bCs w:val="0"/>
          <w:sz w:val="22"/>
          <w:szCs w:val="22"/>
          <w:lang w:val="hr-HR"/>
        </w:rPr>
        <w:t>% (</w:t>
      </w:r>
      <w:r w:rsidR="006D377C" w:rsidRPr="001567C8">
        <w:rPr>
          <w:rFonts w:asciiTheme="minorHAnsi" w:hAnsiTheme="minorHAnsi" w:cs="Arial"/>
          <w:b w:val="0"/>
          <w:bCs w:val="0"/>
          <w:sz w:val="22"/>
          <w:szCs w:val="22"/>
          <w:lang w:val="hr-HR"/>
        </w:rPr>
        <w:t xml:space="preserve">31. prosinca </w:t>
      </w:r>
      <w:r w:rsidR="00441617" w:rsidRPr="001567C8">
        <w:rPr>
          <w:rFonts w:asciiTheme="minorHAnsi" w:hAnsiTheme="minorHAnsi" w:cs="Arial"/>
          <w:b w:val="0"/>
          <w:bCs w:val="0"/>
          <w:sz w:val="22"/>
          <w:szCs w:val="22"/>
          <w:lang w:val="hr-HR"/>
        </w:rPr>
        <w:t>2017</w:t>
      </w:r>
      <w:r w:rsidRPr="001567C8">
        <w:rPr>
          <w:rFonts w:asciiTheme="minorHAnsi" w:hAnsiTheme="minorHAnsi" w:cs="Arial"/>
          <w:b w:val="0"/>
          <w:bCs w:val="0"/>
          <w:sz w:val="22"/>
          <w:szCs w:val="22"/>
          <w:lang w:val="hr-HR"/>
        </w:rPr>
        <w:t xml:space="preserve">. godine: </w:t>
      </w:r>
      <w:r w:rsidR="00441617" w:rsidRPr="001567C8">
        <w:rPr>
          <w:rFonts w:asciiTheme="minorHAnsi" w:hAnsiTheme="minorHAnsi" w:cs="Arial"/>
          <w:b w:val="0"/>
          <w:bCs w:val="0"/>
          <w:sz w:val="22"/>
          <w:szCs w:val="22"/>
          <w:lang w:val="hr-HR"/>
        </w:rPr>
        <w:t>0,90</w:t>
      </w:r>
      <w:r w:rsidRPr="001567C8">
        <w:rPr>
          <w:rFonts w:asciiTheme="minorHAnsi" w:hAnsiTheme="minorHAnsi" w:cs="Arial"/>
          <w:b w:val="0"/>
          <w:bCs w:val="0"/>
          <w:sz w:val="22"/>
          <w:szCs w:val="22"/>
          <w:lang w:val="hr-HR"/>
        </w:rPr>
        <w:t xml:space="preserve">%) </w:t>
      </w:r>
      <w:r w:rsidR="00A97E13" w:rsidRPr="001567C8">
        <w:rPr>
          <w:rFonts w:asciiTheme="minorHAnsi" w:hAnsiTheme="minorHAnsi" w:cs="Arial"/>
          <w:b w:val="0"/>
          <w:bCs w:val="0"/>
          <w:sz w:val="22"/>
          <w:szCs w:val="22"/>
          <w:lang w:val="hr-HR"/>
        </w:rPr>
        <w:t>te su jednake prosječnim kamatnim stopama na kredite po kreditnim programima HBOR-a bez rezerve likvidnosti.</w:t>
      </w:r>
    </w:p>
    <w:p w:rsidR="00E51223" w:rsidRPr="001567C8" w:rsidRDefault="00E51223" w:rsidP="00E51223">
      <w:pPr>
        <w:pStyle w:val="T1"/>
        <w:spacing w:before="0" w:after="0" w:line="240" w:lineRule="auto"/>
        <w:rPr>
          <w:rFonts w:asciiTheme="minorHAnsi" w:hAnsiTheme="minorHAnsi" w:cs="Arial"/>
          <w:b w:val="0"/>
          <w:bCs w:val="0"/>
          <w:sz w:val="22"/>
          <w:szCs w:val="22"/>
          <w:lang w:val="hr-HR"/>
        </w:rPr>
      </w:pPr>
    </w:p>
    <w:p w:rsidR="006D0890" w:rsidRPr="001567C8" w:rsidRDefault="00954DDA" w:rsidP="00E51223">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Prosječne kamatne stope odražavaju omjer kamatnih prihoda na navedene plasmane i prosječne </w:t>
      </w:r>
      <w:r w:rsidR="00405FE5" w:rsidRPr="001567C8">
        <w:rPr>
          <w:rFonts w:asciiTheme="minorHAnsi" w:hAnsiTheme="minorHAnsi" w:cs="Arial"/>
          <w:b w:val="0"/>
          <w:bCs w:val="0"/>
          <w:sz w:val="22"/>
          <w:szCs w:val="22"/>
          <w:lang w:val="hr-HR"/>
        </w:rPr>
        <w:t>imovine</w:t>
      </w:r>
      <w:r w:rsidRPr="001567C8">
        <w:rPr>
          <w:rFonts w:asciiTheme="minorHAnsi" w:hAnsiTheme="minorHAnsi" w:cs="Arial"/>
          <w:b w:val="0"/>
          <w:bCs w:val="0"/>
          <w:sz w:val="22"/>
          <w:szCs w:val="22"/>
          <w:lang w:val="hr-HR"/>
        </w:rPr>
        <w:t>.</w:t>
      </w:r>
    </w:p>
    <w:p w:rsidR="00E51223" w:rsidRPr="001567C8" w:rsidRDefault="00E51223" w:rsidP="00E51223">
      <w:pPr>
        <w:pStyle w:val="T1"/>
        <w:spacing w:before="0" w:after="0" w:line="240" w:lineRule="auto"/>
        <w:rPr>
          <w:rFonts w:asciiTheme="minorHAnsi" w:hAnsiTheme="minorHAnsi" w:cs="Arial"/>
          <w:b w:val="0"/>
          <w:bCs w:val="0"/>
          <w:sz w:val="22"/>
          <w:szCs w:val="22"/>
          <w:lang w:val="hr-HR"/>
        </w:rPr>
      </w:pPr>
    </w:p>
    <w:p w:rsidR="003D156F" w:rsidRPr="001567C8" w:rsidRDefault="00574D85" w:rsidP="00E51223">
      <w:pPr>
        <w:pStyle w:val="T1"/>
        <w:spacing w:before="0" w:after="0" w:line="240" w:lineRule="auto"/>
        <w:rPr>
          <w:rFonts w:asciiTheme="minorHAnsi" w:hAnsiTheme="minorHAnsi"/>
          <w:b w:val="0"/>
          <w:sz w:val="22"/>
          <w:szCs w:val="22"/>
          <w:lang w:val="hr-HR"/>
        </w:rPr>
      </w:pPr>
      <w:r w:rsidRPr="001567C8">
        <w:rPr>
          <w:rFonts w:asciiTheme="minorHAnsi" w:hAnsiTheme="minorHAnsi" w:cs="Arial"/>
          <w:b w:val="0"/>
          <w:bCs w:val="0"/>
          <w:sz w:val="22"/>
          <w:szCs w:val="22"/>
          <w:lang w:val="hr-HR"/>
        </w:rPr>
        <w:t>Stavka „Ostalo“ sadrži obrnute repo plasmane u ukupnom iznosu</w:t>
      </w:r>
      <w:r w:rsidR="00A97E13" w:rsidRPr="001567C8">
        <w:rPr>
          <w:rFonts w:asciiTheme="minorHAnsi" w:hAnsiTheme="minorHAnsi" w:cs="Arial"/>
          <w:b w:val="0"/>
          <w:bCs w:val="0"/>
          <w:sz w:val="22"/>
          <w:szCs w:val="22"/>
          <w:lang w:val="hr-HR"/>
        </w:rPr>
        <w:t xml:space="preserve"> </w:t>
      </w:r>
      <w:r w:rsidR="009E58D0" w:rsidRPr="001567C8">
        <w:rPr>
          <w:rFonts w:asciiTheme="minorHAnsi" w:hAnsiTheme="minorHAnsi" w:cs="Arial"/>
          <w:b w:val="0"/>
          <w:bCs w:val="0"/>
          <w:sz w:val="22"/>
          <w:szCs w:val="22"/>
          <w:lang w:val="hr-HR"/>
        </w:rPr>
        <w:t>691.269</w:t>
      </w:r>
      <w:r w:rsidR="00727BF0"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tisuća kuna (</w:t>
      </w:r>
      <w:r w:rsidR="006D377C" w:rsidRPr="001567C8">
        <w:rPr>
          <w:rFonts w:asciiTheme="minorHAnsi" w:hAnsiTheme="minorHAnsi" w:cs="Arial"/>
          <w:b w:val="0"/>
          <w:bCs w:val="0"/>
          <w:sz w:val="22"/>
          <w:szCs w:val="22"/>
          <w:lang w:val="hr-HR"/>
        </w:rPr>
        <w:t xml:space="preserve">31. prosinca </w:t>
      </w:r>
      <w:r w:rsidR="009E58D0" w:rsidRPr="001567C8">
        <w:rPr>
          <w:rFonts w:asciiTheme="minorHAnsi" w:hAnsiTheme="minorHAnsi" w:cs="Arial"/>
          <w:b w:val="0"/>
          <w:bCs w:val="0"/>
          <w:sz w:val="22"/>
          <w:szCs w:val="22"/>
          <w:lang w:val="hr-HR"/>
        </w:rPr>
        <w:t>2017</w:t>
      </w:r>
      <w:r w:rsidR="00F425F8" w:rsidRPr="001567C8">
        <w:rPr>
          <w:rFonts w:asciiTheme="minorHAnsi" w:hAnsiTheme="minorHAnsi" w:cs="Arial"/>
          <w:b w:val="0"/>
          <w:bCs w:val="0"/>
          <w:sz w:val="22"/>
          <w:szCs w:val="22"/>
          <w:lang w:val="hr-HR"/>
        </w:rPr>
        <w:t>. godine</w:t>
      </w:r>
      <w:r w:rsidRPr="001567C8">
        <w:rPr>
          <w:rFonts w:asciiTheme="minorHAnsi" w:hAnsiTheme="minorHAnsi" w:cs="Arial"/>
          <w:b w:val="0"/>
          <w:bCs w:val="0"/>
          <w:sz w:val="22"/>
          <w:szCs w:val="22"/>
          <w:lang w:val="hr-HR"/>
        </w:rPr>
        <w:t xml:space="preserve">: </w:t>
      </w:r>
      <w:r w:rsidR="009E58D0" w:rsidRPr="001567C8">
        <w:rPr>
          <w:rFonts w:asciiTheme="minorHAnsi" w:hAnsiTheme="minorHAnsi" w:cs="Arial"/>
          <w:b w:val="0"/>
          <w:bCs w:val="0"/>
          <w:sz w:val="22"/>
          <w:szCs w:val="22"/>
          <w:lang w:val="hr-HR"/>
        </w:rPr>
        <w:t>236.400</w:t>
      </w:r>
      <w:r w:rsidR="00727BF0"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w:t>
      </w:r>
      <w:r w:rsidR="00E57959" w:rsidRPr="001567C8">
        <w:rPr>
          <w:rFonts w:asciiTheme="minorHAnsi" w:hAnsiTheme="minorHAnsi" w:cs="Arial"/>
          <w:b w:val="0"/>
          <w:bCs w:val="0"/>
          <w:sz w:val="22"/>
          <w:szCs w:val="22"/>
          <w:lang w:val="hr-HR"/>
        </w:rPr>
        <w:t>a</w:t>
      </w:r>
      <w:r w:rsidRPr="001567C8">
        <w:rPr>
          <w:rFonts w:asciiTheme="minorHAnsi" w:hAnsiTheme="minorHAnsi" w:cs="Arial"/>
          <w:b w:val="0"/>
          <w:bCs w:val="0"/>
          <w:sz w:val="22"/>
          <w:szCs w:val="22"/>
          <w:lang w:val="hr-HR"/>
        </w:rPr>
        <w:t xml:space="preserve"> kuna). Ovi su plasmani osigurani vrijednosnim papirima u</w:t>
      </w:r>
      <w:r w:rsidR="003D156F" w:rsidRPr="001567C8">
        <w:rPr>
          <w:rFonts w:asciiTheme="minorHAnsi" w:hAnsiTheme="minorHAnsi"/>
          <w:b w:val="0"/>
          <w:sz w:val="22"/>
          <w:szCs w:val="22"/>
          <w:lang w:val="hr-HR"/>
        </w:rPr>
        <w:t xml:space="preserve"> iznosu od</w:t>
      </w:r>
      <w:r w:rsidR="008C5A3D" w:rsidRPr="001567C8">
        <w:rPr>
          <w:rFonts w:asciiTheme="minorHAnsi" w:hAnsiTheme="minorHAnsi"/>
          <w:b w:val="0"/>
          <w:sz w:val="22"/>
          <w:szCs w:val="22"/>
          <w:lang w:val="hr-HR"/>
        </w:rPr>
        <w:t xml:space="preserve"> </w:t>
      </w:r>
      <w:r w:rsidR="009E58D0" w:rsidRPr="001567C8">
        <w:rPr>
          <w:rFonts w:asciiTheme="minorHAnsi" w:hAnsiTheme="minorHAnsi"/>
          <w:b w:val="0"/>
          <w:sz w:val="22"/>
          <w:szCs w:val="22"/>
          <w:lang w:val="hr-HR"/>
        </w:rPr>
        <w:t>737.701</w:t>
      </w:r>
      <w:r w:rsidR="00F425F8" w:rsidRPr="001567C8">
        <w:rPr>
          <w:rFonts w:asciiTheme="minorHAnsi" w:hAnsiTheme="minorHAnsi"/>
          <w:b w:val="0"/>
          <w:sz w:val="22"/>
          <w:szCs w:val="22"/>
          <w:lang w:val="hr-HR"/>
        </w:rPr>
        <w:t xml:space="preserve"> </w:t>
      </w:r>
      <w:r w:rsidR="003D156F" w:rsidRPr="001567C8">
        <w:rPr>
          <w:rFonts w:asciiTheme="minorHAnsi" w:hAnsiTheme="minorHAnsi"/>
          <w:b w:val="0"/>
          <w:sz w:val="22"/>
          <w:szCs w:val="22"/>
          <w:lang w:val="hr-HR"/>
        </w:rPr>
        <w:t>tisuća kuna (</w:t>
      </w:r>
      <w:r w:rsidR="006D377C" w:rsidRPr="001567C8">
        <w:rPr>
          <w:rFonts w:asciiTheme="minorHAnsi" w:hAnsiTheme="minorHAnsi"/>
          <w:b w:val="0"/>
          <w:sz w:val="22"/>
          <w:szCs w:val="22"/>
          <w:lang w:val="hr-HR"/>
        </w:rPr>
        <w:t xml:space="preserve">31. prosinca </w:t>
      </w:r>
      <w:r w:rsidR="009E58D0" w:rsidRPr="001567C8">
        <w:rPr>
          <w:rFonts w:asciiTheme="minorHAnsi" w:hAnsiTheme="minorHAnsi"/>
          <w:b w:val="0"/>
          <w:sz w:val="22"/>
          <w:szCs w:val="22"/>
          <w:lang w:val="hr-HR"/>
        </w:rPr>
        <w:t>2017</w:t>
      </w:r>
      <w:r w:rsidR="003D156F" w:rsidRPr="001567C8">
        <w:rPr>
          <w:rFonts w:asciiTheme="minorHAnsi" w:hAnsiTheme="minorHAnsi"/>
          <w:b w:val="0"/>
          <w:sz w:val="22"/>
          <w:szCs w:val="22"/>
          <w:lang w:val="hr-HR"/>
        </w:rPr>
        <w:t xml:space="preserve">. godine: </w:t>
      </w:r>
      <w:r w:rsidR="009E58D0" w:rsidRPr="001567C8">
        <w:rPr>
          <w:rFonts w:asciiTheme="minorHAnsi" w:hAnsiTheme="minorHAnsi"/>
          <w:b w:val="0"/>
          <w:sz w:val="22"/>
          <w:szCs w:val="22"/>
          <w:lang w:val="hr-HR"/>
        </w:rPr>
        <w:t>249.727</w:t>
      </w:r>
      <w:r w:rsidR="00727BF0" w:rsidRPr="001567C8">
        <w:rPr>
          <w:rFonts w:asciiTheme="minorHAnsi" w:hAnsiTheme="minorHAnsi"/>
          <w:b w:val="0"/>
          <w:sz w:val="22"/>
          <w:szCs w:val="22"/>
          <w:lang w:val="hr-HR"/>
        </w:rPr>
        <w:t xml:space="preserve"> </w:t>
      </w:r>
      <w:r w:rsidR="003D156F" w:rsidRPr="001567C8">
        <w:rPr>
          <w:rFonts w:asciiTheme="minorHAnsi" w:hAnsiTheme="minorHAnsi"/>
          <w:b w:val="0"/>
          <w:sz w:val="22"/>
          <w:szCs w:val="22"/>
          <w:lang w:val="hr-HR"/>
        </w:rPr>
        <w:t>tisuća kuna).</w:t>
      </w:r>
    </w:p>
    <w:p w:rsidR="002F461E" w:rsidRPr="001567C8" w:rsidRDefault="002F461E" w:rsidP="00E51223">
      <w:pPr>
        <w:pStyle w:val="T1"/>
        <w:spacing w:before="0" w:after="0" w:line="240" w:lineRule="auto"/>
        <w:rPr>
          <w:rFonts w:asciiTheme="minorHAnsi" w:hAnsiTheme="minorHAnsi"/>
          <w:b w:val="0"/>
          <w:sz w:val="22"/>
          <w:szCs w:val="22"/>
          <w:lang w:val="hr-HR"/>
        </w:rPr>
      </w:pPr>
    </w:p>
    <w:p w:rsidR="003D156F" w:rsidRPr="001567C8" w:rsidRDefault="003D156F" w:rsidP="00E51223">
      <w:pPr>
        <w:pStyle w:val="T1"/>
        <w:spacing w:before="0" w:after="0" w:line="240" w:lineRule="auto"/>
        <w:rPr>
          <w:rFonts w:asciiTheme="minorHAnsi" w:hAnsiTheme="minorHAnsi" w:cs="Arial"/>
          <w:b w:val="0"/>
          <w:bCs w:val="0"/>
          <w:sz w:val="22"/>
          <w:szCs w:val="22"/>
          <w:lang w:val="hr-HR"/>
        </w:rPr>
      </w:pPr>
    </w:p>
    <w:p w:rsidR="00466101" w:rsidRPr="001567C8" w:rsidRDefault="00466101" w:rsidP="00E51223">
      <w:pPr>
        <w:pStyle w:val="T1"/>
        <w:spacing w:before="0" w:after="0" w:line="240" w:lineRule="auto"/>
        <w:rPr>
          <w:rFonts w:asciiTheme="minorHAnsi" w:hAnsiTheme="minorHAnsi" w:cs="Arial"/>
          <w:b w:val="0"/>
          <w:bCs w:val="0"/>
          <w:sz w:val="22"/>
          <w:szCs w:val="22"/>
          <w:lang w:val="hr-HR"/>
        </w:rPr>
      </w:pPr>
    </w:p>
    <w:p w:rsidR="003C3909" w:rsidRPr="001567C8" w:rsidRDefault="003C3909" w:rsidP="00E51223">
      <w:pPr>
        <w:pStyle w:val="T1"/>
        <w:spacing w:before="0" w:after="0" w:line="240" w:lineRule="auto"/>
        <w:rPr>
          <w:rFonts w:asciiTheme="minorHAnsi" w:hAnsiTheme="minorHAnsi" w:cs="Arial"/>
          <w:b w:val="0"/>
          <w:bCs w:val="0"/>
          <w:sz w:val="22"/>
          <w:szCs w:val="22"/>
          <w:lang w:val="hr-HR"/>
        </w:rPr>
        <w:sectPr w:rsidR="003C3909" w:rsidRPr="001567C8" w:rsidSect="003E2D7A">
          <w:pgSz w:w="11907" w:h="16840" w:code="9"/>
          <w:pgMar w:top="1418" w:right="1134" w:bottom="1134" w:left="1418" w:header="851" w:footer="851" w:gutter="0"/>
          <w:cols w:space="720"/>
          <w:noEndnote/>
        </w:sectPr>
      </w:pPr>
    </w:p>
    <w:p w:rsidR="00D44B33" w:rsidRPr="001567C8" w:rsidRDefault="00D44B33" w:rsidP="00E51223">
      <w:pPr>
        <w:pStyle w:val="T1"/>
        <w:spacing w:before="0" w:after="0" w:line="240" w:lineRule="auto"/>
        <w:rPr>
          <w:rFonts w:asciiTheme="minorHAnsi" w:hAnsiTheme="minorHAnsi" w:cs="Arial"/>
          <w:sz w:val="18"/>
          <w:szCs w:val="18"/>
          <w:lang w:val="hr-HR"/>
        </w:rPr>
      </w:pPr>
    </w:p>
    <w:p w:rsidR="006D0890" w:rsidRPr="001567C8" w:rsidRDefault="006D0890" w:rsidP="00E51223">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 xml:space="preserve">Krediti ostalim korisnicima </w:t>
      </w:r>
    </w:p>
    <w:p w:rsidR="00D44B33" w:rsidRPr="001567C8" w:rsidRDefault="00D44B33" w:rsidP="00E51223">
      <w:pPr>
        <w:pStyle w:val="T1"/>
        <w:spacing w:before="0" w:after="0" w:line="240" w:lineRule="auto"/>
        <w:rPr>
          <w:rFonts w:asciiTheme="minorHAnsi" w:hAnsiTheme="minorHAnsi" w:cs="Arial"/>
          <w:b w:val="0"/>
          <w:bCs w:val="0"/>
          <w:sz w:val="18"/>
          <w:szCs w:val="18"/>
          <w:lang w:val="hr-HR"/>
        </w:rPr>
      </w:pPr>
    </w:p>
    <w:p w:rsidR="006D0890" w:rsidRPr="001567C8" w:rsidRDefault="006D0890" w:rsidP="00E51223">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Krediti ostalim korisnicima umanjeni za rezerviranja za </w:t>
      </w:r>
      <w:r w:rsidR="00726C85" w:rsidRPr="001567C8">
        <w:rPr>
          <w:rFonts w:asciiTheme="minorHAnsi" w:hAnsiTheme="minorHAnsi" w:cs="Arial"/>
          <w:b w:val="0"/>
          <w:bCs w:val="0"/>
          <w:sz w:val="22"/>
          <w:szCs w:val="22"/>
          <w:lang w:val="hr-HR"/>
        </w:rPr>
        <w:t xml:space="preserve">očekivane </w:t>
      </w:r>
      <w:r w:rsidRPr="001567C8">
        <w:rPr>
          <w:rFonts w:asciiTheme="minorHAnsi" w:hAnsiTheme="minorHAnsi" w:cs="Arial"/>
          <w:b w:val="0"/>
          <w:bCs w:val="0"/>
          <w:sz w:val="22"/>
          <w:szCs w:val="22"/>
          <w:lang w:val="hr-HR"/>
        </w:rPr>
        <w:t>gubitke mogu se prikazati po sektorizaciji kako slijedi:</w:t>
      </w:r>
    </w:p>
    <w:p w:rsidR="002D1D34" w:rsidRPr="001567C8" w:rsidRDefault="002D1D34" w:rsidP="00E51223">
      <w:pPr>
        <w:pStyle w:val="T1"/>
        <w:spacing w:before="0" w:after="0" w:line="240" w:lineRule="auto"/>
        <w:rPr>
          <w:rFonts w:asciiTheme="minorHAnsi" w:hAnsiTheme="minorHAnsi" w:cs="Arial"/>
          <w:b w:val="0"/>
          <w:bCs w:val="0"/>
          <w:sz w:val="22"/>
          <w:szCs w:val="22"/>
          <w:lang w:val="hr-HR"/>
        </w:rPr>
      </w:pPr>
    </w:p>
    <w:tbl>
      <w:tblPr>
        <w:tblW w:w="4927" w:type="pct"/>
        <w:tblLayout w:type="fixed"/>
        <w:tblCellMar>
          <w:left w:w="119" w:type="dxa"/>
          <w:right w:w="119" w:type="dxa"/>
        </w:tblCellMar>
        <w:tblLook w:val="0000" w:firstRow="0" w:lastRow="0" w:firstColumn="0" w:lastColumn="0" w:noHBand="0" w:noVBand="0"/>
      </w:tblPr>
      <w:tblGrid>
        <w:gridCol w:w="5757"/>
        <w:gridCol w:w="1785"/>
        <w:gridCol w:w="1676"/>
      </w:tblGrid>
      <w:tr w:rsidR="0011726C" w:rsidRPr="001567C8" w:rsidTr="0011726C">
        <w:trPr>
          <w:trHeight w:val="314"/>
        </w:trPr>
        <w:tc>
          <w:tcPr>
            <w:tcW w:w="3123" w:type="pct"/>
          </w:tcPr>
          <w:p w:rsidR="002D1D34" w:rsidRPr="001567C8" w:rsidRDefault="002D1D34" w:rsidP="00DC6688">
            <w:pPr>
              <w:tabs>
                <w:tab w:val="left" w:pos="-720"/>
              </w:tabs>
              <w:suppressAutoHyphens/>
              <w:spacing w:line="200" w:lineRule="exact"/>
              <w:rPr>
                <w:rFonts w:asciiTheme="minorHAnsi" w:hAnsiTheme="minorHAnsi" w:cs="Arial"/>
                <w:spacing w:val="-2"/>
                <w:sz w:val="22"/>
                <w:szCs w:val="22"/>
                <w:lang w:val="hr-HR"/>
              </w:rPr>
            </w:pPr>
          </w:p>
        </w:tc>
        <w:tc>
          <w:tcPr>
            <w:tcW w:w="1877" w:type="pct"/>
            <w:gridSpan w:val="2"/>
            <w:vAlign w:val="bottom"/>
          </w:tcPr>
          <w:p w:rsidR="002D1D34" w:rsidRPr="001567C8" w:rsidRDefault="002D1D34" w:rsidP="00DC6688">
            <w:pPr>
              <w:pStyle w:val="TH"/>
              <w:spacing w:line="200" w:lineRule="exact"/>
              <w:jc w:val="right"/>
              <w:rPr>
                <w:rFonts w:asciiTheme="minorHAnsi" w:hAnsiTheme="minorHAnsi" w:cs="Arial"/>
                <w:sz w:val="22"/>
                <w:szCs w:val="22"/>
                <w:lang w:val="hr-HR"/>
              </w:rPr>
            </w:pPr>
            <w:r w:rsidRPr="001567C8">
              <w:rPr>
                <w:rFonts w:asciiTheme="minorHAnsi" w:hAnsiTheme="minorHAnsi" w:cs="Arial"/>
                <w:sz w:val="22"/>
                <w:szCs w:val="22"/>
                <w:lang w:val="hr-HR"/>
              </w:rPr>
              <w:t>Grupa i Banka</w:t>
            </w:r>
          </w:p>
        </w:tc>
      </w:tr>
      <w:tr w:rsidR="002D1D34" w:rsidRPr="001567C8" w:rsidTr="00B8477D">
        <w:trPr>
          <w:trHeight w:val="314"/>
        </w:trPr>
        <w:tc>
          <w:tcPr>
            <w:tcW w:w="3123" w:type="pct"/>
          </w:tcPr>
          <w:p w:rsidR="002D1D34" w:rsidRPr="001567C8" w:rsidRDefault="002D1D34" w:rsidP="0079360D">
            <w:pPr>
              <w:tabs>
                <w:tab w:val="left" w:pos="-720"/>
              </w:tabs>
              <w:suppressAutoHyphens/>
              <w:spacing w:line="200" w:lineRule="exact"/>
              <w:rPr>
                <w:rFonts w:asciiTheme="minorHAnsi" w:hAnsiTheme="minorHAnsi" w:cs="Arial"/>
                <w:spacing w:val="-2"/>
                <w:sz w:val="22"/>
                <w:szCs w:val="22"/>
                <w:lang w:val="hr-HR"/>
              </w:rPr>
            </w:pPr>
          </w:p>
        </w:tc>
        <w:tc>
          <w:tcPr>
            <w:tcW w:w="968" w:type="pct"/>
            <w:vAlign w:val="bottom"/>
          </w:tcPr>
          <w:p w:rsidR="002D1D34" w:rsidRPr="001567C8" w:rsidRDefault="0001590F" w:rsidP="0079360D">
            <w:pPr>
              <w:pStyle w:val="TH"/>
              <w:jc w:val="right"/>
              <w:rPr>
                <w:rFonts w:asciiTheme="minorHAnsi" w:hAnsiTheme="minorHAnsi" w:cs="Arial"/>
                <w:sz w:val="22"/>
                <w:szCs w:val="22"/>
                <w:lang w:val="hr-HR"/>
              </w:rPr>
            </w:pPr>
            <w:r w:rsidRPr="0001590F">
              <w:rPr>
                <w:rFonts w:asciiTheme="minorHAnsi" w:hAnsiTheme="minorHAnsi" w:cs="Arial"/>
                <w:sz w:val="22"/>
                <w:szCs w:val="22"/>
                <w:lang w:val="hr-HR"/>
              </w:rPr>
              <w:t xml:space="preserve">31. prosinca </w:t>
            </w:r>
            <w:r w:rsidR="002D1D34" w:rsidRPr="001567C8">
              <w:rPr>
                <w:rFonts w:asciiTheme="minorHAnsi" w:hAnsiTheme="minorHAnsi" w:cs="Arial"/>
                <w:sz w:val="22"/>
                <w:szCs w:val="22"/>
                <w:lang w:val="hr-HR"/>
              </w:rPr>
              <w:t>2018.</w:t>
            </w:r>
          </w:p>
        </w:tc>
        <w:tc>
          <w:tcPr>
            <w:tcW w:w="909" w:type="pct"/>
            <w:vAlign w:val="bottom"/>
          </w:tcPr>
          <w:p w:rsidR="002D1D34" w:rsidRPr="001567C8" w:rsidRDefault="0001590F" w:rsidP="0079360D">
            <w:pPr>
              <w:pStyle w:val="TH"/>
              <w:jc w:val="right"/>
              <w:rPr>
                <w:rFonts w:asciiTheme="minorHAnsi" w:hAnsiTheme="minorHAnsi" w:cs="Arial"/>
                <w:sz w:val="22"/>
                <w:szCs w:val="22"/>
                <w:lang w:val="hr-HR"/>
              </w:rPr>
            </w:pPr>
            <w:r w:rsidRPr="0001590F">
              <w:rPr>
                <w:rFonts w:asciiTheme="minorHAnsi" w:hAnsiTheme="minorHAnsi" w:cs="Arial"/>
                <w:sz w:val="22"/>
                <w:szCs w:val="22"/>
                <w:lang w:val="hr-HR"/>
              </w:rPr>
              <w:t xml:space="preserve">31. prosinca </w:t>
            </w:r>
            <w:r w:rsidR="002D1D34" w:rsidRPr="001567C8">
              <w:rPr>
                <w:rFonts w:asciiTheme="minorHAnsi" w:hAnsiTheme="minorHAnsi" w:cs="Arial"/>
                <w:sz w:val="22"/>
                <w:szCs w:val="22"/>
                <w:lang w:val="hr-HR"/>
              </w:rPr>
              <w:t>2017.</w:t>
            </w:r>
          </w:p>
        </w:tc>
      </w:tr>
      <w:tr w:rsidR="002D1D34" w:rsidRPr="001567C8" w:rsidTr="00B8477D">
        <w:trPr>
          <w:trHeight w:val="314"/>
        </w:trPr>
        <w:tc>
          <w:tcPr>
            <w:tcW w:w="3123" w:type="pct"/>
          </w:tcPr>
          <w:p w:rsidR="002D1D34" w:rsidRPr="001567C8" w:rsidRDefault="002D1D34" w:rsidP="009B3EE8">
            <w:pPr>
              <w:tabs>
                <w:tab w:val="left" w:pos="-720"/>
              </w:tabs>
              <w:suppressAutoHyphens/>
              <w:spacing w:line="200" w:lineRule="exact"/>
              <w:rPr>
                <w:rFonts w:asciiTheme="minorHAnsi" w:hAnsiTheme="minorHAnsi" w:cs="Arial"/>
                <w:spacing w:val="-2"/>
                <w:sz w:val="22"/>
                <w:szCs w:val="22"/>
                <w:lang w:val="hr-HR"/>
              </w:rPr>
            </w:pPr>
          </w:p>
        </w:tc>
        <w:tc>
          <w:tcPr>
            <w:tcW w:w="968" w:type="pct"/>
            <w:vAlign w:val="center"/>
          </w:tcPr>
          <w:p w:rsidR="002D1D34" w:rsidRPr="001567C8" w:rsidRDefault="002D1D34" w:rsidP="009B3EE8">
            <w:pPr>
              <w:pStyle w:val="TH"/>
              <w:spacing w:line="200" w:lineRule="exact"/>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909" w:type="pct"/>
            <w:vAlign w:val="center"/>
          </w:tcPr>
          <w:p w:rsidR="002D1D34" w:rsidRPr="001567C8" w:rsidRDefault="002D1D34" w:rsidP="009B3EE8">
            <w:pPr>
              <w:pStyle w:val="TH"/>
              <w:spacing w:line="200" w:lineRule="exact"/>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2D1D34" w:rsidRPr="001567C8" w:rsidTr="00B8477D">
        <w:trPr>
          <w:trHeight w:hRule="exact" w:val="187"/>
        </w:trPr>
        <w:tc>
          <w:tcPr>
            <w:tcW w:w="3123" w:type="pct"/>
            <w:vAlign w:val="bottom"/>
          </w:tcPr>
          <w:p w:rsidR="002D1D34" w:rsidRPr="001567C8" w:rsidRDefault="002D1D34" w:rsidP="009B3EE8">
            <w:pPr>
              <w:tabs>
                <w:tab w:val="left" w:pos="-720"/>
              </w:tabs>
              <w:suppressAutoHyphens/>
              <w:spacing w:line="200" w:lineRule="exact"/>
              <w:jc w:val="right"/>
              <w:rPr>
                <w:rFonts w:asciiTheme="minorHAnsi" w:hAnsiTheme="minorHAnsi" w:cs="Arial"/>
                <w:spacing w:val="-2"/>
                <w:sz w:val="22"/>
                <w:szCs w:val="22"/>
                <w:lang w:val="hr-HR"/>
              </w:rPr>
            </w:pPr>
          </w:p>
        </w:tc>
        <w:tc>
          <w:tcPr>
            <w:tcW w:w="968" w:type="pct"/>
            <w:vAlign w:val="bottom"/>
          </w:tcPr>
          <w:p w:rsidR="002D1D34" w:rsidRPr="001567C8" w:rsidRDefault="002D1D34" w:rsidP="009B3EE8">
            <w:pPr>
              <w:tabs>
                <w:tab w:val="left" w:pos="-720"/>
              </w:tabs>
              <w:suppressAutoHyphens/>
              <w:spacing w:line="200" w:lineRule="exact"/>
              <w:jc w:val="right"/>
              <w:rPr>
                <w:rFonts w:asciiTheme="minorHAnsi" w:hAnsiTheme="minorHAnsi" w:cs="Arial"/>
                <w:b/>
                <w:spacing w:val="-2"/>
                <w:sz w:val="22"/>
                <w:szCs w:val="22"/>
                <w:lang w:val="hr-HR"/>
              </w:rPr>
            </w:pPr>
          </w:p>
        </w:tc>
        <w:tc>
          <w:tcPr>
            <w:tcW w:w="909" w:type="pct"/>
            <w:vAlign w:val="bottom"/>
          </w:tcPr>
          <w:p w:rsidR="002D1D34" w:rsidRPr="001567C8" w:rsidRDefault="002D1D34" w:rsidP="009B3EE8">
            <w:pPr>
              <w:tabs>
                <w:tab w:val="left" w:pos="-720"/>
              </w:tabs>
              <w:suppressAutoHyphens/>
              <w:spacing w:line="200" w:lineRule="exact"/>
              <w:jc w:val="right"/>
              <w:rPr>
                <w:rFonts w:asciiTheme="minorHAnsi" w:hAnsiTheme="minorHAnsi" w:cs="Arial"/>
                <w:b/>
                <w:spacing w:val="-2"/>
                <w:sz w:val="22"/>
                <w:szCs w:val="22"/>
                <w:lang w:val="hr-HR"/>
              </w:rPr>
            </w:pPr>
          </w:p>
        </w:tc>
      </w:tr>
      <w:tr w:rsidR="002D1D34" w:rsidRPr="001567C8" w:rsidTr="00B8477D">
        <w:trPr>
          <w:trHeight w:val="340"/>
        </w:trPr>
        <w:tc>
          <w:tcPr>
            <w:tcW w:w="3123" w:type="pct"/>
            <w:vAlign w:val="bottom"/>
          </w:tcPr>
          <w:p w:rsidR="002D1D34" w:rsidRPr="001567C8" w:rsidRDefault="002D1D34" w:rsidP="007C12E0">
            <w:pPr>
              <w:pStyle w:val="TT"/>
              <w:spacing w:line="200" w:lineRule="exact"/>
              <w:rPr>
                <w:rFonts w:asciiTheme="minorHAnsi" w:hAnsiTheme="minorHAnsi" w:cs="Arial"/>
                <w:sz w:val="22"/>
                <w:szCs w:val="22"/>
                <w:lang w:val="hr-HR"/>
              </w:rPr>
            </w:pPr>
            <w:r w:rsidRPr="001567C8">
              <w:rPr>
                <w:rFonts w:asciiTheme="minorHAnsi" w:hAnsiTheme="minorHAnsi" w:cs="Arial"/>
                <w:sz w:val="22"/>
                <w:szCs w:val="22"/>
                <w:lang w:val="hr-HR"/>
              </w:rPr>
              <w:t>Domaća trgovačka društva</w:t>
            </w:r>
          </w:p>
        </w:tc>
        <w:tc>
          <w:tcPr>
            <w:tcW w:w="968" w:type="pct"/>
            <w:tcBorders>
              <w:top w:val="nil"/>
              <w:left w:val="nil"/>
              <w:bottom w:val="nil"/>
              <w:right w:val="nil"/>
            </w:tcBorders>
            <w:shd w:val="clear" w:color="auto" w:fill="auto"/>
            <w:vAlign w:val="bottom"/>
          </w:tcPr>
          <w:p w:rsidR="002D1D34" w:rsidRPr="00CD3A2D" w:rsidRDefault="002D1D34" w:rsidP="007C12E0">
            <w:pPr>
              <w:pStyle w:val="TT"/>
              <w:spacing w:line="200" w:lineRule="exact"/>
              <w:jc w:val="right"/>
              <w:rPr>
                <w:rFonts w:ascii="Calibri" w:hAnsi="Calibri" w:cs="Calibri"/>
                <w:color w:val="000000"/>
                <w:sz w:val="22"/>
                <w:szCs w:val="22"/>
                <w:lang w:val="hr-HR"/>
              </w:rPr>
            </w:pPr>
            <w:r w:rsidRPr="00CD3A2D">
              <w:rPr>
                <w:rFonts w:ascii="Calibri" w:hAnsi="Calibri" w:cs="Calibri"/>
                <w:color w:val="000000"/>
                <w:sz w:val="22"/>
                <w:szCs w:val="22"/>
                <w:lang w:val="hr-HR"/>
              </w:rPr>
              <w:t>10.25</w:t>
            </w:r>
            <w:r w:rsidR="0067051A" w:rsidRPr="00CD3A2D">
              <w:rPr>
                <w:rFonts w:ascii="Calibri" w:hAnsi="Calibri" w:cs="Calibri"/>
                <w:color w:val="000000"/>
                <w:sz w:val="22"/>
                <w:szCs w:val="22"/>
                <w:lang w:val="hr-HR"/>
              </w:rPr>
              <w:t>2.669</w:t>
            </w:r>
          </w:p>
        </w:tc>
        <w:tc>
          <w:tcPr>
            <w:tcW w:w="909" w:type="pct"/>
            <w:tcBorders>
              <w:top w:val="nil"/>
              <w:left w:val="nil"/>
              <w:bottom w:val="nil"/>
              <w:right w:val="nil"/>
            </w:tcBorders>
            <w:shd w:val="clear" w:color="auto" w:fill="auto"/>
            <w:vAlign w:val="bottom"/>
          </w:tcPr>
          <w:p w:rsidR="002D1D34" w:rsidRPr="001567C8" w:rsidRDefault="002D1D34" w:rsidP="007C12E0">
            <w:pPr>
              <w:pStyle w:val="TT"/>
              <w:spacing w:line="200" w:lineRule="exact"/>
              <w:jc w:val="right"/>
              <w:rPr>
                <w:rFonts w:asciiTheme="minorHAnsi" w:hAnsiTheme="minorHAnsi" w:cs="Arial"/>
                <w:sz w:val="22"/>
                <w:szCs w:val="22"/>
                <w:lang w:val="hr-HR"/>
              </w:rPr>
            </w:pPr>
            <w:r w:rsidRPr="00CD3A2D">
              <w:rPr>
                <w:rFonts w:ascii="Calibri" w:hAnsi="Calibri" w:cs="Calibri"/>
                <w:color w:val="000000"/>
                <w:sz w:val="22"/>
                <w:szCs w:val="22"/>
                <w:lang w:val="hr-HR"/>
              </w:rPr>
              <w:t>11.294.141</w:t>
            </w:r>
          </w:p>
        </w:tc>
      </w:tr>
      <w:tr w:rsidR="002D1D34" w:rsidRPr="001567C8" w:rsidTr="00B8477D">
        <w:trPr>
          <w:trHeight w:val="340"/>
        </w:trPr>
        <w:tc>
          <w:tcPr>
            <w:tcW w:w="3123" w:type="pct"/>
            <w:vAlign w:val="bottom"/>
          </w:tcPr>
          <w:p w:rsidR="002D1D34" w:rsidRPr="001567C8" w:rsidRDefault="002D1D34" w:rsidP="007C12E0">
            <w:pPr>
              <w:pStyle w:val="TT"/>
              <w:spacing w:line="200" w:lineRule="exact"/>
              <w:rPr>
                <w:rFonts w:asciiTheme="minorHAnsi" w:hAnsiTheme="minorHAnsi" w:cs="Arial"/>
                <w:spacing w:val="-3"/>
                <w:sz w:val="22"/>
                <w:szCs w:val="22"/>
                <w:lang w:val="hr-HR"/>
              </w:rPr>
            </w:pPr>
            <w:r w:rsidRPr="001567C8">
              <w:rPr>
                <w:rFonts w:asciiTheme="minorHAnsi" w:hAnsiTheme="minorHAnsi" w:cs="Arial"/>
                <w:sz w:val="22"/>
                <w:szCs w:val="22"/>
                <w:lang w:val="hr-HR"/>
              </w:rPr>
              <w:t>Državna trgovačka društva</w:t>
            </w:r>
          </w:p>
        </w:tc>
        <w:tc>
          <w:tcPr>
            <w:tcW w:w="968" w:type="pct"/>
            <w:tcBorders>
              <w:top w:val="nil"/>
              <w:left w:val="nil"/>
              <w:bottom w:val="nil"/>
              <w:right w:val="nil"/>
            </w:tcBorders>
            <w:shd w:val="clear" w:color="auto" w:fill="auto"/>
            <w:vAlign w:val="bottom"/>
          </w:tcPr>
          <w:p w:rsidR="002D1D34" w:rsidRPr="00CD3A2D" w:rsidRDefault="002D1D34" w:rsidP="007C12E0">
            <w:pPr>
              <w:pStyle w:val="TT"/>
              <w:spacing w:line="200" w:lineRule="exact"/>
              <w:jc w:val="right"/>
              <w:rPr>
                <w:rFonts w:ascii="Calibri" w:hAnsi="Calibri" w:cs="Calibri"/>
                <w:color w:val="000000"/>
                <w:sz w:val="22"/>
                <w:szCs w:val="22"/>
                <w:lang w:val="hr-HR"/>
              </w:rPr>
            </w:pPr>
            <w:r w:rsidRPr="00CD3A2D">
              <w:rPr>
                <w:rFonts w:ascii="Calibri" w:hAnsi="Calibri" w:cs="Calibri"/>
                <w:color w:val="000000"/>
                <w:sz w:val="22"/>
                <w:szCs w:val="22"/>
                <w:lang w:val="hr-HR"/>
              </w:rPr>
              <w:t>1.103.711</w:t>
            </w:r>
          </w:p>
        </w:tc>
        <w:tc>
          <w:tcPr>
            <w:tcW w:w="909" w:type="pct"/>
            <w:tcBorders>
              <w:top w:val="nil"/>
              <w:left w:val="nil"/>
              <w:bottom w:val="nil"/>
              <w:right w:val="nil"/>
            </w:tcBorders>
            <w:shd w:val="clear" w:color="auto" w:fill="auto"/>
            <w:vAlign w:val="bottom"/>
          </w:tcPr>
          <w:p w:rsidR="002D1D34" w:rsidRPr="001567C8" w:rsidRDefault="002D1D34" w:rsidP="007C12E0">
            <w:pPr>
              <w:pStyle w:val="TT"/>
              <w:spacing w:line="200" w:lineRule="exact"/>
              <w:jc w:val="right"/>
              <w:rPr>
                <w:rFonts w:asciiTheme="minorHAnsi" w:hAnsiTheme="minorHAnsi" w:cs="Arial"/>
                <w:sz w:val="22"/>
                <w:szCs w:val="22"/>
                <w:lang w:val="hr-HR"/>
              </w:rPr>
            </w:pPr>
            <w:r w:rsidRPr="00CD3A2D">
              <w:rPr>
                <w:rFonts w:ascii="Calibri" w:hAnsi="Calibri" w:cs="Calibri"/>
                <w:color w:val="000000"/>
                <w:sz w:val="22"/>
                <w:szCs w:val="22"/>
                <w:lang w:val="hr-HR"/>
              </w:rPr>
              <w:t>1.260.227</w:t>
            </w:r>
          </w:p>
        </w:tc>
      </w:tr>
      <w:tr w:rsidR="002D1D34" w:rsidRPr="001567C8" w:rsidTr="00B8477D">
        <w:trPr>
          <w:trHeight w:val="340"/>
        </w:trPr>
        <w:tc>
          <w:tcPr>
            <w:tcW w:w="3123" w:type="pct"/>
            <w:vAlign w:val="bottom"/>
          </w:tcPr>
          <w:p w:rsidR="002D1D34" w:rsidRPr="001567C8" w:rsidRDefault="002D1D34" w:rsidP="007C12E0">
            <w:pPr>
              <w:pStyle w:val="TT"/>
              <w:spacing w:line="200" w:lineRule="exact"/>
              <w:rPr>
                <w:rFonts w:asciiTheme="minorHAnsi" w:hAnsiTheme="minorHAnsi" w:cs="Arial"/>
                <w:spacing w:val="-3"/>
                <w:sz w:val="22"/>
                <w:szCs w:val="22"/>
                <w:lang w:val="hr-HR"/>
              </w:rPr>
            </w:pPr>
            <w:r w:rsidRPr="001567C8">
              <w:rPr>
                <w:rFonts w:asciiTheme="minorHAnsi" w:hAnsiTheme="minorHAnsi" w:cs="Arial"/>
                <w:sz w:val="22"/>
                <w:szCs w:val="22"/>
                <w:lang w:val="hr-HR"/>
              </w:rPr>
              <w:t>Javni sektor</w:t>
            </w:r>
          </w:p>
        </w:tc>
        <w:tc>
          <w:tcPr>
            <w:tcW w:w="968" w:type="pct"/>
            <w:tcBorders>
              <w:top w:val="nil"/>
              <w:left w:val="nil"/>
              <w:bottom w:val="nil"/>
              <w:right w:val="nil"/>
            </w:tcBorders>
            <w:shd w:val="clear" w:color="auto" w:fill="auto"/>
            <w:vAlign w:val="bottom"/>
          </w:tcPr>
          <w:p w:rsidR="002D1D34" w:rsidRPr="00CD3A2D" w:rsidRDefault="002D1D34" w:rsidP="007C12E0">
            <w:pPr>
              <w:pStyle w:val="TT"/>
              <w:spacing w:line="200" w:lineRule="exact"/>
              <w:jc w:val="right"/>
              <w:rPr>
                <w:rFonts w:ascii="Calibri" w:hAnsi="Calibri" w:cs="Calibri"/>
                <w:color w:val="000000"/>
                <w:sz w:val="22"/>
                <w:szCs w:val="22"/>
                <w:lang w:val="hr-HR"/>
              </w:rPr>
            </w:pPr>
            <w:r w:rsidRPr="00CD3A2D">
              <w:rPr>
                <w:rFonts w:ascii="Calibri" w:hAnsi="Calibri" w:cs="Calibri"/>
                <w:color w:val="000000"/>
                <w:sz w:val="22"/>
                <w:szCs w:val="22"/>
                <w:lang w:val="hr-HR"/>
              </w:rPr>
              <w:t>2.995.506</w:t>
            </w:r>
          </w:p>
        </w:tc>
        <w:tc>
          <w:tcPr>
            <w:tcW w:w="909" w:type="pct"/>
            <w:tcBorders>
              <w:top w:val="nil"/>
              <w:left w:val="nil"/>
              <w:bottom w:val="nil"/>
              <w:right w:val="nil"/>
            </w:tcBorders>
            <w:shd w:val="clear" w:color="auto" w:fill="auto"/>
            <w:vAlign w:val="bottom"/>
          </w:tcPr>
          <w:p w:rsidR="002D1D34" w:rsidRPr="001567C8" w:rsidRDefault="002D1D34" w:rsidP="007C12E0">
            <w:pPr>
              <w:pStyle w:val="TT"/>
              <w:spacing w:line="200" w:lineRule="exact"/>
              <w:jc w:val="right"/>
              <w:rPr>
                <w:rFonts w:asciiTheme="minorHAnsi" w:hAnsiTheme="minorHAnsi" w:cs="Arial"/>
                <w:sz w:val="22"/>
                <w:szCs w:val="22"/>
                <w:lang w:val="hr-HR"/>
              </w:rPr>
            </w:pPr>
            <w:r w:rsidRPr="00CD3A2D">
              <w:rPr>
                <w:rFonts w:ascii="Calibri" w:hAnsi="Calibri" w:cs="Calibri"/>
                <w:color w:val="000000"/>
                <w:sz w:val="22"/>
                <w:szCs w:val="22"/>
                <w:lang w:val="hr-HR"/>
              </w:rPr>
              <w:t>1.744.426</w:t>
            </w:r>
          </w:p>
        </w:tc>
      </w:tr>
      <w:tr w:rsidR="002D1D34" w:rsidRPr="001567C8" w:rsidTr="00B8477D">
        <w:trPr>
          <w:trHeight w:val="340"/>
        </w:trPr>
        <w:tc>
          <w:tcPr>
            <w:tcW w:w="3123" w:type="pct"/>
            <w:vAlign w:val="bottom"/>
          </w:tcPr>
          <w:p w:rsidR="002D1D34" w:rsidRPr="001567C8" w:rsidRDefault="002D1D34" w:rsidP="007C12E0">
            <w:pPr>
              <w:pStyle w:val="TT"/>
              <w:spacing w:line="200" w:lineRule="exact"/>
              <w:rPr>
                <w:rFonts w:asciiTheme="minorHAnsi" w:hAnsiTheme="minorHAnsi" w:cs="Arial"/>
                <w:sz w:val="22"/>
                <w:szCs w:val="22"/>
                <w:lang w:val="hr-HR"/>
              </w:rPr>
            </w:pPr>
            <w:r w:rsidRPr="001567C8">
              <w:rPr>
                <w:rFonts w:asciiTheme="minorHAnsi" w:hAnsiTheme="minorHAnsi" w:cs="Arial"/>
                <w:sz w:val="22"/>
                <w:szCs w:val="22"/>
                <w:lang w:val="hr-HR"/>
              </w:rPr>
              <w:t>Strane pravne osobe</w:t>
            </w:r>
          </w:p>
        </w:tc>
        <w:tc>
          <w:tcPr>
            <w:tcW w:w="968" w:type="pct"/>
            <w:tcBorders>
              <w:top w:val="nil"/>
              <w:left w:val="nil"/>
              <w:bottom w:val="nil"/>
              <w:right w:val="nil"/>
            </w:tcBorders>
            <w:shd w:val="clear" w:color="auto" w:fill="auto"/>
            <w:vAlign w:val="bottom"/>
          </w:tcPr>
          <w:p w:rsidR="002D1D34" w:rsidRPr="00CD3A2D" w:rsidRDefault="002D1D34" w:rsidP="007C12E0">
            <w:pPr>
              <w:pStyle w:val="TT"/>
              <w:spacing w:line="200" w:lineRule="exact"/>
              <w:jc w:val="right"/>
              <w:rPr>
                <w:rFonts w:ascii="Calibri" w:hAnsi="Calibri" w:cs="Calibri"/>
                <w:color w:val="000000"/>
                <w:sz w:val="22"/>
                <w:szCs w:val="22"/>
                <w:lang w:val="hr-HR"/>
              </w:rPr>
            </w:pPr>
            <w:r w:rsidRPr="00CD3A2D">
              <w:rPr>
                <w:rFonts w:ascii="Calibri" w:hAnsi="Calibri" w:cs="Calibri"/>
                <w:color w:val="000000"/>
                <w:sz w:val="22"/>
                <w:szCs w:val="22"/>
                <w:lang w:val="hr-HR"/>
              </w:rPr>
              <w:t>787.639</w:t>
            </w:r>
          </w:p>
        </w:tc>
        <w:tc>
          <w:tcPr>
            <w:tcW w:w="909" w:type="pct"/>
            <w:tcBorders>
              <w:top w:val="nil"/>
              <w:left w:val="nil"/>
              <w:bottom w:val="nil"/>
              <w:right w:val="nil"/>
            </w:tcBorders>
            <w:shd w:val="clear" w:color="auto" w:fill="auto"/>
            <w:vAlign w:val="bottom"/>
          </w:tcPr>
          <w:p w:rsidR="002D1D34" w:rsidRPr="001567C8" w:rsidRDefault="002D1D34" w:rsidP="007C12E0">
            <w:pPr>
              <w:pStyle w:val="TT"/>
              <w:spacing w:line="200" w:lineRule="exact"/>
              <w:jc w:val="right"/>
              <w:rPr>
                <w:rFonts w:asciiTheme="minorHAnsi" w:hAnsiTheme="minorHAnsi" w:cs="Arial"/>
                <w:sz w:val="22"/>
                <w:szCs w:val="22"/>
                <w:lang w:val="hr-HR"/>
              </w:rPr>
            </w:pPr>
            <w:r w:rsidRPr="001567C8">
              <w:rPr>
                <w:rFonts w:asciiTheme="minorHAnsi" w:hAnsiTheme="minorHAnsi" w:cs="Arial"/>
                <w:sz w:val="22"/>
                <w:szCs w:val="22"/>
                <w:lang w:val="hr-HR"/>
              </w:rPr>
              <w:t>316.005</w:t>
            </w:r>
          </w:p>
        </w:tc>
      </w:tr>
      <w:tr w:rsidR="002D1D34" w:rsidRPr="001567C8" w:rsidTr="00B8477D">
        <w:trPr>
          <w:trHeight w:val="340"/>
        </w:trPr>
        <w:tc>
          <w:tcPr>
            <w:tcW w:w="3123" w:type="pct"/>
            <w:vAlign w:val="bottom"/>
          </w:tcPr>
          <w:p w:rsidR="002D1D34" w:rsidRPr="001567C8" w:rsidRDefault="002D1D34" w:rsidP="007C12E0">
            <w:pPr>
              <w:pStyle w:val="TT"/>
              <w:spacing w:line="200" w:lineRule="exact"/>
              <w:rPr>
                <w:rFonts w:asciiTheme="minorHAnsi" w:hAnsiTheme="minorHAnsi" w:cs="Arial"/>
                <w:sz w:val="22"/>
                <w:szCs w:val="22"/>
                <w:lang w:val="hr-HR"/>
              </w:rPr>
            </w:pPr>
            <w:r w:rsidRPr="001567C8">
              <w:rPr>
                <w:rFonts w:asciiTheme="minorHAnsi" w:hAnsiTheme="minorHAnsi" w:cs="Arial"/>
                <w:sz w:val="22"/>
                <w:szCs w:val="22"/>
                <w:lang w:val="hr-HR"/>
              </w:rPr>
              <w:t>Neprofitne institucije</w:t>
            </w:r>
          </w:p>
        </w:tc>
        <w:tc>
          <w:tcPr>
            <w:tcW w:w="968" w:type="pct"/>
            <w:tcBorders>
              <w:top w:val="nil"/>
              <w:left w:val="nil"/>
              <w:bottom w:val="nil"/>
              <w:right w:val="nil"/>
            </w:tcBorders>
            <w:shd w:val="clear" w:color="auto" w:fill="auto"/>
            <w:vAlign w:val="bottom"/>
          </w:tcPr>
          <w:p w:rsidR="002D1D34" w:rsidRPr="00CD3A2D" w:rsidRDefault="002D1D34" w:rsidP="007C12E0">
            <w:pPr>
              <w:pStyle w:val="TT"/>
              <w:spacing w:line="200" w:lineRule="exact"/>
              <w:jc w:val="right"/>
              <w:rPr>
                <w:rFonts w:ascii="Calibri" w:hAnsi="Calibri" w:cs="Calibri"/>
                <w:color w:val="000000"/>
                <w:sz w:val="22"/>
                <w:szCs w:val="22"/>
                <w:lang w:val="hr-HR"/>
              </w:rPr>
            </w:pPr>
            <w:r w:rsidRPr="00CD3A2D">
              <w:rPr>
                <w:rFonts w:ascii="Calibri" w:hAnsi="Calibri" w:cs="Calibri"/>
                <w:color w:val="000000"/>
                <w:sz w:val="22"/>
                <w:szCs w:val="22"/>
                <w:lang w:val="hr-HR"/>
              </w:rPr>
              <w:t>5.902</w:t>
            </w:r>
          </w:p>
        </w:tc>
        <w:tc>
          <w:tcPr>
            <w:tcW w:w="909" w:type="pct"/>
            <w:tcBorders>
              <w:top w:val="nil"/>
              <w:left w:val="nil"/>
              <w:bottom w:val="nil"/>
              <w:right w:val="nil"/>
            </w:tcBorders>
            <w:shd w:val="clear" w:color="auto" w:fill="auto"/>
            <w:vAlign w:val="bottom"/>
          </w:tcPr>
          <w:p w:rsidR="002D1D34" w:rsidRPr="001567C8" w:rsidRDefault="002D1D34" w:rsidP="007C12E0">
            <w:pPr>
              <w:pStyle w:val="TT"/>
              <w:spacing w:line="200" w:lineRule="exact"/>
              <w:jc w:val="right"/>
              <w:rPr>
                <w:rFonts w:asciiTheme="minorHAnsi" w:hAnsiTheme="minorHAnsi" w:cs="Arial"/>
                <w:sz w:val="22"/>
                <w:szCs w:val="22"/>
                <w:lang w:val="hr-HR"/>
              </w:rPr>
            </w:pPr>
            <w:r w:rsidRPr="00CD3A2D">
              <w:rPr>
                <w:rFonts w:ascii="Calibri" w:hAnsi="Calibri" w:cs="Calibri"/>
                <w:color w:val="000000"/>
                <w:sz w:val="22"/>
                <w:szCs w:val="22"/>
                <w:lang w:val="hr-HR"/>
              </w:rPr>
              <w:t>3.407</w:t>
            </w:r>
          </w:p>
        </w:tc>
      </w:tr>
      <w:tr w:rsidR="002D1D34" w:rsidRPr="001567C8" w:rsidTr="00B8477D">
        <w:trPr>
          <w:trHeight w:val="340"/>
        </w:trPr>
        <w:tc>
          <w:tcPr>
            <w:tcW w:w="3123" w:type="pct"/>
            <w:vAlign w:val="bottom"/>
          </w:tcPr>
          <w:p w:rsidR="002D1D34" w:rsidRPr="001567C8" w:rsidRDefault="002D1D34" w:rsidP="007C12E0">
            <w:pPr>
              <w:pStyle w:val="TT"/>
              <w:spacing w:line="200" w:lineRule="exact"/>
              <w:rPr>
                <w:rFonts w:asciiTheme="minorHAnsi" w:hAnsiTheme="minorHAnsi" w:cs="Arial"/>
                <w:sz w:val="22"/>
                <w:szCs w:val="22"/>
                <w:lang w:val="hr-HR"/>
              </w:rPr>
            </w:pPr>
            <w:r w:rsidRPr="001567C8">
              <w:rPr>
                <w:rFonts w:asciiTheme="minorHAnsi" w:hAnsiTheme="minorHAnsi" w:cs="Arial"/>
                <w:sz w:val="22"/>
                <w:szCs w:val="22"/>
                <w:lang w:val="hr-HR"/>
              </w:rPr>
              <w:t>Ostali</w:t>
            </w:r>
          </w:p>
        </w:tc>
        <w:tc>
          <w:tcPr>
            <w:tcW w:w="968" w:type="pct"/>
            <w:tcBorders>
              <w:top w:val="nil"/>
              <w:left w:val="nil"/>
              <w:bottom w:val="nil"/>
              <w:right w:val="nil"/>
            </w:tcBorders>
            <w:shd w:val="clear" w:color="auto" w:fill="auto"/>
            <w:vAlign w:val="bottom"/>
          </w:tcPr>
          <w:p w:rsidR="002D1D34" w:rsidRPr="00CD3A2D" w:rsidRDefault="002D1D34" w:rsidP="007C12E0">
            <w:pPr>
              <w:pStyle w:val="TT"/>
              <w:spacing w:line="200" w:lineRule="exact"/>
              <w:jc w:val="right"/>
              <w:rPr>
                <w:rFonts w:ascii="Calibri" w:hAnsi="Calibri" w:cs="Calibri"/>
                <w:color w:val="000000"/>
                <w:sz w:val="22"/>
                <w:szCs w:val="22"/>
                <w:lang w:val="hr-HR"/>
              </w:rPr>
            </w:pPr>
            <w:r w:rsidRPr="00CD3A2D">
              <w:rPr>
                <w:rFonts w:ascii="Calibri" w:hAnsi="Calibri" w:cs="Calibri"/>
                <w:color w:val="000000"/>
                <w:sz w:val="22"/>
                <w:szCs w:val="22"/>
                <w:lang w:val="hr-HR"/>
              </w:rPr>
              <w:t>588.</w:t>
            </w:r>
            <w:r w:rsidR="0067051A" w:rsidRPr="00CD3A2D">
              <w:rPr>
                <w:rFonts w:ascii="Calibri" w:hAnsi="Calibri" w:cs="Calibri"/>
                <w:color w:val="000000"/>
                <w:sz w:val="22"/>
                <w:szCs w:val="22"/>
                <w:lang w:val="hr-HR"/>
              </w:rPr>
              <w:t>164</w:t>
            </w:r>
          </w:p>
        </w:tc>
        <w:tc>
          <w:tcPr>
            <w:tcW w:w="909" w:type="pct"/>
            <w:tcBorders>
              <w:top w:val="nil"/>
              <w:left w:val="nil"/>
              <w:bottom w:val="nil"/>
              <w:right w:val="nil"/>
            </w:tcBorders>
            <w:shd w:val="clear" w:color="auto" w:fill="auto"/>
            <w:vAlign w:val="bottom"/>
          </w:tcPr>
          <w:p w:rsidR="002D1D34" w:rsidRPr="001567C8" w:rsidRDefault="002D1D34" w:rsidP="007C12E0">
            <w:pPr>
              <w:pStyle w:val="TT"/>
              <w:spacing w:line="200" w:lineRule="exact"/>
              <w:jc w:val="right"/>
              <w:rPr>
                <w:rFonts w:asciiTheme="minorHAnsi" w:hAnsiTheme="minorHAnsi" w:cs="Arial"/>
                <w:sz w:val="22"/>
                <w:szCs w:val="22"/>
                <w:lang w:val="hr-HR"/>
              </w:rPr>
            </w:pPr>
            <w:r w:rsidRPr="00CD3A2D">
              <w:rPr>
                <w:rFonts w:ascii="Calibri" w:hAnsi="Calibri" w:cs="Calibri"/>
                <w:color w:val="000000"/>
                <w:sz w:val="22"/>
                <w:szCs w:val="22"/>
                <w:lang w:val="hr-HR"/>
              </w:rPr>
              <w:t>653.179</w:t>
            </w:r>
          </w:p>
        </w:tc>
      </w:tr>
      <w:tr w:rsidR="002D1D34" w:rsidRPr="001567C8" w:rsidTr="00B8477D">
        <w:trPr>
          <w:trHeight w:val="340"/>
        </w:trPr>
        <w:tc>
          <w:tcPr>
            <w:tcW w:w="3123" w:type="pct"/>
            <w:vAlign w:val="bottom"/>
          </w:tcPr>
          <w:p w:rsidR="002D1D34" w:rsidRPr="001567C8" w:rsidRDefault="002D1D34" w:rsidP="007C12E0">
            <w:pPr>
              <w:pStyle w:val="TT"/>
              <w:spacing w:line="200" w:lineRule="exact"/>
              <w:rPr>
                <w:rFonts w:asciiTheme="minorHAnsi" w:hAnsiTheme="minorHAnsi" w:cs="Arial"/>
                <w:sz w:val="22"/>
                <w:szCs w:val="22"/>
                <w:lang w:val="hr-HR"/>
              </w:rPr>
            </w:pPr>
            <w:r w:rsidRPr="001567C8">
              <w:rPr>
                <w:rFonts w:asciiTheme="minorHAnsi" w:hAnsiTheme="minorHAnsi" w:cs="Arial"/>
                <w:sz w:val="22"/>
                <w:szCs w:val="22"/>
                <w:lang w:val="hr-HR"/>
              </w:rPr>
              <w:t>Obračunata kamata</w:t>
            </w:r>
          </w:p>
        </w:tc>
        <w:tc>
          <w:tcPr>
            <w:tcW w:w="968" w:type="pct"/>
            <w:tcBorders>
              <w:top w:val="nil"/>
              <w:left w:val="nil"/>
              <w:bottom w:val="nil"/>
              <w:right w:val="nil"/>
            </w:tcBorders>
            <w:shd w:val="clear" w:color="auto" w:fill="auto"/>
            <w:vAlign w:val="bottom"/>
          </w:tcPr>
          <w:p w:rsidR="002D1D34" w:rsidRPr="00CD3A2D" w:rsidRDefault="002D1D34" w:rsidP="007C12E0">
            <w:pPr>
              <w:pStyle w:val="TT"/>
              <w:spacing w:line="200" w:lineRule="exact"/>
              <w:jc w:val="right"/>
              <w:rPr>
                <w:rFonts w:ascii="Calibri" w:hAnsi="Calibri" w:cs="Calibri"/>
                <w:color w:val="000000"/>
                <w:sz w:val="22"/>
                <w:szCs w:val="22"/>
                <w:lang w:val="hr-HR"/>
              </w:rPr>
            </w:pPr>
            <w:r w:rsidRPr="00CD3A2D">
              <w:rPr>
                <w:rFonts w:ascii="Calibri" w:hAnsi="Calibri" w:cs="Calibri"/>
                <w:color w:val="000000"/>
                <w:sz w:val="22"/>
                <w:szCs w:val="22"/>
                <w:lang w:val="hr-HR"/>
              </w:rPr>
              <w:t>251.405</w:t>
            </w:r>
          </w:p>
        </w:tc>
        <w:tc>
          <w:tcPr>
            <w:tcW w:w="909" w:type="pct"/>
            <w:tcBorders>
              <w:top w:val="nil"/>
              <w:left w:val="nil"/>
              <w:bottom w:val="nil"/>
              <w:right w:val="nil"/>
            </w:tcBorders>
            <w:shd w:val="clear" w:color="auto" w:fill="auto"/>
            <w:vAlign w:val="bottom"/>
          </w:tcPr>
          <w:p w:rsidR="002D1D34" w:rsidRPr="001567C8" w:rsidRDefault="002D1D34" w:rsidP="007C12E0">
            <w:pPr>
              <w:pStyle w:val="TT"/>
              <w:spacing w:line="200" w:lineRule="exact"/>
              <w:jc w:val="right"/>
              <w:rPr>
                <w:rFonts w:asciiTheme="minorHAnsi" w:hAnsiTheme="minorHAnsi" w:cs="Arial"/>
                <w:sz w:val="22"/>
                <w:szCs w:val="22"/>
                <w:lang w:val="hr-HR"/>
              </w:rPr>
            </w:pPr>
            <w:r w:rsidRPr="00CD3A2D">
              <w:rPr>
                <w:rFonts w:ascii="Calibri" w:hAnsi="Calibri" w:cs="Calibri"/>
                <w:color w:val="000000"/>
                <w:sz w:val="22"/>
                <w:szCs w:val="22"/>
                <w:lang w:val="hr-HR"/>
              </w:rPr>
              <w:t>101.042</w:t>
            </w:r>
          </w:p>
        </w:tc>
      </w:tr>
      <w:tr w:rsidR="002D1D34" w:rsidRPr="001567C8" w:rsidTr="00B8477D">
        <w:trPr>
          <w:trHeight w:val="340"/>
        </w:trPr>
        <w:tc>
          <w:tcPr>
            <w:tcW w:w="3123" w:type="pct"/>
            <w:vAlign w:val="bottom"/>
          </w:tcPr>
          <w:p w:rsidR="002D1D34" w:rsidRPr="001567C8" w:rsidRDefault="002D1D34" w:rsidP="007C12E0">
            <w:pPr>
              <w:pStyle w:val="TT"/>
              <w:spacing w:line="200" w:lineRule="exact"/>
              <w:rPr>
                <w:rFonts w:asciiTheme="minorHAnsi" w:hAnsiTheme="minorHAnsi" w:cs="Arial"/>
                <w:sz w:val="22"/>
                <w:szCs w:val="22"/>
                <w:lang w:val="hr-HR"/>
              </w:rPr>
            </w:pPr>
            <w:r w:rsidRPr="001567C8">
              <w:rPr>
                <w:rFonts w:asciiTheme="minorHAnsi" w:hAnsiTheme="minorHAnsi" w:cs="Arial"/>
                <w:sz w:val="22"/>
                <w:szCs w:val="22"/>
                <w:lang w:val="hr-HR"/>
              </w:rPr>
              <w:t>Odgođena naknada po kreditima</w:t>
            </w:r>
          </w:p>
        </w:tc>
        <w:tc>
          <w:tcPr>
            <w:tcW w:w="968" w:type="pct"/>
            <w:tcBorders>
              <w:top w:val="nil"/>
              <w:left w:val="nil"/>
              <w:right w:val="nil"/>
            </w:tcBorders>
            <w:shd w:val="clear" w:color="auto" w:fill="auto"/>
            <w:vAlign w:val="bottom"/>
          </w:tcPr>
          <w:p w:rsidR="002D1D34" w:rsidRPr="00CD3A2D" w:rsidRDefault="002D1D34" w:rsidP="007C12E0">
            <w:pPr>
              <w:pStyle w:val="TT"/>
              <w:spacing w:line="200" w:lineRule="exact"/>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(94.014)</w:t>
            </w:r>
          </w:p>
        </w:tc>
        <w:tc>
          <w:tcPr>
            <w:tcW w:w="909" w:type="pct"/>
            <w:tcBorders>
              <w:top w:val="nil"/>
              <w:left w:val="nil"/>
              <w:right w:val="nil"/>
            </w:tcBorders>
            <w:shd w:val="clear" w:color="auto" w:fill="auto"/>
            <w:vAlign w:val="bottom"/>
          </w:tcPr>
          <w:p w:rsidR="002D1D34" w:rsidRPr="001567C8" w:rsidRDefault="002D1D34" w:rsidP="007C12E0">
            <w:pPr>
              <w:pStyle w:val="TT"/>
              <w:spacing w:line="200" w:lineRule="exact"/>
              <w:jc w:val="right"/>
              <w:rPr>
                <w:rFonts w:asciiTheme="minorHAnsi" w:hAnsiTheme="minorHAnsi" w:cs="Arial"/>
                <w:sz w:val="22"/>
                <w:szCs w:val="22"/>
                <w:lang w:val="hr-HR"/>
              </w:rPr>
            </w:pPr>
            <w:r w:rsidRPr="00CD3A2D">
              <w:rPr>
                <w:rFonts w:ascii="Calibri" w:hAnsi="Calibri" w:cs="Calibri"/>
                <w:color w:val="000000"/>
                <w:sz w:val="22"/>
                <w:szCs w:val="22"/>
                <w:lang w:val="hr-HR"/>
              </w:rPr>
              <w:t xml:space="preserve">      (113.501)</w:t>
            </w:r>
          </w:p>
        </w:tc>
      </w:tr>
      <w:tr w:rsidR="002D1D34" w:rsidRPr="001567C8" w:rsidTr="00B8477D">
        <w:trPr>
          <w:trHeight w:val="437"/>
        </w:trPr>
        <w:tc>
          <w:tcPr>
            <w:tcW w:w="3123" w:type="pct"/>
          </w:tcPr>
          <w:p w:rsidR="002D1D34" w:rsidRPr="001567C8" w:rsidRDefault="002D1D34" w:rsidP="0079360D">
            <w:pPr>
              <w:pStyle w:val="Tot"/>
              <w:spacing w:line="200" w:lineRule="exact"/>
              <w:rPr>
                <w:rFonts w:asciiTheme="minorHAnsi" w:hAnsiTheme="minorHAnsi" w:cs="Arial"/>
                <w:spacing w:val="-3"/>
                <w:sz w:val="22"/>
                <w:szCs w:val="22"/>
                <w:lang w:val="hr-HR"/>
              </w:rPr>
            </w:pPr>
          </w:p>
        </w:tc>
        <w:tc>
          <w:tcPr>
            <w:tcW w:w="968" w:type="pct"/>
            <w:tcBorders>
              <w:top w:val="single" w:sz="4" w:space="0" w:color="auto"/>
              <w:bottom w:val="single" w:sz="4" w:space="0" w:color="auto"/>
            </w:tcBorders>
            <w:vAlign w:val="bottom"/>
          </w:tcPr>
          <w:p w:rsidR="002D1D34" w:rsidRPr="001567C8" w:rsidRDefault="002D1D34" w:rsidP="0079360D">
            <w:pPr>
              <w:pStyle w:val="Tot"/>
              <w:spacing w:line="200" w:lineRule="exact"/>
              <w:jc w:val="right"/>
              <w:rPr>
                <w:rFonts w:asciiTheme="minorHAnsi" w:hAnsiTheme="minorHAnsi" w:cs="Arial"/>
                <w:sz w:val="22"/>
                <w:szCs w:val="22"/>
                <w:lang w:val="hr-HR"/>
              </w:rPr>
            </w:pPr>
            <w:r w:rsidRPr="001567C8">
              <w:rPr>
                <w:rFonts w:asciiTheme="minorHAnsi" w:hAnsiTheme="minorHAnsi" w:cs="Arial"/>
                <w:sz w:val="22"/>
                <w:szCs w:val="22"/>
                <w:lang w:val="hr-HR"/>
              </w:rPr>
              <w:t>15.890.982</w:t>
            </w:r>
          </w:p>
        </w:tc>
        <w:tc>
          <w:tcPr>
            <w:tcW w:w="909" w:type="pct"/>
            <w:tcBorders>
              <w:top w:val="single" w:sz="4" w:space="0" w:color="auto"/>
              <w:bottom w:val="single" w:sz="4" w:space="0" w:color="auto"/>
            </w:tcBorders>
            <w:vAlign w:val="bottom"/>
          </w:tcPr>
          <w:p w:rsidR="002D1D34" w:rsidRPr="001567C8" w:rsidRDefault="002D1D34" w:rsidP="0079360D">
            <w:pPr>
              <w:pStyle w:val="Tot"/>
              <w:spacing w:line="200" w:lineRule="exact"/>
              <w:jc w:val="right"/>
              <w:rPr>
                <w:rFonts w:asciiTheme="minorHAnsi" w:hAnsiTheme="minorHAnsi" w:cs="Arial"/>
                <w:sz w:val="22"/>
                <w:szCs w:val="22"/>
                <w:lang w:val="hr-HR"/>
              </w:rPr>
            </w:pPr>
            <w:r w:rsidRPr="001567C8">
              <w:rPr>
                <w:rFonts w:asciiTheme="minorHAnsi" w:hAnsiTheme="minorHAnsi" w:cs="Arial"/>
                <w:sz w:val="22"/>
                <w:szCs w:val="22"/>
                <w:lang w:val="hr-HR"/>
              </w:rPr>
              <w:t>15.258.926</w:t>
            </w:r>
          </w:p>
        </w:tc>
      </w:tr>
      <w:tr w:rsidR="002D1D34" w:rsidRPr="001567C8" w:rsidTr="00B8477D">
        <w:trPr>
          <w:trHeight w:val="414"/>
        </w:trPr>
        <w:tc>
          <w:tcPr>
            <w:tcW w:w="3123" w:type="pct"/>
            <w:vAlign w:val="bottom"/>
          </w:tcPr>
          <w:p w:rsidR="002D1D34" w:rsidRPr="001567C8" w:rsidRDefault="002D1D34" w:rsidP="007C12E0">
            <w:pPr>
              <w:pStyle w:val="TT"/>
              <w:spacing w:line="200" w:lineRule="exact"/>
              <w:rPr>
                <w:rFonts w:asciiTheme="minorHAnsi" w:hAnsiTheme="minorHAnsi" w:cs="Arial"/>
                <w:sz w:val="22"/>
                <w:szCs w:val="22"/>
                <w:lang w:val="hr-HR"/>
              </w:rPr>
            </w:pPr>
            <w:r w:rsidRPr="001567C8">
              <w:rPr>
                <w:rFonts w:asciiTheme="minorHAnsi" w:hAnsiTheme="minorHAnsi" w:cs="Arial"/>
                <w:sz w:val="22"/>
                <w:szCs w:val="22"/>
                <w:lang w:val="hr-HR"/>
              </w:rPr>
              <w:t xml:space="preserve">Rezerviranja za </w:t>
            </w:r>
            <w:r w:rsidR="00726C85" w:rsidRPr="001567C8">
              <w:rPr>
                <w:rFonts w:asciiTheme="minorHAnsi" w:hAnsiTheme="minorHAnsi" w:cs="Arial"/>
                <w:sz w:val="22"/>
                <w:szCs w:val="22"/>
                <w:lang w:val="hr-HR"/>
              </w:rPr>
              <w:t>očekivane</w:t>
            </w:r>
            <w:r w:rsidRPr="001567C8">
              <w:rPr>
                <w:rFonts w:asciiTheme="minorHAnsi" w:hAnsiTheme="minorHAnsi" w:cs="Arial"/>
                <w:sz w:val="22"/>
                <w:szCs w:val="22"/>
                <w:lang w:val="hr-HR"/>
              </w:rPr>
              <w:t xml:space="preserve"> gubitke</w:t>
            </w:r>
          </w:p>
        </w:tc>
        <w:tc>
          <w:tcPr>
            <w:tcW w:w="968" w:type="pct"/>
            <w:tcBorders>
              <w:top w:val="single" w:sz="4" w:space="0" w:color="auto"/>
              <w:bottom w:val="single" w:sz="4" w:space="0" w:color="auto"/>
            </w:tcBorders>
            <w:vAlign w:val="bottom"/>
          </w:tcPr>
          <w:p w:rsidR="002D1D34" w:rsidRPr="001567C8" w:rsidRDefault="002D1D34" w:rsidP="0079360D">
            <w:pPr>
              <w:pStyle w:val="TT"/>
              <w:spacing w:line="200" w:lineRule="exact"/>
              <w:jc w:val="right"/>
              <w:rPr>
                <w:rFonts w:asciiTheme="minorHAnsi" w:hAnsiTheme="minorHAnsi" w:cs="Arial"/>
                <w:spacing w:val="-2"/>
                <w:sz w:val="22"/>
                <w:szCs w:val="22"/>
                <w:lang w:val="hr-HR"/>
              </w:rPr>
            </w:pPr>
            <w:r w:rsidRPr="001567C8">
              <w:rPr>
                <w:rFonts w:asciiTheme="minorHAnsi" w:hAnsiTheme="minorHAnsi" w:cs="Arial"/>
                <w:spacing w:val="-2"/>
                <w:sz w:val="22"/>
                <w:szCs w:val="22"/>
                <w:lang w:val="hr-HR"/>
              </w:rPr>
              <w:t>(3.380.296)</w:t>
            </w:r>
          </w:p>
        </w:tc>
        <w:tc>
          <w:tcPr>
            <w:tcW w:w="909" w:type="pct"/>
            <w:tcBorders>
              <w:top w:val="single" w:sz="4" w:space="0" w:color="auto"/>
              <w:bottom w:val="single" w:sz="4" w:space="0" w:color="auto"/>
            </w:tcBorders>
            <w:vAlign w:val="bottom"/>
          </w:tcPr>
          <w:p w:rsidR="002D1D34" w:rsidRPr="001567C8" w:rsidRDefault="002D1D34" w:rsidP="0079360D">
            <w:pPr>
              <w:pStyle w:val="TT"/>
              <w:spacing w:line="200" w:lineRule="exact"/>
              <w:jc w:val="right"/>
              <w:rPr>
                <w:rFonts w:asciiTheme="minorHAnsi" w:hAnsiTheme="minorHAnsi" w:cs="Arial"/>
                <w:spacing w:val="-2"/>
                <w:sz w:val="22"/>
                <w:szCs w:val="22"/>
                <w:lang w:val="hr-HR"/>
              </w:rPr>
            </w:pPr>
            <w:r w:rsidRPr="001567C8">
              <w:rPr>
                <w:rFonts w:asciiTheme="minorHAnsi" w:hAnsiTheme="minorHAnsi" w:cs="Arial"/>
                <w:spacing w:val="-2"/>
                <w:sz w:val="22"/>
                <w:szCs w:val="22"/>
                <w:lang w:val="hr-HR"/>
              </w:rPr>
              <w:t>(2.875.303)</w:t>
            </w:r>
          </w:p>
        </w:tc>
      </w:tr>
      <w:tr w:rsidR="002D1D34" w:rsidRPr="001567C8" w:rsidTr="00B8477D">
        <w:trPr>
          <w:trHeight w:val="445"/>
        </w:trPr>
        <w:tc>
          <w:tcPr>
            <w:tcW w:w="3123" w:type="pct"/>
          </w:tcPr>
          <w:p w:rsidR="002D1D34" w:rsidRPr="001567C8" w:rsidRDefault="002D1D34" w:rsidP="0079360D">
            <w:pPr>
              <w:pStyle w:val="Tot"/>
              <w:spacing w:line="200" w:lineRule="exact"/>
              <w:rPr>
                <w:rFonts w:asciiTheme="minorHAnsi" w:hAnsiTheme="minorHAnsi" w:cs="Arial"/>
                <w:b/>
                <w:bCs/>
                <w:sz w:val="22"/>
                <w:szCs w:val="22"/>
                <w:lang w:val="hr-HR"/>
              </w:rPr>
            </w:pPr>
          </w:p>
        </w:tc>
        <w:tc>
          <w:tcPr>
            <w:tcW w:w="968" w:type="pct"/>
            <w:tcBorders>
              <w:top w:val="single" w:sz="4" w:space="0" w:color="auto"/>
              <w:bottom w:val="single" w:sz="12" w:space="0" w:color="auto"/>
            </w:tcBorders>
            <w:vAlign w:val="bottom"/>
          </w:tcPr>
          <w:p w:rsidR="002D1D34" w:rsidRPr="001567C8" w:rsidRDefault="002D1D34" w:rsidP="0079360D">
            <w:pPr>
              <w:pStyle w:val="Tot"/>
              <w:spacing w:line="200" w:lineRule="exact"/>
              <w:jc w:val="righ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12.510.686</w:t>
            </w:r>
          </w:p>
        </w:tc>
        <w:tc>
          <w:tcPr>
            <w:tcW w:w="909" w:type="pct"/>
            <w:tcBorders>
              <w:top w:val="single" w:sz="4" w:space="0" w:color="auto"/>
              <w:bottom w:val="single" w:sz="12" w:space="0" w:color="auto"/>
            </w:tcBorders>
            <w:vAlign w:val="bottom"/>
          </w:tcPr>
          <w:p w:rsidR="002D1D34" w:rsidRPr="001567C8" w:rsidRDefault="002D1D34" w:rsidP="0079360D">
            <w:pPr>
              <w:pStyle w:val="Tot"/>
              <w:spacing w:line="200" w:lineRule="exact"/>
              <w:jc w:val="righ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12.383.623</w:t>
            </w:r>
          </w:p>
        </w:tc>
      </w:tr>
    </w:tbl>
    <w:p w:rsidR="00D44B33" w:rsidRPr="001567C8" w:rsidRDefault="00D44B33" w:rsidP="00E51223">
      <w:pPr>
        <w:pStyle w:val="T1"/>
        <w:spacing w:before="0" w:after="0" w:line="240" w:lineRule="auto"/>
        <w:rPr>
          <w:rFonts w:asciiTheme="minorHAnsi" w:hAnsiTheme="minorHAnsi" w:cs="Arial"/>
          <w:b w:val="0"/>
          <w:bCs w:val="0"/>
          <w:sz w:val="18"/>
          <w:szCs w:val="18"/>
          <w:lang w:val="hr-HR"/>
        </w:rPr>
      </w:pPr>
    </w:p>
    <w:p w:rsidR="003E2D7A" w:rsidRPr="001567C8" w:rsidRDefault="003E2D7A" w:rsidP="00E51223">
      <w:pPr>
        <w:pStyle w:val="T1"/>
        <w:spacing w:before="0" w:after="0" w:line="240" w:lineRule="auto"/>
        <w:rPr>
          <w:rFonts w:asciiTheme="minorHAnsi" w:hAnsiTheme="minorHAnsi" w:cs="Arial"/>
          <w:b w:val="0"/>
          <w:bCs w:val="0"/>
          <w:sz w:val="18"/>
          <w:szCs w:val="18"/>
          <w:lang w:val="hr-HR"/>
        </w:rPr>
      </w:pPr>
    </w:p>
    <w:p w:rsidR="003E2D7A" w:rsidRPr="001567C8" w:rsidRDefault="003E2D7A" w:rsidP="00C421BD">
      <w:pPr>
        <w:jc w:val="both"/>
        <w:rPr>
          <w:rFonts w:asciiTheme="minorHAnsi" w:hAnsiTheme="minorHAnsi" w:cs="Arial"/>
          <w:sz w:val="22"/>
          <w:szCs w:val="22"/>
          <w:lang w:val="hr-HR"/>
        </w:rPr>
      </w:pPr>
      <w:bookmarkStart w:id="54" w:name="_Hlk1482692"/>
      <w:r w:rsidRPr="001567C8">
        <w:rPr>
          <w:rFonts w:asciiTheme="minorHAnsi" w:hAnsiTheme="minorHAnsi" w:cs="Arial"/>
          <w:sz w:val="22"/>
          <w:szCs w:val="22"/>
          <w:lang w:val="hr-HR"/>
        </w:rPr>
        <w:t>Sljedeća tablica prikazuje informacije o kreditnoj kvaliteti financijske imovine koja se mjeri po amortiziranom trošku. Iznosi u tablici predstavljaju bruto knjigovodstvene iznose:</w:t>
      </w:r>
      <w:bookmarkEnd w:id="54"/>
    </w:p>
    <w:p w:rsidR="002D1D34" w:rsidRPr="001567C8" w:rsidRDefault="002D1D34" w:rsidP="00C421BD">
      <w:pPr>
        <w:jc w:val="both"/>
        <w:rPr>
          <w:rFonts w:asciiTheme="minorHAnsi" w:hAnsiTheme="minorHAnsi" w:cs="Arial"/>
          <w:sz w:val="22"/>
          <w:szCs w:val="22"/>
          <w:lang w:val="hr-HR"/>
        </w:rPr>
      </w:pPr>
    </w:p>
    <w:tbl>
      <w:tblPr>
        <w:tblW w:w="9312" w:type="dxa"/>
        <w:tblLayout w:type="fixed"/>
        <w:tblLook w:val="04A0" w:firstRow="1" w:lastRow="0" w:firstColumn="1" w:lastColumn="0" w:noHBand="0" w:noVBand="1"/>
      </w:tblPr>
      <w:tblGrid>
        <w:gridCol w:w="2680"/>
        <w:gridCol w:w="1325"/>
        <w:gridCol w:w="1325"/>
        <w:gridCol w:w="1326"/>
        <w:gridCol w:w="1325"/>
        <w:gridCol w:w="1331"/>
      </w:tblGrid>
      <w:tr w:rsidR="002D1D34" w:rsidRPr="001567C8" w:rsidTr="00B8477D">
        <w:trPr>
          <w:trHeight w:val="50"/>
        </w:trPr>
        <w:tc>
          <w:tcPr>
            <w:tcW w:w="2680" w:type="dxa"/>
            <w:tcBorders>
              <w:top w:val="nil"/>
              <w:left w:val="nil"/>
              <w:bottom w:val="nil"/>
              <w:right w:val="nil"/>
            </w:tcBorders>
            <w:shd w:val="clear" w:color="auto" w:fill="auto"/>
            <w:noWrap/>
            <w:vAlign w:val="bottom"/>
            <w:hideMark/>
          </w:tcPr>
          <w:p w:rsidR="002D1D34" w:rsidRPr="00CD3A2D" w:rsidRDefault="002D1D34" w:rsidP="00E72960">
            <w:pPr>
              <w:rPr>
                <w:rFonts w:asciiTheme="minorHAnsi" w:hAnsiTheme="minorHAnsi" w:cstheme="minorHAnsi"/>
                <w:sz w:val="22"/>
                <w:szCs w:val="22"/>
                <w:lang w:val="hr-HR"/>
              </w:rPr>
            </w:pPr>
          </w:p>
        </w:tc>
        <w:tc>
          <w:tcPr>
            <w:tcW w:w="6632" w:type="dxa"/>
            <w:gridSpan w:val="5"/>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Grupa i Banka</w:t>
            </w:r>
          </w:p>
        </w:tc>
      </w:tr>
      <w:tr w:rsidR="002D1D34" w:rsidRPr="001567C8" w:rsidTr="003C6BA3">
        <w:trPr>
          <w:trHeight w:val="50"/>
        </w:trPr>
        <w:tc>
          <w:tcPr>
            <w:tcW w:w="2680"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p>
        </w:tc>
        <w:tc>
          <w:tcPr>
            <w:tcW w:w="1325"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Stupanj 1</w:t>
            </w:r>
          </w:p>
        </w:tc>
        <w:tc>
          <w:tcPr>
            <w:tcW w:w="1325"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Stupanj 2</w:t>
            </w:r>
          </w:p>
        </w:tc>
        <w:tc>
          <w:tcPr>
            <w:tcW w:w="1326"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Stupanj 3</w:t>
            </w:r>
          </w:p>
        </w:tc>
        <w:tc>
          <w:tcPr>
            <w:tcW w:w="1325" w:type="dxa"/>
            <w:tcBorders>
              <w:top w:val="nil"/>
              <w:left w:val="nil"/>
              <w:bottom w:val="nil"/>
              <w:right w:val="nil"/>
            </w:tcBorders>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POCI</w:t>
            </w:r>
          </w:p>
        </w:tc>
        <w:tc>
          <w:tcPr>
            <w:tcW w:w="1331"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Ukupno</w:t>
            </w:r>
          </w:p>
        </w:tc>
      </w:tr>
      <w:tr w:rsidR="002D1D34" w:rsidRPr="001567C8" w:rsidTr="003C6BA3">
        <w:trPr>
          <w:trHeight w:val="50"/>
        </w:trPr>
        <w:tc>
          <w:tcPr>
            <w:tcW w:w="2680"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p>
        </w:tc>
        <w:tc>
          <w:tcPr>
            <w:tcW w:w="1325"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000 kuna</w:t>
            </w:r>
          </w:p>
        </w:tc>
        <w:tc>
          <w:tcPr>
            <w:tcW w:w="1325"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000 kuna</w:t>
            </w:r>
          </w:p>
        </w:tc>
        <w:tc>
          <w:tcPr>
            <w:tcW w:w="1326"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000 kuna</w:t>
            </w:r>
          </w:p>
        </w:tc>
        <w:tc>
          <w:tcPr>
            <w:tcW w:w="1325" w:type="dxa"/>
            <w:tcBorders>
              <w:top w:val="nil"/>
              <w:left w:val="nil"/>
              <w:bottom w:val="nil"/>
              <w:right w:val="nil"/>
            </w:tcBorders>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000 kuna</w:t>
            </w:r>
          </w:p>
        </w:tc>
        <w:tc>
          <w:tcPr>
            <w:tcW w:w="1331" w:type="dxa"/>
            <w:tcBorders>
              <w:top w:val="nil"/>
              <w:left w:val="nil"/>
              <w:bottom w:val="nil"/>
              <w:right w:val="nil"/>
            </w:tcBorders>
            <w:shd w:val="clear" w:color="auto" w:fill="auto"/>
            <w:noWrap/>
            <w:vAlign w:val="bottom"/>
            <w:hideMark/>
          </w:tcPr>
          <w:p w:rsidR="002D1D34" w:rsidRPr="00CD3A2D" w:rsidRDefault="002D1D34" w:rsidP="00E72960">
            <w:pPr>
              <w:jc w:val="right"/>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000 kuna</w:t>
            </w:r>
          </w:p>
        </w:tc>
      </w:tr>
      <w:tr w:rsidR="002D1D34" w:rsidRPr="001567C8" w:rsidTr="003C6BA3">
        <w:trPr>
          <w:trHeight w:val="155"/>
        </w:trPr>
        <w:tc>
          <w:tcPr>
            <w:tcW w:w="2680" w:type="dxa"/>
            <w:tcBorders>
              <w:top w:val="nil"/>
              <w:left w:val="nil"/>
              <w:bottom w:val="nil"/>
              <w:right w:val="nil"/>
            </w:tcBorders>
            <w:shd w:val="clear" w:color="auto" w:fill="auto"/>
            <w:noWrap/>
            <w:vAlign w:val="bottom"/>
          </w:tcPr>
          <w:p w:rsidR="002D1D34" w:rsidRPr="00CD3A2D" w:rsidRDefault="002D1D34" w:rsidP="00E72960">
            <w:pPr>
              <w:jc w:val="right"/>
              <w:rPr>
                <w:rFonts w:asciiTheme="minorHAnsi" w:hAnsiTheme="minorHAnsi" w:cstheme="minorHAnsi"/>
                <w:b/>
                <w:bCs/>
                <w:color w:val="000000"/>
                <w:sz w:val="22"/>
                <w:szCs w:val="22"/>
                <w:lang w:val="hr-HR"/>
              </w:rPr>
            </w:pPr>
          </w:p>
        </w:tc>
        <w:tc>
          <w:tcPr>
            <w:tcW w:w="1325" w:type="dxa"/>
            <w:tcBorders>
              <w:top w:val="nil"/>
              <w:left w:val="nil"/>
              <w:bottom w:val="nil"/>
              <w:right w:val="nil"/>
            </w:tcBorders>
            <w:shd w:val="clear" w:color="auto" w:fill="auto"/>
            <w:noWrap/>
            <w:vAlign w:val="bottom"/>
          </w:tcPr>
          <w:p w:rsidR="002D1D34" w:rsidRPr="00CD3A2D" w:rsidRDefault="002D1D34" w:rsidP="00E72960">
            <w:pPr>
              <w:jc w:val="right"/>
              <w:rPr>
                <w:rFonts w:asciiTheme="minorHAnsi" w:hAnsiTheme="minorHAnsi" w:cstheme="minorHAnsi"/>
                <w:b/>
                <w:bCs/>
                <w:color w:val="000000"/>
                <w:sz w:val="22"/>
                <w:szCs w:val="22"/>
                <w:lang w:val="hr-HR"/>
              </w:rPr>
            </w:pPr>
          </w:p>
        </w:tc>
        <w:tc>
          <w:tcPr>
            <w:tcW w:w="1325" w:type="dxa"/>
            <w:tcBorders>
              <w:top w:val="nil"/>
              <w:left w:val="nil"/>
              <w:bottom w:val="nil"/>
              <w:right w:val="nil"/>
            </w:tcBorders>
            <w:shd w:val="clear" w:color="auto" w:fill="auto"/>
            <w:noWrap/>
            <w:vAlign w:val="bottom"/>
          </w:tcPr>
          <w:p w:rsidR="002D1D34" w:rsidRPr="00CD3A2D" w:rsidRDefault="002D1D34" w:rsidP="00E72960">
            <w:pPr>
              <w:jc w:val="right"/>
              <w:rPr>
                <w:rFonts w:asciiTheme="minorHAnsi" w:hAnsiTheme="minorHAnsi" w:cstheme="minorHAnsi"/>
                <w:b/>
                <w:bCs/>
                <w:color w:val="000000"/>
                <w:sz w:val="22"/>
                <w:szCs w:val="22"/>
                <w:lang w:val="hr-HR"/>
              </w:rPr>
            </w:pPr>
          </w:p>
        </w:tc>
        <w:tc>
          <w:tcPr>
            <w:tcW w:w="1326" w:type="dxa"/>
            <w:tcBorders>
              <w:top w:val="nil"/>
              <w:left w:val="nil"/>
              <w:bottom w:val="nil"/>
              <w:right w:val="nil"/>
            </w:tcBorders>
            <w:shd w:val="clear" w:color="auto" w:fill="auto"/>
            <w:noWrap/>
            <w:vAlign w:val="bottom"/>
          </w:tcPr>
          <w:p w:rsidR="002D1D34" w:rsidRPr="00CD3A2D" w:rsidRDefault="002D1D34" w:rsidP="00E72960">
            <w:pPr>
              <w:jc w:val="right"/>
              <w:rPr>
                <w:rFonts w:asciiTheme="minorHAnsi" w:hAnsiTheme="minorHAnsi" w:cstheme="minorHAnsi"/>
                <w:b/>
                <w:bCs/>
                <w:color w:val="000000"/>
                <w:sz w:val="22"/>
                <w:szCs w:val="22"/>
                <w:lang w:val="hr-HR"/>
              </w:rPr>
            </w:pPr>
          </w:p>
        </w:tc>
        <w:tc>
          <w:tcPr>
            <w:tcW w:w="1325" w:type="dxa"/>
            <w:tcBorders>
              <w:top w:val="nil"/>
              <w:left w:val="nil"/>
              <w:bottom w:val="nil"/>
              <w:right w:val="nil"/>
            </w:tcBorders>
          </w:tcPr>
          <w:p w:rsidR="002D1D34" w:rsidRPr="00CD3A2D" w:rsidRDefault="002D1D34" w:rsidP="00E72960">
            <w:pPr>
              <w:jc w:val="right"/>
              <w:rPr>
                <w:rFonts w:asciiTheme="minorHAnsi" w:hAnsiTheme="minorHAnsi" w:cstheme="minorHAnsi"/>
                <w:b/>
                <w:bCs/>
                <w:color w:val="000000"/>
                <w:sz w:val="22"/>
                <w:szCs w:val="22"/>
                <w:lang w:val="hr-HR"/>
              </w:rPr>
            </w:pPr>
          </w:p>
        </w:tc>
        <w:tc>
          <w:tcPr>
            <w:tcW w:w="1331" w:type="dxa"/>
            <w:tcBorders>
              <w:top w:val="nil"/>
              <w:left w:val="nil"/>
              <w:bottom w:val="nil"/>
              <w:right w:val="nil"/>
            </w:tcBorders>
            <w:shd w:val="clear" w:color="auto" w:fill="auto"/>
            <w:noWrap/>
            <w:vAlign w:val="bottom"/>
          </w:tcPr>
          <w:p w:rsidR="002D1D34" w:rsidRPr="00CD3A2D" w:rsidRDefault="002D1D34" w:rsidP="00E72960">
            <w:pPr>
              <w:jc w:val="right"/>
              <w:rPr>
                <w:rFonts w:asciiTheme="minorHAnsi" w:hAnsiTheme="minorHAnsi" w:cstheme="minorHAnsi"/>
                <w:b/>
                <w:bCs/>
                <w:color w:val="000000"/>
                <w:sz w:val="22"/>
                <w:szCs w:val="22"/>
                <w:lang w:val="hr-HR"/>
              </w:rPr>
            </w:pPr>
          </w:p>
        </w:tc>
      </w:tr>
      <w:tr w:rsidR="002D1D34" w:rsidRPr="001567C8" w:rsidTr="003C6BA3">
        <w:trPr>
          <w:trHeight w:val="397"/>
        </w:trPr>
        <w:tc>
          <w:tcPr>
            <w:tcW w:w="2680" w:type="dxa"/>
            <w:tcBorders>
              <w:top w:val="nil"/>
              <w:left w:val="nil"/>
              <w:bottom w:val="nil"/>
              <w:right w:val="nil"/>
            </w:tcBorders>
            <w:shd w:val="clear" w:color="auto" w:fill="auto"/>
            <w:noWrap/>
            <w:vAlign w:val="bottom"/>
            <w:hideMark/>
          </w:tcPr>
          <w:p w:rsidR="002D1D34" w:rsidRPr="00CD3A2D" w:rsidRDefault="002D1D34" w:rsidP="003E2D7A">
            <w:pPr>
              <w:rPr>
                <w:rFonts w:asciiTheme="minorHAnsi" w:hAnsiTheme="minorHAnsi" w:cstheme="minorHAnsi"/>
                <w:color w:val="000000"/>
                <w:sz w:val="22"/>
                <w:szCs w:val="22"/>
                <w:lang w:val="hr-HR"/>
              </w:rPr>
            </w:pPr>
            <w:r w:rsidRPr="00CD3A2D">
              <w:rPr>
                <w:rFonts w:asciiTheme="minorHAnsi" w:hAnsiTheme="minorHAnsi" w:cstheme="minorHAnsi"/>
                <w:color w:val="000000"/>
                <w:sz w:val="22"/>
                <w:szCs w:val="22"/>
                <w:lang w:val="hr-HR"/>
              </w:rPr>
              <w:t>Bruto iznos</w:t>
            </w:r>
          </w:p>
        </w:tc>
        <w:tc>
          <w:tcPr>
            <w:tcW w:w="1325" w:type="dxa"/>
            <w:tcBorders>
              <w:top w:val="nil"/>
              <w:left w:val="nil"/>
              <w:bottom w:val="nil"/>
              <w:right w:val="nil"/>
            </w:tcBorders>
            <w:shd w:val="clear" w:color="auto" w:fill="auto"/>
            <w:noWrap/>
            <w:vAlign w:val="bottom"/>
          </w:tcPr>
          <w:p w:rsidR="002D1D34" w:rsidRPr="00CD3A2D" w:rsidRDefault="002D1D34" w:rsidP="0011726C">
            <w:pPr>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 xml:space="preserve"> 9.76</w:t>
            </w:r>
            <w:r w:rsidR="0067051A" w:rsidRPr="00CD3A2D">
              <w:rPr>
                <w:rFonts w:asciiTheme="minorHAnsi" w:hAnsiTheme="minorHAnsi" w:cstheme="minorHAnsi"/>
                <w:sz w:val="22"/>
                <w:szCs w:val="22"/>
                <w:lang w:val="hr-HR"/>
              </w:rPr>
              <w:t>0.653</w:t>
            </w:r>
          </w:p>
        </w:tc>
        <w:tc>
          <w:tcPr>
            <w:tcW w:w="1325" w:type="dxa"/>
            <w:tcBorders>
              <w:top w:val="nil"/>
              <w:left w:val="nil"/>
              <w:bottom w:val="nil"/>
              <w:right w:val="nil"/>
            </w:tcBorders>
            <w:shd w:val="clear" w:color="auto" w:fill="auto"/>
            <w:noWrap/>
            <w:vAlign w:val="bottom"/>
          </w:tcPr>
          <w:p w:rsidR="002D1D34" w:rsidRPr="00CD3A2D" w:rsidRDefault="002D1D34" w:rsidP="0011726C">
            <w:pPr>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 xml:space="preserve"> 1.636.528 </w:t>
            </w:r>
          </w:p>
        </w:tc>
        <w:tc>
          <w:tcPr>
            <w:tcW w:w="1326" w:type="dxa"/>
            <w:tcBorders>
              <w:top w:val="nil"/>
              <w:left w:val="nil"/>
              <w:bottom w:val="nil"/>
              <w:right w:val="nil"/>
            </w:tcBorders>
            <w:shd w:val="clear" w:color="auto" w:fill="auto"/>
            <w:noWrap/>
            <w:vAlign w:val="bottom"/>
          </w:tcPr>
          <w:p w:rsidR="002D1D34" w:rsidRPr="00CD3A2D" w:rsidRDefault="002D1D34" w:rsidP="0011726C">
            <w:pPr>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 xml:space="preserve"> 4.</w:t>
            </w:r>
            <w:r w:rsidR="0067051A" w:rsidRPr="00CD3A2D">
              <w:rPr>
                <w:rFonts w:asciiTheme="minorHAnsi" w:hAnsiTheme="minorHAnsi" w:cstheme="minorHAnsi"/>
                <w:sz w:val="22"/>
                <w:szCs w:val="22"/>
                <w:lang w:val="hr-HR"/>
              </w:rPr>
              <w:t>198.058</w:t>
            </w:r>
          </w:p>
        </w:tc>
        <w:tc>
          <w:tcPr>
            <w:tcW w:w="1325" w:type="dxa"/>
            <w:tcBorders>
              <w:top w:val="nil"/>
              <w:left w:val="nil"/>
              <w:bottom w:val="nil"/>
              <w:right w:val="nil"/>
            </w:tcBorders>
            <w:vAlign w:val="bottom"/>
          </w:tcPr>
          <w:p w:rsidR="002D1D34" w:rsidRPr="00CD3A2D" w:rsidRDefault="002D1D34" w:rsidP="0011726C">
            <w:pPr>
              <w:jc w:val="right"/>
              <w:rPr>
                <w:rFonts w:asciiTheme="minorHAnsi" w:hAnsiTheme="minorHAnsi" w:cstheme="minorHAnsi"/>
                <w:b/>
                <w:bCs/>
                <w:color w:val="000000"/>
                <w:sz w:val="22"/>
                <w:szCs w:val="22"/>
                <w:lang w:val="hr-HR"/>
              </w:rPr>
            </w:pPr>
            <w:r w:rsidRPr="00CD3A2D">
              <w:rPr>
                <w:rFonts w:asciiTheme="minorHAnsi" w:hAnsiTheme="minorHAnsi" w:cstheme="minorHAnsi"/>
                <w:sz w:val="22"/>
                <w:szCs w:val="22"/>
                <w:lang w:val="hr-HR"/>
              </w:rPr>
              <w:t xml:space="preserve"> 295.743 </w:t>
            </w:r>
          </w:p>
        </w:tc>
        <w:tc>
          <w:tcPr>
            <w:tcW w:w="1331" w:type="dxa"/>
            <w:tcBorders>
              <w:top w:val="nil"/>
              <w:left w:val="nil"/>
              <w:bottom w:val="nil"/>
              <w:right w:val="nil"/>
            </w:tcBorders>
            <w:shd w:val="clear" w:color="auto" w:fill="auto"/>
            <w:noWrap/>
            <w:vAlign w:val="bottom"/>
          </w:tcPr>
          <w:p w:rsidR="002D1D34" w:rsidRPr="00CD3A2D" w:rsidRDefault="002D1D34" w:rsidP="0011726C">
            <w:pPr>
              <w:jc w:val="right"/>
              <w:rPr>
                <w:rFonts w:asciiTheme="minorHAnsi" w:hAnsiTheme="minorHAnsi" w:cstheme="minorHAnsi"/>
                <w:b/>
                <w:bCs/>
                <w:color w:val="000000"/>
                <w:sz w:val="22"/>
                <w:szCs w:val="22"/>
                <w:lang w:val="hr-HR"/>
              </w:rPr>
            </w:pPr>
            <w:r w:rsidRPr="00CD3A2D">
              <w:rPr>
                <w:rFonts w:asciiTheme="minorHAnsi" w:hAnsiTheme="minorHAnsi" w:cstheme="minorHAnsi"/>
                <w:b/>
                <w:sz w:val="22"/>
                <w:szCs w:val="22"/>
                <w:lang w:val="hr-HR"/>
              </w:rPr>
              <w:t xml:space="preserve"> 15.89</w:t>
            </w:r>
            <w:r w:rsidR="0067051A" w:rsidRPr="00CD3A2D">
              <w:rPr>
                <w:rFonts w:asciiTheme="minorHAnsi" w:hAnsiTheme="minorHAnsi" w:cstheme="minorHAnsi"/>
                <w:b/>
                <w:sz w:val="22"/>
                <w:szCs w:val="22"/>
                <w:lang w:val="hr-HR"/>
              </w:rPr>
              <w:t>0.982</w:t>
            </w:r>
          </w:p>
        </w:tc>
      </w:tr>
      <w:tr w:rsidR="002D1D34" w:rsidRPr="001567C8" w:rsidTr="003C6BA3">
        <w:trPr>
          <w:trHeight w:val="397"/>
        </w:trPr>
        <w:tc>
          <w:tcPr>
            <w:tcW w:w="2680" w:type="dxa"/>
            <w:tcBorders>
              <w:top w:val="nil"/>
              <w:left w:val="nil"/>
              <w:bottom w:val="nil"/>
              <w:right w:val="nil"/>
            </w:tcBorders>
            <w:shd w:val="clear" w:color="auto" w:fill="auto"/>
            <w:noWrap/>
            <w:vAlign w:val="bottom"/>
            <w:hideMark/>
          </w:tcPr>
          <w:p w:rsidR="002D1D34" w:rsidRPr="00CD3A2D" w:rsidRDefault="002D1D34" w:rsidP="003E2D7A">
            <w:pPr>
              <w:rPr>
                <w:rFonts w:asciiTheme="minorHAnsi" w:hAnsiTheme="minorHAnsi" w:cstheme="minorHAnsi"/>
                <w:color w:val="000000"/>
                <w:sz w:val="22"/>
                <w:szCs w:val="22"/>
                <w:lang w:val="hr-HR"/>
              </w:rPr>
            </w:pPr>
            <w:r w:rsidRPr="00CD3A2D">
              <w:rPr>
                <w:rFonts w:asciiTheme="minorHAnsi" w:hAnsiTheme="minorHAnsi" w:cstheme="minorHAnsi"/>
                <w:color w:val="000000"/>
                <w:sz w:val="22"/>
                <w:szCs w:val="22"/>
                <w:lang w:val="hr-HR"/>
              </w:rPr>
              <w:t>Rezerviranja</w:t>
            </w:r>
          </w:p>
        </w:tc>
        <w:tc>
          <w:tcPr>
            <w:tcW w:w="1325" w:type="dxa"/>
            <w:tcBorders>
              <w:top w:val="nil"/>
              <w:left w:val="nil"/>
              <w:bottom w:val="nil"/>
              <w:right w:val="nil"/>
            </w:tcBorders>
            <w:shd w:val="clear" w:color="auto" w:fill="auto"/>
            <w:noWrap/>
            <w:vAlign w:val="bottom"/>
          </w:tcPr>
          <w:p w:rsidR="002D1D34" w:rsidRPr="00CD3A2D" w:rsidRDefault="002D1D34" w:rsidP="0011726C">
            <w:pPr>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 xml:space="preserve"> (351.878)</w:t>
            </w:r>
          </w:p>
        </w:tc>
        <w:tc>
          <w:tcPr>
            <w:tcW w:w="1325" w:type="dxa"/>
            <w:tcBorders>
              <w:top w:val="nil"/>
              <w:left w:val="nil"/>
              <w:bottom w:val="nil"/>
              <w:right w:val="nil"/>
            </w:tcBorders>
            <w:shd w:val="clear" w:color="auto" w:fill="auto"/>
            <w:noWrap/>
            <w:vAlign w:val="bottom"/>
          </w:tcPr>
          <w:p w:rsidR="002D1D34" w:rsidRPr="00CD3A2D" w:rsidRDefault="002D1D34" w:rsidP="0011726C">
            <w:pPr>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 xml:space="preserve"> (494.557)</w:t>
            </w:r>
          </w:p>
        </w:tc>
        <w:tc>
          <w:tcPr>
            <w:tcW w:w="1326" w:type="dxa"/>
            <w:tcBorders>
              <w:top w:val="nil"/>
              <w:left w:val="nil"/>
              <w:bottom w:val="nil"/>
              <w:right w:val="nil"/>
            </w:tcBorders>
            <w:shd w:val="clear" w:color="auto" w:fill="auto"/>
            <w:noWrap/>
            <w:vAlign w:val="bottom"/>
          </w:tcPr>
          <w:p w:rsidR="002D1D34" w:rsidRPr="00CD3A2D" w:rsidRDefault="002D1D34" w:rsidP="0011726C">
            <w:pPr>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 xml:space="preserve"> (2.469.639)</w:t>
            </w:r>
          </w:p>
        </w:tc>
        <w:tc>
          <w:tcPr>
            <w:tcW w:w="1325" w:type="dxa"/>
            <w:tcBorders>
              <w:top w:val="nil"/>
              <w:left w:val="nil"/>
              <w:bottom w:val="nil"/>
              <w:right w:val="nil"/>
            </w:tcBorders>
            <w:vAlign w:val="bottom"/>
          </w:tcPr>
          <w:p w:rsidR="002D1D34" w:rsidRPr="00CD3A2D" w:rsidRDefault="002D1D34" w:rsidP="0011726C">
            <w:pPr>
              <w:jc w:val="right"/>
              <w:rPr>
                <w:rFonts w:asciiTheme="minorHAnsi" w:hAnsiTheme="minorHAnsi" w:cstheme="minorHAnsi"/>
                <w:b/>
                <w:bCs/>
                <w:color w:val="000000"/>
                <w:sz w:val="22"/>
                <w:szCs w:val="22"/>
                <w:lang w:val="hr-HR"/>
              </w:rPr>
            </w:pPr>
            <w:r w:rsidRPr="00CD3A2D">
              <w:rPr>
                <w:rFonts w:asciiTheme="minorHAnsi" w:hAnsiTheme="minorHAnsi" w:cstheme="minorHAnsi"/>
                <w:sz w:val="22"/>
                <w:szCs w:val="22"/>
                <w:lang w:val="hr-HR"/>
              </w:rPr>
              <w:t xml:space="preserve"> (64.222)</w:t>
            </w:r>
          </w:p>
        </w:tc>
        <w:tc>
          <w:tcPr>
            <w:tcW w:w="1331" w:type="dxa"/>
            <w:tcBorders>
              <w:top w:val="nil"/>
              <w:left w:val="nil"/>
              <w:bottom w:val="nil"/>
              <w:right w:val="nil"/>
            </w:tcBorders>
            <w:shd w:val="clear" w:color="auto" w:fill="auto"/>
            <w:noWrap/>
            <w:vAlign w:val="bottom"/>
          </w:tcPr>
          <w:p w:rsidR="002D1D34" w:rsidRPr="00CD3A2D" w:rsidRDefault="002D1D34" w:rsidP="0011726C">
            <w:pPr>
              <w:jc w:val="right"/>
              <w:rPr>
                <w:rFonts w:asciiTheme="minorHAnsi" w:hAnsiTheme="minorHAnsi" w:cstheme="minorHAnsi"/>
                <w:b/>
                <w:bCs/>
                <w:color w:val="000000"/>
                <w:sz w:val="22"/>
                <w:szCs w:val="22"/>
                <w:lang w:val="hr-HR"/>
              </w:rPr>
            </w:pPr>
            <w:r w:rsidRPr="00CD3A2D">
              <w:rPr>
                <w:rFonts w:asciiTheme="minorHAnsi" w:hAnsiTheme="minorHAnsi" w:cstheme="minorHAnsi"/>
                <w:b/>
                <w:sz w:val="22"/>
                <w:szCs w:val="22"/>
                <w:lang w:val="hr-HR"/>
              </w:rPr>
              <w:t xml:space="preserve"> (3.380.296)</w:t>
            </w:r>
          </w:p>
        </w:tc>
      </w:tr>
      <w:tr w:rsidR="002D1D34" w:rsidRPr="001567C8" w:rsidTr="003C6BA3">
        <w:trPr>
          <w:trHeight w:val="631"/>
        </w:trPr>
        <w:tc>
          <w:tcPr>
            <w:tcW w:w="2680" w:type="dxa"/>
            <w:tcBorders>
              <w:top w:val="nil"/>
              <w:left w:val="nil"/>
              <w:bottom w:val="nil"/>
              <w:right w:val="nil"/>
            </w:tcBorders>
            <w:shd w:val="clear" w:color="auto" w:fill="auto"/>
            <w:noWrap/>
            <w:vAlign w:val="bottom"/>
            <w:hideMark/>
          </w:tcPr>
          <w:p w:rsidR="002D1D34" w:rsidRPr="00CD3A2D" w:rsidRDefault="002D1D34" w:rsidP="003E2D7A">
            <w:pPr>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 xml:space="preserve"> Stanje na dan </w:t>
            </w:r>
          </w:p>
          <w:p w:rsidR="002D1D34" w:rsidRPr="00CD3A2D" w:rsidRDefault="002D1D34" w:rsidP="003E2D7A">
            <w:pPr>
              <w:rPr>
                <w:rFonts w:asciiTheme="minorHAnsi" w:hAnsiTheme="minorHAnsi" w:cstheme="minorHAnsi"/>
                <w:b/>
                <w:bCs/>
                <w:color w:val="000000"/>
                <w:sz w:val="22"/>
                <w:szCs w:val="22"/>
                <w:lang w:val="hr-HR"/>
              </w:rPr>
            </w:pPr>
            <w:r w:rsidRPr="00CD3A2D">
              <w:rPr>
                <w:rFonts w:asciiTheme="minorHAnsi" w:hAnsiTheme="minorHAnsi" w:cstheme="minorHAnsi"/>
                <w:b/>
                <w:bCs/>
                <w:color w:val="000000"/>
                <w:sz w:val="22"/>
                <w:szCs w:val="22"/>
                <w:lang w:val="hr-HR"/>
              </w:rPr>
              <w:t xml:space="preserve">31. prosinca 2018. godine    </w:t>
            </w:r>
          </w:p>
        </w:tc>
        <w:tc>
          <w:tcPr>
            <w:tcW w:w="1325" w:type="dxa"/>
            <w:tcBorders>
              <w:top w:val="single" w:sz="4" w:space="0" w:color="auto"/>
              <w:left w:val="nil"/>
              <w:bottom w:val="single" w:sz="12" w:space="0" w:color="auto"/>
              <w:right w:val="nil"/>
            </w:tcBorders>
            <w:shd w:val="clear" w:color="auto" w:fill="auto"/>
            <w:noWrap/>
            <w:vAlign w:val="bottom"/>
          </w:tcPr>
          <w:p w:rsidR="002D1D34" w:rsidRPr="00CD3A2D" w:rsidRDefault="002D1D34" w:rsidP="0011726C">
            <w:pPr>
              <w:jc w:val="right"/>
              <w:rPr>
                <w:rFonts w:asciiTheme="minorHAnsi" w:hAnsiTheme="minorHAnsi" w:cstheme="minorHAnsi"/>
                <w:b/>
                <w:bCs/>
                <w:color w:val="000000"/>
                <w:sz w:val="22"/>
                <w:szCs w:val="22"/>
                <w:lang w:val="hr-HR"/>
              </w:rPr>
            </w:pPr>
            <w:r w:rsidRPr="00CD3A2D">
              <w:rPr>
                <w:rFonts w:asciiTheme="minorHAnsi" w:hAnsiTheme="minorHAnsi" w:cstheme="minorHAnsi"/>
                <w:b/>
                <w:sz w:val="22"/>
                <w:szCs w:val="22"/>
                <w:lang w:val="hr-HR"/>
              </w:rPr>
              <w:t xml:space="preserve"> 9.408.775 </w:t>
            </w:r>
          </w:p>
        </w:tc>
        <w:tc>
          <w:tcPr>
            <w:tcW w:w="1325" w:type="dxa"/>
            <w:tcBorders>
              <w:top w:val="single" w:sz="4" w:space="0" w:color="auto"/>
              <w:left w:val="nil"/>
              <w:bottom w:val="single" w:sz="12" w:space="0" w:color="auto"/>
              <w:right w:val="nil"/>
            </w:tcBorders>
            <w:shd w:val="clear" w:color="auto" w:fill="auto"/>
            <w:noWrap/>
            <w:vAlign w:val="bottom"/>
          </w:tcPr>
          <w:p w:rsidR="002D1D34" w:rsidRPr="00CD3A2D" w:rsidRDefault="002D1D34" w:rsidP="0011726C">
            <w:pPr>
              <w:jc w:val="right"/>
              <w:rPr>
                <w:rFonts w:asciiTheme="minorHAnsi" w:hAnsiTheme="minorHAnsi" w:cstheme="minorHAnsi"/>
                <w:b/>
                <w:bCs/>
                <w:color w:val="000000"/>
                <w:sz w:val="22"/>
                <w:szCs w:val="22"/>
                <w:lang w:val="hr-HR"/>
              </w:rPr>
            </w:pPr>
            <w:r w:rsidRPr="00CD3A2D">
              <w:rPr>
                <w:rFonts w:asciiTheme="minorHAnsi" w:hAnsiTheme="minorHAnsi" w:cstheme="minorHAnsi"/>
                <w:b/>
                <w:sz w:val="22"/>
                <w:szCs w:val="22"/>
                <w:lang w:val="hr-HR"/>
              </w:rPr>
              <w:t xml:space="preserve"> 1.141.971 </w:t>
            </w:r>
          </w:p>
        </w:tc>
        <w:tc>
          <w:tcPr>
            <w:tcW w:w="1326" w:type="dxa"/>
            <w:tcBorders>
              <w:top w:val="single" w:sz="4" w:space="0" w:color="auto"/>
              <w:left w:val="nil"/>
              <w:bottom w:val="single" w:sz="12" w:space="0" w:color="auto"/>
              <w:right w:val="nil"/>
            </w:tcBorders>
            <w:shd w:val="clear" w:color="auto" w:fill="auto"/>
            <w:noWrap/>
            <w:vAlign w:val="bottom"/>
          </w:tcPr>
          <w:p w:rsidR="002D1D34" w:rsidRPr="00CD3A2D" w:rsidRDefault="002D1D34" w:rsidP="0011726C">
            <w:pPr>
              <w:jc w:val="right"/>
              <w:rPr>
                <w:rFonts w:asciiTheme="minorHAnsi" w:hAnsiTheme="minorHAnsi" w:cstheme="minorHAnsi"/>
                <w:b/>
                <w:bCs/>
                <w:color w:val="000000"/>
                <w:sz w:val="22"/>
                <w:szCs w:val="22"/>
                <w:lang w:val="hr-HR"/>
              </w:rPr>
            </w:pPr>
            <w:r w:rsidRPr="00CD3A2D">
              <w:rPr>
                <w:rFonts w:asciiTheme="minorHAnsi" w:hAnsiTheme="minorHAnsi" w:cstheme="minorHAnsi"/>
                <w:b/>
                <w:sz w:val="22"/>
                <w:szCs w:val="22"/>
                <w:lang w:val="hr-HR"/>
              </w:rPr>
              <w:t xml:space="preserve"> 1.728.419 </w:t>
            </w:r>
          </w:p>
        </w:tc>
        <w:tc>
          <w:tcPr>
            <w:tcW w:w="1325" w:type="dxa"/>
            <w:tcBorders>
              <w:top w:val="single" w:sz="4" w:space="0" w:color="auto"/>
              <w:left w:val="nil"/>
              <w:bottom w:val="single" w:sz="12" w:space="0" w:color="auto"/>
              <w:right w:val="nil"/>
            </w:tcBorders>
            <w:vAlign w:val="bottom"/>
          </w:tcPr>
          <w:p w:rsidR="002D1D34" w:rsidRPr="00CD3A2D" w:rsidRDefault="002D1D34" w:rsidP="0011726C">
            <w:pPr>
              <w:jc w:val="right"/>
              <w:rPr>
                <w:rFonts w:asciiTheme="minorHAnsi" w:hAnsiTheme="minorHAnsi" w:cstheme="minorHAnsi"/>
                <w:b/>
                <w:bCs/>
                <w:color w:val="000000"/>
                <w:sz w:val="22"/>
                <w:szCs w:val="22"/>
                <w:lang w:val="hr-HR"/>
              </w:rPr>
            </w:pPr>
            <w:r w:rsidRPr="00CD3A2D">
              <w:rPr>
                <w:rFonts w:asciiTheme="minorHAnsi" w:hAnsiTheme="minorHAnsi" w:cstheme="minorHAnsi"/>
                <w:b/>
                <w:sz w:val="22"/>
                <w:szCs w:val="22"/>
                <w:lang w:val="hr-HR"/>
              </w:rPr>
              <w:t xml:space="preserve"> 231.521 </w:t>
            </w:r>
          </w:p>
        </w:tc>
        <w:tc>
          <w:tcPr>
            <w:tcW w:w="1331" w:type="dxa"/>
            <w:tcBorders>
              <w:top w:val="single" w:sz="4" w:space="0" w:color="auto"/>
              <w:left w:val="nil"/>
              <w:bottom w:val="single" w:sz="12" w:space="0" w:color="auto"/>
              <w:right w:val="nil"/>
            </w:tcBorders>
            <w:shd w:val="clear" w:color="auto" w:fill="auto"/>
            <w:noWrap/>
            <w:vAlign w:val="bottom"/>
          </w:tcPr>
          <w:p w:rsidR="002D1D34" w:rsidRPr="00CD3A2D" w:rsidRDefault="002D1D34" w:rsidP="0011726C">
            <w:pPr>
              <w:jc w:val="right"/>
              <w:rPr>
                <w:rFonts w:asciiTheme="minorHAnsi" w:hAnsiTheme="minorHAnsi" w:cstheme="minorHAnsi"/>
                <w:b/>
                <w:bCs/>
                <w:color w:val="000000"/>
                <w:sz w:val="22"/>
                <w:szCs w:val="22"/>
                <w:lang w:val="hr-HR"/>
              </w:rPr>
            </w:pPr>
            <w:r w:rsidRPr="00CD3A2D">
              <w:rPr>
                <w:rFonts w:asciiTheme="minorHAnsi" w:hAnsiTheme="minorHAnsi" w:cstheme="minorHAnsi"/>
                <w:b/>
                <w:sz w:val="22"/>
                <w:szCs w:val="22"/>
                <w:lang w:val="hr-HR"/>
              </w:rPr>
              <w:t xml:space="preserve"> 12.510.686 </w:t>
            </w:r>
          </w:p>
        </w:tc>
      </w:tr>
    </w:tbl>
    <w:p w:rsidR="003E2D7A" w:rsidRPr="001567C8" w:rsidRDefault="003E2D7A" w:rsidP="003E2D7A">
      <w:pPr>
        <w:pStyle w:val="T1"/>
        <w:tabs>
          <w:tab w:val="left" w:pos="1134"/>
        </w:tabs>
        <w:spacing w:before="0" w:after="0" w:line="240" w:lineRule="auto"/>
        <w:rPr>
          <w:rFonts w:asciiTheme="minorHAnsi" w:hAnsiTheme="minorHAnsi" w:cs="Arial"/>
          <w:b w:val="0"/>
          <w:bCs w:val="0"/>
          <w:sz w:val="22"/>
          <w:szCs w:val="22"/>
          <w:lang w:val="hr-HR"/>
        </w:rPr>
        <w:sectPr w:rsidR="003E2D7A" w:rsidRPr="001567C8" w:rsidSect="00B8477D">
          <w:pgSz w:w="11907" w:h="16840" w:code="9"/>
          <w:pgMar w:top="1418" w:right="1134" w:bottom="1134" w:left="1418" w:header="851" w:footer="851" w:gutter="0"/>
          <w:cols w:space="720"/>
          <w:noEndnote/>
          <w:docGrid w:linePitch="326"/>
        </w:sectPr>
      </w:pPr>
    </w:p>
    <w:p w:rsidR="003E2D7A" w:rsidRPr="001567C8" w:rsidRDefault="003E2D7A" w:rsidP="00E51223">
      <w:pPr>
        <w:pStyle w:val="T1"/>
        <w:spacing w:before="0" w:after="0" w:line="240" w:lineRule="auto"/>
        <w:rPr>
          <w:rFonts w:asciiTheme="minorHAnsi" w:hAnsiTheme="minorHAnsi" w:cs="Arial"/>
          <w:b w:val="0"/>
          <w:bCs w:val="0"/>
          <w:sz w:val="22"/>
          <w:szCs w:val="22"/>
          <w:lang w:val="hr-HR"/>
        </w:rPr>
      </w:pPr>
    </w:p>
    <w:p w:rsidR="003E2D7A" w:rsidRPr="001567C8" w:rsidRDefault="003E2D7A" w:rsidP="003E2D7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Krediti ostalim korisnicima (nastavak)</w:t>
      </w:r>
    </w:p>
    <w:p w:rsidR="003E2D7A" w:rsidRPr="001567C8" w:rsidRDefault="003E2D7A" w:rsidP="00E51223">
      <w:pPr>
        <w:pStyle w:val="T1"/>
        <w:spacing w:before="0" w:after="0" w:line="240" w:lineRule="auto"/>
        <w:rPr>
          <w:rFonts w:asciiTheme="minorHAnsi" w:hAnsiTheme="minorHAnsi" w:cs="Arial"/>
          <w:b w:val="0"/>
          <w:bCs w:val="0"/>
          <w:sz w:val="22"/>
          <w:szCs w:val="22"/>
          <w:lang w:val="hr-HR"/>
        </w:rPr>
      </w:pPr>
    </w:p>
    <w:p w:rsidR="00D44B33" w:rsidRPr="001567C8" w:rsidRDefault="006D0890" w:rsidP="00E51223">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Promjene na rezerviranjima za </w:t>
      </w:r>
      <w:r w:rsidR="00640BE0" w:rsidRPr="001567C8">
        <w:rPr>
          <w:rFonts w:asciiTheme="minorHAnsi" w:hAnsiTheme="minorHAnsi" w:cs="Arial"/>
          <w:b w:val="0"/>
          <w:bCs w:val="0"/>
          <w:sz w:val="22"/>
          <w:szCs w:val="22"/>
          <w:lang w:val="hr-HR"/>
        </w:rPr>
        <w:t>očekivane</w:t>
      </w:r>
      <w:r w:rsidRPr="001567C8">
        <w:rPr>
          <w:rFonts w:asciiTheme="minorHAnsi" w:hAnsiTheme="minorHAnsi" w:cs="Arial"/>
          <w:b w:val="0"/>
          <w:bCs w:val="0"/>
          <w:sz w:val="22"/>
          <w:szCs w:val="22"/>
          <w:lang w:val="hr-HR"/>
        </w:rPr>
        <w:t xml:space="preserve"> gubitke po kreditima ostalim korisnicima i kamatama mogu se prikazati kako slijedi:</w:t>
      </w:r>
    </w:p>
    <w:p w:rsidR="003E2D7A" w:rsidRPr="001567C8" w:rsidRDefault="003E2D7A" w:rsidP="00E51223">
      <w:pPr>
        <w:pStyle w:val="T1"/>
        <w:spacing w:before="0" w:after="0" w:line="240" w:lineRule="auto"/>
        <w:rPr>
          <w:rFonts w:asciiTheme="minorHAnsi" w:hAnsiTheme="minorHAnsi" w:cs="Arial"/>
          <w:b w:val="0"/>
          <w:bCs w:val="0"/>
          <w:sz w:val="22"/>
          <w:szCs w:val="22"/>
          <w:lang w:val="hr-HR"/>
        </w:rPr>
      </w:pPr>
    </w:p>
    <w:tbl>
      <w:tblPr>
        <w:tblW w:w="9363" w:type="dxa"/>
        <w:tblLook w:val="04A0" w:firstRow="1" w:lastRow="0" w:firstColumn="1" w:lastColumn="0" w:noHBand="0" w:noVBand="1"/>
      </w:tblPr>
      <w:tblGrid>
        <w:gridCol w:w="7536"/>
        <w:gridCol w:w="1827"/>
      </w:tblGrid>
      <w:tr w:rsidR="002D1D34" w:rsidRPr="001567C8" w:rsidTr="002D1D34">
        <w:trPr>
          <w:trHeight w:val="244"/>
        </w:trPr>
        <w:tc>
          <w:tcPr>
            <w:tcW w:w="7536" w:type="dxa"/>
            <w:shd w:val="clear" w:color="auto" w:fill="auto"/>
            <w:vAlign w:val="center"/>
            <w:hideMark/>
          </w:tcPr>
          <w:p w:rsidR="002D1D34" w:rsidRPr="00CD3A2D" w:rsidRDefault="002D1D34">
            <w:pPr>
              <w:rPr>
                <w:sz w:val="22"/>
                <w:szCs w:val="22"/>
                <w:lang w:val="hr-HR"/>
              </w:rPr>
            </w:pPr>
          </w:p>
        </w:tc>
        <w:tc>
          <w:tcPr>
            <w:tcW w:w="1827" w:type="dxa"/>
            <w:shd w:val="clear" w:color="auto" w:fill="auto"/>
            <w:vAlign w:val="center"/>
            <w:hideMark/>
          </w:tcPr>
          <w:p w:rsidR="002D1D34" w:rsidRPr="00CD3A2D" w:rsidRDefault="002D1D34">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Grupa i Banka</w:t>
            </w:r>
          </w:p>
        </w:tc>
      </w:tr>
      <w:tr w:rsidR="002D1D34" w:rsidRPr="001567C8" w:rsidTr="002D1D34">
        <w:trPr>
          <w:trHeight w:val="244"/>
        </w:trPr>
        <w:tc>
          <w:tcPr>
            <w:tcW w:w="7536" w:type="dxa"/>
            <w:shd w:val="clear" w:color="auto" w:fill="auto"/>
            <w:vAlign w:val="center"/>
            <w:hideMark/>
          </w:tcPr>
          <w:p w:rsidR="002D1D34" w:rsidRPr="00CD3A2D" w:rsidRDefault="002D1D34">
            <w:pPr>
              <w:jc w:val="right"/>
              <w:rPr>
                <w:rFonts w:ascii="Calibri" w:hAnsi="Calibri" w:cs="Calibri"/>
                <w:b/>
                <w:bCs/>
                <w:color w:val="000000"/>
                <w:sz w:val="22"/>
                <w:szCs w:val="22"/>
                <w:lang w:val="hr-HR"/>
              </w:rPr>
            </w:pPr>
          </w:p>
        </w:tc>
        <w:tc>
          <w:tcPr>
            <w:tcW w:w="1827" w:type="dxa"/>
            <w:shd w:val="clear" w:color="auto" w:fill="auto"/>
            <w:vAlign w:val="center"/>
            <w:hideMark/>
          </w:tcPr>
          <w:p w:rsidR="002D1D34" w:rsidRPr="00CD3A2D" w:rsidRDefault="002D1D34">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000 kuna</w:t>
            </w:r>
          </w:p>
        </w:tc>
      </w:tr>
      <w:tr w:rsidR="002D1D34" w:rsidRPr="001567C8" w:rsidTr="002D1D34">
        <w:trPr>
          <w:trHeight w:val="244"/>
        </w:trPr>
        <w:tc>
          <w:tcPr>
            <w:tcW w:w="7536" w:type="dxa"/>
            <w:shd w:val="clear" w:color="auto" w:fill="auto"/>
            <w:vAlign w:val="center"/>
            <w:hideMark/>
          </w:tcPr>
          <w:p w:rsidR="002D1D34" w:rsidRPr="00CD3A2D" w:rsidRDefault="002D1D34">
            <w:pPr>
              <w:jc w:val="right"/>
              <w:rPr>
                <w:rFonts w:ascii="Calibri" w:hAnsi="Calibri" w:cs="Calibri"/>
                <w:b/>
                <w:bCs/>
                <w:color w:val="000000"/>
                <w:sz w:val="22"/>
                <w:szCs w:val="22"/>
                <w:lang w:val="hr-HR"/>
              </w:rPr>
            </w:pPr>
          </w:p>
        </w:tc>
        <w:tc>
          <w:tcPr>
            <w:tcW w:w="1827" w:type="dxa"/>
            <w:shd w:val="clear" w:color="auto" w:fill="auto"/>
            <w:vAlign w:val="center"/>
            <w:hideMark/>
          </w:tcPr>
          <w:p w:rsidR="002D1D34" w:rsidRPr="00CD3A2D" w:rsidRDefault="002D1D34">
            <w:pPr>
              <w:rPr>
                <w:sz w:val="22"/>
                <w:szCs w:val="22"/>
                <w:lang w:val="hr-HR"/>
              </w:rPr>
            </w:pP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Stanje 1. siječnja 2017. godine</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2.579.501 </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 xml:space="preserve">Povećanje rezerviranja za </w:t>
            </w:r>
            <w:r w:rsidR="00726C85"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 po kreditima ostalim korisnicima </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553.952 </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 xml:space="preserve">Smanjenje rezerviranja za </w:t>
            </w:r>
            <w:r w:rsidR="009C322E"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 po kreditima ostalim korisnicima </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w:t>
            </w:r>
            <w:r w:rsidR="001C79F4" w:rsidRPr="00CD3A2D">
              <w:rPr>
                <w:rFonts w:ascii="Calibri" w:hAnsi="Calibri" w:cs="Calibri"/>
                <w:color w:val="000000"/>
                <w:sz w:val="22"/>
                <w:szCs w:val="22"/>
                <w:lang w:val="hr-HR"/>
              </w:rPr>
              <w:t>216.064</w:t>
            </w:r>
            <w:r w:rsidRPr="00CD3A2D">
              <w:rPr>
                <w:rFonts w:ascii="Calibri" w:hAnsi="Calibri" w:cs="Calibri"/>
                <w:color w:val="000000"/>
                <w:sz w:val="22"/>
                <w:szCs w:val="22"/>
                <w:lang w:val="hr-HR"/>
              </w:rPr>
              <w:t>)</w:t>
            </w:r>
          </w:p>
        </w:tc>
      </w:tr>
      <w:tr w:rsidR="00DF4478" w:rsidRPr="001567C8" w:rsidTr="0006799C">
        <w:trPr>
          <w:trHeight w:val="319"/>
        </w:trPr>
        <w:tc>
          <w:tcPr>
            <w:tcW w:w="7536" w:type="dxa"/>
            <w:shd w:val="clear" w:color="auto" w:fill="auto"/>
            <w:vAlign w:val="center"/>
            <w:hideMark/>
          </w:tcPr>
          <w:p w:rsidR="00DF4478" w:rsidRPr="00CD3A2D" w:rsidRDefault="00DF4478" w:rsidP="0006799C">
            <w:pPr>
              <w:rPr>
                <w:rFonts w:ascii="Calibri" w:hAnsi="Calibri" w:cs="Calibri"/>
                <w:i/>
                <w:iCs/>
                <w:color w:val="000000"/>
                <w:sz w:val="22"/>
                <w:szCs w:val="22"/>
                <w:lang w:val="hr-HR"/>
              </w:rPr>
            </w:pPr>
            <w:r w:rsidRPr="00CD3A2D">
              <w:rPr>
                <w:rFonts w:ascii="Calibri" w:hAnsi="Calibri" w:cs="Calibri"/>
                <w:i/>
                <w:iCs/>
                <w:color w:val="000000"/>
                <w:sz w:val="22"/>
                <w:szCs w:val="22"/>
                <w:lang w:val="hr-HR"/>
              </w:rPr>
              <w:t>Ukupno kroz dobit ili gubitak (bilješka 11)</w:t>
            </w:r>
          </w:p>
        </w:tc>
        <w:tc>
          <w:tcPr>
            <w:tcW w:w="1827" w:type="dxa"/>
            <w:tcBorders>
              <w:top w:val="single" w:sz="4" w:space="0" w:color="auto"/>
              <w:bottom w:val="single" w:sz="4" w:space="0" w:color="auto"/>
            </w:tcBorders>
            <w:shd w:val="clear" w:color="auto" w:fill="auto"/>
            <w:vAlign w:val="bottom"/>
            <w:hideMark/>
          </w:tcPr>
          <w:p w:rsidR="00DF4478" w:rsidRPr="00CD3A2D" w:rsidRDefault="00FE7D46" w:rsidP="0006799C">
            <w:pPr>
              <w:jc w:val="right"/>
              <w:rPr>
                <w:rFonts w:ascii="Calibri" w:hAnsi="Calibri" w:cs="Calibri"/>
                <w:i/>
                <w:iCs/>
                <w:color w:val="000000"/>
                <w:sz w:val="22"/>
                <w:szCs w:val="22"/>
                <w:lang w:val="hr-HR"/>
              </w:rPr>
            </w:pPr>
            <w:r>
              <w:rPr>
                <w:rFonts w:ascii="Calibri" w:hAnsi="Calibri" w:cs="Calibri"/>
                <w:i/>
                <w:iCs/>
                <w:color w:val="000000"/>
                <w:sz w:val="22"/>
                <w:szCs w:val="22"/>
                <w:lang w:val="hr-HR"/>
              </w:rPr>
              <w:t>337.</w:t>
            </w:r>
            <w:r w:rsidR="00DF4478" w:rsidRPr="00CD3A2D">
              <w:rPr>
                <w:rFonts w:ascii="Calibri" w:hAnsi="Calibri" w:cs="Calibri"/>
                <w:i/>
                <w:iCs/>
                <w:color w:val="000000"/>
                <w:sz w:val="22"/>
                <w:szCs w:val="22"/>
                <w:lang w:val="hr-HR"/>
              </w:rPr>
              <w:t>888</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 xml:space="preserve">Neto gubitak od tečajnih razlika po rezerviranjima za </w:t>
            </w:r>
            <w:r w:rsidR="00640BE0"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w:t>
            </w:r>
            <w:r w:rsidRPr="00CD3A2D">
              <w:rPr>
                <w:rFonts w:ascii="Calibri" w:hAnsi="Calibri" w:cs="Calibri"/>
                <w:i/>
                <w:iCs/>
                <w:color w:val="000000"/>
                <w:sz w:val="22"/>
                <w:szCs w:val="22"/>
                <w:lang w:val="hr-HR"/>
              </w:rPr>
              <w:t xml:space="preserve"> </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(3.643)</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Preuzimanje nekretnina</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(284)</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Otpis</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(7.610)</w:t>
            </w:r>
          </w:p>
        </w:tc>
      </w:tr>
      <w:tr w:rsidR="002D1D34" w:rsidRPr="001567C8" w:rsidTr="003C6BA3">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Prodaja potraživanja</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(31.636)</w:t>
            </w:r>
          </w:p>
        </w:tc>
      </w:tr>
      <w:tr w:rsidR="002D1D34" w:rsidRPr="001567C8" w:rsidTr="003C6BA3">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Prijenos na kredite financijskim institucijama</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(998)</w:t>
            </w:r>
          </w:p>
        </w:tc>
      </w:tr>
      <w:tr w:rsidR="001C79F4" w:rsidRPr="001567C8" w:rsidTr="003C6BA3">
        <w:trPr>
          <w:trHeight w:val="319"/>
        </w:trPr>
        <w:tc>
          <w:tcPr>
            <w:tcW w:w="7536" w:type="dxa"/>
            <w:shd w:val="clear" w:color="auto" w:fill="auto"/>
            <w:vAlign w:val="center"/>
          </w:tcPr>
          <w:p w:rsidR="001C79F4" w:rsidRPr="00CD3A2D" w:rsidRDefault="001C79F4">
            <w:pPr>
              <w:rPr>
                <w:rFonts w:ascii="Calibri" w:hAnsi="Calibri" w:cs="Calibri"/>
                <w:color w:val="000000"/>
                <w:sz w:val="22"/>
                <w:szCs w:val="22"/>
                <w:lang w:val="hr-HR"/>
              </w:rPr>
            </w:pPr>
            <w:r w:rsidRPr="00CD3A2D">
              <w:rPr>
                <w:rFonts w:ascii="Calibri" w:hAnsi="Calibri" w:cs="Calibri"/>
                <w:color w:val="000000"/>
                <w:sz w:val="22"/>
                <w:szCs w:val="22"/>
                <w:lang w:val="hr-HR"/>
              </w:rPr>
              <w:t>Ostalo</w:t>
            </w:r>
          </w:p>
        </w:tc>
        <w:tc>
          <w:tcPr>
            <w:tcW w:w="1827" w:type="dxa"/>
            <w:tcBorders>
              <w:bottom w:val="single" w:sz="4" w:space="0" w:color="auto"/>
            </w:tcBorders>
            <w:shd w:val="clear" w:color="auto" w:fill="auto"/>
            <w:vAlign w:val="bottom"/>
          </w:tcPr>
          <w:p w:rsidR="001C79F4" w:rsidRPr="00CD3A2D" w:rsidRDefault="001C79F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2.085</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b/>
                <w:bCs/>
                <w:color w:val="000000"/>
                <w:sz w:val="22"/>
                <w:szCs w:val="22"/>
                <w:lang w:val="hr-HR"/>
              </w:rPr>
            </w:pPr>
            <w:r w:rsidRPr="00CD3A2D">
              <w:rPr>
                <w:rFonts w:ascii="Calibri" w:hAnsi="Calibri" w:cs="Calibri"/>
                <w:b/>
                <w:bCs/>
                <w:color w:val="000000"/>
                <w:sz w:val="22"/>
                <w:szCs w:val="22"/>
                <w:lang w:val="hr-HR"/>
              </w:rPr>
              <w:t>Stanje 31. prosinca 2017. godine</w:t>
            </w:r>
          </w:p>
        </w:tc>
        <w:tc>
          <w:tcPr>
            <w:tcW w:w="1827" w:type="dxa"/>
            <w:tcBorders>
              <w:top w:val="single" w:sz="4" w:space="0" w:color="auto"/>
              <w:bottom w:val="single" w:sz="12" w:space="0" w:color="auto"/>
            </w:tcBorders>
            <w:shd w:val="clear" w:color="auto" w:fill="auto"/>
            <w:vAlign w:val="bottom"/>
            <w:hideMark/>
          </w:tcPr>
          <w:p w:rsidR="002D1D34" w:rsidRPr="00CD3A2D" w:rsidRDefault="002D1D34" w:rsidP="003E2D7A">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 2.875.303 </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 xml:space="preserve">Učinak MSFI-ja 9 </w:t>
            </w:r>
            <w:r w:rsidRPr="00CD3A2D">
              <w:rPr>
                <w:rFonts w:ascii="Calibri" w:hAnsi="Calibri" w:cs="Calibri"/>
                <w:sz w:val="22"/>
                <w:szCs w:val="22"/>
                <w:lang w:val="hr-HR"/>
              </w:rPr>
              <w:t>(bilješka 5)</w:t>
            </w:r>
          </w:p>
        </w:tc>
        <w:tc>
          <w:tcPr>
            <w:tcW w:w="1827" w:type="dxa"/>
            <w:tcBorders>
              <w:top w:val="single" w:sz="12" w:space="0" w:color="auto"/>
              <w:bottom w:val="single" w:sz="4" w:space="0" w:color="auto"/>
            </w:tcBorders>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717.902 </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b/>
                <w:bCs/>
                <w:color w:val="000000"/>
                <w:sz w:val="22"/>
                <w:szCs w:val="22"/>
                <w:lang w:val="hr-HR"/>
              </w:rPr>
            </w:pPr>
            <w:r w:rsidRPr="00CD3A2D">
              <w:rPr>
                <w:rFonts w:ascii="Calibri" w:hAnsi="Calibri" w:cs="Calibri"/>
                <w:b/>
                <w:bCs/>
                <w:color w:val="000000"/>
                <w:sz w:val="22"/>
                <w:szCs w:val="22"/>
                <w:lang w:val="hr-HR"/>
              </w:rPr>
              <w:t>Stanje 1. siječnja 2018. godine</w:t>
            </w:r>
          </w:p>
        </w:tc>
        <w:tc>
          <w:tcPr>
            <w:tcW w:w="1827" w:type="dxa"/>
            <w:tcBorders>
              <w:top w:val="single" w:sz="4" w:space="0" w:color="auto"/>
              <w:bottom w:val="single" w:sz="12" w:space="0" w:color="auto"/>
            </w:tcBorders>
            <w:shd w:val="clear" w:color="auto" w:fill="auto"/>
            <w:vAlign w:val="bottom"/>
            <w:hideMark/>
          </w:tcPr>
          <w:p w:rsidR="002D1D34" w:rsidRPr="00CD3A2D" w:rsidRDefault="002D1D34" w:rsidP="003E2D7A">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     3.593.205 </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 xml:space="preserve">Povećanje rezerviranja za </w:t>
            </w:r>
            <w:r w:rsidR="009C322E"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 po kreditima ostalim korisnicima </w:t>
            </w:r>
          </w:p>
        </w:tc>
        <w:tc>
          <w:tcPr>
            <w:tcW w:w="1827" w:type="dxa"/>
            <w:tcBorders>
              <w:top w:val="single" w:sz="12" w:space="0" w:color="auto"/>
            </w:tcBorders>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1.137.393 </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 xml:space="preserve">Smanjenje rezerviranja za </w:t>
            </w:r>
            <w:r w:rsidR="009C322E"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 po kreditima ostalim korisnicima </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(1.348.</w:t>
            </w:r>
            <w:r w:rsidR="001C79F4" w:rsidRPr="00CD3A2D">
              <w:rPr>
                <w:rFonts w:ascii="Calibri" w:hAnsi="Calibri" w:cs="Calibri"/>
                <w:color w:val="000000"/>
                <w:sz w:val="22"/>
                <w:szCs w:val="22"/>
                <w:lang w:val="hr-HR"/>
              </w:rPr>
              <w:t>554</w:t>
            </w:r>
            <w:r w:rsidRPr="00CD3A2D">
              <w:rPr>
                <w:rFonts w:ascii="Calibri" w:hAnsi="Calibri" w:cs="Calibri"/>
                <w:color w:val="000000"/>
                <w:sz w:val="22"/>
                <w:szCs w:val="22"/>
                <w:lang w:val="hr-HR"/>
              </w:rPr>
              <w:t>)</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i/>
                <w:iCs/>
                <w:color w:val="000000"/>
                <w:sz w:val="22"/>
                <w:szCs w:val="22"/>
                <w:lang w:val="hr-HR"/>
              </w:rPr>
            </w:pPr>
            <w:r w:rsidRPr="00CD3A2D">
              <w:rPr>
                <w:rFonts w:ascii="Calibri" w:hAnsi="Calibri" w:cs="Calibri"/>
                <w:i/>
                <w:iCs/>
                <w:color w:val="000000"/>
                <w:sz w:val="22"/>
                <w:szCs w:val="22"/>
                <w:lang w:val="hr-HR"/>
              </w:rPr>
              <w:t xml:space="preserve">Ukupno kroz </w:t>
            </w:r>
            <w:r w:rsidR="00316574" w:rsidRPr="00CD3A2D">
              <w:rPr>
                <w:rFonts w:ascii="Calibri" w:hAnsi="Calibri" w:cs="Calibri"/>
                <w:i/>
                <w:iCs/>
                <w:color w:val="000000"/>
                <w:sz w:val="22"/>
                <w:szCs w:val="22"/>
                <w:lang w:val="hr-HR"/>
              </w:rPr>
              <w:t>do</w:t>
            </w:r>
            <w:r w:rsidRPr="00CD3A2D">
              <w:rPr>
                <w:rFonts w:ascii="Calibri" w:hAnsi="Calibri" w:cs="Calibri"/>
                <w:i/>
                <w:iCs/>
                <w:color w:val="000000"/>
                <w:sz w:val="22"/>
                <w:szCs w:val="22"/>
                <w:lang w:val="hr-HR"/>
              </w:rPr>
              <w:t>bit i</w:t>
            </w:r>
            <w:r w:rsidR="00316574" w:rsidRPr="00CD3A2D">
              <w:rPr>
                <w:rFonts w:ascii="Calibri" w:hAnsi="Calibri" w:cs="Calibri"/>
                <w:i/>
                <w:iCs/>
                <w:color w:val="000000"/>
                <w:sz w:val="22"/>
                <w:szCs w:val="22"/>
                <w:lang w:val="hr-HR"/>
              </w:rPr>
              <w:t>li</w:t>
            </w:r>
            <w:r w:rsidRPr="00CD3A2D">
              <w:rPr>
                <w:rFonts w:ascii="Calibri" w:hAnsi="Calibri" w:cs="Calibri"/>
                <w:i/>
                <w:iCs/>
                <w:color w:val="000000"/>
                <w:sz w:val="22"/>
                <w:szCs w:val="22"/>
                <w:lang w:val="hr-HR"/>
              </w:rPr>
              <w:t xml:space="preserve"> gubit</w:t>
            </w:r>
            <w:r w:rsidR="00316574" w:rsidRPr="00CD3A2D">
              <w:rPr>
                <w:rFonts w:ascii="Calibri" w:hAnsi="Calibri" w:cs="Calibri"/>
                <w:i/>
                <w:iCs/>
                <w:color w:val="000000"/>
                <w:sz w:val="22"/>
                <w:szCs w:val="22"/>
                <w:lang w:val="hr-HR"/>
              </w:rPr>
              <w:t>ak</w:t>
            </w:r>
            <w:r w:rsidRPr="00CD3A2D">
              <w:rPr>
                <w:rFonts w:ascii="Calibri" w:hAnsi="Calibri" w:cs="Calibri"/>
                <w:i/>
                <w:iCs/>
                <w:color w:val="000000"/>
                <w:sz w:val="22"/>
                <w:szCs w:val="22"/>
                <w:lang w:val="hr-HR"/>
              </w:rPr>
              <w:t xml:space="preserve"> (bilješka </w:t>
            </w:r>
            <w:r w:rsidR="00D94351" w:rsidRPr="00CD3A2D">
              <w:rPr>
                <w:rFonts w:ascii="Calibri" w:hAnsi="Calibri" w:cs="Calibri"/>
                <w:i/>
                <w:iCs/>
                <w:color w:val="000000"/>
                <w:sz w:val="22"/>
                <w:szCs w:val="22"/>
                <w:lang w:val="hr-HR"/>
              </w:rPr>
              <w:t>11</w:t>
            </w:r>
            <w:r w:rsidRPr="00CD3A2D">
              <w:rPr>
                <w:rFonts w:ascii="Calibri" w:hAnsi="Calibri" w:cs="Calibri"/>
                <w:i/>
                <w:iCs/>
                <w:color w:val="000000"/>
                <w:sz w:val="22"/>
                <w:szCs w:val="22"/>
                <w:lang w:val="hr-HR"/>
              </w:rPr>
              <w:t>)</w:t>
            </w:r>
          </w:p>
        </w:tc>
        <w:tc>
          <w:tcPr>
            <w:tcW w:w="1827" w:type="dxa"/>
            <w:tcBorders>
              <w:top w:val="single" w:sz="4" w:space="0" w:color="auto"/>
              <w:bottom w:val="single" w:sz="4" w:space="0" w:color="auto"/>
            </w:tcBorders>
            <w:shd w:val="clear" w:color="auto" w:fill="auto"/>
            <w:vAlign w:val="bottom"/>
            <w:hideMark/>
          </w:tcPr>
          <w:p w:rsidR="002D1D34" w:rsidRPr="00CD3A2D" w:rsidRDefault="002D1D34" w:rsidP="003E2D7A">
            <w:pPr>
              <w:jc w:val="right"/>
              <w:rPr>
                <w:rFonts w:ascii="Calibri" w:hAnsi="Calibri" w:cs="Calibri"/>
                <w:i/>
                <w:iCs/>
                <w:color w:val="000000"/>
                <w:sz w:val="22"/>
                <w:szCs w:val="22"/>
                <w:lang w:val="hr-HR"/>
              </w:rPr>
            </w:pPr>
            <w:r w:rsidRPr="00CD3A2D">
              <w:rPr>
                <w:rFonts w:ascii="Calibri" w:hAnsi="Calibri" w:cs="Calibri"/>
                <w:i/>
                <w:iCs/>
                <w:color w:val="000000"/>
                <w:sz w:val="22"/>
                <w:szCs w:val="22"/>
                <w:lang w:val="hr-HR"/>
              </w:rPr>
              <w:t xml:space="preserve">   (211.161)</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 xml:space="preserve">Neto gubitak od tečajnih razlika po rezerviranjima za </w:t>
            </w:r>
            <w:r w:rsidR="00640BE0" w:rsidRPr="00CD3A2D">
              <w:rPr>
                <w:rFonts w:ascii="Calibri" w:hAnsi="Calibri" w:cs="Calibri"/>
                <w:color w:val="000000"/>
                <w:sz w:val="22"/>
                <w:szCs w:val="22"/>
                <w:lang w:val="hr-HR"/>
              </w:rPr>
              <w:t>očekivane</w:t>
            </w:r>
            <w:r w:rsidRPr="00CD3A2D">
              <w:rPr>
                <w:rFonts w:ascii="Calibri" w:hAnsi="Calibri" w:cs="Calibri"/>
                <w:color w:val="000000"/>
                <w:sz w:val="22"/>
                <w:szCs w:val="22"/>
                <w:lang w:val="hr-HR"/>
              </w:rPr>
              <w:t xml:space="preserve"> gubitke</w:t>
            </w:r>
            <w:r w:rsidRPr="00CD3A2D">
              <w:rPr>
                <w:rFonts w:ascii="Calibri" w:hAnsi="Calibri" w:cs="Calibri"/>
                <w:i/>
                <w:iCs/>
                <w:color w:val="000000"/>
                <w:sz w:val="22"/>
                <w:szCs w:val="22"/>
                <w:lang w:val="hr-HR"/>
              </w:rPr>
              <w:t xml:space="preserve"> </w:t>
            </w:r>
          </w:p>
        </w:tc>
        <w:tc>
          <w:tcPr>
            <w:tcW w:w="1827" w:type="dxa"/>
            <w:tcBorders>
              <w:top w:val="single" w:sz="4" w:space="0" w:color="auto"/>
            </w:tcBorders>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(15.114)</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Otpis</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(43.258)</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Donos sa kredita financijskim institucijama</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28 </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Unwinding – promjena uslijed proteka vremena</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57.089 </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Preuzimanje nekretnine</w:t>
            </w:r>
          </w:p>
        </w:tc>
        <w:tc>
          <w:tcPr>
            <w:tcW w:w="1827" w:type="dxa"/>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(989)</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color w:val="000000"/>
                <w:sz w:val="22"/>
                <w:szCs w:val="22"/>
                <w:lang w:val="hr-HR"/>
              </w:rPr>
            </w:pPr>
            <w:r w:rsidRPr="00CD3A2D">
              <w:rPr>
                <w:rFonts w:ascii="Calibri" w:hAnsi="Calibri" w:cs="Calibri"/>
                <w:color w:val="000000"/>
                <w:sz w:val="22"/>
                <w:szCs w:val="22"/>
                <w:lang w:val="hr-HR"/>
              </w:rPr>
              <w:t>Vraćanje isključenih kamata u bilancu</w:t>
            </w:r>
          </w:p>
        </w:tc>
        <w:tc>
          <w:tcPr>
            <w:tcW w:w="1827" w:type="dxa"/>
            <w:tcBorders>
              <w:bottom w:val="single" w:sz="4" w:space="0" w:color="auto"/>
            </w:tcBorders>
            <w:shd w:val="clear" w:color="auto" w:fill="auto"/>
            <w:vAlign w:val="bottom"/>
            <w:hideMark/>
          </w:tcPr>
          <w:p w:rsidR="002D1D34" w:rsidRPr="00CD3A2D" w:rsidRDefault="002D1D34" w:rsidP="003E2D7A">
            <w:pPr>
              <w:jc w:val="right"/>
              <w:rPr>
                <w:rFonts w:ascii="Calibri" w:hAnsi="Calibri" w:cs="Calibri"/>
                <w:color w:val="000000"/>
                <w:sz w:val="22"/>
                <w:szCs w:val="22"/>
                <w:lang w:val="hr-HR"/>
              </w:rPr>
            </w:pPr>
            <w:r w:rsidRPr="00CD3A2D">
              <w:rPr>
                <w:rFonts w:ascii="Calibri" w:hAnsi="Calibri" w:cs="Calibri"/>
                <w:color w:val="000000"/>
                <w:sz w:val="22"/>
                <w:szCs w:val="22"/>
                <w:lang w:val="hr-HR"/>
              </w:rPr>
              <w:t xml:space="preserve">     4</w:t>
            </w:r>
            <w:r w:rsidR="001C79F4" w:rsidRPr="00CD3A2D">
              <w:rPr>
                <w:rFonts w:ascii="Calibri" w:hAnsi="Calibri" w:cs="Calibri"/>
                <w:color w:val="000000"/>
                <w:sz w:val="22"/>
                <w:szCs w:val="22"/>
                <w:lang w:val="hr-HR"/>
              </w:rPr>
              <w:t>96</w:t>
            </w:r>
            <w:r w:rsidRPr="00CD3A2D">
              <w:rPr>
                <w:rFonts w:ascii="Calibri" w:hAnsi="Calibri" w:cs="Calibri"/>
                <w:color w:val="000000"/>
                <w:sz w:val="22"/>
                <w:szCs w:val="22"/>
                <w:lang w:val="hr-HR"/>
              </w:rPr>
              <w:t xml:space="preserve"> </w:t>
            </w:r>
          </w:p>
        </w:tc>
      </w:tr>
      <w:tr w:rsidR="002D1D34" w:rsidRPr="001567C8" w:rsidTr="002D1D34">
        <w:trPr>
          <w:trHeight w:val="319"/>
        </w:trPr>
        <w:tc>
          <w:tcPr>
            <w:tcW w:w="7536" w:type="dxa"/>
            <w:shd w:val="clear" w:color="auto" w:fill="auto"/>
            <w:vAlign w:val="center"/>
            <w:hideMark/>
          </w:tcPr>
          <w:p w:rsidR="002D1D34" w:rsidRPr="00CD3A2D" w:rsidRDefault="002D1D34">
            <w:pPr>
              <w:rPr>
                <w:rFonts w:ascii="Calibri" w:hAnsi="Calibri" w:cs="Calibri"/>
                <w:b/>
                <w:bCs/>
                <w:color w:val="000000"/>
                <w:sz w:val="22"/>
                <w:szCs w:val="22"/>
                <w:lang w:val="hr-HR"/>
              </w:rPr>
            </w:pPr>
            <w:r w:rsidRPr="00CD3A2D">
              <w:rPr>
                <w:rFonts w:ascii="Calibri" w:hAnsi="Calibri" w:cs="Calibri"/>
                <w:b/>
                <w:bCs/>
                <w:color w:val="000000"/>
                <w:sz w:val="22"/>
                <w:szCs w:val="22"/>
                <w:lang w:val="hr-HR"/>
              </w:rPr>
              <w:t>Stanje 31. prosinca 2018. godine</w:t>
            </w:r>
          </w:p>
        </w:tc>
        <w:tc>
          <w:tcPr>
            <w:tcW w:w="1827" w:type="dxa"/>
            <w:tcBorders>
              <w:top w:val="single" w:sz="4" w:space="0" w:color="auto"/>
              <w:bottom w:val="single" w:sz="12" w:space="0" w:color="auto"/>
            </w:tcBorders>
            <w:shd w:val="clear" w:color="auto" w:fill="auto"/>
            <w:vAlign w:val="bottom"/>
            <w:hideMark/>
          </w:tcPr>
          <w:p w:rsidR="002D1D34" w:rsidRPr="00CD3A2D" w:rsidRDefault="002D1D34" w:rsidP="003E2D7A">
            <w:pPr>
              <w:jc w:val="right"/>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  3.380.296 </w:t>
            </w:r>
          </w:p>
        </w:tc>
      </w:tr>
    </w:tbl>
    <w:p w:rsidR="005C1100" w:rsidRPr="001567C8" w:rsidRDefault="005C1100" w:rsidP="00E51223">
      <w:pPr>
        <w:pStyle w:val="T1"/>
        <w:spacing w:before="0" w:after="0" w:line="240" w:lineRule="auto"/>
        <w:rPr>
          <w:rFonts w:asciiTheme="minorHAnsi" w:hAnsiTheme="minorHAnsi" w:cs="Arial"/>
          <w:b w:val="0"/>
          <w:bCs w:val="0"/>
          <w:sz w:val="22"/>
          <w:szCs w:val="22"/>
          <w:lang w:val="hr-HR"/>
        </w:rPr>
      </w:pPr>
    </w:p>
    <w:p w:rsidR="005F63C0" w:rsidRPr="001567C8" w:rsidRDefault="005C1100" w:rsidP="00E51223">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Neto gubitak od tečajnih razlika po rezerviranjima za očekivane gubitke prikazan je unutar Neto prihoda/(rashoda) od financijskih aktivnosti u Računu dobiti i gubitka.</w:t>
      </w:r>
    </w:p>
    <w:p w:rsidR="00243032" w:rsidRPr="001567C8" w:rsidRDefault="00243032" w:rsidP="00F91859">
      <w:pPr>
        <w:jc w:val="both"/>
        <w:rPr>
          <w:rFonts w:asciiTheme="minorHAnsi" w:hAnsiTheme="minorHAnsi" w:cs="Arial"/>
          <w:sz w:val="16"/>
          <w:szCs w:val="16"/>
          <w:lang w:val="hr-HR"/>
        </w:rPr>
        <w:sectPr w:rsidR="00243032" w:rsidRPr="001567C8" w:rsidSect="003E2D7A">
          <w:pgSz w:w="11907" w:h="16840" w:code="9"/>
          <w:pgMar w:top="1418" w:right="1134" w:bottom="1134" w:left="1418" w:header="851" w:footer="851" w:gutter="0"/>
          <w:cols w:space="720"/>
          <w:noEndnote/>
        </w:sectPr>
      </w:pPr>
    </w:p>
    <w:p w:rsidR="00C6193E" w:rsidRPr="001567C8" w:rsidRDefault="00C6193E" w:rsidP="00C6193E">
      <w:pPr>
        <w:pStyle w:val="T1"/>
        <w:spacing w:before="0" w:after="0" w:line="240" w:lineRule="auto"/>
        <w:rPr>
          <w:rFonts w:asciiTheme="minorHAnsi" w:hAnsiTheme="minorHAnsi" w:cs="Arial"/>
          <w:sz w:val="18"/>
          <w:szCs w:val="18"/>
          <w:lang w:val="hr-HR"/>
        </w:rPr>
      </w:pPr>
    </w:p>
    <w:p w:rsidR="00C6193E" w:rsidRPr="001567C8" w:rsidRDefault="00C6193E" w:rsidP="00C6193E">
      <w:pPr>
        <w:pStyle w:val="T1"/>
        <w:spacing w:before="0" w:after="0" w:line="240" w:lineRule="auto"/>
        <w:rPr>
          <w:rFonts w:asciiTheme="minorHAnsi" w:hAnsiTheme="minorHAnsi"/>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Krediti ostalim korisnicima (nastavak)</w:t>
      </w:r>
    </w:p>
    <w:p w:rsidR="00C6193E" w:rsidRPr="001567C8" w:rsidRDefault="00C6193E" w:rsidP="00C6193E">
      <w:pPr>
        <w:pStyle w:val="T1"/>
        <w:spacing w:before="0" w:after="0" w:line="240" w:lineRule="auto"/>
        <w:rPr>
          <w:rFonts w:asciiTheme="minorHAnsi" w:hAnsiTheme="minorHAnsi" w:cs="Arial"/>
          <w:b w:val="0"/>
          <w:bCs w:val="0"/>
          <w:sz w:val="18"/>
          <w:szCs w:val="18"/>
          <w:lang w:val="hr-HR"/>
        </w:rPr>
      </w:pPr>
    </w:p>
    <w:p w:rsidR="006D0890" w:rsidRPr="001567C8" w:rsidRDefault="006D0890" w:rsidP="00F910F1">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Krediti ostalim korisnicima</w:t>
      </w:r>
      <w:r w:rsidR="009766C5" w:rsidRPr="001567C8">
        <w:rPr>
          <w:rFonts w:asciiTheme="minorHAnsi" w:hAnsiTheme="minorHAnsi" w:cs="Arial"/>
          <w:b w:val="0"/>
          <w:bCs w:val="0"/>
          <w:sz w:val="22"/>
          <w:szCs w:val="22"/>
          <w:lang w:val="hr-HR"/>
        </w:rPr>
        <w:t>,</w:t>
      </w:r>
      <w:r w:rsidRPr="001567C8">
        <w:rPr>
          <w:rFonts w:asciiTheme="minorHAnsi" w:hAnsiTheme="minorHAnsi" w:cs="Arial"/>
          <w:b w:val="0"/>
          <w:bCs w:val="0"/>
          <w:sz w:val="22"/>
          <w:szCs w:val="22"/>
          <w:lang w:val="hr-HR"/>
        </w:rPr>
        <w:t xml:space="preserve"> umanjeni za rezerviranja za </w:t>
      </w:r>
      <w:r w:rsidR="009C322E" w:rsidRPr="001567C8">
        <w:rPr>
          <w:rFonts w:asciiTheme="minorHAnsi" w:hAnsiTheme="minorHAnsi" w:cs="Arial"/>
          <w:b w:val="0"/>
          <w:bCs w:val="0"/>
          <w:sz w:val="22"/>
          <w:szCs w:val="22"/>
          <w:lang w:val="hr-HR"/>
        </w:rPr>
        <w:t>očekivane</w:t>
      </w:r>
      <w:r w:rsidRPr="001567C8">
        <w:rPr>
          <w:rFonts w:asciiTheme="minorHAnsi" w:hAnsiTheme="minorHAnsi" w:cs="Arial"/>
          <w:b w:val="0"/>
          <w:bCs w:val="0"/>
          <w:sz w:val="22"/>
          <w:szCs w:val="22"/>
          <w:lang w:val="hr-HR"/>
        </w:rPr>
        <w:t xml:space="preserve"> gubitke</w:t>
      </w:r>
      <w:r w:rsidR="009766C5" w:rsidRPr="001567C8">
        <w:rPr>
          <w:rFonts w:asciiTheme="minorHAnsi" w:hAnsiTheme="minorHAnsi" w:cs="Arial"/>
          <w:b w:val="0"/>
          <w:bCs w:val="0"/>
          <w:sz w:val="22"/>
          <w:szCs w:val="22"/>
          <w:lang w:val="hr-HR"/>
        </w:rPr>
        <w:t>,</w:t>
      </w:r>
      <w:r w:rsidRPr="001567C8">
        <w:rPr>
          <w:rFonts w:asciiTheme="minorHAnsi" w:hAnsiTheme="minorHAnsi" w:cs="Arial"/>
          <w:b w:val="0"/>
          <w:bCs w:val="0"/>
          <w:sz w:val="22"/>
          <w:szCs w:val="22"/>
          <w:lang w:val="hr-HR"/>
        </w:rPr>
        <w:t xml:space="preserve"> prema namjeni kreditnih programa dani su kako slijedi:</w:t>
      </w:r>
    </w:p>
    <w:p w:rsidR="0011726C" w:rsidRPr="001567C8" w:rsidRDefault="0011726C" w:rsidP="00F910F1">
      <w:pPr>
        <w:pStyle w:val="T1"/>
        <w:spacing w:before="0" w:after="0" w:line="240" w:lineRule="auto"/>
        <w:rPr>
          <w:rFonts w:asciiTheme="minorHAnsi" w:hAnsiTheme="minorHAnsi"/>
          <w:sz w:val="22"/>
          <w:szCs w:val="22"/>
          <w:lang w:val="hr-HR"/>
        </w:rPr>
      </w:pPr>
    </w:p>
    <w:tbl>
      <w:tblPr>
        <w:tblW w:w="5000" w:type="pct"/>
        <w:tblLayout w:type="fixed"/>
        <w:tblCellMar>
          <w:left w:w="107" w:type="dxa"/>
          <w:right w:w="107" w:type="dxa"/>
        </w:tblCellMar>
        <w:tblLook w:val="0000" w:firstRow="0" w:lastRow="0" w:firstColumn="0" w:lastColumn="0" w:noHBand="0" w:noVBand="0"/>
      </w:tblPr>
      <w:tblGrid>
        <w:gridCol w:w="6191"/>
        <w:gridCol w:w="1583"/>
        <w:gridCol w:w="1581"/>
      </w:tblGrid>
      <w:tr w:rsidR="0011726C" w:rsidRPr="001567C8" w:rsidTr="0011726C">
        <w:trPr>
          <w:trHeight w:val="124"/>
        </w:trPr>
        <w:tc>
          <w:tcPr>
            <w:tcW w:w="3309" w:type="pct"/>
          </w:tcPr>
          <w:p w:rsidR="0011726C" w:rsidRPr="001567C8" w:rsidRDefault="0011726C">
            <w:pPr>
              <w:tabs>
                <w:tab w:val="left" w:pos="-720"/>
              </w:tabs>
              <w:suppressAutoHyphens/>
              <w:rPr>
                <w:rFonts w:asciiTheme="minorHAnsi" w:hAnsiTheme="minorHAnsi" w:cs="Arial"/>
                <w:spacing w:val="-3"/>
                <w:sz w:val="22"/>
                <w:szCs w:val="22"/>
                <w:lang w:val="hr-HR"/>
              </w:rPr>
            </w:pPr>
          </w:p>
        </w:tc>
        <w:tc>
          <w:tcPr>
            <w:tcW w:w="1691" w:type="pct"/>
            <w:gridSpan w:val="2"/>
            <w:vAlign w:val="bottom"/>
          </w:tcPr>
          <w:p w:rsidR="0011726C" w:rsidRPr="001567C8" w:rsidRDefault="0011726C" w:rsidP="00E00220">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 i Banka</w:t>
            </w:r>
          </w:p>
        </w:tc>
      </w:tr>
      <w:tr w:rsidR="0011726C" w:rsidRPr="001567C8" w:rsidTr="003C6BA3">
        <w:trPr>
          <w:trHeight w:val="124"/>
        </w:trPr>
        <w:tc>
          <w:tcPr>
            <w:tcW w:w="3309" w:type="pct"/>
          </w:tcPr>
          <w:p w:rsidR="0011726C" w:rsidRPr="001567C8" w:rsidRDefault="0011726C" w:rsidP="0079360D">
            <w:pPr>
              <w:tabs>
                <w:tab w:val="left" w:pos="-720"/>
              </w:tabs>
              <w:suppressAutoHyphens/>
              <w:rPr>
                <w:rFonts w:asciiTheme="minorHAnsi" w:hAnsiTheme="minorHAnsi" w:cs="Arial"/>
                <w:spacing w:val="-3"/>
                <w:sz w:val="22"/>
                <w:szCs w:val="22"/>
                <w:lang w:val="hr-HR"/>
              </w:rPr>
            </w:pPr>
          </w:p>
        </w:tc>
        <w:tc>
          <w:tcPr>
            <w:tcW w:w="846" w:type="pct"/>
            <w:vAlign w:val="bottom"/>
          </w:tcPr>
          <w:p w:rsidR="0011726C" w:rsidRPr="001567C8" w:rsidRDefault="0001590F" w:rsidP="0079360D">
            <w:pPr>
              <w:pStyle w:val="TH"/>
              <w:jc w:val="right"/>
              <w:rPr>
                <w:rFonts w:asciiTheme="minorHAnsi" w:hAnsiTheme="minorHAnsi" w:cs="Arial"/>
                <w:sz w:val="22"/>
                <w:szCs w:val="22"/>
                <w:lang w:val="hr-HR"/>
              </w:rPr>
            </w:pPr>
            <w:r w:rsidRPr="0001590F">
              <w:rPr>
                <w:rFonts w:asciiTheme="minorHAnsi" w:hAnsiTheme="minorHAnsi" w:cs="Arial"/>
                <w:sz w:val="22"/>
                <w:szCs w:val="22"/>
                <w:lang w:val="hr-HR"/>
              </w:rPr>
              <w:t xml:space="preserve">31. prosinca </w:t>
            </w:r>
            <w:r w:rsidR="0011726C" w:rsidRPr="001567C8">
              <w:rPr>
                <w:rFonts w:asciiTheme="minorHAnsi" w:hAnsiTheme="minorHAnsi" w:cs="Arial"/>
                <w:sz w:val="22"/>
                <w:szCs w:val="22"/>
                <w:lang w:val="hr-HR"/>
              </w:rPr>
              <w:t>2018.</w:t>
            </w:r>
          </w:p>
        </w:tc>
        <w:tc>
          <w:tcPr>
            <w:tcW w:w="845" w:type="pct"/>
            <w:vAlign w:val="bottom"/>
          </w:tcPr>
          <w:p w:rsidR="0011726C" w:rsidRPr="001567C8" w:rsidRDefault="0001590F" w:rsidP="0079360D">
            <w:pPr>
              <w:pStyle w:val="TH"/>
              <w:jc w:val="right"/>
              <w:rPr>
                <w:rFonts w:asciiTheme="minorHAnsi" w:hAnsiTheme="minorHAnsi" w:cs="Arial"/>
                <w:sz w:val="22"/>
                <w:szCs w:val="22"/>
                <w:lang w:val="hr-HR"/>
              </w:rPr>
            </w:pPr>
            <w:r w:rsidRPr="0001590F">
              <w:rPr>
                <w:rFonts w:asciiTheme="minorHAnsi" w:hAnsiTheme="minorHAnsi" w:cs="Arial"/>
                <w:sz w:val="22"/>
                <w:szCs w:val="22"/>
                <w:lang w:val="hr-HR"/>
              </w:rPr>
              <w:t xml:space="preserve">31. prosinca </w:t>
            </w:r>
            <w:r w:rsidR="0011726C" w:rsidRPr="001567C8">
              <w:rPr>
                <w:rFonts w:asciiTheme="minorHAnsi" w:hAnsiTheme="minorHAnsi" w:cs="Arial"/>
                <w:sz w:val="22"/>
                <w:szCs w:val="22"/>
                <w:lang w:val="hr-HR"/>
              </w:rPr>
              <w:t>2017.</w:t>
            </w:r>
          </w:p>
        </w:tc>
      </w:tr>
      <w:tr w:rsidR="0011726C" w:rsidRPr="001567C8" w:rsidTr="003C6BA3">
        <w:trPr>
          <w:trHeight w:val="99"/>
        </w:trPr>
        <w:tc>
          <w:tcPr>
            <w:tcW w:w="3309" w:type="pct"/>
          </w:tcPr>
          <w:p w:rsidR="0011726C" w:rsidRPr="001567C8" w:rsidRDefault="0011726C" w:rsidP="006159DC">
            <w:pPr>
              <w:tabs>
                <w:tab w:val="left" w:pos="-720"/>
              </w:tabs>
              <w:suppressAutoHyphens/>
              <w:rPr>
                <w:rFonts w:asciiTheme="minorHAnsi" w:hAnsiTheme="minorHAnsi" w:cs="Arial"/>
                <w:spacing w:val="-3"/>
                <w:sz w:val="22"/>
                <w:szCs w:val="22"/>
                <w:lang w:val="hr-HR"/>
              </w:rPr>
            </w:pPr>
          </w:p>
        </w:tc>
        <w:tc>
          <w:tcPr>
            <w:tcW w:w="846" w:type="pct"/>
          </w:tcPr>
          <w:p w:rsidR="0011726C" w:rsidRPr="001567C8" w:rsidRDefault="0011726C" w:rsidP="006159DC">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845" w:type="pct"/>
          </w:tcPr>
          <w:p w:rsidR="0011726C" w:rsidRPr="001567C8" w:rsidRDefault="0011726C" w:rsidP="006159DC">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11726C" w:rsidRPr="001567C8" w:rsidTr="003C6BA3">
        <w:trPr>
          <w:trHeight w:hRule="exact" w:val="166"/>
        </w:trPr>
        <w:tc>
          <w:tcPr>
            <w:tcW w:w="3309" w:type="pct"/>
          </w:tcPr>
          <w:p w:rsidR="0011726C" w:rsidRPr="001567C8" w:rsidRDefault="0011726C" w:rsidP="006159DC">
            <w:pPr>
              <w:tabs>
                <w:tab w:val="left" w:pos="-720"/>
              </w:tabs>
              <w:suppressAutoHyphens/>
              <w:rPr>
                <w:rFonts w:asciiTheme="minorHAnsi" w:hAnsiTheme="minorHAnsi" w:cs="Arial"/>
                <w:spacing w:val="-3"/>
                <w:sz w:val="22"/>
                <w:szCs w:val="22"/>
                <w:lang w:val="hr-HR"/>
              </w:rPr>
            </w:pPr>
          </w:p>
        </w:tc>
        <w:tc>
          <w:tcPr>
            <w:tcW w:w="846" w:type="pct"/>
          </w:tcPr>
          <w:p w:rsidR="0011726C" w:rsidRPr="001567C8" w:rsidRDefault="0011726C" w:rsidP="006159DC">
            <w:pPr>
              <w:suppressAutoHyphens/>
              <w:jc w:val="right"/>
              <w:rPr>
                <w:rFonts w:asciiTheme="minorHAnsi" w:hAnsiTheme="minorHAnsi" w:cs="Arial"/>
                <w:b/>
                <w:spacing w:val="-3"/>
                <w:sz w:val="22"/>
                <w:szCs w:val="22"/>
                <w:lang w:val="hr-HR"/>
              </w:rPr>
            </w:pPr>
          </w:p>
        </w:tc>
        <w:tc>
          <w:tcPr>
            <w:tcW w:w="845" w:type="pct"/>
          </w:tcPr>
          <w:p w:rsidR="0011726C" w:rsidRPr="001567C8" w:rsidRDefault="0011726C" w:rsidP="006159DC">
            <w:pPr>
              <w:suppressAutoHyphens/>
              <w:jc w:val="right"/>
              <w:rPr>
                <w:rFonts w:asciiTheme="minorHAnsi" w:hAnsiTheme="minorHAnsi" w:cs="Arial"/>
                <w:b/>
                <w:spacing w:val="-3"/>
                <w:sz w:val="22"/>
                <w:szCs w:val="22"/>
                <w:lang w:val="hr-HR"/>
              </w:rPr>
            </w:pPr>
          </w:p>
        </w:tc>
      </w:tr>
      <w:tr w:rsidR="0011726C" w:rsidRPr="001567C8" w:rsidTr="003C6BA3">
        <w:trPr>
          <w:trHeight w:val="329"/>
        </w:trPr>
        <w:tc>
          <w:tcPr>
            <w:tcW w:w="3309" w:type="pct"/>
            <w:vAlign w:val="center"/>
          </w:tcPr>
          <w:p w:rsidR="0011726C" w:rsidRPr="001567C8" w:rsidRDefault="0011726C" w:rsidP="0011726C">
            <w:pPr>
              <w:pStyle w:val="TT"/>
              <w:rPr>
                <w:rFonts w:asciiTheme="minorHAnsi" w:hAnsiTheme="minorHAnsi" w:cs="Arial"/>
                <w:sz w:val="22"/>
                <w:szCs w:val="22"/>
                <w:lang w:val="hr-HR"/>
              </w:rPr>
            </w:pPr>
            <w:r w:rsidRPr="001567C8">
              <w:rPr>
                <w:rFonts w:asciiTheme="minorHAnsi" w:hAnsiTheme="minorHAnsi" w:cs="Arial"/>
                <w:sz w:val="22"/>
                <w:szCs w:val="22"/>
                <w:lang w:val="hr-HR"/>
              </w:rPr>
              <w:t>Program kreditiranja obnove i razvitka gospodarskih djelatnosti</w:t>
            </w:r>
          </w:p>
        </w:tc>
        <w:tc>
          <w:tcPr>
            <w:tcW w:w="846"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sz w:val="22"/>
                <w:szCs w:val="22"/>
                <w:lang w:val="hr-HR"/>
              </w:rPr>
              <w:t>3.5</w:t>
            </w:r>
            <w:r w:rsidR="0067051A" w:rsidRPr="00CD3A2D">
              <w:rPr>
                <w:rFonts w:asciiTheme="minorHAnsi" w:hAnsiTheme="minorHAnsi" w:cstheme="minorHAnsi"/>
                <w:sz w:val="22"/>
                <w:szCs w:val="22"/>
                <w:lang w:val="hr-HR"/>
              </w:rPr>
              <w:t>88.290</w:t>
            </w:r>
          </w:p>
        </w:tc>
        <w:tc>
          <w:tcPr>
            <w:tcW w:w="845"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color w:val="000000"/>
                <w:sz w:val="22"/>
                <w:szCs w:val="22"/>
                <w:lang w:val="hr-HR"/>
              </w:rPr>
              <w:t>4.546.833</w:t>
            </w:r>
          </w:p>
        </w:tc>
      </w:tr>
      <w:tr w:rsidR="0011726C" w:rsidRPr="001567C8" w:rsidTr="003C6BA3">
        <w:trPr>
          <w:trHeight w:val="329"/>
        </w:trPr>
        <w:tc>
          <w:tcPr>
            <w:tcW w:w="3309" w:type="pct"/>
            <w:vAlign w:val="center"/>
          </w:tcPr>
          <w:p w:rsidR="0011726C" w:rsidRPr="001567C8" w:rsidRDefault="0011726C" w:rsidP="0011726C">
            <w:pPr>
              <w:pStyle w:val="TT"/>
              <w:rPr>
                <w:rFonts w:asciiTheme="minorHAnsi" w:hAnsiTheme="minorHAnsi" w:cs="Arial"/>
                <w:sz w:val="22"/>
                <w:szCs w:val="22"/>
                <w:lang w:val="hr-HR"/>
              </w:rPr>
            </w:pPr>
            <w:r w:rsidRPr="001567C8">
              <w:rPr>
                <w:rFonts w:asciiTheme="minorHAnsi" w:hAnsiTheme="minorHAnsi" w:cs="Arial"/>
                <w:sz w:val="22"/>
                <w:szCs w:val="22"/>
                <w:lang w:val="hr-HR"/>
              </w:rPr>
              <w:t>Financiranje izvoza</w:t>
            </w:r>
          </w:p>
        </w:tc>
        <w:tc>
          <w:tcPr>
            <w:tcW w:w="846"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sz w:val="22"/>
                <w:szCs w:val="22"/>
                <w:lang w:val="hr-HR"/>
              </w:rPr>
              <w:t>5.42</w:t>
            </w:r>
            <w:r w:rsidR="0067051A" w:rsidRPr="00CD3A2D">
              <w:rPr>
                <w:rFonts w:asciiTheme="minorHAnsi" w:hAnsiTheme="minorHAnsi" w:cstheme="minorHAnsi"/>
                <w:sz w:val="22"/>
                <w:szCs w:val="22"/>
                <w:lang w:val="hr-HR"/>
              </w:rPr>
              <w:t>8.712</w:t>
            </w:r>
          </w:p>
        </w:tc>
        <w:tc>
          <w:tcPr>
            <w:tcW w:w="845"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color w:val="000000"/>
                <w:sz w:val="22"/>
                <w:szCs w:val="22"/>
                <w:lang w:val="hr-HR"/>
              </w:rPr>
              <w:t>5.274.935</w:t>
            </w:r>
          </w:p>
        </w:tc>
      </w:tr>
      <w:tr w:rsidR="0011726C" w:rsidRPr="001567C8" w:rsidTr="003C6BA3">
        <w:trPr>
          <w:trHeight w:val="329"/>
        </w:trPr>
        <w:tc>
          <w:tcPr>
            <w:tcW w:w="3309" w:type="pct"/>
            <w:vAlign w:val="center"/>
          </w:tcPr>
          <w:p w:rsidR="0011726C" w:rsidRPr="001567C8" w:rsidRDefault="0011726C" w:rsidP="0011726C">
            <w:pPr>
              <w:pStyle w:val="TT"/>
              <w:rPr>
                <w:rFonts w:asciiTheme="minorHAnsi" w:hAnsiTheme="minorHAnsi" w:cs="Arial"/>
                <w:sz w:val="22"/>
                <w:szCs w:val="22"/>
                <w:lang w:val="hr-HR"/>
              </w:rPr>
            </w:pPr>
            <w:r w:rsidRPr="001567C8">
              <w:rPr>
                <w:rFonts w:asciiTheme="minorHAnsi" w:hAnsiTheme="minorHAnsi" w:cs="Arial"/>
                <w:sz w:val="22"/>
                <w:szCs w:val="22"/>
                <w:lang w:val="hr-HR"/>
              </w:rPr>
              <w:t>Program obnove i razvitka infrastrukture u Republici Hrvatskoj</w:t>
            </w:r>
          </w:p>
        </w:tc>
        <w:tc>
          <w:tcPr>
            <w:tcW w:w="846"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sz w:val="22"/>
                <w:szCs w:val="22"/>
                <w:lang w:val="hr-HR"/>
              </w:rPr>
              <w:t>3.77</w:t>
            </w:r>
            <w:r w:rsidR="0067051A" w:rsidRPr="00CD3A2D">
              <w:rPr>
                <w:rFonts w:asciiTheme="minorHAnsi" w:hAnsiTheme="minorHAnsi" w:cstheme="minorHAnsi"/>
                <w:sz w:val="22"/>
                <w:szCs w:val="22"/>
                <w:lang w:val="hr-HR"/>
              </w:rPr>
              <w:t>1.861</w:t>
            </w:r>
          </w:p>
        </w:tc>
        <w:tc>
          <w:tcPr>
            <w:tcW w:w="845"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color w:val="000000"/>
                <w:sz w:val="22"/>
                <w:szCs w:val="22"/>
                <w:lang w:val="hr-HR"/>
              </w:rPr>
              <w:t>3.392.439</w:t>
            </w:r>
          </w:p>
        </w:tc>
      </w:tr>
      <w:tr w:rsidR="0011726C" w:rsidRPr="001567C8" w:rsidTr="003C6BA3">
        <w:trPr>
          <w:trHeight w:val="329"/>
        </w:trPr>
        <w:tc>
          <w:tcPr>
            <w:tcW w:w="3309" w:type="pct"/>
            <w:vAlign w:val="center"/>
          </w:tcPr>
          <w:p w:rsidR="0011726C" w:rsidRPr="001567C8" w:rsidRDefault="0011726C" w:rsidP="0011726C">
            <w:pPr>
              <w:pStyle w:val="TT"/>
              <w:rPr>
                <w:rFonts w:asciiTheme="minorHAnsi" w:hAnsiTheme="minorHAnsi" w:cs="Arial"/>
                <w:sz w:val="22"/>
                <w:szCs w:val="22"/>
                <w:lang w:val="hr-HR"/>
              </w:rPr>
            </w:pPr>
            <w:r w:rsidRPr="001567C8">
              <w:rPr>
                <w:rFonts w:asciiTheme="minorHAnsi" w:hAnsiTheme="minorHAnsi" w:cs="Arial"/>
                <w:sz w:val="22"/>
                <w:szCs w:val="22"/>
                <w:lang w:val="hr-HR"/>
              </w:rPr>
              <w:t>Program kreditiranja malog i srednjeg poduzetništva</w:t>
            </w:r>
          </w:p>
        </w:tc>
        <w:tc>
          <w:tcPr>
            <w:tcW w:w="846"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sz w:val="22"/>
                <w:szCs w:val="22"/>
                <w:lang w:val="hr-HR"/>
              </w:rPr>
              <w:t>1.818.</w:t>
            </w:r>
            <w:r w:rsidR="004A15CA" w:rsidRPr="00CD3A2D">
              <w:rPr>
                <w:rFonts w:asciiTheme="minorHAnsi" w:hAnsiTheme="minorHAnsi" w:cstheme="minorHAnsi"/>
                <w:sz w:val="22"/>
                <w:szCs w:val="22"/>
                <w:lang w:val="hr-HR"/>
              </w:rPr>
              <w:t>620</w:t>
            </w:r>
          </w:p>
        </w:tc>
        <w:tc>
          <w:tcPr>
            <w:tcW w:w="845"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color w:val="000000"/>
                <w:sz w:val="22"/>
                <w:szCs w:val="22"/>
                <w:lang w:val="hr-HR"/>
              </w:rPr>
              <w:t>2.010.315</w:t>
            </w:r>
          </w:p>
        </w:tc>
      </w:tr>
      <w:tr w:rsidR="0011726C" w:rsidRPr="001567C8" w:rsidTr="003C6BA3">
        <w:trPr>
          <w:trHeight w:val="329"/>
        </w:trPr>
        <w:tc>
          <w:tcPr>
            <w:tcW w:w="3309" w:type="pct"/>
            <w:vAlign w:val="center"/>
          </w:tcPr>
          <w:p w:rsidR="0011726C" w:rsidRPr="001567C8" w:rsidRDefault="0011726C" w:rsidP="0011726C">
            <w:pPr>
              <w:pStyle w:val="TT"/>
              <w:rPr>
                <w:rFonts w:asciiTheme="minorHAnsi" w:hAnsiTheme="minorHAnsi" w:cs="Arial"/>
                <w:sz w:val="22"/>
                <w:szCs w:val="22"/>
                <w:lang w:val="hr-HR"/>
              </w:rPr>
            </w:pPr>
            <w:r w:rsidRPr="001567C8">
              <w:rPr>
                <w:rFonts w:asciiTheme="minorHAnsi" w:hAnsiTheme="minorHAnsi" w:cs="Arial"/>
                <w:sz w:val="22"/>
                <w:szCs w:val="22"/>
                <w:lang w:val="hr-HR"/>
              </w:rPr>
              <w:t>Ostalo</w:t>
            </w:r>
          </w:p>
        </w:tc>
        <w:tc>
          <w:tcPr>
            <w:tcW w:w="846"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sz w:val="22"/>
                <w:szCs w:val="22"/>
                <w:lang w:val="hr-HR"/>
              </w:rPr>
              <w:t>1.126.</w:t>
            </w:r>
            <w:r w:rsidR="004A15CA" w:rsidRPr="00CD3A2D">
              <w:rPr>
                <w:rFonts w:asciiTheme="minorHAnsi" w:hAnsiTheme="minorHAnsi" w:cstheme="minorHAnsi"/>
                <w:sz w:val="22"/>
                <w:szCs w:val="22"/>
                <w:lang w:val="hr-HR"/>
              </w:rPr>
              <w:t>108</w:t>
            </w:r>
          </w:p>
        </w:tc>
        <w:tc>
          <w:tcPr>
            <w:tcW w:w="845"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color w:val="000000"/>
                <w:sz w:val="22"/>
                <w:szCs w:val="22"/>
                <w:lang w:val="hr-HR"/>
              </w:rPr>
              <w:t>46.863</w:t>
            </w:r>
          </w:p>
        </w:tc>
      </w:tr>
      <w:tr w:rsidR="0011726C" w:rsidRPr="001567C8" w:rsidTr="003C6BA3">
        <w:trPr>
          <w:trHeight w:val="329"/>
        </w:trPr>
        <w:tc>
          <w:tcPr>
            <w:tcW w:w="3309" w:type="pct"/>
            <w:vAlign w:val="center"/>
          </w:tcPr>
          <w:p w:rsidR="0011726C" w:rsidRPr="001567C8" w:rsidRDefault="0011726C" w:rsidP="0011726C">
            <w:pPr>
              <w:pStyle w:val="TT"/>
              <w:rPr>
                <w:rFonts w:asciiTheme="minorHAnsi" w:hAnsiTheme="minorHAnsi" w:cs="Arial"/>
                <w:sz w:val="22"/>
                <w:szCs w:val="22"/>
                <w:lang w:val="hr-HR"/>
              </w:rPr>
            </w:pPr>
            <w:r w:rsidRPr="001567C8">
              <w:rPr>
                <w:rFonts w:asciiTheme="minorHAnsi" w:hAnsiTheme="minorHAnsi" w:cs="Arial"/>
                <w:sz w:val="22"/>
                <w:szCs w:val="22"/>
                <w:lang w:val="hr-HR"/>
              </w:rPr>
              <w:t>Obračunata kamata</w:t>
            </w:r>
          </w:p>
        </w:tc>
        <w:tc>
          <w:tcPr>
            <w:tcW w:w="846"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sz w:val="22"/>
                <w:szCs w:val="22"/>
                <w:lang w:val="hr-HR"/>
              </w:rPr>
              <w:t>251.405</w:t>
            </w:r>
          </w:p>
        </w:tc>
        <w:tc>
          <w:tcPr>
            <w:tcW w:w="845"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z w:val="22"/>
                <w:szCs w:val="22"/>
                <w:lang w:val="hr-HR"/>
              </w:rPr>
            </w:pPr>
            <w:r w:rsidRPr="00CD3A2D">
              <w:rPr>
                <w:rFonts w:asciiTheme="minorHAnsi" w:hAnsiTheme="minorHAnsi" w:cstheme="minorHAnsi"/>
                <w:color w:val="000000"/>
                <w:sz w:val="22"/>
                <w:szCs w:val="22"/>
                <w:lang w:val="hr-HR"/>
              </w:rPr>
              <w:t>101.042</w:t>
            </w:r>
          </w:p>
        </w:tc>
      </w:tr>
      <w:tr w:rsidR="0011726C" w:rsidRPr="001567C8" w:rsidTr="003C6BA3">
        <w:trPr>
          <w:trHeight w:val="329"/>
        </w:trPr>
        <w:tc>
          <w:tcPr>
            <w:tcW w:w="3309" w:type="pct"/>
            <w:vAlign w:val="center"/>
          </w:tcPr>
          <w:p w:rsidR="0011726C" w:rsidRPr="001567C8" w:rsidRDefault="0011726C" w:rsidP="0011726C">
            <w:pPr>
              <w:pStyle w:val="TT"/>
              <w:rPr>
                <w:rFonts w:asciiTheme="minorHAnsi" w:hAnsiTheme="minorHAnsi" w:cs="Arial"/>
                <w:sz w:val="22"/>
                <w:szCs w:val="22"/>
                <w:lang w:val="hr-HR"/>
              </w:rPr>
            </w:pPr>
            <w:r w:rsidRPr="001567C8">
              <w:rPr>
                <w:rFonts w:asciiTheme="minorHAnsi" w:hAnsiTheme="minorHAnsi" w:cs="Arial"/>
                <w:sz w:val="22"/>
                <w:szCs w:val="22"/>
                <w:lang w:val="hr-HR"/>
              </w:rPr>
              <w:t>Odgođena naknada po kreditima</w:t>
            </w:r>
          </w:p>
        </w:tc>
        <w:tc>
          <w:tcPr>
            <w:tcW w:w="846" w:type="pct"/>
            <w:tcBorders>
              <w:top w:val="nil"/>
              <w:left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pacing w:val="-3"/>
                <w:sz w:val="22"/>
                <w:szCs w:val="22"/>
                <w:lang w:val="hr-HR"/>
              </w:rPr>
            </w:pPr>
            <w:r w:rsidRPr="00CD3A2D">
              <w:rPr>
                <w:rFonts w:asciiTheme="minorHAnsi" w:hAnsiTheme="minorHAnsi" w:cstheme="minorHAnsi"/>
                <w:sz w:val="22"/>
                <w:szCs w:val="22"/>
                <w:lang w:val="hr-HR"/>
              </w:rPr>
              <w:t xml:space="preserve"> (94.014)</w:t>
            </w:r>
          </w:p>
        </w:tc>
        <w:tc>
          <w:tcPr>
            <w:tcW w:w="845" w:type="pct"/>
            <w:tcBorders>
              <w:top w:val="nil"/>
              <w:left w:val="nil"/>
              <w:right w:val="nil"/>
            </w:tcBorders>
            <w:shd w:val="clear" w:color="auto" w:fill="auto"/>
            <w:vAlign w:val="center"/>
          </w:tcPr>
          <w:p w:rsidR="0011726C" w:rsidRPr="001567C8" w:rsidRDefault="0011726C" w:rsidP="0011726C">
            <w:pPr>
              <w:pStyle w:val="TT"/>
              <w:jc w:val="right"/>
              <w:rPr>
                <w:rFonts w:asciiTheme="minorHAnsi" w:hAnsiTheme="minorHAnsi" w:cstheme="minorHAnsi"/>
                <w:spacing w:val="-3"/>
                <w:sz w:val="22"/>
                <w:szCs w:val="22"/>
                <w:lang w:val="hr-HR"/>
              </w:rPr>
            </w:pPr>
            <w:r w:rsidRPr="00CD3A2D">
              <w:rPr>
                <w:rFonts w:asciiTheme="minorHAnsi" w:hAnsiTheme="minorHAnsi" w:cstheme="minorHAnsi"/>
                <w:color w:val="000000"/>
                <w:sz w:val="22"/>
                <w:szCs w:val="22"/>
                <w:lang w:val="hr-HR"/>
              </w:rPr>
              <w:t xml:space="preserve"> (113.501)</w:t>
            </w:r>
          </w:p>
        </w:tc>
      </w:tr>
      <w:tr w:rsidR="0011726C" w:rsidRPr="001567C8" w:rsidTr="003C6BA3">
        <w:trPr>
          <w:trHeight w:val="322"/>
        </w:trPr>
        <w:tc>
          <w:tcPr>
            <w:tcW w:w="3309" w:type="pct"/>
            <w:vAlign w:val="center"/>
          </w:tcPr>
          <w:p w:rsidR="0011726C" w:rsidRPr="001567C8" w:rsidRDefault="0011726C" w:rsidP="0011726C">
            <w:pPr>
              <w:pStyle w:val="Tot"/>
              <w:rPr>
                <w:rFonts w:asciiTheme="minorHAnsi" w:hAnsiTheme="minorHAnsi" w:cs="Arial"/>
                <w:spacing w:val="-3"/>
                <w:sz w:val="22"/>
                <w:szCs w:val="22"/>
                <w:lang w:val="hr-HR"/>
              </w:rPr>
            </w:pPr>
          </w:p>
        </w:tc>
        <w:tc>
          <w:tcPr>
            <w:tcW w:w="846" w:type="pct"/>
            <w:tcBorders>
              <w:top w:val="single" w:sz="4" w:space="0" w:color="auto"/>
              <w:left w:val="nil"/>
              <w:bottom w:val="single" w:sz="4" w:space="0" w:color="auto"/>
              <w:right w:val="nil"/>
            </w:tcBorders>
            <w:shd w:val="clear" w:color="auto" w:fill="auto"/>
            <w:vAlign w:val="center"/>
          </w:tcPr>
          <w:p w:rsidR="0011726C" w:rsidRPr="001567C8" w:rsidRDefault="0011726C" w:rsidP="0011726C">
            <w:pPr>
              <w:pStyle w:val="Tot"/>
              <w:jc w:val="right"/>
              <w:rPr>
                <w:rFonts w:asciiTheme="minorHAnsi" w:hAnsiTheme="minorHAnsi" w:cs="Arial"/>
                <w:sz w:val="22"/>
                <w:szCs w:val="22"/>
                <w:lang w:val="hr-HR"/>
              </w:rPr>
            </w:pPr>
            <w:r w:rsidRPr="00CD3A2D">
              <w:rPr>
                <w:rFonts w:ascii="Calibri" w:hAnsi="Calibri" w:cs="Calibri"/>
                <w:color w:val="000000"/>
                <w:sz w:val="22"/>
                <w:szCs w:val="22"/>
                <w:lang w:val="hr-HR"/>
              </w:rPr>
              <w:t>15.890.982</w:t>
            </w:r>
          </w:p>
        </w:tc>
        <w:tc>
          <w:tcPr>
            <w:tcW w:w="845" w:type="pct"/>
            <w:tcBorders>
              <w:top w:val="single" w:sz="4" w:space="0" w:color="auto"/>
              <w:bottom w:val="single" w:sz="4" w:space="0" w:color="auto"/>
            </w:tcBorders>
            <w:vAlign w:val="center"/>
          </w:tcPr>
          <w:p w:rsidR="0011726C" w:rsidRPr="001567C8" w:rsidRDefault="0011726C" w:rsidP="0011726C">
            <w:pPr>
              <w:pStyle w:val="Tot"/>
              <w:jc w:val="right"/>
              <w:rPr>
                <w:rFonts w:asciiTheme="minorHAnsi" w:hAnsiTheme="minorHAnsi" w:cs="Arial"/>
                <w:sz w:val="22"/>
                <w:szCs w:val="22"/>
                <w:lang w:val="hr-HR"/>
              </w:rPr>
            </w:pPr>
            <w:r w:rsidRPr="001567C8">
              <w:rPr>
                <w:rFonts w:asciiTheme="minorHAnsi" w:hAnsiTheme="minorHAnsi" w:cs="Arial"/>
                <w:sz w:val="22"/>
                <w:szCs w:val="22"/>
                <w:lang w:val="hr-HR"/>
              </w:rPr>
              <w:t>15.258.926</w:t>
            </w:r>
          </w:p>
        </w:tc>
      </w:tr>
      <w:tr w:rsidR="0011726C" w:rsidRPr="001567C8" w:rsidTr="003C6BA3">
        <w:trPr>
          <w:trHeight w:val="238"/>
        </w:trPr>
        <w:tc>
          <w:tcPr>
            <w:tcW w:w="3309" w:type="pct"/>
            <w:vAlign w:val="center"/>
          </w:tcPr>
          <w:p w:rsidR="0011726C" w:rsidRPr="001567C8" w:rsidRDefault="0011726C" w:rsidP="0011726C">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Rezerviranja za </w:t>
            </w:r>
            <w:r w:rsidR="009C322E" w:rsidRPr="001567C8">
              <w:rPr>
                <w:rFonts w:asciiTheme="minorHAnsi" w:hAnsiTheme="minorHAnsi" w:cs="Arial"/>
                <w:sz w:val="22"/>
                <w:szCs w:val="22"/>
                <w:lang w:val="hr-HR"/>
              </w:rPr>
              <w:t>očekivane</w:t>
            </w:r>
            <w:r w:rsidRPr="001567C8">
              <w:rPr>
                <w:rFonts w:asciiTheme="minorHAnsi" w:hAnsiTheme="minorHAnsi" w:cs="Arial"/>
                <w:sz w:val="22"/>
                <w:szCs w:val="22"/>
                <w:lang w:val="hr-HR"/>
              </w:rPr>
              <w:t xml:space="preserve"> gubitke </w:t>
            </w:r>
          </w:p>
        </w:tc>
        <w:tc>
          <w:tcPr>
            <w:tcW w:w="846" w:type="pct"/>
            <w:tcBorders>
              <w:top w:val="nil"/>
              <w:left w:val="nil"/>
              <w:bottom w:val="nil"/>
              <w:right w:val="nil"/>
            </w:tcBorders>
            <w:shd w:val="clear" w:color="auto" w:fill="auto"/>
            <w:vAlign w:val="center"/>
          </w:tcPr>
          <w:p w:rsidR="0011726C" w:rsidRPr="001567C8" w:rsidRDefault="0011726C" w:rsidP="0011726C">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(3.380.296)</w:t>
            </w:r>
          </w:p>
        </w:tc>
        <w:tc>
          <w:tcPr>
            <w:tcW w:w="845" w:type="pct"/>
            <w:tcBorders>
              <w:top w:val="single" w:sz="4" w:space="0" w:color="auto"/>
              <w:bottom w:val="single" w:sz="4" w:space="0" w:color="auto"/>
            </w:tcBorders>
            <w:vAlign w:val="center"/>
          </w:tcPr>
          <w:p w:rsidR="0011726C" w:rsidRPr="001567C8" w:rsidRDefault="0011726C" w:rsidP="0011726C">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(2.875.303)</w:t>
            </w:r>
          </w:p>
        </w:tc>
      </w:tr>
      <w:tr w:rsidR="0011726C" w:rsidRPr="001567C8" w:rsidTr="003C6BA3">
        <w:trPr>
          <w:trHeight w:val="322"/>
        </w:trPr>
        <w:tc>
          <w:tcPr>
            <w:tcW w:w="3309" w:type="pct"/>
            <w:vAlign w:val="center"/>
          </w:tcPr>
          <w:p w:rsidR="0011726C" w:rsidRPr="001567C8" w:rsidRDefault="0011726C" w:rsidP="0011726C">
            <w:pPr>
              <w:pStyle w:val="Tot"/>
              <w:rPr>
                <w:rFonts w:asciiTheme="minorHAnsi" w:hAnsiTheme="minorHAnsi" w:cs="Arial"/>
                <w:b/>
                <w:bCs/>
                <w:sz w:val="22"/>
                <w:szCs w:val="22"/>
                <w:lang w:val="hr-HR"/>
              </w:rPr>
            </w:pPr>
          </w:p>
        </w:tc>
        <w:tc>
          <w:tcPr>
            <w:tcW w:w="846" w:type="pct"/>
            <w:tcBorders>
              <w:top w:val="single" w:sz="4" w:space="0" w:color="auto"/>
              <w:left w:val="nil"/>
              <w:bottom w:val="single" w:sz="12" w:space="0" w:color="auto"/>
              <w:right w:val="nil"/>
            </w:tcBorders>
            <w:shd w:val="clear" w:color="auto" w:fill="auto"/>
            <w:vAlign w:val="center"/>
          </w:tcPr>
          <w:p w:rsidR="0011726C" w:rsidRPr="001567C8" w:rsidRDefault="0011726C" w:rsidP="0011726C">
            <w:pPr>
              <w:pStyle w:val="Tot"/>
              <w:jc w:val="right"/>
              <w:rPr>
                <w:rFonts w:asciiTheme="minorHAnsi" w:hAnsiTheme="minorHAnsi" w:cs="Arial"/>
                <w:b/>
                <w:bCs/>
                <w:spacing w:val="-2"/>
                <w:sz w:val="22"/>
                <w:szCs w:val="22"/>
                <w:lang w:val="hr-HR"/>
              </w:rPr>
            </w:pPr>
            <w:r w:rsidRPr="00CD3A2D">
              <w:rPr>
                <w:rFonts w:ascii="Calibri" w:hAnsi="Calibri" w:cs="Calibri"/>
                <w:b/>
                <w:bCs/>
                <w:color w:val="000000"/>
                <w:sz w:val="22"/>
                <w:szCs w:val="22"/>
                <w:lang w:val="hr-HR"/>
              </w:rPr>
              <w:t>12.510.686</w:t>
            </w:r>
          </w:p>
        </w:tc>
        <w:tc>
          <w:tcPr>
            <w:tcW w:w="845" w:type="pct"/>
            <w:tcBorders>
              <w:top w:val="single" w:sz="4" w:space="0" w:color="auto"/>
              <w:bottom w:val="single" w:sz="12" w:space="0" w:color="auto"/>
            </w:tcBorders>
            <w:vAlign w:val="center"/>
          </w:tcPr>
          <w:p w:rsidR="0011726C" w:rsidRPr="001567C8" w:rsidRDefault="0011726C" w:rsidP="0011726C">
            <w:pPr>
              <w:pStyle w:val="Tot"/>
              <w:jc w:val="right"/>
              <w:rPr>
                <w:rFonts w:asciiTheme="minorHAnsi" w:hAnsiTheme="minorHAnsi" w:cs="Arial"/>
                <w:b/>
                <w:bCs/>
                <w:spacing w:val="-2"/>
                <w:sz w:val="22"/>
                <w:szCs w:val="22"/>
                <w:lang w:val="hr-HR"/>
              </w:rPr>
            </w:pPr>
            <w:r w:rsidRPr="001567C8">
              <w:rPr>
                <w:rFonts w:asciiTheme="minorHAnsi" w:hAnsiTheme="minorHAnsi" w:cs="Arial"/>
                <w:b/>
                <w:bCs/>
                <w:spacing w:val="-2"/>
                <w:sz w:val="22"/>
                <w:szCs w:val="22"/>
                <w:lang w:val="hr-HR"/>
              </w:rPr>
              <w:t>12.383.623</w:t>
            </w:r>
          </w:p>
        </w:tc>
      </w:tr>
    </w:tbl>
    <w:p w:rsidR="00F910F1" w:rsidRPr="001567C8" w:rsidRDefault="00F910F1" w:rsidP="00F910F1">
      <w:pPr>
        <w:pStyle w:val="T1"/>
        <w:spacing w:before="0" w:after="0" w:line="240" w:lineRule="auto"/>
        <w:rPr>
          <w:rFonts w:asciiTheme="minorHAnsi" w:hAnsiTheme="minorHAnsi" w:cs="Arial"/>
          <w:b w:val="0"/>
          <w:bCs w:val="0"/>
          <w:sz w:val="18"/>
          <w:szCs w:val="18"/>
          <w:lang w:val="hr-HR"/>
        </w:rPr>
      </w:pPr>
    </w:p>
    <w:p w:rsidR="00F910F1" w:rsidRPr="001567C8" w:rsidRDefault="00602CF2" w:rsidP="00F910F1">
      <w:pPr>
        <w:pStyle w:val="T1"/>
        <w:spacing w:before="0" w:after="0" w:line="240" w:lineRule="auto"/>
        <w:rPr>
          <w:rFonts w:asciiTheme="minorHAnsi" w:hAnsiTheme="minorHAnsi" w:cs="Arial"/>
          <w:b w:val="0"/>
          <w:bCs w:val="0"/>
          <w:sz w:val="18"/>
          <w:szCs w:val="18"/>
          <w:lang w:val="hr-HR"/>
        </w:rPr>
      </w:pPr>
      <w:r w:rsidRPr="001567C8">
        <w:rPr>
          <w:rFonts w:asciiTheme="minorHAnsi" w:hAnsiTheme="minorHAnsi" w:cs="Arial"/>
          <w:b w:val="0"/>
          <w:bCs w:val="0"/>
          <w:sz w:val="22"/>
          <w:szCs w:val="22"/>
          <w:lang w:val="hr-HR"/>
        </w:rPr>
        <w:t xml:space="preserve">Prosječne kamatne stope na kredite ostalim korisnicima iskazane su u visini od </w:t>
      </w:r>
      <w:r w:rsidR="005F63C0" w:rsidRPr="001567C8">
        <w:rPr>
          <w:rFonts w:asciiTheme="minorHAnsi" w:hAnsiTheme="minorHAnsi" w:cs="Arial"/>
          <w:b w:val="0"/>
          <w:bCs w:val="0"/>
          <w:sz w:val="22"/>
          <w:szCs w:val="22"/>
          <w:lang w:val="hr-HR"/>
        </w:rPr>
        <w:t>1,79</w:t>
      </w:r>
      <w:r w:rsidRPr="001567C8">
        <w:rPr>
          <w:rFonts w:asciiTheme="minorHAnsi" w:hAnsiTheme="minorHAnsi" w:cs="Arial"/>
          <w:b w:val="0"/>
          <w:bCs w:val="0"/>
          <w:sz w:val="22"/>
          <w:szCs w:val="22"/>
          <w:lang w:val="hr-HR"/>
        </w:rPr>
        <w:t>% (</w:t>
      </w:r>
      <w:r w:rsidR="006D377C" w:rsidRPr="001567C8">
        <w:rPr>
          <w:rFonts w:asciiTheme="minorHAnsi" w:hAnsiTheme="minorHAnsi" w:cs="Arial"/>
          <w:b w:val="0"/>
          <w:bCs w:val="0"/>
          <w:sz w:val="22"/>
          <w:szCs w:val="22"/>
          <w:lang w:val="hr-HR"/>
        </w:rPr>
        <w:t xml:space="preserve">31. prosinca </w:t>
      </w:r>
      <w:r w:rsidR="005F63C0" w:rsidRPr="001567C8">
        <w:rPr>
          <w:rFonts w:asciiTheme="minorHAnsi" w:hAnsiTheme="minorHAnsi" w:cs="Arial"/>
          <w:b w:val="0"/>
          <w:bCs w:val="0"/>
          <w:sz w:val="22"/>
          <w:szCs w:val="22"/>
          <w:lang w:val="hr-HR"/>
        </w:rPr>
        <w:t>2017</w:t>
      </w:r>
      <w:r w:rsidRPr="001567C8">
        <w:rPr>
          <w:rFonts w:asciiTheme="minorHAnsi" w:hAnsiTheme="minorHAnsi" w:cs="Arial"/>
          <w:b w:val="0"/>
          <w:bCs w:val="0"/>
          <w:sz w:val="22"/>
          <w:szCs w:val="22"/>
          <w:lang w:val="hr-HR"/>
        </w:rPr>
        <w:t xml:space="preserve">. godine: </w:t>
      </w:r>
      <w:r w:rsidR="005F63C0" w:rsidRPr="001567C8">
        <w:rPr>
          <w:rFonts w:asciiTheme="minorHAnsi" w:hAnsiTheme="minorHAnsi" w:cs="Arial"/>
          <w:b w:val="0"/>
          <w:bCs w:val="0"/>
          <w:sz w:val="22"/>
          <w:szCs w:val="22"/>
          <w:lang w:val="hr-HR"/>
        </w:rPr>
        <w:t>2,08</w:t>
      </w:r>
      <w:r w:rsidRPr="001567C8">
        <w:rPr>
          <w:rFonts w:asciiTheme="minorHAnsi" w:hAnsiTheme="minorHAnsi" w:cs="Arial"/>
          <w:b w:val="0"/>
          <w:bCs w:val="0"/>
          <w:sz w:val="22"/>
          <w:szCs w:val="22"/>
          <w:lang w:val="hr-HR"/>
        </w:rPr>
        <w:t xml:space="preserve">%). </w:t>
      </w:r>
    </w:p>
    <w:p w:rsidR="00AE7979" w:rsidRPr="001567C8" w:rsidRDefault="00954DDA" w:rsidP="00447AB8">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Prosječne kamatne stope odražavaju omjer kamatnih prihoda na navedene plasmane i prosječne </w:t>
      </w:r>
      <w:r w:rsidR="00405FE5" w:rsidRPr="001567C8">
        <w:rPr>
          <w:rFonts w:asciiTheme="minorHAnsi" w:hAnsiTheme="minorHAnsi" w:cs="Arial"/>
          <w:b w:val="0"/>
          <w:bCs w:val="0"/>
          <w:sz w:val="22"/>
          <w:szCs w:val="22"/>
          <w:lang w:val="hr-HR"/>
        </w:rPr>
        <w:t>imovine</w:t>
      </w:r>
      <w:r w:rsidRPr="001567C8">
        <w:rPr>
          <w:rFonts w:asciiTheme="minorHAnsi" w:hAnsiTheme="minorHAnsi" w:cs="Arial"/>
          <w:b w:val="0"/>
          <w:bCs w:val="0"/>
          <w:sz w:val="22"/>
          <w:szCs w:val="22"/>
          <w:lang w:val="hr-HR"/>
        </w:rPr>
        <w:t>.</w:t>
      </w:r>
    </w:p>
    <w:p w:rsidR="00C6193E" w:rsidRPr="001567C8" w:rsidRDefault="00C6193E" w:rsidP="00447AB8">
      <w:pPr>
        <w:pStyle w:val="T1"/>
        <w:keepNext w:val="0"/>
        <w:spacing w:before="0" w:after="0" w:line="240" w:lineRule="auto"/>
        <w:rPr>
          <w:rFonts w:asciiTheme="minorHAnsi" w:hAnsiTheme="minorHAnsi" w:cs="Arial"/>
          <w:sz w:val="18"/>
          <w:szCs w:val="18"/>
          <w:lang w:val="hr-HR"/>
        </w:rPr>
      </w:pPr>
    </w:p>
    <w:p w:rsidR="007C6F81" w:rsidRPr="001567C8" w:rsidRDefault="007C6F81" w:rsidP="00447AB8">
      <w:pPr>
        <w:pStyle w:val="T1"/>
        <w:keepNext w:val="0"/>
        <w:spacing w:before="0" w:after="0" w:line="240" w:lineRule="auto"/>
        <w:rPr>
          <w:rFonts w:asciiTheme="minorHAnsi" w:hAnsiTheme="minorHAnsi" w:cs="Arial"/>
          <w:sz w:val="18"/>
          <w:szCs w:val="18"/>
          <w:lang w:val="hr-HR"/>
        </w:rPr>
        <w:sectPr w:rsidR="007C6F81" w:rsidRPr="001567C8" w:rsidSect="003E2D7A">
          <w:pgSz w:w="11907" w:h="16840" w:code="9"/>
          <w:pgMar w:top="1418" w:right="1134" w:bottom="1134" w:left="1418" w:header="851" w:footer="851" w:gutter="0"/>
          <w:cols w:space="720"/>
          <w:noEndnote/>
        </w:sectPr>
      </w:pPr>
    </w:p>
    <w:p w:rsidR="005F63C0" w:rsidRPr="001567C8" w:rsidRDefault="005F63C0" w:rsidP="00447AB8">
      <w:pPr>
        <w:pStyle w:val="T1"/>
        <w:keepNext w:val="0"/>
        <w:spacing w:before="0" w:after="0" w:line="240" w:lineRule="auto"/>
        <w:rPr>
          <w:rFonts w:asciiTheme="minorHAnsi" w:hAnsiTheme="minorHAnsi" w:cs="Arial"/>
          <w:sz w:val="18"/>
          <w:szCs w:val="18"/>
          <w:lang w:val="hr-HR"/>
        </w:rPr>
      </w:pPr>
    </w:p>
    <w:p w:rsidR="007C5696" w:rsidRPr="001567C8" w:rsidRDefault="007C5696" w:rsidP="00447AB8">
      <w:pPr>
        <w:pStyle w:val="T1"/>
        <w:keepNext w:val="0"/>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7</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Financijska imovina po fer vrijednosti kroz dobit i</w:t>
      </w:r>
      <w:r w:rsidR="001C1012" w:rsidRPr="001567C8">
        <w:rPr>
          <w:rFonts w:asciiTheme="minorHAnsi" w:hAnsiTheme="minorHAnsi" w:cs="Arial"/>
          <w:sz w:val="22"/>
          <w:szCs w:val="22"/>
          <w:lang w:val="hr-HR"/>
        </w:rPr>
        <w:t>li</w:t>
      </w:r>
      <w:r w:rsidRPr="001567C8">
        <w:rPr>
          <w:rFonts w:asciiTheme="minorHAnsi" w:hAnsiTheme="minorHAnsi" w:cs="Arial"/>
          <w:sz w:val="22"/>
          <w:szCs w:val="22"/>
          <w:lang w:val="hr-HR"/>
        </w:rPr>
        <w:t xml:space="preserve"> gubi</w:t>
      </w:r>
      <w:r w:rsidR="001C1012" w:rsidRPr="001567C8">
        <w:rPr>
          <w:rFonts w:asciiTheme="minorHAnsi" w:hAnsiTheme="minorHAnsi" w:cs="Arial"/>
          <w:sz w:val="22"/>
          <w:szCs w:val="22"/>
          <w:lang w:val="hr-HR"/>
        </w:rPr>
        <w:t>tak</w:t>
      </w:r>
    </w:p>
    <w:p w:rsidR="007C6F81" w:rsidRPr="001567C8" w:rsidRDefault="007C6F81" w:rsidP="00447AB8">
      <w:pPr>
        <w:pStyle w:val="T1"/>
        <w:keepNext w:val="0"/>
        <w:spacing w:before="0" w:after="0" w:line="240" w:lineRule="auto"/>
        <w:rPr>
          <w:rFonts w:asciiTheme="minorHAnsi" w:hAnsiTheme="minorHAnsi" w:cs="Arial"/>
          <w:sz w:val="22"/>
          <w:szCs w:val="22"/>
          <w:lang w:val="hr-HR"/>
        </w:rPr>
      </w:pPr>
    </w:p>
    <w:tbl>
      <w:tblPr>
        <w:tblW w:w="9498" w:type="dxa"/>
        <w:tblLook w:val="04A0" w:firstRow="1" w:lastRow="0" w:firstColumn="1" w:lastColumn="0" w:noHBand="0" w:noVBand="1"/>
      </w:tblPr>
      <w:tblGrid>
        <w:gridCol w:w="3402"/>
        <w:gridCol w:w="1524"/>
        <w:gridCol w:w="1524"/>
        <w:gridCol w:w="1524"/>
        <w:gridCol w:w="1524"/>
      </w:tblGrid>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rPr>
                <w:sz w:val="22"/>
                <w:szCs w:val="22"/>
                <w:lang w:val="hr-HR"/>
              </w:rPr>
            </w:pPr>
            <w:bookmarkStart w:id="55" w:name="RANGE!A3"/>
            <w:bookmarkEnd w:id="55"/>
          </w:p>
        </w:tc>
        <w:tc>
          <w:tcPr>
            <w:tcW w:w="3048" w:type="dxa"/>
            <w:gridSpan w:val="2"/>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Grupa</w:t>
            </w:r>
          </w:p>
        </w:tc>
        <w:tc>
          <w:tcPr>
            <w:tcW w:w="3048" w:type="dxa"/>
            <w:gridSpan w:val="2"/>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Banka</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01590F">
            <w:pPr>
              <w:jc w:val="right"/>
              <w:rPr>
                <w:rFonts w:ascii="Calibri" w:hAnsi="Calibri"/>
                <w:b/>
                <w:bCs/>
                <w:color w:val="000000"/>
                <w:sz w:val="22"/>
                <w:szCs w:val="22"/>
                <w:lang w:val="hr-HR"/>
              </w:rPr>
            </w:pPr>
            <w:r w:rsidRPr="0001590F">
              <w:rPr>
                <w:rFonts w:ascii="Calibri" w:hAnsi="Calibri"/>
                <w:b/>
                <w:bCs/>
                <w:color w:val="000000"/>
                <w:sz w:val="22"/>
                <w:szCs w:val="22"/>
                <w:lang w:val="hr-HR"/>
              </w:rPr>
              <w:t xml:space="preserve">31. prosinca </w:t>
            </w:r>
            <w:r w:rsidR="007C6F81" w:rsidRPr="00CD3A2D">
              <w:rPr>
                <w:rFonts w:ascii="Calibri" w:hAnsi="Calibri"/>
                <w:b/>
                <w:bCs/>
                <w:color w:val="000000"/>
                <w:sz w:val="22"/>
                <w:szCs w:val="22"/>
                <w:lang w:val="hr-HR"/>
              </w:rPr>
              <w:t>2018.</w:t>
            </w:r>
          </w:p>
        </w:tc>
        <w:tc>
          <w:tcPr>
            <w:tcW w:w="1524" w:type="dxa"/>
            <w:tcBorders>
              <w:top w:val="nil"/>
              <w:left w:val="nil"/>
              <w:bottom w:val="nil"/>
              <w:right w:val="nil"/>
            </w:tcBorders>
            <w:shd w:val="clear" w:color="auto" w:fill="auto"/>
            <w:vAlign w:val="center"/>
            <w:hideMark/>
          </w:tcPr>
          <w:p w:rsidR="007C6F81" w:rsidRPr="00CD3A2D" w:rsidRDefault="0001590F">
            <w:pPr>
              <w:jc w:val="right"/>
              <w:rPr>
                <w:rFonts w:ascii="Calibri" w:hAnsi="Calibri"/>
                <w:b/>
                <w:bCs/>
                <w:color w:val="000000"/>
                <w:sz w:val="22"/>
                <w:szCs w:val="22"/>
                <w:lang w:val="hr-HR"/>
              </w:rPr>
            </w:pPr>
            <w:r w:rsidRPr="0001590F">
              <w:rPr>
                <w:rFonts w:ascii="Calibri" w:hAnsi="Calibri"/>
                <w:b/>
                <w:bCs/>
                <w:color w:val="000000"/>
                <w:sz w:val="22"/>
                <w:szCs w:val="22"/>
                <w:lang w:val="hr-HR"/>
              </w:rPr>
              <w:t xml:space="preserve">31. prosinca </w:t>
            </w:r>
            <w:r w:rsidR="007C6F81" w:rsidRPr="00CD3A2D">
              <w:rPr>
                <w:rFonts w:ascii="Calibri" w:hAnsi="Calibri"/>
                <w:b/>
                <w:bCs/>
                <w:color w:val="000000"/>
                <w:sz w:val="22"/>
                <w:szCs w:val="22"/>
                <w:lang w:val="hr-HR"/>
              </w:rPr>
              <w:t>2017.</w:t>
            </w:r>
          </w:p>
        </w:tc>
        <w:tc>
          <w:tcPr>
            <w:tcW w:w="1524" w:type="dxa"/>
            <w:tcBorders>
              <w:top w:val="nil"/>
              <w:left w:val="nil"/>
              <w:bottom w:val="nil"/>
              <w:right w:val="nil"/>
            </w:tcBorders>
            <w:shd w:val="clear" w:color="auto" w:fill="auto"/>
            <w:vAlign w:val="center"/>
            <w:hideMark/>
          </w:tcPr>
          <w:p w:rsidR="007C6F81" w:rsidRPr="00CD3A2D" w:rsidRDefault="0001590F">
            <w:pPr>
              <w:jc w:val="right"/>
              <w:rPr>
                <w:rFonts w:ascii="Calibri" w:hAnsi="Calibri"/>
                <w:b/>
                <w:bCs/>
                <w:color w:val="000000"/>
                <w:sz w:val="22"/>
                <w:szCs w:val="22"/>
                <w:lang w:val="hr-HR"/>
              </w:rPr>
            </w:pPr>
            <w:r w:rsidRPr="0001590F">
              <w:rPr>
                <w:rFonts w:ascii="Calibri" w:hAnsi="Calibri"/>
                <w:b/>
                <w:bCs/>
                <w:color w:val="000000"/>
                <w:sz w:val="22"/>
                <w:szCs w:val="22"/>
                <w:lang w:val="hr-HR"/>
              </w:rPr>
              <w:t xml:space="preserve">31. prosinca </w:t>
            </w:r>
            <w:r w:rsidR="007C6F81" w:rsidRPr="00CD3A2D">
              <w:rPr>
                <w:rFonts w:ascii="Calibri" w:hAnsi="Calibri"/>
                <w:b/>
                <w:bCs/>
                <w:color w:val="000000"/>
                <w:sz w:val="22"/>
                <w:szCs w:val="22"/>
                <w:lang w:val="hr-HR"/>
              </w:rPr>
              <w:t>2018.</w:t>
            </w:r>
          </w:p>
        </w:tc>
        <w:tc>
          <w:tcPr>
            <w:tcW w:w="1524" w:type="dxa"/>
            <w:tcBorders>
              <w:top w:val="nil"/>
              <w:left w:val="nil"/>
              <w:bottom w:val="nil"/>
              <w:right w:val="nil"/>
            </w:tcBorders>
            <w:shd w:val="clear" w:color="auto" w:fill="auto"/>
            <w:vAlign w:val="center"/>
            <w:hideMark/>
          </w:tcPr>
          <w:p w:rsidR="007C6F81" w:rsidRPr="00CD3A2D" w:rsidRDefault="0001590F">
            <w:pPr>
              <w:jc w:val="right"/>
              <w:rPr>
                <w:rFonts w:ascii="Calibri" w:hAnsi="Calibri"/>
                <w:b/>
                <w:bCs/>
                <w:color w:val="000000"/>
                <w:sz w:val="22"/>
                <w:szCs w:val="22"/>
                <w:lang w:val="hr-HR"/>
              </w:rPr>
            </w:pPr>
            <w:r w:rsidRPr="0001590F">
              <w:rPr>
                <w:rFonts w:ascii="Calibri" w:hAnsi="Calibri"/>
                <w:b/>
                <w:bCs/>
                <w:color w:val="000000"/>
                <w:sz w:val="22"/>
                <w:szCs w:val="22"/>
                <w:lang w:val="hr-HR"/>
              </w:rPr>
              <w:t xml:space="preserve">31. prosinca </w:t>
            </w:r>
            <w:r w:rsidR="007C6F81" w:rsidRPr="00CD3A2D">
              <w:rPr>
                <w:rFonts w:ascii="Calibri" w:hAnsi="Calibri"/>
                <w:b/>
                <w:bCs/>
                <w:color w:val="000000"/>
                <w:sz w:val="22"/>
                <w:szCs w:val="22"/>
                <w:lang w:val="hr-HR"/>
              </w:rPr>
              <w:t>2017.</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000 kuna</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000 kuna</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000 kuna</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000 kuna</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rPr>
                <w:rFonts w:ascii="Calibri" w:hAnsi="Calibri"/>
                <w:b/>
                <w:bCs/>
                <w:i/>
                <w:iCs/>
                <w:color w:val="000000"/>
                <w:sz w:val="22"/>
                <w:szCs w:val="22"/>
                <w:lang w:val="hr-HR"/>
              </w:rPr>
            </w:pPr>
            <w:r w:rsidRPr="00CD3A2D">
              <w:rPr>
                <w:rFonts w:ascii="Calibri" w:hAnsi="Calibri"/>
                <w:b/>
                <w:bCs/>
                <w:i/>
                <w:iCs/>
                <w:color w:val="000000"/>
                <w:sz w:val="22"/>
                <w:szCs w:val="22"/>
                <w:lang w:val="hr-HR"/>
              </w:rPr>
              <w:t>Krediti po FV</w:t>
            </w:r>
            <w:r w:rsidR="00EF641B" w:rsidRPr="00CD3A2D">
              <w:rPr>
                <w:rFonts w:ascii="Calibri" w:hAnsi="Calibri"/>
                <w:b/>
                <w:bCs/>
                <w:i/>
                <w:iCs/>
                <w:color w:val="000000"/>
                <w:sz w:val="22"/>
                <w:szCs w:val="22"/>
                <w:lang w:val="hr-HR"/>
              </w:rPr>
              <w:t>R</w:t>
            </w:r>
            <w:r w:rsidRPr="00CD3A2D">
              <w:rPr>
                <w:rFonts w:ascii="Calibri" w:hAnsi="Calibri"/>
                <w:b/>
                <w:bCs/>
                <w:i/>
                <w:iCs/>
                <w:color w:val="000000"/>
                <w:sz w:val="22"/>
                <w:szCs w:val="22"/>
                <w:lang w:val="hr-HR"/>
              </w:rPr>
              <w:t>DG:</w:t>
            </w:r>
          </w:p>
        </w:tc>
        <w:tc>
          <w:tcPr>
            <w:tcW w:w="1524" w:type="dxa"/>
            <w:tcBorders>
              <w:top w:val="nil"/>
              <w:left w:val="nil"/>
              <w:bottom w:val="nil"/>
              <w:right w:val="nil"/>
            </w:tcBorders>
            <w:shd w:val="clear" w:color="auto" w:fill="auto"/>
            <w:vAlign w:val="center"/>
            <w:hideMark/>
          </w:tcPr>
          <w:p w:rsidR="007C6F81" w:rsidRPr="00CD3A2D" w:rsidRDefault="007C6F81">
            <w:pPr>
              <w:rPr>
                <w:rFonts w:ascii="Calibri" w:hAnsi="Calibri"/>
                <w:b/>
                <w:bCs/>
                <w:i/>
                <w:iCs/>
                <w:color w:val="000000"/>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rPr>
                <w:rFonts w:ascii="Calibri" w:hAnsi="Calibri"/>
                <w:color w:val="000000"/>
                <w:sz w:val="22"/>
                <w:szCs w:val="22"/>
                <w:lang w:val="hr-HR"/>
              </w:rPr>
            </w:pPr>
            <w:r w:rsidRPr="00CD3A2D">
              <w:rPr>
                <w:rFonts w:ascii="Calibri" w:hAnsi="Calibri"/>
                <w:color w:val="000000"/>
                <w:sz w:val="22"/>
                <w:szCs w:val="22"/>
                <w:lang w:val="hr-HR"/>
              </w:rPr>
              <w:t>Mezzanine krediti</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2.045</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n/p</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2.045</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n/p</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2.045</w:t>
            </w: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n/p</w:t>
            </w: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2.045</w:t>
            </w: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n/p</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rPr>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jc w:val="right"/>
              <w:rPr>
                <w:sz w:val="22"/>
                <w:szCs w:val="22"/>
                <w:lang w:val="hr-HR"/>
              </w:rPr>
            </w:pP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rPr>
                <w:rFonts w:ascii="Calibri" w:hAnsi="Calibri"/>
                <w:b/>
                <w:bCs/>
                <w:i/>
                <w:iCs/>
                <w:color w:val="000000"/>
                <w:sz w:val="22"/>
                <w:szCs w:val="22"/>
                <w:lang w:val="hr-HR"/>
              </w:rPr>
            </w:pPr>
            <w:r w:rsidRPr="00CD3A2D">
              <w:rPr>
                <w:rFonts w:ascii="Calibri" w:hAnsi="Calibri"/>
                <w:b/>
                <w:bCs/>
                <w:i/>
                <w:iCs/>
                <w:color w:val="000000"/>
                <w:sz w:val="22"/>
                <w:szCs w:val="22"/>
                <w:lang w:val="hr-HR"/>
              </w:rPr>
              <w:t>Ulaganja u investicijske fondove:</w:t>
            </w:r>
          </w:p>
        </w:tc>
        <w:tc>
          <w:tcPr>
            <w:tcW w:w="1524" w:type="dxa"/>
            <w:tcBorders>
              <w:top w:val="nil"/>
              <w:left w:val="nil"/>
              <w:bottom w:val="nil"/>
              <w:right w:val="nil"/>
            </w:tcBorders>
            <w:shd w:val="clear" w:color="auto" w:fill="auto"/>
            <w:vAlign w:val="center"/>
            <w:hideMark/>
          </w:tcPr>
          <w:p w:rsidR="007C6F81" w:rsidRPr="00CD3A2D" w:rsidRDefault="007C6F81">
            <w:pPr>
              <w:rPr>
                <w:rFonts w:ascii="Calibri" w:hAnsi="Calibri"/>
                <w:b/>
                <w:bCs/>
                <w:i/>
                <w:iCs/>
                <w:color w:val="000000"/>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r>
      <w:tr w:rsidR="007C6F81" w:rsidRPr="001567C8" w:rsidTr="003C6BA3">
        <w:trPr>
          <w:trHeight w:val="330"/>
        </w:trPr>
        <w:tc>
          <w:tcPr>
            <w:tcW w:w="3402" w:type="dxa"/>
            <w:tcBorders>
              <w:top w:val="nil"/>
              <w:left w:val="nil"/>
              <w:bottom w:val="nil"/>
              <w:right w:val="nil"/>
            </w:tcBorders>
            <w:shd w:val="clear" w:color="auto" w:fill="auto"/>
            <w:vAlign w:val="center"/>
            <w:hideMark/>
          </w:tcPr>
          <w:p w:rsidR="007C6F81" w:rsidRPr="00CD3A2D" w:rsidRDefault="007C6F81">
            <w:pPr>
              <w:rPr>
                <w:rFonts w:ascii="Calibri" w:hAnsi="Calibri"/>
                <w:color w:val="000000"/>
                <w:sz w:val="22"/>
                <w:szCs w:val="22"/>
                <w:lang w:val="hr-HR"/>
              </w:rPr>
            </w:pPr>
            <w:r w:rsidRPr="00CD3A2D">
              <w:rPr>
                <w:rFonts w:ascii="Calibri" w:hAnsi="Calibri"/>
                <w:color w:val="000000"/>
                <w:sz w:val="22"/>
                <w:szCs w:val="22"/>
                <w:lang w:val="hr-HR"/>
              </w:rPr>
              <w:t>Udjeli u investicijskim fondovima po FV</w:t>
            </w:r>
            <w:r w:rsidR="00EF641B" w:rsidRPr="00CD3A2D">
              <w:rPr>
                <w:rFonts w:ascii="Calibri" w:hAnsi="Calibri"/>
                <w:color w:val="000000"/>
                <w:sz w:val="22"/>
                <w:szCs w:val="22"/>
                <w:lang w:val="hr-HR"/>
              </w:rPr>
              <w:t>R</w:t>
            </w:r>
            <w:r w:rsidRPr="00CD3A2D">
              <w:rPr>
                <w:rFonts w:ascii="Calibri" w:hAnsi="Calibri"/>
                <w:color w:val="000000"/>
                <w:sz w:val="22"/>
                <w:szCs w:val="22"/>
                <w:lang w:val="hr-HR"/>
              </w:rPr>
              <w:t>DG</w:t>
            </w:r>
          </w:p>
        </w:tc>
        <w:tc>
          <w:tcPr>
            <w:tcW w:w="1524" w:type="dxa"/>
            <w:tcBorders>
              <w:top w:val="nil"/>
              <w:left w:val="nil"/>
              <w:bottom w:val="nil"/>
              <w:right w:val="nil"/>
            </w:tcBorders>
            <w:shd w:val="clear" w:color="auto" w:fill="auto"/>
            <w:vAlign w:val="center"/>
            <w:hideMark/>
          </w:tcPr>
          <w:p w:rsidR="007C6F81" w:rsidRPr="00CD3A2D" w:rsidRDefault="009021CC">
            <w:pPr>
              <w:jc w:val="right"/>
              <w:rPr>
                <w:rFonts w:ascii="Calibri" w:hAnsi="Calibri"/>
                <w:color w:val="000000"/>
                <w:sz w:val="22"/>
                <w:szCs w:val="22"/>
                <w:lang w:val="hr-HR"/>
              </w:rPr>
            </w:pPr>
            <w:r w:rsidRPr="00CD3A2D">
              <w:rPr>
                <w:rFonts w:ascii="Calibri" w:hAnsi="Calibri"/>
                <w:color w:val="000000"/>
                <w:sz w:val="22"/>
                <w:szCs w:val="22"/>
                <w:lang w:val="hr-HR"/>
              </w:rPr>
              <w:t>334.060</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291</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328.597</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9021CC">
            <w:pPr>
              <w:jc w:val="right"/>
              <w:rPr>
                <w:rFonts w:ascii="Calibri" w:hAnsi="Calibri"/>
                <w:b/>
                <w:bCs/>
                <w:color w:val="000000"/>
                <w:sz w:val="22"/>
                <w:szCs w:val="22"/>
                <w:lang w:val="hr-HR"/>
              </w:rPr>
            </w:pPr>
            <w:r w:rsidRPr="00CD3A2D">
              <w:rPr>
                <w:rFonts w:ascii="Calibri" w:hAnsi="Calibri"/>
                <w:b/>
                <w:bCs/>
                <w:color w:val="000000"/>
                <w:sz w:val="22"/>
                <w:szCs w:val="22"/>
                <w:lang w:val="hr-HR"/>
              </w:rPr>
              <w:t>334.060</w:t>
            </w: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291</w:t>
            </w: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328.597</w:t>
            </w: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rPr>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jc w:val="right"/>
              <w:rPr>
                <w:sz w:val="22"/>
                <w:szCs w:val="22"/>
                <w:lang w:val="hr-HR"/>
              </w:rPr>
            </w:pP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rPr>
                <w:rFonts w:ascii="Calibri" w:hAnsi="Calibri"/>
                <w:b/>
                <w:bCs/>
                <w:i/>
                <w:iCs/>
                <w:color w:val="000000"/>
                <w:sz w:val="22"/>
                <w:szCs w:val="22"/>
                <w:lang w:val="hr-HR"/>
              </w:rPr>
            </w:pPr>
            <w:r w:rsidRPr="00CD3A2D">
              <w:rPr>
                <w:rFonts w:ascii="Calibri" w:hAnsi="Calibri"/>
                <w:b/>
                <w:bCs/>
                <w:i/>
                <w:iCs/>
                <w:color w:val="000000"/>
                <w:sz w:val="22"/>
                <w:szCs w:val="22"/>
                <w:lang w:val="hr-HR"/>
              </w:rPr>
              <w:t>Vlasnički vrijednosni papiri koji kotiraju:</w:t>
            </w:r>
          </w:p>
        </w:tc>
        <w:tc>
          <w:tcPr>
            <w:tcW w:w="1524" w:type="dxa"/>
            <w:tcBorders>
              <w:top w:val="nil"/>
              <w:left w:val="nil"/>
              <w:bottom w:val="nil"/>
              <w:right w:val="nil"/>
            </w:tcBorders>
            <w:shd w:val="clear" w:color="auto" w:fill="auto"/>
            <w:vAlign w:val="center"/>
            <w:hideMark/>
          </w:tcPr>
          <w:p w:rsidR="007C6F81" w:rsidRPr="00CD3A2D" w:rsidRDefault="007C6F81">
            <w:pPr>
              <w:rPr>
                <w:rFonts w:ascii="Calibri" w:hAnsi="Calibri"/>
                <w:b/>
                <w:bCs/>
                <w:i/>
                <w:iCs/>
                <w:color w:val="000000"/>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rPr>
                <w:rFonts w:ascii="Calibri" w:hAnsi="Calibri"/>
                <w:color w:val="000000"/>
                <w:sz w:val="22"/>
                <w:szCs w:val="22"/>
                <w:lang w:val="hr-HR"/>
              </w:rPr>
            </w:pPr>
            <w:r w:rsidRPr="00CD3A2D">
              <w:rPr>
                <w:rFonts w:ascii="Calibri" w:hAnsi="Calibri"/>
                <w:color w:val="000000"/>
                <w:sz w:val="22"/>
                <w:szCs w:val="22"/>
                <w:lang w:val="hr-HR"/>
              </w:rPr>
              <w:t>Dionice trgovačkih društava</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n/p</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n/p</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w:t>
            </w: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n/p</w:t>
            </w: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w:t>
            </w:r>
          </w:p>
        </w:tc>
        <w:tc>
          <w:tcPr>
            <w:tcW w:w="1524" w:type="dxa"/>
            <w:tcBorders>
              <w:top w:val="single" w:sz="4" w:space="0" w:color="auto"/>
              <w:left w:val="nil"/>
              <w:bottom w:val="single" w:sz="12"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n/p</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rPr>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single" w:sz="12" w:space="0" w:color="auto"/>
              <w:left w:val="nil"/>
              <w:bottom w:val="nil"/>
              <w:right w:val="nil"/>
            </w:tcBorders>
            <w:shd w:val="clear" w:color="auto" w:fill="auto"/>
            <w:vAlign w:val="center"/>
            <w:hideMark/>
          </w:tcPr>
          <w:p w:rsidR="007C6F81" w:rsidRPr="00CD3A2D" w:rsidRDefault="007C6F81">
            <w:pPr>
              <w:jc w:val="right"/>
              <w:rPr>
                <w:sz w:val="22"/>
                <w:szCs w:val="22"/>
                <w:lang w:val="hr-HR"/>
              </w:rPr>
            </w:pPr>
          </w:p>
        </w:tc>
      </w:tr>
      <w:tr w:rsidR="007C6F81" w:rsidRPr="001567C8" w:rsidTr="003C6BA3">
        <w:trPr>
          <w:trHeight w:val="367"/>
        </w:trPr>
        <w:tc>
          <w:tcPr>
            <w:tcW w:w="3402" w:type="dxa"/>
            <w:tcBorders>
              <w:top w:val="nil"/>
              <w:left w:val="nil"/>
              <w:bottom w:val="nil"/>
              <w:right w:val="nil"/>
            </w:tcBorders>
            <w:shd w:val="clear" w:color="auto" w:fill="auto"/>
            <w:vAlign w:val="center"/>
            <w:hideMark/>
          </w:tcPr>
          <w:p w:rsidR="007C6F81" w:rsidRPr="00CD3A2D" w:rsidRDefault="007C6F81">
            <w:pPr>
              <w:rPr>
                <w:rFonts w:ascii="Calibri" w:hAnsi="Calibri"/>
                <w:b/>
                <w:bCs/>
                <w:i/>
                <w:iCs/>
                <w:color w:val="000000"/>
                <w:sz w:val="22"/>
                <w:szCs w:val="22"/>
                <w:lang w:val="hr-HR"/>
              </w:rPr>
            </w:pPr>
            <w:r w:rsidRPr="00CD3A2D">
              <w:rPr>
                <w:rFonts w:ascii="Calibri" w:hAnsi="Calibri"/>
                <w:b/>
                <w:bCs/>
                <w:i/>
                <w:iCs/>
                <w:color w:val="000000"/>
                <w:sz w:val="22"/>
                <w:szCs w:val="22"/>
                <w:lang w:val="hr-HR"/>
              </w:rPr>
              <w:t>Vlasnički vrijednosni papiri koji ne kotiraju:</w:t>
            </w:r>
          </w:p>
        </w:tc>
        <w:tc>
          <w:tcPr>
            <w:tcW w:w="1524" w:type="dxa"/>
            <w:tcBorders>
              <w:top w:val="nil"/>
              <w:left w:val="nil"/>
              <w:bottom w:val="nil"/>
              <w:right w:val="nil"/>
            </w:tcBorders>
            <w:shd w:val="clear" w:color="auto" w:fill="auto"/>
            <w:vAlign w:val="center"/>
            <w:hideMark/>
          </w:tcPr>
          <w:p w:rsidR="007C6F81" w:rsidRPr="00CD3A2D" w:rsidRDefault="007C6F81">
            <w:pPr>
              <w:rPr>
                <w:rFonts w:ascii="Calibri" w:hAnsi="Calibri"/>
                <w:b/>
                <w:bCs/>
                <w:i/>
                <w:iCs/>
                <w:color w:val="000000"/>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c>
          <w:tcPr>
            <w:tcW w:w="1524" w:type="dxa"/>
            <w:tcBorders>
              <w:top w:val="nil"/>
              <w:left w:val="nil"/>
              <w:bottom w:val="nil"/>
              <w:right w:val="nil"/>
            </w:tcBorders>
            <w:shd w:val="clear" w:color="auto" w:fill="auto"/>
            <w:vAlign w:val="center"/>
            <w:hideMark/>
          </w:tcPr>
          <w:p w:rsidR="007C6F81" w:rsidRPr="00CD3A2D" w:rsidRDefault="007C6F81">
            <w:pPr>
              <w:jc w:val="right"/>
              <w:rPr>
                <w:sz w:val="22"/>
                <w:szCs w:val="22"/>
                <w:lang w:val="hr-HR"/>
              </w:rPr>
            </w:pPr>
          </w:p>
        </w:tc>
      </w:tr>
      <w:tr w:rsidR="00D23500" w:rsidRPr="001567C8" w:rsidTr="003C6BA3">
        <w:trPr>
          <w:trHeight w:val="367"/>
        </w:trPr>
        <w:tc>
          <w:tcPr>
            <w:tcW w:w="3402" w:type="dxa"/>
            <w:tcBorders>
              <w:top w:val="nil"/>
              <w:left w:val="nil"/>
              <w:bottom w:val="nil"/>
              <w:right w:val="nil"/>
            </w:tcBorders>
            <w:shd w:val="clear" w:color="auto" w:fill="auto"/>
            <w:vAlign w:val="center"/>
          </w:tcPr>
          <w:p w:rsidR="00D23500" w:rsidRPr="00CD3A2D" w:rsidRDefault="00D23500">
            <w:pPr>
              <w:rPr>
                <w:rFonts w:ascii="Calibri" w:hAnsi="Calibri"/>
                <w:bCs/>
                <w:iCs/>
                <w:color w:val="000000"/>
                <w:sz w:val="22"/>
                <w:szCs w:val="22"/>
                <w:lang w:val="hr-HR"/>
              </w:rPr>
            </w:pPr>
            <w:r w:rsidRPr="00CD3A2D">
              <w:rPr>
                <w:rFonts w:ascii="Calibri" w:hAnsi="Calibri"/>
                <w:bCs/>
                <w:iCs/>
                <w:color w:val="000000"/>
                <w:sz w:val="22"/>
                <w:szCs w:val="22"/>
                <w:lang w:val="hr-HR"/>
              </w:rPr>
              <w:t>Dionice trgovačkih društava</w:t>
            </w:r>
          </w:p>
        </w:tc>
        <w:tc>
          <w:tcPr>
            <w:tcW w:w="1524" w:type="dxa"/>
            <w:tcBorders>
              <w:top w:val="nil"/>
              <w:left w:val="nil"/>
              <w:bottom w:val="nil"/>
              <w:right w:val="nil"/>
            </w:tcBorders>
            <w:shd w:val="clear" w:color="auto" w:fill="auto"/>
            <w:vAlign w:val="center"/>
          </w:tcPr>
          <w:p w:rsidR="00D23500" w:rsidRPr="00CD3A2D" w:rsidRDefault="00D23500" w:rsidP="008F2500">
            <w:pPr>
              <w:jc w:val="right"/>
              <w:rPr>
                <w:rFonts w:asciiTheme="minorHAnsi" w:hAnsiTheme="minorHAnsi" w:cstheme="minorHAnsi"/>
                <w:bCs/>
                <w:iCs/>
                <w:color w:val="000000"/>
                <w:sz w:val="22"/>
                <w:szCs w:val="22"/>
                <w:lang w:val="hr-HR"/>
              </w:rPr>
            </w:pPr>
            <w:r w:rsidRPr="00CD3A2D">
              <w:rPr>
                <w:rFonts w:asciiTheme="minorHAnsi" w:hAnsiTheme="minorHAnsi" w:cstheme="minorHAnsi"/>
                <w:bCs/>
                <w:iCs/>
                <w:color w:val="000000"/>
                <w:sz w:val="22"/>
                <w:szCs w:val="22"/>
                <w:lang w:val="hr-HR"/>
              </w:rPr>
              <w:t>-</w:t>
            </w:r>
          </w:p>
        </w:tc>
        <w:tc>
          <w:tcPr>
            <w:tcW w:w="1524" w:type="dxa"/>
            <w:tcBorders>
              <w:top w:val="nil"/>
              <w:left w:val="nil"/>
              <w:bottom w:val="nil"/>
              <w:right w:val="nil"/>
            </w:tcBorders>
            <w:shd w:val="clear" w:color="auto" w:fill="auto"/>
            <w:vAlign w:val="center"/>
          </w:tcPr>
          <w:p w:rsidR="00D23500" w:rsidRPr="00CD3A2D" w:rsidRDefault="00D23500" w:rsidP="00D23500">
            <w:pPr>
              <w:jc w:val="right"/>
              <w:rPr>
                <w:rFonts w:asciiTheme="minorHAnsi" w:hAnsiTheme="minorHAnsi" w:cstheme="minorHAnsi"/>
                <w:sz w:val="22"/>
                <w:szCs w:val="22"/>
                <w:lang w:val="hr-HR"/>
              </w:rPr>
            </w:pPr>
            <w:r w:rsidRPr="00CD3A2D">
              <w:rPr>
                <w:rFonts w:asciiTheme="minorHAnsi" w:hAnsiTheme="minorHAnsi" w:cstheme="minorHAnsi"/>
                <w:sz w:val="22"/>
                <w:szCs w:val="22"/>
                <w:lang w:val="hr-HR"/>
              </w:rPr>
              <w:t>n/p</w:t>
            </w:r>
          </w:p>
        </w:tc>
        <w:tc>
          <w:tcPr>
            <w:tcW w:w="1524" w:type="dxa"/>
            <w:tcBorders>
              <w:top w:val="nil"/>
              <w:left w:val="nil"/>
              <w:bottom w:val="nil"/>
              <w:right w:val="nil"/>
            </w:tcBorders>
            <w:shd w:val="clear" w:color="auto" w:fill="auto"/>
            <w:vAlign w:val="center"/>
          </w:tcPr>
          <w:p w:rsidR="00D23500" w:rsidRPr="00CD3A2D" w:rsidRDefault="00D23500" w:rsidP="00D23500">
            <w:pPr>
              <w:jc w:val="right"/>
              <w:rPr>
                <w:rFonts w:asciiTheme="minorHAnsi" w:hAnsiTheme="minorHAnsi" w:cstheme="minorHAnsi"/>
                <w:sz w:val="22"/>
                <w:szCs w:val="22"/>
                <w:lang w:val="hr-HR"/>
              </w:rPr>
            </w:pPr>
            <w:r w:rsidRPr="00CD3A2D">
              <w:rPr>
                <w:rFonts w:asciiTheme="minorHAnsi" w:hAnsiTheme="minorHAnsi" w:cstheme="minorHAnsi"/>
                <w:sz w:val="22"/>
                <w:szCs w:val="22"/>
                <w:lang w:val="hr-HR"/>
              </w:rPr>
              <w:t>-</w:t>
            </w:r>
          </w:p>
        </w:tc>
        <w:tc>
          <w:tcPr>
            <w:tcW w:w="1524" w:type="dxa"/>
            <w:tcBorders>
              <w:top w:val="nil"/>
              <w:left w:val="nil"/>
              <w:bottom w:val="nil"/>
              <w:right w:val="nil"/>
            </w:tcBorders>
            <w:shd w:val="clear" w:color="auto" w:fill="auto"/>
            <w:vAlign w:val="center"/>
          </w:tcPr>
          <w:p w:rsidR="00D23500" w:rsidRPr="00CD3A2D" w:rsidRDefault="00D23500" w:rsidP="008F2500">
            <w:pPr>
              <w:jc w:val="right"/>
              <w:rPr>
                <w:rFonts w:asciiTheme="minorHAnsi" w:hAnsiTheme="minorHAnsi" w:cstheme="minorHAnsi"/>
                <w:sz w:val="22"/>
                <w:szCs w:val="22"/>
                <w:lang w:val="hr-HR"/>
              </w:rPr>
            </w:pPr>
            <w:r w:rsidRPr="00CD3A2D">
              <w:rPr>
                <w:rFonts w:asciiTheme="minorHAnsi" w:hAnsiTheme="minorHAnsi" w:cstheme="minorHAnsi"/>
                <w:sz w:val="22"/>
                <w:szCs w:val="22"/>
                <w:lang w:val="hr-HR"/>
              </w:rPr>
              <w:t>n/p</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rPr>
                <w:rFonts w:ascii="Calibri" w:hAnsi="Calibri"/>
                <w:color w:val="000000"/>
                <w:sz w:val="22"/>
                <w:szCs w:val="22"/>
                <w:lang w:val="hr-HR"/>
              </w:rPr>
            </w:pPr>
            <w:r w:rsidRPr="00CD3A2D">
              <w:rPr>
                <w:rFonts w:ascii="Calibri" w:hAnsi="Calibri"/>
                <w:color w:val="000000"/>
                <w:sz w:val="22"/>
                <w:szCs w:val="22"/>
                <w:lang w:val="hr-HR"/>
              </w:rPr>
              <w:t>Dionice financijskih institucija</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161</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n/p</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161</w:t>
            </w:r>
          </w:p>
        </w:tc>
        <w:tc>
          <w:tcPr>
            <w:tcW w:w="1524"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r w:rsidRPr="00CD3A2D">
              <w:rPr>
                <w:rFonts w:ascii="Calibri" w:hAnsi="Calibri"/>
                <w:color w:val="000000"/>
                <w:sz w:val="22"/>
                <w:szCs w:val="22"/>
                <w:lang w:val="hr-HR"/>
              </w:rPr>
              <w:t>n/p</w:t>
            </w:r>
          </w:p>
        </w:tc>
      </w:tr>
      <w:tr w:rsidR="007C6F81" w:rsidRPr="001567C8" w:rsidTr="003C6BA3">
        <w:trPr>
          <w:trHeight w:val="300"/>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p>
        </w:tc>
        <w:tc>
          <w:tcPr>
            <w:tcW w:w="1524" w:type="dxa"/>
            <w:tcBorders>
              <w:top w:val="single" w:sz="4" w:space="0" w:color="auto"/>
              <w:left w:val="nil"/>
              <w:bottom w:val="single" w:sz="4"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161</w:t>
            </w:r>
          </w:p>
        </w:tc>
        <w:tc>
          <w:tcPr>
            <w:tcW w:w="1524" w:type="dxa"/>
            <w:tcBorders>
              <w:top w:val="single" w:sz="4" w:space="0" w:color="auto"/>
              <w:left w:val="nil"/>
              <w:bottom w:val="single" w:sz="4"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n/p</w:t>
            </w:r>
          </w:p>
        </w:tc>
        <w:tc>
          <w:tcPr>
            <w:tcW w:w="1524" w:type="dxa"/>
            <w:tcBorders>
              <w:top w:val="single" w:sz="4" w:space="0" w:color="auto"/>
              <w:left w:val="nil"/>
              <w:bottom w:val="single" w:sz="4"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161</w:t>
            </w:r>
          </w:p>
        </w:tc>
        <w:tc>
          <w:tcPr>
            <w:tcW w:w="1524" w:type="dxa"/>
            <w:tcBorders>
              <w:top w:val="single" w:sz="4" w:space="0" w:color="auto"/>
              <w:left w:val="nil"/>
              <w:bottom w:val="single" w:sz="4" w:space="0" w:color="auto"/>
              <w:right w:val="nil"/>
            </w:tcBorders>
            <w:shd w:val="clear" w:color="auto" w:fill="auto"/>
            <w:vAlign w:val="center"/>
            <w:hideMark/>
          </w:tcPr>
          <w:p w:rsidR="007C6F81" w:rsidRPr="00CD3A2D" w:rsidRDefault="007C6F81">
            <w:pPr>
              <w:jc w:val="right"/>
              <w:rPr>
                <w:rFonts w:ascii="Calibri" w:hAnsi="Calibri"/>
                <w:b/>
                <w:bCs/>
                <w:color w:val="000000"/>
                <w:sz w:val="22"/>
                <w:szCs w:val="22"/>
                <w:lang w:val="hr-HR"/>
              </w:rPr>
            </w:pPr>
            <w:r w:rsidRPr="00CD3A2D">
              <w:rPr>
                <w:rFonts w:ascii="Calibri" w:hAnsi="Calibri"/>
                <w:b/>
                <w:bCs/>
                <w:color w:val="000000"/>
                <w:sz w:val="22"/>
                <w:szCs w:val="22"/>
                <w:lang w:val="hr-HR"/>
              </w:rPr>
              <w:t>n/p</w:t>
            </w:r>
          </w:p>
        </w:tc>
      </w:tr>
      <w:tr w:rsidR="007C6F81" w:rsidRPr="001567C8" w:rsidTr="003C6BA3">
        <w:trPr>
          <w:trHeight w:val="351"/>
        </w:trPr>
        <w:tc>
          <w:tcPr>
            <w:tcW w:w="3402" w:type="dxa"/>
            <w:tcBorders>
              <w:top w:val="nil"/>
              <w:left w:val="nil"/>
              <w:bottom w:val="nil"/>
              <w:right w:val="nil"/>
            </w:tcBorders>
            <w:shd w:val="clear" w:color="auto" w:fill="auto"/>
            <w:vAlign w:val="center"/>
            <w:hideMark/>
          </w:tcPr>
          <w:p w:rsidR="007C6F81" w:rsidRPr="00CD3A2D" w:rsidRDefault="007C6F81">
            <w:pPr>
              <w:jc w:val="right"/>
              <w:rPr>
                <w:rFonts w:ascii="Calibri" w:hAnsi="Calibri"/>
                <w:color w:val="000000"/>
                <w:sz w:val="22"/>
                <w:szCs w:val="22"/>
                <w:lang w:val="hr-HR"/>
              </w:rPr>
            </w:pPr>
          </w:p>
        </w:tc>
        <w:tc>
          <w:tcPr>
            <w:tcW w:w="1524" w:type="dxa"/>
            <w:tcBorders>
              <w:top w:val="single" w:sz="12" w:space="0" w:color="auto"/>
              <w:left w:val="nil"/>
              <w:bottom w:val="single" w:sz="12" w:space="0" w:color="auto"/>
              <w:right w:val="nil"/>
            </w:tcBorders>
            <w:shd w:val="clear" w:color="auto" w:fill="auto"/>
            <w:vAlign w:val="bottom"/>
            <w:hideMark/>
          </w:tcPr>
          <w:p w:rsidR="007C6F81" w:rsidRPr="00CD3A2D" w:rsidRDefault="009021CC" w:rsidP="007C6F81">
            <w:pPr>
              <w:jc w:val="right"/>
              <w:rPr>
                <w:rFonts w:ascii="Calibri" w:hAnsi="Calibri"/>
                <w:b/>
                <w:bCs/>
                <w:color w:val="000000"/>
                <w:sz w:val="22"/>
                <w:szCs w:val="22"/>
                <w:lang w:val="hr-HR"/>
              </w:rPr>
            </w:pPr>
            <w:r w:rsidRPr="00CD3A2D">
              <w:rPr>
                <w:rFonts w:ascii="Calibri" w:hAnsi="Calibri"/>
                <w:b/>
                <w:bCs/>
                <w:color w:val="000000"/>
                <w:sz w:val="22"/>
                <w:szCs w:val="22"/>
                <w:lang w:val="hr-HR"/>
              </w:rPr>
              <w:t>336.266</w:t>
            </w:r>
          </w:p>
        </w:tc>
        <w:tc>
          <w:tcPr>
            <w:tcW w:w="1524" w:type="dxa"/>
            <w:tcBorders>
              <w:top w:val="single" w:sz="12" w:space="0" w:color="auto"/>
              <w:left w:val="nil"/>
              <w:bottom w:val="single" w:sz="12" w:space="0" w:color="auto"/>
              <w:right w:val="nil"/>
            </w:tcBorders>
            <w:shd w:val="clear" w:color="auto" w:fill="auto"/>
            <w:vAlign w:val="bottom"/>
            <w:hideMark/>
          </w:tcPr>
          <w:p w:rsidR="007C6F81" w:rsidRPr="00CD3A2D" w:rsidRDefault="007C6F81" w:rsidP="007C6F81">
            <w:pPr>
              <w:jc w:val="right"/>
              <w:rPr>
                <w:rFonts w:ascii="Calibri" w:hAnsi="Calibri"/>
                <w:b/>
                <w:bCs/>
                <w:color w:val="000000"/>
                <w:sz w:val="22"/>
                <w:szCs w:val="22"/>
                <w:lang w:val="hr-HR"/>
              </w:rPr>
            </w:pPr>
            <w:r w:rsidRPr="00CD3A2D">
              <w:rPr>
                <w:rFonts w:ascii="Calibri" w:hAnsi="Calibri"/>
                <w:b/>
                <w:bCs/>
                <w:color w:val="000000"/>
                <w:sz w:val="22"/>
                <w:szCs w:val="22"/>
                <w:lang w:val="hr-HR"/>
              </w:rPr>
              <w:t>291</w:t>
            </w:r>
          </w:p>
        </w:tc>
        <w:tc>
          <w:tcPr>
            <w:tcW w:w="1524" w:type="dxa"/>
            <w:tcBorders>
              <w:top w:val="single" w:sz="12" w:space="0" w:color="auto"/>
              <w:left w:val="nil"/>
              <w:bottom w:val="single" w:sz="12" w:space="0" w:color="auto"/>
              <w:right w:val="nil"/>
            </w:tcBorders>
            <w:shd w:val="clear" w:color="auto" w:fill="auto"/>
            <w:vAlign w:val="bottom"/>
            <w:hideMark/>
          </w:tcPr>
          <w:p w:rsidR="007C6F81" w:rsidRPr="00CD3A2D" w:rsidRDefault="007C6F81" w:rsidP="007C6F81">
            <w:pPr>
              <w:jc w:val="right"/>
              <w:rPr>
                <w:rFonts w:ascii="Calibri" w:hAnsi="Calibri"/>
                <w:b/>
                <w:bCs/>
                <w:color w:val="000000"/>
                <w:sz w:val="22"/>
                <w:szCs w:val="22"/>
                <w:lang w:val="hr-HR"/>
              </w:rPr>
            </w:pPr>
            <w:r w:rsidRPr="00CD3A2D">
              <w:rPr>
                <w:rFonts w:ascii="Calibri" w:hAnsi="Calibri"/>
                <w:b/>
                <w:bCs/>
                <w:color w:val="000000"/>
                <w:sz w:val="22"/>
                <w:szCs w:val="22"/>
                <w:lang w:val="hr-HR"/>
              </w:rPr>
              <w:t>330.803</w:t>
            </w:r>
          </w:p>
        </w:tc>
        <w:tc>
          <w:tcPr>
            <w:tcW w:w="1524" w:type="dxa"/>
            <w:tcBorders>
              <w:top w:val="single" w:sz="12" w:space="0" w:color="auto"/>
              <w:left w:val="nil"/>
              <w:bottom w:val="single" w:sz="12" w:space="0" w:color="auto"/>
              <w:right w:val="nil"/>
            </w:tcBorders>
            <w:shd w:val="clear" w:color="auto" w:fill="auto"/>
            <w:vAlign w:val="bottom"/>
            <w:hideMark/>
          </w:tcPr>
          <w:p w:rsidR="007C6F81" w:rsidRPr="00CD3A2D" w:rsidRDefault="007C6F81" w:rsidP="007C6F81">
            <w:pPr>
              <w:jc w:val="right"/>
              <w:rPr>
                <w:rFonts w:ascii="Calibri" w:hAnsi="Calibri"/>
                <w:b/>
                <w:bCs/>
                <w:color w:val="000000"/>
                <w:sz w:val="22"/>
                <w:szCs w:val="22"/>
                <w:lang w:val="hr-HR"/>
              </w:rPr>
            </w:pPr>
            <w:r w:rsidRPr="00CD3A2D">
              <w:rPr>
                <w:rFonts w:ascii="Calibri" w:hAnsi="Calibri"/>
                <w:b/>
                <w:bCs/>
                <w:color w:val="000000"/>
                <w:sz w:val="22"/>
                <w:szCs w:val="22"/>
                <w:lang w:val="hr-HR"/>
              </w:rPr>
              <w:t>n/p</w:t>
            </w:r>
          </w:p>
        </w:tc>
      </w:tr>
    </w:tbl>
    <w:p w:rsidR="007C5696" w:rsidRPr="001567C8" w:rsidRDefault="007C5696" w:rsidP="00C6193E">
      <w:pPr>
        <w:pStyle w:val="T1"/>
        <w:keepNext w:val="0"/>
        <w:spacing w:before="0" w:after="0" w:line="240" w:lineRule="auto"/>
        <w:rPr>
          <w:rFonts w:asciiTheme="minorHAnsi" w:hAnsiTheme="minorHAnsi" w:cs="Arial"/>
          <w:sz w:val="18"/>
          <w:szCs w:val="18"/>
          <w:lang w:val="hr-HR"/>
        </w:rPr>
      </w:pPr>
    </w:p>
    <w:p w:rsidR="007C6F81" w:rsidRPr="001567C8" w:rsidRDefault="007C6F81" w:rsidP="00C6193E">
      <w:pPr>
        <w:pStyle w:val="T1"/>
        <w:keepNext w:val="0"/>
        <w:spacing w:before="0" w:after="0" w:line="240" w:lineRule="auto"/>
        <w:rPr>
          <w:rFonts w:asciiTheme="minorHAnsi" w:hAnsiTheme="minorHAnsi" w:cs="Arial"/>
          <w:sz w:val="18"/>
          <w:szCs w:val="18"/>
          <w:lang w:val="hr-HR"/>
        </w:rPr>
      </w:pPr>
    </w:p>
    <w:p w:rsidR="007C6F81" w:rsidRPr="001567C8" w:rsidRDefault="007C6F81" w:rsidP="007C6F81">
      <w:pPr>
        <w:tabs>
          <w:tab w:val="left" w:pos="-720"/>
        </w:tabs>
        <w:suppressAutoHyphens/>
        <w:jc w:val="both"/>
        <w:rPr>
          <w:rFonts w:ascii="Calibri" w:hAnsi="Calibri" w:cs="Arial"/>
          <w:sz w:val="22"/>
          <w:szCs w:val="22"/>
          <w:lang w:val="hr-HR"/>
        </w:rPr>
      </w:pPr>
      <w:bookmarkStart w:id="56" w:name="_Hlk529873581"/>
      <w:r w:rsidRPr="001567C8">
        <w:rPr>
          <w:rFonts w:ascii="Calibri" w:hAnsi="Calibri" w:cs="Arial"/>
          <w:sz w:val="22"/>
          <w:szCs w:val="22"/>
          <w:lang w:val="hr-HR"/>
        </w:rPr>
        <w:t>Dana 7. rujna 2018. godine Uprava je prihvatila Ponudu za preuzimanje trgovačkog društva Brodogradilište Vik</w:t>
      </w:r>
      <w:r w:rsidR="00DA25D1">
        <w:rPr>
          <w:rFonts w:ascii="Calibri" w:hAnsi="Calibri" w:cs="Arial"/>
          <w:sz w:val="22"/>
          <w:szCs w:val="22"/>
          <w:lang w:val="hr-HR"/>
        </w:rPr>
        <w:t>t</w:t>
      </w:r>
      <w:r w:rsidRPr="001567C8">
        <w:rPr>
          <w:rFonts w:ascii="Calibri" w:hAnsi="Calibri" w:cs="Arial"/>
          <w:sz w:val="22"/>
          <w:szCs w:val="22"/>
          <w:lang w:val="hr-HR"/>
        </w:rPr>
        <w:t xml:space="preserve">or Lenac d.d., Rijeka te je prihvaćena ponuđena cijena iz Ponude u visini od 9,26 kuna po dionici za paket od 1.367.268 dionica Društva koje su u </w:t>
      </w:r>
      <w:r w:rsidR="00DA25D1" w:rsidRPr="001567C8">
        <w:rPr>
          <w:rFonts w:ascii="Calibri" w:hAnsi="Calibri" w:cs="Arial"/>
          <w:sz w:val="22"/>
          <w:szCs w:val="22"/>
          <w:lang w:val="hr-HR"/>
        </w:rPr>
        <w:t>vlasništvu</w:t>
      </w:r>
      <w:r w:rsidRPr="001567C8">
        <w:rPr>
          <w:rFonts w:ascii="Calibri" w:hAnsi="Calibri" w:cs="Arial"/>
          <w:sz w:val="22"/>
          <w:szCs w:val="22"/>
          <w:lang w:val="hr-HR"/>
        </w:rPr>
        <w:t xml:space="preserve"> HBOR-a, a nominalnog su iznosa od 10,00 kuna po dionici. Dionice su stečene u okviru mjera restrukturiranja ovog društva u zamjenu za dio plasmana</w:t>
      </w:r>
      <w:r w:rsidR="00AB1265" w:rsidRPr="001567C8">
        <w:rPr>
          <w:rFonts w:ascii="Calibri" w:hAnsi="Calibri" w:cs="Arial"/>
          <w:sz w:val="22"/>
          <w:szCs w:val="22"/>
          <w:lang w:val="hr-HR"/>
        </w:rPr>
        <w:t xml:space="preserve"> (31. prosinca 2017</w:t>
      </w:r>
      <w:r w:rsidRPr="001567C8">
        <w:rPr>
          <w:rFonts w:ascii="Calibri" w:hAnsi="Calibri" w:cs="Arial"/>
          <w:sz w:val="22"/>
          <w:szCs w:val="22"/>
          <w:lang w:val="hr-HR"/>
        </w:rPr>
        <w:t>.</w:t>
      </w:r>
      <w:r w:rsidR="00AB1265" w:rsidRPr="001567C8">
        <w:rPr>
          <w:rFonts w:ascii="Calibri" w:hAnsi="Calibri" w:cs="Arial"/>
          <w:sz w:val="22"/>
          <w:szCs w:val="22"/>
          <w:lang w:val="hr-HR"/>
        </w:rPr>
        <w:t xml:space="preserve"> godina: 18.951 tisuća kuna, raspoređene u imovini raspoloživoj za prodaju).</w:t>
      </w:r>
      <w:r w:rsidRPr="001567C8">
        <w:rPr>
          <w:rFonts w:ascii="Calibri" w:hAnsi="Calibri" w:cs="Arial"/>
          <w:sz w:val="22"/>
          <w:szCs w:val="22"/>
          <w:lang w:val="hr-HR"/>
        </w:rPr>
        <w:t xml:space="preserve"> </w:t>
      </w:r>
    </w:p>
    <w:p w:rsidR="007C6F81" w:rsidRPr="001567C8" w:rsidRDefault="007C6F81" w:rsidP="007C6F81">
      <w:pPr>
        <w:tabs>
          <w:tab w:val="left" w:pos="-720"/>
        </w:tabs>
        <w:suppressAutoHyphens/>
        <w:jc w:val="both"/>
        <w:rPr>
          <w:rFonts w:ascii="Calibri" w:hAnsi="Calibri" w:cs="Arial"/>
          <w:sz w:val="22"/>
          <w:szCs w:val="22"/>
          <w:lang w:val="hr-HR"/>
        </w:rPr>
      </w:pPr>
      <w:r w:rsidRPr="001567C8">
        <w:rPr>
          <w:rFonts w:ascii="Calibri" w:hAnsi="Calibri" w:cs="Arial"/>
          <w:sz w:val="22"/>
          <w:szCs w:val="22"/>
          <w:lang w:val="hr-HR"/>
        </w:rPr>
        <w:t xml:space="preserve">Dana 24. rujna 2018. godine primljena je uplata na ime prodaje navedenih dionica u iznosu od 12.661 tisuća kuna. </w:t>
      </w:r>
    </w:p>
    <w:bookmarkEnd w:id="56"/>
    <w:p w:rsidR="007C6F81" w:rsidRPr="001567C8" w:rsidRDefault="007C6F81" w:rsidP="007C6F81">
      <w:pPr>
        <w:tabs>
          <w:tab w:val="left" w:pos="-720"/>
        </w:tabs>
        <w:suppressAutoHyphens/>
        <w:jc w:val="both"/>
        <w:rPr>
          <w:rFonts w:ascii="Calibri" w:hAnsi="Calibri" w:cs="Arial"/>
          <w:sz w:val="22"/>
          <w:szCs w:val="22"/>
          <w:lang w:val="hr-HR"/>
        </w:rPr>
      </w:pPr>
    </w:p>
    <w:p w:rsidR="007C6F81" w:rsidRPr="001567C8" w:rsidRDefault="007C6F81" w:rsidP="007C6F81">
      <w:pPr>
        <w:tabs>
          <w:tab w:val="left" w:pos="-720"/>
        </w:tabs>
        <w:suppressAutoHyphens/>
        <w:jc w:val="both"/>
        <w:rPr>
          <w:rFonts w:ascii="Calibri" w:hAnsi="Calibri" w:cs="Arial"/>
          <w:sz w:val="22"/>
          <w:szCs w:val="22"/>
          <w:lang w:val="hr-HR"/>
        </w:rPr>
      </w:pPr>
      <w:bookmarkStart w:id="57" w:name="_Hlk529873733"/>
      <w:r w:rsidRPr="001567C8">
        <w:rPr>
          <w:rFonts w:ascii="Calibri" w:hAnsi="Calibri" w:cs="Arial"/>
          <w:sz w:val="22"/>
          <w:szCs w:val="22"/>
          <w:lang w:val="hr-HR"/>
        </w:rPr>
        <w:t xml:space="preserve">Dionice trgovačkih društava koje ne kotiraju odnose se na dionice društva Vinka d.d. za proizvodnju poljoprivrednih proizvoda stečene u okviru mjera restrukturiranja društva u zamjenu za dio plasmana. </w:t>
      </w:r>
    </w:p>
    <w:p w:rsidR="007C6F81" w:rsidRPr="001567C8" w:rsidRDefault="007C6F81" w:rsidP="007C6F81">
      <w:pPr>
        <w:tabs>
          <w:tab w:val="left" w:pos="-720"/>
        </w:tabs>
        <w:suppressAutoHyphens/>
        <w:jc w:val="both"/>
        <w:rPr>
          <w:rFonts w:ascii="Calibri" w:eastAsia="Calibri" w:hAnsi="Calibri" w:cs="Arial"/>
          <w:spacing w:val="-3"/>
          <w:sz w:val="22"/>
          <w:szCs w:val="22"/>
          <w:lang w:val="hr-HR"/>
        </w:rPr>
      </w:pPr>
      <w:bookmarkStart w:id="58" w:name="_Hlk518309897"/>
      <w:bookmarkEnd w:id="57"/>
      <w:r w:rsidRPr="001567C8">
        <w:rPr>
          <w:rFonts w:ascii="Calibri" w:eastAsia="Calibri" w:hAnsi="Calibri" w:cs="Arial"/>
          <w:spacing w:val="-3"/>
          <w:sz w:val="22"/>
          <w:szCs w:val="22"/>
          <w:lang w:val="hr-HR"/>
        </w:rPr>
        <w:t>Udjel</w:t>
      </w:r>
      <w:r w:rsidRPr="001567C8" w:rsidDel="00F135D1">
        <w:rPr>
          <w:rFonts w:ascii="Calibri" w:eastAsia="Calibri" w:hAnsi="Calibri" w:cs="Arial"/>
          <w:spacing w:val="-3"/>
          <w:sz w:val="22"/>
          <w:szCs w:val="22"/>
          <w:lang w:val="hr-HR"/>
        </w:rPr>
        <w:t xml:space="preserve"> HBOR</w:t>
      </w:r>
      <w:r w:rsidRPr="001567C8">
        <w:rPr>
          <w:rFonts w:ascii="Calibri" w:eastAsia="Calibri" w:hAnsi="Calibri" w:cs="Arial"/>
          <w:spacing w:val="-3"/>
          <w:sz w:val="22"/>
          <w:szCs w:val="22"/>
          <w:lang w:val="hr-HR"/>
        </w:rPr>
        <w:t>-a</w:t>
      </w:r>
      <w:r w:rsidRPr="001567C8" w:rsidDel="00F135D1">
        <w:rPr>
          <w:rFonts w:ascii="Calibri" w:eastAsia="Calibri" w:hAnsi="Calibri" w:cs="Arial"/>
          <w:spacing w:val="-3"/>
          <w:sz w:val="22"/>
          <w:szCs w:val="22"/>
          <w:lang w:val="hr-HR"/>
        </w:rPr>
        <w:t xml:space="preserve"> u temeljnom kapitalu društva </w:t>
      </w:r>
      <w:r w:rsidRPr="001567C8">
        <w:rPr>
          <w:rFonts w:ascii="Calibri" w:eastAsia="Calibri" w:hAnsi="Calibri" w:cs="Arial"/>
          <w:spacing w:val="-3"/>
          <w:sz w:val="22"/>
          <w:szCs w:val="22"/>
          <w:lang w:val="hr-HR"/>
        </w:rPr>
        <w:t xml:space="preserve">Vinka d.d. </w:t>
      </w:r>
      <w:r w:rsidRPr="001567C8" w:rsidDel="00F135D1">
        <w:rPr>
          <w:rFonts w:ascii="Calibri" w:eastAsia="Calibri" w:hAnsi="Calibri" w:cs="Arial"/>
          <w:spacing w:val="-3"/>
          <w:sz w:val="22"/>
          <w:szCs w:val="22"/>
          <w:lang w:val="hr-HR"/>
        </w:rPr>
        <w:t>iznosi 0,9365%. Dionice društva Vinka d.d., Vinkovci (LPVC-R-B) ne kotiraju</w:t>
      </w:r>
      <w:r w:rsidRPr="001567C8">
        <w:rPr>
          <w:rFonts w:ascii="Calibri" w:eastAsia="Calibri" w:hAnsi="Calibri" w:cs="Arial"/>
          <w:spacing w:val="-3"/>
          <w:sz w:val="22"/>
          <w:szCs w:val="22"/>
          <w:lang w:val="hr-HR"/>
        </w:rPr>
        <w:t xml:space="preserve"> i fer vrijednost iznosi 0 tisuća kuna (31.</w:t>
      </w:r>
      <w:r w:rsidR="000C2DB4" w:rsidRPr="001567C8">
        <w:rPr>
          <w:rFonts w:ascii="Calibri" w:eastAsia="Calibri" w:hAnsi="Calibri" w:cs="Arial"/>
          <w:spacing w:val="-3"/>
          <w:sz w:val="22"/>
          <w:szCs w:val="22"/>
          <w:lang w:val="hr-HR"/>
        </w:rPr>
        <w:t xml:space="preserve"> prosinca </w:t>
      </w:r>
      <w:r w:rsidRPr="001567C8">
        <w:rPr>
          <w:rFonts w:ascii="Calibri" w:eastAsia="Calibri" w:hAnsi="Calibri" w:cs="Arial"/>
          <w:spacing w:val="-3"/>
          <w:sz w:val="22"/>
          <w:szCs w:val="22"/>
          <w:lang w:val="hr-HR"/>
        </w:rPr>
        <w:t>2017.: 0 tisuća kuna; raspoređene u Imovini raspoloživoj za prodaju)</w:t>
      </w:r>
      <w:r w:rsidRPr="001567C8" w:rsidDel="00F135D1">
        <w:rPr>
          <w:rFonts w:ascii="Calibri" w:eastAsia="Calibri" w:hAnsi="Calibri" w:cs="Arial"/>
          <w:spacing w:val="-3"/>
          <w:sz w:val="22"/>
          <w:szCs w:val="22"/>
          <w:lang w:val="hr-HR"/>
        </w:rPr>
        <w:t>.</w:t>
      </w:r>
    </w:p>
    <w:bookmarkEnd w:id="58"/>
    <w:p w:rsidR="007C6F81" w:rsidRPr="001567C8" w:rsidRDefault="007C6F81" w:rsidP="007C6F81">
      <w:pPr>
        <w:tabs>
          <w:tab w:val="left" w:pos="-720"/>
        </w:tabs>
        <w:suppressAutoHyphens/>
        <w:jc w:val="both"/>
        <w:rPr>
          <w:rFonts w:ascii="Calibri" w:hAnsi="Calibri" w:cs="Arial"/>
          <w:b/>
          <w:sz w:val="22"/>
          <w:szCs w:val="22"/>
          <w:lang w:val="hr-HR"/>
        </w:rPr>
      </w:pPr>
    </w:p>
    <w:p w:rsidR="007C6F81" w:rsidRPr="001567C8" w:rsidRDefault="007C6F81" w:rsidP="007C6F81">
      <w:pPr>
        <w:tabs>
          <w:tab w:val="left" w:pos="-720"/>
        </w:tabs>
        <w:suppressAutoHyphens/>
        <w:jc w:val="both"/>
        <w:rPr>
          <w:rFonts w:ascii="Calibri" w:hAnsi="Calibri" w:cs="Arial"/>
          <w:sz w:val="22"/>
          <w:szCs w:val="22"/>
          <w:lang w:val="hr-HR"/>
        </w:rPr>
      </w:pPr>
      <w:r w:rsidRPr="001567C8">
        <w:rPr>
          <w:rFonts w:ascii="Calibri" w:hAnsi="Calibri" w:cs="Arial"/>
          <w:sz w:val="22"/>
          <w:szCs w:val="22"/>
          <w:lang w:val="hr-HR"/>
        </w:rPr>
        <w:t>Dionice financijskih institucija koje ne kotiraju odnose se na dionice Tržišta novca i kratkoročnih vrijednosnica d.d. i iskazane su u iznosu od 161 tisuća kuna (31. prosinca 2017. godine: 161 tisuća kuna, raspoređene u Imovini raspoloživoj za prodaju).</w:t>
      </w:r>
    </w:p>
    <w:p w:rsidR="00C40E07" w:rsidRPr="001567C8" w:rsidRDefault="00C40E07" w:rsidP="005028E4">
      <w:pPr>
        <w:pStyle w:val="T1"/>
        <w:keepNext w:val="0"/>
        <w:rPr>
          <w:rFonts w:asciiTheme="minorHAnsi" w:hAnsiTheme="minorHAnsi" w:cs="Arial"/>
          <w:sz w:val="22"/>
          <w:szCs w:val="22"/>
          <w:lang w:val="hr-HR"/>
        </w:rPr>
        <w:sectPr w:rsidR="00C40E07" w:rsidRPr="001567C8" w:rsidSect="003E2D7A">
          <w:pgSz w:w="11907" w:h="16840" w:code="9"/>
          <w:pgMar w:top="1418" w:right="1134" w:bottom="1134" w:left="1418" w:header="851" w:footer="851" w:gutter="0"/>
          <w:cols w:space="720"/>
          <w:noEndnote/>
        </w:sectPr>
      </w:pPr>
    </w:p>
    <w:p w:rsidR="009021CC" w:rsidRPr="001567C8" w:rsidRDefault="009021CC" w:rsidP="009021CC">
      <w:pPr>
        <w:pStyle w:val="T1"/>
        <w:spacing w:before="0" w:after="0" w:line="240" w:lineRule="auto"/>
        <w:rPr>
          <w:rFonts w:asciiTheme="minorHAnsi" w:hAnsiTheme="minorHAnsi" w:cs="Arial"/>
          <w:sz w:val="22"/>
          <w:szCs w:val="22"/>
          <w:lang w:val="hr-HR"/>
        </w:rPr>
      </w:pPr>
    </w:p>
    <w:p w:rsidR="009021CC" w:rsidRPr="001567C8" w:rsidRDefault="009021CC" w:rsidP="00B8477D">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8</w:t>
      </w:r>
      <w:r w:rsidRPr="001567C8">
        <w:rPr>
          <w:rFonts w:asciiTheme="minorHAnsi" w:hAnsiTheme="minorHAnsi" w:cs="Arial"/>
          <w:sz w:val="22"/>
          <w:szCs w:val="22"/>
          <w:lang w:val="hr-HR"/>
        </w:rPr>
        <w:t>.</w:t>
      </w:r>
      <w:r w:rsidR="00451DC2" w:rsidRPr="001567C8">
        <w:rPr>
          <w:rFonts w:asciiTheme="minorHAnsi" w:hAnsiTheme="minorHAnsi" w:cs="Arial"/>
          <w:sz w:val="22"/>
          <w:szCs w:val="22"/>
          <w:lang w:val="hr-HR"/>
        </w:rPr>
        <w:tab/>
      </w:r>
      <w:r w:rsidRPr="001567C8">
        <w:rPr>
          <w:rFonts w:asciiTheme="minorHAnsi" w:hAnsiTheme="minorHAnsi" w:cs="Arial"/>
          <w:sz w:val="22"/>
          <w:szCs w:val="22"/>
          <w:lang w:val="hr-HR"/>
        </w:rPr>
        <w:t>Financijska imovina po fer vrijednosti kroz ostalu sveobuhvatnu dobit</w:t>
      </w:r>
      <w:r w:rsidRPr="001567C8">
        <w:rPr>
          <w:rFonts w:asciiTheme="minorHAnsi" w:hAnsiTheme="minorHAnsi" w:cs="Arial"/>
          <w:sz w:val="22"/>
          <w:szCs w:val="22"/>
          <w:lang w:val="hr-HR"/>
        </w:rPr>
        <w:tab/>
      </w:r>
      <w:r w:rsidRPr="001567C8">
        <w:rPr>
          <w:rFonts w:asciiTheme="minorHAnsi" w:hAnsiTheme="minorHAnsi" w:cs="Arial"/>
          <w:sz w:val="22"/>
          <w:szCs w:val="22"/>
          <w:lang w:val="hr-HR"/>
        </w:rPr>
        <w:tab/>
      </w:r>
      <w:r w:rsidRPr="001567C8">
        <w:rPr>
          <w:rFonts w:asciiTheme="minorHAnsi" w:hAnsiTheme="minorHAnsi" w:cs="Arial"/>
          <w:sz w:val="22"/>
          <w:szCs w:val="22"/>
          <w:lang w:val="hr-HR"/>
        </w:rPr>
        <w:tab/>
      </w:r>
      <w:r w:rsidRPr="001567C8">
        <w:rPr>
          <w:rFonts w:asciiTheme="minorHAnsi" w:hAnsiTheme="minorHAnsi" w:cs="Arial"/>
          <w:sz w:val="22"/>
          <w:szCs w:val="22"/>
          <w:lang w:val="hr-HR"/>
        </w:rPr>
        <w:tab/>
      </w:r>
    </w:p>
    <w:tbl>
      <w:tblPr>
        <w:tblW w:w="9190" w:type="dxa"/>
        <w:tblLook w:val="04A0" w:firstRow="1" w:lastRow="0" w:firstColumn="1" w:lastColumn="0" w:noHBand="0" w:noVBand="1"/>
      </w:tblPr>
      <w:tblGrid>
        <w:gridCol w:w="3969"/>
        <w:gridCol w:w="1305"/>
        <w:gridCol w:w="1305"/>
        <w:gridCol w:w="1305"/>
        <w:gridCol w:w="1306"/>
      </w:tblGrid>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sz w:val="20"/>
                <w:szCs w:val="20"/>
                <w:lang w:val="hr-HR"/>
              </w:rPr>
            </w:pPr>
          </w:p>
        </w:tc>
        <w:tc>
          <w:tcPr>
            <w:tcW w:w="2610" w:type="dxa"/>
            <w:gridSpan w:val="2"/>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Grupa</w:t>
            </w:r>
          </w:p>
        </w:tc>
        <w:tc>
          <w:tcPr>
            <w:tcW w:w="2611" w:type="dxa"/>
            <w:gridSpan w:val="2"/>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Banka</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01590F">
            <w:pPr>
              <w:jc w:val="right"/>
              <w:rPr>
                <w:rFonts w:ascii="Calibri" w:hAnsi="Calibri"/>
                <w:b/>
                <w:bCs/>
                <w:color w:val="000000"/>
                <w:sz w:val="20"/>
                <w:szCs w:val="20"/>
                <w:lang w:val="hr-HR"/>
              </w:rPr>
            </w:pPr>
            <w:r w:rsidRPr="0001590F">
              <w:rPr>
                <w:rFonts w:ascii="Calibri" w:hAnsi="Calibri"/>
                <w:b/>
                <w:bCs/>
                <w:color w:val="000000"/>
                <w:sz w:val="20"/>
                <w:szCs w:val="20"/>
                <w:lang w:val="hr-HR"/>
              </w:rPr>
              <w:t xml:space="preserve">31. prosinca </w:t>
            </w:r>
            <w:r w:rsidR="009021CC" w:rsidRPr="00CD3A2D">
              <w:rPr>
                <w:rFonts w:ascii="Calibri" w:hAnsi="Calibri"/>
                <w:b/>
                <w:bCs/>
                <w:color w:val="000000"/>
                <w:sz w:val="20"/>
                <w:szCs w:val="20"/>
                <w:lang w:val="hr-HR"/>
              </w:rPr>
              <w:t>2018.</w:t>
            </w:r>
          </w:p>
        </w:tc>
        <w:tc>
          <w:tcPr>
            <w:tcW w:w="1305" w:type="dxa"/>
            <w:tcBorders>
              <w:top w:val="nil"/>
              <w:left w:val="nil"/>
              <w:bottom w:val="nil"/>
              <w:right w:val="nil"/>
            </w:tcBorders>
            <w:shd w:val="clear" w:color="auto" w:fill="auto"/>
            <w:vAlign w:val="center"/>
            <w:hideMark/>
          </w:tcPr>
          <w:p w:rsidR="009021CC" w:rsidRPr="00CD3A2D" w:rsidRDefault="0001590F">
            <w:pPr>
              <w:jc w:val="right"/>
              <w:rPr>
                <w:rFonts w:ascii="Calibri" w:hAnsi="Calibri"/>
                <w:b/>
                <w:bCs/>
                <w:color w:val="000000"/>
                <w:sz w:val="20"/>
                <w:szCs w:val="20"/>
                <w:lang w:val="hr-HR"/>
              </w:rPr>
            </w:pPr>
            <w:r w:rsidRPr="0001590F">
              <w:rPr>
                <w:rFonts w:ascii="Calibri" w:hAnsi="Calibri"/>
                <w:b/>
                <w:bCs/>
                <w:color w:val="000000"/>
                <w:sz w:val="20"/>
                <w:szCs w:val="20"/>
                <w:lang w:val="hr-HR"/>
              </w:rPr>
              <w:t xml:space="preserve">31. prosinca </w:t>
            </w:r>
            <w:r w:rsidR="009021CC" w:rsidRPr="00CD3A2D">
              <w:rPr>
                <w:rFonts w:ascii="Calibri" w:hAnsi="Calibri"/>
                <w:b/>
                <w:bCs/>
                <w:color w:val="000000"/>
                <w:sz w:val="20"/>
                <w:szCs w:val="20"/>
                <w:lang w:val="hr-HR"/>
              </w:rPr>
              <w:t>2017.</w:t>
            </w:r>
          </w:p>
        </w:tc>
        <w:tc>
          <w:tcPr>
            <w:tcW w:w="1305" w:type="dxa"/>
            <w:tcBorders>
              <w:top w:val="nil"/>
              <w:left w:val="nil"/>
              <w:bottom w:val="nil"/>
              <w:right w:val="nil"/>
            </w:tcBorders>
            <w:shd w:val="clear" w:color="auto" w:fill="auto"/>
            <w:vAlign w:val="center"/>
            <w:hideMark/>
          </w:tcPr>
          <w:p w:rsidR="009021CC" w:rsidRPr="00CD3A2D" w:rsidRDefault="0001590F">
            <w:pPr>
              <w:jc w:val="right"/>
              <w:rPr>
                <w:rFonts w:ascii="Calibri" w:hAnsi="Calibri"/>
                <w:b/>
                <w:bCs/>
                <w:color w:val="000000"/>
                <w:sz w:val="20"/>
                <w:szCs w:val="20"/>
                <w:lang w:val="hr-HR"/>
              </w:rPr>
            </w:pPr>
            <w:r w:rsidRPr="0001590F">
              <w:rPr>
                <w:rFonts w:ascii="Calibri" w:hAnsi="Calibri"/>
                <w:b/>
                <w:bCs/>
                <w:color w:val="000000"/>
                <w:sz w:val="20"/>
                <w:szCs w:val="20"/>
                <w:lang w:val="hr-HR"/>
              </w:rPr>
              <w:t xml:space="preserve">31. prosinca </w:t>
            </w:r>
            <w:r w:rsidR="009021CC" w:rsidRPr="00CD3A2D">
              <w:rPr>
                <w:rFonts w:ascii="Calibri" w:hAnsi="Calibri"/>
                <w:b/>
                <w:bCs/>
                <w:color w:val="000000"/>
                <w:sz w:val="20"/>
                <w:szCs w:val="20"/>
                <w:lang w:val="hr-HR"/>
              </w:rPr>
              <w:t>2018.</w:t>
            </w:r>
          </w:p>
        </w:tc>
        <w:tc>
          <w:tcPr>
            <w:tcW w:w="1306" w:type="dxa"/>
            <w:tcBorders>
              <w:top w:val="nil"/>
              <w:left w:val="nil"/>
              <w:bottom w:val="nil"/>
              <w:right w:val="nil"/>
            </w:tcBorders>
            <w:shd w:val="clear" w:color="auto" w:fill="auto"/>
            <w:vAlign w:val="center"/>
            <w:hideMark/>
          </w:tcPr>
          <w:p w:rsidR="009021CC" w:rsidRPr="00CD3A2D" w:rsidRDefault="0001590F">
            <w:pPr>
              <w:jc w:val="right"/>
              <w:rPr>
                <w:rFonts w:ascii="Calibri" w:hAnsi="Calibri"/>
                <w:b/>
                <w:bCs/>
                <w:color w:val="000000"/>
                <w:sz w:val="20"/>
                <w:szCs w:val="20"/>
                <w:lang w:val="hr-HR"/>
              </w:rPr>
            </w:pPr>
            <w:r w:rsidRPr="0001590F">
              <w:rPr>
                <w:rFonts w:ascii="Calibri" w:hAnsi="Calibri"/>
                <w:b/>
                <w:bCs/>
                <w:color w:val="000000"/>
                <w:sz w:val="20"/>
                <w:szCs w:val="20"/>
                <w:lang w:val="hr-HR"/>
              </w:rPr>
              <w:t xml:space="preserve">31. prosinca </w:t>
            </w:r>
            <w:r w:rsidR="009021CC" w:rsidRPr="00CD3A2D">
              <w:rPr>
                <w:rFonts w:ascii="Calibri" w:hAnsi="Calibri"/>
                <w:b/>
                <w:bCs/>
                <w:color w:val="000000"/>
                <w:sz w:val="20"/>
                <w:szCs w:val="20"/>
                <w:lang w:val="hr-HR"/>
              </w:rPr>
              <w:t>2017.</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c>
          <w:tcPr>
            <w:tcW w:w="1306" w:type="dxa"/>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b/>
                <w:bCs/>
                <w:i/>
                <w:iCs/>
                <w:color w:val="000000"/>
                <w:sz w:val="20"/>
                <w:szCs w:val="20"/>
                <w:lang w:val="hr-HR"/>
              </w:rPr>
            </w:pPr>
            <w:r w:rsidRPr="00CD3A2D">
              <w:rPr>
                <w:rFonts w:ascii="Calibri" w:hAnsi="Calibri"/>
                <w:b/>
                <w:bCs/>
                <w:i/>
                <w:iCs/>
                <w:color w:val="000000"/>
                <w:sz w:val="20"/>
                <w:szCs w:val="20"/>
                <w:lang w:val="hr-HR"/>
              </w:rPr>
              <w:t>Dužnički vrijednosni papiri:</w:t>
            </w:r>
          </w:p>
        </w:tc>
        <w:tc>
          <w:tcPr>
            <w:tcW w:w="1305" w:type="dxa"/>
            <w:tcBorders>
              <w:top w:val="nil"/>
              <w:left w:val="nil"/>
              <w:bottom w:val="nil"/>
              <w:right w:val="nil"/>
            </w:tcBorders>
            <w:shd w:val="clear" w:color="auto" w:fill="auto"/>
            <w:vAlign w:val="center"/>
            <w:hideMark/>
          </w:tcPr>
          <w:p w:rsidR="009021CC" w:rsidRPr="00CD3A2D" w:rsidRDefault="009021CC">
            <w:pPr>
              <w:rPr>
                <w:rFonts w:ascii="Calibri" w:hAnsi="Calibri"/>
                <w:b/>
                <w:bCs/>
                <w:i/>
                <w:iCs/>
                <w:color w:val="000000"/>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6"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b/>
                <w:bCs/>
                <w:color w:val="000000"/>
                <w:sz w:val="20"/>
                <w:szCs w:val="20"/>
                <w:lang w:val="hr-HR"/>
              </w:rPr>
            </w:pPr>
            <w:r w:rsidRPr="00CD3A2D">
              <w:rPr>
                <w:rFonts w:ascii="Calibri" w:hAnsi="Calibri"/>
                <w:b/>
                <w:bCs/>
                <w:color w:val="000000"/>
                <w:sz w:val="20"/>
                <w:szCs w:val="20"/>
                <w:lang w:val="hr-HR"/>
              </w:rPr>
              <w:t>Dužnički vrijednosni papiri koji kotiraju:</w:t>
            </w:r>
          </w:p>
        </w:tc>
        <w:tc>
          <w:tcPr>
            <w:tcW w:w="1305" w:type="dxa"/>
            <w:tcBorders>
              <w:top w:val="nil"/>
              <w:left w:val="nil"/>
              <w:bottom w:val="nil"/>
              <w:right w:val="nil"/>
            </w:tcBorders>
            <w:shd w:val="clear" w:color="auto" w:fill="auto"/>
            <w:vAlign w:val="center"/>
            <w:hideMark/>
          </w:tcPr>
          <w:p w:rsidR="009021CC" w:rsidRPr="00CD3A2D" w:rsidRDefault="009021CC">
            <w:pPr>
              <w:rPr>
                <w:rFonts w:ascii="Calibri" w:hAnsi="Calibri"/>
                <w:b/>
                <w:bCs/>
                <w:color w:val="000000"/>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6"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color w:val="000000"/>
                <w:sz w:val="20"/>
                <w:szCs w:val="20"/>
                <w:lang w:val="hr-HR"/>
              </w:rPr>
            </w:pPr>
            <w:r w:rsidRPr="00CD3A2D">
              <w:rPr>
                <w:rFonts w:ascii="Calibri" w:hAnsi="Calibri"/>
                <w:color w:val="000000"/>
                <w:sz w:val="20"/>
                <w:szCs w:val="20"/>
                <w:lang w:val="hr-HR"/>
              </w:rPr>
              <w:t>Obveznice Republike Hrvatske</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1.124.611</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1.088.457</w:t>
            </w:r>
          </w:p>
        </w:tc>
        <w:tc>
          <w:tcPr>
            <w:tcW w:w="1306"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color w:val="000000"/>
                <w:sz w:val="20"/>
                <w:szCs w:val="20"/>
                <w:lang w:val="hr-HR"/>
              </w:rPr>
            </w:pPr>
            <w:r w:rsidRPr="00CD3A2D">
              <w:rPr>
                <w:rFonts w:ascii="Calibri" w:hAnsi="Calibri"/>
                <w:color w:val="000000"/>
                <w:sz w:val="20"/>
                <w:szCs w:val="20"/>
                <w:lang w:val="hr-HR"/>
              </w:rPr>
              <w:t>Obveznice trgovačkih društava</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770</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w:t>
            </w:r>
          </w:p>
        </w:tc>
        <w:tc>
          <w:tcPr>
            <w:tcW w:w="1306"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color w:val="000000"/>
                <w:sz w:val="20"/>
                <w:szCs w:val="20"/>
                <w:lang w:val="hr-HR"/>
              </w:rPr>
            </w:pPr>
            <w:r w:rsidRPr="00CD3A2D">
              <w:rPr>
                <w:rFonts w:ascii="Calibri" w:hAnsi="Calibri"/>
                <w:color w:val="000000"/>
                <w:sz w:val="20"/>
                <w:szCs w:val="20"/>
                <w:lang w:val="hr-HR"/>
              </w:rPr>
              <w:t>Trezorski zapisi Ministarstva financija</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1.666.299</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1.666.299</w:t>
            </w:r>
          </w:p>
        </w:tc>
        <w:tc>
          <w:tcPr>
            <w:tcW w:w="1306"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color w:val="000000"/>
                <w:sz w:val="20"/>
                <w:szCs w:val="20"/>
                <w:lang w:val="hr-HR"/>
              </w:rPr>
            </w:pPr>
            <w:r w:rsidRPr="00CD3A2D">
              <w:rPr>
                <w:rFonts w:ascii="Calibri" w:hAnsi="Calibri"/>
                <w:color w:val="000000"/>
                <w:sz w:val="20"/>
                <w:szCs w:val="20"/>
                <w:lang w:val="hr-HR"/>
              </w:rPr>
              <w:t>Obračunata kamata</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11.313</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10.839</w:t>
            </w:r>
          </w:p>
        </w:tc>
        <w:tc>
          <w:tcPr>
            <w:tcW w:w="1306"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p>
        </w:tc>
        <w:tc>
          <w:tcPr>
            <w:tcW w:w="1305"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2.802.993</w:t>
            </w:r>
          </w:p>
        </w:tc>
        <w:tc>
          <w:tcPr>
            <w:tcW w:w="1305"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n/p</w:t>
            </w:r>
          </w:p>
        </w:tc>
        <w:tc>
          <w:tcPr>
            <w:tcW w:w="1305"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2.765.595</w:t>
            </w:r>
          </w:p>
        </w:tc>
        <w:tc>
          <w:tcPr>
            <w:tcW w:w="1306"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p>
        </w:tc>
        <w:tc>
          <w:tcPr>
            <w:tcW w:w="1305" w:type="dxa"/>
            <w:tcBorders>
              <w:top w:val="single" w:sz="12" w:space="0" w:color="auto"/>
              <w:left w:val="nil"/>
              <w:bottom w:val="nil"/>
              <w:right w:val="nil"/>
            </w:tcBorders>
            <w:shd w:val="clear" w:color="auto" w:fill="auto"/>
            <w:vAlign w:val="center"/>
            <w:hideMark/>
          </w:tcPr>
          <w:p w:rsidR="009021CC" w:rsidRPr="00CD3A2D" w:rsidRDefault="009021CC">
            <w:pPr>
              <w:rPr>
                <w:sz w:val="20"/>
                <w:szCs w:val="20"/>
                <w:lang w:val="hr-HR"/>
              </w:rPr>
            </w:pPr>
          </w:p>
        </w:tc>
        <w:tc>
          <w:tcPr>
            <w:tcW w:w="1305" w:type="dxa"/>
            <w:tcBorders>
              <w:top w:val="single" w:sz="12" w:space="0" w:color="auto"/>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5" w:type="dxa"/>
            <w:tcBorders>
              <w:top w:val="single" w:sz="12" w:space="0" w:color="auto"/>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6" w:type="dxa"/>
            <w:tcBorders>
              <w:top w:val="single" w:sz="12" w:space="0" w:color="auto"/>
              <w:left w:val="nil"/>
              <w:bottom w:val="nil"/>
              <w:right w:val="nil"/>
            </w:tcBorders>
            <w:shd w:val="clear" w:color="auto" w:fill="auto"/>
            <w:vAlign w:val="center"/>
            <w:hideMark/>
          </w:tcPr>
          <w:p w:rsidR="009021CC" w:rsidRPr="00CD3A2D" w:rsidRDefault="009021CC">
            <w:pPr>
              <w:jc w:val="right"/>
              <w:rPr>
                <w:sz w:val="20"/>
                <w:szCs w:val="20"/>
                <w:lang w:val="hr-HR"/>
              </w:rPr>
            </w:pP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b/>
                <w:bCs/>
                <w:color w:val="000000"/>
                <w:sz w:val="20"/>
                <w:szCs w:val="20"/>
                <w:lang w:val="hr-HR"/>
              </w:rPr>
            </w:pPr>
            <w:r w:rsidRPr="00CD3A2D">
              <w:rPr>
                <w:rFonts w:ascii="Calibri" w:hAnsi="Calibri"/>
                <w:b/>
                <w:bCs/>
                <w:color w:val="000000"/>
                <w:sz w:val="20"/>
                <w:szCs w:val="20"/>
                <w:lang w:val="hr-HR"/>
              </w:rPr>
              <w:t>Dužnički vrijednosni papiri koji ne kotiraju:</w:t>
            </w:r>
          </w:p>
        </w:tc>
        <w:tc>
          <w:tcPr>
            <w:tcW w:w="1305" w:type="dxa"/>
            <w:tcBorders>
              <w:top w:val="nil"/>
              <w:left w:val="nil"/>
              <w:bottom w:val="nil"/>
              <w:right w:val="nil"/>
            </w:tcBorders>
            <w:shd w:val="clear" w:color="auto" w:fill="auto"/>
            <w:vAlign w:val="center"/>
            <w:hideMark/>
          </w:tcPr>
          <w:p w:rsidR="009021CC" w:rsidRPr="00CD3A2D" w:rsidRDefault="009021CC">
            <w:pPr>
              <w:rPr>
                <w:rFonts w:ascii="Calibri" w:hAnsi="Calibri"/>
                <w:b/>
                <w:bCs/>
                <w:color w:val="000000"/>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6"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color w:val="000000"/>
                <w:sz w:val="20"/>
                <w:szCs w:val="20"/>
                <w:lang w:val="hr-HR"/>
              </w:rPr>
            </w:pPr>
            <w:r w:rsidRPr="00CD3A2D">
              <w:rPr>
                <w:rFonts w:ascii="Calibri" w:hAnsi="Calibri"/>
                <w:color w:val="000000"/>
                <w:sz w:val="20"/>
                <w:szCs w:val="20"/>
                <w:lang w:val="hr-HR"/>
              </w:rPr>
              <w:t>Obveznice trgovačkih društava</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535</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535</w:t>
            </w:r>
          </w:p>
        </w:tc>
        <w:tc>
          <w:tcPr>
            <w:tcW w:w="1306"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color w:val="000000"/>
                <w:sz w:val="20"/>
                <w:szCs w:val="20"/>
                <w:lang w:val="hr-HR"/>
              </w:rPr>
            </w:pPr>
            <w:r w:rsidRPr="00CD3A2D">
              <w:rPr>
                <w:rFonts w:ascii="Calibri" w:hAnsi="Calibri"/>
                <w:color w:val="000000"/>
                <w:sz w:val="20"/>
                <w:szCs w:val="20"/>
                <w:lang w:val="hr-HR"/>
              </w:rPr>
              <w:t>Obračunata kamata</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233</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233</w:t>
            </w:r>
          </w:p>
        </w:tc>
        <w:tc>
          <w:tcPr>
            <w:tcW w:w="1306"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p>
        </w:tc>
        <w:tc>
          <w:tcPr>
            <w:tcW w:w="1305"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768</w:t>
            </w:r>
          </w:p>
        </w:tc>
        <w:tc>
          <w:tcPr>
            <w:tcW w:w="1305"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n/p</w:t>
            </w:r>
          </w:p>
        </w:tc>
        <w:tc>
          <w:tcPr>
            <w:tcW w:w="1305"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768</w:t>
            </w:r>
          </w:p>
        </w:tc>
        <w:tc>
          <w:tcPr>
            <w:tcW w:w="1306"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p>
        </w:tc>
        <w:tc>
          <w:tcPr>
            <w:tcW w:w="1305" w:type="dxa"/>
            <w:tcBorders>
              <w:top w:val="single" w:sz="12" w:space="0" w:color="auto"/>
              <w:left w:val="nil"/>
              <w:bottom w:val="nil"/>
              <w:right w:val="nil"/>
            </w:tcBorders>
            <w:shd w:val="clear" w:color="auto" w:fill="auto"/>
            <w:vAlign w:val="center"/>
            <w:hideMark/>
          </w:tcPr>
          <w:p w:rsidR="009021CC" w:rsidRPr="00CD3A2D" w:rsidRDefault="009021CC">
            <w:pPr>
              <w:rPr>
                <w:sz w:val="20"/>
                <w:szCs w:val="20"/>
                <w:lang w:val="hr-HR"/>
              </w:rPr>
            </w:pPr>
          </w:p>
        </w:tc>
        <w:tc>
          <w:tcPr>
            <w:tcW w:w="1305" w:type="dxa"/>
            <w:tcBorders>
              <w:top w:val="single" w:sz="12" w:space="0" w:color="auto"/>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5" w:type="dxa"/>
            <w:tcBorders>
              <w:top w:val="single" w:sz="12" w:space="0" w:color="auto"/>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6" w:type="dxa"/>
            <w:tcBorders>
              <w:top w:val="single" w:sz="12" w:space="0" w:color="auto"/>
              <w:left w:val="nil"/>
              <w:bottom w:val="nil"/>
              <w:right w:val="nil"/>
            </w:tcBorders>
            <w:shd w:val="clear" w:color="auto" w:fill="auto"/>
            <w:vAlign w:val="center"/>
            <w:hideMark/>
          </w:tcPr>
          <w:p w:rsidR="009021CC" w:rsidRPr="00CD3A2D" w:rsidRDefault="009021CC">
            <w:pPr>
              <w:jc w:val="right"/>
              <w:rPr>
                <w:sz w:val="20"/>
                <w:szCs w:val="20"/>
                <w:lang w:val="hr-HR"/>
              </w:rPr>
            </w:pP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b/>
                <w:bCs/>
                <w:i/>
                <w:iCs/>
                <w:color w:val="000000"/>
                <w:sz w:val="20"/>
                <w:szCs w:val="20"/>
                <w:lang w:val="hr-HR"/>
              </w:rPr>
            </w:pPr>
            <w:r w:rsidRPr="00CD3A2D">
              <w:rPr>
                <w:rFonts w:ascii="Calibri" w:hAnsi="Calibri"/>
                <w:b/>
                <w:bCs/>
                <w:i/>
                <w:iCs/>
                <w:color w:val="000000"/>
                <w:sz w:val="20"/>
                <w:szCs w:val="20"/>
                <w:lang w:val="hr-HR"/>
              </w:rPr>
              <w:t>Vlasnički vrijednosni papiri:</w:t>
            </w:r>
          </w:p>
        </w:tc>
        <w:tc>
          <w:tcPr>
            <w:tcW w:w="1305" w:type="dxa"/>
            <w:tcBorders>
              <w:top w:val="nil"/>
              <w:left w:val="nil"/>
              <w:bottom w:val="nil"/>
              <w:right w:val="nil"/>
            </w:tcBorders>
            <w:shd w:val="clear" w:color="auto" w:fill="auto"/>
            <w:vAlign w:val="center"/>
            <w:hideMark/>
          </w:tcPr>
          <w:p w:rsidR="009021CC" w:rsidRPr="00CD3A2D" w:rsidRDefault="009021CC">
            <w:pPr>
              <w:rPr>
                <w:rFonts w:ascii="Calibri" w:hAnsi="Calibri"/>
                <w:b/>
                <w:bCs/>
                <w:i/>
                <w:iCs/>
                <w:color w:val="000000"/>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5"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c>
          <w:tcPr>
            <w:tcW w:w="1306" w:type="dxa"/>
            <w:tcBorders>
              <w:top w:val="nil"/>
              <w:left w:val="nil"/>
              <w:bottom w:val="nil"/>
              <w:right w:val="nil"/>
            </w:tcBorders>
            <w:shd w:val="clear" w:color="auto" w:fill="auto"/>
            <w:vAlign w:val="center"/>
            <w:hideMark/>
          </w:tcPr>
          <w:p w:rsidR="009021CC" w:rsidRPr="00CD3A2D" w:rsidRDefault="009021CC">
            <w:pPr>
              <w:jc w:val="right"/>
              <w:rPr>
                <w:sz w:val="20"/>
                <w:szCs w:val="20"/>
                <w:lang w:val="hr-HR"/>
              </w:rPr>
            </w:pPr>
          </w:p>
        </w:tc>
      </w:tr>
      <w:tr w:rsidR="00332FF7" w:rsidRPr="001567C8" w:rsidTr="003C6BA3">
        <w:trPr>
          <w:trHeight w:val="281"/>
        </w:trPr>
        <w:tc>
          <w:tcPr>
            <w:tcW w:w="3969" w:type="dxa"/>
            <w:tcBorders>
              <w:top w:val="nil"/>
              <w:left w:val="nil"/>
              <w:bottom w:val="nil"/>
              <w:right w:val="nil"/>
            </w:tcBorders>
            <w:shd w:val="clear" w:color="auto" w:fill="auto"/>
            <w:vAlign w:val="center"/>
          </w:tcPr>
          <w:p w:rsidR="00332FF7" w:rsidRPr="00CD3A2D" w:rsidRDefault="00332FF7">
            <w:pPr>
              <w:rPr>
                <w:rFonts w:ascii="Calibri" w:hAnsi="Calibri"/>
                <w:b/>
                <w:bCs/>
                <w:iCs/>
                <w:color w:val="000000"/>
                <w:sz w:val="20"/>
                <w:szCs w:val="20"/>
                <w:lang w:val="hr-HR"/>
              </w:rPr>
            </w:pPr>
            <w:r w:rsidRPr="00CD3A2D">
              <w:rPr>
                <w:rFonts w:ascii="Calibri" w:hAnsi="Calibri"/>
                <w:b/>
                <w:bCs/>
                <w:iCs/>
                <w:color w:val="000000"/>
                <w:sz w:val="20"/>
                <w:szCs w:val="20"/>
                <w:lang w:val="hr-HR"/>
              </w:rPr>
              <w:t>Vlasnički vrijednosni papiri koji ne kotiraju:</w:t>
            </w:r>
          </w:p>
        </w:tc>
        <w:tc>
          <w:tcPr>
            <w:tcW w:w="1305" w:type="dxa"/>
            <w:tcBorders>
              <w:top w:val="nil"/>
              <w:left w:val="nil"/>
              <w:bottom w:val="nil"/>
              <w:right w:val="nil"/>
            </w:tcBorders>
            <w:shd w:val="clear" w:color="auto" w:fill="auto"/>
            <w:vAlign w:val="center"/>
          </w:tcPr>
          <w:p w:rsidR="00332FF7" w:rsidRPr="00CD3A2D" w:rsidRDefault="00332FF7">
            <w:pPr>
              <w:rPr>
                <w:rFonts w:ascii="Calibri" w:hAnsi="Calibri"/>
                <w:b/>
                <w:bCs/>
                <w:i/>
                <w:iCs/>
                <w:color w:val="000000"/>
                <w:sz w:val="20"/>
                <w:szCs w:val="20"/>
                <w:lang w:val="hr-HR"/>
              </w:rPr>
            </w:pPr>
          </w:p>
        </w:tc>
        <w:tc>
          <w:tcPr>
            <w:tcW w:w="1305" w:type="dxa"/>
            <w:tcBorders>
              <w:top w:val="nil"/>
              <w:left w:val="nil"/>
              <w:bottom w:val="nil"/>
              <w:right w:val="nil"/>
            </w:tcBorders>
            <w:shd w:val="clear" w:color="auto" w:fill="auto"/>
            <w:vAlign w:val="center"/>
          </w:tcPr>
          <w:p w:rsidR="00332FF7" w:rsidRPr="00CD3A2D" w:rsidRDefault="00332FF7">
            <w:pPr>
              <w:jc w:val="right"/>
              <w:rPr>
                <w:sz w:val="20"/>
                <w:szCs w:val="20"/>
                <w:lang w:val="hr-HR"/>
              </w:rPr>
            </w:pPr>
          </w:p>
        </w:tc>
        <w:tc>
          <w:tcPr>
            <w:tcW w:w="1305" w:type="dxa"/>
            <w:tcBorders>
              <w:top w:val="nil"/>
              <w:left w:val="nil"/>
              <w:bottom w:val="nil"/>
              <w:right w:val="nil"/>
            </w:tcBorders>
            <w:shd w:val="clear" w:color="auto" w:fill="auto"/>
            <w:vAlign w:val="center"/>
          </w:tcPr>
          <w:p w:rsidR="00332FF7" w:rsidRPr="00CD3A2D" w:rsidRDefault="00332FF7">
            <w:pPr>
              <w:jc w:val="right"/>
              <w:rPr>
                <w:sz w:val="20"/>
                <w:szCs w:val="20"/>
                <w:lang w:val="hr-HR"/>
              </w:rPr>
            </w:pPr>
          </w:p>
        </w:tc>
        <w:tc>
          <w:tcPr>
            <w:tcW w:w="1306" w:type="dxa"/>
            <w:tcBorders>
              <w:top w:val="nil"/>
              <w:left w:val="nil"/>
              <w:bottom w:val="nil"/>
              <w:right w:val="nil"/>
            </w:tcBorders>
            <w:shd w:val="clear" w:color="auto" w:fill="auto"/>
            <w:vAlign w:val="center"/>
          </w:tcPr>
          <w:p w:rsidR="00332FF7" w:rsidRPr="00CD3A2D" w:rsidRDefault="00332FF7">
            <w:pPr>
              <w:jc w:val="right"/>
              <w:rPr>
                <w:sz w:val="20"/>
                <w:szCs w:val="20"/>
                <w:lang w:val="hr-HR"/>
              </w:rPr>
            </w:pP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color w:val="000000"/>
                <w:sz w:val="20"/>
                <w:szCs w:val="20"/>
                <w:lang w:val="hr-HR"/>
              </w:rPr>
            </w:pPr>
            <w:r w:rsidRPr="00CD3A2D">
              <w:rPr>
                <w:rFonts w:ascii="Calibri" w:hAnsi="Calibri"/>
                <w:color w:val="000000"/>
                <w:sz w:val="20"/>
                <w:szCs w:val="20"/>
                <w:lang w:val="hr-HR"/>
              </w:rPr>
              <w:t>Dionice inozemnim pravnih osoba</w:t>
            </w:r>
            <w:r w:rsidR="00ED54A8" w:rsidRPr="00CD3A2D">
              <w:rPr>
                <w:rFonts w:ascii="Calibri" w:hAnsi="Calibri"/>
                <w:color w:val="000000"/>
                <w:sz w:val="20"/>
                <w:szCs w:val="20"/>
                <w:lang w:val="hr-HR"/>
              </w:rPr>
              <w:t xml:space="preserve"> - SWIFT</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38</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38</w:t>
            </w:r>
          </w:p>
        </w:tc>
        <w:tc>
          <w:tcPr>
            <w:tcW w:w="1306"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rPr>
                <w:rFonts w:ascii="Calibri" w:hAnsi="Calibri"/>
                <w:color w:val="000000"/>
                <w:sz w:val="20"/>
                <w:szCs w:val="20"/>
                <w:lang w:val="hr-HR"/>
              </w:rPr>
            </w:pPr>
            <w:r w:rsidRPr="00CD3A2D">
              <w:rPr>
                <w:rFonts w:ascii="Calibri" w:hAnsi="Calibri"/>
                <w:color w:val="000000"/>
                <w:sz w:val="20"/>
                <w:szCs w:val="20"/>
                <w:lang w:val="hr-HR"/>
              </w:rPr>
              <w:t>Dionice inozemnih financijskih institucija - EIF</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25.671</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c>
          <w:tcPr>
            <w:tcW w:w="1305"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25.671</w:t>
            </w:r>
          </w:p>
        </w:tc>
        <w:tc>
          <w:tcPr>
            <w:tcW w:w="1306"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r w:rsidRPr="00CD3A2D">
              <w:rPr>
                <w:rFonts w:ascii="Calibri" w:hAnsi="Calibri"/>
                <w:color w:val="000000"/>
                <w:sz w:val="20"/>
                <w:szCs w:val="20"/>
                <w:lang w:val="hr-HR"/>
              </w:rPr>
              <w:t>n/p</w:t>
            </w:r>
          </w:p>
        </w:tc>
      </w:tr>
      <w:tr w:rsidR="009021CC" w:rsidRPr="001567C8" w:rsidTr="003C6BA3">
        <w:trPr>
          <w:trHeight w:val="281"/>
        </w:trPr>
        <w:tc>
          <w:tcPr>
            <w:tcW w:w="3969" w:type="dxa"/>
            <w:tcBorders>
              <w:top w:val="nil"/>
              <w:left w:val="nil"/>
              <w:bottom w:val="nil"/>
              <w:right w:val="nil"/>
            </w:tcBorders>
            <w:shd w:val="clear" w:color="auto" w:fill="auto"/>
            <w:vAlign w:val="center"/>
            <w:hideMark/>
          </w:tcPr>
          <w:p w:rsidR="009021CC" w:rsidRPr="00CD3A2D" w:rsidRDefault="009021CC">
            <w:pPr>
              <w:jc w:val="right"/>
              <w:rPr>
                <w:rFonts w:ascii="Calibri" w:hAnsi="Calibri"/>
                <w:color w:val="000000"/>
                <w:sz w:val="20"/>
                <w:szCs w:val="20"/>
                <w:lang w:val="hr-HR"/>
              </w:rPr>
            </w:pPr>
          </w:p>
        </w:tc>
        <w:tc>
          <w:tcPr>
            <w:tcW w:w="1305" w:type="dxa"/>
            <w:tcBorders>
              <w:top w:val="single" w:sz="4" w:space="0" w:color="auto"/>
              <w:left w:val="nil"/>
              <w:bottom w:val="single" w:sz="4"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25.709</w:t>
            </w:r>
          </w:p>
        </w:tc>
        <w:tc>
          <w:tcPr>
            <w:tcW w:w="1305" w:type="dxa"/>
            <w:tcBorders>
              <w:top w:val="single" w:sz="4" w:space="0" w:color="auto"/>
              <w:left w:val="nil"/>
              <w:bottom w:val="single" w:sz="4"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n/p</w:t>
            </w:r>
          </w:p>
        </w:tc>
        <w:tc>
          <w:tcPr>
            <w:tcW w:w="1305" w:type="dxa"/>
            <w:tcBorders>
              <w:top w:val="single" w:sz="4" w:space="0" w:color="auto"/>
              <w:left w:val="nil"/>
              <w:bottom w:val="single" w:sz="4"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25.709</w:t>
            </w:r>
          </w:p>
        </w:tc>
        <w:tc>
          <w:tcPr>
            <w:tcW w:w="1306" w:type="dxa"/>
            <w:tcBorders>
              <w:top w:val="single" w:sz="4" w:space="0" w:color="auto"/>
              <w:left w:val="nil"/>
              <w:bottom w:val="single" w:sz="4"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n/p</w:t>
            </w:r>
          </w:p>
        </w:tc>
      </w:tr>
      <w:tr w:rsidR="009021CC" w:rsidRPr="001567C8" w:rsidTr="003C6BA3">
        <w:trPr>
          <w:trHeight w:val="295"/>
        </w:trPr>
        <w:tc>
          <w:tcPr>
            <w:tcW w:w="3969" w:type="dxa"/>
            <w:tcBorders>
              <w:top w:val="nil"/>
              <w:left w:val="nil"/>
              <w:bottom w:val="nil"/>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p>
        </w:tc>
        <w:tc>
          <w:tcPr>
            <w:tcW w:w="1305"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2.829.470</w:t>
            </w:r>
          </w:p>
        </w:tc>
        <w:tc>
          <w:tcPr>
            <w:tcW w:w="1305"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n/p</w:t>
            </w:r>
          </w:p>
        </w:tc>
        <w:tc>
          <w:tcPr>
            <w:tcW w:w="1305"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2.792.072</w:t>
            </w:r>
          </w:p>
        </w:tc>
        <w:tc>
          <w:tcPr>
            <w:tcW w:w="1306" w:type="dxa"/>
            <w:tcBorders>
              <w:top w:val="single" w:sz="4" w:space="0" w:color="auto"/>
              <w:left w:val="nil"/>
              <w:bottom w:val="single" w:sz="12" w:space="0" w:color="auto"/>
              <w:right w:val="nil"/>
            </w:tcBorders>
            <w:shd w:val="clear" w:color="auto" w:fill="auto"/>
            <w:vAlign w:val="center"/>
            <w:hideMark/>
          </w:tcPr>
          <w:p w:rsidR="009021CC" w:rsidRPr="00CD3A2D" w:rsidRDefault="009021CC">
            <w:pPr>
              <w:jc w:val="right"/>
              <w:rPr>
                <w:rFonts w:ascii="Calibri" w:hAnsi="Calibri"/>
                <w:b/>
                <w:bCs/>
                <w:color w:val="000000"/>
                <w:sz w:val="20"/>
                <w:szCs w:val="20"/>
                <w:lang w:val="hr-HR"/>
              </w:rPr>
            </w:pPr>
            <w:r w:rsidRPr="00CD3A2D">
              <w:rPr>
                <w:rFonts w:ascii="Calibri" w:hAnsi="Calibri"/>
                <w:b/>
                <w:bCs/>
                <w:color w:val="000000"/>
                <w:sz w:val="20"/>
                <w:szCs w:val="20"/>
                <w:lang w:val="hr-HR"/>
              </w:rPr>
              <w:t>n/p</w:t>
            </w:r>
          </w:p>
        </w:tc>
      </w:tr>
    </w:tbl>
    <w:p w:rsidR="009021CC" w:rsidRPr="001567C8" w:rsidRDefault="009021CC" w:rsidP="009021CC">
      <w:pPr>
        <w:pStyle w:val="T1"/>
        <w:spacing w:before="0" w:after="0" w:line="240" w:lineRule="auto"/>
        <w:rPr>
          <w:rFonts w:asciiTheme="minorHAnsi" w:hAnsiTheme="minorHAnsi" w:cs="Arial"/>
          <w:b w:val="0"/>
          <w:sz w:val="22"/>
          <w:szCs w:val="22"/>
          <w:lang w:val="hr-HR"/>
        </w:rPr>
      </w:pPr>
    </w:p>
    <w:p w:rsidR="009021CC" w:rsidRPr="001567C8" w:rsidRDefault="009021CC" w:rsidP="009021CC">
      <w:pPr>
        <w:pStyle w:val="T1"/>
        <w:spacing w:before="0" w:after="0" w:line="240" w:lineRule="auto"/>
        <w:rPr>
          <w:rFonts w:asciiTheme="minorHAnsi" w:hAnsiTheme="minorHAnsi" w:cs="Arial"/>
          <w:b w:val="0"/>
          <w:sz w:val="22"/>
          <w:szCs w:val="22"/>
          <w:lang w:val="hr-HR"/>
        </w:rPr>
      </w:pPr>
    </w:p>
    <w:p w:rsidR="009021CC" w:rsidRPr="001567C8" w:rsidRDefault="009021CC" w:rsidP="00B8477D">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Sljedeća tablica prikazuje informacije o kreditnoj kvaliteti financijske imovine koja se mjeri po amortiziranom trošku. Iznosi u tablici predstavljaju bruto knjigovodstvene iznose:</w:t>
      </w:r>
    </w:p>
    <w:p w:rsidR="009021CC" w:rsidRPr="001567C8" w:rsidRDefault="009021CC" w:rsidP="00B8477D">
      <w:pPr>
        <w:pStyle w:val="T1"/>
        <w:spacing w:before="0" w:after="0" w:line="240" w:lineRule="auto"/>
        <w:rPr>
          <w:rFonts w:asciiTheme="minorHAnsi" w:hAnsiTheme="minorHAnsi" w:cs="Arial"/>
          <w:b w:val="0"/>
          <w:sz w:val="22"/>
          <w:szCs w:val="22"/>
          <w:lang w:val="hr-HR"/>
        </w:rPr>
      </w:pPr>
    </w:p>
    <w:tbl>
      <w:tblPr>
        <w:tblW w:w="10075" w:type="dxa"/>
        <w:tblInd w:w="-567" w:type="dxa"/>
        <w:tblLayout w:type="fixed"/>
        <w:tblLook w:val="04A0" w:firstRow="1" w:lastRow="0" w:firstColumn="1" w:lastColumn="0" w:noHBand="0" w:noVBand="1"/>
      </w:tblPr>
      <w:tblGrid>
        <w:gridCol w:w="2127"/>
        <w:gridCol w:w="993"/>
        <w:gridCol w:w="994"/>
        <w:gridCol w:w="993"/>
        <w:gridCol w:w="994"/>
        <w:gridCol w:w="993"/>
        <w:gridCol w:w="994"/>
        <w:gridCol w:w="993"/>
        <w:gridCol w:w="994"/>
      </w:tblGrid>
      <w:tr w:rsidR="009021CC" w:rsidRPr="001567C8" w:rsidTr="00B8477D">
        <w:trPr>
          <w:trHeight w:val="270"/>
        </w:trPr>
        <w:tc>
          <w:tcPr>
            <w:tcW w:w="2127" w:type="dxa"/>
            <w:tcBorders>
              <w:top w:val="nil"/>
              <w:left w:val="nil"/>
              <w:bottom w:val="nil"/>
              <w:right w:val="nil"/>
            </w:tcBorders>
            <w:shd w:val="clear" w:color="auto" w:fill="auto"/>
            <w:noWrap/>
            <w:vAlign w:val="bottom"/>
            <w:hideMark/>
          </w:tcPr>
          <w:p w:rsidR="009021CC" w:rsidRPr="00CD3A2D" w:rsidRDefault="009021CC">
            <w:pPr>
              <w:rPr>
                <w:sz w:val="18"/>
                <w:szCs w:val="18"/>
                <w:lang w:val="hr-HR"/>
              </w:rPr>
            </w:pPr>
          </w:p>
        </w:tc>
        <w:tc>
          <w:tcPr>
            <w:tcW w:w="993" w:type="dxa"/>
            <w:tcBorders>
              <w:top w:val="nil"/>
              <w:left w:val="nil"/>
              <w:bottom w:val="nil"/>
              <w:right w:val="nil"/>
            </w:tcBorders>
            <w:shd w:val="clear" w:color="auto" w:fill="auto"/>
            <w:noWrap/>
            <w:vAlign w:val="bottom"/>
            <w:hideMark/>
          </w:tcPr>
          <w:p w:rsidR="009021CC" w:rsidRPr="00CD3A2D" w:rsidRDefault="009021CC" w:rsidP="00B8477D">
            <w:pPr>
              <w:jc w:val="right"/>
              <w:rPr>
                <w:sz w:val="18"/>
                <w:szCs w:val="18"/>
                <w:lang w:val="hr-HR"/>
              </w:rPr>
            </w:pP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sz w:val="18"/>
                <w:szCs w:val="18"/>
                <w:lang w:val="hr-HR"/>
              </w:rPr>
            </w:pP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sz w:val="18"/>
                <w:szCs w:val="18"/>
                <w:lang w:val="hr-HR"/>
              </w:rPr>
            </w:pP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Grupa</w:t>
            </w: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sz w:val="18"/>
                <w:szCs w:val="18"/>
                <w:lang w:val="hr-HR"/>
              </w:rPr>
            </w:pP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sz w:val="18"/>
                <w:szCs w:val="18"/>
                <w:lang w:val="hr-HR"/>
              </w:rPr>
            </w:pP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Banka</w:t>
            </w:r>
          </w:p>
        </w:tc>
      </w:tr>
      <w:tr w:rsidR="009021CC" w:rsidRPr="001567C8" w:rsidTr="00B8477D">
        <w:trPr>
          <w:trHeight w:val="270"/>
        </w:trPr>
        <w:tc>
          <w:tcPr>
            <w:tcW w:w="2127" w:type="dxa"/>
            <w:tcBorders>
              <w:top w:val="nil"/>
              <w:left w:val="nil"/>
              <w:bottom w:val="nil"/>
              <w:right w:val="nil"/>
            </w:tcBorders>
            <w:shd w:val="clear" w:color="auto" w:fill="auto"/>
            <w:noWrap/>
            <w:vAlign w:val="bottom"/>
            <w:hideMark/>
          </w:tcPr>
          <w:p w:rsidR="009021CC" w:rsidRPr="00CD3A2D" w:rsidRDefault="009021CC">
            <w:pPr>
              <w:jc w:val="right"/>
              <w:rPr>
                <w:rFonts w:ascii="Calibri" w:hAnsi="Calibri"/>
                <w:b/>
                <w:bCs/>
                <w:color w:val="000000"/>
                <w:sz w:val="18"/>
                <w:szCs w:val="18"/>
                <w:lang w:val="hr-HR"/>
              </w:rPr>
            </w:pP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Stupanj 1</w:t>
            </w: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Stupanj 2</w:t>
            </w: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Stupanj 3</w:t>
            </w: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Ukupno</w:t>
            </w: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Stupanj 1</w:t>
            </w: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Stupanj 2</w:t>
            </w: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Stupanj 3</w:t>
            </w: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Ukupno</w:t>
            </w:r>
          </w:p>
        </w:tc>
      </w:tr>
      <w:tr w:rsidR="009021CC" w:rsidRPr="001567C8" w:rsidTr="00B8477D">
        <w:trPr>
          <w:trHeight w:val="270"/>
        </w:trPr>
        <w:tc>
          <w:tcPr>
            <w:tcW w:w="2127" w:type="dxa"/>
            <w:tcBorders>
              <w:top w:val="nil"/>
              <w:left w:val="nil"/>
              <w:bottom w:val="nil"/>
              <w:right w:val="nil"/>
            </w:tcBorders>
            <w:shd w:val="clear" w:color="auto" w:fill="auto"/>
            <w:noWrap/>
            <w:vAlign w:val="bottom"/>
            <w:hideMark/>
          </w:tcPr>
          <w:p w:rsidR="009021CC" w:rsidRPr="00CD3A2D" w:rsidRDefault="009021CC">
            <w:pPr>
              <w:jc w:val="right"/>
              <w:rPr>
                <w:rFonts w:ascii="Calibri" w:hAnsi="Calibri"/>
                <w:b/>
                <w:bCs/>
                <w:color w:val="000000"/>
                <w:sz w:val="18"/>
                <w:szCs w:val="18"/>
                <w:lang w:val="hr-HR"/>
              </w:rPr>
            </w:pP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93"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94" w:type="dxa"/>
            <w:tcBorders>
              <w:top w:val="nil"/>
              <w:left w:val="nil"/>
              <w:bottom w:val="nil"/>
              <w:right w:val="nil"/>
            </w:tcBorders>
            <w:shd w:val="clear" w:color="auto" w:fill="auto"/>
            <w:noWrap/>
            <w:vAlign w:val="bottom"/>
            <w:hideMark/>
          </w:tcPr>
          <w:p w:rsidR="009021CC" w:rsidRPr="00CD3A2D" w:rsidRDefault="009021CC" w:rsidP="00714EAD">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r>
      <w:tr w:rsidR="009021CC" w:rsidRPr="001567C8" w:rsidTr="00B8477D">
        <w:trPr>
          <w:trHeight w:hRule="exact" w:val="144"/>
        </w:trPr>
        <w:tc>
          <w:tcPr>
            <w:tcW w:w="2127" w:type="dxa"/>
            <w:tcBorders>
              <w:top w:val="nil"/>
              <w:left w:val="nil"/>
              <w:bottom w:val="nil"/>
              <w:right w:val="nil"/>
            </w:tcBorders>
            <w:shd w:val="clear" w:color="auto" w:fill="auto"/>
            <w:noWrap/>
            <w:vAlign w:val="bottom"/>
          </w:tcPr>
          <w:p w:rsidR="009021CC" w:rsidRPr="00CD3A2D" w:rsidRDefault="009021CC">
            <w:pPr>
              <w:jc w:val="right"/>
              <w:rPr>
                <w:rFonts w:ascii="Calibri" w:hAnsi="Calibri"/>
                <w:b/>
                <w:bCs/>
                <w:color w:val="000000"/>
                <w:sz w:val="18"/>
                <w:szCs w:val="18"/>
                <w:lang w:val="hr-HR"/>
              </w:rPr>
            </w:pPr>
          </w:p>
        </w:tc>
        <w:tc>
          <w:tcPr>
            <w:tcW w:w="993" w:type="dxa"/>
            <w:tcBorders>
              <w:top w:val="nil"/>
              <w:left w:val="nil"/>
              <w:bottom w:val="nil"/>
              <w:right w:val="nil"/>
            </w:tcBorders>
            <w:shd w:val="clear" w:color="auto" w:fill="auto"/>
            <w:noWrap/>
            <w:vAlign w:val="bottom"/>
          </w:tcPr>
          <w:p w:rsidR="009021CC" w:rsidRPr="00CD3A2D" w:rsidRDefault="009021CC" w:rsidP="009021CC">
            <w:pPr>
              <w:jc w:val="right"/>
              <w:rPr>
                <w:rFonts w:ascii="Calibri" w:hAnsi="Calibri"/>
                <w:b/>
                <w:bCs/>
                <w:color w:val="000000"/>
                <w:sz w:val="18"/>
                <w:szCs w:val="18"/>
                <w:lang w:val="hr-HR"/>
              </w:rPr>
            </w:pPr>
          </w:p>
        </w:tc>
        <w:tc>
          <w:tcPr>
            <w:tcW w:w="994" w:type="dxa"/>
            <w:tcBorders>
              <w:top w:val="nil"/>
              <w:left w:val="nil"/>
              <w:bottom w:val="nil"/>
              <w:right w:val="nil"/>
            </w:tcBorders>
            <w:shd w:val="clear" w:color="auto" w:fill="auto"/>
            <w:noWrap/>
            <w:vAlign w:val="bottom"/>
          </w:tcPr>
          <w:p w:rsidR="009021CC" w:rsidRPr="00CD3A2D" w:rsidRDefault="009021CC" w:rsidP="009021CC">
            <w:pPr>
              <w:jc w:val="right"/>
              <w:rPr>
                <w:rFonts w:ascii="Calibri" w:hAnsi="Calibri"/>
                <w:b/>
                <w:bCs/>
                <w:color w:val="000000"/>
                <w:sz w:val="18"/>
                <w:szCs w:val="18"/>
                <w:lang w:val="hr-HR"/>
              </w:rPr>
            </w:pPr>
          </w:p>
        </w:tc>
        <w:tc>
          <w:tcPr>
            <w:tcW w:w="993" w:type="dxa"/>
            <w:tcBorders>
              <w:top w:val="nil"/>
              <w:left w:val="nil"/>
              <w:bottom w:val="nil"/>
              <w:right w:val="nil"/>
            </w:tcBorders>
            <w:shd w:val="clear" w:color="auto" w:fill="auto"/>
            <w:noWrap/>
            <w:vAlign w:val="bottom"/>
          </w:tcPr>
          <w:p w:rsidR="009021CC" w:rsidRPr="00CD3A2D" w:rsidRDefault="009021CC" w:rsidP="009021CC">
            <w:pPr>
              <w:jc w:val="right"/>
              <w:rPr>
                <w:rFonts w:ascii="Calibri" w:hAnsi="Calibri"/>
                <w:b/>
                <w:bCs/>
                <w:color w:val="000000"/>
                <w:sz w:val="18"/>
                <w:szCs w:val="18"/>
                <w:lang w:val="hr-HR"/>
              </w:rPr>
            </w:pPr>
          </w:p>
        </w:tc>
        <w:tc>
          <w:tcPr>
            <w:tcW w:w="994" w:type="dxa"/>
            <w:tcBorders>
              <w:top w:val="nil"/>
              <w:left w:val="nil"/>
              <w:bottom w:val="nil"/>
              <w:right w:val="nil"/>
            </w:tcBorders>
            <w:shd w:val="clear" w:color="auto" w:fill="auto"/>
            <w:noWrap/>
            <w:vAlign w:val="bottom"/>
          </w:tcPr>
          <w:p w:rsidR="009021CC" w:rsidRPr="00CD3A2D" w:rsidRDefault="009021CC" w:rsidP="009021CC">
            <w:pPr>
              <w:jc w:val="right"/>
              <w:rPr>
                <w:rFonts w:ascii="Calibri" w:hAnsi="Calibri"/>
                <w:b/>
                <w:bCs/>
                <w:color w:val="000000"/>
                <w:sz w:val="18"/>
                <w:szCs w:val="18"/>
                <w:lang w:val="hr-HR"/>
              </w:rPr>
            </w:pPr>
          </w:p>
        </w:tc>
        <w:tc>
          <w:tcPr>
            <w:tcW w:w="993" w:type="dxa"/>
            <w:tcBorders>
              <w:top w:val="nil"/>
              <w:left w:val="nil"/>
              <w:bottom w:val="nil"/>
              <w:right w:val="nil"/>
            </w:tcBorders>
            <w:shd w:val="clear" w:color="auto" w:fill="auto"/>
            <w:noWrap/>
            <w:vAlign w:val="bottom"/>
          </w:tcPr>
          <w:p w:rsidR="009021CC" w:rsidRPr="00CD3A2D" w:rsidRDefault="009021CC" w:rsidP="009021CC">
            <w:pPr>
              <w:jc w:val="right"/>
              <w:rPr>
                <w:rFonts w:ascii="Calibri" w:hAnsi="Calibri"/>
                <w:b/>
                <w:bCs/>
                <w:color w:val="000000"/>
                <w:sz w:val="18"/>
                <w:szCs w:val="18"/>
                <w:lang w:val="hr-HR"/>
              </w:rPr>
            </w:pPr>
          </w:p>
        </w:tc>
        <w:tc>
          <w:tcPr>
            <w:tcW w:w="994" w:type="dxa"/>
            <w:tcBorders>
              <w:top w:val="nil"/>
              <w:left w:val="nil"/>
              <w:bottom w:val="nil"/>
              <w:right w:val="nil"/>
            </w:tcBorders>
            <w:shd w:val="clear" w:color="auto" w:fill="auto"/>
            <w:noWrap/>
            <w:vAlign w:val="bottom"/>
          </w:tcPr>
          <w:p w:rsidR="009021CC" w:rsidRPr="00CD3A2D" w:rsidRDefault="009021CC" w:rsidP="009021CC">
            <w:pPr>
              <w:jc w:val="right"/>
              <w:rPr>
                <w:rFonts w:ascii="Calibri" w:hAnsi="Calibri"/>
                <w:b/>
                <w:bCs/>
                <w:color w:val="000000"/>
                <w:sz w:val="18"/>
                <w:szCs w:val="18"/>
                <w:lang w:val="hr-HR"/>
              </w:rPr>
            </w:pPr>
          </w:p>
        </w:tc>
        <w:tc>
          <w:tcPr>
            <w:tcW w:w="993" w:type="dxa"/>
            <w:tcBorders>
              <w:top w:val="nil"/>
              <w:left w:val="nil"/>
              <w:bottom w:val="nil"/>
              <w:right w:val="nil"/>
            </w:tcBorders>
            <w:shd w:val="clear" w:color="auto" w:fill="auto"/>
            <w:noWrap/>
            <w:vAlign w:val="bottom"/>
          </w:tcPr>
          <w:p w:rsidR="009021CC" w:rsidRPr="00CD3A2D" w:rsidRDefault="009021CC" w:rsidP="009021CC">
            <w:pPr>
              <w:jc w:val="right"/>
              <w:rPr>
                <w:rFonts w:ascii="Calibri" w:hAnsi="Calibri"/>
                <w:b/>
                <w:bCs/>
                <w:color w:val="000000"/>
                <w:sz w:val="18"/>
                <w:szCs w:val="18"/>
                <w:lang w:val="hr-HR"/>
              </w:rPr>
            </w:pPr>
          </w:p>
        </w:tc>
        <w:tc>
          <w:tcPr>
            <w:tcW w:w="994" w:type="dxa"/>
            <w:tcBorders>
              <w:top w:val="nil"/>
              <w:left w:val="nil"/>
              <w:bottom w:val="nil"/>
              <w:right w:val="nil"/>
            </w:tcBorders>
            <w:shd w:val="clear" w:color="auto" w:fill="auto"/>
            <w:noWrap/>
            <w:vAlign w:val="bottom"/>
          </w:tcPr>
          <w:p w:rsidR="009021CC" w:rsidRPr="00CD3A2D" w:rsidRDefault="009021CC" w:rsidP="009021CC">
            <w:pPr>
              <w:jc w:val="right"/>
              <w:rPr>
                <w:rFonts w:ascii="Calibri" w:hAnsi="Calibri"/>
                <w:b/>
                <w:bCs/>
                <w:color w:val="000000"/>
                <w:sz w:val="18"/>
                <w:szCs w:val="18"/>
                <w:lang w:val="hr-HR"/>
              </w:rPr>
            </w:pPr>
          </w:p>
        </w:tc>
      </w:tr>
      <w:tr w:rsidR="009021CC" w:rsidRPr="001567C8" w:rsidTr="00B8477D">
        <w:trPr>
          <w:trHeight w:val="270"/>
        </w:trPr>
        <w:tc>
          <w:tcPr>
            <w:tcW w:w="2127" w:type="dxa"/>
            <w:tcBorders>
              <w:top w:val="nil"/>
              <w:left w:val="nil"/>
              <w:bottom w:val="nil"/>
              <w:right w:val="nil"/>
            </w:tcBorders>
            <w:shd w:val="clear" w:color="auto" w:fill="auto"/>
            <w:noWrap/>
            <w:vAlign w:val="bottom"/>
            <w:hideMark/>
          </w:tcPr>
          <w:p w:rsidR="009021CC" w:rsidRPr="00CD3A2D" w:rsidRDefault="009021CC">
            <w:pPr>
              <w:rPr>
                <w:rFonts w:ascii="Calibri" w:hAnsi="Calibri"/>
                <w:color w:val="000000"/>
                <w:sz w:val="18"/>
                <w:szCs w:val="18"/>
                <w:lang w:val="hr-HR"/>
              </w:rPr>
            </w:pPr>
            <w:r w:rsidRPr="00CD3A2D">
              <w:rPr>
                <w:rFonts w:ascii="Calibri" w:hAnsi="Calibri"/>
                <w:color w:val="000000"/>
                <w:sz w:val="18"/>
                <w:szCs w:val="18"/>
                <w:lang w:val="hr-HR"/>
              </w:rPr>
              <w:t>Bruto iznos</w:t>
            </w:r>
          </w:p>
        </w:tc>
        <w:tc>
          <w:tcPr>
            <w:tcW w:w="993" w:type="dxa"/>
            <w:tcBorders>
              <w:top w:val="nil"/>
              <w:left w:val="nil"/>
              <w:bottom w:val="nil"/>
              <w:right w:val="nil"/>
            </w:tcBorders>
            <w:shd w:val="clear" w:color="auto" w:fill="auto"/>
            <w:noWrap/>
            <w:vAlign w:val="bottom"/>
            <w:hideMark/>
          </w:tcPr>
          <w:p w:rsidR="009021CC" w:rsidRPr="00CD3A2D" w:rsidRDefault="009021CC" w:rsidP="00B8477D">
            <w:pPr>
              <w:jc w:val="right"/>
              <w:rPr>
                <w:rFonts w:ascii="Calibri" w:hAnsi="Calibri"/>
                <w:color w:val="000000"/>
                <w:sz w:val="18"/>
                <w:szCs w:val="18"/>
                <w:lang w:val="hr-HR"/>
              </w:rPr>
            </w:pPr>
            <w:r w:rsidRPr="00CD3A2D">
              <w:rPr>
                <w:rFonts w:ascii="Calibri" w:hAnsi="Calibri"/>
                <w:color w:val="000000"/>
                <w:sz w:val="18"/>
                <w:szCs w:val="18"/>
                <w:lang w:val="hr-HR"/>
              </w:rPr>
              <w:t xml:space="preserve">      2.802.</w:t>
            </w:r>
            <w:r w:rsidR="008F7CB8" w:rsidRPr="00CD3A2D">
              <w:rPr>
                <w:rFonts w:ascii="Calibri" w:hAnsi="Calibri"/>
                <w:color w:val="000000"/>
                <w:sz w:val="18"/>
                <w:szCs w:val="18"/>
                <w:lang w:val="hr-HR"/>
              </w:rPr>
              <w:t>223</w:t>
            </w:r>
            <w:r w:rsidRPr="00CD3A2D">
              <w:rPr>
                <w:rFonts w:ascii="Calibri" w:hAnsi="Calibri"/>
                <w:color w:val="000000"/>
                <w:sz w:val="18"/>
                <w:szCs w:val="18"/>
                <w:lang w:val="hr-HR"/>
              </w:rPr>
              <w:t xml:space="preserve"> </w:t>
            </w:r>
          </w:p>
        </w:tc>
        <w:tc>
          <w:tcPr>
            <w:tcW w:w="994" w:type="dxa"/>
            <w:tcBorders>
              <w:top w:val="nil"/>
              <w:left w:val="nil"/>
              <w:bottom w:val="nil"/>
              <w:right w:val="nil"/>
            </w:tcBorders>
            <w:shd w:val="clear" w:color="auto" w:fill="auto"/>
            <w:noWrap/>
            <w:vAlign w:val="bottom"/>
            <w:hideMark/>
          </w:tcPr>
          <w:p w:rsidR="009021CC" w:rsidRPr="00CD3A2D" w:rsidRDefault="009021CC" w:rsidP="00B8477D">
            <w:pPr>
              <w:jc w:val="right"/>
              <w:rPr>
                <w:rFonts w:ascii="Calibri" w:hAnsi="Calibri"/>
                <w:color w:val="000000"/>
                <w:sz w:val="18"/>
                <w:szCs w:val="18"/>
                <w:lang w:val="hr-HR"/>
              </w:rPr>
            </w:pPr>
            <w:r w:rsidRPr="00CD3A2D">
              <w:rPr>
                <w:rFonts w:ascii="Calibri" w:hAnsi="Calibri"/>
                <w:color w:val="000000"/>
                <w:sz w:val="18"/>
                <w:szCs w:val="18"/>
                <w:lang w:val="hr-HR"/>
              </w:rPr>
              <w:t xml:space="preserve">                       </w:t>
            </w:r>
            <w:r w:rsidR="008F7CB8" w:rsidRPr="00CD3A2D">
              <w:rPr>
                <w:rFonts w:ascii="Calibri" w:hAnsi="Calibri"/>
                <w:color w:val="000000"/>
                <w:sz w:val="18"/>
                <w:szCs w:val="18"/>
                <w:lang w:val="hr-HR"/>
              </w:rPr>
              <w:t>770</w:t>
            </w:r>
          </w:p>
        </w:tc>
        <w:tc>
          <w:tcPr>
            <w:tcW w:w="993" w:type="dxa"/>
            <w:tcBorders>
              <w:top w:val="nil"/>
              <w:left w:val="nil"/>
              <w:bottom w:val="nil"/>
              <w:right w:val="nil"/>
            </w:tcBorders>
            <w:shd w:val="clear" w:color="auto" w:fill="auto"/>
            <w:noWrap/>
            <w:vAlign w:val="bottom"/>
            <w:hideMark/>
          </w:tcPr>
          <w:p w:rsidR="009021CC" w:rsidRPr="00CD3A2D" w:rsidRDefault="009021CC" w:rsidP="00B8477D">
            <w:pPr>
              <w:jc w:val="right"/>
              <w:rPr>
                <w:rFonts w:ascii="Calibri" w:hAnsi="Calibri"/>
                <w:color w:val="000000"/>
                <w:sz w:val="18"/>
                <w:szCs w:val="18"/>
                <w:lang w:val="hr-HR"/>
              </w:rPr>
            </w:pPr>
            <w:r w:rsidRPr="00CD3A2D">
              <w:rPr>
                <w:rFonts w:ascii="Calibri" w:hAnsi="Calibri"/>
                <w:color w:val="000000"/>
                <w:sz w:val="18"/>
                <w:szCs w:val="18"/>
                <w:lang w:val="hr-HR"/>
              </w:rPr>
              <w:t xml:space="preserve">                 768 </w:t>
            </w:r>
          </w:p>
        </w:tc>
        <w:tc>
          <w:tcPr>
            <w:tcW w:w="994" w:type="dxa"/>
            <w:tcBorders>
              <w:top w:val="nil"/>
              <w:left w:val="nil"/>
              <w:bottom w:val="nil"/>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2.803.761 </w:t>
            </w:r>
          </w:p>
        </w:tc>
        <w:tc>
          <w:tcPr>
            <w:tcW w:w="993" w:type="dxa"/>
            <w:tcBorders>
              <w:top w:val="nil"/>
              <w:left w:val="nil"/>
              <w:bottom w:val="nil"/>
              <w:right w:val="nil"/>
            </w:tcBorders>
            <w:shd w:val="clear" w:color="auto" w:fill="auto"/>
            <w:noWrap/>
            <w:vAlign w:val="bottom"/>
            <w:hideMark/>
          </w:tcPr>
          <w:p w:rsidR="009021CC" w:rsidRPr="00CD3A2D" w:rsidRDefault="009021CC" w:rsidP="00B8477D">
            <w:pPr>
              <w:jc w:val="right"/>
              <w:rPr>
                <w:rFonts w:ascii="Calibri" w:hAnsi="Calibri"/>
                <w:color w:val="000000"/>
                <w:sz w:val="18"/>
                <w:szCs w:val="18"/>
                <w:lang w:val="hr-HR"/>
              </w:rPr>
            </w:pPr>
            <w:r w:rsidRPr="00CD3A2D">
              <w:rPr>
                <w:rFonts w:ascii="Calibri" w:hAnsi="Calibri"/>
                <w:color w:val="000000"/>
                <w:sz w:val="18"/>
                <w:szCs w:val="18"/>
                <w:lang w:val="hr-HR"/>
              </w:rPr>
              <w:t xml:space="preserve">            2.765.595 </w:t>
            </w:r>
          </w:p>
        </w:tc>
        <w:tc>
          <w:tcPr>
            <w:tcW w:w="994" w:type="dxa"/>
            <w:tcBorders>
              <w:top w:val="nil"/>
              <w:left w:val="nil"/>
              <w:bottom w:val="nil"/>
              <w:right w:val="nil"/>
            </w:tcBorders>
            <w:shd w:val="clear" w:color="auto" w:fill="auto"/>
            <w:noWrap/>
            <w:vAlign w:val="bottom"/>
            <w:hideMark/>
          </w:tcPr>
          <w:p w:rsidR="009021CC" w:rsidRPr="00CD3A2D" w:rsidRDefault="009021CC" w:rsidP="00B8477D">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93" w:type="dxa"/>
            <w:tcBorders>
              <w:top w:val="nil"/>
              <w:left w:val="nil"/>
              <w:bottom w:val="nil"/>
              <w:right w:val="nil"/>
            </w:tcBorders>
            <w:shd w:val="clear" w:color="auto" w:fill="auto"/>
            <w:noWrap/>
            <w:vAlign w:val="bottom"/>
            <w:hideMark/>
          </w:tcPr>
          <w:p w:rsidR="009021CC" w:rsidRPr="00CD3A2D" w:rsidRDefault="009021CC" w:rsidP="00B8477D">
            <w:pPr>
              <w:jc w:val="right"/>
              <w:rPr>
                <w:rFonts w:ascii="Calibri" w:hAnsi="Calibri"/>
                <w:color w:val="000000"/>
                <w:sz w:val="18"/>
                <w:szCs w:val="18"/>
                <w:lang w:val="hr-HR"/>
              </w:rPr>
            </w:pPr>
            <w:r w:rsidRPr="00CD3A2D">
              <w:rPr>
                <w:rFonts w:ascii="Calibri" w:hAnsi="Calibri"/>
                <w:color w:val="000000"/>
                <w:sz w:val="18"/>
                <w:szCs w:val="18"/>
                <w:lang w:val="hr-HR"/>
              </w:rPr>
              <w:t xml:space="preserve">                       768 </w:t>
            </w:r>
          </w:p>
        </w:tc>
        <w:tc>
          <w:tcPr>
            <w:tcW w:w="994" w:type="dxa"/>
            <w:tcBorders>
              <w:top w:val="nil"/>
              <w:left w:val="nil"/>
              <w:bottom w:val="nil"/>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2.766.363 </w:t>
            </w:r>
          </w:p>
        </w:tc>
      </w:tr>
      <w:tr w:rsidR="009021CC" w:rsidRPr="001567C8" w:rsidTr="00B8477D">
        <w:trPr>
          <w:trHeight w:val="285"/>
        </w:trPr>
        <w:tc>
          <w:tcPr>
            <w:tcW w:w="2127" w:type="dxa"/>
            <w:tcBorders>
              <w:top w:val="nil"/>
              <w:left w:val="nil"/>
              <w:bottom w:val="nil"/>
              <w:right w:val="nil"/>
            </w:tcBorders>
            <w:shd w:val="clear" w:color="auto" w:fill="auto"/>
            <w:noWrap/>
            <w:vAlign w:val="bottom"/>
            <w:hideMark/>
          </w:tcPr>
          <w:p w:rsidR="009021CC" w:rsidRPr="00CD3A2D" w:rsidRDefault="009021CC">
            <w:pPr>
              <w:rPr>
                <w:rFonts w:ascii="Calibri" w:hAnsi="Calibri"/>
                <w:b/>
                <w:bCs/>
                <w:color w:val="000000"/>
                <w:sz w:val="18"/>
                <w:szCs w:val="18"/>
                <w:lang w:val="hr-HR"/>
              </w:rPr>
            </w:pPr>
            <w:r w:rsidRPr="00CD3A2D">
              <w:rPr>
                <w:rFonts w:ascii="Calibri" w:hAnsi="Calibri"/>
                <w:b/>
                <w:bCs/>
                <w:color w:val="000000"/>
                <w:sz w:val="18"/>
                <w:szCs w:val="18"/>
                <w:lang w:val="hr-HR"/>
              </w:rPr>
              <w:t xml:space="preserve">Stanje na dan </w:t>
            </w:r>
          </w:p>
          <w:p w:rsidR="009021CC" w:rsidRPr="00CD3A2D" w:rsidRDefault="009021CC">
            <w:pPr>
              <w:rPr>
                <w:rFonts w:ascii="Calibri" w:hAnsi="Calibri"/>
                <w:b/>
                <w:bCs/>
                <w:color w:val="000000"/>
                <w:sz w:val="18"/>
                <w:szCs w:val="18"/>
                <w:lang w:val="hr-HR"/>
              </w:rPr>
            </w:pPr>
            <w:r w:rsidRPr="00CD3A2D">
              <w:rPr>
                <w:rFonts w:ascii="Calibri" w:hAnsi="Calibri"/>
                <w:b/>
                <w:bCs/>
                <w:color w:val="000000"/>
                <w:sz w:val="18"/>
                <w:szCs w:val="18"/>
                <w:lang w:val="hr-HR"/>
              </w:rPr>
              <w:t>31. prosinca 2018. godine</w:t>
            </w:r>
          </w:p>
        </w:tc>
        <w:tc>
          <w:tcPr>
            <w:tcW w:w="993" w:type="dxa"/>
            <w:tcBorders>
              <w:top w:val="single" w:sz="4" w:space="0" w:color="auto"/>
              <w:left w:val="nil"/>
              <w:bottom w:val="single" w:sz="12" w:space="0" w:color="auto"/>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2.802.</w:t>
            </w:r>
            <w:r w:rsidR="008F7CB8" w:rsidRPr="00CD3A2D">
              <w:rPr>
                <w:rFonts w:ascii="Calibri" w:hAnsi="Calibri"/>
                <w:b/>
                <w:bCs/>
                <w:color w:val="000000"/>
                <w:sz w:val="18"/>
                <w:szCs w:val="18"/>
                <w:lang w:val="hr-HR"/>
              </w:rPr>
              <w:t>223</w:t>
            </w:r>
            <w:r w:rsidRPr="00CD3A2D">
              <w:rPr>
                <w:rFonts w:ascii="Calibri" w:hAnsi="Calibri"/>
                <w:b/>
                <w:bCs/>
                <w:color w:val="000000"/>
                <w:sz w:val="18"/>
                <w:szCs w:val="18"/>
                <w:lang w:val="hr-HR"/>
              </w:rPr>
              <w:t xml:space="preserve"> </w:t>
            </w:r>
          </w:p>
        </w:tc>
        <w:tc>
          <w:tcPr>
            <w:tcW w:w="994" w:type="dxa"/>
            <w:tcBorders>
              <w:top w:val="single" w:sz="4" w:space="0" w:color="auto"/>
              <w:left w:val="nil"/>
              <w:bottom w:val="single" w:sz="12" w:space="0" w:color="auto"/>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w:t>
            </w:r>
            <w:r w:rsidR="008F7CB8" w:rsidRPr="00CD3A2D">
              <w:rPr>
                <w:rFonts w:ascii="Calibri" w:hAnsi="Calibri"/>
                <w:b/>
                <w:bCs/>
                <w:color w:val="000000"/>
                <w:sz w:val="18"/>
                <w:szCs w:val="18"/>
                <w:lang w:val="hr-HR"/>
              </w:rPr>
              <w:t>770</w:t>
            </w:r>
            <w:r w:rsidRPr="00CD3A2D">
              <w:rPr>
                <w:rFonts w:ascii="Calibri" w:hAnsi="Calibri"/>
                <w:b/>
                <w:bCs/>
                <w:color w:val="000000"/>
                <w:sz w:val="18"/>
                <w:szCs w:val="18"/>
                <w:lang w:val="hr-HR"/>
              </w:rPr>
              <w:t xml:space="preserve"> </w:t>
            </w:r>
          </w:p>
        </w:tc>
        <w:tc>
          <w:tcPr>
            <w:tcW w:w="993" w:type="dxa"/>
            <w:tcBorders>
              <w:top w:val="single" w:sz="4" w:space="0" w:color="auto"/>
              <w:left w:val="nil"/>
              <w:bottom w:val="single" w:sz="12" w:space="0" w:color="auto"/>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768 </w:t>
            </w:r>
          </w:p>
        </w:tc>
        <w:tc>
          <w:tcPr>
            <w:tcW w:w="994" w:type="dxa"/>
            <w:tcBorders>
              <w:top w:val="single" w:sz="4" w:space="0" w:color="auto"/>
              <w:left w:val="nil"/>
              <w:bottom w:val="single" w:sz="12" w:space="0" w:color="auto"/>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2.803.761 </w:t>
            </w:r>
          </w:p>
        </w:tc>
        <w:tc>
          <w:tcPr>
            <w:tcW w:w="993" w:type="dxa"/>
            <w:tcBorders>
              <w:top w:val="single" w:sz="4" w:space="0" w:color="auto"/>
              <w:left w:val="nil"/>
              <w:bottom w:val="single" w:sz="12" w:space="0" w:color="auto"/>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2.765.595 </w:t>
            </w:r>
          </w:p>
        </w:tc>
        <w:tc>
          <w:tcPr>
            <w:tcW w:w="994" w:type="dxa"/>
            <w:tcBorders>
              <w:top w:val="single" w:sz="4" w:space="0" w:color="auto"/>
              <w:left w:val="nil"/>
              <w:bottom w:val="single" w:sz="12" w:space="0" w:color="auto"/>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 </w:t>
            </w:r>
          </w:p>
        </w:tc>
        <w:tc>
          <w:tcPr>
            <w:tcW w:w="993" w:type="dxa"/>
            <w:tcBorders>
              <w:top w:val="single" w:sz="4" w:space="0" w:color="auto"/>
              <w:left w:val="nil"/>
              <w:bottom w:val="single" w:sz="12" w:space="0" w:color="auto"/>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768 </w:t>
            </w:r>
          </w:p>
        </w:tc>
        <w:tc>
          <w:tcPr>
            <w:tcW w:w="994" w:type="dxa"/>
            <w:tcBorders>
              <w:top w:val="single" w:sz="4" w:space="0" w:color="auto"/>
              <w:left w:val="nil"/>
              <w:bottom w:val="single" w:sz="12" w:space="0" w:color="auto"/>
              <w:right w:val="nil"/>
            </w:tcBorders>
            <w:shd w:val="clear" w:color="auto" w:fill="auto"/>
            <w:noWrap/>
            <w:vAlign w:val="bottom"/>
            <w:hideMark/>
          </w:tcPr>
          <w:p w:rsidR="009021CC" w:rsidRPr="00CD3A2D" w:rsidRDefault="009021CC" w:rsidP="00B8477D">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2.766.363 </w:t>
            </w:r>
          </w:p>
        </w:tc>
      </w:tr>
    </w:tbl>
    <w:p w:rsidR="00714EAD" w:rsidRPr="001567C8" w:rsidRDefault="00714EAD" w:rsidP="00C4703D">
      <w:pPr>
        <w:pStyle w:val="T1"/>
        <w:spacing w:after="0" w:line="300" w:lineRule="exact"/>
        <w:rPr>
          <w:rFonts w:ascii="Calibri" w:eastAsia="Calibri" w:hAnsi="Calibri" w:cs="Arial"/>
          <w:b w:val="0"/>
          <w:sz w:val="22"/>
          <w:szCs w:val="22"/>
          <w:lang w:val="hr-HR"/>
        </w:rPr>
        <w:sectPr w:rsidR="00714EAD" w:rsidRPr="001567C8" w:rsidSect="003E2D7A">
          <w:pgSz w:w="11907" w:h="16840" w:code="9"/>
          <w:pgMar w:top="1418" w:right="1134" w:bottom="1134" w:left="1418" w:header="851" w:footer="851" w:gutter="0"/>
          <w:cols w:space="720"/>
          <w:noEndnote/>
        </w:sectPr>
      </w:pPr>
    </w:p>
    <w:p w:rsidR="00714EAD" w:rsidRPr="001567C8" w:rsidRDefault="00714EAD" w:rsidP="00C4703D">
      <w:pPr>
        <w:pStyle w:val="T1"/>
        <w:spacing w:after="0" w:line="300" w:lineRule="exact"/>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8</w:t>
      </w:r>
      <w:r w:rsidRPr="001567C8">
        <w:rPr>
          <w:rFonts w:asciiTheme="minorHAnsi" w:hAnsiTheme="minorHAnsi" w:cs="Arial"/>
          <w:sz w:val="22"/>
          <w:szCs w:val="22"/>
          <w:lang w:val="hr-HR"/>
        </w:rPr>
        <w:t>.</w:t>
      </w:r>
      <w:r w:rsidR="00451DC2" w:rsidRPr="001567C8">
        <w:rPr>
          <w:rFonts w:asciiTheme="minorHAnsi" w:hAnsiTheme="minorHAnsi" w:cs="Arial"/>
          <w:sz w:val="22"/>
          <w:szCs w:val="22"/>
          <w:lang w:val="hr-HR"/>
        </w:rPr>
        <w:tab/>
      </w:r>
      <w:r w:rsidRPr="001567C8">
        <w:rPr>
          <w:rFonts w:asciiTheme="minorHAnsi" w:hAnsiTheme="minorHAnsi" w:cs="Arial"/>
          <w:sz w:val="22"/>
          <w:szCs w:val="22"/>
          <w:lang w:val="hr-HR"/>
        </w:rPr>
        <w:t>Financijska imovina po fer vrijednosti kroz ostalu sveobuhvatnu dobit</w:t>
      </w:r>
      <w:r w:rsidR="00451DC2"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(nastavak)</w:t>
      </w:r>
    </w:p>
    <w:p w:rsidR="005C1100" w:rsidRPr="001567C8" w:rsidRDefault="005C1100" w:rsidP="003C6BA3">
      <w:pPr>
        <w:pStyle w:val="T1"/>
        <w:spacing w:before="0" w:after="0" w:line="240" w:lineRule="auto"/>
        <w:rPr>
          <w:rFonts w:asciiTheme="minorHAnsi" w:hAnsiTheme="minorHAnsi" w:cs="Arial"/>
          <w:sz w:val="22"/>
          <w:szCs w:val="22"/>
          <w:lang w:val="hr-HR"/>
        </w:rPr>
      </w:pPr>
    </w:p>
    <w:p w:rsidR="009021CC" w:rsidRPr="001567C8" w:rsidRDefault="00714EAD" w:rsidP="003C6BA3">
      <w:pPr>
        <w:pStyle w:val="T1"/>
        <w:spacing w:before="0" w:after="0" w:line="240" w:lineRule="auto"/>
        <w:rPr>
          <w:rFonts w:ascii="Calibri" w:eastAsia="Calibri" w:hAnsi="Calibri" w:cs="Arial"/>
          <w:b w:val="0"/>
          <w:sz w:val="22"/>
          <w:szCs w:val="22"/>
          <w:lang w:val="hr-HR"/>
        </w:rPr>
      </w:pPr>
      <w:r w:rsidRPr="001567C8">
        <w:rPr>
          <w:rFonts w:ascii="Calibri" w:eastAsia="Calibri" w:hAnsi="Calibri" w:cs="Arial"/>
          <w:b w:val="0"/>
          <w:sz w:val="22"/>
          <w:szCs w:val="22"/>
          <w:lang w:val="hr-HR"/>
        </w:rPr>
        <w:t>Promjene na rezerviranjima za kreditne gubitke po financijskoj imovini po fer vrijednosti kroz ostalu sveobuhvatnu dobit, a koji ne umanjuju knjigovodstvenu vrijednost imovine, mogu se prikazati kako slijedi:</w:t>
      </w:r>
    </w:p>
    <w:p w:rsidR="00714EAD" w:rsidRPr="001567C8" w:rsidRDefault="00714EAD">
      <w:pPr>
        <w:pStyle w:val="T1"/>
        <w:spacing w:before="0" w:after="0" w:line="240" w:lineRule="auto"/>
        <w:rPr>
          <w:rFonts w:asciiTheme="minorHAnsi" w:hAnsiTheme="minorHAnsi" w:cs="Arial"/>
          <w:sz w:val="22"/>
          <w:szCs w:val="22"/>
          <w:lang w:val="hr-HR"/>
        </w:rPr>
      </w:pPr>
    </w:p>
    <w:tbl>
      <w:tblPr>
        <w:tblW w:w="10014" w:type="dxa"/>
        <w:tblInd w:w="-426" w:type="dxa"/>
        <w:tblLook w:val="04A0" w:firstRow="1" w:lastRow="0" w:firstColumn="1" w:lastColumn="0" w:noHBand="0" w:noVBand="1"/>
      </w:tblPr>
      <w:tblGrid>
        <w:gridCol w:w="4395"/>
        <w:gridCol w:w="1404"/>
        <w:gridCol w:w="1405"/>
        <w:gridCol w:w="1405"/>
        <w:gridCol w:w="1405"/>
      </w:tblGrid>
      <w:tr w:rsidR="00714EAD" w:rsidRPr="001567C8" w:rsidTr="003C6BA3">
        <w:trPr>
          <w:trHeight w:val="360"/>
        </w:trPr>
        <w:tc>
          <w:tcPr>
            <w:tcW w:w="4395" w:type="dxa"/>
            <w:tcBorders>
              <w:top w:val="nil"/>
              <w:left w:val="nil"/>
              <w:bottom w:val="nil"/>
              <w:right w:val="nil"/>
            </w:tcBorders>
            <w:shd w:val="clear" w:color="auto" w:fill="auto"/>
            <w:vAlign w:val="center"/>
            <w:hideMark/>
          </w:tcPr>
          <w:p w:rsidR="00714EAD" w:rsidRPr="00CD3A2D" w:rsidRDefault="00714EAD">
            <w:pPr>
              <w:rPr>
                <w:sz w:val="22"/>
                <w:szCs w:val="22"/>
                <w:lang w:val="hr-HR"/>
              </w:rPr>
            </w:pPr>
          </w:p>
        </w:tc>
        <w:tc>
          <w:tcPr>
            <w:tcW w:w="2809" w:type="dxa"/>
            <w:gridSpan w:val="2"/>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Grupa</w:t>
            </w:r>
          </w:p>
        </w:tc>
        <w:tc>
          <w:tcPr>
            <w:tcW w:w="2810" w:type="dxa"/>
            <w:gridSpan w:val="2"/>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Banka</w:t>
            </w:r>
          </w:p>
        </w:tc>
      </w:tr>
      <w:tr w:rsidR="00714EAD" w:rsidRPr="001567C8" w:rsidTr="003C6BA3">
        <w:trPr>
          <w:trHeight w:val="360"/>
        </w:trPr>
        <w:tc>
          <w:tcPr>
            <w:tcW w:w="4395"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p>
        </w:tc>
        <w:tc>
          <w:tcPr>
            <w:tcW w:w="1404"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2018.</w:t>
            </w:r>
          </w:p>
        </w:tc>
        <w:tc>
          <w:tcPr>
            <w:tcW w:w="1405"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2017.</w:t>
            </w:r>
          </w:p>
        </w:tc>
        <w:tc>
          <w:tcPr>
            <w:tcW w:w="1405"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2018.</w:t>
            </w:r>
          </w:p>
        </w:tc>
        <w:tc>
          <w:tcPr>
            <w:tcW w:w="1405"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2017.</w:t>
            </w:r>
          </w:p>
        </w:tc>
      </w:tr>
      <w:tr w:rsidR="00714EAD" w:rsidRPr="001567C8" w:rsidTr="003C6BA3">
        <w:trPr>
          <w:trHeight w:val="360"/>
        </w:trPr>
        <w:tc>
          <w:tcPr>
            <w:tcW w:w="4395"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p>
        </w:tc>
        <w:tc>
          <w:tcPr>
            <w:tcW w:w="1404"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000 kuna</w:t>
            </w:r>
          </w:p>
        </w:tc>
        <w:tc>
          <w:tcPr>
            <w:tcW w:w="1405"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000 kuna</w:t>
            </w:r>
          </w:p>
        </w:tc>
        <w:tc>
          <w:tcPr>
            <w:tcW w:w="1405"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000 kuna</w:t>
            </w:r>
          </w:p>
        </w:tc>
        <w:tc>
          <w:tcPr>
            <w:tcW w:w="1405"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r w:rsidRPr="00CD3A2D">
              <w:rPr>
                <w:rFonts w:ascii="Calibri" w:hAnsi="Calibri"/>
                <w:b/>
                <w:bCs/>
                <w:color w:val="000000"/>
                <w:sz w:val="22"/>
                <w:szCs w:val="22"/>
                <w:lang w:val="hr-HR"/>
              </w:rPr>
              <w:t>000 kuna</w:t>
            </w:r>
          </w:p>
        </w:tc>
      </w:tr>
      <w:tr w:rsidR="00714EAD" w:rsidRPr="001567C8" w:rsidTr="003C6BA3">
        <w:trPr>
          <w:trHeight w:val="360"/>
        </w:trPr>
        <w:tc>
          <w:tcPr>
            <w:tcW w:w="4395" w:type="dxa"/>
            <w:tcBorders>
              <w:top w:val="nil"/>
              <w:left w:val="nil"/>
              <w:bottom w:val="nil"/>
              <w:right w:val="nil"/>
            </w:tcBorders>
            <w:shd w:val="clear" w:color="auto" w:fill="auto"/>
            <w:vAlign w:val="center"/>
            <w:hideMark/>
          </w:tcPr>
          <w:p w:rsidR="00714EAD" w:rsidRPr="00CD3A2D" w:rsidRDefault="00714EAD">
            <w:pPr>
              <w:jc w:val="right"/>
              <w:rPr>
                <w:rFonts w:ascii="Calibri" w:hAnsi="Calibri"/>
                <w:b/>
                <w:bCs/>
                <w:color w:val="000000"/>
                <w:sz w:val="22"/>
                <w:szCs w:val="22"/>
                <w:lang w:val="hr-HR"/>
              </w:rPr>
            </w:pPr>
          </w:p>
        </w:tc>
        <w:tc>
          <w:tcPr>
            <w:tcW w:w="1404" w:type="dxa"/>
            <w:tcBorders>
              <w:top w:val="nil"/>
              <w:left w:val="nil"/>
              <w:bottom w:val="nil"/>
              <w:right w:val="nil"/>
            </w:tcBorders>
            <w:shd w:val="clear" w:color="auto" w:fill="auto"/>
            <w:vAlign w:val="center"/>
            <w:hideMark/>
          </w:tcPr>
          <w:p w:rsidR="00714EAD" w:rsidRPr="00CD3A2D" w:rsidRDefault="00714EAD">
            <w:pPr>
              <w:rPr>
                <w:sz w:val="22"/>
                <w:szCs w:val="22"/>
                <w:lang w:val="hr-HR"/>
              </w:rPr>
            </w:pPr>
          </w:p>
        </w:tc>
        <w:tc>
          <w:tcPr>
            <w:tcW w:w="1405" w:type="dxa"/>
            <w:tcBorders>
              <w:top w:val="nil"/>
              <w:left w:val="nil"/>
              <w:bottom w:val="nil"/>
              <w:right w:val="nil"/>
            </w:tcBorders>
            <w:shd w:val="clear" w:color="auto" w:fill="auto"/>
            <w:vAlign w:val="center"/>
            <w:hideMark/>
          </w:tcPr>
          <w:p w:rsidR="00714EAD" w:rsidRPr="00CD3A2D" w:rsidRDefault="00714EAD">
            <w:pPr>
              <w:jc w:val="right"/>
              <w:rPr>
                <w:sz w:val="22"/>
                <w:szCs w:val="22"/>
                <w:lang w:val="hr-HR"/>
              </w:rPr>
            </w:pPr>
          </w:p>
        </w:tc>
        <w:tc>
          <w:tcPr>
            <w:tcW w:w="1405" w:type="dxa"/>
            <w:tcBorders>
              <w:top w:val="nil"/>
              <w:left w:val="nil"/>
              <w:bottom w:val="nil"/>
              <w:right w:val="nil"/>
            </w:tcBorders>
            <w:shd w:val="clear" w:color="auto" w:fill="auto"/>
            <w:vAlign w:val="center"/>
            <w:hideMark/>
          </w:tcPr>
          <w:p w:rsidR="00714EAD" w:rsidRPr="00CD3A2D" w:rsidRDefault="00714EAD">
            <w:pPr>
              <w:jc w:val="right"/>
              <w:rPr>
                <w:sz w:val="22"/>
                <w:szCs w:val="22"/>
                <w:lang w:val="hr-HR"/>
              </w:rPr>
            </w:pPr>
          </w:p>
        </w:tc>
        <w:tc>
          <w:tcPr>
            <w:tcW w:w="1405" w:type="dxa"/>
            <w:tcBorders>
              <w:top w:val="nil"/>
              <w:left w:val="nil"/>
              <w:bottom w:val="nil"/>
              <w:right w:val="nil"/>
            </w:tcBorders>
            <w:shd w:val="clear" w:color="auto" w:fill="auto"/>
            <w:vAlign w:val="center"/>
            <w:hideMark/>
          </w:tcPr>
          <w:p w:rsidR="00714EAD" w:rsidRPr="00CD3A2D" w:rsidRDefault="00714EAD">
            <w:pPr>
              <w:jc w:val="right"/>
              <w:rPr>
                <w:sz w:val="22"/>
                <w:szCs w:val="22"/>
                <w:lang w:val="hr-HR"/>
              </w:rPr>
            </w:pPr>
          </w:p>
        </w:tc>
      </w:tr>
      <w:tr w:rsidR="00714EAD" w:rsidRPr="001567C8" w:rsidTr="003C6BA3">
        <w:trPr>
          <w:trHeight w:val="380"/>
        </w:trPr>
        <w:tc>
          <w:tcPr>
            <w:tcW w:w="4395" w:type="dxa"/>
            <w:tcBorders>
              <w:top w:val="nil"/>
              <w:left w:val="nil"/>
              <w:bottom w:val="nil"/>
              <w:right w:val="nil"/>
            </w:tcBorders>
            <w:shd w:val="clear" w:color="auto" w:fill="auto"/>
            <w:vAlign w:val="center"/>
            <w:hideMark/>
          </w:tcPr>
          <w:p w:rsidR="00714EAD" w:rsidRPr="00CD3A2D" w:rsidRDefault="00714EAD" w:rsidP="0016598F">
            <w:pPr>
              <w:rPr>
                <w:rFonts w:ascii="Calibri" w:hAnsi="Calibri"/>
                <w:color w:val="000000"/>
                <w:sz w:val="22"/>
                <w:szCs w:val="22"/>
                <w:lang w:val="hr-HR"/>
              </w:rPr>
            </w:pPr>
            <w:r w:rsidRPr="00CD3A2D">
              <w:rPr>
                <w:rFonts w:ascii="Calibri" w:hAnsi="Calibri"/>
                <w:color w:val="000000"/>
                <w:sz w:val="22"/>
                <w:szCs w:val="22"/>
                <w:lang w:val="hr-HR"/>
              </w:rPr>
              <w:t>Stanje 1. siječnja 2018. godine – učinak MSFI 9</w:t>
            </w:r>
            <w:r w:rsidR="0017671F">
              <w:rPr>
                <w:rFonts w:ascii="Calibri" w:hAnsi="Calibri"/>
                <w:color w:val="000000"/>
                <w:sz w:val="22"/>
                <w:szCs w:val="22"/>
                <w:lang w:val="hr-HR"/>
              </w:rPr>
              <w:t xml:space="preserve"> (bilješka 5)</w:t>
            </w:r>
          </w:p>
        </w:tc>
        <w:tc>
          <w:tcPr>
            <w:tcW w:w="1404"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4.288 </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3.997 </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r>
      <w:tr w:rsidR="00714EAD" w:rsidRPr="001567C8" w:rsidTr="003C6BA3">
        <w:trPr>
          <w:trHeight w:val="380"/>
        </w:trPr>
        <w:tc>
          <w:tcPr>
            <w:tcW w:w="4395" w:type="dxa"/>
            <w:tcBorders>
              <w:top w:val="nil"/>
              <w:left w:val="nil"/>
              <w:bottom w:val="nil"/>
              <w:right w:val="nil"/>
            </w:tcBorders>
            <w:shd w:val="clear" w:color="auto" w:fill="auto"/>
            <w:vAlign w:val="center"/>
            <w:hideMark/>
          </w:tcPr>
          <w:p w:rsidR="00714EAD" w:rsidRPr="00CD3A2D" w:rsidRDefault="00714EAD" w:rsidP="0016598F">
            <w:pPr>
              <w:rPr>
                <w:rFonts w:ascii="Calibri" w:hAnsi="Calibri"/>
                <w:color w:val="000000"/>
                <w:sz w:val="22"/>
                <w:szCs w:val="22"/>
                <w:lang w:val="hr-HR"/>
              </w:rPr>
            </w:pPr>
            <w:r w:rsidRPr="00CD3A2D">
              <w:rPr>
                <w:rFonts w:ascii="Calibri" w:hAnsi="Calibri"/>
                <w:color w:val="000000"/>
                <w:sz w:val="22"/>
                <w:szCs w:val="22"/>
                <w:lang w:val="hr-HR"/>
              </w:rPr>
              <w:t xml:space="preserve">Povećanje rezerviranja za </w:t>
            </w:r>
            <w:r w:rsidR="009C322E" w:rsidRPr="00CD3A2D">
              <w:rPr>
                <w:rFonts w:ascii="Calibri" w:hAnsi="Calibri"/>
                <w:color w:val="000000"/>
                <w:sz w:val="22"/>
                <w:szCs w:val="22"/>
                <w:lang w:val="hr-HR"/>
              </w:rPr>
              <w:t>očekivane</w:t>
            </w:r>
            <w:r w:rsidRPr="00CD3A2D">
              <w:rPr>
                <w:rFonts w:ascii="Calibri" w:hAnsi="Calibri"/>
                <w:color w:val="000000"/>
                <w:sz w:val="22"/>
                <w:szCs w:val="22"/>
                <w:lang w:val="hr-HR"/>
              </w:rPr>
              <w:t xml:space="preserve"> gubitke </w:t>
            </w:r>
          </w:p>
        </w:tc>
        <w:tc>
          <w:tcPr>
            <w:tcW w:w="1404"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5.325 </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5.325 </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r>
      <w:tr w:rsidR="00714EAD" w:rsidRPr="001567C8" w:rsidTr="003C6BA3">
        <w:trPr>
          <w:trHeight w:val="380"/>
        </w:trPr>
        <w:tc>
          <w:tcPr>
            <w:tcW w:w="4395" w:type="dxa"/>
            <w:tcBorders>
              <w:top w:val="nil"/>
              <w:left w:val="nil"/>
              <w:bottom w:val="nil"/>
              <w:right w:val="nil"/>
            </w:tcBorders>
            <w:shd w:val="clear" w:color="auto" w:fill="auto"/>
            <w:vAlign w:val="center"/>
            <w:hideMark/>
          </w:tcPr>
          <w:p w:rsidR="00714EAD" w:rsidRPr="00CD3A2D" w:rsidRDefault="00714EAD" w:rsidP="0016598F">
            <w:pPr>
              <w:rPr>
                <w:rFonts w:ascii="Calibri" w:hAnsi="Calibri"/>
                <w:color w:val="000000"/>
                <w:sz w:val="22"/>
                <w:szCs w:val="22"/>
                <w:lang w:val="hr-HR"/>
              </w:rPr>
            </w:pPr>
            <w:r w:rsidRPr="00CD3A2D">
              <w:rPr>
                <w:rFonts w:ascii="Calibri" w:hAnsi="Calibri"/>
                <w:color w:val="000000"/>
                <w:sz w:val="22"/>
                <w:szCs w:val="22"/>
                <w:lang w:val="hr-HR"/>
              </w:rPr>
              <w:t xml:space="preserve">Smanjenje rezerviranja za </w:t>
            </w:r>
            <w:r w:rsidR="009C322E" w:rsidRPr="00CD3A2D">
              <w:rPr>
                <w:rFonts w:ascii="Calibri" w:hAnsi="Calibri"/>
                <w:color w:val="000000"/>
                <w:sz w:val="22"/>
                <w:szCs w:val="22"/>
                <w:lang w:val="hr-HR"/>
              </w:rPr>
              <w:t>očekivane</w:t>
            </w:r>
            <w:r w:rsidRPr="00CD3A2D">
              <w:rPr>
                <w:rFonts w:ascii="Calibri" w:hAnsi="Calibri"/>
                <w:color w:val="000000"/>
                <w:sz w:val="22"/>
                <w:szCs w:val="22"/>
                <w:lang w:val="hr-HR"/>
              </w:rPr>
              <w:t xml:space="preserve"> gubitke</w:t>
            </w:r>
          </w:p>
        </w:tc>
        <w:tc>
          <w:tcPr>
            <w:tcW w:w="1404"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(2.848)</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(2.844)</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r>
      <w:tr w:rsidR="00714EAD" w:rsidRPr="001567C8" w:rsidTr="003C6BA3">
        <w:trPr>
          <w:trHeight w:val="380"/>
        </w:trPr>
        <w:tc>
          <w:tcPr>
            <w:tcW w:w="4395" w:type="dxa"/>
            <w:tcBorders>
              <w:top w:val="nil"/>
              <w:left w:val="nil"/>
              <w:bottom w:val="nil"/>
              <w:right w:val="nil"/>
            </w:tcBorders>
            <w:shd w:val="clear" w:color="auto" w:fill="auto"/>
            <w:vAlign w:val="center"/>
            <w:hideMark/>
          </w:tcPr>
          <w:p w:rsidR="00714EAD" w:rsidRPr="00CD3A2D" w:rsidRDefault="00714EAD" w:rsidP="0016598F">
            <w:pPr>
              <w:rPr>
                <w:rFonts w:ascii="Calibri" w:hAnsi="Calibri"/>
                <w:i/>
                <w:iCs/>
                <w:color w:val="000000"/>
                <w:sz w:val="22"/>
                <w:szCs w:val="22"/>
                <w:lang w:val="hr-HR"/>
              </w:rPr>
            </w:pPr>
            <w:r w:rsidRPr="00CD3A2D">
              <w:rPr>
                <w:rFonts w:ascii="Calibri" w:hAnsi="Calibri"/>
                <w:i/>
                <w:iCs/>
                <w:color w:val="000000"/>
                <w:sz w:val="22"/>
                <w:szCs w:val="22"/>
                <w:lang w:val="hr-HR"/>
              </w:rPr>
              <w:t>Ukupno kroz dobit i</w:t>
            </w:r>
            <w:r w:rsidR="00316574" w:rsidRPr="00CD3A2D">
              <w:rPr>
                <w:rFonts w:ascii="Calibri" w:hAnsi="Calibri"/>
                <w:i/>
                <w:iCs/>
                <w:color w:val="000000"/>
                <w:sz w:val="22"/>
                <w:szCs w:val="22"/>
                <w:lang w:val="hr-HR"/>
              </w:rPr>
              <w:t>li</w:t>
            </w:r>
            <w:r w:rsidRPr="00CD3A2D">
              <w:rPr>
                <w:rFonts w:ascii="Calibri" w:hAnsi="Calibri"/>
                <w:i/>
                <w:iCs/>
                <w:color w:val="000000"/>
                <w:sz w:val="22"/>
                <w:szCs w:val="22"/>
                <w:lang w:val="hr-HR"/>
              </w:rPr>
              <w:t xml:space="preserve"> gubit</w:t>
            </w:r>
            <w:r w:rsidR="00316574" w:rsidRPr="00CD3A2D">
              <w:rPr>
                <w:rFonts w:ascii="Calibri" w:hAnsi="Calibri"/>
                <w:i/>
                <w:iCs/>
                <w:color w:val="000000"/>
                <w:sz w:val="22"/>
                <w:szCs w:val="22"/>
                <w:lang w:val="hr-HR"/>
              </w:rPr>
              <w:t>ak</w:t>
            </w:r>
            <w:r w:rsidR="00451DC2" w:rsidRPr="00CD3A2D">
              <w:rPr>
                <w:rFonts w:ascii="Calibri" w:hAnsi="Calibri"/>
                <w:i/>
                <w:iCs/>
                <w:color w:val="000000"/>
                <w:sz w:val="22"/>
                <w:szCs w:val="22"/>
                <w:lang w:val="hr-HR"/>
              </w:rPr>
              <w:t xml:space="preserve"> (</w:t>
            </w:r>
            <w:r w:rsidR="005A7D2E" w:rsidRPr="00CD3A2D">
              <w:rPr>
                <w:rFonts w:ascii="Calibri" w:hAnsi="Calibri"/>
                <w:i/>
                <w:iCs/>
                <w:color w:val="000000"/>
                <w:sz w:val="22"/>
                <w:szCs w:val="22"/>
                <w:lang w:val="hr-HR"/>
              </w:rPr>
              <w:t>b</w:t>
            </w:r>
            <w:r w:rsidR="00451DC2" w:rsidRPr="00CD3A2D">
              <w:rPr>
                <w:rFonts w:ascii="Calibri" w:hAnsi="Calibri"/>
                <w:i/>
                <w:iCs/>
                <w:color w:val="000000"/>
                <w:sz w:val="22"/>
                <w:szCs w:val="22"/>
                <w:lang w:val="hr-HR"/>
              </w:rPr>
              <w:t>ilješka 11)</w:t>
            </w:r>
          </w:p>
        </w:tc>
        <w:tc>
          <w:tcPr>
            <w:tcW w:w="1404" w:type="dxa"/>
            <w:tcBorders>
              <w:top w:val="single" w:sz="4" w:space="0" w:color="auto"/>
              <w:left w:val="nil"/>
              <w:bottom w:val="single" w:sz="4" w:space="0" w:color="auto"/>
              <w:right w:val="nil"/>
            </w:tcBorders>
            <w:shd w:val="clear" w:color="auto" w:fill="auto"/>
            <w:vAlign w:val="center"/>
            <w:hideMark/>
          </w:tcPr>
          <w:p w:rsidR="00714EAD" w:rsidRPr="00CD3A2D" w:rsidRDefault="00714EAD" w:rsidP="0016598F">
            <w:pPr>
              <w:jc w:val="right"/>
              <w:rPr>
                <w:rFonts w:ascii="Calibri" w:hAnsi="Calibri"/>
                <w:i/>
                <w:iCs/>
                <w:color w:val="000000"/>
                <w:sz w:val="22"/>
                <w:szCs w:val="22"/>
                <w:lang w:val="hr-HR"/>
              </w:rPr>
            </w:pPr>
            <w:r w:rsidRPr="00CD3A2D">
              <w:rPr>
                <w:rFonts w:ascii="Calibri" w:hAnsi="Calibri"/>
                <w:i/>
                <w:iCs/>
                <w:color w:val="000000"/>
                <w:sz w:val="22"/>
                <w:szCs w:val="22"/>
                <w:lang w:val="hr-HR"/>
              </w:rPr>
              <w:t xml:space="preserve">   2.477 </w:t>
            </w:r>
          </w:p>
        </w:tc>
        <w:tc>
          <w:tcPr>
            <w:tcW w:w="1405" w:type="dxa"/>
            <w:tcBorders>
              <w:top w:val="single" w:sz="4" w:space="0" w:color="auto"/>
              <w:left w:val="nil"/>
              <w:bottom w:val="single" w:sz="4" w:space="0" w:color="auto"/>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c>
          <w:tcPr>
            <w:tcW w:w="1405" w:type="dxa"/>
            <w:tcBorders>
              <w:top w:val="single" w:sz="4" w:space="0" w:color="auto"/>
              <w:left w:val="nil"/>
              <w:bottom w:val="single" w:sz="4" w:space="0" w:color="auto"/>
              <w:right w:val="nil"/>
            </w:tcBorders>
            <w:shd w:val="clear" w:color="auto" w:fill="auto"/>
            <w:vAlign w:val="center"/>
            <w:hideMark/>
          </w:tcPr>
          <w:p w:rsidR="00714EAD" w:rsidRPr="00CD3A2D" w:rsidRDefault="00714EAD" w:rsidP="0016598F">
            <w:pPr>
              <w:jc w:val="right"/>
              <w:rPr>
                <w:rFonts w:ascii="Calibri" w:hAnsi="Calibri"/>
                <w:i/>
                <w:iCs/>
                <w:color w:val="000000"/>
                <w:sz w:val="22"/>
                <w:szCs w:val="22"/>
                <w:lang w:val="hr-HR"/>
              </w:rPr>
            </w:pPr>
            <w:r w:rsidRPr="00CD3A2D">
              <w:rPr>
                <w:rFonts w:ascii="Calibri" w:hAnsi="Calibri"/>
                <w:i/>
                <w:iCs/>
                <w:color w:val="000000"/>
                <w:sz w:val="22"/>
                <w:szCs w:val="22"/>
                <w:lang w:val="hr-HR"/>
              </w:rPr>
              <w:t xml:space="preserve">   2.481 </w:t>
            </w:r>
          </w:p>
        </w:tc>
        <w:tc>
          <w:tcPr>
            <w:tcW w:w="1405" w:type="dxa"/>
            <w:tcBorders>
              <w:top w:val="single" w:sz="4" w:space="0" w:color="auto"/>
              <w:left w:val="nil"/>
              <w:bottom w:val="single" w:sz="4" w:space="0" w:color="auto"/>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r>
      <w:tr w:rsidR="00714EAD" w:rsidRPr="001567C8" w:rsidTr="003C6BA3">
        <w:trPr>
          <w:trHeight w:val="380"/>
        </w:trPr>
        <w:tc>
          <w:tcPr>
            <w:tcW w:w="4395" w:type="dxa"/>
            <w:tcBorders>
              <w:top w:val="nil"/>
              <w:left w:val="nil"/>
              <w:bottom w:val="nil"/>
              <w:right w:val="nil"/>
            </w:tcBorders>
            <w:shd w:val="clear" w:color="auto" w:fill="auto"/>
            <w:vAlign w:val="center"/>
            <w:hideMark/>
          </w:tcPr>
          <w:p w:rsidR="00714EAD" w:rsidRPr="00CD3A2D" w:rsidRDefault="00714EAD" w:rsidP="0016598F">
            <w:pPr>
              <w:rPr>
                <w:rFonts w:ascii="Calibri" w:hAnsi="Calibri"/>
                <w:color w:val="000000"/>
                <w:sz w:val="22"/>
                <w:szCs w:val="22"/>
                <w:lang w:val="hr-HR"/>
              </w:rPr>
            </w:pPr>
            <w:r w:rsidRPr="00CD3A2D">
              <w:rPr>
                <w:rFonts w:ascii="Calibri" w:hAnsi="Calibri"/>
                <w:color w:val="000000"/>
                <w:sz w:val="22"/>
                <w:szCs w:val="22"/>
                <w:lang w:val="hr-HR"/>
              </w:rPr>
              <w:t xml:space="preserve">Neto </w:t>
            </w:r>
            <w:r w:rsidR="00260AF4" w:rsidRPr="00CD3A2D">
              <w:rPr>
                <w:rFonts w:ascii="Calibri" w:hAnsi="Calibri"/>
                <w:color w:val="000000"/>
                <w:sz w:val="22"/>
                <w:szCs w:val="22"/>
                <w:lang w:val="hr-HR"/>
              </w:rPr>
              <w:t>gubitak od tečajnih razlika po rezerviranjima za očekivane gubitke</w:t>
            </w:r>
          </w:p>
        </w:tc>
        <w:tc>
          <w:tcPr>
            <w:tcW w:w="1404"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(19)</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(19)</w:t>
            </w:r>
          </w:p>
        </w:tc>
        <w:tc>
          <w:tcPr>
            <w:tcW w:w="1405" w:type="dxa"/>
            <w:tcBorders>
              <w:top w:val="nil"/>
              <w:left w:val="nil"/>
              <w:bottom w:val="nil"/>
              <w:right w:val="nil"/>
            </w:tcBorders>
            <w:shd w:val="clear" w:color="auto" w:fill="auto"/>
            <w:vAlign w:val="center"/>
            <w:hideMark/>
          </w:tcPr>
          <w:p w:rsidR="00714EAD" w:rsidRPr="00CD3A2D" w:rsidRDefault="00714EAD" w:rsidP="0016598F">
            <w:pPr>
              <w:jc w:val="right"/>
              <w:rPr>
                <w:rFonts w:ascii="Calibri" w:hAnsi="Calibri"/>
                <w:color w:val="000000"/>
                <w:sz w:val="22"/>
                <w:szCs w:val="22"/>
                <w:lang w:val="hr-HR"/>
              </w:rPr>
            </w:pPr>
            <w:r w:rsidRPr="00CD3A2D">
              <w:rPr>
                <w:rFonts w:ascii="Calibri" w:hAnsi="Calibri"/>
                <w:color w:val="000000"/>
                <w:sz w:val="22"/>
                <w:szCs w:val="22"/>
                <w:lang w:val="hr-HR"/>
              </w:rPr>
              <w:t xml:space="preserve"> n/p    </w:t>
            </w:r>
          </w:p>
        </w:tc>
      </w:tr>
      <w:tr w:rsidR="00714EAD" w:rsidRPr="001567C8" w:rsidTr="003C6BA3">
        <w:trPr>
          <w:trHeight w:val="469"/>
        </w:trPr>
        <w:tc>
          <w:tcPr>
            <w:tcW w:w="4395" w:type="dxa"/>
            <w:tcBorders>
              <w:top w:val="nil"/>
              <w:left w:val="nil"/>
              <w:bottom w:val="nil"/>
              <w:right w:val="nil"/>
            </w:tcBorders>
            <w:shd w:val="clear" w:color="auto" w:fill="auto"/>
            <w:vAlign w:val="bottom"/>
            <w:hideMark/>
          </w:tcPr>
          <w:p w:rsidR="00714EAD" w:rsidRPr="00CD3A2D" w:rsidRDefault="00714EAD" w:rsidP="00714EAD">
            <w:pPr>
              <w:rPr>
                <w:rFonts w:ascii="Calibri" w:hAnsi="Calibri"/>
                <w:b/>
                <w:bCs/>
                <w:color w:val="000000"/>
                <w:sz w:val="22"/>
                <w:szCs w:val="22"/>
                <w:lang w:val="hr-HR"/>
              </w:rPr>
            </w:pPr>
            <w:r w:rsidRPr="00CD3A2D">
              <w:rPr>
                <w:rFonts w:ascii="Calibri" w:hAnsi="Calibri"/>
                <w:b/>
                <w:bCs/>
                <w:color w:val="000000"/>
                <w:sz w:val="22"/>
                <w:szCs w:val="22"/>
                <w:lang w:val="hr-HR"/>
              </w:rPr>
              <w:t>Stanje 31. prosinca 2018. godine</w:t>
            </w:r>
          </w:p>
        </w:tc>
        <w:tc>
          <w:tcPr>
            <w:tcW w:w="1404" w:type="dxa"/>
            <w:tcBorders>
              <w:top w:val="single" w:sz="4" w:space="0" w:color="auto"/>
              <w:left w:val="nil"/>
              <w:bottom w:val="single" w:sz="12" w:space="0" w:color="auto"/>
              <w:right w:val="nil"/>
            </w:tcBorders>
            <w:shd w:val="clear" w:color="auto" w:fill="auto"/>
            <w:vAlign w:val="bottom"/>
            <w:hideMark/>
          </w:tcPr>
          <w:p w:rsidR="00714EAD" w:rsidRPr="00CD3A2D" w:rsidRDefault="00714EAD" w:rsidP="00714EAD">
            <w:pPr>
              <w:jc w:val="right"/>
              <w:rPr>
                <w:rFonts w:ascii="Calibri" w:hAnsi="Calibri"/>
                <w:b/>
                <w:bCs/>
                <w:color w:val="000000"/>
                <w:sz w:val="22"/>
                <w:szCs w:val="22"/>
                <w:lang w:val="hr-HR"/>
              </w:rPr>
            </w:pPr>
            <w:r w:rsidRPr="00CD3A2D">
              <w:rPr>
                <w:rFonts w:ascii="Calibri" w:hAnsi="Calibri"/>
                <w:b/>
                <w:bCs/>
                <w:color w:val="000000"/>
                <w:sz w:val="22"/>
                <w:szCs w:val="22"/>
                <w:lang w:val="hr-HR"/>
              </w:rPr>
              <w:t xml:space="preserve">  6.746 </w:t>
            </w:r>
          </w:p>
        </w:tc>
        <w:tc>
          <w:tcPr>
            <w:tcW w:w="1405" w:type="dxa"/>
            <w:tcBorders>
              <w:top w:val="single" w:sz="4" w:space="0" w:color="auto"/>
              <w:left w:val="nil"/>
              <w:bottom w:val="single" w:sz="12" w:space="0" w:color="auto"/>
              <w:right w:val="nil"/>
            </w:tcBorders>
            <w:shd w:val="clear" w:color="auto" w:fill="auto"/>
            <w:vAlign w:val="bottom"/>
            <w:hideMark/>
          </w:tcPr>
          <w:p w:rsidR="00714EAD" w:rsidRPr="00CD3A2D" w:rsidRDefault="00714EAD" w:rsidP="00714EAD">
            <w:pPr>
              <w:jc w:val="right"/>
              <w:rPr>
                <w:rFonts w:ascii="Calibri" w:hAnsi="Calibri"/>
                <w:b/>
                <w:bCs/>
                <w:color w:val="000000"/>
                <w:sz w:val="22"/>
                <w:szCs w:val="22"/>
                <w:lang w:val="hr-HR"/>
              </w:rPr>
            </w:pPr>
            <w:r w:rsidRPr="00CD3A2D">
              <w:rPr>
                <w:rFonts w:ascii="Calibri" w:hAnsi="Calibri"/>
                <w:b/>
                <w:bCs/>
                <w:color w:val="000000"/>
                <w:sz w:val="22"/>
                <w:szCs w:val="22"/>
                <w:lang w:val="hr-HR"/>
              </w:rPr>
              <w:t xml:space="preserve"> n/p    </w:t>
            </w:r>
          </w:p>
        </w:tc>
        <w:tc>
          <w:tcPr>
            <w:tcW w:w="1405" w:type="dxa"/>
            <w:tcBorders>
              <w:top w:val="single" w:sz="4" w:space="0" w:color="auto"/>
              <w:left w:val="nil"/>
              <w:bottom w:val="single" w:sz="12" w:space="0" w:color="auto"/>
              <w:right w:val="nil"/>
            </w:tcBorders>
            <w:shd w:val="clear" w:color="auto" w:fill="auto"/>
            <w:vAlign w:val="bottom"/>
            <w:hideMark/>
          </w:tcPr>
          <w:p w:rsidR="00714EAD" w:rsidRPr="00CD3A2D" w:rsidRDefault="00714EAD" w:rsidP="00714EAD">
            <w:pPr>
              <w:jc w:val="right"/>
              <w:rPr>
                <w:rFonts w:ascii="Calibri" w:hAnsi="Calibri"/>
                <w:b/>
                <w:bCs/>
                <w:color w:val="000000"/>
                <w:sz w:val="22"/>
                <w:szCs w:val="22"/>
                <w:lang w:val="hr-HR"/>
              </w:rPr>
            </w:pPr>
            <w:r w:rsidRPr="00CD3A2D">
              <w:rPr>
                <w:rFonts w:ascii="Calibri" w:hAnsi="Calibri"/>
                <w:b/>
                <w:bCs/>
                <w:color w:val="000000"/>
                <w:sz w:val="22"/>
                <w:szCs w:val="22"/>
                <w:lang w:val="hr-HR"/>
              </w:rPr>
              <w:t xml:space="preserve">  6.459 </w:t>
            </w:r>
          </w:p>
        </w:tc>
        <w:tc>
          <w:tcPr>
            <w:tcW w:w="1405" w:type="dxa"/>
            <w:tcBorders>
              <w:top w:val="single" w:sz="4" w:space="0" w:color="auto"/>
              <w:left w:val="nil"/>
              <w:bottom w:val="single" w:sz="12" w:space="0" w:color="auto"/>
              <w:right w:val="nil"/>
            </w:tcBorders>
            <w:shd w:val="clear" w:color="auto" w:fill="auto"/>
            <w:vAlign w:val="bottom"/>
            <w:hideMark/>
          </w:tcPr>
          <w:p w:rsidR="00714EAD" w:rsidRPr="00CD3A2D" w:rsidRDefault="00714EAD" w:rsidP="00714EAD">
            <w:pPr>
              <w:jc w:val="right"/>
              <w:rPr>
                <w:rFonts w:ascii="Calibri" w:hAnsi="Calibri"/>
                <w:b/>
                <w:bCs/>
                <w:color w:val="000000"/>
                <w:sz w:val="22"/>
                <w:szCs w:val="22"/>
                <w:lang w:val="hr-HR"/>
              </w:rPr>
            </w:pPr>
            <w:r w:rsidRPr="00CD3A2D">
              <w:rPr>
                <w:rFonts w:ascii="Calibri" w:hAnsi="Calibri"/>
                <w:b/>
                <w:bCs/>
                <w:color w:val="000000"/>
                <w:sz w:val="22"/>
                <w:szCs w:val="22"/>
                <w:lang w:val="hr-HR"/>
              </w:rPr>
              <w:t xml:space="preserve"> n/p    </w:t>
            </w:r>
          </w:p>
        </w:tc>
      </w:tr>
    </w:tbl>
    <w:p w:rsidR="00714EAD" w:rsidRPr="001567C8" w:rsidRDefault="00714EAD" w:rsidP="00714EAD">
      <w:pPr>
        <w:pStyle w:val="T1"/>
        <w:spacing w:before="0" w:after="0" w:line="240" w:lineRule="auto"/>
        <w:rPr>
          <w:rFonts w:asciiTheme="minorHAnsi" w:hAnsiTheme="minorHAnsi" w:cs="Arial"/>
          <w:b w:val="0"/>
          <w:sz w:val="22"/>
          <w:szCs w:val="22"/>
          <w:lang w:val="hr-HR"/>
        </w:rPr>
      </w:pPr>
    </w:p>
    <w:p w:rsidR="009021CC" w:rsidRPr="001567C8" w:rsidRDefault="00714EAD" w:rsidP="00B8477D">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Neto </w:t>
      </w:r>
      <w:r w:rsidR="0063609C" w:rsidRPr="001567C8">
        <w:rPr>
          <w:rFonts w:asciiTheme="minorHAnsi" w:hAnsiTheme="minorHAnsi" w:cs="Arial"/>
          <w:b w:val="0"/>
          <w:sz w:val="22"/>
          <w:szCs w:val="22"/>
          <w:lang w:val="hr-HR"/>
        </w:rPr>
        <w:t xml:space="preserve">gubitak od </w:t>
      </w:r>
      <w:r w:rsidRPr="001567C8">
        <w:rPr>
          <w:rFonts w:asciiTheme="minorHAnsi" w:hAnsiTheme="minorHAnsi" w:cs="Arial"/>
          <w:b w:val="0"/>
          <w:sz w:val="22"/>
          <w:szCs w:val="22"/>
          <w:lang w:val="hr-HR"/>
        </w:rPr>
        <w:t>tečajn</w:t>
      </w:r>
      <w:r w:rsidR="0063609C" w:rsidRPr="001567C8">
        <w:rPr>
          <w:rFonts w:asciiTheme="minorHAnsi" w:hAnsiTheme="minorHAnsi" w:cs="Arial"/>
          <w:b w:val="0"/>
          <w:sz w:val="22"/>
          <w:szCs w:val="22"/>
          <w:lang w:val="hr-HR"/>
        </w:rPr>
        <w:t>ih</w:t>
      </w:r>
      <w:r w:rsidRPr="001567C8">
        <w:rPr>
          <w:rFonts w:asciiTheme="minorHAnsi" w:hAnsiTheme="minorHAnsi" w:cs="Arial"/>
          <w:b w:val="0"/>
          <w:sz w:val="22"/>
          <w:szCs w:val="22"/>
          <w:lang w:val="hr-HR"/>
        </w:rPr>
        <w:t xml:space="preserve"> razlik</w:t>
      </w:r>
      <w:r w:rsidR="0063609C" w:rsidRPr="001567C8">
        <w:rPr>
          <w:rFonts w:asciiTheme="minorHAnsi" w:hAnsiTheme="minorHAnsi" w:cs="Arial"/>
          <w:b w:val="0"/>
          <w:sz w:val="22"/>
          <w:szCs w:val="22"/>
          <w:lang w:val="hr-HR"/>
        </w:rPr>
        <w:t>a</w:t>
      </w:r>
      <w:r w:rsidRPr="001567C8">
        <w:rPr>
          <w:rFonts w:asciiTheme="minorHAnsi" w:hAnsiTheme="minorHAnsi" w:cs="Arial"/>
          <w:b w:val="0"/>
          <w:sz w:val="22"/>
          <w:szCs w:val="22"/>
          <w:lang w:val="hr-HR"/>
        </w:rPr>
        <w:t xml:space="preserve"> po rezerviranjima za očekivane gubitke prikazane su unutar Neto prihoda/(rashoda) od financijskih aktivnosti u </w:t>
      </w:r>
      <w:r w:rsidR="005C1100" w:rsidRPr="001567C8">
        <w:rPr>
          <w:rFonts w:asciiTheme="minorHAnsi" w:hAnsiTheme="minorHAnsi" w:cs="Arial"/>
          <w:b w:val="0"/>
          <w:sz w:val="22"/>
          <w:szCs w:val="22"/>
          <w:lang w:val="hr-HR"/>
        </w:rPr>
        <w:t>Računu</w:t>
      </w:r>
      <w:r w:rsidRPr="001567C8">
        <w:rPr>
          <w:rFonts w:asciiTheme="minorHAnsi" w:hAnsiTheme="minorHAnsi" w:cs="Arial"/>
          <w:b w:val="0"/>
          <w:sz w:val="22"/>
          <w:szCs w:val="22"/>
          <w:lang w:val="hr-HR"/>
        </w:rPr>
        <w:t xml:space="preserve"> dobiti i gubitku.</w:t>
      </w:r>
    </w:p>
    <w:p w:rsidR="00714EAD" w:rsidRPr="001567C8" w:rsidRDefault="00714EAD" w:rsidP="00C4703D">
      <w:pPr>
        <w:pStyle w:val="T1"/>
        <w:spacing w:after="0" w:line="300" w:lineRule="exact"/>
        <w:rPr>
          <w:rFonts w:asciiTheme="minorHAnsi" w:hAnsiTheme="minorHAnsi" w:cs="Arial"/>
          <w:sz w:val="22"/>
          <w:szCs w:val="22"/>
          <w:lang w:val="hr-HR"/>
        </w:rPr>
        <w:sectPr w:rsidR="00714EAD" w:rsidRPr="001567C8" w:rsidSect="003E2D7A">
          <w:pgSz w:w="11907" w:h="16840" w:code="9"/>
          <w:pgMar w:top="1418" w:right="1134" w:bottom="1134" w:left="1418" w:header="851" w:footer="851" w:gutter="0"/>
          <w:cols w:space="720"/>
          <w:noEndnote/>
        </w:sectPr>
      </w:pPr>
    </w:p>
    <w:p w:rsidR="007205EA" w:rsidRPr="001567C8" w:rsidRDefault="007205EA" w:rsidP="00C4703D">
      <w:pPr>
        <w:pStyle w:val="T1"/>
        <w:spacing w:after="0" w:line="300" w:lineRule="exact"/>
        <w:rPr>
          <w:rFonts w:asciiTheme="minorHAnsi" w:hAnsiTheme="minorHAnsi" w:cs="Arial"/>
          <w:sz w:val="22"/>
          <w:szCs w:val="22"/>
          <w:lang w:val="hr-HR"/>
        </w:rPr>
      </w:pPr>
      <w:r w:rsidRPr="001567C8">
        <w:rPr>
          <w:rFonts w:asciiTheme="minorHAnsi" w:hAnsiTheme="minorHAnsi" w:cs="Arial"/>
          <w:sz w:val="22"/>
          <w:szCs w:val="22"/>
          <w:lang w:val="hr-HR"/>
        </w:rPr>
        <w:t>1</w:t>
      </w:r>
      <w:r w:rsidR="00B52585" w:rsidRPr="001567C8">
        <w:rPr>
          <w:rFonts w:asciiTheme="minorHAnsi" w:hAnsiTheme="minorHAnsi" w:cs="Arial"/>
          <w:sz w:val="22"/>
          <w:szCs w:val="22"/>
          <w:lang w:val="hr-HR"/>
        </w:rPr>
        <w:t>8</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r>
      <w:r w:rsidR="00714EAD" w:rsidRPr="001567C8">
        <w:rPr>
          <w:rFonts w:asciiTheme="minorHAnsi" w:hAnsiTheme="minorHAnsi" w:cs="Arial"/>
          <w:sz w:val="22"/>
          <w:szCs w:val="22"/>
          <w:lang w:val="hr-HR"/>
        </w:rPr>
        <w:t>Financijska imovina po fer vrijednosti kroz ostalu sveobuhvatnu dobit (nastavak)</w:t>
      </w:r>
    </w:p>
    <w:p w:rsidR="002203DC" w:rsidRPr="001567C8" w:rsidRDefault="002203DC" w:rsidP="00585D40">
      <w:pPr>
        <w:pStyle w:val="T1"/>
        <w:keepNext w:val="0"/>
        <w:spacing w:before="0" w:after="0" w:line="240" w:lineRule="auto"/>
        <w:rPr>
          <w:rFonts w:asciiTheme="minorHAnsi" w:hAnsiTheme="minorHAnsi" w:cs="Arial"/>
          <w:b w:val="0"/>
          <w:bCs w:val="0"/>
          <w:sz w:val="18"/>
          <w:szCs w:val="18"/>
          <w:lang w:val="hr-HR"/>
        </w:rPr>
      </w:pPr>
    </w:p>
    <w:p w:rsidR="00322735" w:rsidRPr="001567C8" w:rsidRDefault="0096185A" w:rsidP="00AE70A3">
      <w:pPr>
        <w:tabs>
          <w:tab w:val="left" w:pos="-720"/>
        </w:tabs>
        <w:suppressAutoHyphens/>
        <w:rPr>
          <w:rFonts w:asciiTheme="minorHAnsi" w:hAnsiTheme="minorHAnsi" w:cs="Arial"/>
          <w:spacing w:val="-3"/>
          <w:sz w:val="22"/>
          <w:szCs w:val="22"/>
          <w:lang w:val="hr-HR"/>
        </w:rPr>
      </w:pPr>
      <w:r w:rsidRPr="001567C8">
        <w:rPr>
          <w:rFonts w:asciiTheme="minorHAnsi" w:hAnsiTheme="minorHAnsi" w:cs="Arial"/>
          <w:spacing w:val="-3"/>
          <w:sz w:val="22"/>
          <w:szCs w:val="22"/>
          <w:lang w:val="hr-HR"/>
        </w:rPr>
        <w:t>U nastavku se daje pregled ulaganja:</w:t>
      </w:r>
    </w:p>
    <w:p w:rsidR="008C5A08" w:rsidRPr="001567C8" w:rsidRDefault="008C5A08" w:rsidP="00AE70A3">
      <w:pPr>
        <w:tabs>
          <w:tab w:val="left" w:pos="-720"/>
        </w:tabs>
        <w:suppressAutoHyphens/>
        <w:rPr>
          <w:rFonts w:asciiTheme="minorHAnsi" w:hAnsiTheme="minorHAnsi" w:cs="Arial"/>
          <w:spacing w:val="-3"/>
          <w:sz w:val="22"/>
          <w:szCs w:val="22"/>
          <w:lang w:val="hr-HR"/>
        </w:rPr>
      </w:pPr>
    </w:p>
    <w:tbl>
      <w:tblPr>
        <w:tblW w:w="10859" w:type="dxa"/>
        <w:tblInd w:w="-851" w:type="dxa"/>
        <w:tblLayout w:type="fixed"/>
        <w:tblLook w:val="04A0" w:firstRow="1" w:lastRow="0" w:firstColumn="1" w:lastColumn="0" w:noHBand="0" w:noVBand="1"/>
      </w:tblPr>
      <w:tblGrid>
        <w:gridCol w:w="2799"/>
        <w:gridCol w:w="1120"/>
        <w:gridCol w:w="1121"/>
        <w:gridCol w:w="1198"/>
        <w:gridCol w:w="1155"/>
        <w:gridCol w:w="1155"/>
        <w:gridCol w:w="1155"/>
        <w:gridCol w:w="1156"/>
      </w:tblGrid>
      <w:tr w:rsidR="00AE70A3" w:rsidRPr="001567C8" w:rsidTr="00361B04">
        <w:trPr>
          <w:trHeight w:val="175"/>
        </w:trPr>
        <w:tc>
          <w:tcPr>
            <w:tcW w:w="2799" w:type="dxa"/>
            <w:tcBorders>
              <w:top w:val="nil"/>
              <w:left w:val="nil"/>
              <w:bottom w:val="nil"/>
              <w:right w:val="nil"/>
            </w:tcBorders>
            <w:shd w:val="clear" w:color="auto" w:fill="auto"/>
            <w:noWrap/>
            <w:vAlign w:val="bottom"/>
            <w:hideMark/>
          </w:tcPr>
          <w:p w:rsidR="00322735" w:rsidRPr="001567C8" w:rsidRDefault="00322735">
            <w:pPr>
              <w:rPr>
                <w:rFonts w:asciiTheme="minorHAnsi" w:hAnsiTheme="minorHAnsi"/>
                <w:sz w:val="18"/>
                <w:szCs w:val="18"/>
                <w:lang w:val="hr-HR"/>
              </w:rPr>
            </w:pPr>
          </w:p>
        </w:tc>
        <w:tc>
          <w:tcPr>
            <w:tcW w:w="1120" w:type="dxa"/>
            <w:tcBorders>
              <w:top w:val="nil"/>
              <w:left w:val="nil"/>
              <w:bottom w:val="nil"/>
              <w:right w:val="nil"/>
            </w:tcBorders>
            <w:shd w:val="clear" w:color="auto" w:fill="auto"/>
            <w:vAlign w:val="center"/>
            <w:hideMark/>
          </w:tcPr>
          <w:p w:rsidR="00322735" w:rsidRPr="001567C8" w:rsidRDefault="00322735">
            <w:pPr>
              <w:rPr>
                <w:rFonts w:asciiTheme="minorHAnsi" w:hAnsiTheme="minorHAnsi"/>
                <w:sz w:val="18"/>
                <w:szCs w:val="18"/>
                <w:lang w:val="hr-HR"/>
              </w:rPr>
            </w:pPr>
          </w:p>
        </w:tc>
        <w:tc>
          <w:tcPr>
            <w:tcW w:w="1121" w:type="dxa"/>
            <w:tcBorders>
              <w:top w:val="nil"/>
              <w:left w:val="nil"/>
              <w:bottom w:val="nil"/>
              <w:right w:val="nil"/>
            </w:tcBorders>
            <w:shd w:val="clear" w:color="auto" w:fill="auto"/>
            <w:vAlign w:val="center"/>
            <w:hideMark/>
          </w:tcPr>
          <w:p w:rsidR="00322735" w:rsidRPr="001567C8" w:rsidRDefault="00322735">
            <w:pPr>
              <w:jc w:val="center"/>
              <w:rPr>
                <w:rFonts w:asciiTheme="minorHAnsi" w:hAnsiTheme="minorHAnsi"/>
                <w:sz w:val="18"/>
                <w:szCs w:val="18"/>
                <w:lang w:val="hr-HR"/>
              </w:rPr>
            </w:pPr>
          </w:p>
        </w:tc>
        <w:tc>
          <w:tcPr>
            <w:tcW w:w="1198" w:type="dxa"/>
            <w:tcBorders>
              <w:top w:val="nil"/>
              <w:left w:val="nil"/>
              <w:bottom w:val="nil"/>
              <w:right w:val="nil"/>
            </w:tcBorders>
            <w:shd w:val="clear" w:color="auto" w:fill="auto"/>
            <w:vAlign w:val="center"/>
            <w:hideMark/>
          </w:tcPr>
          <w:p w:rsidR="00322735" w:rsidRPr="001567C8" w:rsidRDefault="00322735">
            <w:pPr>
              <w:jc w:val="center"/>
              <w:rPr>
                <w:rFonts w:asciiTheme="minorHAnsi" w:hAnsiTheme="minorHAnsi"/>
                <w:sz w:val="18"/>
                <w:szCs w:val="18"/>
                <w:lang w:val="hr-HR"/>
              </w:rPr>
            </w:pPr>
          </w:p>
        </w:tc>
        <w:tc>
          <w:tcPr>
            <w:tcW w:w="2310" w:type="dxa"/>
            <w:gridSpan w:val="2"/>
            <w:tcBorders>
              <w:top w:val="nil"/>
              <w:left w:val="nil"/>
              <w:bottom w:val="nil"/>
              <w:right w:val="nil"/>
            </w:tcBorders>
            <w:shd w:val="clear" w:color="auto" w:fill="auto"/>
            <w:vAlign w:val="center"/>
            <w:hideMark/>
          </w:tcPr>
          <w:p w:rsidR="00322735" w:rsidRPr="001567C8" w:rsidRDefault="00322735">
            <w:pPr>
              <w:jc w:val="right"/>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Grupa</w:t>
            </w:r>
          </w:p>
        </w:tc>
        <w:tc>
          <w:tcPr>
            <w:tcW w:w="2311" w:type="dxa"/>
            <w:gridSpan w:val="2"/>
            <w:tcBorders>
              <w:top w:val="nil"/>
              <w:left w:val="nil"/>
              <w:bottom w:val="nil"/>
              <w:right w:val="nil"/>
            </w:tcBorders>
            <w:shd w:val="clear" w:color="auto" w:fill="auto"/>
            <w:vAlign w:val="center"/>
            <w:hideMark/>
          </w:tcPr>
          <w:p w:rsidR="00322735" w:rsidRPr="001567C8" w:rsidRDefault="00322735">
            <w:pPr>
              <w:jc w:val="right"/>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Banka</w:t>
            </w:r>
          </w:p>
        </w:tc>
      </w:tr>
      <w:tr w:rsidR="00714EAD" w:rsidRPr="001567C8" w:rsidTr="00361B04">
        <w:trPr>
          <w:trHeight w:val="320"/>
        </w:trPr>
        <w:tc>
          <w:tcPr>
            <w:tcW w:w="2799"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b/>
                <w:bCs/>
                <w:color w:val="000000"/>
                <w:sz w:val="18"/>
                <w:szCs w:val="18"/>
                <w:lang w:val="hr-HR"/>
              </w:rPr>
            </w:pPr>
          </w:p>
        </w:tc>
        <w:tc>
          <w:tcPr>
            <w:tcW w:w="1120" w:type="dxa"/>
            <w:tcBorders>
              <w:top w:val="nil"/>
              <w:left w:val="nil"/>
              <w:bottom w:val="nil"/>
              <w:right w:val="nil"/>
            </w:tcBorders>
            <w:shd w:val="clear" w:color="auto" w:fill="auto"/>
            <w:vAlign w:val="center"/>
            <w:hideMark/>
          </w:tcPr>
          <w:p w:rsidR="00714EAD" w:rsidRPr="001567C8" w:rsidRDefault="00714EAD" w:rsidP="00714EAD">
            <w:pPr>
              <w:jc w:val="center"/>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Datum izdanja</w:t>
            </w:r>
          </w:p>
        </w:tc>
        <w:tc>
          <w:tcPr>
            <w:tcW w:w="1121" w:type="dxa"/>
            <w:tcBorders>
              <w:top w:val="nil"/>
              <w:left w:val="nil"/>
              <w:bottom w:val="nil"/>
              <w:right w:val="nil"/>
            </w:tcBorders>
            <w:shd w:val="clear" w:color="auto" w:fill="auto"/>
            <w:vAlign w:val="center"/>
            <w:hideMark/>
          </w:tcPr>
          <w:p w:rsidR="00714EAD" w:rsidRPr="001567C8" w:rsidRDefault="00714EAD" w:rsidP="00714EAD">
            <w:pPr>
              <w:jc w:val="center"/>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Datum dospijeća</w:t>
            </w:r>
          </w:p>
        </w:tc>
        <w:tc>
          <w:tcPr>
            <w:tcW w:w="1198" w:type="dxa"/>
            <w:tcBorders>
              <w:top w:val="nil"/>
              <w:left w:val="nil"/>
              <w:bottom w:val="nil"/>
              <w:right w:val="nil"/>
            </w:tcBorders>
            <w:shd w:val="clear" w:color="auto" w:fill="auto"/>
            <w:vAlign w:val="center"/>
            <w:hideMark/>
          </w:tcPr>
          <w:p w:rsidR="00714EAD" w:rsidRPr="001567C8" w:rsidRDefault="00714EAD" w:rsidP="00714EAD">
            <w:pPr>
              <w:jc w:val="center"/>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Kamatna stopa</w:t>
            </w:r>
            <w:r w:rsidRPr="001567C8">
              <w:rPr>
                <w:rFonts w:asciiTheme="minorHAnsi" w:hAnsiTheme="minorHAnsi" w:cs="Arial"/>
                <w:b/>
                <w:bCs/>
                <w:color w:val="000000"/>
                <w:sz w:val="18"/>
                <w:szCs w:val="18"/>
                <w:lang w:val="hr-HR"/>
              </w:rPr>
              <w:br/>
              <w:t>(%)</w:t>
            </w:r>
          </w:p>
        </w:tc>
        <w:tc>
          <w:tcPr>
            <w:tcW w:w="1155" w:type="dxa"/>
            <w:tcBorders>
              <w:top w:val="nil"/>
              <w:left w:val="nil"/>
              <w:bottom w:val="nil"/>
              <w:right w:val="nil"/>
            </w:tcBorders>
            <w:shd w:val="clear" w:color="auto" w:fill="auto"/>
            <w:vAlign w:val="center"/>
            <w:hideMark/>
          </w:tcPr>
          <w:p w:rsidR="00714EAD" w:rsidRPr="001567C8" w:rsidRDefault="00513229" w:rsidP="00714EAD">
            <w:pPr>
              <w:jc w:val="right"/>
              <w:rPr>
                <w:rFonts w:asciiTheme="minorHAnsi" w:hAnsiTheme="minorHAnsi" w:cs="Arial"/>
                <w:b/>
                <w:bCs/>
                <w:color w:val="000000"/>
                <w:sz w:val="18"/>
                <w:szCs w:val="18"/>
                <w:lang w:val="hr-HR"/>
              </w:rPr>
            </w:pPr>
            <w:r w:rsidRPr="00CD3A2D">
              <w:rPr>
                <w:rFonts w:ascii="Calibri" w:hAnsi="Calibri"/>
                <w:b/>
                <w:bCs/>
                <w:color w:val="000000"/>
                <w:sz w:val="18"/>
                <w:szCs w:val="18"/>
                <w:lang w:val="hr-HR"/>
              </w:rPr>
              <w:t>31. prosinc</w:t>
            </w:r>
            <w:r w:rsidR="00F55E1F">
              <w:rPr>
                <w:rFonts w:ascii="Calibri" w:hAnsi="Calibri"/>
                <w:b/>
                <w:bCs/>
                <w:color w:val="000000"/>
                <w:sz w:val="18"/>
                <w:szCs w:val="18"/>
                <w:lang w:val="hr-HR"/>
              </w:rPr>
              <w:t>a</w:t>
            </w:r>
            <w:r w:rsidRPr="00CD3A2D">
              <w:rPr>
                <w:rFonts w:ascii="Calibri" w:hAnsi="Calibri"/>
                <w:b/>
                <w:bCs/>
                <w:color w:val="000000"/>
                <w:sz w:val="18"/>
                <w:szCs w:val="18"/>
                <w:lang w:val="hr-HR"/>
              </w:rPr>
              <w:t xml:space="preserve"> </w:t>
            </w:r>
            <w:r w:rsidR="00714EAD" w:rsidRPr="00CD3A2D">
              <w:rPr>
                <w:rFonts w:ascii="Calibri" w:hAnsi="Calibri"/>
                <w:b/>
                <w:bCs/>
                <w:color w:val="000000"/>
                <w:sz w:val="18"/>
                <w:szCs w:val="18"/>
                <w:lang w:val="hr-HR"/>
              </w:rPr>
              <w:t>2018.</w:t>
            </w:r>
          </w:p>
        </w:tc>
        <w:tc>
          <w:tcPr>
            <w:tcW w:w="1155" w:type="dxa"/>
            <w:tcBorders>
              <w:top w:val="nil"/>
              <w:left w:val="nil"/>
              <w:bottom w:val="nil"/>
              <w:right w:val="nil"/>
            </w:tcBorders>
            <w:shd w:val="clear" w:color="auto" w:fill="auto"/>
            <w:vAlign w:val="center"/>
            <w:hideMark/>
          </w:tcPr>
          <w:p w:rsidR="00714EAD" w:rsidRPr="001567C8" w:rsidRDefault="00513229" w:rsidP="00714EAD">
            <w:pPr>
              <w:jc w:val="right"/>
              <w:rPr>
                <w:rFonts w:asciiTheme="minorHAnsi" w:hAnsiTheme="minorHAnsi" w:cs="Arial"/>
                <w:b/>
                <w:bCs/>
                <w:color w:val="000000"/>
                <w:sz w:val="18"/>
                <w:szCs w:val="18"/>
                <w:lang w:val="hr-HR"/>
              </w:rPr>
            </w:pPr>
            <w:r w:rsidRPr="00CD3A2D">
              <w:rPr>
                <w:rFonts w:ascii="Calibri" w:hAnsi="Calibri"/>
                <w:b/>
                <w:bCs/>
                <w:color w:val="000000"/>
                <w:sz w:val="18"/>
                <w:szCs w:val="18"/>
                <w:lang w:val="hr-HR"/>
              </w:rPr>
              <w:t>31. prosinc</w:t>
            </w:r>
            <w:r w:rsidR="00F55E1F">
              <w:rPr>
                <w:rFonts w:ascii="Calibri" w:hAnsi="Calibri"/>
                <w:b/>
                <w:bCs/>
                <w:color w:val="000000"/>
                <w:sz w:val="18"/>
                <w:szCs w:val="18"/>
                <w:lang w:val="hr-HR"/>
              </w:rPr>
              <w:t>a</w:t>
            </w:r>
            <w:r w:rsidRPr="00CD3A2D">
              <w:rPr>
                <w:rFonts w:ascii="Calibri" w:hAnsi="Calibri"/>
                <w:b/>
                <w:bCs/>
                <w:color w:val="000000"/>
                <w:sz w:val="18"/>
                <w:szCs w:val="18"/>
                <w:lang w:val="hr-HR"/>
              </w:rPr>
              <w:t xml:space="preserve"> </w:t>
            </w:r>
            <w:r w:rsidR="00714EAD" w:rsidRPr="00CD3A2D">
              <w:rPr>
                <w:rFonts w:ascii="Calibri" w:hAnsi="Calibri"/>
                <w:b/>
                <w:bCs/>
                <w:color w:val="000000"/>
                <w:sz w:val="18"/>
                <w:szCs w:val="18"/>
                <w:lang w:val="hr-HR"/>
              </w:rPr>
              <w:t>2017.</w:t>
            </w:r>
          </w:p>
        </w:tc>
        <w:tc>
          <w:tcPr>
            <w:tcW w:w="1155" w:type="dxa"/>
            <w:tcBorders>
              <w:top w:val="nil"/>
              <w:left w:val="nil"/>
              <w:bottom w:val="nil"/>
              <w:right w:val="nil"/>
            </w:tcBorders>
            <w:shd w:val="clear" w:color="auto" w:fill="auto"/>
            <w:vAlign w:val="center"/>
            <w:hideMark/>
          </w:tcPr>
          <w:p w:rsidR="00714EAD" w:rsidRPr="001567C8" w:rsidRDefault="0001590F" w:rsidP="00714EAD">
            <w:pPr>
              <w:jc w:val="right"/>
              <w:rPr>
                <w:rFonts w:asciiTheme="minorHAnsi" w:hAnsiTheme="minorHAnsi" w:cs="Arial"/>
                <w:b/>
                <w:bCs/>
                <w:color w:val="000000"/>
                <w:sz w:val="18"/>
                <w:szCs w:val="18"/>
                <w:lang w:val="hr-HR"/>
              </w:rPr>
            </w:pPr>
            <w:r w:rsidRPr="0001590F">
              <w:rPr>
                <w:rFonts w:ascii="Calibri" w:hAnsi="Calibri"/>
                <w:b/>
                <w:bCs/>
                <w:color w:val="000000"/>
                <w:sz w:val="18"/>
                <w:szCs w:val="18"/>
                <w:lang w:val="hr-HR"/>
              </w:rPr>
              <w:t xml:space="preserve">31. prosinca </w:t>
            </w:r>
            <w:r w:rsidR="00714EAD" w:rsidRPr="00CD3A2D">
              <w:rPr>
                <w:rFonts w:ascii="Calibri" w:hAnsi="Calibri"/>
                <w:b/>
                <w:bCs/>
                <w:color w:val="000000"/>
                <w:sz w:val="18"/>
                <w:szCs w:val="18"/>
                <w:lang w:val="hr-HR"/>
              </w:rPr>
              <w:t>2018.</w:t>
            </w:r>
          </w:p>
        </w:tc>
        <w:tc>
          <w:tcPr>
            <w:tcW w:w="1156" w:type="dxa"/>
            <w:tcBorders>
              <w:top w:val="nil"/>
              <w:left w:val="nil"/>
              <w:bottom w:val="nil"/>
              <w:right w:val="nil"/>
            </w:tcBorders>
            <w:shd w:val="clear" w:color="auto" w:fill="auto"/>
            <w:vAlign w:val="center"/>
            <w:hideMark/>
          </w:tcPr>
          <w:p w:rsidR="00714EAD" w:rsidRPr="001567C8" w:rsidRDefault="0001590F" w:rsidP="00714EAD">
            <w:pPr>
              <w:jc w:val="right"/>
              <w:rPr>
                <w:rFonts w:asciiTheme="minorHAnsi" w:hAnsiTheme="minorHAnsi" w:cs="Arial"/>
                <w:b/>
                <w:bCs/>
                <w:color w:val="000000"/>
                <w:sz w:val="18"/>
                <w:szCs w:val="18"/>
                <w:lang w:val="hr-HR"/>
              </w:rPr>
            </w:pPr>
            <w:r w:rsidRPr="0001590F">
              <w:rPr>
                <w:rFonts w:ascii="Calibri" w:hAnsi="Calibri"/>
                <w:b/>
                <w:bCs/>
                <w:color w:val="000000"/>
                <w:sz w:val="18"/>
                <w:szCs w:val="18"/>
                <w:lang w:val="hr-HR"/>
              </w:rPr>
              <w:t xml:space="preserve">31. prosinca </w:t>
            </w:r>
            <w:r w:rsidR="00714EAD" w:rsidRPr="00CD3A2D">
              <w:rPr>
                <w:rFonts w:ascii="Calibri" w:hAnsi="Calibri"/>
                <w:b/>
                <w:bCs/>
                <w:color w:val="000000"/>
                <w:sz w:val="18"/>
                <w:szCs w:val="18"/>
                <w:lang w:val="hr-HR"/>
              </w:rPr>
              <w:t>2017.</w:t>
            </w:r>
          </w:p>
        </w:tc>
      </w:tr>
      <w:tr w:rsidR="00997508" w:rsidRPr="001567C8" w:rsidTr="00361B04">
        <w:trPr>
          <w:trHeight w:val="207"/>
        </w:trPr>
        <w:tc>
          <w:tcPr>
            <w:tcW w:w="2799" w:type="dxa"/>
            <w:tcBorders>
              <w:top w:val="nil"/>
              <w:left w:val="nil"/>
              <w:bottom w:val="nil"/>
              <w:right w:val="nil"/>
            </w:tcBorders>
            <w:shd w:val="clear" w:color="auto" w:fill="auto"/>
            <w:noWrap/>
            <w:vAlign w:val="center"/>
            <w:hideMark/>
          </w:tcPr>
          <w:p w:rsidR="00997508" w:rsidRPr="001567C8" w:rsidRDefault="00997508" w:rsidP="00997508">
            <w:pPr>
              <w:jc w:val="both"/>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Dužnički vrijednosni papiri:</w:t>
            </w:r>
          </w:p>
        </w:tc>
        <w:tc>
          <w:tcPr>
            <w:tcW w:w="1120" w:type="dxa"/>
            <w:tcBorders>
              <w:top w:val="nil"/>
              <w:left w:val="nil"/>
              <w:bottom w:val="nil"/>
              <w:right w:val="nil"/>
            </w:tcBorders>
            <w:shd w:val="clear" w:color="auto" w:fill="auto"/>
            <w:noWrap/>
            <w:vAlign w:val="bottom"/>
            <w:hideMark/>
          </w:tcPr>
          <w:p w:rsidR="00997508" w:rsidRPr="001567C8" w:rsidRDefault="00997508" w:rsidP="00997508">
            <w:pPr>
              <w:jc w:val="both"/>
              <w:rPr>
                <w:rFonts w:asciiTheme="minorHAnsi" w:hAnsiTheme="minorHAnsi" w:cs="Arial"/>
                <w:b/>
                <w:bCs/>
                <w:color w:val="000000"/>
                <w:sz w:val="18"/>
                <w:szCs w:val="18"/>
                <w:lang w:val="hr-HR"/>
              </w:rPr>
            </w:pPr>
          </w:p>
        </w:tc>
        <w:tc>
          <w:tcPr>
            <w:tcW w:w="1121" w:type="dxa"/>
            <w:tcBorders>
              <w:top w:val="nil"/>
              <w:left w:val="nil"/>
              <w:bottom w:val="nil"/>
              <w:right w:val="nil"/>
            </w:tcBorders>
            <w:shd w:val="clear" w:color="auto" w:fill="auto"/>
            <w:noWrap/>
            <w:vAlign w:val="bottom"/>
            <w:hideMark/>
          </w:tcPr>
          <w:p w:rsidR="00997508" w:rsidRPr="001567C8" w:rsidRDefault="00997508" w:rsidP="00997508">
            <w:pPr>
              <w:rPr>
                <w:rFonts w:asciiTheme="minorHAnsi" w:hAnsiTheme="minorHAnsi"/>
                <w:sz w:val="18"/>
                <w:szCs w:val="18"/>
                <w:lang w:val="hr-HR"/>
              </w:rPr>
            </w:pPr>
          </w:p>
        </w:tc>
        <w:tc>
          <w:tcPr>
            <w:tcW w:w="1198" w:type="dxa"/>
            <w:tcBorders>
              <w:top w:val="nil"/>
              <w:left w:val="nil"/>
              <w:bottom w:val="nil"/>
              <w:right w:val="nil"/>
            </w:tcBorders>
            <w:shd w:val="clear" w:color="auto" w:fill="auto"/>
            <w:vAlign w:val="bottom"/>
            <w:hideMark/>
          </w:tcPr>
          <w:p w:rsidR="00997508" w:rsidRPr="001567C8" w:rsidRDefault="00997508" w:rsidP="00997508">
            <w:pP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hideMark/>
          </w:tcPr>
          <w:p w:rsidR="00997508" w:rsidRPr="001567C8" w:rsidRDefault="00997508" w:rsidP="00997508">
            <w:pP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hideMark/>
          </w:tcPr>
          <w:p w:rsidR="00997508" w:rsidRPr="001567C8" w:rsidRDefault="00997508" w:rsidP="00997508">
            <w:pPr>
              <w:jc w:val="both"/>
              <w:rPr>
                <w:rFonts w:asciiTheme="minorHAnsi" w:hAnsiTheme="minorHAnsi"/>
                <w:sz w:val="18"/>
                <w:szCs w:val="18"/>
                <w:lang w:val="hr-HR"/>
              </w:rPr>
            </w:pPr>
          </w:p>
        </w:tc>
        <w:tc>
          <w:tcPr>
            <w:tcW w:w="1155" w:type="dxa"/>
            <w:tcBorders>
              <w:top w:val="nil"/>
              <w:left w:val="nil"/>
              <w:bottom w:val="nil"/>
              <w:right w:val="nil"/>
            </w:tcBorders>
            <w:shd w:val="clear" w:color="auto" w:fill="auto"/>
            <w:vAlign w:val="bottom"/>
            <w:hideMark/>
          </w:tcPr>
          <w:p w:rsidR="00997508" w:rsidRPr="001567C8" w:rsidRDefault="00997508" w:rsidP="00997508">
            <w:pPr>
              <w:jc w:val="both"/>
              <w:rPr>
                <w:rFonts w:asciiTheme="minorHAnsi" w:hAnsiTheme="minorHAnsi"/>
                <w:sz w:val="18"/>
                <w:szCs w:val="18"/>
                <w:lang w:val="hr-HR"/>
              </w:rPr>
            </w:pPr>
          </w:p>
        </w:tc>
        <w:tc>
          <w:tcPr>
            <w:tcW w:w="1156" w:type="dxa"/>
            <w:tcBorders>
              <w:top w:val="nil"/>
              <w:left w:val="nil"/>
              <w:bottom w:val="nil"/>
              <w:right w:val="nil"/>
            </w:tcBorders>
            <w:shd w:val="clear" w:color="auto" w:fill="auto"/>
            <w:vAlign w:val="bottom"/>
            <w:hideMark/>
          </w:tcPr>
          <w:p w:rsidR="00997508" w:rsidRPr="001567C8" w:rsidRDefault="00997508" w:rsidP="00997508">
            <w:pPr>
              <w:rPr>
                <w:rFonts w:asciiTheme="minorHAnsi" w:hAnsiTheme="minorHAnsi"/>
                <w:sz w:val="18"/>
                <w:szCs w:val="18"/>
                <w:lang w:val="hr-HR"/>
              </w:rPr>
            </w:pPr>
          </w:p>
        </w:tc>
      </w:tr>
      <w:tr w:rsidR="00997508" w:rsidRPr="001567C8" w:rsidTr="00361B04">
        <w:trPr>
          <w:trHeight w:val="175"/>
        </w:trPr>
        <w:tc>
          <w:tcPr>
            <w:tcW w:w="3919" w:type="dxa"/>
            <w:gridSpan w:val="2"/>
            <w:tcBorders>
              <w:top w:val="nil"/>
              <w:left w:val="nil"/>
              <w:bottom w:val="nil"/>
              <w:right w:val="nil"/>
            </w:tcBorders>
            <w:shd w:val="clear" w:color="auto" w:fill="auto"/>
            <w:noWrap/>
            <w:vAlign w:val="center"/>
            <w:hideMark/>
          </w:tcPr>
          <w:p w:rsidR="00997508" w:rsidRPr="001567C8" w:rsidRDefault="00997508" w:rsidP="00997508">
            <w:pPr>
              <w:jc w:val="both"/>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Dužnički vrijednosni papiri koji kotiraju:</w:t>
            </w:r>
          </w:p>
        </w:tc>
        <w:tc>
          <w:tcPr>
            <w:tcW w:w="1121" w:type="dxa"/>
            <w:tcBorders>
              <w:top w:val="nil"/>
              <w:left w:val="nil"/>
              <w:bottom w:val="nil"/>
              <w:right w:val="nil"/>
            </w:tcBorders>
            <w:shd w:val="clear" w:color="auto" w:fill="auto"/>
            <w:noWrap/>
            <w:vAlign w:val="center"/>
            <w:hideMark/>
          </w:tcPr>
          <w:p w:rsidR="00997508" w:rsidRPr="001567C8" w:rsidRDefault="00997508" w:rsidP="00997508">
            <w:pPr>
              <w:jc w:val="center"/>
              <w:rPr>
                <w:rFonts w:asciiTheme="minorHAnsi" w:hAnsiTheme="minorHAnsi"/>
                <w:sz w:val="18"/>
                <w:szCs w:val="18"/>
                <w:lang w:val="hr-HR"/>
              </w:rPr>
            </w:pPr>
          </w:p>
        </w:tc>
        <w:tc>
          <w:tcPr>
            <w:tcW w:w="1198" w:type="dxa"/>
            <w:tcBorders>
              <w:top w:val="nil"/>
              <w:left w:val="nil"/>
              <w:bottom w:val="nil"/>
              <w:right w:val="nil"/>
            </w:tcBorders>
            <w:shd w:val="clear" w:color="auto" w:fill="auto"/>
            <w:vAlign w:val="center"/>
            <w:hideMark/>
          </w:tcPr>
          <w:p w:rsidR="00997508" w:rsidRPr="001567C8" w:rsidRDefault="00997508" w:rsidP="00997508">
            <w:pPr>
              <w:jc w:val="both"/>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hideMark/>
          </w:tcPr>
          <w:p w:rsidR="00997508" w:rsidRPr="001567C8" w:rsidRDefault="00997508" w:rsidP="00997508">
            <w:pPr>
              <w:jc w:val="both"/>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hideMark/>
          </w:tcPr>
          <w:p w:rsidR="00997508" w:rsidRPr="001567C8" w:rsidRDefault="00997508" w:rsidP="00997508">
            <w:pPr>
              <w:jc w:val="both"/>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hideMark/>
          </w:tcPr>
          <w:p w:rsidR="00997508" w:rsidRPr="001567C8" w:rsidRDefault="00997508" w:rsidP="00997508">
            <w:pPr>
              <w:jc w:val="both"/>
              <w:rPr>
                <w:rFonts w:asciiTheme="minorHAnsi" w:hAnsiTheme="minorHAnsi"/>
                <w:sz w:val="18"/>
                <w:szCs w:val="18"/>
                <w:lang w:val="hr-HR"/>
              </w:rPr>
            </w:pPr>
          </w:p>
        </w:tc>
        <w:tc>
          <w:tcPr>
            <w:tcW w:w="1156" w:type="dxa"/>
            <w:tcBorders>
              <w:top w:val="nil"/>
              <w:left w:val="nil"/>
              <w:bottom w:val="nil"/>
              <w:right w:val="nil"/>
            </w:tcBorders>
            <w:shd w:val="clear" w:color="auto" w:fill="auto"/>
            <w:vAlign w:val="center"/>
            <w:hideMark/>
          </w:tcPr>
          <w:p w:rsidR="00997508" w:rsidRPr="001567C8" w:rsidRDefault="00997508" w:rsidP="00997508">
            <w:pPr>
              <w:jc w:val="both"/>
              <w:rPr>
                <w:rFonts w:asciiTheme="minorHAnsi" w:hAnsiTheme="minorHAnsi"/>
                <w:sz w:val="18"/>
                <w:szCs w:val="18"/>
                <w:lang w:val="hr-HR"/>
              </w:rPr>
            </w:pPr>
          </w:p>
        </w:tc>
      </w:tr>
      <w:tr w:rsidR="00997508" w:rsidRPr="001567C8" w:rsidTr="00361B04">
        <w:trPr>
          <w:trHeight w:val="207"/>
        </w:trPr>
        <w:tc>
          <w:tcPr>
            <w:tcW w:w="5040" w:type="dxa"/>
            <w:gridSpan w:val="3"/>
            <w:tcBorders>
              <w:top w:val="nil"/>
              <w:left w:val="nil"/>
              <w:bottom w:val="nil"/>
              <w:right w:val="nil"/>
            </w:tcBorders>
            <w:shd w:val="clear" w:color="auto" w:fill="auto"/>
            <w:noWrap/>
            <w:vAlign w:val="center"/>
            <w:hideMark/>
          </w:tcPr>
          <w:p w:rsidR="00997508" w:rsidRPr="001567C8" w:rsidRDefault="00997508" w:rsidP="00997508">
            <w:pPr>
              <w:jc w:val="both"/>
              <w:rPr>
                <w:rFonts w:asciiTheme="minorHAnsi" w:hAnsiTheme="minorHAnsi" w:cs="Arial"/>
                <w:i/>
                <w:iCs/>
                <w:color w:val="000000"/>
                <w:sz w:val="18"/>
                <w:szCs w:val="18"/>
                <w:lang w:val="hr-HR"/>
              </w:rPr>
            </w:pPr>
            <w:r w:rsidRPr="001567C8">
              <w:rPr>
                <w:rFonts w:asciiTheme="minorHAnsi" w:hAnsiTheme="minorHAnsi" w:cs="Arial"/>
                <w:i/>
                <w:iCs/>
                <w:color w:val="000000"/>
                <w:sz w:val="18"/>
                <w:szCs w:val="18"/>
                <w:lang w:val="hr-HR"/>
              </w:rPr>
              <w:t>Obveznice Republike Hrvatske s valutnom klauzulom:</w:t>
            </w:r>
          </w:p>
        </w:tc>
        <w:tc>
          <w:tcPr>
            <w:tcW w:w="1198" w:type="dxa"/>
            <w:tcBorders>
              <w:top w:val="nil"/>
              <w:left w:val="nil"/>
              <w:bottom w:val="nil"/>
              <w:right w:val="nil"/>
            </w:tcBorders>
            <w:shd w:val="clear" w:color="auto" w:fill="auto"/>
            <w:noWrap/>
            <w:vAlign w:val="center"/>
            <w:hideMark/>
          </w:tcPr>
          <w:p w:rsidR="00997508" w:rsidRPr="001567C8" w:rsidRDefault="00997508" w:rsidP="00997508">
            <w:pPr>
              <w:jc w:val="both"/>
              <w:rPr>
                <w:rFonts w:asciiTheme="minorHAnsi" w:hAnsiTheme="minorHAnsi" w:cs="Arial"/>
                <w:i/>
                <w:iCs/>
                <w:color w:val="000000"/>
                <w:sz w:val="18"/>
                <w:szCs w:val="18"/>
                <w:lang w:val="hr-HR"/>
              </w:rPr>
            </w:pPr>
          </w:p>
        </w:tc>
        <w:tc>
          <w:tcPr>
            <w:tcW w:w="1155" w:type="dxa"/>
            <w:tcBorders>
              <w:top w:val="nil"/>
              <w:left w:val="nil"/>
              <w:bottom w:val="nil"/>
              <w:right w:val="nil"/>
            </w:tcBorders>
            <w:shd w:val="clear" w:color="auto" w:fill="auto"/>
            <w:vAlign w:val="center"/>
            <w:hideMark/>
          </w:tcPr>
          <w:p w:rsidR="00997508" w:rsidRPr="001567C8" w:rsidRDefault="00997508" w:rsidP="00997508">
            <w:pPr>
              <w:jc w:val="right"/>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hideMark/>
          </w:tcPr>
          <w:p w:rsidR="00997508" w:rsidRPr="001567C8" w:rsidRDefault="00997508" w:rsidP="00997508">
            <w:pPr>
              <w:jc w:val="right"/>
              <w:rPr>
                <w:rFonts w:asciiTheme="minorHAnsi" w:hAnsiTheme="minorHAnsi"/>
                <w:sz w:val="18"/>
                <w:szCs w:val="18"/>
                <w:lang w:val="hr-HR"/>
              </w:rPr>
            </w:pPr>
          </w:p>
        </w:tc>
        <w:tc>
          <w:tcPr>
            <w:tcW w:w="1155" w:type="dxa"/>
            <w:tcBorders>
              <w:top w:val="nil"/>
              <w:left w:val="nil"/>
              <w:bottom w:val="nil"/>
              <w:right w:val="nil"/>
            </w:tcBorders>
            <w:shd w:val="clear" w:color="auto" w:fill="auto"/>
            <w:noWrap/>
            <w:vAlign w:val="center"/>
            <w:hideMark/>
          </w:tcPr>
          <w:p w:rsidR="00997508" w:rsidRPr="001567C8" w:rsidRDefault="00997508" w:rsidP="00997508">
            <w:pPr>
              <w:jc w:val="right"/>
              <w:rPr>
                <w:rFonts w:asciiTheme="minorHAnsi" w:hAnsiTheme="minorHAnsi"/>
                <w:sz w:val="18"/>
                <w:szCs w:val="18"/>
                <w:lang w:val="hr-HR"/>
              </w:rPr>
            </w:pPr>
          </w:p>
        </w:tc>
        <w:tc>
          <w:tcPr>
            <w:tcW w:w="1156" w:type="dxa"/>
            <w:tcBorders>
              <w:top w:val="nil"/>
              <w:left w:val="nil"/>
              <w:bottom w:val="nil"/>
              <w:right w:val="nil"/>
            </w:tcBorders>
            <w:shd w:val="clear" w:color="auto" w:fill="auto"/>
            <w:vAlign w:val="center"/>
            <w:hideMark/>
          </w:tcPr>
          <w:p w:rsidR="00997508" w:rsidRPr="001567C8" w:rsidRDefault="00997508" w:rsidP="00997508">
            <w:pPr>
              <w:jc w:val="right"/>
              <w:rPr>
                <w:rFonts w:asciiTheme="minorHAnsi" w:hAnsiTheme="minorHAnsi"/>
                <w:sz w:val="18"/>
                <w:szCs w:val="18"/>
                <w:lang w:val="hr-HR"/>
              </w:rPr>
            </w:pPr>
          </w:p>
        </w:tc>
      </w:tr>
      <w:tr w:rsidR="00714EAD" w:rsidRPr="001567C8" w:rsidTr="00B8477D">
        <w:trPr>
          <w:trHeight w:val="175"/>
        </w:trPr>
        <w:tc>
          <w:tcPr>
            <w:tcW w:w="2799"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RHMF-O-19BA</w:t>
            </w:r>
          </w:p>
        </w:tc>
        <w:tc>
          <w:tcPr>
            <w:tcW w:w="1120"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29.11.2004.</w:t>
            </w:r>
          </w:p>
        </w:tc>
        <w:tc>
          <w:tcPr>
            <w:tcW w:w="1121"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29.11.2019.</w:t>
            </w:r>
          </w:p>
        </w:tc>
        <w:tc>
          <w:tcPr>
            <w:tcW w:w="1198" w:type="dxa"/>
            <w:tcBorders>
              <w:top w:val="nil"/>
              <w:left w:val="nil"/>
              <w:bottom w:val="nil"/>
              <w:right w:val="nil"/>
            </w:tcBorders>
            <w:shd w:val="clear" w:color="auto" w:fill="auto"/>
            <w:noWrap/>
            <w:vAlign w:val="center"/>
            <w:hideMark/>
          </w:tcPr>
          <w:p w:rsidR="00714EAD" w:rsidRPr="001567C8" w:rsidRDefault="00714EAD" w:rsidP="00714EAD">
            <w:pPr>
              <w:jc w:val="center"/>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5,375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44.711</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43.777</w:t>
            </w:r>
          </w:p>
        </w:tc>
        <w:tc>
          <w:tcPr>
            <w:tcW w:w="1156"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r>
      <w:tr w:rsidR="00714EAD" w:rsidRPr="001567C8" w:rsidTr="00B8477D">
        <w:trPr>
          <w:trHeight w:val="175"/>
        </w:trPr>
        <w:tc>
          <w:tcPr>
            <w:tcW w:w="2799"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RHMF-O-227E</w:t>
            </w:r>
          </w:p>
        </w:tc>
        <w:tc>
          <w:tcPr>
            <w:tcW w:w="1120"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22.7.2011.</w:t>
            </w:r>
          </w:p>
        </w:tc>
        <w:tc>
          <w:tcPr>
            <w:tcW w:w="1121"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22.7.2022.</w:t>
            </w:r>
          </w:p>
        </w:tc>
        <w:tc>
          <w:tcPr>
            <w:tcW w:w="1198" w:type="dxa"/>
            <w:tcBorders>
              <w:top w:val="nil"/>
              <w:left w:val="nil"/>
              <w:bottom w:val="nil"/>
              <w:right w:val="nil"/>
            </w:tcBorders>
            <w:shd w:val="clear" w:color="auto" w:fill="auto"/>
            <w:noWrap/>
            <w:vAlign w:val="center"/>
            <w:hideMark/>
          </w:tcPr>
          <w:p w:rsidR="00714EAD" w:rsidRPr="001567C8" w:rsidRDefault="00714EAD" w:rsidP="00714EAD">
            <w:pPr>
              <w:jc w:val="center"/>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6,5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169.815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169.815</w:t>
            </w:r>
          </w:p>
        </w:tc>
        <w:tc>
          <w:tcPr>
            <w:tcW w:w="1156"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r>
      <w:tr w:rsidR="00714EAD" w:rsidRPr="001567C8" w:rsidTr="00B8477D">
        <w:trPr>
          <w:trHeight w:val="175"/>
        </w:trPr>
        <w:tc>
          <w:tcPr>
            <w:tcW w:w="2799"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RHMF-O-247E</w:t>
            </w:r>
          </w:p>
        </w:tc>
        <w:tc>
          <w:tcPr>
            <w:tcW w:w="1120"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10.7.2013.</w:t>
            </w:r>
          </w:p>
        </w:tc>
        <w:tc>
          <w:tcPr>
            <w:tcW w:w="1121"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10.7.2024.</w:t>
            </w:r>
          </w:p>
        </w:tc>
        <w:tc>
          <w:tcPr>
            <w:tcW w:w="1198" w:type="dxa"/>
            <w:tcBorders>
              <w:top w:val="nil"/>
              <w:left w:val="nil"/>
              <w:bottom w:val="nil"/>
              <w:right w:val="nil"/>
            </w:tcBorders>
            <w:shd w:val="clear" w:color="auto" w:fill="auto"/>
            <w:noWrap/>
            <w:vAlign w:val="center"/>
            <w:hideMark/>
          </w:tcPr>
          <w:p w:rsidR="00714EAD" w:rsidRPr="001567C8" w:rsidRDefault="00714EAD" w:rsidP="00714EAD">
            <w:pPr>
              <w:jc w:val="center"/>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5,75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18.083</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12.728</w:t>
            </w:r>
          </w:p>
        </w:tc>
        <w:tc>
          <w:tcPr>
            <w:tcW w:w="1156"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r>
      <w:tr w:rsidR="00714EAD" w:rsidRPr="001567C8" w:rsidTr="00B8477D">
        <w:trPr>
          <w:trHeight w:val="175"/>
        </w:trPr>
        <w:tc>
          <w:tcPr>
            <w:tcW w:w="2799"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RHMF-O-203E</w:t>
            </w:r>
          </w:p>
        </w:tc>
        <w:tc>
          <w:tcPr>
            <w:tcW w:w="1120"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5.3.2010.</w:t>
            </w:r>
          </w:p>
        </w:tc>
        <w:tc>
          <w:tcPr>
            <w:tcW w:w="1121"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5.3.2020.</w:t>
            </w:r>
          </w:p>
        </w:tc>
        <w:tc>
          <w:tcPr>
            <w:tcW w:w="1198" w:type="dxa"/>
            <w:tcBorders>
              <w:top w:val="nil"/>
              <w:left w:val="nil"/>
              <w:bottom w:val="nil"/>
              <w:right w:val="nil"/>
            </w:tcBorders>
            <w:shd w:val="clear" w:color="auto" w:fill="auto"/>
            <w:noWrap/>
            <w:vAlign w:val="bottom"/>
            <w:hideMark/>
          </w:tcPr>
          <w:p w:rsidR="00714EAD" w:rsidRPr="001567C8" w:rsidRDefault="00714EAD" w:rsidP="00714EAD">
            <w:pPr>
              <w:jc w:val="center"/>
              <w:rPr>
                <w:rFonts w:asciiTheme="minorHAnsi" w:hAnsiTheme="minorHAnsi" w:cs="Arial"/>
                <w:sz w:val="18"/>
                <w:szCs w:val="18"/>
                <w:lang w:val="hr-HR"/>
              </w:rPr>
            </w:pPr>
            <w:r w:rsidRPr="001567C8">
              <w:rPr>
                <w:rFonts w:asciiTheme="minorHAnsi" w:hAnsiTheme="minorHAnsi" w:cs="Arial"/>
                <w:sz w:val="18"/>
                <w:szCs w:val="18"/>
                <w:lang w:val="hr-HR"/>
              </w:rPr>
              <w:t>6,5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797</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w:t>
            </w:r>
          </w:p>
        </w:tc>
        <w:tc>
          <w:tcPr>
            <w:tcW w:w="1156"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w:t>
            </w:r>
          </w:p>
        </w:tc>
      </w:tr>
      <w:tr w:rsidR="00714EAD" w:rsidRPr="001567C8" w:rsidTr="00361B04">
        <w:trPr>
          <w:trHeight w:val="175"/>
        </w:trPr>
        <w:tc>
          <w:tcPr>
            <w:tcW w:w="3919" w:type="dxa"/>
            <w:gridSpan w:val="2"/>
            <w:tcBorders>
              <w:top w:val="nil"/>
              <w:left w:val="nil"/>
              <w:bottom w:val="nil"/>
              <w:right w:val="nil"/>
            </w:tcBorders>
            <w:shd w:val="clear" w:color="auto" w:fill="auto"/>
            <w:noWrap/>
            <w:vAlign w:val="center"/>
            <w:hideMark/>
          </w:tcPr>
          <w:p w:rsidR="00714EAD" w:rsidRPr="001567C8" w:rsidRDefault="00714EAD" w:rsidP="00714EAD">
            <w:pPr>
              <w:rPr>
                <w:rFonts w:asciiTheme="minorHAnsi" w:hAnsiTheme="minorHAnsi" w:cs="Arial"/>
                <w:i/>
                <w:iCs/>
                <w:sz w:val="18"/>
                <w:szCs w:val="18"/>
                <w:lang w:val="hr-HR"/>
              </w:rPr>
            </w:pPr>
            <w:r w:rsidRPr="001567C8">
              <w:rPr>
                <w:rFonts w:asciiTheme="minorHAnsi" w:hAnsiTheme="minorHAnsi" w:cs="Arial"/>
                <w:i/>
                <w:iCs/>
                <w:sz w:val="18"/>
                <w:szCs w:val="18"/>
                <w:lang w:val="hr-HR"/>
              </w:rPr>
              <w:t>Obveznice Republike Hrvatske u valuti:</w:t>
            </w:r>
          </w:p>
        </w:tc>
        <w:tc>
          <w:tcPr>
            <w:tcW w:w="1121" w:type="dxa"/>
            <w:tcBorders>
              <w:top w:val="nil"/>
              <w:left w:val="nil"/>
              <w:bottom w:val="nil"/>
              <w:right w:val="nil"/>
            </w:tcBorders>
            <w:shd w:val="clear" w:color="auto" w:fill="auto"/>
            <w:noWrap/>
            <w:vAlign w:val="bottom"/>
            <w:hideMark/>
          </w:tcPr>
          <w:p w:rsidR="00714EAD" w:rsidRPr="001567C8" w:rsidRDefault="00714EAD" w:rsidP="00714EAD">
            <w:pPr>
              <w:rPr>
                <w:rFonts w:asciiTheme="minorHAnsi" w:hAnsiTheme="minorHAnsi" w:cs="Arial"/>
                <w:i/>
                <w:iCs/>
                <w:sz w:val="18"/>
                <w:szCs w:val="18"/>
                <w:lang w:val="hr-HR"/>
              </w:rPr>
            </w:pPr>
          </w:p>
        </w:tc>
        <w:tc>
          <w:tcPr>
            <w:tcW w:w="1198" w:type="dxa"/>
            <w:tcBorders>
              <w:top w:val="nil"/>
              <w:left w:val="nil"/>
              <w:bottom w:val="nil"/>
              <w:right w:val="nil"/>
            </w:tcBorders>
            <w:shd w:val="clear" w:color="auto" w:fill="auto"/>
            <w:noWrap/>
            <w:vAlign w:val="center"/>
            <w:hideMark/>
          </w:tcPr>
          <w:p w:rsidR="00714EAD" w:rsidRPr="001567C8" w:rsidRDefault="00714EAD" w:rsidP="00714EAD">
            <w:pP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center"/>
              <w:rPr>
                <w:rFonts w:asciiTheme="minorHAnsi" w:hAnsiTheme="minorHAnsi"/>
                <w:sz w:val="18"/>
                <w:szCs w:val="18"/>
                <w:lang w:val="hr-HR"/>
              </w:rPr>
            </w:pPr>
          </w:p>
        </w:tc>
        <w:tc>
          <w:tcPr>
            <w:tcW w:w="1156"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sz w:val="18"/>
                <w:szCs w:val="18"/>
                <w:lang w:val="hr-HR"/>
              </w:rPr>
            </w:pPr>
          </w:p>
        </w:tc>
      </w:tr>
      <w:tr w:rsidR="00714EAD" w:rsidRPr="001567C8" w:rsidTr="00B8477D">
        <w:trPr>
          <w:trHeight w:val="175"/>
        </w:trPr>
        <w:tc>
          <w:tcPr>
            <w:tcW w:w="2799"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XS1117298916</w:t>
            </w:r>
          </w:p>
        </w:tc>
        <w:tc>
          <w:tcPr>
            <w:tcW w:w="1120"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11.3.2015.</w:t>
            </w:r>
          </w:p>
        </w:tc>
        <w:tc>
          <w:tcPr>
            <w:tcW w:w="1121"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11.3.2025.</w:t>
            </w:r>
          </w:p>
        </w:tc>
        <w:tc>
          <w:tcPr>
            <w:tcW w:w="1198" w:type="dxa"/>
            <w:tcBorders>
              <w:top w:val="nil"/>
              <w:left w:val="nil"/>
              <w:bottom w:val="nil"/>
              <w:right w:val="nil"/>
            </w:tcBorders>
            <w:shd w:val="clear" w:color="auto" w:fill="auto"/>
            <w:noWrap/>
            <w:vAlign w:val="center"/>
            <w:hideMark/>
          </w:tcPr>
          <w:p w:rsidR="00714EAD" w:rsidRPr="001567C8" w:rsidRDefault="00714EAD" w:rsidP="00714EAD">
            <w:pPr>
              <w:jc w:val="center"/>
              <w:rPr>
                <w:rFonts w:asciiTheme="minorHAnsi" w:hAnsiTheme="minorHAnsi" w:cs="Arial"/>
                <w:sz w:val="18"/>
                <w:szCs w:val="18"/>
                <w:lang w:val="hr-HR"/>
              </w:rPr>
            </w:pPr>
            <w:r w:rsidRPr="001567C8">
              <w:rPr>
                <w:rFonts w:asciiTheme="minorHAnsi" w:hAnsiTheme="minorHAnsi" w:cs="Arial"/>
                <w:sz w:val="18"/>
                <w:szCs w:val="18"/>
                <w:lang w:val="hr-HR"/>
              </w:rPr>
              <w:t>3,0</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55.867</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55.867</w:t>
            </w:r>
          </w:p>
        </w:tc>
        <w:tc>
          <w:tcPr>
            <w:tcW w:w="1156"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r>
      <w:tr w:rsidR="00714EAD" w:rsidRPr="001567C8" w:rsidTr="00361B04">
        <w:trPr>
          <w:trHeight w:val="175"/>
        </w:trPr>
        <w:tc>
          <w:tcPr>
            <w:tcW w:w="3919" w:type="dxa"/>
            <w:gridSpan w:val="2"/>
            <w:tcBorders>
              <w:top w:val="nil"/>
              <w:left w:val="nil"/>
              <w:bottom w:val="nil"/>
              <w:right w:val="nil"/>
            </w:tcBorders>
            <w:shd w:val="clear" w:color="auto" w:fill="auto"/>
            <w:noWrap/>
            <w:vAlign w:val="center"/>
            <w:hideMark/>
          </w:tcPr>
          <w:p w:rsidR="00714EAD" w:rsidRPr="001567C8" w:rsidRDefault="00714EAD" w:rsidP="00714EAD">
            <w:pPr>
              <w:rPr>
                <w:rFonts w:asciiTheme="minorHAnsi" w:hAnsiTheme="minorHAnsi" w:cs="Arial"/>
                <w:i/>
                <w:iCs/>
                <w:sz w:val="18"/>
                <w:szCs w:val="18"/>
                <w:lang w:val="hr-HR"/>
              </w:rPr>
            </w:pPr>
            <w:r w:rsidRPr="001567C8">
              <w:rPr>
                <w:rFonts w:asciiTheme="minorHAnsi" w:hAnsiTheme="minorHAnsi" w:cs="Arial"/>
                <w:i/>
                <w:iCs/>
                <w:sz w:val="18"/>
                <w:szCs w:val="18"/>
                <w:lang w:val="hr-HR"/>
              </w:rPr>
              <w:t>Obveznice Republike Hrvatske u kunama:</w:t>
            </w:r>
          </w:p>
        </w:tc>
        <w:tc>
          <w:tcPr>
            <w:tcW w:w="1121" w:type="dxa"/>
            <w:tcBorders>
              <w:top w:val="nil"/>
              <w:left w:val="nil"/>
              <w:bottom w:val="nil"/>
              <w:right w:val="nil"/>
            </w:tcBorders>
            <w:shd w:val="clear" w:color="auto" w:fill="auto"/>
            <w:noWrap/>
            <w:vAlign w:val="bottom"/>
            <w:hideMark/>
          </w:tcPr>
          <w:p w:rsidR="00714EAD" w:rsidRPr="001567C8" w:rsidRDefault="00714EAD" w:rsidP="00714EAD">
            <w:pPr>
              <w:rPr>
                <w:rFonts w:asciiTheme="minorHAnsi" w:hAnsiTheme="minorHAnsi" w:cs="Arial"/>
                <w:i/>
                <w:iCs/>
                <w:sz w:val="18"/>
                <w:szCs w:val="18"/>
                <w:lang w:val="hr-HR"/>
              </w:rPr>
            </w:pPr>
          </w:p>
        </w:tc>
        <w:tc>
          <w:tcPr>
            <w:tcW w:w="1198" w:type="dxa"/>
            <w:tcBorders>
              <w:top w:val="nil"/>
              <w:left w:val="nil"/>
              <w:bottom w:val="nil"/>
              <w:right w:val="nil"/>
            </w:tcBorders>
            <w:shd w:val="clear" w:color="auto" w:fill="auto"/>
            <w:noWrap/>
            <w:vAlign w:val="center"/>
            <w:hideMark/>
          </w:tcPr>
          <w:p w:rsidR="00714EAD" w:rsidRPr="001567C8" w:rsidRDefault="00714EAD" w:rsidP="00714EAD">
            <w:pP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cente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center"/>
              <w:rPr>
                <w:rFonts w:asciiTheme="minorHAnsi" w:hAnsiTheme="minorHAnsi"/>
                <w:sz w:val="18"/>
                <w:szCs w:val="18"/>
                <w:lang w:val="hr-HR"/>
              </w:rPr>
            </w:pPr>
          </w:p>
        </w:tc>
        <w:tc>
          <w:tcPr>
            <w:tcW w:w="1156"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sz w:val="18"/>
                <w:szCs w:val="18"/>
                <w:lang w:val="hr-HR"/>
              </w:rPr>
            </w:pPr>
          </w:p>
        </w:tc>
      </w:tr>
      <w:tr w:rsidR="00714EAD" w:rsidRPr="001567C8" w:rsidTr="00B8477D">
        <w:trPr>
          <w:trHeight w:val="175"/>
        </w:trPr>
        <w:tc>
          <w:tcPr>
            <w:tcW w:w="2799"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RHMF-O-203A</w:t>
            </w:r>
          </w:p>
        </w:tc>
        <w:tc>
          <w:tcPr>
            <w:tcW w:w="1120"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5.3.2010.</w:t>
            </w:r>
          </w:p>
        </w:tc>
        <w:tc>
          <w:tcPr>
            <w:tcW w:w="1121"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5.3.2020.</w:t>
            </w:r>
          </w:p>
        </w:tc>
        <w:tc>
          <w:tcPr>
            <w:tcW w:w="1198" w:type="dxa"/>
            <w:tcBorders>
              <w:top w:val="nil"/>
              <w:left w:val="nil"/>
              <w:bottom w:val="nil"/>
              <w:right w:val="nil"/>
            </w:tcBorders>
            <w:shd w:val="clear" w:color="auto" w:fill="auto"/>
            <w:noWrap/>
            <w:vAlign w:val="center"/>
            <w:hideMark/>
          </w:tcPr>
          <w:p w:rsidR="00714EAD" w:rsidRPr="001567C8" w:rsidRDefault="00714EAD" w:rsidP="00714EAD">
            <w:pPr>
              <w:jc w:val="center"/>
              <w:rPr>
                <w:rFonts w:asciiTheme="minorHAnsi" w:hAnsiTheme="minorHAnsi" w:cs="Arial"/>
                <w:sz w:val="18"/>
                <w:szCs w:val="18"/>
                <w:lang w:val="hr-HR"/>
              </w:rPr>
            </w:pPr>
            <w:r w:rsidRPr="001567C8">
              <w:rPr>
                <w:rFonts w:asciiTheme="minorHAnsi" w:hAnsiTheme="minorHAnsi" w:cs="Arial"/>
                <w:sz w:val="18"/>
                <w:szCs w:val="18"/>
                <w:lang w:val="hr-HR"/>
              </w:rPr>
              <w:t>6,75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35.074</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32.270</w:t>
            </w:r>
          </w:p>
        </w:tc>
        <w:tc>
          <w:tcPr>
            <w:tcW w:w="1156"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w:t>
            </w:r>
          </w:p>
        </w:tc>
      </w:tr>
      <w:tr w:rsidR="00714EAD" w:rsidRPr="001567C8" w:rsidTr="00B8477D">
        <w:trPr>
          <w:trHeight w:val="175"/>
        </w:trPr>
        <w:tc>
          <w:tcPr>
            <w:tcW w:w="2799"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RHMF-O-257A</w:t>
            </w:r>
          </w:p>
        </w:tc>
        <w:tc>
          <w:tcPr>
            <w:tcW w:w="1120"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9.7.2015.</w:t>
            </w:r>
          </w:p>
        </w:tc>
        <w:tc>
          <w:tcPr>
            <w:tcW w:w="1121"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9.7.2025.</w:t>
            </w:r>
          </w:p>
        </w:tc>
        <w:tc>
          <w:tcPr>
            <w:tcW w:w="1198" w:type="dxa"/>
            <w:tcBorders>
              <w:top w:val="nil"/>
              <w:left w:val="nil"/>
              <w:bottom w:val="nil"/>
              <w:right w:val="nil"/>
            </w:tcBorders>
            <w:shd w:val="clear" w:color="auto" w:fill="auto"/>
            <w:noWrap/>
            <w:vAlign w:val="bottom"/>
            <w:hideMark/>
          </w:tcPr>
          <w:p w:rsidR="00714EAD" w:rsidRPr="001567C8" w:rsidRDefault="00714EAD" w:rsidP="00714EAD">
            <w:pPr>
              <w:jc w:val="center"/>
              <w:rPr>
                <w:rFonts w:asciiTheme="minorHAnsi" w:hAnsiTheme="minorHAnsi" w:cs="Arial"/>
                <w:sz w:val="18"/>
                <w:szCs w:val="18"/>
                <w:lang w:val="hr-HR"/>
              </w:rPr>
            </w:pPr>
            <w:r w:rsidRPr="001567C8">
              <w:rPr>
                <w:rFonts w:asciiTheme="minorHAnsi" w:hAnsiTheme="minorHAnsi" w:cs="Arial"/>
                <w:sz w:val="18"/>
                <w:szCs w:val="18"/>
                <w:lang w:val="hr-HR"/>
              </w:rPr>
              <w:t>4,5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9.861</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w:t>
            </w:r>
          </w:p>
        </w:tc>
        <w:tc>
          <w:tcPr>
            <w:tcW w:w="1156"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w:t>
            </w:r>
          </w:p>
        </w:tc>
      </w:tr>
      <w:tr w:rsidR="00714EAD" w:rsidRPr="001567C8" w:rsidTr="00B8477D">
        <w:trPr>
          <w:trHeight w:val="175"/>
        </w:trPr>
        <w:tc>
          <w:tcPr>
            <w:tcW w:w="2799"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RHMF-O-26CA</w:t>
            </w:r>
          </w:p>
        </w:tc>
        <w:tc>
          <w:tcPr>
            <w:tcW w:w="1120"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14.12.2015.</w:t>
            </w:r>
          </w:p>
        </w:tc>
        <w:tc>
          <w:tcPr>
            <w:tcW w:w="1121" w:type="dxa"/>
            <w:tcBorders>
              <w:top w:val="nil"/>
              <w:left w:val="nil"/>
              <w:bottom w:val="nil"/>
              <w:right w:val="nil"/>
            </w:tcBorders>
            <w:shd w:val="clear" w:color="auto" w:fill="auto"/>
            <w:noWrap/>
            <w:vAlign w:val="center"/>
            <w:hideMark/>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14.12.2026.</w:t>
            </w:r>
          </w:p>
        </w:tc>
        <w:tc>
          <w:tcPr>
            <w:tcW w:w="1198" w:type="dxa"/>
            <w:tcBorders>
              <w:top w:val="nil"/>
              <w:left w:val="nil"/>
              <w:bottom w:val="nil"/>
              <w:right w:val="nil"/>
            </w:tcBorders>
            <w:shd w:val="clear" w:color="auto" w:fill="auto"/>
            <w:noWrap/>
            <w:vAlign w:val="bottom"/>
            <w:hideMark/>
          </w:tcPr>
          <w:p w:rsidR="00714EAD" w:rsidRPr="001567C8" w:rsidRDefault="00714EAD" w:rsidP="00714EAD">
            <w:pPr>
              <w:jc w:val="center"/>
              <w:rPr>
                <w:rFonts w:asciiTheme="minorHAnsi" w:hAnsiTheme="minorHAnsi" w:cs="Arial"/>
                <w:sz w:val="18"/>
                <w:szCs w:val="18"/>
                <w:lang w:val="hr-HR"/>
              </w:rPr>
            </w:pPr>
            <w:r w:rsidRPr="001567C8">
              <w:rPr>
                <w:rFonts w:asciiTheme="minorHAnsi" w:hAnsiTheme="minorHAnsi" w:cs="Arial"/>
                <w:sz w:val="18"/>
                <w:szCs w:val="18"/>
                <w:lang w:val="hr-HR"/>
              </w:rPr>
              <w:t>4,25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44.544</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35.261</w:t>
            </w:r>
          </w:p>
        </w:tc>
        <w:tc>
          <w:tcPr>
            <w:tcW w:w="1156"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r>
      <w:tr w:rsidR="00714EAD" w:rsidRPr="001567C8" w:rsidTr="00B8477D">
        <w:trPr>
          <w:trHeight w:val="175"/>
        </w:trPr>
        <w:tc>
          <w:tcPr>
            <w:tcW w:w="2799" w:type="dxa"/>
            <w:tcBorders>
              <w:top w:val="nil"/>
              <w:left w:val="nil"/>
              <w:bottom w:val="nil"/>
              <w:right w:val="nil"/>
            </w:tcBorders>
            <w:shd w:val="clear" w:color="auto" w:fill="auto"/>
            <w:noWrap/>
            <w:vAlign w:val="center"/>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RHMF-O-217A</w:t>
            </w:r>
          </w:p>
        </w:tc>
        <w:tc>
          <w:tcPr>
            <w:tcW w:w="1120" w:type="dxa"/>
            <w:tcBorders>
              <w:top w:val="nil"/>
              <w:left w:val="nil"/>
              <w:bottom w:val="nil"/>
              <w:right w:val="nil"/>
            </w:tcBorders>
            <w:shd w:val="clear" w:color="auto" w:fill="auto"/>
            <w:noWrap/>
            <w:vAlign w:val="center"/>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8.7.2016.</w:t>
            </w:r>
          </w:p>
        </w:tc>
        <w:tc>
          <w:tcPr>
            <w:tcW w:w="1121" w:type="dxa"/>
            <w:tcBorders>
              <w:top w:val="nil"/>
              <w:left w:val="nil"/>
              <w:bottom w:val="nil"/>
              <w:right w:val="nil"/>
            </w:tcBorders>
            <w:shd w:val="clear" w:color="auto" w:fill="auto"/>
            <w:noWrap/>
            <w:vAlign w:val="center"/>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8.7.2021.</w:t>
            </w:r>
          </w:p>
        </w:tc>
        <w:tc>
          <w:tcPr>
            <w:tcW w:w="1198" w:type="dxa"/>
            <w:tcBorders>
              <w:top w:val="nil"/>
              <w:left w:val="nil"/>
              <w:bottom w:val="nil"/>
              <w:right w:val="nil"/>
            </w:tcBorders>
            <w:shd w:val="clear" w:color="auto" w:fill="auto"/>
            <w:noWrap/>
            <w:vAlign w:val="bottom"/>
          </w:tcPr>
          <w:p w:rsidR="00714EAD" w:rsidRPr="001567C8" w:rsidRDefault="00714EAD" w:rsidP="00714EAD">
            <w:pPr>
              <w:jc w:val="center"/>
              <w:rPr>
                <w:rFonts w:asciiTheme="minorHAnsi" w:hAnsiTheme="minorHAnsi" w:cs="Arial"/>
                <w:sz w:val="18"/>
                <w:szCs w:val="18"/>
                <w:lang w:val="hr-HR"/>
              </w:rPr>
            </w:pPr>
            <w:r w:rsidRPr="001567C8">
              <w:rPr>
                <w:rFonts w:asciiTheme="minorHAnsi" w:hAnsiTheme="minorHAnsi" w:cs="Arial"/>
                <w:sz w:val="18"/>
                <w:szCs w:val="18"/>
                <w:lang w:val="hr-HR"/>
              </w:rPr>
              <w:t>2,75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229.636</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227.522</w:t>
            </w:r>
          </w:p>
        </w:tc>
        <w:tc>
          <w:tcPr>
            <w:tcW w:w="1156"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n/p</w:t>
            </w:r>
          </w:p>
        </w:tc>
      </w:tr>
      <w:tr w:rsidR="00714EAD" w:rsidRPr="001567C8" w:rsidTr="00B8477D">
        <w:trPr>
          <w:trHeight w:val="175"/>
        </w:trPr>
        <w:tc>
          <w:tcPr>
            <w:tcW w:w="2799" w:type="dxa"/>
            <w:tcBorders>
              <w:top w:val="nil"/>
              <w:left w:val="nil"/>
              <w:bottom w:val="nil"/>
              <w:right w:val="nil"/>
            </w:tcBorders>
            <w:shd w:val="clear" w:color="auto" w:fill="auto"/>
            <w:noWrap/>
            <w:vAlign w:val="center"/>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RHMF-O-222A</w:t>
            </w:r>
          </w:p>
        </w:tc>
        <w:tc>
          <w:tcPr>
            <w:tcW w:w="1120" w:type="dxa"/>
            <w:tcBorders>
              <w:top w:val="nil"/>
              <w:left w:val="nil"/>
              <w:bottom w:val="nil"/>
              <w:right w:val="nil"/>
            </w:tcBorders>
            <w:shd w:val="clear" w:color="auto" w:fill="auto"/>
            <w:noWrap/>
            <w:vAlign w:val="center"/>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7.2.2017.</w:t>
            </w:r>
          </w:p>
        </w:tc>
        <w:tc>
          <w:tcPr>
            <w:tcW w:w="1121" w:type="dxa"/>
            <w:tcBorders>
              <w:top w:val="nil"/>
              <w:left w:val="nil"/>
              <w:bottom w:val="nil"/>
              <w:right w:val="nil"/>
            </w:tcBorders>
            <w:shd w:val="clear" w:color="auto" w:fill="auto"/>
            <w:noWrap/>
            <w:vAlign w:val="center"/>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7.2.2022.</w:t>
            </w:r>
          </w:p>
        </w:tc>
        <w:tc>
          <w:tcPr>
            <w:tcW w:w="1198" w:type="dxa"/>
            <w:tcBorders>
              <w:top w:val="nil"/>
              <w:left w:val="nil"/>
              <w:bottom w:val="nil"/>
              <w:right w:val="nil"/>
            </w:tcBorders>
            <w:shd w:val="clear" w:color="auto" w:fill="auto"/>
            <w:noWrap/>
            <w:vAlign w:val="bottom"/>
          </w:tcPr>
          <w:p w:rsidR="00714EAD" w:rsidRPr="001567C8" w:rsidRDefault="00714EAD" w:rsidP="00714EAD">
            <w:pPr>
              <w:jc w:val="center"/>
              <w:rPr>
                <w:rFonts w:asciiTheme="minorHAnsi" w:hAnsiTheme="minorHAnsi" w:cs="Arial"/>
                <w:sz w:val="18"/>
                <w:szCs w:val="18"/>
                <w:lang w:val="hr-HR"/>
              </w:rPr>
            </w:pPr>
            <w:r w:rsidRPr="001567C8">
              <w:rPr>
                <w:rFonts w:asciiTheme="minorHAnsi" w:hAnsiTheme="minorHAnsi" w:cs="Arial"/>
                <w:sz w:val="18"/>
                <w:szCs w:val="18"/>
                <w:lang w:val="hr-HR"/>
              </w:rPr>
              <w:t>2,25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73.106</w:t>
            </w:r>
          </w:p>
        </w:tc>
        <w:tc>
          <w:tcPr>
            <w:tcW w:w="1155" w:type="dxa"/>
            <w:tcBorders>
              <w:top w:val="nil"/>
              <w:left w:val="nil"/>
              <w:bottom w:val="nil"/>
              <w:right w:val="nil"/>
            </w:tcBorders>
            <w:shd w:val="clear" w:color="auto" w:fill="auto"/>
          </w:tcPr>
          <w:p w:rsidR="00714EAD" w:rsidRPr="00CD3A2D" w:rsidRDefault="00714EAD" w:rsidP="00714EAD">
            <w:pPr>
              <w:jc w:val="right"/>
              <w:rPr>
                <w:rFonts w:asciiTheme="minorHAnsi" w:hAnsiTheme="minorHAnsi"/>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714EAD" w:rsidRPr="00CD3A2D" w:rsidRDefault="00714EAD" w:rsidP="00714EAD">
            <w:pPr>
              <w:jc w:val="right"/>
              <w:rPr>
                <w:rFonts w:asciiTheme="minorHAnsi" w:hAnsiTheme="minorHAnsi" w:cs="Calibri"/>
                <w:sz w:val="18"/>
                <w:szCs w:val="18"/>
                <w:lang w:val="hr-HR"/>
              </w:rPr>
            </w:pPr>
            <w:r w:rsidRPr="00CD3A2D">
              <w:rPr>
                <w:rFonts w:asciiTheme="minorHAnsi" w:hAnsiTheme="minorHAnsi"/>
                <w:sz w:val="18"/>
                <w:szCs w:val="18"/>
                <w:lang w:val="hr-HR"/>
              </w:rPr>
              <w:t>73.106</w:t>
            </w:r>
          </w:p>
        </w:tc>
        <w:tc>
          <w:tcPr>
            <w:tcW w:w="1156" w:type="dxa"/>
            <w:tcBorders>
              <w:top w:val="nil"/>
              <w:left w:val="nil"/>
              <w:bottom w:val="nil"/>
              <w:right w:val="nil"/>
            </w:tcBorders>
            <w:shd w:val="clear" w:color="auto" w:fill="auto"/>
          </w:tcPr>
          <w:p w:rsidR="00714EAD" w:rsidRPr="00CD3A2D" w:rsidRDefault="00714EAD" w:rsidP="00714EAD">
            <w:pPr>
              <w:jc w:val="right"/>
              <w:rPr>
                <w:rFonts w:asciiTheme="minorHAnsi" w:hAnsiTheme="minorHAnsi"/>
                <w:sz w:val="18"/>
                <w:szCs w:val="18"/>
                <w:lang w:val="hr-HR"/>
              </w:rPr>
            </w:pPr>
            <w:r w:rsidRPr="00CD3A2D">
              <w:rPr>
                <w:rFonts w:asciiTheme="minorHAnsi" w:hAnsiTheme="minorHAnsi"/>
                <w:sz w:val="18"/>
                <w:szCs w:val="18"/>
                <w:lang w:val="hr-HR"/>
              </w:rPr>
              <w:t>n/p</w:t>
            </w:r>
          </w:p>
        </w:tc>
      </w:tr>
      <w:tr w:rsidR="00714EAD" w:rsidRPr="001567C8" w:rsidTr="00B8477D">
        <w:trPr>
          <w:trHeight w:val="175"/>
        </w:trPr>
        <w:tc>
          <w:tcPr>
            <w:tcW w:w="2799" w:type="dxa"/>
            <w:tcBorders>
              <w:top w:val="nil"/>
              <w:left w:val="nil"/>
              <w:bottom w:val="nil"/>
              <w:right w:val="nil"/>
            </w:tcBorders>
            <w:shd w:val="clear" w:color="auto" w:fill="auto"/>
            <w:noWrap/>
            <w:vAlign w:val="center"/>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RHMF-O-282A</w:t>
            </w:r>
          </w:p>
        </w:tc>
        <w:tc>
          <w:tcPr>
            <w:tcW w:w="1120" w:type="dxa"/>
            <w:tcBorders>
              <w:top w:val="nil"/>
              <w:left w:val="nil"/>
              <w:bottom w:val="nil"/>
              <w:right w:val="nil"/>
            </w:tcBorders>
            <w:shd w:val="clear" w:color="auto" w:fill="auto"/>
            <w:noWrap/>
            <w:vAlign w:val="center"/>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7.2.2017.</w:t>
            </w:r>
          </w:p>
        </w:tc>
        <w:tc>
          <w:tcPr>
            <w:tcW w:w="1121" w:type="dxa"/>
            <w:tcBorders>
              <w:top w:val="nil"/>
              <w:left w:val="nil"/>
              <w:bottom w:val="nil"/>
              <w:right w:val="nil"/>
            </w:tcBorders>
            <w:shd w:val="clear" w:color="auto" w:fill="auto"/>
            <w:noWrap/>
            <w:vAlign w:val="center"/>
          </w:tcPr>
          <w:p w:rsidR="00714EAD" w:rsidRPr="001567C8" w:rsidRDefault="00714EAD" w:rsidP="00714EAD">
            <w:pPr>
              <w:jc w:val="right"/>
              <w:rPr>
                <w:rFonts w:asciiTheme="minorHAnsi" w:hAnsiTheme="minorHAnsi" w:cs="Arial"/>
                <w:sz w:val="18"/>
                <w:szCs w:val="18"/>
                <w:lang w:val="hr-HR"/>
              </w:rPr>
            </w:pPr>
            <w:r w:rsidRPr="001567C8">
              <w:rPr>
                <w:rFonts w:asciiTheme="minorHAnsi" w:hAnsiTheme="minorHAnsi" w:cs="Arial"/>
                <w:sz w:val="18"/>
                <w:szCs w:val="18"/>
                <w:lang w:val="hr-HR"/>
              </w:rPr>
              <w:t>7.2.2028.</w:t>
            </w:r>
          </w:p>
        </w:tc>
        <w:tc>
          <w:tcPr>
            <w:tcW w:w="1198" w:type="dxa"/>
            <w:tcBorders>
              <w:top w:val="nil"/>
              <w:left w:val="nil"/>
              <w:bottom w:val="nil"/>
              <w:right w:val="nil"/>
            </w:tcBorders>
            <w:shd w:val="clear" w:color="auto" w:fill="auto"/>
            <w:noWrap/>
            <w:vAlign w:val="bottom"/>
          </w:tcPr>
          <w:p w:rsidR="00714EAD" w:rsidRPr="001567C8" w:rsidRDefault="00714EAD" w:rsidP="00714EAD">
            <w:pPr>
              <w:jc w:val="center"/>
              <w:rPr>
                <w:rFonts w:asciiTheme="minorHAnsi" w:hAnsiTheme="minorHAnsi" w:cs="Arial"/>
                <w:sz w:val="18"/>
                <w:szCs w:val="18"/>
                <w:lang w:val="hr-HR"/>
              </w:rPr>
            </w:pPr>
            <w:r w:rsidRPr="001567C8">
              <w:rPr>
                <w:rFonts w:asciiTheme="minorHAnsi" w:hAnsiTheme="minorHAnsi" w:cs="Arial"/>
                <w:sz w:val="18"/>
                <w:szCs w:val="18"/>
                <w:lang w:val="hr-HR"/>
              </w:rPr>
              <w:t>2,875</w:t>
            </w:r>
          </w:p>
        </w:tc>
        <w:tc>
          <w:tcPr>
            <w:tcW w:w="1155" w:type="dxa"/>
            <w:tcBorders>
              <w:top w:val="nil"/>
              <w:left w:val="nil"/>
              <w:bottom w:val="nil"/>
              <w:right w:val="nil"/>
            </w:tcBorders>
            <w:shd w:val="clear" w:color="auto" w:fill="auto"/>
          </w:tcPr>
          <w:p w:rsidR="00714EAD" w:rsidRPr="001567C8" w:rsidRDefault="00714EAD" w:rsidP="00714EAD">
            <w:pPr>
              <w:jc w:val="right"/>
              <w:rPr>
                <w:rFonts w:asciiTheme="minorHAnsi" w:hAnsiTheme="minorHAnsi" w:cs="Arial"/>
                <w:sz w:val="18"/>
                <w:szCs w:val="18"/>
                <w:lang w:val="hr-HR"/>
              </w:rPr>
            </w:pPr>
            <w:r w:rsidRPr="00CD3A2D">
              <w:rPr>
                <w:rFonts w:asciiTheme="minorHAnsi" w:hAnsiTheme="minorHAnsi"/>
                <w:sz w:val="18"/>
                <w:szCs w:val="18"/>
                <w:lang w:val="hr-HR"/>
              </w:rPr>
              <w:t>12.653</w:t>
            </w:r>
          </w:p>
        </w:tc>
        <w:tc>
          <w:tcPr>
            <w:tcW w:w="1155" w:type="dxa"/>
            <w:tcBorders>
              <w:top w:val="nil"/>
              <w:left w:val="nil"/>
              <w:bottom w:val="nil"/>
              <w:right w:val="nil"/>
            </w:tcBorders>
            <w:shd w:val="clear" w:color="auto" w:fill="auto"/>
          </w:tcPr>
          <w:p w:rsidR="00714EAD" w:rsidRPr="00CD3A2D" w:rsidRDefault="00714EAD" w:rsidP="00714EAD">
            <w:pPr>
              <w:jc w:val="right"/>
              <w:rPr>
                <w:rFonts w:asciiTheme="minorHAnsi" w:hAnsiTheme="minorHAnsi"/>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714EAD" w:rsidRPr="00CD3A2D" w:rsidRDefault="00714EAD" w:rsidP="00714EAD">
            <w:pPr>
              <w:jc w:val="right"/>
              <w:rPr>
                <w:rFonts w:asciiTheme="minorHAnsi" w:hAnsiTheme="minorHAnsi" w:cs="Calibri"/>
                <w:sz w:val="18"/>
                <w:szCs w:val="18"/>
                <w:lang w:val="hr-HR"/>
              </w:rPr>
            </w:pPr>
            <w:r w:rsidRPr="00CD3A2D">
              <w:rPr>
                <w:rFonts w:asciiTheme="minorHAnsi" w:hAnsiTheme="minorHAnsi"/>
                <w:sz w:val="18"/>
                <w:szCs w:val="18"/>
                <w:lang w:val="hr-HR"/>
              </w:rPr>
              <w:t>10.641</w:t>
            </w:r>
          </w:p>
        </w:tc>
        <w:tc>
          <w:tcPr>
            <w:tcW w:w="1156" w:type="dxa"/>
            <w:tcBorders>
              <w:top w:val="nil"/>
              <w:left w:val="nil"/>
              <w:bottom w:val="nil"/>
              <w:right w:val="nil"/>
            </w:tcBorders>
            <w:shd w:val="clear" w:color="auto" w:fill="auto"/>
          </w:tcPr>
          <w:p w:rsidR="00714EAD" w:rsidRPr="00CD3A2D" w:rsidRDefault="00714EAD" w:rsidP="00714EAD">
            <w:pPr>
              <w:jc w:val="right"/>
              <w:rPr>
                <w:rFonts w:asciiTheme="minorHAnsi" w:hAnsiTheme="minorHAnsi"/>
                <w:sz w:val="18"/>
                <w:szCs w:val="18"/>
                <w:lang w:val="hr-HR"/>
              </w:rPr>
            </w:pPr>
            <w:r w:rsidRPr="00CD3A2D">
              <w:rPr>
                <w:rFonts w:asciiTheme="minorHAnsi" w:hAnsiTheme="minorHAnsi"/>
                <w:sz w:val="18"/>
                <w:szCs w:val="18"/>
                <w:lang w:val="hr-HR"/>
              </w:rPr>
              <w:t>n/p</w:t>
            </w:r>
          </w:p>
        </w:tc>
      </w:tr>
      <w:tr w:rsidR="004062FB" w:rsidRPr="001567C8" w:rsidTr="00B8477D">
        <w:trPr>
          <w:trHeight w:val="175"/>
        </w:trPr>
        <w:tc>
          <w:tcPr>
            <w:tcW w:w="2799" w:type="dxa"/>
            <w:tcBorders>
              <w:top w:val="nil"/>
              <w:left w:val="nil"/>
              <w:bottom w:val="nil"/>
              <w:right w:val="nil"/>
            </w:tcBorders>
            <w:shd w:val="clear" w:color="auto" w:fill="auto"/>
            <w:noWrap/>
            <w:vAlign w:val="center"/>
          </w:tcPr>
          <w:p w:rsidR="004062FB" w:rsidRPr="001567C8" w:rsidRDefault="0049467A" w:rsidP="004062FB">
            <w:pPr>
              <w:jc w:val="right"/>
              <w:rPr>
                <w:rFonts w:asciiTheme="minorHAnsi" w:hAnsiTheme="minorHAnsi" w:cs="Arial"/>
                <w:sz w:val="18"/>
                <w:szCs w:val="18"/>
                <w:lang w:val="hr-HR"/>
              </w:rPr>
            </w:pPr>
            <w:r w:rsidRPr="001567C8">
              <w:rPr>
                <w:rFonts w:asciiTheme="minorHAnsi" w:hAnsiTheme="minorHAnsi" w:cs="Arial"/>
                <w:sz w:val="18"/>
                <w:szCs w:val="18"/>
                <w:lang w:val="hr-HR"/>
              </w:rPr>
              <w:t xml:space="preserve"> </w:t>
            </w:r>
            <w:r w:rsidR="004062FB" w:rsidRPr="001567C8">
              <w:rPr>
                <w:rFonts w:asciiTheme="minorHAnsi" w:hAnsiTheme="minorHAnsi" w:cs="Arial"/>
                <w:sz w:val="18"/>
                <w:szCs w:val="18"/>
                <w:lang w:val="hr-HR"/>
              </w:rPr>
              <w:t>RHMF-O-023BA</w:t>
            </w:r>
          </w:p>
        </w:tc>
        <w:tc>
          <w:tcPr>
            <w:tcW w:w="1120" w:type="dxa"/>
            <w:tcBorders>
              <w:top w:val="nil"/>
              <w:left w:val="nil"/>
              <w:bottom w:val="nil"/>
              <w:right w:val="nil"/>
            </w:tcBorders>
            <w:shd w:val="clear" w:color="auto" w:fill="auto"/>
            <w:noWrap/>
            <w:vAlign w:val="center"/>
          </w:tcPr>
          <w:p w:rsidR="004062FB" w:rsidRPr="001567C8" w:rsidRDefault="004062FB" w:rsidP="004062FB">
            <w:pPr>
              <w:jc w:val="right"/>
              <w:rPr>
                <w:rFonts w:asciiTheme="minorHAnsi" w:hAnsiTheme="minorHAnsi" w:cs="Arial"/>
                <w:sz w:val="18"/>
                <w:szCs w:val="18"/>
                <w:lang w:val="hr-HR"/>
              </w:rPr>
            </w:pPr>
            <w:r w:rsidRPr="001567C8">
              <w:rPr>
                <w:rFonts w:asciiTheme="minorHAnsi" w:hAnsiTheme="minorHAnsi" w:cs="Arial"/>
                <w:sz w:val="18"/>
                <w:szCs w:val="18"/>
                <w:lang w:val="hr-HR"/>
              </w:rPr>
              <w:t>27.11.2017.</w:t>
            </w:r>
          </w:p>
        </w:tc>
        <w:tc>
          <w:tcPr>
            <w:tcW w:w="1121" w:type="dxa"/>
            <w:tcBorders>
              <w:top w:val="nil"/>
              <w:left w:val="nil"/>
              <w:bottom w:val="nil"/>
              <w:right w:val="nil"/>
            </w:tcBorders>
            <w:shd w:val="clear" w:color="auto" w:fill="auto"/>
            <w:noWrap/>
            <w:vAlign w:val="center"/>
          </w:tcPr>
          <w:p w:rsidR="004062FB" w:rsidRPr="001567C8" w:rsidRDefault="004062FB" w:rsidP="004062FB">
            <w:pPr>
              <w:jc w:val="right"/>
              <w:rPr>
                <w:rFonts w:asciiTheme="minorHAnsi" w:hAnsiTheme="minorHAnsi" w:cs="Arial"/>
                <w:sz w:val="18"/>
                <w:szCs w:val="18"/>
                <w:lang w:val="hr-HR"/>
              </w:rPr>
            </w:pPr>
            <w:r w:rsidRPr="001567C8">
              <w:rPr>
                <w:rFonts w:asciiTheme="minorHAnsi" w:hAnsiTheme="minorHAnsi" w:cs="Arial"/>
                <w:sz w:val="18"/>
                <w:szCs w:val="18"/>
                <w:lang w:val="hr-HR"/>
              </w:rPr>
              <w:t>27.11.2023.</w:t>
            </w:r>
          </w:p>
        </w:tc>
        <w:tc>
          <w:tcPr>
            <w:tcW w:w="1198" w:type="dxa"/>
            <w:tcBorders>
              <w:top w:val="nil"/>
              <w:left w:val="nil"/>
              <w:bottom w:val="nil"/>
              <w:right w:val="nil"/>
            </w:tcBorders>
            <w:shd w:val="clear" w:color="auto" w:fill="auto"/>
            <w:noWrap/>
            <w:vAlign w:val="bottom"/>
          </w:tcPr>
          <w:p w:rsidR="004062FB" w:rsidRPr="001567C8" w:rsidRDefault="004062FB" w:rsidP="004062FB">
            <w:pPr>
              <w:jc w:val="center"/>
              <w:rPr>
                <w:rFonts w:asciiTheme="minorHAnsi" w:hAnsiTheme="minorHAnsi" w:cs="Arial"/>
                <w:sz w:val="18"/>
                <w:szCs w:val="18"/>
                <w:lang w:val="hr-HR"/>
              </w:rPr>
            </w:pPr>
            <w:r w:rsidRPr="001567C8">
              <w:rPr>
                <w:rFonts w:asciiTheme="minorHAnsi" w:hAnsiTheme="minorHAnsi" w:cs="Arial"/>
                <w:sz w:val="18"/>
                <w:szCs w:val="18"/>
                <w:lang w:val="hr-HR"/>
              </w:rPr>
              <w:t>1,75</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sz w:val="18"/>
                <w:szCs w:val="18"/>
                <w:lang w:val="hr-HR"/>
              </w:rPr>
            </w:pPr>
            <w:r w:rsidRPr="00CD3A2D">
              <w:rPr>
                <w:rFonts w:asciiTheme="minorHAnsi" w:hAnsiTheme="minorHAnsi"/>
                <w:sz w:val="18"/>
                <w:szCs w:val="18"/>
                <w:lang w:val="hr-HR"/>
              </w:rPr>
              <w:t>427.470</w:t>
            </w:r>
          </w:p>
        </w:tc>
        <w:tc>
          <w:tcPr>
            <w:tcW w:w="1155" w:type="dxa"/>
            <w:tcBorders>
              <w:top w:val="nil"/>
              <w:left w:val="nil"/>
              <w:bottom w:val="nil"/>
              <w:right w:val="nil"/>
            </w:tcBorders>
            <w:shd w:val="clear" w:color="auto" w:fill="auto"/>
          </w:tcPr>
          <w:p w:rsidR="004062FB" w:rsidRPr="00CD3A2D" w:rsidRDefault="004062FB" w:rsidP="004062FB">
            <w:pPr>
              <w:jc w:val="right"/>
              <w:rPr>
                <w:rFonts w:asciiTheme="minorHAnsi" w:hAnsiTheme="minorHAnsi"/>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4062FB" w:rsidRPr="00CD3A2D" w:rsidRDefault="004062FB" w:rsidP="004062FB">
            <w:pPr>
              <w:jc w:val="right"/>
              <w:rPr>
                <w:rFonts w:asciiTheme="minorHAnsi" w:hAnsiTheme="minorHAnsi" w:cs="Calibri"/>
                <w:sz w:val="18"/>
                <w:szCs w:val="18"/>
                <w:lang w:val="hr-HR"/>
              </w:rPr>
            </w:pPr>
            <w:r w:rsidRPr="00CD3A2D">
              <w:rPr>
                <w:rFonts w:asciiTheme="minorHAnsi" w:hAnsiTheme="minorHAnsi"/>
                <w:sz w:val="18"/>
                <w:szCs w:val="18"/>
                <w:lang w:val="hr-HR"/>
              </w:rPr>
              <w:t>427.470</w:t>
            </w:r>
          </w:p>
        </w:tc>
        <w:tc>
          <w:tcPr>
            <w:tcW w:w="1156" w:type="dxa"/>
            <w:tcBorders>
              <w:top w:val="nil"/>
              <w:left w:val="nil"/>
              <w:bottom w:val="nil"/>
              <w:right w:val="nil"/>
            </w:tcBorders>
            <w:shd w:val="clear" w:color="auto" w:fill="auto"/>
          </w:tcPr>
          <w:p w:rsidR="004062FB" w:rsidRPr="00CD3A2D" w:rsidRDefault="004062FB" w:rsidP="004062FB">
            <w:pPr>
              <w:jc w:val="right"/>
              <w:rPr>
                <w:rFonts w:asciiTheme="minorHAnsi" w:hAnsiTheme="minorHAnsi"/>
                <w:sz w:val="18"/>
                <w:szCs w:val="18"/>
                <w:lang w:val="hr-HR"/>
              </w:rPr>
            </w:pPr>
            <w:r w:rsidRPr="00CD3A2D">
              <w:rPr>
                <w:rFonts w:asciiTheme="minorHAnsi" w:hAnsiTheme="minorHAnsi"/>
                <w:sz w:val="18"/>
                <w:szCs w:val="18"/>
                <w:lang w:val="hr-HR"/>
              </w:rPr>
              <w:t>n/p</w:t>
            </w:r>
          </w:p>
        </w:tc>
      </w:tr>
      <w:tr w:rsidR="004062FB" w:rsidRPr="001567C8" w:rsidTr="00B8477D">
        <w:trPr>
          <w:trHeight w:val="175"/>
        </w:trPr>
        <w:tc>
          <w:tcPr>
            <w:tcW w:w="2799" w:type="dxa"/>
            <w:tcBorders>
              <w:top w:val="nil"/>
              <w:left w:val="nil"/>
              <w:bottom w:val="nil"/>
              <w:right w:val="nil"/>
            </w:tcBorders>
            <w:shd w:val="clear" w:color="auto" w:fill="auto"/>
            <w:noWrap/>
            <w:vAlign w:val="center"/>
          </w:tcPr>
          <w:p w:rsidR="004062FB" w:rsidRPr="001567C8" w:rsidRDefault="004062FB" w:rsidP="004062FB">
            <w:pPr>
              <w:jc w:val="right"/>
              <w:rPr>
                <w:rFonts w:asciiTheme="minorHAnsi" w:hAnsiTheme="minorHAnsi" w:cs="Arial"/>
                <w:sz w:val="18"/>
                <w:szCs w:val="18"/>
                <w:lang w:val="hr-HR"/>
              </w:rPr>
            </w:pPr>
            <w:r w:rsidRPr="00CD3A2D">
              <w:rPr>
                <w:rFonts w:ascii="Calibri" w:hAnsi="Calibri"/>
                <w:sz w:val="18"/>
                <w:szCs w:val="18"/>
                <w:lang w:val="hr-HR"/>
              </w:rPr>
              <w:t>RHMF-O-297A</w:t>
            </w:r>
          </w:p>
        </w:tc>
        <w:tc>
          <w:tcPr>
            <w:tcW w:w="1120" w:type="dxa"/>
            <w:tcBorders>
              <w:top w:val="nil"/>
              <w:left w:val="nil"/>
              <w:bottom w:val="nil"/>
              <w:right w:val="nil"/>
            </w:tcBorders>
            <w:shd w:val="clear" w:color="auto" w:fill="auto"/>
            <w:noWrap/>
            <w:vAlign w:val="center"/>
          </w:tcPr>
          <w:p w:rsidR="004062FB" w:rsidRPr="001567C8" w:rsidRDefault="004062FB" w:rsidP="004062FB">
            <w:pPr>
              <w:jc w:val="right"/>
              <w:rPr>
                <w:rFonts w:asciiTheme="minorHAnsi" w:hAnsiTheme="minorHAnsi" w:cs="Arial"/>
                <w:sz w:val="18"/>
                <w:szCs w:val="18"/>
                <w:lang w:val="hr-HR"/>
              </w:rPr>
            </w:pPr>
            <w:r w:rsidRPr="00CD3A2D">
              <w:rPr>
                <w:rFonts w:ascii="Calibri" w:hAnsi="Calibri"/>
                <w:sz w:val="18"/>
                <w:szCs w:val="18"/>
                <w:lang w:val="hr-HR"/>
              </w:rPr>
              <w:t>9.7.2018.</w:t>
            </w:r>
          </w:p>
        </w:tc>
        <w:tc>
          <w:tcPr>
            <w:tcW w:w="1121" w:type="dxa"/>
            <w:tcBorders>
              <w:top w:val="nil"/>
              <w:left w:val="nil"/>
              <w:bottom w:val="nil"/>
              <w:right w:val="nil"/>
            </w:tcBorders>
            <w:shd w:val="clear" w:color="auto" w:fill="auto"/>
            <w:noWrap/>
            <w:vAlign w:val="center"/>
          </w:tcPr>
          <w:p w:rsidR="004062FB" w:rsidRPr="001567C8" w:rsidRDefault="004062FB" w:rsidP="004062FB">
            <w:pPr>
              <w:jc w:val="right"/>
              <w:rPr>
                <w:rFonts w:asciiTheme="minorHAnsi" w:hAnsiTheme="minorHAnsi" w:cs="Arial"/>
                <w:sz w:val="18"/>
                <w:szCs w:val="18"/>
                <w:lang w:val="hr-HR"/>
              </w:rPr>
            </w:pPr>
            <w:r w:rsidRPr="00CD3A2D">
              <w:rPr>
                <w:rFonts w:ascii="Calibri" w:hAnsi="Calibri"/>
                <w:sz w:val="18"/>
                <w:szCs w:val="18"/>
                <w:lang w:val="hr-HR"/>
              </w:rPr>
              <w:t>9.7.2029.</w:t>
            </w:r>
          </w:p>
        </w:tc>
        <w:tc>
          <w:tcPr>
            <w:tcW w:w="1198" w:type="dxa"/>
            <w:tcBorders>
              <w:top w:val="nil"/>
              <w:left w:val="nil"/>
              <w:bottom w:val="nil"/>
              <w:right w:val="nil"/>
            </w:tcBorders>
            <w:shd w:val="clear" w:color="auto" w:fill="auto"/>
            <w:noWrap/>
            <w:vAlign w:val="center"/>
          </w:tcPr>
          <w:p w:rsidR="004062FB" w:rsidRPr="001567C8" w:rsidRDefault="004062FB" w:rsidP="004062FB">
            <w:pPr>
              <w:jc w:val="center"/>
              <w:rPr>
                <w:rFonts w:asciiTheme="minorHAnsi" w:hAnsiTheme="minorHAnsi" w:cs="Arial"/>
                <w:sz w:val="18"/>
                <w:szCs w:val="18"/>
                <w:lang w:val="hr-HR"/>
              </w:rPr>
            </w:pPr>
            <w:r w:rsidRPr="00CD3A2D">
              <w:rPr>
                <w:rFonts w:ascii="Calibri" w:hAnsi="Calibri"/>
                <w:sz w:val="18"/>
                <w:szCs w:val="18"/>
                <w:lang w:val="hr-HR"/>
              </w:rPr>
              <w:t>2,38</w:t>
            </w:r>
          </w:p>
        </w:tc>
        <w:tc>
          <w:tcPr>
            <w:tcW w:w="1155" w:type="dxa"/>
            <w:tcBorders>
              <w:top w:val="nil"/>
              <w:left w:val="nil"/>
              <w:bottom w:val="nil"/>
              <w:right w:val="nil"/>
            </w:tcBorders>
            <w:shd w:val="clear" w:color="auto" w:fill="auto"/>
            <w:vAlign w:val="center"/>
          </w:tcPr>
          <w:p w:rsidR="004062FB" w:rsidRPr="00CD3A2D" w:rsidRDefault="004062FB" w:rsidP="004062FB">
            <w:pPr>
              <w:jc w:val="right"/>
              <w:rPr>
                <w:rFonts w:asciiTheme="minorHAnsi" w:hAnsiTheme="minorHAnsi"/>
                <w:sz w:val="18"/>
                <w:szCs w:val="18"/>
                <w:lang w:val="hr-HR"/>
              </w:rPr>
            </w:pPr>
            <w:r w:rsidRPr="00CD3A2D">
              <w:rPr>
                <w:rFonts w:asciiTheme="minorHAnsi" w:hAnsiTheme="minorHAnsi"/>
                <w:sz w:val="18"/>
                <w:szCs w:val="18"/>
                <w:lang w:val="hr-HR"/>
              </w:rPr>
              <w:t>2.994</w:t>
            </w:r>
          </w:p>
        </w:tc>
        <w:tc>
          <w:tcPr>
            <w:tcW w:w="1155" w:type="dxa"/>
            <w:tcBorders>
              <w:top w:val="nil"/>
              <w:left w:val="nil"/>
              <w:bottom w:val="nil"/>
              <w:right w:val="nil"/>
            </w:tcBorders>
            <w:shd w:val="clear" w:color="auto" w:fill="auto"/>
            <w:vAlign w:val="center"/>
          </w:tcPr>
          <w:p w:rsidR="004062FB" w:rsidRPr="00CD3A2D" w:rsidRDefault="004062FB" w:rsidP="004062FB">
            <w:pPr>
              <w:jc w:val="right"/>
              <w:rPr>
                <w:rFonts w:asciiTheme="minorHAnsi" w:hAnsiTheme="minorHAnsi"/>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vAlign w:val="center"/>
          </w:tcPr>
          <w:p w:rsidR="004062FB" w:rsidRPr="00CD3A2D" w:rsidRDefault="004062FB" w:rsidP="004062FB">
            <w:pPr>
              <w:jc w:val="right"/>
              <w:rPr>
                <w:rFonts w:asciiTheme="minorHAnsi" w:hAnsiTheme="minorHAnsi"/>
                <w:sz w:val="18"/>
                <w:szCs w:val="18"/>
                <w:lang w:val="hr-HR"/>
              </w:rPr>
            </w:pPr>
            <w:r w:rsidRPr="00CD3A2D">
              <w:rPr>
                <w:rFonts w:asciiTheme="minorHAnsi" w:hAnsiTheme="minorHAnsi"/>
                <w:sz w:val="18"/>
                <w:szCs w:val="18"/>
                <w:lang w:val="hr-HR"/>
              </w:rPr>
              <w:t>-</w:t>
            </w:r>
          </w:p>
        </w:tc>
        <w:tc>
          <w:tcPr>
            <w:tcW w:w="1156" w:type="dxa"/>
            <w:tcBorders>
              <w:top w:val="nil"/>
              <w:left w:val="nil"/>
              <w:bottom w:val="nil"/>
              <w:right w:val="nil"/>
            </w:tcBorders>
            <w:shd w:val="clear" w:color="auto" w:fill="auto"/>
            <w:vAlign w:val="center"/>
          </w:tcPr>
          <w:p w:rsidR="004062FB" w:rsidRPr="00CD3A2D" w:rsidRDefault="004062FB" w:rsidP="004062FB">
            <w:pPr>
              <w:jc w:val="right"/>
              <w:rPr>
                <w:rFonts w:asciiTheme="minorHAnsi" w:hAnsiTheme="minorHAnsi"/>
                <w:sz w:val="18"/>
                <w:szCs w:val="18"/>
                <w:lang w:val="hr-HR"/>
              </w:rPr>
            </w:pPr>
            <w:r w:rsidRPr="00CD3A2D">
              <w:rPr>
                <w:rFonts w:asciiTheme="minorHAnsi" w:hAnsiTheme="minorHAnsi"/>
                <w:sz w:val="18"/>
                <w:szCs w:val="18"/>
                <w:lang w:val="hr-HR"/>
              </w:rPr>
              <w:t>n/p</w:t>
            </w:r>
          </w:p>
        </w:tc>
      </w:tr>
      <w:tr w:rsidR="00714EAD" w:rsidRPr="001567C8" w:rsidTr="00361B04">
        <w:trPr>
          <w:trHeight w:val="175"/>
        </w:trPr>
        <w:tc>
          <w:tcPr>
            <w:tcW w:w="5040" w:type="dxa"/>
            <w:gridSpan w:val="3"/>
            <w:tcBorders>
              <w:top w:val="nil"/>
              <w:left w:val="nil"/>
              <w:bottom w:val="nil"/>
              <w:right w:val="nil"/>
            </w:tcBorders>
            <w:shd w:val="clear" w:color="auto" w:fill="auto"/>
            <w:noWrap/>
            <w:vAlign w:val="center"/>
          </w:tcPr>
          <w:p w:rsidR="00714EAD" w:rsidRPr="001567C8" w:rsidRDefault="00714EAD" w:rsidP="00714EAD">
            <w:pPr>
              <w:rPr>
                <w:rFonts w:asciiTheme="minorHAnsi" w:hAnsiTheme="minorHAnsi" w:cs="Arial"/>
                <w:i/>
                <w:sz w:val="18"/>
                <w:szCs w:val="18"/>
                <w:lang w:val="hr-HR"/>
              </w:rPr>
            </w:pPr>
            <w:r w:rsidRPr="001567C8">
              <w:rPr>
                <w:rFonts w:asciiTheme="minorHAnsi" w:hAnsiTheme="minorHAnsi" w:cs="Arial"/>
                <w:i/>
                <w:sz w:val="18"/>
                <w:szCs w:val="18"/>
                <w:lang w:val="hr-HR"/>
              </w:rPr>
              <w:t>Obveznice trgovačkih društava u kunama:</w:t>
            </w:r>
          </w:p>
        </w:tc>
        <w:tc>
          <w:tcPr>
            <w:tcW w:w="1198" w:type="dxa"/>
            <w:tcBorders>
              <w:top w:val="nil"/>
              <w:left w:val="nil"/>
              <w:bottom w:val="nil"/>
              <w:right w:val="nil"/>
            </w:tcBorders>
            <w:shd w:val="clear" w:color="auto" w:fill="auto"/>
            <w:noWrap/>
            <w:vAlign w:val="center"/>
          </w:tcPr>
          <w:p w:rsidR="00714EAD" w:rsidRPr="001567C8" w:rsidRDefault="00714EAD" w:rsidP="00714EAD">
            <w:pPr>
              <w:jc w:val="center"/>
              <w:rPr>
                <w:rFonts w:asciiTheme="minorHAnsi" w:hAnsiTheme="minorHAnsi" w:cs="Arial"/>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cs="Arial"/>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cs="Arial"/>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cs="Arial"/>
                <w:sz w:val="18"/>
                <w:szCs w:val="18"/>
                <w:lang w:val="hr-HR"/>
              </w:rPr>
            </w:pPr>
          </w:p>
        </w:tc>
        <w:tc>
          <w:tcPr>
            <w:tcW w:w="1156"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cs="Arial"/>
                <w:sz w:val="18"/>
                <w:szCs w:val="18"/>
                <w:lang w:val="hr-HR"/>
              </w:rPr>
            </w:pPr>
          </w:p>
        </w:tc>
      </w:tr>
      <w:tr w:rsidR="004062FB" w:rsidRPr="001567C8" w:rsidTr="00B8477D">
        <w:trPr>
          <w:trHeight w:val="175"/>
        </w:trPr>
        <w:tc>
          <w:tcPr>
            <w:tcW w:w="2799" w:type="dxa"/>
            <w:tcBorders>
              <w:top w:val="nil"/>
              <w:left w:val="nil"/>
              <w:bottom w:val="nil"/>
              <w:right w:val="nil"/>
            </w:tcBorders>
            <w:shd w:val="clear" w:color="auto" w:fill="auto"/>
            <w:noWrap/>
            <w:vAlign w:val="center"/>
          </w:tcPr>
          <w:p w:rsidR="004062FB" w:rsidRPr="001567C8" w:rsidRDefault="004062FB" w:rsidP="004062FB">
            <w:pPr>
              <w:jc w:val="right"/>
              <w:rPr>
                <w:rFonts w:asciiTheme="minorHAnsi" w:hAnsiTheme="minorHAnsi" w:cs="Arial"/>
                <w:sz w:val="18"/>
                <w:szCs w:val="18"/>
                <w:lang w:val="hr-HR"/>
              </w:rPr>
            </w:pPr>
            <w:r w:rsidRPr="00CD3A2D">
              <w:rPr>
                <w:rFonts w:ascii="Calibri" w:hAnsi="Calibri"/>
                <w:sz w:val="18"/>
                <w:szCs w:val="18"/>
                <w:lang w:val="hr-HR" w:eastAsia="hr-HR"/>
              </w:rPr>
              <w:t>JDGL-O-20CA</w:t>
            </w:r>
          </w:p>
        </w:tc>
        <w:tc>
          <w:tcPr>
            <w:tcW w:w="1120" w:type="dxa"/>
            <w:tcBorders>
              <w:top w:val="nil"/>
              <w:left w:val="nil"/>
              <w:bottom w:val="nil"/>
              <w:right w:val="nil"/>
            </w:tcBorders>
            <w:shd w:val="clear" w:color="auto" w:fill="auto"/>
            <w:noWrap/>
            <w:vAlign w:val="center"/>
          </w:tcPr>
          <w:p w:rsidR="004062FB" w:rsidRPr="001567C8" w:rsidRDefault="004062FB" w:rsidP="004062FB">
            <w:pPr>
              <w:jc w:val="right"/>
              <w:rPr>
                <w:rFonts w:asciiTheme="minorHAnsi" w:hAnsiTheme="minorHAnsi" w:cs="Arial"/>
                <w:sz w:val="18"/>
                <w:szCs w:val="18"/>
                <w:lang w:val="hr-HR"/>
              </w:rPr>
            </w:pPr>
            <w:r w:rsidRPr="00CD3A2D">
              <w:rPr>
                <w:rFonts w:ascii="Calibri" w:hAnsi="Calibri"/>
                <w:sz w:val="18"/>
                <w:szCs w:val="18"/>
                <w:lang w:val="hr-HR" w:eastAsia="hr-HR"/>
              </w:rPr>
              <w:t>21.12.2015.</w:t>
            </w:r>
          </w:p>
        </w:tc>
        <w:tc>
          <w:tcPr>
            <w:tcW w:w="1121" w:type="dxa"/>
            <w:tcBorders>
              <w:top w:val="nil"/>
              <w:left w:val="nil"/>
              <w:bottom w:val="nil"/>
              <w:right w:val="nil"/>
            </w:tcBorders>
            <w:shd w:val="clear" w:color="auto" w:fill="auto"/>
            <w:noWrap/>
            <w:vAlign w:val="center"/>
          </w:tcPr>
          <w:p w:rsidR="004062FB" w:rsidRPr="001567C8" w:rsidRDefault="004062FB" w:rsidP="004062FB">
            <w:pPr>
              <w:jc w:val="right"/>
              <w:rPr>
                <w:rFonts w:asciiTheme="minorHAnsi" w:hAnsiTheme="minorHAnsi" w:cs="Arial"/>
                <w:sz w:val="18"/>
                <w:szCs w:val="18"/>
                <w:lang w:val="hr-HR"/>
              </w:rPr>
            </w:pPr>
            <w:r w:rsidRPr="00CD3A2D">
              <w:rPr>
                <w:rFonts w:ascii="Calibri" w:hAnsi="Calibri"/>
                <w:sz w:val="18"/>
                <w:szCs w:val="18"/>
                <w:lang w:val="hr-HR" w:eastAsia="hr-HR"/>
              </w:rPr>
              <w:t>21.12.2020.</w:t>
            </w:r>
          </w:p>
        </w:tc>
        <w:tc>
          <w:tcPr>
            <w:tcW w:w="1198" w:type="dxa"/>
            <w:tcBorders>
              <w:top w:val="nil"/>
              <w:left w:val="nil"/>
              <w:bottom w:val="nil"/>
              <w:right w:val="nil"/>
            </w:tcBorders>
            <w:shd w:val="clear" w:color="auto" w:fill="auto"/>
            <w:noWrap/>
            <w:vAlign w:val="center"/>
          </w:tcPr>
          <w:p w:rsidR="004062FB" w:rsidRPr="001567C8" w:rsidRDefault="004062FB" w:rsidP="004062FB">
            <w:pPr>
              <w:jc w:val="center"/>
              <w:rPr>
                <w:rFonts w:asciiTheme="minorHAnsi" w:hAnsiTheme="minorHAnsi" w:cs="Arial"/>
                <w:sz w:val="18"/>
                <w:szCs w:val="18"/>
                <w:lang w:val="hr-HR"/>
              </w:rPr>
            </w:pPr>
            <w:r w:rsidRPr="00CD3A2D">
              <w:rPr>
                <w:rFonts w:ascii="Calibri" w:hAnsi="Calibri"/>
                <w:sz w:val="18"/>
                <w:szCs w:val="18"/>
                <w:lang w:val="hr-HR" w:eastAsia="hr-HR"/>
              </w:rPr>
              <w:t>5,81</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sz w:val="18"/>
                <w:szCs w:val="18"/>
                <w:lang w:val="hr-HR"/>
              </w:rPr>
            </w:pPr>
            <w:r w:rsidRPr="00CD3A2D">
              <w:rPr>
                <w:rFonts w:asciiTheme="minorHAnsi" w:hAnsiTheme="minorHAnsi"/>
                <w:sz w:val="18"/>
                <w:szCs w:val="18"/>
                <w:lang w:val="hr-HR"/>
              </w:rPr>
              <w:t>770</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sz w:val="18"/>
                <w:szCs w:val="18"/>
                <w:lang w:val="hr-HR"/>
              </w:rPr>
            </w:pPr>
            <w:r w:rsidRPr="00CD3A2D">
              <w:rPr>
                <w:rFonts w:asciiTheme="minorHAnsi" w:hAnsiTheme="minorHAnsi"/>
                <w:sz w:val="18"/>
                <w:szCs w:val="18"/>
                <w:lang w:val="hr-HR"/>
              </w:rPr>
              <w:t>-</w:t>
            </w:r>
          </w:p>
        </w:tc>
        <w:tc>
          <w:tcPr>
            <w:tcW w:w="1156"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sz w:val="18"/>
                <w:szCs w:val="18"/>
                <w:lang w:val="hr-HR"/>
              </w:rPr>
            </w:pPr>
            <w:r w:rsidRPr="00CD3A2D">
              <w:rPr>
                <w:rFonts w:asciiTheme="minorHAnsi" w:hAnsiTheme="minorHAnsi"/>
                <w:sz w:val="18"/>
                <w:szCs w:val="18"/>
                <w:lang w:val="hr-HR"/>
              </w:rPr>
              <w:t>-</w:t>
            </w:r>
          </w:p>
        </w:tc>
      </w:tr>
      <w:tr w:rsidR="004062FB" w:rsidRPr="001567C8" w:rsidTr="00B8477D">
        <w:trPr>
          <w:trHeight w:val="175"/>
        </w:trPr>
        <w:tc>
          <w:tcPr>
            <w:tcW w:w="3919" w:type="dxa"/>
            <w:gridSpan w:val="2"/>
            <w:tcBorders>
              <w:top w:val="nil"/>
              <w:left w:val="nil"/>
              <w:bottom w:val="nil"/>
              <w:right w:val="nil"/>
            </w:tcBorders>
            <w:shd w:val="clear" w:color="auto" w:fill="auto"/>
            <w:noWrap/>
            <w:vAlign w:val="bottom"/>
            <w:hideMark/>
          </w:tcPr>
          <w:p w:rsidR="004062FB" w:rsidRPr="001567C8" w:rsidRDefault="004062FB" w:rsidP="004062FB">
            <w:pPr>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Trezorski zapisi, kunski do 364 dana</w:t>
            </w:r>
          </w:p>
        </w:tc>
        <w:tc>
          <w:tcPr>
            <w:tcW w:w="1121" w:type="dxa"/>
            <w:tcBorders>
              <w:top w:val="nil"/>
              <w:left w:val="nil"/>
              <w:bottom w:val="nil"/>
              <w:right w:val="nil"/>
            </w:tcBorders>
            <w:shd w:val="clear" w:color="auto" w:fill="auto"/>
            <w:noWrap/>
            <w:vAlign w:val="bottom"/>
            <w:hideMark/>
          </w:tcPr>
          <w:p w:rsidR="004062FB" w:rsidRPr="001567C8" w:rsidRDefault="004062FB" w:rsidP="004062FB">
            <w:pPr>
              <w:jc w:val="right"/>
              <w:rPr>
                <w:rFonts w:asciiTheme="minorHAnsi" w:hAnsiTheme="minorHAnsi"/>
                <w:sz w:val="18"/>
                <w:szCs w:val="18"/>
                <w:lang w:val="hr-HR"/>
              </w:rPr>
            </w:pPr>
          </w:p>
        </w:tc>
        <w:tc>
          <w:tcPr>
            <w:tcW w:w="1198" w:type="dxa"/>
            <w:tcBorders>
              <w:top w:val="nil"/>
              <w:left w:val="nil"/>
              <w:bottom w:val="nil"/>
              <w:right w:val="nil"/>
            </w:tcBorders>
            <w:shd w:val="clear" w:color="auto" w:fill="auto"/>
            <w:noWrap/>
            <w:vAlign w:val="center"/>
          </w:tcPr>
          <w:p w:rsidR="004062FB" w:rsidRPr="001567C8" w:rsidRDefault="004062FB" w:rsidP="004062FB">
            <w:pPr>
              <w:jc w:val="center"/>
              <w:rPr>
                <w:rFonts w:asciiTheme="minorHAnsi" w:hAnsiTheme="minorHAnsi" w:cs="Arial"/>
                <w:color w:val="000000"/>
                <w:sz w:val="18"/>
                <w:szCs w:val="18"/>
                <w:highlight w:val="yellow"/>
                <w:lang w:val="hr-HR"/>
              </w:rPr>
            </w:pPr>
            <w:r w:rsidRPr="00CD3A2D">
              <w:rPr>
                <w:rFonts w:ascii="Calibri" w:hAnsi="Calibri"/>
                <w:color w:val="000000"/>
                <w:sz w:val="18"/>
                <w:szCs w:val="18"/>
                <w:lang w:val="hr-HR"/>
              </w:rPr>
              <w:t>0,214 - 0,387</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sz w:val="18"/>
                <w:szCs w:val="18"/>
                <w:lang w:val="hr-HR"/>
              </w:rPr>
              <w:t>1.369.700</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sz w:val="18"/>
                <w:szCs w:val="18"/>
                <w:lang w:val="hr-HR"/>
              </w:rPr>
              <w:t>1.369.700</w:t>
            </w:r>
          </w:p>
        </w:tc>
        <w:tc>
          <w:tcPr>
            <w:tcW w:w="1156"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sz w:val="18"/>
                <w:szCs w:val="18"/>
                <w:lang w:val="hr-HR"/>
              </w:rPr>
              <w:t>n/p</w:t>
            </w:r>
          </w:p>
        </w:tc>
      </w:tr>
      <w:tr w:rsidR="004062FB" w:rsidRPr="001567C8" w:rsidTr="00B8477D">
        <w:trPr>
          <w:trHeight w:val="175"/>
        </w:trPr>
        <w:tc>
          <w:tcPr>
            <w:tcW w:w="3919" w:type="dxa"/>
            <w:gridSpan w:val="2"/>
            <w:tcBorders>
              <w:top w:val="nil"/>
              <w:left w:val="nil"/>
              <w:bottom w:val="nil"/>
              <w:right w:val="nil"/>
            </w:tcBorders>
            <w:shd w:val="clear" w:color="auto" w:fill="auto"/>
            <w:noWrap/>
            <w:vAlign w:val="center"/>
            <w:hideMark/>
          </w:tcPr>
          <w:p w:rsidR="004062FB" w:rsidRPr="001567C8" w:rsidRDefault="004062FB" w:rsidP="004062FB">
            <w:pPr>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Trezorski zapisi, devizni do 455 dana</w:t>
            </w:r>
          </w:p>
        </w:tc>
        <w:tc>
          <w:tcPr>
            <w:tcW w:w="1121" w:type="dxa"/>
            <w:tcBorders>
              <w:top w:val="nil"/>
              <w:left w:val="nil"/>
              <w:bottom w:val="nil"/>
              <w:right w:val="nil"/>
            </w:tcBorders>
            <w:shd w:val="clear" w:color="auto" w:fill="auto"/>
            <w:noWrap/>
            <w:vAlign w:val="center"/>
            <w:hideMark/>
          </w:tcPr>
          <w:p w:rsidR="004062FB" w:rsidRPr="001567C8" w:rsidRDefault="004062FB" w:rsidP="004062FB">
            <w:pPr>
              <w:jc w:val="right"/>
              <w:rPr>
                <w:rFonts w:asciiTheme="minorHAnsi" w:hAnsiTheme="minorHAnsi"/>
                <w:sz w:val="18"/>
                <w:szCs w:val="18"/>
                <w:lang w:val="hr-HR"/>
              </w:rPr>
            </w:pPr>
          </w:p>
        </w:tc>
        <w:tc>
          <w:tcPr>
            <w:tcW w:w="1198" w:type="dxa"/>
            <w:tcBorders>
              <w:top w:val="nil"/>
              <w:left w:val="nil"/>
              <w:bottom w:val="nil"/>
              <w:right w:val="nil"/>
            </w:tcBorders>
            <w:shd w:val="clear" w:color="auto" w:fill="auto"/>
            <w:noWrap/>
            <w:vAlign w:val="center"/>
          </w:tcPr>
          <w:p w:rsidR="004062FB" w:rsidRPr="001567C8" w:rsidRDefault="004062FB" w:rsidP="004062FB">
            <w:pPr>
              <w:jc w:val="center"/>
              <w:rPr>
                <w:rFonts w:asciiTheme="minorHAnsi" w:hAnsiTheme="minorHAnsi" w:cs="Arial"/>
                <w:color w:val="000000"/>
                <w:sz w:val="18"/>
                <w:szCs w:val="18"/>
                <w:lang w:val="hr-HR"/>
              </w:rPr>
            </w:pPr>
            <w:r w:rsidRPr="00CD3A2D">
              <w:rPr>
                <w:rFonts w:ascii="Calibri" w:hAnsi="Calibri"/>
                <w:sz w:val="18"/>
                <w:szCs w:val="18"/>
                <w:lang w:val="hr-HR"/>
              </w:rPr>
              <w:t>0,093</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sz w:val="18"/>
                <w:szCs w:val="18"/>
                <w:lang w:val="hr-HR"/>
              </w:rPr>
              <w:t>296.599</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sz w:val="18"/>
                <w:szCs w:val="18"/>
                <w:lang w:val="hr-HR"/>
              </w:rPr>
              <w:t>n/p</w:t>
            </w:r>
          </w:p>
        </w:tc>
        <w:tc>
          <w:tcPr>
            <w:tcW w:w="1155"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sz w:val="18"/>
                <w:szCs w:val="18"/>
                <w:lang w:val="hr-HR"/>
              </w:rPr>
              <w:t>296.599</w:t>
            </w:r>
          </w:p>
        </w:tc>
        <w:tc>
          <w:tcPr>
            <w:tcW w:w="1156" w:type="dxa"/>
            <w:tcBorders>
              <w:top w:val="nil"/>
              <w:left w:val="nil"/>
              <w:bottom w:val="nil"/>
              <w:right w:val="nil"/>
            </w:tcBorders>
            <w:shd w:val="clear" w:color="auto" w:fill="auto"/>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sz w:val="18"/>
                <w:szCs w:val="18"/>
                <w:lang w:val="hr-HR"/>
              </w:rPr>
              <w:t>n/p</w:t>
            </w:r>
          </w:p>
        </w:tc>
      </w:tr>
      <w:tr w:rsidR="004062FB" w:rsidRPr="001567C8" w:rsidTr="00B8477D">
        <w:trPr>
          <w:trHeight w:val="175"/>
        </w:trPr>
        <w:tc>
          <w:tcPr>
            <w:tcW w:w="2799" w:type="dxa"/>
            <w:tcBorders>
              <w:top w:val="nil"/>
              <w:left w:val="nil"/>
              <w:bottom w:val="single" w:sz="4" w:space="0" w:color="auto"/>
              <w:right w:val="nil"/>
            </w:tcBorders>
            <w:shd w:val="clear" w:color="auto" w:fill="auto"/>
            <w:noWrap/>
            <w:vAlign w:val="center"/>
            <w:hideMark/>
          </w:tcPr>
          <w:p w:rsidR="004062FB" w:rsidRPr="001567C8" w:rsidRDefault="004062FB" w:rsidP="004062FB">
            <w:pPr>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 xml:space="preserve">Obračunata kamata </w:t>
            </w:r>
          </w:p>
        </w:tc>
        <w:tc>
          <w:tcPr>
            <w:tcW w:w="1120" w:type="dxa"/>
            <w:tcBorders>
              <w:top w:val="nil"/>
              <w:left w:val="nil"/>
              <w:bottom w:val="single" w:sz="4" w:space="0" w:color="auto"/>
              <w:right w:val="nil"/>
            </w:tcBorders>
            <w:shd w:val="clear" w:color="auto" w:fill="auto"/>
            <w:noWrap/>
            <w:vAlign w:val="bottom"/>
            <w:hideMark/>
          </w:tcPr>
          <w:p w:rsidR="004062FB" w:rsidRPr="001567C8" w:rsidRDefault="004062FB" w:rsidP="004062FB">
            <w:pPr>
              <w:rPr>
                <w:rFonts w:asciiTheme="minorHAnsi" w:hAnsiTheme="minorHAnsi" w:cs="Arial"/>
                <w:color w:val="000000"/>
                <w:sz w:val="18"/>
                <w:szCs w:val="18"/>
                <w:lang w:val="hr-HR"/>
              </w:rPr>
            </w:pPr>
          </w:p>
        </w:tc>
        <w:tc>
          <w:tcPr>
            <w:tcW w:w="1121" w:type="dxa"/>
            <w:tcBorders>
              <w:top w:val="nil"/>
              <w:left w:val="nil"/>
              <w:bottom w:val="single" w:sz="4" w:space="0" w:color="auto"/>
              <w:right w:val="nil"/>
            </w:tcBorders>
            <w:shd w:val="clear" w:color="auto" w:fill="auto"/>
            <w:noWrap/>
            <w:vAlign w:val="bottom"/>
            <w:hideMark/>
          </w:tcPr>
          <w:p w:rsidR="004062FB" w:rsidRPr="001567C8" w:rsidRDefault="004062FB" w:rsidP="004062FB">
            <w:pPr>
              <w:rPr>
                <w:rFonts w:asciiTheme="minorHAnsi" w:hAnsiTheme="minorHAnsi"/>
                <w:sz w:val="18"/>
                <w:szCs w:val="18"/>
                <w:lang w:val="hr-HR"/>
              </w:rPr>
            </w:pPr>
          </w:p>
        </w:tc>
        <w:tc>
          <w:tcPr>
            <w:tcW w:w="1198" w:type="dxa"/>
            <w:tcBorders>
              <w:top w:val="nil"/>
              <w:left w:val="nil"/>
              <w:bottom w:val="single" w:sz="4" w:space="0" w:color="auto"/>
              <w:right w:val="nil"/>
            </w:tcBorders>
            <w:shd w:val="clear" w:color="auto" w:fill="auto"/>
            <w:noWrap/>
            <w:vAlign w:val="center"/>
            <w:hideMark/>
          </w:tcPr>
          <w:p w:rsidR="004062FB" w:rsidRPr="001567C8" w:rsidRDefault="004062FB" w:rsidP="004062FB">
            <w:pPr>
              <w:rPr>
                <w:rFonts w:asciiTheme="minorHAnsi" w:hAnsiTheme="minorHAnsi"/>
                <w:sz w:val="18"/>
                <w:szCs w:val="18"/>
                <w:lang w:val="hr-HR"/>
              </w:rPr>
            </w:pPr>
          </w:p>
        </w:tc>
        <w:tc>
          <w:tcPr>
            <w:tcW w:w="1155"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11.313</w:t>
            </w:r>
          </w:p>
        </w:tc>
        <w:tc>
          <w:tcPr>
            <w:tcW w:w="1155"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n/p</w:t>
            </w:r>
          </w:p>
        </w:tc>
        <w:tc>
          <w:tcPr>
            <w:tcW w:w="1155"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sz w:val="18"/>
                <w:szCs w:val="18"/>
                <w:lang w:val="hr-HR"/>
              </w:rPr>
              <w:t>10.839</w:t>
            </w:r>
          </w:p>
        </w:tc>
        <w:tc>
          <w:tcPr>
            <w:tcW w:w="1156"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n/p</w:t>
            </w:r>
          </w:p>
        </w:tc>
      </w:tr>
      <w:tr w:rsidR="004062FB" w:rsidRPr="001567C8" w:rsidTr="00B8477D">
        <w:trPr>
          <w:trHeight w:val="187"/>
        </w:trPr>
        <w:tc>
          <w:tcPr>
            <w:tcW w:w="2799" w:type="dxa"/>
            <w:tcBorders>
              <w:top w:val="single" w:sz="4" w:space="0" w:color="auto"/>
              <w:left w:val="nil"/>
              <w:bottom w:val="single" w:sz="12" w:space="0" w:color="auto"/>
              <w:right w:val="nil"/>
            </w:tcBorders>
            <w:shd w:val="clear" w:color="auto" w:fill="auto"/>
            <w:noWrap/>
            <w:vAlign w:val="center"/>
            <w:hideMark/>
          </w:tcPr>
          <w:p w:rsidR="004062FB" w:rsidRPr="001567C8" w:rsidRDefault="004062FB" w:rsidP="004062FB">
            <w:pPr>
              <w:jc w:val="both"/>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 </w:t>
            </w:r>
          </w:p>
        </w:tc>
        <w:tc>
          <w:tcPr>
            <w:tcW w:w="1120" w:type="dxa"/>
            <w:tcBorders>
              <w:top w:val="single" w:sz="4" w:space="0" w:color="auto"/>
              <w:left w:val="nil"/>
              <w:bottom w:val="single" w:sz="12" w:space="0" w:color="auto"/>
              <w:right w:val="nil"/>
            </w:tcBorders>
            <w:shd w:val="clear" w:color="auto" w:fill="auto"/>
            <w:noWrap/>
            <w:vAlign w:val="center"/>
            <w:hideMark/>
          </w:tcPr>
          <w:p w:rsidR="004062FB" w:rsidRPr="001567C8" w:rsidRDefault="004062FB" w:rsidP="004062FB">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 </w:t>
            </w:r>
          </w:p>
        </w:tc>
        <w:tc>
          <w:tcPr>
            <w:tcW w:w="1121" w:type="dxa"/>
            <w:tcBorders>
              <w:top w:val="single" w:sz="4" w:space="0" w:color="auto"/>
              <w:left w:val="nil"/>
              <w:bottom w:val="single" w:sz="12" w:space="0" w:color="auto"/>
              <w:right w:val="nil"/>
            </w:tcBorders>
            <w:shd w:val="clear" w:color="auto" w:fill="auto"/>
            <w:noWrap/>
            <w:vAlign w:val="center"/>
            <w:hideMark/>
          </w:tcPr>
          <w:p w:rsidR="004062FB" w:rsidRPr="001567C8" w:rsidRDefault="004062FB" w:rsidP="004062FB">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 </w:t>
            </w:r>
          </w:p>
        </w:tc>
        <w:tc>
          <w:tcPr>
            <w:tcW w:w="1198" w:type="dxa"/>
            <w:tcBorders>
              <w:top w:val="single" w:sz="4" w:space="0" w:color="auto"/>
              <w:left w:val="nil"/>
              <w:bottom w:val="single" w:sz="12" w:space="0" w:color="auto"/>
              <w:right w:val="nil"/>
            </w:tcBorders>
            <w:shd w:val="clear" w:color="auto" w:fill="auto"/>
            <w:noWrap/>
            <w:vAlign w:val="center"/>
            <w:hideMark/>
          </w:tcPr>
          <w:p w:rsidR="004062FB" w:rsidRPr="001567C8" w:rsidRDefault="004062FB" w:rsidP="004062FB">
            <w:pPr>
              <w:jc w:val="both"/>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 </w:t>
            </w:r>
          </w:p>
        </w:tc>
        <w:tc>
          <w:tcPr>
            <w:tcW w:w="1155" w:type="dxa"/>
            <w:tcBorders>
              <w:top w:val="single" w:sz="4" w:space="0" w:color="auto"/>
              <w:left w:val="nil"/>
              <w:bottom w:val="single" w:sz="12" w:space="0" w:color="auto"/>
              <w:right w:val="nil"/>
            </w:tcBorders>
            <w:shd w:val="clear" w:color="auto" w:fill="auto"/>
            <w:vAlign w:val="center"/>
          </w:tcPr>
          <w:p w:rsidR="004062FB" w:rsidRPr="001567C8" w:rsidRDefault="004062FB" w:rsidP="004062FB">
            <w:pPr>
              <w:jc w:val="right"/>
              <w:rPr>
                <w:rFonts w:asciiTheme="minorHAnsi" w:hAnsiTheme="minorHAnsi" w:cs="Arial"/>
                <w:b/>
                <w:bCs/>
                <w:color w:val="000000"/>
                <w:sz w:val="18"/>
                <w:szCs w:val="18"/>
                <w:lang w:val="hr-HR"/>
              </w:rPr>
            </w:pPr>
            <w:r w:rsidRPr="00CD3A2D">
              <w:rPr>
                <w:rFonts w:ascii="Calibri" w:hAnsi="Calibri"/>
                <w:b/>
                <w:bCs/>
                <w:color w:val="000000"/>
                <w:sz w:val="18"/>
                <w:szCs w:val="18"/>
                <w:lang w:val="hr-HR"/>
              </w:rPr>
              <w:t>2.802.993</w:t>
            </w:r>
          </w:p>
        </w:tc>
        <w:tc>
          <w:tcPr>
            <w:tcW w:w="1155" w:type="dxa"/>
            <w:tcBorders>
              <w:top w:val="single" w:sz="4" w:space="0" w:color="auto"/>
              <w:left w:val="nil"/>
              <w:bottom w:val="single" w:sz="12" w:space="0" w:color="auto"/>
              <w:right w:val="nil"/>
            </w:tcBorders>
            <w:shd w:val="clear" w:color="auto" w:fill="auto"/>
            <w:vAlign w:val="center"/>
          </w:tcPr>
          <w:p w:rsidR="004062FB" w:rsidRPr="001567C8" w:rsidRDefault="004062FB" w:rsidP="004062FB">
            <w:pPr>
              <w:jc w:val="right"/>
              <w:rPr>
                <w:rFonts w:asciiTheme="minorHAnsi" w:hAnsiTheme="minorHAnsi" w:cs="Arial"/>
                <w:b/>
                <w:bCs/>
                <w:color w:val="000000"/>
                <w:sz w:val="18"/>
                <w:szCs w:val="18"/>
                <w:lang w:val="hr-HR"/>
              </w:rPr>
            </w:pPr>
            <w:r w:rsidRPr="00CD3A2D">
              <w:rPr>
                <w:rFonts w:ascii="Calibri" w:hAnsi="Calibri"/>
                <w:b/>
                <w:bCs/>
                <w:color w:val="000000"/>
                <w:sz w:val="18"/>
                <w:szCs w:val="18"/>
                <w:lang w:val="hr-HR"/>
              </w:rPr>
              <w:t>n/p</w:t>
            </w:r>
          </w:p>
        </w:tc>
        <w:tc>
          <w:tcPr>
            <w:tcW w:w="1155" w:type="dxa"/>
            <w:tcBorders>
              <w:top w:val="single" w:sz="4" w:space="0" w:color="auto"/>
              <w:left w:val="nil"/>
              <w:bottom w:val="single" w:sz="12" w:space="0" w:color="auto"/>
              <w:right w:val="nil"/>
            </w:tcBorders>
            <w:shd w:val="clear" w:color="auto" w:fill="auto"/>
            <w:vAlign w:val="center"/>
          </w:tcPr>
          <w:p w:rsidR="004062FB" w:rsidRPr="001567C8" w:rsidRDefault="004062FB" w:rsidP="004062FB">
            <w:pPr>
              <w:jc w:val="right"/>
              <w:rPr>
                <w:rFonts w:asciiTheme="minorHAnsi" w:hAnsiTheme="minorHAnsi" w:cs="Arial"/>
                <w:b/>
                <w:bCs/>
                <w:color w:val="000000"/>
                <w:sz w:val="18"/>
                <w:szCs w:val="18"/>
                <w:lang w:val="hr-HR"/>
              </w:rPr>
            </w:pPr>
            <w:r w:rsidRPr="00CD3A2D">
              <w:rPr>
                <w:rFonts w:ascii="Calibri" w:hAnsi="Calibri"/>
                <w:b/>
                <w:bCs/>
                <w:color w:val="000000"/>
                <w:sz w:val="18"/>
                <w:szCs w:val="18"/>
                <w:lang w:val="hr-HR"/>
              </w:rPr>
              <w:t>2.765.595</w:t>
            </w:r>
          </w:p>
        </w:tc>
        <w:tc>
          <w:tcPr>
            <w:tcW w:w="1156" w:type="dxa"/>
            <w:tcBorders>
              <w:top w:val="single" w:sz="4" w:space="0" w:color="auto"/>
              <w:left w:val="nil"/>
              <w:bottom w:val="single" w:sz="12" w:space="0" w:color="auto"/>
              <w:right w:val="nil"/>
            </w:tcBorders>
            <w:shd w:val="clear" w:color="auto" w:fill="auto"/>
            <w:vAlign w:val="center"/>
          </w:tcPr>
          <w:p w:rsidR="004062FB" w:rsidRPr="001567C8" w:rsidRDefault="004062FB" w:rsidP="004062FB">
            <w:pPr>
              <w:jc w:val="right"/>
              <w:rPr>
                <w:rFonts w:asciiTheme="minorHAnsi" w:hAnsiTheme="minorHAnsi" w:cs="Arial"/>
                <w:b/>
                <w:bCs/>
                <w:color w:val="000000"/>
                <w:sz w:val="18"/>
                <w:szCs w:val="18"/>
                <w:lang w:val="hr-HR"/>
              </w:rPr>
            </w:pPr>
            <w:r w:rsidRPr="00CD3A2D">
              <w:rPr>
                <w:rFonts w:ascii="Calibri" w:hAnsi="Calibri"/>
                <w:b/>
                <w:bCs/>
                <w:color w:val="000000"/>
                <w:sz w:val="18"/>
                <w:szCs w:val="18"/>
                <w:lang w:val="hr-HR"/>
              </w:rPr>
              <w:t>n/p</w:t>
            </w:r>
          </w:p>
        </w:tc>
      </w:tr>
      <w:tr w:rsidR="004062FB" w:rsidRPr="001567C8" w:rsidTr="003327E4">
        <w:trPr>
          <w:trHeight w:val="187"/>
        </w:trPr>
        <w:tc>
          <w:tcPr>
            <w:tcW w:w="2799" w:type="dxa"/>
            <w:tcBorders>
              <w:top w:val="single" w:sz="12" w:space="0" w:color="auto"/>
              <w:left w:val="nil"/>
              <w:right w:val="nil"/>
            </w:tcBorders>
            <w:shd w:val="clear" w:color="auto" w:fill="auto"/>
            <w:noWrap/>
            <w:vAlign w:val="center"/>
          </w:tcPr>
          <w:p w:rsidR="004062FB" w:rsidRPr="001567C8" w:rsidRDefault="004062FB" w:rsidP="004062FB">
            <w:pPr>
              <w:jc w:val="both"/>
              <w:rPr>
                <w:rFonts w:asciiTheme="minorHAnsi" w:hAnsiTheme="minorHAnsi" w:cs="Arial"/>
                <w:b/>
                <w:bCs/>
                <w:color w:val="000000"/>
                <w:sz w:val="18"/>
                <w:szCs w:val="18"/>
                <w:lang w:val="hr-HR"/>
              </w:rPr>
            </w:pPr>
          </w:p>
        </w:tc>
        <w:tc>
          <w:tcPr>
            <w:tcW w:w="1120" w:type="dxa"/>
            <w:tcBorders>
              <w:top w:val="single" w:sz="12" w:space="0" w:color="auto"/>
              <w:left w:val="nil"/>
              <w:right w:val="nil"/>
            </w:tcBorders>
            <w:shd w:val="clear" w:color="auto" w:fill="auto"/>
            <w:noWrap/>
            <w:vAlign w:val="center"/>
          </w:tcPr>
          <w:p w:rsidR="004062FB" w:rsidRPr="001567C8" w:rsidRDefault="004062FB" w:rsidP="004062FB">
            <w:pPr>
              <w:jc w:val="right"/>
              <w:rPr>
                <w:rFonts w:asciiTheme="minorHAnsi" w:hAnsiTheme="minorHAnsi" w:cs="Arial"/>
                <w:color w:val="000000"/>
                <w:sz w:val="18"/>
                <w:szCs w:val="18"/>
                <w:lang w:val="hr-HR"/>
              </w:rPr>
            </w:pPr>
          </w:p>
        </w:tc>
        <w:tc>
          <w:tcPr>
            <w:tcW w:w="1121" w:type="dxa"/>
            <w:tcBorders>
              <w:top w:val="single" w:sz="12" w:space="0" w:color="auto"/>
              <w:left w:val="nil"/>
              <w:right w:val="nil"/>
            </w:tcBorders>
            <w:shd w:val="clear" w:color="auto" w:fill="auto"/>
            <w:noWrap/>
            <w:vAlign w:val="center"/>
          </w:tcPr>
          <w:p w:rsidR="004062FB" w:rsidRPr="001567C8" w:rsidRDefault="004062FB" w:rsidP="004062FB">
            <w:pPr>
              <w:jc w:val="right"/>
              <w:rPr>
                <w:rFonts w:asciiTheme="minorHAnsi" w:hAnsiTheme="minorHAnsi" w:cs="Arial"/>
                <w:color w:val="000000"/>
                <w:sz w:val="18"/>
                <w:szCs w:val="18"/>
                <w:lang w:val="hr-HR"/>
              </w:rPr>
            </w:pPr>
          </w:p>
        </w:tc>
        <w:tc>
          <w:tcPr>
            <w:tcW w:w="1198" w:type="dxa"/>
            <w:tcBorders>
              <w:top w:val="single" w:sz="12" w:space="0" w:color="auto"/>
              <w:left w:val="nil"/>
              <w:right w:val="nil"/>
            </w:tcBorders>
            <w:shd w:val="clear" w:color="auto" w:fill="auto"/>
            <w:noWrap/>
            <w:vAlign w:val="center"/>
          </w:tcPr>
          <w:p w:rsidR="004062FB" w:rsidRPr="001567C8" w:rsidRDefault="004062FB" w:rsidP="004062FB">
            <w:pPr>
              <w:jc w:val="both"/>
              <w:rPr>
                <w:rFonts w:asciiTheme="minorHAnsi" w:hAnsiTheme="minorHAnsi" w:cs="Arial"/>
                <w:color w:val="000000"/>
                <w:sz w:val="18"/>
                <w:szCs w:val="18"/>
                <w:lang w:val="hr-HR"/>
              </w:rPr>
            </w:pPr>
          </w:p>
        </w:tc>
        <w:tc>
          <w:tcPr>
            <w:tcW w:w="1155" w:type="dxa"/>
            <w:tcBorders>
              <w:top w:val="single" w:sz="12" w:space="0" w:color="auto"/>
              <w:left w:val="nil"/>
              <w:right w:val="nil"/>
            </w:tcBorders>
            <w:shd w:val="clear" w:color="auto" w:fill="auto"/>
            <w:vAlign w:val="center"/>
          </w:tcPr>
          <w:p w:rsidR="004062FB" w:rsidRPr="00CD3A2D" w:rsidRDefault="004062FB" w:rsidP="004062FB">
            <w:pPr>
              <w:jc w:val="right"/>
              <w:rPr>
                <w:rFonts w:ascii="Calibri" w:hAnsi="Calibri"/>
                <w:b/>
                <w:bCs/>
                <w:color w:val="000000"/>
                <w:sz w:val="18"/>
                <w:szCs w:val="18"/>
                <w:lang w:val="hr-HR"/>
              </w:rPr>
            </w:pPr>
          </w:p>
        </w:tc>
        <w:tc>
          <w:tcPr>
            <w:tcW w:w="1155" w:type="dxa"/>
            <w:tcBorders>
              <w:top w:val="single" w:sz="12" w:space="0" w:color="auto"/>
              <w:left w:val="nil"/>
              <w:right w:val="nil"/>
            </w:tcBorders>
            <w:shd w:val="clear" w:color="auto" w:fill="auto"/>
            <w:vAlign w:val="center"/>
          </w:tcPr>
          <w:p w:rsidR="004062FB" w:rsidRPr="00CD3A2D" w:rsidRDefault="004062FB" w:rsidP="004062FB">
            <w:pPr>
              <w:jc w:val="right"/>
              <w:rPr>
                <w:rFonts w:ascii="Calibri" w:hAnsi="Calibri"/>
                <w:b/>
                <w:bCs/>
                <w:color w:val="000000"/>
                <w:sz w:val="18"/>
                <w:szCs w:val="18"/>
                <w:lang w:val="hr-HR"/>
              </w:rPr>
            </w:pPr>
          </w:p>
        </w:tc>
        <w:tc>
          <w:tcPr>
            <w:tcW w:w="1155" w:type="dxa"/>
            <w:tcBorders>
              <w:top w:val="single" w:sz="12" w:space="0" w:color="auto"/>
              <w:left w:val="nil"/>
              <w:right w:val="nil"/>
            </w:tcBorders>
            <w:shd w:val="clear" w:color="auto" w:fill="auto"/>
            <w:vAlign w:val="center"/>
          </w:tcPr>
          <w:p w:rsidR="004062FB" w:rsidRPr="00CD3A2D" w:rsidRDefault="004062FB" w:rsidP="004062FB">
            <w:pPr>
              <w:jc w:val="right"/>
              <w:rPr>
                <w:rFonts w:ascii="Calibri" w:hAnsi="Calibri"/>
                <w:b/>
                <w:bCs/>
                <w:color w:val="000000"/>
                <w:sz w:val="18"/>
                <w:szCs w:val="18"/>
                <w:lang w:val="hr-HR"/>
              </w:rPr>
            </w:pPr>
          </w:p>
        </w:tc>
        <w:tc>
          <w:tcPr>
            <w:tcW w:w="1156" w:type="dxa"/>
            <w:tcBorders>
              <w:top w:val="single" w:sz="12" w:space="0" w:color="auto"/>
              <w:left w:val="nil"/>
              <w:right w:val="nil"/>
            </w:tcBorders>
            <w:shd w:val="clear" w:color="auto" w:fill="auto"/>
            <w:vAlign w:val="center"/>
          </w:tcPr>
          <w:p w:rsidR="004062FB" w:rsidRPr="00CD3A2D" w:rsidRDefault="004062FB" w:rsidP="004062FB">
            <w:pPr>
              <w:jc w:val="right"/>
              <w:rPr>
                <w:rFonts w:ascii="Calibri" w:hAnsi="Calibri"/>
                <w:b/>
                <w:bCs/>
                <w:color w:val="000000"/>
                <w:sz w:val="18"/>
                <w:szCs w:val="18"/>
                <w:lang w:val="hr-HR"/>
              </w:rPr>
            </w:pPr>
          </w:p>
        </w:tc>
      </w:tr>
      <w:tr w:rsidR="00714EAD" w:rsidRPr="001567C8" w:rsidTr="00B8477D">
        <w:trPr>
          <w:trHeight w:val="58"/>
        </w:trPr>
        <w:tc>
          <w:tcPr>
            <w:tcW w:w="3919" w:type="dxa"/>
            <w:gridSpan w:val="2"/>
            <w:tcBorders>
              <w:top w:val="nil"/>
              <w:left w:val="nil"/>
              <w:bottom w:val="nil"/>
              <w:right w:val="nil"/>
            </w:tcBorders>
            <w:shd w:val="clear" w:color="auto" w:fill="auto"/>
            <w:noWrap/>
            <w:vAlign w:val="center"/>
            <w:hideMark/>
          </w:tcPr>
          <w:p w:rsidR="00714EAD" w:rsidRPr="001567C8" w:rsidRDefault="00714EAD" w:rsidP="00714EAD">
            <w:pPr>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Dužnički vrijednosni papiri koji ne kotiraju:</w:t>
            </w:r>
          </w:p>
        </w:tc>
        <w:tc>
          <w:tcPr>
            <w:tcW w:w="1121" w:type="dxa"/>
            <w:tcBorders>
              <w:top w:val="nil"/>
              <w:left w:val="nil"/>
              <w:bottom w:val="nil"/>
              <w:right w:val="nil"/>
            </w:tcBorders>
            <w:shd w:val="clear" w:color="auto" w:fill="auto"/>
            <w:noWrap/>
            <w:vAlign w:val="bottom"/>
            <w:hideMark/>
          </w:tcPr>
          <w:p w:rsidR="00714EAD" w:rsidRPr="001567C8" w:rsidRDefault="00714EAD" w:rsidP="00714EAD">
            <w:pPr>
              <w:rPr>
                <w:rFonts w:asciiTheme="minorHAnsi" w:hAnsiTheme="minorHAnsi" w:cs="Arial"/>
                <w:color w:val="000000"/>
                <w:sz w:val="18"/>
                <w:szCs w:val="18"/>
                <w:lang w:val="hr-HR"/>
              </w:rPr>
            </w:pPr>
          </w:p>
        </w:tc>
        <w:tc>
          <w:tcPr>
            <w:tcW w:w="1198" w:type="dxa"/>
            <w:tcBorders>
              <w:top w:val="nil"/>
              <w:left w:val="nil"/>
              <w:bottom w:val="nil"/>
              <w:right w:val="nil"/>
            </w:tcBorders>
            <w:shd w:val="clear" w:color="auto" w:fill="auto"/>
            <w:noWrap/>
            <w:vAlign w:val="bottom"/>
            <w:hideMark/>
          </w:tcPr>
          <w:p w:rsidR="00714EAD" w:rsidRPr="001567C8" w:rsidRDefault="00714EAD" w:rsidP="00714EAD">
            <w:pP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rPr>
                <w:rFonts w:asciiTheme="minorHAnsi" w:hAnsiTheme="minorHAnsi"/>
                <w:sz w:val="18"/>
                <w:szCs w:val="18"/>
                <w:lang w:val="hr-HR"/>
              </w:rPr>
            </w:pPr>
          </w:p>
        </w:tc>
        <w:tc>
          <w:tcPr>
            <w:tcW w:w="1156"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sz w:val="18"/>
                <w:szCs w:val="18"/>
                <w:lang w:val="hr-HR"/>
              </w:rPr>
            </w:pPr>
          </w:p>
        </w:tc>
      </w:tr>
      <w:tr w:rsidR="00714EAD" w:rsidRPr="001567C8" w:rsidTr="00B8477D">
        <w:trPr>
          <w:trHeight w:val="175"/>
        </w:trPr>
        <w:tc>
          <w:tcPr>
            <w:tcW w:w="5040" w:type="dxa"/>
            <w:gridSpan w:val="3"/>
            <w:tcBorders>
              <w:top w:val="nil"/>
              <w:left w:val="nil"/>
              <w:bottom w:val="nil"/>
              <w:right w:val="nil"/>
            </w:tcBorders>
            <w:shd w:val="clear" w:color="auto" w:fill="auto"/>
            <w:vAlign w:val="center"/>
            <w:hideMark/>
          </w:tcPr>
          <w:p w:rsidR="00714EAD" w:rsidRPr="001567C8" w:rsidRDefault="00714EAD" w:rsidP="00714EAD">
            <w:pPr>
              <w:jc w:val="both"/>
              <w:rPr>
                <w:rFonts w:asciiTheme="minorHAnsi" w:hAnsiTheme="minorHAnsi" w:cs="Arial"/>
                <w:i/>
                <w:iCs/>
                <w:color w:val="000000"/>
                <w:sz w:val="18"/>
                <w:szCs w:val="18"/>
                <w:lang w:val="hr-HR"/>
              </w:rPr>
            </w:pPr>
            <w:r w:rsidRPr="001567C8">
              <w:rPr>
                <w:rFonts w:asciiTheme="minorHAnsi" w:hAnsiTheme="minorHAnsi" w:cs="Arial"/>
                <w:i/>
                <w:iCs/>
                <w:color w:val="000000"/>
                <w:sz w:val="18"/>
                <w:szCs w:val="18"/>
                <w:lang w:val="hr-HR"/>
              </w:rPr>
              <w:t>Obveznice trgovačkih društava  s valutnom klauzulom:</w:t>
            </w:r>
          </w:p>
        </w:tc>
        <w:tc>
          <w:tcPr>
            <w:tcW w:w="1198" w:type="dxa"/>
            <w:tcBorders>
              <w:top w:val="nil"/>
              <w:left w:val="nil"/>
              <w:bottom w:val="nil"/>
              <w:right w:val="nil"/>
            </w:tcBorders>
            <w:shd w:val="clear" w:color="auto" w:fill="auto"/>
            <w:noWrap/>
            <w:vAlign w:val="bottom"/>
            <w:hideMark/>
          </w:tcPr>
          <w:p w:rsidR="00714EAD" w:rsidRPr="001567C8" w:rsidRDefault="00714EAD" w:rsidP="00714EAD">
            <w:pP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sz w:val="18"/>
                <w:szCs w:val="18"/>
                <w:lang w:val="hr-HR"/>
              </w:rPr>
            </w:pPr>
          </w:p>
        </w:tc>
        <w:tc>
          <w:tcPr>
            <w:tcW w:w="1155" w:type="dxa"/>
            <w:tcBorders>
              <w:top w:val="nil"/>
              <w:left w:val="nil"/>
              <w:bottom w:val="nil"/>
              <w:right w:val="nil"/>
            </w:tcBorders>
            <w:shd w:val="clear" w:color="auto" w:fill="auto"/>
            <w:vAlign w:val="center"/>
          </w:tcPr>
          <w:p w:rsidR="00714EAD" w:rsidRPr="001567C8" w:rsidRDefault="00714EAD" w:rsidP="00714EAD">
            <w:pPr>
              <w:jc w:val="right"/>
              <w:rPr>
                <w:rFonts w:asciiTheme="minorHAnsi" w:hAnsiTheme="minorHAnsi"/>
                <w:sz w:val="18"/>
                <w:szCs w:val="18"/>
                <w:lang w:val="hr-HR"/>
              </w:rPr>
            </w:pPr>
          </w:p>
        </w:tc>
        <w:tc>
          <w:tcPr>
            <w:tcW w:w="1156" w:type="dxa"/>
            <w:tcBorders>
              <w:top w:val="nil"/>
              <w:left w:val="nil"/>
              <w:bottom w:val="nil"/>
              <w:right w:val="nil"/>
            </w:tcBorders>
            <w:shd w:val="clear" w:color="auto" w:fill="auto"/>
            <w:vAlign w:val="center"/>
          </w:tcPr>
          <w:p w:rsidR="00714EAD" w:rsidRPr="001567C8" w:rsidRDefault="00714EAD" w:rsidP="00714EAD">
            <w:pPr>
              <w:rPr>
                <w:rFonts w:asciiTheme="minorHAnsi" w:hAnsiTheme="minorHAnsi"/>
                <w:sz w:val="18"/>
                <w:szCs w:val="18"/>
                <w:lang w:val="hr-HR"/>
              </w:rPr>
            </w:pPr>
          </w:p>
        </w:tc>
      </w:tr>
      <w:tr w:rsidR="004062FB" w:rsidRPr="001567C8" w:rsidTr="00B8477D">
        <w:trPr>
          <w:trHeight w:val="175"/>
        </w:trPr>
        <w:tc>
          <w:tcPr>
            <w:tcW w:w="2799" w:type="dxa"/>
            <w:tcBorders>
              <w:top w:val="nil"/>
              <w:left w:val="nil"/>
              <w:bottom w:val="nil"/>
              <w:right w:val="nil"/>
            </w:tcBorders>
            <w:shd w:val="clear" w:color="auto" w:fill="auto"/>
            <w:noWrap/>
            <w:vAlign w:val="center"/>
            <w:hideMark/>
          </w:tcPr>
          <w:p w:rsidR="004062FB" w:rsidRPr="001567C8" w:rsidRDefault="004062FB" w:rsidP="004062FB">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LNGU-O-31AE</w:t>
            </w:r>
          </w:p>
        </w:tc>
        <w:tc>
          <w:tcPr>
            <w:tcW w:w="1120" w:type="dxa"/>
            <w:tcBorders>
              <w:top w:val="nil"/>
              <w:left w:val="nil"/>
              <w:bottom w:val="nil"/>
              <w:right w:val="nil"/>
            </w:tcBorders>
            <w:shd w:val="clear" w:color="auto" w:fill="auto"/>
            <w:noWrap/>
            <w:vAlign w:val="center"/>
            <w:hideMark/>
          </w:tcPr>
          <w:p w:rsidR="004062FB" w:rsidRPr="001567C8" w:rsidRDefault="004062FB" w:rsidP="004062FB">
            <w:pPr>
              <w:jc w:val="right"/>
              <w:rPr>
                <w:rFonts w:asciiTheme="minorHAnsi" w:hAnsiTheme="minorHAnsi" w:cs="Arial"/>
                <w:sz w:val="18"/>
                <w:szCs w:val="18"/>
                <w:lang w:val="hr-HR"/>
              </w:rPr>
            </w:pPr>
            <w:r w:rsidRPr="001567C8">
              <w:rPr>
                <w:rFonts w:asciiTheme="minorHAnsi" w:hAnsiTheme="minorHAnsi" w:cs="Arial"/>
                <w:sz w:val="18"/>
                <w:szCs w:val="18"/>
                <w:lang w:val="hr-HR"/>
              </w:rPr>
              <w:t>24.7.2015.</w:t>
            </w:r>
          </w:p>
        </w:tc>
        <w:tc>
          <w:tcPr>
            <w:tcW w:w="1121" w:type="dxa"/>
            <w:tcBorders>
              <w:top w:val="nil"/>
              <w:left w:val="nil"/>
              <w:bottom w:val="nil"/>
              <w:right w:val="nil"/>
            </w:tcBorders>
            <w:shd w:val="clear" w:color="auto" w:fill="auto"/>
            <w:noWrap/>
            <w:vAlign w:val="center"/>
            <w:hideMark/>
          </w:tcPr>
          <w:p w:rsidR="004062FB" w:rsidRPr="001567C8" w:rsidRDefault="004062FB" w:rsidP="004062FB">
            <w:pPr>
              <w:jc w:val="right"/>
              <w:rPr>
                <w:rFonts w:asciiTheme="minorHAnsi" w:hAnsiTheme="minorHAnsi" w:cs="Arial"/>
                <w:sz w:val="18"/>
                <w:szCs w:val="18"/>
                <w:lang w:val="hr-HR"/>
              </w:rPr>
            </w:pPr>
            <w:r w:rsidRPr="001567C8">
              <w:rPr>
                <w:rFonts w:asciiTheme="minorHAnsi" w:hAnsiTheme="minorHAnsi" w:cs="Arial"/>
                <w:sz w:val="18"/>
                <w:szCs w:val="18"/>
                <w:lang w:val="hr-HR"/>
              </w:rPr>
              <w:t>15.10.2031.</w:t>
            </w:r>
          </w:p>
        </w:tc>
        <w:tc>
          <w:tcPr>
            <w:tcW w:w="1198" w:type="dxa"/>
            <w:tcBorders>
              <w:top w:val="nil"/>
              <w:left w:val="nil"/>
              <w:bottom w:val="nil"/>
              <w:right w:val="nil"/>
            </w:tcBorders>
            <w:shd w:val="clear" w:color="auto" w:fill="auto"/>
            <w:noWrap/>
            <w:vAlign w:val="center"/>
            <w:hideMark/>
          </w:tcPr>
          <w:p w:rsidR="004062FB" w:rsidRPr="001567C8" w:rsidRDefault="004062FB" w:rsidP="004062FB">
            <w:pPr>
              <w:jc w:val="center"/>
              <w:rPr>
                <w:rFonts w:asciiTheme="minorHAnsi" w:hAnsiTheme="minorHAnsi" w:cs="Arial"/>
                <w:sz w:val="18"/>
                <w:szCs w:val="18"/>
                <w:lang w:val="hr-HR"/>
              </w:rPr>
            </w:pPr>
            <w:r w:rsidRPr="001567C8">
              <w:rPr>
                <w:rFonts w:asciiTheme="minorHAnsi" w:hAnsiTheme="minorHAnsi" w:cs="Arial"/>
                <w:sz w:val="18"/>
                <w:szCs w:val="18"/>
                <w:lang w:val="hr-HR"/>
              </w:rPr>
              <w:t>4,5</w:t>
            </w:r>
          </w:p>
        </w:tc>
        <w:tc>
          <w:tcPr>
            <w:tcW w:w="1155" w:type="dxa"/>
            <w:tcBorders>
              <w:top w:val="nil"/>
              <w:left w:val="nil"/>
              <w:bottom w:val="nil"/>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535</w:t>
            </w:r>
          </w:p>
        </w:tc>
        <w:tc>
          <w:tcPr>
            <w:tcW w:w="1155" w:type="dxa"/>
            <w:tcBorders>
              <w:top w:val="nil"/>
              <w:left w:val="nil"/>
              <w:bottom w:val="nil"/>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n/p</w:t>
            </w:r>
          </w:p>
        </w:tc>
        <w:tc>
          <w:tcPr>
            <w:tcW w:w="1155" w:type="dxa"/>
            <w:tcBorders>
              <w:top w:val="nil"/>
              <w:left w:val="nil"/>
              <w:bottom w:val="nil"/>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535</w:t>
            </w:r>
          </w:p>
        </w:tc>
        <w:tc>
          <w:tcPr>
            <w:tcW w:w="1156" w:type="dxa"/>
            <w:tcBorders>
              <w:top w:val="nil"/>
              <w:left w:val="nil"/>
              <w:bottom w:val="nil"/>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n/p</w:t>
            </w:r>
          </w:p>
        </w:tc>
      </w:tr>
      <w:tr w:rsidR="004062FB" w:rsidRPr="001567C8" w:rsidTr="00B8477D">
        <w:trPr>
          <w:trHeight w:val="175"/>
        </w:trPr>
        <w:tc>
          <w:tcPr>
            <w:tcW w:w="2799" w:type="dxa"/>
            <w:tcBorders>
              <w:top w:val="nil"/>
              <w:left w:val="nil"/>
              <w:bottom w:val="single" w:sz="4" w:space="0" w:color="auto"/>
              <w:right w:val="nil"/>
            </w:tcBorders>
            <w:shd w:val="clear" w:color="auto" w:fill="auto"/>
            <w:noWrap/>
            <w:vAlign w:val="center"/>
            <w:hideMark/>
          </w:tcPr>
          <w:p w:rsidR="004062FB" w:rsidRPr="001567C8" w:rsidRDefault="004062FB" w:rsidP="004062FB">
            <w:pPr>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 xml:space="preserve">Obračunata kamata </w:t>
            </w:r>
          </w:p>
        </w:tc>
        <w:tc>
          <w:tcPr>
            <w:tcW w:w="1120" w:type="dxa"/>
            <w:tcBorders>
              <w:top w:val="nil"/>
              <w:left w:val="nil"/>
              <w:bottom w:val="single" w:sz="4" w:space="0" w:color="auto"/>
              <w:right w:val="nil"/>
            </w:tcBorders>
            <w:shd w:val="clear" w:color="auto" w:fill="auto"/>
            <w:noWrap/>
            <w:vAlign w:val="bottom"/>
            <w:hideMark/>
          </w:tcPr>
          <w:p w:rsidR="004062FB" w:rsidRPr="001567C8" w:rsidRDefault="004062FB" w:rsidP="004062FB">
            <w:pPr>
              <w:rPr>
                <w:rFonts w:asciiTheme="minorHAnsi" w:hAnsiTheme="minorHAnsi" w:cs="Arial"/>
                <w:color w:val="000000"/>
                <w:sz w:val="18"/>
                <w:szCs w:val="18"/>
                <w:lang w:val="hr-HR"/>
              </w:rPr>
            </w:pPr>
          </w:p>
        </w:tc>
        <w:tc>
          <w:tcPr>
            <w:tcW w:w="1121" w:type="dxa"/>
            <w:tcBorders>
              <w:top w:val="nil"/>
              <w:left w:val="nil"/>
              <w:bottom w:val="single" w:sz="4" w:space="0" w:color="auto"/>
              <w:right w:val="nil"/>
            </w:tcBorders>
            <w:shd w:val="clear" w:color="auto" w:fill="auto"/>
            <w:noWrap/>
            <w:vAlign w:val="bottom"/>
            <w:hideMark/>
          </w:tcPr>
          <w:p w:rsidR="004062FB" w:rsidRPr="001567C8" w:rsidRDefault="004062FB" w:rsidP="004062FB">
            <w:pPr>
              <w:rPr>
                <w:rFonts w:asciiTheme="minorHAnsi" w:hAnsiTheme="minorHAnsi"/>
                <w:sz w:val="18"/>
                <w:szCs w:val="18"/>
                <w:lang w:val="hr-HR"/>
              </w:rPr>
            </w:pPr>
          </w:p>
        </w:tc>
        <w:tc>
          <w:tcPr>
            <w:tcW w:w="1198" w:type="dxa"/>
            <w:tcBorders>
              <w:top w:val="nil"/>
              <w:left w:val="nil"/>
              <w:bottom w:val="single" w:sz="4" w:space="0" w:color="auto"/>
              <w:right w:val="nil"/>
            </w:tcBorders>
            <w:shd w:val="clear" w:color="auto" w:fill="auto"/>
            <w:noWrap/>
            <w:vAlign w:val="bottom"/>
            <w:hideMark/>
          </w:tcPr>
          <w:p w:rsidR="004062FB" w:rsidRPr="001567C8" w:rsidRDefault="004062FB" w:rsidP="004062FB">
            <w:pPr>
              <w:rPr>
                <w:rFonts w:asciiTheme="minorHAnsi" w:hAnsiTheme="minorHAnsi"/>
                <w:sz w:val="18"/>
                <w:szCs w:val="18"/>
                <w:lang w:val="hr-HR"/>
              </w:rPr>
            </w:pPr>
          </w:p>
        </w:tc>
        <w:tc>
          <w:tcPr>
            <w:tcW w:w="1155"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233</w:t>
            </w:r>
          </w:p>
        </w:tc>
        <w:tc>
          <w:tcPr>
            <w:tcW w:w="1155"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n/p</w:t>
            </w:r>
          </w:p>
        </w:tc>
        <w:tc>
          <w:tcPr>
            <w:tcW w:w="1155"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233</w:t>
            </w:r>
          </w:p>
        </w:tc>
        <w:tc>
          <w:tcPr>
            <w:tcW w:w="1156"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color w:val="000000"/>
                <w:sz w:val="18"/>
                <w:szCs w:val="18"/>
                <w:lang w:val="hr-HR"/>
              </w:rPr>
            </w:pPr>
            <w:r w:rsidRPr="00CD3A2D">
              <w:rPr>
                <w:rFonts w:asciiTheme="minorHAnsi" w:hAnsiTheme="minorHAnsi"/>
                <w:color w:val="000000"/>
                <w:sz w:val="18"/>
                <w:szCs w:val="18"/>
                <w:lang w:val="hr-HR"/>
              </w:rPr>
              <w:t>n/p</w:t>
            </w:r>
          </w:p>
        </w:tc>
      </w:tr>
      <w:tr w:rsidR="004062FB" w:rsidRPr="001567C8" w:rsidTr="00B8477D">
        <w:trPr>
          <w:trHeight w:val="187"/>
        </w:trPr>
        <w:tc>
          <w:tcPr>
            <w:tcW w:w="2799" w:type="dxa"/>
            <w:tcBorders>
              <w:top w:val="single" w:sz="4" w:space="0" w:color="auto"/>
              <w:left w:val="nil"/>
              <w:bottom w:val="single" w:sz="12" w:space="0" w:color="auto"/>
              <w:right w:val="nil"/>
            </w:tcBorders>
            <w:shd w:val="clear" w:color="auto" w:fill="auto"/>
            <w:noWrap/>
            <w:vAlign w:val="center"/>
            <w:hideMark/>
          </w:tcPr>
          <w:p w:rsidR="004062FB" w:rsidRPr="001567C8" w:rsidRDefault="004062FB" w:rsidP="004062FB">
            <w:pPr>
              <w:jc w:val="both"/>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 </w:t>
            </w:r>
          </w:p>
        </w:tc>
        <w:tc>
          <w:tcPr>
            <w:tcW w:w="1120" w:type="dxa"/>
            <w:tcBorders>
              <w:top w:val="single" w:sz="4" w:space="0" w:color="auto"/>
              <w:left w:val="nil"/>
              <w:bottom w:val="single" w:sz="12" w:space="0" w:color="auto"/>
              <w:right w:val="nil"/>
            </w:tcBorders>
            <w:shd w:val="clear" w:color="auto" w:fill="auto"/>
            <w:noWrap/>
            <w:vAlign w:val="center"/>
            <w:hideMark/>
          </w:tcPr>
          <w:p w:rsidR="004062FB" w:rsidRPr="001567C8" w:rsidRDefault="004062FB" w:rsidP="004062FB">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 </w:t>
            </w:r>
          </w:p>
        </w:tc>
        <w:tc>
          <w:tcPr>
            <w:tcW w:w="1121" w:type="dxa"/>
            <w:tcBorders>
              <w:top w:val="single" w:sz="4" w:space="0" w:color="auto"/>
              <w:left w:val="nil"/>
              <w:bottom w:val="single" w:sz="12" w:space="0" w:color="auto"/>
              <w:right w:val="nil"/>
            </w:tcBorders>
            <w:shd w:val="clear" w:color="auto" w:fill="auto"/>
            <w:noWrap/>
            <w:vAlign w:val="center"/>
            <w:hideMark/>
          </w:tcPr>
          <w:p w:rsidR="004062FB" w:rsidRPr="001567C8" w:rsidRDefault="004062FB" w:rsidP="004062FB">
            <w:pPr>
              <w:jc w:val="right"/>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 </w:t>
            </w:r>
          </w:p>
        </w:tc>
        <w:tc>
          <w:tcPr>
            <w:tcW w:w="1198" w:type="dxa"/>
            <w:tcBorders>
              <w:top w:val="single" w:sz="4" w:space="0" w:color="auto"/>
              <w:left w:val="nil"/>
              <w:bottom w:val="single" w:sz="12" w:space="0" w:color="auto"/>
              <w:right w:val="nil"/>
            </w:tcBorders>
            <w:shd w:val="clear" w:color="auto" w:fill="auto"/>
            <w:noWrap/>
            <w:vAlign w:val="center"/>
            <w:hideMark/>
          </w:tcPr>
          <w:p w:rsidR="004062FB" w:rsidRPr="001567C8" w:rsidRDefault="004062FB" w:rsidP="004062FB">
            <w:pPr>
              <w:jc w:val="both"/>
              <w:rPr>
                <w:rFonts w:asciiTheme="minorHAnsi" w:hAnsiTheme="minorHAnsi" w:cs="Arial"/>
                <w:color w:val="000000"/>
                <w:sz w:val="18"/>
                <w:szCs w:val="18"/>
                <w:lang w:val="hr-HR"/>
              </w:rPr>
            </w:pPr>
            <w:r w:rsidRPr="001567C8">
              <w:rPr>
                <w:rFonts w:asciiTheme="minorHAnsi" w:hAnsiTheme="minorHAnsi" w:cs="Arial"/>
                <w:color w:val="000000"/>
                <w:sz w:val="18"/>
                <w:szCs w:val="18"/>
                <w:lang w:val="hr-HR"/>
              </w:rPr>
              <w:t> </w:t>
            </w:r>
          </w:p>
        </w:tc>
        <w:tc>
          <w:tcPr>
            <w:tcW w:w="1155" w:type="dxa"/>
            <w:tcBorders>
              <w:top w:val="single" w:sz="4" w:space="0" w:color="auto"/>
              <w:left w:val="nil"/>
              <w:bottom w:val="single" w:sz="12" w:space="0" w:color="auto"/>
              <w:right w:val="nil"/>
            </w:tcBorders>
            <w:shd w:val="clear" w:color="auto" w:fill="auto"/>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b/>
                <w:sz w:val="18"/>
                <w:szCs w:val="18"/>
                <w:lang w:val="hr-HR"/>
              </w:rPr>
              <w:t>768</w:t>
            </w:r>
          </w:p>
        </w:tc>
        <w:tc>
          <w:tcPr>
            <w:tcW w:w="1155" w:type="dxa"/>
            <w:tcBorders>
              <w:top w:val="single" w:sz="4" w:space="0" w:color="auto"/>
              <w:left w:val="nil"/>
              <w:bottom w:val="single" w:sz="12" w:space="0" w:color="auto"/>
              <w:right w:val="nil"/>
            </w:tcBorders>
            <w:shd w:val="clear" w:color="auto" w:fill="auto"/>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b/>
                <w:sz w:val="18"/>
                <w:szCs w:val="18"/>
                <w:lang w:val="hr-HR"/>
              </w:rPr>
              <w:t>n/p</w:t>
            </w:r>
          </w:p>
        </w:tc>
        <w:tc>
          <w:tcPr>
            <w:tcW w:w="1155" w:type="dxa"/>
            <w:tcBorders>
              <w:top w:val="single" w:sz="4" w:space="0" w:color="auto"/>
              <w:left w:val="nil"/>
              <w:bottom w:val="single" w:sz="12" w:space="0" w:color="auto"/>
              <w:right w:val="nil"/>
            </w:tcBorders>
            <w:shd w:val="clear" w:color="auto" w:fill="auto"/>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b/>
                <w:sz w:val="18"/>
                <w:szCs w:val="18"/>
                <w:lang w:val="hr-HR"/>
              </w:rPr>
              <w:t>768</w:t>
            </w:r>
          </w:p>
        </w:tc>
        <w:tc>
          <w:tcPr>
            <w:tcW w:w="1156" w:type="dxa"/>
            <w:tcBorders>
              <w:top w:val="single" w:sz="4" w:space="0" w:color="auto"/>
              <w:left w:val="nil"/>
              <w:bottom w:val="single" w:sz="12" w:space="0" w:color="auto"/>
              <w:right w:val="nil"/>
            </w:tcBorders>
            <w:shd w:val="clear" w:color="auto" w:fill="auto"/>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b/>
                <w:sz w:val="18"/>
                <w:szCs w:val="18"/>
                <w:lang w:val="hr-HR"/>
              </w:rPr>
              <w:t>n/p</w:t>
            </w:r>
          </w:p>
        </w:tc>
      </w:tr>
      <w:tr w:rsidR="00714EAD" w:rsidRPr="001567C8" w:rsidTr="00B8477D">
        <w:trPr>
          <w:trHeight w:val="187"/>
        </w:trPr>
        <w:tc>
          <w:tcPr>
            <w:tcW w:w="2799" w:type="dxa"/>
            <w:tcBorders>
              <w:top w:val="single" w:sz="12" w:space="0" w:color="auto"/>
              <w:left w:val="nil"/>
              <w:right w:val="nil"/>
            </w:tcBorders>
            <w:shd w:val="clear" w:color="auto" w:fill="auto"/>
            <w:noWrap/>
            <w:vAlign w:val="center"/>
          </w:tcPr>
          <w:p w:rsidR="00714EAD" w:rsidRPr="001567C8" w:rsidRDefault="00714EAD" w:rsidP="00714EAD">
            <w:pPr>
              <w:jc w:val="both"/>
              <w:rPr>
                <w:rFonts w:asciiTheme="minorHAnsi" w:hAnsiTheme="minorHAnsi" w:cs="Arial"/>
                <w:b/>
                <w:bCs/>
                <w:color w:val="000000"/>
                <w:sz w:val="18"/>
                <w:szCs w:val="18"/>
                <w:lang w:val="hr-HR"/>
              </w:rPr>
            </w:pPr>
          </w:p>
        </w:tc>
        <w:tc>
          <w:tcPr>
            <w:tcW w:w="1120" w:type="dxa"/>
            <w:tcBorders>
              <w:top w:val="single" w:sz="12" w:space="0" w:color="auto"/>
              <w:left w:val="nil"/>
              <w:right w:val="nil"/>
            </w:tcBorders>
            <w:shd w:val="clear" w:color="auto" w:fill="auto"/>
            <w:noWrap/>
            <w:vAlign w:val="center"/>
          </w:tcPr>
          <w:p w:rsidR="00714EAD" w:rsidRPr="001567C8" w:rsidRDefault="00714EAD" w:rsidP="00714EAD">
            <w:pPr>
              <w:jc w:val="right"/>
              <w:rPr>
                <w:rFonts w:asciiTheme="minorHAnsi" w:hAnsiTheme="minorHAnsi" w:cs="Arial"/>
                <w:color w:val="000000"/>
                <w:sz w:val="18"/>
                <w:szCs w:val="18"/>
                <w:lang w:val="hr-HR"/>
              </w:rPr>
            </w:pPr>
          </w:p>
        </w:tc>
        <w:tc>
          <w:tcPr>
            <w:tcW w:w="1121" w:type="dxa"/>
            <w:tcBorders>
              <w:top w:val="single" w:sz="12" w:space="0" w:color="auto"/>
              <w:left w:val="nil"/>
              <w:right w:val="nil"/>
            </w:tcBorders>
            <w:shd w:val="clear" w:color="auto" w:fill="auto"/>
            <w:noWrap/>
            <w:vAlign w:val="center"/>
          </w:tcPr>
          <w:p w:rsidR="00714EAD" w:rsidRPr="001567C8" w:rsidRDefault="00714EAD" w:rsidP="00714EAD">
            <w:pPr>
              <w:jc w:val="right"/>
              <w:rPr>
                <w:rFonts w:asciiTheme="minorHAnsi" w:hAnsiTheme="minorHAnsi" w:cs="Arial"/>
                <w:color w:val="000000"/>
                <w:sz w:val="18"/>
                <w:szCs w:val="18"/>
                <w:lang w:val="hr-HR"/>
              </w:rPr>
            </w:pPr>
          </w:p>
        </w:tc>
        <w:tc>
          <w:tcPr>
            <w:tcW w:w="1198" w:type="dxa"/>
            <w:tcBorders>
              <w:top w:val="single" w:sz="12" w:space="0" w:color="auto"/>
              <w:left w:val="nil"/>
              <w:right w:val="nil"/>
            </w:tcBorders>
            <w:shd w:val="clear" w:color="auto" w:fill="auto"/>
            <w:noWrap/>
            <w:vAlign w:val="center"/>
          </w:tcPr>
          <w:p w:rsidR="00714EAD" w:rsidRPr="001567C8" w:rsidRDefault="00714EAD" w:rsidP="00714EAD">
            <w:pPr>
              <w:jc w:val="both"/>
              <w:rPr>
                <w:rFonts w:asciiTheme="minorHAnsi" w:hAnsiTheme="minorHAnsi" w:cs="Arial"/>
                <w:color w:val="000000"/>
                <w:sz w:val="18"/>
                <w:szCs w:val="18"/>
                <w:lang w:val="hr-HR"/>
              </w:rPr>
            </w:pPr>
          </w:p>
        </w:tc>
        <w:tc>
          <w:tcPr>
            <w:tcW w:w="1155" w:type="dxa"/>
            <w:tcBorders>
              <w:top w:val="single" w:sz="12" w:space="0" w:color="auto"/>
              <w:left w:val="nil"/>
              <w:right w:val="nil"/>
            </w:tcBorders>
            <w:shd w:val="clear" w:color="auto" w:fill="auto"/>
            <w:vAlign w:val="center"/>
          </w:tcPr>
          <w:p w:rsidR="00714EAD" w:rsidRPr="001567C8" w:rsidDel="00714EAD" w:rsidRDefault="00714EAD" w:rsidP="00714EAD">
            <w:pPr>
              <w:jc w:val="right"/>
              <w:rPr>
                <w:rFonts w:asciiTheme="minorHAnsi" w:hAnsiTheme="minorHAnsi" w:cs="Arial"/>
                <w:b/>
                <w:bCs/>
                <w:color w:val="000000"/>
                <w:sz w:val="18"/>
                <w:szCs w:val="18"/>
                <w:lang w:val="hr-HR"/>
              </w:rPr>
            </w:pPr>
          </w:p>
        </w:tc>
        <w:tc>
          <w:tcPr>
            <w:tcW w:w="1155" w:type="dxa"/>
            <w:tcBorders>
              <w:top w:val="single" w:sz="12" w:space="0" w:color="auto"/>
              <w:left w:val="nil"/>
              <w:right w:val="nil"/>
            </w:tcBorders>
            <w:shd w:val="clear" w:color="auto" w:fill="auto"/>
            <w:vAlign w:val="center"/>
          </w:tcPr>
          <w:p w:rsidR="00714EAD" w:rsidRPr="001567C8" w:rsidRDefault="00714EAD" w:rsidP="00714EAD">
            <w:pPr>
              <w:jc w:val="right"/>
              <w:rPr>
                <w:rFonts w:asciiTheme="minorHAnsi" w:hAnsiTheme="minorHAnsi" w:cs="Arial"/>
                <w:b/>
                <w:bCs/>
                <w:color w:val="000000"/>
                <w:sz w:val="18"/>
                <w:szCs w:val="18"/>
                <w:lang w:val="hr-HR"/>
              </w:rPr>
            </w:pPr>
          </w:p>
        </w:tc>
        <w:tc>
          <w:tcPr>
            <w:tcW w:w="1155" w:type="dxa"/>
            <w:tcBorders>
              <w:top w:val="single" w:sz="12" w:space="0" w:color="auto"/>
              <w:left w:val="nil"/>
              <w:right w:val="nil"/>
            </w:tcBorders>
            <w:shd w:val="clear" w:color="auto" w:fill="auto"/>
            <w:vAlign w:val="center"/>
          </w:tcPr>
          <w:p w:rsidR="00714EAD" w:rsidRPr="001567C8" w:rsidDel="00714EAD" w:rsidRDefault="00714EAD" w:rsidP="00714EAD">
            <w:pPr>
              <w:jc w:val="right"/>
              <w:rPr>
                <w:rFonts w:asciiTheme="minorHAnsi" w:hAnsiTheme="minorHAnsi" w:cs="Arial"/>
                <w:b/>
                <w:bCs/>
                <w:color w:val="000000"/>
                <w:sz w:val="18"/>
                <w:szCs w:val="18"/>
                <w:lang w:val="hr-HR"/>
              </w:rPr>
            </w:pPr>
          </w:p>
        </w:tc>
        <w:tc>
          <w:tcPr>
            <w:tcW w:w="1156" w:type="dxa"/>
            <w:tcBorders>
              <w:top w:val="single" w:sz="12" w:space="0" w:color="auto"/>
              <w:left w:val="nil"/>
              <w:right w:val="nil"/>
            </w:tcBorders>
            <w:shd w:val="clear" w:color="auto" w:fill="auto"/>
            <w:vAlign w:val="center"/>
          </w:tcPr>
          <w:p w:rsidR="00714EAD" w:rsidRPr="001567C8" w:rsidRDefault="00714EAD" w:rsidP="00714EAD">
            <w:pPr>
              <w:jc w:val="right"/>
              <w:rPr>
                <w:rFonts w:asciiTheme="minorHAnsi" w:hAnsiTheme="minorHAnsi" w:cs="Arial"/>
                <w:b/>
                <w:bCs/>
                <w:color w:val="000000"/>
                <w:sz w:val="18"/>
                <w:szCs w:val="18"/>
                <w:lang w:val="hr-HR"/>
              </w:rPr>
            </w:pPr>
          </w:p>
        </w:tc>
      </w:tr>
      <w:tr w:rsidR="00714EAD" w:rsidRPr="001567C8" w:rsidTr="00B8477D">
        <w:trPr>
          <w:trHeight w:val="187"/>
        </w:trPr>
        <w:tc>
          <w:tcPr>
            <w:tcW w:w="2799" w:type="dxa"/>
            <w:tcBorders>
              <w:left w:val="nil"/>
              <w:right w:val="nil"/>
            </w:tcBorders>
            <w:shd w:val="clear" w:color="auto" w:fill="auto"/>
            <w:noWrap/>
            <w:vAlign w:val="center"/>
          </w:tcPr>
          <w:p w:rsidR="00714EAD" w:rsidRPr="001567C8" w:rsidRDefault="004062FB" w:rsidP="00714EAD">
            <w:pPr>
              <w:jc w:val="both"/>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Vlasnički vrijednosni papiri:</w:t>
            </w:r>
          </w:p>
        </w:tc>
        <w:tc>
          <w:tcPr>
            <w:tcW w:w="1120" w:type="dxa"/>
            <w:tcBorders>
              <w:left w:val="nil"/>
              <w:right w:val="nil"/>
            </w:tcBorders>
            <w:shd w:val="clear" w:color="auto" w:fill="auto"/>
            <w:noWrap/>
            <w:vAlign w:val="center"/>
          </w:tcPr>
          <w:p w:rsidR="00714EAD" w:rsidRPr="001567C8" w:rsidRDefault="00714EAD" w:rsidP="00714EAD">
            <w:pPr>
              <w:jc w:val="right"/>
              <w:rPr>
                <w:rFonts w:asciiTheme="minorHAnsi" w:hAnsiTheme="minorHAnsi" w:cs="Arial"/>
                <w:color w:val="000000"/>
                <w:sz w:val="18"/>
                <w:szCs w:val="18"/>
                <w:lang w:val="hr-HR"/>
              </w:rPr>
            </w:pPr>
          </w:p>
        </w:tc>
        <w:tc>
          <w:tcPr>
            <w:tcW w:w="1121" w:type="dxa"/>
            <w:tcBorders>
              <w:left w:val="nil"/>
              <w:right w:val="nil"/>
            </w:tcBorders>
            <w:shd w:val="clear" w:color="auto" w:fill="auto"/>
            <w:noWrap/>
            <w:vAlign w:val="center"/>
          </w:tcPr>
          <w:p w:rsidR="00714EAD" w:rsidRPr="001567C8" w:rsidRDefault="00714EAD" w:rsidP="00714EAD">
            <w:pPr>
              <w:jc w:val="right"/>
              <w:rPr>
                <w:rFonts w:asciiTheme="minorHAnsi" w:hAnsiTheme="minorHAnsi" w:cs="Arial"/>
                <w:color w:val="000000"/>
                <w:sz w:val="18"/>
                <w:szCs w:val="18"/>
                <w:lang w:val="hr-HR"/>
              </w:rPr>
            </w:pPr>
          </w:p>
        </w:tc>
        <w:tc>
          <w:tcPr>
            <w:tcW w:w="1198" w:type="dxa"/>
            <w:tcBorders>
              <w:left w:val="nil"/>
              <w:right w:val="nil"/>
            </w:tcBorders>
            <w:shd w:val="clear" w:color="auto" w:fill="auto"/>
            <w:noWrap/>
            <w:vAlign w:val="center"/>
          </w:tcPr>
          <w:p w:rsidR="00714EAD" w:rsidRPr="001567C8" w:rsidRDefault="00714EAD" w:rsidP="00714EAD">
            <w:pPr>
              <w:jc w:val="both"/>
              <w:rPr>
                <w:rFonts w:asciiTheme="minorHAnsi" w:hAnsiTheme="minorHAnsi" w:cs="Arial"/>
                <w:color w:val="000000"/>
                <w:sz w:val="18"/>
                <w:szCs w:val="18"/>
                <w:lang w:val="hr-HR"/>
              </w:rPr>
            </w:pPr>
          </w:p>
        </w:tc>
        <w:tc>
          <w:tcPr>
            <w:tcW w:w="1155" w:type="dxa"/>
            <w:tcBorders>
              <w:left w:val="nil"/>
              <w:right w:val="nil"/>
            </w:tcBorders>
            <w:shd w:val="clear" w:color="auto" w:fill="auto"/>
            <w:vAlign w:val="center"/>
          </w:tcPr>
          <w:p w:rsidR="00714EAD" w:rsidRPr="001567C8" w:rsidDel="00714EAD" w:rsidRDefault="00714EAD" w:rsidP="00714EAD">
            <w:pPr>
              <w:jc w:val="right"/>
              <w:rPr>
                <w:rFonts w:asciiTheme="minorHAnsi" w:hAnsiTheme="minorHAnsi" w:cs="Arial"/>
                <w:b/>
                <w:bCs/>
                <w:color w:val="000000"/>
                <w:sz w:val="18"/>
                <w:szCs w:val="18"/>
                <w:lang w:val="hr-HR"/>
              </w:rPr>
            </w:pPr>
          </w:p>
        </w:tc>
        <w:tc>
          <w:tcPr>
            <w:tcW w:w="1155" w:type="dxa"/>
            <w:tcBorders>
              <w:left w:val="nil"/>
              <w:right w:val="nil"/>
            </w:tcBorders>
            <w:shd w:val="clear" w:color="auto" w:fill="auto"/>
            <w:vAlign w:val="center"/>
          </w:tcPr>
          <w:p w:rsidR="00714EAD" w:rsidRPr="001567C8" w:rsidRDefault="00714EAD" w:rsidP="00714EAD">
            <w:pPr>
              <w:jc w:val="right"/>
              <w:rPr>
                <w:rFonts w:asciiTheme="minorHAnsi" w:hAnsiTheme="minorHAnsi" w:cs="Arial"/>
                <w:b/>
                <w:bCs/>
                <w:color w:val="000000"/>
                <w:sz w:val="18"/>
                <w:szCs w:val="18"/>
                <w:lang w:val="hr-HR"/>
              </w:rPr>
            </w:pPr>
          </w:p>
        </w:tc>
        <w:tc>
          <w:tcPr>
            <w:tcW w:w="1155" w:type="dxa"/>
            <w:tcBorders>
              <w:left w:val="nil"/>
              <w:right w:val="nil"/>
            </w:tcBorders>
            <w:shd w:val="clear" w:color="auto" w:fill="auto"/>
            <w:vAlign w:val="center"/>
          </w:tcPr>
          <w:p w:rsidR="00714EAD" w:rsidRPr="001567C8" w:rsidDel="00714EAD" w:rsidRDefault="00714EAD" w:rsidP="00714EAD">
            <w:pPr>
              <w:jc w:val="right"/>
              <w:rPr>
                <w:rFonts w:asciiTheme="minorHAnsi" w:hAnsiTheme="minorHAnsi" w:cs="Arial"/>
                <w:b/>
                <w:bCs/>
                <w:color w:val="000000"/>
                <w:sz w:val="18"/>
                <w:szCs w:val="18"/>
                <w:lang w:val="hr-HR"/>
              </w:rPr>
            </w:pPr>
          </w:p>
        </w:tc>
        <w:tc>
          <w:tcPr>
            <w:tcW w:w="1156" w:type="dxa"/>
            <w:tcBorders>
              <w:left w:val="nil"/>
              <w:right w:val="nil"/>
            </w:tcBorders>
            <w:shd w:val="clear" w:color="auto" w:fill="auto"/>
            <w:vAlign w:val="center"/>
          </w:tcPr>
          <w:p w:rsidR="00714EAD" w:rsidRPr="001567C8" w:rsidRDefault="00714EAD" w:rsidP="00714EAD">
            <w:pPr>
              <w:jc w:val="right"/>
              <w:rPr>
                <w:rFonts w:asciiTheme="minorHAnsi" w:hAnsiTheme="minorHAnsi" w:cs="Arial"/>
                <w:b/>
                <w:bCs/>
                <w:color w:val="000000"/>
                <w:sz w:val="18"/>
                <w:szCs w:val="18"/>
                <w:lang w:val="hr-HR"/>
              </w:rPr>
            </w:pPr>
          </w:p>
        </w:tc>
      </w:tr>
      <w:tr w:rsidR="004062FB" w:rsidRPr="001567C8" w:rsidTr="004B5B8C">
        <w:trPr>
          <w:trHeight w:val="187"/>
        </w:trPr>
        <w:tc>
          <w:tcPr>
            <w:tcW w:w="10859" w:type="dxa"/>
            <w:gridSpan w:val="8"/>
            <w:tcBorders>
              <w:left w:val="nil"/>
              <w:right w:val="nil"/>
            </w:tcBorders>
            <w:shd w:val="clear" w:color="auto" w:fill="auto"/>
            <w:noWrap/>
          </w:tcPr>
          <w:p w:rsidR="004062FB" w:rsidRPr="001567C8" w:rsidRDefault="004062FB" w:rsidP="004062FB">
            <w:pPr>
              <w:rPr>
                <w:rFonts w:asciiTheme="minorHAnsi" w:hAnsiTheme="minorHAnsi" w:cs="Arial"/>
                <w:b/>
                <w:bCs/>
                <w:color w:val="000000"/>
                <w:sz w:val="18"/>
                <w:szCs w:val="18"/>
                <w:lang w:val="hr-HR"/>
              </w:rPr>
            </w:pPr>
            <w:r w:rsidRPr="00CD3A2D">
              <w:rPr>
                <w:rFonts w:asciiTheme="minorHAnsi" w:hAnsiTheme="minorHAnsi"/>
                <w:sz w:val="18"/>
                <w:szCs w:val="18"/>
                <w:lang w:val="hr-HR"/>
              </w:rPr>
              <w:t>Vlasnički vrijednosni papiri koji ne kotiraju:</w:t>
            </w:r>
          </w:p>
        </w:tc>
      </w:tr>
      <w:tr w:rsidR="004062FB" w:rsidRPr="001567C8" w:rsidTr="004B5B8C">
        <w:trPr>
          <w:trHeight w:val="187"/>
        </w:trPr>
        <w:tc>
          <w:tcPr>
            <w:tcW w:w="5040" w:type="dxa"/>
            <w:gridSpan w:val="3"/>
            <w:tcBorders>
              <w:left w:val="nil"/>
              <w:right w:val="nil"/>
            </w:tcBorders>
            <w:shd w:val="clear" w:color="auto" w:fill="auto"/>
            <w:noWrap/>
          </w:tcPr>
          <w:p w:rsidR="004062FB" w:rsidRPr="001567C8" w:rsidRDefault="004062FB" w:rsidP="004062FB">
            <w:pPr>
              <w:rPr>
                <w:rFonts w:asciiTheme="minorHAnsi" w:hAnsiTheme="minorHAnsi" w:cs="Arial"/>
                <w:color w:val="000000"/>
                <w:sz w:val="18"/>
                <w:szCs w:val="18"/>
                <w:lang w:val="hr-HR"/>
              </w:rPr>
            </w:pPr>
            <w:r w:rsidRPr="00CD3A2D">
              <w:rPr>
                <w:rFonts w:asciiTheme="minorHAnsi" w:hAnsiTheme="minorHAnsi"/>
                <w:sz w:val="18"/>
                <w:szCs w:val="18"/>
                <w:lang w:val="hr-HR"/>
              </w:rPr>
              <w:t>Dionice inozemnih pravnih osoba - SWIFT</w:t>
            </w:r>
          </w:p>
        </w:tc>
        <w:tc>
          <w:tcPr>
            <w:tcW w:w="1198" w:type="dxa"/>
            <w:tcBorders>
              <w:left w:val="nil"/>
              <w:right w:val="nil"/>
            </w:tcBorders>
            <w:shd w:val="clear" w:color="auto" w:fill="auto"/>
            <w:noWrap/>
            <w:vAlign w:val="center"/>
          </w:tcPr>
          <w:p w:rsidR="004062FB" w:rsidRPr="001567C8" w:rsidRDefault="004062FB" w:rsidP="004062FB">
            <w:pPr>
              <w:jc w:val="both"/>
              <w:rPr>
                <w:rFonts w:asciiTheme="minorHAnsi" w:hAnsiTheme="minorHAnsi" w:cs="Arial"/>
                <w:color w:val="000000"/>
                <w:sz w:val="18"/>
                <w:szCs w:val="18"/>
                <w:lang w:val="hr-HR"/>
              </w:rPr>
            </w:pPr>
          </w:p>
        </w:tc>
        <w:tc>
          <w:tcPr>
            <w:tcW w:w="1155" w:type="dxa"/>
            <w:tcBorders>
              <w:top w:val="nil"/>
              <w:left w:val="nil"/>
              <w:bottom w:val="nil"/>
              <w:right w:val="nil"/>
            </w:tcBorders>
            <w:shd w:val="clear" w:color="auto" w:fill="auto"/>
            <w:vAlign w:val="center"/>
          </w:tcPr>
          <w:p w:rsidR="004062FB" w:rsidRPr="001567C8" w:rsidDel="00714EAD" w:rsidRDefault="004062FB" w:rsidP="004062FB">
            <w:pPr>
              <w:jc w:val="right"/>
              <w:rPr>
                <w:rFonts w:asciiTheme="minorHAnsi" w:hAnsiTheme="minorHAnsi" w:cs="Arial"/>
                <w:b/>
                <w:bCs/>
                <w:color w:val="000000"/>
                <w:sz w:val="18"/>
                <w:szCs w:val="18"/>
                <w:lang w:val="hr-HR"/>
              </w:rPr>
            </w:pPr>
            <w:r w:rsidRPr="00CD3A2D">
              <w:rPr>
                <w:rFonts w:asciiTheme="minorHAnsi" w:hAnsiTheme="minorHAnsi"/>
                <w:color w:val="000000"/>
                <w:sz w:val="18"/>
                <w:szCs w:val="18"/>
                <w:lang w:val="hr-HR"/>
              </w:rPr>
              <w:t>38</w:t>
            </w:r>
          </w:p>
        </w:tc>
        <w:tc>
          <w:tcPr>
            <w:tcW w:w="1155" w:type="dxa"/>
            <w:tcBorders>
              <w:top w:val="nil"/>
              <w:left w:val="nil"/>
              <w:bottom w:val="nil"/>
              <w:right w:val="nil"/>
            </w:tcBorders>
            <w:shd w:val="clear" w:color="auto" w:fill="auto"/>
            <w:vAlign w:val="center"/>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color w:val="000000"/>
                <w:sz w:val="18"/>
                <w:szCs w:val="18"/>
                <w:lang w:val="hr-HR"/>
              </w:rPr>
              <w:t>n/p</w:t>
            </w:r>
          </w:p>
        </w:tc>
        <w:tc>
          <w:tcPr>
            <w:tcW w:w="1155" w:type="dxa"/>
            <w:tcBorders>
              <w:top w:val="nil"/>
              <w:left w:val="nil"/>
              <w:bottom w:val="nil"/>
              <w:right w:val="nil"/>
            </w:tcBorders>
            <w:shd w:val="clear" w:color="auto" w:fill="auto"/>
            <w:vAlign w:val="center"/>
          </w:tcPr>
          <w:p w:rsidR="004062FB" w:rsidRPr="001567C8" w:rsidDel="00714EAD" w:rsidRDefault="004062FB" w:rsidP="004062FB">
            <w:pPr>
              <w:jc w:val="right"/>
              <w:rPr>
                <w:rFonts w:asciiTheme="minorHAnsi" w:hAnsiTheme="minorHAnsi" w:cs="Arial"/>
                <w:b/>
                <w:bCs/>
                <w:color w:val="000000"/>
                <w:sz w:val="18"/>
                <w:szCs w:val="18"/>
                <w:lang w:val="hr-HR"/>
              </w:rPr>
            </w:pPr>
            <w:r w:rsidRPr="00CD3A2D">
              <w:rPr>
                <w:rFonts w:asciiTheme="minorHAnsi" w:hAnsiTheme="minorHAnsi"/>
                <w:color w:val="000000"/>
                <w:sz w:val="18"/>
                <w:szCs w:val="18"/>
                <w:lang w:val="hr-HR"/>
              </w:rPr>
              <w:t>38</w:t>
            </w:r>
          </w:p>
        </w:tc>
        <w:tc>
          <w:tcPr>
            <w:tcW w:w="1156" w:type="dxa"/>
            <w:tcBorders>
              <w:top w:val="nil"/>
              <w:left w:val="nil"/>
              <w:bottom w:val="nil"/>
              <w:right w:val="nil"/>
            </w:tcBorders>
            <w:shd w:val="clear" w:color="auto" w:fill="auto"/>
            <w:vAlign w:val="center"/>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color w:val="000000"/>
                <w:sz w:val="18"/>
                <w:szCs w:val="18"/>
                <w:lang w:val="hr-HR"/>
              </w:rPr>
              <w:t>n/p</w:t>
            </w:r>
          </w:p>
        </w:tc>
      </w:tr>
      <w:tr w:rsidR="004062FB" w:rsidRPr="001567C8" w:rsidTr="004B5B8C">
        <w:trPr>
          <w:trHeight w:val="187"/>
        </w:trPr>
        <w:tc>
          <w:tcPr>
            <w:tcW w:w="5040" w:type="dxa"/>
            <w:gridSpan w:val="3"/>
            <w:tcBorders>
              <w:left w:val="nil"/>
              <w:bottom w:val="single" w:sz="4" w:space="0" w:color="auto"/>
              <w:right w:val="nil"/>
            </w:tcBorders>
            <w:shd w:val="clear" w:color="auto" w:fill="auto"/>
            <w:noWrap/>
          </w:tcPr>
          <w:p w:rsidR="004062FB" w:rsidRPr="001567C8" w:rsidRDefault="004062FB" w:rsidP="004062FB">
            <w:pPr>
              <w:rPr>
                <w:rFonts w:asciiTheme="minorHAnsi" w:hAnsiTheme="minorHAnsi" w:cs="Arial"/>
                <w:color w:val="000000"/>
                <w:sz w:val="18"/>
                <w:szCs w:val="18"/>
                <w:lang w:val="hr-HR"/>
              </w:rPr>
            </w:pPr>
            <w:r w:rsidRPr="00CD3A2D">
              <w:rPr>
                <w:rFonts w:asciiTheme="minorHAnsi" w:hAnsiTheme="minorHAnsi"/>
                <w:sz w:val="18"/>
                <w:szCs w:val="18"/>
                <w:lang w:val="hr-HR"/>
              </w:rPr>
              <w:t>Dionice inozemnih financijskih institucija - EIF</w:t>
            </w:r>
          </w:p>
        </w:tc>
        <w:tc>
          <w:tcPr>
            <w:tcW w:w="1198" w:type="dxa"/>
            <w:tcBorders>
              <w:left w:val="nil"/>
              <w:bottom w:val="single" w:sz="4" w:space="0" w:color="auto"/>
              <w:right w:val="nil"/>
            </w:tcBorders>
            <w:shd w:val="clear" w:color="auto" w:fill="auto"/>
            <w:noWrap/>
            <w:vAlign w:val="center"/>
          </w:tcPr>
          <w:p w:rsidR="004062FB" w:rsidRPr="001567C8" w:rsidRDefault="004062FB" w:rsidP="004062FB">
            <w:pPr>
              <w:jc w:val="both"/>
              <w:rPr>
                <w:rFonts w:asciiTheme="minorHAnsi" w:hAnsiTheme="minorHAnsi" w:cs="Arial"/>
                <w:color w:val="000000"/>
                <w:sz w:val="18"/>
                <w:szCs w:val="18"/>
                <w:lang w:val="hr-HR"/>
              </w:rPr>
            </w:pPr>
          </w:p>
        </w:tc>
        <w:tc>
          <w:tcPr>
            <w:tcW w:w="1155" w:type="dxa"/>
            <w:tcBorders>
              <w:top w:val="nil"/>
              <w:left w:val="nil"/>
              <w:bottom w:val="single" w:sz="4" w:space="0" w:color="auto"/>
              <w:right w:val="nil"/>
            </w:tcBorders>
            <w:shd w:val="clear" w:color="auto" w:fill="auto"/>
            <w:vAlign w:val="center"/>
          </w:tcPr>
          <w:p w:rsidR="004062FB" w:rsidRPr="001567C8" w:rsidDel="00714EAD" w:rsidRDefault="004062FB" w:rsidP="004062FB">
            <w:pPr>
              <w:jc w:val="right"/>
              <w:rPr>
                <w:rFonts w:asciiTheme="minorHAnsi" w:hAnsiTheme="minorHAnsi" w:cs="Arial"/>
                <w:b/>
                <w:bCs/>
                <w:color w:val="000000"/>
                <w:sz w:val="18"/>
                <w:szCs w:val="18"/>
                <w:lang w:val="hr-HR"/>
              </w:rPr>
            </w:pPr>
            <w:r w:rsidRPr="00CD3A2D">
              <w:rPr>
                <w:rFonts w:asciiTheme="minorHAnsi" w:hAnsiTheme="minorHAnsi"/>
                <w:color w:val="000000"/>
                <w:sz w:val="18"/>
                <w:szCs w:val="18"/>
                <w:lang w:val="hr-HR"/>
              </w:rPr>
              <w:t>25.671</w:t>
            </w:r>
          </w:p>
        </w:tc>
        <w:tc>
          <w:tcPr>
            <w:tcW w:w="1155"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color w:val="000000"/>
                <w:sz w:val="18"/>
                <w:szCs w:val="18"/>
                <w:lang w:val="hr-HR"/>
              </w:rPr>
              <w:t>n/p</w:t>
            </w:r>
          </w:p>
        </w:tc>
        <w:tc>
          <w:tcPr>
            <w:tcW w:w="1155" w:type="dxa"/>
            <w:tcBorders>
              <w:top w:val="nil"/>
              <w:left w:val="nil"/>
              <w:bottom w:val="single" w:sz="4" w:space="0" w:color="auto"/>
              <w:right w:val="nil"/>
            </w:tcBorders>
            <w:shd w:val="clear" w:color="auto" w:fill="auto"/>
            <w:vAlign w:val="center"/>
          </w:tcPr>
          <w:p w:rsidR="004062FB" w:rsidRPr="001567C8" w:rsidDel="00714EAD" w:rsidRDefault="004062FB" w:rsidP="004062FB">
            <w:pPr>
              <w:jc w:val="right"/>
              <w:rPr>
                <w:rFonts w:asciiTheme="minorHAnsi" w:hAnsiTheme="minorHAnsi" w:cs="Arial"/>
                <w:b/>
                <w:bCs/>
                <w:color w:val="000000"/>
                <w:sz w:val="18"/>
                <w:szCs w:val="18"/>
                <w:lang w:val="hr-HR"/>
              </w:rPr>
            </w:pPr>
            <w:r w:rsidRPr="00CD3A2D">
              <w:rPr>
                <w:rFonts w:asciiTheme="minorHAnsi" w:hAnsiTheme="minorHAnsi"/>
                <w:color w:val="000000"/>
                <w:sz w:val="18"/>
                <w:szCs w:val="18"/>
                <w:lang w:val="hr-HR"/>
              </w:rPr>
              <w:t>25.671</w:t>
            </w:r>
          </w:p>
        </w:tc>
        <w:tc>
          <w:tcPr>
            <w:tcW w:w="1156" w:type="dxa"/>
            <w:tcBorders>
              <w:top w:val="nil"/>
              <w:left w:val="nil"/>
              <w:bottom w:val="single" w:sz="4" w:space="0" w:color="auto"/>
              <w:right w:val="nil"/>
            </w:tcBorders>
            <w:shd w:val="clear" w:color="auto" w:fill="auto"/>
            <w:vAlign w:val="center"/>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color w:val="000000"/>
                <w:sz w:val="18"/>
                <w:szCs w:val="18"/>
                <w:lang w:val="hr-HR"/>
              </w:rPr>
              <w:t>n/p</w:t>
            </w:r>
          </w:p>
        </w:tc>
      </w:tr>
      <w:tr w:rsidR="004062FB" w:rsidRPr="001567C8" w:rsidTr="00B8477D">
        <w:trPr>
          <w:trHeight w:val="187"/>
        </w:trPr>
        <w:tc>
          <w:tcPr>
            <w:tcW w:w="2799" w:type="dxa"/>
            <w:tcBorders>
              <w:top w:val="single" w:sz="4" w:space="0" w:color="auto"/>
              <w:left w:val="nil"/>
              <w:bottom w:val="single" w:sz="4" w:space="0" w:color="auto"/>
              <w:right w:val="nil"/>
            </w:tcBorders>
            <w:shd w:val="clear" w:color="auto" w:fill="auto"/>
            <w:noWrap/>
            <w:vAlign w:val="center"/>
          </w:tcPr>
          <w:p w:rsidR="004062FB" w:rsidRPr="001567C8" w:rsidRDefault="004062FB" w:rsidP="004062FB">
            <w:pPr>
              <w:jc w:val="both"/>
              <w:rPr>
                <w:rFonts w:asciiTheme="minorHAnsi" w:hAnsiTheme="minorHAnsi" w:cs="Arial"/>
                <w:b/>
                <w:bCs/>
                <w:color w:val="000000"/>
                <w:sz w:val="18"/>
                <w:szCs w:val="18"/>
                <w:lang w:val="hr-HR"/>
              </w:rPr>
            </w:pPr>
          </w:p>
        </w:tc>
        <w:tc>
          <w:tcPr>
            <w:tcW w:w="1120" w:type="dxa"/>
            <w:tcBorders>
              <w:top w:val="single" w:sz="4" w:space="0" w:color="auto"/>
              <w:left w:val="nil"/>
              <w:bottom w:val="single" w:sz="4" w:space="0" w:color="auto"/>
              <w:right w:val="nil"/>
            </w:tcBorders>
            <w:shd w:val="clear" w:color="auto" w:fill="auto"/>
            <w:noWrap/>
            <w:vAlign w:val="center"/>
          </w:tcPr>
          <w:p w:rsidR="004062FB" w:rsidRPr="001567C8" w:rsidRDefault="004062FB" w:rsidP="004062FB">
            <w:pPr>
              <w:jc w:val="right"/>
              <w:rPr>
                <w:rFonts w:asciiTheme="minorHAnsi" w:hAnsiTheme="minorHAnsi" w:cs="Arial"/>
                <w:color w:val="000000"/>
                <w:sz w:val="18"/>
                <w:szCs w:val="18"/>
                <w:lang w:val="hr-HR"/>
              </w:rPr>
            </w:pPr>
          </w:p>
        </w:tc>
        <w:tc>
          <w:tcPr>
            <w:tcW w:w="1121" w:type="dxa"/>
            <w:tcBorders>
              <w:top w:val="single" w:sz="4" w:space="0" w:color="auto"/>
              <w:left w:val="nil"/>
              <w:bottom w:val="single" w:sz="4" w:space="0" w:color="auto"/>
              <w:right w:val="nil"/>
            </w:tcBorders>
            <w:shd w:val="clear" w:color="auto" w:fill="auto"/>
            <w:noWrap/>
            <w:vAlign w:val="center"/>
          </w:tcPr>
          <w:p w:rsidR="004062FB" w:rsidRPr="001567C8" w:rsidRDefault="004062FB" w:rsidP="004062FB">
            <w:pPr>
              <w:jc w:val="right"/>
              <w:rPr>
                <w:rFonts w:asciiTheme="minorHAnsi" w:hAnsiTheme="minorHAnsi" w:cs="Arial"/>
                <w:color w:val="000000"/>
                <w:sz w:val="18"/>
                <w:szCs w:val="18"/>
                <w:lang w:val="hr-HR"/>
              </w:rPr>
            </w:pPr>
          </w:p>
        </w:tc>
        <w:tc>
          <w:tcPr>
            <w:tcW w:w="1198" w:type="dxa"/>
            <w:tcBorders>
              <w:top w:val="single" w:sz="4" w:space="0" w:color="auto"/>
              <w:left w:val="nil"/>
              <w:bottom w:val="single" w:sz="4" w:space="0" w:color="auto"/>
              <w:right w:val="nil"/>
            </w:tcBorders>
            <w:shd w:val="clear" w:color="auto" w:fill="auto"/>
            <w:noWrap/>
            <w:vAlign w:val="center"/>
          </w:tcPr>
          <w:p w:rsidR="004062FB" w:rsidRPr="001567C8" w:rsidRDefault="004062FB" w:rsidP="004062FB">
            <w:pPr>
              <w:jc w:val="both"/>
              <w:rPr>
                <w:rFonts w:asciiTheme="minorHAnsi" w:hAnsiTheme="minorHAnsi" w:cs="Arial"/>
                <w:color w:val="000000"/>
                <w:sz w:val="18"/>
                <w:szCs w:val="18"/>
                <w:lang w:val="hr-HR"/>
              </w:rPr>
            </w:pPr>
          </w:p>
        </w:tc>
        <w:tc>
          <w:tcPr>
            <w:tcW w:w="1155" w:type="dxa"/>
            <w:tcBorders>
              <w:top w:val="single" w:sz="4" w:space="0" w:color="auto"/>
              <w:left w:val="nil"/>
              <w:bottom w:val="single" w:sz="4" w:space="0" w:color="auto"/>
              <w:right w:val="nil"/>
            </w:tcBorders>
            <w:shd w:val="clear" w:color="auto" w:fill="auto"/>
          </w:tcPr>
          <w:p w:rsidR="004062FB" w:rsidRPr="001567C8" w:rsidDel="00714EAD" w:rsidRDefault="004062FB" w:rsidP="004062FB">
            <w:pPr>
              <w:jc w:val="right"/>
              <w:rPr>
                <w:rFonts w:asciiTheme="minorHAnsi" w:hAnsiTheme="minorHAnsi" w:cs="Arial"/>
                <w:b/>
                <w:bCs/>
                <w:color w:val="000000"/>
                <w:sz w:val="18"/>
                <w:szCs w:val="18"/>
                <w:lang w:val="hr-HR"/>
              </w:rPr>
            </w:pPr>
            <w:r w:rsidRPr="00CD3A2D">
              <w:rPr>
                <w:rFonts w:asciiTheme="minorHAnsi" w:hAnsiTheme="minorHAnsi"/>
                <w:b/>
                <w:sz w:val="18"/>
                <w:szCs w:val="18"/>
                <w:lang w:val="hr-HR"/>
              </w:rPr>
              <w:t>25.709</w:t>
            </w:r>
          </w:p>
        </w:tc>
        <w:tc>
          <w:tcPr>
            <w:tcW w:w="1155" w:type="dxa"/>
            <w:tcBorders>
              <w:top w:val="single" w:sz="4" w:space="0" w:color="auto"/>
              <w:left w:val="nil"/>
              <w:bottom w:val="single" w:sz="4" w:space="0" w:color="auto"/>
              <w:right w:val="nil"/>
            </w:tcBorders>
            <w:shd w:val="clear" w:color="auto" w:fill="auto"/>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b/>
                <w:sz w:val="18"/>
                <w:szCs w:val="18"/>
                <w:lang w:val="hr-HR"/>
              </w:rPr>
              <w:t>n/p</w:t>
            </w:r>
          </w:p>
        </w:tc>
        <w:tc>
          <w:tcPr>
            <w:tcW w:w="1155" w:type="dxa"/>
            <w:tcBorders>
              <w:top w:val="single" w:sz="4" w:space="0" w:color="auto"/>
              <w:left w:val="nil"/>
              <w:bottom w:val="single" w:sz="4" w:space="0" w:color="auto"/>
              <w:right w:val="nil"/>
            </w:tcBorders>
            <w:shd w:val="clear" w:color="auto" w:fill="auto"/>
          </w:tcPr>
          <w:p w:rsidR="004062FB" w:rsidRPr="001567C8" w:rsidDel="00714EAD" w:rsidRDefault="004062FB" w:rsidP="004062FB">
            <w:pPr>
              <w:jc w:val="right"/>
              <w:rPr>
                <w:rFonts w:asciiTheme="minorHAnsi" w:hAnsiTheme="minorHAnsi" w:cs="Arial"/>
                <w:b/>
                <w:bCs/>
                <w:color w:val="000000"/>
                <w:sz w:val="18"/>
                <w:szCs w:val="18"/>
                <w:lang w:val="hr-HR"/>
              </w:rPr>
            </w:pPr>
            <w:r w:rsidRPr="00CD3A2D">
              <w:rPr>
                <w:rFonts w:asciiTheme="minorHAnsi" w:hAnsiTheme="minorHAnsi"/>
                <w:b/>
                <w:sz w:val="18"/>
                <w:szCs w:val="18"/>
                <w:lang w:val="hr-HR"/>
              </w:rPr>
              <w:t>25.709</w:t>
            </w:r>
          </w:p>
        </w:tc>
        <w:tc>
          <w:tcPr>
            <w:tcW w:w="1156" w:type="dxa"/>
            <w:tcBorders>
              <w:top w:val="single" w:sz="4" w:space="0" w:color="auto"/>
              <w:left w:val="nil"/>
              <w:bottom w:val="single" w:sz="4" w:space="0" w:color="auto"/>
              <w:right w:val="nil"/>
            </w:tcBorders>
            <w:shd w:val="clear" w:color="auto" w:fill="auto"/>
          </w:tcPr>
          <w:p w:rsidR="004062FB" w:rsidRPr="001567C8" w:rsidRDefault="004062FB" w:rsidP="004062FB">
            <w:pPr>
              <w:jc w:val="right"/>
              <w:rPr>
                <w:rFonts w:asciiTheme="minorHAnsi" w:hAnsiTheme="minorHAnsi" w:cs="Arial"/>
                <w:b/>
                <w:bCs/>
                <w:color w:val="000000"/>
                <w:sz w:val="18"/>
                <w:szCs w:val="18"/>
                <w:lang w:val="hr-HR"/>
              </w:rPr>
            </w:pPr>
            <w:r w:rsidRPr="00CD3A2D">
              <w:rPr>
                <w:rFonts w:asciiTheme="minorHAnsi" w:hAnsiTheme="minorHAnsi"/>
                <w:b/>
                <w:sz w:val="18"/>
                <w:szCs w:val="18"/>
                <w:lang w:val="hr-HR"/>
              </w:rPr>
              <w:t>n/p</w:t>
            </w:r>
          </w:p>
        </w:tc>
      </w:tr>
      <w:tr w:rsidR="004062FB" w:rsidRPr="001567C8" w:rsidTr="00B8477D">
        <w:trPr>
          <w:trHeight w:val="187"/>
        </w:trPr>
        <w:tc>
          <w:tcPr>
            <w:tcW w:w="2799" w:type="dxa"/>
            <w:tcBorders>
              <w:top w:val="single" w:sz="4" w:space="0" w:color="auto"/>
              <w:left w:val="nil"/>
              <w:bottom w:val="single" w:sz="12" w:space="0" w:color="auto"/>
              <w:right w:val="nil"/>
            </w:tcBorders>
            <w:shd w:val="clear" w:color="auto" w:fill="auto"/>
            <w:noWrap/>
            <w:vAlign w:val="center"/>
          </w:tcPr>
          <w:p w:rsidR="004062FB" w:rsidRPr="001567C8" w:rsidRDefault="004062FB" w:rsidP="004062FB">
            <w:pPr>
              <w:jc w:val="both"/>
              <w:rPr>
                <w:rFonts w:asciiTheme="minorHAnsi" w:hAnsiTheme="minorHAnsi" w:cs="Arial"/>
                <w:b/>
                <w:bCs/>
                <w:color w:val="000000"/>
                <w:sz w:val="18"/>
                <w:szCs w:val="18"/>
                <w:lang w:val="hr-HR"/>
              </w:rPr>
            </w:pPr>
            <w:r w:rsidRPr="001567C8">
              <w:rPr>
                <w:rFonts w:asciiTheme="minorHAnsi" w:hAnsiTheme="minorHAnsi" w:cs="Arial"/>
                <w:b/>
                <w:bCs/>
                <w:color w:val="000000"/>
                <w:sz w:val="18"/>
                <w:szCs w:val="18"/>
                <w:lang w:val="hr-HR"/>
              </w:rPr>
              <w:t>Ukupno</w:t>
            </w:r>
          </w:p>
        </w:tc>
        <w:tc>
          <w:tcPr>
            <w:tcW w:w="1120" w:type="dxa"/>
            <w:tcBorders>
              <w:top w:val="single" w:sz="4" w:space="0" w:color="auto"/>
              <w:left w:val="nil"/>
              <w:bottom w:val="single" w:sz="12" w:space="0" w:color="auto"/>
              <w:right w:val="nil"/>
            </w:tcBorders>
            <w:shd w:val="clear" w:color="auto" w:fill="auto"/>
            <w:noWrap/>
            <w:vAlign w:val="center"/>
          </w:tcPr>
          <w:p w:rsidR="004062FB" w:rsidRPr="001567C8" w:rsidRDefault="004062FB" w:rsidP="004062FB">
            <w:pPr>
              <w:jc w:val="right"/>
              <w:rPr>
                <w:rFonts w:asciiTheme="minorHAnsi" w:hAnsiTheme="minorHAnsi" w:cs="Arial"/>
                <w:color w:val="000000"/>
                <w:sz w:val="18"/>
                <w:szCs w:val="18"/>
                <w:lang w:val="hr-HR"/>
              </w:rPr>
            </w:pPr>
          </w:p>
        </w:tc>
        <w:tc>
          <w:tcPr>
            <w:tcW w:w="1121" w:type="dxa"/>
            <w:tcBorders>
              <w:top w:val="single" w:sz="4" w:space="0" w:color="auto"/>
              <w:left w:val="nil"/>
              <w:bottom w:val="single" w:sz="12" w:space="0" w:color="auto"/>
              <w:right w:val="nil"/>
            </w:tcBorders>
            <w:shd w:val="clear" w:color="auto" w:fill="auto"/>
            <w:noWrap/>
            <w:vAlign w:val="center"/>
          </w:tcPr>
          <w:p w:rsidR="004062FB" w:rsidRPr="001567C8" w:rsidRDefault="004062FB" w:rsidP="004062FB">
            <w:pPr>
              <w:jc w:val="right"/>
              <w:rPr>
                <w:rFonts w:asciiTheme="minorHAnsi" w:hAnsiTheme="minorHAnsi" w:cs="Arial"/>
                <w:color w:val="000000"/>
                <w:sz w:val="18"/>
                <w:szCs w:val="18"/>
                <w:lang w:val="hr-HR"/>
              </w:rPr>
            </w:pPr>
          </w:p>
        </w:tc>
        <w:tc>
          <w:tcPr>
            <w:tcW w:w="1198" w:type="dxa"/>
            <w:tcBorders>
              <w:top w:val="single" w:sz="4" w:space="0" w:color="auto"/>
              <w:left w:val="nil"/>
              <w:bottom w:val="single" w:sz="12" w:space="0" w:color="auto"/>
              <w:right w:val="nil"/>
            </w:tcBorders>
            <w:shd w:val="clear" w:color="auto" w:fill="auto"/>
            <w:noWrap/>
            <w:vAlign w:val="center"/>
          </w:tcPr>
          <w:p w:rsidR="004062FB" w:rsidRPr="001567C8" w:rsidRDefault="004062FB" w:rsidP="004062FB">
            <w:pPr>
              <w:jc w:val="both"/>
              <w:rPr>
                <w:rFonts w:asciiTheme="minorHAnsi" w:hAnsiTheme="minorHAnsi" w:cs="Arial"/>
                <w:color w:val="000000"/>
                <w:sz w:val="18"/>
                <w:szCs w:val="18"/>
                <w:lang w:val="hr-HR"/>
              </w:rPr>
            </w:pPr>
          </w:p>
        </w:tc>
        <w:tc>
          <w:tcPr>
            <w:tcW w:w="1155" w:type="dxa"/>
            <w:tcBorders>
              <w:top w:val="single" w:sz="4" w:space="0" w:color="auto"/>
              <w:left w:val="nil"/>
              <w:bottom w:val="single" w:sz="12" w:space="0" w:color="auto"/>
              <w:right w:val="nil"/>
            </w:tcBorders>
            <w:shd w:val="clear" w:color="auto" w:fill="auto"/>
            <w:vAlign w:val="center"/>
          </w:tcPr>
          <w:p w:rsidR="004062FB" w:rsidRPr="00CD3A2D" w:rsidRDefault="004062FB" w:rsidP="004062FB">
            <w:pPr>
              <w:jc w:val="right"/>
              <w:rPr>
                <w:rFonts w:asciiTheme="minorHAnsi" w:hAnsiTheme="minorHAnsi"/>
                <w:b/>
                <w:sz w:val="18"/>
                <w:szCs w:val="18"/>
                <w:lang w:val="hr-HR"/>
              </w:rPr>
            </w:pPr>
            <w:r w:rsidRPr="00CD3A2D">
              <w:rPr>
                <w:rFonts w:asciiTheme="minorHAnsi" w:hAnsiTheme="minorHAnsi"/>
                <w:b/>
                <w:bCs/>
                <w:color w:val="000000"/>
                <w:sz w:val="18"/>
                <w:szCs w:val="18"/>
                <w:lang w:val="hr-HR"/>
              </w:rPr>
              <w:t>2.829.470</w:t>
            </w:r>
          </w:p>
        </w:tc>
        <w:tc>
          <w:tcPr>
            <w:tcW w:w="1155" w:type="dxa"/>
            <w:tcBorders>
              <w:top w:val="single" w:sz="4" w:space="0" w:color="auto"/>
              <w:left w:val="nil"/>
              <w:bottom w:val="single" w:sz="12" w:space="0" w:color="auto"/>
              <w:right w:val="nil"/>
            </w:tcBorders>
            <w:shd w:val="clear" w:color="auto" w:fill="auto"/>
            <w:vAlign w:val="center"/>
          </w:tcPr>
          <w:p w:rsidR="004062FB" w:rsidRPr="00CD3A2D" w:rsidRDefault="004062FB" w:rsidP="004062FB">
            <w:pPr>
              <w:jc w:val="right"/>
              <w:rPr>
                <w:rFonts w:asciiTheme="minorHAnsi" w:hAnsiTheme="minorHAnsi"/>
                <w:b/>
                <w:sz w:val="18"/>
                <w:szCs w:val="18"/>
                <w:lang w:val="hr-HR"/>
              </w:rPr>
            </w:pPr>
            <w:r w:rsidRPr="00CD3A2D">
              <w:rPr>
                <w:rFonts w:asciiTheme="minorHAnsi" w:hAnsiTheme="minorHAnsi"/>
                <w:b/>
                <w:bCs/>
                <w:color w:val="000000"/>
                <w:sz w:val="18"/>
                <w:szCs w:val="18"/>
                <w:lang w:val="hr-HR"/>
              </w:rPr>
              <w:t>n/p</w:t>
            </w:r>
          </w:p>
        </w:tc>
        <w:tc>
          <w:tcPr>
            <w:tcW w:w="1155" w:type="dxa"/>
            <w:tcBorders>
              <w:top w:val="single" w:sz="4" w:space="0" w:color="auto"/>
              <w:left w:val="nil"/>
              <w:bottom w:val="single" w:sz="12" w:space="0" w:color="auto"/>
              <w:right w:val="nil"/>
            </w:tcBorders>
            <w:shd w:val="clear" w:color="auto" w:fill="auto"/>
            <w:vAlign w:val="center"/>
          </w:tcPr>
          <w:p w:rsidR="004062FB" w:rsidRPr="00CD3A2D" w:rsidRDefault="004062FB" w:rsidP="004062FB">
            <w:pPr>
              <w:jc w:val="right"/>
              <w:rPr>
                <w:rFonts w:asciiTheme="minorHAnsi" w:hAnsiTheme="minorHAnsi"/>
                <w:b/>
                <w:sz w:val="18"/>
                <w:szCs w:val="18"/>
                <w:lang w:val="hr-HR"/>
              </w:rPr>
            </w:pPr>
            <w:r w:rsidRPr="00CD3A2D">
              <w:rPr>
                <w:rFonts w:asciiTheme="minorHAnsi" w:hAnsiTheme="minorHAnsi"/>
                <w:b/>
                <w:bCs/>
                <w:color w:val="000000"/>
                <w:sz w:val="18"/>
                <w:szCs w:val="18"/>
                <w:lang w:val="hr-HR"/>
              </w:rPr>
              <w:t>2.792.072</w:t>
            </w:r>
          </w:p>
        </w:tc>
        <w:tc>
          <w:tcPr>
            <w:tcW w:w="1156" w:type="dxa"/>
            <w:tcBorders>
              <w:top w:val="single" w:sz="4" w:space="0" w:color="auto"/>
              <w:left w:val="nil"/>
              <w:bottom w:val="single" w:sz="12" w:space="0" w:color="auto"/>
              <w:right w:val="nil"/>
            </w:tcBorders>
            <w:shd w:val="clear" w:color="auto" w:fill="auto"/>
            <w:vAlign w:val="center"/>
          </w:tcPr>
          <w:p w:rsidR="004062FB" w:rsidRPr="00CD3A2D" w:rsidRDefault="004062FB" w:rsidP="004062FB">
            <w:pPr>
              <w:jc w:val="right"/>
              <w:rPr>
                <w:rFonts w:asciiTheme="minorHAnsi" w:hAnsiTheme="minorHAnsi"/>
                <w:b/>
                <w:sz w:val="18"/>
                <w:szCs w:val="18"/>
                <w:lang w:val="hr-HR"/>
              </w:rPr>
            </w:pPr>
            <w:r w:rsidRPr="00CD3A2D">
              <w:rPr>
                <w:rFonts w:asciiTheme="minorHAnsi" w:hAnsiTheme="minorHAnsi"/>
                <w:b/>
                <w:bCs/>
                <w:color w:val="000000"/>
                <w:sz w:val="18"/>
                <w:szCs w:val="18"/>
                <w:lang w:val="hr-HR"/>
              </w:rPr>
              <w:t>n/p</w:t>
            </w:r>
          </w:p>
        </w:tc>
      </w:tr>
    </w:tbl>
    <w:p w:rsidR="00C4703D" w:rsidRPr="001567C8" w:rsidRDefault="00C4703D" w:rsidP="00C4703D">
      <w:pPr>
        <w:rPr>
          <w:rFonts w:asciiTheme="minorHAnsi" w:hAnsiTheme="minorHAnsi" w:cs="Arial"/>
          <w:sz w:val="22"/>
          <w:szCs w:val="22"/>
          <w:lang w:val="hr-HR"/>
        </w:rPr>
        <w:sectPr w:rsidR="00C4703D" w:rsidRPr="001567C8" w:rsidSect="003E2D7A">
          <w:pgSz w:w="11907" w:h="16840" w:code="9"/>
          <w:pgMar w:top="1418" w:right="1134" w:bottom="1134" w:left="1418" w:header="851" w:footer="851" w:gutter="0"/>
          <w:cols w:space="720"/>
          <w:noEndnote/>
        </w:sectPr>
      </w:pPr>
    </w:p>
    <w:p w:rsidR="00C8240E" w:rsidRPr="001567C8" w:rsidRDefault="00C8240E" w:rsidP="00C8240E">
      <w:pPr>
        <w:pStyle w:val="T1"/>
        <w:spacing w:before="0" w:after="0" w:line="240" w:lineRule="auto"/>
        <w:rPr>
          <w:rFonts w:asciiTheme="minorHAnsi" w:hAnsiTheme="minorHAnsi" w:cs="Arial"/>
          <w:sz w:val="22"/>
          <w:szCs w:val="22"/>
          <w:lang w:val="hr-HR"/>
        </w:rPr>
      </w:pPr>
    </w:p>
    <w:p w:rsidR="008C5A08" w:rsidRPr="001567C8" w:rsidRDefault="00C8240E" w:rsidP="008C5A08">
      <w:pPr>
        <w:pStyle w:val="T1"/>
        <w:spacing w:before="0" w:after="0" w:line="240" w:lineRule="auto"/>
        <w:rPr>
          <w:rFonts w:asciiTheme="minorHAnsi" w:hAnsiTheme="minorHAnsi" w:cs="Arial"/>
          <w:bCs w:val="0"/>
          <w:sz w:val="22"/>
          <w:szCs w:val="22"/>
          <w:lang w:val="hr-HR"/>
        </w:rPr>
      </w:pPr>
      <w:r w:rsidRPr="001567C8">
        <w:rPr>
          <w:rFonts w:asciiTheme="minorHAnsi" w:hAnsiTheme="minorHAnsi" w:cs="Arial"/>
          <w:sz w:val="22"/>
          <w:szCs w:val="22"/>
          <w:lang w:val="hr-HR"/>
        </w:rPr>
        <w:t>19.</w:t>
      </w:r>
      <w:r w:rsidRPr="001567C8">
        <w:rPr>
          <w:rFonts w:asciiTheme="minorHAnsi" w:hAnsiTheme="minorHAnsi" w:cs="Arial"/>
          <w:sz w:val="22"/>
          <w:szCs w:val="22"/>
          <w:lang w:val="hr-HR"/>
        </w:rPr>
        <w:tab/>
        <w:t xml:space="preserve">Dužnički vrijednosni papiri po amortiziranom trošku </w:t>
      </w:r>
    </w:p>
    <w:p w:rsidR="00494019" w:rsidRPr="001567C8" w:rsidRDefault="00494019" w:rsidP="006765E1">
      <w:pPr>
        <w:pStyle w:val="T1"/>
        <w:spacing w:before="0" w:after="0" w:line="240" w:lineRule="auto"/>
        <w:rPr>
          <w:rFonts w:asciiTheme="minorHAnsi" w:hAnsiTheme="minorHAnsi" w:cs="Arial"/>
          <w:sz w:val="22"/>
          <w:szCs w:val="22"/>
          <w:lang w:val="hr-HR"/>
        </w:rPr>
      </w:pPr>
    </w:p>
    <w:tbl>
      <w:tblPr>
        <w:tblW w:w="9317" w:type="dxa"/>
        <w:tblLook w:val="04A0" w:firstRow="1" w:lastRow="0" w:firstColumn="1" w:lastColumn="0" w:noHBand="0" w:noVBand="1"/>
      </w:tblPr>
      <w:tblGrid>
        <w:gridCol w:w="3686"/>
        <w:gridCol w:w="1407"/>
        <w:gridCol w:w="1408"/>
        <w:gridCol w:w="1408"/>
        <w:gridCol w:w="1408"/>
      </w:tblGrid>
      <w:tr w:rsidR="00494019" w:rsidRPr="001567C8" w:rsidTr="003C6BA3">
        <w:trPr>
          <w:trHeight w:val="145"/>
        </w:trPr>
        <w:tc>
          <w:tcPr>
            <w:tcW w:w="3686" w:type="dxa"/>
            <w:tcBorders>
              <w:top w:val="nil"/>
              <w:left w:val="nil"/>
              <w:bottom w:val="nil"/>
              <w:right w:val="nil"/>
            </w:tcBorders>
            <w:shd w:val="clear" w:color="auto" w:fill="auto"/>
            <w:vAlign w:val="center"/>
            <w:hideMark/>
          </w:tcPr>
          <w:p w:rsidR="00494019" w:rsidRPr="00CD3A2D" w:rsidRDefault="00494019">
            <w:pPr>
              <w:rPr>
                <w:sz w:val="20"/>
                <w:szCs w:val="20"/>
                <w:lang w:val="hr-HR"/>
              </w:rPr>
            </w:pPr>
          </w:p>
        </w:tc>
        <w:tc>
          <w:tcPr>
            <w:tcW w:w="2815" w:type="dxa"/>
            <w:gridSpan w:val="2"/>
            <w:tcBorders>
              <w:top w:val="nil"/>
              <w:left w:val="nil"/>
              <w:bottom w:val="nil"/>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Grupa</w:t>
            </w:r>
          </w:p>
        </w:tc>
        <w:tc>
          <w:tcPr>
            <w:tcW w:w="2816" w:type="dxa"/>
            <w:gridSpan w:val="2"/>
            <w:tcBorders>
              <w:top w:val="nil"/>
              <w:left w:val="nil"/>
              <w:bottom w:val="nil"/>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Banka</w:t>
            </w:r>
          </w:p>
        </w:tc>
      </w:tr>
      <w:tr w:rsidR="00494019" w:rsidRPr="001567C8" w:rsidTr="003C6BA3">
        <w:trPr>
          <w:trHeight w:val="323"/>
        </w:trPr>
        <w:tc>
          <w:tcPr>
            <w:tcW w:w="3686" w:type="dxa"/>
            <w:tcBorders>
              <w:top w:val="nil"/>
              <w:left w:val="nil"/>
              <w:bottom w:val="nil"/>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p>
        </w:tc>
        <w:tc>
          <w:tcPr>
            <w:tcW w:w="1407" w:type="dxa"/>
            <w:tcBorders>
              <w:top w:val="nil"/>
              <w:left w:val="nil"/>
              <w:bottom w:val="nil"/>
              <w:right w:val="nil"/>
            </w:tcBorders>
            <w:shd w:val="clear" w:color="auto" w:fill="auto"/>
            <w:vAlign w:val="center"/>
            <w:hideMark/>
          </w:tcPr>
          <w:p w:rsidR="00494019" w:rsidRPr="00CD3A2D" w:rsidRDefault="0001590F">
            <w:pPr>
              <w:jc w:val="right"/>
              <w:rPr>
                <w:rFonts w:ascii="Calibri" w:hAnsi="Calibri"/>
                <w:b/>
                <w:bCs/>
                <w:color w:val="000000"/>
                <w:sz w:val="20"/>
                <w:szCs w:val="20"/>
                <w:lang w:val="hr-HR"/>
              </w:rPr>
            </w:pPr>
            <w:r w:rsidRPr="0001590F">
              <w:rPr>
                <w:rFonts w:ascii="Calibri" w:hAnsi="Calibri"/>
                <w:b/>
                <w:bCs/>
                <w:color w:val="000000"/>
                <w:sz w:val="20"/>
                <w:szCs w:val="20"/>
                <w:lang w:val="hr-HR"/>
              </w:rPr>
              <w:t xml:space="preserve">31. prosinca </w:t>
            </w:r>
            <w:r w:rsidR="00494019" w:rsidRPr="00CD3A2D">
              <w:rPr>
                <w:rFonts w:ascii="Calibri" w:hAnsi="Calibri"/>
                <w:b/>
                <w:bCs/>
                <w:color w:val="000000"/>
                <w:sz w:val="20"/>
                <w:szCs w:val="20"/>
                <w:lang w:val="hr-HR"/>
              </w:rPr>
              <w:t>2018.</w:t>
            </w:r>
          </w:p>
        </w:tc>
        <w:tc>
          <w:tcPr>
            <w:tcW w:w="1408" w:type="dxa"/>
            <w:tcBorders>
              <w:top w:val="nil"/>
              <w:left w:val="nil"/>
              <w:bottom w:val="nil"/>
              <w:right w:val="nil"/>
            </w:tcBorders>
            <w:shd w:val="clear" w:color="auto" w:fill="auto"/>
            <w:vAlign w:val="center"/>
            <w:hideMark/>
          </w:tcPr>
          <w:p w:rsidR="00494019" w:rsidRPr="00CD3A2D" w:rsidRDefault="0001590F">
            <w:pPr>
              <w:jc w:val="right"/>
              <w:rPr>
                <w:rFonts w:ascii="Calibri" w:hAnsi="Calibri"/>
                <w:b/>
                <w:bCs/>
                <w:color w:val="000000"/>
                <w:sz w:val="20"/>
                <w:szCs w:val="20"/>
                <w:lang w:val="hr-HR"/>
              </w:rPr>
            </w:pPr>
            <w:r w:rsidRPr="0001590F">
              <w:rPr>
                <w:rFonts w:ascii="Calibri" w:hAnsi="Calibri"/>
                <w:b/>
                <w:bCs/>
                <w:color w:val="000000"/>
                <w:sz w:val="20"/>
                <w:szCs w:val="20"/>
                <w:lang w:val="hr-HR"/>
              </w:rPr>
              <w:t xml:space="preserve">31. prosinca </w:t>
            </w:r>
            <w:r w:rsidR="00494019" w:rsidRPr="00CD3A2D">
              <w:rPr>
                <w:rFonts w:ascii="Calibri" w:hAnsi="Calibri"/>
                <w:b/>
                <w:bCs/>
                <w:color w:val="000000"/>
                <w:sz w:val="20"/>
                <w:szCs w:val="20"/>
                <w:lang w:val="hr-HR"/>
              </w:rPr>
              <w:t>2017.</w:t>
            </w:r>
          </w:p>
        </w:tc>
        <w:tc>
          <w:tcPr>
            <w:tcW w:w="1408" w:type="dxa"/>
            <w:tcBorders>
              <w:top w:val="nil"/>
              <w:left w:val="nil"/>
              <w:bottom w:val="nil"/>
              <w:right w:val="nil"/>
            </w:tcBorders>
            <w:shd w:val="clear" w:color="auto" w:fill="auto"/>
            <w:vAlign w:val="center"/>
            <w:hideMark/>
          </w:tcPr>
          <w:p w:rsidR="00494019" w:rsidRPr="00CD3A2D" w:rsidRDefault="0001590F">
            <w:pPr>
              <w:jc w:val="right"/>
              <w:rPr>
                <w:rFonts w:ascii="Calibri" w:hAnsi="Calibri"/>
                <w:b/>
                <w:bCs/>
                <w:color w:val="000000"/>
                <w:sz w:val="20"/>
                <w:szCs w:val="20"/>
                <w:lang w:val="hr-HR"/>
              </w:rPr>
            </w:pPr>
            <w:r w:rsidRPr="0001590F">
              <w:rPr>
                <w:rFonts w:ascii="Calibri" w:hAnsi="Calibri"/>
                <w:b/>
                <w:bCs/>
                <w:color w:val="000000"/>
                <w:sz w:val="20"/>
                <w:szCs w:val="20"/>
                <w:lang w:val="hr-HR"/>
              </w:rPr>
              <w:t xml:space="preserve">31. prosinca </w:t>
            </w:r>
            <w:r w:rsidR="00494019" w:rsidRPr="00CD3A2D">
              <w:rPr>
                <w:rFonts w:ascii="Calibri" w:hAnsi="Calibri"/>
                <w:b/>
                <w:bCs/>
                <w:color w:val="000000"/>
                <w:sz w:val="20"/>
                <w:szCs w:val="20"/>
                <w:lang w:val="hr-HR"/>
              </w:rPr>
              <w:t>2018.</w:t>
            </w:r>
          </w:p>
        </w:tc>
        <w:tc>
          <w:tcPr>
            <w:tcW w:w="1408" w:type="dxa"/>
            <w:tcBorders>
              <w:top w:val="nil"/>
              <w:left w:val="nil"/>
              <w:bottom w:val="nil"/>
              <w:right w:val="nil"/>
            </w:tcBorders>
            <w:shd w:val="clear" w:color="auto" w:fill="auto"/>
            <w:vAlign w:val="center"/>
            <w:hideMark/>
          </w:tcPr>
          <w:p w:rsidR="00494019" w:rsidRPr="00CD3A2D" w:rsidRDefault="0001590F">
            <w:pPr>
              <w:jc w:val="right"/>
              <w:rPr>
                <w:rFonts w:ascii="Calibri" w:hAnsi="Calibri"/>
                <w:b/>
                <w:bCs/>
                <w:color w:val="000000"/>
                <w:sz w:val="20"/>
                <w:szCs w:val="20"/>
                <w:lang w:val="hr-HR"/>
              </w:rPr>
            </w:pPr>
            <w:r w:rsidRPr="0001590F">
              <w:rPr>
                <w:rFonts w:ascii="Calibri" w:hAnsi="Calibri"/>
                <w:b/>
                <w:bCs/>
                <w:color w:val="000000"/>
                <w:sz w:val="20"/>
                <w:szCs w:val="20"/>
                <w:lang w:val="hr-HR"/>
              </w:rPr>
              <w:t xml:space="preserve">31. prosinca </w:t>
            </w:r>
            <w:r w:rsidR="00494019" w:rsidRPr="00CD3A2D">
              <w:rPr>
                <w:rFonts w:ascii="Calibri" w:hAnsi="Calibri"/>
                <w:b/>
                <w:bCs/>
                <w:color w:val="000000"/>
                <w:sz w:val="20"/>
                <w:szCs w:val="20"/>
                <w:lang w:val="hr-HR"/>
              </w:rPr>
              <w:t>2017.</w:t>
            </w:r>
          </w:p>
        </w:tc>
      </w:tr>
      <w:tr w:rsidR="00494019" w:rsidRPr="001567C8" w:rsidTr="003C6BA3">
        <w:trPr>
          <w:trHeight w:val="323"/>
        </w:trPr>
        <w:tc>
          <w:tcPr>
            <w:tcW w:w="3686" w:type="dxa"/>
            <w:tcBorders>
              <w:top w:val="nil"/>
              <w:left w:val="nil"/>
              <w:bottom w:val="nil"/>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p>
        </w:tc>
        <w:tc>
          <w:tcPr>
            <w:tcW w:w="1407" w:type="dxa"/>
            <w:tcBorders>
              <w:top w:val="nil"/>
              <w:left w:val="nil"/>
              <w:bottom w:val="nil"/>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000 kuna</w:t>
            </w:r>
          </w:p>
        </w:tc>
      </w:tr>
      <w:tr w:rsidR="0016598F" w:rsidRPr="001567C8" w:rsidTr="003C6BA3">
        <w:trPr>
          <w:trHeight w:val="323"/>
        </w:trPr>
        <w:tc>
          <w:tcPr>
            <w:tcW w:w="3686" w:type="dxa"/>
            <w:tcBorders>
              <w:top w:val="nil"/>
              <w:left w:val="nil"/>
              <w:bottom w:val="nil"/>
              <w:right w:val="nil"/>
            </w:tcBorders>
            <w:shd w:val="clear" w:color="auto" w:fill="auto"/>
            <w:vAlign w:val="center"/>
          </w:tcPr>
          <w:p w:rsidR="0016598F" w:rsidRPr="00CD3A2D" w:rsidRDefault="0016598F" w:rsidP="0016598F">
            <w:pPr>
              <w:rPr>
                <w:rFonts w:ascii="Calibri" w:hAnsi="Calibri"/>
                <w:b/>
                <w:bCs/>
                <w:color w:val="000000"/>
                <w:sz w:val="20"/>
                <w:szCs w:val="20"/>
                <w:lang w:val="hr-HR"/>
              </w:rPr>
            </w:pPr>
            <w:r w:rsidRPr="00CD3A2D">
              <w:rPr>
                <w:rFonts w:ascii="Calibri" w:hAnsi="Calibri"/>
                <w:b/>
                <w:bCs/>
                <w:color w:val="000000"/>
                <w:sz w:val="20"/>
                <w:szCs w:val="20"/>
                <w:lang w:val="hr-HR"/>
              </w:rPr>
              <w:t>Dužnički vrijednosni papiri:</w:t>
            </w:r>
          </w:p>
        </w:tc>
        <w:tc>
          <w:tcPr>
            <w:tcW w:w="1407" w:type="dxa"/>
            <w:tcBorders>
              <w:top w:val="nil"/>
              <w:left w:val="nil"/>
              <w:bottom w:val="nil"/>
              <w:right w:val="nil"/>
            </w:tcBorders>
            <w:shd w:val="clear" w:color="auto" w:fill="auto"/>
            <w:vAlign w:val="center"/>
          </w:tcPr>
          <w:p w:rsidR="0016598F" w:rsidRPr="00CD3A2D" w:rsidRDefault="0016598F">
            <w:pPr>
              <w:jc w:val="right"/>
              <w:rPr>
                <w:rFonts w:ascii="Calibri" w:hAnsi="Calibri"/>
                <w:b/>
                <w:bCs/>
                <w:color w:val="000000"/>
                <w:sz w:val="20"/>
                <w:szCs w:val="20"/>
                <w:lang w:val="hr-HR"/>
              </w:rPr>
            </w:pPr>
          </w:p>
        </w:tc>
        <w:tc>
          <w:tcPr>
            <w:tcW w:w="1408" w:type="dxa"/>
            <w:tcBorders>
              <w:top w:val="nil"/>
              <w:left w:val="nil"/>
              <w:bottom w:val="nil"/>
              <w:right w:val="nil"/>
            </w:tcBorders>
            <w:shd w:val="clear" w:color="auto" w:fill="auto"/>
            <w:vAlign w:val="center"/>
          </w:tcPr>
          <w:p w:rsidR="0016598F" w:rsidRPr="00CD3A2D" w:rsidRDefault="0016598F">
            <w:pPr>
              <w:jc w:val="right"/>
              <w:rPr>
                <w:rFonts w:ascii="Calibri" w:hAnsi="Calibri"/>
                <w:b/>
                <w:bCs/>
                <w:color w:val="000000"/>
                <w:sz w:val="20"/>
                <w:szCs w:val="20"/>
                <w:lang w:val="hr-HR"/>
              </w:rPr>
            </w:pPr>
          </w:p>
        </w:tc>
        <w:tc>
          <w:tcPr>
            <w:tcW w:w="1408" w:type="dxa"/>
            <w:tcBorders>
              <w:top w:val="nil"/>
              <w:left w:val="nil"/>
              <w:bottom w:val="nil"/>
              <w:right w:val="nil"/>
            </w:tcBorders>
            <w:shd w:val="clear" w:color="auto" w:fill="auto"/>
            <w:vAlign w:val="center"/>
          </w:tcPr>
          <w:p w:rsidR="0016598F" w:rsidRPr="00CD3A2D" w:rsidRDefault="0016598F">
            <w:pPr>
              <w:jc w:val="right"/>
              <w:rPr>
                <w:rFonts w:ascii="Calibri" w:hAnsi="Calibri"/>
                <w:b/>
                <w:bCs/>
                <w:color w:val="000000"/>
                <w:sz w:val="20"/>
                <w:szCs w:val="20"/>
                <w:lang w:val="hr-HR"/>
              </w:rPr>
            </w:pPr>
          </w:p>
        </w:tc>
        <w:tc>
          <w:tcPr>
            <w:tcW w:w="1408" w:type="dxa"/>
            <w:tcBorders>
              <w:top w:val="nil"/>
              <w:left w:val="nil"/>
              <w:bottom w:val="nil"/>
              <w:right w:val="nil"/>
            </w:tcBorders>
            <w:shd w:val="clear" w:color="auto" w:fill="auto"/>
            <w:vAlign w:val="center"/>
          </w:tcPr>
          <w:p w:rsidR="0016598F" w:rsidRPr="00CD3A2D" w:rsidRDefault="0016598F">
            <w:pPr>
              <w:jc w:val="right"/>
              <w:rPr>
                <w:rFonts w:ascii="Calibri" w:hAnsi="Calibri"/>
                <w:b/>
                <w:bCs/>
                <w:color w:val="000000"/>
                <w:sz w:val="20"/>
                <w:szCs w:val="20"/>
                <w:lang w:val="hr-HR"/>
              </w:rPr>
            </w:pPr>
          </w:p>
        </w:tc>
      </w:tr>
      <w:tr w:rsidR="00494019" w:rsidRPr="001567C8" w:rsidTr="003C6BA3">
        <w:trPr>
          <w:trHeight w:val="298"/>
        </w:trPr>
        <w:tc>
          <w:tcPr>
            <w:tcW w:w="3686" w:type="dxa"/>
            <w:tcBorders>
              <w:top w:val="nil"/>
              <w:left w:val="nil"/>
              <w:bottom w:val="nil"/>
              <w:right w:val="nil"/>
            </w:tcBorders>
            <w:shd w:val="clear" w:color="auto" w:fill="auto"/>
            <w:vAlign w:val="center"/>
            <w:hideMark/>
          </w:tcPr>
          <w:p w:rsidR="00494019" w:rsidRPr="00CD3A2D" w:rsidRDefault="00494019">
            <w:pPr>
              <w:rPr>
                <w:rFonts w:ascii="Calibri" w:hAnsi="Calibri"/>
                <w:b/>
                <w:bCs/>
                <w:color w:val="000000"/>
                <w:sz w:val="20"/>
                <w:szCs w:val="20"/>
                <w:lang w:val="hr-HR"/>
              </w:rPr>
            </w:pPr>
            <w:r w:rsidRPr="00CD3A2D">
              <w:rPr>
                <w:rFonts w:ascii="Calibri" w:hAnsi="Calibri"/>
                <w:b/>
                <w:bCs/>
                <w:color w:val="000000"/>
                <w:sz w:val="20"/>
                <w:szCs w:val="20"/>
                <w:lang w:val="hr-HR"/>
              </w:rPr>
              <w:t>Dužnički vrijednosni papiri koji kotiraju:</w:t>
            </w:r>
          </w:p>
        </w:tc>
        <w:tc>
          <w:tcPr>
            <w:tcW w:w="1407" w:type="dxa"/>
            <w:tcBorders>
              <w:top w:val="nil"/>
              <w:left w:val="nil"/>
              <w:bottom w:val="nil"/>
              <w:right w:val="nil"/>
            </w:tcBorders>
            <w:shd w:val="clear" w:color="auto" w:fill="auto"/>
            <w:vAlign w:val="center"/>
            <w:hideMark/>
          </w:tcPr>
          <w:p w:rsidR="00494019" w:rsidRPr="00CD3A2D" w:rsidRDefault="00494019">
            <w:pPr>
              <w:rPr>
                <w:rFonts w:ascii="Calibri" w:hAnsi="Calibri"/>
                <w:b/>
                <w:bCs/>
                <w:color w:val="000000"/>
                <w:sz w:val="20"/>
                <w:szCs w:val="20"/>
                <w:lang w:val="hr-HR"/>
              </w:rPr>
            </w:pPr>
          </w:p>
        </w:tc>
        <w:tc>
          <w:tcPr>
            <w:tcW w:w="1408" w:type="dxa"/>
            <w:tcBorders>
              <w:top w:val="nil"/>
              <w:left w:val="nil"/>
              <w:bottom w:val="nil"/>
              <w:right w:val="nil"/>
            </w:tcBorders>
            <w:shd w:val="clear" w:color="auto" w:fill="auto"/>
            <w:vAlign w:val="center"/>
            <w:hideMark/>
          </w:tcPr>
          <w:p w:rsidR="00494019" w:rsidRPr="00CD3A2D" w:rsidRDefault="00494019">
            <w:pPr>
              <w:jc w:val="right"/>
              <w:rPr>
                <w:sz w:val="20"/>
                <w:szCs w:val="20"/>
                <w:lang w:val="hr-HR"/>
              </w:rPr>
            </w:pPr>
          </w:p>
        </w:tc>
        <w:tc>
          <w:tcPr>
            <w:tcW w:w="1408" w:type="dxa"/>
            <w:tcBorders>
              <w:top w:val="nil"/>
              <w:left w:val="nil"/>
              <w:bottom w:val="nil"/>
              <w:right w:val="nil"/>
            </w:tcBorders>
            <w:shd w:val="clear" w:color="auto" w:fill="auto"/>
            <w:vAlign w:val="center"/>
            <w:hideMark/>
          </w:tcPr>
          <w:p w:rsidR="00494019" w:rsidRPr="00CD3A2D" w:rsidRDefault="00494019">
            <w:pPr>
              <w:jc w:val="right"/>
              <w:rPr>
                <w:sz w:val="20"/>
                <w:szCs w:val="20"/>
                <w:lang w:val="hr-HR"/>
              </w:rPr>
            </w:pPr>
          </w:p>
        </w:tc>
        <w:tc>
          <w:tcPr>
            <w:tcW w:w="1408" w:type="dxa"/>
            <w:tcBorders>
              <w:top w:val="nil"/>
              <w:left w:val="nil"/>
              <w:bottom w:val="nil"/>
              <w:right w:val="nil"/>
            </w:tcBorders>
            <w:shd w:val="clear" w:color="auto" w:fill="auto"/>
            <w:vAlign w:val="center"/>
            <w:hideMark/>
          </w:tcPr>
          <w:p w:rsidR="00494019" w:rsidRPr="00CD3A2D" w:rsidRDefault="00494019">
            <w:pPr>
              <w:jc w:val="right"/>
              <w:rPr>
                <w:sz w:val="20"/>
                <w:szCs w:val="20"/>
                <w:lang w:val="hr-HR"/>
              </w:rPr>
            </w:pPr>
          </w:p>
        </w:tc>
      </w:tr>
      <w:tr w:rsidR="00494019" w:rsidRPr="001567C8" w:rsidTr="003C6BA3">
        <w:trPr>
          <w:trHeight w:val="298"/>
        </w:trPr>
        <w:tc>
          <w:tcPr>
            <w:tcW w:w="3686" w:type="dxa"/>
            <w:tcBorders>
              <w:top w:val="nil"/>
              <w:left w:val="nil"/>
              <w:bottom w:val="nil"/>
              <w:right w:val="nil"/>
            </w:tcBorders>
            <w:shd w:val="clear" w:color="auto" w:fill="auto"/>
            <w:vAlign w:val="center"/>
            <w:hideMark/>
          </w:tcPr>
          <w:p w:rsidR="00494019" w:rsidRPr="00CD3A2D" w:rsidRDefault="00494019">
            <w:pPr>
              <w:rPr>
                <w:rFonts w:ascii="Calibri" w:hAnsi="Calibri"/>
                <w:color w:val="000000"/>
                <w:sz w:val="20"/>
                <w:szCs w:val="20"/>
                <w:lang w:val="hr-HR"/>
              </w:rPr>
            </w:pPr>
            <w:r w:rsidRPr="00CD3A2D">
              <w:rPr>
                <w:rFonts w:ascii="Calibri" w:hAnsi="Calibri"/>
                <w:color w:val="000000"/>
                <w:sz w:val="20"/>
                <w:szCs w:val="20"/>
                <w:lang w:val="hr-HR"/>
              </w:rPr>
              <w:t>Obveznice Republike Hrvatske</w:t>
            </w:r>
          </w:p>
        </w:tc>
        <w:tc>
          <w:tcPr>
            <w:tcW w:w="1407" w:type="dxa"/>
            <w:tcBorders>
              <w:top w:val="nil"/>
              <w:left w:val="nil"/>
              <w:bottom w:val="nil"/>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1.352 </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 xml:space="preserve"> n/p    </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 </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 xml:space="preserve"> n/p    </w:t>
            </w:r>
          </w:p>
        </w:tc>
      </w:tr>
      <w:tr w:rsidR="00494019" w:rsidRPr="001567C8" w:rsidTr="003C6BA3">
        <w:trPr>
          <w:trHeight w:val="298"/>
        </w:trPr>
        <w:tc>
          <w:tcPr>
            <w:tcW w:w="3686" w:type="dxa"/>
            <w:tcBorders>
              <w:top w:val="nil"/>
              <w:left w:val="nil"/>
              <w:bottom w:val="nil"/>
              <w:right w:val="nil"/>
            </w:tcBorders>
            <w:shd w:val="clear" w:color="auto" w:fill="auto"/>
            <w:vAlign w:val="center"/>
            <w:hideMark/>
          </w:tcPr>
          <w:p w:rsidR="00494019" w:rsidRPr="00CD3A2D" w:rsidRDefault="00494019">
            <w:pPr>
              <w:rPr>
                <w:rFonts w:ascii="Calibri" w:hAnsi="Calibri"/>
                <w:color w:val="000000"/>
                <w:sz w:val="20"/>
                <w:szCs w:val="20"/>
                <w:lang w:val="hr-HR"/>
              </w:rPr>
            </w:pPr>
            <w:r w:rsidRPr="00CD3A2D">
              <w:rPr>
                <w:rFonts w:ascii="Calibri" w:hAnsi="Calibri"/>
                <w:color w:val="000000"/>
                <w:sz w:val="20"/>
                <w:szCs w:val="20"/>
                <w:lang w:val="hr-HR"/>
              </w:rPr>
              <w:t xml:space="preserve">Obračunata kamata </w:t>
            </w:r>
          </w:p>
        </w:tc>
        <w:tc>
          <w:tcPr>
            <w:tcW w:w="1407" w:type="dxa"/>
            <w:tcBorders>
              <w:top w:val="nil"/>
              <w:left w:val="nil"/>
              <w:bottom w:val="nil"/>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1</w:t>
            </w:r>
            <w:r w:rsidR="009E325B" w:rsidRPr="00CD3A2D">
              <w:rPr>
                <w:rFonts w:ascii="Calibri" w:hAnsi="Calibri"/>
                <w:color w:val="000000"/>
                <w:sz w:val="20"/>
                <w:szCs w:val="20"/>
                <w:lang w:val="hr-HR"/>
              </w:rPr>
              <w:t>3</w:t>
            </w:r>
            <w:r w:rsidRPr="00CD3A2D">
              <w:rPr>
                <w:rFonts w:ascii="Calibri" w:hAnsi="Calibri"/>
                <w:color w:val="000000"/>
                <w:sz w:val="20"/>
                <w:szCs w:val="20"/>
                <w:lang w:val="hr-HR"/>
              </w:rPr>
              <w:t xml:space="preserve"> </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 xml:space="preserve"> n/p    </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 </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 xml:space="preserve"> n/p    </w:t>
            </w:r>
          </w:p>
        </w:tc>
      </w:tr>
      <w:tr w:rsidR="00494019" w:rsidRPr="001567C8" w:rsidTr="003C6BA3">
        <w:trPr>
          <w:trHeight w:val="298"/>
        </w:trPr>
        <w:tc>
          <w:tcPr>
            <w:tcW w:w="3686" w:type="dxa"/>
            <w:tcBorders>
              <w:top w:val="nil"/>
              <w:left w:val="nil"/>
              <w:bottom w:val="nil"/>
              <w:right w:val="nil"/>
            </w:tcBorders>
            <w:shd w:val="clear" w:color="auto" w:fill="auto"/>
            <w:vAlign w:val="center"/>
            <w:hideMark/>
          </w:tcPr>
          <w:p w:rsidR="00494019" w:rsidRPr="00CD3A2D" w:rsidRDefault="00494019">
            <w:pPr>
              <w:jc w:val="right"/>
              <w:rPr>
                <w:rFonts w:ascii="Arial" w:hAnsi="Arial" w:cs="Arial"/>
                <w:color w:val="000000"/>
                <w:sz w:val="20"/>
                <w:szCs w:val="20"/>
                <w:lang w:val="hr-HR"/>
              </w:rPr>
            </w:pPr>
          </w:p>
        </w:tc>
        <w:tc>
          <w:tcPr>
            <w:tcW w:w="1407" w:type="dxa"/>
            <w:tcBorders>
              <w:top w:val="single" w:sz="4" w:space="0" w:color="auto"/>
              <w:left w:val="nil"/>
              <w:bottom w:val="single" w:sz="4" w:space="0" w:color="auto"/>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1.36</w:t>
            </w:r>
            <w:r w:rsidR="009E325B" w:rsidRPr="00CD3A2D">
              <w:rPr>
                <w:rFonts w:ascii="Calibri" w:hAnsi="Calibri"/>
                <w:color w:val="000000"/>
                <w:sz w:val="20"/>
                <w:szCs w:val="20"/>
                <w:lang w:val="hr-HR"/>
              </w:rPr>
              <w:t>5</w:t>
            </w:r>
            <w:r w:rsidRPr="00CD3A2D">
              <w:rPr>
                <w:rFonts w:ascii="Calibri" w:hAnsi="Calibri"/>
                <w:color w:val="000000"/>
                <w:sz w:val="20"/>
                <w:szCs w:val="20"/>
                <w:lang w:val="hr-HR"/>
              </w:rPr>
              <w:t xml:space="preserve"> </w:t>
            </w:r>
          </w:p>
        </w:tc>
        <w:tc>
          <w:tcPr>
            <w:tcW w:w="1408" w:type="dxa"/>
            <w:tcBorders>
              <w:top w:val="single" w:sz="4" w:space="0" w:color="auto"/>
              <w:left w:val="nil"/>
              <w:bottom w:val="single" w:sz="4" w:space="0" w:color="auto"/>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n/p    </w:t>
            </w:r>
          </w:p>
        </w:tc>
        <w:tc>
          <w:tcPr>
            <w:tcW w:w="1408" w:type="dxa"/>
            <w:tcBorders>
              <w:top w:val="single" w:sz="4" w:space="0" w:color="auto"/>
              <w:left w:val="nil"/>
              <w:bottom w:val="single" w:sz="4" w:space="0" w:color="auto"/>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 </w:t>
            </w:r>
          </w:p>
        </w:tc>
        <w:tc>
          <w:tcPr>
            <w:tcW w:w="1408" w:type="dxa"/>
            <w:tcBorders>
              <w:top w:val="single" w:sz="4" w:space="0" w:color="auto"/>
              <w:left w:val="nil"/>
              <w:bottom w:val="single" w:sz="4" w:space="0" w:color="auto"/>
              <w:right w:val="nil"/>
            </w:tcBorders>
            <w:shd w:val="clear" w:color="auto" w:fill="auto"/>
            <w:vAlign w:val="center"/>
            <w:hideMark/>
          </w:tcPr>
          <w:p w:rsidR="00494019" w:rsidRPr="00CD3A2D" w:rsidRDefault="00494019">
            <w:pPr>
              <w:jc w:val="right"/>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 xml:space="preserve"> n/p    </w:t>
            </w:r>
          </w:p>
        </w:tc>
      </w:tr>
      <w:tr w:rsidR="00494019" w:rsidRPr="001567C8" w:rsidTr="003C6BA3">
        <w:trPr>
          <w:trHeight w:val="298"/>
        </w:trPr>
        <w:tc>
          <w:tcPr>
            <w:tcW w:w="3686" w:type="dxa"/>
            <w:tcBorders>
              <w:top w:val="nil"/>
              <w:left w:val="nil"/>
              <w:bottom w:val="nil"/>
              <w:right w:val="nil"/>
            </w:tcBorders>
            <w:shd w:val="clear" w:color="auto" w:fill="auto"/>
            <w:vAlign w:val="center"/>
            <w:hideMark/>
          </w:tcPr>
          <w:p w:rsidR="00494019" w:rsidRPr="00CD3A2D" w:rsidRDefault="00494019">
            <w:pPr>
              <w:rPr>
                <w:rFonts w:ascii="Calibri" w:hAnsi="Calibri"/>
                <w:color w:val="000000"/>
                <w:sz w:val="20"/>
                <w:szCs w:val="20"/>
                <w:lang w:val="hr-HR"/>
              </w:rPr>
            </w:pPr>
            <w:r w:rsidRPr="00CD3A2D">
              <w:rPr>
                <w:rFonts w:ascii="Calibri" w:hAnsi="Calibri"/>
                <w:color w:val="000000"/>
                <w:sz w:val="20"/>
                <w:szCs w:val="20"/>
                <w:lang w:val="hr-HR"/>
              </w:rPr>
              <w:t xml:space="preserve">Rezerviranja za </w:t>
            </w:r>
            <w:r w:rsidR="009C322E" w:rsidRPr="00CD3A2D">
              <w:rPr>
                <w:rFonts w:ascii="Calibri" w:hAnsi="Calibri"/>
                <w:color w:val="000000"/>
                <w:sz w:val="20"/>
                <w:szCs w:val="20"/>
                <w:lang w:val="hr-HR"/>
              </w:rPr>
              <w:t>očekivane</w:t>
            </w:r>
            <w:r w:rsidRPr="00CD3A2D">
              <w:rPr>
                <w:rFonts w:ascii="Calibri" w:hAnsi="Calibri"/>
                <w:color w:val="000000"/>
                <w:sz w:val="20"/>
                <w:szCs w:val="20"/>
                <w:lang w:val="hr-HR"/>
              </w:rPr>
              <w:t xml:space="preserve"> gubitke </w:t>
            </w:r>
          </w:p>
        </w:tc>
        <w:tc>
          <w:tcPr>
            <w:tcW w:w="1407" w:type="dxa"/>
            <w:tcBorders>
              <w:top w:val="nil"/>
              <w:left w:val="nil"/>
              <w:bottom w:val="nil"/>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w:t>
            </w:r>
            <w:r w:rsidR="009E325B" w:rsidRPr="00CD3A2D">
              <w:rPr>
                <w:rFonts w:ascii="Calibri" w:hAnsi="Calibri"/>
                <w:color w:val="000000"/>
                <w:sz w:val="20"/>
                <w:szCs w:val="20"/>
                <w:lang w:val="hr-HR"/>
              </w:rPr>
              <w:t>2</w:t>
            </w:r>
            <w:r w:rsidRPr="00CD3A2D">
              <w:rPr>
                <w:rFonts w:ascii="Calibri" w:hAnsi="Calibri"/>
                <w:color w:val="000000"/>
                <w:sz w:val="20"/>
                <w:szCs w:val="20"/>
                <w:lang w:val="hr-HR"/>
              </w:rPr>
              <w:t>)</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n/p    </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 </w:t>
            </w:r>
          </w:p>
        </w:tc>
        <w:tc>
          <w:tcPr>
            <w:tcW w:w="1408" w:type="dxa"/>
            <w:tcBorders>
              <w:top w:val="nil"/>
              <w:left w:val="nil"/>
              <w:bottom w:val="nil"/>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r w:rsidRPr="00CD3A2D">
              <w:rPr>
                <w:rFonts w:ascii="Calibri" w:hAnsi="Calibri"/>
                <w:color w:val="000000"/>
                <w:sz w:val="20"/>
                <w:szCs w:val="20"/>
                <w:lang w:val="hr-HR"/>
              </w:rPr>
              <w:t xml:space="preserve"> n/p    </w:t>
            </w:r>
          </w:p>
        </w:tc>
      </w:tr>
      <w:tr w:rsidR="00494019" w:rsidRPr="001567C8" w:rsidTr="003C6BA3">
        <w:trPr>
          <w:trHeight w:val="298"/>
        </w:trPr>
        <w:tc>
          <w:tcPr>
            <w:tcW w:w="3686" w:type="dxa"/>
            <w:tcBorders>
              <w:top w:val="nil"/>
              <w:left w:val="nil"/>
              <w:bottom w:val="nil"/>
              <w:right w:val="nil"/>
            </w:tcBorders>
            <w:shd w:val="clear" w:color="auto" w:fill="auto"/>
            <w:vAlign w:val="center"/>
            <w:hideMark/>
          </w:tcPr>
          <w:p w:rsidR="00494019" w:rsidRPr="00CD3A2D" w:rsidRDefault="00494019">
            <w:pPr>
              <w:jc w:val="right"/>
              <w:rPr>
                <w:rFonts w:ascii="Calibri" w:hAnsi="Calibri"/>
                <w:color w:val="000000"/>
                <w:sz w:val="20"/>
                <w:szCs w:val="20"/>
                <w:lang w:val="hr-HR"/>
              </w:rPr>
            </w:pPr>
          </w:p>
        </w:tc>
        <w:tc>
          <w:tcPr>
            <w:tcW w:w="1407" w:type="dxa"/>
            <w:tcBorders>
              <w:top w:val="single" w:sz="4" w:space="0" w:color="auto"/>
              <w:left w:val="nil"/>
              <w:bottom w:val="single" w:sz="8" w:space="0" w:color="auto"/>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1.363 </w:t>
            </w:r>
          </w:p>
        </w:tc>
        <w:tc>
          <w:tcPr>
            <w:tcW w:w="1408" w:type="dxa"/>
            <w:tcBorders>
              <w:top w:val="single" w:sz="4" w:space="0" w:color="auto"/>
              <w:left w:val="nil"/>
              <w:bottom w:val="single" w:sz="8" w:space="0" w:color="auto"/>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n/p    </w:t>
            </w:r>
          </w:p>
        </w:tc>
        <w:tc>
          <w:tcPr>
            <w:tcW w:w="1408" w:type="dxa"/>
            <w:tcBorders>
              <w:top w:val="single" w:sz="4" w:space="0" w:color="auto"/>
              <w:left w:val="nil"/>
              <w:bottom w:val="single" w:sz="8" w:space="0" w:color="auto"/>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 </w:t>
            </w:r>
          </w:p>
        </w:tc>
        <w:tc>
          <w:tcPr>
            <w:tcW w:w="1408" w:type="dxa"/>
            <w:tcBorders>
              <w:top w:val="single" w:sz="4" w:space="0" w:color="auto"/>
              <w:left w:val="nil"/>
              <w:bottom w:val="single" w:sz="8" w:space="0" w:color="auto"/>
              <w:right w:val="nil"/>
            </w:tcBorders>
            <w:shd w:val="clear" w:color="auto" w:fill="auto"/>
            <w:vAlign w:val="center"/>
            <w:hideMark/>
          </w:tcPr>
          <w:p w:rsidR="00494019" w:rsidRPr="00CD3A2D" w:rsidRDefault="00494019">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n/p    </w:t>
            </w:r>
          </w:p>
        </w:tc>
      </w:tr>
    </w:tbl>
    <w:p w:rsidR="00494019" w:rsidRPr="001567C8" w:rsidRDefault="00494019" w:rsidP="006765E1">
      <w:pPr>
        <w:pStyle w:val="T1"/>
        <w:spacing w:before="0" w:after="0" w:line="240" w:lineRule="auto"/>
        <w:rPr>
          <w:rFonts w:asciiTheme="minorHAnsi" w:hAnsiTheme="minorHAnsi" w:cs="Arial"/>
          <w:b w:val="0"/>
          <w:sz w:val="22"/>
          <w:szCs w:val="22"/>
          <w:lang w:val="hr-HR"/>
        </w:rPr>
      </w:pPr>
    </w:p>
    <w:p w:rsidR="009E325B" w:rsidRPr="001567C8" w:rsidRDefault="009E325B" w:rsidP="006765E1">
      <w:pPr>
        <w:pStyle w:val="T1"/>
        <w:spacing w:before="0" w:after="0" w:line="240" w:lineRule="auto"/>
        <w:rPr>
          <w:rFonts w:asciiTheme="minorHAnsi" w:hAnsiTheme="minorHAnsi" w:cs="Arial"/>
          <w:b w:val="0"/>
          <w:sz w:val="22"/>
          <w:szCs w:val="22"/>
          <w:lang w:val="hr-HR"/>
        </w:rPr>
      </w:pPr>
    </w:p>
    <w:p w:rsidR="00494019" w:rsidRPr="001567C8" w:rsidRDefault="0016598F" w:rsidP="006765E1">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Sljedeća tablica prikazuje informacije o kreditnoj kvaliteti financijske imovine koja se mjeri po amortiziranom trošku. Iznosi u tablici predstavljaju bruto knjigovodstvene iznose:</w:t>
      </w:r>
    </w:p>
    <w:p w:rsidR="0016598F" w:rsidRPr="001567C8" w:rsidRDefault="0016598F" w:rsidP="006765E1">
      <w:pPr>
        <w:pStyle w:val="T1"/>
        <w:spacing w:before="0" w:after="0" w:line="240" w:lineRule="auto"/>
        <w:rPr>
          <w:rFonts w:asciiTheme="minorHAnsi" w:hAnsiTheme="minorHAnsi" w:cs="Arial"/>
          <w:b w:val="0"/>
          <w:sz w:val="22"/>
          <w:szCs w:val="22"/>
          <w:lang w:val="hr-HR"/>
        </w:rPr>
      </w:pPr>
    </w:p>
    <w:tbl>
      <w:tblPr>
        <w:tblW w:w="9805" w:type="dxa"/>
        <w:tblInd w:w="-284" w:type="dxa"/>
        <w:tblLayout w:type="fixed"/>
        <w:tblLook w:val="04A0" w:firstRow="1" w:lastRow="0" w:firstColumn="1" w:lastColumn="0" w:noHBand="0" w:noVBand="1"/>
      </w:tblPr>
      <w:tblGrid>
        <w:gridCol w:w="2414"/>
        <w:gridCol w:w="923"/>
        <w:gridCol w:w="924"/>
        <w:gridCol w:w="924"/>
        <w:gridCol w:w="924"/>
        <w:gridCol w:w="924"/>
        <w:gridCol w:w="924"/>
        <w:gridCol w:w="924"/>
        <w:gridCol w:w="924"/>
      </w:tblGrid>
      <w:tr w:rsidR="0016598F" w:rsidRPr="001567C8" w:rsidTr="00B92A2F">
        <w:trPr>
          <w:trHeight w:val="137"/>
        </w:trPr>
        <w:tc>
          <w:tcPr>
            <w:tcW w:w="2414" w:type="dxa"/>
            <w:tcBorders>
              <w:top w:val="nil"/>
              <w:left w:val="nil"/>
              <w:bottom w:val="nil"/>
              <w:right w:val="nil"/>
            </w:tcBorders>
            <w:shd w:val="clear" w:color="auto" w:fill="auto"/>
            <w:noWrap/>
            <w:vAlign w:val="bottom"/>
            <w:hideMark/>
          </w:tcPr>
          <w:p w:rsidR="0016598F" w:rsidRPr="00CD3A2D" w:rsidRDefault="0016598F">
            <w:pPr>
              <w:rPr>
                <w:sz w:val="18"/>
                <w:szCs w:val="18"/>
                <w:lang w:val="hr-HR"/>
              </w:rPr>
            </w:pPr>
          </w:p>
        </w:tc>
        <w:tc>
          <w:tcPr>
            <w:tcW w:w="923" w:type="dxa"/>
            <w:tcBorders>
              <w:top w:val="nil"/>
              <w:left w:val="nil"/>
              <w:bottom w:val="nil"/>
              <w:right w:val="nil"/>
            </w:tcBorders>
            <w:shd w:val="clear" w:color="auto" w:fill="auto"/>
            <w:noWrap/>
            <w:vAlign w:val="bottom"/>
            <w:hideMark/>
          </w:tcPr>
          <w:p w:rsidR="0016598F" w:rsidRPr="00CD3A2D" w:rsidRDefault="0016598F" w:rsidP="00B92A2F">
            <w:pPr>
              <w:jc w:val="right"/>
              <w:rPr>
                <w:sz w:val="18"/>
                <w:szCs w:val="18"/>
                <w:lang w:val="hr-HR"/>
              </w:rPr>
            </w:pP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sz w:val="18"/>
                <w:szCs w:val="18"/>
                <w:lang w:val="hr-HR"/>
              </w:rPr>
            </w:pP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sz w:val="18"/>
                <w:szCs w:val="18"/>
                <w:lang w:val="hr-HR"/>
              </w:rPr>
            </w:pP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Grupa</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sz w:val="18"/>
                <w:szCs w:val="18"/>
                <w:lang w:val="hr-HR"/>
              </w:rPr>
            </w:pP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sz w:val="18"/>
                <w:szCs w:val="18"/>
                <w:lang w:val="hr-HR"/>
              </w:rPr>
            </w:pP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Banka</w:t>
            </w:r>
          </w:p>
        </w:tc>
      </w:tr>
      <w:tr w:rsidR="0016598F" w:rsidRPr="001567C8" w:rsidTr="00B92A2F">
        <w:trPr>
          <w:trHeight w:val="309"/>
        </w:trPr>
        <w:tc>
          <w:tcPr>
            <w:tcW w:w="2414" w:type="dxa"/>
            <w:tcBorders>
              <w:top w:val="nil"/>
              <w:left w:val="nil"/>
              <w:bottom w:val="nil"/>
              <w:right w:val="nil"/>
            </w:tcBorders>
            <w:shd w:val="clear" w:color="auto" w:fill="auto"/>
            <w:noWrap/>
            <w:vAlign w:val="bottom"/>
            <w:hideMark/>
          </w:tcPr>
          <w:p w:rsidR="0016598F" w:rsidRPr="00CD3A2D" w:rsidRDefault="0016598F">
            <w:pPr>
              <w:jc w:val="right"/>
              <w:rPr>
                <w:rFonts w:ascii="Calibri" w:hAnsi="Calibri"/>
                <w:b/>
                <w:bCs/>
                <w:color w:val="000000"/>
                <w:sz w:val="18"/>
                <w:szCs w:val="18"/>
                <w:lang w:val="hr-HR"/>
              </w:rPr>
            </w:pPr>
          </w:p>
        </w:tc>
        <w:tc>
          <w:tcPr>
            <w:tcW w:w="923"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Stupanj 1</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Stupanj 2</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Stupanj 3</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Ukupno</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Stupanj 1</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Stupanj 2</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Stupanj 3</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Ukupno</w:t>
            </w:r>
          </w:p>
        </w:tc>
      </w:tr>
      <w:tr w:rsidR="0016598F" w:rsidRPr="001567C8" w:rsidTr="0016598F">
        <w:trPr>
          <w:trHeight w:val="311"/>
        </w:trPr>
        <w:tc>
          <w:tcPr>
            <w:tcW w:w="2414" w:type="dxa"/>
            <w:tcBorders>
              <w:top w:val="nil"/>
              <w:left w:val="nil"/>
              <w:bottom w:val="nil"/>
              <w:right w:val="nil"/>
            </w:tcBorders>
            <w:shd w:val="clear" w:color="auto" w:fill="auto"/>
            <w:noWrap/>
            <w:vAlign w:val="bottom"/>
            <w:hideMark/>
          </w:tcPr>
          <w:p w:rsidR="0016598F" w:rsidRPr="00CD3A2D" w:rsidRDefault="0016598F">
            <w:pPr>
              <w:jc w:val="right"/>
              <w:rPr>
                <w:rFonts w:ascii="Calibri" w:hAnsi="Calibri"/>
                <w:b/>
                <w:bCs/>
                <w:color w:val="000000"/>
                <w:sz w:val="18"/>
                <w:szCs w:val="18"/>
                <w:lang w:val="hr-HR"/>
              </w:rPr>
            </w:pPr>
          </w:p>
        </w:tc>
        <w:tc>
          <w:tcPr>
            <w:tcW w:w="923"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924" w:type="dxa"/>
            <w:tcBorders>
              <w:top w:val="nil"/>
              <w:left w:val="nil"/>
              <w:bottom w:val="nil"/>
              <w:right w:val="nil"/>
            </w:tcBorders>
            <w:shd w:val="clear" w:color="auto" w:fill="auto"/>
            <w:noWrap/>
            <w:vAlign w:val="bottom"/>
            <w:hideMark/>
          </w:tcPr>
          <w:p w:rsidR="0016598F" w:rsidRPr="00CD3A2D" w:rsidRDefault="0016598F" w:rsidP="001659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r>
      <w:tr w:rsidR="0016598F" w:rsidRPr="001567C8" w:rsidTr="00B92A2F">
        <w:trPr>
          <w:trHeight w:val="105"/>
        </w:trPr>
        <w:tc>
          <w:tcPr>
            <w:tcW w:w="2414" w:type="dxa"/>
            <w:tcBorders>
              <w:top w:val="nil"/>
              <w:left w:val="nil"/>
              <w:bottom w:val="nil"/>
              <w:right w:val="nil"/>
            </w:tcBorders>
            <w:shd w:val="clear" w:color="auto" w:fill="auto"/>
            <w:noWrap/>
            <w:vAlign w:val="bottom"/>
          </w:tcPr>
          <w:p w:rsidR="0016598F" w:rsidRPr="00CD3A2D" w:rsidRDefault="0016598F">
            <w:pPr>
              <w:jc w:val="right"/>
              <w:rPr>
                <w:rFonts w:ascii="Calibri" w:hAnsi="Calibri"/>
                <w:b/>
                <w:bCs/>
                <w:color w:val="000000"/>
                <w:sz w:val="18"/>
                <w:szCs w:val="18"/>
                <w:lang w:val="hr-HR"/>
              </w:rPr>
            </w:pPr>
          </w:p>
        </w:tc>
        <w:tc>
          <w:tcPr>
            <w:tcW w:w="923" w:type="dxa"/>
            <w:tcBorders>
              <w:top w:val="nil"/>
              <w:left w:val="nil"/>
              <w:bottom w:val="nil"/>
              <w:right w:val="nil"/>
            </w:tcBorders>
            <w:shd w:val="clear" w:color="auto" w:fill="auto"/>
            <w:noWrap/>
            <w:vAlign w:val="bottom"/>
          </w:tcPr>
          <w:p w:rsidR="0016598F" w:rsidRPr="00CD3A2D" w:rsidRDefault="0016598F" w:rsidP="0016598F">
            <w:pPr>
              <w:jc w:val="right"/>
              <w:rPr>
                <w:rFonts w:ascii="Calibri" w:hAnsi="Calibri"/>
                <w:b/>
                <w:bCs/>
                <w:color w:val="000000"/>
                <w:sz w:val="18"/>
                <w:szCs w:val="18"/>
                <w:lang w:val="hr-HR"/>
              </w:rPr>
            </w:pPr>
          </w:p>
        </w:tc>
        <w:tc>
          <w:tcPr>
            <w:tcW w:w="924" w:type="dxa"/>
            <w:tcBorders>
              <w:top w:val="nil"/>
              <w:left w:val="nil"/>
              <w:bottom w:val="nil"/>
              <w:right w:val="nil"/>
            </w:tcBorders>
            <w:shd w:val="clear" w:color="auto" w:fill="auto"/>
            <w:noWrap/>
            <w:vAlign w:val="bottom"/>
          </w:tcPr>
          <w:p w:rsidR="0016598F" w:rsidRPr="00CD3A2D" w:rsidRDefault="0016598F" w:rsidP="0016598F">
            <w:pPr>
              <w:jc w:val="right"/>
              <w:rPr>
                <w:rFonts w:ascii="Calibri" w:hAnsi="Calibri"/>
                <w:b/>
                <w:bCs/>
                <w:color w:val="000000"/>
                <w:sz w:val="18"/>
                <w:szCs w:val="18"/>
                <w:lang w:val="hr-HR"/>
              </w:rPr>
            </w:pPr>
          </w:p>
        </w:tc>
        <w:tc>
          <w:tcPr>
            <w:tcW w:w="924" w:type="dxa"/>
            <w:tcBorders>
              <w:top w:val="nil"/>
              <w:left w:val="nil"/>
              <w:bottom w:val="nil"/>
              <w:right w:val="nil"/>
            </w:tcBorders>
            <w:shd w:val="clear" w:color="auto" w:fill="auto"/>
            <w:noWrap/>
            <w:vAlign w:val="bottom"/>
          </w:tcPr>
          <w:p w:rsidR="0016598F" w:rsidRPr="00CD3A2D" w:rsidRDefault="0016598F" w:rsidP="0016598F">
            <w:pPr>
              <w:jc w:val="right"/>
              <w:rPr>
                <w:rFonts w:ascii="Calibri" w:hAnsi="Calibri"/>
                <w:b/>
                <w:bCs/>
                <w:color w:val="000000"/>
                <w:sz w:val="18"/>
                <w:szCs w:val="18"/>
                <w:lang w:val="hr-HR"/>
              </w:rPr>
            </w:pPr>
          </w:p>
        </w:tc>
        <w:tc>
          <w:tcPr>
            <w:tcW w:w="924" w:type="dxa"/>
            <w:tcBorders>
              <w:top w:val="nil"/>
              <w:left w:val="nil"/>
              <w:bottom w:val="nil"/>
              <w:right w:val="nil"/>
            </w:tcBorders>
            <w:shd w:val="clear" w:color="auto" w:fill="auto"/>
            <w:noWrap/>
            <w:vAlign w:val="bottom"/>
          </w:tcPr>
          <w:p w:rsidR="0016598F" w:rsidRPr="00CD3A2D" w:rsidRDefault="0016598F" w:rsidP="0016598F">
            <w:pPr>
              <w:jc w:val="right"/>
              <w:rPr>
                <w:rFonts w:ascii="Calibri" w:hAnsi="Calibri"/>
                <w:b/>
                <w:bCs/>
                <w:color w:val="000000"/>
                <w:sz w:val="18"/>
                <w:szCs w:val="18"/>
                <w:lang w:val="hr-HR"/>
              </w:rPr>
            </w:pPr>
          </w:p>
        </w:tc>
        <w:tc>
          <w:tcPr>
            <w:tcW w:w="924" w:type="dxa"/>
            <w:tcBorders>
              <w:top w:val="nil"/>
              <w:left w:val="nil"/>
              <w:bottom w:val="nil"/>
              <w:right w:val="nil"/>
            </w:tcBorders>
            <w:shd w:val="clear" w:color="auto" w:fill="auto"/>
            <w:noWrap/>
            <w:vAlign w:val="bottom"/>
          </w:tcPr>
          <w:p w:rsidR="0016598F" w:rsidRPr="00CD3A2D" w:rsidRDefault="0016598F" w:rsidP="0016598F">
            <w:pPr>
              <w:jc w:val="right"/>
              <w:rPr>
                <w:rFonts w:ascii="Calibri" w:hAnsi="Calibri"/>
                <w:b/>
                <w:bCs/>
                <w:color w:val="000000"/>
                <w:sz w:val="18"/>
                <w:szCs w:val="18"/>
                <w:lang w:val="hr-HR"/>
              </w:rPr>
            </w:pPr>
          </w:p>
        </w:tc>
        <w:tc>
          <w:tcPr>
            <w:tcW w:w="924" w:type="dxa"/>
            <w:tcBorders>
              <w:top w:val="nil"/>
              <w:left w:val="nil"/>
              <w:bottom w:val="nil"/>
              <w:right w:val="nil"/>
            </w:tcBorders>
            <w:shd w:val="clear" w:color="auto" w:fill="auto"/>
            <w:noWrap/>
            <w:vAlign w:val="bottom"/>
          </w:tcPr>
          <w:p w:rsidR="0016598F" w:rsidRPr="00CD3A2D" w:rsidRDefault="0016598F" w:rsidP="0016598F">
            <w:pPr>
              <w:jc w:val="right"/>
              <w:rPr>
                <w:rFonts w:ascii="Calibri" w:hAnsi="Calibri"/>
                <w:b/>
                <w:bCs/>
                <w:color w:val="000000"/>
                <w:sz w:val="18"/>
                <w:szCs w:val="18"/>
                <w:lang w:val="hr-HR"/>
              </w:rPr>
            </w:pPr>
          </w:p>
        </w:tc>
        <w:tc>
          <w:tcPr>
            <w:tcW w:w="924" w:type="dxa"/>
            <w:tcBorders>
              <w:top w:val="nil"/>
              <w:left w:val="nil"/>
              <w:bottom w:val="nil"/>
              <w:right w:val="nil"/>
            </w:tcBorders>
            <w:shd w:val="clear" w:color="auto" w:fill="auto"/>
            <w:noWrap/>
            <w:vAlign w:val="bottom"/>
          </w:tcPr>
          <w:p w:rsidR="0016598F" w:rsidRPr="00CD3A2D" w:rsidRDefault="0016598F" w:rsidP="0016598F">
            <w:pPr>
              <w:jc w:val="right"/>
              <w:rPr>
                <w:rFonts w:ascii="Calibri" w:hAnsi="Calibri"/>
                <w:b/>
                <w:bCs/>
                <w:color w:val="000000"/>
                <w:sz w:val="18"/>
                <w:szCs w:val="18"/>
                <w:lang w:val="hr-HR"/>
              </w:rPr>
            </w:pPr>
          </w:p>
        </w:tc>
        <w:tc>
          <w:tcPr>
            <w:tcW w:w="924" w:type="dxa"/>
            <w:tcBorders>
              <w:top w:val="nil"/>
              <w:left w:val="nil"/>
              <w:bottom w:val="nil"/>
              <w:right w:val="nil"/>
            </w:tcBorders>
            <w:shd w:val="clear" w:color="auto" w:fill="auto"/>
            <w:noWrap/>
            <w:vAlign w:val="bottom"/>
          </w:tcPr>
          <w:p w:rsidR="0016598F" w:rsidRPr="00CD3A2D" w:rsidRDefault="0016598F" w:rsidP="0016598F">
            <w:pPr>
              <w:jc w:val="right"/>
              <w:rPr>
                <w:rFonts w:ascii="Calibri" w:hAnsi="Calibri"/>
                <w:b/>
                <w:bCs/>
                <w:color w:val="000000"/>
                <w:sz w:val="18"/>
                <w:szCs w:val="18"/>
                <w:lang w:val="hr-HR"/>
              </w:rPr>
            </w:pPr>
          </w:p>
        </w:tc>
      </w:tr>
      <w:tr w:rsidR="0016598F" w:rsidRPr="001567C8" w:rsidTr="0016598F">
        <w:trPr>
          <w:trHeight w:val="311"/>
        </w:trPr>
        <w:tc>
          <w:tcPr>
            <w:tcW w:w="2414" w:type="dxa"/>
            <w:tcBorders>
              <w:top w:val="nil"/>
              <w:left w:val="nil"/>
              <w:bottom w:val="nil"/>
              <w:right w:val="nil"/>
            </w:tcBorders>
            <w:shd w:val="clear" w:color="auto" w:fill="auto"/>
            <w:noWrap/>
            <w:vAlign w:val="bottom"/>
            <w:hideMark/>
          </w:tcPr>
          <w:p w:rsidR="0016598F" w:rsidRPr="00CD3A2D" w:rsidRDefault="0016598F">
            <w:pPr>
              <w:rPr>
                <w:rFonts w:ascii="Calibri" w:hAnsi="Calibri"/>
                <w:color w:val="000000"/>
                <w:sz w:val="18"/>
                <w:szCs w:val="18"/>
                <w:lang w:val="hr-HR"/>
              </w:rPr>
            </w:pPr>
            <w:r w:rsidRPr="00CD3A2D">
              <w:rPr>
                <w:rFonts w:ascii="Calibri" w:hAnsi="Calibri"/>
                <w:color w:val="000000"/>
                <w:sz w:val="18"/>
                <w:szCs w:val="18"/>
                <w:lang w:val="hr-HR"/>
              </w:rPr>
              <w:t>Bruto iznos</w:t>
            </w:r>
          </w:p>
        </w:tc>
        <w:tc>
          <w:tcPr>
            <w:tcW w:w="923"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1.36</w:t>
            </w:r>
            <w:r w:rsidR="009E325B" w:rsidRPr="00CD3A2D">
              <w:rPr>
                <w:rFonts w:ascii="Calibri" w:hAnsi="Calibri"/>
                <w:color w:val="000000"/>
                <w:sz w:val="18"/>
                <w:szCs w:val="18"/>
                <w:lang w:val="hr-HR"/>
              </w:rPr>
              <w:t>5</w:t>
            </w:r>
            <w:r w:rsidRPr="00CD3A2D">
              <w:rPr>
                <w:rFonts w:ascii="Calibri" w:hAnsi="Calibri"/>
                <w:color w:val="000000"/>
                <w:sz w:val="18"/>
                <w:szCs w:val="18"/>
                <w:lang w:val="hr-HR"/>
              </w:rPr>
              <w:t xml:space="preserve">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1.36</w:t>
            </w:r>
            <w:r w:rsidR="009E325B" w:rsidRPr="00CD3A2D">
              <w:rPr>
                <w:rFonts w:ascii="Calibri" w:hAnsi="Calibri"/>
                <w:b/>
                <w:bCs/>
                <w:color w:val="000000"/>
                <w:sz w:val="18"/>
                <w:szCs w:val="18"/>
                <w:lang w:val="hr-HR"/>
              </w:rPr>
              <w:t>5</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 </w:t>
            </w:r>
          </w:p>
        </w:tc>
      </w:tr>
      <w:tr w:rsidR="0016598F" w:rsidRPr="001567C8" w:rsidTr="0016598F">
        <w:trPr>
          <w:trHeight w:val="262"/>
        </w:trPr>
        <w:tc>
          <w:tcPr>
            <w:tcW w:w="2414" w:type="dxa"/>
            <w:tcBorders>
              <w:top w:val="nil"/>
              <w:left w:val="nil"/>
              <w:bottom w:val="nil"/>
              <w:right w:val="nil"/>
            </w:tcBorders>
            <w:shd w:val="clear" w:color="auto" w:fill="auto"/>
            <w:noWrap/>
            <w:vAlign w:val="bottom"/>
            <w:hideMark/>
          </w:tcPr>
          <w:p w:rsidR="0016598F" w:rsidRPr="00CD3A2D" w:rsidRDefault="0016598F">
            <w:pPr>
              <w:rPr>
                <w:rFonts w:ascii="Calibri" w:hAnsi="Calibri"/>
                <w:color w:val="000000"/>
                <w:sz w:val="18"/>
                <w:szCs w:val="18"/>
                <w:lang w:val="hr-HR"/>
              </w:rPr>
            </w:pPr>
            <w:r w:rsidRPr="00CD3A2D">
              <w:rPr>
                <w:rFonts w:ascii="Calibri" w:hAnsi="Calibri"/>
                <w:color w:val="000000"/>
                <w:sz w:val="18"/>
                <w:szCs w:val="18"/>
                <w:lang w:val="hr-HR"/>
              </w:rPr>
              <w:t>Rezerviranja</w:t>
            </w:r>
          </w:p>
        </w:tc>
        <w:tc>
          <w:tcPr>
            <w:tcW w:w="923"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w:t>
            </w:r>
            <w:r w:rsidR="009E325B" w:rsidRPr="00CD3A2D">
              <w:rPr>
                <w:rFonts w:ascii="Calibri" w:hAnsi="Calibri"/>
                <w:color w:val="000000"/>
                <w:sz w:val="18"/>
                <w:szCs w:val="18"/>
                <w:lang w:val="hr-HR"/>
              </w:rPr>
              <w:t>2</w:t>
            </w:r>
            <w:r w:rsidRPr="00CD3A2D">
              <w:rPr>
                <w:rFonts w:ascii="Calibri" w:hAnsi="Calibri"/>
                <w:color w:val="000000"/>
                <w:sz w:val="18"/>
                <w:szCs w:val="18"/>
                <w:lang w:val="hr-HR"/>
              </w:rPr>
              <w:t>)</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w:t>
            </w:r>
            <w:r w:rsidR="009E325B" w:rsidRPr="00CD3A2D">
              <w:rPr>
                <w:rFonts w:ascii="Calibri" w:hAnsi="Calibri"/>
                <w:b/>
                <w:bCs/>
                <w:color w:val="000000"/>
                <w:sz w:val="18"/>
                <w:szCs w:val="18"/>
                <w:lang w:val="hr-HR"/>
              </w:rPr>
              <w:t>2</w:t>
            </w:r>
            <w:r w:rsidRPr="00CD3A2D">
              <w:rPr>
                <w:rFonts w:ascii="Calibri" w:hAnsi="Calibri"/>
                <w:b/>
                <w:bCs/>
                <w:color w:val="000000"/>
                <w:sz w:val="18"/>
                <w:szCs w:val="18"/>
                <w:lang w:val="hr-HR"/>
              </w:rPr>
              <w:t>)</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924" w:type="dxa"/>
            <w:tcBorders>
              <w:top w:val="nil"/>
              <w:left w:val="nil"/>
              <w:bottom w:val="nil"/>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 </w:t>
            </w:r>
          </w:p>
        </w:tc>
      </w:tr>
      <w:tr w:rsidR="0016598F" w:rsidRPr="001567C8" w:rsidTr="0016598F">
        <w:trPr>
          <w:trHeight w:val="327"/>
        </w:trPr>
        <w:tc>
          <w:tcPr>
            <w:tcW w:w="2414" w:type="dxa"/>
            <w:tcBorders>
              <w:top w:val="nil"/>
              <w:left w:val="nil"/>
              <w:bottom w:val="nil"/>
              <w:right w:val="nil"/>
            </w:tcBorders>
            <w:shd w:val="clear" w:color="auto" w:fill="auto"/>
            <w:noWrap/>
            <w:vAlign w:val="bottom"/>
            <w:hideMark/>
          </w:tcPr>
          <w:p w:rsidR="0016598F" w:rsidRPr="00CD3A2D" w:rsidRDefault="0016598F">
            <w:pPr>
              <w:rPr>
                <w:rFonts w:ascii="Calibri" w:hAnsi="Calibri"/>
                <w:b/>
                <w:bCs/>
                <w:color w:val="000000"/>
                <w:sz w:val="18"/>
                <w:szCs w:val="18"/>
                <w:lang w:val="hr-HR"/>
              </w:rPr>
            </w:pPr>
            <w:r w:rsidRPr="00CD3A2D">
              <w:rPr>
                <w:rFonts w:ascii="Calibri" w:hAnsi="Calibri"/>
                <w:b/>
                <w:bCs/>
                <w:color w:val="000000"/>
                <w:sz w:val="18"/>
                <w:szCs w:val="18"/>
                <w:lang w:val="hr-HR"/>
              </w:rPr>
              <w:t xml:space="preserve">Stanje na dan </w:t>
            </w:r>
          </w:p>
          <w:p w:rsidR="0016598F" w:rsidRPr="00CD3A2D" w:rsidRDefault="0016598F">
            <w:pPr>
              <w:rPr>
                <w:rFonts w:ascii="Calibri" w:hAnsi="Calibri"/>
                <w:b/>
                <w:bCs/>
                <w:color w:val="000000"/>
                <w:sz w:val="18"/>
                <w:szCs w:val="18"/>
                <w:lang w:val="hr-HR"/>
              </w:rPr>
            </w:pPr>
            <w:r w:rsidRPr="00CD3A2D">
              <w:rPr>
                <w:rFonts w:ascii="Calibri" w:hAnsi="Calibri"/>
                <w:b/>
                <w:bCs/>
                <w:color w:val="000000"/>
                <w:sz w:val="18"/>
                <w:szCs w:val="18"/>
                <w:lang w:val="hr-HR"/>
              </w:rPr>
              <w:t>31. prosinca 2018. godine</w:t>
            </w:r>
          </w:p>
        </w:tc>
        <w:tc>
          <w:tcPr>
            <w:tcW w:w="923" w:type="dxa"/>
            <w:tcBorders>
              <w:top w:val="single" w:sz="4" w:space="0" w:color="auto"/>
              <w:left w:val="nil"/>
              <w:bottom w:val="single" w:sz="8" w:space="0" w:color="auto"/>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1.363 </w:t>
            </w:r>
          </w:p>
        </w:tc>
        <w:tc>
          <w:tcPr>
            <w:tcW w:w="924" w:type="dxa"/>
            <w:tcBorders>
              <w:top w:val="single" w:sz="4" w:space="0" w:color="auto"/>
              <w:left w:val="nil"/>
              <w:bottom w:val="single" w:sz="8" w:space="0" w:color="auto"/>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1.363 </w:t>
            </w:r>
          </w:p>
        </w:tc>
        <w:tc>
          <w:tcPr>
            <w:tcW w:w="924" w:type="dxa"/>
            <w:tcBorders>
              <w:top w:val="single" w:sz="4" w:space="0" w:color="auto"/>
              <w:left w:val="nil"/>
              <w:bottom w:val="single" w:sz="8" w:space="0" w:color="auto"/>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rsidR="0016598F" w:rsidRPr="00CD3A2D" w:rsidRDefault="0016598F" w:rsidP="00B92A2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 </w:t>
            </w:r>
          </w:p>
        </w:tc>
      </w:tr>
    </w:tbl>
    <w:p w:rsidR="0016598F" w:rsidRPr="001567C8" w:rsidRDefault="0016598F" w:rsidP="006765E1">
      <w:pPr>
        <w:pStyle w:val="T1"/>
        <w:spacing w:before="0" w:after="0" w:line="240" w:lineRule="auto"/>
        <w:rPr>
          <w:rFonts w:asciiTheme="minorHAnsi" w:hAnsiTheme="minorHAnsi" w:cs="Arial"/>
          <w:b w:val="0"/>
          <w:sz w:val="22"/>
          <w:szCs w:val="22"/>
          <w:lang w:val="hr-HR"/>
        </w:rPr>
      </w:pPr>
    </w:p>
    <w:p w:rsidR="009E325B" w:rsidRPr="001567C8" w:rsidRDefault="009E325B" w:rsidP="006765E1">
      <w:pPr>
        <w:pStyle w:val="T1"/>
        <w:spacing w:before="0" w:after="0" w:line="240" w:lineRule="auto"/>
        <w:rPr>
          <w:rFonts w:asciiTheme="minorHAnsi" w:hAnsiTheme="minorHAnsi" w:cs="Arial"/>
          <w:b w:val="0"/>
          <w:sz w:val="22"/>
          <w:szCs w:val="22"/>
          <w:lang w:val="hr-HR"/>
        </w:rPr>
      </w:pPr>
    </w:p>
    <w:p w:rsidR="0016598F" w:rsidRPr="001567C8" w:rsidRDefault="0016598F" w:rsidP="006765E1">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Promjene na rezerviranjima za dužničke vrijednosne papire po amortiziranom trošku mogu se prikazati kako slijedi:</w:t>
      </w:r>
    </w:p>
    <w:p w:rsidR="009E325B" w:rsidRPr="001567C8" w:rsidRDefault="009E325B" w:rsidP="006765E1">
      <w:pPr>
        <w:pStyle w:val="T1"/>
        <w:spacing w:before="0" w:after="0" w:line="240" w:lineRule="auto"/>
        <w:rPr>
          <w:rFonts w:asciiTheme="minorHAnsi" w:hAnsiTheme="minorHAnsi" w:cs="Arial"/>
          <w:b w:val="0"/>
          <w:sz w:val="22"/>
          <w:szCs w:val="22"/>
          <w:lang w:val="hr-HR"/>
        </w:rPr>
      </w:pPr>
    </w:p>
    <w:tbl>
      <w:tblPr>
        <w:tblW w:w="9320" w:type="dxa"/>
        <w:tblLook w:val="04A0" w:firstRow="1" w:lastRow="0" w:firstColumn="1" w:lastColumn="0" w:noHBand="0" w:noVBand="1"/>
      </w:tblPr>
      <w:tblGrid>
        <w:gridCol w:w="4253"/>
        <w:gridCol w:w="1266"/>
        <w:gridCol w:w="1267"/>
        <w:gridCol w:w="1267"/>
        <w:gridCol w:w="1267"/>
      </w:tblGrid>
      <w:tr w:rsidR="009E325B" w:rsidRPr="001567C8" w:rsidTr="003C6BA3">
        <w:trPr>
          <w:trHeight w:val="243"/>
        </w:trPr>
        <w:tc>
          <w:tcPr>
            <w:tcW w:w="4253" w:type="dxa"/>
            <w:tcBorders>
              <w:top w:val="nil"/>
              <w:left w:val="nil"/>
              <w:bottom w:val="nil"/>
              <w:right w:val="nil"/>
            </w:tcBorders>
            <w:shd w:val="clear" w:color="auto" w:fill="auto"/>
            <w:vAlign w:val="center"/>
            <w:hideMark/>
          </w:tcPr>
          <w:p w:rsidR="009E325B" w:rsidRPr="00CD3A2D" w:rsidRDefault="009E325B">
            <w:pPr>
              <w:rPr>
                <w:sz w:val="20"/>
                <w:szCs w:val="20"/>
                <w:lang w:val="hr-HR"/>
              </w:rPr>
            </w:pPr>
          </w:p>
        </w:tc>
        <w:tc>
          <w:tcPr>
            <w:tcW w:w="2533" w:type="dxa"/>
            <w:gridSpan w:val="2"/>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Grupa    </w:t>
            </w:r>
          </w:p>
        </w:tc>
        <w:tc>
          <w:tcPr>
            <w:tcW w:w="2534" w:type="dxa"/>
            <w:gridSpan w:val="2"/>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Banka    </w:t>
            </w:r>
          </w:p>
        </w:tc>
      </w:tr>
      <w:tr w:rsidR="009E325B" w:rsidRPr="001567C8" w:rsidTr="003C6BA3">
        <w:trPr>
          <w:trHeight w:val="147"/>
        </w:trPr>
        <w:tc>
          <w:tcPr>
            <w:tcW w:w="4253"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p>
        </w:tc>
        <w:tc>
          <w:tcPr>
            <w:tcW w:w="1266"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2018.</w:t>
            </w:r>
          </w:p>
        </w:tc>
        <w:tc>
          <w:tcPr>
            <w:tcW w:w="1267"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2017.</w:t>
            </w:r>
          </w:p>
        </w:tc>
        <w:tc>
          <w:tcPr>
            <w:tcW w:w="1267"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2018.</w:t>
            </w:r>
          </w:p>
        </w:tc>
        <w:tc>
          <w:tcPr>
            <w:tcW w:w="1267"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2017.</w:t>
            </w:r>
          </w:p>
        </w:tc>
      </w:tr>
      <w:tr w:rsidR="009E325B" w:rsidRPr="001567C8" w:rsidTr="003C6BA3">
        <w:trPr>
          <w:trHeight w:val="179"/>
        </w:trPr>
        <w:tc>
          <w:tcPr>
            <w:tcW w:w="4253"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p>
        </w:tc>
        <w:tc>
          <w:tcPr>
            <w:tcW w:w="1266"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000 kuna    </w:t>
            </w:r>
          </w:p>
        </w:tc>
        <w:tc>
          <w:tcPr>
            <w:tcW w:w="1267"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000 kuna    </w:t>
            </w:r>
          </w:p>
        </w:tc>
        <w:tc>
          <w:tcPr>
            <w:tcW w:w="1267"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000 kuna    </w:t>
            </w:r>
          </w:p>
        </w:tc>
        <w:tc>
          <w:tcPr>
            <w:tcW w:w="1267" w:type="dxa"/>
            <w:tcBorders>
              <w:top w:val="nil"/>
              <w:left w:val="nil"/>
              <w:bottom w:val="nil"/>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000 kuna    </w:t>
            </w:r>
          </w:p>
        </w:tc>
      </w:tr>
      <w:tr w:rsidR="009E325B" w:rsidRPr="001567C8" w:rsidTr="003C6BA3">
        <w:trPr>
          <w:trHeight w:val="624"/>
        </w:trPr>
        <w:tc>
          <w:tcPr>
            <w:tcW w:w="4253" w:type="dxa"/>
            <w:tcBorders>
              <w:top w:val="nil"/>
              <w:left w:val="nil"/>
              <w:bottom w:val="nil"/>
              <w:right w:val="nil"/>
            </w:tcBorders>
            <w:shd w:val="clear" w:color="auto" w:fill="auto"/>
            <w:vAlign w:val="center"/>
            <w:hideMark/>
          </w:tcPr>
          <w:p w:rsidR="009E325B" w:rsidRPr="00CD3A2D" w:rsidRDefault="009E325B">
            <w:pPr>
              <w:rPr>
                <w:rFonts w:ascii="Calibri" w:hAnsi="Calibri"/>
                <w:color w:val="000000"/>
                <w:sz w:val="20"/>
                <w:szCs w:val="20"/>
                <w:lang w:val="hr-HR"/>
              </w:rPr>
            </w:pPr>
            <w:r w:rsidRPr="00CD3A2D">
              <w:rPr>
                <w:rFonts w:ascii="Calibri" w:hAnsi="Calibri"/>
                <w:color w:val="000000"/>
                <w:sz w:val="20"/>
                <w:szCs w:val="20"/>
                <w:lang w:val="hr-HR"/>
              </w:rPr>
              <w:t>Stanje 1. siječnja 2018. godine – učinak MSFI 9</w:t>
            </w:r>
            <w:r w:rsidR="00AB1265" w:rsidRPr="00CD3A2D">
              <w:rPr>
                <w:rFonts w:ascii="Calibri" w:hAnsi="Calibri"/>
                <w:color w:val="000000"/>
                <w:sz w:val="20"/>
                <w:szCs w:val="20"/>
                <w:lang w:val="hr-HR"/>
              </w:rPr>
              <w:t xml:space="preserve"> (bilješka 5)</w:t>
            </w:r>
          </w:p>
        </w:tc>
        <w:tc>
          <w:tcPr>
            <w:tcW w:w="1266" w:type="dxa"/>
            <w:tcBorders>
              <w:top w:val="nil"/>
              <w:left w:val="nil"/>
              <w:bottom w:val="nil"/>
              <w:right w:val="nil"/>
            </w:tcBorders>
            <w:shd w:val="clear" w:color="auto" w:fill="auto"/>
            <w:vAlign w:val="center"/>
            <w:hideMark/>
          </w:tcPr>
          <w:p w:rsidR="009E325B" w:rsidRPr="00CD3A2D" w:rsidRDefault="009E325B" w:rsidP="00B92A2F">
            <w:pPr>
              <w:jc w:val="right"/>
              <w:rPr>
                <w:rFonts w:ascii="Calibri" w:hAnsi="Calibri"/>
                <w:color w:val="000000"/>
                <w:sz w:val="20"/>
                <w:szCs w:val="20"/>
                <w:lang w:val="hr-HR"/>
              </w:rPr>
            </w:pPr>
            <w:r w:rsidRPr="00CD3A2D">
              <w:rPr>
                <w:rFonts w:ascii="Calibri" w:hAnsi="Calibri"/>
                <w:color w:val="000000"/>
                <w:sz w:val="20"/>
                <w:szCs w:val="20"/>
                <w:lang w:val="hr-HR"/>
              </w:rPr>
              <w:t>2</w:t>
            </w:r>
          </w:p>
        </w:tc>
        <w:tc>
          <w:tcPr>
            <w:tcW w:w="1267" w:type="dxa"/>
            <w:tcBorders>
              <w:top w:val="nil"/>
              <w:left w:val="nil"/>
              <w:bottom w:val="nil"/>
              <w:right w:val="nil"/>
            </w:tcBorders>
            <w:shd w:val="clear" w:color="auto" w:fill="auto"/>
            <w:vAlign w:val="center"/>
            <w:hideMark/>
          </w:tcPr>
          <w:p w:rsidR="009E325B" w:rsidRPr="00CD3A2D" w:rsidRDefault="009E325B">
            <w:pPr>
              <w:jc w:val="right"/>
              <w:rPr>
                <w:rFonts w:ascii="Calibri" w:hAnsi="Calibri"/>
                <w:color w:val="000000"/>
                <w:sz w:val="20"/>
                <w:szCs w:val="20"/>
                <w:lang w:val="hr-HR"/>
              </w:rPr>
            </w:pPr>
            <w:r w:rsidRPr="00CD3A2D">
              <w:rPr>
                <w:rFonts w:ascii="Calibri" w:hAnsi="Calibri"/>
                <w:color w:val="000000"/>
                <w:sz w:val="20"/>
                <w:szCs w:val="20"/>
                <w:lang w:val="hr-HR"/>
              </w:rPr>
              <w:t xml:space="preserve"> n/p    </w:t>
            </w:r>
          </w:p>
        </w:tc>
        <w:tc>
          <w:tcPr>
            <w:tcW w:w="1267" w:type="dxa"/>
            <w:tcBorders>
              <w:top w:val="nil"/>
              <w:left w:val="nil"/>
              <w:bottom w:val="nil"/>
              <w:right w:val="nil"/>
            </w:tcBorders>
            <w:shd w:val="clear" w:color="auto" w:fill="auto"/>
            <w:vAlign w:val="center"/>
            <w:hideMark/>
          </w:tcPr>
          <w:p w:rsidR="009E325B" w:rsidRPr="00CD3A2D" w:rsidRDefault="009E325B">
            <w:pPr>
              <w:jc w:val="right"/>
              <w:rPr>
                <w:rFonts w:ascii="Calibri" w:hAnsi="Calibri"/>
                <w:color w:val="000000"/>
                <w:sz w:val="20"/>
                <w:szCs w:val="20"/>
                <w:lang w:val="hr-HR"/>
              </w:rPr>
            </w:pPr>
            <w:r w:rsidRPr="00CD3A2D">
              <w:rPr>
                <w:rFonts w:ascii="Calibri" w:hAnsi="Calibri"/>
                <w:color w:val="000000"/>
                <w:sz w:val="20"/>
                <w:szCs w:val="20"/>
                <w:lang w:val="hr-HR"/>
              </w:rPr>
              <w:t xml:space="preserve"> -    </w:t>
            </w:r>
          </w:p>
        </w:tc>
        <w:tc>
          <w:tcPr>
            <w:tcW w:w="1267" w:type="dxa"/>
            <w:tcBorders>
              <w:top w:val="nil"/>
              <w:left w:val="nil"/>
              <w:bottom w:val="nil"/>
              <w:right w:val="nil"/>
            </w:tcBorders>
            <w:shd w:val="clear" w:color="auto" w:fill="auto"/>
            <w:vAlign w:val="center"/>
            <w:hideMark/>
          </w:tcPr>
          <w:p w:rsidR="009E325B" w:rsidRPr="00CD3A2D" w:rsidRDefault="009E325B">
            <w:pPr>
              <w:jc w:val="right"/>
              <w:rPr>
                <w:rFonts w:ascii="Calibri" w:hAnsi="Calibri"/>
                <w:color w:val="000000"/>
                <w:sz w:val="20"/>
                <w:szCs w:val="20"/>
                <w:lang w:val="hr-HR"/>
              </w:rPr>
            </w:pPr>
            <w:r w:rsidRPr="00CD3A2D">
              <w:rPr>
                <w:rFonts w:ascii="Calibri" w:hAnsi="Calibri"/>
                <w:color w:val="000000"/>
                <w:sz w:val="20"/>
                <w:szCs w:val="20"/>
                <w:lang w:val="hr-HR"/>
              </w:rPr>
              <w:t xml:space="preserve"> n/p    </w:t>
            </w:r>
          </w:p>
        </w:tc>
      </w:tr>
      <w:tr w:rsidR="009E325B" w:rsidRPr="001567C8" w:rsidTr="003C6BA3">
        <w:trPr>
          <w:trHeight w:val="315"/>
        </w:trPr>
        <w:tc>
          <w:tcPr>
            <w:tcW w:w="4253" w:type="dxa"/>
            <w:tcBorders>
              <w:top w:val="nil"/>
              <w:left w:val="nil"/>
              <w:bottom w:val="nil"/>
              <w:right w:val="nil"/>
            </w:tcBorders>
            <w:shd w:val="clear" w:color="auto" w:fill="auto"/>
            <w:vAlign w:val="center"/>
            <w:hideMark/>
          </w:tcPr>
          <w:p w:rsidR="009E325B" w:rsidRPr="00CD3A2D" w:rsidRDefault="009E325B">
            <w:pPr>
              <w:rPr>
                <w:rFonts w:ascii="Calibri" w:hAnsi="Calibri"/>
                <w:b/>
                <w:bCs/>
                <w:color w:val="000000"/>
                <w:sz w:val="20"/>
                <w:szCs w:val="20"/>
                <w:lang w:val="hr-HR"/>
              </w:rPr>
            </w:pPr>
            <w:r w:rsidRPr="00CD3A2D">
              <w:rPr>
                <w:rFonts w:ascii="Calibri" w:hAnsi="Calibri"/>
                <w:b/>
                <w:bCs/>
                <w:color w:val="000000"/>
                <w:sz w:val="20"/>
                <w:szCs w:val="20"/>
                <w:lang w:val="hr-HR"/>
              </w:rPr>
              <w:t xml:space="preserve">Stanje </w:t>
            </w:r>
            <w:r w:rsidR="007A1538" w:rsidRPr="00CD3A2D">
              <w:rPr>
                <w:rFonts w:ascii="Calibri" w:hAnsi="Calibri"/>
                <w:b/>
                <w:bCs/>
                <w:color w:val="000000"/>
                <w:sz w:val="20"/>
                <w:szCs w:val="20"/>
                <w:lang w:val="hr-HR"/>
              </w:rPr>
              <w:t>31. prosinca 2018. godine</w:t>
            </w:r>
          </w:p>
        </w:tc>
        <w:tc>
          <w:tcPr>
            <w:tcW w:w="1266" w:type="dxa"/>
            <w:tcBorders>
              <w:top w:val="single" w:sz="4" w:space="0" w:color="auto"/>
              <w:left w:val="nil"/>
              <w:bottom w:val="single" w:sz="8" w:space="0" w:color="auto"/>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2 </w:t>
            </w:r>
          </w:p>
        </w:tc>
        <w:tc>
          <w:tcPr>
            <w:tcW w:w="1267" w:type="dxa"/>
            <w:tcBorders>
              <w:top w:val="single" w:sz="4" w:space="0" w:color="auto"/>
              <w:left w:val="nil"/>
              <w:bottom w:val="single" w:sz="8" w:space="0" w:color="auto"/>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n/p    </w:t>
            </w:r>
          </w:p>
        </w:tc>
        <w:tc>
          <w:tcPr>
            <w:tcW w:w="1267" w:type="dxa"/>
            <w:tcBorders>
              <w:top w:val="single" w:sz="4" w:space="0" w:color="auto"/>
              <w:left w:val="nil"/>
              <w:bottom w:val="single" w:sz="8" w:space="0" w:color="auto"/>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    </w:t>
            </w:r>
          </w:p>
        </w:tc>
        <w:tc>
          <w:tcPr>
            <w:tcW w:w="1267" w:type="dxa"/>
            <w:tcBorders>
              <w:top w:val="single" w:sz="4" w:space="0" w:color="auto"/>
              <w:left w:val="nil"/>
              <w:bottom w:val="single" w:sz="8" w:space="0" w:color="auto"/>
              <w:right w:val="nil"/>
            </w:tcBorders>
            <w:shd w:val="clear" w:color="auto" w:fill="auto"/>
            <w:vAlign w:val="center"/>
            <w:hideMark/>
          </w:tcPr>
          <w:p w:rsidR="009E325B" w:rsidRPr="00CD3A2D" w:rsidRDefault="009E325B">
            <w:pPr>
              <w:jc w:val="right"/>
              <w:rPr>
                <w:rFonts w:ascii="Calibri" w:hAnsi="Calibri"/>
                <w:b/>
                <w:bCs/>
                <w:color w:val="000000"/>
                <w:sz w:val="20"/>
                <w:szCs w:val="20"/>
                <w:lang w:val="hr-HR"/>
              </w:rPr>
            </w:pPr>
            <w:r w:rsidRPr="00CD3A2D">
              <w:rPr>
                <w:rFonts w:ascii="Calibri" w:hAnsi="Calibri"/>
                <w:b/>
                <w:bCs/>
                <w:color w:val="000000"/>
                <w:sz w:val="20"/>
                <w:szCs w:val="20"/>
                <w:lang w:val="hr-HR"/>
              </w:rPr>
              <w:t xml:space="preserve"> n/p    </w:t>
            </w:r>
          </w:p>
        </w:tc>
      </w:tr>
    </w:tbl>
    <w:p w:rsidR="009E325B" w:rsidRPr="001567C8" w:rsidRDefault="009E325B" w:rsidP="006765E1">
      <w:pPr>
        <w:pStyle w:val="T1"/>
        <w:spacing w:before="0" w:after="0" w:line="240" w:lineRule="auto"/>
        <w:rPr>
          <w:rFonts w:asciiTheme="minorHAnsi" w:hAnsiTheme="minorHAnsi" w:cs="Arial"/>
          <w:b w:val="0"/>
          <w:sz w:val="22"/>
          <w:szCs w:val="22"/>
          <w:lang w:val="hr-HR"/>
        </w:rPr>
      </w:pPr>
    </w:p>
    <w:p w:rsidR="009E325B" w:rsidRPr="001567C8" w:rsidRDefault="009E325B" w:rsidP="009E325B">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Obveznice Ministarstva financija Republike Hrvatske (RHMF-O-203E), uz valutnu klauzulu,  izdane su dana 5. ožujka 2010. godine, s dospijećem nakon 10 godina, uz kamatnu stopu od 6,5%, na dan 31. </w:t>
      </w:r>
      <w:r w:rsidR="00DA25D1" w:rsidRPr="001567C8">
        <w:rPr>
          <w:rFonts w:asciiTheme="minorHAnsi" w:hAnsiTheme="minorHAnsi" w:cs="Arial"/>
          <w:b w:val="0"/>
          <w:sz w:val="22"/>
          <w:szCs w:val="22"/>
          <w:lang w:val="hr-HR"/>
        </w:rPr>
        <w:t>prosinca</w:t>
      </w:r>
      <w:r w:rsidRPr="001567C8">
        <w:rPr>
          <w:rFonts w:asciiTheme="minorHAnsi" w:hAnsiTheme="minorHAnsi" w:cs="Arial"/>
          <w:b w:val="0"/>
          <w:sz w:val="22"/>
          <w:szCs w:val="22"/>
          <w:lang w:val="hr-HR"/>
        </w:rPr>
        <w:t xml:space="preserve"> 2018. godine iznose 454 tisuća kuna (31. prosinca 2017. godine: 467 tisuća kuna, raspoređene u Imovinu koja se drži do dospijeća).</w:t>
      </w:r>
    </w:p>
    <w:p w:rsidR="00AB1265" w:rsidRPr="001567C8" w:rsidRDefault="00AB1265" w:rsidP="009E325B">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Obveznice Ministarstva financija Republike Hrvatske (RHMF-O-19BA), uz valutnu klauzulu, izdane su dana 29. studenog 2004. godine, s dospijećem nakon 15 godina, uz kamatnu stopu od 5,375%, na dan  31. prosinca 2018. godine iznose 898 tisuća kuna (31. prosinca 2017. godine: 918 tisuća kuna, raspoređene u Imovinu koja se drži do dospijeća).</w:t>
      </w:r>
      <w:r w:rsidRPr="001567C8">
        <w:rPr>
          <w:rFonts w:asciiTheme="minorHAnsi" w:hAnsiTheme="minorHAnsi" w:cs="Arial"/>
          <w:b w:val="0"/>
          <w:sz w:val="22"/>
          <w:szCs w:val="22"/>
          <w:lang w:val="hr-HR"/>
        </w:rPr>
        <w:tab/>
      </w:r>
    </w:p>
    <w:p w:rsidR="00AB1265" w:rsidRPr="001567C8" w:rsidRDefault="00AB1265" w:rsidP="009E325B">
      <w:pPr>
        <w:pStyle w:val="T1"/>
        <w:spacing w:before="0" w:after="0" w:line="240" w:lineRule="auto"/>
        <w:rPr>
          <w:rFonts w:asciiTheme="minorHAnsi" w:hAnsiTheme="minorHAnsi" w:cs="Arial"/>
          <w:b w:val="0"/>
          <w:sz w:val="22"/>
          <w:szCs w:val="22"/>
          <w:lang w:val="hr-HR"/>
        </w:rPr>
        <w:sectPr w:rsidR="00AB1265" w:rsidRPr="001567C8" w:rsidSect="003E2D7A">
          <w:pgSz w:w="11907" w:h="16840" w:code="9"/>
          <w:pgMar w:top="1418" w:right="1134" w:bottom="1134" w:left="1418" w:header="851" w:footer="851" w:gutter="0"/>
          <w:cols w:space="720"/>
          <w:noEndnote/>
        </w:sectPr>
      </w:pPr>
    </w:p>
    <w:p w:rsidR="009E325B" w:rsidRPr="001567C8" w:rsidRDefault="009E325B" w:rsidP="009E325B">
      <w:pPr>
        <w:pStyle w:val="T1"/>
        <w:spacing w:before="0" w:after="0" w:line="240" w:lineRule="auto"/>
        <w:rPr>
          <w:rFonts w:asciiTheme="minorHAnsi" w:hAnsiTheme="minorHAnsi" w:cs="Arial"/>
          <w:b w:val="0"/>
          <w:sz w:val="22"/>
          <w:szCs w:val="22"/>
          <w:lang w:val="hr-HR"/>
        </w:rPr>
      </w:pPr>
    </w:p>
    <w:p w:rsidR="0016598F" w:rsidRPr="001567C8" w:rsidRDefault="00B52585" w:rsidP="006765E1">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20</w:t>
      </w:r>
      <w:r w:rsidR="009E325B" w:rsidRPr="001567C8">
        <w:rPr>
          <w:rFonts w:asciiTheme="minorHAnsi" w:hAnsiTheme="minorHAnsi" w:cs="Arial"/>
          <w:sz w:val="22"/>
          <w:szCs w:val="22"/>
          <w:lang w:val="hr-HR"/>
        </w:rPr>
        <w:t>.</w:t>
      </w:r>
      <w:r w:rsidR="009E325B" w:rsidRPr="001567C8">
        <w:rPr>
          <w:rFonts w:asciiTheme="minorHAnsi" w:hAnsiTheme="minorHAnsi" w:cs="Arial"/>
          <w:sz w:val="22"/>
          <w:szCs w:val="22"/>
          <w:lang w:val="hr-HR"/>
        </w:rPr>
        <w:tab/>
        <w:t>Imovina raspoloživa za prodaju</w:t>
      </w:r>
    </w:p>
    <w:p w:rsidR="009E325B" w:rsidRPr="001567C8" w:rsidRDefault="009E325B" w:rsidP="006765E1">
      <w:pPr>
        <w:pStyle w:val="T1"/>
        <w:spacing w:before="0" w:after="0" w:line="240" w:lineRule="auto"/>
        <w:rPr>
          <w:rFonts w:asciiTheme="minorHAnsi" w:hAnsiTheme="minorHAnsi" w:cs="Arial"/>
          <w:sz w:val="22"/>
          <w:szCs w:val="22"/>
          <w:lang w:val="hr-HR"/>
        </w:rPr>
      </w:pPr>
    </w:p>
    <w:p w:rsidR="009E325B" w:rsidRPr="001567C8" w:rsidRDefault="009E325B" w:rsidP="009E325B">
      <w:pPr>
        <w:tabs>
          <w:tab w:val="left" w:pos="-720"/>
          <w:tab w:val="left" w:pos="567"/>
        </w:tabs>
        <w:jc w:val="both"/>
        <w:rPr>
          <w:rFonts w:ascii="Calibri" w:hAnsi="Calibri" w:cs="Arial"/>
          <w:b/>
          <w:sz w:val="14"/>
          <w:szCs w:val="14"/>
          <w:lang w:val="hr-HR"/>
        </w:rPr>
      </w:pPr>
      <w:bookmarkStart w:id="59" w:name="_Hlk517090806"/>
      <w:r w:rsidRPr="001567C8">
        <w:rPr>
          <w:rFonts w:ascii="Calibri" w:hAnsi="Calibri" w:cs="Arial"/>
          <w:sz w:val="22"/>
          <w:szCs w:val="22"/>
          <w:lang w:val="hr-HR"/>
        </w:rPr>
        <w:t xml:space="preserve">U nastavku se daje pregled ulaganja u financijske instrumente na dan 31. prosinca 2017. godine, sukladno MRS-u 39, koja su se prema MSFI-ju 9 prerasporedila u Financijsku imovinu po fer vrijednosti kroz ostalu sveobuhvatnu dobit i Financijsku imovinu po fer vrijednosti kroz </w:t>
      </w:r>
      <w:r w:rsidR="00316574" w:rsidRPr="001567C8">
        <w:rPr>
          <w:rFonts w:ascii="Calibri" w:hAnsi="Calibri" w:cs="Arial"/>
          <w:sz w:val="22"/>
          <w:szCs w:val="22"/>
          <w:lang w:val="hr-HR"/>
        </w:rPr>
        <w:t>d</w:t>
      </w:r>
      <w:r w:rsidRPr="001567C8">
        <w:rPr>
          <w:rFonts w:ascii="Calibri" w:hAnsi="Calibri" w:cs="Arial"/>
          <w:sz w:val="22"/>
          <w:szCs w:val="22"/>
          <w:lang w:val="hr-HR"/>
        </w:rPr>
        <w:t>obit i</w:t>
      </w:r>
      <w:r w:rsidR="00316574" w:rsidRPr="001567C8">
        <w:rPr>
          <w:rFonts w:ascii="Calibri" w:hAnsi="Calibri" w:cs="Arial"/>
          <w:sz w:val="22"/>
          <w:szCs w:val="22"/>
          <w:lang w:val="hr-HR"/>
        </w:rPr>
        <w:t>li</w:t>
      </w:r>
      <w:r w:rsidRPr="001567C8">
        <w:rPr>
          <w:rFonts w:ascii="Calibri" w:hAnsi="Calibri" w:cs="Arial"/>
          <w:sz w:val="22"/>
          <w:szCs w:val="22"/>
          <w:lang w:val="hr-HR"/>
        </w:rPr>
        <w:t xml:space="preserve"> gubit</w:t>
      </w:r>
      <w:r w:rsidR="00316574" w:rsidRPr="001567C8">
        <w:rPr>
          <w:rFonts w:ascii="Calibri" w:hAnsi="Calibri" w:cs="Arial"/>
          <w:sz w:val="22"/>
          <w:szCs w:val="22"/>
          <w:lang w:val="hr-HR"/>
        </w:rPr>
        <w:t>ak</w:t>
      </w:r>
      <w:r w:rsidRPr="001567C8">
        <w:rPr>
          <w:rFonts w:ascii="Calibri" w:hAnsi="Calibri" w:cs="Arial"/>
          <w:sz w:val="22"/>
          <w:szCs w:val="22"/>
          <w:lang w:val="hr-HR"/>
        </w:rPr>
        <w:t>:</w:t>
      </w:r>
      <w:bookmarkEnd w:id="59"/>
    </w:p>
    <w:p w:rsidR="009E325B" w:rsidRPr="001567C8" w:rsidRDefault="009E325B" w:rsidP="006765E1">
      <w:pPr>
        <w:pStyle w:val="T1"/>
        <w:spacing w:before="0" w:after="0" w:line="240" w:lineRule="auto"/>
        <w:rPr>
          <w:rFonts w:asciiTheme="minorHAnsi" w:hAnsiTheme="minorHAnsi" w:cs="Arial"/>
          <w:sz w:val="22"/>
          <w:szCs w:val="22"/>
          <w:lang w:val="hr-HR"/>
        </w:rPr>
      </w:pPr>
    </w:p>
    <w:tbl>
      <w:tblPr>
        <w:tblpPr w:leftFromText="180" w:rightFromText="180" w:vertAnchor="text" w:horzAnchor="margin" w:tblpXSpec="center" w:tblpY="141"/>
        <w:tblW w:w="4893" w:type="pct"/>
        <w:tblLayout w:type="fixed"/>
        <w:tblCellMar>
          <w:left w:w="122" w:type="dxa"/>
          <w:right w:w="122" w:type="dxa"/>
        </w:tblCellMar>
        <w:tblLook w:val="0000" w:firstRow="0" w:lastRow="0" w:firstColumn="0" w:lastColumn="0" w:noHBand="0" w:noVBand="0"/>
      </w:tblPr>
      <w:tblGrid>
        <w:gridCol w:w="4110"/>
        <w:gridCol w:w="1261"/>
        <w:gridCol w:w="1262"/>
        <w:gridCol w:w="1262"/>
        <w:gridCol w:w="1260"/>
      </w:tblGrid>
      <w:tr w:rsidR="009E325B" w:rsidRPr="001567C8" w:rsidTr="003C6BA3">
        <w:trPr>
          <w:trHeight w:val="75"/>
        </w:trPr>
        <w:tc>
          <w:tcPr>
            <w:tcW w:w="2245" w:type="pct"/>
          </w:tcPr>
          <w:p w:rsidR="009E325B" w:rsidRPr="001567C8" w:rsidRDefault="009E325B" w:rsidP="009E325B">
            <w:pPr>
              <w:tabs>
                <w:tab w:val="right" w:pos="1202"/>
              </w:tabs>
              <w:outlineLvl w:val="0"/>
              <w:rPr>
                <w:rFonts w:ascii="Calibri" w:hAnsi="Calibri" w:cs="Arial"/>
                <w:sz w:val="20"/>
                <w:szCs w:val="20"/>
                <w:lang w:val="hr-HR"/>
              </w:rPr>
            </w:pPr>
            <w:bookmarkStart w:id="60" w:name="_Hlk514251973"/>
          </w:p>
        </w:tc>
        <w:tc>
          <w:tcPr>
            <w:tcW w:w="1378" w:type="pct"/>
            <w:gridSpan w:val="2"/>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Grupa</w:t>
            </w:r>
          </w:p>
        </w:tc>
        <w:tc>
          <w:tcPr>
            <w:tcW w:w="1377" w:type="pct"/>
            <w:gridSpan w:val="2"/>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Banka</w:t>
            </w:r>
          </w:p>
        </w:tc>
      </w:tr>
      <w:tr w:rsidR="009E325B" w:rsidRPr="001567C8" w:rsidTr="003C6BA3">
        <w:trPr>
          <w:trHeight w:hRule="exact" w:val="760"/>
        </w:trPr>
        <w:tc>
          <w:tcPr>
            <w:tcW w:w="2245" w:type="pct"/>
          </w:tcPr>
          <w:p w:rsidR="009E325B" w:rsidRPr="001567C8" w:rsidRDefault="009E325B" w:rsidP="009E325B">
            <w:pPr>
              <w:tabs>
                <w:tab w:val="right" w:pos="1202"/>
              </w:tabs>
              <w:outlineLvl w:val="0"/>
              <w:rPr>
                <w:rFonts w:ascii="Calibri" w:hAnsi="Calibri" w:cs="Arial"/>
                <w:b/>
                <w:sz w:val="20"/>
                <w:szCs w:val="20"/>
                <w:lang w:val="hr-HR"/>
              </w:rPr>
            </w:pPr>
          </w:p>
        </w:tc>
        <w:tc>
          <w:tcPr>
            <w:tcW w:w="689" w:type="pct"/>
            <w:vAlign w:val="center"/>
          </w:tcPr>
          <w:p w:rsidR="009E325B" w:rsidRPr="001567C8" w:rsidRDefault="0001590F" w:rsidP="009E325B">
            <w:pPr>
              <w:tabs>
                <w:tab w:val="right" w:pos="1202"/>
              </w:tabs>
              <w:jc w:val="right"/>
              <w:outlineLvl w:val="0"/>
              <w:rPr>
                <w:rFonts w:ascii="Calibri" w:hAnsi="Calibri" w:cs="Arial"/>
                <w:b/>
                <w:sz w:val="20"/>
                <w:szCs w:val="20"/>
                <w:lang w:val="hr-HR"/>
              </w:rPr>
            </w:pPr>
            <w:r w:rsidRPr="0001590F">
              <w:rPr>
                <w:rFonts w:ascii="Calibri" w:hAnsi="Calibri"/>
                <w:b/>
                <w:bCs/>
                <w:color w:val="000000"/>
                <w:sz w:val="20"/>
                <w:szCs w:val="20"/>
                <w:lang w:val="hr-HR"/>
              </w:rPr>
              <w:t xml:space="preserve">31. prosinca </w:t>
            </w:r>
            <w:r w:rsidR="009E325B" w:rsidRPr="001567C8">
              <w:rPr>
                <w:rFonts w:ascii="Calibri" w:hAnsi="Calibri" w:cs="Arial"/>
                <w:b/>
                <w:sz w:val="20"/>
                <w:szCs w:val="20"/>
                <w:lang w:val="hr-HR"/>
              </w:rPr>
              <w:t>2018.</w:t>
            </w:r>
          </w:p>
        </w:tc>
        <w:tc>
          <w:tcPr>
            <w:tcW w:w="689" w:type="pct"/>
            <w:vAlign w:val="center"/>
          </w:tcPr>
          <w:p w:rsidR="009E325B" w:rsidRPr="001567C8" w:rsidRDefault="0001590F" w:rsidP="009E325B">
            <w:pPr>
              <w:tabs>
                <w:tab w:val="right" w:pos="1202"/>
              </w:tabs>
              <w:jc w:val="right"/>
              <w:outlineLvl w:val="0"/>
              <w:rPr>
                <w:rFonts w:ascii="Calibri" w:hAnsi="Calibri" w:cs="Arial"/>
                <w:b/>
                <w:sz w:val="20"/>
                <w:szCs w:val="20"/>
                <w:lang w:val="hr-HR"/>
              </w:rPr>
            </w:pPr>
            <w:r w:rsidRPr="0001590F">
              <w:rPr>
                <w:rFonts w:ascii="Calibri" w:hAnsi="Calibri"/>
                <w:b/>
                <w:bCs/>
                <w:color w:val="000000"/>
                <w:sz w:val="20"/>
                <w:szCs w:val="20"/>
                <w:lang w:val="hr-HR"/>
              </w:rPr>
              <w:t xml:space="preserve">31. prosinca </w:t>
            </w:r>
            <w:r w:rsidR="009E325B" w:rsidRPr="001567C8">
              <w:rPr>
                <w:rFonts w:ascii="Calibri" w:hAnsi="Calibri" w:cs="Arial"/>
                <w:b/>
                <w:sz w:val="20"/>
                <w:szCs w:val="20"/>
                <w:lang w:val="hr-HR"/>
              </w:rPr>
              <w:t>2017.</w:t>
            </w:r>
          </w:p>
        </w:tc>
        <w:tc>
          <w:tcPr>
            <w:tcW w:w="689" w:type="pct"/>
            <w:vAlign w:val="center"/>
          </w:tcPr>
          <w:p w:rsidR="009E325B" w:rsidRPr="001567C8" w:rsidRDefault="0001590F" w:rsidP="009E325B">
            <w:pPr>
              <w:tabs>
                <w:tab w:val="right" w:pos="1202"/>
              </w:tabs>
              <w:jc w:val="right"/>
              <w:outlineLvl w:val="0"/>
              <w:rPr>
                <w:rFonts w:ascii="Calibri" w:hAnsi="Calibri" w:cs="Arial"/>
                <w:b/>
                <w:sz w:val="20"/>
                <w:szCs w:val="20"/>
                <w:lang w:val="hr-HR"/>
              </w:rPr>
            </w:pPr>
            <w:r w:rsidRPr="0001590F">
              <w:rPr>
                <w:rFonts w:ascii="Calibri" w:hAnsi="Calibri"/>
                <w:b/>
                <w:bCs/>
                <w:color w:val="000000"/>
                <w:sz w:val="20"/>
                <w:szCs w:val="20"/>
                <w:lang w:val="hr-HR"/>
              </w:rPr>
              <w:t xml:space="preserve">31. prosinca </w:t>
            </w:r>
            <w:r w:rsidR="009E325B" w:rsidRPr="001567C8">
              <w:rPr>
                <w:rFonts w:ascii="Calibri" w:hAnsi="Calibri" w:cs="Arial"/>
                <w:b/>
                <w:sz w:val="20"/>
                <w:szCs w:val="20"/>
                <w:lang w:val="hr-HR"/>
              </w:rPr>
              <w:t>2018.</w:t>
            </w:r>
          </w:p>
        </w:tc>
        <w:tc>
          <w:tcPr>
            <w:tcW w:w="688" w:type="pct"/>
            <w:vAlign w:val="center"/>
          </w:tcPr>
          <w:p w:rsidR="009E325B" w:rsidRPr="001567C8" w:rsidRDefault="0001590F" w:rsidP="009E325B">
            <w:pPr>
              <w:tabs>
                <w:tab w:val="right" w:pos="1202"/>
              </w:tabs>
              <w:jc w:val="right"/>
              <w:outlineLvl w:val="0"/>
              <w:rPr>
                <w:rFonts w:ascii="Calibri" w:hAnsi="Calibri" w:cs="Arial"/>
                <w:b/>
                <w:sz w:val="20"/>
                <w:szCs w:val="20"/>
                <w:lang w:val="hr-HR"/>
              </w:rPr>
            </w:pPr>
            <w:r w:rsidRPr="0001590F">
              <w:rPr>
                <w:rFonts w:ascii="Calibri" w:hAnsi="Calibri"/>
                <w:b/>
                <w:bCs/>
                <w:color w:val="000000"/>
                <w:sz w:val="20"/>
                <w:szCs w:val="20"/>
                <w:lang w:val="hr-HR"/>
              </w:rPr>
              <w:t xml:space="preserve">31. prosinca </w:t>
            </w:r>
            <w:r w:rsidR="009E325B" w:rsidRPr="001567C8">
              <w:rPr>
                <w:rFonts w:ascii="Calibri" w:hAnsi="Calibri" w:cs="Arial"/>
                <w:b/>
                <w:sz w:val="20"/>
                <w:szCs w:val="20"/>
                <w:lang w:val="hr-HR"/>
              </w:rPr>
              <w:t>2017.</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b/>
                <w:sz w:val="20"/>
                <w:szCs w:val="20"/>
                <w:lang w:val="hr-HR"/>
              </w:rPr>
            </w:pPr>
          </w:p>
        </w:tc>
        <w:tc>
          <w:tcPr>
            <w:tcW w:w="689" w:type="pct"/>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000 kuna</w:t>
            </w:r>
          </w:p>
        </w:tc>
        <w:tc>
          <w:tcPr>
            <w:tcW w:w="689" w:type="pct"/>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000 kuna</w:t>
            </w:r>
          </w:p>
        </w:tc>
        <w:tc>
          <w:tcPr>
            <w:tcW w:w="689" w:type="pct"/>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000 kuna</w:t>
            </w:r>
          </w:p>
        </w:tc>
        <w:tc>
          <w:tcPr>
            <w:tcW w:w="688" w:type="pct"/>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000 kuna</w:t>
            </w:r>
          </w:p>
        </w:tc>
      </w:tr>
      <w:tr w:rsidR="009E325B" w:rsidRPr="001567C8" w:rsidTr="003C6BA3">
        <w:trPr>
          <w:trHeight w:val="257"/>
        </w:trPr>
        <w:tc>
          <w:tcPr>
            <w:tcW w:w="2245" w:type="pct"/>
          </w:tcPr>
          <w:p w:rsidR="009E325B" w:rsidRPr="001567C8" w:rsidRDefault="009E325B" w:rsidP="009E325B">
            <w:pPr>
              <w:tabs>
                <w:tab w:val="right" w:pos="1202"/>
              </w:tabs>
              <w:outlineLvl w:val="0"/>
              <w:rPr>
                <w:rFonts w:ascii="Calibri" w:hAnsi="Calibri" w:cs="Arial"/>
                <w:b/>
                <w:i/>
                <w:spacing w:val="-2"/>
                <w:sz w:val="20"/>
                <w:szCs w:val="20"/>
                <w:lang w:val="hr-HR"/>
              </w:rPr>
            </w:pPr>
            <w:r w:rsidRPr="001567C8">
              <w:rPr>
                <w:rFonts w:ascii="Calibri" w:hAnsi="Calibri" w:cs="Arial"/>
                <w:b/>
                <w:i/>
                <w:spacing w:val="-2"/>
                <w:sz w:val="20"/>
                <w:szCs w:val="20"/>
                <w:lang w:val="hr-HR"/>
              </w:rPr>
              <w:t>Dužnički vrijednosni papiri:</w:t>
            </w:r>
          </w:p>
        </w:tc>
        <w:tc>
          <w:tcPr>
            <w:tcW w:w="689" w:type="pct"/>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c>
          <w:tcPr>
            <w:tcW w:w="689" w:type="pct"/>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c>
          <w:tcPr>
            <w:tcW w:w="689" w:type="pct"/>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c>
          <w:tcPr>
            <w:tcW w:w="688" w:type="pct"/>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r>
      <w:tr w:rsidR="009E325B" w:rsidRPr="001567C8" w:rsidTr="003C6BA3">
        <w:trPr>
          <w:trHeight w:val="64"/>
        </w:trPr>
        <w:tc>
          <w:tcPr>
            <w:tcW w:w="2245" w:type="pct"/>
          </w:tcPr>
          <w:p w:rsidR="009E325B" w:rsidRPr="001567C8" w:rsidRDefault="009E325B" w:rsidP="009E325B">
            <w:pPr>
              <w:tabs>
                <w:tab w:val="right" w:pos="1202"/>
              </w:tabs>
              <w:outlineLvl w:val="0"/>
              <w:rPr>
                <w:rFonts w:ascii="Calibri" w:hAnsi="Calibri" w:cs="Arial"/>
                <w:b/>
                <w:spacing w:val="-2"/>
                <w:sz w:val="20"/>
                <w:szCs w:val="20"/>
                <w:lang w:val="hr-HR"/>
              </w:rPr>
            </w:pPr>
            <w:r w:rsidRPr="001567C8">
              <w:rPr>
                <w:rFonts w:ascii="Calibri" w:hAnsi="Calibri" w:cs="Arial"/>
                <w:b/>
                <w:spacing w:val="-2"/>
                <w:sz w:val="20"/>
                <w:szCs w:val="20"/>
                <w:lang w:val="hr-HR"/>
              </w:rPr>
              <w:t>Dužnički vrijednosni papiri koji kotiraju:</w:t>
            </w:r>
          </w:p>
        </w:tc>
        <w:tc>
          <w:tcPr>
            <w:tcW w:w="689" w:type="pct"/>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c>
          <w:tcPr>
            <w:tcW w:w="689" w:type="pct"/>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c>
          <w:tcPr>
            <w:tcW w:w="689" w:type="pct"/>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c>
          <w:tcPr>
            <w:tcW w:w="688" w:type="pct"/>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pacing w:val="-2"/>
                <w:sz w:val="20"/>
                <w:szCs w:val="20"/>
                <w:lang w:val="hr-HR"/>
              </w:rPr>
            </w:pPr>
            <w:r w:rsidRPr="001567C8">
              <w:rPr>
                <w:rFonts w:ascii="Calibri" w:hAnsi="Calibri" w:cs="Arial"/>
                <w:spacing w:val="-2"/>
                <w:sz w:val="20"/>
                <w:szCs w:val="20"/>
                <w:lang w:val="hr-HR"/>
              </w:rPr>
              <w:t>Obveznice Republike Hrvatske</w:t>
            </w:r>
          </w:p>
        </w:tc>
        <w:tc>
          <w:tcPr>
            <w:tcW w:w="689" w:type="pct"/>
          </w:tcPr>
          <w:p w:rsidR="009E325B" w:rsidRPr="001567C8" w:rsidRDefault="009E325B" w:rsidP="009E325B">
            <w:pPr>
              <w:tabs>
                <w:tab w:val="right" w:pos="1202"/>
              </w:tabs>
              <w:jc w:val="right"/>
              <w:outlineLvl w:val="0"/>
              <w:rPr>
                <w:rFonts w:ascii="Calibri" w:hAnsi="Calibri" w:cs="Calibri"/>
                <w:sz w:val="20"/>
                <w:szCs w:val="20"/>
                <w:lang w:val="hr-HR"/>
              </w:rPr>
            </w:pPr>
            <w:r w:rsidRPr="001567C8">
              <w:rPr>
                <w:rFonts w:ascii="Calibri" w:hAnsi="Calibri" w:cs="Calibri"/>
                <w:sz w:val="20"/>
                <w:szCs w:val="20"/>
                <w:lang w:val="hr-HR"/>
              </w:rPr>
              <w:t>n/p</w:t>
            </w:r>
          </w:p>
        </w:tc>
        <w:tc>
          <w:tcPr>
            <w:tcW w:w="689" w:type="pct"/>
            <w:vAlign w:val="center"/>
          </w:tcPr>
          <w:p w:rsidR="009E325B" w:rsidRPr="001567C8" w:rsidRDefault="009E325B" w:rsidP="009E325B">
            <w:pPr>
              <w:tabs>
                <w:tab w:val="right" w:pos="1202"/>
              </w:tabs>
              <w:jc w:val="right"/>
              <w:outlineLvl w:val="0"/>
              <w:rPr>
                <w:rFonts w:ascii="Calibri" w:hAnsi="Calibri" w:cs="Calibri"/>
                <w:sz w:val="20"/>
                <w:szCs w:val="20"/>
                <w:lang w:val="hr-HR"/>
              </w:rPr>
            </w:pPr>
            <w:r w:rsidRPr="001567C8">
              <w:rPr>
                <w:rFonts w:ascii="Calibri" w:hAnsi="Calibri" w:cs="Calibri"/>
                <w:sz w:val="20"/>
                <w:szCs w:val="20"/>
                <w:lang w:val="hr-HR"/>
              </w:rPr>
              <w:t>884.763</w:t>
            </w:r>
          </w:p>
        </w:tc>
        <w:tc>
          <w:tcPr>
            <w:tcW w:w="689" w:type="pct"/>
            <w:shd w:val="clear" w:color="auto" w:fill="auto"/>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Calibri"/>
                <w:sz w:val="20"/>
                <w:szCs w:val="20"/>
                <w:lang w:val="hr-HR"/>
              </w:rPr>
              <w:t>n/p</w:t>
            </w:r>
          </w:p>
        </w:tc>
        <w:tc>
          <w:tcPr>
            <w:tcW w:w="688" w:type="pct"/>
            <w:tcBorders>
              <w:top w:val="nil"/>
              <w:left w:val="nil"/>
              <w:bottom w:val="nil"/>
              <w:right w:val="nil"/>
            </w:tcBorders>
            <w:shd w:val="clear" w:color="auto" w:fill="auto"/>
            <w:vAlign w:val="center"/>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sz w:val="20"/>
                <w:szCs w:val="20"/>
                <w:lang w:val="hr-HR"/>
              </w:rPr>
              <w:t>846.428</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pacing w:val="-2"/>
                <w:sz w:val="20"/>
                <w:szCs w:val="20"/>
                <w:lang w:val="hr-HR"/>
              </w:rPr>
            </w:pPr>
            <w:r w:rsidRPr="001567C8">
              <w:rPr>
                <w:rFonts w:ascii="Calibri" w:hAnsi="Calibri"/>
                <w:sz w:val="20"/>
                <w:szCs w:val="20"/>
                <w:lang w:val="hr-HR"/>
              </w:rPr>
              <w:t>Obveznice trgovačkih društava</w:t>
            </w:r>
          </w:p>
        </w:tc>
        <w:tc>
          <w:tcPr>
            <w:tcW w:w="689" w:type="pct"/>
          </w:tcPr>
          <w:p w:rsidR="009E325B" w:rsidRPr="001567C8" w:rsidRDefault="009E325B" w:rsidP="009E325B">
            <w:pPr>
              <w:tabs>
                <w:tab w:val="right" w:pos="1202"/>
              </w:tabs>
              <w:jc w:val="right"/>
              <w:outlineLvl w:val="0"/>
              <w:rPr>
                <w:rFonts w:ascii="Calibri" w:hAnsi="Calibri" w:cs="Calibri"/>
                <w:sz w:val="20"/>
                <w:szCs w:val="20"/>
                <w:lang w:val="hr-HR"/>
              </w:rPr>
            </w:pPr>
            <w:r w:rsidRPr="001567C8">
              <w:rPr>
                <w:rFonts w:ascii="Calibri" w:hAnsi="Calibri" w:cs="Calibri"/>
                <w:sz w:val="20"/>
                <w:szCs w:val="20"/>
                <w:lang w:val="hr-HR"/>
              </w:rPr>
              <w:t>n/p</w:t>
            </w:r>
          </w:p>
        </w:tc>
        <w:tc>
          <w:tcPr>
            <w:tcW w:w="689" w:type="pct"/>
            <w:vAlign w:val="center"/>
          </w:tcPr>
          <w:p w:rsidR="009E325B" w:rsidRPr="001567C8" w:rsidRDefault="009E325B" w:rsidP="009E325B">
            <w:pPr>
              <w:tabs>
                <w:tab w:val="right" w:pos="1202"/>
              </w:tabs>
              <w:jc w:val="right"/>
              <w:outlineLvl w:val="0"/>
              <w:rPr>
                <w:rFonts w:ascii="Calibri" w:hAnsi="Calibri" w:cs="Calibri"/>
                <w:sz w:val="20"/>
                <w:szCs w:val="20"/>
                <w:lang w:val="hr-HR"/>
              </w:rPr>
            </w:pPr>
            <w:r w:rsidRPr="001567C8">
              <w:rPr>
                <w:rFonts w:ascii="Calibri" w:hAnsi="Calibri" w:cs="Calibri"/>
                <w:sz w:val="20"/>
                <w:szCs w:val="20"/>
                <w:lang w:val="hr-HR"/>
              </w:rPr>
              <w:t>770</w:t>
            </w:r>
          </w:p>
        </w:tc>
        <w:tc>
          <w:tcPr>
            <w:tcW w:w="689" w:type="pct"/>
            <w:shd w:val="clear" w:color="auto" w:fill="auto"/>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Calibri"/>
                <w:sz w:val="20"/>
                <w:szCs w:val="20"/>
                <w:lang w:val="hr-HR"/>
              </w:rPr>
              <w:t>n/p</w:t>
            </w:r>
          </w:p>
        </w:tc>
        <w:tc>
          <w:tcPr>
            <w:tcW w:w="688" w:type="pct"/>
            <w:tcBorders>
              <w:top w:val="nil"/>
              <w:left w:val="nil"/>
              <w:bottom w:val="nil"/>
              <w:right w:val="nil"/>
            </w:tcBorders>
            <w:shd w:val="clear" w:color="auto" w:fill="auto"/>
            <w:vAlign w:val="center"/>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sz w:val="20"/>
                <w:szCs w:val="20"/>
                <w:lang w:val="hr-HR"/>
              </w:rPr>
              <w:t>-</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pacing w:val="-2"/>
                <w:sz w:val="20"/>
                <w:szCs w:val="20"/>
                <w:lang w:val="hr-HR"/>
              </w:rPr>
            </w:pPr>
            <w:r w:rsidRPr="001567C8">
              <w:rPr>
                <w:rFonts w:ascii="Calibri" w:hAnsi="Calibri" w:cs="Arial"/>
                <w:spacing w:val="-2"/>
                <w:sz w:val="20"/>
                <w:szCs w:val="20"/>
                <w:lang w:val="hr-HR"/>
              </w:rPr>
              <w:t>Trezorski zapisi Ministarstva financija</w:t>
            </w:r>
          </w:p>
        </w:tc>
        <w:tc>
          <w:tcPr>
            <w:tcW w:w="689" w:type="pct"/>
          </w:tcPr>
          <w:p w:rsidR="009E325B" w:rsidRPr="001567C8" w:rsidRDefault="009E325B" w:rsidP="009E325B">
            <w:pPr>
              <w:tabs>
                <w:tab w:val="right" w:pos="1202"/>
              </w:tabs>
              <w:jc w:val="right"/>
              <w:outlineLvl w:val="0"/>
              <w:rPr>
                <w:rFonts w:ascii="Calibri" w:hAnsi="Calibri" w:cs="Calibri"/>
                <w:sz w:val="20"/>
                <w:szCs w:val="20"/>
                <w:lang w:val="hr-HR"/>
              </w:rPr>
            </w:pPr>
            <w:r w:rsidRPr="001567C8">
              <w:rPr>
                <w:rFonts w:ascii="Calibri" w:hAnsi="Calibri" w:cs="Calibri"/>
                <w:sz w:val="20"/>
                <w:szCs w:val="20"/>
                <w:lang w:val="hr-HR"/>
              </w:rPr>
              <w:t>n/p</w:t>
            </w:r>
          </w:p>
        </w:tc>
        <w:tc>
          <w:tcPr>
            <w:tcW w:w="689" w:type="pct"/>
            <w:vAlign w:val="center"/>
          </w:tcPr>
          <w:p w:rsidR="009E325B" w:rsidRPr="001567C8" w:rsidRDefault="009E325B" w:rsidP="009E325B">
            <w:pPr>
              <w:tabs>
                <w:tab w:val="right" w:pos="1202"/>
              </w:tabs>
              <w:jc w:val="right"/>
              <w:outlineLvl w:val="0"/>
              <w:rPr>
                <w:rFonts w:ascii="Calibri" w:hAnsi="Calibri" w:cs="Calibri"/>
                <w:sz w:val="20"/>
                <w:szCs w:val="20"/>
                <w:lang w:val="hr-HR"/>
              </w:rPr>
            </w:pPr>
            <w:r w:rsidRPr="001567C8">
              <w:rPr>
                <w:rFonts w:ascii="Calibri" w:hAnsi="Calibri" w:cs="Calibri"/>
                <w:sz w:val="20"/>
                <w:szCs w:val="20"/>
                <w:lang w:val="hr-HR"/>
              </w:rPr>
              <w:t>1.583.313</w:t>
            </w:r>
          </w:p>
        </w:tc>
        <w:tc>
          <w:tcPr>
            <w:tcW w:w="689" w:type="pct"/>
            <w:shd w:val="clear" w:color="auto" w:fill="auto"/>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Calibri"/>
                <w:sz w:val="20"/>
                <w:szCs w:val="20"/>
                <w:lang w:val="hr-HR"/>
              </w:rPr>
              <w:t>n/p</w:t>
            </w:r>
          </w:p>
        </w:tc>
        <w:tc>
          <w:tcPr>
            <w:tcW w:w="688" w:type="pct"/>
            <w:tcBorders>
              <w:top w:val="nil"/>
              <w:left w:val="nil"/>
              <w:bottom w:val="nil"/>
              <w:right w:val="nil"/>
            </w:tcBorders>
            <w:shd w:val="clear" w:color="auto" w:fill="auto"/>
            <w:vAlign w:val="center"/>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sz w:val="20"/>
                <w:szCs w:val="20"/>
                <w:lang w:val="hr-HR"/>
              </w:rPr>
              <w:t>1.583.313</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pacing w:val="-2"/>
                <w:sz w:val="20"/>
                <w:szCs w:val="20"/>
                <w:lang w:val="hr-HR"/>
              </w:rPr>
            </w:pPr>
            <w:r w:rsidRPr="001567C8">
              <w:rPr>
                <w:rFonts w:ascii="Calibri" w:hAnsi="Calibri" w:cs="Arial"/>
                <w:spacing w:val="-2"/>
                <w:sz w:val="20"/>
                <w:szCs w:val="20"/>
                <w:lang w:val="hr-HR"/>
              </w:rPr>
              <w:t xml:space="preserve">Obračunata kamata </w:t>
            </w:r>
          </w:p>
        </w:tc>
        <w:tc>
          <w:tcPr>
            <w:tcW w:w="689" w:type="pct"/>
            <w:tcBorders>
              <w:bottom w:val="single" w:sz="4" w:space="0" w:color="auto"/>
            </w:tcBorders>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sz w:val="20"/>
                <w:szCs w:val="20"/>
                <w:lang w:val="hr-HR"/>
              </w:rPr>
              <w:t>n/p</w:t>
            </w:r>
          </w:p>
        </w:tc>
        <w:tc>
          <w:tcPr>
            <w:tcW w:w="689" w:type="pct"/>
            <w:tcBorders>
              <w:bottom w:val="single" w:sz="4" w:space="0" w:color="auto"/>
            </w:tcBorders>
            <w:vAlign w:val="center"/>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color w:val="000000"/>
                <w:sz w:val="20"/>
                <w:szCs w:val="20"/>
                <w:lang w:val="hr-HR"/>
              </w:rPr>
              <w:t>13.836</w:t>
            </w:r>
          </w:p>
        </w:tc>
        <w:tc>
          <w:tcPr>
            <w:tcW w:w="689" w:type="pct"/>
            <w:tcBorders>
              <w:bottom w:val="single" w:sz="4" w:space="0" w:color="auto"/>
            </w:tcBorders>
            <w:shd w:val="clear" w:color="auto" w:fill="auto"/>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Calibri"/>
                <w:sz w:val="20"/>
                <w:szCs w:val="20"/>
                <w:lang w:val="hr-HR"/>
              </w:rPr>
              <w:t>n/p</w:t>
            </w:r>
          </w:p>
        </w:tc>
        <w:tc>
          <w:tcPr>
            <w:tcW w:w="688" w:type="pct"/>
            <w:tcBorders>
              <w:top w:val="nil"/>
              <w:left w:val="nil"/>
              <w:bottom w:val="single" w:sz="2" w:space="0" w:color="auto"/>
              <w:right w:val="nil"/>
            </w:tcBorders>
            <w:shd w:val="clear" w:color="auto" w:fill="auto"/>
            <w:vAlign w:val="center"/>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olor w:val="000000"/>
                <w:sz w:val="20"/>
                <w:szCs w:val="20"/>
                <w:lang w:val="hr-HR"/>
              </w:rPr>
              <w:t>13.269</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pacing w:val="-2"/>
                <w:sz w:val="20"/>
                <w:szCs w:val="20"/>
                <w:lang w:val="hr-HR"/>
              </w:rPr>
            </w:pP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cs="Arial"/>
                <w:b/>
                <w:spacing w:val="-2"/>
                <w:sz w:val="20"/>
                <w:szCs w:val="20"/>
                <w:lang w:val="hr-HR" w:eastAsia="hr-HR"/>
              </w:rPr>
            </w:pPr>
            <w:r w:rsidRPr="001567C8">
              <w:rPr>
                <w:rFonts w:ascii="Calibri" w:hAnsi="Calibri" w:cs="Calibri"/>
                <w:b/>
                <w:sz w:val="20"/>
                <w:szCs w:val="20"/>
                <w:lang w:val="hr-HR"/>
              </w:rPr>
              <w:t>n/p</w:t>
            </w: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cs="Arial"/>
                <w:b/>
                <w:spacing w:val="-2"/>
                <w:sz w:val="20"/>
                <w:szCs w:val="20"/>
                <w:lang w:val="hr-HR" w:eastAsia="hr-HR"/>
              </w:rPr>
            </w:pPr>
            <w:r w:rsidRPr="001567C8">
              <w:rPr>
                <w:rFonts w:ascii="Calibri" w:hAnsi="Calibri" w:cs="Arial"/>
                <w:b/>
                <w:spacing w:val="-2"/>
                <w:sz w:val="20"/>
                <w:szCs w:val="20"/>
                <w:lang w:val="hr-HR" w:eastAsia="hr-HR"/>
              </w:rPr>
              <w:t>2.482.682</w:t>
            </w: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cs="Arial"/>
                <w:b/>
                <w:spacing w:val="-2"/>
                <w:sz w:val="20"/>
                <w:szCs w:val="20"/>
                <w:lang w:val="hr-HR" w:eastAsia="hr-HR"/>
              </w:rPr>
            </w:pPr>
            <w:r w:rsidRPr="001567C8">
              <w:rPr>
                <w:rFonts w:ascii="Calibri" w:hAnsi="Calibri" w:cs="Calibri"/>
                <w:b/>
                <w:sz w:val="20"/>
                <w:szCs w:val="20"/>
                <w:lang w:val="hr-HR"/>
              </w:rPr>
              <w:t>n/p</w:t>
            </w:r>
          </w:p>
        </w:tc>
        <w:tc>
          <w:tcPr>
            <w:tcW w:w="688" w:type="pct"/>
            <w:tcBorders>
              <w:top w:val="single" w:sz="2" w:space="0" w:color="auto"/>
              <w:bottom w:val="single" w:sz="12" w:space="0" w:color="auto"/>
            </w:tcBorders>
            <w:vAlign w:val="bottom"/>
          </w:tcPr>
          <w:p w:rsidR="009E325B" w:rsidRPr="001567C8" w:rsidRDefault="009E325B" w:rsidP="009E325B">
            <w:pPr>
              <w:tabs>
                <w:tab w:val="right" w:pos="1202"/>
              </w:tabs>
              <w:jc w:val="right"/>
              <w:outlineLvl w:val="0"/>
              <w:rPr>
                <w:rFonts w:ascii="Calibri" w:hAnsi="Calibri" w:cs="Arial"/>
                <w:b/>
                <w:spacing w:val="-2"/>
                <w:sz w:val="20"/>
                <w:szCs w:val="20"/>
                <w:lang w:val="hr-HR" w:eastAsia="hr-HR"/>
              </w:rPr>
            </w:pPr>
            <w:r w:rsidRPr="001567C8">
              <w:rPr>
                <w:rFonts w:ascii="Calibri" w:hAnsi="Calibri" w:cs="Arial"/>
                <w:b/>
                <w:spacing w:val="-2"/>
                <w:sz w:val="20"/>
                <w:szCs w:val="20"/>
                <w:lang w:val="hr-HR" w:eastAsia="hr-HR"/>
              </w:rPr>
              <w:t>2.443.010</w:t>
            </w:r>
          </w:p>
        </w:tc>
      </w:tr>
      <w:tr w:rsidR="009E325B" w:rsidRPr="001567C8" w:rsidTr="003C6BA3">
        <w:trPr>
          <w:trHeight w:hRule="exact" w:val="273"/>
        </w:trPr>
        <w:tc>
          <w:tcPr>
            <w:tcW w:w="2245" w:type="pct"/>
          </w:tcPr>
          <w:p w:rsidR="009E325B" w:rsidRPr="001567C8" w:rsidRDefault="009E325B" w:rsidP="009E325B">
            <w:pPr>
              <w:tabs>
                <w:tab w:val="right" w:pos="1202"/>
              </w:tabs>
              <w:outlineLvl w:val="0"/>
              <w:rPr>
                <w:rFonts w:ascii="Calibri" w:hAnsi="Calibri" w:cs="Arial"/>
                <w:b/>
                <w:i/>
                <w:spacing w:val="-2"/>
                <w:sz w:val="20"/>
                <w:szCs w:val="20"/>
                <w:lang w:val="hr-HR"/>
              </w:rPr>
            </w:pPr>
            <w:r w:rsidRPr="001567C8">
              <w:rPr>
                <w:rFonts w:ascii="Calibri" w:hAnsi="Calibri"/>
                <w:b/>
                <w:sz w:val="20"/>
                <w:szCs w:val="20"/>
                <w:lang w:val="hr-HR"/>
              </w:rPr>
              <w:t>Dužnički vrijednosni papiri koji ne kotiraju:</w:t>
            </w:r>
          </w:p>
        </w:tc>
        <w:tc>
          <w:tcPr>
            <w:tcW w:w="689" w:type="pct"/>
            <w:tcBorders>
              <w:top w:val="single" w:sz="12" w:space="0" w:color="auto"/>
            </w:tcBorders>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c>
          <w:tcPr>
            <w:tcW w:w="689" w:type="pct"/>
            <w:tcBorders>
              <w:top w:val="single" w:sz="12" w:space="0" w:color="auto"/>
            </w:tcBorders>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c>
          <w:tcPr>
            <w:tcW w:w="689" w:type="pct"/>
            <w:tcBorders>
              <w:top w:val="single" w:sz="12" w:space="0" w:color="auto"/>
            </w:tcBorders>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c>
          <w:tcPr>
            <w:tcW w:w="688" w:type="pct"/>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b/>
                <w:i/>
                <w:spacing w:val="-2"/>
                <w:sz w:val="20"/>
                <w:szCs w:val="20"/>
                <w:lang w:val="hr-HR"/>
              </w:rPr>
            </w:pPr>
            <w:r w:rsidRPr="001567C8">
              <w:rPr>
                <w:rFonts w:ascii="Calibri" w:hAnsi="Calibri"/>
                <w:sz w:val="20"/>
                <w:szCs w:val="20"/>
                <w:lang w:val="hr-HR"/>
              </w:rPr>
              <w:t>Obveznice trgovačkih društava</w:t>
            </w:r>
          </w:p>
        </w:tc>
        <w:tc>
          <w:tcPr>
            <w:tcW w:w="689" w:type="pct"/>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sz w:val="20"/>
                <w:szCs w:val="20"/>
                <w:lang w:val="hr-HR"/>
              </w:rPr>
              <w:t>n/p</w:t>
            </w:r>
          </w:p>
        </w:tc>
        <w:tc>
          <w:tcPr>
            <w:tcW w:w="689" w:type="pct"/>
            <w:vAlign w:val="bottom"/>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color w:val="000000"/>
                <w:sz w:val="20"/>
                <w:szCs w:val="20"/>
                <w:lang w:val="hr-HR"/>
              </w:rPr>
              <w:t>522</w:t>
            </w:r>
          </w:p>
        </w:tc>
        <w:tc>
          <w:tcPr>
            <w:tcW w:w="689" w:type="pct"/>
            <w:shd w:val="clear" w:color="auto" w:fill="auto"/>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Calibri"/>
                <w:sz w:val="20"/>
                <w:szCs w:val="20"/>
                <w:lang w:val="hr-HR"/>
              </w:rPr>
              <w:t>n/p</w:t>
            </w:r>
          </w:p>
        </w:tc>
        <w:tc>
          <w:tcPr>
            <w:tcW w:w="688" w:type="pct"/>
            <w:tcBorders>
              <w:top w:val="nil"/>
              <w:left w:val="nil"/>
              <w:bottom w:val="nil"/>
              <w:right w:val="nil"/>
            </w:tcBorders>
            <w:shd w:val="clear" w:color="auto" w:fill="auto"/>
            <w:vAlign w:val="bottom"/>
          </w:tcPr>
          <w:p w:rsidR="009E325B" w:rsidRPr="001567C8" w:rsidDel="00561A80" w:rsidRDefault="009E325B" w:rsidP="009E325B">
            <w:pPr>
              <w:tabs>
                <w:tab w:val="right" w:pos="1202"/>
              </w:tabs>
              <w:jc w:val="right"/>
              <w:outlineLvl w:val="0"/>
              <w:rPr>
                <w:rFonts w:ascii="Calibri" w:hAnsi="Calibri"/>
                <w:color w:val="000000"/>
                <w:sz w:val="20"/>
                <w:szCs w:val="20"/>
                <w:lang w:val="hr-HR"/>
              </w:rPr>
            </w:pPr>
            <w:r w:rsidRPr="001567C8">
              <w:rPr>
                <w:rFonts w:ascii="Calibri" w:hAnsi="Calibri"/>
                <w:color w:val="000000"/>
                <w:sz w:val="20"/>
                <w:szCs w:val="20"/>
                <w:lang w:val="hr-HR"/>
              </w:rPr>
              <w:t xml:space="preserve">  522 </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b/>
                <w:i/>
                <w:spacing w:val="-2"/>
                <w:sz w:val="20"/>
                <w:szCs w:val="20"/>
                <w:lang w:val="hr-HR"/>
              </w:rPr>
            </w:pPr>
            <w:r w:rsidRPr="001567C8">
              <w:rPr>
                <w:rFonts w:ascii="Calibri" w:hAnsi="Calibri"/>
                <w:sz w:val="20"/>
                <w:szCs w:val="20"/>
                <w:lang w:val="hr-HR"/>
              </w:rPr>
              <w:t xml:space="preserve">Obračunata kamata </w:t>
            </w:r>
          </w:p>
        </w:tc>
        <w:tc>
          <w:tcPr>
            <w:tcW w:w="689" w:type="pct"/>
            <w:tcBorders>
              <w:bottom w:val="single" w:sz="4" w:space="0" w:color="auto"/>
            </w:tcBorders>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sz w:val="20"/>
                <w:szCs w:val="20"/>
                <w:lang w:val="hr-HR"/>
              </w:rPr>
              <w:t>n/p</w:t>
            </w:r>
          </w:p>
        </w:tc>
        <w:tc>
          <w:tcPr>
            <w:tcW w:w="689" w:type="pct"/>
            <w:tcBorders>
              <w:bottom w:val="single" w:sz="4" w:space="0" w:color="auto"/>
            </w:tcBorders>
            <w:vAlign w:val="bottom"/>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color w:val="000000"/>
                <w:sz w:val="20"/>
                <w:szCs w:val="20"/>
                <w:lang w:val="hr-HR"/>
              </w:rPr>
              <w:t>167</w:t>
            </w:r>
          </w:p>
        </w:tc>
        <w:tc>
          <w:tcPr>
            <w:tcW w:w="689" w:type="pct"/>
            <w:tcBorders>
              <w:bottom w:val="single" w:sz="4" w:space="0" w:color="auto"/>
            </w:tcBorders>
            <w:shd w:val="clear" w:color="auto" w:fill="auto"/>
          </w:tcPr>
          <w:p w:rsidR="009E325B" w:rsidRPr="001567C8" w:rsidDel="00561A80"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Calibri"/>
                <w:sz w:val="20"/>
                <w:szCs w:val="20"/>
                <w:lang w:val="hr-HR"/>
              </w:rPr>
              <w:t>n/p</w:t>
            </w:r>
          </w:p>
        </w:tc>
        <w:tc>
          <w:tcPr>
            <w:tcW w:w="688" w:type="pct"/>
            <w:tcBorders>
              <w:top w:val="nil"/>
              <w:left w:val="nil"/>
              <w:bottom w:val="nil"/>
              <w:right w:val="nil"/>
            </w:tcBorders>
            <w:shd w:val="clear" w:color="auto" w:fill="auto"/>
            <w:vAlign w:val="bottom"/>
          </w:tcPr>
          <w:p w:rsidR="009E325B" w:rsidRPr="001567C8" w:rsidDel="00561A80" w:rsidRDefault="009E325B" w:rsidP="009E325B">
            <w:pPr>
              <w:tabs>
                <w:tab w:val="right" w:pos="1202"/>
              </w:tabs>
              <w:jc w:val="right"/>
              <w:outlineLvl w:val="0"/>
              <w:rPr>
                <w:rFonts w:ascii="Calibri" w:hAnsi="Calibri"/>
                <w:color w:val="000000"/>
                <w:sz w:val="20"/>
                <w:szCs w:val="20"/>
                <w:lang w:val="hr-HR"/>
              </w:rPr>
            </w:pPr>
            <w:r w:rsidRPr="001567C8">
              <w:rPr>
                <w:rFonts w:ascii="Calibri" w:hAnsi="Calibri"/>
                <w:color w:val="000000"/>
                <w:sz w:val="20"/>
                <w:szCs w:val="20"/>
                <w:lang w:val="hr-HR"/>
              </w:rPr>
              <w:t xml:space="preserve">   167 </w:t>
            </w:r>
          </w:p>
        </w:tc>
      </w:tr>
      <w:tr w:rsidR="009E325B" w:rsidRPr="001567C8" w:rsidTr="003C6BA3">
        <w:trPr>
          <w:trHeight w:val="162"/>
        </w:trPr>
        <w:tc>
          <w:tcPr>
            <w:tcW w:w="2245" w:type="pct"/>
          </w:tcPr>
          <w:p w:rsidR="009E325B" w:rsidRPr="001567C8" w:rsidRDefault="009E325B" w:rsidP="009E325B">
            <w:pPr>
              <w:tabs>
                <w:tab w:val="right" w:pos="1202"/>
              </w:tabs>
              <w:outlineLvl w:val="0"/>
              <w:rPr>
                <w:rFonts w:ascii="Calibri" w:hAnsi="Calibri"/>
                <w:sz w:val="20"/>
                <w:szCs w:val="20"/>
                <w:lang w:val="hr-HR"/>
              </w:rPr>
            </w:pP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cs="Arial"/>
                <w:b/>
                <w:spacing w:val="-2"/>
                <w:sz w:val="20"/>
                <w:szCs w:val="20"/>
                <w:lang w:val="hr-HR"/>
              </w:rPr>
            </w:pPr>
            <w:r w:rsidRPr="001567C8">
              <w:rPr>
                <w:rFonts w:ascii="Calibri" w:hAnsi="Calibri" w:cs="Calibri"/>
                <w:b/>
                <w:sz w:val="20"/>
                <w:szCs w:val="20"/>
                <w:lang w:val="hr-HR"/>
              </w:rPr>
              <w:t>n/p</w:t>
            </w: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cs="Arial"/>
                <w:b/>
                <w:spacing w:val="-2"/>
                <w:sz w:val="20"/>
                <w:szCs w:val="20"/>
                <w:lang w:val="hr-HR"/>
              </w:rPr>
            </w:pPr>
            <w:r w:rsidRPr="001567C8">
              <w:rPr>
                <w:rFonts w:ascii="Calibri" w:hAnsi="Calibri" w:cs="Arial"/>
                <w:b/>
                <w:spacing w:val="-2"/>
                <w:sz w:val="20"/>
                <w:szCs w:val="20"/>
                <w:lang w:val="hr-HR"/>
              </w:rPr>
              <w:t>689</w:t>
            </w:r>
          </w:p>
        </w:tc>
        <w:tc>
          <w:tcPr>
            <w:tcW w:w="689" w:type="pct"/>
            <w:tcBorders>
              <w:top w:val="single" w:sz="4" w:space="0" w:color="auto"/>
              <w:bottom w:val="single" w:sz="12" w:space="0" w:color="auto"/>
            </w:tcBorders>
          </w:tcPr>
          <w:p w:rsidR="009E325B" w:rsidRPr="001567C8" w:rsidDel="00561A80" w:rsidRDefault="009E325B" w:rsidP="009E325B">
            <w:pPr>
              <w:tabs>
                <w:tab w:val="right" w:pos="1202"/>
              </w:tabs>
              <w:jc w:val="right"/>
              <w:outlineLvl w:val="0"/>
              <w:rPr>
                <w:rFonts w:ascii="Calibri" w:hAnsi="Calibri" w:cs="Arial"/>
                <w:b/>
                <w:spacing w:val="-2"/>
                <w:sz w:val="20"/>
                <w:szCs w:val="20"/>
                <w:lang w:val="hr-HR"/>
              </w:rPr>
            </w:pPr>
            <w:r w:rsidRPr="001567C8">
              <w:rPr>
                <w:rFonts w:ascii="Calibri" w:hAnsi="Calibri" w:cs="Calibri"/>
                <w:b/>
                <w:sz w:val="20"/>
                <w:szCs w:val="20"/>
                <w:lang w:val="hr-HR"/>
              </w:rPr>
              <w:t>n/p</w:t>
            </w:r>
          </w:p>
        </w:tc>
        <w:tc>
          <w:tcPr>
            <w:tcW w:w="688" w:type="pct"/>
            <w:tcBorders>
              <w:top w:val="single" w:sz="2" w:space="0" w:color="auto"/>
              <w:bottom w:val="single" w:sz="12" w:space="0" w:color="auto"/>
            </w:tcBorders>
          </w:tcPr>
          <w:p w:rsidR="009E325B" w:rsidRPr="001567C8" w:rsidDel="00561A80" w:rsidRDefault="009E325B" w:rsidP="009E325B">
            <w:pPr>
              <w:tabs>
                <w:tab w:val="right" w:pos="1202"/>
              </w:tabs>
              <w:jc w:val="right"/>
              <w:outlineLvl w:val="0"/>
              <w:rPr>
                <w:rFonts w:ascii="Calibri" w:hAnsi="Calibri" w:cs="Arial"/>
                <w:b/>
                <w:spacing w:val="-2"/>
                <w:sz w:val="20"/>
                <w:szCs w:val="20"/>
                <w:lang w:val="hr-HR"/>
              </w:rPr>
            </w:pPr>
            <w:r w:rsidRPr="001567C8">
              <w:rPr>
                <w:rFonts w:ascii="Calibri" w:hAnsi="Calibri" w:cs="Arial"/>
                <w:b/>
                <w:spacing w:val="-2"/>
                <w:sz w:val="20"/>
                <w:szCs w:val="20"/>
                <w:lang w:val="hr-HR"/>
              </w:rPr>
              <w:t>689</w:t>
            </w:r>
          </w:p>
        </w:tc>
      </w:tr>
      <w:tr w:rsidR="009E325B" w:rsidRPr="001567C8" w:rsidTr="003C6BA3">
        <w:trPr>
          <w:trHeight w:hRule="exact" w:val="278"/>
        </w:trPr>
        <w:tc>
          <w:tcPr>
            <w:tcW w:w="2245" w:type="pct"/>
            <w:tcBorders>
              <w:top w:val="nil"/>
              <w:left w:val="nil"/>
              <w:bottom w:val="nil"/>
              <w:right w:val="nil"/>
            </w:tcBorders>
            <w:shd w:val="clear" w:color="auto" w:fill="auto"/>
            <w:vAlign w:val="center"/>
          </w:tcPr>
          <w:p w:rsidR="009E325B" w:rsidRPr="001567C8" w:rsidRDefault="009E325B" w:rsidP="009E325B">
            <w:pPr>
              <w:tabs>
                <w:tab w:val="right" w:pos="1202"/>
              </w:tabs>
              <w:outlineLvl w:val="0"/>
              <w:rPr>
                <w:rFonts w:ascii="Calibri" w:hAnsi="Calibri"/>
                <w:sz w:val="20"/>
                <w:szCs w:val="20"/>
                <w:lang w:val="hr-HR"/>
              </w:rPr>
            </w:pPr>
            <w:r w:rsidRPr="001567C8">
              <w:rPr>
                <w:rFonts w:ascii="Calibri" w:hAnsi="Calibri"/>
                <w:b/>
                <w:bCs/>
                <w:i/>
                <w:iCs/>
                <w:color w:val="000000"/>
                <w:sz w:val="20"/>
                <w:szCs w:val="20"/>
                <w:lang w:val="hr-HR"/>
              </w:rPr>
              <w:t>Vlasnički vrijednosni papiri:</w:t>
            </w:r>
          </w:p>
        </w:tc>
        <w:tc>
          <w:tcPr>
            <w:tcW w:w="689" w:type="pct"/>
            <w:tcBorders>
              <w:top w:val="single" w:sz="12" w:space="0" w:color="auto"/>
            </w:tcBorders>
          </w:tcPr>
          <w:p w:rsidR="009E325B" w:rsidRPr="001567C8" w:rsidRDefault="009E325B" w:rsidP="009E325B">
            <w:pPr>
              <w:keepNext/>
              <w:keepLines/>
              <w:tabs>
                <w:tab w:val="decimal" w:pos="1202"/>
              </w:tabs>
              <w:jc w:val="right"/>
              <w:rPr>
                <w:rFonts w:ascii="Calibri" w:hAnsi="Calibri" w:cs="Arial"/>
                <w:position w:val="4"/>
                <w:sz w:val="20"/>
                <w:szCs w:val="20"/>
                <w:lang w:val="hr-HR"/>
              </w:rPr>
            </w:pPr>
          </w:p>
        </w:tc>
        <w:tc>
          <w:tcPr>
            <w:tcW w:w="689" w:type="pct"/>
            <w:tcBorders>
              <w:top w:val="single" w:sz="12" w:space="0" w:color="auto"/>
            </w:tcBorders>
          </w:tcPr>
          <w:p w:rsidR="009E325B" w:rsidRPr="001567C8" w:rsidRDefault="009E325B" w:rsidP="009E325B">
            <w:pPr>
              <w:keepNext/>
              <w:keepLines/>
              <w:tabs>
                <w:tab w:val="decimal" w:pos="1202"/>
              </w:tabs>
              <w:jc w:val="right"/>
              <w:rPr>
                <w:rFonts w:ascii="Calibri" w:hAnsi="Calibri" w:cs="Arial"/>
                <w:position w:val="4"/>
                <w:sz w:val="20"/>
                <w:szCs w:val="20"/>
                <w:lang w:val="hr-HR"/>
              </w:rPr>
            </w:pPr>
          </w:p>
        </w:tc>
        <w:tc>
          <w:tcPr>
            <w:tcW w:w="689" w:type="pct"/>
            <w:tcBorders>
              <w:top w:val="single" w:sz="12" w:space="0" w:color="auto"/>
            </w:tcBorders>
          </w:tcPr>
          <w:p w:rsidR="009E325B" w:rsidRPr="001567C8" w:rsidRDefault="009E325B" w:rsidP="009E325B">
            <w:pPr>
              <w:keepNext/>
              <w:keepLines/>
              <w:tabs>
                <w:tab w:val="decimal" w:pos="1202"/>
              </w:tabs>
              <w:jc w:val="right"/>
              <w:rPr>
                <w:rFonts w:ascii="Calibri" w:hAnsi="Calibri" w:cs="Arial"/>
                <w:position w:val="4"/>
                <w:sz w:val="20"/>
                <w:szCs w:val="20"/>
                <w:lang w:val="hr-HR"/>
              </w:rPr>
            </w:pPr>
          </w:p>
        </w:tc>
        <w:tc>
          <w:tcPr>
            <w:tcW w:w="688" w:type="pct"/>
          </w:tcPr>
          <w:p w:rsidR="009E325B" w:rsidRPr="001567C8" w:rsidRDefault="009E325B" w:rsidP="009E325B">
            <w:pPr>
              <w:keepNext/>
              <w:keepLines/>
              <w:tabs>
                <w:tab w:val="decimal" w:pos="1202"/>
              </w:tabs>
              <w:jc w:val="right"/>
              <w:rPr>
                <w:rFonts w:ascii="Calibri" w:hAnsi="Calibri" w:cs="Arial"/>
                <w:position w:val="4"/>
                <w:sz w:val="20"/>
                <w:szCs w:val="20"/>
                <w:lang w:val="hr-HR"/>
              </w:rPr>
            </w:pPr>
          </w:p>
        </w:tc>
      </w:tr>
      <w:tr w:rsidR="009E325B" w:rsidRPr="001567C8" w:rsidTr="003C6BA3">
        <w:trPr>
          <w:trHeight w:hRule="exact" w:val="281"/>
        </w:trPr>
        <w:tc>
          <w:tcPr>
            <w:tcW w:w="2245" w:type="pct"/>
            <w:tcBorders>
              <w:top w:val="nil"/>
              <w:left w:val="nil"/>
              <w:bottom w:val="nil"/>
              <w:right w:val="nil"/>
            </w:tcBorders>
            <w:shd w:val="clear" w:color="auto" w:fill="auto"/>
            <w:vAlign w:val="center"/>
          </w:tcPr>
          <w:p w:rsidR="009E325B" w:rsidRPr="001567C8" w:rsidRDefault="009E325B" w:rsidP="009E325B">
            <w:pPr>
              <w:tabs>
                <w:tab w:val="right" w:pos="1202"/>
              </w:tabs>
              <w:outlineLvl w:val="0"/>
              <w:rPr>
                <w:rFonts w:ascii="Calibri" w:hAnsi="Calibri"/>
                <w:sz w:val="20"/>
                <w:szCs w:val="20"/>
                <w:lang w:val="hr-HR"/>
              </w:rPr>
            </w:pPr>
            <w:r w:rsidRPr="001567C8">
              <w:rPr>
                <w:rFonts w:ascii="Calibri" w:hAnsi="Calibri"/>
                <w:b/>
                <w:bCs/>
                <w:sz w:val="20"/>
                <w:szCs w:val="20"/>
                <w:lang w:val="hr-HR"/>
              </w:rPr>
              <w:t>Vlasnički vrijednosni papiri koji kotiraju:</w:t>
            </w:r>
          </w:p>
        </w:tc>
        <w:tc>
          <w:tcPr>
            <w:tcW w:w="689" w:type="pct"/>
          </w:tcPr>
          <w:p w:rsidR="009E325B" w:rsidRPr="001567C8" w:rsidRDefault="009E325B" w:rsidP="009E325B">
            <w:pPr>
              <w:keepNext/>
              <w:keepLines/>
              <w:tabs>
                <w:tab w:val="decimal" w:pos="1202"/>
              </w:tabs>
              <w:jc w:val="right"/>
              <w:rPr>
                <w:rFonts w:ascii="Calibri" w:hAnsi="Calibri" w:cs="Arial"/>
                <w:position w:val="4"/>
                <w:sz w:val="20"/>
                <w:szCs w:val="20"/>
                <w:lang w:val="hr-HR"/>
              </w:rPr>
            </w:pPr>
          </w:p>
        </w:tc>
        <w:tc>
          <w:tcPr>
            <w:tcW w:w="689" w:type="pct"/>
          </w:tcPr>
          <w:p w:rsidR="009E325B" w:rsidRPr="001567C8" w:rsidRDefault="009E325B" w:rsidP="009E325B">
            <w:pPr>
              <w:keepNext/>
              <w:keepLines/>
              <w:tabs>
                <w:tab w:val="decimal" w:pos="1202"/>
              </w:tabs>
              <w:jc w:val="right"/>
              <w:rPr>
                <w:rFonts w:ascii="Calibri" w:hAnsi="Calibri" w:cs="Arial"/>
                <w:position w:val="4"/>
                <w:sz w:val="20"/>
                <w:szCs w:val="20"/>
                <w:lang w:val="hr-HR"/>
              </w:rPr>
            </w:pPr>
          </w:p>
        </w:tc>
        <w:tc>
          <w:tcPr>
            <w:tcW w:w="689" w:type="pct"/>
          </w:tcPr>
          <w:p w:rsidR="009E325B" w:rsidRPr="001567C8" w:rsidRDefault="009E325B" w:rsidP="009E325B">
            <w:pPr>
              <w:keepNext/>
              <w:keepLines/>
              <w:tabs>
                <w:tab w:val="decimal" w:pos="1202"/>
              </w:tabs>
              <w:jc w:val="right"/>
              <w:rPr>
                <w:rFonts w:ascii="Calibri" w:hAnsi="Calibri" w:cs="Arial"/>
                <w:position w:val="4"/>
                <w:sz w:val="20"/>
                <w:szCs w:val="20"/>
                <w:lang w:val="hr-HR"/>
              </w:rPr>
            </w:pPr>
          </w:p>
        </w:tc>
        <w:tc>
          <w:tcPr>
            <w:tcW w:w="688" w:type="pct"/>
          </w:tcPr>
          <w:p w:rsidR="009E325B" w:rsidRPr="001567C8" w:rsidRDefault="009E325B" w:rsidP="009E325B">
            <w:pPr>
              <w:keepNext/>
              <w:keepLines/>
              <w:tabs>
                <w:tab w:val="decimal" w:pos="1202"/>
              </w:tabs>
              <w:jc w:val="right"/>
              <w:rPr>
                <w:rFonts w:ascii="Calibri" w:hAnsi="Calibri" w:cs="Arial"/>
                <w:position w:val="4"/>
                <w:sz w:val="20"/>
                <w:szCs w:val="20"/>
                <w:lang w:val="hr-HR"/>
              </w:rPr>
            </w:pPr>
          </w:p>
        </w:tc>
      </w:tr>
      <w:tr w:rsidR="009E325B" w:rsidRPr="001567C8" w:rsidTr="003C6BA3">
        <w:trPr>
          <w:trHeight w:hRule="exact" w:val="285"/>
        </w:trPr>
        <w:tc>
          <w:tcPr>
            <w:tcW w:w="2245" w:type="pct"/>
            <w:tcBorders>
              <w:top w:val="nil"/>
              <w:left w:val="nil"/>
              <w:bottom w:val="nil"/>
              <w:right w:val="nil"/>
            </w:tcBorders>
            <w:shd w:val="clear" w:color="auto" w:fill="auto"/>
            <w:vAlign w:val="center"/>
          </w:tcPr>
          <w:p w:rsidR="009E325B" w:rsidRPr="001567C8" w:rsidRDefault="009E325B" w:rsidP="009E325B">
            <w:pPr>
              <w:tabs>
                <w:tab w:val="right" w:pos="1202"/>
              </w:tabs>
              <w:outlineLvl w:val="0"/>
              <w:rPr>
                <w:rFonts w:ascii="Calibri" w:hAnsi="Calibri"/>
                <w:sz w:val="20"/>
                <w:szCs w:val="20"/>
                <w:lang w:val="hr-HR"/>
              </w:rPr>
            </w:pPr>
            <w:r w:rsidRPr="001567C8">
              <w:rPr>
                <w:rFonts w:ascii="Calibri" w:hAnsi="Calibri"/>
                <w:sz w:val="20"/>
                <w:szCs w:val="20"/>
                <w:lang w:val="hr-HR"/>
              </w:rPr>
              <w:t>Dionice trgovačkih društava</w:t>
            </w:r>
          </w:p>
        </w:tc>
        <w:tc>
          <w:tcPr>
            <w:tcW w:w="689" w:type="pct"/>
            <w:tcBorders>
              <w:top w:val="nil"/>
              <w:left w:val="nil"/>
              <w:bottom w:val="single" w:sz="2" w:space="0" w:color="auto"/>
              <w:right w:val="nil"/>
            </w:tcBorders>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Arial"/>
                <w:spacing w:val="-2"/>
                <w:sz w:val="20"/>
                <w:szCs w:val="20"/>
                <w:lang w:val="hr-HR"/>
              </w:rPr>
              <w:t>n/p</w:t>
            </w:r>
          </w:p>
        </w:tc>
        <w:tc>
          <w:tcPr>
            <w:tcW w:w="689" w:type="pct"/>
            <w:tcBorders>
              <w:top w:val="nil"/>
              <w:left w:val="nil"/>
              <w:bottom w:val="single" w:sz="2" w:space="0" w:color="auto"/>
              <w:right w:val="nil"/>
            </w:tcBorders>
            <w:vAlign w:val="center"/>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Arial"/>
                <w:spacing w:val="-2"/>
                <w:sz w:val="20"/>
                <w:szCs w:val="20"/>
                <w:lang w:val="hr-HR"/>
              </w:rPr>
              <w:t>18.951</w:t>
            </w:r>
          </w:p>
        </w:tc>
        <w:tc>
          <w:tcPr>
            <w:tcW w:w="689" w:type="pct"/>
            <w:tcBorders>
              <w:top w:val="nil"/>
              <w:left w:val="nil"/>
              <w:bottom w:val="single" w:sz="2" w:space="0" w:color="auto"/>
              <w:right w:val="nil"/>
            </w:tcBorders>
            <w:shd w:val="clear" w:color="auto" w:fill="auto"/>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Arial"/>
                <w:spacing w:val="-2"/>
                <w:sz w:val="20"/>
                <w:szCs w:val="20"/>
                <w:lang w:val="hr-HR"/>
              </w:rPr>
              <w:t>n/p</w:t>
            </w:r>
          </w:p>
        </w:tc>
        <w:tc>
          <w:tcPr>
            <w:tcW w:w="688" w:type="pct"/>
            <w:tcBorders>
              <w:top w:val="nil"/>
              <w:left w:val="nil"/>
              <w:bottom w:val="single" w:sz="2" w:space="0" w:color="auto"/>
              <w:right w:val="nil"/>
            </w:tcBorders>
            <w:shd w:val="clear" w:color="auto" w:fill="auto"/>
            <w:vAlign w:val="center"/>
          </w:tcPr>
          <w:p w:rsidR="009E325B" w:rsidRPr="001567C8" w:rsidRDefault="009E325B" w:rsidP="009E325B">
            <w:pPr>
              <w:tabs>
                <w:tab w:val="right" w:pos="1202"/>
              </w:tabs>
              <w:jc w:val="right"/>
              <w:outlineLvl w:val="0"/>
              <w:rPr>
                <w:rFonts w:ascii="Calibri" w:hAnsi="Calibri" w:cs="Arial"/>
                <w:spacing w:val="-2"/>
                <w:sz w:val="20"/>
                <w:szCs w:val="20"/>
                <w:lang w:val="hr-HR"/>
              </w:rPr>
            </w:pPr>
            <w:r w:rsidRPr="001567C8">
              <w:rPr>
                <w:rFonts w:ascii="Calibri" w:hAnsi="Calibri" w:cs="Arial"/>
                <w:spacing w:val="-2"/>
                <w:sz w:val="20"/>
                <w:szCs w:val="20"/>
                <w:lang w:val="hr-HR"/>
              </w:rPr>
              <w:t>18.951</w:t>
            </w:r>
          </w:p>
        </w:tc>
      </w:tr>
      <w:tr w:rsidR="009E325B" w:rsidRPr="001567C8" w:rsidTr="003C6BA3">
        <w:trPr>
          <w:trHeight w:hRule="exact" w:val="278"/>
        </w:trPr>
        <w:tc>
          <w:tcPr>
            <w:tcW w:w="2245" w:type="pct"/>
            <w:tcBorders>
              <w:top w:val="nil"/>
              <w:left w:val="nil"/>
              <w:bottom w:val="nil"/>
              <w:right w:val="nil"/>
            </w:tcBorders>
            <w:shd w:val="clear" w:color="auto" w:fill="auto"/>
            <w:vAlign w:val="center"/>
          </w:tcPr>
          <w:p w:rsidR="009E325B" w:rsidRPr="001567C8" w:rsidRDefault="009E325B" w:rsidP="009E325B">
            <w:pPr>
              <w:tabs>
                <w:tab w:val="right" w:pos="1202"/>
              </w:tabs>
              <w:outlineLvl w:val="0"/>
              <w:rPr>
                <w:rFonts w:ascii="Calibri" w:hAnsi="Calibri"/>
                <w:sz w:val="20"/>
                <w:szCs w:val="20"/>
                <w:lang w:val="hr-HR"/>
              </w:rPr>
            </w:pP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b/>
                <w:color w:val="000000"/>
                <w:sz w:val="20"/>
                <w:szCs w:val="20"/>
                <w:lang w:val="hr-HR"/>
              </w:rPr>
            </w:pPr>
            <w:r w:rsidRPr="001567C8">
              <w:rPr>
                <w:rFonts w:ascii="Calibri" w:hAnsi="Calibri" w:cs="Calibri"/>
                <w:b/>
                <w:sz w:val="20"/>
                <w:szCs w:val="20"/>
                <w:lang w:val="hr-HR"/>
              </w:rPr>
              <w:t>n/p</w:t>
            </w:r>
          </w:p>
        </w:tc>
        <w:tc>
          <w:tcPr>
            <w:tcW w:w="689" w:type="pct"/>
            <w:tcBorders>
              <w:top w:val="single" w:sz="4" w:space="0" w:color="auto"/>
              <w:bottom w:val="single" w:sz="12" w:space="0" w:color="auto"/>
            </w:tcBorders>
            <w:vAlign w:val="center"/>
          </w:tcPr>
          <w:p w:rsidR="009E325B" w:rsidRPr="001567C8" w:rsidRDefault="009E325B" w:rsidP="009E325B">
            <w:pPr>
              <w:tabs>
                <w:tab w:val="right" w:pos="1202"/>
              </w:tabs>
              <w:jc w:val="right"/>
              <w:outlineLvl w:val="0"/>
              <w:rPr>
                <w:rFonts w:ascii="Calibri" w:hAnsi="Calibri"/>
                <w:b/>
                <w:color w:val="000000"/>
                <w:sz w:val="20"/>
                <w:szCs w:val="20"/>
                <w:lang w:val="hr-HR"/>
              </w:rPr>
            </w:pPr>
            <w:r w:rsidRPr="001567C8">
              <w:rPr>
                <w:rFonts w:ascii="Calibri" w:hAnsi="Calibri"/>
                <w:b/>
                <w:color w:val="000000"/>
                <w:sz w:val="20"/>
                <w:szCs w:val="20"/>
                <w:lang w:val="hr-HR"/>
              </w:rPr>
              <w:t>18.951</w:t>
            </w:r>
          </w:p>
        </w:tc>
        <w:tc>
          <w:tcPr>
            <w:tcW w:w="689" w:type="pct"/>
            <w:tcBorders>
              <w:top w:val="single" w:sz="4" w:space="0" w:color="auto"/>
              <w:bottom w:val="single" w:sz="12" w:space="0" w:color="auto"/>
            </w:tcBorders>
            <w:shd w:val="clear" w:color="auto" w:fill="auto"/>
          </w:tcPr>
          <w:p w:rsidR="009E325B" w:rsidRPr="001567C8" w:rsidRDefault="009E325B" w:rsidP="009E325B">
            <w:pPr>
              <w:tabs>
                <w:tab w:val="right" w:pos="1202"/>
              </w:tabs>
              <w:jc w:val="right"/>
              <w:outlineLvl w:val="0"/>
              <w:rPr>
                <w:rFonts w:ascii="Calibri" w:hAnsi="Calibri"/>
                <w:b/>
                <w:color w:val="000000"/>
                <w:sz w:val="20"/>
                <w:szCs w:val="20"/>
                <w:lang w:val="hr-HR"/>
              </w:rPr>
            </w:pPr>
            <w:r w:rsidRPr="001567C8">
              <w:rPr>
                <w:rFonts w:ascii="Calibri" w:hAnsi="Calibri" w:cs="Calibri"/>
                <w:b/>
                <w:sz w:val="20"/>
                <w:szCs w:val="20"/>
                <w:lang w:val="hr-HR"/>
              </w:rPr>
              <w:t>n/p</w:t>
            </w:r>
          </w:p>
        </w:tc>
        <w:tc>
          <w:tcPr>
            <w:tcW w:w="688" w:type="pct"/>
            <w:tcBorders>
              <w:top w:val="single" w:sz="2" w:space="0" w:color="auto"/>
              <w:left w:val="nil"/>
              <w:bottom w:val="single" w:sz="12" w:space="0" w:color="auto"/>
              <w:right w:val="nil"/>
            </w:tcBorders>
            <w:shd w:val="clear" w:color="auto" w:fill="auto"/>
            <w:vAlign w:val="center"/>
          </w:tcPr>
          <w:p w:rsidR="009E325B" w:rsidRPr="001567C8" w:rsidRDefault="009E325B" w:rsidP="009E325B">
            <w:pPr>
              <w:tabs>
                <w:tab w:val="right" w:pos="1202"/>
              </w:tabs>
              <w:jc w:val="right"/>
              <w:outlineLvl w:val="0"/>
              <w:rPr>
                <w:rFonts w:ascii="Calibri" w:hAnsi="Calibri"/>
                <w:b/>
                <w:color w:val="000000"/>
                <w:sz w:val="20"/>
                <w:szCs w:val="20"/>
                <w:lang w:val="hr-HR"/>
              </w:rPr>
            </w:pPr>
            <w:r w:rsidRPr="001567C8">
              <w:rPr>
                <w:rFonts w:ascii="Calibri" w:hAnsi="Calibri"/>
                <w:b/>
                <w:color w:val="000000"/>
                <w:sz w:val="20"/>
                <w:szCs w:val="20"/>
                <w:lang w:val="hr-HR"/>
              </w:rPr>
              <w:t>18.951</w:t>
            </w:r>
          </w:p>
        </w:tc>
      </w:tr>
      <w:tr w:rsidR="009E325B" w:rsidRPr="001567C8" w:rsidTr="003C6BA3">
        <w:trPr>
          <w:trHeight w:val="60"/>
        </w:trPr>
        <w:tc>
          <w:tcPr>
            <w:tcW w:w="2245" w:type="pct"/>
          </w:tcPr>
          <w:p w:rsidR="009E325B" w:rsidRPr="001567C8" w:rsidRDefault="009E325B" w:rsidP="009E325B">
            <w:pPr>
              <w:tabs>
                <w:tab w:val="right" w:pos="1202"/>
              </w:tabs>
              <w:outlineLvl w:val="0"/>
              <w:rPr>
                <w:rFonts w:ascii="Calibri" w:hAnsi="Calibri" w:cs="Arial"/>
                <w:b/>
                <w:sz w:val="20"/>
                <w:szCs w:val="20"/>
                <w:lang w:val="hr-HR"/>
              </w:rPr>
            </w:pPr>
            <w:r w:rsidRPr="001567C8">
              <w:rPr>
                <w:rFonts w:ascii="Calibri" w:hAnsi="Calibri" w:cs="Arial"/>
                <w:b/>
                <w:spacing w:val="-2"/>
                <w:sz w:val="20"/>
                <w:szCs w:val="20"/>
                <w:lang w:val="hr-HR"/>
              </w:rPr>
              <w:t>Vlasnički vrijednosni papiri koji ne kotiraju:</w:t>
            </w:r>
          </w:p>
        </w:tc>
        <w:tc>
          <w:tcPr>
            <w:tcW w:w="689" w:type="pct"/>
            <w:tcBorders>
              <w:top w:val="single" w:sz="12" w:space="0" w:color="auto"/>
            </w:tcBorders>
          </w:tcPr>
          <w:p w:rsidR="009E325B" w:rsidRPr="001567C8" w:rsidRDefault="009E325B" w:rsidP="009E325B">
            <w:pPr>
              <w:tabs>
                <w:tab w:val="right" w:pos="1202"/>
              </w:tabs>
              <w:jc w:val="right"/>
              <w:outlineLvl w:val="0"/>
              <w:rPr>
                <w:rFonts w:ascii="Calibri" w:hAnsi="Calibri" w:cs="Arial"/>
                <w:sz w:val="20"/>
                <w:szCs w:val="20"/>
                <w:lang w:val="hr-HR"/>
              </w:rPr>
            </w:pPr>
          </w:p>
        </w:tc>
        <w:tc>
          <w:tcPr>
            <w:tcW w:w="689" w:type="pct"/>
            <w:tcBorders>
              <w:top w:val="single" w:sz="12" w:space="0" w:color="auto"/>
            </w:tcBorders>
          </w:tcPr>
          <w:p w:rsidR="009E325B" w:rsidRPr="001567C8" w:rsidRDefault="009E325B" w:rsidP="009E325B">
            <w:pPr>
              <w:tabs>
                <w:tab w:val="right" w:pos="1202"/>
              </w:tabs>
              <w:jc w:val="right"/>
              <w:outlineLvl w:val="0"/>
              <w:rPr>
                <w:rFonts w:ascii="Calibri" w:hAnsi="Calibri" w:cs="Arial"/>
                <w:sz w:val="20"/>
                <w:szCs w:val="20"/>
                <w:lang w:val="hr-HR"/>
              </w:rPr>
            </w:pPr>
          </w:p>
        </w:tc>
        <w:tc>
          <w:tcPr>
            <w:tcW w:w="689" w:type="pct"/>
            <w:tcBorders>
              <w:top w:val="single" w:sz="12" w:space="0" w:color="auto"/>
            </w:tcBorders>
          </w:tcPr>
          <w:p w:rsidR="009E325B" w:rsidRPr="001567C8" w:rsidRDefault="009E325B" w:rsidP="009E325B">
            <w:pPr>
              <w:tabs>
                <w:tab w:val="right" w:pos="1202"/>
              </w:tabs>
              <w:jc w:val="right"/>
              <w:outlineLvl w:val="0"/>
              <w:rPr>
                <w:rFonts w:ascii="Calibri" w:hAnsi="Calibri" w:cs="Arial"/>
                <w:sz w:val="20"/>
                <w:szCs w:val="20"/>
                <w:lang w:val="hr-HR"/>
              </w:rPr>
            </w:pPr>
          </w:p>
        </w:tc>
        <w:tc>
          <w:tcPr>
            <w:tcW w:w="688" w:type="pct"/>
            <w:vAlign w:val="bottom"/>
          </w:tcPr>
          <w:p w:rsidR="009E325B" w:rsidRPr="001567C8" w:rsidRDefault="009E325B" w:rsidP="009E325B">
            <w:pPr>
              <w:tabs>
                <w:tab w:val="right" w:pos="1202"/>
              </w:tabs>
              <w:jc w:val="right"/>
              <w:outlineLvl w:val="0"/>
              <w:rPr>
                <w:rFonts w:ascii="Calibri" w:hAnsi="Calibri" w:cs="Arial"/>
                <w:sz w:val="20"/>
                <w:szCs w:val="20"/>
                <w:lang w:val="hr-HR"/>
              </w:rPr>
            </w:pP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z w:val="20"/>
                <w:szCs w:val="20"/>
                <w:lang w:val="hr-HR"/>
              </w:rPr>
            </w:pPr>
            <w:r w:rsidRPr="001567C8">
              <w:rPr>
                <w:rFonts w:ascii="Calibri" w:hAnsi="Calibri" w:cs="Arial"/>
                <w:sz w:val="20"/>
                <w:szCs w:val="20"/>
                <w:lang w:val="hr-HR"/>
              </w:rPr>
              <w:t>Dionice inozemnih pravnih osoba</w:t>
            </w:r>
          </w:p>
        </w:tc>
        <w:tc>
          <w:tcPr>
            <w:tcW w:w="689" w:type="pct"/>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sz w:val="20"/>
                <w:szCs w:val="20"/>
                <w:lang w:val="hr-HR"/>
              </w:rPr>
              <w:t>n/p</w:t>
            </w:r>
          </w:p>
        </w:tc>
        <w:tc>
          <w:tcPr>
            <w:tcW w:w="689" w:type="pct"/>
            <w:vAlign w:val="center"/>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color w:val="000000"/>
                <w:sz w:val="20"/>
                <w:szCs w:val="20"/>
                <w:lang w:val="hr-HR"/>
              </w:rPr>
              <w:t>35</w:t>
            </w:r>
          </w:p>
        </w:tc>
        <w:tc>
          <w:tcPr>
            <w:tcW w:w="689" w:type="pct"/>
            <w:shd w:val="clear" w:color="auto" w:fill="auto"/>
          </w:tcPr>
          <w:p w:rsidR="009E325B" w:rsidRPr="001567C8" w:rsidRDefault="009E325B" w:rsidP="009E325B">
            <w:pPr>
              <w:tabs>
                <w:tab w:val="right" w:pos="1202"/>
              </w:tabs>
              <w:jc w:val="right"/>
              <w:outlineLvl w:val="0"/>
              <w:rPr>
                <w:rFonts w:ascii="Calibri" w:hAnsi="Calibri" w:cs="Arial"/>
                <w:sz w:val="20"/>
                <w:szCs w:val="20"/>
                <w:lang w:val="hr-HR"/>
              </w:rPr>
            </w:pPr>
            <w:r w:rsidRPr="001567C8">
              <w:rPr>
                <w:rFonts w:ascii="Calibri" w:hAnsi="Calibri" w:cs="Calibri"/>
                <w:sz w:val="20"/>
                <w:szCs w:val="20"/>
                <w:lang w:val="hr-HR"/>
              </w:rPr>
              <w:t>n/p</w:t>
            </w:r>
          </w:p>
        </w:tc>
        <w:tc>
          <w:tcPr>
            <w:tcW w:w="688" w:type="pct"/>
            <w:tcBorders>
              <w:top w:val="nil"/>
              <w:left w:val="nil"/>
              <w:bottom w:val="nil"/>
              <w:right w:val="nil"/>
            </w:tcBorders>
            <w:shd w:val="clear" w:color="auto" w:fill="auto"/>
            <w:vAlign w:val="center"/>
          </w:tcPr>
          <w:p w:rsidR="009E325B" w:rsidRPr="001567C8" w:rsidRDefault="009E325B" w:rsidP="009E325B">
            <w:pPr>
              <w:tabs>
                <w:tab w:val="right" w:pos="1202"/>
              </w:tabs>
              <w:jc w:val="right"/>
              <w:outlineLvl w:val="0"/>
              <w:rPr>
                <w:rFonts w:ascii="Calibri" w:hAnsi="Calibri" w:cs="Arial"/>
                <w:sz w:val="20"/>
                <w:szCs w:val="20"/>
                <w:lang w:val="hr-HR"/>
              </w:rPr>
            </w:pPr>
            <w:r w:rsidRPr="001567C8">
              <w:rPr>
                <w:rFonts w:ascii="Calibri" w:hAnsi="Calibri"/>
                <w:color w:val="000000"/>
                <w:sz w:val="20"/>
                <w:szCs w:val="20"/>
                <w:lang w:val="hr-HR"/>
              </w:rPr>
              <w:t>35</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z w:val="20"/>
                <w:szCs w:val="20"/>
                <w:lang w:val="hr-HR"/>
              </w:rPr>
            </w:pPr>
            <w:r w:rsidRPr="001567C8">
              <w:rPr>
                <w:rFonts w:ascii="Calibri" w:hAnsi="Calibri" w:cs="Arial"/>
                <w:sz w:val="20"/>
                <w:szCs w:val="20"/>
                <w:lang w:val="hr-HR"/>
              </w:rPr>
              <w:t xml:space="preserve">Dionice financijskih institucija </w:t>
            </w:r>
          </w:p>
        </w:tc>
        <w:tc>
          <w:tcPr>
            <w:tcW w:w="689" w:type="pct"/>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sz w:val="20"/>
                <w:szCs w:val="20"/>
                <w:lang w:val="hr-HR"/>
              </w:rPr>
              <w:t>n/p</w:t>
            </w:r>
          </w:p>
        </w:tc>
        <w:tc>
          <w:tcPr>
            <w:tcW w:w="689" w:type="pct"/>
            <w:vAlign w:val="center"/>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color w:val="000000"/>
                <w:sz w:val="20"/>
                <w:szCs w:val="20"/>
                <w:lang w:val="hr-HR"/>
              </w:rPr>
              <w:t>161</w:t>
            </w:r>
          </w:p>
        </w:tc>
        <w:tc>
          <w:tcPr>
            <w:tcW w:w="689" w:type="pct"/>
            <w:shd w:val="clear" w:color="auto" w:fill="auto"/>
          </w:tcPr>
          <w:p w:rsidR="009E325B" w:rsidRPr="001567C8" w:rsidRDefault="009E325B" w:rsidP="009E325B">
            <w:pPr>
              <w:tabs>
                <w:tab w:val="right" w:pos="1202"/>
              </w:tabs>
              <w:jc w:val="right"/>
              <w:outlineLvl w:val="0"/>
              <w:rPr>
                <w:rFonts w:ascii="Calibri" w:hAnsi="Calibri" w:cs="Arial"/>
                <w:sz w:val="20"/>
                <w:szCs w:val="20"/>
                <w:lang w:val="hr-HR"/>
              </w:rPr>
            </w:pPr>
            <w:r w:rsidRPr="001567C8">
              <w:rPr>
                <w:rFonts w:ascii="Calibri" w:hAnsi="Calibri" w:cs="Calibri"/>
                <w:sz w:val="20"/>
                <w:szCs w:val="20"/>
                <w:lang w:val="hr-HR"/>
              </w:rPr>
              <w:t>n/p</w:t>
            </w:r>
          </w:p>
        </w:tc>
        <w:tc>
          <w:tcPr>
            <w:tcW w:w="688" w:type="pct"/>
            <w:tcBorders>
              <w:top w:val="nil"/>
              <w:left w:val="nil"/>
              <w:bottom w:val="nil"/>
              <w:right w:val="nil"/>
            </w:tcBorders>
            <w:shd w:val="clear" w:color="auto" w:fill="auto"/>
            <w:vAlign w:val="center"/>
          </w:tcPr>
          <w:p w:rsidR="009E325B" w:rsidRPr="001567C8" w:rsidRDefault="009E325B" w:rsidP="009E325B">
            <w:pPr>
              <w:tabs>
                <w:tab w:val="right" w:pos="1202"/>
              </w:tabs>
              <w:jc w:val="right"/>
              <w:outlineLvl w:val="0"/>
              <w:rPr>
                <w:rFonts w:ascii="Calibri" w:hAnsi="Calibri" w:cs="Arial"/>
                <w:sz w:val="20"/>
                <w:szCs w:val="20"/>
                <w:lang w:val="hr-HR"/>
              </w:rPr>
            </w:pPr>
            <w:r w:rsidRPr="001567C8">
              <w:rPr>
                <w:rFonts w:ascii="Calibri" w:hAnsi="Calibri"/>
                <w:color w:val="000000"/>
                <w:sz w:val="20"/>
                <w:szCs w:val="20"/>
                <w:lang w:val="hr-HR"/>
              </w:rPr>
              <w:t>161</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z w:val="20"/>
                <w:szCs w:val="20"/>
                <w:lang w:val="hr-HR"/>
              </w:rPr>
            </w:pPr>
            <w:r w:rsidRPr="001567C8">
              <w:rPr>
                <w:rFonts w:ascii="Calibri" w:hAnsi="Calibri" w:cs="Arial"/>
                <w:sz w:val="20"/>
                <w:szCs w:val="20"/>
                <w:lang w:val="hr-HR"/>
              </w:rPr>
              <w:t xml:space="preserve">Dionice inozemnih financijskih institucija – EIF </w:t>
            </w:r>
          </w:p>
        </w:tc>
        <w:tc>
          <w:tcPr>
            <w:tcW w:w="689" w:type="pct"/>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sz w:val="20"/>
                <w:szCs w:val="20"/>
                <w:lang w:val="hr-HR"/>
              </w:rPr>
              <w:t>n/p</w:t>
            </w:r>
          </w:p>
        </w:tc>
        <w:tc>
          <w:tcPr>
            <w:tcW w:w="689" w:type="pct"/>
            <w:vAlign w:val="center"/>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color w:val="000000"/>
                <w:sz w:val="20"/>
                <w:szCs w:val="20"/>
                <w:lang w:val="hr-HR"/>
              </w:rPr>
              <w:t>25.427</w:t>
            </w:r>
          </w:p>
        </w:tc>
        <w:tc>
          <w:tcPr>
            <w:tcW w:w="689" w:type="pct"/>
            <w:shd w:val="clear" w:color="auto" w:fill="auto"/>
          </w:tcPr>
          <w:p w:rsidR="009E325B" w:rsidRPr="001567C8" w:rsidRDefault="009E325B" w:rsidP="009E325B">
            <w:pPr>
              <w:tabs>
                <w:tab w:val="right" w:pos="1202"/>
              </w:tabs>
              <w:jc w:val="right"/>
              <w:outlineLvl w:val="0"/>
              <w:rPr>
                <w:rFonts w:ascii="Calibri" w:hAnsi="Calibri" w:cs="Arial"/>
                <w:sz w:val="20"/>
                <w:szCs w:val="20"/>
                <w:lang w:val="hr-HR"/>
              </w:rPr>
            </w:pPr>
            <w:r w:rsidRPr="001567C8">
              <w:rPr>
                <w:rFonts w:ascii="Calibri" w:hAnsi="Calibri" w:cs="Calibri"/>
                <w:sz w:val="20"/>
                <w:szCs w:val="20"/>
                <w:lang w:val="hr-HR"/>
              </w:rPr>
              <w:t>n/p</w:t>
            </w:r>
          </w:p>
        </w:tc>
        <w:tc>
          <w:tcPr>
            <w:tcW w:w="688" w:type="pct"/>
            <w:tcBorders>
              <w:top w:val="nil"/>
              <w:left w:val="nil"/>
              <w:bottom w:val="nil"/>
              <w:right w:val="nil"/>
            </w:tcBorders>
            <w:shd w:val="clear" w:color="auto" w:fill="auto"/>
            <w:vAlign w:val="center"/>
          </w:tcPr>
          <w:p w:rsidR="009E325B" w:rsidRPr="001567C8" w:rsidDel="00561A80" w:rsidRDefault="009E325B" w:rsidP="009E325B">
            <w:pPr>
              <w:tabs>
                <w:tab w:val="right" w:pos="1202"/>
              </w:tabs>
              <w:jc w:val="right"/>
              <w:outlineLvl w:val="0"/>
              <w:rPr>
                <w:rFonts w:ascii="Calibri" w:hAnsi="Calibri" w:cs="Arial"/>
                <w:sz w:val="20"/>
                <w:szCs w:val="20"/>
                <w:lang w:val="hr-HR"/>
              </w:rPr>
            </w:pPr>
            <w:r w:rsidRPr="001567C8">
              <w:rPr>
                <w:rFonts w:ascii="Calibri" w:hAnsi="Calibri"/>
                <w:color w:val="000000"/>
                <w:sz w:val="20"/>
                <w:szCs w:val="20"/>
                <w:lang w:val="hr-HR"/>
              </w:rPr>
              <w:t>25.427</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pacing w:val="-2"/>
                <w:sz w:val="20"/>
                <w:szCs w:val="20"/>
                <w:lang w:val="hr-HR"/>
              </w:rPr>
            </w:pPr>
            <w:r w:rsidRPr="001567C8">
              <w:rPr>
                <w:rFonts w:ascii="Calibri" w:hAnsi="Calibri" w:cs="Arial"/>
                <w:spacing w:val="-2"/>
                <w:sz w:val="20"/>
                <w:szCs w:val="20"/>
                <w:lang w:val="hr-HR"/>
              </w:rPr>
              <w:t>Dionice trgovačkih društava</w:t>
            </w:r>
          </w:p>
        </w:tc>
        <w:tc>
          <w:tcPr>
            <w:tcW w:w="689" w:type="pct"/>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sz w:val="20"/>
                <w:szCs w:val="20"/>
                <w:lang w:val="hr-HR"/>
              </w:rPr>
              <w:t>n/p</w:t>
            </w:r>
          </w:p>
        </w:tc>
        <w:tc>
          <w:tcPr>
            <w:tcW w:w="689" w:type="pct"/>
            <w:vAlign w:val="center"/>
          </w:tcPr>
          <w:p w:rsidR="009E325B" w:rsidRPr="001567C8" w:rsidRDefault="009E325B" w:rsidP="009E325B">
            <w:pPr>
              <w:tabs>
                <w:tab w:val="right" w:pos="1202"/>
              </w:tabs>
              <w:jc w:val="right"/>
              <w:outlineLvl w:val="0"/>
              <w:rPr>
                <w:rFonts w:ascii="Calibri" w:hAnsi="Calibri" w:cs="Calibri"/>
                <w:color w:val="000000"/>
                <w:sz w:val="20"/>
                <w:szCs w:val="20"/>
                <w:lang w:val="hr-HR"/>
              </w:rPr>
            </w:pPr>
            <w:r w:rsidRPr="001567C8">
              <w:rPr>
                <w:rFonts w:ascii="Calibri" w:hAnsi="Calibri" w:cs="Calibri"/>
                <w:color w:val="000000"/>
                <w:sz w:val="20"/>
                <w:szCs w:val="20"/>
                <w:lang w:val="hr-HR"/>
              </w:rPr>
              <w:t>16.725</w:t>
            </w:r>
          </w:p>
        </w:tc>
        <w:tc>
          <w:tcPr>
            <w:tcW w:w="689" w:type="pct"/>
            <w:shd w:val="clear" w:color="auto" w:fill="auto"/>
          </w:tcPr>
          <w:p w:rsidR="009E325B" w:rsidRPr="001567C8" w:rsidRDefault="009E325B" w:rsidP="009E325B">
            <w:pPr>
              <w:tabs>
                <w:tab w:val="right" w:pos="1202"/>
              </w:tabs>
              <w:jc w:val="right"/>
              <w:outlineLvl w:val="0"/>
              <w:rPr>
                <w:rFonts w:ascii="Calibri" w:hAnsi="Calibri" w:cs="Arial"/>
                <w:sz w:val="20"/>
                <w:szCs w:val="20"/>
                <w:lang w:val="hr-HR"/>
              </w:rPr>
            </w:pPr>
            <w:r w:rsidRPr="001567C8">
              <w:rPr>
                <w:rFonts w:ascii="Calibri" w:hAnsi="Calibri" w:cs="Calibri"/>
                <w:sz w:val="20"/>
                <w:szCs w:val="20"/>
                <w:lang w:val="hr-HR"/>
              </w:rPr>
              <w:t>n/p</w:t>
            </w:r>
          </w:p>
        </w:tc>
        <w:tc>
          <w:tcPr>
            <w:tcW w:w="688" w:type="pct"/>
            <w:tcBorders>
              <w:top w:val="nil"/>
              <w:left w:val="nil"/>
              <w:bottom w:val="nil"/>
              <w:right w:val="nil"/>
            </w:tcBorders>
            <w:shd w:val="clear" w:color="auto" w:fill="auto"/>
            <w:vAlign w:val="center"/>
          </w:tcPr>
          <w:p w:rsidR="009E325B" w:rsidRPr="001567C8" w:rsidRDefault="009E325B" w:rsidP="009E325B">
            <w:pPr>
              <w:tabs>
                <w:tab w:val="right" w:pos="1202"/>
              </w:tabs>
              <w:jc w:val="right"/>
              <w:outlineLvl w:val="0"/>
              <w:rPr>
                <w:rFonts w:ascii="Calibri" w:hAnsi="Calibri" w:cs="Arial"/>
                <w:sz w:val="20"/>
                <w:szCs w:val="20"/>
                <w:lang w:val="hr-HR"/>
              </w:rPr>
            </w:pPr>
            <w:r w:rsidRPr="001567C8">
              <w:rPr>
                <w:rFonts w:ascii="Calibri" w:hAnsi="Calibri"/>
                <w:color w:val="000000"/>
                <w:sz w:val="20"/>
                <w:szCs w:val="20"/>
                <w:lang w:val="hr-HR"/>
              </w:rPr>
              <w:t>16.725</w:t>
            </w:r>
          </w:p>
        </w:tc>
      </w:tr>
      <w:tr w:rsidR="009E325B" w:rsidRPr="001567C8" w:rsidTr="003C6BA3">
        <w:trPr>
          <w:trHeight w:hRule="exact" w:val="248"/>
        </w:trPr>
        <w:tc>
          <w:tcPr>
            <w:tcW w:w="2245" w:type="pct"/>
          </w:tcPr>
          <w:p w:rsidR="009E325B" w:rsidRPr="001567C8" w:rsidRDefault="009E325B" w:rsidP="009E325B">
            <w:pPr>
              <w:tabs>
                <w:tab w:val="right" w:pos="1202"/>
              </w:tabs>
              <w:outlineLvl w:val="0"/>
              <w:rPr>
                <w:rFonts w:ascii="Calibri" w:hAnsi="Calibri" w:cs="Arial"/>
                <w:spacing w:val="-2"/>
                <w:sz w:val="20"/>
                <w:szCs w:val="20"/>
                <w:lang w:val="hr-HR"/>
              </w:rPr>
            </w:pPr>
            <w:r w:rsidRPr="001567C8">
              <w:rPr>
                <w:rFonts w:ascii="Calibri" w:hAnsi="Calibri"/>
                <w:sz w:val="20"/>
                <w:szCs w:val="20"/>
                <w:lang w:val="hr-HR"/>
              </w:rPr>
              <w:t>Rezerviranja za očekivane gubitke</w:t>
            </w:r>
          </w:p>
        </w:tc>
        <w:tc>
          <w:tcPr>
            <w:tcW w:w="689" w:type="pct"/>
          </w:tcPr>
          <w:p w:rsidR="009E325B" w:rsidRPr="001567C8" w:rsidRDefault="009E325B" w:rsidP="009E325B">
            <w:pPr>
              <w:tabs>
                <w:tab w:val="right" w:pos="1202"/>
              </w:tabs>
              <w:jc w:val="right"/>
              <w:outlineLvl w:val="0"/>
              <w:rPr>
                <w:rFonts w:ascii="Calibri" w:hAnsi="Calibri"/>
                <w:sz w:val="20"/>
                <w:szCs w:val="20"/>
                <w:lang w:val="hr-HR"/>
              </w:rPr>
            </w:pPr>
            <w:r w:rsidRPr="001567C8">
              <w:rPr>
                <w:rFonts w:ascii="Calibri" w:hAnsi="Calibri" w:cs="Calibri"/>
                <w:sz w:val="20"/>
                <w:szCs w:val="20"/>
                <w:lang w:val="hr-HR"/>
              </w:rPr>
              <w:t>n/p</w:t>
            </w:r>
          </w:p>
        </w:tc>
        <w:tc>
          <w:tcPr>
            <w:tcW w:w="689" w:type="pct"/>
            <w:vAlign w:val="bottom"/>
          </w:tcPr>
          <w:p w:rsidR="009E325B" w:rsidRPr="001567C8" w:rsidRDefault="009E325B" w:rsidP="009E325B">
            <w:pPr>
              <w:tabs>
                <w:tab w:val="right" w:pos="1202"/>
              </w:tabs>
              <w:jc w:val="right"/>
              <w:outlineLvl w:val="0"/>
              <w:rPr>
                <w:rFonts w:ascii="Calibri" w:hAnsi="Calibri"/>
                <w:sz w:val="20"/>
                <w:szCs w:val="20"/>
                <w:lang w:val="hr-HR"/>
              </w:rPr>
            </w:pPr>
            <w:r w:rsidRPr="001567C8">
              <w:rPr>
                <w:rFonts w:ascii="Calibri" w:hAnsi="Calibri"/>
                <w:sz w:val="20"/>
                <w:szCs w:val="20"/>
                <w:lang w:val="hr-HR"/>
              </w:rPr>
              <w:t>(16.725)</w:t>
            </w:r>
          </w:p>
        </w:tc>
        <w:tc>
          <w:tcPr>
            <w:tcW w:w="689" w:type="pct"/>
          </w:tcPr>
          <w:p w:rsidR="009E325B" w:rsidRPr="001567C8" w:rsidRDefault="009E325B" w:rsidP="009E325B">
            <w:pPr>
              <w:tabs>
                <w:tab w:val="right" w:pos="1202"/>
              </w:tabs>
              <w:jc w:val="right"/>
              <w:outlineLvl w:val="0"/>
              <w:rPr>
                <w:rFonts w:ascii="Calibri" w:hAnsi="Calibri"/>
                <w:sz w:val="20"/>
                <w:szCs w:val="20"/>
                <w:lang w:val="hr-HR"/>
              </w:rPr>
            </w:pPr>
            <w:r w:rsidRPr="001567C8">
              <w:rPr>
                <w:rFonts w:ascii="Calibri" w:hAnsi="Calibri" w:cs="Calibri"/>
                <w:sz w:val="20"/>
                <w:szCs w:val="20"/>
                <w:lang w:val="hr-HR"/>
              </w:rPr>
              <w:t>n/p</w:t>
            </w:r>
          </w:p>
        </w:tc>
        <w:tc>
          <w:tcPr>
            <w:tcW w:w="688" w:type="pct"/>
            <w:tcBorders>
              <w:bottom w:val="single" w:sz="2" w:space="0" w:color="auto"/>
            </w:tcBorders>
            <w:vAlign w:val="bottom"/>
          </w:tcPr>
          <w:p w:rsidR="009E325B" w:rsidRPr="001567C8" w:rsidRDefault="009E325B" w:rsidP="009E325B">
            <w:pPr>
              <w:tabs>
                <w:tab w:val="right" w:pos="1202"/>
              </w:tabs>
              <w:jc w:val="right"/>
              <w:outlineLvl w:val="0"/>
              <w:rPr>
                <w:rFonts w:ascii="Calibri" w:hAnsi="Calibri" w:cs="Arial"/>
                <w:sz w:val="20"/>
                <w:szCs w:val="20"/>
                <w:lang w:val="hr-HR"/>
              </w:rPr>
            </w:pPr>
            <w:r w:rsidRPr="001567C8">
              <w:rPr>
                <w:rFonts w:ascii="Calibri" w:hAnsi="Calibri"/>
                <w:sz w:val="20"/>
                <w:szCs w:val="20"/>
                <w:lang w:val="hr-HR"/>
              </w:rPr>
              <w:t>(16.725)</w:t>
            </w:r>
          </w:p>
        </w:tc>
      </w:tr>
      <w:tr w:rsidR="009E325B" w:rsidRPr="001567C8" w:rsidTr="003C6BA3">
        <w:trPr>
          <w:trHeight w:val="64"/>
        </w:trPr>
        <w:tc>
          <w:tcPr>
            <w:tcW w:w="2245" w:type="pct"/>
          </w:tcPr>
          <w:p w:rsidR="009E325B" w:rsidRPr="001567C8" w:rsidRDefault="009E325B" w:rsidP="009E325B">
            <w:pPr>
              <w:tabs>
                <w:tab w:val="right" w:pos="1202"/>
              </w:tabs>
              <w:outlineLvl w:val="0"/>
              <w:rPr>
                <w:rFonts w:ascii="Calibri" w:hAnsi="Calibri" w:cs="Arial"/>
                <w:spacing w:val="-2"/>
                <w:sz w:val="20"/>
                <w:szCs w:val="20"/>
                <w:lang w:val="hr-HR"/>
              </w:rPr>
            </w:pP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b/>
                <w:sz w:val="20"/>
                <w:szCs w:val="20"/>
                <w:lang w:val="hr-HR"/>
              </w:rPr>
            </w:pPr>
            <w:r w:rsidRPr="001567C8">
              <w:rPr>
                <w:rFonts w:ascii="Calibri" w:hAnsi="Calibri" w:cs="Calibri"/>
                <w:b/>
                <w:sz w:val="20"/>
                <w:szCs w:val="20"/>
                <w:lang w:val="hr-HR"/>
              </w:rPr>
              <w:t>n/p</w:t>
            </w: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b/>
                <w:sz w:val="20"/>
                <w:szCs w:val="20"/>
                <w:lang w:val="hr-HR"/>
              </w:rPr>
            </w:pPr>
            <w:r w:rsidRPr="001567C8">
              <w:rPr>
                <w:rFonts w:ascii="Calibri" w:hAnsi="Calibri"/>
                <w:b/>
                <w:sz w:val="20"/>
                <w:szCs w:val="20"/>
                <w:lang w:val="hr-HR"/>
              </w:rPr>
              <w:t>25.623</w:t>
            </w: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b/>
                <w:sz w:val="20"/>
                <w:szCs w:val="20"/>
                <w:lang w:val="hr-HR"/>
              </w:rPr>
            </w:pPr>
            <w:r w:rsidRPr="001567C8">
              <w:rPr>
                <w:rFonts w:ascii="Calibri" w:hAnsi="Calibri" w:cs="Calibri"/>
                <w:b/>
                <w:sz w:val="20"/>
                <w:szCs w:val="20"/>
                <w:lang w:val="hr-HR"/>
              </w:rPr>
              <w:t>n/p</w:t>
            </w:r>
          </w:p>
        </w:tc>
        <w:tc>
          <w:tcPr>
            <w:tcW w:w="688" w:type="pct"/>
            <w:tcBorders>
              <w:top w:val="single" w:sz="2" w:space="0" w:color="auto"/>
              <w:bottom w:val="single" w:sz="12" w:space="0" w:color="auto"/>
            </w:tcBorders>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25.623</w:t>
            </w:r>
          </w:p>
        </w:tc>
      </w:tr>
      <w:tr w:rsidR="009E325B" w:rsidRPr="001567C8" w:rsidTr="003C6BA3">
        <w:trPr>
          <w:trHeight w:hRule="exact" w:val="328"/>
        </w:trPr>
        <w:tc>
          <w:tcPr>
            <w:tcW w:w="2245" w:type="pct"/>
            <w:vAlign w:val="bottom"/>
          </w:tcPr>
          <w:p w:rsidR="009E325B" w:rsidRPr="001567C8" w:rsidRDefault="009E325B" w:rsidP="009E325B">
            <w:pPr>
              <w:tabs>
                <w:tab w:val="right" w:pos="1202"/>
              </w:tabs>
              <w:outlineLvl w:val="0"/>
              <w:rPr>
                <w:rFonts w:ascii="Calibri" w:hAnsi="Calibri" w:cs="Arial"/>
                <w:b/>
                <w:i/>
                <w:spacing w:val="-2"/>
                <w:sz w:val="20"/>
                <w:szCs w:val="20"/>
                <w:lang w:val="hr-HR"/>
              </w:rPr>
            </w:pPr>
            <w:r w:rsidRPr="001567C8">
              <w:rPr>
                <w:rFonts w:ascii="Calibri" w:hAnsi="Calibri" w:cs="Arial"/>
                <w:b/>
                <w:i/>
                <w:spacing w:val="-2"/>
                <w:sz w:val="20"/>
                <w:szCs w:val="20"/>
                <w:lang w:val="hr-HR"/>
              </w:rPr>
              <w:t>Ulaganja u investicijske fondove:</w:t>
            </w:r>
          </w:p>
        </w:tc>
        <w:tc>
          <w:tcPr>
            <w:tcW w:w="689" w:type="pct"/>
            <w:tcBorders>
              <w:top w:val="single" w:sz="12" w:space="0" w:color="auto"/>
            </w:tcBorders>
          </w:tcPr>
          <w:p w:rsidR="009E325B" w:rsidRPr="001567C8" w:rsidRDefault="009E325B" w:rsidP="009E325B">
            <w:pPr>
              <w:tabs>
                <w:tab w:val="right" w:pos="1202"/>
              </w:tabs>
              <w:jc w:val="right"/>
              <w:outlineLvl w:val="0"/>
              <w:rPr>
                <w:rFonts w:ascii="Calibri" w:hAnsi="Calibri" w:cs="Arial"/>
                <w:sz w:val="20"/>
                <w:szCs w:val="20"/>
                <w:lang w:val="hr-HR"/>
              </w:rPr>
            </w:pPr>
          </w:p>
        </w:tc>
        <w:tc>
          <w:tcPr>
            <w:tcW w:w="689" w:type="pct"/>
            <w:tcBorders>
              <w:top w:val="single" w:sz="12" w:space="0" w:color="auto"/>
            </w:tcBorders>
          </w:tcPr>
          <w:p w:rsidR="009E325B" w:rsidRPr="001567C8" w:rsidRDefault="009E325B" w:rsidP="009E325B">
            <w:pPr>
              <w:tabs>
                <w:tab w:val="right" w:pos="1202"/>
              </w:tabs>
              <w:jc w:val="right"/>
              <w:outlineLvl w:val="0"/>
              <w:rPr>
                <w:rFonts w:ascii="Calibri" w:hAnsi="Calibri" w:cs="Arial"/>
                <w:sz w:val="20"/>
                <w:szCs w:val="20"/>
                <w:lang w:val="hr-HR"/>
              </w:rPr>
            </w:pPr>
          </w:p>
        </w:tc>
        <w:tc>
          <w:tcPr>
            <w:tcW w:w="689" w:type="pct"/>
            <w:tcBorders>
              <w:top w:val="single" w:sz="12" w:space="0" w:color="auto"/>
            </w:tcBorders>
          </w:tcPr>
          <w:p w:rsidR="009E325B" w:rsidRPr="001567C8" w:rsidRDefault="009E325B" w:rsidP="009E325B">
            <w:pPr>
              <w:tabs>
                <w:tab w:val="right" w:pos="1202"/>
              </w:tabs>
              <w:jc w:val="right"/>
              <w:outlineLvl w:val="0"/>
              <w:rPr>
                <w:rFonts w:ascii="Calibri" w:hAnsi="Calibri" w:cs="Arial"/>
                <w:sz w:val="20"/>
                <w:szCs w:val="20"/>
                <w:lang w:val="hr-HR"/>
              </w:rPr>
            </w:pPr>
          </w:p>
        </w:tc>
        <w:tc>
          <w:tcPr>
            <w:tcW w:w="688" w:type="pct"/>
            <w:vAlign w:val="bottom"/>
          </w:tcPr>
          <w:p w:rsidR="009E325B" w:rsidRPr="001567C8" w:rsidRDefault="009E325B" w:rsidP="009E325B">
            <w:pPr>
              <w:tabs>
                <w:tab w:val="right" w:pos="1202"/>
              </w:tabs>
              <w:jc w:val="right"/>
              <w:outlineLvl w:val="0"/>
              <w:rPr>
                <w:rFonts w:ascii="Calibri" w:hAnsi="Calibri" w:cs="Arial"/>
                <w:sz w:val="20"/>
                <w:szCs w:val="20"/>
                <w:lang w:val="hr-HR"/>
              </w:rPr>
            </w:pPr>
          </w:p>
        </w:tc>
      </w:tr>
      <w:tr w:rsidR="009E325B" w:rsidRPr="001567C8" w:rsidTr="003C6BA3">
        <w:trPr>
          <w:trHeight w:hRule="exact" w:val="451"/>
        </w:trPr>
        <w:tc>
          <w:tcPr>
            <w:tcW w:w="2245" w:type="pct"/>
            <w:vAlign w:val="bottom"/>
          </w:tcPr>
          <w:p w:rsidR="009E325B" w:rsidRPr="001567C8" w:rsidRDefault="009E325B" w:rsidP="009E325B">
            <w:pPr>
              <w:tabs>
                <w:tab w:val="right" w:pos="1202"/>
              </w:tabs>
              <w:outlineLvl w:val="0"/>
              <w:rPr>
                <w:rFonts w:ascii="Calibri" w:hAnsi="Calibri" w:cs="Arial"/>
                <w:spacing w:val="-2"/>
                <w:sz w:val="20"/>
                <w:szCs w:val="20"/>
                <w:lang w:val="hr-HR"/>
              </w:rPr>
            </w:pPr>
            <w:r w:rsidRPr="001567C8">
              <w:rPr>
                <w:rFonts w:ascii="Calibri" w:hAnsi="Calibri" w:cs="Arial"/>
                <w:spacing w:val="-2"/>
                <w:sz w:val="20"/>
                <w:szCs w:val="20"/>
                <w:lang w:val="hr-HR"/>
              </w:rPr>
              <w:t>Udjeli raspoređeni u imovinu raspoloživu za prodaju</w:t>
            </w:r>
          </w:p>
        </w:tc>
        <w:tc>
          <w:tcPr>
            <w:tcW w:w="689" w:type="pct"/>
            <w:tcBorders>
              <w:bottom w:val="single" w:sz="4" w:space="0" w:color="auto"/>
            </w:tcBorders>
            <w:vAlign w:val="bottom"/>
          </w:tcPr>
          <w:p w:rsidR="009E325B" w:rsidRPr="001567C8" w:rsidRDefault="009E325B" w:rsidP="008F7CB8">
            <w:pPr>
              <w:tabs>
                <w:tab w:val="right" w:pos="1202"/>
              </w:tabs>
              <w:jc w:val="right"/>
              <w:outlineLvl w:val="0"/>
              <w:rPr>
                <w:rFonts w:ascii="Calibri" w:hAnsi="Calibri"/>
                <w:sz w:val="20"/>
                <w:szCs w:val="20"/>
                <w:lang w:val="hr-HR"/>
              </w:rPr>
            </w:pPr>
            <w:r w:rsidRPr="001567C8">
              <w:rPr>
                <w:rFonts w:ascii="Calibri" w:hAnsi="Calibri" w:cs="Calibri"/>
                <w:sz w:val="20"/>
                <w:szCs w:val="20"/>
                <w:lang w:val="hr-HR"/>
              </w:rPr>
              <w:t>n/</w:t>
            </w:r>
            <w:r w:rsidR="004A15CA" w:rsidRPr="001567C8">
              <w:rPr>
                <w:rFonts w:ascii="Calibri" w:hAnsi="Calibri" w:cs="Calibri"/>
                <w:sz w:val="20"/>
                <w:szCs w:val="20"/>
                <w:lang w:val="hr-HR"/>
              </w:rPr>
              <w:t>p</w:t>
            </w:r>
          </w:p>
        </w:tc>
        <w:tc>
          <w:tcPr>
            <w:tcW w:w="689" w:type="pct"/>
            <w:tcBorders>
              <w:bottom w:val="single" w:sz="4" w:space="0" w:color="auto"/>
            </w:tcBorders>
            <w:vAlign w:val="bottom"/>
          </w:tcPr>
          <w:p w:rsidR="009E325B" w:rsidRPr="001567C8" w:rsidRDefault="009E325B" w:rsidP="008F7CB8">
            <w:pPr>
              <w:tabs>
                <w:tab w:val="right" w:pos="1202"/>
              </w:tabs>
              <w:jc w:val="right"/>
              <w:outlineLvl w:val="0"/>
              <w:rPr>
                <w:rFonts w:ascii="Calibri" w:hAnsi="Calibri"/>
                <w:sz w:val="20"/>
                <w:szCs w:val="20"/>
                <w:lang w:val="hr-HR"/>
              </w:rPr>
            </w:pPr>
            <w:r w:rsidRPr="001567C8">
              <w:rPr>
                <w:rFonts w:ascii="Calibri" w:hAnsi="Calibri"/>
                <w:sz w:val="20"/>
                <w:szCs w:val="20"/>
                <w:lang w:val="hr-HR"/>
              </w:rPr>
              <w:t>793.619</w:t>
            </w:r>
          </w:p>
        </w:tc>
        <w:tc>
          <w:tcPr>
            <w:tcW w:w="689" w:type="pct"/>
            <w:tcBorders>
              <w:bottom w:val="single" w:sz="4" w:space="0" w:color="auto"/>
            </w:tcBorders>
            <w:vAlign w:val="bottom"/>
          </w:tcPr>
          <w:p w:rsidR="009E325B" w:rsidRPr="001567C8" w:rsidRDefault="009E325B" w:rsidP="00314EA7">
            <w:pPr>
              <w:tabs>
                <w:tab w:val="right" w:pos="1202"/>
              </w:tabs>
              <w:jc w:val="right"/>
              <w:outlineLvl w:val="0"/>
              <w:rPr>
                <w:rFonts w:ascii="Calibri" w:hAnsi="Calibri"/>
                <w:sz w:val="20"/>
                <w:szCs w:val="20"/>
                <w:lang w:val="hr-HR"/>
              </w:rPr>
            </w:pPr>
            <w:r w:rsidRPr="001567C8">
              <w:rPr>
                <w:rFonts w:ascii="Calibri" w:hAnsi="Calibri" w:cs="Calibri"/>
                <w:sz w:val="20"/>
                <w:szCs w:val="20"/>
                <w:lang w:val="hr-HR"/>
              </w:rPr>
              <w:t>n/p</w:t>
            </w:r>
          </w:p>
        </w:tc>
        <w:tc>
          <w:tcPr>
            <w:tcW w:w="688" w:type="pct"/>
            <w:tcBorders>
              <w:bottom w:val="single" w:sz="4" w:space="0" w:color="auto"/>
            </w:tcBorders>
            <w:vAlign w:val="bottom"/>
          </w:tcPr>
          <w:p w:rsidR="009E325B" w:rsidRPr="001567C8" w:rsidRDefault="009E325B" w:rsidP="00314EA7">
            <w:pPr>
              <w:tabs>
                <w:tab w:val="right" w:pos="1202"/>
              </w:tabs>
              <w:jc w:val="right"/>
              <w:outlineLvl w:val="0"/>
              <w:rPr>
                <w:rFonts w:ascii="Calibri" w:hAnsi="Calibri" w:cs="Arial"/>
                <w:sz w:val="20"/>
                <w:szCs w:val="20"/>
                <w:lang w:val="hr-HR"/>
              </w:rPr>
            </w:pPr>
            <w:r w:rsidRPr="001567C8">
              <w:rPr>
                <w:rFonts w:ascii="Calibri" w:hAnsi="Calibri" w:cs="Arial"/>
                <w:sz w:val="20"/>
                <w:szCs w:val="20"/>
                <w:lang w:val="hr-HR"/>
              </w:rPr>
              <w:t>788.921</w:t>
            </w:r>
          </w:p>
        </w:tc>
      </w:tr>
      <w:tr w:rsidR="009E325B" w:rsidRPr="001567C8" w:rsidTr="003C6BA3">
        <w:trPr>
          <w:trHeight w:val="64"/>
        </w:trPr>
        <w:tc>
          <w:tcPr>
            <w:tcW w:w="2245" w:type="pct"/>
          </w:tcPr>
          <w:p w:rsidR="009E325B" w:rsidRPr="001567C8" w:rsidRDefault="009E325B" w:rsidP="009E325B">
            <w:pPr>
              <w:tabs>
                <w:tab w:val="right" w:pos="1202"/>
              </w:tabs>
              <w:outlineLvl w:val="0"/>
              <w:rPr>
                <w:rFonts w:ascii="Calibri" w:hAnsi="Calibri" w:cs="Arial"/>
                <w:sz w:val="20"/>
                <w:szCs w:val="20"/>
                <w:lang w:val="hr-HR"/>
              </w:rPr>
            </w:pPr>
          </w:p>
        </w:tc>
        <w:tc>
          <w:tcPr>
            <w:tcW w:w="689" w:type="pct"/>
            <w:tcBorders>
              <w:top w:val="single" w:sz="4" w:space="0" w:color="auto"/>
            </w:tcBorders>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Calibri"/>
                <w:b/>
                <w:sz w:val="20"/>
                <w:szCs w:val="20"/>
                <w:lang w:val="hr-HR"/>
              </w:rPr>
              <w:t>n/p</w:t>
            </w:r>
          </w:p>
        </w:tc>
        <w:tc>
          <w:tcPr>
            <w:tcW w:w="689" w:type="pct"/>
            <w:tcBorders>
              <w:top w:val="single" w:sz="4" w:space="0" w:color="auto"/>
            </w:tcBorders>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793.619</w:t>
            </w:r>
          </w:p>
        </w:tc>
        <w:tc>
          <w:tcPr>
            <w:tcW w:w="689" w:type="pct"/>
            <w:tcBorders>
              <w:top w:val="single" w:sz="4" w:space="0" w:color="auto"/>
            </w:tcBorders>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Calibri"/>
                <w:b/>
                <w:sz w:val="20"/>
                <w:szCs w:val="20"/>
                <w:lang w:val="hr-HR"/>
              </w:rPr>
              <w:t>n/p</w:t>
            </w:r>
          </w:p>
        </w:tc>
        <w:tc>
          <w:tcPr>
            <w:tcW w:w="688" w:type="pct"/>
            <w:tcBorders>
              <w:top w:val="single" w:sz="4" w:space="0" w:color="auto"/>
              <w:bottom w:val="single" w:sz="2" w:space="0" w:color="auto"/>
            </w:tcBorders>
            <w:vAlign w:val="bottom"/>
          </w:tcPr>
          <w:p w:rsidR="009E325B" w:rsidRPr="001567C8" w:rsidDel="00561A80"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788.921</w:t>
            </w:r>
          </w:p>
        </w:tc>
      </w:tr>
      <w:tr w:rsidR="009E325B" w:rsidRPr="001567C8" w:rsidTr="003C6BA3">
        <w:trPr>
          <w:trHeight w:val="41"/>
        </w:trPr>
        <w:tc>
          <w:tcPr>
            <w:tcW w:w="2245" w:type="pct"/>
          </w:tcPr>
          <w:p w:rsidR="009E325B" w:rsidRPr="001567C8" w:rsidRDefault="009E325B" w:rsidP="009E325B">
            <w:pPr>
              <w:tabs>
                <w:tab w:val="right" w:pos="1202"/>
              </w:tabs>
              <w:outlineLvl w:val="0"/>
              <w:rPr>
                <w:rFonts w:ascii="Calibri" w:hAnsi="Calibri" w:cs="Arial"/>
                <w:sz w:val="20"/>
                <w:szCs w:val="20"/>
                <w:lang w:val="hr-HR"/>
              </w:rPr>
            </w:pPr>
            <w:r w:rsidRPr="001567C8">
              <w:rPr>
                <w:rFonts w:ascii="Calibri" w:hAnsi="Calibri" w:cs="Arial"/>
                <w:b/>
                <w:bCs/>
                <w:sz w:val="20"/>
                <w:szCs w:val="20"/>
                <w:lang w:val="hr-HR"/>
              </w:rPr>
              <w:t xml:space="preserve">Stanje </w:t>
            </w: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Calibri"/>
                <w:b/>
                <w:sz w:val="20"/>
                <w:szCs w:val="20"/>
                <w:lang w:val="hr-HR"/>
              </w:rPr>
              <w:t>n/p</w:t>
            </w:r>
          </w:p>
        </w:tc>
        <w:tc>
          <w:tcPr>
            <w:tcW w:w="689" w:type="pct"/>
            <w:tcBorders>
              <w:top w:val="single" w:sz="4" w:space="0" w:color="auto"/>
              <w:bottom w:val="single" w:sz="12" w:space="0" w:color="auto"/>
            </w:tcBorders>
            <w:vAlign w:val="bottom"/>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3.321.564</w:t>
            </w:r>
          </w:p>
        </w:tc>
        <w:tc>
          <w:tcPr>
            <w:tcW w:w="689" w:type="pct"/>
            <w:tcBorders>
              <w:top w:val="single" w:sz="4" w:space="0" w:color="auto"/>
              <w:bottom w:val="single" w:sz="12" w:space="0" w:color="auto"/>
            </w:tcBorders>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Calibri"/>
                <w:b/>
                <w:sz w:val="20"/>
                <w:szCs w:val="20"/>
                <w:lang w:val="hr-HR"/>
              </w:rPr>
              <w:t>n/p</w:t>
            </w:r>
          </w:p>
        </w:tc>
        <w:tc>
          <w:tcPr>
            <w:tcW w:w="688" w:type="pct"/>
            <w:tcBorders>
              <w:top w:val="single" w:sz="2" w:space="0" w:color="auto"/>
              <w:bottom w:val="single" w:sz="12" w:space="0" w:color="auto"/>
            </w:tcBorders>
            <w:vAlign w:val="bottom"/>
          </w:tcPr>
          <w:p w:rsidR="009E325B" w:rsidRPr="001567C8" w:rsidRDefault="009E325B" w:rsidP="009E325B">
            <w:pPr>
              <w:tabs>
                <w:tab w:val="right" w:pos="1202"/>
              </w:tabs>
              <w:jc w:val="right"/>
              <w:outlineLvl w:val="0"/>
              <w:rPr>
                <w:rFonts w:ascii="Calibri" w:hAnsi="Calibri" w:cs="Arial"/>
                <w:b/>
                <w:sz w:val="20"/>
                <w:szCs w:val="20"/>
                <w:lang w:val="hr-HR"/>
              </w:rPr>
            </w:pPr>
            <w:r w:rsidRPr="001567C8">
              <w:rPr>
                <w:rFonts w:ascii="Calibri" w:hAnsi="Calibri" w:cs="Arial"/>
                <w:b/>
                <w:sz w:val="20"/>
                <w:szCs w:val="20"/>
                <w:lang w:val="hr-HR"/>
              </w:rPr>
              <w:t>3.277.194</w:t>
            </w:r>
          </w:p>
        </w:tc>
      </w:tr>
      <w:bookmarkEnd w:id="60"/>
    </w:tbl>
    <w:p w:rsidR="00494019" w:rsidRPr="001567C8" w:rsidRDefault="00494019" w:rsidP="006765E1">
      <w:pPr>
        <w:pStyle w:val="T1"/>
        <w:spacing w:before="0" w:after="0" w:line="240" w:lineRule="auto"/>
        <w:rPr>
          <w:rFonts w:asciiTheme="minorHAnsi" w:hAnsiTheme="minorHAnsi" w:cs="Arial"/>
          <w:b w:val="0"/>
          <w:sz w:val="22"/>
          <w:szCs w:val="22"/>
          <w:lang w:val="hr-HR"/>
        </w:rPr>
      </w:pPr>
    </w:p>
    <w:p w:rsidR="009E325B" w:rsidRPr="001567C8" w:rsidRDefault="009E325B" w:rsidP="00867990">
      <w:pPr>
        <w:jc w:val="both"/>
        <w:rPr>
          <w:rFonts w:asciiTheme="minorHAnsi" w:hAnsiTheme="minorHAnsi" w:cs="Arial"/>
          <w:bCs/>
          <w:spacing w:val="-2"/>
          <w:sz w:val="22"/>
          <w:szCs w:val="22"/>
          <w:lang w:val="hr-HR"/>
        </w:rPr>
        <w:sectPr w:rsidR="009E325B" w:rsidRPr="001567C8" w:rsidSect="003E2D7A">
          <w:pgSz w:w="11907" w:h="16840" w:code="9"/>
          <w:pgMar w:top="1418" w:right="1134" w:bottom="1134" w:left="1418" w:header="851" w:footer="851" w:gutter="0"/>
          <w:cols w:space="720"/>
          <w:noEndnote/>
        </w:sectPr>
      </w:pPr>
    </w:p>
    <w:p w:rsidR="00867990" w:rsidRPr="001567C8" w:rsidRDefault="00867990" w:rsidP="00867990">
      <w:pPr>
        <w:jc w:val="both"/>
        <w:rPr>
          <w:rFonts w:asciiTheme="minorHAnsi" w:hAnsiTheme="minorHAnsi" w:cs="Arial"/>
          <w:b/>
          <w:sz w:val="22"/>
          <w:szCs w:val="22"/>
          <w:lang w:val="hr-HR"/>
        </w:rPr>
      </w:pPr>
    </w:p>
    <w:p w:rsidR="00B54AE3" w:rsidRPr="001567C8" w:rsidRDefault="00B52585" w:rsidP="00B8477D">
      <w:pPr>
        <w:tabs>
          <w:tab w:val="left" w:pos="567"/>
        </w:tabs>
        <w:jc w:val="both"/>
        <w:rPr>
          <w:rFonts w:asciiTheme="minorHAnsi" w:hAnsiTheme="minorHAnsi" w:cs="Arial"/>
          <w:sz w:val="22"/>
          <w:szCs w:val="22"/>
          <w:lang w:val="hr-HR"/>
        </w:rPr>
      </w:pPr>
      <w:r w:rsidRPr="001567C8">
        <w:rPr>
          <w:rFonts w:asciiTheme="minorHAnsi" w:hAnsiTheme="minorHAnsi" w:cs="Arial"/>
          <w:b/>
          <w:sz w:val="22"/>
          <w:szCs w:val="22"/>
          <w:lang w:val="hr-HR"/>
        </w:rPr>
        <w:t>21</w:t>
      </w:r>
      <w:r w:rsidR="00B54AE3" w:rsidRPr="001567C8">
        <w:rPr>
          <w:rFonts w:asciiTheme="minorHAnsi" w:hAnsiTheme="minorHAnsi" w:cs="Arial"/>
          <w:b/>
          <w:sz w:val="22"/>
          <w:szCs w:val="22"/>
          <w:lang w:val="hr-HR"/>
        </w:rPr>
        <w:t xml:space="preserve">. </w:t>
      </w:r>
      <w:r w:rsidR="00B54AE3" w:rsidRPr="001567C8">
        <w:rPr>
          <w:rFonts w:asciiTheme="minorHAnsi" w:hAnsiTheme="minorHAnsi" w:cs="Arial"/>
          <w:b/>
          <w:sz w:val="22"/>
          <w:szCs w:val="22"/>
          <w:lang w:val="hr-HR"/>
        </w:rPr>
        <w:tab/>
        <w:t>Imovina koja se drži do dospijeća</w:t>
      </w:r>
    </w:p>
    <w:p w:rsidR="000675A2" w:rsidRPr="001567C8" w:rsidRDefault="000675A2" w:rsidP="000675A2">
      <w:pPr>
        <w:pStyle w:val="T1"/>
        <w:spacing w:before="0" w:after="0" w:line="240" w:lineRule="auto"/>
        <w:rPr>
          <w:rFonts w:asciiTheme="minorHAnsi" w:hAnsiTheme="minorHAnsi" w:cs="Arial"/>
          <w:sz w:val="22"/>
          <w:szCs w:val="22"/>
          <w:lang w:val="hr-HR"/>
        </w:rPr>
      </w:pPr>
    </w:p>
    <w:tbl>
      <w:tblPr>
        <w:tblW w:w="5000" w:type="pct"/>
        <w:tblLayout w:type="fixed"/>
        <w:tblLook w:val="0000" w:firstRow="0" w:lastRow="0" w:firstColumn="0" w:lastColumn="0" w:noHBand="0" w:noVBand="0"/>
      </w:tblPr>
      <w:tblGrid>
        <w:gridCol w:w="3969"/>
        <w:gridCol w:w="1345"/>
        <w:gridCol w:w="1349"/>
        <w:gridCol w:w="1345"/>
        <w:gridCol w:w="1347"/>
      </w:tblGrid>
      <w:tr w:rsidR="007E1583" w:rsidRPr="001567C8" w:rsidTr="000A4169">
        <w:tc>
          <w:tcPr>
            <w:tcW w:w="2121" w:type="pct"/>
          </w:tcPr>
          <w:p w:rsidR="007E1583" w:rsidRPr="001567C8" w:rsidRDefault="007E1583" w:rsidP="007E1583">
            <w:pPr>
              <w:tabs>
                <w:tab w:val="left" w:pos="-720"/>
              </w:tabs>
              <w:suppressAutoHyphens/>
              <w:spacing w:line="260" w:lineRule="exact"/>
              <w:rPr>
                <w:rFonts w:asciiTheme="minorHAnsi" w:hAnsiTheme="minorHAnsi" w:cs="Arial"/>
                <w:b/>
                <w:spacing w:val="-3"/>
                <w:sz w:val="22"/>
                <w:szCs w:val="22"/>
                <w:lang w:val="hr-HR"/>
              </w:rPr>
            </w:pPr>
          </w:p>
        </w:tc>
        <w:tc>
          <w:tcPr>
            <w:tcW w:w="1440" w:type="pct"/>
            <w:gridSpan w:val="2"/>
          </w:tcPr>
          <w:p w:rsidR="007E1583" w:rsidRPr="001567C8" w:rsidRDefault="007E1583" w:rsidP="007E1583">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439" w:type="pct"/>
            <w:gridSpan w:val="2"/>
          </w:tcPr>
          <w:p w:rsidR="007E1583" w:rsidRPr="001567C8" w:rsidRDefault="007E1583" w:rsidP="007E1583">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B96D37" w:rsidRPr="001567C8" w:rsidTr="003C6BA3">
        <w:trPr>
          <w:trHeight w:val="872"/>
        </w:trPr>
        <w:tc>
          <w:tcPr>
            <w:tcW w:w="2121" w:type="pct"/>
          </w:tcPr>
          <w:p w:rsidR="00B96D37" w:rsidRPr="001567C8" w:rsidRDefault="00B96D37" w:rsidP="00B96D37">
            <w:pPr>
              <w:tabs>
                <w:tab w:val="left" w:pos="-720"/>
              </w:tabs>
              <w:suppressAutoHyphens/>
              <w:spacing w:line="260" w:lineRule="exact"/>
              <w:rPr>
                <w:rFonts w:asciiTheme="minorHAnsi" w:hAnsiTheme="minorHAnsi" w:cs="Arial"/>
                <w:b/>
                <w:spacing w:val="-3"/>
                <w:sz w:val="22"/>
                <w:szCs w:val="22"/>
                <w:lang w:val="hr-HR"/>
              </w:rPr>
            </w:pPr>
          </w:p>
        </w:tc>
        <w:tc>
          <w:tcPr>
            <w:tcW w:w="719" w:type="pct"/>
          </w:tcPr>
          <w:p w:rsidR="00B96D37" w:rsidRPr="001567C8" w:rsidRDefault="002F1F55" w:rsidP="003C6BA3">
            <w:pPr>
              <w:spacing w:before="120" w:line="300" w:lineRule="exact"/>
              <w:jc w:val="right"/>
              <w:rPr>
                <w:rFonts w:asciiTheme="minorHAnsi" w:hAnsiTheme="minorHAnsi" w:cs="Arial"/>
                <w:sz w:val="22"/>
                <w:szCs w:val="22"/>
                <w:lang w:val="hr-HR"/>
              </w:rPr>
            </w:pPr>
            <w:r w:rsidRPr="002F1F55">
              <w:rPr>
                <w:rFonts w:asciiTheme="minorHAnsi" w:hAnsiTheme="minorHAnsi" w:cs="Arial"/>
                <w:b/>
                <w:sz w:val="22"/>
                <w:szCs w:val="22"/>
                <w:lang w:val="hr-HR"/>
              </w:rPr>
              <w:t xml:space="preserve">31. prosinca </w:t>
            </w:r>
            <w:r w:rsidR="009E325B" w:rsidRPr="001567C8">
              <w:rPr>
                <w:rFonts w:asciiTheme="minorHAnsi" w:hAnsiTheme="minorHAnsi" w:cs="Arial"/>
                <w:b/>
                <w:sz w:val="22"/>
                <w:szCs w:val="22"/>
                <w:lang w:val="hr-HR"/>
              </w:rPr>
              <w:t>2018</w:t>
            </w:r>
            <w:r w:rsidR="00B96D37" w:rsidRPr="001567C8">
              <w:rPr>
                <w:rFonts w:asciiTheme="minorHAnsi" w:hAnsiTheme="minorHAnsi" w:cs="Arial"/>
                <w:b/>
                <w:sz w:val="22"/>
                <w:szCs w:val="22"/>
                <w:lang w:val="hr-HR"/>
              </w:rPr>
              <w:t>.</w:t>
            </w:r>
          </w:p>
        </w:tc>
        <w:tc>
          <w:tcPr>
            <w:tcW w:w="721" w:type="pct"/>
          </w:tcPr>
          <w:p w:rsidR="00B96D37" w:rsidRPr="001567C8" w:rsidRDefault="002F1F55" w:rsidP="003C6BA3">
            <w:pPr>
              <w:spacing w:before="120" w:line="300" w:lineRule="exact"/>
              <w:jc w:val="right"/>
              <w:rPr>
                <w:rFonts w:asciiTheme="minorHAnsi" w:hAnsiTheme="minorHAnsi" w:cs="Arial"/>
                <w:sz w:val="22"/>
                <w:szCs w:val="22"/>
                <w:lang w:val="hr-HR"/>
              </w:rPr>
            </w:pPr>
            <w:r w:rsidRPr="002F1F55">
              <w:rPr>
                <w:rFonts w:asciiTheme="minorHAnsi" w:hAnsiTheme="minorHAnsi" w:cs="Arial"/>
                <w:b/>
                <w:sz w:val="22"/>
                <w:szCs w:val="22"/>
                <w:lang w:val="hr-HR"/>
              </w:rPr>
              <w:t xml:space="preserve">31. prosinca </w:t>
            </w:r>
            <w:r w:rsidR="009E325B" w:rsidRPr="001567C8">
              <w:rPr>
                <w:rFonts w:asciiTheme="minorHAnsi" w:hAnsiTheme="minorHAnsi" w:cs="Arial"/>
                <w:b/>
                <w:sz w:val="22"/>
                <w:szCs w:val="22"/>
                <w:lang w:val="hr-HR"/>
              </w:rPr>
              <w:t>201</w:t>
            </w:r>
            <w:r w:rsidR="003B6DA9" w:rsidRPr="001567C8">
              <w:rPr>
                <w:rFonts w:asciiTheme="minorHAnsi" w:hAnsiTheme="minorHAnsi" w:cs="Arial"/>
                <w:b/>
                <w:sz w:val="22"/>
                <w:szCs w:val="22"/>
                <w:lang w:val="hr-HR"/>
              </w:rPr>
              <w:t>7</w:t>
            </w:r>
            <w:r w:rsidR="00B96D37" w:rsidRPr="001567C8">
              <w:rPr>
                <w:rFonts w:asciiTheme="minorHAnsi" w:hAnsiTheme="minorHAnsi" w:cs="Arial"/>
                <w:b/>
                <w:sz w:val="22"/>
                <w:szCs w:val="22"/>
                <w:lang w:val="hr-HR"/>
              </w:rPr>
              <w:t>.</w:t>
            </w:r>
          </w:p>
        </w:tc>
        <w:tc>
          <w:tcPr>
            <w:tcW w:w="719" w:type="pct"/>
          </w:tcPr>
          <w:p w:rsidR="00B96D37" w:rsidRPr="001567C8" w:rsidRDefault="002F1F55" w:rsidP="003C6BA3">
            <w:pPr>
              <w:spacing w:before="120" w:line="300" w:lineRule="exact"/>
              <w:jc w:val="right"/>
              <w:rPr>
                <w:rFonts w:asciiTheme="minorHAnsi" w:hAnsiTheme="minorHAnsi" w:cs="Arial"/>
                <w:sz w:val="22"/>
                <w:szCs w:val="22"/>
                <w:lang w:val="hr-HR"/>
              </w:rPr>
            </w:pPr>
            <w:r w:rsidRPr="002F1F55">
              <w:rPr>
                <w:rFonts w:asciiTheme="minorHAnsi" w:hAnsiTheme="minorHAnsi" w:cs="Arial"/>
                <w:b/>
                <w:sz w:val="22"/>
                <w:szCs w:val="22"/>
                <w:lang w:val="hr-HR"/>
              </w:rPr>
              <w:t xml:space="preserve">31. prosinca </w:t>
            </w:r>
            <w:r w:rsidR="00B96D37" w:rsidRPr="001567C8">
              <w:rPr>
                <w:rFonts w:asciiTheme="minorHAnsi" w:hAnsiTheme="minorHAnsi" w:cs="Arial"/>
                <w:b/>
                <w:sz w:val="22"/>
                <w:szCs w:val="22"/>
                <w:lang w:val="hr-HR"/>
              </w:rPr>
              <w:t>201</w:t>
            </w:r>
            <w:r w:rsidR="009E325B" w:rsidRPr="001567C8">
              <w:rPr>
                <w:rFonts w:asciiTheme="minorHAnsi" w:hAnsiTheme="minorHAnsi" w:cs="Arial"/>
                <w:b/>
                <w:sz w:val="22"/>
                <w:szCs w:val="22"/>
                <w:lang w:val="hr-HR"/>
              </w:rPr>
              <w:t>8</w:t>
            </w:r>
            <w:r w:rsidR="00B96D37" w:rsidRPr="001567C8">
              <w:rPr>
                <w:rFonts w:asciiTheme="minorHAnsi" w:hAnsiTheme="minorHAnsi" w:cs="Arial"/>
                <w:b/>
                <w:sz w:val="22"/>
                <w:szCs w:val="22"/>
                <w:lang w:val="hr-HR"/>
              </w:rPr>
              <w:t>.</w:t>
            </w:r>
          </w:p>
        </w:tc>
        <w:tc>
          <w:tcPr>
            <w:tcW w:w="720" w:type="pct"/>
          </w:tcPr>
          <w:p w:rsidR="00B96D37" w:rsidRPr="001567C8" w:rsidRDefault="002F1F55" w:rsidP="003C6BA3">
            <w:pPr>
              <w:spacing w:before="120" w:line="300" w:lineRule="exact"/>
              <w:jc w:val="right"/>
              <w:rPr>
                <w:rFonts w:asciiTheme="minorHAnsi" w:hAnsiTheme="minorHAnsi" w:cs="Arial"/>
                <w:sz w:val="22"/>
                <w:szCs w:val="22"/>
                <w:lang w:val="hr-HR"/>
              </w:rPr>
            </w:pPr>
            <w:r w:rsidRPr="002F1F55">
              <w:rPr>
                <w:rFonts w:asciiTheme="minorHAnsi" w:hAnsiTheme="minorHAnsi" w:cs="Arial"/>
                <w:b/>
                <w:sz w:val="22"/>
                <w:szCs w:val="22"/>
                <w:lang w:val="hr-HR"/>
              </w:rPr>
              <w:t xml:space="preserve">31. prosinca </w:t>
            </w:r>
            <w:r w:rsidR="00B96D37" w:rsidRPr="001567C8">
              <w:rPr>
                <w:rFonts w:asciiTheme="minorHAnsi" w:hAnsiTheme="minorHAnsi" w:cs="Arial"/>
                <w:b/>
                <w:sz w:val="22"/>
                <w:szCs w:val="22"/>
                <w:lang w:val="hr-HR"/>
              </w:rPr>
              <w:t>201</w:t>
            </w:r>
            <w:r w:rsidR="009E325B" w:rsidRPr="001567C8">
              <w:rPr>
                <w:rFonts w:asciiTheme="minorHAnsi" w:hAnsiTheme="minorHAnsi" w:cs="Arial"/>
                <w:b/>
                <w:sz w:val="22"/>
                <w:szCs w:val="22"/>
                <w:lang w:val="hr-HR"/>
              </w:rPr>
              <w:t>7</w:t>
            </w:r>
            <w:r w:rsidR="00B96D37" w:rsidRPr="001567C8">
              <w:rPr>
                <w:rFonts w:asciiTheme="minorHAnsi" w:hAnsiTheme="minorHAnsi" w:cs="Arial"/>
                <w:b/>
                <w:sz w:val="22"/>
                <w:szCs w:val="22"/>
                <w:lang w:val="hr-HR"/>
              </w:rPr>
              <w:t>.</w:t>
            </w:r>
          </w:p>
        </w:tc>
      </w:tr>
      <w:tr w:rsidR="00B96D37" w:rsidRPr="001567C8" w:rsidTr="00B96D37">
        <w:tc>
          <w:tcPr>
            <w:tcW w:w="2121" w:type="pct"/>
          </w:tcPr>
          <w:p w:rsidR="00B96D37" w:rsidRPr="001567C8" w:rsidRDefault="00B96D37" w:rsidP="00B96D37">
            <w:pPr>
              <w:tabs>
                <w:tab w:val="left" w:pos="-720"/>
              </w:tabs>
              <w:suppressAutoHyphens/>
              <w:spacing w:line="260" w:lineRule="exact"/>
              <w:rPr>
                <w:rFonts w:asciiTheme="minorHAnsi" w:hAnsiTheme="minorHAnsi" w:cs="Arial"/>
                <w:b/>
                <w:spacing w:val="-3"/>
                <w:sz w:val="22"/>
                <w:szCs w:val="22"/>
                <w:lang w:val="hr-HR"/>
              </w:rPr>
            </w:pPr>
          </w:p>
        </w:tc>
        <w:tc>
          <w:tcPr>
            <w:tcW w:w="719" w:type="pct"/>
          </w:tcPr>
          <w:p w:rsidR="00B96D37" w:rsidRPr="001567C8" w:rsidRDefault="00B96D37" w:rsidP="00B96D37">
            <w:pPr>
              <w:pStyle w:val="TH"/>
              <w:spacing w:line="260" w:lineRule="exact"/>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21" w:type="pct"/>
          </w:tcPr>
          <w:p w:rsidR="00B96D37" w:rsidRPr="001567C8" w:rsidRDefault="00B96D37" w:rsidP="00B96D37">
            <w:pPr>
              <w:pStyle w:val="TH"/>
              <w:spacing w:line="260" w:lineRule="exact"/>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19" w:type="pct"/>
          </w:tcPr>
          <w:p w:rsidR="00B96D37" w:rsidRPr="001567C8" w:rsidRDefault="00B96D37" w:rsidP="00B96D37">
            <w:pPr>
              <w:pStyle w:val="TH"/>
              <w:spacing w:line="260" w:lineRule="exact"/>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20" w:type="pct"/>
          </w:tcPr>
          <w:p w:rsidR="00B96D37" w:rsidRPr="001567C8" w:rsidRDefault="00B96D37" w:rsidP="00B96D37">
            <w:pPr>
              <w:pStyle w:val="TH"/>
              <w:spacing w:line="260" w:lineRule="exact"/>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B96D37" w:rsidRPr="001567C8" w:rsidTr="00CA2E8F">
        <w:trPr>
          <w:trHeight w:val="213"/>
        </w:trPr>
        <w:tc>
          <w:tcPr>
            <w:tcW w:w="2121" w:type="pct"/>
          </w:tcPr>
          <w:p w:rsidR="00B96D37" w:rsidRPr="001567C8" w:rsidRDefault="00B96D37" w:rsidP="00B96D37">
            <w:pPr>
              <w:tabs>
                <w:tab w:val="left" w:pos="-720"/>
              </w:tabs>
              <w:suppressAutoHyphens/>
              <w:spacing w:line="140" w:lineRule="exact"/>
              <w:rPr>
                <w:rFonts w:asciiTheme="minorHAnsi" w:hAnsiTheme="minorHAnsi" w:cs="Arial"/>
                <w:b/>
                <w:spacing w:val="-3"/>
                <w:sz w:val="22"/>
                <w:szCs w:val="22"/>
                <w:lang w:val="hr-HR"/>
              </w:rPr>
            </w:pPr>
          </w:p>
        </w:tc>
        <w:tc>
          <w:tcPr>
            <w:tcW w:w="719" w:type="pct"/>
          </w:tcPr>
          <w:p w:rsidR="00B96D37" w:rsidRPr="001567C8" w:rsidRDefault="00B96D37" w:rsidP="00B96D37">
            <w:pPr>
              <w:tabs>
                <w:tab w:val="left" w:pos="-720"/>
              </w:tabs>
              <w:suppressAutoHyphens/>
              <w:spacing w:line="140" w:lineRule="exact"/>
              <w:jc w:val="right"/>
              <w:rPr>
                <w:rFonts w:asciiTheme="minorHAnsi" w:hAnsiTheme="minorHAnsi" w:cs="Arial"/>
                <w:b/>
                <w:spacing w:val="-3"/>
                <w:sz w:val="22"/>
                <w:szCs w:val="22"/>
                <w:lang w:val="hr-HR"/>
              </w:rPr>
            </w:pPr>
          </w:p>
        </w:tc>
        <w:tc>
          <w:tcPr>
            <w:tcW w:w="721" w:type="pct"/>
          </w:tcPr>
          <w:p w:rsidR="00B96D37" w:rsidRPr="001567C8" w:rsidRDefault="00B96D37" w:rsidP="00B96D37">
            <w:pPr>
              <w:tabs>
                <w:tab w:val="left" w:pos="-720"/>
              </w:tabs>
              <w:suppressAutoHyphens/>
              <w:spacing w:line="140" w:lineRule="exact"/>
              <w:jc w:val="right"/>
              <w:rPr>
                <w:rFonts w:asciiTheme="minorHAnsi" w:hAnsiTheme="minorHAnsi" w:cs="Arial"/>
                <w:b/>
                <w:spacing w:val="-3"/>
                <w:sz w:val="22"/>
                <w:szCs w:val="22"/>
                <w:lang w:val="hr-HR"/>
              </w:rPr>
            </w:pPr>
          </w:p>
        </w:tc>
        <w:tc>
          <w:tcPr>
            <w:tcW w:w="719" w:type="pct"/>
            <w:vAlign w:val="bottom"/>
          </w:tcPr>
          <w:p w:rsidR="00B96D37" w:rsidRPr="001567C8" w:rsidRDefault="00B96D37" w:rsidP="00B96D37">
            <w:pPr>
              <w:tabs>
                <w:tab w:val="left" w:pos="-720"/>
              </w:tabs>
              <w:suppressAutoHyphens/>
              <w:spacing w:line="140" w:lineRule="exact"/>
              <w:jc w:val="right"/>
              <w:rPr>
                <w:rFonts w:asciiTheme="minorHAnsi" w:hAnsiTheme="minorHAnsi" w:cs="Arial"/>
                <w:b/>
                <w:spacing w:val="-3"/>
                <w:sz w:val="22"/>
                <w:szCs w:val="22"/>
                <w:lang w:val="hr-HR"/>
              </w:rPr>
            </w:pPr>
          </w:p>
        </w:tc>
        <w:tc>
          <w:tcPr>
            <w:tcW w:w="720" w:type="pct"/>
            <w:vAlign w:val="bottom"/>
          </w:tcPr>
          <w:p w:rsidR="00B96D37" w:rsidRPr="001567C8" w:rsidRDefault="00B96D37" w:rsidP="00B96D37">
            <w:pPr>
              <w:tabs>
                <w:tab w:val="left" w:pos="-720"/>
              </w:tabs>
              <w:suppressAutoHyphens/>
              <w:spacing w:line="140" w:lineRule="exact"/>
              <w:jc w:val="right"/>
              <w:rPr>
                <w:rFonts w:asciiTheme="minorHAnsi" w:hAnsiTheme="minorHAnsi" w:cs="Arial"/>
                <w:b/>
                <w:spacing w:val="-3"/>
                <w:sz w:val="22"/>
                <w:szCs w:val="22"/>
                <w:lang w:val="hr-HR"/>
              </w:rPr>
            </w:pPr>
          </w:p>
        </w:tc>
      </w:tr>
      <w:tr w:rsidR="00B96D37" w:rsidRPr="001567C8" w:rsidTr="00B96D37">
        <w:tc>
          <w:tcPr>
            <w:tcW w:w="2121" w:type="pct"/>
          </w:tcPr>
          <w:p w:rsidR="00B96D37" w:rsidRPr="001567C8" w:rsidRDefault="00B96D37" w:rsidP="00B96D37">
            <w:pPr>
              <w:pStyle w:val="TT"/>
              <w:spacing w:line="260" w:lineRule="exact"/>
              <w:rPr>
                <w:rFonts w:asciiTheme="minorHAnsi" w:hAnsiTheme="minorHAnsi" w:cs="Arial"/>
                <w:sz w:val="22"/>
                <w:szCs w:val="22"/>
                <w:lang w:val="hr-HR"/>
              </w:rPr>
            </w:pPr>
            <w:r w:rsidRPr="001567C8">
              <w:rPr>
                <w:rFonts w:asciiTheme="minorHAnsi" w:hAnsiTheme="minorHAnsi" w:cs="Arial"/>
                <w:b/>
                <w:i/>
                <w:spacing w:val="-2"/>
                <w:sz w:val="22"/>
                <w:szCs w:val="22"/>
                <w:lang w:val="hr-HR"/>
              </w:rPr>
              <w:t>Dužnički vrijednosni papiri:</w:t>
            </w:r>
          </w:p>
        </w:tc>
        <w:tc>
          <w:tcPr>
            <w:tcW w:w="719" w:type="pct"/>
          </w:tcPr>
          <w:p w:rsidR="00B96D37" w:rsidRPr="001567C8" w:rsidRDefault="00B96D37" w:rsidP="00B96D37">
            <w:pPr>
              <w:pStyle w:val="TT"/>
              <w:spacing w:line="260" w:lineRule="exact"/>
              <w:jc w:val="right"/>
              <w:rPr>
                <w:rFonts w:asciiTheme="minorHAnsi" w:hAnsiTheme="minorHAnsi" w:cs="Arial"/>
                <w:sz w:val="22"/>
                <w:szCs w:val="22"/>
                <w:lang w:val="hr-HR"/>
              </w:rPr>
            </w:pPr>
          </w:p>
        </w:tc>
        <w:tc>
          <w:tcPr>
            <w:tcW w:w="721" w:type="pct"/>
          </w:tcPr>
          <w:p w:rsidR="00B96D37" w:rsidRPr="001567C8" w:rsidRDefault="00B96D37" w:rsidP="00B96D37">
            <w:pPr>
              <w:pStyle w:val="TT"/>
              <w:spacing w:line="260" w:lineRule="exact"/>
              <w:jc w:val="right"/>
              <w:rPr>
                <w:rFonts w:asciiTheme="minorHAnsi" w:hAnsiTheme="minorHAnsi" w:cs="Arial"/>
                <w:sz w:val="22"/>
                <w:szCs w:val="22"/>
                <w:lang w:val="hr-HR"/>
              </w:rPr>
            </w:pPr>
          </w:p>
        </w:tc>
        <w:tc>
          <w:tcPr>
            <w:tcW w:w="719" w:type="pct"/>
            <w:vAlign w:val="bottom"/>
          </w:tcPr>
          <w:p w:rsidR="00B96D37" w:rsidRPr="001567C8" w:rsidRDefault="00B96D37" w:rsidP="00B96D37">
            <w:pPr>
              <w:pStyle w:val="TT"/>
              <w:spacing w:line="260" w:lineRule="exact"/>
              <w:jc w:val="right"/>
              <w:rPr>
                <w:rFonts w:asciiTheme="minorHAnsi" w:hAnsiTheme="minorHAnsi" w:cs="Arial"/>
                <w:sz w:val="22"/>
                <w:szCs w:val="22"/>
                <w:lang w:val="hr-HR"/>
              </w:rPr>
            </w:pPr>
          </w:p>
        </w:tc>
        <w:tc>
          <w:tcPr>
            <w:tcW w:w="720" w:type="pct"/>
            <w:vAlign w:val="bottom"/>
          </w:tcPr>
          <w:p w:rsidR="00B96D37" w:rsidRPr="001567C8" w:rsidRDefault="00B96D37" w:rsidP="00B96D37">
            <w:pPr>
              <w:pStyle w:val="TT"/>
              <w:spacing w:line="260" w:lineRule="exact"/>
              <w:jc w:val="right"/>
              <w:rPr>
                <w:rFonts w:asciiTheme="minorHAnsi" w:hAnsiTheme="minorHAnsi" w:cs="Arial"/>
                <w:sz w:val="22"/>
                <w:szCs w:val="22"/>
                <w:lang w:val="hr-HR"/>
              </w:rPr>
            </w:pPr>
          </w:p>
        </w:tc>
      </w:tr>
      <w:tr w:rsidR="00B96D37" w:rsidRPr="001567C8" w:rsidTr="00B96D37">
        <w:tc>
          <w:tcPr>
            <w:tcW w:w="2121" w:type="pct"/>
          </w:tcPr>
          <w:p w:rsidR="00B96D37" w:rsidRPr="001567C8" w:rsidRDefault="00B96D37" w:rsidP="00B96D37">
            <w:pPr>
              <w:pStyle w:val="TT"/>
              <w:spacing w:line="260" w:lineRule="exact"/>
              <w:rPr>
                <w:rFonts w:asciiTheme="minorHAnsi" w:hAnsiTheme="minorHAnsi" w:cs="Arial"/>
                <w:sz w:val="22"/>
                <w:szCs w:val="22"/>
                <w:lang w:val="hr-HR"/>
              </w:rPr>
            </w:pPr>
            <w:r w:rsidRPr="001567C8">
              <w:rPr>
                <w:rFonts w:asciiTheme="minorHAnsi" w:hAnsiTheme="minorHAnsi" w:cs="Arial"/>
                <w:b/>
                <w:spacing w:val="-2"/>
                <w:sz w:val="22"/>
                <w:szCs w:val="22"/>
                <w:lang w:val="hr-HR"/>
              </w:rPr>
              <w:t>Dužnički vrijednosni papiri koji kotiraju:</w:t>
            </w:r>
          </w:p>
        </w:tc>
        <w:tc>
          <w:tcPr>
            <w:tcW w:w="719" w:type="pct"/>
          </w:tcPr>
          <w:p w:rsidR="00B96D37" w:rsidRPr="001567C8" w:rsidRDefault="00B96D37" w:rsidP="00B96D37">
            <w:pPr>
              <w:pStyle w:val="TT"/>
              <w:spacing w:line="260" w:lineRule="exact"/>
              <w:jc w:val="right"/>
              <w:rPr>
                <w:rFonts w:asciiTheme="minorHAnsi" w:hAnsiTheme="minorHAnsi" w:cs="Arial"/>
                <w:sz w:val="22"/>
                <w:szCs w:val="22"/>
                <w:lang w:val="hr-HR"/>
              </w:rPr>
            </w:pPr>
          </w:p>
        </w:tc>
        <w:tc>
          <w:tcPr>
            <w:tcW w:w="721" w:type="pct"/>
          </w:tcPr>
          <w:p w:rsidR="00B96D37" w:rsidRPr="001567C8" w:rsidRDefault="00B96D37" w:rsidP="00B96D37">
            <w:pPr>
              <w:pStyle w:val="TT"/>
              <w:spacing w:line="260" w:lineRule="exact"/>
              <w:jc w:val="right"/>
              <w:rPr>
                <w:rFonts w:asciiTheme="minorHAnsi" w:hAnsiTheme="minorHAnsi" w:cs="Arial"/>
                <w:sz w:val="22"/>
                <w:szCs w:val="22"/>
                <w:lang w:val="hr-HR"/>
              </w:rPr>
            </w:pPr>
          </w:p>
        </w:tc>
        <w:tc>
          <w:tcPr>
            <w:tcW w:w="719" w:type="pct"/>
            <w:vAlign w:val="bottom"/>
          </w:tcPr>
          <w:p w:rsidR="00B96D37" w:rsidRPr="001567C8" w:rsidRDefault="00B96D37" w:rsidP="00B96D37">
            <w:pPr>
              <w:pStyle w:val="TT"/>
              <w:spacing w:line="260" w:lineRule="exact"/>
              <w:jc w:val="right"/>
              <w:rPr>
                <w:rFonts w:asciiTheme="minorHAnsi" w:hAnsiTheme="minorHAnsi" w:cs="Arial"/>
                <w:sz w:val="22"/>
                <w:szCs w:val="22"/>
                <w:lang w:val="hr-HR"/>
              </w:rPr>
            </w:pPr>
          </w:p>
        </w:tc>
        <w:tc>
          <w:tcPr>
            <w:tcW w:w="720" w:type="pct"/>
            <w:vAlign w:val="bottom"/>
          </w:tcPr>
          <w:p w:rsidR="00B96D37" w:rsidRPr="001567C8" w:rsidRDefault="00B96D37" w:rsidP="00B96D37">
            <w:pPr>
              <w:pStyle w:val="TT"/>
              <w:spacing w:line="260" w:lineRule="exact"/>
              <w:jc w:val="right"/>
              <w:rPr>
                <w:rFonts w:asciiTheme="minorHAnsi" w:hAnsiTheme="minorHAnsi" w:cs="Arial"/>
                <w:sz w:val="22"/>
                <w:szCs w:val="22"/>
                <w:lang w:val="hr-HR"/>
              </w:rPr>
            </w:pPr>
          </w:p>
        </w:tc>
      </w:tr>
      <w:tr w:rsidR="009E325B" w:rsidRPr="001567C8" w:rsidTr="00B96D37">
        <w:tc>
          <w:tcPr>
            <w:tcW w:w="2121" w:type="pct"/>
          </w:tcPr>
          <w:p w:rsidR="009E325B" w:rsidRPr="001567C8" w:rsidRDefault="009E325B" w:rsidP="009E325B">
            <w:pPr>
              <w:pStyle w:val="TT"/>
              <w:spacing w:line="260" w:lineRule="exact"/>
              <w:rPr>
                <w:rFonts w:asciiTheme="minorHAnsi" w:hAnsiTheme="minorHAnsi" w:cs="Arial"/>
                <w:sz w:val="22"/>
                <w:szCs w:val="22"/>
                <w:lang w:val="hr-HR"/>
              </w:rPr>
            </w:pPr>
            <w:r w:rsidRPr="001567C8">
              <w:rPr>
                <w:rFonts w:asciiTheme="minorHAnsi" w:hAnsiTheme="minorHAnsi" w:cs="Arial"/>
                <w:spacing w:val="-2"/>
                <w:sz w:val="22"/>
                <w:szCs w:val="22"/>
                <w:lang w:val="hr-HR"/>
              </w:rPr>
              <w:t>Obveznice Republike Hrvatske</w:t>
            </w:r>
          </w:p>
        </w:tc>
        <w:tc>
          <w:tcPr>
            <w:tcW w:w="719" w:type="pct"/>
            <w:tcBorders>
              <w:top w:val="nil"/>
              <w:left w:val="nil"/>
              <w:bottom w:val="nil"/>
              <w:right w:val="nil"/>
            </w:tcBorders>
            <w:shd w:val="clear" w:color="auto" w:fill="auto"/>
            <w:vAlign w:val="bottom"/>
          </w:tcPr>
          <w:p w:rsidR="009E325B" w:rsidRPr="00CD3A2D" w:rsidRDefault="009E325B" w:rsidP="009E325B">
            <w:pPr>
              <w:jc w:val="right"/>
              <w:rPr>
                <w:rFonts w:ascii="Calibri" w:hAnsi="Calibri"/>
                <w:color w:val="000000"/>
                <w:sz w:val="22"/>
                <w:szCs w:val="22"/>
                <w:lang w:val="hr-HR"/>
              </w:rPr>
            </w:pPr>
            <w:r w:rsidRPr="00CD3A2D">
              <w:rPr>
                <w:rFonts w:ascii="Calibri" w:hAnsi="Calibri" w:cs="Calibri"/>
                <w:color w:val="000000"/>
                <w:sz w:val="22"/>
                <w:szCs w:val="22"/>
                <w:lang w:val="hr-HR"/>
              </w:rPr>
              <w:t>n/p</w:t>
            </w:r>
          </w:p>
        </w:tc>
        <w:tc>
          <w:tcPr>
            <w:tcW w:w="721" w:type="pct"/>
            <w:tcBorders>
              <w:top w:val="nil"/>
              <w:left w:val="nil"/>
              <w:bottom w:val="nil"/>
              <w:right w:val="nil"/>
            </w:tcBorders>
            <w:shd w:val="clear" w:color="auto" w:fill="auto"/>
            <w:vAlign w:val="bottom"/>
          </w:tcPr>
          <w:p w:rsidR="009E325B" w:rsidRPr="001567C8" w:rsidRDefault="009E325B" w:rsidP="009E325B">
            <w:pPr>
              <w:pStyle w:val="TT"/>
              <w:spacing w:line="260" w:lineRule="exact"/>
              <w:jc w:val="right"/>
              <w:rPr>
                <w:rFonts w:asciiTheme="minorHAnsi" w:hAnsiTheme="minorHAnsi" w:cs="Arial"/>
                <w:sz w:val="22"/>
                <w:szCs w:val="22"/>
                <w:lang w:val="hr-HR"/>
              </w:rPr>
            </w:pPr>
            <w:r w:rsidRPr="00CD3A2D">
              <w:rPr>
                <w:rFonts w:ascii="Calibri" w:hAnsi="Calibri" w:cs="Calibri"/>
                <w:color w:val="000000"/>
                <w:sz w:val="22"/>
                <w:szCs w:val="22"/>
                <w:lang w:val="hr-HR"/>
              </w:rPr>
              <w:t>1.385</w:t>
            </w:r>
          </w:p>
        </w:tc>
        <w:tc>
          <w:tcPr>
            <w:tcW w:w="719" w:type="pct"/>
            <w:vAlign w:val="bottom"/>
          </w:tcPr>
          <w:p w:rsidR="009E325B" w:rsidRPr="001567C8" w:rsidRDefault="009E325B" w:rsidP="009E325B">
            <w:pPr>
              <w:pStyle w:val="TT"/>
              <w:spacing w:line="260" w:lineRule="exact"/>
              <w:jc w:val="right"/>
              <w:rPr>
                <w:rFonts w:asciiTheme="minorHAnsi" w:hAnsiTheme="minorHAnsi" w:cs="Arial"/>
                <w:sz w:val="22"/>
                <w:szCs w:val="22"/>
                <w:lang w:val="hr-HR"/>
              </w:rPr>
            </w:pPr>
            <w:r w:rsidRPr="001567C8">
              <w:rPr>
                <w:rFonts w:asciiTheme="minorHAnsi" w:hAnsiTheme="minorHAnsi" w:cs="Arial"/>
                <w:sz w:val="22"/>
                <w:szCs w:val="22"/>
                <w:lang w:val="hr-HR"/>
              </w:rPr>
              <w:t>n/p</w:t>
            </w:r>
          </w:p>
        </w:tc>
        <w:tc>
          <w:tcPr>
            <w:tcW w:w="720" w:type="pct"/>
            <w:vAlign w:val="bottom"/>
          </w:tcPr>
          <w:p w:rsidR="009E325B" w:rsidRPr="001567C8" w:rsidRDefault="009E325B" w:rsidP="009E325B">
            <w:pPr>
              <w:pStyle w:val="TT"/>
              <w:spacing w:line="260" w:lineRule="exac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9E325B" w:rsidRPr="001567C8" w:rsidTr="00B96D37">
        <w:tc>
          <w:tcPr>
            <w:tcW w:w="2121" w:type="pct"/>
          </w:tcPr>
          <w:p w:rsidR="009E325B" w:rsidRPr="001567C8" w:rsidRDefault="009E325B" w:rsidP="009E325B">
            <w:pPr>
              <w:pStyle w:val="TT"/>
              <w:spacing w:line="260" w:lineRule="exact"/>
              <w:rPr>
                <w:rFonts w:asciiTheme="minorHAnsi" w:hAnsiTheme="minorHAnsi" w:cs="Arial"/>
                <w:spacing w:val="-2"/>
                <w:sz w:val="22"/>
                <w:szCs w:val="22"/>
                <w:lang w:val="hr-HR"/>
              </w:rPr>
            </w:pPr>
            <w:r w:rsidRPr="001567C8">
              <w:rPr>
                <w:rFonts w:asciiTheme="minorHAnsi" w:hAnsiTheme="minorHAnsi" w:cs="Arial"/>
                <w:spacing w:val="-2"/>
                <w:sz w:val="22"/>
                <w:szCs w:val="22"/>
                <w:lang w:val="hr-HR"/>
              </w:rPr>
              <w:t xml:space="preserve">Obračunata kamata </w:t>
            </w:r>
          </w:p>
        </w:tc>
        <w:tc>
          <w:tcPr>
            <w:tcW w:w="719" w:type="pct"/>
            <w:tcBorders>
              <w:top w:val="nil"/>
              <w:left w:val="nil"/>
              <w:bottom w:val="nil"/>
              <w:right w:val="nil"/>
            </w:tcBorders>
            <w:shd w:val="clear" w:color="auto" w:fill="auto"/>
            <w:vAlign w:val="bottom"/>
          </w:tcPr>
          <w:p w:rsidR="009E325B" w:rsidRPr="00CD3A2D" w:rsidRDefault="009E325B" w:rsidP="009E325B">
            <w:pPr>
              <w:jc w:val="right"/>
              <w:rPr>
                <w:rFonts w:ascii="Calibri" w:hAnsi="Calibri"/>
                <w:color w:val="000000"/>
                <w:sz w:val="22"/>
                <w:szCs w:val="22"/>
                <w:lang w:val="hr-HR"/>
              </w:rPr>
            </w:pPr>
            <w:r w:rsidRPr="00CD3A2D">
              <w:rPr>
                <w:rFonts w:ascii="Calibri" w:hAnsi="Calibri" w:cs="Calibri"/>
                <w:color w:val="000000"/>
                <w:sz w:val="22"/>
                <w:szCs w:val="22"/>
                <w:lang w:val="hr-HR"/>
              </w:rPr>
              <w:t>n/p</w:t>
            </w:r>
          </w:p>
        </w:tc>
        <w:tc>
          <w:tcPr>
            <w:tcW w:w="721" w:type="pct"/>
            <w:tcBorders>
              <w:top w:val="nil"/>
              <w:left w:val="nil"/>
              <w:bottom w:val="nil"/>
              <w:right w:val="nil"/>
            </w:tcBorders>
            <w:shd w:val="clear" w:color="auto" w:fill="auto"/>
            <w:vAlign w:val="bottom"/>
          </w:tcPr>
          <w:p w:rsidR="009E325B" w:rsidRPr="001567C8" w:rsidRDefault="009E325B" w:rsidP="009E325B">
            <w:pPr>
              <w:pStyle w:val="TT"/>
              <w:spacing w:line="260" w:lineRule="exact"/>
              <w:jc w:val="right"/>
              <w:rPr>
                <w:rFonts w:asciiTheme="minorHAnsi" w:hAnsiTheme="minorHAnsi" w:cs="Arial"/>
                <w:sz w:val="22"/>
                <w:szCs w:val="22"/>
                <w:lang w:val="hr-HR"/>
              </w:rPr>
            </w:pPr>
            <w:r w:rsidRPr="00CD3A2D">
              <w:rPr>
                <w:rFonts w:ascii="Calibri" w:hAnsi="Calibri" w:cs="Calibri"/>
                <w:color w:val="000000"/>
                <w:sz w:val="22"/>
                <w:szCs w:val="22"/>
                <w:lang w:val="hr-HR"/>
              </w:rPr>
              <w:t>14</w:t>
            </w:r>
          </w:p>
        </w:tc>
        <w:tc>
          <w:tcPr>
            <w:tcW w:w="719" w:type="pct"/>
            <w:vAlign w:val="bottom"/>
          </w:tcPr>
          <w:p w:rsidR="009E325B" w:rsidRPr="001567C8" w:rsidRDefault="009E325B" w:rsidP="009E325B">
            <w:pPr>
              <w:pStyle w:val="TT"/>
              <w:spacing w:line="260" w:lineRule="exact"/>
              <w:jc w:val="right"/>
              <w:rPr>
                <w:rFonts w:asciiTheme="minorHAnsi" w:hAnsiTheme="minorHAnsi" w:cs="Arial"/>
                <w:sz w:val="22"/>
                <w:szCs w:val="22"/>
                <w:lang w:val="hr-HR"/>
              </w:rPr>
            </w:pPr>
            <w:r w:rsidRPr="001567C8">
              <w:rPr>
                <w:rFonts w:asciiTheme="minorHAnsi" w:hAnsiTheme="minorHAnsi" w:cs="Arial"/>
                <w:sz w:val="22"/>
                <w:szCs w:val="22"/>
                <w:lang w:val="hr-HR"/>
              </w:rPr>
              <w:t>n/p</w:t>
            </w:r>
          </w:p>
        </w:tc>
        <w:tc>
          <w:tcPr>
            <w:tcW w:w="720" w:type="pct"/>
            <w:vAlign w:val="bottom"/>
          </w:tcPr>
          <w:p w:rsidR="009E325B" w:rsidRPr="001567C8" w:rsidRDefault="009E325B" w:rsidP="009E325B">
            <w:pPr>
              <w:pStyle w:val="TT"/>
              <w:spacing w:line="260" w:lineRule="exac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9E325B" w:rsidRPr="001567C8" w:rsidTr="00CA2E8F">
        <w:trPr>
          <w:trHeight w:val="286"/>
        </w:trPr>
        <w:tc>
          <w:tcPr>
            <w:tcW w:w="2121" w:type="pct"/>
          </w:tcPr>
          <w:p w:rsidR="009E325B" w:rsidRPr="001567C8" w:rsidRDefault="009E325B" w:rsidP="009E325B">
            <w:pPr>
              <w:pStyle w:val="Tot"/>
              <w:spacing w:line="260" w:lineRule="exact"/>
              <w:rPr>
                <w:rFonts w:asciiTheme="minorHAnsi" w:hAnsiTheme="minorHAnsi" w:cs="Arial"/>
                <w:b/>
                <w:bCs/>
                <w:sz w:val="22"/>
                <w:szCs w:val="22"/>
                <w:lang w:val="hr-HR"/>
              </w:rPr>
            </w:pPr>
            <w:r w:rsidRPr="001567C8">
              <w:rPr>
                <w:rFonts w:asciiTheme="minorHAnsi" w:hAnsiTheme="minorHAnsi" w:cs="Arial"/>
                <w:b/>
                <w:bCs/>
                <w:sz w:val="22"/>
                <w:szCs w:val="22"/>
                <w:lang w:val="hr-HR"/>
              </w:rPr>
              <w:t>Stanje 31. prosinca</w:t>
            </w:r>
          </w:p>
        </w:tc>
        <w:tc>
          <w:tcPr>
            <w:tcW w:w="719" w:type="pct"/>
            <w:tcBorders>
              <w:top w:val="single" w:sz="4" w:space="0" w:color="auto"/>
              <w:bottom w:val="single" w:sz="12" w:space="0" w:color="auto"/>
            </w:tcBorders>
          </w:tcPr>
          <w:p w:rsidR="009E325B" w:rsidRPr="001567C8" w:rsidRDefault="009E325B" w:rsidP="009E325B">
            <w:pPr>
              <w:pStyle w:val="Tot"/>
              <w:spacing w:line="260" w:lineRule="exact"/>
              <w:jc w:val="right"/>
              <w:rPr>
                <w:rFonts w:asciiTheme="minorHAnsi" w:hAnsiTheme="minorHAnsi" w:cs="Arial"/>
                <w:b/>
                <w:bCs/>
                <w:sz w:val="22"/>
                <w:szCs w:val="22"/>
                <w:lang w:val="hr-HR"/>
              </w:rPr>
            </w:pPr>
            <w:r w:rsidRPr="001567C8">
              <w:rPr>
                <w:rFonts w:asciiTheme="minorHAnsi" w:hAnsiTheme="minorHAnsi" w:cs="Arial"/>
                <w:b/>
                <w:bCs/>
                <w:sz w:val="22"/>
                <w:szCs w:val="22"/>
                <w:lang w:val="hr-HR"/>
              </w:rPr>
              <w:t>n/p</w:t>
            </w:r>
          </w:p>
        </w:tc>
        <w:tc>
          <w:tcPr>
            <w:tcW w:w="721" w:type="pct"/>
            <w:tcBorders>
              <w:top w:val="single" w:sz="4" w:space="0" w:color="auto"/>
              <w:bottom w:val="single" w:sz="12" w:space="0" w:color="auto"/>
            </w:tcBorders>
          </w:tcPr>
          <w:p w:rsidR="009E325B" w:rsidRPr="001567C8" w:rsidRDefault="009E325B" w:rsidP="009E325B">
            <w:pPr>
              <w:pStyle w:val="Tot"/>
              <w:spacing w:line="260" w:lineRule="exac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1.399</w:t>
            </w:r>
          </w:p>
        </w:tc>
        <w:tc>
          <w:tcPr>
            <w:tcW w:w="719" w:type="pct"/>
            <w:tcBorders>
              <w:top w:val="single" w:sz="4" w:space="0" w:color="auto"/>
              <w:bottom w:val="single" w:sz="12" w:space="0" w:color="auto"/>
            </w:tcBorders>
            <w:vAlign w:val="bottom"/>
          </w:tcPr>
          <w:p w:rsidR="009E325B" w:rsidRPr="001567C8" w:rsidRDefault="009E325B" w:rsidP="009E325B">
            <w:pPr>
              <w:pStyle w:val="Tot"/>
              <w:spacing w:line="260" w:lineRule="exact"/>
              <w:jc w:val="right"/>
              <w:rPr>
                <w:rFonts w:asciiTheme="minorHAnsi" w:hAnsiTheme="minorHAnsi" w:cs="Arial"/>
                <w:b/>
                <w:bCs/>
                <w:sz w:val="22"/>
                <w:szCs w:val="22"/>
                <w:lang w:val="hr-HR"/>
              </w:rPr>
            </w:pPr>
            <w:r w:rsidRPr="001567C8">
              <w:rPr>
                <w:rFonts w:asciiTheme="minorHAnsi" w:hAnsiTheme="minorHAnsi" w:cs="Arial"/>
                <w:b/>
                <w:bCs/>
                <w:sz w:val="22"/>
                <w:szCs w:val="22"/>
                <w:lang w:val="hr-HR"/>
              </w:rPr>
              <w:t>n/p</w:t>
            </w:r>
          </w:p>
        </w:tc>
        <w:tc>
          <w:tcPr>
            <w:tcW w:w="720" w:type="pct"/>
            <w:tcBorders>
              <w:top w:val="single" w:sz="4" w:space="0" w:color="auto"/>
              <w:bottom w:val="single" w:sz="12" w:space="0" w:color="auto"/>
            </w:tcBorders>
            <w:vAlign w:val="bottom"/>
          </w:tcPr>
          <w:p w:rsidR="009E325B" w:rsidRPr="001567C8" w:rsidRDefault="009E325B" w:rsidP="009E325B">
            <w:pPr>
              <w:pStyle w:val="Tot"/>
              <w:spacing w:line="260" w:lineRule="exact"/>
              <w:jc w:val="right"/>
              <w:rPr>
                <w:rFonts w:asciiTheme="minorHAnsi" w:hAnsiTheme="minorHAnsi" w:cs="Arial"/>
                <w:b/>
                <w:bCs/>
                <w:sz w:val="22"/>
                <w:szCs w:val="22"/>
                <w:lang w:val="hr-HR"/>
              </w:rPr>
            </w:pPr>
            <w:r w:rsidRPr="001567C8">
              <w:rPr>
                <w:rFonts w:asciiTheme="minorHAnsi" w:hAnsiTheme="minorHAnsi" w:cs="Arial"/>
                <w:b/>
                <w:bCs/>
                <w:sz w:val="22"/>
                <w:szCs w:val="22"/>
                <w:lang w:val="hr-HR"/>
              </w:rPr>
              <w:t>-</w:t>
            </w:r>
          </w:p>
        </w:tc>
      </w:tr>
    </w:tbl>
    <w:p w:rsidR="00867990" w:rsidRPr="001567C8" w:rsidRDefault="00867990" w:rsidP="00867990">
      <w:pPr>
        <w:tabs>
          <w:tab w:val="left" w:pos="-720"/>
        </w:tabs>
        <w:suppressAutoHyphens/>
        <w:jc w:val="both"/>
        <w:rPr>
          <w:rFonts w:asciiTheme="minorHAnsi" w:hAnsiTheme="minorHAnsi" w:cs="Arial"/>
          <w:sz w:val="22"/>
          <w:szCs w:val="22"/>
          <w:lang w:val="hr-HR"/>
        </w:rPr>
      </w:pPr>
    </w:p>
    <w:p w:rsidR="00867990" w:rsidRPr="001567C8" w:rsidRDefault="00867990" w:rsidP="00867990">
      <w:pPr>
        <w:tabs>
          <w:tab w:val="left" w:pos="-720"/>
        </w:tabs>
        <w:suppressAutoHyphens/>
        <w:jc w:val="both"/>
        <w:rPr>
          <w:rFonts w:asciiTheme="minorHAnsi" w:hAnsiTheme="minorHAnsi" w:cs="Arial"/>
          <w:sz w:val="22"/>
          <w:szCs w:val="22"/>
          <w:lang w:val="hr-HR"/>
        </w:rPr>
      </w:pPr>
    </w:p>
    <w:p w:rsidR="00D865CE" w:rsidRPr="001567C8" w:rsidRDefault="00B52585" w:rsidP="00B92A2F">
      <w:pPr>
        <w:pStyle w:val="T1"/>
        <w:tabs>
          <w:tab w:val="left" w:pos="567"/>
        </w:tabs>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w:t>
      </w:r>
      <w:r w:rsidR="00C9220F" w:rsidRPr="001567C8">
        <w:rPr>
          <w:rFonts w:asciiTheme="minorHAnsi" w:hAnsiTheme="minorHAnsi" w:cs="Arial"/>
          <w:sz w:val="22"/>
          <w:szCs w:val="22"/>
          <w:lang w:val="hr-HR"/>
        </w:rPr>
        <w:t>2</w:t>
      </w:r>
      <w:r w:rsidR="00D865CE" w:rsidRPr="001567C8">
        <w:rPr>
          <w:rFonts w:asciiTheme="minorHAnsi" w:hAnsiTheme="minorHAnsi" w:cs="Arial"/>
          <w:sz w:val="22"/>
          <w:szCs w:val="22"/>
          <w:lang w:val="hr-HR"/>
        </w:rPr>
        <w:t xml:space="preserve">. </w:t>
      </w:r>
      <w:r w:rsidR="00D865CE" w:rsidRPr="001567C8">
        <w:rPr>
          <w:rFonts w:asciiTheme="minorHAnsi" w:hAnsiTheme="minorHAnsi" w:cs="Arial"/>
          <w:sz w:val="22"/>
          <w:szCs w:val="22"/>
          <w:lang w:val="hr-HR"/>
        </w:rPr>
        <w:tab/>
        <w:t>Ulaganja u ovisna društva</w:t>
      </w:r>
    </w:p>
    <w:p w:rsidR="00867990" w:rsidRPr="001567C8" w:rsidRDefault="00867990" w:rsidP="00867990">
      <w:pPr>
        <w:pStyle w:val="T1"/>
        <w:spacing w:before="0" w:after="0" w:line="240" w:lineRule="auto"/>
        <w:rPr>
          <w:rFonts w:asciiTheme="minorHAnsi" w:hAnsiTheme="minorHAnsi" w:cs="Arial"/>
          <w:sz w:val="22"/>
          <w:szCs w:val="22"/>
          <w:lang w:val="hr-HR"/>
        </w:rPr>
      </w:pPr>
    </w:p>
    <w:p w:rsidR="00D865CE" w:rsidRPr="001567C8" w:rsidRDefault="00D865CE" w:rsidP="00867990">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Na dan 31. prosinca </w:t>
      </w:r>
      <w:r w:rsidR="003B6DA9" w:rsidRPr="001567C8">
        <w:rPr>
          <w:rFonts w:asciiTheme="minorHAnsi" w:hAnsiTheme="minorHAnsi" w:cs="Arial"/>
          <w:sz w:val="22"/>
          <w:szCs w:val="22"/>
          <w:lang w:val="hr-HR"/>
        </w:rPr>
        <w:t>2018</w:t>
      </w:r>
      <w:r w:rsidRPr="001567C8">
        <w:rPr>
          <w:rFonts w:asciiTheme="minorHAnsi" w:hAnsiTheme="minorHAnsi" w:cs="Arial"/>
          <w:sz w:val="22"/>
          <w:szCs w:val="22"/>
          <w:lang w:val="hr-HR"/>
        </w:rPr>
        <w:t xml:space="preserve">. </w:t>
      </w:r>
      <w:r w:rsidR="000C2542" w:rsidRPr="001567C8">
        <w:rPr>
          <w:rFonts w:asciiTheme="minorHAnsi" w:hAnsiTheme="minorHAnsi" w:cs="Arial"/>
          <w:sz w:val="22"/>
          <w:szCs w:val="22"/>
          <w:lang w:val="hr-HR"/>
        </w:rPr>
        <w:t>g</w:t>
      </w:r>
      <w:r w:rsidRPr="001567C8">
        <w:rPr>
          <w:rFonts w:asciiTheme="minorHAnsi" w:hAnsiTheme="minorHAnsi" w:cs="Arial"/>
          <w:sz w:val="22"/>
          <w:szCs w:val="22"/>
          <w:lang w:val="hr-HR"/>
        </w:rPr>
        <w:t>odine</w:t>
      </w:r>
      <w:r w:rsidR="003C3909"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ovisna društva Banke su sljedeća:</w:t>
      </w:r>
    </w:p>
    <w:p w:rsidR="00867990" w:rsidRPr="001567C8" w:rsidRDefault="00867990" w:rsidP="00867990">
      <w:pPr>
        <w:jc w:val="both"/>
        <w:rPr>
          <w:rFonts w:asciiTheme="minorHAnsi" w:hAnsiTheme="minorHAnsi" w:cs="Arial"/>
          <w:sz w:val="22"/>
          <w:szCs w:val="22"/>
          <w:lang w:val="hr-HR"/>
        </w:rPr>
      </w:pPr>
    </w:p>
    <w:tbl>
      <w:tblPr>
        <w:tblW w:w="0" w:type="auto"/>
        <w:jc w:val="center"/>
        <w:tblLook w:val="01E0" w:firstRow="1" w:lastRow="1" w:firstColumn="1" w:lastColumn="1" w:noHBand="0" w:noVBand="0"/>
      </w:tblPr>
      <w:tblGrid>
        <w:gridCol w:w="2268"/>
        <w:gridCol w:w="1701"/>
        <w:gridCol w:w="1346"/>
        <w:gridCol w:w="1347"/>
        <w:gridCol w:w="1346"/>
        <w:gridCol w:w="1347"/>
      </w:tblGrid>
      <w:tr w:rsidR="00D865CE" w:rsidRPr="001567C8" w:rsidTr="003C6BA3">
        <w:trPr>
          <w:jc w:val="center"/>
        </w:trPr>
        <w:tc>
          <w:tcPr>
            <w:tcW w:w="2268" w:type="dxa"/>
            <w:shd w:val="clear" w:color="auto" w:fill="auto"/>
            <w:vAlign w:val="bottom"/>
          </w:tcPr>
          <w:p w:rsidR="00D865CE" w:rsidRPr="001567C8" w:rsidRDefault="001040F5" w:rsidP="00D7642E">
            <w:pPr>
              <w:spacing w:before="120" w:line="300" w:lineRule="exact"/>
              <w:rPr>
                <w:rFonts w:asciiTheme="minorHAnsi" w:hAnsiTheme="minorHAnsi" w:cs="Arial"/>
                <w:sz w:val="22"/>
                <w:szCs w:val="22"/>
                <w:lang w:val="hr-HR"/>
              </w:rPr>
            </w:pPr>
            <w:r w:rsidRPr="001567C8">
              <w:rPr>
                <w:rFonts w:asciiTheme="minorHAnsi" w:hAnsiTheme="minorHAnsi" w:cs="Arial"/>
                <w:sz w:val="22"/>
                <w:szCs w:val="22"/>
                <w:lang w:val="hr-HR"/>
              </w:rPr>
              <w:t>Konsolidirano društvo</w:t>
            </w:r>
          </w:p>
        </w:tc>
        <w:tc>
          <w:tcPr>
            <w:tcW w:w="1701" w:type="dxa"/>
            <w:shd w:val="clear" w:color="auto" w:fill="auto"/>
            <w:vAlign w:val="bottom"/>
          </w:tcPr>
          <w:p w:rsidR="00D865CE" w:rsidRPr="001567C8" w:rsidRDefault="00D865CE" w:rsidP="00353005">
            <w:pPr>
              <w:spacing w:before="120" w:line="300" w:lineRule="exact"/>
              <w:jc w:val="right"/>
              <w:rPr>
                <w:rFonts w:asciiTheme="minorHAnsi" w:hAnsiTheme="minorHAnsi" w:cs="Arial"/>
                <w:b/>
                <w:sz w:val="22"/>
                <w:szCs w:val="22"/>
                <w:lang w:val="hr-HR"/>
              </w:rPr>
            </w:pPr>
            <w:r w:rsidRPr="001567C8">
              <w:rPr>
                <w:rFonts w:asciiTheme="minorHAnsi" w:hAnsiTheme="minorHAnsi" w:cs="Arial"/>
                <w:b/>
                <w:sz w:val="22"/>
                <w:szCs w:val="22"/>
                <w:lang w:val="hr-HR"/>
              </w:rPr>
              <w:t>Djelatnost</w:t>
            </w:r>
          </w:p>
        </w:tc>
        <w:tc>
          <w:tcPr>
            <w:tcW w:w="1346" w:type="dxa"/>
            <w:shd w:val="clear" w:color="auto" w:fill="auto"/>
            <w:vAlign w:val="bottom"/>
          </w:tcPr>
          <w:p w:rsidR="00D865CE" w:rsidRPr="001567C8" w:rsidRDefault="00D865CE" w:rsidP="00A154DF">
            <w:pPr>
              <w:spacing w:before="120" w:line="300" w:lineRule="exact"/>
              <w:jc w:val="right"/>
              <w:rPr>
                <w:rFonts w:asciiTheme="minorHAnsi" w:hAnsiTheme="minorHAnsi" w:cs="Arial"/>
                <w:b/>
                <w:sz w:val="22"/>
                <w:szCs w:val="22"/>
                <w:lang w:val="hr-HR"/>
              </w:rPr>
            </w:pPr>
            <w:r w:rsidRPr="001567C8">
              <w:rPr>
                <w:rFonts w:asciiTheme="minorHAnsi" w:hAnsiTheme="minorHAnsi" w:cs="Arial"/>
                <w:b/>
                <w:sz w:val="22"/>
                <w:szCs w:val="22"/>
                <w:lang w:val="hr-HR"/>
              </w:rPr>
              <w:t>Vl</w:t>
            </w:r>
            <w:r w:rsidR="00636B36" w:rsidRPr="001567C8">
              <w:rPr>
                <w:rFonts w:asciiTheme="minorHAnsi" w:hAnsiTheme="minorHAnsi" w:cs="Arial"/>
                <w:b/>
                <w:sz w:val="22"/>
                <w:szCs w:val="22"/>
                <w:lang w:val="hr-HR"/>
              </w:rPr>
              <w:t xml:space="preserve">asništvo </w:t>
            </w:r>
            <w:r w:rsidR="002F1F55" w:rsidRPr="002F1F55">
              <w:rPr>
                <w:rFonts w:asciiTheme="minorHAnsi" w:hAnsiTheme="minorHAnsi" w:cs="Arial"/>
                <w:b/>
                <w:sz w:val="22"/>
                <w:szCs w:val="22"/>
                <w:lang w:val="hr-HR"/>
              </w:rPr>
              <w:t xml:space="preserve">31. prosinca </w:t>
            </w:r>
            <w:r w:rsidR="003B6DA9" w:rsidRPr="001567C8">
              <w:rPr>
                <w:rFonts w:asciiTheme="minorHAnsi" w:hAnsiTheme="minorHAnsi" w:cs="Arial"/>
                <w:b/>
                <w:sz w:val="22"/>
                <w:szCs w:val="22"/>
                <w:lang w:val="hr-HR"/>
              </w:rPr>
              <w:t>2018</w:t>
            </w:r>
            <w:r w:rsidRPr="001567C8">
              <w:rPr>
                <w:rFonts w:asciiTheme="minorHAnsi" w:hAnsiTheme="minorHAnsi" w:cs="Arial"/>
                <w:b/>
                <w:sz w:val="22"/>
                <w:szCs w:val="22"/>
                <w:lang w:val="hr-HR"/>
              </w:rPr>
              <w:t>.</w:t>
            </w:r>
          </w:p>
        </w:tc>
        <w:tc>
          <w:tcPr>
            <w:tcW w:w="1347" w:type="dxa"/>
            <w:shd w:val="clear" w:color="auto" w:fill="auto"/>
            <w:vAlign w:val="bottom"/>
          </w:tcPr>
          <w:p w:rsidR="00D865CE" w:rsidRPr="001567C8" w:rsidRDefault="00636B36" w:rsidP="00A07B50">
            <w:pPr>
              <w:spacing w:before="120" w:line="300" w:lineRule="exact"/>
              <w:jc w:val="right"/>
              <w:rPr>
                <w:rFonts w:asciiTheme="minorHAnsi" w:hAnsiTheme="minorHAnsi" w:cs="Arial"/>
                <w:b/>
                <w:sz w:val="22"/>
                <w:szCs w:val="22"/>
                <w:lang w:val="hr-HR"/>
              </w:rPr>
            </w:pPr>
            <w:r w:rsidRPr="001567C8">
              <w:rPr>
                <w:rFonts w:asciiTheme="minorHAnsi" w:hAnsiTheme="minorHAnsi" w:cs="Arial"/>
                <w:b/>
                <w:sz w:val="22"/>
                <w:szCs w:val="22"/>
                <w:lang w:val="hr-HR"/>
              </w:rPr>
              <w:t xml:space="preserve">Vlasništvo </w:t>
            </w:r>
            <w:r w:rsidR="002F1F55" w:rsidRPr="002F1F55">
              <w:rPr>
                <w:rFonts w:asciiTheme="minorHAnsi" w:hAnsiTheme="minorHAnsi" w:cs="Arial"/>
                <w:b/>
                <w:sz w:val="22"/>
                <w:szCs w:val="22"/>
                <w:lang w:val="hr-HR"/>
              </w:rPr>
              <w:t xml:space="preserve">31. prosinca </w:t>
            </w:r>
            <w:r w:rsidR="003B6DA9" w:rsidRPr="001567C8">
              <w:rPr>
                <w:rFonts w:asciiTheme="minorHAnsi" w:hAnsiTheme="minorHAnsi" w:cs="Arial"/>
                <w:b/>
                <w:sz w:val="22"/>
                <w:szCs w:val="22"/>
                <w:lang w:val="hr-HR"/>
              </w:rPr>
              <w:t>2017</w:t>
            </w:r>
            <w:r w:rsidR="00D865CE" w:rsidRPr="001567C8">
              <w:rPr>
                <w:rFonts w:asciiTheme="minorHAnsi" w:hAnsiTheme="minorHAnsi" w:cs="Arial"/>
                <w:b/>
                <w:sz w:val="22"/>
                <w:szCs w:val="22"/>
                <w:lang w:val="hr-HR"/>
              </w:rPr>
              <w:t>.</w:t>
            </w:r>
          </w:p>
        </w:tc>
        <w:tc>
          <w:tcPr>
            <w:tcW w:w="1346" w:type="dxa"/>
            <w:shd w:val="clear" w:color="auto" w:fill="auto"/>
            <w:vAlign w:val="bottom"/>
          </w:tcPr>
          <w:p w:rsidR="00D865CE" w:rsidRPr="001567C8" w:rsidRDefault="00D865CE" w:rsidP="00A07B50">
            <w:pPr>
              <w:spacing w:before="120" w:line="300" w:lineRule="exact"/>
              <w:jc w:val="right"/>
              <w:rPr>
                <w:rFonts w:asciiTheme="minorHAnsi" w:hAnsiTheme="minorHAnsi" w:cs="Arial"/>
                <w:b/>
                <w:sz w:val="22"/>
                <w:szCs w:val="22"/>
                <w:lang w:val="hr-HR"/>
              </w:rPr>
            </w:pPr>
            <w:r w:rsidRPr="001567C8">
              <w:rPr>
                <w:rFonts w:asciiTheme="minorHAnsi" w:hAnsiTheme="minorHAnsi" w:cs="Arial"/>
                <w:b/>
                <w:sz w:val="22"/>
                <w:szCs w:val="22"/>
                <w:lang w:val="hr-HR"/>
              </w:rPr>
              <w:t xml:space="preserve">Ulaganje </w:t>
            </w:r>
            <w:r w:rsidR="002F1F55" w:rsidRPr="002F1F55">
              <w:rPr>
                <w:rFonts w:asciiTheme="minorHAnsi" w:hAnsiTheme="minorHAnsi" w:cs="Arial"/>
                <w:b/>
                <w:sz w:val="22"/>
                <w:szCs w:val="22"/>
                <w:lang w:val="hr-HR"/>
              </w:rPr>
              <w:t xml:space="preserve">31. prosinca </w:t>
            </w:r>
            <w:r w:rsidR="003B6DA9" w:rsidRPr="001567C8">
              <w:rPr>
                <w:rFonts w:asciiTheme="minorHAnsi" w:hAnsiTheme="minorHAnsi" w:cs="Arial"/>
                <w:b/>
                <w:sz w:val="22"/>
                <w:szCs w:val="22"/>
                <w:lang w:val="hr-HR"/>
              </w:rPr>
              <w:t>2018</w:t>
            </w:r>
            <w:r w:rsidRPr="001567C8">
              <w:rPr>
                <w:rFonts w:asciiTheme="minorHAnsi" w:hAnsiTheme="minorHAnsi" w:cs="Arial"/>
                <w:b/>
                <w:sz w:val="22"/>
                <w:szCs w:val="22"/>
                <w:lang w:val="hr-HR"/>
              </w:rPr>
              <w:t>.</w:t>
            </w:r>
          </w:p>
        </w:tc>
        <w:tc>
          <w:tcPr>
            <w:tcW w:w="1347" w:type="dxa"/>
            <w:shd w:val="clear" w:color="auto" w:fill="auto"/>
            <w:vAlign w:val="bottom"/>
          </w:tcPr>
          <w:p w:rsidR="00D865CE" w:rsidRPr="001567C8" w:rsidRDefault="00D865CE">
            <w:pPr>
              <w:spacing w:before="120" w:line="300" w:lineRule="exact"/>
              <w:jc w:val="right"/>
              <w:rPr>
                <w:rFonts w:asciiTheme="minorHAnsi" w:hAnsiTheme="minorHAnsi" w:cs="Arial"/>
                <w:b/>
                <w:sz w:val="22"/>
                <w:szCs w:val="22"/>
                <w:lang w:val="hr-HR"/>
              </w:rPr>
            </w:pPr>
            <w:r w:rsidRPr="001567C8">
              <w:rPr>
                <w:rFonts w:asciiTheme="minorHAnsi" w:hAnsiTheme="minorHAnsi" w:cs="Arial"/>
                <w:b/>
                <w:sz w:val="22"/>
                <w:szCs w:val="22"/>
                <w:lang w:val="hr-HR"/>
              </w:rPr>
              <w:t>Ulaganje</w:t>
            </w:r>
            <w:r w:rsidR="00636B36" w:rsidRPr="001567C8">
              <w:rPr>
                <w:rFonts w:asciiTheme="minorHAnsi" w:hAnsiTheme="minorHAnsi" w:cs="Arial"/>
                <w:b/>
                <w:sz w:val="22"/>
                <w:szCs w:val="22"/>
                <w:lang w:val="hr-HR"/>
              </w:rPr>
              <w:t xml:space="preserve"> </w:t>
            </w:r>
            <w:r w:rsidR="002F1F55" w:rsidRPr="002F1F55">
              <w:rPr>
                <w:rFonts w:asciiTheme="minorHAnsi" w:hAnsiTheme="minorHAnsi" w:cs="Arial"/>
                <w:b/>
                <w:sz w:val="22"/>
                <w:szCs w:val="22"/>
                <w:lang w:val="hr-HR"/>
              </w:rPr>
              <w:t xml:space="preserve">31. prosinca </w:t>
            </w:r>
            <w:r w:rsidR="003B6DA9" w:rsidRPr="001567C8">
              <w:rPr>
                <w:rFonts w:asciiTheme="minorHAnsi" w:hAnsiTheme="minorHAnsi" w:cs="Arial"/>
                <w:b/>
                <w:sz w:val="22"/>
                <w:szCs w:val="22"/>
                <w:lang w:val="hr-HR"/>
              </w:rPr>
              <w:t>2017</w:t>
            </w:r>
            <w:r w:rsidRPr="001567C8">
              <w:rPr>
                <w:rFonts w:asciiTheme="minorHAnsi" w:hAnsiTheme="minorHAnsi" w:cs="Arial"/>
                <w:b/>
                <w:sz w:val="22"/>
                <w:szCs w:val="22"/>
                <w:lang w:val="hr-HR"/>
              </w:rPr>
              <w:t>.</w:t>
            </w:r>
          </w:p>
        </w:tc>
      </w:tr>
      <w:tr w:rsidR="00D865CE" w:rsidRPr="001567C8" w:rsidTr="003C6BA3">
        <w:trPr>
          <w:jc w:val="center"/>
        </w:trPr>
        <w:tc>
          <w:tcPr>
            <w:tcW w:w="2268" w:type="dxa"/>
            <w:shd w:val="clear" w:color="auto" w:fill="auto"/>
          </w:tcPr>
          <w:p w:rsidR="00D865CE" w:rsidRPr="001567C8" w:rsidRDefault="00D865CE" w:rsidP="00353005">
            <w:pPr>
              <w:spacing w:before="120" w:line="300" w:lineRule="exact"/>
              <w:jc w:val="both"/>
              <w:rPr>
                <w:rFonts w:asciiTheme="minorHAnsi" w:hAnsiTheme="minorHAnsi" w:cs="Arial"/>
                <w:b/>
                <w:sz w:val="22"/>
                <w:szCs w:val="22"/>
                <w:lang w:val="hr-HR"/>
              </w:rPr>
            </w:pPr>
            <w:r w:rsidRPr="001567C8">
              <w:rPr>
                <w:rFonts w:asciiTheme="minorHAnsi" w:hAnsiTheme="minorHAnsi" w:cs="Arial"/>
                <w:b/>
                <w:sz w:val="22"/>
                <w:szCs w:val="22"/>
                <w:lang w:val="hr-HR"/>
              </w:rPr>
              <w:t>Direktan udio</w:t>
            </w:r>
          </w:p>
        </w:tc>
        <w:tc>
          <w:tcPr>
            <w:tcW w:w="1701" w:type="dxa"/>
            <w:shd w:val="clear" w:color="auto" w:fill="auto"/>
          </w:tcPr>
          <w:p w:rsidR="00D865CE" w:rsidRPr="001567C8" w:rsidRDefault="00D865CE" w:rsidP="00353005">
            <w:pPr>
              <w:spacing w:before="120" w:line="300" w:lineRule="exact"/>
              <w:jc w:val="both"/>
              <w:rPr>
                <w:rFonts w:asciiTheme="minorHAnsi" w:hAnsiTheme="minorHAnsi" w:cs="Arial"/>
                <w:b/>
                <w:sz w:val="22"/>
                <w:szCs w:val="22"/>
                <w:lang w:val="hr-HR"/>
              </w:rPr>
            </w:pPr>
          </w:p>
        </w:tc>
        <w:tc>
          <w:tcPr>
            <w:tcW w:w="1346" w:type="dxa"/>
            <w:shd w:val="clear" w:color="auto" w:fill="auto"/>
          </w:tcPr>
          <w:p w:rsidR="00D865CE" w:rsidRPr="001567C8" w:rsidRDefault="00D865CE" w:rsidP="00353005">
            <w:pPr>
              <w:spacing w:before="120" w:line="300" w:lineRule="exact"/>
              <w:jc w:val="both"/>
              <w:rPr>
                <w:rFonts w:asciiTheme="minorHAnsi" w:hAnsiTheme="minorHAnsi" w:cs="Arial"/>
                <w:b/>
                <w:sz w:val="22"/>
                <w:szCs w:val="22"/>
                <w:lang w:val="hr-HR"/>
              </w:rPr>
            </w:pPr>
          </w:p>
        </w:tc>
        <w:tc>
          <w:tcPr>
            <w:tcW w:w="1347" w:type="dxa"/>
            <w:shd w:val="clear" w:color="auto" w:fill="auto"/>
          </w:tcPr>
          <w:p w:rsidR="00D865CE" w:rsidRPr="001567C8" w:rsidRDefault="00D865CE" w:rsidP="00353005">
            <w:pPr>
              <w:spacing w:before="120" w:line="300" w:lineRule="exact"/>
              <w:jc w:val="both"/>
              <w:rPr>
                <w:rFonts w:asciiTheme="minorHAnsi" w:hAnsiTheme="minorHAnsi" w:cs="Arial"/>
                <w:b/>
                <w:sz w:val="22"/>
                <w:szCs w:val="22"/>
                <w:lang w:val="hr-HR"/>
              </w:rPr>
            </w:pPr>
          </w:p>
        </w:tc>
        <w:tc>
          <w:tcPr>
            <w:tcW w:w="1346" w:type="dxa"/>
            <w:shd w:val="clear" w:color="auto" w:fill="auto"/>
          </w:tcPr>
          <w:p w:rsidR="00D865CE" w:rsidRPr="001567C8" w:rsidRDefault="00D865CE" w:rsidP="00353005">
            <w:pPr>
              <w:spacing w:before="120" w:line="300" w:lineRule="exact"/>
              <w:jc w:val="both"/>
              <w:rPr>
                <w:rFonts w:asciiTheme="minorHAnsi" w:hAnsiTheme="minorHAnsi" w:cs="Arial"/>
                <w:b/>
                <w:sz w:val="22"/>
                <w:szCs w:val="22"/>
                <w:lang w:val="hr-HR"/>
              </w:rPr>
            </w:pPr>
          </w:p>
        </w:tc>
        <w:tc>
          <w:tcPr>
            <w:tcW w:w="1347" w:type="dxa"/>
            <w:shd w:val="clear" w:color="auto" w:fill="auto"/>
          </w:tcPr>
          <w:p w:rsidR="00D865CE" w:rsidRPr="001567C8" w:rsidRDefault="00D865CE" w:rsidP="00353005">
            <w:pPr>
              <w:spacing w:before="120" w:line="300" w:lineRule="exact"/>
              <w:jc w:val="both"/>
              <w:rPr>
                <w:rFonts w:asciiTheme="minorHAnsi" w:hAnsiTheme="minorHAnsi" w:cs="Arial"/>
                <w:b/>
                <w:sz w:val="22"/>
                <w:szCs w:val="22"/>
                <w:lang w:val="hr-HR"/>
              </w:rPr>
            </w:pPr>
          </w:p>
        </w:tc>
      </w:tr>
      <w:tr w:rsidR="00B5490B" w:rsidRPr="001567C8" w:rsidTr="003C6BA3">
        <w:trPr>
          <w:jc w:val="center"/>
        </w:trPr>
        <w:tc>
          <w:tcPr>
            <w:tcW w:w="2268" w:type="dxa"/>
            <w:shd w:val="clear" w:color="auto" w:fill="auto"/>
          </w:tcPr>
          <w:p w:rsidR="00B5490B" w:rsidRPr="001567C8" w:rsidRDefault="00B5490B" w:rsidP="00353005">
            <w:pPr>
              <w:spacing w:line="240" w:lineRule="exact"/>
              <w:rPr>
                <w:rFonts w:asciiTheme="minorHAnsi" w:hAnsiTheme="minorHAnsi" w:cs="Arial"/>
                <w:sz w:val="22"/>
                <w:szCs w:val="22"/>
                <w:lang w:val="hr-HR"/>
              </w:rPr>
            </w:pPr>
            <w:r w:rsidRPr="001567C8">
              <w:rPr>
                <w:rFonts w:asciiTheme="minorHAnsi" w:hAnsiTheme="minorHAnsi" w:cs="Arial"/>
                <w:sz w:val="22"/>
                <w:szCs w:val="22"/>
                <w:lang w:val="hr-HR"/>
              </w:rPr>
              <w:t>Hrvatsko kreditno osiguranje d.d. Zagreb, Republika Hrvatska</w:t>
            </w:r>
          </w:p>
        </w:tc>
        <w:tc>
          <w:tcPr>
            <w:tcW w:w="1701" w:type="dxa"/>
            <w:shd w:val="clear" w:color="auto" w:fill="auto"/>
            <w:vAlign w:val="center"/>
          </w:tcPr>
          <w:p w:rsidR="00B5490B" w:rsidRPr="001567C8" w:rsidRDefault="00B5490B" w:rsidP="00353005">
            <w:pPr>
              <w:spacing w:line="240" w:lineRule="exact"/>
              <w:jc w:val="right"/>
              <w:rPr>
                <w:rFonts w:asciiTheme="minorHAnsi" w:hAnsiTheme="minorHAnsi" w:cs="Arial"/>
                <w:sz w:val="22"/>
                <w:szCs w:val="22"/>
                <w:lang w:val="hr-HR"/>
              </w:rPr>
            </w:pPr>
            <w:r w:rsidRPr="001567C8">
              <w:rPr>
                <w:rFonts w:asciiTheme="minorHAnsi" w:hAnsiTheme="minorHAnsi" w:cs="Arial"/>
                <w:sz w:val="22"/>
                <w:szCs w:val="22"/>
                <w:lang w:val="hr-HR"/>
              </w:rPr>
              <w:t>osiguravanje inozemnih i domaćih kratkoročnih potraživanja poslovnih subjekata vezanih za isporuke roba i usluga</w:t>
            </w:r>
          </w:p>
        </w:tc>
        <w:tc>
          <w:tcPr>
            <w:tcW w:w="1346" w:type="dxa"/>
            <w:shd w:val="clear" w:color="auto" w:fill="auto"/>
            <w:vAlign w:val="center"/>
          </w:tcPr>
          <w:p w:rsidR="00B5490B" w:rsidRPr="001567C8" w:rsidRDefault="006033F5" w:rsidP="00353005">
            <w:pPr>
              <w:spacing w:line="240" w:lineRule="exact"/>
              <w:jc w:val="right"/>
              <w:rPr>
                <w:rFonts w:asciiTheme="minorHAnsi" w:hAnsiTheme="minorHAnsi" w:cs="Arial"/>
                <w:sz w:val="22"/>
                <w:szCs w:val="22"/>
                <w:lang w:val="hr-HR"/>
              </w:rPr>
            </w:pPr>
            <w:r w:rsidRPr="001567C8">
              <w:rPr>
                <w:rFonts w:asciiTheme="minorHAnsi" w:hAnsiTheme="minorHAnsi" w:cs="Arial"/>
                <w:sz w:val="22"/>
                <w:szCs w:val="22"/>
                <w:lang w:val="hr-HR"/>
              </w:rPr>
              <w:t>100%</w:t>
            </w:r>
          </w:p>
        </w:tc>
        <w:tc>
          <w:tcPr>
            <w:tcW w:w="1347" w:type="dxa"/>
            <w:shd w:val="clear" w:color="auto" w:fill="auto"/>
            <w:vAlign w:val="center"/>
          </w:tcPr>
          <w:p w:rsidR="00B5490B" w:rsidRPr="001567C8" w:rsidRDefault="0017192A" w:rsidP="00353005">
            <w:pPr>
              <w:spacing w:line="240" w:lineRule="exact"/>
              <w:jc w:val="right"/>
              <w:rPr>
                <w:rFonts w:asciiTheme="minorHAnsi" w:hAnsiTheme="minorHAnsi" w:cs="Arial"/>
                <w:sz w:val="22"/>
                <w:szCs w:val="22"/>
                <w:lang w:val="hr-HR"/>
              </w:rPr>
            </w:pPr>
            <w:r w:rsidRPr="001567C8">
              <w:rPr>
                <w:rFonts w:asciiTheme="minorHAnsi" w:hAnsiTheme="minorHAnsi" w:cs="Arial"/>
                <w:sz w:val="22"/>
                <w:szCs w:val="22"/>
                <w:lang w:val="hr-HR"/>
              </w:rPr>
              <w:t>100</w:t>
            </w:r>
            <w:r w:rsidR="00B5490B" w:rsidRPr="001567C8">
              <w:rPr>
                <w:rFonts w:asciiTheme="minorHAnsi" w:hAnsiTheme="minorHAnsi" w:cs="Arial"/>
                <w:sz w:val="22"/>
                <w:szCs w:val="22"/>
                <w:lang w:val="hr-HR"/>
              </w:rPr>
              <w:t>%</w:t>
            </w:r>
          </w:p>
        </w:tc>
        <w:tc>
          <w:tcPr>
            <w:tcW w:w="1346" w:type="dxa"/>
            <w:shd w:val="clear" w:color="auto" w:fill="auto"/>
            <w:vAlign w:val="center"/>
          </w:tcPr>
          <w:p w:rsidR="00B5490B" w:rsidRPr="001567C8" w:rsidRDefault="006033F5" w:rsidP="00353005">
            <w:pPr>
              <w:spacing w:line="240" w:lineRule="exact"/>
              <w:jc w:val="right"/>
              <w:rPr>
                <w:rFonts w:asciiTheme="minorHAnsi" w:hAnsiTheme="minorHAnsi" w:cs="Arial"/>
                <w:sz w:val="22"/>
                <w:szCs w:val="22"/>
                <w:lang w:val="hr-HR"/>
              </w:rPr>
            </w:pPr>
            <w:r w:rsidRPr="001567C8">
              <w:rPr>
                <w:rFonts w:asciiTheme="minorHAnsi" w:hAnsiTheme="minorHAnsi" w:cs="Arial"/>
                <w:sz w:val="22"/>
                <w:szCs w:val="22"/>
                <w:lang w:val="hr-HR"/>
              </w:rPr>
              <w:t>36.124</w:t>
            </w:r>
          </w:p>
        </w:tc>
        <w:tc>
          <w:tcPr>
            <w:tcW w:w="1347" w:type="dxa"/>
            <w:shd w:val="clear" w:color="auto" w:fill="auto"/>
            <w:vAlign w:val="center"/>
          </w:tcPr>
          <w:p w:rsidR="00B5490B" w:rsidRPr="001567C8" w:rsidRDefault="0017192A" w:rsidP="00815E7F">
            <w:pPr>
              <w:spacing w:line="240" w:lineRule="exact"/>
              <w:jc w:val="right"/>
              <w:rPr>
                <w:rFonts w:asciiTheme="minorHAnsi" w:hAnsiTheme="minorHAnsi" w:cs="Arial"/>
                <w:sz w:val="22"/>
                <w:szCs w:val="22"/>
                <w:lang w:val="hr-HR"/>
              </w:rPr>
            </w:pPr>
            <w:r w:rsidRPr="001567C8">
              <w:rPr>
                <w:rFonts w:asciiTheme="minorHAnsi" w:hAnsiTheme="minorHAnsi" w:cs="Arial"/>
                <w:sz w:val="22"/>
                <w:szCs w:val="22"/>
                <w:lang w:val="hr-HR"/>
              </w:rPr>
              <w:t>36.124</w:t>
            </w:r>
          </w:p>
        </w:tc>
      </w:tr>
      <w:tr w:rsidR="00B5490B" w:rsidRPr="001567C8" w:rsidTr="003C6BA3">
        <w:trPr>
          <w:jc w:val="center"/>
        </w:trPr>
        <w:tc>
          <w:tcPr>
            <w:tcW w:w="2268" w:type="dxa"/>
            <w:shd w:val="clear" w:color="auto" w:fill="auto"/>
          </w:tcPr>
          <w:p w:rsidR="00B5490B" w:rsidRPr="001567C8" w:rsidRDefault="00B5490B" w:rsidP="00A07B50">
            <w:pPr>
              <w:spacing w:line="300" w:lineRule="exact"/>
              <w:rPr>
                <w:rFonts w:asciiTheme="minorHAnsi" w:hAnsiTheme="minorHAnsi" w:cs="Arial"/>
                <w:b/>
                <w:sz w:val="22"/>
                <w:szCs w:val="22"/>
                <w:lang w:val="hr-HR"/>
              </w:rPr>
            </w:pPr>
            <w:r w:rsidRPr="001567C8">
              <w:rPr>
                <w:rFonts w:asciiTheme="minorHAnsi" w:hAnsiTheme="minorHAnsi" w:cs="Arial"/>
                <w:b/>
                <w:sz w:val="22"/>
                <w:szCs w:val="22"/>
                <w:lang w:val="hr-HR"/>
              </w:rPr>
              <w:t>U</w:t>
            </w:r>
            <w:r w:rsidR="00A07B50" w:rsidRPr="001567C8">
              <w:rPr>
                <w:rFonts w:asciiTheme="minorHAnsi" w:hAnsiTheme="minorHAnsi" w:cs="Arial"/>
                <w:b/>
                <w:sz w:val="22"/>
                <w:szCs w:val="22"/>
                <w:lang w:val="hr-HR"/>
              </w:rPr>
              <w:t>kupno</w:t>
            </w:r>
          </w:p>
        </w:tc>
        <w:tc>
          <w:tcPr>
            <w:tcW w:w="1701" w:type="dxa"/>
            <w:shd w:val="clear" w:color="auto" w:fill="auto"/>
          </w:tcPr>
          <w:p w:rsidR="00B5490B" w:rsidRPr="001567C8" w:rsidRDefault="00B5490B" w:rsidP="00353005">
            <w:pPr>
              <w:spacing w:line="300" w:lineRule="exact"/>
              <w:jc w:val="both"/>
              <w:rPr>
                <w:rFonts w:asciiTheme="minorHAnsi" w:hAnsiTheme="minorHAnsi" w:cs="Arial"/>
                <w:b/>
                <w:sz w:val="22"/>
                <w:szCs w:val="22"/>
                <w:lang w:val="hr-HR"/>
              </w:rPr>
            </w:pPr>
          </w:p>
        </w:tc>
        <w:tc>
          <w:tcPr>
            <w:tcW w:w="1346" w:type="dxa"/>
            <w:shd w:val="clear" w:color="auto" w:fill="auto"/>
          </w:tcPr>
          <w:p w:rsidR="00B5490B" w:rsidRPr="001567C8" w:rsidRDefault="00B5490B" w:rsidP="00353005">
            <w:pPr>
              <w:spacing w:line="300" w:lineRule="exact"/>
              <w:jc w:val="both"/>
              <w:rPr>
                <w:rFonts w:asciiTheme="minorHAnsi" w:hAnsiTheme="minorHAnsi" w:cs="Arial"/>
                <w:b/>
                <w:sz w:val="22"/>
                <w:szCs w:val="22"/>
                <w:lang w:val="hr-HR"/>
              </w:rPr>
            </w:pPr>
          </w:p>
        </w:tc>
        <w:tc>
          <w:tcPr>
            <w:tcW w:w="1347" w:type="dxa"/>
            <w:shd w:val="clear" w:color="auto" w:fill="auto"/>
          </w:tcPr>
          <w:p w:rsidR="00B5490B" w:rsidRPr="001567C8" w:rsidRDefault="00B5490B" w:rsidP="00353005">
            <w:pPr>
              <w:spacing w:line="300" w:lineRule="exact"/>
              <w:jc w:val="both"/>
              <w:rPr>
                <w:rFonts w:asciiTheme="minorHAnsi" w:hAnsiTheme="minorHAnsi" w:cs="Arial"/>
                <w:b/>
                <w:sz w:val="22"/>
                <w:szCs w:val="22"/>
                <w:lang w:val="hr-HR"/>
              </w:rPr>
            </w:pPr>
          </w:p>
        </w:tc>
        <w:tc>
          <w:tcPr>
            <w:tcW w:w="1346" w:type="dxa"/>
            <w:tcBorders>
              <w:top w:val="single" w:sz="4" w:space="0" w:color="auto"/>
              <w:bottom w:val="single" w:sz="12" w:space="0" w:color="auto"/>
            </w:tcBorders>
            <w:shd w:val="clear" w:color="auto" w:fill="auto"/>
          </w:tcPr>
          <w:p w:rsidR="00B5490B" w:rsidRPr="001567C8" w:rsidRDefault="006033F5" w:rsidP="00353005">
            <w:pPr>
              <w:spacing w:line="300" w:lineRule="exact"/>
              <w:jc w:val="right"/>
              <w:rPr>
                <w:rFonts w:asciiTheme="minorHAnsi" w:hAnsiTheme="minorHAnsi" w:cs="Arial"/>
                <w:b/>
                <w:sz w:val="22"/>
                <w:szCs w:val="22"/>
                <w:lang w:val="hr-HR"/>
              </w:rPr>
            </w:pPr>
            <w:r w:rsidRPr="001567C8">
              <w:rPr>
                <w:rFonts w:asciiTheme="minorHAnsi" w:hAnsiTheme="minorHAnsi" w:cs="Arial"/>
                <w:b/>
                <w:sz w:val="22"/>
                <w:szCs w:val="22"/>
                <w:lang w:val="hr-HR"/>
              </w:rPr>
              <w:t>36.124</w:t>
            </w:r>
          </w:p>
        </w:tc>
        <w:tc>
          <w:tcPr>
            <w:tcW w:w="1347" w:type="dxa"/>
            <w:tcBorders>
              <w:top w:val="single" w:sz="4" w:space="0" w:color="auto"/>
              <w:bottom w:val="single" w:sz="12" w:space="0" w:color="auto"/>
            </w:tcBorders>
            <w:shd w:val="clear" w:color="auto" w:fill="auto"/>
          </w:tcPr>
          <w:p w:rsidR="00B5490B" w:rsidRPr="001567C8" w:rsidRDefault="0017192A" w:rsidP="00815E7F">
            <w:pPr>
              <w:spacing w:line="300" w:lineRule="exact"/>
              <w:jc w:val="right"/>
              <w:rPr>
                <w:rFonts w:asciiTheme="minorHAnsi" w:hAnsiTheme="minorHAnsi" w:cs="Arial"/>
                <w:b/>
                <w:sz w:val="22"/>
                <w:szCs w:val="22"/>
                <w:lang w:val="hr-HR"/>
              </w:rPr>
            </w:pPr>
            <w:r w:rsidRPr="001567C8">
              <w:rPr>
                <w:rFonts w:asciiTheme="minorHAnsi" w:hAnsiTheme="minorHAnsi" w:cs="Arial"/>
                <w:b/>
                <w:sz w:val="22"/>
                <w:szCs w:val="22"/>
                <w:lang w:val="hr-HR"/>
              </w:rPr>
              <w:t>36.124</w:t>
            </w:r>
          </w:p>
        </w:tc>
      </w:tr>
    </w:tbl>
    <w:p w:rsidR="00A07B50" w:rsidRPr="001567C8" w:rsidRDefault="00A07B50" w:rsidP="00867990">
      <w:pPr>
        <w:pStyle w:val="T1"/>
        <w:spacing w:before="0" w:after="0" w:line="240" w:lineRule="auto"/>
        <w:rPr>
          <w:rFonts w:asciiTheme="minorHAnsi" w:hAnsiTheme="minorHAnsi" w:cs="Arial"/>
          <w:sz w:val="22"/>
          <w:szCs w:val="22"/>
          <w:lang w:val="hr-HR"/>
        </w:rPr>
      </w:pPr>
    </w:p>
    <w:p w:rsidR="002651AC" w:rsidRPr="001567C8" w:rsidRDefault="002651AC" w:rsidP="00867990">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Rezultati povezanog društva daju se u Dodatku uz financijske izvještaje – Financijsko poslovanje Grupe HKO.</w:t>
      </w:r>
    </w:p>
    <w:p w:rsidR="00A07B50" w:rsidRPr="001567C8" w:rsidRDefault="00A07B50" w:rsidP="00867990">
      <w:pPr>
        <w:pStyle w:val="T1"/>
        <w:spacing w:before="0" w:after="0" w:line="240" w:lineRule="auto"/>
        <w:rPr>
          <w:rFonts w:asciiTheme="minorHAnsi" w:hAnsiTheme="minorHAnsi" w:cs="Arial"/>
          <w:sz w:val="22"/>
          <w:szCs w:val="22"/>
          <w:lang w:val="hr-HR"/>
        </w:rPr>
        <w:sectPr w:rsidR="00A07B50" w:rsidRPr="001567C8" w:rsidSect="003E2D7A">
          <w:pgSz w:w="11907" w:h="16840" w:code="9"/>
          <w:pgMar w:top="1418" w:right="1134" w:bottom="1134" w:left="1418" w:header="851" w:footer="851" w:gutter="0"/>
          <w:cols w:space="720"/>
          <w:noEndnote/>
        </w:sectPr>
      </w:pPr>
    </w:p>
    <w:p w:rsidR="00A07B50" w:rsidRPr="001567C8" w:rsidRDefault="00A07B50" w:rsidP="00867990">
      <w:pPr>
        <w:pStyle w:val="T1"/>
        <w:spacing w:before="0" w:after="0" w:line="240" w:lineRule="auto"/>
        <w:rPr>
          <w:rFonts w:asciiTheme="minorHAnsi" w:hAnsiTheme="minorHAnsi" w:cs="Arial"/>
          <w:sz w:val="22"/>
          <w:szCs w:val="22"/>
          <w:lang w:val="hr-HR"/>
        </w:rPr>
      </w:pPr>
    </w:p>
    <w:p w:rsidR="00FA1D46" w:rsidRPr="001567C8" w:rsidRDefault="00C9220F" w:rsidP="00867990">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23</w:t>
      </w:r>
      <w:r w:rsidR="00FA1D46" w:rsidRPr="001567C8">
        <w:rPr>
          <w:rFonts w:asciiTheme="minorHAnsi" w:hAnsiTheme="minorHAnsi" w:cs="Arial"/>
          <w:sz w:val="22"/>
          <w:szCs w:val="22"/>
          <w:lang w:val="hr-HR"/>
        </w:rPr>
        <w:t>.</w:t>
      </w:r>
      <w:r w:rsidR="00FA1D46" w:rsidRPr="001567C8">
        <w:rPr>
          <w:rFonts w:asciiTheme="minorHAnsi" w:hAnsiTheme="minorHAnsi" w:cs="Arial"/>
          <w:sz w:val="22"/>
          <w:szCs w:val="22"/>
          <w:lang w:val="hr-HR"/>
        </w:rPr>
        <w:tab/>
        <w:t>Ulaganja u pridružena društva</w:t>
      </w:r>
      <w:r w:rsidR="00FA1D46" w:rsidRPr="001567C8">
        <w:rPr>
          <w:rFonts w:asciiTheme="minorHAnsi" w:hAnsiTheme="minorHAnsi" w:cs="Arial"/>
          <w:sz w:val="22"/>
          <w:szCs w:val="22"/>
          <w:lang w:val="hr-HR"/>
        </w:rPr>
        <w:tab/>
      </w:r>
    </w:p>
    <w:p w:rsidR="000675A2" w:rsidRPr="001567C8" w:rsidRDefault="000675A2" w:rsidP="00867990">
      <w:pPr>
        <w:pStyle w:val="T1"/>
        <w:spacing w:before="0" w:after="0" w:line="240" w:lineRule="auto"/>
        <w:rPr>
          <w:rFonts w:asciiTheme="minorHAnsi" w:hAnsiTheme="minorHAnsi" w:cs="Arial"/>
          <w:sz w:val="22"/>
          <w:szCs w:val="22"/>
          <w:lang w:val="hr-HR"/>
        </w:rPr>
      </w:pPr>
    </w:p>
    <w:tbl>
      <w:tblPr>
        <w:tblW w:w="5000" w:type="pct"/>
        <w:tblCellMar>
          <w:left w:w="122" w:type="dxa"/>
          <w:right w:w="122" w:type="dxa"/>
        </w:tblCellMar>
        <w:tblLook w:val="0000" w:firstRow="0" w:lastRow="0" w:firstColumn="0" w:lastColumn="0" w:noHBand="0" w:noVBand="0"/>
      </w:tblPr>
      <w:tblGrid>
        <w:gridCol w:w="3580"/>
        <w:gridCol w:w="1444"/>
        <w:gridCol w:w="1444"/>
        <w:gridCol w:w="1444"/>
        <w:gridCol w:w="1443"/>
      </w:tblGrid>
      <w:tr w:rsidR="00815E7F" w:rsidRPr="001567C8" w:rsidTr="00C85C52">
        <w:trPr>
          <w:trHeight w:val="300"/>
        </w:trPr>
        <w:tc>
          <w:tcPr>
            <w:tcW w:w="1913" w:type="pct"/>
          </w:tcPr>
          <w:p w:rsidR="00815E7F" w:rsidRPr="001567C8" w:rsidRDefault="00815E7F" w:rsidP="00003051">
            <w:pPr>
              <w:tabs>
                <w:tab w:val="left" w:pos="-720"/>
              </w:tabs>
              <w:suppressAutoHyphens/>
              <w:spacing w:line="240" w:lineRule="exact"/>
              <w:rPr>
                <w:rFonts w:asciiTheme="minorHAnsi" w:hAnsiTheme="minorHAnsi" w:cs="Arial"/>
                <w:spacing w:val="-3"/>
                <w:sz w:val="21"/>
                <w:szCs w:val="21"/>
                <w:lang w:val="hr-HR"/>
              </w:rPr>
            </w:pPr>
          </w:p>
        </w:tc>
        <w:tc>
          <w:tcPr>
            <w:tcW w:w="772" w:type="pct"/>
            <w:vAlign w:val="center"/>
          </w:tcPr>
          <w:p w:rsidR="00815E7F" w:rsidRPr="001567C8" w:rsidRDefault="00815E7F" w:rsidP="00815E7F">
            <w:pPr>
              <w:pStyle w:val="TH"/>
              <w:jc w:val="right"/>
              <w:rPr>
                <w:rFonts w:asciiTheme="minorHAnsi" w:hAnsiTheme="minorHAnsi" w:cs="Arial"/>
                <w:sz w:val="21"/>
                <w:szCs w:val="21"/>
                <w:lang w:val="hr-HR"/>
              </w:rPr>
            </w:pPr>
          </w:p>
        </w:tc>
        <w:tc>
          <w:tcPr>
            <w:tcW w:w="772" w:type="pct"/>
            <w:vAlign w:val="center"/>
          </w:tcPr>
          <w:p w:rsidR="00815E7F" w:rsidRPr="001567C8" w:rsidRDefault="002870E4" w:rsidP="009735D1">
            <w:pPr>
              <w:pStyle w:val="TH"/>
              <w:jc w:val="right"/>
              <w:rPr>
                <w:rFonts w:asciiTheme="minorHAnsi" w:hAnsiTheme="minorHAnsi" w:cs="Arial"/>
                <w:sz w:val="21"/>
                <w:szCs w:val="21"/>
                <w:lang w:val="hr-HR"/>
              </w:rPr>
            </w:pPr>
            <w:r w:rsidRPr="001567C8">
              <w:rPr>
                <w:rFonts w:asciiTheme="minorHAnsi" w:hAnsiTheme="minorHAnsi" w:cs="Arial"/>
                <w:sz w:val="21"/>
                <w:szCs w:val="21"/>
                <w:lang w:val="hr-HR"/>
              </w:rPr>
              <w:t>Grupa</w:t>
            </w:r>
          </w:p>
        </w:tc>
        <w:tc>
          <w:tcPr>
            <w:tcW w:w="772" w:type="pct"/>
            <w:vAlign w:val="center"/>
          </w:tcPr>
          <w:p w:rsidR="00815E7F" w:rsidRPr="001567C8" w:rsidRDefault="00815E7F" w:rsidP="009735D1">
            <w:pPr>
              <w:pStyle w:val="TH"/>
              <w:jc w:val="right"/>
              <w:rPr>
                <w:rFonts w:asciiTheme="minorHAnsi" w:hAnsiTheme="minorHAnsi" w:cs="Arial"/>
                <w:sz w:val="21"/>
                <w:szCs w:val="21"/>
                <w:lang w:val="hr-HR"/>
              </w:rPr>
            </w:pPr>
          </w:p>
        </w:tc>
        <w:tc>
          <w:tcPr>
            <w:tcW w:w="771" w:type="pct"/>
            <w:vAlign w:val="center"/>
          </w:tcPr>
          <w:p w:rsidR="00815E7F" w:rsidRPr="001567C8" w:rsidRDefault="002870E4" w:rsidP="009735D1">
            <w:pPr>
              <w:pStyle w:val="TH"/>
              <w:jc w:val="right"/>
              <w:rPr>
                <w:rFonts w:asciiTheme="minorHAnsi" w:hAnsiTheme="minorHAnsi" w:cs="Arial"/>
                <w:sz w:val="21"/>
                <w:szCs w:val="21"/>
                <w:lang w:val="hr-HR"/>
              </w:rPr>
            </w:pPr>
            <w:r w:rsidRPr="001567C8">
              <w:rPr>
                <w:rFonts w:asciiTheme="minorHAnsi" w:hAnsiTheme="minorHAnsi" w:cs="Arial"/>
                <w:sz w:val="21"/>
                <w:szCs w:val="21"/>
                <w:lang w:val="hr-HR"/>
              </w:rPr>
              <w:t>Banka</w:t>
            </w:r>
          </w:p>
        </w:tc>
      </w:tr>
      <w:tr w:rsidR="001644AF" w:rsidRPr="001567C8" w:rsidTr="003C6BA3">
        <w:trPr>
          <w:trHeight w:val="703"/>
        </w:trPr>
        <w:tc>
          <w:tcPr>
            <w:tcW w:w="1913" w:type="pct"/>
          </w:tcPr>
          <w:p w:rsidR="001644AF" w:rsidRPr="001567C8" w:rsidRDefault="001644AF" w:rsidP="001644AF">
            <w:pPr>
              <w:tabs>
                <w:tab w:val="left" w:pos="-720"/>
              </w:tabs>
              <w:suppressAutoHyphens/>
              <w:spacing w:line="240" w:lineRule="exact"/>
              <w:rPr>
                <w:rFonts w:asciiTheme="minorHAnsi" w:hAnsiTheme="minorHAnsi" w:cs="Arial"/>
                <w:spacing w:val="-3"/>
                <w:sz w:val="21"/>
                <w:szCs w:val="21"/>
                <w:lang w:val="hr-HR"/>
              </w:rPr>
            </w:pPr>
          </w:p>
        </w:tc>
        <w:tc>
          <w:tcPr>
            <w:tcW w:w="772" w:type="pct"/>
          </w:tcPr>
          <w:p w:rsidR="001644AF" w:rsidRPr="001567C8" w:rsidRDefault="002F1F55" w:rsidP="003C6BA3">
            <w:pPr>
              <w:spacing w:before="120" w:line="300" w:lineRule="exact"/>
              <w:jc w:val="right"/>
              <w:rPr>
                <w:rFonts w:asciiTheme="minorHAnsi" w:hAnsiTheme="minorHAnsi" w:cs="Arial"/>
                <w:sz w:val="21"/>
                <w:szCs w:val="21"/>
                <w:lang w:val="hr-HR"/>
              </w:rPr>
            </w:pPr>
            <w:r w:rsidRPr="002F1F55">
              <w:rPr>
                <w:rFonts w:asciiTheme="minorHAnsi" w:hAnsiTheme="minorHAnsi" w:cs="Arial"/>
                <w:b/>
                <w:sz w:val="22"/>
                <w:szCs w:val="22"/>
                <w:lang w:val="hr-HR"/>
              </w:rPr>
              <w:t xml:space="preserve">31. prosinca </w:t>
            </w:r>
            <w:r w:rsidR="001644AF" w:rsidRPr="001567C8">
              <w:rPr>
                <w:rFonts w:asciiTheme="minorHAnsi" w:hAnsiTheme="minorHAnsi" w:cs="Arial"/>
                <w:b/>
                <w:sz w:val="21"/>
                <w:szCs w:val="21"/>
                <w:lang w:val="hr-HR"/>
              </w:rPr>
              <w:t>2018.</w:t>
            </w:r>
          </w:p>
        </w:tc>
        <w:tc>
          <w:tcPr>
            <w:tcW w:w="772" w:type="pct"/>
          </w:tcPr>
          <w:p w:rsidR="001644AF" w:rsidRPr="001567C8" w:rsidRDefault="002F1F55" w:rsidP="003C6BA3">
            <w:pPr>
              <w:spacing w:before="120" w:line="300" w:lineRule="exact"/>
              <w:jc w:val="right"/>
              <w:rPr>
                <w:rFonts w:asciiTheme="minorHAnsi" w:hAnsiTheme="minorHAnsi" w:cs="Arial"/>
                <w:sz w:val="21"/>
                <w:szCs w:val="21"/>
                <w:lang w:val="hr-HR"/>
              </w:rPr>
            </w:pPr>
            <w:r w:rsidRPr="002F1F55">
              <w:rPr>
                <w:rFonts w:asciiTheme="minorHAnsi" w:hAnsiTheme="minorHAnsi" w:cs="Arial"/>
                <w:b/>
                <w:sz w:val="22"/>
                <w:szCs w:val="22"/>
                <w:lang w:val="hr-HR"/>
              </w:rPr>
              <w:t xml:space="preserve">31. prosinca </w:t>
            </w:r>
            <w:r w:rsidR="001644AF" w:rsidRPr="001567C8">
              <w:rPr>
                <w:rFonts w:asciiTheme="minorHAnsi" w:hAnsiTheme="minorHAnsi" w:cs="Arial"/>
                <w:b/>
                <w:sz w:val="21"/>
                <w:szCs w:val="21"/>
                <w:lang w:val="hr-HR"/>
              </w:rPr>
              <w:t>2017.</w:t>
            </w:r>
          </w:p>
        </w:tc>
        <w:tc>
          <w:tcPr>
            <w:tcW w:w="772" w:type="pct"/>
          </w:tcPr>
          <w:p w:rsidR="001644AF" w:rsidRPr="001567C8" w:rsidRDefault="002F1F55" w:rsidP="003C6BA3">
            <w:pPr>
              <w:spacing w:before="120" w:line="300" w:lineRule="exact"/>
              <w:jc w:val="right"/>
              <w:rPr>
                <w:rFonts w:asciiTheme="minorHAnsi" w:hAnsiTheme="minorHAnsi" w:cs="Arial"/>
                <w:sz w:val="21"/>
                <w:szCs w:val="21"/>
                <w:lang w:val="hr-HR"/>
              </w:rPr>
            </w:pPr>
            <w:r w:rsidRPr="002F1F55">
              <w:rPr>
                <w:rFonts w:asciiTheme="minorHAnsi" w:hAnsiTheme="minorHAnsi" w:cs="Arial"/>
                <w:b/>
                <w:sz w:val="22"/>
                <w:szCs w:val="22"/>
                <w:lang w:val="hr-HR"/>
              </w:rPr>
              <w:t xml:space="preserve">31. prosinca </w:t>
            </w:r>
            <w:r w:rsidR="001644AF" w:rsidRPr="001567C8">
              <w:rPr>
                <w:rFonts w:asciiTheme="minorHAnsi" w:hAnsiTheme="minorHAnsi" w:cs="Arial"/>
                <w:b/>
                <w:sz w:val="21"/>
                <w:szCs w:val="21"/>
                <w:lang w:val="hr-HR"/>
              </w:rPr>
              <w:t>2018.</w:t>
            </w:r>
          </w:p>
        </w:tc>
        <w:tc>
          <w:tcPr>
            <w:tcW w:w="771" w:type="pct"/>
          </w:tcPr>
          <w:p w:rsidR="001644AF" w:rsidRPr="001567C8" w:rsidRDefault="002F1F55" w:rsidP="003C6BA3">
            <w:pPr>
              <w:spacing w:before="120" w:line="300" w:lineRule="exact"/>
              <w:jc w:val="right"/>
              <w:rPr>
                <w:rFonts w:asciiTheme="minorHAnsi" w:hAnsiTheme="minorHAnsi" w:cs="Arial"/>
                <w:sz w:val="21"/>
                <w:szCs w:val="21"/>
                <w:lang w:val="hr-HR"/>
              </w:rPr>
            </w:pPr>
            <w:r w:rsidRPr="002F1F55">
              <w:rPr>
                <w:rFonts w:asciiTheme="minorHAnsi" w:hAnsiTheme="minorHAnsi" w:cs="Arial"/>
                <w:b/>
                <w:sz w:val="22"/>
                <w:szCs w:val="22"/>
                <w:lang w:val="hr-HR"/>
              </w:rPr>
              <w:t xml:space="preserve">31. prosinca </w:t>
            </w:r>
            <w:r w:rsidR="001644AF" w:rsidRPr="001567C8">
              <w:rPr>
                <w:rFonts w:asciiTheme="minorHAnsi" w:hAnsiTheme="minorHAnsi" w:cs="Arial"/>
                <w:b/>
                <w:sz w:val="21"/>
                <w:szCs w:val="21"/>
                <w:lang w:val="hr-HR"/>
              </w:rPr>
              <w:t>2017.</w:t>
            </w:r>
          </w:p>
        </w:tc>
      </w:tr>
      <w:tr w:rsidR="00A07B50" w:rsidRPr="001567C8" w:rsidTr="00C85C52">
        <w:trPr>
          <w:trHeight w:val="187"/>
        </w:trPr>
        <w:tc>
          <w:tcPr>
            <w:tcW w:w="1913" w:type="pct"/>
          </w:tcPr>
          <w:p w:rsidR="00A07B50" w:rsidRPr="001567C8" w:rsidRDefault="00A07B50" w:rsidP="00A07B50">
            <w:pPr>
              <w:tabs>
                <w:tab w:val="left" w:pos="-720"/>
              </w:tabs>
              <w:suppressAutoHyphens/>
              <w:spacing w:line="240" w:lineRule="exact"/>
              <w:jc w:val="right"/>
              <w:rPr>
                <w:rFonts w:asciiTheme="minorHAnsi" w:hAnsiTheme="minorHAnsi" w:cs="Arial"/>
                <w:spacing w:val="-3"/>
                <w:sz w:val="21"/>
                <w:szCs w:val="21"/>
                <w:lang w:val="hr-HR"/>
              </w:rPr>
            </w:pPr>
          </w:p>
        </w:tc>
        <w:tc>
          <w:tcPr>
            <w:tcW w:w="772" w:type="pct"/>
            <w:vAlign w:val="bottom"/>
          </w:tcPr>
          <w:p w:rsidR="00A07B50" w:rsidRPr="001567C8" w:rsidRDefault="00A07B50" w:rsidP="00A07B50">
            <w:pPr>
              <w:pStyle w:val="TH"/>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000 kuna</w:t>
            </w:r>
          </w:p>
        </w:tc>
        <w:tc>
          <w:tcPr>
            <w:tcW w:w="772" w:type="pct"/>
            <w:vAlign w:val="bottom"/>
          </w:tcPr>
          <w:p w:rsidR="00A07B50" w:rsidRPr="001567C8" w:rsidRDefault="00A07B50" w:rsidP="00A07B50">
            <w:pPr>
              <w:pStyle w:val="TH"/>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000 kuna</w:t>
            </w:r>
          </w:p>
        </w:tc>
        <w:tc>
          <w:tcPr>
            <w:tcW w:w="772" w:type="pct"/>
            <w:vAlign w:val="bottom"/>
          </w:tcPr>
          <w:p w:rsidR="00A07B50" w:rsidRPr="001567C8" w:rsidRDefault="00A07B50" w:rsidP="00A07B50">
            <w:pPr>
              <w:pStyle w:val="TH"/>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000 kuna</w:t>
            </w:r>
          </w:p>
        </w:tc>
        <w:tc>
          <w:tcPr>
            <w:tcW w:w="771" w:type="pct"/>
            <w:vAlign w:val="bottom"/>
          </w:tcPr>
          <w:p w:rsidR="00A07B50" w:rsidRPr="001567C8" w:rsidRDefault="00A07B50" w:rsidP="00A07B50">
            <w:pPr>
              <w:pStyle w:val="TH"/>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000 kuna</w:t>
            </w:r>
          </w:p>
        </w:tc>
      </w:tr>
      <w:tr w:rsidR="00A07B50" w:rsidRPr="001567C8" w:rsidTr="00C85C52">
        <w:tc>
          <w:tcPr>
            <w:tcW w:w="1913" w:type="pct"/>
          </w:tcPr>
          <w:p w:rsidR="00A07B50" w:rsidRPr="001567C8" w:rsidRDefault="00A07B50" w:rsidP="00A07B50">
            <w:pPr>
              <w:tabs>
                <w:tab w:val="left" w:pos="-720"/>
              </w:tabs>
              <w:suppressAutoHyphens/>
              <w:spacing w:line="140" w:lineRule="exact"/>
              <w:rPr>
                <w:rFonts w:asciiTheme="minorHAnsi" w:hAnsiTheme="minorHAnsi" w:cs="Arial"/>
                <w:spacing w:val="-2"/>
                <w:sz w:val="21"/>
                <w:szCs w:val="21"/>
                <w:lang w:val="hr-HR"/>
              </w:rPr>
            </w:pPr>
          </w:p>
        </w:tc>
        <w:tc>
          <w:tcPr>
            <w:tcW w:w="772" w:type="pct"/>
          </w:tcPr>
          <w:p w:rsidR="00A07B50" w:rsidRPr="001567C8" w:rsidRDefault="00A07B50" w:rsidP="00A07B50">
            <w:pPr>
              <w:suppressAutoHyphens/>
              <w:spacing w:line="140" w:lineRule="exact"/>
              <w:jc w:val="right"/>
              <w:rPr>
                <w:rFonts w:asciiTheme="minorHAnsi" w:hAnsiTheme="minorHAnsi" w:cs="Arial"/>
                <w:spacing w:val="-2"/>
                <w:sz w:val="21"/>
                <w:szCs w:val="21"/>
                <w:lang w:val="hr-HR"/>
              </w:rPr>
            </w:pPr>
          </w:p>
        </w:tc>
        <w:tc>
          <w:tcPr>
            <w:tcW w:w="772" w:type="pct"/>
          </w:tcPr>
          <w:p w:rsidR="00A07B50" w:rsidRPr="001567C8" w:rsidRDefault="00A07B50" w:rsidP="00A07B50">
            <w:pPr>
              <w:suppressAutoHyphens/>
              <w:spacing w:line="140" w:lineRule="exact"/>
              <w:jc w:val="right"/>
              <w:rPr>
                <w:rFonts w:asciiTheme="minorHAnsi" w:hAnsiTheme="minorHAnsi" w:cs="Arial"/>
                <w:spacing w:val="-2"/>
                <w:sz w:val="21"/>
                <w:szCs w:val="21"/>
                <w:lang w:val="hr-HR"/>
              </w:rPr>
            </w:pPr>
          </w:p>
        </w:tc>
        <w:tc>
          <w:tcPr>
            <w:tcW w:w="772" w:type="pct"/>
            <w:vAlign w:val="bottom"/>
          </w:tcPr>
          <w:p w:rsidR="00A07B50" w:rsidRPr="001567C8" w:rsidRDefault="00A07B50" w:rsidP="00A07B50">
            <w:pPr>
              <w:suppressAutoHyphens/>
              <w:spacing w:line="140" w:lineRule="exact"/>
              <w:jc w:val="right"/>
              <w:rPr>
                <w:rFonts w:asciiTheme="minorHAnsi" w:hAnsiTheme="minorHAnsi" w:cs="Arial"/>
                <w:spacing w:val="-2"/>
                <w:sz w:val="21"/>
                <w:szCs w:val="21"/>
                <w:lang w:val="hr-HR"/>
              </w:rPr>
            </w:pPr>
          </w:p>
        </w:tc>
        <w:tc>
          <w:tcPr>
            <w:tcW w:w="771" w:type="pct"/>
            <w:vAlign w:val="bottom"/>
          </w:tcPr>
          <w:p w:rsidR="00A07B50" w:rsidRPr="001567C8" w:rsidRDefault="00A07B50" w:rsidP="00A07B50">
            <w:pPr>
              <w:suppressAutoHyphens/>
              <w:spacing w:line="140" w:lineRule="exact"/>
              <w:jc w:val="right"/>
              <w:rPr>
                <w:rFonts w:asciiTheme="minorHAnsi" w:hAnsiTheme="minorHAnsi" w:cs="Arial"/>
                <w:spacing w:val="-2"/>
                <w:sz w:val="21"/>
                <w:szCs w:val="21"/>
                <w:lang w:val="hr-HR"/>
              </w:rPr>
            </w:pPr>
          </w:p>
        </w:tc>
      </w:tr>
      <w:tr w:rsidR="00C85C52" w:rsidRPr="001567C8" w:rsidTr="00C85C52">
        <w:trPr>
          <w:trHeight w:val="346"/>
        </w:trPr>
        <w:tc>
          <w:tcPr>
            <w:tcW w:w="1913" w:type="pct"/>
            <w:vAlign w:val="center"/>
          </w:tcPr>
          <w:p w:rsidR="00C85C52" w:rsidRPr="001567C8" w:rsidRDefault="00C85C52" w:rsidP="00C85C52">
            <w:pPr>
              <w:pStyle w:val="TT"/>
              <w:spacing w:line="240" w:lineRule="exact"/>
              <w:rPr>
                <w:rFonts w:asciiTheme="minorHAnsi" w:hAnsiTheme="minorHAnsi" w:cs="Arial"/>
                <w:sz w:val="21"/>
                <w:szCs w:val="21"/>
                <w:lang w:val="hr-HR"/>
              </w:rPr>
            </w:pPr>
            <w:r w:rsidRPr="001567C8">
              <w:rPr>
                <w:rFonts w:asciiTheme="minorHAnsi" w:hAnsiTheme="minorHAnsi" w:cs="Arial"/>
                <w:sz w:val="21"/>
                <w:szCs w:val="21"/>
                <w:lang w:val="hr-HR"/>
              </w:rPr>
              <w:t>Ulaganja u pridružena društva</w:t>
            </w:r>
          </w:p>
        </w:tc>
        <w:tc>
          <w:tcPr>
            <w:tcW w:w="772" w:type="pct"/>
            <w:vAlign w:val="center"/>
          </w:tcPr>
          <w:p w:rsidR="00C85C52" w:rsidRPr="001567C8" w:rsidRDefault="00827E38" w:rsidP="00C85C52">
            <w:pPr>
              <w:pStyle w:val="TT"/>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17</w:t>
            </w:r>
            <w:r w:rsidR="00C85C52" w:rsidRPr="001567C8">
              <w:rPr>
                <w:rFonts w:asciiTheme="minorHAnsi" w:hAnsiTheme="minorHAnsi" w:cs="Arial"/>
                <w:sz w:val="21"/>
                <w:szCs w:val="21"/>
                <w:lang w:val="hr-HR"/>
              </w:rPr>
              <w:t>.</w:t>
            </w:r>
            <w:r w:rsidRPr="001567C8">
              <w:rPr>
                <w:rFonts w:asciiTheme="minorHAnsi" w:hAnsiTheme="minorHAnsi" w:cs="Arial"/>
                <w:sz w:val="21"/>
                <w:szCs w:val="21"/>
                <w:lang w:val="hr-HR"/>
              </w:rPr>
              <w:t>500</w:t>
            </w:r>
          </w:p>
        </w:tc>
        <w:tc>
          <w:tcPr>
            <w:tcW w:w="772" w:type="pct"/>
            <w:vAlign w:val="center"/>
          </w:tcPr>
          <w:p w:rsidR="00C85C52" w:rsidRPr="001567C8" w:rsidRDefault="00C85C52" w:rsidP="00C85C52">
            <w:pPr>
              <w:pStyle w:val="TT"/>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2</w:t>
            </w:r>
            <w:r w:rsidR="00827E38" w:rsidRPr="001567C8">
              <w:rPr>
                <w:rFonts w:asciiTheme="minorHAnsi" w:hAnsiTheme="minorHAnsi" w:cs="Arial"/>
                <w:sz w:val="21"/>
                <w:szCs w:val="21"/>
                <w:lang w:val="hr-HR"/>
              </w:rPr>
              <w:t>1</w:t>
            </w:r>
            <w:r w:rsidRPr="001567C8">
              <w:rPr>
                <w:rFonts w:asciiTheme="minorHAnsi" w:hAnsiTheme="minorHAnsi" w:cs="Arial"/>
                <w:sz w:val="21"/>
                <w:szCs w:val="21"/>
                <w:lang w:val="hr-HR"/>
              </w:rPr>
              <w:t>.</w:t>
            </w:r>
            <w:r w:rsidR="00827E38" w:rsidRPr="001567C8">
              <w:rPr>
                <w:rFonts w:asciiTheme="minorHAnsi" w:hAnsiTheme="minorHAnsi" w:cs="Arial"/>
                <w:sz w:val="21"/>
                <w:szCs w:val="21"/>
                <w:lang w:val="hr-HR"/>
              </w:rPr>
              <w:t>873</w:t>
            </w:r>
          </w:p>
        </w:tc>
        <w:tc>
          <w:tcPr>
            <w:tcW w:w="772" w:type="pct"/>
            <w:vAlign w:val="center"/>
          </w:tcPr>
          <w:p w:rsidR="00C85C52" w:rsidRPr="001567C8" w:rsidRDefault="00827E38" w:rsidP="00C85C52">
            <w:pPr>
              <w:pStyle w:val="TT"/>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17</w:t>
            </w:r>
            <w:r w:rsidR="00C85C52" w:rsidRPr="001567C8">
              <w:rPr>
                <w:rFonts w:asciiTheme="minorHAnsi" w:hAnsiTheme="minorHAnsi" w:cs="Arial"/>
                <w:sz w:val="21"/>
                <w:szCs w:val="21"/>
                <w:lang w:val="hr-HR"/>
              </w:rPr>
              <w:t>.</w:t>
            </w:r>
            <w:r w:rsidRPr="001567C8">
              <w:rPr>
                <w:rFonts w:asciiTheme="minorHAnsi" w:hAnsiTheme="minorHAnsi" w:cs="Arial"/>
                <w:sz w:val="21"/>
                <w:szCs w:val="21"/>
                <w:lang w:val="hr-HR"/>
              </w:rPr>
              <w:t>500</w:t>
            </w:r>
          </w:p>
        </w:tc>
        <w:tc>
          <w:tcPr>
            <w:tcW w:w="771" w:type="pct"/>
            <w:vAlign w:val="center"/>
          </w:tcPr>
          <w:p w:rsidR="00C85C52" w:rsidRPr="001567C8" w:rsidRDefault="00C85C52" w:rsidP="00C85C52">
            <w:pPr>
              <w:pStyle w:val="TT"/>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2</w:t>
            </w:r>
            <w:r w:rsidR="00827E38" w:rsidRPr="001567C8">
              <w:rPr>
                <w:rFonts w:asciiTheme="minorHAnsi" w:hAnsiTheme="minorHAnsi" w:cs="Arial"/>
                <w:sz w:val="21"/>
                <w:szCs w:val="21"/>
                <w:lang w:val="hr-HR"/>
              </w:rPr>
              <w:t>1</w:t>
            </w:r>
            <w:r w:rsidRPr="001567C8">
              <w:rPr>
                <w:rFonts w:asciiTheme="minorHAnsi" w:hAnsiTheme="minorHAnsi" w:cs="Arial"/>
                <w:sz w:val="21"/>
                <w:szCs w:val="21"/>
                <w:lang w:val="hr-HR"/>
              </w:rPr>
              <w:t>.</w:t>
            </w:r>
            <w:r w:rsidR="00827E38" w:rsidRPr="001567C8">
              <w:rPr>
                <w:rFonts w:asciiTheme="minorHAnsi" w:hAnsiTheme="minorHAnsi" w:cs="Arial"/>
                <w:sz w:val="21"/>
                <w:szCs w:val="21"/>
                <w:lang w:val="hr-HR"/>
              </w:rPr>
              <w:t>873</w:t>
            </w:r>
          </w:p>
        </w:tc>
      </w:tr>
      <w:tr w:rsidR="00C85C52" w:rsidRPr="001567C8" w:rsidTr="00C85C52">
        <w:trPr>
          <w:trHeight w:val="274"/>
        </w:trPr>
        <w:tc>
          <w:tcPr>
            <w:tcW w:w="1913" w:type="pct"/>
            <w:vAlign w:val="bottom"/>
          </w:tcPr>
          <w:p w:rsidR="00C85C52" w:rsidRPr="001567C8" w:rsidRDefault="00C85C52" w:rsidP="00C85C52">
            <w:pPr>
              <w:pStyle w:val="TT"/>
              <w:spacing w:line="240" w:lineRule="exact"/>
              <w:rPr>
                <w:rFonts w:asciiTheme="minorHAnsi" w:hAnsiTheme="minorHAnsi" w:cs="Arial"/>
                <w:sz w:val="21"/>
                <w:szCs w:val="21"/>
                <w:lang w:val="hr-HR"/>
              </w:rPr>
            </w:pPr>
            <w:r w:rsidRPr="001567C8">
              <w:rPr>
                <w:rFonts w:asciiTheme="minorHAnsi" w:hAnsiTheme="minorHAnsi"/>
                <w:sz w:val="21"/>
                <w:szCs w:val="21"/>
                <w:lang w:val="hr-HR"/>
              </w:rPr>
              <w:t>Ispravak vrijednosti</w:t>
            </w:r>
          </w:p>
        </w:tc>
        <w:tc>
          <w:tcPr>
            <w:tcW w:w="772" w:type="pct"/>
            <w:vAlign w:val="bottom"/>
          </w:tcPr>
          <w:p w:rsidR="00C85C52" w:rsidRPr="001567C8" w:rsidRDefault="00C85C52" w:rsidP="00C85C52">
            <w:pPr>
              <w:pStyle w:val="TT"/>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w:t>
            </w:r>
            <w:r w:rsidR="00827E38" w:rsidRPr="001567C8">
              <w:rPr>
                <w:rFonts w:asciiTheme="minorHAnsi" w:hAnsiTheme="minorHAnsi" w:cs="Arial"/>
                <w:sz w:val="21"/>
                <w:szCs w:val="21"/>
                <w:lang w:val="hr-HR"/>
              </w:rPr>
              <w:t>17</w:t>
            </w:r>
            <w:r w:rsidRPr="001567C8">
              <w:rPr>
                <w:rFonts w:asciiTheme="minorHAnsi" w:hAnsiTheme="minorHAnsi" w:cs="Arial"/>
                <w:sz w:val="21"/>
                <w:szCs w:val="21"/>
                <w:lang w:val="hr-HR"/>
              </w:rPr>
              <w:t>.</w:t>
            </w:r>
            <w:r w:rsidR="00827E38" w:rsidRPr="001567C8">
              <w:rPr>
                <w:rFonts w:asciiTheme="minorHAnsi" w:hAnsiTheme="minorHAnsi" w:cs="Arial"/>
                <w:sz w:val="21"/>
                <w:szCs w:val="21"/>
                <w:lang w:val="hr-HR"/>
              </w:rPr>
              <w:t>500</w:t>
            </w:r>
            <w:r w:rsidRPr="001567C8">
              <w:rPr>
                <w:rFonts w:asciiTheme="minorHAnsi" w:hAnsiTheme="minorHAnsi" w:cs="Arial"/>
                <w:sz w:val="21"/>
                <w:szCs w:val="21"/>
                <w:lang w:val="hr-HR"/>
              </w:rPr>
              <w:t>)</w:t>
            </w:r>
          </w:p>
        </w:tc>
        <w:tc>
          <w:tcPr>
            <w:tcW w:w="772" w:type="pct"/>
            <w:vAlign w:val="bottom"/>
          </w:tcPr>
          <w:p w:rsidR="00C85C52" w:rsidRPr="001567C8" w:rsidRDefault="00C85C52" w:rsidP="00C85C52">
            <w:pPr>
              <w:pStyle w:val="TT"/>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(2</w:t>
            </w:r>
            <w:r w:rsidR="00827E38" w:rsidRPr="001567C8">
              <w:rPr>
                <w:rFonts w:asciiTheme="minorHAnsi" w:hAnsiTheme="minorHAnsi" w:cs="Arial"/>
                <w:sz w:val="21"/>
                <w:szCs w:val="21"/>
                <w:lang w:val="hr-HR"/>
              </w:rPr>
              <w:t>1</w:t>
            </w:r>
            <w:r w:rsidRPr="001567C8">
              <w:rPr>
                <w:rFonts w:asciiTheme="minorHAnsi" w:hAnsiTheme="minorHAnsi" w:cs="Arial"/>
                <w:sz w:val="21"/>
                <w:szCs w:val="21"/>
                <w:lang w:val="hr-HR"/>
              </w:rPr>
              <w:t>.</w:t>
            </w:r>
            <w:r w:rsidR="00827E38" w:rsidRPr="001567C8">
              <w:rPr>
                <w:rFonts w:asciiTheme="minorHAnsi" w:hAnsiTheme="minorHAnsi" w:cs="Arial"/>
                <w:sz w:val="21"/>
                <w:szCs w:val="21"/>
                <w:lang w:val="hr-HR"/>
              </w:rPr>
              <w:t>873</w:t>
            </w:r>
            <w:r w:rsidRPr="001567C8">
              <w:rPr>
                <w:rFonts w:asciiTheme="minorHAnsi" w:hAnsiTheme="minorHAnsi" w:cs="Arial"/>
                <w:sz w:val="21"/>
                <w:szCs w:val="21"/>
                <w:lang w:val="hr-HR"/>
              </w:rPr>
              <w:t>)</w:t>
            </w:r>
          </w:p>
        </w:tc>
        <w:tc>
          <w:tcPr>
            <w:tcW w:w="772" w:type="pct"/>
            <w:vAlign w:val="bottom"/>
          </w:tcPr>
          <w:p w:rsidR="00C85C52" w:rsidRPr="001567C8" w:rsidRDefault="00C85C52" w:rsidP="00C85C52">
            <w:pPr>
              <w:pStyle w:val="TT"/>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w:t>
            </w:r>
            <w:r w:rsidR="00827E38" w:rsidRPr="001567C8">
              <w:rPr>
                <w:rFonts w:asciiTheme="minorHAnsi" w:hAnsiTheme="minorHAnsi" w:cs="Arial"/>
                <w:sz w:val="21"/>
                <w:szCs w:val="21"/>
                <w:lang w:val="hr-HR"/>
              </w:rPr>
              <w:t>17</w:t>
            </w:r>
            <w:r w:rsidRPr="001567C8">
              <w:rPr>
                <w:rFonts w:asciiTheme="minorHAnsi" w:hAnsiTheme="minorHAnsi" w:cs="Arial"/>
                <w:sz w:val="21"/>
                <w:szCs w:val="21"/>
                <w:lang w:val="hr-HR"/>
              </w:rPr>
              <w:t>.</w:t>
            </w:r>
            <w:r w:rsidR="00827E38" w:rsidRPr="001567C8">
              <w:rPr>
                <w:rFonts w:asciiTheme="minorHAnsi" w:hAnsiTheme="minorHAnsi" w:cs="Arial"/>
                <w:sz w:val="21"/>
                <w:szCs w:val="21"/>
                <w:lang w:val="hr-HR"/>
              </w:rPr>
              <w:t>500</w:t>
            </w:r>
            <w:r w:rsidRPr="001567C8">
              <w:rPr>
                <w:rFonts w:asciiTheme="minorHAnsi" w:hAnsiTheme="minorHAnsi" w:cs="Arial"/>
                <w:sz w:val="21"/>
                <w:szCs w:val="21"/>
                <w:lang w:val="hr-HR"/>
              </w:rPr>
              <w:t>)</w:t>
            </w:r>
          </w:p>
        </w:tc>
        <w:tc>
          <w:tcPr>
            <w:tcW w:w="771" w:type="pct"/>
            <w:vAlign w:val="bottom"/>
          </w:tcPr>
          <w:p w:rsidR="00C85C52" w:rsidRPr="001567C8" w:rsidRDefault="00C85C52" w:rsidP="00C85C52">
            <w:pPr>
              <w:pStyle w:val="TT"/>
              <w:spacing w:line="240" w:lineRule="exact"/>
              <w:jc w:val="right"/>
              <w:rPr>
                <w:rFonts w:asciiTheme="minorHAnsi" w:hAnsiTheme="minorHAnsi" w:cs="Arial"/>
                <w:sz w:val="21"/>
                <w:szCs w:val="21"/>
                <w:lang w:val="hr-HR"/>
              </w:rPr>
            </w:pPr>
            <w:r w:rsidRPr="001567C8">
              <w:rPr>
                <w:rFonts w:asciiTheme="minorHAnsi" w:hAnsiTheme="minorHAnsi" w:cs="Arial"/>
                <w:sz w:val="21"/>
                <w:szCs w:val="21"/>
                <w:lang w:val="hr-HR"/>
              </w:rPr>
              <w:t>(2</w:t>
            </w:r>
            <w:r w:rsidR="00827E38" w:rsidRPr="001567C8">
              <w:rPr>
                <w:rFonts w:asciiTheme="minorHAnsi" w:hAnsiTheme="minorHAnsi" w:cs="Arial"/>
                <w:sz w:val="21"/>
                <w:szCs w:val="21"/>
                <w:lang w:val="hr-HR"/>
              </w:rPr>
              <w:t>1</w:t>
            </w:r>
            <w:r w:rsidRPr="001567C8">
              <w:rPr>
                <w:rFonts w:asciiTheme="minorHAnsi" w:hAnsiTheme="minorHAnsi" w:cs="Arial"/>
                <w:sz w:val="21"/>
                <w:szCs w:val="21"/>
                <w:lang w:val="hr-HR"/>
              </w:rPr>
              <w:t>.</w:t>
            </w:r>
            <w:r w:rsidR="00827E38" w:rsidRPr="001567C8">
              <w:rPr>
                <w:rFonts w:asciiTheme="minorHAnsi" w:hAnsiTheme="minorHAnsi" w:cs="Arial"/>
                <w:sz w:val="21"/>
                <w:szCs w:val="21"/>
                <w:lang w:val="hr-HR"/>
              </w:rPr>
              <w:t>873</w:t>
            </w:r>
            <w:r w:rsidRPr="001567C8">
              <w:rPr>
                <w:rFonts w:asciiTheme="minorHAnsi" w:hAnsiTheme="minorHAnsi" w:cs="Arial"/>
                <w:sz w:val="21"/>
                <w:szCs w:val="21"/>
                <w:lang w:val="hr-HR"/>
              </w:rPr>
              <w:t>)</w:t>
            </w:r>
          </w:p>
        </w:tc>
      </w:tr>
      <w:tr w:rsidR="00C85C52" w:rsidRPr="001567C8" w:rsidTr="003C6BA3">
        <w:trPr>
          <w:trHeight w:val="249"/>
        </w:trPr>
        <w:tc>
          <w:tcPr>
            <w:tcW w:w="1913" w:type="pct"/>
          </w:tcPr>
          <w:p w:rsidR="00C85C52" w:rsidRPr="001567C8" w:rsidRDefault="00C85C52" w:rsidP="00C85C52">
            <w:pPr>
              <w:tabs>
                <w:tab w:val="left" w:pos="-720"/>
              </w:tabs>
              <w:suppressAutoHyphens/>
              <w:spacing w:line="240" w:lineRule="exact"/>
              <w:rPr>
                <w:rFonts w:asciiTheme="minorHAnsi" w:hAnsiTheme="minorHAnsi" w:cs="Arial"/>
                <w:b/>
                <w:bCs/>
                <w:spacing w:val="-2"/>
                <w:sz w:val="21"/>
                <w:szCs w:val="21"/>
                <w:lang w:val="hr-HR"/>
              </w:rPr>
            </w:pPr>
          </w:p>
        </w:tc>
        <w:tc>
          <w:tcPr>
            <w:tcW w:w="772" w:type="pct"/>
            <w:tcBorders>
              <w:top w:val="single" w:sz="4" w:space="0" w:color="auto"/>
              <w:bottom w:val="single" w:sz="12" w:space="0" w:color="auto"/>
            </w:tcBorders>
            <w:vAlign w:val="center"/>
          </w:tcPr>
          <w:p w:rsidR="00C85C52" w:rsidRPr="001567C8" w:rsidRDefault="00C85C52" w:rsidP="00CA2E8F">
            <w:pPr>
              <w:pStyle w:val="Tot"/>
              <w:spacing w:line="240" w:lineRule="exact"/>
              <w:jc w:val="right"/>
              <w:rPr>
                <w:rFonts w:asciiTheme="minorHAnsi" w:hAnsiTheme="minorHAnsi" w:cs="Arial"/>
                <w:b/>
                <w:bCs/>
                <w:sz w:val="21"/>
                <w:szCs w:val="21"/>
                <w:lang w:val="hr-HR"/>
              </w:rPr>
            </w:pPr>
            <w:r w:rsidRPr="001567C8">
              <w:rPr>
                <w:rFonts w:asciiTheme="minorHAnsi" w:hAnsiTheme="minorHAnsi" w:cs="Arial"/>
                <w:b/>
                <w:bCs/>
                <w:sz w:val="21"/>
                <w:szCs w:val="21"/>
                <w:lang w:val="hr-HR"/>
              </w:rPr>
              <w:t>-</w:t>
            </w:r>
          </w:p>
        </w:tc>
        <w:tc>
          <w:tcPr>
            <w:tcW w:w="772" w:type="pct"/>
            <w:tcBorders>
              <w:top w:val="single" w:sz="4" w:space="0" w:color="auto"/>
              <w:bottom w:val="single" w:sz="12" w:space="0" w:color="auto"/>
            </w:tcBorders>
            <w:vAlign w:val="center"/>
          </w:tcPr>
          <w:p w:rsidR="00C85C52" w:rsidRPr="001567C8" w:rsidRDefault="00C85C52" w:rsidP="00CA2E8F">
            <w:pPr>
              <w:pStyle w:val="Tot"/>
              <w:spacing w:line="240" w:lineRule="exact"/>
              <w:jc w:val="right"/>
              <w:rPr>
                <w:rFonts w:asciiTheme="minorHAnsi" w:hAnsiTheme="minorHAnsi" w:cs="Arial"/>
                <w:b/>
                <w:bCs/>
                <w:sz w:val="21"/>
                <w:szCs w:val="21"/>
                <w:lang w:val="hr-HR"/>
              </w:rPr>
            </w:pPr>
            <w:r w:rsidRPr="001567C8">
              <w:rPr>
                <w:rFonts w:asciiTheme="minorHAnsi" w:hAnsiTheme="minorHAnsi" w:cs="Arial"/>
                <w:b/>
                <w:bCs/>
                <w:sz w:val="21"/>
                <w:szCs w:val="21"/>
                <w:lang w:val="hr-HR"/>
              </w:rPr>
              <w:t>-</w:t>
            </w:r>
          </w:p>
        </w:tc>
        <w:tc>
          <w:tcPr>
            <w:tcW w:w="772" w:type="pct"/>
            <w:tcBorders>
              <w:top w:val="single" w:sz="4" w:space="0" w:color="auto"/>
              <w:bottom w:val="single" w:sz="12" w:space="0" w:color="auto"/>
            </w:tcBorders>
            <w:vAlign w:val="center"/>
          </w:tcPr>
          <w:p w:rsidR="00C85C52" w:rsidRPr="001567C8" w:rsidRDefault="00C85C52" w:rsidP="00CA2E8F">
            <w:pPr>
              <w:pStyle w:val="Tot"/>
              <w:spacing w:line="240" w:lineRule="exact"/>
              <w:jc w:val="right"/>
              <w:rPr>
                <w:rFonts w:asciiTheme="minorHAnsi" w:hAnsiTheme="minorHAnsi" w:cs="Arial"/>
                <w:b/>
                <w:bCs/>
                <w:sz w:val="21"/>
                <w:szCs w:val="21"/>
                <w:lang w:val="hr-HR"/>
              </w:rPr>
            </w:pPr>
            <w:r w:rsidRPr="001567C8">
              <w:rPr>
                <w:rFonts w:asciiTheme="minorHAnsi" w:hAnsiTheme="minorHAnsi" w:cs="Arial"/>
                <w:b/>
                <w:bCs/>
                <w:sz w:val="21"/>
                <w:szCs w:val="21"/>
                <w:lang w:val="hr-HR"/>
              </w:rPr>
              <w:t>-</w:t>
            </w:r>
          </w:p>
        </w:tc>
        <w:tc>
          <w:tcPr>
            <w:tcW w:w="771" w:type="pct"/>
            <w:tcBorders>
              <w:top w:val="single" w:sz="4" w:space="0" w:color="auto"/>
              <w:bottom w:val="single" w:sz="12" w:space="0" w:color="auto"/>
            </w:tcBorders>
            <w:vAlign w:val="center"/>
          </w:tcPr>
          <w:p w:rsidR="00C85C52" w:rsidRPr="001567C8" w:rsidRDefault="00C85C52" w:rsidP="00CA2E8F">
            <w:pPr>
              <w:pStyle w:val="Tot"/>
              <w:spacing w:line="240" w:lineRule="exact"/>
              <w:jc w:val="right"/>
              <w:rPr>
                <w:rFonts w:asciiTheme="minorHAnsi" w:hAnsiTheme="minorHAnsi" w:cs="Arial"/>
                <w:b/>
                <w:bCs/>
                <w:sz w:val="21"/>
                <w:szCs w:val="21"/>
                <w:lang w:val="hr-HR"/>
              </w:rPr>
            </w:pPr>
            <w:r w:rsidRPr="001567C8">
              <w:rPr>
                <w:rFonts w:asciiTheme="minorHAnsi" w:hAnsiTheme="minorHAnsi" w:cs="Arial"/>
                <w:b/>
                <w:bCs/>
                <w:sz w:val="21"/>
                <w:szCs w:val="21"/>
                <w:lang w:val="hr-HR"/>
              </w:rPr>
              <w:t>-</w:t>
            </w:r>
          </w:p>
        </w:tc>
      </w:tr>
    </w:tbl>
    <w:p w:rsidR="00867990" w:rsidRPr="001567C8" w:rsidRDefault="00867990" w:rsidP="00867990">
      <w:pPr>
        <w:pStyle w:val="T1"/>
        <w:spacing w:before="0" w:after="0" w:line="240" w:lineRule="auto"/>
        <w:rPr>
          <w:rFonts w:asciiTheme="minorHAnsi" w:hAnsiTheme="minorHAnsi" w:cs="Arial"/>
          <w:b w:val="0"/>
          <w:bCs w:val="0"/>
          <w:sz w:val="21"/>
          <w:szCs w:val="21"/>
          <w:lang w:val="hr-HR"/>
        </w:rPr>
      </w:pPr>
    </w:p>
    <w:p w:rsidR="00E03D98" w:rsidRPr="001567C8" w:rsidRDefault="00E03D98" w:rsidP="00867990">
      <w:pPr>
        <w:pStyle w:val="T1"/>
        <w:spacing w:before="0" w:after="0" w:line="240" w:lineRule="auto"/>
        <w:rPr>
          <w:rFonts w:asciiTheme="minorHAnsi" w:hAnsiTheme="minorHAnsi" w:cs="Arial"/>
          <w:b w:val="0"/>
          <w:bCs w:val="0"/>
          <w:sz w:val="21"/>
          <w:szCs w:val="21"/>
          <w:lang w:val="hr-HR"/>
        </w:rPr>
      </w:pPr>
      <w:r w:rsidRPr="001567C8">
        <w:rPr>
          <w:rFonts w:asciiTheme="minorHAnsi" w:hAnsiTheme="minorHAnsi" w:cs="Arial"/>
          <w:b w:val="0"/>
          <w:bCs w:val="0"/>
          <w:sz w:val="21"/>
          <w:szCs w:val="21"/>
          <w:lang w:val="hr-HR"/>
        </w:rPr>
        <w:t>Ulaganja u pridružena društva su sastavni dio Programa ulaganja u temeljni kapital trgovačkih društava - malih i srednjih poduzetnika ili je o ulaganju donijeta posebna odluka nadležnih tijela HBOR-a. Ulaganja u temeljeni kapital društava obavljena su na rokove od 4 do 6 godina uz pravo pristupa prodaji dionica nakon ugovorenog</w:t>
      </w:r>
      <w:r w:rsidR="003917C8" w:rsidRPr="001567C8">
        <w:rPr>
          <w:rFonts w:asciiTheme="minorHAnsi" w:hAnsiTheme="minorHAnsi" w:cs="Arial"/>
          <w:b w:val="0"/>
          <w:bCs w:val="0"/>
          <w:sz w:val="21"/>
          <w:szCs w:val="21"/>
          <w:lang w:val="hr-HR"/>
        </w:rPr>
        <w:t xml:space="preserve"> </w:t>
      </w:r>
      <w:r w:rsidRPr="001567C8">
        <w:rPr>
          <w:rFonts w:asciiTheme="minorHAnsi" w:hAnsiTheme="minorHAnsi" w:cs="Arial"/>
          <w:b w:val="0"/>
          <w:bCs w:val="0"/>
          <w:sz w:val="21"/>
          <w:szCs w:val="21"/>
          <w:lang w:val="hr-HR"/>
        </w:rPr>
        <w:t xml:space="preserve">roka držanja udjela u kapitalu. </w:t>
      </w:r>
    </w:p>
    <w:p w:rsidR="00D865CE" w:rsidRPr="001567C8" w:rsidRDefault="00D865CE" w:rsidP="00421ADD">
      <w:pPr>
        <w:pStyle w:val="T1"/>
        <w:spacing w:before="0" w:after="0" w:line="240" w:lineRule="auto"/>
        <w:rPr>
          <w:rFonts w:asciiTheme="minorHAnsi" w:hAnsiTheme="minorHAnsi" w:cs="Arial"/>
          <w:b w:val="0"/>
          <w:bCs w:val="0"/>
          <w:sz w:val="21"/>
          <w:szCs w:val="21"/>
          <w:lang w:val="hr-HR"/>
        </w:rPr>
      </w:pPr>
    </w:p>
    <w:tbl>
      <w:tblPr>
        <w:tblW w:w="5084" w:type="pct"/>
        <w:jc w:val="center"/>
        <w:tblCellMar>
          <w:left w:w="122" w:type="dxa"/>
          <w:right w:w="122" w:type="dxa"/>
        </w:tblCellMar>
        <w:tblLook w:val="0000" w:firstRow="0" w:lastRow="0" w:firstColumn="0" w:lastColumn="0" w:noHBand="0" w:noVBand="0"/>
      </w:tblPr>
      <w:tblGrid>
        <w:gridCol w:w="3046"/>
        <w:gridCol w:w="3479"/>
        <w:gridCol w:w="1516"/>
        <w:gridCol w:w="1471"/>
      </w:tblGrid>
      <w:tr w:rsidR="007B21AD" w:rsidRPr="001567C8" w:rsidTr="003C6BA3">
        <w:trPr>
          <w:trHeight w:val="826"/>
          <w:jc w:val="center"/>
        </w:trPr>
        <w:tc>
          <w:tcPr>
            <w:tcW w:w="1601" w:type="pct"/>
          </w:tcPr>
          <w:p w:rsidR="007B21AD" w:rsidRPr="001567C8" w:rsidRDefault="007B21AD" w:rsidP="00353005">
            <w:pPr>
              <w:tabs>
                <w:tab w:val="left" w:pos="-720"/>
              </w:tabs>
              <w:suppressAutoHyphens/>
              <w:spacing w:before="120" w:line="300" w:lineRule="atLeast"/>
              <w:rPr>
                <w:rFonts w:asciiTheme="minorHAnsi" w:hAnsiTheme="minorHAnsi" w:cs="Arial"/>
                <w:b/>
                <w:bCs/>
                <w:spacing w:val="-3"/>
                <w:sz w:val="21"/>
                <w:szCs w:val="21"/>
                <w:lang w:val="hr-HR"/>
              </w:rPr>
            </w:pPr>
          </w:p>
        </w:tc>
        <w:tc>
          <w:tcPr>
            <w:tcW w:w="1829" w:type="pct"/>
            <w:vAlign w:val="bottom"/>
          </w:tcPr>
          <w:p w:rsidR="007B21AD" w:rsidRPr="001567C8" w:rsidRDefault="007B21AD" w:rsidP="00353005">
            <w:pPr>
              <w:pStyle w:val="TH"/>
              <w:spacing w:before="120" w:line="300" w:lineRule="atLeast"/>
              <w:rPr>
                <w:rFonts w:asciiTheme="minorHAnsi" w:hAnsiTheme="minorHAnsi" w:cs="Arial"/>
                <w:bCs/>
                <w:sz w:val="21"/>
                <w:szCs w:val="21"/>
                <w:lang w:val="hr-HR"/>
              </w:rPr>
            </w:pPr>
            <w:r w:rsidRPr="001567C8">
              <w:rPr>
                <w:rFonts w:asciiTheme="minorHAnsi" w:hAnsiTheme="minorHAnsi" w:cs="Arial"/>
                <w:bCs/>
                <w:sz w:val="21"/>
                <w:szCs w:val="21"/>
                <w:lang w:val="hr-HR"/>
              </w:rPr>
              <w:t>Djelatnost</w:t>
            </w:r>
          </w:p>
        </w:tc>
        <w:tc>
          <w:tcPr>
            <w:tcW w:w="797" w:type="pct"/>
            <w:vAlign w:val="bottom"/>
          </w:tcPr>
          <w:p w:rsidR="007B21AD" w:rsidRPr="001567C8" w:rsidRDefault="00F97A55" w:rsidP="00867990">
            <w:pPr>
              <w:pStyle w:val="TH"/>
              <w:spacing w:before="120" w:line="300" w:lineRule="atLeast"/>
              <w:jc w:val="right"/>
              <w:rPr>
                <w:rFonts w:asciiTheme="minorHAnsi" w:hAnsiTheme="minorHAnsi" w:cs="Arial"/>
                <w:bCs/>
                <w:sz w:val="21"/>
                <w:szCs w:val="21"/>
                <w:lang w:val="hr-HR"/>
              </w:rPr>
            </w:pPr>
            <w:r w:rsidRPr="001567C8">
              <w:rPr>
                <w:rFonts w:asciiTheme="minorHAnsi" w:hAnsiTheme="minorHAnsi" w:cs="Arial"/>
                <w:bCs/>
                <w:sz w:val="21"/>
                <w:szCs w:val="21"/>
                <w:lang w:val="hr-HR"/>
              </w:rPr>
              <w:t xml:space="preserve">% vlasništva u </w:t>
            </w:r>
            <w:r w:rsidR="00434C7E" w:rsidRPr="001567C8">
              <w:rPr>
                <w:rFonts w:asciiTheme="minorHAnsi" w:hAnsiTheme="minorHAnsi" w:cs="Arial"/>
                <w:bCs/>
                <w:sz w:val="21"/>
                <w:szCs w:val="21"/>
                <w:lang w:val="hr-HR"/>
              </w:rPr>
              <w:t>31. prosinc</w:t>
            </w:r>
            <w:r w:rsidR="00F55E1F">
              <w:rPr>
                <w:rFonts w:asciiTheme="minorHAnsi" w:hAnsiTheme="minorHAnsi" w:cs="Arial"/>
                <w:bCs/>
                <w:sz w:val="21"/>
                <w:szCs w:val="21"/>
                <w:lang w:val="hr-HR"/>
              </w:rPr>
              <w:t>a</w:t>
            </w:r>
            <w:r w:rsidR="00434C7E" w:rsidRPr="001567C8">
              <w:rPr>
                <w:rFonts w:asciiTheme="minorHAnsi" w:hAnsiTheme="minorHAnsi" w:cs="Arial"/>
                <w:bCs/>
                <w:sz w:val="21"/>
                <w:szCs w:val="21"/>
                <w:lang w:val="hr-HR"/>
              </w:rPr>
              <w:t xml:space="preserve"> </w:t>
            </w:r>
            <w:r w:rsidR="00ED6E3F" w:rsidRPr="001567C8">
              <w:rPr>
                <w:rFonts w:asciiTheme="minorHAnsi" w:hAnsiTheme="minorHAnsi" w:cs="Arial"/>
                <w:bCs/>
                <w:sz w:val="21"/>
                <w:szCs w:val="21"/>
                <w:lang w:val="hr-HR"/>
              </w:rPr>
              <w:t>2018</w:t>
            </w:r>
            <w:r w:rsidR="007B21AD" w:rsidRPr="001567C8">
              <w:rPr>
                <w:rFonts w:asciiTheme="minorHAnsi" w:hAnsiTheme="minorHAnsi" w:cs="Arial"/>
                <w:bCs/>
                <w:sz w:val="21"/>
                <w:szCs w:val="21"/>
                <w:lang w:val="hr-HR"/>
              </w:rPr>
              <w:t>.</w:t>
            </w:r>
          </w:p>
        </w:tc>
        <w:tc>
          <w:tcPr>
            <w:tcW w:w="773" w:type="pct"/>
            <w:vAlign w:val="bottom"/>
          </w:tcPr>
          <w:p w:rsidR="007B21AD" w:rsidRPr="001567C8" w:rsidRDefault="00F97A55" w:rsidP="00A07B50">
            <w:pPr>
              <w:pStyle w:val="TH"/>
              <w:spacing w:before="120" w:line="300" w:lineRule="atLeast"/>
              <w:jc w:val="right"/>
              <w:rPr>
                <w:rFonts w:asciiTheme="minorHAnsi" w:hAnsiTheme="minorHAnsi" w:cs="Arial"/>
                <w:bCs/>
                <w:sz w:val="21"/>
                <w:szCs w:val="21"/>
                <w:lang w:val="hr-HR"/>
              </w:rPr>
            </w:pPr>
            <w:r w:rsidRPr="001567C8">
              <w:rPr>
                <w:rFonts w:asciiTheme="minorHAnsi" w:hAnsiTheme="minorHAnsi" w:cs="Arial"/>
                <w:bCs/>
                <w:sz w:val="21"/>
                <w:szCs w:val="21"/>
                <w:lang w:val="hr-HR"/>
              </w:rPr>
              <w:t xml:space="preserve">% vlasništva u </w:t>
            </w:r>
            <w:r w:rsidR="00434C7E" w:rsidRPr="001567C8">
              <w:rPr>
                <w:rFonts w:asciiTheme="minorHAnsi" w:hAnsiTheme="minorHAnsi" w:cs="Arial"/>
                <w:bCs/>
                <w:sz w:val="21"/>
                <w:szCs w:val="21"/>
                <w:lang w:val="hr-HR"/>
              </w:rPr>
              <w:t>31. prosinc</w:t>
            </w:r>
            <w:r w:rsidR="00F55E1F">
              <w:rPr>
                <w:rFonts w:asciiTheme="minorHAnsi" w:hAnsiTheme="minorHAnsi" w:cs="Arial"/>
                <w:bCs/>
                <w:sz w:val="21"/>
                <w:szCs w:val="21"/>
                <w:lang w:val="hr-HR"/>
              </w:rPr>
              <w:t>a</w:t>
            </w:r>
            <w:r w:rsidR="00434C7E" w:rsidRPr="001567C8">
              <w:rPr>
                <w:rFonts w:asciiTheme="minorHAnsi" w:hAnsiTheme="minorHAnsi" w:cs="Arial"/>
                <w:bCs/>
                <w:sz w:val="21"/>
                <w:szCs w:val="21"/>
                <w:lang w:val="hr-HR"/>
              </w:rPr>
              <w:t xml:space="preserve"> </w:t>
            </w:r>
            <w:r w:rsidR="00ED6E3F" w:rsidRPr="001567C8">
              <w:rPr>
                <w:rFonts w:asciiTheme="minorHAnsi" w:hAnsiTheme="minorHAnsi" w:cs="Arial"/>
                <w:bCs/>
                <w:sz w:val="21"/>
                <w:szCs w:val="21"/>
                <w:lang w:val="hr-HR"/>
              </w:rPr>
              <w:t>2017</w:t>
            </w:r>
            <w:r w:rsidR="007B21AD" w:rsidRPr="001567C8">
              <w:rPr>
                <w:rFonts w:asciiTheme="minorHAnsi" w:hAnsiTheme="minorHAnsi" w:cs="Arial"/>
                <w:bCs/>
                <w:sz w:val="21"/>
                <w:szCs w:val="21"/>
                <w:lang w:val="hr-HR"/>
              </w:rPr>
              <w:t>.</w:t>
            </w:r>
          </w:p>
        </w:tc>
      </w:tr>
      <w:tr w:rsidR="007B21AD" w:rsidRPr="001567C8" w:rsidTr="00361B04">
        <w:trPr>
          <w:trHeight w:val="222"/>
          <w:jc w:val="center"/>
        </w:trPr>
        <w:tc>
          <w:tcPr>
            <w:tcW w:w="1601" w:type="pct"/>
            <w:vAlign w:val="bottom"/>
          </w:tcPr>
          <w:p w:rsidR="007B21AD" w:rsidRPr="001567C8" w:rsidRDefault="007B21AD" w:rsidP="00353005">
            <w:pPr>
              <w:tabs>
                <w:tab w:val="left" w:pos="-720"/>
              </w:tabs>
              <w:suppressAutoHyphens/>
              <w:spacing w:line="300" w:lineRule="exact"/>
              <w:rPr>
                <w:rFonts w:asciiTheme="minorHAnsi" w:hAnsiTheme="minorHAnsi" w:cs="Arial"/>
                <w:b/>
                <w:spacing w:val="-3"/>
                <w:sz w:val="21"/>
                <w:szCs w:val="21"/>
                <w:lang w:val="hr-HR"/>
              </w:rPr>
            </w:pPr>
          </w:p>
        </w:tc>
        <w:tc>
          <w:tcPr>
            <w:tcW w:w="1829" w:type="pct"/>
            <w:vAlign w:val="bottom"/>
          </w:tcPr>
          <w:p w:rsidR="007B21AD" w:rsidRPr="001567C8" w:rsidRDefault="007B21AD" w:rsidP="00353005">
            <w:pPr>
              <w:suppressAutoHyphens/>
              <w:spacing w:line="300" w:lineRule="exact"/>
              <w:rPr>
                <w:rFonts w:asciiTheme="minorHAnsi" w:hAnsiTheme="minorHAnsi" w:cs="Arial"/>
                <w:b/>
                <w:spacing w:val="-3"/>
                <w:sz w:val="21"/>
                <w:szCs w:val="21"/>
                <w:lang w:val="hr-HR"/>
              </w:rPr>
            </w:pPr>
          </w:p>
        </w:tc>
        <w:tc>
          <w:tcPr>
            <w:tcW w:w="797" w:type="pct"/>
            <w:vAlign w:val="bottom"/>
          </w:tcPr>
          <w:p w:rsidR="007B21AD" w:rsidRPr="001567C8" w:rsidRDefault="007B21AD" w:rsidP="00353005">
            <w:pPr>
              <w:suppressAutoHyphens/>
              <w:spacing w:line="300" w:lineRule="exact"/>
              <w:rPr>
                <w:rFonts w:asciiTheme="minorHAnsi" w:hAnsiTheme="minorHAnsi" w:cs="Arial"/>
                <w:b/>
                <w:spacing w:val="-3"/>
                <w:sz w:val="21"/>
                <w:szCs w:val="21"/>
                <w:lang w:val="hr-HR"/>
              </w:rPr>
            </w:pPr>
          </w:p>
        </w:tc>
        <w:tc>
          <w:tcPr>
            <w:tcW w:w="773" w:type="pct"/>
            <w:vAlign w:val="bottom"/>
          </w:tcPr>
          <w:p w:rsidR="006973C9" w:rsidRPr="001567C8" w:rsidRDefault="006973C9" w:rsidP="00353005">
            <w:pPr>
              <w:suppressAutoHyphens/>
              <w:spacing w:line="300" w:lineRule="exact"/>
              <w:rPr>
                <w:rFonts w:asciiTheme="minorHAnsi" w:hAnsiTheme="minorHAnsi" w:cs="Arial"/>
                <w:b/>
                <w:spacing w:val="-3"/>
                <w:sz w:val="21"/>
                <w:szCs w:val="21"/>
                <w:lang w:val="hr-HR"/>
              </w:rPr>
            </w:pPr>
          </w:p>
        </w:tc>
      </w:tr>
      <w:tr w:rsidR="00A4079D" w:rsidRPr="001567C8" w:rsidTr="00B26097">
        <w:trPr>
          <w:jc w:val="center"/>
        </w:trPr>
        <w:tc>
          <w:tcPr>
            <w:tcW w:w="1601" w:type="pct"/>
          </w:tcPr>
          <w:p w:rsidR="00A4079D" w:rsidRPr="001567C8" w:rsidRDefault="00A4079D" w:rsidP="00A4079D">
            <w:pPr>
              <w:pStyle w:val="TT"/>
              <w:spacing w:line="260" w:lineRule="exact"/>
              <w:rPr>
                <w:rFonts w:asciiTheme="minorHAnsi" w:hAnsiTheme="minorHAnsi" w:cs="Arial"/>
                <w:sz w:val="21"/>
                <w:szCs w:val="21"/>
                <w:lang w:val="hr-HR"/>
              </w:rPr>
            </w:pPr>
            <w:r w:rsidRPr="001567C8">
              <w:rPr>
                <w:rFonts w:asciiTheme="minorHAnsi" w:hAnsiTheme="minorHAnsi" w:cs="Arial"/>
                <w:sz w:val="21"/>
                <w:szCs w:val="21"/>
                <w:lang w:val="hr-HR"/>
              </w:rPr>
              <w:t>THC d.o.o., Obrovac</w:t>
            </w:r>
          </w:p>
        </w:tc>
        <w:tc>
          <w:tcPr>
            <w:tcW w:w="1829" w:type="pct"/>
            <w:vAlign w:val="bottom"/>
          </w:tcPr>
          <w:p w:rsidR="00A4079D" w:rsidRPr="001567C8" w:rsidRDefault="00A4079D" w:rsidP="00A4079D">
            <w:pPr>
              <w:pStyle w:val="TT"/>
              <w:spacing w:line="260" w:lineRule="exact"/>
              <w:rPr>
                <w:rFonts w:asciiTheme="minorHAnsi" w:hAnsiTheme="minorHAnsi" w:cs="Arial"/>
                <w:sz w:val="21"/>
                <w:szCs w:val="21"/>
                <w:lang w:val="hr-HR"/>
              </w:rPr>
            </w:pPr>
            <w:r w:rsidRPr="001567C8">
              <w:rPr>
                <w:rFonts w:asciiTheme="minorHAnsi" w:hAnsiTheme="minorHAnsi" w:cs="Arial"/>
                <w:sz w:val="21"/>
                <w:szCs w:val="21"/>
                <w:lang w:val="hr-HR"/>
              </w:rPr>
              <w:t>Proizvodnja metalnih proizvoda</w:t>
            </w:r>
          </w:p>
        </w:tc>
        <w:tc>
          <w:tcPr>
            <w:tcW w:w="797" w:type="pct"/>
            <w:vAlign w:val="bottom"/>
          </w:tcPr>
          <w:p w:rsidR="00A4079D" w:rsidRPr="001567C8" w:rsidRDefault="00A4079D" w:rsidP="00A4079D">
            <w:pPr>
              <w:pStyle w:val="TT"/>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38,45%</w:t>
            </w:r>
          </w:p>
        </w:tc>
        <w:tc>
          <w:tcPr>
            <w:tcW w:w="773" w:type="pct"/>
            <w:vAlign w:val="bottom"/>
          </w:tcPr>
          <w:p w:rsidR="00A4079D" w:rsidRPr="001567C8" w:rsidRDefault="00A4079D" w:rsidP="00A4079D">
            <w:pPr>
              <w:pStyle w:val="TT"/>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38,45%</w:t>
            </w:r>
          </w:p>
        </w:tc>
      </w:tr>
      <w:tr w:rsidR="004465CF" w:rsidRPr="001567C8" w:rsidTr="00B26097">
        <w:trPr>
          <w:jc w:val="center"/>
        </w:trPr>
        <w:tc>
          <w:tcPr>
            <w:tcW w:w="1601" w:type="pct"/>
          </w:tcPr>
          <w:p w:rsidR="004465CF" w:rsidRPr="001567C8" w:rsidRDefault="004465CF" w:rsidP="00A4079D">
            <w:pPr>
              <w:pStyle w:val="TT"/>
              <w:spacing w:line="260" w:lineRule="exact"/>
              <w:rPr>
                <w:rFonts w:asciiTheme="minorHAnsi" w:hAnsiTheme="minorHAnsi" w:cs="Arial"/>
                <w:sz w:val="21"/>
                <w:szCs w:val="21"/>
                <w:lang w:val="hr-HR"/>
              </w:rPr>
            </w:pPr>
            <w:r w:rsidRPr="001567C8">
              <w:rPr>
                <w:rFonts w:asciiTheme="minorHAnsi" w:hAnsiTheme="minorHAnsi" w:cs="Arial"/>
                <w:sz w:val="21"/>
                <w:szCs w:val="21"/>
                <w:lang w:val="hr-HR"/>
              </w:rPr>
              <w:t>Tri D Drvo d.o.o., Vrhovine, u stečaju</w:t>
            </w:r>
          </w:p>
        </w:tc>
        <w:tc>
          <w:tcPr>
            <w:tcW w:w="1829" w:type="pct"/>
            <w:vAlign w:val="bottom"/>
          </w:tcPr>
          <w:p w:rsidR="004465CF" w:rsidRPr="001567C8" w:rsidRDefault="002A310B" w:rsidP="00A4079D">
            <w:pPr>
              <w:pStyle w:val="TT"/>
              <w:spacing w:line="260" w:lineRule="exact"/>
              <w:rPr>
                <w:rFonts w:asciiTheme="minorHAnsi" w:hAnsiTheme="minorHAnsi" w:cs="Arial"/>
                <w:sz w:val="21"/>
                <w:szCs w:val="21"/>
                <w:lang w:val="hr-HR"/>
              </w:rPr>
            </w:pPr>
            <w:r w:rsidRPr="001567C8">
              <w:rPr>
                <w:rFonts w:asciiTheme="minorHAnsi" w:hAnsiTheme="minorHAnsi" w:cs="Arial"/>
                <w:sz w:val="21"/>
                <w:szCs w:val="21"/>
                <w:lang w:val="hr-HR"/>
              </w:rPr>
              <w:t>Prerada drva, proizvodnja proizvoda od drva</w:t>
            </w:r>
          </w:p>
        </w:tc>
        <w:tc>
          <w:tcPr>
            <w:tcW w:w="797" w:type="pct"/>
            <w:vAlign w:val="bottom"/>
          </w:tcPr>
          <w:p w:rsidR="004465CF" w:rsidRPr="001567C8" w:rsidRDefault="002A310B" w:rsidP="00A4079D">
            <w:pPr>
              <w:pStyle w:val="TT"/>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w:t>
            </w:r>
          </w:p>
        </w:tc>
        <w:tc>
          <w:tcPr>
            <w:tcW w:w="773" w:type="pct"/>
            <w:vAlign w:val="bottom"/>
          </w:tcPr>
          <w:p w:rsidR="004465CF" w:rsidRPr="001567C8" w:rsidRDefault="002A310B" w:rsidP="00A4079D">
            <w:pPr>
              <w:pStyle w:val="TT"/>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26,00%</w:t>
            </w:r>
          </w:p>
        </w:tc>
      </w:tr>
      <w:tr w:rsidR="00A4079D" w:rsidRPr="001567C8" w:rsidTr="00B26097">
        <w:trPr>
          <w:trHeight w:val="120"/>
          <w:jc w:val="center"/>
        </w:trPr>
        <w:tc>
          <w:tcPr>
            <w:tcW w:w="1601" w:type="pct"/>
          </w:tcPr>
          <w:p w:rsidR="00A4079D" w:rsidRPr="001567C8" w:rsidRDefault="00A4079D" w:rsidP="00A4079D">
            <w:pPr>
              <w:tabs>
                <w:tab w:val="left" w:pos="-720"/>
              </w:tabs>
              <w:suppressAutoHyphens/>
              <w:spacing w:line="260" w:lineRule="exact"/>
              <w:rPr>
                <w:rFonts w:asciiTheme="minorHAnsi" w:hAnsiTheme="minorHAnsi" w:cs="Arial"/>
                <w:sz w:val="21"/>
                <w:szCs w:val="21"/>
                <w:lang w:val="hr-HR"/>
              </w:rPr>
            </w:pPr>
            <w:r w:rsidRPr="001567C8">
              <w:rPr>
                <w:rFonts w:asciiTheme="minorHAnsi" w:hAnsiTheme="minorHAnsi" w:cs="Arial"/>
                <w:sz w:val="21"/>
                <w:szCs w:val="21"/>
                <w:lang w:val="hr-HR"/>
              </w:rPr>
              <w:t>Pounje d.d., Hrvatska Kostajnica</w:t>
            </w:r>
          </w:p>
        </w:tc>
        <w:tc>
          <w:tcPr>
            <w:tcW w:w="1829" w:type="pct"/>
            <w:vAlign w:val="bottom"/>
          </w:tcPr>
          <w:p w:rsidR="00A4079D" w:rsidRPr="001567C8" w:rsidRDefault="00A4079D" w:rsidP="00A4079D">
            <w:pPr>
              <w:suppressAutoHyphens/>
              <w:spacing w:line="260" w:lineRule="exact"/>
              <w:rPr>
                <w:rFonts w:asciiTheme="minorHAnsi" w:hAnsiTheme="minorHAnsi" w:cs="Arial"/>
                <w:sz w:val="21"/>
                <w:szCs w:val="21"/>
                <w:lang w:val="hr-HR"/>
              </w:rPr>
            </w:pPr>
            <w:r w:rsidRPr="001567C8">
              <w:rPr>
                <w:rFonts w:asciiTheme="minorHAnsi" w:hAnsiTheme="minorHAnsi" w:cs="Arial"/>
                <w:sz w:val="21"/>
                <w:szCs w:val="21"/>
                <w:lang w:val="hr-HR"/>
              </w:rPr>
              <w:t>Tekstilna industrija – proizvodnja rublja</w:t>
            </w:r>
          </w:p>
        </w:tc>
        <w:tc>
          <w:tcPr>
            <w:tcW w:w="797" w:type="pct"/>
            <w:shd w:val="clear" w:color="auto" w:fill="auto"/>
            <w:vAlign w:val="bottom"/>
          </w:tcPr>
          <w:p w:rsidR="00A4079D" w:rsidRPr="001567C8" w:rsidRDefault="00A4079D" w:rsidP="00A4079D">
            <w:pPr>
              <w:suppressAutoHyphens/>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13,55%</w:t>
            </w:r>
          </w:p>
        </w:tc>
        <w:tc>
          <w:tcPr>
            <w:tcW w:w="773" w:type="pct"/>
            <w:shd w:val="clear" w:color="auto" w:fill="auto"/>
            <w:vAlign w:val="bottom"/>
          </w:tcPr>
          <w:p w:rsidR="00A4079D" w:rsidRPr="001567C8" w:rsidRDefault="00A4079D" w:rsidP="00A4079D">
            <w:pPr>
              <w:suppressAutoHyphens/>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13,55%</w:t>
            </w:r>
          </w:p>
        </w:tc>
      </w:tr>
      <w:tr w:rsidR="00A4079D" w:rsidRPr="001567C8" w:rsidTr="00B26097">
        <w:trPr>
          <w:trHeight w:val="120"/>
          <w:jc w:val="center"/>
        </w:trPr>
        <w:tc>
          <w:tcPr>
            <w:tcW w:w="1601" w:type="pct"/>
          </w:tcPr>
          <w:p w:rsidR="00A4079D" w:rsidRPr="001567C8" w:rsidRDefault="00A4079D" w:rsidP="00A4079D">
            <w:pPr>
              <w:tabs>
                <w:tab w:val="left" w:pos="-720"/>
              </w:tabs>
              <w:suppressAutoHyphens/>
              <w:spacing w:line="260" w:lineRule="exact"/>
              <w:rPr>
                <w:rFonts w:asciiTheme="minorHAnsi" w:hAnsiTheme="minorHAnsi" w:cs="Arial"/>
                <w:sz w:val="21"/>
                <w:szCs w:val="21"/>
                <w:lang w:val="hr-HR"/>
              </w:rPr>
            </w:pPr>
            <w:r w:rsidRPr="001567C8">
              <w:rPr>
                <w:rFonts w:asciiTheme="minorHAnsi" w:hAnsiTheme="minorHAnsi" w:cs="Arial"/>
                <w:sz w:val="21"/>
                <w:szCs w:val="21"/>
                <w:lang w:val="hr-HR"/>
              </w:rPr>
              <w:t>Metal-Sint Oklaj d.d., Oklaj</w:t>
            </w:r>
          </w:p>
        </w:tc>
        <w:tc>
          <w:tcPr>
            <w:tcW w:w="1829" w:type="pct"/>
            <w:vAlign w:val="center"/>
          </w:tcPr>
          <w:p w:rsidR="00A4079D" w:rsidRPr="001567C8" w:rsidRDefault="00A4079D" w:rsidP="00A4079D">
            <w:pPr>
              <w:suppressAutoHyphens/>
              <w:spacing w:line="260" w:lineRule="exact"/>
              <w:rPr>
                <w:rFonts w:asciiTheme="minorHAnsi" w:hAnsiTheme="minorHAnsi" w:cs="Arial"/>
                <w:sz w:val="21"/>
                <w:szCs w:val="21"/>
                <w:lang w:val="hr-HR"/>
              </w:rPr>
            </w:pPr>
            <w:r w:rsidRPr="001567C8">
              <w:rPr>
                <w:rFonts w:asciiTheme="minorHAnsi" w:hAnsiTheme="minorHAnsi" w:cs="Arial"/>
                <w:sz w:val="21"/>
                <w:szCs w:val="21"/>
                <w:lang w:val="hr-HR"/>
              </w:rPr>
              <w:t>Metalna industrija sinter proizvoda i kompozitnih materijala</w:t>
            </w:r>
          </w:p>
        </w:tc>
        <w:tc>
          <w:tcPr>
            <w:tcW w:w="797" w:type="pct"/>
            <w:vAlign w:val="bottom"/>
          </w:tcPr>
          <w:p w:rsidR="00A4079D" w:rsidRPr="001567C8" w:rsidRDefault="00A4079D" w:rsidP="00A4079D">
            <w:pPr>
              <w:suppressAutoHyphens/>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40,84%</w:t>
            </w:r>
          </w:p>
        </w:tc>
        <w:tc>
          <w:tcPr>
            <w:tcW w:w="773" w:type="pct"/>
            <w:vAlign w:val="bottom"/>
          </w:tcPr>
          <w:p w:rsidR="00A4079D" w:rsidRPr="001567C8" w:rsidRDefault="00A4079D" w:rsidP="00A4079D">
            <w:pPr>
              <w:suppressAutoHyphens/>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40,84%</w:t>
            </w:r>
          </w:p>
        </w:tc>
      </w:tr>
    </w:tbl>
    <w:p w:rsidR="00867990" w:rsidRPr="001567C8" w:rsidRDefault="00867990" w:rsidP="00867990">
      <w:pPr>
        <w:pStyle w:val="BodyText3"/>
        <w:tabs>
          <w:tab w:val="clear" w:pos="4513"/>
          <w:tab w:val="left" w:pos="-720"/>
        </w:tabs>
        <w:rPr>
          <w:rFonts w:asciiTheme="minorHAnsi" w:hAnsiTheme="minorHAnsi" w:cs="Arial"/>
          <w:sz w:val="21"/>
          <w:szCs w:val="21"/>
          <w:lang w:val="hr-HR"/>
        </w:rPr>
      </w:pPr>
    </w:p>
    <w:p w:rsidR="00EC6101" w:rsidRPr="001567C8" w:rsidRDefault="00EC6101" w:rsidP="00867990">
      <w:pPr>
        <w:pStyle w:val="BodyText3"/>
        <w:tabs>
          <w:tab w:val="clear" w:pos="4513"/>
          <w:tab w:val="left" w:pos="-720"/>
        </w:tabs>
        <w:rPr>
          <w:rFonts w:asciiTheme="minorHAnsi" w:hAnsiTheme="minorHAnsi" w:cs="Arial"/>
          <w:sz w:val="21"/>
          <w:szCs w:val="21"/>
          <w:lang w:val="hr-HR"/>
        </w:rPr>
      </w:pPr>
      <w:r w:rsidRPr="001567C8">
        <w:rPr>
          <w:rFonts w:asciiTheme="minorHAnsi" w:hAnsiTheme="minorHAnsi" w:cs="Arial"/>
          <w:sz w:val="21"/>
          <w:szCs w:val="21"/>
          <w:lang w:val="hr-HR"/>
        </w:rPr>
        <w:t>Vrijednost ulaganja</w:t>
      </w:r>
      <w:r w:rsidR="00AC4350" w:rsidRPr="001567C8">
        <w:rPr>
          <w:rFonts w:asciiTheme="minorHAnsi" w:hAnsiTheme="minorHAnsi" w:cs="Arial"/>
          <w:sz w:val="21"/>
          <w:szCs w:val="21"/>
          <w:lang w:val="hr-HR"/>
        </w:rPr>
        <w:t xml:space="preserve"> u prethodnim je godinama </w:t>
      </w:r>
      <w:r w:rsidRPr="001567C8">
        <w:rPr>
          <w:rFonts w:asciiTheme="minorHAnsi" w:hAnsiTheme="minorHAnsi" w:cs="Arial"/>
          <w:sz w:val="21"/>
          <w:szCs w:val="21"/>
          <w:lang w:val="hr-HR"/>
        </w:rPr>
        <w:t>ispravljena u 100</w:t>
      </w:r>
      <w:r w:rsidR="00147D58" w:rsidRPr="001567C8">
        <w:rPr>
          <w:rFonts w:asciiTheme="minorHAnsi" w:hAnsiTheme="minorHAnsi" w:cs="Arial"/>
          <w:sz w:val="21"/>
          <w:szCs w:val="21"/>
          <w:lang w:val="hr-HR"/>
        </w:rPr>
        <w:t>%</w:t>
      </w:r>
      <w:r w:rsidRPr="001567C8">
        <w:rPr>
          <w:rFonts w:asciiTheme="minorHAnsi" w:hAnsiTheme="minorHAnsi" w:cs="Arial"/>
          <w:sz w:val="21"/>
          <w:szCs w:val="21"/>
          <w:lang w:val="hr-HR"/>
        </w:rPr>
        <w:t>-tnom iznosu zbog procijenjene nenadoknadivosti iznosa ulaganja.</w:t>
      </w:r>
    </w:p>
    <w:p w:rsidR="00421ADD" w:rsidRPr="001567C8" w:rsidRDefault="00421ADD" w:rsidP="00867990">
      <w:pPr>
        <w:pStyle w:val="BodyText3"/>
        <w:tabs>
          <w:tab w:val="clear" w:pos="4513"/>
          <w:tab w:val="left" w:pos="-720"/>
        </w:tabs>
        <w:rPr>
          <w:rFonts w:asciiTheme="minorHAnsi" w:hAnsiTheme="minorHAnsi" w:cs="Arial"/>
          <w:sz w:val="21"/>
          <w:szCs w:val="21"/>
          <w:lang w:val="hr-HR"/>
        </w:rPr>
      </w:pPr>
    </w:p>
    <w:p w:rsidR="00421ADD" w:rsidRPr="001567C8" w:rsidRDefault="00C85F55" w:rsidP="00421ADD">
      <w:pPr>
        <w:autoSpaceDE w:val="0"/>
        <w:autoSpaceDN w:val="0"/>
        <w:adjustRightInd w:val="0"/>
        <w:jc w:val="both"/>
        <w:rPr>
          <w:rFonts w:asciiTheme="minorHAnsi" w:hAnsiTheme="minorHAnsi" w:cs="Arial"/>
          <w:sz w:val="21"/>
          <w:szCs w:val="21"/>
          <w:lang w:val="hr-HR"/>
        </w:rPr>
      </w:pPr>
      <w:r w:rsidRPr="001567C8">
        <w:rPr>
          <w:rFonts w:asciiTheme="minorHAnsi" w:hAnsiTheme="minorHAnsi" w:cs="Arial"/>
          <w:sz w:val="21"/>
          <w:szCs w:val="21"/>
          <w:lang w:val="hr-HR"/>
        </w:rPr>
        <w:t xml:space="preserve">Odlukom Uprave Banke od </w:t>
      </w:r>
      <w:r w:rsidR="002A310B" w:rsidRPr="001567C8">
        <w:rPr>
          <w:rFonts w:asciiTheme="minorHAnsi" w:hAnsiTheme="minorHAnsi" w:cs="Arial"/>
          <w:sz w:val="21"/>
          <w:szCs w:val="21"/>
          <w:lang w:val="hr-HR"/>
        </w:rPr>
        <w:t>11</w:t>
      </w:r>
      <w:r w:rsidRPr="001567C8">
        <w:rPr>
          <w:rFonts w:asciiTheme="minorHAnsi" w:hAnsiTheme="minorHAnsi" w:cs="Arial"/>
          <w:sz w:val="21"/>
          <w:szCs w:val="21"/>
          <w:lang w:val="hr-HR"/>
        </w:rPr>
        <w:t>.</w:t>
      </w:r>
      <w:r w:rsidR="002A310B" w:rsidRPr="001567C8">
        <w:rPr>
          <w:rFonts w:asciiTheme="minorHAnsi" w:hAnsiTheme="minorHAnsi" w:cs="Arial"/>
          <w:sz w:val="21"/>
          <w:szCs w:val="21"/>
          <w:lang w:val="hr-HR"/>
        </w:rPr>
        <w:t xml:space="preserve"> svibnja</w:t>
      </w:r>
      <w:r w:rsidRPr="001567C8">
        <w:rPr>
          <w:rFonts w:asciiTheme="minorHAnsi" w:hAnsiTheme="minorHAnsi" w:cs="Arial"/>
          <w:sz w:val="21"/>
          <w:szCs w:val="21"/>
          <w:lang w:val="hr-HR"/>
        </w:rPr>
        <w:t xml:space="preserve"> </w:t>
      </w:r>
      <w:r w:rsidR="00421ADD" w:rsidRPr="001567C8">
        <w:rPr>
          <w:rFonts w:asciiTheme="minorHAnsi" w:hAnsiTheme="minorHAnsi" w:cs="Arial"/>
          <w:sz w:val="21"/>
          <w:szCs w:val="21"/>
          <w:lang w:val="hr-HR"/>
        </w:rPr>
        <w:t>201</w:t>
      </w:r>
      <w:r w:rsidR="002A310B" w:rsidRPr="001567C8">
        <w:rPr>
          <w:rFonts w:asciiTheme="minorHAnsi" w:hAnsiTheme="minorHAnsi" w:cs="Arial"/>
          <w:sz w:val="21"/>
          <w:szCs w:val="21"/>
          <w:lang w:val="hr-HR"/>
        </w:rPr>
        <w:t>8</w:t>
      </w:r>
      <w:r w:rsidR="00421ADD" w:rsidRPr="001567C8">
        <w:rPr>
          <w:rFonts w:asciiTheme="minorHAnsi" w:hAnsiTheme="minorHAnsi" w:cs="Arial"/>
          <w:sz w:val="21"/>
          <w:szCs w:val="21"/>
          <w:lang w:val="hr-HR"/>
        </w:rPr>
        <w:t>. godin</w:t>
      </w:r>
      <w:r w:rsidRPr="001567C8">
        <w:rPr>
          <w:rFonts w:asciiTheme="minorHAnsi" w:hAnsiTheme="minorHAnsi" w:cs="Arial"/>
          <w:sz w:val="21"/>
          <w:szCs w:val="21"/>
          <w:lang w:val="hr-HR"/>
        </w:rPr>
        <w:t>e</w:t>
      </w:r>
      <w:r w:rsidR="00421ADD" w:rsidRPr="001567C8">
        <w:rPr>
          <w:rFonts w:asciiTheme="minorHAnsi" w:hAnsiTheme="minorHAnsi" w:cs="Arial"/>
          <w:sz w:val="21"/>
          <w:szCs w:val="21"/>
          <w:lang w:val="hr-HR"/>
        </w:rPr>
        <w:t xml:space="preserve"> obavljen</w:t>
      </w:r>
      <w:r w:rsidR="00201FD6" w:rsidRPr="001567C8">
        <w:rPr>
          <w:rFonts w:asciiTheme="minorHAnsi" w:hAnsiTheme="minorHAnsi" w:cs="Arial"/>
          <w:sz w:val="21"/>
          <w:szCs w:val="21"/>
          <w:lang w:val="hr-HR"/>
        </w:rPr>
        <w:t>o</w:t>
      </w:r>
      <w:r w:rsidR="00421ADD" w:rsidRPr="001567C8">
        <w:rPr>
          <w:rFonts w:asciiTheme="minorHAnsi" w:hAnsiTheme="minorHAnsi" w:cs="Arial"/>
          <w:sz w:val="21"/>
          <w:szCs w:val="21"/>
          <w:lang w:val="hr-HR"/>
        </w:rPr>
        <w:t xml:space="preserve"> je </w:t>
      </w:r>
      <w:r w:rsidR="00201FD6" w:rsidRPr="001567C8">
        <w:rPr>
          <w:rFonts w:asciiTheme="minorHAnsi" w:hAnsiTheme="minorHAnsi" w:cs="Arial"/>
          <w:sz w:val="21"/>
          <w:szCs w:val="21"/>
          <w:lang w:val="hr-HR"/>
        </w:rPr>
        <w:t>isknjiž</w:t>
      </w:r>
      <w:r w:rsidR="002A310B" w:rsidRPr="001567C8">
        <w:rPr>
          <w:rFonts w:asciiTheme="minorHAnsi" w:hAnsiTheme="minorHAnsi" w:cs="Arial"/>
          <w:sz w:val="21"/>
          <w:szCs w:val="21"/>
          <w:lang w:val="hr-HR"/>
        </w:rPr>
        <w:t>ava</w:t>
      </w:r>
      <w:r w:rsidR="00201FD6" w:rsidRPr="001567C8">
        <w:rPr>
          <w:rFonts w:asciiTheme="minorHAnsi" w:hAnsiTheme="minorHAnsi" w:cs="Arial"/>
          <w:sz w:val="21"/>
          <w:szCs w:val="21"/>
          <w:lang w:val="hr-HR"/>
        </w:rPr>
        <w:t xml:space="preserve">nje </w:t>
      </w:r>
      <w:r w:rsidR="00421ADD" w:rsidRPr="001567C8">
        <w:rPr>
          <w:rFonts w:asciiTheme="minorHAnsi" w:hAnsiTheme="minorHAnsi" w:cs="Arial"/>
          <w:sz w:val="21"/>
          <w:szCs w:val="21"/>
          <w:lang w:val="hr-HR"/>
        </w:rPr>
        <w:t>udjela u društvu</w:t>
      </w:r>
      <w:r w:rsidR="002A310B" w:rsidRPr="001567C8">
        <w:rPr>
          <w:rFonts w:asciiTheme="minorHAnsi" w:hAnsiTheme="minorHAnsi" w:cs="Arial"/>
          <w:sz w:val="21"/>
          <w:szCs w:val="21"/>
          <w:lang w:val="hr-HR"/>
        </w:rPr>
        <w:t xml:space="preserve"> Tri D Drvo d.o.o., Vrhovine u stečaju u vrijednosti od 4.373 tisuća kuna na teret formiranog ispravka vrijednosti, zbog zaključ</w:t>
      </w:r>
      <w:r w:rsidRPr="001567C8">
        <w:rPr>
          <w:rFonts w:asciiTheme="minorHAnsi" w:hAnsiTheme="minorHAnsi" w:cs="Arial"/>
          <w:sz w:val="21"/>
          <w:szCs w:val="21"/>
          <w:lang w:val="hr-HR"/>
        </w:rPr>
        <w:t>enja stečajnog postupka i brisanja društva iz sudskog registra</w:t>
      </w:r>
      <w:r w:rsidR="006C2C2C" w:rsidRPr="001567C8">
        <w:rPr>
          <w:rFonts w:asciiTheme="minorHAnsi" w:hAnsiTheme="minorHAnsi" w:cs="Arial"/>
          <w:sz w:val="21"/>
          <w:szCs w:val="21"/>
          <w:lang w:val="hr-HR"/>
        </w:rPr>
        <w:t>.</w:t>
      </w:r>
      <w:r w:rsidRPr="001567C8">
        <w:rPr>
          <w:rFonts w:asciiTheme="minorHAnsi" w:hAnsiTheme="minorHAnsi" w:cs="Arial"/>
          <w:sz w:val="21"/>
          <w:szCs w:val="21"/>
          <w:lang w:val="hr-HR"/>
        </w:rPr>
        <w:t xml:space="preserve"> </w:t>
      </w:r>
    </w:p>
    <w:p w:rsidR="00D14CB5" w:rsidRPr="001567C8" w:rsidRDefault="00D14CB5" w:rsidP="00867990">
      <w:pPr>
        <w:pStyle w:val="T1"/>
        <w:spacing w:before="0" w:after="0" w:line="240" w:lineRule="auto"/>
        <w:rPr>
          <w:rFonts w:asciiTheme="minorHAnsi" w:hAnsiTheme="minorHAnsi" w:cs="Arial"/>
          <w:b w:val="0"/>
          <w:bCs w:val="0"/>
          <w:sz w:val="21"/>
          <w:szCs w:val="21"/>
          <w:lang w:val="hr-HR"/>
        </w:rPr>
      </w:pPr>
    </w:p>
    <w:p w:rsidR="00B26097" w:rsidRPr="001567C8" w:rsidRDefault="00B26097" w:rsidP="00B26097">
      <w:pPr>
        <w:pStyle w:val="T1"/>
        <w:keepNext w:val="0"/>
        <w:spacing w:before="0" w:after="0" w:line="240" w:lineRule="auto"/>
        <w:rPr>
          <w:rFonts w:asciiTheme="minorHAnsi" w:hAnsiTheme="minorHAnsi" w:cs="Arial"/>
          <w:b w:val="0"/>
          <w:bCs w:val="0"/>
          <w:sz w:val="21"/>
          <w:szCs w:val="21"/>
          <w:lang w:val="hr-HR"/>
        </w:rPr>
      </w:pPr>
      <w:r w:rsidRPr="001567C8">
        <w:rPr>
          <w:rFonts w:asciiTheme="minorHAnsi" w:hAnsiTheme="minorHAnsi" w:cs="Arial"/>
          <w:b w:val="0"/>
          <w:bCs w:val="0"/>
          <w:sz w:val="21"/>
          <w:szCs w:val="21"/>
          <w:lang w:val="hr-HR"/>
        </w:rPr>
        <w:t xml:space="preserve">Promjene na rezerviranjima za </w:t>
      </w:r>
      <w:r w:rsidR="00640BE0" w:rsidRPr="001567C8">
        <w:rPr>
          <w:rFonts w:asciiTheme="minorHAnsi" w:hAnsiTheme="minorHAnsi" w:cs="Arial"/>
          <w:b w:val="0"/>
          <w:bCs w:val="0"/>
          <w:sz w:val="21"/>
          <w:szCs w:val="21"/>
          <w:lang w:val="hr-HR"/>
        </w:rPr>
        <w:t xml:space="preserve">očekivane </w:t>
      </w:r>
      <w:r w:rsidRPr="001567C8">
        <w:rPr>
          <w:rFonts w:asciiTheme="minorHAnsi" w:hAnsiTheme="minorHAnsi" w:cs="Arial"/>
          <w:b w:val="0"/>
          <w:bCs w:val="0"/>
          <w:sz w:val="21"/>
          <w:szCs w:val="21"/>
          <w:lang w:val="hr-HR"/>
        </w:rPr>
        <w:t>gubitke po ulaganjima u pridružena društva mogu se prikazati kako slijedi:</w:t>
      </w:r>
    </w:p>
    <w:tbl>
      <w:tblPr>
        <w:tblpPr w:leftFromText="180" w:rightFromText="180" w:vertAnchor="text" w:horzAnchor="margin" w:tblpY="97"/>
        <w:tblW w:w="5082" w:type="pct"/>
        <w:tblLayout w:type="fixed"/>
        <w:tblLook w:val="0000" w:firstRow="0" w:lastRow="0" w:firstColumn="0" w:lastColumn="0" w:noHBand="0" w:noVBand="0"/>
      </w:tblPr>
      <w:tblGrid>
        <w:gridCol w:w="4683"/>
        <w:gridCol w:w="1205"/>
        <w:gridCol w:w="1206"/>
        <w:gridCol w:w="1206"/>
        <w:gridCol w:w="1208"/>
      </w:tblGrid>
      <w:tr w:rsidR="00B26097" w:rsidRPr="001567C8" w:rsidTr="00CA2E8F">
        <w:trPr>
          <w:trHeight w:val="252"/>
        </w:trPr>
        <w:tc>
          <w:tcPr>
            <w:tcW w:w="2463" w:type="pct"/>
          </w:tcPr>
          <w:p w:rsidR="00B26097" w:rsidRPr="001567C8" w:rsidRDefault="00B26097" w:rsidP="001B554A">
            <w:pPr>
              <w:tabs>
                <w:tab w:val="left" w:pos="-720"/>
              </w:tabs>
              <w:suppressAutoHyphens/>
              <w:spacing w:line="200" w:lineRule="exact"/>
              <w:rPr>
                <w:rFonts w:asciiTheme="minorHAnsi" w:hAnsiTheme="minorHAnsi" w:cs="Arial"/>
                <w:b/>
                <w:spacing w:val="-3"/>
                <w:sz w:val="21"/>
                <w:szCs w:val="21"/>
                <w:lang w:val="hr-HR"/>
              </w:rPr>
            </w:pPr>
          </w:p>
        </w:tc>
        <w:tc>
          <w:tcPr>
            <w:tcW w:w="1268" w:type="pct"/>
            <w:gridSpan w:val="2"/>
          </w:tcPr>
          <w:p w:rsidR="00B26097" w:rsidRPr="001567C8" w:rsidRDefault="00B26097" w:rsidP="001B554A">
            <w:pPr>
              <w:pStyle w:val="TH"/>
              <w:spacing w:line="200" w:lineRule="exact"/>
              <w:jc w:val="right"/>
              <w:rPr>
                <w:rFonts w:asciiTheme="minorHAnsi" w:hAnsiTheme="minorHAnsi" w:cs="Arial"/>
                <w:sz w:val="21"/>
                <w:szCs w:val="21"/>
                <w:lang w:val="hr-HR"/>
              </w:rPr>
            </w:pPr>
            <w:r w:rsidRPr="001567C8">
              <w:rPr>
                <w:rFonts w:asciiTheme="minorHAnsi" w:hAnsiTheme="minorHAnsi" w:cs="Arial"/>
                <w:sz w:val="21"/>
                <w:szCs w:val="21"/>
                <w:lang w:val="hr-HR"/>
              </w:rPr>
              <w:t>Grupa</w:t>
            </w:r>
          </w:p>
        </w:tc>
        <w:tc>
          <w:tcPr>
            <w:tcW w:w="1269" w:type="pct"/>
            <w:gridSpan w:val="2"/>
          </w:tcPr>
          <w:p w:rsidR="00B26097" w:rsidRPr="001567C8" w:rsidRDefault="00B26097" w:rsidP="001B554A">
            <w:pPr>
              <w:pStyle w:val="TH"/>
              <w:spacing w:line="200" w:lineRule="exact"/>
              <w:jc w:val="right"/>
              <w:rPr>
                <w:rFonts w:asciiTheme="minorHAnsi" w:hAnsiTheme="minorHAnsi" w:cs="Arial"/>
                <w:sz w:val="21"/>
                <w:szCs w:val="21"/>
                <w:lang w:val="hr-HR"/>
              </w:rPr>
            </w:pPr>
            <w:r w:rsidRPr="001567C8">
              <w:rPr>
                <w:rFonts w:asciiTheme="minorHAnsi" w:hAnsiTheme="minorHAnsi" w:cs="Arial"/>
                <w:sz w:val="21"/>
                <w:szCs w:val="21"/>
                <w:lang w:val="hr-HR"/>
              </w:rPr>
              <w:t>Banka</w:t>
            </w:r>
          </w:p>
        </w:tc>
      </w:tr>
      <w:tr w:rsidR="00ED6E3F" w:rsidRPr="001567C8" w:rsidTr="00CA2E8F">
        <w:trPr>
          <w:trHeight w:val="220"/>
        </w:trPr>
        <w:tc>
          <w:tcPr>
            <w:tcW w:w="2463" w:type="pct"/>
          </w:tcPr>
          <w:p w:rsidR="00ED6E3F" w:rsidRPr="001567C8" w:rsidRDefault="00ED6E3F" w:rsidP="00ED6E3F">
            <w:pPr>
              <w:tabs>
                <w:tab w:val="left" w:pos="-720"/>
              </w:tabs>
              <w:suppressAutoHyphens/>
              <w:spacing w:line="260" w:lineRule="exact"/>
              <w:rPr>
                <w:rFonts w:asciiTheme="minorHAnsi" w:hAnsiTheme="minorHAnsi" w:cs="Arial"/>
                <w:b/>
                <w:spacing w:val="-3"/>
                <w:sz w:val="21"/>
                <w:szCs w:val="21"/>
                <w:lang w:val="hr-HR"/>
              </w:rPr>
            </w:pPr>
          </w:p>
        </w:tc>
        <w:tc>
          <w:tcPr>
            <w:tcW w:w="634" w:type="pct"/>
            <w:vAlign w:val="center"/>
          </w:tcPr>
          <w:p w:rsidR="00ED6E3F" w:rsidRPr="001567C8" w:rsidRDefault="00ED6E3F" w:rsidP="00ED6E3F">
            <w:pPr>
              <w:pStyle w:val="TH"/>
              <w:jc w:val="right"/>
              <w:rPr>
                <w:rFonts w:asciiTheme="minorHAnsi" w:hAnsiTheme="minorHAnsi" w:cs="Arial"/>
                <w:sz w:val="21"/>
                <w:szCs w:val="21"/>
                <w:lang w:val="hr-HR"/>
              </w:rPr>
            </w:pPr>
            <w:r w:rsidRPr="001567C8">
              <w:rPr>
                <w:rFonts w:asciiTheme="minorHAnsi" w:hAnsiTheme="minorHAnsi" w:cs="Arial"/>
                <w:sz w:val="21"/>
                <w:szCs w:val="21"/>
                <w:lang w:val="hr-HR"/>
              </w:rPr>
              <w:t>2018.</w:t>
            </w:r>
          </w:p>
        </w:tc>
        <w:tc>
          <w:tcPr>
            <w:tcW w:w="634" w:type="pct"/>
            <w:vAlign w:val="center"/>
          </w:tcPr>
          <w:p w:rsidR="00ED6E3F" w:rsidRPr="001567C8" w:rsidRDefault="00ED6E3F" w:rsidP="00ED6E3F">
            <w:pPr>
              <w:pStyle w:val="TH"/>
              <w:jc w:val="right"/>
              <w:rPr>
                <w:rFonts w:asciiTheme="minorHAnsi" w:hAnsiTheme="minorHAnsi" w:cs="Arial"/>
                <w:sz w:val="21"/>
                <w:szCs w:val="21"/>
                <w:lang w:val="hr-HR"/>
              </w:rPr>
            </w:pPr>
            <w:r w:rsidRPr="001567C8">
              <w:rPr>
                <w:rFonts w:asciiTheme="minorHAnsi" w:hAnsiTheme="minorHAnsi" w:cs="Arial"/>
                <w:sz w:val="21"/>
                <w:szCs w:val="21"/>
                <w:lang w:val="hr-HR"/>
              </w:rPr>
              <w:t>2017.</w:t>
            </w:r>
          </w:p>
        </w:tc>
        <w:tc>
          <w:tcPr>
            <w:tcW w:w="634" w:type="pct"/>
            <w:vAlign w:val="center"/>
          </w:tcPr>
          <w:p w:rsidR="00ED6E3F" w:rsidRPr="001567C8" w:rsidRDefault="00ED6E3F" w:rsidP="00ED6E3F">
            <w:pPr>
              <w:pStyle w:val="TH"/>
              <w:jc w:val="right"/>
              <w:rPr>
                <w:rFonts w:asciiTheme="minorHAnsi" w:hAnsiTheme="minorHAnsi" w:cs="Arial"/>
                <w:sz w:val="21"/>
                <w:szCs w:val="21"/>
                <w:lang w:val="hr-HR"/>
              </w:rPr>
            </w:pPr>
            <w:r w:rsidRPr="001567C8">
              <w:rPr>
                <w:rFonts w:asciiTheme="minorHAnsi" w:hAnsiTheme="minorHAnsi" w:cs="Arial"/>
                <w:sz w:val="21"/>
                <w:szCs w:val="21"/>
                <w:lang w:val="hr-HR"/>
              </w:rPr>
              <w:t>2018.</w:t>
            </w:r>
          </w:p>
        </w:tc>
        <w:tc>
          <w:tcPr>
            <w:tcW w:w="635" w:type="pct"/>
            <w:vAlign w:val="center"/>
          </w:tcPr>
          <w:p w:rsidR="00ED6E3F" w:rsidRPr="001567C8" w:rsidRDefault="00ED6E3F" w:rsidP="00ED6E3F">
            <w:pPr>
              <w:pStyle w:val="TH"/>
              <w:jc w:val="right"/>
              <w:rPr>
                <w:rFonts w:asciiTheme="minorHAnsi" w:hAnsiTheme="minorHAnsi" w:cs="Arial"/>
                <w:sz w:val="21"/>
                <w:szCs w:val="21"/>
                <w:lang w:val="hr-HR"/>
              </w:rPr>
            </w:pPr>
            <w:r w:rsidRPr="001567C8">
              <w:rPr>
                <w:rFonts w:asciiTheme="minorHAnsi" w:hAnsiTheme="minorHAnsi" w:cs="Arial"/>
                <w:sz w:val="21"/>
                <w:szCs w:val="21"/>
                <w:lang w:val="hr-HR"/>
              </w:rPr>
              <w:t>2017.</w:t>
            </w:r>
          </w:p>
        </w:tc>
      </w:tr>
      <w:tr w:rsidR="00B26097" w:rsidRPr="001567C8" w:rsidTr="00CA2E8F">
        <w:trPr>
          <w:trHeight w:val="256"/>
        </w:trPr>
        <w:tc>
          <w:tcPr>
            <w:tcW w:w="2463" w:type="pct"/>
          </w:tcPr>
          <w:p w:rsidR="00B26097" w:rsidRPr="001567C8" w:rsidRDefault="00B26097" w:rsidP="001B554A">
            <w:pPr>
              <w:tabs>
                <w:tab w:val="left" w:pos="-720"/>
              </w:tabs>
              <w:suppressAutoHyphens/>
              <w:spacing w:line="260" w:lineRule="exact"/>
              <w:rPr>
                <w:rFonts w:asciiTheme="minorHAnsi" w:hAnsiTheme="minorHAnsi" w:cs="Arial"/>
                <w:b/>
                <w:spacing w:val="-3"/>
                <w:sz w:val="21"/>
                <w:szCs w:val="21"/>
                <w:lang w:val="hr-HR"/>
              </w:rPr>
            </w:pPr>
          </w:p>
        </w:tc>
        <w:tc>
          <w:tcPr>
            <w:tcW w:w="634" w:type="pct"/>
          </w:tcPr>
          <w:p w:rsidR="00B26097" w:rsidRPr="001567C8" w:rsidRDefault="00B26097" w:rsidP="001B554A">
            <w:pPr>
              <w:pStyle w:val="TH"/>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000 kuna</w:t>
            </w:r>
          </w:p>
        </w:tc>
        <w:tc>
          <w:tcPr>
            <w:tcW w:w="634" w:type="pct"/>
          </w:tcPr>
          <w:p w:rsidR="00B26097" w:rsidRPr="001567C8" w:rsidRDefault="00B26097" w:rsidP="001B554A">
            <w:pPr>
              <w:pStyle w:val="TH"/>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000 kuna</w:t>
            </w:r>
          </w:p>
        </w:tc>
        <w:tc>
          <w:tcPr>
            <w:tcW w:w="634" w:type="pct"/>
          </w:tcPr>
          <w:p w:rsidR="00B26097" w:rsidRPr="001567C8" w:rsidRDefault="00B26097" w:rsidP="001B554A">
            <w:pPr>
              <w:pStyle w:val="TH"/>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000 kuna</w:t>
            </w:r>
          </w:p>
        </w:tc>
        <w:tc>
          <w:tcPr>
            <w:tcW w:w="635" w:type="pct"/>
          </w:tcPr>
          <w:p w:rsidR="00B26097" w:rsidRPr="001567C8" w:rsidRDefault="00B26097" w:rsidP="001B554A">
            <w:pPr>
              <w:pStyle w:val="TH"/>
              <w:spacing w:line="260" w:lineRule="exact"/>
              <w:jc w:val="right"/>
              <w:rPr>
                <w:rFonts w:asciiTheme="minorHAnsi" w:hAnsiTheme="minorHAnsi" w:cs="Arial"/>
                <w:sz w:val="21"/>
                <w:szCs w:val="21"/>
                <w:lang w:val="hr-HR"/>
              </w:rPr>
            </w:pPr>
            <w:r w:rsidRPr="001567C8">
              <w:rPr>
                <w:rFonts w:asciiTheme="minorHAnsi" w:hAnsiTheme="minorHAnsi" w:cs="Arial"/>
                <w:sz w:val="21"/>
                <w:szCs w:val="21"/>
                <w:lang w:val="hr-HR"/>
              </w:rPr>
              <w:t>000 kuna</w:t>
            </w:r>
          </w:p>
        </w:tc>
      </w:tr>
      <w:tr w:rsidR="00ED6E3F" w:rsidRPr="001567C8" w:rsidTr="00CA2E8F">
        <w:trPr>
          <w:trHeight w:val="324"/>
        </w:trPr>
        <w:tc>
          <w:tcPr>
            <w:tcW w:w="2463" w:type="pct"/>
            <w:vAlign w:val="bottom"/>
          </w:tcPr>
          <w:p w:rsidR="00ED6E3F" w:rsidRPr="001567C8" w:rsidRDefault="00ED6E3F" w:rsidP="00ED6E3F">
            <w:pPr>
              <w:pStyle w:val="TT"/>
              <w:spacing w:line="220" w:lineRule="exact"/>
              <w:rPr>
                <w:rFonts w:asciiTheme="minorHAnsi" w:hAnsiTheme="minorHAnsi" w:cs="Arial"/>
                <w:sz w:val="21"/>
                <w:szCs w:val="21"/>
                <w:lang w:val="hr-HR"/>
              </w:rPr>
            </w:pPr>
            <w:r w:rsidRPr="001567C8">
              <w:rPr>
                <w:rFonts w:asciiTheme="minorHAnsi" w:hAnsiTheme="minorHAnsi" w:cs="Arial"/>
                <w:sz w:val="21"/>
                <w:szCs w:val="21"/>
                <w:lang w:val="hr-HR"/>
              </w:rPr>
              <w:t>Stanje 1. siječnja</w:t>
            </w:r>
          </w:p>
        </w:tc>
        <w:tc>
          <w:tcPr>
            <w:tcW w:w="634"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21.873</w:t>
            </w:r>
          </w:p>
        </w:tc>
        <w:tc>
          <w:tcPr>
            <w:tcW w:w="634"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23.687</w:t>
            </w:r>
          </w:p>
        </w:tc>
        <w:tc>
          <w:tcPr>
            <w:tcW w:w="634"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21.873</w:t>
            </w:r>
          </w:p>
        </w:tc>
        <w:tc>
          <w:tcPr>
            <w:tcW w:w="635"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23.687</w:t>
            </w:r>
          </w:p>
        </w:tc>
      </w:tr>
      <w:tr w:rsidR="00ED6E3F" w:rsidRPr="001567C8" w:rsidTr="003C6BA3">
        <w:trPr>
          <w:trHeight w:hRule="exact" w:val="465"/>
        </w:trPr>
        <w:tc>
          <w:tcPr>
            <w:tcW w:w="2463" w:type="pct"/>
            <w:vAlign w:val="bottom"/>
          </w:tcPr>
          <w:p w:rsidR="00ED6E3F" w:rsidRPr="001567C8" w:rsidRDefault="00AB1265" w:rsidP="00CA2E8F">
            <w:pPr>
              <w:pStyle w:val="TT"/>
              <w:spacing w:line="220" w:lineRule="exact"/>
              <w:rPr>
                <w:rFonts w:asciiTheme="minorHAnsi" w:hAnsiTheme="minorHAnsi" w:cs="Arial"/>
                <w:sz w:val="21"/>
                <w:szCs w:val="21"/>
                <w:lang w:val="hr-HR"/>
              </w:rPr>
            </w:pPr>
            <w:r w:rsidRPr="001567C8">
              <w:rPr>
                <w:rFonts w:asciiTheme="minorHAnsi" w:hAnsiTheme="minorHAnsi" w:cs="Arial"/>
                <w:sz w:val="21"/>
                <w:szCs w:val="21"/>
                <w:lang w:val="hr-HR"/>
              </w:rPr>
              <w:t xml:space="preserve">Isknjiženje na teret formiranih rezerviranja u ranijim godinama </w:t>
            </w:r>
          </w:p>
        </w:tc>
        <w:tc>
          <w:tcPr>
            <w:tcW w:w="634"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w:t>
            </w:r>
          </w:p>
        </w:tc>
        <w:tc>
          <w:tcPr>
            <w:tcW w:w="634"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(1.814)</w:t>
            </w:r>
          </w:p>
        </w:tc>
        <w:tc>
          <w:tcPr>
            <w:tcW w:w="634"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w:t>
            </w:r>
          </w:p>
        </w:tc>
        <w:tc>
          <w:tcPr>
            <w:tcW w:w="635"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(1.814)</w:t>
            </w:r>
          </w:p>
        </w:tc>
      </w:tr>
      <w:tr w:rsidR="00ED6E3F" w:rsidRPr="001567C8" w:rsidTr="00CA2E8F">
        <w:trPr>
          <w:trHeight w:hRule="exact" w:val="320"/>
        </w:trPr>
        <w:tc>
          <w:tcPr>
            <w:tcW w:w="2463" w:type="pct"/>
            <w:vAlign w:val="bottom"/>
          </w:tcPr>
          <w:p w:rsidR="00ED6E3F" w:rsidRPr="001567C8" w:rsidRDefault="00ED6E3F" w:rsidP="00ED6E3F">
            <w:pPr>
              <w:pStyle w:val="TT"/>
              <w:spacing w:line="220" w:lineRule="exact"/>
              <w:rPr>
                <w:rFonts w:asciiTheme="minorHAnsi" w:hAnsiTheme="minorHAnsi" w:cs="Arial"/>
                <w:sz w:val="21"/>
                <w:szCs w:val="21"/>
                <w:lang w:val="hr-HR"/>
              </w:rPr>
            </w:pPr>
            <w:r w:rsidRPr="001567C8">
              <w:rPr>
                <w:rFonts w:asciiTheme="minorHAnsi" w:hAnsiTheme="minorHAnsi" w:cs="Arial"/>
                <w:sz w:val="21"/>
                <w:szCs w:val="21"/>
                <w:lang w:val="hr-HR"/>
              </w:rPr>
              <w:t>Otpis zbog zaključenja stečajnog postupka</w:t>
            </w:r>
          </w:p>
        </w:tc>
        <w:tc>
          <w:tcPr>
            <w:tcW w:w="634" w:type="pct"/>
            <w:tcBorders>
              <w:top w:val="nil"/>
              <w:left w:val="nil"/>
              <w:bottom w:val="nil"/>
              <w:right w:val="nil"/>
            </w:tcBorders>
            <w:shd w:val="clear" w:color="auto" w:fill="auto"/>
            <w:vAlign w:val="bottom"/>
          </w:tcPr>
          <w:p w:rsidR="00ED6E3F" w:rsidRPr="001567C8" w:rsidDel="00ED6E3F"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(4.373)</w:t>
            </w:r>
          </w:p>
        </w:tc>
        <w:tc>
          <w:tcPr>
            <w:tcW w:w="634"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w:t>
            </w:r>
          </w:p>
        </w:tc>
        <w:tc>
          <w:tcPr>
            <w:tcW w:w="634" w:type="pct"/>
            <w:tcBorders>
              <w:top w:val="nil"/>
              <w:left w:val="nil"/>
              <w:bottom w:val="nil"/>
              <w:right w:val="nil"/>
            </w:tcBorders>
            <w:shd w:val="clear" w:color="auto" w:fill="auto"/>
            <w:vAlign w:val="bottom"/>
          </w:tcPr>
          <w:p w:rsidR="00ED6E3F" w:rsidRPr="001567C8" w:rsidDel="00ED6E3F"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(4.373)</w:t>
            </w:r>
          </w:p>
        </w:tc>
        <w:tc>
          <w:tcPr>
            <w:tcW w:w="635" w:type="pct"/>
            <w:tcBorders>
              <w:top w:val="nil"/>
              <w:left w:val="nil"/>
              <w:bottom w:val="nil"/>
              <w:right w:val="nil"/>
            </w:tcBorders>
            <w:shd w:val="clear" w:color="auto" w:fill="auto"/>
            <w:vAlign w:val="bottom"/>
          </w:tcPr>
          <w:p w:rsidR="00ED6E3F" w:rsidRPr="001567C8" w:rsidRDefault="00ED6E3F" w:rsidP="00ED6E3F">
            <w:pPr>
              <w:pStyle w:val="TT"/>
              <w:spacing w:line="220" w:lineRule="exact"/>
              <w:jc w:val="right"/>
              <w:rPr>
                <w:rFonts w:asciiTheme="minorHAnsi" w:hAnsiTheme="minorHAnsi" w:cs="Arial"/>
                <w:sz w:val="21"/>
                <w:szCs w:val="21"/>
                <w:lang w:val="hr-HR"/>
              </w:rPr>
            </w:pPr>
            <w:r w:rsidRPr="001567C8">
              <w:rPr>
                <w:rFonts w:asciiTheme="minorHAnsi" w:hAnsiTheme="minorHAnsi" w:cs="Arial"/>
                <w:sz w:val="21"/>
                <w:szCs w:val="21"/>
                <w:lang w:val="hr-HR"/>
              </w:rPr>
              <w:t>-</w:t>
            </w:r>
          </w:p>
        </w:tc>
      </w:tr>
      <w:tr w:rsidR="00ED6E3F" w:rsidRPr="001567C8" w:rsidTr="003C6BA3">
        <w:trPr>
          <w:trHeight w:hRule="exact" w:val="431"/>
        </w:trPr>
        <w:tc>
          <w:tcPr>
            <w:tcW w:w="2463" w:type="pct"/>
            <w:vAlign w:val="bottom"/>
          </w:tcPr>
          <w:p w:rsidR="00ED6E3F" w:rsidRPr="001567C8" w:rsidRDefault="00ED6E3F" w:rsidP="00CA2E8F">
            <w:pPr>
              <w:pStyle w:val="Tot"/>
              <w:spacing w:line="260" w:lineRule="exact"/>
              <w:rPr>
                <w:rFonts w:asciiTheme="minorHAnsi" w:hAnsiTheme="minorHAnsi" w:cs="Arial"/>
                <w:b/>
                <w:bCs/>
                <w:sz w:val="21"/>
                <w:szCs w:val="21"/>
                <w:lang w:val="hr-HR"/>
              </w:rPr>
            </w:pPr>
            <w:r w:rsidRPr="001567C8">
              <w:rPr>
                <w:rFonts w:asciiTheme="minorHAnsi" w:hAnsiTheme="minorHAnsi" w:cs="Arial"/>
                <w:b/>
                <w:bCs/>
                <w:sz w:val="21"/>
                <w:szCs w:val="21"/>
                <w:lang w:val="hr-HR"/>
              </w:rPr>
              <w:t>Stanje 31. prosinca</w:t>
            </w:r>
          </w:p>
        </w:tc>
        <w:tc>
          <w:tcPr>
            <w:tcW w:w="634" w:type="pct"/>
            <w:tcBorders>
              <w:top w:val="single" w:sz="4" w:space="0" w:color="auto"/>
              <w:bottom w:val="single" w:sz="12" w:space="0" w:color="auto"/>
            </w:tcBorders>
            <w:vAlign w:val="bottom"/>
          </w:tcPr>
          <w:p w:rsidR="00ED6E3F" w:rsidRPr="001567C8" w:rsidRDefault="00ED6E3F" w:rsidP="00ED6E3F">
            <w:pPr>
              <w:pStyle w:val="Tot"/>
              <w:spacing w:line="260" w:lineRule="exact"/>
              <w:jc w:val="right"/>
              <w:rPr>
                <w:rFonts w:asciiTheme="minorHAnsi" w:hAnsiTheme="minorHAnsi" w:cs="Arial"/>
                <w:b/>
                <w:bCs/>
                <w:sz w:val="21"/>
                <w:szCs w:val="21"/>
                <w:lang w:val="hr-HR"/>
              </w:rPr>
            </w:pPr>
            <w:r w:rsidRPr="001567C8">
              <w:rPr>
                <w:rFonts w:asciiTheme="minorHAnsi" w:hAnsiTheme="minorHAnsi" w:cs="Arial"/>
                <w:b/>
                <w:bCs/>
                <w:sz w:val="21"/>
                <w:szCs w:val="21"/>
                <w:lang w:val="hr-HR"/>
              </w:rPr>
              <w:t>17.500</w:t>
            </w:r>
          </w:p>
        </w:tc>
        <w:tc>
          <w:tcPr>
            <w:tcW w:w="634" w:type="pct"/>
            <w:tcBorders>
              <w:top w:val="single" w:sz="4" w:space="0" w:color="auto"/>
              <w:bottom w:val="single" w:sz="12" w:space="0" w:color="auto"/>
            </w:tcBorders>
            <w:vAlign w:val="bottom"/>
          </w:tcPr>
          <w:p w:rsidR="00ED6E3F" w:rsidRPr="001567C8" w:rsidRDefault="00ED6E3F" w:rsidP="00ED6E3F">
            <w:pPr>
              <w:pStyle w:val="Tot"/>
              <w:spacing w:line="260" w:lineRule="exact"/>
              <w:jc w:val="right"/>
              <w:rPr>
                <w:rFonts w:asciiTheme="minorHAnsi" w:hAnsiTheme="minorHAnsi" w:cs="Arial"/>
                <w:b/>
                <w:bCs/>
                <w:sz w:val="21"/>
                <w:szCs w:val="21"/>
                <w:lang w:val="hr-HR"/>
              </w:rPr>
            </w:pPr>
            <w:r w:rsidRPr="001567C8">
              <w:rPr>
                <w:rFonts w:asciiTheme="minorHAnsi" w:hAnsiTheme="minorHAnsi" w:cs="Arial"/>
                <w:b/>
                <w:bCs/>
                <w:sz w:val="21"/>
                <w:szCs w:val="21"/>
                <w:lang w:val="hr-HR"/>
              </w:rPr>
              <w:t>21.873</w:t>
            </w:r>
          </w:p>
        </w:tc>
        <w:tc>
          <w:tcPr>
            <w:tcW w:w="634" w:type="pct"/>
            <w:tcBorders>
              <w:top w:val="single" w:sz="4" w:space="0" w:color="auto"/>
              <w:bottom w:val="single" w:sz="12" w:space="0" w:color="auto"/>
            </w:tcBorders>
            <w:vAlign w:val="bottom"/>
          </w:tcPr>
          <w:p w:rsidR="00ED6E3F" w:rsidRPr="001567C8" w:rsidRDefault="00ED6E3F" w:rsidP="00ED6E3F">
            <w:pPr>
              <w:pStyle w:val="Tot"/>
              <w:spacing w:line="260" w:lineRule="exact"/>
              <w:jc w:val="right"/>
              <w:rPr>
                <w:rFonts w:asciiTheme="minorHAnsi" w:hAnsiTheme="minorHAnsi" w:cs="Arial"/>
                <w:b/>
                <w:bCs/>
                <w:sz w:val="21"/>
                <w:szCs w:val="21"/>
                <w:lang w:val="hr-HR"/>
              </w:rPr>
            </w:pPr>
            <w:r w:rsidRPr="001567C8">
              <w:rPr>
                <w:rFonts w:asciiTheme="minorHAnsi" w:hAnsiTheme="minorHAnsi" w:cs="Arial"/>
                <w:b/>
                <w:bCs/>
                <w:sz w:val="21"/>
                <w:szCs w:val="21"/>
                <w:lang w:val="hr-HR"/>
              </w:rPr>
              <w:t>17.500</w:t>
            </w:r>
          </w:p>
        </w:tc>
        <w:tc>
          <w:tcPr>
            <w:tcW w:w="635" w:type="pct"/>
            <w:tcBorders>
              <w:top w:val="single" w:sz="4" w:space="0" w:color="auto"/>
              <w:bottom w:val="single" w:sz="12" w:space="0" w:color="auto"/>
            </w:tcBorders>
            <w:vAlign w:val="bottom"/>
          </w:tcPr>
          <w:p w:rsidR="00ED6E3F" w:rsidRPr="001567C8" w:rsidRDefault="00ED6E3F" w:rsidP="00ED6E3F">
            <w:pPr>
              <w:pStyle w:val="Tot"/>
              <w:spacing w:line="260" w:lineRule="exact"/>
              <w:jc w:val="right"/>
              <w:rPr>
                <w:rFonts w:asciiTheme="minorHAnsi" w:hAnsiTheme="minorHAnsi" w:cs="Arial"/>
                <w:b/>
                <w:bCs/>
                <w:sz w:val="21"/>
                <w:szCs w:val="21"/>
                <w:lang w:val="hr-HR"/>
              </w:rPr>
            </w:pPr>
            <w:r w:rsidRPr="001567C8">
              <w:rPr>
                <w:rFonts w:asciiTheme="minorHAnsi" w:hAnsiTheme="minorHAnsi" w:cs="Arial"/>
                <w:b/>
                <w:bCs/>
                <w:sz w:val="21"/>
                <w:szCs w:val="21"/>
                <w:lang w:val="hr-HR"/>
              </w:rPr>
              <w:t>21.873</w:t>
            </w:r>
          </w:p>
        </w:tc>
      </w:tr>
    </w:tbl>
    <w:p w:rsidR="00B26097" w:rsidRPr="001567C8" w:rsidRDefault="00B26097" w:rsidP="00B26097">
      <w:pPr>
        <w:pStyle w:val="T1"/>
        <w:spacing w:before="100" w:beforeAutospacing="1" w:after="0" w:line="240" w:lineRule="auto"/>
        <w:rPr>
          <w:rFonts w:asciiTheme="minorHAnsi" w:hAnsiTheme="minorHAnsi" w:cs="Arial"/>
          <w:b w:val="0"/>
          <w:bCs w:val="0"/>
          <w:sz w:val="22"/>
          <w:szCs w:val="22"/>
          <w:lang w:val="hr-HR"/>
        </w:rPr>
      </w:pPr>
    </w:p>
    <w:p w:rsidR="00B06D8C" w:rsidRPr="001567C8" w:rsidRDefault="00B06D8C" w:rsidP="00867990">
      <w:pPr>
        <w:pStyle w:val="T1"/>
        <w:spacing w:before="0" w:after="0" w:line="240" w:lineRule="auto"/>
        <w:rPr>
          <w:rFonts w:asciiTheme="minorHAnsi" w:hAnsiTheme="minorHAnsi" w:cs="Arial"/>
          <w:b w:val="0"/>
          <w:bCs w:val="0"/>
          <w:sz w:val="22"/>
          <w:szCs w:val="22"/>
          <w:lang w:val="hr-HR"/>
        </w:rPr>
        <w:sectPr w:rsidR="00B06D8C" w:rsidRPr="001567C8" w:rsidSect="003E2D7A">
          <w:pgSz w:w="11907" w:h="16840" w:code="9"/>
          <w:pgMar w:top="1418" w:right="1134" w:bottom="1134" w:left="1418" w:header="851" w:footer="851" w:gutter="0"/>
          <w:cols w:space="720"/>
          <w:noEndnote/>
        </w:sectPr>
      </w:pPr>
    </w:p>
    <w:p w:rsidR="004544EA" w:rsidRPr="001567C8" w:rsidRDefault="004544EA" w:rsidP="004544EA">
      <w:pPr>
        <w:pStyle w:val="T1"/>
        <w:spacing w:before="0" w:after="0" w:line="240" w:lineRule="auto"/>
        <w:rPr>
          <w:rFonts w:asciiTheme="minorHAnsi" w:hAnsiTheme="minorHAnsi" w:cs="Arial"/>
          <w:sz w:val="22"/>
          <w:szCs w:val="22"/>
          <w:lang w:val="hr-HR"/>
        </w:rPr>
      </w:pPr>
    </w:p>
    <w:p w:rsidR="000675A2" w:rsidRPr="001567C8" w:rsidRDefault="00C9220F" w:rsidP="004544E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24</w:t>
      </w:r>
      <w:r w:rsidR="00163BAA" w:rsidRPr="001567C8">
        <w:rPr>
          <w:rFonts w:asciiTheme="minorHAnsi" w:hAnsiTheme="minorHAnsi" w:cs="Arial"/>
          <w:sz w:val="22"/>
          <w:szCs w:val="22"/>
          <w:lang w:val="hr-HR"/>
        </w:rPr>
        <w:t>.</w:t>
      </w:r>
      <w:r w:rsidR="00163BAA" w:rsidRPr="001567C8">
        <w:rPr>
          <w:rFonts w:asciiTheme="minorHAnsi" w:hAnsiTheme="minorHAnsi" w:cs="Arial"/>
          <w:sz w:val="22"/>
          <w:szCs w:val="22"/>
          <w:lang w:val="hr-HR"/>
        </w:rPr>
        <w:tab/>
      </w:r>
      <w:r w:rsidR="004F2569" w:rsidRPr="001567C8">
        <w:rPr>
          <w:rFonts w:asciiTheme="minorHAnsi" w:hAnsiTheme="minorHAnsi" w:cs="Arial"/>
          <w:sz w:val="22"/>
          <w:szCs w:val="22"/>
          <w:lang w:val="hr-HR"/>
        </w:rPr>
        <w:t>Nekretnine</w:t>
      </w:r>
      <w:r w:rsidR="000C6330" w:rsidRPr="001567C8">
        <w:rPr>
          <w:rFonts w:asciiTheme="minorHAnsi" w:hAnsiTheme="minorHAnsi" w:cs="Arial"/>
          <w:sz w:val="22"/>
          <w:szCs w:val="22"/>
          <w:lang w:val="hr-HR"/>
        </w:rPr>
        <w:t>,</w:t>
      </w:r>
      <w:r w:rsidR="004F2569" w:rsidRPr="001567C8">
        <w:rPr>
          <w:rFonts w:asciiTheme="minorHAnsi" w:hAnsiTheme="minorHAnsi" w:cs="Arial"/>
          <w:sz w:val="22"/>
          <w:szCs w:val="22"/>
          <w:lang w:val="hr-HR"/>
        </w:rPr>
        <w:t xml:space="preserve"> postrojenja i oprema</w:t>
      </w:r>
      <w:r w:rsidR="000E45AD" w:rsidRPr="001567C8">
        <w:rPr>
          <w:rFonts w:asciiTheme="minorHAnsi" w:hAnsiTheme="minorHAnsi" w:cs="Arial"/>
          <w:sz w:val="22"/>
          <w:szCs w:val="22"/>
          <w:lang w:val="hr-HR"/>
        </w:rPr>
        <w:t xml:space="preserve"> i nematerijalna imovina</w:t>
      </w:r>
      <w:r w:rsidR="006F64B4" w:rsidRPr="001567C8">
        <w:rPr>
          <w:rFonts w:asciiTheme="minorHAnsi" w:hAnsiTheme="minorHAnsi" w:cs="Arial"/>
          <w:sz w:val="22"/>
          <w:szCs w:val="22"/>
          <w:lang w:val="hr-HR"/>
        </w:rPr>
        <w:t xml:space="preserve"> </w:t>
      </w:r>
    </w:p>
    <w:p w:rsidR="00815E7F" w:rsidRPr="001567C8" w:rsidRDefault="00815E7F" w:rsidP="004544EA">
      <w:pPr>
        <w:pStyle w:val="T1"/>
        <w:spacing w:before="0" w:after="0" w:line="240" w:lineRule="auto"/>
        <w:rPr>
          <w:rFonts w:asciiTheme="minorHAnsi" w:hAnsiTheme="minorHAnsi" w:cs="Arial"/>
          <w:sz w:val="22"/>
          <w:szCs w:val="22"/>
          <w:lang w:val="hr-HR"/>
        </w:rPr>
      </w:pPr>
    </w:p>
    <w:tbl>
      <w:tblPr>
        <w:tblW w:w="5381" w:type="pct"/>
        <w:tblInd w:w="-567" w:type="dxa"/>
        <w:tblLayout w:type="fixed"/>
        <w:tblCellMar>
          <w:left w:w="119" w:type="dxa"/>
          <w:right w:w="119" w:type="dxa"/>
        </w:tblCellMar>
        <w:tblLook w:val="0000" w:firstRow="0" w:lastRow="0" w:firstColumn="0" w:lastColumn="0" w:noHBand="0" w:noVBand="0"/>
      </w:tblPr>
      <w:tblGrid>
        <w:gridCol w:w="2036"/>
        <w:gridCol w:w="1148"/>
        <w:gridCol w:w="1148"/>
        <w:gridCol w:w="1148"/>
        <w:gridCol w:w="1148"/>
        <w:gridCol w:w="1148"/>
        <w:gridCol w:w="1148"/>
        <w:gridCol w:w="1144"/>
      </w:tblGrid>
      <w:tr w:rsidR="004544EA" w:rsidRPr="001567C8" w:rsidTr="008402AC">
        <w:trPr>
          <w:trHeight w:val="1362"/>
        </w:trPr>
        <w:tc>
          <w:tcPr>
            <w:tcW w:w="1011" w:type="pct"/>
            <w:vAlign w:val="bottom"/>
          </w:tcPr>
          <w:p w:rsidR="00815E7F" w:rsidRPr="001567C8" w:rsidRDefault="00815E7F" w:rsidP="00815E7F">
            <w:pPr>
              <w:tabs>
                <w:tab w:val="left" w:pos="-1559"/>
              </w:tabs>
              <w:suppressAutoHyphens/>
              <w:rPr>
                <w:rFonts w:asciiTheme="minorHAnsi" w:hAnsiTheme="minorHAnsi" w:cs="Arial"/>
                <w:b/>
                <w:spacing w:val="-2"/>
                <w:sz w:val="18"/>
                <w:szCs w:val="18"/>
                <w:lang w:val="hr-HR"/>
              </w:rPr>
            </w:pPr>
            <w:r w:rsidRPr="001567C8">
              <w:rPr>
                <w:rFonts w:asciiTheme="minorHAnsi" w:hAnsiTheme="minorHAnsi" w:cs="Arial"/>
                <w:b/>
                <w:spacing w:val="-2"/>
                <w:sz w:val="18"/>
                <w:szCs w:val="18"/>
                <w:lang w:val="hr-HR"/>
              </w:rPr>
              <w:t>Grupa</w:t>
            </w:r>
          </w:p>
          <w:p w:rsidR="00815E7F" w:rsidRPr="001567C8" w:rsidRDefault="00815E7F" w:rsidP="00815E7F">
            <w:pPr>
              <w:tabs>
                <w:tab w:val="left" w:pos="-1559"/>
              </w:tabs>
              <w:suppressAutoHyphens/>
              <w:rPr>
                <w:rFonts w:asciiTheme="minorHAnsi" w:hAnsiTheme="minorHAnsi" w:cs="Arial"/>
                <w:b/>
                <w:spacing w:val="-2"/>
                <w:sz w:val="18"/>
                <w:szCs w:val="18"/>
                <w:lang w:val="hr-HR"/>
              </w:rPr>
            </w:pPr>
          </w:p>
          <w:p w:rsidR="00815E7F" w:rsidRPr="001567C8" w:rsidRDefault="00815E7F" w:rsidP="00815E7F">
            <w:pPr>
              <w:tabs>
                <w:tab w:val="left" w:pos="-1559"/>
              </w:tabs>
              <w:suppressAutoHyphens/>
              <w:rPr>
                <w:rFonts w:asciiTheme="minorHAnsi" w:hAnsiTheme="minorHAnsi" w:cs="Arial"/>
                <w:b/>
                <w:spacing w:val="-2"/>
                <w:sz w:val="18"/>
                <w:szCs w:val="18"/>
                <w:lang w:val="hr-HR"/>
              </w:rPr>
            </w:pPr>
          </w:p>
          <w:p w:rsidR="00815E7F" w:rsidRPr="001567C8" w:rsidRDefault="00815E7F" w:rsidP="00815E7F">
            <w:pPr>
              <w:tabs>
                <w:tab w:val="left" w:pos="-1559"/>
              </w:tabs>
              <w:suppressAutoHyphens/>
              <w:rPr>
                <w:rFonts w:asciiTheme="minorHAnsi" w:hAnsiTheme="minorHAnsi" w:cs="Arial"/>
                <w:b/>
                <w:spacing w:val="-2"/>
                <w:sz w:val="18"/>
                <w:szCs w:val="18"/>
                <w:lang w:val="hr-HR"/>
              </w:rPr>
            </w:pPr>
          </w:p>
          <w:p w:rsidR="00815E7F" w:rsidRPr="001567C8" w:rsidRDefault="008F0C90" w:rsidP="00815E7F">
            <w:pPr>
              <w:tabs>
                <w:tab w:val="left" w:pos="-1559"/>
              </w:tabs>
              <w:suppressAutoHyphens/>
              <w:rPr>
                <w:rFonts w:asciiTheme="minorHAnsi" w:hAnsiTheme="minorHAnsi" w:cs="Arial"/>
                <w:b/>
                <w:spacing w:val="-2"/>
                <w:sz w:val="18"/>
                <w:szCs w:val="18"/>
                <w:lang w:val="hr-HR"/>
              </w:rPr>
            </w:pPr>
            <w:r w:rsidRPr="001567C8">
              <w:rPr>
                <w:rFonts w:asciiTheme="minorHAnsi" w:hAnsiTheme="minorHAnsi" w:cs="Arial"/>
                <w:b/>
                <w:spacing w:val="-2"/>
                <w:sz w:val="18"/>
                <w:szCs w:val="18"/>
                <w:lang w:val="hr-HR"/>
              </w:rPr>
              <w:t>201</w:t>
            </w:r>
            <w:r w:rsidR="00103C09" w:rsidRPr="001567C8">
              <w:rPr>
                <w:rFonts w:asciiTheme="minorHAnsi" w:hAnsiTheme="minorHAnsi" w:cs="Arial"/>
                <w:b/>
                <w:spacing w:val="-2"/>
                <w:sz w:val="18"/>
                <w:szCs w:val="18"/>
                <w:lang w:val="hr-HR"/>
              </w:rPr>
              <w:t>8</w:t>
            </w:r>
            <w:r w:rsidR="00815E7F" w:rsidRPr="001567C8">
              <w:rPr>
                <w:rFonts w:asciiTheme="minorHAnsi" w:hAnsiTheme="minorHAnsi" w:cs="Arial"/>
                <w:b/>
                <w:spacing w:val="-2"/>
                <w:sz w:val="18"/>
                <w:szCs w:val="18"/>
                <w:lang w:val="hr-HR"/>
              </w:rPr>
              <w:t>.</w:t>
            </w:r>
          </w:p>
          <w:p w:rsidR="00815E7F" w:rsidRPr="001567C8" w:rsidRDefault="00815E7F" w:rsidP="00815E7F">
            <w:pPr>
              <w:tabs>
                <w:tab w:val="left" w:pos="-1559"/>
              </w:tabs>
              <w:suppressAutoHyphens/>
              <w:rPr>
                <w:rFonts w:asciiTheme="minorHAnsi" w:hAnsiTheme="minorHAnsi" w:cs="Arial"/>
                <w:b/>
                <w:spacing w:val="-2"/>
                <w:sz w:val="18"/>
                <w:szCs w:val="18"/>
                <w:lang w:val="hr-HR"/>
              </w:rPr>
            </w:pPr>
          </w:p>
        </w:tc>
        <w:tc>
          <w:tcPr>
            <w:tcW w:w="570" w:type="pct"/>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Građevinski objekti</w:t>
            </w:r>
          </w:p>
        </w:tc>
        <w:tc>
          <w:tcPr>
            <w:tcW w:w="570" w:type="pct"/>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Kompjutori</w:t>
            </w:r>
          </w:p>
        </w:tc>
        <w:tc>
          <w:tcPr>
            <w:tcW w:w="570" w:type="pct"/>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Namještaj, oprema i vozila</w:t>
            </w:r>
          </w:p>
        </w:tc>
        <w:tc>
          <w:tcPr>
            <w:tcW w:w="570" w:type="pct"/>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Nekretnine i oprema i nematerijalna imovina u pripremi</w:t>
            </w:r>
          </w:p>
        </w:tc>
        <w:tc>
          <w:tcPr>
            <w:tcW w:w="570" w:type="pct"/>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 xml:space="preserve">Ukupno nekretnine, postrojenja i oprema </w:t>
            </w:r>
          </w:p>
        </w:tc>
        <w:tc>
          <w:tcPr>
            <w:tcW w:w="570" w:type="pct"/>
          </w:tcPr>
          <w:p w:rsidR="006A61B1"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Nematerija</w:t>
            </w:r>
            <w:r w:rsidR="0057461D" w:rsidRPr="001567C8">
              <w:rPr>
                <w:rFonts w:asciiTheme="minorHAnsi" w:hAnsiTheme="minorHAnsi" w:cs="Arial"/>
                <w:sz w:val="18"/>
                <w:szCs w:val="18"/>
                <w:lang w:val="hr-HR"/>
              </w:rPr>
              <w:t>-</w:t>
            </w:r>
            <w:r w:rsidRPr="001567C8">
              <w:rPr>
                <w:rFonts w:asciiTheme="minorHAnsi" w:hAnsiTheme="minorHAnsi" w:cs="Arial"/>
                <w:sz w:val="18"/>
                <w:szCs w:val="18"/>
                <w:lang w:val="hr-HR"/>
              </w:rPr>
              <w:t xml:space="preserve">lna </w:t>
            </w:r>
          </w:p>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imovina</w:t>
            </w:r>
          </w:p>
        </w:tc>
        <w:tc>
          <w:tcPr>
            <w:tcW w:w="568" w:type="pct"/>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Ukupno</w:t>
            </w:r>
          </w:p>
        </w:tc>
      </w:tr>
      <w:tr w:rsidR="004544EA" w:rsidRPr="001567C8" w:rsidTr="008402AC">
        <w:trPr>
          <w:trHeight w:val="246"/>
        </w:trPr>
        <w:tc>
          <w:tcPr>
            <w:tcW w:w="1011" w:type="pct"/>
            <w:vAlign w:val="bottom"/>
          </w:tcPr>
          <w:p w:rsidR="00815E7F" w:rsidRPr="001567C8" w:rsidRDefault="00815E7F" w:rsidP="00815E7F">
            <w:pPr>
              <w:tabs>
                <w:tab w:val="left" w:pos="-1559"/>
              </w:tabs>
              <w:suppressAutoHyphens/>
              <w:rPr>
                <w:rFonts w:asciiTheme="minorHAnsi" w:hAnsiTheme="minorHAnsi" w:cs="Arial"/>
                <w:b/>
                <w:spacing w:val="-2"/>
                <w:sz w:val="18"/>
                <w:szCs w:val="18"/>
                <w:lang w:val="hr-HR"/>
              </w:rPr>
            </w:pPr>
          </w:p>
        </w:tc>
        <w:tc>
          <w:tcPr>
            <w:tcW w:w="570" w:type="pct"/>
            <w:vAlign w:val="bottom"/>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0" w:type="pct"/>
            <w:vAlign w:val="bottom"/>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0" w:type="pct"/>
            <w:vAlign w:val="bottom"/>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0" w:type="pct"/>
            <w:vAlign w:val="bottom"/>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0" w:type="pct"/>
            <w:vAlign w:val="bottom"/>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0" w:type="pct"/>
            <w:vAlign w:val="bottom"/>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68" w:type="pct"/>
            <w:vAlign w:val="bottom"/>
          </w:tcPr>
          <w:p w:rsidR="00815E7F" w:rsidRPr="001567C8" w:rsidRDefault="00815E7F" w:rsidP="00815E7F">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r>
      <w:tr w:rsidR="004544EA" w:rsidRPr="001567C8" w:rsidTr="008402AC">
        <w:trPr>
          <w:trHeight w:val="311"/>
        </w:trPr>
        <w:tc>
          <w:tcPr>
            <w:tcW w:w="1011" w:type="pct"/>
            <w:vAlign w:val="bottom"/>
          </w:tcPr>
          <w:p w:rsidR="00815E7F" w:rsidRPr="001567C8" w:rsidRDefault="00815E7F" w:rsidP="00815E7F">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Nabavna vrijednost</w:t>
            </w:r>
          </w:p>
        </w:tc>
        <w:tc>
          <w:tcPr>
            <w:tcW w:w="570" w:type="pct"/>
            <w:vAlign w:val="bottom"/>
          </w:tcPr>
          <w:p w:rsidR="00815E7F" w:rsidRPr="001567C8" w:rsidRDefault="00815E7F" w:rsidP="00815E7F">
            <w:pPr>
              <w:pStyle w:val="TT"/>
              <w:jc w:val="right"/>
              <w:rPr>
                <w:rFonts w:asciiTheme="minorHAnsi" w:hAnsiTheme="minorHAnsi" w:cs="Arial"/>
                <w:spacing w:val="-3"/>
                <w:sz w:val="18"/>
                <w:szCs w:val="18"/>
                <w:lang w:val="hr-HR"/>
              </w:rPr>
            </w:pPr>
          </w:p>
        </w:tc>
        <w:tc>
          <w:tcPr>
            <w:tcW w:w="570" w:type="pct"/>
            <w:vAlign w:val="bottom"/>
          </w:tcPr>
          <w:p w:rsidR="00815E7F" w:rsidRPr="001567C8" w:rsidRDefault="00815E7F" w:rsidP="00815E7F">
            <w:pPr>
              <w:pStyle w:val="TT"/>
              <w:jc w:val="right"/>
              <w:rPr>
                <w:rFonts w:asciiTheme="minorHAnsi" w:hAnsiTheme="minorHAnsi" w:cs="Arial"/>
                <w:spacing w:val="-3"/>
                <w:sz w:val="18"/>
                <w:szCs w:val="18"/>
                <w:lang w:val="hr-HR"/>
              </w:rPr>
            </w:pPr>
          </w:p>
        </w:tc>
        <w:tc>
          <w:tcPr>
            <w:tcW w:w="570" w:type="pct"/>
            <w:vAlign w:val="bottom"/>
          </w:tcPr>
          <w:p w:rsidR="00815E7F" w:rsidRPr="001567C8" w:rsidRDefault="00815E7F" w:rsidP="00815E7F">
            <w:pPr>
              <w:pStyle w:val="TT"/>
              <w:jc w:val="right"/>
              <w:rPr>
                <w:rFonts w:asciiTheme="minorHAnsi" w:hAnsiTheme="minorHAnsi" w:cs="Arial"/>
                <w:spacing w:val="-3"/>
                <w:sz w:val="18"/>
                <w:szCs w:val="18"/>
                <w:lang w:val="hr-HR"/>
              </w:rPr>
            </w:pPr>
          </w:p>
        </w:tc>
        <w:tc>
          <w:tcPr>
            <w:tcW w:w="570" w:type="pct"/>
            <w:vAlign w:val="bottom"/>
          </w:tcPr>
          <w:p w:rsidR="00815E7F" w:rsidRPr="001567C8" w:rsidRDefault="00815E7F" w:rsidP="00815E7F">
            <w:pPr>
              <w:pStyle w:val="TT"/>
              <w:jc w:val="right"/>
              <w:rPr>
                <w:rFonts w:asciiTheme="minorHAnsi" w:hAnsiTheme="minorHAnsi" w:cs="Arial"/>
                <w:spacing w:val="-3"/>
                <w:sz w:val="18"/>
                <w:szCs w:val="18"/>
                <w:lang w:val="hr-HR"/>
              </w:rPr>
            </w:pPr>
          </w:p>
        </w:tc>
        <w:tc>
          <w:tcPr>
            <w:tcW w:w="570" w:type="pct"/>
            <w:vAlign w:val="bottom"/>
          </w:tcPr>
          <w:p w:rsidR="00815E7F" w:rsidRPr="001567C8" w:rsidRDefault="00815E7F" w:rsidP="00815E7F">
            <w:pPr>
              <w:pStyle w:val="TT"/>
              <w:jc w:val="right"/>
              <w:rPr>
                <w:rFonts w:asciiTheme="minorHAnsi" w:hAnsiTheme="minorHAnsi" w:cs="Arial"/>
                <w:spacing w:val="-3"/>
                <w:sz w:val="18"/>
                <w:szCs w:val="18"/>
                <w:lang w:val="hr-HR"/>
              </w:rPr>
            </w:pPr>
          </w:p>
        </w:tc>
        <w:tc>
          <w:tcPr>
            <w:tcW w:w="570" w:type="pct"/>
            <w:vAlign w:val="bottom"/>
          </w:tcPr>
          <w:p w:rsidR="00815E7F" w:rsidRPr="001567C8" w:rsidRDefault="00815E7F" w:rsidP="00815E7F">
            <w:pPr>
              <w:pStyle w:val="TT"/>
              <w:jc w:val="right"/>
              <w:rPr>
                <w:rFonts w:asciiTheme="minorHAnsi" w:hAnsiTheme="minorHAnsi" w:cs="Arial"/>
                <w:spacing w:val="-3"/>
                <w:sz w:val="18"/>
                <w:szCs w:val="18"/>
                <w:lang w:val="hr-HR"/>
              </w:rPr>
            </w:pPr>
          </w:p>
        </w:tc>
        <w:tc>
          <w:tcPr>
            <w:tcW w:w="568" w:type="pct"/>
            <w:vAlign w:val="bottom"/>
          </w:tcPr>
          <w:p w:rsidR="00815E7F" w:rsidRPr="001567C8" w:rsidRDefault="00815E7F" w:rsidP="00815E7F">
            <w:pPr>
              <w:pStyle w:val="TT"/>
              <w:jc w:val="right"/>
              <w:rPr>
                <w:rFonts w:asciiTheme="minorHAnsi" w:hAnsiTheme="minorHAnsi" w:cs="Arial"/>
                <w:spacing w:val="-3"/>
                <w:sz w:val="18"/>
                <w:szCs w:val="18"/>
                <w:lang w:val="hr-HR"/>
              </w:rPr>
            </w:pPr>
          </w:p>
        </w:tc>
      </w:tr>
      <w:tr w:rsidR="000C4CFF" w:rsidRPr="001567C8" w:rsidTr="008402AC">
        <w:trPr>
          <w:trHeight w:val="504"/>
        </w:trPr>
        <w:tc>
          <w:tcPr>
            <w:tcW w:w="1011" w:type="pct"/>
            <w:vAlign w:val="bottom"/>
          </w:tcPr>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77.102</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9.977</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15.381</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708</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103.168</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28.652</w:t>
            </w:r>
          </w:p>
        </w:tc>
        <w:tc>
          <w:tcPr>
            <w:tcW w:w="568"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131.820</w:t>
            </w:r>
          </w:p>
        </w:tc>
      </w:tr>
      <w:tr w:rsidR="000C4CFF" w:rsidRPr="001567C8" w:rsidTr="008402AC">
        <w:trPr>
          <w:trHeight w:val="246"/>
        </w:trPr>
        <w:tc>
          <w:tcPr>
            <w:tcW w:w="1011" w:type="pct"/>
            <w:vAlign w:val="bottom"/>
          </w:tcPr>
          <w:p w:rsidR="000C4CFF" w:rsidRPr="001567C8" w:rsidRDefault="000C4CFF" w:rsidP="000C4CFF">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Povećanje</w:t>
            </w:r>
          </w:p>
        </w:tc>
        <w:tc>
          <w:tcPr>
            <w:tcW w:w="570" w:type="pct"/>
            <w:tcBorders>
              <w:top w:val="nil"/>
              <w:left w:val="nil"/>
              <w:bottom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70" w:type="pct"/>
            <w:tcBorders>
              <w:top w:val="nil"/>
              <w:left w:val="nil"/>
              <w:bottom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47 </w:t>
            </w:r>
          </w:p>
        </w:tc>
        <w:tc>
          <w:tcPr>
            <w:tcW w:w="570" w:type="pct"/>
            <w:tcBorders>
              <w:top w:val="nil"/>
              <w:left w:val="nil"/>
              <w:bottom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70" w:type="pct"/>
            <w:tcBorders>
              <w:top w:val="nil"/>
              <w:left w:val="nil"/>
              <w:bottom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3.470</w:t>
            </w:r>
          </w:p>
        </w:tc>
        <w:tc>
          <w:tcPr>
            <w:tcW w:w="570" w:type="pct"/>
            <w:tcBorders>
              <w:top w:val="nil"/>
              <w:left w:val="nil"/>
              <w:bottom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3.517</w:t>
            </w:r>
          </w:p>
        </w:tc>
        <w:tc>
          <w:tcPr>
            <w:tcW w:w="570" w:type="pct"/>
            <w:tcBorders>
              <w:top w:val="nil"/>
              <w:left w:val="nil"/>
              <w:bottom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24 </w:t>
            </w:r>
          </w:p>
        </w:tc>
        <w:tc>
          <w:tcPr>
            <w:tcW w:w="568" w:type="pct"/>
            <w:tcBorders>
              <w:top w:val="nil"/>
              <w:left w:val="nil"/>
              <w:bottom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3.541</w:t>
            </w:r>
          </w:p>
        </w:tc>
      </w:tr>
      <w:tr w:rsidR="000C4CFF" w:rsidRPr="001567C8" w:rsidTr="008402AC">
        <w:trPr>
          <w:trHeight w:val="998"/>
        </w:trPr>
        <w:tc>
          <w:tcPr>
            <w:tcW w:w="1011" w:type="pct"/>
            <w:vAlign w:val="bottom"/>
          </w:tcPr>
          <w:p w:rsidR="000C4CFF" w:rsidRPr="001567C8" w:rsidRDefault="000C4CFF" w:rsidP="000C4CFF">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Prijenos s nekretnina, postrojenja i opreme i nematerijalne imovine u pripremi</w:t>
            </w:r>
          </w:p>
        </w:tc>
        <w:tc>
          <w:tcPr>
            <w:tcW w:w="570" w:type="pct"/>
            <w:tcBorders>
              <w:top w:val="nil"/>
              <w:left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70" w:type="pct"/>
            <w:tcBorders>
              <w:top w:val="nil"/>
              <w:left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780 </w:t>
            </w:r>
          </w:p>
        </w:tc>
        <w:tc>
          <w:tcPr>
            <w:tcW w:w="570" w:type="pct"/>
            <w:tcBorders>
              <w:top w:val="nil"/>
              <w:left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821 </w:t>
            </w:r>
          </w:p>
        </w:tc>
        <w:tc>
          <w:tcPr>
            <w:tcW w:w="570" w:type="pct"/>
            <w:tcBorders>
              <w:top w:val="nil"/>
              <w:left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(3.282)</w:t>
            </w:r>
          </w:p>
        </w:tc>
        <w:tc>
          <w:tcPr>
            <w:tcW w:w="570" w:type="pct"/>
            <w:tcBorders>
              <w:top w:val="nil"/>
              <w:left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(1.681)</w:t>
            </w:r>
          </w:p>
        </w:tc>
        <w:tc>
          <w:tcPr>
            <w:tcW w:w="570" w:type="pct"/>
            <w:tcBorders>
              <w:top w:val="nil"/>
              <w:left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1.681</w:t>
            </w:r>
          </w:p>
        </w:tc>
        <w:tc>
          <w:tcPr>
            <w:tcW w:w="568" w:type="pct"/>
            <w:tcBorders>
              <w:top w:val="nil"/>
              <w:left w:val="nil"/>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r>
      <w:tr w:rsidR="000C4CFF" w:rsidRPr="001567C8" w:rsidTr="008402AC">
        <w:trPr>
          <w:trHeight w:val="177"/>
        </w:trPr>
        <w:tc>
          <w:tcPr>
            <w:tcW w:w="1011" w:type="pct"/>
            <w:vAlign w:val="bottom"/>
          </w:tcPr>
          <w:p w:rsidR="000C4CFF" w:rsidRPr="001567C8" w:rsidRDefault="000C4CFF" w:rsidP="000C4CFF">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Rashod i otpis</w:t>
            </w:r>
          </w:p>
        </w:tc>
        <w:tc>
          <w:tcPr>
            <w:tcW w:w="570" w:type="pct"/>
            <w:tcBorders>
              <w:top w:val="nil"/>
              <w:left w:val="nil"/>
              <w:bottom w:val="single" w:sz="4" w:space="0" w:color="auto"/>
              <w:right w:val="nil"/>
            </w:tcBorders>
            <w:shd w:val="clear" w:color="auto" w:fill="auto"/>
            <w:vAlign w:val="center"/>
          </w:tcPr>
          <w:p w:rsidR="000C4CFF" w:rsidRPr="00CD3A2D" w:rsidRDefault="005413ED"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570" w:type="pct"/>
            <w:tcBorders>
              <w:top w:val="nil"/>
              <w:left w:val="nil"/>
              <w:bottom w:val="single" w:sz="4" w:space="0" w:color="auto"/>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(1.091)</w:t>
            </w:r>
          </w:p>
        </w:tc>
        <w:tc>
          <w:tcPr>
            <w:tcW w:w="570" w:type="pct"/>
            <w:tcBorders>
              <w:top w:val="nil"/>
              <w:left w:val="nil"/>
              <w:bottom w:val="single" w:sz="4" w:space="0" w:color="auto"/>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(1.099)</w:t>
            </w:r>
          </w:p>
        </w:tc>
        <w:tc>
          <w:tcPr>
            <w:tcW w:w="570" w:type="pct"/>
            <w:tcBorders>
              <w:top w:val="nil"/>
              <w:left w:val="nil"/>
              <w:bottom w:val="single" w:sz="4" w:space="0" w:color="auto"/>
              <w:right w:val="nil"/>
            </w:tcBorders>
            <w:shd w:val="clear" w:color="auto" w:fill="auto"/>
            <w:vAlign w:val="center"/>
          </w:tcPr>
          <w:p w:rsidR="000C4CFF" w:rsidRPr="00CD3A2D" w:rsidRDefault="005413ED"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570" w:type="pct"/>
            <w:tcBorders>
              <w:top w:val="nil"/>
              <w:left w:val="nil"/>
              <w:bottom w:val="single" w:sz="4" w:space="0" w:color="auto"/>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(2.190)</w:t>
            </w:r>
          </w:p>
        </w:tc>
        <w:tc>
          <w:tcPr>
            <w:tcW w:w="570" w:type="pct"/>
            <w:tcBorders>
              <w:top w:val="nil"/>
              <w:left w:val="nil"/>
              <w:bottom w:val="single" w:sz="4" w:space="0" w:color="auto"/>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8" w:type="pct"/>
            <w:tcBorders>
              <w:top w:val="nil"/>
              <w:left w:val="nil"/>
              <w:bottom w:val="single" w:sz="4" w:space="0" w:color="auto"/>
              <w:right w:val="nil"/>
            </w:tcBorders>
            <w:shd w:val="clear" w:color="auto" w:fill="auto"/>
            <w:vAlign w:val="center"/>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(2.190)</w:t>
            </w:r>
          </w:p>
        </w:tc>
      </w:tr>
      <w:tr w:rsidR="000C4CFF" w:rsidRPr="001567C8" w:rsidTr="008402AC">
        <w:trPr>
          <w:trHeight w:val="492"/>
        </w:trPr>
        <w:tc>
          <w:tcPr>
            <w:tcW w:w="1011" w:type="pct"/>
            <w:vAlign w:val="bottom"/>
          </w:tcPr>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2018.</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77.102</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9.713</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15.103</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896</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102.814</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30.357</w:t>
            </w:r>
          </w:p>
        </w:tc>
        <w:tc>
          <w:tcPr>
            <w:tcW w:w="568"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133.171</w:t>
            </w:r>
          </w:p>
        </w:tc>
      </w:tr>
      <w:tr w:rsidR="004544EA" w:rsidRPr="001567C8" w:rsidTr="008402AC">
        <w:trPr>
          <w:trHeight w:val="259"/>
        </w:trPr>
        <w:tc>
          <w:tcPr>
            <w:tcW w:w="1011" w:type="pct"/>
            <w:vAlign w:val="bottom"/>
          </w:tcPr>
          <w:p w:rsidR="00F97A55" w:rsidRPr="001567C8" w:rsidRDefault="00FB2E98" w:rsidP="00815E7F">
            <w:pPr>
              <w:pStyle w:val="TT"/>
              <w:spacing w:line="240" w:lineRule="exact"/>
              <w:rPr>
                <w:rFonts w:asciiTheme="minorHAnsi" w:hAnsiTheme="minorHAnsi" w:cs="Arial"/>
                <w:sz w:val="18"/>
                <w:szCs w:val="18"/>
                <w:lang w:val="hr-HR"/>
              </w:rPr>
            </w:pPr>
            <w:r>
              <w:rPr>
                <w:rFonts w:asciiTheme="minorHAnsi" w:hAnsiTheme="minorHAnsi" w:cs="Arial"/>
                <w:sz w:val="18"/>
                <w:szCs w:val="18"/>
                <w:lang w:val="hr-HR"/>
              </w:rPr>
              <w:t>Amortizacija i i</w:t>
            </w:r>
            <w:r w:rsidR="00F97A55" w:rsidRPr="001567C8">
              <w:rPr>
                <w:rFonts w:asciiTheme="minorHAnsi" w:hAnsiTheme="minorHAnsi" w:cs="Arial"/>
                <w:sz w:val="18"/>
                <w:szCs w:val="18"/>
                <w:lang w:val="hr-HR"/>
              </w:rPr>
              <w:t xml:space="preserve">spravak vrijednosti </w:t>
            </w:r>
          </w:p>
        </w:tc>
        <w:tc>
          <w:tcPr>
            <w:tcW w:w="570" w:type="pct"/>
            <w:tcBorders>
              <w:top w:val="single" w:sz="12" w:space="0" w:color="auto"/>
            </w:tcBorders>
            <w:vAlign w:val="center"/>
          </w:tcPr>
          <w:p w:rsidR="00F97A55" w:rsidRPr="001567C8" w:rsidRDefault="00F97A55" w:rsidP="000C4CFF">
            <w:pPr>
              <w:pStyle w:val="TT"/>
              <w:tabs>
                <w:tab w:val="clear" w:pos="1202"/>
              </w:tabs>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T"/>
              <w:tabs>
                <w:tab w:val="clear" w:pos="1202"/>
              </w:tabs>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T"/>
              <w:tabs>
                <w:tab w:val="clear" w:pos="1202"/>
              </w:tabs>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T"/>
              <w:tabs>
                <w:tab w:val="clear" w:pos="1202"/>
              </w:tabs>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T"/>
              <w:tabs>
                <w:tab w:val="clear" w:pos="1202"/>
              </w:tabs>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T"/>
              <w:tabs>
                <w:tab w:val="clear" w:pos="1202"/>
              </w:tabs>
              <w:jc w:val="right"/>
              <w:rPr>
                <w:rFonts w:asciiTheme="minorHAnsi" w:hAnsiTheme="minorHAnsi" w:cstheme="minorHAnsi"/>
                <w:sz w:val="18"/>
                <w:szCs w:val="18"/>
                <w:lang w:val="hr-HR"/>
              </w:rPr>
            </w:pPr>
          </w:p>
        </w:tc>
        <w:tc>
          <w:tcPr>
            <w:tcW w:w="568" w:type="pct"/>
            <w:tcBorders>
              <w:top w:val="single" w:sz="12" w:space="0" w:color="auto"/>
            </w:tcBorders>
            <w:vAlign w:val="center"/>
          </w:tcPr>
          <w:p w:rsidR="00F97A55" w:rsidRPr="001567C8" w:rsidRDefault="00F97A55" w:rsidP="000C4CFF">
            <w:pPr>
              <w:pStyle w:val="TT"/>
              <w:tabs>
                <w:tab w:val="clear" w:pos="1202"/>
              </w:tabs>
              <w:jc w:val="right"/>
              <w:rPr>
                <w:rFonts w:asciiTheme="minorHAnsi" w:hAnsiTheme="minorHAnsi" w:cstheme="minorHAnsi"/>
                <w:sz w:val="18"/>
                <w:szCs w:val="18"/>
                <w:lang w:val="hr-HR"/>
              </w:rPr>
            </w:pPr>
          </w:p>
        </w:tc>
      </w:tr>
      <w:tr w:rsidR="000C4CFF" w:rsidRPr="001567C8" w:rsidTr="008402AC">
        <w:trPr>
          <w:trHeight w:val="504"/>
        </w:trPr>
        <w:tc>
          <w:tcPr>
            <w:tcW w:w="1011" w:type="pct"/>
            <w:vAlign w:val="bottom"/>
          </w:tcPr>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30.481</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9.206</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13.941</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53.628</w:t>
            </w:r>
          </w:p>
        </w:tc>
        <w:tc>
          <w:tcPr>
            <w:tcW w:w="570"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24.635</w:t>
            </w:r>
          </w:p>
        </w:tc>
        <w:tc>
          <w:tcPr>
            <w:tcW w:w="568" w:type="pct"/>
            <w:tcBorders>
              <w:top w:val="nil"/>
              <w:left w:val="nil"/>
              <w:bottom w:val="nil"/>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78.263</w:t>
            </w:r>
          </w:p>
        </w:tc>
      </w:tr>
      <w:tr w:rsidR="000C4CFF" w:rsidRPr="001567C8" w:rsidTr="008402AC">
        <w:trPr>
          <w:trHeight w:val="342"/>
        </w:trPr>
        <w:tc>
          <w:tcPr>
            <w:tcW w:w="1011" w:type="pct"/>
            <w:vAlign w:val="bottom"/>
          </w:tcPr>
          <w:p w:rsidR="000C4CFF" w:rsidRPr="001567C8" w:rsidRDefault="000C4CFF" w:rsidP="000C4CFF">
            <w:pPr>
              <w:pStyle w:val="Tot"/>
              <w:spacing w:line="240" w:lineRule="exact"/>
              <w:rPr>
                <w:rFonts w:asciiTheme="minorHAnsi" w:hAnsiTheme="minorHAnsi" w:cs="Arial"/>
                <w:bCs/>
                <w:sz w:val="18"/>
                <w:szCs w:val="18"/>
                <w:lang w:val="hr-HR"/>
              </w:rPr>
            </w:pPr>
            <w:r w:rsidRPr="001567C8">
              <w:rPr>
                <w:rFonts w:asciiTheme="minorHAnsi" w:hAnsiTheme="minorHAnsi" w:cs="Arial"/>
                <w:bCs/>
                <w:sz w:val="18"/>
                <w:szCs w:val="18"/>
                <w:lang w:val="hr-HR"/>
              </w:rPr>
              <w:t>Amortizacija za 2018.</w:t>
            </w:r>
          </w:p>
        </w:tc>
        <w:tc>
          <w:tcPr>
            <w:tcW w:w="570" w:type="pct"/>
            <w:tcBorders>
              <w:top w:val="nil"/>
              <w:left w:val="nil"/>
              <w:bottom w:val="nil"/>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2.336 </w:t>
            </w:r>
          </w:p>
        </w:tc>
        <w:tc>
          <w:tcPr>
            <w:tcW w:w="570" w:type="pct"/>
            <w:tcBorders>
              <w:top w:val="nil"/>
              <w:left w:val="nil"/>
              <w:bottom w:val="nil"/>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431 </w:t>
            </w:r>
          </w:p>
        </w:tc>
        <w:tc>
          <w:tcPr>
            <w:tcW w:w="570" w:type="pct"/>
            <w:tcBorders>
              <w:top w:val="nil"/>
              <w:left w:val="nil"/>
              <w:bottom w:val="nil"/>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627 </w:t>
            </w:r>
          </w:p>
        </w:tc>
        <w:tc>
          <w:tcPr>
            <w:tcW w:w="570" w:type="pct"/>
            <w:tcBorders>
              <w:top w:val="nil"/>
              <w:left w:val="nil"/>
              <w:bottom w:val="nil"/>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 </w:t>
            </w:r>
          </w:p>
        </w:tc>
        <w:tc>
          <w:tcPr>
            <w:tcW w:w="570" w:type="pct"/>
            <w:tcBorders>
              <w:top w:val="nil"/>
              <w:left w:val="nil"/>
              <w:bottom w:val="nil"/>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3.394 </w:t>
            </w:r>
          </w:p>
        </w:tc>
        <w:tc>
          <w:tcPr>
            <w:tcW w:w="570" w:type="pct"/>
            <w:tcBorders>
              <w:top w:val="nil"/>
              <w:left w:val="nil"/>
              <w:bottom w:val="nil"/>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2.871 </w:t>
            </w:r>
          </w:p>
        </w:tc>
        <w:tc>
          <w:tcPr>
            <w:tcW w:w="568" w:type="pct"/>
            <w:tcBorders>
              <w:top w:val="nil"/>
              <w:left w:val="nil"/>
              <w:bottom w:val="nil"/>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6.265 </w:t>
            </w:r>
          </w:p>
        </w:tc>
      </w:tr>
      <w:tr w:rsidR="000C4CFF" w:rsidRPr="001567C8" w:rsidTr="008402AC">
        <w:trPr>
          <w:trHeight w:val="288"/>
        </w:trPr>
        <w:tc>
          <w:tcPr>
            <w:tcW w:w="1011" w:type="pct"/>
            <w:vAlign w:val="bottom"/>
          </w:tcPr>
          <w:p w:rsidR="000C4CFF" w:rsidRPr="001567C8" w:rsidRDefault="000C4CFF" w:rsidP="000C4CFF">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Rashod i otpis</w:t>
            </w:r>
          </w:p>
        </w:tc>
        <w:tc>
          <w:tcPr>
            <w:tcW w:w="570" w:type="pct"/>
            <w:tcBorders>
              <w:top w:val="nil"/>
              <w:left w:val="nil"/>
              <w:bottom w:val="single" w:sz="4" w:space="0" w:color="auto"/>
              <w:right w:val="nil"/>
            </w:tcBorders>
            <w:shd w:val="clear" w:color="auto" w:fill="auto"/>
            <w:vAlign w:val="bottom"/>
          </w:tcPr>
          <w:p w:rsidR="000C4CFF" w:rsidRPr="00CD3A2D" w:rsidRDefault="000C4CFF" w:rsidP="000C4CFF">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70" w:type="pct"/>
            <w:tcBorders>
              <w:top w:val="nil"/>
              <w:left w:val="nil"/>
              <w:bottom w:val="single" w:sz="4" w:space="0" w:color="auto"/>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(1.091)</w:t>
            </w:r>
          </w:p>
        </w:tc>
        <w:tc>
          <w:tcPr>
            <w:tcW w:w="570" w:type="pct"/>
            <w:tcBorders>
              <w:top w:val="nil"/>
              <w:left w:val="nil"/>
              <w:bottom w:val="single" w:sz="4" w:space="0" w:color="auto"/>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(1.098)</w:t>
            </w:r>
          </w:p>
        </w:tc>
        <w:tc>
          <w:tcPr>
            <w:tcW w:w="570" w:type="pct"/>
            <w:tcBorders>
              <w:top w:val="nil"/>
              <w:left w:val="nil"/>
              <w:bottom w:val="single" w:sz="4" w:space="0" w:color="auto"/>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 </w:t>
            </w:r>
          </w:p>
        </w:tc>
        <w:tc>
          <w:tcPr>
            <w:tcW w:w="570" w:type="pct"/>
            <w:tcBorders>
              <w:top w:val="nil"/>
              <w:left w:val="nil"/>
              <w:bottom w:val="single" w:sz="4" w:space="0" w:color="auto"/>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(2.189)</w:t>
            </w:r>
          </w:p>
        </w:tc>
        <w:tc>
          <w:tcPr>
            <w:tcW w:w="570" w:type="pct"/>
            <w:tcBorders>
              <w:top w:val="nil"/>
              <w:left w:val="nil"/>
              <w:bottom w:val="single" w:sz="4" w:space="0" w:color="auto"/>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 </w:t>
            </w:r>
          </w:p>
        </w:tc>
        <w:tc>
          <w:tcPr>
            <w:tcW w:w="568" w:type="pct"/>
            <w:tcBorders>
              <w:top w:val="nil"/>
              <w:left w:val="nil"/>
              <w:bottom w:val="single" w:sz="4" w:space="0" w:color="auto"/>
              <w:right w:val="nil"/>
            </w:tcBorders>
            <w:shd w:val="clear" w:color="auto" w:fill="auto"/>
            <w:vAlign w:val="bottom"/>
          </w:tcPr>
          <w:p w:rsidR="000C4CFF" w:rsidRPr="00CD3A2D" w:rsidRDefault="000C4CFF" w:rsidP="000C4CFF">
            <w:pPr>
              <w:jc w:val="right"/>
              <w:rPr>
                <w:rFonts w:asciiTheme="minorHAnsi" w:hAnsiTheme="minorHAnsi" w:cstheme="minorHAnsi"/>
                <w:color w:val="000000"/>
                <w:sz w:val="18"/>
                <w:szCs w:val="18"/>
                <w:lang w:val="hr-HR"/>
              </w:rPr>
            </w:pPr>
            <w:r w:rsidRPr="00CD3A2D">
              <w:rPr>
                <w:rFonts w:asciiTheme="minorHAnsi" w:hAnsiTheme="minorHAnsi" w:cstheme="minorHAnsi"/>
                <w:sz w:val="18"/>
                <w:szCs w:val="18"/>
                <w:lang w:val="hr-HR"/>
              </w:rPr>
              <w:t xml:space="preserve"> (2.189)</w:t>
            </w:r>
          </w:p>
        </w:tc>
      </w:tr>
      <w:tr w:rsidR="000C4CFF" w:rsidRPr="001567C8" w:rsidTr="008402AC">
        <w:trPr>
          <w:trHeight w:val="504"/>
        </w:trPr>
        <w:tc>
          <w:tcPr>
            <w:tcW w:w="1011" w:type="pct"/>
            <w:vAlign w:val="bottom"/>
          </w:tcPr>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2018.</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32.817</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8.546</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13.470</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color w:val="000000"/>
                <w:sz w:val="18"/>
                <w:szCs w:val="18"/>
                <w:lang w:val="hr-HR"/>
              </w:rPr>
            </w:pPr>
            <w:r w:rsidRPr="00CD3A2D">
              <w:rPr>
                <w:rFonts w:asciiTheme="minorHAnsi" w:hAnsiTheme="minorHAnsi" w:cstheme="minorHAnsi"/>
                <w:b/>
                <w:sz w:val="18"/>
                <w:szCs w:val="18"/>
                <w:lang w:val="hr-HR"/>
              </w:rPr>
              <w:t xml:space="preserve"> - </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54.833</w:t>
            </w:r>
          </w:p>
        </w:tc>
        <w:tc>
          <w:tcPr>
            <w:tcW w:w="570"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27.506</w:t>
            </w:r>
          </w:p>
        </w:tc>
        <w:tc>
          <w:tcPr>
            <w:tcW w:w="568" w:type="pct"/>
            <w:tcBorders>
              <w:top w:val="single" w:sz="4" w:space="0" w:color="auto"/>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82.339</w:t>
            </w:r>
          </w:p>
        </w:tc>
      </w:tr>
      <w:tr w:rsidR="004544EA" w:rsidRPr="001567C8" w:rsidTr="008402AC">
        <w:trPr>
          <w:trHeight w:val="142"/>
        </w:trPr>
        <w:tc>
          <w:tcPr>
            <w:tcW w:w="1011" w:type="pct"/>
            <w:vAlign w:val="bottom"/>
          </w:tcPr>
          <w:p w:rsidR="00F97A55" w:rsidRPr="001567C8" w:rsidRDefault="00F97A55" w:rsidP="00815E7F">
            <w:pPr>
              <w:pStyle w:val="Tot"/>
              <w:spacing w:line="140" w:lineRule="exact"/>
              <w:rPr>
                <w:rFonts w:asciiTheme="minorHAnsi" w:hAnsiTheme="minorHAnsi" w:cs="Arial"/>
                <w:b/>
                <w:bCs/>
                <w:sz w:val="18"/>
                <w:szCs w:val="18"/>
                <w:lang w:val="hr-HR"/>
              </w:rPr>
            </w:pPr>
          </w:p>
        </w:tc>
        <w:tc>
          <w:tcPr>
            <w:tcW w:w="570" w:type="pct"/>
            <w:tcBorders>
              <w:top w:val="single" w:sz="12" w:space="0" w:color="auto"/>
            </w:tcBorders>
            <w:vAlign w:val="center"/>
          </w:tcPr>
          <w:p w:rsidR="00F97A55" w:rsidRPr="001567C8" w:rsidRDefault="00F97A55" w:rsidP="000C4CFF">
            <w:pPr>
              <w:pStyle w:val="Tot"/>
              <w:tabs>
                <w:tab w:val="clear" w:pos="1202"/>
              </w:tabs>
              <w:spacing w:line="140" w:lineRule="exact"/>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ot"/>
              <w:tabs>
                <w:tab w:val="clear" w:pos="1202"/>
              </w:tabs>
              <w:spacing w:line="140" w:lineRule="exact"/>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ot"/>
              <w:tabs>
                <w:tab w:val="clear" w:pos="1202"/>
              </w:tabs>
              <w:spacing w:line="140" w:lineRule="exact"/>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ot"/>
              <w:tabs>
                <w:tab w:val="clear" w:pos="1202"/>
              </w:tabs>
              <w:spacing w:line="140" w:lineRule="exact"/>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ot"/>
              <w:tabs>
                <w:tab w:val="clear" w:pos="1202"/>
              </w:tabs>
              <w:spacing w:line="140" w:lineRule="exact"/>
              <w:jc w:val="right"/>
              <w:rPr>
                <w:rFonts w:asciiTheme="minorHAnsi" w:hAnsiTheme="minorHAnsi" w:cstheme="minorHAnsi"/>
                <w:sz w:val="18"/>
                <w:szCs w:val="18"/>
                <w:lang w:val="hr-HR"/>
              </w:rPr>
            </w:pPr>
          </w:p>
        </w:tc>
        <w:tc>
          <w:tcPr>
            <w:tcW w:w="570" w:type="pct"/>
            <w:tcBorders>
              <w:top w:val="single" w:sz="12" w:space="0" w:color="auto"/>
            </w:tcBorders>
            <w:vAlign w:val="center"/>
          </w:tcPr>
          <w:p w:rsidR="00F97A55" w:rsidRPr="001567C8" w:rsidRDefault="00F97A55" w:rsidP="000C4CFF">
            <w:pPr>
              <w:pStyle w:val="Tot"/>
              <w:tabs>
                <w:tab w:val="clear" w:pos="1202"/>
              </w:tabs>
              <w:spacing w:line="140" w:lineRule="exact"/>
              <w:jc w:val="right"/>
              <w:rPr>
                <w:rFonts w:asciiTheme="minorHAnsi" w:hAnsiTheme="minorHAnsi" w:cstheme="minorHAnsi"/>
                <w:sz w:val="18"/>
                <w:szCs w:val="18"/>
                <w:lang w:val="hr-HR"/>
              </w:rPr>
            </w:pPr>
          </w:p>
        </w:tc>
        <w:tc>
          <w:tcPr>
            <w:tcW w:w="568" w:type="pct"/>
            <w:tcBorders>
              <w:top w:val="single" w:sz="12" w:space="0" w:color="auto"/>
            </w:tcBorders>
            <w:vAlign w:val="center"/>
          </w:tcPr>
          <w:p w:rsidR="00F97A55" w:rsidRPr="001567C8" w:rsidRDefault="00F97A55" w:rsidP="000C4CFF">
            <w:pPr>
              <w:pStyle w:val="Tot"/>
              <w:tabs>
                <w:tab w:val="clear" w:pos="1202"/>
              </w:tabs>
              <w:spacing w:line="140" w:lineRule="exact"/>
              <w:jc w:val="right"/>
              <w:rPr>
                <w:rFonts w:asciiTheme="minorHAnsi" w:hAnsiTheme="minorHAnsi" w:cstheme="minorHAnsi"/>
                <w:sz w:val="18"/>
                <w:szCs w:val="18"/>
                <w:lang w:val="hr-HR"/>
              </w:rPr>
            </w:pPr>
          </w:p>
        </w:tc>
      </w:tr>
      <w:tr w:rsidR="000C4CFF" w:rsidRPr="001567C8" w:rsidTr="008402AC">
        <w:trPr>
          <w:trHeight w:val="492"/>
        </w:trPr>
        <w:tc>
          <w:tcPr>
            <w:tcW w:w="1011" w:type="pct"/>
            <w:vAlign w:val="bottom"/>
          </w:tcPr>
          <w:p w:rsidR="000C4CFF" w:rsidRPr="001567C8" w:rsidRDefault="00FB2E98" w:rsidP="000C4CFF">
            <w:pPr>
              <w:pStyle w:val="Tot"/>
              <w:spacing w:line="240" w:lineRule="exact"/>
              <w:rPr>
                <w:rFonts w:asciiTheme="minorHAnsi" w:hAnsiTheme="minorHAnsi" w:cs="Arial"/>
                <w:b/>
                <w:bCs/>
                <w:sz w:val="18"/>
                <w:szCs w:val="18"/>
                <w:lang w:val="hr-HR"/>
              </w:rPr>
            </w:pPr>
            <w:r>
              <w:rPr>
                <w:rFonts w:asciiTheme="minorHAnsi" w:hAnsiTheme="minorHAnsi" w:cs="Arial"/>
                <w:b/>
                <w:bCs/>
                <w:sz w:val="18"/>
                <w:szCs w:val="18"/>
                <w:lang w:val="hr-HR"/>
              </w:rPr>
              <w:t>Neto knjigovodstvena</w:t>
            </w:r>
            <w:r w:rsidR="000C4CFF" w:rsidRPr="001567C8">
              <w:rPr>
                <w:rFonts w:asciiTheme="minorHAnsi" w:hAnsiTheme="minorHAnsi" w:cs="Arial"/>
                <w:b/>
                <w:bCs/>
                <w:sz w:val="18"/>
                <w:szCs w:val="18"/>
                <w:lang w:val="hr-HR"/>
              </w:rPr>
              <w:t xml:space="preserve"> vrijednost </w:t>
            </w:r>
          </w:p>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2018.</w:t>
            </w:r>
          </w:p>
        </w:tc>
        <w:tc>
          <w:tcPr>
            <w:tcW w:w="570" w:type="pct"/>
            <w:tcBorders>
              <w:top w:val="nil"/>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44.285</w:t>
            </w:r>
          </w:p>
        </w:tc>
        <w:tc>
          <w:tcPr>
            <w:tcW w:w="570" w:type="pct"/>
            <w:tcBorders>
              <w:top w:val="nil"/>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1.167</w:t>
            </w:r>
          </w:p>
        </w:tc>
        <w:tc>
          <w:tcPr>
            <w:tcW w:w="570" w:type="pct"/>
            <w:tcBorders>
              <w:top w:val="nil"/>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1.633</w:t>
            </w:r>
          </w:p>
        </w:tc>
        <w:tc>
          <w:tcPr>
            <w:tcW w:w="570" w:type="pct"/>
            <w:tcBorders>
              <w:top w:val="nil"/>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896</w:t>
            </w:r>
          </w:p>
        </w:tc>
        <w:tc>
          <w:tcPr>
            <w:tcW w:w="570" w:type="pct"/>
            <w:tcBorders>
              <w:top w:val="nil"/>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47.981</w:t>
            </w:r>
          </w:p>
        </w:tc>
        <w:tc>
          <w:tcPr>
            <w:tcW w:w="570" w:type="pct"/>
            <w:tcBorders>
              <w:top w:val="nil"/>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2.851</w:t>
            </w:r>
          </w:p>
        </w:tc>
        <w:tc>
          <w:tcPr>
            <w:tcW w:w="568" w:type="pct"/>
            <w:tcBorders>
              <w:top w:val="nil"/>
              <w:left w:val="nil"/>
              <w:bottom w:val="single" w:sz="12" w:space="0" w:color="auto"/>
              <w:right w:val="nil"/>
            </w:tcBorders>
            <w:shd w:val="clear" w:color="auto" w:fill="auto"/>
            <w:vAlign w:val="bottom"/>
          </w:tcPr>
          <w:p w:rsidR="000C4CFF" w:rsidRPr="00CD3A2D" w:rsidRDefault="000C4CFF" w:rsidP="000C4CFF">
            <w:pPr>
              <w:jc w:val="right"/>
              <w:rPr>
                <w:rFonts w:asciiTheme="minorHAnsi" w:hAnsiTheme="minorHAnsi" w:cstheme="minorHAnsi"/>
                <w:b/>
                <w:bCs/>
                <w:color w:val="000000"/>
                <w:sz w:val="18"/>
                <w:szCs w:val="18"/>
                <w:lang w:val="hr-HR"/>
              </w:rPr>
            </w:pPr>
            <w:r w:rsidRPr="00CD3A2D">
              <w:rPr>
                <w:rFonts w:asciiTheme="minorHAnsi" w:hAnsiTheme="minorHAnsi" w:cstheme="minorHAnsi"/>
                <w:b/>
                <w:sz w:val="18"/>
                <w:szCs w:val="18"/>
                <w:lang w:val="hr-HR"/>
              </w:rPr>
              <w:t>50.832</w:t>
            </w:r>
          </w:p>
        </w:tc>
      </w:tr>
      <w:tr w:rsidR="000C4CFF" w:rsidRPr="001567C8" w:rsidTr="008402AC">
        <w:trPr>
          <w:trHeight w:val="689"/>
        </w:trPr>
        <w:tc>
          <w:tcPr>
            <w:tcW w:w="1011" w:type="pct"/>
            <w:vAlign w:val="bottom"/>
          </w:tcPr>
          <w:p w:rsidR="00FB2E98" w:rsidRPr="001567C8" w:rsidRDefault="00FB2E98" w:rsidP="00FB2E98">
            <w:pPr>
              <w:pStyle w:val="Tot"/>
              <w:spacing w:line="240" w:lineRule="exact"/>
              <w:rPr>
                <w:rFonts w:asciiTheme="minorHAnsi" w:hAnsiTheme="minorHAnsi" w:cs="Arial"/>
                <w:b/>
                <w:bCs/>
                <w:sz w:val="18"/>
                <w:szCs w:val="18"/>
                <w:lang w:val="hr-HR"/>
              </w:rPr>
            </w:pPr>
            <w:r>
              <w:rPr>
                <w:rFonts w:asciiTheme="minorHAnsi" w:hAnsiTheme="minorHAnsi" w:cs="Arial"/>
                <w:b/>
                <w:bCs/>
                <w:sz w:val="18"/>
                <w:szCs w:val="18"/>
                <w:lang w:val="hr-HR"/>
              </w:rPr>
              <w:t>Neto knjigovodstvena</w:t>
            </w:r>
            <w:r w:rsidRPr="001567C8">
              <w:rPr>
                <w:rFonts w:asciiTheme="minorHAnsi" w:hAnsiTheme="minorHAnsi" w:cs="Arial"/>
                <w:b/>
                <w:bCs/>
                <w:sz w:val="18"/>
                <w:szCs w:val="18"/>
                <w:lang w:val="hr-HR"/>
              </w:rPr>
              <w:t xml:space="preserve"> vrijednost </w:t>
            </w:r>
          </w:p>
          <w:p w:rsidR="000C4CFF" w:rsidRPr="001567C8" w:rsidRDefault="000C4CFF" w:rsidP="000C4CFF">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70" w:type="pct"/>
            <w:tcBorders>
              <w:top w:val="single" w:sz="12" w:space="0" w:color="auto"/>
              <w:left w:val="nil"/>
              <w:bottom w:val="single" w:sz="12" w:space="0" w:color="auto"/>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46.621</w:t>
            </w:r>
          </w:p>
        </w:tc>
        <w:tc>
          <w:tcPr>
            <w:tcW w:w="570" w:type="pct"/>
            <w:tcBorders>
              <w:top w:val="single" w:sz="12" w:space="0" w:color="auto"/>
              <w:left w:val="nil"/>
              <w:bottom w:val="single" w:sz="12" w:space="0" w:color="auto"/>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771</w:t>
            </w:r>
          </w:p>
        </w:tc>
        <w:tc>
          <w:tcPr>
            <w:tcW w:w="570" w:type="pct"/>
            <w:tcBorders>
              <w:top w:val="single" w:sz="12" w:space="0" w:color="auto"/>
              <w:left w:val="nil"/>
              <w:bottom w:val="single" w:sz="12" w:space="0" w:color="auto"/>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1.440</w:t>
            </w:r>
          </w:p>
        </w:tc>
        <w:tc>
          <w:tcPr>
            <w:tcW w:w="570" w:type="pct"/>
            <w:tcBorders>
              <w:top w:val="single" w:sz="12" w:space="0" w:color="auto"/>
              <w:left w:val="nil"/>
              <w:bottom w:val="single" w:sz="12" w:space="0" w:color="auto"/>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708</w:t>
            </w:r>
          </w:p>
        </w:tc>
        <w:tc>
          <w:tcPr>
            <w:tcW w:w="570" w:type="pct"/>
            <w:tcBorders>
              <w:top w:val="single" w:sz="12" w:space="0" w:color="auto"/>
              <w:left w:val="nil"/>
              <w:bottom w:val="single" w:sz="12" w:space="0" w:color="auto"/>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49.540</w:t>
            </w:r>
          </w:p>
        </w:tc>
        <w:tc>
          <w:tcPr>
            <w:tcW w:w="570" w:type="pct"/>
            <w:tcBorders>
              <w:top w:val="single" w:sz="12" w:space="0" w:color="auto"/>
              <w:left w:val="nil"/>
              <w:bottom w:val="single" w:sz="12" w:space="0" w:color="auto"/>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4.017</w:t>
            </w:r>
          </w:p>
        </w:tc>
        <w:tc>
          <w:tcPr>
            <w:tcW w:w="568" w:type="pct"/>
            <w:tcBorders>
              <w:top w:val="single" w:sz="12" w:space="0" w:color="auto"/>
              <w:left w:val="nil"/>
              <w:bottom w:val="single" w:sz="12" w:space="0" w:color="auto"/>
              <w:right w:val="nil"/>
            </w:tcBorders>
            <w:shd w:val="clear" w:color="auto" w:fill="auto"/>
            <w:vAlign w:val="bottom"/>
          </w:tcPr>
          <w:p w:rsidR="000C4CFF" w:rsidRPr="001567C8" w:rsidRDefault="000C4CFF" w:rsidP="000C4CFF">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53.557</w:t>
            </w:r>
          </w:p>
        </w:tc>
      </w:tr>
    </w:tbl>
    <w:p w:rsidR="00993A0D" w:rsidRPr="001567C8" w:rsidRDefault="00993A0D" w:rsidP="00353005">
      <w:pPr>
        <w:pStyle w:val="T1"/>
        <w:spacing w:before="120" w:after="0" w:line="240" w:lineRule="exact"/>
        <w:rPr>
          <w:rFonts w:asciiTheme="minorHAnsi" w:hAnsiTheme="minorHAnsi" w:cs="Arial"/>
          <w:sz w:val="22"/>
          <w:szCs w:val="22"/>
          <w:lang w:val="hr-HR"/>
        </w:rPr>
      </w:pPr>
    </w:p>
    <w:p w:rsidR="00815E7F" w:rsidRPr="001567C8" w:rsidRDefault="00815E7F" w:rsidP="00353005">
      <w:pPr>
        <w:pStyle w:val="T1"/>
        <w:spacing w:before="120" w:after="0" w:line="240" w:lineRule="exact"/>
        <w:rPr>
          <w:rFonts w:asciiTheme="minorHAnsi" w:hAnsiTheme="minorHAnsi" w:cs="Arial"/>
          <w:sz w:val="22"/>
          <w:szCs w:val="22"/>
          <w:lang w:val="hr-HR"/>
        </w:rPr>
      </w:pPr>
    </w:p>
    <w:p w:rsidR="00815E7F" w:rsidRPr="001567C8" w:rsidRDefault="00815E7F" w:rsidP="00353005">
      <w:pPr>
        <w:pStyle w:val="T1"/>
        <w:spacing w:before="120" w:after="0" w:line="240" w:lineRule="exact"/>
        <w:rPr>
          <w:rFonts w:asciiTheme="minorHAnsi" w:hAnsiTheme="minorHAnsi" w:cs="Arial"/>
          <w:sz w:val="22"/>
          <w:szCs w:val="22"/>
          <w:lang w:val="hr-HR"/>
        </w:rPr>
      </w:pPr>
    </w:p>
    <w:p w:rsidR="008F0C90" w:rsidRPr="001567C8" w:rsidRDefault="008F0C90">
      <w:pPr>
        <w:rPr>
          <w:rFonts w:asciiTheme="minorHAnsi" w:hAnsiTheme="minorHAnsi" w:cs="Arial"/>
          <w:b/>
          <w:bCs/>
          <w:sz w:val="22"/>
          <w:szCs w:val="22"/>
          <w:lang w:val="hr-HR"/>
        </w:rPr>
        <w:sectPr w:rsidR="008F0C90" w:rsidRPr="001567C8" w:rsidSect="003E2D7A">
          <w:pgSz w:w="11907" w:h="16840" w:code="9"/>
          <w:pgMar w:top="1418" w:right="1134" w:bottom="1134" w:left="1418" w:header="851" w:footer="851" w:gutter="0"/>
          <w:cols w:space="720"/>
          <w:noEndnote/>
        </w:sectPr>
      </w:pPr>
    </w:p>
    <w:p w:rsidR="004544EA" w:rsidRPr="001567C8" w:rsidRDefault="004544EA" w:rsidP="004544EA">
      <w:pPr>
        <w:pStyle w:val="T1"/>
        <w:spacing w:before="0" w:after="0" w:line="240" w:lineRule="auto"/>
        <w:rPr>
          <w:rFonts w:asciiTheme="minorHAnsi" w:hAnsiTheme="minorHAnsi" w:cs="Arial"/>
          <w:sz w:val="22"/>
          <w:szCs w:val="22"/>
          <w:lang w:val="hr-HR"/>
        </w:rPr>
      </w:pPr>
    </w:p>
    <w:p w:rsidR="00815E7F" w:rsidRPr="001567C8" w:rsidRDefault="00C9220F" w:rsidP="004544E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24</w:t>
      </w:r>
      <w:r w:rsidR="00815E7F" w:rsidRPr="001567C8">
        <w:rPr>
          <w:rFonts w:asciiTheme="minorHAnsi" w:hAnsiTheme="minorHAnsi" w:cs="Arial"/>
          <w:sz w:val="22"/>
          <w:szCs w:val="22"/>
          <w:lang w:val="hr-HR"/>
        </w:rPr>
        <w:t xml:space="preserve">. </w:t>
      </w:r>
      <w:r w:rsidR="00815E7F" w:rsidRPr="001567C8">
        <w:rPr>
          <w:rFonts w:asciiTheme="minorHAnsi" w:hAnsiTheme="minorHAnsi" w:cs="Arial"/>
          <w:sz w:val="22"/>
          <w:szCs w:val="22"/>
          <w:lang w:val="hr-HR"/>
        </w:rPr>
        <w:tab/>
        <w:t>Nekretnine, postrojenja i oprema i nematerijalna imovina (nastavak)</w:t>
      </w:r>
    </w:p>
    <w:p w:rsidR="004544EA" w:rsidRPr="001567C8" w:rsidRDefault="004544EA" w:rsidP="004544EA">
      <w:pPr>
        <w:pStyle w:val="T1"/>
        <w:spacing w:before="0" w:after="0" w:line="240" w:lineRule="auto"/>
        <w:rPr>
          <w:rFonts w:asciiTheme="minorHAnsi" w:hAnsiTheme="minorHAnsi" w:cs="Arial"/>
          <w:sz w:val="22"/>
          <w:szCs w:val="22"/>
          <w:lang w:val="hr-HR"/>
        </w:rPr>
      </w:pPr>
    </w:p>
    <w:tbl>
      <w:tblPr>
        <w:tblW w:w="5415" w:type="pct"/>
        <w:tblInd w:w="-426" w:type="dxa"/>
        <w:tblLayout w:type="fixed"/>
        <w:tblCellMar>
          <w:left w:w="119" w:type="dxa"/>
          <w:right w:w="119" w:type="dxa"/>
        </w:tblCellMar>
        <w:tblLook w:val="0000" w:firstRow="0" w:lastRow="0" w:firstColumn="0" w:lastColumn="0" w:noHBand="0" w:noVBand="0"/>
      </w:tblPr>
      <w:tblGrid>
        <w:gridCol w:w="1940"/>
        <w:gridCol w:w="1169"/>
        <w:gridCol w:w="1171"/>
        <w:gridCol w:w="1171"/>
        <w:gridCol w:w="1171"/>
        <w:gridCol w:w="1171"/>
        <w:gridCol w:w="1171"/>
        <w:gridCol w:w="1167"/>
      </w:tblGrid>
      <w:tr w:rsidR="008402AC" w:rsidRPr="001567C8" w:rsidTr="008402AC">
        <w:trPr>
          <w:trHeight w:val="1334"/>
        </w:trPr>
        <w:tc>
          <w:tcPr>
            <w:tcW w:w="957" w:type="pct"/>
            <w:vAlign w:val="bottom"/>
          </w:tcPr>
          <w:p w:rsidR="00103C09" w:rsidRPr="001567C8" w:rsidRDefault="00103C09" w:rsidP="00F73AE6">
            <w:pPr>
              <w:tabs>
                <w:tab w:val="left" w:pos="-1559"/>
              </w:tabs>
              <w:suppressAutoHyphens/>
              <w:rPr>
                <w:rFonts w:asciiTheme="minorHAnsi" w:hAnsiTheme="minorHAnsi" w:cs="Arial"/>
                <w:b/>
                <w:spacing w:val="-2"/>
                <w:sz w:val="18"/>
                <w:szCs w:val="18"/>
                <w:lang w:val="hr-HR"/>
              </w:rPr>
            </w:pPr>
            <w:r w:rsidRPr="001567C8">
              <w:rPr>
                <w:rFonts w:asciiTheme="minorHAnsi" w:hAnsiTheme="minorHAnsi" w:cs="Arial"/>
                <w:b/>
                <w:spacing w:val="-2"/>
                <w:sz w:val="18"/>
                <w:szCs w:val="18"/>
                <w:lang w:val="hr-HR"/>
              </w:rPr>
              <w:t>Grupa</w:t>
            </w:r>
          </w:p>
          <w:p w:rsidR="00103C09" w:rsidRPr="001567C8" w:rsidRDefault="00103C09" w:rsidP="00F73AE6">
            <w:pPr>
              <w:tabs>
                <w:tab w:val="left" w:pos="-1559"/>
              </w:tabs>
              <w:suppressAutoHyphens/>
              <w:rPr>
                <w:rFonts w:asciiTheme="minorHAnsi" w:hAnsiTheme="minorHAnsi" w:cs="Arial"/>
                <w:b/>
                <w:spacing w:val="-2"/>
                <w:sz w:val="18"/>
                <w:szCs w:val="18"/>
                <w:lang w:val="hr-HR"/>
              </w:rPr>
            </w:pPr>
          </w:p>
          <w:p w:rsidR="00103C09" w:rsidRPr="001567C8" w:rsidRDefault="00103C09" w:rsidP="00F73AE6">
            <w:pPr>
              <w:tabs>
                <w:tab w:val="left" w:pos="-1559"/>
              </w:tabs>
              <w:suppressAutoHyphens/>
              <w:rPr>
                <w:rFonts w:asciiTheme="minorHAnsi" w:hAnsiTheme="minorHAnsi" w:cs="Arial"/>
                <w:b/>
                <w:spacing w:val="-2"/>
                <w:sz w:val="18"/>
                <w:szCs w:val="18"/>
                <w:lang w:val="hr-HR"/>
              </w:rPr>
            </w:pPr>
          </w:p>
          <w:p w:rsidR="00103C09" w:rsidRPr="001567C8" w:rsidRDefault="00103C09" w:rsidP="00F73AE6">
            <w:pPr>
              <w:tabs>
                <w:tab w:val="left" w:pos="-1559"/>
              </w:tabs>
              <w:suppressAutoHyphens/>
              <w:rPr>
                <w:rFonts w:asciiTheme="minorHAnsi" w:hAnsiTheme="minorHAnsi" w:cs="Arial"/>
                <w:b/>
                <w:spacing w:val="-2"/>
                <w:sz w:val="18"/>
                <w:szCs w:val="18"/>
                <w:lang w:val="hr-HR"/>
              </w:rPr>
            </w:pPr>
          </w:p>
          <w:p w:rsidR="00103C09" w:rsidRPr="001567C8" w:rsidRDefault="00103C09" w:rsidP="00F73AE6">
            <w:pPr>
              <w:tabs>
                <w:tab w:val="left" w:pos="-1559"/>
              </w:tabs>
              <w:suppressAutoHyphens/>
              <w:rPr>
                <w:rFonts w:asciiTheme="minorHAnsi" w:hAnsiTheme="minorHAnsi" w:cs="Arial"/>
                <w:b/>
                <w:spacing w:val="-2"/>
                <w:sz w:val="18"/>
                <w:szCs w:val="18"/>
                <w:lang w:val="hr-HR"/>
              </w:rPr>
            </w:pPr>
            <w:r w:rsidRPr="001567C8">
              <w:rPr>
                <w:rFonts w:asciiTheme="minorHAnsi" w:hAnsiTheme="minorHAnsi" w:cs="Arial"/>
                <w:b/>
                <w:spacing w:val="-2"/>
                <w:sz w:val="18"/>
                <w:szCs w:val="18"/>
                <w:lang w:val="hr-HR"/>
              </w:rPr>
              <w:t>2017.</w:t>
            </w:r>
          </w:p>
          <w:p w:rsidR="00103C09" w:rsidRPr="001567C8" w:rsidRDefault="00103C09" w:rsidP="00F73AE6">
            <w:pPr>
              <w:tabs>
                <w:tab w:val="left" w:pos="-1559"/>
              </w:tabs>
              <w:suppressAutoHyphens/>
              <w:rPr>
                <w:rFonts w:asciiTheme="minorHAnsi" w:hAnsiTheme="minorHAnsi" w:cs="Arial"/>
                <w:b/>
                <w:spacing w:val="-2"/>
                <w:sz w:val="18"/>
                <w:szCs w:val="18"/>
                <w:lang w:val="hr-HR"/>
              </w:rPr>
            </w:pPr>
          </w:p>
        </w:tc>
        <w:tc>
          <w:tcPr>
            <w:tcW w:w="577" w:type="pct"/>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Građevinski objekti</w:t>
            </w:r>
          </w:p>
        </w:tc>
        <w:tc>
          <w:tcPr>
            <w:tcW w:w="578" w:type="pct"/>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Kompjutori</w:t>
            </w:r>
          </w:p>
        </w:tc>
        <w:tc>
          <w:tcPr>
            <w:tcW w:w="578" w:type="pct"/>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Namještaj, oprema i vozila</w:t>
            </w:r>
          </w:p>
        </w:tc>
        <w:tc>
          <w:tcPr>
            <w:tcW w:w="578" w:type="pct"/>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Nekretnine i oprema i nematerijalna imovina u pripremi</w:t>
            </w:r>
          </w:p>
        </w:tc>
        <w:tc>
          <w:tcPr>
            <w:tcW w:w="578" w:type="pct"/>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 xml:space="preserve">Ukupno nekretnine, postrojenja i oprema </w:t>
            </w:r>
          </w:p>
        </w:tc>
        <w:tc>
          <w:tcPr>
            <w:tcW w:w="578" w:type="pct"/>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 xml:space="preserve">Nematerija-lna </w:t>
            </w:r>
          </w:p>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imovina</w:t>
            </w:r>
          </w:p>
        </w:tc>
        <w:tc>
          <w:tcPr>
            <w:tcW w:w="576" w:type="pct"/>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Ukupno</w:t>
            </w:r>
          </w:p>
        </w:tc>
      </w:tr>
      <w:tr w:rsidR="008402AC" w:rsidRPr="001567C8" w:rsidTr="008402AC">
        <w:trPr>
          <w:trHeight w:val="240"/>
        </w:trPr>
        <w:tc>
          <w:tcPr>
            <w:tcW w:w="957" w:type="pct"/>
            <w:vAlign w:val="bottom"/>
          </w:tcPr>
          <w:p w:rsidR="00103C09" w:rsidRPr="001567C8" w:rsidRDefault="00103C09" w:rsidP="00F73AE6">
            <w:pPr>
              <w:tabs>
                <w:tab w:val="left" w:pos="-1559"/>
              </w:tabs>
              <w:suppressAutoHyphens/>
              <w:rPr>
                <w:rFonts w:asciiTheme="minorHAnsi" w:hAnsiTheme="minorHAnsi" w:cs="Arial"/>
                <w:b/>
                <w:spacing w:val="-2"/>
                <w:sz w:val="18"/>
                <w:szCs w:val="18"/>
                <w:lang w:val="hr-HR"/>
              </w:rPr>
            </w:pPr>
          </w:p>
        </w:tc>
        <w:tc>
          <w:tcPr>
            <w:tcW w:w="577" w:type="pct"/>
            <w:vAlign w:val="bottom"/>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8" w:type="pct"/>
            <w:vAlign w:val="bottom"/>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8" w:type="pct"/>
            <w:vAlign w:val="bottom"/>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8" w:type="pct"/>
            <w:vAlign w:val="bottom"/>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8" w:type="pct"/>
            <w:vAlign w:val="bottom"/>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8" w:type="pct"/>
            <w:vAlign w:val="bottom"/>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6" w:type="pct"/>
            <w:vAlign w:val="bottom"/>
          </w:tcPr>
          <w:p w:rsidR="00103C09" w:rsidRPr="001567C8" w:rsidRDefault="00103C09"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r>
      <w:tr w:rsidR="008402AC" w:rsidRPr="001567C8" w:rsidTr="008402AC">
        <w:trPr>
          <w:trHeight w:val="303"/>
        </w:trPr>
        <w:tc>
          <w:tcPr>
            <w:tcW w:w="957" w:type="pct"/>
            <w:vAlign w:val="bottom"/>
          </w:tcPr>
          <w:p w:rsidR="00103C09" w:rsidRPr="001567C8" w:rsidRDefault="00103C09"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Nabavna vrijednost</w:t>
            </w:r>
          </w:p>
        </w:tc>
        <w:tc>
          <w:tcPr>
            <w:tcW w:w="577" w:type="pct"/>
            <w:vAlign w:val="bottom"/>
          </w:tcPr>
          <w:p w:rsidR="00103C09" w:rsidRPr="001567C8" w:rsidRDefault="00103C09" w:rsidP="00F73AE6">
            <w:pPr>
              <w:pStyle w:val="TT"/>
              <w:jc w:val="right"/>
              <w:rPr>
                <w:rFonts w:asciiTheme="minorHAnsi" w:hAnsiTheme="minorHAnsi" w:cs="Arial"/>
                <w:spacing w:val="-3"/>
                <w:sz w:val="18"/>
                <w:szCs w:val="18"/>
                <w:lang w:val="hr-HR"/>
              </w:rPr>
            </w:pPr>
          </w:p>
        </w:tc>
        <w:tc>
          <w:tcPr>
            <w:tcW w:w="578" w:type="pct"/>
            <w:vAlign w:val="bottom"/>
          </w:tcPr>
          <w:p w:rsidR="00103C09" w:rsidRPr="001567C8" w:rsidRDefault="00103C09" w:rsidP="00F73AE6">
            <w:pPr>
              <w:pStyle w:val="TT"/>
              <w:jc w:val="right"/>
              <w:rPr>
                <w:rFonts w:asciiTheme="minorHAnsi" w:hAnsiTheme="minorHAnsi" w:cs="Arial"/>
                <w:spacing w:val="-3"/>
                <w:sz w:val="18"/>
                <w:szCs w:val="18"/>
                <w:lang w:val="hr-HR"/>
              </w:rPr>
            </w:pPr>
          </w:p>
        </w:tc>
        <w:tc>
          <w:tcPr>
            <w:tcW w:w="578" w:type="pct"/>
            <w:vAlign w:val="bottom"/>
          </w:tcPr>
          <w:p w:rsidR="00103C09" w:rsidRPr="001567C8" w:rsidRDefault="00103C09" w:rsidP="00F73AE6">
            <w:pPr>
              <w:pStyle w:val="TT"/>
              <w:jc w:val="right"/>
              <w:rPr>
                <w:rFonts w:asciiTheme="minorHAnsi" w:hAnsiTheme="minorHAnsi" w:cs="Arial"/>
                <w:spacing w:val="-3"/>
                <w:sz w:val="18"/>
                <w:szCs w:val="18"/>
                <w:lang w:val="hr-HR"/>
              </w:rPr>
            </w:pPr>
          </w:p>
        </w:tc>
        <w:tc>
          <w:tcPr>
            <w:tcW w:w="578" w:type="pct"/>
            <w:vAlign w:val="bottom"/>
          </w:tcPr>
          <w:p w:rsidR="00103C09" w:rsidRPr="001567C8" w:rsidRDefault="00103C09" w:rsidP="00F73AE6">
            <w:pPr>
              <w:pStyle w:val="TT"/>
              <w:jc w:val="right"/>
              <w:rPr>
                <w:rFonts w:asciiTheme="minorHAnsi" w:hAnsiTheme="minorHAnsi" w:cs="Arial"/>
                <w:spacing w:val="-3"/>
                <w:sz w:val="18"/>
                <w:szCs w:val="18"/>
                <w:lang w:val="hr-HR"/>
              </w:rPr>
            </w:pPr>
          </w:p>
        </w:tc>
        <w:tc>
          <w:tcPr>
            <w:tcW w:w="578" w:type="pct"/>
            <w:vAlign w:val="bottom"/>
          </w:tcPr>
          <w:p w:rsidR="00103C09" w:rsidRPr="001567C8" w:rsidRDefault="00103C09" w:rsidP="00F73AE6">
            <w:pPr>
              <w:pStyle w:val="TT"/>
              <w:jc w:val="right"/>
              <w:rPr>
                <w:rFonts w:asciiTheme="minorHAnsi" w:hAnsiTheme="minorHAnsi" w:cs="Arial"/>
                <w:spacing w:val="-3"/>
                <w:sz w:val="18"/>
                <w:szCs w:val="18"/>
                <w:lang w:val="hr-HR"/>
              </w:rPr>
            </w:pPr>
          </w:p>
        </w:tc>
        <w:tc>
          <w:tcPr>
            <w:tcW w:w="578" w:type="pct"/>
            <w:vAlign w:val="bottom"/>
          </w:tcPr>
          <w:p w:rsidR="00103C09" w:rsidRPr="001567C8" w:rsidRDefault="00103C09" w:rsidP="00F73AE6">
            <w:pPr>
              <w:pStyle w:val="TT"/>
              <w:jc w:val="right"/>
              <w:rPr>
                <w:rFonts w:asciiTheme="minorHAnsi" w:hAnsiTheme="minorHAnsi" w:cs="Arial"/>
                <w:spacing w:val="-3"/>
                <w:sz w:val="18"/>
                <w:szCs w:val="18"/>
                <w:lang w:val="hr-HR"/>
              </w:rPr>
            </w:pPr>
          </w:p>
        </w:tc>
        <w:tc>
          <w:tcPr>
            <w:tcW w:w="576" w:type="pct"/>
            <w:vAlign w:val="bottom"/>
          </w:tcPr>
          <w:p w:rsidR="00103C09" w:rsidRPr="001567C8" w:rsidRDefault="00103C09" w:rsidP="00F73AE6">
            <w:pPr>
              <w:pStyle w:val="TT"/>
              <w:jc w:val="right"/>
              <w:rPr>
                <w:rFonts w:asciiTheme="minorHAnsi" w:hAnsiTheme="minorHAnsi" w:cs="Arial"/>
                <w:spacing w:val="-3"/>
                <w:sz w:val="18"/>
                <w:szCs w:val="18"/>
                <w:lang w:val="hr-HR"/>
              </w:rPr>
            </w:pPr>
          </w:p>
        </w:tc>
      </w:tr>
      <w:tr w:rsidR="008402AC" w:rsidRPr="001567C8" w:rsidTr="008402AC">
        <w:trPr>
          <w:trHeight w:val="494"/>
        </w:trPr>
        <w:tc>
          <w:tcPr>
            <w:tcW w:w="957" w:type="pct"/>
            <w:vAlign w:val="bottom"/>
          </w:tcPr>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2016.</w:t>
            </w:r>
          </w:p>
        </w:tc>
        <w:tc>
          <w:tcPr>
            <w:tcW w:w="577"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77.102</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11.218</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15.236</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 xml:space="preserve">    1.036 </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104.592</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 xml:space="preserve">        25.582 </w:t>
            </w:r>
          </w:p>
        </w:tc>
        <w:tc>
          <w:tcPr>
            <w:tcW w:w="576"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130.174</w:t>
            </w:r>
          </w:p>
        </w:tc>
      </w:tr>
      <w:tr w:rsidR="008402AC" w:rsidRPr="001567C8" w:rsidTr="008402AC">
        <w:trPr>
          <w:trHeight w:val="240"/>
        </w:trPr>
        <w:tc>
          <w:tcPr>
            <w:tcW w:w="957" w:type="pct"/>
            <w:vAlign w:val="bottom"/>
          </w:tcPr>
          <w:p w:rsidR="00103C09" w:rsidRPr="001567C8" w:rsidRDefault="00103C09"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Povećanje</w:t>
            </w:r>
          </w:p>
        </w:tc>
        <w:tc>
          <w:tcPr>
            <w:tcW w:w="577"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3.736</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3.736</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w:t>
            </w:r>
          </w:p>
        </w:tc>
        <w:tc>
          <w:tcPr>
            <w:tcW w:w="576"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3.736</w:t>
            </w:r>
          </w:p>
        </w:tc>
      </w:tr>
      <w:tr w:rsidR="008402AC" w:rsidRPr="001567C8" w:rsidTr="008402AC">
        <w:trPr>
          <w:trHeight w:val="977"/>
        </w:trPr>
        <w:tc>
          <w:tcPr>
            <w:tcW w:w="957" w:type="pct"/>
            <w:vAlign w:val="bottom"/>
          </w:tcPr>
          <w:p w:rsidR="00103C09" w:rsidRPr="001567C8" w:rsidRDefault="00103C09"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Prijenos s nekretnina, postrojenja i opreme i nematerijalne imovine u pripremi</w:t>
            </w:r>
          </w:p>
        </w:tc>
        <w:tc>
          <w:tcPr>
            <w:tcW w:w="577" w:type="pct"/>
            <w:tcBorders>
              <w:top w:val="nil"/>
              <w:left w:val="nil"/>
              <w:bottom w:val="nil"/>
              <w:right w:val="nil"/>
            </w:tcBorders>
            <w:shd w:val="clear" w:color="auto" w:fill="auto"/>
            <w:vAlign w:val="bottom"/>
          </w:tcPr>
          <w:p w:rsidR="00103C09" w:rsidRPr="00CD3A2D" w:rsidRDefault="00103C09" w:rsidP="00F73AE6">
            <w:pPr>
              <w:jc w:val="right"/>
              <w:rPr>
                <w:sz w:val="18"/>
                <w:szCs w:val="18"/>
                <w:lang w:val="hr-HR"/>
              </w:rPr>
            </w:pPr>
            <w:r w:rsidRPr="00CD3A2D">
              <w:rPr>
                <w:sz w:val="18"/>
                <w:szCs w:val="18"/>
                <w:lang w:val="hr-HR"/>
              </w:rPr>
              <w:t>-</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624</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370</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(4.064)</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(3.070)</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3.070</w:t>
            </w:r>
          </w:p>
        </w:tc>
        <w:tc>
          <w:tcPr>
            <w:tcW w:w="576"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w:t>
            </w:r>
          </w:p>
        </w:tc>
      </w:tr>
      <w:tr w:rsidR="008402AC" w:rsidRPr="001567C8" w:rsidTr="008402AC">
        <w:trPr>
          <w:trHeight w:val="174"/>
        </w:trPr>
        <w:tc>
          <w:tcPr>
            <w:tcW w:w="957" w:type="pct"/>
            <w:vAlign w:val="bottom"/>
          </w:tcPr>
          <w:p w:rsidR="00103C09" w:rsidRPr="001567C8" w:rsidRDefault="00103C09"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Rashod i otpis</w:t>
            </w:r>
          </w:p>
        </w:tc>
        <w:tc>
          <w:tcPr>
            <w:tcW w:w="577" w:type="pct"/>
            <w:tcBorders>
              <w:top w:val="nil"/>
              <w:left w:val="nil"/>
              <w:bottom w:val="single" w:sz="4" w:space="0" w:color="auto"/>
              <w:right w:val="nil"/>
            </w:tcBorders>
            <w:shd w:val="clear" w:color="auto" w:fill="auto"/>
            <w:vAlign w:val="bottom"/>
          </w:tcPr>
          <w:p w:rsidR="00103C09" w:rsidRPr="00CD3A2D" w:rsidRDefault="00103C09" w:rsidP="00F73AE6">
            <w:pPr>
              <w:jc w:val="right"/>
              <w:rPr>
                <w:sz w:val="18"/>
                <w:szCs w:val="18"/>
                <w:lang w:val="hr-HR"/>
              </w:rPr>
            </w:pPr>
            <w:r w:rsidRPr="00CD3A2D">
              <w:rPr>
                <w:sz w:val="18"/>
                <w:szCs w:val="18"/>
                <w:lang w:val="hr-HR"/>
              </w:rPr>
              <w:t>-</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(1.865)</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(225)</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(2.090)</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w:t>
            </w:r>
          </w:p>
        </w:tc>
        <w:tc>
          <w:tcPr>
            <w:tcW w:w="576"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sz w:val="18"/>
                <w:szCs w:val="18"/>
                <w:lang w:val="hr-HR"/>
              </w:rPr>
            </w:pPr>
            <w:r w:rsidRPr="00CD3A2D">
              <w:rPr>
                <w:rFonts w:ascii="Calibri" w:hAnsi="Calibri"/>
                <w:sz w:val="18"/>
                <w:szCs w:val="18"/>
                <w:lang w:val="hr-HR"/>
              </w:rPr>
              <w:t>(2.090)</w:t>
            </w:r>
          </w:p>
        </w:tc>
      </w:tr>
      <w:tr w:rsidR="008402AC" w:rsidRPr="001567C8" w:rsidTr="008402AC">
        <w:trPr>
          <w:trHeight w:val="482"/>
        </w:trPr>
        <w:tc>
          <w:tcPr>
            <w:tcW w:w="957" w:type="pct"/>
            <w:vAlign w:val="bottom"/>
          </w:tcPr>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77"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77.102</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9.977</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15.381</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708</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103.168</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28.652</w:t>
            </w:r>
          </w:p>
        </w:tc>
        <w:tc>
          <w:tcPr>
            <w:tcW w:w="576"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131.820</w:t>
            </w:r>
          </w:p>
        </w:tc>
      </w:tr>
      <w:tr w:rsidR="008402AC" w:rsidRPr="001567C8" w:rsidTr="008402AC">
        <w:trPr>
          <w:trHeight w:val="254"/>
        </w:trPr>
        <w:tc>
          <w:tcPr>
            <w:tcW w:w="957" w:type="pct"/>
            <w:vAlign w:val="bottom"/>
          </w:tcPr>
          <w:p w:rsidR="00103C09" w:rsidRPr="001567C8" w:rsidRDefault="00FB2E98" w:rsidP="00F73AE6">
            <w:pPr>
              <w:pStyle w:val="TT"/>
              <w:spacing w:line="240" w:lineRule="exact"/>
              <w:rPr>
                <w:rFonts w:asciiTheme="minorHAnsi" w:hAnsiTheme="minorHAnsi" w:cs="Arial"/>
                <w:sz w:val="18"/>
                <w:szCs w:val="18"/>
                <w:lang w:val="hr-HR"/>
              </w:rPr>
            </w:pPr>
            <w:r>
              <w:rPr>
                <w:rFonts w:asciiTheme="minorHAnsi" w:hAnsiTheme="minorHAnsi" w:cs="Arial"/>
                <w:sz w:val="18"/>
                <w:szCs w:val="18"/>
                <w:lang w:val="hr-HR"/>
              </w:rPr>
              <w:t>Amortizacija i i</w:t>
            </w:r>
            <w:r w:rsidRPr="001567C8">
              <w:rPr>
                <w:rFonts w:asciiTheme="minorHAnsi" w:hAnsiTheme="minorHAnsi" w:cs="Arial"/>
                <w:sz w:val="18"/>
                <w:szCs w:val="18"/>
                <w:lang w:val="hr-HR"/>
              </w:rPr>
              <w:t>spravak vrijednosti</w:t>
            </w:r>
          </w:p>
        </w:tc>
        <w:tc>
          <w:tcPr>
            <w:tcW w:w="577" w:type="pct"/>
            <w:tcBorders>
              <w:top w:val="single" w:sz="12" w:space="0" w:color="auto"/>
            </w:tcBorders>
            <w:vAlign w:val="bottom"/>
          </w:tcPr>
          <w:p w:rsidR="00103C09" w:rsidRPr="001567C8" w:rsidRDefault="00103C09" w:rsidP="00F73AE6">
            <w:pPr>
              <w:pStyle w:val="TT"/>
              <w:tabs>
                <w:tab w:val="clear" w:pos="1202"/>
              </w:tabs>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T"/>
              <w:tabs>
                <w:tab w:val="clear" w:pos="1202"/>
              </w:tabs>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T"/>
              <w:tabs>
                <w:tab w:val="clear" w:pos="1202"/>
              </w:tabs>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T"/>
              <w:tabs>
                <w:tab w:val="clear" w:pos="1202"/>
              </w:tabs>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T"/>
              <w:tabs>
                <w:tab w:val="clear" w:pos="1202"/>
              </w:tabs>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T"/>
              <w:tabs>
                <w:tab w:val="clear" w:pos="1202"/>
              </w:tabs>
              <w:jc w:val="right"/>
              <w:rPr>
                <w:rFonts w:asciiTheme="minorHAnsi" w:hAnsiTheme="minorHAnsi" w:cs="Arial"/>
                <w:sz w:val="18"/>
                <w:szCs w:val="18"/>
                <w:lang w:val="hr-HR"/>
              </w:rPr>
            </w:pPr>
          </w:p>
        </w:tc>
        <w:tc>
          <w:tcPr>
            <w:tcW w:w="576" w:type="pct"/>
            <w:tcBorders>
              <w:top w:val="single" w:sz="12" w:space="0" w:color="auto"/>
            </w:tcBorders>
            <w:vAlign w:val="bottom"/>
          </w:tcPr>
          <w:p w:rsidR="00103C09" w:rsidRPr="001567C8" w:rsidRDefault="00103C09" w:rsidP="00F73AE6">
            <w:pPr>
              <w:pStyle w:val="TT"/>
              <w:tabs>
                <w:tab w:val="clear" w:pos="1202"/>
              </w:tabs>
              <w:jc w:val="right"/>
              <w:rPr>
                <w:rFonts w:asciiTheme="minorHAnsi" w:hAnsiTheme="minorHAnsi" w:cs="Arial"/>
                <w:sz w:val="18"/>
                <w:szCs w:val="18"/>
                <w:lang w:val="hr-HR"/>
              </w:rPr>
            </w:pPr>
          </w:p>
        </w:tc>
      </w:tr>
      <w:tr w:rsidR="008402AC" w:rsidRPr="001567C8" w:rsidTr="008402AC">
        <w:trPr>
          <w:trHeight w:val="494"/>
        </w:trPr>
        <w:tc>
          <w:tcPr>
            <w:tcW w:w="957" w:type="pct"/>
            <w:vAlign w:val="bottom"/>
          </w:tcPr>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2016.</w:t>
            </w:r>
          </w:p>
        </w:tc>
        <w:tc>
          <w:tcPr>
            <w:tcW w:w="577"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28.145</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9.682</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13.173</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color w:val="000000"/>
                <w:sz w:val="18"/>
                <w:szCs w:val="18"/>
                <w:lang w:val="hr-HR"/>
              </w:rPr>
              <w:t xml:space="preserve"> - </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51.000</w:t>
            </w:r>
          </w:p>
        </w:tc>
        <w:tc>
          <w:tcPr>
            <w:tcW w:w="578"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21.869</w:t>
            </w:r>
          </w:p>
        </w:tc>
        <w:tc>
          <w:tcPr>
            <w:tcW w:w="576" w:type="pct"/>
            <w:tcBorders>
              <w:top w:val="nil"/>
              <w:left w:val="nil"/>
              <w:bottom w:val="nil"/>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72.869</w:t>
            </w:r>
          </w:p>
        </w:tc>
      </w:tr>
      <w:tr w:rsidR="008402AC" w:rsidRPr="001567C8" w:rsidTr="008402AC">
        <w:trPr>
          <w:trHeight w:val="240"/>
        </w:trPr>
        <w:tc>
          <w:tcPr>
            <w:tcW w:w="957" w:type="pct"/>
            <w:vAlign w:val="bottom"/>
          </w:tcPr>
          <w:p w:rsidR="00103C09" w:rsidRPr="001567C8" w:rsidRDefault="00103C09" w:rsidP="00F73AE6">
            <w:pPr>
              <w:pStyle w:val="Tot"/>
              <w:spacing w:line="240" w:lineRule="exact"/>
              <w:rPr>
                <w:rFonts w:asciiTheme="minorHAnsi" w:hAnsiTheme="minorHAnsi" w:cs="Arial"/>
                <w:bCs/>
                <w:sz w:val="18"/>
                <w:szCs w:val="18"/>
                <w:lang w:val="hr-HR"/>
              </w:rPr>
            </w:pPr>
            <w:r w:rsidRPr="001567C8">
              <w:rPr>
                <w:rFonts w:asciiTheme="minorHAnsi" w:hAnsiTheme="minorHAnsi" w:cs="Arial"/>
                <w:bCs/>
                <w:sz w:val="18"/>
                <w:szCs w:val="18"/>
                <w:lang w:val="hr-HR"/>
              </w:rPr>
              <w:t>Amortizacija za 2017.</w:t>
            </w:r>
          </w:p>
        </w:tc>
        <w:tc>
          <w:tcPr>
            <w:tcW w:w="577"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2.336</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1.381</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992</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4.709</w:t>
            </w:r>
          </w:p>
        </w:tc>
        <w:tc>
          <w:tcPr>
            <w:tcW w:w="578"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2.766</w:t>
            </w:r>
          </w:p>
        </w:tc>
        <w:tc>
          <w:tcPr>
            <w:tcW w:w="576" w:type="pct"/>
            <w:tcBorders>
              <w:top w:val="nil"/>
              <w:left w:val="nil"/>
              <w:bottom w:val="nil"/>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7.475</w:t>
            </w:r>
          </w:p>
        </w:tc>
      </w:tr>
      <w:tr w:rsidR="008402AC" w:rsidRPr="001567C8" w:rsidTr="008402AC">
        <w:trPr>
          <w:trHeight w:val="240"/>
        </w:trPr>
        <w:tc>
          <w:tcPr>
            <w:tcW w:w="957" w:type="pct"/>
            <w:vAlign w:val="bottom"/>
          </w:tcPr>
          <w:p w:rsidR="00103C09" w:rsidRPr="001567C8" w:rsidRDefault="00103C09"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Rashod i otpis</w:t>
            </w:r>
          </w:p>
        </w:tc>
        <w:tc>
          <w:tcPr>
            <w:tcW w:w="577" w:type="pct"/>
            <w:tcBorders>
              <w:top w:val="nil"/>
              <w:left w:val="nil"/>
              <w:bottom w:val="single" w:sz="4" w:space="0" w:color="auto"/>
              <w:right w:val="nil"/>
            </w:tcBorders>
            <w:shd w:val="clear" w:color="auto" w:fill="auto"/>
            <w:vAlign w:val="bottom"/>
          </w:tcPr>
          <w:p w:rsidR="00103C09" w:rsidRPr="00CD3A2D" w:rsidRDefault="00103C09" w:rsidP="00F73AE6">
            <w:pPr>
              <w:jc w:val="right"/>
              <w:rPr>
                <w:sz w:val="18"/>
                <w:szCs w:val="18"/>
                <w:lang w:val="hr-HR"/>
              </w:rPr>
            </w:pPr>
            <w:r w:rsidRPr="00CD3A2D">
              <w:rPr>
                <w:sz w:val="18"/>
                <w:szCs w:val="18"/>
                <w:lang w:val="hr-HR"/>
              </w:rPr>
              <w:t>-</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(1.857)</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(224)</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(2.081)</w:t>
            </w:r>
          </w:p>
        </w:tc>
        <w:tc>
          <w:tcPr>
            <w:tcW w:w="578"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76" w:type="pct"/>
            <w:tcBorders>
              <w:top w:val="nil"/>
              <w:left w:val="nil"/>
              <w:bottom w:val="single" w:sz="4" w:space="0" w:color="auto"/>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(2.081)</w:t>
            </w:r>
          </w:p>
        </w:tc>
      </w:tr>
      <w:tr w:rsidR="008402AC" w:rsidRPr="001567C8" w:rsidTr="008402AC">
        <w:trPr>
          <w:trHeight w:val="482"/>
        </w:trPr>
        <w:tc>
          <w:tcPr>
            <w:tcW w:w="957" w:type="pct"/>
            <w:vAlign w:val="bottom"/>
          </w:tcPr>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77"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30.481</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9.206</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13.941</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53.628</w:t>
            </w:r>
          </w:p>
        </w:tc>
        <w:tc>
          <w:tcPr>
            <w:tcW w:w="578"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24.635</w:t>
            </w:r>
          </w:p>
        </w:tc>
        <w:tc>
          <w:tcPr>
            <w:tcW w:w="576" w:type="pct"/>
            <w:tcBorders>
              <w:top w:val="single" w:sz="4" w:space="0" w:color="auto"/>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78.263</w:t>
            </w:r>
          </w:p>
        </w:tc>
      </w:tr>
      <w:tr w:rsidR="008402AC" w:rsidRPr="001567C8" w:rsidTr="008402AC">
        <w:trPr>
          <w:trHeight w:val="151"/>
        </w:trPr>
        <w:tc>
          <w:tcPr>
            <w:tcW w:w="957" w:type="pct"/>
            <w:vAlign w:val="bottom"/>
          </w:tcPr>
          <w:p w:rsidR="00103C09" w:rsidRPr="001567C8" w:rsidRDefault="00103C09" w:rsidP="00F73AE6">
            <w:pPr>
              <w:pStyle w:val="Tot"/>
              <w:spacing w:line="140" w:lineRule="exact"/>
              <w:rPr>
                <w:rFonts w:asciiTheme="minorHAnsi" w:hAnsiTheme="minorHAnsi" w:cs="Arial"/>
                <w:b/>
                <w:bCs/>
                <w:sz w:val="18"/>
                <w:szCs w:val="18"/>
                <w:lang w:val="hr-HR"/>
              </w:rPr>
            </w:pPr>
          </w:p>
        </w:tc>
        <w:tc>
          <w:tcPr>
            <w:tcW w:w="577" w:type="pct"/>
            <w:tcBorders>
              <w:top w:val="single" w:sz="12" w:space="0" w:color="auto"/>
            </w:tcBorders>
            <w:vAlign w:val="bottom"/>
          </w:tcPr>
          <w:p w:rsidR="00103C09" w:rsidRPr="001567C8" w:rsidRDefault="00103C09" w:rsidP="00F73AE6">
            <w:pPr>
              <w:pStyle w:val="Tot"/>
              <w:tabs>
                <w:tab w:val="clear" w:pos="1202"/>
              </w:tabs>
              <w:spacing w:line="140" w:lineRule="exact"/>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ot"/>
              <w:tabs>
                <w:tab w:val="clear" w:pos="1202"/>
              </w:tabs>
              <w:spacing w:line="140" w:lineRule="exact"/>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ot"/>
              <w:tabs>
                <w:tab w:val="clear" w:pos="1202"/>
              </w:tabs>
              <w:spacing w:line="140" w:lineRule="exact"/>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ot"/>
              <w:tabs>
                <w:tab w:val="clear" w:pos="1202"/>
              </w:tabs>
              <w:spacing w:line="140" w:lineRule="exact"/>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ot"/>
              <w:tabs>
                <w:tab w:val="clear" w:pos="1202"/>
              </w:tabs>
              <w:spacing w:line="140" w:lineRule="exact"/>
              <w:jc w:val="right"/>
              <w:rPr>
                <w:rFonts w:asciiTheme="minorHAnsi" w:hAnsiTheme="minorHAnsi" w:cs="Arial"/>
                <w:sz w:val="18"/>
                <w:szCs w:val="18"/>
                <w:lang w:val="hr-HR"/>
              </w:rPr>
            </w:pPr>
          </w:p>
        </w:tc>
        <w:tc>
          <w:tcPr>
            <w:tcW w:w="578" w:type="pct"/>
            <w:tcBorders>
              <w:top w:val="single" w:sz="12" w:space="0" w:color="auto"/>
            </w:tcBorders>
            <w:vAlign w:val="bottom"/>
          </w:tcPr>
          <w:p w:rsidR="00103C09" w:rsidRPr="001567C8" w:rsidRDefault="00103C09" w:rsidP="00F73AE6">
            <w:pPr>
              <w:pStyle w:val="Tot"/>
              <w:tabs>
                <w:tab w:val="clear" w:pos="1202"/>
              </w:tabs>
              <w:spacing w:line="140" w:lineRule="exact"/>
              <w:jc w:val="right"/>
              <w:rPr>
                <w:rFonts w:asciiTheme="minorHAnsi" w:hAnsiTheme="minorHAnsi" w:cs="Arial"/>
                <w:sz w:val="18"/>
                <w:szCs w:val="18"/>
                <w:lang w:val="hr-HR"/>
              </w:rPr>
            </w:pPr>
          </w:p>
        </w:tc>
        <w:tc>
          <w:tcPr>
            <w:tcW w:w="576" w:type="pct"/>
            <w:tcBorders>
              <w:top w:val="single" w:sz="12" w:space="0" w:color="auto"/>
            </w:tcBorders>
            <w:vAlign w:val="bottom"/>
          </w:tcPr>
          <w:p w:rsidR="00103C09" w:rsidRPr="001567C8" w:rsidRDefault="00103C09" w:rsidP="00F73AE6">
            <w:pPr>
              <w:pStyle w:val="Tot"/>
              <w:tabs>
                <w:tab w:val="clear" w:pos="1202"/>
              </w:tabs>
              <w:spacing w:line="140" w:lineRule="exact"/>
              <w:jc w:val="right"/>
              <w:rPr>
                <w:rFonts w:asciiTheme="minorHAnsi" w:hAnsiTheme="minorHAnsi" w:cs="Arial"/>
                <w:sz w:val="18"/>
                <w:szCs w:val="18"/>
                <w:lang w:val="hr-HR"/>
              </w:rPr>
            </w:pPr>
          </w:p>
        </w:tc>
      </w:tr>
      <w:tr w:rsidR="008402AC" w:rsidRPr="001567C8" w:rsidTr="008402AC">
        <w:trPr>
          <w:trHeight w:val="482"/>
        </w:trPr>
        <w:tc>
          <w:tcPr>
            <w:tcW w:w="957" w:type="pct"/>
            <w:vAlign w:val="bottom"/>
          </w:tcPr>
          <w:p w:rsidR="00FB2E98" w:rsidRPr="001567C8" w:rsidRDefault="00FB2E98" w:rsidP="00FB2E98">
            <w:pPr>
              <w:pStyle w:val="Tot"/>
              <w:spacing w:line="240" w:lineRule="exact"/>
              <w:rPr>
                <w:rFonts w:asciiTheme="minorHAnsi" w:hAnsiTheme="minorHAnsi" w:cs="Arial"/>
                <w:b/>
                <w:bCs/>
                <w:sz w:val="18"/>
                <w:szCs w:val="18"/>
                <w:lang w:val="hr-HR"/>
              </w:rPr>
            </w:pPr>
            <w:r>
              <w:rPr>
                <w:rFonts w:asciiTheme="minorHAnsi" w:hAnsiTheme="minorHAnsi" w:cs="Arial"/>
                <w:b/>
                <w:bCs/>
                <w:sz w:val="18"/>
                <w:szCs w:val="18"/>
                <w:lang w:val="hr-HR"/>
              </w:rPr>
              <w:t>Neto knjigovodstvena</w:t>
            </w:r>
            <w:r w:rsidRPr="001567C8">
              <w:rPr>
                <w:rFonts w:asciiTheme="minorHAnsi" w:hAnsiTheme="minorHAnsi" w:cs="Arial"/>
                <w:b/>
                <w:bCs/>
                <w:sz w:val="18"/>
                <w:szCs w:val="18"/>
                <w:lang w:val="hr-HR"/>
              </w:rPr>
              <w:t xml:space="preserve"> vrijednost </w:t>
            </w:r>
          </w:p>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77" w:type="pct"/>
            <w:tcBorders>
              <w:top w:val="nil"/>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46.621</w:t>
            </w:r>
          </w:p>
        </w:tc>
        <w:tc>
          <w:tcPr>
            <w:tcW w:w="578" w:type="pct"/>
            <w:tcBorders>
              <w:top w:val="nil"/>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771</w:t>
            </w:r>
          </w:p>
        </w:tc>
        <w:tc>
          <w:tcPr>
            <w:tcW w:w="578" w:type="pct"/>
            <w:tcBorders>
              <w:top w:val="nil"/>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1.440</w:t>
            </w:r>
          </w:p>
        </w:tc>
        <w:tc>
          <w:tcPr>
            <w:tcW w:w="578" w:type="pct"/>
            <w:tcBorders>
              <w:top w:val="nil"/>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708</w:t>
            </w:r>
          </w:p>
        </w:tc>
        <w:tc>
          <w:tcPr>
            <w:tcW w:w="578" w:type="pct"/>
            <w:tcBorders>
              <w:top w:val="nil"/>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49.540</w:t>
            </w:r>
          </w:p>
        </w:tc>
        <w:tc>
          <w:tcPr>
            <w:tcW w:w="578" w:type="pct"/>
            <w:tcBorders>
              <w:top w:val="nil"/>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4.017</w:t>
            </w:r>
          </w:p>
        </w:tc>
        <w:tc>
          <w:tcPr>
            <w:tcW w:w="576" w:type="pct"/>
            <w:tcBorders>
              <w:top w:val="nil"/>
              <w:left w:val="nil"/>
              <w:bottom w:val="single" w:sz="12" w:space="0" w:color="auto"/>
              <w:right w:val="nil"/>
            </w:tcBorders>
            <w:shd w:val="clear" w:color="auto" w:fill="auto"/>
            <w:vAlign w:val="bottom"/>
          </w:tcPr>
          <w:p w:rsidR="00103C09" w:rsidRPr="00CD3A2D" w:rsidRDefault="00103C09" w:rsidP="00F73AE6">
            <w:pPr>
              <w:jc w:val="right"/>
              <w:rPr>
                <w:rFonts w:ascii="Calibri" w:hAnsi="Calibri"/>
                <w:b/>
                <w:bCs/>
                <w:color w:val="000000"/>
                <w:sz w:val="18"/>
                <w:szCs w:val="18"/>
                <w:lang w:val="hr-HR"/>
              </w:rPr>
            </w:pPr>
            <w:r w:rsidRPr="00CD3A2D">
              <w:rPr>
                <w:rFonts w:ascii="Calibri" w:hAnsi="Calibri"/>
                <w:b/>
                <w:bCs/>
                <w:color w:val="000000"/>
                <w:sz w:val="18"/>
                <w:szCs w:val="18"/>
                <w:lang w:val="hr-HR"/>
              </w:rPr>
              <w:t>53.557</w:t>
            </w:r>
          </w:p>
        </w:tc>
      </w:tr>
      <w:tr w:rsidR="008402AC" w:rsidRPr="001567C8" w:rsidTr="008402AC">
        <w:trPr>
          <w:trHeight w:val="494"/>
        </w:trPr>
        <w:tc>
          <w:tcPr>
            <w:tcW w:w="957" w:type="pct"/>
            <w:vAlign w:val="bottom"/>
          </w:tcPr>
          <w:p w:rsidR="00FB2E98" w:rsidRPr="001567C8" w:rsidRDefault="00FB2E98" w:rsidP="00FB2E98">
            <w:pPr>
              <w:pStyle w:val="Tot"/>
              <w:spacing w:line="240" w:lineRule="exact"/>
              <w:rPr>
                <w:rFonts w:asciiTheme="minorHAnsi" w:hAnsiTheme="minorHAnsi" w:cs="Arial"/>
                <w:b/>
                <w:bCs/>
                <w:sz w:val="18"/>
                <w:szCs w:val="18"/>
                <w:lang w:val="hr-HR"/>
              </w:rPr>
            </w:pPr>
            <w:r>
              <w:rPr>
                <w:rFonts w:asciiTheme="minorHAnsi" w:hAnsiTheme="minorHAnsi" w:cs="Arial"/>
                <w:b/>
                <w:bCs/>
                <w:sz w:val="18"/>
                <w:szCs w:val="18"/>
                <w:lang w:val="hr-HR"/>
              </w:rPr>
              <w:t>Neto knjigovodstvena</w:t>
            </w:r>
            <w:r w:rsidRPr="001567C8">
              <w:rPr>
                <w:rFonts w:asciiTheme="minorHAnsi" w:hAnsiTheme="minorHAnsi" w:cs="Arial"/>
                <w:b/>
                <w:bCs/>
                <w:sz w:val="18"/>
                <w:szCs w:val="18"/>
                <w:lang w:val="hr-HR"/>
              </w:rPr>
              <w:t xml:space="preserve"> vrijednost </w:t>
            </w:r>
          </w:p>
          <w:p w:rsidR="00103C09" w:rsidRPr="001567C8" w:rsidRDefault="00103C09"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2016.</w:t>
            </w:r>
          </w:p>
        </w:tc>
        <w:tc>
          <w:tcPr>
            <w:tcW w:w="577" w:type="pct"/>
            <w:tcBorders>
              <w:top w:val="single" w:sz="12" w:space="0" w:color="auto"/>
              <w:left w:val="nil"/>
              <w:bottom w:val="single" w:sz="12" w:space="0" w:color="auto"/>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48.957</w:t>
            </w:r>
          </w:p>
        </w:tc>
        <w:tc>
          <w:tcPr>
            <w:tcW w:w="578" w:type="pct"/>
            <w:tcBorders>
              <w:top w:val="single" w:sz="12" w:space="0" w:color="auto"/>
              <w:left w:val="nil"/>
              <w:bottom w:val="single" w:sz="12" w:space="0" w:color="auto"/>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1.536</w:t>
            </w:r>
          </w:p>
        </w:tc>
        <w:tc>
          <w:tcPr>
            <w:tcW w:w="578" w:type="pct"/>
            <w:tcBorders>
              <w:top w:val="single" w:sz="12" w:space="0" w:color="auto"/>
              <w:left w:val="nil"/>
              <w:bottom w:val="single" w:sz="12" w:space="0" w:color="auto"/>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2.063</w:t>
            </w:r>
          </w:p>
        </w:tc>
        <w:tc>
          <w:tcPr>
            <w:tcW w:w="578" w:type="pct"/>
            <w:tcBorders>
              <w:top w:val="single" w:sz="12" w:space="0" w:color="auto"/>
              <w:left w:val="nil"/>
              <w:bottom w:val="single" w:sz="12" w:space="0" w:color="auto"/>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1.036</w:t>
            </w:r>
          </w:p>
        </w:tc>
        <w:tc>
          <w:tcPr>
            <w:tcW w:w="578" w:type="pct"/>
            <w:tcBorders>
              <w:top w:val="single" w:sz="12" w:space="0" w:color="auto"/>
              <w:left w:val="nil"/>
              <w:bottom w:val="single" w:sz="12" w:space="0" w:color="auto"/>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53.592</w:t>
            </w:r>
          </w:p>
        </w:tc>
        <w:tc>
          <w:tcPr>
            <w:tcW w:w="578" w:type="pct"/>
            <w:tcBorders>
              <w:top w:val="single" w:sz="12" w:space="0" w:color="auto"/>
              <w:left w:val="nil"/>
              <w:bottom w:val="single" w:sz="12" w:space="0" w:color="auto"/>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3.713</w:t>
            </w:r>
          </w:p>
        </w:tc>
        <w:tc>
          <w:tcPr>
            <w:tcW w:w="576" w:type="pct"/>
            <w:tcBorders>
              <w:top w:val="single" w:sz="12" w:space="0" w:color="auto"/>
              <w:left w:val="nil"/>
              <w:bottom w:val="single" w:sz="12" w:space="0" w:color="auto"/>
              <w:right w:val="nil"/>
            </w:tcBorders>
            <w:shd w:val="clear" w:color="auto" w:fill="auto"/>
            <w:vAlign w:val="bottom"/>
          </w:tcPr>
          <w:p w:rsidR="00103C09" w:rsidRPr="001567C8" w:rsidRDefault="00103C09" w:rsidP="00F73AE6">
            <w:pPr>
              <w:pStyle w:val="Tot"/>
              <w:tabs>
                <w:tab w:val="clear" w:pos="1202"/>
              </w:tabs>
              <w:jc w:val="right"/>
              <w:rPr>
                <w:rFonts w:asciiTheme="minorHAnsi" w:hAnsiTheme="minorHAnsi" w:cs="Arial"/>
                <w:b/>
                <w:sz w:val="18"/>
                <w:szCs w:val="18"/>
                <w:lang w:val="hr-HR"/>
              </w:rPr>
            </w:pPr>
            <w:r w:rsidRPr="00CD3A2D">
              <w:rPr>
                <w:rFonts w:ascii="Calibri" w:hAnsi="Calibri"/>
                <w:b/>
                <w:bCs/>
                <w:color w:val="000000"/>
                <w:sz w:val="18"/>
                <w:szCs w:val="18"/>
                <w:lang w:val="hr-HR"/>
              </w:rPr>
              <w:t>57.305</w:t>
            </w:r>
          </w:p>
        </w:tc>
      </w:tr>
    </w:tbl>
    <w:p w:rsidR="00F97A55" w:rsidRPr="001567C8" w:rsidRDefault="00F97A55" w:rsidP="000675A2">
      <w:pPr>
        <w:pStyle w:val="T1"/>
        <w:spacing w:before="120" w:line="300" w:lineRule="exact"/>
        <w:rPr>
          <w:rFonts w:asciiTheme="minorHAnsi" w:hAnsiTheme="minorHAnsi" w:cs="Arial"/>
          <w:sz w:val="22"/>
          <w:szCs w:val="22"/>
          <w:lang w:val="hr-HR"/>
        </w:rPr>
      </w:pPr>
    </w:p>
    <w:p w:rsidR="00815E7F" w:rsidRPr="001567C8" w:rsidRDefault="00815E7F" w:rsidP="000675A2">
      <w:pPr>
        <w:pStyle w:val="T1"/>
        <w:spacing w:after="0" w:line="240" w:lineRule="auto"/>
        <w:rPr>
          <w:rFonts w:asciiTheme="minorHAnsi" w:hAnsiTheme="minorHAnsi" w:cs="Arial"/>
          <w:sz w:val="22"/>
          <w:szCs w:val="22"/>
          <w:lang w:val="hr-HR"/>
        </w:rPr>
      </w:pPr>
    </w:p>
    <w:p w:rsidR="00CE620F" w:rsidRPr="001567C8" w:rsidRDefault="00CE620F" w:rsidP="00163BAA">
      <w:pPr>
        <w:pStyle w:val="T1"/>
        <w:spacing w:after="0" w:line="240" w:lineRule="auto"/>
        <w:rPr>
          <w:rFonts w:asciiTheme="minorHAnsi" w:hAnsiTheme="minorHAnsi" w:cs="Arial"/>
          <w:sz w:val="22"/>
          <w:szCs w:val="22"/>
          <w:lang w:val="hr-HR"/>
        </w:rPr>
      </w:pPr>
    </w:p>
    <w:p w:rsidR="00993A0D" w:rsidRPr="001567C8" w:rsidRDefault="00993A0D" w:rsidP="00163BAA">
      <w:pPr>
        <w:pStyle w:val="T1"/>
        <w:spacing w:after="0" w:line="240" w:lineRule="auto"/>
        <w:rPr>
          <w:rFonts w:asciiTheme="minorHAnsi" w:hAnsiTheme="minorHAnsi" w:cs="Arial"/>
          <w:sz w:val="22"/>
          <w:szCs w:val="22"/>
          <w:lang w:val="hr-HR"/>
        </w:rPr>
        <w:sectPr w:rsidR="00993A0D" w:rsidRPr="001567C8" w:rsidSect="003E2D7A">
          <w:pgSz w:w="11907" w:h="16840" w:code="9"/>
          <w:pgMar w:top="1418" w:right="1134" w:bottom="1134" w:left="1418" w:header="851" w:footer="851" w:gutter="0"/>
          <w:cols w:space="720"/>
          <w:noEndnote/>
        </w:sectPr>
      </w:pPr>
    </w:p>
    <w:p w:rsidR="004544EA" w:rsidRPr="001567C8" w:rsidRDefault="004544EA" w:rsidP="004544EA">
      <w:pPr>
        <w:pStyle w:val="T1"/>
        <w:spacing w:before="0" w:after="0" w:line="240" w:lineRule="auto"/>
        <w:rPr>
          <w:rFonts w:asciiTheme="minorHAnsi" w:hAnsiTheme="minorHAnsi" w:cs="Arial"/>
          <w:sz w:val="22"/>
          <w:szCs w:val="22"/>
          <w:lang w:val="hr-HR"/>
        </w:rPr>
      </w:pPr>
    </w:p>
    <w:p w:rsidR="00E03C30" w:rsidRPr="001567C8" w:rsidRDefault="00C9220F" w:rsidP="004544E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24</w:t>
      </w:r>
      <w:r w:rsidR="00993A0D" w:rsidRPr="001567C8">
        <w:rPr>
          <w:rFonts w:asciiTheme="minorHAnsi" w:hAnsiTheme="minorHAnsi" w:cs="Arial"/>
          <w:sz w:val="22"/>
          <w:szCs w:val="22"/>
          <w:lang w:val="hr-HR"/>
        </w:rPr>
        <w:t>.</w:t>
      </w:r>
      <w:r w:rsidR="002E1B74" w:rsidRPr="001567C8">
        <w:rPr>
          <w:rFonts w:asciiTheme="minorHAnsi" w:hAnsiTheme="minorHAnsi" w:cs="Arial"/>
          <w:sz w:val="22"/>
          <w:szCs w:val="22"/>
          <w:lang w:val="hr-HR"/>
        </w:rPr>
        <w:t xml:space="preserve"> </w:t>
      </w:r>
      <w:r w:rsidR="00993A0D" w:rsidRPr="001567C8">
        <w:rPr>
          <w:rFonts w:asciiTheme="minorHAnsi" w:hAnsiTheme="minorHAnsi" w:cs="Arial"/>
          <w:sz w:val="22"/>
          <w:szCs w:val="22"/>
          <w:lang w:val="hr-HR"/>
        </w:rPr>
        <w:tab/>
        <w:t xml:space="preserve">Nekretnine, postrojenja i oprema i nematerijalna imovina </w:t>
      </w:r>
      <w:r w:rsidR="003F32F9" w:rsidRPr="001567C8">
        <w:rPr>
          <w:rFonts w:asciiTheme="minorHAnsi" w:hAnsiTheme="minorHAnsi" w:cs="Arial"/>
          <w:sz w:val="22"/>
          <w:szCs w:val="22"/>
          <w:lang w:val="hr-HR"/>
        </w:rPr>
        <w:t>(nastavak)</w:t>
      </w:r>
    </w:p>
    <w:p w:rsidR="004544EA" w:rsidRPr="001567C8" w:rsidRDefault="004544EA" w:rsidP="004544EA">
      <w:pPr>
        <w:pStyle w:val="T1"/>
        <w:spacing w:before="0" w:after="0" w:line="240" w:lineRule="auto"/>
        <w:rPr>
          <w:rFonts w:asciiTheme="minorHAnsi" w:hAnsiTheme="minorHAnsi" w:cs="Arial"/>
          <w:sz w:val="22"/>
          <w:szCs w:val="22"/>
          <w:lang w:val="hr-HR"/>
        </w:rPr>
      </w:pPr>
    </w:p>
    <w:tbl>
      <w:tblPr>
        <w:tblW w:w="5364" w:type="pct"/>
        <w:tblInd w:w="-284" w:type="dxa"/>
        <w:tblLayout w:type="fixed"/>
        <w:tblCellMar>
          <w:left w:w="119" w:type="dxa"/>
          <w:right w:w="119" w:type="dxa"/>
        </w:tblCellMar>
        <w:tblLook w:val="0000" w:firstRow="0" w:lastRow="0" w:firstColumn="0" w:lastColumn="0" w:noHBand="0" w:noVBand="0"/>
      </w:tblPr>
      <w:tblGrid>
        <w:gridCol w:w="2092"/>
        <w:gridCol w:w="1134"/>
        <w:gridCol w:w="1136"/>
        <w:gridCol w:w="1136"/>
        <w:gridCol w:w="1134"/>
        <w:gridCol w:w="1136"/>
        <w:gridCol w:w="1136"/>
        <w:gridCol w:w="1132"/>
      </w:tblGrid>
      <w:tr w:rsidR="001A38DC" w:rsidRPr="001567C8" w:rsidTr="00797EE8">
        <w:trPr>
          <w:trHeight w:val="1209"/>
        </w:trPr>
        <w:tc>
          <w:tcPr>
            <w:tcW w:w="1042" w:type="pct"/>
            <w:shd w:val="clear" w:color="auto" w:fill="auto"/>
            <w:vAlign w:val="bottom"/>
          </w:tcPr>
          <w:p w:rsidR="00E03C30" w:rsidRPr="001567C8" w:rsidRDefault="00E03C30" w:rsidP="00E03C30">
            <w:pPr>
              <w:tabs>
                <w:tab w:val="left" w:pos="-1559"/>
              </w:tabs>
              <w:suppressAutoHyphens/>
              <w:rPr>
                <w:rFonts w:asciiTheme="minorHAnsi" w:hAnsiTheme="minorHAnsi" w:cs="Arial"/>
                <w:b/>
                <w:spacing w:val="-2"/>
                <w:sz w:val="18"/>
                <w:szCs w:val="18"/>
                <w:lang w:val="hr-HR"/>
              </w:rPr>
            </w:pPr>
            <w:r w:rsidRPr="001567C8">
              <w:rPr>
                <w:rFonts w:asciiTheme="minorHAnsi" w:hAnsiTheme="minorHAnsi" w:cs="Arial"/>
                <w:b/>
                <w:spacing w:val="-2"/>
                <w:sz w:val="18"/>
                <w:szCs w:val="18"/>
                <w:lang w:val="hr-HR"/>
              </w:rPr>
              <w:t>Banka</w:t>
            </w:r>
          </w:p>
          <w:p w:rsidR="00E03C30" w:rsidRPr="001567C8" w:rsidRDefault="00E03C30" w:rsidP="00E03C30">
            <w:pPr>
              <w:tabs>
                <w:tab w:val="left" w:pos="-1559"/>
              </w:tabs>
              <w:suppressAutoHyphens/>
              <w:rPr>
                <w:rFonts w:asciiTheme="minorHAnsi" w:hAnsiTheme="minorHAnsi" w:cs="Arial"/>
                <w:b/>
                <w:spacing w:val="-2"/>
                <w:sz w:val="18"/>
                <w:szCs w:val="18"/>
                <w:lang w:val="hr-HR"/>
              </w:rPr>
            </w:pPr>
          </w:p>
          <w:p w:rsidR="00E03C30" w:rsidRPr="001567C8" w:rsidRDefault="00E03C30" w:rsidP="00E03C30">
            <w:pPr>
              <w:tabs>
                <w:tab w:val="left" w:pos="-1559"/>
              </w:tabs>
              <w:suppressAutoHyphens/>
              <w:rPr>
                <w:rFonts w:asciiTheme="minorHAnsi" w:hAnsiTheme="minorHAnsi" w:cs="Arial"/>
                <w:b/>
                <w:spacing w:val="-2"/>
                <w:sz w:val="18"/>
                <w:szCs w:val="18"/>
                <w:lang w:val="hr-HR"/>
              </w:rPr>
            </w:pPr>
          </w:p>
          <w:p w:rsidR="00E03C30" w:rsidRPr="001567C8" w:rsidRDefault="00E03C30" w:rsidP="00E03C30">
            <w:pPr>
              <w:tabs>
                <w:tab w:val="left" w:pos="-1559"/>
              </w:tabs>
              <w:suppressAutoHyphens/>
              <w:rPr>
                <w:rFonts w:asciiTheme="minorHAnsi" w:hAnsiTheme="minorHAnsi" w:cs="Arial"/>
                <w:b/>
                <w:spacing w:val="-2"/>
                <w:sz w:val="18"/>
                <w:szCs w:val="18"/>
                <w:lang w:val="hr-HR"/>
              </w:rPr>
            </w:pPr>
          </w:p>
          <w:p w:rsidR="00E03C30" w:rsidRPr="001567C8" w:rsidRDefault="00E03C30" w:rsidP="00E03C30">
            <w:pPr>
              <w:tabs>
                <w:tab w:val="left" w:pos="-1559"/>
              </w:tabs>
              <w:suppressAutoHyphens/>
              <w:rPr>
                <w:rFonts w:asciiTheme="minorHAnsi" w:hAnsiTheme="minorHAnsi" w:cs="Arial"/>
                <w:spacing w:val="-2"/>
                <w:sz w:val="18"/>
                <w:szCs w:val="18"/>
                <w:lang w:val="hr-HR"/>
              </w:rPr>
            </w:pPr>
            <w:r w:rsidRPr="001567C8">
              <w:rPr>
                <w:rFonts w:asciiTheme="minorHAnsi" w:hAnsiTheme="minorHAnsi" w:cs="Arial"/>
                <w:b/>
                <w:spacing w:val="-2"/>
                <w:sz w:val="18"/>
                <w:szCs w:val="18"/>
                <w:lang w:val="hr-HR"/>
              </w:rPr>
              <w:t>201</w:t>
            </w:r>
            <w:r w:rsidR="00885C80" w:rsidRPr="001567C8">
              <w:rPr>
                <w:rFonts w:asciiTheme="minorHAnsi" w:hAnsiTheme="minorHAnsi" w:cs="Arial"/>
                <w:b/>
                <w:spacing w:val="-2"/>
                <w:sz w:val="18"/>
                <w:szCs w:val="18"/>
                <w:lang w:val="hr-HR"/>
              </w:rPr>
              <w:t>8</w:t>
            </w:r>
            <w:r w:rsidRPr="001567C8">
              <w:rPr>
                <w:rFonts w:asciiTheme="minorHAnsi" w:hAnsiTheme="minorHAnsi" w:cs="Arial"/>
                <w:b/>
                <w:spacing w:val="-2"/>
                <w:sz w:val="18"/>
                <w:szCs w:val="18"/>
                <w:lang w:val="hr-HR"/>
              </w:rPr>
              <w:t>.</w:t>
            </w:r>
          </w:p>
          <w:p w:rsidR="00E03C30" w:rsidRPr="001567C8" w:rsidRDefault="00E03C30" w:rsidP="00E03C30">
            <w:pPr>
              <w:tabs>
                <w:tab w:val="left" w:pos="-1559"/>
              </w:tabs>
              <w:suppressAutoHyphens/>
              <w:rPr>
                <w:rFonts w:asciiTheme="minorHAnsi" w:hAnsiTheme="minorHAnsi" w:cs="Arial"/>
                <w:spacing w:val="-2"/>
                <w:sz w:val="18"/>
                <w:szCs w:val="18"/>
                <w:lang w:val="hr-HR"/>
              </w:rPr>
            </w:pPr>
          </w:p>
        </w:tc>
        <w:tc>
          <w:tcPr>
            <w:tcW w:w="565" w:type="pct"/>
            <w:shd w:val="clear" w:color="auto" w:fill="auto"/>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Građevinski objekti</w:t>
            </w:r>
          </w:p>
        </w:tc>
        <w:tc>
          <w:tcPr>
            <w:tcW w:w="566" w:type="pct"/>
            <w:shd w:val="clear" w:color="auto" w:fill="auto"/>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Kompjutori</w:t>
            </w:r>
          </w:p>
        </w:tc>
        <w:tc>
          <w:tcPr>
            <w:tcW w:w="566" w:type="pct"/>
            <w:shd w:val="clear" w:color="auto" w:fill="auto"/>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Namještaj, oprema i vozila</w:t>
            </w:r>
          </w:p>
        </w:tc>
        <w:tc>
          <w:tcPr>
            <w:tcW w:w="565" w:type="pct"/>
            <w:shd w:val="clear" w:color="auto" w:fill="auto"/>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Nekretnine i oprema i nematerijalna imovina u pripremi</w:t>
            </w:r>
          </w:p>
        </w:tc>
        <w:tc>
          <w:tcPr>
            <w:tcW w:w="566" w:type="pct"/>
            <w:shd w:val="clear" w:color="auto" w:fill="auto"/>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 xml:space="preserve">Ukupno nekretnine, postrojenja i oprema </w:t>
            </w:r>
          </w:p>
        </w:tc>
        <w:tc>
          <w:tcPr>
            <w:tcW w:w="566" w:type="pct"/>
            <w:shd w:val="clear" w:color="auto" w:fill="auto"/>
          </w:tcPr>
          <w:p w:rsidR="00166902"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Nematerij</w:t>
            </w:r>
            <w:r w:rsidR="00166902" w:rsidRPr="001567C8">
              <w:rPr>
                <w:rFonts w:asciiTheme="minorHAnsi" w:hAnsiTheme="minorHAnsi" w:cs="Arial"/>
                <w:sz w:val="18"/>
                <w:szCs w:val="18"/>
                <w:lang w:val="hr-HR"/>
              </w:rPr>
              <w:t>a</w:t>
            </w:r>
            <w:r w:rsidR="0057461D" w:rsidRPr="001567C8">
              <w:rPr>
                <w:rFonts w:asciiTheme="minorHAnsi" w:hAnsiTheme="minorHAnsi" w:cs="Arial"/>
                <w:sz w:val="18"/>
                <w:szCs w:val="18"/>
                <w:lang w:val="hr-HR"/>
              </w:rPr>
              <w:t>-</w:t>
            </w:r>
            <w:r w:rsidRPr="001567C8">
              <w:rPr>
                <w:rFonts w:asciiTheme="minorHAnsi" w:hAnsiTheme="minorHAnsi" w:cs="Arial"/>
                <w:sz w:val="18"/>
                <w:szCs w:val="18"/>
                <w:lang w:val="hr-HR"/>
              </w:rPr>
              <w:t>lna</w:t>
            </w:r>
          </w:p>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 xml:space="preserve"> imovina</w:t>
            </w:r>
          </w:p>
        </w:tc>
        <w:tc>
          <w:tcPr>
            <w:tcW w:w="564" w:type="pct"/>
            <w:shd w:val="clear" w:color="auto" w:fill="auto"/>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Ukupno</w:t>
            </w:r>
          </w:p>
        </w:tc>
      </w:tr>
      <w:tr w:rsidR="001A38DC" w:rsidRPr="001567C8" w:rsidTr="00797EE8">
        <w:trPr>
          <w:trHeight w:val="218"/>
        </w:trPr>
        <w:tc>
          <w:tcPr>
            <w:tcW w:w="1042" w:type="pct"/>
            <w:shd w:val="clear" w:color="auto" w:fill="auto"/>
            <w:vAlign w:val="bottom"/>
          </w:tcPr>
          <w:p w:rsidR="00E03C30" w:rsidRPr="001567C8" w:rsidRDefault="00E03C30" w:rsidP="00E03C30">
            <w:pPr>
              <w:tabs>
                <w:tab w:val="left" w:pos="-1559"/>
              </w:tabs>
              <w:suppressAutoHyphens/>
              <w:rPr>
                <w:rFonts w:asciiTheme="minorHAnsi" w:hAnsiTheme="minorHAnsi" w:cs="Arial"/>
                <w:b/>
                <w:spacing w:val="-2"/>
                <w:sz w:val="18"/>
                <w:szCs w:val="18"/>
                <w:lang w:val="hr-HR"/>
              </w:rPr>
            </w:pPr>
          </w:p>
        </w:tc>
        <w:tc>
          <w:tcPr>
            <w:tcW w:w="565" w:type="pct"/>
            <w:shd w:val="clear" w:color="auto" w:fill="auto"/>
            <w:vAlign w:val="bottom"/>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66" w:type="pct"/>
            <w:shd w:val="clear" w:color="auto" w:fill="auto"/>
            <w:vAlign w:val="bottom"/>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66" w:type="pct"/>
            <w:shd w:val="clear" w:color="auto" w:fill="auto"/>
            <w:vAlign w:val="bottom"/>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65" w:type="pct"/>
            <w:shd w:val="clear" w:color="auto" w:fill="auto"/>
            <w:vAlign w:val="bottom"/>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66" w:type="pct"/>
            <w:shd w:val="clear" w:color="auto" w:fill="auto"/>
            <w:vAlign w:val="bottom"/>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66" w:type="pct"/>
            <w:shd w:val="clear" w:color="auto" w:fill="auto"/>
            <w:vAlign w:val="bottom"/>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64" w:type="pct"/>
            <w:shd w:val="clear" w:color="auto" w:fill="auto"/>
            <w:vAlign w:val="bottom"/>
          </w:tcPr>
          <w:p w:rsidR="00E03C30" w:rsidRPr="001567C8" w:rsidRDefault="00E03C30" w:rsidP="00E03C30">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r>
      <w:tr w:rsidR="001A38DC" w:rsidRPr="001567C8" w:rsidTr="00797EE8">
        <w:trPr>
          <w:trHeight w:val="276"/>
        </w:trPr>
        <w:tc>
          <w:tcPr>
            <w:tcW w:w="1042" w:type="pct"/>
            <w:shd w:val="clear" w:color="auto" w:fill="auto"/>
            <w:vAlign w:val="bottom"/>
          </w:tcPr>
          <w:p w:rsidR="00E03C30" w:rsidRPr="001567C8" w:rsidRDefault="00E03C30" w:rsidP="00E03C30">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Nabavna vrijednost</w:t>
            </w:r>
          </w:p>
        </w:tc>
        <w:tc>
          <w:tcPr>
            <w:tcW w:w="565" w:type="pct"/>
            <w:shd w:val="clear" w:color="auto" w:fill="auto"/>
            <w:vAlign w:val="bottom"/>
          </w:tcPr>
          <w:p w:rsidR="00E03C30" w:rsidRPr="001567C8" w:rsidRDefault="00E03C30" w:rsidP="00E03C30">
            <w:pPr>
              <w:pStyle w:val="TT"/>
              <w:jc w:val="right"/>
              <w:rPr>
                <w:rFonts w:asciiTheme="minorHAnsi" w:hAnsiTheme="minorHAnsi" w:cs="Arial"/>
                <w:spacing w:val="-3"/>
                <w:sz w:val="18"/>
                <w:szCs w:val="18"/>
                <w:lang w:val="hr-HR"/>
              </w:rPr>
            </w:pPr>
          </w:p>
        </w:tc>
        <w:tc>
          <w:tcPr>
            <w:tcW w:w="566" w:type="pct"/>
            <w:shd w:val="clear" w:color="auto" w:fill="auto"/>
            <w:vAlign w:val="bottom"/>
          </w:tcPr>
          <w:p w:rsidR="00E03C30" w:rsidRPr="001567C8" w:rsidRDefault="00E03C30" w:rsidP="00E03C30">
            <w:pPr>
              <w:pStyle w:val="TT"/>
              <w:jc w:val="right"/>
              <w:rPr>
                <w:rFonts w:asciiTheme="minorHAnsi" w:hAnsiTheme="minorHAnsi" w:cs="Arial"/>
                <w:spacing w:val="-3"/>
                <w:sz w:val="18"/>
                <w:szCs w:val="18"/>
                <w:lang w:val="hr-HR"/>
              </w:rPr>
            </w:pPr>
          </w:p>
        </w:tc>
        <w:tc>
          <w:tcPr>
            <w:tcW w:w="566" w:type="pct"/>
            <w:shd w:val="clear" w:color="auto" w:fill="auto"/>
            <w:vAlign w:val="bottom"/>
          </w:tcPr>
          <w:p w:rsidR="00E03C30" w:rsidRPr="001567C8" w:rsidRDefault="00E03C30" w:rsidP="00E03C30">
            <w:pPr>
              <w:pStyle w:val="TT"/>
              <w:jc w:val="right"/>
              <w:rPr>
                <w:rFonts w:asciiTheme="minorHAnsi" w:hAnsiTheme="minorHAnsi" w:cs="Arial"/>
                <w:spacing w:val="-3"/>
                <w:sz w:val="18"/>
                <w:szCs w:val="18"/>
                <w:lang w:val="hr-HR"/>
              </w:rPr>
            </w:pPr>
          </w:p>
        </w:tc>
        <w:tc>
          <w:tcPr>
            <w:tcW w:w="565" w:type="pct"/>
            <w:shd w:val="clear" w:color="auto" w:fill="auto"/>
            <w:vAlign w:val="bottom"/>
          </w:tcPr>
          <w:p w:rsidR="00E03C30" w:rsidRPr="001567C8" w:rsidRDefault="00E03C30" w:rsidP="00E03C30">
            <w:pPr>
              <w:pStyle w:val="TT"/>
              <w:jc w:val="right"/>
              <w:rPr>
                <w:rFonts w:asciiTheme="minorHAnsi" w:hAnsiTheme="minorHAnsi" w:cs="Arial"/>
                <w:spacing w:val="-3"/>
                <w:sz w:val="18"/>
                <w:szCs w:val="18"/>
                <w:lang w:val="hr-HR"/>
              </w:rPr>
            </w:pPr>
          </w:p>
        </w:tc>
        <w:tc>
          <w:tcPr>
            <w:tcW w:w="566" w:type="pct"/>
            <w:shd w:val="clear" w:color="auto" w:fill="auto"/>
            <w:vAlign w:val="bottom"/>
          </w:tcPr>
          <w:p w:rsidR="00E03C30" w:rsidRPr="001567C8" w:rsidRDefault="00E03C30" w:rsidP="00E03C30">
            <w:pPr>
              <w:pStyle w:val="TT"/>
              <w:jc w:val="right"/>
              <w:rPr>
                <w:rFonts w:asciiTheme="minorHAnsi" w:hAnsiTheme="minorHAnsi" w:cs="Arial"/>
                <w:spacing w:val="-3"/>
                <w:sz w:val="18"/>
                <w:szCs w:val="18"/>
                <w:lang w:val="hr-HR"/>
              </w:rPr>
            </w:pPr>
          </w:p>
        </w:tc>
        <w:tc>
          <w:tcPr>
            <w:tcW w:w="566" w:type="pct"/>
            <w:shd w:val="clear" w:color="auto" w:fill="auto"/>
            <w:vAlign w:val="bottom"/>
          </w:tcPr>
          <w:p w:rsidR="00E03C30" w:rsidRPr="001567C8" w:rsidRDefault="00E03C30" w:rsidP="00E03C30">
            <w:pPr>
              <w:pStyle w:val="TT"/>
              <w:jc w:val="right"/>
              <w:rPr>
                <w:rFonts w:asciiTheme="minorHAnsi" w:hAnsiTheme="minorHAnsi" w:cs="Arial"/>
                <w:spacing w:val="-3"/>
                <w:sz w:val="18"/>
                <w:szCs w:val="18"/>
                <w:lang w:val="hr-HR"/>
              </w:rPr>
            </w:pPr>
          </w:p>
        </w:tc>
        <w:tc>
          <w:tcPr>
            <w:tcW w:w="564" w:type="pct"/>
            <w:shd w:val="clear" w:color="auto" w:fill="auto"/>
            <w:vAlign w:val="bottom"/>
          </w:tcPr>
          <w:p w:rsidR="00E03C30" w:rsidRPr="001567C8" w:rsidRDefault="00E03C30" w:rsidP="00E03C30">
            <w:pPr>
              <w:pStyle w:val="TT"/>
              <w:jc w:val="right"/>
              <w:rPr>
                <w:rFonts w:asciiTheme="minorHAnsi" w:hAnsiTheme="minorHAnsi" w:cs="Arial"/>
                <w:spacing w:val="-3"/>
                <w:sz w:val="18"/>
                <w:szCs w:val="18"/>
                <w:lang w:val="hr-HR"/>
              </w:rPr>
            </w:pPr>
          </w:p>
        </w:tc>
      </w:tr>
      <w:tr w:rsidR="008402AC" w:rsidRPr="001567C8" w:rsidTr="008402AC">
        <w:trPr>
          <w:trHeight w:val="448"/>
        </w:trPr>
        <w:tc>
          <w:tcPr>
            <w:tcW w:w="1042" w:type="pct"/>
            <w:shd w:val="clear" w:color="auto" w:fill="auto"/>
            <w:vAlign w:val="bottom"/>
          </w:tcPr>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65"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77.102</w:t>
            </w:r>
          </w:p>
        </w:tc>
        <w:tc>
          <w:tcPr>
            <w:tcW w:w="566"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9.589</w:t>
            </w:r>
          </w:p>
        </w:tc>
        <w:tc>
          <w:tcPr>
            <w:tcW w:w="566"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15.177</w:t>
            </w:r>
          </w:p>
        </w:tc>
        <w:tc>
          <w:tcPr>
            <w:tcW w:w="565"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707</w:t>
            </w:r>
          </w:p>
        </w:tc>
        <w:tc>
          <w:tcPr>
            <w:tcW w:w="566"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102.575</w:t>
            </w:r>
          </w:p>
        </w:tc>
        <w:tc>
          <w:tcPr>
            <w:tcW w:w="566"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28.013</w:t>
            </w:r>
          </w:p>
        </w:tc>
        <w:tc>
          <w:tcPr>
            <w:tcW w:w="564"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130.588</w:t>
            </w:r>
          </w:p>
        </w:tc>
      </w:tr>
      <w:tr w:rsidR="008402AC" w:rsidRPr="001567C8" w:rsidTr="008402AC">
        <w:trPr>
          <w:trHeight w:val="218"/>
        </w:trPr>
        <w:tc>
          <w:tcPr>
            <w:tcW w:w="1042" w:type="pct"/>
            <w:shd w:val="clear" w:color="auto" w:fill="auto"/>
            <w:vAlign w:val="bottom"/>
          </w:tcPr>
          <w:p w:rsidR="005413ED" w:rsidRPr="001567C8" w:rsidRDefault="005413ED" w:rsidP="005413ED">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Povećanje</w:t>
            </w:r>
          </w:p>
        </w:tc>
        <w:tc>
          <w:tcPr>
            <w:tcW w:w="565"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6"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6"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5"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3.470</w:t>
            </w:r>
          </w:p>
        </w:tc>
        <w:tc>
          <w:tcPr>
            <w:tcW w:w="566"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3.470</w:t>
            </w:r>
          </w:p>
        </w:tc>
        <w:tc>
          <w:tcPr>
            <w:tcW w:w="566"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4"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3.470</w:t>
            </w:r>
          </w:p>
        </w:tc>
      </w:tr>
      <w:tr w:rsidR="008402AC" w:rsidRPr="001567C8" w:rsidTr="008402AC">
        <w:trPr>
          <w:trHeight w:val="886"/>
        </w:trPr>
        <w:tc>
          <w:tcPr>
            <w:tcW w:w="1042" w:type="pct"/>
            <w:shd w:val="clear" w:color="auto" w:fill="auto"/>
            <w:vAlign w:val="bottom"/>
          </w:tcPr>
          <w:p w:rsidR="005413ED" w:rsidRPr="001567C8" w:rsidRDefault="005413ED" w:rsidP="005413ED">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Prijenos s nekretnina, postrojenja i opreme i nematerijalne imovine u pripremi</w:t>
            </w:r>
          </w:p>
        </w:tc>
        <w:tc>
          <w:tcPr>
            <w:tcW w:w="565" w:type="pct"/>
            <w:tcBorders>
              <w:top w:val="nil"/>
              <w:left w:val="nil"/>
              <w:bottom w:val="nil"/>
              <w:right w:val="nil"/>
            </w:tcBorders>
            <w:shd w:val="clear" w:color="auto" w:fill="auto"/>
            <w:vAlign w:val="center"/>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6" w:type="pct"/>
            <w:tcBorders>
              <w:top w:val="nil"/>
              <w:left w:val="nil"/>
              <w:bottom w:val="nil"/>
              <w:right w:val="nil"/>
            </w:tcBorders>
            <w:shd w:val="clear" w:color="auto" w:fill="auto"/>
            <w:vAlign w:val="center"/>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780 </w:t>
            </w:r>
          </w:p>
        </w:tc>
        <w:tc>
          <w:tcPr>
            <w:tcW w:w="566" w:type="pct"/>
            <w:tcBorders>
              <w:top w:val="nil"/>
              <w:left w:val="nil"/>
              <w:bottom w:val="nil"/>
              <w:right w:val="nil"/>
            </w:tcBorders>
            <w:shd w:val="clear" w:color="auto" w:fill="auto"/>
            <w:vAlign w:val="center"/>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821 </w:t>
            </w:r>
          </w:p>
        </w:tc>
        <w:tc>
          <w:tcPr>
            <w:tcW w:w="565" w:type="pct"/>
            <w:tcBorders>
              <w:top w:val="nil"/>
              <w:left w:val="nil"/>
              <w:bottom w:val="nil"/>
              <w:right w:val="nil"/>
            </w:tcBorders>
            <w:shd w:val="clear" w:color="auto" w:fill="auto"/>
            <w:vAlign w:val="center"/>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(3.282)</w:t>
            </w:r>
          </w:p>
        </w:tc>
        <w:tc>
          <w:tcPr>
            <w:tcW w:w="566" w:type="pct"/>
            <w:tcBorders>
              <w:top w:val="nil"/>
              <w:left w:val="nil"/>
              <w:bottom w:val="nil"/>
              <w:right w:val="nil"/>
            </w:tcBorders>
            <w:shd w:val="clear" w:color="auto" w:fill="auto"/>
            <w:vAlign w:val="center"/>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(1.681)</w:t>
            </w:r>
          </w:p>
        </w:tc>
        <w:tc>
          <w:tcPr>
            <w:tcW w:w="566" w:type="pct"/>
            <w:tcBorders>
              <w:top w:val="nil"/>
              <w:left w:val="nil"/>
              <w:bottom w:val="nil"/>
              <w:right w:val="nil"/>
            </w:tcBorders>
            <w:shd w:val="clear" w:color="auto" w:fill="auto"/>
            <w:vAlign w:val="center"/>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1.681</w:t>
            </w:r>
          </w:p>
        </w:tc>
        <w:tc>
          <w:tcPr>
            <w:tcW w:w="564" w:type="pct"/>
            <w:tcBorders>
              <w:top w:val="nil"/>
              <w:left w:val="nil"/>
              <w:bottom w:val="nil"/>
              <w:right w:val="nil"/>
            </w:tcBorders>
            <w:shd w:val="clear" w:color="auto" w:fill="auto"/>
            <w:vAlign w:val="center"/>
          </w:tcPr>
          <w:p w:rsidR="005413ED" w:rsidRPr="00CD3A2D" w:rsidRDefault="008402AC"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r>
      <w:tr w:rsidR="008402AC" w:rsidRPr="001567C8" w:rsidTr="008402AC">
        <w:trPr>
          <w:trHeight w:val="218"/>
        </w:trPr>
        <w:tc>
          <w:tcPr>
            <w:tcW w:w="1042" w:type="pct"/>
            <w:shd w:val="clear" w:color="auto" w:fill="auto"/>
            <w:vAlign w:val="bottom"/>
          </w:tcPr>
          <w:p w:rsidR="005413ED" w:rsidRPr="001567C8" w:rsidRDefault="005413ED" w:rsidP="005413ED">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Rashod i otpis</w:t>
            </w:r>
          </w:p>
        </w:tc>
        <w:tc>
          <w:tcPr>
            <w:tcW w:w="565" w:type="pct"/>
            <w:tcBorders>
              <w:top w:val="nil"/>
              <w:left w:val="nil"/>
              <w:bottom w:val="single" w:sz="4" w:space="0" w:color="auto"/>
              <w:right w:val="nil"/>
            </w:tcBorders>
            <w:shd w:val="clear" w:color="auto" w:fill="auto"/>
            <w:vAlign w:val="bottom"/>
          </w:tcPr>
          <w:p w:rsidR="005413ED" w:rsidRPr="00CD3A2D" w:rsidRDefault="008402AC"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566"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(1.091)</w:t>
            </w:r>
          </w:p>
        </w:tc>
        <w:tc>
          <w:tcPr>
            <w:tcW w:w="566"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(1.086)</w:t>
            </w:r>
          </w:p>
        </w:tc>
        <w:tc>
          <w:tcPr>
            <w:tcW w:w="565" w:type="pct"/>
            <w:tcBorders>
              <w:top w:val="nil"/>
              <w:left w:val="nil"/>
              <w:bottom w:val="single" w:sz="4" w:space="0" w:color="auto"/>
              <w:right w:val="nil"/>
            </w:tcBorders>
            <w:shd w:val="clear" w:color="auto" w:fill="auto"/>
            <w:vAlign w:val="bottom"/>
          </w:tcPr>
          <w:p w:rsidR="005413ED" w:rsidRPr="00CD3A2D" w:rsidRDefault="008402AC"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566"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(2.177)</w:t>
            </w:r>
          </w:p>
        </w:tc>
        <w:tc>
          <w:tcPr>
            <w:tcW w:w="566"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4"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(2.177)</w:t>
            </w:r>
          </w:p>
        </w:tc>
      </w:tr>
      <w:tr w:rsidR="008402AC" w:rsidRPr="001567C8" w:rsidTr="008402AC">
        <w:trPr>
          <w:trHeight w:val="437"/>
        </w:trPr>
        <w:tc>
          <w:tcPr>
            <w:tcW w:w="1042" w:type="pct"/>
            <w:shd w:val="clear" w:color="auto" w:fill="auto"/>
            <w:vAlign w:val="bottom"/>
          </w:tcPr>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2018.</w:t>
            </w:r>
          </w:p>
        </w:tc>
        <w:tc>
          <w:tcPr>
            <w:tcW w:w="565"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77.102</w:t>
            </w:r>
          </w:p>
        </w:tc>
        <w:tc>
          <w:tcPr>
            <w:tcW w:w="566"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9.278</w:t>
            </w:r>
          </w:p>
        </w:tc>
        <w:tc>
          <w:tcPr>
            <w:tcW w:w="566"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14.912</w:t>
            </w:r>
          </w:p>
        </w:tc>
        <w:tc>
          <w:tcPr>
            <w:tcW w:w="565"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895</w:t>
            </w:r>
          </w:p>
        </w:tc>
        <w:tc>
          <w:tcPr>
            <w:tcW w:w="566"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102.187</w:t>
            </w:r>
          </w:p>
        </w:tc>
        <w:tc>
          <w:tcPr>
            <w:tcW w:w="566"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29.694</w:t>
            </w:r>
          </w:p>
        </w:tc>
        <w:tc>
          <w:tcPr>
            <w:tcW w:w="564"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131.881</w:t>
            </w:r>
          </w:p>
        </w:tc>
      </w:tr>
      <w:tr w:rsidR="008402AC" w:rsidRPr="001567C8" w:rsidTr="008402AC">
        <w:trPr>
          <w:trHeight w:val="276"/>
        </w:trPr>
        <w:tc>
          <w:tcPr>
            <w:tcW w:w="1042" w:type="pct"/>
            <w:shd w:val="clear" w:color="auto" w:fill="auto"/>
            <w:vAlign w:val="bottom"/>
          </w:tcPr>
          <w:p w:rsidR="00E03C30" w:rsidRPr="001567C8" w:rsidRDefault="00FB2E98" w:rsidP="00E03C30">
            <w:pPr>
              <w:pStyle w:val="TT"/>
              <w:spacing w:line="240" w:lineRule="exact"/>
              <w:rPr>
                <w:rFonts w:asciiTheme="minorHAnsi" w:hAnsiTheme="minorHAnsi" w:cs="Arial"/>
                <w:sz w:val="18"/>
                <w:szCs w:val="18"/>
                <w:lang w:val="hr-HR"/>
              </w:rPr>
            </w:pPr>
            <w:r>
              <w:rPr>
                <w:rFonts w:asciiTheme="minorHAnsi" w:hAnsiTheme="minorHAnsi" w:cs="Arial"/>
                <w:sz w:val="18"/>
                <w:szCs w:val="18"/>
                <w:lang w:val="hr-HR"/>
              </w:rPr>
              <w:t>Amortizacija i i</w:t>
            </w:r>
            <w:r w:rsidRPr="001567C8">
              <w:rPr>
                <w:rFonts w:asciiTheme="minorHAnsi" w:hAnsiTheme="minorHAnsi" w:cs="Arial"/>
                <w:sz w:val="18"/>
                <w:szCs w:val="18"/>
                <w:lang w:val="hr-HR"/>
              </w:rPr>
              <w:t>spravak vrijednosti</w:t>
            </w:r>
          </w:p>
        </w:tc>
        <w:tc>
          <w:tcPr>
            <w:tcW w:w="565" w:type="pct"/>
            <w:tcBorders>
              <w:top w:val="single" w:sz="12" w:space="0" w:color="auto"/>
            </w:tcBorders>
            <w:shd w:val="clear" w:color="auto" w:fill="auto"/>
            <w:vAlign w:val="bottom"/>
          </w:tcPr>
          <w:p w:rsidR="00E03C30" w:rsidRPr="001567C8" w:rsidRDefault="00E03C30" w:rsidP="005413ED">
            <w:pPr>
              <w:pStyle w:val="TT"/>
              <w:tabs>
                <w:tab w:val="clear" w:pos="1202"/>
              </w:tabs>
              <w:jc w:val="right"/>
              <w:rPr>
                <w:rFonts w:asciiTheme="minorHAnsi" w:hAnsiTheme="minorHAnsi" w:cstheme="minorHAnsi"/>
                <w:sz w:val="18"/>
                <w:szCs w:val="18"/>
                <w:lang w:val="hr-HR"/>
              </w:rPr>
            </w:pPr>
          </w:p>
        </w:tc>
        <w:tc>
          <w:tcPr>
            <w:tcW w:w="566" w:type="pct"/>
            <w:tcBorders>
              <w:top w:val="single" w:sz="12" w:space="0" w:color="auto"/>
            </w:tcBorders>
            <w:shd w:val="clear" w:color="auto" w:fill="auto"/>
            <w:vAlign w:val="bottom"/>
          </w:tcPr>
          <w:p w:rsidR="00E03C30" w:rsidRPr="001567C8" w:rsidRDefault="00E03C30" w:rsidP="005413ED">
            <w:pPr>
              <w:pStyle w:val="TT"/>
              <w:tabs>
                <w:tab w:val="clear" w:pos="1202"/>
              </w:tabs>
              <w:jc w:val="right"/>
              <w:rPr>
                <w:rFonts w:asciiTheme="minorHAnsi" w:hAnsiTheme="minorHAnsi" w:cstheme="minorHAnsi"/>
                <w:sz w:val="18"/>
                <w:szCs w:val="18"/>
                <w:lang w:val="hr-HR"/>
              </w:rPr>
            </w:pPr>
          </w:p>
        </w:tc>
        <w:tc>
          <w:tcPr>
            <w:tcW w:w="566" w:type="pct"/>
            <w:tcBorders>
              <w:top w:val="single" w:sz="12" w:space="0" w:color="auto"/>
            </w:tcBorders>
            <w:shd w:val="clear" w:color="auto" w:fill="auto"/>
            <w:vAlign w:val="bottom"/>
          </w:tcPr>
          <w:p w:rsidR="00E03C30" w:rsidRPr="001567C8" w:rsidRDefault="00E03C30" w:rsidP="005413ED">
            <w:pPr>
              <w:pStyle w:val="TT"/>
              <w:tabs>
                <w:tab w:val="clear" w:pos="1202"/>
              </w:tabs>
              <w:jc w:val="right"/>
              <w:rPr>
                <w:rFonts w:asciiTheme="minorHAnsi" w:hAnsiTheme="minorHAnsi" w:cstheme="minorHAnsi"/>
                <w:sz w:val="18"/>
                <w:szCs w:val="18"/>
                <w:lang w:val="hr-HR"/>
              </w:rPr>
            </w:pPr>
          </w:p>
        </w:tc>
        <w:tc>
          <w:tcPr>
            <w:tcW w:w="565" w:type="pct"/>
            <w:tcBorders>
              <w:top w:val="single" w:sz="12" w:space="0" w:color="auto"/>
            </w:tcBorders>
            <w:shd w:val="clear" w:color="auto" w:fill="auto"/>
            <w:vAlign w:val="bottom"/>
          </w:tcPr>
          <w:p w:rsidR="00E03C30" w:rsidRPr="001567C8" w:rsidRDefault="00E03C30" w:rsidP="005413ED">
            <w:pPr>
              <w:pStyle w:val="TT"/>
              <w:tabs>
                <w:tab w:val="clear" w:pos="1202"/>
              </w:tabs>
              <w:jc w:val="right"/>
              <w:rPr>
                <w:rFonts w:asciiTheme="minorHAnsi" w:hAnsiTheme="minorHAnsi" w:cstheme="minorHAnsi"/>
                <w:sz w:val="18"/>
                <w:szCs w:val="18"/>
                <w:lang w:val="hr-HR"/>
              </w:rPr>
            </w:pPr>
          </w:p>
        </w:tc>
        <w:tc>
          <w:tcPr>
            <w:tcW w:w="566" w:type="pct"/>
            <w:tcBorders>
              <w:top w:val="single" w:sz="12" w:space="0" w:color="auto"/>
            </w:tcBorders>
            <w:shd w:val="clear" w:color="auto" w:fill="auto"/>
            <w:vAlign w:val="bottom"/>
          </w:tcPr>
          <w:p w:rsidR="00E03C30" w:rsidRPr="001567C8" w:rsidRDefault="00E03C30" w:rsidP="005413ED">
            <w:pPr>
              <w:pStyle w:val="TT"/>
              <w:tabs>
                <w:tab w:val="clear" w:pos="1202"/>
              </w:tabs>
              <w:jc w:val="right"/>
              <w:rPr>
                <w:rFonts w:asciiTheme="minorHAnsi" w:hAnsiTheme="minorHAnsi" w:cstheme="minorHAnsi"/>
                <w:sz w:val="18"/>
                <w:szCs w:val="18"/>
                <w:lang w:val="hr-HR"/>
              </w:rPr>
            </w:pPr>
          </w:p>
        </w:tc>
        <w:tc>
          <w:tcPr>
            <w:tcW w:w="566" w:type="pct"/>
            <w:tcBorders>
              <w:top w:val="single" w:sz="12" w:space="0" w:color="auto"/>
            </w:tcBorders>
            <w:shd w:val="clear" w:color="auto" w:fill="auto"/>
            <w:vAlign w:val="bottom"/>
          </w:tcPr>
          <w:p w:rsidR="00E03C30" w:rsidRPr="001567C8" w:rsidRDefault="00E03C30" w:rsidP="005413ED">
            <w:pPr>
              <w:pStyle w:val="TT"/>
              <w:tabs>
                <w:tab w:val="clear" w:pos="1202"/>
              </w:tabs>
              <w:jc w:val="right"/>
              <w:rPr>
                <w:rFonts w:asciiTheme="minorHAnsi" w:hAnsiTheme="minorHAnsi" w:cstheme="minorHAnsi"/>
                <w:sz w:val="18"/>
                <w:szCs w:val="18"/>
                <w:lang w:val="hr-HR"/>
              </w:rPr>
            </w:pPr>
          </w:p>
        </w:tc>
        <w:tc>
          <w:tcPr>
            <w:tcW w:w="564" w:type="pct"/>
            <w:tcBorders>
              <w:top w:val="single" w:sz="12" w:space="0" w:color="auto"/>
            </w:tcBorders>
            <w:shd w:val="clear" w:color="auto" w:fill="auto"/>
            <w:vAlign w:val="bottom"/>
          </w:tcPr>
          <w:p w:rsidR="00E03C30" w:rsidRPr="001567C8" w:rsidRDefault="00E03C30" w:rsidP="005413ED">
            <w:pPr>
              <w:pStyle w:val="TT"/>
              <w:tabs>
                <w:tab w:val="clear" w:pos="1202"/>
              </w:tabs>
              <w:jc w:val="right"/>
              <w:rPr>
                <w:rFonts w:asciiTheme="minorHAnsi" w:hAnsiTheme="minorHAnsi" w:cstheme="minorHAnsi"/>
                <w:sz w:val="18"/>
                <w:szCs w:val="18"/>
                <w:lang w:val="hr-HR"/>
              </w:rPr>
            </w:pPr>
          </w:p>
        </w:tc>
      </w:tr>
      <w:tr w:rsidR="008402AC" w:rsidRPr="001567C8" w:rsidTr="008402AC">
        <w:trPr>
          <w:trHeight w:val="448"/>
        </w:trPr>
        <w:tc>
          <w:tcPr>
            <w:tcW w:w="1042" w:type="pct"/>
            <w:shd w:val="clear" w:color="auto" w:fill="auto"/>
            <w:vAlign w:val="bottom"/>
          </w:tcPr>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65"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30.481</w:t>
            </w:r>
          </w:p>
        </w:tc>
        <w:tc>
          <w:tcPr>
            <w:tcW w:w="566"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8.823</w:t>
            </w:r>
          </w:p>
        </w:tc>
        <w:tc>
          <w:tcPr>
            <w:tcW w:w="566"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13.769</w:t>
            </w:r>
          </w:p>
        </w:tc>
        <w:tc>
          <w:tcPr>
            <w:tcW w:w="565"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w:t>
            </w:r>
          </w:p>
        </w:tc>
        <w:tc>
          <w:tcPr>
            <w:tcW w:w="566"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53.073</w:t>
            </w:r>
          </w:p>
        </w:tc>
        <w:tc>
          <w:tcPr>
            <w:tcW w:w="566"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24.001</w:t>
            </w:r>
          </w:p>
        </w:tc>
        <w:tc>
          <w:tcPr>
            <w:tcW w:w="564" w:type="pct"/>
            <w:tcBorders>
              <w:top w:val="nil"/>
              <w:left w:val="nil"/>
              <w:bottom w:val="nil"/>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77.074</w:t>
            </w:r>
          </w:p>
        </w:tc>
      </w:tr>
      <w:tr w:rsidR="008402AC" w:rsidRPr="001567C8" w:rsidTr="008402AC">
        <w:trPr>
          <w:trHeight w:val="218"/>
        </w:trPr>
        <w:tc>
          <w:tcPr>
            <w:tcW w:w="1042" w:type="pct"/>
            <w:shd w:val="clear" w:color="auto" w:fill="auto"/>
            <w:vAlign w:val="bottom"/>
          </w:tcPr>
          <w:p w:rsidR="005413ED" w:rsidRPr="001567C8" w:rsidRDefault="005413ED" w:rsidP="005413ED">
            <w:pPr>
              <w:pStyle w:val="Tot"/>
              <w:spacing w:line="240" w:lineRule="exact"/>
              <w:rPr>
                <w:rFonts w:asciiTheme="minorHAnsi" w:hAnsiTheme="minorHAnsi" w:cs="Arial"/>
                <w:bCs/>
                <w:sz w:val="18"/>
                <w:szCs w:val="18"/>
                <w:lang w:val="hr-HR"/>
              </w:rPr>
            </w:pPr>
            <w:r w:rsidRPr="001567C8">
              <w:rPr>
                <w:rFonts w:asciiTheme="minorHAnsi" w:hAnsiTheme="minorHAnsi" w:cs="Arial"/>
                <w:bCs/>
                <w:sz w:val="18"/>
                <w:szCs w:val="18"/>
                <w:lang w:val="hr-HR"/>
              </w:rPr>
              <w:t>Amortizacija za 2018.</w:t>
            </w:r>
          </w:p>
        </w:tc>
        <w:tc>
          <w:tcPr>
            <w:tcW w:w="565"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2.336 </w:t>
            </w:r>
          </w:p>
        </w:tc>
        <w:tc>
          <w:tcPr>
            <w:tcW w:w="566"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407 </w:t>
            </w:r>
          </w:p>
        </w:tc>
        <w:tc>
          <w:tcPr>
            <w:tcW w:w="566"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614 </w:t>
            </w:r>
          </w:p>
        </w:tc>
        <w:tc>
          <w:tcPr>
            <w:tcW w:w="565"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6"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3.357 </w:t>
            </w:r>
          </w:p>
        </w:tc>
        <w:tc>
          <w:tcPr>
            <w:tcW w:w="566"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2.863 </w:t>
            </w:r>
          </w:p>
        </w:tc>
        <w:tc>
          <w:tcPr>
            <w:tcW w:w="564" w:type="pct"/>
            <w:tcBorders>
              <w:top w:val="nil"/>
              <w:left w:val="nil"/>
              <w:bottom w:val="nil"/>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6.220 </w:t>
            </w:r>
          </w:p>
        </w:tc>
      </w:tr>
      <w:tr w:rsidR="008402AC" w:rsidRPr="001567C8" w:rsidTr="008402AC">
        <w:trPr>
          <w:trHeight w:val="218"/>
        </w:trPr>
        <w:tc>
          <w:tcPr>
            <w:tcW w:w="1042" w:type="pct"/>
            <w:shd w:val="clear" w:color="auto" w:fill="auto"/>
            <w:vAlign w:val="bottom"/>
          </w:tcPr>
          <w:p w:rsidR="005413ED" w:rsidRPr="001567C8" w:rsidRDefault="005413ED" w:rsidP="005413ED">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Rashod i otpis</w:t>
            </w:r>
          </w:p>
        </w:tc>
        <w:tc>
          <w:tcPr>
            <w:tcW w:w="565"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6"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(1.091)</w:t>
            </w:r>
          </w:p>
        </w:tc>
        <w:tc>
          <w:tcPr>
            <w:tcW w:w="566"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(1.086)</w:t>
            </w:r>
          </w:p>
        </w:tc>
        <w:tc>
          <w:tcPr>
            <w:tcW w:w="565"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6"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(2.177)</w:t>
            </w:r>
          </w:p>
        </w:tc>
        <w:tc>
          <w:tcPr>
            <w:tcW w:w="566"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 </w:t>
            </w:r>
          </w:p>
        </w:tc>
        <w:tc>
          <w:tcPr>
            <w:tcW w:w="564" w:type="pct"/>
            <w:tcBorders>
              <w:top w:val="nil"/>
              <w:left w:val="nil"/>
              <w:bottom w:val="single" w:sz="4" w:space="0" w:color="auto"/>
              <w:right w:val="nil"/>
            </w:tcBorders>
            <w:shd w:val="clear" w:color="auto" w:fill="auto"/>
            <w:vAlign w:val="bottom"/>
          </w:tcPr>
          <w:p w:rsidR="005413ED" w:rsidRPr="00CD3A2D" w:rsidRDefault="005413ED" w:rsidP="005413ED">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 xml:space="preserve"> (2.177)</w:t>
            </w:r>
          </w:p>
        </w:tc>
      </w:tr>
      <w:tr w:rsidR="008402AC" w:rsidRPr="001567C8" w:rsidTr="008402AC">
        <w:trPr>
          <w:trHeight w:val="437"/>
        </w:trPr>
        <w:tc>
          <w:tcPr>
            <w:tcW w:w="1042" w:type="pct"/>
            <w:shd w:val="clear" w:color="auto" w:fill="auto"/>
            <w:vAlign w:val="bottom"/>
          </w:tcPr>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2018.</w:t>
            </w:r>
          </w:p>
        </w:tc>
        <w:tc>
          <w:tcPr>
            <w:tcW w:w="565"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32.817</w:t>
            </w:r>
          </w:p>
        </w:tc>
        <w:tc>
          <w:tcPr>
            <w:tcW w:w="566"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8.139</w:t>
            </w:r>
          </w:p>
        </w:tc>
        <w:tc>
          <w:tcPr>
            <w:tcW w:w="566"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13.297</w:t>
            </w:r>
          </w:p>
        </w:tc>
        <w:tc>
          <w:tcPr>
            <w:tcW w:w="565"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 xml:space="preserve"> - </w:t>
            </w:r>
          </w:p>
        </w:tc>
        <w:tc>
          <w:tcPr>
            <w:tcW w:w="566"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54.253</w:t>
            </w:r>
          </w:p>
        </w:tc>
        <w:tc>
          <w:tcPr>
            <w:tcW w:w="566"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26.864</w:t>
            </w:r>
          </w:p>
        </w:tc>
        <w:tc>
          <w:tcPr>
            <w:tcW w:w="564" w:type="pct"/>
            <w:tcBorders>
              <w:top w:val="single" w:sz="4" w:space="0" w:color="auto"/>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81.117</w:t>
            </w:r>
          </w:p>
        </w:tc>
      </w:tr>
      <w:tr w:rsidR="008402AC" w:rsidRPr="001567C8" w:rsidTr="008402AC">
        <w:trPr>
          <w:trHeight w:val="160"/>
        </w:trPr>
        <w:tc>
          <w:tcPr>
            <w:tcW w:w="1042" w:type="pct"/>
            <w:shd w:val="clear" w:color="auto" w:fill="auto"/>
            <w:vAlign w:val="bottom"/>
          </w:tcPr>
          <w:p w:rsidR="00885C80" w:rsidRPr="001567C8" w:rsidRDefault="00885C80" w:rsidP="001A38DC">
            <w:pPr>
              <w:pStyle w:val="Tot"/>
              <w:spacing w:line="240" w:lineRule="exact"/>
              <w:rPr>
                <w:rFonts w:asciiTheme="minorHAnsi" w:hAnsiTheme="minorHAnsi" w:cs="Arial"/>
                <w:b/>
                <w:bCs/>
                <w:sz w:val="18"/>
                <w:szCs w:val="18"/>
                <w:lang w:val="hr-HR"/>
              </w:rPr>
            </w:pPr>
          </w:p>
        </w:tc>
        <w:tc>
          <w:tcPr>
            <w:tcW w:w="565" w:type="pct"/>
            <w:tcBorders>
              <w:top w:val="single" w:sz="4" w:space="0" w:color="auto"/>
              <w:left w:val="nil"/>
              <w:right w:val="nil"/>
            </w:tcBorders>
            <w:shd w:val="clear" w:color="auto" w:fill="auto"/>
            <w:vAlign w:val="bottom"/>
          </w:tcPr>
          <w:p w:rsidR="00885C80" w:rsidRPr="00CD3A2D" w:rsidRDefault="00885C80" w:rsidP="005413ED">
            <w:pPr>
              <w:jc w:val="right"/>
              <w:rPr>
                <w:rFonts w:asciiTheme="minorHAnsi" w:hAnsiTheme="minorHAnsi" w:cstheme="minorHAnsi"/>
                <w:b/>
                <w:bCs/>
                <w:sz w:val="18"/>
                <w:szCs w:val="18"/>
                <w:lang w:val="hr-HR"/>
              </w:rPr>
            </w:pPr>
          </w:p>
        </w:tc>
        <w:tc>
          <w:tcPr>
            <w:tcW w:w="566" w:type="pct"/>
            <w:tcBorders>
              <w:top w:val="single" w:sz="4" w:space="0" w:color="auto"/>
              <w:left w:val="nil"/>
              <w:right w:val="nil"/>
            </w:tcBorders>
            <w:shd w:val="clear" w:color="auto" w:fill="auto"/>
            <w:vAlign w:val="bottom"/>
          </w:tcPr>
          <w:p w:rsidR="00885C80" w:rsidRPr="00CD3A2D" w:rsidRDefault="00885C80" w:rsidP="005413ED">
            <w:pPr>
              <w:jc w:val="right"/>
              <w:rPr>
                <w:rFonts w:asciiTheme="minorHAnsi" w:hAnsiTheme="minorHAnsi" w:cstheme="minorHAnsi"/>
                <w:b/>
                <w:bCs/>
                <w:sz w:val="18"/>
                <w:szCs w:val="18"/>
                <w:lang w:val="hr-HR"/>
              </w:rPr>
            </w:pPr>
          </w:p>
        </w:tc>
        <w:tc>
          <w:tcPr>
            <w:tcW w:w="566" w:type="pct"/>
            <w:tcBorders>
              <w:top w:val="single" w:sz="4" w:space="0" w:color="auto"/>
              <w:left w:val="nil"/>
              <w:right w:val="nil"/>
            </w:tcBorders>
            <w:shd w:val="clear" w:color="auto" w:fill="auto"/>
            <w:vAlign w:val="bottom"/>
          </w:tcPr>
          <w:p w:rsidR="00885C80" w:rsidRPr="00CD3A2D" w:rsidRDefault="00885C80" w:rsidP="005413ED">
            <w:pPr>
              <w:jc w:val="right"/>
              <w:rPr>
                <w:rFonts w:asciiTheme="minorHAnsi" w:hAnsiTheme="minorHAnsi" w:cstheme="minorHAnsi"/>
                <w:b/>
                <w:bCs/>
                <w:sz w:val="18"/>
                <w:szCs w:val="18"/>
                <w:lang w:val="hr-HR"/>
              </w:rPr>
            </w:pPr>
          </w:p>
        </w:tc>
        <w:tc>
          <w:tcPr>
            <w:tcW w:w="565" w:type="pct"/>
            <w:tcBorders>
              <w:top w:val="single" w:sz="4" w:space="0" w:color="auto"/>
              <w:left w:val="nil"/>
              <w:right w:val="nil"/>
            </w:tcBorders>
            <w:shd w:val="clear" w:color="auto" w:fill="auto"/>
            <w:vAlign w:val="bottom"/>
          </w:tcPr>
          <w:p w:rsidR="00885C80" w:rsidRPr="00CD3A2D" w:rsidRDefault="00885C80" w:rsidP="005413ED">
            <w:pPr>
              <w:jc w:val="right"/>
              <w:rPr>
                <w:rFonts w:asciiTheme="minorHAnsi" w:hAnsiTheme="minorHAnsi" w:cstheme="minorHAnsi"/>
                <w:b/>
                <w:bCs/>
                <w:sz w:val="18"/>
                <w:szCs w:val="18"/>
                <w:lang w:val="hr-HR"/>
              </w:rPr>
            </w:pPr>
          </w:p>
        </w:tc>
        <w:tc>
          <w:tcPr>
            <w:tcW w:w="566" w:type="pct"/>
            <w:tcBorders>
              <w:top w:val="single" w:sz="4" w:space="0" w:color="auto"/>
              <w:left w:val="nil"/>
              <w:right w:val="nil"/>
            </w:tcBorders>
            <w:shd w:val="clear" w:color="auto" w:fill="auto"/>
            <w:vAlign w:val="bottom"/>
          </w:tcPr>
          <w:p w:rsidR="00885C80" w:rsidRPr="00CD3A2D" w:rsidRDefault="00885C80" w:rsidP="005413ED">
            <w:pPr>
              <w:jc w:val="right"/>
              <w:rPr>
                <w:rFonts w:asciiTheme="minorHAnsi" w:hAnsiTheme="minorHAnsi" w:cstheme="minorHAnsi"/>
                <w:b/>
                <w:bCs/>
                <w:sz w:val="18"/>
                <w:szCs w:val="18"/>
                <w:lang w:val="hr-HR"/>
              </w:rPr>
            </w:pPr>
          </w:p>
        </w:tc>
        <w:tc>
          <w:tcPr>
            <w:tcW w:w="566" w:type="pct"/>
            <w:tcBorders>
              <w:top w:val="single" w:sz="4" w:space="0" w:color="auto"/>
              <w:left w:val="nil"/>
              <w:right w:val="nil"/>
            </w:tcBorders>
            <w:shd w:val="clear" w:color="auto" w:fill="auto"/>
            <w:vAlign w:val="bottom"/>
          </w:tcPr>
          <w:p w:rsidR="00885C80" w:rsidRPr="00CD3A2D" w:rsidRDefault="00885C80" w:rsidP="005413ED">
            <w:pPr>
              <w:jc w:val="right"/>
              <w:rPr>
                <w:rFonts w:asciiTheme="minorHAnsi" w:hAnsiTheme="minorHAnsi" w:cstheme="minorHAnsi"/>
                <w:b/>
                <w:bCs/>
                <w:sz w:val="18"/>
                <w:szCs w:val="18"/>
                <w:lang w:val="hr-HR"/>
              </w:rPr>
            </w:pPr>
          </w:p>
        </w:tc>
        <w:tc>
          <w:tcPr>
            <w:tcW w:w="564" w:type="pct"/>
            <w:tcBorders>
              <w:top w:val="single" w:sz="4" w:space="0" w:color="auto"/>
              <w:left w:val="nil"/>
              <w:right w:val="nil"/>
            </w:tcBorders>
            <w:shd w:val="clear" w:color="auto" w:fill="auto"/>
            <w:vAlign w:val="bottom"/>
          </w:tcPr>
          <w:p w:rsidR="00885C80" w:rsidRPr="00CD3A2D" w:rsidRDefault="00885C80" w:rsidP="005413ED">
            <w:pPr>
              <w:jc w:val="right"/>
              <w:rPr>
                <w:rFonts w:asciiTheme="minorHAnsi" w:hAnsiTheme="minorHAnsi" w:cstheme="minorHAnsi"/>
                <w:b/>
                <w:bCs/>
                <w:sz w:val="18"/>
                <w:szCs w:val="18"/>
                <w:lang w:val="hr-HR"/>
              </w:rPr>
            </w:pPr>
          </w:p>
        </w:tc>
      </w:tr>
      <w:tr w:rsidR="008402AC" w:rsidRPr="001567C8" w:rsidTr="008402AC">
        <w:trPr>
          <w:trHeight w:val="437"/>
        </w:trPr>
        <w:tc>
          <w:tcPr>
            <w:tcW w:w="1042" w:type="pct"/>
            <w:shd w:val="clear" w:color="auto" w:fill="auto"/>
            <w:vAlign w:val="bottom"/>
          </w:tcPr>
          <w:p w:rsidR="00FB2E98" w:rsidRPr="001567C8" w:rsidRDefault="00FB2E98" w:rsidP="00FB2E98">
            <w:pPr>
              <w:pStyle w:val="Tot"/>
              <w:spacing w:line="240" w:lineRule="exact"/>
              <w:rPr>
                <w:rFonts w:asciiTheme="minorHAnsi" w:hAnsiTheme="minorHAnsi" w:cs="Arial"/>
                <w:b/>
                <w:bCs/>
                <w:sz w:val="18"/>
                <w:szCs w:val="18"/>
                <w:lang w:val="hr-HR"/>
              </w:rPr>
            </w:pPr>
            <w:r>
              <w:rPr>
                <w:rFonts w:asciiTheme="minorHAnsi" w:hAnsiTheme="minorHAnsi" w:cs="Arial"/>
                <w:b/>
                <w:bCs/>
                <w:sz w:val="18"/>
                <w:szCs w:val="18"/>
                <w:lang w:val="hr-HR"/>
              </w:rPr>
              <w:t>Neto knjigovodstvena</w:t>
            </w:r>
            <w:r w:rsidRPr="001567C8">
              <w:rPr>
                <w:rFonts w:asciiTheme="minorHAnsi" w:hAnsiTheme="minorHAnsi" w:cs="Arial"/>
                <w:b/>
                <w:bCs/>
                <w:sz w:val="18"/>
                <w:szCs w:val="18"/>
                <w:lang w:val="hr-HR"/>
              </w:rPr>
              <w:t xml:space="preserve"> vrijednost </w:t>
            </w:r>
          </w:p>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2018.</w:t>
            </w:r>
          </w:p>
        </w:tc>
        <w:tc>
          <w:tcPr>
            <w:tcW w:w="565" w:type="pct"/>
            <w:tcBorders>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44.285</w:t>
            </w:r>
          </w:p>
        </w:tc>
        <w:tc>
          <w:tcPr>
            <w:tcW w:w="566" w:type="pct"/>
            <w:tcBorders>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1.139</w:t>
            </w:r>
          </w:p>
        </w:tc>
        <w:tc>
          <w:tcPr>
            <w:tcW w:w="566" w:type="pct"/>
            <w:tcBorders>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1.615</w:t>
            </w:r>
          </w:p>
        </w:tc>
        <w:tc>
          <w:tcPr>
            <w:tcW w:w="565" w:type="pct"/>
            <w:tcBorders>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895</w:t>
            </w:r>
          </w:p>
        </w:tc>
        <w:tc>
          <w:tcPr>
            <w:tcW w:w="566" w:type="pct"/>
            <w:tcBorders>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47.934</w:t>
            </w:r>
          </w:p>
        </w:tc>
        <w:tc>
          <w:tcPr>
            <w:tcW w:w="566" w:type="pct"/>
            <w:tcBorders>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2.830</w:t>
            </w:r>
          </w:p>
        </w:tc>
        <w:tc>
          <w:tcPr>
            <w:tcW w:w="564" w:type="pct"/>
            <w:tcBorders>
              <w:left w:val="nil"/>
              <w:bottom w:val="single" w:sz="12" w:space="0" w:color="auto"/>
              <w:right w:val="nil"/>
            </w:tcBorders>
            <w:shd w:val="clear" w:color="auto" w:fill="auto"/>
            <w:vAlign w:val="bottom"/>
          </w:tcPr>
          <w:p w:rsidR="005413ED" w:rsidRPr="00CD3A2D" w:rsidRDefault="005413ED" w:rsidP="005413ED">
            <w:pPr>
              <w:jc w:val="right"/>
              <w:rPr>
                <w:rFonts w:asciiTheme="minorHAnsi" w:hAnsiTheme="minorHAnsi" w:cstheme="minorHAnsi"/>
                <w:b/>
                <w:bCs/>
                <w:sz w:val="18"/>
                <w:szCs w:val="18"/>
                <w:lang w:val="hr-HR"/>
              </w:rPr>
            </w:pPr>
            <w:r w:rsidRPr="00CD3A2D">
              <w:rPr>
                <w:rFonts w:asciiTheme="minorHAnsi" w:hAnsiTheme="minorHAnsi" w:cstheme="minorHAnsi"/>
                <w:b/>
                <w:sz w:val="18"/>
                <w:szCs w:val="18"/>
                <w:lang w:val="hr-HR"/>
              </w:rPr>
              <w:t>50.764</w:t>
            </w:r>
          </w:p>
        </w:tc>
      </w:tr>
      <w:tr w:rsidR="008402AC" w:rsidRPr="001567C8" w:rsidTr="008402AC">
        <w:trPr>
          <w:trHeight w:val="448"/>
        </w:trPr>
        <w:tc>
          <w:tcPr>
            <w:tcW w:w="1042" w:type="pct"/>
            <w:shd w:val="clear" w:color="auto" w:fill="auto"/>
            <w:vAlign w:val="bottom"/>
          </w:tcPr>
          <w:p w:rsidR="00FB2E98" w:rsidRPr="001567C8" w:rsidRDefault="00FB2E98" w:rsidP="00FB2E98">
            <w:pPr>
              <w:pStyle w:val="Tot"/>
              <w:spacing w:line="240" w:lineRule="exact"/>
              <w:rPr>
                <w:rFonts w:asciiTheme="minorHAnsi" w:hAnsiTheme="minorHAnsi" w:cs="Arial"/>
                <w:b/>
                <w:bCs/>
                <w:sz w:val="18"/>
                <w:szCs w:val="18"/>
                <w:lang w:val="hr-HR"/>
              </w:rPr>
            </w:pPr>
            <w:r>
              <w:rPr>
                <w:rFonts w:asciiTheme="minorHAnsi" w:hAnsiTheme="minorHAnsi" w:cs="Arial"/>
                <w:b/>
                <w:bCs/>
                <w:sz w:val="18"/>
                <w:szCs w:val="18"/>
                <w:lang w:val="hr-HR"/>
              </w:rPr>
              <w:t>Neto knjigovodstvena</w:t>
            </w:r>
            <w:r w:rsidRPr="001567C8">
              <w:rPr>
                <w:rFonts w:asciiTheme="minorHAnsi" w:hAnsiTheme="minorHAnsi" w:cs="Arial"/>
                <w:b/>
                <w:bCs/>
                <w:sz w:val="18"/>
                <w:szCs w:val="18"/>
                <w:lang w:val="hr-HR"/>
              </w:rPr>
              <w:t xml:space="preserve"> vrijednost </w:t>
            </w:r>
          </w:p>
          <w:p w:rsidR="005413ED" w:rsidRPr="001567C8" w:rsidRDefault="005413ED" w:rsidP="005413ED">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65" w:type="pct"/>
            <w:tcBorders>
              <w:top w:val="single" w:sz="12" w:space="0" w:color="auto"/>
              <w:left w:val="nil"/>
              <w:bottom w:val="single" w:sz="12" w:space="0" w:color="auto"/>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46.621</w:t>
            </w:r>
          </w:p>
        </w:tc>
        <w:tc>
          <w:tcPr>
            <w:tcW w:w="566" w:type="pct"/>
            <w:tcBorders>
              <w:top w:val="single" w:sz="12" w:space="0" w:color="auto"/>
              <w:left w:val="nil"/>
              <w:bottom w:val="single" w:sz="12" w:space="0" w:color="auto"/>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766</w:t>
            </w:r>
          </w:p>
        </w:tc>
        <w:tc>
          <w:tcPr>
            <w:tcW w:w="566" w:type="pct"/>
            <w:tcBorders>
              <w:top w:val="single" w:sz="12" w:space="0" w:color="auto"/>
              <w:left w:val="nil"/>
              <w:bottom w:val="single" w:sz="12" w:space="0" w:color="auto"/>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1.408</w:t>
            </w:r>
          </w:p>
        </w:tc>
        <w:tc>
          <w:tcPr>
            <w:tcW w:w="565" w:type="pct"/>
            <w:tcBorders>
              <w:top w:val="single" w:sz="12" w:space="0" w:color="auto"/>
              <w:left w:val="nil"/>
              <w:bottom w:val="single" w:sz="12" w:space="0" w:color="auto"/>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707</w:t>
            </w:r>
          </w:p>
        </w:tc>
        <w:tc>
          <w:tcPr>
            <w:tcW w:w="566" w:type="pct"/>
            <w:tcBorders>
              <w:top w:val="single" w:sz="12" w:space="0" w:color="auto"/>
              <w:left w:val="nil"/>
              <w:bottom w:val="single" w:sz="12" w:space="0" w:color="auto"/>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49.502</w:t>
            </w:r>
          </w:p>
        </w:tc>
        <w:tc>
          <w:tcPr>
            <w:tcW w:w="566" w:type="pct"/>
            <w:tcBorders>
              <w:top w:val="single" w:sz="12" w:space="0" w:color="auto"/>
              <w:left w:val="nil"/>
              <w:bottom w:val="single" w:sz="12" w:space="0" w:color="auto"/>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4.012</w:t>
            </w:r>
          </w:p>
        </w:tc>
        <w:tc>
          <w:tcPr>
            <w:tcW w:w="564" w:type="pct"/>
            <w:tcBorders>
              <w:top w:val="single" w:sz="12" w:space="0" w:color="auto"/>
              <w:left w:val="nil"/>
              <w:bottom w:val="single" w:sz="12" w:space="0" w:color="auto"/>
              <w:right w:val="nil"/>
            </w:tcBorders>
            <w:shd w:val="clear" w:color="auto" w:fill="auto"/>
            <w:vAlign w:val="bottom"/>
          </w:tcPr>
          <w:p w:rsidR="005413ED" w:rsidRPr="001567C8" w:rsidRDefault="005413ED" w:rsidP="005413ED">
            <w:pPr>
              <w:pStyle w:val="Tot"/>
              <w:tabs>
                <w:tab w:val="clear" w:pos="1202"/>
              </w:tabs>
              <w:jc w:val="right"/>
              <w:rPr>
                <w:rFonts w:asciiTheme="minorHAnsi" w:hAnsiTheme="minorHAnsi" w:cstheme="minorHAnsi"/>
                <w:b/>
                <w:sz w:val="18"/>
                <w:szCs w:val="18"/>
                <w:lang w:val="hr-HR"/>
              </w:rPr>
            </w:pPr>
            <w:r w:rsidRPr="00CD3A2D">
              <w:rPr>
                <w:rFonts w:asciiTheme="minorHAnsi" w:hAnsiTheme="minorHAnsi" w:cstheme="minorHAnsi"/>
                <w:b/>
                <w:sz w:val="18"/>
                <w:szCs w:val="18"/>
                <w:lang w:val="hr-HR"/>
              </w:rPr>
              <w:t>53.514</w:t>
            </w:r>
          </w:p>
        </w:tc>
      </w:tr>
    </w:tbl>
    <w:p w:rsidR="00707129" w:rsidRPr="001567C8" w:rsidRDefault="00707129" w:rsidP="00353005">
      <w:pPr>
        <w:pStyle w:val="T1"/>
        <w:spacing w:before="120" w:after="0" w:line="240" w:lineRule="exact"/>
        <w:rPr>
          <w:rFonts w:asciiTheme="minorHAnsi" w:hAnsiTheme="minorHAnsi" w:cs="Arial"/>
          <w:sz w:val="22"/>
          <w:szCs w:val="22"/>
          <w:lang w:val="hr-HR"/>
          <w14:shadow w14:blurRad="50800" w14:dist="38100" w14:dir="2700000" w14:sx="100000" w14:sy="100000" w14:kx="0" w14:ky="0" w14:algn="tl">
            <w14:srgbClr w14:val="000000">
              <w14:alpha w14:val="60000"/>
            </w14:srgbClr>
          </w14:shadow>
        </w:rPr>
      </w:pPr>
    </w:p>
    <w:p w:rsidR="00707129" w:rsidRPr="001567C8" w:rsidRDefault="00707129" w:rsidP="00353005">
      <w:pPr>
        <w:pStyle w:val="T1"/>
        <w:spacing w:before="120" w:after="0" w:line="240" w:lineRule="exact"/>
        <w:rPr>
          <w:rFonts w:asciiTheme="minorHAnsi" w:hAnsiTheme="minorHAnsi" w:cs="Arial"/>
          <w:sz w:val="22"/>
          <w:szCs w:val="22"/>
          <w:lang w:val="hr-HR"/>
          <w14:shadow w14:blurRad="50800" w14:dist="38100" w14:dir="2700000" w14:sx="100000" w14:sy="100000" w14:kx="0" w14:ky="0" w14:algn="tl">
            <w14:srgbClr w14:val="000000">
              <w14:alpha w14:val="60000"/>
            </w14:srgbClr>
          </w14:shadow>
        </w:rPr>
      </w:pPr>
    </w:p>
    <w:p w:rsidR="005725B7" w:rsidRPr="001567C8" w:rsidRDefault="005725B7">
      <w:pPr>
        <w:rPr>
          <w:rFonts w:asciiTheme="minorHAnsi" w:hAnsiTheme="minorHAnsi" w:cs="Arial"/>
          <w:b/>
          <w:bCs/>
          <w:sz w:val="22"/>
          <w:szCs w:val="22"/>
          <w:lang w:val="hr-HR"/>
          <w14:shadow w14:blurRad="50800" w14:dist="38100" w14:dir="2700000" w14:sx="100000" w14:sy="100000" w14:kx="0" w14:ky="0" w14:algn="tl">
            <w14:srgbClr w14:val="000000">
              <w14:alpha w14:val="60000"/>
            </w14:srgbClr>
          </w14:shadow>
        </w:rPr>
        <w:sectPr w:rsidR="005725B7" w:rsidRPr="001567C8" w:rsidSect="003E2D7A">
          <w:pgSz w:w="11907" w:h="16840" w:code="9"/>
          <w:pgMar w:top="1418" w:right="1134" w:bottom="1134" w:left="1418" w:header="851" w:footer="851" w:gutter="0"/>
          <w:cols w:space="720"/>
          <w:noEndnote/>
        </w:sectPr>
      </w:pPr>
    </w:p>
    <w:p w:rsidR="004544EA" w:rsidRPr="001567C8" w:rsidRDefault="004544EA" w:rsidP="004544EA">
      <w:pPr>
        <w:pStyle w:val="T1"/>
        <w:spacing w:before="0" w:after="0" w:line="240" w:lineRule="auto"/>
        <w:rPr>
          <w:rFonts w:asciiTheme="minorHAnsi" w:hAnsiTheme="minorHAnsi" w:cs="Arial"/>
          <w:sz w:val="22"/>
          <w:szCs w:val="22"/>
          <w:lang w:val="hr-HR"/>
        </w:rPr>
      </w:pPr>
    </w:p>
    <w:p w:rsidR="00707129" w:rsidRPr="001567C8" w:rsidRDefault="00C9220F" w:rsidP="004544E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24</w:t>
      </w:r>
      <w:r w:rsidR="00707129" w:rsidRPr="001567C8">
        <w:rPr>
          <w:rFonts w:asciiTheme="minorHAnsi" w:hAnsiTheme="minorHAnsi" w:cs="Arial"/>
          <w:sz w:val="22"/>
          <w:szCs w:val="22"/>
          <w:lang w:val="hr-HR"/>
        </w:rPr>
        <w:t xml:space="preserve">. </w:t>
      </w:r>
      <w:r w:rsidR="00707129" w:rsidRPr="001567C8">
        <w:rPr>
          <w:rFonts w:asciiTheme="minorHAnsi" w:hAnsiTheme="minorHAnsi" w:cs="Arial"/>
          <w:sz w:val="22"/>
          <w:szCs w:val="22"/>
          <w:lang w:val="hr-HR"/>
        </w:rPr>
        <w:tab/>
        <w:t>Nekretnine, postrojenja i oprema i nematerijalna imovina (nastavak)</w:t>
      </w:r>
    </w:p>
    <w:p w:rsidR="004544EA" w:rsidRPr="001567C8" w:rsidRDefault="004544EA" w:rsidP="004544EA">
      <w:pPr>
        <w:pStyle w:val="T1"/>
        <w:spacing w:before="0" w:after="0" w:line="240" w:lineRule="auto"/>
        <w:rPr>
          <w:rFonts w:asciiTheme="minorHAnsi" w:hAnsiTheme="minorHAnsi" w:cs="Arial"/>
          <w:sz w:val="22"/>
          <w:szCs w:val="22"/>
          <w:lang w:val="hr-HR"/>
        </w:rPr>
      </w:pPr>
    </w:p>
    <w:tbl>
      <w:tblPr>
        <w:tblW w:w="5381" w:type="pct"/>
        <w:tblInd w:w="-426" w:type="dxa"/>
        <w:tblLayout w:type="fixed"/>
        <w:tblCellMar>
          <w:left w:w="119" w:type="dxa"/>
          <w:right w:w="119" w:type="dxa"/>
        </w:tblCellMar>
        <w:tblLook w:val="0000" w:firstRow="0" w:lastRow="0" w:firstColumn="0" w:lastColumn="0" w:noHBand="0" w:noVBand="0"/>
      </w:tblPr>
      <w:tblGrid>
        <w:gridCol w:w="1938"/>
        <w:gridCol w:w="1162"/>
        <w:gridCol w:w="1162"/>
        <w:gridCol w:w="1162"/>
        <w:gridCol w:w="1162"/>
        <w:gridCol w:w="1162"/>
        <w:gridCol w:w="1162"/>
        <w:gridCol w:w="1158"/>
      </w:tblGrid>
      <w:tr w:rsidR="00885C80" w:rsidRPr="001567C8" w:rsidTr="008402AC">
        <w:trPr>
          <w:trHeight w:val="1321"/>
        </w:trPr>
        <w:tc>
          <w:tcPr>
            <w:tcW w:w="962" w:type="pct"/>
            <w:shd w:val="clear" w:color="auto" w:fill="auto"/>
            <w:vAlign w:val="bottom"/>
          </w:tcPr>
          <w:p w:rsidR="00885C80" w:rsidRPr="001567C8" w:rsidRDefault="00885C80" w:rsidP="00F73AE6">
            <w:pPr>
              <w:tabs>
                <w:tab w:val="left" w:pos="-1559"/>
              </w:tabs>
              <w:suppressAutoHyphens/>
              <w:rPr>
                <w:rFonts w:asciiTheme="minorHAnsi" w:hAnsiTheme="minorHAnsi" w:cs="Arial"/>
                <w:b/>
                <w:spacing w:val="-2"/>
                <w:sz w:val="18"/>
                <w:szCs w:val="18"/>
                <w:lang w:val="hr-HR"/>
              </w:rPr>
            </w:pPr>
            <w:r w:rsidRPr="001567C8">
              <w:rPr>
                <w:rFonts w:asciiTheme="minorHAnsi" w:hAnsiTheme="minorHAnsi" w:cs="Arial"/>
                <w:b/>
                <w:spacing w:val="-2"/>
                <w:sz w:val="18"/>
                <w:szCs w:val="18"/>
                <w:lang w:val="hr-HR"/>
              </w:rPr>
              <w:t>Banka</w:t>
            </w:r>
          </w:p>
          <w:p w:rsidR="00885C80" w:rsidRPr="001567C8" w:rsidRDefault="00885C80" w:rsidP="00F73AE6">
            <w:pPr>
              <w:tabs>
                <w:tab w:val="left" w:pos="-1559"/>
              </w:tabs>
              <w:suppressAutoHyphens/>
              <w:rPr>
                <w:rFonts w:asciiTheme="minorHAnsi" w:hAnsiTheme="minorHAnsi" w:cs="Arial"/>
                <w:b/>
                <w:spacing w:val="-2"/>
                <w:sz w:val="18"/>
                <w:szCs w:val="18"/>
                <w:lang w:val="hr-HR"/>
              </w:rPr>
            </w:pPr>
          </w:p>
          <w:p w:rsidR="00885C80" w:rsidRPr="001567C8" w:rsidRDefault="00885C80" w:rsidP="00F73AE6">
            <w:pPr>
              <w:tabs>
                <w:tab w:val="left" w:pos="-1559"/>
              </w:tabs>
              <w:suppressAutoHyphens/>
              <w:rPr>
                <w:rFonts w:asciiTheme="minorHAnsi" w:hAnsiTheme="minorHAnsi" w:cs="Arial"/>
                <w:b/>
                <w:spacing w:val="-2"/>
                <w:sz w:val="18"/>
                <w:szCs w:val="18"/>
                <w:lang w:val="hr-HR"/>
              </w:rPr>
            </w:pPr>
          </w:p>
          <w:p w:rsidR="00885C80" w:rsidRPr="001567C8" w:rsidRDefault="00885C80" w:rsidP="00F73AE6">
            <w:pPr>
              <w:tabs>
                <w:tab w:val="left" w:pos="-1559"/>
              </w:tabs>
              <w:suppressAutoHyphens/>
              <w:rPr>
                <w:rFonts w:asciiTheme="minorHAnsi" w:hAnsiTheme="minorHAnsi" w:cs="Arial"/>
                <w:b/>
                <w:spacing w:val="-2"/>
                <w:sz w:val="18"/>
                <w:szCs w:val="18"/>
                <w:lang w:val="hr-HR"/>
              </w:rPr>
            </w:pPr>
          </w:p>
          <w:p w:rsidR="00885C80" w:rsidRPr="001567C8" w:rsidRDefault="00885C80" w:rsidP="00F73AE6">
            <w:pPr>
              <w:tabs>
                <w:tab w:val="left" w:pos="-1559"/>
              </w:tabs>
              <w:suppressAutoHyphens/>
              <w:rPr>
                <w:rFonts w:asciiTheme="minorHAnsi" w:hAnsiTheme="minorHAnsi" w:cs="Arial"/>
                <w:spacing w:val="-2"/>
                <w:sz w:val="18"/>
                <w:szCs w:val="18"/>
                <w:lang w:val="hr-HR"/>
              </w:rPr>
            </w:pPr>
            <w:r w:rsidRPr="001567C8">
              <w:rPr>
                <w:rFonts w:asciiTheme="minorHAnsi" w:hAnsiTheme="minorHAnsi" w:cs="Arial"/>
                <w:b/>
                <w:spacing w:val="-2"/>
                <w:sz w:val="18"/>
                <w:szCs w:val="18"/>
                <w:lang w:val="hr-HR"/>
              </w:rPr>
              <w:t>2017.</w:t>
            </w:r>
          </w:p>
          <w:p w:rsidR="00885C80" w:rsidRPr="001567C8" w:rsidRDefault="00885C80" w:rsidP="00F73AE6">
            <w:pPr>
              <w:tabs>
                <w:tab w:val="left" w:pos="-1559"/>
              </w:tabs>
              <w:suppressAutoHyphens/>
              <w:rPr>
                <w:rFonts w:asciiTheme="minorHAnsi" w:hAnsiTheme="minorHAnsi" w:cs="Arial"/>
                <w:spacing w:val="-2"/>
                <w:sz w:val="18"/>
                <w:szCs w:val="18"/>
                <w:lang w:val="hr-HR"/>
              </w:rPr>
            </w:pPr>
          </w:p>
        </w:tc>
        <w:tc>
          <w:tcPr>
            <w:tcW w:w="577" w:type="pct"/>
            <w:shd w:val="clear" w:color="auto" w:fill="auto"/>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Građevinski objekti</w:t>
            </w:r>
          </w:p>
        </w:tc>
        <w:tc>
          <w:tcPr>
            <w:tcW w:w="577" w:type="pct"/>
            <w:shd w:val="clear" w:color="auto" w:fill="auto"/>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Kompjutori</w:t>
            </w:r>
          </w:p>
        </w:tc>
        <w:tc>
          <w:tcPr>
            <w:tcW w:w="577" w:type="pct"/>
            <w:shd w:val="clear" w:color="auto" w:fill="auto"/>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Namještaj, oprema i vozila</w:t>
            </w:r>
          </w:p>
        </w:tc>
        <w:tc>
          <w:tcPr>
            <w:tcW w:w="577" w:type="pct"/>
            <w:shd w:val="clear" w:color="auto" w:fill="auto"/>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Nekretnine i oprema i nematerijalna imovina u pripremi</w:t>
            </w:r>
          </w:p>
        </w:tc>
        <w:tc>
          <w:tcPr>
            <w:tcW w:w="577" w:type="pct"/>
            <w:shd w:val="clear" w:color="auto" w:fill="auto"/>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 xml:space="preserve">Ukupno nekretnine, postrojenja i oprema </w:t>
            </w:r>
          </w:p>
        </w:tc>
        <w:tc>
          <w:tcPr>
            <w:tcW w:w="577" w:type="pct"/>
            <w:shd w:val="clear" w:color="auto" w:fill="auto"/>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Nematerija-lna</w:t>
            </w:r>
          </w:p>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 xml:space="preserve"> imovina</w:t>
            </w:r>
          </w:p>
        </w:tc>
        <w:tc>
          <w:tcPr>
            <w:tcW w:w="575" w:type="pct"/>
            <w:shd w:val="clear" w:color="auto" w:fill="auto"/>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Ukupno</w:t>
            </w:r>
          </w:p>
        </w:tc>
      </w:tr>
      <w:tr w:rsidR="00885C80" w:rsidRPr="001567C8" w:rsidTr="008402AC">
        <w:trPr>
          <w:trHeight w:val="239"/>
        </w:trPr>
        <w:tc>
          <w:tcPr>
            <w:tcW w:w="962" w:type="pct"/>
            <w:shd w:val="clear" w:color="auto" w:fill="auto"/>
            <w:vAlign w:val="bottom"/>
          </w:tcPr>
          <w:p w:rsidR="00885C80" w:rsidRPr="001567C8" w:rsidRDefault="00885C80" w:rsidP="00F73AE6">
            <w:pPr>
              <w:tabs>
                <w:tab w:val="left" w:pos="-1559"/>
              </w:tabs>
              <w:suppressAutoHyphens/>
              <w:rPr>
                <w:rFonts w:asciiTheme="minorHAnsi" w:hAnsiTheme="minorHAnsi" w:cs="Arial"/>
                <w:b/>
                <w:spacing w:val="-2"/>
                <w:sz w:val="18"/>
                <w:szCs w:val="18"/>
                <w:lang w:val="hr-HR"/>
              </w:rPr>
            </w:pPr>
          </w:p>
        </w:tc>
        <w:tc>
          <w:tcPr>
            <w:tcW w:w="577" w:type="pct"/>
            <w:shd w:val="clear" w:color="auto" w:fill="auto"/>
            <w:vAlign w:val="bottom"/>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7" w:type="pct"/>
            <w:shd w:val="clear" w:color="auto" w:fill="auto"/>
            <w:vAlign w:val="bottom"/>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7" w:type="pct"/>
            <w:shd w:val="clear" w:color="auto" w:fill="auto"/>
            <w:vAlign w:val="bottom"/>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7" w:type="pct"/>
            <w:shd w:val="clear" w:color="auto" w:fill="auto"/>
            <w:vAlign w:val="bottom"/>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7" w:type="pct"/>
            <w:shd w:val="clear" w:color="auto" w:fill="auto"/>
            <w:vAlign w:val="bottom"/>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7" w:type="pct"/>
            <w:shd w:val="clear" w:color="auto" w:fill="auto"/>
            <w:vAlign w:val="bottom"/>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c>
          <w:tcPr>
            <w:tcW w:w="575" w:type="pct"/>
            <w:shd w:val="clear" w:color="auto" w:fill="auto"/>
            <w:vAlign w:val="bottom"/>
          </w:tcPr>
          <w:p w:rsidR="00885C80" w:rsidRPr="001567C8" w:rsidRDefault="00885C80" w:rsidP="00F73AE6">
            <w:pPr>
              <w:pStyle w:val="TH"/>
              <w:jc w:val="right"/>
              <w:rPr>
                <w:rFonts w:asciiTheme="minorHAnsi" w:hAnsiTheme="minorHAnsi" w:cs="Arial"/>
                <w:sz w:val="18"/>
                <w:szCs w:val="18"/>
                <w:lang w:val="hr-HR"/>
              </w:rPr>
            </w:pPr>
            <w:r w:rsidRPr="001567C8">
              <w:rPr>
                <w:rFonts w:asciiTheme="minorHAnsi" w:hAnsiTheme="minorHAnsi" w:cs="Arial"/>
                <w:sz w:val="18"/>
                <w:szCs w:val="18"/>
                <w:lang w:val="hr-HR"/>
              </w:rPr>
              <w:t>000 kuna</w:t>
            </w:r>
          </w:p>
        </w:tc>
      </w:tr>
      <w:tr w:rsidR="00885C80" w:rsidRPr="001567C8" w:rsidTr="008402AC">
        <w:trPr>
          <w:trHeight w:val="302"/>
        </w:trPr>
        <w:tc>
          <w:tcPr>
            <w:tcW w:w="962" w:type="pct"/>
            <w:shd w:val="clear" w:color="auto" w:fill="auto"/>
            <w:vAlign w:val="bottom"/>
          </w:tcPr>
          <w:p w:rsidR="00885C80" w:rsidRPr="001567C8" w:rsidRDefault="00885C80"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Nabavna vrijednost</w:t>
            </w:r>
          </w:p>
        </w:tc>
        <w:tc>
          <w:tcPr>
            <w:tcW w:w="577" w:type="pct"/>
            <w:shd w:val="clear" w:color="auto" w:fill="auto"/>
            <w:vAlign w:val="bottom"/>
          </w:tcPr>
          <w:p w:rsidR="00885C80" w:rsidRPr="001567C8" w:rsidRDefault="00885C80" w:rsidP="00F73AE6">
            <w:pPr>
              <w:pStyle w:val="TT"/>
              <w:jc w:val="right"/>
              <w:rPr>
                <w:rFonts w:asciiTheme="minorHAnsi" w:hAnsiTheme="minorHAnsi" w:cs="Arial"/>
                <w:spacing w:val="-3"/>
                <w:sz w:val="18"/>
                <w:szCs w:val="18"/>
                <w:lang w:val="hr-HR"/>
              </w:rPr>
            </w:pPr>
          </w:p>
        </w:tc>
        <w:tc>
          <w:tcPr>
            <w:tcW w:w="577" w:type="pct"/>
            <w:shd w:val="clear" w:color="auto" w:fill="auto"/>
            <w:vAlign w:val="bottom"/>
          </w:tcPr>
          <w:p w:rsidR="00885C80" w:rsidRPr="001567C8" w:rsidRDefault="00885C80" w:rsidP="00F73AE6">
            <w:pPr>
              <w:pStyle w:val="TT"/>
              <w:jc w:val="right"/>
              <w:rPr>
                <w:rFonts w:asciiTheme="minorHAnsi" w:hAnsiTheme="minorHAnsi" w:cs="Arial"/>
                <w:spacing w:val="-3"/>
                <w:sz w:val="18"/>
                <w:szCs w:val="18"/>
                <w:lang w:val="hr-HR"/>
              </w:rPr>
            </w:pPr>
          </w:p>
        </w:tc>
        <w:tc>
          <w:tcPr>
            <w:tcW w:w="577" w:type="pct"/>
            <w:shd w:val="clear" w:color="auto" w:fill="auto"/>
            <w:vAlign w:val="bottom"/>
          </w:tcPr>
          <w:p w:rsidR="00885C80" w:rsidRPr="001567C8" w:rsidRDefault="00885C80" w:rsidP="00F73AE6">
            <w:pPr>
              <w:pStyle w:val="TT"/>
              <w:jc w:val="right"/>
              <w:rPr>
                <w:rFonts w:asciiTheme="minorHAnsi" w:hAnsiTheme="minorHAnsi" w:cs="Arial"/>
                <w:spacing w:val="-3"/>
                <w:sz w:val="18"/>
                <w:szCs w:val="18"/>
                <w:lang w:val="hr-HR"/>
              </w:rPr>
            </w:pPr>
          </w:p>
        </w:tc>
        <w:tc>
          <w:tcPr>
            <w:tcW w:w="577" w:type="pct"/>
            <w:shd w:val="clear" w:color="auto" w:fill="auto"/>
            <w:vAlign w:val="bottom"/>
          </w:tcPr>
          <w:p w:rsidR="00885C80" w:rsidRPr="001567C8" w:rsidRDefault="00885C80" w:rsidP="00F73AE6">
            <w:pPr>
              <w:pStyle w:val="TT"/>
              <w:jc w:val="right"/>
              <w:rPr>
                <w:rFonts w:asciiTheme="minorHAnsi" w:hAnsiTheme="minorHAnsi" w:cs="Arial"/>
                <w:spacing w:val="-3"/>
                <w:sz w:val="18"/>
                <w:szCs w:val="18"/>
                <w:lang w:val="hr-HR"/>
              </w:rPr>
            </w:pPr>
          </w:p>
        </w:tc>
        <w:tc>
          <w:tcPr>
            <w:tcW w:w="577" w:type="pct"/>
            <w:shd w:val="clear" w:color="auto" w:fill="auto"/>
            <w:vAlign w:val="bottom"/>
          </w:tcPr>
          <w:p w:rsidR="00885C80" w:rsidRPr="001567C8" w:rsidRDefault="00885C80" w:rsidP="00F73AE6">
            <w:pPr>
              <w:pStyle w:val="TT"/>
              <w:jc w:val="right"/>
              <w:rPr>
                <w:rFonts w:asciiTheme="minorHAnsi" w:hAnsiTheme="minorHAnsi" w:cs="Arial"/>
                <w:spacing w:val="-3"/>
                <w:sz w:val="18"/>
                <w:szCs w:val="18"/>
                <w:lang w:val="hr-HR"/>
              </w:rPr>
            </w:pPr>
          </w:p>
        </w:tc>
        <w:tc>
          <w:tcPr>
            <w:tcW w:w="577" w:type="pct"/>
            <w:shd w:val="clear" w:color="auto" w:fill="auto"/>
            <w:vAlign w:val="bottom"/>
          </w:tcPr>
          <w:p w:rsidR="00885C80" w:rsidRPr="001567C8" w:rsidRDefault="00885C80" w:rsidP="00F73AE6">
            <w:pPr>
              <w:pStyle w:val="TT"/>
              <w:jc w:val="right"/>
              <w:rPr>
                <w:rFonts w:asciiTheme="minorHAnsi" w:hAnsiTheme="minorHAnsi" w:cs="Arial"/>
                <w:spacing w:val="-3"/>
                <w:sz w:val="18"/>
                <w:szCs w:val="18"/>
                <w:lang w:val="hr-HR"/>
              </w:rPr>
            </w:pPr>
          </w:p>
        </w:tc>
        <w:tc>
          <w:tcPr>
            <w:tcW w:w="575" w:type="pct"/>
            <w:shd w:val="clear" w:color="auto" w:fill="auto"/>
            <w:vAlign w:val="bottom"/>
          </w:tcPr>
          <w:p w:rsidR="00885C80" w:rsidRPr="001567C8" w:rsidRDefault="00885C80" w:rsidP="00F73AE6">
            <w:pPr>
              <w:pStyle w:val="TT"/>
              <w:jc w:val="right"/>
              <w:rPr>
                <w:rFonts w:asciiTheme="minorHAnsi" w:hAnsiTheme="minorHAnsi" w:cs="Arial"/>
                <w:spacing w:val="-3"/>
                <w:sz w:val="18"/>
                <w:szCs w:val="18"/>
                <w:lang w:val="hr-HR"/>
              </w:rPr>
            </w:pPr>
          </w:p>
        </w:tc>
      </w:tr>
      <w:tr w:rsidR="00885C80" w:rsidRPr="001567C8" w:rsidTr="008402AC">
        <w:trPr>
          <w:trHeight w:val="490"/>
        </w:trPr>
        <w:tc>
          <w:tcPr>
            <w:tcW w:w="962" w:type="pct"/>
            <w:shd w:val="clear" w:color="auto" w:fill="auto"/>
            <w:vAlign w:val="bottom"/>
          </w:tcPr>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2016.</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77.102</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10.830</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15.034</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1.036</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104.002</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24.951</w:t>
            </w:r>
          </w:p>
        </w:tc>
        <w:tc>
          <w:tcPr>
            <w:tcW w:w="575"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128.953</w:t>
            </w:r>
          </w:p>
        </w:tc>
      </w:tr>
      <w:tr w:rsidR="00885C80" w:rsidRPr="001567C8" w:rsidTr="008402AC">
        <w:trPr>
          <w:trHeight w:val="239"/>
        </w:trPr>
        <w:tc>
          <w:tcPr>
            <w:tcW w:w="962" w:type="pct"/>
            <w:shd w:val="clear" w:color="auto" w:fill="auto"/>
            <w:vAlign w:val="bottom"/>
          </w:tcPr>
          <w:p w:rsidR="00885C80" w:rsidRPr="001567C8" w:rsidRDefault="00885C80"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Povećanje</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3.725</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3.725</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5"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3.725</w:t>
            </w:r>
          </w:p>
        </w:tc>
      </w:tr>
      <w:tr w:rsidR="00885C80" w:rsidRPr="001567C8" w:rsidTr="008402AC">
        <w:trPr>
          <w:trHeight w:val="969"/>
        </w:trPr>
        <w:tc>
          <w:tcPr>
            <w:tcW w:w="962" w:type="pct"/>
            <w:shd w:val="clear" w:color="auto" w:fill="auto"/>
            <w:vAlign w:val="bottom"/>
          </w:tcPr>
          <w:p w:rsidR="00885C80" w:rsidRPr="001567C8" w:rsidRDefault="00885C80"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Prijenos s nekretnina, postrojenja i opreme i nematerijalne imovine u pripremi</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624</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368</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(4.054)</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(3.062)</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3.062</w:t>
            </w:r>
          </w:p>
        </w:tc>
        <w:tc>
          <w:tcPr>
            <w:tcW w:w="575"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r>
      <w:tr w:rsidR="00885C80" w:rsidRPr="001567C8" w:rsidTr="008402AC">
        <w:trPr>
          <w:trHeight w:val="239"/>
        </w:trPr>
        <w:tc>
          <w:tcPr>
            <w:tcW w:w="962" w:type="pct"/>
            <w:shd w:val="clear" w:color="auto" w:fill="auto"/>
            <w:vAlign w:val="bottom"/>
          </w:tcPr>
          <w:p w:rsidR="00885C80" w:rsidRPr="001567C8" w:rsidRDefault="00885C80"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Rashod i otpis</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(1.865)</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(225)</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(2.090)</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5"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(2.090)</w:t>
            </w:r>
          </w:p>
        </w:tc>
      </w:tr>
      <w:tr w:rsidR="00885C80" w:rsidRPr="001567C8" w:rsidTr="008402AC">
        <w:trPr>
          <w:trHeight w:val="478"/>
        </w:trPr>
        <w:tc>
          <w:tcPr>
            <w:tcW w:w="962" w:type="pct"/>
            <w:shd w:val="clear" w:color="auto" w:fill="auto"/>
            <w:vAlign w:val="bottom"/>
          </w:tcPr>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77.102</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9.589</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15.177</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707</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102.575</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28.013</w:t>
            </w:r>
          </w:p>
        </w:tc>
        <w:tc>
          <w:tcPr>
            <w:tcW w:w="575"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130.588</w:t>
            </w:r>
          </w:p>
        </w:tc>
      </w:tr>
      <w:tr w:rsidR="00885C80" w:rsidRPr="001567C8" w:rsidTr="008402AC">
        <w:trPr>
          <w:trHeight w:val="302"/>
        </w:trPr>
        <w:tc>
          <w:tcPr>
            <w:tcW w:w="962" w:type="pct"/>
            <w:shd w:val="clear" w:color="auto" w:fill="auto"/>
            <w:vAlign w:val="bottom"/>
          </w:tcPr>
          <w:p w:rsidR="00885C80" w:rsidRPr="001567C8" w:rsidRDefault="00FB2E98" w:rsidP="00F73AE6">
            <w:pPr>
              <w:pStyle w:val="TT"/>
              <w:spacing w:line="240" w:lineRule="exact"/>
              <w:rPr>
                <w:rFonts w:asciiTheme="minorHAnsi" w:hAnsiTheme="minorHAnsi" w:cs="Arial"/>
                <w:sz w:val="18"/>
                <w:szCs w:val="18"/>
                <w:lang w:val="hr-HR"/>
              </w:rPr>
            </w:pPr>
            <w:r>
              <w:rPr>
                <w:rFonts w:asciiTheme="minorHAnsi" w:hAnsiTheme="minorHAnsi" w:cs="Arial"/>
                <w:sz w:val="18"/>
                <w:szCs w:val="18"/>
                <w:lang w:val="hr-HR"/>
              </w:rPr>
              <w:t>Amortizacija i i</w:t>
            </w:r>
            <w:r w:rsidRPr="001567C8">
              <w:rPr>
                <w:rFonts w:asciiTheme="minorHAnsi" w:hAnsiTheme="minorHAnsi" w:cs="Arial"/>
                <w:sz w:val="18"/>
                <w:szCs w:val="18"/>
                <w:lang w:val="hr-HR"/>
              </w:rPr>
              <w:t>spravak vrijednosti</w:t>
            </w:r>
          </w:p>
        </w:tc>
        <w:tc>
          <w:tcPr>
            <w:tcW w:w="577" w:type="pct"/>
            <w:tcBorders>
              <w:top w:val="single" w:sz="12" w:space="0" w:color="auto"/>
            </w:tcBorders>
            <w:shd w:val="clear" w:color="auto" w:fill="auto"/>
            <w:vAlign w:val="bottom"/>
          </w:tcPr>
          <w:p w:rsidR="00885C80" w:rsidRPr="001567C8" w:rsidRDefault="00885C80" w:rsidP="00F73AE6">
            <w:pPr>
              <w:pStyle w:val="TT"/>
              <w:tabs>
                <w:tab w:val="clear" w:pos="1202"/>
              </w:tabs>
              <w:jc w:val="right"/>
              <w:rPr>
                <w:rFonts w:asciiTheme="minorHAnsi" w:hAnsiTheme="minorHAnsi" w:cs="Arial"/>
                <w:sz w:val="18"/>
                <w:szCs w:val="18"/>
                <w:lang w:val="hr-HR"/>
              </w:rPr>
            </w:pPr>
          </w:p>
        </w:tc>
        <w:tc>
          <w:tcPr>
            <w:tcW w:w="577" w:type="pct"/>
            <w:tcBorders>
              <w:top w:val="single" w:sz="12" w:space="0" w:color="auto"/>
            </w:tcBorders>
            <w:shd w:val="clear" w:color="auto" w:fill="auto"/>
            <w:vAlign w:val="bottom"/>
          </w:tcPr>
          <w:p w:rsidR="00885C80" w:rsidRPr="001567C8" w:rsidRDefault="00885C80" w:rsidP="00F73AE6">
            <w:pPr>
              <w:pStyle w:val="TT"/>
              <w:tabs>
                <w:tab w:val="clear" w:pos="1202"/>
              </w:tabs>
              <w:jc w:val="right"/>
              <w:rPr>
                <w:rFonts w:asciiTheme="minorHAnsi" w:hAnsiTheme="minorHAnsi" w:cs="Arial"/>
                <w:sz w:val="18"/>
                <w:szCs w:val="18"/>
                <w:lang w:val="hr-HR"/>
              </w:rPr>
            </w:pPr>
          </w:p>
        </w:tc>
        <w:tc>
          <w:tcPr>
            <w:tcW w:w="577" w:type="pct"/>
            <w:tcBorders>
              <w:top w:val="single" w:sz="12" w:space="0" w:color="auto"/>
            </w:tcBorders>
            <w:shd w:val="clear" w:color="auto" w:fill="auto"/>
            <w:vAlign w:val="bottom"/>
          </w:tcPr>
          <w:p w:rsidR="00885C80" w:rsidRPr="001567C8" w:rsidRDefault="00885C80" w:rsidP="00F73AE6">
            <w:pPr>
              <w:pStyle w:val="TT"/>
              <w:tabs>
                <w:tab w:val="clear" w:pos="1202"/>
              </w:tabs>
              <w:jc w:val="right"/>
              <w:rPr>
                <w:rFonts w:asciiTheme="minorHAnsi" w:hAnsiTheme="minorHAnsi" w:cs="Arial"/>
                <w:sz w:val="18"/>
                <w:szCs w:val="18"/>
                <w:lang w:val="hr-HR"/>
              </w:rPr>
            </w:pPr>
          </w:p>
        </w:tc>
        <w:tc>
          <w:tcPr>
            <w:tcW w:w="577" w:type="pct"/>
            <w:tcBorders>
              <w:top w:val="single" w:sz="12" w:space="0" w:color="auto"/>
            </w:tcBorders>
            <w:shd w:val="clear" w:color="auto" w:fill="auto"/>
            <w:vAlign w:val="bottom"/>
          </w:tcPr>
          <w:p w:rsidR="00885C80" w:rsidRPr="001567C8" w:rsidRDefault="00885C80" w:rsidP="00F73AE6">
            <w:pPr>
              <w:pStyle w:val="TT"/>
              <w:tabs>
                <w:tab w:val="clear" w:pos="1202"/>
              </w:tabs>
              <w:jc w:val="right"/>
              <w:rPr>
                <w:rFonts w:asciiTheme="minorHAnsi" w:hAnsiTheme="minorHAnsi" w:cs="Arial"/>
                <w:sz w:val="18"/>
                <w:szCs w:val="18"/>
                <w:lang w:val="hr-HR"/>
              </w:rPr>
            </w:pPr>
          </w:p>
        </w:tc>
        <w:tc>
          <w:tcPr>
            <w:tcW w:w="577" w:type="pct"/>
            <w:tcBorders>
              <w:top w:val="single" w:sz="12" w:space="0" w:color="auto"/>
            </w:tcBorders>
            <w:shd w:val="clear" w:color="auto" w:fill="auto"/>
            <w:vAlign w:val="bottom"/>
          </w:tcPr>
          <w:p w:rsidR="00885C80" w:rsidRPr="001567C8" w:rsidRDefault="00885C80" w:rsidP="00F73AE6">
            <w:pPr>
              <w:pStyle w:val="TT"/>
              <w:tabs>
                <w:tab w:val="clear" w:pos="1202"/>
              </w:tabs>
              <w:jc w:val="right"/>
              <w:rPr>
                <w:rFonts w:asciiTheme="minorHAnsi" w:hAnsiTheme="minorHAnsi" w:cs="Arial"/>
                <w:sz w:val="18"/>
                <w:szCs w:val="18"/>
                <w:lang w:val="hr-HR"/>
              </w:rPr>
            </w:pPr>
          </w:p>
        </w:tc>
        <w:tc>
          <w:tcPr>
            <w:tcW w:w="577" w:type="pct"/>
            <w:tcBorders>
              <w:top w:val="single" w:sz="12" w:space="0" w:color="auto"/>
            </w:tcBorders>
            <w:shd w:val="clear" w:color="auto" w:fill="auto"/>
            <w:vAlign w:val="bottom"/>
          </w:tcPr>
          <w:p w:rsidR="00885C80" w:rsidRPr="001567C8" w:rsidRDefault="00885C80" w:rsidP="00F73AE6">
            <w:pPr>
              <w:pStyle w:val="TT"/>
              <w:tabs>
                <w:tab w:val="clear" w:pos="1202"/>
              </w:tabs>
              <w:jc w:val="right"/>
              <w:rPr>
                <w:rFonts w:asciiTheme="minorHAnsi" w:hAnsiTheme="minorHAnsi" w:cs="Arial"/>
                <w:sz w:val="18"/>
                <w:szCs w:val="18"/>
                <w:lang w:val="hr-HR"/>
              </w:rPr>
            </w:pPr>
          </w:p>
        </w:tc>
        <w:tc>
          <w:tcPr>
            <w:tcW w:w="575" w:type="pct"/>
            <w:tcBorders>
              <w:top w:val="single" w:sz="12" w:space="0" w:color="auto"/>
            </w:tcBorders>
            <w:shd w:val="clear" w:color="auto" w:fill="auto"/>
            <w:vAlign w:val="bottom"/>
          </w:tcPr>
          <w:p w:rsidR="00885C80" w:rsidRPr="001567C8" w:rsidRDefault="00885C80" w:rsidP="00F73AE6">
            <w:pPr>
              <w:pStyle w:val="TT"/>
              <w:tabs>
                <w:tab w:val="clear" w:pos="1202"/>
              </w:tabs>
              <w:jc w:val="right"/>
              <w:rPr>
                <w:rFonts w:asciiTheme="minorHAnsi" w:hAnsiTheme="minorHAnsi" w:cs="Arial"/>
                <w:sz w:val="18"/>
                <w:szCs w:val="18"/>
                <w:lang w:val="hr-HR"/>
              </w:rPr>
            </w:pPr>
          </w:p>
        </w:tc>
      </w:tr>
      <w:tr w:rsidR="00885C80" w:rsidRPr="001567C8" w:rsidTr="008402AC">
        <w:trPr>
          <w:trHeight w:val="490"/>
        </w:trPr>
        <w:tc>
          <w:tcPr>
            <w:tcW w:w="962" w:type="pct"/>
            <w:shd w:val="clear" w:color="auto" w:fill="auto"/>
            <w:vAlign w:val="bottom"/>
          </w:tcPr>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2016.</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28.145</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9.329</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13.016</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50.490</w:t>
            </w:r>
          </w:p>
        </w:tc>
        <w:tc>
          <w:tcPr>
            <w:tcW w:w="577"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21.247</w:t>
            </w:r>
          </w:p>
        </w:tc>
        <w:tc>
          <w:tcPr>
            <w:tcW w:w="575" w:type="pct"/>
            <w:tcBorders>
              <w:top w:val="nil"/>
              <w:left w:val="nil"/>
              <w:bottom w:val="nil"/>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71.737</w:t>
            </w:r>
          </w:p>
        </w:tc>
      </w:tr>
      <w:tr w:rsidR="00885C80" w:rsidRPr="001567C8" w:rsidTr="008402AC">
        <w:trPr>
          <w:trHeight w:val="239"/>
        </w:trPr>
        <w:tc>
          <w:tcPr>
            <w:tcW w:w="962" w:type="pct"/>
            <w:shd w:val="clear" w:color="auto" w:fill="auto"/>
            <w:vAlign w:val="bottom"/>
          </w:tcPr>
          <w:p w:rsidR="00885C80" w:rsidRPr="001567C8" w:rsidRDefault="00885C80" w:rsidP="00F73AE6">
            <w:pPr>
              <w:pStyle w:val="Tot"/>
              <w:spacing w:line="240" w:lineRule="exact"/>
              <w:rPr>
                <w:rFonts w:asciiTheme="minorHAnsi" w:hAnsiTheme="minorHAnsi" w:cs="Arial"/>
                <w:bCs/>
                <w:sz w:val="18"/>
                <w:szCs w:val="18"/>
                <w:lang w:val="hr-HR"/>
              </w:rPr>
            </w:pPr>
            <w:r w:rsidRPr="001567C8">
              <w:rPr>
                <w:rFonts w:asciiTheme="minorHAnsi" w:hAnsiTheme="minorHAnsi" w:cs="Arial"/>
                <w:bCs/>
                <w:sz w:val="18"/>
                <w:szCs w:val="18"/>
                <w:lang w:val="hr-HR"/>
              </w:rPr>
              <w:t>Amortizacija za 2017.</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2.336</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1.351</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977</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4.664</w:t>
            </w:r>
          </w:p>
        </w:tc>
        <w:tc>
          <w:tcPr>
            <w:tcW w:w="577"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2.754</w:t>
            </w:r>
          </w:p>
        </w:tc>
        <w:tc>
          <w:tcPr>
            <w:tcW w:w="575" w:type="pct"/>
            <w:tcBorders>
              <w:top w:val="nil"/>
              <w:left w:val="nil"/>
              <w:bottom w:val="nil"/>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7.418</w:t>
            </w:r>
          </w:p>
        </w:tc>
      </w:tr>
      <w:tr w:rsidR="00885C80" w:rsidRPr="001567C8" w:rsidTr="008402AC">
        <w:trPr>
          <w:trHeight w:val="239"/>
        </w:trPr>
        <w:tc>
          <w:tcPr>
            <w:tcW w:w="962" w:type="pct"/>
            <w:shd w:val="clear" w:color="auto" w:fill="auto"/>
            <w:vAlign w:val="bottom"/>
          </w:tcPr>
          <w:p w:rsidR="00885C80" w:rsidRPr="001567C8" w:rsidRDefault="00885C80" w:rsidP="00F73AE6">
            <w:pPr>
              <w:pStyle w:val="TT"/>
              <w:spacing w:line="240" w:lineRule="exact"/>
              <w:rPr>
                <w:rFonts w:asciiTheme="minorHAnsi" w:hAnsiTheme="minorHAnsi" w:cs="Arial"/>
                <w:sz w:val="18"/>
                <w:szCs w:val="18"/>
                <w:lang w:val="hr-HR"/>
              </w:rPr>
            </w:pPr>
            <w:r w:rsidRPr="001567C8">
              <w:rPr>
                <w:rFonts w:asciiTheme="minorHAnsi" w:hAnsiTheme="minorHAnsi" w:cs="Arial"/>
                <w:sz w:val="18"/>
                <w:szCs w:val="18"/>
                <w:lang w:val="hr-HR"/>
              </w:rPr>
              <w:t>Rashod i otpis</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sz w:val="18"/>
                <w:szCs w:val="18"/>
                <w:lang w:val="hr-HR"/>
              </w:rPr>
            </w:pPr>
            <w:r w:rsidRPr="00CD3A2D">
              <w:rPr>
                <w:sz w:val="18"/>
                <w:szCs w:val="18"/>
                <w:lang w:val="hr-HR"/>
              </w:rPr>
              <w:t>-</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(1.857)</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(224)</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(2.081)</w:t>
            </w:r>
          </w:p>
        </w:tc>
        <w:tc>
          <w:tcPr>
            <w:tcW w:w="577"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w:t>
            </w:r>
          </w:p>
        </w:tc>
        <w:tc>
          <w:tcPr>
            <w:tcW w:w="575" w:type="pct"/>
            <w:tcBorders>
              <w:top w:val="nil"/>
              <w:left w:val="nil"/>
              <w:bottom w:val="single" w:sz="4" w:space="0" w:color="auto"/>
              <w:right w:val="nil"/>
            </w:tcBorders>
            <w:shd w:val="clear" w:color="auto" w:fill="auto"/>
            <w:vAlign w:val="bottom"/>
          </w:tcPr>
          <w:p w:rsidR="00885C80" w:rsidRPr="00CD3A2D" w:rsidRDefault="00885C80" w:rsidP="00F73AE6">
            <w:pPr>
              <w:jc w:val="right"/>
              <w:rPr>
                <w:rFonts w:ascii="Calibri" w:hAnsi="Calibri"/>
                <w:sz w:val="18"/>
                <w:szCs w:val="18"/>
                <w:lang w:val="hr-HR"/>
              </w:rPr>
            </w:pPr>
            <w:r w:rsidRPr="00CD3A2D">
              <w:rPr>
                <w:rFonts w:ascii="Calibri" w:hAnsi="Calibri"/>
                <w:sz w:val="18"/>
                <w:szCs w:val="18"/>
                <w:lang w:val="hr-HR"/>
              </w:rPr>
              <w:t>(2.081)</w:t>
            </w:r>
          </w:p>
        </w:tc>
      </w:tr>
      <w:tr w:rsidR="00885C80" w:rsidRPr="001567C8" w:rsidTr="008402AC">
        <w:trPr>
          <w:trHeight w:val="478"/>
        </w:trPr>
        <w:tc>
          <w:tcPr>
            <w:tcW w:w="962" w:type="pct"/>
            <w:shd w:val="clear" w:color="auto" w:fill="auto"/>
            <w:vAlign w:val="bottom"/>
          </w:tcPr>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Stanje </w:t>
            </w:r>
          </w:p>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30.481</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8.823</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13.769</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53.073</w:t>
            </w:r>
          </w:p>
        </w:tc>
        <w:tc>
          <w:tcPr>
            <w:tcW w:w="577"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24.001</w:t>
            </w:r>
          </w:p>
        </w:tc>
        <w:tc>
          <w:tcPr>
            <w:tcW w:w="575" w:type="pct"/>
            <w:tcBorders>
              <w:top w:val="single" w:sz="4" w:space="0" w:color="auto"/>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77.074</w:t>
            </w:r>
          </w:p>
        </w:tc>
      </w:tr>
      <w:tr w:rsidR="00885C80" w:rsidRPr="001567C8" w:rsidTr="008402AC">
        <w:trPr>
          <w:trHeight w:val="174"/>
        </w:trPr>
        <w:tc>
          <w:tcPr>
            <w:tcW w:w="962" w:type="pct"/>
            <w:shd w:val="clear" w:color="auto" w:fill="auto"/>
            <w:vAlign w:val="bottom"/>
          </w:tcPr>
          <w:p w:rsidR="00885C80" w:rsidRPr="001567C8" w:rsidRDefault="00885C80" w:rsidP="00F73AE6">
            <w:pPr>
              <w:pStyle w:val="Tot"/>
              <w:spacing w:line="240" w:lineRule="exact"/>
              <w:rPr>
                <w:rFonts w:asciiTheme="minorHAnsi" w:hAnsiTheme="minorHAnsi" w:cs="Arial"/>
                <w:b/>
                <w:bCs/>
                <w:sz w:val="18"/>
                <w:szCs w:val="18"/>
                <w:lang w:val="hr-HR"/>
              </w:rPr>
            </w:pPr>
          </w:p>
        </w:tc>
        <w:tc>
          <w:tcPr>
            <w:tcW w:w="577" w:type="pct"/>
            <w:tcBorders>
              <w:top w:val="single" w:sz="4" w:space="0" w:color="auto"/>
              <w:left w:val="nil"/>
              <w:right w:val="nil"/>
            </w:tcBorders>
            <w:shd w:val="clear" w:color="auto" w:fill="auto"/>
            <w:vAlign w:val="bottom"/>
          </w:tcPr>
          <w:p w:rsidR="00885C80" w:rsidRPr="00CD3A2D" w:rsidRDefault="00885C80" w:rsidP="00F73AE6">
            <w:pPr>
              <w:jc w:val="right"/>
              <w:rPr>
                <w:rFonts w:ascii="Calibri" w:hAnsi="Calibri"/>
                <w:b/>
                <w:bCs/>
                <w:sz w:val="18"/>
                <w:szCs w:val="18"/>
                <w:lang w:val="hr-HR"/>
              </w:rPr>
            </w:pPr>
          </w:p>
        </w:tc>
        <w:tc>
          <w:tcPr>
            <w:tcW w:w="577" w:type="pct"/>
            <w:tcBorders>
              <w:top w:val="single" w:sz="4" w:space="0" w:color="auto"/>
              <w:left w:val="nil"/>
              <w:right w:val="nil"/>
            </w:tcBorders>
            <w:shd w:val="clear" w:color="auto" w:fill="auto"/>
            <w:vAlign w:val="bottom"/>
          </w:tcPr>
          <w:p w:rsidR="00885C80" w:rsidRPr="00CD3A2D" w:rsidRDefault="00885C80" w:rsidP="00F73AE6">
            <w:pPr>
              <w:jc w:val="right"/>
              <w:rPr>
                <w:rFonts w:ascii="Calibri" w:hAnsi="Calibri"/>
                <w:b/>
                <w:bCs/>
                <w:sz w:val="18"/>
                <w:szCs w:val="18"/>
                <w:lang w:val="hr-HR"/>
              </w:rPr>
            </w:pPr>
          </w:p>
        </w:tc>
        <w:tc>
          <w:tcPr>
            <w:tcW w:w="577" w:type="pct"/>
            <w:tcBorders>
              <w:top w:val="single" w:sz="4" w:space="0" w:color="auto"/>
              <w:left w:val="nil"/>
              <w:right w:val="nil"/>
            </w:tcBorders>
            <w:shd w:val="clear" w:color="auto" w:fill="auto"/>
            <w:vAlign w:val="bottom"/>
          </w:tcPr>
          <w:p w:rsidR="00885C80" w:rsidRPr="00CD3A2D" w:rsidRDefault="00885C80" w:rsidP="00F73AE6">
            <w:pPr>
              <w:jc w:val="right"/>
              <w:rPr>
                <w:rFonts w:ascii="Calibri" w:hAnsi="Calibri"/>
                <w:b/>
                <w:bCs/>
                <w:sz w:val="18"/>
                <w:szCs w:val="18"/>
                <w:lang w:val="hr-HR"/>
              </w:rPr>
            </w:pPr>
          </w:p>
        </w:tc>
        <w:tc>
          <w:tcPr>
            <w:tcW w:w="577" w:type="pct"/>
            <w:tcBorders>
              <w:top w:val="single" w:sz="4" w:space="0" w:color="auto"/>
              <w:left w:val="nil"/>
              <w:right w:val="nil"/>
            </w:tcBorders>
            <w:shd w:val="clear" w:color="auto" w:fill="auto"/>
            <w:vAlign w:val="bottom"/>
          </w:tcPr>
          <w:p w:rsidR="00885C80" w:rsidRPr="00CD3A2D" w:rsidRDefault="00885C80" w:rsidP="00F73AE6">
            <w:pPr>
              <w:jc w:val="right"/>
              <w:rPr>
                <w:rFonts w:ascii="Calibri" w:hAnsi="Calibri"/>
                <w:b/>
                <w:bCs/>
                <w:sz w:val="18"/>
                <w:szCs w:val="18"/>
                <w:lang w:val="hr-HR"/>
              </w:rPr>
            </w:pPr>
          </w:p>
        </w:tc>
        <w:tc>
          <w:tcPr>
            <w:tcW w:w="577" w:type="pct"/>
            <w:tcBorders>
              <w:top w:val="single" w:sz="4" w:space="0" w:color="auto"/>
              <w:left w:val="nil"/>
              <w:right w:val="nil"/>
            </w:tcBorders>
            <w:shd w:val="clear" w:color="auto" w:fill="auto"/>
            <w:vAlign w:val="bottom"/>
          </w:tcPr>
          <w:p w:rsidR="00885C80" w:rsidRPr="00CD3A2D" w:rsidRDefault="00885C80" w:rsidP="00F73AE6">
            <w:pPr>
              <w:jc w:val="right"/>
              <w:rPr>
                <w:rFonts w:ascii="Calibri" w:hAnsi="Calibri"/>
                <w:b/>
                <w:bCs/>
                <w:sz w:val="18"/>
                <w:szCs w:val="18"/>
                <w:lang w:val="hr-HR"/>
              </w:rPr>
            </w:pPr>
          </w:p>
        </w:tc>
        <w:tc>
          <w:tcPr>
            <w:tcW w:w="577" w:type="pct"/>
            <w:tcBorders>
              <w:top w:val="single" w:sz="4" w:space="0" w:color="auto"/>
              <w:left w:val="nil"/>
              <w:right w:val="nil"/>
            </w:tcBorders>
            <w:shd w:val="clear" w:color="auto" w:fill="auto"/>
            <w:vAlign w:val="bottom"/>
          </w:tcPr>
          <w:p w:rsidR="00885C80" w:rsidRPr="00CD3A2D" w:rsidRDefault="00885C80" w:rsidP="00F73AE6">
            <w:pPr>
              <w:jc w:val="right"/>
              <w:rPr>
                <w:rFonts w:ascii="Calibri" w:hAnsi="Calibri"/>
                <w:b/>
                <w:bCs/>
                <w:sz w:val="18"/>
                <w:szCs w:val="18"/>
                <w:lang w:val="hr-HR"/>
              </w:rPr>
            </w:pPr>
          </w:p>
        </w:tc>
        <w:tc>
          <w:tcPr>
            <w:tcW w:w="575" w:type="pct"/>
            <w:tcBorders>
              <w:top w:val="single" w:sz="4" w:space="0" w:color="auto"/>
              <w:left w:val="nil"/>
              <w:right w:val="nil"/>
            </w:tcBorders>
            <w:shd w:val="clear" w:color="auto" w:fill="auto"/>
            <w:vAlign w:val="bottom"/>
          </w:tcPr>
          <w:p w:rsidR="00885C80" w:rsidRPr="00CD3A2D" w:rsidRDefault="00885C80" w:rsidP="00F73AE6">
            <w:pPr>
              <w:jc w:val="right"/>
              <w:rPr>
                <w:rFonts w:ascii="Calibri" w:hAnsi="Calibri"/>
                <w:b/>
                <w:bCs/>
                <w:sz w:val="18"/>
                <w:szCs w:val="18"/>
                <w:lang w:val="hr-HR"/>
              </w:rPr>
            </w:pPr>
          </w:p>
        </w:tc>
      </w:tr>
      <w:tr w:rsidR="00885C80" w:rsidRPr="001567C8" w:rsidTr="008402AC">
        <w:trPr>
          <w:trHeight w:val="478"/>
        </w:trPr>
        <w:tc>
          <w:tcPr>
            <w:tcW w:w="962" w:type="pct"/>
            <w:shd w:val="clear" w:color="auto" w:fill="auto"/>
            <w:vAlign w:val="bottom"/>
          </w:tcPr>
          <w:p w:rsidR="00FB2E98" w:rsidRPr="001567C8" w:rsidRDefault="00FB2E98" w:rsidP="00FB2E98">
            <w:pPr>
              <w:pStyle w:val="Tot"/>
              <w:spacing w:line="240" w:lineRule="exact"/>
              <w:rPr>
                <w:rFonts w:asciiTheme="minorHAnsi" w:hAnsiTheme="minorHAnsi" w:cs="Arial"/>
                <w:b/>
                <w:bCs/>
                <w:sz w:val="18"/>
                <w:szCs w:val="18"/>
                <w:lang w:val="hr-HR"/>
              </w:rPr>
            </w:pPr>
            <w:r>
              <w:rPr>
                <w:rFonts w:asciiTheme="minorHAnsi" w:hAnsiTheme="minorHAnsi" w:cs="Arial"/>
                <w:b/>
                <w:bCs/>
                <w:sz w:val="18"/>
                <w:szCs w:val="18"/>
                <w:lang w:val="hr-HR"/>
              </w:rPr>
              <w:t>Neto knjigovodstvena</w:t>
            </w:r>
            <w:r w:rsidRPr="001567C8">
              <w:rPr>
                <w:rFonts w:asciiTheme="minorHAnsi" w:hAnsiTheme="minorHAnsi" w:cs="Arial"/>
                <w:b/>
                <w:bCs/>
                <w:sz w:val="18"/>
                <w:szCs w:val="18"/>
                <w:lang w:val="hr-HR"/>
              </w:rPr>
              <w:t xml:space="preserve"> vrijednost </w:t>
            </w:r>
          </w:p>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2017.</w:t>
            </w:r>
          </w:p>
        </w:tc>
        <w:tc>
          <w:tcPr>
            <w:tcW w:w="577" w:type="pct"/>
            <w:tcBorders>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46.621</w:t>
            </w:r>
          </w:p>
        </w:tc>
        <w:tc>
          <w:tcPr>
            <w:tcW w:w="577" w:type="pct"/>
            <w:tcBorders>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766</w:t>
            </w:r>
          </w:p>
        </w:tc>
        <w:tc>
          <w:tcPr>
            <w:tcW w:w="577" w:type="pct"/>
            <w:tcBorders>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1.408</w:t>
            </w:r>
          </w:p>
        </w:tc>
        <w:tc>
          <w:tcPr>
            <w:tcW w:w="577" w:type="pct"/>
            <w:tcBorders>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707</w:t>
            </w:r>
          </w:p>
        </w:tc>
        <w:tc>
          <w:tcPr>
            <w:tcW w:w="577" w:type="pct"/>
            <w:tcBorders>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49.502</w:t>
            </w:r>
          </w:p>
        </w:tc>
        <w:tc>
          <w:tcPr>
            <w:tcW w:w="577" w:type="pct"/>
            <w:tcBorders>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4.012</w:t>
            </w:r>
          </w:p>
        </w:tc>
        <w:tc>
          <w:tcPr>
            <w:tcW w:w="575" w:type="pct"/>
            <w:tcBorders>
              <w:left w:val="nil"/>
              <w:bottom w:val="single" w:sz="12" w:space="0" w:color="auto"/>
              <w:right w:val="nil"/>
            </w:tcBorders>
            <w:shd w:val="clear" w:color="auto" w:fill="auto"/>
            <w:vAlign w:val="bottom"/>
          </w:tcPr>
          <w:p w:rsidR="00885C80" w:rsidRPr="00CD3A2D" w:rsidRDefault="00885C80" w:rsidP="00F73AE6">
            <w:pPr>
              <w:jc w:val="right"/>
              <w:rPr>
                <w:rFonts w:ascii="Calibri" w:hAnsi="Calibri"/>
                <w:b/>
                <w:bCs/>
                <w:sz w:val="18"/>
                <w:szCs w:val="18"/>
                <w:lang w:val="hr-HR"/>
              </w:rPr>
            </w:pPr>
            <w:r w:rsidRPr="00CD3A2D">
              <w:rPr>
                <w:rFonts w:ascii="Calibri" w:hAnsi="Calibri"/>
                <w:b/>
                <w:bCs/>
                <w:sz w:val="18"/>
                <w:szCs w:val="18"/>
                <w:lang w:val="hr-HR"/>
              </w:rPr>
              <w:t>53.514</w:t>
            </w:r>
          </w:p>
        </w:tc>
      </w:tr>
      <w:tr w:rsidR="00885C80" w:rsidRPr="001567C8" w:rsidTr="008402AC">
        <w:trPr>
          <w:trHeight w:val="490"/>
        </w:trPr>
        <w:tc>
          <w:tcPr>
            <w:tcW w:w="962" w:type="pct"/>
            <w:shd w:val="clear" w:color="auto" w:fill="auto"/>
            <w:vAlign w:val="bottom"/>
          </w:tcPr>
          <w:p w:rsidR="00FB2E98" w:rsidRPr="001567C8" w:rsidRDefault="00FB2E98" w:rsidP="00FB2E98">
            <w:pPr>
              <w:pStyle w:val="Tot"/>
              <w:spacing w:line="240" w:lineRule="exact"/>
              <w:rPr>
                <w:rFonts w:asciiTheme="minorHAnsi" w:hAnsiTheme="minorHAnsi" w:cs="Arial"/>
                <w:b/>
                <w:bCs/>
                <w:sz w:val="18"/>
                <w:szCs w:val="18"/>
                <w:lang w:val="hr-HR"/>
              </w:rPr>
            </w:pPr>
            <w:r>
              <w:rPr>
                <w:rFonts w:asciiTheme="minorHAnsi" w:hAnsiTheme="minorHAnsi" w:cs="Arial"/>
                <w:b/>
                <w:bCs/>
                <w:sz w:val="18"/>
                <w:szCs w:val="18"/>
                <w:lang w:val="hr-HR"/>
              </w:rPr>
              <w:t>Neto knjigovodstvena</w:t>
            </w:r>
            <w:r w:rsidRPr="001567C8">
              <w:rPr>
                <w:rFonts w:asciiTheme="minorHAnsi" w:hAnsiTheme="minorHAnsi" w:cs="Arial"/>
                <w:b/>
                <w:bCs/>
                <w:sz w:val="18"/>
                <w:szCs w:val="18"/>
                <w:lang w:val="hr-HR"/>
              </w:rPr>
              <w:t xml:space="preserve"> vrijednost </w:t>
            </w:r>
          </w:p>
          <w:p w:rsidR="00885C80" w:rsidRPr="001567C8" w:rsidRDefault="00885C80" w:rsidP="00F73AE6">
            <w:pPr>
              <w:pStyle w:val="Tot"/>
              <w:spacing w:line="24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31. prosinca 2016.</w:t>
            </w:r>
          </w:p>
        </w:tc>
        <w:tc>
          <w:tcPr>
            <w:tcW w:w="577" w:type="pct"/>
            <w:tcBorders>
              <w:top w:val="single" w:sz="12" w:space="0" w:color="auto"/>
              <w:left w:val="nil"/>
              <w:bottom w:val="single" w:sz="12" w:space="0" w:color="auto"/>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48.957</w:t>
            </w:r>
          </w:p>
        </w:tc>
        <w:tc>
          <w:tcPr>
            <w:tcW w:w="577" w:type="pct"/>
            <w:tcBorders>
              <w:top w:val="single" w:sz="12" w:space="0" w:color="auto"/>
              <w:left w:val="nil"/>
              <w:bottom w:val="single" w:sz="12" w:space="0" w:color="auto"/>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1.501</w:t>
            </w:r>
          </w:p>
        </w:tc>
        <w:tc>
          <w:tcPr>
            <w:tcW w:w="577" w:type="pct"/>
            <w:tcBorders>
              <w:top w:val="single" w:sz="12" w:space="0" w:color="auto"/>
              <w:left w:val="nil"/>
              <w:bottom w:val="single" w:sz="12" w:space="0" w:color="auto"/>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2.018</w:t>
            </w:r>
          </w:p>
        </w:tc>
        <w:tc>
          <w:tcPr>
            <w:tcW w:w="577" w:type="pct"/>
            <w:tcBorders>
              <w:top w:val="single" w:sz="12" w:space="0" w:color="auto"/>
              <w:left w:val="nil"/>
              <w:bottom w:val="single" w:sz="12" w:space="0" w:color="auto"/>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1.036</w:t>
            </w:r>
          </w:p>
        </w:tc>
        <w:tc>
          <w:tcPr>
            <w:tcW w:w="577" w:type="pct"/>
            <w:tcBorders>
              <w:top w:val="single" w:sz="12" w:space="0" w:color="auto"/>
              <w:left w:val="nil"/>
              <w:bottom w:val="single" w:sz="12" w:space="0" w:color="auto"/>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53.512</w:t>
            </w:r>
          </w:p>
        </w:tc>
        <w:tc>
          <w:tcPr>
            <w:tcW w:w="577" w:type="pct"/>
            <w:tcBorders>
              <w:top w:val="single" w:sz="12" w:space="0" w:color="auto"/>
              <w:left w:val="nil"/>
              <w:bottom w:val="single" w:sz="12" w:space="0" w:color="auto"/>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3.704</w:t>
            </w:r>
          </w:p>
        </w:tc>
        <w:tc>
          <w:tcPr>
            <w:tcW w:w="575" w:type="pct"/>
            <w:tcBorders>
              <w:top w:val="single" w:sz="12" w:space="0" w:color="auto"/>
              <w:left w:val="nil"/>
              <w:bottom w:val="single" w:sz="12" w:space="0" w:color="auto"/>
              <w:right w:val="nil"/>
            </w:tcBorders>
            <w:shd w:val="clear" w:color="auto" w:fill="auto"/>
            <w:vAlign w:val="bottom"/>
          </w:tcPr>
          <w:p w:rsidR="00885C80" w:rsidRPr="001567C8" w:rsidRDefault="00885C80" w:rsidP="00F73AE6">
            <w:pPr>
              <w:pStyle w:val="Tot"/>
              <w:tabs>
                <w:tab w:val="clear" w:pos="1202"/>
              </w:tabs>
              <w:jc w:val="right"/>
              <w:rPr>
                <w:rFonts w:asciiTheme="minorHAnsi" w:hAnsiTheme="minorHAnsi" w:cs="Arial"/>
                <w:b/>
                <w:sz w:val="18"/>
                <w:szCs w:val="18"/>
                <w:lang w:val="hr-HR"/>
              </w:rPr>
            </w:pPr>
            <w:r w:rsidRPr="00CD3A2D">
              <w:rPr>
                <w:rFonts w:ascii="Calibri" w:hAnsi="Calibri"/>
                <w:b/>
                <w:bCs/>
                <w:sz w:val="18"/>
                <w:szCs w:val="18"/>
                <w:lang w:val="hr-HR"/>
              </w:rPr>
              <w:t>57.216</w:t>
            </w:r>
          </w:p>
        </w:tc>
      </w:tr>
    </w:tbl>
    <w:p w:rsidR="003613E4" w:rsidRPr="001567C8" w:rsidRDefault="003613E4" w:rsidP="001F076C">
      <w:pPr>
        <w:pStyle w:val="T1"/>
        <w:spacing w:before="120" w:line="300" w:lineRule="exact"/>
        <w:rPr>
          <w:rFonts w:asciiTheme="minorHAnsi" w:hAnsiTheme="minorHAnsi" w:cs="Arial"/>
          <w:sz w:val="22"/>
          <w:szCs w:val="22"/>
          <w:lang w:val="hr-HR"/>
        </w:rPr>
      </w:pPr>
    </w:p>
    <w:p w:rsidR="003F32F9" w:rsidRPr="001567C8" w:rsidRDefault="003F32F9" w:rsidP="000E45AD">
      <w:pPr>
        <w:tabs>
          <w:tab w:val="left" w:pos="-720"/>
        </w:tabs>
        <w:suppressAutoHyphens/>
        <w:ind w:right="-1180"/>
        <w:rPr>
          <w:rFonts w:asciiTheme="minorHAnsi" w:hAnsiTheme="minorHAnsi" w:cs="Arial"/>
          <w:sz w:val="22"/>
          <w:szCs w:val="22"/>
          <w:lang w:val="hr-HR"/>
          <w14:shadow w14:blurRad="50800" w14:dist="38100" w14:dir="2700000" w14:sx="100000" w14:sy="100000" w14:kx="0" w14:ky="0" w14:algn="tl">
            <w14:srgbClr w14:val="000000">
              <w14:alpha w14:val="60000"/>
            </w14:srgbClr>
          </w14:shadow>
        </w:rPr>
      </w:pPr>
    </w:p>
    <w:p w:rsidR="001418AC" w:rsidRPr="001567C8" w:rsidRDefault="001418AC" w:rsidP="001418AC">
      <w:pPr>
        <w:pStyle w:val="T1"/>
        <w:keepNext w:val="0"/>
        <w:spacing w:after="0" w:line="240" w:lineRule="auto"/>
        <w:ind w:left="357"/>
        <w:rPr>
          <w:rFonts w:asciiTheme="minorHAnsi" w:hAnsiTheme="minorHAnsi" w:cs="Arial"/>
          <w:sz w:val="22"/>
          <w:szCs w:val="22"/>
          <w:lang w:val="hr-HR"/>
        </w:rPr>
      </w:pPr>
    </w:p>
    <w:p w:rsidR="00307E4C" w:rsidRPr="001567C8" w:rsidRDefault="00307E4C" w:rsidP="00D14CB5">
      <w:pPr>
        <w:pStyle w:val="T1"/>
        <w:keepNext w:val="0"/>
        <w:spacing w:after="0" w:line="240" w:lineRule="auto"/>
        <w:rPr>
          <w:rFonts w:asciiTheme="minorHAnsi" w:hAnsiTheme="minorHAnsi" w:cs="Arial"/>
          <w:sz w:val="22"/>
          <w:szCs w:val="22"/>
          <w:lang w:val="hr-HR"/>
        </w:rPr>
        <w:sectPr w:rsidR="00307E4C" w:rsidRPr="001567C8" w:rsidSect="003E2D7A">
          <w:pgSz w:w="11907" w:h="16840" w:code="9"/>
          <w:pgMar w:top="1418" w:right="1134" w:bottom="1134" w:left="1418" w:header="851" w:footer="851" w:gutter="0"/>
          <w:cols w:space="720"/>
          <w:noEndnote/>
        </w:sectPr>
      </w:pPr>
    </w:p>
    <w:p w:rsidR="00B85D36" w:rsidRPr="001567C8" w:rsidRDefault="00B85D36" w:rsidP="00B85D36">
      <w:pPr>
        <w:pStyle w:val="T1"/>
        <w:spacing w:before="0" w:after="0" w:line="240" w:lineRule="auto"/>
        <w:rPr>
          <w:rFonts w:asciiTheme="minorHAnsi" w:hAnsiTheme="minorHAnsi" w:cs="Arial"/>
          <w:sz w:val="22"/>
          <w:szCs w:val="22"/>
          <w:lang w:val="hr-HR"/>
        </w:rPr>
      </w:pPr>
    </w:p>
    <w:p w:rsidR="006D0890" w:rsidRPr="001567C8" w:rsidRDefault="00C9220F" w:rsidP="00B85D3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25</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r>
      <w:r w:rsidR="0093316D">
        <w:rPr>
          <w:rFonts w:asciiTheme="minorHAnsi" w:hAnsiTheme="minorHAnsi" w:cs="Arial"/>
          <w:sz w:val="22"/>
          <w:szCs w:val="22"/>
          <w:lang w:val="hr-HR"/>
        </w:rPr>
        <w:t>Preuzeta imovina</w:t>
      </w:r>
    </w:p>
    <w:p w:rsidR="006D0890" w:rsidRPr="001567C8" w:rsidRDefault="006D0890">
      <w:pPr>
        <w:tabs>
          <w:tab w:val="left" w:pos="-1985"/>
        </w:tabs>
        <w:suppressAutoHyphens/>
        <w:rPr>
          <w:rFonts w:asciiTheme="minorHAnsi" w:hAnsiTheme="minorHAnsi" w:cs="Arial"/>
          <w:b/>
          <w:sz w:val="22"/>
          <w:szCs w:val="22"/>
          <w:u w:val="single"/>
          <w:lang w:val="hr-HR"/>
        </w:rPr>
      </w:pPr>
    </w:p>
    <w:tbl>
      <w:tblPr>
        <w:tblW w:w="5314" w:type="pct"/>
        <w:tblInd w:w="-426" w:type="dxa"/>
        <w:tblLayout w:type="fixed"/>
        <w:tblCellMar>
          <w:left w:w="119" w:type="dxa"/>
          <w:right w:w="119" w:type="dxa"/>
        </w:tblCellMar>
        <w:tblLook w:val="0000" w:firstRow="0" w:lastRow="0" w:firstColumn="0" w:lastColumn="0" w:noHBand="0" w:noVBand="0"/>
      </w:tblPr>
      <w:tblGrid>
        <w:gridCol w:w="4488"/>
        <w:gridCol w:w="1366"/>
        <w:gridCol w:w="1372"/>
        <w:gridCol w:w="1366"/>
        <w:gridCol w:w="1350"/>
      </w:tblGrid>
      <w:tr w:rsidR="00B61238" w:rsidRPr="001567C8" w:rsidTr="003C6BA3">
        <w:trPr>
          <w:trHeight w:val="240"/>
        </w:trPr>
        <w:tc>
          <w:tcPr>
            <w:tcW w:w="2257" w:type="pct"/>
          </w:tcPr>
          <w:p w:rsidR="00B61238" w:rsidRPr="001567C8" w:rsidRDefault="00B61238">
            <w:pPr>
              <w:tabs>
                <w:tab w:val="left" w:pos="-720"/>
              </w:tabs>
              <w:suppressAutoHyphens/>
              <w:rPr>
                <w:rFonts w:asciiTheme="minorHAnsi" w:hAnsiTheme="minorHAnsi" w:cs="Arial"/>
                <w:spacing w:val="-2"/>
                <w:sz w:val="22"/>
                <w:szCs w:val="22"/>
                <w:lang w:val="hr-HR"/>
              </w:rPr>
            </w:pPr>
          </w:p>
        </w:tc>
        <w:tc>
          <w:tcPr>
            <w:tcW w:w="1377" w:type="pct"/>
            <w:gridSpan w:val="2"/>
          </w:tcPr>
          <w:p w:rsidR="00B61238" w:rsidRPr="001567C8" w:rsidRDefault="00B61238">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366" w:type="pct"/>
            <w:gridSpan w:val="2"/>
          </w:tcPr>
          <w:p w:rsidR="00B61238" w:rsidRPr="001567C8" w:rsidRDefault="00B61238">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00793E" w:rsidRPr="001567C8" w:rsidTr="003C6BA3">
        <w:trPr>
          <w:trHeight w:val="730"/>
        </w:trPr>
        <w:tc>
          <w:tcPr>
            <w:tcW w:w="2257" w:type="pct"/>
          </w:tcPr>
          <w:p w:rsidR="0000793E" w:rsidRPr="001567C8" w:rsidRDefault="0000793E" w:rsidP="0000793E">
            <w:pPr>
              <w:tabs>
                <w:tab w:val="left" w:pos="-720"/>
              </w:tabs>
              <w:suppressAutoHyphens/>
              <w:rPr>
                <w:rFonts w:asciiTheme="minorHAnsi" w:hAnsiTheme="minorHAnsi" w:cs="Arial"/>
                <w:spacing w:val="-2"/>
                <w:sz w:val="22"/>
                <w:szCs w:val="22"/>
                <w:lang w:val="hr-HR"/>
              </w:rPr>
            </w:pPr>
          </w:p>
        </w:tc>
        <w:tc>
          <w:tcPr>
            <w:tcW w:w="687" w:type="pct"/>
            <w:vAlign w:val="center"/>
          </w:tcPr>
          <w:p w:rsidR="0000793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31. prosinca</w:t>
            </w:r>
            <w:r w:rsidR="009F768B" w:rsidRPr="001567C8">
              <w:rPr>
                <w:rFonts w:asciiTheme="minorHAnsi" w:hAnsiTheme="minorHAnsi" w:cs="Arial"/>
                <w:sz w:val="22"/>
                <w:szCs w:val="22"/>
                <w:lang w:val="hr-HR"/>
              </w:rPr>
              <w:t xml:space="preserve"> </w:t>
            </w:r>
            <w:r w:rsidR="0000793E" w:rsidRPr="001567C8">
              <w:rPr>
                <w:rFonts w:asciiTheme="minorHAnsi" w:hAnsiTheme="minorHAnsi" w:cs="Arial"/>
                <w:sz w:val="22"/>
                <w:szCs w:val="22"/>
                <w:lang w:val="hr-HR"/>
              </w:rPr>
              <w:t>201</w:t>
            </w:r>
            <w:r w:rsidR="00CA2E8F" w:rsidRPr="001567C8">
              <w:rPr>
                <w:rFonts w:asciiTheme="minorHAnsi" w:hAnsiTheme="minorHAnsi" w:cs="Arial"/>
                <w:sz w:val="22"/>
                <w:szCs w:val="22"/>
                <w:lang w:val="hr-HR"/>
              </w:rPr>
              <w:t>8</w:t>
            </w:r>
            <w:r w:rsidR="0000793E" w:rsidRPr="001567C8">
              <w:rPr>
                <w:rFonts w:asciiTheme="minorHAnsi" w:hAnsiTheme="minorHAnsi" w:cs="Arial"/>
                <w:sz w:val="22"/>
                <w:szCs w:val="22"/>
                <w:lang w:val="hr-HR"/>
              </w:rPr>
              <w:t>.</w:t>
            </w:r>
          </w:p>
        </w:tc>
        <w:tc>
          <w:tcPr>
            <w:tcW w:w="690" w:type="pct"/>
            <w:vAlign w:val="center"/>
          </w:tcPr>
          <w:p w:rsidR="0000793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00793E" w:rsidRPr="001567C8">
              <w:rPr>
                <w:rFonts w:asciiTheme="minorHAnsi" w:hAnsiTheme="minorHAnsi" w:cs="Arial"/>
                <w:sz w:val="22"/>
                <w:szCs w:val="22"/>
                <w:lang w:val="hr-HR"/>
              </w:rPr>
              <w:t>201</w:t>
            </w:r>
            <w:r w:rsidR="00CA2E8F" w:rsidRPr="001567C8">
              <w:rPr>
                <w:rFonts w:asciiTheme="minorHAnsi" w:hAnsiTheme="minorHAnsi" w:cs="Arial"/>
                <w:sz w:val="22"/>
                <w:szCs w:val="22"/>
                <w:lang w:val="hr-HR"/>
              </w:rPr>
              <w:t>7</w:t>
            </w:r>
            <w:r w:rsidR="0000793E" w:rsidRPr="001567C8">
              <w:rPr>
                <w:rFonts w:asciiTheme="minorHAnsi" w:hAnsiTheme="minorHAnsi" w:cs="Arial"/>
                <w:sz w:val="22"/>
                <w:szCs w:val="22"/>
                <w:lang w:val="hr-HR"/>
              </w:rPr>
              <w:t>.</w:t>
            </w:r>
          </w:p>
        </w:tc>
        <w:tc>
          <w:tcPr>
            <w:tcW w:w="687" w:type="pct"/>
            <w:vAlign w:val="center"/>
          </w:tcPr>
          <w:p w:rsidR="0000793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00793E" w:rsidRPr="001567C8">
              <w:rPr>
                <w:rFonts w:asciiTheme="minorHAnsi" w:hAnsiTheme="minorHAnsi" w:cs="Arial"/>
                <w:sz w:val="22"/>
                <w:szCs w:val="22"/>
                <w:lang w:val="hr-HR"/>
              </w:rPr>
              <w:t>201</w:t>
            </w:r>
            <w:r w:rsidR="00CA2E8F" w:rsidRPr="001567C8">
              <w:rPr>
                <w:rFonts w:asciiTheme="minorHAnsi" w:hAnsiTheme="minorHAnsi" w:cs="Arial"/>
                <w:sz w:val="22"/>
                <w:szCs w:val="22"/>
                <w:lang w:val="hr-HR"/>
              </w:rPr>
              <w:t>8</w:t>
            </w:r>
            <w:r w:rsidR="0000793E" w:rsidRPr="001567C8">
              <w:rPr>
                <w:rFonts w:asciiTheme="minorHAnsi" w:hAnsiTheme="minorHAnsi" w:cs="Arial"/>
                <w:sz w:val="22"/>
                <w:szCs w:val="22"/>
                <w:lang w:val="hr-HR"/>
              </w:rPr>
              <w:t>.</w:t>
            </w:r>
          </w:p>
        </w:tc>
        <w:tc>
          <w:tcPr>
            <w:tcW w:w="679" w:type="pct"/>
            <w:vAlign w:val="center"/>
          </w:tcPr>
          <w:p w:rsidR="0000793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00793E" w:rsidRPr="001567C8">
              <w:rPr>
                <w:rFonts w:asciiTheme="minorHAnsi" w:hAnsiTheme="minorHAnsi" w:cs="Arial"/>
                <w:sz w:val="22"/>
                <w:szCs w:val="22"/>
                <w:lang w:val="hr-HR"/>
              </w:rPr>
              <w:t>201</w:t>
            </w:r>
            <w:r w:rsidR="00CA2E8F" w:rsidRPr="001567C8">
              <w:rPr>
                <w:rFonts w:asciiTheme="minorHAnsi" w:hAnsiTheme="minorHAnsi" w:cs="Arial"/>
                <w:sz w:val="22"/>
                <w:szCs w:val="22"/>
                <w:lang w:val="hr-HR"/>
              </w:rPr>
              <w:t>7</w:t>
            </w:r>
            <w:r w:rsidR="0000793E" w:rsidRPr="001567C8">
              <w:rPr>
                <w:rFonts w:asciiTheme="minorHAnsi" w:hAnsiTheme="minorHAnsi" w:cs="Arial"/>
                <w:sz w:val="22"/>
                <w:szCs w:val="22"/>
                <w:lang w:val="hr-HR"/>
              </w:rPr>
              <w:t>.</w:t>
            </w:r>
          </w:p>
        </w:tc>
      </w:tr>
      <w:tr w:rsidR="0000793E" w:rsidRPr="001567C8" w:rsidTr="003C6BA3">
        <w:trPr>
          <w:trHeight w:val="227"/>
        </w:trPr>
        <w:tc>
          <w:tcPr>
            <w:tcW w:w="2257" w:type="pct"/>
          </w:tcPr>
          <w:p w:rsidR="0000793E" w:rsidRPr="001567C8" w:rsidRDefault="0000793E" w:rsidP="0000793E">
            <w:pPr>
              <w:tabs>
                <w:tab w:val="left" w:pos="-720"/>
              </w:tabs>
              <w:suppressAutoHyphens/>
              <w:rPr>
                <w:rFonts w:asciiTheme="minorHAnsi" w:hAnsiTheme="minorHAnsi" w:cs="Arial"/>
                <w:spacing w:val="-2"/>
                <w:sz w:val="22"/>
                <w:szCs w:val="22"/>
                <w:lang w:val="hr-HR"/>
              </w:rPr>
            </w:pPr>
          </w:p>
        </w:tc>
        <w:tc>
          <w:tcPr>
            <w:tcW w:w="687" w:type="pct"/>
            <w:vAlign w:val="bottom"/>
          </w:tcPr>
          <w:p w:rsidR="0000793E" w:rsidRPr="001567C8" w:rsidRDefault="0000793E" w:rsidP="0000793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90" w:type="pct"/>
            <w:vAlign w:val="bottom"/>
          </w:tcPr>
          <w:p w:rsidR="0000793E" w:rsidRPr="001567C8" w:rsidRDefault="0000793E" w:rsidP="0000793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87" w:type="pct"/>
            <w:vAlign w:val="bottom"/>
          </w:tcPr>
          <w:p w:rsidR="0000793E" w:rsidRPr="001567C8" w:rsidRDefault="0000793E" w:rsidP="0000793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679" w:type="pct"/>
            <w:vAlign w:val="bottom"/>
          </w:tcPr>
          <w:p w:rsidR="0000793E" w:rsidRPr="001567C8" w:rsidRDefault="0000793E" w:rsidP="0000793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00793E" w:rsidRPr="001567C8" w:rsidTr="003C6BA3">
        <w:trPr>
          <w:trHeight w:hRule="exact" w:val="113"/>
        </w:trPr>
        <w:tc>
          <w:tcPr>
            <w:tcW w:w="2257" w:type="pct"/>
          </w:tcPr>
          <w:p w:rsidR="0000793E" w:rsidRPr="001567C8" w:rsidRDefault="0000793E" w:rsidP="0000793E">
            <w:pPr>
              <w:tabs>
                <w:tab w:val="left" w:pos="-720"/>
              </w:tabs>
              <w:suppressAutoHyphens/>
              <w:rPr>
                <w:rFonts w:asciiTheme="minorHAnsi" w:hAnsiTheme="minorHAnsi" w:cs="Arial"/>
                <w:spacing w:val="-2"/>
                <w:sz w:val="22"/>
                <w:szCs w:val="22"/>
                <w:lang w:val="hr-HR"/>
              </w:rPr>
            </w:pPr>
          </w:p>
        </w:tc>
        <w:tc>
          <w:tcPr>
            <w:tcW w:w="687" w:type="pct"/>
          </w:tcPr>
          <w:p w:rsidR="0000793E" w:rsidRPr="001567C8" w:rsidRDefault="0000793E" w:rsidP="0000793E">
            <w:pPr>
              <w:tabs>
                <w:tab w:val="left" w:pos="-720"/>
              </w:tabs>
              <w:suppressAutoHyphens/>
              <w:jc w:val="right"/>
              <w:rPr>
                <w:rFonts w:asciiTheme="minorHAnsi" w:hAnsiTheme="minorHAnsi" w:cs="Arial"/>
                <w:b/>
                <w:spacing w:val="-2"/>
                <w:sz w:val="22"/>
                <w:szCs w:val="22"/>
                <w:lang w:val="hr-HR"/>
              </w:rPr>
            </w:pPr>
          </w:p>
        </w:tc>
        <w:tc>
          <w:tcPr>
            <w:tcW w:w="690" w:type="pct"/>
          </w:tcPr>
          <w:p w:rsidR="0000793E" w:rsidRPr="001567C8" w:rsidRDefault="0000793E" w:rsidP="0000793E">
            <w:pPr>
              <w:tabs>
                <w:tab w:val="left" w:pos="-720"/>
              </w:tabs>
              <w:suppressAutoHyphens/>
              <w:jc w:val="right"/>
              <w:rPr>
                <w:rFonts w:asciiTheme="minorHAnsi" w:hAnsiTheme="minorHAnsi" w:cs="Arial"/>
                <w:b/>
                <w:spacing w:val="-2"/>
                <w:sz w:val="22"/>
                <w:szCs w:val="22"/>
                <w:lang w:val="hr-HR"/>
              </w:rPr>
            </w:pPr>
          </w:p>
        </w:tc>
        <w:tc>
          <w:tcPr>
            <w:tcW w:w="687" w:type="pct"/>
            <w:vAlign w:val="bottom"/>
          </w:tcPr>
          <w:p w:rsidR="0000793E" w:rsidRPr="001567C8" w:rsidRDefault="0000793E" w:rsidP="0000793E">
            <w:pPr>
              <w:tabs>
                <w:tab w:val="left" w:pos="-720"/>
              </w:tabs>
              <w:suppressAutoHyphens/>
              <w:jc w:val="right"/>
              <w:rPr>
                <w:rFonts w:asciiTheme="minorHAnsi" w:hAnsiTheme="minorHAnsi" w:cs="Arial"/>
                <w:b/>
                <w:spacing w:val="-2"/>
                <w:sz w:val="22"/>
                <w:szCs w:val="22"/>
                <w:lang w:val="hr-HR"/>
              </w:rPr>
            </w:pPr>
          </w:p>
        </w:tc>
        <w:tc>
          <w:tcPr>
            <w:tcW w:w="679" w:type="pct"/>
            <w:vAlign w:val="bottom"/>
          </w:tcPr>
          <w:p w:rsidR="0000793E" w:rsidRPr="001567C8" w:rsidRDefault="0000793E" w:rsidP="0000793E">
            <w:pPr>
              <w:tabs>
                <w:tab w:val="left" w:pos="-720"/>
              </w:tabs>
              <w:suppressAutoHyphens/>
              <w:jc w:val="right"/>
              <w:rPr>
                <w:rFonts w:asciiTheme="minorHAnsi" w:hAnsiTheme="minorHAnsi" w:cs="Arial"/>
                <w:b/>
                <w:spacing w:val="-2"/>
                <w:sz w:val="22"/>
                <w:szCs w:val="22"/>
                <w:lang w:val="hr-HR"/>
              </w:rPr>
            </w:pPr>
          </w:p>
        </w:tc>
      </w:tr>
      <w:tr w:rsidR="003F0877" w:rsidRPr="001567C8" w:rsidTr="003C6BA3">
        <w:trPr>
          <w:trHeight w:val="263"/>
        </w:trPr>
        <w:tc>
          <w:tcPr>
            <w:tcW w:w="2257" w:type="pct"/>
          </w:tcPr>
          <w:p w:rsidR="003F0877" w:rsidRPr="001567C8" w:rsidRDefault="0093316D" w:rsidP="003327E4">
            <w:pPr>
              <w:pStyle w:val="TT"/>
              <w:ind w:left="300"/>
              <w:rPr>
                <w:rFonts w:asciiTheme="minorHAnsi" w:hAnsiTheme="minorHAnsi" w:cs="Arial"/>
                <w:sz w:val="22"/>
                <w:szCs w:val="22"/>
                <w:lang w:val="hr-HR"/>
              </w:rPr>
            </w:pPr>
            <w:r>
              <w:rPr>
                <w:rFonts w:asciiTheme="minorHAnsi" w:hAnsiTheme="minorHAnsi" w:cs="Arial"/>
                <w:sz w:val="22"/>
                <w:szCs w:val="22"/>
                <w:lang w:val="hr-HR"/>
              </w:rPr>
              <w:t>Preuzeta imovina</w:t>
            </w:r>
            <w:r w:rsidR="003F0877" w:rsidRPr="001567C8">
              <w:rPr>
                <w:rFonts w:asciiTheme="minorHAnsi" w:hAnsiTheme="minorHAnsi" w:cs="Arial"/>
                <w:sz w:val="22"/>
                <w:szCs w:val="22"/>
                <w:lang w:val="hr-HR"/>
              </w:rPr>
              <w:t>, neto</w:t>
            </w:r>
          </w:p>
        </w:tc>
        <w:tc>
          <w:tcPr>
            <w:tcW w:w="687" w:type="pct"/>
            <w:tcBorders>
              <w:bottom w:val="single" w:sz="2" w:space="0" w:color="auto"/>
            </w:tcBorders>
            <w:vAlign w:val="bottom"/>
          </w:tcPr>
          <w:p w:rsidR="003F0877" w:rsidRPr="00CD3A2D" w:rsidRDefault="003F0877" w:rsidP="003F0877">
            <w:pPr>
              <w:jc w:val="right"/>
              <w:rPr>
                <w:rFonts w:ascii="Calibri" w:hAnsi="Calibri"/>
                <w:color w:val="000000"/>
                <w:sz w:val="22"/>
                <w:szCs w:val="22"/>
                <w:lang w:val="hr-HR"/>
              </w:rPr>
            </w:pPr>
            <w:r w:rsidRPr="001567C8">
              <w:rPr>
                <w:rFonts w:asciiTheme="minorHAnsi" w:hAnsiTheme="minorHAnsi" w:cs="Arial"/>
                <w:bCs/>
                <w:sz w:val="22"/>
                <w:szCs w:val="22"/>
                <w:lang w:val="hr-HR"/>
              </w:rPr>
              <w:t>25.330</w:t>
            </w:r>
          </w:p>
        </w:tc>
        <w:tc>
          <w:tcPr>
            <w:tcW w:w="690" w:type="pct"/>
            <w:tcBorders>
              <w:bottom w:val="single" w:sz="2" w:space="0" w:color="auto"/>
            </w:tcBorders>
            <w:vAlign w:val="bottom"/>
          </w:tcPr>
          <w:p w:rsidR="003F0877" w:rsidRPr="001567C8" w:rsidRDefault="003F0877" w:rsidP="003F0877">
            <w:pPr>
              <w:pStyle w:val="TT"/>
              <w:jc w:val="right"/>
              <w:rPr>
                <w:rFonts w:asciiTheme="minorHAnsi" w:hAnsiTheme="minorHAnsi" w:cs="Arial"/>
                <w:sz w:val="22"/>
                <w:szCs w:val="22"/>
                <w:lang w:val="hr-HR"/>
              </w:rPr>
            </w:pPr>
            <w:r w:rsidRPr="001567C8">
              <w:rPr>
                <w:rFonts w:asciiTheme="minorHAnsi" w:hAnsiTheme="minorHAnsi" w:cs="Arial"/>
                <w:bCs/>
                <w:sz w:val="22"/>
                <w:szCs w:val="22"/>
                <w:lang w:val="hr-HR"/>
              </w:rPr>
              <w:t>16.697</w:t>
            </w:r>
          </w:p>
        </w:tc>
        <w:tc>
          <w:tcPr>
            <w:tcW w:w="687" w:type="pct"/>
            <w:tcBorders>
              <w:bottom w:val="single" w:sz="2" w:space="0" w:color="auto"/>
            </w:tcBorders>
            <w:vAlign w:val="bottom"/>
          </w:tcPr>
          <w:p w:rsidR="003F0877" w:rsidRPr="00CD3A2D" w:rsidRDefault="003F0877" w:rsidP="003F0877">
            <w:pPr>
              <w:jc w:val="right"/>
              <w:rPr>
                <w:rFonts w:ascii="Calibri" w:hAnsi="Calibri"/>
                <w:color w:val="000000"/>
                <w:sz w:val="22"/>
                <w:szCs w:val="22"/>
                <w:lang w:val="hr-HR"/>
              </w:rPr>
            </w:pPr>
            <w:r w:rsidRPr="001567C8">
              <w:rPr>
                <w:rFonts w:asciiTheme="minorHAnsi" w:hAnsiTheme="minorHAnsi" w:cs="Arial"/>
                <w:bCs/>
                <w:sz w:val="22"/>
                <w:szCs w:val="22"/>
                <w:lang w:val="hr-HR"/>
              </w:rPr>
              <w:t>25.330</w:t>
            </w:r>
          </w:p>
        </w:tc>
        <w:tc>
          <w:tcPr>
            <w:tcW w:w="679" w:type="pct"/>
            <w:tcBorders>
              <w:bottom w:val="single" w:sz="2" w:space="0" w:color="auto"/>
            </w:tcBorders>
            <w:vAlign w:val="bottom"/>
          </w:tcPr>
          <w:p w:rsidR="003F0877" w:rsidRPr="001567C8" w:rsidRDefault="003F0877" w:rsidP="003F0877">
            <w:pPr>
              <w:pStyle w:val="TT"/>
              <w:jc w:val="right"/>
              <w:rPr>
                <w:rFonts w:asciiTheme="minorHAnsi" w:hAnsiTheme="minorHAnsi" w:cs="Arial"/>
                <w:sz w:val="22"/>
                <w:szCs w:val="22"/>
                <w:lang w:val="hr-HR"/>
              </w:rPr>
            </w:pPr>
            <w:r w:rsidRPr="001567C8">
              <w:rPr>
                <w:rFonts w:asciiTheme="minorHAnsi" w:hAnsiTheme="minorHAnsi" w:cs="Arial"/>
                <w:bCs/>
                <w:sz w:val="22"/>
                <w:szCs w:val="22"/>
                <w:lang w:val="hr-HR"/>
              </w:rPr>
              <w:t>16.697</w:t>
            </w:r>
          </w:p>
        </w:tc>
      </w:tr>
      <w:tr w:rsidR="00A7410F" w:rsidRPr="001567C8" w:rsidTr="003C6BA3">
        <w:trPr>
          <w:trHeight w:val="299"/>
        </w:trPr>
        <w:tc>
          <w:tcPr>
            <w:tcW w:w="2257" w:type="pct"/>
          </w:tcPr>
          <w:p w:rsidR="00A7410F" w:rsidRPr="001567C8" w:rsidRDefault="00A7410F" w:rsidP="00A7410F">
            <w:pPr>
              <w:tabs>
                <w:tab w:val="left" w:pos="-720"/>
              </w:tabs>
              <w:suppressAutoHyphens/>
              <w:rPr>
                <w:rFonts w:asciiTheme="minorHAnsi" w:hAnsiTheme="minorHAnsi" w:cs="Arial"/>
                <w:b/>
                <w:bCs/>
                <w:spacing w:val="-2"/>
                <w:sz w:val="22"/>
                <w:szCs w:val="22"/>
                <w:lang w:val="hr-HR"/>
              </w:rPr>
            </w:pPr>
          </w:p>
        </w:tc>
        <w:tc>
          <w:tcPr>
            <w:tcW w:w="687" w:type="pct"/>
            <w:tcBorders>
              <w:top w:val="single" w:sz="4" w:space="0" w:color="auto"/>
              <w:bottom w:val="single" w:sz="12" w:space="0" w:color="auto"/>
            </w:tcBorders>
            <w:vAlign w:val="bottom"/>
          </w:tcPr>
          <w:p w:rsidR="00A7410F" w:rsidRPr="001567C8" w:rsidRDefault="00A7410F" w:rsidP="00A7410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25.330</w:t>
            </w:r>
          </w:p>
        </w:tc>
        <w:tc>
          <w:tcPr>
            <w:tcW w:w="690" w:type="pct"/>
            <w:tcBorders>
              <w:top w:val="single" w:sz="4" w:space="0" w:color="auto"/>
              <w:bottom w:val="single" w:sz="12" w:space="0" w:color="auto"/>
            </w:tcBorders>
            <w:vAlign w:val="bottom"/>
          </w:tcPr>
          <w:p w:rsidR="00A7410F" w:rsidRPr="001567C8" w:rsidRDefault="00A7410F" w:rsidP="00A7410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16.697</w:t>
            </w:r>
          </w:p>
        </w:tc>
        <w:tc>
          <w:tcPr>
            <w:tcW w:w="687" w:type="pct"/>
            <w:tcBorders>
              <w:top w:val="single" w:sz="4" w:space="0" w:color="auto"/>
              <w:bottom w:val="single" w:sz="12" w:space="0" w:color="auto"/>
            </w:tcBorders>
            <w:vAlign w:val="bottom"/>
          </w:tcPr>
          <w:p w:rsidR="00A7410F" w:rsidRPr="001567C8" w:rsidRDefault="00A7410F" w:rsidP="00A7410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25.330</w:t>
            </w:r>
          </w:p>
        </w:tc>
        <w:tc>
          <w:tcPr>
            <w:tcW w:w="679" w:type="pct"/>
            <w:tcBorders>
              <w:top w:val="single" w:sz="4" w:space="0" w:color="auto"/>
              <w:bottom w:val="single" w:sz="12" w:space="0" w:color="auto"/>
            </w:tcBorders>
            <w:vAlign w:val="bottom"/>
          </w:tcPr>
          <w:p w:rsidR="00A7410F" w:rsidRPr="001567C8" w:rsidRDefault="00A7410F" w:rsidP="00A7410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16.697</w:t>
            </w:r>
          </w:p>
        </w:tc>
      </w:tr>
    </w:tbl>
    <w:p w:rsidR="003F0877" w:rsidRPr="001567C8" w:rsidRDefault="003F0877" w:rsidP="00093368">
      <w:pPr>
        <w:tabs>
          <w:tab w:val="left" w:pos="-1985"/>
        </w:tabs>
        <w:jc w:val="both"/>
        <w:rPr>
          <w:rFonts w:ascii="Calibri" w:hAnsi="Calibri" w:cs="Arial"/>
          <w:sz w:val="22"/>
          <w:szCs w:val="22"/>
          <w:lang w:val="hr-HR"/>
        </w:rPr>
      </w:pPr>
    </w:p>
    <w:p w:rsidR="006F7B59" w:rsidRPr="001567C8" w:rsidRDefault="006F7B59" w:rsidP="00093368">
      <w:pPr>
        <w:tabs>
          <w:tab w:val="left" w:pos="-1985"/>
        </w:tabs>
        <w:jc w:val="both"/>
        <w:rPr>
          <w:lang w:val="hr-HR"/>
        </w:rPr>
      </w:pPr>
      <w:r w:rsidRPr="001567C8">
        <w:rPr>
          <w:rFonts w:ascii="Calibri" w:hAnsi="Calibri" w:cs="Arial"/>
          <w:sz w:val="22"/>
          <w:szCs w:val="22"/>
          <w:lang w:val="hr-HR"/>
        </w:rPr>
        <w:t>U 201</w:t>
      </w:r>
      <w:r w:rsidR="005D3BA7" w:rsidRPr="001567C8">
        <w:rPr>
          <w:rFonts w:ascii="Calibri" w:hAnsi="Calibri" w:cs="Arial"/>
          <w:sz w:val="22"/>
          <w:szCs w:val="22"/>
          <w:lang w:val="hr-HR"/>
        </w:rPr>
        <w:t>8</w:t>
      </w:r>
      <w:r w:rsidRPr="001567C8">
        <w:rPr>
          <w:rFonts w:ascii="Calibri" w:hAnsi="Calibri" w:cs="Arial"/>
          <w:sz w:val="22"/>
          <w:szCs w:val="22"/>
          <w:lang w:val="hr-HR"/>
        </w:rPr>
        <w:t xml:space="preserve">. godini obavljeno je preuzimanje nekretnina </w:t>
      </w:r>
      <w:r w:rsidR="008B2D68" w:rsidRPr="001567C8">
        <w:rPr>
          <w:rFonts w:ascii="Calibri" w:hAnsi="Calibri" w:cs="Arial"/>
          <w:sz w:val="22"/>
          <w:szCs w:val="22"/>
          <w:lang w:val="hr-HR"/>
        </w:rPr>
        <w:t xml:space="preserve">sadašnje vrijednosti </w:t>
      </w:r>
      <w:r w:rsidR="00D81A30" w:rsidRPr="001567C8">
        <w:rPr>
          <w:rFonts w:ascii="Calibri" w:hAnsi="Calibri" w:cs="Arial"/>
          <w:sz w:val="22"/>
          <w:szCs w:val="22"/>
          <w:lang w:val="hr-HR"/>
        </w:rPr>
        <w:t>8.538</w:t>
      </w:r>
      <w:r w:rsidR="008B2D68" w:rsidRPr="001567C8">
        <w:rPr>
          <w:rFonts w:ascii="Calibri" w:hAnsi="Calibri" w:cs="Arial"/>
          <w:sz w:val="22"/>
          <w:szCs w:val="22"/>
          <w:lang w:val="hr-HR"/>
        </w:rPr>
        <w:t xml:space="preserve"> tisuća kuna</w:t>
      </w:r>
      <w:r w:rsidRPr="001567C8">
        <w:rPr>
          <w:rFonts w:ascii="Calibri" w:hAnsi="Calibri" w:cs="Arial"/>
          <w:sz w:val="22"/>
          <w:szCs w:val="22"/>
          <w:lang w:val="hr-HR"/>
        </w:rPr>
        <w:t xml:space="preserve">, nabavne vrijednosti </w:t>
      </w:r>
      <w:r w:rsidR="008B2D68" w:rsidRPr="001567C8">
        <w:rPr>
          <w:rFonts w:ascii="Calibri" w:hAnsi="Calibri" w:cs="Arial"/>
          <w:sz w:val="22"/>
          <w:szCs w:val="22"/>
          <w:lang w:val="hr-HR"/>
        </w:rPr>
        <w:t xml:space="preserve">od </w:t>
      </w:r>
      <w:r w:rsidR="00D81A30" w:rsidRPr="001567C8">
        <w:rPr>
          <w:rFonts w:ascii="Calibri" w:hAnsi="Calibri" w:cs="Arial"/>
          <w:sz w:val="22"/>
          <w:szCs w:val="22"/>
          <w:lang w:val="hr-HR"/>
        </w:rPr>
        <w:t>10</w:t>
      </w:r>
      <w:r w:rsidR="008B2D68" w:rsidRPr="001567C8">
        <w:rPr>
          <w:rFonts w:ascii="Calibri" w:hAnsi="Calibri" w:cs="Arial"/>
          <w:sz w:val="22"/>
          <w:szCs w:val="22"/>
          <w:lang w:val="hr-HR"/>
        </w:rPr>
        <w:t>.</w:t>
      </w:r>
      <w:r w:rsidR="00D81A30" w:rsidRPr="001567C8">
        <w:rPr>
          <w:rFonts w:ascii="Calibri" w:hAnsi="Calibri" w:cs="Arial"/>
          <w:sz w:val="22"/>
          <w:szCs w:val="22"/>
          <w:lang w:val="hr-HR"/>
        </w:rPr>
        <w:t>195</w:t>
      </w:r>
      <w:r w:rsidR="008B2D68" w:rsidRPr="001567C8">
        <w:rPr>
          <w:rFonts w:ascii="Calibri" w:hAnsi="Calibri" w:cs="Arial"/>
          <w:sz w:val="22"/>
          <w:szCs w:val="22"/>
          <w:lang w:val="hr-HR"/>
        </w:rPr>
        <w:t xml:space="preserve"> tisuća kuna </w:t>
      </w:r>
      <w:r w:rsidRPr="001567C8">
        <w:rPr>
          <w:rFonts w:ascii="Calibri" w:hAnsi="Calibri" w:cs="Arial"/>
          <w:sz w:val="22"/>
          <w:szCs w:val="22"/>
          <w:lang w:val="hr-HR"/>
        </w:rPr>
        <w:t>i ispravka vrijednosti od 1.6</w:t>
      </w:r>
      <w:r w:rsidR="00D81A30" w:rsidRPr="001567C8">
        <w:rPr>
          <w:rFonts w:ascii="Calibri" w:hAnsi="Calibri" w:cs="Arial"/>
          <w:sz w:val="22"/>
          <w:szCs w:val="22"/>
          <w:lang w:val="hr-HR"/>
        </w:rPr>
        <w:t>57</w:t>
      </w:r>
      <w:r w:rsidRPr="001567C8">
        <w:rPr>
          <w:rFonts w:ascii="Calibri" w:hAnsi="Calibri" w:cs="Arial"/>
          <w:sz w:val="22"/>
          <w:szCs w:val="22"/>
          <w:lang w:val="hr-HR"/>
        </w:rPr>
        <w:t xml:space="preserve"> tisuća kuna, a odnosi se na </w:t>
      </w:r>
      <w:r w:rsidR="0019459E" w:rsidRPr="001567C8">
        <w:rPr>
          <w:rFonts w:ascii="Calibri" w:hAnsi="Calibri" w:cs="Arial"/>
          <w:sz w:val="22"/>
          <w:szCs w:val="22"/>
          <w:lang w:val="hr-HR"/>
        </w:rPr>
        <w:t>zemljište</w:t>
      </w:r>
      <w:r w:rsidR="00D81A30" w:rsidRPr="001567C8">
        <w:rPr>
          <w:rFonts w:ascii="Calibri" w:hAnsi="Calibri" w:cs="Arial"/>
          <w:sz w:val="22"/>
          <w:szCs w:val="22"/>
          <w:lang w:val="hr-HR"/>
        </w:rPr>
        <w:t xml:space="preserve"> u iznosu od 2.286 tisuća kuna, nabavne vrijednosti 2.584 tisuć</w:t>
      </w:r>
      <w:r w:rsidR="00D64A2E">
        <w:rPr>
          <w:rFonts w:ascii="Calibri" w:hAnsi="Calibri" w:cs="Arial"/>
          <w:sz w:val="22"/>
          <w:szCs w:val="22"/>
          <w:lang w:val="hr-HR"/>
        </w:rPr>
        <w:t>e</w:t>
      </w:r>
      <w:r w:rsidR="00D81A30" w:rsidRPr="001567C8">
        <w:rPr>
          <w:rFonts w:ascii="Calibri" w:hAnsi="Calibri" w:cs="Arial"/>
          <w:sz w:val="22"/>
          <w:szCs w:val="22"/>
          <w:lang w:val="hr-HR"/>
        </w:rPr>
        <w:t xml:space="preserve"> kuna i ispravka vrijednosti od 298 tisuća kuna i građevinske objekte u iznosu od 6.252 tisuća kuna, nabavne vrijednosti od 7.611 tisuća kuna i ispravka vrijednosti od 1.359 tisuća kuna</w:t>
      </w:r>
      <w:r w:rsidR="0019459E" w:rsidRPr="001567C8">
        <w:rPr>
          <w:rFonts w:ascii="Calibri" w:hAnsi="Calibri" w:cs="Arial"/>
          <w:sz w:val="22"/>
          <w:szCs w:val="22"/>
          <w:lang w:val="hr-HR"/>
        </w:rPr>
        <w:t xml:space="preserve"> (</w:t>
      </w:r>
      <w:r w:rsidRPr="001567C8">
        <w:rPr>
          <w:rFonts w:ascii="Calibri" w:hAnsi="Calibri" w:cs="Arial"/>
          <w:sz w:val="22"/>
          <w:szCs w:val="22"/>
          <w:lang w:val="hr-HR"/>
        </w:rPr>
        <w:t>201</w:t>
      </w:r>
      <w:r w:rsidR="00A7410F" w:rsidRPr="001567C8">
        <w:rPr>
          <w:rFonts w:ascii="Calibri" w:hAnsi="Calibri" w:cs="Arial"/>
          <w:sz w:val="22"/>
          <w:szCs w:val="22"/>
          <w:lang w:val="hr-HR"/>
        </w:rPr>
        <w:t>7</w:t>
      </w:r>
      <w:r w:rsidRPr="001567C8">
        <w:rPr>
          <w:rFonts w:ascii="Calibri" w:hAnsi="Calibri" w:cs="Arial"/>
          <w:sz w:val="22"/>
          <w:szCs w:val="22"/>
          <w:lang w:val="hr-HR"/>
        </w:rPr>
        <w:t xml:space="preserve">. godine </w:t>
      </w:r>
      <w:r w:rsidR="008B2D68" w:rsidRPr="001567C8">
        <w:rPr>
          <w:rFonts w:ascii="Calibri" w:hAnsi="Calibri" w:cs="Arial"/>
          <w:sz w:val="22"/>
          <w:szCs w:val="22"/>
          <w:lang w:val="hr-HR"/>
        </w:rPr>
        <w:t xml:space="preserve">obavljeno je preuzimanje nekretnina sadašnje vrijednosti </w:t>
      </w:r>
      <w:r w:rsidR="00A7410F" w:rsidRPr="001567C8">
        <w:rPr>
          <w:rFonts w:ascii="Calibri" w:hAnsi="Calibri" w:cs="Arial"/>
          <w:sz w:val="22"/>
          <w:szCs w:val="22"/>
          <w:lang w:val="hr-HR"/>
        </w:rPr>
        <w:t xml:space="preserve">154 </w:t>
      </w:r>
      <w:r w:rsidR="008B2D68" w:rsidRPr="001567C8">
        <w:rPr>
          <w:rFonts w:ascii="Calibri" w:hAnsi="Calibri" w:cs="Arial"/>
          <w:sz w:val="22"/>
          <w:szCs w:val="22"/>
          <w:lang w:val="hr-HR"/>
        </w:rPr>
        <w:t>tisuć</w:t>
      </w:r>
      <w:r w:rsidR="00D64A2E">
        <w:rPr>
          <w:rFonts w:ascii="Calibri" w:hAnsi="Calibri" w:cs="Arial"/>
          <w:sz w:val="22"/>
          <w:szCs w:val="22"/>
          <w:lang w:val="hr-HR"/>
        </w:rPr>
        <w:t>e</w:t>
      </w:r>
      <w:r w:rsidR="008B2D68" w:rsidRPr="001567C8">
        <w:rPr>
          <w:rFonts w:ascii="Calibri" w:hAnsi="Calibri" w:cs="Arial"/>
          <w:sz w:val="22"/>
          <w:szCs w:val="22"/>
          <w:lang w:val="hr-HR"/>
        </w:rPr>
        <w:t xml:space="preserve"> kuna, nabavne</w:t>
      </w:r>
      <w:r w:rsidR="00F357E4" w:rsidRPr="001567C8">
        <w:rPr>
          <w:rFonts w:ascii="Calibri" w:hAnsi="Calibri" w:cs="Arial"/>
          <w:sz w:val="22"/>
          <w:szCs w:val="22"/>
          <w:lang w:val="hr-HR"/>
        </w:rPr>
        <w:t xml:space="preserve"> vrijednosti</w:t>
      </w:r>
      <w:r w:rsidR="008B2D68" w:rsidRPr="001567C8">
        <w:rPr>
          <w:rFonts w:ascii="Calibri" w:hAnsi="Calibri" w:cs="Arial"/>
          <w:sz w:val="22"/>
          <w:szCs w:val="22"/>
          <w:lang w:val="hr-HR"/>
        </w:rPr>
        <w:t xml:space="preserve"> </w:t>
      </w:r>
      <w:r w:rsidR="00977EBF" w:rsidRPr="001567C8">
        <w:rPr>
          <w:rFonts w:ascii="Calibri" w:hAnsi="Calibri" w:cs="Arial"/>
          <w:sz w:val="22"/>
          <w:szCs w:val="22"/>
          <w:lang w:val="hr-HR"/>
        </w:rPr>
        <w:t xml:space="preserve"> od 1.827 tisuća kuna </w:t>
      </w:r>
      <w:r w:rsidR="008B2D68" w:rsidRPr="001567C8">
        <w:rPr>
          <w:rFonts w:ascii="Calibri" w:hAnsi="Calibri" w:cs="Arial"/>
          <w:sz w:val="22"/>
          <w:szCs w:val="22"/>
          <w:lang w:val="hr-HR"/>
        </w:rPr>
        <w:t>i ispravka vrijednosti od 1.</w:t>
      </w:r>
      <w:r w:rsidR="00977EBF" w:rsidRPr="001567C8">
        <w:rPr>
          <w:rFonts w:ascii="Calibri" w:hAnsi="Calibri" w:cs="Arial"/>
          <w:sz w:val="22"/>
          <w:szCs w:val="22"/>
          <w:lang w:val="hr-HR"/>
        </w:rPr>
        <w:t>673</w:t>
      </w:r>
      <w:r w:rsidR="00A7410F" w:rsidRPr="001567C8">
        <w:rPr>
          <w:rFonts w:ascii="Calibri" w:hAnsi="Calibri" w:cs="Arial"/>
          <w:sz w:val="22"/>
          <w:szCs w:val="22"/>
          <w:lang w:val="hr-HR"/>
        </w:rPr>
        <w:t xml:space="preserve"> </w:t>
      </w:r>
      <w:r w:rsidR="008B2D68" w:rsidRPr="001567C8">
        <w:rPr>
          <w:rFonts w:ascii="Calibri" w:hAnsi="Calibri" w:cs="Arial"/>
          <w:sz w:val="22"/>
          <w:szCs w:val="22"/>
          <w:lang w:val="hr-HR"/>
        </w:rPr>
        <w:t>tisuć</w:t>
      </w:r>
      <w:r w:rsidR="00D64A2E">
        <w:rPr>
          <w:rFonts w:ascii="Calibri" w:hAnsi="Calibri" w:cs="Arial"/>
          <w:sz w:val="22"/>
          <w:szCs w:val="22"/>
          <w:lang w:val="hr-HR"/>
        </w:rPr>
        <w:t>e</w:t>
      </w:r>
      <w:r w:rsidR="008B2D68" w:rsidRPr="001567C8">
        <w:rPr>
          <w:rFonts w:ascii="Calibri" w:hAnsi="Calibri" w:cs="Arial"/>
          <w:sz w:val="22"/>
          <w:szCs w:val="22"/>
          <w:lang w:val="hr-HR"/>
        </w:rPr>
        <w:t xml:space="preserve"> kuna</w:t>
      </w:r>
      <w:r w:rsidR="0019459E" w:rsidRPr="001567C8">
        <w:rPr>
          <w:rFonts w:ascii="Calibri" w:hAnsi="Calibri" w:cs="Arial"/>
          <w:sz w:val="22"/>
          <w:szCs w:val="22"/>
          <w:lang w:val="hr-HR"/>
        </w:rPr>
        <w:t xml:space="preserve">, a odnosi se na </w:t>
      </w:r>
      <w:r w:rsidR="00977EBF" w:rsidRPr="001567C8">
        <w:rPr>
          <w:rFonts w:ascii="Calibri" w:hAnsi="Calibri" w:cs="Arial"/>
          <w:sz w:val="22"/>
          <w:szCs w:val="22"/>
          <w:lang w:val="hr-HR"/>
        </w:rPr>
        <w:t>zemljište</w:t>
      </w:r>
      <w:r w:rsidR="008B2D68" w:rsidRPr="001567C8">
        <w:rPr>
          <w:rFonts w:ascii="Calibri" w:hAnsi="Calibri" w:cs="Arial"/>
          <w:sz w:val="22"/>
          <w:szCs w:val="22"/>
          <w:lang w:val="hr-HR"/>
        </w:rPr>
        <w:t>)</w:t>
      </w:r>
      <w:r w:rsidRPr="001567C8">
        <w:rPr>
          <w:rFonts w:ascii="Calibri" w:hAnsi="Calibri" w:cs="Arial"/>
          <w:sz w:val="22"/>
          <w:szCs w:val="22"/>
          <w:lang w:val="hr-HR"/>
        </w:rPr>
        <w:t xml:space="preserve">. </w:t>
      </w:r>
    </w:p>
    <w:p w:rsidR="006F7B59" w:rsidRPr="001567C8" w:rsidRDefault="006F7B59" w:rsidP="005A4073">
      <w:pPr>
        <w:tabs>
          <w:tab w:val="left" w:pos="-1985"/>
        </w:tabs>
        <w:jc w:val="both"/>
        <w:rPr>
          <w:rFonts w:ascii="Calibri" w:hAnsi="Calibri" w:cs="Arial"/>
          <w:sz w:val="22"/>
          <w:szCs w:val="22"/>
          <w:lang w:val="hr-HR"/>
        </w:rPr>
      </w:pPr>
      <w:r w:rsidRPr="001567C8">
        <w:rPr>
          <w:rFonts w:ascii="Calibri" w:hAnsi="Calibri" w:cs="Arial"/>
          <w:sz w:val="22"/>
          <w:szCs w:val="22"/>
          <w:lang w:val="hr-HR"/>
        </w:rPr>
        <w:t xml:space="preserve">Fer vrijednost preuzete imovine na kraju </w:t>
      </w:r>
      <w:r w:rsidR="001320EA" w:rsidRPr="001567C8">
        <w:rPr>
          <w:rFonts w:ascii="Calibri" w:hAnsi="Calibri" w:cs="Arial"/>
          <w:sz w:val="22"/>
          <w:szCs w:val="22"/>
          <w:lang w:val="hr-HR"/>
        </w:rPr>
        <w:t>201</w:t>
      </w:r>
      <w:r w:rsidR="00A7410F" w:rsidRPr="001567C8">
        <w:rPr>
          <w:rFonts w:ascii="Calibri" w:hAnsi="Calibri" w:cs="Arial"/>
          <w:sz w:val="22"/>
          <w:szCs w:val="22"/>
          <w:lang w:val="hr-HR"/>
        </w:rPr>
        <w:t>8</w:t>
      </w:r>
      <w:r w:rsidR="001320EA" w:rsidRPr="001567C8">
        <w:rPr>
          <w:rFonts w:ascii="Calibri" w:hAnsi="Calibri" w:cs="Arial"/>
          <w:sz w:val="22"/>
          <w:szCs w:val="22"/>
          <w:lang w:val="hr-HR"/>
        </w:rPr>
        <w:t xml:space="preserve">. </w:t>
      </w:r>
      <w:r w:rsidRPr="001567C8">
        <w:rPr>
          <w:rFonts w:ascii="Calibri" w:hAnsi="Calibri" w:cs="Arial"/>
          <w:sz w:val="22"/>
          <w:szCs w:val="22"/>
          <w:lang w:val="hr-HR"/>
        </w:rPr>
        <w:t xml:space="preserve">godine iznosi </w:t>
      </w:r>
      <w:r w:rsidR="00977EBF" w:rsidRPr="001567C8">
        <w:rPr>
          <w:rFonts w:ascii="Calibri" w:hAnsi="Calibri" w:cs="Arial"/>
          <w:sz w:val="22"/>
          <w:szCs w:val="22"/>
          <w:lang w:val="hr-HR"/>
        </w:rPr>
        <w:t>10</w:t>
      </w:r>
      <w:r w:rsidRPr="001567C8">
        <w:rPr>
          <w:rFonts w:ascii="Calibri" w:hAnsi="Calibri" w:cs="Arial"/>
          <w:sz w:val="22"/>
          <w:szCs w:val="22"/>
          <w:lang w:val="hr-HR"/>
        </w:rPr>
        <w:t>.</w:t>
      </w:r>
      <w:r w:rsidR="00977EBF" w:rsidRPr="001567C8">
        <w:rPr>
          <w:rFonts w:ascii="Calibri" w:hAnsi="Calibri" w:cs="Arial"/>
          <w:sz w:val="22"/>
          <w:szCs w:val="22"/>
          <w:lang w:val="hr-HR"/>
        </w:rPr>
        <w:t>579</w:t>
      </w:r>
      <w:r w:rsidRPr="001567C8">
        <w:rPr>
          <w:rFonts w:ascii="Calibri" w:hAnsi="Calibri" w:cs="Arial"/>
          <w:sz w:val="22"/>
          <w:szCs w:val="22"/>
          <w:lang w:val="hr-HR"/>
        </w:rPr>
        <w:t xml:space="preserve"> tisuća kuna.</w:t>
      </w:r>
    </w:p>
    <w:p w:rsidR="006F7B59" w:rsidRPr="001567C8" w:rsidRDefault="006F7B59" w:rsidP="005A4073">
      <w:pPr>
        <w:tabs>
          <w:tab w:val="left" w:pos="-1985"/>
        </w:tabs>
        <w:suppressAutoHyphens/>
        <w:jc w:val="both"/>
        <w:rPr>
          <w:rFonts w:asciiTheme="minorHAnsi" w:hAnsiTheme="minorHAnsi" w:cs="Arial"/>
          <w:sz w:val="18"/>
          <w:szCs w:val="18"/>
          <w:highlight w:val="yellow"/>
          <w:lang w:val="hr-HR"/>
        </w:rPr>
      </w:pPr>
    </w:p>
    <w:p w:rsidR="008E5CC6" w:rsidRPr="001567C8" w:rsidRDefault="008E5CC6" w:rsidP="005A4073">
      <w:pPr>
        <w:tabs>
          <w:tab w:val="left" w:pos="-1985"/>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 xml:space="preserve">U </w:t>
      </w:r>
      <w:r w:rsidR="00A7410F" w:rsidRPr="001567C8">
        <w:rPr>
          <w:rFonts w:asciiTheme="minorHAnsi" w:hAnsiTheme="minorHAnsi" w:cs="Arial"/>
          <w:sz w:val="22"/>
          <w:szCs w:val="22"/>
          <w:lang w:val="hr-HR"/>
        </w:rPr>
        <w:t>2018</w:t>
      </w:r>
      <w:r w:rsidRPr="001567C8">
        <w:rPr>
          <w:rFonts w:asciiTheme="minorHAnsi" w:hAnsiTheme="minorHAnsi" w:cs="Arial"/>
          <w:sz w:val="22"/>
          <w:szCs w:val="22"/>
          <w:lang w:val="hr-HR"/>
        </w:rPr>
        <w:t xml:space="preserve">. godini </w:t>
      </w:r>
      <w:r w:rsidR="006F7B59" w:rsidRPr="001567C8">
        <w:rPr>
          <w:rFonts w:asciiTheme="minorHAnsi" w:hAnsiTheme="minorHAnsi" w:cs="Arial"/>
          <w:sz w:val="22"/>
          <w:szCs w:val="22"/>
          <w:lang w:val="hr-HR"/>
        </w:rPr>
        <w:t>obavljen</w:t>
      </w:r>
      <w:r w:rsidR="006629DA" w:rsidRPr="001567C8">
        <w:rPr>
          <w:rFonts w:asciiTheme="minorHAnsi" w:hAnsiTheme="minorHAnsi" w:cs="Arial"/>
          <w:sz w:val="22"/>
          <w:szCs w:val="22"/>
          <w:lang w:val="hr-HR"/>
        </w:rPr>
        <w:t>a</w:t>
      </w:r>
      <w:r w:rsidR="006F7B59"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 xml:space="preserve">je prodaja </w:t>
      </w:r>
      <w:r w:rsidR="0093316D">
        <w:rPr>
          <w:rFonts w:asciiTheme="minorHAnsi" w:hAnsiTheme="minorHAnsi" w:cs="Arial"/>
          <w:sz w:val="22"/>
          <w:szCs w:val="22"/>
          <w:lang w:val="hr-HR"/>
        </w:rPr>
        <w:t>preuzete imovine</w:t>
      </w:r>
      <w:r w:rsidRPr="001567C8">
        <w:rPr>
          <w:rFonts w:asciiTheme="minorHAnsi" w:hAnsiTheme="minorHAnsi" w:cs="Arial"/>
          <w:sz w:val="22"/>
          <w:szCs w:val="22"/>
          <w:lang w:val="hr-HR"/>
        </w:rPr>
        <w:t xml:space="preserve"> u iznosu</w:t>
      </w:r>
      <w:r w:rsidR="008B2D68" w:rsidRPr="001567C8">
        <w:rPr>
          <w:rFonts w:asciiTheme="minorHAnsi" w:hAnsiTheme="minorHAnsi" w:cs="Arial"/>
          <w:sz w:val="22"/>
          <w:szCs w:val="22"/>
          <w:lang w:val="hr-HR"/>
        </w:rPr>
        <w:t xml:space="preserve"> sadašnje vrijednosti od </w:t>
      </w:r>
      <w:r w:rsidR="00657A59" w:rsidRPr="001567C8">
        <w:rPr>
          <w:rFonts w:asciiTheme="minorHAnsi" w:hAnsiTheme="minorHAnsi" w:cs="Arial"/>
          <w:sz w:val="22"/>
          <w:szCs w:val="22"/>
          <w:lang w:val="hr-HR"/>
        </w:rPr>
        <w:t>0</w:t>
      </w:r>
      <w:r w:rsidR="008B2D68" w:rsidRPr="001567C8">
        <w:rPr>
          <w:rFonts w:asciiTheme="minorHAnsi" w:hAnsiTheme="minorHAnsi" w:cs="Arial"/>
          <w:sz w:val="22"/>
          <w:szCs w:val="22"/>
          <w:lang w:val="hr-HR"/>
        </w:rPr>
        <w:t xml:space="preserve"> tisuća kuna, nabavne vrijednosti </w:t>
      </w:r>
      <w:r w:rsidR="00657A59" w:rsidRPr="001567C8">
        <w:rPr>
          <w:rFonts w:asciiTheme="minorHAnsi" w:hAnsiTheme="minorHAnsi" w:cs="Arial"/>
          <w:sz w:val="22"/>
          <w:szCs w:val="22"/>
          <w:lang w:val="hr-HR"/>
        </w:rPr>
        <w:t xml:space="preserve">i ispravka vrijednosti </w:t>
      </w:r>
      <w:r w:rsidR="008B2D68" w:rsidRPr="001567C8">
        <w:rPr>
          <w:rFonts w:asciiTheme="minorHAnsi" w:hAnsiTheme="minorHAnsi" w:cs="Arial"/>
          <w:sz w:val="22"/>
          <w:szCs w:val="22"/>
          <w:lang w:val="hr-HR"/>
        </w:rPr>
        <w:t>od 1</w:t>
      </w:r>
      <w:r w:rsidR="00657A59" w:rsidRPr="001567C8">
        <w:rPr>
          <w:rFonts w:asciiTheme="minorHAnsi" w:hAnsiTheme="minorHAnsi" w:cs="Arial"/>
          <w:sz w:val="22"/>
          <w:szCs w:val="22"/>
          <w:lang w:val="hr-HR"/>
        </w:rPr>
        <w:t>9</w:t>
      </w:r>
      <w:r w:rsidR="008B2D68" w:rsidRPr="001567C8">
        <w:rPr>
          <w:rFonts w:asciiTheme="minorHAnsi" w:hAnsiTheme="minorHAnsi" w:cs="Arial"/>
          <w:sz w:val="22"/>
          <w:szCs w:val="22"/>
          <w:lang w:val="hr-HR"/>
        </w:rPr>
        <w:t xml:space="preserve"> tisuća kuna</w:t>
      </w:r>
      <w:r w:rsidR="00657A59" w:rsidRPr="001567C8">
        <w:rPr>
          <w:rFonts w:asciiTheme="minorHAnsi" w:hAnsiTheme="minorHAnsi" w:cs="Arial"/>
          <w:sz w:val="22"/>
          <w:szCs w:val="22"/>
          <w:lang w:val="hr-HR"/>
        </w:rPr>
        <w:t xml:space="preserve"> </w:t>
      </w:r>
      <w:r w:rsidR="006F7B59" w:rsidRPr="001567C8">
        <w:rPr>
          <w:rFonts w:asciiTheme="minorHAnsi" w:hAnsiTheme="minorHAnsi" w:cs="Arial"/>
          <w:sz w:val="22"/>
          <w:szCs w:val="22"/>
          <w:lang w:val="hr-HR"/>
        </w:rPr>
        <w:t>a odnosi se na</w:t>
      </w:r>
      <w:r w:rsidRPr="001567C8">
        <w:rPr>
          <w:rFonts w:asciiTheme="minorHAnsi" w:hAnsiTheme="minorHAnsi" w:cs="Arial"/>
          <w:sz w:val="22"/>
          <w:szCs w:val="22"/>
          <w:lang w:val="hr-HR"/>
        </w:rPr>
        <w:t xml:space="preserve"> </w:t>
      </w:r>
      <w:r w:rsidR="00657A59" w:rsidRPr="001567C8">
        <w:rPr>
          <w:rFonts w:asciiTheme="minorHAnsi" w:hAnsiTheme="minorHAnsi" w:cs="Arial"/>
          <w:sz w:val="22"/>
          <w:szCs w:val="22"/>
          <w:lang w:val="hr-HR"/>
        </w:rPr>
        <w:t>pokretnine</w:t>
      </w:r>
      <w:r w:rsidR="006F7B59" w:rsidRPr="001567C8" w:rsidDel="006F7B59">
        <w:rPr>
          <w:rFonts w:asciiTheme="minorHAnsi" w:hAnsiTheme="minorHAnsi" w:cs="Arial"/>
          <w:sz w:val="22"/>
          <w:szCs w:val="22"/>
          <w:lang w:val="hr-HR"/>
        </w:rPr>
        <w:t xml:space="preserve"> </w:t>
      </w:r>
      <w:r w:rsidRPr="001567C8">
        <w:rPr>
          <w:rFonts w:asciiTheme="minorHAnsi" w:hAnsiTheme="minorHAnsi" w:cs="Arial"/>
          <w:sz w:val="22"/>
          <w:szCs w:val="22"/>
          <w:lang w:val="hr-HR"/>
        </w:rPr>
        <w:t>(</w:t>
      </w:r>
      <w:r w:rsidR="00A7410F" w:rsidRPr="001567C8">
        <w:rPr>
          <w:rFonts w:asciiTheme="minorHAnsi" w:hAnsiTheme="minorHAnsi" w:cs="Arial"/>
          <w:sz w:val="22"/>
          <w:szCs w:val="22"/>
          <w:lang w:val="hr-HR"/>
        </w:rPr>
        <w:t>2017</w:t>
      </w:r>
      <w:r w:rsidR="006F7B59" w:rsidRPr="001567C8">
        <w:rPr>
          <w:rFonts w:asciiTheme="minorHAnsi" w:hAnsiTheme="minorHAnsi" w:cs="Arial"/>
          <w:sz w:val="22"/>
          <w:szCs w:val="22"/>
          <w:lang w:val="hr-HR"/>
        </w:rPr>
        <w:t>. godin</w:t>
      </w:r>
      <w:r w:rsidRPr="001567C8">
        <w:rPr>
          <w:rFonts w:asciiTheme="minorHAnsi" w:hAnsiTheme="minorHAnsi" w:cs="Arial"/>
          <w:sz w:val="22"/>
          <w:szCs w:val="22"/>
          <w:lang w:val="hr-HR"/>
        </w:rPr>
        <w:t xml:space="preserve">e obavljena je prodaja dugotrajne imovine namijenjene prodaji u iznosu od </w:t>
      </w:r>
      <w:r w:rsidR="00A7410F" w:rsidRPr="001567C8">
        <w:rPr>
          <w:rFonts w:asciiTheme="minorHAnsi" w:hAnsiTheme="minorHAnsi" w:cs="Arial"/>
          <w:sz w:val="22"/>
          <w:szCs w:val="22"/>
          <w:lang w:val="hr-HR"/>
        </w:rPr>
        <w:t xml:space="preserve">317 </w:t>
      </w:r>
      <w:r w:rsidRPr="001567C8">
        <w:rPr>
          <w:rFonts w:asciiTheme="minorHAnsi" w:hAnsiTheme="minorHAnsi" w:cs="Arial"/>
          <w:sz w:val="22"/>
          <w:szCs w:val="22"/>
          <w:lang w:val="hr-HR"/>
        </w:rPr>
        <w:t>tisuć</w:t>
      </w:r>
      <w:r w:rsidR="00D64A2E">
        <w:rPr>
          <w:rFonts w:asciiTheme="minorHAnsi" w:hAnsiTheme="minorHAnsi" w:cs="Arial"/>
          <w:sz w:val="22"/>
          <w:szCs w:val="22"/>
          <w:lang w:val="hr-HR"/>
        </w:rPr>
        <w:t>a</w:t>
      </w:r>
      <w:r w:rsidRPr="001567C8">
        <w:rPr>
          <w:rFonts w:asciiTheme="minorHAnsi" w:hAnsiTheme="minorHAnsi" w:cs="Arial"/>
          <w:sz w:val="22"/>
          <w:szCs w:val="22"/>
          <w:lang w:val="hr-HR"/>
        </w:rPr>
        <w:t xml:space="preserve"> kuna</w:t>
      </w:r>
      <w:r w:rsidR="0019459E" w:rsidRPr="001567C8">
        <w:rPr>
          <w:rFonts w:asciiTheme="minorHAnsi" w:hAnsiTheme="minorHAnsi" w:cs="Arial"/>
          <w:sz w:val="22"/>
          <w:szCs w:val="22"/>
          <w:lang w:val="hr-HR"/>
        </w:rPr>
        <w:t xml:space="preserve">, a odnosi se na </w:t>
      </w:r>
      <w:r w:rsidR="00A7410F" w:rsidRPr="001567C8">
        <w:rPr>
          <w:rFonts w:asciiTheme="minorHAnsi" w:hAnsiTheme="minorHAnsi" w:cs="Arial"/>
          <w:sz w:val="22"/>
          <w:szCs w:val="22"/>
          <w:lang w:val="hr-HR"/>
        </w:rPr>
        <w:t>zemljište</w:t>
      </w:r>
      <w:r w:rsidR="00657A59" w:rsidRPr="001567C8">
        <w:rPr>
          <w:rFonts w:asciiTheme="minorHAnsi" w:hAnsiTheme="minorHAnsi" w:cs="Arial"/>
          <w:sz w:val="22"/>
          <w:szCs w:val="22"/>
          <w:lang w:val="hr-HR"/>
        </w:rPr>
        <w:t xml:space="preserve"> u iznosu od 27 tisuća kuna </w:t>
      </w:r>
      <w:r w:rsidR="00A7410F" w:rsidRPr="001567C8">
        <w:rPr>
          <w:rFonts w:asciiTheme="minorHAnsi" w:hAnsiTheme="minorHAnsi" w:cs="Arial"/>
          <w:sz w:val="22"/>
          <w:szCs w:val="22"/>
          <w:lang w:val="hr-HR"/>
        </w:rPr>
        <w:t xml:space="preserve">i </w:t>
      </w:r>
      <w:r w:rsidR="0019459E" w:rsidRPr="001567C8">
        <w:rPr>
          <w:rFonts w:asciiTheme="minorHAnsi" w:hAnsiTheme="minorHAnsi" w:cs="Arial"/>
          <w:sz w:val="22"/>
          <w:szCs w:val="22"/>
          <w:lang w:val="hr-HR"/>
        </w:rPr>
        <w:t>građevinske objekte</w:t>
      </w:r>
      <w:r w:rsidR="00657A59" w:rsidRPr="001567C8">
        <w:rPr>
          <w:rFonts w:asciiTheme="minorHAnsi" w:hAnsiTheme="minorHAnsi" w:cs="Arial"/>
          <w:sz w:val="22"/>
          <w:szCs w:val="22"/>
          <w:lang w:val="hr-HR"/>
        </w:rPr>
        <w:t xml:space="preserve"> u iznosu od </w:t>
      </w:r>
      <w:r w:rsidR="00721ADD" w:rsidRPr="001567C8">
        <w:rPr>
          <w:rFonts w:asciiTheme="minorHAnsi" w:hAnsiTheme="minorHAnsi" w:cs="Arial"/>
          <w:sz w:val="22"/>
          <w:szCs w:val="22"/>
          <w:lang w:val="hr-HR"/>
        </w:rPr>
        <w:t>290 tisuća kuna</w:t>
      </w:r>
      <w:r w:rsidR="0019459E" w:rsidRPr="001567C8">
        <w:rPr>
          <w:rFonts w:asciiTheme="minorHAnsi" w:hAnsiTheme="minorHAnsi" w:cs="Arial"/>
          <w:sz w:val="22"/>
          <w:szCs w:val="22"/>
          <w:lang w:val="hr-HR"/>
        </w:rPr>
        <w:t>)</w:t>
      </w:r>
      <w:r w:rsidRPr="001567C8">
        <w:rPr>
          <w:rFonts w:asciiTheme="minorHAnsi" w:hAnsiTheme="minorHAnsi" w:cs="Arial"/>
          <w:sz w:val="22"/>
          <w:szCs w:val="22"/>
          <w:lang w:val="hr-HR"/>
        </w:rPr>
        <w:t>.</w:t>
      </w:r>
      <w:r w:rsidRPr="001567C8" w:rsidDel="008E5CC6">
        <w:rPr>
          <w:rFonts w:asciiTheme="minorHAnsi" w:hAnsiTheme="minorHAnsi" w:cs="Arial"/>
          <w:sz w:val="22"/>
          <w:szCs w:val="22"/>
          <w:lang w:val="hr-HR"/>
        </w:rPr>
        <w:t xml:space="preserve"> </w:t>
      </w:r>
    </w:p>
    <w:p w:rsidR="006F7B59" w:rsidRPr="001567C8" w:rsidRDefault="006F7B59" w:rsidP="0078611A">
      <w:pPr>
        <w:tabs>
          <w:tab w:val="left" w:pos="-1985"/>
        </w:tabs>
        <w:suppressAutoHyphens/>
        <w:jc w:val="both"/>
        <w:rPr>
          <w:rFonts w:asciiTheme="minorHAnsi" w:hAnsiTheme="minorHAnsi" w:cs="Arial"/>
          <w:sz w:val="18"/>
          <w:szCs w:val="18"/>
          <w:highlight w:val="yellow"/>
          <w:lang w:val="hr-HR"/>
        </w:rPr>
      </w:pPr>
    </w:p>
    <w:p w:rsidR="00B20600" w:rsidRPr="001567C8" w:rsidRDefault="00B20600" w:rsidP="0078611A">
      <w:pPr>
        <w:tabs>
          <w:tab w:val="left" w:pos="-1985"/>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 xml:space="preserve">U </w:t>
      </w:r>
      <w:r w:rsidR="00A7410F" w:rsidRPr="001567C8">
        <w:rPr>
          <w:rFonts w:asciiTheme="minorHAnsi" w:hAnsiTheme="minorHAnsi" w:cs="Arial"/>
          <w:sz w:val="22"/>
          <w:szCs w:val="22"/>
          <w:lang w:val="hr-HR"/>
        </w:rPr>
        <w:t>2018</w:t>
      </w:r>
      <w:r w:rsidRPr="001567C8">
        <w:rPr>
          <w:rFonts w:asciiTheme="minorHAnsi" w:hAnsiTheme="minorHAnsi" w:cs="Arial"/>
          <w:sz w:val="22"/>
          <w:szCs w:val="22"/>
          <w:lang w:val="hr-HR"/>
        </w:rPr>
        <w:t xml:space="preserve">. godini je obavljen prijenos </w:t>
      </w:r>
      <w:r w:rsidR="0093316D">
        <w:rPr>
          <w:rFonts w:asciiTheme="minorHAnsi" w:hAnsiTheme="minorHAnsi" w:cs="Arial"/>
          <w:sz w:val="22"/>
          <w:szCs w:val="22"/>
          <w:lang w:val="hr-HR"/>
        </w:rPr>
        <w:t>preuzete</w:t>
      </w:r>
      <w:r w:rsidRPr="001567C8">
        <w:rPr>
          <w:rFonts w:asciiTheme="minorHAnsi" w:hAnsiTheme="minorHAnsi" w:cs="Arial"/>
          <w:sz w:val="22"/>
          <w:szCs w:val="22"/>
          <w:lang w:val="hr-HR"/>
        </w:rPr>
        <w:t xml:space="preserve"> imovine</w:t>
      </w:r>
      <w:r w:rsidR="007870C0"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u najam</w:t>
      </w:r>
      <w:r w:rsidR="007870C0" w:rsidRPr="001567C8">
        <w:rPr>
          <w:rFonts w:asciiTheme="minorHAnsi" w:hAnsiTheme="minorHAnsi" w:cs="Arial"/>
          <w:sz w:val="22"/>
          <w:szCs w:val="22"/>
          <w:lang w:val="hr-HR"/>
        </w:rPr>
        <w:t xml:space="preserve"> na poziciju Ulaganja u nekretnine </w:t>
      </w:r>
      <w:r w:rsidRPr="001567C8">
        <w:rPr>
          <w:rFonts w:asciiTheme="minorHAnsi" w:hAnsiTheme="minorHAnsi" w:cs="Arial"/>
          <w:sz w:val="22"/>
          <w:szCs w:val="22"/>
          <w:lang w:val="hr-HR"/>
        </w:rPr>
        <w:t>u visini od 1.</w:t>
      </w:r>
      <w:r w:rsidR="00721ADD" w:rsidRPr="001567C8">
        <w:rPr>
          <w:rFonts w:asciiTheme="minorHAnsi" w:hAnsiTheme="minorHAnsi" w:cs="Arial"/>
          <w:sz w:val="22"/>
          <w:szCs w:val="22"/>
          <w:lang w:val="hr-HR"/>
        </w:rPr>
        <w:t>743</w:t>
      </w:r>
      <w:r w:rsidRPr="001567C8">
        <w:rPr>
          <w:rFonts w:asciiTheme="minorHAnsi" w:hAnsiTheme="minorHAnsi" w:cs="Arial"/>
          <w:sz w:val="22"/>
          <w:szCs w:val="22"/>
          <w:lang w:val="hr-HR"/>
        </w:rPr>
        <w:t xml:space="preserve"> tisuć</w:t>
      </w:r>
      <w:r w:rsidR="00D64A2E">
        <w:rPr>
          <w:rFonts w:asciiTheme="minorHAnsi" w:hAnsiTheme="minorHAnsi" w:cs="Arial"/>
          <w:sz w:val="22"/>
          <w:szCs w:val="22"/>
          <w:lang w:val="hr-HR"/>
        </w:rPr>
        <w:t>e</w:t>
      </w:r>
      <w:r w:rsidRPr="001567C8">
        <w:rPr>
          <w:rFonts w:asciiTheme="minorHAnsi" w:hAnsiTheme="minorHAnsi" w:cs="Arial"/>
          <w:sz w:val="22"/>
          <w:szCs w:val="22"/>
          <w:lang w:val="hr-HR"/>
        </w:rPr>
        <w:t xml:space="preserve"> kuna </w:t>
      </w:r>
      <w:r w:rsidR="00F936B7" w:rsidRPr="001567C8">
        <w:rPr>
          <w:rFonts w:asciiTheme="minorHAnsi" w:hAnsiTheme="minorHAnsi" w:cs="Arial"/>
          <w:sz w:val="22"/>
          <w:szCs w:val="22"/>
          <w:lang w:val="hr-HR"/>
        </w:rPr>
        <w:t>(</w:t>
      </w:r>
      <w:r w:rsidR="00A7410F" w:rsidRPr="001567C8">
        <w:rPr>
          <w:rFonts w:asciiTheme="minorHAnsi" w:hAnsiTheme="minorHAnsi" w:cs="Arial"/>
          <w:sz w:val="22"/>
          <w:szCs w:val="22"/>
          <w:lang w:val="hr-HR"/>
        </w:rPr>
        <w:t>2017</w:t>
      </w:r>
      <w:r w:rsidR="00F936B7" w:rsidRPr="001567C8">
        <w:rPr>
          <w:rFonts w:asciiTheme="minorHAnsi" w:hAnsiTheme="minorHAnsi" w:cs="Arial"/>
          <w:sz w:val="22"/>
          <w:szCs w:val="22"/>
          <w:lang w:val="hr-HR"/>
        </w:rPr>
        <w:t>. godine: 1.</w:t>
      </w:r>
      <w:r w:rsidR="00A7410F" w:rsidRPr="001567C8">
        <w:rPr>
          <w:rFonts w:asciiTheme="minorHAnsi" w:hAnsiTheme="minorHAnsi" w:cs="Arial"/>
          <w:sz w:val="22"/>
          <w:szCs w:val="22"/>
          <w:lang w:val="hr-HR"/>
        </w:rPr>
        <w:t xml:space="preserve">807 </w:t>
      </w:r>
      <w:r w:rsidR="00F936B7" w:rsidRPr="001567C8">
        <w:rPr>
          <w:rFonts w:asciiTheme="minorHAnsi" w:hAnsiTheme="minorHAnsi" w:cs="Arial"/>
          <w:sz w:val="22"/>
          <w:szCs w:val="22"/>
          <w:lang w:val="hr-HR"/>
        </w:rPr>
        <w:t xml:space="preserve">tisuća kuna) </w:t>
      </w:r>
      <w:r w:rsidRPr="001567C8">
        <w:rPr>
          <w:rFonts w:asciiTheme="minorHAnsi" w:hAnsiTheme="minorHAnsi" w:cs="Arial"/>
          <w:sz w:val="22"/>
          <w:szCs w:val="22"/>
          <w:lang w:val="hr-HR"/>
        </w:rPr>
        <w:t>što je iskazano u okviru Ost</w:t>
      </w:r>
      <w:r w:rsidR="001052A0" w:rsidRPr="001567C8">
        <w:rPr>
          <w:rFonts w:asciiTheme="minorHAnsi" w:hAnsiTheme="minorHAnsi" w:cs="Arial"/>
          <w:sz w:val="22"/>
          <w:szCs w:val="22"/>
          <w:lang w:val="hr-HR"/>
        </w:rPr>
        <w:t>a</w:t>
      </w:r>
      <w:r w:rsidRPr="001567C8">
        <w:rPr>
          <w:rFonts w:asciiTheme="minorHAnsi" w:hAnsiTheme="minorHAnsi" w:cs="Arial"/>
          <w:sz w:val="22"/>
          <w:szCs w:val="22"/>
          <w:lang w:val="hr-HR"/>
        </w:rPr>
        <w:t>l</w:t>
      </w:r>
      <w:r w:rsidR="001052A0" w:rsidRPr="001567C8">
        <w:rPr>
          <w:rFonts w:asciiTheme="minorHAnsi" w:hAnsiTheme="minorHAnsi" w:cs="Arial"/>
          <w:sz w:val="22"/>
          <w:szCs w:val="22"/>
          <w:lang w:val="hr-HR"/>
        </w:rPr>
        <w:t>e</w:t>
      </w:r>
      <w:r w:rsidRPr="001567C8">
        <w:rPr>
          <w:rFonts w:asciiTheme="minorHAnsi" w:hAnsiTheme="minorHAnsi" w:cs="Arial"/>
          <w:sz w:val="22"/>
          <w:szCs w:val="22"/>
          <w:lang w:val="hr-HR"/>
        </w:rPr>
        <w:t xml:space="preserve"> imovine zbog nematerijalnog značaja.</w:t>
      </w:r>
      <w:r w:rsidR="00F936B7" w:rsidRPr="001567C8">
        <w:rPr>
          <w:rFonts w:asciiTheme="minorHAnsi" w:hAnsiTheme="minorHAnsi" w:cs="Arial"/>
          <w:sz w:val="22"/>
          <w:szCs w:val="22"/>
          <w:lang w:val="hr-HR"/>
        </w:rPr>
        <w:t xml:space="preserve"> U </w:t>
      </w:r>
      <w:r w:rsidR="00A7410F" w:rsidRPr="001567C8">
        <w:rPr>
          <w:rFonts w:asciiTheme="minorHAnsi" w:hAnsiTheme="minorHAnsi" w:cs="Arial"/>
          <w:sz w:val="22"/>
          <w:szCs w:val="22"/>
          <w:lang w:val="hr-HR"/>
        </w:rPr>
        <w:t>2018</w:t>
      </w:r>
      <w:r w:rsidR="00F936B7" w:rsidRPr="001567C8">
        <w:rPr>
          <w:rFonts w:asciiTheme="minorHAnsi" w:hAnsiTheme="minorHAnsi" w:cs="Arial"/>
          <w:sz w:val="22"/>
          <w:szCs w:val="22"/>
          <w:lang w:val="hr-HR"/>
        </w:rPr>
        <w:t>. godini je na ovu imovinu obračunata amortizacija u visini od 64 tisuće kuna.</w:t>
      </w:r>
    </w:p>
    <w:p w:rsidR="00B85D36" w:rsidRPr="001567C8" w:rsidRDefault="00B85D36" w:rsidP="0078611A">
      <w:pPr>
        <w:tabs>
          <w:tab w:val="left" w:pos="-1985"/>
        </w:tabs>
        <w:suppressAutoHyphens/>
        <w:jc w:val="both"/>
        <w:rPr>
          <w:rFonts w:asciiTheme="minorHAnsi" w:hAnsiTheme="minorHAnsi" w:cs="Arial"/>
          <w:sz w:val="18"/>
          <w:szCs w:val="18"/>
          <w:lang w:val="hr-HR"/>
        </w:rPr>
      </w:pPr>
    </w:p>
    <w:p w:rsidR="001052A0" w:rsidRPr="001567C8" w:rsidRDefault="002F2D2A" w:rsidP="00E266C9">
      <w:pPr>
        <w:tabs>
          <w:tab w:val="left" w:pos="-1985"/>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 xml:space="preserve">Fer vrijednost </w:t>
      </w:r>
      <w:r w:rsidR="0093316D">
        <w:rPr>
          <w:rFonts w:asciiTheme="minorHAnsi" w:hAnsiTheme="minorHAnsi" w:cs="Arial"/>
          <w:sz w:val="22"/>
          <w:szCs w:val="22"/>
          <w:lang w:val="hr-HR"/>
        </w:rPr>
        <w:t>preuzete imovine</w:t>
      </w:r>
      <w:r w:rsidRPr="001567C8">
        <w:rPr>
          <w:rFonts w:asciiTheme="minorHAnsi" w:hAnsiTheme="minorHAnsi" w:cs="Arial"/>
          <w:sz w:val="22"/>
          <w:szCs w:val="22"/>
          <w:lang w:val="hr-HR"/>
        </w:rPr>
        <w:t xml:space="preserve"> na početku</w:t>
      </w:r>
      <w:r w:rsidR="00EC33A8" w:rsidRPr="001567C8">
        <w:rPr>
          <w:rFonts w:asciiTheme="minorHAnsi" w:hAnsiTheme="minorHAnsi" w:cs="Arial"/>
          <w:sz w:val="22"/>
          <w:szCs w:val="22"/>
          <w:lang w:val="hr-HR"/>
        </w:rPr>
        <w:t xml:space="preserve"> izvještajnog razdoblja iznosi</w:t>
      </w:r>
      <w:r w:rsidR="00C26665" w:rsidRPr="001567C8">
        <w:rPr>
          <w:rFonts w:asciiTheme="minorHAnsi" w:hAnsiTheme="minorHAnsi" w:cs="Arial"/>
          <w:sz w:val="22"/>
          <w:szCs w:val="22"/>
          <w:lang w:val="hr-HR"/>
        </w:rPr>
        <w:t>la je</w:t>
      </w:r>
      <w:r w:rsidR="00EC33A8" w:rsidRPr="001567C8">
        <w:rPr>
          <w:rFonts w:asciiTheme="minorHAnsi" w:hAnsiTheme="minorHAnsi" w:cs="Arial"/>
          <w:sz w:val="22"/>
          <w:szCs w:val="22"/>
          <w:lang w:val="hr-HR"/>
        </w:rPr>
        <w:t xml:space="preserve"> </w:t>
      </w:r>
      <w:r w:rsidR="008E5CC6" w:rsidRPr="001567C8">
        <w:rPr>
          <w:rFonts w:asciiTheme="minorHAnsi" w:hAnsiTheme="minorHAnsi" w:cs="Arial"/>
          <w:sz w:val="22"/>
          <w:szCs w:val="22"/>
          <w:lang w:val="hr-HR"/>
        </w:rPr>
        <w:t>2</w:t>
      </w:r>
      <w:r w:rsidR="00977EBF" w:rsidRPr="001567C8">
        <w:rPr>
          <w:rFonts w:asciiTheme="minorHAnsi" w:hAnsiTheme="minorHAnsi" w:cs="Arial"/>
          <w:sz w:val="22"/>
          <w:szCs w:val="22"/>
          <w:lang w:val="hr-HR"/>
        </w:rPr>
        <w:t>7</w:t>
      </w:r>
      <w:r w:rsidR="008E5CC6" w:rsidRPr="001567C8">
        <w:rPr>
          <w:rFonts w:asciiTheme="minorHAnsi" w:hAnsiTheme="minorHAnsi" w:cs="Arial"/>
          <w:sz w:val="22"/>
          <w:szCs w:val="22"/>
          <w:lang w:val="hr-HR"/>
        </w:rPr>
        <w:t>.</w:t>
      </w:r>
      <w:r w:rsidR="00977EBF" w:rsidRPr="001567C8">
        <w:rPr>
          <w:rFonts w:asciiTheme="minorHAnsi" w:hAnsiTheme="minorHAnsi" w:cs="Arial"/>
          <w:sz w:val="22"/>
          <w:szCs w:val="22"/>
          <w:lang w:val="hr-HR"/>
        </w:rPr>
        <w:t>773</w:t>
      </w:r>
      <w:r w:rsidR="008E5CC6" w:rsidRPr="001567C8">
        <w:rPr>
          <w:rFonts w:asciiTheme="minorHAnsi" w:hAnsiTheme="minorHAnsi" w:cs="Arial"/>
          <w:sz w:val="22"/>
          <w:szCs w:val="22"/>
          <w:lang w:val="hr-HR"/>
        </w:rPr>
        <w:t xml:space="preserve"> </w:t>
      </w:r>
      <w:r w:rsidR="00EC33A8" w:rsidRPr="001567C8">
        <w:rPr>
          <w:rFonts w:asciiTheme="minorHAnsi" w:hAnsiTheme="minorHAnsi" w:cs="Arial"/>
          <w:sz w:val="22"/>
          <w:szCs w:val="22"/>
          <w:lang w:val="hr-HR"/>
        </w:rPr>
        <w:t>tisuć</w:t>
      </w:r>
      <w:r w:rsidR="00D64A2E">
        <w:rPr>
          <w:rFonts w:asciiTheme="minorHAnsi" w:hAnsiTheme="minorHAnsi" w:cs="Arial"/>
          <w:sz w:val="22"/>
          <w:szCs w:val="22"/>
          <w:lang w:val="hr-HR"/>
        </w:rPr>
        <w:t>e</w:t>
      </w:r>
      <w:r w:rsidR="00EC33A8" w:rsidRPr="001567C8">
        <w:rPr>
          <w:rFonts w:asciiTheme="minorHAnsi" w:hAnsiTheme="minorHAnsi" w:cs="Arial"/>
          <w:sz w:val="22"/>
          <w:szCs w:val="22"/>
          <w:lang w:val="hr-HR"/>
        </w:rPr>
        <w:t xml:space="preserve"> kuna, a</w:t>
      </w:r>
      <w:r w:rsidRPr="001567C8">
        <w:rPr>
          <w:rFonts w:asciiTheme="minorHAnsi" w:hAnsiTheme="minorHAnsi" w:cs="Arial"/>
          <w:sz w:val="22"/>
          <w:szCs w:val="22"/>
          <w:lang w:val="hr-HR"/>
        </w:rPr>
        <w:t xml:space="preserve"> na kraju izvještajnog razdoblja iznosi </w:t>
      </w:r>
      <w:r w:rsidR="0093316D">
        <w:rPr>
          <w:rFonts w:asciiTheme="minorHAnsi" w:hAnsiTheme="minorHAnsi" w:cs="Arial"/>
          <w:sz w:val="22"/>
          <w:szCs w:val="22"/>
          <w:lang w:val="hr-HR"/>
        </w:rPr>
        <w:t>38.261</w:t>
      </w:r>
      <w:r w:rsidR="001052A0"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tisuć</w:t>
      </w:r>
      <w:r w:rsidR="0093316D">
        <w:rPr>
          <w:rFonts w:asciiTheme="minorHAnsi" w:hAnsiTheme="minorHAnsi" w:cs="Arial"/>
          <w:sz w:val="22"/>
          <w:szCs w:val="22"/>
          <w:lang w:val="hr-HR"/>
        </w:rPr>
        <w:t>u</w:t>
      </w:r>
      <w:r w:rsidRPr="001567C8">
        <w:rPr>
          <w:rFonts w:asciiTheme="minorHAnsi" w:hAnsiTheme="minorHAnsi" w:cs="Arial"/>
          <w:sz w:val="22"/>
          <w:szCs w:val="22"/>
          <w:lang w:val="hr-HR"/>
        </w:rPr>
        <w:t xml:space="preserve"> kuna.</w:t>
      </w:r>
      <w:r w:rsidR="00B20600" w:rsidRPr="001567C8">
        <w:rPr>
          <w:rFonts w:asciiTheme="minorHAnsi" w:hAnsiTheme="minorHAnsi" w:cs="Arial"/>
          <w:sz w:val="22"/>
          <w:szCs w:val="22"/>
          <w:lang w:val="hr-HR"/>
        </w:rPr>
        <w:t xml:space="preserve"> </w:t>
      </w:r>
    </w:p>
    <w:p w:rsidR="009834EE" w:rsidRPr="001567C8" w:rsidRDefault="009834EE" w:rsidP="00E266C9">
      <w:pPr>
        <w:tabs>
          <w:tab w:val="left" w:pos="-1985"/>
        </w:tabs>
        <w:suppressAutoHyphens/>
        <w:jc w:val="both"/>
        <w:rPr>
          <w:rFonts w:asciiTheme="minorHAnsi" w:hAnsiTheme="minorHAnsi" w:cs="Arial"/>
          <w:sz w:val="22"/>
          <w:szCs w:val="22"/>
          <w:lang w:val="hr-HR"/>
        </w:rPr>
      </w:pPr>
    </w:p>
    <w:p w:rsidR="009834EE" w:rsidRPr="001567C8" w:rsidRDefault="009834EE" w:rsidP="009834EE">
      <w:pPr>
        <w:tabs>
          <w:tab w:val="left" w:pos="-1985"/>
        </w:tabs>
        <w:jc w:val="both"/>
        <w:rPr>
          <w:rFonts w:ascii="Calibri" w:hAnsi="Calibri" w:cs="Arial"/>
          <w:sz w:val="22"/>
          <w:szCs w:val="22"/>
          <w:lang w:val="hr-HR"/>
        </w:rPr>
      </w:pPr>
      <w:r w:rsidRPr="001567C8">
        <w:rPr>
          <w:rFonts w:ascii="Calibri" w:hAnsi="Calibri" w:cs="Arial"/>
          <w:sz w:val="22"/>
          <w:szCs w:val="22"/>
          <w:lang w:val="hr-HR"/>
        </w:rPr>
        <w:t>Iznos smanjenja usklađenja za Grupu i Banku koji ima učinak na Račun dobiti i gubitka u 2018. godini iznosi 157  tisuća kuna (2017. godina: povećanje od 526 tisuća kuna).</w:t>
      </w:r>
    </w:p>
    <w:p w:rsidR="00B9469F" w:rsidRPr="001567C8" w:rsidRDefault="00B9469F" w:rsidP="001D233C">
      <w:pPr>
        <w:tabs>
          <w:tab w:val="left" w:pos="-1985"/>
        </w:tabs>
        <w:suppressAutoHyphens/>
        <w:jc w:val="both"/>
        <w:rPr>
          <w:rFonts w:asciiTheme="minorHAnsi" w:hAnsiTheme="minorHAnsi" w:cs="Arial"/>
          <w:sz w:val="18"/>
          <w:szCs w:val="18"/>
          <w:lang w:val="hr-HR"/>
        </w:rPr>
      </w:pPr>
    </w:p>
    <w:p w:rsidR="00B9469F" w:rsidRPr="001567C8" w:rsidRDefault="00B9469F">
      <w:pPr>
        <w:pStyle w:val="T1"/>
        <w:spacing w:before="0" w:after="0" w:line="240" w:lineRule="auto"/>
        <w:rPr>
          <w:rFonts w:asciiTheme="minorHAnsi" w:hAnsiTheme="minorHAnsi" w:cs="Arial"/>
          <w:b w:val="0"/>
          <w:bCs w:val="0"/>
          <w:sz w:val="22"/>
          <w:szCs w:val="22"/>
          <w:lang w:val="hr-HR"/>
        </w:rPr>
      </w:pPr>
    </w:p>
    <w:p w:rsidR="00CF6A70" w:rsidRPr="001567C8" w:rsidRDefault="00CF6A70" w:rsidP="008E5CC6">
      <w:pPr>
        <w:pStyle w:val="Thick"/>
        <w:rPr>
          <w:rFonts w:asciiTheme="minorHAnsi" w:hAnsiTheme="minorHAnsi" w:cs="Arial"/>
          <w:sz w:val="22"/>
          <w:szCs w:val="22"/>
          <w:lang w:val="hr-HR"/>
        </w:rPr>
      </w:pPr>
    </w:p>
    <w:p w:rsidR="00003051" w:rsidRPr="001567C8" w:rsidRDefault="00003051" w:rsidP="008E5CC6">
      <w:pPr>
        <w:pStyle w:val="Thick"/>
        <w:rPr>
          <w:rFonts w:asciiTheme="minorHAnsi" w:hAnsiTheme="minorHAnsi" w:cs="Arial"/>
          <w:sz w:val="22"/>
          <w:szCs w:val="22"/>
          <w:lang w:val="hr-HR"/>
        </w:rPr>
        <w:sectPr w:rsidR="00003051" w:rsidRPr="001567C8" w:rsidSect="003E2D7A">
          <w:pgSz w:w="11907" w:h="16840" w:code="9"/>
          <w:pgMar w:top="1418" w:right="1134" w:bottom="1134" w:left="1418" w:header="851" w:footer="851" w:gutter="0"/>
          <w:cols w:space="720"/>
          <w:noEndnote/>
        </w:sectPr>
      </w:pPr>
    </w:p>
    <w:p w:rsidR="008E5CC6" w:rsidRPr="001567C8" w:rsidRDefault="008E5CC6" w:rsidP="008E5CC6">
      <w:pPr>
        <w:pStyle w:val="T1"/>
        <w:spacing w:before="0" w:after="0" w:line="240" w:lineRule="auto"/>
        <w:rPr>
          <w:rFonts w:asciiTheme="minorHAnsi" w:hAnsiTheme="minorHAnsi" w:cs="Arial"/>
          <w:sz w:val="22"/>
          <w:szCs w:val="22"/>
          <w:lang w:val="hr-HR"/>
        </w:rPr>
      </w:pPr>
    </w:p>
    <w:p w:rsidR="00134EB8" w:rsidRPr="001567C8" w:rsidRDefault="00087830" w:rsidP="008E5CC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w:t>
      </w:r>
      <w:r w:rsidR="00C9220F" w:rsidRPr="001567C8">
        <w:rPr>
          <w:rFonts w:asciiTheme="minorHAnsi" w:hAnsiTheme="minorHAnsi" w:cs="Arial"/>
          <w:sz w:val="22"/>
          <w:szCs w:val="22"/>
          <w:lang w:val="hr-HR"/>
        </w:rPr>
        <w:t>6</w:t>
      </w:r>
      <w:r w:rsidR="00134EB8" w:rsidRPr="001567C8">
        <w:rPr>
          <w:rFonts w:asciiTheme="minorHAnsi" w:hAnsiTheme="minorHAnsi" w:cs="Arial"/>
          <w:sz w:val="22"/>
          <w:szCs w:val="22"/>
          <w:lang w:val="hr-HR"/>
        </w:rPr>
        <w:t>.</w:t>
      </w:r>
      <w:r w:rsidR="00134EB8" w:rsidRPr="001567C8">
        <w:rPr>
          <w:rFonts w:asciiTheme="minorHAnsi" w:hAnsiTheme="minorHAnsi" w:cs="Arial"/>
          <w:sz w:val="22"/>
          <w:szCs w:val="22"/>
          <w:lang w:val="hr-HR"/>
        </w:rPr>
        <w:tab/>
        <w:t>Ostala</w:t>
      </w:r>
      <w:r w:rsidR="00D65436" w:rsidRPr="001567C8">
        <w:rPr>
          <w:rFonts w:asciiTheme="minorHAnsi" w:hAnsiTheme="minorHAnsi" w:cs="Arial"/>
          <w:sz w:val="22"/>
          <w:szCs w:val="22"/>
          <w:lang w:val="hr-HR"/>
        </w:rPr>
        <w:t xml:space="preserve"> imovina</w:t>
      </w:r>
    </w:p>
    <w:p w:rsidR="00134EB8" w:rsidRPr="001567C8" w:rsidRDefault="00134EB8" w:rsidP="00134EB8">
      <w:pPr>
        <w:tabs>
          <w:tab w:val="left" w:pos="-1985"/>
        </w:tabs>
        <w:suppressAutoHyphens/>
        <w:rPr>
          <w:rFonts w:asciiTheme="minorHAnsi" w:hAnsiTheme="minorHAnsi" w:cs="Arial"/>
          <w:b/>
          <w:sz w:val="22"/>
          <w:szCs w:val="22"/>
          <w:u w:val="single"/>
          <w:lang w:val="hr-HR"/>
          <w14:shadow w14:blurRad="50800" w14:dist="38100" w14:dir="2700000" w14:sx="100000" w14:sy="100000" w14:kx="0" w14:ky="0" w14:algn="tl">
            <w14:srgbClr w14:val="000000">
              <w14:alpha w14:val="60000"/>
            </w14:srgbClr>
          </w14:shadow>
        </w:rPr>
      </w:pPr>
    </w:p>
    <w:tbl>
      <w:tblPr>
        <w:tblW w:w="5012" w:type="pct"/>
        <w:tblLayout w:type="fixed"/>
        <w:tblCellMar>
          <w:left w:w="119" w:type="dxa"/>
          <w:right w:w="119" w:type="dxa"/>
        </w:tblCellMar>
        <w:tblLook w:val="0000" w:firstRow="0" w:lastRow="0" w:firstColumn="0" w:lastColumn="0" w:noHBand="0" w:noVBand="0"/>
      </w:tblPr>
      <w:tblGrid>
        <w:gridCol w:w="3827"/>
        <w:gridCol w:w="1388"/>
        <w:gridCol w:w="1388"/>
        <w:gridCol w:w="1388"/>
        <w:gridCol w:w="1386"/>
      </w:tblGrid>
      <w:tr w:rsidR="005F6280" w:rsidRPr="001567C8" w:rsidTr="003C6BA3">
        <w:trPr>
          <w:trHeight w:val="171"/>
        </w:trPr>
        <w:tc>
          <w:tcPr>
            <w:tcW w:w="2041" w:type="pct"/>
          </w:tcPr>
          <w:p w:rsidR="005F6280" w:rsidRPr="001567C8" w:rsidRDefault="005F6280" w:rsidP="009C7C7A">
            <w:pPr>
              <w:tabs>
                <w:tab w:val="left" w:pos="-720"/>
              </w:tabs>
              <w:suppressAutoHyphens/>
              <w:rPr>
                <w:rFonts w:asciiTheme="minorHAnsi" w:hAnsiTheme="minorHAnsi" w:cs="Arial"/>
                <w:spacing w:val="-2"/>
                <w:sz w:val="22"/>
                <w:szCs w:val="22"/>
                <w:lang w:val="hr-HR"/>
              </w:rPr>
            </w:pPr>
          </w:p>
        </w:tc>
        <w:tc>
          <w:tcPr>
            <w:tcW w:w="1480" w:type="pct"/>
            <w:gridSpan w:val="2"/>
          </w:tcPr>
          <w:p w:rsidR="005F6280" w:rsidRPr="001567C8" w:rsidRDefault="005F6280" w:rsidP="009735D1">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480" w:type="pct"/>
            <w:gridSpan w:val="2"/>
          </w:tcPr>
          <w:p w:rsidR="005F6280" w:rsidRPr="001567C8" w:rsidRDefault="005F6280" w:rsidP="009735D1">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CA2E8F" w:rsidRPr="001567C8" w:rsidTr="003C6BA3">
        <w:trPr>
          <w:trHeight w:val="689"/>
        </w:trPr>
        <w:tc>
          <w:tcPr>
            <w:tcW w:w="2041" w:type="pct"/>
          </w:tcPr>
          <w:p w:rsidR="00CA2E8F" w:rsidRPr="001567C8" w:rsidRDefault="00CA2E8F" w:rsidP="00CA2E8F">
            <w:pPr>
              <w:tabs>
                <w:tab w:val="left" w:pos="-720"/>
              </w:tabs>
              <w:suppressAutoHyphens/>
              <w:rPr>
                <w:rFonts w:asciiTheme="minorHAnsi" w:hAnsiTheme="minorHAnsi" w:cs="Arial"/>
                <w:spacing w:val="-2"/>
                <w:sz w:val="22"/>
                <w:szCs w:val="22"/>
                <w:lang w:val="hr-HR"/>
              </w:rPr>
            </w:pPr>
          </w:p>
        </w:tc>
        <w:tc>
          <w:tcPr>
            <w:tcW w:w="740" w:type="pct"/>
            <w:vAlign w:val="center"/>
          </w:tcPr>
          <w:p w:rsidR="00CA2E8F"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CA2E8F" w:rsidRPr="001567C8">
              <w:rPr>
                <w:rFonts w:asciiTheme="minorHAnsi" w:hAnsiTheme="minorHAnsi" w:cs="Arial"/>
                <w:sz w:val="22"/>
                <w:szCs w:val="22"/>
                <w:lang w:val="hr-HR"/>
              </w:rPr>
              <w:t>2018.</w:t>
            </w:r>
          </w:p>
        </w:tc>
        <w:tc>
          <w:tcPr>
            <w:tcW w:w="740" w:type="pct"/>
            <w:vAlign w:val="center"/>
          </w:tcPr>
          <w:p w:rsidR="00CA2E8F"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CA2E8F" w:rsidRPr="001567C8">
              <w:rPr>
                <w:rFonts w:asciiTheme="minorHAnsi" w:hAnsiTheme="minorHAnsi" w:cs="Arial"/>
                <w:sz w:val="22"/>
                <w:szCs w:val="22"/>
                <w:lang w:val="hr-HR"/>
              </w:rPr>
              <w:t>2017.</w:t>
            </w:r>
          </w:p>
        </w:tc>
        <w:tc>
          <w:tcPr>
            <w:tcW w:w="740" w:type="pct"/>
            <w:vAlign w:val="center"/>
          </w:tcPr>
          <w:p w:rsidR="00CA2E8F"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CA2E8F" w:rsidRPr="001567C8">
              <w:rPr>
                <w:rFonts w:asciiTheme="minorHAnsi" w:hAnsiTheme="minorHAnsi" w:cs="Arial"/>
                <w:sz w:val="22"/>
                <w:szCs w:val="22"/>
                <w:lang w:val="hr-HR"/>
              </w:rPr>
              <w:t>2018.</w:t>
            </w:r>
          </w:p>
        </w:tc>
        <w:tc>
          <w:tcPr>
            <w:tcW w:w="740" w:type="pct"/>
            <w:vAlign w:val="center"/>
          </w:tcPr>
          <w:p w:rsidR="00CA2E8F"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CA2E8F" w:rsidRPr="001567C8">
              <w:rPr>
                <w:rFonts w:asciiTheme="minorHAnsi" w:hAnsiTheme="minorHAnsi" w:cs="Arial"/>
                <w:sz w:val="22"/>
                <w:szCs w:val="22"/>
                <w:lang w:val="hr-HR"/>
              </w:rPr>
              <w:t>2017.</w:t>
            </w:r>
          </w:p>
        </w:tc>
      </w:tr>
      <w:tr w:rsidR="00395707" w:rsidRPr="001567C8" w:rsidTr="003C6BA3">
        <w:trPr>
          <w:trHeight w:val="220"/>
        </w:trPr>
        <w:tc>
          <w:tcPr>
            <w:tcW w:w="2041" w:type="pct"/>
          </w:tcPr>
          <w:p w:rsidR="00395707" w:rsidRPr="001567C8" w:rsidRDefault="00395707" w:rsidP="00395707">
            <w:pPr>
              <w:tabs>
                <w:tab w:val="left" w:pos="-720"/>
              </w:tabs>
              <w:suppressAutoHyphens/>
              <w:rPr>
                <w:rFonts w:asciiTheme="minorHAnsi" w:hAnsiTheme="minorHAnsi" w:cs="Arial"/>
                <w:spacing w:val="-2"/>
                <w:sz w:val="22"/>
                <w:szCs w:val="22"/>
                <w:lang w:val="hr-HR"/>
              </w:rPr>
            </w:pPr>
          </w:p>
        </w:tc>
        <w:tc>
          <w:tcPr>
            <w:tcW w:w="740" w:type="pct"/>
          </w:tcPr>
          <w:p w:rsidR="00395707" w:rsidRPr="001567C8" w:rsidRDefault="00395707" w:rsidP="0039570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40" w:type="pct"/>
          </w:tcPr>
          <w:p w:rsidR="00395707" w:rsidRPr="001567C8" w:rsidRDefault="00395707" w:rsidP="0039570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40" w:type="pct"/>
          </w:tcPr>
          <w:p w:rsidR="00395707" w:rsidRPr="001567C8" w:rsidRDefault="00395707" w:rsidP="0039570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40" w:type="pct"/>
          </w:tcPr>
          <w:p w:rsidR="00395707" w:rsidRPr="001567C8" w:rsidRDefault="00395707" w:rsidP="0039570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395707" w:rsidRPr="001567C8" w:rsidTr="003C6BA3">
        <w:trPr>
          <w:trHeight w:val="231"/>
        </w:trPr>
        <w:tc>
          <w:tcPr>
            <w:tcW w:w="2041" w:type="pct"/>
          </w:tcPr>
          <w:p w:rsidR="00395707" w:rsidRPr="001567C8" w:rsidRDefault="00395707" w:rsidP="00395707">
            <w:pPr>
              <w:tabs>
                <w:tab w:val="left" w:pos="-720"/>
              </w:tabs>
              <w:suppressAutoHyphens/>
              <w:rPr>
                <w:rFonts w:asciiTheme="minorHAnsi" w:hAnsiTheme="minorHAnsi" w:cs="Arial"/>
                <w:spacing w:val="-2"/>
                <w:sz w:val="22"/>
                <w:szCs w:val="22"/>
                <w:lang w:val="hr-HR"/>
              </w:rPr>
            </w:pPr>
          </w:p>
        </w:tc>
        <w:tc>
          <w:tcPr>
            <w:tcW w:w="740" w:type="pct"/>
          </w:tcPr>
          <w:p w:rsidR="00395707" w:rsidRPr="001567C8" w:rsidRDefault="00395707" w:rsidP="00395707">
            <w:pPr>
              <w:tabs>
                <w:tab w:val="left" w:pos="-720"/>
              </w:tabs>
              <w:suppressAutoHyphens/>
              <w:jc w:val="right"/>
              <w:rPr>
                <w:rFonts w:asciiTheme="minorHAnsi" w:hAnsiTheme="minorHAnsi" w:cs="Arial"/>
                <w:b/>
                <w:spacing w:val="-2"/>
                <w:sz w:val="22"/>
                <w:szCs w:val="22"/>
                <w:lang w:val="hr-HR"/>
              </w:rPr>
            </w:pPr>
          </w:p>
        </w:tc>
        <w:tc>
          <w:tcPr>
            <w:tcW w:w="740" w:type="pct"/>
          </w:tcPr>
          <w:p w:rsidR="00395707" w:rsidRPr="001567C8" w:rsidRDefault="00395707" w:rsidP="00395707">
            <w:pPr>
              <w:tabs>
                <w:tab w:val="left" w:pos="-720"/>
              </w:tabs>
              <w:suppressAutoHyphens/>
              <w:jc w:val="right"/>
              <w:rPr>
                <w:rFonts w:asciiTheme="minorHAnsi" w:hAnsiTheme="minorHAnsi" w:cs="Arial"/>
                <w:b/>
                <w:spacing w:val="-2"/>
                <w:sz w:val="22"/>
                <w:szCs w:val="22"/>
                <w:lang w:val="hr-HR"/>
              </w:rPr>
            </w:pPr>
          </w:p>
        </w:tc>
        <w:tc>
          <w:tcPr>
            <w:tcW w:w="740" w:type="pct"/>
            <w:vAlign w:val="bottom"/>
          </w:tcPr>
          <w:p w:rsidR="00395707" w:rsidRPr="001567C8" w:rsidRDefault="00395707" w:rsidP="00395707">
            <w:pPr>
              <w:tabs>
                <w:tab w:val="left" w:pos="-720"/>
              </w:tabs>
              <w:suppressAutoHyphens/>
              <w:jc w:val="right"/>
              <w:rPr>
                <w:rFonts w:asciiTheme="minorHAnsi" w:hAnsiTheme="minorHAnsi" w:cs="Arial"/>
                <w:b/>
                <w:spacing w:val="-2"/>
                <w:sz w:val="22"/>
                <w:szCs w:val="22"/>
                <w:lang w:val="hr-HR"/>
              </w:rPr>
            </w:pPr>
          </w:p>
        </w:tc>
        <w:tc>
          <w:tcPr>
            <w:tcW w:w="740" w:type="pct"/>
            <w:vAlign w:val="bottom"/>
          </w:tcPr>
          <w:p w:rsidR="00395707" w:rsidRPr="001567C8" w:rsidRDefault="00395707" w:rsidP="00395707">
            <w:pPr>
              <w:tabs>
                <w:tab w:val="left" w:pos="-720"/>
              </w:tabs>
              <w:suppressAutoHyphens/>
              <w:jc w:val="right"/>
              <w:rPr>
                <w:rFonts w:asciiTheme="minorHAnsi" w:hAnsiTheme="minorHAnsi" w:cs="Arial"/>
                <w:b/>
                <w:spacing w:val="-2"/>
                <w:sz w:val="22"/>
                <w:szCs w:val="22"/>
                <w:lang w:val="hr-HR"/>
              </w:rPr>
            </w:pPr>
          </w:p>
        </w:tc>
      </w:tr>
      <w:tr w:rsidR="008A378D" w:rsidRPr="001567C8" w:rsidTr="003C6BA3">
        <w:trPr>
          <w:trHeight w:val="278"/>
        </w:trPr>
        <w:tc>
          <w:tcPr>
            <w:tcW w:w="2041" w:type="pct"/>
          </w:tcPr>
          <w:p w:rsidR="008A378D" w:rsidRPr="001567C8" w:rsidRDefault="008A378D" w:rsidP="008A378D">
            <w:pPr>
              <w:pStyle w:val="TT"/>
              <w:rPr>
                <w:rFonts w:asciiTheme="minorHAnsi" w:hAnsiTheme="minorHAnsi" w:cs="Arial"/>
                <w:sz w:val="22"/>
                <w:szCs w:val="22"/>
                <w:lang w:val="hr-HR"/>
              </w:rPr>
            </w:pPr>
            <w:r w:rsidRPr="001567C8">
              <w:rPr>
                <w:rFonts w:asciiTheme="minorHAnsi" w:hAnsiTheme="minorHAnsi" w:cs="Arial"/>
                <w:sz w:val="22"/>
                <w:szCs w:val="22"/>
                <w:lang w:val="hr-HR"/>
              </w:rPr>
              <w:t>Potraživanja po naknadama</w:t>
            </w:r>
          </w:p>
        </w:tc>
        <w:tc>
          <w:tcPr>
            <w:tcW w:w="740" w:type="pct"/>
            <w:tcBorders>
              <w:top w:val="nil"/>
              <w:left w:val="nil"/>
              <w:bottom w:val="nil"/>
              <w:right w:val="nil"/>
            </w:tcBorders>
            <w:shd w:val="clear" w:color="auto" w:fill="auto"/>
          </w:tcPr>
          <w:p w:rsidR="008A378D" w:rsidRPr="00CD3A2D" w:rsidRDefault="008A378D" w:rsidP="008A378D">
            <w:pPr>
              <w:pStyle w:val="TT"/>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27.161</w:t>
            </w:r>
          </w:p>
        </w:tc>
        <w:tc>
          <w:tcPr>
            <w:tcW w:w="740" w:type="pct"/>
            <w:tcBorders>
              <w:top w:val="nil"/>
              <w:left w:val="nil"/>
              <w:bottom w:val="nil"/>
              <w:right w:val="nil"/>
            </w:tcBorders>
            <w:shd w:val="clear" w:color="auto" w:fill="auto"/>
            <w:vAlign w:val="center"/>
          </w:tcPr>
          <w:p w:rsidR="008A378D" w:rsidRPr="001567C8" w:rsidRDefault="008A378D" w:rsidP="008A378D">
            <w:pPr>
              <w:pStyle w:val="TT"/>
              <w:jc w:val="right"/>
              <w:rPr>
                <w:rFonts w:asciiTheme="minorHAnsi" w:hAnsiTheme="minorHAnsi" w:cs="Arial"/>
                <w:sz w:val="22"/>
                <w:szCs w:val="22"/>
                <w:lang w:val="hr-HR"/>
              </w:rPr>
            </w:pPr>
            <w:r w:rsidRPr="00CD3A2D">
              <w:rPr>
                <w:rFonts w:ascii="Calibri" w:hAnsi="Calibri"/>
                <w:color w:val="000000"/>
                <w:sz w:val="22"/>
                <w:szCs w:val="22"/>
                <w:lang w:val="hr-HR"/>
              </w:rPr>
              <w:t>9.363</w:t>
            </w:r>
          </w:p>
        </w:tc>
        <w:tc>
          <w:tcPr>
            <w:tcW w:w="740" w:type="pct"/>
            <w:tcBorders>
              <w:top w:val="nil"/>
              <w:left w:val="nil"/>
              <w:bottom w:val="nil"/>
              <w:right w:val="nil"/>
            </w:tcBorders>
            <w:shd w:val="clear" w:color="auto" w:fill="auto"/>
            <w:vAlign w:val="center"/>
          </w:tcPr>
          <w:p w:rsidR="008A378D" w:rsidRPr="00CD3A2D" w:rsidRDefault="008A378D" w:rsidP="008A378D">
            <w:pPr>
              <w:pStyle w:val="TT"/>
              <w:jc w:val="right"/>
              <w:rPr>
                <w:rFonts w:ascii="Calibri" w:hAnsi="Calibri"/>
                <w:color w:val="000000"/>
                <w:sz w:val="22"/>
                <w:szCs w:val="22"/>
                <w:lang w:val="hr-HR"/>
              </w:rPr>
            </w:pPr>
            <w:r w:rsidRPr="00CD3A2D">
              <w:rPr>
                <w:rFonts w:ascii="Calibri" w:hAnsi="Calibri"/>
                <w:color w:val="000000"/>
                <w:sz w:val="22"/>
                <w:szCs w:val="22"/>
                <w:lang w:val="hr-HR"/>
              </w:rPr>
              <w:t>27.161</w:t>
            </w:r>
          </w:p>
        </w:tc>
        <w:tc>
          <w:tcPr>
            <w:tcW w:w="740" w:type="pct"/>
            <w:tcBorders>
              <w:top w:val="nil"/>
              <w:left w:val="nil"/>
              <w:bottom w:val="nil"/>
              <w:right w:val="nil"/>
            </w:tcBorders>
            <w:shd w:val="clear" w:color="auto" w:fill="auto"/>
            <w:vAlign w:val="center"/>
          </w:tcPr>
          <w:p w:rsidR="008A378D" w:rsidRPr="001567C8" w:rsidRDefault="008A378D" w:rsidP="008A378D">
            <w:pPr>
              <w:pStyle w:val="TT"/>
              <w:jc w:val="right"/>
              <w:rPr>
                <w:rFonts w:asciiTheme="minorHAnsi" w:hAnsiTheme="minorHAnsi" w:cs="Arial"/>
                <w:sz w:val="22"/>
                <w:szCs w:val="22"/>
                <w:lang w:val="hr-HR"/>
              </w:rPr>
            </w:pPr>
            <w:r w:rsidRPr="00CD3A2D">
              <w:rPr>
                <w:rFonts w:ascii="Calibri" w:hAnsi="Calibri"/>
                <w:color w:val="000000"/>
                <w:sz w:val="22"/>
                <w:szCs w:val="22"/>
                <w:lang w:val="hr-HR"/>
              </w:rPr>
              <w:t>9.363</w:t>
            </w:r>
          </w:p>
        </w:tc>
      </w:tr>
      <w:tr w:rsidR="007A45BA" w:rsidRPr="001567C8" w:rsidTr="003C6BA3">
        <w:trPr>
          <w:trHeight w:val="259"/>
        </w:trPr>
        <w:tc>
          <w:tcPr>
            <w:tcW w:w="2041" w:type="pct"/>
          </w:tcPr>
          <w:p w:rsidR="007A45BA" w:rsidRPr="001567C8" w:rsidRDefault="007A45BA" w:rsidP="007A45BA">
            <w:pPr>
              <w:pStyle w:val="TT"/>
              <w:rPr>
                <w:rFonts w:asciiTheme="minorHAnsi" w:hAnsiTheme="minorHAnsi" w:cs="Arial"/>
                <w:sz w:val="22"/>
                <w:szCs w:val="22"/>
                <w:lang w:val="hr-HR"/>
              </w:rPr>
            </w:pPr>
            <w:r w:rsidRPr="001567C8">
              <w:rPr>
                <w:rFonts w:asciiTheme="minorHAnsi" w:hAnsiTheme="minorHAnsi" w:cs="Arial"/>
                <w:sz w:val="22"/>
                <w:szCs w:val="22"/>
                <w:lang w:val="hr-HR"/>
              </w:rPr>
              <w:t>Ostala potraživanja</w:t>
            </w:r>
          </w:p>
        </w:tc>
        <w:tc>
          <w:tcPr>
            <w:tcW w:w="740" w:type="pct"/>
            <w:tcBorders>
              <w:top w:val="nil"/>
              <w:left w:val="nil"/>
              <w:bottom w:val="nil"/>
              <w:right w:val="nil"/>
            </w:tcBorders>
            <w:shd w:val="clear" w:color="auto" w:fill="auto"/>
            <w:vAlign w:val="center"/>
          </w:tcPr>
          <w:p w:rsidR="007A45BA" w:rsidRPr="00CD3A2D" w:rsidRDefault="007A45BA" w:rsidP="007A45BA">
            <w:pPr>
              <w:pStyle w:val="TT"/>
              <w:jc w:val="right"/>
              <w:rPr>
                <w:rFonts w:asciiTheme="minorHAnsi" w:hAnsiTheme="minorHAnsi" w:cstheme="minorHAnsi"/>
                <w:sz w:val="22"/>
                <w:szCs w:val="22"/>
                <w:lang w:val="hr-HR"/>
              </w:rPr>
            </w:pPr>
            <w:r w:rsidRPr="00CD3A2D">
              <w:rPr>
                <w:rFonts w:ascii="Calibri" w:hAnsi="Calibri" w:cs="Calibri"/>
                <w:color w:val="000000"/>
                <w:sz w:val="22"/>
                <w:szCs w:val="22"/>
                <w:lang w:val="hr-HR"/>
              </w:rPr>
              <w:t>11.0</w:t>
            </w:r>
            <w:r w:rsidR="004A15CA" w:rsidRPr="00CD3A2D">
              <w:rPr>
                <w:rFonts w:ascii="Calibri" w:hAnsi="Calibri" w:cs="Calibri"/>
                <w:color w:val="000000"/>
                <w:sz w:val="22"/>
                <w:szCs w:val="22"/>
                <w:lang w:val="hr-HR"/>
              </w:rPr>
              <w:t>70</w:t>
            </w:r>
          </w:p>
        </w:tc>
        <w:tc>
          <w:tcPr>
            <w:tcW w:w="740" w:type="pct"/>
            <w:tcBorders>
              <w:top w:val="nil"/>
              <w:left w:val="nil"/>
              <w:bottom w:val="nil"/>
              <w:right w:val="nil"/>
            </w:tcBorders>
            <w:shd w:val="clear" w:color="auto" w:fill="auto"/>
            <w:vAlign w:val="center"/>
          </w:tcPr>
          <w:p w:rsidR="007A45BA" w:rsidRPr="00CD3A2D" w:rsidRDefault="007A45BA" w:rsidP="007A45BA">
            <w:pPr>
              <w:pStyle w:val="TT"/>
              <w:jc w:val="right"/>
              <w:rPr>
                <w:rFonts w:ascii="Calibri" w:hAnsi="Calibri"/>
                <w:color w:val="000000"/>
                <w:sz w:val="22"/>
                <w:szCs w:val="22"/>
                <w:lang w:val="hr-HR"/>
              </w:rPr>
            </w:pPr>
            <w:r w:rsidRPr="00CD3A2D">
              <w:rPr>
                <w:rFonts w:ascii="Calibri" w:hAnsi="Calibri" w:cs="Calibri"/>
                <w:color w:val="000000"/>
                <w:sz w:val="22"/>
                <w:szCs w:val="22"/>
                <w:lang w:val="hr-HR"/>
              </w:rPr>
              <w:t>9.511</w:t>
            </w:r>
          </w:p>
        </w:tc>
        <w:tc>
          <w:tcPr>
            <w:tcW w:w="740" w:type="pct"/>
            <w:tcBorders>
              <w:top w:val="nil"/>
              <w:left w:val="nil"/>
              <w:bottom w:val="nil"/>
              <w:right w:val="nil"/>
            </w:tcBorders>
            <w:shd w:val="clear" w:color="auto" w:fill="auto"/>
            <w:vAlign w:val="center"/>
          </w:tcPr>
          <w:p w:rsidR="007A45BA" w:rsidRPr="00CD3A2D" w:rsidRDefault="007A45BA" w:rsidP="007A45BA">
            <w:pPr>
              <w:pStyle w:val="TT"/>
              <w:jc w:val="right"/>
              <w:rPr>
                <w:rFonts w:ascii="Calibri" w:hAnsi="Calibri"/>
                <w:color w:val="000000"/>
                <w:sz w:val="22"/>
                <w:szCs w:val="22"/>
                <w:lang w:val="hr-HR"/>
              </w:rPr>
            </w:pPr>
            <w:r w:rsidRPr="00CD3A2D">
              <w:rPr>
                <w:rFonts w:ascii="Calibri" w:hAnsi="Calibri" w:cs="Calibri"/>
                <w:color w:val="000000"/>
                <w:sz w:val="22"/>
                <w:szCs w:val="22"/>
                <w:lang w:val="hr-HR"/>
              </w:rPr>
              <w:t>10.90</w:t>
            </w:r>
            <w:r w:rsidR="004A15CA" w:rsidRPr="00CD3A2D">
              <w:rPr>
                <w:rFonts w:ascii="Calibri" w:hAnsi="Calibri" w:cs="Calibri"/>
                <w:color w:val="000000"/>
                <w:sz w:val="22"/>
                <w:szCs w:val="22"/>
                <w:lang w:val="hr-HR"/>
              </w:rPr>
              <w:t>4</w:t>
            </w:r>
          </w:p>
        </w:tc>
        <w:tc>
          <w:tcPr>
            <w:tcW w:w="740" w:type="pct"/>
            <w:tcBorders>
              <w:top w:val="nil"/>
              <w:left w:val="nil"/>
              <w:bottom w:val="nil"/>
              <w:right w:val="nil"/>
            </w:tcBorders>
            <w:shd w:val="clear" w:color="auto" w:fill="auto"/>
            <w:vAlign w:val="center"/>
          </w:tcPr>
          <w:p w:rsidR="007A45BA" w:rsidRPr="00CD3A2D" w:rsidRDefault="007A45BA" w:rsidP="007A45BA">
            <w:pPr>
              <w:pStyle w:val="TT"/>
              <w:jc w:val="right"/>
              <w:rPr>
                <w:rFonts w:ascii="Calibri" w:hAnsi="Calibri"/>
                <w:color w:val="000000"/>
                <w:sz w:val="22"/>
                <w:szCs w:val="22"/>
                <w:lang w:val="hr-HR"/>
              </w:rPr>
            </w:pPr>
            <w:r w:rsidRPr="00CD3A2D">
              <w:rPr>
                <w:rFonts w:ascii="Calibri" w:hAnsi="Calibri" w:cs="Calibri"/>
                <w:color w:val="000000"/>
                <w:sz w:val="22"/>
                <w:szCs w:val="22"/>
                <w:lang w:val="hr-HR"/>
              </w:rPr>
              <w:t>9.365</w:t>
            </w:r>
          </w:p>
        </w:tc>
      </w:tr>
      <w:tr w:rsidR="008A378D" w:rsidRPr="001567C8" w:rsidTr="003C6BA3">
        <w:trPr>
          <w:trHeight w:val="278"/>
        </w:trPr>
        <w:tc>
          <w:tcPr>
            <w:tcW w:w="2041" w:type="pct"/>
          </w:tcPr>
          <w:p w:rsidR="008A378D" w:rsidRPr="001567C8" w:rsidRDefault="008A378D" w:rsidP="008A378D">
            <w:pPr>
              <w:pStyle w:val="TT"/>
              <w:rPr>
                <w:rFonts w:asciiTheme="minorHAnsi" w:hAnsiTheme="minorHAnsi" w:cs="Arial"/>
                <w:sz w:val="22"/>
                <w:szCs w:val="22"/>
                <w:lang w:val="hr-HR"/>
              </w:rPr>
            </w:pPr>
            <w:r w:rsidRPr="001567C8">
              <w:rPr>
                <w:rFonts w:asciiTheme="minorHAnsi" w:hAnsiTheme="minorHAnsi" w:cs="Arial"/>
                <w:sz w:val="22"/>
                <w:szCs w:val="22"/>
                <w:lang w:val="hr-HR"/>
              </w:rPr>
              <w:t>Unaprijed plaćeni troškovi</w:t>
            </w:r>
          </w:p>
        </w:tc>
        <w:tc>
          <w:tcPr>
            <w:tcW w:w="740" w:type="pct"/>
            <w:tcBorders>
              <w:top w:val="nil"/>
              <w:left w:val="nil"/>
              <w:bottom w:val="nil"/>
              <w:right w:val="nil"/>
            </w:tcBorders>
            <w:shd w:val="clear" w:color="auto" w:fill="auto"/>
          </w:tcPr>
          <w:p w:rsidR="008A378D" w:rsidRPr="00CD3A2D" w:rsidRDefault="008A378D" w:rsidP="008A378D">
            <w:pPr>
              <w:pStyle w:val="TT"/>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3.002</w:t>
            </w:r>
          </w:p>
        </w:tc>
        <w:tc>
          <w:tcPr>
            <w:tcW w:w="740" w:type="pct"/>
            <w:tcBorders>
              <w:top w:val="nil"/>
              <w:left w:val="nil"/>
              <w:bottom w:val="nil"/>
              <w:right w:val="nil"/>
            </w:tcBorders>
            <w:shd w:val="clear" w:color="auto" w:fill="auto"/>
            <w:vAlign w:val="center"/>
          </w:tcPr>
          <w:p w:rsidR="008A378D" w:rsidRPr="001567C8" w:rsidRDefault="008A378D" w:rsidP="008A378D">
            <w:pPr>
              <w:pStyle w:val="TT"/>
              <w:jc w:val="right"/>
              <w:rPr>
                <w:rFonts w:asciiTheme="minorHAnsi" w:hAnsiTheme="minorHAnsi"/>
                <w:sz w:val="22"/>
                <w:szCs w:val="22"/>
                <w:lang w:val="hr-HR"/>
              </w:rPr>
            </w:pPr>
            <w:r w:rsidRPr="00CD3A2D">
              <w:rPr>
                <w:rFonts w:ascii="Calibri" w:hAnsi="Calibri"/>
                <w:color w:val="000000"/>
                <w:sz w:val="22"/>
                <w:szCs w:val="22"/>
                <w:lang w:val="hr-HR"/>
              </w:rPr>
              <w:t>2.146</w:t>
            </w:r>
          </w:p>
        </w:tc>
        <w:tc>
          <w:tcPr>
            <w:tcW w:w="740" w:type="pct"/>
            <w:tcBorders>
              <w:top w:val="nil"/>
              <w:left w:val="nil"/>
              <w:bottom w:val="nil"/>
              <w:right w:val="nil"/>
            </w:tcBorders>
            <w:shd w:val="clear" w:color="auto" w:fill="auto"/>
            <w:vAlign w:val="center"/>
          </w:tcPr>
          <w:p w:rsidR="008A378D" w:rsidRPr="00CD3A2D" w:rsidRDefault="008A378D" w:rsidP="008A378D">
            <w:pPr>
              <w:pStyle w:val="TT"/>
              <w:jc w:val="right"/>
              <w:rPr>
                <w:rFonts w:ascii="Calibri" w:hAnsi="Calibri"/>
                <w:color w:val="000000"/>
                <w:sz w:val="22"/>
                <w:szCs w:val="22"/>
                <w:lang w:val="hr-HR"/>
              </w:rPr>
            </w:pPr>
            <w:r w:rsidRPr="00CD3A2D">
              <w:rPr>
                <w:rFonts w:ascii="Calibri" w:hAnsi="Calibri"/>
                <w:color w:val="000000"/>
                <w:sz w:val="22"/>
                <w:szCs w:val="22"/>
                <w:lang w:val="hr-HR"/>
              </w:rPr>
              <w:t>3.002</w:t>
            </w:r>
          </w:p>
        </w:tc>
        <w:tc>
          <w:tcPr>
            <w:tcW w:w="740" w:type="pct"/>
            <w:tcBorders>
              <w:top w:val="nil"/>
              <w:left w:val="nil"/>
              <w:bottom w:val="nil"/>
              <w:right w:val="nil"/>
            </w:tcBorders>
            <w:shd w:val="clear" w:color="auto" w:fill="auto"/>
            <w:vAlign w:val="center"/>
          </w:tcPr>
          <w:p w:rsidR="008A378D" w:rsidRPr="001567C8" w:rsidRDefault="008A378D" w:rsidP="008A378D">
            <w:pPr>
              <w:pStyle w:val="TT"/>
              <w:jc w:val="right"/>
              <w:rPr>
                <w:rFonts w:asciiTheme="minorHAnsi" w:hAnsiTheme="minorHAnsi"/>
                <w:sz w:val="22"/>
                <w:szCs w:val="22"/>
                <w:lang w:val="hr-HR"/>
              </w:rPr>
            </w:pPr>
            <w:r w:rsidRPr="00CD3A2D">
              <w:rPr>
                <w:rFonts w:ascii="Calibri" w:hAnsi="Calibri"/>
                <w:color w:val="000000"/>
                <w:sz w:val="22"/>
                <w:szCs w:val="22"/>
                <w:lang w:val="hr-HR"/>
              </w:rPr>
              <w:t>2.146</w:t>
            </w:r>
          </w:p>
        </w:tc>
      </w:tr>
      <w:tr w:rsidR="008A378D" w:rsidRPr="001567C8" w:rsidTr="003C6BA3">
        <w:trPr>
          <w:trHeight w:val="278"/>
        </w:trPr>
        <w:tc>
          <w:tcPr>
            <w:tcW w:w="2041" w:type="pct"/>
          </w:tcPr>
          <w:p w:rsidR="008A378D" w:rsidRPr="001567C8" w:rsidRDefault="008A378D" w:rsidP="008A378D">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Obračunati prihodi </w:t>
            </w:r>
          </w:p>
        </w:tc>
        <w:tc>
          <w:tcPr>
            <w:tcW w:w="740" w:type="pct"/>
            <w:tcBorders>
              <w:top w:val="nil"/>
              <w:left w:val="nil"/>
              <w:bottom w:val="nil"/>
              <w:right w:val="nil"/>
            </w:tcBorders>
            <w:shd w:val="clear" w:color="auto" w:fill="auto"/>
          </w:tcPr>
          <w:p w:rsidR="008A378D" w:rsidRPr="00CD3A2D" w:rsidRDefault="008A378D" w:rsidP="008A378D">
            <w:pPr>
              <w:pStyle w:val="TT"/>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6.437</w:t>
            </w:r>
          </w:p>
        </w:tc>
        <w:tc>
          <w:tcPr>
            <w:tcW w:w="740" w:type="pct"/>
            <w:tcBorders>
              <w:top w:val="nil"/>
              <w:left w:val="nil"/>
              <w:bottom w:val="nil"/>
              <w:right w:val="nil"/>
            </w:tcBorders>
            <w:shd w:val="clear" w:color="auto" w:fill="auto"/>
            <w:vAlign w:val="center"/>
          </w:tcPr>
          <w:p w:rsidR="008A378D" w:rsidRPr="00CD3A2D" w:rsidRDefault="008A378D" w:rsidP="008A378D">
            <w:pPr>
              <w:pStyle w:val="TT"/>
              <w:jc w:val="right"/>
              <w:rPr>
                <w:rFonts w:ascii="Calibri" w:hAnsi="Calibri"/>
                <w:color w:val="000000"/>
                <w:sz w:val="22"/>
                <w:szCs w:val="22"/>
                <w:lang w:val="hr-HR"/>
              </w:rPr>
            </w:pPr>
            <w:r w:rsidRPr="00CD3A2D">
              <w:rPr>
                <w:rFonts w:ascii="Calibri" w:hAnsi="Calibri"/>
                <w:color w:val="000000"/>
                <w:sz w:val="22"/>
                <w:szCs w:val="22"/>
                <w:lang w:val="hr-HR"/>
              </w:rPr>
              <w:t>6.113</w:t>
            </w:r>
          </w:p>
        </w:tc>
        <w:tc>
          <w:tcPr>
            <w:tcW w:w="740" w:type="pct"/>
            <w:tcBorders>
              <w:top w:val="nil"/>
              <w:left w:val="nil"/>
              <w:bottom w:val="nil"/>
              <w:right w:val="nil"/>
            </w:tcBorders>
            <w:shd w:val="clear" w:color="auto" w:fill="auto"/>
            <w:vAlign w:val="center"/>
          </w:tcPr>
          <w:p w:rsidR="008A378D" w:rsidRPr="00CD3A2D" w:rsidRDefault="008A378D" w:rsidP="008A378D">
            <w:pPr>
              <w:pStyle w:val="TT"/>
              <w:jc w:val="right"/>
              <w:rPr>
                <w:rFonts w:ascii="Calibri" w:hAnsi="Calibri"/>
                <w:color w:val="000000"/>
                <w:sz w:val="22"/>
                <w:szCs w:val="22"/>
                <w:lang w:val="hr-HR"/>
              </w:rPr>
            </w:pPr>
            <w:r w:rsidRPr="00CD3A2D">
              <w:rPr>
                <w:rFonts w:ascii="Calibri" w:hAnsi="Calibri"/>
                <w:color w:val="000000"/>
                <w:sz w:val="22"/>
                <w:szCs w:val="22"/>
                <w:lang w:val="hr-HR"/>
              </w:rPr>
              <w:t>6.437</w:t>
            </w:r>
          </w:p>
        </w:tc>
        <w:tc>
          <w:tcPr>
            <w:tcW w:w="740" w:type="pct"/>
            <w:tcBorders>
              <w:top w:val="nil"/>
              <w:left w:val="nil"/>
              <w:bottom w:val="nil"/>
              <w:right w:val="nil"/>
            </w:tcBorders>
            <w:shd w:val="clear" w:color="auto" w:fill="auto"/>
            <w:vAlign w:val="center"/>
          </w:tcPr>
          <w:p w:rsidR="008A378D" w:rsidRPr="00CD3A2D" w:rsidRDefault="008A378D" w:rsidP="008A378D">
            <w:pPr>
              <w:pStyle w:val="TT"/>
              <w:jc w:val="right"/>
              <w:rPr>
                <w:rFonts w:ascii="Calibri" w:hAnsi="Calibri"/>
                <w:color w:val="000000"/>
                <w:sz w:val="22"/>
                <w:szCs w:val="22"/>
                <w:lang w:val="hr-HR"/>
              </w:rPr>
            </w:pPr>
            <w:r w:rsidRPr="00CD3A2D">
              <w:rPr>
                <w:rFonts w:ascii="Calibri" w:hAnsi="Calibri"/>
                <w:color w:val="000000"/>
                <w:sz w:val="22"/>
                <w:szCs w:val="22"/>
                <w:lang w:val="hr-HR"/>
              </w:rPr>
              <w:t>6.113</w:t>
            </w:r>
          </w:p>
        </w:tc>
      </w:tr>
      <w:tr w:rsidR="008A378D" w:rsidRPr="001567C8" w:rsidTr="003C6BA3">
        <w:trPr>
          <w:trHeight w:val="278"/>
        </w:trPr>
        <w:tc>
          <w:tcPr>
            <w:tcW w:w="2041" w:type="pct"/>
          </w:tcPr>
          <w:p w:rsidR="008A378D" w:rsidRPr="001567C8" w:rsidRDefault="008A378D" w:rsidP="008A378D">
            <w:pPr>
              <w:pStyle w:val="TT"/>
              <w:rPr>
                <w:rFonts w:asciiTheme="minorHAnsi" w:hAnsiTheme="minorHAnsi" w:cs="Arial"/>
                <w:sz w:val="22"/>
                <w:szCs w:val="22"/>
                <w:lang w:val="hr-HR"/>
              </w:rPr>
            </w:pPr>
            <w:r w:rsidRPr="001567C8">
              <w:rPr>
                <w:rFonts w:asciiTheme="minorHAnsi" w:hAnsiTheme="minorHAnsi" w:cs="Arial"/>
                <w:sz w:val="22"/>
                <w:szCs w:val="22"/>
                <w:lang w:val="hr-HR"/>
              </w:rPr>
              <w:t>Potraživanja po premijama</w:t>
            </w:r>
          </w:p>
        </w:tc>
        <w:tc>
          <w:tcPr>
            <w:tcW w:w="740" w:type="pct"/>
            <w:tcBorders>
              <w:top w:val="nil"/>
              <w:left w:val="nil"/>
              <w:bottom w:val="nil"/>
              <w:right w:val="nil"/>
            </w:tcBorders>
            <w:shd w:val="clear" w:color="auto" w:fill="auto"/>
          </w:tcPr>
          <w:p w:rsidR="008A378D" w:rsidRPr="00CD3A2D" w:rsidRDefault="008A378D" w:rsidP="008A378D">
            <w:pPr>
              <w:pStyle w:val="TT"/>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7.371</w:t>
            </w:r>
          </w:p>
        </w:tc>
        <w:tc>
          <w:tcPr>
            <w:tcW w:w="740" w:type="pct"/>
            <w:tcBorders>
              <w:top w:val="nil"/>
              <w:left w:val="nil"/>
              <w:bottom w:val="nil"/>
              <w:right w:val="nil"/>
            </w:tcBorders>
            <w:shd w:val="clear" w:color="auto" w:fill="auto"/>
            <w:vAlign w:val="bottom"/>
          </w:tcPr>
          <w:p w:rsidR="008A378D" w:rsidRPr="001567C8" w:rsidRDefault="008A378D" w:rsidP="008A378D">
            <w:pPr>
              <w:pStyle w:val="TT"/>
              <w:jc w:val="right"/>
              <w:rPr>
                <w:rFonts w:asciiTheme="minorHAnsi" w:hAnsiTheme="minorHAnsi" w:cs="Arial"/>
                <w:sz w:val="22"/>
                <w:szCs w:val="22"/>
                <w:lang w:val="hr-HR"/>
              </w:rPr>
            </w:pPr>
            <w:r w:rsidRPr="00CD3A2D">
              <w:rPr>
                <w:rFonts w:ascii="Calibri" w:hAnsi="Calibri"/>
                <w:color w:val="000000"/>
                <w:sz w:val="22"/>
                <w:szCs w:val="22"/>
                <w:lang w:val="hr-HR"/>
              </w:rPr>
              <w:t>6.318</w:t>
            </w:r>
          </w:p>
        </w:tc>
        <w:tc>
          <w:tcPr>
            <w:tcW w:w="740" w:type="pct"/>
            <w:tcBorders>
              <w:top w:val="nil"/>
              <w:left w:val="nil"/>
              <w:bottom w:val="nil"/>
              <w:right w:val="nil"/>
            </w:tcBorders>
            <w:shd w:val="clear" w:color="auto" w:fill="auto"/>
            <w:vAlign w:val="center"/>
          </w:tcPr>
          <w:p w:rsidR="008A378D" w:rsidRPr="00CD3A2D" w:rsidRDefault="008A378D" w:rsidP="008A378D">
            <w:pPr>
              <w:pStyle w:val="TT"/>
              <w:jc w:val="right"/>
              <w:rPr>
                <w:rFonts w:ascii="Calibri" w:hAnsi="Calibri"/>
                <w:color w:val="000000"/>
                <w:sz w:val="22"/>
                <w:szCs w:val="22"/>
                <w:lang w:val="hr-HR"/>
              </w:rPr>
            </w:pPr>
            <w:r w:rsidRPr="00CD3A2D">
              <w:rPr>
                <w:rFonts w:ascii="Calibri" w:hAnsi="Calibri"/>
                <w:color w:val="000000"/>
                <w:sz w:val="22"/>
                <w:szCs w:val="22"/>
                <w:lang w:val="hr-HR"/>
              </w:rPr>
              <w:t>-</w:t>
            </w:r>
          </w:p>
        </w:tc>
        <w:tc>
          <w:tcPr>
            <w:tcW w:w="740" w:type="pct"/>
            <w:tcBorders>
              <w:top w:val="nil"/>
              <w:left w:val="nil"/>
              <w:bottom w:val="nil"/>
              <w:right w:val="nil"/>
            </w:tcBorders>
            <w:shd w:val="clear" w:color="auto" w:fill="auto"/>
            <w:vAlign w:val="center"/>
          </w:tcPr>
          <w:p w:rsidR="008A378D" w:rsidRPr="001567C8" w:rsidRDefault="008A378D" w:rsidP="008A378D">
            <w:pPr>
              <w:pStyle w:val="TT"/>
              <w:jc w:val="right"/>
              <w:rPr>
                <w:rFonts w:asciiTheme="minorHAnsi" w:hAnsiTheme="minorHAnsi" w:cs="Arial"/>
                <w:sz w:val="22"/>
                <w:szCs w:val="22"/>
                <w:lang w:val="hr-HR"/>
              </w:rPr>
            </w:pPr>
            <w:r w:rsidRPr="00CD3A2D">
              <w:rPr>
                <w:rFonts w:ascii="Calibri" w:hAnsi="Calibri"/>
                <w:color w:val="000000"/>
                <w:sz w:val="22"/>
                <w:szCs w:val="22"/>
                <w:lang w:val="hr-HR"/>
              </w:rPr>
              <w:t>-</w:t>
            </w:r>
          </w:p>
        </w:tc>
      </w:tr>
      <w:tr w:rsidR="008A378D" w:rsidRPr="001567C8" w:rsidTr="00743285">
        <w:trPr>
          <w:trHeight w:val="278"/>
        </w:trPr>
        <w:tc>
          <w:tcPr>
            <w:tcW w:w="2041" w:type="pct"/>
          </w:tcPr>
          <w:p w:rsidR="008A378D" w:rsidRPr="001567C8" w:rsidRDefault="008A378D" w:rsidP="008A378D">
            <w:pPr>
              <w:pStyle w:val="TT"/>
              <w:rPr>
                <w:rFonts w:asciiTheme="minorHAnsi" w:hAnsiTheme="minorHAnsi" w:cs="Arial"/>
                <w:sz w:val="22"/>
                <w:szCs w:val="22"/>
                <w:lang w:val="hr-HR"/>
              </w:rPr>
            </w:pPr>
            <w:r w:rsidRPr="001567C8">
              <w:rPr>
                <w:rFonts w:asciiTheme="minorHAnsi" w:hAnsiTheme="minorHAnsi" w:cs="Arial"/>
                <w:sz w:val="22"/>
                <w:szCs w:val="22"/>
                <w:lang w:val="hr-HR"/>
              </w:rPr>
              <w:t>Potraživanja po provizijama od reosiguranja</w:t>
            </w:r>
          </w:p>
        </w:tc>
        <w:tc>
          <w:tcPr>
            <w:tcW w:w="740" w:type="pct"/>
            <w:tcBorders>
              <w:top w:val="nil"/>
              <w:left w:val="nil"/>
              <w:bottom w:val="nil"/>
              <w:right w:val="nil"/>
            </w:tcBorders>
            <w:shd w:val="clear" w:color="auto" w:fill="auto"/>
            <w:vAlign w:val="bottom"/>
          </w:tcPr>
          <w:p w:rsidR="008A378D" w:rsidRPr="00CD3A2D" w:rsidRDefault="008A378D" w:rsidP="00743285">
            <w:pPr>
              <w:pStyle w:val="TT"/>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867</w:t>
            </w:r>
          </w:p>
        </w:tc>
        <w:tc>
          <w:tcPr>
            <w:tcW w:w="740" w:type="pct"/>
            <w:tcBorders>
              <w:top w:val="nil"/>
              <w:left w:val="nil"/>
              <w:bottom w:val="nil"/>
              <w:right w:val="nil"/>
            </w:tcBorders>
            <w:shd w:val="clear" w:color="auto" w:fill="auto"/>
            <w:vAlign w:val="bottom"/>
          </w:tcPr>
          <w:p w:rsidR="008A378D" w:rsidRPr="001567C8" w:rsidRDefault="008A378D" w:rsidP="00743285">
            <w:pPr>
              <w:pStyle w:val="TT"/>
              <w:jc w:val="right"/>
              <w:rPr>
                <w:rFonts w:asciiTheme="minorHAnsi" w:hAnsiTheme="minorHAnsi" w:cs="Arial"/>
                <w:sz w:val="22"/>
                <w:szCs w:val="22"/>
                <w:lang w:val="hr-HR"/>
              </w:rPr>
            </w:pPr>
            <w:r w:rsidRPr="00CD3A2D">
              <w:rPr>
                <w:rFonts w:ascii="Calibri" w:hAnsi="Calibri"/>
                <w:color w:val="000000"/>
                <w:sz w:val="22"/>
                <w:szCs w:val="22"/>
                <w:lang w:val="hr-HR"/>
              </w:rPr>
              <w:t>583</w:t>
            </w:r>
          </w:p>
        </w:tc>
        <w:tc>
          <w:tcPr>
            <w:tcW w:w="740" w:type="pct"/>
            <w:tcBorders>
              <w:top w:val="nil"/>
              <w:left w:val="nil"/>
              <w:bottom w:val="nil"/>
              <w:right w:val="nil"/>
            </w:tcBorders>
            <w:shd w:val="clear" w:color="auto" w:fill="auto"/>
            <w:vAlign w:val="bottom"/>
          </w:tcPr>
          <w:p w:rsidR="008A378D" w:rsidRPr="00CD3A2D" w:rsidRDefault="008A378D" w:rsidP="008A378D">
            <w:pPr>
              <w:pStyle w:val="TT"/>
              <w:jc w:val="right"/>
              <w:rPr>
                <w:rFonts w:ascii="Calibri" w:hAnsi="Calibri"/>
                <w:color w:val="000000"/>
                <w:sz w:val="22"/>
                <w:szCs w:val="22"/>
                <w:lang w:val="hr-HR"/>
              </w:rPr>
            </w:pPr>
            <w:r w:rsidRPr="00CD3A2D">
              <w:rPr>
                <w:rFonts w:ascii="Calibri" w:hAnsi="Calibri"/>
                <w:color w:val="000000"/>
                <w:sz w:val="22"/>
                <w:szCs w:val="22"/>
                <w:lang w:val="hr-HR"/>
              </w:rPr>
              <w:t>-</w:t>
            </w:r>
          </w:p>
        </w:tc>
        <w:tc>
          <w:tcPr>
            <w:tcW w:w="740" w:type="pct"/>
            <w:tcBorders>
              <w:top w:val="nil"/>
              <w:left w:val="nil"/>
              <w:bottom w:val="nil"/>
              <w:right w:val="nil"/>
            </w:tcBorders>
            <w:shd w:val="clear" w:color="auto" w:fill="auto"/>
            <w:vAlign w:val="bottom"/>
          </w:tcPr>
          <w:p w:rsidR="008A378D" w:rsidRPr="001567C8" w:rsidRDefault="008A378D" w:rsidP="008A378D">
            <w:pPr>
              <w:pStyle w:val="TT"/>
              <w:jc w:val="right"/>
              <w:rPr>
                <w:rFonts w:asciiTheme="minorHAnsi" w:hAnsiTheme="minorHAnsi" w:cs="Arial"/>
                <w:sz w:val="22"/>
                <w:szCs w:val="22"/>
                <w:lang w:val="hr-HR"/>
              </w:rPr>
            </w:pPr>
            <w:r w:rsidRPr="00CD3A2D">
              <w:rPr>
                <w:rFonts w:ascii="Calibri" w:hAnsi="Calibri"/>
                <w:color w:val="000000"/>
                <w:sz w:val="22"/>
                <w:szCs w:val="22"/>
                <w:lang w:val="hr-HR"/>
              </w:rPr>
              <w:t>-</w:t>
            </w:r>
          </w:p>
        </w:tc>
      </w:tr>
      <w:tr w:rsidR="008A378D" w:rsidRPr="001567C8" w:rsidTr="00743285">
        <w:trPr>
          <w:trHeight w:val="278"/>
        </w:trPr>
        <w:tc>
          <w:tcPr>
            <w:tcW w:w="2041" w:type="pct"/>
          </w:tcPr>
          <w:p w:rsidR="008A378D" w:rsidRPr="001567C8" w:rsidRDefault="008A378D" w:rsidP="008A378D">
            <w:pPr>
              <w:pStyle w:val="TT"/>
              <w:rPr>
                <w:rFonts w:asciiTheme="minorHAnsi" w:hAnsiTheme="minorHAnsi" w:cs="Arial"/>
                <w:sz w:val="22"/>
                <w:szCs w:val="22"/>
                <w:lang w:val="hr-HR"/>
              </w:rPr>
            </w:pPr>
            <w:r w:rsidRPr="001567C8">
              <w:rPr>
                <w:rFonts w:asciiTheme="minorHAnsi" w:hAnsiTheme="minorHAnsi" w:cs="Arial"/>
                <w:sz w:val="22"/>
                <w:szCs w:val="22"/>
                <w:lang w:val="hr-HR"/>
              </w:rPr>
              <w:t>Potraživanja po naknadama za procjenu rizika</w:t>
            </w:r>
          </w:p>
        </w:tc>
        <w:tc>
          <w:tcPr>
            <w:tcW w:w="740" w:type="pct"/>
            <w:tcBorders>
              <w:top w:val="nil"/>
              <w:left w:val="nil"/>
              <w:bottom w:val="nil"/>
              <w:right w:val="nil"/>
            </w:tcBorders>
            <w:shd w:val="clear" w:color="auto" w:fill="auto"/>
            <w:vAlign w:val="bottom"/>
          </w:tcPr>
          <w:p w:rsidR="008A378D" w:rsidRPr="00CD3A2D" w:rsidRDefault="008A378D" w:rsidP="00743285">
            <w:pPr>
              <w:pStyle w:val="TT"/>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371</w:t>
            </w:r>
          </w:p>
        </w:tc>
        <w:tc>
          <w:tcPr>
            <w:tcW w:w="740" w:type="pct"/>
            <w:tcBorders>
              <w:top w:val="nil"/>
              <w:left w:val="nil"/>
              <w:bottom w:val="nil"/>
              <w:right w:val="nil"/>
            </w:tcBorders>
            <w:shd w:val="clear" w:color="auto" w:fill="auto"/>
            <w:vAlign w:val="bottom"/>
          </w:tcPr>
          <w:p w:rsidR="008A378D" w:rsidRPr="001567C8" w:rsidRDefault="008A378D" w:rsidP="00743285">
            <w:pPr>
              <w:pStyle w:val="TT"/>
              <w:jc w:val="right"/>
              <w:rPr>
                <w:rFonts w:asciiTheme="minorHAnsi" w:hAnsiTheme="minorHAnsi" w:cs="Arial"/>
                <w:sz w:val="22"/>
                <w:szCs w:val="22"/>
                <w:lang w:val="hr-HR"/>
              </w:rPr>
            </w:pPr>
            <w:r w:rsidRPr="00CD3A2D">
              <w:rPr>
                <w:rFonts w:ascii="Calibri" w:hAnsi="Calibri"/>
                <w:color w:val="000000"/>
                <w:sz w:val="22"/>
                <w:szCs w:val="22"/>
                <w:lang w:val="hr-HR"/>
              </w:rPr>
              <w:t>259</w:t>
            </w:r>
          </w:p>
        </w:tc>
        <w:tc>
          <w:tcPr>
            <w:tcW w:w="740" w:type="pct"/>
            <w:tcBorders>
              <w:top w:val="nil"/>
              <w:left w:val="nil"/>
              <w:bottom w:val="nil"/>
              <w:right w:val="nil"/>
            </w:tcBorders>
            <w:shd w:val="clear" w:color="auto" w:fill="auto"/>
            <w:vAlign w:val="bottom"/>
          </w:tcPr>
          <w:p w:rsidR="008A378D" w:rsidRPr="00CD3A2D" w:rsidRDefault="008A378D" w:rsidP="008A378D">
            <w:pPr>
              <w:pStyle w:val="TT"/>
              <w:jc w:val="right"/>
              <w:rPr>
                <w:rFonts w:ascii="Calibri" w:hAnsi="Calibri"/>
                <w:color w:val="000000"/>
                <w:sz w:val="22"/>
                <w:szCs w:val="22"/>
                <w:lang w:val="hr-HR"/>
              </w:rPr>
            </w:pPr>
            <w:r w:rsidRPr="00CD3A2D">
              <w:rPr>
                <w:rFonts w:ascii="Calibri" w:hAnsi="Calibri"/>
                <w:color w:val="000000"/>
                <w:sz w:val="22"/>
                <w:szCs w:val="22"/>
                <w:lang w:val="hr-HR"/>
              </w:rPr>
              <w:t>-</w:t>
            </w:r>
          </w:p>
        </w:tc>
        <w:tc>
          <w:tcPr>
            <w:tcW w:w="740" w:type="pct"/>
            <w:tcBorders>
              <w:top w:val="nil"/>
              <w:left w:val="nil"/>
              <w:bottom w:val="nil"/>
              <w:right w:val="nil"/>
            </w:tcBorders>
            <w:shd w:val="clear" w:color="auto" w:fill="auto"/>
            <w:vAlign w:val="bottom"/>
          </w:tcPr>
          <w:p w:rsidR="008A378D" w:rsidRPr="001567C8" w:rsidRDefault="008A378D" w:rsidP="008A378D">
            <w:pPr>
              <w:pStyle w:val="TT"/>
              <w:jc w:val="right"/>
              <w:rPr>
                <w:rFonts w:asciiTheme="minorHAnsi" w:hAnsiTheme="minorHAnsi" w:cs="Arial"/>
                <w:sz w:val="22"/>
                <w:szCs w:val="22"/>
                <w:lang w:val="hr-HR"/>
              </w:rPr>
            </w:pPr>
            <w:r w:rsidRPr="00CD3A2D">
              <w:rPr>
                <w:rFonts w:ascii="Calibri" w:hAnsi="Calibri"/>
                <w:color w:val="000000"/>
                <w:sz w:val="22"/>
                <w:szCs w:val="22"/>
                <w:lang w:val="hr-HR"/>
              </w:rPr>
              <w:t>-</w:t>
            </w:r>
          </w:p>
        </w:tc>
      </w:tr>
      <w:tr w:rsidR="008A378D" w:rsidRPr="001567C8" w:rsidTr="00743285">
        <w:trPr>
          <w:trHeight w:val="278"/>
        </w:trPr>
        <w:tc>
          <w:tcPr>
            <w:tcW w:w="2041" w:type="pct"/>
          </w:tcPr>
          <w:p w:rsidR="008A378D" w:rsidRPr="001567C8" w:rsidRDefault="008A378D" w:rsidP="008A378D">
            <w:pPr>
              <w:pStyle w:val="TT"/>
              <w:rPr>
                <w:rFonts w:asciiTheme="minorHAnsi" w:hAnsiTheme="minorHAnsi" w:cs="Arial"/>
                <w:sz w:val="22"/>
                <w:szCs w:val="22"/>
                <w:lang w:val="hr-HR"/>
              </w:rPr>
            </w:pPr>
            <w:r w:rsidRPr="001567C8">
              <w:rPr>
                <w:rFonts w:asciiTheme="minorHAnsi" w:hAnsiTheme="minorHAnsi" w:cs="Arial"/>
                <w:sz w:val="22"/>
                <w:szCs w:val="22"/>
                <w:lang w:val="hr-HR"/>
              </w:rPr>
              <w:t>Odgođena porezna imovina</w:t>
            </w:r>
          </w:p>
        </w:tc>
        <w:tc>
          <w:tcPr>
            <w:tcW w:w="740" w:type="pct"/>
            <w:tcBorders>
              <w:top w:val="nil"/>
              <w:left w:val="nil"/>
              <w:bottom w:val="nil"/>
              <w:right w:val="nil"/>
            </w:tcBorders>
            <w:shd w:val="clear" w:color="auto" w:fill="auto"/>
            <w:vAlign w:val="bottom"/>
          </w:tcPr>
          <w:p w:rsidR="008A378D" w:rsidRPr="00CD3A2D" w:rsidRDefault="008A378D" w:rsidP="00743285">
            <w:pPr>
              <w:pStyle w:val="TT"/>
              <w:jc w:val="right"/>
              <w:rPr>
                <w:rFonts w:asciiTheme="minorHAnsi" w:hAnsiTheme="minorHAnsi" w:cstheme="minorHAnsi"/>
                <w:color w:val="000000"/>
                <w:sz w:val="22"/>
                <w:szCs w:val="22"/>
                <w:lang w:val="hr-HR"/>
              </w:rPr>
            </w:pPr>
            <w:r w:rsidRPr="00CD3A2D">
              <w:rPr>
                <w:rFonts w:asciiTheme="minorHAnsi" w:hAnsiTheme="minorHAnsi" w:cstheme="minorHAnsi"/>
                <w:sz w:val="22"/>
                <w:szCs w:val="22"/>
                <w:lang w:val="hr-HR"/>
              </w:rPr>
              <w:t>-</w:t>
            </w:r>
          </w:p>
        </w:tc>
        <w:tc>
          <w:tcPr>
            <w:tcW w:w="740" w:type="pct"/>
            <w:tcBorders>
              <w:top w:val="nil"/>
              <w:left w:val="nil"/>
              <w:bottom w:val="nil"/>
              <w:right w:val="nil"/>
            </w:tcBorders>
            <w:shd w:val="clear" w:color="auto" w:fill="auto"/>
            <w:vAlign w:val="bottom"/>
          </w:tcPr>
          <w:p w:rsidR="008A378D" w:rsidRPr="001567C8" w:rsidRDefault="008A378D" w:rsidP="00743285">
            <w:pPr>
              <w:pStyle w:val="TT"/>
              <w:jc w:val="right"/>
              <w:rPr>
                <w:rFonts w:asciiTheme="minorHAnsi" w:hAnsiTheme="minorHAnsi" w:cs="Arial"/>
                <w:sz w:val="22"/>
                <w:szCs w:val="22"/>
                <w:lang w:val="hr-HR"/>
              </w:rPr>
            </w:pPr>
            <w:r w:rsidRPr="00CD3A2D">
              <w:rPr>
                <w:rFonts w:ascii="Calibri" w:hAnsi="Calibri"/>
                <w:color w:val="000000"/>
                <w:sz w:val="22"/>
                <w:szCs w:val="22"/>
                <w:lang w:val="hr-HR"/>
              </w:rPr>
              <w:t>231</w:t>
            </w:r>
          </w:p>
        </w:tc>
        <w:tc>
          <w:tcPr>
            <w:tcW w:w="740" w:type="pct"/>
            <w:tcBorders>
              <w:top w:val="nil"/>
              <w:left w:val="nil"/>
              <w:bottom w:val="nil"/>
              <w:right w:val="nil"/>
            </w:tcBorders>
            <w:shd w:val="clear" w:color="auto" w:fill="auto"/>
            <w:vAlign w:val="bottom"/>
          </w:tcPr>
          <w:p w:rsidR="008A378D" w:rsidRPr="00CD3A2D" w:rsidRDefault="008A378D" w:rsidP="008A378D">
            <w:pPr>
              <w:pStyle w:val="TT"/>
              <w:jc w:val="right"/>
              <w:rPr>
                <w:rFonts w:ascii="Calibri" w:hAnsi="Calibri"/>
                <w:color w:val="000000"/>
                <w:sz w:val="22"/>
                <w:szCs w:val="22"/>
                <w:lang w:val="hr-HR"/>
              </w:rPr>
            </w:pPr>
            <w:r w:rsidRPr="00CD3A2D">
              <w:rPr>
                <w:rFonts w:ascii="Calibri" w:hAnsi="Calibri"/>
                <w:color w:val="000000"/>
                <w:sz w:val="22"/>
                <w:szCs w:val="22"/>
                <w:lang w:val="hr-HR"/>
              </w:rPr>
              <w:t>-</w:t>
            </w:r>
          </w:p>
        </w:tc>
        <w:tc>
          <w:tcPr>
            <w:tcW w:w="740" w:type="pct"/>
            <w:tcBorders>
              <w:top w:val="nil"/>
              <w:left w:val="nil"/>
              <w:bottom w:val="nil"/>
              <w:right w:val="nil"/>
            </w:tcBorders>
            <w:shd w:val="clear" w:color="auto" w:fill="auto"/>
            <w:vAlign w:val="bottom"/>
          </w:tcPr>
          <w:p w:rsidR="008A378D" w:rsidRPr="001567C8" w:rsidRDefault="008A378D" w:rsidP="008A378D">
            <w:pPr>
              <w:pStyle w:val="TT"/>
              <w:jc w:val="right"/>
              <w:rPr>
                <w:rFonts w:asciiTheme="minorHAnsi" w:hAnsiTheme="minorHAnsi" w:cs="Arial"/>
                <w:sz w:val="22"/>
                <w:szCs w:val="22"/>
                <w:lang w:val="hr-HR"/>
              </w:rPr>
            </w:pPr>
            <w:r w:rsidRPr="00CD3A2D">
              <w:rPr>
                <w:rFonts w:ascii="Calibri" w:hAnsi="Calibri"/>
                <w:color w:val="000000"/>
                <w:sz w:val="22"/>
                <w:szCs w:val="22"/>
                <w:lang w:val="hr-HR"/>
              </w:rPr>
              <w:t>-</w:t>
            </w:r>
          </w:p>
        </w:tc>
      </w:tr>
      <w:tr w:rsidR="007A45BA" w:rsidRPr="001567C8" w:rsidTr="003C6BA3">
        <w:trPr>
          <w:trHeight w:val="278"/>
        </w:trPr>
        <w:tc>
          <w:tcPr>
            <w:tcW w:w="2041" w:type="pct"/>
          </w:tcPr>
          <w:p w:rsidR="007A45BA" w:rsidRPr="001567C8" w:rsidRDefault="007A45BA" w:rsidP="007A45BA">
            <w:pPr>
              <w:pStyle w:val="TT"/>
              <w:rPr>
                <w:rFonts w:asciiTheme="minorHAnsi" w:hAnsiTheme="minorHAnsi" w:cs="Arial"/>
                <w:sz w:val="22"/>
                <w:szCs w:val="22"/>
                <w:lang w:val="hr-HR"/>
              </w:rPr>
            </w:pPr>
            <w:r w:rsidRPr="001567C8">
              <w:rPr>
                <w:rFonts w:asciiTheme="minorHAnsi" w:hAnsiTheme="minorHAnsi" w:cs="Arial"/>
                <w:sz w:val="22"/>
                <w:szCs w:val="22"/>
                <w:lang w:val="hr-HR"/>
              </w:rPr>
              <w:t>Ostala imovina</w:t>
            </w:r>
          </w:p>
        </w:tc>
        <w:tc>
          <w:tcPr>
            <w:tcW w:w="740" w:type="pct"/>
            <w:tcBorders>
              <w:top w:val="nil"/>
              <w:left w:val="nil"/>
              <w:bottom w:val="nil"/>
              <w:right w:val="nil"/>
            </w:tcBorders>
            <w:shd w:val="clear" w:color="auto" w:fill="auto"/>
            <w:vAlign w:val="center"/>
          </w:tcPr>
          <w:p w:rsidR="007A45BA" w:rsidRPr="00CD3A2D" w:rsidRDefault="007A45BA" w:rsidP="007A45BA">
            <w:pPr>
              <w:pStyle w:val="TT"/>
              <w:jc w:val="right"/>
              <w:rPr>
                <w:rFonts w:asciiTheme="minorHAnsi" w:hAnsiTheme="minorHAnsi" w:cstheme="minorHAnsi"/>
                <w:color w:val="000000"/>
                <w:sz w:val="22"/>
                <w:szCs w:val="22"/>
                <w:lang w:val="hr-HR"/>
              </w:rPr>
            </w:pPr>
            <w:r w:rsidRPr="00CD3A2D">
              <w:rPr>
                <w:rFonts w:ascii="Calibri" w:hAnsi="Calibri" w:cs="Calibri"/>
                <w:color w:val="000000"/>
                <w:sz w:val="22"/>
                <w:szCs w:val="22"/>
                <w:lang w:val="hr-HR"/>
              </w:rPr>
              <w:t>1.54</w:t>
            </w:r>
            <w:r w:rsidR="004A15CA" w:rsidRPr="00CD3A2D">
              <w:rPr>
                <w:rFonts w:ascii="Calibri" w:hAnsi="Calibri" w:cs="Calibri"/>
                <w:color w:val="000000"/>
                <w:sz w:val="22"/>
                <w:szCs w:val="22"/>
                <w:lang w:val="hr-HR"/>
              </w:rPr>
              <w:t>3</w:t>
            </w:r>
          </w:p>
        </w:tc>
        <w:tc>
          <w:tcPr>
            <w:tcW w:w="740" w:type="pct"/>
            <w:tcBorders>
              <w:top w:val="nil"/>
              <w:left w:val="nil"/>
              <w:bottom w:val="nil"/>
              <w:right w:val="nil"/>
            </w:tcBorders>
            <w:shd w:val="clear" w:color="auto" w:fill="auto"/>
            <w:vAlign w:val="center"/>
          </w:tcPr>
          <w:p w:rsidR="007A45BA" w:rsidRPr="001567C8" w:rsidRDefault="007A45BA" w:rsidP="007A45BA">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1.684</w:t>
            </w:r>
          </w:p>
        </w:tc>
        <w:tc>
          <w:tcPr>
            <w:tcW w:w="740" w:type="pct"/>
            <w:tcBorders>
              <w:top w:val="nil"/>
              <w:left w:val="nil"/>
              <w:bottom w:val="nil"/>
              <w:right w:val="nil"/>
            </w:tcBorders>
            <w:shd w:val="clear" w:color="auto" w:fill="auto"/>
            <w:vAlign w:val="center"/>
          </w:tcPr>
          <w:p w:rsidR="007A45BA" w:rsidRPr="00CD3A2D" w:rsidRDefault="007A45BA" w:rsidP="007A45BA">
            <w:pPr>
              <w:pStyle w:val="TT"/>
              <w:jc w:val="right"/>
              <w:rPr>
                <w:rFonts w:ascii="Calibri" w:hAnsi="Calibri"/>
                <w:color w:val="000000"/>
                <w:sz w:val="22"/>
                <w:szCs w:val="22"/>
                <w:lang w:val="hr-HR"/>
              </w:rPr>
            </w:pPr>
            <w:r w:rsidRPr="00CD3A2D">
              <w:rPr>
                <w:rFonts w:ascii="Calibri" w:hAnsi="Calibri" w:cs="Calibri"/>
                <w:color w:val="000000"/>
                <w:sz w:val="22"/>
                <w:szCs w:val="22"/>
                <w:lang w:val="hr-HR"/>
              </w:rPr>
              <w:t>1.54</w:t>
            </w:r>
            <w:r w:rsidR="004A15CA" w:rsidRPr="00CD3A2D">
              <w:rPr>
                <w:rFonts w:ascii="Calibri" w:hAnsi="Calibri" w:cs="Calibri"/>
                <w:color w:val="000000"/>
                <w:sz w:val="22"/>
                <w:szCs w:val="22"/>
                <w:lang w:val="hr-HR"/>
              </w:rPr>
              <w:t>3</w:t>
            </w:r>
          </w:p>
        </w:tc>
        <w:tc>
          <w:tcPr>
            <w:tcW w:w="740" w:type="pct"/>
            <w:tcBorders>
              <w:top w:val="nil"/>
              <w:left w:val="nil"/>
              <w:bottom w:val="nil"/>
              <w:right w:val="nil"/>
            </w:tcBorders>
            <w:shd w:val="clear" w:color="auto" w:fill="auto"/>
            <w:vAlign w:val="center"/>
          </w:tcPr>
          <w:p w:rsidR="007A45BA" w:rsidRPr="001567C8" w:rsidRDefault="007A45BA" w:rsidP="007A45BA">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1.685</w:t>
            </w:r>
          </w:p>
        </w:tc>
      </w:tr>
      <w:tr w:rsidR="00CA2E8F" w:rsidRPr="001567C8" w:rsidTr="003C6BA3">
        <w:trPr>
          <w:trHeight w:val="58"/>
        </w:trPr>
        <w:tc>
          <w:tcPr>
            <w:tcW w:w="2041" w:type="pct"/>
          </w:tcPr>
          <w:p w:rsidR="00CA2E8F" w:rsidRPr="001567C8" w:rsidRDefault="00CA2E8F" w:rsidP="00CA2E8F">
            <w:pPr>
              <w:pStyle w:val="Tot"/>
              <w:rPr>
                <w:rFonts w:asciiTheme="minorHAnsi" w:hAnsiTheme="minorHAnsi" w:cs="Arial"/>
                <w:sz w:val="22"/>
                <w:szCs w:val="22"/>
                <w:lang w:val="hr-HR"/>
              </w:rPr>
            </w:pPr>
          </w:p>
        </w:tc>
        <w:tc>
          <w:tcPr>
            <w:tcW w:w="740" w:type="pct"/>
            <w:tcBorders>
              <w:top w:val="single" w:sz="4" w:space="0" w:color="auto"/>
              <w:bottom w:val="single" w:sz="4" w:space="0" w:color="auto"/>
            </w:tcBorders>
          </w:tcPr>
          <w:p w:rsidR="00CA2E8F" w:rsidRPr="001567C8" w:rsidRDefault="008A378D" w:rsidP="00CA2E8F">
            <w:pPr>
              <w:pStyle w:val="Tot"/>
              <w:jc w:val="right"/>
              <w:rPr>
                <w:rFonts w:asciiTheme="minorHAnsi" w:hAnsiTheme="minorHAnsi" w:cstheme="minorHAnsi"/>
                <w:bCs/>
                <w:sz w:val="22"/>
                <w:szCs w:val="22"/>
                <w:lang w:val="hr-HR"/>
              </w:rPr>
            </w:pPr>
            <w:r w:rsidRPr="001567C8">
              <w:rPr>
                <w:rFonts w:asciiTheme="minorHAnsi" w:hAnsiTheme="minorHAnsi" w:cstheme="minorHAnsi"/>
                <w:bCs/>
                <w:sz w:val="22"/>
                <w:szCs w:val="22"/>
                <w:lang w:val="hr-HR"/>
              </w:rPr>
              <w:t>57.822</w:t>
            </w:r>
          </w:p>
        </w:tc>
        <w:tc>
          <w:tcPr>
            <w:tcW w:w="740" w:type="pct"/>
            <w:tcBorders>
              <w:top w:val="single" w:sz="4" w:space="0" w:color="auto"/>
              <w:bottom w:val="single" w:sz="4" w:space="0" w:color="auto"/>
            </w:tcBorders>
          </w:tcPr>
          <w:p w:rsidR="00CA2E8F" w:rsidRPr="001567C8" w:rsidRDefault="00CA2E8F" w:rsidP="00CA2E8F">
            <w:pPr>
              <w:pStyle w:val="Tot"/>
              <w:jc w:val="right"/>
              <w:rPr>
                <w:rFonts w:asciiTheme="minorHAnsi" w:hAnsiTheme="minorHAnsi" w:cs="Arial"/>
                <w:bCs/>
                <w:sz w:val="22"/>
                <w:szCs w:val="22"/>
                <w:lang w:val="hr-HR"/>
              </w:rPr>
            </w:pPr>
            <w:r w:rsidRPr="001567C8">
              <w:rPr>
                <w:rFonts w:asciiTheme="minorHAnsi" w:hAnsiTheme="minorHAnsi" w:cs="Arial"/>
                <w:bCs/>
                <w:sz w:val="22"/>
                <w:szCs w:val="22"/>
                <w:lang w:val="hr-HR"/>
              </w:rPr>
              <w:t>36.208</w:t>
            </w:r>
          </w:p>
        </w:tc>
        <w:tc>
          <w:tcPr>
            <w:tcW w:w="740" w:type="pct"/>
            <w:tcBorders>
              <w:top w:val="single" w:sz="4" w:space="0" w:color="auto"/>
              <w:bottom w:val="single" w:sz="4" w:space="0" w:color="auto"/>
            </w:tcBorders>
            <w:vAlign w:val="bottom"/>
          </w:tcPr>
          <w:p w:rsidR="00CA2E8F" w:rsidRPr="001567C8" w:rsidRDefault="00A7410F" w:rsidP="00CA2E8F">
            <w:pPr>
              <w:pStyle w:val="Tot"/>
              <w:jc w:val="right"/>
              <w:rPr>
                <w:rFonts w:asciiTheme="minorHAnsi" w:hAnsiTheme="minorHAnsi" w:cs="Arial"/>
                <w:bCs/>
                <w:sz w:val="22"/>
                <w:szCs w:val="22"/>
                <w:lang w:val="hr-HR"/>
              </w:rPr>
            </w:pPr>
            <w:r w:rsidRPr="001567C8">
              <w:rPr>
                <w:rFonts w:asciiTheme="minorHAnsi" w:hAnsiTheme="minorHAnsi" w:cs="Arial"/>
                <w:bCs/>
                <w:sz w:val="22"/>
                <w:szCs w:val="22"/>
                <w:lang w:val="hr-HR"/>
              </w:rPr>
              <w:t>49.047</w:t>
            </w:r>
          </w:p>
        </w:tc>
        <w:tc>
          <w:tcPr>
            <w:tcW w:w="740" w:type="pct"/>
            <w:tcBorders>
              <w:top w:val="single" w:sz="4" w:space="0" w:color="auto"/>
              <w:bottom w:val="single" w:sz="4" w:space="0" w:color="auto"/>
            </w:tcBorders>
            <w:vAlign w:val="bottom"/>
          </w:tcPr>
          <w:p w:rsidR="00CA2E8F" w:rsidRPr="001567C8" w:rsidRDefault="00CA2E8F" w:rsidP="00CA2E8F">
            <w:pPr>
              <w:pStyle w:val="Tot"/>
              <w:jc w:val="right"/>
              <w:rPr>
                <w:rFonts w:asciiTheme="minorHAnsi" w:hAnsiTheme="minorHAnsi" w:cs="Arial"/>
                <w:bCs/>
                <w:sz w:val="22"/>
                <w:szCs w:val="22"/>
                <w:lang w:val="hr-HR"/>
              </w:rPr>
            </w:pPr>
            <w:r w:rsidRPr="001567C8">
              <w:rPr>
                <w:rFonts w:asciiTheme="minorHAnsi" w:hAnsiTheme="minorHAnsi" w:cs="Arial"/>
                <w:bCs/>
                <w:sz w:val="22"/>
                <w:szCs w:val="22"/>
                <w:lang w:val="hr-HR"/>
              </w:rPr>
              <w:t>28.672</w:t>
            </w:r>
          </w:p>
        </w:tc>
      </w:tr>
      <w:tr w:rsidR="00CA2E8F" w:rsidRPr="001567C8" w:rsidTr="003C6BA3">
        <w:trPr>
          <w:trHeight w:val="289"/>
        </w:trPr>
        <w:tc>
          <w:tcPr>
            <w:tcW w:w="2041" w:type="pct"/>
          </w:tcPr>
          <w:p w:rsidR="00CA2E8F" w:rsidRPr="001567C8" w:rsidRDefault="00CA2E8F" w:rsidP="00CA2E8F">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Rezerviranja za </w:t>
            </w:r>
            <w:r w:rsidR="008F7CB8" w:rsidRPr="001567C8">
              <w:rPr>
                <w:rFonts w:asciiTheme="minorHAnsi" w:hAnsiTheme="minorHAnsi" w:cs="Arial"/>
                <w:sz w:val="22"/>
                <w:szCs w:val="22"/>
                <w:lang w:val="hr-HR"/>
              </w:rPr>
              <w:t xml:space="preserve">očekivane </w:t>
            </w:r>
            <w:r w:rsidRPr="001567C8">
              <w:rPr>
                <w:rFonts w:asciiTheme="minorHAnsi" w:hAnsiTheme="minorHAnsi" w:cs="Arial"/>
                <w:sz w:val="22"/>
                <w:szCs w:val="22"/>
                <w:lang w:val="hr-HR"/>
              </w:rPr>
              <w:t>gubitke</w:t>
            </w:r>
          </w:p>
        </w:tc>
        <w:tc>
          <w:tcPr>
            <w:tcW w:w="740" w:type="pct"/>
            <w:tcBorders>
              <w:bottom w:val="single" w:sz="4" w:space="0" w:color="auto"/>
            </w:tcBorders>
          </w:tcPr>
          <w:p w:rsidR="00CA2E8F" w:rsidRPr="001567C8" w:rsidRDefault="008A378D" w:rsidP="00CA2E8F">
            <w:pPr>
              <w:pStyle w:val="TT"/>
              <w:jc w:val="right"/>
              <w:rPr>
                <w:rFonts w:asciiTheme="minorHAnsi" w:hAnsiTheme="minorHAnsi" w:cstheme="minorHAnsi"/>
                <w:sz w:val="22"/>
                <w:szCs w:val="22"/>
                <w:lang w:val="hr-HR"/>
              </w:rPr>
            </w:pPr>
            <w:r w:rsidRPr="001567C8">
              <w:rPr>
                <w:rFonts w:asciiTheme="minorHAnsi" w:hAnsiTheme="minorHAnsi" w:cstheme="minorHAnsi"/>
                <w:sz w:val="22"/>
                <w:szCs w:val="22"/>
                <w:lang w:val="hr-HR"/>
              </w:rPr>
              <w:t>(34.118)</w:t>
            </w:r>
          </w:p>
        </w:tc>
        <w:tc>
          <w:tcPr>
            <w:tcW w:w="740" w:type="pct"/>
            <w:tcBorders>
              <w:bottom w:val="single" w:sz="4" w:space="0" w:color="auto"/>
            </w:tcBorders>
          </w:tcPr>
          <w:p w:rsidR="00CA2E8F" w:rsidRPr="001567C8" w:rsidRDefault="00CA2E8F" w:rsidP="00CA2E8F">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(6.737)</w:t>
            </w:r>
          </w:p>
        </w:tc>
        <w:tc>
          <w:tcPr>
            <w:tcW w:w="740" w:type="pct"/>
            <w:tcBorders>
              <w:bottom w:val="single" w:sz="4" w:space="0" w:color="auto"/>
            </w:tcBorders>
            <w:vAlign w:val="bottom"/>
          </w:tcPr>
          <w:p w:rsidR="00CA2E8F" w:rsidRPr="001567C8" w:rsidRDefault="00A7410F" w:rsidP="00CA2E8F">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(33.883)</w:t>
            </w:r>
          </w:p>
        </w:tc>
        <w:tc>
          <w:tcPr>
            <w:tcW w:w="740" w:type="pct"/>
            <w:tcBorders>
              <w:bottom w:val="single" w:sz="4" w:space="0" w:color="auto"/>
            </w:tcBorders>
            <w:vAlign w:val="bottom"/>
          </w:tcPr>
          <w:p w:rsidR="00CA2E8F" w:rsidRPr="001567C8" w:rsidRDefault="00CA2E8F" w:rsidP="00CA2E8F">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(6.446)</w:t>
            </w:r>
          </w:p>
        </w:tc>
      </w:tr>
      <w:tr w:rsidR="00CA2E8F" w:rsidRPr="001567C8" w:rsidTr="003C6BA3">
        <w:trPr>
          <w:trHeight w:val="366"/>
        </w:trPr>
        <w:tc>
          <w:tcPr>
            <w:tcW w:w="2041" w:type="pct"/>
          </w:tcPr>
          <w:p w:rsidR="00CA2E8F" w:rsidRPr="001567C8" w:rsidRDefault="00CA2E8F" w:rsidP="00CA2E8F">
            <w:pPr>
              <w:pStyle w:val="Tot"/>
              <w:rPr>
                <w:rFonts w:asciiTheme="minorHAnsi" w:hAnsiTheme="minorHAnsi" w:cs="Arial"/>
                <w:b/>
                <w:bCs/>
                <w:sz w:val="22"/>
                <w:szCs w:val="22"/>
                <w:lang w:val="hr-HR"/>
              </w:rPr>
            </w:pPr>
          </w:p>
        </w:tc>
        <w:tc>
          <w:tcPr>
            <w:tcW w:w="740" w:type="pct"/>
            <w:tcBorders>
              <w:top w:val="single" w:sz="4" w:space="0" w:color="auto"/>
              <w:bottom w:val="single" w:sz="12" w:space="0" w:color="auto"/>
            </w:tcBorders>
            <w:vAlign w:val="bottom"/>
          </w:tcPr>
          <w:p w:rsidR="00CA2E8F" w:rsidRPr="001567C8" w:rsidRDefault="008A378D" w:rsidP="00CA2E8F">
            <w:pPr>
              <w:pStyle w:val="Tot"/>
              <w:jc w:val="right"/>
              <w:rPr>
                <w:rFonts w:asciiTheme="minorHAnsi" w:hAnsiTheme="minorHAnsi" w:cstheme="minorHAnsi"/>
                <w:b/>
                <w:bCs/>
                <w:sz w:val="22"/>
                <w:szCs w:val="22"/>
                <w:lang w:val="hr-HR"/>
              </w:rPr>
            </w:pPr>
            <w:r w:rsidRPr="001567C8">
              <w:rPr>
                <w:rFonts w:asciiTheme="minorHAnsi" w:hAnsiTheme="minorHAnsi" w:cstheme="minorHAnsi"/>
                <w:b/>
                <w:bCs/>
                <w:sz w:val="22"/>
                <w:szCs w:val="22"/>
                <w:lang w:val="hr-HR"/>
              </w:rPr>
              <w:t>23.704</w:t>
            </w:r>
          </w:p>
        </w:tc>
        <w:tc>
          <w:tcPr>
            <w:tcW w:w="740" w:type="pct"/>
            <w:tcBorders>
              <w:top w:val="single" w:sz="4" w:space="0" w:color="auto"/>
              <w:bottom w:val="single" w:sz="12" w:space="0" w:color="auto"/>
            </w:tcBorders>
            <w:vAlign w:val="bottom"/>
          </w:tcPr>
          <w:p w:rsidR="00CA2E8F" w:rsidRPr="001567C8" w:rsidRDefault="00CA2E8F" w:rsidP="00CA2E8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29.471</w:t>
            </w:r>
          </w:p>
        </w:tc>
        <w:tc>
          <w:tcPr>
            <w:tcW w:w="740" w:type="pct"/>
            <w:tcBorders>
              <w:top w:val="single" w:sz="4" w:space="0" w:color="auto"/>
              <w:bottom w:val="single" w:sz="12" w:space="0" w:color="auto"/>
            </w:tcBorders>
            <w:vAlign w:val="bottom"/>
          </w:tcPr>
          <w:p w:rsidR="00CA2E8F" w:rsidRPr="001567C8" w:rsidRDefault="00A7410F" w:rsidP="00CA2E8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15.164</w:t>
            </w:r>
          </w:p>
        </w:tc>
        <w:tc>
          <w:tcPr>
            <w:tcW w:w="740" w:type="pct"/>
            <w:tcBorders>
              <w:top w:val="single" w:sz="4" w:space="0" w:color="auto"/>
              <w:bottom w:val="single" w:sz="12" w:space="0" w:color="auto"/>
            </w:tcBorders>
            <w:vAlign w:val="bottom"/>
          </w:tcPr>
          <w:p w:rsidR="00CA2E8F" w:rsidRPr="001567C8" w:rsidRDefault="00CA2E8F" w:rsidP="00CA2E8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22.226</w:t>
            </w:r>
          </w:p>
        </w:tc>
      </w:tr>
    </w:tbl>
    <w:p w:rsidR="001A7CCE" w:rsidRPr="001567C8" w:rsidRDefault="001A7CCE" w:rsidP="008E5CC6">
      <w:pPr>
        <w:pStyle w:val="T1"/>
        <w:spacing w:before="0" w:after="0" w:line="240" w:lineRule="auto"/>
        <w:rPr>
          <w:rFonts w:asciiTheme="minorHAnsi" w:hAnsiTheme="minorHAnsi" w:cs="Arial"/>
          <w:b w:val="0"/>
          <w:bCs w:val="0"/>
          <w:sz w:val="22"/>
          <w:szCs w:val="22"/>
          <w:lang w:val="hr-HR"/>
        </w:rPr>
      </w:pPr>
    </w:p>
    <w:p w:rsidR="00CA2E8F" w:rsidRPr="001567C8" w:rsidRDefault="00CA2E8F" w:rsidP="008E5CC6">
      <w:pPr>
        <w:pStyle w:val="T1"/>
        <w:spacing w:before="0" w:after="0" w:line="240" w:lineRule="auto"/>
        <w:rPr>
          <w:rFonts w:asciiTheme="minorHAnsi" w:hAnsiTheme="minorHAnsi" w:cs="Arial"/>
          <w:b w:val="0"/>
          <w:bCs w:val="0"/>
          <w:sz w:val="22"/>
          <w:szCs w:val="22"/>
          <w:lang w:val="hr-HR"/>
        </w:rPr>
      </w:pPr>
    </w:p>
    <w:p w:rsidR="00FF18E1" w:rsidRPr="001567C8" w:rsidRDefault="00CA2E8F" w:rsidP="008E5CC6">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Sljedeća tablica prikazuje informacije o kreditnoj kvaliteti financijske imovine koja se mjeri po amortiziranom trošku. Iznosi u tablici predstavljaju bruto knjigovodstvene iznose:</w:t>
      </w:r>
    </w:p>
    <w:p w:rsidR="00CA2E8F" w:rsidRPr="001567C8" w:rsidRDefault="00CA2E8F" w:rsidP="008E5CC6">
      <w:pPr>
        <w:pStyle w:val="T1"/>
        <w:spacing w:before="0" w:after="0" w:line="240" w:lineRule="auto"/>
        <w:rPr>
          <w:rFonts w:asciiTheme="minorHAnsi" w:hAnsiTheme="minorHAnsi" w:cs="Arial"/>
          <w:b w:val="0"/>
          <w:bCs w:val="0"/>
          <w:sz w:val="22"/>
          <w:szCs w:val="22"/>
          <w:lang w:val="hr-HR"/>
        </w:rPr>
      </w:pPr>
    </w:p>
    <w:tbl>
      <w:tblPr>
        <w:tblW w:w="10185" w:type="dxa"/>
        <w:tblInd w:w="-426" w:type="dxa"/>
        <w:tblLayout w:type="fixed"/>
        <w:tblLook w:val="04A0" w:firstRow="1" w:lastRow="0" w:firstColumn="1" w:lastColumn="0" w:noHBand="0" w:noVBand="1"/>
      </w:tblPr>
      <w:tblGrid>
        <w:gridCol w:w="1992"/>
        <w:gridCol w:w="1024"/>
        <w:gridCol w:w="1024"/>
        <w:gridCol w:w="1024"/>
        <w:gridCol w:w="1024"/>
        <w:gridCol w:w="1024"/>
        <w:gridCol w:w="1024"/>
        <w:gridCol w:w="1024"/>
        <w:gridCol w:w="1025"/>
      </w:tblGrid>
      <w:tr w:rsidR="00CA2E8F" w:rsidRPr="001567C8" w:rsidTr="00CA2E8F">
        <w:trPr>
          <w:trHeight w:val="244"/>
        </w:trPr>
        <w:tc>
          <w:tcPr>
            <w:tcW w:w="1992" w:type="dxa"/>
            <w:tcBorders>
              <w:top w:val="nil"/>
              <w:left w:val="nil"/>
              <w:bottom w:val="nil"/>
              <w:right w:val="nil"/>
            </w:tcBorders>
            <w:shd w:val="clear" w:color="auto" w:fill="auto"/>
            <w:noWrap/>
            <w:vAlign w:val="bottom"/>
            <w:hideMark/>
          </w:tcPr>
          <w:p w:rsidR="00CA2E8F" w:rsidRPr="00CD3A2D" w:rsidRDefault="00CA2E8F">
            <w:pPr>
              <w:rPr>
                <w:sz w:val="18"/>
                <w:szCs w:val="18"/>
                <w:lang w:val="hr-HR"/>
              </w:rPr>
            </w:pPr>
          </w:p>
        </w:tc>
        <w:tc>
          <w:tcPr>
            <w:tcW w:w="1024" w:type="dxa"/>
            <w:tcBorders>
              <w:top w:val="nil"/>
              <w:left w:val="nil"/>
              <w:bottom w:val="nil"/>
              <w:right w:val="nil"/>
            </w:tcBorders>
            <w:shd w:val="clear" w:color="auto" w:fill="auto"/>
            <w:noWrap/>
            <w:vAlign w:val="bottom"/>
            <w:hideMark/>
          </w:tcPr>
          <w:p w:rsidR="00CA2E8F" w:rsidRPr="00CD3A2D" w:rsidRDefault="00CA2E8F">
            <w:pPr>
              <w:rPr>
                <w:sz w:val="18"/>
                <w:szCs w:val="18"/>
                <w:lang w:val="hr-HR"/>
              </w:rPr>
            </w:pP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sz w:val="18"/>
                <w:szCs w:val="18"/>
                <w:lang w:val="hr-HR"/>
              </w:rPr>
            </w:pP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sz w:val="18"/>
                <w:szCs w:val="18"/>
                <w:lang w:val="hr-HR"/>
              </w:rPr>
            </w:pP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Grupa</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sz w:val="18"/>
                <w:szCs w:val="18"/>
                <w:lang w:val="hr-HR"/>
              </w:rPr>
            </w:pP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sz w:val="18"/>
                <w:szCs w:val="18"/>
                <w:lang w:val="hr-HR"/>
              </w:rPr>
            </w:pPr>
          </w:p>
        </w:tc>
        <w:tc>
          <w:tcPr>
            <w:tcW w:w="1025"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Banka</w:t>
            </w:r>
          </w:p>
        </w:tc>
      </w:tr>
      <w:tr w:rsidR="00CA2E8F" w:rsidRPr="001567C8" w:rsidTr="00CA2E8F">
        <w:trPr>
          <w:trHeight w:val="288"/>
        </w:trPr>
        <w:tc>
          <w:tcPr>
            <w:tcW w:w="1992"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Stupanj 1</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Stupanj 2</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Stupanj 3</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Ukupno</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Stupanj 1</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Stupanj 2</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Stupanj 3</w:t>
            </w:r>
          </w:p>
        </w:tc>
        <w:tc>
          <w:tcPr>
            <w:tcW w:w="1025"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Ukupno</w:t>
            </w:r>
          </w:p>
        </w:tc>
      </w:tr>
      <w:tr w:rsidR="00CA2E8F" w:rsidRPr="001567C8" w:rsidTr="00CA2E8F">
        <w:trPr>
          <w:trHeight w:val="288"/>
        </w:trPr>
        <w:tc>
          <w:tcPr>
            <w:tcW w:w="1992"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1024"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c>
          <w:tcPr>
            <w:tcW w:w="1025" w:type="dxa"/>
            <w:tcBorders>
              <w:top w:val="nil"/>
              <w:left w:val="nil"/>
              <w:bottom w:val="nil"/>
              <w:right w:val="nil"/>
            </w:tcBorders>
            <w:shd w:val="clear" w:color="auto" w:fill="auto"/>
            <w:noWrap/>
            <w:vAlign w:val="bottom"/>
            <w:hideMark/>
          </w:tcPr>
          <w:p w:rsidR="00CA2E8F" w:rsidRPr="00CD3A2D" w:rsidRDefault="00CA2E8F">
            <w:pPr>
              <w:jc w:val="right"/>
              <w:rPr>
                <w:rFonts w:ascii="Calibri" w:hAnsi="Calibri"/>
                <w:b/>
                <w:bCs/>
                <w:color w:val="000000"/>
                <w:sz w:val="18"/>
                <w:szCs w:val="18"/>
                <w:lang w:val="hr-HR"/>
              </w:rPr>
            </w:pPr>
            <w:r w:rsidRPr="00CD3A2D">
              <w:rPr>
                <w:rFonts w:ascii="Calibri" w:hAnsi="Calibri"/>
                <w:b/>
                <w:bCs/>
                <w:color w:val="000000"/>
                <w:sz w:val="18"/>
                <w:szCs w:val="18"/>
                <w:lang w:val="hr-HR"/>
              </w:rPr>
              <w:t>000 kuna</w:t>
            </w:r>
          </w:p>
        </w:tc>
      </w:tr>
      <w:tr w:rsidR="00CA2E8F" w:rsidRPr="001567C8" w:rsidTr="00E355A4">
        <w:trPr>
          <w:trHeight w:val="333"/>
        </w:trPr>
        <w:tc>
          <w:tcPr>
            <w:tcW w:w="1992" w:type="dxa"/>
            <w:tcBorders>
              <w:top w:val="nil"/>
              <w:left w:val="nil"/>
              <w:bottom w:val="nil"/>
              <w:right w:val="nil"/>
            </w:tcBorders>
            <w:shd w:val="clear" w:color="auto" w:fill="auto"/>
            <w:noWrap/>
            <w:vAlign w:val="bottom"/>
            <w:hideMark/>
          </w:tcPr>
          <w:p w:rsidR="00CA2E8F" w:rsidRPr="00CD3A2D" w:rsidRDefault="00CA2E8F">
            <w:pPr>
              <w:rPr>
                <w:rFonts w:ascii="Calibri" w:hAnsi="Calibri"/>
                <w:color w:val="000000"/>
                <w:sz w:val="18"/>
                <w:szCs w:val="18"/>
                <w:lang w:val="hr-HR"/>
              </w:rPr>
            </w:pPr>
            <w:r w:rsidRPr="00CD3A2D">
              <w:rPr>
                <w:rFonts w:ascii="Calibri" w:hAnsi="Calibri"/>
                <w:color w:val="000000"/>
                <w:sz w:val="18"/>
                <w:szCs w:val="18"/>
                <w:lang w:val="hr-HR"/>
              </w:rPr>
              <w:t>Bruto iznos</w:t>
            </w:r>
          </w:p>
        </w:tc>
        <w:tc>
          <w:tcPr>
            <w:tcW w:w="1024" w:type="dxa"/>
            <w:tcBorders>
              <w:top w:val="nil"/>
              <w:left w:val="nil"/>
              <w:bottom w:val="nil"/>
              <w:right w:val="nil"/>
            </w:tcBorders>
            <w:shd w:val="clear" w:color="auto" w:fill="auto"/>
            <w:noWrap/>
            <w:vAlign w:val="bottom"/>
            <w:hideMark/>
          </w:tcPr>
          <w:p w:rsidR="00CA2E8F" w:rsidRPr="00CD3A2D" w:rsidRDefault="00E355A4" w:rsidP="00E355A4">
            <w:pPr>
              <w:jc w:val="right"/>
              <w:rPr>
                <w:rFonts w:asciiTheme="minorHAnsi" w:hAnsiTheme="minorHAnsi" w:cstheme="minorHAnsi"/>
                <w:color w:val="000000"/>
                <w:sz w:val="18"/>
                <w:szCs w:val="18"/>
                <w:lang w:val="hr-HR"/>
              </w:rPr>
            </w:pPr>
            <w:r w:rsidRPr="00CD3A2D">
              <w:rPr>
                <w:rFonts w:asciiTheme="minorHAnsi" w:hAnsiTheme="minorHAnsi" w:cstheme="minorHAnsi"/>
                <w:color w:val="000000"/>
                <w:sz w:val="18"/>
                <w:szCs w:val="18"/>
                <w:lang w:val="hr-HR"/>
              </w:rPr>
              <w:t>11.596</w:t>
            </w:r>
          </w:p>
        </w:tc>
        <w:tc>
          <w:tcPr>
            <w:tcW w:w="1024" w:type="dxa"/>
            <w:tcBorders>
              <w:top w:val="nil"/>
              <w:left w:val="nil"/>
              <w:bottom w:val="nil"/>
              <w:right w:val="nil"/>
            </w:tcBorders>
            <w:shd w:val="clear" w:color="auto" w:fill="auto"/>
            <w:noWrap/>
            <w:vAlign w:val="bottom"/>
            <w:hideMark/>
          </w:tcPr>
          <w:p w:rsidR="00CA2E8F" w:rsidRPr="00CD3A2D" w:rsidRDefault="00E355A4" w:rsidP="00E355A4">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12</w:t>
            </w:r>
          </w:p>
        </w:tc>
        <w:tc>
          <w:tcPr>
            <w:tcW w:w="1024" w:type="dxa"/>
            <w:tcBorders>
              <w:top w:val="nil"/>
              <w:left w:val="nil"/>
              <w:bottom w:val="nil"/>
              <w:right w:val="nil"/>
            </w:tcBorders>
            <w:shd w:val="clear" w:color="auto" w:fill="auto"/>
            <w:noWrap/>
            <w:vAlign w:val="bottom"/>
            <w:hideMark/>
          </w:tcPr>
          <w:p w:rsidR="00CA2E8F" w:rsidRPr="00CD3A2D" w:rsidRDefault="00E355A4" w:rsidP="00E355A4">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35.232</w:t>
            </w:r>
          </w:p>
        </w:tc>
        <w:tc>
          <w:tcPr>
            <w:tcW w:w="1024" w:type="dxa"/>
            <w:tcBorders>
              <w:top w:val="nil"/>
              <w:left w:val="nil"/>
              <w:bottom w:val="nil"/>
              <w:right w:val="nil"/>
            </w:tcBorders>
            <w:shd w:val="clear" w:color="auto" w:fill="auto"/>
            <w:noWrap/>
            <w:vAlign w:val="bottom"/>
            <w:hideMark/>
          </w:tcPr>
          <w:p w:rsidR="00CA2E8F" w:rsidRPr="00CD3A2D" w:rsidRDefault="00E355A4" w:rsidP="00E355A4">
            <w:pPr>
              <w:jc w:val="right"/>
              <w:rPr>
                <w:rFonts w:asciiTheme="minorHAnsi" w:hAnsiTheme="minorHAnsi" w:cstheme="minorHAnsi"/>
                <w:b/>
                <w:bCs/>
                <w:color w:val="000000"/>
                <w:sz w:val="18"/>
                <w:szCs w:val="18"/>
                <w:lang w:val="hr-HR"/>
              </w:rPr>
            </w:pPr>
            <w:r w:rsidRPr="00CD3A2D">
              <w:rPr>
                <w:rFonts w:asciiTheme="minorHAnsi" w:hAnsiTheme="minorHAnsi" w:cstheme="minorHAnsi"/>
                <w:b/>
                <w:bCs/>
                <w:color w:val="000000"/>
                <w:sz w:val="18"/>
                <w:szCs w:val="18"/>
                <w:lang w:val="hr-HR"/>
              </w:rPr>
              <w:t xml:space="preserve">46.840 </w:t>
            </w:r>
            <w:r w:rsidR="00CA2E8F" w:rsidRPr="00CD3A2D">
              <w:rPr>
                <w:rFonts w:asciiTheme="minorHAnsi" w:hAnsiTheme="minorHAnsi" w:cstheme="minorHAnsi"/>
                <w:b/>
                <w:bCs/>
                <w:color w:val="000000"/>
                <w:sz w:val="18"/>
                <w:szCs w:val="18"/>
                <w:lang w:val="hr-HR"/>
              </w:rPr>
              <w:t xml:space="preserve"> </w:t>
            </w:r>
          </w:p>
        </w:tc>
        <w:tc>
          <w:tcPr>
            <w:tcW w:w="1024" w:type="dxa"/>
            <w:tcBorders>
              <w:top w:val="nil"/>
              <w:left w:val="nil"/>
              <w:bottom w:val="nil"/>
              <w:right w:val="nil"/>
            </w:tcBorders>
            <w:shd w:val="clear" w:color="auto" w:fill="auto"/>
            <w:noWrap/>
            <w:vAlign w:val="bottom"/>
            <w:hideMark/>
          </w:tcPr>
          <w:p w:rsidR="00CA2E8F" w:rsidRPr="00CD3A2D" w:rsidRDefault="00CA2E8F" w:rsidP="00CA2E8F">
            <w:pPr>
              <w:jc w:val="right"/>
              <w:rPr>
                <w:rFonts w:ascii="Calibri" w:hAnsi="Calibri"/>
                <w:color w:val="000000"/>
                <w:sz w:val="18"/>
                <w:szCs w:val="18"/>
                <w:lang w:val="hr-HR"/>
              </w:rPr>
            </w:pPr>
            <w:r w:rsidRPr="00CD3A2D">
              <w:rPr>
                <w:rFonts w:ascii="Calibri" w:hAnsi="Calibri"/>
                <w:color w:val="000000"/>
                <w:sz w:val="18"/>
                <w:szCs w:val="18"/>
                <w:lang w:val="hr-HR"/>
              </w:rPr>
              <w:t xml:space="preserve">   2.821 </w:t>
            </w:r>
          </w:p>
        </w:tc>
        <w:tc>
          <w:tcPr>
            <w:tcW w:w="1024" w:type="dxa"/>
            <w:tcBorders>
              <w:top w:val="nil"/>
              <w:left w:val="nil"/>
              <w:bottom w:val="nil"/>
              <w:right w:val="nil"/>
            </w:tcBorders>
            <w:shd w:val="clear" w:color="auto" w:fill="auto"/>
            <w:noWrap/>
            <w:vAlign w:val="bottom"/>
            <w:hideMark/>
          </w:tcPr>
          <w:p w:rsidR="00CA2E8F" w:rsidRPr="00CD3A2D" w:rsidRDefault="00CA2E8F" w:rsidP="00CA2E8F">
            <w:pPr>
              <w:jc w:val="right"/>
              <w:rPr>
                <w:rFonts w:ascii="Calibri" w:hAnsi="Calibri"/>
                <w:color w:val="000000"/>
                <w:sz w:val="18"/>
                <w:szCs w:val="18"/>
                <w:lang w:val="hr-HR"/>
              </w:rPr>
            </w:pPr>
            <w:r w:rsidRPr="00CD3A2D">
              <w:rPr>
                <w:rFonts w:ascii="Calibri" w:hAnsi="Calibri"/>
                <w:color w:val="000000"/>
                <w:sz w:val="18"/>
                <w:szCs w:val="18"/>
                <w:lang w:val="hr-HR"/>
              </w:rPr>
              <w:t xml:space="preserve">      12 </w:t>
            </w:r>
          </w:p>
        </w:tc>
        <w:tc>
          <w:tcPr>
            <w:tcW w:w="1024" w:type="dxa"/>
            <w:tcBorders>
              <w:top w:val="nil"/>
              <w:left w:val="nil"/>
              <w:bottom w:val="nil"/>
              <w:right w:val="nil"/>
            </w:tcBorders>
            <w:shd w:val="clear" w:color="auto" w:fill="auto"/>
            <w:noWrap/>
            <w:vAlign w:val="bottom"/>
            <w:hideMark/>
          </w:tcPr>
          <w:p w:rsidR="00CA2E8F" w:rsidRPr="00CD3A2D" w:rsidRDefault="00CA2E8F" w:rsidP="00CA2E8F">
            <w:pPr>
              <w:jc w:val="right"/>
              <w:rPr>
                <w:rFonts w:ascii="Calibri" w:hAnsi="Calibri"/>
                <w:color w:val="000000"/>
                <w:sz w:val="18"/>
                <w:szCs w:val="18"/>
                <w:lang w:val="hr-HR"/>
              </w:rPr>
            </w:pPr>
            <w:r w:rsidRPr="00CD3A2D">
              <w:rPr>
                <w:rFonts w:ascii="Calibri" w:hAnsi="Calibri"/>
                <w:color w:val="000000"/>
                <w:sz w:val="18"/>
                <w:szCs w:val="18"/>
                <w:lang w:val="hr-HR"/>
              </w:rPr>
              <w:t>35.23</w:t>
            </w:r>
            <w:r w:rsidR="00E355A4" w:rsidRPr="00CD3A2D">
              <w:rPr>
                <w:rFonts w:ascii="Calibri" w:hAnsi="Calibri"/>
                <w:color w:val="000000"/>
                <w:sz w:val="18"/>
                <w:szCs w:val="18"/>
                <w:lang w:val="hr-HR"/>
              </w:rPr>
              <w:t>2</w:t>
            </w:r>
            <w:r w:rsidRPr="00CD3A2D">
              <w:rPr>
                <w:rFonts w:ascii="Calibri" w:hAnsi="Calibri"/>
                <w:color w:val="000000"/>
                <w:sz w:val="18"/>
                <w:szCs w:val="18"/>
                <w:lang w:val="hr-HR"/>
              </w:rPr>
              <w:t xml:space="preserve"> </w:t>
            </w:r>
          </w:p>
        </w:tc>
        <w:tc>
          <w:tcPr>
            <w:tcW w:w="1025" w:type="dxa"/>
            <w:tcBorders>
              <w:top w:val="nil"/>
              <w:left w:val="nil"/>
              <w:bottom w:val="nil"/>
              <w:right w:val="nil"/>
            </w:tcBorders>
            <w:shd w:val="clear" w:color="auto" w:fill="auto"/>
            <w:noWrap/>
            <w:vAlign w:val="bottom"/>
            <w:hideMark/>
          </w:tcPr>
          <w:p w:rsidR="00CA2E8F" w:rsidRPr="00CD3A2D" w:rsidRDefault="00CA2E8F" w:rsidP="00CA2E8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38.06</w:t>
            </w:r>
            <w:r w:rsidR="00E355A4" w:rsidRPr="00CD3A2D">
              <w:rPr>
                <w:rFonts w:ascii="Calibri" w:hAnsi="Calibri"/>
                <w:b/>
                <w:bCs/>
                <w:color w:val="000000"/>
                <w:sz w:val="18"/>
                <w:szCs w:val="18"/>
                <w:lang w:val="hr-HR"/>
              </w:rPr>
              <w:t>5</w:t>
            </w:r>
            <w:r w:rsidRPr="00CD3A2D">
              <w:rPr>
                <w:rFonts w:ascii="Calibri" w:hAnsi="Calibri"/>
                <w:b/>
                <w:bCs/>
                <w:color w:val="000000"/>
                <w:sz w:val="18"/>
                <w:szCs w:val="18"/>
                <w:lang w:val="hr-HR"/>
              </w:rPr>
              <w:t xml:space="preserve"> </w:t>
            </w:r>
          </w:p>
        </w:tc>
      </w:tr>
      <w:tr w:rsidR="00CA2E8F" w:rsidRPr="001567C8" w:rsidTr="00E355A4">
        <w:trPr>
          <w:trHeight w:val="337"/>
        </w:trPr>
        <w:tc>
          <w:tcPr>
            <w:tcW w:w="1992" w:type="dxa"/>
            <w:tcBorders>
              <w:top w:val="nil"/>
              <w:left w:val="nil"/>
              <w:bottom w:val="nil"/>
              <w:right w:val="nil"/>
            </w:tcBorders>
            <w:shd w:val="clear" w:color="auto" w:fill="auto"/>
            <w:noWrap/>
            <w:vAlign w:val="bottom"/>
            <w:hideMark/>
          </w:tcPr>
          <w:p w:rsidR="00CA2E8F" w:rsidRPr="00CD3A2D" w:rsidRDefault="00CA2E8F">
            <w:pPr>
              <w:rPr>
                <w:rFonts w:ascii="Calibri" w:hAnsi="Calibri"/>
                <w:color w:val="000000"/>
                <w:sz w:val="18"/>
                <w:szCs w:val="18"/>
                <w:lang w:val="hr-HR"/>
              </w:rPr>
            </w:pPr>
            <w:r w:rsidRPr="00CD3A2D">
              <w:rPr>
                <w:rFonts w:ascii="Calibri" w:hAnsi="Calibri"/>
                <w:color w:val="000000"/>
                <w:sz w:val="18"/>
                <w:szCs w:val="18"/>
                <w:lang w:val="hr-HR"/>
              </w:rPr>
              <w:t>Rezerviranja</w:t>
            </w:r>
          </w:p>
        </w:tc>
        <w:tc>
          <w:tcPr>
            <w:tcW w:w="1024" w:type="dxa"/>
            <w:tcBorders>
              <w:top w:val="nil"/>
              <w:left w:val="nil"/>
              <w:bottom w:val="nil"/>
              <w:right w:val="nil"/>
            </w:tcBorders>
            <w:shd w:val="clear" w:color="auto" w:fill="auto"/>
            <w:noWrap/>
            <w:vAlign w:val="bottom"/>
            <w:hideMark/>
          </w:tcPr>
          <w:p w:rsidR="00CA2E8F" w:rsidRPr="00CD3A2D" w:rsidRDefault="00E355A4" w:rsidP="00E355A4">
            <w:pPr>
              <w:jc w:val="right"/>
              <w:rPr>
                <w:rFonts w:asciiTheme="minorHAnsi" w:hAnsiTheme="minorHAnsi" w:cstheme="minorHAnsi"/>
                <w:color w:val="000000"/>
                <w:sz w:val="18"/>
                <w:szCs w:val="18"/>
                <w:lang w:val="hr-HR"/>
              </w:rPr>
            </w:pPr>
            <w:r w:rsidRPr="00CD3A2D">
              <w:rPr>
                <w:rFonts w:asciiTheme="minorHAnsi" w:hAnsiTheme="minorHAnsi" w:cstheme="minorHAnsi"/>
                <w:color w:val="000000"/>
                <w:sz w:val="18"/>
                <w:szCs w:val="18"/>
                <w:lang w:val="hr-HR"/>
              </w:rPr>
              <w:t>(281)</w:t>
            </w:r>
          </w:p>
        </w:tc>
        <w:tc>
          <w:tcPr>
            <w:tcW w:w="1024" w:type="dxa"/>
            <w:tcBorders>
              <w:top w:val="nil"/>
              <w:left w:val="nil"/>
              <w:bottom w:val="nil"/>
              <w:right w:val="nil"/>
            </w:tcBorders>
            <w:shd w:val="clear" w:color="auto" w:fill="auto"/>
            <w:noWrap/>
            <w:vAlign w:val="bottom"/>
            <w:hideMark/>
          </w:tcPr>
          <w:p w:rsidR="00CA2E8F" w:rsidRPr="00CD3A2D" w:rsidRDefault="00E355A4" w:rsidP="00E355A4">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w:t>
            </w:r>
          </w:p>
        </w:tc>
        <w:tc>
          <w:tcPr>
            <w:tcW w:w="1024" w:type="dxa"/>
            <w:tcBorders>
              <w:top w:val="nil"/>
              <w:left w:val="nil"/>
              <w:bottom w:val="nil"/>
              <w:right w:val="nil"/>
            </w:tcBorders>
            <w:shd w:val="clear" w:color="auto" w:fill="auto"/>
            <w:noWrap/>
            <w:vAlign w:val="bottom"/>
            <w:hideMark/>
          </w:tcPr>
          <w:p w:rsidR="00CA2E8F" w:rsidRPr="00CD3A2D" w:rsidRDefault="00E355A4" w:rsidP="00E355A4">
            <w:pPr>
              <w:jc w:val="right"/>
              <w:rPr>
                <w:rFonts w:asciiTheme="minorHAnsi" w:hAnsiTheme="minorHAnsi" w:cstheme="minorHAnsi"/>
                <w:sz w:val="18"/>
                <w:szCs w:val="18"/>
                <w:lang w:val="hr-HR"/>
              </w:rPr>
            </w:pPr>
            <w:r w:rsidRPr="00CD3A2D">
              <w:rPr>
                <w:rFonts w:asciiTheme="minorHAnsi" w:hAnsiTheme="minorHAnsi" w:cstheme="minorHAnsi"/>
                <w:sz w:val="18"/>
                <w:szCs w:val="18"/>
                <w:lang w:val="hr-HR"/>
              </w:rPr>
              <w:t>(33.837)</w:t>
            </w:r>
          </w:p>
        </w:tc>
        <w:tc>
          <w:tcPr>
            <w:tcW w:w="1024" w:type="dxa"/>
            <w:tcBorders>
              <w:top w:val="nil"/>
              <w:left w:val="nil"/>
              <w:bottom w:val="nil"/>
              <w:right w:val="nil"/>
            </w:tcBorders>
            <w:shd w:val="clear" w:color="auto" w:fill="auto"/>
            <w:noWrap/>
            <w:vAlign w:val="bottom"/>
            <w:hideMark/>
          </w:tcPr>
          <w:p w:rsidR="00CA2E8F" w:rsidRPr="00CD3A2D" w:rsidRDefault="00CA2E8F" w:rsidP="00E355A4">
            <w:pPr>
              <w:jc w:val="right"/>
              <w:rPr>
                <w:rFonts w:asciiTheme="minorHAnsi" w:hAnsiTheme="minorHAnsi" w:cstheme="minorHAnsi"/>
                <w:b/>
                <w:bCs/>
                <w:color w:val="000000"/>
                <w:sz w:val="18"/>
                <w:szCs w:val="18"/>
                <w:lang w:val="hr-HR"/>
              </w:rPr>
            </w:pPr>
            <w:r w:rsidRPr="00CD3A2D">
              <w:rPr>
                <w:rFonts w:asciiTheme="minorHAnsi" w:hAnsiTheme="minorHAnsi" w:cstheme="minorHAnsi"/>
                <w:b/>
                <w:bCs/>
                <w:color w:val="000000"/>
                <w:sz w:val="18"/>
                <w:szCs w:val="18"/>
                <w:lang w:val="hr-HR"/>
              </w:rPr>
              <w:t xml:space="preserve">             </w:t>
            </w:r>
            <w:r w:rsidR="00E355A4" w:rsidRPr="00CD3A2D">
              <w:rPr>
                <w:rFonts w:asciiTheme="minorHAnsi" w:hAnsiTheme="minorHAnsi" w:cstheme="minorHAnsi"/>
                <w:b/>
                <w:bCs/>
                <w:color w:val="000000"/>
                <w:sz w:val="18"/>
                <w:szCs w:val="18"/>
                <w:lang w:val="hr-HR"/>
              </w:rPr>
              <w:t xml:space="preserve"> (34.118)</w:t>
            </w:r>
          </w:p>
        </w:tc>
        <w:tc>
          <w:tcPr>
            <w:tcW w:w="1024" w:type="dxa"/>
            <w:tcBorders>
              <w:top w:val="nil"/>
              <w:left w:val="nil"/>
              <w:bottom w:val="nil"/>
              <w:right w:val="nil"/>
            </w:tcBorders>
            <w:shd w:val="clear" w:color="auto" w:fill="auto"/>
            <w:noWrap/>
            <w:vAlign w:val="bottom"/>
            <w:hideMark/>
          </w:tcPr>
          <w:p w:rsidR="00CA2E8F" w:rsidRPr="00CD3A2D" w:rsidRDefault="00CA2E8F" w:rsidP="00CA2E8F">
            <w:pPr>
              <w:jc w:val="right"/>
              <w:rPr>
                <w:rFonts w:ascii="Calibri" w:hAnsi="Calibri"/>
                <w:color w:val="000000"/>
                <w:sz w:val="18"/>
                <w:szCs w:val="18"/>
                <w:lang w:val="hr-HR"/>
              </w:rPr>
            </w:pPr>
            <w:r w:rsidRPr="00CD3A2D">
              <w:rPr>
                <w:rFonts w:ascii="Calibri" w:hAnsi="Calibri"/>
                <w:color w:val="000000"/>
                <w:sz w:val="18"/>
                <w:szCs w:val="18"/>
                <w:lang w:val="hr-HR"/>
              </w:rPr>
              <w:t xml:space="preserve">      (46)</w:t>
            </w:r>
          </w:p>
        </w:tc>
        <w:tc>
          <w:tcPr>
            <w:tcW w:w="1024" w:type="dxa"/>
            <w:tcBorders>
              <w:top w:val="nil"/>
              <w:left w:val="nil"/>
              <w:bottom w:val="nil"/>
              <w:right w:val="nil"/>
            </w:tcBorders>
            <w:shd w:val="clear" w:color="auto" w:fill="auto"/>
            <w:noWrap/>
            <w:vAlign w:val="bottom"/>
            <w:hideMark/>
          </w:tcPr>
          <w:p w:rsidR="00CA2E8F" w:rsidRPr="00CD3A2D" w:rsidRDefault="00CA2E8F" w:rsidP="00CA2E8F">
            <w:pPr>
              <w:jc w:val="right"/>
              <w:rPr>
                <w:rFonts w:ascii="Calibri" w:hAnsi="Calibri"/>
                <w:color w:val="000000"/>
                <w:sz w:val="18"/>
                <w:szCs w:val="18"/>
                <w:lang w:val="hr-HR"/>
              </w:rPr>
            </w:pPr>
            <w:r w:rsidRPr="00CD3A2D">
              <w:rPr>
                <w:rFonts w:ascii="Calibri" w:hAnsi="Calibri"/>
                <w:color w:val="000000"/>
                <w:sz w:val="18"/>
                <w:szCs w:val="18"/>
                <w:lang w:val="hr-HR"/>
              </w:rPr>
              <w:t xml:space="preserve">         - </w:t>
            </w:r>
          </w:p>
        </w:tc>
        <w:tc>
          <w:tcPr>
            <w:tcW w:w="1024" w:type="dxa"/>
            <w:tcBorders>
              <w:top w:val="nil"/>
              <w:left w:val="nil"/>
              <w:bottom w:val="nil"/>
              <w:right w:val="nil"/>
            </w:tcBorders>
            <w:shd w:val="clear" w:color="auto" w:fill="auto"/>
            <w:noWrap/>
            <w:vAlign w:val="bottom"/>
            <w:hideMark/>
          </w:tcPr>
          <w:p w:rsidR="00CA2E8F" w:rsidRPr="00CD3A2D" w:rsidRDefault="00CA2E8F" w:rsidP="00CA2E8F">
            <w:pPr>
              <w:jc w:val="right"/>
              <w:rPr>
                <w:rFonts w:ascii="Calibri" w:hAnsi="Calibri"/>
                <w:color w:val="000000"/>
                <w:sz w:val="18"/>
                <w:szCs w:val="18"/>
                <w:lang w:val="hr-HR"/>
              </w:rPr>
            </w:pPr>
            <w:r w:rsidRPr="00CD3A2D">
              <w:rPr>
                <w:rFonts w:ascii="Calibri" w:hAnsi="Calibri"/>
                <w:color w:val="000000"/>
                <w:sz w:val="18"/>
                <w:szCs w:val="18"/>
                <w:lang w:val="hr-HR"/>
              </w:rPr>
              <w:t xml:space="preserve">  (33.837)</w:t>
            </w:r>
          </w:p>
        </w:tc>
        <w:tc>
          <w:tcPr>
            <w:tcW w:w="1025" w:type="dxa"/>
            <w:tcBorders>
              <w:top w:val="nil"/>
              <w:left w:val="nil"/>
              <w:bottom w:val="nil"/>
              <w:right w:val="nil"/>
            </w:tcBorders>
            <w:shd w:val="clear" w:color="auto" w:fill="auto"/>
            <w:noWrap/>
            <w:vAlign w:val="bottom"/>
            <w:hideMark/>
          </w:tcPr>
          <w:p w:rsidR="00CA2E8F" w:rsidRPr="00CD3A2D" w:rsidRDefault="00CA2E8F" w:rsidP="00CA2E8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(33.883)</w:t>
            </w:r>
          </w:p>
        </w:tc>
      </w:tr>
      <w:tr w:rsidR="00CA2E8F" w:rsidRPr="001567C8" w:rsidTr="00E355A4">
        <w:trPr>
          <w:trHeight w:val="503"/>
        </w:trPr>
        <w:tc>
          <w:tcPr>
            <w:tcW w:w="1992" w:type="dxa"/>
            <w:tcBorders>
              <w:top w:val="nil"/>
              <w:left w:val="nil"/>
              <w:bottom w:val="nil"/>
              <w:right w:val="nil"/>
            </w:tcBorders>
            <w:shd w:val="clear" w:color="auto" w:fill="auto"/>
            <w:noWrap/>
            <w:vAlign w:val="bottom"/>
            <w:hideMark/>
          </w:tcPr>
          <w:p w:rsidR="00CA2E8F" w:rsidRPr="00CD3A2D" w:rsidRDefault="00CA2E8F">
            <w:pPr>
              <w:rPr>
                <w:rFonts w:ascii="Calibri" w:hAnsi="Calibri"/>
                <w:b/>
                <w:bCs/>
                <w:color w:val="000000"/>
                <w:sz w:val="18"/>
                <w:szCs w:val="18"/>
                <w:lang w:val="hr-HR"/>
              </w:rPr>
            </w:pPr>
            <w:r w:rsidRPr="00CD3A2D">
              <w:rPr>
                <w:rFonts w:ascii="Calibri" w:hAnsi="Calibri"/>
                <w:b/>
                <w:bCs/>
                <w:color w:val="000000"/>
                <w:sz w:val="18"/>
                <w:szCs w:val="18"/>
                <w:lang w:val="hr-HR"/>
              </w:rPr>
              <w:t>Stanje na dan 31. prosinca 2018. godine</w:t>
            </w:r>
          </w:p>
        </w:tc>
        <w:tc>
          <w:tcPr>
            <w:tcW w:w="1024" w:type="dxa"/>
            <w:tcBorders>
              <w:top w:val="single" w:sz="4" w:space="0" w:color="auto"/>
              <w:left w:val="nil"/>
              <w:bottom w:val="single" w:sz="12" w:space="0" w:color="auto"/>
              <w:right w:val="nil"/>
            </w:tcBorders>
            <w:shd w:val="clear" w:color="auto" w:fill="auto"/>
            <w:noWrap/>
            <w:vAlign w:val="bottom"/>
            <w:hideMark/>
          </w:tcPr>
          <w:p w:rsidR="00CA2E8F" w:rsidRPr="00CD3A2D" w:rsidRDefault="00E355A4" w:rsidP="00E355A4">
            <w:pPr>
              <w:jc w:val="right"/>
              <w:rPr>
                <w:rFonts w:asciiTheme="minorHAnsi" w:hAnsiTheme="minorHAnsi" w:cstheme="minorHAnsi"/>
                <w:b/>
                <w:bCs/>
                <w:color w:val="000000"/>
                <w:sz w:val="18"/>
                <w:szCs w:val="18"/>
                <w:lang w:val="hr-HR"/>
              </w:rPr>
            </w:pPr>
            <w:r w:rsidRPr="00CD3A2D">
              <w:rPr>
                <w:rFonts w:asciiTheme="minorHAnsi" w:hAnsiTheme="minorHAnsi" w:cstheme="minorHAnsi"/>
                <w:b/>
                <w:bCs/>
                <w:color w:val="000000"/>
                <w:sz w:val="18"/>
                <w:szCs w:val="18"/>
                <w:lang w:val="hr-HR"/>
              </w:rPr>
              <w:t>11.315</w:t>
            </w:r>
          </w:p>
        </w:tc>
        <w:tc>
          <w:tcPr>
            <w:tcW w:w="1024" w:type="dxa"/>
            <w:tcBorders>
              <w:top w:val="single" w:sz="4" w:space="0" w:color="auto"/>
              <w:left w:val="nil"/>
              <w:bottom w:val="single" w:sz="12" w:space="0" w:color="auto"/>
              <w:right w:val="nil"/>
            </w:tcBorders>
            <w:shd w:val="clear" w:color="auto" w:fill="auto"/>
            <w:noWrap/>
            <w:vAlign w:val="bottom"/>
            <w:hideMark/>
          </w:tcPr>
          <w:p w:rsidR="00CA2E8F" w:rsidRPr="00CD3A2D" w:rsidRDefault="00CA2E8F" w:rsidP="00E355A4">
            <w:pPr>
              <w:jc w:val="right"/>
              <w:rPr>
                <w:rFonts w:asciiTheme="minorHAnsi" w:hAnsiTheme="minorHAnsi" w:cstheme="minorHAnsi"/>
                <w:b/>
                <w:bCs/>
                <w:color w:val="000000"/>
                <w:sz w:val="18"/>
                <w:szCs w:val="18"/>
                <w:lang w:val="hr-HR"/>
              </w:rPr>
            </w:pPr>
            <w:r w:rsidRPr="00CD3A2D">
              <w:rPr>
                <w:rFonts w:asciiTheme="minorHAnsi" w:hAnsiTheme="minorHAnsi" w:cstheme="minorHAnsi"/>
                <w:b/>
                <w:bCs/>
                <w:color w:val="000000"/>
                <w:sz w:val="18"/>
                <w:szCs w:val="18"/>
                <w:lang w:val="hr-HR"/>
              </w:rPr>
              <w:t xml:space="preserve">            </w:t>
            </w:r>
            <w:r w:rsidR="00E355A4" w:rsidRPr="00CD3A2D">
              <w:rPr>
                <w:rFonts w:asciiTheme="minorHAnsi" w:hAnsiTheme="minorHAnsi" w:cstheme="minorHAnsi"/>
                <w:b/>
                <w:bCs/>
                <w:color w:val="000000"/>
                <w:sz w:val="18"/>
                <w:szCs w:val="18"/>
                <w:lang w:val="hr-HR"/>
              </w:rPr>
              <w:t>12</w:t>
            </w:r>
            <w:r w:rsidRPr="00CD3A2D">
              <w:rPr>
                <w:rFonts w:asciiTheme="minorHAnsi" w:hAnsiTheme="minorHAnsi" w:cstheme="minorHAnsi"/>
                <w:b/>
                <w:bCs/>
                <w:color w:val="000000"/>
                <w:sz w:val="18"/>
                <w:szCs w:val="18"/>
                <w:lang w:val="hr-HR"/>
              </w:rPr>
              <w:t xml:space="preserve"> </w:t>
            </w:r>
          </w:p>
        </w:tc>
        <w:tc>
          <w:tcPr>
            <w:tcW w:w="1024" w:type="dxa"/>
            <w:tcBorders>
              <w:top w:val="single" w:sz="4" w:space="0" w:color="auto"/>
              <w:left w:val="nil"/>
              <w:bottom w:val="single" w:sz="12" w:space="0" w:color="auto"/>
              <w:right w:val="nil"/>
            </w:tcBorders>
            <w:shd w:val="clear" w:color="auto" w:fill="auto"/>
            <w:noWrap/>
            <w:vAlign w:val="bottom"/>
            <w:hideMark/>
          </w:tcPr>
          <w:p w:rsidR="00CA2E8F" w:rsidRPr="00CD3A2D" w:rsidRDefault="00CA2E8F" w:rsidP="00E355A4">
            <w:pPr>
              <w:jc w:val="right"/>
              <w:rPr>
                <w:rFonts w:asciiTheme="minorHAnsi" w:hAnsiTheme="minorHAnsi" w:cstheme="minorHAnsi"/>
                <w:b/>
                <w:bCs/>
                <w:color w:val="000000"/>
                <w:sz w:val="18"/>
                <w:szCs w:val="18"/>
                <w:lang w:val="hr-HR"/>
              </w:rPr>
            </w:pPr>
            <w:r w:rsidRPr="00CD3A2D">
              <w:rPr>
                <w:rFonts w:asciiTheme="minorHAnsi" w:hAnsiTheme="minorHAnsi" w:cstheme="minorHAnsi"/>
                <w:b/>
                <w:bCs/>
                <w:color w:val="000000"/>
                <w:sz w:val="18"/>
                <w:szCs w:val="18"/>
                <w:lang w:val="hr-HR"/>
              </w:rPr>
              <w:t xml:space="preserve">                </w:t>
            </w:r>
            <w:r w:rsidR="00E355A4" w:rsidRPr="00CD3A2D">
              <w:rPr>
                <w:rFonts w:asciiTheme="minorHAnsi" w:hAnsiTheme="minorHAnsi" w:cstheme="minorHAnsi"/>
                <w:b/>
                <w:bCs/>
                <w:color w:val="000000"/>
                <w:sz w:val="18"/>
                <w:szCs w:val="18"/>
                <w:lang w:val="hr-HR"/>
              </w:rPr>
              <w:t xml:space="preserve"> 1.395 </w:t>
            </w:r>
            <w:r w:rsidRPr="00CD3A2D">
              <w:rPr>
                <w:rFonts w:asciiTheme="minorHAnsi" w:hAnsiTheme="minorHAnsi" w:cstheme="minorHAnsi"/>
                <w:b/>
                <w:bCs/>
                <w:color w:val="000000"/>
                <w:sz w:val="18"/>
                <w:szCs w:val="18"/>
                <w:lang w:val="hr-HR"/>
              </w:rPr>
              <w:t xml:space="preserve"> </w:t>
            </w:r>
          </w:p>
        </w:tc>
        <w:tc>
          <w:tcPr>
            <w:tcW w:w="1024" w:type="dxa"/>
            <w:tcBorders>
              <w:top w:val="single" w:sz="4" w:space="0" w:color="auto"/>
              <w:left w:val="nil"/>
              <w:bottom w:val="single" w:sz="12" w:space="0" w:color="auto"/>
              <w:right w:val="nil"/>
            </w:tcBorders>
            <w:shd w:val="clear" w:color="auto" w:fill="auto"/>
            <w:noWrap/>
            <w:vAlign w:val="bottom"/>
            <w:hideMark/>
          </w:tcPr>
          <w:p w:rsidR="00CA2E8F" w:rsidRPr="00CD3A2D" w:rsidRDefault="00CA2E8F" w:rsidP="00E355A4">
            <w:pPr>
              <w:jc w:val="right"/>
              <w:rPr>
                <w:rFonts w:asciiTheme="minorHAnsi" w:hAnsiTheme="minorHAnsi" w:cstheme="minorHAnsi"/>
                <w:b/>
                <w:bCs/>
                <w:color w:val="000000"/>
                <w:sz w:val="18"/>
                <w:szCs w:val="18"/>
                <w:lang w:val="hr-HR"/>
              </w:rPr>
            </w:pPr>
            <w:r w:rsidRPr="00CD3A2D">
              <w:rPr>
                <w:rFonts w:asciiTheme="minorHAnsi" w:hAnsiTheme="minorHAnsi" w:cstheme="minorHAnsi"/>
                <w:b/>
                <w:bCs/>
                <w:color w:val="000000"/>
                <w:sz w:val="18"/>
                <w:szCs w:val="18"/>
                <w:lang w:val="hr-HR"/>
              </w:rPr>
              <w:t xml:space="preserve">             </w:t>
            </w:r>
            <w:r w:rsidR="00E355A4" w:rsidRPr="00CD3A2D">
              <w:rPr>
                <w:rFonts w:asciiTheme="minorHAnsi" w:hAnsiTheme="minorHAnsi" w:cstheme="minorHAnsi"/>
                <w:b/>
                <w:bCs/>
                <w:color w:val="000000"/>
                <w:sz w:val="18"/>
                <w:szCs w:val="18"/>
                <w:lang w:val="hr-HR"/>
              </w:rPr>
              <w:t xml:space="preserve"> 12.722 </w:t>
            </w:r>
            <w:r w:rsidRPr="00CD3A2D">
              <w:rPr>
                <w:rFonts w:asciiTheme="minorHAnsi" w:hAnsiTheme="minorHAnsi" w:cstheme="minorHAnsi"/>
                <w:b/>
                <w:bCs/>
                <w:color w:val="000000"/>
                <w:sz w:val="18"/>
                <w:szCs w:val="18"/>
                <w:lang w:val="hr-HR"/>
              </w:rPr>
              <w:t xml:space="preserve"> </w:t>
            </w:r>
          </w:p>
        </w:tc>
        <w:tc>
          <w:tcPr>
            <w:tcW w:w="1024" w:type="dxa"/>
            <w:tcBorders>
              <w:top w:val="single" w:sz="4" w:space="0" w:color="auto"/>
              <w:left w:val="nil"/>
              <w:bottom w:val="single" w:sz="12" w:space="0" w:color="auto"/>
              <w:right w:val="nil"/>
            </w:tcBorders>
            <w:shd w:val="clear" w:color="auto" w:fill="auto"/>
            <w:noWrap/>
            <w:vAlign w:val="bottom"/>
            <w:hideMark/>
          </w:tcPr>
          <w:p w:rsidR="00CA2E8F" w:rsidRPr="00CD3A2D" w:rsidRDefault="00CA2E8F" w:rsidP="00CA2E8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2.775 </w:t>
            </w:r>
          </w:p>
        </w:tc>
        <w:tc>
          <w:tcPr>
            <w:tcW w:w="1024" w:type="dxa"/>
            <w:tcBorders>
              <w:top w:val="single" w:sz="4" w:space="0" w:color="auto"/>
              <w:left w:val="nil"/>
              <w:bottom w:val="single" w:sz="12" w:space="0" w:color="auto"/>
              <w:right w:val="nil"/>
            </w:tcBorders>
            <w:shd w:val="clear" w:color="auto" w:fill="auto"/>
            <w:noWrap/>
            <w:vAlign w:val="bottom"/>
            <w:hideMark/>
          </w:tcPr>
          <w:p w:rsidR="00CA2E8F" w:rsidRPr="00CD3A2D" w:rsidRDefault="00CA2E8F" w:rsidP="00CA2E8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12 </w:t>
            </w:r>
          </w:p>
        </w:tc>
        <w:tc>
          <w:tcPr>
            <w:tcW w:w="1024" w:type="dxa"/>
            <w:tcBorders>
              <w:top w:val="single" w:sz="4" w:space="0" w:color="auto"/>
              <w:left w:val="nil"/>
              <w:bottom w:val="single" w:sz="12" w:space="0" w:color="auto"/>
              <w:right w:val="nil"/>
            </w:tcBorders>
            <w:shd w:val="clear" w:color="auto" w:fill="auto"/>
            <w:noWrap/>
            <w:vAlign w:val="bottom"/>
            <w:hideMark/>
          </w:tcPr>
          <w:p w:rsidR="00CA2E8F" w:rsidRPr="00CD3A2D" w:rsidRDefault="00CA2E8F" w:rsidP="00CA2E8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1.39</w:t>
            </w:r>
            <w:r w:rsidR="00E355A4" w:rsidRPr="00CD3A2D">
              <w:rPr>
                <w:rFonts w:ascii="Calibri" w:hAnsi="Calibri"/>
                <w:b/>
                <w:bCs/>
                <w:color w:val="000000"/>
                <w:sz w:val="18"/>
                <w:szCs w:val="18"/>
                <w:lang w:val="hr-HR"/>
              </w:rPr>
              <w:t>5</w:t>
            </w:r>
            <w:r w:rsidRPr="00CD3A2D">
              <w:rPr>
                <w:rFonts w:ascii="Calibri" w:hAnsi="Calibri"/>
                <w:b/>
                <w:bCs/>
                <w:color w:val="000000"/>
                <w:sz w:val="18"/>
                <w:szCs w:val="18"/>
                <w:lang w:val="hr-HR"/>
              </w:rPr>
              <w:t xml:space="preserve"> </w:t>
            </w:r>
          </w:p>
        </w:tc>
        <w:tc>
          <w:tcPr>
            <w:tcW w:w="1025" w:type="dxa"/>
            <w:tcBorders>
              <w:top w:val="single" w:sz="4" w:space="0" w:color="auto"/>
              <w:left w:val="nil"/>
              <w:bottom w:val="single" w:sz="12" w:space="0" w:color="auto"/>
              <w:right w:val="nil"/>
            </w:tcBorders>
            <w:shd w:val="clear" w:color="auto" w:fill="auto"/>
            <w:noWrap/>
            <w:vAlign w:val="bottom"/>
            <w:hideMark/>
          </w:tcPr>
          <w:p w:rsidR="00CA2E8F" w:rsidRPr="00CD3A2D" w:rsidRDefault="00CA2E8F" w:rsidP="00CA2E8F">
            <w:pPr>
              <w:jc w:val="right"/>
              <w:rPr>
                <w:rFonts w:ascii="Calibri" w:hAnsi="Calibri"/>
                <w:b/>
                <w:bCs/>
                <w:color w:val="000000"/>
                <w:sz w:val="18"/>
                <w:szCs w:val="18"/>
                <w:lang w:val="hr-HR"/>
              </w:rPr>
            </w:pPr>
            <w:r w:rsidRPr="00CD3A2D">
              <w:rPr>
                <w:rFonts w:ascii="Calibri" w:hAnsi="Calibri"/>
                <w:b/>
                <w:bCs/>
                <w:color w:val="000000"/>
                <w:sz w:val="18"/>
                <w:szCs w:val="18"/>
                <w:lang w:val="hr-HR"/>
              </w:rPr>
              <w:t xml:space="preserve">     4.18</w:t>
            </w:r>
            <w:r w:rsidR="00E355A4" w:rsidRPr="00CD3A2D">
              <w:rPr>
                <w:rFonts w:ascii="Calibri" w:hAnsi="Calibri"/>
                <w:b/>
                <w:bCs/>
                <w:color w:val="000000"/>
                <w:sz w:val="18"/>
                <w:szCs w:val="18"/>
                <w:lang w:val="hr-HR"/>
              </w:rPr>
              <w:t>2</w:t>
            </w:r>
            <w:r w:rsidRPr="00CD3A2D">
              <w:rPr>
                <w:rFonts w:ascii="Calibri" w:hAnsi="Calibri"/>
                <w:b/>
                <w:bCs/>
                <w:color w:val="000000"/>
                <w:sz w:val="18"/>
                <w:szCs w:val="18"/>
                <w:lang w:val="hr-HR"/>
              </w:rPr>
              <w:t xml:space="preserve"> </w:t>
            </w:r>
          </w:p>
        </w:tc>
      </w:tr>
    </w:tbl>
    <w:p w:rsidR="00CA2E8F" w:rsidRPr="001567C8" w:rsidRDefault="00CA2E8F" w:rsidP="008E5CC6">
      <w:pPr>
        <w:pStyle w:val="T1"/>
        <w:spacing w:before="0" w:after="0" w:line="240" w:lineRule="auto"/>
        <w:rPr>
          <w:rFonts w:asciiTheme="minorHAnsi" w:hAnsiTheme="minorHAnsi" w:cs="Arial"/>
          <w:b w:val="0"/>
          <w:bCs w:val="0"/>
          <w:sz w:val="22"/>
          <w:szCs w:val="22"/>
          <w:lang w:val="hr-HR"/>
        </w:rPr>
      </w:pPr>
    </w:p>
    <w:p w:rsidR="00CA2E8F" w:rsidRPr="001567C8" w:rsidRDefault="00CA2E8F" w:rsidP="008E5CC6">
      <w:pPr>
        <w:pStyle w:val="T1"/>
        <w:spacing w:before="0" w:after="0" w:line="240" w:lineRule="auto"/>
        <w:rPr>
          <w:rFonts w:asciiTheme="minorHAnsi" w:hAnsiTheme="minorHAnsi" w:cs="Arial"/>
          <w:b w:val="0"/>
          <w:bCs w:val="0"/>
          <w:sz w:val="22"/>
          <w:szCs w:val="22"/>
          <w:lang w:val="hr-HR"/>
        </w:rPr>
      </w:pPr>
    </w:p>
    <w:p w:rsidR="00CA2E8F" w:rsidRPr="001567C8" w:rsidRDefault="00CA2E8F" w:rsidP="00CA2E8F">
      <w:pPr>
        <w:pStyle w:val="T1"/>
        <w:spacing w:before="0" w:after="0" w:line="240" w:lineRule="auto"/>
        <w:rPr>
          <w:rFonts w:asciiTheme="minorHAnsi" w:hAnsiTheme="minorHAnsi" w:cs="Arial"/>
          <w:b w:val="0"/>
          <w:bCs w:val="0"/>
          <w:sz w:val="22"/>
          <w:szCs w:val="22"/>
          <w:lang w:val="hr-HR"/>
        </w:rPr>
        <w:sectPr w:rsidR="00CA2E8F" w:rsidRPr="001567C8" w:rsidSect="003E2D7A">
          <w:pgSz w:w="11907" w:h="16840" w:code="9"/>
          <w:pgMar w:top="1418" w:right="1134" w:bottom="1134" w:left="1418" w:header="851" w:footer="851" w:gutter="0"/>
          <w:cols w:space="720"/>
          <w:noEndnote/>
        </w:sectPr>
      </w:pPr>
    </w:p>
    <w:p w:rsidR="00CA2E8F" w:rsidRPr="001567C8" w:rsidRDefault="00CA2E8F" w:rsidP="008E5CC6">
      <w:pPr>
        <w:pStyle w:val="T1"/>
        <w:spacing w:before="0" w:after="0" w:line="240" w:lineRule="auto"/>
        <w:rPr>
          <w:rFonts w:asciiTheme="minorHAnsi" w:hAnsiTheme="minorHAnsi" w:cs="Arial"/>
          <w:b w:val="0"/>
          <w:bCs w:val="0"/>
          <w:sz w:val="22"/>
          <w:szCs w:val="22"/>
          <w:lang w:val="hr-HR"/>
        </w:rPr>
      </w:pPr>
    </w:p>
    <w:p w:rsidR="00CA2E8F" w:rsidRPr="001567C8" w:rsidRDefault="00CA2E8F" w:rsidP="00CA2E8F">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w:t>
      </w:r>
      <w:r w:rsidR="00C9220F"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Ostala imovina (nastavak)</w:t>
      </w:r>
    </w:p>
    <w:p w:rsidR="00CA2E8F" w:rsidRPr="001567C8" w:rsidRDefault="00CA2E8F" w:rsidP="008E5CC6">
      <w:pPr>
        <w:pStyle w:val="T1"/>
        <w:spacing w:before="0" w:after="0" w:line="240" w:lineRule="auto"/>
        <w:rPr>
          <w:rFonts w:asciiTheme="minorHAnsi" w:hAnsiTheme="minorHAnsi" w:cs="Arial"/>
          <w:b w:val="0"/>
          <w:bCs w:val="0"/>
          <w:sz w:val="22"/>
          <w:szCs w:val="22"/>
          <w:lang w:val="hr-HR"/>
        </w:rPr>
      </w:pPr>
    </w:p>
    <w:p w:rsidR="00CA2E8F" w:rsidRPr="001567C8" w:rsidRDefault="00CA2E8F" w:rsidP="008E5CC6">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U nastavku se daje pregled pozicija koje su</w:t>
      </w:r>
      <w:r w:rsidR="00127DE7" w:rsidRPr="001567C8">
        <w:rPr>
          <w:rFonts w:asciiTheme="minorHAnsi" w:hAnsiTheme="minorHAnsi" w:cs="Arial"/>
          <w:b w:val="0"/>
          <w:bCs w:val="0"/>
          <w:sz w:val="22"/>
          <w:szCs w:val="22"/>
          <w:lang w:val="hr-HR"/>
        </w:rPr>
        <w:t xml:space="preserve"> izložene </w:t>
      </w:r>
      <w:r w:rsidRPr="001567C8">
        <w:rPr>
          <w:rFonts w:asciiTheme="minorHAnsi" w:hAnsiTheme="minorHAnsi" w:cs="Arial"/>
          <w:b w:val="0"/>
          <w:bCs w:val="0"/>
          <w:sz w:val="22"/>
          <w:szCs w:val="22"/>
          <w:lang w:val="hr-HR"/>
        </w:rPr>
        <w:t>kreditn</w:t>
      </w:r>
      <w:r w:rsidR="00127DE7" w:rsidRPr="001567C8">
        <w:rPr>
          <w:rFonts w:asciiTheme="minorHAnsi" w:hAnsiTheme="minorHAnsi" w:cs="Arial"/>
          <w:b w:val="0"/>
          <w:bCs w:val="0"/>
          <w:sz w:val="22"/>
          <w:szCs w:val="22"/>
          <w:lang w:val="hr-HR"/>
        </w:rPr>
        <w:t>om</w:t>
      </w:r>
      <w:r w:rsidRPr="001567C8">
        <w:rPr>
          <w:rFonts w:asciiTheme="minorHAnsi" w:hAnsiTheme="minorHAnsi" w:cs="Arial"/>
          <w:b w:val="0"/>
          <w:bCs w:val="0"/>
          <w:sz w:val="22"/>
          <w:szCs w:val="22"/>
          <w:lang w:val="hr-HR"/>
        </w:rPr>
        <w:t xml:space="preserve"> rizik</w:t>
      </w:r>
      <w:r w:rsidR="00127DE7" w:rsidRPr="001567C8">
        <w:rPr>
          <w:rFonts w:asciiTheme="minorHAnsi" w:hAnsiTheme="minorHAnsi" w:cs="Arial"/>
          <w:b w:val="0"/>
          <w:bCs w:val="0"/>
          <w:sz w:val="22"/>
          <w:szCs w:val="22"/>
          <w:lang w:val="hr-HR"/>
        </w:rPr>
        <w:t>u</w:t>
      </w:r>
      <w:r w:rsidRPr="001567C8">
        <w:rPr>
          <w:rFonts w:asciiTheme="minorHAnsi" w:hAnsiTheme="minorHAnsi" w:cs="Arial"/>
          <w:b w:val="0"/>
          <w:bCs w:val="0"/>
          <w:sz w:val="22"/>
          <w:szCs w:val="22"/>
          <w:lang w:val="hr-HR"/>
        </w:rPr>
        <w:t>:</w:t>
      </w:r>
    </w:p>
    <w:p w:rsidR="00CA2E8F" w:rsidRPr="001567C8" w:rsidRDefault="00CA2E8F" w:rsidP="008E5CC6">
      <w:pPr>
        <w:pStyle w:val="T1"/>
        <w:spacing w:before="0" w:after="0" w:line="240" w:lineRule="auto"/>
        <w:rPr>
          <w:rFonts w:asciiTheme="minorHAnsi" w:hAnsiTheme="minorHAnsi" w:cs="Arial"/>
          <w:b w:val="0"/>
          <w:bCs w:val="0"/>
          <w:sz w:val="22"/>
          <w:szCs w:val="22"/>
          <w:lang w:val="hr-HR"/>
        </w:rPr>
      </w:pPr>
    </w:p>
    <w:tbl>
      <w:tblPr>
        <w:tblW w:w="9659" w:type="dxa"/>
        <w:tblInd w:w="-142" w:type="dxa"/>
        <w:tblLook w:val="04A0" w:firstRow="1" w:lastRow="0" w:firstColumn="1" w:lastColumn="0" w:noHBand="0" w:noVBand="1"/>
      </w:tblPr>
      <w:tblGrid>
        <w:gridCol w:w="4111"/>
        <w:gridCol w:w="1387"/>
        <w:gridCol w:w="1387"/>
        <w:gridCol w:w="1387"/>
        <w:gridCol w:w="1387"/>
      </w:tblGrid>
      <w:tr w:rsidR="00CA2E8F" w:rsidRPr="001567C8" w:rsidTr="003C6BA3">
        <w:trPr>
          <w:trHeight w:val="309"/>
        </w:trPr>
        <w:tc>
          <w:tcPr>
            <w:tcW w:w="4111" w:type="dxa"/>
            <w:tcBorders>
              <w:top w:val="nil"/>
              <w:left w:val="nil"/>
              <w:bottom w:val="nil"/>
              <w:right w:val="nil"/>
            </w:tcBorders>
            <w:shd w:val="clear" w:color="auto" w:fill="auto"/>
            <w:vAlign w:val="center"/>
            <w:hideMark/>
          </w:tcPr>
          <w:p w:rsidR="00CA2E8F" w:rsidRPr="00CD3A2D" w:rsidRDefault="00CA2E8F">
            <w:pPr>
              <w:rPr>
                <w:sz w:val="21"/>
                <w:szCs w:val="21"/>
                <w:lang w:val="hr-HR"/>
              </w:rPr>
            </w:pPr>
          </w:p>
        </w:tc>
        <w:tc>
          <w:tcPr>
            <w:tcW w:w="2774" w:type="dxa"/>
            <w:gridSpan w:val="2"/>
            <w:tcBorders>
              <w:top w:val="nil"/>
              <w:left w:val="nil"/>
              <w:bottom w:val="nil"/>
              <w:right w:val="nil"/>
            </w:tcBorders>
            <w:shd w:val="clear" w:color="auto" w:fill="auto"/>
            <w:vAlign w:val="center"/>
            <w:hideMark/>
          </w:tcPr>
          <w:p w:rsidR="00CA2E8F" w:rsidRPr="00CD3A2D" w:rsidRDefault="00CA2E8F">
            <w:pPr>
              <w:jc w:val="right"/>
              <w:rPr>
                <w:rFonts w:ascii="Calibri" w:hAnsi="Calibri"/>
                <w:b/>
                <w:bCs/>
                <w:color w:val="000000"/>
                <w:sz w:val="21"/>
                <w:szCs w:val="21"/>
                <w:lang w:val="hr-HR"/>
              </w:rPr>
            </w:pPr>
            <w:r w:rsidRPr="00CD3A2D">
              <w:rPr>
                <w:rFonts w:ascii="Calibri" w:hAnsi="Calibri"/>
                <w:b/>
                <w:bCs/>
                <w:color w:val="000000"/>
                <w:sz w:val="21"/>
                <w:szCs w:val="21"/>
                <w:lang w:val="hr-HR"/>
              </w:rPr>
              <w:t>Grupa</w:t>
            </w:r>
          </w:p>
        </w:tc>
        <w:tc>
          <w:tcPr>
            <w:tcW w:w="2774" w:type="dxa"/>
            <w:gridSpan w:val="2"/>
            <w:tcBorders>
              <w:top w:val="nil"/>
              <w:left w:val="nil"/>
              <w:bottom w:val="nil"/>
              <w:right w:val="nil"/>
            </w:tcBorders>
            <w:shd w:val="clear" w:color="auto" w:fill="auto"/>
            <w:vAlign w:val="center"/>
            <w:hideMark/>
          </w:tcPr>
          <w:p w:rsidR="00CA2E8F" w:rsidRPr="00CD3A2D" w:rsidRDefault="00CA2E8F">
            <w:pPr>
              <w:jc w:val="right"/>
              <w:rPr>
                <w:rFonts w:ascii="Calibri" w:hAnsi="Calibri"/>
                <w:b/>
                <w:bCs/>
                <w:color w:val="000000"/>
                <w:sz w:val="21"/>
                <w:szCs w:val="21"/>
                <w:lang w:val="hr-HR"/>
              </w:rPr>
            </w:pPr>
            <w:r w:rsidRPr="00CD3A2D">
              <w:rPr>
                <w:rFonts w:ascii="Calibri" w:hAnsi="Calibri"/>
                <w:b/>
                <w:bCs/>
                <w:color w:val="000000"/>
                <w:sz w:val="21"/>
                <w:szCs w:val="21"/>
                <w:lang w:val="hr-HR"/>
              </w:rPr>
              <w:t>Banka</w:t>
            </w:r>
          </w:p>
        </w:tc>
      </w:tr>
      <w:tr w:rsidR="00CA2E8F" w:rsidRPr="001567C8" w:rsidTr="003C6BA3">
        <w:trPr>
          <w:trHeight w:val="309"/>
        </w:trPr>
        <w:tc>
          <w:tcPr>
            <w:tcW w:w="4111" w:type="dxa"/>
            <w:tcBorders>
              <w:top w:val="nil"/>
              <w:left w:val="nil"/>
              <w:bottom w:val="nil"/>
              <w:right w:val="nil"/>
            </w:tcBorders>
            <w:shd w:val="clear" w:color="auto" w:fill="auto"/>
            <w:vAlign w:val="center"/>
            <w:hideMark/>
          </w:tcPr>
          <w:p w:rsidR="00CA2E8F" w:rsidRPr="00CD3A2D" w:rsidRDefault="00CA2E8F">
            <w:pPr>
              <w:jc w:val="right"/>
              <w:rPr>
                <w:rFonts w:ascii="Calibri" w:hAnsi="Calibri"/>
                <w:b/>
                <w:bCs/>
                <w:color w:val="000000"/>
                <w:sz w:val="21"/>
                <w:szCs w:val="21"/>
                <w:lang w:val="hr-HR"/>
              </w:rPr>
            </w:pPr>
          </w:p>
        </w:tc>
        <w:tc>
          <w:tcPr>
            <w:tcW w:w="1387" w:type="dxa"/>
            <w:tcBorders>
              <w:top w:val="nil"/>
              <w:left w:val="nil"/>
              <w:bottom w:val="nil"/>
              <w:right w:val="nil"/>
            </w:tcBorders>
            <w:shd w:val="clear" w:color="auto" w:fill="auto"/>
            <w:vAlign w:val="center"/>
            <w:hideMark/>
          </w:tcPr>
          <w:p w:rsidR="00CA2E8F" w:rsidRPr="002F1F55" w:rsidRDefault="002F1F55">
            <w:pPr>
              <w:jc w:val="right"/>
              <w:rPr>
                <w:rFonts w:ascii="Calibri" w:hAnsi="Calibri"/>
                <w:b/>
                <w:bCs/>
                <w:color w:val="000000"/>
                <w:sz w:val="21"/>
                <w:szCs w:val="21"/>
                <w:lang w:val="hr-HR"/>
              </w:rPr>
            </w:pPr>
            <w:r w:rsidRPr="002F1F55">
              <w:rPr>
                <w:rFonts w:asciiTheme="minorHAnsi" w:hAnsiTheme="minorHAnsi" w:cs="Arial"/>
                <w:b/>
                <w:sz w:val="21"/>
                <w:szCs w:val="21"/>
                <w:lang w:val="hr-HR"/>
              </w:rPr>
              <w:t xml:space="preserve">31. prosinca </w:t>
            </w:r>
            <w:r w:rsidR="00CA2E8F" w:rsidRPr="002F1F55">
              <w:rPr>
                <w:rFonts w:ascii="Calibri" w:hAnsi="Calibri"/>
                <w:b/>
                <w:bCs/>
                <w:color w:val="000000"/>
                <w:sz w:val="21"/>
                <w:szCs w:val="21"/>
                <w:lang w:val="hr-HR"/>
              </w:rPr>
              <w:t>2018.</w:t>
            </w:r>
          </w:p>
        </w:tc>
        <w:tc>
          <w:tcPr>
            <w:tcW w:w="1387" w:type="dxa"/>
            <w:tcBorders>
              <w:top w:val="nil"/>
              <w:left w:val="nil"/>
              <w:bottom w:val="nil"/>
              <w:right w:val="nil"/>
            </w:tcBorders>
            <w:shd w:val="clear" w:color="auto" w:fill="auto"/>
            <w:vAlign w:val="center"/>
            <w:hideMark/>
          </w:tcPr>
          <w:p w:rsidR="00CA2E8F" w:rsidRPr="002F1F55" w:rsidRDefault="002F1F55">
            <w:pPr>
              <w:jc w:val="right"/>
              <w:rPr>
                <w:rFonts w:ascii="Calibri" w:hAnsi="Calibri"/>
                <w:b/>
                <w:bCs/>
                <w:color w:val="000000"/>
                <w:sz w:val="21"/>
                <w:szCs w:val="21"/>
                <w:lang w:val="hr-HR"/>
              </w:rPr>
            </w:pPr>
            <w:r w:rsidRPr="002F1F55">
              <w:rPr>
                <w:rFonts w:asciiTheme="minorHAnsi" w:hAnsiTheme="minorHAnsi" w:cs="Arial"/>
                <w:b/>
                <w:sz w:val="21"/>
                <w:szCs w:val="21"/>
                <w:lang w:val="hr-HR"/>
              </w:rPr>
              <w:t xml:space="preserve">31. prosinca </w:t>
            </w:r>
            <w:r w:rsidR="00CA2E8F" w:rsidRPr="002F1F55">
              <w:rPr>
                <w:rFonts w:ascii="Calibri" w:hAnsi="Calibri"/>
                <w:b/>
                <w:bCs/>
                <w:color w:val="000000"/>
                <w:sz w:val="21"/>
                <w:szCs w:val="21"/>
                <w:lang w:val="hr-HR"/>
              </w:rPr>
              <w:t>2017.</w:t>
            </w:r>
          </w:p>
        </w:tc>
        <w:tc>
          <w:tcPr>
            <w:tcW w:w="1387" w:type="dxa"/>
            <w:tcBorders>
              <w:top w:val="nil"/>
              <w:left w:val="nil"/>
              <w:bottom w:val="nil"/>
              <w:right w:val="nil"/>
            </w:tcBorders>
            <w:shd w:val="clear" w:color="auto" w:fill="auto"/>
            <w:vAlign w:val="center"/>
            <w:hideMark/>
          </w:tcPr>
          <w:p w:rsidR="00CA2E8F" w:rsidRPr="002F1F55" w:rsidRDefault="002F1F55">
            <w:pPr>
              <w:jc w:val="right"/>
              <w:rPr>
                <w:rFonts w:ascii="Calibri" w:hAnsi="Calibri"/>
                <w:b/>
                <w:bCs/>
                <w:color w:val="000000"/>
                <w:sz w:val="21"/>
                <w:szCs w:val="21"/>
                <w:lang w:val="hr-HR"/>
              </w:rPr>
            </w:pPr>
            <w:r w:rsidRPr="002F1F55">
              <w:rPr>
                <w:rFonts w:asciiTheme="minorHAnsi" w:hAnsiTheme="minorHAnsi" w:cs="Arial"/>
                <w:b/>
                <w:sz w:val="21"/>
                <w:szCs w:val="21"/>
                <w:lang w:val="hr-HR"/>
              </w:rPr>
              <w:t xml:space="preserve">31. prosinca </w:t>
            </w:r>
            <w:r w:rsidR="00CA2E8F" w:rsidRPr="002F1F55">
              <w:rPr>
                <w:rFonts w:ascii="Calibri" w:hAnsi="Calibri"/>
                <w:b/>
                <w:bCs/>
                <w:color w:val="000000"/>
                <w:sz w:val="21"/>
                <w:szCs w:val="21"/>
                <w:lang w:val="hr-HR"/>
              </w:rPr>
              <w:t>2018.</w:t>
            </w:r>
          </w:p>
        </w:tc>
        <w:tc>
          <w:tcPr>
            <w:tcW w:w="1387" w:type="dxa"/>
            <w:tcBorders>
              <w:top w:val="nil"/>
              <w:left w:val="nil"/>
              <w:bottom w:val="nil"/>
              <w:right w:val="nil"/>
            </w:tcBorders>
            <w:shd w:val="clear" w:color="auto" w:fill="auto"/>
            <w:vAlign w:val="center"/>
            <w:hideMark/>
          </w:tcPr>
          <w:p w:rsidR="00CA2E8F" w:rsidRPr="002F1F55" w:rsidRDefault="002F1F55">
            <w:pPr>
              <w:jc w:val="right"/>
              <w:rPr>
                <w:rFonts w:ascii="Calibri" w:hAnsi="Calibri"/>
                <w:b/>
                <w:bCs/>
                <w:color w:val="000000"/>
                <w:sz w:val="21"/>
                <w:szCs w:val="21"/>
                <w:lang w:val="hr-HR"/>
              </w:rPr>
            </w:pPr>
            <w:r w:rsidRPr="002F1F55">
              <w:rPr>
                <w:rFonts w:asciiTheme="minorHAnsi" w:hAnsiTheme="minorHAnsi" w:cs="Arial"/>
                <w:b/>
                <w:sz w:val="21"/>
                <w:szCs w:val="21"/>
                <w:lang w:val="hr-HR"/>
              </w:rPr>
              <w:t xml:space="preserve">31. prosinca </w:t>
            </w:r>
            <w:r w:rsidR="00CA2E8F" w:rsidRPr="002F1F55">
              <w:rPr>
                <w:rFonts w:ascii="Calibri" w:hAnsi="Calibri"/>
                <w:b/>
                <w:bCs/>
                <w:color w:val="000000"/>
                <w:sz w:val="21"/>
                <w:szCs w:val="21"/>
                <w:lang w:val="hr-HR"/>
              </w:rPr>
              <w:t>2017.</w:t>
            </w:r>
          </w:p>
        </w:tc>
      </w:tr>
      <w:tr w:rsidR="00CA2E8F" w:rsidRPr="001567C8" w:rsidTr="003C6BA3">
        <w:trPr>
          <w:trHeight w:val="309"/>
        </w:trPr>
        <w:tc>
          <w:tcPr>
            <w:tcW w:w="4111" w:type="dxa"/>
            <w:tcBorders>
              <w:top w:val="nil"/>
              <w:left w:val="nil"/>
              <w:bottom w:val="nil"/>
              <w:right w:val="nil"/>
            </w:tcBorders>
            <w:shd w:val="clear" w:color="auto" w:fill="auto"/>
            <w:vAlign w:val="center"/>
            <w:hideMark/>
          </w:tcPr>
          <w:p w:rsidR="00CA2E8F" w:rsidRPr="00CD3A2D" w:rsidRDefault="00CA2E8F">
            <w:pPr>
              <w:jc w:val="right"/>
              <w:rPr>
                <w:rFonts w:ascii="Calibri" w:hAnsi="Calibri"/>
                <w:b/>
                <w:bCs/>
                <w:color w:val="000000"/>
                <w:sz w:val="21"/>
                <w:szCs w:val="21"/>
                <w:lang w:val="hr-HR"/>
              </w:rPr>
            </w:pPr>
          </w:p>
        </w:tc>
        <w:tc>
          <w:tcPr>
            <w:tcW w:w="1387" w:type="dxa"/>
            <w:tcBorders>
              <w:top w:val="nil"/>
              <w:left w:val="nil"/>
              <w:bottom w:val="nil"/>
              <w:right w:val="nil"/>
            </w:tcBorders>
            <w:shd w:val="clear" w:color="auto" w:fill="auto"/>
            <w:vAlign w:val="center"/>
            <w:hideMark/>
          </w:tcPr>
          <w:p w:rsidR="00CA2E8F" w:rsidRPr="00CD3A2D" w:rsidRDefault="00CA2E8F">
            <w:pPr>
              <w:jc w:val="right"/>
              <w:rPr>
                <w:rFonts w:ascii="Calibri" w:hAnsi="Calibri"/>
                <w:b/>
                <w:bCs/>
                <w:color w:val="000000"/>
                <w:sz w:val="21"/>
                <w:szCs w:val="21"/>
                <w:lang w:val="hr-HR"/>
              </w:rPr>
            </w:pPr>
            <w:r w:rsidRPr="00CD3A2D">
              <w:rPr>
                <w:rFonts w:ascii="Calibri" w:hAnsi="Calibri"/>
                <w:b/>
                <w:bCs/>
                <w:color w:val="000000"/>
                <w:sz w:val="21"/>
                <w:szCs w:val="21"/>
                <w:lang w:val="hr-HR"/>
              </w:rPr>
              <w:t>000 kuna</w:t>
            </w:r>
          </w:p>
        </w:tc>
        <w:tc>
          <w:tcPr>
            <w:tcW w:w="1387" w:type="dxa"/>
            <w:tcBorders>
              <w:top w:val="nil"/>
              <w:left w:val="nil"/>
              <w:bottom w:val="nil"/>
              <w:right w:val="nil"/>
            </w:tcBorders>
            <w:shd w:val="clear" w:color="auto" w:fill="auto"/>
            <w:vAlign w:val="center"/>
            <w:hideMark/>
          </w:tcPr>
          <w:p w:rsidR="00CA2E8F" w:rsidRPr="00CD3A2D" w:rsidRDefault="00CA2E8F">
            <w:pPr>
              <w:jc w:val="right"/>
              <w:rPr>
                <w:rFonts w:ascii="Calibri" w:hAnsi="Calibri"/>
                <w:b/>
                <w:bCs/>
                <w:color w:val="000000"/>
                <w:sz w:val="21"/>
                <w:szCs w:val="21"/>
                <w:lang w:val="hr-HR"/>
              </w:rPr>
            </w:pPr>
            <w:r w:rsidRPr="00CD3A2D">
              <w:rPr>
                <w:rFonts w:ascii="Calibri" w:hAnsi="Calibri"/>
                <w:b/>
                <w:bCs/>
                <w:color w:val="000000"/>
                <w:sz w:val="21"/>
                <w:szCs w:val="21"/>
                <w:lang w:val="hr-HR"/>
              </w:rPr>
              <w:t>000 kuna</w:t>
            </w:r>
          </w:p>
        </w:tc>
        <w:tc>
          <w:tcPr>
            <w:tcW w:w="1387" w:type="dxa"/>
            <w:tcBorders>
              <w:top w:val="nil"/>
              <w:left w:val="nil"/>
              <w:bottom w:val="nil"/>
              <w:right w:val="nil"/>
            </w:tcBorders>
            <w:shd w:val="clear" w:color="auto" w:fill="auto"/>
            <w:vAlign w:val="center"/>
            <w:hideMark/>
          </w:tcPr>
          <w:p w:rsidR="00CA2E8F" w:rsidRPr="00CD3A2D" w:rsidRDefault="00CA2E8F">
            <w:pPr>
              <w:jc w:val="right"/>
              <w:rPr>
                <w:rFonts w:ascii="Calibri" w:hAnsi="Calibri"/>
                <w:b/>
                <w:bCs/>
                <w:color w:val="000000"/>
                <w:sz w:val="21"/>
                <w:szCs w:val="21"/>
                <w:lang w:val="hr-HR"/>
              </w:rPr>
            </w:pPr>
            <w:r w:rsidRPr="00CD3A2D">
              <w:rPr>
                <w:rFonts w:ascii="Calibri" w:hAnsi="Calibri"/>
                <w:b/>
                <w:bCs/>
                <w:color w:val="000000"/>
                <w:sz w:val="21"/>
                <w:szCs w:val="21"/>
                <w:lang w:val="hr-HR"/>
              </w:rPr>
              <w:t>000 kuna</w:t>
            </w:r>
          </w:p>
        </w:tc>
        <w:tc>
          <w:tcPr>
            <w:tcW w:w="1387" w:type="dxa"/>
            <w:tcBorders>
              <w:top w:val="nil"/>
              <w:left w:val="nil"/>
              <w:bottom w:val="nil"/>
              <w:right w:val="nil"/>
            </w:tcBorders>
            <w:shd w:val="clear" w:color="auto" w:fill="auto"/>
            <w:vAlign w:val="center"/>
            <w:hideMark/>
          </w:tcPr>
          <w:p w:rsidR="00CA2E8F" w:rsidRPr="00CD3A2D" w:rsidRDefault="00CA2E8F">
            <w:pPr>
              <w:jc w:val="right"/>
              <w:rPr>
                <w:rFonts w:ascii="Calibri" w:hAnsi="Calibri"/>
                <w:b/>
                <w:bCs/>
                <w:color w:val="000000"/>
                <w:sz w:val="21"/>
                <w:szCs w:val="21"/>
                <w:lang w:val="hr-HR"/>
              </w:rPr>
            </w:pPr>
            <w:r w:rsidRPr="00CD3A2D">
              <w:rPr>
                <w:rFonts w:ascii="Calibri" w:hAnsi="Calibri"/>
                <w:b/>
                <w:bCs/>
                <w:color w:val="000000"/>
                <w:sz w:val="21"/>
                <w:szCs w:val="21"/>
                <w:lang w:val="hr-HR"/>
              </w:rPr>
              <w:t>000 kuna</w:t>
            </w:r>
          </w:p>
        </w:tc>
      </w:tr>
      <w:tr w:rsidR="00CA2E8F" w:rsidRPr="001567C8" w:rsidTr="003C6BA3">
        <w:trPr>
          <w:trHeight w:val="309"/>
        </w:trPr>
        <w:tc>
          <w:tcPr>
            <w:tcW w:w="4111" w:type="dxa"/>
            <w:tcBorders>
              <w:top w:val="nil"/>
              <w:left w:val="nil"/>
              <w:bottom w:val="nil"/>
              <w:right w:val="nil"/>
            </w:tcBorders>
            <w:shd w:val="clear" w:color="auto" w:fill="auto"/>
            <w:vAlign w:val="center"/>
            <w:hideMark/>
          </w:tcPr>
          <w:p w:rsidR="00CA2E8F" w:rsidRPr="00CD3A2D" w:rsidRDefault="00CA2E8F">
            <w:pPr>
              <w:jc w:val="right"/>
              <w:rPr>
                <w:rFonts w:ascii="Calibri" w:hAnsi="Calibri"/>
                <w:b/>
                <w:bCs/>
                <w:color w:val="000000"/>
                <w:sz w:val="21"/>
                <w:szCs w:val="21"/>
                <w:lang w:val="hr-HR"/>
              </w:rPr>
            </w:pPr>
          </w:p>
        </w:tc>
        <w:tc>
          <w:tcPr>
            <w:tcW w:w="1387" w:type="dxa"/>
            <w:tcBorders>
              <w:top w:val="nil"/>
              <w:left w:val="nil"/>
              <w:bottom w:val="nil"/>
              <w:right w:val="nil"/>
            </w:tcBorders>
            <w:shd w:val="clear" w:color="auto" w:fill="auto"/>
            <w:vAlign w:val="center"/>
            <w:hideMark/>
          </w:tcPr>
          <w:p w:rsidR="00CA2E8F" w:rsidRPr="00CD3A2D" w:rsidRDefault="00CA2E8F">
            <w:pPr>
              <w:rPr>
                <w:sz w:val="21"/>
                <w:szCs w:val="21"/>
                <w:lang w:val="hr-HR"/>
              </w:rPr>
            </w:pPr>
          </w:p>
        </w:tc>
        <w:tc>
          <w:tcPr>
            <w:tcW w:w="1387" w:type="dxa"/>
            <w:tcBorders>
              <w:top w:val="nil"/>
              <w:left w:val="nil"/>
              <w:bottom w:val="nil"/>
              <w:right w:val="nil"/>
            </w:tcBorders>
            <w:shd w:val="clear" w:color="auto" w:fill="auto"/>
            <w:vAlign w:val="center"/>
            <w:hideMark/>
          </w:tcPr>
          <w:p w:rsidR="00CA2E8F" w:rsidRPr="00CD3A2D" w:rsidRDefault="00CA2E8F">
            <w:pPr>
              <w:jc w:val="right"/>
              <w:rPr>
                <w:sz w:val="21"/>
                <w:szCs w:val="21"/>
                <w:lang w:val="hr-HR"/>
              </w:rPr>
            </w:pPr>
          </w:p>
        </w:tc>
        <w:tc>
          <w:tcPr>
            <w:tcW w:w="1387" w:type="dxa"/>
            <w:tcBorders>
              <w:top w:val="nil"/>
              <w:left w:val="nil"/>
              <w:bottom w:val="nil"/>
              <w:right w:val="nil"/>
            </w:tcBorders>
            <w:shd w:val="clear" w:color="auto" w:fill="auto"/>
            <w:vAlign w:val="center"/>
            <w:hideMark/>
          </w:tcPr>
          <w:p w:rsidR="00CA2E8F" w:rsidRPr="00CD3A2D" w:rsidRDefault="00CA2E8F">
            <w:pPr>
              <w:jc w:val="right"/>
              <w:rPr>
                <w:sz w:val="21"/>
                <w:szCs w:val="21"/>
                <w:lang w:val="hr-HR"/>
              </w:rPr>
            </w:pPr>
          </w:p>
        </w:tc>
        <w:tc>
          <w:tcPr>
            <w:tcW w:w="1387" w:type="dxa"/>
            <w:tcBorders>
              <w:top w:val="nil"/>
              <w:left w:val="nil"/>
              <w:bottom w:val="nil"/>
              <w:right w:val="nil"/>
            </w:tcBorders>
            <w:shd w:val="clear" w:color="auto" w:fill="auto"/>
            <w:vAlign w:val="center"/>
            <w:hideMark/>
          </w:tcPr>
          <w:p w:rsidR="00CA2E8F" w:rsidRPr="00CD3A2D" w:rsidRDefault="00CA2E8F">
            <w:pPr>
              <w:jc w:val="right"/>
              <w:rPr>
                <w:sz w:val="21"/>
                <w:szCs w:val="21"/>
                <w:lang w:val="hr-HR"/>
              </w:rPr>
            </w:pPr>
          </w:p>
        </w:tc>
      </w:tr>
      <w:tr w:rsidR="004A15CA" w:rsidRPr="001567C8" w:rsidTr="00D53E35">
        <w:trPr>
          <w:trHeight w:val="303"/>
        </w:trPr>
        <w:tc>
          <w:tcPr>
            <w:tcW w:w="4111" w:type="dxa"/>
            <w:tcBorders>
              <w:top w:val="nil"/>
              <w:left w:val="nil"/>
              <w:bottom w:val="nil"/>
              <w:right w:val="nil"/>
            </w:tcBorders>
            <w:shd w:val="clear" w:color="auto" w:fill="auto"/>
            <w:vAlign w:val="center"/>
            <w:hideMark/>
          </w:tcPr>
          <w:p w:rsidR="004A15CA" w:rsidRPr="00CD3A2D" w:rsidRDefault="004A15CA" w:rsidP="00D53E35">
            <w:pPr>
              <w:rPr>
                <w:rFonts w:ascii="Calibri" w:hAnsi="Calibri"/>
                <w:color w:val="000000"/>
                <w:sz w:val="21"/>
                <w:szCs w:val="21"/>
                <w:lang w:val="hr-HR"/>
              </w:rPr>
            </w:pPr>
            <w:r w:rsidRPr="00CD3A2D">
              <w:rPr>
                <w:rFonts w:ascii="Calibri" w:hAnsi="Calibri"/>
                <w:color w:val="000000"/>
                <w:sz w:val="21"/>
                <w:szCs w:val="21"/>
                <w:lang w:val="hr-HR"/>
              </w:rPr>
              <w:t>Potraživanja po naknadama</w:t>
            </w:r>
          </w:p>
        </w:tc>
        <w:tc>
          <w:tcPr>
            <w:tcW w:w="1387" w:type="dxa"/>
            <w:tcBorders>
              <w:top w:val="nil"/>
              <w:left w:val="nil"/>
              <w:bottom w:val="nil"/>
              <w:right w:val="nil"/>
            </w:tcBorders>
            <w:shd w:val="clear" w:color="auto" w:fill="auto"/>
            <w:vAlign w:val="center"/>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27.161 </w:t>
            </w:r>
          </w:p>
        </w:tc>
        <w:tc>
          <w:tcPr>
            <w:tcW w:w="1387" w:type="dxa"/>
            <w:tcBorders>
              <w:top w:val="nil"/>
              <w:left w:val="nil"/>
              <w:bottom w:val="nil"/>
              <w:right w:val="nil"/>
            </w:tcBorders>
            <w:shd w:val="clear" w:color="auto" w:fill="auto"/>
            <w:vAlign w:val="center"/>
            <w:hideMark/>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9.363 </w:t>
            </w:r>
          </w:p>
        </w:tc>
        <w:tc>
          <w:tcPr>
            <w:tcW w:w="1387" w:type="dxa"/>
            <w:tcBorders>
              <w:top w:val="nil"/>
              <w:left w:val="nil"/>
              <w:bottom w:val="nil"/>
              <w:right w:val="nil"/>
            </w:tcBorders>
            <w:shd w:val="clear" w:color="auto" w:fill="auto"/>
            <w:vAlign w:val="center"/>
            <w:hideMark/>
          </w:tcPr>
          <w:p w:rsidR="004A15CA" w:rsidRPr="00CD3A2D" w:rsidRDefault="004A15CA">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27.161 </w:t>
            </w:r>
          </w:p>
        </w:tc>
        <w:tc>
          <w:tcPr>
            <w:tcW w:w="1387" w:type="dxa"/>
            <w:tcBorders>
              <w:top w:val="nil"/>
              <w:left w:val="nil"/>
              <w:bottom w:val="nil"/>
              <w:right w:val="nil"/>
            </w:tcBorders>
            <w:shd w:val="clear" w:color="auto" w:fill="auto"/>
            <w:vAlign w:val="center"/>
            <w:hideMark/>
          </w:tcPr>
          <w:p w:rsidR="004A15CA" w:rsidRPr="00CD3A2D" w:rsidRDefault="004A15CA">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9.363 </w:t>
            </w:r>
          </w:p>
        </w:tc>
      </w:tr>
      <w:tr w:rsidR="004A15CA" w:rsidRPr="001567C8" w:rsidTr="00D53E35">
        <w:trPr>
          <w:trHeight w:val="303"/>
        </w:trPr>
        <w:tc>
          <w:tcPr>
            <w:tcW w:w="4111" w:type="dxa"/>
            <w:tcBorders>
              <w:top w:val="nil"/>
              <w:left w:val="nil"/>
              <w:bottom w:val="nil"/>
              <w:right w:val="nil"/>
            </w:tcBorders>
            <w:shd w:val="clear" w:color="auto" w:fill="auto"/>
            <w:vAlign w:val="center"/>
            <w:hideMark/>
          </w:tcPr>
          <w:p w:rsidR="004A15CA" w:rsidRPr="00CD3A2D" w:rsidRDefault="004A15CA" w:rsidP="00D53E35">
            <w:pPr>
              <w:rPr>
                <w:rFonts w:ascii="Calibri" w:hAnsi="Calibri"/>
                <w:color w:val="000000"/>
                <w:sz w:val="21"/>
                <w:szCs w:val="21"/>
                <w:lang w:val="hr-HR"/>
              </w:rPr>
            </w:pPr>
            <w:r w:rsidRPr="00CD3A2D">
              <w:rPr>
                <w:rFonts w:ascii="Calibri" w:hAnsi="Calibri"/>
                <w:color w:val="000000"/>
                <w:sz w:val="21"/>
                <w:szCs w:val="21"/>
                <w:lang w:val="hr-HR"/>
              </w:rPr>
              <w:t>Ostala potraživanja</w:t>
            </w:r>
          </w:p>
        </w:tc>
        <w:tc>
          <w:tcPr>
            <w:tcW w:w="1387" w:type="dxa"/>
            <w:tcBorders>
              <w:top w:val="nil"/>
              <w:left w:val="nil"/>
              <w:bottom w:val="nil"/>
              <w:right w:val="nil"/>
            </w:tcBorders>
            <w:shd w:val="clear" w:color="auto" w:fill="auto"/>
            <w:vAlign w:val="center"/>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11.070 </w:t>
            </w:r>
          </w:p>
        </w:tc>
        <w:tc>
          <w:tcPr>
            <w:tcW w:w="1387" w:type="dxa"/>
            <w:tcBorders>
              <w:top w:val="nil"/>
              <w:left w:val="nil"/>
              <w:bottom w:val="nil"/>
              <w:right w:val="nil"/>
            </w:tcBorders>
            <w:shd w:val="clear" w:color="auto" w:fill="auto"/>
            <w:vAlign w:val="center"/>
            <w:hideMark/>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9.511 </w:t>
            </w:r>
          </w:p>
        </w:tc>
        <w:tc>
          <w:tcPr>
            <w:tcW w:w="1387" w:type="dxa"/>
            <w:tcBorders>
              <w:top w:val="nil"/>
              <w:left w:val="nil"/>
              <w:bottom w:val="nil"/>
              <w:right w:val="nil"/>
            </w:tcBorders>
            <w:shd w:val="clear" w:color="auto" w:fill="auto"/>
            <w:vAlign w:val="center"/>
            <w:hideMark/>
          </w:tcPr>
          <w:p w:rsidR="004A15CA" w:rsidRPr="00CD3A2D" w:rsidRDefault="004A15CA">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10.904 </w:t>
            </w:r>
          </w:p>
        </w:tc>
        <w:tc>
          <w:tcPr>
            <w:tcW w:w="1387" w:type="dxa"/>
            <w:tcBorders>
              <w:top w:val="nil"/>
              <w:left w:val="nil"/>
              <w:bottom w:val="nil"/>
              <w:right w:val="nil"/>
            </w:tcBorders>
            <w:shd w:val="clear" w:color="auto" w:fill="auto"/>
            <w:vAlign w:val="center"/>
            <w:hideMark/>
          </w:tcPr>
          <w:p w:rsidR="004A15CA" w:rsidRPr="00CD3A2D" w:rsidRDefault="004A15CA">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9.365 </w:t>
            </w:r>
          </w:p>
        </w:tc>
      </w:tr>
      <w:tr w:rsidR="004A15CA" w:rsidRPr="001567C8" w:rsidTr="00D53E35">
        <w:trPr>
          <w:trHeight w:val="303"/>
        </w:trPr>
        <w:tc>
          <w:tcPr>
            <w:tcW w:w="4111" w:type="dxa"/>
            <w:tcBorders>
              <w:top w:val="nil"/>
              <w:left w:val="nil"/>
              <w:bottom w:val="nil"/>
              <w:right w:val="nil"/>
            </w:tcBorders>
            <w:shd w:val="clear" w:color="auto" w:fill="auto"/>
            <w:noWrap/>
            <w:vAlign w:val="center"/>
            <w:hideMark/>
          </w:tcPr>
          <w:p w:rsidR="004A15CA" w:rsidRPr="00CD3A2D" w:rsidRDefault="004A15CA" w:rsidP="00D53E35">
            <w:pPr>
              <w:rPr>
                <w:rFonts w:ascii="Calibri" w:hAnsi="Calibri"/>
                <w:color w:val="000000"/>
                <w:sz w:val="21"/>
                <w:szCs w:val="21"/>
                <w:lang w:val="hr-HR"/>
              </w:rPr>
            </w:pPr>
            <w:r w:rsidRPr="00CD3A2D">
              <w:rPr>
                <w:rFonts w:ascii="Calibri" w:hAnsi="Calibri"/>
                <w:color w:val="000000"/>
                <w:sz w:val="21"/>
                <w:szCs w:val="21"/>
                <w:lang w:val="hr-HR"/>
              </w:rPr>
              <w:t>Potraživanja po premijama</w:t>
            </w:r>
          </w:p>
        </w:tc>
        <w:tc>
          <w:tcPr>
            <w:tcW w:w="1387" w:type="dxa"/>
            <w:tcBorders>
              <w:top w:val="nil"/>
              <w:left w:val="nil"/>
              <w:bottom w:val="nil"/>
              <w:right w:val="nil"/>
            </w:tcBorders>
            <w:shd w:val="clear" w:color="auto" w:fill="auto"/>
            <w:vAlign w:val="center"/>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7.371 </w:t>
            </w:r>
          </w:p>
        </w:tc>
        <w:tc>
          <w:tcPr>
            <w:tcW w:w="1387" w:type="dxa"/>
            <w:tcBorders>
              <w:top w:val="nil"/>
              <w:left w:val="nil"/>
              <w:bottom w:val="nil"/>
              <w:right w:val="nil"/>
            </w:tcBorders>
            <w:shd w:val="clear" w:color="auto" w:fill="auto"/>
            <w:vAlign w:val="center"/>
            <w:hideMark/>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6.318 </w:t>
            </w:r>
          </w:p>
        </w:tc>
        <w:tc>
          <w:tcPr>
            <w:tcW w:w="1387" w:type="dxa"/>
            <w:tcBorders>
              <w:top w:val="nil"/>
              <w:left w:val="nil"/>
              <w:bottom w:val="nil"/>
              <w:right w:val="nil"/>
            </w:tcBorders>
            <w:shd w:val="clear" w:color="auto" w:fill="auto"/>
            <w:vAlign w:val="center"/>
            <w:hideMark/>
          </w:tcPr>
          <w:p w:rsidR="004A15CA" w:rsidRPr="00CD3A2D" w:rsidRDefault="004A15CA">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    </w:t>
            </w:r>
          </w:p>
        </w:tc>
        <w:tc>
          <w:tcPr>
            <w:tcW w:w="1387" w:type="dxa"/>
            <w:tcBorders>
              <w:top w:val="nil"/>
              <w:left w:val="nil"/>
              <w:bottom w:val="nil"/>
              <w:right w:val="nil"/>
            </w:tcBorders>
            <w:shd w:val="clear" w:color="auto" w:fill="auto"/>
            <w:vAlign w:val="center"/>
            <w:hideMark/>
          </w:tcPr>
          <w:p w:rsidR="004A15CA" w:rsidRPr="00CD3A2D" w:rsidRDefault="004A15CA">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    </w:t>
            </w:r>
          </w:p>
        </w:tc>
      </w:tr>
      <w:tr w:rsidR="004A15CA" w:rsidRPr="001567C8" w:rsidTr="00D53E35">
        <w:trPr>
          <w:trHeight w:val="303"/>
        </w:trPr>
        <w:tc>
          <w:tcPr>
            <w:tcW w:w="4111" w:type="dxa"/>
            <w:tcBorders>
              <w:top w:val="nil"/>
              <w:left w:val="nil"/>
              <w:bottom w:val="nil"/>
              <w:right w:val="nil"/>
            </w:tcBorders>
            <w:shd w:val="clear" w:color="auto" w:fill="auto"/>
            <w:vAlign w:val="center"/>
            <w:hideMark/>
          </w:tcPr>
          <w:p w:rsidR="004A15CA" w:rsidRPr="00CD3A2D" w:rsidRDefault="004A15CA" w:rsidP="00D53E35">
            <w:pPr>
              <w:rPr>
                <w:rFonts w:ascii="Calibri" w:hAnsi="Calibri"/>
                <w:color w:val="000000"/>
                <w:sz w:val="21"/>
                <w:szCs w:val="21"/>
                <w:lang w:val="hr-HR"/>
              </w:rPr>
            </w:pPr>
            <w:r w:rsidRPr="00CD3A2D">
              <w:rPr>
                <w:rFonts w:ascii="Calibri" w:hAnsi="Calibri"/>
                <w:color w:val="000000"/>
                <w:sz w:val="21"/>
                <w:szCs w:val="21"/>
                <w:lang w:val="hr-HR"/>
              </w:rPr>
              <w:t>Potraživanja po provizijama od reosiguranja</w:t>
            </w:r>
          </w:p>
        </w:tc>
        <w:tc>
          <w:tcPr>
            <w:tcW w:w="1387" w:type="dxa"/>
            <w:tcBorders>
              <w:top w:val="nil"/>
              <w:left w:val="nil"/>
              <w:bottom w:val="nil"/>
              <w:right w:val="nil"/>
            </w:tcBorders>
            <w:shd w:val="clear" w:color="auto" w:fill="auto"/>
            <w:vAlign w:val="center"/>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867 </w:t>
            </w:r>
          </w:p>
        </w:tc>
        <w:tc>
          <w:tcPr>
            <w:tcW w:w="1387" w:type="dxa"/>
            <w:tcBorders>
              <w:top w:val="nil"/>
              <w:left w:val="nil"/>
              <w:bottom w:val="nil"/>
              <w:right w:val="nil"/>
            </w:tcBorders>
            <w:shd w:val="clear" w:color="auto" w:fill="auto"/>
            <w:vAlign w:val="center"/>
            <w:hideMark/>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583 </w:t>
            </w:r>
          </w:p>
        </w:tc>
        <w:tc>
          <w:tcPr>
            <w:tcW w:w="1387" w:type="dxa"/>
            <w:tcBorders>
              <w:top w:val="nil"/>
              <w:left w:val="nil"/>
              <w:bottom w:val="nil"/>
              <w:right w:val="nil"/>
            </w:tcBorders>
            <w:shd w:val="clear" w:color="auto" w:fill="auto"/>
            <w:vAlign w:val="center"/>
            <w:hideMark/>
          </w:tcPr>
          <w:p w:rsidR="004A15CA" w:rsidRPr="00CD3A2D" w:rsidRDefault="004A15CA">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    </w:t>
            </w:r>
          </w:p>
        </w:tc>
        <w:tc>
          <w:tcPr>
            <w:tcW w:w="1387" w:type="dxa"/>
            <w:tcBorders>
              <w:top w:val="nil"/>
              <w:left w:val="nil"/>
              <w:bottom w:val="nil"/>
              <w:right w:val="nil"/>
            </w:tcBorders>
            <w:shd w:val="clear" w:color="auto" w:fill="auto"/>
            <w:vAlign w:val="center"/>
            <w:hideMark/>
          </w:tcPr>
          <w:p w:rsidR="004A15CA" w:rsidRPr="00CD3A2D" w:rsidRDefault="004A15CA">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    </w:t>
            </w:r>
          </w:p>
        </w:tc>
      </w:tr>
      <w:tr w:rsidR="004A15CA" w:rsidRPr="001567C8" w:rsidTr="00D53E35">
        <w:trPr>
          <w:trHeight w:val="340"/>
        </w:trPr>
        <w:tc>
          <w:tcPr>
            <w:tcW w:w="4111" w:type="dxa"/>
            <w:tcBorders>
              <w:top w:val="nil"/>
              <w:left w:val="nil"/>
              <w:bottom w:val="nil"/>
              <w:right w:val="nil"/>
            </w:tcBorders>
            <w:shd w:val="clear" w:color="auto" w:fill="auto"/>
            <w:vAlign w:val="center"/>
            <w:hideMark/>
          </w:tcPr>
          <w:p w:rsidR="004A15CA" w:rsidRPr="00CD3A2D" w:rsidRDefault="004A15CA" w:rsidP="00D53E35">
            <w:pPr>
              <w:rPr>
                <w:rFonts w:ascii="Calibri" w:hAnsi="Calibri"/>
                <w:color w:val="000000"/>
                <w:sz w:val="21"/>
                <w:szCs w:val="21"/>
                <w:lang w:val="hr-HR"/>
              </w:rPr>
            </w:pPr>
            <w:r w:rsidRPr="00CD3A2D">
              <w:rPr>
                <w:rFonts w:ascii="Calibri" w:hAnsi="Calibri"/>
                <w:color w:val="000000"/>
                <w:sz w:val="21"/>
                <w:szCs w:val="21"/>
                <w:lang w:val="hr-HR"/>
              </w:rPr>
              <w:t>Potraživanja po naknadama za procjenu rizika</w:t>
            </w:r>
          </w:p>
        </w:tc>
        <w:tc>
          <w:tcPr>
            <w:tcW w:w="1387" w:type="dxa"/>
            <w:tcBorders>
              <w:top w:val="nil"/>
              <w:left w:val="nil"/>
              <w:bottom w:val="single" w:sz="4" w:space="0" w:color="auto"/>
              <w:right w:val="nil"/>
            </w:tcBorders>
            <w:shd w:val="clear" w:color="auto" w:fill="auto"/>
            <w:vAlign w:val="bottom"/>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371 </w:t>
            </w:r>
          </w:p>
        </w:tc>
        <w:tc>
          <w:tcPr>
            <w:tcW w:w="1387" w:type="dxa"/>
            <w:tcBorders>
              <w:top w:val="nil"/>
              <w:left w:val="nil"/>
              <w:bottom w:val="single" w:sz="4" w:space="0" w:color="auto"/>
              <w:right w:val="nil"/>
            </w:tcBorders>
            <w:shd w:val="clear" w:color="auto" w:fill="auto"/>
            <w:vAlign w:val="bottom"/>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259 </w:t>
            </w:r>
          </w:p>
        </w:tc>
        <w:tc>
          <w:tcPr>
            <w:tcW w:w="1387" w:type="dxa"/>
            <w:tcBorders>
              <w:top w:val="nil"/>
              <w:left w:val="nil"/>
              <w:bottom w:val="single" w:sz="4" w:space="0" w:color="auto"/>
              <w:right w:val="nil"/>
            </w:tcBorders>
            <w:shd w:val="clear" w:color="auto" w:fill="auto"/>
            <w:vAlign w:val="bottom"/>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    </w:t>
            </w:r>
          </w:p>
        </w:tc>
        <w:tc>
          <w:tcPr>
            <w:tcW w:w="1387" w:type="dxa"/>
            <w:tcBorders>
              <w:top w:val="nil"/>
              <w:left w:val="nil"/>
              <w:bottom w:val="single" w:sz="4" w:space="0" w:color="auto"/>
              <w:right w:val="nil"/>
            </w:tcBorders>
            <w:shd w:val="clear" w:color="auto" w:fill="auto"/>
            <w:vAlign w:val="bottom"/>
          </w:tcPr>
          <w:p w:rsidR="004A15CA" w:rsidRPr="00CD3A2D" w:rsidRDefault="004A15CA" w:rsidP="00D53E35">
            <w:pPr>
              <w:jc w:val="right"/>
              <w:rPr>
                <w:rFonts w:asciiTheme="minorHAnsi" w:hAnsiTheme="minorHAnsi" w:cstheme="minorHAnsi"/>
                <w:color w:val="000000"/>
                <w:sz w:val="21"/>
                <w:szCs w:val="21"/>
                <w:lang w:val="hr-HR"/>
              </w:rPr>
            </w:pPr>
            <w:r w:rsidRPr="00CD3A2D">
              <w:rPr>
                <w:rFonts w:asciiTheme="minorHAnsi" w:hAnsiTheme="minorHAnsi" w:cstheme="minorHAnsi"/>
                <w:sz w:val="21"/>
                <w:szCs w:val="21"/>
                <w:lang w:val="hr-HR"/>
              </w:rPr>
              <w:t xml:space="preserve"> -    </w:t>
            </w:r>
          </w:p>
        </w:tc>
      </w:tr>
      <w:tr w:rsidR="004A15CA" w:rsidRPr="001567C8" w:rsidTr="00D53E35">
        <w:trPr>
          <w:trHeight w:val="340"/>
        </w:trPr>
        <w:tc>
          <w:tcPr>
            <w:tcW w:w="4111" w:type="dxa"/>
            <w:tcBorders>
              <w:top w:val="nil"/>
              <w:left w:val="nil"/>
              <w:bottom w:val="nil"/>
              <w:right w:val="nil"/>
            </w:tcBorders>
            <w:shd w:val="clear" w:color="auto" w:fill="auto"/>
            <w:vAlign w:val="center"/>
          </w:tcPr>
          <w:p w:rsidR="004A15CA" w:rsidRPr="00CD3A2D" w:rsidRDefault="008F7CB8" w:rsidP="00D53E35">
            <w:pPr>
              <w:rPr>
                <w:rFonts w:ascii="Calibri" w:hAnsi="Calibri"/>
                <w:color w:val="000000"/>
                <w:sz w:val="21"/>
                <w:szCs w:val="21"/>
                <w:lang w:val="hr-HR"/>
              </w:rPr>
            </w:pPr>
            <w:r w:rsidRPr="00CD3A2D">
              <w:rPr>
                <w:rFonts w:ascii="Calibri" w:hAnsi="Calibri"/>
                <w:color w:val="000000"/>
                <w:sz w:val="21"/>
                <w:szCs w:val="21"/>
                <w:lang w:val="hr-HR"/>
              </w:rPr>
              <w:t>Rezerviranja za očekivane gubitke</w:t>
            </w:r>
          </w:p>
        </w:tc>
        <w:tc>
          <w:tcPr>
            <w:tcW w:w="1387" w:type="dxa"/>
            <w:tcBorders>
              <w:top w:val="single" w:sz="4" w:space="0" w:color="auto"/>
              <w:left w:val="nil"/>
              <w:bottom w:val="nil"/>
              <w:right w:val="nil"/>
            </w:tcBorders>
            <w:shd w:val="clear" w:color="auto" w:fill="auto"/>
            <w:vAlign w:val="center"/>
          </w:tcPr>
          <w:p w:rsidR="004A15CA" w:rsidRPr="00CD3A2D" w:rsidRDefault="004A15CA" w:rsidP="00D53E35">
            <w:pPr>
              <w:jc w:val="right"/>
              <w:rPr>
                <w:rFonts w:asciiTheme="minorHAnsi" w:hAnsiTheme="minorHAnsi" w:cstheme="minorHAnsi"/>
                <w:sz w:val="21"/>
                <w:szCs w:val="21"/>
                <w:lang w:val="hr-HR"/>
              </w:rPr>
            </w:pPr>
            <w:r w:rsidRPr="00CD3A2D">
              <w:rPr>
                <w:rFonts w:asciiTheme="minorHAnsi" w:hAnsiTheme="minorHAnsi" w:cstheme="minorHAnsi"/>
                <w:sz w:val="21"/>
                <w:szCs w:val="21"/>
                <w:lang w:val="hr-HR"/>
              </w:rPr>
              <w:t xml:space="preserve"> (34.118)</w:t>
            </w:r>
          </w:p>
        </w:tc>
        <w:tc>
          <w:tcPr>
            <w:tcW w:w="1387" w:type="dxa"/>
            <w:tcBorders>
              <w:top w:val="single" w:sz="4" w:space="0" w:color="auto"/>
              <w:left w:val="nil"/>
              <w:bottom w:val="nil"/>
              <w:right w:val="nil"/>
            </w:tcBorders>
            <w:shd w:val="clear" w:color="auto" w:fill="auto"/>
            <w:vAlign w:val="center"/>
          </w:tcPr>
          <w:p w:rsidR="004A15CA" w:rsidRPr="00CD3A2D" w:rsidRDefault="004A15CA" w:rsidP="00D53E35">
            <w:pPr>
              <w:jc w:val="right"/>
              <w:rPr>
                <w:rFonts w:asciiTheme="minorHAnsi" w:hAnsiTheme="minorHAnsi" w:cstheme="minorHAnsi"/>
                <w:sz w:val="21"/>
                <w:szCs w:val="21"/>
                <w:lang w:val="hr-HR"/>
              </w:rPr>
            </w:pPr>
            <w:r w:rsidRPr="00CD3A2D">
              <w:rPr>
                <w:rFonts w:asciiTheme="minorHAnsi" w:hAnsiTheme="minorHAnsi" w:cstheme="minorHAnsi"/>
                <w:sz w:val="21"/>
                <w:szCs w:val="21"/>
                <w:lang w:val="hr-HR"/>
              </w:rPr>
              <w:t xml:space="preserve"> (6.737)</w:t>
            </w:r>
          </w:p>
        </w:tc>
        <w:tc>
          <w:tcPr>
            <w:tcW w:w="1387" w:type="dxa"/>
            <w:tcBorders>
              <w:top w:val="single" w:sz="4" w:space="0" w:color="auto"/>
              <w:left w:val="nil"/>
              <w:bottom w:val="nil"/>
              <w:right w:val="nil"/>
            </w:tcBorders>
            <w:shd w:val="clear" w:color="auto" w:fill="auto"/>
            <w:vAlign w:val="center"/>
          </w:tcPr>
          <w:p w:rsidR="004A15CA" w:rsidRPr="00CD3A2D" w:rsidRDefault="004A15CA">
            <w:pPr>
              <w:jc w:val="right"/>
              <w:rPr>
                <w:rFonts w:asciiTheme="minorHAnsi" w:hAnsiTheme="minorHAnsi" w:cstheme="minorHAnsi"/>
                <w:sz w:val="21"/>
                <w:szCs w:val="21"/>
                <w:lang w:val="hr-HR"/>
              </w:rPr>
            </w:pPr>
            <w:r w:rsidRPr="00CD3A2D">
              <w:rPr>
                <w:rFonts w:asciiTheme="minorHAnsi" w:hAnsiTheme="minorHAnsi" w:cstheme="minorHAnsi"/>
                <w:sz w:val="21"/>
                <w:szCs w:val="21"/>
                <w:lang w:val="hr-HR"/>
              </w:rPr>
              <w:t xml:space="preserve"> (33.883)</w:t>
            </w:r>
          </w:p>
        </w:tc>
        <w:tc>
          <w:tcPr>
            <w:tcW w:w="1387" w:type="dxa"/>
            <w:tcBorders>
              <w:top w:val="single" w:sz="4" w:space="0" w:color="auto"/>
              <w:left w:val="nil"/>
              <w:bottom w:val="nil"/>
              <w:right w:val="nil"/>
            </w:tcBorders>
            <w:shd w:val="clear" w:color="auto" w:fill="auto"/>
            <w:vAlign w:val="center"/>
          </w:tcPr>
          <w:p w:rsidR="004A15CA" w:rsidRPr="00CD3A2D" w:rsidRDefault="004A15CA">
            <w:pPr>
              <w:jc w:val="right"/>
              <w:rPr>
                <w:rFonts w:asciiTheme="minorHAnsi" w:hAnsiTheme="minorHAnsi" w:cstheme="minorHAnsi"/>
                <w:sz w:val="21"/>
                <w:szCs w:val="21"/>
                <w:lang w:val="hr-HR"/>
              </w:rPr>
            </w:pPr>
            <w:r w:rsidRPr="00CD3A2D">
              <w:rPr>
                <w:rFonts w:asciiTheme="minorHAnsi" w:hAnsiTheme="minorHAnsi" w:cstheme="minorHAnsi"/>
                <w:sz w:val="21"/>
                <w:szCs w:val="21"/>
                <w:lang w:val="hr-HR"/>
              </w:rPr>
              <w:t xml:space="preserve"> (6.446)</w:t>
            </w:r>
          </w:p>
        </w:tc>
      </w:tr>
      <w:tr w:rsidR="007A45BA" w:rsidRPr="001567C8" w:rsidTr="00D53E35">
        <w:trPr>
          <w:trHeight w:val="279"/>
        </w:trPr>
        <w:tc>
          <w:tcPr>
            <w:tcW w:w="4111" w:type="dxa"/>
            <w:tcBorders>
              <w:top w:val="nil"/>
              <w:left w:val="nil"/>
              <w:bottom w:val="nil"/>
              <w:right w:val="nil"/>
            </w:tcBorders>
            <w:shd w:val="clear" w:color="auto" w:fill="auto"/>
            <w:vAlign w:val="center"/>
            <w:hideMark/>
          </w:tcPr>
          <w:p w:rsidR="007A45BA" w:rsidRPr="00CD3A2D" w:rsidRDefault="007A45BA" w:rsidP="00D53E35">
            <w:pPr>
              <w:rPr>
                <w:rFonts w:ascii="Calibri" w:hAnsi="Calibri"/>
                <w:b/>
                <w:bCs/>
                <w:color w:val="000000"/>
                <w:sz w:val="21"/>
                <w:szCs w:val="21"/>
                <w:lang w:val="hr-HR"/>
              </w:rPr>
            </w:pPr>
            <w:r w:rsidRPr="00CD3A2D">
              <w:rPr>
                <w:rFonts w:ascii="Calibri" w:hAnsi="Calibri"/>
                <w:b/>
                <w:bCs/>
                <w:color w:val="000000"/>
                <w:sz w:val="21"/>
                <w:szCs w:val="21"/>
                <w:lang w:val="hr-HR"/>
              </w:rPr>
              <w:t>Imovina koja je izložena kreditnom riziku</w:t>
            </w:r>
          </w:p>
        </w:tc>
        <w:tc>
          <w:tcPr>
            <w:tcW w:w="1387" w:type="dxa"/>
            <w:tcBorders>
              <w:top w:val="single" w:sz="4" w:space="0" w:color="auto"/>
              <w:left w:val="nil"/>
              <w:bottom w:val="single" w:sz="12" w:space="0" w:color="auto"/>
              <w:right w:val="nil"/>
            </w:tcBorders>
            <w:shd w:val="clear" w:color="auto" w:fill="auto"/>
            <w:vAlign w:val="center"/>
          </w:tcPr>
          <w:p w:rsidR="007A45BA" w:rsidRPr="00CD3A2D" w:rsidRDefault="007A45BA" w:rsidP="00D53E35">
            <w:pPr>
              <w:jc w:val="right"/>
              <w:rPr>
                <w:rFonts w:ascii="Calibri" w:hAnsi="Calibri"/>
                <w:b/>
                <w:bCs/>
                <w:sz w:val="21"/>
                <w:szCs w:val="21"/>
                <w:lang w:val="hr-HR"/>
              </w:rPr>
            </w:pPr>
            <w:r w:rsidRPr="00CD3A2D">
              <w:rPr>
                <w:rFonts w:ascii="Calibri" w:hAnsi="Calibri" w:cs="Calibri"/>
                <w:b/>
                <w:bCs/>
                <w:sz w:val="21"/>
                <w:szCs w:val="21"/>
                <w:lang w:val="hr-HR"/>
              </w:rPr>
              <w:t xml:space="preserve">        </w:t>
            </w:r>
            <w:r w:rsidR="00D53E35" w:rsidRPr="00CD3A2D">
              <w:rPr>
                <w:rFonts w:ascii="Calibri" w:hAnsi="Calibri" w:cs="Calibri"/>
                <w:b/>
                <w:bCs/>
                <w:sz w:val="21"/>
                <w:szCs w:val="21"/>
                <w:lang w:val="hr-HR"/>
              </w:rPr>
              <w:t>12.722</w:t>
            </w:r>
            <w:r w:rsidRPr="00CD3A2D">
              <w:rPr>
                <w:rFonts w:ascii="Calibri" w:hAnsi="Calibri" w:cs="Calibri"/>
                <w:b/>
                <w:bCs/>
                <w:sz w:val="21"/>
                <w:szCs w:val="21"/>
                <w:lang w:val="hr-HR"/>
              </w:rPr>
              <w:t xml:space="preserve"> </w:t>
            </w:r>
          </w:p>
        </w:tc>
        <w:tc>
          <w:tcPr>
            <w:tcW w:w="1387" w:type="dxa"/>
            <w:tcBorders>
              <w:top w:val="single" w:sz="4" w:space="0" w:color="auto"/>
              <w:left w:val="nil"/>
              <w:bottom w:val="single" w:sz="12" w:space="0" w:color="auto"/>
              <w:right w:val="nil"/>
            </w:tcBorders>
            <w:shd w:val="clear" w:color="auto" w:fill="auto"/>
            <w:vAlign w:val="center"/>
            <w:hideMark/>
          </w:tcPr>
          <w:p w:rsidR="007A45BA" w:rsidRPr="00CD3A2D" w:rsidRDefault="00D53E35" w:rsidP="00D53E35">
            <w:pPr>
              <w:jc w:val="right"/>
              <w:rPr>
                <w:rFonts w:ascii="Calibri" w:hAnsi="Calibri"/>
                <w:b/>
                <w:bCs/>
                <w:sz w:val="21"/>
                <w:szCs w:val="21"/>
                <w:lang w:val="hr-HR"/>
              </w:rPr>
            </w:pPr>
            <w:r w:rsidRPr="00CD3A2D">
              <w:rPr>
                <w:rFonts w:ascii="Calibri" w:hAnsi="Calibri" w:cs="Calibri"/>
                <w:b/>
                <w:bCs/>
                <w:sz w:val="21"/>
                <w:szCs w:val="21"/>
                <w:lang w:val="hr-HR"/>
              </w:rPr>
              <w:t>19.297</w:t>
            </w:r>
            <w:r w:rsidR="007A45BA" w:rsidRPr="00CD3A2D">
              <w:rPr>
                <w:rFonts w:ascii="Calibri" w:hAnsi="Calibri" w:cs="Calibri"/>
                <w:b/>
                <w:bCs/>
                <w:sz w:val="21"/>
                <w:szCs w:val="21"/>
                <w:lang w:val="hr-HR"/>
              </w:rPr>
              <w:t xml:space="preserve"> </w:t>
            </w:r>
          </w:p>
        </w:tc>
        <w:tc>
          <w:tcPr>
            <w:tcW w:w="1387" w:type="dxa"/>
            <w:tcBorders>
              <w:top w:val="single" w:sz="4" w:space="0" w:color="auto"/>
              <w:left w:val="nil"/>
              <w:bottom w:val="single" w:sz="12" w:space="0" w:color="auto"/>
              <w:right w:val="nil"/>
            </w:tcBorders>
            <w:shd w:val="clear" w:color="auto" w:fill="auto"/>
            <w:vAlign w:val="center"/>
            <w:hideMark/>
          </w:tcPr>
          <w:p w:rsidR="007A45BA" w:rsidRPr="00CD3A2D" w:rsidRDefault="00D53E35">
            <w:pPr>
              <w:jc w:val="right"/>
              <w:rPr>
                <w:rFonts w:ascii="Calibri" w:hAnsi="Calibri"/>
                <w:b/>
                <w:bCs/>
                <w:sz w:val="21"/>
                <w:szCs w:val="21"/>
                <w:lang w:val="hr-HR"/>
              </w:rPr>
            </w:pPr>
            <w:r w:rsidRPr="00CD3A2D">
              <w:rPr>
                <w:rFonts w:ascii="Calibri" w:hAnsi="Calibri" w:cs="Calibri"/>
                <w:b/>
                <w:bCs/>
                <w:sz w:val="21"/>
                <w:szCs w:val="21"/>
                <w:lang w:val="hr-HR"/>
              </w:rPr>
              <w:t>4.182</w:t>
            </w:r>
            <w:r w:rsidR="007A45BA" w:rsidRPr="00CD3A2D">
              <w:rPr>
                <w:rFonts w:ascii="Calibri" w:hAnsi="Calibri" w:cs="Calibri"/>
                <w:b/>
                <w:bCs/>
                <w:sz w:val="21"/>
                <w:szCs w:val="21"/>
                <w:lang w:val="hr-HR"/>
              </w:rPr>
              <w:t xml:space="preserve"> </w:t>
            </w:r>
          </w:p>
        </w:tc>
        <w:tc>
          <w:tcPr>
            <w:tcW w:w="1387" w:type="dxa"/>
            <w:tcBorders>
              <w:top w:val="single" w:sz="4" w:space="0" w:color="auto"/>
              <w:left w:val="nil"/>
              <w:bottom w:val="single" w:sz="12" w:space="0" w:color="auto"/>
              <w:right w:val="nil"/>
            </w:tcBorders>
            <w:shd w:val="clear" w:color="auto" w:fill="auto"/>
            <w:vAlign w:val="center"/>
            <w:hideMark/>
          </w:tcPr>
          <w:p w:rsidR="007A45BA" w:rsidRPr="00CD3A2D" w:rsidRDefault="007A45BA">
            <w:pPr>
              <w:jc w:val="right"/>
              <w:rPr>
                <w:rFonts w:ascii="Calibri" w:hAnsi="Calibri"/>
                <w:b/>
                <w:bCs/>
                <w:sz w:val="21"/>
                <w:szCs w:val="21"/>
                <w:lang w:val="hr-HR"/>
              </w:rPr>
            </w:pPr>
            <w:r w:rsidRPr="00CD3A2D">
              <w:rPr>
                <w:rFonts w:ascii="Calibri" w:hAnsi="Calibri" w:cs="Calibri"/>
                <w:b/>
                <w:bCs/>
                <w:sz w:val="21"/>
                <w:szCs w:val="21"/>
                <w:lang w:val="hr-HR"/>
              </w:rPr>
              <w:t xml:space="preserve">          </w:t>
            </w:r>
            <w:r w:rsidR="00D53E35" w:rsidRPr="00CD3A2D">
              <w:rPr>
                <w:rFonts w:ascii="Calibri" w:hAnsi="Calibri" w:cs="Calibri"/>
                <w:b/>
                <w:bCs/>
                <w:sz w:val="21"/>
                <w:szCs w:val="21"/>
                <w:lang w:val="hr-HR"/>
              </w:rPr>
              <w:t>12.282</w:t>
            </w:r>
            <w:r w:rsidRPr="00CD3A2D">
              <w:rPr>
                <w:rFonts w:ascii="Calibri" w:hAnsi="Calibri" w:cs="Calibri"/>
                <w:b/>
                <w:bCs/>
                <w:sz w:val="21"/>
                <w:szCs w:val="21"/>
                <w:lang w:val="hr-HR"/>
              </w:rPr>
              <w:t xml:space="preserve"> </w:t>
            </w:r>
          </w:p>
        </w:tc>
      </w:tr>
    </w:tbl>
    <w:p w:rsidR="00CA2E8F" w:rsidRPr="001567C8" w:rsidRDefault="00CA2E8F" w:rsidP="008E5CC6">
      <w:pPr>
        <w:pStyle w:val="T1"/>
        <w:spacing w:before="0" w:after="0" w:line="240" w:lineRule="auto"/>
        <w:rPr>
          <w:rFonts w:asciiTheme="minorHAnsi" w:hAnsiTheme="minorHAnsi" w:cs="Arial"/>
          <w:b w:val="0"/>
          <w:bCs w:val="0"/>
          <w:sz w:val="22"/>
          <w:szCs w:val="22"/>
          <w:lang w:val="hr-HR"/>
        </w:rPr>
      </w:pPr>
    </w:p>
    <w:p w:rsidR="00F73AE6" w:rsidRPr="001567C8" w:rsidRDefault="006D0890" w:rsidP="008E5CC6">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Promjene na rezerviranjima za </w:t>
      </w:r>
      <w:r w:rsidR="00640BE0" w:rsidRPr="001567C8">
        <w:rPr>
          <w:rFonts w:asciiTheme="minorHAnsi" w:hAnsiTheme="minorHAnsi" w:cs="Arial"/>
          <w:b w:val="0"/>
          <w:bCs w:val="0"/>
          <w:sz w:val="22"/>
          <w:szCs w:val="22"/>
          <w:lang w:val="hr-HR"/>
        </w:rPr>
        <w:t xml:space="preserve">očekivane </w:t>
      </w:r>
      <w:r w:rsidRPr="001567C8">
        <w:rPr>
          <w:rFonts w:asciiTheme="minorHAnsi" w:hAnsiTheme="minorHAnsi" w:cs="Arial"/>
          <w:b w:val="0"/>
          <w:bCs w:val="0"/>
          <w:sz w:val="22"/>
          <w:szCs w:val="22"/>
          <w:lang w:val="hr-HR"/>
        </w:rPr>
        <w:t xml:space="preserve">gubitke po ostaloj </w:t>
      </w:r>
      <w:r w:rsidR="00D65436" w:rsidRPr="001567C8">
        <w:rPr>
          <w:rFonts w:asciiTheme="minorHAnsi" w:hAnsiTheme="minorHAnsi" w:cs="Arial"/>
          <w:b w:val="0"/>
          <w:bCs w:val="0"/>
          <w:sz w:val="22"/>
          <w:szCs w:val="22"/>
          <w:lang w:val="hr-HR"/>
        </w:rPr>
        <w:t>imovini</w:t>
      </w:r>
      <w:r w:rsidRPr="001567C8">
        <w:rPr>
          <w:rFonts w:asciiTheme="minorHAnsi" w:hAnsiTheme="minorHAnsi" w:cs="Arial"/>
          <w:b w:val="0"/>
          <w:bCs w:val="0"/>
          <w:sz w:val="22"/>
          <w:szCs w:val="22"/>
          <w:lang w:val="hr-HR"/>
        </w:rPr>
        <w:t xml:space="preserve"> mogu se prikazati:</w:t>
      </w:r>
    </w:p>
    <w:p w:rsidR="007F0237" w:rsidRPr="001567C8" w:rsidRDefault="007F0237" w:rsidP="008E5CC6">
      <w:pPr>
        <w:pStyle w:val="T1"/>
        <w:spacing w:before="0" w:after="0" w:line="240" w:lineRule="auto"/>
        <w:rPr>
          <w:rFonts w:asciiTheme="minorHAnsi" w:hAnsiTheme="minorHAnsi" w:cs="Arial"/>
          <w:b w:val="0"/>
          <w:bCs w:val="0"/>
          <w:sz w:val="22"/>
          <w:szCs w:val="22"/>
          <w:lang w:val="hr-HR"/>
        </w:rPr>
      </w:pPr>
    </w:p>
    <w:tbl>
      <w:tblPr>
        <w:tblW w:w="9739" w:type="dxa"/>
        <w:tblInd w:w="-142" w:type="dxa"/>
        <w:tblLook w:val="04A0" w:firstRow="1" w:lastRow="0" w:firstColumn="1" w:lastColumn="0" w:noHBand="0" w:noVBand="1"/>
      </w:tblPr>
      <w:tblGrid>
        <w:gridCol w:w="6247"/>
        <w:gridCol w:w="1746"/>
        <w:gridCol w:w="1746"/>
      </w:tblGrid>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sz w:val="21"/>
                <w:szCs w:val="21"/>
                <w:lang w:val="hr-HR"/>
              </w:rPr>
            </w:pP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Grupa</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Banka</w:t>
            </w:r>
          </w:p>
        </w:tc>
      </w:tr>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000 kuna</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000 kuna</w:t>
            </w:r>
          </w:p>
        </w:tc>
      </w:tr>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Stanje 1. siječnja 2017. godine</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4.541 </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4.537 </w:t>
            </w:r>
          </w:p>
        </w:tc>
      </w:tr>
      <w:tr w:rsidR="00CA2E8F" w:rsidRPr="001567C8" w:rsidTr="003C6BA3">
        <w:trPr>
          <w:trHeight w:val="271"/>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 xml:space="preserve">Povećanje rezerviranja za </w:t>
            </w:r>
            <w:r w:rsidR="009C322E" w:rsidRPr="00CD3A2D">
              <w:rPr>
                <w:rFonts w:ascii="Calibri" w:hAnsi="Calibri"/>
                <w:color w:val="000000"/>
                <w:sz w:val="21"/>
                <w:szCs w:val="21"/>
                <w:lang w:val="hr-HR"/>
              </w:rPr>
              <w:t>očekivane</w:t>
            </w:r>
            <w:r w:rsidRPr="00CD3A2D">
              <w:rPr>
                <w:rFonts w:ascii="Calibri" w:hAnsi="Calibri"/>
                <w:color w:val="000000"/>
                <w:sz w:val="21"/>
                <w:szCs w:val="21"/>
                <w:lang w:val="hr-HR"/>
              </w:rPr>
              <w:t xml:space="preserve"> gubitke po ostaloj imovini</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2.756 </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2.399 </w:t>
            </w:r>
          </w:p>
        </w:tc>
      </w:tr>
      <w:tr w:rsidR="00CA2E8F" w:rsidRPr="001567C8" w:rsidTr="003C6BA3">
        <w:trPr>
          <w:trHeight w:val="271"/>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 xml:space="preserve">Smanjenje rezerviranja za </w:t>
            </w:r>
            <w:r w:rsidR="009C322E" w:rsidRPr="00CD3A2D">
              <w:rPr>
                <w:rFonts w:ascii="Calibri" w:hAnsi="Calibri"/>
                <w:color w:val="000000"/>
                <w:sz w:val="21"/>
                <w:szCs w:val="21"/>
                <w:lang w:val="hr-HR"/>
              </w:rPr>
              <w:t>očekivane</w:t>
            </w:r>
            <w:r w:rsidRPr="00CD3A2D">
              <w:rPr>
                <w:rFonts w:ascii="Calibri" w:hAnsi="Calibri"/>
                <w:color w:val="000000"/>
                <w:sz w:val="21"/>
                <w:szCs w:val="21"/>
                <w:lang w:val="hr-HR"/>
              </w:rPr>
              <w:t xml:space="preserve"> gubitke po ostaloj imovini</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(5</w:t>
            </w:r>
            <w:r w:rsidR="0044791D" w:rsidRPr="00CD3A2D">
              <w:rPr>
                <w:rFonts w:ascii="Calibri" w:hAnsi="Calibri"/>
                <w:color w:val="000000"/>
                <w:sz w:val="21"/>
                <w:szCs w:val="21"/>
                <w:lang w:val="hr-HR"/>
              </w:rPr>
              <w:t>61</w:t>
            </w:r>
            <w:r w:rsidRPr="00CD3A2D">
              <w:rPr>
                <w:rFonts w:ascii="Calibri" w:hAnsi="Calibri"/>
                <w:color w:val="000000"/>
                <w:sz w:val="21"/>
                <w:szCs w:val="21"/>
                <w:lang w:val="hr-HR"/>
              </w:rPr>
              <w:t>)</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(4</w:t>
            </w:r>
            <w:r w:rsidR="0044791D" w:rsidRPr="00CD3A2D">
              <w:rPr>
                <w:rFonts w:ascii="Calibri" w:hAnsi="Calibri"/>
                <w:color w:val="000000"/>
                <w:sz w:val="21"/>
                <w:szCs w:val="21"/>
                <w:lang w:val="hr-HR"/>
              </w:rPr>
              <w:t>91</w:t>
            </w:r>
            <w:r w:rsidRPr="00CD3A2D">
              <w:rPr>
                <w:rFonts w:ascii="Calibri" w:hAnsi="Calibri"/>
                <w:color w:val="000000"/>
                <w:sz w:val="21"/>
                <w:szCs w:val="21"/>
                <w:lang w:val="hr-HR"/>
              </w:rPr>
              <w:t>)</w:t>
            </w:r>
          </w:p>
        </w:tc>
      </w:tr>
      <w:tr w:rsidR="00914A27" w:rsidRPr="001567C8" w:rsidTr="0006799C">
        <w:trPr>
          <w:trHeight w:val="286"/>
        </w:trPr>
        <w:tc>
          <w:tcPr>
            <w:tcW w:w="6247" w:type="dxa"/>
            <w:tcBorders>
              <w:top w:val="nil"/>
              <w:left w:val="nil"/>
              <w:bottom w:val="nil"/>
              <w:right w:val="nil"/>
            </w:tcBorders>
            <w:shd w:val="clear" w:color="auto" w:fill="auto"/>
            <w:vAlign w:val="center"/>
            <w:hideMark/>
          </w:tcPr>
          <w:p w:rsidR="00914A27" w:rsidRPr="00CD3A2D" w:rsidRDefault="00914A27" w:rsidP="0006799C">
            <w:pPr>
              <w:rPr>
                <w:rFonts w:ascii="Calibri" w:hAnsi="Calibri"/>
                <w:i/>
                <w:iCs/>
                <w:color w:val="000000"/>
                <w:sz w:val="21"/>
                <w:szCs w:val="21"/>
                <w:lang w:val="hr-HR"/>
              </w:rPr>
            </w:pPr>
            <w:r w:rsidRPr="00CD3A2D">
              <w:rPr>
                <w:rFonts w:ascii="Calibri" w:hAnsi="Calibri"/>
                <w:i/>
                <w:iCs/>
                <w:color w:val="000000"/>
                <w:sz w:val="21"/>
                <w:szCs w:val="21"/>
                <w:lang w:val="hr-HR"/>
              </w:rPr>
              <w:t>Ukupno kroz dobit ili gubitak (bilješka 11)</w:t>
            </w:r>
          </w:p>
        </w:tc>
        <w:tc>
          <w:tcPr>
            <w:tcW w:w="1746" w:type="dxa"/>
            <w:tcBorders>
              <w:top w:val="single" w:sz="4" w:space="0" w:color="auto"/>
              <w:left w:val="nil"/>
              <w:bottom w:val="single" w:sz="4" w:space="0" w:color="auto"/>
              <w:right w:val="nil"/>
            </w:tcBorders>
            <w:shd w:val="clear" w:color="auto" w:fill="auto"/>
            <w:vAlign w:val="center"/>
            <w:hideMark/>
          </w:tcPr>
          <w:p w:rsidR="00914A27" w:rsidRPr="00CD3A2D" w:rsidRDefault="00914A27" w:rsidP="0006799C">
            <w:pPr>
              <w:jc w:val="right"/>
              <w:rPr>
                <w:rFonts w:ascii="Calibri" w:hAnsi="Calibri"/>
                <w:i/>
                <w:iCs/>
                <w:color w:val="000000"/>
                <w:sz w:val="21"/>
                <w:szCs w:val="21"/>
                <w:lang w:val="hr-HR"/>
              </w:rPr>
            </w:pPr>
            <w:r w:rsidRPr="00CD3A2D">
              <w:rPr>
                <w:rFonts w:ascii="Calibri" w:hAnsi="Calibri"/>
                <w:i/>
                <w:iCs/>
                <w:color w:val="000000"/>
                <w:sz w:val="21"/>
                <w:szCs w:val="21"/>
                <w:lang w:val="hr-HR"/>
              </w:rPr>
              <w:t>2.195</w:t>
            </w:r>
          </w:p>
        </w:tc>
        <w:tc>
          <w:tcPr>
            <w:tcW w:w="1746" w:type="dxa"/>
            <w:tcBorders>
              <w:top w:val="single" w:sz="4" w:space="0" w:color="auto"/>
              <w:left w:val="nil"/>
              <w:bottom w:val="single" w:sz="4" w:space="0" w:color="auto"/>
              <w:right w:val="nil"/>
            </w:tcBorders>
            <w:shd w:val="clear" w:color="auto" w:fill="auto"/>
            <w:vAlign w:val="center"/>
            <w:hideMark/>
          </w:tcPr>
          <w:p w:rsidR="00914A27" w:rsidRPr="00CD3A2D" w:rsidRDefault="00914A27" w:rsidP="0006799C">
            <w:pPr>
              <w:jc w:val="right"/>
              <w:rPr>
                <w:rFonts w:ascii="Calibri" w:hAnsi="Calibri"/>
                <w:i/>
                <w:iCs/>
                <w:color w:val="000000"/>
                <w:sz w:val="21"/>
                <w:szCs w:val="21"/>
                <w:lang w:val="hr-HR"/>
              </w:rPr>
            </w:pPr>
            <w:r w:rsidRPr="00CD3A2D">
              <w:rPr>
                <w:rFonts w:ascii="Calibri" w:hAnsi="Calibri"/>
                <w:i/>
                <w:iCs/>
                <w:color w:val="000000"/>
                <w:sz w:val="21"/>
                <w:szCs w:val="21"/>
                <w:lang w:val="hr-HR"/>
              </w:rPr>
              <w:t xml:space="preserve">        1.908 </w:t>
            </w:r>
          </w:p>
        </w:tc>
      </w:tr>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Otpis</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(1)</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(1)</w:t>
            </w:r>
          </w:p>
        </w:tc>
      </w:tr>
      <w:tr w:rsidR="0044791D" w:rsidRPr="001567C8" w:rsidTr="003C6BA3">
        <w:trPr>
          <w:trHeight w:val="286"/>
        </w:trPr>
        <w:tc>
          <w:tcPr>
            <w:tcW w:w="6247" w:type="dxa"/>
            <w:tcBorders>
              <w:top w:val="nil"/>
              <w:left w:val="nil"/>
              <w:bottom w:val="nil"/>
              <w:right w:val="nil"/>
            </w:tcBorders>
            <w:shd w:val="clear" w:color="auto" w:fill="auto"/>
            <w:vAlign w:val="center"/>
          </w:tcPr>
          <w:p w:rsidR="0044791D" w:rsidRPr="00CD3A2D" w:rsidRDefault="0044791D" w:rsidP="00F73AE6">
            <w:pPr>
              <w:rPr>
                <w:rFonts w:ascii="Calibri" w:hAnsi="Calibri"/>
                <w:color w:val="000000"/>
                <w:sz w:val="21"/>
                <w:szCs w:val="21"/>
                <w:lang w:val="hr-HR"/>
              </w:rPr>
            </w:pPr>
            <w:r w:rsidRPr="00CD3A2D">
              <w:rPr>
                <w:rFonts w:ascii="Calibri" w:hAnsi="Calibri"/>
                <w:color w:val="000000"/>
                <w:sz w:val="21"/>
                <w:szCs w:val="21"/>
                <w:lang w:val="hr-HR"/>
              </w:rPr>
              <w:t>Ostalo</w:t>
            </w:r>
          </w:p>
        </w:tc>
        <w:tc>
          <w:tcPr>
            <w:tcW w:w="1746" w:type="dxa"/>
            <w:tcBorders>
              <w:top w:val="nil"/>
              <w:left w:val="nil"/>
              <w:bottom w:val="nil"/>
              <w:right w:val="nil"/>
            </w:tcBorders>
            <w:shd w:val="clear" w:color="auto" w:fill="auto"/>
            <w:vAlign w:val="center"/>
          </w:tcPr>
          <w:p w:rsidR="0044791D" w:rsidRPr="00CD3A2D" w:rsidRDefault="0044791D" w:rsidP="00F73AE6">
            <w:pPr>
              <w:jc w:val="right"/>
              <w:rPr>
                <w:rFonts w:ascii="Calibri" w:hAnsi="Calibri"/>
                <w:color w:val="000000"/>
                <w:sz w:val="21"/>
                <w:szCs w:val="21"/>
                <w:lang w:val="hr-HR"/>
              </w:rPr>
            </w:pPr>
            <w:r w:rsidRPr="00CD3A2D">
              <w:rPr>
                <w:rFonts w:ascii="Calibri" w:hAnsi="Calibri"/>
                <w:color w:val="000000"/>
                <w:sz w:val="21"/>
                <w:szCs w:val="21"/>
                <w:lang w:val="hr-HR"/>
              </w:rPr>
              <w:t>2</w:t>
            </w:r>
          </w:p>
        </w:tc>
        <w:tc>
          <w:tcPr>
            <w:tcW w:w="1746" w:type="dxa"/>
            <w:tcBorders>
              <w:top w:val="nil"/>
              <w:left w:val="nil"/>
              <w:bottom w:val="nil"/>
              <w:right w:val="nil"/>
            </w:tcBorders>
            <w:shd w:val="clear" w:color="auto" w:fill="auto"/>
            <w:vAlign w:val="center"/>
          </w:tcPr>
          <w:p w:rsidR="0044791D" w:rsidRPr="00CD3A2D" w:rsidRDefault="0044791D" w:rsidP="00F73AE6">
            <w:pPr>
              <w:jc w:val="right"/>
              <w:rPr>
                <w:rFonts w:ascii="Calibri" w:hAnsi="Calibri"/>
                <w:color w:val="000000"/>
                <w:sz w:val="21"/>
                <w:szCs w:val="21"/>
                <w:lang w:val="hr-HR"/>
              </w:rPr>
            </w:pPr>
            <w:r w:rsidRPr="00CD3A2D">
              <w:rPr>
                <w:rFonts w:ascii="Calibri" w:hAnsi="Calibri"/>
                <w:color w:val="000000"/>
                <w:sz w:val="21"/>
                <w:szCs w:val="21"/>
                <w:lang w:val="hr-HR"/>
              </w:rPr>
              <w:t>2</w:t>
            </w:r>
          </w:p>
        </w:tc>
      </w:tr>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b/>
                <w:bCs/>
                <w:color w:val="000000"/>
                <w:sz w:val="21"/>
                <w:szCs w:val="21"/>
                <w:lang w:val="hr-HR"/>
              </w:rPr>
            </w:pPr>
            <w:r w:rsidRPr="00CD3A2D">
              <w:rPr>
                <w:rFonts w:ascii="Calibri" w:hAnsi="Calibri"/>
                <w:b/>
                <w:bCs/>
                <w:color w:val="000000"/>
                <w:sz w:val="21"/>
                <w:szCs w:val="21"/>
                <w:lang w:val="hr-HR"/>
              </w:rPr>
              <w:t xml:space="preserve">Stanje 31. </w:t>
            </w:r>
            <w:r w:rsidR="00200476" w:rsidRPr="00CD3A2D">
              <w:rPr>
                <w:rFonts w:ascii="Calibri" w:hAnsi="Calibri"/>
                <w:b/>
                <w:bCs/>
                <w:color w:val="000000"/>
                <w:sz w:val="21"/>
                <w:szCs w:val="21"/>
                <w:lang w:val="hr-HR"/>
              </w:rPr>
              <w:t>P</w:t>
            </w:r>
            <w:r w:rsidRPr="00CD3A2D">
              <w:rPr>
                <w:rFonts w:ascii="Calibri" w:hAnsi="Calibri"/>
                <w:b/>
                <w:bCs/>
                <w:color w:val="000000"/>
                <w:sz w:val="21"/>
                <w:szCs w:val="21"/>
                <w:lang w:val="hr-HR"/>
              </w:rPr>
              <w:t>rosinca</w:t>
            </w:r>
            <w:r w:rsidR="00200476" w:rsidRPr="00CD3A2D">
              <w:rPr>
                <w:rFonts w:ascii="Calibri" w:hAnsi="Calibri"/>
                <w:b/>
                <w:bCs/>
                <w:color w:val="000000"/>
                <w:sz w:val="21"/>
                <w:szCs w:val="21"/>
                <w:lang w:val="hr-HR"/>
              </w:rPr>
              <w:t xml:space="preserve"> 2017. godine</w:t>
            </w:r>
          </w:p>
        </w:tc>
        <w:tc>
          <w:tcPr>
            <w:tcW w:w="1746" w:type="dxa"/>
            <w:tcBorders>
              <w:top w:val="single" w:sz="4" w:space="0" w:color="auto"/>
              <w:left w:val="nil"/>
              <w:bottom w:val="single" w:sz="8" w:space="0" w:color="auto"/>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 xml:space="preserve">     6.737 </w:t>
            </w:r>
          </w:p>
        </w:tc>
        <w:tc>
          <w:tcPr>
            <w:tcW w:w="1746" w:type="dxa"/>
            <w:tcBorders>
              <w:top w:val="single" w:sz="4" w:space="0" w:color="auto"/>
              <w:left w:val="nil"/>
              <w:bottom w:val="single" w:sz="8" w:space="0" w:color="auto"/>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 xml:space="preserve">   6.446 </w:t>
            </w:r>
          </w:p>
        </w:tc>
      </w:tr>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Učinak MSFI-ja 9 (bilješka 5)</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6.664 </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6.641 </w:t>
            </w:r>
          </w:p>
        </w:tc>
      </w:tr>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Ostala usklađenja</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(178)</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 </w:t>
            </w:r>
          </w:p>
        </w:tc>
      </w:tr>
      <w:tr w:rsidR="00CA2E8F" w:rsidRPr="001567C8" w:rsidTr="003C6BA3">
        <w:trPr>
          <w:trHeight w:val="299"/>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b/>
                <w:bCs/>
                <w:color w:val="000000"/>
                <w:sz w:val="21"/>
                <w:szCs w:val="21"/>
                <w:lang w:val="hr-HR"/>
              </w:rPr>
            </w:pPr>
            <w:r w:rsidRPr="00CD3A2D">
              <w:rPr>
                <w:rFonts w:ascii="Calibri" w:hAnsi="Calibri"/>
                <w:b/>
                <w:bCs/>
                <w:color w:val="000000"/>
                <w:sz w:val="21"/>
                <w:szCs w:val="21"/>
                <w:lang w:val="hr-HR"/>
              </w:rPr>
              <w:t>Stanje 1. siječnja 2018. godine</w:t>
            </w:r>
          </w:p>
        </w:tc>
        <w:tc>
          <w:tcPr>
            <w:tcW w:w="1746" w:type="dxa"/>
            <w:tcBorders>
              <w:top w:val="single" w:sz="4" w:space="0" w:color="auto"/>
              <w:left w:val="nil"/>
              <w:bottom w:val="single" w:sz="8" w:space="0" w:color="auto"/>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 xml:space="preserve">13.223 </w:t>
            </w:r>
          </w:p>
        </w:tc>
        <w:tc>
          <w:tcPr>
            <w:tcW w:w="1746" w:type="dxa"/>
            <w:tcBorders>
              <w:top w:val="single" w:sz="4" w:space="0" w:color="auto"/>
              <w:left w:val="nil"/>
              <w:bottom w:val="single" w:sz="8" w:space="0" w:color="auto"/>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 xml:space="preserve">   13.087 </w:t>
            </w:r>
          </w:p>
        </w:tc>
      </w:tr>
      <w:tr w:rsidR="00CA2E8F" w:rsidRPr="001567C8" w:rsidTr="003C6BA3">
        <w:trPr>
          <w:trHeight w:val="314"/>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 xml:space="preserve">Povećanje rezerviranja za </w:t>
            </w:r>
            <w:r w:rsidR="009C322E" w:rsidRPr="00CD3A2D">
              <w:rPr>
                <w:rFonts w:ascii="Calibri" w:hAnsi="Calibri"/>
                <w:color w:val="000000"/>
                <w:sz w:val="21"/>
                <w:szCs w:val="21"/>
                <w:lang w:val="hr-HR"/>
              </w:rPr>
              <w:t>očekivane</w:t>
            </w:r>
            <w:r w:rsidRPr="00CD3A2D">
              <w:rPr>
                <w:rFonts w:ascii="Calibri" w:hAnsi="Calibri"/>
                <w:color w:val="000000"/>
                <w:sz w:val="21"/>
                <w:szCs w:val="21"/>
                <w:lang w:val="hr-HR"/>
              </w:rPr>
              <w:t xml:space="preserve"> gubitke po ostaloj imovini</w:t>
            </w:r>
          </w:p>
        </w:tc>
        <w:tc>
          <w:tcPr>
            <w:tcW w:w="1746" w:type="dxa"/>
            <w:tcBorders>
              <w:top w:val="nil"/>
              <w:left w:val="nil"/>
              <w:bottom w:val="nil"/>
              <w:right w:val="nil"/>
            </w:tcBorders>
            <w:shd w:val="clear" w:color="auto" w:fill="auto"/>
            <w:vAlign w:val="center"/>
            <w:hideMark/>
          </w:tcPr>
          <w:p w:rsidR="00CA2E8F" w:rsidRPr="00CD3A2D" w:rsidRDefault="00A24850" w:rsidP="003C6BA3">
            <w:pPr>
              <w:jc w:val="right"/>
              <w:rPr>
                <w:rFonts w:ascii="Calibri" w:hAnsi="Calibri"/>
                <w:color w:val="000000"/>
                <w:sz w:val="21"/>
                <w:szCs w:val="21"/>
                <w:lang w:val="hr-HR"/>
              </w:rPr>
            </w:pPr>
            <w:r w:rsidRPr="00CD3A2D">
              <w:rPr>
                <w:rFonts w:ascii="Calibri" w:hAnsi="Calibri"/>
                <w:color w:val="000000"/>
                <w:sz w:val="21"/>
                <w:szCs w:val="21"/>
                <w:lang w:val="hr-HR"/>
              </w:rPr>
              <w:t>27.356</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27.157 </w:t>
            </w:r>
          </w:p>
        </w:tc>
      </w:tr>
      <w:tr w:rsidR="00CA2E8F" w:rsidRPr="001567C8" w:rsidTr="0044791D">
        <w:trPr>
          <w:trHeight w:val="299"/>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 xml:space="preserve">Smanjenje rezerviranja za </w:t>
            </w:r>
            <w:r w:rsidR="009C322E" w:rsidRPr="00CD3A2D">
              <w:rPr>
                <w:rFonts w:ascii="Calibri" w:hAnsi="Calibri"/>
                <w:color w:val="000000"/>
                <w:sz w:val="21"/>
                <w:szCs w:val="21"/>
                <w:lang w:val="hr-HR"/>
              </w:rPr>
              <w:t>očekivane</w:t>
            </w:r>
            <w:r w:rsidRPr="00CD3A2D">
              <w:rPr>
                <w:rFonts w:ascii="Calibri" w:hAnsi="Calibri"/>
                <w:color w:val="000000"/>
                <w:sz w:val="21"/>
                <w:szCs w:val="21"/>
                <w:lang w:val="hr-HR"/>
              </w:rPr>
              <w:t xml:space="preserve"> gubitke po ostaloj imovini</w:t>
            </w:r>
          </w:p>
        </w:tc>
        <w:tc>
          <w:tcPr>
            <w:tcW w:w="1746" w:type="dxa"/>
            <w:tcBorders>
              <w:top w:val="nil"/>
              <w:left w:val="nil"/>
              <w:bottom w:val="single" w:sz="4" w:space="0" w:color="auto"/>
              <w:right w:val="nil"/>
            </w:tcBorders>
            <w:shd w:val="clear" w:color="auto" w:fill="auto"/>
            <w:vAlign w:val="center"/>
            <w:hideMark/>
          </w:tcPr>
          <w:p w:rsidR="00CA2E8F" w:rsidRPr="00CD3A2D" w:rsidRDefault="007A45BA" w:rsidP="003C6BA3">
            <w:pPr>
              <w:jc w:val="right"/>
              <w:rPr>
                <w:rFonts w:ascii="Calibri" w:hAnsi="Calibri"/>
                <w:color w:val="000000"/>
                <w:sz w:val="21"/>
                <w:szCs w:val="21"/>
                <w:lang w:val="hr-HR"/>
              </w:rPr>
            </w:pPr>
            <w:r w:rsidRPr="00CD3A2D">
              <w:rPr>
                <w:rFonts w:ascii="Calibri" w:hAnsi="Calibri"/>
                <w:color w:val="000000"/>
                <w:sz w:val="21"/>
                <w:szCs w:val="21"/>
                <w:lang w:val="hr-HR"/>
              </w:rPr>
              <w:t>(6.4</w:t>
            </w:r>
            <w:r w:rsidR="0044791D" w:rsidRPr="00CD3A2D">
              <w:rPr>
                <w:rFonts w:ascii="Calibri" w:hAnsi="Calibri"/>
                <w:color w:val="000000"/>
                <w:sz w:val="21"/>
                <w:szCs w:val="21"/>
                <w:lang w:val="hr-HR"/>
              </w:rPr>
              <w:t>41</w:t>
            </w:r>
            <w:r w:rsidRPr="00CD3A2D">
              <w:rPr>
                <w:rFonts w:ascii="Calibri" w:hAnsi="Calibri"/>
                <w:color w:val="000000"/>
                <w:sz w:val="21"/>
                <w:szCs w:val="21"/>
                <w:lang w:val="hr-HR"/>
              </w:rPr>
              <w:t>)</w:t>
            </w:r>
          </w:p>
        </w:tc>
        <w:tc>
          <w:tcPr>
            <w:tcW w:w="1746" w:type="dxa"/>
            <w:tcBorders>
              <w:top w:val="nil"/>
              <w:left w:val="nil"/>
              <w:bottom w:val="single" w:sz="4" w:space="0" w:color="auto"/>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(6.343)</w:t>
            </w:r>
          </w:p>
        </w:tc>
      </w:tr>
      <w:tr w:rsidR="00CA2E8F" w:rsidRPr="001567C8" w:rsidTr="0044791D">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i/>
                <w:iCs/>
                <w:color w:val="000000"/>
                <w:sz w:val="21"/>
                <w:szCs w:val="21"/>
                <w:lang w:val="hr-HR"/>
              </w:rPr>
            </w:pPr>
            <w:r w:rsidRPr="00CD3A2D">
              <w:rPr>
                <w:rFonts w:ascii="Calibri" w:hAnsi="Calibri"/>
                <w:i/>
                <w:iCs/>
                <w:color w:val="000000"/>
                <w:sz w:val="21"/>
                <w:szCs w:val="21"/>
                <w:lang w:val="hr-HR"/>
              </w:rPr>
              <w:t>Ukupno kroz dobit i</w:t>
            </w:r>
            <w:r w:rsidR="00316574" w:rsidRPr="00CD3A2D">
              <w:rPr>
                <w:rFonts w:ascii="Calibri" w:hAnsi="Calibri"/>
                <w:i/>
                <w:iCs/>
                <w:color w:val="000000"/>
                <w:sz w:val="21"/>
                <w:szCs w:val="21"/>
                <w:lang w:val="hr-HR"/>
              </w:rPr>
              <w:t>li</w:t>
            </w:r>
            <w:r w:rsidRPr="00CD3A2D">
              <w:rPr>
                <w:rFonts w:ascii="Calibri" w:hAnsi="Calibri"/>
                <w:i/>
                <w:iCs/>
                <w:color w:val="000000"/>
                <w:sz w:val="21"/>
                <w:szCs w:val="21"/>
                <w:lang w:val="hr-HR"/>
              </w:rPr>
              <w:t xml:space="preserve"> gubit</w:t>
            </w:r>
            <w:r w:rsidR="00316574" w:rsidRPr="00CD3A2D">
              <w:rPr>
                <w:rFonts w:ascii="Calibri" w:hAnsi="Calibri"/>
                <w:i/>
                <w:iCs/>
                <w:color w:val="000000"/>
                <w:sz w:val="21"/>
                <w:szCs w:val="21"/>
                <w:lang w:val="hr-HR"/>
              </w:rPr>
              <w:t>ak</w:t>
            </w:r>
            <w:r w:rsidRPr="00CD3A2D">
              <w:rPr>
                <w:rFonts w:ascii="Calibri" w:hAnsi="Calibri"/>
                <w:i/>
                <w:iCs/>
                <w:color w:val="000000"/>
                <w:sz w:val="21"/>
                <w:szCs w:val="21"/>
                <w:lang w:val="hr-HR"/>
              </w:rPr>
              <w:t xml:space="preserve"> (bilješka </w:t>
            </w:r>
            <w:r w:rsidR="00404ED1" w:rsidRPr="00CD3A2D">
              <w:rPr>
                <w:rFonts w:ascii="Calibri" w:hAnsi="Calibri"/>
                <w:i/>
                <w:iCs/>
                <w:color w:val="000000"/>
                <w:sz w:val="21"/>
                <w:szCs w:val="21"/>
                <w:lang w:val="hr-HR"/>
              </w:rPr>
              <w:t>11</w:t>
            </w:r>
            <w:r w:rsidRPr="00CD3A2D">
              <w:rPr>
                <w:rFonts w:ascii="Calibri" w:hAnsi="Calibri"/>
                <w:i/>
                <w:iCs/>
                <w:color w:val="000000"/>
                <w:sz w:val="21"/>
                <w:szCs w:val="21"/>
                <w:lang w:val="hr-HR"/>
              </w:rPr>
              <w:t>)</w:t>
            </w:r>
          </w:p>
        </w:tc>
        <w:tc>
          <w:tcPr>
            <w:tcW w:w="1746" w:type="dxa"/>
            <w:tcBorders>
              <w:top w:val="single" w:sz="4" w:space="0" w:color="auto"/>
              <w:left w:val="nil"/>
              <w:bottom w:val="single" w:sz="4" w:space="0" w:color="auto"/>
              <w:right w:val="nil"/>
            </w:tcBorders>
            <w:shd w:val="clear" w:color="auto" w:fill="auto"/>
            <w:vAlign w:val="center"/>
            <w:hideMark/>
          </w:tcPr>
          <w:p w:rsidR="00CA2E8F" w:rsidRPr="00CD3A2D" w:rsidRDefault="00CA2E8F" w:rsidP="00F73AE6">
            <w:pPr>
              <w:jc w:val="right"/>
              <w:rPr>
                <w:rFonts w:ascii="Calibri" w:hAnsi="Calibri"/>
                <w:i/>
                <w:iCs/>
                <w:color w:val="000000"/>
                <w:sz w:val="21"/>
                <w:szCs w:val="21"/>
                <w:lang w:val="hr-HR"/>
              </w:rPr>
            </w:pPr>
            <w:r w:rsidRPr="00CD3A2D">
              <w:rPr>
                <w:rFonts w:ascii="Calibri" w:hAnsi="Calibri"/>
                <w:i/>
                <w:iCs/>
                <w:color w:val="000000"/>
                <w:sz w:val="21"/>
                <w:szCs w:val="21"/>
                <w:lang w:val="hr-HR"/>
              </w:rPr>
              <w:t xml:space="preserve">          </w:t>
            </w:r>
            <w:r w:rsidR="007A45BA" w:rsidRPr="00CD3A2D">
              <w:rPr>
                <w:rFonts w:ascii="Calibri" w:hAnsi="Calibri"/>
                <w:i/>
                <w:iCs/>
                <w:color w:val="000000"/>
                <w:sz w:val="21"/>
                <w:szCs w:val="21"/>
                <w:lang w:val="hr-HR"/>
              </w:rPr>
              <w:t xml:space="preserve"> 20.915</w:t>
            </w:r>
          </w:p>
        </w:tc>
        <w:tc>
          <w:tcPr>
            <w:tcW w:w="1746" w:type="dxa"/>
            <w:tcBorders>
              <w:top w:val="single" w:sz="4" w:space="0" w:color="auto"/>
              <w:left w:val="nil"/>
              <w:bottom w:val="single" w:sz="4" w:space="0" w:color="auto"/>
              <w:right w:val="nil"/>
            </w:tcBorders>
            <w:shd w:val="clear" w:color="auto" w:fill="auto"/>
            <w:vAlign w:val="center"/>
            <w:hideMark/>
          </w:tcPr>
          <w:p w:rsidR="00CA2E8F" w:rsidRPr="00CD3A2D" w:rsidRDefault="00CA2E8F" w:rsidP="00F73AE6">
            <w:pPr>
              <w:jc w:val="right"/>
              <w:rPr>
                <w:rFonts w:ascii="Calibri" w:hAnsi="Calibri"/>
                <w:i/>
                <w:iCs/>
                <w:color w:val="000000"/>
                <w:sz w:val="21"/>
                <w:szCs w:val="21"/>
                <w:lang w:val="hr-HR"/>
              </w:rPr>
            </w:pPr>
            <w:r w:rsidRPr="00CD3A2D">
              <w:rPr>
                <w:rFonts w:ascii="Calibri" w:hAnsi="Calibri"/>
                <w:i/>
                <w:iCs/>
                <w:color w:val="000000"/>
                <w:sz w:val="21"/>
                <w:szCs w:val="21"/>
                <w:lang w:val="hr-HR"/>
              </w:rPr>
              <w:t xml:space="preserve">        20.814 </w:t>
            </w:r>
          </w:p>
        </w:tc>
      </w:tr>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Otpis</w:t>
            </w:r>
          </w:p>
        </w:tc>
        <w:tc>
          <w:tcPr>
            <w:tcW w:w="1746" w:type="dxa"/>
            <w:tcBorders>
              <w:top w:val="nil"/>
              <w:left w:val="nil"/>
              <w:bottom w:val="nil"/>
              <w:right w:val="nil"/>
            </w:tcBorders>
            <w:shd w:val="clear" w:color="auto" w:fill="auto"/>
            <w:vAlign w:val="center"/>
            <w:hideMark/>
          </w:tcPr>
          <w:p w:rsidR="00CA2E8F" w:rsidRPr="00CD3A2D" w:rsidRDefault="007A45BA" w:rsidP="003C6BA3">
            <w:pPr>
              <w:jc w:val="right"/>
              <w:rPr>
                <w:rFonts w:ascii="Calibri" w:hAnsi="Calibri"/>
                <w:color w:val="000000"/>
                <w:sz w:val="21"/>
                <w:szCs w:val="21"/>
                <w:lang w:val="hr-HR"/>
              </w:rPr>
            </w:pPr>
            <w:r w:rsidRPr="00CD3A2D">
              <w:rPr>
                <w:rFonts w:ascii="Calibri" w:hAnsi="Calibri"/>
                <w:color w:val="000000"/>
                <w:sz w:val="21"/>
                <w:szCs w:val="21"/>
                <w:lang w:val="hr-HR"/>
              </w:rPr>
              <w:t>(10)</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(10)</w:t>
            </w:r>
          </w:p>
        </w:tc>
      </w:tr>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Preuzimanje nekretnine</w:t>
            </w:r>
          </w:p>
        </w:tc>
        <w:tc>
          <w:tcPr>
            <w:tcW w:w="1746" w:type="dxa"/>
            <w:tcBorders>
              <w:top w:val="nil"/>
              <w:left w:val="nil"/>
              <w:bottom w:val="nil"/>
              <w:right w:val="nil"/>
            </w:tcBorders>
            <w:shd w:val="clear" w:color="auto" w:fill="auto"/>
            <w:vAlign w:val="center"/>
            <w:hideMark/>
          </w:tcPr>
          <w:p w:rsidR="00CA2E8F" w:rsidRPr="00CD3A2D" w:rsidRDefault="007A45BA" w:rsidP="003C6BA3">
            <w:pPr>
              <w:jc w:val="right"/>
              <w:rPr>
                <w:rFonts w:ascii="Calibri" w:hAnsi="Calibri"/>
                <w:color w:val="000000"/>
                <w:sz w:val="21"/>
                <w:szCs w:val="21"/>
                <w:lang w:val="hr-HR"/>
              </w:rPr>
            </w:pPr>
            <w:r w:rsidRPr="00CD3A2D">
              <w:rPr>
                <w:rFonts w:ascii="Calibri" w:hAnsi="Calibri"/>
                <w:color w:val="000000"/>
                <w:sz w:val="21"/>
                <w:szCs w:val="21"/>
                <w:lang w:val="hr-HR"/>
              </w:rPr>
              <w:t>(14)</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(14)</w:t>
            </w:r>
          </w:p>
        </w:tc>
      </w:tr>
      <w:tr w:rsidR="00CA2E8F" w:rsidRPr="001567C8" w:rsidTr="003C6BA3">
        <w:trPr>
          <w:trHeight w:val="286"/>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color w:val="000000"/>
                <w:sz w:val="21"/>
                <w:szCs w:val="21"/>
                <w:lang w:val="hr-HR"/>
              </w:rPr>
            </w:pPr>
            <w:r w:rsidRPr="00CD3A2D">
              <w:rPr>
                <w:rFonts w:ascii="Calibri" w:hAnsi="Calibri"/>
                <w:color w:val="000000"/>
                <w:sz w:val="21"/>
                <w:szCs w:val="21"/>
                <w:lang w:val="hr-HR"/>
              </w:rPr>
              <w:t xml:space="preserve">Neto </w:t>
            </w:r>
            <w:r w:rsidR="0063609C" w:rsidRPr="00CD3A2D">
              <w:rPr>
                <w:rFonts w:ascii="Calibri" w:hAnsi="Calibri"/>
                <w:color w:val="000000"/>
                <w:sz w:val="21"/>
                <w:szCs w:val="21"/>
                <w:lang w:val="hr-HR"/>
              </w:rPr>
              <w:t>dobit od tečajnih razlika po rezerviranjima za očekivane gubitke</w:t>
            </w:r>
          </w:p>
        </w:tc>
        <w:tc>
          <w:tcPr>
            <w:tcW w:w="1746" w:type="dxa"/>
            <w:tcBorders>
              <w:top w:val="nil"/>
              <w:left w:val="nil"/>
              <w:bottom w:val="nil"/>
              <w:right w:val="nil"/>
            </w:tcBorders>
            <w:shd w:val="clear" w:color="auto" w:fill="auto"/>
            <w:vAlign w:val="center"/>
            <w:hideMark/>
          </w:tcPr>
          <w:p w:rsidR="00CA2E8F" w:rsidRPr="00CD3A2D" w:rsidRDefault="007A45BA" w:rsidP="003C6BA3">
            <w:pPr>
              <w:jc w:val="right"/>
              <w:rPr>
                <w:rFonts w:ascii="Calibri" w:hAnsi="Calibri"/>
                <w:color w:val="000000"/>
                <w:sz w:val="21"/>
                <w:szCs w:val="21"/>
                <w:lang w:val="hr-HR"/>
              </w:rPr>
            </w:pPr>
            <w:r w:rsidRPr="00CD3A2D">
              <w:rPr>
                <w:rFonts w:ascii="Calibri" w:hAnsi="Calibri"/>
                <w:color w:val="000000"/>
                <w:sz w:val="21"/>
                <w:szCs w:val="21"/>
                <w:lang w:val="hr-HR"/>
              </w:rPr>
              <w:t>6</w:t>
            </w:r>
          </w:p>
        </w:tc>
        <w:tc>
          <w:tcPr>
            <w:tcW w:w="1746" w:type="dxa"/>
            <w:tcBorders>
              <w:top w:val="nil"/>
              <w:left w:val="nil"/>
              <w:bottom w:val="nil"/>
              <w:right w:val="nil"/>
            </w:tcBorders>
            <w:shd w:val="clear" w:color="auto" w:fill="auto"/>
            <w:vAlign w:val="center"/>
            <w:hideMark/>
          </w:tcPr>
          <w:p w:rsidR="00CA2E8F" w:rsidRPr="00CD3A2D" w:rsidRDefault="00CA2E8F" w:rsidP="00F73AE6">
            <w:pPr>
              <w:jc w:val="right"/>
              <w:rPr>
                <w:rFonts w:ascii="Calibri" w:hAnsi="Calibri"/>
                <w:color w:val="000000"/>
                <w:sz w:val="21"/>
                <w:szCs w:val="21"/>
                <w:lang w:val="hr-HR"/>
              </w:rPr>
            </w:pPr>
            <w:r w:rsidRPr="00CD3A2D">
              <w:rPr>
                <w:rFonts w:ascii="Calibri" w:hAnsi="Calibri"/>
                <w:color w:val="000000"/>
                <w:sz w:val="21"/>
                <w:szCs w:val="21"/>
                <w:lang w:val="hr-HR"/>
              </w:rPr>
              <w:t xml:space="preserve">         6 </w:t>
            </w:r>
          </w:p>
        </w:tc>
      </w:tr>
      <w:tr w:rsidR="007A45BA" w:rsidRPr="001567C8" w:rsidTr="003C6BA3">
        <w:trPr>
          <w:trHeight w:val="286"/>
        </w:trPr>
        <w:tc>
          <w:tcPr>
            <w:tcW w:w="6247" w:type="dxa"/>
            <w:tcBorders>
              <w:top w:val="nil"/>
              <w:left w:val="nil"/>
              <w:bottom w:val="nil"/>
              <w:right w:val="nil"/>
            </w:tcBorders>
            <w:shd w:val="clear" w:color="auto" w:fill="auto"/>
            <w:vAlign w:val="center"/>
          </w:tcPr>
          <w:p w:rsidR="007A45BA" w:rsidRPr="00CD3A2D" w:rsidRDefault="007A45BA" w:rsidP="00F73AE6">
            <w:pPr>
              <w:rPr>
                <w:rFonts w:ascii="Calibri" w:hAnsi="Calibri"/>
                <w:color w:val="000000"/>
                <w:sz w:val="21"/>
                <w:szCs w:val="21"/>
                <w:lang w:val="hr-HR"/>
              </w:rPr>
            </w:pPr>
            <w:r w:rsidRPr="00CD3A2D">
              <w:rPr>
                <w:rFonts w:ascii="Calibri" w:hAnsi="Calibri"/>
                <w:color w:val="000000"/>
                <w:sz w:val="21"/>
                <w:szCs w:val="21"/>
                <w:lang w:val="hr-HR"/>
              </w:rPr>
              <w:t>Ostala usklađenja</w:t>
            </w:r>
          </w:p>
        </w:tc>
        <w:tc>
          <w:tcPr>
            <w:tcW w:w="1746" w:type="dxa"/>
            <w:tcBorders>
              <w:top w:val="nil"/>
              <w:left w:val="nil"/>
              <w:bottom w:val="nil"/>
              <w:right w:val="nil"/>
            </w:tcBorders>
            <w:shd w:val="clear" w:color="auto" w:fill="auto"/>
            <w:vAlign w:val="center"/>
          </w:tcPr>
          <w:p w:rsidR="007A45BA" w:rsidRPr="00CD3A2D" w:rsidRDefault="007A45BA" w:rsidP="007A45BA">
            <w:pPr>
              <w:jc w:val="right"/>
              <w:rPr>
                <w:rFonts w:ascii="Calibri" w:hAnsi="Calibri"/>
                <w:color w:val="000000"/>
                <w:sz w:val="21"/>
                <w:szCs w:val="21"/>
                <w:lang w:val="hr-HR"/>
              </w:rPr>
            </w:pPr>
            <w:r w:rsidRPr="00CD3A2D">
              <w:rPr>
                <w:rFonts w:ascii="Calibri" w:hAnsi="Calibri"/>
                <w:color w:val="000000"/>
                <w:sz w:val="21"/>
                <w:szCs w:val="21"/>
                <w:lang w:val="hr-HR"/>
              </w:rPr>
              <w:t>(2)</w:t>
            </w:r>
          </w:p>
        </w:tc>
        <w:tc>
          <w:tcPr>
            <w:tcW w:w="1746" w:type="dxa"/>
            <w:tcBorders>
              <w:top w:val="nil"/>
              <w:left w:val="nil"/>
              <w:bottom w:val="nil"/>
              <w:right w:val="nil"/>
            </w:tcBorders>
            <w:shd w:val="clear" w:color="auto" w:fill="auto"/>
            <w:vAlign w:val="center"/>
          </w:tcPr>
          <w:p w:rsidR="007A45BA" w:rsidRPr="00CD3A2D" w:rsidRDefault="007A45BA" w:rsidP="00F73AE6">
            <w:pPr>
              <w:jc w:val="right"/>
              <w:rPr>
                <w:rFonts w:ascii="Calibri" w:hAnsi="Calibri"/>
                <w:color w:val="000000"/>
                <w:sz w:val="21"/>
                <w:szCs w:val="21"/>
                <w:lang w:val="hr-HR"/>
              </w:rPr>
            </w:pPr>
            <w:r w:rsidRPr="00CD3A2D">
              <w:rPr>
                <w:rFonts w:ascii="Calibri" w:hAnsi="Calibri"/>
                <w:color w:val="000000"/>
                <w:sz w:val="21"/>
                <w:szCs w:val="21"/>
                <w:lang w:val="hr-HR"/>
              </w:rPr>
              <w:t>-</w:t>
            </w:r>
          </w:p>
        </w:tc>
      </w:tr>
      <w:tr w:rsidR="00CA2E8F" w:rsidRPr="001567C8" w:rsidTr="003C6BA3">
        <w:trPr>
          <w:trHeight w:val="299"/>
        </w:trPr>
        <w:tc>
          <w:tcPr>
            <w:tcW w:w="6247" w:type="dxa"/>
            <w:tcBorders>
              <w:top w:val="nil"/>
              <w:left w:val="nil"/>
              <w:bottom w:val="nil"/>
              <w:right w:val="nil"/>
            </w:tcBorders>
            <w:shd w:val="clear" w:color="auto" w:fill="auto"/>
            <w:vAlign w:val="center"/>
            <w:hideMark/>
          </w:tcPr>
          <w:p w:rsidR="00CA2E8F" w:rsidRPr="00CD3A2D" w:rsidRDefault="00CA2E8F" w:rsidP="00F73AE6">
            <w:pPr>
              <w:rPr>
                <w:rFonts w:ascii="Calibri" w:hAnsi="Calibri"/>
                <w:b/>
                <w:bCs/>
                <w:color w:val="000000"/>
                <w:sz w:val="21"/>
                <w:szCs w:val="21"/>
                <w:lang w:val="hr-HR"/>
              </w:rPr>
            </w:pPr>
            <w:r w:rsidRPr="00CD3A2D">
              <w:rPr>
                <w:rFonts w:ascii="Calibri" w:hAnsi="Calibri"/>
                <w:b/>
                <w:bCs/>
                <w:color w:val="000000"/>
                <w:sz w:val="21"/>
                <w:szCs w:val="21"/>
                <w:lang w:val="hr-HR"/>
              </w:rPr>
              <w:t>Stanje 31. prosinca 2018. godine</w:t>
            </w:r>
          </w:p>
        </w:tc>
        <w:tc>
          <w:tcPr>
            <w:tcW w:w="1746" w:type="dxa"/>
            <w:tcBorders>
              <w:top w:val="single" w:sz="4" w:space="0" w:color="auto"/>
              <w:left w:val="nil"/>
              <w:bottom w:val="single" w:sz="8" w:space="0" w:color="auto"/>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 xml:space="preserve">     </w:t>
            </w:r>
            <w:r w:rsidR="007A45BA" w:rsidRPr="00CD3A2D">
              <w:rPr>
                <w:rFonts w:ascii="Calibri" w:hAnsi="Calibri"/>
                <w:b/>
                <w:bCs/>
                <w:color w:val="000000"/>
                <w:sz w:val="21"/>
                <w:szCs w:val="21"/>
                <w:lang w:val="hr-HR"/>
              </w:rPr>
              <w:t xml:space="preserve"> 34.118</w:t>
            </w:r>
          </w:p>
        </w:tc>
        <w:tc>
          <w:tcPr>
            <w:tcW w:w="1746" w:type="dxa"/>
            <w:tcBorders>
              <w:top w:val="single" w:sz="4" w:space="0" w:color="auto"/>
              <w:left w:val="nil"/>
              <w:bottom w:val="single" w:sz="8" w:space="0" w:color="auto"/>
              <w:right w:val="nil"/>
            </w:tcBorders>
            <w:shd w:val="clear" w:color="auto" w:fill="auto"/>
            <w:vAlign w:val="center"/>
            <w:hideMark/>
          </w:tcPr>
          <w:p w:rsidR="00CA2E8F" w:rsidRPr="00CD3A2D" w:rsidRDefault="00CA2E8F" w:rsidP="00F73AE6">
            <w:pPr>
              <w:jc w:val="right"/>
              <w:rPr>
                <w:rFonts w:ascii="Calibri" w:hAnsi="Calibri"/>
                <w:b/>
                <w:bCs/>
                <w:color w:val="000000"/>
                <w:sz w:val="21"/>
                <w:szCs w:val="21"/>
                <w:lang w:val="hr-HR"/>
              </w:rPr>
            </w:pPr>
            <w:r w:rsidRPr="00CD3A2D">
              <w:rPr>
                <w:rFonts w:ascii="Calibri" w:hAnsi="Calibri"/>
                <w:b/>
                <w:bCs/>
                <w:color w:val="000000"/>
                <w:sz w:val="21"/>
                <w:szCs w:val="21"/>
                <w:lang w:val="hr-HR"/>
              </w:rPr>
              <w:t xml:space="preserve">      33.883 </w:t>
            </w:r>
          </w:p>
        </w:tc>
      </w:tr>
    </w:tbl>
    <w:p w:rsidR="00537613" w:rsidRPr="001567C8" w:rsidRDefault="0063609C" w:rsidP="003C6BA3">
      <w:pPr>
        <w:pStyle w:val="T1"/>
        <w:spacing w:before="120" w:after="0" w:line="240" w:lineRule="auto"/>
        <w:rPr>
          <w:rFonts w:asciiTheme="minorHAnsi" w:hAnsiTheme="minorHAnsi" w:cs="Arial"/>
          <w:b w:val="0"/>
          <w:sz w:val="22"/>
          <w:szCs w:val="22"/>
          <w:lang w:val="hr-HR"/>
        </w:rPr>
        <w:sectPr w:rsidR="00537613" w:rsidRPr="001567C8" w:rsidSect="003E2D7A">
          <w:pgSz w:w="11907" w:h="16840" w:code="9"/>
          <w:pgMar w:top="1418" w:right="1134" w:bottom="1134" w:left="1418" w:header="851" w:footer="851" w:gutter="0"/>
          <w:cols w:space="720"/>
          <w:noEndnote/>
        </w:sectPr>
      </w:pPr>
      <w:r w:rsidRPr="001567C8">
        <w:rPr>
          <w:rFonts w:asciiTheme="minorHAnsi" w:hAnsiTheme="minorHAnsi" w:cs="Arial"/>
          <w:b w:val="0"/>
          <w:sz w:val="22"/>
          <w:szCs w:val="22"/>
          <w:lang w:val="hr-HR"/>
        </w:rPr>
        <w:t>Neto dobit od tečajnih razlika po rezerviranjima za očekivane gubitke prikazane su unutar Neto prihoda/(rashoda) od financijskih aktivnosti u Računu dobiti i gubitku.</w:t>
      </w:r>
    </w:p>
    <w:p w:rsidR="00FE559F" w:rsidRPr="001567C8" w:rsidRDefault="00FE559F" w:rsidP="00FE559F">
      <w:pPr>
        <w:pStyle w:val="T1"/>
        <w:spacing w:before="0" w:after="0" w:line="240" w:lineRule="auto"/>
        <w:rPr>
          <w:rFonts w:asciiTheme="minorHAnsi" w:hAnsiTheme="minorHAnsi" w:cs="Arial"/>
          <w:sz w:val="22"/>
          <w:szCs w:val="22"/>
          <w:lang w:val="hr-HR"/>
        </w:rPr>
      </w:pPr>
    </w:p>
    <w:p w:rsidR="00D5575E" w:rsidRPr="001567C8" w:rsidRDefault="00087830" w:rsidP="00FE559F">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w:t>
      </w:r>
      <w:r w:rsidR="00C9220F" w:rsidRPr="001567C8">
        <w:rPr>
          <w:rFonts w:asciiTheme="minorHAnsi" w:hAnsiTheme="minorHAnsi" w:cs="Arial"/>
          <w:sz w:val="22"/>
          <w:szCs w:val="22"/>
          <w:lang w:val="hr-HR"/>
        </w:rPr>
        <w:t>7</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t>Obveze po depozitima</w:t>
      </w:r>
    </w:p>
    <w:p w:rsidR="001F076C" w:rsidRPr="001567C8" w:rsidRDefault="001F076C" w:rsidP="001F076C">
      <w:pPr>
        <w:pStyle w:val="T1"/>
        <w:spacing w:before="0" w:after="0" w:line="240" w:lineRule="auto"/>
        <w:rPr>
          <w:rFonts w:asciiTheme="minorHAnsi" w:hAnsiTheme="minorHAnsi" w:cs="Arial"/>
          <w:sz w:val="22"/>
          <w:szCs w:val="22"/>
          <w:lang w:val="hr-HR"/>
        </w:rPr>
      </w:pPr>
    </w:p>
    <w:tbl>
      <w:tblPr>
        <w:tblW w:w="5000" w:type="pct"/>
        <w:tblLayout w:type="fixed"/>
        <w:tblCellMar>
          <w:left w:w="119" w:type="dxa"/>
          <w:right w:w="119" w:type="dxa"/>
        </w:tblCellMar>
        <w:tblLook w:val="0000" w:firstRow="0" w:lastRow="0" w:firstColumn="0" w:lastColumn="0" w:noHBand="0" w:noVBand="0"/>
      </w:tblPr>
      <w:tblGrid>
        <w:gridCol w:w="3969"/>
        <w:gridCol w:w="1346"/>
        <w:gridCol w:w="1348"/>
        <w:gridCol w:w="1345"/>
        <w:gridCol w:w="1347"/>
      </w:tblGrid>
      <w:tr w:rsidR="00703DB6" w:rsidRPr="001567C8" w:rsidTr="003C6BA3">
        <w:trPr>
          <w:trHeight w:val="156"/>
        </w:trPr>
        <w:tc>
          <w:tcPr>
            <w:tcW w:w="2121" w:type="pct"/>
          </w:tcPr>
          <w:p w:rsidR="00703DB6" w:rsidRPr="001567C8" w:rsidRDefault="00703DB6">
            <w:pPr>
              <w:tabs>
                <w:tab w:val="left" w:pos="-1962"/>
              </w:tabs>
              <w:suppressAutoHyphens/>
              <w:rPr>
                <w:rFonts w:asciiTheme="minorHAnsi" w:hAnsiTheme="minorHAnsi" w:cs="Arial"/>
                <w:spacing w:val="-3"/>
                <w:sz w:val="22"/>
                <w:szCs w:val="22"/>
                <w:lang w:val="hr-HR"/>
              </w:rPr>
            </w:pPr>
          </w:p>
        </w:tc>
        <w:tc>
          <w:tcPr>
            <w:tcW w:w="1439" w:type="pct"/>
            <w:gridSpan w:val="2"/>
          </w:tcPr>
          <w:p w:rsidR="00703DB6" w:rsidRPr="001567C8" w:rsidRDefault="00703DB6" w:rsidP="009C21BC">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439" w:type="pct"/>
            <w:gridSpan w:val="2"/>
          </w:tcPr>
          <w:p w:rsidR="00703DB6" w:rsidRPr="001567C8" w:rsidRDefault="00703DB6" w:rsidP="009C21BC">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FC53FE" w:rsidRPr="001567C8" w:rsidTr="003C6BA3">
        <w:trPr>
          <w:trHeight w:val="588"/>
        </w:trPr>
        <w:tc>
          <w:tcPr>
            <w:tcW w:w="2121" w:type="pct"/>
          </w:tcPr>
          <w:p w:rsidR="00FC53FE" w:rsidRPr="001567C8" w:rsidRDefault="00FC53FE" w:rsidP="00FC53FE">
            <w:pPr>
              <w:tabs>
                <w:tab w:val="left" w:pos="-1962"/>
              </w:tabs>
              <w:suppressAutoHyphens/>
              <w:rPr>
                <w:rFonts w:asciiTheme="minorHAnsi" w:hAnsiTheme="minorHAnsi" w:cs="Arial"/>
                <w:spacing w:val="-3"/>
                <w:sz w:val="22"/>
                <w:szCs w:val="22"/>
                <w:lang w:val="hr-HR"/>
              </w:rPr>
            </w:pPr>
          </w:p>
        </w:tc>
        <w:tc>
          <w:tcPr>
            <w:tcW w:w="719" w:type="pct"/>
            <w:vAlign w:val="center"/>
          </w:tcPr>
          <w:p w:rsidR="00FC53F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FC53FE" w:rsidRPr="001567C8">
              <w:rPr>
                <w:rFonts w:asciiTheme="minorHAnsi" w:hAnsiTheme="minorHAnsi" w:cs="Arial"/>
                <w:sz w:val="22"/>
                <w:szCs w:val="22"/>
                <w:lang w:val="hr-HR"/>
              </w:rPr>
              <w:t>2018.</w:t>
            </w:r>
          </w:p>
        </w:tc>
        <w:tc>
          <w:tcPr>
            <w:tcW w:w="720" w:type="pct"/>
            <w:vAlign w:val="center"/>
          </w:tcPr>
          <w:p w:rsidR="00FC53F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FC53FE" w:rsidRPr="001567C8">
              <w:rPr>
                <w:rFonts w:asciiTheme="minorHAnsi" w:hAnsiTheme="minorHAnsi" w:cs="Arial"/>
                <w:sz w:val="22"/>
                <w:szCs w:val="22"/>
                <w:lang w:val="hr-HR"/>
              </w:rPr>
              <w:t>2017.</w:t>
            </w:r>
          </w:p>
        </w:tc>
        <w:tc>
          <w:tcPr>
            <w:tcW w:w="719" w:type="pct"/>
            <w:vAlign w:val="center"/>
          </w:tcPr>
          <w:p w:rsidR="00FC53F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FC53FE" w:rsidRPr="001567C8">
              <w:rPr>
                <w:rFonts w:asciiTheme="minorHAnsi" w:hAnsiTheme="minorHAnsi" w:cs="Arial"/>
                <w:sz w:val="22"/>
                <w:szCs w:val="22"/>
                <w:lang w:val="hr-HR"/>
              </w:rPr>
              <w:t>2018.</w:t>
            </w:r>
          </w:p>
        </w:tc>
        <w:tc>
          <w:tcPr>
            <w:tcW w:w="720" w:type="pct"/>
            <w:vAlign w:val="center"/>
          </w:tcPr>
          <w:p w:rsidR="00FC53F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FC53FE" w:rsidRPr="001567C8">
              <w:rPr>
                <w:rFonts w:asciiTheme="minorHAnsi" w:hAnsiTheme="minorHAnsi" w:cs="Arial"/>
                <w:sz w:val="22"/>
                <w:szCs w:val="22"/>
                <w:lang w:val="hr-HR"/>
              </w:rPr>
              <w:t>2017.</w:t>
            </w:r>
          </w:p>
        </w:tc>
      </w:tr>
      <w:tr w:rsidR="00FC53FE" w:rsidRPr="001567C8" w:rsidTr="003C6BA3">
        <w:tblPrEx>
          <w:tblCellMar>
            <w:left w:w="107" w:type="dxa"/>
            <w:right w:w="107" w:type="dxa"/>
          </w:tblCellMar>
        </w:tblPrEx>
        <w:tc>
          <w:tcPr>
            <w:tcW w:w="2121" w:type="pct"/>
          </w:tcPr>
          <w:p w:rsidR="00FC53FE" w:rsidRPr="001567C8" w:rsidRDefault="00FC53FE" w:rsidP="00FC53FE">
            <w:pPr>
              <w:rPr>
                <w:rFonts w:asciiTheme="minorHAnsi" w:hAnsiTheme="minorHAnsi" w:cs="Arial"/>
                <w:b/>
                <w:spacing w:val="-3"/>
                <w:sz w:val="22"/>
                <w:szCs w:val="22"/>
                <w:lang w:val="hr-HR"/>
              </w:rPr>
            </w:pPr>
          </w:p>
        </w:tc>
        <w:tc>
          <w:tcPr>
            <w:tcW w:w="719" w:type="pct"/>
            <w:vAlign w:val="bottom"/>
          </w:tcPr>
          <w:p w:rsidR="00FC53FE" w:rsidRPr="001567C8" w:rsidRDefault="00FC53FE" w:rsidP="00FC53F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20" w:type="pct"/>
            <w:vAlign w:val="bottom"/>
          </w:tcPr>
          <w:p w:rsidR="00FC53FE" w:rsidRPr="001567C8" w:rsidRDefault="00FC53FE" w:rsidP="00FC53F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19" w:type="pct"/>
            <w:vAlign w:val="bottom"/>
          </w:tcPr>
          <w:p w:rsidR="00FC53FE" w:rsidRPr="001567C8" w:rsidRDefault="00FC53FE" w:rsidP="00FC53F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20" w:type="pct"/>
            <w:vAlign w:val="bottom"/>
          </w:tcPr>
          <w:p w:rsidR="00FC53FE" w:rsidRPr="001567C8" w:rsidRDefault="00FC53FE" w:rsidP="00FC53F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FC53FE" w:rsidRPr="001567C8" w:rsidTr="003C6BA3">
        <w:trPr>
          <w:trHeight w:val="300"/>
        </w:trPr>
        <w:tc>
          <w:tcPr>
            <w:tcW w:w="2121" w:type="pct"/>
          </w:tcPr>
          <w:p w:rsidR="00FC53FE" w:rsidRPr="001567C8" w:rsidRDefault="00FC53FE" w:rsidP="00FC53FE">
            <w:pPr>
              <w:tabs>
                <w:tab w:val="left" w:pos="-1962"/>
              </w:tabs>
              <w:suppressAutoHyphens/>
              <w:rPr>
                <w:rFonts w:asciiTheme="minorHAnsi" w:hAnsiTheme="minorHAnsi" w:cs="Arial"/>
                <w:spacing w:val="-3"/>
                <w:sz w:val="22"/>
                <w:szCs w:val="22"/>
                <w:lang w:val="hr-HR"/>
              </w:rPr>
            </w:pPr>
          </w:p>
        </w:tc>
        <w:tc>
          <w:tcPr>
            <w:tcW w:w="719" w:type="pct"/>
          </w:tcPr>
          <w:p w:rsidR="00FC53FE" w:rsidRPr="001567C8" w:rsidRDefault="00FC53FE" w:rsidP="00FC53FE">
            <w:pPr>
              <w:suppressAutoHyphens/>
              <w:jc w:val="right"/>
              <w:rPr>
                <w:rFonts w:asciiTheme="minorHAnsi" w:hAnsiTheme="minorHAnsi" w:cs="Arial"/>
                <w:b/>
                <w:spacing w:val="-3"/>
                <w:sz w:val="22"/>
                <w:szCs w:val="22"/>
                <w:lang w:val="hr-HR"/>
              </w:rPr>
            </w:pPr>
          </w:p>
        </w:tc>
        <w:tc>
          <w:tcPr>
            <w:tcW w:w="720" w:type="pct"/>
          </w:tcPr>
          <w:p w:rsidR="00FC53FE" w:rsidRPr="001567C8" w:rsidRDefault="00FC53FE" w:rsidP="00FC53FE">
            <w:pPr>
              <w:suppressAutoHyphens/>
              <w:jc w:val="right"/>
              <w:rPr>
                <w:rFonts w:asciiTheme="minorHAnsi" w:hAnsiTheme="minorHAnsi" w:cs="Arial"/>
                <w:b/>
                <w:spacing w:val="-3"/>
                <w:sz w:val="22"/>
                <w:szCs w:val="22"/>
                <w:lang w:val="hr-HR"/>
              </w:rPr>
            </w:pPr>
          </w:p>
        </w:tc>
        <w:tc>
          <w:tcPr>
            <w:tcW w:w="719" w:type="pct"/>
            <w:vAlign w:val="bottom"/>
          </w:tcPr>
          <w:p w:rsidR="00FC53FE" w:rsidRPr="001567C8" w:rsidRDefault="00FC53FE" w:rsidP="00FC53FE">
            <w:pPr>
              <w:suppressAutoHyphens/>
              <w:jc w:val="right"/>
              <w:rPr>
                <w:rFonts w:asciiTheme="minorHAnsi" w:hAnsiTheme="minorHAnsi" w:cs="Arial"/>
                <w:b/>
                <w:spacing w:val="-3"/>
                <w:sz w:val="22"/>
                <w:szCs w:val="22"/>
                <w:lang w:val="hr-HR"/>
              </w:rPr>
            </w:pPr>
          </w:p>
        </w:tc>
        <w:tc>
          <w:tcPr>
            <w:tcW w:w="720" w:type="pct"/>
            <w:vAlign w:val="bottom"/>
          </w:tcPr>
          <w:p w:rsidR="00FC53FE" w:rsidRPr="001567C8" w:rsidRDefault="00FC53FE" w:rsidP="00FC53FE">
            <w:pPr>
              <w:suppressAutoHyphens/>
              <w:jc w:val="right"/>
              <w:rPr>
                <w:rFonts w:asciiTheme="minorHAnsi" w:hAnsiTheme="minorHAnsi" w:cs="Arial"/>
                <w:b/>
                <w:spacing w:val="-3"/>
                <w:sz w:val="22"/>
                <w:szCs w:val="22"/>
                <w:lang w:val="hr-HR"/>
              </w:rPr>
            </w:pPr>
          </w:p>
        </w:tc>
      </w:tr>
      <w:tr w:rsidR="00A7410F" w:rsidRPr="001567C8" w:rsidTr="003C6BA3">
        <w:trPr>
          <w:trHeight w:val="120"/>
        </w:trPr>
        <w:tc>
          <w:tcPr>
            <w:tcW w:w="2121" w:type="pct"/>
          </w:tcPr>
          <w:p w:rsidR="00A7410F" w:rsidRPr="001567C8" w:rsidRDefault="00A7410F" w:rsidP="00A7410F">
            <w:pPr>
              <w:pStyle w:val="TT"/>
              <w:rPr>
                <w:rFonts w:asciiTheme="minorHAnsi" w:hAnsiTheme="minorHAnsi" w:cs="Arial"/>
                <w:sz w:val="22"/>
                <w:szCs w:val="22"/>
                <w:lang w:val="hr-HR"/>
              </w:rPr>
            </w:pPr>
            <w:r w:rsidRPr="001567C8">
              <w:rPr>
                <w:rFonts w:asciiTheme="minorHAnsi" w:hAnsiTheme="minorHAnsi" w:cs="Arial"/>
                <w:sz w:val="22"/>
                <w:szCs w:val="22"/>
                <w:lang w:val="hr-HR"/>
              </w:rPr>
              <w:t>Depoziti banaka</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149.140</w:t>
            </w:r>
          </w:p>
        </w:tc>
        <w:tc>
          <w:tcPr>
            <w:tcW w:w="720" w:type="pct"/>
            <w:tcBorders>
              <w:top w:val="nil"/>
              <w:left w:val="nil"/>
              <w:bottom w:val="nil"/>
              <w:right w:val="nil"/>
            </w:tcBorders>
            <w:shd w:val="clear" w:color="auto" w:fill="auto"/>
            <w:vAlign w:val="center"/>
          </w:tcPr>
          <w:p w:rsidR="00A7410F" w:rsidRPr="001567C8" w:rsidRDefault="00A7410F" w:rsidP="00A7410F">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489.364</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149.140</w:t>
            </w:r>
          </w:p>
        </w:tc>
        <w:tc>
          <w:tcPr>
            <w:tcW w:w="720" w:type="pct"/>
            <w:tcBorders>
              <w:top w:val="nil"/>
              <w:left w:val="nil"/>
              <w:bottom w:val="nil"/>
              <w:right w:val="nil"/>
            </w:tcBorders>
            <w:shd w:val="clear" w:color="auto" w:fill="auto"/>
            <w:vAlign w:val="center"/>
          </w:tcPr>
          <w:p w:rsidR="00A7410F" w:rsidRPr="001567C8" w:rsidRDefault="00A7410F" w:rsidP="00A7410F">
            <w:pPr>
              <w:pStyle w:val="TT"/>
              <w:spacing w:line="240" w:lineRule="auto"/>
              <w:jc w:val="right"/>
              <w:rPr>
                <w:rFonts w:asciiTheme="minorHAnsi" w:hAnsiTheme="minorHAnsi" w:cs="Arial"/>
                <w:sz w:val="22"/>
                <w:szCs w:val="22"/>
                <w:lang w:val="hr-HR"/>
              </w:rPr>
            </w:pPr>
            <w:r w:rsidRPr="00CD3A2D">
              <w:rPr>
                <w:rFonts w:ascii="Calibri" w:hAnsi="Calibri"/>
                <w:color w:val="000000"/>
                <w:sz w:val="22"/>
                <w:szCs w:val="22"/>
                <w:lang w:val="hr-HR"/>
              </w:rPr>
              <w:t>489.364</w:t>
            </w:r>
          </w:p>
        </w:tc>
      </w:tr>
      <w:tr w:rsidR="00A7410F" w:rsidRPr="001567C8" w:rsidTr="003C6BA3">
        <w:trPr>
          <w:trHeight w:val="120"/>
        </w:trPr>
        <w:tc>
          <w:tcPr>
            <w:tcW w:w="2121" w:type="pct"/>
          </w:tcPr>
          <w:p w:rsidR="00A7410F" w:rsidRPr="001567C8" w:rsidRDefault="00A7410F" w:rsidP="00A7410F">
            <w:pPr>
              <w:pStyle w:val="TT"/>
              <w:rPr>
                <w:rFonts w:asciiTheme="minorHAnsi" w:hAnsiTheme="minorHAnsi" w:cs="Arial"/>
                <w:sz w:val="22"/>
                <w:szCs w:val="22"/>
                <w:lang w:val="hr-HR"/>
              </w:rPr>
            </w:pPr>
            <w:r w:rsidRPr="001567C8">
              <w:rPr>
                <w:rFonts w:asciiTheme="minorHAnsi" w:hAnsiTheme="minorHAnsi" w:cs="Arial"/>
                <w:sz w:val="22"/>
                <w:szCs w:val="22"/>
                <w:lang w:val="hr-HR"/>
              </w:rPr>
              <w:t>Devizni redovni računi trgovačkih društava</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6</w:t>
            </w:r>
          </w:p>
        </w:tc>
        <w:tc>
          <w:tcPr>
            <w:tcW w:w="720" w:type="pct"/>
            <w:tcBorders>
              <w:top w:val="nil"/>
              <w:left w:val="nil"/>
              <w:bottom w:val="nil"/>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6</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6</w:t>
            </w:r>
          </w:p>
        </w:tc>
        <w:tc>
          <w:tcPr>
            <w:tcW w:w="720" w:type="pct"/>
            <w:tcBorders>
              <w:top w:val="nil"/>
              <w:left w:val="nil"/>
              <w:bottom w:val="nil"/>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6</w:t>
            </w:r>
          </w:p>
        </w:tc>
      </w:tr>
      <w:tr w:rsidR="00A7410F" w:rsidRPr="001567C8" w:rsidTr="003C6BA3">
        <w:trPr>
          <w:trHeight w:val="120"/>
        </w:trPr>
        <w:tc>
          <w:tcPr>
            <w:tcW w:w="2121" w:type="pct"/>
          </w:tcPr>
          <w:p w:rsidR="00A7410F" w:rsidRPr="001567C8" w:rsidRDefault="00A7410F" w:rsidP="00A7410F">
            <w:pPr>
              <w:pStyle w:val="TT"/>
              <w:rPr>
                <w:rFonts w:asciiTheme="minorHAnsi" w:hAnsiTheme="minorHAnsi" w:cs="Arial"/>
                <w:spacing w:val="-2"/>
                <w:sz w:val="22"/>
                <w:szCs w:val="22"/>
                <w:lang w:val="hr-HR"/>
              </w:rPr>
            </w:pPr>
            <w:r w:rsidRPr="001567C8">
              <w:rPr>
                <w:rFonts w:asciiTheme="minorHAnsi" w:hAnsiTheme="minorHAnsi" w:cs="Arial"/>
                <w:spacing w:val="-2"/>
                <w:sz w:val="22"/>
                <w:szCs w:val="22"/>
                <w:lang w:val="hr-HR"/>
              </w:rPr>
              <w:t>Devizni račun Ministarstva financija RH</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22.593</w:t>
            </w:r>
          </w:p>
        </w:tc>
        <w:tc>
          <w:tcPr>
            <w:tcW w:w="720" w:type="pct"/>
            <w:tcBorders>
              <w:top w:val="nil"/>
              <w:left w:val="nil"/>
              <w:bottom w:val="nil"/>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31.250</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22.593</w:t>
            </w:r>
          </w:p>
        </w:tc>
        <w:tc>
          <w:tcPr>
            <w:tcW w:w="720" w:type="pct"/>
            <w:tcBorders>
              <w:top w:val="nil"/>
              <w:left w:val="nil"/>
              <w:bottom w:val="nil"/>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31.250</w:t>
            </w:r>
          </w:p>
        </w:tc>
      </w:tr>
      <w:tr w:rsidR="00A7410F" w:rsidRPr="001567C8" w:rsidTr="003C6BA3">
        <w:trPr>
          <w:trHeight w:val="120"/>
        </w:trPr>
        <w:tc>
          <w:tcPr>
            <w:tcW w:w="2121" w:type="pct"/>
          </w:tcPr>
          <w:p w:rsidR="00A7410F" w:rsidRPr="001567C8" w:rsidRDefault="00A7410F" w:rsidP="00A7410F">
            <w:pPr>
              <w:pStyle w:val="TT"/>
              <w:rPr>
                <w:rFonts w:asciiTheme="minorHAnsi" w:hAnsiTheme="minorHAnsi" w:cs="Arial"/>
                <w:spacing w:val="-2"/>
                <w:sz w:val="22"/>
                <w:szCs w:val="22"/>
                <w:lang w:val="hr-HR"/>
              </w:rPr>
            </w:pPr>
            <w:r w:rsidRPr="001567C8">
              <w:rPr>
                <w:rFonts w:asciiTheme="minorHAnsi" w:hAnsiTheme="minorHAnsi" w:cs="Arial"/>
                <w:spacing w:val="-2"/>
                <w:sz w:val="22"/>
                <w:szCs w:val="22"/>
                <w:lang w:val="hr-HR"/>
              </w:rPr>
              <w:t xml:space="preserve">Devizni namjenski računi trgovačkih društava </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10.725</w:t>
            </w:r>
          </w:p>
        </w:tc>
        <w:tc>
          <w:tcPr>
            <w:tcW w:w="720" w:type="pct"/>
            <w:tcBorders>
              <w:top w:val="nil"/>
              <w:left w:val="nil"/>
              <w:bottom w:val="nil"/>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27.237</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10.725</w:t>
            </w:r>
          </w:p>
        </w:tc>
        <w:tc>
          <w:tcPr>
            <w:tcW w:w="720" w:type="pct"/>
            <w:tcBorders>
              <w:top w:val="nil"/>
              <w:left w:val="nil"/>
              <w:bottom w:val="nil"/>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27.237</w:t>
            </w:r>
          </w:p>
        </w:tc>
      </w:tr>
      <w:tr w:rsidR="00A7410F" w:rsidRPr="001567C8" w:rsidTr="003C6BA3">
        <w:trPr>
          <w:trHeight w:val="120"/>
        </w:trPr>
        <w:tc>
          <w:tcPr>
            <w:tcW w:w="2121" w:type="pct"/>
          </w:tcPr>
          <w:p w:rsidR="00A7410F" w:rsidRPr="001567C8" w:rsidRDefault="00A7410F" w:rsidP="00A7410F">
            <w:pPr>
              <w:pStyle w:val="TT"/>
              <w:rPr>
                <w:rFonts w:asciiTheme="minorHAnsi" w:hAnsiTheme="minorHAnsi" w:cs="Arial"/>
                <w:b/>
                <w:spacing w:val="-2"/>
                <w:sz w:val="22"/>
                <w:szCs w:val="22"/>
                <w:lang w:val="hr-HR"/>
              </w:rPr>
            </w:pPr>
            <w:r w:rsidRPr="001567C8">
              <w:rPr>
                <w:rFonts w:asciiTheme="minorHAnsi" w:hAnsiTheme="minorHAnsi" w:cs="Arial"/>
                <w:spacing w:val="-2"/>
                <w:sz w:val="22"/>
                <w:szCs w:val="22"/>
                <w:lang w:val="hr-HR"/>
              </w:rPr>
              <w:t>Depoziti državnih institucija</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237.97</w:t>
            </w:r>
            <w:r w:rsidR="00B57831" w:rsidRPr="00CD3A2D">
              <w:rPr>
                <w:rFonts w:ascii="Calibri" w:hAnsi="Calibri"/>
                <w:color w:val="000000"/>
                <w:sz w:val="22"/>
                <w:szCs w:val="22"/>
                <w:lang w:val="hr-HR"/>
              </w:rPr>
              <w:t>2</w:t>
            </w:r>
          </w:p>
        </w:tc>
        <w:tc>
          <w:tcPr>
            <w:tcW w:w="720" w:type="pct"/>
            <w:tcBorders>
              <w:top w:val="nil"/>
              <w:left w:val="nil"/>
              <w:bottom w:val="nil"/>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88.179</w:t>
            </w:r>
          </w:p>
        </w:tc>
        <w:tc>
          <w:tcPr>
            <w:tcW w:w="719" w:type="pct"/>
            <w:tcBorders>
              <w:top w:val="nil"/>
              <w:left w:val="nil"/>
              <w:bottom w:val="nil"/>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237.97</w:t>
            </w:r>
            <w:r w:rsidR="00A6453C" w:rsidRPr="00CD3A2D">
              <w:rPr>
                <w:rFonts w:ascii="Calibri" w:hAnsi="Calibri"/>
                <w:color w:val="000000"/>
                <w:sz w:val="22"/>
                <w:szCs w:val="22"/>
                <w:lang w:val="hr-HR"/>
              </w:rPr>
              <w:t>2</w:t>
            </w:r>
          </w:p>
        </w:tc>
        <w:tc>
          <w:tcPr>
            <w:tcW w:w="720" w:type="pct"/>
            <w:tcBorders>
              <w:top w:val="nil"/>
              <w:left w:val="nil"/>
              <w:bottom w:val="nil"/>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88.179</w:t>
            </w:r>
          </w:p>
        </w:tc>
      </w:tr>
      <w:tr w:rsidR="00A7410F" w:rsidRPr="001567C8" w:rsidTr="003C6BA3">
        <w:trPr>
          <w:trHeight w:val="120"/>
        </w:trPr>
        <w:tc>
          <w:tcPr>
            <w:tcW w:w="2121" w:type="pct"/>
          </w:tcPr>
          <w:p w:rsidR="00A7410F" w:rsidRPr="001567C8" w:rsidRDefault="00A7410F" w:rsidP="00A7410F">
            <w:pPr>
              <w:pStyle w:val="TT"/>
              <w:rPr>
                <w:rFonts w:asciiTheme="minorHAnsi" w:hAnsiTheme="minorHAnsi" w:cs="Arial"/>
                <w:spacing w:val="-2"/>
                <w:sz w:val="22"/>
                <w:szCs w:val="22"/>
                <w:lang w:val="hr-HR"/>
              </w:rPr>
            </w:pPr>
            <w:r w:rsidRPr="001567C8">
              <w:rPr>
                <w:rFonts w:asciiTheme="minorHAnsi" w:hAnsiTheme="minorHAnsi" w:cs="Arial"/>
                <w:spacing w:val="-2"/>
                <w:sz w:val="22"/>
                <w:szCs w:val="22"/>
                <w:lang w:val="hr-HR"/>
              </w:rPr>
              <w:t>Ostali depoziti</w:t>
            </w:r>
          </w:p>
        </w:tc>
        <w:tc>
          <w:tcPr>
            <w:tcW w:w="719" w:type="pct"/>
            <w:tcBorders>
              <w:top w:val="nil"/>
              <w:left w:val="nil"/>
              <w:bottom w:val="single" w:sz="4" w:space="0" w:color="auto"/>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8.6</w:t>
            </w:r>
            <w:r w:rsidR="00B57831" w:rsidRPr="00CD3A2D">
              <w:rPr>
                <w:rFonts w:ascii="Calibri" w:hAnsi="Calibri"/>
                <w:color w:val="000000"/>
                <w:sz w:val="22"/>
                <w:szCs w:val="22"/>
                <w:lang w:val="hr-HR"/>
              </w:rPr>
              <w:t>60</w:t>
            </w:r>
          </w:p>
        </w:tc>
        <w:tc>
          <w:tcPr>
            <w:tcW w:w="720" w:type="pct"/>
            <w:tcBorders>
              <w:top w:val="nil"/>
              <w:left w:val="nil"/>
              <w:bottom w:val="single" w:sz="4" w:space="0" w:color="auto"/>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8.705</w:t>
            </w:r>
          </w:p>
        </w:tc>
        <w:tc>
          <w:tcPr>
            <w:tcW w:w="719" w:type="pct"/>
            <w:tcBorders>
              <w:top w:val="nil"/>
              <w:left w:val="nil"/>
              <w:bottom w:val="single" w:sz="4" w:space="0" w:color="auto"/>
              <w:right w:val="nil"/>
            </w:tcBorders>
            <w:shd w:val="clear" w:color="auto" w:fill="auto"/>
            <w:vAlign w:val="center"/>
          </w:tcPr>
          <w:p w:rsidR="00A7410F" w:rsidRPr="00CD3A2D" w:rsidRDefault="00A7410F" w:rsidP="00A7410F">
            <w:pPr>
              <w:jc w:val="right"/>
              <w:rPr>
                <w:rFonts w:ascii="Calibri" w:hAnsi="Calibri"/>
                <w:color w:val="000000"/>
                <w:sz w:val="22"/>
                <w:szCs w:val="22"/>
                <w:lang w:val="hr-HR"/>
              </w:rPr>
            </w:pPr>
            <w:r w:rsidRPr="00CD3A2D">
              <w:rPr>
                <w:rFonts w:ascii="Calibri" w:hAnsi="Calibri"/>
                <w:color w:val="000000"/>
                <w:sz w:val="22"/>
                <w:szCs w:val="22"/>
                <w:lang w:val="hr-HR"/>
              </w:rPr>
              <w:t>8.6</w:t>
            </w:r>
            <w:r w:rsidR="00A6453C" w:rsidRPr="00CD3A2D">
              <w:rPr>
                <w:rFonts w:ascii="Calibri" w:hAnsi="Calibri"/>
                <w:color w:val="000000"/>
                <w:sz w:val="22"/>
                <w:szCs w:val="22"/>
                <w:lang w:val="hr-HR"/>
              </w:rPr>
              <w:t>60</w:t>
            </w:r>
          </w:p>
        </w:tc>
        <w:tc>
          <w:tcPr>
            <w:tcW w:w="720" w:type="pct"/>
            <w:tcBorders>
              <w:top w:val="nil"/>
              <w:left w:val="nil"/>
              <w:bottom w:val="single" w:sz="4" w:space="0" w:color="auto"/>
              <w:right w:val="nil"/>
            </w:tcBorders>
            <w:shd w:val="clear" w:color="auto" w:fill="auto"/>
            <w:vAlign w:val="center"/>
          </w:tcPr>
          <w:p w:rsidR="00A7410F" w:rsidRPr="00CD3A2D" w:rsidRDefault="00A7410F" w:rsidP="00A7410F">
            <w:pPr>
              <w:pStyle w:val="TT"/>
              <w:spacing w:line="240" w:lineRule="auto"/>
              <w:jc w:val="right"/>
              <w:rPr>
                <w:rFonts w:ascii="Calibri" w:hAnsi="Calibri"/>
                <w:color w:val="000000"/>
                <w:sz w:val="22"/>
                <w:szCs w:val="22"/>
                <w:lang w:val="hr-HR"/>
              </w:rPr>
            </w:pPr>
            <w:r w:rsidRPr="00CD3A2D">
              <w:rPr>
                <w:rFonts w:ascii="Calibri" w:hAnsi="Calibri"/>
                <w:color w:val="000000"/>
                <w:sz w:val="22"/>
                <w:szCs w:val="22"/>
                <w:lang w:val="hr-HR"/>
              </w:rPr>
              <w:t>8.705</w:t>
            </w:r>
          </w:p>
        </w:tc>
      </w:tr>
      <w:tr w:rsidR="00A7410F" w:rsidRPr="001567C8" w:rsidTr="003C6BA3">
        <w:trPr>
          <w:trHeight w:val="120"/>
        </w:trPr>
        <w:tc>
          <w:tcPr>
            <w:tcW w:w="2121" w:type="pct"/>
          </w:tcPr>
          <w:p w:rsidR="00A7410F" w:rsidRPr="001567C8" w:rsidRDefault="00A7410F" w:rsidP="00A7410F">
            <w:pPr>
              <w:pStyle w:val="Tot"/>
              <w:rPr>
                <w:rFonts w:asciiTheme="minorHAnsi" w:hAnsiTheme="minorHAnsi" w:cs="Arial"/>
                <w:b/>
                <w:bCs/>
                <w:sz w:val="22"/>
                <w:szCs w:val="22"/>
                <w:lang w:val="hr-HR"/>
              </w:rPr>
            </w:pPr>
          </w:p>
        </w:tc>
        <w:tc>
          <w:tcPr>
            <w:tcW w:w="719" w:type="pct"/>
            <w:tcBorders>
              <w:top w:val="single" w:sz="4" w:space="0" w:color="auto"/>
              <w:bottom w:val="single" w:sz="12" w:space="0" w:color="auto"/>
            </w:tcBorders>
            <w:vAlign w:val="bottom"/>
          </w:tcPr>
          <w:p w:rsidR="00A7410F" w:rsidRPr="001567C8" w:rsidRDefault="00A7410F" w:rsidP="00A7410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429.096</w:t>
            </w:r>
          </w:p>
        </w:tc>
        <w:tc>
          <w:tcPr>
            <w:tcW w:w="720" w:type="pct"/>
            <w:tcBorders>
              <w:top w:val="single" w:sz="4" w:space="0" w:color="auto"/>
              <w:bottom w:val="single" w:sz="12" w:space="0" w:color="auto"/>
            </w:tcBorders>
            <w:vAlign w:val="bottom"/>
          </w:tcPr>
          <w:p w:rsidR="00A7410F" w:rsidRPr="001567C8" w:rsidRDefault="00A7410F" w:rsidP="00A7410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644.741</w:t>
            </w:r>
          </w:p>
        </w:tc>
        <w:tc>
          <w:tcPr>
            <w:tcW w:w="719" w:type="pct"/>
            <w:tcBorders>
              <w:top w:val="single" w:sz="4" w:space="0" w:color="auto"/>
              <w:bottom w:val="single" w:sz="12" w:space="0" w:color="auto"/>
            </w:tcBorders>
            <w:vAlign w:val="bottom"/>
          </w:tcPr>
          <w:p w:rsidR="00A7410F" w:rsidRPr="001567C8" w:rsidRDefault="00A7410F" w:rsidP="00A7410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429.096</w:t>
            </w:r>
          </w:p>
        </w:tc>
        <w:tc>
          <w:tcPr>
            <w:tcW w:w="720" w:type="pct"/>
            <w:tcBorders>
              <w:top w:val="single" w:sz="4" w:space="0" w:color="auto"/>
              <w:bottom w:val="single" w:sz="12" w:space="0" w:color="auto"/>
            </w:tcBorders>
            <w:vAlign w:val="bottom"/>
          </w:tcPr>
          <w:p w:rsidR="00A7410F" w:rsidRPr="001567C8" w:rsidRDefault="00A7410F" w:rsidP="00A7410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644.741</w:t>
            </w:r>
          </w:p>
        </w:tc>
      </w:tr>
    </w:tbl>
    <w:p w:rsidR="00FE559F" w:rsidRPr="001567C8" w:rsidRDefault="00FE559F" w:rsidP="00FE559F">
      <w:pPr>
        <w:pStyle w:val="T1"/>
        <w:keepNext w:val="0"/>
        <w:spacing w:before="0" w:after="0" w:line="240" w:lineRule="auto"/>
        <w:rPr>
          <w:rFonts w:asciiTheme="minorHAnsi" w:hAnsiTheme="minorHAnsi" w:cs="Arial"/>
          <w:b w:val="0"/>
          <w:bCs w:val="0"/>
          <w:sz w:val="22"/>
          <w:szCs w:val="22"/>
          <w:lang w:val="hr-HR"/>
        </w:rPr>
      </w:pPr>
    </w:p>
    <w:p w:rsidR="00501420" w:rsidRPr="001567C8" w:rsidRDefault="008F6476" w:rsidP="00FE559F">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Depoziti banaka </w:t>
      </w:r>
      <w:r w:rsidR="00556CFA" w:rsidRPr="001567C8">
        <w:rPr>
          <w:rFonts w:asciiTheme="minorHAnsi" w:hAnsiTheme="minorHAnsi" w:cs="Arial"/>
          <w:b w:val="0"/>
          <w:bCs w:val="0"/>
          <w:sz w:val="22"/>
          <w:szCs w:val="22"/>
          <w:lang w:val="hr-HR"/>
        </w:rPr>
        <w:t xml:space="preserve">u 2018. godini </w:t>
      </w:r>
      <w:r w:rsidRPr="001567C8">
        <w:rPr>
          <w:rFonts w:asciiTheme="minorHAnsi" w:hAnsiTheme="minorHAnsi" w:cs="Arial"/>
          <w:b w:val="0"/>
          <w:bCs w:val="0"/>
          <w:sz w:val="22"/>
          <w:szCs w:val="22"/>
          <w:lang w:val="hr-HR"/>
        </w:rPr>
        <w:t xml:space="preserve">odnose se </w:t>
      </w:r>
      <w:r w:rsidR="00556CFA" w:rsidRPr="001567C8">
        <w:rPr>
          <w:rFonts w:asciiTheme="minorHAnsi" w:hAnsiTheme="minorHAnsi" w:cs="Arial"/>
          <w:b w:val="0"/>
          <w:bCs w:val="0"/>
          <w:sz w:val="22"/>
          <w:szCs w:val="22"/>
          <w:lang w:val="hr-HR"/>
        </w:rPr>
        <w:t xml:space="preserve">na loro depozit </w:t>
      </w:r>
      <w:r w:rsidR="00556CFA" w:rsidRPr="00CD3A2D">
        <w:rPr>
          <w:rFonts w:asciiTheme="minorHAnsi" w:hAnsiTheme="minorHAnsi" w:cstheme="minorHAnsi"/>
          <w:b w:val="0"/>
          <w:sz w:val="22"/>
          <w:szCs w:val="22"/>
          <w:lang w:val="hr-HR"/>
        </w:rPr>
        <w:t>UniCredit Bank Austria AG, a u 2017. godini</w:t>
      </w:r>
      <w:r w:rsidR="00556CFA" w:rsidRPr="00CD3A2D">
        <w:rPr>
          <w:lang w:val="hr-HR"/>
        </w:rPr>
        <w:t xml:space="preserve"> </w:t>
      </w:r>
      <w:r w:rsidR="003504C0" w:rsidRPr="001567C8">
        <w:rPr>
          <w:rFonts w:asciiTheme="minorHAnsi" w:hAnsiTheme="minorHAnsi" w:cs="Arial"/>
          <w:b w:val="0"/>
          <w:bCs w:val="0"/>
          <w:sz w:val="22"/>
          <w:szCs w:val="22"/>
          <w:lang w:val="hr-HR"/>
        </w:rPr>
        <w:t xml:space="preserve">najvećim dijelom </w:t>
      </w:r>
      <w:r w:rsidRPr="001567C8">
        <w:rPr>
          <w:rFonts w:asciiTheme="minorHAnsi" w:hAnsiTheme="minorHAnsi" w:cs="Arial"/>
          <w:b w:val="0"/>
          <w:bCs w:val="0"/>
          <w:sz w:val="22"/>
          <w:szCs w:val="22"/>
          <w:lang w:val="hr-HR"/>
        </w:rPr>
        <w:t xml:space="preserve">na loro depozit </w:t>
      </w:r>
      <w:r w:rsidR="00501420" w:rsidRPr="001567C8">
        <w:rPr>
          <w:rFonts w:asciiTheme="minorHAnsi" w:hAnsiTheme="minorHAnsi" w:cs="Arial"/>
          <w:b w:val="0"/>
          <w:bCs w:val="0"/>
          <w:sz w:val="22"/>
          <w:szCs w:val="22"/>
          <w:lang w:val="hr-HR"/>
        </w:rPr>
        <w:t>Europske investicijske banke (EIB).</w:t>
      </w:r>
    </w:p>
    <w:p w:rsidR="00501420" w:rsidRPr="001567C8" w:rsidRDefault="00501420" w:rsidP="00FE559F">
      <w:pPr>
        <w:pStyle w:val="T1"/>
        <w:keepNext w:val="0"/>
        <w:spacing w:before="0" w:after="0" w:line="240" w:lineRule="auto"/>
        <w:rPr>
          <w:rFonts w:asciiTheme="minorHAnsi" w:hAnsiTheme="minorHAnsi" w:cs="Arial"/>
          <w:b w:val="0"/>
          <w:bCs w:val="0"/>
          <w:sz w:val="22"/>
          <w:szCs w:val="22"/>
          <w:lang w:val="hr-HR"/>
        </w:rPr>
      </w:pPr>
    </w:p>
    <w:p w:rsidR="00003051" w:rsidRPr="001567C8" w:rsidRDefault="006D0890" w:rsidP="00FE559F">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Devizni račun Ministarstva financija Republike Hrvatske odnosi se </w:t>
      </w:r>
      <w:r w:rsidR="008E3DB5" w:rsidRPr="001567C8">
        <w:rPr>
          <w:rFonts w:asciiTheme="minorHAnsi" w:hAnsiTheme="minorHAnsi" w:cs="Arial"/>
          <w:b w:val="0"/>
          <w:bCs w:val="0"/>
          <w:sz w:val="22"/>
          <w:szCs w:val="22"/>
          <w:lang w:val="hr-HR"/>
        </w:rPr>
        <w:t>n</w:t>
      </w:r>
      <w:r w:rsidRPr="001567C8">
        <w:rPr>
          <w:rFonts w:asciiTheme="minorHAnsi" w:hAnsiTheme="minorHAnsi" w:cs="Arial"/>
          <w:b w:val="0"/>
          <w:bCs w:val="0"/>
          <w:sz w:val="22"/>
          <w:szCs w:val="22"/>
          <w:lang w:val="hr-HR"/>
        </w:rPr>
        <w:t xml:space="preserve">a sredstva </w:t>
      </w:r>
      <w:r w:rsidR="00553663" w:rsidRPr="001567C8">
        <w:rPr>
          <w:rFonts w:asciiTheme="minorHAnsi" w:hAnsiTheme="minorHAnsi" w:cs="Arial"/>
          <w:b w:val="0"/>
          <w:bCs w:val="0"/>
          <w:sz w:val="22"/>
          <w:szCs w:val="22"/>
          <w:lang w:val="hr-HR"/>
        </w:rPr>
        <w:t>g</w:t>
      </w:r>
      <w:r w:rsidRPr="001567C8">
        <w:rPr>
          <w:rFonts w:asciiTheme="minorHAnsi" w:hAnsiTheme="minorHAnsi" w:cs="Arial"/>
          <w:b w:val="0"/>
          <w:bCs w:val="0"/>
          <w:sz w:val="22"/>
          <w:szCs w:val="22"/>
          <w:lang w:val="hr-HR"/>
        </w:rPr>
        <w:t xml:space="preserve">arantnog fonda temeljem uplaćenih premija za reosigurane poslove po poslovima osiguranja izvoza </w:t>
      </w:r>
      <w:r w:rsidR="00186D66" w:rsidRPr="001567C8">
        <w:rPr>
          <w:rFonts w:asciiTheme="minorHAnsi" w:hAnsiTheme="minorHAnsi" w:cs="Arial"/>
          <w:b w:val="0"/>
          <w:bCs w:val="0"/>
          <w:sz w:val="22"/>
          <w:szCs w:val="22"/>
          <w:lang w:val="hr-HR"/>
        </w:rPr>
        <w:t>u iznosu od</w:t>
      </w:r>
      <w:r w:rsidR="00111012" w:rsidRPr="001567C8">
        <w:rPr>
          <w:rFonts w:asciiTheme="minorHAnsi" w:hAnsiTheme="minorHAnsi" w:cs="Arial"/>
          <w:b w:val="0"/>
          <w:bCs w:val="0"/>
          <w:sz w:val="22"/>
          <w:szCs w:val="22"/>
          <w:lang w:val="hr-HR"/>
        </w:rPr>
        <w:t xml:space="preserve"> </w:t>
      </w:r>
      <w:r w:rsidR="00A7410F" w:rsidRPr="001567C8">
        <w:rPr>
          <w:rFonts w:asciiTheme="minorHAnsi" w:hAnsiTheme="minorHAnsi" w:cs="Arial"/>
          <w:b w:val="0"/>
          <w:bCs w:val="0"/>
          <w:sz w:val="22"/>
          <w:szCs w:val="22"/>
          <w:lang w:val="hr-HR"/>
        </w:rPr>
        <w:t>9.693</w:t>
      </w:r>
      <w:r w:rsidR="00111012" w:rsidRPr="001567C8">
        <w:rPr>
          <w:rFonts w:asciiTheme="minorHAnsi" w:hAnsiTheme="minorHAnsi" w:cs="Arial"/>
          <w:b w:val="0"/>
          <w:bCs w:val="0"/>
          <w:sz w:val="22"/>
          <w:szCs w:val="22"/>
          <w:lang w:val="hr-HR"/>
        </w:rPr>
        <w:t xml:space="preserve"> </w:t>
      </w:r>
      <w:r w:rsidR="00186D66" w:rsidRPr="001567C8">
        <w:rPr>
          <w:rFonts w:asciiTheme="minorHAnsi" w:hAnsiTheme="minorHAnsi" w:cs="Arial"/>
          <w:b w:val="0"/>
          <w:bCs w:val="0"/>
          <w:sz w:val="22"/>
          <w:szCs w:val="22"/>
          <w:lang w:val="hr-HR"/>
        </w:rPr>
        <w:t>tisuća kuna (</w:t>
      </w:r>
      <w:r w:rsidR="006D377C" w:rsidRPr="001567C8">
        <w:rPr>
          <w:rFonts w:asciiTheme="minorHAnsi" w:hAnsiTheme="minorHAnsi" w:cs="Arial"/>
          <w:b w:val="0"/>
          <w:bCs w:val="0"/>
          <w:sz w:val="22"/>
          <w:szCs w:val="22"/>
          <w:lang w:val="hr-HR"/>
        </w:rPr>
        <w:t xml:space="preserve">31. prosinca </w:t>
      </w:r>
      <w:r w:rsidR="00A7410F" w:rsidRPr="001567C8">
        <w:rPr>
          <w:rFonts w:asciiTheme="minorHAnsi" w:hAnsiTheme="minorHAnsi" w:cs="Arial"/>
          <w:b w:val="0"/>
          <w:bCs w:val="0"/>
          <w:sz w:val="22"/>
          <w:szCs w:val="22"/>
          <w:lang w:val="hr-HR"/>
        </w:rPr>
        <w:t>2017</w:t>
      </w:r>
      <w:r w:rsidR="00186D66" w:rsidRPr="001567C8">
        <w:rPr>
          <w:rFonts w:asciiTheme="minorHAnsi" w:hAnsiTheme="minorHAnsi" w:cs="Arial"/>
          <w:b w:val="0"/>
          <w:bCs w:val="0"/>
          <w:sz w:val="22"/>
          <w:szCs w:val="22"/>
          <w:lang w:val="hr-HR"/>
        </w:rPr>
        <w:t xml:space="preserve">. godine: </w:t>
      </w:r>
      <w:r w:rsidR="00A7410F" w:rsidRPr="001567C8">
        <w:rPr>
          <w:rFonts w:asciiTheme="minorHAnsi" w:hAnsiTheme="minorHAnsi" w:cs="Arial"/>
          <w:b w:val="0"/>
          <w:bCs w:val="0"/>
          <w:sz w:val="22"/>
          <w:szCs w:val="22"/>
          <w:lang w:val="hr-HR"/>
        </w:rPr>
        <w:t>18.747</w:t>
      </w:r>
      <w:r w:rsidR="00111012" w:rsidRPr="001567C8">
        <w:rPr>
          <w:rFonts w:asciiTheme="minorHAnsi" w:hAnsiTheme="minorHAnsi" w:cs="Arial"/>
          <w:b w:val="0"/>
          <w:bCs w:val="0"/>
          <w:sz w:val="22"/>
          <w:szCs w:val="22"/>
          <w:lang w:val="hr-HR"/>
        </w:rPr>
        <w:t xml:space="preserve"> </w:t>
      </w:r>
      <w:r w:rsidR="00186D66" w:rsidRPr="001567C8">
        <w:rPr>
          <w:rFonts w:asciiTheme="minorHAnsi" w:hAnsiTheme="minorHAnsi" w:cs="Arial"/>
          <w:b w:val="0"/>
          <w:bCs w:val="0"/>
          <w:sz w:val="22"/>
          <w:szCs w:val="22"/>
          <w:lang w:val="hr-HR"/>
        </w:rPr>
        <w:t>tisuć</w:t>
      </w:r>
      <w:r w:rsidR="00100BAC" w:rsidRPr="001567C8">
        <w:rPr>
          <w:rFonts w:asciiTheme="minorHAnsi" w:hAnsiTheme="minorHAnsi" w:cs="Arial"/>
          <w:b w:val="0"/>
          <w:bCs w:val="0"/>
          <w:sz w:val="22"/>
          <w:szCs w:val="22"/>
          <w:lang w:val="hr-HR"/>
        </w:rPr>
        <w:t>a</w:t>
      </w:r>
      <w:r w:rsidR="00186D66" w:rsidRPr="001567C8">
        <w:rPr>
          <w:rFonts w:asciiTheme="minorHAnsi" w:hAnsiTheme="minorHAnsi" w:cs="Arial"/>
          <w:b w:val="0"/>
          <w:bCs w:val="0"/>
          <w:sz w:val="22"/>
          <w:szCs w:val="22"/>
          <w:lang w:val="hr-HR"/>
        </w:rPr>
        <w:t xml:space="preserve"> kuna)</w:t>
      </w:r>
      <w:r w:rsidR="00C42F01" w:rsidRPr="001567C8">
        <w:rPr>
          <w:rFonts w:asciiTheme="minorHAnsi" w:hAnsiTheme="minorHAnsi" w:cs="Arial"/>
          <w:b w:val="0"/>
          <w:bCs w:val="0"/>
          <w:sz w:val="22"/>
          <w:szCs w:val="22"/>
          <w:lang w:val="hr-HR"/>
        </w:rPr>
        <w:t xml:space="preserve">, </w:t>
      </w:r>
      <w:r w:rsidR="008E3DB5" w:rsidRPr="001567C8">
        <w:rPr>
          <w:rFonts w:asciiTheme="minorHAnsi" w:hAnsiTheme="minorHAnsi" w:cs="Arial"/>
          <w:b w:val="0"/>
          <w:bCs w:val="0"/>
          <w:sz w:val="22"/>
          <w:szCs w:val="22"/>
          <w:lang w:val="hr-HR"/>
        </w:rPr>
        <w:t xml:space="preserve">sredstva </w:t>
      </w:r>
      <w:r w:rsidR="00186D66" w:rsidRPr="001567C8">
        <w:rPr>
          <w:rFonts w:asciiTheme="minorHAnsi" w:hAnsiTheme="minorHAnsi" w:cs="Arial"/>
          <w:b w:val="0"/>
          <w:sz w:val="22"/>
          <w:szCs w:val="22"/>
          <w:lang w:val="hr-HR"/>
        </w:rPr>
        <w:t>Darovnice Zaklade Globalnog Fonda zaštite okoliša</w:t>
      </w:r>
      <w:r w:rsidR="00B44C2A" w:rsidRPr="001567C8">
        <w:rPr>
          <w:rFonts w:asciiTheme="minorHAnsi" w:hAnsiTheme="minorHAnsi" w:cs="Arial"/>
          <w:b w:val="0"/>
          <w:sz w:val="22"/>
          <w:szCs w:val="22"/>
          <w:lang w:val="hr-HR"/>
        </w:rPr>
        <w:t>,</w:t>
      </w:r>
      <w:r w:rsidR="00186D66" w:rsidRPr="001567C8">
        <w:rPr>
          <w:rFonts w:asciiTheme="minorHAnsi" w:hAnsiTheme="minorHAnsi" w:cs="Arial"/>
          <w:i/>
          <w:sz w:val="22"/>
          <w:szCs w:val="22"/>
          <w:lang w:val="hr-HR"/>
        </w:rPr>
        <w:t xml:space="preserve"> </w:t>
      </w:r>
      <w:r w:rsidR="008E3DB5" w:rsidRPr="001567C8">
        <w:rPr>
          <w:rFonts w:asciiTheme="minorHAnsi" w:hAnsiTheme="minorHAnsi" w:cs="Arial"/>
          <w:b w:val="0"/>
          <w:bCs w:val="0"/>
          <w:sz w:val="22"/>
          <w:szCs w:val="22"/>
          <w:lang w:val="hr-HR"/>
        </w:rPr>
        <w:t>darovnice</w:t>
      </w:r>
      <w:r w:rsidR="00C42F01" w:rsidRPr="001567C8">
        <w:rPr>
          <w:rFonts w:asciiTheme="minorHAnsi" w:hAnsiTheme="minorHAnsi" w:cs="Arial"/>
          <w:b w:val="0"/>
          <w:bCs w:val="0"/>
          <w:sz w:val="22"/>
          <w:szCs w:val="22"/>
          <w:lang w:val="hr-HR"/>
        </w:rPr>
        <w:t xml:space="preserve"> po Projektu obnovljivih izvora energije u iznosu od </w:t>
      </w:r>
      <w:r w:rsidR="00A7410F" w:rsidRPr="001567C8">
        <w:rPr>
          <w:rFonts w:asciiTheme="minorHAnsi" w:hAnsiTheme="minorHAnsi" w:cs="Arial"/>
          <w:b w:val="0"/>
          <w:bCs w:val="0"/>
          <w:sz w:val="22"/>
          <w:szCs w:val="22"/>
          <w:lang w:val="hr-HR"/>
        </w:rPr>
        <w:t>7.078</w:t>
      </w:r>
      <w:r w:rsidR="00111012" w:rsidRPr="001567C8">
        <w:rPr>
          <w:rFonts w:asciiTheme="minorHAnsi" w:hAnsiTheme="minorHAnsi" w:cs="Arial"/>
          <w:b w:val="0"/>
          <w:bCs w:val="0"/>
          <w:sz w:val="22"/>
          <w:szCs w:val="22"/>
          <w:lang w:val="hr-HR"/>
        </w:rPr>
        <w:t xml:space="preserve"> </w:t>
      </w:r>
      <w:r w:rsidR="00C42F01" w:rsidRPr="001567C8">
        <w:rPr>
          <w:rFonts w:asciiTheme="minorHAnsi" w:hAnsiTheme="minorHAnsi" w:cs="Arial"/>
          <w:b w:val="0"/>
          <w:bCs w:val="0"/>
          <w:sz w:val="22"/>
          <w:szCs w:val="22"/>
          <w:lang w:val="hr-HR"/>
        </w:rPr>
        <w:t>tisuća kuna (</w:t>
      </w:r>
      <w:r w:rsidR="006D377C" w:rsidRPr="001567C8">
        <w:rPr>
          <w:rFonts w:asciiTheme="minorHAnsi" w:hAnsiTheme="minorHAnsi" w:cs="Arial"/>
          <w:b w:val="0"/>
          <w:bCs w:val="0"/>
          <w:sz w:val="22"/>
          <w:szCs w:val="22"/>
          <w:lang w:val="hr-HR"/>
        </w:rPr>
        <w:t xml:space="preserve">31. prosinca </w:t>
      </w:r>
      <w:r w:rsidR="00A7410F" w:rsidRPr="001567C8">
        <w:rPr>
          <w:rFonts w:asciiTheme="minorHAnsi" w:hAnsiTheme="minorHAnsi" w:cs="Arial"/>
          <w:b w:val="0"/>
          <w:bCs w:val="0"/>
          <w:sz w:val="22"/>
          <w:szCs w:val="22"/>
          <w:lang w:val="hr-HR"/>
        </w:rPr>
        <w:t>2017</w:t>
      </w:r>
      <w:r w:rsidR="00C42F01" w:rsidRPr="001567C8">
        <w:rPr>
          <w:rFonts w:asciiTheme="minorHAnsi" w:hAnsiTheme="minorHAnsi" w:cs="Arial"/>
          <w:b w:val="0"/>
          <w:bCs w:val="0"/>
          <w:sz w:val="22"/>
          <w:szCs w:val="22"/>
          <w:lang w:val="hr-HR"/>
        </w:rPr>
        <w:t xml:space="preserve">. godine: </w:t>
      </w:r>
      <w:r w:rsidR="00A7410F" w:rsidRPr="001567C8">
        <w:rPr>
          <w:rFonts w:asciiTheme="minorHAnsi" w:hAnsiTheme="minorHAnsi" w:cs="Arial"/>
          <w:b w:val="0"/>
          <w:bCs w:val="0"/>
          <w:sz w:val="22"/>
          <w:szCs w:val="22"/>
          <w:lang w:val="hr-HR"/>
        </w:rPr>
        <w:t xml:space="preserve">6.860 </w:t>
      </w:r>
      <w:r w:rsidR="00C42F01" w:rsidRPr="001567C8">
        <w:rPr>
          <w:rFonts w:asciiTheme="minorHAnsi" w:hAnsiTheme="minorHAnsi" w:cs="Arial"/>
          <w:b w:val="0"/>
          <w:bCs w:val="0"/>
          <w:sz w:val="22"/>
          <w:szCs w:val="22"/>
          <w:lang w:val="hr-HR"/>
        </w:rPr>
        <w:t>tisuća kuna) te sredstva Darovnice</w:t>
      </w:r>
      <w:r w:rsidR="00F27FA6" w:rsidRPr="001567C8">
        <w:rPr>
          <w:rFonts w:asciiTheme="minorHAnsi" w:hAnsiTheme="minorHAnsi" w:cs="Arial"/>
          <w:b w:val="0"/>
          <w:bCs w:val="0"/>
          <w:sz w:val="22"/>
          <w:szCs w:val="22"/>
          <w:lang w:val="hr-HR"/>
        </w:rPr>
        <w:t xml:space="preserve"> Globalnog Fonda zaštite okoliša po Programu izdavanja bankarskih garancija u okviru Projekta energetske učinkovitosti u iznosu od</w:t>
      </w:r>
      <w:r w:rsidR="00100BAC" w:rsidRPr="001567C8">
        <w:rPr>
          <w:rFonts w:asciiTheme="minorHAnsi" w:hAnsiTheme="minorHAnsi" w:cs="Arial"/>
          <w:b w:val="0"/>
          <w:bCs w:val="0"/>
          <w:sz w:val="22"/>
          <w:szCs w:val="22"/>
          <w:lang w:val="hr-HR"/>
        </w:rPr>
        <w:t xml:space="preserve"> </w:t>
      </w:r>
      <w:r w:rsidR="009D3F11" w:rsidRPr="001567C8">
        <w:rPr>
          <w:rFonts w:asciiTheme="minorHAnsi" w:hAnsiTheme="minorHAnsi" w:cs="Arial"/>
          <w:b w:val="0"/>
          <w:bCs w:val="0"/>
          <w:sz w:val="22"/>
          <w:szCs w:val="22"/>
          <w:lang w:val="hr-HR"/>
        </w:rPr>
        <w:t>5</w:t>
      </w:r>
      <w:r w:rsidR="009071ED" w:rsidRPr="001567C8">
        <w:rPr>
          <w:rFonts w:asciiTheme="minorHAnsi" w:hAnsiTheme="minorHAnsi" w:cs="Arial"/>
          <w:b w:val="0"/>
          <w:bCs w:val="0"/>
          <w:sz w:val="22"/>
          <w:szCs w:val="22"/>
          <w:lang w:val="hr-HR"/>
        </w:rPr>
        <w:t>.</w:t>
      </w:r>
      <w:r w:rsidR="001D016F" w:rsidRPr="001567C8">
        <w:rPr>
          <w:rFonts w:asciiTheme="minorHAnsi" w:hAnsiTheme="minorHAnsi" w:cs="Arial"/>
          <w:b w:val="0"/>
          <w:bCs w:val="0"/>
          <w:sz w:val="22"/>
          <w:szCs w:val="22"/>
          <w:lang w:val="hr-HR"/>
        </w:rPr>
        <w:t xml:space="preserve">822 </w:t>
      </w:r>
      <w:r w:rsidR="004C2312" w:rsidRPr="001567C8">
        <w:rPr>
          <w:rFonts w:asciiTheme="minorHAnsi" w:hAnsiTheme="minorHAnsi" w:cs="Arial"/>
          <w:b w:val="0"/>
          <w:bCs w:val="0"/>
          <w:sz w:val="22"/>
          <w:szCs w:val="22"/>
          <w:lang w:val="hr-HR"/>
        </w:rPr>
        <w:t>tisuća kuna (</w:t>
      </w:r>
      <w:r w:rsidR="006D377C" w:rsidRPr="001567C8">
        <w:rPr>
          <w:rFonts w:asciiTheme="minorHAnsi" w:hAnsiTheme="minorHAnsi" w:cs="Arial"/>
          <w:b w:val="0"/>
          <w:bCs w:val="0"/>
          <w:sz w:val="22"/>
          <w:szCs w:val="22"/>
          <w:lang w:val="hr-HR"/>
        </w:rPr>
        <w:t xml:space="preserve">31. prosinca </w:t>
      </w:r>
      <w:r w:rsidR="00A7410F" w:rsidRPr="001567C8">
        <w:rPr>
          <w:rFonts w:asciiTheme="minorHAnsi" w:hAnsiTheme="minorHAnsi" w:cs="Arial"/>
          <w:b w:val="0"/>
          <w:bCs w:val="0"/>
          <w:sz w:val="22"/>
          <w:szCs w:val="22"/>
          <w:lang w:val="hr-HR"/>
        </w:rPr>
        <w:t>2017</w:t>
      </w:r>
      <w:r w:rsidR="004C2312" w:rsidRPr="001567C8">
        <w:rPr>
          <w:rFonts w:asciiTheme="minorHAnsi" w:hAnsiTheme="minorHAnsi" w:cs="Arial"/>
          <w:b w:val="0"/>
          <w:bCs w:val="0"/>
          <w:sz w:val="22"/>
          <w:szCs w:val="22"/>
          <w:lang w:val="hr-HR"/>
        </w:rPr>
        <w:t xml:space="preserve">. godine: </w:t>
      </w:r>
      <w:r w:rsidR="00A7410F" w:rsidRPr="001567C8">
        <w:rPr>
          <w:rFonts w:asciiTheme="minorHAnsi" w:hAnsiTheme="minorHAnsi" w:cs="Arial"/>
          <w:b w:val="0"/>
          <w:bCs w:val="0"/>
          <w:sz w:val="22"/>
          <w:szCs w:val="22"/>
          <w:lang w:val="hr-HR"/>
        </w:rPr>
        <w:t xml:space="preserve">5.643 </w:t>
      </w:r>
      <w:r w:rsidR="004C2312" w:rsidRPr="001567C8">
        <w:rPr>
          <w:rFonts w:asciiTheme="minorHAnsi" w:hAnsiTheme="minorHAnsi" w:cs="Arial"/>
          <w:b w:val="0"/>
          <w:bCs w:val="0"/>
          <w:sz w:val="22"/>
          <w:szCs w:val="22"/>
          <w:lang w:val="hr-HR"/>
        </w:rPr>
        <w:t>tisuć</w:t>
      </w:r>
      <w:r w:rsidR="00100BAC" w:rsidRPr="001567C8">
        <w:rPr>
          <w:rFonts w:asciiTheme="minorHAnsi" w:hAnsiTheme="minorHAnsi" w:cs="Arial"/>
          <w:b w:val="0"/>
          <w:bCs w:val="0"/>
          <w:sz w:val="22"/>
          <w:szCs w:val="22"/>
          <w:lang w:val="hr-HR"/>
        </w:rPr>
        <w:t>a</w:t>
      </w:r>
      <w:r w:rsidR="004C2312" w:rsidRPr="001567C8">
        <w:rPr>
          <w:rFonts w:asciiTheme="minorHAnsi" w:hAnsiTheme="minorHAnsi" w:cs="Arial"/>
          <w:b w:val="0"/>
          <w:bCs w:val="0"/>
          <w:sz w:val="22"/>
          <w:szCs w:val="22"/>
          <w:lang w:val="hr-HR"/>
        </w:rPr>
        <w:t xml:space="preserve"> kuna),</w:t>
      </w:r>
      <w:r w:rsidR="00117909" w:rsidRPr="001567C8">
        <w:rPr>
          <w:rFonts w:asciiTheme="minorHAnsi" w:hAnsiTheme="minorHAnsi" w:cs="Arial"/>
          <w:bCs w:val="0"/>
          <w:color w:val="FF0000"/>
          <w:sz w:val="22"/>
          <w:szCs w:val="22"/>
          <w:lang w:val="hr-HR"/>
        </w:rPr>
        <w:t xml:space="preserve"> </w:t>
      </w:r>
      <w:r w:rsidR="00F27FA6" w:rsidRPr="001567C8">
        <w:rPr>
          <w:rFonts w:asciiTheme="minorHAnsi" w:hAnsiTheme="minorHAnsi" w:cs="Arial"/>
          <w:b w:val="0"/>
          <w:bCs w:val="0"/>
          <w:sz w:val="22"/>
          <w:szCs w:val="22"/>
          <w:lang w:val="hr-HR"/>
        </w:rPr>
        <w:t>koj</w:t>
      </w:r>
      <w:r w:rsidR="004C2312" w:rsidRPr="001567C8">
        <w:rPr>
          <w:rFonts w:asciiTheme="minorHAnsi" w:hAnsiTheme="minorHAnsi" w:cs="Arial"/>
          <w:b w:val="0"/>
          <w:bCs w:val="0"/>
          <w:sz w:val="22"/>
          <w:szCs w:val="22"/>
          <w:lang w:val="hr-HR"/>
        </w:rPr>
        <w:t>ima</w:t>
      </w:r>
      <w:r w:rsidR="00F27FA6" w:rsidRPr="001567C8">
        <w:rPr>
          <w:rFonts w:asciiTheme="minorHAnsi" w:hAnsiTheme="minorHAnsi" w:cs="Arial"/>
          <w:b w:val="0"/>
          <w:bCs w:val="0"/>
          <w:sz w:val="22"/>
          <w:szCs w:val="22"/>
          <w:lang w:val="hr-HR"/>
        </w:rPr>
        <w:t xml:space="preserve"> HBOR </w:t>
      </w:r>
      <w:r w:rsidR="004C2312" w:rsidRPr="001567C8">
        <w:rPr>
          <w:rFonts w:asciiTheme="minorHAnsi" w:hAnsiTheme="minorHAnsi" w:cs="Arial"/>
          <w:b w:val="0"/>
          <w:bCs w:val="0"/>
          <w:sz w:val="22"/>
          <w:szCs w:val="22"/>
          <w:lang w:val="hr-HR"/>
        </w:rPr>
        <w:t>upravlja</w:t>
      </w:r>
      <w:r w:rsidR="00F27FA6" w:rsidRPr="001567C8">
        <w:rPr>
          <w:rFonts w:asciiTheme="minorHAnsi" w:hAnsiTheme="minorHAnsi" w:cs="Arial"/>
          <w:b w:val="0"/>
          <w:bCs w:val="0"/>
          <w:sz w:val="22"/>
          <w:szCs w:val="22"/>
          <w:lang w:val="hr-HR"/>
        </w:rPr>
        <w:t xml:space="preserve"> u ime i za račun Republike Hrvatske</w:t>
      </w:r>
      <w:r w:rsidR="004C2312" w:rsidRPr="001567C8">
        <w:rPr>
          <w:rFonts w:asciiTheme="minorHAnsi" w:hAnsiTheme="minorHAnsi" w:cs="Arial"/>
          <w:b w:val="0"/>
          <w:bCs w:val="0"/>
          <w:sz w:val="22"/>
          <w:szCs w:val="22"/>
          <w:lang w:val="hr-HR"/>
        </w:rPr>
        <w:t xml:space="preserve"> temeljem zaključenih ugovora.</w:t>
      </w:r>
      <w:r w:rsidR="000D65C9" w:rsidRPr="001567C8">
        <w:rPr>
          <w:rFonts w:asciiTheme="minorHAnsi" w:hAnsiTheme="minorHAnsi" w:cs="Arial"/>
          <w:b w:val="0"/>
          <w:bCs w:val="0"/>
          <w:sz w:val="22"/>
          <w:szCs w:val="22"/>
          <w:lang w:val="hr-HR"/>
        </w:rPr>
        <w:t xml:space="preserve"> </w:t>
      </w:r>
    </w:p>
    <w:p w:rsidR="00FE559F" w:rsidRPr="001567C8" w:rsidRDefault="00FE559F" w:rsidP="00FE559F">
      <w:pPr>
        <w:pStyle w:val="T1"/>
        <w:keepNext w:val="0"/>
        <w:spacing w:before="0" w:after="0" w:line="240" w:lineRule="auto"/>
        <w:rPr>
          <w:rFonts w:asciiTheme="minorHAnsi" w:hAnsiTheme="minorHAnsi" w:cs="Arial"/>
          <w:b w:val="0"/>
          <w:bCs w:val="0"/>
          <w:sz w:val="22"/>
          <w:szCs w:val="22"/>
          <w:highlight w:val="yellow"/>
          <w:lang w:val="hr-HR"/>
        </w:rPr>
      </w:pPr>
    </w:p>
    <w:p w:rsidR="00092905" w:rsidRPr="001567C8" w:rsidRDefault="006D0890" w:rsidP="00FE559F">
      <w:pPr>
        <w:pStyle w:val="T1"/>
        <w:keepNext w:val="0"/>
        <w:spacing w:before="0" w:after="0" w:line="240" w:lineRule="auto"/>
        <w:rPr>
          <w:rFonts w:asciiTheme="minorHAnsi" w:hAnsiTheme="minorHAnsi" w:cs="Arial"/>
          <w:b w:val="0"/>
          <w:sz w:val="22"/>
          <w:szCs w:val="22"/>
          <w:lang w:val="hr-HR"/>
        </w:rPr>
      </w:pPr>
      <w:r w:rsidRPr="001567C8">
        <w:rPr>
          <w:rFonts w:asciiTheme="minorHAnsi" w:hAnsiTheme="minorHAnsi" w:cs="Arial"/>
          <w:b w:val="0"/>
          <w:bCs w:val="0"/>
          <w:sz w:val="22"/>
          <w:szCs w:val="22"/>
          <w:lang w:val="hr-HR"/>
        </w:rPr>
        <w:t xml:space="preserve">Depoziti </w:t>
      </w:r>
      <w:r w:rsidR="004E1BE0" w:rsidRPr="001567C8">
        <w:rPr>
          <w:rFonts w:asciiTheme="minorHAnsi" w:hAnsiTheme="minorHAnsi" w:cs="Arial"/>
          <w:b w:val="0"/>
          <w:bCs w:val="0"/>
          <w:sz w:val="22"/>
          <w:szCs w:val="22"/>
          <w:lang w:val="hr-HR"/>
        </w:rPr>
        <w:t xml:space="preserve">po viđenju </w:t>
      </w:r>
      <w:r w:rsidRPr="001567C8">
        <w:rPr>
          <w:rFonts w:asciiTheme="minorHAnsi" w:hAnsiTheme="minorHAnsi" w:cs="Arial"/>
          <w:b w:val="0"/>
          <w:bCs w:val="0"/>
          <w:sz w:val="22"/>
          <w:szCs w:val="22"/>
          <w:lang w:val="hr-HR"/>
        </w:rPr>
        <w:t xml:space="preserve">državnih institucija odnose se na poslove koje Banka obavlja u ime i </w:t>
      </w:r>
      <w:r w:rsidR="000E6513" w:rsidRPr="001567C8">
        <w:rPr>
          <w:rFonts w:asciiTheme="minorHAnsi" w:hAnsiTheme="minorHAnsi" w:cs="Arial"/>
          <w:b w:val="0"/>
          <w:bCs w:val="0"/>
          <w:sz w:val="22"/>
          <w:szCs w:val="22"/>
          <w:lang w:val="hr-HR"/>
        </w:rPr>
        <w:t>za račun Ministarstva financija</w:t>
      </w:r>
      <w:r w:rsidRPr="001567C8">
        <w:rPr>
          <w:rFonts w:asciiTheme="minorHAnsi" w:hAnsiTheme="minorHAnsi" w:cs="Arial"/>
          <w:b w:val="0"/>
          <w:bCs w:val="0"/>
          <w:sz w:val="22"/>
          <w:szCs w:val="22"/>
          <w:lang w:val="hr-HR"/>
        </w:rPr>
        <w:t xml:space="preserve">, </w:t>
      </w:r>
      <w:r w:rsidR="0087737F" w:rsidRPr="001567C8">
        <w:rPr>
          <w:rFonts w:asciiTheme="minorHAnsi" w:hAnsiTheme="minorHAnsi" w:cs="Arial"/>
          <w:b w:val="0"/>
          <w:sz w:val="22"/>
          <w:szCs w:val="22"/>
          <w:lang w:val="hr-HR"/>
        </w:rPr>
        <w:t>Ministarstva gospodarstva</w:t>
      </w:r>
      <w:r w:rsidR="00F83648" w:rsidRPr="001567C8">
        <w:rPr>
          <w:rFonts w:asciiTheme="minorHAnsi" w:hAnsiTheme="minorHAnsi" w:cs="Arial"/>
          <w:b w:val="0"/>
          <w:sz w:val="22"/>
          <w:szCs w:val="22"/>
          <w:lang w:val="hr-HR"/>
        </w:rPr>
        <w:t>,</w:t>
      </w:r>
      <w:r w:rsidR="00F83648" w:rsidRPr="00CD3A2D">
        <w:rPr>
          <w:lang w:val="hr-HR"/>
        </w:rPr>
        <w:t xml:space="preserve"> </w:t>
      </w:r>
      <w:r w:rsidR="00F83648" w:rsidRPr="001567C8">
        <w:rPr>
          <w:rFonts w:asciiTheme="minorHAnsi" w:hAnsiTheme="minorHAnsi" w:cs="Arial"/>
          <w:b w:val="0"/>
          <w:sz w:val="22"/>
          <w:szCs w:val="22"/>
          <w:lang w:val="hr-HR"/>
        </w:rPr>
        <w:t>poduzetništva i obrta</w:t>
      </w:r>
      <w:r w:rsidR="0087737F" w:rsidRPr="001567C8">
        <w:rPr>
          <w:rFonts w:asciiTheme="minorHAnsi" w:hAnsiTheme="minorHAnsi" w:cs="Arial"/>
          <w:b w:val="0"/>
          <w:sz w:val="22"/>
          <w:szCs w:val="22"/>
          <w:lang w:val="hr-HR"/>
        </w:rPr>
        <w:t xml:space="preserve">, </w:t>
      </w:r>
      <w:r w:rsidR="002339B3" w:rsidRPr="001567C8">
        <w:rPr>
          <w:rFonts w:asciiTheme="minorHAnsi" w:hAnsiTheme="minorHAnsi" w:cs="Arial"/>
          <w:b w:val="0"/>
          <w:sz w:val="22"/>
          <w:szCs w:val="22"/>
          <w:lang w:val="hr-HR"/>
        </w:rPr>
        <w:t xml:space="preserve">Ministarstva </w:t>
      </w:r>
      <w:r w:rsidR="00785FED" w:rsidRPr="001567C8">
        <w:rPr>
          <w:rFonts w:asciiTheme="minorHAnsi" w:hAnsiTheme="minorHAnsi" w:cs="Arial"/>
          <w:b w:val="0"/>
          <w:sz w:val="22"/>
          <w:szCs w:val="22"/>
          <w:lang w:val="hr-HR"/>
        </w:rPr>
        <w:t>mora</w:t>
      </w:r>
      <w:r w:rsidR="002339B3" w:rsidRPr="001567C8">
        <w:rPr>
          <w:rFonts w:asciiTheme="minorHAnsi" w:hAnsiTheme="minorHAnsi" w:cs="Arial"/>
          <w:b w:val="0"/>
          <w:sz w:val="22"/>
          <w:szCs w:val="22"/>
          <w:lang w:val="hr-HR"/>
        </w:rPr>
        <w:t>, prometa i infrastrukture, Ministarstva poljoprivrede, Ministarstva regionalnog</w:t>
      </w:r>
      <w:r w:rsidR="009D3F11" w:rsidRPr="001567C8">
        <w:rPr>
          <w:rFonts w:asciiTheme="minorHAnsi" w:hAnsiTheme="minorHAnsi" w:cs="Arial"/>
          <w:b w:val="0"/>
          <w:sz w:val="22"/>
          <w:szCs w:val="22"/>
          <w:lang w:val="hr-HR"/>
        </w:rPr>
        <w:t>a</w:t>
      </w:r>
      <w:r w:rsidR="002339B3" w:rsidRPr="001567C8">
        <w:rPr>
          <w:rFonts w:asciiTheme="minorHAnsi" w:hAnsiTheme="minorHAnsi" w:cs="Arial"/>
          <w:b w:val="0"/>
          <w:sz w:val="22"/>
          <w:szCs w:val="22"/>
          <w:lang w:val="hr-HR"/>
        </w:rPr>
        <w:t xml:space="preserve"> razvoja i fondova Europske unije, </w:t>
      </w:r>
      <w:r w:rsidR="002F43A9" w:rsidRPr="001567C8">
        <w:rPr>
          <w:rFonts w:asciiTheme="minorHAnsi" w:hAnsiTheme="minorHAnsi" w:cs="Arial"/>
          <w:b w:val="0"/>
          <w:sz w:val="22"/>
          <w:szCs w:val="22"/>
          <w:lang w:val="hr-HR"/>
        </w:rPr>
        <w:t>Vodovoda i kanalizacije d.o.o., Split</w:t>
      </w:r>
      <w:r w:rsidR="00F21C09" w:rsidRPr="001567C8">
        <w:rPr>
          <w:rFonts w:asciiTheme="minorHAnsi" w:hAnsiTheme="minorHAnsi" w:cs="Arial"/>
          <w:b w:val="0"/>
          <w:sz w:val="22"/>
          <w:szCs w:val="22"/>
          <w:lang w:val="hr-HR"/>
        </w:rPr>
        <w:t xml:space="preserve"> i </w:t>
      </w:r>
      <w:r w:rsidR="00BB58A3" w:rsidRPr="001567C8">
        <w:rPr>
          <w:rFonts w:asciiTheme="minorHAnsi" w:hAnsiTheme="minorHAnsi" w:cs="Arial"/>
          <w:b w:val="0"/>
          <w:sz w:val="22"/>
          <w:szCs w:val="22"/>
          <w:lang w:val="hr-HR"/>
        </w:rPr>
        <w:t>Hrvatske agencije za malo gospodarstvo, inovacije i investicije (HAMAG-BICRO)</w:t>
      </w:r>
      <w:r w:rsidR="00092905" w:rsidRPr="001567C8">
        <w:rPr>
          <w:rFonts w:asciiTheme="minorHAnsi" w:hAnsiTheme="minorHAnsi" w:cs="Arial"/>
          <w:b w:val="0"/>
          <w:sz w:val="22"/>
          <w:szCs w:val="22"/>
          <w:lang w:val="hr-HR"/>
        </w:rPr>
        <w:t>.</w:t>
      </w:r>
    </w:p>
    <w:p w:rsidR="00FE559F" w:rsidRPr="001567C8" w:rsidRDefault="00FE559F" w:rsidP="00FE559F">
      <w:pPr>
        <w:pStyle w:val="T1"/>
        <w:keepNext w:val="0"/>
        <w:spacing w:before="0" w:after="0" w:line="240" w:lineRule="auto"/>
        <w:rPr>
          <w:rFonts w:asciiTheme="minorHAnsi" w:hAnsiTheme="minorHAnsi" w:cs="Arial"/>
          <w:b w:val="0"/>
          <w:sz w:val="22"/>
          <w:szCs w:val="22"/>
          <w:lang w:val="hr-HR"/>
        </w:rPr>
      </w:pPr>
    </w:p>
    <w:p w:rsidR="00EF789D" w:rsidRPr="001567C8" w:rsidRDefault="00EF789D" w:rsidP="00FE559F">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Devizni namjenski računi trgovačkih društava odnose se na priljeve sredstva i raspolaganje sredstvima avansa uplaćenim na račun trgovačkog društva, a vezano na izdane garancije HBOR-a za povrat avansa za izvozni posao. Sredstva avansa koriste se isključivo namjenski u svrhu provedbe izvoznog ugovora, uz suglasnost HBOR-a.</w:t>
      </w:r>
    </w:p>
    <w:p w:rsidR="00FE559F" w:rsidRPr="001567C8" w:rsidRDefault="00FE559F" w:rsidP="00FE559F">
      <w:pPr>
        <w:pStyle w:val="T1"/>
        <w:keepNext w:val="0"/>
        <w:spacing w:before="0" w:after="0" w:line="240" w:lineRule="auto"/>
        <w:rPr>
          <w:rFonts w:asciiTheme="minorHAnsi" w:hAnsiTheme="minorHAnsi" w:cs="Arial"/>
          <w:b w:val="0"/>
          <w:bCs w:val="0"/>
          <w:sz w:val="22"/>
          <w:szCs w:val="22"/>
          <w:lang w:val="hr-HR"/>
        </w:rPr>
      </w:pPr>
    </w:p>
    <w:p w:rsidR="006D0890" w:rsidRPr="001567C8" w:rsidRDefault="006D0890" w:rsidP="00FE559F">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Na naveden</w:t>
      </w:r>
      <w:r w:rsidR="00677B94" w:rsidRPr="001567C8">
        <w:rPr>
          <w:rFonts w:asciiTheme="minorHAnsi" w:hAnsiTheme="minorHAnsi" w:cs="Arial"/>
          <w:b w:val="0"/>
          <w:bCs w:val="0"/>
          <w:sz w:val="22"/>
          <w:szCs w:val="22"/>
          <w:lang w:val="hr-HR"/>
        </w:rPr>
        <w:t>e depozite HBOR ne plaća kamatu</w:t>
      </w:r>
      <w:r w:rsidR="0071033A" w:rsidRPr="001567C8">
        <w:rPr>
          <w:rFonts w:asciiTheme="minorHAnsi" w:hAnsiTheme="minorHAnsi" w:cs="Arial"/>
          <w:b w:val="0"/>
          <w:bCs w:val="0"/>
          <w:sz w:val="22"/>
          <w:szCs w:val="22"/>
          <w:lang w:val="hr-HR"/>
        </w:rPr>
        <w:t>.</w:t>
      </w:r>
    </w:p>
    <w:p w:rsidR="00003051" w:rsidRPr="001567C8" w:rsidRDefault="00003051" w:rsidP="00FE559F">
      <w:pPr>
        <w:pStyle w:val="T1"/>
        <w:keepNext w:val="0"/>
        <w:spacing w:before="0" w:after="0" w:line="240" w:lineRule="auto"/>
        <w:rPr>
          <w:rFonts w:asciiTheme="minorHAnsi" w:hAnsiTheme="minorHAnsi" w:cs="Arial"/>
          <w:b w:val="0"/>
          <w:bCs w:val="0"/>
          <w:sz w:val="22"/>
          <w:szCs w:val="22"/>
          <w:lang w:val="hr-HR"/>
        </w:rPr>
        <w:sectPr w:rsidR="00003051" w:rsidRPr="001567C8" w:rsidSect="003E2D7A">
          <w:pgSz w:w="11907" w:h="16840" w:code="9"/>
          <w:pgMar w:top="1418" w:right="1134" w:bottom="1134" w:left="1418" w:header="851" w:footer="851" w:gutter="0"/>
          <w:cols w:space="720"/>
          <w:noEndnote/>
        </w:sectPr>
      </w:pPr>
    </w:p>
    <w:p w:rsidR="00F37423" w:rsidRPr="001567C8" w:rsidRDefault="00F37423" w:rsidP="00D4464E">
      <w:pPr>
        <w:pStyle w:val="T1"/>
        <w:spacing w:before="0" w:after="0" w:line="240" w:lineRule="auto"/>
        <w:rPr>
          <w:rFonts w:asciiTheme="minorHAnsi" w:hAnsiTheme="minorHAnsi" w:cs="Arial"/>
          <w:sz w:val="22"/>
          <w:szCs w:val="22"/>
          <w:lang w:val="hr-HR"/>
        </w:rPr>
      </w:pPr>
    </w:p>
    <w:p w:rsidR="006D0890" w:rsidRPr="001567C8" w:rsidRDefault="00C9220F" w:rsidP="00D4464E">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28</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t xml:space="preserve">Obveze po kreditima </w:t>
      </w:r>
    </w:p>
    <w:p w:rsidR="00F37423" w:rsidRPr="001567C8" w:rsidRDefault="00F37423" w:rsidP="00D4464E">
      <w:pPr>
        <w:pStyle w:val="T1"/>
        <w:spacing w:before="0" w:after="0" w:line="240" w:lineRule="auto"/>
        <w:rPr>
          <w:rFonts w:asciiTheme="minorHAnsi" w:hAnsiTheme="minorHAnsi"/>
          <w:sz w:val="22"/>
          <w:szCs w:val="22"/>
          <w:lang w:val="hr-HR"/>
        </w:rPr>
      </w:pPr>
    </w:p>
    <w:tbl>
      <w:tblPr>
        <w:tblW w:w="5000" w:type="pct"/>
        <w:tblLayout w:type="fixed"/>
        <w:tblCellMar>
          <w:left w:w="119" w:type="dxa"/>
          <w:right w:w="119" w:type="dxa"/>
        </w:tblCellMar>
        <w:tblLook w:val="0000" w:firstRow="0" w:lastRow="0" w:firstColumn="0" w:lastColumn="0" w:noHBand="0" w:noVBand="0"/>
      </w:tblPr>
      <w:tblGrid>
        <w:gridCol w:w="3544"/>
        <w:gridCol w:w="1559"/>
        <w:gridCol w:w="1420"/>
        <w:gridCol w:w="1416"/>
        <w:gridCol w:w="1416"/>
      </w:tblGrid>
      <w:tr w:rsidR="00703DB6" w:rsidRPr="001567C8" w:rsidTr="003327E4">
        <w:trPr>
          <w:trHeight w:val="186"/>
        </w:trPr>
        <w:tc>
          <w:tcPr>
            <w:tcW w:w="1894" w:type="pct"/>
          </w:tcPr>
          <w:p w:rsidR="00703DB6" w:rsidRPr="001567C8" w:rsidRDefault="00703DB6" w:rsidP="001979EB">
            <w:pPr>
              <w:tabs>
                <w:tab w:val="left" w:pos="-1963"/>
              </w:tabs>
              <w:suppressAutoHyphens/>
              <w:rPr>
                <w:rFonts w:asciiTheme="minorHAnsi" w:hAnsiTheme="minorHAnsi" w:cs="Arial"/>
                <w:spacing w:val="-3"/>
                <w:sz w:val="22"/>
                <w:szCs w:val="22"/>
                <w:lang w:val="hr-HR"/>
              </w:rPr>
            </w:pPr>
          </w:p>
        </w:tc>
        <w:tc>
          <w:tcPr>
            <w:tcW w:w="1592" w:type="pct"/>
            <w:gridSpan w:val="2"/>
          </w:tcPr>
          <w:p w:rsidR="00703DB6" w:rsidRPr="001567C8" w:rsidRDefault="00703DB6" w:rsidP="009C21BC">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514" w:type="pct"/>
            <w:gridSpan w:val="2"/>
          </w:tcPr>
          <w:p w:rsidR="00703DB6" w:rsidRPr="001567C8" w:rsidRDefault="00703DB6" w:rsidP="009C21BC">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B53527" w:rsidRPr="001567C8" w:rsidTr="003327E4">
        <w:trPr>
          <w:trHeight w:val="588"/>
        </w:trPr>
        <w:tc>
          <w:tcPr>
            <w:tcW w:w="1894" w:type="pct"/>
          </w:tcPr>
          <w:p w:rsidR="00B53527" w:rsidRPr="001567C8" w:rsidRDefault="00B53527" w:rsidP="00B53527">
            <w:pPr>
              <w:tabs>
                <w:tab w:val="left" w:pos="-1963"/>
              </w:tabs>
              <w:suppressAutoHyphens/>
              <w:jc w:val="center"/>
              <w:rPr>
                <w:rFonts w:asciiTheme="minorHAnsi" w:hAnsiTheme="minorHAnsi" w:cs="Arial"/>
                <w:spacing w:val="-3"/>
                <w:sz w:val="22"/>
                <w:szCs w:val="22"/>
                <w:lang w:val="hr-HR"/>
              </w:rPr>
            </w:pPr>
          </w:p>
        </w:tc>
        <w:tc>
          <w:tcPr>
            <w:tcW w:w="833" w:type="pct"/>
            <w:vAlign w:val="center"/>
          </w:tcPr>
          <w:p w:rsidR="00B53527"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31. prosinca</w:t>
            </w:r>
            <w:r w:rsidR="00434C7E" w:rsidRPr="001567C8">
              <w:rPr>
                <w:rFonts w:asciiTheme="minorHAnsi" w:hAnsiTheme="minorHAnsi" w:cs="Arial"/>
                <w:sz w:val="22"/>
                <w:szCs w:val="22"/>
                <w:lang w:val="hr-HR"/>
              </w:rPr>
              <w:t xml:space="preserve"> </w:t>
            </w:r>
            <w:r w:rsidR="00B53527" w:rsidRPr="001567C8">
              <w:rPr>
                <w:rFonts w:asciiTheme="minorHAnsi" w:hAnsiTheme="minorHAnsi" w:cs="Arial"/>
                <w:sz w:val="22"/>
                <w:szCs w:val="22"/>
                <w:lang w:val="hr-HR"/>
              </w:rPr>
              <w:t>201</w:t>
            </w:r>
            <w:r w:rsidR="008F7CB8" w:rsidRPr="001567C8">
              <w:rPr>
                <w:rFonts w:asciiTheme="minorHAnsi" w:hAnsiTheme="minorHAnsi" w:cs="Arial"/>
                <w:sz w:val="22"/>
                <w:szCs w:val="22"/>
                <w:lang w:val="hr-HR"/>
              </w:rPr>
              <w:t>8</w:t>
            </w:r>
            <w:r w:rsidR="00B53527" w:rsidRPr="001567C8">
              <w:rPr>
                <w:rFonts w:asciiTheme="minorHAnsi" w:hAnsiTheme="minorHAnsi" w:cs="Arial"/>
                <w:sz w:val="22"/>
                <w:szCs w:val="22"/>
                <w:lang w:val="hr-HR"/>
              </w:rPr>
              <w:t>.</w:t>
            </w:r>
          </w:p>
        </w:tc>
        <w:tc>
          <w:tcPr>
            <w:tcW w:w="759" w:type="pct"/>
            <w:vAlign w:val="center"/>
          </w:tcPr>
          <w:p w:rsidR="00B53527"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B53527" w:rsidRPr="001567C8">
              <w:rPr>
                <w:rFonts w:asciiTheme="minorHAnsi" w:hAnsiTheme="minorHAnsi" w:cs="Arial"/>
                <w:sz w:val="22"/>
                <w:szCs w:val="22"/>
                <w:lang w:val="hr-HR"/>
              </w:rPr>
              <w:t>201</w:t>
            </w:r>
            <w:r w:rsidR="008F7CB8" w:rsidRPr="001567C8">
              <w:rPr>
                <w:rFonts w:asciiTheme="minorHAnsi" w:hAnsiTheme="minorHAnsi" w:cs="Arial"/>
                <w:sz w:val="22"/>
                <w:szCs w:val="22"/>
                <w:lang w:val="hr-HR"/>
              </w:rPr>
              <w:t>7</w:t>
            </w:r>
            <w:r w:rsidR="00B53527" w:rsidRPr="001567C8">
              <w:rPr>
                <w:rFonts w:asciiTheme="minorHAnsi" w:hAnsiTheme="minorHAnsi" w:cs="Arial"/>
                <w:sz w:val="22"/>
                <w:szCs w:val="22"/>
                <w:lang w:val="hr-HR"/>
              </w:rPr>
              <w:t>.</w:t>
            </w:r>
          </w:p>
        </w:tc>
        <w:tc>
          <w:tcPr>
            <w:tcW w:w="757" w:type="pct"/>
            <w:vAlign w:val="center"/>
          </w:tcPr>
          <w:p w:rsidR="00B53527"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B53527" w:rsidRPr="001567C8">
              <w:rPr>
                <w:rFonts w:asciiTheme="minorHAnsi" w:hAnsiTheme="minorHAnsi" w:cs="Arial"/>
                <w:sz w:val="22"/>
                <w:szCs w:val="22"/>
                <w:lang w:val="hr-HR"/>
              </w:rPr>
              <w:t>201</w:t>
            </w:r>
            <w:r w:rsidR="008F7CB8" w:rsidRPr="001567C8">
              <w:rPr>
                <w:rFonts w:asciiTheme="minorHAnsi" w:hAnsiTheme="minorHAnsi" w:cs="Arial"/>
                <w:sz w:val="22"/>
                <w:szCs w:val="22"/>
                <w:lang w:val="hr-HR"/>
              </w:rPr>
              <w:t>8</w:t>
            </w:r>
            <w:r w:rsidR="00B53527" w:rsidRPr="001567C8">
              <w:rPr>
                <w:rFonts w:asciiTheme="minorHAnsi" w:hAnsiTheme="minorHAnsi" w:cs="Arial"/>
                <w:sz w:val="22"/>
                <w:szCs w:val="22"/>
                <w:lang w:val="hr-HR"/>
              </w:rPr>
              <w:t>.</w:t>
            </w:r>
          </w:p>
        </w:tc>
        <w:tc>
          <w:tcPr>
            <w:tcW w:w="757" w:type="pct"/>
            <w:vAlign w:val="center"/>
          </w:tcPr>
          <w:p w:rsidR="00B53527"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B53527" w:rsidRPr="001567C8">
              <w:rPr>
                <w:rFonts w:asciiTheme="minorHAnsi" w:hAnsiTheme="minorHAnsi" w:cs="Arial"/>
                <w:sz w:val="22"/>
                <w:szCs w:val="22"/>
                <w:lang w:val="hr-HR"/>
              </w:rPr>
              <w:t>201</w:t>
            </w:r>
            <w:r w:rsidR="008F7CB8" w:rsidRPr="001567C8">
              <w:rPr>
                <w:rFonts w:asciiTheme="minorHAnsi" w:hAnsiTheme="minorHAnsi" w:cs="Arial"/>
                <w:sz w:val="22"/>
                <w:szCs w:val="22"/>
                <w:lang w:val="hr-HR"/>
              </w:rPr>
              <w:t>7</w:t>
            </w:r>
            <w:r w:rsidR="00B53527" w:rsidRPr="001567C8">
              <w:rPr>
                <w:rFonts w:asciiTheme="minorHAnsi" w:hAnsiTheme="minorHAnsi" w:cs="Arial"/>
                <w:sz w:val="22"/>
                <w:szCs w:val="22"/>
                <w:lang w:val="hr-HR"/>
              </w:rPr>
              <w:t>.</w:t>
            </w:r>
          </w:p>
        </w:tc>
      </w:tr>
      <w:tr w:rsidR="00B53527" w:rsidRPr="001567C8" w:rsidTr="003327E4">
        <w:trPr>
          <w:trHeight w:val="169"/>
        </w:trPr>
        <w:tc>
          <w:tcPr>
            <w:tcW w:w="1894" w:type="pct"/>
          </w:tcPr>
          <w:p w:rsidR="00B53527" w:rsidRPr="001567C8" w:rsidRDefault="00B53527" w:rsidP="00B53527">
            <w:pPr>
              <w:tabs>
                <w:tab w:val="left" w:pos="-1963"/>
              </w:tabs>
              <w:suppressAutoHyphens/>
              <w:jc w:val="center"/>
              <w:rPr>
                <w:rFonts w:asciiTheme="minorHAnsi" w:hAnsiTheme="minorHAnsi" w:cs="Arial"/>
                <w:spacing w:val="-3"/>
                <w:sz w:val="22"/>
                <w:szCs w:val="22"/>
                <w:lang w:val="hr-HR"/>
              </w:rPr>
            </w:pPr>
          </w:p>
        </w:tc>
        <w:tc>
          <w:tcPr>
            <w:tcW w:w="833" w:type="pct"/>
          </w:tcPr>
          <w:p w:rsidR="00B53527" w:rsidRPr="001567C8" w:rsidRDefault="00B53527" w:rsidP="00B5352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59" w:type="pct"/>
          </w:tcPr>
          <w:p w:rsidR="00B53527" w:rsidRPr="001567C8" w:rsidRDefault="00B53527" w:rsidP="00B5352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57" w:type="pct"/>
          </w:tcPr>
          <w:p w:rsidR="00B53527" w:rsidRPr="001567C8" w:rsidRDefault="00B53527" w:rsidP="00B5352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57" w:type="pct"/>
          </w:tcPr>
          <w:p w:rsidR="00B53527" w:rsidRPr="001567C8" w:rsidRDefault="00B53527" w:rsidP="00B5352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B53527" w:rsidRPr="001567C8" w:rsidTr="003327E4">
        <w:trPr>
          <w:trHeight w:val="213"/>
        </w:trPr>
        <w:tc>
          <w:tcPr>
            <w:tcW w:w="1894" w:type="pct"/>
          </w:tcPr>
          <w:p w:rsidR="00B53527" w:rsidRPr="001567C8" w:rsidRDefault="00B53527" w:rsidP="00B53527">
            <w:pPr>
              <w:tabs>
                <w:tab w:val="left" w:pos="-1963"/>
              </w:tabs>
              <w:suppressAutoHyphens/>
              <w:jc w:val="center"/>
              <w:rPr>
                <w:rFonts w:asciiTheme="minorHAnsi" w:hAnsiTheme="minorHAnsi" w:cs="Arial"/>
                <w:spacing w:val="-3"/>
                <w:sz w:val="22"/>
                <w:szCs w:val="22"/>
                <w:lang w:val="hr-HR"/>
              </w:rPr>
            </w:pPr>
          </w:p>
        </w:tc>
        <w:tc>
          <w:tcPr>
            <w:tcW w:w="833" w:type="pct"/>
          </w:tcPr>
          <w:p w:rsidR="00B53527" w:rsidRPr="001567C8" w:rsidRDefault="00B53527" w:rsidP="00B53527">
            <w:pPr>
              <w:suppressAutoHyphens/>
              <w:jc w:val="right"/>
              <w:rPr>
                <w:rFonts w:asciiTheme="minorHAnsi" w:hAnsiTheme="minorHAnsi" w:cs="Arial"/>
                <w:b/>
                <w:spacing w:val="-3"/>
                <w:sz w:val="22"/>
                <w:szCs w:val="22"/>
                <w:lang w:val="hr-HR"/>
              </w:rPr>
            </w:pPr>
          </w:p>
        </w:tc>
        <w:tc>
          <w:tcPr>
            <w:tcW w:w="759" w:type="pct"/>
          </w:tcPr>
          <w:p w:rsidR="00B53527" w:rsidRPr="001567C8" w:rsidRDefault="00B53527" w:rsidP="00B53527">
            <w:pPr>
              <w:suppressAutoHyphens/>
              <w:jc w:val="right"/>
              <w:rPr>
                <w:rFonts w:asciiTheme="minorHAnsi" w:hAnsiTheme="minorHAnsi" w:cs="Arial"/>
                <w:b/>
                <w:spacing w:val="-3"/>
                <w:sz w:val="22"/>
                <w:szCs w:val="22"/>
                <w:lang w:val="hr-HR"/>
              </w:rPr>
            </w:pPr>
          </w:p>
        </w:tc>
        <w:tc>
          <w:tcPr>
            <w:tcW w:w="757" w:type="pct"/>
            <w:vAlign w:val="bottom"/>
          </w:tcPr>
          <w:p w:rsidR="00B53527" w:rsidRPr="001567C8" w:rsidRDefault="00B53527" w:rsidP="00B53527">
            <w:pPr>
              <w:suppressAutoHyphens/>
              <w:jc w:val="right"/>
              <w:rPr>
                <w:rFonts w:asciiTheme="minorHAnsi" w:hAnsiTheme="minorHAnsi" w:cs="Arial"/>
                <w:b/>
                <w:spacing w:val="-3"/>
                <w:sz w:val="22"/>
                <w:szCs w:val="22"/>
                <w:lang w:val="hr-HR"/>
              </w:rPr>
            </w:pPr>
          </w:p>
        </w:tc>
        <w:tc>
          <w:tcPr>
            <w:tcW w:w="757" w:type="pct"/>
            <w:vAlign w:val="bottom"/>
          </w:tcPr>
          <w:p w:rsidR="00B53527" w:rsidRPr="001567C8" w:rsidRDefault="00B53527" w:rsidP="00B53527">
            <w:pPr>
              <w:suppressAutoHyphens/>
              <w:jc w:val="right"/>
              <w:rPr>
                <w:rFonts w:asciiTheme="minorHAnsi" w:hAnsiTheme="minorHAnsi" w:cs="Arial"/>
                <w:b/>
                <w:spacing w:val="-3"/>
                <w:sz w:val="22"/>
                <w:szCs w:val="22"/>
                <w:lang w:val="hr-HR"/>
              </w:rPr>
            </w:pPr>
          </w:p>
        </w:tc>
      </w:tr>
      <w:tr w:rsidR="001D016F" w:rsidRPr="001567C8" w:rsidTr="003327E4">
        <w:tc>
          <w:tcPr>
            <w:tcW w:w="1894" w:type="pct"/>
          </w:tcPr>
          <w:p w:rsidR="001D016F" w:rsidRPr="001567C8" w:rsidRDefault="001D016F" w:rsidP="001D016F">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Stanje 1. siječnja </w:t>
            </w:r>
          </w:p>
        </w:tc>
        <w:tc>
          <w:tcPr>
            <w:tcW w:w="833" w:type="pct"/>
            <w:tcBorders>
              <w:top w:val="nil"/>
              <w:left w:val="nil"/>
              <w:bottom w:val="nil"/>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15.399.788</w:t>
            </w:r>
          </w:p>
        </w:tc>
        <w:tc>
          <w:tcPr>
            <w:tcW w:w="759" w:type="pct"/>
            <w:tcBorders>
              <w:top w:val="nil"/>
              <w:left w:val="nil"/>
              <w:bottom w:val="nil"/>
              <w:right w:val="nil"/>
            </w:tcBorders>
            <w:shd w:val="clear" w:color="auto" w:fill="auto"/>
            <w:vAlign w:val="bottom"/>
          </w:tcPr>
          <w:p w:rsidR="001D016F" w:rsidRPr="001567C8" w:rsidRDefault="001D016F" w:rsidP="001D016F">
            <w:pPr>
              <w:pStyle w:val="TT"/>
              <w:jc w:val="right"/>
              <w:rPr>
                <w:rFonts w:asciiTheme="minorHAnsi" w:hAnsiTheme="minorHAnsi" w:cs="Arial"/>
                <w:sz w:val="22"/>
                <w:szCs w:val="22"/>
                <w:lang w:val="hr-HR"/>
              </w:rPr>
            </w:pPr>
            <w:r w:rsidRPr="00CD3A2D">
              <w:rPr>
                <w:rFonts w:ascii="Calibri" w:hAnsi="Calibri"/>
                <w:color w:val="000000"/>
                <w:sz w:val="22"/>
                <w:szCs w:val="22"/>
                <w:lang w:val="hr-HR"/>
              </w:rPr>
              <w:t>13.378.057</w:t>
            </w:r>
          </w:p>
        </w:tc>
        <w:tc>
          <w:tcPr>
            <w:tcW w:w="757" w:type="pct"/>
            <w:tcBorders>
              <w:top w:val="nil"/>
              <w:left w:val="nil"/>
              <w:bottom w:val="nil"/>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15.399.788</w:t>
            </w:r>
          </w:p>
        </w:tc>
        <w:tc>
          <w:tcPr>
            <w:tcW w:w="757" w:type="pct"/>
            <w:tcBorders>
              <w:top w:val="nil"/>
              <w:left w:val="nil"/>
              <w:bottom w:val="nil"/>
              <w:right w:val="nil"/>
            </w:tcBorders>
            <w:shd w:val="clear" w:color="auto" w:fill="auto"/>
            <w:vAlign w:val="bottom"/>
          </w:tcPr>
          <w:p w:rsidR="001D016F" w:rsidRPr="001567C8" w:rsidRDefault="001D016F" w:rsidP="001D016F">
            <w:pPr>
              <w:pStyle w:val="TT"/>
              <w:jc w:val="right"/>
              <w:rPr>
                <w:rFonts w:asciiTheme="minorHAnsi" w:hAnsiTheme="minorHAnsi" w:cs="Arial"/>
                <w:sz w:val="22"/>
                <w:szCs w:val="22"/>
                <w:lang w:val="hr-HR"/>
              </w:rPr>
            </w:pPr>
            <w:r w:rsidRPr="00CD3A2D">
              <w:rPr>
                <w:rFonts w:ascii="Calibri" w:hAnsi="Calibri"/>
                <w:color w:val="000000"/>
                <w:sz w:val="22"/>
                <w:szCs w:val="22"/>
                <w:lang w:val="hr-HR"/>
              </w:rPr>
              <w:t>13.378.057</w:t>
            </w:r>
          </w:p>
        </w:tc>
      </w:tr>
      <w:tr w:rsidR="001D016F" w:rsidRPr="001567C8" w:rsidTr="003327E4">
        <w:tc>
          <w:tcPr>
            <w:tcW w:w="1894" w:type="pct"/>
          </w:tcPr>
          <w:p w:rsidR="001D016F" w:rsidRPr="001567C8" w:rsidRDefault="001D016F" w:rsidP="001D016F">
            <w:pPr>
              <w:pStyle w:val="TT"/>
              <w:rPr>
                <w:rFonts w:asciiTheme="minorHAnsi" w:hAnsiTheme="minorHAnsi" w:cs="Arial"/>
                <w:sz w:val="22"/>
                <w:szCs w:val="22"/>
                <w:lang w:val="hr-HR"/>
              </w:rPr>
            </w:pPr>
            <w:r w:rsidRPr="001567C8">
              <w:rPr>
                <w:rFonts w:asciiTheme="minorHAnsi" w:hAnsiTheme="minorHAnsi" w:cs="Arial"/>
                <w:sz w:val="22"/>
                <w:szCs w:val="22"/>
                <w:lang w:val="hr-HR"/>
              </w:rPr>
              <w:t>Novi krediti</w:t>
            </w:r>
          </w:p>
        </w:tc>
        <w:tc>
          <w:tcPr>
            <w:tcW w:w="833" w:type="pct"/>
            <w:tcBorders>
              <w:top w:val="nil"/>
              <w:left w:val="nil"/>
              <w:bottom w:val="nil"/>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2.284.763</w:t>
            </w:r>
          </w:p>
        </w:tc>
        <w:tc>
          <w:tcPr>
            <w:tcW w:w="759" w:type="pct"/>
            <w:tcBorders>
              <w:top w:val="nil"/>
              <w:left w:val="nil"/>
              <w:bottom w:val="nil"/>
              <w:right w:val="nil"/>
            </w:tcBorders>
            <w:shd w:val="clear" w:color="auto" w:fill="auto"/>
            <w:vAlign w:val="bottom"/>
          </w:tcPr>
          <w:p w:rsidR="001D016F" w:rsidRPr="001567C8" w:rsidRDefault="001D016F" w:rsidP="001D016F">
            <w:pPr>
              <w:pStyle w:val="TT"/>
              <w:jc w:val="right"/>
              <w:rPr>
                <w:rFonts w:asciiTheme="minorHAnsi" w:hAnsiTheme="minorHAnsi" w:cs="Arial"/>
                <w:sz w:val="22"/>
                <w:szCs w:val="22"/>
                <w:lang w:val="hr-HR"/>
              </w:rPr>
            </w:pPr>
            <w:r w:rsidRPr="00CD3A2D">
              <w:rPr>
                <w:rFonts w:ascii="Calibri" w:hAnsi="Calibri"/>
                <w:color w:val="000000"/>
                <w:sz w:val="22"/>
                <w:szCs w:val="22"/>
                <w:lang w:val="hr-HR"/>
              </w:rPr>
              <w:t>3.849.787</w:t>
            </w:r>
          </w:p>
        </w:tc>
        <w:tc>
          <w:tcPr>
            <w:tcW w:w="757" w:type="pct"/>
            <w:tcBorders>
              <w:top w:val="nil"/>
              <w:left w:val="nil"/>
              <w:bottom w:val="nil"/>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2.284.763</w:t>
            </w:r>
          </w:p>
        </w:tc>
        <w:tc>
          <w:tcPr>
            <w:tcW w:w="757" w:type="pct"/>
            <w:tcBorders>
              <w:top w:val="nil"/>
              <w:left w:val="nil"/>
              <w:bottom w:val="nil"/>
              <w:right w:val="nil"/>
            </w:tcBorders>
            <w:shd w:val="clear" w:color="auto" w:fill="auto"/>
            <w:vAlign w:val="bottom"/>
          </w:tcPr>
          <w:p w:rsidR="001D016F" w:rsidRPr="001567C8" w:rsidRDefault="001D016F" w:rsidP="001D016F">
            <w:pPr>
              <w:pStyle w:val="TT"/>
              <w:jc w:val="right"/>
              <w:rPr>
                <w:rFonts w:asciiTheme="minorHAnsi" w:hAnsiTheme="minorHAnsi" w:cs="Arial"/>
                <w:sz w:val="22"/>
                <w:szCs w:val="22"/>
                <w:lang w:val="hr-HR"/>
              </w:rPr>
            </w:pPr>
            <w:r w:rsidRPr="00CD3A2D">
              <w:rPr>
                <w:rFonts w:ascii="Calibri" w:hAnsi="Calibri"/>
                <w:color w:val="000000"/>
                <w:sz w:val="22"/>
                <w:szCs w:val="22"/>
                <w:lang w:val="hr-HR"/>
              </w:rPr>
              <w:t>3.849.787</w:t>
            </w:r>
          </w:p>
        </w:tc>
      </w:tr>
      <w:tr w:rsidR="001D016F" w:rsidRPr="001567C8" w:rsidTr="003327E4">
        <w:tc>
          <w:tcPr>
            <w:tcW w:w="1894" w:type="pct"/>
          </w:tcPr>
          <w:p w:rsidR="001D016F" w:rsidRPr="001567C8" w:rsidRDefault="001D016F" w:rsidP="001D016F">
            <w:pPr>
              <w:pStyle w:val="TT"/>
              <w:rPr>
                <w:rFonts w:asciiTheme="minorHAnsi" w:hAnsiTheme="minorHAnsi" w:cs="Arial"/>
                <w:sz w:val="22"/>
                <w:szCs w:val="22"/>
                <w:lang w:val="hr-HR"/>
              </w:rPr>
            </w:pPr>
            <w:r w:rsidRPr="001567C8">
              <w:rPr>
                <w:rFonts w:asciiTheme="minorHAnsi" w:hAnsiTheme="minorHAnsi" w:cs="Arial"/>
                <w:sz w:val="22"/>
                <w:szCs w:val="22"/>
                <w:lang w:val="hr-HR"/>
              </w:rPr>
              <w:t>Povrat kredita</w:t>
            </w:r>
          </w:p>
        </w:tc>
        <w:tc>
          <w:tcPr>
            <w:tcW w:w="833" w:type="pct"/>
            <w:tcBorders>
              <w:top w:val="nil"/>
              <w:left w:val="nil"/>
              <w:bottom w:val="nil"/>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(2.658.936)</w:t>
            </w:r>
          </w:p>
        </w:tc>
        <w:tc>
          <w:tcPr>
            <w:tcW w:w="759" w:type="pct"/>
            <w:tcBorders>
              <w:top w:val="nil"/>
              <w:left w:val="nil"/>
              <w:bottom w:val="nil"/>
              <w:right w:val="nil"/>
            </w:tcBorders>
            <w:shd w:val="clear" w:color="auto" w:fill="auto"/>
            <w:vAlign w:val="bottom"/>
          </w:tcPr>
          <w:p w:rsidR="001D016F" w:rsidRPr="001567C8" w:rsidRDefault="001D016F" w:rsidP="001D016F">
            <w:pPr>
              <w:pStyle w:val="TT"/>
              <w:jc w:val="right"/>
              <w:rPr>
                <w:rFonts w:asciiTheme="minorHAnsi" w:hAnsiTheme="minorHAnsi" w:cs="Arial"/>
                <w:sz w:val="22"/>
                <w:szCs w:val="22"/>
                <w:lang w:val="hr-HR"/>
              </w:rPr>
            </w:pPr>
            <w:r w:rsidRPr="00CD3A2D">
              <w:rPr>
                <w:rFonts w:ascii="Calibri" w:hAnsi="Calibri"/>
                <w:color w:val="000000"/>
                <w:sz w:val="22"/>
                <w:szCs w:val="22"/>
                <w:lang w:val="hr-HR"/>
              </w:rPr>
              <w:t>(1.729.575)</w:t>
            </w:r>
          </w:p>
        </w:tc>
        <w:tc>
          <w:tcPr>
            <w:tcW w:w="757" w:type="pct"/>
            <w:tcBorders>
              <w:top w:val="nil"/>
              <w:left w:val="nil"/>
              <w:bottom w:val="nil"/>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(2.658.936)</w:t>
            </w:r>
          </w:p>
        </w:tc>
        <w:tc>
          <w:tcPr>
            <w:tcW w:w="757" w:type="pct"/>
            <w:tcBorders>
              <w:top w:val="nil"/>
              <w:left w:val="nil"/>
              <w:bottom w:val="nil"/>
              <w:right w:val="nil"/>
            </w:tcBorders>
            <w:shd w:val="clear" w:color="auto" w:fill="auto"/>
            <w:vAlign w:val="bottom"/>
          </w:tcPr>
          <w:p w:rsidR="001D016F" w:rsidRPr="001567C8" w:rsidRDefault="001D016F" w:rsidP="001D016F">
            <w:pPr>
              <w:pStyle w:val="TT"/>
              <w:jc w:val="right"/>
              <w:rPr>
                <w:rFonts w:asciiTheme="minorHAnsi" w:hAnsiTheme="minorHAnsi" w:cs="Arial"/>
                <w:sz w:val="22"/>
                <w:szCs w:val="22"/>
                <w:lang w:val="hr-HR"/>
              </w:rPr>
            </w:pPr>
            <w:r w:rsidRPr="00CD3A2D">
              <w:rPr>
                <w:rFonts w:ascii="Calibri" w:hAnsi="Calibri"/>
                <w:color w:val="000000"/>
                <w:sz w:val="22"/>
                <w:szCs w:val="22"/>
                <w:lang w:val="hr-HR"/>
              </w:rPr>
              <w:t>(1.729.575)</w:t>
            </w:r>
          </w:p>
        </w:tc>
      </w:tr>
      <w:tr w:rsidR="001D016F" w:rsidRPr="001567C8" w:rsidTr="003327E4">
        <w:tc>
          <w:tcPr>
            <w:tcW w:w="1894" w:type="pct"/>
          </w:tcPr>
          <w:p w:rsidR="001D016F" w:rsidRPr="001567C8" w:rsidRDefault="001D016F" w:rsidP="001D016F">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Neto </w:t>
            </w:r>
            <w:r w:rsidR="00920EAE" w:rsidRPr="001567C8">
              <w:rPr>
                <w:rFonts w:asciiTheme="minorHAnsi" w:hAnsiTheme="minorHAnsi" w:cs="Arial"/>
                <w:sz w:val="22"/>
                <w:szCs w:val="22"/>
                <w:lang w:val="hr-HR"/>
              </w:rPr>
              <w:t>dobit</w:t>
            </w:r>
            <w:r w:rsidRPr="001567C8">
              <w:rPr>
                <w:rFonts w:asciiTheme="minorHAnsi" w:hAnsiTheme="minorHAnsi" w:cs="Arial"/>
                <w:sz w:val="22"/>
                <w:szCs w:val="22"/>
                <w:lang w:val="hr-HR"/>
              </w:rPr>
              <w:t xml:space="preserve"> od tečajnih razlika</w:t>
            </w:r>
          </w:p>
        </w:tc>
        <w:tc>
          <w:tcPr>
            <w:tcW w:w="833" w:type="pct"/>
            <w:tcBorders>
              <w:top w:val="nil"/>
              <w:left w:val="nil"/>
              <w:bottom w:val="single" w:sz="4" w:space="0" w:color="auto"/>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(162.189)</w:t>
            </w:r>
          </w:p>
        </w:tc>
        <w:tc>
          <w:tcPr>
            <w:tcW w:w="759" w:type="pct"/>
            <w:tcBorders>
              <w:top w:val="nil"/>
              <w:left w:val="nil"/>
              <w:bottom w:val="single" w:sz="4" w:space="0" w:color="auto"/>
              <w:right w:val="nil"/>
            </w:tcBorders>
            <w:shd w:val="clear" w:color="auto" w:fill="auto"/>
            <w:vAlign w:val="bottom"/>
          </w:tcPr>
          <w:p w:rsidR="001D016F" w:rsidRPr="001567C8" w:rsidRDefault="001D016F" w:rsidP="001D016F">
            <w:pPr>
              <w:pStyle w:val="TT"/>
              <w:jc w:val="right"/>
              <w:rPr>
                <w:rFonts w:asciiTheme="minorHAnsi" w:hAnsiTheme="minorHAnsi" w:cs="Arial"/>
                <w:sz w:val="22"/>
                <w:szCs w:val="22"/>
                <w:lang w:val="hr-HR"/>
              </w:rPr>
            </w:pPr>
            <w:r w:rsidRPr="00CD3A2D">
              <w:rPr>
                <w:rFonts w:ascii="Calibri" w:hAnsi="Calibri"/>
                <w:color w:val="000000"/>
                <w:sz w:val="22"/>
                <w:szCs w:val="22"/>
                <w:lang w:val="hr-HR"/>
              </w:rPr>
              <w:t>(98.481)</w:t>
            </w:r>
          </w:p>
        </w:tc>
        <w:tc>
          <w:tcPr>
            <w:tcW w:w="757" w:type="pct"/>
            <w:tcBorders>
              <w:top w:val="nil"/>
              <w:left w:val="nil"/>
              <w:bottom w:val="single" w:sz="4" w:space="0" w:color="auto"/>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(162.189)</w:t>
            </w:r>
          </w:p>
        </w:tc>
        <w:tc>
          <w:tcPr>
            <w:tcW w:w="757" w:type="pct"/>
            <w:tcBorders>
              <w:top w:val="nil"/>
              <w:left w:val="nil"/>
              <w:bottom w:val="single" w:sz="4" w:space="0" w:color="auto"/>
              <w:right w:val="nil"/>
            </w:tcBorders>
            <w:shd w:val="clear" w:color="auto" w:fill="auto"/>
            <w:vAlign w:val="bottom"/>
          </w:tcPr>
          <w:p w:rsidR="001D016F" w:rsidRPr="001567C8" w:rsidRDefault="001D016F" w:rsidP="001D016F">
            <w:pPr>
              <w:pStyle w:val="TT"/>
              <w:jc w:val="right"/>
              <w:rPr>
                <w:rFonts w:asciiTheme="minorHAnsi" w:hAnsiTheme="minorHAnsi" w:cs="Arial"/>
                <w:sz w:val="22"/>
                <w:szCs w:val="22"/>
                <w:lang w:val="hr-HR"/>
              </w:rPr>
            </w:pPr>
            <w:r w:rsidRPr="00CD3A2D">
              <w:rPr>
                <w:rFonts w:ascii="Calibri" w:hAnsi="Calibri"/>
                <w:color w:val="000000"/>
                <w:sz w:val="22"/>
                <w:szCs w:val="22"/>
                <w:lang w:val="hr-HR"/>
              </w:rPr>
              <w:t>(98.481)</w:t>
            </w:r>
          </w:p>
        </w:tc>
      </w:tr>
      <w:tr w:rsidR="001D016F" w:rsidRPr="001567C8" w:rsidTr="003327E4">
        <w:tc>
          <w:tcPr>
            <w:tcW w:w="1894" w:type="pct"/>
          </w:tcPr>
          <w:p w:rsidR="001D016F" w:rsidRPr="001567C8" w:rsidRDefault="001D016F" w:rsidP="001D016F">
            <w:pPr>
              <w:pStyle w:val="TT"/>
              <w:rPr>
                <w:rFonts w:asciiTheme="minorHAnsi" w:hAnsiTheme="minorHAnsi" w:cs="Arial"/>
                <w:i/>
                <w:sz w:val="22"/>
                <w:szCs w:val="22"/>
                <w:lang w:val="hr-HR"/>
              </w:rPr>
            </w:pPr>
          </w:p>
        </w:tc>
        <w:tc>
          <w:tcPr>
            <w:tcW w:w="833" w:type="pct"/>
            <w:tcBorders>
              <w:top w:val="single" w:sz="4" w:space="0" w:color="auto"/>
              <w:bottom w:val="single" w:sz="12" w:space="0" w:color="auto"/>
            </w:tcBorders>
            <w:vAlign w:val="bottom"/>
          </w:tcPr>
          <w:p w:rsidR="001D016F" w:rsidRPr="001567C8" w:rsidRDefault="001D016F" w:rsidP="001D016F">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14.863.426</w:t>
            </w:r>
          </w:p>
        </w:tc>
        <w:tc>
          <w:tcPr>
            <w:tcW w:w="759" w:type="pct"/>
            <w:tcBorders>
              <w:top w:val="single" w:sz="4" w:space="0" w:color="auto"/>
              <w:bottom w:val="single" w:sz="12" w:space="0" w:color="auto"/>
            </w:tcBorders>
            <w:vAlign w:val="bottom"/>
          </w:tcPr>
          <w:p w:rsidR="001D016F" w:rsidRPr="001567C8" w:rsidRDefault="001D016F" w:rsidP="001D016F">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15.399.788</w:t>
            </w:r>
          </w:p>
        </w:tc>
        <w:tc>
          <w:tcPr>
            <w:tcW w:w="757" w:type="pct"/>
            <w:tcBorders>
              <w:top w:val="single" w:sz="4" w:space="0" w:color="auto"/>
              <w:bottom w:val="single" w:sz="12" w:space="0" w:color="auto"/>
            </w:tcBorders>
            <w:vAlign w:val="bottom"/>
          </w:tcPr>
          <w:p w:rsidR="001D016F" w:rsidRPr="001567C8" w:rsidRDefault="001D016F" w:rsidP="001D016F">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14.863.426</w:t>
            </w:r>
          </w:p>
        </w:tc>
        <w:tc>
          <w:tcPr>
            <w:tcW w:w="757" w:type="pct"/>
            <w:tcBorders>
              <w:top w:val="single" w:sz="4" w:space="0" w:color="auto"/>
              <w:bottom w:val="single" w:sz="12" w:space="0" w:color="auto"/>
            </w:tcBorders>
            <w:vAlign w:val="bottom"/>
          </w:tcPr>
          <w:p w:rsidR="001D016F" w:rsidRPr="001567C8" w:rsidRDefault="001D016F" w:rsidP="001D016F">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15.399.788</w:t>
            </w:r>
          </w:p>
        </w:tc>
      </w:tr>
      <w:tr w:rsidR="001D016F" w:rsidRPr="001567C8" w:rsidTr="003327E4">
        <w:tc>
          <w:tcPr>
            <w:tcW w:w="1894" w:type="pct"/>
          </w:tcPr>
          <w:p w:rsidR="001D016F" w:rsidRPr="001567C8" w:rsidRDefault="001D016F" w:rsidP="001D016F">
            <w:pPr>
              <w:pStyle w:val="TT"/>
              <w:rPr>
                <w:rFonts w:asciiTheme="minorHAnsi" w:hAnsiTheme="minorHAnsi" w:cs="Arial"/>
                <w:sz w:val="22"/>
                <w:szCs w:val="22"/>
                <w:lang w:val="hr-HR"/>
              </w:rPr>
            </w:pPr>
            <w:r w:rsidRPr="001567C8">
              <w:rPr>
                <w:rFonts w:asciiTheme="minorHAnsi" w:hAnsiTheme="minorHAnsi" w:cs="Arial"/>
                <w:sz w:val="22"/>
                <w:szCs w:val="22"/>
                <w:lang w:val="hr-HR"/>
              </w:rPr>
              <w:t>Obračunata kamata</w:t>
            </w:r>
          </w:p>
        </w:tc>
        <w:tc>
          <w:tcPr>
            <w:tcW w:w="833" w:type="pct"/>
            <w:tcBorders>
              <w:top w:val="single" w:sz="12" w:space="0" w:color="auto"/>
              <w:left w:val="nil"/>
              <w:bottom w:val="nil"/>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55.014</w:t>
            </w:r>
          </w:p>
        </w:tc>
        <w:tc>
          <w:tcPr>
            <w:tcW w:w="759" w:type="pct"/>
            <w:tcBorders>
              <w:top w:val="single" w:sz="12" w:space="0" w:color="auto"/>
              <w:left w:val="nil"/>
              <w:bottom w:val="nil"/>
              <w:right w:val="nil"/>
            </w:tcBorders>
            <w:shd w:val="clear" w:color="auto" w:fill="auto"/>
            <w:vAlign w:val="bottom"/>
          </w:tcPr>
          <w:p w:rsidR="001D016F" w:rsidRPr="001567C8" w:rsidRDefault="001D016F" w:rsidP="001D016F">
            <w:pPr>
              <w:pStyle w:val="TT"/>
              <w:jc w:val="right"/>
              <w:rPr>
                <w:rFonts w:asciiTheme="minorHAnsi" w:hAnsiTheme="minorHAnsi" w:cs="Arial"/>
                <w:spacing w:val="-2"/>
                <w:sz w:val="22"/>
                <w:szCs w:val="22"/>
                <w:lang w:val="hr-HR"/>
              </w:rPr>
            </w:pPr>
            <w:r w:rsidRPr="00CD3A2D">
              <w:rPr>
                <w:rFonts w:ascii="Calibri" w:hAnsi="Calibri"/>
                <w:color w:val="000000"/>
                <w:sz w:val="22"/>
                <w:szCs w:val="22"/>
                <w:lang w:val="hr-HR"/>
              </w:rPr>
              <w:t>63.737</w:t>
            </w:r>
          </w:p>
        </w:tc>
        <w:tc>
          <w:tcPr>
            <w:tcW w:w="757" w:type="pct"/>
            <w:tcBorders>
              <w:top w:val="single" w:sz="12" w:space="0" w:color="auto"/>
              <w:left w:val="nil"/>
              <w:bottom w:val="nil"/>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55.014</w:t>
            </w:r>
          </w:p>
        </w:tc>
        <w:tc>
          <w:tcPr>
            <w:tcW w:w="757" w:type="pct"/>
            <w:tcBorders>
              <w:top w:val="single" w:sz="12" w:space="0" w:color="auto"/>
              <w:left w:val="nil"/>
              <w:bottom w:val="nil"/>
              <w:right w:val="nil"/>
            </w:tcBorders>
            <w:shd w:val="clear" w:color="auto" w:fill="auto"/>
            <w:vAlign w:val="bottom"/>
          </w:tcPr>
          <w:p w:rsidR="001D016F" w:rsidRPr="001567C8" w:rsidRDefault="001D016F" w:rsidP="001D016F">
            <w:pPr>
              <w:pStyle w:val="TT"/>
              <w:jc w:val="right"/>
              <w:rPr>
                <w:rFonts w:asciiTheme="minorHAnsi" w:hAnsiTheme="minorHAnsi" w:cs="Arial"/>
                <w:spacing w:val="-2"/>
                <w:sz w:val="22"/>
                <w:szCs w:val="22"/>
                <w:lang w:val="hr-HR"/>
              </w:rPr>
            </w:pPr>
            <w:r w:rsidRPr="00CD3A2D">
              <w:rPr>
                <w:rFonts w:ascii="Calibri" w:hAnsi="Calibri"/>
                <w:color w:val="000000"/>
                <w:sz w:val="22"/>
                <w:szCs w:val="22"/>
                <w:lang w:val="hr-HR"/>
              </w:rPr>
              <w:t>63.737</w:t>
            </w:r>
          </w:p>
        </w:tc>
      </w:tr>
      <w:tr w:rsidR="001D016F" w:rsidRPr="001567C8" w:rsidTr="003327E4">
        <w:tc>
          <w:tcPr>
            <w:tcW w:w="1894" w:type="pct"/>
          </w:tcPr>
          <w:p w:rsidR="001D016F" w:rsidRPr="001567C8" w:rsidRDefault="001D016F" w:rsidP="001D016F">
            <w:pPr>
              <w:pStyle w:val="TT"/>
              <w:rPr>
                <w:rFonts w:asciiTheme="minorHAnsi" w:hAnsiTheme="minorHAnsi" w:cs="Arial"/>
                <w:sz w:val="22"/>
                <w:szCs w:val="22"/>
                <w:lang w:val="hr-HR"/>
              </w:rPr>
            </w:pPr>
            <w:r w:rsidRPr="001567C8">
              <w:rPr>
                <w:rFonts w:asciiTheme="minorHAnsi" w:hAnsiTheme="minorHAnsi" w:cs="Arial"/>
                <w:sz w:val="22"/>
                <w:szCs w:val="22"/>
                <w:lang w:val="hr-HR"/>
              </w:rPr>
              <w:t>Odgođena naknada</w:t>
            </w:r>
          </w:p>
        </w:tc>
        <w:tc>
          <w:tcPr>
            <w:tcW w:w="833" w:type="pct"/>
            <w:tcBorders>
              <w:top w:val="nil"/>
              <w:left w:val="nil"/>
              <w:bottom w:val="single" w:sz="4" w:space="0" w:color="auto"/>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(40.453)</w:t>
            </w:r>
          </w:p>
        </w:tc>
        <w:tc>
          <w:tcPr>
            <w:tcW w:w="759" w:type="pct"/>
            <w:tcBorders>
              <w:top w:val="nil"/>
              <w:left w:val="nil"/>
              <w:bottom w:val="single" w:sz="4" w:space="0" w:color="auto"/>
              <w:right w:val="nil"/>
            </w:tcBorders>
            <w:shd w:val="clear" w:color="auto" w:fill="auto"/>
            <w:vAlign w:val="bottom"/>
          </w:tcPr>
          <w:p w:rsidR="001D016F" w:rsidRPr="001567C8" w:rsidRDefault="001D016F" w:rsidP="001D016F">
            <w:pPr>
              <w:pStyle w:val="TT"/>
              <w:jc w:val="right"/>
              <w:rPr>
                <w:rFonts w:asciiTheme="minorHAnsi" w:hAnsiTheme="minorHAnsi" w:cs="Arial"/>
                <w:spacing w:val="-2"/>
                <w:sz w:val="22"/>
                <w:szCs w:val="22"/>
                <w:lang w:val="hr-HR"/>
              </w:rPr>
            </w:pPr>
            <w:r w:rsidRPr="00CD3A2D">
              <w:rPr>
                <w:rFonts w:ascii="Calibri" w:hAnsi="Calibri"/>
                <w:color w:val="000000"/>
                <w:sz w:val="22"/>
                <w:szCs w:val="22"/>
                <w:lang w:val="hr-HR"/>
              </w:rPr>
              <w:t>(75.644)</w:t>
            </w:r>
          </w:p>
        </w:tc>
        <w:tc>
          <w:tcPr>
            <w:tcW w:w="757" w:type="pct"/>
            <w:tcBorders>
              <w:top w:val="nil"/>
              <w:left w:val="nil"/>
              <w:bottom w:val="single" w:sz="4" w:space="0" w:color="auto"/>
              <w:right w:val="nil"/>
            </w:tcBorders>
            <w:shd w:val="clear" w:color="auto" w:fill="auto"/>
            <w:vAlign w:val="bottom"/>
          </w:tcPr>
          <w:p w:rsidR="001D016F" w:rsidRPr="00CD3A2D" w:rsidRDefault="001D016F" w:rsidP="001D016F">
            <w:pPr>
              <w:jc w:val="right"/>
              <w:rPr>
                <w:rFonts w:ascii="Calibri" w:hAnsi="Calibri"/>
                <w:color w:val="000000"/>
                <w:sz w:val="22"/>
                <w:szCs w:val="22"/>
                <w:lang w:val="hr-HR"/>
              </w:rPr>
            </w:pPr>
            <w:r w:rsidRPr="00CD3A2D">
              <w:rPr>
                <w:rFonts w:ascii="Calibri" w:hAnsi="Calibri"/>
                <w:color w:val="000000"/>
                <w:sz w:val="22"/>
                <w:szCs w:val="22"/>
                <w:lang w:val="hr-HR"/>
              </w:rPr>
              <w:t>(40.453)</w:t>
            </w:r>
          </w:p>
        </w:tc>
        <w:tc>
          <w:tcPr>
            <w:tcW w:w="757" w:type="pct"/>
            <w:tcBorders>
              <w:top w:val="nil"/>
              <w:left w:val="nil"/>
              <w:bottom w:val="single" w:sz="4" w:space="0" w:color="auto"/>
              <w:right w:val="nil"/>
            </w:tcBorders>
            <w:shd w:val="clear" w:color="auto" w:fill="auto"/>
            <w:vAlign w:val="bottom"/>
          </w:tcPr>
          <w:p w:rsidR="001D016F" w:rsidRPr="001567C8" w:rsidRDefault="001D016F" w:rsidP="001D016F">
            <w:pPr>
              <w:pStyle w:val="TT"/>
              <w:jc w:val="right"/>
              <w:rPr>
                <w:rFonts w:asciiTheme="minorHAnsi" w:hAnsiTheme="minorHAnsi" w:cs="Arial"/>
                <w:spacing w:val="-2"/>
                <w:sz w:val="22"/>
                <w:szCs w:val="22"/>
                <w:lang w:val="hr-HR"/>
              </w:rPr>
            </w:pPr>
            <w:r w:rsidRPr="00CD3A2D">
              <w:rPr>
                <w:rFonts w:ascii="Calibri" w:hAnsi="Calibri"/>
                <w:color w:val="000000"/>
                <w:sz w:val="22"/>
                <w:szCs w:val="22"/>
                <w:lang w:val="hr-HR"/>
              </w:rPr>
              <w:t>(75.644)</w:t>
            </w:r>
          </w:p>
        </w:tc>
      </w:tr>
      <w:tr w:rsidR="001D016F" w:rsidRPr="001567C8" w:rsidTr="003327E4">
        <w:tc>
          <w:tcPr>
            <w:tcW w:w="1894" w:type="pct"/>
          </w:tcPr>
          <w:p w:rsidR="001D016F" w:rsidRPr="001567C8" w:rsidRDefault="001D016F" w:rsidP="001D016F">
            <w:pPr>
              <w:pStyle w:val="Tot"/>
              <w:rPr>
                <w:rFonts w:asciiTheme="minorHAnsi" w:hAnsiTheme="minorHAnsi" w:cs="Arial"/>
                <w:b/>
                <w:bCs/>
                <w:sz w:val="22"/>
                <w:szCs w:val="22"/>
                <w:lang w:val="hr-HR"/>
              </w:rPr>
            </w:pPr>
          </w:p>
        </w:tc>
        <w:tc>
          <w:tcPr>
            <w:tcW w:w="833" w:type="pct"/>
            <w:tcBorders>
              <w:top w:val="single" w:sz="4" w:space="0" w:color="auto"/>
              <w:bottom w:val="single" w:sz="12" w:space="0" w:color="auto"/>
            </w:tcBorders>
            <w:vAlign w:val="bottom"/>
          </w:tcPr>
          <w:p w:rsidR="001D016F" w:rsidRPr="001567C8" w:rsidRDefault="001D016F" w:rsidP="001D016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14.877.987</w:t>
            </w:r>
          </w:p>
        </w:tc>
        <w:tc>
          <w:tcPr>
            <w:tcW w:w="759" w:type="pct"/>
            <w:tcBorders>
              <w:top w:val="single" w:sz="4" w:space="0" w:color="auto"/>
              <w:bottom w:val="single" w:sz="12" w:space="0" w:color="auto"/>
            </w:tcBorders>
            <w:vAlign w:val="bottom"/>
          </w:tcPr>
          <w:p w:rsidR="001D016F" w:rsidRPr="001567C8" w:rsidRDefault="001D016F" w:rsidP="001D016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15.387.881</w:t>
            </w:r>
          </w:p>
        </w:tc>
        <w:tc>
          <w:tcPr>
            <w:tcW w:w="757" w:type="pct"/>
            <w:tcBorders>
              <w:top w:val="single" w:sz="4" w:space="0" w:color="auto"/>
              <w:bottom w:val="single" w:sz="12" w:space="0" w:color="auto"/>
            </w:tcBorders>
            <w:vAlign w:val="bottom"/>
          </w:tcPr>
          <w:p w:rsidR="001D016F" w:rsidRPr="001567C8" w:rsidRDefault="001D016F" w:rsidP="001D016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14.877.987</w:t>
            </w:r>
          </w:p>
        </w:tc>
        <w:tc>
          <w:tcPr>
            <w:tcW w:w="757" w:type="pct"/>
            <w:tcBorders>
              <w:top w:val="single" w:sz="4" w:space="0" w:color="auto"/>
              <w:bottom w:val="single" w:sz="12" w:space="0" w:color="auto"/>
            </w:tcBorders>
            <w:vAlign w:val="bottom"/>
          </w:tcPr>
          <w:p w:rsidR="001D016F" w:rsidRPr="001567C8" w:rsidRDefault="001D016F" w:rsidP="001D016F">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15.387.881</w:t>
            </w:r>
          </w:p>
        </w:tc>
      </w:tr>
    </w:tbl>
    <w:p w:rsidR="00F37423" w:rsidRPr="001567C8" w:rsidRDefault="00F37423">
      <w:pPr>
        <w:pStyle w:val="T1"/>
        <w:keepNext w:val="0"/>
        <w:tabs>
          <w:tab w:val="left" w:pos="-1843"/>
        </w:tabs>
        <w:suppressAutoHyphens/>
        <w:spacing w:before="0" w:after="0" w:line="240" w:lineRule="auto"/>
        <w:rPr>
          <w:rFonts w:asciiTheme="minorHAnsi" w:hAnsiTheme="minorHAnsi" w:cs="Arial"/>
          <w:bCs w:val="0"/>
          <w:sz w:val="22"/>
          <w:szCs w:val="22"/>
          <w:lang w:val="hr-HR"/>
        </w:rPr>
      </w:pPr>
    </w:p>
    <w:p w:rsidR="002651AC" w:rsidRPr="001567C8" w:rsidRDefault="00441207" w:rsidP="003C6BA3">
      <w:pPr>
        <w:pStyle w:val="T1"/>
        <w:keepNext w:val="0"/>
        <w:tabs>
          <w:tab w:val="left" w:pos="-1843"/>
        </w:tabs>
        <w:suppressAutoHyphens/>
        <w:spacing w:before="0" w:after="0" w:line="240" w:lineRule="auto"/>
        <w:rPr>
          <w:rFonts w:asciiTheme="minorHAnsi" w:hAnsiTheme="minorHAnsi" w:cs="Arial"/>
          <w:sz w:val="22"/>
          <w:szCs w:val="22"/>
          <w:lang w:val="hr-HR"/>
        </w:rPr>
      </w:pPr>
      <w:r w:rsidRPr="001567C8">
        <w:rPr>
          <w:rFonts w:asciiTheme="minorHAnsi" w:hAnsiTheme="minorHAnsi" w:cs="Arial"/>
          <w:b w:val="0"/>
          <w:bCs w:val="0"/>
          <w:sz w:val="22"/>
          <w:szCs w:val="22"/>
          <w:lang w:val="hr-HR"/>
        </w:rPr>
        <w:t xml:space="preserve">Banka je podložna raznim financijskim klauzulama iz Ugovora. Tijekom </w:t>
      </w:r>
      <w:r w:rsidR="001D016F" w:rsidRPr="001567C8">
        <w:rPr>
          <w:rFonts w:asciiTheme="minorHAnsi" w:hAnsiTheme="minorHAnsi" w:cs="Arial"/>
          <w:b w:val="0"/>
          <w:bCs w:val="0"/>
          <w:sz w:val="22"/>
          <w:szCs w:val="22"/>
          <w:lang w:val="hr-HR"/>
        </w:rPr>
        <w:t>2018</w:t>
      </w:r>
      <w:r w:rsidRPr="001567C8">
        <w:rPr>
          <w:rFonts w:asciiTheme="minorHAnsi" w:hAnsiTheme="minorHAnsi" w:cs="Arial"/>
          <w:b w:val="0"/>
          <w:bCs w:val="0"/>
          <w:sz w:val="22"/>
          <w:szCs w:val="22"/>
          <w:lang w:val="hr-HR"/>
        </w:rPr>
        <w:t xml:space="preserve">. godine kao i na dan 31. prosinca </w:t>
      </w:r>
      <w:r w:rsidR="001D016F" w:rsidRPr="001567C8">
        <w:rPr>
          <w:rFonts w:asciiTheme="minorHAnsi" w:hAnsiTheme="minorHAnsi" w:cs="Arial"/>
          <w:b w:val="0"/>
          <w:bCs w:val="0"/>
          <w:sz w:val="22"/>
          <w:szCs w:val="22"/>
          <w:lang w:val="hr-HR"/>
        </w:rPr>
        <w:t>2018</w:t>
      </w:r>
      <w:r w:rsidRPr="001567C8">
        <w:rPr>
          <w:rFonts w:asciiTheme="minorHAnsi" w:hAnsiTheme="minorHAnsi" w:cs="Arial"/>
          <w:b w:val="0"/>
          <w:bCs w:val="0"/>
          <w:sz w:val="22"/>
          <w:szCs w:val="22"/>
          <w:lang w:val="hr-HR"/>
        </w:rPr>
        <w:t>. godine Banka je bila u skladu sa svim zahtijevanim financijskim klauzulama iz Ugovora.</w:t>
      </w:r>
    </w:p>
    <w:p w:rsidR="00F37423" w:rsidRPr="001567C8" w:rsidRDefault="00F37423">
      <w:pPr>
        <w:pStyle w:val="T1"/>
        <w:spacing w:before="0" w:after="0" w:line="240" w:lineRule="auto"/>
        <w:rPr>
          <w:rFonts w:asciiTheme="minorHAnsi" w:hAnsiTheme="minorHAnsi" w:cs="Arial"/>
          <w:b w:val="0"/>
          <w:bCs w:val="0"/>
          <w:sz w:val="22"/>
          <w:szCs w:val="22"/>
          <w:lang w:val="hr-HR"/>
        </w:rPr>
      </w:pPr>
    </w:p>
    <w:p w:rsidR="00C9220F" w:rsidRPr="001567C8" w:rsidRDefault="00C9220F" w:rsidP="00F37423">
      <w:pPr>
        <w:pStyle w:val="T1"/>
        <w:keepNext w:val="0"/>
        <w:widowControl w:val="0"/>
        <w:spacing w:before="0" w:after="0" w:line="240" w:lineRule="auto"/>
        <w:rPr>
          <w:rFonts w:asciiTheme="minorHAnsi" w:hAnsiTheme="minorHAnsi" w:cs="Arial"/>
          <w:sz w:val="22"/>
          <w:szCs w:val="22"/>
          <w:lang w:val="hr-HR"/>
        </w:rPr>
      </w:pPr>
    </w:p>
    <w:p w:rsidR="003673CD" w:rsidRPr="001567C8" w:rsidRDefault="00C9220F" w:rsidP="00F37423">
      <w:pPr>
        <w:pStyle w:val="T1"/>
        <w:keepNext w:val="0"/>
        <w:widowControl w:val="0"/>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29</w:t>
      </w:r>
      <w:r w:rsidR="003673CD" w:rsidRPr="001567C8">
        <w:rPr>
          <w:rFonts w:asciiTheme="minorHAnsi" w:hAnsiTheme="minorHAnsi" w:cs="Arial"/>
          <w:sz w:val="22"/>
          <w:szCs w:val="22"/>
          <w:lang w:val="hr-HR"/>
        </w:rPr>
        <w:t>.</w:t>
      </w:r>
      <w:r w:rsidR="003673CD" w:rsidRPr="001567C8">
        <w:rPr>
          <w:rFonts w:asciiTheme="minorHAnsi" w:hAnsiTheme="minorHAnsi" w:cs="Arial"/>
          <w:sz w:val="22"/>
          <w:szCs w:val="22"/>
          <w:lang w:val="hr-HR"/>
        </w:rPr>
        <w:tab/>
        <w:t>Obveze za izdane dugoročne vrijednosne papire</w:t>
      </w:r>
    </w:p>
    <w:p w:rsidR="00F37423" w:rsidRPr="001567C8" w:rsidRDefault="00F37423" w:rsidP="00F37423">
      <w:pPr>
        <w:pStyle w:val="T1"/>
        <w:keepNext w:val="0"/>
        <w:widowControl w:val="0"/>
        <w:spacing w:before="0" w:after="0" w:line="240" w:lineRule="auto"/>
        <w:rPr>
          <w:rFonts w:asciiTheme="minorHAnsi" w:hAnsiTheme="minorHAnsi"/>
          <w:sz w:val="22"/>
          <w:szCs w:val="22"/>
          <w:lang w:val="hr-HR"/>
        </w:rPr>
      </w:pPr>
    </w:p>
    <w:p w:rsidR="00FD76B8" w:rsidRPr="001567C8" w:rsidRDefault="004D4A55" w:rsidP="00F37423">
      <w:pPr>
        <w:ind w:left="-238"/>
        <w:rPr>
          <w:rFonts w:asciiTheme="minorHAnsi" w:hAnsiTheme="minorHAnsi" w:cs="Arial"/>
          <w:sz w:val="22"/>
          <w:szCs w:val="22"/>
          <w:lang w:val="hr-HR"/>
        </w:rPr>
      </w:pPr>
      <w:r w:rsidRPr="001567C8">
        <w:rPr>
          <w:rFonts w:asciiTheme="minorHAnsi" w:hAnsiTheme="minorHAnsi"/>
          <w:sz w:val="22"/>
          <w:szCs w:val="22"/>
          <w:lang w:val="hr-HR"/>
        </w:rPr>
        <w:tab/>
      </w:r>
      <w:r w:rsidR="003171E9" w:rsidRPr="001567C8">
        <w:rPr>
          <w:rFonts w:asciiTheme="minorHAnsi" w:hAnsiTheme="minorHAnsi" w:cs="Arial"/>
          <w:sz w:val="22"/>
          <w:szCs w:val="22"/>
          <w:lang w:val="hr-HR"/>
        </w:rPr>
        <w:t>Knjigovodstvena vrijednost obveznica uključuje kamat</w:t>
      </w:r>
      <w:r w:rsidR="00C55756" w:rsidRPr="001567C8">
        <w:rPr>
          <w:rFonts w:asciiTheme="minorHAnsi" w:hAnsiTheme="minorHAnsi" w:cs="Arial"/>
          <w:sz w:val="22"/>
          <w:szCs w:val="22"/>
          <w:lang w:val="hr-HR"/>
        </w:rPr>
        <w:t>e.</w:t>
      </w:r>
    </w:p>
    <w:p w:rsidR="00F50C01" w:rsidRPr="001567C8" w:rsidRDefault="00F50C01" w:rsidP="00F37423">
      <w:pPr>
        <w:ind w:left="-238"/>
        <w:rPr>
          <w:rFonts w:asciiTheme="minorHAnsi" w:hAnsiTheme="minorHAnsi"/>
          <w:sz w:val="22"/>
          <w:szCs w:val="22"/>
          <w:lang w:val="hr-HR"/>
        </w:rPr>
      </w:pPr>
    </w:p>
    <w:tbl>
      <w:tblPr>
        <w:tblpPr w:leftFromText="181" w:rightFromText="181" w:vertAnchor="text" w:horzAnchor="margin" w:tblpX="1" w:tblpY="14"/>
        <w:tblW w:w="5304" w:type="pct"/>
        <w:tblLayout w:type="fixed"/>
        <w:tblLook w:val="0000" w:firstRow="0" w:lastRow="0" w:firstColumn="0" w:lastColumn="0" w:noHBand="0" w:noVBand="0"/>
      </w:tblPr>
      <w:tblGrid>
        <w:gridCol w:w="1985"/>
        <w:gridCol w:w="1135"/>
        <w:gridCol w:w="1558"/>
        <w:gridCol w:w="1844"/>
        <w:gridCol w:w="1558"/>
        <w:gridCol w:w="1844"/>
      </w:tblGrid>
      <w:tr w:rsidR="003B5D1C" w:rsidRPr="003B5D1C" w:rsidTr="003327E4">
        <w:trPr>
          <w:trHeight w:val="755"/>
        </w:trPr>
        <w:tc>
          <w:tcPr>
            <w:tcW w:w="1000" w:type="pct"/>
          </w:tcPr>
          <w:p w:rsidR="00670E92" w:rsidRPr="003327E4" w:rsidRDefault="00670E92" w:rsidP="00DD33DF">
            <w:pPr>
              <w:tabs>
                <w:tab w:val="left" w:pos="-1843"/>
              </w:tabs>
              <w:suppressAutoHyphens/>
              <w:rPr>
                <w:rFonts w:asciiTheme="minorHAnsi" w:hAnsiTheme="minorHAnsi" w:cs="Arial"/>
                <w:b/>
                <w:spacing w:val="-3"/>
                <w:sz w:val="20"/>
                <w:szCs w:val="20"/>
                <w:lang w:val="hr-HR"/>
              </w:rPr>
            </w:pPr>
            <w:r w:rsidRPr="003327E4">
              <w:rPr>
                <w:rFonts w:asciiTheme="minorHAnsi" w:hAnsiTheme="minorHAnsi" w:cs="Arial"/>
                <w:b/>
                <w:spacing w:val="-3"/>
                <w:sz w:val="20"/>
                <w:szCs w:val="20"/>
                <w:lang w:val="hr-HR"/>
              </w:rPr>
              <w:t>Grupa i Banka</w:t>
            </w:r>
          </w:p>
        </w:tc>
        <w:tc>
          <w:tcPr>
            <w:tcW w:w="572" w:type="pct"/>
            <w:vAlign w:val="bottom"/>
          </w:tcPr>
          <w:p w:rsidR="00670E92" w:rsidRPr="003327E4" w:rsidRDefault="00670E92" w:rsidP="00DD33DF">
            <w:pPr>
              <w:pStyle w:val="TH"/>
              <w:jc w:val="center"/>
              <w:rPr>
                <w:rFonts w:asciiTheme="minorHAnsi" w:hAnsiTheme="minorHAnsi" w:cs="Arial"/>
                <w:sz w:val="20"/>
                <w:lang w:val="hr-HR"/>
              </w:rPr>
            </w:pPr>
            <w:r w:rsidRPr="003327E4">
              <w:rPr>
                <w:rFonts w:asciiTheme="minorHAnsi" w:hAnsiTheme="minorHAnsi" w:cs="Arial"/>
                <w:sz w:val="20"/>
                <w:lang w:val="hr-HR"/>
              </w:rPr>
              <w:t>Efektivna kamatna stopa</w:t>
            </w:r>
          </w:p>
        </w:tc>
        <w:tc>
          <w:tcPr>
            <w:tcW w:w="785" w:type="pct"/>
            <w:vAlign w:val="bottom"/>
          </w:tcPr>
          <w:p w:rsidR="00670E92" w:rsidRPr="003327E4" w:rsidRDefault="00670E92" w:rsidP="00DD33DF">
            <w:pPr>
              <w:pStyle w:val="TH"/>
              <w:jc w:val="right"/>
              <w:rPr>
                <w:rFonts w:asciiTheme="minorHAnsi" w:hAnsiTheme="minorHAnsi" w:cs="Arial"/>
                <w:sz w:val="20"/>
                <w:lang w:val="hr-HR"/>
              </w:rPr>
            </w:pPr>
            <w:r w:rsidRPr="003327E4">
              <w:rPr>
                <w:rFonts w:asciiTheme="minorHAnsi" w:hAnsiTheme="minorHAnsi" w:cs="Arial"/>
                <w:sz w:val="20"/>
                <w:lang w:val="hr-HR"/>
              </w:rPr>
              <w:t xml:space="preserve">Fer vrijednost </w:t>
            </w:r>
            <w:r w:rsidR="00434C7E" w:rsidRPr="003327E4">
              <w:rPr>
                <w:rFonts w:asciiTheme="minorHAnsi" w:hAnsiTheme="minorHAnsi" w:cs="Arial"/>
                <w:sz w:val="20"/>
                <w:lang w:val="hr-HR"/>
              </w:rPr>
              <w:t>31. prosinc</w:t>
            </w:r>
            <w:r w:rsidR="003B5D1C" w:rsidRPr="003327E4">
              <w:rPr>
                <w:rFonts w:asciiTheme="minorHAnsi" w:hAnsiTheme="minorHAnsi" w:cs="Arial"/>
                <w:sz w:val="20"/>
                <w:lang w:val="hr-HR"/>
              </w:rPr>
              <w:t>a</w:t>
            </w:r>
            <w:r w:rsidR="00434C7E" w:rsidRPr="003327E4">
              <w:rPr>
                <w:rFonts w:asciiTheme="minorHAnsi" w:hAnsiTheme="minorHAnsi" w:cs="Arial"/>
                <w:sz w:val="20"/>
                <w:lang w:val="hr-HR"/>
              </w:rPr>
              <w:t xml:space="preserve"> </w:t>
            </w:r>
            <w:r w:rsidRPr="003327E4">
              <w:rPr>
                <w:rFonts w:asciiTheme="minorHAnsi" w:hAnsiTheme="minorHAnsi" w:cs="Arial"/>
                <w:sz w:val="20"/>
                <w:lang w:val="hr-HR"/>
              </w:rPr>
              <w:t>201</w:t>
            </w:r>
            <w:r w:rsidR="00FC53FE" w:rsidRPr="003327E4">
              <w:rPr>
                <w:rFonts w:asciiTheme="minorHAnsi" w:hAnsiTheme="minorHAnsi" w:cs="Arial"/>
                <w:sz w:val="20"/>
                <w:lang w:val="hr-HR"/>
              </w:rPr>
              <w:t>8</w:t>
            </w:r>
            <w:r w:rsidRPr="003327E4">
              <w:rPr>
                <w:rFonts w:asciiTheme="minorHAnsi" w:hAnsiTheme="minorHAnsi" w:cs="Arial"/>
                <w:sz w:val="20"/>
                <w:lang w:val="hr-HR"/>
              </w:rPr>
              <w:t>.</w:t>
            </w:r>
          </w:p>
        </w:tc>
        <w:tc>
          <w:tcPr>
            <w:tcW w:w="929" w:type="pct"/>
            <w:vAlign w:val="bottom"/>
          </w:tcPr>
          <w:p w:rsidR="00670E92" w:rsidRPr="003327E4" w:rsidRDefault="00670E92" w:rsidP="00DD33DF">
            <w:pPr>
              <w:pStyle w:val="TH"/>
              <w:ind w:left="-152"/>
              <w:jc w:val="right"/>
              <w:rPr>
                <w:rFonts w:asciiTheme="minorHAnsi" w:hAnsiTheme="minorHAnsi" w:cs="Arial"/>
                <w:sz w:val="20"/>
                <w:lang w:val="hr-HR"/>
              </w:rPr>
            </w:pPr>
            <w:r w:rsidRPr="003327E4">
              <w:rPr>
                <w:rFonts w:asciiTheme="minorHAnsi" w:hAnsiTheme="minorHAnsi" w:cs="Arial"/>
                <w:sz w:val="20"/>
                <w:lang w:val="hr-HR"/>
              </w:rPr>
              <w:t>Knjigovodstvena vrijednost</w:t>
            </w:r>
          </w:p>
          <w:p w:rsidR="00670E92" w:rsidRPr="003327E4" w:rsidRDefault="002F1F55" w:rsidP="00DD33DF">
            <w:pPr>
              <w:pStyle w:val="TH"/>
              <w:ind w:left="-152"/>
              <w:jc w:val="right"/>
              <w:rPr>
                <w:rFonts w:asciiTheme="minorHAnsi" w:hAnsiTheme="minorHAnsi" w:cs="Arial"/>
                <w:sz w:val="20"/>
                <w:lang w:val="hr-HR"/>
              </w:rPr>
            </w:pPr>
            <w:r w:rsidRPr="003327E4">
              <w:rPr>
                <w:rFonts w:asciiTheme="minorHAnsi" w:hAnsiTheme="minorHAnsi" w:cs="Arial"/>
                <w:sz w:val="20"/>
                <w:lang w:val="hr-HR"/>
              </w:rPr>
              <w:t xml:space="preserve">31. prosinca </w:t>
            </w:r>
            <w:r w:rsidR="00670E92" w:rsidRPr="003327E4">
              <w:rPr>
                <w:rFonts w:asciiTheme="minorHAnsi" w:hAnsiTheme="minorHAnsi" w:cs="Arial"/>
                <w:sz w:val="20"/>
                <w:lang w:val="hr-HR"/>
              </w:rPr>
              <w:t>201</w:t>
            </w:r>
            <w:r w:rsidR="00FC53FE" w:rsidRPr="003327E4">
              <w:rPr>
                <w:rFonts w:asciiTheme="minorHAnsi" w:hAnsiTheme="minorHAnsi" w:cs="Arial"/>
                <w:sz w:val="20"/>
                <w:lang w:val="hr-HR"/>
              </w:rPr>
              <w:t>8</w:t>
            </w:r>
            <w:r w:rsidR="00670E92" w:rsidRPr="003327E4">
              <w:rPr>
                <w:rFonts w:asciiTheme="minorHAnsi" w:hAnsiTheme="minorHAnsi" w:cs="Arial"/>
                <w:sz w:val="20"/>
                <w:lang w:val="hr-HR"/>
              </w:rPr>
              <w:t>.</w:t>
            </w:r>
          </w:p>
        </w:tc>
        <w:tc>
          <w:tcPr>
            <w:tcW w:w="785" w:type="pct"/>
            <w:vAlign w:val="bottom"/>
          </w:tcPr>
          <w:p w:rsidR="00670E92" w:rsidRPr="003327E4" w:rsidRDefault="00670E92" w:rsidP="00DD33DF">
            <w:pPr>
              <w:pStyle w:val="TH"/>
              <w:jc w:val="right"/>
              <w:rPr>
                <w:rFonts w:asciiTheme="minorHAnsi" w:hAnsiTheme="minorHAnsi" w:cs="Arial"/>
                <w:sz w:val="20"/>
                <w:lang w:val="hr-HR"/>
              </w:rPr>
            </w:pPr>
            <w:r w:rsidRPr="003327E4">
              <w:rPr>
                <w:rFonts w:asciiTheme="minorHAnsi" w:hAnsiTheme="minorHAnsi" w:cs="Arial"/>
                <w:sz w:val="20"/>
                <w:lang w:val="hr-HR"/>
              </w:rPr>
              <w:t xml:space="preserve">Fer vrijednost </w:t>
            </w:r>
            <w:r w:rsidR="002F1F55" w:rsidRPr="003327E4">
              <w:rPr>
                <w:rFonts w:asciiTheme="minorHAnsi" w:hAnsiTheme="minorHAnsi" w:cs="Arial"/>
                <w:sz w:val="20"/>
                <w:lang w:val="hr-HR"/>
              </w:rPr>
              <w:t xml:space="preserve">31. prosinca </w:t>
            </w:r>
            <w:r w:rsidRPr="003327E4">
              <w:rPr>
                <w:rFonts w:asciiTheme="minorHAnsi" w:hAnsiTheme="minorHAnsi" w:cs="Arial"/>
                <w:sz w:val="20"/>
                <w:lang w:val="hr-HR"/>
              </w:rPr>
              <w:t>201</w:t>
            </w:r>
            <w:r w:rsidR="00FC53FE" w:rsidRPr="003327E4">
              <w:rPr>
                <w:rFonts w:asciiTheme="minorHAnsi" w:hAnsiTheme="minorHAnsi" w:cs="Arial"/>
                <w:sz w:val="20"/>
                <w:lang w:val="hr-HR"/>
              </w:rPr>
              <w:t>7</w:t>
            </w:r>
            <w:r w:rsidRPr="003327E4">
              <w:rPr>
                <w:rFonts w:asciiTheme="minorHAnsi" w:hAnsiTheme="minorHAnsi" w:cs="Arial"/>
                <w:sz w:val="20"/>
                <w:lang w:val="hr-HR"/>
              </w:rPr>
              <w:t>.</w:t>
            </w:r>
          </w:p>
        </w:tc>
        <w:tc>
          <w:tcPr>
            <w:tcW w:w="929" w:type="pct"/>
            <w:vAlign w:val="bottom"/>
          </w:tcPr>
          <w:p w:rsidR="00670E92" w:rsidRPr="003327E4" w:rsidRDefault="00670E92" w:rsidP="00DD33DF">
            <w:pPr>
              <w:pStyle w:val="TH"/>
              <w:ind w:left="-152"/>
              <w:jc w:val="right"/>
              <w:rPr>
                <w:rFonts w:asciiTheme="minorHAnsi" w:hAnsiTheme="minorHAnsi" w:cs="Arial"/>
                <w:sz w:val="20"/>
                <w:lang w:val="hr-HR"/>
              </w:rPr>
            </w:pPr>
            <w:r w:rsidRPr="003327E4">
              <w:rPr>
                <w:rFonts w:asciiTheme="minorHAnsi" w:hAnsiTheme="minorHAnsi" w:cs="Arial"/>
                <w:sz w:val="20"/>
                <w:lang w:val="hr-HR"/>
              </w:rPr>
              <w:t>Knjigovodstvena vrijednost</w:t>
            </w:r>
          </w:p>
          <w:p w:rsidR="00670E92" w:rsidRPr="003327E4" w:rsidRDefault="002F1F55" w:rsidP="00DD33DF">
            <w:pPr>
              <w:pStyle w:val="TH"/>
              <w:ind w:left="-152"/>
              <w:jc w:val="right"/>
              <w:rPr>
                <w:rFonts w:asciiTheme="minorHAnsi" w:hAnsiTheme="minorHAnsi" w:cs="Arial"/>
                <w:sz w:val="20"/>
                <w:lang w:val="hr-HR"/>
              </w:rPr>
            </w:pPr>
            <w:r w:rsidRPr="003327E4">
              <w:rPr>
                <w:rFonts w:asciiTheme="minorHAnsi" w:hAnsiTheme="minorHAnsi" w:cs="Arial"/>
                <w:sz w:val="20"/>
                <w:lang w:val="hr-HR"/>
              </w:rPr>
              <w:t xml:space="preserve">31. prosinca </w:t>
            </w:r>
            <w:r w:rsidR="00670E92" w:rsidRPr="003327E4">
              <w:rPr>
                <w:rFonts w:asciiTheme="minorHAnsi" w:hAnsiTheme="minorHAnsi" w:cs="Arial"/>
                <w:sz w:val="20"/>
                <w:lang w:val="hr-HR"/>
              </w:rPr>
              <w:t>201</w:t>
            </w:r>
            <w:r w:rsidR="00FC53FE" w:rsidRPr="003327E4">
              <w:rPr>
                <w:rFonts w:asciiTheme="minorHAnsi" w:hAnsiTheme="minorHAnsi" w:cs="Arial"/>
                <w:sz w:val="20"/>
                <w:lang w:val="hr-HR"/>
              </w:rPr>
              <w:t>7</w:t>
            </w:r>
            <w:r w:rsidR="00670E92" w:rsidRPr="003327E4">
              <w:rPr>
                <w:rFonts w:asciiTheme="minorHAnsi" w:hAnsiTheme="minorHAnsi" w:cs="Arial"/>
                <w:sz w:val="20"/>
                <w:lang w:val="hr-HR"/>
              </w:rPr>
              <w:t>.</w:t>
            </w:r>
          </w:p>
        </w:tc>
      </w:tr>
      <w:tr w:rsidR="003B5D1C" w:rsidRPr="003B5D1C" w:rsidTr="003327E4">
        <w:trPr>
          <w:trHeight w:val="259"/>
        </w:trPr>
        <w:tc>
          <w:tcPr>
            <w:tcW w:w="1000" w:type="pct"/>
          </w:tcPr>
          <w:p w:rsidR="00670E92" w:rsidRPr="003327E4" w:rsidRDefault="00670E92" w:rsidP="00DD33DF">
            <w:pPr>
              <w:tabs>
                <w:tab w:val="left" w:pos="-1843"/>
              </w:tabs>
              <w:suppressAutoHyphens/>
              <w:rPr>
                <w:rFonts w:asciiTheme="minorHAnsi" w:hAnsiTheme="minorHAnsi" w:cs="Arial"/>
                <w:b/>
                <w:spacing w:val="-3"/>
                <w:sz w:val="20"/>
                <w:szCs w:val="20"/>
                <w:u w:val="single"/>
                <w:lang w:val="hr-HR"/>
              </w:rPr>
            </w:pPr>
          </w:p>
        </w:tc>
        <w:tc>
          <w:tcPr>
            <w:tcW w:w="572" w:type="pct"/>
          </w:tcPr>
          <w:p w:rsidR="00670E92" w:rsidRPr="003327E4" w:rsidRDefault="00670E92" w:rsidP="00DD33DF">
            <w:pPr>
              <w:pStyle w:val="TH"/>
              <w:jc w:val="center"/>
              <w:rPr>
                <w:rFonts w:asciiTheme="minorHAnsi" w:hAnsiTheme="minorHAnsi" w:cs="Arial"/>
                <w:sz w:val="20"/>
                <w:lang w:val="hr-HR"/>
              </w:rPr>
            </w:pPr>
            <w:r w:rsidRPr="003327E4">
              <w:rPr>
                <w:rFonts w:asciiTheme="minorHAnsi" w:hAnsiTheme="minorHAnsi" w:cs="Arial"/>
                <w:sz w:val="20"/>
                <w:lang w:val="hr-HR"/>
              </w:rPr>
              <w:t>%</w:t>
            </w:r>
          </w:p>
        </w:tc>
        <w:tc>
          <w:tcPr>
            <w:tcW w:w="785" w:type="pct"/>
          </w:tcPr>
          <w:p w:rsidR="00670E92" w:rsidRPr="003327E4" w:rsidRDefault="00670E92" w:rsidP="00DD33DF">
            <w:pPr>
              <w:pStyle w:val="TH"/>
              <w:jc w:val="right"/>
              <w:rPr>
                <w:rFonts w:asciiTheme="minorHAnsi" w:hAnsiTheme="minorHAnsi" w:cs="Arial"/>
                <w:sz w:val="20"/>
                <w:lang w:val="hr-HR"/>
              </w:rPr>
            </w:pPr>
            <w:r w:rsidRPr="003327E4">
              <w:rPr>
                <w:rFonts w:asciiTheme="minorHAnsi" w:hAnsiTheme="minorHAnsi" w:cs="Arial"/>
                <w:sz w:val="20"/>
                <w:lang w:val="hr-HR"/>
              </w:rPr>
              <w:t>000 kuna</w:t>
            </w:r>
          </w:p>
        </w:tc>
        <w:tc>
          <w:tcPr>
            <w:tcW w:w="929" w:type="pct"/>
          </w:tcPr>
          <w:p w:rsidR="00670E92" w:rsidRPr="003327E4" w:rsidRDefault="00670E92" w:rsidP="00DD33DF">
            <w:pPr>
              <w:pStyle w:val="TH"/>
              <w:jc w:val="right"/>
              <w:rPr>
                <w:rFonts w:asciiTheme="minorHAnsi" w:hAnsiTheme="minorHAnsi" w:cs="Arial"/>
                <w:sz w:val="20"/>
                <w:lang w:val="hr-HR"/>
              </w:rPr>
            </w:pPr>
            <w:r w:rsidRPr="003327E4">
              <w:rPr>
                <w:rFonts w:asciiTheme="minorHAnsi" w:hAnsiTheme="minorHAnsi" w:cs="Arial"/>
                <w:sz w:val="20"/>
                <w:lang w:val="hr-HR"/>
              </w:rPr>
              <w:t>000 kuna</w:t>
            </w:r>
          </w:p>
        </w:tc>
        <w:tc>
          <w:tcPr>
            <w:tcW w:w="785" w:type="pct"/>
          </w:tcPr>
          <w:p w:rsidR="00670E92" w:rsidRPr="003327E4" w:rsidRDefault="00670E92" w:rsidP="00DD33DF">
            <w:pPr>
              <w:pStyle w:val="TH"/>
              <w:jc w:val="right"/>
              <w:rPr>
                <w:rFonts w:asciiTheme="minorHAnsi" w:hAnsiTheme="minorHAnsi" w:cs="Arial"/>
                <w:sz w:val="20"/>
                <w:lang w:val="hr-HR"/>
              </w:rPr>
            </w:pPr>
            <w:r w:rsidRPr="003327E4">
              <w:rPr>
                <w:rFonts w:asciiTheme="minorHAnsi" w:hAnsiTheme="minorHAnsi" w:cs="Arial"/>
                <w:sz w:val="20"/>
                <w:lang w:val="hr-HR"/>
              </w:rPr>
              <w:t>000 kuna</w:t>
            </w:r>
          </w:p>
        </w:tc>
        <w:tc>
          <w:tcPr>
            <w:tcW w:w="929" w:type="pct"/>
          </w:tcPr>
          <w:p w:rsidR="00670E92" w:rsidRPr="003327E4" w:rsidRDefault="00670E92" w:rsidP="00DD33DF">
            <w:pPr>
              <w:pStyle w:val="TH"/>
              <w:jc w:val="right"/>
              <w:rPr>
                <w:rFonts w:asciiTheme="minorHAnsi" w:hAnsiTheme="minorHAnsi" w:cs="Arial"/>
                <w:sz w:val="20"/>
                <w:lang w:val="hr-HR"/>
              </w:rPr>
            </w:pPr>
            <w:r w:rsidRPr="003327E4">
              <w:rPr>
                <w:rFonts w:asciiTheme="minorHAnsi" w:hAnsiTheme="minorHAnsi" w:cs="Arial"/>
                <w:sz w:val="20"/>
                <w:lang w:val="hr-HR"/>
              </w:rPr>
              <w:t>000 kuna</w:t>
            </w:r>
          </w:p>
        </w:tc>
      </w:tr>
      <w:tr w:rsidR="003B5D1C" w:rsidRPr="003B5D1C" w:rsidTr="003327E4">
        <w:trPr>
          <w:trHeight w:val="224"/>
        </w:trPr>
        <w:tc>
          <w:tcPr>
            <w:tcW w:w="1000" w:type="pct"/>
          </w:tcPr>
          <w:p w:rsidR="00670E92" w:rsidRPr="003327E4" w:rsidRDefault="00670E92" w:rsidP="00DD33DF">
            <w:pPr>
              <w:tabs>
                <w:tab w:val="left" w:pos="-1843"/>
              </w:tabs>
              <w:suppressAutoHyphens/>
              <w:spacing w:line="240" w:lineRule="exact"/>
              <w:rPr>
                <w:rFonts w:asciiTheme="minorHAnsi" w:hAnsiTheme="minorHAnsi" w:cs="Arial"/>
                <w:b/>
                <w:spacing w:val="-3"/>
                <w:sz w:val="20"/>
                <w:szCs w:val="20"/>
                <w:u w:val="single"/>
                <w:lang w:val="hr-HR"/>
              </w:rPr>
            </w:pPr>
          </w:p>
        </w:tc>
        <w:tc>
          <w:tcPr>
            <w:tcW w:w="572" w:type="pct"/>
            <w:vAlign w:val="bottom"/>
          </w:tcPr>
          <w:p w:rsidR="00670E92" w:rsidRPr="003327E4" w:rsidRDefault="00670E92" w:rsidP="00DD33DF">
            <w:pPr>
              <w:tabs>
                <w:tab w:val="left" w:pos="-1843"/>
              </w:tabs>
              <w:suppressAutoHyphens/>
              <w:spacing w:line="240" w:lineRule="exact"/>
              <w:jc w:val="center"/>
              <w:rPr>
                <w:rFonts w:asciiTheme="minorHAnsi" w:hAnsiTheme="minorHAnsi" w:cs="Arial"/>
                <w:b/>
                <w:spacing w:val="-3"/>
                <w:sz w:val="20"/>
                <w:szCs w:val="20"/>
                <w:lang w:val="hr-HR"/>
              </w:rPr>
            </w:pPr>
          </w:p>
        </w:tc>
        <w:tc>
          <w:tcPr>
            <w:tcW w:w="785" w:type="pct"/>
            <w:vAlign w:val="bottom"/>
          </w:tcPr>
          <w:p w:rsidR="00670E92" w:rsidRPr="003327E4" w:rsidRDefault="00670E92" w:rsidP="00DD33DF">
            <w:pPr>
              <w:tabs>
                <w:tab w:val="left" w:pos="-1843"/>
              </w:tabs>
              <w:suppressAutoHyphens/>
              <w:spacing w:line="240" w:lineRule="exact"/>
              <w:jc w:val="right"/>
              <w:rPr>
                <w:rFonts w:asciiTheme="minorHAnsi" w:hAnsiTheme="minorHAnsi" w:cs="Arial"/>
                <w:b/>
                <w:spacing w:val="-3"/>
                <w:sz w:val="20"/>
                <w:szCs w:val="20"/>
                <w:lang w:val="hr-HR"/>
              </w:rPr>
            </w:pPr>
          </w:p>
        </w:tc>
        <w:tc>
          <w:tcPr>
            <w:tcW w:w="929" w:type="pct"/>
            <w:vAlign w:val="bottom"/>
          </w:tcPr>
          <w:p w:rsidR="00670E92" w:rsidRPr="003327E4" w:rsidRDefault="00670E92" w:rsidP="00DD33DF">
            <w:pPr>
              <w:tabs>
                <w:tab w:val="left" w:pos="-1843"/>
              </w:tabs>
              <w:suppressAutoHyphens/>
              <w:spacing w:line="240" w:lineRule="exact"/>
              <w:jc w:val="right"/>
              <w:rPr>
                <w:rFonts w:asciiTheme="minorHAnsi" w:hAnsiTheme="minorHAnsi" w:cs="Arial"/>
                <w:b/>
                <w:spacing w:val="-3"/>
                <w:sz w:val="20"/>
                <w:szCs w:val="20"/>
                <w:lang w:val="hr-HR"/>
              </w:rPr>
            </w:pPr>
          </w:p>
        </w:tc>
        <w:tc>
          <w:tcPr>
            <w:tcW w:w="785" w:type="pct"/>
            <w:vAlign w:val="bottom"/>
          </w:tcPr>
          <w:p w:rsidR="00670E92" w:rsidRPr="003327E4" w:rsidRDefault="00670E92" w:rsidP="00DD33DF">
            <w:pPr>
              <w:tabs>
                <w:tab w:val="left" w:pos="-1843"/>
              </w:tabs>
              <w:suppressAutoHyphens/>
              <w:spacing w:line="240" w:lineRule="exact"/>
              <w:jc w:val="right"/>
              <w:rPr>
                <w:rFonts w:asciiTheme="minorHAnsi" w:hAnsiTheme="minorHAnsi" w:cs="Arial"/>
                <w:b/>
                <w:spacing w:val="-3"/>
                <w:sz w:val="20"/>
                <w:szCs w:val="20"/>
                <w:lang w:val="hr-HR"/>
              </w:rPr>
            </w:pPr>
          </w:p>
        </w:tc>
        <w:tc>
          <w:tcPr>
            <w:tcW w:w="929" w:type="pct"/>
            <w:vAlign w:val="bottom"/>
          </w:tcPr>
          <w:p w:rsidR="00670E92" w:rsidRPr="003327E4" w:rsidRDefault="00670E92" w:rsidP="00DD33DF">
            <w:pPr>
              <w:tabs>
                <w:tab w:val="left" w:pos="-1843"/>
              </w:tabs>
              <w:suppressAutoHyphens/>
              <w:spacing w:line="240" w:lineRule="exact"/>
              <w:jc w:val="right"/>
              <w:rPr>
                <w:rFonts w:asciiTheme="minorHAnsi" w:hAnsiTheme="minorHAnsi" w:cs="Arial"/>
                <w:b/>
                <w:spacing w:val="-3"/>
                <w:sz w:val="20"/>
                <w:szCs w:val="20"/>
                <w:lang w:val="hr-HR"/>
              </w:rPr>
            </w:pPr>
          </w:p>
        </w:tc>
      </w:tr>
      <w:tr w:rsidR="003B5D1C" w:rsidRPr="003B5D1C" w:rsidTr="003327E4">
        <w:trPr>
          <w:trHeight w:val="253"/>
        </w:trPr>
        <w:tc>
          <w:tcPr>
            <w:tcW w:w="1000" w:type="pct"/>
          </w:tcPr>
          <w:p w:rsidR="00434C7E" w:rsidRPr="003327E4" w:rsidRDefault="00FC53FE" w:rsidP="00DD33DF">
            <w:pPr>
              <w:pStyle w:val="TT"/>
              <w:rPr>
                <w:rFonts w:asciiTheme="minorHAnsi" w:hAnsiTheme="minorHAnsi" w:cs="Arial"/>
                <w:sz w:val="20"/>
                <w:lang w:val="hr-HR"/>
              </w:rPr>
            </w:pPr>
            <w:r w:rsidRPr="003327E4">
              <w:rPr>
                <w:rFonts w:asciiTheme="minorHAnsi" w:hAnsiTheme="minorHAnsi" w:cs="Arial"/>
                <w:sz w:val="20"/>
                <w:lang w:val="hr-HR"/>
              </w:rPr>
              <w:t xml:space="preserve">Obveznice 150,0 </w:t>
            </w:r>
          </w:p>
          <w:p w:rsidR="00FC53FE" w:rsidRPr="003327E4" w:rsidRDefault="00FC53FE" w:rsidP="00DD33DF">
            <w:pPr>
              <w:pStyle w:val="TT"/>
              <w:rPr>
                <w:rFonts w:asciiTheme="minorHAnsi" w:hAnsiTheme="minorHAnsi" w:cs="Arial"/>
                <w:sz w:val="20"/>
                <w:lang w:val="hr-HR"/>
              </w:rPr>
            </w:pPr>
            <w:r w:rsidRPr="003327E4">
              <w:rPr>
                <w:rFonts w:asciiTheme="minorHAnsi" w:hAnsiTheme="minorHAnsi" w:cs="Arial"/>
                <w:sz w:val="20"/>
                <w:lang w:val="hr-HR"/>
              </w:rPr>
              <w:t>milijuna eura</w:t>
            </w:r>
          </w:p>
        </w:tc>
        <w:tc>
          <w:tcPr>
            <w:tcW w:w="572" w:type="pct"/>
            <w:vAlign w:val="bottom"/>
          </w:tcPr>
          <w:p w:rsidR="00FC53FE" w:rsidRPr="003327E4" w:rsidRDefault="00FC53FE" w:rsidP="00DD33DF">
            <w:pPr>
              <w:pStyle w:val="TT"/>
              <w:jc w:val="center"/>
              <w:rPr>
                <w:rFonts w:asciiTheme="minorHAnsi" w:hAnsiTheme="minorHAnsi" w:cs="Arial"/>
                <w:sz w:val="20"/>
                <w:lang w:val="hr-HR"/>
              </w:rPr>
            </w:pPr>
            <w:r w:rsidRPr="003327E4">
              <w:rPr>
                <w:rFonts w:asciiTheme="minorHAnsi" w:hAnsiTheme="minorHAnsi" w:cs="Arial"/>
                <w:sz w:val="20"/>
                <w:lang w:val="hr-HR"/>
              </w:rPr>
              <w:t>6,37</w:t>
            </w:r>
          </w:p>
        </w:tc>
        <w:tc>
          <w:tcPr>
            <w:tcW w:w="785" w:type="pct"/>
            <w:tcBorders>
              <w:top w:val="nil"/>
              <w:left w:val="nil"/>
              <w:bottom w:val="nil"/>
              <w:right w:val="nil"/>
            </w:tcBorders>
            <w:shd w:val="clear" w:color="auto" w:fill="auto"/>
            <w:vAlign w:val="center"/>
          </w:tcPr>
          <w:p w:rsidR="00FC53FE" w:rsidRPr="003327E4" w:rsidRDefault="00A6116F" w:rsidP="00DD33DF">
            <w:pPr>
              <w:pStyle w:val="TT"/>
              <w:jc w:val="right"/>
              <w:rPr>
                <w:rFonts w:asciiTheme="minorHAnsi" w:hAnsiTheme="minorHAnsi" w:cs="Arial"/>
                <w:sz w:val="20"/>
                <w:lang w:val="hr-HR"/>
              </w:rPr>
            </w:pPr>
            <w:r w:rsidRPr="003327E4">
              <w:rPr>
                <w:rFonts w:asciiTheme="minorHAnsi" w:hAnsiTheme="minorHAnsi" w:cs="Arial"/>
                <w:sz w:val="20"/>
                <w:lang w:val="hr-HR"/>
              </w:rPr>
              <w:t>1.190.721</w:t>
            </w:r>
          </w:p>
        </w:tc>
        <w:tc>
          <w:tcPr>
            <w:tcW w:w="929" w:type="pct"/>
            <w:tcBorders>
              <w:top w:val="nil"/>
              <w:left w:val="nil"/>
              <w:bottom w:val="nil"/>
              <w:right w:val="nil"/>
            </w:tcBorders>
            <w:shd w:val="clear" w:color="auto" w:fill="auto"/>
            <w:vAlign w:val="center"/>
          </w:tcPr>
          <w:p w:rsidR="00FC53FE" w:rsidRPr="003327E4" w:rsidRDefault="00A0465B" w:rsidP="00DD33DF">
            <w:pPr>
              <w:pStyle w:val="TT"/>
              <w:jc w:val="right"/>
              <w:rPr>
                <w:rFonts w:asciiTheme="minorHAnsi" w:hAnsiTheme="minorHAnsi" w:cs="Arial"/>
                <w:sz w:val="20"/>
                <w:lang w:val="hr-HR"/>
              </w:rPr>
            </w:pPr>
            <w:r w:rsidRPr="003327E4">
              <w:rPr>
                <w:rFonts w:asciiTheme="minorHAnsi" w:hAnsiTheme="minorHAnsi" w:cs="Arial"/>
                <w:sz w:val="20"/>
                <w:lang w:val="hr-HR"/>
              </w:rPr>
              <w:t>1.107.413</w:t>
            </w:r>
          </w:p>
        </w:tc>
        <w:tc>
          <w:tcPr>
            <w:tcW w:w="785" w:type="pct"/>
            <w:tcBorders>
              <w:top w:val="nil"/>
              <w:left w:val="nil"/>
              <w:bottom w:val="nil"/>
              <w:right w:val="nil"/>
            </w:tcBorders>
            <w:shd w:val="clear" w:color="auto" w:fill="auto"/>
            <w:vAlign w:val="center"/>
          </w:tcPr>
          <w:p w:rsidR="00FC53FE" w:rsidRPr="003327E4" w:rsidRDefault="00FC53FE" w:rsidP="00DD33DF">
            <w:pPr>
              <w:pStyle w:val="TT"/>
              <w:jc w:val="right"/>
              <w:rPr>
                <w:rFonts w:asciiTheme="minorHAnsi" w:hAnsiTheme="minorHAnsi" w:cs="Arial"/>
                <w:sz w:val="20"/>
                <w:lang w:val="hr-HR"/>
              </w:rPr>
            </w:pPr>
            <w:r w:rsidRPr="003327E4">
              <w:rPr>
                <w:rFonts w:asciiTheme="minorHAnsi" w:hAnsiTheme="minorHAnsi" w:cs="Arial"/>
                <w:sz w:val="20"/>
                <w:lang w:val="hr-HR"/>
              </w:rPr>
              <w:t>1.255.316</w:t>
            </w:r>
          </w:p>
        </w:tc>
        <w:tc>
          <w:tcPr>
            <w:tcW w:w="929" w:type="pct"/>
            <w:tcBorders>
              <w:top w:val="nil"/>
              <w:left w:val="nil"/>
              <w:bottom w:val="nil"/>
              <w:right w:val="nil"/>
            </w:tcBorders>
            <w:shd w:val="clear" w:color="auto" w:fill="auto"/>
            <w:vAlign w:val="center"/>
          </w:tcPr>
          <w:p w:rsidR="00FC53FE" w:rsidRPr="003327E4" w:rsidRDefault="00FC53FE" w:rsidP="00DD33DF">
            <w:pPr>
              <w:pStyle w:val="TT"/>
              <w:jc w:val="right"/>
              <w:rPr>
                <w:rFonts w:asciiTheme="minorHAnsi" w:hAnsiTheme="minorHAnsi" w:cs="Arial"/>
                <w:sz w:val="20"/>
                <w:lang w:val="hr-HR"/>
              </w:rPr>
            </w:pPr>
            <w:r w:rsidRPr="003327E4">
              <w:rPr>
                <w:rFonts w:asciiTheme="minorHAnsi" w:hAnsiTheme="minorHAnsi" w:cs="Arial"/>
                <w:sz w:val="20"/>
                <w:lang w:val="hr-HR"/>
              </w:rPr>
              <w:t>1.118.122</w:t>
            </w:r>
          </w:p>
        </w:tc>
      </w:tr>
      <w:tr w:rsidR="003B5D1C" w:rsidRPr="003B5D1C" w:rsidTr="003327E4">
        <w:trPr>
          <w:trHeight w:val="283"/>
        </w:trPr>
        <w:tc>
          <w:tcPr>
            <w:tcW w:w="1000" w:type="pct"/>
          </w:tcPr>
          <w:p w:rsidR="00FC53FE" w:rsidRPr="003327E4" w:rsidRDefault="00FC53FE" w:rsidP="00DD33DF">
            <w:pPr>
              <w:pStyle w:val="TT"/>
              <w:rPr>
                <w:rFonts w:asciiTheme="minorHAnsi" w:hAnsiTheme="minorHAnsi" w:cs="Arial"/>
                <w:sz w:val="20"/>
                <w:lang w:val="hr-HR"/>
              </w:rPr>
            </w:pPr>
            <w:r w:rsidRPr="003327E4">
              <w:rPr>
                <w:rFonts w:asciiTheme="minorHAnsi" w:hAnsiTheme="minorHAnsi" w:cs="Arial"/>
                <w:sz w:val="20"/>
                <w:lang w:val="hr-HR"/>
              </w:rPr>
              <w:t>Obračunata kamata</w:t>
            </w:r>
          </w:p>
        </w:tc>
        <w:tc>
          <w:tcPr>
            <w:tcW w:w="572" w:type="pct"/>
            <w:vAlign w:val="bottom"/>
          </w:tcPr>
          <w:p w:rsidR="00FC53FE" w:rsidRPr="003327E4" w:rsidRDefault="00FC53FE" w:rsidP="00DD33DF">
            <w:pPr>
              <w:pStyle w:val="TT"/>
              <w:jc w:val="center"/>
              <w:rPr>
                <w:rFonts w:asciiTheme="minorHAnsi" w:hAnsiTheme="minorHAnsi" w:cs="Arial"/>
                <w:sz w:val="20"/>
                <w:lang w:val="hr-HR"/>
              </w:rPr>
            </w:pPr>
          </w:p>
        </w:tc>
        <w:tc>
          <w:tcPr>
            <w:tcW w:w="785" w:type="pct"/>
            <w:tcBorders>
              <w:top w:val="nil"/>
              <w:left w:val="nil"/>
              <w:bottom w:val="nil"/>
              <w:right w:val="nil"/>
            </w:tcBorders>
            <w:shd w:val="clear" w:color="auto" w:fill="auto"/>
            <w:vAlign w:val="center"/>
          </w:tcPr>
          <w:p w:rsidR="00FC53FE" w:rsidRPr="003327E4" w:rsidRDefault="00A672A8" w:rsidP="00DD33DF">
            <w:pPr>
              <w:pStyle w:val="TT"/>
              <w:jc w:val="right"/>
              <w:rPr>
                <w:rFonts w:asciiTheme="minorHAnsi" w:hAnsiTheme="minorHAnsi" w:cs="Arial"/>
                <w:sz w:val="20"/>
                <w:lang w:val="hr-HR"/>
              </w:rPr>
            </w:pPr>
            <w:r w:rsidRPr="003327E4">
              <w:rPr>
                <w:rFonts w:asciiTheme="minorHAnsi" w:hAnsiTheme="minorHAnsi" w:cs="Arial"/>
                <w:sz w:val="20"/>
                <w:lang w:val="hr-HR"/>
              </w:rPr>
              <w:t>-</w:t>
            </w:r>
          </w:p>
        </w:tc>
        <w:tc>
          <w:tcPr>
            <w:tcW w:w="929" w:type="pct"/>
            <w:tcBorders>
              <w:top w:val="nil"/>
              <w:left w:val="nil"/>
              <w:bottom w:val="nil"/>
              <w:right w:val="nil"/>
            </w:tcBorders>
            <w:shd w:val="clear" w:color="auto" w:fill="auto"/>
            <w:vAlign w:val="center"/>
          </w:tcPr>
          <w:p w:rsidR="00FC53FE" w:rsidRPr="003327E4" w:rsidRDefault="00A0465B" w:rsidP="00DD33DF">
            <w:pPr>
              <w:pStyle w:val="TT"/>
              <w:jc w:val="right"/>
              <w:rPr>
                <w:rFonts w:asciiTheme="minorHAnsi" w:hAnsiTheme="minorHAnsi" w:cs="Arial"/>
                <w:sz w:val="20"/>
                <w:lang w:val="hr-HR"/>
              </w:rPr>
            </w:pPr>
            <w:r w:rsidRPr="003327E4">
              <w:rPr>
                <w:rFonts w:asciiTheme="minorHAnsi" w:hAnsiTheme="minorHAnsi" w:cs="Arial"/>
                <w:sz w:val="20"/>
                <w:lang w:val="hr-HR"/>
              </w:rPr>
              <w:t>43.347</w:t>
            </w:r>
          </w:p>
        </w:tc>
        <w:tc>
          <w:tcPr>
            <w:tcW w:w="785" w:type="pct"/>
            <w:tcBorders>
              <w:top w:val="nil"/>
              <w:left w:val="nil"/>
              <w:bottom w:val="nil"/>
              <w:right w:val="nil"/>
            </w:tcBorders>
            <w:shd w:val="clear" w:color="auto" w:fill="auto"/>
            <w:vAlign w:val="center"/>
          </w:tcPr>
          <w:p w:rsidR="00FC53FE" w:rsidRPr="003327E4" w:rsidRDefault="00FC53FE" w:rsidP="00DD33DF">
            <w:pPr>
              <w:pStyle w:val="TT"/>
              <w:jc w:val="right"/>
              <w:rPr>
                <w:rFonts w:asciiTheme="minorHAnsi" w:hAnsiTheme="minorHAnsi" w:cs="Arial"/>
                <w:sz w:val="20"/>
                <w:lang w:val="hr-HR"/>
              </w:rPr>
            </w:pPr>
            <w:r w:rsidRPr="003327E4">
              <w:rPr>
                <w:rFonts w:ascii="Calibri" w:hAnsi="Calibri"/>
                <w:color w:val="000000"/>
                <w:sz w:val="20"/>
                <w:lang w:val="hr-HR"/>
              </w:rPr>
              <w:t xml:space="preserve"> - </w:t>
            </w:r>
          </w:p>
        </w:tc>
        <w:tc>
          <w:tcPr>
            <w:tcW w:w="929" w:type="pct"/>
            <w:tcBorders>
              <w:top w:val="nil"/>
              <w:left w:val="nil"/>
              <w:bottom w:val="nil"/>
              <w:right w:val="nil"/>
            </w:tcBorders>
            <w:shd w:val="clear" w:color="auto" w:fill="auto"/>
            <w:vAlign w:val="center"/>
          </w:tcPr>
          <w:p w:rsidR="00FC53FE" w:rsidRPr="003327E4" w:rsidRDefault="00FC53FE" w:rsidP="00DD33DF">
            <w:pPr>
              <w:pStyle w:val="TT"/>
              <w:jc w:val="right"/>
              <w:rPr>
                <w:rFonts w:asciiTheme="minorHAnsi" w:hAnsiTheme="minorHAnsi" w:cs="Arial"/>
                <w:sz w:val="20"/>
                <w:lang w:val="hr-HR"/>
              </w:rPr>
            </w:pPr>
            <w:r w:rsidRPr="003327E4">
              <w:rPr>
                <w:rFonts w:ascii="Calibri" w:hAnsi="Calibri" w:cs="Calibri"/>
                <w:color w:val="000000"/>
                <w:sz w:val="20"/>
                <w:lang w:val="hr-HR"/>
              </w:rPr>
              <w:t>43.909</w:t>
            </w:r>
          </w:p>
        </w:tc>
      </w:tr>
      <w:tr w:rsidR="003B5D1C" w:rsidRPr="003B5D1C" w:rsidTr="003327E4">
        <w:trPr>
          <w:trHeight w:val="283"/>
        </w:trPr>
        <w:tc>
          <w:tcPr>
            <w:tcW w:w="1000" w:type="pct"/>
          </w:tcPr>
          <w:p w:rsidR="00FC53FE" w:rsidRPr="003327E4" w:rsidRDefault="00FC53FE" w:rsidP="00DD33DF">
            <w:pPr>
              <w:pStyle w:val="TT"/>
              <w:rPr>
                <w:rFonts w:asciiTheme="minorHAnsi" w:hAnsiTheme="minorHAnsi" w:cs="Arial"/>
                <w:sz w:val="20"/>
                <w:lang w:val="hr-HR"/>
              </w:rPr>
            </w:pPr>
            <w:r w:rsidRPr="003327E4">
              <w:rPr>
                <w:rFonts w:asciiTheme="minorHAnsi" w:hAnsiTheme="minorHAnsi" w:cs="Arial"/>
                <w:sz w:val="20"/>
                <w:lang w:val="hr-HR"/>
              </w:rPr>
              <w:t>Odgođena naknada</w:t>
            </w:r>
          </w:p>
        </w:tc>
        <w:tc>
          <w:tcPr>
            <w:tcW w:w="572" w:type="pct"/>
            <w:vAlign w:val="bottom"/>
          </w:tcPr>
          <w:p w:rsidR="00FC53FE" w:rsidRPr="003327E4" w:rsidRDefault="00FC53FE" w:rsidP="00DD33DF">
            <w:pPr>
              <w:pStyle w:val="TT"/>
              <w:jc w:val="center"/>
              <w:rPr>
                <w:rFonts w:asciiTheme="minorHAnsi" w:hAnsiTheme="minorHAnsi" w:cs="Arial"/>
                <w:sz w:val="20"/>
                <w:lang w:val="hr-HR"/>
              </w:rPr>
            </w:pPr>
          </w:p>
        </w:tc>
        <w:tc>
          <w:tcPr>
            <w:tcW w:w="785" w:type="pct"/>
            <w:tcBorders>
              <w:top w:val="nil"/>
              <w:left w:val="nil"/>
              <w:bottom w:val="single" w:sz="4" w:space="0" w:color="auto"/>
              <w:right w:val="nil"/>
            </w:tcBorders>
            <w:shd w:val="clear" w:color="auto" w:fill="auto"/>
            <w:vAlign w:val="center"/>
          </w:tcPr>
          <w:p w:rsidR="00FC53FE" w:rsidRPr="003327E4" w:rsidRDefault="00A672A8" w:rsidP="00DD33DF">
            <w:pPr>
              <w:pStyle w:val="TT"/>
              <w:jc w:val="right"/>
              <w:rPr>
                <w:rFonts w:asciiTheme="minorHAnsi" w:hAnsiTheme="minorHAnsi" w:cs="Arial"/>
                <w:sz w:val="20"/>
                <w:lang w:val="hr-HR"/>
              </w:rPr>
            </w:pPr>
            <w:r w:rsidRPr="003327E4">
              <w:rPr>
                <w:rFonts w:asciiTheme="minorHAnsi" w:hAnsiTheme="minorHAnsi" w:cs="Arial"/>
                <w:sz w:val="20"/>
                <w:lang w:val="hr-HR"/>
              </w:rPr>
              <w:t>-</w:t>
            </w:r>
          </w:p>
        </w:tc>
        <w:tc>
          <w:tcPr>
            <w:tcW w:w="929" w:type="pct"/>
            <w:tcBorders>
              <w:top w:val="nil"/>
              <w:left w:val="nil"/>
              <w:bottom w:val="single" w:sz="4" w:space="0" w:color="auto"/>
              <w:right w:val="nil"/>
            </w:tcBorders>
            <w:shd w:val="clear" w:color="auto" w:fill="auto"/>
            <w:vAlign w:val="center"/>
          </w:tcPr>
          <w:p w:rsidR="00FC53FE" w:rsidRPr="003327E4" w:rsidRDefault="00A0465B" w:rsidP="00DD33DF">
            <w:pPr>
              <w:pStyle w:val="TT"/>
              <w:jc w:val="right"/>
              <w:rPr>
                <w:rFonts w:asciiTheme="minorHAnsi" w:hAnsiTheme="minorHAnsi" w:cs="Arial"/>
                <w:sz w:val="20"/>
                <w:lang w:val="hr-HR"/>
              </w:rPr>
            </w:pPr>
            <w:r w:rsidRPr="003327E4">
              <w:rPr>
                <w:rFonts w:asciiTheme="minorHAnsi" w:hAnsiTheme="minorHAnsi" w:cs="Arial"/>
                <w:sz w:val="20"/>
                <w:lang w:val="hr-HR"/>
              </w:rPr>
              <w:t>(203)</w:t>
            </w:r>
          </w:p>
        </w:tc>
        <w:tc>
          <w:tcPr>
            <w:tcW w:w="785" w:type="pct"/>
            <w:tcBorders>
              <w:top w:val="nil"/>
              <w:left w:val="nil"/>
              <w:bottom w:val="single" w:sz="4" w:space="0" w:color="auto"/>
              <w:right w:val="nil"/>
            </w:tcBorders>
            <w:shd w:val="clear" w:color="auto" w:fill="auto"/>
            <w:vAlign w:val="center"/>
          </w:tcPr>
          <w:p w:rsidR="00FC53FE" w:rsidRPr="003327E4" w:rsidRDefault="00FC53FE" w:rsidP="00DD33DF">
            <w:pPr>
              <w:pStyle w:val="TT"/>
              <w:jc w:val="right"/>
              <w:rPr>
                <w:rFonts w:asciiTheme="minorHAnsi" w:hAnsiTheme="minorHAnsi" w:cs="Arial"/>
                <w:sz w:val="20"/>
                <w:lang w:val="hr-HR"/>
              </w:rPr>
            </w:pPr>
            <w:r w:rsidRPr="003327E4">
              <w:rPr>
                <w:rFonts w:ascii="Calibri" w:hAnsi="Calibri"/>
                <w:color w:val="000000"/>
                <w:sz w:val="20"/>
                <w:lang w:val="hr-HR"/>
              </w:rPr>
              <w:t xml:space="preserve"> - </w:t>
            </w:r>
          </w:p>
        </w:tc>
        <w:tc>
          <w:tcPr>
            <w:tcW w:w="929" w:type="pct"/>
            <w:tcBorders>
              <w:top w:val="nil"/>
              <w:left w:val="nil"/>
              <w:bottom w:val="single" w:sz="4" w:space="0" w:color="auto"/>
              <w:right w:val="nil"/>
            </w:tcBorders>
            <w:shd w:val="clear" w:color="auto" w:fill="auto"/>
            <w:vAlign w:val="center"/>
          </w:tcPr>
          <w:p w:rsidR="00FC53FE" w:rsidRPr="003327E4" w:rsidRDefault="00FC53FE" w:rsidP="00DD33DF">
            <w:pPr>
              <w:pStyle w:val="TT"/>
              <w:jc w:val="right"/>
              <w:rPr>
                <w:rFonts w:asciiTheme="minorHAnsi" w:hAnsiTheme="minorHAnsi" w:cs="Arial"/>
                <w:sz w:val="20"/>
                <w:lang w:val="hr-HR"/>
              </w:rPr>
            </w:pPr>
            <w:r w:rsidRPr="003327E4">
              <w:rPr>
                <w:rFonts w:ascii="Calibri" w:hAnsi="Calibri" w:cs="Calibri"/>
                <w:color w:val="000000"/>
                <w:sz w:val="20"/>
                <w:lang w:val="hr-HR"/>
              </w:rPr>
              <w:t xml:space="preserve">               (332)</w:t>
            </w:r>
          </w:p>
        </w:tc>
      </w:tr>
      <w:tr w:rsidR="003B5D1C" w:rsidRPr="003B5D1C" w:rsidTr="003327E4">
        <w:trPr>
          <w:trHeight w:val="386"/>
        </w:trPr>
        <w:tc>
          <w:tcPr>
            <w:tcW w:w="1000" w:type="pct"/>
          </w:tcPr>
          <w:p w:rsidR="00FC53FE" w:rsidRPr="003327E4" w:rsidRDefault="00FC53FE" w:rsidP="00DD33DF">
            <w:pPr>
              <w:tabs>
                <w:tab w:val="left" w:pos="-1843"/>
              </w:tabs>
              <w:suppressAutoHyphens/>
              <w:rPr>
                <w:rFonts w:asciiTheme="minorHAnsi" w:hAnsiTheme="minorHAnsi" w:cs="Arial"/>
                <w:b/>
                <w:bCs/>
                <w:spacing w:val="-3"/>
                <w:sz w:val="20"/>
                <w:szCs w:val="20"/>
                <w:u w:val="single"/>
                <w:lang w:val="hr-HR"/>
              </w:rPr>
            </w:pPr>
          </w:p>
        </w:tc>
        <w:tc>
          <w:tcPr>
            <w:tcW w:w="572" w:type="pct"/>
            <w:vAlign w:val="bottom"/>
          </w:tcPr>
          <w:p w:rsidR="00FC53FE" w:rsidRPr="003327E4" w:rsidRDefault="00FC53FE" w:rsidP="00DD33DF">
            <w:pPr>
              <w:pStyle w:val="Tot"/>
              <w:jc w:val="center"/>
              <w:rPr>
                <w:rFonts w:asciiTheme="minorHAnsi" w:hAnsiTheme="minorHAnsi" w:cs="Arial"/>
                <w:b/>
                <w:bCs/>
                <w:sz w:val="20"/>
                <w:lang w:val="hr-HR"/>
              </w:rPr>
            </w:pPr>
          </w:p>
        </w:tc>
        <w:tc>
          <w:tcPr>
            <w:tcW w:w="785" w:type="pct"/>
            <w:tcBorders>
              <w:top w:val="single" w:sz="4" w:space="0" w:color="auto"/>
              <w:left w:val="nil"/>
              <w:bottom w:val="single" w:sz="12" w:space="0" w:color="auto"/>
              <w:right w:val="nil"/>
            </w:tcBorders>
            <w:shd w:val="clear" w:color="auto" w:fill="auto"/>
            <w:vAlign w:val="center"/>
          </w:tcPr>
          <w:p w:rsidR="00FC53FE" w:rsidRPr="003327E4" w:rsidRDefault="00A6116F" w:rsidP="00DD33DF">
            <w:pPr>
              <w:pStyle w:val="Tot"/>
              <w:jc w:val="right"/>
              <w:rPr>
                <w:rFonts w:asciiTheme="minorHAnsi" w:hAnsiTheme="minorHAnsi" w:cs="Arial"/>
                <w:b/>
                <w:bCs/>
                <w:sz w:val="20"/>
                <w:lang w:val="hr-HR"/>
              </w:rPr>
            </w:pPr>
            <w:r w:rsidRPr="003327E4">
              <w:rPr>
                <w:rFonts w:asciiTheme="minorHAnsi" w:hAnsiTheme="minorHAnsi" w:cs="Arial"/>
                <w:b/>
                <w:bCs/>
                <w:sz w:val="20"/>
                <w:lang w:val="hr-HR"/>
              </w:rPr>
              <w:t>1.190.721</w:t>
            </w:r>
          </w:p>
        </w:tc>
        <w:tc>
          <w:tcPr>
            <w:tcW w:w="929" w:type="pct"/>
            <w:tcBorders>
              <w:top w:val="single" w:sz="4" w:space="0" w:color="auto"/>
              <w:left w:val="nil"/>
              <w:bottom w:val="single" w:sz="12" w:space="0" w:color="auto"/>
              <w:right w:val="nil"/>
            </w:tcBorders>
            <w:shd w:val="clear" w:color="auto" w:fill="auto"/>
            <w:vAlign w:val="center"/>
          </w:tcPr>
          <w:p w:rsidR="00FC53FE" w:rsidRPr="003327E4" w:rsidRDefault="00A0465B" w:rsidP="00DD33DF">
            <w:pPr>
              <w:pStyle w:val="Tot"/>
              <w:jc w:val="right"/>
              <w:rPr>
                <w:rFonts w:asciiTheme="minorHAnsi" w:hAnsiTheme="minorHAnsi" w:cs="Arial"/>
                <w:b/>
                <w:bCs/>
                <w:sz w:val="20"/>
                <w:lang w:val="hr-HR"/>
              </w:rPr>
            </w:pPr>
            <w:r w:rsidRPr="003327E4">
              <w:rPr>
                <w:rFonts w:asciiTheme="minorHAnsi" w:hAnsiTheme="minorHAnsi" w:cs="Arial"/>
                <w:b/>
                <w:bCs/>
                <w:sz w:val="20"/>
                <w:lang w:val="hr-HR"/>
              </w:rPr>
              <w:t>1.150.557</w:t>
            </w:r>
          </w:p>
        </w:tc>
        <w:tc>
          <w:tcPr>
            <w:tcW w:w="785" w:type="pct"/>
            <w:tcBorders>
              <w:top w:val="single" w:sz="4" w:space="0" w:color="auto"/>
              <w:left w:val="nil"/>
              <w:bottom w:val="single" w:sz="12" w:space="0" w:color="auto"/>
              <w:right w:val="nil"/>
            </w:tcBorders>
            <w:shd w:val="clear" w:color="auto" w:fill="auto"/>
            <w:vAlign w:val="center"/>
          </w:tcPr>
          <w:p w:rsidR="00FC53FE" w:rsidRPr="003327E4" w:rsidRDefault="00FC53FE" w:rsidP="00DD33DF">
            <w:pPr>
              <w:pStyle w:val="Tot"/>
              <w:jc w:val="right"/>
              <w:rPr>
                <w:rFonts w:asciiTheme="minorHAnsi" w:hAnsiTheme="minorHAnsi" w:cs="Arial"/>
                <w:b/>
                <w:bCs/>
                <w:sz w:val="20"/>
                <w:lang w:val="hr-HR"/>
              </w:rPr>
            </w:pPr>
            <w:r w:rsidRPr="003327E4">
              <w:rPr>
                <w:rFonts w:asciiTheme="minorHAnsi" w:hAnsiTheme="minorHAnsi" w:cs="Arial"/>
                <w:b/>
                <w:bCs/>
                <w:sz w:val="20"/>
                <w:lang w:val="hr-HR"/>
              </w:rPr>
              <w:t>1.255.316</w:t>
            </w:r>
          </w:p>
        </w:tc>
        <w:tc>
          <w:tcPr>
            <w:tcW w:w="929" w:type="pct"/>
            <w:tcBorders>
              <w:top w:val="single" w:sz="4" w:space="0" w:color="auto"/>
              <w:left w:val="nil"/>
              <w:bottom w:val="single" w:sz="12" w:space="0" w:color="auto"/>
              <w:right w:val="nil"/>
            </w:tcBorders>
            <w:shd w:val="clear" w:color="auto" w:fill="auto"/>
            <w:vAlign w:val="center"/>
          </w:tcPr>
          <w:p w:rsidR="00FC53FE" w:rsidRPr="003327E4" w:rsidRDefault="00FC53FE" w:rsidP="00DD33DF">
            <w:pPr>
              <w:pStyle w:val="Tot"/>
              <w:jc w:val="right"/>
              <w:rPr>
                <w:rFonts w:asciiTheme="minorHAnsi" w:hAnsiTheme="minorHAnsi" w:cs="Arial"/>
                <w:b/>
                <w:bCs/>
                <w:sz w:val="20"/>
                <w:lang w:val="hr-HR"/>
              </w:rPr>
            </w:pPr>
            <w:r w:rsidRPr="003327E4">
              <w:rPr>
                <w:rFonts w:asciiTheme="minorHAnsi" w:hAnsiTheme="minorHAnsi" w:cs="Arial"/>
                <w:b/>
                <w:bCs/>
                <w:sz w:val="20"/>
                <w:lang w:val="hr-HR"/>
              </w:rPr>
              <w:t>1.161.699</w:t>
            </w:r>
          </w:p>
        </w:tc>
      </w:tr>
    </w:tbl>
    <w:p w:rsidR="00F50C01" w:rsidRPr="001567C8" w:rsidRDefault="00F50C01" w:rsidP="00F50C01">
      <w:pPr>
        <w:jc w:val="both"/>
        <w:rPr>
          <w:rFonts w:asciiTheme="minorHAnsi" w:hAnsiTheme="minorHAnsi" w:cs="Arial"/>
          <w:sz w:val="22"/>
          <w:szCs w:val="22"/>
          <w:lang w:val="hr-HR"/>
        </w:rPr>
      </w:pPr>
    </w:p>
    <w:p w:rsidR="00A66AC2" w:rsidRPr="001567C8" w:rsidRDefault="00E6297D" w:rsidP="009B2666">
      <w:pPr>
        <w:jc w:val="both"/>
        <w:rPr>
          <w:rFonts w:asciiTheme="minorHAnsi" w:hAnsiTheme="minorHAnsi" w:cs="Arial"/>
          <w:sz w:val="22"/>
          <w:szCs w:val="22"/>
          <w:lang w:val="hr-HR"/>
        </w:rPr>
      </w:pPr>
      <w:r w:rsidRPr="001567C8">
        <w:rPr>
          <w:rFonts w:asciiTheme="minorHAnsi" w:hAnsiTheme="minorHAnsi" w:cs="Arial"/>
          <w:sz w:val="22"/>
          <w:szCs w:val="22"/>
          <w:lang w:val="hr-HR"/>
        </w:rPr>
        <w:t>Fer vrijednost obveznica izdanih od strane HBOR-a prezentira se korištenjem ulaznih podataka 2. razine u vidu tržišno potkrijepljenih podataka vidljivih na Bloomberg servisu, korištenjem „Bloomberg Generic prices“ (BGN) mid cijene.</w:t>
      </w:r>
    </w:p>
    <w:p w:rsidR="00F50C01" w:rsidRPr="001567C8" w:rsidRDefault="00F50C01" w:rsidP="009B2666">
      <w:pPr>
        <w:jc w:val="both"/>
        <w:rPr>
          <w:rFonts w:asciiTheme="minorHAnsi" w:hAnsiTheme="minorHAnsi" w:cs="Arial"/>
          <w:sz w:val="22"/>
          <w:szCs w:val="22"/>
          <w:lang w:val="hr-HR"/>
        </w:rPr>
      </w:pPr>
    </w:p>
    <w:p w:rsidR="00B15F01" w:rsidRPr="001567C8" w:rsidRDefault="00B15F01" w:rsidP="00361B04">
      <w:pPr>
        <w:pStyle w:val="T1"/>
        <w:spacing w:before="0" w:after="0" w:line="240" w:lineRule="auto"/>
        <w:rPr>
          <w:rFonts w:asciiTheme="minorHAnsi" w:hAnsiTheme="minorHAnsi" w:cs="Arial"/>
          <w:sz w:val="22"/>
          <w:szCs w:val="22"/>
          <w:lang w:val="hr-HR"/>
        </w:rPr>
        <w:sectPr w:rsidR="00B15F01" w:rsidRPr="001567C8" w:rsidSect="003E2D7A">
          <w:pgSz w:w="11907" w:h="16840" w:code="9"/>
          <w:pgMar w:top="1418" w:right="1134" w:bottom="1134" w:left="1418" w:header="851" w:footer="851" w:gutter="0"/>
          <w:cols w:space="720"/>
          <w:noEndnote/>
        </w:sectPr>
      </w:pPr>
    </w:p>
    <w:p w:rsidR="00C03F1F" w:rsidRPr="001567C8" w:rsidRDefault="00C03F1F" w:rsidP="00C03F1F">
      <w:pPr>
        <w:pStyle w:val="T1"/>
        <w:spacing w:before="0" w:after="0" w:line="240" w:lineRule="auto"/>
        <w:rPr>
          <w:rFonts w:asciiTheme="minorHAnsi" w:hAnsiTheme="minorHAnsi" w:cs="Arial"/>
          <w:sz w:val="22"/>
          <w:szCs w:val="22"/>
          <w:lang w:val="hr-HR"/>
        </w:rPr>
      </w:pPr>
    </w:p>
    <w:p w:rsidR="006D0890" w:rsidRPr="001567C8" w:rsidRDefault="00C9220F" w:rsidP="00C03F1F">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30</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t>Ostale obveze</w:t>
      </w:r>
    </w:p>
    <w:p w:rsidR="006D0890" w:rsidRPr="001567C8" w:rsidRDefault="006D0890">
      <w:pPr>
        <w:tabs>
          <w:tab w:val="left" w:pos="-1843"/>
        </w:tabs>
        <w:suppressAutoHyphens/>
        <w:rPr>
          <w:rFonts w:asciiTheme="minorHAnsi" w:hAnsiTheme="minorHAnsi" w:cs="Arial"/>
          <w:b/>
          <w:spacing w:val="-3"/>
          <w:sz w:val="22"/>
          <w:szCs w:val="22"/>
          <w:lang w:val="hr-HR"/>
        </w:rPr>
      </w:pPr>
    </w:p>
    <w:tbl>
      <w:tblPr>
        <w:tblW w:w="5000" w:type="pct"/>
        <w:tblLayout w:type="fixed"/>
        <w:tblCellMar>
          <w:left w:w="119" w:type="dxa"/>
          <w:right w:w="119" w:type="dxa"/>
        </w:tblCellMar>
        <w:tblLook w:val="0000" w:firstRow="0" w:lastRow="0" w:firstColumn="0" w:lastColumn="0" w:noHBand="0" w:noVBand="0"/>
      </w:tblPr>
      <w:tblGrid>
        <w:gridCol w:w="3968"/>
        <w:gridCol w:w="1345"/>
        <w:gridCol w:w="1342"/>
        <w:gridCol w:w="6"/>
        <w:gridCol w:w="1345"/>
        <w:gridCol w:w="1336"/>
        <w:gridCol w:w="13"/>
      </w:tblGrid>
      <w:tr w:rsidR="00703DB6" w:rsidRPr="001567C8" w:rsidTr="00895E4F">
        <w:trPr>
          <w:gridAfter w:val="1"/>
          <w:wAfter w:w="7" w:type="pct"/>
        </w:trPr>
        <w:tc>
          <w:tcPr>
            <w:tcW w:w="2121" w:type="pct"/>
          </w:tcPr>
          <w:p w:rsidR="00703DB6" w:rsidRPr="001567C8" w:rsidRDefault="00703DB6">
            <w:pPr>
              <w:tabs>
                <w:tab w:val="left" w:pos="-1843"/>
              </w:tabs>
              <w:suppressAutoHyphens/>
              <w:rPr>
                <w:rFonts w:asciiTheme="minorHAnsi" w:hAnsiTheme="minorHAnsi" w:cs="Arial"/>
                <w:spacing w:val="-2"/>
                <w:sz w:val="22"/>
                <w:szCs w:val="22"/>
                <w:lang w:val="hr-HR"/>
              </w:rPr>
            </w:pPr>
          </w:p>
        </w:tc>
        <w:tc>
          <w:tcPr>
            <w:tcW w:w="1436" w:type="pct"/>
            <w:gridSpan w:val="2"/>
          </w:tcPr>
          <w:p w:rsidR="00703DB6" w:rsidRPr="001567C8" w:rsidRDefault="00703DB6" w:rsidP="009C21BC">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436" w:type="pct"/>
            <w:gridSpan w:val="3"/>
          </w:tcPr>
          <w:p w:rsidR="00703DB6" w:rsidRPr="001567C8" w:rsidRDefault="00703DB6" w:rsidP="009C21BC">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FC53FE" w:rsidRPr="001567C8" w:rsidTr="003C6BA3">
        <w:trPr>
          <w:trHeight w:val="730"/>
        </w:trPr>
        <w:tc>
          <w:tcPr>
            <w:tcW w:w="2121" w:type="pct"/>
          </w:tcPr>
          <w:p w:rsidR="00FC53FE" w:rsidRPr="001567C8" w:rsidRDefault="00FC53FE" w:rsidP="00FC53FE">
            <w:pPr>
              <w:tabs>
                <w:tab w:val="left" w:pos="-1843"/>
              </w:tabs>
              <w:suppressAutoHyphens/>
              <w:rPr>
                <w:rFonts w:asciiTheme="minorHAnsi" w:hAnsiTheme="minorHAnsi" w:cs="Arial"/>
                <w:spacing w:val="-2"/>
                <w:sz w:val="22"/>
                <w:szCs w:val="22"/>
                <w:lang w:val="hr-HR"/>
              </w:rPr>
            </w:pPr>
          </w:p>
        </w:tc>
        <w:tc>
          <w:tcPr>
            <w:tcW w:w="719" w:type="pct"/>
            <w:vAlign w:val="center"/>
          </w:tcPr>
          <w:p w:rsidR="00FC53F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FC53FE" w:rsidRPr="001567C8">
              <w:rPr>
                <w:rFonts w:asciiTheme="minorHAnsi" w:hAnsiTheme="minorHAnsi" w:cs="Arial"/>
                <w:sz w:val="22"/>
                <w:szCs w:val="22"/>
                <w:lang w:val="hr-HR"/>
              </w:rPr>
              <w:t>2018.</w:t>
            </w:r>
          </w:p>
        </w:tc>
        <w:tc>
          <w:tcPr>
            <w:tcW w:w="720" w:type="pct"/>
            <w:gridSpan w:val="2"/>
            <w:vAlign w:val="center"/>
          </w:tcPr>
          <w:p w:rsidR="00FC53F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FC53FE" w:rsidRPr="001567C8">
              <w:rPr>
                <w:rFonts w:asciiTheme="minorHAnsi" w:hAnsiTheme="minorHAnsi" w:cs="Arial"/>
                <w:sz w:val="22"/>
                <w:szCs w:val="22"/>
                <w:lang w:val="hr-HR"/>
              </w:rPr>
              <w:t>2017.</w:t>
            </w:r>
          </w:p>
        </w:tc>
        <w:tc>
          <w:tcPr>
            <w:tcW w:w="719" w:type="pct"/>
            <w:vAlign w:val="center"/>
          </w:tcPr>
          <w:p w:rsidR="00FC53F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FC53FE" w:rsidRPr="001567C8">
              <w:rPr>
                <w:rFonts w:asciiTheme="minorHAnsi" w:hAnsiTheme="minorHAnsi" w:cs="Arial"/>
                <w:sz w:val="22"/>
                <w:szCs w:val="22"/>
                <w:lang w:val="hr-HR"/>
              </w:rPr>
              <w:t>2018.</w:t>
            </w:r>
          </w:p>
        </w:tc>
        <w:tc>
          <w:tcPr>
            <w:tcW w:w="721" w:type="pct"/>
            <w:gridSpan w:val="2"/>
            <w:vAlign w:val="center"/>
          </w:tcPr>
          <w:p w:rsidR="00FC53FE" w:rsidRPr="001567C8" w:rsidRDefault="002F1F55">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 xml:space="preserve">31. prosinca </w:t>
            </w:r>
            <w:r w:rsidR="00FC53FE" w:rsidRPr="001567C8">
              <w:rPr>
                <w:rFonts w:asciiTheme="minorHAnsi" w:hAnsiTheme="minorHAnsi" w:cs="Arial"/>
                <w:sz w:val="22"/>
                <w:szCs w:val="22"/>
                <w:lang w:val="hr-HR"/>
              </w:rPr>
              <w:t>2017.</w:t>
            </w:r>
          </w:p>
        </w:tc>
      </w:tr>
      <w:tr w:rsidR="00FC53FE" w:rsidRPr="001567C8" w:rsidTr="00DF2F86">
        <w:tc>
          <w:tcPr>
            <w:tcW w:w="2121" w:type="pct"/>
          </w:tcPr>
          <w:p w:rsidR="00FC53FE" w:rsidRPr="001567C8" w:rsidRDefault="00FC53FE" w:rsidP="00FC53FE">
            <w:pPr>
              <w:tabs>
                <w:tab w:val="left" w:pos="-1843"/>
              </w:tabs>
              <w:suppressAutoHyphens/>
              <w:rPr>
                <w:rFonts w:asciiTheme="minorHAnsi" w:hAnsiTheme="minorHAnsi" w:cs="Arial"/>
                <w:spacing w:val="-2"/>
                <w:sz w:val="22"/>
                <w:szCs w:val="22"/>
                <w:lang w:val="hr-HR"/>
              </w:rPr>
            </w:pPr>
          </w:p>
        </w:tc>
        <w:tc>
          <w:tcPr>
            <w:tcW w:w="719" w:type="pct"/>
          </w:tcPr>
          <w:p w:rsidR="00FC53FE" w:rsidRPr="001567C8" w:rsidRDefault="00FC53FE" w:rsidP="00FC53F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20" w:type="pct"/>
            <w:gridSpan w:val="2"/>
          </w:tcPr>
          <w:p w:rsidR="00FC53FE" w:rsidRPr="001567C8" w:rsidRDefault="00FC53FE" w:rsidP="00FC53F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19" w:type="pct"/>
          </w:tcPr>
          <w:p w:rsidR="00FC53FE" w:rsidRPr="001567C8" w:rsidRDefault="00FC53FE" w:rsidP="00FC53F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721" w:type="pct"/>
            <w:gridSpan w:val="2"/>
          </w:tcPr>
          <w:p w:rsidR="00FC53FE" w:rsidRPr="001567C8" w:rsidRDefault="00FC53FE" w:rsidP="00FC53FE">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FC53FE" w:rsidRPr="001567C8" w:rsidTr="00DF2F86">
        <w:trPr>
          <w:trHeight w:val="287"/>
        </w:trPr>
        <w:tc>
          <w:tcPr>
            <w:tcW w:w="2121" w:type="pct"/>
          </w:tcPr>
          <w:p w:rsidR="00FC53FE" w:rsidRPr="001567C8" w:rsidRDefault="00FC53FE" w:rsidP="00FC53FE">
            <w:pPr>
              <w:tabs>
                <w:tab w:val="left" w:pos="-1843"/>
              </w:tabs>
              <w:suppressAutoHyphens/>
              <w:rPr>
                <w:rFonts w:asciiTheme="minorHAnsi" w:hAnsiTheme="minorHAnsi" w:cs="Arial"/>
                <w:spacing w:val="-2"/>
                <w:sz w:val="22"/>
                <w:szCs w:val="22"/>
                <w:lang w:val="hr-HR"/>
              </w:rPr>
            </w:pPr>
          </w:p>
        </w:tc>
        <w:tc>
          <w:tcPr>
            <w:tcW w:w="719" w:type="pct"/>
          </w:tcPr>
          <w:p w:rsidR="00FC53FE" w:rsidRPr="001567C8" w:rsidRDefault="00FC53FE" w:rsidP="00FC53FE">
            <w:pPr>
              <w:pStyle w:val="TH"/>
              <w:jc w:val="right"/>
              <w:rPr>
                <w:rFonts w:asciiTheme="minorHAnsi" w:hAnsiTheme="minorHAnsi" w:cs="Arial"/>
                <w:b w:val="0"/>
                <w:bCs/>
                <w:sz w:val="22"/>
                <w:szCs w:val="22"/>
                <w:lang w:val="hr-HR"/>
              </w:rPr>
            </w:pPr>
          </w:p>
        </w:tc>
        <w:tc>
          <w:tcPr>
            <w:tcW w:w="720" w:type="pct"/>
            <w:gridSpan w:val="2"/>
          </w:tcPr>
          <w:p w:rsidR="00FC53FE" w:rsidRPr="001567C8" w:rsidRDefault="00FC53FE" w:rsidP="00FC53FE">
            <w:pPr>
              <w:pStyle w:val="TH"/>
              <w:jc w:val="right"/>
              <w:rPr>
                <w:rFonts w:asciiTheme="minorHAnsi" w:hAnsiTheme="minorHAnsi" w:cs="Arial"/>
                <w:b w:val="0"/>
                <w:bCs/>
                <w:sz w:val="22"/>
                <w:szCs w:val="22"/>
                <w:lang w:val="hr-HR"/>
              </w:rPr>
            </w:pPr>
          </w:p>
        </w:tc>
        <w:tc>
          <w:tcPr>
            <w:tcW w:w="719" w:type="pct"/>
            <w:vAlign w:val="bottom"/>
          </w:tcPr>
          <w:p w:rsidR="00FC53FE" w:rsidRPr="001567C8" w:rsidRDefault="00FC53FE" w:rsidP="00FC53FE">
            <w:pPr>
              <w:pStyle w:val="TH"/>
              <w:jc w:val="right"/>
              <w:rPr>
                <w:rFonts w:asciiTheme="minorHAnsi" w:hAnsiTheme="minorHAnsi" w:cs="Arial"/>
                <w:b w:val="0"/>
                <w:bCs/>
                <w:sz w:val="22"/>
                <w:szCs w:val="22"/>
                <w:lang w:val="hr-HR"/>
              </w:rPr>
            </w:pPr>
          </w:p>
        </w:tc>
        <w:tc>
          <w:tcPr>
            <w:tcW w:w="721" w:type="pct"/>
            <w:gridSpan w:val="2"/>
            <w:vAlign w:val="bottom"/>
          </w:tcPr>
          <w:p w:rsidR="00FC53FE" w:rsidRPr="001567C8" w:rsidRDefault="00FC53FE" w:rsidP="00FC53FE">
            <w:pPr>
              <w:pStyle w:val="TH"/>
              <w:jc w:val="right"/>
              <w:rPr>
                <w:rFonts w:asciiTheme="minorHAnsi" w:hAnsiTheme="minorHAnsi" w:cs="Arial"/>
                <w:b w:val="0"/>
                <w:bCs/>
                <w:sz w:val="22"/>
                <w:szCs w:val="22"/>
                <w:lang w:val="hr-HR"/>
              </w:rPr>
            </w:pPr>
          </w:p>
        </w:tc>
      </w:tr>
      <w:tr w:rsidR="00FC53FE" w:rsidRPr="001567C8" w:rsidTr="00361B04">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Odgođeno priznavanje kamatnih prihoda</w:t>
            </w:r>
          </w:p>
        </w:tc>
        <w:tc>
          <w:tcPr>
            <w:tcW w:w="719" w:type="pct"/>
            <w:tcBorders>
              <w:top w:val="nil"/>
              <w:left w:val="nil"/>
              <w:bottom w:val="nil"/>
              <w:right w:val="nil"/>
            </w:tcBorders>
            <w:shd w:val="clear" w:color="auto" w:fill="auto"/>
            <w:vAlign w:val="bottom"/>
          </w:tcPr>
          <w:p w:rsidR="00FC53FE" w:rsidRPr="001567C8" w:rsidRDefault="00EF2027" w:rsidP="00FC53FE">
            <w:pPr>
              <w:jc w:val="right"/>
              <w:rPr>
                <w:rFonts w:asciiTheme="minorHAnsi" w:eastAsia="Arial Unicode MS" w:hAnsiTheme="minorHAnsi" w:cs="Arial"/>
                <w:sz w:val="22"/>
                <w:szCs w:val="22"/>
                <w:lang w:val="hr-HR"/>
              </w:rPr>
            </w:pPr>
            <w:r w:rsidRPr="001567C8">
              <w:rPr>
                <w:rFonts w:asciiTheme="minorHAnsi" w:eastAsia="Arial Unicode MS" w:hAnsiTheme="minorHAnsi" w:cs="Arial"/>
                <w:sz w:val="22"/>
                <w:szCs w:val="22"/>
                <w:lang w:val="hr-HR"/>
              </w:rPr>
              <w:t>226.064</w:t>
            </w:r>
          </w:p>
        </w:tc>
        <w:tc>
          <w:tcPr>
            <w:tcW w:w="720" w:type="pct"/>
            <w:gridSpan w:val="2"/>
            <w:tcBorders>
              <w:top w:val="nil"/>
              <w:left w:val="nil"/>
              <w:bottom w:val="nil"/>
              <w:right w:val="nil"/>
            </w:tcBorders>
            <w:shd w:val="clear" w:color="auto" w:fill="auto"/>
            <w:vAlign w:val="bottom"/>
          </w:tcPr>
          <w:p w:rsidR="00FC53FE" w:rsidRPr="001567C8" w:rsidRDefault="00FC53FE" w:rsidP="00FC53FE">
            <w:pPr>
              <w:jc w:val="right"/>
              <w:rPr>
                <w:rFonts w:asciiTheme="minorHAnsi" w:eastAsia="Arial Unicode MS" w:hAnsiTheme="minorHAnsi" w:cs="Arial"/>
                <w:sz w:val="22"/>
                <w:szCs w:val="22"/>
                <w:lang w:val="hr-HR"/>
              </w:rPr>
            </w:pPr>
            <w:r w:rsidRPr="00CD3A2D">
              <w:rPr>
                <w:rFonts w:ascii="Calibri" w:hAnsi="Calibri"/>
                <w:color w:val="000000"/>
                <w:sz w:val="22"/>
                <w:szCs w:val="22"/>
                <w:lang w:val="hr-HR"/>
              </w:rPr>
              <w:t>314.271</w:t>
            </w:r>
          </w:p>
        </w:tc>
        <w:tc>
          <w:tcPr>
            <w:tcW w:w="719" w:type="pct"/>
            <w:tcBorders>
              <w:top w:val="nil"/>
              <w:left w:val="nil"/>
              <w:bottom w:val="nil"/>
              <w:right w:val="nil"/>
            </w:tcBorders>
            <w:shd w:val="clear" w:color="auto" w:fill="auto"/>
            <w:vAlign w:val="bottom"/>
          </w:tcPr>
          <w:p w:rsidR="00FC53FE" w:rsidRPr="001567C8" w:rsidRDefault="00DA180B" w:rsidP="00FC53FE">
            <w:pPr>
              <w:jc w:val="right"/>
              <w:rPr>
                <w:rFonts w:asciiTheme="minorHAnsi" w:eastAsia="Arial Unicode MS" w:hAnsiTheme="minorHAnsi" w:cs="Arial"/>
                <w:sz w:val="22"/>
                <w:szCs w:val="22"/>
                <w:lang w:val="hr-HR"/>
              </w:rPr>
            </w:pPr>
            <w:r w:rsidRPr="001567C8">
              <w:rPr>
                <w:rFonts w:asciiTheme="minorHAnsi" w:eastAsia="Arial Unicode MS" w:hAnsiTheme="minorHAnsi" w:cs="Arial"/>
                <w:sz w:val="22"/>
                <w:szCs w:val="22"/>
                <w:lang w:val="hr-HR"/>
              </w:rPr>
              <w:t>226.064</w:t>
            </w:r>
          </w:p>
        </w:tc>
        <w:tc>
          <w:tcPr>
            <w:tcW w:w="721" w:type="pct"/>
            <w:gridSpan w:val="2"/>
            <w:tcBorders>
              <w:top w:val="nil"/>
              <w:left w:val="nil"/>
              <w:bottom w:val="nil"/>
              <w:right w:val="nil"/>
            </w:tcBorders>
            <w:shd w:val="clear" w:color="auto" w:fill="auto"/>
            <w:vAlign w:val="bottom"/>
          </w:tcPr>
          <w:p w:rsidR="00FC53FE" w:rsidRPr="001567C8" w:rsidRDefault="00FC53FE" w:rsidP="00FC53FE">
            <w:pPr>
              <w:jc w:val="right"/>
              <w:rPr>
                <w:rFonts w:asciiTheme="minorHAnsi" w:eastAsia="Arial Unicode MS" w:hAnsiTheme="minorHAnsi" w:cs="Arial"/>
                <w:sz w:val="22"/>
                <w:szCs w:val="22"/>
                <w:lang w:val="hr-HR"/>
              </w:rPr>
            </w:pPr>
            <w:r w:rsidRPr="001567C8">
              <w:rPr>
                <w:rFonts w:asciiTheme="minorHAnsi" w:eastAsia="Arial Unicode MS" w:hAnsiTheme="minorHAnsi" w:cs="Arial"/>
                <w:sz w:val="22"/>
                <w:szCs w:val="22"/>
                <w:lang w:val="hr-HR"/>
              </w:rPr>
              <w:t>314.271</w:t>
            </w:r>
          </w:p>
        </w:tc>
      </w:tr>
      <w:tr w:rsidR="00FC53FE" w:rsidRPr="001567C8" w:rsidTr="00361B04">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 xml:space="preserve">Obveze za subvencioniranje kamatne stope </w:t>
            </w:r>
          </w:p>
        </w:tc>
        <w:tc>
          <w:tcPr>
            <w:tcW w:w="719" w:type="pct"/>
            <w:tcBorders>
              <w:top w:val="nil"/>
              <w:left w:val="nil"/>
              <w:bottom w:val="nil"/>
              <w:right w:val="nil"/>
            </w:tcBorders>
            <w:shd w:val="clear" w:color="auto" w:fill="auto"/>
            <w:vAlign w:val="bottom"/>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120.726</w:t>
            </w:r>
          </w:p>
        </w:tc>
        <w:tc>
          <w:tcPr>
            <w:tcW w:w="720"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107.262</w:t>
            </w:r>
          </w:p>
        </w:tc>
        <w:tc>
          <w:tcPr>
            <w:tcW w:w="719" w:type="pct"/>
            <w:tcBorders>
              <w:top w:val="nil"/>
              <w:left w:val="nil"/>
              <w:bottom w:val="nil"/>
              <w:right w:val="nil"/>
            </w:tcBorders>
            <w:shd w:val="clear" w:color="auto" w:fill="auto"/>
            <w:vAlign w:val="bottom"/>
          </w:tcPr>
          <w:p w:rsidR="00FC53FE" w:rsidRPr="001567C8" w:rsidRDefault="00DA180B"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120.726</w:t>
            </w:r>
          </w:p>
        </w:tc>
        <w:tc>
          <w:tcPr>
            <w:tcW w:w="721"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107.262</w:t>
            </w:r>
          </w:p>
        </w:tc>
      </w:tr>
      <w:tr w:rsidR="00FC53FE" w:rsidRPr="001567C8" w:rsidTr="00361B04">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Rezerviranja za garancije i preuzete obveze</w:t>
            </w:r>
          </w:p>
        </w:tc>
        <w:tc>
          <w:tcPr>
            <w:tcW w:w="719" w:type="pct"/>
            <w:tcBorders>
              <w:top w:val="nil"/>
              <w:left w:val="nil"/>
              <w:bottom w:val="nil"/>
              <w:right w:val="nil"/>
            </w:tcBorders>
            <w:shd w:val="clear" w:color="auto" w:fill="auto"/>
            <w:vAlign w:val="bottom"/>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261.283</w:t>
            </w:r>
          </w:p>
        </w:tc>
        <w:tc>
          <w:tcPr>
            <w:tcW w:w="720"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64.360</w:t>
            </w:r>
          </w:p>
        </w:tc>
        <w:tc>
          <w:tcPr>
            <w:tcW w:w="719" w:type="pct"/>
            <w:tcBorders>
              <w:top w:val="nil"/>
              <w:left w:val="nil"/>
              <w:bottom w:val="nil"/>
              <w:right w:val="nil"/>
            </w:tcBorders>
            <w:shd w:val="clear" w:color="auto" w:fill="auto"/>
            <w:vAlign w:val="bottom"/>
          </w:tcPr>
          <w:p w:rsidR="00FC53FE" w:rsidRPr="001567C8" w:rsidRDefault="00DA180B"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261.283</w:t>
            </w:r>
          </w:p>
        </w:tc>
        <w:tc>
          <w:tcPr>
            <w:tcW w:w="721"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64.360</w:t>
            </w:r>
          </w:p>
        </w:tc>
      </w:tr>
      <w:tr w:rsidR="00FC53FE" w:rsidRPr="001567C8" w:rsidTr="00D015B1">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Rezerviranja za ostale obveze</w:t>
            </w:r>
          </w:p>
        </w:tc>
        <w:tc>
          <w:tcPr>
            <w:tcW w:w="719" w:type="pct"/>
            <w:tcBorders>
              <w:top w:val="nil"/>
              <w:left w:val="nil"/>
              <w:bottom w:val="nil"/>
              <w:right w:val="nil"/>
            </w:tcBorders>
            <w:shd w:val="clear" w:color="auto" w:fill="auto"/>
            <w:vAlign w:val="center"/>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60.208</w:t>
            </w:r>
          </w:p>
        </w:tc>
        <w:tc>
          <w:tcPr>
            <w:tcW w:w="720"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76.980</w:t>
            </w:r>
          </w:p>
        </w:tc>
        <w:tc>
          <w:tcPr>
            <w:tcW w:w="719" w:type="pct"/>
            <w:tcBorders>
              <w:top w:val="nil"/>
              <w:left w:val="nil"/>
              <w:bottom w:val="nil"/>
              <w:right w:val="nil"/>
            </w:tcBorders>
            <w:shd w:val="clear" w:color="auto" w:fill="auto"/>
            <w:vAlign w:val="center"/>
          </w:tcPr>
          <w:p w:rsidR="00FC53FE" w:rsidRPr="001567C8" w:rsidRDefault="00DA180B"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60.078</w:t>
            </w:r>
          </w:p>
        </w:tc>
        <w:tc>
          <w:tcPr>
            <w:tcW w:w="721"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76.723</w:t>
            </w:r>
          </w:p>
        </w:tc>
      </w:tr>
      <w:tr w:rsidR="00FC53FE" w:rsidRPr="001567C8" w:rsidTr="00D015B1">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Obveze za isplatu plaća i naknada</w:t>
            </w:r>
          </w:p>
        </w:tc>
        <w:tc>
          <w:tcPr>
            <w:tcW w:w="719" w:type="pct"/>
            <w:tcBorders>
              <w:top w:val="nil"/>
              <w:left w:val="nil"/>
              <w:bottom w:val="nil"/>
              <w:right w:val="nil"/>
            </w:tcBorders>
            <w:shd w:val="clear" w:color="auto" w:fill="auto"/>
            <w:vAlign w:val="center"/>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7.405</w:t>
            </w:r>
          </w:p>
        </w:tc>
        <w:tc>
          <w:tcPr>
            <w:tcW w:w="720"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6.997</w:t>
            </w:r>
          </w:p>
        </w:tc>
        <w:tc>
          <w:tcPr>
            <w:tcW w:w="719" w:type="pct"/>
            <w:tcBorders>
              <w:top w:val="nil"/>
              <w:left w:val="nil"/>
              <w:bottom w:val="nil"/>
              <w:right w:val="nil"/>
            </w:tcBorders>
            <w:shd w:val="clear" w:color="auto" w:fill="auto"/>
            <w:vAlign w:val="center"/>
          </w:tcPr>
          <w:p w:rsidR="00FC53FE" w:rsidRPr="001567C8" w:rsidRDefault="00DA180B"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7.218</w:t>
            </w:r>
          </w:p>
        </w:tc>
        <w:tc>
          <w:tcPr>
            <w:tcW w:w="721"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6.660</w:t>
            </w:r>
          </w:p>
        </w:tc>
      </w:tr>
      <w:tr w:rsidR="00FC53FE" w:rsidRPr="001567C8" w:rsidTr="00D015B1">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Obveze prema dobavljačima</w:t>
            </w:r>
          </w:p>
        </w:tc>
        <w:tc>
          <w:tcPr>
            <w:tcW w:w="719" w:type="pct"/>
            <w:tcBorders>
              <w:top w:val="nil"/>
              <w:left w:val="nil"/>
              <w:bottom w:val="nil"/>
              <w:right w:val="nil"/>
            </w:tcBorders>
            <w:shd w:val="clear" w:color="auto" w:fill="auto"/>
            <w:vAlign w:val="center"/>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2.766</w:t>
            </w:r>
          </w:p>
        </w:tc>
        <w:tc>
          <w:tcPr>
            <w:tcW w:w="720"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1.393</w:t>
            </w:r>
          </w:p>
        </w:tc>
        <w:tc>
          <w:tcPr>
            <w:tcW w:w="719" w:type="pct"/>
            <w:tcBorders>
              <w:top w:val="nil"/>
              <w:left w:val="nil"/>
              <w:bottom w:val="nil"/>
              <w:right w:val="nil"/>
            </w:tcBorders>
            <w:shd w:val="clear" w:color="auto" w:fill="auto"/>
            <w:vAlign w:val="center"/>
          </w:tcPr>
          <w:p w:rsidR="00FC53FE" w:rsidRPr="001567C8" w:rsidRDefault="00DA180B"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2.662</w:t>
            </w:r>
          </w:p>
        </w:tc>
        <w:tc>
          <w:tcPr>
            <w:tcW w:w="721"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s="Calibri"/>
                <w:color w:val="000000"/>
                <w:sz w:val="22"/>
                <w:szCs w:val="22"/>
                <w:lang w:val="hr-HR"/>
              </w:rPr>
              <w:t>1.261</w:t>
            </w:r>
          </w:p>
        </w:tc>
      </w:tr>
      <w:tr w:rsidR="00FC53FE" w:rsidRPr="001567C8" w:rsidTr="00361B04">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Obveze po više naplaćenim potraživanjima</w:t>
            </w:r>
          </w:p>
        </w:tc>
        <w:tc>
          <w:tcPr>
            <w:tcW w:w="719" w:type="pct"/>
            <w:tcBorders>
              <w:top w:val="nil"/>
              <w:left w:val="nil"/>
              <w:bottom w:val="nil"/>
              <w:right w:val="nil"/>
            </w:tcBorders>
            <w:shd w:val="clear" w:color="auto" w:fill="auto"/>
            <w:vAlign w:val="bottom"/>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2.378</w:t>
            </w:r>
          </w:p>
        </w:tc>
        <w:tc>
          <w:tcPr>
            <w:tcW w:w="720"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2.759</w:t>
            </w:r>
          </w:p>
        </w:tc>
        <w:tc>
          <w:tcPr>
            <w:tcW w:w="719" w:type="pct"/>
            <w:tcBorders>
              <w:top w:val="nil"/>
              <w:left w:val="nil"/>
              <w:bottom w:val="nil"/>
              <w:right w:val="nil"/>
            </w:tcBorders>
            <w:shd w:val="clear" w:color="auto" w:fill="auto"/>
            <w:vAlign w:val="bottom"/>
          </w:tcPr>
          <w:p w:rsidR="00FC53FE" w:rsidRPr="001567C8" w:rsidRDefault="00DA180B"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2.378</w:t>
            </w:r>
          </w:p>
        </w:tc>
        <w:tc>
          <w:tcPr>
            <w:tcW w:w="721"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2.759</w:t>
            </w:r>
          </w:p>
        </w:tc>
      </w:tr>
      <w:tr w:rsidR="00FC53FE" w:rsidRPr="001567C8" w:rsidTr="00D015B1">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Prijenosne premije</w:t>
            </w:r>
          </w:p>
        </w:tc>
        <w:tc>
          <w:tcPr>
            <w:tcW w:w="719" w:type="pct"/>
            <w:tcBorders>
              <w:top w:val="nil"/>
              <w:left w:val="nil"/>
              <w:bottom w:val="nil"/>
              <w:right w:val="nil"/>
            </w:tcBorders>
            <w:shd w:val="clear" w:color="auto" w:fill="auto"/>
            <w:vAlign w:val="center"/>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2.880</w:t>
            </w:r>
          </w:p>
        </w:tc>
        <w:tc>
          <w:tcPr>
            <w:tcW w:w="720"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2.925</w:t>
            </w:r>
          </w:p>
        </w:tc>
        <w:tc>
          <w:tcPr>
            <w:tcW w:w="719" w:type="pct"/>
            <w:tcBorders>
              <w:top w:val="nil"/>
              <w:left w:val="nil"/>
              <w:bottom w:val="nil"/>
              <w:right w:val="nil"/>
            </w:tcBorders>
            <w:shd w:val="clear" w:color="auto" w:fill="auto"/>
            <w:vAlign w:val="bottom"/>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c>
          <w:tcPr>
            <w:tcW w:w="721"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FC53FE" w:rsidRPr="001567C8" w:rsidTr="00D015B1">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Pričuve šteta</w:t>
            </w:r>
          </w:p>
        </w:tc>
        <w:tc>
          <w:tcPr>
            <w:tcW w:w="719" w:type="pct"/>
            <w:tcBorders>
              <w:top w:val="nil"/>
              <w:left w:val="nil"/>
              <w:bottom w:val="nil"/>
              <w:right w:val="nil"/>
            </w:tcBorders>
            <w:shd w:val="clear" w:color="auto" w:fill="auto"/>
            <w:vAlign w:val="center"/>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4.527</w:t>
            </w:r>
          </w:p>
        </w:tc>
        <w:tc>
          <w:tcPr>
            <w:tcW w:w="720"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5.235</w:t>
            </w:r>
          </w:p>
        </w:tc>
        <w:tc>
          <w:tcPr>
            <w:tcW w:w="719" w:type="pct"/>
            <w:tcBorders>
              <w:top w:val="nil"/>
              <w:left w:val="nil"/>
              <w:bottom w:val="nil"/>
              <w:right w:val="nil"/>
            </w:tcBorders>
            <w:shd w:val="clear" w:color="auto" w:fill="auto"/>
            <w:vAlign w:val="bottom"/>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c>
          <w:tcPr>
            <w:tcW w:w="721"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FC53FE" w:rsidRPr="001567C8" w:rsidTr="00D015B1">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Pričuve za povratne premije</w:t>
            </w:r>
          </w:p>
        </w:tc>
        <w:tc>
          <w:tcPr>
            <w:tcW w:w="719" w:type="pct"/>
            <w:tcBorders>
              <w:top w:val="nil"/>
              <w:left w:val="nil"/>
              <w:bottom w:val="nil"/>
              <w:right w:val="nil"/>
            </w:tcBorders>
            <w:shd w:val="clear" w:color="auto" w:fill="auto"/>
            <w:vAlign w:val="center"/>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791</w:t>
            </w:r>
          </w:p>
        </w:tc>
        <w:tc>
          <w:tcPr>
            <w:tcW w:w="720"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642</w:t>
            </w:r>
          </w:p>
        </w:tc>
        <w:tc>
          <w:tcPr>
            <w:tcW w:w="719" w:type="pct"/>
            <w:tcBorders>
              <w:top w:val="nil"/>
              <w:left w:val="nil"/>
              <w:bottom w:val="nil"/>
              <w:right w:val="nil"/>
            </w:tcBorders>
            <w:shd w:val="clear" w:color="auto" w:fill="auto"/>
            <w:vAlign w:val="bottom"/>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c>
          <w:tcPr>
            <w:tcW w:w="721"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FC53FE" w:rsidRPr="001567C8" w:rsidTr="00D015B1">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Obveze prema reosiguravateljima</w:t>
            </w:r>
          </w:p>
        </w:tc>
        <w:tc>
          <w:tcPr>
            <w:tcW w:w="719" w:type="pct"/>
            <w:tcBorders>
              <w:top w:val="nil"/>
              <w:left w:val="nil"/>
              <w:bottom w:val="nil"/>
              <w:right w:val="nil"/>
            </w:tcBorders>
            <w:shd w:val="clear" w:color="auto" w:fill="auto"/>
            <w:vAlign w:val="center"/>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2.407</w:t>
            </w:r>
          </w:p>
        </w:tc>
        <w:tc>
          <w:tcPr>
            <w:tcW w:w="720"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1.165</w:t>
            </w:r>
          </w:p>
        </w:tc>
        <w:tc>
          <w:tcPr>
            <w:tcW w:w="719" w:type="pct"/>
            <w:tcBorders>
              <w:top w:val="nil"/>
              <w:left w:val="nil"/>
              <w:bottom w:val="nil"/>
              <w:right w:val="nil"/>
            </w:tcBorders>
            <w:shd w:val="clear" w:color="auto" w:fill="auto"/>
            <w:vAlign w:val="bottom"/>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c>
          <w:tcPr>
            <w:tcW w:w="721"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FC53FE" w:rsidRPr="001567C8" w:rsidTr="00D015B1">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Odgođena porezna obveza</w:t>
            </w:r>
          </w:p>
        </w:tc>
        <w:tc>
          <w:tcPr>
            <w:tcW w:w="719" w:type="pct"/>
            <w:tcBorders>
              <w:top w:val="nil"/>
              <w:left w:val="nil"/>
              <w:bottom w:val="nil"/>
              <w:right w:val="nil"/>
            </w:tcBorders>
            <w:shd w:val="clear" w:color="auto" w:fill="auto"/>
            <w:vAlign w:val="center"/>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669</w:t>
            </w:r>
          </w:p>
        </w:tc>
        <w:tc>
          <w:tcPr>
            <w:tcW w:w="720" w:type="pct"/>
            <w:gridSpan w:val="2"/>
            <w:tcBorders>
              <w:top w:val="nil"/>
              <w:left w:val="nil"/>
              <w:bottom w:val="nil"/>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sz w:val="22"/>
                <w:szCs w:val="22"/>
                <w:lang w:val="hr-HR"/>
              </w:rPr>
              <w:t>889</w:t>
            </w:r>
          </w:p>
        </w:tc>
        <w:tc>
          <w:tcPr>
            <w:tcW w:w="719" w:type="pct"/>
            <w:tcBorders>
              <w:top w:val="nil"/>
              <w:left w:val="nil"/>
              <w:bottom w:val="nil"/>
              <w:right w:val="nil"/>
            </w:tcBorders>
            <w:shd w:val="clear" w:color="auto" w:fill="auto"/>
            <w:vAlign w:val="bottom"/>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c>
          <w:tcPr>
            <w:tcW w:w="721" w:type="pct"/>
            <w:gridSpan w:val="2"/>
            <w:tcBorders>
              <w:top w:val="nil"/>
              <w:left w:val="nil"/>
              <w:bottom w:val="nil"/>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w:t>
            </w:r>
          </w:p>
        </w:tc>
      </w:tr>
      <w:tr w:rsidR="00FC53FE" w:rsidRPr="001567C8" w:rsidTr="00FC53FE">
        <w:tc>
          <w:tcPr>
            <w:tcW w:w="2121" w:type="pct"/>
          </w:tcPr>
          <w:p w:rsidR="00FC53FE" w:rsidRPr="001567C8" w:rsidRDefault="00FC53FE" w:rsidP="00FC53FE">
            <w:pPr>
              <w:pStyle w:val="TT"/>
              <w:rPr>
                <w:rFonts w:asciiTheme="minorHAnsi" w:hAnsiTheme="minorHAnsi" w:cs="Arial"/>
                <w:sz w:val="22"/>
                <w:szCs w:val="22"/>
                <w:lang w:val="hr-HR"/>
              </w:rPr>
            </w:pPr>
            <w:r w:rsidRPr="001567C8">
              <w:rPr>
                <w:rFonts w:asciiTheme="minorHAnsi" w:hAnsiTheme="minorHAnsi" w:cs="Arial"/>
                <w:sz w:val="22"/>
                <w:szCs w:val="22"/>
                <w:lang w:val="hr-HR"/>
              </w:rPr>
              <w:t>Ostale obveze</w:t>
            </w:r>
          </w:p>
        </w:tc>
        <w:tc>
          <w:tcPr>
            <w:tcW w:w="719" w:type="pct"/>
            <w:tcBorders>
              <w:top w:val="nil"/>
              <w:left w:val="nil"/>
              <w:bottom w:val="single" w:sz="4" w:space="0" w:color="auto"/>
              <w:right w:val="nil"/>
            </w:tcBorders>
            <w:shd w:val="clear" w:color="auto" w:fill="auto"/>
            <w:vAlign w:val="center"/>
          </w:tcPr>
          <w:p w:rsidR="00FC53FE" w:rsidRPr="001567C8" w:rsidRDefault="00EF2027"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8.130</w:t>
            </w:r>
          </w:p>
        </w:tc>
        <w:tc>
          <w:tcPr>
            <w:tcW w:w="720" w:type="pct"/>
            <w:gridSpan w:val="2"/>
            <w:tcBorders>
              <w:top w:val="nil"/>
              <w:left w:val="nil"/>
              <w:bottom w:val="single" w:sz="4" w:space="0" w:color="auto"/>
              <w:right w:val="nil"/>
            </w:tcBorders>
            <w:shd w:val="clear" w:color="auto" w:fill="auto"/>
            <w:vAlign w:val="center"/>
          </w:tcPr>
          <w:p w:rsidR="00FC53FE" w:rsidRPr="001567C8" w:rsidRDefault="00FC53FE" w:rsidP="00FC53FE">
            <w:pPr>
              <w:pStyle w:val="TT"/>
              <w:jc w:val="right"/>
              <w:rPr>
                <w:rFonts w:asciiTheme="minorHAnsi" w:hAnsiTheme="minorHAnsi" w:cs="Arial"/>
                <w:sz w:val="22"/>
                <w:szCs w:val="22"/>
                <w:lang w:val="hr-HR"/>
              </w:rPr>
            </w:pPr>
            <w:r w:rsidRPr="00CD3A2D">
              <w:rPr>
                <w:rFonts w:ascii="Calibri" w:hAnsi="Calibri"/>
                <w:color w:val="000000"/>
                <w:sz w:val="22"/>
                <w:szCs w:val="22"/>
                <w:lang w:val="hr-HR"/>
              </w:rPr>
              <w:t>20.575</w:t>
            </w:r>
          </w:p>
        </w:tc>
        <w:tc>
          <w:tcPr>
            <w:tcW w:w="719" w:type="pct"/>
            <w:tcBorders>
              <w:top w:val="nil"/>
              <w:left w:val="nil"/>
              <w:bottom w:val="single" w:sz="4" w:space="0" w:color="auto"/>
              <w:right w:val="nil"/>
            </w:tcBorders>
            <w:shd w:val="clear" w:color="auto" w:fill="auto"/>
            <w:vAlign w:val="bottom"/>
          </w:tcPr>
          <w:p w:rsidR="00FC53FE" w:rsidRPr="001567C8" w:rsidRDefault="00DA180B"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6.866</w:t>
            </w:r>
          </w:p>
        </w:tc>
        <w:tc>
          <w:tcPr>
            <w:tcW w:w="721" w:type="pct"/>
            <w:gridSpan w:val="2"/>
            <w:tcBorders>
              <w:top w:val="nil"/>
              <w:left w:val="nil"/>
              <w:bottom w:val="single" w:sz="4" w:space="0" w:color="auto"/>
              <w:right w:val="nil"/>
            </w:tcBorders>
            <w:shd w:val="clear" w:color="auto" w:fill="auto"/>
            <w:vAlign w:val="bottom"/>
          </w:tcPr>
          <w:p w:rsidR="00FC53FE" w:rsidRPr="001567C8" w:rsidRDefault="00FC53FE" w:rsidP="00FC53FE">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19.355</w:t>
            </w:r>
          </w:p>
        </w:tc>
      </w:tr>
      <w:tr w:rsidR="00FC53FE" w:rsidRPr="001567C8" w:rsidTr="00FC53FE">
        <w:trPr>
          <w:trHeight w:val="300"/>
        </w:trPr>
        <w:tc>
          <w:tcPr>
            <w:tcW w:w="2121" w:type="pct"/>
          </w:tcPr>
          <w:p w:rsidR="00FC53FE" w:rsidRPr="001567C8" w:rsidRDefault="00FC53FE" w:rsidP="00FC53FE">
            <w:pPr>
              <w:pStyle w:val="Tot"/>
              <w:rPr>
                <w:rFonts w:asciiTheme="minorHAnsi" w:hAnsiTheme="minorHAnsi" w:cs="Arial"/>
                <w:b/>
                <w:bCs/>
                <w:sz w:val="22"/>
                <w:szCs w:val="22"/>
                <w:lang w:val="hr-HR"/>
              </w:rPr>
            </w:pPr>
          </w:p>
        </w:tc>
        <w:tc>
          <w:tcPr>
            <w:tcW w:w="719" w:type="pct"/>
            <w:tcBorders>
              <w:top w:val="single" w:sz="4" w:space="0" w:color="auto"/>
              <w:bottom w:val="single" w:sz="12" w:space="0" w:color="auto"/>
            </w:tcBorders>
          </w:tcPr>
          <w:p w:rsidR="00FC53FE" w:rsidRPr="001567C8" w:rsidRDefault="00EF2027" w:rsidP="00FC53FE">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700.234</w:t>
            </w:r>
          </w:p>
        </w:tc>
        <w:tc>
          <w:tcPr>
            <w:tcW w:w="720" w:type="pct"/>
            <w:gridSpan w:val="2"/>
            <w:tcBorders>
              <w:top w:val="single" w:sz="4" w:space="0" w:color="auto"/>
              <w:bottom w:val="single" w:sz="12" w:space="0" w:color="auto"/>
            </w:tcBorders>
          </w:tcPr>
          <w:p w:rsidR="00FC53FE" w:rsidRPr="001567C8" w:rsidRDefault="00FC53FE" w:rsidP="00FC53FE">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605.453</w:t>
            </w:r>
          </w:p>
        </w:tc>
        <w:tc>
          <w:tcPr>
            <w:tcW w:w="719" w:type="pct"/>
            <w:tcBorders>
              <w:top w:val="single" w:sz="4" w:space="0" w:color="auto"/>
              <w:bottom w:val="single" w:sz="12" w:space="0" w:color="auto"/>
            </w:tcBorders>
            <w:vAlign w:val="bottom"/>
          </w:tcPr>
          <w:p w:rsidR="00FC53FE" w:rsidRPr="001567C8" w:rsidRDefault="00DA180B" w:rsidP="00FC53FE">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687.275</w:t>
            </w:r>
          </w:p>
        </w:tc>
        <w:tc>
          <w:tcPr>
            <w:tcW w:w="721" w:type="pct"/>
            <w:gridSpan w:val="2"/>
            <w:tcBorders>
              <w:top w:val="single" w:sz="4" w:space="0" w:color="auto"/>
              <w:bottom w:val="single" w:sz="12" w:space="0" w:color="auto"/>
            </w:tcBorders>
            <w:vAlign w:val="bottom"/>
          </w:tcPr>
          <w:p w:rsidR="00FC53FE" w:rsidRPr="001567C8" w:rsidRDefault="00FC53FE" w:rsidP="00FC53FE">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592.651</w:t>
            </w:r>
          </w:p>
        </w:tc>
      </w:tr>
    </w:tbl>
    <w:p w:rsidR="00C03F1F" w:rsidRPr="001567C8" w:rsidRDefault="00C03F1F" w:rsidP="00C03F1F">
      <w:pPr>
        <w:pStyle w:val="BodyText3"/>
        <w:tabs>
          <w:tab w:val="clear" w:pos="4513"/>
          <w:tab w:val="left" w:pos="-1843"/>
        </w:tabs>
        <w:rPr>
          <w:rFonts w:asciiTheme="minorHAnsi" w:hAnsiTheme="minorHAnsi" w:cs="Arial"/>
          <w:szCs w:val="22"/>
          <w:lang w:val="hr-HR"/>
        </w:rPr>
      </w:pPr>
    </w:p>
    <w:p w:rsidR="00D1135D" w:rsidRPr="001567C8" w:rsidRDefault="006D0890" w:rsidP="00093368">
      <w:pPr>
        <w:pStyle w:val="BodyText3"/>
        <w:tabs>
          <w:tab w:val="clear" w:pos="4513"/>
          <w:tab w:val="left" w:pos="-1843"/>
        </w:tabs>
        <w:rPr>
          <w:rFonts w:asciiTheme="minorHAnsi" w:hAnsiTheme="minorHAnsi" w:cs="Arial"/>
          <w:szCs w:val="22"/>
          <w:lang w:val="hr-HR"/>
        </w:rPr>
      </w:pPr>
      <w:r w:rsidRPr="001567C8">
        <w:rPr>
          <w:rFonts w:asciiTheme="minorHAnsi" w:hAnsiTheme="minorHAnsi" w:cs="Arial"/>
          <w:szCs w:val="22"/>
          <w:lang w:val="hr-HR"/>
        </w:rPr>
        <w:t>Obveze za subvencioniranje kamatne stope</w:t>
      </w:r>
      <w:r w:rsidR="00D1135D" w:rsidRPr="001567C8">
        <w:rPr>
          <w:rFonts w:asciiTheme="minorHAnsi" w:hAnsiTheme="minorHAnsi" w:cs="Arial"/>
          <w:szCs w:val="22"/>
          <w:lang w:val="hr-HR"/>
        </w:rPr>
        <w:t xml:space="preserve"> odnose se na predujmove preuzete za subvencioniranje kamatnih stopa po kreditima, koji su odobreni </w:t>
      </w:r>
      <w:r w:rsidR="0048239A" w:rsidRPr="001567C8">
        <w:rPr>
          <w:rFonts w:asciiTheme="minorHAnsi" w:hAnsiTheme="minorHAnsi" w:cs="Arial"/>
          <w:szCs w:val="22"/>
          <w:lang w:val="hr-HR"/>
        </w:rPr>
        <w:t>uz</w:t>
      </w:r>
      <w:r w:rsidR="00D1135D" w:rsidRPr="001567C8">
        <w:rPr>
          <w:rFonts w:asciiTheme="minorHAnsi" w:hAnsiTheme="minorHAnsi" w:cs="Arial"/>
          <w:szCs w:val="22"/>
          <w:lang w:val="hr-HR"/>
        </w:rPr>
        <w:t xml:space="preserve"> niž</w:t>
      </w:r>
      <w:r w:rsidR="0048239A" w:rsidRPr="001567C8">
        <w:rPr>
          <w:rFonts w:asciiTheme="minorHAnsi" w:hAnsiTheme="minorHAnsi" w:cs="Arial"/>
          <w:szCs w:val="22"/>
          <w:lang w:val="hr-HR"/>
        </w:rPr>
        <w:t>u</w:t>
      </w:r>
      <w:r w:rsidR="00D1135D" w:rsidRPr="001567C8">
        <w:rPr>
          <w:rFonts w:asciiTheme="minorHAnsi" w:hAnsiTheme="minorHAnsi" w:cs="Arial"/>
          <w:szCs w:val="22"/>
          <w:lang w:val="hr-HR"/>
        </w:rPr>
        <w:t xml:space="preserve"> kamatn</w:t>
      </w:r>
      <w:r w:rsidR="0048239A" w:rsidRPr="001567C8">
        <w:rPr>
          <w:rFonts w:asciiTheme="minorHAnsi" w:hAnsiTheme="minorHAnsi" w:cs="Arial"/>
          <w:szCs w:val="22"/>
          <w:lang w:val="hr-HR"/>
        </w:rPr>
        <w:t>u</w:t>
      </w:r>
      <w:r w:rsidR="00D1135D" w:rsidRPr="001567C8">
        <w:rPr>
          <w:rFonts w:asciiTheme="minorHAnsi" w:hAnsiTheme="minorHAnsi" w:cs="Arial"/>
          <w:szCs w:val="22"/>
          <w:lang w:val="hr-HR"/>
        </w:rPr>
        <w:t xml:space="preserve"> stop</w:t>
      </w:r>
      <w:r w:rsidR="0048239A" w:rsidRPr="001567C8">
        <w:rPr>
          <w:rFonts w:asciiTheme="minorHAnsi" w:hAnsiTheme="minorHAnsi" w:cs="Arial"/>
          <w:szCs w:val="22"/>
          <w:lang w:val="hr-HR"/>
        </w:rPr>
        <w:t>u</w:t>
      </w:r>
      <w:r w:rsidR="00D1135D" w:rsidRPr="001567C8">
        <w:rPr>
          <w:rFonts w:asciiTheme="minorHAnsi" w:hAnsiTheme="minorHAnsi" w:cs="Arial"/>
          <w:szCs w:val="22"/>
          <w:lang w:val="hr-HR"/>
        </w:rPr>
        <w:t xml:space="preserve"> krajnj</w:t>
      </w:r>
      <w:r w:rsidR="0045549A" w:rsidRPr="001567C8">
        <w:rPr>
          <w:rFonts w:asciiTheme="minorHAnsi" w:hAnsiTheme="minorHAnsi" w:cs="Arial"/>
          <w:szCs w:val="22"/>
          <w:lang w:val="hr-HR"/>
        </w:rPr>
        <w:t xml:space="preserve">im korisnicima po programima koje HBOR provodi </w:t>
      </w:r>
      <w:r w:rsidR="00031D93" w:rsidRPr="001567C8">
        <w:rPr>
          <w:rFonts w:asciiTheme="minorHAnsi" w:hAnsiTheme="minorHAnsi" w:cs="Arial"/>
          <w:szCs w:val="22"/>
          <w:lang w:val="hr-HR"/>
        </w:rPr>
        <w:t>u ime i za račun R</w:t>
      </w:r>
      <w:r w:rsidR="0048239A" w:rsidRPr="001567C8">
        <w:rPr>
          <w:rFonts w:asciiTheme="minorHAnsi" w:hAnsiTheme="minorHAnsi" w:cs="Arial"/>
          <w:szCs w:val="22"/>
          <w:lang w:val="hr-HR"/>
        </w:rPr>
        <w:t xml:space="preserve">epublike </w:t>
      </w:r>
      <w:r w:rsidR="00031D93" w:rsidRPr="001567C8">
        <w:rPr>
          <w:rFonts w:asciiTheme="minorHAnsi" w:hAnsiTheme="minorHAnsi" w:cs="Arial"/>
          <w:szCs w:val="22"/>
          <w:lang w:val="hr-HR"/>
        </w:rPr>
        <w:t>H</w:t>
      </w:r>
      <w:r w:rsidR="0048239A" w:rsidRPr="001567C8">
        <w:rPr>
          <w:rFonts w:asciiTheme="minorHAnsi" w:hAnsiTheme="minorHAnsi" w:cs="Arial"/>
          <w:szCs w:val="22"/>
          <w:lang w:val="hr-HR"/>
        </w:rPr>
        <w:t>rvatske</w:t>
      </w:r>
      <w:r w:rsidR="009257B3" w:rsidRPr="001567C8">
        <w:rPr>
          <w:rFonts w:asciiTheme="minorHAnsi" w:hAnsiTheme="minorHAnsi" w:cs="Arial"/>
          <w:szCs w:val="22"/>
          <w:lang w:val="hr-HR"/>
        </w:rPr>
        <w:t>.</w:t>
      </w:r>
      <w:r w:rsidR="00031D93" w:rsidRPr="001567C8">
        <w:rPr>
          <w:rFonts w:asciiTheme="minorHAnsi" w:hAnsiTheme="minorHAnsi" w:cs="Arial"/>
          <w:szCs w:val="22"/>
          <w:lang w:val="hr-HR"/>
        </w:rPr>
        <w:t xml:space="preserve"> Ove obveze odnose se na:</w:t>
      </w:r>
    </w:p>
    <w:p w:rsidR="00C03F1F" w:rsidRPr="001567C8" w:rsidRDefault="00C03F1F" w:rsidP="00093368">
      <w:pPr>
        <w:pStyle w:val="BodyText3"/>
        <w:tabs>
          <w:tab w:val="clear" w:pos="4513"/>
          <w:tab w:val="left" w:pos="-1843"/>
        </w:tabs>
        <w:rPr>
          <w:rFonts w:asciiTheme="minorHAnsi" w:hAnsiTheme="minorHAnsi" w:cs="Arial"/>
          <w:szCs w:val="22"/>
          <w:lang w:val="hr-HR"/>
        </w:rPr>
      </w:pPr>
    </w:p>
    <w:p w:rsidR="00D1135D" w:rsidRPr="001567C8" w:rsidRDefault="00D1135D" w:rsidP="00093368">
      <w:pPr>
        <w:pStyle w:val="BodyText3"/>
        <w:numPr>
          <w:ilvl w:val="0"/>
          <w:numId w:val="2"/>
        </w:numPr>
        <w:tabs>
          <w:tab w:val="clear" w:pos="4513"/>
          <w:tab w:val="left" w:pos="-1843"/>
        </w:tabs>
        <w:rPr>
          <w:rFonts w:asciiTheme="minorHAnsi" w:hAnsiTheme="minorHAnsi" w:cs="Arial"/>
          <w:szCs w:val="22"/>
          <w:lang w:val="hr-HR"/>
        </w:rPr>
      </w:pPr>
      <w:r w:rsidRPr="001567C8">
        <w:rPr>
          <w:rFonts w:asciiTheme="minorHAnsi" w:hAnsiTheme="minorHAnsi" w:cs="Arial"/>
          <w:szCs w:val="22"/>
          <w:lang w:val="hr-HR"/>
        </w:rPr>
        <w:t xml:space="preserve">Program povlaštenog financiranja po kreditnim programima HBOR-a u iznosu od </w:t>
      </w:r>
      <w:r w:rsidR="009F1AFB" w:rsidRPr="001567C8">
        <w:rPr>
          <w:rFonts w:asciiTheme="minorHAnsi" w:hAnsiTheme="minorHAnsi" w:cs="Arial"/>
          <w:szCs w:val="22"/>
          <w:lang w:val="hr-HR"/>
        </w:rPr>
        <w:t>120.</w:t>
      </w:r>
      <w:r w:rsidR="0029798E" w:rsidRPr="001567C8">
        <w:rPr>
          <w:rFonts w:asciiTheme="minorHAnsi" w:hAnsiTheme="minorHAnsi" w:cs="Arial"/>
          <w:szCs w:val="22"/>
          <w:lang w:val="hr-HR"/>
        </w:rPr>
        <w:t>433</w:t>
      </w:r>
      <w:r w:rsidR="00286841" w:rsidRPr="001567C8">
        <w:rPr>
          <w:rFonts w:asciiTheme="minorHAnsi" w:hAnsiTheme="minorHAnsi" w:cs="Arial"/>
          <w:szCs w:val="22"/>
          <w:lang w:val="hr-HR"/>
        </w:rPr>
        <w:t xml:space="preserve"> </w:t>
      </w:r>
      <w:r w:rsidRPr="001567C8">
        <w:rPr>
          <w:rFonts w:asciiTheme="minorHAnsi" w:hAnsiTheme="minorHAnsi" w:cs="Arial"/>
          <w:szCs w:val="22"/>
          <w:lang w:val="hr-HR"/>
        </w:rPr>
        <w:t>tisuća kuna (</w:t>
      </w:r>
      <w:r w:rsidR="006D377C" w:rsidRPr="001567C8">
        <w:rPr>
          <w:rFonts w:asciiTheme="minorHAnsi" w:hAnsiTheme="minorHAnsi" w:cs="Arial"/>
          <w:szCs w:val="22"/>
          <w:lang w:val="hr-HR"/>
        </w:rPr>
        <w:t xml:space="preserve">31. prosinca </w:t>
      </w:r>
      <w:r w:rsidR="00DA180B" w:rsidRPr="001567C8">
        <w:rPr>
          <w:rFonts w:asciiTheme="minorHAnsi" w:hAnsiTheme="minorHAnsi" w:cs="Arial"/>
          <w:szCs w:val="22"/>
          <w:lang w:val="hr-HR"/>
        </w:rPr>
        <w:t>2017</w:t>
      </w:r>
      <w:r w:rsidR="00DC3B1A" w:rsidRPr="001567C8">
        <w:rPr>
          <w:rFonts w:asciiTheme="minorHAnsi" w:hAnsiTheme="minorHAnsi" w:cs="Arial"/>
          <w:szCs w:val="22"/>
          <w:lang w:val="hr-HR"/>
        </w:rPr>
        <w:t>.</w:t>
      </w:r>
      <w:r w:rsidR="00EA23AE" w:rsidRPr="001567C8">
        <w:rPr>
          <w:rFonts w:asciiTheme="minorHAnsi" w:hAnsiTheme="minorHAnsi" w:cs="Arial"/>
          <w:szCs w:val="22"/>
          <w:lang w:val="hr-HR"/>
        </w:rPr>
        <w:t xml:space="preserve"> godine</w:t>
      </w:r>
      <w:r w:rsidRPr="001567C8">
        <w:rPr>
          <w:rFonts w:asciiTheme="minorHAnsi" w:hAnsiTheme="minorHAnsi" w:cs="Arial"/>
          <w:szCs w:val="22"/>
          <w:lang w:val="hr-HR"/>
        </w:rPr>
        <w:t xml:space="preserve">: </w:t>
      </w:r>
      <w:r w:rsidR="00DA180B" w:rsidRPr="001567C8">
        <w:rPr>
          <w:rFonts w:asciiTheme="minorHAnsi" w:hAnsiTheme="minorHAnsi" w:cs="Arial"/>
          <w:szCs w:val="22"/>
          <w:lang w:val="hr-HR"/>
        </w:rPr>
        <w:t xml:space="preserve">107.262 </w:t>
      </w:r>
      <w:r w:rsidRPr="001567C8">
        <w:rPr>
          <w:rFonts w:asciiTheme="minorHAnsi" w:hAnsiTheme="minorHAnsi" w:cs="Arial"/>
          <w:szCs w:val="22"/>
          <w:lang w:val="hr-HR"/>
        </w:rPr>
        <w:t>tisuća kuna)</w:t>
      </w:r>
      <w:r w:rsidR="0029798E" w:rsidRPr="001567C8">
        <w:rPr>
          <w:rFonts w:asciiTheme="minorHAnsi" w:hAnsiTheme="minorHAnsi" w:cs="Arial"/>
          <w:szCs w:val="22"/>
          <w:lang w:val="hr-HR"/>
        </w:rPr>
        <w:t xml:space="preserve"> i</w:t>
      </w:r>
    </w:p>
    <w:p w:rsidR="0029798E" w:rsidRPr="001567C8" w:rsidRDefault="0029798E" w:rsidP="00093368">
      <w:pPr>
        <w:pStyle w:val="BodyText3"/>
        <w:numPr>
          <w:ilvl w:val="0"/>
          <w:numId w:val="2"/>
        </w:numPr>
        <w:tabs>
          <w:tab w:val="clear" w:pos="4513"/>
          <w:tab w:val="left" w:pos="-1843"/>
        </w:tabs>
        <w:rPr>
          <w:rFonts w:asciiTheme="minorHAnsi" w:hAnsiTheme="minorHAnsi" w:cs="Arial"/>
          <w:szCs w:val="22"/>
          <w:lang w:val="hr-HR"/>
        </w:rPr>
      </w:pPr>
      <w:r w:rsidRPr="001567C8">
        <w:rPr>
          <w:rFonts w:asciiTheme="minorHAnsi" w:hAnsiTheme="minorHAnsi" w:cs="Arial"/>
          <w:szCs w:val="22"/>
          <w:lang w:val="hr-HR"/>
        </w:rPr>
        <w:t>Model financiranja obnove i modernizacije ribolovne flote, Ministarstvo poljoprivrede u iznosu od 293 tisuća kuna (31. prosinca 2017. godine: 0 tisuća kuna).</w:t>
      </w:r>
    </w:p>
    <w:p w:rsidR="00C03F1F" w:rsidRPr="001567C8" w:rsidRDefault="00C03F1F" w:rsidP="005A4073">
      <w:pPr>
        <w:pStyle w:val="BodyText3"/>
        <w:tabs>
          <w:tab w:val="clear" w:pos="4513"/>
          <w:tab w:val="left" w:pos="-1843"/>
        </w:tabs>
        <w:ind w:left="720"/>
        <w:rPr>
          <w:rFonts w:asciiTheme="minorHAnsi" w:hAnsiTheme="minorHAnsi" w:cs="Arial"/>
          <w:szCs w:val="22"/>
          <w:lang w:val="hr-HR"/>
        </w:rPr>
      </w:pPr>
    </w:p>
    <w:p w:rsidR="00D015B1" w:rsidRPr="001567C8" w:rsidRDefault="00D015B1" w:rsidP="00D015B1">
      <w:pPr>
        <w:pStyle w:val="BodyText3"/>
        <w:tabs>
          <w:tab w:val="clear" w:pos="4513"/>
          <w:tab w:val="left" w:pos="-1843"/>
        </w:tabs>
        <w:rPr>
          <w:rFonts w:asciiTheme="minorHAnsi" w:hAnsiTheme="minorHAnsi" w:cs="Arial"/>
          <w:szCs w:val="22"/>
          <w:lang w:val="hr-HR"/>
        </w:rPr>
      </w:pPr>
      <w:r w:rsidRPr="001567C8">
        <w:rPr>
          <w:rFonts w:asciiTheme="minorHAnsi" w:hAnsiTheme="minorHAnsi" w:cs="Arial"/>
          <w:szCs w:val="22"/>
          <w:lang w:val="hr-HR"/>
        </w:rPr>
        <w:t xml:space="preserve">Odgođeno priznavanje kamatnih prihoda u iznosu od </w:t>
      </w:r>
      <w:r w:rsidR="009F1AFB" w:rsidRPr="001567C8">
        <w:rPr>
          <w:rFonts w:asciiTheme="minorHAnsi" w:hAnsiTheme="minorHAnsi" w:cs="Arial"/>
          <w:szCs w:val="22"/>
          <w:lang w:val="hr-HR"/>
        </w:rPr>
        <w:t xml:space="preserve">226.064 </w:t>
      </w:r>
      <w:r w:rsidRPr="001567C8">
        <w:rPr>
          <w:rFonts w:asciiTheme="minorHAnsi" w:hAnsiTheme="minorHAnsi" w:cs="Arial"/>
          <w:szCs w:val="22"/>
          <w:lang w:val="hr-HR"/>
        </w:rPr>
        <w:t>tisuća kuna (31. prosinca 201</w:t>
      </w:r>
      <w:r w:rsidR="009F1AFB" w:rsidRPr="001567C8">
        <w:rPr>
          <w:rFonts w:asciiTheme="minorHAnsi" w:hAnsiTheme="minorHAnsi" w:cs="Arial"/>
          <w:szCs w:val="22"/>
          <w:lang w:val="hr-HR"/>
        </w:rPr>
        <w:t>7</w:t>
      </w:r>
      <w:r w:rsidRPr="001567C8">
        <w:rPr>
          <w:rFonts w:asciiTheme="minorHAnsi" w:hAnsiTheme="minorHAnsi" w:cs="Arial"/>
          <w:szCs w:val="22"/>
          <w:lang w:val="hr-HR"/>
        </w:rPr>
        <w:t xml:space="preserve">. godine: </w:t>
      </w:r>
      <w:r w:rsidR="009F1AFB" w:rsidRPr="001567C8">
        <w:rPr>
          <w:rFonts w:asciiTheme="minorHAnsi" w:hAnsiTheme="minorHAnsi" w:cs="Arial"/>
          <w:szCs w:val="22"/>
          <w:lang w:val="hr-HR"/>
        </w:rPr>
        <w:t>314.271</w:t>
      </w:r>
      <w:r w:rsidRPr="001567C8">
        <w:rPr>
          <w:rFonts w:asciiTheme="minorHAnsi" w:hAnsiTheme="minorHAnsi" w:cs="Arial"/>
          <w:szCs w:val="22"/>
          <w:lang w:val="hr-HR"/>
        </w:rPr>
        <w:t xml:space="preserve">  tisuća kuna) sastoji se od državne subvencije za kamate na kredite, koji su odobreni i povučeni od strane krajnjeg korisnika po nižoj kamatnoj stopi, ali još nisu u fazi otplate u iznosu od </w:t>
      </w:r>
      <w:r w:rsidR="009F1AFB" w:rsidRPr="001567C8">
        <w:rPr>
          <w:rFonts w:asciiTheme="minorHAnsi" w:hAnsiTheme="minorHAnsi" w:cs="Arial"/>
          <w:szCs w:val="22"/>
          <w:lang w:val="hr-HR"/>
        </w:rPr>
        <w:t xml:space="preserve">7.694 </w:t>
      </w:r>
      <w:r w:rsidRPr="001567C8">
        <w:rPr>
          <w:rFonts w:asciiTheme="minorHAnsi" w:hAnsiTheme="minorHAnsi" w:cs="Arial"/>
          <w:szCs w:val="22"/>
          <w:lang w:val="hr-HR"/>
        </w:rPr>
        <w:t xml:space="preserve"> tisuća kuna (31. prosinca 201</w:t>
      </w:r>
      <w:r w:rsidR="009F1AFB" w:rsidRPr="001567C8">
        <w:rPr>
          <w:rFonts w:asciiTheme="minorHAnsi" w:hAnsiTheme="minorHAnsi" w:cs="Arial"/>
          <w:szCs w:val="22"/>
          <w:lang w:val="hr-HR"/>
        </w:rPr>
        <w:t>7</w:t>
      </w:r>
      <w:r w:rsidRPr="001567C8">
        <w:rPr>
          <w:rFonts w:asciiTheme="minorHAnsi" w:hAnsiTheme="minorHAnsi" w:cs="Arial"/>
          <w:szCs w:val="22"/>
          <w:lang w:val="hr-HR"/>
        </w:rPr>
        <w:t xml:space="preserve">. godine: </w:t>
      </w:r>
      <w:r w:rsidR="009F1AFB" w:rsidRPr="001567C8">
        <w:rPr>
          <w:rFonts w:asciiTheme="minorHAnsi" w:hAnsiTheme="minorHAnsi" w:cs="Arial"/>
          <w:szCs w:val="22"/>
          <w:lang w:val="hr-HR"/>
        </w:rPr>
        <w:t>11.305</w:t>
      </w:r>
      <w:r w:rsidRPr="001567C8">
        <w:rPr>
          <w:rFonts w:asciiTheme="minorHAnsi" w:hAnsiTheme="minorHAnsi" w:cs="Arial"/>
          <w:szCs w:val="22"/>
          <w:lang w:val="hr-HR"/>
        </w:rPr>
        <w:t xml:space="preserve"> tisuća kuna) te onih koji su u fazi otplate u iznosu od </w:t>
      </w:r>
      <w:r w:rsidR="009F1AFB" w:rsidRPr="001567C8">
        <w:rPr>
          <w:rFonts w:asciiTheme="minorHAnsi" w:hAnsiTheme="minorHAnsi" w:cs="Arial"/>
          <w:szCs w:val="22"/>
          <w:lang w:val="hr-HR"/>
        </w:rPr>
        <w:t>218.370</w:t>
      </w:r>
      <w:r w:rsidRPr="001567C8">
        <w:rPr>
          <w:rFonts w:asciiTheme="minorHAnsi" w:hAnsiTheme="minorHAnsi" w:cs="Arial"/>
          <w:szCs w:val="22"/>
          <w:lang w:val="hr-HR"/>
        </w:rPr>
        <w:t xml:space="preserve"> tisuća kuna (31. prosinca 201</w:t>
      </w:r>
      <w:r w:rsidR="009F1AFB" w:rsidRPr="001567C8">
        <w:rPr>
          <w:rFonts w:asciiTheme="minorHAnsi" w:hAnsiTheme="minorHAnsi" w:cs="Arial"/>
          <w:szCs w:val="22"/>
          <w:lang w:val="hr-HR"/>
        </w:rPr>
        <w:t>7</w:t>
      </w:r>
      <w:r w:rsidRPr="001567C8">
        <w:rPr>
          <w:rFonts w:asciiTheme="minorHAnsi" w:hAnsiTheme="minorHAnsi" w:cs="Arial"/>
          <w:szCs w:val="22"/>
          <w:lang w:val="hr-HR"/>
        </w:rPr>
        <w:t xml:space="preserve">. godine </w:t>
      </w:r>
      <w:r w:rsidR="009F1AFB" w:rsidRPr="001567C8">
        <w:rPr>
          <w:rFonts w:asciiTheme="minorHAnsi" w:hAnsiTheme="minorHAnsi" w:cs="Arial"/>
          <w:szCs w:val="22"/>
          <w:lang w:val="hr-HR"/>
        </w:rPr>
        <w:t>302.966</w:t>
      </w:r>
      <w:r w:rsidRPr="001567C8">
        <w:rPr>
          <w:rFonts w:asciiTheme="minorHAnsi" w:hAnsiTheme="minorHAnsi" w:cs="Arial"/>
          <w:szCs w:val="22"/>
          <w:lang w:val="hr-HR"/>
        </w:rPr>
        <w:t xml:space="preserve"> tisuća kuna) (vidi bilješku </w:t>
      </w:r>
      <w:r w:rsidR="008A587C" w:rsidRPr="001567C8">
        <w:rPr>
          <w:rFonts w:asciiTheme="minorHAnsi" w:hAnsiTheme="minorHAnsi" w:cs="Arial"/>
          <w:szCs w:val="22"/>
          <w:lang w:val="hr-HR"/>
        </w:rPr>
        <w:t>4</w:t>
      </w:r>
      <w:r w:rsidRPr="001567C8">
        <w:rPr>
          <w:rFonts w:asciiTheme="minorHAnsi" w:hAnsiTheme="minorHAnsi" w:cs="Arial"/>
          <w:szCs w:val="22"/>
          <w:lang w:val="hr-HR"/>
        </w:rPr>
        <w:t xml:space="preserve">).   </w:t>
      </w:r>
    </w:p>
    <w:p w:rsidR="00595D79" w:rsidRPr="001567C8" w:rsidRDefault="00595D79" w:rsidP="0078611A">
      <w:pPr>
        <w:pStyle w:val="BodyText3"/>
        <w:tabs>
          <w:tab w:val="clear" w:pos="4513"/>
          <w:tab w:val="left" w:pos="-1843"/>
        </w:tabs>
        <w:ind w:left="360"/>
        <w:rPr>
          <w:rFonts w:asciiTheme="minorHAnsi" w:hAnsiTheme="minorHAnsi" w:cs="Arial"/>
          <w:szCs w:val="22"/>
          <w:lang w:val="hr-HR"/>
        </w:rPr>
      </w:pPr>
    </w:p>
    <w:p w:rsidR="00D015B1" w:rsidRPr="001567C8" w:rsidRDefault="00D015B1" w:rsidP="00D015B1">
      <w:pPr>
        <w:pStyle w:val="BodyText3"/>
        <w:tabs>
          <w:tab w:val="clear" w:pos="4513"/>
          <w:tab w:val="left" w:pos="-1843"/>
        </w:tabs>
        <w:rPr>
          <w:rFonts w:asciiTheme="minorHAnsi" w:hAnsiTheme="minorHAnsi" w:cs="Arial"/>
          <w:szCs w:val="22"/>
          <w:lang w:val="hr-HR"/>
        </w:rPr>
      </w:pPr>
      <w:r w:rsidRPr="001567C8">
        <w:rPr>
          <w:rFonts w:asciiTheme="minorHAnsi" w:hAnsiTheme="minorHAnsi" w:cs="Arial"/>
          <w:szCs w:val="22"/>
          <w:lang w:val="hr-HR"/>
        </w:rPr>
        <w:t xml:space="preserve">Iznos rezerviranja za garancije i preuzete obveze predstavlja najbolju procjenu izdataka potrebnih za podmirivanje sadašnjih obveza na datum izvještaja o financijskom položaju i utvrđuje se sukladno MRS-u 37– Rezerviranja, nepredviđene obveze i nepredviđena imovina. </w:t>
      </w:r>
    </w:p>
    <w:p w:rsidR="00D015B1" w:rsidRPr="001567C8" w:rsidRDefault="00D015B1" w:rsidP="00361B04">
      <w:pPr>
        <w:pStyle w:val="BodyText3"/>
        <w:tabs>
          <w:tab w:val="clear" w:pos="4513"/>
          <w:tab w:val="left" w:pos="-1843"/>
        </w:tabs>
        <w:rPr>
          <w:rFonts w:asciiTheme="minorHAnsi" w:hAnsiTheme="minorHAnsi" w:cs="Arial"/>
          <w:bCs/>
          <w:color w:val="FF0000"/>
          <w:spacing w:val="0"/>
          <w:szCs w:val="22"/>
          <w:lang w:val="hr-HR"/>
        </w:rPr>
      </w:pPr>
    </w:p>
    <w:p w:rsidR="000F7AF4" w:rsidRPr="001567C8" w:rsidRDefault="000F7AF4" w:rsidP="00361B04">
      <w:pPr>
        <w:pStyle w:val="BodyText3"/>
        <w:tabs>
          <w:tab w:val="clear" w:pos="4513"/>
          <w:tab w:val="left" w:pos="-1843"/>
        </w:tabs>
        <w:ind w:left="360"/>
        <w:rPr>
          <w:rFonts w:asciiTheme="minorHAnsi" w:hAnsiTheme="minorHAnsi" w:cs="Arial"/>
          <w:b/>
          <w:color w:val="FF0000"/>
          <w:szCs w:val="22"/>
          <w:lang w:val="hr-HR"/>
        </w:rPr>
        <w:sectPr w:rsidR="000F7AF4" w:rsidRPr="001567C8" w:rsidSect="003E2D7A">
          <w:pgSz w:w="11907" w:h="16840" w:code="9"/>
          <w:pgMar w:top="1418" w:right="1134" w:bottom="1134" w:left="1418" w:header="851" w:footer="851" w:gutter="0"/>
          <w:cols w:space="720"/>
          <w:noEndnote/>
        </w:sectPr>
      </w:pPr>
    </w:p>
    <w:p w:rsidR="00C03F1F" w:rsidRPr="001567C8" w:rsidRDefault="00C03F1F" w:rsidP="00C03F1F">
      <w:pPr>
        <w:pStyle w:val="T1"/>
        <w:spacing w:before="0" w:after="0" w:line="240" w:lineRule="auto"/>
        <w:rPr>
          <w:rFonts w:asciiTheme="minorHAnsi" w:hAnsiTheme="minorHAnsi" w:cs="Arial"/>
          <w:sz w:val="22"/>
          <w:szCs w:val="22"/>
          <w:lang w:val="hr-HR"/>
        </w:rPr>
      </w:pPr>
    </w:p>
    <w:p w:rsidR="00595D79" w:rsidRPr="001567C8" w:rsidRDefault="00C9220F" w:rsidP="00C03F1F">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30</w:t>
      </w:r>
      <w:r w:rsidR="00595D79" w:rsidRPr="001567C8">
        <w:rPr>
          <w:rFonts w:asciiTheme="minorHAnsi" w:hAnsiTheme="minorHAnsi" w:cs="Arial"/>
          <w:sz w:val="22"/>
          <w:szCs w:val="22"/>
          <w:lang w:val="hr-HR"/>
        </w:rPr>
        <w:t>.</w:t>
      </w:r>
      <w:r w:rsidR="00595D79" w:rsidRPr="001567C8">
        <w:rPr>
          <w:rFonts w:asciiTheme="minorHAnsi" w:hAnsiTheme="minorHAnsi" w:cs="Arial"/>
          <w:sz w:val="22"/>
          <w:szCs w:val="22"/>
          <w:lang w:val="hr-HR"/>
        </w:rPr>
        <w:tab/>
        <w:t>Ostale obveze (nastavak)</w:t>
      </w:r>
    </w:p>
    <w:p w:rsidR="00C03F1F" w:rsidRPr="001567C8" w:rsidRDefault="00C03F1F" w:rsidP="00C03F1F">
      <w:pPr>
        <w:pStyle w:val="T1"/>
        <w:spacing w:before="0" w:after="0" w:line="240" w:lineRule="auto"/>
        <w:rPr>
          <w:rFonts w:asciiTheme="minorHAnsi" w:hAnsiTheme="minorHAnsi" w:cs="Arial"/>
          <w:sz w:val="22"/>
          <w:szCs w:val="22"/>
          <w:lang w:val="hr-HR"/>
        </w:rPr>
      </w:pPr>
    </w:p>
    <w:p w:rsidR="0094730E" w:rsidRPr="001567C8" w:rsidRDefault="0094730E" w:rsidP="00C03F1F">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Od ukupnog iznosa rezerviranja za garancije i preuzete obveze na </w:t>
      </w:r>
      <w:r w:rsidR="00B15EB2" w:rsidRPr="001567C8">
        <w:rPr>
          <w:rFonts w:asciiTheme="minorHAnsi" w:hAnsiTheme="minorHAnsi" w:cs="Arial"/>
          <w:b w:val="0"/>
          <w:bCs w:val="0"/>
          <w:sz w:val="22"/>
          <w:szCs w:val="22"/>
          <w:lang w:val="hr-HR"/>
        </w:rPr>
        <w:t xml:space="preserve">financijske institucije </w:t>
      </w:r>
      <w:r w:rsidRPr="001567C8">
        <w:rPr>
          <w:rFonts w:asciiTheme="minorHAnsi" w:hAnsiTheme="minorHAnsi" w:cs="Arial"/>
          <w:b w:val="0"/>
          <w:bCs w:val="0"/>
          <w:sz w:val="22"/>
          <w:szCs w:val="22"/>
          <w:lang w:val="hr-HR"/>
        </w:rPr>
        <w:t xml:space="preserve">se odnosi iznos od </w:t>
      </w:r>
      <w:r w:rsidR="009F1AFB" w:rsidRPr="001567C8">
        <w:rPr>
          <w:rFonts w:asciiTheme="minorHAnsi" w:hAnsiTheme="minorHAnsi" w:cs="Arial"/>
          <w:b w:val="0"/>
          <w:bCs w:val="0"/>
          <w:sz w:val="22"/>
          <w:szCs w:val="22"/>
          <w:lang w:val="hr-HR"/>
        </w:rPr>
        <w:t>2.444</w:t>
      </w:r>
      <w:r w:rsidR="00D06DD2"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w:t>
      </w:r>
      <w:r w:rsidR="00953518" w:rsidRPr="001567C8">
        <w:rPr>
          <w:rFonts w:asciiTheme="minorHAnsi" w:hAnsiTheme="minorHAnsi" w:cs="Arial"/>
          <w:b w:val="0"/>
          <w:bCs w:val="0"/>
          <w:sz w:val="22"/>
          <w:szCs w:val="22"/>
          <w:lang w:val="hr-HR"/>
        </w:rPr>
        <w:t>a</w:t>
      </w:r>
      <w:r w:rsidRPr="001567C8">
        <w:rPr>
          <w:rFonts w:asciiTheme="minorHAnsi" w:hAnsiTheme="minorHAnsi" w:cs="Arial"/>
          <w:b w:val="0"/>
          <w:bCs w:val="0"/>
          <w:sz w:val="22"/>
          <w:szCs w:val="22"/>
          <w:lang w:val="hr-HR"/>
        </w:rPr>
        <w:t xml:space="preserve"> kuna (</w:t>
      </w:r>
      <w:r w:rsidR="006D377C" w:rsidRPr="001567C8">
        <w:rPr>
          <w:rFonts w:asciiTheme="minorHAnsi" w:hAnsiTheme="minorHAnsi" w:cs="Arial"/>
          <w:b w:val="0"/>
          <w:bCs w:val="0"/>
          <w:sz w:val="22"/>
          <w:szCs w:val="22"/>
          <w:lang w:val="hr-HR"/>
        </w:rPr>
        <w:t xml:space="preserve">31. prosinca </w:t>
      </w:r>
      <w:r w:rsidR="009F1AFB" w:rsidRPr="001567C8">
        <w:rPr>
          <w:rFonts w:asciiTheme="minorHAnsi" w:hAnsiTheme="minorHAnsi" w:cs="Arial"/>
          <w:b w:val="0"/>
          <w:bCs w:val="0"/>
          <w:sz w:val="22"/>
          <w:szCs w:val="22"/>
          <w:lang w:val="hr-HR"/>
        </w:rPr>
        <w:t>2017</w:t>
      </w:r>
      <w:r w:rsidRPr="001567C8">
        <w:rPr>
          <w:rFonts w:asciiTheme="minorHAnsi" w:hAnsiTheme="minorHAnsi" w:cs="Arial"/>
          <w:b w:val="0"/>
          <w:bCs w:val="0"/>
          <w:sz w:val="22"/>
          <w:szCs w:val="22"/>
          <w:lang w:val="hr-HR"/>
        </w:rPr>
        <w:t xml:space="preserve">. godine: </w:t>
      </w:r>
      <w:r w:rsidR="009F1AFB" w:rsidRPr="001567C8">
        <w:rPr>
          <w:rFonts w:asciiTheme="minorHAnsi" w:hAnsiTheme="minorHAnsi" w:cs="Arial"/>
          <w:b w:val="0"/>
          <w:bCs w:val="0"/>
          <w:sz w:val="22"/>
          <w:szCs w:val="22"/>
          <w:lang w:val="hr-HR"/>
        </w:rPr>
        <w:t>20.653</w:t>
      </w:r>
      <w:r w:rsidR="00D06DD2"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w:t>
      </w:r>
      <w:r w:rsidR="00953518" w:rsidRPr="001567C8">
        <w:rPr>
          <w:rFonts w:asciiTheme="minorHAnsi" w:hAnsiTheme="minorHAnsi" w:cs="Arial"/>
          <w:b w:val="0"/>
          <w:bCs w:val="0"/>
          <w:sz w:val="22"/>
          <w:szCs w:val="22"/>
          <w:lang w:val="hr-HR"/>
        </w:rPr>
        <w:t>a</w:t>
      </w:r>
      <w:r w:rsidRPr="001567C8">
        <w:rPr>
          <w:rFonts w:asciiTheme="minorHAnsi" w:hAnsiTheme="minorHAnsi" w:cs="Arial"/>
          <w:b w:val="0"/>
          <w:bCs w:val="0"/>
          <w:sz w:val="22"/>
          <w:szCs w:val="22"/>
          <w:lang w:val="hr-HR"/>
        </w:rPr>
        <w:t xml:space="preserve"> kuna), domaća trgovačka društva iznos od </w:t>
      </w:r>
      <w:r w:rsidR="009F1AFB" w:rsidRPr="001567C8">
        <w:rPr>
          <w:rFonts w:asciiTheme="minorHAnsi" w:hAnsiTheme="minorHAnsi" w:cs="Arial"/>
          <w:b w:val="0"/>
          <w:bCs w:val="0"/>
          <w:sz w:val="22"/>
          <w:szCs w:val="22"/>
          <w:lang w:val="hr-HR"/>
        </w:rPr>
        <w:t>258.622</w:t>
      </w:r>
      <w:r w:rsidR="00D06DD2"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tisuća kuna (</w:t>
      </w:r>
      <w:r w:rsidR="006D377C" w:rsidRPr="001567C8">
        <w:rPr>
          <w:rFonts w:asciiTheme="minorHAnsi" w:hAnsiTheme="minorHAnsi" w:cs="Arial"/>
          <w:b w:val="0"/>
          <w:bCs w:val="0"/>
          <w:sz w:val="22"/>
          <w:szCs w:val="22"/>
          <w:lang w:val="hr-HR"/>
        </w:rPr>
        <w:t xml:space="preserve">31. prosinca </w:t>
      </w:r>
      <w:r w:rsidR="009F1AFB" w:rsidRPr="001567C8">
        <w:rPr>
          <w:rFonts w:asciiTheme="minorHAnsi" w:hAnsiTheme="minorHAnsi" w:cs="Arial"/>
          <w:b w:val="0"/>
          <w:bCs w:val="0"/>
          <w:sz w:val="22"/>
          <w:szCs w:val="22"/>
          <w:lang w:val="hr-HR"/>
        </w:rPr>
        <w:t>2017</w:t>
      </w:r>
      <w:r w:rsidRPr="001567C8">
        <w:rPr>
          <w:rFonts w:asciiTheme="minorHAnsi" w:hAnsiTheme="minorHAnsi" w:cs="Arial"/>
          <w:b w:val="0"/>
          <w:bCs w:val="0"/>
          <w:sz w:val="22"/>
          <w:szCs w:val="22"/>
          <w:lang w:val="hr-HR"/>
        </w:rPr>
        <w:t xml:space="preserve">. godine: </w:t>
      </w:r>
      <w:r w:rsidR="009F1AFB" w:rsidRPr="001567C8">
        <w:rPr>
          <w:rFonts w:asciiTheme="minorHAnsi" w:hAnsiTheme="minorHAnsi" w:cs="Arial"/>
          <w:b w:val="0"/>
          <w:bCs w:val="0"/>
          <w:sz w:val="22"/>
          <w:szCs w:val="22"/>
          <w:lang w:val="hr-HR"/>
        </w:rPr>
        <w:t>36.604</w:t>
      </w:r>
      <w:r w:rsidR="00D06DD2"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w:t>
      </w:r>
      <w:r w:rsidR="00EC44BA" w:rsidRPr="001567C8">
        <w:rPr>
          <w:rFonts w:asciiTheme="minorHAnsi" w:hAnsiTheme="minorHAnsi" w:cs="Arial"/>
          <w:b w:val="0"/>
          <w:bCs w:val="0"/>
          <w:sz w:val="22"/>
          <w:szCs w:val="22"/>
          <w:lang w:val="hr-HR"/>
        </w:rPr>
        <w:t>a</w:t>
      </w:r>
      <w:r w:rsidRPr="001567C8">
        <w:rPr>
          <w:rFonts w:asciiTheme="minorHAnsi" w:hAnsiTheme="minorHAnsi" w:cs="Arial"/>
          <w:b w:val="0"/>
          <w:bCs w:val="0"/>
          <w:sz w:val="22"/>
          <w:szCs w:val="22"/>
          <w:lang w:val="hr-HR"/>
        </w:rPr>
        <w:t xml:space="preserve"> kuna), državna trgovačka društva iznos od </w:t>
      </w:r>
      <w:r w:rsidR="009F1AFB" w:rsidRPr="001567C8">
        <w:rPr>
          <w:rFonts w:asciiTheme="minorHAnsi" w:hAnsiTheme="minorHAnsi" w:cs="Arial"/>
          <w:b w:val="0"/>
          <w:bCs w:val="0"/>
          <w:sz w:val="22"/>
          <w:szCs w:val="22"/>
          <w:lang w:val="hr-HR"/>
        </w:rPr>
        <w:t>0</w:t>
      </w:r>
      <w:r w:rsidR="00EC44BA"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tisuća kuna (</w:t>
      </w:r>
      <w:r w:rsidR="006D377C" w:rsidRPr="001567C8">
        <w:rPr>
          <w:rFonts w:asciiTheme="minorHAnsi" w:hAnsiTheme="minorHAnsi" w:cs="Arial"/>
          <w:b w:val="0"/>
          <w:bCs w:val="0"/>
          <w:sz w:val="22"/>
          <w:szCs w:val="22"/>
          <w:lang w:val="hr-HR"/>
        </w:rPr>
        <w:t xml:space="preserve">31. prosinca </w:t>
      </w:r>
      <w:r w:rsidR="009F1AFB" w:rsidRPr="001567C8">
        <w:rPr>
          <w:rFonts w:asciiTheme="minorHAnsi" w:hAnsiTheme="minorHAnsi" w:cs="Arial"/>
          <w:b w:val="0"/>
          <w:bCs w:val="0"/>
          <w:sz w:val="22"/>
          <w:szCs w:val="22"/>
          <w:lang w:val="hr-HR"/>
        </w:rPr>
        <w:t>2017</w:t>
      </w:r>
      <w:r w:rsidRPr="001567C8">
        <w:rPr>
          <w:rFonts w:asciiTheme="minorHAnsi" w:hAnsiTheme="minorHAnsi" w:cs="Arial"/>
          <w:b w:val="0"/>
          <w:bCs w:val="0"/>
          <w:sz w:val="22"/>
          <w:szCs w:val="22"/>
          <w:lang w:val="hr-HR"/>
        </w:rPr>
        <w:t xml:space="preserve">. godine: </w:t>
      </w:r>
      <w:r w:rsidR="009F1AFB" w:rsidRPr="001567C8">
        <w:rPr>
          <w:rFonts w:asciiTheme="minorHAnsi" w:hAnsiTheme="minorHAnsi" w:cs="Arial"/>
          <w:b w:val="0"/>
          <w:bCs w:val="0"/>
          <w:sz w:val="22"/>
          <w:szCs w:val="22"/>
          <w:lang w:val="hr-HR"/>
        </w:rPr>
        <w:t>1.153</w:t>
      </w:r>
      <w:r w:rsidR="00DB46AC"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 xml:space="preserve">tisuća kuna), javni sektor iznos od </w:t>
      </w:r>
      <w:r w:rsidR="009F1AFB" w:rsidRPr="001567C8">
        <w:rPr>
          <w:rFonts w:asciiTheme="minorHAnsi" w:hAnsiTheme="minorHAnsi" w:cs="Arial"/>
          <w:b w:val="0"/>
          <w:bCs w:val="0"/>
          <w:sz w:val="22"/>
          <w:szCs w:val="22"/>
          <w:lang w:val="hr-HR"/>
        </w:rPr>
        <w:t>147</w:t>
      </w:r>
      <w:r w:rsidR="00F107F0"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tisuća kuna (</w:t>
      </w:r>
      <w:r w:rsidR="006D377C" w:rsidRPr="001567C8">
        <w:rPr>
          <w:rFonts w:asciiTheme="minorHAnsi" w:hAnsiTheme="minorHAnsi" w:cs="Arial"/>
          <w:b w:val="0"/>
          <w:bCs w:val="0"/>
          <w:sz w:val="22"/>
          <w:szCs w:val="22"/>
          <w:lang w:val="hr-HR"/>
        </w:rPr>
        <w:t xml:space="preserve">31. prosinca </w:t>
      </w:r>
      <w:r w:rsidR="009F1AFB" w:rsidRPr="001567C8">
        <w:rPr>
          <w:rFonts w:asciiTheme="minorHAnsi" w:hAnsiTheme="minorHAnsi" w:cs="Arial"/>
          <w:b w:val="0"/>
          <w:bCs w:val="0"/>
          <w:sz w:val="22"/>
          <w:szCs w:val="22"/>
          <w:lang w:val="hr-HR"/>
        </w:rPr>
        <w:t>2017</w:t>
      </w:r>
      <w:r w:rsidRPr="001567C8">
        <w:rPr>
          <w:rFonts w:asciiTheme="minorHAnsi" w:hAnsiTheme="minorHAnsi" w:cs="Arial"/>
          <w:b w:val="0"/>
          <w:bCs w:val="0"/>
          <w:sz w:val="22"/>
          <w:szCs w:val="22"/>
          <w:lang w:val="hr-HR"/>
        </w:rPr>
        <w:t xml:space="preserve">. godine: </w:t>
      </w:r>
      <w:r w:rsidR="009F1AFB" w:rsidRPr="001567C8">
        <w:rPr>
          <w:rFonts w:asciiTheme="minorHAnsi" w:hAnsiTheme="minorHAnsi" w:cs="Arial"/>
          <w:b w:val="0"/>
          <w:bCs w:val="0"/>
          <w:sz w:val="22"/>
          <w:szCs w:val="22"/>
          <w:lang w:val="hr-HR"/>
        </w:rPr>
        <w:t>4.291</w:t>
      </w:r>
      <w:r w:rsidR="00F107F0"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tisuća kuna)</w:t>
      </w:r>
      <w:r w:rsidR="00CF7BB7"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 xml:space="preserve">ostale </w:t>
      </w:r>
      <w:r w:rsidR="00CF7BB7" w:rsidRPr="001567C8">
        <w:rPr>
          <w:rFonts w:asciiTheme="minorHAnsi" w:hAnsiTheme="minorHAnsi" w:cs="Arial"/>
          <w:b w:val="0"/>
          <w:bCs w:val="0"/>
          <w:sz w:val="22"/>
          <w:szCs w:val="22"/>
          <w:lang w:val="hr-HR"/>
        </w:rPr>
        <w:t xml:space="preserve">obveze </w:t>
      </w:r>
      <w:r w:rsidRPr="001567C8">
        <w:rPr>
          <w:rFonts w:asciiTheme="minorHAnsi" w:hAnsiTheme="minorHAnsi" w:cs="Arial"/>
          <w:b w:val="0"/>
          <w:bCs w:val="0"/>
          <w:sz w:val="22"/>
          <w:szCs w:val="22"/>
          <w:lang w:val="hr-HR"/>
        </w:rPr>
        <w:t xml:space="preserve">iznos od </w:t>
      </w:r>
      <w:r w:rsidR="009F1AFB" w:rsidRPr="001567C8">
        <w:rPr>
          <w:rFonts w:asciiTheme="minorHAnsi" w:hAnsiTheme="minorHAnsi" w:cs="Arial"/>
          <w:b w:val="0"/>
          <w:bCs w:val="0"/>
          <w:sz w:val="22"/>
          <w:szCs w:val="22"/>
          <w:lang w:val="hr-HR"/>
        </w:rPr>
        <w:t xml:space="preserve">70 </w:t>
      </w:r>
      <w:r w:rsidRPr="001567C8">
        <w:rPr>
          <w:rFonts w:asciiTheme="minorHAnsi" w:hAnsiTheme="minorHAnsi" w:cs="Arial"/>
          <w:b w:val="0"/>
          <w:bCs w:val="0"/>
          <w:sz w:val="22"/>
          <w:szCs w:val="22"/>
          <w:lang w:val="hr-HR"/>
        </w:rPr>
        <w:t>tisuća kuna (</w:t>
      </w:r>
      <w:r w:rsidR="006D377C" w:rsidRPr="001567C8">
        <w:rPr>
          <w:rFonts w:asciiTheme="minorHAnsi" w:hAnsiTheme="minorHAnsi" w:cs="Arial"/>
          <w:b w:val="0"/>
          <w:bCs w:val="0"/>
          <w:sz w:val="22"/>
          <w:szCs w:val="22"/>
          <w:lang w:val="hr-HR"/>
        </w:rPr>
        <w:t xml:space="preserve">31. prosinca </w:t>
      </w:r>
      <w:r w:rsidR="009F1AFB" w:rsidRPr="001567C8">
        <w:rPr>
          <w:rFonts w:asciiTheme="minorHAnsi" w:hAnsiTheme="minorHAnsi" w:cs="Arial"/>
          <w:b w:val="0"/>
          <w:bCs w:val="0"/>
          <w:sz w:val="22"/>
          <w:szCs w:val="22"/>
          <w:lang w:val="hr-HR"/>
        </w:rPr>
        <w:t>2017</w:t>
      </w:r>
      <w:r w:rsidRPr="001567C8">
        <w:rPr>
          <w:rFonts w:asciiTheme="minorHAnsi" w:hAnsiTheme="minorHAnsi" w:cs="Arial"/>
          <w:b w:val="0"/>
          <w:bCs w:val="0"/>
          <w:sz w:val="22"/>
          <w:szCs w:val="22"/>
          <w:lang w:val="hr-HR"/>
        </w:rPr>
        <w:t xml:space="preserve">. godine: </w:t>
      </w:r>
      <w:r w:rsidR="009F1AFB" w:rsidRPr="001567C8">
        <w:rPr>
          <w:rFonts w:asciiTheme="minorHAnsi" w:hAnsiTheme="minorHAnsi" w:cs="Arial"/>
          <w:b w:val="0"/>
          <w:bCs w:val="0"/>
          <w:sz w:val="22"/>
          <w:szCs w:val="22"/>
          <w:lang w:val="hr-HR"/>
        </w:rPr>
        <w:t xml:space="preserve">195 </w:t>
      </w:r>
      <w:r w:rsidRPr="001567C8">
        <w:rPr>
          <w:rFonts w:asciiTheme="minorHAnsi" w:hAnsiTheme="minorHAnsi" w:cs="Arial"/>
          <w:b w:val="0"/>
          <w:bCs w:val="0"/>
          <w:sz w:val="22"/>
          <w:szCs w:val="22"/>
          <w:lang w:val="hr-HR"/>
        </w:rPr>
        <w:t>tisuća kuna)</w:t>
      </w:r>
      <w:r w:rsidR="00612371" w:rsidRPr="001567C8">
        <w:rPr>
          <w:rFonts w:asciiTheme="minorHAnsi" w:hAnsiTheme="minorHAnsi" w:cs="Arial"/>
          <w:b w:val="0"/>
          <w:bCs w:val="0"/>
          <w:sz w:val="22"/>
          <w:szCs w:val="22"/>
          <w:lang w:val="hr-HR"/>
        </w:rPr>
        <w:t xml:space="preserve">, </w:t>
      </w:r>
      <w:r w:rsidR="00CF7BB7" w:rsidRPr="001567C8">
        <w:rPr>
          <w:rFonts w:asciiTheme="minorHAnsi" w:hAnsiTheme="minorHAnsi" w:cs="Arial"/>
          <w:b w:val="0"/>
          <w:bCs w:val="0"/>
          <w:sz w:val="22"/>
          <w:szCs w:val="22"/>
          <w:lang w:val="hr-HR"/>
        </w:rPr>
        <w:t xml:space="preserve">strane pravne osobe </w:t>
      </w:r>
      <w:r w:rsidR="009F1AFB" w:rsidRPr="001567C8">
        <w:rPr>
          <w:rFonts w:asciiTheme="minorHAnsi" w:hAnsiTheme="minorHAnsi" w:cs="Arial"/>
          <w:b w:val="0"/>
          <w:bCs w:val="0"/>
          <w:sz w:val="22"/>
          <w:szCs w:val="22"/>
          <w:lang w:val="hr-HR"/>
        </w:rPr>
        <w:t xml:space="preserve">0 </w:t>
      </w:r>
      <w:r w:rsidR="00CF7BB7" w:rsidRPr="001567C8">
        <w:rPr>
          <w:rFonts w:asciiTheme="minorHAnsi" w:hAnsiTheme="minorHAnsi" w:cs="Arial"/>
          <w:b w:val="0"/>
          <w:bCs w:val="0"/>
          <w:sz w:val="22"/>
          <w:szCs w:val="22"/>
          <w:lang w:val="hr-HR"/>
        </w:rPr>
        <w:t>tisuć</w:t>
      </w:r>
      <w:r w:rsidR="00BF0B5E" w:rsidRPr="001567C8">
        <w:rPr>
          <w:rFonts w:asciiTheme="minorHAnsi" w:hAnsiTheme="minorHAnsi" w:cs="Arial"/>
          <w:b w:val="0"/>
          <w:bCs w:val="0"/>
          <w:sz w:val="22"/>
          <w:szCs w:val="22"/>
          <w:lang w:val="hr-HR"/>
        </w:rPr>
        <w:t>a</w:t>
      </w:r>
      <w:r w:rsidR="00CF7BB7" w:rsidRPr="001567C8">
        <w:rPr>
          <w:rFonts w:asciiTheme="minorHAnsi" w:hAnsiTheme="minorHAnsi" w:cs="Arial"/>
          <w:b w:val="0"/>
          <w:bCs w:val="0"/>
          <w:sz w:val="22"/>
          <w:szCs w:val="22"/>
          <w:lang w:val="hr-HR"/>
        </w:rPr>
        <w:t xml:space="preserve"> kuna (31. prosinca </w:t>
      </w:r>
      <w:r w:rsidR="009F1AFB" w:rsidRPr="001567C8">
        <w:rPr>
          <w:rFonts w:asciiTheme="minorHAnsi" w:hAnsiTheme="minorHAnsi" w:cs="Arial"/>
          <w:b w:val="0"/>
          <w:bCs w:val="0"/>
          <w:sz w:val="22"/>
          <w:szCs w:val="22"/>
          <w:lang w:val="hr-HR"/>
        </w:rPr>
        <w:t>2017</w:t>
      </w:r>
      <w:r w:rsidR="00CF7BB7" w:rsidRPr="001567C8">
        <w:rPr>
          <w:rFonts w:asciiTheme="minorHAnsi" w:hAnsiTheme="minorHAnsi" w:cs="Arial"/>
          <w:b w:val="0"/>
          <w:bCs w:val="0"/>
          <w:sz w:val="22"/>
          <w:szCs w:val="22"/>
          <w:lang w:val="hr-HR"/>
        </w:rPr>
        <w:t xml:space="preserve">. godine: </w:t>
      </w:r>
      <w:r w:rsidR="009F1AFB" w:rsidRPr="001567C8">
        <w:rPr>
          <w:rFonts w:asciiTheme="minorHAnsi" w:hAnsiTheme="minorHAnsi" w:cs="Arial"/>
          <w:b w:val="0"/>
          <w:bCs w:val="0"/>
          <w:sz w:val="22"/>
          <w:szCs w:val="22"/>
          <w:lang w:val="hr-HR"/>
        </w:rPr>
        <w:t>1.439</w:t>
      </w:r>
      <w:r w:rsidR="00BF0B5E" w:rsidRPr="001567C8">
        <w:rPr>
          <w:rFonts w:asciiTheme="minorHAnsi" w:hAnsiTheme="minorHAnsi" w:cs="Arial"/>
          <w:b w:val="0"/>
          <w:bCs w:val="0"/>
          <w:sz w:val="22"/>
          <w:szCs w:val="22"/>
          <w:lang w:val="hr-HR"/>
        </w:rPr>
        <w:t xml:space="preserve"> </w:t>
      </w:r>
      <w:r w:rsidR="00CF7BB7" w:rsidRPr="001567C8">
        <w:rPr>
          <w:rFonts w:asciiTheme="minorHAnsi" w:hAnsiTheme="minorHAnsi" w:cs="Arial"/>
          <w:b w:val="0"/>
          <w:bCs w:val="0"/>
          <w:sz w:val="22"/>
          <w:szCs w:val="22"/>
          <w:lang w:val="hr-HR"/>
        </w:rPr>
        <w:t>tisuća kuna)</w:t>
      </w:r>
      <w:r w:rsidR="00612371" w:rsidRPr="001567C8">
        <w:rPr>
          <w:rFonts w:asciiTheme="minorHAnsi" w:hAnsiTheme="minorHAnsi" w:cs="Arial"/>
          <w:b w:val="0"/>
          <w:bCs w:val="0"/>
          <w:sz w:val="22"/>
          <w:szCs w:val="22"/>
          <w:lang w:val="hr-HR"/>
        </w:rPr>
        <w:t xml:space="preserve"> te na neprofitne institucije </w:t>
      </w:r>
      <w:r w:rsidR="009F1AFB" w:rsidRPr="001567C8">
        <w:rPr>
          <w:rFonts w:asciiTheme="minorHAnsi" w:hAnsiTheme="minorHAnsi" w:cs="Arial"/>
          <w:b w:val="0"/>
          <w:bCs w:val="0"/>
          <w:sz w:val="22"/>
          <w:szCs w:val="22"/>
          <w:lang w:val="hr-HR"/>
        </w:rPr>
        <w:t xml:space="preserve">0 </w:t>
      </w:r>
      <w:r w:rsidR="00612371" w:rsidRPr="001567C8">
        <w:rPr>
          <w:rFonts w:asciiTheme="minorHAnsi" w:hAnsiTheme="minorHAnsi" w:cs="Arial"/>
          <w:b w:val="0"/>
          <w:bCs w:val="0"/>
          <w:sz w:val="22"/>
          <w:szCs w:val="22"/>
          <w:lang w:val="hr-HR"/>
        </w:rPr>
        <w:t xml:space="preserve">tisuća kuna (31. prosinca </w:t>
      </w:r>
      <w:r w:rsidR="009F1AFB" w:rsidRPr="001567C8">
        <w:rPr>
          <w:rFonts w:asciiTheme="minorHAnsi" w:hAnsiTheme="minorHAnsi" w:cs="Arial"/>
          <w:b w:val="0"/>
          <w:bCs w:val="0"/>
          <w:sz w:val="22"/>
          <w:szCs w:val="22"/>
          <w:lang w:val="hr-HR"/>
        </w:rPr>
        <w:t>2017</w:t>
      </w:r>
      <w:r w:rsidR="00612371" w:rsidRPr="001567C8">
        <w:rPr>
          <w:rFonts w:asciiTheme="minorHAnsi" w:hAnsiTheme="minorHAnsi" w:cs="Arial"/>
          <w:b w:val="0"/>
          <w:bCs w:val="0"/>
          <w:sz w:val="22"/>
          <w:szCs w:val="22"/>
          <w:lang w:val="hr-HR"/>
        </w:rPr>
        <w:t xml:space="preserve">. godine: </w:t>
      </w:r>
      <w:r w:rsidR="009F1AFB" w:rsidRPr="001567C8">
        <w:rPr>
          <w:rFonts w:asciiTheme="minorHAnsi" w:hAnsiTheme="minorHAnsi" w:cs="Arial"/>
          <w:b w:val="0"/>
          <w:bCs w:val="0"/>
          <w:sz w:val="22"/>
          <w:szCs w:val="22"/>
          <w:lang w:val="hr-HR"/>
        </w:rPr>
        <w:t>25</w:t>
      </w:r>
      <w:r w:rsidR="00612371" w:rsidRPr="001567C8">
        <w:rPr>
          <w:rFonts w:asciiTheme="minorHAnsi" w:hAnsiTheme="minorHAnsi" w:cs="Arial"/>
          <w:b w:val="0"/>
          <w:bCs w:val="0"/>
          <w:sz w:val="22"/>
          <w:szCs w:val="22"/>
          <w:lang w:val="hr-HR"/>
        </w:rPr>
        <w:t xml:space="preserve"> tisuća kuna)</w:t>
      </w:r>
      <w:r w:rsidRPr="001567C8">
        <w:rPr>
          <w:rFonts w:asciiTheme="minorHAnsi" w:hAnsiTheme="minorHAnsi" w:cs="Arial"/>
          <w:b w:val="0"/>
          <w:bCs w:val="0"/>
          <w:sz w:val="22"/>
          <w:szCs w:val="22"/>
          <w:lang w:val="hr-HR"/>
        </w:rPr>
        <w:t xml:space="preserve">. </w:t>
      </w:r>
    </w:p>
    <w:p w:rsidR="00C03F1F" w:rsidRPr="001567C8" w:rsidRDefault="00C03F1F" w:rsidP="00C03F1F">
      <w:pPr>
        <w:pStyle w:val="T1"/>
        <w:keepNext w:val="0"/>
        <w:spacing w:before="0" w:after="0" w:line="240" w:lineRule="auto"/>
        <w:rPr>
          <w:rFonts w:asciiTheme="minorHAnsi" w:hAnsiTheme="minorHAnsi" w:cs="Arial"/>
          <w:b w:val="0"/>
          <w:bCs w:val="0"/>
          <w:sz w:val="22"/>
          <w:szCs w:val="22"/>
          <w:lang w:val="hr-HR"/>
        </w:rPr>
      </w:pPr>
    </w:p>
    <w:p w:rsidR="006D0890" w:rsidRPr="001567C8" w:rsidRDefault="006D0890" w:rsidP="00C03F1F">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Promjene na rezerviranjima za </w:t>
      </w:r>
      <w:r w:rsidR="00640BE0" w:rsidRPr="001567C8">
        <w:rPr>
          <w:rFonts w:asciiTheme="minorHAnsi" w:hAnsiTheme="minorHAnsi" w:cs="Arial"/>
          <w:b w:val="0"/>
          <w:bCs w:val="0"/>
          <w:sz w:val="22"/>
          <w:szCs w:val="22"/>
          <w:lang w:val="hr-HR"/>
        </w:rPr>
        <w:t xml:space="preserve">očekivane </w:t>
      </w:r>
      <w:r w:rsidRPr="001567C8">
        <w:rPr>
          <w:rFonts w:asciiTheme="minorHAnsi" w:hAnsiTheme="minorHAnsi" w:cs="Arial"/>
          <w:b w:val="0"/>
          <w:bCs w:val="0"/>
          <w:sz w:val="22"/>
          <w:szCs w:val="22"/>
          <w:lang w:val="hr-HR"/>
        </w:rPr>
        <w:t>gubitke po garancijama</w:t>
      </w:r>
      <w:r w:rsidR="00F57661"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 xml:space="preserve">preuzetim </w:t>
      </w:r>
      <w:r w:rsidR="00F57661" w:rsidRPr="001567C8">
        <w:rPr>
          <w:rFonts w:asciiTheme="minorHAnsi" w:hAnsiTheme="minorHAnsi" w:cs="Arial"/>
          <w:b w:val="0"/>
          <w:bCs w:val="0"/>
          <w:sz w:val="22"/>
          <w:szCs w:val="22"/>
          <w:lang w:val="hr-HR"/>
        </w:rPr>
        <w:t xml:space="preserve">i ostalim </w:t>
      </w:r>
      <w:r w:rsidRPr="001567C8">
        <w:rPr>
          <w:rFonts w:asciiTheme="minorHAnsi" w:hAnsiTheme="minorHAnsi" w:cs="Arial"/>
          <w:b w:val="0"/>
          <w:bCs w:val="0"/>
          <w:sz w:val="22"/>
          <w:szCs w:val="22"/>
          <w:lang w:val="hr-HR"/>
        </w:rPr>
        <w:t>obvezama mogu se prikazati kako slijedi:</w:t>
      </w:r>
    </w:p>
    <w:p w:rsidR="00D015B1" w:rsidRPr="001567C8" w:rsidRDefault="00D015B1" w:rsidP="00C03F1F">
      <w:pPr>
        <w:pStyle w:val="T1"/>
        <w:keepNext w:val="0"/>
        <w:spacing w:before="0" w:after="0" w:line="240" w:lineRule="auto"/>
        <w:rPr>
          <w:rFonts w:asciiTheme="minorHAnsi" w:hAnsiTheme="minorHAnsi" w:cs="Arial"/>
          <w:b w:val="0"/>
          <w:bCs w:val="0"/>
          <w:sz w:val="22"/>
          <w:szCs w:val="22"/>
          <w:lang w:val="hr-HR"/>
        </w:rPr>
      </w:pPr>
    </w:p>
    <w:tbl>
      <w:tblPr>
        <w:tblW w:w="9308" w:type="dxa"/>
        <w:tblLook w:val="04A0" w:firstRow="1" w:lastRow="0" w:firstColumn="1" w:lastColumn="0" w:noHBand="0" w:noVBand="1"/>
      </w:tblPr>
      <w:tblGrid>
        <w:gridCol w:w="6820"/>
        <w:gridCol w:w="1244"/>
        <w:gridCol w:w="1244"/>
      </w:tblGrid>
      <w:tr w:rsidR="00822BED" w:rsidRPr="001567C8" w:rsidTr="00E5067B">
        <w:trPr>
          <w:trHeight w:val="175"/>
        </w:trPr>
        <w:tc>
          <w:tcPr>
            <w:tcW w:w="6820" w:type="dxa"/>
            <w:tcBorders>
              <w:top w:val="nil"/>
              <w:left w:val="nil"/>
              <w:bottom w:val="nil"/>
              <w:right w:val="nil"/>
            </w:tcBorders>
            <w:shd w:val="clear" w:color="auto" w:fill="auto"/>
            <w:vAlign w:val="center"/>
            <w:hideMark/>
          </w:tcPr>
          <w:p w:rsidR="00822BED" w:rsidRPr="00CD3A2D" w:rsidRDefault="00822BED" w:rsidP="00D015B1">
            <w:pPr>
              <w:rPr>
                <w:sz w:val="20"/>
                <w:szCs w:val="20"/>
                <w:lang w:val="hr-HR"/>
              </w:rPr>
            </w:pP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Grupa</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Banka</w:t>
            </w:r>
          </w:p>
        </w:tc>
      </w:tr>
      <w:tr w:rsidR="00822BED" w:rsidRPr="001567C8" w:rsidTr="00E5067B">
        <w:trPr>
          <w:trHeight w:val="206"/>
        </w:trPr>
        <w:tc>
          <w:tcPr>
            <w:tcW w:w="6820"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000 kuna</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000 kuna</w:t>
            </w:r>
          </w:p>
        </w:tc>
      </w:tr>
      <w:tr w:rsidR="00822BED" w:rsidRPr="001567C8" w:rsidTr="00E5067B">
        <w:trPr>
          <w:trHeight w:val="206"/>
        </w:trPr>
        <w:tc>
          <w:tcPr>
            <w:tcW w:w="6820"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p>
        </w:tc>
        <w:tc>
          <w:tcPr>
            <w:tcW w:w="1244" w:type="dxa"/>
            <w:tcBorders>
              <w:top w:val="nil"/>
              <w:left w:val="nil"/>
              <w:bottom w:val="nil"/>
              <w:right w:val="nil"/>
            </w:tcBorders>
            <w:shd w:val="clear" w:color="auto" w:fill="auto"/>
            <w:vAlign w:val="center"/>
            <w:hideMark/>
          </w:tcPr>
          <w:p w:rsidR="00822BED" w:rsidRPr="00CD3A2D" w:rsidRDefault="00822BED" w:rsidP="00D015B1">
            <w:pPr>
              <w:rPr>
                <w:sz w:val="20"/>
                <w:szCs w:val="20"/>
                <w:lang w:val="hr-HR"/>
              </w:rPr>
            </w:pP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sz w:val="20"/>
                <w:szCs w:val="20"/>
                <w:lang w:val="hr-HR"/>
              </w:rPr>
            </w:pP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Stanje 1. siječnja 2017. godine</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75.103 </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75.103 </w:t>
            </w: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 xml:space="preserve">Povećanje rezerviranja za </w:t>
            </w:r>
            <w:r w:rsidR="009C322E" w:rsidRPr="00CD3A2D">
              <w:rPr>
                <w:rFonts w:ascii="Calibri" w:hAnsi="Calibri"/>
                <w:sz w:val="20"/>
                <w:szCs w:val="20"/>
                <w:lang w:val="hr-HR"/>
              </w:rPr>
              <w:t>očekivane</w:t>
            </w:r>
            <w:r w:rsidRPr="00CD3A2D">
              <w:rPr>
                <w:rFonts w:ascii="Calibri" w:hAnsi="Calibri"/>
                <w:sz w:val="20"/>
                <w:szCs w:val="20"/>
                <w:lang w:val="hr-HR"/>
              </w:rPr>
              <w:t xml:space="preserve"> gubitke po garancijama i preuzetim obvezama</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11.523 </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11.523 </w:t>
            </w: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 xml:space="preserve">Smanjenje rezerviranja za </w:t>
            </w:r>
            <w:r w:rsidR="009C322E" w:rsidRPr="00CD3A2D">
              <w:rPr>
                <w:rFonts w:ascii="Calibri" w:hAnsi="Calibri"/>
                <w:sz w:val="20"/>
                <w:szCs w:val="20"/>
                <w:lang w:val="hr-HR"/>
              </w:rPr>
              <w:t>očekivane</w:t>
            </w:r>
            <w:r w:rsidRPr="00CD3A2D">
              <w:rPr>
                <w:rFonts w:ascii="Calibri" w:hAnsi="Calibri"/>
                <w:sz w:val="20"/>
                <w:szCs w:val="20"/>
                <w:lang w:val="hr-HR"/>
              </w:rPr>
              <w:t xml:space="preserve"> gubitke po garancijama i preuzetim obvezama</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(21.878)</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(21.878)</w:t>
            </w: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Neto tečajn</w:t>
            </w:r>
            <w:r w:rsidR="00920EAE" w:rsidRPr="00CD3A2D">
              <w:rPr>
                <w:rFonts w:ascii="Calibri" w:hAnsi="Calibri"/>
                <w:sz w:val="20"/>
                <w:szCs w:val="20"/>
                <w:lang w:val="hr-HR"/>
              </w:rPr>
              <w:t>e</w:t>
            </w:r>
            <w:r w:rsidRPr="00CD3A2D">
              <w:rPr>
                <w:rFonts w:ascii="Calibri" w:hAnsi="Calibri"/>
                <w:sz w:val="20"/>
                <w:szCs w:val="20"/>
                <w:lang w:val="hr-HR"/>
              </w:rPr>
              <w:t xml:space="preserve"> razlik</w:t>
            </w:r>
            <w:r w:rsidR="00920EAE" w:rsidRPr="00CD3A2D">
              <w:rPr>
                <w:rFonts w:ascii="Calibri" w:hAnsi="Calibri"/>
                <w:sz w:val="20"/>
                <w:szCs w:val="20"/>
                <w:lang w:val="hr-HR"/>
              </w:rPr>
              <w:t>e</w:t>
            </w:r>
            <w:r w:rsidRPr="00CD3A2D">
              <w:rPr>
                <w:rFonts w:ascii="Calibri" w:hAnsi="Calibri"/>
                <w:sz w:val="20"/>
                <w:szCs w:val="20"/>
                <w:lang w:val="hr-HR"/>
              </w:rPr>
              <w:t xml:space="preserve"> po rezerviranjima za </w:t>
            </w:r>
            <w:r w:rsidR="00640BE0" w:rsidRPr="00CD3A2D">
              <w:rPr>
                <w:rFonts w:ascii="Calibri" w:hAnsi="Calibri"/>
                <w:sz w:val="20"/>
                <w:szCs w:val="20"/>
                <w:lang w:val="hr-HR"/>
              </w:rPr>
              <w:t>očekivane</w:t>
            </w:r>
            <w:r w:rsidRPr="00CD3A2D">
              <w:rPr>
                <w:rFonts w:ascii="Calibri" w:hAnsi="Calibri"/>
                <w:sz w:val="20"/>
                <w:szCs w:val="20"/>
                <w:lang w:val="hr-HR"/>
              </w:rPr>
              <w:t xml:space="preserve"> gubitke</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(388)</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(388)</w:t>
            </w:r>
          </w:p>
        </w:tc>
      </w:tr>
      <w:tr w:rsidR="00822BED" w:rsidRPr="001567C8" w:rsidTr="00556CFA">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b/>
                <w:bCs/>
                <w:sz w:val="20"/>
                <w:szCs w:val="20"/>
                <w:lang w:val="hr-HR"/>
              </w:rPr>
            </w:pPr>
            <w:r w:rsidRPr="00CD3A2D">
              <w:rPr>
                <w:rFonts w:ascii="Calibri" w:hAnsi="Calibri"/>
                <w:b/>
                <w:bCs/>
                <w:sz w:val="20"/>
                <w:szCs w:val="20"/>
                <w:lang w:val="hr-HR"/>
              </w:rPr>
              <w:t xml:space="preserve">Stanje 31. prosinca 2017. godine </w:t>
            </w:r>
          </w:p>
        </w:tc>
        <w:tc>
          <w:tcPr>
            <w:tcW w:w="1244" w:type="dxa"/>
            <w:tcBorders>
              <w:top w:val="single" w:sz="4" w:space="0" w:color="auto"/>
              <w:left w:val="nil"/>
              <w:bottom w:val="single" w:sz="12" w:space="0" w:color="auto"/>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 xml:space="preserve">   64.360 </w:t>
            </w:r>
          </w:p>
        </w:tc>
        <w:tc>
          <w:tcPr>
            <w:tcW w:w="1244" w:type="dxa"/>
            <w:tcBorders>
              <w:top w:val="single" w:sz="4" w:space="0" w:color="auto"/>
              <w:left w:val="nil"/>
              <w:bottom w:val="single" w:sz="12" w:space="0" w:color="auto"/>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 xml:space="preserve">      64.360 </w:t>
            </w:r>
          </w:p>
        </w:tc>
      </w:tr>
      <w:tr w:rsidR="00822BED" w:rsidRPr="001567C8" w:rsidTr="00556CFA">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Učinak MSFI-ja 9 (bilješka 5)</w:t>
            </w:r>
          </w:p>
        </w:tc>
        <w:tc>
          <w:tcPr>
            <w:tcW w:w="1244" w:type="dxa"/>
            <w:tcBorders>
              <w:top w:val="single" w:sz="12" w:space="0" w:color="auto"/>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(15.013)</w:t>
            </w:r>
          </w:p>
        </w:tc>
        <w:tc>
          <w:tcPr>
            <w:tcW w:w="1244" w:type="dxa"/>
            <w:tcBorders>
              <w:top w:val="single" w:sz="12" w:space="0" w:color="auto"/>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(15.013)</w:t>
            </w:r>
          </w:p>
        </w:tc>
      </w:tr>
      <w:tr w:rsidR="00822BED" w:rsidRPr="001567C8" w:rsidTr="00556CFA">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b/>
                <w:bCs/>
                <w:sz w:val="20"/>
                <w:szCs w:val="20"/>
                <w:lang w:val="hr-HR"/>
              </w:rPr>
            </w:pPr>
            <w:r w:rsidRPr="00CD3A2D">
              <w:rPr>
                <w:rFonts w:ascii="Calibri" w:hAnsi="Calibri"/>
                <w:b/>
                <w:bCs/>
                <w:sz w:val="20"/>
                <w:szCs w:val="20"/>
                <w:lang w:val="hr-HR"/>
              </w:rPr>
              <w:t>Stanje 1. siječnja 2018. godine</w:t>
            </w:r>
          </w:p>
        </w:tc>
        <w:tc>
          <w:tcPr>
            <w:tcW w:w="1244" w:type="dxa"/>
            <w:tcBorders>
              <w:top w:val="single" w:sz="4" w:space="0" w:color="auto"/>
              <w:left w:val="nil"/>
              <w:bottom w:val="single" w:sz="12" w:space="0" w:color="auto"/>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 xml:space="preserve">    49.347 </w:t>
            </w:r>
          </w:p>
        </w:tc>
        <w:tc>
          <w:tcPr>
            <w:tcW w:w="1244" w:type="dxa"/>
            <w:tcBorders>
              <w:top w:val="single" w:sz="4" w:space="0" w:color="auto"/>
              <w:left w:val="nil"/>
              <w:bottom w:val="single" w:sz="12" w:space="0" w:color="auto"/>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 xml:space="preserve">     49.347 </w:t>
            </w:r>
          </w:p>
        </w:tc>
      </w:tr>
      <w:tr w:rsidR="00822BED" w:rsidRPr="001567C8" w:rsidTr="00556CFA">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 xml:space="preserve">Povećanje rezerviranja za </w:t>
            </w:r>
            <w:r w:rsidR="009C322E" w:rsidRPr="00CD3A2D">
              <w:rPr>
                <w:rFonts w:ascii="Calibri" w:hAnsi="Calibri"/>
                <w:sz w:val="20"/>
                <w:szCs w:val="20"/>
                <w:lang w:val="hr-HR"/>
              </w:rPr>
              <w:t>očekivane</w:t>
            </w:r>
            <w:r w:rsidRPr="00CD3A2D">
              <w:rPr>
                <w:rFonts w:ascii="Calibri" w:hAnsi="Calibri"/>
                <w:sz w:val="20"/>
                <w:szCs w:val="20"/>
                <w:lang w:val="hr-HR"/>
              </w:rPr>
              <w:t xml:space="preserve"> gubitke po garancijama i preuzetim obvezama</w:t>
            </w:r>
          </w:p>
        </w:tc>
        <w:tc>
          <w:tcPr>
            <w:tcW w:w="1244" w:type="dxa"/>
            <w:tcBorders>
              <w:top w:val="single" w:sz="12" w:space="0" w:color="auto"/>
              <w:left w:val="nil"/>
              <w:bottom w:val="nil"/>
              <w:right w:val="nil"/>
            </w:tcBorders>
            <w:shd w:val="clear" w:color="auto" w:fill="auto"/>
            <w:vAlign w:val="center"/>
            <w:hideMark/>
          </w:tcPr>
          <w:p w:rsidR="00822BED" w:rsidRPr="00CD3A2D" w:rsidRDefault="00694E9F" w:rsidP="00D015B1">
            <w:pPr>
              <w:jc w:val="right"/>
              <w:rPr>
                <w:rFonts w:ascii="Calibri" w:hAnsi="Calibri"/>
                <w:sz w:val="20"/>
                <w:szCs w:val="20"/>
                <w:lang w:val="hr-HR"/>
              </w:rPr>
            </w:pPr>
            <w:r w:rsidRPr="00CD3A2D">
              <w:rPr>
                <w:rFonts w:ascii="Calibri" w:hAnsi="Calibri"/>
                <w:sz w:val="20"/>
                <w:szCs w:val="20"/>
                <w:lang w:val="hr-HR"/>
              </w:rPr>
              <w:t xml:space="preserve">  343.304</w:t>
            </w:r>
          </w:p>
        </w:tc>
        <w:tc>
          <w:tcPr>
            <w:tcW w:w="1244" w:type="dxa"/>
            <w:tcBorders>
              <w:top w:val="single" w:sz="12" w:space="0" w:color="auto"/>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343.304 </w:t>
            </w: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 xml:space="preserve">Smanjenje rezerviranja za </w:t>
            </w:r>
            <w:r w:rsidR="009C322E" w:rsidRPr="00CD3A2D">
              <w:rPr>
                <w:rFonts w:ascii="Calibri" w:hAnsi="Calibri"/>
                <w:sz w:val="20"/>
                <w:szCs w:val="20"/>
                <w:lang w:val="hr-HR"/>
              </w:rPr>
              <w:t>očekivane</w:t>
            </w:r>
            <w:r w:rsidRPr="00CD3A2D">
              <w:rPr>
                <w:rFonts w:ascii="Calibri" w:hAnsi="Calibri"/>
                <w:sz w:val="20"/>
                <w:szCs w:val="20"/>
                <w:lang w:val="hr-HR"/>
              </w:rPr>
              <w:t xml:space="preserve"> gubitke po garancijama i preuzetim obvezama</w:t>
            </w:r>
          </w:p>
        </w:tc>
        <w:tc>
          <w:tcPr>
            <w:tcW w:w="1244" w:type="dxa"/>
            <w:tcBorders>
              <w:top w:val="nil"/>
              <w:left w:val="nil"/>
              <w:bottom w:val="nil"/>
              <w:right w:val="nil"/>
            </w:tcBorders>
            <w:shd w:val="clear" w:color="auto" w:fill="auto"/>
            <w:vAlign w:val="center"/>
            <w:hideMark/>
          </w:tcPr>
          <w:p w:rsidR="00822BED" w:rsidRPr="00CD3A2D" w:rsidRDefault="00694E9F" w:rsidP="00D015B1">
            <w:pPr>
              <w:jc w:val="right"/>
              <w:rPr>
                <w:rFonts w:ascii="Calibri" w:hAnsi="Calibri"/>
                <w:sz w:val="20"/>
                <w:szCs w:val="20"/>
                <w:lang w:val="hr-HR"/>
              </w:rPr>
            </w:pPr>
            <w:r w:rsidRPr="00CD3A2D">
              <w:rPr>
                <w:rFonts w:ascii="Calibri" w:hAnsi="Calibri"/>
                <w:sz w:val="20"/>
                <w:szCs w:val="20"/>
                <w:lang w:val="hr-HR"/>
              </w:rPr>
              <w:t>(133.193)</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(133.193)</w:t>
            </w: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i/>
                <w:iCs/>
                <w:sz w:val="20"/>
                <w:szCs w:val="20"/>
                <w:lang w:val="hr-HR"/>
              </w:rPr>
            </w:pPr>
            <w:r w:rsidRPr="00CD3A2D">
              <w:rPr>
                <w:rFonts w:ascii="Calibri" w:hAnsi="Calibri"/>
                <w:i/>
                <w:iCs/>
                <w:sz w:val="20"/>
                <w:szCs w:val="20"/>
                <w:lang w:val="hr-HR"/>
              </w:rPr>
              <w:t>Ukupno kroz dobit i</w:t>
            </w:r>
            <w:r w:rsidR="00316574" w:rsidRPr="00CD3A2D">
              <w:rPr>
                <w:rFonts w:ascii="Calibri" w:hAnsi="Calibri"/>
                <w:i/>
                <w:iCs/>
                <w:sz w:val="20"/>
                <w:szCs w:val="20"/>
                <w:lang w:val="hr-HR"/>
              </w:rPr>
              <w:t>li</w:t>
            </w:r>
            <w:r w:rsidRPr="00CD3A2D">
              <w:rPr>
                <w:rFonts w:ascii="Calibri" w:hAnsi="Calibri"/>
                <w:i/>
                <w:iCs/>
                <w:sz w:val="20"/>
                <w:szCs w:val="20"/>
                <w:lang w:val="hr-HR"/>
              </w:rPr>
              <w:t xml:space="preserve"> gubit</w:t>
            </w:r>
            <w:r w:rsidR="00316574" w:rsidRPr="00CD3A2D">
              <w:rPr>
                <w:rFonts w:ascii="Calibri" w:hAnsi="Calibri"/>
                <w:i/>
                <w:iCs/>
                <w:sz w:val="20"/>
                <w:szCs w:val="20"/>
                <w:lang w:val="hr-HR"/>
              </w:rPr>
              <w:t>ak</w:t>
            </w:r>
            <w:r w:rsidRPr="00CD3A2D">
              <w:rPr>
                <w:rFonts w:ascii="Calibri" w:hAnsi="Calibri"/>
                <w:i/>
                <w:iCs/>
                <w:sz w:val="20"/>
                <w:szCs w:val="20"/>
                <w:lang w:val="hr-HR"/>
              </w:rPr>
              <w:t xml:space="preserve"> (bilješka </w:t>
            </w:r>
            <w:r w:rsidR="00CB15E6" w:rsidRPr="00CD3A2D">
              <w:rPr>
                <w:rFonts w:ascii="Calibri" w:hAnsi="Calibri"/>
                <w:i/>
                <w:iCs/>
                <w:sz w:val="20"/>
                <w:szCs w:val="20"/>
                <w:lang w:val="hr-HR"/>
              </w:rPr>
              <w:t>11</w:t>
            </w:r>
            <w:r w:rsidRPr="00CD3A2D">
              <w:rPr>
                <w:rFonts w:ascii="Calibri" w:hAnsi="Calibri"/>
                <w:i/>
                <w:iCs/>
                <w:sz w:val="20"/>
                <w:szCs w:val="20"/>
                <w:lang w:val="hr-HR"/>
              </w:rPr>
              <w:t>)</w:t>
            </w:r>
          </w:p>
        </w:tc>
        <w:tc>
          <w:tcPr>
            <w:tcW w:w="1244" w:type="dxa"/>
            <w:tcBorders>
              <w:top w:val="single" w:sz="4" w:space="0" w:color="auto"/>
              <w:left w:val="nil"/>
              <w:bottom w:val="single" w:sz="4" w:space="0" w:color="auto"/>
              <w:right w:val="nil"/>
            </w:tcBorders>
            <w:shd w:val="clear" w:color="auto" w:fill="auto"/>
            <w:vAlign w:val="center"/>
            <w:hideMark/>
          </w:tcPr>
          <w:p w:rsidR="00822BED" w:rsidRPr="00CD3A2D" w:rsidRDefault="00694E9F" w:rsidP="00D015B1">
            <w:pPr>
              <w:jc w:val="right"/>
              <w:rPr>
                <w:rFonts w:ascii="Calibri" w:hAnsi="Calibri"/>
                <w:i/>
                <w:iCs/>
                <w:sz w:val="20"/>
                <w:szCs w:val="20"/>
                <w:lang w:val="hr-HR"/>
              </w:rPr>
            </w:pPr>
            <w:r w:rsidRPr="00CD3A2D">
              <w:rPr>
                <w:rFonts w:ascii="Calibri" w:hAnsi="Calibri"/>
                <w:i/>
                <w:iCs/>
                <w:sz w:val="20"/>
                <w:szCs w:val="20"/>
                <w:lang w:val="hr-HR"/>
              </w:rPr>
              <w:t xml:space="preserve">  210.111</w:t>
            </w:r>
            <w:r w:rsidR="00822BED" w:rsidRPr="00CD3A2D">
              <w:rPr>
                <w:rFonts w:ascii="Calibri" w:hAnsi="Calibri"/>
                <w:i/>
                <w:iCs/>
                <w:sz w:val="20"/>
                <w:szCs w:val="20"/>
                <w:lang w:val="hr-HR"/>
              </w:rPr>
              <w:t> </w:t>
            </w:r>
          </w:p>
        </w:tc>
        <w:tc>
          <w:tcPr>
            <w:tcW w:w="1244" w:type="dxa"/>
            <w:tcBorders>
              <w:top w:val="single" w:sz="4" w:space="0" w:color="auto"/>
              <w:left w:val="nil"/>
              <w:bottom w:val="single" w:sz="4" w:space="0" w:color="auto"/>
              <w:right w:val="nil"/>
            </w:tcBorders>
            <w:shd w:val="clear" w:color="auto" w:fill="auto"/>
            <w:vAlign w:val="center"/>
            <w:hideMark/>
          </w:tcPr>
          <w:p w:rsidR="00822BED" w:rsidRPr="00CD3A2D" w:rsidRDefault="00822BED" w:rsidP="00D015B1">
            <w:pPr>
              <w:jc w:val="right"/>
              <w:rPr>
                <w:rFonts w:ascii="Calibri" w:hAnsi="Calibri"/>
                <w:i/>
                <w:iCs/>
                <w:sz w:val="20"/>
                <w:szCs w:val="20"/>
                <w:lang w:val="hr-HR"/>
              </w:rPr>
            </w:pPr>
            <w:r w:rsidRPr="00CD3A2D">
              <w:rPr>
                <w:rFonts w:ascii="Calibri" w:hAnsi="Calibri"/>
                <w:i/>
                <w:iCs/>
                <w:sz w:val="20"/>
                <w:szCs w:val="20"/>
                <w:lang w:val="hr-HR"/>
              </w:rPr>
              <w:t xml:space="preserve">  210.111 </w:t>
            </w: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Neto tečajn</w:t>
            </w:r>
            <w:r w:rsidR="00920EAE" w:rsidRPr="00CD3A2D">
              <w:rPr>
                <w:rFonts w:ascii="Calibri" w:hAnsi="Calibri"/>
                <w:sz w:val="20"/>
                <w:szCs w:val="20"/>
                <w:lang w:val="hr-HR"/>
              </w:rPr>
              <w:t>e</w:t>
            </w:r>
            <w:r w:rsidRPr="00CD3A2D">
              <w:rPr>
                <w:rFonts w:ascii="Calibri" w:hAnsi="Calibri"/>
                <w:sz w:val="20"/>
                <w:szCs w:val="20"/>
                <w:lang w:val="hr-HR"/>
              </w:rPr>
              <w:t xml:space="preserve"> razlik</w:t>
            </w:r>
            <w:r w:rsidR="00920EAE" w:rsidRPr="00CD3A2D">
              <w:rPr>
                <w:rFonts w:ascii="Calibri" w:hAnsi="Calibri"/>
                <w:sz w:val="20"/>
                <w:szCs w:val="20"/>
                <w:lang w:val="hr-HR"/>
              </w:rPr>
              <w:t>e</w:t>
            </w:r>
            <w:r w:rsidRPr="00CD3A2D">
              <w:rPr>
                <w:rFonts w:ascii="Calibri" w:hAnsi="Calibri"/>
                <w:sz w:val="20"/>
                <w:szCs w:val="20"/>
                <w:lang w:val="hr-HR"/>
              </w:rPr>
              <w:t xml:space="preserve"> po rezerviranjima za </w:t>
            </w:r>
            <w:r w:rsidR="00640BE0" w:rsidRPr="00CD3A2D">
              <w:rPr>
                <w:rFonts w:ascii="Calibri" w:hAnsi="Calibri"/>
                <w:sz w:val="20"/>
                <w:szCs w:val="20"/>
                <w:lang w:val="hr-HR"/>
              </w:rPr>
              <w:t>očekivane</w:t>
            </w:r>
            <w:r w:rsidRPr="00CD3A2D">
              <w:rPr>
                <w:rFonts w:ascii="Calibri" w:hAnsi="Calibri"/>
                <w:sz w:val="20"/>
                <w:szCs w:val="20"/>
                <w:lang w:val="hr-HR"/>
              </w:rPr>
              <w:t xml:space="preserve"> gubitke</w:t>
            </w:r>
          </w:p>
        </w:tc>
        <w:tc>
          <w:tcPr>
            <w:tcW w:w="1244" w:type="dxa"/>
            <w:tcBorders>
              <w:top w:val="nil"/>
              <w:left w:val="nil"/>
              <w:bottom w:val="nil"/>
              <w:right w:val="nil"/>
            </w:tcBorders>
            <w:shd w:val="clear" w:color="auto" w:fill="auto"/>
            <w:vAlign w:val="center"/>
            <w:hideMark/>
          </w:tcPr>
          <w:p w:rsidR="00822BED" w:rsidRPr="00CD3A2D" w:rsidRDefault="00694E9F" w:rsidP="00D015B1">
            <w:pPr>
              <w:jc w:val="right"/>
              <w:rPr>
                <w:rFonts w:ascii="Calibri" w:hAnsi="Calibri"/>
                <w:sz w:val="20"/>
                <w:szCs w:val="20"/>
                <w:lang w:val="hr-HR"/>
              </w:rPr>
            </w:pPr>
            <w:r w:rsidRPr="00CD3A2D">
              <w:rPr>
                <w:rFonts w:ascii="Calibri" w:hAnsi="Calibri"/>
                <w:sz w:val="20"/>
                <w:szCs w:val="20"/>
                <w:lang w:val="hr-HR"/>
              </w:rPr>
              <w:t xml:space="preserve">        1.825</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1.825 </w:t>
            </w:r>
          </w:p>
        </w:tc>
      </w:tr>
      <w:tr w:rsidR="00822BED" w:rsidRPr="001567C8" w:rsidTr="00556CFA">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b/>
                <w:bCs/>
                <w:sz w:val="20"/>
                <w:szCs w:val="20"/>
                <w:lang w:val="hr-HR"/>
              </w:rPr>
            </w:pPr>
            <w:r w:rsidRPr="00CD3A2D">
              <w:rPr>
                <w:rFonts w:ascii="Calibri" w:hAnsi="Calibri"/>
                <w:b/>
                <w:bCs/>
                <w:sz w:val="20"/>
                <w:szCs w:val="20"/>
                <w:lang w:val="hr-HR"/>
              </w:rPr>
              <w:t>Stanje 31. prosinca 2018. godine - Rezerviranja za garancije i preuzete obveze</w:t>
            </w:r>
          </w:p>
        </w:tc>
        <w:tc>
          <w:tcPr>
            <w:tcW w:w="1244" w:type="dxa"/>
            <w:tcBorders>
              <w:top w:val="single" w:sz="4" w:space="0" w:color="auto"/>
              <w:left w:val="nil"/>
              <w:bottom w:val="single" w:sz="4" w:space="0" w:color="auto"/>
              <w:right w:val="nil"/>
            </w:tcBorders>
            <w:shd w:val="clear" w:color="auto" w:fill="auto"/>
            <w:vAlign w:val="center"/>
            <w:hideMark/>
          </w:tcPr>
          <w:p w:rsidR="00822BED" w:rsidRPr="00CD3A2D" w:rsidRDefault="00694E9F" w:rsidP="00D015B1">
            <w:pPr>
              <w:jc w:val="right"/>
              <w:rPr>
                <w:rFonts w:ascii="Calibri" w:hAnsi="Calibri"/>
                <w:b/>
                <w:bCs/>
                <w:sz w:val="20"/>
                <w:szCs w:val="20"/>
                <w:lang w:val="hr-HR"/>
              </w:rPr>
            </w:pPr>
            <w:r w:rsidRPr="00CD3A2D">
              <w:rPr>
                <w:rFonts w:ascii="Calibri" w:hAnsi="Calibri"/>
                <w:b/>
                <w:bCs/>
                <w:sz w:val="20"/>
                <w:szCs w:val="20"/>
                <w:lang w:val="hr-HR"/>
              </w:rPr>
              <w:t xml:space="preserve">     261.283 </w:t>
            </w:r>
            <w:r w:rsidR="00822BED" w:rsidRPr="00CD3A2D">
              <w:rPr>
                <w:rFonts w:ascii="Calibri" w:hAnsi="Calibri"/>
                <w:b/>
                <w:bCs/>
                <w:sz w:val="20"/>
                <w:szCs w:val="20"/>
                <w:lang w:val="hr-HR"/>
              </w:rPr>
              <w:t xml:space="preserve"> </w:t>
            </w:r>
          </w:p>
        </w:tc>
        <w:tc>
          <w:tcPr>
            <w:tcW w:w="1244" w:type="dxa"/>
            <w:tcBorders>
              <w:top w:val="single" w:sz="4" w:space="0" w:color="auto"/>
              <w:left w:val="nil"/>
              <w:bottom w:val="single" w:sz="4" w:space="0" w:color="auto"/>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 xml:space="preserve">     261.283 </w:t>
            </w:r>
          </w:p>
        </w:tc>
      </w:tr>
      <w:tr w:rsidR="00822BED" w:rsidRPr="001567C8" w:rsidTr="00556CFA">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b/>
                <w:bCs/>
                <w:sz w:val="20"/>
                <w:szCs w:val="20"/>
                <w:lang w:val="hr-HR"/>
              </w:rPr>
            </w:pPr>
            <w:r w:rsidRPr="00CD3A2D">
              <w:rPr>
                <w:rFonts w:ascii="Calibri" w:hAnsi="Calibri"/>
                <w:b/>
                <w:bCs/>
                <w:sz w:val="20"/>
                <w:szCs w:val="20"/>
                <w:lang w:val="hr-HR"/>
              </w:rPr>
              <w:t>Stanje 1. siječnja 2018. godine</w:t>
            </w:r>
          </w:p>
        </w:tc>
        <w:tc>
          <w:tcPr>
            <w:tcW w:w="1244" w:type="dxa"/>
            <w:tcBorders>
              <w:top w:val="single" w:sz="4" w:space="0" w:color="auto"/>
              <w:left w:val="nil"/>
              <w:bottom w:val="single" w:sz="12" w:space="0" w:color="auto"/>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 xml:space="preserve">      76.980 </w:t>
            </w:r>
          </w:p>
        </w:tc>
        <w:tc>
          <w:tcPr>
            <w:tcW w:w="1244" w:type="dxa"/>
            <w:tcBorders>
              <w:top w:val="single" w:sz="4" w:space="0" w:color="auto"/>
              <w:left w:val="nil"/>
              <w:bottom w:val="single" w:sz="12" w:space="0" w:color="auto"/>
              <w:right w:val="nil"/>
            </w:tcBorders>
            <w:shd w:val="clear" w:color="auto" w:fill="auto"/>
            <w:vAlign w:val="center"/>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 xml:space="preserve">     76.723 </w:t>
            </w:r>
          </w:p>
        </w:tc>
      </w:tr>
      <w:tr w:rsidR="00822BED" w:rsidRPr="001567C8" w:rsidTr="00556CFA">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 xml:space="preserve">Povećanje rezerviranja za </w:t>
            </w:r>
            <w:r w:rsidR="009C322E" w:rsidRPr="00CD3A2D">
              <w:rPr>
                <w:rFonts w:ascii="Calibri" w:hAnsi="Calibri"/>
                <w:sz w:val="20"/>
                <w:szCs w:val="20"/>
                <w:lang w:val="hr-HR"/>
              </w:rPr>
              <w:t>očekivane</w:t>
            </w:r>
            <w:r w:rsidRPr="00CD3A2D">
              <w:rPr>
                <w:rFonts w:ascii="Calibri" w:hAnsi="Calibri"/>
                <w:sz w:val="20"/>
                <w:szCs w:val="20"/>
                <w:lang w:val="hr-HR"/>
              </w:rPr>
              <w:t xml:space="preserve"> gubitke po ostalim obvezama</w:t>
            </w:r>
          </w:p>
        </w:tc>
        <w:tc>
          <w:tcPr>
            <w:tcW w:w="1244" w:type="dxa"/>
            <w:tcBorders>
              <w:top w:val="single" w:sz="12" w:space="0" w:color="auto"/>
              <w:left w:val="nil"/>
              <w:bottom w:val="nil"/>
              <w:right w:val="nil"/>
            </w:tcBorders>
            <w:shd w:val="clear" w:color="auto" w:fill="auto"/>
            <w:vAlign w:val="center"/>
            <w:hideMark/>
          </w:tcPr>
          <w:p w:rsidR="00822BED" w:rsidRPr="00CD3A2D" w:rsidRDefault="00694E9F" w:rsidP="00D015B1">
            <w:pPr>
              <w:jc w:val="right"/>
              <w:rPr>
                <w:rFonts w:ascii="Calibri" w:hAnsi="Calibri"/>
                <w:sz w:val="20"/>
                <w:szCs w:val="20"/>
                <w:lang w:val="hr-HR"/>
              </w:rPr>
            </w:pPr>
            <w:r w:rsidRPr="00CD3A2D">
              <w:rPr>
                <w:rFonts w:ascii="Calibri" w:hAnsi="Calibri"/>
                <w:sz w:val="20"/>
                <w:szCs w:val="20"/>
                <w:lang w:val="hr-HR"/>
              </w:rPr>
              <w:t>19.192</w:t>
            </w:r>
          </w:p>
        </w:tc>
        <w:tc>
          <w:tcPr>
            <w:tcW w:w="1244" w:type="dxa"/>
            <w:tcBorders>
              <w:top w:val="single" w:sz="12" w:space="0" w:color="auto"/>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19.082 </w:t>
            </w: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 xml:space="preserve">Smanjenje rezerviranja za </w:t>
            </w:r>
            <w:r w:rsidR="009C322E" w:rsidRPr="00CD3A2D">
              <w:rPr>
                <w:rFonts w:ascii="Calibri" w:hAnsi="Calibri"/>
                <w:sz w:val="20"/>
                <w:szCs w:val="20"/>
                <w:lang w:val="hr-HR"/>
              </w:rPr>
              <w:t>očekivane</w:t>
            </w:r>
            <w:r w:rsidRPr="00CD3A2D">
              <w:rPr>
                <w:rFonts w:ascii="Calibri" w:hAnsi="Calibri"/>
                <w:sz w:val="20"/>
                <w:szCs w:val="20"/>
                <w:lang w:val="hr-HR"/>
              </w:rPr>
              <w:t xml:space="preserve"> gubitke po ostalim obvezama</w:t>
            </w:r>
          </w:p>
        </w:tc>
        <w:tc>
          <w:tcPr>
            <w:tcW w:w="1244" w:type="dxa"/>
            <w:tcBorders>
              <w:top w:val="nil"/>
              <w:left w:val="nil"/>
              <w:bottom w:val="nil"/>
              <w:right w:val="nil"/>
            </w:tcBorders>
            <w:shd w:val="clear" w:color="auto" w:fill="auto"/>
            <w:vAlign w:val="center"/>
            <w:hideMark/>
          </w:tcPr>
          <w:p w:rsidR="00822BED" w:rsidRPr="00CD3A2D" w:rsidRDefault="00694E9F" w:rsidP="00D015B1">
            <w:pPr>
              <w:jc w:val="right"/>
              <w:rPr>
                <w:rFonts w:ascii="Calibri" w:hAnsi="Calibri"/>
                <w:sz w:val="20"/>
                <w:szCs w:val="20"/>
                <w:lang w:val="hr-HR"/>
              </w:rPr>
            </w:pPr>
            <w:r w:rsidRPr="00CD3A2D">
              <w:rPr>
                <w:rFonts w:ascii="Calibri" w:hAnsi="Calibri"/>
                <w:sz w:val="20"/>
                <w:szCs w:val="20"/>
                <w:lang w:val="hr-HR"/>
              </w:rPr>
              <w:t>(36.110)</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(35.871)</w:t>
            </w: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i/>
                <w:iCs/>
                <w:sz w:val="20"/>
                <w:szCs w:val="20"/>
                <w:lang w:val="hr-HR"/>
              </w:rPr>
            </w:pPr>
            <w:r w:rsidRPr="00CD3A2D">
              <w:rPr>
                <w:rFonts w:ascii="Calibri" w:hAnsi="Calibri"/>
                <w:i/>
                <w:iCs/>
                <w:sz w:val="20"/>
                <w:szCs w:val="20"/>
                <w:lang w:val="hr-HR"/>
              </w:rPr>
              <w:t>Ukupno kroz dobit i</w:t>
            </w:r>
            <w:r w:rsidR="00316574" w:rsidRPr="00CD3A2D">
              <w:rPr>
                <w:rFonts w:ascii="Calibri" w:hAnsi="Calibri"/>
                <w:i/>
                <w:iCs/>
                <w:sz w:val="20"/>
                <w:szCs w:val="20"/>
                <w:lang w:val="hr-HR"/>
              </w:rPr>
              <w:t>li</w:t>
            </w:r>
            <w:r w:rsidRPr="00CD3A2D">
              <w:rPr>
                <w:rFonts w:ascii="Calibri" w:hAnsi="Calibri"/>
                <w:i/>
                <w:iCs/>
                <w:sz w:val="20"/>
                <w:szCs w:val="20"/>
                <w:lang w:val="hr-HR"/>
              </w:rPr>
              <w:t xml:space="preserve"> gubitku (bilješka </w:t>
            </w:r>
            <w:r w:rsidR="00CB15E6" w:rsidRPr="00CD3A2D">
              <w:rPr>
                <w:rFonts w:ascii="Calibri" w:hAnsi="Calibri"/>
                <w:i/>
                <w:iCs/>
                <w:sz w:val="20"/>
                <w:szCs w:val="20"/>
                <w:lang w:val="hr-HR"/>
              </w:rPr>
              <w:t>11</w:t>
            </w:r>
            <w:r w:rsidRPr="00CD3A2D">
              <w:rPr>
                <w:rFonts w:ascii="Calibri" w:hAnsi="Calibri"/>
                <w:i/>
                <w:iCs/>
                <w:sz w:val="20"/>
                <w:szCs w:val="20"/>
                <w:lang w:val="hr-HR"/>
              </w:rPr>
              <w:t>)</w:t>
            </w:r>
          </w:p>
        </w:tc>
        <w:tc>
          <w:tcPr>
            <w:tcW w:w="1244" w:type="dxa"/>
            <w:tcBorders>
              <w:top w:val="single" w:sz="4" w:space="0" w:color="auto"/>
              <w:left w:val="nil"/>
              <w:bottom w:val="single" w:sz="4" w:space="0" w:color="auto"/>
              <w:right w:val="nil"/>
            </w:tcBorders>
            <w:shd w:val="clear" w:color="auto" w:fill="auto"/>
            <w:vAlign w:val="center"/>
            <w:hideMark/>
          </w:tcPr>
          <w:p w:rsidR="00822BED" w:rsidRPr="00CD3A2D" w:rsidRDefault="00822BED" w:rsidP="00D015B1">
            <w:pPr>
              <w:jc w:val="right"/>
              <w:rPr>
                <w:rFonts w:ascii="Calibri" w:hAnsi="Calibri"/>
                <w:i/>
                <w:iCs/>
                <w:sz w:val="20"/>
                <w:szCs w:val="20"/>
                <w:lang w:val="hr-HR"/>
              </w:rPr>
            </w:pPr>
            <w:r w:rsidRPr="00CD3A2D">
              <w:rPr>
                <w:rFonts w:ascii="Calibri" w:hAnsi="Calibri"/>
                <w:i/>
                <w:iCs/>
                <w:sz w:val="20"/>
                <w:szCs w:val="20"/>
                <w:lang w:val="hr-HR"/>
              </w:rPr>
              <w:t xml:space="preserve">     </w:t>
            </w:r>
            <w:r w:rsidR="00694E9F" w:rsidRPr="00CD3A2D">
              <w:rPr>
                <w:rFonts w:ascii="Calibri" w:hAnsi="Calibri"/>
                <w:i/>
                <w:iCs/>
                <w:sz w:val="20"/>
                <w:szCs w:val="20"/>
                <w:lang w:val="hr-HR"/>
              </w:rPr>
              <w:t xml:space="preserve"> (16.918)</w:t>
            </w:r>
            <w:r w:rsidRPr="00CD3A2D">
              <w:rPr>
                <w:rFonts w:ascii="Calibri" w:hAnsi="Calibri"/>
                <w:i/>
                <w:iCs/>
                <w:sz w:val="20"/>
                <w:szCs w:val="20"/>
                <w:lang w:val="hr-HR"/>
              </w:rPr>
              <w:t xml:space="preserve">        </w:t>
            </w:r>
          </w:p>
        </w:tc>
        <w:tc>
          <w:tcPr>
            <w:tcW w:w="1244" w:type="dxa"/>
            <w:tcBorders>
              <w:top w:val="single" w:sz="4" w:space="0" w:color="auto"/>
              <w:left w:val="nil"/>
              <w:bottom w:val="single" w:sz="4" w:space="0" w:color="auto"/>
              <w:right w:val="nil"/>
            </w:tcBorders>
            <w:shd w:val="clear" w:color="auto" w:fill="auto"/>
            <w:vAlign w:val="center"/>
            <w:hideMark/>
          </w:tcPr>
          <w:p w:rsidR="00822BED" w:rsidRPr="00CD3A2D" w:rsidRDefault="00822BED" w:rsidP="00D015B1">
            <w:pPr>
              <w:jc w:val="right"/>
              <w:rPr>
                <w:rFonts w:ascii="Calibri" w:hAnsi="Calibri"/>
                <w:i/>
                <w:iCs/>
                <w:sz w:val="20"/>
                <w:szCs w:val="20"/>
                <w:lang w:val="hr-HR"/>
              </w:rPr>
            </w:pPr>
            <w:r w:rsidRPr="00CD3A2D">
              <w:rPr>
                <w:rFonts w:ascii="Calibri" w:hAnsi="Calibri"/>
                <w:i/>
                <w:iCs/>
                <w:sz w:val="20"/>
                <w:szCs w:val="20"/>
                <w:lang w:val="hr-HR"/>
              </w:rPr>
              <w:t xml:space="preserve">  (16.789)</w:t>
            </w:r>
          </w:p>
        </w:tc>
      </w:tr>
      <w:tr w:rsidR="00822BED" w:rsidRPr="001567C8" w:rsidTr="00E5067B">
        <w:trPr>
          <w:trHeight w:val="365"/>
        </w:trPr>
        <w:tc>
          <w:tcPr>
            <w:tcW w:w="6820" w:type="dxa"/>
            <w:tcBorders>
              <w:top w:val="nil"/>
              <w:left w:val="nil"/>
              <w:bottom w:val="nil"/>
              <w:right w:val="nil"/>
            </w:tcBorders>
            <w:shd w:val="clear" w:color="auto" w:fill="auto"/>
            <w:vAlign w:val="center"/>
            <w:hideMark/>
          </w:tcPr>
          <w:p w:rsidR="00822BED" w:rsidRPr="00CD3A2D" w:rsidRDefault="00822BED" w:rsidP="00D015B1">
            <w:pPr>
              <w:rPr>
                <w:rFonts w:ascii="Calibri" w:hAnsi="Calibri"/>
                <w:sz w:val="20"/>
                <w:szCs w:val="20"/>
                <w:lang w:val="hr-HR"/>
              </w:rPr>
            </w:pPr>
            <w:r w:rsidRPr="00CD3A2D">
              <w:rPr>
                <w:rFonts w:ascii="Calibri" w:hAnsi="Calibri"/>
                <w:sz w:val="20"/>
                <w:szCs w:val="20"/>
                <w:lang w:val="hr-HR"/>
              </w:rPr>
              <w:t>Nerealizirani aktuarski dobitak</w:t>
            </w:r>
          </w:p>
        </w:tc>
        <w:tc>
          <w:tcPr>
            <w:tcW w:w="1244" w:type="dxa"/>
            <w:tcBorders>
              <w:top w:val="nil"/>
              <w:left w:val="nil"/>
              <w:bottom w:val="nil"/>
              <w:right w:val="nil"/>
            </w:tcBorders>
            <w:shd w:val="clear" w:color="auto" w:fill="auto"/>
            <w:vAlign w:val="center"/>
            <w:hideMark/>
          </w:tcPr>
          <w:p w:rsidR="00822BED" w:rsidRPr="00CD3A2D" w:rsidRDefault="00694E9F" w:rsidP="00D015B1">
            <w:pPr>
              <w:jc w:val="right"/>
              <w:rPr>
                <w:rFonts w:ascii="Calibri" w:hAnsi="Calibri"/>
                <w:sz w:val="20"/>
                <w:szCs w:val="20"/>
                <w:lang w:val="hr-HR"/>
              </w:rPr>
            </w:pPr>
            <w:r w:rsidRPr="00CD3A2D">
              <w:rPr>
                <w:rFonts w:ascii="Calibri" w:hAnsi="Calibri"/>
                <w:sz w:val="20"/>
                <w:szCs w:val="20"/>
                <w:lang w:val="hr-HR"/>
              </w:rPr>
              <w:t>144</w:t>
            </w:r>
            <w:r w:rsidR="00822BED" w:rsidRPr="00CD3A2D">
              <w:rPr>
                <w:rFonts w:ascii="Calibri" w:hAnsi="Calibri"/>
                <w:sz w:val="20"/>
                <w:szCs w:val="20"/>
                <w:lang w:val="hr-HR"/>
              </w:rPr>
              <w:t> </w:t>
            </w:r>
          </w:p>
        </w:tc>
        <w:tc>
          <w:tcPr>
            <w:tcW w:w="1244" w:type="dxa"/>
            <w:tcBorders>
              <w:top w:val="nil"/>
              <w:left w:val="nil"/>
              <w:bottom w:val="nil"/>
              <w:right w:val="nil"/>
            </w:tcBorders>
            <w:shd w:val="clear" w:color="auto" w:fill="auto"/>
            <w:vAlign w:val="center"/>
            <w:hideMark/>
          </w:tcPr>
          <w:p w:rsidR="00822BED" w:rsidRPr="00CD3A2D" w:rsidRDefault="00822BED" w:rsidP="00D015B1">
            <w:pPr>
              <w:jc w:val="right"/>
              <w:rPr>
                <w:rFonts w:ascii="Calibri" w:hAnsi="Calibri"/>
                <w:sz w:val="20"/>
                <w:szCs w:val="20"/>
                <w:lang w:val="hr-HR"/>
              </w:rPr>
            </w:pPr>
            <w:r w:rsidRPr="00CD3A2D">
              <w:rPr>
                <w:rFonts w:ascii="Calibri" w:hAnsi="Calibri"/>
                <w:sz w:val="20"/>
                <w:szCs w:val="20"/>
                <w:lang w:val="hr-HR"/>
              </w:rPr>
              <w:t xml:space="preserve">        144 </w:t>
            </w:r>
          </w:p>
        </w:tc>
      </w:tr>
      <w:tr w:rsidR="0029798E" w:rsidRPr="001567C8" w:rsidTr="00E5067B">
        <w:trPr>
          <w:trHeight w:val="365"/>
        </w:trPr>
        <w:tc>
          <w:tcPr>
            <w:tcW w:w="6820" w:type="dxa"/>
            <w:tcBorders>
              <w:top w:val="nil"/>
              <w:left w:val="nil"/>
              <w:bottom w:val="nil"/>
              <w:right w:val="nil"/>
            </w:tcBorders>
            <w:shd w:val="clear" w:color="auto" w:fill="auto"/>
            <w:vAlign w:val="center"/>
          </w:tcPr>
          <w:p w:rsidR="0029798E" w:rsidRPr="00CD3A2D" w:rsidRDefault="0029798E" w:rsidP="00D015B1">
            <w:pPr>
              <w:rPr>
                <w:rFonts w:ascii="Calibri" w:hAnsi="Calibri"/>
                <w:sz w:val="20"/>
                <w:szCs w:val="20"/>
                <w:lang w:val="hr-HR"/>
              </w:rPr>
            </w:pPr>
            <w:r w:rsidRPr="00CD3A2D">
              <w:rPr>
                <w:rFonts w:ascii="Calibri" w:hAnsi="Calibri"/>
                <w:sz w:val="20"/>
                <w:szCs w:val="20"/>
                <w:lang w:val="hr-HR"/>
              </w:rPr>
              <w:t>Ostala usklađenja</w:t>
            </w:r>
          </w:p>
        </w:tc>
        <w:tc>
          <w:tcPr>
            <w:tcW w:w="1244" w:type="dxa"/>
            <w:tcBorders>
              <w:top w:val="nil"/>
              <w:left w:val="nil"/>
              <w:bottom w:val="nil"/>
              <w:right w:val="nil"/>
            </w:tcBorders>
            <w:shd w:val="clear" w:color="auto" w:fill="auto"/>
            <w:vAlign w:val="center"/>
          </w:tcPr>
          <w:p w:rsidR="0029798E" w:rsidRPr="00CD3A2D" w:rsidRDefault="005A5ADE" w:rsidP="00D015B1">
            <w:pPr>
              <w:jc w:val="right"/>
              <w:rPr>
                <w:rFonts w:ascii="Calibri" w:hAnsi="Calibri"/>
                <w:sz w:val="20"/>
                <w:szCs w:val="20"/>
                <w:lang w:val="hr-HR"/>
              </w:rPr>
            </w:pPr>
            <w:r w:rsidRPr="00CD3A2D">
              <w:rPr>
                <w:rFonts w:ascii="Calibri" w:hAnsi="Calibri"/>
                <w:sz w:val="20"/>
                <w:szCs w:val="20"/>
                <w:lang w:val="hr-HR"/>
              </w:rPr>
              <w:t>2</w:t>
            </w:r>
          </w:p>
        </w:tc>
        <w:tc>
          <w:tcPr>
            <w:tcW w:w="1244" w:type="dxa"/>
            <w:tcBorders>
              <w:top w:val="nil"/>
              <w:left w:val="nil"/>
              <w:bottom w:val="nil"/>
              <w:right w:val="nil"/>
            </w:tcBorders>
            <w:shd w:val="clear" w:color="auto" w:fill="auto"/>
            <w:vAlign w:val="center"/>
          </w:tcPr>
          <w:p w:rsidR="0029798E" w:rsidRPr="00CD3A2D" w:rsidRDefault="005A5ADE" w:rsidP="00D015B1">
            <w:pPr>
              <w:jc w:val="right"/>
              <w:rPr>
                <w:rFonts w:ascii="Calibri" w:hAnsi="Calibri"/>
                <w:sz w:val="20"/>
                <w:szCs w:val="20"/>
                <w:lang w:val="hr-HR"/>
              </w:rPr>
            </w:pPr>
            <w:r w:rsidRPr="00CD3A2D">
              <w:rPr>
                <w:rFonts w:ascii="Calibri" w:hAnsi="Calibri"/>
                <w:sz w:val="20"/>
                <w:szCs w:val="20"/>
                <w:lang w:val="hr-HR"/>
              </w:rPr>
              <w:t>-</w:t>
            </w:r>
          </w:p>
        </w:tc>
      </w:tr>
      <w:tr w:rsidR="00822BED" w:rsidRPr="001567C8" w:rsidTr="003C6BA3">
        <w:trPr>
          <w:trHeight w:val="475"/>
        </w:trPr>
        <w:tc>
          <w:tcPr>
            <w:tcW w:w="6820" w:type="dxa"/>
            <w:tcBorders>
              <w:top w:val="nil"/>
              <w:left w:val="nil"/>
              <w:bottom w:val="nil"/>
              <w:right w:val="nil"/>
            </w:tcBorders>
            <w:shd w:val="clear" w:color="auto" w:fill="auto"/>
            <w:vAlign w:val="bottom"/>
            <w:hideMark/>
          </w:tcPr>
          <w:p w:rsidR="00822BED" w:rsidRPr="00CD3A2D" w:rsidRDefault="00822BED">
            <w:pPr>
              <w:rPr>
                <w:rFonts w:ascii="Calibri" w:hAnsi="Calibri"/>
                <w:b/>
                <w:bCs/>
                <w:sz w:val="20"/>
                <w:szCs w:val="20"/>
                <w:lang w:val="hr-HR"/>
              </w:rPr>
            </w:pPr>
            <w:r w:rsidRPr="00CD3A2D">
              <w:rPr>
                <w:rFonts w:ascii="Calibri" w:hAnsi="Calibri"/>
                <w:b/>
                <w:bCs/>
                <w:sz w:val="20"/>
                <w:szCs w:val="20"/>
                <w:lang w:val="hr-HR"/>
              </w:rPr>
              <w:t>Stanje 31. prosinca 2018. godine -  Rezerviranja za očekivane gubitke po ostalim obv</w:t>
            </w:r>
            <w:r w:rsidR="007F0237" w:rsidRPr="00CD3A2D">
              <w:rPr>
                <w:rFonts w:ascii="Calibri" w:hAnsi="Calibri"/>
                <w:b/>
                <w:bCs/>
                <w:sz w:val="20"/>
                <w:szCs w:val="20"/>
                <w:lang w:val="hr-HR"/>
              </w:rPr>
              <w:t>e</w:t>
            </w:r>
            <w:r w:rsidRPr="00CD3A2D">
              <w:rPr>
                <w:rFonts w:ascii="Calibri" w:hAnsi="Calibri"/>
                <w:b/>
                <w:bCs/>
                <w:sz w:val="20"/>
                <w:szCs w:val="20"/>
                <w:lang w:val="hr-HR"/>
              </w:rPr>
              <w:t>zama</w:t>
            </w:r>
          </w:p>
        </w:tc>
        <w:tc>
          <w:tcPr>
            <w:tcW w:w="1244" w:type="dxa"/>
            <w:tcBorders>
              <w:top w:val="single" w:sz="4" w:space="0" w:color="auto"/>
              <w:left w:val="nil"/>
              <w:bottom w:val="single" w:sz="4" w:space="0" w:color="auto"/>
              <w:right w:val="nil"/>
            </w:tcBorders>
            <w:shd w:val="clear" w:color="auto" w:fill="auto"/>
            <w:vAlign w:val="bottom"/>
            <w:hideMark/>
          </w:tcPr>
          <w:p w:rsidR="00822BED" w:rsidRPr="00CD3A2D" w:rsidRDefault="005A5ADE" w:rsidP="00D015B1">
            <w:pPr>
              <w:jc w:val="right"/>
              <w:rPr>
                <w:rFonts w:ascii="Calibri" w:hAnsi="Calibri"/>
                <w:b/>
                <w:bCs/>
                <w:sz w:val="20"/>
                <w:szCs w:val="20"/>
                <w:highlight w:val="yellow"/>
                <w:lang w:val="hr-HR"/>
              </w:rPr>
            </w:pPr>
            <w:r w:rsidRPr="00CD3A2D">
              <w:rPr>
                <w:rFonts w:ascii="Calibri" w:hAnsi="Calibri"/>
                <w:b/>
                <w:bCs/>
                <w:sz w:val="20"/>
                <w:szCs w:val="20"/>
                <w:lang w:val="hr-HR"/>
              </w:rPr>
              <w:t>60.208</w:t>
            </w:r>
          </w:p>
        </w:tc>
        <w:tc>
          <w:tcPr>
            <w:tcW w:w="1244" w:type="dxa"/>
            <w:tcBorders>
              <w:top w:val="single" w:sz="4" w:space="0" w:color="auto"/>
              <w:left w:val="nil"/>
              <w:bottom w:val="single" w:sz="4" w:space="0" w:color="auto"/>
              <w:right w:val="nil"/>
            </w:tcBorders>
            <w:shd w:val="clear" w:color="auto" w:fill="auto"/>
            <w:vAlign w:val="bottom"/>
            <w:hideMark/>
          </w:tcPr>
          <w:p w:rsidR="00822BED" w:rsidRPr="00CD3A2D" w:rsidRDefault="00822BED" w:rsidP="00D015B1">
            <w:pPr>
              <w:jc w:val="right"/>
              <w:rPr>
                <w:rFonts w:ascii="Calibri" w:hAnsi="Calibri"/>
                <w:b/>
                <w:bCs/>
                <w:sz w:val="20"/>
                <w:szCs w:val="20"/>
                <w:lang w:val="hr-HR"/>
              </w:rPr>
            </w:pPr>
            <w:r w:rsidRPr="00CD3A2D">
              <w:rPr>
                <w:rFonts w:ascii="Calibri" w:hAnsi="Calibri"/>
                <w:b/>
                <w:bCs/>
                <w:sz w:val="20"/>
                <w:szCs w:val="20"/>
                <w:lang w:val="hr-HR"/>
              </w:rPr>
              <w:t xml:space="preserve">    </w:t>
            </w:r>
            <w:r w:rsidR="005A5ADE" w:rsidRPr="00CD3A2D">
              <w:rPr>
                <w:rFonts w:ascii="Calibri" w:hAnsi="Calibri"/>
                <w:b/>
                <w:bCs/>
                <w:sz w:val="20"/>
                <w:szCs w:val="20"/>
                <w:lang w:val="hr-HR"/>
              </w:rPr>
              <w:t xml:space="preserve"> 60.078</w:t>
            </w:r>
          </w:p>
        </w:tc>
      </w:tr>
    </w:tbl>
    <w:p w:rsidR="00CB15E6" w:rsidRPr="001567C8" w:rsidRDefault="00CB15E6" w:rsidP="003C6BA3">
      <w:pPr>
        <w:pStyle w:val="T1"/>
        <w:keepNext w:val="0"/>
        <w:spacing w:before="0" w:after="0" w:line="240" w:lineRule="auto"/>
        <w:rPr>
          <w:rFonts w:asciiTheme="minorHAnsi" w:hAnsiTheme="minorHAnsi" w:cs="Arial"/>
          <w:sz w:val="22"/>
          <w:szCs w:val="22"/>
          <w:lang w:val="hr-HR"/>
        </w:rPr>
      </w:pPr>
    </w:p>
    <w:p w:rsidR="00537613" w:rsidRPr="001567C8" w:rsidRDefault="00CB15E6" w:rsidP="003C6BA3">
      <w:pPr>
        <w:pStyle w:val="T1"/>
        <w:keepNext w:val="0"/>
        <w:spacing w:before="0" w:line="240" w:lineRule="auto"/>
        <w:rPr>
          <w:rFonts w:asciiTheme="minorHAnsi" w:hAnsiTheme="minorHAnsi" w:cs="Arial"/>
          <w:b w:val="0"/>
          <w:sz w:val="22"/>
          <w:szCs w:val="22"/>
          <w:lang w:val="hr-HR"/>
        </w:rPr>
        <w:sectPr w:rsidR="00537613" w:rsidRPr="001567C8" w:rsidSect="003E2D7A">
          <w:pgSz w:w="11907" w:h="16840" w:code="9"/>
          <w:pgMar w:top="1418" w:right="1134" w:bottom="1134" w:left="1418" w:header="851" w:footer="851" w:gutter="0"/>
          <w:cols w:space="720"/>
          <w:noEndnote/>
        </w:sectPr>
      </w:pPr>
      <w:r w:rsidRPr="001567C8">
        <w:rPr>
          <w:rFonts w:asciiTheme="minorHAnsi" w:hAnsiTheme="minorHAnsi" w:cs="Arial"/>
          <w:b w:val="0"/>
          <w:sz w:val="22"/>
          <w:szCs w:val="22"/>
          <w:lang w:val="hr-HR"/>
        </w:rPr>
        <w:t>Neto dobit</w:t>
      </w:r>
      <w:r w:rsidR="0063609C" w:rsidRPr="001567C8">
        <w:rPr>
          <w:rFonts w:asciiTheme="minorHAnsi" w:hAnsiTheme="minorHAnsi" w:cs="Arial"/>
          <w:b w:val="0"/>
          <w:sz w:val="22"/>
          <w:szCs w:val="22"/>
          <w:lang w:val="hr-HR"/>
        </w:rPr>
        <w:t>/(gubitak)</w:t>
      </w:r>
      <w:r w:rsidRPr="001567C8">
        <w:rPr>
          <w:rFonts w:asciiTheme="minorHAnsi" w:hAnsiTheme="minorHAnsi" w:cs="Arial"/>
          <w:b w:val="0"/>
          <w:sz w:val="22"/>
          <w:szCs w:val="22"/>
          <w:lang w:val="hr-HR"/>
        </w:rPr>
        <w:t xml:space="preserve"> od tečajnih razlika po rezerviranjima za očekivane gubitke prikazana je unutar Neto prihoda/(rashoda) od financijskih aktivnosti u  Računu dobiti i gubitka.</w:t>
      </w:r>
    </w:p>
    <w:p w:rsidR="006F2010" w:rsidRPr="001567C8" w:rsidRDefault="006F2010" w:rsidP="006F2010">
      <w:pPr>
        <w:pStyle w:val="T1"/>
        <w:spacing w:before="0" w:after="0" w:line="240" w:lineRule="auto"/>
        <w:rPr>
          <w:rFonts w:asciiTheme="minorHAnsi" w:hAnsiTheme="minorHAnsi" w:cs="Arial"/>
          <w:sz w:val="22"/>
          <w:szCs w:val="22"/>
          <w:lang w:val="hr-HR"/>
        </w:rPr>
      </w:pPr>
    </w:p>
    <w:p w:rsidR="00083CD0" w:rsidRPr="001567C8" w:rsidRDefault="00C9220F" w:rsidP="006F2010">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30</w:t>
      </w:r>
      <w:r w:rsidR="00083CD0" w:rsidRPr="001567C8">
        <w:rPr>
          <w:rFonts w:asciiTheme="minorHAnsi" w:hAnsiTheme="minorHAnsi" w:cs="Arial"/>
          <w:sz w:val="22"/>
          <w:szCs w:val="22"/>
          <w:lang w:val="hr-HR"/>
        </w:rPr>
        <w:t>.</w:t>
      </w:r>
      <w:r w:rsidR="00083CD0" w:rsidRPr="001567C8">
        <w:rPr>
          <w:rFonts w:asciiTheme="minorHAnsi" w:hAnsiTheme="minorHAnsi" w:cs="Arial"/>
          <w:sz w:val="22"/>
          <w:szCs w:val="22"/>
          <w:lang w:val="hr-HR"/>
        </w:rPr>
        <w:tab/>
        <w:t>Ostale obveze (nastavak)</w:t>
      </w:r>
    </w:p>
    <w:p w:rsidR="006F2010" w:rsidRPr="001567C8" w:rsidRDefault="006F2010" w:rsidP="006F2010">
      <w:pPr>
        <w:pStyle w:val="T1"/>
        <w:spacing w:before="0" w:after="0" w:line="240" w:lineRule="auto"/>
        <w:rPr>
          <w:rFonts w:asciiTheme="minorHAnsi" w:hAnsiTheme="minorHAnsi" w:cs="Arial"/>
          <w:sz w:val="22"/>
          <w:szCs w:val="22"/>
          <w:lang w:val="hr-HR"/>
        </w:rPr>
      </w:pPr>
    </w:p>
    <w:p w:rsidR="006C0930" w:rsidRPr="001567C8" w:rsidRDefault="006C0930" w:rsidP="00093368">
      <w:pPr>
        <w:pStyle w:val="Default"/>
        <w:jc w:val="both"/>
        <w:rPr>
          <w:rFonts w:asciiTheme="minorHAnsi" w:hAnsiTheme="minorHAnsi"/>
          <w:sz w:val="22"/>
          <w:szCs w:val="22"/>
        </w:rPr>
      </w:pPr>
      <w:r w:rsidRPr="001567C8">
        <w:rPr>
          <w:rFonts w:asciiTheme="minorHAnsi" w:hAnsiTheme="minorHAnsi"/>
          <w:sz w:val="22"/>
          <w:szCs w:val="22"/>
        </w:rPr>
        <w:t>Rezerviranja za ostale obveze</w:t>
      </w:r>
      <w:r w:rsidR="005D2C68" w:rsidRPr="001567C8">
        <w:rPr>
          <w:rFonts w:asciiTheme="minorHAnsi" w:hAnsiTheme="minorHAnsi"/>
          <w:sz w:val="22"/>
          <w:szCs w:val="22"/>
        </w:rPr>
        <w:t xml:space="preserve"> u </w:t>
      </w:r>
      <w:r w:rsidR="00C436DB" w:rsidRPr="001567C8">
        <w:rPr>
          <w:rFonts w:asciiTheme="minorHAnsi" w:hAnsiTheme="minorHAnsi"/>
          <w:sz w:val="22"/>
          <w:szCs w:val="22"/>
        </w:rPr>
        <w:t>2018</w:t>
      </w:r>
      <w:r w:rsidR="005D2C68" w:rsidRPr="001567C8">
        <w:rPr>
          <w:rFonts w:asciiTheme="minorHAnsi" w:hAnsiTheme="minorHAnsi"/>
          <w:sz w:val="22"/>
          <w:szCs w:val="22"/>
        </w:rPr>
        <w:t>. godini</w:t>
      </w:r>
      <w:r w:rsidRPr="001567C8">
        <w:rPr>
          <w:rFonts w:asciiTheme="minorHAnsi" w:hAnsiTheme="minorHAnsi"/>
          <w:sz w:val="22"/>
          <w:szCs w:val="22"/>
        </w:rPr>
        <w:t xml:space="preserve"> </w:t>
      </w:r>
      <w:r w:rsidR="000040E6" w:rsidRPr="001567C8">
        <w:rPr>
          <w:rFonts w:asciiTheme="minorHAnsi" w:hAnsiTheme="minorHAnsi"/>
          <w:sz w:val="22"/>
          <w:szCs w:val="22"/>
        </w:rPr>
        <w:t>iznose</w:t>
      </w:r>
      <w:r w:rsidR="005D2C68" w:rsidRPr="001567C8">
        <w:rPr>
          <w:rFonts w:asciiTheme="minorHAnsi" w:hAnsiTheme="minorHAnsi"/>
          <w:sz w:val="22"/>
          <w:szCs w:val="22"/>
        </w:rPr>
        <w:t xml:space="preserve"> za Grupu</w:t>
      </w:r>
      <w:r w:rsidR="000040E6" w:rsidRPr="001567C8">
        <w:rPr>
          <w:rFonts w:asciiTheme="minorHAnsi" w:hAnsiTheme="minorHAnsi"/>
          <w:sz w:val="22"/>
          <w:szCs w:val="22"/>
        </w:rPr>
        <w:t xml:space="preserve"> ukupno </w:t>
      </w:r>
      <w:r w:rsidR="00C436DB" w:rsidRPr="001567C8">
        <w:rPr>
          <w:rFonts w:asciiTheme="minorHAnsi" w:hAnsiTheme="minorHAnsi"/>
          <w:sz w:val="22"/>
          <w:szCs w:val="22"/>
        </w:rPr>
        <w:t>60.</w:t>
      </w:r>
      <w:r w:rsidR="00EF2027" w:rsidRPr="001567C8">
        <w:rPr>
          <w:rFonts w:asciiTheme="minorHAnsi" w:hAnsiTheme="minorHAnsi"/>
          <w:sz w:val="22"/>
          <w:szCs w:val="22"/>
        </w:rPr>
        <w:t>208</w:t>
      </w:r>
      <w:r w:rsidR="00392C29" w:rsidRPr="001567C8">
        <w:rPr>
          <w:rFonts w:asciiTheme="minorHAnsi" w:hAnsiTheme="minorHAnsi"/>
          <w:sz w:val="22"/>
          <w:szCs w:val="22"/>
        </w:rPr>
        <w:t xml:space="preserve"> </w:t>
      </w:r>
      <w:r w:rsidR="000040E6" w:rsidRPr="001567C8">
        <w:rPr>
          <w:rFonts w:asciiTheme="minorHAnsi" w:hAnsiTheme="minorHAnsi"/>
          <w:sz w:val="22"/>
          <w:szCs w:val="22"/>
        </w:rPr>
        <w:t>tisuća kuna (</w:t>
      </w:r>
      <w:r w:rsidR="0040131E" w:rsidRPr="001567C8">
        <w:rPr>
          <w:rFonts w:asciiTheme="minorHAnsi" w:hAnsiTheme="minorHAnsi"/>
          <w:sz w:val="22"/>
          <w:szCs w:val="22"/>
        </w:rPr>
        <w:t xml:space="preserve">31. prosinca </w:t>
      </w:r>
      <w:r w:rsidR="00C436DB" w:rsidRPr="001567C8">
        <w:rPr>
          <w:rFonts w:asciiTheme="minorHAnsi" w:hAnsiTheme="minorHAnsi"/>
          <w:sz w:val="22"/>
          <w:szCs w:val="22"/>
        </w:rPr>
        <w:t>2017</w:t>
      </w:r>
      <w:r w:rsidR="000040E6" w:rsidRPr="001567C8">
        <w:rPr>
          <w:rFonts w:asciiTheme="minorHAnsi" w:hAnsiTheme="minorHAnsi"/>
          <w:sz w:val="22"/>
          <w:szCs w:val="22"/>
        </w:rPr>
        <w:t xml:space="preserve">. godine: </w:t>
      </w:r>
      <w:r w:rsidR="00C436DB" w:rsidRPr="001567C8">
        <w:rPr>
          <w:rFonts w:asciiTheme="minorHAnsi" w:hAnsiTheme="minorHAnsi"/>
          <w:sz w:val="22"/>
          <w:szCs w:val="22"/>
        </w:rPr>
        <w:t>7</w:t>
      </w:r>
      <w:r w:rsidR="00242883" w:rsidRPr="001567C8">
        <w:rPr>
          <w:rFonts w:asciiTheme="minorHAnsi" w:hAnsiTheme="minorHAnsi"/>
          <w:sz w:val="22"/>
          <w:szCs w:val="22"/>
        </w:rPr>
        <w:t>6</w:t>
      </w:r>
      <w:r w:rsidR="00C436DB" w:rsidRPr="001567C8">
        <w:rPr>
          <w:rFonts w:asciiTheme="minorHAnsi" w:hAnsiTheme="minorHAnsi"/>
          <w:sz w:val="22"/>
          <w:szCs w:val="22"/>
        </w:rPr>
        <w:t>.98</w:t>
      </w:r>
      <w:r w:rsidR="008B56A0" w:rsidRPr="001567C8">
        <w:rPr>
          <w:rFonts w:asciiTheme="minorHAnsi" w:hAnsiTheme="minorHAnsi"/>
          <w:sz w:val="22"/>
          <w:szCs w:val="22"/>
        </w:rPr>
        <w:t>0</w:t>
      </w:r>
      <w:r w:rsidR="00392C29" w:rsidRPr="001567C8">
        <w:rPr>
          <w:rFonts w:asciiTheme="minorHAnsi" w:hAnsiTheme="minorHAnsi"/>
          <w:sz w:val="22"/>
          <w:szCs w:val="22"/>
        </w:rPr>
        <w:t xml:space="preserve"> </w:t>
      </w:r>
      <w:r w:rsidR="000040E6" w:rsidRPr="001567C8">
        <w:rPr>
          <w:rFonts w:asciiTheme="minorHAnsi" w:hAnsiTheme="minorHAnsi"/>
          <w:sz w:val="22"/>
          <w:szCs w:val="22"/>
        </w:rPr>
        <w:t xml:space="preserve">tisuća kuna), </w:t>
      </w:r>
      <w:r w:rsidR="00753503" w:rsidRPr="001567C8">
        <w:rPr>
          <w:rFonts w:asciiTheme="minorHAnsi" w:hAnsiTheme="minorHAnsi"/>
          <w:sz w:val="22"/>
          <w:szCs w:val="22"/>
        </w:rPr>
        <w:t xml:space="preserve">a za Banku iznose </w:t>
      </w:r>
      <w:r w:rsidR="00C436DB" w:rsidRPr="001567C8">
        <w:rPr>
          <w:rFonts w:asciiTheme="minorHAnsi" w:hAnsiTheme="minorHAnsi"/>
          <w:sz w:val="22"/>
          <w:szCs w:val="22"/>
        </w:rPr>
        <w:t>60.078</w:t>
      </w:r>
      <w:r w:rsidR="00392C29" w:rsidRPr="001567C8">
        <w:rPr>
          <w:rFonts w:asciiTheme="minorHAnsi" w:hAnsiTheme="minorHAnsi"/>
          <w:sz w:val="22"/>
          <w:szCs w:val="22"/>
        </w:rPr>
        <w:t xml:space="preserve"> </w:t>
      </w:r>
      <w:r w:rsidR="003E60B2" w:rsidRPr="001567C8">
        <w:rPr>
          <w:rFonts w:asciiTheme="minorHAnsi" w:hAnsiTheme="minorHAnsi"/>
          <w:sz w:val="22"/>
          <w:szCs w:val="22"/>
        </w:rPr>
        <w:t xml:space="preserve">tisuća kuna </w:t>
      </w:r>
      <w:r w:rsidR="005D2C68" w:rsidRPr="001567C8">
        <w:rPr>
          <w:rFonts w:asciiTheme="minorHAnsi" w:hAnsiTheme="minorHAnsi"/>
          <w:sz w:val="22"/>
          <w:szCs w:val="22"/>
        </w:rPr>
        <w:t>(</w:t>
      </w:r>
      <w:r w:rsidR="0040131E" w:rsidRPr="001567C8">
        <w:rPr>
          <w:rFonts w:asciiTheme="minorHAnsi" w:hAnsiTheme="minorHAnsi"/>
          <w:sz w:val="22"/>
          <w:szCs w:val="22"/>
        </w:rPr>
        <w:t xml:space="preserve">31. prosinca </w:t>
      </w:r>
      <w:r w:rsidR="00C436DB" w:rsidRPr="001567C8">
        <w:rPr>
          <w:rFonts w:asciiTheme="minorHAnsi" w:hAnsiTheme="minorHAnsi"/>
          <w:sz w:val="22"/>
          <w:szCs w:val="22"/>
        </w:rPr>
        <w:t>2017</w:t>
      </w:r>
      <w:r w:rsidR="005D2C68" w:rsidRPr="001567C8">
        <w:rPr>
          <w:rFonts w:asciiTheme="minorHAnsi" w:hAnsiTheme="minorHAnsi"/>
          <w:sz w:val="22"/>
          <w:szCs w:val="22"/>
        </w:rPr>
        <w:t xml:space="preserve">. godine: </w:t>
      </w:r>
      <w:r w:rsidR="00C436DB" w:rsidRPr="001567C8">
        <w:rPr>
          <w:rFonts w:asciiTheme="minorHAnsi" w:hAnsiTheme="minorHAnsi"/>
          <w:sz w:val="22"/>
          <w:szCs w:val="22"/>
        </w:rPr>
        <w:t>76.723</w:t>
      </w:r>
      <w:r w:rsidR="00392C29" w:rsidRPr="001567C8">
        <w:rPr>
          <w:rFonts w:asciiTheme="minorHAnsi" w:hAnsiTheme="minorHAnsi"/>
          <w:sz w:val="22"/>
          <w:szCs w:val="22"/>
        </w:rPr>
        <w:t xml:space="preserve"> </w:t>
      </w:r>
      <w:r w:rsidR="005D2C68" w:rsidRPr="001567C8">
        <w:rPr>
          <w:rFonts w:asciiTheme="minorHAnsi" w:hAnsiTheme="minorHAnsi"/>
          <w:sz w:val="22"/>
          <w:szCs w:val="22"/>
        </w:rPr>
        <w:t xml:space="preserve">tisuća kuna). Od ukupnog iznosa </w:t>
      </w:r>
      <w:r w:rsidRPr="001567C8">
        <w:rPr>
          <w:rFonts w:asciiTheme="minorHAnsi" w:hAnsiTheme="minorHAnsi"/>
          <w:sz w:val="22"/>
          <w:szCs w:val="22"/>
        </w:rPr>
        <w:t xml:space="preserve">rezerviranja </w:t>
      </w:r>
      <w:r w:rsidR="00B7283A" w:rsidRPr="001567C8">
        <w:rPr>
          <w:rFonts w:asciiTheme="minorHAnsi" w:hAnsiTheme="minorHAnsi"/>
          <w:sz w:val="22"/>
          <w:szCs w:val="22"/>
        </w:rPr>
        <w:t xml:space="preserve">za ostale obveze </w:t>
      </w:r>
      <w:r w:rsidR="005D2C68" w:rsidRPr="001567C8">
        <w:rPr>
          <w:rFonts w:asciiTheme="minorHAnsi" w:hAnsiTheme="minorHAnsi"/>
          <w:sz w:val="22"/>
          <w:szCs w:val="22"/>
        </w:rPr>
        <w:t>na</w:t>
      </w:r>
      <w:r w:rsidRPr="001567C8">
        <w:rPr>
          <w:rFonts w:asciiTheme="minorHAnsi" w:hAnsiTheme="minorHAnsi"/>
          <w:sz w:val="22"/>
          <w:szCs w:val="22"/>
        </w:rPr>
        <w:t xml:space="preserve"> </w:t>
      </w:r>
      <w:r w:rsidR="00E96823" w:rsidRPr="001567C8">
        <w:rPr>
          <w:rFonts w:asciiTheme="minorHAnsi" w:hAnsiTheme="minorHAnsi"/>
          <w:sz w:val="22"/>
          <w:szCs w:val="22"/>
        </w:rPr>
        <w:t xml:space="preserve">sudske sporove koji se vode protiv Banke </w:t>
      </w:r>
      <w:r w:rsidR="005D2C68" w:rsidRPr="001567C8">
        <w:rPr>
          <w:rFonts w:asciiTheme="minorHAnsi" w:hAnsiTheme="minorHAnsi"/>
          <w:sz w:val="22"/>
          <w:szCs w:val="22"/>
        </w:rPr>
        <w:t>odnosi se iznos</w:t>
      </w:r>
      <w:r w:rsidR="00E96823" w:rsidRPr="001567C8">
        <w:rPr>
          <w:rFonts w:asciiTheme="minorHAnsi" w:hAnsiTheme="minorHAnsi"/>
          <w:sz w:val="22"/>
          <w:szCs w:val="22"/>
        </w:rPr>
        <w:t xml:space="preserve"> od </w:t>
      </w:r>
      <w:r w:rsidR="00C436DB" w:rsidRPr="001567C8">
        <w:rPr>
          <w:rFonts w:asciiTheme="minorHAnsi" w:hAnsiTheme="minorHAnsi"/>
          <w:sz w:val="22"/>
          <w:szCs w:val="22"/>
        </w:rPr>
        <w:t>6.787</w:t>
      </w:r>
      <w:r w:rsidR="008A6203" w:rsidRPr="001567C8">
        <w:rPr>
          <w:rFonts w:asciiTheme="minorHAnsi" w:hAnsiTheme="minorHAnsi"/>
          <w:sz w:val="22"/>
          <w:szCs w:val="22"/>
        </w:rPr>
        <w:t xml:space="preserve"> </w:t>
      </w:r>
      <w:r w:rsidR="00E96823" w:rsidRPr="001567C8">
        <w:rPr>
          <w:rFonts w:asciiTheme="minorHAnsi" w:hAnsiTheme="minorHAnsi"/>
          <w:sz w:val="22"/>
          <w:szCs w:val="22"/>
        </w:rPr>
        <w:t>tisuća kuna (</w:t>
      </w:r>
      <w:r w:rsidR="0040131E" w:rsidRPr="001567C8">
        <w:rPr>
          <w:rFonts w:asciiTheme="minorHAnsi" w:hAnsiTheme="minorHAnsi"/>
          <w:sz w:val="22"/>
          <w:szCs w:val="22"/>
        </w:rPr>
        <w:t xml:space="preserve">31. prosinca </w:t>
      </w:r>
      <w:r w:rsidR="00C436DB" w:rsidRPr="001567C8">
        <w:rPr>
          <w:rFonts w:asciiTheme="minorHAnsi" w:hAnsiTheme="minorHAnsi"/>
          <w:sz w:val="22"/>
          <w:szCs w:val="22"/>
        </w:rPr>
        <w:t>2017</w:t>
      </w:r>
      <w:r w:rsidR="00E96823" w:rsidRPr="001567C8">
        <w:rPr>
          <w:rFonts w:asciiTheme="minorHAnsi" w:hAnsiTheme="minorHAnsi"/>
          <w:sz w:val="22"/>
          <w:szCs w:val="22"/>
        </w:rPr>
        <w:t xml:space="preserve">. godine: </w:t>
      </w:r>
      <w:r w:rsidR="00C436DB" w:rsidRPr="001567C8">
        <w:rPr>
          <w:rFonts w:asciiTheme="minorHAnsi" w:hAnsiTheme="minorHAnsi"/>
          <w:sz w:val="22"/>
          <w:szCs w:val="22"/>
        </w:rPr>
        <w:t>24.929</w:t>
      </w:r>
      <w:r w:rsidR="00392C29" w:rsidRPr="001567C8">
        <w:rPr>
          <w:rFonts w:asciiTheme="minorHAnsi" w:hAnsiTheme="minorHAnsi"/>
          <w:sz w:val="22"/>
          <w:szCs w:val="22"/>
        </w:rPr>
        <w:t xml:space="preserve"> </w:t>
      </w:r>
      <w:r w:rsidR="00E96823" w:rsidRPr="001567C8">
        <w:rPr>
          <w:rFonts w:asciiTheme="minorHAnsi" w:hAnsiTheme="minorHAnsi"/>
          <w:sz w:val="22"/>
          <w:szCs w:val="22"/>
        </w:rPr>
        <w:t xml:space="preserve">tisuća kuna), </w:t>
      </w:r>
      <w:r w:rsidR="005D2C68" w:rsidRPr="001567C8">
        <w:rPr>
          <w:rFonts w:asciiTheme="minorHAnsi" w:hAnsiTheme="minorHAnsi"/>
          <w:sz w:val="22"/>
          <w:szCs w:val="22"/>
        </w:rPr>
        <w:t xml:space="preserve">na </w:t>
      </w:r>
      <w:r w:rsidR="00E96823" w:rsidRPr="001567C8">
        <w:rPr>
          <w:rFonts w:asciiTheme="minorHAnsi" w:hAnsiTheme="minorHAnsi"/>
          <w:sz w:val="22"/>
          <w:szCs w:val="22"/>
        </w:rPr>
        <w:t xml:space="preserve">obveze temeljem definiranih naknada sukladno MRS-u 19 Primanja zaposlenih </w:t>
      </w:r>
      <w:r w:rsidR="0040131E" w:rsidRPr="001567C8">
        <w:rPr>
          <w:rFonts w:asciiTheme="minorHAnsi" w:hAnsiTheme="minorHAnsi"/>
          <w:sz w:val="22"/>
          <w:szCs w:val="22"/>
        </w:rPr>
        <w:t xml:space="preserve">za Grupu i Banku </w:t>
      </w:r>
      <w:r w:rsidR="005D2C68" w:rsidRPr="001567C8">
        <w:rPr>
          <w:rFonts w:asciiTheme="minorHAnsi" w:hAnsiTheme="minorHAnsi"/>
          <w:sz w:val="22"/>
          <w:szCs w:val="22"/>
        </w:rPr>
        <w:t>iznos</w:t>
      </w:r>
      <w:r w:rsidR="00E96823" w:rsidRPr="001567C8">
        <w:rPr>
          <w:rFonts w:asciiTheme="minorHAnsi" w:hAnsiTheme="minorHAnsi"/>
          <w:sz w:val="22"/>
          <w:szCs w:val="22"/>
        </w:rPr>
        <w:t xml:space="preserve"> od </w:t>
      </w:r>
      <w:r w:rsidR="00C436DB" w:rsidRPr="001567C8">
        <w:rPr>
          <w:rFonts w:asciiTheme="minorHAnsi" w:hAnsiTheme="minorHAnsi"/>
          <w:sz w:val="22"/>
          <w:szCs w:val="22"/>
        </w:rPr>
        <w:t>28.494</w:t>
      </w:r>
      <w:r w:rsidR="008A6203" w:rsidRPr="001567C8">
        <w:rPr>
          <w:rFonts w:asciiTheme="minorHAnsi" w:hAnsiTheme="minorHAnsi"/>
          <w:sz w:val="22"/>
          <w:szCs w:val="22"/>
        </w:rPr>
        <w:t xml:space="preserve"> </w:t>
      </w:r>
      <w:r w:rsidR="00E96823" w:rsidRPr="001567C8">
        <w:rPr>
          <w:rFonts w:asciiTheme="minorHAnsi" w:hAnsiTheme="minorHAnsi"/>
          <w:sz w:val="22"/>
          <w:szCs w:val="22"/>
        </w:rPr>
        <w:t>tisuća kuna (</w:t>
      </w:r>
      <w:r w:rsidR="0040131E" w:rsidRPr="001567C8">
        <w:rPr>
          <w:rFonts w:asciiTheme="minorHAnsi" w:hAnsiTheme="minorHAnsi"/>
          <w:sz w:val="22"/>
          <w:szCs w:val="22"/>
        </w:rPr>
        <w:t xml:space="preserve">31. prosinca </w:t>
      </w:r>
      <w:r w:rsidR="00C436DB" w:rsidRPr="001567C8">
        <w:rPr>
          <w:rFonts w:asciiTheme="minorHAnsi" w:hAnsiTheme="minorHAnsi"/>
          <w:sz w:val="22"/>
          <w:szCs w:val="22"/>
        </w:rPr>
        <w:t>2017</w:t>
      </w:r>
      <w:r w:rsidR="00E96823" w:rsidRPr="001567C8">
        <w:rPr>
          <w:rFonts w:asciiTheme="minorHAnsi" w:hAnsiTheme="minorHAnsi"/>
          <w:sz w:val="22"/>
          <w:szCs w:val="22"/>
        </w:rPr>
        <w:t xml:space="preserve">. godine: </w:t>
      </w:r>
      <w:r w:rsidR="00C436DB" w:rsidRPr="001567C8">
        <w:rPr>
          <w:rFonts w:asciiTheme="minorHAnsi" w:hAnsiTheme="minorHAnsi"/>
          <w:sz w:val="22"/>
          <w:szCs w:val="22"/>
        </w:rPr>
        <w:t xml:space="preserve">27.459 </w:t>
      </w:r>
      <w:r w:rsidR="00E96823" w:rsidRPr="001567C8">
        <w:rPr>
          <w:rFonts w:asciiTheme="minorHAnsi" w:hAnsiTheme="minorHAnsi"/>
          <w:sz w:val="22"/>
          <w:szCs w:val="22"/>
        </w:rPr>
        <w:t>tisuća kuna)</w:t>
      </w:r>
      <w:r w:rsidR="00B7283A" w:rsidRPr="001567C8">
        <w:rPr>
          <w:rFonts w:asciiTheme="minorHAnsi" w:hAnsiTheme="minorHAnsi"/>
          <w:sz w:val="22"/>
          <w:szCs w:val="22"/>
        </w:rPr>
        <w:t xml:space="preserve">, </w:t>
      </w:r>
      <w:r w:rsidR="00E96823" w:rsidRPr="001567C8">
        <w:rPr>
          <w:rFonts w:asciiTheme="minorHAnsi" w:hAnsiTheme="minorHAnsi"/>
          <w:sz w:val="22"/>
          <w:szCs w:val="22"/>
        </w:rPr>
        <w:t xml:space="preserve">te </w:t>
      </w:r>
      <w:r w:rsidR="005D2C68" w:rsidRPr="001567C8">
        <w:rPr>
          <w:rFonts w:asciiTheme="minorHAnsi" w:hAnsiTheme="minorHAnsi"/>
          <w:sz w:val="22"/>
          <w:szCs w:val="22"/>
        </w:rPr>
        <w:t xml:space="preserve">na </w:t>
      </w:r>
      <w:r w:rsidR="00E96823" w:rsidRPr="001567C8">
        <w:rPr>
          <w:rFonts w:asciiTheme="minorHAnsi" w:hAnsiTheme="minorHAnsi"/>
          <w:sz w:val="22"/>
          <w:szCs w:val="22"/>
        </w:rPr>
        <w:t>rezerviranja za ostale obveze</w:t>
      </w:r>
      <w:r w:rsidRPr="001567C8">
        <w:rPr>
          <w:rFonts w:asciiTheme="minorHAnsi" w:hAnsiTheme="minorHAnsi"/>
          <w:sz w:val="22"/>
          <w:szCs w:val="22"/>
        </w:rPr>
        <w:t xml:space="preserve"> sukladno MRS-u 37 Rezerviranja, nepred</w:t>
      </w:r>
      <w:r w:rsidR="00825A9D" w:rsidRPr="001567C8">
        <w:rPr>
          <w:rFonts w:asciiTheme="minorHAnsi" w:hAnsiTheme="minorHAnsi"/>
          <w:sz w:val="22"/>
          <w:szCs w:val="22"/>
        </w:rPr>
        <w:t>vi</w:t>
      </w:r>
      <w:r w:rsidRPr="001567C8">
        <w:rPr>
          <w:rFonts w:asciiTheme="minorHAnsi" w:hAnsiTheme="minorHAnsi"/>
          <w:sz w:val="22"/>
          <w:szCs w:val="22"/>
        </w:rPr>
        <w:t xml:space="preserve">dive obveze i nepredvidiva imovina </w:t>
      </w:r>
      <w:r w:rsidR="00B7283A" w:rsidRPr="001567C8">
        <w:rPr>
          <w:rFonts w:asciiTheme="minorHAnsi" w:hAnsiTheme="minorHAnsi"/>
          <w:sz w:val="22"/>
          <w:szCs w:val="22"/>
        </w:rPr>
        <w:t xml:space="preserve">za Grupu </w:t>
      </w:r>
      <w:r w:rsidRPr="001567C8">
        <w:rPr>
          <w:rFonts w:asciiTheme="minorHAnsi" w:hAnsiTheme="minorHAnsi"/>
          <w:sz w:val="22"/>
          <w:szCs w:val="22"/>
        </w:rPr>
        <w:t xml:space="preserve">iznos od </w:t>
      </w:r>
      <w:r w:rsidR="00C436DB" w:rsidRPr="001567C8">
        <w:rPr>
          <w:rFonts w:asciiTheme="minorHAnsi" w:hAnsiTheme="minorHAnsi"/>
          <w:sz w:val="22"/>
          <w:szCs w:val="22"/>
        </w:rPr>
        <w:t>24.</w:t>
      </w:r>
      <w:r w:rsidR="008B56A0" w:rsidRPr="001567C8">
        <w:rPr>
          <w:rFonts w:asciiTheme="minorHAnsi" w:hAnsiTheme="minorHAnsi"/>
          <w:sz w:val="22"/>
          <w:szCs w:val="22"/>
        </w:rPr>
        <w:t>92</w:t>
      </w:r>
      <w:r w:rsidR="00C436DB" w:rsidRPr="001567C8">
        <w:rPr>
          <w:rFonts w:asciiTheme="minorHAnsi" w:hAnsiTheme="minorHAnsi"/>
          <w:sz w:val="22"/>
          <w:szCs w:val="22"/>
        </w:rPr>
        <w:t>7</w:t>
      </w:r>
      <w:r w:rsidR="008A6203" w:rsidRPr="001567C8">
        <w:rPr>
          <w:rFonts w:asciiTheme="minorHAnsi" w:hAnsiTheme="minorHAnsi"/>
          <w:sz w:val="22"/>
          <w:szCs w:val="22"/>
        </w:rPr>
        <w:t xml:space="preserve"> </w:t>
      </w:r>
      <w:r w:rsidR="000040E6" w:rsidRPr="001567C8">
        <w:rPr>
          <w:rFonts w:asciiTheme="minorHAnsi" w:hAnsiTheme="minorHAnsi"/>
          <w:sz w:val="22"/>
          <w:szCs w:val="22"/>
        </w:rPr>
        <w:t>tisuća kuna (</w:t>
      </w:r>
      <w:r w:rsidR="0040131E" w:rsidRPr="001567C8">
        <w:rPr>
          <w:rFonts w:asciiTheme="minorHAnsi" w:hAnsiTheme="minorHAnsi"/>
          <w:sz w:val="22"/>
          <w:szCs w:val="22"/>
        </w:rPr>
        <w:t xml:space="preserve">31. prosinca </w:t>
      </w:r>
      <w:r w:rsidR="00C436DB" w:rsidRPr="001567C8">
        <w:rPr>
          <w:rFonts w:asciiTheme="minorHAnsi" w:hAnsiTheme="minorHAnsi"/>
          <w:sz w:val="22"/>
          <w:szCs w:val="22"/>
        </w:rPr>
        <w:t>2017</w:t>
      </w:r>
      <w:r w:rsidR="000040E6" w:rsidRPr="001567C8">
        <w:rPr>
          <w:rFonts w:asciiTheme="minorHAnsi" w:hAnsiTheme="minorHAnsi"/>
          <w:sz w:val="22"/>
          <w:szCs w:val="22"/>
        </w:rPr>
        <w:t xml:space="preserve">. godine: </w:t>
      </w:r>
      <w:r w:rsidR="00C436DB" w:rsidRPr="001567C8">
        <w:rPr>
          <w:rFonts w:asciiTheme="minorHAnsi" w:hAnsiTheme="minorHAnsi"/>
          <w:sz w:val="22"/>
          <w:szCs w:val="22"/>
        </w:rPr>
        <w:t>2</w:t>
      </w:r>
      <w:r w:rsidR="00127DE7" w:rsidRPr="001567C8">
        <w:rPr>
          <w:rFonts w:asciiTheme="minorHAnsi" w:hAnsiTheme="minorHAnsi"/>
          <w:sz w:val="22"/>
          <w:szCs w:val="22"/>
        </w:rPr>
        <w:t>4</w:t>
      </w:r>
      <w:r w:rsidR="00C436DB" w:rsidRPr="001567C8">
        <w:rPr>
          <w:rFonts w:asciiTheme="minorHAnsi" w:hAnsiTheme="minorHAnsi"/>
          <w:sz w:val="22"/>
          <w:szCs w:val="22"/>
        </w:rPr>
        <w:t>.592</w:t>
      </w:r>
      <w:r w:rsidR="00392C29" w:rsidRPr="001567C8">
        <w:rPr>
          <w:rFonts w:asciiTheme="minorHAnsi" w:hAnsiTheme="minorHAnsi"/>
          <w:sz w:val="22"/>
          <w:szCs w:val="22"/>
        </w:rPr>
        <w:t xml:space="preserve"> </w:t>
      </w:r>
      <w:r w:rsidR="000040E6" w:rsidRPr="001567C8">
        <w:rPr>
          <w:rFonts w:asciiTheme="minorHAnsi" w:hAnsiTheme="minorHAnsi"/>
          <w:sz w:val="22"/>
          <w:szCs w:val="22"/>
        </w:rPr>
        <w:t>tisuća kuna)</w:t>
      </w:r>
      <w:r w:rsidR="0040131E" w:rsidRPr="001567C8">
        <w:rPr>
          <w:rFonts w:asciiTheme="minorHAnsi" w:hAnsiTheme="minorHAnsi"/>
          <w:sz w:val="22"/>
          <w:szCs w:val="22"/>
        </w:rPr>
        <w:t xml:space="preserve"> te za Banku </w:t>
      </w:r>
      <w:r w:rsidR="00C436DB" w:rsidRPr="001567C8">
        <w:rPr>
          <w:rFonts w:asciiTheme="minorHAnsi" w:hAnsiTheme="minorHAnsi"/>
          <w:sz w:val="22"/>
          <w:szCs w:val="22"/>
        </w:rPr>
        <w:t>24.797</w:t>
      </w:r>
      <w:r w:rsidR="008A6203" w:rsidRPr="001567C8">
        <w:rPr>
          <w:rFonts w:asciiTheme="minorHAnsi" w:hAnsiTheme="minorHAnsi"/>
          <w:sz w:val="22"/>
          <w:szCs w:val="22"/>
        </w:rPr>
        <w:t xml:space="preserve"> </w:t>
      </w:r>
      <w:r w:rsidR="0040131E" w:rsidRPr="001567C8">
        <w:rPr>
          <w:rFonts w:asciiTheme="minorHAnsi" w:hAnsiTheme="minorHAnsi"/>
          <w:sz w:val="22"/>
          <w:szCs w:val="22"/>
        </w:rPr>
        <w:t xml:space="preserve">tisuća kuna (31. prosinca </w:t>
      </w:r>
      <w:r w:rsidR="00C436DB" w:rsidRPr="001567C8">
        <w:rPr>
          <w:rFonts w:asciiTheme="minorHAnsi" w:hAnsiTheme="minorHAnsi"/>
          <w:sz w:val="22"/>
          <w:szCs w:val="22"/>
        </w:rPr>
        <w:t>2017</w:t>
      </w:r>
      <w:r w:rsidR="0040131E" w:rsidRPr="001567C8">
        <w:rPr>
          <w:rFonts w:asciiTheme="minorHAnsi" w:hAnsiTheme="minorHAnsi"/>
          <w:sz w:val="22"/>
          <w:szCs w:val="22"/>
        </w:rPr>
        <w:t xml:space="preserve">. godine: </w:t>
      </w:r>
      <w:r w:rsidR="00C436DB" w:rsidRPr="001567C8">
        <w:rPr>
          <w:rFonts w:asciiTheme="minorHAnsi" w:hAnsiTheme="minorHAnsi"/>
          <w:sz w:val="22"/>
          <w:szCs w:val="22"/>
        </w:rPr>
        <w:t>24.335</w:t>
      </w:r>
      <w:r w:rsidR="00F126C6" w:rsidRPr="001567C8">
        <w:rPr>
          <w:rFonts w:asciiTheme="minorHAnsi" w:hAnsiTheme="minorHAnsi"/>
          <w:sz w:val="22"/>
          <w:szCs w:val="22"/>
        </w:rPr>
        <w:t xml:space="preserve"> </w:t>
      </w:r>
      <w:r w:rsidR="0040131E" w:rsidRPr="001567C8">
        <w:rPr>
          <w:rFonts w:asciiTheme="minorHAnsi" w:hAnsiTheme="minorHAnsi"/>
          <w:sz w:val="22"/>
          <w:szCs w:val="22"/>
        </w:rPr>
        <w:t>tisuća kuna).</w:t>
      </w:r>
      <w:r w:rsidR="007A6D81" w:rsidRPr="001567C8">
        <w:rPr>
          <w:rFonts w:asciiTheme="minorHAnsi" w:hAnsiTheme="minorHAnsi"/>
          <w:sz w:val="22"/>
          <w:szCs w:val="22"/>
        </w:rPr>
        <w:t xml:space="preserve"> </w:t>
      </w:r>
    </w:p>
    <w:p w:rsidR="006F2010" w:rsidRPr="001567C8" w:rsidRDefault="006F2010" w:rsidP="005A4073">
      <w:pPr>
        <w:pStyle w:val="Default"/>
        <w:jc w:val="both"/>
        <w:rPr>
          <w:rFonts w:asciiTheme="minorHAnsi" w:eastAsia="Times New Roman" w:hAnsiTheme="minorHAnsi"/>
          <w:sz w:val="22"/>
          <w:szCs w:val="22"/>
        </w:rPr>
      </w:pPr>
    </w:p>
    <w:p w:rsidR="007A6D81" w:rsidRPr="001567C8" w:rsidRDefault="007A6D81">
      <w:pPr>
        <w:pStyle w:val="Bodycopy"/>
        <w:spacing w:before="0" w:line="240" w:lineRule="auto"/>
        <w:jc w:val="both"/>
        <w:rPr>
          <w:rFonts w:asciiTheme="minorHAnsi" w:hAnsiTheme="minorHAnsi"/>
          <w:sz w:val="22"/>
          <w:szCs w:val="22"/>
        </w:rPr>
      </w:pPr>
      <w:r w:rsidRPr="001567C8">
        <w:rPr>
          <w:rFonts w:asciiTheme="minorHAnsi" w:hAnsiTheme="minorHAnsi"/>
          <w:sz w:val="22"/>
          <w:szCs w:val="22"/>
        </w:rPr>
        <w:t xml:space="preserve">Posljednju aktuarsku procjenu sadašnje vrijednosti obveza temeljem definiranih naknada na dan 31. prosinca </w:t>
      </w:r>
      <w:r w:rsidR="00EF2027" w:rsidRPr="001567C8">
        <w:rPr>
          <w:rFonts w:asciiTheme="minorHAnsi" w:hAnsiTheme="minorHAnsi"/>
          <w:sz w:val="22"/>
          <w:szCs w:val="22"/>
        </w:rPr>
        <w:t>2018</w:t>
      </w:r>
      <w:r w:rsidRPr="001567C8">
        <w:rPr>
          <w:rFonts w:asciiTheme="minorHAnsi" w:hAnsiTheme="minorHAnsi"/>
          <w:sz w:val="22"/>
          <w:szCs w:val="22"/>
        </w:rPr>
        <w:t>. godine obavio je ovlašteni aktuar. U modelu su u obzir uzete smrtnost i diskontna stopa, a pri izračunu su za svakog zaposlenika uzeti u obzir starost, spol, broj godina staža, očekivana smrtnost i diskontna stopa, odnosno dugoročno održiva stopa prinosa na obveznice.</w:t>
      </w:r>
    </w:p>
    <w:p w:rsidR="006F2010" w:rsidRPr="001567C8" w:rsidRDefault="006F2010">
      <w:pPr>
        <w:pStyle w:val="Bodycopy"/>
        <w:spacing w:before="0" w:line="240" w:lineRule="auto"/>
        <w:jc w:val="both"/>
        <w:rPr>
          <w:rFonts w:asciiTheme="minorHAnsi" w:hAnsiTheme="minorHAnsi"/>
          <w:sz w:val="22"/>
          <w:szCs w:val="22"/>
        </w:rPr>
      </w:pPr>
    </w:p>
    <w:p w:rsidR="007A6D81" w:rsidRPr="001567C8" w:rsidRDefault="008E211A">
      <w:pPr>
        <w:pStyle w:val="Bodycopy"/>
        <w:spacing w:before="0" w:line="240" w:lineRule="auto"/>
        <w:jc w:val="both"/>
        <w:rPr>
          <w:rFonts w:asciiTheme="minorHAnsi" w:hAnsiTheme="minorHAnsi"/>
          <w:sz w:val="22"/>
          <w:szCs w:val="22"/>
        </w:rPr>
      </w:pPr>
      <w:r w:rsidRPr="001567C8">
        <w:rPr>
          <w:rFonts w:asciiTheme="minorHAnsi" w:hAnsiTheme="minorHAnsi"/>
          <w:sz w:val="22"/>
          <w:szCs w:val="22"/>
        </w:rPr>
        <w:t>Prim</w:t>
      </w:r>
      <w:r w:rsidR="00752E76" w:rsidRPr="001567C8">
        <w:rPr>
          <w:rFonts w:asciiTheme="minorHAnsi" w:hAnsiTheme="minorHAnsi"/>
          <w:sz w:val="22"/>
          <w:szCs w:val="22"/>
        </w:rPr>
        <w:t>i</w:t>
      </w:r>
      <w:r w:rsidRPr="001567C8">
        <w:rPr>
          <w:rFonts w:asciiTheme="minorHAnsi" w:hAnsiTheme="minorHAnsi"/>
          <w:sz w:val="22"/>
          <w:szCs w:val="22"/>
        </w:rPr>
        <w:t xml:space="preserve">jenjena diskontna stopa koja </w:t>
      </w:r>
      <w:r w:rsidR="007A6D81" w:rsidRPr="001567C8">
        <w:rPr>
          <w:rFonts w:asciiTheme="minorHAnsi" w:hAnsiTheme="minorHAnsi"/>
          <w:sz w:val="22"/>
          <w:szCs w:val="22"/>
        </w:rPr>
        <w:t xml:space="preserve">predstavlja dugoročno održivu stopu prinosa na obveznice iznosi </w:t>
      </w:r>
      <w:r w:rsidR="008A6203" w:rsidRPr="001567C8">
        <w:rPr>
          <w:rFonts w:asciiTheme="minorHAnsi" w:hAnsiTheme="minorHAnsi"/>
          <w:sz w:val="22"/>
          <w:szCs w:val="22"/>
        </w:rPr>
        <w:t>4</w:t>
      </w:r>
      <w:r w:rsidR="00F126C6" w:rsidRPr="001567C8">
        <w:rPr>
          <w:rFonts w:asciiTheme="minorHAnsi" w:hAnsiTheme="minorHAnsi"/>
          <w:sz w:val="22"/>
          <w:szCs w:val="22"/>
        </w:rPr>
        <w:t>,</w:t>
      </w:r>
      <w:r w:rsidR="008A6203" w:rsidRPr="001567C8">
        <w:rPr>
          <w:rFonts w:asciiTheme="minorHAnsi" w:hAnsiTheme="minorHAnsi"/>
          <w:sz w:val="22"/>
          <w:szCs w:val="22"/>
        </w:rPr>
        <w:t>25</w:t>
      </w:r>
      <w:r w:rsidR="00F126C6" w:rsidRPr="001567C8">
        <w:rPr>
          <w:rFonts w:asciiTheme="minorHAnsi" w:hAnsiTheme="minorHAnsi"/>
          <w:sz w:val="22"/>
          <w:szCs w:val="22"/>
        </w:rPr>
        <w:t>%</w:t>
      </w:r>
      <w:r w:rsidR="008A6203" w:rsidRPr="001567C8">
        <w:rPr>
          <w:rFonts w:asciiTheme="minorHAnsi" w:hAnsiTheme="minorHAnsi"/>
          <w:sz w:val="22"/>
          <w:szCs w:val="22"/>
        </w:rPr>
        <w:t xml:space="preserve">, isto kao i u </w:t>
      </w:r>
      <w:r w:rsidR="00EF2027" w:rsidRPr="001567C8">
        <w:rPr>
          <w:rFonts w:asciiTheme="minorHAnsi" w:hAnsiTheme="minorHAnsi"/>
          <w:sz w:val="22"/>
          <w:szCs w:val="22"/>
        </w:rPr>
        <w:t>2017</w:t>
      </w:r>
      <w:r w:rsidR="009F2578" w:rsidRPr="001567C8">
        <w:rPr>
          <w:rFonts w:asciiTheme="minorHAnsi" w:hAnsiTheme="minorHAnsi"/>
          <w:sz w:val="22"/>
          <w:szCs w:val="22"/>
        </w:rPr>
        <w:t>. godini</w:t>
      </w:r>
      <w:r w:rsidR="007A6D81" w:rsidRPr="001567C8">
        <w:rPr>
          <w:rFonts w:asciiTheme="minorHAnsi" w:hAnsiTheme="minorHAnsi"/>
          <w:sz w:val="22"/>
          <w:szCs w:val="22"/>
        </w:rPr>
        <w:t>.</w:t>
      </w:r>
    </w:p>
    <w:p w:rsidR="006F2010" w:rsidRPr="001567C8" w:rsidRDefault="006F2010">
      <w:pPr>
        <w:pStyle w:val="Bodycopy"/>
        <w:spacing w:before="0" w:line="240" w:lineRule="auto"/>
        <w:jc w:val="both"/>
        <w:rPr>
          <w:rFonts w:asciiTheme="minorHAnsi" w:hAnsiTheme="minorHAnsi"/>
          <w:sz w:val="22"/>
          <w:szCs w:val="22"/>
        </w:rPr>
      </w:pPr>
    </w:p>
    <w:p w:rsidR="009004A4" w:rsidRPr="001567C8" w:rsidRDefault="009004A4" w:rsidP="005A4073">
      <w:pPr>
        <w:pStyle w:val="accountingpolicytitle"/>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Nerealizirani aktuarski dobici/(gubici) koji proizlaze iz izračuna rezerviranja iskazani su u okviru ostale sveobuhvatne dobiti kako bi neto imovina ili obveza odrazila punu vrijednost manjka, odnosno viška u planu. </w:t>
      </w:r>
    </w:p>
    <w:p w:rsidR="00145879" w:rsidRPr="001567C8" w:rsidRDefault="00145879" w:rsidP="006F2010">
      <w:pPr>
        <w:pStyle w:val="accountingpolicytitle"/>
        <w:rPr>
          <w:rFonts w:asciiTheme="minorHAnsi" w:hAnsiTheme="minorHAnsi" w:cs="Arial"/>
          <w:b w:val="0"/>
          <w:sz w:val="22"/>
          <w:szCs w:val="22"/>
          <w:lang w:val="hr-HR"/>
        </w:rPr>
      </w:pPr>
    </w:p>
    <w:p w:rsidR="002036A7" w:rsidRPr="001567C8" w:rsidRDefault="005A2E83" w:rsidP="006F2010">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31</w:t>
      </w:r>
      <w:r w:rsidR="002036A7" w:rsidRPr="001567C8">
        <w:rPr>
          <w:rFonts w:asciiTheme="minorHAnsi" w:hAnsiTheme="minorHAnsi" w:cs="Arial"/>
          <w:sz w:val="22"/>
          <w:szCs w:val="22"/>
          <w:lang w:val="hr-HR"/>
        </w:rPr>
        <w:t xml:space="preserve">. </w:t>
      </w:r>
      <w:r w:rsidR="0049523F" w:rsidRPr="001567C8">
        <w:rPr>
          <w:rFonts w:asciiTheme="minorHAnsi" w:hAnsiTheme="minorHAnsi" w:cs="Arial"/>
          <w:sz w:val="22"/>
          <w:szCs w:val="22"/>
          <w:lang w:val="hr-HR"/>
        </w:rPr>
        <w:tab/>
      </w:r>
      <w:r w:rsidR="002036A7" w:rsidRPr="001567C8">
        <w:rPr>
          <w:rFonts w:asciiTheme="minorHAnsi" w:hAnsiTheme="minorHAnsi" w:cs="Arial"/>
          <w:sz w:val="22"/>
          <w:szCs w:val="22"/>
          <w:lang w:val="hr-HR"/>
        </w:rPr>
        <w:t xml:space="preserve">Osnivački kapital </w:t>
      </w:r>
    </w:p>
    <w:p w:rsidR="006F2010" w:rsidRPr="001567C8" w:rsidRDefault="006F2010" w:rsidP="006F2010">
      <w:pPr>
        <w:pStyle w:val="T1"/>
        <w:spacing w:before="0" w:after="0" w:line="240" w:lineRule="auto"/>
        <w:rPr>
          <w:rFonts w:asciiTheme="minorHAnsi" w:hAnsiTheme="minorHAnsi" w:cs="Arial"/>
          <w:sz w:val="22"/>
          <w:szCs w:val="22"/>
          <w:lang w:val="hr-HR"/>
        </w:rPr>
      </w:pPr>
    </w:p>
    <w:p w:rsidR="002036A7" w:rsidRPr="001567C8" w:rsidRDefault="002036A7" w:rsidP="00093368">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Zakonom o HBOR-u propisani osnivački kapital treba iznositi 7.000.000 tisuća kuna uplatama iz proračuna te iz ostalih izvora temeljem pojedinačnih zakona. </w:t>
      </w:r>
    </w:p>
    <w:p w:rsidR="006F2010" w:rsidRPr="001567C8" w:rsidRDefault="006F2010" w:rsidP="00093368">
      <w:pPr>
        <w:jc w:val="both"/>
        <w:rPr>
          <w:rFonts w:asciiTheme="minorHAnsi" w:hAnsiTheme="minorHAnsi" w:cs="Arial"/>
          <w:sz w:val="22"/>
          <w:szCs w:val="22"/>
          <w:lang w:val="hr-HR"/>
        </w:rPr>
      </w:pPr>
    </w:p>
    <w:p w:rsidR="002036A7" w:rsidRPr="001567C8" w:rsidRDefault="002036A7" w:rsidP="00093368">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Plan godišnjih iznosa i vremenski okvir uplata iz Državnog proračuna nije unaprijed određen, već sukladno Zakonu, dinamiku uplata u osnivački kapital određuje Hrvatski sabor donošenjem Državnog proračuna Republike Hrvatske.  </w:t>
      </w:r>
    </w:p>
    <w:p w:rsidR="006F2010" w:rsidRPr="001567C8" w:rsidRDefault="006F2010" w:rsidP="00093368">
      <w:pPr>
        <w:jc w:val="both"/>
        <w:rPr>
          <w:rFonts w:asciiTheme="minorHAnsi" w:hAnsiTheme="minorHAnsi" w:cs="Arial"/>
          <w:sz w:val="22"/>
          <w:szCs w:val="22"/>
          <w:lang w:val="hr-HR"/>
        </w:rPr>
      </w:pPr>
    </w:p>
    <w:p w:rsidR="000131A2" w:rsidRPr="001567C8" w:rsidRDefault="00F00EE7" w:rsidP="00093368">
      <w:pPr>
        <w:jc w:val="both"/>
        <w:rPr>
          <w:rFonts w:asciiTheme="minorHAnsi" w:hAnsiTheme="minorHAnsi" w:cs="Arial"/>
          <w:sz w:val="22"/>
          <w:szCs w:val="22"/>
          <w:lang w:val="hr-HR"/>
        </w:rPr>
      </w:pPr>
      <w:r w:rsidRPr="001567C8">
        <w:rPr>
          <w:rFonts w:asciiTheme="minorHAnsi" w:hAnsiTheme="minorHAnsi" w:cs="Arial"/>
          <w:sz w:val="22"/>
          <w:szCs w:val="22"/>
          <w:lang w:val="hr-HR"/>
        </w:rPr>
        <w:t>Grupa</w:t>
      </w:r>
      <w:r w:rsidR="002036A7" w:rsidRPr="001567C8">
        <w:rPr>
          <w:rFonts w:asciiTheme="minorHAnsi" w:hAnsiTheme="minorHAnsi" w:cs="Arial"/>
          <w:sz w:val="22"/>
          <w:szCs w:val="22"/>
          <w:lang w:val="hr-HR"/>
        </w:rPr>
        <w:t xml:space="preserve"> je računovodstvenim politikama odredila osnovne ciljeve upravljanja kapitalom, kategoriju kapitala kojom Banka upravlja, kao i mjere ostvarivanja i praćenja politike upravljanja kapitalom. Upravljanje kapitalom se obrazlaže i iskazuje u </w:t>
      </w:r>
      <w:r w:rsidR="00150CA8" w:rsidRPr="001567C8">
        <w:rPr>
          <w:rFonts w:asciiTheme="minorHAnsi" w:hAnsiTheme="minorHAnsi" w:cs="Arial"/>
          <w:sz w:val="22"/>
          <w:szCs w:val="22"/>
          <w:lang w:val="hr-HR"/>
        </w:rPr>
        <w:t>b</w:t>
      </w:r>
      <w:r w:rsidR="001214D5" w:rsidRPr="001567C8">
        <w:rPr>
          <w:rFonts w:asciiTheme="minorHAnsi" w:hAnsiTheme="minorHAnsi" w:cs="Arial"/>
          <w:sz w:val="22"/>
          <w:szCs w:val="22"/>
          <w:lang w:val="hr-HR"/>
        </w:rPr>
        <w:t xml:space="preserve">ilješci </w:t>
      </w:r>
      <w:r w:rsidR="00C8240E" w:rsidRPr="001567C8">
        <w:rPr>
          <w:rFonts w:asciiTheme="minorHAnsi" w:hAnsiTheme="minorHAnsi" w:cs="Arial"/>
          <w:sz w:val="22"/>
          <w:szCs w:val="22"/>
          <w:lang w:val="hr-HR"/>
        </w:rPr>
        <w:t>39</w:t>
      </w:r>
      <w:r w:rsidR="002036A7" w:rsidRPr="001567C8">
        <w:rPr>
          <w:rFonts w:asciiTheme="minorHAnsi" w:hAnsiTheme="minorHAnsi" w:cs="Arial"/>
          <w:sz w:val="22"/>
          <w:szCs w:val="22"/>
          <w:lang w:val="hr-HR"/>
        </w:rPr>
        <w:t xml:space="preserve">. </w:t>
      </w:r>
    </w:p>
    <w:p w:rsidR="006F2010" w:rsidRPr="001567C8" w:rsidRDefault="006F2010" w:rsidP="00093368">
      <w:pPr>
        <w:jc w:val="both"/>
        <w:rPr>
          <w:rFonts w:asciiTheme="minorHAnsi" w:hAnsiTheme="minorHAnsi" w:cs="Arial"/>
          <w:sz w:val="22"/>
          <w:szCs w:val="22"/>
          <w:lang w:val="hr-HR"/>
        </w:rPr>
      </w:pPr>
    </w:p>
    <w:p w:rsidR="000131A2" w:rsidRPr="001567C8" w:rsidRDefault="005046D0" w:rsidP="00093368">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Osnivački kapital ovisnog društva Hrvatsko kreditno osiguranje d.d. iznosi 37.500 tisuća kuna i u </w:t>
      </w:r>
      <w:r w:rsidR="00D47F1D" w:rsidRPr="001567C8">
        <w:rPr>
          <w:rFonts w:asciiTheme="minorHAnsi" w:hAnsiTheme="minorHAnsi" w:cs="Arial"/>
          <w:sz w:val="22"/>
          <w:szCs w:val="22"/>
          <w:lang w:val="hr-HR"/>
        </w:rPr>
        <w:t>100</w:t>
      </w:r>
      <w:r w:rsidRPr="001567C8">
        <w:rPr>
          <w:rFonts w:asciiTheme="minorHAnsi" w:hAnsiTheme="minorHAnsi" w:cs="Arial"/>
          <w:sz w:val="22"/>
          <w:szCs w:val="22"/>
          <w:lang w:val="hr-HR"/>
        </w:rPr>
        <w:t>%-t</w:t>
      </w:r>
      <w:r w:rsidR="002D08C1" w:rsidRPr="001567C8">
        <w:rPr>
          <w:rFonts w:asciiTheme="minorHAnsi" w:hAnsiTheme="minorHAnsi" w:cs="Arial"/>
          <w:sz w:val="22"/>
          <w:szCs w:val="22"/>
          <w:lang w:val="hr-HR"/>
        </w:rPr>
        <w:t>n</w:t>
      </w:r>
      <w:r w:rsidRPr="001567C8">
        <w:rPr>
          <w:rFonts w:asciiTheme="minorHAnsi" w:hAnsiTheme="minorHAnsi" w:cs="Arial"/>
          <w:sz w:val="22"/>
          <w:szCs w:val="22"/>
          <w:lang w:val="hr-HR"/>
        </w:rPr>
        <w:t>om je vlasništvu Banke</w:t>
      </w:r>
      <w:r w:rsidR="003875B7" w:rsidRPr="001567C8">
        <w:rPr>
          <w:rFonts w:asciiTheme="minorHAnsi" w:hAnsiTheme="minorHAnsi" w:cs="Arial"/>
          <w:sz w:val="22"/>
          <w:szCs w:val="22"/>
          <w:lang w:val="hr-HR"/>
        </w:rPr>
        <w:t>,</w:t>
      </w:r>
      <w:r w:rsidRPr="001567C8">
        <w:rPr>
          <w:rFonts w:asciiTheme="minorHAnsi" w:hAnsiTheme="minorHAnsi" w:cs="Arial"/>
          <w:sz w:val="22"/>
          <w:szCs w:val="22"/>
          <w:lang w:val="hr-HR"/>
        </w:rPr>
        <w:t xml:space="preserve"> a </w:t>
      </w:r>
      <w:r w:rsidR="003875B7" w:rsidRPr="001567C8">
        <w:rPr>
          <w:rFonts w:asciiTheme="minorHAnsi" w:hAnsiTheme="minorHAnsi" w:cs="Arial"/>
          <w:sz w:val="22"/>
          <w:szCs w:val="22"/>
          <w:lang w:val="hr-HR"/>
        </w:rPr>
        <w:t xml:space="preserve">osnivački kapital društva </w:t>
      </w:r>
      <w:r w:rsidRPr="001567C8">
        <w:rPr>
          <w:rFonts w:asciiTheme="minorHAnsi" w:hAnsiTheme="minorHAnsi" w:cs="Arial"/>
          <w:sz w:val="22"/>
          <w:szCs w:val="22"/>
          <w:lang w:val="hr-HR"/>
        </w:rPr>
        <w:t>Poslovni info s</w:t>
      </w:r>
      <w:r w:rsidR="003875B7" w:rsidRPr="001567C8">
        <w:rPr>
          <w:rFonts w:asciiTheme="minorHAnsi" w:hAnsiTheme="minorHAnsi" w:cs="Arial"/>
          <w:sz w:val="22"/>
          <w:szCs w:val="22"/>
          <w:lang w:val="hr-HR"/>
        </w:rPr>
        <w:t>ervis</w:t>
      </w:r>
      <w:r w:rsidR="00A55760" w:rsidRPr="001567C8">
        <w:rPr>
          <w:rFonts w:asciiTheme="minorHAnsi" w:hAnsiTheme="minorHAnsi" w:cs="Arial"/>
          <w:sz w:val="22"/>
          <w:szCs w:val="22"/>
          <w:lang w:val="hr-HR"/>
        </w:rPr>
        <w:t xml:space="preserve"> d.o.o.</w:t>
      </w:r>
      <w:r w:rsidR="003875B7" w:rsidRPr="001567C8">
        <w:rPr>
          <w:rFonts w:asciiTheme="minorHAnsi" w:hAnsiTheme="minorHAnsi" w:cs="Arial"/>
          <w:sz w:val="22"/>
          <w:szCs w:val="22"/>
          <w:lang w:val="hr-HR"/>
        </w:rPr>
        <w:t xml:space="preserve"> iznosi </w:t>
      </w:r>
      <w:r w:rsidR="00BF69E2" w:rsidRPr="001567C8">
        <w:rPr>
          <w:rFonts w:asciiTheme="minorHAnsi" w:hAnsiTheme="minorHAnsi" w:cs="Arial"/>
          <w:sz w:val="22"/>
          <w:szCs w:val="22"/>
          <w:lang w:val="hr-HR"/>
        </w:rPr>
        <w:t>300</w:t>
      </w:r>
      <w:r w:rsidR="00AB5E84" w:rsidRPr="001567C8">
        <w:rPr>
          <w:rFonts w:asciiTheme="minorHAnsi" w:hAnsiTheme="minorHAnsi" w:cs="Arial"/>
          <w:sz w:val="22"/>
          <w:szCs w:val="22"/>
          <w:lang w:val="hr-HR"/>
        </w:rPr>
        <w:t xml:space="preserve"> </w:t>
      </w:r>
      <w:r w:rsidR="003875B7" w:rsidRPr="001567C8">
        <w:rPr>
          <w:rFonts w:asciiTheme="minorHAnsi" w:hAnsiTheme="minorHAnsi" w:cs="Arial"/>
          <w:sz w:val="22"/>
          <w:szCs w:val="22"/>
          <w:lang w:val="hr-HR"/>
        </w:rPr>
        <w:t>tisuća kuna i u 100%-tnom je vlasništvu Hrvatskog kreditnog osiguranja d.d.</w:t>
      </w:r>
      <w:r w:rsidR="00BE60C8" w:rsidRPr="001567C8">
        <w:rPr>
          <w:rFonts w:asciiTheme="minorHAnsi" w:hAnsiTheme="minorHAnsi" w:cs="Arial"/>
          <w:sz w:val="22"/>
          <w:szCs w:val="22"/>
          <w:lang w:val="hr-HR"/>
        </w:rPr>
        <w:t>.</w:t>
      </w:r>
      <w:r w:rsidR="003875B7" w:rsidRPr="001567C8">
        <w:rPr>
          <w:rFonts w:asciiTheme="minorHAnsi" w:hAnsiTheme="minorHAnsi" w:cs="Arial"/>
          <w:sz w:val="22"/>
          <w:szCs w:val="22"/>
          <w:lang w:val="hr-HR"/>
        </w:rPr>
        <w:t xml:space="preserve"> Kapital </w:t>
      </w:r>
      <w:r w:rsidR="00961CD4" w:rsidRPr="001567C8">
        <w:rPr>
          <w:rFonts w:asciiTheme="minorHAnsi" w:hAnsiTheme="minorHAnsi" w:cs="Arial"/>
          <w:sz w:val="22"/>
          <w:szCs w:val="22"/>
          <w:lang w:val="hr-HR"/>
        </w:rPr>
        <w:t xml:space="preserve">oba društva </w:t>
      </w:r>
      <w:r w:rsidR="003875B7" w:rsidRPr="001567C8">
        <w:rPr>
          <w:rFonts w:asciiTheme="minorHAnsi" w:hAnsiTheme="minorHAnsi" w:cs="Arial"/>
          <w:sz w:val="22"/>
          <w:szCs w:val="22"/>
          <w:lang w:val="hr-HR"/>
        </w:rPr>
        <w:t xml:space="preserve">je upisan i </w:t>
      </w:r>
      <w:r w:rsidR="000B5B55" w:rsidRPr="001567C8">
        <w:rPr>
          <w:rFonts w:asciiTheme="minorHAnsi" w:hAnsiTheme="minorHAnsi" w:cs="Arial"/>
          <w:sz w:val="22"/>
          <w:szCs w:val="22"/>
          <w:lang w:val="hr-HR"/>
        </w:rPr>
        <w:t xml:space="preserve">u cijelosti </w:t>
      </w:r>
      <w:r w:rsidR="003875B7" w:rsidRPr="001567C8">
        <w:rPr>
          <w:rFonts w:asciiTheme="minorHAnsi" w:hAnsiTheme="minorHAnsi" w:cs="Arial"/>
          <w:sz w:val="22"/>
          <w:szCs w:val="22"/>
          <w:lang w:val="hr-HR"/>
        </w:rPr>
        <w:t>uplaćen.</w:t>
      </w:r>
    </w:p>
    <w:p w:rsidR="00145879" w:rsidRPr="001567C8" w:rsidRDefault="00145879" w:rsidP="006F2010">
      <w:pPr>
        <w:jc w:val="both"/>
        <w:rPr>
          <w:rFonts w:asciiTheme="minorHAnsi" w:hAnsiTheme="minorHAnsi" w:cs="Arial"/>
          <w:sz w:val="22"/>
          <w:szCs w:val="22"/>
          <w:lang w:val="hr-HR"/>
        </w:rPr>
        <w:sectPr w:rsidR="00145879" w:rsidRPr="001567C8" w:rsidSect="003E2D7A">
          <w:pgSz w:w="11907" w:h="16840" w:code="9"/>
          <w:pgMar w:top="1418" w:right="1134" w:bottom="1134" w:left="1418" w:header="851" w:footer="851" w:gutter="0"/>
          <w:cols w:space="720"/>
          <w:noEndnote/>
        </w:sectPr>
      </w:pPr>
    </w:p>
    <w:p w:rsidR="006F2010" w:rsidRPr="001567C8" w:rsidRDefault="006F2010" w:rsidP="006F2010">
      <w:pPr>
        <w:pStyle w:val="T1"/>
        <w:keepNext w:val="0"/>
        <w:spacing w:before="0" w:after="0" w:line="240" w:lineRule="auto"/>
        <w:rPr>
          <w:rFonts w:asciiTheme="minorHAnsi" w:hAnsiTheme="minorHAnsi" w:cs="Arial"/>
          <w:sz w:val="22"/>
          <w:szCs w:val="22"/>
          <w:lang w:val="hr-HR"/>
        </w:rPr>
      </w:pPr>
    </w:p>
    <w:p w:rsidR="006D0890" w:rsidRPr="001567C8" w:rsidRDefault="005A2E83" w:rsidP="006F2010">
      <w:pPr>
        <w:pStyle w:val="T1"/>
        <w:keepNext w:val="0"/>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32</w:t>
      </w:r>
      <w:r w:rsidR="006D0890" w:rsidRPr="001567C8">
        <w:rPr>
          <w:rFonts w:asciiTheme="minorHAnsi" w:hAnsiTheme="minorHAnsi" w:cs="Arial"/>
          <w:sz w:val="22"/>
          <w:szCs w:val="22"/>
          <w:lang w:val="hr-HR"/>
        </w:rPr>
        <w:t xml:space="preserve">. </w:t>
      </w:r>
      <w:r w:rsidR="006D0890" w:rsidRPr="001567C8">
        <w:rPr>
          <w:rFonts w:asciiTheme="minorHAnsi" w:hAnsiTheme="minorHAnsi" w:cs="Arial"/>
          <w:sz w:val="22"/>
          <w:szCs w:val="22"/>
          <w:lang w:val="hr-HR"/>
        </w:rPr>
        <w:tab/>
        <w:t>Garantni fond</w:t>
      </w:r>
      <w:r w:rsidR="008301A0" w:rsidRPr="001567C8">
        <w:rPr>
          <w:rFonts w:asciiTheme="minorHAnsi" w:hAnsiTheme="minorHAnsi" w:cs="Arial"/>
          <w:sz w:val="22"/>
          <w:szCs w:val="22"/>
          <w:lang w:val="hr-HR"/>
        </w:rPr>
        <w:t xml:space="preserve"> </w:t>
      </w:r>
      <w:r w:rsidR="00087830" w:rsidRPr="001567C8">
        <w:rPr>
          <w:rFonts w:asciiTheme="minorHAnsi" w:hAnsiTheme="minorHAnsi" w:cs="Arial"/>
          <w:sz w:val="22"/>
          <w:szCs w:val="22"/>
          <w:lang w:val="hr-HR"/>
        </w:rPr>
        <w:t xml:space="preserve"> </w:t>
      </w:r>
    </w:p>
    <w:p w:rsidR="006F2010" w:rsidRPr="001567C8" w:rsidRDefault="006F2010" w:rsidP="006F2010">
      <w:pPr>
        <w:pStyle w:val="T1"/>
        <w:keepNext w:val="0"/>
        <w:spacing w:before="0" w:after="0" w:line="240" w:lineRule="auto"/>
        <w:rPr>
          <w:rFonts w:asciiTheme="minorHAnsi" w:hAnsiTheme="minorHAnsi" w:cs="Arial"/>
          <w:sz w:val="22"/>
          <w:szCs w:val="22"/>
          <w:lang w:val="hr-HR"/>
        </w:rPr>
      </w:pPr>
    </w:p>
    <w:tbl>
      <w:tblPr>
        <w:tblW w:w="5000" w:type="pct"/>
        <w:tblLook w:val="0000" w:firstRow="0" w:lastRow="0" w:firstColumn="0" w:lastColumn="0" w:noHBand="0" w:noVBand="0"/>
      </w:tblPr>
      <w:tblGrid>
        <w:gridCol w:w="7939"/>
        <w:gridCol w:w="1416"/>
      </w:tblGrid>
      <w:tr w:rsidR="005D4A65" w:rsidRPr="001567C8" w:rsidTr="00F072AB">
        <w:trPr>
          <w:trHeight w:val="302"/>
        </w:trPr>
        <w:tc>
          <w:tcPr>
            <w:tcW w:w="4243" w:type="pct"/>
          </w:tcPr>
          <w:p w:rsidR="005D4A65" w:rsidRPr="001567C8" w:rsidRDefault="008B0299" w:rsidP="00584BA0">
            <w:pPr>
              <w:pStyle w:val="TT"/>
              <w:spacing w:line="260" w:lineRule="exact"/>
              <w:rPr>
                <w:rFonts w:asciiTheme="minorHAnsi" w:hAnsiTheme="minorHAnsi" w:cs="Arial"/>
                <w:b/>
                <w:sz w:val="22"/>
                <w:szCs w:val="22"/>
                <w:lang w:val="hr-HR"/>
              </w:rPr>
            </w:pPr>
            <w:r w:rsidRPr="001567C8">
              <w:rPr>
                <w:rFonts w:asciiTheme="minorHAnsi" w:hAnsiTheme="minorHAnsi" w:cs="Arial"/>
                <w:b/>
                <w:sz w:val="22"/>
                <w:szCs w:val="22"/>
                <w:lang w:val="hr-HR"/>
              </w:rPr>
              <w:t>Grupa i Banka</w:t>
            </w:r>
          </w:p>
        </w:tc>
        <w:tc>
          <w:tcPr>
            <w:tcW w:w="757" w:type="pct"/>
          </w:tcPr>
          <w:p w:rsidR="005D4A65" w:rsidRPr="001567C8" w:rsidRDefault="005D4A65" w:rsidP="009646A5">
            <w:pPr>
              <w:pStyle w:val="TT"/>
              <w:tabs>
                <w:tab w:val="clear" w:pos="1202"/>
              </w:tabs>
              <w:jc w:val="right"/>
              <w:rPr>
                <w:rFonts w:asciiTheme="minorHAnsi" w:hAnsiTheme="minorHAnsi" w:cs="Arial"/>
                <w:b/>
                <w:sz w:val="22"/>
                <w:szCs w:val="22"/>
                <w:lang w:val="hr-HR"/>
              </w:rPr>
            </w:pPr>
            <w:r w:rsidRPr="001567C8">
              <w:rPr>
                <w:rFonts w:asciiTheme="minorHAnsi" w:hAnsiTheme="minorHAnsi" w:cs="Arial"/>
                <w:b/>
                <w:sz w:val="22"/>
                <w:szCs w:val="22"/>
                <w:lang w:val="hr-HR"/>
              </w:rPr>
              <w:t>000 kuna</w:t>
            </w:r>
          </w:p>
        </w:tc>
      </w:tr>
      <w:tr w:rsidR="000B5B55" w:rsidRPr="001567C8" w:rsidTr="00F072AB">
        <w:trPr>
          <w:trHeight w:val="173"/>
        </w:trPr>
        <w:tc>
          <w:tcPr>
            <w:tcW w:w="4243" w:type="pct"/>
          </w:tcPr>
          <w:p w:rsidR="000B5B55" w:rsidRPr="001567C8" w:rsidRDefault="000B5B55" w:rsidP="00353005">
            <w:pPr>
              <w:pStyle w:val="TT"/>
              <w:spacing w:line="140" w:lineRule="exact"/>
              <w:rPr>
                <w:rFonts w:asciiTheme="minorHAnsi" w:hAnsiTheme="minorHAnsi" w:cs="Arial"/>
                <w:b/>
                <w:sz w:val="22"/>
                <w:szCs w:val="22"/>
                <w:lang w:val="hr-HR"/>
              </w:rPr>
            </w:pPr>
          </w:p>
        </w:tc>
        <w:tc>
          <w:tcPr>
            <w:tcW w:w="757" w:type="pct"/>
          </w:tcPr>
          <w:p w:rsidR="000B5B55" w:rsidRPr="001567C8" w:rsidRDefault="000B5B55" w:rsidP="00353005">
            <w:pPr>
              <w:pStyle w:val="TT"/>
              <w:tabs>
                <w:tab w:val="clear" w:pos="1202"/>
              </w:tabs>
              <w:spacing w:line="140" w:lineRule="exact"/>
              <w:jc w:val="right"/>
              <w:rPr>
                <w:rFonts w:asciiTheme="minorHAnsi" w:hAnsiTheme="minorHAnsi" w:cs="Arial"/>
                <w:b/>
                <w:sz w:val="22"/>
                <w:szCs w:val="22"/>
                <w:lang w:val="hr-HR"/>
              </w:rPr>
            </w:pPr>
          </w:p>
        </w:tc>
      </w:tr>
      <w:tr w:rsidR="005D4A65" w:rsidRPr="001567C8" w:rsidTr="00F072AB">
        <w:trPr>
          <w:trHeight w:val="151"/>
        </w:trPr>
        <w:tc>
          <w:tcPr>
            <w:tcW w:w="4243" w:type="pct"/>
          </w:tcPr>
          <w:p w:rsidR="005D4A65" w:rsidRPr="001567C8" w:rsidRDefault="00FA32D1" w:rsidP="00281521">
            <w:pPr>
              <w:pStyle w:val="TT"/>
              <w:spacing w:line="260" w:lineRule="exact"/>
              <w:rPr>
                <w:rFonts w:asciiTheme="minorHAnsi" w:hAnsiTheme="minorHAnsi" w:cs="Arial"/>
                <w:b/>
                <w:iCs/>
                <w:sz w:val="22"/>
                <w:szCs w:val="22"/>
                <w:lang w:val="hr-HR"/>
              </w:rPr>
            </w:pPr>
            <w:r w:rsidRPr="001567C8">
              <w:rPr>
                <w:rFonts w:asciiTheme="minorHAnsi" w:hAnsiTheme="minorHAnsi" w:cs="Arial"/>
                <w:b/>
                <w:iCs/>
                <w:sz w:val="22"/>
                <w:szCs w:val="22"/>
                <w:lang w:val="hr-HR"/>
              </w:rPr>
              <w:t>Stanje 1. siječnja 201</w:t>
            </w:r>
            <w:r w:rsidR="00D015B1" w:rsidRPr="001567C8">
              <w:rPr>
                <w:rFonts w:asciiTheme="minorHAnsi" w:hAnsiTheme="minorHAnsi" w:cs="Arial"/>
                <w:b/>
                <w:iCs/>
                <w:sz w:val="22"/>
                <w:szCs w:val="22"/>
                <w:lang w:val="hr-HR"/>
              </w:rPr>
              <w:t>7</w:t>
            </w:r>
            <w:r w:rsidR="005D4A65" w:rsidRPr="001567C8">
              <w:rPr>
                <w:rFonts w:asciiTheme="minorHAnsi" w:hAnsiTheme="minorHAnsi" w:cs="Arial"/>
                <w:b/>
                <w:iCs/>
                <w:sz w:val="22"/>
                <w:szCs w:val="22"/>
                <w:lang w:val="hr-HR"/>
              </w:rPr>
              <w:t>. godine</w:t>
            </w:r>
          </w:p>
        </w:tc>
        <w:tc>
          <w:tcPr>
            <w:tcW w:w="757" w:type="pct"/>
            <w:vAlign w:val="center"/>
          </w:tcPr>
          <w:p w:rsidR="005D4A65" w:rsidRPr="001567C8" w:rsidRDefault="00D015B1" w:rsidP="00281521">
            <w:pPr>
              <w:pStyle w:val="TT"/>
              <w:tabs>
                <w:tab w:val="clear" w:pos="1202"/>
              </w:tabs>
              <w:jc w:val="right"/>
              <w:rPr>
                <w:rFonts w:asciiTheme="minorHAnsi" w:hAnsiTheme="minorHAnsi"/>
                <w:b/>
                <w:iCs/>
                <w:sz w:val="22"/>
                <w:szCs w:val="22"/>
                <w:lang w:val="hr-HR"/>
              </w:rPr>
            </w:pPr>
            <w:r w:rsidRPr="001567C8">
              <w:rPr>
                <w:rFonts w:asciiTheme="minorHAnsi" w:hAnsiTheme="minorHAnsi" w:cs="Arial"/>
                <w:b/>
                <w:bCs/>
                <w:sz w:val="22"/>
                <w:szCs w:val="22"/>
                <w:lang w:val="hr-HR"/>
              </w:rPr>
              <w:t>12.375</w:t>
            </w:r>
          </w:p>
        </w:tc>
      </w:tr>
      <w:tr w:rsidR="00B72594" w:rsidRPr="001567C8" w:rsidTr="00F072AB">
        <w:trPr>
          <w:trHeight w:val="302"/>
        </w:trPr>
        <w:tc>
          <w:tcPr>
            <w:tcW w:w="4243" w:type="pct"/>
            <w:vAlign w:val="center"/>
          </w:tcPr>
          <w:p w:rsidR="00B72594" w:rsidRPr="001567C8" w:rsidRDefault="00B72594" w:rsidP="0058306F">
            <w:pPr>
              <w:pStyle w:val="TT"/>
              <w:spacing w:line="260" w:lineRule="exact"/>
              <w:rPr>
                <w:rFonts w:asciiTheme="minorHAnsi" w:hAnsiTheme="minorHAnsi" w:cs="Arial"/>
                <w:b/>
                <w:bCs/>
                <w:sz w:val="22"/>
                <w:szCs w:val="22"/>
                <w:lang w:val="hr-HR"/>
              </w:rPr>
            </w:pPr>
            <w:r w:rsidRPr="001567C8">
              <w:rPr>
                <w:rFonts w:asciiTheme="minorHAnsi" w:hAnsiTheme="minorHAnsi" w:cs="Arial"/>
                <w:iCs/>
                <w:sz w:val="22"/>
                <w:szCs w:val="22"/>
                <w:lang w:val="hr-HR"/>
              </w:rPr>
              <w:t>Neto tečajne razlike</w:t>
            </w:r>
          </w:p>
        </w:tc>
        <w:tc>
          <w:tcPr>
            <w:tcW w:w="757" w:type="pct"/>
            <w:vAlign w:val="bottom"/>
          </w:tcPr>
          <w:p w:rsidR="00B72594" w:rsidRPr="001567C8" w:rsidRDefault="00D015B1" w:rsidP="009C21BC">
            <w:pPr>
              <w:pStyle w:val="Thin"/>
              <w:tabs>
                <w:tab w:val="clear" w:pos="1202"/>
              </w:tabs>
              <w:spacing w:line="260" w:lineRule="exact"/>
              <w:jc w:val="right"/>
              <w:rPr>
                <w:rFonts w:asciiTheme="minorHAnsi" w:hAnsiTheme="minorHAnsi" w:cs="Arial"/>
                <w:b w:val="0"/>
                <w:iCs/>
                <w:sz w:val="22"/>
                <w:szCs w:val="22"/>
                <w:lang w:val="hr-HR"/>
              </w:rPr>
            </w:pPr>
            <w:r w:rsidRPr="001567C8">
              <w:rPr>
                <w:rFonts w:asciiTheme="minorHAnsi" w:hAnsiTheme="minorHAnsi" w:cs="Arial"/>
                <w:b w:val="0"/>
                <w:iCs/>
                <w:sz w:val="22"/>
                <w:szCs w:val="22"/>
                <w:lang w:val="hr-HR"/>
              </w:rPr>
              <w:t>(72)</w:t>
            </w:r>
          </w:p>
        </w:tc>
      </w:tr>
      <w:tr w:rsidR="0058306F" w:rsidRPr="001567C8" w:rsidTr="00F072AB">
        <w:trPr>
          <w:trHeight w:val="232"/>
        </w:trPr>
        <w:tc>
          <w:tcPr>
            <w:tcW w:w="4243" w:type="pct"/>
          </w:tcPr>
          <w:p w:rsidR="0058306F" w:rsidRPr="001567C8" w:rsidRDefault="00B72594" w:rsidP="00281521">
            <w:pPr>
              <w:pStyle w:val="TT"/>
              <w:spacing w:line="260" w:lineRule="exact"/>
              <w:rPr>
                <w:rFonts w:asciiTheme="minorHAnsi" w:hAnsiTheme="minorHAnsi"/>
                <w:iCs/>
                <w:sz w:val="22"/>
                <w:szCs w:val="22"/>
                <w:lang w:val="hr-HR"/>
              </w:rPr>
            </w:pPr>
            <w:r w:rsidRPr="001567C8">
              <w:rPr>
                <w:rFonts w:asciiTheme="minorHAnsi" w:hAnsiTheme="minorHAnsi" w:cs="Arial"/>
                <w:b/>
                <w:iCs/>
                <w:sz w:val="22"/>
                <w:szCs w:val="22"/>
                <w:lang w:val="hr-HR"/>
              </w:rPr>
              <w:t>Stanje 31. prosinca 20</w:t>
            </w:r>
            <w:r w:rsidR="00FA32D1" w:rsidRPr="001567C8">
              <w:rPr>
                <w:rFonts w:asciiTheme="minorHAnsi" w:hAnsiTheme="minorHAnsi" w:cs="Arial"/>
                <w:b/>
                <w:iCs/>
                <w:sz w:val="22"/>
                <w:szCs w:val="22"/>
                <w:lang w:val="hr-HR"/>
              </w:rPr>
              <w:t>1</w:t>
            </w:r>
            <w:r w:rsidR="00D015B1" w:rsidRPr="001567C8">
              <w:rPr>
                <w:rFonts w:asciiTheme="minorHAnsi" w:hAnsiTheme="minorHAnsi" w:cs="Arial"/>
                <w:b/>
                <w:iCs/>
                <w:sz w:val="22"/>
                <w:szCs w:val="22"/>
                <w:lang w:val="hr-HR"/>
              </w:rPr>
              <w:t>7</w:t>
            </w:r>
            <w:r w:rsidR="0058306F" w:rsidRPr="001567C8">
              <w:rPr>
                <w:rFonts w:asciiTheme="minorHAnsi" w:hAnsiTheme="minorHAnsi" w:cs="Arial"/>
                <w:b/>
                <w:iCs/>
                <w:sz w:val="22"/>
                <w:szCs w:val="22"/>
                <w:lang w:val="hr-HR"/>
              </w:rPr>
              <w:t>. godine</w:t>
            </w:r>
          </w:p>
        </w:tc>
        <w:tc>
          <w:tcPr>
            <w:tcW w:w="757" w:type="pct"/>
            <w:tcBorders>
              <w:top w:val="single" w:sz="4" w:space="0" w:color="auto"/>
            </w:tcBorders>
            <w:vAlign w:val="bottom"/>
          </w:tcPr>
          <w:p w:rsidR="0058306F" w:rsidRPr="001567C8" w:rsidRDefault="00D015B1" w:rsidP="00281521">
            <w:pPr>
              <w:pStyle w:val="Tot"/>
              <w:tabs>
                <w:tab w:val="clear" w:pos="1202"/>
              </w:tabs>
              <w:spacing w:line="260" w:lineRule="exac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12.303</w:t>
            </w:r>
          </w:p>
        </w:tc>
      </w:tr>
      <w:tr w:rsidR="0058306F" w:rsidRPr="001567C8" w:rsidTr="00F072AB">
        <w:trPr>
          <w:trHeight w:val="307"/>
        </w:trPr>
        <w:tc>
          <w:tcPr>
            <w:tcW w:w="4243" w:type="pct"/>
            <w:vAlign w:val="bottom"/>
          </w:tcPr>
          <w:p w:rsidR="0058306F" w:rsidRPr="001567C8" w:rsidRDefault="0058306F" w:rsidP="00AA57B6">
            <w:pPr>
              <w:pStyle w:val="Thin"/>
              <w:tabs>
                <w:tab w:val="clear" w:pos="1202"/>
              </w:tabs>
              <w:spacing w:line="260" w:lineRule="exact"/>
              <w:rPr>
                <w:rFonts w:asciiTheme="minorHAnsi" w:hAnsiTheme="minorHAnsi" w:cs="Arial"/>
                <w:b w:val="0"/>
                <w:iCs/>
                <w:sz w:val="22"/>
                <w:szCs w:val="22"/>
                <w:lang w:val="hr-HR"/>
              </w:rPr>
            </w:pPr>
            <w:r w:rsidRPr="001567C8">
              <w:rPr>
                <w:rFonts w:asciiTheme="minorHAnsi" w:hAnsiTheme="minorHAnsi" w:cs="Arial"/>
                <w:b w:val="0"/>
                <w:iCs/>
                <w:sz w:val="22"/>
                <w:szCs w:val="22"/>
                <w:lang w:val="hr-HR"/>
              </w:rPr>
              <w:t>Neto tečajne razlike</w:t>
            </w:r>
          </w:p>
        </w:tc>
        <w:tc>
          <w:tcPr>
            <w:tcW w:w="757" w:type="pct"/>
            <w:tcBorders>
              <w:top w:val="single" w:sz="12" w:space="0" w:color="auto"/>
            </w:tcBorders>
            <w:vAlign w:val="bottom"/>
          </w:tcPr>
          <w:p w:rsidR="0058306F" w:rsidRPr="001567C8" w:rsidRDefault="00067053" w:rsidP="00AA57B6">
            <w:pPr>
              <w:pStyle w:val="Thin"/>
              <w:tabs>
                <w:tab w:val="clear" w:pos="1202"/>
              </w:tabs>
              <w:spacing w:line="260" w:lineRule="exact"/>
              <w:jc w:val="right"/>
              <w:rPr>
                <w:rFonts w:asciiTheme="minorHAnsi" w:hAnsiTheme="minorHAnsi" w:cs="Arial"/>
                <w:b w:val="0"/>
                <w:iCs/>
                <w:sz w:val="22"/>
                <w:szCs w:val="22"/>
                <w:lang w:val="hr-HR"/>
              </w:rPr>
            </w:pPr>
            <w:r w:rsidRPr="001567C8">
              <w:rPr>
                <w:rFonts w:asciiTheme="minorHAnsi" w:hAnsiTheme="minorHAnsi" w:cs="Arial"/>
                <w:b w:val="0"/>
                <w:iCs/>
                <w:sz w:val="22"/>
                <w:szCs w:val="22"/>
                <w:lang w:val="hr-HR"/>
              </w:rPr>
              <w:t>(157)</w:t>
            </w:r>
          </w:p>
        </w:tc>
      </w:tr>
      <w:tr w:rsidR="0058306F" w:rsidRPr="001567C8" w:rsidTr="00F072AB">
        <w:trPr>
          <w:trHeight w:val="232"/>
        </w:trPr>
        <w:tc>
          <w:tcPr>
            <w:tcW w:w="4243" w:type="pct"/>
          </w:tcPr>
          <w:p w:rsidR="0058306F" w:rsidRPr="001567C8" w:rsidRDefault="0058306F" w:rsidP="00281521">
            <w:pPr>
              <w:pStyle w:val="TT"/>
              <w:spacing w:line="260" w:lineRule="exact"/>
              <w:jc w:val="both"/>
              <w:rPr>
                <w:rFonts w:asciiTheme="minorHAnsi" w:hAnsiTheme="minorHAnsi"/>
                <w:iCs/>
                <w:sz w:val="22"/>
                <w:szCs w:val="22"/>
                <w:lang w:val="hr-HR"/>
              </w:rPr>
            </w:pPr>
            <w:r w:rsidRPr="001567C8">
              <w:rPr>
                <w:rFonts w:asciiTheme="minorHAnsi" w:hAnsiTheme="minorHAnsi" w:cs="Arial"/>
                <w:b/>
                <w:iCs/>
                <w:sz w:val="22"/>
                <w:szCs w:val="22"/>
                <w:lang w:val="hr-HR"/>
              </w:rPr>
              <w:t>St</w:t>
            </w:r>
            <w:r w:rsidR="00A21AA7" w:rsidRPr="001567C8">
              <w:rPr>
                <w:rFonts w:asciiTheme="minorHAnsi" w:hAnsiTheme="minorHAnsi" w:cs="Arial"/>
                <w:b/>
                <w:iCs/>
                <w:sz w:val="22"/>
                <w:szCs w:val="22"/>
                <w:lang w:val="hr-HR"/>
              </w:rPr>
              <w:t xml:space="preserve">anje 31. prosinca </w:t>
            </w:r>
            <w:r w:rsidR="00FA32D1" w:rsidRPr="001567C8">
              <w:rPr>
                <w:rFonts w:asciiTheme="minorHAnsi" w:hAnsiTheme="minorHAnsi" w:cs="Arial"/>
                <w:b/>
                <w:iCs/>
                <w:sz w:val="22"/>
                <w:szCs w:val="22"/>
                <w:lang w:val="hr-HR"/>
              </w:rPr>
              <w:t>201</w:t>
            </w:r>
            <w:r w:rsidR="00D015B1" w:rsidRPr="001567C8">
              <w:rPr>
                <w:rFonts w:asciiTheme="minorHAnsi" w:hAnsiTheme="minorHAnsi" w:cs="Arial"/>
                <w:b/>
                <w:iCs/>
                <w:sz w:val="22"/>
                <w:szCs w:val="22"/>
                <w:lang w:val="hr-HR"/>
              </w:rPr>
              <w:t>8</w:t>
            </w:r>
            <w:r w:rsidRPr="001567C8">
              <w:rPr>
                <w:rFonts w:asciiTheme="minorHAnsi" w:hAnsiTheme="minorHAnsi" w:cs="Arial"/>
                <w:b/>
                <w:iCs/>
                <w:sz w:val="22"/>
                <w:szCs w:val="22"/>
                <w:lang w:val="hr-HR"/>
              </w:rPr>
              <w:t>. godine</w:t>
            </w:r>
          </w:p>
        </w:tc>
        <w:tc>
          <w:tcPr>
            <w:tcW w:w="757" w:type="pct"/>
            <w:tcBorders>
              <w:top w:val="single" w:sz="4" w:space="0" w:color="auto"/>
              <w:bottom w:val="single" w:sz="12" w:space="0" w:color="auto"/>
            </w:tcBorders>
            <w:vAlign w:val="bottom"/>
          </w:tcPr>
          <w:p w:rsidR="0058306F" w:rsidRPr="001567C8" w:rsidRDefault="00067053" w:rsidP="0058306F">
            <w:pPr>
              <w:pStyle w:val="Tot"/>
              <w:tabs>
                <w:tab w:val="clear" w:pos="1202"/>
              </w:tabs>
              <w:spacing w:line="260" w:lineRule="exact"/>
              <w:jc w:val="right"/>
              <w:rPr>
                <w:rFonts w:asciiTheme="minorHAnsi" w:hAnsiTheme="minorHAnsi" w:cs="Arial"/>
                <w:b/>
                <w:bCs/>
                <w:sz w:val="22"/>
                <w:szCs w:val="22"/>
                <w:lang w:val="hr-HR"/>
              </w:rPr>
            </w:pPr>
            <w:r w:rsidRPr="001567C8">
              <w:rPr>
                <w:rFonts w:asciiTheme="minorHAnsi" w:hAnsiTheme="minorHAnsi" w:cs="Arial"/>
                <w:b/>
                <w:bCs/>
                <w:sz w:val="22"/>
                <w:szCs w:val="22"/>
                <w:lang w:val="hr-HR"/>
              </w:rPr>
              <w:t>12.146</w:t>
            </w:r>
          </w:p>
        </w:tc>
      </w:tr>
    </w:tbl>
    <w:p w:rsidR="00FD76B8" w:rsidRPr="001567C8" w:rsidRDefault="00FD76B8" w:rsidP="006F2010">
      <w:pPr>
        <w:pStyle w:val="T1"/>
        <w:keepNext w:val="0"/>
        <w:spacing w:before="0" w:after="0" w:line="240" w:lineRule="auto"/>
        <w:rPr>
          <w:rFonts w:asciiTheme="minorHAnsi" w:hAnsiTheme="minorHAnsi" w:cs="Arial"/>
          <w:b w:val="0"/>
          <w:bCs w:val="0"/>
          <w:sz w:val="22"/>
          <w:szCs w:val="22"/>
          <w:lang w:val="hr-HR"/>
        </w:rPr>
      </w:pPr>
    </w:p>
    <w:p w:rsidR="009E6F41" w:rsidRPr="001567C8" w:rsidRDefault="00787613" w:rsidP="006F2010">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Sredstva garantnog fonda u ukupnom iznosu od </w:t>
      </w:r>
      <w:r w:rsidR="00EB73F1" w:rsidRPr="001567C8">
        <w:rPr>
          <w:rFonts w:asciiTheme="minorHAnsi" w:hAnsiTheme="minorHAnsi" w:cs="Arial"/>
          <w:b w:val="0"/>
          <w:bCs w:val="0"/>
          <w:sz w:val="22"/>
          <w:szCs w:val="22"/>
          <w:lang w:val="hr-HR"/>
        </w:rPr>
        <w:t>12</w:t>
      </w:r>
      <w:r w:rsidR="00C40B38" w:rsidRPr="001567C8">
        <w:rPr>
          <w:rFonts w:asciiTheme="minorHAnsi" w:hAnsiTheme="minorHAnsi" w:cs="Arial"/>
          <w:b w:val="0"/>
          <w:bCs w:val="0"/>
          <w:sz w:val="22"/>
          <w:szCs w:val="22"/>
          <w:lang w:val="hr-HR"/>
        </w:rPr>
        <w:t>.</w:t>
      </w:r>
      <w:r w:rsidR="00067053" w:rsidRPr="001567C8">
        <w:rPr>
          <w:rFonts w:asciiTheme="minorHAnsi" w:hAnsiTheme="minorHAnsi" w:cs="Arial"/>
          <w:b w:val="0"/>
          <w:bCs w:val="0"/>
          <w:sz w:val="22"/>
          <w:szCs w:val="22"/>
          <w:lang w:val="hr-HR"/>
        </w:rPr>
        <w:t>146</w:t>
      </w:r>
      <w:r w:rsidR="00C40B38"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tisuć</w:t>
      </w:r>
      <w:r w:rsidR="00F00EE7" w:rsidRPr="001567C8">
        <w:rPr>
          <w:rFonts w:asciiTheme="minorHAnsi" w:hAnsiTheme="minorHAnsi" w:cs="Arial"/>
          <w:b w:val="0"/>
          <w:bCs w:val="0"/>
          <w:sz w:val="22"/>
          <w:szCs w:val="22"/>
          <w:lang w:val="hr-HR"/>
        </w:rPr>
        <w:t>a</w:t>
      </w:r>
      <w:r w:rsidRPr="001567C8">
        <w:rPr>
          <w:rFonts w:asciiTheme="minorHAnsi" w:hAnsiTheme="minorHAnsi" w:cs="Arial"/>
          <w:b w:val="0"/>
          <w:bCs w:val="0"/>
          <w:sz w:val="22"/>
          <w:szCs w:val="22"/>
          <w:lang w:val="hr-HR"/>
        </w:rPr>
        <w:t xml:space="preserve"> kuna i </w:t>
      </w:r>
      <w:r w:rsidR="00C40B38" w:rsidRPr="001567C8">
        <w:rPr>
          <w:rFonts w:asciiTheme="minorHAnsi" w:hAnsiTheme="minorHAnsi" w:cs="Arial"/>
          <w:b w:val="0"/>
          <w:bCs w:val="0"/>
          <w:sz w:val="22"/>
          <w:szCs w:val="22"/>
          <w:lang w:val="hr-HR"/>
        </w:rPr>
        <w:t>12.</w:t>
      </w:r>
      <w:r w:rsidR="00067053" w:rsidRPr="001567C8">
        <w:rPr>
          <w:rFonts w:asciiTheme="minorHAnsi" w:hAnsiTheme="minorHAnsi" w:cs="Arial"/>
          <w:b w:val="0"/>
          <w:bCs w:val="0"/>
          <w:sz w:val="22"/>
          <w:szCs w:val="22"/>
          <w:lang w:val="hr-HR"/>
        </w:rPr>
        <w:t xml:space="preserve">303 </w:t>
      </w:r>
      <w:r w:rsidRPr="001567C8">
        <w:rPr>
          <w:rFonts w:asciiTheme="minorHAnsi" w:hAnsiTheme="minorHAnsi" w:cs="Arial"/>
          <w:b w:val="0"/>
          <w:bCs w:val="0"/>
          <w:sz w:val="22"/>
          <w:szCs w:val="22"/>
          <w:lang w:val="hr-HR"/>
        </w:rPr>
        <w:t xml:space="preserve">tisuća kuna na dan 31. prosinca </w:t>
      </w:r>
      <w:r w:rsidR="00067053" w:rsidRPr="001567C8">
        <w:rPr>
          <w:rFonts w:asciiTheme="minorHAnsi" w:hAnsiTheme="minorHAnsi" w:cs="Arial"/>
          <w:b w:val="0"/>
          <w:bCs w:val="0"/>
          <w:sz w:val="22"/>
          <w:szCs w:val="22"/>
          <w:lang w:val="hr-HR"/>
        </w:rPr>
        <w:t>2018</w:t>
      </w:r>
      <w:r w:rsidRPr="001567C8">
        <w:rPr>
          <w:rFonts w:asciiTheme="minorHAnsi" w:hAnsiTheme="minorHAnsi" w:cs="Arial"/>
          <w:b w:val="0"/>
          <w:bCs w:val="0"/>
          <w:sz w:val="22"/>
          <w:szCs w:val="22"/>
          <w:lang w:val="hr-HR"/>
        </w:rPr>
        <w:t xml:space="preserve">. i </w:t>
      </w:r>
      <w:r w:rsidR="00067053" w:rsidRPr="001567C8">
        <w:rPr>
          <w:rFonts w:asciiTheme="minorHAnsi" w:hAnsiTheme="minorHAnsi" w:cs="Arial"/>
          <w:b w:val="0"/>
          <w:bCs w:val="0"/>
          <w:sz w:val="22"/>
          <w:szCs w:val="22"/>
          <w:lang w:val="hr-HR"/>
        </w:rPr>
        <w:t>2017</w:t>
      </w:r>
      <w:r w:rsidRPr="001567C8">
        <w:rPr>
          <w:rFonts w:asciiTheme="minorHAnsi" w:hAnsiTheme="minorHAnsi" w:cs="Arial"/>
          <w:b w:val="0"/>
          <w:bCs w:val="0"/>
          <w:sz w:val="22"/>
          <w:szCs w:val="22"/>
          <w:lang w:val="hr-HR"/>
        </w:rPr>
        <w:t>. godine odnose se na sredst</w:t>
      </w:r>
      <w:r w:rsidR="006F3430" w:rsidRPr="001567C8">
        <w:rPr>
          <w:rFonts w:asciiTheme="minorHAnsi" w:hAnsiTheme="minorHAnsi" w:cs="Arial"/>
          <w:b w:val="0"/>
          <w:bCs w:val="0"/>
          <w:sz w:val="22"/>
          <w:szCs w:val="22"/>
          <w:lang w:val="hr-HR"/>
        </w:rPr>
        <w:t>va</w:t>
      </w:r>
      <w:r w:rsidRPr="001567C8">
        <w:rPr>
          <w:rFonts w:asciiTheme="minorHAnsi" w:hAnsiTheme="minorHAnsi" w:cs="Arial"/>
          <w:b w:val="0"/>
          <w:bCs w:val="0"/>
          <w:sz w:val="22"/>
          <w:szCs w:val="22"/>
          <w:lang w:val="hr-HR"/>
        </w:rPr>
        <w:t xml:space="preserve"> </w:t>
      </w:r>
      <w:r w:rsidR="00553663" w:rsidRPr="001567C8">
        <w:rPr>
          <w:rFonts w:asciiTheme="minorHAnsi" w:hAnsiTheme="minorHAnsi" w:cs="Arial"/>
          <w:b w:val="0"/>
          <w:bCs w:val="0"/>
          <w:sz w:val="22"/>
          <w:szCs w:val="22"/>
          <w:lang w:val="hr-HR"/>
        </w:rPr>
        <w:t>g</w:t>
      </w:r>
      <w:r w:rsidRPr="001567C8">
        <w:rPr>
          <w:rFonts w:asciiTheme="minorHAnsi" w:hAnsiTheme="minorHAnsi" w:cs="Arial"/>
          <w:b w:val="0"/>
          <w:bCs w:val="0"/>
          <w:sz w:val="22"/>
          <w:szCs w:val="22"/>
          <w:lang w:val="hr-HR"/>
        </w:rPr>
        <w:t>arantnog fonda od Deutsche Investitions</w:t>
      </w:r>
      <w:r w:rsidR="00AD34E9"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 xml:space="preserve">- und Entwicklungsgesellschaft (DEG), a odnose se na financijski doprinos (bespovratna sredstva) Vlade SR Njemačke, koja se koriste za pokriće </w:t>
      </w:r>
      <w:r w:rsidR="00640BE0" w:rsidRPr="001567C8">
        <w:rPr>
          <w:rFonts w:asciiTheme="minorHAnsi" w:hAnsiTheme="minorHAnsi" w:cs="Arial"/>
          <w:b w:val="0"/>
          <w:bCs w:val="0"/>
          <w:sz w:val="22"/>
          <w:szCs w:val="22"/>
          <w:lang w:val="hr-HR"/>
        </w:rPr>
        <w:t xml:space="preserve">očekivanih </w:t>
      </w:r>
      <w:r w:rsidRPr="001567C8">
        <w:rPr>
          <w:rFonts w:asciiTheme="minorHAnsi" w:hAnsiTheme="minorHAnsi" w:cs="Arial"/>
          <w:b w:val="0"/>
          <w:bCs w:val="0"/>
          <w:sz w:val="22"/>
          <w:szCs w:val="22"/>
          <w:lang w:val="hr-HR"/>
        </w:rPr>
        <w:t xml:space="preserve">gubitaka za izdane garancije i odobrene kredite po Programu kreditiranja utemeljenja poduzetništva u Hrvatskoj. Sredstva </w:t>
      </w:r>
      <w:r w:rsidR="00553663" w:rsidRPr="001567C8">
        <w:rPr>
          <w:rFonts w:asciiTheme="minorHAnsi" w:hAnsiTheme="minorHAnsi" w:cs="Arial"/>
          <w:b w:val="0"/>
          <w:bCs w:val="0"/>
          <w:sz w:val="22"/>
          <w:szCs w:val="22"/>
          <w:lang w:val="hr-HR"/>
        </w:rPr>
        <w:t>g</w:t>
      </w:r>
      <w:r w:rsidRPr="001567C8">
        <w:rPr>
          <w:rFonts w:asciiTheme="minorHAnsi" w:hAnsiTheme="minorHAnsi" w:cs="Arial"/>
          <w:b w:val="0"/>
          <w:bCs w:val="0"/>
          <w:sz w:val="22"/>
          <w:szCs w:val="22"/>
          <w:lang w:val="hr-HR"/>
        </w:rPr>
        <w:t>arantnog fonda su bezuvjetno nepovratna i nemaju dospijeće.</w:t>
      </w:r>
      <w:r w:rsidR="00EB32E8" w:rsidRPr="001567C8">
        <w:rPr>
          <w:rFonts w:asciiTheme="minorHAnsi" w:hAnsiTheme="minorHAnsi" w:cs="Arial"/>
          <w:b w:val="0"/>
          <w:bCs w:val="0"/>
          <w:sz w:val="22"/>
          <w:szCs w:val="22"/>
          <w:lang w:val="hr-HR"/>
        </w:rPr>
        <w:t xml:space="preserve"> </w:t>
      </w:r>
      <w:r w:rsidR="009E6F41" w:rsidRPr="001567C8">
        <w:rPr>
          <w:rFonts w:asciiTheme="minorHAnsi" w:hAnsiTheme="minorHAnsi" w:cs="Arial"/>
          <w:b w:val="0"/>
          <w:bCs w:val="0"/>
          <w:sz w:val="22"/>
          <w:szCs w:val="22"/>
          <w:lang w:val="hr-HR"/>
        </w:rPr>
        <w:t xml:space="preserve">Sredstva garantnog fonda </w:t>
      </w:r>
      <w:r w:rsidR="00A70623" w:rsidRPr="001567C8">
        <w:rPr>
          <w:rFonts w:asciiTheme="minorHAnsi" w:hAnsiTheme="minorHAnsi" w:cs="Arial"/>
          <w:b w:val="0"/>
          <w:bCs w:val="0"/>
          <w:sz w:val="22"/>
          <w:szCs w:val="22"/>
          <w:lang w:val="hr-HR"/>
        </w:rPr>
        <w:t xml:space="preserve">Vladi SR Njemačke </w:t>
      </w:r>
      <w:r w:rsidR="009E6F41" w:rsidRPr="001567C8">
        <w:rPr>
          <w:rFonts w:asciiTheme="minorHAnsi" w:hAnsiTheme="minorHAnsi" w:cs="Arial"/>
          <w:b w:val="0"/>
          <w:bCs w:val="0"/>
          <w:sz w:val="22"/>
          <w:szCs w:val="22"/>
          <w:lang w:val="hr-HR"/>
        </w:rPr>
        <w:t xml:space="preserve">ne nose </w:t>
      </w:r>
      <w:r w:rsidR="00A70623" w:rsidRPr="001567C8">
        <w:rPr>
          <w:rFonts w:asciiTheme="minorHAnsi" w:hAnsiTheme="minorHAnsi" w:cs="Arial"/>
          <w:b w:val="0"/>
          <w:bCs w:val="0"/>
          <w:sz w:val="22"/>
          <w:szCs w:val="22"/>
          <w:lang w:val="hr-HR"/>
        </w:rPr>
        <w:t xml:space="preserve">nikakva </w:t>
      </w:r>
      <w:r w:rsidR="009E6F41" w:rsidRPr="001567C8">
        <w:rPr>
          <w:rFonts w:asciiTheme="minorHAnsi" w:hAnsiTheme="minorHAnsi" w:cs="Arial"/>
          <w:b w:val="0"/>
          <w:bCs w:val="0"/>
          <w:sz w:val="22"/>
          <w:szCs w:val="22"/>
          <w:lang w:val="hr-HR"/>
        </w:rPr>
        <w:t xml:space="preserve">upravljačka prava niti </w:t>
      </w:r>
      <w:r w:rsidR="00A70623" w:rsidRPr="001567C8">
        <w:rPr>
          <w:rFonts w:asciiTheme="minorHAnsi" w:hAnsiTheme="minorHAnsi" w:cs="Arial"/>
          <w:b w:val="0"/>
          <w:bCs w:val="0"/>
          <w:sz w:val="22"/>
          <w:szCs w:val="22"/>
          <w:lang w:val="hr-HR"/>
        </w:rPr>
        <w:t>pravo na udio u poslovnom</w:t>
      </w:r>
      <w:r w:rsidR="009E6F41" w:rsidRPr="001567C8">
        <w:rPr>
          <w:rFonts w:asciiTheme="minorHAnsi" w:hAnsiTheme="minorHAnsi" w:cs="Arial"/>
          <w:b w:val="0"/>
          <w:bCs w:val="0"/>
          <w:sz w:val="22"/>
          <w:szCs w:val="22"/>
          <w:lang w:val="hr-HR"/>
        </w:rPr>
        <w:t xml:space="preserve"> rezultatu Grupe.</w:t>
      </w:r>
    </w:p>
    <w:p w:rsidR="001778E3" w:rsidRPr="001567C8" w:rsidRDefault="008A4A63" w:rsidP="006F2010">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 </w:t>
      </w:r>
    </w:p>
    <w:p w:rsidR="001778E3" w:rsidRPr="001567C8" w:rsidRDefault="001778E3" w:rsidP="006F2010">
      <w:pPr>
        <w:pStyle w:val="T1"/>
        <w:spacing w:before="0" w:after="0" w:line="240" w:lineRule="auto"/>
        <w:rPr>
          <w:rFonts w:asciiTheme="minorHAnsi" w:hAnsiTheme="minorHAnsi"/>
          <w:sz w:val="22"/>
          <w:szCs w:val="22"/>
          <w:lang w:val="hr-HR"/>
        </w:rPr>
      </w:pPr>
    </w:p>
    <w:p w:rsidR="006D0890" w:rsidRPr="001567C8" w:rsidRDefault="00946245" w:rsidP="006F2010">
      <w:pPr>
        <w:pStyle w:val="T1"/>
        <w:spacing w:before="0" w:after="0" w:line="240" w:lineRule="auto"/>
        <w:rPr>
          <w:rFonts w:asciiTheme="minorHAnsi" w:hAnsiTheme="minorHAnsi"/>
          <w:sz w:val="22"/>
          <w:szCs w:val="22"/>
          <w:lang w:val="hr-HR"/>
        </w:rPr>
      </w:pPr>
      <w:r w:rsidRPr="001567C8">
        <w:rPr>
          <w:rFonts w:asciiTheme="minorHAnsi" w:hAnsiTheme="minorHAnsi"/>
          <w:sz w:val="22"/>
          <w:szCs w:val="22"/>
          <w:lang w:val="hr-HR"/>
        </w:rPr>
        <w:t>33</w:t>
      </w:r>
      <w:r w:rsidR="006D0890" w:rsidRPr="001567C8">
        <w:rPr>
          <w:rFonts w:asciiTheme="minorHAnsi" w:hAnsiTheme="minorHAnsi"/>
          <w:sz w:val="22"/>
          <w:szCs w:val="22"/>
          <w:lang w:val="hr-HR"/>
        </w:rPr>
        <w:t>.</w:t>
      </w:r>
      <w:r w:rsidR="006D0890" w:rsidRPr="001567C8">
        <w:rPr>
          <w:rFonts w:asciiTheme="minorHAnsi" w:hAnsiTheme="minorHAnsi"/>
          <w:sz w:val="22"/>
          <w:szCs w:val="22"/>
          <w:lang w:val="hr-HR"/>
        </w:rPr>
        <w:tab/>
        <w:t>Garancije i preuzete obveze</w:t>
      </w:r>
    </w:p>
    <w:p w:rsidR="00281521" w:rsidRPr="001567C8" w:rsidRDefault="00281521" w:rsidP="006F2010">
      <w:pPr>
        <w:pStyle w:val="T1"/>
        <w:spacing w:before="0" w:after="0" w:line="240" w:lineRule="auto"/>
        <w:rPr>
          <w:rFonts w:asciiTheme="minorHAnsi" w:hAnsiTheme="minorHAnsi"/>
          <w:sz w:val="22"/>
          <w:szCs w:val="22"/>
          <w:lang w:val="hr-HR"/>
        </w:rPr>
      </w:pPr>
    </w:p>
    <w:p w:rsidR="00E36985" w:rsidRPr="001567C8" w:rsidRDefault="00E36985" w:rsidP="006F2010">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U okviru svog redovnog poslovanja, </w:t>
      </w:r>
      <w:r w:rsidR="00F00EE7" w:rsidRPr="001567C8">
        <w:rPr>
          <w:rFonts w:asciiTheme="minorHAnsi" w:hAnsiTheme="minorHAnsi" w:cs="Arial"/>
          <w:b w:val="0"/>
          <w:sz w:val="22"/>
          <w:szCs w:val="22"/>
          <w:lang w:val="hr-HR"/>
        </w:rPr>
        <w:t>Grupa</w:t>
      </w:r>
      <w:r w:rsidR="00564C61" w:rsidRPr="001567C8">
        <w:rPr>
          <w:rFonts w:asciiTheme="minorHAnsi" w:hAnsiTheme="minorHAnsi" w:cs="Arial"/>
          <w:b w:val="0"/>
          <w:sz w:val="22"/>
          <w:szCs w:val="22"/>
          <w:lang w:val="hr-HR"/>
        </w:rPr>
        <w:t xml:space="preserve"> </w:t>
      </w:r>
      <w:r w:rsidRPr="001567C8">
        <w:rPr>
          <w:rFonts w:asciiTheme="minorHAnsi" w:hAnsiTheme="minorHAnsi" w:cs="Arial"/>
          <w:b w:val="0"/>
          <w:sz w:val="22"/>
          <w:szCs w:val="22"/>
          <w:lang w:val="hr-HR"/>
        </w:rPr>
        <w:t xml:space="preserve">zaključuje ugovore o garancijama i preuzetim obvezama. Svrha ovih instrumenata </w:t>
      </w:r>
      <w:r w:rsidR="00143B86" w:rsidRPr="001567C8">
        <w:rPr>
          <w:rFonts w:asciiTheme="minorHAnsi" w:hAnsiTheme="minorHAnsi" w:cs="Arial"/>
          <w:b w:val="0"/>
          <w:sz w:val="22"/>
          <w:szCs w:val="22"/>
          <w:lang w:val="hr-HR"/>
        </w:rPr>
        <w:t xml:space="preserve">je </w:t>
      </w:r>
      <w:r w:rsidRPr="001567C8">
        <w:rPr>
          <w:rFonts w:asciiTheme="minorHAnsi" w:hAnsiTheme="minorHAnsi" w:cs="Arial"/>
          <w:b w:val="0"/>
          <w:sz w:val="22"/>
          <w:szCs w:val="22"/>
          <w:lang w:val="hr-HR"/>
        </w:rPr>
        <w:t>osigurati raspoloživost sredstava s obzirom na potrebe klijenata</w:t>
      </w:r>
      <w:r w:rsidR="00564C61" w:rsidRPr="001567C8">
        <w:rPr>
          <w:rFonts w:asciiTheme="minorHAnsi" w:hAnsiTheme="minorHAnsi" w:cs="Arial"/>
          <w:b w:val="0"/>
          <w:sz w:val="22"/>
          <w:szCs w:val="22"/>
          <w:lang w:val="hr-HR"/>
        </w:rPr>
        <w:t xml:space="preserve">. </w:t>
      </w:r>
    </w:p>
    <w:p w:rsidR="00281521" w:rsidRPr="001567C8" w:rsidRDefault="00281521" w:rsidP="006F2010">
      <w:pPr>
        <w:pStyle w:val="T1"/>
        <w:spacing w:before="0" w:after="0" w:line="240" w:lineRule="auto"/>
        <w:rPr>
          <w:rFonts w:asciiTheme="minorHAnsi" w:hAnsiTheme="minorHAnsi" w:cs="Arial"/>
          <w:b w:val="0"/>
          <w:sz w:val="22"/>
          <w:szCs w:val="22"/>
          <w:lang w:val="hr-HR"/>
        </w:rPr>
      </w:pPr>
    </w:p>
    <w:p w:rsidR="0028416E" w:rsidRPr="001567C8" w:rsidRDefault="00564C61" w:rsidP="006F2010">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Navedene obveze sadrže kreditni rizik te su stoga dio ukupnog rizika </w:t>
      </w:r>
      <w:r w:rsidR="00F00EE7" w:rsidRPr="001567C8">
        <w:rPr>
          <w:rFonts w:asciiTheme="minorHAnsi" w:hAnsiTheme="minorHAnsi" w:cs="Arial"/>
          <w:b w:val="0"/>
          <w:bCs w:val="0"/>
          <w:sz w:val="22"/>
          <w:szCs w:val="22"/>
          <w:lang w:val="hr-HR"/>
        </w:rPr>
        <w:t>Grupe</w:t>
      </w:r>
      <w:r w:rsidRPr="001567C8">
        <w:rPr>
          <w:rFonts w:asciiTheme="minorHAnsi" w:hAnsiTheme="minorHAnsi" w:cs="Arial"/>
          <w:b w:val="0"/>
          <w:bCs w:val="0"/>
          <w:sz w:val="22"/>
          <w:szCs w:val="22"/>
          <w:lang w:val="hr-HR"/>
        </w:rPr>
        <w:t xml:space="preserve"> iako se ne </w:t>
      </w:r>
      <w:r w:rsidR="009A6F6E" w:rsidRPr="001567C8">
        <w:rPr>
          <w:rFonts w:asciiTheme="minorHAnsi" w:hAnsiTheme="minorHAnsi" w:cs="Arial"/>
          <w:b w:val="0"/>
          <w:bCs w:val="0"/>
          <w:sz w:val="22"/>
          <w:szCs w:val="22"/>
          <w:lang w:val="hr-HR"/>
        </w:rPr>
        <w:t>prikazuju</w:t>
      </w:r>
      <w:r w:rsidRPr="001567C8">
        <w:rPr>
          <w:rFonts w:asciiTheme="minorHAnsi" w:hAnsiTheme="minorHAnsi" w:cs="Arial"/>
          <w:b w:val="0"/>
          <w:bCs w:val="0"/>
          <w:sz w:val="22"/>
          <w:szCs w:val="22"/>
          <w:lang w:val="hr-HR"/>
        </w:rPr>
        <w:t xml:space="preserve"> u </w:t>
      </w:r>
      <w:r w:rsidR="006A3D54" w:rsidRPr="001567C8">
        <w:rPr>
          <w:rFonts w:asciiTheme="minorHAnsi" w:hAnsiTheme="minorHAnsi" w:cs="Arial"/>
          <w:b w:val="0"/>
          <w:bCs w:val="0"/>
          <w:sz w:val="22"/>
          <w:szCs w:val="22"/>
          <w:lang w:val="hr-HR"/>
        </w:rPr>
        <w:t>Izvještaju o financijskom položaju</w:t>
      </w:r>
      <w:r w:rsidR="00F406F7" w:rsidRPr="001567C8">
        <w:rPr>
          <w:rFonts w:asciiTheme="minorHAnsi" w:hAnsiTheme="minorHAnsi" w:cs="Arial"/>
          <w:b w:val="0"/>
          <w:bCs w:val="0"/>
          <w:sz w:val="22"/>
          <w:szCs w:val="22"/>
          <w:lang w:val="hr-HR"/>
        </w:rPr>
        <w:t>.</w:t>
      </w:r>
    </w:p>
    <w:p w:rsidR="00692192" w:rsidRPr="001567C8" w:rsidRDefault="00692192" w:rsidP="006F2010">
      <w:pPr>
        <w:pStyle w:val="T1"/>
        <w:spacing w:before="0" w:after="0" w:line="240" w:lineRule="auto"/>
        <w:rPr>
          <w:rFonts w:asciiTheme="minorHAnsi" w:hAnsiTheme="minorHAnsi" w:cs="Arial"/>
          <w:b w:val="0"/>
          <w:sz w:val="22"/>
          <w:szCs w:val="22"/>
          <w:lang w:val="hr-HR"/>
        </w:rPr>
      </w:pPr>
    </w:p>
    <w:tbl>
      <w:tblPr>
        <w:tblW w:w="5000" w:type="pct"/>
        <w:tblLayout w:type="fixed"/>
        <w:tblCellMar>
          <w:left w:w="122" w:type="dxa"/>
          <w:right w:w="122" w:type="dxa"/>
        </w:tblCellMar>
        <w:tblLook w:val="0000" w:firstRow="0" w:lastRow="0" w:firstColumn="0" w:lastColumn="0" w:noHBand="0" w:noVBand="0"/>
      </w:tblPr>
      <w:tblGrid>
        <w:gridCol w:w="5529"/>
        <w:gridCol w:w="1912"/>
        <w:gridCol w:w="1914"/>
      </w:tblGrid>
      <w:tr w:rsidR="00692192" w:rsidRPr="001567C8" w:rsidTr="0011459D">
        <w:trPr>
          <w:trHeight w:val="277"/>
        </w:trPr>
        <w:tc>
          <w:tcPr>
            <w:tcW w:w="2955" w:type="pct"/>
          </w:tcPr>
          <w:p w:rsidR="00692192" w:rsidRPr="001567C8" w:rsidRDefault="00692192" w:rsidP="00C4703D">
            <w:pPr>
              <w:tabs>
                <w:tab w:val="left" w:pos="-720"/>
              </w:tabs>
              <w:suppressAutoHyphens/>
              <w:rPr>
                <w:rFonts w:asciiTheme="minorHAnsi" w:hAnsiTheme="minorHAnsi" w:cs="Arial"/>
                <w:b/>
                <w:spacing w:val="-3"/>
                <w:sz w:val="22"/>
                <w:szCs w:val="22"/>
                <w:lang w:val="hr-HR"/>
              </w:rPr>
            </w:pPr>
            <w:r w:rsidRPr="001567C8">
              <w:rPr>
                <w:rFonts w:asciiTheme="minorHAnsi" w:hAnsiTheme="minorHAnsi" w:cs="Arial"/>
                <w:b/>
                <w:spacing w:val="-3"/>
                <w:sz w:val="22"/>
                <w:szCs w:val="22"/>
                <w:lang w:val="hr-HR"/>
              </w:rPr>
              <w:t>Grupa i Banka</w:t>
            </w:r>
          </w:p>
        </w:tc>
        <w:tc>
          <w:tcPr>
            <w:tcW w:w="2045" w:type="pct"/>
            <w:gridSpan w:val="2"/>
          </w:tcPr>
          <w:p w:rsidR="00692192" w:rsidRPr="001567C8" w:rsidRDefault="00692192" w:rsidP="009C21BC">
            <w:pPr>
              <w:pStyle w:val="TH"/>
              <w:jc w:val="right"/>
              <w:rPr>
                <w:rFonts w:asciiTheme="minorHAnsi" w:hAnsiTheme="minorHAnsi" w:cs="Arial"/>
                <w:sz w:val="22"/>
                <w:szCs w:val="22"/>
                <w:lang w:val="hr-HR"/>
              </w:rPr>
            </w:pPr>
          </w:p>
        </w:tc>
      </w:tr>
      <w:tr w:rsidR="00B16FA7" w:rsidRPr="001567C8" w:rsidTr="00EC3DB5">
        <w:trPr>
          <w:trHeight w:val="202"/>
        </w:trPr>
        <w:tc>
          <w:tcPr>
            <w:tcW w:w="2955" w:type="pct"/>
          </w:tcPr>
          <w:p w:rsidR="00B16FA7" w:rsidRPr="001567C8" w:rsidRDefault="00B16FA7" w:rsidP="00B16FA7">
            <w:pPr>
              <w:tabs>
                <w:tab w:val="left" w:pos="-720"/>
              </w:tabs>
              <w:suppressAutoHyphens/>
              <w:jc w:val="right"/>
              <w:rPr>
                <w:rFonts w:asciiTheme="minorHAnsi" w:hAnsiTheme="minorHAnsi" w:cs="Arial"/>
                <w:spacing w:val="-3"/>
                <w:sz w:val="22"/>
                <w:szCs w:val="22"/>
                <w:lang w:val="hr-HR"/>
              </w:rPr>
            </w:pPr>
          </w:p>
        </w:tc>
        <w:tc>
          <w:tcPr>
            <w:tcW w:w="1022" w:type="pct"/>
          </w:tcPr>
          <w:p w:rsidR="002F1F55" w:rsidRDefault="002F1F55" w:rsidP="00B16FA7">
            <w:pPr>
              <w:pStyle w:val="TH"/>
              <w:jc w:val="right"/>
              <w:rPr>
                <w:rFonts w:asciiTheme="minorHAnsi" w:hAnsiTheme="minorHAnsi" w:cs="Arial"/>
                <w:sz w:val="22"/>
                <w:szCs w:val="22"/>
                <w:lang w:val="hr-HR"/>
              </w:rPr>
            </w:pPr>
            <w:r w:rsidRPr="002F1F55">
              <w:rPr>
                <w:rFonts w:asciiTheme="minorHAnsi" w:hAnsiTheme="minorHAnsi" w:cs="Arial"/>
                <w:sz w:val="22"/>
                <w:szCs w:val="22"/>
                <w:lang w:val="hr-HR"/>
              </w:rPr>
              <w:t>31. prosinca</w:t>
            </w:r>
          </w:p>
          <w:p w:rsidR="00B16FA7" w:rsidRPr="001567C8" w:rsidRDefault="00434C7E" w:rsidP="00B16FA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 xml:space="preserve"> </w:t>
            </w:r>
            <w:r w:rsidR="00B16FA7" w:rsidRPr="001567C8">
              <w:rPr>
                <w:rFonts w:asciiTheme="minorHAnsi" w:hAnsiTheme="minorHAnsi" w:cs="Arial"/>
                <w:sz w:val="22"/>
                <w:szCs w:val="22"/>
                <w:lang w:val="hr-HR"/>
              </w:rPr>
              <w:t>201</w:t>
            </w:r>
            <w:r w:rsidR="00D015B1" w:rsidRPr="001567C8">
              <w:rPr>
                <w:rFonts w:asciiTheme="minorHAnsi" w:hAnsiTheme="minorHAnsi" w:cs="Arial"/>
                <w:sz w:val="22"/>
                <w:szCs w:val="22"/>
                <w:lang w:val="hr-HR"/>
              </w:rPr>
              <w:t>8</w:t>
            </w:r>
            <w:r w:rsidR="00B16FA7" w:rsidRPr="001567C8">
              <w:rPr>
                <w:rFonts w:asciiTheme="minorHAnsi" w:hAnsiTheme="minorHAnsi" w:cs="Arial"/>
                <w:sz w:val="22"/>
                <w:szCs w:val="22"/>
                <w:lang w:val="hr-HR"/>
              </w:rPr>
              <w:t>.</w:t>
            </w:r>
          </w:p>
        </w:tc>
        <w:tc>
          <w:tcPr>
            <w:tcW w:w="1023" w:type="pct"/>
          </w:tcPr>
          <w:p w:rsidR="00434C7E" w:rsidRPr="001567C8" w:rsidRDefault="002F1F55" w:rsidP="00B16FA7">
            <w:pPr>
              <w:pStyle w:val="TH"/>
              <w:jc w:val="right"/>
              <w:rPr>
                <w:rFonts w:asciiTheme="minorHAnsi" w:hAnsiTheme="minorHAnsi" w:cs="Arial"/>
                <w:sz w:val="22"/>
                <w:szCs w:val="22"/>
                <w:lang w:val="hr-HR"/>
              </w:rPr>
            </w:pPr>
            <w:r>
              <w:rPr>
                <w:rFonts w:asciiTheme="minorHAnsi" w:hAnsiTheme="minorHAnsi" w:cs="Arial"/>
                <w:sz w:val="22"/>
                <w:szCs w:val="22"/>
                <w:lang w:val="hr-HR"/>
              </w:rPr>
              <w:t>31. prosin</w:t>
            </w:r>
            <w:r w:rsidR="00434C7E" w:rsidRPr="001567C8">
              <w:rPr>
                <w:rFonts w:asciiTheme="minorHAnsi" w:hAnsiTheme="minorHAnsi" w:cs="Arial"/>
                <w:sz w:val="22"/>
                <w:szCs w:val="22"/>
                <w:lang w:val="hr-HR"/>
              </w:rPr>
              <w:t>c</w:t>
            </w:r>
            <w:r>
              <w:rPr>
                <w:rFonts w:asciiTheme="minorHAnsi" w:hAnsiTheme="minorHAnsi" w:cs="Arial"/>
                <w:sz w:val="22"/>
                <w:szCs w:val="22"/>
                <w:lang w:val="hr-HR"/>
              </w:rPr>
              <w:t>a</w:t>
            </w:r>
            <w:r w:rsidR="00434C7E" w:rsidRPr="001567C8">
              <w:rPr>
                <w:rFonts w:asciiTheme="minorHAnsi" w:hAnsiTheme="minorHAnsi" w:cs="Arial"/>
                <w:sz w:val="22"/>
                <w:szCs w:val="22"/>
                <w:lang w:val="hr-HR"/>
              </w:rPr>
              <w:t xml:space="preserve"> </w:t>
            </w:r>
          </w:p>
          <w:p w:rsidR="00B16FA7" w:rsidRPr="001567C8" w:rsidRDefault="00B16FA7" w:rsidP="00B16FA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201</w:t>
            </w:r>
            <w:r w:rsidR="00D015B1" w:rsidRPr="001567C8">
              <w:rPr>
                <w:rFonts w:asciiTheme="minorHAnsi" w:hAnsiTheme="minorHAnsi" w:cs="Arial"/>
                <w:sz w:val="22"/>
                <w:szCs w:val="22"/>
                <w:lang w:val="hr-HR"/>
              </w:rPr>
              <w:t>7</w:t>
            </w:r>
            <w:r w:rsidRPr="001567C8">
              <w:rPr>
                <w:rFonts w:asciiTheme="minorHAnsi" w:hAnsiTheme="minorHAnsi" w:cs="Arial"/>
                <w:sz w:val="22"/>
                <w:szCs w:val="22"/>
                <w:lang w:val="hr-HR"/>
              </w:rPr>
              <w:t>.</w:t>
            </w:r>
          </w:p>
        </w:tc>
      </w:tr>
      <w:tr w:rsidR="00B16FA7" w:rsidRPr="001567C8" w:rsidTr="00EC3DB5">
        <w:trPr>
          <w:trHeight w:val="299"/>
        </w:trPr>
        <w:tc>
          <w:tcPr>
            <w:tcW w:w="2955" w:type="pct"/>
          </w:tcPr>
          <w:p w:rsidR="00B16FA7" w:rsidRPr="001567C8" w:rsidRDefault="00B16FA7" w:rsidP="00B16FA7">
            <w:pPr>
              <w:tabs>
                <w:tab w:val="left" w:pos="-720"/>
              </w:tabs>
              <w:suppressAutoHyphens/>
              <w:ind w:right="4144"/>
              <w:jc w:val="right"/>
              <w:rPr>
                <w:rFonts w:asciiTheme="minorHAnsi" w:hAnsiTheme="minorHAnsi" w:cs="Arial"/>
                <w:sz w:val="22"/>
                <w:szCs w:val="22"/>
                <w:lang w:val="hr-HR"/>
              </w:rPr>
            </w:pPr>
          </w:p>
        </w:tc>
        <w:tc>
          <w:tcPr>
            <w:tcW w:w="1022" w:type="pct"/>
          </w:tcPr>
          <w:p w:rsidR="00B16FA7" w:rsidRPr="001567C8" w:rsidRDefault="00B16FA7" w:rsidP="00B16FA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c>
          <w:tcPr>
            <w:tcW w:w="1023" w:type="pct"/>
          </w:tcPr>
          <w:p w:rsidR="00B16FA7" w:rsidRPr="001567C8" w:rsidRDefault="00B16FA7" w:rsidP="00B16FA7">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000 kuna</w:t>
            </w:r>
          </w:p>
        </w:tc>
      </w:tr>
      <w:tr w:rsidR="00B16FA7" w:rsidRPr="001567C8" w:rsidTr="00EC3DB5">
        <w:trPr>
          <w:trHeight w:hRule="exact" w:val="218"/>
        </w:trPr>
        <w:tc>
          <w:tcPr>
            <w:tcW w:w="2955" w:type="pct"/>
          </w:tcPr>
          <w:p w:rsidR="00B16FA7" w:rsidRPr="001567C8" w:rsidRDefault="00B16FA7" w:rsidP="00B16FA7">
            <w:pPr>
              <w:tabs>
                <w:tab w:val="left" w:pos="-720"/>
              </w:tabs>
              <w:suppressAutoHyphens/>
              <w:ind w:right="4144"/>
              <w:jc w:val="right"/>
              <w:rPr>
                <w:rFonts w:asciiTheme="minorHAnsi" w:hAnsiTheme="minorHAnsi" w:cs="Arial"/>
                <w:sz w:val="22"/>
                <w:szCs w:val="22"/>
                <w:lang w:val="hr-HR"/>
              </w:rPr>
            </w:pPr>
          </w:p>
        </w:tc>
        <w:tc>
          <w:tcPr>
            <w:tcW w:w="1022" w:type="pct"/>
          </w:tcPr>
          <w:p w:rsidR="00B16FA7" w:rsidRPr="001567C8" w:rsidRDefault="00B16FA7" w:rsidP="00B16FA7">
            <w:pPr>
              <w:suppressAutoHyphens/>
              <w:jc w:val="right"/>
              <w:rPr>
                <w:rFonts w:asciiTheme="minorHAnsi" w:hAnsiTheme="minorHAnsi" w:cs="Arial"/>
                <w:b/>
                <w:sz w:val="22"/>
                <w:szCs w:val="22"/>
                <w:lang w:val="hr-HR"/>
              </w:rPr>
            </w:pPr>
          </w:p>
        </w:tc>
        <w:tc>
          <w:tcPr>
            <w:tcW w:w="1023" w:type="pct"/>
          </w:tcPr>
          <w:p w:rsidR="00B16FA7" w:rsidRPr="001567C8" w:rsidRDefault="00B16FA7" w:rsidP="00B16FA7">
            <w:pPr>
              <w:suppressAutoHyphens/>
              <w:jc w:val="right"/>
              <w:rPr>
                <w:rFonts w:asciiTheme="minorHAnsi" w:hAnsiTheme="minorHAnsi" w:cs="Arial"/>
                <w:b/>
                <w:sz w:val="22"/>
                <w:szCs w:val="22"/>
                <w:lang w:val="hr-HR"/>
              </w:rPr>
            </w:pPr>
          </w:p>
        </w:tc>
      </w:tr>
      <w:tr w:rsidR="00D015B1" w:rsidRPr="001567C8" w:rsidTr="00B16FA7">
        <w:tblPrEx>
          <w:tblCellMar>
            <w:left w:w="107" w:type="dxa"/>
            <w:right w:w="107" w:type="dxa"/>
          </w:tblCellMar>
        </w:tblPrEx>
        <w:trPr>
          <w:trHeight w:val="232"/>
        </w:trPr>
        <w:tc>
          <w:tcPr>
            <w:tcW w:w="2955" w:type="pct"/>
          </w:tcPr>
          <w:p w:rsidR="00D015B1" w:rsidRPr="001567C8" w:rsidRDefault="00D015B1" w:rsidP="00D015B1">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Izdane garancije u kunama</w:t>
            </w:r>
          </w:p>
        </w:tc>
        <w:tc>
          <w:tcPr>
            <w:tcW w:w="1022" w:type="pct"/>
            <w:tcBorders>
              <w:top w:val="nil"/>
              <w:left w:val="nil"/>
              <w:bottom w:val="nil"/>
              <w:right w:val="nil"/>
            </w:tcBorders>
            <w:shd w:val="clear" w:color="auto" w:fill="auto"/>
            <w:vAlign w:val="center"/>
          </w:tcPr>
          <w:p w:rsidR="00D015B1" w:rsidRPr="001567C8" w:rsidRDefault="004D7B0D"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33.917</w:t>
            </w:r>
          </w:p>
        </w:tc>
        <w:tc>
          <w:tcPr>
            <w:tcW w:w="1023" w:type="pct"/>
            <w:tcBorders>
              <w:top w:val="nil"/>
              <w:left w:val="nil"/>
              <w:bottom w:val="nil"/>
              <w:right w:val="nil"/>
            </w:tcBorders>
            <w:shd w:val="clear" w:color="auto" w:fill="auto"/>
            <w:vAlign w:val="center"/>
          </w:tcPr>
          <w:p w:rsidR="00D015B1" w:rsidRPr="001567C8" w:rsidRDefault="00D015B1"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34.338</w:t>
            </w:r>
          </w:p>
        </w:tc>
      </w:tr>
      <w:tr w:rsidR="00D015B1" w:rsidRPr="001567C8" w:rsidTr="00B16FA7">
        <w:tblPrEx>
          <w:tblCellMar>
            <w:left w:w="107" w:type="dxa"/>
            <w:right w:w="107" w:type="dxa"/>
          </w:tblCellMar>
        </w:tblPrEx>
        <w:trPr>
          <w:trHeight w:val="232"/>
        </w:trPr>
        <w:tc>
          <w:tcPr>
            <w:tcW w:w="2955" w:type="pct"/>
          </w:tcPr>
          <w:p w:rsidR="00D015B1" w:rsidRPr="001567C8" w:rsidRDefault="00D015B1" w:rsidP="00D015B1">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Izdane garancije u devizama</w:t>
            </w:r>
            <w:r w:rsidRPr="001567C8">
              <w:rPr>
                <w:rFonts w:asciiTheme="minorHAnsi" w:hAnsiTheme="minorHAnsi" w:cs="Arial"/>
                <w:strike/>
                <w:sz w:val="22"/>
                <w:szCs w:val="22"/>
                <w:lang w:val="hr-HR"/>
              </w:rPr>
              <w:t xml:space="preserve"> </w:t>
            </w:r>
          </w:p>
        </w:tc>
        <w:tc>
          <w:tcPr>
            <w:tcW w:w="1022" w:type="pct"/>
            <w:tcBorders>
              <w:top w:val="nil"/>
              <w:left w:val="nil"/>
              <w:bottom w:val="nil"/>
              <w:right w:val="nil"/>
            </w:tcBorders>
            <w:shd w:val="clear" w:color="auto" w:fill="auto"/>
            <w:vAlign w:val="center"/>
          </w:tcPr>
          <w:p w:rsidR="00D015B1" w:rsidRPr="001567C8" w:rsidRDefault="004D7B0D"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1.994.851</w:t>
            </w:r>
          </w:p>
        </w:tc>
        <w:tc>
          <w:tcPr>
            <w:tcW w:w="1023" w:type="pct"/>
            <w:tcBorders>
              <w:top w:val="nil"/>
              <w:left w:val="nil"/>
              <w:bottom w:val="nil"/>
              <w:right w:val="nil"/>
            </w:tcBorders>
            <w:shd w:val="clear" w:color="auto" w:fill="auto"/>
            <w:vAlign w:val="center"/>
          </w:tcPr>
          <w:p w:rsidR="00D015B1" w:rsidRPr="001567C8" w:rsidRDefault="00D015B1"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2.475.971</w:t>
            </w:r>
          </w:p>
        </w:tc>
      </w:tr>
      <w:tr w:rsidR="00D015B1" w:rsidRPr="001567C8" w:rsidTr="00B16FA7">
        <w:tblPrEx>
          <w:tblCellMar>
            <w:left w:w="107" w:type="dxa"/>
            <w:right w:w="107" w:type="dxa"/>
          </w:tblCellMar>
        </w:tblPrEx>
        <w:trPr>
          <w:trHeight w:val="232"/>
        </w:trPr>
        <w:tc>
          <w:tcPr>
            <w:tcW w:w="2955" w:type="pct"/>
          </w:tcPr>
          <w:p w:rsidR="00D015B1" w:rsidRPr="001567C8" w:rsidRDefault="00D015B1" w:rsidP="00D015B1">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Preuzete obveze po kreditima</w:t>
            </w:r>
          </w:p>
        </w:tc>
        <w:tc>
          <w:tcPr>
            <w:tcW w:w="1022" w:type="pct"/>
            <w:tcBorders>
              <w:top w:val="nil"/>
              <w:left w:val="nil"/>
              <w:bottom w:val="nil"/>
              <w:right w:val="nil"/>
            </w:tcBorders>
            <w:shd w:val="clear" w:color="auto" w:fill="auto"/>
            <w:vAlign w:val="center"/>
          </w:tcPr>
          <w:p w:rsidR="00D015B1" w:rsidRPr="001567C8" w:rsidRDefault="004D7B0D"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3.379.519</w:t>
            </w:r>
          </w:p>
        </w:tc>
        <w:tc>
          <w:tcPr>
            <w:tcW w:w="1023" w:type="pct"/>
            <w:tcBorders>
              <w:top w:val="nil"/>
              <w:left w:val="nil"/>
              <w:bottom w:val="nil"/>
              <w:right w:val="nil"/>
            </w:tcBorders>
            <w:shd w:val="clear" w:color="auto" w:fill="auto"/>
            <w:vAlign w:val="center"/>
          </w:tcPr>
          <w:p w:rsidR="00D015B1" w:rsidRPr="001567C8" w:rsidRDefault="00D015B1"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3.021.163</w:t>
            </w:r>
          </w:p>
        </w:tc>
      </w:tr>
      <w:tr w:rsidR="00D015B1" w:rsidRPr="001567C8" w:rsidTr="00B16FA7">
        <w:tblPrEx>
          <w:tblCellMar>
            <w:left w:w="107" w:type="dxa"/>
            <w:right w:w="107" w:type="dxa"/>
          </w:tblCellMar>
        </w:tblPrEx>
        <w:trPr>
          <w:trHeight w:val="232"/>
        </w:trPr>
        <w:tc>
          <w:tcPr>
            <w:tcW w:w="2955" w:type="pct"/>
          </w:tcPr>
          <w:p w:rsidR="00D015B1" w:rsidRPr="001567C8" w:rsidRDefault="00D015B1" w:rsidP="00D015B1">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 xml:space="preserve">Upisani a neuplaćeni kapital EIF-a </w:t>
            </w:r>
          </w:p>
        </w:tc>
        <w:tc>
          <w:tcPr>
            <w:tcW w:w="1022" w:type="pct"/>
            <w:tcBorders>
              <w:top w:val="nil"/>
              <w:left w:val="nil"/>
              <w:bottom w:val="nil"/>
              <w:right w:val="nil"/>
            </w:tcBorders>
            <w:shd w:val="clear" w:color="auto" w:fill="auto"/>
            <w:vAlign w:val="center"/>
          </w:tcPr>
          <w:p w:rsidR="00D015B1" w:rsidRPr="001567C8" w:rsidRDefault="004D7B0D"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47.472</w:t>
            </w:r>
          </w:p>
        </w:tc>
        <w:tc>
          <w:tcPr>
            <w:tcW w:w="1023" w:type="pct"/>
            <w:tcBorders>
              <w:top w:val="nil"/>
              <w:left w:val="nil"/>
              <w:bottom w:val="nil"/>
              <w:right w:val="nil"/>
            </w:tcBorders>
            <w:shd w:val="clear" w:color="auto" w:fill="auto"/>
            <w:vAlign w:val="center"/>
          </w:tcPr>
          <w:p w:rsidR="00D015B1" w:rsidRPr="001567C8" w:rsidRDefault="00D015B1"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48.087</w:t>
            </w:r>
          </w:p>
        </w:tc>
      </w:tr>
      <w:tr w:rsidR="00D015B1" w:rsidRPr="001567C8" w:rsidTr="00D015B1">
        <w:tblPrEx>
          <w:tblCellMar>
            <w:left w:w="107" w:type="dxa"/>
            <w:right w:w="107" w:type="dxa"/>
          </w:tblCellMar>
        </w:tblPrEx>
        <w:trPr>
          <w:trHeight w:val="232"/>
        </w:trPr>
        <w:tc>
          <w:tcPr>
            <w:tcW w:w="2955" w:type="pct"/>
          </w:tcPr>
          <w:p w:rsidR="00D015B1" w:rsidRPr="001567C8" w:rsidRDefault="00D015B1" w:rsidP="00D015B1">
            <w:pPr>
              <w:pStyle w:val="TT"/>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Ostale nespomenute neopozive potencijalne obveze</w:t>
            </w:r>
          </w:p>
        </w:tc>
        <w:tc>
          <w:tcPr>
            <w:tcW w:w="1022" w:type="pct"/>
            <w:tcBorders>
              <w:top w:val="nil"/>
              <w:left w:val="nil"/>
              <w:bottom w:val="single" w:sz="4" w:space="0" w:color="auto"/>
              <w:right w:val="nil"/>
            </w:tcBorders>
            <w:shd w:val="clear" w:color="auto" w:fill="auto"/>
            <w:vAlign w:val="center"/>
          </w:tcPr>
          <w:p w:rsidR="00D015B1" w:rsidRPr="001567C8" w:rsidRDefault="004D7B0D"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93</w:t>
            </w:r>
          </w:p>
        </w:tc>
        <w:tc>
          <w:tcPr>
            <w:tcW w:w="1023" w:type="pct"/>
            <w:tcBorders>
              <w:top w:val="nil"/>
              <w:left w:val="nil"/>
              <w:bottom w:val="single" w:sz="4" w:space="0" w:color="auto"/>
              <w:right w:val="nil"/>
            </w:tcBorders>
            <w:shd w:val="clear" w:color="auto" w:fill="auto"/>
            <w:vAlign w:val="center"/>
          </w:tcPr>
          <w:p w:rsidR="00D015B1" w:rsidRPr="001567C8" w:rsidRDefault="00D015B1" w:rsidP="00D015B1">
            <w:pPr>
              <w:pStyle w:val="T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339</w:t>
            </w:r>
          </w:p>
        </w:tc>
      </w:tr>
      <w:tr w:rsidR="00D015B1" w:rsidRPr="001567C8" w:rsidTr="00D015B1">
        <w:tblPrEx>
          <w:tblCellMar>
            <w:left w:w="107" w:type="dxa"/>
            <w:right w:w="107" w:type="dxa"/>
          </w:tblCellMar>
        </w:tblPrEx>
        <w:trPr>
          <w:trHeight w:val="375"/>
        </w:trPr>
        <w:tc>
          <w:tcPr>
            <w:tcW w:w="2955" w:type="pct"/>
          </w:tcPr>
          <w:p w:rsidR="00D015B1" w:rsidRPr="001567C8" w:rsidRDefault="00D015B1" w:rsidP="00D015B1">
            <w:pPr>
              <w:pStyle w:val="Tot"/>
              <w:spacing w:line="240" w:lineRule="auto"/>
              <w:rPr>
                <w:rFonts w:asciiTheme="minorHAnsi" w:hAnsiTheme="minorHAnsi" w:cs="Arial"/>
                <w:sz w:val="22"/>
                <w:szCs w:val="22"/>
                <w:lang w:val="hr-HR"/>
              </w:rPr>
            </w:pPr>
          </w:p>
        </w:tc>
        <w:tc>
          <w:tcPr>
            <w:tcW w:w="1022" w:type="pct"/>
            <w:tcBorders>
              <w:top w:val="single" w:sz="4" w:space="0" w:color="auto"/>
              <w:bottom w:val="single" w:sz="4" w:space="0" w:color="auto"/>
            </w:tcBorders>
            <w:vAlign w:val="bottom"/>
          </w:tcPr>
          <w:p w:rsidR="00D015B1" w:rsidRPr="001567C8" w:rsidRDefault="004D7B0D" w:rsidP="00D015B1">
            <w:pPr>
              <w:pStyle w:val="To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5.455.852</w:t>
            </w:r>
          </w:p>
        </w:tc>
        <w:tc>
          <w:tcPr>
            <w:tcW w:w="1023" w:type="pct"/>
            <w:tcBorders>
              <w:top w:val="single" w:sz="4" w:space="0" w:color="auto"/>
              <w:bottom w:val="single" w:sz="4" w:space="0" w:color="auto"/>
            </w:tcBorders>
            <w:vAlign w:val="bottom"/>
          </w:tcPr>
          <w:p w:rsidR="00D015B1" w:rsidRPr="001567C8" w:rsidRDefault="00D015B1" w:rsidP="00D015B1">
            <w:pPr>
              <w:pStyle w:val="Tot"/>
              <w:spacing w:line="240" w:lineRule="auto"/>
              <w:jc w:val="right"/>
              <w:rPr>
                <w:rFonts w:asciiTheme="minorHAnsi" w:hAnsiTheme="minorHAnsi" w:cs="Arial"/>
                <w:sz w:val="22"/>
                <w:szCs w:val="22"/>
                <w:lang w:val="hr-HR"/>
              </w:rPr>
            </w:pPr>
            <w:r w:rsidRPr="001567C8">
              <w:rPr>
                <w:rFonts w:asciiTheme="minorHAnsi" w:hAnsiTheme="minorHAnsi" w:cs="Arial"/>
                <w:sz w:val="22"/>
                <w:szCs w:val="22"/>
                <w:lang w:val="hr-HR"/>
              </w:rPr>
              <w:t>5.579.898</w:t>
            </w:r>
          </w:p>
        </w:tc>
      </w:tr>
      <w:tr w:rsidR="00D015B1" w:rsidRPr="001567C8" w:rsidTr="00D015B1">
        <w:tblPrEx>
          <w:tblCellMar>
            <w:left w:w="107" w:type="dxa"/>
            <w:right w:w="107" w:type="dxa"/>
          </w:tblCellMar>
        </w:tblPrEx>
        <w:trPr>
          <w:trHeight w:val="232"/>
        </w:trPr>
        <w:tc>
          <w:tcPr>
            <w:tcW w:w="2955" w:type="pct"/>
          </w:tcPr>
          <w:p w:rsidR="00D015B1" w:rsidRPr="001567C8" w:rsidRDefault="00D015B1" w:rsidP="00D015B1">
            <w:pPr>
              <w:pStyle w:val="TT"/>
              <w:rPr>
                <w:rFonts w:asciiTheme="minorHAnsi" w:hAnsiTheme="minorHAnsi" w:cs="Arial"/>
                <w:sz w:val="22"/>
                <w:szCs w:val="22"/>
                <w:lang w:val="hr-HR"/>
              </w:rPr>
            </w:pPr>
            <w:r w:rsidRPr="001567C8">
              <w:rPr>
                <w:rFonts w:asciiTheme="minorHAnsi" w:hAnsiTheme="minorHAnsi" w:cs="Arial"/>
                <w:sz w:val="22"/>
                <w:szCs w:val="22"/>
                <w:lang w:val="hr-HR"/>
              </w:rPr>
              <w:t>Rezerviranja za garancije i preuzete obveze</w:t>
            </w:r>
          </w:p>
        </w:tc>
        <w:tc>
          <w:tcPr>
            <w:tcW w:w="1022" w:type="pct"/>
            <w:tcBorders>
              <w:top w:val="single" w:sz="4" w:space="0" w:color="auto"/>
              <w:bottom w:val="single" w:sz="4" w:space="0" w:color="auto"/>
            </w:tcBorders>
            <w:vAlign w:val="bottom"/>
          </w:tcPr>
          <w:p w:rsidR="00D015B1" w:rsidRPr="001567C8" w:rsidRDefault="004D7B0D" w:rsidP="00D015B1">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(261.283)</w:t>
            </w:r>
          </w:p>
        </w:tc>
        <w:tc>
          <w:tcPr>
            <w:tcW w:w="1023" w:type="pct"/>
            <w:tcBorders>
              <w:top w:val="single" w:sz="4" w:space="0" w:color="auto"/>
              <w:bottom w:val="single" w:sz="4" w:space="0" w:color="auto"/>
            </w:tcBorders>
            <w:vAlign w:val="bottom"/>
          </w:tcPr>
          <w:p w:rsidR="00D015B1" w:rsidRPr="001567C8" w:rsidRDefault="00D015B1" w:rsidP="00D015B1">
            <w:pPr>
              <w:pStyle w:val="TT"/>
              <w:jc w:val="right"/>
              <w:rPr>
                <w:rFonts w:asciiTheme="minorHAnsi" w:hAnsiTheme="minorHAnsi" w:cs="Arial"/>
                <w:sz w:val="22"/>
                <w:szCs w:val="22"/>
                <w:lang w:val="hr-HR"/>
              </w:rPr>
            </w:pPr>
            <w:r w:rsidRPr="001567C8">
              <w:rPr>
                <w:rFonts w:asciiTheme="minorHAnsi" w:hAnsiTheme="minorHAnsi" w:cs="Arial"/>
                <w:sz w:val="22"/>
                <w:szCs w:val="22"/>
                <w:lang w:val="hr-HR"/>
              </w:rPr>
              <w:t>(64.360)</w:t>
            </w:r>
          </w:p>
        </w:tc>
      </w:tr>
      <w:tr w:rsidR="00D015B1" w:rsidRPr="001567C8" w:rsidTr="00D015B1">
        <w:tblPrEx>
          <w:tblCellMar>
            <w:left w:w="107" w:type="dxa"/>
            <w:right w:w="107" w:type="dxa"/>
          </w:tblCellMar>
        </w:tblPrEx>
        <w:trPr>
          <w:trHeight w:val="232"/>
        </w:trPr>
        <w:tc>
          <w:tcPr>
            <w:tcW w:w="2955" w:type="pct"/>
          </w:tcPr>
          <w:p w:rsidR="00D015B1" w:rsidRPr="001567C8" w:rsidRDefault="00D015B1" w:rsidP="00D015B1">
            <w:pPr>
              <w:pStyle w:val="Tot"/>
              <w:rPr>
                <w:rFonts w:asciiTheme="minorHAnsi" w:hAnsiTheme="minorHAnsi" w:cs="Arial"/>
                <w:b/>
                <w:bCs/>
                <w:sz w:val="22"/>
                <w:szCs w:val="22"/>
                <w:lang w:val="hr-HR"/>
              </w:rPr>
            </w:pPr>
          </w:p>
        </w:tc>
        <w:tc>
          <w:tcPr>
            <w:tcW w:w="1022" w:type="pct"/>
            <w:tcBorders>
              <w:top w:val="single" w:sz="4" w:space="0" w:color="auto"/>
              <w:bottom w:val="single" w:sz="12" w:space="0" w:color="auto"/>
            </w:tcBorders>
            <w:vAlign w:val="bottom"/>
          </w:tcPr>
          <w:p w:rsidR="00D015B1" w:rsidRPr="001567C8" w:rsidRDefault="004D7B0D" w:rsidP="00D015B1">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5.194.569</w:t>
            </w:r>
          </w:p>
        </w:tc>
        <w:tc>
          <w:tcPr>
            <w:tcW w:w="1023" w:type="pct"/>
            <w:tcBorders>
              <w:top w:val="single" w:sz="4" w:space="0" w:color="auto"/>
              <w:bottom w:val="single" w:sz="12" w:space="0" w:color="auto"/>
            </w:tcBorders>
            <w:vAlign w:val="bottom"/>
          </w:tcPr>
          <w:p w:rsidR="00D015B1" w:rsidRPr="001567C8" w:rsidRDefault="00D015B1" w:rsidP="00D015B1">
            <w:pPr>
              <w:pStyle w:val="Tot"/>
              <w:jc w:val="right"/>
              <w:rPr>
                <w:rFonts w:asciiTheme="minorHAnsi" w:hAnsiTheme="minorHAnsi" w:cs="Arial"/>
                <w:b/>
                <w:bCs/>
                <w:sz w:val="22"/>
                <w:szCs w:val="22"/>
                <w:lang w:val="hr-HR"/>
              </w:rPr>
            </w:pPr>
            <w:r w:rsidRPr="001567C8">
              <w:rPr>
                <w:rFonts w:asciiTheme="minorHAnsi" w:hAnsiTheme="minorHAnsi" w:cs="Arial"/>
                <w:b/>
                <w:bCs/>
                <w:sz w:val="22"/>
                <w:szCs w:val="22"/>
                <w:lang w:val="hr-HR"/>
              </w:rPr>
              <w:t>5.515.538</w:t>
            </w:r>
          </w:p>
        </w:tc>
      </w:tr>
    </w:tbl>
    <w:p w:rsidR="00145879" w:rsidRPr="001567C8" w:rsidRDefault="00145879" w:rsidP="00B77D91">
      <w:pPr>
        <w:pStyle w:val="T1"/>
        <w:keepNext w:val="0"/>
        <w:spacing w:before="100" w:after="100" w:line="280" w:lineRule="exact"/>
        <w:rPr>
          <w:rFonts w:asciiTheme="minorHAnsi" w:hAnsiTheme="minorHAnsi" w:cs="Arial"/>
          <w:b w:val="0"/>
          <w:bCs w:val="0"/>
          <w:sz w:val="22"/>
          <w:szCs w:val="22"/>
          <w:lang w:val="hr-HR"/>
        </w:rPr>
        <w:sectPr w:rsidR="00145879" w:rsidRPr="001567C8" w:rsidSect="003E2D7A">
          <w:pgSz w:w="11907" w:h="16840" w:code="9"/>
          <w:pgMar w:top="1418" w:right="1134" w:bottom="1134" w:left="1418" w:header="851" w:footer="851" w:gutter="0"/>
          <w:cols w:space="720"/>
          <w:noEndnote/>
        </w:sectPr>
      </w:pPr>
    </w:p>
    <w:p w:rsidR="0011459D" w:rsidRPr="001567C8" w:rsidRDefault="0011459D" w:rsidP="0011459D">
      <w:pPr>
        <w:pStyle w:val="T1"/>
        <w:spacing w:before="0" w:after="0" w:line="240" w:lineRule="auto"/>
        <w:rPr>
          <w:rFonts w:asciiTheme="minorHAnsi" w:hAnsiTheme="minorHAnsi"/>
          <w:sz w:val="22"/>
          <w:szCs w:val="22"/>
          <w:lang w:val="hr-HR"/>
        </w:rPr>
      </w:pPr>
    </w:p>
    <w:p w:rsidR="00145879" w:rsidRPr="001567C8" w:rsidRDefault="00946245" w:rsidP="0011459D">
      <w:pPr>
        <w:pStyle w:val="T1"/>
        <w:spacing w:before="0" w:after="0" w:line="240" w:lineRule="auto"/>
        <w:rPr>
          <w:rFonts w:asciiTheme="minorHAnsi" w:hAnsiTheme="minorHAnsi"/>
          <w:sz w:val="22"/>
          <w:szCs w:val="22"/>
          <w:lang w:val="hr-HR"/>
        </w:rPr>
      </w:pPr>
      <w:r w:rsidRPr="001567C8">
        <w:rPr>
          <w:rFonts w:asciiTheme="minorHAnsi" w:hAnsiTheme="minorHAnsi"/>
          <w:sz w:val="22"/>
          <w:szCs w:val="22"/>
          <w:lang w:val="hr-HR"/>
        </w:rPr>
        <w:t>33</w:t>
      </w:r>
      <w:r w:rsidR="00145879" w:rsidRPr="001567C8">
        <w:rPr>
          <w:rFonts w:asciiTheme="minorHAnsi" w:hAnsiTheme="minorHAnsi"/>
          <w:sz w:val="22"/>
          <w:szCs w:val="22"/>
          <w:lang w:val="hr-HR"/>
        </w:rPr>
        <w:t>.</w:t>
      </w:r>
      <w:r w:rsidR="00145879" w:rsidRPr="001567C8">
        <w:rPr>
          <w:rFonts w:asciiTheme="minorHAnsi" w:hAnsiTheme="minorHAnsi"/>
          <w:sz w:val="22"/>
          <w:szCs w:val="22"/>
          <w:lang w:val="hr-HR"/>
        </w:rPr>
        <w:tab/>
        <w:t>Garancije i preuzete obveze (nastavak)</w:t>
      </w:r>
    </w:p>
    <w:p w:rsidR="0011459D" w:rsidRPr="001567C8" w:rsidRDefault="0011459D" w:rsidP="0011459D">
      <w:pPr>
        <w:pStyle w:val="T1"/>
        <w:keepNext w:val="0"/>
        <w:spacing w:before="0" w:after="0" w:line="240" w:lineRule="auto"/>
        <w:rPr>
          <w:rFonts w:asciiTheme="minorHAnsi" w:hAnsiTheme="minorHAnsi" w:cs="Arial"/>
          <w:b w:val="0"/>
          <w:bCs w:val="0"/>
          <w:sz w:val="22"/>
          <w:szCs w:val="22"/>
          <w:lang w:val="hr-HR"/>
        </w:rPr>
      </w:pPr>
    </w:p>
    <w:p w:rsidR="00D015B1" w:rsidRPr="001567C8" w:rsidRDefault="00D015B1" w:rsidP="0011459D">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Sljedeća tablica prikazuje informacije o kreditnoj kvaliteti </w:t>
      </w:r>
      <w:r w:rsidR="00B90262" w:rsidRPr="001567C8">
        <w:rPr>
          <w:rFonts w:asciiTheme="minorHAnsi" w:hAnsiTheme="minorHAnsi" w:cs="Arial"/>
          <w:b w:val="0"/>
          <w:bCs w:val="0"/>
          <w:sz w:val="22"/>
          <w:szCs w:val="22"/>
          <w:lang w:val="hr-HR"/>
        </w:rPr>
        <w:t>garancija</w:t>
      </w:r>
      <w:r w:rsidRPr="001567C8">
        <w:rPr>
          <w:rFonts w:asciiTheme="minorHAnsi" w:hAnsiTheme="minorHAnsi" w:cs="Arial"/>
          <w:b w:val="0"/>
          <w:bCs w:val="0"/>
          <w:sz w:val="22"/>
          <w:szCs w:val="22"/>
          <w:lang w:val="hr-HR"/>
        </w:rPr>
        <w:t xml:space="preserve"> i </w:t>
      </w:r>
      <w:r w:rsidR="00B90262" w:rsidRPr="001567C8">
        <w:rPr>
          <w:rFonts w:asciiTheme="minorHAnsi" w:hAnsiTheme="minorHAnsi" w:cs="Arial"/>
          <w:b w:val="0"/>
          <w:bCs w:val="0"/>
          <w:sz w:val="22"/>
          <w:szCs w:val="22"/>
          <w:lang w:val="hr-HR"/>
        </w:rPr>
        <w:t xml:space="preserve">preuzetih </w:t>
      </w:r>
      <w:r w:rsidRPr="001567C8">
        <w:rPr>
          <w:rFonts w:asciiTheme="minorHAnsi" w:hAnsiTheme="minorHAnsi" w:cs="Arial"/>
          <w:b w:val="0"/>
          <w:bCs w:val="0"/>
          <w:sz w:val="22"/>
          <w:szCs w:val="22"/>
          <w:lang w:val="hr-HR"/>
        </w:rPr>
        <w:t xml:space="preserve">obveza. Za </w:t>
      </w:r>
      <w:r w:rsidR="00B90262" w:rsidRPr="001567C8">
        <w:rPr>
          <w:rFonts w:asciiTheme="minorHAnsi" w:hAnsiTheme="minorHAnsi" w:cs="Arial"/>
          <w:b w:val="0"/>
          <w:bCs w:val="0"/>
          <w:sz w:val="22"/>
          <w:szCs w:val="22"/>
          <w:lang w:val="hr-HR"/>
        </w:rPr>
        <w:t xml:space="preserve">preuzete </w:t>
      </w:r>
      <w:r w:rsidRPr="001567C8">
        <w:rPr>
          <w:rFonts w:asciiTheme="minorHAnsi" w:hAnsiTheme="minorHAnsi" w:cs="Arial"/>
          <w:b w:val="0"/>
          <w:bCs w:val="0"/>
          <w:sz w:val="22"/>
          <w:szCs w:val="22"/>
          <w:lang w:val="hr-HR"/>
        </w:rPr>
        <w:t>obveze po kreditima i ugovore o financijskim jamstvima</w:t>
      </w:r>
      <w:r w:rsidR="00B90262" w:rsidRPr="001567C8">
        <w:rPr>
          <w:rFonts w:asciiTheme="minorHAnsi" w:hAnsiTheme="minorHAnsi" w:cs="Arial"/>
          <w:b w:val="0"/>
          <w:bCs w:val="0"/>
          <w:sz w:val="22"/>
          <w:szCs w:val="22"/>
          <w:lang w:val="hr-HR"/>
        </w:rPr>
        <w:t>,</w:t>
      </w:r>
      <w:r w:rsidRPr="001567C8">
        <w:rPr>
          <w:rFonts w:asciiTheme="minorHAnsi" w:hAnsiTheme="minorHAnsi" w:cs="Arial"/>
          <w:b w:val="0"/>
          <w:bCs w:val="0"/>
          <w:sz w:val="22"/>
          <w:szCs w:val="22"/>
          <w:lang w:val="hr-HR"/>
        </w:rPr>
        <w:t xml:space="preserve"> iznosi u tablici predstavljaju odobren</w:t>
      </w:r>
      <w:r w:rsidR="0045712D" w:rsidRPr="001567C8">
        <w:rPr>
          <w:rFonts w:asciiTheme="minorHAnsi" w:hAnsiTheme="minorHAnsi" w:cs="Arial"/>
          <w:b w:val="0"/>
          <w:bCs w:val="0"/>
          <w:sz w:val="22"/>
          <w:szCs w:val="22"/>
          <w:lang w:val="hr-HR"/>
        </w:rPr>
        <w:t>e</w:t>
      </w:r>
      <w:r w:rsidRPr="001567C8">
        <w:rPr>
          <w:rFonts w:asciiTheme="minorHAnsi" w:hAnsiTheme="minorHAnsi" w:cs="Arial"/>
          <w:b w:val="0"/>
          <w:bCs w:val="0"/>
          <w:sz w:val="22"/>
          <w:szCs w:val="22"/>
          <w:lang w:val="hr-HR"/>
        </w:rPr>
        <w:t xml:space="preserve"> ili zajamčen</w:t>
      </w:r>
      <w:r w:rsidR="0045712D" w:rsidRPr="001567C8">
        <w:rPr>
          <w:rFonts w:asciiTheme="minorHAnsi" w:hAnsiTheme="minorHAnsi" w:cs="Arial"/>
          <w:b w:val="0"/>
          <w:bCs w:val="0"/>
          <w:sz w:val="22"/>
          <w:szCs w:val="22"/>
          <w:lang w:val="hr-HR"/>
        </w:rPr>
        <w:t>e</w:t>
      </w:r>
      <w:r w:rsidRPr="001567C8">
        <w:rPr>
          <w:rFonts w:asciiTheme="minorHAnsi" w:hAnsiTheme="minorHAnsi" w:cs="Arial"/>
          <w:b w:val="0"/>
          <w:bCs w:val="0"/>
          <w:sz w:val="22"/>
          <w:szCs w:val="22"/>
          <w:lang w:val="hr-HR"/>
        </w:rPr>
        <w:t xml:space="preserve"> iznos</w:t>
      </w:r>
      <w:r w:rsidR="0045712D" w:rsidRPr="001567C8">
        <w:rPr>
          <w:rFonts w:asciiTheme="minorHAnsi" w:hAnsiTheme="minorHAnsi" w:cs="Arial"/>
          <w:b w:val="0"/>
          <w:bCs w:val="0"/>
          <w:sz w:val="22"/>
          <w:szCs w:val="22"/>
          <w:lang w:val="hr-HR"/>
        </w:rPr>
        <w:t>e:</w:t>
      </w:r>
    </w:p>
    <w:p w:rsidR="0045712D" w:rsidRPr="001567C8" w:rsidRDefault="0045712D" w:rsidP="0011459D">
      <w:pPr>
        <w:pStyle w:val="T1"/>
        <w:keepNext w:val="0"/>
        <w:spacing w:before="0" w:after="0" w:line="240" w:lineRule="auto"/>
        <w:rPr>
          <w:rFonts w:asciiTheme="minorHAnsi" w:hAnsiTheme="minorHAnsi" w:cs="Arial"/>
          <w:b w:val="0"/>
          <w:bCs w:val="0"/>
          <w:sz w:val="22"/>
          <w:szCs w:val="22"/>
          <w:lang w:val="hr-HR"/>
        </w:rPr>
      </w:pPr>
    </w:p>
    <w:tbl>
      <w:tblPr>
        <w:tblW w:w="9409" w:type="dxa"/>
        <w:tblLook w:val="04A0" w:firstRow="1" w:lastRow="0" w:firstColumn="1" w:lastColumn="0" w:noHBand="0" w:noVBand="1"/>
      </w:tblPr>
      <w:tblGrid>
        <w:gridCol w:w="4042"/>
        <w:gridCol w:w="1115"/>
        <w:gridCol w:w="1059"/>
        <w:gridCol w:w="1115"/>
        <w:gridCol w:w="1059"/>
        <w:gridCol w:w="1115"/>
      </w:tblGrid>
      <w:tr w:rsidR="0045712D" w:rsidRPr="001567C8" w:rsidTr="003C6BA3">
        <w:trPr>
          <w:trHeight w:val="355"/>
        </w:trPr>
        <w:tc>
          <w:tcPr>
            <w:tcW w:w="4042" w:type="dxa"/>
            <w:tcBorders>
              <w:top w:val="nil"/>
              <w:left w:val="nil"/>
              <w:bottom w:val="nil"/>
              <w:right w:val="nil"/>
            </w:tcBorders>
            <w:shd w:val="clear" w:color="auto" w:fill="auto"/>
            <w:noWrap/>
            <w:vAlign w:val="bottom"/>
            <w:hideMark/>
          </w:tcPr>
          <w:p w:rsidR="0045712D" w:rsidRPr="00CD3A2D" w:rsidRDefault="0045712D">
            <w:pPr>
              <w:rPr>
                <w:sz w:val="20"/>
                <w:szCs w:val="20"/>
                <w:lang w:val="hr-HR"/>
              </w:rPr>
            </w:pPr>
          </w:p>
        </w:tc>
        <w:tc>
          <w:tcPr>
            <w:tcW w:w="1083" w:type="dxa"/>
            <w:tcBorders>
              <w:top w:val="nil"/>
              <w:left w:val="nil"/>
              <w:bottom w:val="nil"/>
              <w:right w:val="nil"/>
            </w:tcBorders>
            <w:shd w:val="clear" w:color="auto" w:fill="auto"/>
            <w:noWrap/>
            <w:vAlign w:val="bottom"/>
            <w:hideMark/>
          </w:tcPr>
          <w:p w:rsidR="0045712D" w:rsidRPr="00CD3A2D" w:rsidRDefault="0045712D">
            <w:pPr>
              <w:rPr>
                <w:sz w:val="20"/>
                <w:szCs w:val="20"/>
                <w:lang w:val="hr-HR"/>
              </w:rPr>
            </w:pPr>
          </w:p>
        </w:tc>
        <w:tc>
          <w:tcPr>
            <w:tcW w:w="1059" w:type="dxa"/>
            <w:tcBorders>
              <w:top w:val="nil"/>
              <w:left w:val="nil"/>
              <w:bottom w:val="nil"/>
              <w:right w:val="nil"/>
            </w:tcBorders>
            <w:shd w:val="clear" w:color="auto" w:fill="auto"/>
            <w:noWrap/>
            <w:vAlign w:val="bottom"/>
            <w:hideMark/>
          </w:tcPr>
          <w:p w:rsidR="0045712D" w:rsidRPr="00CD3A2D" w:rsidRDefault="0045712D">
            <w:pPr>
              <w:rPr>
                <w:sz w:val="20"/>
                <w:szCs w:val="20"/>
                <w:lang w:val="hr-HR"/>
              </w:rPr>
            </w:pPr>
          </w:p>
        </w:tc>
        <w:tc>
          <w:tcPr>
            <w:tcW w:w="1083" w:type="dxa"/>
            <w:tcBorders>
              <w:top w:val="nil"/>
              <w:left w:val="nil"/>
              <w:bottom w:val="nil"/>
              <w:right w:val="nil"/>
            </w:tcBorders>
            <w:shd w:val="clear" w:color="auto" w:fill="auto"/>
            <w:noWrap/>
            <w:vAlign w:val="bottom"/>
            <w:hideMark/>
          </w:tcPr>
          <w:p w:rsidR="0045712D" w:rsidRPr="00CD3A2D" w:rsidRDefault="0045712D">
            <w:pPr>
              <w:rPr>
                <w:sz w:val="20"/>
                <w:szCs w:val="20"/>
                <w:lang w:val="hr-HR"/>
              </w:rPr>
            </w:pPr>
          </w:p>
        </w:tc>
        <w:tc>
          <w:tcPr>
            <w:tcW w:w="2142" w:type="dxa"/>
            <w:gridSpan w:val="2"/>
            <w:tcBorders>
              <w:top w:val="nil"/>
              <w:left w:val="nil"/>
              <w:bottom w:val="nil"/>
              <w:right w:val="nil"/>
            </w:tcBorders>
            <w:shd w:val="clear" w:color="auto" w:fill="auto"/>
            <w:noWrap/>
            <w:hideMark/>
          </w:tcPr>
          <w:p w:rsidR="0045712D" w:rsidRPr="00CD3A2D" w:rsidRDefault="0045712D" w:rsidP="00C8240E">
            <w:pPr>
              <w:jc w:val="right"/>
              <w:rPr>
                <w:rFonts w:ascii="Calibri" w:hAnsi="Calibri"/>
                <w:b/>
                <w:bCs/>
                <w:color w:val="000000"/>
                <w:sz w:val="22"/>
                <w:szCs w:val="22"/>
                <w:lang w:val="hr-HR"/>
              </w:rPr>
            </w:pPr>
            <w:r w:rsidRPr="00CD3A2D">
              <w:rPr>
                <w:rFonts w:ascii="Calibri" w:hAnsi="Calibri"/>
                <w:b/>
                <w:bCs/>
                <w:color w:val="000000"/>
                <w:sz w:val="22"/>
                <w:szCs w:val="22"/>
                <w:lang w:val="hr-HR"/>
              </w:rPr>
              <w:t>Grupa i Banka</w:t>
            </w:r>
          </w:p>
        </w:tc>
      </w:tr>
      <w:tr w:rsidR="0045712D" w:rsidRPr="001567C8" w:rsidTr="003C6BA3">
        <w:trPr>
          <w:trHeight w:val="280"/>
        </w:trPr>
        <w:tc>
          <w:tcPr>
            <w:tcW w:w="4042" w:type="dxa"/>
            <w:tcBorders>
              <w:top w:val="nil"/>
              <w:left w:val="nil"/>
              <w:bottom w:val="nil"/>
              <w:right w:val="nil"/>
            </w:tcBorders>
            <w:shd w:val="clear" w:color="auto" w:fill="auto"/>
            <w:vAlign w:val="center"/>
            <w:hideMark/>
          </w:tcPr>
          <w:p w:rsidR="0045712D" w:rsidRPr="00CD3A2D" w:rsidRDefault="0045712D">
            <w:pPr>
              <w:jc w:val="right"/>
              <w:rPr>
                <w:rFonts w:ascii="Calibri" w:hAnsi="Calibri"/>
                <w:b/>
                <w:bCs/>
                <w:color w:val="000000"/>
                <w:sz w:val="22"/>
                <w:szCs w:val="22"/>
                <w:lang w:val="hr-HR"/>
              </w:rPr>
            </w:pPr>
          </w:p>
        </w:tc>
        <w:tc>
          <w:tcPr>
            <w:tcW w:w="1083" w:type="dxa"/>
            <w:tcBorders>
              <w:top w:val="nil"/>
              <w:left w:val="nil"/>
              <w:bottom w:val="nil"/>
              <w:right w:val="nil"/>
            </w:tcBorders>
            <w:shd w:val="clear" w:color="auto" w:fill="auto"/>
            <w:vAlign w:val="center"/>
            <w:hideMark/>
          </w:tcPr>
          <w:p w:rsidR="0045712D" w:rsidRPr="00CD3A2D" w:rsidRDefault="0045712D">
            <w:pPr>
              <w:jc w:val="right"/>
              <w:rPr>
                <w:rFonts w:ascii="Calibri" w:hAnsi="Calibri"/>
                <w:b/>
                <w:bCs/>
                <w:color w:val="000000"/>
                <w:sz w:val="22"/>
                <w:szCs w:val="22"/>
                <w:lang w:val="hr-HR"/>
              </w:rPr>
            </w:pPr>
            <w:r w:rsidRPr="00CD3A2D">
              <w:rPr>
                <w:rFonts w:ascii="Calibri" w:hAnsi="Calibri"/>
                <w:b/>
                <w:bCs/>
                <w:color w:val="000000"/>
                <w:sz w:val="22"/>
                <w:szCs w:val="22"/>
                <w:lang w:val="hr-HR"/>
              </w:rPr>
              <w:t>Stage 1</w:t>
            </w:r>
          </w:p>
        </w:tc>
        <w:tc>
          <w:tcPr>
            <w:tcW w:w="1059" w:type="dxa"/>
            <w:tcBorders>
              <w:top w:val="nil"/>
              <w:left w:val="nil"/>
              <w:bottom w:val="nil"/>
              <w:right w:val="nil"/>
            </w:tcBorders>
            <w:shd w:val="clear" w:color="auto" w:fill="auto"/>
            <w:vAlign w:val="center"/>
            <w:hideMark/>
          </w:tcPr>
          <w:p w:rsidR="0045712D" w:rsidRPr="00CD3A2D" w:rsidRDefault="0045712D">
            <w:pPr>
              <w:jc w:val="right"/>
              <w:rPr>
                <w:rFonts w:ascii="Calibri" w:hAnsi="Calibri"/>
                <w:b/>
                <w:bCs/>
                <w:color w:val="000000"/>
                <w:sz w:val="22"/>
                <w:szCs w:val="22"/>
                <w:lang w:val="hr-HR"/>
              </w:rPr>
            </w:pPr>
            <w:r w:rsidRPr="00CD3A2D">
              <w:rPr>
                <w:rFonts w:ascii="Calibri" w:hAnsi="Calibri"/>
                <w:b/>
                <w:bCs/>
                <w:color w:val="000000"/>
                <w:sz w:val="22"/>
                <w:szCs w:val="22"/>
                <w:lang w:val="hr-HR"/>
              </w:rPr>
              <w:t>Stage 2</w:t>
            </w:r>
          </w:p>
        </w:tc>
        <w:tc>
          <w:tcPr>
            <w:tcW w:w="1083" w:type="dxa"/>
            <w:tcBorders>
              <w:top w:val="nil"/>
              <w:left w:val="nil"/>
              <w:bottom w:val="nil"/>
              <w:right w:val="nil"/>
            </w:tcBorders>
            <w:shd w:val="clear" w:color="auto" w:fill="auto"/>
            <w:vAlign w:val="center"/>
            <w:hideMark/>
          </w:tcPr>
          <w:p w:rsidR="0045712D" w:rsidRPr="00CD3A2D" w:rsidRDefault="0045712D">
            <w:pPr>
              <w:jc w:val="right"/>
              <w:rPr>
                <w:rFonts w:ascii="Calibri" w:hAnsi="Calibri"/>
                <w:b/>
                <w:bCs/>
                <w:color w:val="000000"/>
                <w:sz w:val="22"/>
                <w:szCs w:val="22"/>
                <w:lang w:val="hr-HR"/>
              </w:rPr>
            </w:pPr>
            <w:r w:rsidRPr="00CD3A2D">
              <w:rPr>
                <w:rFonts w:ascii="Calibri" w:hAnsi="Calibri"/>
                <w:b/>
                <w:bCs/>
                <w:color w:val="000000"/>
                <w:sz w:val="22"/>
                <w:szCs w:val="22"/>
                <w:lang w:val="hr-HR"/>
              </w:rPr>
              <w:t>Stage 3</w:t>
            </w:r>
          </w:p>
        </w:tc>
        <w:tc>
          <w:tcPr>
            <w:tcW w:w="1059" w:type="dxa"/>
            <w:tcBorders>
              <w:top w:val="nil"/>
              <w:left w:val="nil"/>
              <w:bottom w:val="nil"/>
              <w:right w:val="nil"/>
            </w:tcBorders>
            <w:shd w:val="clear" w:color="auto" w:fill="auto"/>
            <w:vAlign w:val="center"/>
            <w:hideMark/>
          </w:tcPr>
          <w:p w:rsidR="0045712D" w:rsidRPr="00CD3A2D" w:rsidRDefault="0045712D">
            <w:pPr>
              <w:jc w:val="right"/>
              <w:rPr>
                <w:rFonts w:ascii="Calibri" w:hAnsi="Calibri"/>
                <w:b/>
                <w:bCs/>
                <w:color w:val="000000"/>
                <w:sz w:val="22"/>
                <w:szCs w:val="22"/>
                <w:lang w:val="hr-HR"/>
              </w:rPr>
            </w:pPr>
            <w:r w:rsidRPr="00CD3A2D">
              <w:rPr>
                <w:rFonts w:ascii="Calibri" w:hAnsi="Calibri"/>
                <w:b/>
                <w:bCs/>
                <w:color w:val="000000"/>
                <w:sz w:val="22"/>
                <w:szCs w:val="22"/>
                <w:lang w:val="hr-HR"/>
              </w:rPr>
              <w:t>POCI</w:t>
            </w:r>
          </w:p>
        </w:tc>
        <w:tc>
          <w:tcPr>
            <w:tcW w:w="1083" w:type="dxa"/>
            <w:tcBorders>
              <w:top w:val="nil"/>
              <w:left w:val="nil"/>
              <w:bottom w:val="nil"/>
              <w:right w:val="nil"/>
            </w:tcBorders>
            <w:shd w:val="clear" w:color="auto" w:fill="auto"/>
            <w:vAlign w:val="center"/>
            <w:hideMark/>
          </w:tcPr>
          <w:p w:rsidR="0045712D" w:rsidRPr="00CD3A2D" w:rsidRDefault="0045712D">
            <w:pPr>
              <w:jc w:val="right"/>
              <w:rPr>
                <w:rFonts w:ascii="Calibri" w:hAnsi="Calibri"/>
                <w:b/>
                <w:bCs/>
                <w:color w:val="000000"/>
                <w:sz w:val="22"/>
                <w:szCs w:val="22"/>
                <w:lang w:val="hr-HR"/>
              </w:rPr>
            </w:pPr>
            <w:r w:rsidRPr="00CD3A2D">
              <w:rPr>
                <w:rFonts w:ascii="Calibri" w:hAnsi="Calibri"/>
                <w:b/>
                <w:bCs/>
                <w:color w:val="000000"/>
                <w:sz w:val="22"/>
                <w:szCs w:val="22"/>
                <w:lang w:val="hr-HR"/>
              </w:rPr>
              <w:t>Total</w:t>
            </w:r>
          </w:p>
        </w:tc>
      </w:tr>
      <w:tr w:rsidR="0045712D" w:rsidRPr="001567C8" w:rsidTr="003C6BA3">
        <w:trPr>
          <w:trHeight w:val="227"/>
        </w:trPr>
        <w:tc>
          <w:tcPr>
            <w:tcW w:w="4042" w:type="dxa"/>
            <w:tcBorders>
              <w:top w:val="nil"/>
              <w:left w:val="nil"/>
              <w:bottom w:val="nil"/>
              <w:right w:val="nil"/>
            </w:tcBorders>
            <w:shd w:val="clear" w:color="auto" w:fill="auto"/>
            <w:vAlign w:val="center"/>
            <w:hideMark/>
          </w:tcPr>
          <w:p w:rsidR="0045712D" w:rsidRPr="00CD3A2D" w:rsidRDefault="0045712D">
            <w:pPr>
              <w:jc w:val="right"/>
              <w:rPr>
                <w:rFonts w:ascii="Calibri" w:hAnsi="Calibri"/>
                <w:b/>
                <w:bCs/>
                <w:color w:val="000000"/>
                <w:sz w:val="22"/>
                <w:szCs w:val="22"/>
                <w:lang w:val="hr-HR"/>
              </w:rPr>
            </w:pPr>
          </w:p>
        </w:tc>
        <w:tc>
          <w:tcPr>
            <w:tcW w:w="1083" w:type="dxa"/>
            <w:tcBorders>
              <w:top w:val="nil"/>
              <w:left w:val="nil"/>
              <w:bottom w:val="nil"/>
              <w:right w:val="nil"/>
            </w:tcBorders>
            <w:shd w:val="clear" w:color="auto" w:fill="auto"/>
            <w:vAlign w:val="center"/>
            <w:hideMark/>
          </w:tcPr>
          <w:p w:rsidR="0045712D" w:rsidRPr="00CD3A2D" w:rsidRDefault="0045712D">
            <w:pPr>
              <w:rPr>
                <w:sz w:val="20"/>
                <w:szCs w:val="20"/>
                <w:lang w:val="hr-HR"/>
              </w:rPr>
            </w:pPr>
          </w:p>
        </w:tc>
        <w:tc>
          <w:tcPr>
            <w:tcW w:w="1059" w:type="dxa"/>
            <w:tcBorders>
              <w:top w:val="nil"/>
              <w:left w:val="nil"/>
              <w:bottom w:val="nil"/>
              <w:right w:val="nil"/>
            </w:tcBorders>
            <w:shd w:val="clear" w:color="auto" w:fill="auto"/>
            <w:vAlign w:val="center"/>
            <w:hideMark/>
          </w:tcPr>
          <w:p w:rsidR="0045712D" w:rsidRPr="00CD3A2D" w:rsidRDefault="0045712D">
            <w:pPr>
              <w:jc w:val="right"/>
              <w:rPr>
                <w:sz w:val="20"/>
                <w:szCs w:val="20"/>
                <w:lang w:val="hr-HR"/>
              </w:rPr>
            </w:pPr>
          </w:p>
        </w:tc>
        <w:tc>
          <w:tcPr>
            <w:tcW w:w="1083" w:type="dxa"/>
            <w:tcBorders>
              <w:top w:val="nil"/>
              <w:left w:val="nil"/>
              <w:bottom w:val="nil"/>
              <w:right w:val="nil"/>
            </w:tcBorders>
            <w:shd w:val="clear" w:color="auto" w:fill="auto"/>
            <w:vAlign w:val="center"/>
            <w:hideMark/>
          </w:tcPr>
          <w:p w:rsidR="0045712D" w:rsidRPr="00CD3A2D" w:rsidRDefault="0045712D">
            <w:pPr>
              <w:jc w:val="right"/>
              <w:rPr>
                <w:sz w:val="20"/>
                <w:szCs w:val="20"/>
                <w:lang w:val="hr-HR"/>
              </w:rPr>
            </w:pPr>
          </w:p>
        </w:tc>
        <w:tc>
          <w:tcPr>
            <w:tcW w:w="1059" w:type="dxa"/>
            <w:tcBorders>
              <w:top w:val="nil"/>
              <w:left w:val="nil"/>
              <w:bottom w:val="nil"/>
              <w:right w:val="nil"/>
            </w:tcBorders>
            <w:shd w:val="clear" w:color="auto" w:fill="auto"/>
            <w:vAlign w:val="center"/>
            <w:hideMark/>
          </w:tcPr>
          <w:p w:rsidR="0045712D" w:rsidRPr="00CD3A2D" w:rsidRDefault="0045712D">
            <w:pPr>
              <w:jc w:val="right"/>
              <w:rPr>
                <w:sz w:val="20"/>
                <w:szCs w:val="20"/>
                <w:lang w:val="hr-HR"/>
              </w:rPr>
            </w:pPr>
          </w:p>
        </w:tc>
        <w:tc>
          <w:tcPr>
            <w:tcW w:w="1083" w:type="dxa"/>
            <w:tcBorders>
              <w:top w:val="nil"/>
              <w:left w:val="nil"/>
              <w:bottom w:val="nil"/>
              <w:right w:val="nil"/>
            </w:tcBorders>
            <w:shd w:val="clear" w:color="auto" w:fill="auto"/>
            <w:vAlign w:val="center"/>
            <w:hideMark/>
          </w:tcPr>
          <w:p w:rsidR="0045712D" w:rsidRPr="00CD3A2D" w:rsidRDefault="0045712D">
            <w:pPr>
              <w:jc w:val="right"/>
              <w:rPr>
                <w:sz w:val="20"/>
                <w:szCs w:val="20"/>
                <w:lang w:val="hr-HR"/>
              </w:rPr>
            </w:pPr>
          </w:p>
        </w:tc>
      </w:tr>
      <w:tr w:rsidR="0045712D" w:rsidRPr="001567C8" w:rsidTr="0045712D">
        <w:trPr>
          <w:trHeight w:val="327"/>
        </w:trPr>
        <w:tc>
          <w:tcPr>
            <w:tcW w:w="4042" w:type="dxa"/>
            <w:tcBorders>
              <w:top w:val="nil"/>
              <w:left w:val="nil"/>
              <w:bottom w:val="nil"/>
              <w:right w:val="nil"/>
            </w:tcBorders>
            <w:shd w:val="clear" w:color="auto" w:fill="auto"/>
            <w:noWrap/>
            <w:vAlign w:val="bottom"/>
            <w:hideMark/>
          </w:tcPr>
          <w:p w:rsidR="0045712D" w:rsidRPr="00CD3A2D" w:rsidRDefault="0045712D">
            <w:pPr>
              <w:rPr>
                <w:rFonts w:ascii="Calibri" w:hAnsi="Calibri"/>
                <w:color w:val="000000"/>
                <w:sz w:val="22"/>
                <w:szCs w:val="22"/>
                <w:lang w:val="hr-HR"/>
              </w:rPr>
            </w:pPr>
            <w:r w:rsidRPr="00CD3A2D">
              <w:rPr>
                <w:rFonts w:ascii="Calibri" w:hAnsi="Calibri"/>
                <w:color w:val="000000"/>
                <w:sz w:val="22"/>
                <w:szCs w:val="22"/>
                <w:lang w:val="hr-HR"/>
              </w:rPr>
              <w:t>Bruto iznos</w:t>
            </w:r>
          </w:p>
        </w:tc>
        <w:tc>
          <w:tcPr>
            <w:tcW w:w="1083" w:type="dxa"/>
            <w:tcBorders>
              <w:top w:val="nil"/>
              <w:left w:val="nil"/>
              <w:bottom w:val="nil"/>
              <w:right w:val="nil"/>
            </w:tcBorders>
            <w:shd w:val="clear" w:color="auto" w:fill="auto"/>
            <w:noWrap/>
            <w:vAlign w:val="bottom"/>
            <w:hideMark/>
          </w:tcPr>
          <w:p w:rsidR="0045712D" w:rsidRPr="00CD3A2D" w:rsidRDefault="0045712D" w:rsidP="0045712D">
            <w:pPr>
              <w:jc w:val="center"/>
              <w:rPr>
                <w:rFonts w:ascii="Calibri" w:hAnsi="Calibri"/>
                <w:color w:val="000000"/>
                <w:sz w:val="22"/>
                <w:szCs w:val="22"/>
                <w:lang w:val="hr-HR"/>
              </w:rPr>
            </w:pPr>
            <w:r w:rsidRPr="00CD3A2D">
              <w:rPr>
                <w:rFonts w:ascii="Calibri" w:hAnsi="Calibri"/>
                <w:color w:val="000000"/>
                <w:sz w:val="22"/>
                <w:szCs w:val="22"/>
                <w:lang w:val="hr-HR"/>
              </w:rPr>
              <w:t xml:space="preserve">2.708.846 </w:t>
            </w:r>
          </w:p>
        </w:tc>
        <w:tc>
          <w:tcPr>
            <w:tcW w:w="1059" w:type="dxa"/>
            <w:tcBorders>
              <w:top w:val="nil"/>
              <w:left w:val="nil"/>
              <w:bottom w:val="nil"/>
              <w:right w:val="nil"/>
            </w:tcBorders>
            <w:shd w:val="clear" w:color="auto" w:fill="auto"/>
            <w:noWrap/>
            <w:vAlign w:val="bottom"/>
            <w:hideMark/>
          </w:tcPr>
          <w:p w:rsidR="0045712D" w:rsidRPr="00CD3A2D" w:rsidRDefault="0045712D" w:rsidP="0045712D">
            <w:pPr>
              <w:jc w:val="right"/>
              <w:rPr>
                <w:rFonts w:ascii="Calibri" w:hAnsi="Calibri"/>
                <w:color w:val="000000"/>
                <w:sz w:val="22"/>
                <w:szCs w:val="22"/>
                <w:lang w:val="hr-HR"/>
              </w:rPr>
            </w:pPr>
            <w:r w:rsidRPr="00CD3A2D">
              <w:rPr>
                <w:rFonts w:ascii="Calibri" w:hAnsi="Calibri"/>
                <w:color w:val="000000"/>
                <w:sz w:val="22"/>
                <w:szCs w:val="22"/>
                <w:lang w:val="hr-HR"/>
              </w:rPr>
              <w:t xml:space="preserve">  669.160 </w:t>
            </w:r>
          </w:p>
        </w:tc>
        <w:tc>
          <w:tcPr>
            <w:tcW w:w="1083" w:type="dxa"/>
            <w:tcBorders>
              <w:top w:val="nil"/>
              <w:left w:val="nil"/>
              <w:bottom w:val="nil"/>
              <w:right w:val="nil"/>
            </w:tcBorders>
            <w:shd w:val="clear" w:color="auto" w:fill="auto"/>
            <w:noWrap/>
            <w:vAlign w:val="bottom"/>
            <w:hideMark/>
          </w:tcPr>
          <w:p w:rsidR="0045712D" w:rsidRPr="00CD3A2D" w:rsidRDefault="0045712D" w:rsidP="0045712D">
            <w:pPr>
              <w:jc w:val="center"/>
              <w:rPr>
                <w:rFonts w:ascii="Calibri" w:hAnsi="Calibri"/>
                <w:color w:val="000000"/>
                <w:sz w:val="22"/>
                <w:szCs w:val="22"/>
                <w:lang w:val="hr-HR"/>
              </w:rPr>
            </w:pPr>
            <w:r w:rsidRPr="00CD3A2D">
              <w:rPr>
                <w:rFonts w:ascii="Calibri" w:hAnsi="Calibri"/>
                <w:color w:val="000000"/>
                <w:sz w:val="22"/>
                <w:szCs w:val="22"/>
                <w:lang w:val="hr-HR"/>
              </w:rPr>
              <w:t xml:space="preserve">2.009.169 </w:t>
            </w:r>
          </w:p>
        </w:tc>
        <w:tc>
          <w:tcPr>
            <w:tcW w:w="1059" w:type="dxa"/>
            <w:tcBorders>
              <w:top w:val="nil"/>
              <w:left w:val="nil"/>
              <w:bottom w:val="nil"/>
              <w:right w:val="nil"/>
            </w:tcBorders>
            <w:shd w:val="clear" w:color="auto" w:fill="auto"/>
            <w:noWrap/>
            <w:vAlign w:val="bottom"/>
            <w:hideMark/>
          </w:tcPr>
          <w:p w:rsidR="0045712D" w:rsidRPr="00CD3A2D" w:rsidRDefault="0045712D" w:rsidP="0045712D">
            <w:pPr>
              <w:jc w:val="right"/>
              <w:rPr>
                <w:rFonts w:ascii="Calibri" w:hAnsi="Calibri"/>
                <w:color w:val="000000"/>
                <w:sz w:val="22"/>
                <w:szCs w:val="22"/>
                <w:lang w:val="hr-HR"/>
              </w:rPr>
            </w:pPr>
            <w:r w:rsidRPr="00CD3A2D">
              <w:rPr>
                <w:rFonts w:ascii="Calibri" w:hAnsi="Calibri"/>
                <w:color w:val="000000"/>
                <w:sz w:val="22"/>
                <w:szCs w:val="22"/>
                <w:lang w:val="hr-HR"/>
              </w:rPr>
              <w:t xml:space="preserve">  21.205 </w:t>
            </w:r>
          </w:p>
        </w:tc>
        <w:tc>
          <w:tcPr>
            <w:tcW w:w="1083" w:type="dxa"/>
            <w:tcBorders>
              <w:top w:val="nil"/>
              <w:left w:val="nil"/>
              <w:bottom w:val="nil"/>
              <w:right w:val="nil"/>
            </w:tcBorders>
            <w:shd w:val="clear" w:color="auto" w:fill="auto"/>
            <w:noWrap/>
            <w:vAlign w:val="bottom"/>
            <w:hideMark/>
          </w:tcPr>
          <w:p w:rsidR="0045712D" w:rsidRPr="00CD3A2D" w:rsidRDefault="0045712D" w:rsidP="0045712D">
            <w:pPr>
              <w:jc w:val="center"/>
              <w:rPr>
                <w:rFonts w:ascii="Calibri" w:hAnsi="Calibri"/>
                <w:b/>
                <w:bCs/>
                <w:color w:val="000000"/>
                <w:sz w:val="22"/>
                <w:szCs w:val="22"/>
                <w:lang w:val="hr-HR"/>
              </w:rPr>
            </w:pPr>
            <w:r w:rsidRPr="00CD3A2D">
              <w:rPr>
                <w:rFonts w:ascii="Calibri" w:hAnsi="Calibri"/>
                <w:b/>
                <w:bCs/>
                <w:color w:val="000000"/>
                <w:sz w:val="22"/>
                <w:szCs w:val="22"/>
                <w:lang w:val="hr-HR"/>
              </w:rPr>
              <w:t xml:space="preserve">5.408.380 </w:t>
            </w:r>
          </w:p>
        </w:tc>
      </w:tr>
      <w:tr w:rsidR="0045712D" w:rsidRPr="001567C8" w:rsidTr="0045712D">
        <w:trPr>
          <w:trHeight w:val="337"/>
        </w:trPr>
        <w:tc>
          <w:tcPr>
            <w:tcW w:w="4042" w:type="dxa"/>
            <w:tcBorders>
              <w:top w:val="nil"/>
              <w:left w:val="nil"/>
              <w:bottom w:val="nil"/>
              <w:right w:val="nil"/>
            </w:tcBorders>
            <w:shd w:val="clear" w:color="auto" w:fill="auto"/>
            <w:noWrap/>
            <w:vAlign w:val="bottom"/>
            <w:hideMark/>
          </w:tcPr>
          <w:p w:rsidR="0045712D" w:rsidRPr="00CD3A2D" w:rsidRDefault="0045712D">
            <w:pPr>
              <w:rPr>
                <w:rFonts w:ascii="Calibri" w:hAnsi="Calibri"/>
                <w:color w:val="000000"/>
                <w:sz w:val="22"/>
                <w:szCs w:val="22"/>
                <w:lang w:val="hr-HR"/>
              </w:rPr>
            </w:pPr>
            <w:r w:rsidRPr="00CD3A2D">
              <w:rPr>
                <w:rFonts w:ascii="Calibri" w:hAnsi="Calibri"/>
                <w:color w:val="000000"/>
                <w:sz w:val="22"/>
                <w:szCs w:val="22"/>
                <w:lang w:val="hr-HR"/>
              </w:rPr>
              <w:t>Rezerviranja</w:t>
            </w:r>
          </w:p>
        </w:tc>
        <w:tc>
          <w:tcPr>
            <w:tcW w:w="1083" w:type="dxa"/>
            <w:tcBorders>
              <w:top w:val="nil"/>
              <w:left w:val="nil"/>
              <w:bottom w:val="nil"/>
              <w:right w:val="nil"/>
            </w:tcBorders>
            <w:shd w:val="clear" w:color="auto" w:fill="auto"/>
            <w:noWrap/>
            <w:vAlign w:val="bottom"/>
            <w:hideMark/>
          </w:tcPr>
          <w:p w:rsidR="0045712D" w:rsidRPr="00CD3A2D" w:rsidRDefault="0045712D" w:rsidP="0045712D">
            <w:pPr>
              <w:jc w:val="right"/>
              <w:rPr>
                <w:rFonts w:ascii="Calibri" w:hAnsi="Calibri"/>
                <w:color w:val="000000"/>
                <w:sz w:val="22"/>
                <w:szCs w:val="22"/>
                <w:lang w:val="hr-HR"/>
              </w:rPr>
            </w:pPr>
            <w:r w:rsidRPr="00CD3A2D">
              <w:rPr>
                <w:rFonts w:ascii="Calibri" w:hAnsi="Calibri"/>
                <w:color w:val="000000"/>
                <w:sz w:val="22"/>
                <w:szCs w:val="22"/>
                <w:lang w:val="hr-HR"/>
              </w:rPr>
              <w:t xml:space="preserve">   (9.170)</w:t>
            </w:r>
          </w:p>
        </w:tc>
        <w:tc>
          <w:tcPr>
            <w:tcW w:w="1059" w:type="dxa"/>
            <w:tcBorders>
              <w:top w:val="nil"/>
              <w:left w:val="nil"/>
              <w:bottom w:val="nil"/>
              <w:right w:val="nil"/>
            </w:tcBorders>
            <w:shd w:val="clear" w:color="auto" w:fill="auto"/>
            <w:noWrap/>
            <w:vAlign w:val="bottom"/>
            <w:hideMark/>
          </w:tcPr>
          <w:p w:rsidR="0045712D" w:rsidRPr="00CD3A2D" w:rsidRDefault="0045712D" w:rsidP="0045712D">
            <w:pPr>
              <w:jc w:val="center"/>
              <w:rPr>
                <w:rFonts w:ascii="Calibri" w:hAnsi="Calibri"/>
                <w:color w:val="000000"/>
                <w:sz w:val="22"/>
                <w:szCs w:val="22"/>
                <w:lang w:val="hr-HR"/>
              </w:rPr>
            </w:pPr>
            <w:r w:rsidRPr="00CD3A2D">
              <w:rPr>
                <w:rFonts w:ascii="Calibri" w:hAnsi="Calibri"/>
                <w:color w:val="000000"/>
                <w:sz w:val="22"/>
                <w:szCs w:val="22"/>
                <w:lang w:val="hr-HR"/>
              </w:rPr>
              <w:t xml:space="preserve"> (65.094)</w:t>
            </w:r>
          </w:p>
        </w:tc>
        <w:tc>
          <w:tcPr>
            <w:tcW w:w="1083" w:type="dxa"/>
            <w:tcBorders>
              <w:top w:val="nil"/>
              <w:left w:val="nil"/>
              <w:bottom w:val="nil"/>
              <w:right w:val="nil"/>
            </w:tcBorders>
            <w:shd w:val="clear" w:color="auto" w:fill="auto"/>
            <w:noWrap/>
            <w:vAlign w:val="bottom"/>
            <w:hideMark/>
          </w:tcPr>
          <w:p w:rsidR="0045712D" w:rsidRPr="00CD3A2D" w:rsidRDefault="0045712D" w:rsidP="0045712D">
            <w:pPr>
              <w:jc w:val="center"/>
              <w:rPr>
                <w:rFonts w:ascii="Calibri" w:hAnsi="Calibri"/>
                <w:color w:val="000000"/>
                <w:sz w:val="22"/>
                <w:szCs w:val="22"/>
                <w:lang w:val="hr-HR"/>
              </w:rPr>
            </w:pPr>
            <w:r w:rsidRPr="00CD3A2D">
              <w:rPr>
                <w:rFonts w:ascii="Calibri" w:hAnsi="Calibri"/>
                <w:color w:val="000000"/>
                <w:sz w:val="22"/>
                <w:szCs w:val="22"/>
                <w:lang w:val="hr-HR"/>
              </w:rPr>
              <w:t>(175.996)</w:t>
            </w:r>
          </w:p>
        </w:tc>
        <w:tc>
          <w:tcPr>
            <w:tcW w:w="1059" w:type="dxa"/>
            <w:tcBorders>
              <w:top w:val="nil"/>
              <w:left w:val="nil"/>
              <w:bottom w:val="nil"/>
              <w:right w:val="nil"/>
            </w:tcBorders>
            <w:shd w:val="clear" w:color="auto" w:fill="auto"/>
            <w:noWrap/>
            <w:vAlign w:val="bottom"/>
            <w:hideMark/>
          </w:tcPr>
          <w:p w:rsidR="0045712D" w:rsidRPr="00CD3A2D" w:rsidRDefault="0045712D" w:rsidP="0045712D">
            <w:pPr>
              <w:jc w:val="right"/>
              <w:rPr>
                <w:rFonts w:ascii="Calibri" w:hAnsi="Calibri"/>
                <w:color w:val="000000"/>
                <w:sz w:val="22"/>
                <w:szCs w:val="22"/>
                <w:lang w:val="hr-HR"/>
              </w:rPr>
            </w:pPr>
            <w:r w:rsidRPr="00CD3A2D">
              <w:rPr>
                <w:rFonts w:ascii="Calibri" w:hAnsi="Calibri"/>
                <w:color w:val="000000"/>
                <w:sz w:val="22"/>
                <w:szCs w:val="22"/>
                <w:lang w:val="hr-HR"/>
              </w:rPr>
              <w:t xml:space="preserve"> (11.023)</w:t>
            </w:r>
          </w:p>
        </w:tc>
        <w:tc>
          <w:tcPr>
            <w:tcW w:w="1083" w:type="dxa"/>
            <w:tcBorders>
              <w:top w:val="nil"/>
              <w:left w:val="nil"/>
              <w:bottom w:val="nil"/>
              <w:right w:val="nil"/>
            </w:tcBorders>
            <w:shd w:val="clear" w:color="auto" w:fill="auto"/>
            <w:noWrap/>
            <w:vAlign w:val="bottom"/>
            <w:hideMark/>
          </w:tcPr>
          <w:p w:rsidR="0045712D" w:rsidRPr="00CD3A2D" w:rsidRDefault="0045712D" w:rsidP="0045712D">
            <w:pPr>
              <w:jc w:val="right"/>
              <w:rPr>
                <w:rFonts w:ascii="Calibri" w:hAnsi="Calibri"/>
                <w:b/>
                <w:bCs/>
                <w:color w:val="000000"/>
                <w:sz w:val="22"/>
                <w:szCs w:val="22"/>
                <w:lang w:val="hr-HR"/>
              </w:rPr>
            </w:pPr>
            <w:r w:rsidRPr="00CD3A2D">
              <w:rPr>
                <w:rFonts w:ascii="Calibri" w:hAnsi="Calibri"/>
                <w:b/>
                <w:bCs/>
                <w:color w:val="000000"/>
                <w:sz w:val="22"/>
                <w:szCs w:val="22"/>
                <w:lang w:val="hr-HR"/>
              </w:rPr>
              <w:t>(261.283)</w:t>
            </w:r>
          </w:p>
        </w:tc>
      </w:tr>
      <w:tr w:rsidR="0045712D" w:rsidRPr="001567C8" w:rsidTr="0045712D">
        <w:trPr>
          <w:trHeight w:val="355"/>
        </w:trPr>
        <w:tc>
          <w:tcPr>
            <w:tcW w:w="4042" w:type="dxa"/>
            <w:tcBorders>
              <w:top w:val="nil"/>
              <w:left w:val="nil"/>
              <w:bottom w:val="nil"/>
              <w:right w:val="nil"/>
            </w:tcBorders>
            <w:shd w:val="clear" w:color="auto" w:fill="auto"/>
            <w:noWrap/>
            <w:vAlign w:val="bottom"/>
            <w:hideMark/>
          </w:tcPr>
          <w:p w:rsidR="0045712D" w:rsidRPr="00CD3A2D" w:rsidRDefault="0045712D">
            <w:pPr>
              <w:rPr>
                <w:rFonts w:ascii="Calibri" w:hAnsi="Calibri"/>
                <w:b/>
                <w:bCs/>
                <w:color w:val="000000"/>
                <w:sz w:val="22"/>
                <w:szCs w:val="22"/>
                <w:lang w:val="hr-HR"/>
              </w:rPr>
            </w:pPr>
            <w:r w:rsidRPr="00CD3A2D">
              <w:rPr>
                <w:rFonts w:ascii="Calibri" w:hAnsi="Calibri"/>
                <w:b/>
                <w:bCs/>
                <w:color w:val="000000"/>
                <w:sz w:val="22"/>
                <w:szCs w:val="22"/>
                <w:lang w:val="hr-HR"/>
              </w:rPr>
              <w:t xml:space="preserve"> Stanje na dan </w:t>
            </w:r>
          </w:p>
          <w:p w:rsidR="0045712D" w:rsidRPr="00CD3A2D" w:rsidRDefault="0045712D">
            <w:pPr>
              <w:rPr>
                <w:rFonts w:ascii="Calibri" w:hAnsi="Calibri"/>
                <w:b/>
                <w:bCs/>
                <w:color w:val="000000"/>
                <w:sz w:val="22"/>
                <w:szCs w:val="22"/>
                <w:lang w:val="hr-HR"/>
              </w:rPr>
            </w:pPr>
            <w:r w:rsidRPr="00CD3A2D">
              <w:rPr>
                <w:rFonts w:ascii="Calibri" w:hAnsi="Calibri"/>
                <w:b/>
                <w:bCs/>
                <w:color w:val="000000"/>
                <w:sz w:val="22"/>
                <w:szCs w:val="22"/>
                <w:lang w:val="hr-HR"/>
              </w:rPr>
              <w:t xml:space="preserve">31. prosinca 2018. godine    </w:t>
            </w:r>
          </w:p>
        </w:tc>
        <w:tc>
          <w:tcPr>
            <w:tcW w:w="1083" w:type="dxa"/>
            <w:tcBorders>
              <w:top w:val="single" w:sz="4" w:space="0" w:color="auto"/>
              <w:left w:val="nil"/>
              <w:bottom w:val="single" w:sz="8" w:space="0" w:color="auto"/>
              <w:right w:val="nil"/>
            </w:tcBorders>
            <w:shd w:val="clear" w:color="auto" w:fill="auto"/>
            <w:vAlign w:val="bottom"/>
            <w:hideMark/>
          </w:tcPr>
          <w:p w:rsidR="0045712D" w:rsidRPr="00CD3A2D" w:rsidRDefault="0045712D" w:rsidP="0045712D">
            <w:pPr>
              <w:jc w:val="right"/>
              <w:rPr>
                <w:rFonts w:ascii="Calibri" w:hAnsi="Calibri"/>
                <w:b/>
                <w:bCs/>
                <w:color w:val="000000"/>
                <w:sz w:val="22"/>
                <w:szCs w:val="22"/>
                <w:lang w:val="hr-HR"/>
              </w:rPr>
            </w:pPr>
            <w:r w:rsidRPr="00CD3A2D">
              <w:rPr>
                <w:rFonts w:ascii="Calibri" w:hAnsi="Calibri"/>
                <w:b/>
                <w:bCs/>
                <w:color w:val="000000"/>
                <w:sz w:val="22"/>
                <w:szCs w:val="22"/>
                <w:lang w:val="hr-HR"/>
              </w:rPr>
              <w:t>2.699.676</w:t>
            </w:r>
          </w:p>
        </w:tc>
        <w:tc>
          <w:tcPr>
            <w:tcW w:w="1059" w:type="dxa"/>
            <w:tcBorders>
              <w:top w:val="single" w:sz="4" w:space="0" w:color="auto"/>
              <w:left w:val="nil"/>
              <w:bottom w:val="single" w:sz="8" w:space="0" w:color="auto"/>
              <w:right w:val="nil"/>
            </w:tcBorders>
            <w:shd w:val="clear" w:color="auto" w:fill="auto"/>
            <w:vAlign w:val="bottom"/>
            <w:hideMark/>
          </w:tcPr>
          <w:p w:rsidR="0045712D" w:rsidRPr="00CD3A2D" w:rsidRDefault="0045712D" w:rsidP="0045712D">
            <w:pPr>
              <w:jc w:val="right"/>
              <w:rPr>
                <w:rFonts w:ascii="Calibri" w:hAnsi="Calibri"/>
                <w:b/>
                <w:bCs/>
                <w:color w:val="000000"/>
                <w:sz w:val="22"/>
                <w:szCs w:val="22"/>
                <w:lang w:val="hr-HR"/>
              </w:rPr>
            </w:pPr>
            <w:r w:rsidRPr="00CD3A2D">
              <w:rPr>
                <w:rFonts w:ascii="Calibri" w:hAnsi="Calibri"/>
                <w:b/>
                <w:bCs/>
                <w:color w:val="000000"/>
                <w:sz w:val="22"/>
                <w:szCs w:val="22"/>
                <w:lang w:val="hr-HR"/>
              </w:rPr>
              <w:t>604.066</w:t>
            </w:r>
          </w:p>
        </w:tc>
        <w:tc>
          <w:tcPr>
            <w:tcW w:w="1083" w:type="dxa"/>
            <w:tcBorders>
              <w:top w:val="single" w:sz="4" w:space="0" w:color="auto"/>
              <w:left w:val="nil"/>
              <w:bottom w:val="single" w:sz="8" w:space="0" w:color="auto"/>
              <w:right w:val="nil"/>
            </w:tcBorders>
            <w:shd w:val="clear" w:color="auto" w:fill="auto"/>
            <w:vAlign w:val="bottom"/>
            <w:hideMark/>
          </w:tcPr>
          <w:p w:rsidR="0045712D" w:rsidRPr="00CD3A2D" w:rsidRDefault="0045712D" w:rsidP="0045712D">
            <w:pPr>
              <w:jc w:val="right"/>
              <w:rPr>
                <w:rFonts w:ascii="Calibri" w:hAnsi="Calibri"/>
                <w:b/>
                <w:bCs/>
                <w:color w:val="000000"/>
                <w:sz w:val="22"/>
                <w:szCs w:val="22"/>
                <w:lang w:val="hr-HR"/>
              </w:rPr>
            </w:pPr>
            <w:r w:rsidRPr="00CD3A2D">
              <w:rPr>
                <w:rFonts w:ascii="Calibri" w:hAnsi="Calibri"/>
                <w:b/>
                <w:bCs/>
                <w:color w:val="000000"/>
                <w:sz w:val="22"/>
                <w:szCs w:val="22"/>
                <w:lang w:val="hr-HR"/>
              </w:rPr>
              <w:t>1.833.173</w:t>
            </w:r>
          </w:p>
        </w:tc>
        <w:tc>
          <w:tcPr>
            <w:tcW w:w="1059" w:type="dxa"/>
            <w:tcBorders>
              <w:top w:val="single" w:sz="4" w:space="0" w:color="auto"/>
              <w:left w:val="nil"/>
              <w:bottom w:val="single" w:sz="8" w:space="0" w:color="auto"/>
              <w:right w:val="nil"/>
            </w:tcBorders>
            <w:shd w:val="clear" w:color="auto" w:fill="auto"/>
            <w:vAlign w:val="bottom"/>
            <w:hideMark/>
          </w:tcPr>
          <w:p w:rsidR="0045712D" w:rsidRPr="00CD3A2D" w:rsidRDefault="0045712D" w:rsidP="0045712D">
            <w:pPr>
              <w:jc w:val="right"/>
              <w:rPr>
                <w:rFonts w:ascii="Calibri" w:hAnsi="Calibri"/>
                <w:b/>
                <w:bCs/>
                <w:color w:val="000000"/>
                <w:sz w:val="22"/>
                <w:szCs w:val="22"/>
                <w:lang w:val="hr-HR"/>
              </w:rPr>
            </w:pPr>
            <w:r w:rsidRPr="00CD3A2D">
              <w:rPr>
                <w:rFonts w:ascii="Calibri" w:hAnsi="Calibri"/>
                <w:b/>
                <w:bCs/>
                <w:color w:val="000000"/>
                <w:sz w:val="22"/>
                <w:szCs w:val="22"/>
                <w:lang w:val="hr-HR"/>
              </w:rPr>
              <w:t>10.182</w:t>
            </w:r>
          </w:p>
        </w:tc>
        <w:tc>
          <w:tcPr>
            <w:tcW w:w="1083" w:type="dxa"/>
            <w:tcBorders>
              <w:top w:val="single" w:sz="4" w:space="0" w:color="auto"/>
              <w:left w:val="nil"/>
              <w:bottom w:val="single" w:sz="8" w:space="0" w:color="auto"/>
              <w:right w:val="nil"/>
            </w:tcBorders>
            <w:shd w:val="clear" w:color="auto" w:fill="auto"/>
            <w:vAlign w:val="bottom"/>
            <w:hideMark/>
          </w:tcPr>
          <w:p w:rsidR="0045712D" w:rsidRPr="00CD3A2D" w:rsidRDefault="0045712D" w:rsidP="0045712D">
            <w:pPr>
              <w:jc w:val="right"/>
              <w:rPr>
                <w:rFonts w:ascii="Calibri" w:hAnsi="Calibri"/>
                <w:b/>
                <w:bCs/>
                <w:color w:val="000000"/>
                <w:sz w:val="22"/>
                <w:szCs w:val="22"/>
                <w:lang w:val="hr-HR"/>
              </w:rPr>
            </w:pPr>
            <w:r w:rsidRPr="00CD3A2D">
              <w:rPr>
                <w:rFonts w:ascii="Calibri" w:hAnsi="Calibri"/>
                <w:b/>
                <w:bCs/>
                <w:color w:val="000000"/>
                <w:sz w:val="22"/>
                <w:szCs w:val="22"/>
                <w:lang w:val="hr-HR"/>
              </w:rPr>
              <w:t>5.147.097</w:t>
            </w:r>
          </w:p>
        </w:tc>
      </w:tr>
    </w:tbl>
    <w:p w:rsidR="0045712D" w:rsidRPr="001567C8" w:rsidRDefault="0045712D" w:rsidP="0011459D">
      <w:pPr>
        <w:pStyle w:val="T1"/>
        <w:keepNext w:val="0"/>
        <w:spacing w:before="0" w:after="0" w:line="240" w:lineRule="auto"/>
        <w:rPr>
          <w:rFonts w:asciiTheme="minorHAnsi" w:hAnsiTheme="minorHAnsi" w:cs="Arial"/>
          <w:b w:val="0"/>
          <w:bCs w:val="0"/>
          <w:sz w:val="22"/>
          <w:szCs w:val="22"/>
          <w:lang w:val="hr-HR"/>
        </w:rPr>
      </w:pPr>
    </w:p>
    <w:p w:rsidR="00E36985" w:rsidRPr="00CD3A2D" w:rsidRDefault="00E36985" w:rsidP="0011459D">
      <w:pPr>
        <w:pStyle w:val="T1"/>
        <w:keepNext w:val="0"/>
        <w:spacing w:before="0" w:after="0" w:line="240" w:lineRule="auto"/>
        <w:rPr>
          <w:rFonts w:asciiTheme="minorHAnsi" w:hAnsiTheme="minorHAnsi" w:cs="Arial"/>
          <w:b w:val="0"/>
          <w:bCs w:val="0"/>
          <w:i/>
          <w:sz w:val="22"/>
          <w:szCs w:val="22"/>
          <w:lang w:val="hr-HR"/>
        </w:rPr>
      </w:pPr>
      <w:r w:rsidRPr="00CD3A2D">
        <w:rPr>
          <w:rFonts w:asciiTheme="minorHAnsi" w:hAnsiTheme="minorHAnsi" w:cs="Arial"/>
          <w:b w:val="0"/>
          <w:bCs w:val="0"/>
          <w:i/>
          <w:sz w:val="22"/>
          <w:szCs w:val="22"/>
          <w:lang w:val="hr-HR"/>
        </w:rPr>
        <w:t>Garancije</w:t>
      </w:r>
    </w:p>
    <w:p w:rsidR="0011459D" w:rsidRPr="001567C8" w:rsidRDefault="0011459D" w:rsidP="0011459D">
      <w:pPr>
        <w:pStyle w:val="T1"/>
        <w:keepNext w:val="0"/>
        <w:spacing w:before="0" w:after="0" w:line="240" w:lineRule="auto"/>
        <w:rPr>
          <w:rFonts w:asciiTheme="minorHAnsi" w:hAnsiTheme="minorHAnsi" w:cs="Arial"/>
          <w:b w:val="0"/>
          <w:bCs w:val="0"/>
          <w:sz w:val="22"/>
          <w:szCs w:val="22"/>
          <w:lang w:val="hr-HR"/>
        </w:rPr>
      </w:pPr>
    </w:p>
    <w:p w:rsidR="00F072AB" w:rsidRPr="001567C8" w:rsidRDefault="00E36985" w:rsidP="00F072AB">
      <w:pPr>
        <w:pStyle w:val="T1"/>
        <w:keepNext w:val="0"/>
        <w:spacing w:before="0" w:line="240" w:lineRule="auto"/>
        <w:rPr>
          <w:rFonts w:asciiTheme="minorHAnsi" w:hAnsiTheme="minorHAnsi" w:cs="Arial"/>
          <w:b w:val="0"/>
          <w:sz w:val="22"/>
          <w:szCs w:val="22"/>
          <w:lang w:val="hr-HR"/>
        </w:rPr>
      </w:pPr>
      <w:r w:rsidRPr="001567C8">
        <w:rPr>
          <w:rFonts w:asciiTheme="minorHAnsi" w:hAnsiTheme="minorHAnsi" w:cs="Arial"/>
          <w:b w:val="0"/>
          <w:bCs w:val="0"/>
          <w:sz w:val="22"/>
          <w:szCs w:val="22"/>
          <w:lang w:val="hr-HR"/>
        </w:rPr>
        <w:t>Garancije</w:t>
      </w:r>
      <w:r w:rsidR="0004721B" w:rsidRPr="001567C8">
        <w:rPr>
          <w:rFonts w:asciiTheme="minorHAnsi" w:hAnsiTheme="minorHAnsi" w:cs="Arial"/>
          <w:b w:val="0"/>
          <w:bCs w:val="0"/>
          <w:sz w:val="22"/>
          <w:szCs w:val="22"/>
          <w:lang w:val="hr-HR"/>
        </w:rPr>
        <w:t xml:space="preserve"> </w:t>
      </w:r>
      <w:r w:rsidR="007C6847" w:rsidRPr="001567C8">
        <w:rPr>
          <w:rFonts w:asciiTheme="minorHAnsi" w:hAnsiTheme="minorHAnsi" w:cs="Arial"/>
          <w:b w:val="0"/>
          <w:bCs w:val="0"/>
          <w:sz w:val="22"/>
          <w:szCs w:val="22"/>
          <w:lang w:val="hr-HR"/>
        </w:rPr>
        <w:t xml:space="preserve">i akreditivi </w:t>
      </w:r>
      <w:r w:rsidR="0004721B" w:rsidRPr="001567C8">
        <w:rPr>
          <w:rFonts w:asciiTheme="minorHAnsi" w:hAnsiTheme="minorHAnsi" w:cs="Arial"/>
          <w:b w:val="0"/>
          <w:bCs w:val="0"/>
          <w:sz w:val="22"/>
          <w:szCs w:val="22"/>
          <w:lang w:val="hr-HR"/>
        </w:rPr>
        <w:t xml:space="preserve">predstavljaju </w:t>
      </w:r>
      <w:r w:rsidR="00BB7C9D" w:rsidRPr="001567C8">
        <w:rPr>
          <w:rFonts w:asciiTheme="minorHAnsi" w:hAnsiTheme="minorHAnsi" w:cs="Arial"/>
          <w:b w:val="0"/>
          <w:bCs w:val="0"/>
          <w:sz w:val="22"/>
          <w:szCs w:val="22"/>
          <w:lang w:val="hr-HR"/>
        </w:rPr>
        <w:t>obvezu Banke</w:t>
      </w:r>
      <w:r w:rsidR="009A6F6E" w:rsidRPr="001567C8">
        <w:rPr>
          <w:rFonts w:asciiTheme="minorHAnsi" w:hAnsiTheme="minorHAnsi" w:cs="Arial"/>
          <w:b w:val="0"/>
          <w:bCs w:val="0"/>
          <w:sz w:val="22"/>
          <w:szCs w:val="22"/>
          <w:lang w:val="hr-HR"/>
        </w:rPr>
        <w:t xml:space="preserve"> </w:t>
      </w:r>
      <w:r w:rsidR="00BB7C9D" w:rsidRPr="001567C8">
        <w:rPr>
          <w:rFonts w:asciiTheme="minorHAnsi" w:hAnsiTheme="minorHAnsi" w:cs="Arial"/>
          <w:b w:val="0"/>
          <w:bCs w:val="0"/>
          <w:sz w:val="22"/>
          <w:szCs w:val="22"/>
          <w:lang w:val="hr-HR"/>
        </w:rPr>
        <w:t>da izvrši</w:t>
      </w:r>
      <w:r w:rsidR="0004721B" w:rsidRPr="001567C8">
        <w:rPr>
          <w:rFonts w:asciiTheme="minorHAnsi" w:hAnsiTheme="minorHAnsi" w:cs="Arial"/>
          <w:b w:val="0"/>
          <w:bCs w:val="0"/>
          <w:sz w:val="22"/>
          <w:szCs w:val="22"/>
          <w:lang w:val="hr-HR"/>
        </w:rPr>
        <w:t xml:space="preserve"> plaćanja u ime klijenta u slučaju </w:t>
      </w:r>
      <w:r w:rsidRPr="001567C8">
        <w:rPr>
          <w:rFonts w:asciiTheme="minorHAnsi" w:hAnsiTheme="minorHAnsi" w:cs="Arial"/>
          <w:b w:val="0"/>
          <w:bCs w:val="0"/>
          <w:sz w:val="22"/>
          <w:szCs w:val="22"/>
          <w:lang w:val="hr-HR"/>
        </w:rPr>
        <w:t xml:space="preserve">nemogućnosti klijenta da podmiri svoje obveze prema trećim stranama ili u slučaju </w:t>
      </w:r>
      <w:r w:rsidR="00BB7C9D" w:rsidRPr="001567C8">
        <w:rPr>
          <w:rFonts w:asciiTheme="minorHAnsi" w:hAnsiTheme="minorHAnsi" w:cs="Arial"/>
          <w:b w:val="0"/>
          <w:bCs w:val="0"/>
          <w:sz w:val="22"/>
          <w:szCs w:val="22"/>
          <w:lang w:val="hr-HR"/>
        </w:rPr>
        <w:t>nastanka određenih događaja, obično vezanih za izvoz</w:t>
      </w:r>
      <w:r w:rsidRPr="001567C8">
        <w:rPr>
          <w:rFonts w:asciiTheme="minorHAnsi" w:hAnsiTheme="minorHAnsi" w:cs="Arial"/>
          <w:b w:val="0"/>
          <w:bCs w:val="0"/>
          <w:sz w:val="22"/>
          <w:szCs w:val="22"/>
          <w:lang w:val="hr-HR"/>
        </w:rPr>
        <w:t xml:space="preserve"> i/ili uvoz</w:t>
      </w:r>
      <w:r w:rsidR="00BB7C9D" w:rsidRPr="001567C8">
        <w:rPr>
          <w:rFonts w:asciiTheme="minorHAnsi" w:hAnsiTheme="minorHAnsi" w:cs="Arial"/>
          <w:b w:val="0"/>
          <w:bCs w:val="0"/>
          <w:sz w:val="22"/>
          <w:szCs w:val="22"/>
          <w:lang w:val="hr-HR"/>
        </w:rPr>
        <w:t xml:space="preserve"> dobara te za ostale ugovorene svrhe. Garancije </w:t>
      </w:r>
      <w:r w:rsidR="007C6847" w:rsidRPr="001567C8">
        <w:rPr>
          <w:rFonts w:asciiTheme="minorHAnsi" w:hAnsiTheme="minorHAnsi" w:cs="Arial"/>
          <w:b w:val="0"/>
          <w:bCs w:val="0"/>
          <w:sz w:val="22"/>
          <w:szCs w:val="22"/>
          <w:lang w:val="hr-HR"/>
        </w:rPr>
        <w:t xml:space="preserve">i akreditivi </w:t>
      </w:r>
      <w:r w:rsidR="00742084" w:rsidRPr="001567C8">
        <w:rPr>
          <w:rFonts w:asciiTheme="minorHAnsi" w:hAnsiTheme="minorHAnsi" w:cs="Arial"/>
          <w:b w:val="0"/>
          <w:bCs w:val="0"/>
          <w:sz w:val="22"/>
          <w:szCs w:val="22"/>
          <w:lang w:val="hr-HR"/>
        </w:rPr>
        <w:t>nose isti kreditni rizik kao i</w:t>
      </w:r>
      <w:r w:rsidR="00BB7C9D" w:rsidRPr="001567C8">
        <w:rPr>
          <w:rFonts w:asciiTheme="minorHAnsi" w:hAnsiTheme="minorHAnsi" w:cs="Arial"/>
          <w:b w:val="0"/>
          <w:bCs w:val="0"/>
          <w:sz w:val="22"/>
          <w:szCs w:val="22"/>
          <w:lang w:val="hr-HR"/>
        </w:rPr>
        <w:t xml:space="preserve"> krediti. </w:t>
      </w:r>
      <w:r w:rsidR="001A2717" w:rsidRPr="001567C8">
        <w:rPr>
          <w:rFonts w:asciiTheme="minorHAnsi" w:hAnsiTheme="minorHAnsi" w:cs="Arial"/>
          <w:b w:val="0"/>
          <w:sz w:val="22"/>
          <w:szCs w:val="22"/>
          <w:lang w:val="hr-HR"/>
        </w:rPr>
        <w:t xml:space="preserve">Obzirim da </w:t>
      </w:r>
      <w:r w:rsidR="00F072AB" w:rsidRPr="001567C8">
        <w:rPr>
          <w:rFonts w:asciiTheme="minorHAnsi" w:hAnsiTheme="minorHAnsi" w:cs="Arial"/>
          <w:b w:val="0"/>
          <w:sz w:val="22"/>
          <w:szCs w:val="22"/>
          <w:lang w:val="hr-HR"/>
        </w:rPr>
        <w:t>su sve iskazane izdane garancije nefinancijske, odnosno činidbene, ne mjere se po MSFI-ju 9, već po MRS-u 37 Rezerviranja, nepredvidive obveze i nepredvidiva imovina.</w:t>
      </w:r>
    </w:p>
    <w:p w:rsidR="0011459D" w:rsidRPr="001567C8" w:rsidRDefault="0011459D">
      <w:pPr>
        <w:pStyle w:val="T1"/>
        <w:spacing w:before="0" w:after="0" w:line="240" w:lineRule="auto"/>
        <w:rPr>
          <w:rFonts w:asciiTheme="minorHAnsi" w:hAnsiTheme="minorHAnsi" w:cs="Arial"/>
          <w:b w:val="0"/>
          <w:bCs w:val="0"/>
          <w:sz w:val="22"/>
          <w:szCs w:val="22"/>
          <w:lang w:val="hr-HR"/>
        </w:rPr>
      </w:pPr>
    </w:p>
    <w:p w:rsidR="00520901" w:rsidRPr="001567C8" w:rsidRDefault="00E36985">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Garancije Banke </w:t>
      </w:r>
      <w:r w:rsidR="00742084" w:rsidRPr="001567C8">
        <w:rPr>
          <w:rFonts w:asciiTheme="minorHAnsi" w:hAnsiTheme="minorHAnsi" w:cs="Arial"/>
          <w:b w:val="0"/>
          <w:bCs w:val="0"/>
          <w:sz w:val="22"/>
          <w:szCs w:val="22"/>
          <w:lang w:val="hr-HR"/>
        </w:rPr>
        <w:t xml:space="preserve">su </w:t>
      </w:r>
      <w:r w:rsidR="00230C4C" w:rsidRPr="001567C8">
        <w:rPr>
          <w:rFonts w:asciiTheme="minorHAnsi" w:hAnsiTheme="minorHAnsi" w:cs="Arial"/>
          <w:b w:val="0"/>
          <w:bCs w:val="0"/>
          <w:sz w:val="22"/>
          <w:szCs w:val="22"/>
          <w:lang w:val="hr-HR"/>
        </w:rPr>
        <w:t>81</w:t>
      </w:r>
      <w:r w:rsidR="00D441CF" w:rsidRPr="001567C8">
        <w:rPr>
          <w:rFonts w:asciiTheme="minorHAnsi" w:hAnsiTheme="minorHAnsi" w:cs="Arial"/>
          <w:b w:val="0"/>
          <w:bCs w:val="0"/>
          <w:sz w:val="22"/>
          <w:szCs w:val="22"/>
          <w:lang w:val="hr-HR"/>
        </w:rPr>
        <w:t>%</w:t>
      </w:r>
      <w:r w:rsidR="00230C4C" w:rsidRPr="001567C8">
        <w:rPr>
          <w:rFonts w:asciiTheme="minorHAnsi" w:hAnsiTheme="minorHAnsi" w:cs="Arial"/>
          <w:b w:val="0"/>
          <w:bCs w:val="0"/>
          <w:sz w:val="22"/>
          <w:szCs w:val="22"/>
          <w:lang w:val="hr-HR"/>
        </w:rPr>
        <w:t xml:space="preserve"> </w:t>
      </w:r>
      <w:r w:rsidR="00742084" w:rsidRPr="001567C8">
        <w:rPr>
          <w:rFonts w:asciiTheme="minorHAnsi" w:hAnsiTheme="minorHAnsi" w:cs="Arial"/>
          <w:b w:val="0"/>
          <w:bCs w:val="0"/>
          <w:sz w:val="22"/>
          <w:szCs w:val="22"/>
          <w:lang w:val="hr-HR"/>
        </w:rPr>
        <w:t>po</w:t>
      </w:r>
      <w:r w:rsidRPr="001567C8">
        <w:rPr>
          <w:rFonts w:asciiTheme="minorHAnsi" w:hAnsiTheme="minorHAnsi" w:cs="Arial"/>
          <w:b w:val="0"/>
          <w:bCs w:val="0"/>
          <w:sz w:val="22"/>
          <w:szCs w:val="22"/>
          <w:lang w:val="hr-HR"/>
        </w:rPr>
        <w:t>krivene jamstvima</w:t>
      </w:r>
      <w:r w:rsidR="00362B2E" w:rsidRPr="001567C8">
        <w:rPr>
          <w:rFonts w:asciiTheme="minorHAnsi" w:hAnsiTheme="minorHAnsi" w:cs="Arial"/>
          <w:b w:val="0"/>
          <w:bCs w:val="0"/>
          <w:sz w:val="22"/>
          <w:szCs w:val="22"/>
          <w:lang w:val="hr-HR"/>
        </w:rPr>
        <w:t>,</w:t>
      </w:r>
      <w:r w:rsidR="00143606" w:rsidRPr="001567C8">
        <w:rPr>
          <w:rFonts w:asciiTheme="minorHAnsi" w:hAnsiTheme="minorHAnsi" w:cs="Arial"/>
          <w:b w:val="0"/>
          <w:bCs w:val="0"/>
          <w:sz w:val="22"/>
          <w:szCs w:val="22"/>
          <w:lang w:val="hr-HR"/>
        </w:rPr>
        <w:t xml:space="preserve"> depozitima</w:t>
      </w:r>
      <w:r w:rsidRPr="001567C8">
        <w:rPr>
          <w:rFonts w:asciiTheme="minorHAnsi" w:hAnsiTheme="minorHAnsi" w:cs="Arial"/>
          <w:b w:val="0"/>
          <w:bCs w:val="0"/>
          <w:sz w:val="22"/>
          <w:szCs w:val="22"/>
          <w:lang w:val="hr-HR"/>
        </w:rPr>
        <w:t xml:space="preserve"> </w:t>
      </w:r>
      <w:r w:rsidR="00362B2E" w:rsidRPr="001567C8">
        <w:rPr>
          <w:rFonts w:asciiTheme="minorHAnsi" w:hAnsiTheme="minorHAnsi" w:cs="Arial"/>
          <w:b w:val="0"/>
          <w:bCs w:val="0"/>
          <w:sz w:val="22"/>
          <w:szCs w:val="22"/>
          <w:lang w:val="hr-HR"/>
        </w:rPr>
        <w:t>i bankarskim garancijama</w:t>
      </w:r>
      <w:r w:rsidR="001043A2" w:rsidRPr="001567C8">
        <w:rPr>
          <w:rFonts w:asciiTheme="minorHAnsi" w:hAnsiTheme="minorHAnsi" w:cs="Arial"/>
          <w:b w:val="0"/>
          <w:bCs w:val="0"/>
          <w:sz w:val="22"/>
          <w:szCs w:val="22"/>
          <w:lang w:val="hr-HR"/>
        </w:rPr>
        <w:t>.</w:t>
      </w:r>
      <w:r w:rsidR="00362B2E" w:rsidRPr="001567C8">
        <w:rPr>
          <w:rFonts w:asciiTheme="minorHAnsi" w:hAnsiTheme="minorHAnsi" w:cs="Arial"/>
          <w:b w:val="0"/>
          <w:bCs w:val="0"/>
          <w:sz w:val="22"/>
          <w:szCs w:val="22"/>
          <w:lang w:val="hr-HR"/>
        </w:rPr>
        <w:t xml:space="preserve"> </w:t>
      </w:r>
    </w:p>
    <w:p w:rsidR="0011459D" w:rsidRPr="001567C8" w:rsidRDefault="0011459D">
      <w:pPr>
        <w:pStyle w:val="T1"/>
        <w:keepNext w:val="0"/>
        <w:spacing w:before="0" w:after="0" w:line="240" w:lineRule="auto"/>
        <w:rPr>
          <w:rFonts w:asciiTheme="minorHAnsi" w:hAnsiTheme="minorHAnsi" w:cs="Arial"/>
          <w:b w:val="0"/>
          <w:bCs w:val="0"/>
          <w:sz w:val="22"/>
          <w:szCs w:val="22"/>
          <w:lang w:val="hr-HR"/>
        </w:rPr>
      </w:pPr>
    </w:p>
    <w:p w:rsidR="00564C61" w:rsidRPr="00CD3A2D" w:rsidRDefault="0096096F">
      <w:pPr>
        <w:pStyle w:val="T1"/>
        <w:keepNext w:val="0"/>
        <w:spacing w:before="0" w:after="0" w:line="240" w:lineRule="auto"/>
        <w:rPr>
          <w:rFonts w:asciiTheme="minorHAnsi" w:hAnsiTheme="minorHAnsi" w:cs="Arial"/>
          <w:b w:val="0"/>
          <w:bCs w:val="0"/>
          <w:i/>
          <w:sz w:val="22"/>
          <w:szCs w:val="22"/>
          <w:lang w:val="hr-HR"/>
        </w:rPr>
      </w:pPr>
      <w:r w:rsidRPr="00CD3A2D">
        <w:rPr>
          <w:rFonts w:asciiTheme="minorHAnsi" w:hAnsiTheme="minorHAnsi" w:cs="Arial"/>
          <w:b w:val="0"/>
          <w:bCs w:val="0"/>
          <w:i/>
          <w:sz w:val="22"/>
          <w:szCs w:val="22"/>
          <w:lang w:val="hr-HR"/>
        </w:rPr>
        <w:t>Preuzete o</w:t>
      </w:r>
      <w:r w:rsidR="00BB7C9D" w:rsidRPr="00CD3A2D">
        <w:rPr>
          <w:rFonts w:asciiTheme="minorHAnsi" w:hAnsiTheme="minorHAnsi" w:cs="Arial"/>
          <w:b w:val="0"/>
          <w:bCs w:val="0"/>
          <w:i/>
          <w:sz w:val="22"/>
          <w:szCs w:val="22"/>
          <w:lang w:val="hr-HR"/>
        </w:rPr>
        <w:t xml:space="preserve">bveze </w:t>
      </w:r>
      <w:r w:rsidR="00E36985" w:rsidRPr="00CD3A2D">
        <w:rPr>
          <w:rFonts w:asciiTheme="minorHAnsi" w:hAnsiTheme="minorHAnsi" w:cs="Arial"/>
          <w:b w:val="0"/>
          <w:bCs w:val="0"/>
          <w:i/>
          <w:sz w:val="22"/>
          <w:szCs w:val="22"/>
          <w:lang w:val="hr-HR"/>
        </w:rPr>
        <w:t>po kreditima</w:t>
      </w:r>
    </w:p>
    <w:p w:rsidR="0011459D" w:rsidRPr="001567C8" w:rsidRDefault="0011459D">
      <w:pPr>
        <w:pStyle w:val="T1"/>
        <w:keepNext w:val="0"/>
        <w:spacing w:before="0" w:after="0" w:line="240" w:lineRule="auto"/>
        <w:rPr>
          <w:rFonts w:asciiTheme="minorHAnsi" w:hAnsiTheme="minorHAnsi" w:cs="Arial"/>
          <w:b w:val="0"/>
          <w:bCs w:val="0"/>
          <w:sz w:val="22"/>
          <w:szCs w:val="22"/>
          <w:lang w:val="hr-HR"/>
        </w:rPr>
      </w:pPr>
    </w:p>
    <w:p w:rsidR="00BF4C66" w:rsidRPr="001567C8" w:rsidRDefault="00BF4C66">
      <w:pPr>
        <w:pStyle w:val="T1"/>
        <w:keepNext w:val="0"/>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Po ugovorenim neiskorištenim kreditima, Banka je preuzela ugovornu obvezu za isplatom sredstava kredita i revolving kredita. Ugovorom je najčešće definiran krajnji datum korištenja kredita ili je navedena druga klauzula prestanka obveze. Korištenje ugovorenih sredstava obavlja se u nekoliko povlačenja u ovisnosti o namjeni korištenja, fazi projekta ili isplatnoj dokumentaciji. Ukupni ugovoreni iznos kredita ne mora biti povučen zbog čega ukupan ugovoreni iznos ne predstavlja nužno buduće zahtjeve za isplatom.</w:t>
      </w:r>
    </w:p>
    <w:p w:rsidR="0011459D" w:rsidRPr="001567C8" w:rsidRDefault="00BF4C66">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Ugovoreni neiskorišteni krediti sadrže manji potencijalni kreditni rizik jer većina preuzetih obveza po kreditima ovisi o udovoljavanju posebnih kreditnih uvjeta za povlačenje sredstava od strane korisnika. </w:t>
      </w:r>
    </w:p>
    <w:p w:rsidR="00BF4C66" w:rsidRPr="001567C8" w:rsidRDefault="00BF4C66">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Banka prati rokove dospijeća ugovorenih preuzetih obveza.  </w:t>
      </w:r>
    </w:p>
    <w:p w:rsidR="0011459D" w:rsidRPr="001567C8" w:rsidRDefault="0011459D" w:rsidP="005A4073">
      <w:pPr>
        <w:jc w:val="both"/>
        <w:rPr>
          <w:rFonts w:asciiTheme="minorHAnsi" w:hAnsiTheme="minorHAnsi" w:cs="Arial"/>
          <w:sz w:val="22"/>
          <w:szCs w:val="22"/>
          <w:lang w:val="hr-HR" w:eastAsia="hr-HR"/>
        </w:rPr>
      </w:pPr>
    </w:p>
    <w:p w:rsidR="00DB39A2" w:rsidRPr="00CD3A2D" w:rsidRDefault="00DB39A2" w:rsidP="005A4073">
      <w:pPr>
        <w:jc w:val="both"/>
        <w:rPr>
          <w:rFonts w:asciiTheme="minorHAnsi" w:hAnsiTheme="minorHAnsi" w:cs="Arial"/>
          <w:i/>
          <w:sz w:val="22"/>
          <w:szCs w:val="22"/>
          <w:lang w:val="hr-HR" w:eastAsia="hr-HR"/>
        </w:rPr>
      </w:pPr>
      <w:r w:rsidRPr="00CD3A2D">
        <w:rPr>
          <w:rFonts w:asciiTheme="minorHAnsi" w:hAnsiTheme="minorHAnsi" w:cs="Arial"/>
          <w:i/>
          <w:sz w:val="22"/>
          <w:szCs w:val="22"/>
          <w:lang w:val="hr-HR" w:eastAsia="hr-HR"/>
        </w:rPr>
        <w:t>Ostale nespomenute neopozive potencijalne obveze</w:t>
      </w:r>
    </w:p>
    <w:p w:rsidR="0011459D" w:rsidRPr="001567C8" w:rsidRDefault="0011459D" w:rsidP="005A4073">
      <w:pPr>
        <w:jc w:val="both"/>
        <w:rPr>
          <w:rFonts w:asciiTheme="minorHAnsi" w:hAnsiTheme="minorHAnsi" w:cs="Arial"/>
          <w:sz w:val="22"/>
          <w:szCs w:val="22"/>
          <w:lang w:val="hr-HR" w:eastAsia="hr-HR"/>
        </w:rPr>
      </w:pPr>
    </w:p>
    <w:p w:rsidR="00DB39A2" w:rsidRPr="001567C8" w:rsidRDefault="00DB39A2" w:rsidP="0011459D">
      <w:pPr>
        <w:jc w:val="both"/>
        <w:rPr>
          <w:rFonts w:asciiTheme="minorHAnsi" w:hAnsiTheme="minorHAnsi" w:cs="Arial"/>
          <w:sz w:val="22"/>
          <w:szCs w:val="22"/>
          <w:lang w:val="hr-HR" w:eastAsia="hr-HR"/>
        </w:rPr>
      </w:pPr>
      <w:r w:rsidRPr="001567C8">
        <w:rPr>
          <w:rFonts w:asciiTheme="minorHAnsi" w:hAnsiTheme="minorHAnsi" w:cs="Arial"/>
          <w:sz w:val="22"/>
          <w:szCs w:val="22"/>
          <w:lang w:val="hr-HR" w:eastAsia="hr-HR"/>
        </w:rPr>
        <w:t>Ostale nespomenute neopozive potencijalne obveze odnose se na obvezu HBOR-a temeljem Sporazuma zaključenog 24. siječnja 2014. godine sa HBOR – Osiguranjem izvoza, koji obavlja poslove u ime i za račun Republike Hrvatske. HBOR će temeljem ovog Sporazuma u slučaju unovčenja preuzete nekretnine te po regresnoj naplati dužnika u predstečajnoj nagodbi, uz ispunjenje određenih uvjeta, uplatiti naplaćena sredstva u Garantni fond Osiguranja izvoza.</w:t>
      </w:r>
    </w:p>
    <w:p w:rsidR="002A43BD" w:rsidRPr="001567C8" w:rsidRDefault="002A43BD" w:rsidP="0011459D">
      <w:pPr>
        <w:jc w:val="both"/>
        <w:rPr>
          <w:rFonts w:asciiTheme="minorHAnsi" w:hAnsiTheme="minorHAnsi" w:cstheme="minorHAnsi"/>
          <w:sz w:val="22"/>
          <w:szCs w:val="22"/>
          <w:lang w:val="hr-HR" w:eastAsia="hr-HR"/>
        </w:rPr>
      </w:pPr>
    </w:p>
    <w:p w:rsidR="0063667F" w:rsidRPr="001567C8" w:rsidRDefault="0063667F" w:rsidP="0011459D">
      <w:pPr>
        <w:jc w:val="both"/>
        <w:rPr>
          <w:rFonts w:asciiTheme="minorHAnsi" w:hAnsiTheme="minorHAnsi" w:cs="Arial"/>
          <w:sz w:val="22"/>
          <w:szCs w:val="22"/>
          <w:lang w:val="hr-HR" w:eastAsia="hr-HR"/>
        </w:rPr>
      </w:pPr>
      <w:r w:rsidRPr="001567C8">
        <w:rPr>
          <w:rFonts w:asciiTheme="minorHAnsi" w:hAnsiTheme="minorHAnsi" w:cstheme="minorHAnsi"/>
          <w:sz w:val="22"/>
          <w:szCs w:val="22"/>
          <w:lang w:val="hr-HR" w:eastAsia="hr-HR"/>
        </w:rPr>
        <w:t>U izvještajnom razdoblju je potencijalna obveza umanjena radi završetka stečajnih postupaka tijekom kojih regresna naplata nije primljena.</w:t>
      </w:r>
    </w:p>
    <w:p w:rsidR="0063667F" w:rsidRPr="001567C8" w:rsidRDefault="0063667F" w:rsidP="0063667F">
      <w:pPr>
        <w:rPr>
          <w:rFonts w:asciiTheme="minorHAnsi" w:hAnsiTheme="minorHAnsi" w:cs="Arial"/>
          <w:sz w:val="22"/>
          <w:szCs w:val="22"/>
          <w:lang w:val="hr-HR" w:eastAsia="hr-HR"/>
        </w:rPr>
      </w:pPr>
    </w:p>
    <w:p w:rsidR="002221AF" w:rsidRPr="001567C8" w:rsidRDefault="002221AF" w:rsidP="003C6BA3">
      <w:pPr>
        <w:rPr>
          <w:rFonts w:asciiTheme="minorHAnsi" w:hAnsiTheme="minorHAnsi" w:cs="Arial"/>
          <w:sz w:val="22"/>
          <w:szCs w:val="22"/>
          <w:lang w:val="hr-HR" w:eastAsia="hr-HR"/>
        </w:rPr>
        <w:sectPr w:rsidR="002221AF" w:rsidRPr="001567C8" w:rsidSect="003E2D7A">
          <w:pgSz w:w="11907" w:h="16840" w:code="9"/>
          <w:pgMar w:top="1418" w:right="1134" w:bottom="1134" w:left="1418" w:header="851" w:footer="851" w:gutter="0"/>
          <w:cols w:space="720"/>
          <w:noEndnote/>
        </w:sectPr>
      </w:pPr>
    </w:p>
    <w:p w:rsidR="0011459D" w:rsidRPr="001567C8" w:rsidRDefault="0011459D" w:rsidP="0011459D">
      <w:pPr>
        <w:pStyle w:val="T1"/>
        <w:spacing w:before="0" w:after="0" w:line="240" w:lineRule="auto"/>
        <w:rPr>
          <w:rFonts w:asciiTheme="minorHAnsi" w:hAnsiTheme="minorHAnsi" w:cs="Arial"/>
          <w:bCs w:val="0"/>
          <w:sz w:val="22"/>
          <w:szCs w:val="22"/>
          <w:lang w:val="hr-HR"/>
        </w:rPr>
      </w:pPr>
    </w:p>
    <w:p w:rsidR="00CE099C" w:rsidRPr="001567C8" w:rsidRDefault="00946245" w:rsidP="0011459D">
      <w:pPr>
        <w:pStyle w:val="T1"/>
        <w:spacing w:before="0" w:after="0" w:line="240" w:lineRule="auto"/>
        <w:rPr>
          <w:rFonts w:asciiTheme="minorHAnsi" w:hAnsiTheme="minorHAnsi" w:cs="Arial"/>
          <w:bCs w:val="0"/>
          <w:sz w:val="22"/>
          <w:szCs w:val="22"/>
          <w:lang w:val="hr-HR"/>
        </w:rPr>
      </w:pPr>
      <w:r w:rsidRPr="001567C8">
        <w:rPr>
          <w:rFonts w:asciiTheme="minorHAnsi" w:hAnsiTheme="minorHAnsi" w:cs="Arial"/>
          <w:bCs w:val="0"/>
          <w:sz w:val="22"/>
          <w:szCs w:val="22"/>
          <w:lang w:val="hr-HR"/>
        </w:rPr>
        <w:t>34</w:t>
      </w:r>
      <w:r w:rsidR="00CE099C" w:rsidRPr="001567C8">
        <w:rPr>
          <w:rFonts w:asciiTheme="minorHAnsi" w:hAnsiTheme="minorHAnsi" w:cs="Arial"/>
          <w:bCs w:val="0"/>
          <w:sz w:val="22"/>
          <w:szCs w:val="22"/>
          <w:lang w:val="hr-HR"/>
        </w:rPr>
        <w:t>.</w:t>
      </w:r>
      <w:r w:rsidR="00CE099C" w:rsidRPr="001567C8">
        <w:rPr>
          <w:rFonts w:asciiTheme="minorHAnsi" w:hAnsiTheme="minorHAnsi" w:cs="Arial"/>
          <w:bCs w:val="0"/>
          <w:sz w:val="22"/>
          <w:szCs w:val="22"/>
          <w:lang w:val="hr-HR"/>
        </w:rPr>
        <w:tab/>
        <w:t>Poslovi u ime i za račun</w:t>
      </w:r>
    </w:p>
    <w:p w:rsidR="0011459D" w:rsidRPr="001567C8" w:rsidRDefault="0011459D" w:rsidP="0011459D">
      <w:pPr>
        <w:pStyle w:val="T1"/>
        <w:spacing w:before="0" w:after="0" w:line="240" w:lineRule="auto"/>
        <w:rPr>
          <w:rFonts w:asciiTheme="minorHAnsi" w:hAnsiTheme="minorHAnsi" w:cs="Arial"/>
          <w:b w:val="0"/>
          <w:sz w:val="22"/>
          <w:szCs w:val="22"/>
          <w:lang w:val="hr-HR"/>
        </w:rPr>
      </w:pPr>
      <w:bookmarkStart w:id="61" w:name="OLE_LINK1"/>
    </w:p>
    <w:p w:rsidR="00E16541" w:rsidRPr="001567C8" w:rsidRDefault="000303E4" w:rsidP="0011459D">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Grupa upravlja značajnim sredstvima u ime i za račun Ministarstva financija, Ministarstva gospodarstva, </w:t>
      </w:r>
      <w:r w:rsidR="00C57B06" w:rsidRPr="001567C8">
        <w:rPr>
          <w:rFonts w:asciiTheme="minorHAnsi" w:hAnsiTheme="minorHAnsi" w:cs="Arial"/>
          <w:b w:val="0"/>
          <w:sz w:val="22"/>
          <w:szCs w:val="22"/>
          <w:lang w:val="hr-HR"/>
        </w:rPr>
        <w:t xml:space="preserve">poduzetništva i obrta, Ministarstva </w:t>
      </w:r>
      <w:r w:rsidR="00A539FA" w:rsidRPr="001567C8">
        <w:rPr>
          <w:rFonts w:asciiTheme="minorHAnsi" w:hAnsiTheme="minorHAnsi" w:cs="Arial"/>
          <w:b w:val="0"/>
          <w:sz w:val="22"/>
          <w:szCs w:val="22"/>
          <w:lang w:val="hr-HR"/>
        </w:rPr>
        <w:t>mora</w:t>
      </w:r>
      <w:r w:rsidR="00C57B06" w:rsidRPr="001567C8">
        <w:rPr>
          <w:rFonts w:asciiTheme="minorHAnsi" w:hAnsiTheme="minorHAnsi" w:cs="Arial"/>
          <w:b w:val="0"/>
          <w:sz w:val="22"/>
          <w:szCs w:val="22"/>
          <w:lang w:val="hr-HR"/>
        </w:rPr>
        <w:t xml:space="preserve">, prometa i infrastrukture, Ministarstva poljoprivrede, </w:t>
      </w:r>
      <w:r w:rsidR="00312AF7" w:rsidRPr="001567C8">
        <w:rPr>
          <w:rFonts w:asciiTheme="minorHAnsi" w:hAnsiTheme="minorHAnsi" w:cs="Arial"/>
          <w:b w:val="0"/>
          <w:sz w:val="22"/>
          <w:szCs w:val="22"/>
          <w:lang w:val="hr-HR"/>
        </w:rPr>
        <w:t>Ministarstva regionalnog</w:t>
      </w:r>
      <w:r w:rsidR="0067209C" w:rsidRPr="001567C8">
        <w:rPr>
          <w:rFonts w:asciiTheme="minorHAnsi" w:hAnsiTheme="minorHAnsi" w:cs="Arial"/>
          <w:b w:val="0"/>
          <w:sz w:val="22"/>
          <w:szCs w:val="22"/>
          <w:lang w:val="hr-HR"/>
        </w:rPr>
        <w:t>a</w:t>
      </w:r>
      <w:r w:rsidR="00312AF7" w:rsidRPr="001567C8">
        <w:rPr>
          <w:rFonts w:asciiTheme="minorHAnsi" w:hAnsiTheme="minorHAnsi" w:cs="Arial"/>
          <w:b w:val="0"/>
          <w:sz w:val="22"/>
          <w:szCs w:val="22"/>
          <w:lang w:val="hr-HR"/>
        </w:rPr>
        <w:t xml:space="preserve"> razvoja i fondova Europske unije,</w:t>
      </w:r>
      <w:r w:rsidR="00CE23C4" w:rsidRPr="001567C8">
        <w:rPr>
          <w:rFonts w:asciiTheme="minorHAnsi" w:hAnsiTheme="minorHAnsi" w:cs="Arial"/>
          <w:b w:val="0"/>
          <w:sz w:val="22"/>
          <w:szCs w:val="22"/>
          <w:lang w:val="hr-HR"/>
        </w:rPr>
        <w:t xml:space="preserve"> </w:t>
      </w:r>
      <w:r w:rsidR="00175EF4" w:rsidRPr="001567C8">
        <w:rPr>
          <w:rFonts w:asciiTheme="minorHAnsi" w:hAnsiTheme="minorHAnsi" w:cs="Arial"/>
          <w:b w:val="0"/>
          <w:sz w:val="22"/>
          <w:szCs w:val="22"/>
          <w:lang w:val="hr-HR"/>
        </w:rPr>
        <w:t xml:space="preserve">Ministarstva zaštite okoliša i energetike, </w:t>
      </w:r>
      <w:r w:rsidRPr="001567C8">
        <w:rPr>
          <w:rFonts w:asciiTheme="minorHAnsi" w:hAnsiTheme="minorHAnsi" w:cs="Arial"/>
          <w:b w:val="0"/>
          <w:sz w:val="22"/>
          <w:szCs w:val="22"/>
          <w:lang w:val="hr-HR"/>
        </w:rPr>
        <w:t>Vodovoda i kanalizacije d.o.o., Split</w:t>
      </w:r>
      <w:r w:rsidR="00946245" w:rsidRPr="001567C8">
        <w:rPr>
          <w:rFonts w:asciiTheme="minorHAnsi" w:hAnsiTheme="minorHAnsi" w:cs="Arial"/>
          <w:b w:val="0"/>
          <w:sz w:val="22"/>
          <w:szCs w:val="22"/>
          <w:lang w:val="hr-HR"/>
        </w:rPr>
        <w:t>,</w:t>
      </w:r>
      <w:r w:rsidRPr="001567C8">
        <w:rPr>
          <w:rFonts w:asciiTheme="minorHAnsi" w:hAnsiTheme="minorHAnsi" w:cs="Arial"/>
          <w:b w:val="0"/>
          <w:sz w:val="22"/>
          <w:szCs w:val="22"/>
          <w:lang w:val="hr-HR"/>
        </w:rPr>
        <w:t xml:space="preserve"> Hrvatske agencije za malo gospodarstvo</w:t>
      </w:r>
      <w:r w:rsidR="00F1026D" w:rsidRPr="001567C8">
        <w:rPr>
          <w:rFonts w:asciiTheme="minorHAnsi" w:hAnsiTheme="minorHAnsi" w:cs="Arial"/>
          <w:b w:val="0"/>
          <w:sz w:val="22"/>
          <w:szCs w:val="22"/>
          <w:lang w:val="hr-HR"/>
        </w:rPr>
        <w:t>, inovacije</w:t>
      </w:r>
      <w:r w:rsidR="00FE4EEE" w:rsidRPr="001567C8">
        <w:rPr>
          <w:rFonts w:asciiTheme="minorHAnsi" w:hAnsiTheme="minorHAnsi" w:cs="Arial"/>
          <w:b w:val="0"/>
          <w:sz w:val="22"/>
          <w:szCs w:val="22"/>
          <w:lang w:val="hr-HR"/>
        </w:rPr>
        <w:t xml:space="preserve"> i investicije</w:t>
      </w:r>
      <w:r w:rsidR="00914C8D" w:rsidRPr="001567C8">
        <w:rPr>
          <w:rFonts w:asciiTheme="minorHAnsi" w:hAnsiTheme="minorHAnsi" w:cs="Arial"/>
          <w:b w:val="0"/>
          <w:sz w:val="22"/>
          <w:szCs w:val="22"/>
          <w:lang w:val="hr-HR"/>
        </w:rPr>
        <w:t xml:space="preserve"> (HAMAG</w:t>
      </w:r>
      <w:r w:rsidR="00C512E9" w:rsidRPr="001567C8">
        <w:rPr>
          <w:rFonts w:asciiTheme="minorHAnsi" w:hAnsiTheme="minorHAnsi" w:cs="Arial"/>
          <w:b w:val="0"/>
          <w:sz w:val="22"/>
          <w:szCs w:val="22"/>
          <w:lang w:val="hr-HR"/>
        </w:rPr>
        <w:t>-BICRO</w:t>
      </w:r>
      <w:r w:rsidRPr="001567C8">
        <w:rPr>
          <w:rFonts w:asciiTheme="minorHAnsi" w:hAnsiTheme="minorHAnsi" w:cs="Arial"/>
          <w:b w:val="0"/>
          <w:sz w:val="22"/>
          <w:szCs w:val="22"/>
          <w:lang w:val="hr-HR"/>
        </w:rPr>
        <w:t xml:space="preserve">) </w:t>
      </w:r>
      <w:r w:rsidR="00946245" w:rsidRPr="001567C8">
        <w:rPr>
          <w:rFonts w:asciiTheme="minorHAnsi" w:hAnsiTheme="minorHAnsi" w:cs="Arial"/>
          <w:b w:val="0"/>
          <w:sz w:val="22"/>
          <w:szCs w:val="22"/>
          <w:lang w:val="hr-HR"/>
        </w:rPr>
        <w:t xml:space="preserve">te poslovnih banaka </w:t>
      </w:r>
      <w:r w:rsidRPr="001567C8">
        <w:rPr>
          <w:rFonts w:asciiTheme="minorHAnsi" w:hAnsiTheme="minorHAnsi" w:cs="Arial"/>
          <w:b w:val="0"/>
          <w:sz w:val="22"/>
          <w:szCs w:val="22"/>
          <w:lang w:val="hr-HR"/>
        </w:rPr>
        <w:t>koja se uglavnom koriste za kreditiranje programa obnove i razvitka. Ta sredstva se vode odvojeno od sredstava Grupe. Prihodi i rashodi po tom poslovanju terete nalogodavca, a Grupa ne snosi druge obveze. Za svoje usluge Grupa po određenim programima naplaćuje naknadu dok određene programe vodi bez naknade u ovisnosti o ugovoru s nalogodavcem, vodeći računa da ti iznosi nisu značajni za Grupu.</w:t>
      </w:r>
    </w:p>
    <w:p w:rsidR="0011459D" w:rsidRPr="001567C8" w:rsidRDefault="0011459D" w:rsidP="0011459D">
      <w:pPr>
        <w:pStyle w:val="T1"/>
        <w:spacing w:before="0" w:after="0" w:line="240" w:lineRule="auto"/>
        <w:rPr>
          <w:rFonts w:asciiTheme="minorHAnsi" w:hAnsiTheme="minorHAnsi" w:cs="Arial"/>
          <w:b w:val="0"/>
          <w:sz w:val="22"/>
          <w:szCs w:val="22"/>
          <w:lang w:val="hr-HR"/>
        </w:rPr>
      </w:pPr>
    </w:p>
    <w:bookmarkEnd w:id="61"/>
    <w:p w:rsidR="00B51DE9" w:rsidRPr="001567C8" w:rsidRDefault="00A17483" w:rsidP="0011459D">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Ukupna bilančna suma poslova u ime i za račun po pojedinačnim programima iznosi:</w:t>
      </w:r>
    </w:p>
    <w:p w:rsidR="00B16FA7" w:rsidRPr="001567C8" w:rsidRDefault="00B16FA7" w:rsidP="0011459D">
      <w:pPr>
        <w:pStyle w:val="T1"/>
        <w:spacing w:before="0" w:after="0" w:line="240" w:lineRule="auto"/>
        <w:rPr>
          <w:rFonts w:asciiTheme="minorHAnsi" w:hAnsiTheme="minorHAnsi" w:cs="Arial"/>
          <w:b w:val="0"/>
          <w:sz w:val="22"/>
          <w:szCs w:val="22"/>
          <w:lang w:val="hr-HR"/>
        </w:rPr>
      </w:pPr>
    </w:p>
    <w:tbl>
      <w:tblPr>
        <w:tblW w:w="5056" w:type="pct"/>
        <w:jc w:val="center"/>
        <w:tblLayout w:type="fixed"/>
        <w:tblCellMar>
          <w:left w:w="122" w:type="dxa"/>
          <w:right w:w="122" w:type="dxa"/>
        </w:tblCellMar>
        <w:tblLook w:val="0000" w:firstRow="0" w:lastRow="0" w:firstColumn="0" w:lastColumn="0" w:noHBand="0" w:noVBand="0"/>
      </w:tblPr>
      <w:tblGrid>
        <w:gridCol w:w="6524"/>
        <w:gridCol w:w="1468"/>
        <w:gridCol w:w="1468"/>
      </w:tblGrid>
      <w:tr w:rsidR="00A21AA7" w:rsidRPr="001567C8" w:rsidTr="003C6BA3">
        <w:trPr>
          <w:trHeight w:val="192"/>
          <w:jc w:val="center"/>
        </w:trPr>
        <w:tc>
          <w:tcPr>
            <w:tcW w:w="3447" w:type="pct"/>
            <w:shd w:val="clear" w:color="auto" w:fill="auto"/>
          </w:tcPr>
          <w:p w:rsidR="00A21AA7" w:rsidRPr="001567C8" w:rsidRDefault="00A21AA7" w:rsidP="00C86FD6">
            <w:pPr>
              <w:tabs>
                <w:tab w:val="left" w:pos="-720"/>
              </w:tabs>
              <w:suppressAutoHyphens/>
              <w:rPr>
                <w:rFonts w:asciiTheme="minorHAnsi" w:hAnsiTheme="minorHAnsi" w:cs="Arial"/>
                <w:spacing w:val="-3"/>
                <w:sz w:val="19"/>
                <w:szCs w:val="19"/>
                <w:lang w:val="hr-HR"/>
              </w:rPr>
            </w:pPr>
            <w:r w:rsidRPr="001567C8">
              <w:rPr>
                <w:rFonts w:asciiTheme="minorHAnsi" w:hAnsiTheme="minorHAnsi" w:cs="Arial"/>
                <w:b/>
                <w:bCs/>
                <w:sz w:val="19"/>
                <w:szCs w:val="19"/>
                <w:lang w:val="hr-HR"/>
              </w:rPr>
              <w:t>Grupa</w:t>
            </w:r>
            <w:r w:rsidR="00505942" w:rsidRPr="001567C8">
              <w:rPr>
                <w:rFonts w:asciiTheme="minorHAnsi" w:hAnsiTheme="minorHAnsi" w:cs="Arial"/>
                <w:b/>
                <w:bCs/>
                <w:sz w:val="19"/>
                <w:szCs w:val="19"/>
                <w:lang w:val="hr-HR"/>
              </w:rPr>
              <w:t xml:space="preserve"> i Banka</w:t>
            </w:r>
          </w:p>
        </w:tc>
        <w:tc>
          <w:tcPr>
            <w:tcW w:w="776" w:type="pct"/>
            <w:shd w:val="clear" w:color="auto" w:fill="auto"/>
          </w:tcPr>
          <w:p w:rsidR="00A21AA7" w:rsidRPr="001567C8" w:rsidRDefault="00A21AA7" w:rsidP="00C86FD6">
            <w:pPr>
              <w:pStyle w:val="TH"/>
              <w:spacing w:line="220" w:lineRule="exact"/>
              <w:jc w:val="right"/>
              <w:rPr>
                <w:rFonts w:asciiTheme="minorHAnsi" w:hAnsiTheme="minorHAnsi" w:cs="Arial"/>
                <w:szCs w:val="19"/>
                <w:lang w:val="hr-HR"/>
              </w:rPr>
            </w:pPr>
          </w:p>
        </w:tc>
        <w:tc>
          <w:tcPr>
            <w:tcW w:w="776" w:type="pct"/>
            <w:shd w:val="clear" w:color="auto" w:fill="auto"/>
          </w:tcPr>
          <w:p w:rsidR="00A21AA7" w:rsidRPr="001567C8" w:rsidRDefault="00A21AA7" w:rsidP="00C86FD6">
            <w:pPr>
              <w:pStyle w:val="TH"/>
              <w:spacing w:line="220" w:lineRule="exact"/>
              <w:jc w:val="right"/>
              <w:rPr>
                <w:rFonts w:asciiTheme="minorHAnsi" w:hAnsiTheme="minorHAnsi" w:cs="Arial"/>
                <w:szCs w:val="19"/>
                <w:lang w:val="hr-HR"/>
              </w:rPr>
            </w:pPr>
          </w:p>
        </w:tc>
      </w:tr>
      <w:tr w:rsidR="00B16FA7" w:rsidRPr="001567C8" w:rsidTr="003C6BA3">
        <w:trPr>
          <w:trHeight w:val="383"/>
          <w:jc w:val="center"/>
        </w:trPr>
        <w:tc>
          <w:tcPr>
            <w:tcW w:w="3447" w:type="pct"/>
            <w:shd w:val="clear" w:color="auto" w:fill="auto"/>
          </w:tcPr>
          <w:p w:rsidR="00B16FA7" w:rsidRPr="001567C8" w:rsidRDefault="00B16FA7" w:rsidP="00B16FA7">
            <w:pPr>
              <w:tabs>
                <w:tab w:val="left" w:pos="-720"/>
              </w:tabs>
              <w:suppressAutoHyphens/>
              <w:rPr>
                <w:rFonts w:asciiTheme="minorHAnsi" w:hAnsiTheme="minorHAnsi" w:cs="Arial"/>
                <w:b/>
                <w:bCs/>
                <w:sz w:val="19"/>
                <w:szCs w:val="19"/>
                <w:lang w:val="hr-HR"/>
              </w:rPr>
            </w:pPr>
          </w:p>
        </w:tc>
        <w:tc>
          <w:tcPr>
            <w:tcW w:w="776" w:type="pct"/>
            <w:shd w:val="clear" w:color="auto" w:fill="auto"/>
          </w:tcPr>
          <w:p w:rsidR="00434C7E" w:rsidRPr="001567C8" w:rsidRDefault="00AD2EF7" w:rsidP="00B16FA7">
            <w:pPr>
              <w:pStyle w:val="TH"/>
              <w:spacing w:line="220" w:lineRule="exact"/>
              <w:jc w:val="right"/>
              <w:rPr>
                <w:rFonts w:asciiTheme="minorHAnsi" w:hAnsiTheme="minorHAnsi" w:cs="Arial"/>
                <w:szCs w:val="19"/>
                <w:lang w:val="hr-HR"/>
              </w:rPr>
            </w:pPr>
            <w:r>
              <w:rPr>
                <w:rFonts w:asciiTheme="minorHAnsi" w:hAnsiTheme="minorHAnsi" w:cs="Arial"/>
                <w:szCs w:val="19"/>
                <w:lang w:val="hr-HR"/>
              </w:rPr>
              <w:t>31. prosin</w:t>
            </w:r>
            <w:r w:rsidR="00434C7E" w:rsidRPr="001567C8">
              <w:rPr>
                <w:rFonts w:asciiTheme="minorHAnsi" w:hAnsiTheme="minorHAnsi" w:cs="Arial"/>
                <w:szCs w:val="19"/>
                <w:lang w:val="hr-HR"/>
              </w:rPr>
              <w:t>c</w:t>
            </w:r>
            <w:r>
              <w:rPr>
                <w:rFonts w:asciiTheme="minorHAnsi" w:hAnsiTheme="minorHAnsi" w:cs="Arial"/>
                <w:szCs w:val="19"/>
                <w:lang w:val="hr-HR"/>
              </w:rPr>
              <w:t>a</w:t>
            </w:r>
          </w:p>
          <w:p w:rsidR="00B16FA7" w:rsidRPr="001567C8" w:rsidRDefault="00434C7E" w:rsidP="00B16FA7">
            <w:pPr>
              <w:pStyle w:val="TH"/>
              <w:spacing w:line="220" w:lineRule="exact"/>
              <w:jc w:val="right"/>
              <w:rPr>
                <w:rFonts w:asciiTheme="minorHAnsi" w:hAnsiTheme="minorHAnsi" w:cs="Arial"/>
                <w:szCs w:val="19"/>
                <w:lang w:val="hr-HR"/>
              </w:rPr>
            </w:pPr>
            <w:r w:rsidRPr="001567C8">
              <w:rPr>
                <w:rFonts w:asciiTheme="minorHAnsi" w:hAnsiTheme="minorHAnsi" w:cs="Arial"/>
                <w:szCs w:val="19"/>
                <w:lang w:val="hr-HR"/>
              </w:rPr>
              <w:t xml:space="preserve"> </w:t>
            </w:r>
            <w:r w:rsidR="00B16FA7" w:rsidRPr="001567C8">
              <w:rPr>
                <w:rFonts w:asciiTheme="minorHAnsi" w:hAnsiTheme="minorHAnsi" w:cs="Arial"/>
                <w:szCs w:val="19"/>
                <w:lang w:val="hr-HR"/>
              </w:rPr>
              <w:t>201</w:t>
            </w:r>
            <w:r w:rsidR="0045712D" w:rsidRPr="001567C8">
              <w:rPr>
                <w:rFonts w:asciiTheme="minorHAnsi" w:hAnsiTheme="minorHAnsi" w:cs="Arial"/>
                <w:szCs w:val="19"/>
                <w:lang w:val="hr-HR"/>
              </w:rPr>
              <w:t>8</w:t>
            </w:r>
            <w:r w:rsidR="00B16FA7" w:rsidRPr="001567C8">
              <w:rPr>
                <w:rFonts w:asciiTheme="minorHAnsi" w:hAnsiTheme="minorHAnsi" w:cs="Arial"/>
                <w:szCs w:val="19"/>
                <w:lang w:val="hr-HR"/>
              </w:rPr>
              <w:t>.</w:t>
            </w:r>
          </w:p>
        </w:tc>
        <w:tc>
          <w:tcPr>
            <w:tcW w:w="776" w:type="pct"/>
            <w:shd w:val="clear" w:color="auto" w:fill="auto"/>
          </w:tcPr>
          <w:p w:rsidR="00B16FA7" w:rsidRPr="001567C8" w:rsidRDefault="00434C7E" w:rsidP="00B16FA7">
            <w:pPr>
              <w:pStyle w:val="TH"/>
              <w:spacing w:line="220" w:lineRule="exact"/>
              <w:jc w:val="right"/>
              <w:rPr>
                <w:rFonts w:asciiTheme="minorHAnsi" w:hAnsiTheme="minorHAnsi" w:cs="Arial"/>
                <w:szCs w:val="19"/>
                <w:lang w:val="hr-HR"/>
              </w:rPr>
            </w:pPr>
            <w:r w:rsidRPr="001567C8">
              <w:rPr>
                <w:rFonts w:asciiTheme="minorHAnsi" w:hAnsiTheme="minorHAnsi" w:cs="Arial"/>
                <w:szCs w:val="19"/>
                <w:lang w:val="hr-HR"/>
              </w:rPr>
              <w:t>31. p</w:t>
            </w:r>
            <w:r w:rsidR="00AD2EF7">
              <w:rPr>
                <w:rFonts w:asciiTheme="minorHAnsi" w:hAnsiTheme="minorHAnsi" w:cs="Arial"/>
                <w:szCs w:val="19"/>
                <w:lang w:val="hr-HR"/>
              </w:rPr>
              <w:t>rosin</w:t>
            </w:r>
            <w:r w:rsidRPr="001567C8">
              <w:rPr>
                <w:rFonts w:asciiTheme="minorHAnsi" w:hAnsiTheme="minorHAnsi" w:cs="Arial"/>
                <w:szCs w:val="19"/>
                <w:lang w:val="hr-HR"/>
              </w:rPr>
              <w:t>c</w:t>
            </w:r>
            <w:r w:rsidR="00AD2EF7">
              <w:rPr>
                <w:rFonts w:asciiTheme="minorHAnsi" w:hAnsiTheme="minorHAnsi" w:cs="Arial"/>
                <w:szCs w:val="19"/>
                <w:lang w:val="hr-HR"/>
              </w:rPr>
              <w:t>a</w:t>
            </w:r>
            <w:r w:rsidRPr="001567C8">
              <w:rPr>
                <w:rFonts w:asciiTheme="minorHAnsi" w:hAnsiTheme="minorHAnsi" w:cs="Arial"/>
                <w:szCs w:val="19"/>
                <w:lang w:val="hr-HR"/>
              </w:rPr>
              <w:t xml:space="preserve"> </w:t>
            </w:r>
            <w:r w:rsidR="00B16FA7" w:rsidRPr="001567C8">
              <w:rPr>
                <w:rFonts w:asciiTheme="minorHAnsi" w:hAnsiTheme="minorHAnsi" w:cs="Arial"/>
                <w:szCs w:val="19"/>
                <w:lang w:val="hr-HR"/>
              </w:rPr>
              <w:t>201</w:t>
            </w:r>
            <w:r w:rsidR="0045712D" w:rsidRPr="001567C8">
              <w:rPr>
                <w:rFonts w:asciiTheme="minorHAnsi" w:hAnsiTheme="minorHAnsi" w:cs="Arial"/>
                <w:szCs w:val="19"/>
                <w:lang w:val="hr-HR"/>
              </w:rPr>
              <w:t>7</w:t>
            </w:r>
            <w:r w:rsidR="00B16FA7" w:rsidRPr="001567C8">
              <w:rPr>
                <w:rFonts w:asciiTheme="minorHAnsi" w:hAnsiTheme="minorHAnsi" w:cs="Arial"/>
                <w:szCs w:val="19"/>
                <w:lang w:val="hr-HR"/>
              </w:rPr>
              <w:t>.</w:t>
            </w:r>
          </w:p>
        </w:tc>
      </w:tr>
      <w:tr w:rsidR="00B16FA7" w:rsidRPr="001567C8" w:rsidTr="003C6BA3">
        <w:tblPrEx>
          <w:tblCellMar>
            <w:left w:w="108" w:type="dxa"/>
            <w:right w:w="108" w:type="dxa"/>
          </w:tblCellMar>
        </w:tblPrEx>
        <w:trPr>
          <w:trHeight w:val="269"/>
          <w:jc w:val="center"/>
        </w:trPr>
        <w:tc>
          <w:tcPr>
            <w:tcW w:w="3447" w:type="pct"/>
            <w:shd w:val="clear" w:color="auto" w:fill="auto"/>
          </w:tcPr>
          <w:p w:rsidR="00B16FA7" w:rsidRPr="001567C8" w:rsidRDefault="00B16FA7" w:rsidP="00B16FA7">
            <w:pPr>
              <w:tabs>
                <w:tab w:val="left" w:pos="-720"/>
              </w:tabs>
              <w:suppressAutoHyphens/>
              <w:ind w:right="4144"/>
              <w:rPr>
                <w:rFonts w:asciiTheme="minorHAnsi" w:hAnsiTheme="minorHAnsi" w:cs="Arial"/>
                <w:sz w:val="19"/>
                <w:szCs w:val="19"/>
                <w:lang w:val="hr-HR"/>
              </w:rPr>
            </w:pPr>
            <w:r w:rsidRPr="001567C8">
              <w:rPr>
                <w:rFonts w:asciiTheme="minorHAnsi" w:hAnsiTheme="minorHAnsi" w:cs="Arial"/>
                <w:b/>
                <w:bCs/>
                <w:sz w:val="19"/>
                <w:szCs w:val="19"/>
                <w:lang w:val="hr-HR"/>
              </w:rPr>
              <w:t>Program</w:t>
            </w:r>
          </w:p>
        </w:tc>
        <w:tc>
          <w:tcPr>
            <w:tcW w:w="776" w:type="pct"/>
            <w:shd w:val="clear" w:color="auto" w:fill="auto"/>
          </w:tcPr>
          <w:p w:rsidR="00B16FA7" w:rsidRPr="001567C8" w:rsidRDefault="00B16FA7" w:rsidP="00B16FA7">
            <w:pPr>
              <w:pStyle w:val="TH"/>
              <w:spacing w:line="220" w:lineRule="exact"/>
              <w:jc w:val="right"/>
              <w:rPr>
                <w:rFonts w:asciiTheme="minorHAnsi" w:hAnsiTheme="minorHAnsi" w:cs="Arial"/>
                <w:szCs w:val="19"/>
                <w:lang w:val="hr-HR"/>
              </w:rPr>
            </w:pPr>
            <w:r w:rsidRPr="001567C8">
              <w:rPr>
                <w:rFonts w:asciiTheme="minorHAnsi" w:hAnsiTheme="minorHAnsi" w:cs="Arial"/>
                <w:szCs w:val="19"/>
                <w:lang w:val="hr-HR"/>
              </w:rPr>
              <w:t>000 kuna</w:t>
            </w:r>
          </w:p>
        </w:tc>
        <w:tc>
          <w:tcPr>
            <w:tcW w:w="776" w:type="pct"/>
            <w:shd w:val="clear" w:color="auto" w:fill="auto"/>
          </w:tcPr>
          <w:p w:rsidR="00B16FA7" w:rsidRPr="001567C8" w:rsidRDefault="00B16FA7" w:rsidP="00B16FA7">
            <w:pPr>
              <w:pStyle w:val="TH"/>
              <w:spacing w:line="220" w:lineRule="exact"/>
              <w:jc w:val="right"/>
              <w:rPr>
                <w:rFonts w:asciiTheme="minorHAnsi" w:hAnsiTheme="minorHAnsi" w:cs="Arial"/>
                <w:szCs w:val="19"/>
                <w:lang w:val="hr-HR"/>
              </w:rPr>
            </w:pPr>
            <w:r w:rsidRPr="001567C8">
              <w:rPr>
                <w:rFonts w:asciiTheme="minorHAnsi" w:hAnsiTheme="minorHAnsi" w:cs="Arial"/>
                <w:szCs w:val="19"/>
                <w:lang w:val="hr-HR"/>
              </w:rPr>
              <w:t>000 kuna</w:t>
            </w:r>
          </w:p>
        </w:tc>
      </w:tr>
      <w:tr w:rsidR="00B16FA7" w:rsidRPr="001567C8" w:rsidTr="003C6BA3">
        <w:tblPrEx>
          <w:tblCellMar>
            <w:left w:w="107" w:type="dxa"/>
            <w:right w:w="107" w:type="dxa"/>
          </w:tblCellMar>
        </w:tblPrEx>
        <w:trPr>
          <w:trHeight w:val="149"/>
          <w:jc w:val="center"/>
        </w:trPr>
        <w:tc>
          <w:tcPr>
            <w:tcW w:w="3447" w:type="pct"/>
            <w:shd w:val="clear" w:color="auto" w:fill="auto"/>
          </w:tcPr>
          <w:p w:rsidR="00B16FA7" w:rsidRPr="001567C8" w:rsidRDefault="00B16FA7" w:rsidP="00B16FA7">
            <w:pPr>
              <w:pStyle w:val="TT"/>
              <w:spacing w:line="100" w:lineRule="exact"/>
              <w:rPr>
                <w:rFonts w:asciiTheme="minorHAnsi" w:hAnsiTheme="minorHAnsi" w:cs="Arial"/>
                <w:szCs w:val="19"/>
                <w:lang w:val="hr-HR"/>
              </w:rPr>
            </w:pPr>
          </w:p>
        </w:tc>
        <w:tc>
          <w:tcPr>
            <w:tcW w:w="776" w:type="pct"/>
            <w:shd w:val="clear" w:color="auto" w:fill="auto"/>
          </w:tcPr>
          <w:p w:rsidR="00B16FA7" w:rsidRPr="001567C8" w:rsidRDefault="00B16FA7" w:rsidP="00B16FA7">
            <w:pPr>
              <w:pStyle w:val="TT"/>
              <w:spacing w:line="100" w:lineRule="exact"/>
              <w:jc w:val="right"/>
              <w:rPr>
                <w:rFonts w:asciiTheme="minorHAnsi" w:hAnsiTheme="minorHAnsi" w:cs="Arial"/>
                <w:szCs w:val="19"/>
                <w:lang w:val="hr-HR"/>
              </w:rPr>
            </w:pPr>
          </w:p>
        </w:tc>
        <w:tc>
          <w:tcPr>
            <w:tcW w:w="776" w:type="pct"/>
            <w:shd w:val="clear" w:color="auto" w:fill="auto"/>
          </w:tcPr>
          <w:p w:rsidR="00B16FA7" w:rsidRPr="001567C8" w:rsidRDefault="00B16FA7" w:rsidP="00B16FA7">
            <w:pPr>
              <w:pStyle w:val="TT"/>
              <w:spacing w:line="100" w:lineRule="exact"/>
              <w:jc w:val="right"/>
              <w:rPr>
                <w:rFonts w:asciiTheme="minorHAnsi" w:hAnsiTheme="minorHAnsi" w:cs="Arial"/>
                <w:szCs w:val="19"/>
                <w:lang w:val="hr-HR"/>
              </w:rPr>
            </w:pPr>
          </w:p>
        </w:tc>
      </w:tr>
      <w:tr w:rsidR="0045712D" w:rsidRPr="001567C8" w:rsidTr="003C6BA3">
        <w:tblPrEx>
          <w:tblCellMar>
            <w:left w:w="107" w:type="dxa"/>
            <w:right w:w="107" w:type="dxa"/>
          </w:tblCellMar>
        </w:tblPrEx>
        <w:trPr>
          <w:trHeight w:val="317"/>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Kreditiranje razvitka i obnove poljodjelskih domaćinstava</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27.220</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29.092</w:t>
            </w:r>
          </w:p>
        </w:tc>
      </w:tr>
      <w:tr w:rsidR="0045712D" w:rsidRPr="001567C8" w:rsidTr="003C6BA3">
        <w:tblPrEx>
          <w:tblCellMar>
            <w:left w:w="107" w:type="dxa"/>
            <w:right w:w="107" w:type="dxa"/>
          </w:tblCellMar>
        </w:tblPrEx>
        <w:trPr>
          <w:trHeight w:val="317"/>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Kreditiranje zapošljavanja razvojačenih pripadnika HV-a</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345.318</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340.344</w:t>
            </w:r>
          </w:p>
        </w:tc>
      </w:tr>
      <w:tr w:rsidR="0045712D" w:rsidRPr="001567C8" w:rsidTr="003C6BA3">
        <w:tblPrEx>
          <w:tblCellMar>
            <w:left w:w="107" w:type="dxa"/>
            <w:right w:w="107" w:type="dxa"/>
          </w:tblCellMar>
        </w:tblPrEx>
        <w:trPr>
          <w:trHeight w:val="317"/>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Kreditiranje programa ulaganja u lokalnu infrastrukturu i zaštitu okoliša – program MEIP</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868.298</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863.297</w:t>
            </w:r>
          </w:p>
        </w:tc>
      </w:tr>
      <w:tr w:rsidR="0045712D" w:rsidRPr="001567C8" w:rsidTr="003C6BA3">
        <w:tblPrEx>
          <w:tblCellMar>
            <w:left w:w="107" w:type="dxa"/>
            <w:right w:w="107" w:type="dxa"/>
          </w:tblCellMar>
        </w:tblPrEx>
        <w:trPr>
          <w:trHeight w:val="317"/>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Program naplate potraživanja po jamstvima HAMAG-BICRO-a</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155</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193</w:t>
            </w:r>
          </w:p>
        </w:tc>
      </w:tr>
      <w:tr w:rsidR="0045712D" w:rsidRPr="001567C8" w:rsidTr="003C6BA3">
        <w:tblPrEx>
          <w:tblCellMar>
            <w:left w:w="107" w:type="dxa"/>
            <w:right w:w="107" w:type="dxa"/>
          </w:tblCellMar>
        </w:tblPrEx>
        <w:trPr>
          <w:trHeight w:val="317"/>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Osiguranje izvoznih poslova</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396.366</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331.431</w:t>
            </w:r>
          </w:p>
        </w:tc>
      </w:tr>
      <w:tr w:rsidR="0045712D" w:rsidRPr="001567C8" w:rsidTr="003C6BA3">
        <w:tblPrEx>
          <w:tblCellMar>
            <w:left w:w="107" w:type="dxa"/>
            <w:right w:w="107" w:type="dxa"/>
          </w:tblCellMar>
        </w:tblPrEx>
        <w:trPr>
          <w:trHeight w:val="317"/>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Program povlaštenog financiranja po kreditnim programima HBOR-a MF</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120.433</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107.262</w:t>
            </w:r>
          </w:p>
        </w:tc>
      </w:tr>
      <w:tr w:rsidR="0045712D" w:rsidRPr="001567C8" w:rsidTr="003C6BA3">
        <w:tblPrEx>
          <w:tblCellMar>
            <w:left w:w="107" w:type="dxa"/>
            <w:right w:w="107" w:type="dxa"/>
          </w:tblCellMar>
        </w:tblPrEx>
        <w:trPr>
          <w:trHeight w:val="317"/>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Program regionalnog razvoja Republike Hrvatske – krediti</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7.090</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9.131</w:t>
            </w:r>
          </w:p>
        </w:tc>
      </w:tr>
      <w:tr w:rsidR="0045712D" w:rsidRPr="001567C8" w:rsidTr="003C6BA3">
        <w:tblPrEx>
          <w:tblCellMar>
            <w:left w:w="107" w:type="dxa"/>
            <w:right w:w="107" w:type="dxa"/>
          </w:tblCellMar>
        </w:tblPrEx>
        <w:trPr>
          <w:trHeight w:val="315"/>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Projekt obnovljivih izvora energije</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24.676</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24.142</w:t>
            </w:r>
          </w:p>
        </w:tc>
      </w:tr>
      <w:tr w:rsidR="0045712D" w:rsidRPr="001567C8" w:rsidTr="003C6BA3">
        <w:tblPrEx>
          <w:tblCellMar>
            <w:left w:w="107" w:type="dxa"/>
            <w:right w:w="107" w:type="dxa"/>
          </w:tblCellMar>
        </w:tblPrEx>
        <w:trPr>
          <w:trHeight w:val="315"/>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VIK – EKO  račun A – namjenska cijena vode</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659.036</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630.090</w:t>
            </w:r>
          </w:p>
        </w:tc>
      </w:tr>
      <w:tr w:rsidR="0045712D" w:rsidRPr="001567C8" w:rsidTr="003C6BA3">
        <w:tblPrEx>
          <w:tblCellMar>
            <w:left w:w="107" w:type="dxa"/>
            <w:right w:w="107" w:type="dxa"/>
          </w:tblCellMar>
        </w:tblPrEx>
        <w:trPr>
          <w:trHeight w:val="315"/>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VIK – EKO račun B – PDV</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156.050</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154.732</w:t>
            </w:r>
          </w:p>
        </w:tc>
      </w:tr>
      <w:tr w:rsidR="0045712D" w:rsidRPr="001567C8" w:rsidTr="003C6BA3">
        <w:tblPrEx>
          <w:tblCellMar>
            <w:left w:w="107" w:type="dxa"/>
            <w:right w:w="107" w:type="dxa"/>
          </w:tblCellMar>
        </w:tblPrEx>
        <w:trPr>
          <w:trHeight w:val="553"/>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Program izdavanja bankarskih garancija iz sredstava IBRD-a u okviru Projekta energetske učinkovitosti</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5.822</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5.643</w:t>
            </w:r>
          </w:p>
        </w:tc>
      </w:tr>
      <w:tr w:rsidR="0045712D" w:rsidRPr="001567C8" w:rsidTr="003C6BA3">
        <w:tblPrEx>
          <w:tblCellMar>
            <w:left w:w="107" w:type="dxa"/>
            <w:right w:w="107" w:type="dxa"/>
          </w:tblCellMar>
        </w:tblPrEx>
        <w:trPr>
          <w:trHeight w:val="289"/>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Ribarska infrastruktura – Ministarstvo mora, prometa i infrastrukture</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46.665</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46.665</w:t>
            </w:r>
          </w:p>
        </w:tc>
      </w:tr>
      <w:tr w:rsidR="0045712D" w:rsidRPr="001567C8" w:rsidTr="003C6BA3">
        <w:tblPrEx>
          <w:tblCellMar>
            <w:left w:w="107" w:type="dxa"/>
            <w:right w:w="107" w:type="dxa"/>
          </w:tblCellMar>
        </w:tblPrEx>
        <w:trPr>
          <w:trHeight w:val="533"/>
          <w:jc w:val="center"/>
        </w:trPr>
        <w:tc>
          <w:tcPr>
            <w:tcW w:w="3447" w:type="pct"/>
            <w:shd w:val="clear" w:color="auto" w:fill="auto"/>
            <w:vAlign w:val="bottom"/>
          </w:tcPr>
          <w:p w:rsidR="0045712D" w:rsidRPr="001567C8" w:rsidRDefault="00946245"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Model financiranja obnove i modernizacije ribolovne flote - Ministarstvo poljoprivrede - subvencija kamatnih stopa</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293</w:t>
            </w:r>
          </w:p>
        </w:tc>
        <w:tc>
          <w:tcPr>
            <w:tcW w:w="776" w:type="pct"/>
            <w:tcBorders>
              <w:top w:val="nil"/>
              <w:left w:val="nil"/>
              <w:bottom w:val="nil"/>
              <w:right w:val="nil"/>
            </w:tcBorders>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w:t>
            </w:r>
          </w:p>
        </w:tc>
      </w:tr>
      <w:tr w:rsidR="0045712D" w:rsidRPr="001567C8" w:rsidTr="003C6BA3">
        <w:tblPrEx>
          <w:tblCellMar>
            <w:left w:w="107" w:type="dxa"/>
            <w:right w:w="107" w:type="dxa"/>
          </w:tblCellMar>
        </w:tblPrEx>
        <w:trPr>
          <w:trHeight w:val="289"/>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Mikrokreditiranje uz potporu EU – poslovne banke</w:t>
            </w:r>
          </w:p>
        </w:tc>
        <w:tc>
          <w:tcPr>
            <w:tcW w:w="776" w:type="pct"/>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428</w:t>
            </w:r>
          </w:p>
        </w:tc>
        <w:tc>
          <w:tcPr>
            <w:tcW w:w="776" w:type="pct"/>
            <w:shd w:val="clear" w:color="auto" w:fill="auto"/>
            <w:vAlign w:val="bottom"/>
          </w:tcPr>
          <w:p w:rsidR="0045712D" w:rsidRPr="001567C8" w:rsidRDefault="0045712D"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303</w:t>
            </w:r>
          </w:p>
        </w:tc>
      </w:tr>
      <w:tr w:rsidR="0045712D" w:rsidRPr="001567C8" w:rsidTr="003C6BA3">
        <w:tblPrEx>
          <w:tblCellMar>
            <w:left w:w="107" w:type="dxa"/>
            <w:right w:w="107" w:type="dxa"/>
          </w:tblCellMar>
        </w:tblPrEx>
        <w:trPr>
          <w:trHeight w:val="289"/>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Poslovi ulaganja u Fondove za gospodarsku suradnju*</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486.353</w:t>
            </w:r>
          </w:p>
        </w:tc>
        <w:tc>
          <w:tcPr>
            <w:tcW w:w="776" w:type="pct"/>
            <w:tcBorders>
              <w:top w:val="nil"/>
              <w:left w:val="nil"/>
              <w:bottom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492.950</w:t>
            </w:r>
          </w:p>
        </w:tc>
      </w:tr>
      <w:tr w:rsidR="0045712D" w:rsidRPr="001567C8" w:rsidTr="003C6BA3">
        <w:tblPrEx>
          <w:tblCellMar>
            <w:left w:w="107" w:type="dxa"/>
            <w:right w:w="107" w:type="dxa"/>
          </w:tblCellMar>
        </w:tblPrEx>
        <w:trPr>
          <w:trHeight w:val="289"/>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r w:rsidRPr="001567C8">
              <w:rPr>
                <w:rFonts w:asciiTheme="minorHAnsi" w:hAnsiTheme="minorHAnsi" w:cs="Arial"/>
                <w:szCs w:val="19"/>
                <w:lang w:val="hr-HR"/>
              </w:rPr>
              <w:t>ESIF – Krediti za rast i razvoj</w:t>
            </w:r>
          </w:p>
        </w:tc>
        <w:tc>
          <w:tcPr>
            <w:tcW w:w="776" w:type="pct"/>
            <w:tcBorders>
              <w:top w:val="nil"/>
              <w:left w:val="nil"/>
              <w:right w:val="nil"/>
            </w:tcBorders>
            <w:shd w:val="clear" w:color="auto" w:fill="auto"/>
            <w:vAlign w:val="bottom"/>
          </w:tcPr>
          <w:p w:rsidR="0045712D" w:rsidRPr="001567C8" w:rsidRDefault="00946245" w:rsidP="0045712D">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420.846</w:t>
            </w:r>
          </w:p>
        </w:tc>
        <w:tc>
          <w:tcPr>
            <w:tcW w:w="776" w:type="pct"/>
            <w:tcBorders>
              <w:top w:val="nil"/>
              <w:left w:val="nil"/>
              <w:right w:val="nil"/>
            </w:tcBorders>
            <w:shd w:val="clear" w:color="auto" w:fill="auto"/>
            <w:vAlign w:val="bottom"/>
          </w:tcPr>
          <w:p w:rsidR="0045712D" w:rsidRPr="00CD3A2D" w:rsidDel="00494DDF" w:rsidRDefault="0045712D" w:rsidP="0045712D">
            <w:pPr>
              <w:pStyle w:val="TT"/>
              <w:spacing w:line="220" w:lineRule="exact"/>
              <w:jc w:val="right"/>
              <w:rPr>
                <w:rFonts w:ascii="Calibri" w:hAnsi="Calibri"/>
                <w:color w:val="000000"/>
                <w:szCs w:val="19"/>
                <w:lang w:val="hr-HR"/>
              </w:rPr>
            </w:pPr>
            <w:r w:rsidRPr="001567C8">
              <w:rPr>
                <w:rFonts w:asciiTheme="minorHAnsi" w:hAnsiTheme="minorHAnsi" w:cs="Arial"/>
                <w:szCs w:val="19"/>
                <w:lang w:val="hr-HR"/>
              </w:rPr>
              <w:t>414.277</w:t>
            </w:r>
          </w:p>
        </w:tc>
      </w:tr>
      <w:tr w:rsidR="00946245" w:rsidRPr="001567C8" w:rsidTr="003C6BA3">
        <w:tblPrEx>
          <w:tblCellMar>
            <w:left w:w="107" w:type="dxa"/>
            <w:right w:w="107" w:type="dxa"/>
          </w:tblCellMar>
        </w:tblPrEx>
        <w:trPr>
          <w:trHeight w:val="289"/>
          <w:jc w:val="center"/>
        </w:trPr>
        <w:tc>
          <w:tcPr>
            <w:tcW w:w="3447" w:type="pct"/>
            <w:shd w:val="clear" w:color="auto" w:fill="auto"/>
            <w:vAlign w:val="bottom"/>
          </w:tcPr>
          <w:p w:rsidR="00946245" w:rsidRPr="001567C8" w:rsidRDefault="00946245" w:rsidP="00946245">
            <w:pPr>
              <w:pStyle w:val="TT"/>
              <w:spacing w:line="220" w:lineRule="exact"/>
              <w:rPr>
                <w:rFonts w:asciiTheme="minorHAnsi" w:hAnsiTheme="minorHAnsi" w:cs="Arial"/>
                <w:szCs w:val="19"/>
                <w:lang w:val="hr-HR"/>
              </w:rPr>
            </w:pPr>
            <w:r w:rsidRPr="001567C8">
              <w:rPr>
                <w:rFonts w:asciiTheme="minorHAnsi" w:hAnsiTheme="minorHAnsi" w:cs="Arial"/>
                <w:szCs w:val="19"/>
                <w:lang w:val="hr-HR"/>
              </w:rPr>
              <w:t>ESIF – Krediti za energetsku učinkovitost u zgradama javnog sektora</w:t>
            </w:r>
            <w:r w:rsidRPr="001567C8">
              <w:rPr>
                <w:rFonts w:asciiTheme="minorHAnsi" w:hAnsiTheme="minorHAnsi" w:cs="Arial"/>
                <w:szCs w:val="19"/>
                <w:lang w:val="hr-HR"/>
              </w:rPr>
              <w:tab/>
            </w:r>
          </w:p>
        </w:tc>
        <w:tc>
          <w:tcPr>
            <w:tcW w:w="776" w:type="pct"/>
            <w:tcBorders>
              <w:left w:val="nil"/>
              <w:right w:val="nil"/>
            </w:tcBorders>
            <w:shd w:val="clear" w:color="auto" w:fill="auto"/>
            <w:vAlign w:val="bottom"/>
          </w:tcPr>
          <w:p w:rsidR="00946245" w:rsidRPr="001567C8" w:rsidRDefault="00946245" w:rsidP="00B92A2F">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47.682</w:t>
            </w:r>
          </w:p>
        </w:tc>
        <w:tc>
          <w:tcPr>
            <w:tcW w:w="776" w:type="pct"/>
            <w:tcBorders>
              <w:left w:val="nil"/>
              <w:right w:val="nil"/>
            </w:tcBorders>
            <w:shd w:val="clear" w:color="auto" w:fill="auto"/>
            <w:vAlign w:val="bottom"/>
          </w:tcPr>
          <w:p w:rsidR="00946245" w:rsidRPr="001567C8" w:rsidRDefault="005B3066" w:rsidP="00946245">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w:t>
            </w:r>
          </w:p>
        </w:tc>
      </w:tr>
      <w:tr w:rsidR="00946245" w:rsidRPr="001567C8" w:rsidTr="003C6BA3">
        <w:tblPrEx>
          <w:tblCellMar>
            <w:left w:w="107" w:type="dxa"/>
            <w:right w:w="107" w:type="dxa"/>
          </w:tblCellMar>
        </w:tblPrEx>
        <w:trPr>
          <w:trHeight w:val="289"/>
          <w:jc w:val="center"/>
        </w:trPr>
        <w:tc>
          <w:tcPr>
            <w:tcW w:w="3447" w:type="pct"/>
            <w:shd w:val="clear" w:color="auto" w:fill="auto"/>
            <w:vAlign w:val="bottom"/>
          </w:tcPr>
          <w:p w:rsidR="00946245" w:rsidRPr="001567C8" w:rsidRDefault="00946245" w:rsidP="00946245">
            <w:pPr>
              <w:pStyle w:val="TT"/>
              <w:spacing w:line="220" w:lineRule="exact"/>
              <w:rPr>
                <w:rFonts w:asciiTheme="minorHAnsi" w:hAnsiTheme="minorHAnsi" w:cs="Arial"/>
                <w:szCs w:val="19"/>
                <w:lang w:val="hr-HR"/>
              </w:rPr>
            </w:pPr>
            <w:r w:rsidRPr="001567C8">
              <w:rPr>
                <w:rFonts w:asciiTheme="minorHAnsi" w:hAnsiTheme="minorHAnsi" w:cs="Arial"/>
                <w:szCs w:val="19"/>
                <w:lang w:val="hr-HR"/>
              </w:rPr>
              <w:t>ESIF - Krediti za javnu rasvjetu</w:t>
            </w:r>
            <w:r w:rsidRPr="001567C8">
              <w:rPr>
                <w:rFonts w:asciiTheme="minorHAnsi" w:hAnsiTheme="minorHAnsi" w:cs="Arial"/>
                <w:szCs w:val="19"/>
                <w:lang w:val="hr-HR"/>
              </w:rPr>
              <w:tab/>
            </w:r>
          </w:p>
        </w:tc>
        <w:tc>
          <w:tcPr>
            <w:tcW w:w="776" w:type="pct"/>
            <w:tcBorders>
              <w:left w:val="nil"/>
              <w:right w:val="nil"/>
            </w:tcBorders>
            <w:shd w:val="clear" w:color="auto" w:fill="auto"/>
            <w:vAlign w:val="bottom"/>
          </w:tcPr>
          <w:p w:rsidR="00946245" w:rsidRPr="001567C8" w:rsidRDefault="00946245" w:rsidP="00B92A2F">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38.061</w:t>
            </w:r>
          </w:p>
        </w:tc>
        <w:tc>
          <w:tcPr>
            <w:tcW w:w="776" w:type="pct"/>
            <w:tcBorders>
              <w:left w:val="nil"/>
              <w:right w:val="nil"/>
            </w:tcBorders>
            <w:shd w:val="clear" w:color="auto" w:fill="auto"/>
            <w:vAlign w:val="bottom"/>
          </w:tcPr>
          <w:p w:rsidR="00946245" w:rsidRPr="001567C8" w:rsidRDefault="005B3066" w:rsidP="00946245">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w:t>
            </w:r>
          </w:p>
        </w:tc>
      </w:tr>
      <w:tr w:rsidR="00946245" w:rsidRPr="001567C8" w:rsidTr="003C6BA3">
        <w:tblPrEx>
          <w:tblCellMar>
            <w:left w:w="107" w:type="dxa"/>
            <w:right w:w="107" w:type="dxa"/>
          </w:tblCellMar>
        </w:tblPrEx>
        <w:trPr>
          <w:trHeight w:val="289"/>
          <w:jc w:val="center"/>
        </w:trPr>
        <w:tc>
          <w:tcPr>
            <w:tcW w:w="3447" w:type="pct"/>
            <w:shd w:val="clear" w:color="auto" w:fill="auto"/>
            <w:vAlign w:val="bottom"/>
          </w:tcPr>
          <w:p w:rsidR="00946245" w:rsidRPr="001567C8" w:rsidRDefault="00946245" w:rsidP="00946245">
            <w:pPr>
              <w:pStyle w:val="TT"/>
              <w:spacing w:line="220" w:lineRule="exact"/>
              <w:rPr>
                <w:rFonts w:asciiTheme="minorHAnsi" w:hAnsiTheme="minorHAnsi" w:cs="Arial"/>
                <w:szCs w:val="19"/>
                <w:lang w:val="hr-HR"/>
              </w:rPr>
            </w:pPr>
            <w:r w:rsidRPr="001567C8">
              <w:rPr>
                <w:rFonts w:asciiTheme="minorHAnsi" w:hAnsiTheme="minorHAnsi" w:cs="Arial"/>
                <w:szCs w:val="19"/>
                <w:lang w:val="hr-HR"/>
              </w:rPr>
              <w:t>Investicijski krediti za ruralni razvoj</w:t>
            </w:r>
            <w:r w:rsidRPr="001567C8">
              <w:rPr>
                <w:rFonts w:asciiTheme="minorHAnsi" w:hAnsiTheme="minorHAnsi" w:cs="Arial"/>
                <w:szCs w:val="19"/>
                <w:lang w:val="hr-HR"/>
              </w:rPr>
              <w:tab/>
            </w:r>
          </w:p>
        </w:tc>
        <w:tc>
          <w:tcPr>
            <w:tcW w:w="776" w:type="pct"/>
            <w:tcBorders>
              <w:left w:val="nil"/>
              <w:bottom w:val="single" w:sz="4" w:space="0" w:color="auto"/>
              <w:right w:val="nil"/>
            </w:tcBorders>
            <w:shd w:val="clear" w:color="auto" w:fill="auto"/>
            <w:vAlign w:val="bottom"/>
          </w:tcPr>
          <w:p w:rsidR="00946245" w:rsidRPr="001567C8" w:rsidRDefault="00946245" w:rsidP="00B92A2F">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134.196</w:t>
            </w:r>
          </w:p>
        </w:tc>
        <w:tc>
          <w:tcPr>
            <w:tcW w:w="776" w:type="pct"/>
            <w:tcBorders>
              <w:left w:val="nil"/>
              <w:bottom w:val="single" w:sz="4" w:space="0" w:color="auto"/>
              <w:right w:val="nil"/>
            </w:tcBorders>
            <w:shd w:val="clear" w:color="auto" w:fill="auto"/>
            <w:vAlign w:val="bottom"/>
          </w:tcPr>
          <w:p w:rsidR="00946245" w:rsidRPr="001567C8" w:rsidRDefault="005B3066" w:rsidP="00946245">
            <w:pPr>
              <w:pStyle w:val="TT"/>
              <w:spacing w:line="220" w:lineRule="exact"/>
              <w:jc w:val="right"/>
              <w:rPr>
                <w:rFonts w:asciiTheme="minorHAnsi" w:hAnsiTheme="minorHAnsi" w:cs="Arial"/>
                <w:szCs w:val="19"/>
                <w:lang w:val="hr-HR"/>
              </w:rPr>
            </w:pPr>
            <w:r w:rsidRPr="001567C8">
              <w:rPr>
                <w:rFonts w:asciiTheme="minorHAnsi" w:hAnsiTheme="minorHAnsi" w:cs="Arial"/>
                <w:szCs w:val="19"/>
                <w:lang w:val="hr-HR"/>
              </w:rPr>
              <w:t>-</w:t>
            </w:r>
          </w:p>
        </w:tc>
      </w:tr>
      <w:tr w:rsidR="0045712D" w:rsidRPr="001567C8" w:rsidTr="003C6BA3">
        <w:tblPrEx>
          <w:tblCellMar>
            <w:left w:w="107" w:type="dxa"/>
            <w:right w:w="107" w:type="dxa"/>
          </w:tblCellMar>
        </w:tblPrEx>
        <w:trPr>
          <w:trHeight w:val="331"/>
          <w:jc w:val="center"/>
        </w:trPr>
        <w:tc>
          <w:tcPr>
            <w:tcW w:w="3447" w:type="pct"/>
            <w:shd w:val="clear" w:color="auto" w:fill="auto"/>
            <w:vAlign w:val="bottom"/>
          </w:tcPr>
          <w:p w:rsidR="0045712D" w:rsidRPr="001567C8" w:rsidRDefault="0045712D" w:rsidP="0045712D">
            <w:pPr>
              <w:pStyle w:val="TT"/>
              <w:spacing w:line="220" w:lineRule="exact"/>
              <w:rPr>
                <w:rFonts w:asciiTheme="minorHAnsi" w:hAnsiTheme="minorHAnsi" w:cs="Arial"/>
                <w:szCs w:val="19"/>
                <w:lang w:val="hr-HR"/>
              </w:rPr>
            </w:pPr>
          </w:p>
        </w:tc>
        <w:tc>
          <w:tcPr>
            <w:tcW w:w="776" w:type="pct"/>
            <w:tcBorders>
              <w:top w:val="single" w:sz="4" w:space="0" w:color="auto"/>
              <w:left w:val="nil"/>
              <w:bottom w:val="single" w:sz="12" w:space="0" w:color="auto"/>
              <w:right w:val="nil"/>
            </w:tcBorders>
            <w:shd w:val="clear" w:color="auto" w:fill="auto"/>
            <w:vAlign w:val="center"/>
          </w:tcPr>
          <w:p w:rsidR="0045712D" w:rsidRPr="001567C8" w:rsidRDefault="005B3066" w:rsidP="0045712D">
            <w:pPr>
              <w:pStyle w:val="TT"/>
              <w:spacing w:line="220" w:lineRule="exact"/>
              <w:jc w:val="right"/>
              <w:rPr>
                <w:rFonts w:asciiTheme="minorHAnsi" w:hAnsiTheme="minorHAnsi" w:cs="Arial"/>
                <w:b/>
                <w:szCs w:val="19"/>
                <w:lang w:val="hr-HR"/>
              </w:rPr>
            </w:pPr>
            <w:r w:rsidRPr="001567C8">
              <w:rPr>
                <w:rFonts w:asciiTheme="minorHAnsi" w:hAnsiTheme="minorHAnsi" w:cs="Arial"/>
                <w:b/>
                <w:szCs w:val="19"/>
                <w:lang w:val="hr-HR"/>
              </w:rPr>
              <w:t>3.784.988</w:t>
            </w:r>
          </w:p>
        </w:tc>
        <w:tc>
          <w:tcPr>
            <w:tcW w:w="776" w:type="pct"/>
            <w:tcBorders>
              <w:top w:val="single" w:sz="4" w:space="0" w:color="auto"/>
              <w:left w:val="nil"/>
              <w:bottom w:val="single" w:sz="12" w:space="0" w:color="auto"/>
              <w:right w:val="nil"/>
            </w:tcBorders>
            <w:shd w:val="clear" w:color="auto" w:fill="auto"/>
            <w:vAlign w:val="center"/>
          </w:tcPr>
          <w:p w:rsidR="0045712D" w:rsidRPr="001567C8" w:rsidRDefault="005B3066" w:rsidP="0045712D">
            <w:pPr>
              <w:pStyle w:val="TT"/>
              <w:spacing w:line="220" w:lineRule="exact"/>
              <w:jc w:val="right"/>
              <w:rPr>
                <w:rFonts w:asciiTheme="minorHAnsi" w:hAnsiTheme="minorHAnsi" w:cs="Arial"/>
                <w:b/>
                <w:szCs w:val="19"/>
                <w:lang w:val="hr-HR"/>
              </w:rPr>
            </w:pPr>
            <w:r w:rsidRPr="001567C8">
              <w:rPr>
                <w:rFonts w:asciiTheme="minorHAnsi" w:hAnsiTheme="minorHAnsi" w:cs="Arial"/>
                <w:b/>
                <w:szCs w:val="19"/>
                <w:lang w:val="hr-HR"/>
              </w:rPr>
              <w:t>3.449.552</w:t>
            </w:r>
          </w:p>
        </w:tc>
      </w:tr>
    </w:tbl>
    <w:p w:rsidR="001B4B34" w:rsidRPr="001567C8" w:rsidRDefault="001B4B34" w:rsidP="00B77D91">
      <w:pPr>
        <w:pStyle w:val="T1"/>
        <w:keepNext w:val="0"/>
        <w:spacing w:before="60" w:after="0" w:line="180" w:lineRule="exact"/>
        <w:rPr>
          <w:rFonts w:asciiTheme="minorHAnsi" w:hAnsiTheme="minorHAnsi" w:cs="Arial"/>
          <w:b w:val="0"/>
          <w:sz w:val="22"/>
          <w:szCs w:val="22"/>
          <w:lang w:val="hr-HR"/>
        </w:rPr>
      </w:pPr>
    </w:p>
    <w:p w:rsidR="002A6AFB" w:rsidRPr="001567C8" w:rsidRDefault="006865D7" w:rsidP="00C4703D">
      <w:pPr>
        <w:pStyle w:val="T1"/>
        <w:keepNext w:val="0"/>
        <w:spacing w:before="60" w:after="0" w:line="240" w:lineRule="exact"/>
        <w:rPr>
          <w:rFonts w:asciiTheme="minorHAnsi" w:hAnsiTheme="minorHAnsi" w:cs="Arial"/>
          <w:b w:val="0"/>
          <w:sz w:val="18"/>
          <w:szCs w:val="18"/>
          <w:lang w:val="hr-HR"/>
        </w:rPr>
      </w:pPr>
      <w:r w:rsidRPr="001567C8">
        <w:rPr>
          <w:rFonts w:asciiTheme="minorHAnsi" w:hAnsiTheme="minorHAnsi" w:cs="Arial"/>
          <w:b w:val="0"/>
          <w:sz w:val="18"/>
          <w:szCs w:val="18"/>
          <w:lang w:val="hr-HR"/>
        </w:rPr>
        <w:t>*</w:t>
      </w:r>
      <w:r w:rsidR="00373FC7" w:rsidRPr="001567C8">
        <w:rPr>
          <w:rFonts w:asciiTheme="minorHAnsi" w:hAnsiTheme="minorHAnsi" w:cs="Arial"/>
          <w:b w:val="0"/>
          <w:sz w:val="18"/>
          <w:szCs w:val="18"/>
          <w:lang w:val="hr-HR"/>
        </w:rPr>
        <w:t>Fer vrijednost neto imovine fondova za gospodarsku suradnju</w:t>
      </w:r>
      <w:r w:rsidRPr="001567C8">
        <w:rPr>
          <w:rFonts w:asciiTheme="minorHAnsi" w:hAnsiTheme="minorHAnsi" w:cs="Arial"/>
          <w:b w:val="0"/>
          <w:sz w:val="18"/>
          <w:szCs w:val="18"/>
          <w:lang w:val="hr-HR"/>
        </w:rPr>
        <w:t xml:space="preserve"> u </w:t>
      </w:r>
      <w:r w:rsidR="00493E7B" w:rsidRPr="001567C8">
        <w:rPr>
          <w:rFonts w:asciiTheme="minorHAnsi" w:hAnsiTheme="minorHAnsi" w:cs="Arial"/>
          <w:b w:val="0"/>
          <w:sz w:val="18"/>
          <w:szCs w:val="18"/>
          <w:lang w:val="hr-HR"/>
        </w:rPr>
        <w:t>201</w:t>
      </w:r>
      <w:r w:rsidR="005B3066" w:rsidRPr="001567C8">
        <w:rPr>
          <w:rFonts w:asciiTheme="minorHAnsi" w:hAnsiTheme="minorHAnsi" w:cs="Arial"/>
          <w:b w:val="0"/>
          <w:sz w:val="18"/>
          <w:szCs w:val="18"/>
          <w:lang w:val="hr-HR"/>
        </w:rPr>
        <w:t>8</w:t>
      </w:r>
      <w:r w:rsidRPr="001567C8">
        <w:rPr>
          <w:rFonts w:asciiTheme="minorHAnsi" w:hAnsiTheme="minorHAnsi" w:cs="Arial"/>
          <w:b w:val="0"/>
          <w:sz w:val="18"/>
          <w:szCs w:val="18"/>
          <w:lang w:val="hr-HR"/>
        </w:rPr>
        <w:t xml:space="preserve">. godini </w:t>
      </w:r>
      <w:r w:rsidR="00373FC7" w:rsidRPr="001567C8">
        <w:rPr>
          <w:rFonts w:asciiTheme="minorHAnsi" w:hAnsiTheme="minorHAnsi" w:cs="Arial"/>
          <w:b w:val="0"/>
          <w:sz w:val="18"/>
          <w:szCs w:val="18"/>
          <w:lang w:val="hr-HR"/>
        </w:rPr>
        <w:t>iskazana je prema zadnjim raspoloživim podacima i ne predstavlja konačnu fer vrijednost</w:t>
      </w:r>
      <w:r w:rsidRPr="001567C8">
        <w:rPr>
          <w:rFonts w:asciiTheme="minorHAnsi" w:hAnsiTheme="minorHAnsi" w:cs="Arial"/>
          <w:b w:val="0"/>
          <w:sz w:val="18"/>
          <w:szCs w:val="18"/>
          <w:lang w:val="hr-HR"/>
        </w:rPr>
        <w:t xml:space="preserve"> dok je za </w:t>
      </w:r>
      <w:r w:rsidR="00814CF3" w:rsidRPr="001567C8">
        <w:rPr>
          <w:rFonts w:asciiTheme="minorHAnsi" w:hAnsiTheme="minorHAnsi" w:cs="Arial"/>
          <w:b w:val="0"/>
          <w:sz w:val="18"/>
          <w:szCs w:val="18"/>
          <w:lang w:val="hr-HR"/>
        </w:rPr>
        <w:t>201</w:t>
      </w:r>
      <w:r w:rsidR="005B3066" w:rsidRPr="001567C8">
        <w:rPr>
          <w:rFonts w:asciiTheme="minorHAnsi" w:hAnsiTheme="minorHAnsi" w:cs="Arial"/>
          <w:b w:val="0"/>
          <w:sz w:val="18"/>
          <w:szCs w:val="18"/>
          <w:lang w:val="hr-HR"/>
        </w:rPr>
        <w:t>7</w:t>
      </w:r>
      <w:r w:rsidRPr="001567C8">
        <w:rPr>
          <w:rFonts w:asciiTheme="minorHAnsi" w:hAnsiTheme="minorHAnsi" w:cs="Arial"/>
          <w:b w:val="0"/>
          <w:sz w:val="18"/>
          <w:szCs w:val="18"/>
          <w:lang w:val="hr-HR"/>
        </w:rPr>
        <w:t>. godinu iznos iskazan prema revidiranim financijskim izvještajima.</w:t>
      </w:r>
    </w:p>
    <w:p w:rsidR="0063667F" w:rsidRPr="001567C8" w:rsidRDefault="0063667F" w:rsidP="00C4703D">
      <w:pPr>
        <w:pStyle w:val="T1"/>
        <w:keepNext w:val="0"/>
        <w:spacing w:before="60" w:after="0" w:line="240" w:lineRule="exact"/>
        <w:rPr>
          <w:rFonts w:asciiTheme="minorHAnsi" w:hAnsiTheme="minorHAnsi" w:cs="Arial"/>
          <w:b w:val="0"/>
          <w:sz w:val="18"/>
          <w:szCs w:val="18"/>
          <w:lang w:val="hr-HR"/>
        </w:rPr>
      </w:pPr>
    </w:p>
    <w:p w:rsidR="0063667F" w:rsidRPr="001567C8" w:rsidRDefault="0063667F" w:rsidP="00C4703D">
      <w:pPr>
        <w:pStyle w:val="T1"/>
        <w:keepNext w:val="0"/>
        <w:spacing w:before="60" w:after="0" w:line="240" w:lineRule="exact"/>
        <w:rPr>
          <w:rFonts w:asciiTheme="minorHAnsi" w:hAnsiTheme="minorHAnsi" w:cs="Arial"/>
          <w:b w:val="0"/>
          <w:sz w:val="18"/>
          <w:szCs w:val="18"/>
          <w:lang w:val="hr-HR"/>
        </w:rPr>
      </w:pPr>
    </w:p>
    <w:p w:rsidR="00373FC7" w:rsidRPr="001567C8" w:rsidRDefault="00373FC7" w:rsidP="00C4703D">
      <w:pPr>
        <w:pStyle w:val="T1"/>
        <w:keepNext w:val="0"/>
        <w:spacing w:before="60" w:after="0" w:line="240" w:lineRule="exact"/>
        <w:rPr>
          <w:rFonts w:asciiTheme="minorHAnsi" w:hAnsiTheme="minorHAnsi" w:cs="Arial"/>
          <w:b w:val="0"/>
          <w:sz w:val="18"/>
          <w:szCs w:val="18"/>
          <w:lang w:val="hr-HR"/>
        </w:rPr>
        <w:sectPr w:rsidR="00373FC7" w:rsidRPr="001567C8" w:rsidSect="003E2D7A">
          <w:pgSz w:w="11907" w:h="16840" w:code="9"/>
          <w:pgMar w:top="1418" w:right="1134" w:bottom="1134" w:left="1418" w:header="851" w:footer="714" w:gutter="0"/>
          <w:cols w:space="720"/>
          <w:noEndnote/>
        </w:sectPr>
      </w:pPr>
    </w:p>
    <w:p w:rsidR="00505942" w:rsidRPr="001567C8" w:rsidRDefault="00505942" w:rsidP="00EA6F7E">
      <w:pPr>
        <w:pStyle w:val="T1"/>
        <w:keepNext w:val="0"/>
        <w:spacing w:before="0" w:after="0" w:line="240" w:lineRule="auto"/>
        <w:rPr>
          <w:rFonts w:asciiTheme="minorHAnsi" w:hAnsiTheme="minorHAnsi" w:cs="Arial"/>
          <w:bCs w:val="0"/>
          <w:sz w:val="22"/>
          <w:szCs w:val="22"/>
          <w:lang w:val="hr-HR"/>
        </w:rPr>
      </w:pPr>
    </w:p>
    <w:p w:rsidR="0063667F" w:rsidRPr="001567C8" w:rsidRDefault="0063667F" w:rsidP="00725A78">
      <w:pPr>
        <w:pStyle w:val="T1"/>
        <w:keepNext w:val="0"/>
        <w:tabs>
          <w:tab w:val="left" w:pos="567"/>
        </w:tabs>
        <w:spacing w:before="0" w:after="0" w:line="240" w:lineRule="auto"/>
        <w:rPr>
          <w:rFonts w:asciiTheme="minorHAnsi" w:hAnsiTheme="minorHAnsi" w:cs="Arial"/>
          <w:bCs w:val="0"/>
          <w:sz w:val="22"/>
          <w:szCs w:val="22"/>
          <w:lang w:val="hr-HR"/>
        </w:rPr>
      </w:pPr>
    </w:p>
    <w:p w:rsidR="00E16541" w:rsidRPr="001567C8" w:rsidRDefault="008402AC" w:rsidP="00725A78">
      <w:pPr>
        <w:pStyle w:val="T1"/>
        <w:keepNext w:val="0"/>
        <w:tabs>
          <w:tab w:val="left" w:pos="567"/>
        </w:tabs>
        <w:spacing w:before="0" w:after="0" w:line="240" w:lineRule="auto"/>
        <w:rPr>
          <w:rFonts w:asciiTheme="minorHAnsi" w:hAnsiTheme="minorHAnsi" w:cs="Arial"/>
          <w:bCs w:val="0"/>
          <w:sz w:val="22"/>
          <w:szCs w:val="22"/>
          <w:lang w:val="hr-HR"/>
        </w:rPr>
      </w:pPr>
      <w:r w:rsidRPr="001567C8">
        <w:rPr>
          <w:rFonts w:asciiTheme="minorHAnsi" w:hAnsiTheme="minorHAnsi" w:cs="Arial"/>
          <w:bCs w:val="0"/>
          <w:sz w:val="22"/>
          <w:szCs w:val="22"/>
          <w:lang w:val="hr-HR"/>
        </w:rPr>
        <w:t>35</w:t>
      </w:r>
      <w:r w:rsidR="006D0890" w:rsidRPr="001567C8">
        <w:rPr>
          <w:rFonts w:asciiTheme="minorHAnsi" w:hAnsiTheme="minorHAnsi" w:cs="Arial"/>
          <w:bCs w:val="0"/>
          <w:sz w:val="22"/>
          <w:szCs w:val="22"/>
          <w:lang w:val="hr-HR"/>
        </w:rPr>
        <w:t>.</w:t>
      </w:r>
      <w:r w:rsidR="006D0890" w:rsidRPr="001567C8">
        <w:rPr>
          <w:rFonts w:asciiTheme="minorHAnsi" w:hAnsiTheme="minorHAnsi" w:cs="Arial"/>
          <w:bCs w:val="0"/>
          <w:sz w:val="22"/>
          <w:szCs w:val="22"/>
          <w:lang w:val="hr-HR"/>
        </w:rPr>
        <w:tab/>
        <w:t>Transakcije s povezanim stranama</w:t>
      </w:r>
    </w:p>
    <w:p w:rsidR="005402AB" w:rsidRPr="001567C8" w:rsidRDefault="005402AB" w:rsidP="005402AB">
      <w:pPr>
        <w:pStyle w:val="T1"/>
        <w:keepNext w:val="0"/>
        <w:spacing w:before="0" w:after="0" w:line="240" w:lineRule="auto"/>
        <w:rPr>
          <w:rFonts w:asciiTheme="minorHAnsi" w:hAnsiTheme="minorHAnsi" w:cs="Arial"/>
          <w:bCs w:val="0"/>
          <w:sz w:val="22"/>
          <w:szCs w:val="22"/>
          <w:lang w:val="hr-HR"/>
        </w:rPr>
      </w:pPr>
    </w:p>
    <w:p w:rsidR="007860FB" w:rsidRPr="001567C8" w:rsidRDefault="007860FB" w:rsidP="005402AB">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Povezane strane su društva koja izravno ili neizravno putem jednog ili više posrednika kontroliraju izvještajno društvo ili su pod njegovom kontrolom.</w:t>
      </w:r>
    </w:p>
    <w:p w:rsidR="005402AB" w:rsidRPr="001567C8" w:rsidRDefault="005402AB" w:rsidP="005402AB">
      <w:pPr>
        <w:pStyle w:val="T1"/>
        <w:spacing w:before="0" w:after="0" w:line="240" w:lineRule="auto"/>
        <w:rPr>
          <w:rFonts w:asciiTheme="minorHAnsi" w:hAnsiTheme="minorHAnsi" w:cs="Arial"/>
          <w:b w:val="0"/>
          <w:sz w:val="22"/>
          <w:szCs w:val="22"/>
          <w:lang w:val="hr-HR"/>
        </w:rPr>
      </w:pPr>
    </w:p>
    <w:p w:rsidR="007860FB" w:rsidRPr="001567C8" w:rsidRDefault="007860FB" w:rsidP="005402AB">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Najveći dio transakcija s povezanim stranama čine transakcije s Republikom Hrvatskom, 100%-tnim vlasnikom Banke i državnim trgovačkim društvima</w:t>
      </w:r>
      <w:r w:rsidR="000040E6" w:rsidRPr="001567C8">
        <w:rPr>
          <w:rFonts w:asciiTheme="minorHAnsi" w:hAnsiTheme="minorHAnsi" w:cs="Arial"/>
          <w:b w:val="0"/>
          <w:sz w:val="22"/>
          <w:szCs w:val="22"/>
          <w:lang w:val="hr-HR"/>
        </w:rPr>
        <w:t xml:space="preserve"> nad kojima </w:t>
      </w:r>
      <w:r w:rsidRPr="001567C8">
        <w:rPr>
          <w:rFonts w:asciiTheme="minorHAnsi" w:hAnsiTheme="minorHAnsi" w:cs="Arial"/>
          <w:b w:val="0"/>
          <w:sz w:val="22"/>
          <w:szCs w:val="22"/>
          <w:lang w:val="hr-HR"/>
        </w:rPr>
        <w:t xml:space="preserve"> </w:t>
      </w:r>
      <w:r w:rsidR="000040E6" w:rsidRPr="001567C8">
        <w:rPr>
          <w:rFonts w:asciiTheme="minorHAnsi" w:hAnsiTheme="minorHAnsi" w:cs="Arial"/>
          <w:b w:val="0"/>
          <w:sz w:val="22"/>
          <w:szCs w:val="22"/>
          <w:lang w:val="hr-HR"/>
        </w:rPr>
        <w:t>Republika Hrvatska ima kontrolni utjecaj</w:t>
      </w:r>
      <w:r w:rsidRPr="001567C8">
        <w:rPr>
          <w:rFonts w:asciiTheme="minorHAnsi" w:hAnsiTheme="minorHAnsi" w:cs="Arial"/>
          <w:b w:val="0"/>
          <w:sz w:val="22"/>
          <w:szCs w:val="22"/>
          <w:lang w:val="hr-HR"/>
        </w:rPr>
        <w:t>.</w:t>
      </w:r>
    </w:p>
    <w:p w:rsidR="0063667F" w:rsidRPr="001567C8" w:rsidRDefault="0063667F" w:rsidP="005402AB">
      <w:pPr>
        <w:pStyle w:val="T1"/>
        <w:spacing w:before="0" w:after="0" w:line="240" w:lineRule="auto"/>
        <w:rPr>
          <w:rFonts w:asciiTheme="minorHAnsi" w:hAnsiTheme="minorHAnsi" w:cs="Arial"/>
          <w:b w:val="0"/>
          <w:sz w:val="22"/>
          <w:szCs w:val="22"/>
          <w:lang w:val="hr-HR"/>
        </w:rPr>
      </w:pPr>
    </w:p>
    <w:p w:rsidR="003A55C8" w:rsidRPr="001567C8" w:rsidRDefault="003A55C8" w:rsidP="005402AB">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Sve iskazane transakcije obavljene su po uobičajenim/redovnim uvjetima Banke. </w:t>
      </w:r>
    </w:p>
    <w:p w:rsidR="005402AB" w:rsidRPr="001567C8" w:rsidRDefault="005402AB" w:rsidP="005402AB">
      <w:pPr>
        <w:pStyle w:val="T1"/>
        <w:spacing w:before="0" w:after="0" w:line="240" w:lineRule="auto"/>
        <w:rPr>
          <w:rFonts w:asciiTheme="minorHAnsi" w:hAnsiTheme="minorHAnsi" w:cs="Arial"/>
          <w:b w:val="0"/>
          <w:sz w:val="22"/>
          <w:szCs w:val="22"/>
          <w:lang w:val="hr-HR"/>
        </w:rPr>
      </w:pPr>
    </w:p>
    <w:p w:rsidR="007860FB" w:rsidRPr="001567C8" w:rsidRDefault="007860FB" w:rsidP="005402AB">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Na dan 31. prosinca </w:t>
      </w:r>
      <w:r w:rsidR="008402AC" w:rsidRPr="001567C8">
        <w:rPr>
          <w:rFonts w:asciiTheme="minorHAnsi" w:hAnsiTheme="minorHAnsi" w:cs="Arial"/>
          <w:b w:val="0"/>
          <w:sz w:val="22"/>
          <w:szCs w:val="22"/>
          <w:lang w:val="hr-HR"/>
        </w:rPr>
        <w:t>2018</w:t>
      </w:r>
      <w:r w:rsidRPr="001567C8">
        <w:rPr>
          <w:rFonts w:asciiTheme="minorHAnsi" w:hAnsiTheme="minorHAnsi" w:cs="Arial"/>
          <w:b w:val="0"/>
          <w:sz w:val="22"/>
          <w:szCs w:val="22"/>
          <w:lang w:val="hr-HR"/>
        </w:rPr>
        <w:t xml:space="preserve">. i 31. prosinca </w:t>
      </w:r>
      <w:r w:rsidR="008402AC" w:rsidRPr="001567C8">
        <w:rPr>
          <w:rFonts w:asciiTheme="minorHAnsi" w:hAnsiTheme="minorHAnsi" w:cs="Arial"/>
          <w:b w:val="0"/>
          <w:sz w:val="22"/>
          <w:szCs w:val="22"/>
          <w:lang w:val="hr-HR"/>
        </w:rPr>
        <w:t>2017</w:t>
      </w:r>
      <w:r w:rsidRPr="001567C8">
        <w:rPr>
          <w:rFonts w:asciiTheme="minorHAnsi" w:hAnsiTheme="minorHAnsi" w:cs="Arial"/>
          <w:b w:val="0"/>
          <w:sz w:val="22"/>
          <w:szCs w:val="22"/>
          <w:lang w:val="hr-HR"/>
        </w:rPr>
        <w:t xml:space="preserve">. godine, stanja koja proizlaze iz transakcija s povezanim stranama, uključujući ključne članove rukovodstva, obuhvaćaju sljedeće: </w:t>
      </w:r>
    </w:p>
    <w:p w:rsidR="0029774F" w:rsidRPr="001567C8" w:rsidRDefault="0029774F" w:rsidP="005402AB">
      <w:pPr>
        <w:pStyle w:val="T1"/>
        <w:spacing w:before="0" w:after="0" w:line="240" w:lineRule="auto"/>
        <w:rPr>
          <w:rFonts w:asciiTheme="minorHAnsi" w:hAnsiTheme="minorHAnsi" w:cs="Arial"/>
          <w:b w:val="0"/>
          <w:sz w:val="22"/>
          <w:szCs w:val="22"/>
          <w:lang w:val="hr-HR"/>
        </w:rPr>
      </w:pPr>
    </w:p>
    <w:p w:rsidR="007860FB" w:rsidRPr="001567C8" w:rsidRDefault="007860FB" w:rsidP="002B5EA8">
      <w:pPr>
        <w:pStyle w:val="T1"/>
        <w:numPr>
          <w:ilvl w:val="0"/>
          <w:numId w:val="9"/>
        </w:numPr>
        <w:spacing w:before="0" w:after="0" w:line="240" w:lineRule="auto"/>
        <w:ind w:left="567" w:hanging="567"/>
        <w:rPr>
          <w:rFonts w:asciiTheme="minorHAnsi" w:hAnsiTheme="minorHAnsi" w:cs="Arial"/>
          <w:b w:val="0"/>
          <w:sz w:val="22"/>
          <w:szCs w:val="22"/>
          <w:lang w:val="hr-HR"/>
        </w:rPr>
      </w:pPr>
      <w:r w:rsidRPr="001567C8">
        <w:rPr>
          <w:rFonts w:asciiTheme="minorHAnsi" w:hAnsiTheme="minorHAnsi" w:cs="Arial"/>
          <w:b w:val="0"/>
          <w:sz w:val="22"/>
          <w:szCs w:val="22"/>
          <w:lang w:val="hr-HR"/>
        </w:rPr>
        <w:t>Transakcije s povezanim stranama</w:t>
      </w:r>
    </w:p>
    <w:p w:rsidR="005402AB" w:rsidRPr="001567C8" w:rsidRDefault="005402AB" w:rsidP="005402AB">
      <w:pPr>
        <w:pStyle w:val="T1"/>
        <w:spacing w:before="0" w:after="0" w:line="240" w:lineRule="auto"/>
        <w:ind w:left="357"/>
        <w:rPr>
          <w:rFonts w:asciiTheme="minorHAnsi" w:hAnsiTheme="minorHAnsi" w:cs="Arial"/>
          <w:b w:val="0"/>
          <w:sz w:val="22"/>
          <w:szCs w:val="22"/>
          <w:lang w:val="hr-HR"/>
        </w:rPr>
      </w:pPr>
    </w:p>
    <w:p w:rsidR="00BE20C8" w:rsidRPr="001567C8" w:rsidRDefault="00BE20C8" w:rsidP="005402AB">
      <w:pPr>
        <w:pStyle w:val="T1"/>
        <w:spacing w:before="0" w:after="0" w:line="240" w:lineRule="auto"/>
        <w:ind w:left="357"/>
        <w:rPr>
          <w:rFonts w:asciiTheme="minorHAnsi" w:hAnsiTheme="minorHAnsi" w:cs="Arial"/>
          <w:b w:val="0"/>
          <w:sz w:val="22"/>
          <w:szCs w:val="22"/>
          <w:lang w:val="hr-HR"/>
        </w:rPr>
      </w:pPr>
    </w:p>
    <w:tbl>
      <w:tblPr>
        <w:tblW w:w="4886" w:type="pct"/>
        <w:jc w:val="center"/>
        <w:tblLayout w:type="fixed"/>
        <w:tblCellMar>
          <w:left w:w="113" w:type="dxa"/>
          <w:right w:w="85" w:type="dxa"/>
        </w:tblCellMar>
        <w:tblLook w:val="00A0" w:firstRow="1" w:lastRow="0" w:firstColumn="1" w:lastColumn="0" w:noHBand="0" w:noVBand="0"/>
      </w:tblPr>
      <w:tblGrid>
        <w:gridCol w:w="3760"/>
        <w:gridCol w:w="1344"/>
        <w:gridCol w:w="1343"/>
        <w:gridCol w:w="1341"/>
        <w:gridCol w:w="6"/>
        <w:gridCol w:w="1348"/>
      </w:tblGrid>
      <w:tr w:rsidR="003A36A6" w:rsidRPr="001567C8" w:rsidTr="003A36A6">
        <w:trPr>
          <w:trHeight w:hRule="exact" w:val="284"/>
          <w:jc w:val="center"/>
        </w:trPr>
        <w:tc>
          <w:tcPr>
            <w:tcW w:w="3760"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r w:rsidRPr="001567C8">
              <w:rPr>
                <w:rFonts w:ascii="Calibri" w:eastAsia="Calibri" w:hAnsi="Calibri" w:cs="Arial"/>
                <w:b/>
                <w:sz w:val="20"/>
                <w:szCs w:val="20"/>
                <w:lang w:val="hr-HR"/>
              </w:rPr>
              <w:t>Grupa</w:t>
            </w:r>
          </w:p>
        </w:tc>
        <w:tc>
          <w:tcPr>
            <w:tcW w:w="1344" w:type="dxa"/>
            <w:vAlign w:val="center"/>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Izloženost</w:t>
            </w:r>
          </w:p>
        </w:tc>
        <w:tc>
          <w:tcPr>
            <w:tcW w:w="1343" w:type="dxa"/>
            <w:vAlign w:val="center"/>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Obveze</w:t>
            </w:r>
          </w:p>
        </w:tc>
        <w:tc>
          <w:tcPr>
            <w:tcW w:w="1347" w:type="dxa"/>
            <w:gridSpan w:val="2"/>
            <w:vAlign w:val="center"/>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Izloženost</w:t>
            </w:r>
          </w:p>
        </w:tc>
        <w:tc>
          <w:tcPr>
            <w:tcW w:w="1348" w:type="dxa"/>
            <w:vAlign w:val="center"/>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Obveze</w:t>
            </w:r>
          </w:p>
        </w:tc>
      </w:tr>
      <w:tr w:rsidR="003A36A6" w:rsidRPr="001567C8" w:rsidTr="003C6BA3">
        <w:trPr>
          <w:trHeight w:hRule="exact" w:val="519"/>
          <w:jc w:val="center"/>
        </w:trPr>
        <w:tc>
          <w:tcPr>
            <w:tcW w:w="3760"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p>
        </w:tc>
        <w:tc>
          <w:tcPr>
            <w:tcW w:w="1344" w:type="dxa"/>
            <w:vAlign w:val="center"/>
          </w:tcPr>
          <w:p w:rsidR="003A36A6" w:rsidRPr="001567C8" w:rsidRDefault="00AD2EF7">
            <w:pPr>
              <w:tabs>
                <w:tab w:val="right" w:pos="1202"/>
              </w:tabs>
              <w:jc w:val="right"/>
              <w:outlineLvl w:val="0"/>
              <w:rPr>
                <w:rFonts w:ascii="Calibri" w:eastAsia="Calibri" w:hAnsi="Calibri" w:cs="Arial"/>
                <w:b/>
                <w:bCs/>
                <w:iCs/>
                <w:sz w:val="20"/>
                <w:szCs w:val="20"/>
                <w:lang w:val="hr-HR"/>
              </w:rPr>
            </w:pPr>
            <w:r>
              <w:rPr>
                <w:rFonts w:ascii="Calibri" w:eastAsia="Calibri" w:hAnsi="Calibri" w:cs="Arial"/>
                <w:b/>
                <w:bCs/>
                <w:iCs/>
                <w:sz w:val="20"/>
                <w:szCs w:val="20"/>
                <w:lang w:val="hr-HR"/>
              </w:rPr>
              <w:t>31. prosin</w:t>
            </w:r>
            <w:r w:rsidR="00434C7E" w:rsidRPr="001567C8">
              <w:rPr>
                <w:rFonts w:ascii="Calibri" w:eastAsia="Calibri" w:hAnsi="Calibri" w:cs="Arial"/>
                <w:b/>
                <w:bCs/>
                <w:iCs/>
                <w:sz w:val="20"/>
                <w:szCs w:val="20"/>
                <w:lang w:val="hr-HR"/>
              </w:rPr>
              <w:t>c</w:t>
            </w:r>
            <w:r>
              <w:rPr>
                <w:rFonts w:ascii="Calibri" w:eastAsia="Calibri" w:hAnsi="Calibri" w:cs="Arial"/>
                <w:b/>
                <w:bCs/>
                <w:iCs/>
                <w:sz w:val="20"/>
                <w:szCs w:val="20"/>
                <w:lang w:val="hr-HR"/>
              </w:rPr>
              <w:t>a</w:t>
            </w:r>
            <w:r w:rsidR="00434C7E" w:rsidRPr="001567C8">
              <w:rPr>
                <w:rFonts w:ascii="Calibri" w:eastAsia="Calibri" w:hAnsi="Calibri" w:cs="Arial"/>
                <w:b/>
                <w:bCs/>
                <w:iCs/>
                <w:sz w:val="20"/>
                <w:szCs w:val="20"/>
                <w:lang w:val="hr-HR"/>
              </w:rPr>
              <w:t xml:space="preserve"> </w:t>
            </w:r>
            <w:r w:rsidR="003A36A6" w:rsidRPr="001567C8">
              <w:rPr>
                <w:rFonts w:ascii="Calibri" w:eastAsia="Calibri" w:hAnsi="Calibri" w:cs="Arial"/>
                <w:b/>
                <w:bCs/>
                <w:iCs/>
                <w:sz w:val="20"/>
                <w:szCs w:val="20"/>
                <w:lang w:val="hr-HR"/>
              </w:rPr>
              <w:t>2018.</w:t>
            </w:r>
          </w:p>
        </w:tc>
        <w:tc>
          <w:tcPr>
            <w:tcW w:w="1343" w:type="dxa"/>
            <w:vAlign w:val="center"/>
          </w:tcPr>
          <w:p w:rsidR="003A36A6" w:rsidRPr="001567C8" w:rsidRDefault="00AD2EF7">
            <w:pPr>
              <w:tabs>
                <w:tab w:val="right" w:pos="1202"/>
              </w:tabs>
              <w:jc w:val="right"/>
              <w:outlineLvl w:val="0"/>
              <w:rPr>
                <w:rFonts w:ascii="Calibri" w:eastAsia="Calibri" w:hAnsi="Calibri" w:cs="Arial"/>
                <w:b/>
                <w:bCs/>
                <w:iCs/>
                <w:sz w:val="20"/>
                <w:szCs w:val="20"/>
                <w:lang w:val="hr-HR"/>
              </w:rPr>
            </w:pPr>
            <w:r>
              <w:rPr>
                <w:rFonts w:ascii="Calibri" w:eastAsia="Calibri" w:hAnsi="Calibri" w:cs="Arial"/>
                <w:b/>
                <w:bCs/>
                <w:iCs/>
                <w:sz w:val="20"/>
                <w:szCs w:val="20"/>
                <w:lang w:val="hr-HR"/>
              </w:rPr>
              <w:t>31. prosin</w:t>
            </w:r>
            <w:r w:rsidRPr="001567C8">
              <w:rPr>
                <w:rFonts w:ascii="Calibri" w:eastAsia="Calibri" w:hAnsi="Calibri" w:cs="Arial"/>
                <w:b/>
                <w:bCs/>
                <w:iCs/>
                <w:sz w:val="20"/>
                <w:szCs w:val="20"/>
                <w:lang w:val="hr-HR"/>
              </w:rPr>
              <w:t>c</w:t>
            </w:r>
            <w:r>
              <w:rPr>
                <w:rFonts w:ascii="Calibri" w:eastAsia="Calibri" w:hAnsi="Calibri" w:cs="Arial"/>
                <w:b/>
                <w:bCs/>
                <w:iCs/>
                <w:sz w:val="20"/>
                <w:szCs w:val="20"/>
                <w:lang w:val="hr-HR"/>
              </w:rPr>
              <w:t>a</w:t>
            </w:r>
            <w:r w:rsidRPr="001567C8">
              <w:rPr>
                <w:rFonts w:ascii="Calibri" w:eastAsia="Calibri" w:hAnsi="Calibri" w:cs="Arial"/>
                <w:b/>
                <w:bCs/>
                <w:iCs/>
                <w:sz w:val="20"/>
                <w:szCs w:val="20"/>
                <w:lang w:val="hr-HR"/>
              </w:rPr>
              <w:t xml:space="preserve"> </w:t>
            </w:r>
            <w:r w:rsidR="003A36A6" w:rsidRPr="001567C8">
              <w:rPr>
                <w:rFonts w:ascii="Calibri" w:eastAsia="Calibri" w:hAnsi="Calibri" w:cs="Arial"/>
                <w:b/>
                <w:bCs/>
                <w:iCs/>
                <w:sz w:val="20"/>
                <w:szCs w:val="20"/>
                <w:lang w:val="hr-HR"/>
              </w:rPr>
              <w:t>2018.</w:t>
            </w:r>
          </w:p>
        </w:tc>
        <w:tc>
          <w:tcPr>
            <w:tcW w:w="1341" w:type="dxa"/>
            <w:vAlign w:val="center"/>
          </w:tcPr>
          <w:p w:rsidR="003A36A6" w:rsidRPr="001567C8" w:rsidRDefault="00AD2EF7">
            <w:pPr>
              <w:tabs>
                <w:tab w:val="right" w:pos="1202"/>
              </w:tabs>
              <w:jc w:val="right"/>
              <w:outlineLvl w:val="0"/>
              <w:rPr>
                <w:rFonts w:ascii="Calibri" w:eastAsia="Calibri" w:hAnsi="Calibri" w:cs="Arial"/>
                <w:b/>
                <w:bCs/>
                <w:iCs/>
                <w:sz w:val="20"/>
                <w:szCs w:val="20"/>
                <w:lang w:val="hr-HR"/>
              </w:rPr>
            </w:pPr>
            <w:r>
              <w:rPr>
                <w:rFonts w:ascii="Calibri" w:eastAsia="Calibri" w:hAnsi="Calibri" w:cs="Arial"/>
                <w:b/>
                <w:bCs/>
                <w:iCs/>
                <w:sz w:val="20"/>
                <w:szCs w:val="20"/>
                <w:lang w:val="hr-HR"/>
              </w:rPr>
              <w:t>31. prosin</w:t>
            </w:r>
            <w:r w:rsidRPr="001567C8">
              <w:rPr>
                <w:rFonts w:ascii="Calibri" w:eastAsia="Calibri" w:hAnsi="Calibri" w:cs="Arial"/>
                <w:b/>
                <w:bCs/>
                <w:iCs/>
                <w:sz w:val="20"/>
                <w:szCs w:val="20"/>
                <w:lang w:val="hr-HR"/>
              </w:rPr>
              <w:t>c</w:t>
            </w:r>
            <w:r>
              <w:rPr>
                <w:rFonts w:ascii="Calibri" w:eastAsia="Calibri" w:hAnsi="Calibri" w:cs="Arial"/>
                <w:b/>
                <w:bCs/>
                <w:iCs/>
                <w:sz w:val="20"/>
                <w:szCs w:val="20"/>
                <w:lang w:val="hr-HR"/>
              </w:rPr>
              <w:t>a</w:t>
            </w:r>
            <w:r w:rsidRPr="001567C8">
              <w:rPr>
                <w:rFonts w:ascii="Calibri" w:eastAsia="Calibri" w:hAnsi="Calibri" w:cs="Arial"/>
                <w:b/>
                <w:bCs/>
                <w:iCs/>
                <w:sz w:val="20"/>
                <w:szCs w:val="20"/>
                <w:lang w:val="hr-HR"/>
              </w:rPr>
              <w:t xml:space="preserve"> </w:t>
            </w:r>
            <w:r w:rsidR="003A36A6" w:rsidRPr="001567C8">
              <w:rPr>
                <w:rFonts w:ascii="Calibri" w:eastAsia="Calibri" w:hAnsi="Calibri" w:cs="Arial"/>
                <w:b/>
                <w:bCs/>
                <w:iCs/>
                <w:sz w:val="20"/>
                <w:szCs w:val="20"/>
                <w:lang w:val="hr-HR"/>
              </w:rPr>
              <w:t>2017.</w:t>
            </w:r>
          </w:p>
        </w:tc>
        <w:tc>
          <w:tcPr>
            <w:tcW w:w="1354" w:type="dxa"/>
            <w:gridSpan w:val="2"/>
            <w:vAlign w:val="center"/>
          </w:tcPr>
          <w:p w:rsidR="003A36A6" w:rsidRPr="001567C8" w:rsidRDefault="00AD2EF7">
            <w:pPr>
              <w:tabs>
                <w:tab w:val="right" w:pos="1202"/>
              </w:tabs>
              <w:jc w:val="right"/>
              <w:outlineLvl w:val="0"/>
              <w:rPr>
                <w:rFonts w:ascii="Calibri" w:eastAsia="Calibri" w:hAnsi="Calibri" w:cs="Arial"/>
                <w:b/>
                <w:bCs/>
                <w:iCs/>
                <w:sz w:val="20"/>
                <w:szCs w:val="20"/>
                <w:lang w:val="hr-HR"/>
              </w:rPr>
            </w:pPr>
            <w:r>
              <w:rPr>
                <w:rFonts w:ascii="Calibri" w:eastAsia="Calibri" w:hAnsi="Calibri" w:cs="Arial"/>
                <w:b/>
                <w:bCs/>
                <w:iCs/>
                <w:sz w:val="20"/>
                <w:szCs w:val="20"/>
                <w:lang w:val="hr-HR"/>
              </w:rPr>
              <w:t>31. prosin</w:t>
            </w:r>
            <w:r w:rsidRPr="001567C8">
              <w:rPr>
                <w:rFonts w:ascii="Calibri" w:eastAsia="Calibri" w:hAnsi="Calibri" w:cs="Arial"/>
                <w:b/>
                <w:bCs/>
                <w:iCs/>
                <w:sz w:val="20"/>
                <w:szCs w:val="20"/>
                <w:lang w:val="hr-HR"/>
              </w:rPr>
              <w:t>c</w:t>
            </w:r>
            <w:r>
              <w:rPr>
                <w:rFonts w:ascii="Calibri" w:eastAsia="Calibri" w:hAnsi="Calibri" w:cs="Arial"/>
                <w:b/>
                <w:bCs/>
                <w:iCs/>
                <w:sz w:val="20"/>
                <w:szCs w:val="20"/>
                <w:lang w:val="hr-HR"/>
              </w:rPr>
              <w:t>a</w:t>
            </w:r>
            <w:r w:rsidRPr="001567C8">
              <w:rPr>
                <w:rFonts w:ascii="Calibri" w:eastAsia="Calibri" w:hAnsi="Calibri" w:cs="Arial"/>
                <w:b/>
                <w:bCs/>
                <w:iCs/>
                <w:sz w:val="20"/>
                <w:szCs w:val="20"/>
                <w:lang w:val="hr-HR"/>
              </w:rPr>
              <w:t xml:space="preserve"> </w:t>
            </w:r>
            <w:r w:rsidR="003A36A6" w:rsidRPr="001567C8">
              <w:rPr>
                <w:rFonts w:ascii="Calibri" w:eastAsia="Calibri" w:hAnsi="Calibri" w:cs="Arial"/>
                <w:b/>
                <w:bCs/>
                <w:iCs/>
                <w:sz w:val="20"/>
                <w:szCs w:val="20"/>
                <w:lang w:val="hr-HR"/>
              </w:rPr>
              <w:t>2017.</w:t>
            </w:r>
          </w:p>
        </w:tc>
      </w:tr>
      <w:tr w:rsidR="003A36A6" w:rsidRPr="001567C8" w:rsidTr="003A36A6">
        <w:trPr>
          <w:trHeight w:hRule="exact" w:val="284"/>
          <w:jc w:val="center"/>
        </w:trPr>
        <w:tc>
          <w:tcPr>
            <w:tcW w:w="3760"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p>
        </w:tc>
        <w:tc>
          <w:tcPr>
            <w:tcW w:w="1344" w:type="dxa"/>
            <w:tcBorders>
              <w:top w:val="nil"/>
              <w:left w:val="nil"/>
              <w:bottom w:val="nil"/>
              <w:right w:val="nil"/>
            </w:tcBorders>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43" w:type="dxa"/>
            <w:tcBorders>
              <w:top w:val="nil"/>
              <w:left w:val="nil"/>
              <w:bottom w:val="nil"/>
              <w:right w:val="nil"/>
            </w:tcBorders>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41" w:type="dxa"/>
            <w:tcBorders>
              <w:top w:val="nil"/>
              <w:left w:val="nil"/>
              <w:bottom w:val="nil"/>
              <w:right w:val="nil"/>
            </w:tcBorders>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54" w:type="dxa"/>
            <w:gridSpan w:val="2"/>
            <w:tcBorders>
              <w:top w:val="nil"/>
              <w:left w:val="nil"/>
              <w:bottom w:val="nil"/>
              <w:right w:val="nil"/>
            </w:tcBorders>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r>
      <w:tr w:rsidR="003A36A6" w:rsidRPr="001567C8" w:rsidTr="00797EE8">
        <w:trPr>
          <w:trHeight w:hRule="exact" w:val="284"/>
          <w:jc w:val="center"/>
        </w:trPr>
        <w:tc>
          <w:tcPr>
            <w:tcW w:w="3760"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Vlasnik</w:t>
            </w:r>
          </w:p>
        </w:tc>
        <w:tc>
          <w:tcPr>
            <w:tcW w:w="1344" w:type="dxa"/>
            <w:shd w:val="clear" w:color="auto" w:fill="auto"/>
            <w:vAlign w:val="bottom"/>
          </w:tcPr>
          <w:p w:rsidR="003A36A6" w:rsidRPr="00CD3A2D" w:rsidRDefault="003A36A6" w:rsidP="00BB3DBE">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4.335.942</w:t>
            </w:r>
          </w:p>
        </w:tc>
        <w:tc>
          <w:tcPr>
            <w:tcW w:w="1343" w:type="dxa"/>
            <w:shd w:val="clear" w:color="auto" w:fill="auto"/>
            <w:vAlign w:val="bottom"/>
          </w:tcPr>
          <w:p w:rsidR="003A36A6" w:rsidRPr="00CD3A2D" w:rsidRDefault="003A36A6" w:rsidP="008C1241">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189.014</w:t>
            </w:r>
          </w:p>
        </w:tc>
        <w:tc>
          <w:tcPr>
            <w:tcW w:w="1341" w:type="dxa"/>
            <w:tcBorders>
              <w:top w:val="nil"/>
              <w:bottom w:val="nil"/>
              <w:right w:val="nil"/>
            </w:tcBorders>
            <w:vAlign w:val="bottom"/>
          </w:tcPr>
          <w:p w:rsidR="003A36A6" w:rsidRPr="001567C8" w:rsidRDefault="003A36A6" w:rsidP="00F0295E">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3.059.698</w:t>
            </w:r>
          </w:p>
        </w:tc>
        <w:tc>
          <w:tcPr>
            <w:tcW w:w="1354" w:type="dxa"/>
            <w:gridSpan w:val="2"/>
            <w:tcBorders>
              <w:top w:val="nil"/>
              <w:left w:val="nil"/>
              <w:bottom w:val="nil"/>
              <w:right w:val="nil"/>
            </w:tcBorders>
            <w:vAlign w:val="bottom"/>
          </w:tcPr>
          <w:p w:rsidR="003A36A6" w:rsidRPr="001567C8" w:rsidRDefault="003A36A6" w:rsidP="00DC6A16">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185.536</w:t>
            </w:r>
          </w:p>
        </w:tc>
      </w:tr>
      <w:tr w:rsidR="003A36A6" w:rsidRPr="001567C8" w:rsidTr="00797EE8">
        <w:trPr>
          <w:trHeight w:hRule="exact" w:val="284"/>
          <w:jc w:val="center"/>
        </w:trPr>
        <w:tc>
          <w:tcPr>
            <w:tcW w:w="3760"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Državni fondovi, izvršna tijela i agencije</w:t>
            </w:r>
          </w:p>
        </w:tc>
        <w:tc>
          <w:tcPr>
            <w:tcW w:w="1344" w:type="dxa"/>
            <w:shd w:val="clear" w:color="auto" w:fill="auto"/>
            <w:vAlign w:val="bottom"/>
          </w:tcPr>
          <w:p w:rsidR="003A36A6" w:rsidRPr="00CD3A2D" w:rsidRDefault="003A36A6" w:rsidP="00BB3DBE">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1.044.262</w:t>
            </w:r>
          </w:p>
        </w:tc>
        <w:tc>
          <w:tcPr>
            <w:tcW w:w="1343" w:type="dxa"/>
            <w:shd w:val="clear" w:color="auto" w:fill="auto"/>
            <w:vAlign w:val="bottom"/>
          </w:tcPr>
          <w:p w:rsidR="003A36A6" w:rsidRPr="00CD3A2D" w:rsidRDefault="003A36A6" w:rsidP="008C1241">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189.877</w:t>
            </w:r>
          </w:p>
        </w:tc>
        <w:tc>
          <w:tcPr>
            <w:tcW w:w="1341" w:type="dxa"/>
            <w:tcBorders>
              <w:top w:val="nil"/>
              <w:bottom w:val="nil"/>
              <w:right w:val="nil"/>
            </w:tcBorders>
            <w:vAlign w:val="bottom"/>
          </w:tcPr>
          <w:p w:rsidR="003A36A6" w:rsidRPr="001567C8" w:rsidRDefault="003A36A6" w:rsidP="00F0295E">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1.076.606</w:t>
            </w:r>
          </w:p>
        </w:tc>
        <w:tc>
          <w:tcPr>
            <w:tcW w:w="1354" w:type="dxa"/>
            <w:gridSpan w:val="2"/>
            <w:tcBorders>
              <w:top w:val="nil"/>
              <w:left w:val="nil"/>
              <w:bottom w:val="nil"/>
              <w:right w:val="nil"/>
            </w:tcBorders>
            <w:vAlign w:val="bottom"/>
          </w:tcPr>
          <w:p w:rsidR="003A36A6" w:rsidRPr="001567C8" w:rsidRDefault="003A36A6" w:rsidP="00DC6A16">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30.358</w:t>
            </w:r>
          </w:p>
        </w:tc>
      </w:tr>
      <w:tr w:rsidR="003A36A6" w:rsidRPr="001567C8" w:rsidTr="00797EE8">
        <w:trPr>
          <w:trHeight w:hRule="exact" w:val="284"/>
          <w:jc w:val="center"/>
        </w:trPr>
        <w:tc>
          <w:tcPr>
            <w:tcW w:w="3760"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Državna trgovačka društva</w:t>
            </w:r>
          </w:p>
        </w:tc>
        <w:tc>
          <w:tcPr>
            <w:tcW w:w="1344" w:type="dxa"/>
            <w:shd w:val="clear" w:color="auto" w:fill="auto"/>
            <w:vAlign w:val="bottom"/>
          </w:tcPr>
          <w:p w:rsidR="003A36A6" w:rsidRPr="00CD3A2D" w:rsidRDefault="003A36A6" w:rsidP="00BB3DBE">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1.118.540</w:t>
            </w:r>
          </w:p>
        </w:tc>
        <w:tc>
          <w:tcPr>
            <w:tcW w:w="1343" w:type="dxa"/>
            <w:shd w:val="clear" w:color="auto" w:fill="auto"/>
            <w:vAlign w:val="bottom"/>
          </w:tcPr>
          <w:p w:rsidR="003A36A6" w:rsidRPr="00CD3A2D" w:rsidRDefault="000F3420" w:rsidP="008C1241">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19</w:t>
            </w:r>
          </w:p>
        </w:tc>
        <w:tc>
          <w:tcPr>
            <w:tcW w:w="1341" w:type="dxa"/>
            <w:tcBorders>
              <w:top w:val="nil"/>
              <w:bottom w:val="nil"/>
              <w:right w:val="nil"/>
            </w:tcBorders>
            <w:vAlign w:val="bottom"/>
          </w:tcPr>
          <w:p w:rsidR="003A36A6" w:rsidRPr="001567C8" w:rsidRDefault="003A36A6" w:rsidP="00F0295E">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1.354.828</w:t>
            </w:r>
          </w:p>
        </w:tc>
        <w:tc>
          <w:tcPr>
            <w:tcW w:w="1354" w:type="dxa"/>
            <w:gridSpan w:val="2"/>
            <w:tcBorders>
              <w:top w:val="nil"/>
              <w:left w:val="nil"/>
              <w:bottom w:val="nil"/>
              <w:right w:val="nil"/>
            </w:tcBorders>
            <w:vAlign w:val="bottom"/>
          </w:tcPr>
          <w:p w:rsidR="003A36A6" w:rsidRPr="001567C8" w:rsidRDefault="003A36A6" w:rsidP="00DC6A16">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1</w:t>
            </w:r>
          </w:p>
        </w:tc>
      </w:tr>
      <w:tr w:rsidR="003A36A6" w:rsidRPr="001567C8" w:rsidTr="00797EE8">
        <w:trPr>
          <w:trHeight w:hRule="exact" w:val="284"/>
          <w:jc w:val="center"/>
        </w:trPr>
        <w:tc>
          <w:tcPr>
            <w:tcW w:w="3760" w:type="dxa"/>
            <w:vAlign w:val="bottom"/>
          </w:tcPr>
          <w:p w:rsidR="003A36A6" w:rsidRPr="001567C8" w:rsidRDefault="003A36A6" w:rsidP="003A36A6">
            <w:pPr>
              <w:tabs>
                <w:tab w:val="right" w:pos="1202"/>
              </w:tabs>
              <w:outlineLvl w:val="0"/>
              <w:rPr>
                <w:rFonts w:ascii="Calibri" w:eastAsia="Calibri" w:hAnsi="Calibri" w:cs="Arial"/>
                <w:bCs/>
                <w:sz w:val="20"/>
                <w:szCs w:val="20"/>
                <w:lang w:val="hr-HR"/>
              </w:rPr>
            </w:pPr>
            <w:r w:rsidRPr="001567C8">
              <w:rPr>
                <w:rFonts w:ascii="Calibri" w:eastAsia="Calibri" w:hAnsi="Calibri" w:cs="Arial"/>
                <w:sz w:val="20"/>
                <w:szCs w:val="20"/>
                <w:lang w:val="hr-HR"/>
              </w:rPr>
              <w:t>Pridružena društva</w:t>
            </w:r>
          </w:p>
        </w:tc>
        <w:tc>
          <w:tcPr>
            <w:tcW w:w="1344" w:type="dxa"/>
            <w:shd w:val="clear" w:color="auto" w:fill="auto"/>
            <w:vAlign w:val="bottom"/>
          </w:tcPr>
          <w:p w:rsidR="003A36A6" w:rsidRPr="00CD3A2D" w:rsidRDefault="003A36A6" w:rsidP="00BB3DBE">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40</w:t>
            </w:r>
          </w:p>
        </w:tc>
        <w:tc>
          <w:tcPr>
            <w:tcW w:w="1343" w:type="dxa"/>
            <w:shd w:val="clear" w:color="auto" w:fill="auto"/>
            <w:vAlign w:val="bottom"/>
          </w:tcPr>
          <w:p w:rsidR="003A36A6" w:rsidRPr="00CD3A2D" w:rsidRDefault="003A36A6" w:rsidP="008C1241">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10</w:t>
            </w:r>
          </w:p>
        </w:tc>
        <w:tc>
          <w:tcPr>
            <w:tcW w:w="1341" w:type="dxa"/>
            <w:tcBorders>
              <w:top w:val="nil"/>
              <w:bottom w:val="nil"/>
              <w:right w:val="nil"/>
            </w:tcBorders>
            <w:vAlign w:val="bottom"/>
          </w:tcPr>
          <w:p w:rsidR="003A36A6" w:rsidRPr="001567C8" w:rsidRDefault="003A36A6" w:rsidP="00F0295E">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1</w:t>
            </w:r>
          </w:p>
        </w:tc>
        <w:tc>
          <w:tcPr>
            <w:tcW w:w="1354" w:type="dxa"/>
            <w:gridSpan w:val="2"/>
            <w:tcBorders>
              <w:top w:val="nil"/>
              <w:left w:val="nil"/>
              <w:bottom w:val="nil"/>
              <w:right w:val="nil"/>
            </w:tcBorders>
            <w:vAlign w:val="bottom"/>
          </w:tcPr>
          <w:p w:rsidR="003A36A6" w:rsidRPr="001567C8" w:rsidRDefault="003A36A6" w:rsidP="00DC6A16">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w:t>
            </w:r>
          </w:p>
        </w:tc>
      </w:tr>
      <w:tr w:rsidR="00761EA0" w:rsidRPr="001567C8" w:rsidTr="00761EA0">
        <w:trPr>
          <w:trHeight w:hRule="exact" w:val="284"/>
          <w:jc w:val="center"/>
        </w:trPr>
        <w:tc>
          <w:tcPr>
            <w:tcW w:w="3760" w:type="dxa"/>
            <w:vAlign w:val="bottom"/>
          </w:tcPr>
          <w:p w:rsidR="003A36A6" w:rsidRPr="001567C8" w:rsidRDefault="003A36A6" w:rsidP="003A36A6">
            <w:pPr>
              <w:tabs>
                <w:tab w:val="right" w:pos="1202"/>
              </w:tabs>
              <w:outlineLvl w:val="0"/>
              <w:rPr>
                <w:rFonts w:ascii="Calibri" w:eastAsia="Calibri" w:hAnsi="Calibri" w:cs="Arial"/>
                <w:bCs/>
                <w:sz w:val="20"/>
                <w:szCs w:val="20"/>
                <w:lang w:val="hr-HR"/>
              </w:rPr>
            </w:pPr>
            <w:r w:rsidRPr="001567C8">
              <w:rPr>
                <w:rFonts w:ascii="Calibri" w:eastAsia="Calibri" w:hAnsi="Calibri" w:cs="Arial"/>
                <w:bCs/>
                <w:sz w:val="20"/>
                <w:szCs w:val="20"/>
                <w:lang w:val="hr-HR"/>
              </w:rPr>
              <w:t>Ključni članovi rukovodstva</w:t>
            </w:r>
          </w:p>
        </w:tc>
        <w:tc>
          <w:tcPr>
            <w:tcW w:w="1344" w:type="dxa"/>
            <w:tcBorders>
              <w:bottom w:val="single" w:sz="4" w:space="0" w:color="000000"/>
            </w:tcBorders>
            <w:shd w:val="clear" w:color="auto" w:fill="auto"/>
            <w:vAlign w:val="bottom"/>
          </w:tcPr>
          <w:p w:rsidR="003A36A6" w:rsidRPr="00CD3A2D" w:rsidRDefault="003A36A6" w:rsidP="00BB3DBE">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4.498</w:t>
            </w:r>
          </w:p>
        </w:tc>
        <w:tc>
          <w:tcPr>
            <w:tcW w:w="1343" w:type="dxa"/>
            <w:tcBorders>
              <w:bottom w:val="single" w:sz="4" w:space="0" w:color="000000"/>
            </w:tcBorders>
            <w:shd w:val="clear" w:color="auto" w:fill="auto"/>
            <w:vAlign w:val="bottom"/>
          </w:tcPr>
          <w:p w:rsidR="003A36A6" w:rsidRPr="00CD3A2D" w:rsidRDefault="00BD5C30" w:rsidP="008C1241">
            <w:pPr>
              <w:tabs>
                <w:tab w:val="right" w:pos="1202"/>
              </w:tabs>
              <w:spacing w:line="280" w:lineRule="exact"/>
              <w:jc w:val="right"/>
              <w:outlineLvl w:val="0"/>
              <w:rPr>
                <w:rFonts w:ascii="Calibri" w:eastAsia="Calibri" w:hAnsi="Calibri"/>
                <w:sz w:val="20"/>
                <w:szCs w:val="20"/>
                <w:lang w:val="hr-HR"/>
              </w:rPr>
            </w:pPr>
            <w:r w:rsidRPr="00CD3A2D">
              <w:rPr>
                <w:rFonts w:asciiTheme="minorHAnsi" w:hAnsiTheme="minorHAnsi" w:cstheme="minorHAnsi"/>
                <w:sz w:val="20"/>
                <w:szCs w:val="20"/>
                <w:lang w:val="hr-HR"/>
              </w:rPr>
              <w:t>2.117</w:t>
            </w:r>
          </w:p>
        </w:tc>
        <w:tc>
          <w:tcPr>
            <w:tcW w:w="1341" w:type="dxa"/>
            <w:tcBorders>
              <w:top w:val="nil"/>
              <w:bottom w:val="single" w:sz="4" w:space="0" w:color="auto"/>
              <w:right w:val="nil"/>
            </w:tcBorders>
            <w:vAlign w:val="bottom"/>
          </w:tcPr>
          <w:p w:rsidR="003A36A6" w:rsidRPr="001567C8" w:rsidRDefault="003A36A6" w:rsidP="00F0295E">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5.073</w:t>
            </w:r>
          </w:p>
        </w:tc>
        <w:tc>
          <w:tcPr>
            <w:tcW w:w="1354" w:type="dxa"/>
            <w:gridSpan w:val="2"/>
            <w:tcBorders>
              <w:top w:val="nil"/>
              <w:left w:val="nil"/>
              <w:bottom w:val="single" w:sz="4" w:space="0" w:color="auto"/>
              <w:right w:val="nil"/>
            </w:tcBorders>
            <w:vAlign w:val="bottom"/>
          </w:tcPr>
          <w:p w:rsidR="003A36A6" w:rsidRPr="001567C8" w:rsidRDefault="000F3420" w:rsidP="00DC6A16">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eastAsia="Calibri" w:hAnsi="Calibri"/>
                <w:sz w:val="20"/>
                <w:szCs w:val="20"/>
                <w:lang w:val="hr-HR"/>
              </w:rPr>
              <w:t>1.991</w:t>
            </w:r>
          </w:p>
        </w:tc>
      </w:tr>
      <w:tr w:rsidR="003A36A6" w:rsidRPr="001567C8" w:rsidTr="00797EE8">
        <w:trPr>
          <w:trHeight w:val="329"/>
          <w:jc w:val="center"/>
        </w:trPr>
        <w:tc>
          <w:tcPr>
            <w:tcW w:w="3760" w:type="dxa"/>
            <w:vAlign w:val="bottom"/>
          </w:tcPr>
          <w:p w:rsidR="003A36A6" w:rsidRPr="001567C8" w:rsidRDefault="003A36A6" w:rsidP="003A36A6">
            <w:pPr>
              <w:tabs>
                <w:tab w:val="right" w:pos="1202"/>
              </w:tabs>
              <w:outlineLvl w:val="0"/>
              <w:rPr>
                <w:rFonts w:ascii="Calibri" w:eastAsia="Calibri" w:hAnsi="Calibri" w:cs="Arial"/>
                <w:b/>
                <w:sz w:val="20"/>
                <w:szCs w:val="20"/>
                <w:lang w:val="hr-HR"/>
              </w:rPr>
            </w:pPr>
            <w:r w:rsidRPr="001567C8">
              <w:rPr>
                <w:rFonts w:ascii="Calibri" w:eastAsia="Calibri" w:hAnsi="Calibri" w:cs="Arial"/>
                <w:b/>
                <w:sz w:val="20"/>
                <w:szCs w:val="20"/>
                <w:lang w:val="hr-HR"/>
              </w:rPr>
              <w:t>Ukupno</w:t>
            </w:r>
          </w:p>
        </w:tc>
        <w:tc>
          <w:tcPr>
            <w:tcW w:w="1344" w:type="dxa"/>
            <w:tcBorders>
              <w:top w:val="single" w:sz="4" w:space="0" w:color="auto"/>
              <w:bottom w:val="single" w:sz="12" w:space="0" w:color="auto"/>
            </w:tcBorders>
            <w:shd w:val="clear" w:color="auto" w:fill="auto"/>
            <w:vAlign w:val="bottom"/>
          </w:tcPr>
          <w:p w:rsidR="003A36A6" w:rsidRPr="001567C8" w:rsidRDefault="003A36A6" w:rsidP="003A36A6">
            <w:pPr>
              <w:tabs>
                <w:tab w:val="right" w:pos="1202"/>
              </w:tabs>
              <w:jc w:val="right"/>
              <w:outlineLvl w:val="0"/>
              <w:rPr>
                <w:rFonts w:ascii="Calibri" w:eastAsia="Calibri" w:hAnsi="Calibri"/>
                <w:b/>
                <w:sz w:val="20"/>
                <w:szCs w:val="20"/>
                <w:lang w:val="hr-HR"/>
              </w:rPr>
            </w:pPr>
            <w:r w:rsidRPr="00CD3A2D">
              <w:rPr>
                <w:rFonts w:asciiTheme="minorHAnsi" w:hAnsiTheme="minorHAnsi" w:cstheme="minorHAnsi"/>
                <w:b/>
                <w:sz w:val="20"/>
                <w:szCs w:val="20"/>
                <w:lang w:val="hr-HR"/>
              </w:rPr>
              <w:t>6.503.282</w:t>
            </w:r>
          </w:p>
        </w:tc>
        <w:tc>
          <w:tcPr>
            <w:tcW w:w="1343" w:type="dxa"/>
            <w:tcBorders>
              <w:top w:val="single" w:sz="4" w:space="0" w:color="auto"/>
              <w:bottom w:val="single" w:sz="12" w:space="0" w:color="auto"/>
            </w:tcBorders>
            <w:shd w:val="clear" w:color="auto" w:fill="auto"/>
            <w:vAlign w:val="bottom"/>
          </w:tcPr>
          <w:p w:rsidR="003A36A6" w:rsidRPr="001567C8" w:rsidRDefault="00BD5C30" w:rsidP="003A36A6">
            <w:pPr>
              <w:tabs>
                <w:tab w:val="right" w:pos="1202"/>
              </w:tabs>
              <w:jc w:val="right"/>
              <w:outlineLvl w:val="0"/>
              <w:rPr>
                <w:rFonts w:ascii="Calibri" w:eastAsia="Calibri" w:hAnsi="Calibri"/>
                <w:b/>
                <w:sz w:val="20"/>
                <w:szCs w:val="20"/>
                <w:lang w:val="hr-HR"/>
              </w:rPr>
            </w:pPr>
            <w:r w:rsidRPr="00CD3A2D">
              <w:rPr>
                <w:rFonts w:asciiTheme="minorHAnsi" w:hAnsiTheme="minorHAnsi" w:cstheme="minorHAnsi"/>
                <w:b/>
                <w:sz w:val="20"/>
                <w:szCs w:val="20"/>
                <w:lang w:val="hr-HR"/>
              </w:rPr>
              <w:t>381.037</w:t>
            </w:r>
          </w:p>
        </w:tc>
        <w:tc>
          <w:tcPr>
            <w:tcW w:w="1341" w:type="dxa"/>
            <w:tcBorders>
              <w:top w:val="single" w:sz="4" w:space="0" w:color="auto"/>
              <w:bottom w:val="single" w:sz="12" w:space="0" w:color="auto"/>
            </w:tcBorders>
            <w:vAlign w:val="bottom"/>
          </w:tcPr>
          <w:p w:rsidR="003A36A6" w:rsidRPr="001567C8" w:rsidRDefault="003A36A6" w:rsidP="003A36A6">
            <w:pPr>
              <w:tabs>
                <w:tab w:val="right" w:pos="1202"/>
              </w:tabs>
              <w:jc w:val="right"/>
              <w:outlineLvl w:val="0"/>
              <w:rPr>
                <w:rFonts w:ascii="Calibri" w:eastAsia="Calibri" w:hAnsi="Calibri" w:cs="Arial"/>
                <w:b/>
                <w:bCs/>
                <w:sz w:val="20"/>
                <w:szCs w:val="20"/>
                <w:lang w:val="hr-HR"/>
              </w:rPr>
            </w:pPr>
            <w:r w:rsidRPr="001567C8">
              <w:rPr>
                <w:rFonts w:ascii="Calibri" w:eastAsia="Calibri" w:hAnsi="Calibri"/>
                <w:b/>
                <w:sz w:val="20"/>
                <w:szCs w:val="20"/>
                <w:lang w:val="hr-HR"/>
              </w:rPr>
              <w:t>5.496.206</w:t>
            </w:r>
          </w:p>
        </w:tc>
        <w:tc>
          <w:tcPr>
            <w:tcW w:w="1354" w:type="dxa"/>
            <w:gridSpan w:val="2"/>
            <w:tcBorders>
              <w:top w:val="single" w:sz="4" w:space="0" w:color="auto"/>
              <w:bottom w:val="single" w:sz="12" w:space="0" w:color="auto"/>
            </w:tcBorders>
            <w:vAlign w:val="bottom"/>
          </w:tcPr>
          <w:p w:rsidR="003A36A6" w:rsidRPr="001567C8" w:rsidRDefault="000F3420" w:rsidP="003A36A6">
            <w:pPr>
              <w:tabs>
                <w:tab w:val="right" w:pos="1202"/>
              </w:tabs>
              <w:jc w:val="right"/>
              <w:outlineLvl w:val="0"/>
              <w:rPr>
                <w:rFonts w:ascii="Calibri" w:eastAsia="Calibri" w:hAnsi="Calibri" w:cs="Arial"/>
                <w:b/>
                <w:bCs/>
                <w:sz w:val="20"/>
                <w:szCs w:val="20"/>
                <w:lang w:val="hr-HR"/>
              </w:rPr>
            </w:pPr>
            <w:r w:rsidRPr="001567C8">
              <w:rPr>
                <w:rFonts w:ascii="Calibri" w:eastAsia="Calibri" w:hAnsi="Calibri"/>
                <w:b/>
                <w:sz w:val="20"/>
                <w:szCs w:val="20"/>
                <w:lang w:val="hr-HR"/>
              </w:rPr>
              <w:t>217.886</w:t>
            </w:r>
          </w:p>
        </w:tc>
      </w:tr>
    </w:tbl>
    <w:p w:rsidR="003A36A6" w:rsidRPr="001567C8" w:rsidRDefault="003A36A6" w:rsidP="005402AB">
      <w:pPr>
        <w:pStyle w:val="T1"/>
        <w:spacing w:before="0" w:after="0" w:line="240" w:lineRule="auto"/>
        <w:ind w:left="357"/>
        <w:rPr>
          <w:rFonts w:asciiTheme="minorHAnsi" w:hAnsiTheme="minorHAnsi" w:cs="Arial"/>
          <w:b w:val="0"/>
          <w:sz w:val="22"/>
          <w:szCs w:val="22"/>
          <w:lang w:val="hr-HR"/>
        </w:rPr>
      </w:pPr>
    </w:p>
    <w:p w:rsidR="00761EA0" w:rsidRPr="001567C8" w:rsidRDefault="00761EA0" w:rsidP="005402AB">
      <w:pPr>
        <w:pStyle w:val="T1"/>
        <w:spacing w:before="0" w:after="0" w:line="240" w:lineRule="auto"/>
        <w:ind w:left="357"/>
        <w:rPr>
          <w:rFonts w:asciiTheme="minorHAnsi" w:hAnsiTheme="minorHAnsi" w:cs="Arial"/>
          <w:b w:val="0"/>
          <w:sz w:val="22"/>
          <w:szCs w:val="22"/>
          <w:lang w:val="hr-HR"/>
        </w:rPr>
      </w:pPr>
    </w:p>
    <w:tbl>
      <w:tblPr>
        <w:tblW w:w="4839" w:type="pct"/>
        <w:jc w:val="center"/>
        <w:tblLayout w:type="fixed"/>
        <w:tblCellMar>
          <w:left w:w="113" w:type="dxa"/>
          <w:right w:w="85" w:type="dxa"/>
        </w:tblCellMar>
        <w:tblLook w:val="00A0" w:firstRow="1" w:lastRow="0" w:firstColumn="1" w:lastColumn="0" w:noHBand="0" w:noVBand="0"/>
      </w:tblPr>
      <w:tblGrid>
        <w:gridCol w:w="3685"/>
        <w:gridCol w:w="1390"/>
        <w:gridCol w:w="1391"/>
        <w:gridCol w:w="1251"/>
        <w:gridCol w:w="1337"/>
      </w:tblGrid>
      <w:tr w:rsidR="003A36A6" w:rsidRPr="001567C8" w:rsidTr="003A36A6">
        <w:trPr>
          <w:cantSplit/>
          <w:trHeight w:val="14"/>
          <w:jc w:val="center"/>
        </w:trPr>
        <w:tc>
          <w:tcPr>
            <w:tcW w:w="3685"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r w:rsidRPr="001567C8">
              <w:rPr>
                <w:rFonts w:ascii="Calibri" w:eastAsia="Calibri" w:hAnsi="Calibri" w:cs="Arial"/>
                <w:b/>
                <w:sz w:val="20"/>
                <w:szCs w:val="20"/>
                <w:lang w:val="hr-HR"/>
              </w:rPr>
              <w:t>Grupa</w:t>
            </w:r>
          </w:p>
        </w:tc>
        <w:tc>
          <w:tcPr>
            <w:tcW w:w="1390" w:type="dxa"/>
            <w:vAlign w:val="center"/>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Prihodi</w:t>
            </w:r>
          </w:p>
        </w:tc>
        <w:tc>
          <w:tcPr>
            <w:tcW w:w="1391" w:type="dxa"/>
            <w:vAlign w:val="center"/>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Rashodi</w:t>
            </w:r>
          </w:p>
        </w:tc>
        <w:tc>
          <w:tcPr>
            <w:tcW w:w="1251" w:type="dxa"/>
            <w:vAlign w:val="center"/>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Prihodi</w:t>
            </w:r>
          </w:p>
        </w:tc>
        <w:tc>
          <w:tcPr>
            <w:tcW w:w="1337" w:type="dxa"/>
            <w:vAlign w:val="center"/>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Rashodi</w:t>
            </w:r>
          </w:p>
        </w:tc>
      </w:tr>
      <w:tr w:rsidR="003A36A6" w:rsidRPr="001567C8" w:rsidTr="003C6BA3">
        <w:trPr>
          <w:cantSplit/>
          <w:trHeight w:hRule="exact" w:val="539"/>
          <w:jc w:val="center"/>
        </w:trPr>
        <w:tc>
          <w:tcPr>
            <w:tcW w:w="3685" w:type="dxa"/>
            <w:vAlign w:val="bottom"/>
          </w:tcPr>
          <w:p w:rsidR="003A36A6" w:rsidRPr="001567C8" w:rsidRDefault="003A36A6" w:rsidP="003A36A6">
            <w:pPr>
              <w:tabs>
                <w:tab w:val="right" w:pos="1202"/>
              </w:tabs>
              <w:outlineLvl w:val="0"/>
              <w:rPr>
                <w:rFonts w:ascii="Calibri" w:eastAsia="Calibri" w:hAnsi="Calibri" w:cs="Arial"/>
                <w:b/>
                <w:sz w:val="20"/>
                <w:szCs w:val="20"/>
                <w:lang w:val="hr-HR"/>
              </w:rPr>
            </w:pPr>
          </w:p>
        </w:tc>
        <w:tc>
          <w:tcPr>
            <w:tcW w:w="1390" w:type="dxa"/>
            <w:vAlign w:val="center"/>
          </w:tcPr>
          <w:p w:rsidR="003A36A6" w:rsidRPr="001567C8" w:rsidRDefault="00434C7E">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 xml:space="preserve">1.1. – 31.12. </w:t>
            </w:r>
            <w:r w:rsidR="003A36A6" w:rsidRPr="001567C8">
              <w:rPr>
                <w:rFonts w:ascii="Calibri" w:eastAsia="Calibri" w:hAnsi="Calibri" w:cs="Arial"/>
                <w:b/>
                <w:bCs/>
                <w:iCs/>
                <w:sz w:val="20"/>
                <w:szCs w:val="20"/>
                <w:lang w:val="hr-HR"/>
              </w:rPr>
              <w:t>2018.</w:t>
            </w:r>
          </w:p>
        </w:tc>
        <w:tc>
          <w:tcPr>
            <w:tcW w:w="1391" w:type="dxa"/>
            <w:vAlign w:val="center"/>
          </w:tcPr>
          <w:p w:rsidR="003A36A6" w:rsidRPr="001567C8" w:rsidRDefault="00434C7E">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 xml:space="preserve">1.1. – 31.12. </w:t>
            </w:r>
            <w:r w:rsidR="003A36A6" w:rsidRPr="001567C8">
              <w:rPr>
                <w:rFonts w:ascii="Calibri" w:eastAsia="Calibri" w:hAnsi="Calibri" w:cs="Arial"/>
                <w:b/>
                <w:bCs/>
                <w:iCs/>
                <w:sz w:val="20"/>
                <w:szCs w:val="20"/>
                <w:lang w:val="hr-HR"/>
              </w:rPr>
              <w:t>2018.</w:t>
            </w:r>
          </w:p>
        </w:tc>
        <w:tc>
          <w:tcPr>
            <w:tcW w:w="1251" w:type="dxa"/>
            <w:vAlign w:val="center"/>
          </w:tcPr>
          <w:p w:rsidR="003A36A6" w:rsidRPr="001567C8" w:rsidRDefault="00434C7E">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 xml:space="preserve">1.1. – 31.12. </w:t>
            </w:r>
            <w:r w:rsidR="003A36A6" w:rsidRPr="001567C8">
              <w:rPr>
                <w:rFonts w:ascii="Calibri" w:eastAsia="Calibri" w:hAnsi="Calibri" w:cs="Arial"/>
                <w:b/>
                <w:bCs/>
                <w:iCs/>
                <w:sz w:val="20"/>
                <w:szCs w:val="20"/>
                <w:lang w:val="hr-HR"/>
              </w:rPr>
              <w:t>2017.</w:t>
            </w:r>
          </w:p>
        </w:tc>
        <w:tc>
          <w:tcPr>
            <w:tcW w:w="1337" w:type="dxa"/>
            <w:vAlign w:val="center"/>
          </w:tcPr>
          <w:p w:rsidR="003A36A6" w:rsidRPr="001567C8" w:rsidRDefault="00434C7E">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 xml:space="preserve">1.1. – 31.12. </w:t>
            </w:r>
            <w:r w:rsidR="003A36A6" w:rsidRPr="001567C8">
              <w:rPr>
                <w:rFonts w:ascii="Calibri" w:eastAsia="Calibri" w:hAnsi="Calibri" w:cs="Arial"/>
                <w:b/>
                <w:bCs/>
                <w:iCs/>
                <w:sz w:val="20"/>
                <w:szCs w:val="20"/>
                <w:lang w:val="hr-HR"/>
              </w:rPr>
              <w:t>2017.</w:t>
            </w:r>
          </w:p>
        </w:tc>
      </w:tr>
      <w:tr w:rsidR="003A36A6" w:rsidRPr="001567C8" w:rsidTr="003A36A6">
        <w:trPr>
          <w:cantSplit/>
          <w:trHeight w:hRule="exact" w:val="284"/>
          <w:jc w:val="center"/>
        </w:trPr>
        <w:tc>
          <w:tcPr>
            <w:tcW w:w="3685" w:type="dxa"/>
            <w:vAlign w:val="bottom"/>
          </w:tcPr>
          <w:p w:rsidR="003A36A6" w:rsidRPr="001567C8" w:rsidRDefault="003A36A6" w:rsidP="003A36A6">
            <w:pPr>
              <w:tabs>
                <w:tab w:val="right" w:pos="1202"/>
              </w:tabs>
              <w:outlineLvl w:val="0"/>
              <w:rPr>
                <w:rFonts w:ascii="Calibri" w:eastAsia="Calibri" w:hAnsi="Calibri" w:cs="Arial"/>
                <w:b/>
                <w:sz w:val="20"/>
                <w:szCs w:val="20"/>
                <w:lang w:val="hr-HR"/>
              </w:rPr>
            </w:pPr>
          </w:p>
        </w:tc>
        <w:tc>
          <w:tcPr>
            <w:tcW w:w="1390" w:type="dxa"/>
            <w:tcBorders>
              <w:top w:val="nil"/>
              <w:left w:val="nil"/>
              <w:bottom w:val="nil"/>
              <w:right w:val="nil"/>
            </w:tcBorders>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91" w:type="dxa"/>
            <w:tcBorders>
              <w:top w:val="nil"/>
              <w:left w:val="nil"/>
              <w:bottom w:val="nil"/>
              <w:right w:val="nil"/>
            </w:tcBorders>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251" w:type="dxa"/>
            <w:tcBorders>
              <w:top w:val="nil"/>
              <w:left w:val="nil"/>
              <w:bottom w:val="nil"/>
              <w:right w:val="nil"/>
            </w:tcBorders>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37" w:type="dxa"/>
            <w:tcBorders>
              <w:top w:val="nil"/>
              <w:left w:val="nil"/>
              <w:bottom w:val="nil"/>
              <w:right w:val="nil"/>
            </w:tcBorders>
          </w:tcPr>
          <w:p w:rsidR="003A36A6" w:rsidRPr="001567C8" w:rsidRDefault="003A36A6" w:rsidP="003A36A6">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r>
      <w:tr w:rsidR="003A36A6" w:rsidRPr="001567C8" w:rsidTr="00797EE8">
        <w:trPr>
          <w:cantSplit/>
          <w:trHeight w:hRule="exact" w:val="284"/>
          <w:jc w:val="center"/>
        </w:trPr>
        <w:tc>
          <w:tcPr>
            <w:tcW w:w="3685"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Vlasnik</w:t>
            </w:r>
          </w:p>
        </w:tc>
        <w:tc>
          <w:tcPr>
            <w:tcW w:w="1390" w:type="dxa"/>
            <w:shd w:val="clear" w:color="auto" w:fill="auto"/>
            <w:vAlign w:val="bottom"/>
          </w:tcPr>
          <w:p w:rsidR="003A36A6" w:rsidRPr="001567C8" w:rsidRDefault="003A36A6" w:rsidP="00BB3DBE">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56.380</w:t>
            </w:r>
          </w:p>
        </w:tc>
        <w:tc>
          <w:tcPr>
            <w:tcW w:w="1391" w:type="dxa"/>
            <w:shd w:val="clear" w:color="auto" w:fill="auto"/>
            <w:vAlign w:val="bottom"/>
          </w:tcPr>
          <w:p w:rsidR="003A36A6" w:rsidRPr="001567C8" w:rsidRDefault="003A36A6" w:rsidP="008C1241">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6.519</w:t>
            </w:r>
          </w:p>
        </w:tc>
        <w:tc>
          <w:tcPr>
            <w:tcW w:w="1251" w:type="dxa"/>
            <w:shd w:val="clear" w:color="auto" w:fill="auto"/>
            <w:vAlign w:val="bottom"/>
          </w:tcPr>
          <w:p w:rsidR="003A36A6" w:rsidRPr="001567C8" w:rsidRDefault="003A36A6"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82.760</w:t>
            </w:r>
          </w:p>
        </w:tc>
        <w:tc>
          <w:tcPr>
            <w:tcW w:w="1337" w:type="dxa"/>
            <w:shd w:val="clear" w:color="auto" w:fill="auto"/>
            <w:vAlign w:val="bottom"/>
          </w:tcPr>
          <w:p w:rsidR="003A36A6" w:rsidRPr="001567C8" w:rsidRDefault="003A36A6"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581</w:t>
            </w:r>
          </w:p>
        </w:tc>
      </w:tr>
      <w:tr w:rsidR="003A36A6" w:rsidRPr="001567C8" w:rsidTr="00797EE8">
        <w:trPr>
          <w:cantSplit/>
          <w:trHeight w:hRule="exact" w:val="284"/>
          <w:jc w:val="center"/>
        </w:trPr>
        <w:tc>
          <w:tcPr>
            <w:tcW w:w="3685"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Državni fondovi, izvršna tijela i agencije</w:t>
            </w:r>
          </w:p>
        </w:tc>
        <w:tc>
          <w:tcPr>
            <w:tcW w:w="1390" w:type="dxa"/>
            <w:shd w:val="clear" w:color="auto" w:fill="auto"/>
            <w:vAlign w:val="bottom"/>
          </w:tcPr>
          <w:p w:rsidR="003A36A6" w:rsidRPr="001567C8" w:rsidRDefault="003A36A6" w:rsidP="00BB3DBE">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146.400</w:t>
            </w:r>
          </w:p>
        </w:tc>
        <w:tc>
          <w:tcPr>
            <w:tcW w:w="1391" w:type="dxa"/>
            <w:shd w:val="clear" w:color="auto" w:fill="auto"/>
            <w:vAlign w:val="bottom"/>
          </w:tcPr>
          <w:p w:rsidR="003A36A6" w:rsidRPr="001567C8" w:rsidRDefault="003A36A6" w:rsidP="008C1241">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710</w:t>
            </w:r>
          </w:p>
        </w:tc>
        <w:tc>
          <w:tcPr>
            <w:tcW w:w="1251" w:type="dxa"/>
            <w:shd w:val="clear" w:color="auto" w:fill="auto"/>
            <w:vAlign w:val="bottom"/>
          </w:tcPr>
          <w:p w:rsidR="003A36A6" w:rsidRPr="001567C8" w:rsidRDefault="003A36A6"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31.099</w:t>
            </w:r>
          </w:p>
        </w:tc>
        <w:tc>
          <w:tcPr>
            <w:tcW w:w="1337" w:type="dxa"/>
            <w:shd w:val="clear" w:color="auto" w:fill="auto"/>
            <w:vAlign w:val="bottom"/>
          </w:tcPr>
          <w:p w:rsidR="003A36A6" w:rsidRPr="001567C8" w:rsidRDefault="003A36A6"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1.327</w:t>
            </w:r>
          </w:p>
        </w:tc>
      </w:tr>
      <w:tr w:rsidR="003A36A6" w:rsidRPr="001567C8" w:rsidTr="00797EE8">
        <w:trPr>
          <w:cantSplit/>
          <w:trHeight w:hRule="exact" w:val="284"/>
          <w:jc w:val="center"/>
        </w:trPr>
        <w:tc>
          <w:tcPr>
            <w:tcW w:w="3685" w:type="dxa"/>
            <w:vAlign w:val="bottom"/>
          </w:tcPr>
          <w:p w:rsidR="003A36A6" w:rsidRPr="001567C8" w:rsidRDefault="003A36A6" w:rsidP="003A36A6">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Državna trgovačka društva</w:t>
            </w:r>
          </w:p>
        </w:tc>
        <w:tc>
          <w:tcPr>
            <w:tcW w:w="1390" w:type="dxa"/>
            <w:shd w:val="clear" w:color="auto" w:fill="auto"/>
            <w:vAlign w:val="bottom"/>
          </w:tcPr>
          <w:p w:rsidR="003A36A6" w:rsidRPr="001567C8" w:rsidRDefault="003A36A6" w:rsidP="00BB3DBE">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53.209</w:t>
            </w:r>
          </w:p>
        </w:tc>
        <w:tc>
          <w:tcPr>
            <w:tcW w:w="1391" w:type="dxa"/>
            <w:shd w:val="clear" w:color="auto" w:fill="auto"/>
            <w:vAlign w:val="bottom"/>
          </w:tcPr>
          <w:p w:rsidR="003A36A6" w:rsidRPr="001567C8" w:rsidRDefault="003A36A6" w:rsidP="008C1241">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15.469</w:t>
            </w:r>
          </w:p>
        </w:tc>
        <w:tc>
          <w:tcPr>
            <w:tcW w:w="1251" w:type="dxa"/>
            <w:shd w:val="clear" w:color="auto" w:fill="auto"/>
            <w:vAlign w:val="bottom"/>
          </w:tcPr>
          <w:p w:rsidR="003A36A6" w:rsidRPr="001567C8" w:rsidRDefault="003A36A6"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60.539</w:t>
            </w:r>
          </w:p>
        </w:tc>
        <w:tc>
          <w:tcPr>
            <w:tcW w:w="1337" w:type="dxa"/>
            <w:shd w:val="clear" w:color="auto" w:fill="auto"/>
            <w:vAlign w:val="bottom"/>
          </w:tcPr>
          <w:p w:rsidR="003A36A6" w:rsidRPr="001567C8" w:rsidRDefault="003A36A6"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20.066</w:t>
            </w:r>
          </w:p>
        </w:tc>
      </w:tr>
      <w:tr w:rsidR="003A36A6" w:rsidRPr="001567C8" w:rsidTr="00797EE8">
        <w:trPr>
          <w:cantSplit/>
          <w:trHeight w:hRule="exact" w:val="284"/>
          <w:jc w:val="center"/>
        </w:trPr>
        <w:tc>
          <w:tcPr>
            <w:tcW w:w="3685" w:type="dxa"/>
            <w:vAlign w:val="bottom"/>
          </w:tcPr>
          <w:p w:rsidR="003A36A6" w:rsidRPr="001567C8" w:rsidRDefault="003A36A6" w:rsidP="003A36A6">
            <w:pPr>
              <w:tabs>
                <w:tab w:val="right" w:pos="1202"/>
              </w:tabs>
              <w:outlineLvl w:val="0"/>
              <w:rPr>
                <w:rFonts w:ascii="Calibri" w:eastAsia="Calibri" w:hAnsi="Calibri" w:cs="Arial"/>
                <w:bCs/>
                <w:sz w:val="20"/>
                <w:szCs w:val="20"/>
                <w:lang w:val="hr-HR"/>
              </w:rPr>
            </w:pPr>
            <w:r w:rsidRPr="001567C8">
              <w:rPr>
                <w:rFonts w:ascii="Calibri" w:eastAsia="Calibri" w:hAnsi="Calibri" w:cs="Arial"/>
                <w:sz w:val="20"/>
                <w:szCs w:val="20"/>
                <w:lang w:val="hr-HR"/>
              </w:rPr>
              <w:t>Pridružena društva</w:t>
            </w:r>
          </w:p>
        </w:tc>
        <w:tc>
          <w:tcPr>
            <w:tcW w:w="1390" w:type="dxa"/>
            <w:shd w:val="clear" w:color="auto" w:fill="auto"/>
            <w:vAlign w:val="bottom"/>
          </w:tcPr>
          <w:p w:rsidR="003A36A6" w:rsidRPr="001567C8" w:rsidRDefault="003A36A6" w:rsidP="00BB3DBE">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10</w:t>
            </w:r>
          </w:p>
        </w:tc>
        <w:tc>
          <w:tcPr>
            <w:tcW w:w="1391" w:type="dxa"/>
            <w:shd w:val="clear" w:color="auto" w:fill="auto"/>
            <w:vAlign w:val="bottom"/>
          </w:tcPr>
          <w:p w:rsidR="003A36A6" w:rsidRPr="001567C8" w:rsidRDefault="003A36A6" w:rsidP="008C1241">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3</w:t>
            </w:r>
          </w:p>
        </w:tc>
        <w:tc>
          <w:tcPr>
            <w:tcW w:w="1251" w:type="dxa"/>
            <w:shd w:val="clear" w:color="auto" w:fill="auto"/>
            <w:vAlign w:val="bottom"/>
          </w:tcPr>
          <w:p w:rsidR="003A36A6" w:rsidRPr="001567C8" w:rsidRDefault="003A36A6"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4.001</w:t>
            </w:r>
          </w:p>
        </w:tc>
        <w:tc>
          <w:tcPr>
            <w:tcW w:w="1337" w:type="dxa"/>
            <w:shd w:val="clear" w:color="auto" w:fill="auto"/>
            <w:vAlign w:val="bottom"/>
          </w:tcPr>
          <w:p w:rsidR="003A36A6" w:rsidRPr="001567C8" w:rsidRDefault="003A36A6"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w:t>
            </w:r>
          </w:p>
        </w:tc>
      </w:tr>
      <w:tr w:rsidR="003A36A6" w:rsidRPr="001567C8" w:rsidTr="00797EE8">
        <w:trPr>
          <w:cantSplit/>
          <w:trHeight w:hRule="exact" w:val="284"/>
          <w:jc w:val="center"/>
        </w:trPr>
        <w:tc>
          <w:tcPr>
            <w:tcW w:w="3685" w:type="dxa"/>
            <w:vAlign w:val="bottom"/>
          </w:tcPr>
          <w:p w:rsidR="003A36A6" w:rsidRPr="001567C8" w:rsidRDefault="003A36A6" w:rsidP="003A36A6">
            <w:pPr>
              <w:tabs>
                <w:tab w:val="right" w:pos="1202"/>
              </w:tabs>
              <w:outlineLvl w:val="0"/>
              <w:rPr>
                <w:rFonts w:ascii="Calibri" w:eastAsia="Calibri" w:hAnsi="Calibri" w:cs="Arial"/>
                <w:bCs/>
                <w:sz w:val="20"/>
                <w:szCs w:val="20"/>
                <w:lang w:val="hr-HR"/>
              </w:rPr>
            </w:pPr>
            <w:r w:rsidRPr="001567C8">
              <w:rPr>
                <w:rFonts w:ascii="Calibri" w:eastAsia="Calibri" w:hAnsi="Calibri" w:cs="Arial"/>
                <w:bCs/>
                <w:sz w:val="20"/>
                <w:szCs w:val="20"/>
                <w:lang w:val="hr-HR"/>
              </w:rPr>
              <w:t>Ključni članovi rukovodstva</w:t>
            </w:r>
          </w:p>
        </w:tc>
        <w:tc>
          <w:tcPr>
            <w:tcW w:w="1390" w:type="dxa"/>
            <w:tcBorders>
              <w:bottom w:val="single" w:sz="4" w:space="0" w:color="000000"/>
            </w:tcBorders>
            <w:shd w:val="clear" w:color="auto" w:fill="auto"/>
            <w:vAlign w:val="bottom"/>
          </w:tcPr>
          <w:p w:rsidR="003A36A6" w:rsidRPr="001567C8" w:rsidRDefault="003A36A6" w:rsidP="00BB3DBE">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153</w:t>
            </w:r>
          </w:p>
        </w:tc>
        <w:tc>
          <w:tcPr>
            <w:tcW w:w="1391" w:type="dxa"/>
            <w:tcBorders>
              <w:bottom w:val="single" w:sz="4" w:space="0" w:color="000000"/>
            </w:tcBorders>
            <w:shd w:val="clear" w:color="auto" w:fill="auto"/>
            <w:vAlign w:val="bottom"/>
          </w:tcPr>
          <w:p w:rsidR="003A36A6" w:rsidRPr="001567C8" w:rsidRDefault="003A36A6" w:rsidP="008C1241">
            <w:pPr>
              <w:tabs>
                <w:tab w:val="right" w:pos="1202"/>
              </w:tabs>
              <w:jc w:val="right"/>
              <w:outlineLvl w:val="0"/>
              <w:rPr>
                <w:rFonts w:ascii="Calibri" w:eastAsia="Calibri" w:hAnsi="Calibri" w:cs="Arial"/>
                <w:bCs/>
                <w:iCs/>
                <w:sz w:val="20"/>
                <w:szCs w:val="20"/>
                <w:lang w:val="hr-HR"/>
              </w:rPr>
            </w:pPr>
            <w:r w:rsidRPr="00CD3A2D">
              <w:rPr>
                <w:rFonts w:asciiTheme="minorHAnsi" w:hAnsiTheme="minorHAnsi" w:cstheme="minorHAnsi"/>
                <w:sz w:val="20"/>
                <w:szCs w:val="20"/>
                <w:lang w:val="hr-HR"/>
              </w:rPr>
              <w:t>9.749</w:t>
            </w:r>
          </w:p>
        </w:tc>
        <w:tc>
          <w:tcPr>
            <w:tcW w:w="1251" w:type="dxa"/>
            <w:tcBorders>
              <w:bottom w:val="single" w:sz="4" w:space="0" w:color="000000"/>
            </w:tcBorders>
            <w:shd w:val="clear" w:color="auto" w:fill="auto"/>
            <w:vAlign w:val="bottom"/>
          </w:tcPr>
          <w:p w:rsidR="003A36A6" w:rsidRPr="001567C8" w:rsidRDefault="003A36A6"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147</w:t>
            </w:r>
          </w:p>
        </w:tc>
        <w:tc>
          <w:tcPr>
            <w:tcW w:w="1337" w:type="dxa"/>
            <w:tcBorders>
              <w:bottom w:val="single" w:sz="4" w:space="0" w:color="000000"/>
            </w:tcBorders>
            <w:shd w:val="clear" w:color="auto" w:fill="auto"/>
            <w:vAlign w:val="bottom"/>
          </w:tcPr>
          <w:p w:rsidR="003A36A6" w:rsidRPr="001567C8" w:rsidRDefault="00F024EE"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7.731</w:t>
            </w:r>
          </w:p>
        </w:tc>
      </w:tr>
      <w:tr w:rsidR="003A36A6" w:rsidRPr="001567C8" w:rsidTr="00797EE8">
        <w:trPr>
          <w:cantSplit/>
          <w:trHeight w:val="323"/>
          <w:jc w:val="center"/>
        </w:trPr>
        <w:tc>
          <w:tcPr>
            <w:tcW w:w="3685" w:type="dxa"/>
            <w:vAlign w:val="bottom"/>
          </w:tcPr>
          <w:p w:rsidR="003A36A6" w:rsidRPr="001567C8" w:rsidRDefault="003A36A6" w:rsidP="003A36A6">
            <w:pPr>
              <w:tabs>
                <w:tab w:val="right" w:pos="1202"/>
              </w:tabs>
              <w:outlineLvl w:val="0"/>
              <w:rPr>
                <w:rFonts w:ascii="Calibri" w:eastAsia="Calibri" w:hAnsi="Calibri" w:cs="Arial"/>
                <w:b/>
                <w:sz w:val="20"/>
                <w:szCs w:val="20"/>
                <w:lang w:val="hr-HR"/>
              </w:rPr>
            </w:pPr>
            <w:r w:rsidRPr="001567C8">
              <w:rPr>
                <w:rFonts w:ascii="Calibri" w:eastAsia="Calibri" w:hAnsi="Calibri" w:cs="Arial"/>
                <w:b/>
                <w:sz w:val="20"/>
                <w:szCs w:val="20"/>
                <w:lang w:val="hr-HR"/>
              </w:rPr>
              <w:t>Ukupno</w:t>
            </w:r>
          </w:p>
        </w:tc>
        <w:tc>
          <w:tcPr>
            <w:tcW w:w="1390" w:type="dxa"/>
            <w:tcBorders>
              <w:top w:val="single" w:sz="4" w:space="0" w:color="auto"/>
              <w:bottom w:val="single" w:sz="12" w:space="0" w:color="auto"/>
            </w:tcBorders>
            <w:shd w:val="clear" w:color="auto" w:fill="auto"/>
            <w:vAlign w:val="bottom"/>
          </w:tcPr>
          <w:p w:rsidR="003A36A6" w:rsidRPr="001567C8" w:rsidRDefault="003A36A6" w:rsidP="003A36A6">
            <w:pPr>
              <w:tabs>
                <w:tab w:val="right" w:pos="1202"/>
              </w:tabs>
              <w:jc w:val="right"/>
              <w:outlineLvl w:val="0"/>
              <w:rPr>
                <w:rFonts w:ascii="Calibri" w:eastAsia="Calibri" w:hAnsi="Calibri" w:cs="Arial"/>
                <w:b/>
                <w:iCs/>
                <w:sz w:val="20"/>
                <w:szCs w:val="20"/>
                <w:lang w:val="hr-HR"/>
              </w:rPr>
            </w:pPr>
            <w:r w:rsidRPr="00CD3A2D">
              <w:rPr>
                <w:rFonts w:asciiTheme="minorHAnsi" w:hAnsiTheme="minorHAnsi" w:cstheme="minorHAnsi"/>
                <w:b/>
                <w:sz w:val="20"/>
                <w:szCs w:val="20"/>
                <w:lang w:val="hr-HR"/>
              </w:rPr>
              <w:t>256.152</w:t>
            </w:r>
          </w:p>
        </w:tc>
        <w:tc>
          <w:tcPr>
            <w:tcW w:w="1391" w:type="dxa"/>
            <w:tcBorders>
              <w:top w:val="single" w:sz="4" w:space="0" w:color="auto"/>
              <w:bottom w:val="single" w:sz="12" w:space="0" w:color="auto"/>
            </w:tcBorders>
            <w:shd w:val="clear" w:color="auto" w:fill="auto"/>
            <w:vAlign w:val="bottom"/>
          </w:tcPr>
          <w:p w:rsidR="003A36A6" w:rsidRPr="001567C8" w:rsidRDefault="003A36A6" w:rsidP="003A36A6">
            <w:pPr>
              <w:tabs>
                <w:tab w:val="right" w:pos="1202"/>
              </w:tabs>
              <w:jc w:val="right"/>
              <w:outlineLvl w:val="0"/>
              <w:rPr>
                <w:rFonts w:ascii="Calibri" w:eastAsia="Calibri" w:hAnsi="Calibri" w:cs="Arial"/>
                <w:b/>
                <w:iCs/>
                <w:sz w:val="20"/>
                <w:szCs w:val="20"/>
                <w:lang w:val="hr-HR"/>
              </w:rPr>
            </w:pPr>
            <w:r w:rsidRPr="00CD3A2D">
              <w:rPr>
                <w:rFonts w:asciiTheme="minorHAnsi" w:hAnsiTheme="minorHAnsi" w:cstheme="minorHAnsi"/>
                <w:b/>
                <w:sz w:val="20"/>
                <w:szCs w:val="20"/>
                <w:lang w:val="hr-HR"/>
              </w:rPr>
              <w:t>32.450</w:t>
            </w:r>
          </w:p>
        </w:tc>
        <w:tc>
          <w:tcPr>
            <w:tcW w:w="1251" w:type="dxa"/>
            <w:tcBorders>
              <w:top w:val="single" w:sz="4" w:space="0" w:color="auto"/>
              <w:bottom w:val="single" w:sz="12" w:space="0" w:color="auto"/>
            </w:tcBorders>
            <w:shd w:val="clear" w:color="auto" w:fill="auto"/>
            <w:vAlign w:val="bottom"/>
          </w:tcPr>
          <w:p w:rsidR="003A36A6" w:rsidRPr="001567C8" w:rsidRDefault="003A36A6" w:rsidP="003A36A6">
            <w:pPr>
              <w:tabs>
                <w:tab w:val="right" w:pos="1202"/>
              </w:tabs>
              <w:jc w:val="right"/>
              <w:outlineLvl w:val="0"/>
              <w:rPr>
                <w:rFonts w:ascii="Calibri" w:hAnsi="Calibri" w:cs="Arial"/>
                <w:b/>
                <w:iCs/>
                <w:sz w:val="20"/>
                <w:szCs w:val="20"/>
                <w:lang w:val="hr-HR"/>
              </w:rPr>
            </w:pPr>
            <w:r w:rsidRPr="00CD3A2D">
              <w:rPr>
                <w:rFonts w:asciiTheme="minorHAnsi" w:hAnsiTheme="minorHAnsi"/>
                <w:b/>
                <w:sz w:val="20"/>
                <w:szCs w:val="20"/>
                <w:lang w:val="hr-HR"/>
              </w:rPr>
              <w:t>178.546</w:t>
            </w:r>
          </w:p>
        </w:tc>
        <w:tc>
          <w:tcPr>
            <w:tcW w:w="1337" w:type="dxa"/>
            <w:tcBorders>
              <w:top w:val="single" w:sz="4" w:space="0" w:color="auto"/>
              <w:bottom w:val="single" w:sz="12" w:space="0" w:color="auto"/>
            </w:tcBorders>
            <w:shd w:val="clear" w:color="auto" w:fill="auto"/>
            <w:vAlign w:val="bottom"/>
          </w:tcPr>
          <w:p w:rsidR="003A36A6" w:rsidRPr="001567C8" w:rsidRDefault="00F024EE" w:rsidP="003A36A6">
            <w:pPr>
              <w:tabs>
                <w:tab w:val="right" w:pos="1202"/>
              </w:tabs>
              <w:jc w:val="right"/>
              <w:outlineLvl w:val="0"/>
              <w:rPr>
                <w:rFonts w:ascii="Calibri" w:hAnsi="Calibri" w:cs="Arial"/>
                <w:b/>
                <w:iCs/>
                <w:sz w:val="20"/>
                <w:szCs w:val="20"/>
                <w:lang w:val="hr-HR"/>
              </w:rPr>
            </w:pPr>
            <w:r w:rsidRPr="00CD3A2D">
              <w:rPr>
                <w:rFonts w:asciiTheme="minorHAnsi" w:hAnsiTheme="minorHAnsi"/>
                <w:b/>
                <w:sz w:val="20"/>
                <w:szCs w:val="20"/>
                <w:lang w:val="hr-HR"/>
              </w:rPr>
              <w:t>29.705</w:t>
            </w:r>
          </w:p>
        </w:tc>
      </w:tr>
    </w:tbl>
    <w:p w:rsidR="003A36A6" w:rsidRPr="001567C8" w:rsidRDefault="003A36A6" w:rsidP="005402AB">
      <w:pPr>
        <w:pStyle w:val="T1"/>
        <w:spacing w:before="0" w:after="0" w:line="240" w:lineRule="auto"/>
        <w:ind w:left="357"/>
        <w:rPr>
          <w:rFonts w:asciiTheme="minorHAnsi" w:hAnsiTheme="minorHAnsi" w:cs="Arial"/>
          <w:b w:val="0"/>
          <w:sz w:val="22"/>
          <w:szCs w:val="22"/>
          <w:lang w:val="hr-HR"/>
        </w:rPr>
      </w:pPr>
    </w:p>
    <w:p w:rsidR="003A36A6" w:rsidRPr="001567C8" w:rsidRDefault="003A36A6" w:rsidP="005402AB">
      <w:pPr>
        <w:pStyle w:val="T1"/>
        <w:spacing w:before="0" w:after="0" w:line="240" w:lineRule="auto"/>
        <w:ind w:left="357"/>
        <w:rPr>
          <w:rFonts w:asciiTheme="minorHAnsi" w:hAnsiTheme="minorHAnsi" w:cs="Arial"/>
          <w:b w:val="0"/>
          <w:sz w:val="22"/>
          <w:szCs w:val="22"/>
          <w:lang w:val="hr-HR"/>
        </w:rPr>
        <w:sectPr w:rsidR="003A36A6" w:rsidRPr="001567C8" w:rsidSect="003E2D7A">
          <w:type w:val="continuous"/>
          <w:pgSz w:w="11907" w:h="16840" w:code="9"/>
          <w:pgMar w:top="1418" w:right="1134" w:bottom="1134" w:left="1418" w:header="851" w:footer="851" w:gutter="0"/>
          <w:cols w:space="720"/>
          <w:noEndnote/>
        </w:sectPr>
      </w:pPr>
    </w:p>
    <w:p w:rsidR="003A36A6" w:rsidRPr="001567C8" w:rsidRDefault="003A36A6" w:rsidP="005402AB">
      <w:pPr>
        <w:pStyle w:val="T1"/>
        <w:spacing w:before="0" w:after="0" w:line="240" w:lineRule="auto"/>
        <w:ind w:left="357"/>
        <w:rPr>
          <w:rFonts w:asciiTheme="minorHAnsi" w:hAnsiTheme="minorHAnsi" w:cs="Arial"/>
          <w:b w:val="0"/>
          <w:sz w:val="22"/>
          <w:szCs w:val="22"/>
          <w:lang w:val="hr-HR"/>
        </w:rPr>
      </w:pPr>
    </w:p>
    <w:p w:rsidR="003A36A6" w:rsidRPr="001567C8" w:rsidRDefault="003A36A6" w:rsidP="003A36A6">
      <w:pPr>
        <w:pStyle w:val="T1"/>
        <w:tabs>
          <w:tab w:val="left" w:pos="567"/>
          <w:tab w:val="left" w:pos="709"/>
        </w:tabs>
        <w:spacing w:before="0" w:after="0" w:line="240" w:lineRule="auto"/>
        <w:rPr>
          <w:rFonts w:asciiTheme="minorHAnsi" w:hAnsiTheme="minorHAnsi" w:cs="Arial"/>
          <w:bCs w:val="0"/>
          <w:sz w:val="22"/>
          <w:szCs w:val="22"/>
          <w:lang w:val="hr-HR"/>
        </w:rPr>
      </w:pPr>
      <w:r w:rsidRPr="001567C8">
        <w:rPr>
          <w:rFonts w:asciiTheme="minorHAnsi" w:hAnsiTheme="minorHAnsi" w:cs="Arial"/>
          <w:bCs w:val="0"/>
          <w:sz w:val="22"/>
          <w:szCs w:val="22"/>
          <w:lang w:val="hr-HR"/>
        </w:rPr>
        <w:t>35.</w:t>
      </w:r>
      <w:r w:rsidRPr="001567C8">
        <w:rPr>
          <w:rFonts w:asciiTheme="minorHAnsi" w:hAnsiTheme="minorHAnsi" w:cs="Arial"/>
          <w:bCs w:val="0"/>
          <w:sz w:val="22"/>
          <w:szCs w:val="22"/>
          <w:lang w:val="hr-HR"/>
        </w:rPr>
        <w:tab/>
        <w:t>Transakcije s povezanim stranama (nastavak)</w:t>
      </w:r>
    </w:p>
    <w:p w:rsidR="003A36A6" w:rsidRPr="001567C8" w:rsidRDefault="003A36A6" w:rsidP="003A36A6">
      <w:pPr>
        <w:pStyle w:val="TT"/>
        <w:tabs>
          <w:tab w:val="clear" w:pos="1202"/>
          <w:tab w:val="right" w:pos="284"/>
          <w:tab w:val="left" w:pos="426"/>
        </w:tabs>
        <w:spacing w:line="240" w:lineRule="auto"/>
        <w:rPr>
          <w:rFonts w:asciiTheme="minorHAnsi" w:hAnsiTheme="minorHAnsi" w:cs="Arial"/>
          <w:sz w:val="22"/>
          <w:szCs w:val="22"/>
          <w:lang w:val="hr-HR"/>
        </w:rPr>
      </w:pPr>
    </w:p>
    <w:p w:rsidR="003A36A6" w:rsidRPr="001567C8" w:rsidRDefault="003A36A6" w:rsidP="003A36A6">
      <w:pPr>
        <w:pStyle w:val="TT"/>
        <w:tabs>
          <w:tab w:val="clear" w:pos="1202"/>
          <w:tab w:val="right" w:pos="284"/>
          <w:tab w:val="left" w:pos="567"/>
        </w:tabs>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a)</w:t>
      </w:r>
      <w:r w:rsidRPr="001567C8">
        <w:rPr>
          <w:rFonts w:asciiTheme="minorHAnsi" w:hAnsiTheme="minorHAnsi" w:cs="Arial"/>
          <w:sz w:val="22"/>
          <w:szCs w:val="22"/>
          <w:lang w:val="hr-HR"/>
        </w:rPr>
        <w:tab/>
      </w:r>
      <w:r w:rsidRPr="001567C8">
        <w:rPr>
          <w:rFonts w:asciiTheme="minorHAnsi" w:hAnsiTheme="minorHAnsi" w:cs="Arial"/>
          <w:sz w:val="22"/>
          <w:szCs w:val="22"/>
          <w:lang w:val="hr-HR"/>
        </w:rPr>
        <w:tab/>
        <w:t>Transakcije s povezanim stranama (nastavak)</w:t>
      </w:r>
    </w:p>
    <w:p w:rsidR="003A36A6" w:rsidRPr="001567C8" w:rsidRDefault="003A36A6" w:rsidP="005402AB">
      <w:pPr>
        <w:pStyle w:val="T1"/>
        <w:spacing w:before="0" w:after="0" w:line="240" w:lineRule="auto"/>
        <w:ind w:left="357"/>
        <w:rPr>
          <w:rFonts w:asciiTheme="minorHAnsi" w:hAnsiTheme="minorHAnsi" w:cs="Arial"/>
          <w:b w:val="0"/>
          <w:sz w:val="22"/>
          <w:szCs w:val="22"/>
          <w:lang w:val="hr-HR"/>
        </w:rPr>
      </w:pPr>
    </w:p>
    <w:p w:rsidR="00761EA0" w:rsidRPr="001567C8" w:rsidRDefault="00761EA0" w:rsidP="005402AB">
      <w:pPr>
        <w:pStyle w:val="T1"/>
        <w:spacing w:before="0" w:after="0" w:line="240" w:lineRule="auto"/>
        <w:ind w:left="357"/>
        <w:rPr>
          <w:rFonts w:asciiTheme="minorHAnsi" w:hAnsiTheme="minorHAnsi" w:cs="Arial"/>
          <w:b w:val="0"/>
          <w:sz w:val="22"/>
          <w:szCs w:val="22"/>
          <w:lang w:val="hr-HR"/>
        </w:rPr>
      </w:pPr>
    </w:p>
    <w:tbl>
      <w:tblPr>
        <w:tblW w:w="4886" w:type="pct"/>
        <w:jc w:val="center"/>
        <w:tblLayout w:type="fixed"/>
        <w:tblCellMar>
          <w:left w:w="113" w:type="dxa"/>
          <w:right w:w="85" w:type="dxa"/>
        </w:tblCellMar>
        <w:tblLook w:val="00A0" w:firstRow="1" w:lastRow="0" w:firstColumn="1" w:lastColumn="0" w:noHBand="0" w:noVBand="0"/>
      </w:tblPr>
      <w:tblGrid>
        <w:gridCol w:w="3760"/>
        <w:gridCol w:w="1344"/>
        <w:gridCol w:w="1343"/>
        <w:gridCol w:w="1341"/>
        <w:gridCol w:w="6"/>
        <w:gridCol w:w="1348"/>
      </w:tblGrid>
      <w:tr w:rsidR="003A36A6" w:rsidRPr="001567C8" w:rsidTr="00761EA0">
        <w:trPr>
          <w:trHeight w:hRule="exact" w:val="284"/>
          <w:jc w:val="center"/>
        </w:trPr>
        <w:tc>
          <w:tcPr>
            <w:tcW w:w="3760" w:type="dxa"/>
            <w:vAlign w:val="bottom"/>
          </w:tcPr>
          <w:p w:rsidR="003A36A6" w:rsidRPr="001567C8" w:rsidRDefault="003A36A6" w:rsidP="00761EA0">
            <w:pPr>
              <w:tabs>
                <w:tab w:val="right" w:pos="1202"/>
              </w:tabs>
              <w:outlineLvl w:val="0"/>
              <w:rPr>
                <w:rFonts w:ascii="Calibri" w:eastAsia="Calibri" w:hAnsi="Calibri" w:cs="Arial"/>
                <w:sz w:val="20"/>
                <w:szCs w:val="20"/>
                <w:lang w:val="hr-HR"/>
              </w:rPr>
            </w:pPr>
            <w:r w:rsidRPr="001567C8">
              <w:rPr>
                <w:rFonts w:ascii="Calibri" w:eastAsia="Calibri" w:hAnsi="Calibri" w:cs="Arial"/>
                <w:b/>
                <w:sz w:val="20"/>
                <w:szCs w:val="20"/>
                <w:lang w:val="hr-HR"/>
              </w:rPr>
              <w:t>Banka</w:t>
            </w:r>
          </w:p>
        </w:tc>
        <w:tc>
          <w:tcPr>
            <w:tcW w:w="1344" w:type="dxa"/>
            <w:vAlign w:val="center"/>
          </w:tcPr>
          <w:p w:rsidR="003A36A6" w:rsidRPr="001567C8" w:rsidRDefault="003A36A6" w:rsidP="00761EA0">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Izloženost</w:t>
            </w:r>
          </w:p>
        </w:tc>
        <w:tc>
          <w:tcPr>
            <w:tcW w:w="1343" w:type="dxa"/>
            <w:vAlign w:val="center"/>
          </w:tcPr>
          <w:p w:rsidR="003A36A6" w:rsidRPr="001567C8" w:rsidRDefault="003A36A6" w:rsidP="00761EA0">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Obveze</w:t>
            </w:r>
          </w:p>
        </w:tc>
        <w:tc>
          <w:tcPr>
            <w:tcW w:w="1347" w:type="dxa"/>
            <w:gridSpan w:val="2"/>
            <w:vAlign w:val="center"/>
          </w:tcPr>
          <w:p w:rsidR="003A36A6" w:rsidRPr="001567C8" w:rsidRDefault="003A36A6" w:rsidP="00761EA0">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Izloženost</w:t>
            </w:r>
          </w:p>
        </w:tc>
        <w:tc>
          <w:tcPr>
            <w:tcW w:w="1348" w:type="dxa"/>
            <w:vAlign w:val="center"/>
          </w:tcPr>
          <w:p w:rsidR="003A36A6" w:rsidRPr="001567C8" w:rsidRDefault="003A36A6" w:rsidP="00761EA0">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Obveze</w:t>
            </w:r>
          </w:p>
        </w:tc>
      </w:tr>
      <w:tr w:rsidR="003A36A6" w:rsidRPr="001567C8" w:rsidTr="003C6BA3">
        <w:trPr>
          <w:trHeight w:hRule="exact" w:val="615"/>
          <w:jc w:val="center"/>
        </w:trPr>
        <w:tc>
          <w:tcPr>
            <w:tcW w:w="3760" w:type="dxa"/>
            <w:vAlign w:val="bottom"/>
          </w:tcPr>
          <w:p w:rsidR="003A36A6" w:rsidRPr="001567C8" w:rsidRDefault="003A36A6" w:rsidP="00761EA0">
            <w:pPr>
              <w:tabs>
                <w:tab w:val="right" w:pos="1202"/>
              </w:tabs>
              <w:outlineLvl w:val="0"/>
              <w:rPr>
                <w:rFonts w:ascii="Calibri" w:eastAsia="Calibri" w:hAnsi="Calibri" w:cs="Arial"/>
                <w:sz w:val="20"/>
                <w:szCs w:val="20"/>
                <w:lang w:val="hr-HR"/>
              </w:rPr>
            </w:pPr>
          </w:p>
        </w:tc>
        <w:tc>
          <w:tcPr>
            <w:tcW w:w="1344" w:type="dxa"/>
            <w:vAlign w:val="center"/>
          </w:tcPr>
          <w:p w:rsidR="003A36A6" w:rsidRPr="001567C8" w:rsidRDefault="00AD2EF7">
            <w:pPr>
              <w:tabs>
                <w:tab w:val="right" w:pos="1202"/>
              </w:tabs>
              <w:jc w:val="right"/>
              <w:outlineLvl w:val="0"/>
              <w:rPr>
                <w:rFonts w:ascii="Calibri" w:eastAsia="Calibri" w:hAnsi="Calibri" w:cs="Arial"/>
                <w:b/>
                <w:bCs/>
                <w:iCs/>
                <w:sz w:val="20"/>
                <w:szCs w:val="20"/>
                <w:lang w:val="hr-HR"/>
              </w:rPr>
            </w:pPr>
            <w:r>
              <w:rPr>
                <w:rFonts w:ascii="Calibri" w:eastAsia="Calibri" w:hAnsi="Calibri" w:cs="Arial"/>
                <w:b/>
                <w:bCs/>
                <w:iCs/>
                <w:sz w:val="20"/>
                <w:szCs w:val="20"/>
                <w:lang w:val="hr-HR"/>
              </w:rPr>
              <w:t>31. prosin</w:t>
            </w:r>
            <w:r w:rsidRPr="001567C8">
              <w:rPr>
                <w:rFonts w:ascii="Calibri" w:eastAsia="Calibri" w:hAnsi="Calibri" w:cs="Arial"/>
                <w:b/>
                <w:bCs/>
                <w:iCs/>
                <w:sz w:val="20"/>
                <w:szCs w:val="20"/>
                <w:lang w:val="hr-HR"/>
              </w:rPr>
              <w:t>c</w:t>
            </w:r>
            <w:r>
              <w:rPr>
                <w:rFonts w:ascii="Calibri" w:eastAsia="Calibri" w:hAnsi="Calibri" w:cs="Arial"/>
                <w:b/>
                <w:bCs/>
                <w:iCs/>
                <w:sz w:val="20"/>
                <w:szCs w:val="20"/>
                <w:lang w:val="hr-HR"/>
              </w:rPr>
              <w:t>a</w:t>
            </w:r>
            <w:r w:rsidRPr="001567C8">
              <w:rPr>
                <w:rFonts w:ascii="Calibri" w:eastAsia="Calibri" w:hAnsi="Calibri" w:cs="Arial"/>
                <w:b/>
                <w:bCs/>
                <w:iCs/>
                <w:sz w:val="20"/>
                <w:szCs w:val="20"/>
                <w:lang w:val="hr-HR"/>
              </w:rPr>
              <w:t xml:space="preserve"> </w:t>
            </w:r>
            <w:r w:rsidR="003A36A6" w:rsidRPr="001567C8">
              <w:rPr>
                <w:rFonts w:ascii="Calibri" w:eastAsia="Calibri" w:hAnsi="Calibri" w:cs="Arial"/>
                <w:b/>
                <w:bCs/>
                <w:iCs/>
                <w:sz w:val="20"/>
                <w:szCs w:val="20"/>
                <w:lang w:val="hr-HR"/>
              </w:rPr>
              <w:t>2018.</w:t>
            </w:r>
          </w:p>
        </w:tc>
        <w:tc>
          <w:tcPr>
            <w:tcW w:w="1343" w:type="dxa"/>
            <w:vAlign w:val="center"/>
          </w:tcPr>
          <w:p w:rsidR="003A36A6" w:rsidRPr="001567C8" w:rsidRDefault="00AD2EF7">
            <w:pPr>
              <w:tabs>
                <w:tab w:val="right" w:pos="1202"/>
              </w:tabs>
              <w:jc w:val="right"/>
              <w:outlineLvl w:val="0"/>
              <w:rPr>
                <w:rFonts w:ascii="Calibri" w:eastAsia="Calibri" w:hAnsi="Calibri" w:cs="Arial"/>
                <w:b/>
                <w:bCs/>
                <w:iCs/>
                <w:sz w:val="20"/>
                <w:szCs w:val="20"/>
                <w:lang w:val="hr-HR"/>
              </w:rPr>
            </w:pPr>
            <w:r>
              <w:rPr>
                <w:rFonts w:ascii="Calibri" w:eastAsia="Calibri" w:hAnsi="Calibri" w:cs="Arial"/>
                <w:b/>
                <w:bCs/>
                <w:iCs/>
                <w:sz w:val="20"/>
                <w:szCs w:val="20"/>
                <w:lang w:val="hr-HR"/>
              </w:rPr>
              <w:t>31. prosin</w:t>
            </w:r>
            <w:r w:rsidRPr="001567C8">
              <w:rPr>
                <w:rFonts w:ascii="Calibri" w:eastAsia="Calibri" w:hAnsi="Calibri" w:cs="Arial"/>
                <w:b/>
                <w:bCs/>
                <w:iCs/>
                <w:sz w:val="20"/>
                <w:szCs w:val="20"/>
                <w:lang w:val="hr-HR"/>
              </w:rPr>
              <w:t>c</w:t>
            </w:r>
            <w:r>
              <w:rPr>
                <w:rFonts w:ascii="Calibri" w:eastAsia="Calibri" w:hAnsi="Calibri" w:cs="Arial"/>
                <w:b/>
                <w:bCs/>
                <w:iCs/>
                <w:sz w:val="20"/>
                <w:szCs w:val="20"/>
                <w:lang w:val="hr-HR"/>
              </w:rPr>
              <w:t>a</w:t>
            </w:r>
            <w:r w:rsidRPr="001567C8">
              <w:rPr>
                <w:rFonts w:ascii="Calibri" w:eastAsia="Calibri" w:hAnsi="Calibri" w:cs="Arial"/>
                <w:b/>
                <w:bCs/>
                <w:iCs/>
                <w:sz w:val="20"/>
                <w:szCs w:val="20"/>
                <w:lang w:val="hr-HR"/>
              </w:rPr>
              <w:t xml:space="preserve"> </w:t>
            </w:r>
            <w:r w:rsidR="003A36A6" w:rsidRPr="001567C8">
              <w:rPr>
                <w:rFonts w:ascii="Calibri" w:eastAsia="Calibri" w:hAnsi="Calibri" w:cs="Arial"/>
                <w:b/>
                <w:bCs/>
                <w:iCs/>
                <w:sz w:val="20"/>
                <w:szCs w:val="20"/>
                <w:lang w:val="hr-HR"/>
              </w:rPr>
              <w:t>2018.</w:t>
            </w:r>
          </w:p>
        </w:tc>
        <w:tc>
          <w:tcPr>
            <w:tcW w:w="1341" w:type="dxa"/>
            <w:vAlign w:val="center"/>
          </w:tcPr>
          <w:p w:rsidR="003A36A6" w:rsidRPr="001567C8" w:rsidRDefault="00AD2EF7">
            <w:pPr>
              <w:tabs>
                <w:tab w:val="right" w:pos="1202"/>
              </w:tabs>
              <w:jc w:val="right"/>
              <w:outlineLvl w:val="0"/>
              <w:rPr>
                <w:rFonts w:ascii="Calibri" w:eastAsia="Calibri" w:hAnsi="Calibri" w:cs="Arial"/>
                <w:b/>
                <w:bCs/>
                <w:iCs/>
                <w:sz w:val="20"/>
                <w:szCs w:val="20"/>
                <w:lang w:val="hr-HR"/>
              </w:rPr>
            </w:pPr>
            <w:r>
              <w:rPr>
                <w:rFonts w:ascii="Calibri" w:eastAsia="Calibri" w:hAnsi="Calibri" w:cs="Arial"/>
                <w:b/>
                <w:bCs/>
                <w:iCs/>
                <w:sz w:val="20"/>
                <w:szCs w:val="20"/>
                <w:lang w:val="hr-HR"/>
              </w:rPr>
              <w:t>31. prosin</w:t>
            </w:r>
            <w:r w:rsidRPr="001567C8">
              <w:rPr>
                <w:rFonts w:ascii="Calibri" w:eastAsia="Calibri" w:hAnsi="Calibri" w:cs="Arial"/>
                <w:b/>
                <w:bCs/>
                <w:iCs/>
                <w:sz w:val="20"/>
                <w:szCs w:val="20"/>
                <w:lang w:val="hr-HR"/>
              </w:rPr>
              <w:t>c</w:t>
            </w:r>
            <w:r>
              <w:rPr>
                <w:rFonts w:ascii="Calibri" w:eastAsia="Calibri" w:hAnsi="Calibri" w:cs="Arial"/>
                <w:b/>
                <w:bCs/>
                <w:iCs/>
                <w:sz w:val="20"/>
                <w:szCs w:val="20"/>
                <w:lang w:val="hr-HR"/>
              </w:rPr>
              <w:t>a</w:t>
            </w:r>
            <w:r w:rsidRPr="001567C8">
              <w:rPr>
                <w:rFonts w:ascii="Calibri" w:eastAsia="Calibri" w:hAnsi="Calibri" w:cs="Arial"/>
                <w:b/>
                <w:bCs/>
                <w:iCs/>
                <w:sz w:val="20"/>
                <w:szCs w:val="20"/>
                <w:lang w:val="hr-HR"/>
              </w:rPr>
              <w:t xml:space="preserve"> </w:t>
            </w:r>
            <w:r w:rsidR="003A36A6" w:rsidRPr="001567C8">
              <w:rPr>
                <w:rFonts w:ascii="Calibri" w:eastAsia="Calibri" w:hAnsi="Calibri" w:cs="Arial"/>
                <w:b/>
                <w:bCs/>
                <w:iCs/>
                <w:sz w:val="20"/>
                <w:szCs w:val="20"/>
                <w:lang w:val="hr-HR"/>
              </w:rPr>
              <w:t>2017.</w:t>
            </w:r>
          </w:p>
        </w:tc>
        <w:tc>
          <w:tcPr>
            <w:tcW w:w="1354" w:type="dxa"/>
            <w:gridSpan w:val="2"/>
            <w:vAlign w:val="center"/>
          </w:tcPr>
          <w:p w:rsidR="003A36A6" w:rsidRPr="001567C8" w:rsidRDefault="00AD2EF7">
            <w:pPr>
              <w:tabs>
                <w:tab w:val="right" w:pos="1202"/>
              </w:tabs>
              <w:jc w:val="right"/>
              <w:outlineLvl w:val="0"/>
              <w:rPr>
                <w:rFonts w:ascii="Calibri" w:eastAsia="Calibri" w:hAnsi="Calibri" w:cs="Arial"/>
                <w:b/>
                <w:bCs/>
                <w:iCs/>
                <w:sz w:val="20"/>
                <w:szCs w:val="20"/>
                <w:lang w:val="hr-HR"/>
              </w:rPr>
            </w:pPr>
            <w:r>
              <w:rPr>
                <w:rFonts w:ascii="Calibri" w:eastAsia="Calibri" w:hAnsi="Calibri" w:cs="Arial"/>
                <w:b/>
                <w:bCs/>
                <w:iCs/>
                <w:sz w:val="20"/>
                <w:szCs w:val="20"/>
                <w:lang w:val="hr-HR"/>
              </w:rPr>
              <w:t>31. prosin</w:t>
            </w:r>
            <w:r w:rsidRPr="001567C8">
              <w:rPr>
                <w:rFonts w:ascii="Calibri" w:eastAsia="Calibri" w:hAnsi="Calibri" w:cs="Arial"/>
                <w:b/>
                <w:bCs/>
                <w:iCs/>
                <w:sz w:val="20"/>
                <w:szCs w:val="20"/>
                <w:lang w:val="hr-HR"/>
              </w:rPr>
              <w:t>c</w:t>
            </w:r>
            <w:r>
              <w:rPr>
                <w:rFonts w:ascii="Calibri" w:eastAsia="Calibri" w:hAnsi="Calibri" w:cs="Arial"/>
                <w:b/>
                <w:bCs/>
                <w:iCs/>
                <w:sz w:val="20"/>
                <w:szCs w:val="20"/>
                <w:lang w:val="hr-HR"/>
              </w:rPr>
              <w:t>a</w:t>
            </w:r>
            <w:r w:rsidRPr="001567C8">
              <w:rPr>
                <w:rFonts w:ascii="Calibri" w:eastAsia="Calibri" w:hAnsi="Calibri" w:cs="Arial"/>
                <w:b/>
                <w:bCs/>
                <w:iCs/>
                <w:sz w:val="20"/>
                <w:szCs w:val="20"/>
                <w:lang w:val="hr-HR"/>
              </w:rPr>
              <w:t xml:space="preserve"> </w:t>
            </w:r>
            <w:r w:rsidR="003A36A6" w:rsidRPr="001567C8">
              <w:rPr>
                <w:rFonts w:ascii="Calibri" w:eastAsia="Calibri" w:hAnsi="Calibri" w:cs="Arial"/>
                <w:b/>
                <w:bCs/>
                <w:iCs/>
                <w:sz w:val="20"/>
                <w:szCs w:val="20"/>
                <w:lang w:val="hr-HR"/>
              </w:rPr>
              <w:t>2017.</w:t>
            </w:r>
          </w:p>
        </w:tc>
      </w:tr>
      <w:tr w:rsidR="003A36A6" w:rsidRPr="001567C8" w:rsidTr="00761EA0">
        <w:trPr>
          <w:trHeight w:hRule="exact" w:val="284"/>
          <w:jc w:val="center"/>
        </w:trPr>
        <w:tc>
          <w:tcPr>
            <w:tcW w:w="3760" w:type="dxa"/>
            <w:vAlign w:val="bottom"/>
          </w:tcPr>
          <w:p w:rsidR="003A36A6" w:rsidRPr="001567C8" w:rsidRDefault="003A36A6" w:rsidP="00761EA0">
            <w:pPr>
              <w:tabs>
                <w:tab w:val="right" w:pos="1202"/>
              </w:tabs>
              <w:outlineLvl w:val="0"/>
              <w:rPr>
                <w:rFonts w:ascii="Calibri" w:eastAsia="Calibri" w:hAnsi="Calibri" w:cs="Arial"/>
                <w:sz w:val="20"/>
                <w:szCs w:val="20"/>
                <w:lang w:val="hr-HR"/>
              </w:rPr>
            </w:pPr>
          </w:p>
        </w:tc>
        <w:tc>
          <w:tcPr>
            <w:tcW w:w="1344" w:type="dxa"/>
            <w:tcBorders>
              <w:top w:val="nil"/>
              <w:left w:val="nil"/>
              <w:bottom w:val="nil"/>
              <w:right w:val="nil"/>
            </w:tcBorders>
          </w:tcPr>
          <w:p w:rsidR="003A36A6" w:rsidRPr="001567C8" w:rsidRDefault="003A36A6" w:rsidP="00761EA0">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43" w:type="dxa"/>
            <w:tcBorders>
              <w:top w:val="nil"/>
              <w:left w:val="nil"/>
              <w:bottom w:val="nil"/>
              <w:right w:val="nil"/>
            </w:tcBorders>
          </w:tcPr>
          <w:p w:rsidR="003A36A6" w:rsidRPr="001567C8" w:rsidRDefault="003A36A6" w:rsidP="00761EA0">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41" w:type="dxa"/>
            <w:tcBorders>
              <w:top w:val="nil"/>
              <w:left w:val="nil"/>
              <w:bottom w:val="nil"/>
              <w:right w:val="nil"/>
            </w:tcBorders>
          </w:tcPr>
          <w:p w:rsidR="003A36A6" w:rsidRPr="001567C8" w:rsidRDefault="003A36A6" w:rsidP="00761EA0">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54" w:type="dxa"/>
            <w:gridSpan w:val="2"/>
            <w:tcBorders>
              <w:top w:val="nil"/>
              <w:left w:val="nil"/>
              <w:bottom w:val="nil"/>
              <w:right w:val="nil"/>
            </w:tcBorders>
          </w:tcPr>
          <w:p w:rsidR="003A36A6" w:rsidRPr="001567C8" w:rsidRDefault="003A36A6" w:rsidP="00761EA0">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r>
      <w:tr w:rsidR="00761EA0" w:rsidRPr="001567C8" w:rsidTr="00797EE8">
        <w:trPr>
          <w:trHeight w:hRule="exact" w:val="284"/>
          <w:jc w:val="center"/>
        </w:trPr>
        <w:tc>
          <w:tcPr>
            <w:tcW w:w="3760" w:type="dxa"/>
            <w:vAlign w:val="bottom"/>
          </w:tcPr>
          <w:p w:rsidR="00761EA0" w:rsidRPr="001567C8" w:rsidRDefault="00761EA0" w:rsidP="00761EA0">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Vlasnik</w:t>
            </w:r>
          </w:p>
        </w:tc>
        <w:tc>
          <w:tcPr>
            <w:tcW w:w="1344" w:type="dxa"/>
            <w:shd w:val="clear" w:color="auto" w:fill="auto"/>
            <w:vAlign w:val="bottom"/>
          </w:tcPr>
          <w:p w:rsidR="00761EA0" w:rsidRPr="00CD3A2D" w:rsidRDefault="00761EA0" w:rsidP="00BB3DBE">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4.335.942</w:t>
            </w:r>
          </w:p>
        </w:tc>
        <w:tc>
          <w:tcPr>
            <w:tcW w:w="1343" w:type="dxa"/>
            <w:shd w:val="clear" w:color="auto" w:fill="auto"/>
            <w:vAlign w:val="bottom"/>
          </w:tcPr>
          <w:p w:rsidR="00761EA0" w:rsidRPr="00CD3A2D" w:rsidRDefault="00761EA0" w:rsidP="008C1241">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189.014</w:t>
            </w:r>
          </w:p>
        </w:tc>
        <w:tc>
          <w:tcPr>
            <w:tcW w:w="1341" w:type="dxa"/>
            <w:shd w:val="clear" w:color="auto" w:fill="auto"/>
            <w:vAlign w:val="bottom"/>
          </w:tcPr>
          <w:p w:rsidR="00761EA0" w:rsidRPr="001567C8" w:rsidRDefault="00160D89" w:rsidP="00F0295E">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hAnsi="Calibri"/>
                <w:sz w:val="20"/>
                <w:szCs w:val="20"/>
                <w:lang w:val="hr-HR"/>
              </w:rPr>
              <w:t>3.059.698</w:t>
            </w:r>
          </w:p>
        </w:tc>
        <w:tc>
          <w:tcPr>
            <w:tcW w:w="1354" w:type="dxa"/>
            <w:gridSpan w:val="2"/>
            <w:shd w:val="clear" w:color="auto" w:fill="auto"/>
            <w:vAlign w:val="bottom"/>
          </w:tcPr>
          <w:p w:rsidR="00761EA0" w:rsidRPr="001567C8" w:rsidRDefault="00160D89" w:rsidP="00DC6A16">
            <w:pPr>
              <w:tabs>
                <w:tab w:val="right" w:pos="1202"/>
              </w:tabs>
              <w:spacing w:line="280" w:lineRule="exact"/>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185.536</w:t>
            </w:r>
          </w:p>
        </w:tc>
      </w:tr>
      <w:tr w:rsidR="00761EA0" w:rsidRPr="001567C8" w:rsidTr="00797EE8">
        <w:trPr>
          <w:trHeight w:hRule="exact" w:val="284"/>
          <w:jc w:val="center"/>
        </w:trPr>
        <w:tc>
          <w:tcPr>
            <w:tcW w:w="3760" w:type="dxa"/>
            <w:vAlign w:val="bottom"/>
          </w:tcPr>
          <w:p w:rsidR="00761EA0" w:rsidRPr="001567C8" w:rsidRDefault="00761EA0" w:rsidP="00761EA0">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Državni fondovi, izvršna tijela i agencije</w:t>
            </w:r>
          </w:p>
        </w:tc>
        <w:tc>
          <w:tcPr>
            <w:tcW w:w="1344" w:type="dxa"/>
            <w:shd w:val="clear" w:color="auto" w:fill="auto"/>
            <w:vAlign w:val="bottom"/>
          </w:tcPr>
          <w:p w:rsidR="00761EA0" w:rsidRPr="00CD3A2D" w:rsidRDefault="00761EA0" w:rsidP="00BB3DBE">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1.006.177</w:t>
            </w:r>
          </w:p>
        </w:tc>
        <w:tc>
          <w:tcPr>
            <w:tcW w:w="1343" w:type="dxa"/>
            <w:shd w:val="clear" w:color="auto" w:fill="auto"/>
            <w:vAlign w:val="bottom"/>
          </w:tcPr>
          <w:p w:rsidR="00761EA0" w:rsidRPr="00CD3A2D" w:rsidRDefault="00761EA0" w:rsidP="008C1241">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189.666</w:t>
            </w:r>
          </w:p>
        </w:tc>
        <w:tc>
          <w:tcPr>
            <w:tcW w:w="1341" w:type="dxa"/>
            <w:shd w:val="clear" w:color="auto" w:fill="auto"/>
            <w:vAlign w:val="bottom"/>
          </w:tcPr>
          <w:p w:rsidR="00761EA0" w:rsidRPr="001567C8" w:rsidRDefault="00160D89" w:rsidP="00F0295E">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hAnsi="Calibri"/>
                <w:sz w:val="20"/>
                <w:szCs w:val="20"/>
                <w:lang w:val="hr-HR"/>
              </w:rPr>
              <w:t>1.032.525</w:t>
            </w:r>
          </w:p>
        </w:tc>
        <w:tc>
          <w:tcPr>
            <w:tcW w:w="1354" w:type="dxa"/>
            <w:gridSpan w:val="2"/>
            <w:shd w:val="clear" w:color="auto" w:fill="auto"/>
            <w:vAlign w:val="bottom"/>
          </w:tcPr>
          <w:p w:rsidR="00761EA0" w:rsidRPr="001567C8" w:rsidRDefault="00160D89" w:rsidP="00DC6A16">
            <w:pPr>
              <w:tabs>
                <w:tab w:val="right" w:pos="1202"/>
              </w:tabs>
              <w:spacing w:line="280" w:lineRule="exact"/>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30.199</w:t>
            </w:r>
          </w:p>
        </w:tc>
      </w:tr>
      <w:tr w:rsidR="00761EA0" w:rsidRPr="001567C8" w:rsidTr="00797EE8">
        <w:trPr>
          <w:trHeight w:hRule="exact" w:val="284"/>
          <w:jc w:val="center"/>
        </w:trPr>
        <w:tc>
          <w:tcPr>
            <w:tcW w:w="3760" w:type="dxa"/>
            <w:vAlign w:val="bottom"/>
          </w:tcPr>
          <w:p w:rsidR="00761EA0" w:rsidRPr="001567C8" w:rsidRDefault="00761EA0" w:rsidP="00761EA0">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Državna trgovačka društva</w:t>
            </w:r>
          </w:p>
        </w:tc>
        <w:tc>
          <w:tcPr>
            <w:tcW w:w="1344" w:type="dxa"/>
            <w:shd w:val="clear" w:color="auto" w:fill="auto"/>
            <w:vAlign w:val="bottom"/>
          </w:tcPr>
          <w:p w:rsidR="00761EA0" w:rsidRPr="00CD3A2D" w:rsidRDefault="00761EA0" w:rsidP="00BB3DBE">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1.117.758</w:t>
            </w:r>
          </w:p>
        </w:tc>
        <w:tc>
          <w:tcPr>
            <w:tcW w:w="1343" w:type="dxa"/>
            <w:shd w:val="clear" w:color="auto" w:fill="auto"/>
            <w:vAlign w:val="bottom"/>
          </w:tcPr>
          <w:p w:rsidR="00761EA0" w:rsidRPr="00CD3A2D" w:rsidRDefault="00761EA0" w:rsidP="008C1241">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17</w:t>
            </w:r>
          </w:p>
        </w:tc>
        <w:tc>
          <w:tcPr>
            <w:tcW w:w="1341" w:type="dxa"/>
            <w:shd w:val="clear" w:color="auto" w:fill="auto"/>
            <w:vAlign w:val="bottom"/>
          </w:tcPr>
          <w:p w:rsidR="00761EA0" w:rsidRPr="001567C8" w:rsidRDefault="00160D89">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hAnsi="Calibri"/>
                <w:sz w:val="20"/>
                <w:szCs w:val="20"/>
                <w:lang w:val="hr-HR"/>
              </w:rPr>
              <w:t>1.354.442</w:t>
            </w:r>
          </w:p>
        </w:tc>
        <w:tc>
          <w:tcPr>
            <w:tcW w:w="1354" w:type="dxa"/>
            <w:gridSpan w:val="2"/>
            <w:shd w:val="clear" w:color="auto" w:fill="auto"/>
            <w:vAlign w:val="bottom"/>
          </w:tcPr>
          <w:p w:rsidR="00761EA0" w:rsidRPr="001567C8" w:rsidRDefault="00160D89" w:rsidP="00DC6A16">
            <w:pPr>
              <w:tabs>
                <w:tab w:val="right" w:pos="1202"/>
              </w:tabs>
              <w:spacing w:line="280" w:lineRule="exact"/>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w:t>
            </w:r>
          </w:p>
        </w:tc>
      </w:tr>
      <w:tr w:rsidR="00761EA0" w:rsidRPr="001567C8" w:rsidTr="00797EE8">
        <w:trPr>
          <w:trHeight w:hRule="exact" w:val="284"/>
          <w:jc w:val="center"/>
        </w:trPr>
        <w:tc>
          <w:tcPr>
            <w:tcW w:w="3760" w:type="dxa"/>
            <w:vAlign w:val="bottom"/>
          </w:tcPr>
          <w:p w:rsidR="00761EA0" w:rsidRPr="001567C8" w:rsidRDefault="00761EA0" w:rsidP="00761EA0">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Ovisna društva</w:t>
            </w:r>
          </w:p>
        </w:tc>
        <w:tc>
          <w:tcPr>
            <w:tcW w:w="1344" w:type="dxa"/>
            <w:shd w:val="clear" w:color="auto" w:fill="auto"/>
            <w:vAlign w:val="bottom"/>
          </w:tcPr>
          <w:p w:rsidR="00761EA0" w:rsidRPr="00CD3A2D" w:rsidRDefault="00761EA0" w:rsidP="00BB3DBE">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36.124</w:t>
            </w:r>
          </w:p>
        </w:tc>
        <w:tc>
          <w:tcPr>
            <w:tcW w:w="1343" w:type="dxa"/>
            <w:shd w:val="clear" w:color="auto" w:fill="auto"/>
            <w:vAlign w:val="bottom"/>
          </w:tcPr>
          <w:p w:rsidR="00761EA0" w:rsidRPr="00CD3A2D" w:rsidRDefault="00761EA0" w:rsidP="008C1241">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w:t>
            </w:r>
          </w:p>
        </w:tc>
        <w:tc>
          <w:tcPr>
            <w:tcW w:w="1341" w:type="dxa"/>
            <w:shd w:val="clear" w:color="auto" w:fill="auto"/>
            <w:vAlign w:val="bottom"/>
          </w:tcPr>
          <w:p w:rsidR="00761EA0" w:rsidRPr="001567C8" w:rsidRDefault="00160D89" w:rsidP="00F0295E">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hAnsi="Calibri"/>
                <w:sz w:val="20"/>
                <w:szCs w:val="20"/>
                <w:lang w:val="hr-HR"/>
              </w:rPr>
              <w:t>36.124</w:t>
            </w:r>
          </w:p>
        </w:tc>
        <w:tc>
          <w:tcPr>
            <w:tcW w:w="1354" w:type="dxa"/>
            <w:gridSpan w:val="2"/>
            <w:shd w:val="clear" w:color="auto" w:fill="auto"/>
            <w:vAlign w:val="bottom"/>
          </w:tcPr>
          <w:p w:rsidR="00761EA0" w:rsidRPr="001567C8" w:rsidRDefault="00160D89" w:rsidP="00DC6A16">
            <w:pPr>
              <w:tabs>
                <w:tab w:val="right" w:pos="1202"/>
              </w:tabs>
              <w:spacing w:line="280" w:lineRule="exact"/>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w:t>
            </w:r>
          </w:p>
        </w:tc>
      </w:tr>
      <w:tr w:rsidR="00761EA0" w:rsidRPr="001567C8" w:rsidTr="00797EE8">
        <w:trPr>
          <w:trHeight w:hRule="exact" w:val="284"/>
          <w:jc w:val="center"/>
        </w:trPr>
        <w:tc>
          <w:tcPr>
            <w:tcW w:w="3760" w:type="dxa"/>
            <w:vAlign w:val="bottom"/>
          </w:tcPr>
          <w:p w:rsidR="00761EA0" w:rsidRPr="001567C8" w:rsidRDefault="00761EA0" w:rsidP="00761EA0">
            <w:pPr>
              <w:tabs>
                <w:tab w:val="right" w:pos="1202"/>
              </w:tabs>
              <w:outlineLvl w:val="0"/>
              <w:rPr>
                <w:rFonts w:ascii="Calibri" w:eastAsia="Calibri" w:hAnsi="Calibri" w:cs="Arial"/>
                <w:bCs/>
                <w:sz w:val="20"/>
                <w:szCs w:val="20"/>
                <w:lang w:val="hr-HR"/>
              </w:rPr>
            </w:pPr>
            <w:r w:rsidRPr="001567C8">
              <w:rPr>
                <w:rFonts w:ascii="Calibri" w:eastAsia="Calibri" w:hAnsi="Calibri" w:cs="Arial"/>
                <w:sz w:val="20"/>
                <w:szCs w:val="20"/>
                <w:lang w:val="hr-HR"/>
              </w:rPr>
              <w:t>Pridružena društva</w:t>
            </w:r>
          </w:p>
        </w:tc>
        <w:tc>
          <w:tcPr>
            <w:tcW w:w="1344" w:type="dxa"/>
            <w:shd w:val="clear" w:color="auto" w:fill="auto"/>
            <w:vAlign w:val="bottom"/>
          </w:tcPr>
          <w:p w:rsidR="00761EA0" w:rsidRPr="00CD3A2D" w:rsidRDefault="00761EA0" w:rsidP="00BB3DBE">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40</w:t>
            </w:r>
          </w:p>
        </w:tc>
        <w:tc>
          <w:tcPr>
            <w:tcW w:w="1343" w:type="dxa"/>
            <w:shd w:val="clear" w:color="auto" w:fill="auto"/>
            <w:vAlign w:val="bottom"/>
          </w:tcPr>
          <w:p w:rsidR="00761EA0" w:rsidRPr="00CD3A2D" w:rsidRDefault="00761EA0" w:rsidP="008C1241">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10</w:t>
            </w:r>
          </w:p>
        </w:tc>
        <w:tc>
          <w:tcPr>
            <w:tcW w:w="1341" w:type="dxa"/>
            <w:shd w:val="clear" w:color="auto" w:fill="auto"/>
            <w:vAlign w:val="bottom"/>
          </w:tcPr>
          <w:p w:rsidR="00761EA0" w:rsidRPr="001567C8" w:rsidRDefault="00761EA0" w:rsidP="00F0295E">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hAnsi="Calibri"/>
                <w:sz w:val="20"/>
                <w:szCs w:val="20"/>
                <w:lang w:val="hr-HR"/>
              </w:rPr>
              <w:t>1</w:t>
            </w:r>
          </w:p>
        </w:tc>
        <w:tc>
          <w:tcPr>
            <w:tcW w:w="1354" w:type="dxa"/>
            <w:gridSpan w:val="2"/>
            <w:shd w:val="clear" w:color="auto" w:fill="auto"/>
            <w:vAlign w:val="bottom"/>
          </w:tcPr>
          <w:p w:rsidR="00761EA0" w:rsidRPr="001567C8" w:rsidRDefault="00160D89" w:rsidP="00DC6A16">
            <w:pPr>
              <w:tabs>
                <w:tab w:val="right" w:pos="1202"/>
              </w:tabs>
              <w:spacing w:line="280" w:lineRule="exact"/>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w:t>
            </w:r>
          </w:p>
        </w:tc>
      </w:tr>
      <w:tr w:rsidR="00761EA0" w:rsidRPr="001567C8" w:rsidTr="00797EE8">
        <w:trPr>
          <w:trHeight w:hRule="exact" w:val="284"/>
          <w:jc w:val="center"/>
        </w:trPr>
        <w:tc>
          <w:tcPr>
            <w:tcW w:w="3760" w:type="dxa"/>
            <w:vAlign w:val="bottom"/>
          </w:tcPr>
          <w:p w:rsidR="00761EA0" w:rsidRPr="001567C8" w:rsidRDefault="00761EA0" w:rsidP="00761EA0">
            <w:pPr>
              <w:tabs>
                <w:tab w:val="right" w:pos="1202"/>
              </w:tabs>
              <w:outlineLvl w:val="0"/>
              <w:rPr>
                <w:rFonts w:ascii="Calibri" w:eastAsia="Calibri" w:hAnsi="Calibri" w:cs="Arial"/>
                <w:bCs/>
                <w:sz w:val="20"/>
                <w:szCs w:val="20"/>
                <w:lang w:val="hr-HR"/>
              </w:rPr>
            </w:pPr>
            <w:r w:rsidRPr="001567C8">
              <w:rPr>
                <w:rFonts w:ascii="Calibri" w:eastAsia="Calibri" w:hAnsi="Calibri" w:cs="Arial"/>
                <w:bCs/>
                <w:sz w:val="20"/>
                <w:szCs w:val="20"/>
                <w:lang w:val="hr-HR"/>
              </w:rPr>
              <w:t>Ključni članovi rukovodstva</w:t>
            </w:r>
          </w:p>
        </w:tc>
        <w:tc>
          <w:tcPr>
            <w:tcW w:w="1344" w:type="dxa"/>
            <w:tcBorders>
              <w:bottom w:val="single" w:sz="4" w:space="0" w:color="000000"/>
            </w:tcBorders>
            <w:shd w:val="clear" w:color="auto" w:fill="auto"/>
            <w:vAlign w:val="bottom"/>
          </w:tcPr>
          <w:p w:rsidR="00761EA0" w:rsidRPr="00CD3A2D" w:rsidRDefault="00761EA0" w:rsidP="00BB3DBE">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4.412</w:t>
            </w:r>
          </w:p>
        </w:tc>
        <w:tc>
          <w:tcPr>
            <w:tcW w:w="1343" w:type="dxa"/>
            <w:tcBorders>
              <w:bottom w:val="single" w:sz="4" w:space="0" w:color="000000"/>
            </w:tcBorders>
            <w:shd w:val="clear" w:color="auto" w:fill="auto"/>
            <w:vAlign w:val="bottom"/>
          </w:tcPr>
          <w:p w:rsidR="00761EA0" w:rsidRPr="00CD3A2D" w:rsidRDefault="000F3420" w:rsidP="008C1241">
            <w:pPr>
              <w:tabs>
                <w:tab w:val="right" w:pos="1202"/>
              </w:tabs>
              <w:spacing w:line="280" w:lineRule="exact"/>
              <w:jc w:val="right"/>
              <w:outlineLvl w:val="0"/>
              <w:rPr>
                <w:rFonts w:ascii="Calibri" w:eastAsia="Calibri" w:hAnsi="Calibri"/>
                <w:sz w:val="20"/>
                <w:szCs w:val="20"/>
                <w:lang w:val="hr-HR"/>
              </w:rPr>
            </w:pPr>
            <w:r w:rsidRPr="00CD3A2D">
              <w:rPr>
                <w:rFonts w:ascii="Calibri" w:hAnsi="Calibri"/>
                <w:sz w:val="20"/>
                <w:szCs w:val="20"/>
                <w:lang w:val="hr-HR"/>
              </w:rPr>
              <w:t>2.014</w:t>
            </w:r>
          </w:p>
        </w:tc>
        <w:tc>
          <w:tcPr>
            <w:tcW w:w="1341" w:type="dxa"/>
            <w:tcBorders>
              <w:bottom w:val="single" w:sz="4" w:space="0" w:color="000000"/>
            </w:tcBorders>
            <w:shd w:val="clear" w:color="auto" w:fill="auto"/>
            <w:vAlign w:val="bottom"/>
          </w:tcPr>
          <w:p w:rsidR="00761EA0" w:rsidRPr="001567C8" w:rsidRDefault="00160D89">
            <w:pPr>
              <w:tabs>
                <w:tab w:val="right" w:pos="1202"/>
              </w:tabs>
              <w:spacing w:line="280" w:lineRule="exact"/>
              <w:jc w:val="right"/>
              <w:outlineLvl w:val="0"/>
              <w:rPr>
                <w:rFonts w:ascii="Calibri" w:eastAsia="Calibri" w:hAnsi="Calibri" w:cs="Arial"/>
                <w:bCs/>
                <w:iCs/>
                <w:sz w:val="20"/>
                <w:szCs w:val="20"/>
                <w:lang w:val="hr-HR"/>
              </w:rPr>
            </w:pPr>
            <w:r w:rsidRPr="00CD3A2D">
              <w:rPr>
                <w:rFonts w:ascii="Calibri" w:hAnsi="Calibri"/>
                <w:sz w:val="20"/>
                <w:szCs w:val="20"/>
                <w:lang w:val="hr-HR"/>
              </w:rPr>
              <w:t>4.844</w:t>
            </w:r>
          </w:p>
        </w:tc>
        <w:tc>
          <w:tcPr>
            <w:tcW w:w="1354" w:type="dxa"/>
            <w:gridSpan w:val="2"/>
            <w:tcBorders>
              <w:bottom w:val="single" w:sz="4" w:space="0" w:color="000000"/>
            </w:tcBorders>
            <w:shd w:val="clear" w:color="auto" w:fill="auto"/>
            <w:vAlign w:val="bottom"/>
          </w:tcPr>
          <w:p w:rsidR="00761EA0" w:rsidRPr="001567C8" w:rsidRDefault="000F3420" w:rsidP="00DC6A16">
            <w:pPr>
              <w:tabs>
                <w:tab w:val="right" w:pos="1202"/>
              </w:tabs>
              <w:spacing w:line="280" w:lineRule="exact"/>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1.956</w:t>
            </w:r>
          </w:p>
        </w:tc>
      </w:tr>
      <w:tr w:rsidR="00761EA0" w:rsidRPr="001567C8" w:rsidTr="00797EE8">
        <w:trPr>
          <w:trHeight w:val="329"/>
          <w:jc w:val="center"/>
        </w:trPr>
        <w:tc>
          <w:tcPr>
            <w:tcW w:w="3760" w:type="dxa"/>
            <w:vAlign w:val="bottom"/>
          </w:tcPr>
          <w:p w:rsidR="00761EA0" w:rsidRPr="001567C8" w:rsidRDefault="00761EA0" w:rsidP="00761EA0">
            <w:pPr>
              <w:tabs>
                <w:tab w:val="right" w:pos="1202"/>
              </w:tabs>
              <w:outlineLvl w:val="0"/>
              <w:rPr>
                <w:rFonts w:ascii="Calibri" w:eastAsia="Calibri" w:hAnsi="Calibri" w:cs="Arial"/>
                <w:b/>
                <w:sz w:val="20"/>
                <w:szCs w:val="20"/>
                <w:lang w:val="hr-HR"/>
              </w:rPr>
            </w:pPr>
            <w:r w:rsidRPr="001567C8">
              <w:rPr>
                <w:rFonts w:ascii="Calibri" w:eastAsia="Calibri" w:hAnsi="Calibri" w:cs="Arial"/>
                <w:b/>
                <w:sz w:val="20"/>
                <w:szCs w:val="20"/>
                <w:lang w:val="hr-HR"/>
              </w:rPr>
              <w:t>Ukupno</w:t>
            </w:r>
          </w:p>
        </w:tc>
        <w:tc>
          <w:tcPr>
            <w:tcW w:w="1344" w:type="dxa"/>
            <w:tcBorders>
              <w:top w:val="single" w:sz="4" w:space="0" w:color="auto"/>
              <w:bottom w:val="single" w:sz="12" w:space="0" w:color="auto"/>
              <w:right w:val="nil"/>
            </w:tcBorders>
            <w:shd w:val="clear" w:color="auto" w:fill="auto"/>
            <w:vAlign w:val="bottom"/>
          </w:tcPr>
          <w:p w:rsidR="00761EA0" w:rsidRPr="001567C8" w:rsidRDefault="00761EA0" w:rsidP="00BB3DBE">
            <w:pPr>
              <w:tabs>
                <w:tab w:val="right" w:pos="1202"/>
              </w:tabs>
              <w:jc w:val="right"/>
              <w:outlineLvl w:val="0"/>
              <w:rPr>
                <w:rFonts w:ascii="Calibri" w:eastAsia="Calibri" w:hAnsi="Calibri"/>
                <w:b/>
                <w:sz w:val="20"/>
                <w:szCs w:val="20"/>
                <w:lang w:val="hr-HR"/>
              </w:rPr>
            </w:pPr>
            <w:r w:rsidRPr="00CD3A2D">
              <w:rPr>
                <w:rFonts w:asciiTheme="minorHAnsi" w:hAnsiTheme="minorHAnsi"/>
                <w:b/>
                <w:sz w:val="20"/>
                <w:szCs w:val="20"/>
                <w:lang w:val="hr-HR"/>
              </w:rPr>
              <w:t>6.500.453</w:t>
            </w:r>
          </w:p>
        </w:tc>
        <w:tc>
          <w:tcPr>
            <w:tcW w:w="1343" w:type="dxa"/>
            <w:tcBorders>
              <w:top w:val="single" w:sz="4" w:space="0" w:color="auto"/>
              <w:left w:val="nil"/>
              <w:bottom w:val="single" w:sz="12" w:space="0" w:color="auto"/>
              <w:right w:val="nil"/>
            </w:tcBorders>
            <w:shd w:val="clear" w:color="auto" w:fill="auto"/>
            <w:vAlign w:val="bottom"/>
          </w:tcPr>
          <w:p w:rsidR="00761EA0" w:rsidRPr="001567C8" w:rsidRDefault="000F3420" w:rsidP="008C1241">
            <w:pPr>
              <w:tabs>
                <w:tab w:val="right" w:pos="1202"/>
              </w:tabs>
              <w:jc w:val="right"/>
              <w:outlineLvl w:val="0"/>
              <w:rPr>
                <w:rFonts w:ascii="Calibri" w:eastAsia="Calibri" w:hAnsi="Calibri"/>
                <w:b/>
                <w:sz w:val="20"/>
                <w:szCs w:val="20"/>
                <w:lang w:val="hr-HR"/>
              </w:rPr>
            </w:pPr>
            <w:r w:rsidRPr="00CD3A2D">
              <w:rPr>
                <w:rFonts w:asciiTheme="minorHAnsi" w:hAnsiTheme="minorHAnsi"/>
                <w:b/>
                <w:sz w:val="20"/>
                <w:szCs w:val="20"/>
                <w:lang w:val="hr-HR"/>
              </w:rPr>
              <w:t>380.721</w:t>
            </w:r>
          </w:p>
        </w:tc>
        <w:tc>
          <w:tcPr>
            <w:tcW w:w="1341" w:type="dxa"/>
            <w:tcBorders>
              <w:top w:val="single" w:sz="4" w:space="0" w:color="auto"/>
              <w:left w:val="nil"/>
              <w:bottom w:val="single" w:sz="12" w:space="0" w:color="auto"/>
              <w:right w:val="nil"/>
            </w:tcBorders>
            <w:shd w:val="clear" w:color="auto" w:fill="auto"/>
            <w:vAlign w:val="bottom"/>
          </w:tcPr>
          <w:p w:rsidR="00761EA0" w:rsidRPr="001567C8" w:rsidRDefault="00160D89" w:rsidP="00F0295E">
            <w:pPr>
              <w:tabs>
                <w:tab w:val="right" w:pos="1202"/>
              </w:tabs>
              <w:jc w:val="right"/>
              <w:outlineLvl w:val="0"/>
              <w:rPr>
                <w:rFonts w:ascii="Calibri" w:eastAsia="Calibri" w:hAnsi="Calibri" w:cs="Arial"/>
                <w:b/>
                <w:bCs/>
                <w:sz w:val="20"/>
                <w:szCs w:val="20"/>
                <w:lang w:val="hr-HR"/>
              </w:rPr>
            </w:pPr>
            <w:r w:rsidRPr="00CD3A2D">
              <w:rPr>
                <w:rFonts w:asciiTheme="minorHAnsi" w:hAnsiTheme="minorHAnsi"/>
                <w:b/>
                <w:sz w:val="20"/>
                <w:szCs w:val="20"/>
                <w:lang w:val="hr-HR"/>
              </w:rPr>
              <w:t>5.487.634</w:t>
            </w:r>
          </w:p>
        </w:tc>
        <w:tc>
          <w:tcPr>
            <w:tcW w:w="1354" w:type="dxa"/>
            <w:gridSpan w:val="2"/>
            <w:tcBorders>
              <w:top w:val="single" w:sz="4" w:space="0" w:color="auto"/>
              <w:left w:val="nil"/>
              <w:bottom w:val="single" w:sz="12" w:space="0" w:color="auto"/>
            </w:tcBorders>
            <w:shd w:val="clear" w:color="auto" w:fill="auto"/>
            <w:vAlign w:val="bottom"/>
          </w:tcPr>
          <w:p w:rsidR="00761EA0" w:rsidRPr="001567C8" w:rsidRDefault="000F3420" w:rsidP="00DC6A16">
            <w:pPr>
              <w:tabs>
                <w:tab w:val="right" w:pos="1202"/>
              </w:tabs>
              <w:jc w:val="right"/>
              <w:outlineLvl w:val="0"/>
              <w:rPr>
                <w:rFonts w:ascii="Calibri" w:eastAsia="Calibri" w:hAnsi="Calibri" w:cs="Arial"/>
                <w:b/>
                <w:bCs/>
                <w:sz w:val="20"/>
                <w:szCs w:val="20"/>
                <w:lang w:val="hr-HR"/>
              </w:rPr>
            </w:pPr>
            <w:r w:rsidRPr="001567C8">
              <w:rPr>
                <w:rFonts w:ascii="Calibri" w:eastAsia="Calibri" w:hAnsi="Calibri" w:cs="Arial"/>
                <w:b/>
                <w:bCs/>
                <w:sz w:val="20"/>
                <w:szCs w:val="20"/>
                <w:lang w:val="hr-HR"/>
              </w:rPr>
              <w:t>217.691</w:t>
            </w:r>
          </w:p>
        </w:tc>
      </w:tr>
    </w:tbl>
    <w:p w:rsidR="00761EA0" w:rsidRPr="001567C8" w:rsidRDefault="00761EA0" w:rsidP="00797EE8">
      <w:pPr>
        <w:pStyle w:val="T1"/>
        <w:spacing w:before="0" w:after="0" w:line="240" w:lineRule="auto"/>
        <w:rPr>
          <w:rFonts w:asciiTheme="minorHAnsi" w:hAnsiTheme="minorHAnsi" w:cs="Arial"/>
          <w:b w:val="0"/>
          <w:sz w:val="22"/>
          <w:szCs w:val="22"/>
          <w:lang w:val="hr-HR"/>
        </w:rPr>
      </w:pPr>
    </w:p>
    <w:p w:rsidR="003A36A6" w:rsidRPr="001567C8" w:rsidRDefault="003A36A6" w:rsidP="003A36A6">
      <w:pPr>
        <w:keepNext/>
        <w:jc w:val="both"/>
        <w:rPr>
          <w:rFonts w:ascii="Calibri" w:hAnsi="Calibri" w:cs="Arial"/>
          <w:bCs/>
          <w:sz w:val="22"/>
          <w:szCs w:val="22"/>
          <w:highlight w:val="yellow"/>
          <w:lang w:val="hr-HR"/>
        </w:rPr>
      </w:pPr>
    </w:p>
    <w:tbl>
      <w:tblPr>
        <w:tblW w:w="4849" w:type="pct"/>
        <w:jc w:val="center"/>
        <w:tblLayout w:type="fixed"/>
        <w:tblCellMar>
          <w:left w:w="113" w:type="dxa"/>
          <w:right w:w="85" w:type="dxa"/>
        </w:tblCellMar>
        <w:tblLook w:val="00A0" w:firstRow="1" w:lastRow="0" w:firstColumn="1" w:lastColumn="0" w:noHBand="0" w:noVBand="0"/>
      </w:tblPr>
      <w:tblGrid>
        <w:gridCol w:w="3805"/>
        <w:gridCol w:w="1316"/>
        <w:gridCol w:w="1317"/>
        <w:gridCol w:w="1317"/>
        <w:gridCol w:w="1317"/>
      </w:tblGrid>
      <w:tr w:rsidR="00BE20C8" w:rsidRPr="001567C8" w:rsidTr="00797EE8">
        <w:trPr>
          <w:trHeight w:val="14"/>
          <w:jc w:val="center"/>
        </w:trPr>
        <w:tc>
          <w:tcPr>
            <w:tcW w:w="3805" w:type="dxa"/>
            <w:vAlign w:val="bottom"/>
          </w:tcPr>
          <w:p w:rsidR="00BE20C8" w:rsidRPr="001567C8" w:rsidRDefault="00BE20C8" w:rsidP="006735C2">
            <w:pPr>
              <w:tabs>
                <w:tab w:val="right" w:pos="1202"/>
              </w:tabs>
              <w:outlineLvl w:val="0"/>
              <w:rPr>
                <w:rFonts w:ascii="Calibri" w:eastAsia="Calibri" w:hAnsi="Calibri" w:cs="Arial"/>
                <w:sz w:val="20"/>
                <w:szCs w:val="20"/>
                <w:lang w:val="hr-HR"/>
              </w:rPr>
            </w:pPr>
            <w:r w:rsidRPr="001567C8">
              <w:rPr>
                <w:rFonts w:ascii="Calibri" w:eastAsia="Calibri" w:hAnsi="Calibri" w:cs="Arial"/>
                <w:b/>
                <w:sz w:val="20"/>
                <w:szCs w:val="20"/>
                <w:lang w:val="hr-HR"/>
              </w:rPr>
              <w:t>Banka</w:t>
            </w:r>
          </w:p>
        </w:tc>
        <w:tc>
          <w:tcPr>
            <w:tcW w:w="1316" w:type="dxa"/>
            <w:vAlign w:val="center"/>
          </w:tcPr>
          <w:p w:rsidR="00BE20C8" w:rsidRPr="001567C8" w:rsidRDefault="00BE20C8" w:rsidP="006735C2">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Prihodi</w:t>
            </w:r>
          </w:p>
        </w:tc>
        <w:tc>
          <w:tcPr>
            <w:tcW w:w="1317" w:type="dxa"/>
            <w:vAlign w:val="center"/>
          </w:tcPr>
          <w:p w:rsidR="00BE20C8" w:rsidRPr="001567C8" w:rsidRDefault="00BE20C8" w:rsidP="006735C2">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Rashodi</w:t>
            </w:r>
          </w:p>
        </w:tc>
        <w:tc>
          <w:tcPr>
            <w:tcW w:w="1317" w:type="dxa"/>
            <w:vAlign w:val="center"/>
          </w:tcPr>
          <w:p w:rsidR="00BE20C8" w:rsidRPr="001567C8" w:rsidRDefault="00BE20C8" w:rsidP="006735C2">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Prihodi</w:t>
            </w:r>
          </w:p>
        </w:tc>
        <w:tc>
          <w:tcPr>
            <w:tcW w:w="1317" w:type="dxa"/>
            <w:vAlign w:val="center"/>
          </w:tcPr>
          <w:p w:rsidR="00BE20C8" w:rsidRPr="001567C8" w:rsidRDefault="00BE20C8" w:rsidP="006735C2">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Rashodi</w:t>
            </w:r>
          </w:p>
        </w:tc>
      </w:tr>
      <w:tr w:rsidR="00BE20C8" w:rsidRPr="001567C8" w:rsidTr="003C6BA3">
        <w:trPr>
          <w:trHeight w:hRule="exact" w:val="555"/>
          <w:jc w:val="center"/>
        </w:trPr>
        <w:tc>
          <w:tcPr>
            <w:tcW w:w="3805" w:type="dxa"/>
            <w:vAlign w:val="bottom"/>
          </w:tcPr>
          <w:p w:rsidR="00BE20C8" w:rsidRPr="001567C8" w:rsidRDefault="00BE20C8" w:rsidP="006735C2">
            <w:pPr>
              <w:tabs>
                <w:tab w:val="right" w:pos="1202"/>
              </w:tabs>
              <w:outlineLvl w:val="0"/>
              <w:rPr>
                <w:rFonts w:ascii="Calibri" w:eastAsia="Calibri" w:hAnsi="Calibri" w:cs="Arial"/>
                <w:b/>
                <w:sz w:val="20"/>
                <w:szCs w:val="20"/>
                <w:lang w:val="hr-HR"/>
              </w:rPr>
            </w:pPr>
          </w:p>
        </w:tc>
        <w:tc>
          <w:tcPr>
            <w:tcW w:w="1316" w:type="dxa"/>
            <w:vAlign w:val="center"/>
          </w:tcPr>
          <w:p w:rsidR="00BE20C8" w:rsidRPr="001567C8" w:rsidRDefault="00434C7E">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 xml:space="preserve">1.1. – 31.12. </w:t>
            </w:r>
            <w:r w:rsidR="00BE20C8" w:rsidRPr="001567C8">
              <w:rPr>
                <w:rFonts w:ascii="Calibri" w:eastAsia="Calibri" w:hAnsi="Calibri" w:cs="Arial"/>
                <w:b/>
                <w:bCs/>
                <w:iCs/>
                <w:sz w:val="20"/>
                <w:szCs w:val="20"/>
                <w:lang w:val="hr-HR"/>
              </w:rPr>
              <w:t>2018.</w:t>
            </w:r>
          </w:p>
        </w:tc>
        <w:tc>
          <w:tcPr>
            <w:tcW w:w="1317" w:type="dxa"/>
            <w:vAlign w:val="center"/>
          </w:tcPr>
          <w:p w:rsidR="00BE20C8" w:rsidRPr="001567C8" w:rsidRDefault="00434C7E">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 xml:space="preserve">1.1. – 31.12. </w:t>
            </w:r>
            <w:r w:rsidR="00BE20C8" w:rsidRPr="001567C8">
              <w:rPr>
                <w:rFonts w:ascii="Calibri" w:eastAsia="Calibri" w:hAnsi="Calibri" w:cs="Arial"/>
                <w:b/>
                <w:bCs/>
                <w:iCs/>
                <w:sz w:val="20"/>
                <w:szCs w:val="20"/>
                <w:lang w:val="hr-HR"/>
              </w:rPr>
              <w:t>2018.</w:t>
            </w:r>
          </w:p>
        </w:tc>
        <w:tc>
          <w:tcPr>
            <w:tcW w:w="1317" w:type="dxa"/>
            <w:vAlign w:val="center"/>
          </w:tcPr>
          <w:p w:rsidR="00BE20C8" w:rsidRPr="001567C8" w:rsidRDefault="00434C7E">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 xml:space="preserve">1.1. – 31.12. </w:t>
            </w:r>
            <w:r w:rsidR="00BE20C8" w:rsidRPr="001567C8">
              <w:rPr>
                <w:rFonts w:ascii="Calibri" w:eastAsia="Calibri" w:hAnsi="Calibri" w:cs="Arial"/>
                <w:b/>
                <w:bCs/>
                <w:iCs/>
                <w:sz w:val="20"/>
                <w:szCs w:val="20"/>
                <w:lang w:val="hr-HR"/>
              </w:rPr>
              <w:t>2017.</w:t>
            </w:r>
          </w:p>
        </w:tc>
        <w:tc>
          <w:tcPr>
            <w:tcW w:w="1317" w:type="dxa"/>
            <w:vAlign w:val="center"/>
          </w:tcPr>
          <w:p w:rsidR="00BE20C8" w:rsidRPr="001567C8" w:rsidRDefault="00434C7E">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iCs/>
                <w:sz w:val="20"/>
                <w:szCs w:val="20"/>
                <w:lang w:val="hr-HR"/>
              </w:rPr>
              <w:t xml:space="preserve">1.1. – 31.12. </w:t>
            </w:r>
            <w:r w:rsidR="00BE20C8" w:rsidRPr="001567C8">
              <w:rPr>
                <w:rFonts w:ascii="Calibri" w:eastAsia="Calibri" w:hAnsi="Calibri" w:cs="Arial"/>
                <w:b/>
                <w:bCs/>
                <w:iCs/>
                <w:sz w:val="20"/>
                <w:szCs w:val="20"/>
                <w:lang w:val="hr-HR"/>
              </w:rPr>
              <w:t>2017.</w:t>
            </w:r>
          </w:p>
        </w:tc>
      </w:tr>
      <w:tr w:rsidR="00BE20C8" w:rsidRPr="001567C8" w:rsidTr="00797EE8">
        <w:trPr>
          <w:trHeight w:hRule="exact" w:val="284"/>
          <w:jc w:val="center"/>
        </w:trPr>
        <w:tc>
          <w:tcPr>
            <w:tcW w:w="3805" w:type="dxa"/>
            <w:vAlign w:val="bottom"/>
          </w:tcPr>
          <w:p w:rsidR="00BE20C8" w:rsidRPr="001567C8" w:rsidRDefault="00BE20C8" w:rsidP="006735C2">
            <w:pPr>
              <w:tabs>
                <w:tab w:val="right" w:pos="1202"/>
              </w:tabs>
              <w:outlineLvl w:val="0"/>
              <w:rPr>
                <w:rFonts w:ascii="Calibri" w:eastAsia="Calibri" w:hAnsi="Calibri" w:cs="Arial"/>
                <w:b/>
                <w:sz w:val="20"/>
                <w:szCs w:val="20"/>
                <w:lang w:val="hr-HR"/>
              </w:rPr>
            </w:pPr>
          </w:p>
        </w:tc>
        <w:tc>
          <w:tcPr>
            <w:tcW w:w="1316" w:type="dxa"/>
            <w:tcBorders>
              <w:top w:val="nil"/>
              <w:left w:val="nil"/>
              <w:bottom w:val="nil"/>
              <w:right w:val="nil"/>
            </w:tcBorders>
          </w:tcPr>
          <w:p w:rsidR="00BE20C8" w:rsidRPr="001567C8" w:rsidRDefault="00BE20C8" w:rsidP="006735C2">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17" w:type="dxa"/>
            <w:tcBorders>
              <w:top w:val="nil"/>
              <w:left w:val="nil"/>
              <w:bottom w:val="nil"/>
              <w:right w:val="nil"/>
            </w:tcBorders>
          </w:tcPr>
          <w:p w:rsidR="00BE20C8" w:rsidRPr="001567C8" w:rsidRDefault="00BE20C8" w:rsidP="006735C2">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17" w:type="dxa"/>
            <w:tcBorders>
              <w:top w:val="nil"/>
              <w:left w:val="nil"/>
              <w:bottom w:val="nil"/>
              <w:right w:val="nil"/>
            </w:tcBorders>
          </w:tcPr>
          <w:p w:rsidR="00BE20C8" w:rsidRPr="001567C8" w:rsidRDefault="00BE20C8" w:rsidP="006735C2">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c>
          <w:tcPr>
            <w:tcW w:w="1317" w:type="dxa"/>
            <w:tcBorders>
              <w:top w:val="nil"/>
              <w:left w:val="nil"/>
              <w:bottom w:val="nil"/>
              <w:right w:val="nil"/>
            </w:tcBorders>
          </w:tcPr>
          <w:p w:rsidR="00BE20C8" w:rsidRPr="001567C8" w:rsidRDefault="00BE20C8" w:rsidP="006735C2">
            <w:pPr>
              <w:tabs>
                <w:tab w:val="right" w:pos="1202"/>
              </w:tabs>
              <w:jc w:val="right"/>
              <w:outlineLvl w:val="0"/>
              <w:rPr>
                <w:rFonts w:ascii="Calibri" w:eastAsia="Calibri" w:hAnsi="Calibri" w:cs="Arial"/>
                <w:b/>
                <w:bCs/>
                <w:iCs/>
                <w:sz w:val="20"/>
                <w:szCs w:val="20"/>
                <w:lang w:val="hr-HR"/>
              </w:rPr>
            </w:pPr>
            <w:r w:rsidRPr="001567C8">
              <w:rPr>
                <w:rFonts w:ascii="Calibri" w:eastAsia="Calibri" w:hAnsi="Calibri" w:cs="Arial"/>
                <w:b/>
                <w:bCs/>
                <w:color w:val="000000"/>
                <w:sz w:val="20"/>
                <w:szCs w:val="20"/>
                <w:lang w:val="hr-HR"/>
              </w:rPr>
              <w:t>000 kuna</w:t>
            </w:r>
          </w:p>
        </w:tc>
      </w:tr>
      <w:tr w:rsidR="00BE20C8" w:rsidRPr="001567C8" w:rsidTr="00797EE8">
        <w:trPr>
          <w:trHeight w:hRule="exact" w:val="284"/>
          <w:jc w:val="center"/>
        </w:trPr>
        <w:tc>
          <w:tcPr>
            <w:tcW w:w="3805" w:type="dxa"/>
            <w:vAlign w:val="bottom"/>
          </w:tcPr>
          <w:p w:rsidR="00BE20C8" w:rsidRPr="001567C8" w:rsidRDefault="00BE20C8" w:rsidP="006735C2">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Vlasnik</w:t>
            </w:r>
          </w:p>
        </w:tc>
        <w:tc>
          <w:tcPr>
            <w:tcW w:w="1316" w:type="dxa"/>
            <w:shd w:val="clear" w:color="auto" w:fill="auto"/>
            <w:vAlign w:val="bottom"/>
          </w:tcPr>
          <w:p w:rsidR="00BE20C8" w:rsidRPr="001567C8" w:rsidRDefault="000F3420" w:rsidP="00BB3DBE">
            <w:pPr>
              <w:tabs>
                <w:tab w:val="right" w:pos="1202"/>
              </w:tabs>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56.380</w:t>
            </w:r>
          </w:p>
        </w:tc>
        <w:tc>
          <w:tcPr>
            <w:tcW w:w="1317" w:type="dxa"/>
            <w:shd w:val="clear" w:color="auto" w:fill="auto"/>
            <w:vAlign w:val="bottom"/>
          </w:tcPr>
          <w:p w:rsidR="00BE20C8" w:rsidRPr="001567C8" w:rsidRDefault="000F3420" w:rsidP="008C1241">
            <w:pPr>
              <w:tabs>
                <w:tab w:val="right" w:pos="1202"/>
              </w:tabs>
              <w:jc w:val="right"/>
              <w:outlineLvl w:val="0"/>
              <w:rPr>
                <w:rFonts w:ascii="Calibri" w:eastAsia="Calibri" w:hAnsi="Calibri" w:cs="Arial"/>
                <w:bCs/>
                <w:iCs/>
                <w:sz w:val="20"/>
                <w:szCs w:val="20"/>
                <w:lang w:val="hr-HR"/>
              </w:rPr>
            </w:pPr>
            <w:r w:rsidRPr="00CD3A2D">
              <w:rPr>
                <w:rFonts w:ascii="Calibri" w:hAnsi="Calibri"/>
                <w:sz w:val="20"/>
                <w:szCs w:val="20"/>
                <w:lang w:val="hr-HR"/>
              </w:rPr>
              <w:t>6.519</w:t>
            </w:r>
          </w:p>
        </w:tc>
        <w:tc>
          <w:tcPr>
            <w:tcW w:w="1317" w:type="dxa"/>
            <w:shd w:val="clear" w:color="auto" w:fill="auto"/>
            <w:vAlign w:val="bottom"/>
          </w:tcPr>
          <w:p w:rsidR="00BE20C8" w:rsidRPr="001567C8" w:rsidRDefault="00BE20C8"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82.760</w:t>
            </w:r>
          </w:p>
        </w:tc>
        <w:tc>
          <w:tcPr>
            <w:tcW w:w="1317" w:type="dxa"/>
            <w:shd w:val="clear" w:color="auto" w:fill="auto"/>
            <w:vAlign w:val="bottom"/>
          </w:tcPr>
          <w:p w:rsidR="00BE20C8" w:rsidRPr="001567C8" w:rsidRDefault="00BE20C8"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581</w:t>
            </w:r>
          </w:p>
        </w:tc>
      </w:tr>
      <w:tr w:rsidR="00BE20C8" w:rsidRPr="001567C8" w:rsidTr="00797EE8">
        <w:trPr>
          <w:trHeight w:hRule="exact" w:val="284"/>
          <w:jc w:val="center"/>
        </w:trPr>
        <w:tc>
          <w:tcPr>
            <w:tcW w:w="3805" w:type="dxa"/>
            <w:vAlign w:val="bottom"/>
          </w:tcPr>
          <w:p w:rsidR="00BE20C8" w:rsidRPr="001567C8" w:rsidRDefault="00BE20C8" w:rsidP="006735C2">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Državni fondovi, izvršna tijela i agencije</w:t>
            </w:r>
          </w:p>
        </w:tc>
        <w:tc>
          <w:tcPr>
            <w:tcW w:w="1316" w:type="dxa"/>
            <w:shd w:val="clear" w:color="auto" w:fill="auto"/>
            <w:vAlign w:val="bottom"/>
          </w:tcPr>
          <w:p w:rsidR="00BE20C8" w:rsidRPr="001567C8" w:rsidRDefault="000F3420" w:rsidP="00BB3DBE">
            <w:pPr>
              <w:tabs>
                <w:tab w:val="right" w:pos="1202"/>
              </w:tabs>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144.853</w:t>
            </w:r>
          </w:p>
        </w:tc>
        <w:tc>
          <w:tcPr>
            <w:tcW w:w="1317" w:type="dxa"/>
            <w:shd w:val="clear" w:color="auto" w:fill="auto"/>
            <w:vAlign w:val="bottom"/>
          </w:tcPr>
          <w:p w:rsidR="00BE20C8" w:rsidRPr="001567C8" w:rsidRDefault="000F3420" w:rsidP="008C1241">
            <w:pPr>
              <w:tabs>
                <w:tab w:val="right" w:pos="1202"/>
              </w:tabs>
              <w:jc w:val="right"/>
              <w:outlineLvl w:val="0"/>
              <w:rPr>
                <w:rFonts w:ascii="Calibri" w:eastAsia="Calibri" w:hAnsi="Calibri" w:cs="Arial"/>
                <w:bCs/>
                <w:iCs/>
                <w:sz w:val="20"/>
                <w:szCs w:val="20"/>
                <w:lang w:val="hr-HR"/>
              </w:rPr>
            </w:pPr>
            <w:r w:rsidRPr="00CD3A2D">
              <w:rPr>
                <w:rFonts w:ascii="Calibri" w:hAnsi="Calibri"/>
                <w:sz w:val="20"/>
                <w:szCs w:val="20"/>
                <w:lang w:val="hr-HR"/>
              </w:rPr>
              <w:t>194</w:t>
            </w:r>
          </w:p>
        </w:tc>
        <w:tc>
          <w:tcPr>
            <w:tcW w:w="1317" w:type="dxa"/>
            <w:shd w:val="clear" w:color="auto" w:fill="auto"/>
            <w:vAlign w:val="bottom"/>
          </w:tcPr>
          <w:p w:rsidR="00BE20C8" w:rsidRPr="001567C8" w:rsidRDefault="00BE20C8"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29.783</w:t>
            </w:r>
          </w:p>
        </w:tc>
        <w:tc>
          <w:tcPr>
            <w:tcW w:w="1317" w:type="dxa"/>
            <w:shd w:val="clear" w:color="auto" w:fill="auto"/>
            <w:vAlign w:val="bottom"/>
          </w:tcPr>
          <w:p w:rsidR="00BE20C8" w:rsidRPr="001567C8" w:rsidRDefault="00BE20C8"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751</w:t>
            </w:r>
          </w:p>
        </w:tc>
      </w:tr>
      <w:tr w:rsidR="00BE20C8" w:rsidRPr="001567C8" w:rsidTr="00797EE8">
        <w:trPr>
          <w:trHeight w:hRule="exact" w:val="284"/>
          <w:jc w:val="center"/>
        </w:trPr>
        <w:tc>
          <w:tcPr>
            <w:tcW w:w="3805" w:type="dxa"/>
            <w:vAlign w:val="bottom"/>
          </w:tcPr>
          <w:p w:rsidR="00BE20C8" w:rsidRPr="001567C8" w:rsidRDefault="00BE20C8" w:rsidP="006735C2">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Državna trgovačka društva</w:t>
            </w:r>
          </w:p>
        </w:tc>
        <w:tc>
          <w:tcPr>
            <w:tcW w:w="1316" w:type="dxa"/>
            <w:shd w:val="clear" w:color="auto" w:fill="auto"/>
            <w:vAlign w:val="bottom"/>
          </w:tcPr>
          <w:p w:rsidR="00BE20C8" w:rsidRPr="001567C8" w:rsidRDefault="000F3420" w:rsidP="00BB3DBE">
            <w:pPr>
              <w:tabs>
                <w:tab w:val="right" w:pos="1202"/>
              </w:tabs>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53.164</w:t>
            </w:r>
          </w:p>
        </w:tc>
        <w:tc>
          <w:tcPr>
            <w:tcW w:w="1317" w:type="dxa"/>
            <w:shd w:val="clear" w:color="auto" w:fill="auto"/>
            <w:vAlign w:val="bottom"/>
          </w:tcPr>
          <w:p w:rsidR="00BE20C8" w:rsidRPr="001567C8" w:rsidRDefault="000F3420" w:rsidP="008C1241">
            <w:pPr>
              <w:tabs>
                <w:tab w:val="right" w:pos="1202"/>
              </w:tabs>
              <w:jc w:val="right"/>
              <w:outlineLvl w:val="0"/>
              <w:rPr>
                <w:rFonts w:ascii="Calibri" w:eastAsia="Calibri" w:hAnsi="Calibri" w:cs="Arial"/>
                <w:bCs/>
                <w:iCs/>
                <w:sz w:val="20"/>
                <w:szCs w:val="20"/>
                <w:lang w:val="hr-HR"/>
              </w:rPr>
            </w:pPr>
            <w:r w:rsidRPr="00CD3A2D">
              <w:rPr>
                <w:rFonts w:ascii="Calibri" w:hAnsi="Calibri"/>
                <w:sz w:val="20"/>
                <w:szCs w:val="20"/>
                <w:lang w:val="hr-HR"/>
              </w:rPr>
              <w:t>15.403</w:t>
            </w:r>
          </w:p>
        </w:tc>
        <w:tc>
          <w:tcPr>
            <w:tcW w:w="1317" w:type="dxa"/>
            <w:shd w:val="clear" w:color="auto" w:fill="auto"/>
            <w:vAlign w:val="bottom"/>
          </w:tcPr>
          <w:p w:rsidR="00BE20C8" w:rsidRPr="001567C8" w:rsidRDefault="00BE20C8"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60.521</w:t>
            </w:r>
          </w:p>
        </w:tc>
        <w:tc>
          <w:tcPr>
            <w:tcW w:w="1317" w:type="dxa"/>
            <w:shd w:val="clear" w:color="auto" w:fill="auto"/>
            <w:vAlign w:val="bottom"/>
          </w:tcPr>
          <w:p w:rsidR="00BE20C8" w:rsidRPr="001567C8" w:rsidRDefault="00BE20C8"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19.997</w:t>
            </w:r>
          </w:p>
        </w:tc>
      </w:tr>
      <w:tr w:rsidR="00BE20C8" w:rsidRPr="001567C8" w:rsidTr="00797EE8">
        <w:trPr>
          <w:trHeight w:hRule="exact" w:val="284"/>
          <w:jc w:val="center"/>
        </w:trPr>
        <w:tc>
          <w:tcPr>
            <w:tcW w:w="3805" w:type="dxa"/>
            <w:vAlign w:val="bottom"/>
          </w:tcPr>
          <w:p w:rsidR="00BE20C8" w:rsidRPr="001567C8" w:rsidRDefault="00BE20C8" w:rsidP="006735C2">
            <w:pPr>
              <w:tabs>
                <w:tab w:val="right" w:pos="1202"/>
              </w:tabs>
              <w:outlineLvl w:val="0"/>
              <w:rPr>
                <w:rFonts w:ascii="Calibri" w:eastAsia="Calibri" w:hAnsi="Calibri" w:cs="Arial"/>
                <w:sz w:val="20"/>
                <w:szCs w:val="20"/>
                <w:lang w:val="hr-HR"/>
              </w:rPr>
            </w:pPr>
            <w:r w:rsidRPr="001567C8">
              <w:rPr>
                <w:rFonts w:ascii="Calibri" w:eastAsia="Calibri" w:hAnsi="Calibri" w:cs="Arial"/>
                <w:sz w:val="20"/>
                <w:szCs w:val="20"/>
                <w:lang w:val="hr-HR"/>
              </w:rPr>
              <w:t>Ovisna društva</w:t>
            </w:r>
          </w:p>
        </w:tc>
        <w:tc>
          <w:tcPr>
            <w:tcW w:w="1316" w:type="dxa"/>
            <w:shd w:val="clear" w:color="auto" w:fill="auto"/>
            <w:vAlign w:val="bottom"/>
          </w:tcPr>
          <w:p w:rsidR="00BE20C8" w:rsidRPr="001567C8" w:rsidRDefault="000F3420" w:rsidP="00BB3DBE">
            <w:pPr>
              <w:tabs>
                <w:tab w:val="right" w:pos="1202"/>
              </w:tabs>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w:t>
            </w:r>
          </w:p>
        </w:tc>
        <w:tc>
          <w:tcPr>
            <w:tcW w:w="1317" w:type="dxa"/>
            <w:shd w:val="clear" w:color="auto" w:fill="auto"/>
            <w:vAlign w:val="bottom"/>
          </w:tcPr>
          <w:p w:rsidR="00BE20C8" w:rsidRPr="001567C8" w:rsidRDefault="00BE20C8" w:rsidP="008C1241">
            <w:pPr>
              <w:tabs>
                <w:tab w:val="right" w:pos="1202"/>
              </w:tabs>
              <w:jc w:val="right"/>
              <w:outlineLvl w:val="0"/>
              <w:rPr>
                <w:rFonts w:ascii="Calibri" w:eastAsia="Calibri" w:hAnsi="Calibri" w:cs="Arial"/>
                <w:bCs/>
                <w:iCs/>
                <w:sz w:val="20"/>
                <w:szCs w:val="20"/>
                <w:lang w:val="hr-HR"/>
              </w:rPr>
            </w:pPr>
            <w:r w:rsidRPr="00CD3A2D">
              <w:rPr>
                <w:rFonts w:ascii="Calibri" w:hAnsi="Calibri"/>
                <w:sz w:val="20"/>
                <w:szCs w:val="20"/>
                <w:lang w:val="hr-HR"/>
              </w:rPr>
              <w:t>-</w:t>
            </w:r>
          </w:p>
        </w:tc>
        <w:tc>
          <w:tcPr>
            <w:tcW w:w="1317" w:type="dxa"/>
            <w:shd w:val="clear" w:color="auto" w:fill="auto"/>
            <w:vAlign w:val="bottom"/>
          </w:tcPr>
          <w:p w:rsidR="00BE20C8" w:rsidRPr="001567C8" w:rsidRDefault="00BE20C8"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w:t>
            </w:r>
          </w:p>
        </w:tc>
        <w:tc>
          <w:tcPr>
            <w:tcW w:w="1317" w:type="dxa"/>
            <w:shd w:val="clear" w:color="auto" w:fill="auto"/>
            <w:vAlign w:val="bottom"/>
          </w:tcPr>
          <w:p w:rsidR="00BE20C8" w:rsidRPr="001567C8" w:rsidRDefault="00BE20C8"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w:t>
            </w:r>
          </w:p>
        </w:tc>
      </w:tr>
      <w:tr w:rsidR="00BE20C8" w:rsidRPr="001567C8" w:rsidTr="00797EE8">
        <w:trPr>
          <w:trHeight w:hRule="exact" w:val="284"/>
          <w:jc w:val="center"/>
        </w:trPr>
        <w:tc>
          <w:tcPr>
            <w:tcW w:w="3805" w:type="dxa"/>
            <w:vAlign w:val="bottom"/>
          </w:tcPr>
          <w:p w:rsidR="00BE20C8" w:rsidRPr="001567C8" w:rsidRDefault="00BE20C8" w:rsidP="006735C2">
            <w:pPr>
              <w:tabs>
                <w:tab w:val="right" w:pos="1202"/>
              </w:tabs>
              <w:outlineLvl w:val="0"/>
              <w:rPr>
                <w:rFonts w:ascii="Calibri" w:eastAsia="Calibri" w:hAnsi="Calibri" w:cs="Arial"/>
                <w:bCs/>
                <w:sz w:val="20"/>
                <w:szCs w:val="20"/>
                <w:lang w:val="hr-HR"/>
              </w:rPr>
            </w:pPr>
            <w:r w:rsidRPr="001567C8">
              <w:rPr>
                <w:rFonts w:ascii="Calibri" w:eastAsia="Calibri" w:hAnsi="Calibri" w:cs="Arial"/>
                <w:sz w:val="20"/>
                <w:szCs w:val="20"/>
                <w:lang w:val="hr-HR"/>
              </w:rPr>
              <w:t>Pridružena društva</w:t>
            </w:r>
          </w:p>
        </w:tc>
        <w:tc>
          <w:tcPr>
            <w:tcW w:w="1316" w:type="dxa"/>
            <w:shd w:val="clear" w:color="auto" w:fill="auto"/>
            <w:vAlign w:val="bottom"/>
          </w:tcPr>
          <w:p w:rsidR="00BE20C8" w:rsidRPr="001567C8" w:rsidRDefault="000F3420" w:rsidP="00BB3DBE">
            <w:pPr>
              <w:tabs>
                <w:tab w:val="right" w:pos="1202"/>
              </w:tabs>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10</w:t>
            </w:r>
          </w:p>
        </w:tc>
        <w:tc>
          <w:tcPr>
            <w:tcW w:w="1317" w:type="dxa"/>
            <w:shd w:val="clear" w:color="auto" w:fill="auto"/>
            <w:vAlign w:val="bottom"/>
          </w:tcPr>
          <w:p w:rsidR="00BE20C8" w:rsidRPr="001567C8" w:rsidRDefault="000F3420" w:rsidP="008C1241">
            <w:pPr>
              <w:tabs>
                <w:tab w:val="right" w:pos="1202"/>
              </w:tabs>
              <w:jc w:val="right"/>
              <w:outlineLvl w:val="0"/>
              <w:rPr>
                <w:rFonts w:ascii="Calibri" w:eastAsia="Calibri" w:hAnsi="Calibri" w:cs="Arial"/>
                <w:bCs/>
                <w:iCs/>
                <w:sz w:val="20"/>
                <w:szCs w:val="20"/>
                <w:lang w:val="hr-HR"/>
              </w:rPr>
            </w:pPr>
            <w:r w:rsidRPr="00CD3A2D">
              <w:rPr>
                <w:rFonts w:ascii="Calibri" w:hAnsi="Calibri"/>
                <w:sz w:val="20"/>
                <w:szCs w:val="20"/>
                <w:lang w:val="hr-HR"/>
              </w:rPr>
              <w:t>3</w:t>
            </w:r>
          </w:p>
        </w:tc>
        <w:tc>
          <w:tcPr>
            <w:tcW w:w="1317" w:type="dxa"/>
            <w:shd w:val="clear" w:color="auto" w:fill="auto"/>
            <w:vAlign w:val="bottom"/>
          </w:tcPr>
          <w:p w:rsidR="00BE20C8" w:rsidRPr="001567C8" w:rsidRDefault="00BE20C8"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4.001</w:t>
            </w:r>
          </w:p>
        </w:tc>
        <w:tc>
          <w:tcPr>
            <w:tcW w:w="1317" w:type="dxa"/>
            <w:shd w:val="clear" w:color="auto" w:fill="auto"/>
            <w:vAlign w:val="bottom"/>
          </w:tcPr>
          <w:p w:rsidR="00BE20C8" w:rsidRPr="001567C8" w:rsidRDefault="00BE20C8"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w:t>
            </w:r>
          </w:p>
        </w:tc>
      </w:tr>
      <w:tr w:rsidR="00BE20C8" w:rsidRPr="001567C8" w:rsidTr="00797EE8">
        <w:trPr>
          <w:trHeight w:hRule="exact" w:val="284"/>
          <w:jc w:val="center"/>
        </w:trPr>
        <w:tc>
          <w:tcPr>
            <w:tcW w:w="3805" w:type="dxa"/>
            <w:vAlign w:val="bottom"/>
          </w:tcPr>
          <w:p w:rsidR="00BE20C8" w:rsidRPr="001567C8" w:rsidRDefault="00BE20C8" w:rsidP="006735C2">
            <w:pPr>
              <w:tabs>
                <w:tab w:val="right" w:pos="1202"/>
              </w:tabs>
              <w:outlineLvl w:val="0"/>
              <w:rPr>
                <w:rFonts w:ascii="Calibri" w:eastAsia="Calibri" w:hAnsi="Calibri" w:cs="Arial"/>
                <w:bCs/>
                <w:sz w:val="20"/>
                <w:szCs w:val="20"/>
                <w:lang w:val="hr-HR"/>
              </w:rPr>
            </w:pPr>
            <w:r w:rsidRPr="001567C8">
              <w:rPr>
                <w:rFonts w:ascii="Calibri" w:eastAsia="Calibri" w:hAnsi="Calibri" w:cs="Arial"/>
                <w:bCs/>
                <w:sz w:val="20"/>
                <w:szCs w:val="20"/>
                <w:lang w:val="hr-HR"/>
              </w:rPr>
              <w:t>Ključni članovi rukovodstva</w:t>
            </w:r>
          </w:p>
        </w:tc>
        <w:tc>
          <w:tcPr>
            <w:tcW w:w="1316" w:type="dxa"/>
            <w:tcBorders>
              <w:bottom w:val="single" w:sz="4" w:space="0" w:color="000000"/>
            </w:tcBorders>
            <w:shd w:val="clear" w:color="auto" w:fill="auto"/>
            <w:vAlign w:val="bottom"/>
          </w:tcPr>
          <w:p w:rsidR="00BE20C8" w:rsidRPr="001567C8" w:rsidRDefault="000F3420" w:rsidP="00BB3DBE">
            <w:pPr>
              <w:tabs>
                <w:tab w:val="right" w:pos="1202"/>
              </w:tabs>
              <w:jc w:val="right"/>
              <w:outlineLvl w:val="0"/>
              <w:rPr>
                <w:rFonts w:ascii="Calibri" w:eastAsia="Calibri" w:hAnsi="Calibri" w:cs="Arial"/>
                <w:bCs/>
                <w:iCs/>
                <w:sz w:val="20"/>
                <w:szCs w:val="20"/>
                <w:lang w:val="hr-HR"/>
              </w:rPr>
            </w:pPr>
            <w:r w:rsidRPr="001567C8">
              <w:rPr>
                <w:rFonts w:ascii="Calibri" w:eastAsia="Calibri" w:hAnsi="Calibri" w:cs="Arial"/>
                <w:bCs/>
                <w:iCs/>
                <w:sz w:val="20"/>
                <w:szCs w:val="20"/>
                <w:lang w:val="hr-HR"/>
              </w:rPr>
              <w:t>147</w:t>
            </w:r>
          </w:p>
        </w:tc>
        <w:tc>
          <w:tcPr>
            <w:tcW w:w="1317" w:type="dxa"/>
            <w:tcBorders>
              <w:bottom w:val="single" w:sz="4" w:space="0" w:color="000000"/>
            </w:tcBorders>
            <w:shd w:val="clear" w:color="auto" w:fill="auto"/>
            <w:vAlign w:val="bottom"/>
          </w:tcPr>
          <w:p w:rsidR="00BE20C8" w:rsidRPr="001567C8" w:rsidRDefault="000F3420" w:rsidP="008C1241">
            <w:pPr>
              <w:tabs>
                <w:tab w:val="right" w:pos="1202"/>
              </w:tabs>
              <w:jc w:val="right"/>
              <w:outlineLvl w:val="0"/>
              <w:rPr>
                <w:rFonts w:ascii="Calibri" w:eastAsia="Calibri" w:hAnsi="Calibri" w:cs="Arial"/>
                <w:bCs/>
                <w:iCs/>
                <w:sz w:val="20"/>
                <w:szCs w:val="20"/>
                <w:lang w:val="hr-HR"/>
              </w:rPr>
            </w:pPr>
            <w:r w:rsidRPr="00CD3A2D">
              <w:rPr>
                <w:rFonts w:ascii="Calibri" w:hAnsi="Calibri"/>
                <w:sz w:val="20"/>
                <w:szCs w:val="20"/>
                <w:lang w:val="hr-HR"/>
              </w:rPr>
              <w:t>8.318</w:t>
            </w:r>
          </w:p>
        </w:tc>
        <w:tc>
          <w:tcPr>
            <w:tcW w:w="1317" w:type="dxa"/>
            <w:tcBorders>
              <w:bottom w:val="single" w:sz="4" w:space="0" w:color="000000"/>
            </w:tcBorders>
            <w:shd w:val="clear" w:color="auto" w:fill="auto"/>
            <w:vAlign w:val="bottom"/>
          </w:tcPr>
          <w:p w:rsidR="00BE20C8" w:rsidRPr="001567C8" w:rsidRDefault="00BE20C8" w:rsidP="00F0295E">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139</w:t>
            </w:r>
          </w:p>
        </w:tc>
        <w:tc>
          <w:tcPr>
            <w:tcW w:w="1317" w:type="dxa"/>
            <w:tcBorders>
              <w:bottom w:val="single" w:sz="4" w:space="0" w:color="000000"/>
            </w:tcBorders>
            <w:shd w:val="clear" w:color="auto" w:fill="auto"/>
            <w:vAlign w:val="bottom"/>
          </w:tcPr>
          <w:p w:rsidR="00BE20C8" w:rsidRPr="001567C8" w:rsidRDefault="00F024EE" w:rsidP="00DC6A16">
            <w:pPr>
              <w:tabs>
                <w:tab w:val="right" w:pos="1202"/>
              </w:tabs>
              <w:jc w:val="right"/>
              <w:outlineLvl w:val="0"/>
              <w:rPr>
                <w:rFonts w:ascii="Calibri" w:hAnsi="Calibri" w:cs="Arial"/>
                <w:bCs/>
                <w:iCs/>
                <w:sz w:val="20"/>
                <w:szCs w:val="20"/>
                <w:lang w:val="hr-HR"/>
              </w:rPr>
            </w:pPr>
            <w:r w:rsidRPr="00CD3A2D">
              <w:rPr>
                <w:rFonts w:ascii="Calibri" w:hAnsi="Calibri"/>
                <w:sz w:val="20"/>
                <w:szCs w:val="20"/>
                <w:lang w:val="hr-HR"/>
              </w:rPr>
              <w:t>7.185</w:t>
            </w:r>
          </w:p>
        </w:tc>
      </w:tr>
      <w:tr w:rsidR="00BE20C8" w:rsidRPr="001567C8" w:rsidTr="00797EE8">
        <w:trPr>
          <w:trHeight w:val="371"/>
          <w:jc w:val="center"/>
        </w:trPr>
        <w:tc>
          <w:tcPr>
            <w:tcW w:w="3805" w:type="dxa"/>
            <w:vAlign w:val="bottom"/>
          </w:tcPr>
          <w:p w:rsidR="00BE20C8" w:rsidRPr="001567C8" w:rsidRDefault="00BE20C8" w:rsidP="006735C2">
            <w:pPr>
              <w:tabs>
                <w:tab w:val="right" w:pos="1202"/>
              </w:tabs>
              <w:outlineLvl w:val="0"/>
              <w:rPr>
                <w:rFonts w:ascii="Calibri" w:eastAsia="Calibri" w:hAnsi="Calibri" w:cs="Arial"/>
                <w:b/>
                <w:sz w:val="20"/>
                <w:szCs w:val="20"/>
                <w:lang w:val="hr-HR"/>
              </w:rPr>
            </w:pPr>
            <w:r w:rsidRPr="001567C8">
              <w:rPr>
                <w:rFonts w:ascii="Calibri" w:eastAsia="Calibri" w:hAnsi="Calibri" w:cs="Arial"/>
                <w:b/>
                <w:sz w:val="20"/>
                <w:szCs w:val="20"/>
                <w:lang w:val="hr-HR"/>
              </w:rPr>
              <w:t>Ukupno</w:t>
            </w:r>
          </w:p>
        </w:tc>
        <w:tc>
          <w:tcPr>
            <w:tcW w:w="1316" w:type="dxa"/>
            <w:tcBorders>
              <w:top w:val="single" w:sz="4" w:space="0" w:color="auto"/>
              <w:bottom w:val="single" w:sz="12" w:space="0" w:color="auto"/>
              <w:right w:val="nil"/>
            </w:tcBorders>
            <w:shd w:val="clear" w:color="auto" w:fill="auto"/>
            <w:vAlign w:val="bottom"/>
          </w:tcPr>
          <w:p w:rsidR="00BE20C8" w:rsidRPr="001567C8" w:rsidRDefault="000F3420" w:rsidP="00BB3DBE">
            <w:pPr>
              <w:tabs>
                <w:tab w:val="right" w:pos="1202"/>
              </w:tabs>
              <w:jc w:val="right"/>
              <w:outlineLvl w:val="0"/>
              <w:rPr>
                <w:rFonts w:ascii="Calibri" w:eastAsia="Calibri" w:hAnsi="Calibri"/>
                <w:b/>
                <w:bCs/>
                <w:sz w:val="20"/>
                <w:szCs w:val="20"/>
                <w:lang w:val="hr-HR"/>
              </w:rPr>
            </w:pPr>
            <w:r w:rsidRPr="001567C8">
              <w:rPr>
                <w:rFonts w:ascii="Calibri" w:eastAsia="Calibri" w:hAnsi="Calibri"/>
                <w:b/>
                <w:bCs/>
                <w:sz w:val="20"/>
                <w:szCs w:val="20"/>
                <w:lang w:val="hr-HR"/>
              </w:rPr>
              <w:t>254.554</w:t>
            </w:r>
          </w:p>
        </w:tc>
        <w:tc>
          <w:tcPr>
            <w:tcW w:w="1317" w:type="dxa"/>
            <w:tcBorders>
              <w:top w:val="single" w:sz="4" w:space="0" w:color="auto"/>
              <w:left w:val="nil"/>
              <w:bottom w:val="single" w:sz="12" w:space="0" w:color="auto"/>
              <w:right w:val="nil"/>
            </w:tcBorders>
            <w:shd w:val="clear" w:color="auto" w:fill="auto"/>
            <w:vAlign w:val="bottom"/>
          </w:tcPr>
          <w:p w:rsidR="00BE20C8" w:rsidRPr="001567C8" w:rsidRDefault="000F3420" w:rsidP="008C1241">
            <w:pPr>
              <w:tabs>
                <w:tab w:val="right" w:pos="1202"/>
              </w:tabs>
              <w:jc w:val="right"/>
              <w:outlineLvl w:val="0"/>
              <w:rPr>
                <w:rFonts w:ascii="Calibri" w:eastAsia="Calibri" w:hAnsi="Calibri"/>
                <w:b/>
                <w:bCs/>
                <w:sz w:val="20"/>
                <w:szCs w:val="20"/>
                <w:lang w:val="hr-HR"/>
              </w:rPr>
            </w:pPr>
            <w:r w:rsidRPr="00CD3A2D">
              <w:rPr>
                <w:rFonts w:asciiTheme="minorHAnsi" w:hAnsiTheme="minorHAnsi"/>
                <w:b/>
                <w:sz w:val="20"/>
                <w:szCs w:val="20"/>
                <w:lang w:val="hr-HR"/>
              </w:rPr>
              <w:t>30.437</w:t>
            </w:r>
          </w:p>
        </w:tc>
        <w:tc>
          <w:tcPr>
            <w:tcW w:w="1317" w:type="dxa"/>
            <w:tcBorders>
              <w:top w:val="single" w:sz="4" w:space="0" w:color="auto"/>
              <w:left w:val="nil"/>
              <w:bottom w:val="single" w:sz="12" w:space="0" w:color="auto"/>
              <w:right w:val="nil"/>
            </w:tcBorders>
            <w:shd w:val="clear" w:color="auto" w:fill="auto"/>
            <w:vAlign w:val="bottom"/>
          </w:tcPr>
          <w:p w:rsidR="00BE20C8" w:rsidRPr="001567C8" w:rsidRDefault="00BE20C8" w:rsidP="00F0295E">
            <w:pPr>
              <w:tabs>
                <w:tab w:val="right" w:pos="1202"/>
              </w:tabs>
              <w:jc w:val="right"/>
              <w:outlineLvl w:val="0"/>
              <w:rPr>
                <w:rFonts w:ascii="Calibri" w:hAnsi="Calibri" w:cs="Arial"/>
                <w:b/>
                <w:iCs/>
                <w:sz w:val="20"/>
                <w:szCs w:val="20"/>
                <w:lang w:val="hr-HR"/>
              </w:rPr>
            </w:pPr>
            <w:r w:rsidRPr="00CD3A2D">
              <w:rPr>
                <w:rFonts w:asciiTheme="minorHAnsi" w:hAnsiTheme="minorHAnsi"/>
                <w:b/>
                <w:sz w:val="20"/>
                <w:szCs w:val="20"/>
                <w:lang w:val="hr-HR"/>
              </w:rPr>
              <w:t>177.204</w:t>
            </w:r>
          </w:p>
        </w:tc>
        <w:tc>
          <w:tcPr>
            <w:tcW w:w="1317" w:type="dxa"/>
            <w:tcBorders>
              <w:top w:val="single" w:sz="4" w:space="0" w:color="auto"/>
              <w:left w:val="nil"/>
              <w:bottom w:val="single" w:sz="12" w:space="0" w:color="auto"/>
            </w:tcBorders>
            <w:shd w:val="clear" w:color="auto" w:fill="auto"/>
            <w:vAlign w:val="bottom"/>
          </w:tcPr>
          <w:p w:rsidR="00BE20C8" w:rsidRPr="001567C8" w:rsidRDefault="00F024EE" w:rsidP="00DC6A16">
            <w:pPr>
              <w:tabs>
                <w:tab w:val="right" w:pos="1202"/>
              </w:tabs>
              <w:jc w:val="right"/>
              <w:outlineLvl w:val="0"/>
              <w:rPr>
                <w:rFonts w:ascii="Calibri" w:hAnsi="Calibri" w:cs="Arial"/>
                <w:b/>
                <w:iCs/>
                <w:sz w:val="20"/>
                <w:szCs w:val="20"/>
                <w:lang w:val="hr-HR"/>
              </w:rPr>
            </w:pPr>
            <w:r w:rsidRPr="00CD3A2D">
              <w:rPr>
                <w:rFonts w:asciiTheme="minorHAnsi" w:hAnsiTheme="minorHAnsi"/>
                <w:b/>
                <w:sz w:val="20"/>
                <w:szCs w:val="20"/>
                <w:lang w:val="hr-HR"/>
              </w:rPr>
              <w:t>28.514</w:t>
            </w:r>
          </w:p>
        </w:tc>
      </w:tr>
    </w:tbl>
    <w:p w:rsidR="00761EA0" w:rsidRPr="001567C8" w:rsidRDefault="00761EA0" w:rsidP="003A36A6">
      <w:pPr>
        <w:keepNext/>
        <w:jc w:val="both"/>
        <w:rPr>
          <w:rFonts w:ascii="Calibri" w:hAnsi="Calibri" w:cs="Arial"/>
          <w:bCs/>
          <w:sz w:val="22"/>
          <w:szCs w:val="22"/>
          <w:highlight w:val="yellow"/>
          <w:lang w:val="hr-HR"/>
        </w:rPr>
      </w:pPr>
    </w:p>
    <w:p w:rsidR="00A6634E" w:rsidRPr="001567C8" w:rsidRDefault="00A6634E" w:rsidP="00A6634E">
      <w:pPr>
        <w:pStyle w:val="TT"/>
        <w:tabs>
          <w:tab w:val="left" w:pos="9180"/>
        </w:tabs>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Imovina sadrži kredite ostalim korisnicima, dužničke vrijednosne papire po amortiziranom trošku, financijsku imovinu po fer vrijednosti kroz ostalu sveobuhvatnu dobit, ostalu imovinu i izvanbilačnu izloženost koja se odnosi na preuzete obveze.</w:t>
      </w:r>
    </w:p>
    <w:p w:rsidR="00A6634E" w:rsidRPr="001567C8" w:rsidRDefault="00A6634E" w:rsidP="00A6634E">
      <w:pPr>
        <w:pStyle w:val="TT"/>
        <w:tabs>
          <w:tab w:val="left" w:pos="9180"/>
        </w:tabs>
        <w:spacing w:line="240" w:lineRule="auto"/>
        <w:jc w:val="both"/>
        <w:rPr>
          <w:rFonts w:asciiTheme="minorHAnsi" w:hAnsiTheme="minorHAnsi" w:cs="Arial"/>
          <w:sz w:val="22"/>
          <w:szCs w:val="22"/>
          <w:lang w:val="hr-HR"/>
        </w:rPr>
      </w:pPr>
    </w:p>
    <w:p w:rsidR="00A6634E" w:rsidRPr="001567C8" w:rsidRDefault="00A6634E" w:rsidP="00A6634E">
      <w:pPr>
        <w:pStyle w:val="TT"/>
        <w:tabs>
          <w:tab w:val="left" w:pos="9180"/>
        </w:tabs>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Obveze sadrže obveze po depozitima, obveze za plaće</w:t>
      </w:r>
      <w:r w:rsidR="00BB489F" w:rsidRPr="001567C8">
        <w:rPr>
          <w:rFonts w:asciiTheme="minorHAnsi" w:hAnsiTheme="minorHAnsi" w:cs="Arial"/>
          <w:sz w:val="22"/>
          <w:szCs w:val="22"/>
          <w:lang w:val="hr-HR"/>
        </w:rPr>
        <w:t xml:space="preserve">, </w:t>
      </w:r>
      <w:r w:rsidR="00650C9B" w:rsidRPr="001567C8">
        <w:rPr>
          <w:rFonts w:asciiTheme="minorHAnsi" w:hAnsiTheme="minorHAnsi" w:cs="Arial"/>
          <w:sz w:val="22"/>
          <w:szCs w:val="22"/>
          <w:lang w:val="hr-HR"/>
        </w:rPr>
        <w:t>rezerviranj</w:t>
      </w:r>
      <w:r w:rsidR="00D606D9" w:rsidRPr="001567C8">
        <w:rPr>
          <w:rFonts w:asciiTheme="minorHAnsi" w:hAnsiTheme="minorHAnsi" w:cs="Arial"/>
          <w:sz w:val="22"/>
          <w:szCs w:val="22"/>
          <w:lang w:val="hr-HR"/>
        </w:rPr>
        <w:t>a</w:t>
      </w:r>
      <w:r w:rsidR="00650C9B" w:rsidRPr="001567C8">
        <w:rPr>
          <w:rFonts w:asciiTheme="minorHAnsi" w:hAnsiTheme="minorHAnsi" w:cs="Arial"/>
          <w:sz w:val="22"/>
          <w:szCs w:val="22"/>
          <w:lang w:val="hr-HR"/>
        </w:rPr>
        <w:t xml:space="preserve"> u ime </w:t>
      </w:r>
      <w:r w:rsidR="00BB489F" w:rsidRPr="001567C8">
        <w:rPr>
          <w:rFonts w:asciiTheme="minorHAnsi" w:hAnsiTheme="minorHAnsi" w:cs="Arial"/>
          <w:sz w:val="22"/>
          <w:szCs w:val="22"/>
          <w:lang w:val="hr-HR"/>
        </w:rPr>
        <w:t>otpremnin</w:t>
      </w:r>
      <w:r w:rsidR="00650C9B" w:rsidRPr="001567C8">
        <w:rPr>
          <w:rFonts w:asciiTheme="minorHAnsi" w:hAnsiTheme="minorHAnsi" w:cs="Arial"/>
          <w:sz w:val="22"/>
          <w:szCs w:val="22"/>
          <w:lang w:val="hr-HR"/>
        </w:rPr>
        <w:t>a</w:t>
      </w:r>
      <w:r w:rsidR="00BB489F" w:rsidRPr="001567C8">
        <w:rPr>
          <w:rFonts w:asciiTheme="minorHAnsi" w:hAnsiTheme="minorHAnsi" w:cs="Arial"/>
          <w:sz w:val="22"/>
          <w:szCs w:val="22"/>
          <w:lang w:val="hr-HR"/>
        </w:rPr>
        <w:t xml:space="preserve"> i jubilarn</w:t>
      </w:r>
      <w:r w:rsidR="00650C9B" w:rsidRPr="001567C8">
        <w:rPr>
          <w:rFonts w:asciiTheme="minorHAnsi" w:hAnsiTheme="minorHAnsi" w:cs="Arial"/>
          <w:sz w:val="22"/>
          <w:szCs w:val="22"/>
          <w:lang w:val="hr-HR"/>
        </w:rPr>
        <w:t>ih</w:t>
      </w:r>
      <w:r w:rsidR="00BB489F" w:rsidRPr="001567C8">
        <w:rPr>
          <w:rFonts w:asciiTheme="minorHAnsi" w:hAnsiTheme="minorHAnsi" w:cs="Arial"/>
          <w:sz w:val="22"/>
          <w:szCs w:val="22"/>
          <w:lang w:val="hr-HR"/>
        </w:rPr>
        <w:t xml:space="preserve"> nagrad</w:t>
      </w:r>
      <w:r w:rsidR="00650C9B" w:rsidRPr="001567C8">
        <w:rPr>
          <w:rFonts w:asciiTheme="minorHAnsi" w:hAnsiTheme="minorHAnsi" w:cs="Arial"/>
          <w:sz w:val="22"/>
          <w:szCs w:val="22"/>
          <w:lang w:val="hr-HR"/>
        </w:rPr>
        <w:t>a</w:t>
      </w:r>
      <w:r w:rsidRPr="001567C8">
        <w:rPr>
          <w:rFonts w:asciiTheme="minorHAnsi" w:hAnsiTheme="minorHAnsi" w:cs="Arial"/>
          <w:sz w:val="22"/>
          <w:szCs w:val="22"/>
          <w:lang w:val="hr-HR"/>
        </w:rPr>
        <w:t xml:space="preserve"> ključnih članova rukovodstva te ostale obveze.</w:t>
      </w:r>
    </w:p>
    <w:p w:rsidR="00A6634E" w:rsidRPr="001567C8" w:rsidRDefault="00A6634E" w:rsidP="00A6634E">
      <w:pPr>
        <w:pStyle w:val="TT"/>
        <w:tabs>
          <w:tab w:val="clear" w:pos="1202"/>
          <w:tab w:val="right" w:pos="284"/>
          <w:tab w:val="left" w:pos="426"/>
        </w:tabs>
        <w:spacing w:line="240" w:lineRule="auto"/>
        <w:rPr>
          <w:rFonts w:asciiTheme="minorHAnsi" w:hAnsiTheme="minorHAnsi" w:cs="Arial"/>
          <w:sz w:val="22"/>
          <w:szCs w:val="22"/>
          <w:lang w:val="hr-HR"/>
        </w:rPr>
      </w:pPr>
    </w:p>
    <w:p w:rsidR="00A6634E" w:rsidRPr="001567C8" w:rsidRDefault="00A6634E" w:rsidP="00A6634E">
      <w:pPr>
        <w:pStyle w:val="TT"/>
        <w:tabs>
          <w:tab w:val="left" w:pos="9180"/>
        </w:tabs>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Prihodi sadrže prihode od kamata i naknada, te prihode od ukidanja umanjenja vrijednosti i rezerviranja.</w:t>
      </w:r>
    </w:p>
    <w:p w:rsidR="00A6634E" w:rsidRPr="001567C8" w:rsidRDefault="00A6634E" w:rsidP="00A6634E">
      <w:pPr>
        <w:pStyle w:val="TT"/>
        <w:tabs>
          <w:tab w:val="left" w:pos="9180"/>
        </w:tabs>
        <w:spacing w:line="240" w:lineRule="auto"/>
        <w:jc w:val="both"/>
        <w:rPr>
          <w:rFonts w:asciiTheme="minorHAnsi" w:hAnsiTheme="minorHAnsi" w:cs="Arial"/>
          <w:sz w:val="22"/>
          <w:szCs w:val="22"/>
          <w:lang w:val="hr-HR"/>
        </w:rPr>
      </w:pPr>
    </w:p>
    <w:p w:rsidR="00A6634E" w:rsidRPr="001567C8" w:rsidRDefault="00A6634E" w:rsidP="00A6634E">
      <w:pPr>
        <w:pStyle w:val="TT"/>
        <w:tabs>
          <w:tab w:val="left" w:pos="9180"/>
        </w:tabs>
        <w:spacing w:line="240" w:lineRule="auto"/>
        <w:jc w:val="both"/>
        <w:rPr>
          <w:rFonts w:asciiTheme="minorHAnsi" w:hAnsiTheme="minorHAnsi" w:cs="Arial"/>
          <w:sz w:val="22"/>
          <w:szCs w:val="22"/>
          <w:lang w:val="hr-HR"/>
        </w:rPr>
      </w:pPr>
      <w:r w:rsidRPr="001567C8">
        <w:rPr>
          <w:rFonts w:asciiTheme="minorHAnsi" w:hAnsiTheme="minorHAnsi" w:cs="Arial"/>
          <w:sz w:val="22"/>
          <w:szCs w:val="22"/>
          <w:lang w:val="hr-HR"/>
        </w:rPr>
        <w:t>Rashodi sadrže rashode za plaće ključnih članova rukovodstva, gubitak od umanjenja vrijednosti i rezerviranja.</w:t>
      </w:r>
    </w:p>
    <w:p w:rsidR="00A6634E" w:rsidRPr="001567C8" w:rsidRDefault="00A6634E" w:rsidP="005402AB">
      <w:pPr>
        <w:pStyle w:val="T1"/>
        <w:spacing w:before="0" w:after="0" w:line="240" w:lineRule="auto"/>
        <w:rPr>
          <w:rFonts w:asciiTheme="minorHAnsi" w:hAnsiTheme="minorHAnsi" w:cs="Arial"/>
          <w:b w:val="0"/>
          <w:sz w:val="22"/>
          <w:szCs w:val="22"/>
          <w:lang w:val="hr-HR"/>
        </w:rPr>
      </w:pPr>
    </w:p>
    <w:p w:rsidR="0063667F" w:rsidRPr="001567C8" w:rsidRDefault="0063667F" w:rsidP="005402AB">
      <w:pPr>
        <w:pStyle w:val="TT"/>
        <w:tabs>
          <w:tab w:val="left" w:pos="9180"/>
        </w:tabs>
        <w:spacing w:line="240" w:lineRule="auto"/>
        <w:jc w:val="both"/>
        <w:rPr>
          <w:rFonts w:asciiTheme="minorHAnsi" w:hAnsiTheme="minorHAnsi" w:cs="Arial"/>
          <w:sz w:val="22"/>
          <w:szCs w:val="22"/>
          <w:lang w:val="hr-HR"/>
        </w:rPr>
        <w:sectPr w:rsidR="0063667F" w:rsidRPr="001567C8" w:rsidSect="003A36A6">
          <w:pgSz w:w="11907" w:h="16840" w:code="9"/>
          <w:pgMar w:top="1418" w:right="1134" w:bottom="1134" w:left="1418" w:header="851" w:footer="851" w:gutter="0"/>
          <w:cols w:space="720"/>
          <w:noEndnote/>
        </w:sectPr>
      </w:pPr>
    </w:p>
    <w:p w:rsidR="005402AB" w:rsidRPr="001567C8" w:rsidRDefault="005402AB" w:rsidP="005402AB">
      <w:pPr>
        <w:pStyle w:val="TT"/>
        <w:tabs>
          <w:tab w:val="left" w:pos="9180"/>
        </w:tabs>
        <w:spacing w:line="240" w:lineRule="auto"/>
        <w:jc w:val="both"/>
        <w:rPr>
          <w:rFonts w:asciiTheme="minorHAnsi" w:hAnsiTheme="minorHAnsi" w:cs="Arial"/>
          <w:sz w:val="22"/>
          <w:szCs w:val="22"/>
          <w:lang w:val="hr-HR"/>
        </w:rPr>
      </w:pPr>
    </w:p>
    <w:p w:rsidR="0063667F" w:rsidRPr="001567C8" w:rsidRDefault="0063667F" w:rsidP="005402AB">
      <w:pPr>
        <w:pStyle w:val="TT"/>
        <w:tabs>
          <w:tab w:val="left" w:pos="9180"/>
        </w:tabs>
        <w:spacing w:line="240" w:lineRule="auto"/>
        <w:jc w:val="both"/>
        <w:rPr>
          <w:rFonts w:asciiTheme="minorHAnsi" w:hAnsiTheme="minorHAnsi" w:cs="Arial"/>
          <w:sz w:val="22"/>
          <w:szCs w:val="22"/>
          <w:lang w:val="hr-HR"/>
        </w:rPr>
      </w:pPr>
    </w:p>
    <w:p w:rsidR="0063667F" w:rsidRPr="001567C8" w:rsidRDefault="0063667F" w:rsidP="005402AB">
      <w:pPr>
        <w:pStyle w:val="TT"/>
        <w:tabs>
          <w:tab w:val="left" w:pos="9180"/>
        </w:tabs>
        <w:spacing w:line="240" w:lineRule="auto"/>
        <w:jc w:val="both"/>
        <w:rPr>
          <w:rFonts w:asciiTheme="minorHAnsi" w:hAnsiTheme="minorHAnsi" w:cs="Arial"/>
          <w:sz w:val="22"/>
          <w:szCs w:val="22"/>
          <w:lang w:val="hr-HR"/>
        </w:rPr>
      </w:pPr>
    </w:p>
    <w:p w:rsidR="0063667F" w:rsidRPr="001567C8" w:rsidRDefault="0063667F" w:rsidP="005402AB">
      <w:pPr>
        <w:pStyle w:val="TT"/>
        <w:tabs>
          <w:tab w:val="left" w:pos="9180"/>
        </w:tabs>
        <w:spacing w:line="240" w:lineRule="auto"/>
        <w:jc w:val="both"/>
        <w:rPr>
          <w:rFonts w:asciiTheme="minorHAnsi" w:hAnsiTheme="minorHAnsi" w:cs="Arial"/>
          <w:sz w:val="22"/>
          <w:szCs w:val="22"/>
          <w:lang w:val="hr-HR"/>
        </w:rPr>
      </w:pPr>
    </w:p>
    <w:p w:rsidR="0044791D" w:rsidRPr="001567C8" w:rsidRDefault="0044791D" w:rsidP="0063667F">
      <w:pPr>
        <w:pStyle w:val="T1"/>
        <w:tabs>
          <w:tab w:val="left" w:pos="567"/>
          <w:tab w:val="left" w:pos="709"/>
        </w:tabs>
        <w:spacing w:before="0" w:after="0" w:line="240" w:lineRule="auto"/>
        <w:rPr>
          <w:rFonts w:asciiTheme="minorHAnsi" w:hAnsiTheme="minorHAnsi" w:cs="Arial"/>
          <w:bCs w:val="0"/>
          <w:sz w:val="22"/>
          <w:szCs w:val="22"/>
          <w:lang w:val="hr-HR"/>
        </w:rPr>
      </w:pPr>
    </w:p>
    <w:p w:rsidR="0063667F" w:rsidRPr="001567C8" w:rsidRDefault="0063667F" w:rsidP="0063667F">
      <w:pPr>
        <w:pStyle w:val="T1"/>
        <w:tabs>
          <w:tab w:val="left" w:pos="567"/>
          <w:tab w:val="left" w:pos="709"/>
        </w:tabs>
        <w:spacing w:before="0" w:after="0" w:line="240" w:lineRule="auto"/>
        <w:rPr>
          <w:rFonts w:asciiTheme="minorHAnsi" w:hAnsiTheme="minorHAnsi" w:cs="Arial"/>
          <w:bCs w:val="0"/>
          <w:sz w:val="22"/>
          <w:szCs w:val="22"/>
          <w:lang w:val="hr-HR"/>
        </w:rPr>
      </w:pPr>
      <w:r w:rsidRPr="001567C8">
        <w:rPr>
          <w:rFonts w:asciiTheme="minorHAnsi" w:hAnsiTheme="minorHAnsi" w:cs="Arial"/>
          <w:bCs w:val="0"/>
          <w:sz w:val="22"/>
          <w:szCs w:val="22"/>
          <w:lang w:val="hr-HR"/>
        </w:rPr>
        <w:t>35.</w:t>
      </w:r>
      <w:r w:rsidRPr="001567C8">
        <w:rPr>
          <w:rFonts w:asciiTheme="minorHAnsi" w:hAnsiTheme="minorHAnsi" w:cs="Arial"/>
          <w:bCs w:val="0"/>
          <w:sz w:val="22"/>
          <w:szCs w:val="22"/>
          <w:lang w:val="hr-HR"/>
        </w:rPr>
        <w:tab/>
        <w:t>Transakcije s povezanim stranama (nastavak)</w:t>
      </w:r>
    </w:p>
    <w:p w:rsidR="0063667F" w:rsidRPr="001567C8" w:rsidRDefault="0063667F" w:rsidP="0063667F">
      <w:pPr>
        <w:pStyle w:val="TT"/>
        <w:tabs>
          <w:tab w:val="clear" w:pos="1202"/>
          <w:tab w:val="right" w:pos="284"/>
          <w:tab w:val="left" w:pos="426"/>
        </w:tabs>
        <w:spacing w:line="240" w:lineRule="auto"/>
        <w:rPr>
          <w:rFonts w:asciiTheme="minorHAnsi" w:hAnsiTheme="minorHAnsi" w:cs="Arial"/>
          <w:sz w:val="22"/>
          <w:szCs w:val="22"/>
          <w:lang w:val="hr-HR"/>
        </w:rPr>
      </w:pPr>
    </w:p>
    <w:p w:rsidR="0063667F" w:rsidRPr="001567C8" w:rsidRDefault="0063667F" w:rsidP="005402AB">
      <w:pPr>
        <w:pStyle w:val="TT"/>
        <w:tabs>
          <w:tab w:val="left" w:pos="9180"/>
        </w:tabs>
        <w:spacing w:line="240" w:lineRule="auto"/>
        <w:jc w:val="both"/>
        <w:rPr>
          <w:rFonts w:asciiTheme="minorHAnsi" w:hAnsiTheme="minorHAnsi" w:cs="Arial"/>
          <w:sz w:val="22"/>
          <w:szCs w:val="22"/>
          <w:lang w:val="hr-HR"/>
        </w:rPr>
      </w:pPr>
    </w:p>
    <w:p w:rsidR="003064AF" w:rsidRPr="001567C8" w:rsidRDefault="003064AF" w:rsidP="00725A78">
      <w:pPr>
        <w:pStyle w:val="TT"/>
        <w:tabs>
          <w:tab w:val="clear" w:pos="1202"/>
          <w:tab w:val="right" w:pos="284"/>
          <w:tab w:val="left" w:pos="567"/>
        </w:tabs>
        <w:spacing w:line="240" w:lineRule="auto"/>
        <w:rPr>
          <w:rFonts w:asciiTheme="minorHAnsi" w:hAnsiTheme="minorHAnsi" w:cs="Arial"/>
          <w:sz w:val="22"/>
          <w:szCs w:val="22"/>
          <w:lang w:val="hr-HR"/>
        </w:rPr>
      </w:pPr>
      <w:r w:rsidRPr="001567C8">
        <w:rPr>
          <w:rFonts w:asciiTheme="minorHAnsi" w:hAnsiTheme="minorHAnsi" w:cs="Arial"/>
          <w:sz w:val="22"/>
          <w:szCs w:val="22"/>
          <w:lang w:val="hr-HR"/>
        </w:rPr>
        <w:t>b)</w:t>
      </w:r>
      <w:r w:rsidR="0029774F" w:rsidRPr="001567C8">
        <w:rPr>
          <w:rFonts w:asciiTheme="minorHAnsi" w:hAnsiTheme="minorHAnsi" w:cs="Arial"/>
          <w:sz w:val="22"/>
          <w:szCs w:val="22"/>
          <w:lang w:val="hr-HR"/>
        </w:rPr>
        <w:tab/>
      </w:r>
      <w:r w:rsidR="0029774F" w:rsidRPr="001567C8">
        <w:rPr>
          <w:rFonts w:asciiTheme="minorHAnsi" w:hAnsiTheme="minorHAnsi" w:cs="Arial"/>
          <w:sz w:val="22"/>
          <w:szCs w:val="22"/>
          <w:lang w:val="hr-HR"/>
        </w:rPr>
        <w:tab/>
      </w:r>
      <w:r w:rsidRPr="001567C8">
        <w:rPr>
          <w:rFonts w:asciiTheme="minorHAnsi" w:hAnsiTheme="minorHAnsi" w:cs="Arial"/>
          <w:sz w:val="22"/>
          <w:szCs w:val="22"/>
          <w:lang w:val="hr-HR"/>
        </w:rPr>
        <w:t>Primljeni instrumenti osiguranja</w:t>
      </w:r>
    </w:p>
    <w:p w:rsidR="00725A78" w:rsidRPr="001567C8" w:rsidRDefault="00725A78" w:rsidP="00725A78">
      <w:pPr>
        <w:pStyle w:val="TT"/>
        <w:tabs>
          <w:tab w:val="clear" w:pos="1202"/>
          <w:tab w:val="right" w:pos="284"/>
          <w:tab w:val="left" w:pos="567"/>
        </w:tabs>
        <w:spacing w:line="240" w:lineRule="auto"/>
        <w:rPr>
          <w:rFonts w:asciiTheme="minorHAnsi" w:hAnsiTheme="minorHAnsi" w:cs="Arial"/>
          <w:sz w:val="22"/>
          <w:szCs w:val="22"/>
          <w:lang w:val="hr-HR"/>
        </w:rPr>
      </w:pPr>
    </w:p>
    <w:tbl>
      <w:tblPr>
        <w:tblW w:w="4997" w:type="pct"/>
        <w:tblLayout w:type="fixed"/>
        <w:tblCellMar>
          <w:left w:w="56" w:type="dxa"/>
          <w:right w:w="56" w:type="dxa"/>
        </w:tblCellMar>
        <w:tblLook w:val="00A0" w:firstRow="1" w:lastRow="0" w:firstColumn="1" w:lastColumn="0" w:noHBand="0" w:noVBand="0"/>
      </w:tblPr>
      <w:tblGrid>
        <w:gridCol w:w="2411"/>
        <w:gridCol w:w="1734"/>
        <w:gridCol w:w="1736"/>
        <w:gridCol w:w="1733"/>
        <w:gridCol w:w="1735"/>
      </w:tblGrid>
      <w:tr w:rsidR="00E056D3" w:rsidRPr="001567C8" w:rsidTr="003C6BA3">
        <w:trPr>
          <w:trHeight w:val="240"/>
        </w:trPr>
        <w:tc>
          <w:tcPr>
            <w:tcW w:w="1289" w:type="pct"/>
            <w:vAlign w:val="bottom"/>
          </w:tcPr>
          <w:p w:rsidR="00E056D3" w:rsidRPr="001567C8" w:rsidRDefault="00E056D3" w:rsidP="00701208">
            <w:pPr>
              <w:pStyle w:val="TT"/>
              <w:jc w:val="right"/>
              <w:rPr>
                <w:rFonts w:asciiTheme="minorHAnsi" w:hAnsiTheme="minorHAnsi" w:cs="Arial"/>
                <w:sz w:val="22"/>
                <w:szCs w:val="22"/>
                <w:lang w:val="hr-HR"/>
              </w:rPr>
            </w:pPr>
          </w:p>
        </w:tc>
        <w:tc>
          <w:tcPr>
            <w:tcW w:w="1855" w:type="pct"/>
            <w:gridSpan w:val="2"/>
          </w:tcPr>
          <w:p w:rsidR="00E056D3" w:rsidRPr="001567C8" w:rsidRDefault="00E056D3" w:rsidP="00701208">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Grupa</w:t>
            </w:r>
          </w:p>
        </w:tc>
        <w:tc>
          <w:tcPr>
            <w:tcW w:w="1855" w:type="pct"/>
            <w:gridSpan w:val="2"/>
          </w:tcPr>
          <w:p w:rsidR="00E056D3" w:rsidRPr="001567C8" w:rsidRDefault="00E056D3" w:rsidP="00701208">
            <w:pPr>
              <w:pStyle w:val="TH"/>
              <w:jc w:val="right"/>
              <w:rPr>
                <w:rFonts w:asciiTheme="minorHAnsi" w:hAnsiTheme="minorHAnsi" w:cs="Arial"/>
                <w:sz w:val="22"/>
                <w:szCs w:val="22"/>
                <w:lang w:val="hr-HR"/>
              </w:rPr>
            </w:pPr>
            <w:r w:rsidRPr="001567C8">
              <w:rPr>
                <w:rFonts w:asciiTheme="minorHAnsi" w:hAnsiTheme="minorHAnsi" w:cs="Arial"/>
                <w:sz w:val="22"/>
                <w:szCs w:val="22"/>
                <w:lang w:val="hr-HR"/>
              </w:rPr>
              <w:t>Banka</w:t>
            </w:r>
          </w:p>
        </w:tc>
      </w:tr>
      <w:tr w:rsidR="00E81087" w:rsidRPr="001567C8" w:rsidTr="003C6BA3">
        <w:trPr>
          <w:trHeight w:val="760"/>
        </w:trPr>
        <w:tc>
          <w:tcPr>
            <w:tcW w:w="1289" w:type="pct"/>
            <w:vAlign w:val="bottom"/>
          </w:tcPr>
          <w:p w:rsidR="00E81087" w:rsidRPr="001567C8" w:rsidRDefault="00E81087" w:rsidP="00E81087">
            <w:pPr>
              <w:pStyle w:val="TT"/>
              <w:jc w:val="right"/>
              <w:rPr>
                <w:rFonts w:asciiTheme="minorHAnsi" w:hAnsiTheme="minorHAnsi" w:cs="Arial"/>
                <w:sz w:val="22"/>
                <w:szCs w:val="22"/>
                <w:lang w:val="hr-HR"/>
              </w:rPr>
            </w:pPr>
          </w:p>
        </w:tc>
        <w:tc>
          <w:tcPr>
            <w:tcW w:w="927" w:type="pct"/>
            <w:vAlign w:val="center"/>
          </w:tcPr>
          <w:p w:rsidR="00E81087" w:rsidRPr="001567C8" w:rsidRDefault="00AD2EF7">
            <w:pPr>
              <w:pStyle w:val="TH"/>
              <w:jc w:val="right"/>
              <w:rPr>
                <w:rFonts w:asciiTheme="minorHAnsi" w:hAnsiTheme="minorHAnsi" w:cs="Arial"/>
                <w:sz w:val="22"/>
                <w:szCs w:val="22"/>
                <w:lang w:val="hr-HR"/>
              </w:rPr>
            </w:pPr>
            <w:r w:rsidRPr="00AD2EF7">
              <w:rPr>
                <w:rFonts w:asciiTheme="minorHAnsi" w:hAnsiTheme="minorHAnsi" w:cs="Arial"/>
                <w:sz w:val="22"/>
                <w:szCs w:val="22"/>
                <w:lang w:val="hr-HR"/>
              </w:rPr>
              <w:t xml:space="preserve">31. prosinca </w:t>
            </w:r>
            <w:r w:rsidR="00E81087" w:rsidRPr="001567C8">
              <w:rPr>
                <w:rFonts w:asciiTheme="minorHAnsi" w:hAnsiTheme="minorHAnsi" w:cs="Arial"/>
                <w:sz w:val="22"/>
                <w:szCs w:val="22"/>
                <w:lang w:val="hr-HR"/>
              </w:rPr>
              <w:t>201</w:t>
            </w:r>
            <w:r w:rsidR="00A60282" w:rsidRPr="001567C8">
              <w:rPr>
                <w:rFonts w:asciiTheme="minorHAnsi" w:hAnsiTheme="minorHAnsi" w:cs="Arial"/>
                <w:sz w:val="22"/>
                <w:szCs w:val="22"/>
                <w:lang w:val="hr-HR"/>
              </w:rPr>
              <w:t>8</w:t>
            </w:r>
            <w:r w:rsidR="00E81087" w:rsidRPr="001567C8">
              <w:rPr>
                <w:rFonts w:asciiTheme="minorHAnsi" w:hAnsiTheme="minorHAnsi" w:cs="Arial"/>
                <w:sz w:val="22"/>
                <w:szCs w:val="22"/>
                <w:lang w:val="hr-HR"/>
              </w:rPr>
              <w:t>.</w:t>
            </w:r>
          </w:p>
        </w:tc>
        <w:tc>
          <w:tcPr>
            <w:tcW w:w="928" w:type="pct"/>
            <w:vAlign w:val="center"/>
          </w:tcPr>
          <w:p w:rsidR="00E81087" w:rsidRPr="001567C8" w:rsidRDefault="00AD2EF7">
            <w:pPr>
              <w:pStyle w:val="TH"/>
              <w:jc w:val="right"/>
              <w:rPr>
                <w:rFonts w:asciiTheme="minorHAnsi" w:hAnsiTheme="minorHAnsi" w:cs="Arial"/>
                <w:sz w:val="22"/>
                <w:szCs w:val="22"/>
                <w:lang w:val="hr-HR"/>
              </w:rPr>
            </w:pPr>
            <w:r w:rsidRPr="00AD2EF7">
              <w:rPr>
                <w:rFonts w:asciiTheme="minorHAnsi" w:hAnsiTheme="minorHAnsi" w:cs="Arial"/>
                <w:sz w:val="22"/>
                <w:szCs w:val="22"/>
                <w:lang w:val="hr-HR"/>
              </w:rPr>
              <w:t xml:space="preserve">31. prosinca </w:t>
            </w:r>
            <w:r w:rsidR="00E81087" w:rsidRPr="001567C8">
              <w:rPr>
                <w:rFonts w:asciiTheme="minorHAnsi" w:hAnsiTheme="minorHAnsi" w:cs="Arial"/>
                <w:sz w:val="22"/>
                <w:szCs w:val="22"/>
                <w:lang w:val="hr-HR"/>
              </w:rPr>
              <w:t>201</w:t>
            </w:r>
            <w:r w:rsidR="00A60282" w:rsidRPr="001567C8">
              <w:rPr>
                <w:rFonts w:asciiTheme="minorHAnsi" w:hAnsiTheme="minorHAnsi" w:cs="Arial"/>
                <w:sz w:val="22"/>
                <w:szCs w:val="22"/>
                <w:lang w:val="hr-HR"/>
              </w:rPr>
              <w:t>7</w:t>
            </w:r>
            <w:r w:rsidR="00E81087" w:rsidRPr="001567C8">
              <w:rPr>
                <w:rFonts w:asciiTheme="minorHAnsi" w:hAnsiTheme="minorHAnsi" w:cs="Arial"/>
                <w:sz w:val="22"/>
                <w:szCs w:val="22"/>
                <w:lang w:val="hr-HR"/>
              </w:rPr>
              <w:t>.</w:t>
            </w:r>
          </w:p>
        </w:tc>
        <w:tc>
          <w:tcPr>
            <w:tcW w:w="927" w:type="pct"/>
            <w:vAlign w:val="center"/>
          </w:tcPr>
          <w:p w:rsidR="00E81087" w:rsidRPr="001567C8" w:rsidRDefault="00AD2EF7">
            <w:pPr>
              <w:pStyle w:val="TH"/>
              <w:jc w:val="right"/>
              <w:rPr>
                <w:rFonts w:asciiTheme="minorHAnsi" w:hAnsiTheme="minorHAnsi" w:cs="Arial"/>
                <w:sz w:val="22"/>
                <w:szCs w:val="22"/>
                <w:lang w:val="hr-HR"/>
              </w:rPr>
            </w:pPr>
            <w:r w:rsidRPr="00AD2EF7">
              <w:rPr>
                <w:rFonts w:asciiTheme="minorHAnsi" w:hAnsiTheme="minorHAnsi" w:cs="Arial"/>
                <w:sz w:val="22"/>
                <w:szCs w:val="22"/>
                <w:lang w:val="hr-HR"/>
              </w:rPr>
              <w:t xml:space="preserve">31. prosinca </w:t>
            </w:r>
            <w:r w:rsidR="00E81087" w:rsidRPr="001567C8">
              <w:rPr>
                <w:rFonts w:asciiTheme="minorHAnsi" w:hAnsiTheme="minorHAnsi" w:cs="Arial"/>
                <w:sz w:val="22"/>
                <w:szCs w:val="22"/>
                <w:lang w:val="hr-HR"/>
              </w:rPr>
              <w:t>201</w:t>
            </w:r>
            <w:r w:rsidR="00A60282" w:rsidRPr="001567C8">
              <w:rPr>
                <w:rFonts w:asciiTheme="minorHAnsi" w:hAnsiTheme="minorHAnsi" w:cs="Arial"/>
                <w:sz w:val="22"/>
                <w:szCs w:val="22"/>
                <w:lang w:val="hr-HR"/>
              </w:rPr>
              <w:t>8</w:t>
            </w:r>
            <w:r w:rsidR="00E81087" w:rsidRPr="001567C8">
              <w:rPr>
                <w:rFonts w:asciiTheme="minorHAnsi" w:hAnsiTheme="minorHAnsi" w:cs="Arial"/>
                <w:sz w:val="22"/>
                <w:szCs w:val="22"/>
                <w:lang w:val="hr-HR"/>
              </w:rPr>
              <w:t>.</w:t>
            </w:r>
          </w:p>
        </w:tc>
        <w:tc>
          <w:tcPr>
            <w:tcW w:w="928" w:type="pct"/>
            <w:vAlign w:val="center"/>
          </w:tcPr>
          <w:p w:rsidR="00E81087" w:rsidRPr="001567C8" w:rsidRDefault="00AD2EF7">
            <w:pPr>
              <w:pStyle w:val="TH"/>
              <w:jc w:val="right"/>
              <w:rPr>
                <w:rFonts w:asciiTheme="minorHAnsi" w:hAnsiTheme="minorHAnsi" w:cs="Arial"/>
                <w:sz w:val="22"/>
                <w:szCs w:val="22"/>
                <w:lang w:val="hr-HR"/>
              </w:rPr>
            </w:pPr>
            <w:r w:rsidRPr="00AD2EF7">
              <w:rPr>
                <w:rFonts w:asciiTheme="minorHAnsi" w:hAnsiTheme="minorHAnsi" w:cs="Arial"/>
                <w:sz w:val="22"/>
                <w:szCs w:val="22"/>
                <w:lang w:val="hr-HR"/>
              </w:rPr>
              <w:t xml:space="preserve">31. prosinca </w:t>
            </w:r>
            <w:r w:rsidR="00E81087" w:rsidRPr="001567C8">
              <w:rPr>
                <w:rFonts w:asciiTheme="minorHAnsi" w:hAnsiTheme="minorHAnsi" w:cs="Arial"/>
                <w:sz w:val="22"/>
                <w:szCs w:val="22"/>
                <w:lang w:val="hr-HR"/>
              </w:rPr>
              <w:t>201</w:t>
            </w:r>
            <w:r w:rsidR="00A60282" w:rsidRPr="001567C8">
              <w:rPr>
                <w:rFonts w:asciiTheme="minorHAnsi" w:hAnsiTheme="minorHAnsi" w:cs="Arial"/>
                <w:sz w:val="22"/>
                <w:szCs w:val="22"/>
                <w:lang w:val="hr-HR"/>
              </w:rPr>
              <w:t>7</w:t>
            </w:r>
            <w:r w:rsidR="00E81087" w:rsidRPr="001567C8">
              <w:rPr>
                <w:rFonts w:asciiTheme="minorHAnsi" w:hAnsiTheme="minorHAnsi" w:cs="Arial"/>
                <w:sz w:val="22"/>
                <w:szCs w:val="22"/>
                <w:lang w:val="hr-HR"/>
              </w:rPr>
              <w:t>.</w:t>
            </w:r>
          </w:p>
        </w:tc>
      </w:tr>
      <w:tr w:rsidR="00E81087" w:rsidRPr="001567C8" w:rsidTr="003C6BA3">
        <w:trPr>
          <w:trHeight w:val="293"/>
        </w:trPr>
        <w:tc>
          <w:tcPr>
            <w:tcW w:w="1289" w:type="pct"/>
            <w:vAlign w:val="bottom"/>
          </w:tcPr>
          <w:p w:rsidR="00E81087" w:rsidRPr="001567C8" w:rsidRDefault="00E81087" w:rsidP="00E81087">
            <w:pPr>
              <w:pStyle w:val="TT"/>
              <w:rPr>
                <w:rFonts w:asciiTheme="minorHAnsi" w:hAnsiTheme="minorHAnsi" w:cs="Arial"/>
                <w:sz w:val="22"/>
                <w:szCs w:val="22"/>
                <w:lang w:val="hr-HR"/>
              </w:rPr>
            </w:pPr>
          </w:p>
        </w:tc>
        <w:tc>
          <w:tcPr>
            <w:tcW w:w="927" w:type="pct"/>
          </w:tcPr>
          <w:p w:rsidR="00E81087" w:rsidRPr="001567C8" w:rsidRDefault="00E81087" w:rsidP="00E81087">
            <w:pPr>
              <w:pStyle w:val="TT"/>
              <w:jc w:val="right"/>
              <w:rPr>
                <w:rFonts w:asciiTheme="minorHAnsi" w:hAnsiTheme="minorHAnsi" w:cs="Arial"/>
                <w:b/>
                <w:bCs/>
                <w:sz w:val="22"/>
                <w:szCs w:val="22"/>
                <w:lang w:val="hr-HR"/>
              </w:rPr>
            </w:pPr>
            <w:r w:rsidRPr="001567C8">
              <w:rPr>
                <w:rFonts w:asciiTheme="minorHAnsi" w:hAnsiTheme="minorHAnsi" w:cs="Arial"/>
                <w:b/>
                <w:bCs/>
                <w:sz w:val="22"/>
                <w:szCs w:val="22"/>
                <w:lang w:val="hr-HR"/>
              </w:rPr>
              <w:t>000 kuna</w:t>
            </w:r>
          </w:p>
        </w:tc>
        <w:tc>
          <w:tcPr>
            <w:tcW w:w="928" w:type="pct"/>
          </w:tcPr>
          <w:p w:rsidR="00E81087" w:rsidRPr="001567C8" w:rsidRDefault="00E81087" w:rsidP="00E81087">
            <w:pPr>
              <w:pStyle w:val="TT"/>
              <w:jc w:val="right"/>
              <w:rPr>
                <w:rFonts w:asciiTheme="minorHAnsi" w:hAnsiTheme="minorHAnsi" w:cs="Arial"/>
                <w:b/>
                <w:bCs/>
                <w:sz w:val="22"/>
                <w:szCs w:val="22"/>
                <w:lang w:val="hr-HR"/>
              </w:rPr>
            </w:pPr>
            <w:r w:rsidRPr="001567C8">
              <w:rPr>
                <w:rFonts w:asciiTheme="minorHAnsi" w:hAnsiTheme="minorHAnsi" w:cs="Arial"/>
                <w:b/>
                <w:bCs/>
                <w:sz w:val="22"/>
                <w:szCs w:val="22"/>
                <w:lang w:val="hr-HR"/>
              </w:rPr>
              <w:t>000 kuna</w:t>
            </w:r>
          </w:p>
        </w:tc>
        <w:tc>
          <w:tcPr>
            <w:tcW w:w="927" w:type="pct"/>
          </w:tcPr>
          <w:p w:rsidR="00E81087" w:rsidRPr="001567C8" w:rsidRDefault="00E81087" w:rsidP="00E81087">
            <w:pPr>
              <w:pStyle w:val="TT"/>
              <w:jc w:val="right"/>
              <w:rPr>
                <w:rFonts w:asciiTheme="minorHAnsi" w:hAnsiTheme="minorHAnsi" w:cs="Arial"/>
                <w:b/>
                <w:bCs/>
                <w:sz w:val="22"/>
                <w:szCs w:val="22"/>
                <w:lang w:val="hr-HR"/>
              </w:rPr>
            </w:pPr>
            <w:r w:rsidRPr="001567C8">
              <w:rPr>
                <w:rFonts w:asciiTheme="minorHAnsi" w:hAnsiTheme="minorHAnsi" w:cs="Arial"/>
                <w:b/>
                <w:bCs/>
                <w:sz w:val="22"/>
                <w:szCs w:val="22"/>
                <w:lang w:val="hr-HR"/>
              </w:rPr>
              <w:t>000 kuna</w:t>
            </w:r>
          </w:p>
        </w:tc>
        <w:tc>
          <w:tcPr>
            <w:tcW w:w="928" w:type="pct"/>
          </w:tcPr>
          <w:p w:rsidR="00E81087" w:rsidRPr="001567C8" w:rsidRDefault="00E81087" w:rsidP="00E81087">
            <w:pPr>
              <w:pStyle w:val="TT"/>
              <w:jc w:val="right"/>
              <w:rPr>
                <w:rFonts w:asciiTheme="minorHAnsi" w:hAnsiTheme="minorHAnsi" w:cs="Arial"/>
                <w:b/>
                <w:bCs/>
                <w:sz w:val="22"/>
                <w:szCs w:val="22"/>
                <w:lang w:val="hr-HR"/>
              </w:rPr>
            </w:pPr>
            <w:r w:rsidRPr="001567C8">
              <w:rPr>
                <w:rFonts w:asciiTheme="minorHAnsi" w:hAnsiTheme="minorHAnsi" w:cs="Arial"/>
                <w:b/>
                <w:bCs/>
                <w:sz w:val="22"/>
                <w:szCs w:val="22"/>
                <w:lang w:val="hr-HR"/>
              </w:rPr>
              <w:t>000 kuna</w:t>
            </w:r>
          </w:p>
        </w:tc>
      </w:tr>
      <w:tr w:rsidR="00E81087" w:rsidRPr="001567C8" w:rsidTr="003C6BA3">
        <w:trPr>
          <w:trHeight w:val="182"/>
        </w:trPr>
        <w:tc>
          <w:tcPr>
            <w:tcW w:w="1289" w:type="pct"/>
            <w:vAlign w:val="bottom"/>
          </w:tcPr>
          <w:p w:rsidR="00E81087" w:rsidRPr="001567C8" w:rsidRDefault="00E81087" w:rsidP="00E81087">
            <w:pPr>
              <w:pStyle w:val="TT"/>
              <w:spacing w:line="120" w:lineRule="exact"/>
              <w:rPr>
                <w:rFonts w:asciiTheme="minorHAnsi" w:hAnsiTheme="minorHAnsi" w:cs="Arial"/>
                <w:b/>
                <w:sz w:val="22"/>
                <w:szCs w:val="22"/>
                <w:lang w:val="hr-HR"/>
              </w:rPr>
            </w:pPr>
          </w:p>
        </w:tc>
        <w:tc>
          <w:tcPr>
            <w:tcW w:w="927" w:type="pct"/>
          </w:tcPr>
          <w:p w:rsidR="00E81087" w:rsidRPr="001567C8" w:rsidRDefault="00E81087" w:rsidP="00E81087">
            <w:pPr>
              <w:pStyle w:val="TT"/>
              <w:spacing w:line="120" w:lineRule="exact"/>
              <w:jc w:val="right"/>
              <w:rPr>
                <w:rFonts w:asciiTheme="minorHAnsi" w:hAnsiTheme="minorHAnsi" w:cs="Arial"/>
                <w:bCs/>
                <w:sz w:val="22"/>
                <w:szCs w:val="22"/>
                <w:lang w:val="hr-HR"/>
              </w:rPr>
            </w:pPr>
          </w:p>
        </w:tc>
        <w:tc>
          <w:tcPr>
            <w:tcW w:w="928" w:type="pct"/>
          </w:tcPr>
          <w:p w:rsidR="00E81087" w:rsidRPr="001567C8" w:rsidRDefault="00E81087" w:rsidP="00E81087">
            <w:pPr>
              <w:pStyle w:val="TT"/>
              <w:spacing w:line="120" w:lineRule="exact"/>
              <w:jc w:val="right"/>
              <w:rPr>
                <w:rFonts w:asciiTheme="minorHAnsi" w:hAnsiTheme="minorHAnsi" w:cs="Arial"/>
                <w:bCs/>
                <w:sz w:val="22"/>
                <w:szCs w:val="22"/>
                <w:lang w:val="hr-HR"/>
              </w:rPr>
            </w:pPr>
          </w:p>
        </w:tc>
        <w:tc>
          <w:tcPr>
            <w:tcW w:w="927" w:type="pct"/>
            <w:vAlign w:val="bottom"/>
          </w:tcPr>
          <w:p w:rsidR="00E81087" w:rsidRPr="001567C8" w:rsidRDefault="00E81087" w:rsidP="00E81087">
            <w:pPr>
              <w:pStyle w:val="TT"/>
              <w:spacing w:line="120" w:lineRule="exact"/>
              <w:jc w:val="right"/>
              <w:rPr>
                <w:rFonts w:asciiTheme="minorHAnsi" w:hAnsiTheme="minorHAnsi" w:cs="Arial"/>
                <w:bCs/>
                <w:sz w:val="22"/>
                <w:szCs w:val="22"/>
                <w:lang w:val="hr-HR"/>
              </w:rPr>
            </w:pPr>
          </w:p>
        </w:tc>
        <w:tc>
          <w:tcPr>
            <w:tcW w:w="928" w:type="pct"/>
            <w:vAlign w:val="bottom"/>
          </w:tcPr>
          <w:p w:rsidR="00E81087" w:rsidRPr="001567C8" w:rsidRDefault="00E81087" w:rsidP="00E81087">
            <w:pPr>
              <w:pStyle w:val="TT"/>
              <w:spacing w:line="120" w:lineRule="exact"/>
              <w:jc w:val="right"/>
              <w:rPr>
                <w:rFonts w:asciiTheme="minorHAnsi" w:hAnsiTheme="minorHAnsi" w:cs="Arial"/>
                <w:bCs/>
                <w:sz w:val="22"/>
                <w:szCs w:val="22"/>
                <w:lang w:val="hr-HR"/>
              </w:rPr>
            </w:pPr>
          </w:p>
        </w:tc>
      </w:tr>
      <w:tr w:rsidR="00A60282" w:rsidRPr="001567C8" w:rsidTr="003C6BA3">
        <w:trPr>
          <w:trHeight w:val="293"/>
        </w:trPr>
        <w:tc>
          <w:tcPr>
            <w:tcW w:w="1289" w:type="pct"/>
            <w:vAlign w:val="bottom"/>
          </w:tcPr>
          <w:p w:rsidR="00A60282" w:rsidRPr="001567C8" w:rsidRDefault="00A60282" w:rsidP="00A60282">
            <w:pPr>
              <w:pStyle w:val="TT"/>
              <w:rPr>
                <w:rFonts w:asciiTheme="minorHAnsi" w:hAnsiTheme="minorHAnsi" w:cs="Arial"/>
                <w:sz w:val="22"/>
                <w:szCs w:val="22"/>
                <w:lang w:val="hr-HR"/>
              </w:rPr>
            </w:pPr>
            <w:r w:rsidRPr="001567C8">
              <w:rPr>
                <w:rFonts w:asciiTheme="minorHAnsi" w:hAnsiTheme="minorHAnsi" w:cs="Arial"/>
                <w:sz w:val="22"/>
                <w:szCs w:val="22"/>
                <w:lang w:val="hr-HR"/>
              </w:rPr>
              <w:t>Republika Hrvatska</w:t>
            </w:r>
          </w:p>
        </w:tc>
        <w:tc>
          <w:tcPr>
            <w:tcW w:w="927" w:type="pct"/>
          </w:tcPr>
          <w:p w:rsidR="00A60282" w:rsidRPr="00CD3A2D" w:rsidRDefault="00A60282" w:rsidP="00A60282">
            <w:pPr>
              <w:pStyle w:val="TT"/>
              <w:jc w:val="right"/>
              <w:rPr>
                <w:rFonts w:asciiTheme="minorHAnsi" w:hAnsiTheme="minorHAnsi"/>
                <w:sz w:val="22"/>
                <w:szCs w:val="22"/>
                <w:lang w:val="hr-HR"/>
              </w:rPr>
            </w:pPr>
            <w:r w:rsidRPr="00CD3A2D">
              <w:rPr>
                <w:rFonts w:asciiTheme="minorHAnsi" w:hAnsiTheme="minorHAnsi"/>
                <w:sz w:val="22"/>
                <w:szCs w:val="22"/>
                <w:lang w:val="hr-HR"/>
              </w:rPr>
              <w:t>4.192.023</w:t>
            </w:r>
          </w:p>
        </w:tc>
        <w:tc>
          <w:tcPr>
            <w:tcW w:w="928" w:type="pct"/>
          </w:tcPr>
          <w:p w:rsidR="00A60282" w:rsidRPr="001567C8" w:rsidRDefault="00A60282" w:rsidP="00A60282">
            <w:pPr>
              <w:pStyle w:val="TT"/>
              <w:jc w:val="right"/>
              <w:rPr>
                <w:rFonts w:asciiTheme="minorHAnsi" w:hAnsiTheme="minorHAnsi" w:cs="Arial"/>
                <w:bCs/>
                <w:sz w:val="22"/>
                <w:szCs w:val="22"/>
                <w:lang w:val="hr-HR"/>
              </w:rPr>
            </w:pPr>
            <w:r w:rsidRPr="00CD3A2D">
              <w:rPr>
                <w:rFonts w:asciiTheme="minorHAnsi" w:hAnsiTheme="minorHAnsi"/>
                <w:sz w:val="22"/>
                <w:szCs w:val="22"/>
                <w:lang w:val="hr-HR"/>
              </w:rPr>
              <w:t>4.235.919</w:t>
            </w:r>
          </w:p>
        </w:tc>
        <w:tc>
          <w:tcPr>
            <w:tcW w:w="927" w:type="pct"/>
            <w:shd w:val="clear" w:color="auto" w:fill="auto"/>
          </w:tcPr>
          <w:p w:rsidR="00A60282" w:rsidRPr="001567C8" w:rsidRDefault="00A60282" w:rsidP="00A60282">
            <w:pPr>
              <w:pStyle w:val="TT"/>
              <w:jc w:val="right"/>
              <w:rPr>
                <w:rFonts w:asciiTheme="minorHAnsi" w:hAnsiTheme="minorHAnsi" w:cs="Arial"/>
                <w:bCs/>
                <w:sz w:val="22"/>
                <w:szCs w:val="22"/>
                <w:lang w:val="hr-HR"/>
              </w:rPr>
            </w:pPr>
            <w:r w:rsidRPr="001567C8">
              <w:rPr>
                <w:rFonts w:asciiTheme="minorHAnsi" w:hAnsiTheme="minorHAnsi" w:cs="Arial"/>
                <w:bCs/>
                <w:sz w:val="22"/>
                <w:szCs w:val="22"/>
                <w:lang w:val="hr-HR"/>
              </w:rPr>
              <w:t>4.096.373</w:t>
            </w:r>
          </w:p>
        </w:tc>
        <w:tc>
          <w:tcPr>
            <w:tcW w:w="928" w:type="pct"/>
            <w:shd w:val="clear" w:color="auto" w:fill="auto"/>
          </w:tcPr>
          <w:p w:rsidR="00A60282" w:rsidRPr="001567C8" w:rsidRDefault="00A60282" w:rsidP="00A60282">
            <w:pPr>
              <w:pStyle w:val="TT"/>
              <w:jc w:val="right"/>
              <w:rPr>
                <w:rFonts w:asciiTheme="minorHAnsi" w:hAnsiTheme="minorHAnsi" w:cs="Arial"/>
                <w:bCs/>
                <w:sz w:val="22"/>
                <w:szCs w:val="22"/>
                <w:lang w:val="hr-HR"/>
              </w:rPr>
            </w:pPr>
            <w:r w:rsidRPr="001567C8">
              <w:rPr>
                <w:rFonts w:ascii="Calibri" w:hAnsi="Calibri" w:cs="Arial"/>
                <w:bCs/>
                <w:sz w:val="22"/>
                <w:szCs w:val="22"/>
                <w:lang w:val="hr-HR"/>
              </w:rPr>
              <w:t>4.138.695</w:t>
            </w:r>
          </w:p>
        </w:tc>
      </w:tr>
      <w:tr w:rsidR="00A60282" w:rsidRPr="001567C8" w:rsidTr="003C6BA3">
        <w:trPr>
          <w:trHeight w:val="293"/>
        </w:trPr>
        <w:tc>
          <w:tcPr>
            <w:tcW w:w="1289" w:type="pct"/>
            <w:vAlign w:val="bottom"/>
          </w:tcPr>
          <w:p w:rsidR="00A60282" w:rsidRPr="001567C8" w:rsidRDefault="00A60282" w:rsidP="00A60282">
            <w:pPr>
              <w:pStyle w:val="TT"/>
              <w:rPr>
                <w:rFonts w:asciiTheme="minorHAnsi" w:hAnsiTheme="minorHAnsi" w:cs="Arial"/>
                <w:sz w:val="22"/>
                <w:szCs w:val="22"/>
                <w:lang w:val="hr-HR"/>
              </w:rPr>
            </w:pPr>
            <w:r w:rsidRPr="001567C8">
              <w:rPr>
                <w:rFonts w:asciiTheme="minorHAnsi" w:hAnsiTheme="minorHAnsi" w:cs="Arial"/>
                <w:sz w:val="22"/>
                <w:szCs w:val="22"/>
                <w:lang w:val="hr-HR"/>
              </w:rPr>
              <w:t>Državne agencije</w:t>
            </w:r>
          </w:p>
        </w:tc>
        <w:tc>
          <w:tcPr>
            <w:tcW w:w="927" w:type="pct"/>
            <w:tcBorders>
              <w:bottom w:val="single" w:sz="8" w:space="0" w:color="auto"/>
            </w:tcBorders>
          </w:tcPr>
          <w:p w:rsidR="00A60282" w:rsidRPr="00CD3A2D" w:rsidRDefault="00A60282" w:rsidP="00A60282">
            <w:pPr>
              <w:pStyle w:val="TT"/>
              <w:jc w:val="right"/>
              <w:rPr>
                <w:rFonts w:asciiTheme="minorHAnsi" w:hAnsiTheme="minorHAnsi"/>
                <w:sz w:val="22"/>
                <w:szCs w:val="22"/>
                <w:lang w:val="hr-HR"/>
              </w:rPr>
            </w:pPr>
            <w:r w:rsidRPr="00CD3A2D">
              <w:rPr>
                <w:rFonts w:asciiTheme="minorHAnsi" w:hAnsiTheme="minorHAnsi"/>
                <w:sz w:val="22"/>
                <w:szCs w:val="22"/>
                <w:lang w:val="hr-HR"/>
              </w:rPr>
              <w:t>471.641</w:t>
            </w:r>
          </w:p>
        </w:tc>
        <w:tc>
          <w:tcPr>
            <w:tcW w:w="928" w:type="pct"/>
            <w:tcBorders>
              <w:bottom w:val="single" w:sz="8" w:space="0" w:color="auto"/>
            </w:tcBorders>
          </w:tcPr>
          <w:p w:rsidR="00A60282" w:rsidRPr="001567C8" w:rsidRDefault="00A60282" w:rsidP="00A60282">
            <w:pPr>
              <w:pStyle w:val="TT"/>
              <w:jc w:val="right"/>
              <w:rPr>
                <w:rFonts w:asciiTheme="minorHAnsi" w:hAnsiTheme="minorHAnsi" w:cs="Arial"/>
                <w:bCs/>
                <w:sz w:val="22"/>
                <w:szCs w:val="22"/>
                <w:lang w:val="hr-HR"/>
              </w:rPr>
            </w:pPr>
            <w:r w:rsidRPr="00CD3A2D">
              <w:rPr>
                <w:rFonts w:asciiTheme="minorHAnsi" w:hAnsiTheme="minorHAnsi"/>
                <w:sz w:val="22"/>
                <w:szCs w:val="22"/>
                <w:lang w:val="hr-HR"/>
              </w:rPr>
              <w:t>573.727</w:t>
            </w:r>
          </w:p>
        </w:tc>
        <w:tc>
          <w:tcPr>
            <w:tcW w:w="927" w:type="pct"/>
            <w:tcBorders>
              <w:bottom w:val="single" w:sz="8" w:space="0" w:color="000000"/>
            </w:tcBorders>
            <w:shd w:val="clear" w:color="auto" w:fill="auto"/>
          </w:tcPr>
          <w:p w:rsidR="00A60282" w:rsidRPr="001567C8" w:rsidRDefault="00A60282" w:rsidP="00A60282">
            <w:pPr>
              <w:pStyle w:val="TT"/>
              <w:jc w:val="right"/>
              <w:rPr>
                <w:rFonts w:asciiTheme="minorHAnsi" w:hAnsiTheme="minorHAnsi" w:cs="Arial"/>
                <w:bCs/>
                <w:sz w:val="22"/>
                <w:szCs w:val="22"/>
                <w:lang w:val="hr-HR"/>
              </w:rPr>
            </w:pPr>
            <w:r w:rsidRPr="001567C8">
              <w:rPr>
                <w:rFonts w:asciiTheme="minorHAnsi" w:hAnsiTheme="minorHAnsi" w:cs="Arial"/>
                <w:bCs/>
                <w:sz w:val="22"/>
                <w:szCs w:val="22"/>
                <w:lang w:val="hr-HR"/>
              </w:rPr>
              <w:t>471.641</w:t>
            </w:r>
          </w:p>
        </w:tc>
        <w:tc>
          <w:tcPr>
            <w:tcW w:w="928" w:type="pct"/>
            <w:tcBorders>
              <w:bottom w:val="single" w:sz="8" w:space="0" w:color="000000"/>
            </w:tcBorders>
            <w:shd w:val="clear" w:color="auto" w:fill="auto"/>
          </w:tcPr>
          <w:p w:rsidR="00A60282" w:rsidRPr="001567C8" w:rsidRDefault="00A60282" w:rsidP="00A60282">
            <w:pPr>
              <w:pStyle w:val="TT"/>
              <w:jc w:val="right"/>
              <w:rPr>
                <w:rFonts w:asciiTheme="minorHAnsi" w:hAnsiTheme="minorHAnsi" w:cs="Arial"/>
                <w:bCs/>
                <w:sz w:val="22"/>
                <w:szCs w:val="22"/>
                <w:lang w:val="hr-HR"/>
              </w:rPr>
            </w:pPr>
            <w:r w:rsidRPr="001567C8">
              <w:rPr>
                <w:rFonts w:ascii="Calibri" w:hAnsi="Calibri" w:cs="Arial"/>
                <w:bCs/>
                <w:sz w:val="22"/>
                <w:szCs w:val="22"/>
                <w:lang w:val="hr-HR"/>
              </w:rPr>
              <w:t>573.727</w:t>
            </w:r>
          </w:p>
        </w:tc>
      </w:tr>
      <w:tr w:rsidR="00A60282" w:rsidRPr="001567C8" w:rsidTr="003C6BA3">
        <w:trPr>
          <w:trHeight w:val="305"/>
        </w:trPr>
        <w:tc>
          <w:tcPr>
            <w:tcW w:w="1289" w:type="pct"/>
            <w:vAlign w:val="bottom"/>
          </w:tcPr>
          <w:p w:rsidR="00A60282" w:rsidRPr="001567C8" w:rsidRDefault="00A60282" w:rsidP="00A60282">
            <w:pPr>
              <w:pStyle w:val="TT"/>
              <w:rPr>
                <w:rFonts w:asciiTheme="minorHAnsi" w:hAnsiTheme="minorHAnsi" w:cs="Arial"/>
                <w:b/>
                <w:sz w:val="22"/>
                <w:szCs w:val="22"/>
                <w:lang w:val="hr-HR"/>
              </w:rPr>
            </w:pPr>
            <w:r w:rsidRPr="001567C8">
              <w:rPr>
                <w:rFonts w:asciiTheme="minorHAnsi" w:hAnsiTheme="minorHAnsi" w:cs="Arial"/>
                <w:b/>
                <w:sz w:val="22"/>
                <w:szCs w:val="22"/>
                <w:lang w:val="hr-HR"/>
              </w:rPr>
              <w:t>Ukupno</w:t>
            </w:r>
          </w:p>
        </w:tc>
        <w:tc>
          <w:tcPr>
            <w:tcW w:w="927" w:type="pct"/>
            <w:tcBorders>
              <w:top w:val="single" w:sz="8" w:space="0" w:color="auto"/>
              <w:bottom w:val="single" w:sz="12" w:space="0" w:color="auto"/>
            </w:tcBorders>
          </w:tcPr>
          <w:p w:rsidR="00A60282" w:rsidRPr="001567C8" w:rsidRDefault="00A60282" w:rsidP="00A60282">
            <w:pPr>
              <w:pStyle w:val="TT"/>
              <w:jc w:val="right"/>
              <w:rPr>
                <w:rFonts w:asciiTheme="minorHAnsi" w:hAnsiTheme="minorHAnsi" w:cs="Arial"/>
                <w:b/>
                <w:bCs/>
                <w:sz w:val="22"/>
                <w:szCs w:val="22"/>
                <w:lang w:val="hr-HR"/>
              </w:rPr>
            </w:pPr>
            <w:r w:rsidRPr="001567C8">
              <w:rPr>
                <w:rFonts w:asciiTheme="minorHAnsi" w:hAnsiTheme="minorHAnsi" w:cs="Arial"/>
                <w:b/>
                <w:bCs/>
                <w:sz w:val="22"/>
                <w:szCs w:val="22"/>
                <w:lang w:val="hr-HR"/>
              </w:rPr>
              <w:t>4.663.664</w:t>
            </w:r>
          </w:p>
        </w:tc>
        <w:tc>
          <w:tcPr>
            <w:tcW w:w="928" w:type="pct"/>
            <w:tcBorders>
              <w:top w:val="single" w:sz="8" w:space="0" w:color="auto"/>
              <w:bottom w:val="single" w:sz="12" w:space="0" w:color="auto"/>
            </w:tcBorders>
          </w:tcPr>
          <w:p w:rsidR="00A60282" w:rsidRPr="001567C8" w:rsidRDefault="00A60282" w:rsidP="00A60282">
            <w:pPr>
              <w:pStyle w:val="TT"/>
              <w:jc w:val="right"/>
              <w:rPr>
                <w:rFonts w:asciiTheme="minorHAnsi" w:hAnsiTheme="minorHAnsi" w:cs="Arial"/>
                <w:b/>
                <w:bCs/>
                <w:sz w:val="22"/>
                <w:szCs w:val="22"/>
                <w:lang w:val="hr-HR"/>
              </w:rPr>
            </w:pPr>
            <w:r w:rsidRPr="001567C8">
              <w:rPr>
                <w:rFonts w:asciiTheme="minorHAnsi" w:hAnsiTheme="minorHAnsi" w:cs="Arial"/>
                <w:b/>
                <w:bCs/>
                <w:sz w:val="22"/>
                <w:szCs w:val="22"/>
                <w:lang w:val="hr-HR"/>
              </w:rPr>
              <w:t>4</w:t>
            </w:r>
            <w:r w:rsidRPr="00CD3A2D">
              <w:rPr>
                <w:b/>
                <w:lang w:val="hr-HR"/>
              </w:rPr>
              <w:t>.</w:t>
            </w:r>
            <w:r w:rsidRPr="001567C8">
              <w:rPr>
                <w:rFonts w:asciiTheme="minorHAnsi" w:hAnsiTheme="minorHAnsi" w:cs="Arial"/>
                <w:b/>
                <w:bCs/>
                <w:sz w:val="22"/>
                <w:szCs w:val="22"/>
                <w:lang w:val="hr-HR"/>
              </w:rPr>
              <w:t>809.646</w:t>
            </w:r>
          </w:p>
        </w:tc>
        <w:tc>
          <w:tcPr>
            <w:tcW w:w="927" w:type="pct"/>
            <w:tcBorders>
              <w:top w:val="single" w:sz="8" w:space="0" w:color="auto"/>
              <w:bottom w:val="single" w:sz="12" w:space="0" w:color="auto"/>
            </w:tcBorders>
            <w:vAlign w:val="bottom"/>
          </w:tcPr>
          <w:p w:rsidR="00A60282" w:rsidRPr="001567C8" w:rsidRDefault="00A60282" w:rsidP="00A60282">
            <w:pPr>
              <w:pStyle w:val="TT"/>
              <w:jc w:val="right"/>
              <w:rPr>
                <w:rFonts w:asciiTheme="minorHAnsi" w:hAnsiTheme="minorHAnsi" w:cs="Arial"/>
                <w:b/>
                <w:bCs/>
                <w:sz w:val="22"/>
                <w:szCs w:val="22"/>
                <w:lang w:val="hr-HR"/>
              </w:rPr>
            </w:pPr>
            <w:r w:rsidRPr="001567C8">
              <w:rPr>
                <w:rFonts w:asciiTheme="minorHAnsi" w:hAnsiTheme="minorHAnsi" w:cs="Arial"/>
                <w:b/>
                <w:bCs/>
                <w:sz w:val="22"/>
                <w:szCs w:val="22"/>
                <w:lang w:val="hr-HR"/>
              </w:rPr>
              <w:t>4.568.014</w:t>
            </w:r>
          </w:p>
        </w:tc>
        <w:tc>
          <w:tcPr>
            <w:tcW w:w="928" w:type="pct"/>
            <w:tcBorders>
              <w:top w:val="single" w:sz="8" w:space="0" w:color="auto"/>
              <w:bottom w:val="single" w:sz="12" w:space="0" w:color="auto"/>
            </w:tcBorders>
            <w:vAlign w:val="bottom"/>
          </w:tcPr>
          <w:p w:rsidR="00A60282" w:rsidRPr="001567C8" w:rsidRDefault="00A60282" w:rsidP="00A60282">
            <w:pPr>
              <w:pStyle w:val="TT"/>
              <w:jc w:val="right"/>
              <w:rPr>
                <w:rFonts w:asciiTheme="minorHAnsi" w:hAnsiTheme="minorHAnsi" w:cs="Arial"/>
                <w:b/>
                <w:bCs/>
                <w:sz w:val="22"/>
                <w:szCs w:val="22"/>
                <w:lang w:val="hr-HR"/>
              </w:rPr>
            </w:pPr>
            <w:r w:rsidRPr="001567C8">
              <w:rPr>
                <w:rFonts w:asciiTheme="minorHAnsi" w:hAnsiTheme="minorHAnsi" w:cs="Arial"/>
                <w:b/>
                <w:bCs/>
                <w:sz w:val="22"/>
                <w:szCs w:val="22"/>
                <w:lang w:val="hr-HR"/>
              </w:rPr>
              <w:t>4.712.422</w:t>
            </w:r>
          </w:p>
        </w:tc>
      </w:tr>
    </w:tbl>
    <w:p w:rsidR="00BC7B5E" w:rsidRPr="001567C8" w:rsidRDefault="00BC7B5E" w:rsidP="00725A78">
      <w:pPr>
        <w:pStyle w:val="T1"/>
        <w:keepNext w:val="0"/>
        <w:spacing w:before="0" w:after="0" w:line="240" w:lineRule="auto"/>
        <w:rPr>
          <w:rFonts w:asciiTheme="minorHAnsi" w:hAnsiTheme="minorHAnsi" w:cs="Arial"/>
          <w:bCs w:val="0"/>
          <w:sz w:val="22"/>
          <w:szCs w:val="22"/>
          <w:lang w:val="hr-HR"/>
        </w:rPr>
      </w:pPr>
    </w:p>
    <w:p w:rsidR="00A60282" w:rsidRPr="001567C8" w:rsidRDefault="003064AF" w:rsidP="00725A78">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Primljeni instrumenti osiguranja odnose se na prvorazredne instrumente osiguranja zaprimljene u svrhu osiguranja plasmana Banke, a čine ih: jamstvo Republike Hrvatske, jamstvo HAMAG</w:t>
      </w:r>
      <w:r w:rsidR="00C512E9" w:rsidRPr="001567C8">
        <w:rPr>
          <w:rFonts w:asciiTheme="minorHAnsi" w:hAnsiTheme="minorHAnsi" w:cs="Arial"/>
          <w:b w:val="0"/>
          <w:sz w:val="22"/>
          <w:szCs w:val="22"/>
          <w:lang w:val="hr-HR"/>
        </w:rPr>
        <w:t>-BICRO</w:t>
      </w:r>
      <w:r w:rsidRPr="001567C8">
        <w:rPr>
          <w:rFonts w:asciiTheme="minorHAnsi" w:hAnsiTheme="minorHAnsi" w:cs="Arial"/>
          <w:b w:val="0"/>
          <w:sz w:val="22"/>
          <w:szCs w:val="22"/>
          <w:lang w:val="hr-HR"/>
        </w:rPr>
        <w:t>-a, polica osiguranja od političkih i/ili komercijalnih rizika te zakonska jamstva u slučaju kada za obveze klijenta zakonskim aktima jamči Republika Hrvatska ili druga državna tijela.</w:t>
      </w:r>
      <w:r w:rsidR="006A0FCD" w:rsidRPr="001567C8">
        <w:rPr>
          <w:rFonts w:asciiTheme="minorHAnsi" w:hAnsiTheme="minorHAnsi" w:cs="Arial"/>
          <w:b w:val="0"/>
          <w:sz w:val="22"/>
          <w:szCs w:val="22"/>
          <w:lang w:val="hr-HR"/>
        </w:rPr>
        <w:t xml:space="preserve"> </w:t>
      </w:r>
    </w:p>
    <w:p w:rsidR="00A60282" w:rsidRPr="001567C8" w:rsidRDefault="00A60282" w:rsidP="00725A78">
      <w:pPr>
        <w:pStyle w:val="T1"/>
        <w:spacing w:before="0" w:after="0" w:line="240" w:lineRule="auto"/>
        <w:rPr>
          <w:rFonts w:asciiTheme="minorHAnsi" w:hAnsiTheme="minorHAnsi" w:cs="Arial"/>
          <w:b w:val="0"/>
          <w:sz w:val="22"/>
          <w:szCs w:val="22"/>
          <w:lang w:val="hr-HR"/>
        </w:rPr>
      </w:pPr>
    </w:p>
    <w:p w:rsidR="003064AF" w:rsidRPr="001567C8" w:rsidRDefault="00F947BE" w:rsidP="00725A78">
      <w:pPr>
        <w:pStyle w:val="T1"/>
        <w:spacing w:before="0" w:after="0" w:line="240" w:lineRule="auto"/>
        <w:rPr>
          <w:rStyle w:val="CommentReference"/>
          <w:rFonts w:asciiTheme="minorHAnsi" w:hAnsiTheme="minorHAnsi"/>
          <w:b w:val="0"/>
          <w:bCs w:val="0"/>
          <w:sz w:val="22"/>
          <w:szCs w:val="22"/>
          <w:lang w:val="hr-HR"/>
        </w:rPr>
      </w:pPr>
      <w:r w:rsidRPr="001567C8">
        <w:rPr>
          <w:rFonts w:asciiTheme="minorHAnsi" w:hAnsiTheme="minorHAnsi" w:cs="Arial"/>
          <w:b w:val="0"/>
          <w:sz w:val="22"/>
          <w:szCs w:val="22"/>
          <w:lang w:val="hr-HR"/>
        </w:rPr>
        <w:t xml:space="preserve">HBOR u ime i za račun Republike Hrvatske </w:t>
      </w:r>
      <w:r w:rsidR="004F2D73" w:rsidRPr="001567C8">
        <w:rPr>
          <w:rFonts w:asciiTheme="minorHAnsi" w:hAnsiTheme="minorHAnsi" w:cs="Arial"/>
          <w:b w:val="0"/>
          <w:sz w:val="22"/>
          <w:szCs w:val="22"/>
          <w:lang w:val="hr-HR"/>
        </w:rPr>
        <w:t>izdaje police reosiguranja</w:t>
      </w:r>
      <w:r w:rsidRPr="001567C8">
        <w:rPr>
          <w:rFonts w:asciiTheme="minorHAnsi" w:hAnsiTheme="minorHAnsi" w:cs="Arial"/>
          <w:b w:val="0"/>
          <w:sz w:val="22"/>
          <w:szCs w:val="22"/>
          <w:lang w:val="hr-HR"/>
        </w:rPr>
        <w:t xml:space="preserve"> odnosno pokriva razmje</w:t>
      </w:r>
      <w:r w:rsidR="00070A66" w:rsidRPr="001567C8">
        <w:rPr>
          <w:rFonts w:asciiTheme="minorHAnsi" w:hAnsiTheme="minorHAnsi" w:cs="Arial"/>
          <w:b w:val="0"/>
          <w:sz w:val="22"/>
          <w:szCs w:val="22"/>
          <w:lang w:val="hr-HR"/>
        </w:rPr>
        <w:t>r</w:t>
      </w:r>
      <w:r w:rsidRPr="001567C8">
        <w:rPr>
          <w:rFonts w:asciiTheme="minorHAnsi" w:hAnsiTheme="minorHAnsi" w:cs="Arial"/>
          <w:b w:val="0"/>
          <w:sz w:val="22"/>
          <w:szCs w:val="22"/>
          <w:lang w:val="hr-HR"/>
        </w:rPr>
        <w:t xml:space="preserve">ni dio (kvotno reosiguranje) političkih i komercijalnih rizika kod izvoznih kredita i potraživanja nastalih prilikom izvoza roba i usluga. Reosiguratelj pokriva sve neutržive (netržišne) rizike koje je preuzeo Osiguratelj odnosno Hrvatsko kreditno osiguranje, dioničko društvo za osiguranje u </w:t>
      </w:r>
      <w:r w:rsidR="00C4479A" w:rsidRPr="001567C8">
        <w:rPr>
          <w:rFonts w:asciiTheme="minorHAnsi" w:hAnsiTheme="minorHAnsi" w:cs="Arial"/>
          <w:b w:val="0"/>
          <w:sz w:val="22"/>
          <w:szCs w:val="22"/>
          <w:lang w:val="hr-HR"/>
        </w:rPr>
        <w:t>rasponu</w:t>
      </w:r>
      <w:r w:rsidR="004F2D73" w:rsidRPr="001567C8">
        <w:rPr>
          <w:rFonts w:asciiTheme="minorHAnsi" w:hAnsiTheme="minorHAnsi" w:cs="Arial"/>
          <w:b w:val="0"/>
          <w:sz w:val="22"/>
          <w:szCs w:val="22"/>
          <w:lang w:val="hr-HR"/>
        </w:rPr>
        <w:t xml:space="preserve"> </w:t>
      </w:r>
      <w:r w:rsidRPr="001567C8">
        <w:rPr>
          <w:rFonts w:asciiTheme="minorHAnsi" w:hAnsiTheme="minorHAnsi" w:cs="Arial"/>
          <w:b w:val="0"/>
          <w:sz w:val="22"/>
          <w:szCs w:val="22"/>
          <w:lang w:val="hr-HR"/>
        </w:rPr>
        <w:t xml:space="preserve">od </w:t>
      </w:r>
      <w:r w:rsidR="00C4479A" w:rsidRPr="001567C8">
        <w:rPr>
          <w:rFonts w:asciiTheme="minorHAnsi" w:hAnsiTheme="minorHAnsi" w:cs="Arial"/>
          <w:b w:val="0"/>
          <w:sz w:val="22"/>
          <w:szCs w:val="22"/>
          <w:lang w:val="hr-HR"/>
        </w:rPr>
        <w:t xml:space="preserve"> </w:t>
      </w:r>
      <w:r w:rsidR="002C3A08" w:rsidRPr="001567C8">
        <w:rPr>
          <w:rFonts w:asciiTheme="minorHAnsi" w:hAnsiTheme="minorHAnsi" w:cs="Arial"/>
          <w:b w:val="0"/>
          <w:sz w:val="22"/>
          <w:szCs w:val="22"/>
          <w:lang w:val="hr-HR"/>
        </w:rPr>
        <w:t>15</w:t>
      </w:r>
      <w:r w:rsidR="00C4479A" w:rsidRPr="001567C8">
        <w:rPr>
          <w:rFonts w:asciiTheme="minorHAnsi" w:hAnsiTheme="minorHAnsi" w:cs="Arial"/>
          <w:b w:val="0"/>
          <w:sz w:val="22"/>
          <w:szCs w:val="22"/>
          <w:lang w:val="hr-HR"/>
        </w:rPr>
        <w:t xml:space="preserve">% do 90% </w:t>
      </w:r>
      <w:r w:rsidRPr="001567C8">
        <w:rPr>
          <w:rFonts w:asciiTheme="minorHAnsi" w:hAnsiTheme="minorHAnsi" w:cs="Arial"/>
          <w:b w:val="0"/>
          <w:sz w:val="22"/>
          <w:szCs w:val="22"/>
          <w:lang w:val="hr-HR"/>
        </w:rPr>
        <w:t>osigurane svote.</w:t>
      </w:r>
      <w:r w:rsidRPr="001567C8" w:rsidDel="00F947BE">
        <w:rPr>
          <w:rStyle w:val="CommentReference"/>
          <w:rFonts w:asciiTheme="minorHAnsi" w:hAnsiTheme="minorHAnsi"/>
          <w:b w:val="0"/>
          <w:bCs w:val="0"/>
          <w:sz w:val="22"/>
          <w:szCs w:val="22"/>
          <w:lang w:val="hr-HR"/>
        </w:rPr>
        <w:t xml:space="preserve"> </w:t>
      </w:r>
    </w:p>
    <w:p w:rsidR="00725A78" w:rsidRPr="001567C8" w:rsidRDefault="00725A78" w:rsidP="00725A78">
      <w:pPr>
        <w:pStyle w:val="T1"/>
        <w:spacing w:before="0" w:after="0" w:line="240" w:lineRule="auto"/>
        <w:rPr>
          <w:rStyle w:val="CommentReference"/>
          <w:rFonts w:asciiTheme="minorHAnsi" w:hAnsiTheme="minorHAnsi"/>
          <w:b w:val="0"/>
          <w:bCs w:val="0"/>
          <w:sz w:val="22"/>
          <w:szCs w:val="22"/>
          <w:lang w:val="hr-HR"/>
        </w:rPr>
      </w:pPr>
    </w:p>
    <w:p w:rsidR="00725A78" w:rsidRPr="001567C8" w:rsidRDefault="003064AF" w:rsidP="00725A78">
      <w:pPr>
        <w:tabs>
          <w:tab w:val="left" w:pos="426"/>
        </w:tabs>
        <w:rPr>
          <w:rFonts w:asciiTheme="minorHAnsi" w:hAnsiTheme="minorHAnsi" w:cs="Arial"/>
          <w:sz w:val="22"/>
          <w:szCs w:val="22"/>
          <w:lang w:val="hr-HR"/>
        </w:rPr>
      </w:pPr>
      <w:r w:rsidRPr="001567C8">
        <w:rPr>
          <w:rFonts w:asciiTheme="minorHAnsi" w:hAnsiTheme="minorHAnsi" w:cs="Arial"/>
          <w:sz w:val="22"/>
          <w:szCs w:val="22"/>
          <w:lang w:val="hr-HR"/>
        </w:rPr>
        <w:t>c)</w:t>
      </w:r>
      <w:r w:rsidR="0029774F" w:rsidRPr="001567C8">
        <w:rPr>
          <w:rFonts w:asciiTheme="minorHAnsi" w:hAnsiTheme="minorHAnsi" w:cs="Arial"/>
          <w:sz w:val="22"/>
          <w:szCs w:val="22"/>
          <w:lang w:val="hr-HR"/>
        </w:rPr>
        <w:tab/>
      </w:r>
      <w:r w:rsidRPr="001567C8">
        <w:rPr>
          <w:rFonts w:asciiTheme="minorHAnsi" w:hAnsiTheme="minorHAnsi" w:cs="Arial"/>
          <w:sz w:val="22"/>
          <w:szCs w:val="22"/>
          <w:lang w:val="hr-HR"/>
        </w:rPr>
        <w:t>Plaće ključnih članova rukovodstva</w:t>
      </w:r>
      <w:r w:rsidR="006A0FCD" w:rsidRPr="001567C8">
        <w:rPr>
          <w:rFonts w:asciiTheme="minorHAnsi" w:hAnsiTheme="minorHAnsi" w:cs="Arial"/>
          <w:sz w:val="22"/>
          <w:szCs w:val="22"/>
          <w:lang w:val="hr-HR"/>
        </w:rPr>
        <w:t xml:space="preserve"> </w:t>
      </w:r>
    </w:p>
    <w:p w:rsidR="003064AF" w:rsidRPr="001567C8" w:rsidRDefault="006A0FCD" w:rsidP="00725A78">
      <w:pPr>
        <w:tabs>
          <w:tab w:val="left" w:pos="426"/>
        </w:tabs>
        <w:rPr>
          <w:rFonts w:asciiTheme="minorHAnsi" w:hAnsiTheme="minorHAnsi" w:cs="Arial"/>
          <w:sz w:val="22"/>
          <w:szCs w:val="22"/>
          <w:lang w:val="hr-HR"/>
        </w:rPr>
      </w:pPr>
      <w:r w:rsidRPr="001567C8">
        <w:rPr>
          <w:rFonts w:asciiTheme="minorHAnsi" w:hAnsiTheme="minorHAnsi" w:cs="Arial"/>
          <w:sz w:val="22"/>
          <w:szCs w:val="22"/>
          <w:lang w:val="hr-HR"/>
        </w:rPr>
        <w:t xml:space="preserve"> </w:t>
      </w:r>
    </w:p>
    <w:p w:rsidR="00CE39EA" w:rsidRPr="001567C8" w:rsidRDefault="00CE39EA" w:rsidP="00725A78">
      <w:pPr>
        <w:pStyle w:val="T1"/>
        <w:keepNext w:val="0"/>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Plaće uključuju redovan rad, godišnji odmor, državni praznik, plaćeni dopust, naknadu plaće za vrijeme bolovanja, minuli rad</w:t>
      </w:r>
      <w:r w:rsidR="000040E6" w:rsidRPr="001567C8">
        <w:rPr>
          <w:rFonts w:asciiTheme="minorHAnsi" w:hAnsiTheme="minorHAnsi" w:cs="Arial"/>
          <w:b w:val="0"/>
          <w:sz w:val="22"/>
          <w:szCs w:val="22"/>
          <w:lang w:val="hr-HR"/>
        </w:rPr>
        <w:t xml:space="preserve"> te isplate prema ugovorima</w:t>
      </w:r>
      <w:r w:rsidRPr="001567C8">
        <w:rPr>
          <w:rFonts w:asciiTheme="minorHAnsi" w:hAnsiTheme="minorHAnsi" w:cs="Arial"/>
          <w:b w:val="0"/>
          <w:sz w:val="22"/>
          <w:szCs w:val="22"/>
          <w:lang w:val="hr-HR"/>
        </w:rPr>
        <w:t xml:space="preserve">. Iznos plaće </w:t>
      </w:r>
      <w:r w:rsidR="00F947BE" w:rsidRPr="001567C8">
        <w:rPr>
          <w:rFonts w:asciiTheme="minorHAnsi" w:hAnsiTheme="minorHAnsi" w:cs="Arial"/>
          <w:b w:val="0"/>
          <w:sz w:val="22"/>
          <w:szCs w:val="22"/>
          <w:lang w:val="hr-HR"/>
        </w:rPr>
        <w:t xml:space="preserve">za Grupu </w:t>
      </w:r>
      <w:r w:rsidRPr="001567C8">
        <w:rPr>
          <w:rFonts w:asciiTheme="minorHAnsi" w:hAnsiTheme="minorHAnsi" w:cs="Arial"/>
          <w:b w:val="0"/>
          <w:sz w:val="22"/>
          <w:szCs w:val="22"/>
          <w:lang w:val="hr-HR"/>
        </w:rPr>
        <w:t xml:space="preserve">u </w:t>
      </w:r>
      <w:r w:rsidR="00A60282" w:rsidRPr="001567C8">
        <w:rPr>
          <w:rFonts w:asciiTheme="minorHAnsi" w:hAnsiTheme="minorHAnsi" w:cs="Arial"/>
          <w:b w:val="0"/>
          <w:sz w:val="22"/>
          <w:szCs w:val="22"/>
          <w:lang w:val="hr-HR"/>
        </w:rPr>
        <w:t>2018</w:t>
      </w:r>
      <w:r w:rsidRPr="001567C8">
        <w:rPr>
          <w:rFonts w:asciiTheme="minorHAnsi" w:hAnsiTheme="minorHAnsi" w:cs="Arial"/>
          <w:b w:val="0"/>
          <w:sz w:val="22"/>
          <w:szCs w:val="22"/>
          <w:lang w:val="hr-HR"/>
        </w:rPr>
        <w:t xml:space="preserve">. godini iznosi </w:t>
      </w:r>
      <w:r w:rsidR="00AD2C37" w:rsidRPr="001567C8">
        <w:rPr>
          <w:rFonts w:asciiTheme="minorHAnsi" w:hAnsiTheme="minorHAnsi" w:cs="Arial"/>
          <w:b w:val="0"/>
          <w:sz w:val="22"/>
          <w:szCs w:val="22"/>
          <w:lang w:val="hr-HR"/>
        </w:rPr>
        <w:t>9.495</w:t>
      </w:r>
      <w:r w:rsidR="00E81087" w:rsidRPr="001567C8">
        <w:rPr>
          <w:rFonts w:asciiTheme="minorHAnsi" w:hAnsiTheme="minorHAnsi" w:cs="Arial"/>
          <w:b w:val="0"/>
          <w:sz w:val="22"/>
          <w:szCs w:val="22"/>
          <w:lang w:val="hr-HR"/>
        </w:rPr>
        <w:t xml:space="preserve"> </w:t>
      </w:r>
      <w:r w:rsidRPr="001567C8">
        <w:rPr>
          <w:rFonts w:asciiTheme="minorHAnsi" w:hAnsiTheme="minorHAnsi" w:cs="Arial"/>
          <w:b w:val="0"/>
          <w:sz w:val="22"/>
          <w:szCs w:val="22"/>
          <w:lang w:val="hr-HR"/>
        </w:rPr>
        <w:t>tisuća kuna</w:t>
      </w:r>
      <w:r w:rsidR="001A0B9D" w:rsidRPr="001567C8">
        <w:rPr>
          <w:rFonts w:asciiTheme="minorHAnsi" w:hAnsiTheme="minorHAnsi" w:cs="Arial"/>
          <w:b w:val="0"/>
          <w:sz w:val="22"/>
          <w:szCs w:val="22"/>
          <w:lang w:val="hr-HR"/>
        </w:rPr>
        <w:t xml:space="preserve"> (</w:t>
      </w:r>
      <w:r w:rsidR="006D377C" w:rsidRPr="001567C8">
        <w:rPr>
          <w:rFonts w:asciiTheme="minorHAnsi" w:hAnsiTheme="minorHAnsi" w:cs="Arial"/>
          <w:b w:val="0"/>
          <w:sz w:val="22"/>
          <w:szCs w:val="22"/>
          <w:lang w:val="hr-HR"/>
        </w:rPr>
        <w:t xml:space="preserve">31. prosinca </w:t>
      </w:r>
      <w:r w:rsidR="001A0B9D" w:rsidRPr="001567C8">
        <w:rPr>
          <w:rFonts w:asciiTheme="minorHAnsi" w:hAnsiTheme="minorHAnsi" w:cs="Arial"/>
          <w:b w:val="0"/>
          <w:sz w:val="22"/>
          <w:szCs w:val="22"/>
          <w:lang w:val="hr-HR"/>
        </w:rPr>
        <w:t>201</w:t>
      </w:r>
      <w:r w:rsidR="00A60282" w:rsidRPr="001567C8">
        <w:rPr>
          <w:rFonts w:asciiTheme="minorHAnsi" w:hAnsiTheme="minorHAnsi" w:cs="Arial"/>
          <w:b w:val="0"/>
          <w:sz w:val="22"/>
          <w:szCs w:val="22"/>
          <w:lang w:val="hr-HR"/>
        </w:rPr>
        <w:t>7</w:t>
      </w:r>
      <w:r w:rsidR="001A0B9D" w:rsidRPr="001567C8">
        <w:rPr>
          <w:rFonts w:asciiTheme="minorHAnsi" w:hAnsiTheme="minorHAnsi" w:cs="Arial"/>
          <w:b w:val="0"/>
          <w:sz w:val="22"/>
          <w:szCs w:val="22"/>
          <w:lang w:val="hr-HR"/>
        </w:rPr>
        <w:t xml:space="preserve">. godine: </w:t>
      </w:r>
      <w:r w:rsidR="00A60282" w:rsidRPr="001567C8">
        <w:rPr>
          <w:rFonts w:asciiTheme="minorHAnsi" w:hAnsiTheme="minorHAnsi" w:cs="Arial"/>
          <w:b w:val="0"/>
          <w:sz w:val="22"/>
          <w:szCs w:val="22"/>
          <w:lang w:val="hr-HR"/>
        </w:rPr>
        <w:t>7.435</w:t>
      </w:r>
      <w:r w:rsidR="00E81087" w:rsidRPr="001567C8">
        <w:rPr>
          <w:rFonts w:asciiTheme="minorHAnsi" w:hAnsiTheme="minorHAnsi" w:cs="Arial"/>
          <w:b w:val="0"/>
          <w:sz w:val="22"/>
          <w:szCs w:val="22"/>
          <w:lang w:val="hr-HR"/>
        </w:rPr>
        <w:t xml:space="preserve"> </w:t>
      </w:r>
      <w:r w:rsidR="001A0B9D" w:rsidRPr="001567C8">
        <w:rPr>
          <w:rFonts w:asciiTheme="minorHAnsi" w:hAnsiTheme="minorHAnsi" w:cs="Arial"/>
          <w:b w:val="0"/>
          <w:sz w:val="22"/>
          <w:szCs w:val="22"/>
          <w:lang w:val="hr-HR"/>
        </w:rPr>
        <w:t>tisuća kuna)</w:t>
      </w:r>
      <w:r w:rsidR="00C0687F" w:rsidRPr="001567C8">
        <w:rPr>
          <w:rFonts w:asciiTheme="minorHAnsi" w:hAnsiTheme="minorHAnsi" w:cs="Arial"/>
          <w:b w:val="0"/>
          <w:sz w:val="22"/>
          <w:szCs w:val="22"/>
          <w:lang w:val="hr-HR"/>
        </w:rPr>
        <w:t>,</w:t>
      </w:r>
      <w:r w:rsidR="00F947BE" w:rsidRPr="001567C8">
        <w:rPr>
          <w:rFonts w:asciiTheme="minorHAnsi" w:hAnsiTheme="minorHAnsi" w:cs="Arial"/>
          <w:b w:val="0"/>
          <w:sz w:val="22"/>
          <w:szCs w:val="22"/>
          <w:lang w:val="hr-HR"/>
        </w:rPr>
        <w:t xml:space="preserve"> a za Banku iznosi </w:t>
      </w:r>
      <w:r w:rsidR="00AD2C37" w:rsidRPr="001567C8">
        <w:rPr>
          <w:rFonts w:asciiTheme="minorHAnsi" w:hAnsiTheme="minorHAnsi" w:cs="Arial"/>
          <w:b w:val="0"/>
          <w:sz w:val="22"/>
          <w:szCs w:val="22"/>
          <w:lang w:val="hr-HR"/>
        </w:rPr>
        <w:t>8.198</w:t>
      </w:r>
      <w:r w:rsidR="00E81087" w:rsidRPr="001567C8">
        <w:rPr>
          <w:rFonts w:asciiTheme="minorHAnsi" w:hAnsiTheme="minorHAnsi" w:cs="Arial"/>
          <w:b w:val="0"/>
          <w:sz w:val="22"/>
          <w:szCs w:val="22"/>
          <w:lang w:val="hr-HR"/>
        </w:rPr>
        <w:t xml:space="preserve"> </w:t>
      </w:r>
      <w:r w:rsidR="00F947BE" w:rsidRPr="001567C8">
        <w:rPr>
          <w:rFonts w:asciiTheme="minorHAnsi" w:hAnsiTheme="minorHAnsi" w:cs="Arial"/>
          <w:b w:val="0"/>
          <w:sz w:val="22"/>
          <w:szCs w:val="22"/>
          <w:lang w:val="hr-HR"/>
        </w:rPr>
        <w:t>tisuć</w:t>
      </w:r>
      <w:r w:rsidR="001A0B9D" w:rsidRPr="001567C8">
        <w:rPr>
          <w:rFonts w:asciiTheme="minorHAnsi" w:hAnsiTheme="minorHAnsi" w:cs="Arial"/>
          <w:b w:val="0"/>
          <w:sz w:val="22"/>
          <w:szCs w:val="22"/>
          <w:lang w:val="hr-HR"/>
        </w:rPr>
        <w:t>a</w:t>
      </w:r>
      <w:r w:rsidR="00F947BE" w:rsidRPr="001567C8">
        <w:rPr>
          <w:rFonts w:asciiTheme="minorHAnsi" w:hAnsiTheme="minorHAnsi" w:cs="Arial"/>
          <w:b w:val="0"/>
          <w:sz w:val="22"/>
          <w:szCs w:val="22"/>
          <w:lang w:val="hr-HR"/>
        </w:rPr>
        <w:t xml:space="preserve"> kuna (</w:t>
      </w:r>
      <w:r w:rsidR="006D377C" w:rsidRPr="001567C8">
        <w:rPr>
          <w:rFonts w:asciiTheme="minorHAnsi" w:hAnsiTheme="minorHAnsi" w:cs="Arial"/>
          <w:b w:val="0"/>
          <w:sz w:val="22"/>
          <w:szCs w:val="22"/>
          <w:lang w:val="hr-HR"/>
        </w:rPr>
        <w:t xml:space="preserve">31. prosinca </w:t>
      </w:r>
      <w:r w:rsidR="00A60282" w:rsidRPr="001567C8">
        <w:rPr>
          <w:rFonts w:asciiTheme="minorHAnsi" w:hAnsiTheme="minorHAnsi" w:cs="Arial"/>
          <w:b w:val="0"/>
          <w:sz w:val="22"/>
          <w:szCs w:val="22"/>
          <w:lang w:val="hr-HR"/>
        </w:rPr>
        <w:t>2017</w:t>
      </w:r>
      <w:r w:rsidR="00F947BE" w:rsidRPr="001567C8">
        <w:rPr>
          <w:rFonts w:asciiTheme="minorHAnsi" w:hAnsiTheme="minorHAnsi" w:cs="Arial"/>
          <w:b w:val="0"/>
          <w:sz w:val="22"/>
          <w:szCs w:val="22"/>
          <w:lang w:val="hr-HR"/>
        </w:rPr>
        <w:t xml:space="preserve">. godine: </w:t>
      </w:r>
      <w:r w:rsidR="00A60282" w:rsidRPr="001567C8">
        <w:rPr>
          <w:rFonts w:asciiTheme="minorHAnsi" w:hAnsiTheme="minorHAnsi" w:cs="Arial"/>
          <w:b w:val="0"/>
          <w:sz w:val="22"/>
          <w:szCs w:val="22"/>
          <w:lang w:val="hr-HR"/>
        </w:rPr>
        <w:t xml:space="preserve">7.033 </w:t>
      </w:r>
      <w:r w:rsidR="00F947BE" w:rsidRPr="001567C8">
        <w:rPr>
          <w:rFonts w:asciiTheme="minorHAnsi" w:hAnsiTheme="minorHAnsi" w:cs="Arial"/>
          <w:b w:val="0"/>
          <w:sz w:val="22"/>
          <w:szCs w:val="22"/>
          <w:lang w:val="hr-HR"/>
        </w:rPr>
        <w:t>tisuća kuna)</w:t>
      </w:r>
      <w:r w:rsidRPr="001567C8">
        <w:rPr>
          <w:rFonts w:asciiTheme="minorHAnsi" w:hAnsiTheme="minorHAnsi" w:cs="Arial"/>
          <w:b w:val="0"/>
          <w:sz w:val="22"/>
          <w:szCs w:val="22"/>
          <w:lang w:val="hr-HR"/>
        </w:rPr>
        <w:t>.</w:t>
      </w:r>
    </w:p>
    <w:p w:rsidR="00725A78" w:rsidRPr="001567C8" w:rsidRDefault="00725A78" w:rsidP="00725A78">
      <w:pPr>
        <w:pStyle w:val="T1"/>
        <w:keepNext w:val="0"/>
        <w:spacing w:before="0" w:after="0" w:line="240" w:lineRule="auto"/>
        <w:rPr>
          <w:rFonts w:asciiTheme="minorHAnsi" w:hAnsiTheme="minorHAnsi" w:cs="Arial"/>
          <w:b w:val="0"/>
          <w:sz w:val="22"/>
          <w:szCs w:val="22"/>
          <w:lang w:val="hr-HR"/>
        </w:rPr>
      </w:pPr>
    </w:p>
    <w:p w:rsidR="00CE39EA" w:rsidRPr="001567C8" w:rsidRDefault="00CE39EA" w:rsidP="00725A78">
      <w:pPr>
        <w:pStyle w:val="T1"/>
        <w:keepNext w:val="0"/>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Nagrade za rad članovima Nadzornog odbora iznosile su </w:t>
      </w:r>
      <w:r w:rsidR="001A0B9D" w:rsidRPr="001567C8">
        <w:rPr>
          <w:rFonts w:asciiTheme="minorHAnsi" w:hAnsiTheme="minorHAnsi" w:cs="Arial"/>
          <w:b w:val="0"/>
          <w:sz w:val="22"/>
          <w:szCs w:val="22"/>
          <w:lang w:val="hr-HR"/>
        </w:rPr>
        <w:t xml:space="preserve">u </w:t>
      </w:r>
      <w:r w:rsidR="00AD2C37" w:rsidRPr="001567C8">
        <w:rPr>
          <w:rFonts w:asciiTheme="minorHAnsi" w:hAnsiTheme="minorHAnsi" w:cs="Arial"/>
          <w:b w:val="0"/>
          <w:sz w:val="22"/>
          <w:szCs w:val="22"/>
          <w:lang w:val="hr-HR"/>
        </w:rPr>
        <w:t>2018</w:t>
      </w:r>
      <w:r w:rsidR="001A0B9D" w:rsidRPr="001567C8">
        <w:rPr>
          <w:rFonts w:asciiTheme="minorHAnsi" w:hAnsiTheme="minorHAnsi" w:cs="Arial"/>
          <w:b w:val="0"/>
          <w:sz w:val="22"/>
          <w:szCs w:val="22"/>
          <w:lang w:val="hr-HR"/>
        </w:rPr>
        <w:t xml:space="preserve">. godini </w:t>
      </w:r>
      <w:r w:rsidRPr="001567C8">
        <w:rPr>
          <w:rFonts w:asciiTheme="minorHAnsi" w:hAnsiTheme="minorHAnsi" w:cs="Arial"/>
          <w:b w:val="0"/>
          <w:sz w:val="22"/>
          <w:szCs w:val="22"/>
          <w:lang w:val="hr-HR"/>
        </w:rPr>
        <w:t xml:space="preserve">za </w:t>
      </w:r>
      <w:r w:rsidR="00F74A2E" w:rsidRPr="001567C8">
        <w:rPr>
          <w:rFonts w:asciiTheme="minorHAnsi" w:hAnsiTheme="minorHAnsi" w:cs="Arial"/>
          <w:b w:val="0"/>
          <w:sz w:val="22"/>
          <w:szCs w:val="22"/>
          <w:lang w:val="hr-HR"/>
        </w:rPr>
        <w:t xml:space="preserve">Grupu </w:t>
      </w:r>
      <w:r w:rsidR="00AD2C37" w:rsidRPr="001567C8">
        <w:rPr>
          <w:rFonts w:asciiTheme="minorHAnsi" w:hAnsiTheme="minorHAnsi" w:cs="Arial"/>
          <w:b w:val="0"/>
          <w:sz w:val="22"/>
          <w:szCs w:val="22"/>
          <w:lang w:val="hr-HR"/>
        </w:rPr>
        <w:t xml:space="preserve">254 </w:t>
      </w:r>
      <w:r w:rsidR="00470865" w:rsidRPr="001567C8">
        <w:rPr>
          <w:rFonts w:asciiTheme="minorHAnsi" w:hAnsiTheme="minorHAnsi" w:cs="Arial"/>
          <w:b w:val="0"/>
          <w:sz w:val="22"/>
          <w:szCs w:val="22"/>
          <w:lang w:val="hr-HR"/>
        </w:rPr>
        <w:t>tisuća kuna (31. prosinca 201</w:t>
      </w:r>
      <w:r w:rsidR="00BB6B1E" w:rsidRPr="001567C8">
        <w:rPr>
          <w:rFonts w:asciiTheme="minorHAnsi" w:hAnsiTheme="minorHAnsi" w:cs="Arial"/>
          <w:b w:val="0"/>
          <w:sz w:val="22"/>
          <w:szCs w:val="22"/>
          <w:lang w:val="hr-HR"/>
        </w:rPr>
        <w:t>7</w:t>
      </w:r>
      <w:r w:rsidR="00470865" w:rsidRPr="001567C8">
        <w:rPr>
          <w:rFonts w:asciiTheme="minorHAnsi" w:hAnsiTheme="minorHAnsi" w:cs="Arial"/>
          <w:b w:val="0"/>
          <w:sz w:val="22"/>
          <w:szCs w:val="22"/>
          <w:lang w:val="hr-HR"/>
        </w:rPr>
        <w:t xml:space="preserve">. godine: </w:t>
      </w:r>
      <w:r w:rsidR="00BB6B1E" w:rsidRPr="001567C8">
        <w:rPr>
          <w:rFonts w:asciiTheme="minorHAnsi" w:hAnsiTheme="minorHAnsi" w:cs="Arial"/>
          <w:b w:val="0"/>
          <w:sz w:val="22"/>
          <w:szCs w:val="22"/>
          <w:lang w:val="hr-HR"/>
        </w:rPr>
        <w:t>287</w:t>
      </w:r>
      <w:r w:rsidR="00470865" w:rsidRPr="001567C8">
        <w:rPr>
          <w:rFonts w:asciiTheme="minorHAnsi" w:hAnsiTheme="minorHAnsi" w:cs="Arial"/>
          <w:b w:val="0"/>
          <w:sz w:val="22"/>
          <w:szCs w:val="22"/>
          <w:lang w:val="hr-HR"/>
        </w:rPr>
        <w:t xml:space="preserve"> tisuća kuna), a </w:t>
      </w:r>
      <w:r w:rsidR="00F74A2E" w:rsidRPr="001567C8">
        <w:rPr>
          <w:rFonts w:asciiTheme="minorHAnsi" w:hAnsiTheme="minorHAnsi" w:cs="Arial"/>
          <w:b w:val="0"/>
          <w:sz w:val="22"/>
          <w:szCs w:val="22"/>
          <w:lang w:val="hr-HR"/>
        </w:rPr>
        <w:t xml:space="preserve">za Banku </w:t>
      </w:r>
      <w:r w:rsidR="00AD2C37" w:rsidRPr="001567C8">
        <w:rPr>
          <w:rFonts w:asciiTheme="minorHAnsi" w:hAnsiTheme="minorHAnsi" w:cs="Arial"/>
          <w:b w:val="0"/>
          <w:sz w:val="22"/>
          <w:szCs w:val="22"/>
          <w:lang w:val="hr-HR"/>
        </w:rPr>
        <w:t xml:space="preserve">119 </w:t>
      </w:r>
      <w:r w:rsidR="00F74A2E" w:rsidRPr="001567C8">
        <w:rPr>
          <w:rFonts w:asciiTheme="minorHAnsi" w:hAnsiTheme="minorHAnsi" w:cs="Arial"/>
          <w:b w:val="0"/>
          <w:sz w:val="22"/>
          <w:szCs w:val="22"/>
          <w:lang w:val="hr-HR"/>
        </w:rPr>
        <w:t>tisuća kuna (</w:t>
      </w:r>
      <w:r w:rsidR="006D377C" w:rsidRPr="001567C8">
        <w:rPr>
          <w:rFonts w:asciiTheme="minorHAnsi" w:hAnsiTheme="minorHAnsi" w:cs="Arial"/>
          <w:b w:val="0"/>
          <w:sz w:val="22"/>
          <w:szCs w:val="22"/>
          <w:lang w:val="hr-HR"/>
        </w:rPr>
        <w:t xml:space="preserve">31. prosinca </w:t>
      </w:r>
      <w:r w:rsidR="00BB6B1E" w:rsidRPr="001567C8">
        <w:rPr>
          <w:rFonts w:asciiTheme="minorHAnsi" w:hAnsiTheme="minorHAnsi" w:cs="Arial"/>
          <w:b w:val="0"/>
          <w:sz w:val="22"/>
          <w:szCs w:val="22"/>
          <w:lang w:val="hr-HR"/>
        </w:rPr>
        <w:t>2017</w:t>
      </w:r>
      <w:r w:rsidR="00F74A2E" w:rsidRPr="001567C8">
        <w:rPr>
          <w:rFonts w:asciiTheme="minorHAnsi" w:hAnsiTheme="minorHAnsi" w:cs="Arial"/>
          <w:b w:val="0"/>
          <w:sz w:val="22"/>
          <w:szCs w:val="22"/>
          <w:lang w:val="hr-HR"/>
        </w:rPr>
        <w:t xml:space="preserve">. godine: </w:t>
      </w:r>
      <w:r w:rsidR="00BB6B1E" w:rsidRPr="001567C8">
        <w:rPr>
          <w:rFonts w:asciiTheme="minorHAnsi" w:hAnsiTheme="minorHAnsi" w:cs="Arial"/>
          <w:b w:val="0"/>
          <w:sz w:val="22"/>
          <w:szCs w:val="22"/>
          <w:lang w:val="hr-HR"/>
        </w:rPr>
        <w:t xml:space="preserve">143 </w:t>
      </w:r>
      <w:r w:rsidR="00F74A2E" w:rsidRPr="001567C8">
        <w:rPr>
          <w:rFonts w:asciiTheme="minorHAnsi" w:hAnsiTheme="minorHAnsi" w:cs="Arial"/>
          <w:b w:val="0"/>
          <w:sz w:val="22"/>
          <w:szCs w:val="22"/>
          <w:lang w:val="hr-HR"/>
        </w:rPr>
        <w:t>tisuća kuna)</w:t>
      </w:r>
      <w:r w:rsidRPr="001567C8">
        <w:rPr>
          <w:rFonts w:asciiTheme="minorHAnsi" w:hAnsiTheme="minorHAnsi" w:cs="Arial"/>
          <w:b w:val="0"/>
          <w:sz w:val="22"/>
          <w:szCs w:val="22"/>
          <w:lang w:val="hr-HR"/>
        </w:rPr>
        <w:t xml:space="preserve"> i odnose se na članove nadzornih odbora u pridruženim društvima </w:t>
      </w:r>
      <w:r w:rsidR="009E10CC" w:rsidRPr="001567C8">
        <w:rPr>
          <w:rFonts w:asciiTheme="minorHAnsi" w:hAnsiTheme="minorHAnsi" w:cs="Arial"/>
          <w:b w:val="0"/>
          <w:sz w:val="22"/>
          <w:szCs w:val="22"/>
          <w:lang w:val="hr-HR"/>
        </w:rPr>
        <w:t xml:space="preserve">i ovisnom društvu </w:t>
      </w:r>
      <w:r w:rsidRPr="001567C8">
        <w:rPr>
          <w:rFonts w:asciiTheme="minorHAnsi" w:hAnsiTheme="minorHAnsi" w:cs="Arial"/>
          <w:b w:val="0"/>
          <w:sz w:val="22"/>
          <w:szCs w:val="22"/>
          <w:lang w:val="hr-HR"/>
        </w:rPr>
        <w:t>koje imenuje HBOR.</w:t>
      </w:r>
      <w:r w:rsidR="00470865" w:rsidRPr="001567C8">
        <w:rPr>
          <w:rFonts w:asciiTheme="minorHAnsi" w:hAnsiTheme="minorHAnsi"/>
          <w:sz w:val="22"/>
          <w:szCs w:val="22"/>
          <w:lang w:val="hr-HR"/>
        </w:rPr>
        <w:t xml:space="preserve"> </w:t>
      </w:r>
    </w:p>
    <w:p w:rsidR="009B544C" w:rsidRPr="001567C8" w:rsidRDefault="009B544C" w:rsidP="00725A78">
      <w:pPr>
        <w:pStyle w:val="T1"/>
        <w:spacing w:before="0" w:after="0" w:line="240" w:lineRule="auto"/>
        <w:rPr>
          <w:rFonts w:asciiTheme="minorHAnsi" w:hAnsiTheme="minorHAnsi" w:cs="Arial"/>
          <w:bCs w:val="0"/>
          <w:sz w:val="22"/>
          <w:szCs w:val="22"/>
          <w:lang w:val="hr-HR"/>
        </w:rPr>
        <w:sectPr w:rsidR="009B544C" w:rsidRPr="001567C8" w:rsidSect="003E2D7A">
          <w:type w:val="continuous"/>
          <w:pgSz w:w="11907" w:h="16840" w:code="9"/>
          <w:pgMar w:top="1418" w:right="1134" w:bottom="1134" w:left="1418" w:header="851" w:footer="851" w:gutter="0"/>
          <w:cols w:space="720"/>
          <w:noEndnote/>
        </w:sectPr>
      </w:pPr>
    </w:p>
    <w:p w:rsidR="006735C2" w:rsidRPr="001567C8" w:rsidRDefault="006735C2" w:rsidP="006735C2">
      <w:pPr>
        <w:pStyle w:val="T1"/>
        <w:spacing w:before="0" w:after="0" w:line="240" w:lineRule="auto"/>
        <w:rPr>
          <w:rFonts w:asciiTheme="minorHAnsi" w:hAnsiTheme="minorHAnsi" w:cs="Arial"/>
          <w:sz w:val="22"/>
          <w:szCs w:val="22"/>
          <w:lang w:val="hr-HR"/>
        </w:rPr>
      </w:pPr>
    </w:p>
    <w:p w:rsidR="006D0890" w:rsidRPr="001567C8" w:rsidRDefault="00B20FD3" w:rsidP="006735C2">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6D0890" w:rsidRPr="001567C8">
        <w:rPr>
          <w:rFonts w:asciiTheme="minorHAnsi" w:hAnsiTheme="minorHAnsi" w:cs="Arial"/>
          <w:sz w:val="22"/>
          <w:szCs w:val="22"/>
          <w:lang w:val="hr-HR"/>
        </w:rPr>
        <w:t>.</w:t>
      </w:r>
      <w:r w:rsidR="006D0890" w:rsidRPr="001567C8">
        <w:rPr>
          <w:rFonts w:asciiTheme="minorHAnsi" w:hAnsiTheme="minorHAnsi" w:cs="Arial"/>
          <w:sz w:val="22"/>
          <w:szCs w:val="22"/>
          <w:lang w:val="hr-HR"/>
        </w:rPr>
        <w:tab/>
        <w:t>Upravljanje rizicima</w:t>
      </w:r>
    </w:p>
    <w:p w:rsidR="006735C2" w:rsidRPr="001567C8" w:rsidRDefault="006735C2" w:rsidP="00E5067B">
      <w:pPr>
        <w:pStyle w:val="T1"/>
        <w:spacing w:before="0" w:after="0" w:line="240" w:lineRule="auto"/>
        <w:rPr>
          <w:rFonts w:asciiTheme="minorHAnsi" w:hAnsiTheme="minorHAnsi" w:cs="Arial"/>
          <w:sz w:val="22"/>
          <w:szCs w:val="22"/>
          <w:lang w:val="hr-HR"/>
        </w:rPr>
      </w:pPr>
    </w:p>
    <w:p w:rsidR="00F72889" w:rsidRPr="001567C8" w:rsidRDefault="00F72889" w:rsidP="00361B04">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Temeljem Zakona o Hrvatskoj banci za obnovu i razvitak, </w:t>
      </w:r>
      <w:r w:rsidR="00BB1E5F" w:rsidRPr="001567C8">
        <w:rPr>
          <w:rFonts w:asciiTheme="minorHAnsi" w:hAnsiTheme="minorHAnsi" w:cs="Arial"/>
          <w:sz w:val="22"/>
          <w:szCs w:val="22"/>
          <w:lang w:val="hr-HR"/>
        </w:rPr>
        <w:t xml:space="preserve">Grupa </w:t>
      </w:r>
      <w:r w:rsidRPr="001567C8">
        <w:rPr>
          <w:rFonts w:asciiTheme="minorHAnsi" w:hAnsiTheme="minorHAnsi" w:cs="Arial"/>
          <w:sz w:val="22"/>
          <w:szCs w:val="22"/>
          <w:lang w:val="hr-HR"/>
        </w:rPr>
        <w:t xml:space="preserve">je dužna rizike u poslovanju svoditi na najmanju mjeru rukovodeći se načelima bankarskog poslovanja. </w:t>
      </w:r>
    </w:p>
    <w:p w:rsidR="005A4073" w:rsidRPr="001567C8" w:rsidRDefault="005A4073" w:rsidP="00361B04">
      <w:pPr>
        <w:pStyle w:val="accountingpolicytitle"/>
        <w:rPr>
          <w:rFonts w:asciiTheme="minorHAnsi" w:hAnsiTheme="minorHAnsi" w:cs="Arial"/>
          <w:b w:val="0"/>
          <w:sz w:val="22"/>
          <w:szCs w:val="22"/>
          <w:lang w:val="hr-HR"/>
        </w:rPr>
      </w:pPr>
    </w:p>
    <w:p w:rsidR="005E75B6" w:rsidRPr="001567C8" w:rsidRDefault="00BB1E5F" w:rsidP="00361B04">
      <w:pPr>
        <w:pStyle w:val="accountingpolicytitle"/>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Grupa </w:t>
      </w:r>
      <w:r w:rsidR="005E75B6" w:rsidRPr="001567C8">
        <w:rPr>
          <w:rFonts w:asciiTheme="minorHAnsi" w:hAnsiTheme="minorHAnsi" w:cs="Arial"/>
          <w:b w:val="0"/>
          <w:sz w:val="22"/>
          <w:szCs w:val="22"/>
          <w:lang w:val="hr-HR"/>
        </w:rPr>
        <w:t>u procesu upravljanja rizicima utvrđuje, procjenjuje, odnosno mjeri, prati</w:t>
      </w:r>
      <w:r w:rsidR="00E56E2F" w:rsidRPr="001567C8">
        <w:rPr>
          <w:rFonts w:asciiTheme="minorHAnsi" w:hAnsiTheme="minorHAnsi" w:cs="Arial"/>
          <w:b w:val="0"/>
          <w:sz w:val="22"/>
          <w:szCs w:val="22"/>
          <w:lang w:val="hr-HR"/>
        </w:rPr>
        <w:t>, ovladava</w:t>
      </w:r>
      <w:r w:rsidR="005E75B6" w:rsidRPr="001567C8">
        <w:rPr>
          <w:rFonts w:asciiTheme="minorHAnsi" w:hAnsiTheme="minorHAnsi" w:cs="Arial"/>
          <w:b w:val="0"/>
          <w:sz w:val="22"/>
          <w:szCs w:val="22"/>
          <w:lang w:val="hr-HR"/>
        </w:rPr>
        <w:t xml:space="preserve"> i kontrolira rizike kojima je u poslovanju izložena ili bi mogla biti izložena te o njima izvještava nadležna tijela. </w:t>
      </w:r>
      <w:r w:rsidR="001B5ACC" w:rsidRPr="001567C8">
        <w:rPr>
          <w:rFonts w:asciiTheme="minorHAnsi" w:hAnsiTheme="minorHAnsi" w:cs="Arial"/>
          <w:b w:val="0"/>
          <w:sz w:val="22"/>
          <w:szCs w:val="22"/>
          <w:lang w:val="hr-HR"/>
        </w:rPr>
        <w:t xml:space="preserve"> </w:t>
      </w:r>
      <w:r w:rsidR="005E75B6" w:rsidRPr="001567C8">
        <w:rPr>
          <w:rFonts w:asciiTheme="minorHAnsi" w:hAnsiTheme="minorHAnsi" w:cs="Arial"/>
          <w:b w:val="0"/>
          <w:sz w:val="22"/>
          <w:szCs w:val="22"/>
          <w:lang w:val="hr-HR"/>
        </w:rPr>
        <w:t xml:space="preserve">Navedenim postupcima, odgovarajućim internim aktima i primjerenom organizacijskom strukturom osiguran je sveobuhvatan i cjelovit sustav upravljanja rizicima.  </w:t>
      </w:r>
    </w:p>
    <w:p w:rsidR="005F446E" w:rsidRPr="001567C8" w:rsidRDefault="005F446E" w:rsidP="00361B04">
      <w:pPr>
        <w:widowControl w:val="0"/>
        <w:jc w:val="both"/>
        <w:rPr>
          <w:rFonts w:asciiTheme="minorHAnsi" w:hAnsiTheme="minorHAnsi" w:cs="Arial"/>
          <w:sz w:val="22"/>
          <w:szCs w:val="22"/>
          <w:lang w:val="hr-HR"/>
        </w:rPr>
      </w:pPr>
    </w:p>
    <w:p w:rsidR="005E75B6" w:rsidRPr="001567C8" w:rsidRDefault="005E75B6" w:rsidP="00361B04">
      <w:pPr>
        <w:widowControl w:val="0"/>
        <w:jc w:val="both"/>
        <w:rPr>
          <w:rFonts w:asciiTheme="minorHAnsi" w:hAnsiTheme="minorHAnsi" w:cs="Arial"/>
          <w:b/>
          <w:sz w:val="22"/>
          <w:szCs w:val="22"/>
          <w:lang w:val="hr-HR"/>
        </w:rPr>
      </w:pPr>
      <w:r w:rsidRPr="001567C8">
        <w:rPr>
          <w:rFonts w:asciiTheme="minorHAnsi" w:hAnsiTheme="minorHAnsi" w:cs="Arial"/>
          <w:sz w:val="22"/>
          <w:szCs w:val="22"/>
          <w:lang w:val="hr-HR"/>
        </w:rPr>
        <w:t>Najznačajnij</w:t>
      </w:r>
      <w:r w:rsidR="00E56E2F" w:rsidRPr="001567C8">
        <w:rPr>
          <w:rFonts w:asciiTheme="minorHAnsi" w:hAnsiTheme="minorHAnsi" w:cs="Arial"/>
          <w:sz w:val="22"/>
          <w:szCs w:val="22"/>
          <w:lang w:val="hr-HR"/>
        </w:rPr>
        <w:t>i</w:t>
      </w:r>
      <w:r w:rsidRPr="001567C8">
        <w:rPr>
          <w:rFonts w:asciiTheme="minorHAnsi" w:hAnsiTheme="minorHAnsi" w:cs="Arial"/>
          <w:sz w:val="22"/>
          <w:szCs w:val="22"/>
          <w:lang w:val="hr-HR"/>
        </w:rPr>
        <w:t xml:space="preserve"> rizi</w:t>
      </w:r>
      <w:r w:rsidR="00E56E2F" w:rsidRPr="001567C8">
        <w:rPr>
          <w:rFonts w:asciiTheme="minorHAnsi" w:hAnsiTheme="minorHAnsi" w:cs="Arial"/>
          <w:sz w:val="22"/>
          <w:szCs w:val="22"/>
          <w:lang w:val="hr-HR"/>
        </w:rPr>
        <w:t>ci</w:t>
      </w:r>
      <w:r w:rsidRPr="001567C8">
        <w:rPr>
          <w:rFonts w:asciiTheme="minorHAnsi" w:hAnsiTheme="minorHAnsi" w:cs="Arial"/>
          <w:sz w:val="22"/>
          <w:szCs w:val="22"/>
          <w:lang w:val="hr-HR"/>
        </w:rPr>
        <w:t xml:space="preserve"> kojima je </w:t>
      </w:r>
      <w:r w:rsidR="006735C2" w:rsidRPr="001567C8">
        <w:rPr>
          <w:rFonts w:asciiTheme="minorHAnsi" w:hAnsiTheme="minorHAnsi" w:cs="Arial"/>
          <w:sz w:val="22"/>
          <w:szCs w:val="22"/>
          <w:lang w:val="hr-HR"/>
        </w:rPr>
        <w:t xml:space="preserve">Grupa </w:t>
      </w:r>
      <w:r w:rsidRPr="001567C8">
        <w:rPr>
          <w:rFonts w:asciiTheme="minorHAnsi" w:hAnsiTheme="minorHAnsi" w:cs="Arial"/>
          <w:sz w:val="22"/>
          <w:szCs w:val="22"/>
          <w:lang w:val="hr-HR"/>
        </w:rPr>
        <w:t>izložena su kreditni rizik, rizik likvidnosti, kamatni rizik</w:t>
      </w:r>
      <w:r w:rsidR="005F446E" w:rsidRPr="001567C8">
        <w:rPr>
          <w:rFonts w:asciiTheme="minorHAnsi" w:hAnsiTheme="minorHAnsi" w:cs="Arial"/>
          <w:sz w:val="22"/>
          <w:szCs w:val="22"/>
          <w:lang w:val="hr-HR"/>
        </w:rPr>
        <w:t xml:space="preserve"> u knjizi banke</w:t>
      </w:r>
      <w:r w:rsidRPr="001567C8">
        <w:rPr>
          <w:rFonts w:asciiTheme="minorHAnsi" w:hAnsiTheme="minorHAnsi" w:cs="Arial"/>
          <w:sz w:val="22"/>
          <w:szCs w:val="22"/>
          <w:lang w:val="hr-HR"/>
        </w:rPr>
        <w:t xml:space="preserve">, valutni rizik, operativni rizik i rizik eksternalizacije. Navedenim rizicima svakodnevno se upravlja temeljem politika, </w:t>
      </w:r>
      <w:r w:rsidR="005F446E" w:rsidRPr="001567C8">
        <w:rPr>
          <w:rFonts w:asciiTheme="minorHAnsi" w:hAnsiTheme="minorHAnsi" w:cs="Arial"/>
          <w:sz w:val="22"/>
          <w:szCs w:val="22"/>
          <w:lang w:val="hr-HR"/>
        </w:rPr>
        <w:t xml:space="preserve">pravilnika, </w:t>
      </w:r>
      <w:r w:rsidRPr="001567C8">
        <w:rPr>
          <w:rFonts w:asciiTheme="minorHAnsi" w:hAnsiTheme="minorHAnsi" w:cs="Arial"/>
          <w:sz w:val="22"/>
          <w:szCs w:val="22"/>
          <w:lang w:val="hr-HR"/>
        </w:rPr>
        <w:t xml:space="preserve">procedura, metodologija i sustava limita te odluka/zaključaka Nadzornog odbora, Uprave i odbora za upravljanje rizicima. </w:t>
      </w:r>
    </w:p>
    <w:p w:rsidR="005A4073" w:rsidRPr="001567C8" w:rsidRDefault="005A4073" w:rsidP="00361B04">
      <w:pPr>
        <w:pStyle w:val="accountingpolicytitle"/>
        <w:rPr>
          <w:rFonts w:asciiTheme="minorHAnsi" w:hAnsiTheme="minorHAnsi"/>
          <w:b w:val="0"/>
          <w:sz w:val="22"/>
          <w:szCs w:val="22"/>
          <w:lang w:val="hr-HR"/>
        </w:rPr>
      </w:pPr>
    </w:p>
    <w:p w:rsidR="005E75B6" w:rsidRPr="001567C8" w:rsidRDefault="006735C2" w:rsidP="00361B04">
      <w:pPr>
        <w:pStyle w:val="accountingpolicytitle"/>
        <w:rPr>
          <w:rFonts w:asciiTheme="minorHAnsi" w:hAnsiTheme="minorHAnsi" w:cs="Arial"/>
          <w:b w:val="0"/>
          <w:sz w:val="22"/>
          <w:szCs w:val="22"/>
          <w:lang w:val="hr-HR"/>
        </w:rPr>
      </w:pPr>
      <w:r w:rsidRPr="001567C8">
        <w:rPr>
          <w:rFonts w:asciiTheme="minorHAnsi" w:hAnsiTheme="minorHAnsi"/>
          <w:b w:val="0"/>
          <w:sz w:val="22"/>
          <w:szCs w:val="22"/>
          <w:lang w:val="hr-HR"/>
        </w:rPr>
        <w:t>Grupa</w:t>
      </w:r>
      <w:r w:rsidR="005E75B6" w:rsidRPr="001567C8">
        <w:rPr>
          <w:rFonts w:asciiTheme="minorHAnsi" w:hAnsiTheme="minorHAnsi"/>
          <w:b w:val="0"/>
          <w:sz w:val="22"/>
          <w:szCs w:val="22"/>
          <w:lang w:val="hr-HR"/>
        </w:rPr>
        <w:t xml:space="preserve"> provodi analize osjetljivosti i analize scenarija pod pretpostavkom promjene jednoga, odnosno više faktora rizika u redovnim i stresnim okolnostima te se kontinuirano r</w:t>
      </w:r>
      <w:r w:rsidR="005E75B6" w:rsidRPr="001567C8">
        <w:rPr>
          <w:rFonts w:asciiTheme="minorHAnsi" w:hAnsiTheme="minorHAnsi" w:cs="Arial"/>
          <w:b w:val="0"/>
          <w:sz w:val="22"/>
          <w:szCs w:val="22"/>
          <w:lang w:val="hr-HR"/>
        </w:rPr>
        <w:t>azvijaju sustavi pro-aktivnog upravljanja rizicima radi smanjenja potencijalnih budućih rizika.</w:t>
      </w:r>
    </w:p>
    <w:p w:rsidR="005A4073" w:rsidRPr="001567C8" w:rsidRDefault="005A4073" w:rsidP="00361B04">
      <w:pPr>
        <w:pStyle w:val="accountingpolicytitle"/>
        <w:rPr>
          <w:rFonts w:asciiTheme="minorHAnsi" w:hAnsiTheme="minorHAnsi" w:cs="Arial"/>
          <w:sz w:val="22"/>
          <w:szCs w:val="22"/>
          <w:lang w:val="hr-HR"/>
        </w:rPr>
      </w:pPr>
    </w:p>
    <w:p w:rsidR="006735C2" w:rsidRPr="001567C8" w:rsidRDefault="006735C2" w:rsidP="006735C2">
      <w:pPr>
        <w:spacing w:line="300" w:lineRule="exact"/>
        <w:jc w:val="both"/>
        <w:rPr>
          <w:rFonts w:ascii="Calibri" w:hAnsi="Calibri" w:cs="Arial"/>
          <w:b/>
          <w:sz w:val="22"/>
          <w:szCs w:val="22"/>
          <w:lang w:val="hr-HR"/>
        </w:rPr>
      </w:pPr>
      <w:r w:rsidRPr="001567C8">
        <w:rPr>
          <w:rFonts w:ascii="Calibri" w:hAnsi="Calibri" w:cs="Arial"/>
          <w:b/>
          <w:sz w:val="22"/>
          <w:szCs w:val="22"/>
          <w:lang w:val="hr-HR"/>
        </w:rPr>
        <w:t>36.1. Pregled najvažnijih rizika</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b/>
          <w:sz w:val="22"/>
          <w:szCs w:val="22"/>
          <w:lang w:val="hr-HR"/>
        </w:rPr>
      </w:pPr>
      <w:r w:rsidRPr="001567C8">
        <w:rPr>
          <w:rFonts w:ascii="Calibri" w:hAnsi="Calibri"/>
          <w:b/>
          <w:sz w:val="22"/>
          <w:szCs w:val="22"/>
          <w:lang w:val="hr-HR"/>
        </w:rPr>
        <w:t xml:space="preserve">Kreditni rizik </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bookmarkStart w:id="62" w:name="_Hlk517963905"/>
      <w:r w:rsidRPr="001567C8">
        <w:rPr>
          <w:rFonts w:ascii="Calibri" w:hAnsi="Calibri"/>
          <w:sz w:val="22"/>
          <w:szCs w:val="22"/>
          <w:lang w:val="hr-HR"/>
        </w:rPr>
        <w:t>Grupa kontrolira kreditni rizik putem kreditnih politika, pravilnika i propisanih procedura rada u kojima su utvrđeni sustavi unutarnjih kontrola s ciljem preventivnog djelovanja na rizik.</w:t>
      </w:r>
    </w:p>
    <w:bookmarkEnd w:id="62"/>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bookmarkStart w:id="63" w:name="_Hlk517961382"/>
      <w:r w:rsidRPr="001567C8">
        <w:rPr>
          <w:rFonts w:ascii="Calibri" w:hAnsi="Calibri"/>
          <w:sz w:val="22"/>
          <w:szCs w:val="22"/>
          <w:lang w:val="hr-HR"/>
        </w:rPr>
        <w:t>Sustav upravljanja kreditnim rizikom čini najvažniji dio poslovne politike HBOR-a i bitan je činitelj njezine strategije poslovanja.</w:t>
      </w:r>
    </w:p>
    <w:bookmarkEnd w:id="63"/>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b/>
          <w:sz w:val="22"/>
          <w:szCs w:val="22"/>
          <w:lang w:val="hr-HR"/>
        </w:rPr>
      </w:pPr>
      <w:bookmarkStart w:id="64" w:name="_Hlk517961445"/>
      <w:r w:rsidRPr="001567C8">
        <w:rPr>
          <w:rFonts w:ascii="Calibri" w:hAnsi="Calibri"/>
          <w:b/>
          <w:sz w:val="22"/>
          <w:szCs w:val="22"/>
          <w:lang w:val="hr-HR"/>
        </w:rPr>
        <w:t>Rizik likvidnosti, valutni rizik i kamatni rizik u knjizi banke</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 xml:space="preserve">Kroz djelovanje Odbora za upravljanje aktivom i pasivom, Grupa osigurava adekvatno upravljanje rizikom likvidnosti te valutnim rizikom i kamatnim rizikom u knjizi banke. Upravljanje ovim rizicima podrazumijeva svođenje kamatnog i valutnog rizika te rizika likvidnosti na najmanju mjeru. Izravnim i neizravnim uključivanjem većine organizacijskih jedinica Grupe u rad Odbora za upravljanje aktivom i pasivom nastoji se osigurati kvalitetan, integriran i sveobuhvatan sustav upravljanja navedenim rizicima. </w:t>
      </w:r>
    </w:p>
    <w:bookmarkEnd w:id="64"/>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b/>
          <w:sz w:val="22"/>
          <w:szCs w:val="22"/>
          <w:lang w:val="hr-HR"/>
        </w:rPr>
      </w:pPr>
      <w:r w:rsidRPr="001567C8">
        <w:rPr>
          <w:rFonts w:ascii="Calibri" w:hAnsi="Calibri"/>
          <w:b/>
          <w:sz w:val="22"/>
          <w:szCs w:val="22"/>
          <w:lang w:val="hr-HR"/>
        </w:rPr>
        <w:t>Rizik likvidnosti</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bookmarkStart w:id="65" w:name="_Hlk517961744"/>
      <w:r w:rsidRPr="001567C8">
        <w:rPr>
          <w:rFonts w:ascii="Calibri" w:hAnsi="Calibri"/>
          <w:sz w:val="22"/>
          <w:szCs w:val="22"/>
          <w:lang w:val="hr-HR"/>
        </w:rPr>
        <w:t xml:space="preserve">Temeljna načela i principi upravljanja rizikom likvidnosti HBOR-a utvrđeni su internim aktima te odlukama i zaključcima Nadzornog odbora, Uprave i Odbora za upravljanje aktivom i pasivom. </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 xml:space="preserve">U svrhu upravljanja rizikom likvidnosti, Grupa je uspostavila sustav limita te prati i kontrolira njihovo poštivanje, održava potrebnu razinu rezerve likvidnosti, kontinuirano prati tekuću i planiranu likvidnost, osigurava dostatna kunska i devizna sredstva potrebna za pravovremeno podmirenje obveza te za isplate po odobrenim kreditima i planiranim odobrenjima kredita. Pri upravljanju rizikom likvidnosti Grupa prati i nastoji postići ročnu usklađenost postojećih i planiranih plasmana i njihovih izvora. Grupa nema depozite građana  te nije izložena  značajnijim dnevnim  oscilacijama likvidnosti. </w:t>
      </w:r>
      <w:bookmarkEnd w:id="65"/>
    </w:p>
    <w:p w:rsidR="006735C2" w:rsidRPr="001567C8" w:rsidRDefault="006735C2" w:rsidP="006735C2">
      <w:pPr>
        <w:rPr>
          <w:rFonts w:ascii="Calibri" w:hAnsi="Calibri"/>
          <w:sz w:val="22"/>
          <w:szCs w:val="22"/>
          <w:lang w:val="hr-HR"/>
        </w:rPr>
        <w:sectPr w:rsidR="006735C2" w:rsidRPr="001567C8" w:rsidSect="003E2D7A">
          <w:pgSz w:w="11907" w:h="16840" w:code="9"/>
          <w:pgMar w:top="1418" w:right="1134" w:bottom="1134" w:left="1418" w:header="851" w:footer="851" w:gutter="0"/>
          <w:cols w:space="720"/>
          <w:noEndnote/>
        </w:sectPr>
      </w:pPr>
    </w:p>
    <w:p w:rsidR="006735C2" w:rsidRPr="001567C8" w:rsidRDefault="006735C2" w:rsidP="006735C2">
      <w:pPr>
        <w:rPr>
          <w:rFonts w:ascii="Calibri" w:hAnsi="Calibri"/>
          <w:sz w:val="22"/>
          <w:szCs w:val="22"/>
          <w:lang w:val="hr-HR"/>
        </w:rPr>
      </w:pPr>
    </w:p>
    <w:p w:rsidR="006735C2" w:rsidRPr="001567C8" w:rsidRDefault="006735C2" w:rsidP="006735C2">
      <w:pPr>
        <w:jc w:val="both"/>
        <w:rPr>
          <w:rFonts w:ascii="Calibri" w:hAnsi="Calibri" w:cs="Arial"/>
          <w:b/>
          <w:sz w:val="22"/>
          <w:szCs w:val="22"/>
          <w:lang w:val="hr-HR"/>
        </w:rPr>
      </w:pPr>
      <w:r w:rsidRPr="001567C8">
        <w:rPr>
          <w:rFonts w:ascii="Calibri" w:hAnsi="Calibri" w:cs="Calibri"/>
          <w:b/>
          <w:sz w:val="22"/>
          <w:szCs w:val="22"/>
          <w:lang w:val="hr-HR" w:eastAsia="hr-HR"/>
        </w:rPr>
        <w:t>36.</w:t>
      </w:r>
      <w:r w:rsidRPr="001567C8">
        <w:rPr>
          <w:rFonts w:ascii="Calibri" w:hAnsi="Calibri" w:cs="Arial"/>
          <w:b/>
          <w:sz w:val="22"/>
          <w:szCs w:val="22"/>
          <w:lang w:val="hr-HR"/>
        </w:rPr>
        <w:tab/>
        <w:t>Upravljanje rizicima (nastavak)</w:t>
      </w:r>
    </w:p>
    <w:p w:rsidR="006735C2" w:rsidRPr="001567C8" w:rsidRDefault="006735C2" w:rsidP="006735C2">
      <w:pPr>
        <w:jc w:val="both"/>
        <w:rPr>
          <w:rFonts w:ascii="Calibri" w:hAnsi="Calibri"/>
          <w:sz w:val="20"/>
          <w:szCs w:val="20"/>
          <w:lang w:val="hr-HR"/>
        </w:rPr>
      </w:pPr>
    </w:p>
    <w:p w:rsidR="006735C2" w:rsidRPr="001567C8" w:rsidRDefault="006735C2" w:rsidP="006735C2">
      <w:pPr>
        <w:spacing w:line="300" w:lineRule="exact"/>
        <w:jc w:val="both"/>
        <w:rPr>
          <w:rFonts w:ascii="Calibri" w:hAnsi="Calibri" w:cs="Arial"/>
          <w:b/>
          <w:sz w:val="22"/>
          <w:szCs w:val="22"/>
          <w:lang w:val="hr-HR"/>
        </w:rPr>
      </w:pPr>
      <w:r w:rsidRPr="001567C8">
        <w:rPr>
          <w:rFonts w:ascii="Calibri" w:hAnsi="Calibri" w:cs="Arial"/>
          <w:b/>
          <w:sz w:val="22"/>
          <w:szCs w:val="22"/>
          <w:lang w:val="hr-HR"/>
        </w:rPr>
        <w:t>36.1. Pregled najvažnijih rizika (nastavak)</w:t>
      </w:r>
    </w:p>
    <w:p w:rsidR="006735C2" w:rsidRPr="001567C8" w:rsidRDefault="006735C2" w:rsidP="006735C2">
      <w:pPr>
        <w:spacing w:line="300" w:lineRule="exact"/>
        <w:jc w:val="both"/>
        <w:rPr>
          <w:rFonts w:ascii="Calibri" w:hAnsi="Calibri" w:cs="Arial"/>
          <w:b/>
          <w:sz w:val="20"/>
          <w:szCs w:val="20"/>
          <w:lang w:val="hr-HR"/>
        </w:rPr>
      </w:pPr>
    </w:p>
    <w:p w:rsidR="006735C2" w:rsidRPr="001567C8" w:rsidRDefault="006735C2" w:rsidP="006735C2">
      <w:pPr>
        <w:jc w:val="both"/>
        <w:rPr>
          <w:rFonts w:ascii="Calibri" w:hAnsi="Calibri"/>
          <w:b/>
          <w:sz w:val="22"/>
          <w:szCs w:val="22"/>
          <w:lang w:val="hr-HR"/>
        </w:rPr>
      </w:pPr>
      <w:r w:rsidRPr="001567C8">
        <w:rPr>
          <w:rFonts w:ascii="Calibri" w:hAnsi="Calibri"/>
          <w:b/>
          <w:sz w:val="22"/>
          <w:szCs w:val="22"/>
          <w:lang w:val="hr-HR"/>
        </w:rPr>
        <w:t>Rizik likvidnosti (nastavak)</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bookmarkStart w:id="66" w:name="_Hlk517961811"/>
      <w:r w:rsidRPr="001567C8">
        <w:rPr>
          <w:rFonts w:ascii="Calibri" w:hAnsi="Calibri"/>
          <w:sz w:val="22"/>
          <w:szCs w:val="22"/>
          <w:lang w:val="hr-HR"/>
        </w:rPr>
        <w:t xml:space="preserve">Praćenje rizika likvidnosti Grupa provodi i kroz analize scenarija i analize osjetljivosti pod pretpostavkom redovnih i stresnih uvjeta poslovanja. Pravilnikom o upravljanju rizikom likvidnosti utvrđeni su i signali ranog upozorenja te postupci u slučaju naznake kao i nastupa krize likvidnosti. </w:t>
      </w:r>
    </w:p>
    <w:p w:rsidR="006735C2" w:rsidRPr="001567C8" w:rsidRDefault="006735C2" w:rsidP="006735C2">
      <w:pPr>
        <w:jc w:val="both"/>
        <w:rPr>
          <w:rFonts w:ascii="Calibri" w:eastAsia="Calibri" w:hAnsi="Calibri" w:cs="Calibri"/>
          <w:b/>
          <w:bCs/>
          <w:spacing w:val="-3"/>
          <w:sz w:val="20"/>
          <w:szCs w:val="20"/>
          <w:lang w:val="hr-HR"/>
        </w:rPr>
      </w:pPr>
    </w:p>
    <w:bookmarkEnd w:id="66"/>
    <w:p w:rsidR="006735C2" w:rsidRPr="001567C8" w:rsidRDefault="006735C2" w:rsidP="006735C2">
      <w:pPr>
        <w:jc w:val="both"/>
        <w:rPr>
          <w:rFonts w:ascii="Calibri" w:hAnsi="Calibri"/>
          <w:b/>
          <w:sz w:val="22"/>
          <w:szCs w:val="22"/>
          <w:lang w:val="hr-HR"/>
        </w:rPr>
      </w:pPr>
      <w:r w:rsidRPr="001567C8">
        <w:rPr>
          <w:rFonts w:ascii="Calibri" w:hAnsi="Calibri"/>
          <w:b/>
          <w:sz w:val="22"/>
          <w:szCs w:val="22"/>
          <w:lang w:val="hr-HR"/>
        </w:rPr>
        <w:t>Kamatni rizik u knjizi banke</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Temeljna načela i principi upravljanja kamatnim rizikom Grupe utvrđeni su internim aktima te odlukama i zaključcima Uprave i Odbora za upravljanje aktivom i pasivom. Za mjerenje i praćenje kamatnog rizika Grupa provodi analizu kamatnog jaza. Kamatni se jaz izrađuje za određena razdoblja prema mogućnosti promjene kamatnih stopa i prikazuje osjetljivost Grupe na promjene kamatnih stopa. Provodi se i detaljna razrada kamatnih stopa po valuti, vrsti i visini kamatne stope te se izrađuju projekcije kretanja prosječnih ponderiranih kamatnih stopa izvora i plasmana. Pored usklađivanja kamatnih stopa izvora i plasmana prate se trenutni tržišni uvjeti i prognoze kretanja osnovnih tržišnih pokazatelja.</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b/>
          <w:sz w:val="22"/>
          <w:szCs w:val="22"/>
          <w:lang w:val="hr-HR"/>
        </w:rPr>
      </w:pPr>
      <w:r w:rsidRPr="001567C8">
        <w:rPr>
          <w:rFonts w:ascii="Calibri" w:hAnsi="Calibri"/>
          <w:b/>
          <w:sz w:val="22"/>
          <w:szCs w:val="22"/>
          <w:lang w:val="hr-HR"/>
        </w:rPr>
        <w:t>Valutni rizik</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 xml:space="preserve">Temeljna načela i principi upravljanja valutnim rizikom HBOR-a utvrđeni su internim aktima te odlukama i zaključcima Uprave i Odbora za upravljanje aktivom i pasivom. Postavljene su metode za mjerenje, odnosno procjenu, praćenje i upravljanje valutnim rizikom, utvrđeni su limiti, postupci u slučaju naznake, kao i nastupa krize te su definirana izvješća potrebna za cjelovito ovladavanje ovim rizikom. </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 xml:space="preserve">Za mjerenje izloženosti valutnom riziku Grupa prati otvorenost devizne pozicije. Osim dnevnog praćenja otvorenosti devizne pozicije i projiciranja njezinog kretanja, Grupa za potrebe procjene i mjerenja valutnog rizika koristi i VaR model kao pomoćni model te redovito izvještava nadležna tijela o najvećim potencijalnim gubicima po značajnim valutama. Provode se analize scenarija i analize osjetljivosti pod pretpostavkom redovnih i stresnih uvjeta poslovanja. </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b/>
          <w:sz w:val="22"/>
          <w:szCs w:val="22"/>
          <w:lang w:val="hr-HR"/>
        </w:rPr>
      </w:pPr>
      <w:r w:rsidRPr="001567C8">
        <w:rPr>
          <w:rFonts w:ascii="Calibri" w:hAnsi="Calibri"/>
          <w:b/>
          <w:sz w:val="22"/>
          <w:szCs w:val="22"/>
          <w:lang w:val="hr-HR"/>
        </w:rPr>
        <w:t xml:space="preserve">Operativni rizik </w:t>
      </w:r>
    </w:p>
    <w:p w:rsidR="006735C2" w:rsidRPr="001567C8" w:rsidRDefault="006735C2" w:rsidP="006735C2">
      <w:pPr>
        <w:jc w:val="both"/>
        <w:rPr>
          <w:rFonts w:ascii="Calibri" w:hAnsi="Calibri"/>
          <w:sz w:val="20"/>
          <w:szCs w:val="20"/>
          <w:lang w:val="hr-HR"/>
        </w:rPr>
      </w:pPr>
    </w:p>
    <w:p w:rsidR="006735C2" w:rsidRPr="001567C8" w:rsidRDefault="006735C2" w:rsidP="006735C2">
      <w:pPr>
        <w:widowControl w:val="0"/>
        <w:jc w:val="both"/>
        <w:rPr>
          <w:rFonts w:ascii="Calibri" w:eastAsia="Calibri" w:hAnsi="Calibri" w:cs="Calibri"/>
          <w:sz w:val="22"/>
          <w:szCs w:val="22"/>
          <w:lang w:val="hr-HR"/>
        </w:rPr>
      </w:pPr>
      <w:r w:rsidRPr="001567C8">
        <w:rPr>
          <w:rFonts w:ascii="Calibri" w:eastAsia="Calibri" w:hAnsi="Calibri" w:cs="Calibri"/>
          <w:sz w:val="22"/>
          <w:szCs w:val="22"/>
          <w:lang w:val="hr-HR"/>
        </w:rPr>
        <w:t xml:space="preserve">Grupa ima uspostavljen okvir za upravljanje operativnim rizikom koji je u značajnoj mjeri usklađen sa regulativom HNB-a primjenjivoj na poslovanje Banke i dobrim bankarskim praksama u dijelu upravljanja rizicima, koji je uveden 2012. godine.  </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Temeljna načela upravljanja operativnim rizikom utvrđena su Politikom upravljanja operativnim rizikom kao krovnim aktom, kojom je uspostavljena struktura upravljanja i odgovornosti u sustavu, utvrđen pristup za izračun kapitalnog zahtjeva za operativni rizik te uspostavljen sustav izvještavanja.</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sectPr w:rsidR="006735C2" w:rsidRPr="001567C8" w:rsidSect="003E2D7A">
          <w:pgSz w:w="11907" w:h="16840" w:code="9"/>
          <w:pgMar w:top="1418" w:right="1134" w:bottom="1134" w:left="1418" w:header="851" w:footer="851" w:gutter="0"/>
          <w:cols w:space="720"/>
          <w:noEndnote/>
        </w:sectPr>
      </w:pPr>
      <w:r w:rsidRPr="001567C8">
        <w:rPr>
          <w:rFonts w:ascii="Calibri" w:hAnsi="Calibri"/>
          <w:sz w:val="22"/>
          <w:szCs w:val="22"/>
          <w:lang w:val="hr-HR"/>
        </w:rPr>
        <w:t>Za praćenje i nadziranje rada informacijskog sustava zadužen je Odbor za upravljanje informacijskim sustavom čiji je cilj upravljanje resursima informacijskog sustava uz uspostavljanje odgovarajuće razine učinkovitosti i sigurnosti informacijskog sustava kako bi se osiguralo, između ostalog, primjereno upravljanje rizicima koji proizlaze iz korištenja informacijske tehnologije. Nadzor nad sigurnošću informacijskog sustava obavlja funkcija sigurnosti informacijskog sustava. U okviru ove funkcije uspostavljen je sustav upravljanja kontinuitetom poslovanja HBOR-a.</w:t>
      </w:r>
    </w:p>
    <w:p w:rsidR="006735C2" w:rsidRPr="001567C8" w:rsidRDefault="006735C2" w:rsidP="006735C2">
      <w:pPr>
        <w:jc w:val="both"/>
        <w:rPr>
          <w:rFonts w:ascii="Calibri" w:hAnsi="Calibri"/>
          <w:sz w:val="22"/>
          <w:szCs w:val="22"/>
          <w:lang w:val="hr-HR"/>
        </w:rPr>
      </w:pPr>
    </w:p>
    <w:p w:rsidR="006735C2" w:rsidRPr="001567C8" w:rsidRDefault="00157F53"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157F53" w:rsidP="006735C2">
      <w:pPr>
        <w:spacing w:line="300" w:lineRule="exact"/>
        <w:jc w:val="both"/>
        <w:rPr>
          <w:rFonts w:ascii="Calibri" w:hAnsi="Calibri" w:cs="Arial"/>
          <w:b/>
          <w:sz w:val="22"/>
          <w:szCs w:val="22"/>
          <w:lang w:val="hr-HR"/>
        </w:rPr>
      </w:pPr>
      <w:r w:rsidRPr="001567C8">
        <w:rPr>
          <w:rFonts w:ascii="Calibri" w:hAnsi="Calibri" w:cs="Arial"/>
          <w:b/>
          <w:sz w:val="22"/>
          <w:szCs w:val="22"/>
          <w:lang w:val="hr-HR"/>
        </w:rPr>
        <w:t>3</w:t>
      </w:r>
      <w:r w:rsidR="006735C2" w:rsidRPr="001567C8">
        <w:rPr>
          <w:rFonts w:ascii="Calibri" w:hAnsi="Calibri" w:cs="Arial"/>
          <w:b/>
          <w:sz w:val="22"/>
          <w:szCs w:val="22"/>
          <w:lang w:val="hr-HR"/>
        </w:rPr>
        <w:t>6.1. Pregled najvažnijih rizika (nastavak)</w:t>
      </w:r>
    </w:p>
    <w:p w:rsidR="006735C2" w:rsidRPr="001567C8" w:rsidRDefault="006735C2" w:rsidP="006735C2">
      <w:pPr>
        <w:jc w:val="both"/>
        <w:rPr>
          <w:rFonts w:ascii="Calibri" w:hAnsi="Calibri"/>
          <w:b/>
          <w:sz w:val="22"/>
          <w:szCs w:val="22"/>
          <w:lang w:val="hr-HR"/>
        </w:rPr>
      </w:pPr>
    </w:p>
    <w:p w:rsidR="006735C2" w:rsidRPr="001567C8" w:rsidRDefault="006735C2" w:rsidP="006735C2">
      <w:pPr>
        <w:jc w:val="both"/>
        <w:rPr>
          <w:rFonts w:ascii="Calibri" w:hAnsi="Calibri"/>
          <w:b/>
          <w:sz w:val="22"/>
          <w:szCs w:val="22"/>
          <w:lang w:val="hr-HR"/>
        </w:rPr>
      </w:pPr>
      <w:r w:rsidRPr="001567C8">
        <w:rPr>
          <w:rFonts w:ascii="Calibri" w:hAnsi="Calibri"/>
          <w:b/>
          <w:sz w:val="22"/>
          <w:szCs w:val="22"/>
          <w:lang w:val="hr-HR"/>
        </w:rPr>
        <w:t>Rizik eksternalizacije</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Grupa upravlja rizikom eksternalizacije temeljem internih akata usklađenih s regulativom HNB-a primjenjivom na Grupu kao posebnu financijsku instituciju. Internim aktima kojima je propisano upravljanje ovim rizikom utvrđeni su postupci provođenja eksternaliziranih aktivnosti, upravljanje odnosima s pružateljima usluga te svođenje rizika na najmanju mjeru.</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 xml:space="preserve">Uspostavljena je centralna evidencija o eksternaliziranim aktivnostima, a o materijalno značajnim eksternalizacijama godišnje se izvještava Uprava i Nadzorni odbor Banke.  </w:t>
      </w:r>
    </w:p>
    <w:p w:rsidR="006735C2" w:rsidRPr="001567C8" w:rsidRDefault="006735C2" w:rsidP="006735C2">
      <w:pPr>
        <w:jc w:val="both"/>
        <w:rPr>
          <w:rFonts w:ascii="Calibri" w:hAnsi="Calibri"/>
          <w:sz w:val="22"/>
          <w:szCs w:val="22"/>
          <w:lang w:val="hr-HR"/>
        </w:rPr>
      </w:pPr>
    </w:p>
    <w:p w:rsidR="006735C2" w:rsidRPr="001567C8" w:rsidRDefault="00D64A2E" w:rsidP="006735C2">
      <w:pPr>
        <w:spacing w:line="300" w:lineRule="exact"/>
        <w:jc w:val="both"/>
        <w:rPr>
          <w:rFonts w:ascii="Calibri" w:hAnsi="Calibri" w:cs="Arial"/>
          <w:b/>
          <w:sz w:val="22"/>
          <w:szCs w:val="22"/>
          <w:lang w:val="hr-HR"/>
        </w:rPr>
      </w:pPr>
      <w:r>
        <w:rPr>
          <w:rFonts w:ascii="Calibri" w:hAnsi="Calibri" w:cs="Arial"/>
          <w:b/>
          <w:sz w:val="22"/>
          <w:szCs w:val="22"/>
          <w:lang w:val="hr-HR"/>
        </w:rPr>
        <w:t>3</w:t>
      </w:r>
      <w:r w:rsidR="006735C2" w:rsidRPr="001567C8">
        <w:rPr>
          <w:rFonts w:ascii="Calibri" w:hAnsi="Calibri" w:cs="Arial"/>
          <w:b/>
          <w:sz w:val="22"/>
          <w:szCs w:val="22"/>
          <w:lang w:val="hr-HR"/>
        </w:rPr>
        <w:t>6.2. Strategija i sustavi upravljanja rizicima</w:t>
      </w:r>
    </w:p>
    <w:p w:rsidR="006735C2" w:rsidRPr="001567C8" w:rsidRDefault="006735C2" w:rsidP="006735C2">
      <w:pPr>
        <w:spacing w:before="120" w:line="300" w:lineRule="exact"/>
        <w:jc w:val="both"/>
        <w:rPr>
          <w:rFonts w:ascii="Calibri" w:hAnsi="Calibri" w:cs="Arial"/>
          <w:sz w:val="22"/>
          <w:szCs w:val="22"/>
          <w:lang w:val="hr-HR"/>
        </w:rPr>
      </w:pPr>
      <w:r w:rsidRPr="001567C8">
        <w:rPr>
          <w:rFonts w:ascii="Calibri" w:hAnsi="Calibri" w:cs="Arial"/>
          <w:b/>
          <w:sz w:val="22"/>
          <w:szCs w:val="22"/>
          <w:lang w:val="hr-HR"/>
        </w:rPr>
        <w:t xml:space="preserve">Nadzorni odbor </w:t>
      </w:r>
      <w:r w:rsidRPr="001567C8">
        <w:rPr>
          <w:rFonts w:ascii="Calibri" w:hAnsi="Calibri" w:cs="Arial"/>
          <w:sz w:val="22"/>
          <w:szCs w:val="22"/>
          <w:lang w:val="hr-HR"/>
        </w:rPr>
        <w:t>odgovoran je za nadgledanje primjerenosti i učinkovitosti procesa upravljanja rizicima u Grupi. Nadzorni odbor donosi Strategiju upravljanja rizicima HBOR-a kojom se uspostavljaju osnovna načela i standardi upravljanja rizicima te se definira sklonost preuzimanju rizika.</w:t>
      </w:r>
    </w:p>
    <w:p w:rsidR="006735C2" w:rsidRPr="001567C8" w:rsidRDefault="006735C2" w:rsidP="006735C2">
      <w:pPr>
        <w:spacing w:before="120" w:line="300" w:lineRule="exact"/>
        <w:jc w:val="both"/>
        <w:rPr>
          <w:rFonts w:ascii="Calibri" w:hAnsi="Calibri" w:cs="Arial"/>
          <w:b/>
          <w:sz w:val="22"/>
          <w:szCs w:val="22"/>
          <w:lang w:val="hr-HR"/>
        </w:rPr>
      </w:pPr>
      <w:r w:rsidRPr="001567C8">
        <w:rPr>
          <w:rFonts w:ascii="Calibri" w:hAnsi="Calibri" w:cs="Arial"/>
          <w:b/>
          <w:sz w:val="22"/>
          <w:szCs w:val="22"/>
          <w:lang w:val="hr-HR"/>
        </w:rPr>
        <w:t xml:space="preserve">Uprava Banke </w:t>
      </w:r>
      <w:r w:rsidRPr="001567C8">
        <w:rPr>
          <w:rFonts w:ascii="Calibri" w:hAnsi="Calibri" w:cs="Arial"/>
          <w:sz w:val="22"/>
          <w:szCs w:val="22"/>
          <w:lang w:val="hr-HR"/>
        </w:rPr>
        <w:t>odgovorna je za provođenje strategije upravljanja rizicima te uspostavljanje učinkovitog i pouzdanog sustava upravljanja svim rizicima. Za potrebu ostvarenja svoje funkcije Uprava je svoja ovlaštenja za upravljanje rizicima delegirala na četiri odbora.</w:t>
      </w:r>
      <w:r w:rsidRPr="001567C8">
        <w:rPr>
          <w:rFonts w:ascii="Calibri" w:hAnsi="Calibri" w:cs="Arial"/>
          <w:b/>
          <w:sz w:val="22"/>
          <w:szCs w:val="22"/>
          <w:lang w:val="hr-HR"/>
        </w:rPr>
        <w:t xml:space="preserve"> </w:t>
      </w:r>
    </w:p>
    <w:p w:rsidR="006735C2" w:rsidRPr="001567C8" w:rsidRDefault="006735C2" w:rsidP="006735C2">
      <w:pPr>
        <w:keepNext/>
        <w:widowControl w:val="0"/>
        <w:tabs>
          <w:tab w:val="left" w:pos="426"/>
        </w:tabs>
        <w:spacing w:before="240" w:line="300" w:lineRule="exact"/>
        <w:rPr>
          <w:rFonts w:ascii="Calibri" w:hAnsi="Calibri"/>
          <w:b/>
          <w:sz w:val="22"/>
          <w:szCs w:val="22"/>
          <w:lang w:val="hr-HR"/>
        </w:rPr>
      </w:pPr>
      <w:r w:rsidRPr="001567C8">
        <w:rPr>
          <w:rFonts w:ascii="Calibri" w:hAnsi="Calibri"/>
          <w:b/>
          <w:sz w:val="22"/>
          <w:szCs w:val="22"/>
          <w:lang w:val="hr-HR"/>
        </w:rPr>
        <w:t>Odbori za upravljanje rizicima</w:t>
      </w:r>
    </w:p>
    <w:p w:rsidR="006735C2" w:rsidRPr="001567C8" w:rsidRDefault="006735C2" w:rsidP="002B5EA8">
      <w:pPr>
        <w:numPr>
          <w:ilvl w:val="0"/>
          <w:numId w:val="21"/>
        </w:numPr>
        <w:spacing w:before="120" w:line="300" w:lineRule="exact"/>
        <w:jc w:val="both"/>
        <w:rPr>
          <w:rFonts w:ascii="Calibri" w:hAnsi="Calibri" w:cs="Arial"/>
          <w:b/>
          <w:sz w:val="22"/>
          <w:szCs w:val="22"/>
          <w:lang w:val="hr-HR"/>
        </w:rPr>
      </w:pPr>
      <w:r w:rsidRPr="001567C8">
        <w:rPr>
          <w:rFonts w:ascii="Calibri" w:hAnsi="Calibri" w:cs="Arial"/>
          <w:b/>
          <w:sz w:val="22"/>
          <w:szCs w:val="22"/>
          <w:lang w:val="hr-HR"/>
        </w:rPr>
        <w:t>Odbor za upravljanje aktivom i pasivom</w:t>
      </w:r>
      <w:r w:rsidRPr="001567C8">
        <w:rPr>
          <w:rFonts w:ascii="Calibri" w:hAnsi="Calibri" w:cs="Arial"/>
          <w:sz w:val="22"/>
          <w:szCs w:val="22"/>
          <w:lang w:val="hr-HR"/>
        </w:rPr>
        <w:t xml:space="preserve"> – upravlja rizikom likvidnosti, kamatnim rizikom u knjizi banke i valutnim rizikom sukladno odredbama: Pravilnika o upravljanju rizikom likvidnosti, Procedura upravljanja valutnim rizikom, Procedura upravljanja kamatnim rizikom, Politika upravljanja aktivom i pasivom te ostalih akata Banke kojima je regulirano ovo područje,</w:t>
      </w:r>
      <w:r w:rsidRPr="001567C8">
        <w:rPr>
          <w:rFonts w:ascii="Calibri" w:hAnsi="Calibri" w:cs="Arial"/>
          <w:b/>
          <w:sz w:val="22"/>
          <w:szCs w:val="22"/>
          <w:lang w:val="hr-HR"/>
        </w:rPr>
        <w:t xml:space="preserve"> </w:t>
      </w:r>
    </w:p>
    <w:p w:rsidR="006735C2" w:rsidRPr="001567C8" w:rsidRDefault="006735C2" w:rsidP="002B5EA8">
      <w:pPr>
        <w:numPr>
          <w:ilvl w:val="0"/>
          <w:numId w:val="21"/>
        </w:numPr>
        <w:spacing w:before="120" w:line="300" w:lineRule="exact"/>
        <w:jc w:val="both"/>
        <w:rPr>
          <w:rFonts w:ascii="Calibri" w:hAnsi="Calibri" w:cs="Arial"/>
          <w:sz w:val="22"/>
          <w:szCs w:val="22"/>
          <w:lang w:val="hr-HR"/>
        </w:rPr>
      </w:pPr>
      <w:r w:rsidRPr="001567C8">
        <w:rPr>
          <w:rFonts w:ascii="Calibri" w:hAnsi="Calibri" w:cs="Arial"/>
          <w:b/>
          <w:sz w:val="22"/>
          <w:szCs w:val="22"/>
          <w:lang w:val="hr-HR"/>
        </w:rPr>
        <w:t xml:space="preserve">Odbor za procjenu i mjerenje kreditnog rizika </w:t>
      </w:r>
      <w:r w:rsidRPr="001567C8">
        <w:rPr>
          <w:rFonts w:ascii="Calibri" w:hAnsi="Calibri" w:cs="Arial"/>
          <w:sz w:val="22"/>
          <w:szCs w:val="22"/>
          <w:lang w:val="hr-HR"/>
        </w:rPr>
        <w:t>– upravlja kreditnim rizikom u okviru propisanih Kreditnih politika, Pravilnika o upravljanju kreditnim rizikom, metodologija, pravilnika i ostalih internih akata koji obuhvaćaju problematiku vezanu uz kreditni rizik,</w:t>
      </w:r>
    </w:p>
    <w:p w:rsidR="006735C2" w:rsidRPr="001567C8" w:rsidRDefault="006735C2" w:rsidP="002B5EA8">
      <w:pPr>
        <w:numPr>
          <w:ilvl w:val="0"/>
          <w:numId w:val="21"/>
        </w:numPr>
        <w:spacing w:before="120" w:line="300" w:lineRule="exact"/>
        <w:jc w:val="both"/>
        <w:rPr>
          <w:rFonts w:ascii="Calibri" w:hAnsi="Calibri" w:cs="Arial"/>
          <w:sz w:val="22"/>
          <w:szCs w:val="22"/>
          <w:lang w:val="hr-HR"/>
        </w:rPr>
      </w:pPr>
      <w:r w:rsidRPr="001567C8">
        <w:rPr>
          <w:rFonts w:ascii="Calibri" w:hAnsi="Calibri" w:cs="Arial"/>
          <w:b/>
          <w:sz w:val="22"/>
          <w:szCs w:val="22"/>
          <w:lang w:val="hr-HR"/>
        </w:rPr>
        <w:t xml:space="preserve">Odbor za upravljanje informacijskim sustavom HBOR-a </w:t>
      </w:r>
      <w:r w:rsidRPr="001567C8">
        <w:rPr>
          <w:rFonts w:ascii="Calibri" w:hAnsi="Calibri" w:cs="Arial"/>
          <w:sz w:val="22"/>
          <w:szCs w:val="22"/>
          <w:lang w:val="hr-HR"/>
        </w:rPr>
        <w:t>– upravlja resursima informacijskog sustava uz primjereno upravljanje rizicima koji proizlaze iz korištenja informacijske tehnologije,</w:t>
      </w:r>
    </w:p>
    <w:p w:rsidR="006735C2" w:rsidRPr="001567C8" w:rsidRDefault="006735C2" w:rsidP="002B5EA8">
      <w:pPr>
        <w:numPr>
          <w:ilvl w:val="0"/>
          <w:numId w:val="21"/>
        </w:numPr>
        <w:spacing w:before="120" w:line="300" w:lineRule="exact"/>
        <w:jc w:val="both"/>
        <w:rPr>
          <w:rFonts w:ascii="Calibri" w:hAnsi="Calibri" w:cs="Arial"/>
          <w:sz w:val="22"/>
          <w:szCs w:val="22"/>
          <w:lang w:val="hr-HR"/>
        </w:rPr>
      </w:pPr>
      <w:r w:rsidRPr="001567C8">
        <w:rPr>
          <w:rFonts w:ascii="Calibri" w:hAnsi="Calibri" w:cs="Arial"/>
          <w:b/>
          <w:sz w:val="22"/>
          <w:szCs w:val="22"/>
          <w:lang w:val="hr-HR"/>
        </w:rPr>
        <w:t xml:space="preserve">Odbor za upravljanje poslovnim promjenama </w:t>
      </w:r>
      <w:r w:rsidRPr="001567C8">
        <w:rPr>
          <w:rFonts w:ascii="Calibri" w:hAnsi="Calibri" w:cs="Arial"/>
          <w:sz w:val="22"/>
          <w:szCs w:val="22"/>
          <w:lang w:val="hr-HR"/>
        </w:rPr>
        <w:t>– upravlja poslovnim promjenama (koordinacija postupaka predlaganja, odobravanja, praćenja i uvođenja poslovnih promjena) s ciljem smanjenja rizika pri uvođenju poslovnih promjena.</w:t>
      </w:r>
    </w:p>
    <w:p w:rsidR="006735C2" w:rsidRPr="001567C8" w:rsidRDefault="006735C2" w:rsidP="006735C2">
      <w:pPr>
        <w:keepNext/>
        <w:widowControl w:val="0"/>
        <w:tabs>
          <w:tab w:val="left" w:pos="426"/>
        </w:tabs>
        <w:spacing w:line="300" w:lineRule="exact"/>
        <w:rPr>
          <w:rFonts w:ascii="Calibri" w:hAnsi="Calibri"/>
          <w:b/>
          <w:sz w:val="22"/>
          <w:szCs w:val="22"/>
          <w:lang w:val="hr-HR"/>
        </w:rPr>
      </w:pPr>
    </w:p>
    <w:p w:rsidR="006735C2" w:rsidRPr="001567C8" w:rsidRDefault="006735C2" w:rsidP="006735C2">
      <w:pPr>
        <w:keepNext/>
        <w:widowControl w:val="0"/>
        <w:tabs>
          <w:tab w:val="left" w:pos="426"/>
        </w:tabs>
        <w:spacing w:line="300" w:lineRule="exact"/>
        <w:rPr>
          <w:rFonts w:ascii="Calibri" w:hAnsi="Calibri"/>
          <w:b/>
          <w:sz w:val="22"/>
          <w:szCs w:val="22"/>
          <w:lang w:val="hr-HR"/>
        </w:rPr>
      </w:pPr>
      <w:r w:rsidRPr="001567C8">
        <w:rPr>
          <w:rFonts w:ascii="Calibri" w:hAnsi="Calibri"/>
          <w:b/>
          <w:sz w:val="22"/>
          <w:szCs w:val="22"/>
          <w:lang w:val="hr-HR"/>
        </w:rPr>
        <w:t>Organizacijska jedinica Upravljanje rizicima</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sectPr w:rsidR="006735C2" w:rsidRPr="001567C8" w:rsidSect="003E2D7A">
          <w:pgSz w:w="11907" w:h="16840" w:code="9"/>
          <w:pgMar w:top="1418" w:right="1134" w:bottom="1134" w:left="1418" w:header="851" w:footer="851" w:gutter="0"/>
          <w:cols w:space="720"/>
          <w:noEndnote/>
        </w:sectPr>
      </w:pPr>
      <w:r w:rsidRPr="001567C8">
        <w:rPr>
          <w:rFonts w:ascii="Calibri" w:hAnsi="Calibri"/>
          <w:sz w:val="22"/>
          <w:szCs w:val="22"/>
          <w:lang w:val="hr-HR"/>
        </w:rPr>
        <w:t xml:space="preserve">Upravljanje rizicima ustrojeno je kao funkcionalno i organizacijski odvojena i neovisna organizacijska jedinica za kontrolu rizika u poslovanju koja je neposredno odgovorna Upravi. Ova organizacijska jedinica odgovorna je za utvrđivanje, procjenu odnosno mjerenje, nadzor i kontrolu rizika kojima je Grupa u svom poslovanju izložena. </w:t>
      </w:r>
    </w:p>
    <w:p w:rsidR="006735C2" w:rsidRPr="001567C8" w:rsidRDefault="006735C2" w:rsidP="006735C2">
      <w:pPr>
        <w:jc w:val="both"/>
        <w:rPr>
          <w:rFonts w:ascii="Calibri" w:hAnsi="Calibri"/>
          <w:sz w:val="22"/>
          <w:szCs w:val="22"/>
          <w:lang w:val="hr-HR"/>
        </w:rPr>
      </w:pPr>
    </w:p>
    <w:p w:rsidR="006735C2" w:rsidRPr="001567C8" w:rsidRDefault="006735C2"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36.</w:t>
      </w:r>
      <w:r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6735C2" w:rsidP="006735C2">
      <w:pPr>
        <w:spacing w:line="300" w:lineRule="exact"/>
        <w:jc w:val="both"/>
        <w:rPr>
          <w:rFonts w:ascii="Calibri" w:hAnsi="Calibri" w:cs="Arial"/>
          <w:b/>
          <w:sz w:val="22"/>
          <w:szCs w:val="22"/>
          <w:lang w:val="hr-HR"/>
        </w:rPr>
      </w:pPr>
      <w:r w:rsidRPr="001567C8">
        <w:rPr>
          <w:rFonts w:ascii="Calibri" w:hAnsi="Calibri" w:cs="Arial"/>
          <w:b/>
          <w:sz w:val="22"/>
          <w:szCs w:val="22"/>
          <w:lang w:val="hr-HR"/>
        </w:rPr>
        <w:t>36.2. Strategija i sustavi upravljanja rizicima (nastavak)</w:t>
      </w:r>
    </w:p>
    <w:p w:rsidR="006735C2" w:rsidRPr="001567C8" w:rsidRDefault="006735C2" w:rsidP="006735C2">
      <w:pPr>
        <w:spacing w:line="300" w:lineRule="exact"/>
        <w:jc w:val="both"/>
        <w:rPr>
          <w:rFonts w:ascii="Calibri" w:hAnsi="Calibri" w:cs="Arial"/>
          <w:b/>
          <w:sz w:val="22"/>
          <w:szCs w:val="22"/>
          <w:lang w:val="hr-HR"/>
        </w:rPr>
      </w:pPr>
    </w:p>
    <w:p w:rsidR="006735C2" w:rsidRPr="001567C8" w:rsidRDefault="006735C2" w:rsidP="006735C2">
      <w:pPr>
        <w:keepNext/>
        <w:widowControl w:val="0"/>
        <w:tabs>
          <w:tab w:val="left" w:pos="426"/>
        </w:tabs>
        <w:spacing w:line="300" w:lineRule="exact"/>
        <w:rPr>
          <w:rFonts w:ascii="Calibri" w:hAnsi="Calibri"/>
          <w:b/>
          <w:sz w:val="22"/>
          <w:szCs w:val="22"/>
          <w:lang w:val="hr-HR"/>
        </w:rPr>
      </w:pPr>
      <w:r w:rsidRPr="001567C8">
        <w:rPr>
          <w:rFonts w:ascii="Calibri" w:hAnsi="Calibri"/>
          <w:b/>
          <w:sz w:val="22"/>
          <w:szCs w:val="22"/>
          <w:lang w:val="hr-HR"/>
        </w:rPr>
        <w:t>Organizacijska jedinica Upravljanje rizicima (nastavak)</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 xml:space="preserve">Svoju funkciju Upravljanje rizicima ostvaruje analizom te procjenom, odnosno mjerenjem rizika, razvojem pravilnika, procedura i metodologija za upravljanje rizicima, nadzorom i praćenjem njihove primjene, predlaganjem i kontrolom poštivanja usvojenih limita izloženosti, davanjem prijedloga i preporuka za primjereno upravljanje rizicima te izvješćivanjem nadležnih tijela. </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Strategija upravljanja rizicima usmjerena je prema postizanju i održavanju kvalitetnog i učinkovitog sustava upravljanja rizicima usklađenog s domaćim i stranim bankarskim praksama te preporukama Hrvatske narodne banke, europske regulative i Bazelskog odbora primjenjivim na Banku kao posebnu financijsku instituciju.</w:t>
      </w:r>
    </w:p>
    <w:p w:rsidR="006735C2" w:rsidRPr="001567C8" w:rsidRDefault="006735C2" w:rsidP="006735C2">
      <w:pPr>
        <w:jc w:val="both"/>
        <w:rPr>
          <w:rFonts w:ascii="Calibri" w:eastAsia="Calibri" w:hAnsi="Calibri" w:cs="Calibri"/>
          <w:b/>
          <w:bCs/>
          <w:spacing w:val="-3"/>
          <w:sz w:val="22"/>
          <w:szCs w:val="22"/>
          <w:lang w:val="hr-HR"/>
        </w:rPr>
      </w:pPr>
    </w:p>
    <w:p w:rsidR="006735C2" w:rsidRPr="001567C8" w:rsidRDefault="006735C2" w:rsidP="006735C2">
      <w:pPr>
        <w:keepNext/>
        <w:widowControl w:val="0"/>
        <w:tabs>
          <w:tab w:val="left" w:pos="426"/>
        </w:tabs>
        <w:spacing w:line="300" w:lineRule="exact"/>
        <w:rPr>
          <w:rFonts w:ascii="Calibri" w:hAnsi="Calibri"/>
          <w:b/>
          <w:sz w:val="22"/>
          <w:szCs w:val="22"/>
          <w:lang w:val="hr-HR"/>
        </w:rPr>
      </w:pPr>
      <w:r w:rsidRPr="001567C8">
        <w:rPr>
          <w:rFonts w:ascii="Calibri" w:hAnsi="Calibri"/>
          <w:b/>
          <w:sz w:val="22"/>
          <w:szCs w:val="22"/>
          <w:lang w:val="hr-HR"/>
        </w:rPr>
        <w:t>Mjerenje rizika i sustavi izvješćivanja</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Pri procjeni, odnosno mjerenju rizika Grupa uvažava povijesne podatke, planove poslovanja, trenutne i očekivane tržišne uvjete te specifičnosti Grupe kao posebne financijske institucije. Rezultati procjene odnosno mjerenja, provedenih analiza te testiranja otpornosti na stres izlažu se na sjednicama odbora</w:t>
      </w:r>
      <w:r w:rsidRPr="001567C8">
        <w:rPr>
          <w:rFonts w:ascii="Arial" w:hAnsi="Arial" w:cs="Arial"/>
          <w:b/>
          <w:sz w:val="19"/>
          <w:szCs w:val="20"/>
          <w:lang w:val="hr-HR"/>
        </w:rPr>
        <w:t xml:space="preserve"> </w:t>
      </w:r>
      <w:r w:rsidRPr="001567C8">
        <w:rPr>
          <w:rFonts w:ascii="Calibri" w:hAnsi="Calibri" w:cs="Arial"/>
          <w:sz w:val="22"/>
          <w:szCs w:val="22"/>
          <w:lang w:val="hr-HR"/>
        </w:rPr>
        <w:t xml:space="preserve">za upravljanje rizicima, Uprave i Nadzornog odbora. U svrhu praćenja i kontrole rizika utvrđeni su sustavi limita za </w:t>
      </w:r>
      <w:r w:rsidRPr="001567C8">
        <w:rPr>
          <w:rFonts w:ascii="Calibri" w:hAnsi="Calibri"/>
          <w:sz w:val="22"/>
          <w:szCs w:val="22"/>
          <w:lang w:val="hr-HR"/>
        </w:rPr>
        <w:t>upravljanje</w:t>
      </w:r>
      <w:r w:rsidRPr="001567C8">
        <w:rPr>
          <w:rFonts w:ascii="Calibri" w:hAnsi="Calibri" w:cs="Arial"/>
          <w:sz w:val="22"/>
          <w:szCs w:val="22"/>
          <w:lang w:val="hr-HR"/>
        </w:rPr>
        <w:t xml:space="preserve"> kreditnim rizikom, rizikom likvidnosti, kamatnim rizikom u knjizi banke i valutnim rizikom. </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Nadležna tijela sustavno su izvještavana o: kvaliteti kreditnog portfelja, velikoj izloženosti i najvišoj dopuštenoj izloženosti, adekvatnosti regulatornog kapitala, naplati potraživanja i rizičnih plasmana, promjenama internih rejtinga poslovnih banaka i poduzetim aktivnostima u slučaju pogoršanja istih, nizu pokazatelja stanja i projekcija likvidnosti, projekcijama otvorenosti devizne pozicije, potencijalnim gubicima po značajnijim valutama, kamatnom jazu, projekcijama prosječnih ponderiranih kamatnih stopa na izvore i plasmane financijskih institucija i sl. Dinamika izvještavanja te metodologije mjerenja i procjene rizika propisani su internim aktima Grupe.</w:t>
      </w:r>
    </w:p>
    <w:p w:rsidR="006735C2" w:rsidRPr="001567C8" w:rsidRDefault="006735C2" w:rsidP="006735C2">
      <w:pPr>
        <w:jc w:val="both"/>
        <w:rPr>
          <w:rFonts w:ascii="Calibri" w:eastAsia="Calibri" w:hAnsi="Calibri" w:cs="Calibri"/>
          <w:b/>
          <w:bCs/>
          <w:spacing w:val="-3"/>
          <w:sz w:val="22"/>
          <w:szCs w:val="22"/>
          <w:lang w:val="hr-HR"/>
        </w:rPr>
      </w:pPr>
    </w:p>
    <w:p w:rsidR="006735C2" w:rsidRPr="001567C8" w:rsidRDefault="006735C2"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 xml:space="preserve">36.3. Kreditni rizik </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Grupa kontrolira kreditni rizik putem kreditnih politika i pravilnika o upravljanju ovim rizikom u kojima su utvrđeni sustavi unutarnjih kontrola s ciljem preventivnog djelovanja.</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 xml:space="preserve">Sustav upravljanja kreditnim rizikom čini najvažniji dio poslovne politike Grupe i bitan je činitelj njezine strategije poslovanja, zbog čega je ovo područje regulirano posebnim aktom – Pravilnikom o upravljanju kreditnim rizikom, koji se primjenjuje na sve faze kreditnog procesa (od razvoja novih bankarskih proizvoda, odnosno od zahtjeva za kredit, praćenja poslovanja klijenta do konačne otplate kredita). </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Pravilnik o upravljanju kreditnim rizikom je sveobuhvatan dokument koji obuhvaća i metodologije, namijenjene ocjeni poslovanja različitih ciljanih skupina klijenata.</w:t>
      </w:r>
    </w:p>
    <w:p w:rsidR="006735C2" w:rsidRPr="001567C8" w:rsidRDefault="006735C2" w:rsidP="006735C2">
      <w:pPr>
        <w:jc w:val="both"/>
        <w:rPr>
          <w:rFonts w:ascii="Calibri" w:hAnsi="Calibri"/>
          <w:sz w:val="22"/>
          <w:szCs w:val="22"/>
          <w:lang w:val="hr-HR"/>
        </w:rPr>
        <w:sectPr w:rsidR="006735C2" w:rsidRPr="001567C8" w:rsidSect="003E2D7A">
          <w:pgSz w:w="11907" w:h="16840" w:code="9"/>
          <w:pgMar w:top="1418" w:right="1134" w:bottom="1134" w:left="1418" w:header="851" w:footer="851" w:gutter="0"/>
          <w:cols w:space="720"/>
          <w:noEndnote/>
        </w:sectPr>
      </w:pPr>
    </w:p>
    <w:p w:rsidR="006735C2" w:rsidRPr="001567C8" w:rsidRDefault="006735C2" w:rsidP="006735C2">
      <w:pPr>
        <w:jc w:val="both"/>
        <w:rPr>
          <w:rFonts w:ascii="Calibri" w:hAnsi="Calibri"/>
          <w:sz w:val="22"/>
          <w:szCs w:val="22"/>
          <w:lang w:val="hr-HR"/>
        </w:rPr>
      </w:pPr>
    </w:p>
    <w:p w:rsidR="006735C2" w:rsidRPr="001567C8" w:rsidRDefault="006735C2"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36.</w:t>
      </w:r>
      <w:r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6735C2"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36.3. Kreditni rizik (nastavak)</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U slučaju izravnog kreditiranja, Grupa se za ocjenjivanje kreditne sposobnosti koristi Metodologijom za ocjenu kreditnog rizika (za kredite iznad 1.500 tisuća kuna) ili Metodologijom kreditnog bodovanja (za kredite ispod 1.500 tisuća kuna). Metodologija kreditnog bodovanja služi za ocjenu kreditne sposobnosti klijenata koji pripadaju „malom portfelju“, a sadrži pet modela bodovanja: plasmani do 300 tisuća kuna za trgovačka društva, obrtnike i poljoprivrednike, plasmani početnicima do 300 tisuća kuna, plasmani od 300 tisuća do 1.500 tisuća kuna za trgovačka društva, plasmani početnicima od 300 tisuća do 1.500 tisuća kuna i plasmani od 300 tisuća do 1.500 tisuća za sve ostale poduzetnike.</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Metodologija za ocjenu kreditnog rejtinga se koristi za ocjenu rizika klijenata koji pripadaju portfelju individualno značajnih klijenata odnosno za kredite iznad 1.500 tisuća kuna. Ocjena rizika može biti sadržana u ocjeni kreditne sposobnosti klijenta, ocjeni uspješnosti investicijskog projekta i ocjeni kreditne sposobnosti klijenta s analizom budućeg poslovanja.</w:t>
      </w:r>
    </w:p>
    <w:p w:rsidR="006735C2" w:rsidRPr="001567C8" w:rsidRDefault="006735C2" w:rsidP="006735C2">
      <w:pPr>
        <w:jc w:val="both"/>
        <w:rPr>
          <w:rFonts w:ascii="Calibri" w:eastAsia="Calibri" w:hAnsi="Calibri" w:cs="Calibri"/>
          <w:b/>
          <w:bCs/>
          <w:spacing w:val="-3"/>
          <w:sz w:val="22"/>
          <w:szCs w:val="22"/>
          <w:lang w:val="hr-HR"/>
        </w:rPr>
      </w:pPr>
    </w:p>
    <w:p w:rsidR="006735C2" w:rsidRPr="001567C8" w:rsidRDefault="006735C2" w:rsidP="006735C2">
      <w:pPr>
        <w:jc w:val="both"/>
        <w:rPr>
          <w:rFonts w:ascii="Calibri" w:hAnsi="Calibri" w:cs="Arial"/>
          <w:b/>
          <w:sz w:val="19"/>
          <w:szCs w:val="20"/>
          <w:lang w:val="hr-HR"/>
        </w:rPr>
      </w:pPr>
      <w:r w:rsidRPr="001567C8">
        <w:rPr>
          <w:rFonts w:ascii="Calibri" w:hAnsi="Calibri" w:cs="Arial"/>
          <w:sz w:val="22"/>
          <w:szCs w:val="22"/>
          <w:lang w:val="hr-HR"/>
        </w:rPr>
        <w:t xml:space="preserve">Sukladno Zakonu o HBOR-u Grupa dio svojih plasmana odobrava putem poslovnih banaka i leasing društava pri čemu se za ocjenu banaka primjenjuju </w:t>
      </w:r>
      <w:r w:rsidRPr="001567C8">
        <w:rPr>
          <w:rFonts w:ascii="Calibri" w:hAnsi="Calibri"/>
          <w:sz w:val="22"/>
          <w:szCs w:val="22"/>
          <w:lang w:val="hr-HR"/>
        </w:rPr>
        <w:t>Metodologija za ocjenu i odabir banaka i Metodologija za ocjenu i odabir inozemnih banaka, a za ocjenu leasing društava Metodologija za ocjenu i odabir leasing društava. Radi lakše dostupnosti sredstava HBOR-a, dio svojih plasmana Grupa plasira po modelu podjele rizika prema kojem u financiranju klijenata sudjeluje poslovna banka i HBOR u unaprijed dogovorenim omjerima financiranja.</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Grupa kao razvojna financijska institucija podupire rast i razvoj hrvatskog gospodarstva kroz investicijsko ulaganje. Iz tog razloga klijenti se najčešće javljaju Grupi sa zahtjevima za kreditno praćenje razvojnih investicijskih projekata. Kako bi se rizik sveo na najmanju mjeru i što objektivnije procijenilo koji projekti su ekonomski održivi te osiguravaju povrat uloženog, Grupa stalno unapređuje postojeća organizacijsko-tehnološka rješenja, izvještaje i akte te daje prijedloge novih organizacijskih propisa i provedbenih uputa.</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Stalnim praćenjem i ocjenjivanjem poslovanja klijenata nastoje se pravovremeno uočiti poteškoće u njihovom poslovanju. Kod klijenata koji su suočeni s problemima Grupa pronalazi primjerene načine naplate potraživanja sagledavajući mogućnosti novih uvjeta otplate potraživanja s ciljem nastavka proizvodnog procesa i povećanja zapošljavanja. Posebno se uočavaju i prate uzroci loših plasmana te se postupci za njihovu prevenciju ugrađuju u procedure rada u svrhu smanjenja udjela rizičnih plasmana Grupe.</w:t>
      </w:r>
    </w:p>
    <w:p w:rsidR="006735C2" w:rsidRPr="001567C8" w:rsidRDefault="006735C2" w:rsidP="006735C2">
      <w:pPr>
        <w:jc w:val="both"/>
        <w:rPr>
          <w:rFonts w:ascii="Calibri" w:hAnsi="Calibri" w:cs="Arial"/>
          <w:sz w:val="22"/>
          <w:szCs w:val="22"/>
          <w:lang w:val="hr-HR"/>
        </w:rPr>
        <w:sectPr w:rsidR="006735C2" w:rsidRPr="001567C8" w:rsidSect="003E2D7A">
          <w:pgSz w:w="11907" w:h="16840" w:code="9"/>
          <w:pgMar w:top="1418" w:right="1134" w:bottom="1134" w:left="1418" w:header="851" w:footer="851" w:gutter="0"/>
          <w:cols w:space="720"/>
          <w:noEndnote/>
        </w:sectPr>
      </w:pPr>
    </w:p>
    <w:p w:rsidR="006735C2" w:rsidRPr="001567C8" w:rsidRDefault="006735C2" w:rsidP="006735C2">
      <w:pPr>
        <w:jc w:val="both"/>
        <w:rPr>
          <w:rFonts w:ascii="Calibri" w:hAnsi="Calibri" w:cs="Arial"/>
          <w:sz w:val="22"/>
          <w:szCs w:val="22"/>
          <w:lang w:val="hr-HR"/>
        </w:rPr>
      </w:pPr>
    </w:p>
    <w:p w:rsidR="006735C2" w:rsidRPr="001567C8" w:rsidRDefault="006735C2"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36.</w:t>
      </w:r>
      <w:r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6735C2"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36.3. Kreditni rizik (nastavak)</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U svrhu praćenja i kontrole rizika utvrđeni su sustavi limita za upravljanje kreditnim rizikom.</w:t>
      </w:r>
      <w:r w:rsidRPr="001567C8">
        <w:rPr>
          <w:rFonts w:ascii="Calibri" w:hAnsi="Calibri"/>
          <w:b/>
          <w:sz w:val="22"/>
          <w:szCs w:val="22"/>
          <w:lang w:val="hr-HR"/>
        </w:rPr>
        <w:t xml:space="preserve"> </w:t>
      </w:r>
      <w:r w:rsidRPr="001567C8">
        <w:rPr>
          <w:rFonts w:ascii="Calibri" w:hAnsi="Calibri" w:cs="Arial"/>
          <w:sz w:val="22"/>
          <w:szCs w:val="22"/>
          <w:lang w:val="hr-HR"/>
        </w:rPr>
        <w:t>Utvrđeni su limiti velike izloženosti i maksimalno dozvoljeni iznos kreditne izloženosti prema pojedinom korisniku i s njim povezanim osobama.</w:t>
      </w:r>
    </w:p>
    <w:p w:rsidR="006735C2" w:rsidRPr="001567C8" w:rsidRDefault="006735C2" w:rsidP="006735C2">
      <w:pPr>
        <w:jc w:val="both"/>
        <w:rPr>
          <w:rFonts w:ascii="Calibri" w:eastAsia="Calibri" w:hAnsi="Calibri" w:cs="Calibri"/>
          <w:b/>
          <w:bCs/>
          <w:spacing w:val="-3"/>
          <w:sz w:val="22"/>
          <w:szCs w:val="22"/>
          <w:lang w:val="hr-HR"/>
        </w:rPr>
      </w:pPr>
    </w:p>
    <w:p w:rsidR="006735C2" w:rsidRPr="001567C8" w:rsidRDefault="006735C2"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36.3.1. Rizik povezan s kreditnim odobrenjima</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Klijentima banke omogućeno je izdavanje garancija i akreditiva s odgođenim polaganjem pokrića (pokriće je moguće i iz kredita), po identičnoj proceduri koja je propisana za izravne klijente kod odobravanja kredita.</w:t>
      </w:r>
    </w:p>
    <w:p w:rsidR="006735C2" w:rsidRPr="001567C8" w:rsidRDefault="006735C2" w:rsidP="006735C2">
      <w:pPr>
        <w:jc w:val="both"/>
        <w:rPr>
          <w:rFonts w:ascii="Calibri" w:hAnsi="Calibri"/>
          <w:sz w:val="22"/>
          <w:szCs w:val="22"/>
          <w:lang w:val="hr-HR"/>
        </w:rPr>
      </w:pPr>
    </w:p>
    <w:p w:rsidR="006735C2" w:rsidRPr="001567C8" w:rsidRDefault="006735C2" w:rsidP="006735C2">
      <w:pPr>
        <w:tabs>
          <w:tab w:val="left" w:pos="2694"/>
        </w:tabs>
        <w:jc w:val="both"/>
        <w:rPr>
          <w:rFonts w:ascii="Calibri" w:hAnsi="Calibri"/>
          <w:sz w:val="22"/>
          <w:szCs w:val="22"/>
          <w:lang w:val="hr-HR"/>
        </w:rPr>
      </w:pPr>
      <w:r w:rsidRPr="001567C8">
        <w:rPr>
          <w:rFonts w:ascii="Calibri" w:hAnsi="Calibri"/>
          <w:sz w:val="22"/>
          <w:szCs w:val="22"/>
          <w:lang w:val="hr-HR"/>
        </w:rPr>
        <w:t>Sve garancije prate se prema rokovima važnosti, a akreditivi s odgođenim polaganjem pokrića prema dospijećima. Ukoliko dođe do poziva za plaćanje Grupa je obvezna izvršiti plaćanje u ime klijenta. Takve obveze Grupu izlažu rizicima koji su slični kreditnima, a umanjuju se istim postupcima koji se primjenjuju na kredite.</w:t>
      </w:r>
    </w:p>
    <w:p w:rsidR="006735C2" w:rsidRPr="001567C8" w:rsidRDefault="006735C2" w:rsidP="006735C2">
      <w:pPr>
        <w:jc w:val="both"/>
        <w:rPr>
          <w:rFonts w:ascii="Calibri" w:eastAsia="Calibri" w:hAnsi="Calibri" w:cs="Calibri"/>
          <w:b/>
          <w:bCs/>
          <w:spacing w:val="-3"/>
          <w:sz w:val="22"/>
          <w:szCs w:val="22"/>
          <w:lang w:val="hr-HR"/>
        </w:rPr>
      </w:pPr>
    </w:p>
    <w:p w:rsidR="006735C2" w:rsidRPr="001567C8" w:rsidRDefault="006735C2" w:rsidP="006735C2">
      <w:pPr>
        <w:spacing w:line="300" w:lineRule="exact"/>
        <w:jc w:val="both"/>
        <w:rPr>
          <w:rFonts w:ascii="Calibri" w:eastAsia="Calibri" w:hAnsi="Calibri" w:cs="Arial"/>
          <w:b/>
          <w:sz w:val="22"/>
          <w:szCs w:val="22"/>
          <w:lang w:val="hr-HR"/>
        </w:rPr>
      </w:pPr>
      <w:r w:rsidRPr="001567C8">
        <w:rPr>
          <w:rFonts w:ascii="Calibri" w:eastAsia="Calibri" w:hAnsi="Calibri" w:cs="Arial"/>
          <w:b/>
          <w:sz w:val="22"/>
          <w:szCs w:val="22"/>
          <w:lang w:val="hr-HR"/>
        </w:rPr>
        <w:t>36.3.2. Procjena umanjenja vrijednosti (Metodologija za umanjenje vrijednosti financijskih</w:t>
      </w:r>
      <w:r w:rsidRPr="001567C8">
        <w:rPr>
          <w:rFonts w:ascii="Calibri" w:eastAsia="Calibri" w:hAnsi="Calibri" w:cs="Arial"/>
          <w:sz w:val="22"/>
          <w:szCs w:val="22"/>
          <w:lang w:val="hr-HR"/>
        </w:rPr>
        <w:t xml:space="preserve"> </w:t>
      </w:r>
      <w:r w:rsidRPr="001567C8">
        <w:rPr>
          <w:rFonts w:ascii="Calibri" w:eastAsia="Calibri" w:hAnsi="Calibri" w:cs="Arial"/>
          <w:b/>
          <w:sz w:val="22"/>
          <w:szCs w:val="22"/>
          <w:lang w:val="hr-HR"/>
        </w:rPr>
        <w:t>instrumenata u primjeni od 1. siječnja 2018.)</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Umanjenje vrijednosti formira se u skladu s Međunarodnim standardom financijskog izvještavanja 9, aktima HNB-a primjenjivim na HBOR i pravilnicima i metodologijama rada Grupe.</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S obzirom na procijenjenu razinu kreditnog rizika te način izračuna očekivanih kreditnih gubitaka, klijenti se razvrstavaju u sljedeće kategorije:</w:t>
      </w:r>
      <w:bookmarkStart w:id="67" w:name="_Hlk498950823"/>
    </w:p>
    <w:bookmarkEnd w:id="67"/>
    <w:p w:rsidR="006735C2" w:rsidRPr="001567C8" w:rsidRDefault="006735C2" w:rsidP="002B5EA8">
      <w:pPr>
        <w:numPr>
          <w:ilvl w:val="0"/>
          <w:numId w:val="22"/>
        </w:numPr>
        <w:jc w:val="both"/>
        <w:rPr>
          <w:rFonts w:ascii="Calibri" w:hAnsi="Calibri"/>
          <w:sz w:val="22"/>
          <w:szCs w:val="22"/>
          <w:lang w:val="hr-HR"/>
        </w:rPr>
      </w:pPr>
      <w:r w:rsidRPr="001567C8">
        <w:rPr>
          <w:rFonts w:ascii="Calibri" w:hAnsi="Calibri"/>
          <w:sz w:val="22"/>
          <w:szCs w:val="22"/>
          <w:lang w:val="hr-HR"/>
        </w:rPr>
        <w:t>1. stupanj - obuhvaća sve klijente niskog kreditnog rizika i klijente kod kojih je procijenjeno da nije došlo do značajnog povećanja kreditnog rizika,</w:t>
      </w:r>
    </w:p>
    <w:p w:rsidR="006735C2" w:rsidRPr="001567C8" w:rsidRDefault="006735C2" w:rsidP="002B5EA8">
      <w:pPr>
        <w:numPr>
          <w:ilvl w:val="0"/>
          <w:numId w:val="22"/>
        </w:numPr>
        <w:jc w:val="both"/>
        <w:rPr>
          <w:rFonts w:ascii="Calibri" w:hAnsi="Calibri"/>
          <w:sz w:val="22"/>
          <w:szCs w:val="22"/>
          <w:lang w:val="hr-HR"/>
        </w:rPr>
      </w:pPr>
      <w:r w:rsidRPr="001567C8">
        <w:rPr>
          <w:rFonts w:ascii="Calibri" w:hAnsi="Calibri"/>
          <w:sz w:val="22"/>
          <w:szCs w:val="22"/>
          <w:lang w:val="hr-HR"/>
        </w:rPr>
        <w:t>2. stupanj - obuhvaća sve klijent</w:t>
      </w:r>
      <w:r w:rsidR="00710EE9" w:rsidRPr="001567C8">
        <w:rPr>
          <w:rFonts w:ascii="Calibri" w:hAnsi="Calibri"/>
          <w:sz w:val="22"/>
          <w:szCs w:val="22"/>
          <w:lang w:val="hr-HR"/>
        </w:rPr>
        <w:t>e</w:t>
      </w:r>
      <w:r w:rsidRPr="001567C8">
        <w:rPr>
          <w:rFonts w:ascii="Calibri" w:hAnsi="Calibri"/>
          <w:sz w:val="22"/>
          <w:szCs w:val="22"/>
          <w:lang w:val="hr-HR"/>
        </w:rPr>
        <w:t xml:space="preserve"> kod koj</w:t>
      </w:r>
      <w:r w:rsidR="00A716BC" w:rsidRPr="001567C8">
        <w:rPr>
          <w:rFonts w:ascii="Calibri" w:hAnsi="Calibri"/>
          <w:sz w:val="22"/>
          <w:szCs w:val="22"/>
          <w:lang w:val="hr-HR"/>
        </w:rPr>
        <w:t>ih</w:t>
      </w:r>
      <w:r w:rsidRPr="001567C8">
        <w:rPr>
          <w:rFonts w:ascii="Calibri" w:hAnsi="Calibri"/>
          <w:sz w:val="22"/>
          <w:szCs w:val="22"/>
          <w:lang w:val="hr-HR"/>
        </w:rPr>
        <w:t xml:space="preserve"> je došlo do značajnog povećanja kreditnog rizika nakon početnog priznavanja,</w:t>
      </w:r>
    </w:p>
    <w:p w:rsidR="006735C2" w:rsidRPr="001567C8" w:rsidRDefault="006735C2" w:rsidP="002B5EA8">
      <w:pPr>
        <w:numPr>
          <w:ilvl w:val="0"/>
          <w:numId w:val="22"/>
        </w:numPr>
        <w:jc w:val="both"/>
        <w:rPr>
          <w:rFonts w:ascii="Calibri" w:hAnsi="Calibri"/>
          <w:sz w:val="22"/>
          <w:szCs w:val="22"/>
          <w:lang w:val="hr-HR"/>
        </w:rPr>
      </w:pPr>
      <w:r w:rsidRPr="001567C8">
        <w:rPr>
          <w:rFonts w:ascii="Calibri" w:hAnsi="Calibri"/>
          <w:sz w:val="22"/>
          <w:szCs w:val="22"/>
          <w:lang w:val="hr-HR"/>
        </w:rPr>
        <w:t>3. stupanj - obuhvaća klijente u statusu neispunjavanja obveza odnosno klijente kod kojih postoje objektivni dokazi o umanjenju vrijednosti te kupljenu ili stvorenu kreditno umanjenu financijsku imovinu (eng. Purchased or originated credit impaired asset, POCI).</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Tijekom ugovornog odnosa s klijentom procjenjuje se razina očekivanih kreditnih gubitaka klijenta. Procjena se provodi praćenjem slijedeća tri kriterija:</w:t>
      </w:r>
    </w:p>
    <w:p w:rsidR="006735C2" w:rsidRPr="001567C8" w:rsidRDefault="006735C2" w:rsidP="002B5EA8">
      <w:pPr>
        <w:numPr>
          <w:ilvl w:val="0"/>
          <w:numId w:val="23"/>
        </w:numPr>
        <w:jc w:val="both"/>
        <w:rPr>
          <w:rFonts w:ascii="Calibri" w:hAnsi="Calibri"/>
          <w:sz w:val="22"/>
          <w:szCs w:val="22"/>
          <w:lang w:val="hr-HR"/>
        </w:rPr>
      </w:pPr>
      <w:r w:rsidRPr="001567C8">
        <w:rPr>
          <w:rFonts w:ascii="Calibri" w:hAnsi="Calibri"/>
          <w:sz w:val="22"/>
          <w:szCs w:val="22"/>
          <w:lang w:val="hr-HR"/>
        </w:rPr>
        <w:t>kreditne sposobnosti dužnika</w:t>
      </w:r>
    </w:p>
    <w:p w:rsidR="006735C2" w:rsidRPr="001567C8" w:rsidRDefault="006735C2" w:rsidP="002B5EA8">
      <w:pPr>
        <w:numPr>
          <w:ilvl w:val="0"/>
          <w:numId w:val="23"/>
        </w:numPr>
        <w:jc w:val="both"/>
        <w:rPr>
          <w:rFonts w:ascii="Calibri" w:hAnsi="Calibri"/>
          <w:sz w:val="22"/>
          <w:szCs w:val="22"/>
          <w:lang w:val="hr-HR"/>
        </w:rPr>
      </w:pPr>
      <w:r w:rsidRPr="001567C8">
        <w:rPr>
          <w:rFonts w:ascii="Calibri" w:hAnsi="Calibri"/>
          <w:sz w:val="22"/>
          <w:szCs w:val="22"/>
          <w:lang w:val="hr-HR"/>
        </w:rPr>
        <w:t>urednosti podmirivanja obveza i</w:t>
      </w:r>
    </w:p>
    <w:p w:rsidR="006735C2" w:rsidRPr="001567C8" w:rsidRDefault="006735C2" w:rsidP="002B5EA8">
      <w:pPr>
        <w:numPr>
          <w:ilvl w:val="0"/>
          <w:numId w:val="23"/>
        </w:numPr>
        <w:jc w:val="both"/>
        <w:rPr>
          <w:rFonts w:ascii="Calibri" w:hAnsi="Calibri"/>
          <w:sz w:val="22"/>
          <w:szCs w:val="22"/>
          <w:lang w:val="hr-HR"/>
        </w:rPr>
      </w:pPr>
      <w:r w:rsidRPr="001567C8">
        <w:rPr>
          <w:rFonts w:ascii="Calibri" w:hAnsi="Calibri"/>
          <w:sz w:val="22"/>
          <w:szCs w:val="22"/>
          <w:lang w:val="hr-HR"/>
        </w:rPr>
        <w:t>kvalitete instrumenata osiguranja.</w:t>
      </w:r>
    </w:p>
    <w:p w:rsidR="006735C2" w:rsidRPr="001567C8" w:rsidRDefault="006735C2" w:rsidP="006735C2">
      <w:pPr>
        <w:ind w:left="720"/>
        <w:jc w:val="both"/>
        <w:rPr>
          <w:rFonts w:ascii="Calibri" w:hAnsi="Calibri"/>
          <w:sz w:val="22"/>
          <w:szCs w:val="22"/>
          <w:lang w:val="hr-HR"/>
        </w:rPr>
        <w:sectPr w:rsidR="006735C2" w:rsidRPr="001567C8" w:rsidSect="003E2D7A">
          <w:pgSz w:w="11907" w:h="16840" w:code="9"/>
          <w:pgMar w:top="1418" w:right="1134" w:bottom="1134" w:left="1418" w:header="851" w:footer="851" w:gutter="0"/>
          <w:cols w:space="720"/>
          <w:noEndnote/>
        </w:sectPr>
      </w:pPr>
    </w:p>
    <w:p w:rsidR="006735C2" w:rsidRPr="001567C8" w:rsidRDefault="006735C2" w:rsidP="006735C2">
      <w:pPr>
        <w:ind w:left="720"/>
        <w:jc w:val="both"/>
        <w:rPr>
          <w:rFonts w:ascii="Calibri" w:hAnsi="Calibri"/>
          <w:sz w:val="22"/>
          <w:szCs w:val="22"/>
          <w:lang w:val="hr-HR"/>
        </w:rPr>
      </w:pPr>
    </w:p>
    <w:p w:rsidR="006735C2" w:rsidRPr="001567C8" w:rsidRDefault="006735C2"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36.</w:t>
      </w:r>
      <w:r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6735C2"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36.3. Kreditni rizik (nastavak)</w:t>
      </w:r>
    </w:p>
    <w:p w:rsidR="006735C2" w:rsidRPr="001567C8" w:rsidRDefault="006735C2" w:rsidP="006735C2">
      <w:pPr>
        <w:spacing w:line="300" w:lineRule="exact"/>
        <w:jc w:val="both"/>
        <w:rPr>
          <w:rFonts w:ascii="Calibri" w:eastAsia="Calibri" w:hAnsi="Calibri" w:cs="Arial"/>
          <w:b/>
          <w:sz w:val="22"/>
          <w:szCs w:val="22"/>
          <w:lang w:val="hr-HR"/>
        </w:rPr>
      </w:pPr>
    </w:p>
    <w:p w:rsidR="006735C2" w:rsidRPr="001567C8" w:rsidRDefault="006735C2" w:rsidP="006735C2">
      <w:pPr>
        <w:spacing w:line="300" w:lineRule="exact"/>
        <w:jc w:val="both"/>
        <w:rPr>
          <w:rFonts w:ascii="Calibri" w:eastAsia="Calibri" w:hAnsi="Calibri" w:cs="Arial"/>
          <w:b/>
          <w:sz w:val="22"/>
          <w:szCs w:val="22"/>
          <w:lang w:val="hr-HR"/>
        </w:rPr>
      </w:pPr>
      <w:r w:rsidRPr="001567C8">
        <w:rPr>
          <w:rFonts w:ascii="Calibri" w:eastAsia="Calibri" w:hAnsi="Calibri" w:cs="Arial"/>
          <w:b/>
          <w:sz w:val="22"/>
          <w:szCs w:val="22"/>
          <w:lang w:val="hr-HR"/>
        </w:rPr>
        <w:t>36.3.2. Procjena umanjenja vrijednosti (Metodologija za umanjenje vrijednosti financijskih</w:t>
      </w:r>
      <w:r w:rsidRPr="001567C8">
        <w:rPr>
          <w:rFonts w:ascii="Calibri" w:eastAsia="Calibri" w:hAnsi="Calibri" w:cs="Arial"/>
          <w:sz w:val="22"/>
          <w:szCs w:val="22"/>
          <w:lang w:val="hr-HR"/>
        </w:rPr>
        <w:t xml:space="preserve"> </w:t>
      </w:r>
      <w:r w:rsidRPr="001567C8">
        <w:rPr>
          <w:rFonts w:ascii="Calibri" w:eastAsia="Calibri" w:hAnsi="Calibri" w:cs="Arial"/>
          <w:b/>
          <w:sz w:val="22"/>
          <w:szCs w:val="22"/>
          <w:lang w:val="hr-HR"/>
        </w:rPr>
        <w:t>instrumenata u primjeni od 1. siječnja 2018.) (nastavak)</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Za cijelo vrijeme trajanja ugovornog odnosa procjenjuje se kreditna sposobnost dužnika s ciljem utvrđivanja moguće promjene financijskog položaja klijenta (dužnika) odnosno vjerojatnosti pogoršanja njegove kreditne sposobnosti. Kod utvrđivanja kreditne sposobnosti klijenta uzima se u obzir i grupa povezanih osoba zbog efekta zaraze odnosno mogućnosti prelijevanja rizika između povezanih osoba, odnosno kreditna sposobnost klijenta se prati putem:</w:t>
      </w:r>
    </w:p>
    <w:p w:rsidR="006735C2" w:rsidRPr="001567C8" w:rsidRDefault="006735C2" w:rsidP="002B5EA8">
      <w:pPr>
        <w:numPr>
          <w:ilvl w:val="0"/>
          <w:numId w:val="24"/>
        </w:numPr>
        <w:jc w:val="both"/>
        <w:rPr>
          <w:rFonts w:ascii="Calibri" w:hAnsi="Calibri"/>
          <w:sz w:val="22"/>
          <w:szCs w:val="22"/>
          <w:lang w:val="hr-HR"/>
        </w:rPr>
      </w:pPr>
      <w:r w:rsidRPr="001567C8">
        <w:rPr>
          <w:rFonts w:ascii="Calibri" w:hAnsi="Calibri"/>
          <w:sz w:val="22"/>
          <w:szCs w:val="22"/>
          <w:lang w:val="hr-HR"/>
        </w:rPr>
        <w:t xml:space="preserve">promjene financijskog rejtinga klijenta i s njim povezanih osoba, </w:t>
      </w:r>
    </w:p>
    <w:p w:rsidR="006735C2" w:rsidRPr="001567C8" w:rsidRDefault="006735C2" w:rsidP="002B5EA8">
      <w:pPr>
        <w:numPr>
          <w:ilvl w:val="0"/>
          <w:numId w:val="24"/>
        </w:numPr>
        <w:jc w:val="both"/>
        <w:rPr>
          <w:rFonts w:ascii="Calibri" w:hAnsi="Calibri"/>
          <w:sz w:val="22"/>
          <w:szCs w:val="22"/>
          <w:lang w:val="hr-HR"/>
        </w:rPr>
      </w:pPr>
      <w:r w:rsidRPr="001567C8">
        <w:rPr>
          <w:rFonts w:ascii="Calibri" w:hAnsi="Calibri"/>
          <w:sz w:val="22"/>
          <w:szCs w:val="22"/>
          <w:lang w:val="hr-HR"/>
        </w:rPr>
        <w:t>kriterija kojima je svrha utvrđivanje financijskih poteškoća klijenta,</w:t>
      </w:r>
    </w:p>
    <w:p w:rsidR="006735C2" w:rsidRPr="001567C8" w:rsidRDefault="006735C2" w:rsidP="002B5EA8">
      <w:pPr>
        <w:numPr>
          <w:ilvl w:val="0"/>
          <w:numId w:val="24"/>
        </w:numPr>
        <w:jc w:val="both"/>
        <w:rPr>
          <w:rFonts w:ascii="Calibri" w:hAnsi="Calibri"/>
          <w:sz w:val="22"/>
          <w:szCs w:val="22"/>
          <w:lang w:val="hr-HR"/>
        </w:rPr>
      </w:pPr>
      <w:r w:rsidRPr="001567C8">
        <w:rPr>
          <w:rFonts w:ascii="Calibri" w:hAnsi="Calibri"/>
          <w:sz w:val="22"/>
          <w:szCs w:val="22"/>
          <w:lang w:val="hr-HR"/>
        </w:rPr>
        <w:t>kriterija s Liste za pojačano praćenje klijenta te</w:t>
      </w:r>
    </w:p>
    <w:p w:rsidR="006735C2" w:rsidRPr="001567C8" w:rsidRDefault="006735C2" w:rsidP="002B5EA8">
      <w:pPr>
        <w:numPr>
          <w:ilvl w:val="0"/>
          <w:numId w:val="24"/>
        </w:numPr>
        <w:jc w:val="both"/>
        <w:rPr>
          <w:rFonts w:ascii="Calibri" w:hAnsi="Calibri"/>
          <w:sz w:val="22"/>
          <w:szCs w:val="22"/>
          <w:lang w:val="hr-HR"/>
        </w:rPr>
      </w:pPr>
      <w:r w:rsidRPr="001567C8">
        <w:rPr>
          <w:rFonts w:ascii="Calibri" w:hAnsi="Calibri"/>
          <w:sz w:val="22"/>
          <w:szCs w:val="22"/>
          <w:lang w:val="hr-HR"/>
        </w:rPr>
        <w:t>kriterija za uočavanje povećanog kreditnog rizika.</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Klijent se smatra urednim ukoliko sve svoje obveze podmiruje u cijelosti (glavnica, kamate, provizije, naknade i druge troškove) u ugovorenim iznosima i ugovorenim rokovima dospijeća pri čemu se svi plasmani i izvanbilančne obveze jednog klijenta promatraju kao jedan.</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Procjena instrumenata osiguranja temelji se na njihovoj kvaliteti i procjeni visine i rokova naplativosti.</w:t>
      </w:r>
    </w:p>
    <w:p w:rsidR="006735C2" w:rsidRPr="001567C8" w:rsidRDefault="006735C2" w:rsidP="006735C2">
      <w:pPr>
        <w:jc w:val="both"/>
        <w:rPr>
          <w:rFonts w:ascii="Calibri" w:hAnsi="Calibri"/>
          <w:sz w:val="22"/>
          <w:szCs w:val="22"/>
          <w:lang w:val="hr-HR"/>
        </w:rPr>
      </w:pPr>
    </w:p>
    <w:p w:rsidR="006735C2" w:rsidRPr="001567C8" w:rsidRDefault="006735C2" w:rsidP="006735C2">
      <w:pPr>
        <w:spacing w:line="300" w:lineRule="exact"/>
        <w:rPr>
          <w:rFonts w:ascii="Calibri" w:eastAsia="Calibri" w:hAnsi="Calibri" w:cs="Arial"/>
          <w:b/>
          <w:sz w:val="22"/>
          <w:szCs w:val="22"/>
          <w:lang w:val="hr-HR"/>
        </w:rPr>
      </w:pPr>
      <w:bookmarkStart w:id="68" w:name="_Hlk513704657"/>
      <w:r w:rsidRPr="001567C8">
        <w:rPr>
          <w:rFonts w:ascii="Calibri" w:eastAsia="Calibri" w:hAnsi="Calibri" w:cs="Arial"/>
          <w:b/>
          <w:sz w:val="22"/>
          <w:szCs w:val="22"/>
          <w:lang w:val="hr-HR"/>
        </w:rPr>
        <w:t xml:space="preserve">36.3.2.1. Definicija statusa neispunjenja ugovornih obveza (engl. default) i izlaska iz statusa neispunjenja obveza (oporavka) </w:t>
      </w:r>
    </w:p>
    <w:bookmarkEnd w:id="68"/>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Status neispunjenja obveza pojedinog klijenta je nastao kada je ispunjen jedan od sljedećih uvjeta ili oba sljedeća uvjeta:</w:t>
      </w:r>
    </w:p>
    <w:p w:rsidR="006735C2" w:rsidRPr="001567C8" w:rsidRDefault="006735C2" w:rsidP="002B5EA8">
      <w:pPr>
        <w:numPr>
          <w:ilvl w:val="0"/>
          <w:numId w:val="25"/>
        </w:numPr>
        <w:jc w:val="both"/>
        <w:rPr>
          <w:rFonts w:ascii="Calibri" w:hAnsi="Calibri"/>
          <w:sz w:val="22"/>
          <w:szCs w:val="22"/>
          <w:lang w:val="hr-HR"/>
        </w:rPr>
      </w:pPr>
      <w:r w:rsidRPr="001567C8">
        <w:rPr>
          <w:rFonts w:ascii="Calibri" w:hAnsi="Calibri"/>
          <w:sz w:val="22"/>
          <w:szCs w:val="22"/>
          <w:lang w:val="hr-HR"/>
        </w:rPr>
        <w:t>ocjenjuje se vjerojatnim da klijent neće u cijelosti podmiriti svoje obveze prema HBOR-u ne uzimajući u obzir mogućnost naplate iz instrumenata osiguranja,</w:t>
      </w:r>
    </w:p>
    <w:p w:rsidR="006735C2" w:rsidRPr="001567C8" w:rsidRDefault="006735C2" w:rsidP="002B5EA8">
      <w:pPr>
        <w:numPr>
          <w:ilvl w:val="0"/>
          <w:numId w:val="25"/>
        </w:numPr>
        <w:jc w:val="both"/>
        <w:rPr>
          <w:rFonts w:ascii="Calibri" w:hAnsi="Calibri"/>
          <w:sz w:val="22"/>
          <w:szCs w:val="22"/>
          <w:lang w:val="hr-HR"/>
        </w:rPr>
      </w:pPr>
      <w:r w:rsidRPr="001567C8">
        <w:rPr>
          <w:rFonts w:ascii="Calibri" w:hAnsi="Calibri"/>
          <w:sz w:val="22"/>
          <w:szCs w:val="22"/>
          <w:lang w:val="hr-HR"/>
        </w:rPr>
        <w:t>klijent više od 90 dana nije ispunio svoju dospjelu obvezu po bilo kojoj značajnoj kreditnoj obvezi. Prag značajnosti iznosi 1.750 kuna, a računa se na nivou klijenta, zbrajanjem dospjelih obveza po svim plasmanima klijenta.</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Pri procjeni vjerojatnosti da dužnik neće u cijelosti podmiriti svoje obveze uzimaju se u obzir slijedeći elementi:</w:t>
      </w:r>
    </w:p>
    <w:p w:rsidR="006735C2" w:rsidRPr="001567C8" w:rsidRDefault="006735C2" w:rsidP="002B5EA8">
      <w:pPr>
        <w:numPr>
          <w:ilvl w:val="0"/>
          <w:numId w:val="26"/>
        </w:numPr>
        <w:jc w:val="both"/>
        <w:rPr>
          <w:rFonts w:ascii="Calibri" w:hAnsi="Calibri"/>
          <w:sz w:val="22"/>
          <w:szCs w:val="22"/>
          <w:lang w:val="hr-HR"/>
        </w:rPr>
      </w:pPr>
      <w:r w:rsidRPr="001567C8">
        <w:rPr>
          <w:rFonts w:ascii="Calibri" w:hAnsi="Calibri"/>
          <w:sz w:val="22"/>
          <w:szCs w:val="22"/>
          <w:lang w:val="hr-HR"/>
        </w:rPr>
        <w:t xml:space="preserve">priznato je umanjenje vrijednosti za kreditne gubitke zbog uočenoga značajnog pogoršanja kreditne kvalitete dužnika, </w:t>
      </w:r>
    </w:p>
    <w:p w:rsidR="006735C2" w:rsidRPr="001567C8" w:rsidRDefault="006735C2" w:rsidP="002B5EA8">
      <w:pPr>
        <w:numPr>
          <w:ilvl w:val="0"/>
          <w:numId w:val="26"/>
        </w:numPr>
        <w:jc w:val="both"/>
        <w:rPr>
          <w:rFonts w:ascii="Calibri" w:hAnsi="Calibri"/>
          <w:sz w:val="22"/>
          <w:szCs w:val="22"/>
          <w:lang w:val="hr-HR"/>
        </w:rPr>
      </w:pPr>
      <w:r w:rsidRPr="001567C8">
        <w:rPr>
          <w:rFonts w:ascii="Calibri" w:hAnsi="Calibri"/>
          <w:sz w:val="22"/>
          <w:szCs w:val="22"/>
          <w:lang w:val="hr-HR"/>
        </w:rPr>
        <w:t>prodaja kreditne izloženosti uz značajan ekonomski gubitak,</w:t>
      </w:r>
    </w:p>
    <w:p w:rsidR="006735C2" w:rsidRPr="001567C8" w:rsidRDefault="006735C2" w:rsidP="002B5EA8">
      <w:pPr>
        <w:numPr>
          <w:ilvl w:val="0"/>
          <w:numId w:val="26"/>
        </w:numPr>
        <w:jc w:val="both"/>
        <w:rPr>
          <w:rFonts w:ascii="Calibri" w:hAnsi="Calibri"/>
          <w:sz w:val="22"/>
          <w:szCs w:val="22"/>
          <w:lang w:val="hr-HR"/>
        </w:rPr>
      </w:pPr>
      <w:r w:rsidRPr="001567C8">
        <w:rPr>
          <w:rFonts w:ascii="Calibri" w:hAnsi="Calibri"/>
          <w:sz w:val="22"/>
          <w:szCs w:val="22"/>
          <w:lang w:val="hr-HR"/>
        </w:rPr>
        <w:t>reprogramiranje ili restrukturiranje kreditne izloženosti zbog financijskih poteškoća dužnika,</w:t>
      </w:r>
    </w:p>
    <w:p w:rsidR="006735C2" w:rsidRPr="001567C8" w:rsidRDefault="006735C2" w:rsidP="002B5EA8">
      <w:pPr>
        <w:numPr>
          <w:ilvl w:val="0"/>
          <w:numId w:val="26"/>
        </w:numPr>
        <w:jc w:val="both"/>
        <w:rPr>
          <w:rFonts w:ascii="Calibri" w:hAnsi="Calibri"/>
          <w:sz w:val="22"/>
          <w:szCs w:val="22"/>
          <w:lang w:val="hr-HR"/>
        </w:rPr>
      </w:pPr>
      <w:r w:rsidRPr="001567C8">
        <w:rPr>
          <w:rFonts w:ascii="Calibri" w:hAnsi="Calibri"/>
          <w:sz w:val="22"/>
          <w:szCs w:val="22"/>
          <w:lang w:val="hr-HR"/>
        </w:rPr>
        <w:t>stečajni ili sličan postupak (PSN, likvidacija) nad dužnikom,</w:t>
      </w:r>
    </w:p>
    <w:p w:rsidR="006735C2" w:rsidRPr="001567C8" w:rsidRDefault="006735C2" w:rsidP="002B5EA8">
      <w:pPr>
        <w:numPr>
          <w:ilvl w:val="0"/>
          <w:numId w:val="26"/>
        </w:numPr>
        <w:jc w:val="both"/>
        <w:rPr>
          <w:rFonts w:ascii="Calibri" w:hAnsi="Calibri"/>
          <w:sz w:val="22"/>
          <w:szCs w:val="22"/>
          <w:lang w:val="hr-HR"/>
        </w:rPr>
      </w:pPr>
      <w:r w:rsidRPr="001567C8">
        <w:rPr>
          <w:rFonts w:ascii="Calibri" w:hAnsi="Calibri"/>
          <w:sz w:val="22"/>
          <w:szCs w:val="22"/>
          <w:lang w:val="hr-HR"/>
        </w:rPr>
        <w:t>imenovana posebna uprava, ukinuto odobrenje za rad, pokrenute mjere rane intervencije,</w:t>
      </w:r>
    </w:p>
    <w:p w:rsidR="006735C2" w:rsidRPr="001567C8" w:rsidRDefault="006735C2" w:rsidP="002B5EA8">
      <w:pPr>
        <w:numPr>
          <w:ilvl w:val="0"/>
          <w:numId w:val="26"/>
        </w:numPr>
        <w:jc w:val="both"/>
        <w:rPr>
          <w:rFonts w:ascii="Calibri" w:hAnsi="Calibri"/>
          <w:sz w:val="22"/>
          <w:szCs w:val="22"/>
          <w:lang w:val="hr-HR"/>
        </w:rPr>
      </w:pPr>
      <w:r w:rsidRPr="001567C8">
        <w:rPr>
          <w:rFonts w:ascii="Calibri" w:hAnsi="Calibri"/>
          <w:sz w:val="22"/>
          <w:szCs w:val="22"/>
          <w:lang w:val="hr-HR"/>
        </w:rPr>
        <w:t>otkaz ugovora.</w:t>
      </w:r>
    </w:p>
    <w:p w:rsidR="006735C2" w:rsidRPr="001567C8" w:rsidRDefault="006735C2" w:rsidP="006735C2">
      <w:pPr>
        <w:rPr>
          <w:rFonts w:ascii="Calibri" w:hAnsi="Calibri"/>
          <w:sz w:val="22"/>
          <w:szCs w:val="22"/>
          <w:lang w:val="hr-HR"/>
        </w:rPr>
        <w:sectPr w:rsidR="006735C2" w:rsidRPr="001567C8" w:rsidSect="003E2D7A">
          <w:pgSz w:w="11907" w:h="16840" w:code="9"/>
          <w:pgMar w:top="1418" w:right="1134" w:bottom="1134" w:left="1418" w:header="851" w:footer="851" w:gutter="0"/>
          <w:cols w:space="720"/>
          <w:noEndnote/>
        </w:sectPr>
      </w:pPr>
    </w:p>
    <w:p w:rsidR="006735C2" w:rsidRPr="001567C8" w:rsidRDefault="006735C2" w:rsidP="006735C2">
      <w:pPr>
        <w:ind w:left="720"/>
        <w:jc w:val="both"/>
        <w:rPr>
          <w:rFonts w:ascii="Calibri" w:hAnsi="Calibri"/>
          <w:sz w:val="22"/>
          <w:szCs w:val="22"/>
          <w:lang w:val="hr-HR"/>
        </w:rPr>
      </w:pPr>
    </w:p>
    <w:p w:rsidR="006735C2" w:rsidRPr="001567C8" w:rsidRDefault="003E6690"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 Kreditni rizik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jc w:val="both"/>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 Procjena umanjenja vrijednosti (Metodologija za umanjenje vrijednosti financijskih</w:t>
      </w:r>
      <w:r w:rsidR="006735C2" w:rsidRPr="001567C8">
        <w:rPr>
          <w:rFonts w:ascii="Calibri" w:eastAsia="Calibri" w:hAnsi="Calibri" w:cs="Arial"/>
          <w:sz w:val="22"/>
          <w:szCs w:val="22"/>
          <w:lang w:val="hr-HR"/>
        </w:rPr>
        <w:t xml:space="preserve"> </w:t>
      </w:r>
      <w:r w:rsidR="006735C2" w:rsidRPr="001567C8">
        <w:rPr>
          <w:rFonts w:ascii="Calibri" w:eastAsia="Calibri" w:hAnsi="Calibri" w:cs="Arial"/>
          <w:b/>
          <w:sz w:val="22"/>
          <w:szCs w:val="22"/>
          <w:lang w:val="hr-HR"/>
        </w:rPr>
        <w:t>instrumenata u primjeni od 1. siječnja 2018.) (nastavak)</w:t>
      </w:r>
    </w:p>
    <w:p w:rsidR="006735C2" w:rsidRPr="001567C8" w:rsidRDefault="006735C2" w:rsidP="006735C2">
      <w:pPr>
        <w:jc w:val="both"/>
        <w:rPr>
          <w:rFonts w:ascii="Calibri" w:hAnsi="Calibri"/>
          <w:sz w:val="22"/>
          <w:szCs w:val="22"/>
          <w:lang w:val="hr-HR"/>
        </w:rPr>
      </w:pPr>
    </w:p>
    <w:p w:rsidR="006735C2" w:rsidRPr="001567C8" w:rsidRDefault="003E6690" w:rsidP="003C6BA3">
      <w:pPr>
        <w:spacing w:line="300" w:lineRule="exact"/>
        <w:jc w:val="both"/>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6.3.2.1. Definicija statusa neispunjenja ugovornih obveza (engl. default) i izlaska iz statusa neispunjenja obveza (oporavka) (nastavak)</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bookmarkStart w:id="69" w:name="_Hlk518041750"/>
      <w:r w:rsidRPr="001567C8">
        <w:rPr>
          <w:rFonts w:ascii="Calibri" w:hAnsi="Calibri"/>
          <w:sz w:val="22"/>
          <w:szCs w:val="22"/>
          <w:lang w:val="hr-HR"/>
        </w:rPr>
        <w:t xml:space="preserve">Osim navedenog, prilikom utvrđivanja statusa neispunjenja obveza uzimaju se u obzir i odnosi unutar grupe povezanih osoba ako postoji status neispunjavanja obveza kod jednog dužnika unutar grupe povezanih osoba koji dovodi do učinka širenja statusa neispunjavanja obveza na druge subjekte unutar te grupe. </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Svi</w:t>
      </w:r>
      <w:r w:rsidRPr="001567C8">
        <w:rPr>
          <w:rFonts w:ascii="Arial" w:hAnsi="Arial"/>
          <w:b/>
          <w:sz w:val="19"/>
          <w:szCs w:val="20"/>
          <w:lang w:val="hr-HR"/>
        </w:rPr>
        <w:t xml:space="preserve"> </w:t>
      </w:r>
      <w:r w:rsidRPr="001567C8">
        <w:rPr>
          <w:rFonts w:ascii="Calibri" w:hAnsi="Calibri"/>
          <w:sz w:val="22"/>
          <w:szCs w:val="22"/>
          <w:lang w:val="hr-HR"/>
        </w:rPr>
        <w:t>financijski instrumenti klijenta u statusu neispunjenja obveza se klasificiraju u 3. stupanj.</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Plasmani klijentima u statusu neispunjenja obveza zbog materijalnog kašnjenja u plaćanju obveza preko 90 dana mogu se klasificirati u ozdravljene/rehabilitirane ukoliko je prošlo 150 dana od trenutka ne postojanja okidača za status neispunjenja obveza. U razdoblju kušnje od 150 dana klijent ne smije kasniti u plaćanju obveza preko 30 dana u materijalno značajnom iznosu.</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 xml:space="preserve">Po proteku 150 dana ozdravljenim klijentima se smatraju samo klijenti za koje je utvrđeno da nisu u </w:t>
      </w:r>
      <w:r w:rsidR="003119F2" w:rsidRPr="001567C8">
        <w:rPr>
          <w:rFonts w:ascii="Calibri" w:hAnsi="Calibri" w:cs="Arial"/>
          <w:sz w:val="22"/>
          <w:szCs w:val="22"/>
          <w:lang w:val="hr-HR"/>
        </w:rPr>
        <w:t>financijskim</w:t>
      </w:r>
      <w:r w:rsidRPr="001567C8">
        <w:rPr>
          <w:rFonts w:ascii="Calibri" w:hAnsi="Calibri" w:cs="Arial"/>
          <w:sz w:val="22"/>
          <w:szCs w:val="22"/>
          <w:lang w:val="hr-HR"/>
        </w:rPr>
        <w:t xml:space="preserve"> poteškoćama. Ako postoje naznake ponovnog ulaska u status neispunjenja obveza, status se ne mijenja sve do stvarnog i trajnog poboljšanja kreditne kvalitete klijenta.</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Restrukturirane izloženosti kojima su uzrok financijske poteškoće i problemi u otplati se mogu klasificirati kao ozdravljene/rehabilitirane nakon dvije godine od posljednjeg među događajima:</w:t>
      </w:r>
    </w:p>
    <w:p w:rsidR="006735C2" w:rsidRPr="001567C8" w:rsidRDefault="006735C2" w:rsidP="002B5EA8">
      <w:pPr>
        <w:numPr>
          <w:ilvl w:val="0"/>
          <w:numId w:val="27"/>
        </w:numPr>
        <w:jc w:val="both"/>
        <w:rPr>
          <w:rFonts w:ascii="Calibri" w:hAnsi="Calibri" w:cs="Arial"/>
          <w:sz w:val="22"/>
          <w:szCs w:val="22"/>
          <w:lang w:val="hr-HR"/>
        </w:rPr>
      </w:pPr>
      <w:r w:rsidRPr="001567C8">
        <w:rPr>
          <w:rFonts w:ascii="Calibri" w:hAnsi="Calibri" w:cs="Arial"/>
          <w:sz w:val="22"/>
          <w:szCs w:val="22"/>
          <w:lang w:val="hr-HR"/>
        </w:rPr>
        <w:t>od dana restrukturiranja,</w:t>
      </w:r>
    </w:p>
    <w:p w:rsidR="006735C2" w:rsidRPr="001567C8" w:rsidRDefault="006735C2" w:rsidP="002B5EA8">
      <w:pPr>
        <w:numPr>
          <w:ilvl w:val="0"/>
          <w:numId w:val="27"/>
        </w:numPr>
        <w:jc w:val="both"/>
        <w:rPr>
          <w:rFonts w:ascii="Calibri" w:hAnsi="Calibri" w:cs="Arial"/>
          <w:sz w:val="22"/>
          <w:szCs w:val="22"/>
          <w:lang w:val="hr-HR"/>
        </w:rPr>
      </w:pPr>
      <w:r w:rsidRPr="001567C8">
        <w:rPr>
          <w:rFonts w:ascii="Calibri" w:hAnsi="Calibri" w:cs="Arial"/>
          <w:sz w:val="22"/>
          <w:szCs w:val="22"/>
          <w:lang w:val="hr-HR"/>
        </w:rPr>
        <w:t>od datuma dodjele statusa neispunjenja obveza,</w:t>
      </w:r>
    </w:p>
    <w:p w:rsidR="006735C2" w:rsidRPr="001567C8" w:rsidRDefault="006735C2" w:rsidP="002B5EA8">
      <w:pPr>
        <w:numPr>
          <w:ilvl w:val="0"/>
          <w:numId w:val="27"/>
        </w:numPr>
        <w:jc w:val="both"/>
        <w:rPr>
          <w:rFonts w:ascii="Calibri" w:hAnsi="Calibri" w:cs="Arial"/>
          <w:sz w:val="22"/>
          <w:szCs w:val="22"/>
          <w:lang w:val="hr-HR"/>
        </w:rPr>
      </w:pPr>
      <w:r w:rsidRPr="001567C8">
        <w:rPr>
          <w:rFonts w:ascii="Calibri" w:hAnsi="Calibri" w:cs="Arial"/>
          <w:sz w:val="22"/>
          <w:szCs w:val="22"/>
          <w:lang w:val="hr-HR"/>
        </w:rPr>
        <w:t>od proteka počeka ukoliko je odobren u sklopu restrukturiranja.</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Tijekom razdoblja kušnje od dvije godine u izloženosti u statusu ispunjavanja obveza se mogu klasificirati izloženosti kojima su ispunjeni svi sljedeći uvjeti :</w:t>
      </w:r>
    </w:p>
    <w:p w:rsidR="006735C2" w:rsidRPr="001567C8" w:rsidRDefault="006735C2" w:rsidP="002B5EA8">
      <w:pPr>
        <w:numPr>
          <w:ilvl w:val="0"/>
          <w:numId w:val="28"/>
        </w:numPr>
        <w:jc w:val="both"/>
        <w:rPr>
          <w:rFonts w:ascii="Calibri" w:hAnsi="Calibri" w:cs="Arial"/>
          <w:sz w:val="22"/>
          <w:szCs w:val="22"/>
          <w:lang w:val="hr-HR"/>
        </w:rPr>
      </w:pPr>
      <w:r w:rsidRPr="001567C8">
        <w:rPr>
          <w:rFonts w:ascii="Calibri" w:hAnsi="Calibri" w:cs="Arial"/>
          <w:sz w:val="22"/>
          <w:szCs w:val="22"/>
          <w:lang w:val="hr-HR"/>
        </w:rPr>
        <w:t>dužnik je uredno platio po dospijeću najmanje iznos restrukturiranih obveza u visini dospjelih u trenutku provedbe restrukturiranja,</w:t>
      </w:r>
    </w:p>
    <w:p w:rsidR="006735C2" w:rsidRPr="001567C8" w:rsidRDefault="006735C2" w:rsidP="002B5EA8">
      <w:pPr>
        <w:numPr>
          <w:ilvl w:val="0"/>
          <w:numId w:val="28"/>
        </w:numPr>
        <w:jc w:val="both"/>
        <w:rPr>
          <w:rFonts w:ascii="Calibri" w:hAnsi="Calibri" w:cs="Arial"/>
          <w:sz w:val="22"/>
          <w:szCs w:val="22"/>
          <w:lang w:val="hr-HR"/>
        </w:rPr>
      </w:pPr>
      <w:r w:rsidRPr="001567C8">
        <w:rPr>
          <w:rFonts w:ascii="Calibri" w:hAnsi="Calibri" w:cs="Arial"/>
          <w:sz w:val="22"/>
          <w:szCs w:val="22"/>
          <w:lang w:val="hr-HR"/>
        </w:rPr>
        <w:t>dužnik je redovito plaćao dospjele obveze u skladu s planom otplate (ili uz kašnjenje do 30 dana),</w:t>
      </w:r>
    </w:p>
    <w:p w:rsidR="006735C2" w:rsidRPr="001567C8" w:rsidRDefault="006735C2" w:rsidP="002B5EA8">
      <w:pPr>
        <w:numPr>
          <w:ilvl w:val="0"/>
          <w:numId w:val="28"/>
        </w:numPr>
        <w:jc w:val="both"/>
        <w:rPr>
          <w:rFonts w:ascii="Calibri" w:hAnsi="Calibri" w:cs="Arial"/>
          <w:sz w:val="22"/>
          <w:szCs w:val="22"/>
          <w:lang w:val="hr-HR"/>
        </w:rPr>
      </w:pPr>
      <w:r w:rsidRPr="001567C8">
        <w:rPr>
          <w:rFonts w:ascii="Calibri" w:hAnsi="Calibri" w:cs="Arial"/>
          <w:sz w:val="22"/>
          <w:szCs w:val="22"/>
          <w:lang w:val="hr-HR"/>
        </w:rPr>
        <w:t>nema vjerojatnosti stupanja u status neispunjenja obveza,</w:t>
      </w:r>
    </w:p>
    <w:p w:rsidR="006735C2" w:rsidRPr="001567C8" w:rsidRDefault="006735C2" w:rsidP="002B5EA8">
      <w:pPr>
        <w:numPr>
          <w:ilvl w:val="0"/>
          <w:numId w:val="28"/>
        </w:numPr>
        <w:jc w:val="both"/>
        <w:rPr>
          <w:rFonts w:ascii="Calibri" w:hAnsi="Calibri" w:cs="Arial"/>
          <w:sz w:val="22"/>
          <w:szCs w:val="22"/>
          <w:lang w:val="hr-HR"/>
        </w:rPr>
      </w:pPr>
      <w:r w:rsidRPr="001567C8">
        <w:rPr>
          <w:rFonts w:ascii="Calibri" w:hAnsi="Calibri" w:cs="Arial"/>
          <w:sz w:val="22"/>
          <w:szCs w:val="22"/>
          <w:lang w:val="hr-HR"/>
        </w:rPr>
        <w:t>nema dospjelih nepodmirenih obveza nakon restrukturiranja,</w:t>
      </w:r>
    </w:p>
    <w:p w:rsidR="006735C2" w:rsidRPr="001567C8" w:rsidRDefault="006735C2" w:rsidP="002B5EA8">
      <w:pPr>
        <w:numPr>
          <w:ilvl w:val="0"/>
          <w:numId w:val="28"/>
        </w:numPr>
        <w:jc w:val="both"/>
        <w:rPr>
          <w:rFonts w:ascii="Calibri" w:hAnsi="Calibri" w:cs="Arial"/>
          <w:sz w:val="22"/>
          <w:szCs w:val="22"/>
          <w:lang w:val="hr-HR"/>
        </w:rPr>
      </w:pPr>
      <w:r w:rsidRPr="001567C8">
        <w:rPr>
          <w:rFonts w:ascii="Calibri" w:hAnsi="Calibri" w:cs="Arial"/>
          <w:sz w:val="22"/>
          <w:szCs w:val="22"/>
          <w:lang w:val="hr-HR"/>
        </w:rPr>
        <w:t>nema sumnje da dužnik neće plaćati i nadalje svoje obveze po dospijeću</w:t>
      </w:r>
      <w:r w:rsidR="0017671F">
        <w:rPr>
          <w:rFonts w:ascii="Calibri" w:hAnsi="Calibri" w:cs="Arial"/>
          <w:sz w:val="22"/>
          <w:szCs w:val="22"/>
          <w:lang w:val="hr-HR"/>
        </w:rPr>
        <w:t>.</w:t>
      </w:r>
      <w:r w:rsidRPr="001567C8">
        <w:rPr>
          <w:rFonts w:ascii="Calibri" w:hAnsi="Calibri" w:cs="Arial"/>
          <w:sz w:val="22"/>
          <w:szCs w:val="22"/>
          <w:lang w:val="hr-HR"/>
        </w:rPr>
        <w:t xml:space="preserve"> </w:t>
      </w: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Svi ovi uvjeti trebaju biti zadovoljeni i za nove plasmane istom klijentu. Reklasificirati se u ozdravljene mogu samo plasmani klijentu koji nije u financijskim poteškoćama.</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Financijski instrumenti rehabilitiranih/ozdravljenih klijenata se nakon ispunjenja svih uvjeta iz razdoblja kušnje mogu ponovo klasificirati u 1. stupanj.</w:t>
      </w:r>
    </w:p>
    <w:bookmarkEnd w:id="69"/>
    <w:p w:rsidR="003E6690" w:rsidRPr="001567C8" w:rsidRDefault="003E6690" w:rsidP="006735C2">
      <w:pPr>
        <w:jc w:val="both"/>
        <w:rPr>
          <w:rFonts w:ascii="Calibri" w:eastAsia="Calibri" w:hAnsi="Calibri" w:cs="Calibri"/>
          <w:bCs/>
          <w:spacing w:val="-3"/>
          <w:sz w:val="22"/>
          <w:szCs w:val="22"/>
          <w:lang w:val="hr-HR"/>
        </w:rPr>
        <w:sectPr w:rsidR="003E6690" w:rsidRPr="001567C8" w:rsidSect="003E2D7A">
          <w:pgSz w:w="11907" w:h="16840" w:code="9"/>
          <w:pgMar w:top="1418" w:right="1134" w:bottom="1134" w:left="1418" w:header="851" w:footer="851" w:gutter="0"/>
          <w:cols w:space="720"/>
          <w:noEndnote/>
        </w:sectPr>
      </w:pPr>
    </w:p>
    <w:p w:rsidR="006735C2" w:rsidRPr="001567C8" w:rsidRDefault="006735C2" w:rsidP="006735C2">
      <w:pPr>
        <w:jc w:val="both"/>
        <w:rPr>
          <w:rFonts w:ascii="Calibri" w:eastAsia="Calibri" w:hAnsi="Calibri" w:cs="Calibri"/>
          <w:bCs/>
          <w:spacing w:val="-3"/>
          <w:sz w:val="22"/>
          <w:szCs w:val="22"/>
          <w:lang w:val="hr-HR"/>
        </w:rPr>
      </w:pPr>
    </w:p>
    <w:p w:rsidR="006735C2" w:rsidRPr="001567C8" w:rsidRDefault="003E6690"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 Kreditni rizik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jc w:val="both"/>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 Procjena umanjenja vrijednosti (Metodologija za umanjenje vrijednosti financijskih</w:t>
      </w:r>
      <w:r w:rsidR="006735C2" w:rsidRPr="001567C8">
        <w:rPr>
          <w:rFonts w:ascii="Calibri" w:eastAsia="Calibri" w:hAnsi="Calibri" w:cs="Arial"/>
          <w:sz w:val="22"/>
          <w:szCs w:val="22"/>
          <w:lang w:val="hr-HR"/>
        </w:rPr>
        <w:t xml:space="preserve"> </w:t>
      </w:r>
      <w:r w:rsidR="006735C2" w:rsidRPr="001567C8">
        <w:rPr>
          <w:rFonts w:ascii="Calibri" w:eastAsia="Calibri" w:hAnsi="Calibri" w:cs="Arial"/>
          <w:b/>
          <w:sz w:val="22"/>
          <w:szCs w:val="22"/>
          <w:lang w:val="hr-HR"/>
        </w:rPr>
        <w:t>instrumenata u primjeni od 1. siječnja 2018.) (nastavak)</w:t>
      </w:r>
    </w:p>
    <w:p w:rsidR="006735C2" w:rsidRPr="001567C8" w:rsidRDefault="006735C2" w:rsidP="006735C2">
      <w:pPr>
        <w:keepNext/>
        <w:tabs>
          <w:tab w:val="left" w:pos="426"/>
        </w:tabs>
        <w:jc w:val="both"/>
        <w:rPr>
          <w:rFonts w:ascii="Calibri" w:hAnsi="Calibri" w:cs="Calibri"/>
          <w:b/>
          <w:bCs/>
          <w:sz w:val="22"/>
          <w:szCs w:val="22"/>
          <w:lang w:val="hr-HR" w:eastAsia="hr-HR"/>
        </w:rPr>
      </w:pPr>
    </w:p>
    <w:p w:rsidR="006735C2" w:rsidRPr="001567C8" w:rsidRDefault="003E6690" w:rsidP="006735C2">
      <w:pPr>
        <w:spacing w:line="300" w:lineRule="exact"/>
        <w:jc w:val="both"/>
        <w:rPr>
          <w:rFonts w:ascii="Calibri" w:eastAsia="Calibri" w:hAnsi="Calibri" w:cs="Arial"/>
          <w:b/>
          <w:sz w:val="22"/>
          <w:szCs w:val="22"/>
          <w:lang w:val="hr-HR"/>
        </w:rPr>
      </w:pPr>
      <w:bookmarkStart w:id="70" w:name="_Hlk518041823"/>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6.3.2.2. Bančin postupak procjene internog rejtinga i vjerojatnosti neispunjenja ugovornih obveza (PD)</w:t>
      </w:r>
      <w:bookmarkEnd w:id="70"/>
    </w:p>
    <w:p w:rsidR="006735C2" w:rsidRPr="001567C8" w:rsidRDefault="006735C2" w:rsidP="006735C2">
      <w:pPr>
        <w:jc w:val="both"/>
        <w:rPr>
          <w:rFonts w:ascii="Calibri" w:hAnsi="Calibri" w:cs="Arial"/>
          <w:sz w:val="22"/>
          <w:szCs w:val="22"/>
          <w:lang w:val="hr-HR"/>
        </w:rPr>
      </w:pPr>
      <w:bookmarkStart w:id="71" w:name="_Hlk500926408"/>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 xml:space="preserve">Za modeliranje PD-ja koristi se pristup temeljen na TTC (engl. Through-the-Cycle) migracijskim matricama za izloženosti u homogenim skupinama izravnih korisnika i ostalo. Definirane su rizične skupine (eng. bucket) te se provodi analiza kretanja izloženosti između navedenih skupina. </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Za navedene izloženosti, rizične skupine su definirane temeljem dana kašnjenja i statusa restrukturiranih izloženosti.</w:t>
      </w:r>
      <w:bookmarkStart w:id="72" w:name="_Hlk506802118"/>
      <w:r w:rsidRPr="001567C8">
        <w:rPr>
          <w:rFonts w:ascii="Calibri" w:hAnsi="Calibri" w:cs="Arial"/>
          <w:sz w:val="22"/>
          <w:szCs w:val="22"/>
          <w:lang w:val="hr-HR"/>
        </w:rPr>
        <w:t xml:space="preserve"> Modeliranju PD-ja prethodi prikupljanje podataka za prethodno 5-ogodišnje razdoblje</w:t>
      </w:r>
      <w:bookmarkEnd w:id="72"/>
      <w:r w:rsidRPr="001567C8">
        <w:rPr>
          <w:rFonts w:ascii="Calibri" w:hAnsi="Calibri" w:cs="Arial"/>
          <w:sz w:val="22"/>
          <w:szCs w:val="22"/>
          <w:lang w:val="hr-HR"/>
        </w:rPr>
        <w:t>.</w:t>
      </w:r>
    </w:p>
    <w:p w:rsidR="006735C2" w:rsidRPr="001567C8" w:rsidRDefault="006735C2" w:rsidP="006735C2">
      <w:pPr>
        <w:jc w:val="both"/>
        <w:rPr>
          <w:rFonts w:ascii="Calibri" w:hAnsi="Calibri" w:cs="Arial"/>
          <w:sz w:val="22"/>
          <w:szCs w:val="22"/>
          <w:lang w:val="hr-HR"/>
        </w:rPr>
      </w:pPr>
      <w:bookmarkStart w:id="73" w:name="_Hlk509555473"/>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Pri modeliranju PD-ja, analizira se kretanje izloženosti između sljedećih skupina:</w:t>
      </w:r>
    </w:p>
    <w:p w:rsidR="006735C2" w:rsidRPr="001567C8" w:rsidRDefault="006735C2" w:rsidP="002B5EA8">
      <w:pPr>
        <w:numPr>
          <w:ilvl w:val="0"/>
          <w:numId w:val="29"/>
        </w:numPr>
        <w:jc w:val="both"/>
        <w:rPr>
          <w:rFonts w:ascii="Calibri" w:hAnsi="Calibri" w:cs="Arial"/>
          <w:sz w:val="22"/>
          <w:szCs w:val="22"/>
          <w:lang w:val="hr-HR"/>
        </w:rPr>
      </w:pPr>
      <w:r w:rsidRPr="001567C8">
        <w:rPr>
          <w:rFonts w:ascii="Calibri" w:hAnsi="Calibri" w:cs="Arial"/>
          <w:sz w:val="22"/>
          <w:szCs w:val="22"/>
          <w:lang w:val="hr-HR"/>
        </w:rPr>
        <w:t>od 0 do 30 dana kašnjenja - skupina 1,</w:t>
      </w:r>
    </w:p>
    <w:p w:rsidR="006735C2" w:rsidRPr="001567C8" w:rsidRDefault="006735C2" w:rsidP="002B5EA8">
      <w:pPr>
        <w:numPr>
          <w:ilvl w:val="0"/>
          <w:numId w:val="29"/>
        </w:numPr>
        <w:jc w:val="both"/>
        <w:rPr>
          <w:rFonts w:ascii="Calibri" w:hAnsi="Calibri" w:cs="Arial"/>
          <w:sz w:val="22"/>
          <w:szCs w:val="22"/>
          <w:lang w:val="hr-HR"/>
        </w:rPr>
      </w:pPr>
      <w:r w:rsidRPr="001567C8">
        <w:rPr>
          <w:rFonts w:ascii="Calibri" w:hAnsi="Calibri" w:cs="Arial"/>
          <w:sz w:val="22"/>
          <w:szCs w:val="22"/>
          <w:lang w:val="hr-HR"/>
        </w:rPr>
        <w:t>od 31 do 90 dana kašnjenja - skupina 2,</w:t>
      </w:r>
    </w:p>
    <w:p w:rsidR="006735C2" w:rsidRPr="001567C8" w:rsidRDefault="006735C2" w:rsidP="002B5EA8">
      <w:pPr>
        <w:numPr>
          <w:ilvl w:val="0"/>
          <w:numId w:val="29"/>
        </w:numPr>
        <w:jc w:val="both"/>
        <w:rPr>
          <w:rFonts w:ascii="Calibri" w:hAnsi="Calibri" w:cs="Arial"/>
          <w:sz w:val="22"/>
          <w:szCs w:val="22"/>
          <w:lang w:val="hr-HR"/>
        </w:rPr>
      </w:pPr>
      <w:r w:rsidRPr="001567C8">
        <w:rPr>
          <w:rFonts w:ascii="Calibri" w:hAnsi="Calibri" w:cs="Arial"/>
          <w:sz w:val="22"/>
          <w:szCs w:val="22"/>
          <w:lang w:val="hr-HR"/>
        </w:rPr>
        <w:t>više od 90 dana kašnjenja i restrukturiranje – događaj statusa neispunjenja obveza (defaulta).</w:t>
      </w:r>
    </w:p>
    <w:bookmarkEnd w:id="73"/>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Temeljem matrica kretanja izloženosti iz skupine u skupinu, izračunava se 12-mjesečna vrijednost PD-ja. Daljnjim množenjem matrica izračunavaju se granične vrijednosti PD-ja putem kojih se kreira vektor. Vektor graničnih vrijednosti PD-ja predstavlja osnovu pomoću koje se izračunava vrijednost cjeloživotnog PD-ja. Vrijednost cjeloživotnog PD-ja ovisi o tenoru, odnosno preostalom razdoblju do dospijeća pojedine izloženost.</w:t>
      </w:r>
    </w:p>
    <w:p w:rsidR="006735C2" w:rsidRPr="001567C8" w:rsidRDefault="006735C2" w:rsidP="006735C2">
      <w:pPr>
        <w:jc w:val="both"/>
        <w:rPr>
          <w:rFonts w:ascii="Calibri" w:hAnsi="Calibri" w:cs="Arial"/>
          <w:sz w:val="22"/>
          <w:szCs w:val="22"/>
          <w:lang w:val="hr-HR"/>
        </w:rPr>
      </w:pPr>
    </w:p>
    <w:p w:rsidR="006735C2" w:rsidRPr="001567C8" w:rsidRDefault="006735C2" w:rsidP="006735C2">
      <w:pPr>
        <w:tabs>
          <w:tab w:val="left" w:pos="2694"/>
        </w:tabs>
        <w:jc w:val="both"/>
        <w:rPr>
          <w:rFonts w:ascii="Calibri" w:hAnsi="Calibri" w:cs="Arial"/>
          <w:sz w:val="22"/>
          <w:szCs w:val="22"/>
          <w:lang w:val="hr-HR"/>
        </w:rPr>
      </w:pPr>
      <w:r w:rsidRPr="001567C8">
        <w:rPr>
          <w:rFonts w:ascii="Calibri" w:hAnsi="Calibri" w:cs="Arial"/>
          <w:sz w:val="22"/>
          <w:szCs w:val="22"/>
          <w:lang w:val="hr-HR"/>
        </w:rPr>
        <w:t>Pristup temeljen na vanjskom rejtingu koji objavljuju vanjske kreditne rejting agencije korišten je prilikom izračuna PD-ja za izloženosti iz homogenih skupina financijske institucije te središnja država i lokalna i područna (regionalna) samouprava.</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bookmarkStart w:id="74" w:name="_Hlk509564706"/>
      <w:r w:rsidRPr="001567C8">
        <w:rPr>
          <w:rFonts w:ascii="Calibri" w:hAnsi="Calibri" w:cs="Arial"/>
          <w:sz w:val="22"/>
          <w:szCs w:val="22"/>
          <w:lang w:val="hr-HR"/>
        </w:rPr>
        <w:t>Za izloženosti prema domaćim financijskim institucijama, obzirom da ne postoji vanjski rejting za sve financijske institucije u portfelju Grupe, postojeći interni rejtinzi domaćih financijskih institucija mapirani su na vanjski rejting pri čemu se kao polazna točka mapiranja koristi financijska institucija koja ima vanjski rejting, slijedom čega je interni rejting u Grupi izjednačen s rejtingom S&amp;P-a "BB". Time je utvrđena gornja granica za domaće financijske institucije na razini rejtinga države.</w:t>
      </w:r>
      <w:bookmarkEnd w:id="74"/>
      <w:r w:rsidRPr="001567C8">
        <w:rPr>
          <w:rFonts w:ascii="Calibri" w:hAnsi="Calibri" w:cs="Arial"/>
          <w:sz w:val="22"/>
          <w:szCs w:val="22"/>
          <w:lang w:val="hr-HR"/>
        </w:rPr>
        <w:t xml:space="preserve"> Distribucija vrijednosti PD-ja za preostale interne rejtinge određuje se metodom linearne interpolacije.</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Za izloženosti prema inozemnim financijskim institucijama koriste se rejtinzi vanjskih kreditnih rejting agencija i sukladno tome primjenjuje odgovarajuća vrijednost PD-ja iz njihovih matrica, a ako nema onda se koristi interni rejting, odnosno primjenjuju se pravila istovjetna domaćim financijskim institucijama.</w:t>
      </w:r>
    </w:p>
    <w:bookmarkEnd w:id="71"/>
    <w:p w:rsidR="006735C2" w:rsidRPr="001567C8" w:rsidRDefault="006735C2" w:rsidP="006735C2">
      <w:pPr>
        <w:jc w:val="both"/>
        <w:rPr>
          <w:rFonts w:ascii="Calibri" w:hAnsi="Calibri" w:cs="Arial"/>
          <w:sz w:val="22"/>
          <w:szCs w:val="22"/>
          <w:lang w:val="hr-HR"/>
        </w:rPr>
      </w:pPr>
    </w:p>
    <w:p w:rsidR="006735C2" w:rsidRPr="001567C8" w:rsidRDefault="006735C2" w:rsidP="006735C2">
      <w:pPr>
        <w:tabs>
          <w:tab w:val="left" w:pos="2694"/>
        </w:tabs>
        <w:jc w:val="both"/>
        <w:rPr>
          <w:rFonts w:ascii="Calibri" w:hAnsi="Calibri" w:cs="Arial"/>
          <w:sz w:val="22"/>
          <w:szCs w:val="22"/>
          <w:lang w:val="hr-HR"/>
        </w:rPr>
      </w:pPr>
      <w:r w:rsidRPr="001567C8">
        <w:rPr>
          <w:rFonts w:ascii="Calibri" w:hAnsi="Calibri" w:cs="Arial"/>
          <w:sz w:val="22"/>
          <w:szCs w:val="22"/>
          <w:lang w:val="hr-HR"/>
        </w:rPr>
        <w:t>Vrijednost 12-mjesečnog PD-ja procjenjuje se množenjem TTC matrice sa samom sobom. Vrijednost cjeloživotnog PD-ja predstavlja kumulativnu vrijednost graničnih vrijednosti PD-ja, odnosno zbroj graničnih vrijednosti PD-ja, ovisno o tenoru izloženosti.</w:t>
      </w:r>
    </w:p>
    <w:p w:rsidR="003E6690" w:rsidRPr="001567C8" w:rsidRDefault="003E6690" w:rsidP="006735C2">
      <w:pPr>
        <w:autoSpaceDE w:val="0"/>
        <w:autoSpaceDN w:val="0"/>
        <w:adjustRightInd w:val="0"/>
        <w:jc w:val="both"/>
        <w:rPr>
          <w:rFonts w:ascii="Calibri" w:hAnsi="Calibri" w:cs="Arial"/>
          <w:sz w:val="22"/>
          <w:szCs w:val="22"/>
          <w:lang w:val="hr-HR"/>
        </w:rPr>
        <w:sectPr w:rsidR="003E6690" w:rsidRPr="001567C8" w:rsidSect="003E2D7A">
          <w:pgSz w:w="11907" w:h="16840" w:code="9"/>
          <w:pgMar w:top="1418" w:right="1134" w:bottom="1134" w:left="1418" w:header="851" w:footer="851" w:gutter="0"/>
          <w:cols w:space="720"/>
          <w:noEndnote/>
        </w:sectPr>
      </w:pPr>
    </w:p>
    <w:p w:rsidR="006735C2" w:rsidRPr="001567C8" w:rsidRDefault="006735C2" w:rsidP="006735C2">
      <w:pPr>
        <w:autoSpaceDE w:val="0"/>
        <w:autoSpaceDN w:val="0"/>
        <w:adjustRightInd w:val="0"/>
        <w:jc w:val="both"/>
        <w:rPr>
          <w:rFonts w:ascii="Calibri" w:hAnsi="Calibri" w:cs="Arial"/>
          <w:sz w:val="22"/>
          <w:szCs w:val="22"/>
          <w:lang w:val="hr-HR"/>
        </w:rPr>
      </w:pPr>
    </w:p>
    <w:p w:rsidR="006735C2" w:rsidRPr="001567C8" w:rsidRDefault="003E6690"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 Kreditni rizik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jc w:val="both"/>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 Procjena umanjenja vrijednosti (Metodologija za umanjenje vrijednosti financijskih</w:t>
      </w:r>
      <w:r w:rsidR="006735C2" w:rsidRPr="001567C8">
        <w:rPr>
          <w:rFonts w:ascii="Calibri" w:eastAsia="Calibri" w:hAnsi="Calibri" w:cs="Arial"/>
          <w:sz w:val="22"/>
          <w:szCs w:val="22"/>
          <w:lang w:val="hr-HR"/>
        </w:rPr>
        <w:t xml:space="preserve"> </w:t>
      </w:r>
      <w:r w:rsidR="006735C2" w:rsidRPr="001567C8">
        <w:rPr>
          <w:rFonts w:ascii="Calibri" w:eastAsia="Calibri" w:hAnsi="Calibri" w:cs="Arial"/>
          <w:b/>
          <w:sz w:val="22"/>
          <w:szCs w:val="22"/>
          <w:lang w:val="hr-HR"/>
        </w:rPr>
        <w:t>instrumenata u primjeni od 1. siječnja 2018.) (nastavak)</w:t>
      </w:r>
    </w:p>
    <w:p w:rsidR="006735C2" w:rsidRPr="001567C8" w:rsidRDefault="006735C2" w:rsidP="006735C2">
      <w:pPr>
        <w:spacing w:line="300" w:lineRule="exact"/>
        <w:rPr>
          <w:rFonts w:ascii="Calibri" w:eastAsia="Calibri" w:hAnsi="Calibri" w:cs="Arial"/>
          <w:b/>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 xml:space="preserve">6.3.2.3. Izloženost u trenutku nastanka statusa neispunjenja obveza </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Za potrebe modeliranja izloženosti u trenutku nastanka statusa neispunjenja obveza (engl. Exposure at Default, dalje: EAD), odnosno za potrebe izračuna kreditnog konverzijskog parametra (dalje: CCF, eng. Credit Conversion Factor) i omjera prijevremene otplate, razmatraju se podaci za proteklo petogodišnje razdoblje.</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Temeljem navedenih povijesnih podataka utvrđen je omjer prijevremene naplate približno jednak nuli te kreditni konverzijski faktor jednak 1.</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EAD se izračunava za svaki ugovor. Dva su pristupa izračunu EAD-a:</w:t>
      </w:r>
    </w:p>
    <w:p w:rsidR="006735C2" w:rsidRPr="001567C8" w:rsidRDefault="006735C2" w:rsidP="002B5EA8">
      <w:pPr>
        <w:numPr>
          <w:ilvl w:val="0"/>
          <w:numId w:val="30"/>
        </w:numPr>
        <w:contextualSpacing/>
        <w:jc w:val="both"/>
        <w:rPr>
          <w:rFonts w:ascii="Calibri" w:eastAsia="Calibri" w:hAnsi="Calibri" w:cs="Arial"/>
          <w:sz w:val="22"/>
          <w:szCs w:val="22"/>
          <w:lang w:val="hr-HR"/>
        </w:rPr>
      </w:pPr>
      <w:r w:rsidRPr="001567C8">
        <w:rPr>
          <w:rFonts w:ascii="Calibri" w:eastAsia="Calibri" w:hAnsi="Calibri" w:cs="Arial"/>
          <w:sz w:val="22"/>
          <w:szCs w:val="22"/>
          <w:lang w:val="hr-HR"/>
        </w:rPr>
        <w:t>ukoliko za izloženost postoji plan otplate - temeljem novčanog toka iz plana otplate,</w:t>
      </w:r>
    </w:p>
    <w:p w:rsidR="006735C2" w:rsidRPr="001567C8" w:rsidRDefault="006735C2" w:rsidP="002B5EA8">
      <w:pPr>
        <w:numPr>
          <w:ilvl w:val="0"/>
          <w:numId w:val="30"/>
        </w:numPr>
        <w:contextualSpacing/>
        <w:jc w:val="both"/>
        <w:rPr>
          <w:rFonts w:ascii="Calibri" w:eastAsia="Calibri" w:hAnsi="Calibri" w:cs="Arial"/>
          <w:sz w:val="22"/>
          <w:szCs w:val="22"/>
          <w:lang w:val="hr-HR"/>
        </w:rPr>
      </w:pPr>
      <w:r w:rsidRPr="001567C8">
        <w:rPr>
          <w:rFonts w:ascii="Calibri" w:eastAsia="Calibri" w:hAnsi="Calibri" w:cs="Arial"/>
          <w:sz w:val="22"/>
          <w:szCs w:val="22"/>
          <w:lang w:val="hr-HR"/>
        </w:rPr>
        <w:t>ukoliko za izloženost ne postoji plan otplate - temeljem iznosa izloženosti na izvještajni datum.</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 xml:space="preserve">Za izloženosti klasificirane u 1. stupanj rizika te za dospjele izloženosti EAD je jednak trenutnoj izloženost. </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 xml:space="preserve">Za nedospjele izloženosti, cjeloživotni EAD se izračunava temeljem plana otplate, uvažavajući iznose i razdoblje dospijeća, a maksimalno do posljednjeg datuma dospijeća izloženosti (tenora). </w:t>
      </w:r>
    </w:p>
    <w:p w:rsidR="006735C2" w:rsidRPr="001567C8" w:rsidRDefault="006735C2" w:rsidP="006735C2">
      <w:pPr>
        <w:jc w:val="both"/>
        <w:rPr>
          <w:rFonts w:ascii="Calibri" w:hAnsi="Calibri" w:cs="Arial"/>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6.3.2.4. Gubitak u trenutku nastanka statusa neispunjenja obveza</w:t>
      </w:r>
    </w:p>
    <w:p w:rsidR="006735C2" w:rsidRPr="001567C8" w:rsidRDefault="006735C2" w:rsidP="006735C2">
      <w:pPr>
        <w:autoSpaceDE w:val="0"/>
        <w:autoSpaceDN w:val="0"/>
        <w:adjustRightInd w:val="0"/>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 xml:space="preserve">Za skupine izravnih korisnika i ostalo, gubitak u trenutku nastanka statusa neispunjenja obveza (engl. Loss Given Default, dalje: LGD) se procjenjuje temeljem transakcija nakon datuma nastanka statusa neispunjenja obveza klijenta. Svaka se transakcija diskontira na datum nastanka statusa neispunjenja obveza odgovarajućom diskontnom stopom, a diskontni faktor ovisi o proteklom vremenu. Pojedinačnoj izloženosti se pribrajaju sva povećanja nakon datuma nastanka statusa neispunjenja obveza. Rezultat navedenog izračuna je stopa naplate za svaku izloženost u nekoj homogenoj skupini, a ukupnu stopu naplate za pojedinu homogenu skupinu čini težinski prosjek stopa naplate svih pojedinačnih izloženosti. </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 xml:space="preserve">U izračun LGD-a također je uzeta u obzir i vjerojatnost izlaska iz statusa neispunjenja obveza. </w:t>
      </w:r>
    </w:p>
    <w:p w:rsidR="006735C2" w:rsidRPr="001567C8" w:rsidRDefault="006735C2" w:rsidP="006735C2">
      <w:pPr>
        <w:autoSpaceDE w:val="0"/>
        <w:autoSpaceDN w:val="0"/>
        <w:adjustRightInd w:val="0"/>
        <w:jc w:val="both"/>
        <w:rPr>
          <w:rFonts w:ascii="Calibri" w:hAnsi="Calibri" w:cs="Arial"/>
          <w:sz w:val="22"/>
          <w:szCs w:val="22"/>
          <w:lang w:val="hr-HR"/>
        </w:rPr>
      </w:pPr>
    </w:p>
    <w:p w:rsidR="006735C2" w:rsidRPr="001567C8" w:rsidRDefault="006735C2" w:rsidP="006735C2">
      <w:pPr>
        <w:autoSpaceDE w:val="0"/>
        <w:autoSpaceDN w:val="0"/>
        <w:adjustRightInd w:val="0"/>
        <w:jc w:val="both"/>
        <w:rPr>
          <w:rFonts w:ascii="Calibri" w:hAnsi="Calibri" w:cs="Arial"/>
          <w:sz w:val="22"/>
          <w:szCs w:val="22"/>
          <w:lang w:val="hr-HR"/>
        </w:rPr>
      </w:pPr>
      <w:r w:rsidRPr="001567C8">
        <w:rPr>
          <w:rFonts w:ascii="Calibri" w:hAnsi="Calibri" w:cs="Arial"/>
          <w:sz w:val="22"/>
          <w:szCs w:val="22"/>
          <w:lang w:val="hr-HR"/>
        </w:rPr>
        <w:t xml:space="preserve">Kao podloga za određivanje LGD-a za skupine središnja država i lokalna i područna (regionalna) samouprava i financijske institucije koristi se izvještaj vanjskih kreditnih rejting agencija. U godišnjim izvještajima o stopama nastanka statusa neispunjenja obveza i naplate, kreditne rejting agencije objavljuju i povijesne i tržišne stope naplate. Tržišna stopa naplate je tržišna cijena obveznice u odnosu na njezinu vrijednost neposredno prije defaulta ili u trenutku defaulta obveznice. Temeljem tržišnih stopa naplate za neosigurani nadređeni dug („senior unsecured debt“), određuje se stopa naplate ponderirana izdavateljem obveznica (eng. issuer-weighted recovery rate). </w:t>
      </w:r>
    </w:p>
    <w:p w:rsidR="003E6690" w:rsidRPr="001567C8" w:rsidRDefault="003E6690" w:rsidP="006735C2">
      <w:pPr>
        <w:autoSpaceDE w:val="0"/>
        <w:autoSpaceDN w:val="0"/>
        <w:adjustRightInd w:val="0"/>
        <w:jc w:val="both"/>
        <w:rPr>
          <w:rFonts w:ascii="Calibri" w:hAnsi="Calibri" w:cs="Arial"/>
          <w:sz w:val="22"/>
          <w:szCs w:val="22"/>
          <w:lang w:val="hr-HR"/>
        </w:rPr>
        <w:sectPr w:rsidR="003E6690" w:rsidRPr="001567C8" w:rsidSect="003E2D7A">
          <w:pgSz w:w="11907" w:h="16840" w:code="9"/>
          <w:pgMar w:top="1418" w:right="1134" w:bottom="1134" w:left="1418" w:header="851" w:footer="851" w:gutter="0"/>
          <w:cols w:space="720"/>
          <w:noEndnote/>
        </w:sectPr>
      </w:pPr>
    </w:p>
    <w:p w:rsidR="006735C2" w:rsidRPr="001567C8" w:rsidRDefault="006735C2" w:rsidP="006735C2">
      <w:pPr>
        <w:autoSpaceDE w:val="0"/>
        <w:autoSpaceDN w:val="0"/>
        <w:adjustRightInd w:val="0"/>
        <w:jc w:val="both"/>
        <w:rPr>
          <w:rFonts w:ascii="Calibri" w:hAnsi="Calibri" w:cs="Arial"/>
          <w:sz w:val="22"/>
          <w:szCs w:val="22"/>
          <w:lang w:val="hr-HR"/>
        </w:rPr>
      </w:pPr>
    </w:p>
    <w:p w:rsidR="006735C2" w:rsidRPr="001567C8" w:rsidRDefault="003E6690"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 Kreditni rizik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jc w:val="both"/>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 Procjena umanjenja vrijednosti (Metodologija za umanjenje vrijednosti financijskih</w:t>
      </w:r>
      <w:r w:rsidR="006735C2" w:rsidRPr="001567C8">
        <w:rPr>
          <w:rFonts w:ascii="Calibri" w:eastAsia="Calibri" w:hAnsi="Calibri" w:cs="Arial"/>
          <w:sz w:val="22"/>
          <w:szCs w:val="22"/>
          <w:lang w:val="hr-HR"/>
        </w:rPr>
        <w:t xml:space="preserve"> </w:t>
      </w:r>
      <w:r w:rsidR="006735C2" w:rsidRPr="001567C8">
        <w:rPr>
          <w:rFonts w:ascii="Calibri" w:eastAsia="Calibri" w:hAnsi="Calibri" w:cs="Arial"/>
          <w:b/>
          <w:sz w:val="22"/>
          <w:szCs w:val="22"/>
          <w:lang w:val="hr-HR"/>
        </w:rPr>
        <w:t>instrumenata u primjeni od 1. siječnja 2018.) (nastavak)</w:t>
      </w:r>
    </w:p>
    <w:p w:rsidR="006735C2" w:rsidRPr="001567C8" w:rsidRDefault="006735C2" w:rsidP="006735C2">
      <w:pPr>
        <w:autoSpaceDE w:val="0"/>
        <w:autoSpaceDN w:val="0"/>
        <w:adjustRightInd w:val="0"/>
        <w:jc w:val="both"/>
        <w:rPr>
          <w:rFonts w:ascii="Calibri" w:hAnsi="Calibri" w:cs="Arial"/>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 xml:space="preserve">6.3.2.5. Značajno povećanje kreditnog rizika </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U svrhu utvrđivanja povećanog kreditnog rizika kontinuirano, a najmanje jednom godišnje prate se promjene za sve klijente Grupe. Svi plasmani klijentu kod kojeg je utvrđen povećan kreditni rizik ili u slučaju individualno značajnih klijenata čija je izloženost iznad 1.500 tisuća kuna a nalaze se na Listi za pojačano praćenje, na slijedeći izvještajni datum se svi financijski instrumenti klijenta povećanog kreditnog rizika klasificiraju u 2. stupanj temeljem uočenih kriterija kao na primjer:</w:t>
      </w:r>
    </w:p>
    <w:p w:rsidR="006735C2" w:rsidRPr="001567C8" w:rsidRDefault="006735C2" w:rsidP="002B5EA8">
      <w:pPr>
        <w:numPr>
          <w:ilvl w:val="0"/>
          <w:numId w:val="31"/>
        </w:numPr>
        <w:jc w:val="both"/>
        <w:rPr>
          <w:rFonts w:ascii="Calibri" w:hAnsi="Calibri"/>
          <w:sz w:val="22"/>
          <w:szCs w:val="22"/>
          <w:lang w:val="hr-HR"/>
        </w:rPr>
      </w:pPr>
      <w:r w:rsidRPr="001567C8">
        <w:rPr>
          <w:rFonts w:ascii="Calibri" w:hAnsi="Calibri"/>
          <w:sz w:val="22"/>
          <w:szCs w:val="22"/>
          <w:lang w:val="hr-HR"/>
        </w:rPr>
        <w:t xml:space="preserve">klijentovo kašnjenje u podmirenju bilo koje značajne dospjele obveze prema HBOR-u duže od 30 dana (a kraće od 90 dana), </w:t>
      </w:r>
    </w:p>
    <w:p w:rsidR="006735C2" w:rsidRPr="001567C8" w:rsidRDefault="006735C2" w:rsidP="002B5EA8">
      <w:pPr>
        <w:numPr>
          <w:ilvl w:val="0"/>
          <w:numId w:val="31"/>
        </w:numPr>
        <w:jc w:val="both"/>
        <w:rPr>
          <w:rFonts w:ascii="Calibri" w:hAnsi="Calibri"/>
          <w:sz w:val="22"/>
          <w:szCs w:val="22"/>
          <w:lang w:val="hr-HR"/>
        </w:rPr>
      </w:pPr>
      <w:r w:rsidRPr="001567C8">
        <w:rPr>
          <w:rFonts w:ascii="Calibri" w:hAnsi="Calibri"/>
          <w:sz w:val="22"/>
          <w:szCs w:val="22"/>
          <w:lang w:val="hr-HR"/>
        </w:rPr>
        <w:t xml:space="preserve">klijent je u financijskim poteškoćama, ali nije u statusu neispunjenja obveza, </w:t>
      </w:r>
    </w:p>
    <w:p w:rsidR="006735C2" w:rsidRPr="001567C8" w:rsidRDefault="006735C2" w:rsidP="002B5EA8">
      <w:pPr>
        <w:numPr>
          <w:ilvl w:val="0"/>
          <w:numId w:val="31"/>
        </w:numPr>
        <w:jc w:val="both"/>
        <w:rPr>
          <w:rFonts w:ascii="Calibri" w:hAnsi="Calibri"/>
          <w:sz w:val="22"/>
          <w:szCs w:val="22"/>
          <w:lang w:val="hr-HR"/>
        </w:rPr>
      </w:pPr>
      <w:r w:rsidRPr="001567C8">
        <w:rPr>
          <w:rFonts w:ascii="Calibri" w:hAnsi="Calibri"/>
          <w:sz w:val="22"/>
          <w:szCs w:val="22"/>
          <w:lang w:val="hr-HR"/>
        </w:rPr>
        <w:t>pogoršanje rejtinga, nizak kreditni rejting klijenta,</w:t>
      </w:r>
    </w:p>
    <w:p w:rsidR="006735C2" w:rsidRPr="001567C8" w:rsidRDefault="006735C2" w:rsidP="002B5EA8">
      <w:pPr>
        <w:numPr>
          <w:ilvl w:val="0"/>
          <w:numId w:val="31"/>
        </w:numPr>
        <w:jc w:val="both"/>
        <w:rPr>
          <w:rFonts w:ascii="Calibri" w:hAnsi="Calibri"/>
          <w:sz w:val="22"/>
          <w:szCs w:val="22"/>
          <w:lang w:val="hr-HR"/>
        </w:rPr>
      </w:pPr>
      <w:r w:rsidRPr="001567C8">
        <w:rPr>
          <w:rFonts w:ascii="Calibri" w:hAnsi="Calibri"/>
          <w:sz w:val="22"/>
          <w:szCs w:val="22"/>
          <w:lang w:val="hr-HR"/>
        </w:rPr>
        <w:t>nepoštivanje ugovornih odredbi</w:t>
      </w:r>
    </w:p>
    <w:p w:rsidR="006735C2" w:rsidRPr="004718A8" w:rsidRDefault="006735C2" w:rsidP="004718A8">
      <w:pPr>
        <w:numPr>
          <w:ilvl w:val="0"/>
          <w:numId w:val="31"/>
        </w:numPr>
        <w:jc w:val="both"/>
        <w:rPr>
          <w:rFonts w:ascii="Calibri" w:hAnsi="Calibri"/>
          <w:sz w:val="22"/>
          <w:szCs w:val="22"/>
          <w:lang w:val="hr-HR"/>
        </w:rPr>
      </w:pPr>
      <w:r w:rsidRPr="001567C8">
        <w:rPr>
          <w:rFonts w:ascii="Calibri" w:hAnsi="Calibri"/>
          <w:sz w:val="22"/>
          <w:szCs w:val="22"/>
          <w:lang w:val="hr-HR"/>
        </w:rPr>
        <w:t>gubitak ključnih kupaca ili dobavljača</w:t>
      </w:r>
      <w:r w:rsidR="004718A8">
        <w:rPr>
          <w:rFonts w:ascii="Calibri" w:hAnsi="Calibri"/>
          <w:sz w:val="22"/>
          <w:szCs w:val="22"/>
          <w:lang w:val="hr-HR"/>
        </w:rPr>
        <w:t xml:space="preserve"> </w:t>
      </w:r>
      <w:r w:rsidRPr="004718A8">
        <w:rPr>
          <w:rFonts w:ascii="Calibri" w:hAnsi="Calibri"/>
          <w:sz w:val="22"/>
          <w:szCs w:val="22"/>
          <w:lang w:val="hr-HR"/>
        </w:rPr>
        <w:t>i sl.</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 xml:space="preserve">Izlazak iz statusa povećanog kreditnog rizika uvjetovan je nepostojanjem svih kriterija koji su svrstali klijenta u predmetni </w:t>
      </w:r>
      <w:r w:rsidR="003119F2" w:rsidRPr="001567C8">
        <w:rPr>
          <w:rFonts w:ascii="Calibri" w:hAnsi="Calibri" w:cs="Arial"/>
          <w:sz w:val="22"/>
          <w:szCs w:val="22"/>
          <w:lang w:val="hr-HR"/>
        </w:rPr>
        <w:t>status</w:t>
      </w:r>
      <w:r w:rsidRPr="001567C8">
        <w:rPr>
          <w:rFonts w:ascii="Calibri" w:hAnsi="Calibri" w:cs="Arial"/>
          <w:sz w:val="22"/>
          <w:szCs w:val="22"/>
          <w:lang w:val="hr-HR"/>
        </w:rPr>
        <w:t xml:space="preserve"> po njegovom događaju, a provjera svih pokazatelja provodi se najmanje jednom godišnje u okviru godišnjeg praćenja klijenta. Deaktiviranje dijela pokazatelja moguće je provesti nakon šest mjeseci. Pokazatelji povećanog kreditnog rizika su aktivni godinu dana, nakon čega ih je potrebno provjeriti te temeljem rezultata praćenja ponovo aktivirati odnosno deaktivirati. Rezultat promjene je reklasifikacija financijskih instrumenata klijenta u 1. stupanj odnosno njihovim ostankom u 2. stupnju.</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bookmarkStart w:id="75" w:name="_Hlk500928993"/>
      <w:r w:rsidRPr="001567C8">
        <w:rPr>
          <w:rFonts w:ascii="Calibri" w:hAnsi="Calibri" w:cs="Arial"/>
          <w:sz w:val="22"/>
          <w:szCs w:val="22"/>
          <w:lang w:val="hr-HR"/>
        </w:rPr>
        <w:t xml:space="preserve">Financijski instrumenti klijenta s investicijskim rejtingom vanjskih kreditnih rejting agencija smatraju se financijskim instrumentima niskog kreditnog rizika. Sve izloženosti prema Republici Hrvatskoj i jedinicama lokalne i područne (regionalne) samouprave (JLP(R)S), HNB-u, Europskoj investicijskoj banci (EIB) te ostalim razvojnim bankama smatraju se također financijskim instrumentima klijenata niskog kreditnog rizika. </w:t>
      </w:r>
      <w:bookmarkEnd w:id="75"/>
      <w:r w:rsidRPr="001567C8">
        <w:rPr>
          <w:rFonts w:ascii="Calibri" w:hAnsi="Calibri" w:cs="Arial"/>
          <w:sz w:val="22"/>
          <w:szCs w:val="22"/>
          <w:lang w:val="hr-HR"/>
        </w:rPr>
        <w:t>Financijski instrumenti klijenata niskog kreditnog rizika se uvijek raspoređuju u 1. stupanj.</w:t>
      </w:r>
    </w:p>
    <w:p w:rsidR="006735C2" w:rsidRPr="001567C8" w:rsidRDefault="006735C2" w:rsidP="006735C2">
      <w:pPr>
        <w:keepNext/>
        <w:tabs>
          <w:tab w:val="left" w:pos="426"/>
        </w:tabs>
        <w:jc w:val="both"/>
        <w:rPr>
          <w:rFonts w:ascii="Calibri" w:hAnsi="Calibri" w:cs="Calibri"/>
          <w:b/>
          <w:bCs/>
          <w:sz w:val="22"/>
          <w:szCs w:val="22"/>
          <w:lang w:val="hr-HR" w:eastAsia="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6.3.2.6. Svrstavanje financijske imovine koja se mjeri na skupnoj osnovi</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Kreditni rizik se procjenjuje na skupnoj osnovi za sve klijente klasificirane u 1. i 2. stupanj rizika te za klijente u 3. stupnju rizika koji pripadaju portfelju malih kredita. Klijenti koji pripadaju portfelju malih kredita su klijenti prema kojima je HBOR izložen u bruto iznosu jednakom ili manjem od 1.500 tisuća kuna.</w:t>
      </w:r>
    </w:p>
    <w:p w:rsidR="006735C2" w:rsidRPr="001567C8" w:rsidRDefault="006735C2" w:rsidP="006735C2">
      <w:pPr>
        <w:autoSpaceDE w:val="0"/>
        <w:autoSpaceDN w:val="0"/>
        <w:adjustRightInd w:val="0"/>
        <w:jc w:val="both"/>
        <w:rPr>
          <w:rFonts w:ascii="Calibri" w:hAnsi="Calibri" w:cs="Arial"/>
          <w:sz w:val="22"/>
          <w:szCs w:val="22"/>
          <w:lang w:val="hr-HR"/>
        </w:rPr>
      </w:pPr>
    </w:p>
    <w:p w:rsidR="003E6690" w:rsidRPr="001567C8" w:rsidRDefault="003E6690" w:rsidP="006735C2">
      <w:pPr>
        <w:tabs>
          <w:tab w:val="left" w:pos="2694"/>
        </w:tabs>
        <w:jc w:val="both"/>
        <w:rPr>
          <w:rFonts w:ascii="Calibri" w:hAnsi="Calibri" w:cs="Arial"/>
          <w:sz w:val="22"/>
          <w:szCs w:val="22"/>
          <w:lang w:val="hr-HR"/>
        </w:rPr>
        <w:sectPr w:rsidR="003E6690" w:rsidRPr="001567C8" w:rsidSect="003E2D7A">
          <w:pgSz w:w="11907" w:h="16840" w:code="9"/>
          <w:pgMar w:top="1418" w:right="1134" w:bottom="1134" w:left="1418" w:header="851" w:footer="851" w:gutter="0"/>
          <w:cols w:space="720"/>
          <w:noEndnote/>
        </w:sectPr>
      </w:pPr>
    </w:p>
    <w:p w:rsidR="006735C2" w:rsidRPr="001567C8" w:rsidRDefault="006735C2" w:rsidP="006735C2">
      <w:pPr>
        <w:tabs>
          <w:tab w:val="left" w:pos="2694"/>
        </w:tabs>
        <w:jc w:val="both"/>
        <w:rPr>
          <w:rFonts w:ascii="Calibri" w:hAnsi="Calibri" w:cs="Arial"/>
          <w:sz w:val="22"/>
          <w:szCs w:val="22"/>
          <w:lang w:val="hr-HR"/>
        </w:rPr>
      </w:pPr>
    </w:p>
    <w:p w:rsidR="006735C2" w:rsidRPr="001567C8" w:rsidRDefault="003E6690"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 Kreditni rizik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jc w:val="both"/>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 Procjena umanjenja vrijednosti (Metodologija za umanjenje vrijednosti financijskih</w:t>
      </w:r>
      <w:r w:rsidR="006735C2" w:rsidRPr="001567C8">
        <w:rPr>
          <w:rFonts w:ascii="Calibri" w:eastAsia="Calibri" w:hAnsi="Calibri" w:cs="Arial"/>
          <w:sz w:val="22"/>
          <w:szCs w:val="22"/>
          <w:lang w:val="hr-HR"/>
        </w:rPr>
        <w:t xml:space="preserve"> </w:t>
      </w:r>
      <w:r w:rsidR="006735C2" w:rsidRPr="001567C8">
        <w:rPr>
          <w:rFonts w:ascii="Calibri" w:eastAsia="Calibri" w:hAnsi="Calibri" w:cs="Arial"/>
          <w:b/>
          <w:sz w:val="22"/>
          <w:szCs w:val="22"/>
          <w:lang w:val="hr-HR"/>
        </w:rPr>
        <w:t>instrumenata u primjeni od 1. siječnja 2018.) (nastavak)</w:t>
      </w:r>
    </w:p>
    <w:p w:rsidR="006735C2" w:rsidRPr="001567C8" w:rsidRDefault="006735C2" w:rsidP="006735C2">
      <w:pPr>
        <w:spacing w:line="300" w:lineRule="exact"/>
        <w:rPr>
          <w:rFonts w:ascii="Calibri" w:eastAsia="Calibri" w:hAnsi="Calibri" w:cs="Arial"/>
          <w:b/>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6.3.2.6. Svrstavanje financijske imovine koja se mjeri na skupnoj osnovi (nastavak)</w:t>
      </w:r>
    </w:p>
    <w:p w:rsidR="006735C2" w:rsidRPr="001567C8" w:rsidRDefault="006735C2" w:rsidP="006735C2">
      <w:pPr>
        <w:tabs>
          <w:tab w:val="left" w:pos="2694"/>
        </w:tabs>
        <w:ind w:left="1434"/>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Za potrebe određivanja značajnog povećanja kreditnog rizika i priznavanja rezervacija za umanjenje vrijednosti na skupnoj osnovi, financijski instrumenti su grupirani u sljedeće skupine, i to na temelju zajedničkih obilježja kreditnog rizika, radi lakše procjene značajnog povećanja kreditnog rizika:</w:t>
      </w:r>
    </w:p>
    <w:p w:rsidR="006735C2" w:rsidRPr="001567C8" w:rsidRDefault="006735C2" w:rsidP="002B5EA8">
      <w:pPr>
        <w:numPr>
          <w:ilvl w:val="0"/>
          <w:numId w:val="34"/>
        </w:numPr>
        <w:tabs>
          <w:tab w:val="left" w:pos="8640"/>
        </w:tabs>
        <w:ind w:right="57"/>
        <w:contextualSpacing/>
        <w:jc w:val="both"/>
        <w:rPr>
          <w:rFonts w:ascii="Calibri" w:eastAsia="PMingLiU" w:hAnsi="Calibri" w:cs="Calibri"/>
          <w:sz w:val="22"/>
          <w:szCs w:val="22"/>
          <w:lang w:val="hr-HR" w:eastAsia="hr-HR" w:bidi="hr-HR"/>
        </w:rPr>
      </w:pPr>
      <w:r w:rsidRPr="001567C8">
        <w:rPr>
          <w:rFonts w:ascii="Calibri" w:eastAsia="PMingLiU" w:hAnsi="Calibri" w:cs="Calibri"/>
          <w:sz w:val="22"/>
          <w:szCs w:val="22"/>
          <w:lang w:val="hr-HR" w:eastAsia="hr-HR" w:bidi="hr-HR"/>
        </w:rPr>
        <w:t>financijske institucije,</w:t>
      </w:r>
    </w:p>
    <w:p w:rsidR="006735C2" w:rsidRPr="001567C8" w:rsidRDefault="006735C2" w:rsidP="002B5EA8">
      <w:pPr>
        <w:numPr>
          <w:ilvl w:val="0"/>
          <w:numId w:val="34"/>
        </w:numPr>
        <w:tabs>
          <w:tab w:val="left" w:pos="8640"/>
        </w:tabs>
        <w:ind w:right="57"/>
        <w:contextualSpacing/>
        <w:jc w:val="both"/>
        <w:rPr>
          <w:rFonts w:ascii="Calibri" w:eastAsia="PMingLiU" w:hAnsi="Calibri" w:cs="Calibri"/>
          <w:sz w:val="22"/>
          <w:szCs w:val="22"/>
          <w:lang w:val="hr-HR" w:eastAsia="hr-HR" w:bidi="hr-HR"/>
        </w:rPr>
      </w:pPr>
      <w:r w:rsidRPr="001567C8">
        <w:rPr>
          <w:rFonts w:ascii="Calibri" w:eastAsia="PMingLiU" w:hAnsi="Calibri" w:cs="Calibri"/>
          <w:sz w:val="22"/>
          <w:szCs w:val="22"/>
          <w:lang w:val="hr-HR" w:eastAsia="hr-HR" w:bidi="hr-HR"/>
        </w:rPr>
        <w:t>središnja država i lokalna i područna (regionalna) samouprava,</w:t>
      </w:r>
    </w:p>
    <w:p w:rsidR="006735C2" w:rsidRPr="001567C8" w:rsidRDefault="006735C2" w:rsidP="002B5EA8">
      <w:pPr>
        <w:numPr>
          <w:ilvl w:val="0"/>
          <w:numId w:val="34"/>
        </w:numPr>
        <w:tabs>
          <w:tab w:val="left" w:pos="8640"/>
        </w:tabs>
        <w:ind w:right="57"/>
        <w:contextualSpacing/>
        <w:jc w:val="both"/>
        <w:rPr>
          <w:rFonts w:ascii="Calibri" w:eastAsia="PMingLiU" w:hAnsi="Calibri" w:cs="Calibri"/>
          <w:sz w:val="22"/>
          <w:szCs w:val="22"/>
          <w:lang w:val="hr-HR" w:eastAsia="hr-HR" w:bidi="hr-HR"/>
        </w:rPr>
      </w:pPr>
      <w:r w:rsidRPr="001567C8">
        <w:rPr>
          <w:rFonts w:ascii="Calibri" w:eastAsia="PMingLiU" w:hAnsi="Calibri" w:cs="Calibri"/>
          <w:sz w:val="22"/>
          <w:szCs w:val="22"/>
          <w:lang w:val="hr-HR" w:eastAsia="hr-HR" w:bidi="hr-HR"/>
        </w:rPr>
        <w:t>izravni korisnici – veliki,</w:t>
      </w:r>
    </w:p>
    <w:p w:rsidR="006735C2" w:rsidRPr="001567C8" w:rsidRDefault="006735C2" w:rsidP="002B5EA8">
      <w:pPr>
        <w:numPr>
          <w:ilvl w:val="0"/>
          <w:numId w:val="34"/>
        </w:numPr>
        <w:tabs>
          <w:tab w:val="left" w:pos="8640"/>
        </w:tabs>
        <w:ind w:right="57"/>
        <w:contextualSpacing/>
        <w:jc w:val="both"/>
        <w:rPr>
          <w:rFonts w:ascii="Calibri" w:eastAsia="PMingLiU" w:hAnsi="Calibri" w:cs="Calibri"/>
          <w:sz w:val="22"/>
          <w:szCs w:val="22"/>
          <w:lang w:val="hr-HR" w:eastAsia="hr-HR" w:bidi="hr-HR"/>
        </w:rPr>
      </w:pPr>
      <w:r w:rsidRPr="001567C8">
        <w:rPr>
          <w:rFonts w:ascii="Calibri" w:eastAsia="PMingLiU" w:hAnsi="Calibri" w:cs="Calibri"/>
          <w:sz w:val="22"/>
          <w:szCs w:val="22"/>
          <w:lang w:val="hr-HR" w:eastAsia="hr-HR" w:bidi="hr-HR"/>
        </w:rPr>
        <w:t xml:space="preserve">izravni korisnici – mali i srednji, </w:t>
      </w:r>
    </w:p>
    <w:p w:rsidR="006735C2" w:rsidRPr="001567C8" w:rsidRDefault="006735C2" w:rsidP="002B5EA8">
      <w:pPr>
        <w:numPr>
          <w:ilvl w:val="0"/>
          <w:numId w:val="34"/>
        </w:numPr>
        <w:tabs>
          <w:tab w:val="left" w:pos="8640"/>
        </w:tabs>
        <w:ind w:right="57"/>
        <w:contextualSpacing/>
        <w:jc w:val="both"/>
        <w:rPr>
          <w:rFonts w:ascii="Calibri" w:eastAsia="PMingLiU" w:hAnsi="Calibri" w:cs="Calibri"/>
          <w:sz w:val="22"/>
          <w:szCs w:val="22"/>
          <w:lang w:val="hr-HR" w:eastAsia="hr-HR" w:bidi="hr-HR"/>
        </w:rPr>
      </w:pPr>
      <w:r w:rsidRPr="001567C8">
        <w:rPr>
          <w:rFonts w:ascii="Calibri" w:eastAsia="PMingLiU" w:hAnsi="Calibri" w:cs="Calibri"/>
          <w:sz w:val="22"/>
          <w:szCs w:val="22"/>
          <w:lang w:val="hr-HR" w:eastAsia="hr-HR" w:bidi="hr-HR"/>
        </w:rPr>
        <w:t xml:space="preserve">izravni korisnici – mikro, </w:t>
      </w:r>
    </w:p>
    <w:p w:rsidR="006735C2" w:rsidRPr="001567C8" w:rsidRDefault="006735C2" w:rsidP="002B5EA8">
      <w:pPr>
        <w:numPr>
          <w:ilvl w:val="0"/>
          <w:numId w:val="34"/>
        </w:numPr>
        <w:tabs>
          <w:tab w:val="left" w:pos="8640"/>
        </w:tabs>
        <w:ind w:right="57"/>
        <w:contextualSpacing/>
        <w:jc w:val="both"/>
        <w:rPr>
          <w:rFonts w:ascii="Calibri" w:eastAsia="PMingLiU" w:hAnsi="Calibri" w:cs="Calibri"/>
          <w:sz w:val="22"/>
          <w:szCs w:val="22"/>
          <w:lang w:val="hr-HR" w:eastAsia="hr-HR" w:bidi="hr-HR"/>
        </w:rPr>
      </w:pPr>
      <w:r w:rsidRPr="001567C8">
        <w:rPr>
          <w:rFonts w:ascii="Calibri" w:eastAsia="PMingLiU" w:hAnsi="Calibri" w:cs="Calibri"/>
          <w:sz w:val="22"/>
          <w:szCs w:val="22"/>
          <w:lang w:val="hr-HR" w:eastAsia="hr-HR" w:bidi="hr-HR"/>
        </w:rPr>
        <w:t>izravni korisnici – stanovništvo,</w:t>
      </w:r>
    </w:p>
    <w:p w:rsidR="006735C2" w:rsidRPr="001567C8" w:rsidRDefault="006735C2" w:rsidP="002B5EA8">
      <w:pPr>
        <w:numPr>
          <w:ilvl w:val="0"/>
          <w:numId w:val="34"/>
        </w:numPr>
        <w:tabs>
          <w:tab w:val="left" w:pos="8640"/>
        </w:tabs>
        <w:ind w:right="57"/>
        <w:contextualSpacing/>
        <w:jc w:val="both"/>
        <w:rPr>
          <w:rFonts w:ascii="Calibri" w:eastAsia="PMingLiU" w:hAnsi="Calibri" w:cs="Calibri"/>
          <w:sz w:val="22"/>
          <w:szCs w:val="22"/>
          <w:lang w:val="hr-HR" w:eastAsia="hr-HR" w:bidi="hr-HR"/>
        </w:rPr>
      </w:pPr>
      <w:r w:rsidRPr="001567C8">
        <w:rPr>
          <w:rFonts w:ascii="Calibri" w:eastAsia="PMingLiU" w:hAnsi="Calibri" w:cs="Calibri"/>
          <w:sz w:val="22"/>
          <w:szCs w:val="22"/>
          <w:lang w:val="hr-HR" w:eastAsia="hr-HR" w:bidi="hr-HR"/>
        </w:rPr>
        <w:t>ostalo.</w:t>
      </w:r>
    </w:p>
    <w:p w:rsidR="006735C2" w:rsidRPr="001567C8" w:rsidRDefault="006735C2" w:rsidP="006735C2">
      <w:pPr>
        <w:jc w:val="both"/>
        <w:rPr>
          <w:rFonts w:ascii="Calibri" w:hAnsi="Calibri" w:cs="Arial"/>
          <w:sz w:val="20"/>
          <w:szCs w:val="20"/>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Grupiranjem financijskih instrumenata u homogene skupine se osigurava da se u slučaju značajnog povećanja kreditnog rizika ispuni cilj priznavanja očekivanih kreditnih gubitaka tijekom cijelog vijeka trajanja financijskog instrumenta, čak i ako dokaz takvog značajnog povećanja kreditnog rizika još uvijek nije dostupan na razini pojedinog instrumenta.</w:t>
      </w:r>
    </w:p>
    <w:p w:rsidR="006735C2" w:rsidRPr="001567C8" w:rsidRDefault="006735C2" w:rsidP="006735C2">
      <w:pPr>
        <w:jc w:val="both"/>
        <w:rPr>
          <w:rFonts w:ascii="Calibri" w:hAnsi="Calibri" w:cs="Arial"/>
          <w:sz w:val="20"/>
          <w:szCs w:val="20"/>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6.3.3. Analiza inputa za ECL model u okviru utjecaja makroekonomskih uvjeta na PD</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Prilikom uključivanja informacija o budućnosti, koriste se dostupni izvori (HNB, DZS) o makroekonomskim uvjetima kako bi se projicirao njihov utjecaj na sadašnju vrijednost rizičnih parametara.</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Temeljem povijesne analize utjecaja makroekonomskih uvjeta i dostupnim makroekonomskim prognozama, utvrđuje se potencijalni utjecaj budućeg kretanja makroekonomskih uvjeta na vrijednost rizičnih parametara koristeći scenarije s pripadajućim vjerojatnostima nastanka pojedinog scenarija.</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 xml:space="preserve">Kod procjene očekivanih kreditnih gubitaka primjenom ranijih iskustava o kreditnim gubicima, podaci o ranijim stopama kreditnog gubitka se </w:t>
      </w:r>
      <w:r w:rsidR="003119F2" w:rsidRPr="001567C8">
        <w:rPr>
          <w:rFonts w:ascii="Calibri" w:hAnsi="Calibri"/>
          <w:sz w:val="22"/>
          <w:szCs w:val="22"/>
          <w:lang w:val="hr-HR"/>
        </w:rPr>
        <w:t>primjenjuju</w:t>
      </w:r>
      <w:r w:rsidRPr="001567C8">
        <w:rPr>
          <w:rFonts w:ascii="Calibri" w:hAnsi="Calibri"/>
          <w:sz w:val="22"/>
          <w:szCs w:val="22"/>
          <w:lang w:val="hr-HR"/>
        </w:rPr>
        <w:t xml:space="preserve"> na formirane homogene skupine, a primjenom određene metode omogućeno je povezivanje pojedine skupine financijskih instrumenata s podacima o ranijem iskustvu o kreditnim gubicima u skupinama financijskih instrumenata sličnih karakteristika kreditnog rizika, kao i s važnim odgovarajućim podacima koji odražavaju postojeće stanje. </w:t>
      </w:r>
    </w:p>
    <w:p w:rsidR="006735C2" w:rsidRPr="001567C8" w:rsidRDefault="006735C2" w:rsidP="006735C2">
      <w:pPr>
        <w:jc w:val="both"/>
        <w:rPr>
          <w:rFonts w:ascii="Calibri" w:hAnsi="Calibri"/>
          <w:sz w:val="20"/>
          <w:szCs w:val="20"/>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 xml:space="preserve">Očekivani kreditni gubici odražavaju očekivanja Grupe u pogledu kreditnih gubitaka. Međutim, kada pri procjeni očekivanih kreditnih gubitaka razmatra sve razumne i pouzdane podatke koji su dostupni bez nepotrebnih troškova i napora, Grupa razmatra i odgovarajuće tržišne podatke o kreditnom riziku određenog financijskog instrumenta ili sličnih financijskih instrumenata. </w:t>
      </w:r>
    </w:p>
    <w:p w:rsidR="006735C2" w:rsidRPr="001567C8" w:rsidRDefault="006735C2" w:rsidP="006735C2">
      <w:pPr>
        <w:jc w:val="both"/>
        <w:rPr>
          <w:rFonts w:ascii="Calibri" w:hAnsi="Calibri"/>
          <w:sz w:val="20"/>
          <w:szCs w:val="20"/>
          <w:lang w:val="hr-HR"/>
        </w:rPr>
      </w:pPr>
    </w:p>
    <w:p w:rsidR="003E6690" w:rsidRPr="001567C8" w:rsidRDefault="006735C2" w:rsidP="006735C2">
      <w:pPr>
        <w:jc w:val="both"/>
        <w:rPr>
          <w:rFonts w:ascii="Calibri" w:hAnsi="Calibri"/>
          <w:sz w:val="22"/>
          <w:szCs w:val="22"/>
          <w:lang w:val="hr-HR"/>
        </w:rPr>
        <w:sectPr w:rsidR="003E6690" w:rsidRPr="001567C8" w:rsidSect="003E2D7A">
          <w:pgSz w:w="11907" w:h="16840" w:code="9"/>
          <w:pgMar w:top="1418" w:right="1134" w:bottom="1134" w:left="1418" w:header="851" w:footer="851" w:gutter="0"/>
          <w:cols w:space="720"/>
          <w:noEndnote/>
        </w:sectPr>
      </w:pPr>
      <w:r w:rsidRPr="001567C8">
        <w:rPr>
          <w:rFonts w:ascii="Calibri" w:hAnsi="Calibri"/>
          <w:sz w:val="22"/>
          <w:szCs w:val="22"/>
          <w:lang w:val="hr-HR"/>
        </w:rPr>
        <w:t>Grupa za potrebe izračuna očekivanih kreditnih gubitaka koristi veći broj makroekonomskih uvjeta od kojih su za dva utvrđene korelacije PD-jeva po pojedinim homogenim skupinama: društveni bruto proizvod i tečaj.</w:t>
      </w:r>
    </w:p>
    <w:p w:rsidR="006735C2" w:rsidRPr="001567C8" w:rsidRDefault="006735C2" w:rsidP="006735C2">
      <w:pPr>
        <w:jc w:val="both"/>
        <w:rPr>
          <w:rFonts w:ascii="Calibri" w:hAnsi="Calibri"/>
          <w:sz w:val="22"/>
          <w:szCs w:val="22"/>
          <w:lang w:val="hr-HR"/>
        </w:rPr>
      </w:pPr>
    </w:p>
    <w:p w:rsidR="006735C2" w:rsidRPr="001567C8" w:rsidRDefault="003E6690"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 Kreditni rizik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6.3.3. Analiza inputa za ECL model u okviru utjecaja makroekonomskih uvjeta na PD (nastavak)</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Kako bi se odredio utjecaj budućih makroekonomskih uvjeta na očekivane kreditne gubitke, putem analize na temelju povijesnih podataka, utvrđuje se veza između makroekonomskih uvjeta i PD-ja. Nakon toga, procjenjuje se utjecaj makroekonomskih prognoza na vrijednosti PD-ja i računa se koeficijent pomoću kojeg se korigira procijenjena vrijednost PD-ja u dva scenarija, optimistični i pesimistični.</w:t>
      </w:r>
    </w:p>
    <w:p w:rsidR="006735C2" w:rsidRPr="001567C8" w:rsidRDefault="006735C2" w:rsidP="006735C2">
      <w:pPr>
        <w:keepNext/>
        <w:tabs>
          <w:tab w:val="left" w:pos="426"/>
        </w:tabs>
        <w:jc w:val="both"/>
        <w:rPr>
          <w:rFonts w:ascii="Calibri" w:hAnsi="Calibri" w:cs="Calibri"/>
          <w:b/>
          <w:bCs/>
          <w:sz w:val="22"/>
          <w:szCs w:val="22"/>
          <w:lang w:val="hr-HR" w:eastAsia="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Calibri"/>
          <w:b/>
          <w:sz w:val="22"/>
          <w:szCs w:val="22"/>
          <w:lang w:val="hr-HR" w:eastAsia="hr-HR"/>
        </w:rPr>
        <w:t>3</w:t>
      </w:r>
      <w:r w:rsidR="006735C2" w:rsidRPr="001567C8">
        <w:rPr>
          <w:rFonts w:ascii="Calibri" w:eastAsia="Calibri" w:hAnsi="Calibri" w:cs="Calibri"/>
          <w:b/>
          <w:sz w:val="22"/>
          <w:szCs w:val="22"/>
          <w:lang w:val="hr-HR" w:eastAsia="hr-HR"/>
        </w:rPr>
        <w:t xml:space="preserve">6.3.4. </w:t>
      </w:r>
      <w:r w:rsidR="006735C2" w:rsidRPr="001567C8">
        <w:rPr>
          <w:rFonts w:ascii="Calibri" w:eastAsia="Calibri" w:hAnsi="Calibri" w:cs="Arial"/>
          <w:b/>
          <w:sz w:val="22"/>
          <w:szCs w:val="22"/>
          <w:lang w:val="hr-HR"/>
        </w:rPr>
        <w:t xml:space="preserve">Kvantitativna analiza pouzdanosti informacija koje se koriste za izračun rezervacije za ECL </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Za primjenu makroekonomskih faktora Banka koristi metodologiju sa nivoom pouzdanosti od 90%.</w:t>
      </w:r>
    </w:p>
    <w:p w:rsidR="006735C2" w:rsidRPr="001567C8" w:rsidRDefault="006735C2" w:rsidP="006735C2">
      <w:pPr>
        <w:spacing w:line="300" w:lineRule="exact"/>
        <w:rPr>
          <w:rFonts w:ascii="Calibri" w:eastAsia="Calibri" w:hAnsi="Calibri" w:cs="Arial"/>
          <w:b/>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6.3.5. Pregled modificiranih i restrukturiranih kredita</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Modifikacija se smatra svaka izmjena ugovornih odredbi koja rezultira izmjenom ugovorenih novčanih tokova od financijske imovine.</w:t>
      </w: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Izmjena uvjeta po plasmanu obuhvaća promjene određenih ugovorom definiranih uvjeta najčešće radi prilagodbe promjenama u provedbi investicije, a moguće i tijekom otplate, koje nisu uzrokovane financijskim poteškoćama klijenta. Najčešće bi izmijenjeni uvjeti bili prihvaćeni kod odobrenja da su bili poznati ili su rezultat okolnosti koje nisu pod kontrolom klijenta.</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Sve promjene ugovornih obveza kojima se čini ustupak klijentu, a koji je u financijskim poteškoćama smatraju se reprogramom ili restrukturiranjem. Ustupak se može odnositi na bilo koju od sljedećih mjera:</w:t>
      </w:r>
    </w:p>
    <w:p w:rsidR="006735C2" w:rsidRPr="001567C8" w:rsidRDefault="006735C2" w:rsidP="002B5EA8">
      <w:pPr>
        <w:numPr>
          <w:ilvl w:val="0"/>
          <w:numId w:val="32"/>
        </w:numPr>
        <w:jc w:val="both"/>
        <w:rPr>
          <w:rFonts w:ascii="Calibri" w:hAnsi="Calibri"/>
          <w:sz w:val="22"/>
          <w:szCs w:val="22"/>
          <w:lang w:val="hr-HR"/>
        </w:rPr>
      </w:pPr>
      <w:r w:rsidRPr="001567C8">
        <w:rPr>
          <w:rFonts w:ascii="Calibri" w:hAnsi="Calibri"/>
          <w:sz w:val="22"/>
          <w:szCs w:val="22"/>
          <w:lang w:val="hr-HR"/>
        </w:rPr>
        <w:t>izmjena ranijih uvjeta ugovora za koje se smatra da ih klijent ne može ispuniti a dovode do gubitka njegove sposobnosti podmirivanja obveza i koji ne bi bili odobreni da dužnik nema financijske poteškoće (npr. smanjenje kamatne stope, smanjenje ili otpis kamatnog prihoda, promjena visine glavnice, promjena tj. produženje rokova otplate i sl.)</w:t>
      </w:r>
    </w:p>
    <w:p w:rsidR="006735C2" w:rsidRPr="001567C8" w:rsidRDefault="006735C2" w:rsidP="002B5EA8">
      <w:pPr>
        <w:numPr>
          <w:ilvl w:val="0"/>
          <w:numId w:val="32"/>
        </w:numPr>
        <w:jc w:val="both"/>
        <w:rPr>
          <w:rFonts w:ascii="Calibri" w:hAnsi="Calibri"/>
          <w:sz w:val="22"/>
          <w:szCs w:val="22"/>
          <w:lang w:val="hr-HR"/>
        </w:rPr>
      </w:pPr>
      <w:r w:rsidRPr="001567C8">
        <w:rPr>
          <w:rFonts w:ascii="Calibri" w:hAnsi="Calibri"/>
          <w:sz w:val="22"/>
          <w:szCs w:val="22"/>
          <w:lang w:val="hr-HR"/>
        </w:rPr>
        <w:t>potpuno ili djelomično refinanciranje plasmana koje ne bi bilo odobreno da dužnik nema financijske poteškoće.</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Dokaz o ustupku uključuje sljedeće:</w:t>
      </w:r>
    </w:p>
    <w:p w:rsidR="006735C2" w:rsidRPr="001567C8" w:rsidRDefault="006735C2" w:rsidP="002B5EA8">
      <w:pPr>
        <w:numPr>
          <w:ilvl w:val="0"/>
          <w:numId w:val="33"/>
        </w:numPr>
        <w:jc w:val="both"/>
        <w:rPr>
          <w:rFonts w:ascii="Calibri" w:hAnsi="Calibri"/>
          <w:sz w:val="22"/>
          <w:szCs w:val="22"/>
          <w:lang w:val="hr-HR"/>
        </w:rPr>
      </w:pPr>
      <w:r w:rsidRPr="001567C8">
        <w:rPr>
          <w:rFonts w:ascii="Calibri" w:hAnsi="Calibri"/>
          <w:sz w:val="22"/>
          <w:szCs w:val="22"/>
          <w:lang w:val="hr-HR"/>
        </w:rPr>
        <w:t>razliku u korist klijenta između izmijenjenih uvjeta ugovora i ranijih uvjeta ugovora,</w:t>
      </w:r>
    </w:p>
    <w:p w:rsidR="006735C2" w:rsidRPr="001567C8" w:rsidRDefault="006735C2" w:rsidP="002B5EA8">
      <w:pPr>
        <w:numPr>
          <w:ilvl w:val="0"/>
          <w:numId w:val="33"/>
        </w:numPr>
        <w:jc w:val="both"/>
        <w:rPr>
          <w:rFonts w:ascii="Calibri" w:hAnsi="Calibri"/>
          <w:sz w:val="22"/>
          <w:szCs w:val="22"/>
          <w:lang w:val="hr-HR"/>
        </w:rPr>
      </w:pPr>
      <w:r w:rsidRPr="001567C8">
        <w:rPr>
          <w:rFonts w:ascii="Calibri" w:hAnsi="Calibri"/>
          <w:sz w:val="22"/>
          <w:szCs w:val="22"/>
          <w:lang w:val="hr-HR"/>
        </w:rPr>
        <w:t xml:space="preserve">uvrštenje povoljnijih uvjeta u izmijenjeni ugovor u odnosu na uvjete koje bi mogli postići drugi dužnici sa sličnim profilom rizičnosti u portfelju </w:t>
      </w:r>
      <w:r w:rsidR="003119F2" w:rsidRPr="001567C8">
        <w:rPr>
          <w:rFonts w:ascii="Calibri" w:hAnsi="Calibri"/>
          <w:sz w:val="22"/>
          <w:szCs w:val="22"/>
          <w:lang w:val="hr-HR"/>
        </w:rPr>
        <w:t>Banke</w:t>
      </w:r>
      <w:r w:rsidRPr="001567C8">
        <w:rPr>
          <w:rFonts w:ascii="Calibri" w:hAnsi="Calibri"/>
          <w:sz w:val="22"/>
          <w:szCs w:val="22"/>
          <w:lang w:val="hr-HR"/>
        </w:rPr>
        <w:t>.</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Reprogramom se smatra promjena prvobitno ugovorenih uvjeta kreditiranja zbog privremenih financijskih poteškoća klijenta. Restrukturiranjem se smatra promjena prvobitno ugovorenih uvjeta kreditiranja zbog značajnih financijskih poteškoća klijenta, kojemu je potrebno financijsko, poslovno i operativno restrukturiranje, odnosno klijentu koji se već nalazi u statusu neispunjenja obveza.</w:t>
      </w:r>
    </w:p>
    <w:p w:rsidR="003E6690" w:rsidRPr="001567C8" w:rsidRDefault="003E6690" w:rsidP="006735C2">
      <w:pPr>
        <w:jc w:val="both"/>
        <w:rPr>
          <w:rFonts w:ascii="Calibri" w:hAnsi="Calibri"/>
          <w:sz w:val="22"/>
          <w:szCs w:val="22"/>
          <w:lang w:val="hr-HR"/>
        </w:rPr>
        <w:sectPr w:rsidR="003E6690" w:rsidRPr="001567C8" w:rsidSect="003E2D7A">
          <w:pgSz w:w="11907" w:h="16840" w:code="9"/>
          <w:pgMar w:top="1418" w:right="1134" w:bottom="1134" w:left="1418" w:header="851" w:footer="851" w:gutter="0"/>
          <w:cols w:space="720"/>
          <w:noEndnote/>
        </w:sectPr>
      </w:pPr>
    </w:p>
    <w:p w:rsidR="006735C2" w:rsidRPr="001567C8" w:rsidRDefault="006735C2" w:rsidP="006735C2">
      <w:pPr>
        <w:jc w:val="both"/>
        <w:rPr>
          <w:rFonts w:ascii="Calibri" w:hAnsi="Calibri"/>
          <w:sz w:val="22"/>
          <w:szCs w:val="22"/>
          <w:lang w:val="hr-HR"/>
        </w:rPr>
      </w:pPr>
    </w:p>
    <w:p w:rsidR="006735C2" w:rsidRPr="001567C8" w:rsidRDefault="003E6690"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 Kreditni rizik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6.3.6. Analiza koncentracije rizika</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 xml:space="preserve">Grupa kroz razvojne programe kreditiranja obuhvaća područje cijele Republike Hrvatske s naglaskom na potpomognuta područja. Kreditni rizik rasprostranjen je po geografskim područjima, djelatnostima, sektorima te kreditnim programima. Grupa nastoji izbjeći pretjeranu koncentraciju kreditnog rizika te povoljnijim uvjetima i novim kreditnim programima (proizvodima) potaknuti razvoj slabije razvijenih područja Republike Hrvatske u skladu s državnom strategijom razvoja pojedinih djelatnosti. </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Kreditiranjem različitih grana djelatnosti uz poticanje proizvodnje i razvoja s ciljem razvoja hrvatske privrede Grupa stvara bolju bazu za povrate kredita i smanjenje rizika.</w:t>
      </w:r>
    </w:p>
    <w:p w:rsidR="006735C2" w:rsidRPr="001567C8" w:rsidRDefault="006735C2" w:rsidP="006735C2">
      <w:pPr>
        <w:jc w:val="both"/>
        <w:rPr>
          <w:rFonts w:ascii="Calibri" w:hAnsi="Calibri"/>
          <w:sz w:val="22"/>
          <w:szCs w:val="22"/>
          <w:lang w:val="hr-HR"/>
        </w:rPr>
      </w:pPr>
    </w:p>
    <w:p w:rsidR="006735C2" w:rsidRPr="001567C8" w:rsidRDefault="006735C2" w:rsidP="006735C2">
      <w:pPr>
        <w:jc w:val="both"/>
        <w:rPr>
          <w:rFonts w:ascii="Calibri" w:hAnsi="Calibri"/>
          <w:sz w:val="22"/>
          <w:szCs w:val="22"/>
          <w:lang w:val="hr-HR"/>
        </w:rPr>
      </w:pPr>
      <w:r w:rsidRPr="001567C8">
        <w:rPr>
          <w:rFonts w:ascii="Calibri" w:hAnsi="Calibri"/>
          <w:sz w:val="22"/>
          <w:szCs w:val="22"/>
          <w:lang w:val="hr-HR"/>
        </w:rPr>
        <w:t>Najveća kreditna izloženost prema jednom dužniku Grupe</w:t>
      </w:r>
      <w:r w:rsidR="00885EB1" w:rsidRPr="001567C8">
        <w:rPr>
          <w:rFonts w:ascii="Calibri" w:hAnsi="Calibri"/>
          <w:sz w:val="22"/>
          <w:szCs w:val="22"/>
          <w:lang w:val="hr-HR"/>
        </w:rPr>
        <w:t xml:space="preserve"> i Banke</w:t>
      </w:r>
      <w:r w:rsidRPr="001567C8">
        <w:rPr>
          <w:rFonts w:ascii="Calibri" w:hAnsi="Calibri"/>
          <w:sz w:val="22"/>
          <w:szCs w:val="22"/>
          <w:lang w:val="hr-HR"/>
        </w:rPr>
        <w:t xml:space="preserve"> na 3</w:t>
      </w:r>
      <w:r w:rsidR="00EE5455" w:rsidRPr="001567C8">
        <w:rPr>
          <w:rFonts w:ascii="Calibri" w:hAnsi="Calibri"/>
          <w:sz w:val="22"/>
          <w:szCs w:val="22"/>
          <w:lang w:val="hr-HR"/>
        </w:rPr>
        <w:t>1</w:t>
      </w:r>
      <w:r w:rsidRPr="001567C8">
        <w:rPr>
          <w:rFonts w:ascii="Calibri" w:hAnsi="Calibri"/>
          <w:sz w:val="22"/>
          <w:szCs w:val="22"/>
          <w:lang w:val="hr-HR"/>
        </w:rPr>
        <w:t xml:space="preserve">. </w:t>
      </w:r>
      <w:r w:rsidR="00EE5455" w:rsidRPr="001567C8">
        <w:rPr>
          <w:rFonts w:ascii="Calibri" w:hAnsi="Calibri"/>
          <w:sz w:val="22"/>
          <w:szCs w:val="22"/>
          <w:lang w:val="hr-HR"/>
        </w:rPr>
        <w:t>prosinca</w:t>
      </w:r>
      <w:r w:rsidRPr="001567C8">
        <w:rPr>
          <w:rFonts w:ascii="Calibri" w:hAnsi="Calibri"/>
          <w:sz w:val="22"/>
          <w:szCs w:val="22"/>
          <w:lang w:val="hr-HR"/>
        </w:rPr>
        <w:t xml:space="preserve"> 2018. godine iznosi </w:t>
      </w:r>
      <w:r w:rsidR="00002051" w:rsidRPr="001567C8">
        <w:rPr>
          <w:rFonts w:ascii="Calibri" w:hAnsi="Calibri"/>
          <w:sz w:val="22"/>
          <w:szCs w:val="22"/>
          <w:lang w:val="hr-HR"/>
        </w:rPr>
        <w:t xml:space="preserve">2.883.122 </w:t>
      </w:r>
      <w:r w:rsidRPr="001567C8">
        <w:rPr>
          <w:rFonts w:ascii="Calibri" w:hAnsi="Calibri"/>
          <w:sz w:val="22"/>
          <w:szCs w:val="22"/>
          <w:lang w:val="hr-HR"/>
        </w:rPr>
        <w:t>tisuća kuna (31. prosinca 2017. godine: 2.536.756 tisuća kuna za Grupu i Banku), bez uzimanja u obzir primljenih instrumenata osiguranja.</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eastAsia="Calibri" w:hAnsi="Calibri"/>
          <w:sz w:val="22"/>
          <w:szCs w:val="22"/>
          <w:lang w:val="hr-HR"/>
        </w:rPr>
        <w:t xml:space="preserve">Banka kao posebna financijska institucija provodi svoju razvojnu ulogu odobravajući plasmane krajnjim korisnicima kredita putem financijskih institucija s kojima ima sklopljene ugovore o poslovnoj suradnji. </w:t>
      </w:r>
      <w:r w:rsidRPr="001567C8">
        <w:rPr>
          <w:rFonts w:ascii="Calibri" w:hAnsi="Calibri" w:cs="Arial"/>
          <w:sz w:val="22"/>
          <w:szCs w:val="22"/>
          <w:lang w:val="hr-HR"/>
        </w:rPr>
        <w:t xml:space="preserve">Obzirom da je visina izloženosti prema pojedinim financijskim institucijama dosegla najveću dopuštenu izloženost, Banka, kako bi i dalje uspješno provodila svoju razvojnu ulogu i omogućila što većem broju korisnika dostupnost kredita, ima odobrenje od Nadzornog odbora za povećanje izloženosti prema bankama i s njima povezanim osobama koje sukladno internoj metodologiji Banke imaju visoki rejting. Visina izloženosti održava se korištenjem raspoloživih instrumenata i tehnika za smanjenje izloženosti HBOR-a prema bankama. </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Ovo povećanje izloženosti sukladno odobrenju Nadzornog odbora Banka je koristila za daljnju poslovnu aktivnost</w:t>
      </w:r>
      <w:r w:rsidRPr="001567C8">
        <w:rPr>
          <w:rFonts w:ascii="Calibri" w:eastAsia="Calibri" w:hAnsi="Calibri"/>
          <w:sz w:val="22"/>
          <w:szCs w:val="22"/>
          <w:lang w:val="hr-HR"/>
        </w:rPr>
        <w:t xml:space="preserve"> s dvjema bankama.</w:t>
      </w:r>
    </w:p>
    <w:p w:rsidR="006735C2" w:rsidRPr="001567C8" w:rsidRDefault="006735C2" w:rsidP="006735C2">
      <w:pPr>
        <w:jc w:val="both"/>
        <w:rPr>
          <w:rFonts w:ascii="Calibri" w:hAnsi="Calibri" w:cs="Arial"/>
          <w:sz w:val="22"/>
          <w:szCs w:val="22"/>
          <w:lang w:val="hr-HR"/>
        </w:rPr>
      </w:pPr>
    </w:p>
    <w:p w:rsidR="00636530" w:rsidRPr="00CD3A2D" w:rsidRDefault="00636530" w:rsidP="00636530">
      <w:pPr>
        <w:pStyle w:val="Default"/>
        <w:rPr>
          <w:rFonts w:asciiTheme="minorHAnsi" w:hAnsiTheme="minorHAnsi" w:cstheme="minorHAnsi"/>
          <w:b/>
          <w:bCs/>
          <w:sz w:val="22"/>
          <w:szCs w:val="22"/>
        </w:rPr>
      </w:pPr>
      <w:r w:rsidRPr="00CD3A2D">
        <w:rPr>
          <w:rFonts w:asciiTheme="minorHAnsi" w:hAnsiTheme="minorHAnsi" w:cstheme="minorHAnsi"/>
          <w:b/>
          <w:bCs/>
          <w:sz w:val="22"/>
          <w:szCs w:val="22"/>
        </w:rPr>
        <w:t>36.3.7. Model podjele rizika</w:t>
      </w:r>
    </w:p>
    <w:p w:rsidR="00636530" w:rsidRPr="00CD3A2D" w:rsidRDefault="00636530" w:rsidP="00636530">
      <w:pPr>
        <w:pStyle w:val="Default"/>
        <w:rPr>
          <w:rFonts w:asciiTheme="minorHAnsi" w:hAnsiTheme="minorHAnsi" w:cstheme="minorHAnsi"/>
          <w:sz w:val="22"/>
          <w:szCs w:val="22"/>
        </w:rPr>
      </w:pPr>
    </w:p>
    <w:p w:rsidR="00636530" w:rsidRPr="00CD3A2D" w:rsidRDefault="00636530" w:rsidP="00636530">
      <w:pPr>
        <w:pStyle w:val="Default"/>
        <w:jc w:val="both"/>
        <w:rPr>
          <w:rFonts w:asciiTheme="minorHAnsi" w:hAnsiTheme="minorHAnsi" w:cstheme="minorHAnsi"/>
          <w:sz w:val="22"/>
          <w:szCs w:val="22"/>
        </w:rPr>
      </w:pPr>
      <w:r w:rsidRPr="00CD3A2D">
        <w:rPr>
          <w:rFonts w:asciiTheme="minorHAnsi" w:hAnsiTheme="minorHAnsi" w:cstheme="minorHAnsi"/>
          <w:sz w:val="22"/>
          <w:szCs w:val="22"/>
        </w:rPr>
        <w:t xml:space="preserve">Model podjele rizika podrazumijeva način provedbe programa kreditiranja HBOR-a u suradnji s poslovnim bankama, pri čemu HBOR snosi dio rizika izravnog kredita (npr. 50%), dok za drugi dio kredita (neovisno je li isti financiran iz sredstava HBOR-a ili sredstava poslovne banke) rizik snosi poslovna banka. </w:t>
      </w:r>
    </w:p>
    <w:p w:rsidR="00636530" w:rsidRPr="00CD3A2D" w:rsidRDefault="00636530" w:rsidP="00636530">
      <w:pPr>
        <w:jc w:val="both"/>
        <w:rPr>
          <w:rFonts w:asciiTheme="minorHAnsi" w:hAnsiTheme="minorHAnsi" w:cstheme="minorHAnsi"/>
          <w:sz w:val="22"/>
          <w:szCs w:val="22"/>
          <w:lang w:val="hr-HR"/>
        </w:rPr>
      </w:pPr>
    </w:p>
    <w:p w:rsidR="00636530" w:rsidRPr="00CD3A2D" w:rsidRDefault="00636530" w:rsidP="00636530">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Poslovna banka je pri tome administrativni i platni agent te agent osiguranja kredita i temeljem ugovora o poslovnoj suradnji između poslovne banke i HBOR-a mjesečno i kvartalno izvještava HBOR o promjenama u kreditnoj sposobnosti klijenta, promjenama ispravaka vrijednosti, promjenama vrijednosti instrumenta osiguranja, urednosti plaćanja, predstečajnim, stečajnim i ostalim promjenama u poslovanju klijenta i otplati plasmana.</w:t>
      </w:r>
    </w:p>
    <w:p w:rsidR="00636530" w:rsidRPr="00CD3A2D" w:rsidRDefault="00636530" w:rsidP="00636530">
      <w:pPr>
        <w:jc w:val="both"/>
        <w:rPr>
          <w:rFonts w:asciiTheme="minorHAnsi" w:hAnsiTheme="minorHAnsi" w:cstheme="minorHAnsi"/>
          <w:sz w:val="22"/>
          <w:szCs w:val="22"/>
          <w:lang w:val="hr-HR"/>
        </w:rPr>
      </w:pPr>
    </w:p>
    <w:p w:rsidR="00636530" w:rsidRPr="001567C8" w:rsidRDefault="00636530" w:rsidP="00636530">
      <w:pPr>
        <w:keepNext/>
        <w:tabs>
          <w:tab w:val="left" w:pos="426"/>
        </w:tabs>
        <w:jc w:val="both"/>
        <w:rPr>
          <w:rFonts w:ascii="Calibri" w:hAnsi="Calibri" w:cs="Calibri"/>
          <w:b/>
          <w:bCs/>
          <w:sz w:val="22"/>
          <w:szCs w:val="22"/>
          <w:lang w:val="hr-HR" w:eastAsia="hr-HR"/>
        </w:rPr>
        <w:sectPr w:rsidR="00636530" w:rsidRPr="001567C8" w:rsidSect="003E2D7A">
          <w:pgSz w:w="11907" w:h="16840" w:code="9"/>
          <w:pgMar w:top="1418" w:right="1134" w:bottom="1134" w:left="1418" w:header="851" w:footer="851" w:gutter="0"/>
          <w:cols w:space="720"/>
          <w:noEndnote/>
        </w:sectPr>
      </w:pPr>
    </w:p>
    <w:p w:rsidR="00636530" w:rsidRPr="001567C8" w:rsidRDefault="00636530" w:rsidP="00CD3A2D">
      <w:pPr>
        <w:keepNext/>
        <w:tabs>
          <w:tab w:val="left" w:pos="426"/>
        </w:tabs>
        <w:jc w:val="both"/>
        <w:rPr>
          <w:rFonts w:ascii="Calibri" w:hAnsi="Calibri" w:cs="Calibri"/>
          <w:b/>
          <w:bCs/>
          <w:sz w:val="22"/>
          <w:szCs w:val="22"/>
          <w:lang w:val="hr-HR" w:eastAsia="hr-HR"/>
        </w:rPr>
      </w:pPr>
    </w:p>
    <w:p w:rsidR="00636530" w:rsidRPr="00CD3A2D" w:rsidRDefault="00636530" w:rsidP="00CD3A2D">
      <w:pPr>
        <w:keepNext/>
        <w:tabs>
          <w:tab w:val="left" w:pos="426"/>
        </w:tabs>
        <w:jc w:val="both"/>
        <w:rPr>
          <w:rFonts w:ascii="Calibri" w:hAnsi="Calibri" w:cs="Arial"/>
          <w:b/>
          <w:bCs/>
          <w:sz w:val="22"/>
          <w:szCs w:val="22"/>
          <w:lang w:val="hr-HR"/>
        </w:rPr>
      </w:pPr>
      <w:r w:rsidRPr="00CD3A2D">
        <w:rPr>
          <w:rFonts w:ascii="Calibri" w:hAnsi="Calibri" w:cs="Calibri"/>
          <w:b/>
          <w:bCs/>
          <w:sz w:val="22"/>
          <w:szCs w:val="22"/>
          <w:lang w:val="hr-HR" w:eastAsia="hr-HR"/>
        </w:rPr>
        <w:t>36.</w:t>
      </w:r>
      <w:r w:rsidRPr="00CD3A2D">
        <w:rPr>
          <w:rFonts w:ascii="Calibri" w:hAnsi="Calibri" w:cs="Arial"/>
          <w:b/>
          <w:bCs/>
          <w:sz w:val="22"/>
          <w:szCs w:val="22"/>
          <w:lang w:val="hr-HR"/>
        </w:rPr>
        <w:tab/>
        <w:t>Upravljanje rizicima (nastavak)</w:t>
      </w:r>
    </w:p>
    <w:p w:rsidR="00636530" w:rsidRPr="001567C8" w:rsidRDefault="00636530" w:rsidP="00CD3A2D">
      <w:pPr>
        <w:pStyle w:val="ListParagraph"/>
        <w:jc w:val="both"/>
        <w:rPr>
          <w:rFonts w:ascii="Calibri" w:hAnsi="Calibri"/>
          <w:sz w:val="22"/>
          <w:szCs w:val="22"/>
          <w:lang w:val="hr-HR"/>
        </w:rPr>
      </w:pPr>
    </w:p>
    <w:p w:rsidR="00636530" w:rsidRPr="00CD3A2D" w:rsidRDefault="00636530" w:rsidP="00CD3A2D">
      <w:pPr>
        <w:spacing w:line="300" w:lineRule="exact"/>
        <w:rPr>
          <w:rFonts w:ascii="Calibri" w:eastAsia="Calibri" w:hAnsi="Calibri" w:cs="Arial"/>
          <w:b/>
          <w:sz w:val="22"/>
          <w:szCs w:val="22"/>
          <w:lang w:val="hr-HR"/>
        </w:rPr>
      </w:pPr>
      <w:r w:rsidRPr="00CD3A2D">
        <w:rPr>
          <w:rFonts w:ascii="Calibri" w:eastAsia="Calibri" w:hAnsi="Calibri" w:cs="Arial"/>
          <w:b/>
          <w:sz w:val="22"/>
          <w:szCs w:val="22"/>
          <w:lang w:val="hr-HR"/>
        </w:rPr>
        <w:t>36.3. Kreditni rizik (nastavak)</w:t>
      </w:r>
    </w:p>
    <w:p w:rsidR="00636530" w:rsidRPr="001567C8" w:rsidRDefault="00636530" w:rsidP="00636530">
      <w:pPr>
        <w:pStyle w:val="Default"/>
        <w:rPr>
          <w:rFonts w:asciiTheme="minorHAnsi" w:hAnsiTheme="minorHAnsi" w:cstheme="minorHAnsi"/>
          <w:b/>
          <w:bCs/>
          <w:sz w:val="22"/>
          <w:szCs w:val="22"/>
        </w:rPr>
      </w:pPr>
    </w:p>
    <w:p w:rsidR="00636530" w:rsidRPr="001567C8" w:rsidRDefault="00636530" w:rsidP="00636530">
      <w:pPr>
        <w:pStyle w:val="Default"/>
        <w:rPr>
          <w:rFonts w:asciiTheme="minorHAnsi" w:hAnsiTheme="minorHAnsi" w:cstheme="minorHAnsi"/>
          <w:b/>
          <w:bCs/>
          <w:sz w:val="22"/>
          <w:szCs w:val="22"/>
        </w:rPr>
      </w:pPr>
      <w:r w:rsidRPr="001567C8">
        <w:rPr>
          <w:rFonts w:asciiTheme="minorHAnsi" w:hAnsiTheme="minorHAnsi" w:cstheme="minorHAnsi"/>
          <w:b/>
          <w:bCs/>
          <w:sz w:val="22"/>
          <w:szCs w:val="22"/>
        </w:rPr>
        <w:t>36.3.7. Model podjele rizika (nastavak)</w:t>
      </w:r>
    </w:p>
    <w:p w:rsidR="00636530" w:rsidRPr="001567C8" w:rsidRDefault="00636530" w:rsidP="00CD3A2D">
      <w:pPr>
        <w:pStyle w:val="ListParagraph"/>
        <w:jc w:val="both"/>
        <w:rPr>
          <w:rFonts w:ascii="Calibri" w:hAnsi="Calibri"/>
          <w:sz w:val="22"/>
          <w:szCs w:val="22"/>
          <w:lang w:val="hr-HR"/>
        </w:rPr>
      </w:pPr>
    </w:p>
    <w:p w:rsidR="00636530" w:rsidRPr="00CD3A2D" w:rsidRDefault="00636530" w:rsidP="00636530">
      <w:pPr>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Postoji nekoliko grupa/vrsta modela podjela rizika, i to:</w:t>
      </w:r>
    </w:p>
    <w:p w:rsidR="00636530" w:rsidRPr="00CD3A2D" w:rsidRDefault="00031899" w:rsidP="002B5EA8">
      <w:pPr>
        <w:pStyle w:val="ListParagraph"/>
        <w:numPr>
          <w:ilvl w:val="0"/>
          <w:numId w:val="39"/>
        </w:numPr>
        <w:contextualSpacing w:val="0"/>
        <w:jc w:val="both"/>
        <w:rPr>
          <w:rFonts w:asciiTheme="minorHAnsi" w:hAnsiTheme="minorHAnsi" w:cstheme="minorHAnsi"/>
          <w:sz w:val="22"/>
          <w:szCs w:val="22"/>
          <w:lang w:val="hr-HR"/>
        </w:rPr>
      </w:pPr>
      <w:r>
        <w:rPr>
          <w:rFonts w:asciiTheme="minorHAnsi" w:hAnsiTheme="minorHAnsi" w:cstheme="minorHAnsi"/>
          <w:sz w:val="22"/>
          <w:szCs w:val="22"/>
          <w:lang w:val="hr-HR"/>
        </w:rPr>
        <w:t xml:space="preserve">Inicijalna </w:t>
      </w:r>
      <w:r w:rsidR="00636530" w:rsidRPr="00CD3A2D">
        <w:rPr>
          <w:rFonts w:asciiTheme="minorHAnsi" w:hAnsiTheme="minorHAnsi" w:cstheme="minorHAnsi"/>
          <w:sz w:val="22"/>
          <w:szCs w:val="22"/>
          <w:lang w:val="hr-HR"/>
        </w:rPr>
        <w:t>podjela rizika s banka</w:t>
      </w:r>
      <w:r>
        <w:rPr>
          <w:rFonts w:asciiTheme="minorHAnsi" w:hAnsiTheme="minorHAnsi" w:cstheme="minorHAnsi"/>
          <w:sz w:val="22"/>
          <w:szCs w:val="22"/>
          <w:lang w:val="hr-HR"/>
        </w:rPr>
        <w:t>ma</w:t>
      </w:r>
      <w:r w:rsidR="00636530" w:rsidRPr="00CD3A2D">
        <w:rPr>
          <w:rFonts w:asciiTheme="minorHAnsi" w:hAnsiTheme="minorHAnsi" w:cstheme="minorHAnsi"/>
          <w:sz w:val="22"/>
          <w:szCs w:val="22"/>
          <w:lang w:val="hr-HR"/>
        </w:rPr>
        <w:t xml:space="preserve"> kroz programe Vlade Republike Hrvatske kao poticajna mjera, s ciljem povećanja likvidnosti  gospodarstva u razdoblju gospodarske krize. U</w:t>
      </w:r>
      <w:r w:rsidR="00636530" w:rsidRPr="00CD3A2D">
        <w:rPr>
          <w:rFonts w:ascii="Calibri" w:hAnsi="Calibri" w:cs="Calibri"/>
          <w:sz w:val="22"/>
          <w:szCs w:val="22"/>
          <w:lang w:val="hr-HR"/>
        </w:rPr>
        <w:t xml:space="preserve"> navedenom razdoblju su provođena tri programa podjele rizika tzv. Model A, Model A+ i Program razvoja gospodarstva (PRG).</w:t>
      </w:r>
    </w:p>
    <w:p w:rsidR="00636530" w:rsidRPr="00CD3A2D" w:rsidRDefault="00636530" w:rsidP="00CD3A2D">
      <w:pPr>
        <w:pStyle w:val="ListParagraph"/>
        <w:contextualSpacing w:val="0"/>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U navedenim programima kreditiranja su poslovne banke kao administrativni i platni agenti te agenti osiguranja plasmana, a zbog obima aktivnosti i potrebe iznimno brzo djelovanja HBOR-a, dostavljale HBOR-u skraćene obrasce zahtjeva za kreditima te je bila usvojena i skraćena procedura obrade kredita.</w:t>
      </w:r>
    </w:p>
    <w:p w:rsidR="00636530" w:rsidRPr="00CD3A2D" w:rsidRDefault="00636530" w:rsidP="00CD3A2D">
      <w:pPr>
        <w:ind w:left="708"/>
        <w:jc w:val="both"/>
        <w:rPr>
          <w:rFonts w:asciiTheme="minorHAnsi" w:hAnsiTheme="minorHAnsi" w:cstheme="minorHAnsi"/>
          <w:sz w:val="22"/>
          <w:szCs w:val="22"/>
          <w:lang w:val="hr-HR"/>
        </w:rPr>
      </w:pPr>
      <w:r w:rsidRPr="00CD3A2D">
        <w:rPr>
          <w:rFonts w:asciiTheme="minorHAnsi" w:hAnsiTheme="minorHAnsi" w:cstheme="minorHAnsi"/>
          <w:sz w:val="22"/>
          <w:szCs w:val="22"/>
          <w:lang w:val="hr-HR"/>
        </w:rPr>
        <w:t>Slijedom navedene skraćene procedure, HBOR u navedenim programima kreditiranja inicijalno nije unosio kolaterale u poslovne knjige već je isto bila obveza vođenja i naplate od strane poslovnih banaka.  Naknadno se u pojedinim slučajevima raskida agentura s poslovnim bankama (npr. jer su banke prodale svoje izloženosti i sl.) ili pri restrukturiranjima pojedinih plasmana te je HBOR unosio kolaterale u svoje poslovne knjige.</w:t>
      </w:r>
    </w:p>
    <w:p w:rsidR="00636530" w:rsidRPr="00CD3A2D" w:rsidRDefault="00636530" w:rsidP="00636530">
      <w:pPr>
        <w:ind w:firstLine="708"/>
        <w:rPr>
          <w:rFonts w:asciiTheme="minorHAnsi" w:hAnsiTheme="minorHAnsi" w:cstheme="minorHAnsi"/>
          <w:sz w:val="22"/>
          <w:szCs w:val="22"/>
          <w:lang w:val="hr-HR"/>
        </w:rPr>
      </w:pPr>
      <w:r w:rsidRPr="00CD3A2D">
        <w:rPr>
          <w:rFonts w:asciiTheme="minorHAnsi" w:hAnsiTheme="minorHAnsi" w:cstheme="minorHAnsi"/>
          <w:sz w:val="22"/>
          <w:szCs w:val="22"/>
          <w:lang w:val="hr-HR"/>
        </w:rPr>
        <w:t xml:space="preserve">Izloženost po navedenim plasmanima je vođena u poslovnim  knjigama HBOR-a. </w:t>
      </w:r>
    </w:p>
    <w:p w:rsidR="00636530" w:rsidRPr="00CD3A2D" w:rsidRDefault="00636530" w:rsidP="00636530">
      <w:pPr>
        <w:pStyle w:val="Default"/>
        <w:jc w:val="both"/>
        <w:rPr>
          <w:rFonts w:asciiTheme="minorHAnsi" w:hAnsiTheme="minorHAnsi" w:cstheme="minorHAnsi"/>
          <w:sz w:val="22"/>
          <w:szCs w:val="22"/>
        </w:rPr>
      </w:pPr>
    </w:p>
    <w:p w:rsidR="00636530" w:rsidRPr="00CD3A2D" w:rsidRDefault="00636530" w:rsidP="002B5EA8">
      <w:pPr>
        <w:pStyle w:val="ListParagraph"/>
        <w:numPr>
          <w:ilvl w:val="0"/>
          <w:numId w:val="39"/>
        </w:numPr>
        <w:contextualSpacing w:val="0"/>
        <w:rPr>
          <w:rFonts w:asciiTheme="minorHAnsi" w:hAnsiTheme="minorHAnsi" w:cstheme="minorHAnsi"/>
          <w:sz w:val="22"/>
          <w:szCs w:val="22"/>
          <w:lang w:val="hr-HR"/>
        </w:rPr>
      </w:pPr>
      <w:r w:rsidRPr="00CD3A2D">
        <w:rPr>
          <w:rFonts w:asciiTheme="minorHAnsi" w:hAnsiTheme="minorHAnsi" w:cstheme="minorHAnsi"/>
          <w:sz w:val="22"/>
          <w:szCs w:val="22"/>
          <w:lang w:val="hr-HR"/>
        </w:rPr>
        <w:t>Ostali krediti po modelima podjele rizika po kreditnim programima HBOR-a (prvenstveno krediti za investicije i restrukturiranja, a manjim djelom za likvidnost) se provode na način da su poslovne banke uključene u transakcije i nadalje agenti (administrativni, platni i agenti osiguranja) ali HBOR provodi uobičajenu proceduru kao i za bilo koji drugi izravni kredit te unosi, kako izloženosti tako i kolaterale, u poslovne knjige već kod odobrenja i ugovaranja plasmana.  </w:t>
      </w:r>
    </w:p>
    <w:p w:rsidR="00636530" w:rsidRPr="00CD3A2D" w:rsidRDefault="00636530" w:rsidP="006735C2">
      <w:pPr>
        <w:jc w:val="both"/>
        <w:rPr>
          <w:rFonts w:asciiTheme="minorHAnsi" w:hAnsiTheme="minorHAnsi" w:cstheme="minorHAns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w:t>
      </w:r>
      <w:r w:rsidR="00636530" w:rsidRPr="001567C8">
        <w:rPr>
          <w:rFonts w:ascii="Calibri" w:eastAsia="Calibri" w:hAnsi="Calibri" w:cs="Arial"/>
          <w:b/>
          <w:sz w:val="22"/>
          <w:szCs w:val="22"/>
          <w:lang w:val="hr-HR"/>
        </w:rPr>
        <w:t>8</w:t>
      </w:r>
      <w:r w:rsidR="006735C2" w:rsidRPr="001567C8">
        <w:rPr>
          <w:rFonts w:ascii="Calibri" w:eastAsia="Calibri" w:hAnsi="Calibri" w:cs="Arial"/>
          <w:b/>
          <w:sz w:val="22"/>
          <w:szCs w:val="22"/>
          <w:lang w:val="hr-HR"/>
        </w:rPr>
        <w:t>. Instrumenti osiguranja i ostala poboljšanja kvalitete kredita (kreditne sposobnosti)</w:t>
      </w:r>
    </w:p>
    <w:p w:rsidR="006735C2" w:rsidRPr="001567C8" w:rsidRDefault="006735C2" w:rsidP="006735C2">
      <w:pPr>
        <w:jc w:val="both"/>
        <w:rPr>
          <w:rFonts w:ascii="Calibri" w:hAnsi="Calibri" w:cs="Arial"/>
          <w:sz w:val="22"/>
          <w:szCs w:val="22"/>
          <w:lang w:val="hr-HR"/>
        </w:rPr>
      </w:pPr>
    </w:p>
    <w:p w:rsidR="006735C2" w:rsidRPr="001567C8" w:rsidRDefault="006735C2" w:rsidP="006735C2">
      <w:pPr>
        <w:jc w:val="both"/>
        <w:rPr>
          <w:rFonts w:ascii="Calibri" w:hAnsi="Calibri" w:cs="Arial"/>
          <w:sz w:val="22"/>
          <w:szCs w:val="22"/>
          <w:lang w:val="hr-HR"/>
        </w:rPr>
      </w:pPr>
      <w:r w:rsidRPr="001567C8">
        <w:rPr>
          <w:rFonts w:ascii="Calibri" w:hAnsi="Calibri" w:cs="Arial"/>
          <w:sz w:val="22"/>
          <w:szCs w:val="22"/>
          <w:lang w:val="hr-HR"/>
        </w:rPr>
        <w:t>Instrumenti osiguranja plasmana Banke su:</w:t>
      </w:r>
    </w:p>
    <w:p w:rsidR="006735C2" w:rsidRPr="001567C8" w:rsidRDefault="006735C2" w:rsidP="002B5EA8">
      <w:pPr>
        <w:numPr>
          <w:ilvl w:val="0"/>
          <w:numId w:val="4"/>
        </w:numPr>
        <w:jc w:val="both"/>
        <w:rPr>
          <w:rFonts w:ascii="Calibri" w:hAnsi="Calibri" w:cs="Arial"/>
          <w:sz w:val="22"/>
          <w:szCs w:val="22"/>
          <w:lang w:val="hr-HR"/>
        </w:rPr>
      </w:pPr>
      <w:r w:rsidRPr="001567C8">
        <w:rPr>
          <w:rFonts w:ascii="Calibri" w:hAnsi="Calibri" w:cs="Arial"/>
          <w:sz w:val="22"/>
          <w:szCs w:val="22"/>
          <w:lang w:val="hr-HR"/>
        </w:rPr>
        <w:t>obvezni (mjenice i zadužnice),</w:t>
      </w:r>
    </w:p>
    <w:p w:rsidR="006735C2" w:rsidRPr="001567C8" w:rsidRDefault="006735C2" w:rsidP="002B5EA8">
      <w:pPr>
        <w:numPr>
          <w:ilvl w:val="0"/>
          <w:numId w:val="4"/>
        </w:numPr>
        <w:autoSpaceDE w:val="0"/>
        <w:autoSpaceDN w:val="0"/>
        <w:adjustRightInd w:val="0"/>
        <w:ind w:right="-2"/>
        <w:jc w:val="both"/>
        <w:rPr>
          <w:rFonts w:ascii="Calibri" w:hAnsi="Calibri" w:cs="Arial"/>
          <w:b/>
          <w:sz w:val="22"/>
          <w:szCs w:val="22"/>
          <w:lang w:val="hr-HR"/>
        </w:rPr>
      </w:pPr>
      <w:r w:rsidRPr="001567C8">
        <w:rPr>
          <w:rFonts w:ascii="Calibri" w:hAnsi="Calibri" w:cs="Arial"/>
          <w:sz w:val="22"/>
          <w:szCs w:val="22"/>
          <w:lang w:val="hr-HR"/>
        </w:rPr>
        <w:t>uobičajeni (nekretnine, brodovi, zrakoplovi, bankarska garancija, jamstvo Republike Hrvatske, jamstvo jedinica lokalne i područne (regionalne) samouprave, jamstvo HAMAG-BICRO-a, polica osiguranja od političkih i/ili komercijalnih rizika), te</w:t>
      </w:r>
    </w:p>
    <w:p w:rsidR="006735C2" w:rsidRPr="001567C8" w:rsidRDefault="006735C2" w:rsidP="002B5EA8">
      <w:pPr>
        <w:numPr>
          <w:ilvl w:val="0"/>
          <w:numId w:val="4"/>
        </w:numPr>
        <w:autoSpaceDE w:val="0"/>
        <w:autoSpaceDN w:val="0"/>
        <w:adjustRightInd w:val="0"/>
        <w:ind w:right="-2"/>
        <w:jc w:val="both"/>
        <w:rPr>
          <w:rFonts w:ascii="Calibri" w:hAnsi="Calibri" w:cs="Arial"/>
          <w:b/>
          <w:sz w:val="22"/>
          <w:szCs w:val="22"/>
          <w:lang w:val="hr-HR"/>
        </w:rPr>
      </w:pPr>
      <w:r w:rsidRPr="001567C8">
        <w:rPr>
          <w:rFonts w:ascii="Calibri" w:hAnsi="Calibri" w:cs="Arial"/>
          <w:sz w:val="22"/>
          <w:szCs w:val="22"/>
          <w:lang w:val="hr-HR"/>
        </w:rPr>
        <w:t>ostali instrumenti osiguranja (pokretna imovina, mjenice ili jamstva drugih trgovačkih društva solidnog boniteta, prijenos vlasništva ili zalog dionica odnosno udjela trgovačkog društva, pljenidba novčanih potraživanja odnosno cesija naplativih potraživanja, pljenidba depozita, vinkuliranje police osiguranja imovine i/ili osoba, zalog na žigu ili robnoj marki i sl.).</w:t>
      </w:r>
    </w:p>
    <w:p w:rsidR="006735C2" w:rsidRPr="001567C8" w:rsidRDefault="006735C2" w:rsidP="006735C2">
      <w:pPr>
        <w:autoSpaceDE w:val="0"/>
        <w:autoSpaceDN w:val="0"/>
        <w:adjustRightInd w:val="0"/>
        <w:ind w:right="426"/>
        <w:jc w:val="both"/>
        <w:rPr>
          <w:rFonts w:ascii="Calibri" w:hAnsi="Calibri" w:cs="Arial"/>
          <w:sz w:val="22"/>
          <w:szCs w:val="22"/>
          <w:lang w:val="hr-HR"/>
        </w:rPr>
      </w:pPr>
    </w:p>
    <w:p w:rsidR="006735C2" w:rsidRPr="001567C8" w:rsidRDefault="006735C2" w:rsidP="006735C2">
      <w:pPr>
        <w:autoSpaceDE w:val="0"/>
        <w:autoSpaceDN w:val="0"/>
        <w:adjustRightInd w:val="0"/>
        <w:ind w:right="-2"/>
        <w:jc w:val="both"/>
        <w:rPr>
          <w:rFonts w:ascii="Calibri" w:hAnsi="Calibri" w:cs="Arial"/>
          <w:sz w:val="22"/>
          <w:szCs w:val="22"/>
          <w:lang w:val="hr-HR"/>
        </w:rPr>
      </w:pPr>
      <w:r w:rsidRPr="001567C8">
        <w:rPr>
          <w:rFonts w:ascii="Calibri" w:hAnsi="Calibri" w:cs="Arial"/>
          <w:sz w:val="22"/>
          <w:szCs w:val="22"/>
          <w:lang w:val="hr-HR"/>
        </w:rPr>
        <w:t>Svi plasmani Grupe moraju biti osigurani obveznim instrumentima osiguranja. Plasmani malih izloženosti moraju biti osigurani barem jednim obveznim instrumentom osiguranja. Izbor prihvatljivih instrumenata osiguranja ne ovisi samo o postignutom omjeru osiguranja nego i o utvrđenim rizicima, pri čemu prednost imaju brže utrživi i vrjedniji instrumenti osiguranja.</w:t>
      </w:r>
    </w:p>
    <w:p w:rsidR="003E6690" w:rsidRPr="001567C8" w:rsidRDefault="003E6690" w:rsidP="006735C2">
      <w:pPr>
        <w:autoSpaceDE w:val="0"/>
        <w:autoSpaceDN w:val="0"/>
        <w:adjustRightInd w:val="0"/>
        <w:ind w:right="-2"/>
        <w:jc w:val="both"/>
        <w:rPr>
          <w:rFonts w:ascii="Calibri" w:hAnsi="Calibri" w:cs="Arial"/>
          <w:sz w:val="22"/>
          <w:szCs w:val="22"/>
          <w:lang w:val="hr-HR"/>
        </w:rPr>
        <w:sectPr w:rsidR="003E6690" w:rsidRPr="001567C8" w:rsidSect="003E2D7A">
          <w:pgSz w:w="11907" w:h="16840" w:code="9"/>
          <w:pgMar w:top="1418" w:right="1134" w:bottom="1134" w:left="1418" w:header="851" w:footer="851" w:gutter="0"/>
          <w:cols w:space="720"/>
          <w:noEndnote/>
        </w:sectPr>
      </w:pPr>
    </w:p>
    <w:p w:rsidR="006735C2" w:rsidRPr="001567C8" w:rsidRDefault="006735C2" w:rsidP="006735C2">
      <w:pPr>
        <w:autoSpaceDE w:val="0"/>
        <w:autoSpaceDN w:val="0"/>
        <w:adjustRightInd w:val="0"/>
        <w:ind w:right="-2"/>
        <w:jc w:val="both"/>
        <w:rPr>
          <w:rFonts w:ascii="Calibri" w:hAnsi="Calibri" w:cs="Arial"/>
          <w:sz w:val="22"/>
          <w:szCs w:val="22"/>
          <w:lang w:val="hr-HR"/>
        </w:rPr>
      </w:pPr>
    </w:p>
    <w:p w:rsidR="006735C2" w:rsidRPr="001567C8" w:rsidRDefault="003E6690"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 Kreditni rizik (nastavak)</w:t>
      </w:r>
    </w:p>
    <w:p w:rsidR="006735C2" w:rsidRPr="001567C8" w:rsidRDefault="006735C2" w:rsidP="006735C2">
      <w:pPr>
        <w:spacing w:line="300" w:lineRule="exact"/>
        <w:rPr>
          <w:rFonts w:ascii="Calibri" w:eastAsia="Calibri" w:hAnsi="Calibri" w:cs="Arial"/>
          <w:b/>
          <w:sz w:val="22"/>
          <w:szCs w:val="22"/>
          <w:lang w:val="hr-HR"/>
        </w:rPr>
      </w:pPr>
    </w:p>
    <w:p w:rsidR="006735C2" w:rsidRPr="001567C8" w:rsidRDefault="003E6690" w:rsidP="006735C2">
      <w:pPr>
        <w:spacing w:line="300" w:lineRule="exact"/>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w:t>
      </w:r>
      <w:r w:rsidR="00636530" w:rsidRPr="001567C8">
        <w:rPr>
          <w:rFonts w:ascii="Calibri" w:eastAsia="Calibri" w:hAnsi="Calibri" w:cs="Arial"/>
          <w:b/>
          <w:sz w:val="22"/>
          <w:szCs w:val="22"/>
          <w:lang w:val="hr-HR"/>
        </w:rPr>
        <w:t>8</w:t>
      </w:r>
      <w:r w:rsidR="006735C2" w:rsidRPr="001567C8">
        <w:rPr>
          <w:rFonts w:ascii="Calibri" w:eastAsia="Calibri" w:hAnsi="Calibri" w:cs="Arial"/>
          <w:b/>
          <w:sz w:val="22"/>
          <w:szCs w:val="22"/>
          <w:lang w:val="hr-HR"/>
        </w:rPr>
        <w:t>. Instrumenti osiguranja i ostala poboljšanja kvalitete kredita (kreditne sposobnosti) (nastavak)</w:t>
      </w:r>
    </w:p>
    <w:p w:rsidR="006735C2" w:rsidRPr="001567C8" w:rsidRDefault="006735C2" w:rsidP="006735C2">
      <w:pPr>
        <w:autoSpaceDE w:val="0"/>
        <w:autoSpaceDN w:val="0"/>
        <w:adjustRightInd w:val="0"/>
        <w:ind w:right="426"/>
        <w:jc w:val="both"/>
        <w:rPr>
          <w:rFonts w:ascii="Calibri" w:hAnsi="Calibri" w:cs="Arial"/>
          <w:sz w:val="22"/>
          <w:szCs w:val="22"/>
          <w:lang w:val="hr-HR"/>
        </w:rPr>
      </w:pPr>
    </w:p>
    <w:p w:rsidR="006735C2" w:rsidRPr="001567C8" w:rsidRDefault="006735C2" w:rsidP="006735C2">
      <w:pPr>
        <w:autoSpaceDE w:val="0"/>
        <w:autoSpaceDN w:val="0"/>
        <w:adjustRightInd w:val="0"/>
        <w:ind w:right="-2"/>
        <w:jc w:val="both"/>
        <w:rPr>
          <w:rFonts w:ascii="Calibri" w:hAnsi="Calibri" w:cs="Arial"/>
          <w:sz w:val="22"/>
          <w:szCs w:val="22"/>
          <w:lang w:val="hr-HR"/>
        </w:rPr>
      </w:pPr>
      <w:r w:rsidRPr="001567C8">
        <w:rPr>
          <w:rFonts w:ascii="Calibri" w:hAnsi="Calibri" w:cs="Arial"/>
          <w:sz w:val="22"/>
          <w:szCs w:val="22"/>
          <w:lang w:val="hr-HR"/>
        </w:rPr>
        <w:t xml:space="preserve">Prihvatljivi uobičajeni i ostali instrumenti osiguranja razvrstani su prema kvaliteti u pet skupina. Ocjena instrumenata osiguranja temelji se na njihovoj kvaliteti koja se utvrđuje na bazi njihove tržišne unovčivosti, dokumentiranosti i mogućnosti nadzora od strane Banke te mogućnosti prisilne naplate. </w:t>
      </w:r>
      <w:bookmarkStart w:id="76" w:name="_Hlk3810202"/>
    </w:p>
    <w:bookmarkEnd w:id="76"/>
    <w:p w:rsidR="006735C2" w:rsidRPr="001567C8" w:rsidRDefault="006735C2" w:rsidP="006735C2">
      <w:pPr>
        <w:autoSpaceDE w:val="0"/>
        <w:autoSpaceDN w:val="0"/>
        <w:adjustRightInd w:val="0"/>
        <w:ind w:right="426"/>
        <w:jc w:val="both"/>
        <w:rPr>
          <w:rFonts w:ascii="Calibri" w:hAnsi="Calibri" w:cs="Arial"/>
          <w:sz w:val="22"/>
          <w:szCs w:val="22"/>
          <w:lang w:val="hr-HR"/>
        </w:rPr>
      </w:pPr>
    </w:p>
    <w:p w:rsidR="006735C2" w:rsidRPr="001567C8" w:rsidRDefault="006735C2" w:rsidP="006735C2">
      <w:pPr>
        <w:autoSpaceDE w:val="0"/>
        <w:autoSpaceDN w:val="0"/>
        <w:adjustRightInd w:val="0"/>
        <w:ind w:right="-2"/>
        <w:jc w:val="both"/>
        <w:rPr>
          <w:rFonts w:ascii="Calibri" w:hAnsi="Calibri" w:cs="Arial"/>
          <w:sz w:val="22"/>
          <w:szCs w:val="22"/>
          <w:lang w:val="hr-HR"/>
        </w:rPr>
      </w:pPr>
      <w:r w:rsidRPr="001567C8">
        <w:rPr>
          <w:rFonts w:ascii="Calibri" w:hAnsi="Calibri" w:cs="Arial"/>
          <w:sz w:val="22"/>
          <w:szCs w:val="22"/>
          <w:lang w:val="hr-HR"/>
        </w:rPr>
        <w:t>Pri donošenju odluke o odobrenju kredita slaba se kreditna sposobnost ne može zamijeniti kvalitetom instrumenata osiguranja, osim u slučajevima osiguranja prvorazrednim instrumentima osiguranja: jamstvom Republike Hrvatske, jamstvom lokalne/područne (regionalne) samouprave (JLPS), jamstvom HAMAG-BICRO-a, policom osiguranja kredita i kada za obveze klijenta zakonskim aktima jamče Republika Hrvatska, JLPS ili druga državna tijela.</w:t>
      </w:r>
    </w:p>
    <w:p w:rsidR="006735C2" w:rsidRPr="001567C8" w:rsidRDefault="006735C2" w:rsidP="006735C2">
      <w:pPr>
        <w:autoSpaceDE w:val="0"/>
        <w:autoSpaceDN w:val="0"/>
        <w:adjustRightInd w:val="0"/>
        <w:ind w:right="426"/>
        <w:jc w:val="both"/>
        <w:rPr>
          <w:rFonts w:ascii="Calibri" w:hAnsi="Calibri" w:cs="Arial"/>
          <w:sz w:val="22"/>
          <w:szCs w:val="22"/>
          <w:lang w:val="hr-HR"/>
        </w:rPr>
      </w:pPr>
    </w:p>
    <w:p w:rsidR="006735C2" w:rsidRPr="001567C8" w:rsidRDefault="006735C2" w:rsidP="006735C2">
      <w:pPr>
        <w:autoSpaceDE w:val="0"/>
        <w:autoSpaceDN w:val="0"/>
        <w:adjustRightInd w:val="0"/>
        <w:ind w:right="-2"/>
        <w:jc w:val="both"/>
        <w:rPr>
          <w:rFonts w:ascii="Calibri" w:hAnsi="Calibri" w:cs="Arial"/>
          <w:sz w:val="22"/>
          <w:szCs w:val="22"/>
          <w:lang w:val="hr-HR"/>
        </w:rPr>
      </w:pPr>
      <w:r w:rsidRPr="001567C8">
        <w:rPr>
          <w:rFonts w:ascii="Calibri" w:hAnsi="Calibri" w:cs="Arial"/>
          <w:sz w:val="22"/>
          <w:szCs w:val="22"/>
          <w:lang w:val="hr-HR"/>
        </w:rPr>
        <w:t>U svrhu ublažavanja kreditnog rizika i smanjenja troškova poslovanja, a sukladno Zakonu o HBOR-u, dio svojih plasmana Grupa odobrava putem financijskih institucija. Za osiguranje plasmana odobrenih krajnjim korisnicima putem financijskih institucija Grupa uzima obvezne instrumente osiguranja od poslovnih banaka i leasing društava. Financijska institucija ih je dužna deponirati temeljem</w:t>
      </w:r>
      <w:r w:rsidRPr="001567C8">
        <w:rPr>
          <w:rFonts w:ascii="Calibri" w:eastAsia="Calibri" w:hAnsi="Calibri" w:cs="Arial"/>
          <w:sz w:val="22"/>
          <w:szCs w:val="22"/>
          <w:lang w:val="hr-HR"/>
        </w:rPr>
        <w:t xml:space="preserve"> Ugovora o međusobnoj poslovnoj suradnji, a ne za svaki pojedinačni plasman krajnjem korisniku zaključen temeljem tog Ugovora. U svakom pojedinačnom ugovoru o plasmanu za krajnjeg korisnika ugovara se pravo korištenja obveznih instrumenata osiguranja </w:t>
      </w:r>
      <w:r w:rsidRPr="001567C8">
        <w:rPr>
          <w:rFonts w:ascii="Calibri" w:hAnsi="Calibri" w:cs="Arial"/>
          <w:sz w:val="22"/>
          <w:szCs w:val="22"/>
          <w:lang w:val="hr-HR"/>
        </w:rPr>
        <w:t xml:space="preserve">deponiranih uz Ugovor o međusobnoj poslovnoj suradnji. Obzirom da financijske institucije snose rizik povrata plasmana krajnjeg korisnika ostavljena im je mogućnost ugovaranja dostatnih instrumenata osiguranja od krajnjeg korisnika kredita/leasinga. </w:t>
      </w:r>
    </w:p>
    <w:p w:rsidR="006735C2" w:rsidRPr="001567C8" w:rsidRDefault="006735C2" w:rsidP="006735C2">
      <w:pPr>
        <w:autoSpaceDE w:val="0"/>
        <w:autoSpaceDN w:val="0"/>
        <w:adjustRightInd w:val="0"/>
        <w:ind w:right="426"/>
        <w:jc w:val="both"/>
        <w:rPr>
          <w:rFonts w:ascii="Calibri" w:hAnsi="Calibri" w:cs="Arial"/>
          <w:sz w:val="22"/>
          <w:szCs w:val="22"/>
          <w:lang w:val="hr-HR"/>
        </w:rPr>
      </w:pPr>
    </w:p>
    <w:p w:rsidR="006735C2" w:rsidRPr="001567C8" w:rsidRDefault="006735C2" w:rsidP="006735C2">
      <w:pPr>
        <w:autoSpaceDE w:val="0"/>
        <w:autoSpaceDN w:val="0"/>
        <w:adjustRightInd w:val="0"/>
        <w:jc w:val="both"/>
        <w:rPr>
          <w:rFonts w:ascii="Calibri" w:hAnsi="Calibri" w:cs="Arial"/>
          <w:sz w:val="22"/>
          <w:szCs w:val="22"/>
          <w:lang w:val="hr-HR"/>
        </w:rPr>
      </w:pPr>
      <w:r w:rsidRPr="001567C8">
        <w:rPr>
          <w:rFonts w:ascii="Calibri" w:hAnsi="Calibri" w:cs="Arial"/>
          <w:sz w:val="22"/>
          <w:szCs w:val="22"/>
          <w:lang w:val="hr-HR"/>
        </w:rPr>
        <w:t>Kod odobrenja kredita putem poslovnih banaka, ovisno o njezinom internom rejtingu, zasniva se i nadhipoteka. Tada poslovna banka prenosi vlasništvo na predmetu osiguranja u svoju korist, uz zasnivanje založnog prava u korist Banke ili zasniva hipoteku na predmetu osiguranja u svoju korist, uz nadhipoteku u korist Banke.</w:t>
      </w:r>
    </w:p>
    <w:p w:rsidR="006735C2" w:rsidRPr="001567C8" w:rsidRDefault="006735C2" w:rsidP="006735C2">
      <w:pPr>
        <w:autoSpaceDE w:val="0"/>
        <w:autoSpaceDN w:val="0"/>
        <w:adjustRightInd w:val="0"/>
        <w:ind w:right="426"/>
        <w:jc w:val="both"/>
        <w:rPr>
          <w:rFonts w:ascii="Calibri" w:hAnsi="Calibri" w:cs="Arial"/>
          <w:sz w:val="22"/>
          <w:szCs w:val="22"/>
          <w:lang w:val="hr-HR"/>
        </w:rPr>
      </w:pPr>
    </w:p>
    <w:p w:rsidR="006735C2" w:rsidRPr="001567C8" w:rsidRDefault="006735C2" w:rsidP="006735C2">
      <w:pPr>
        <w:autoSpaceDE w:val="0"/>
        <w:autoSpaceDN w:val="0"/>
        <w:adjustRightInd w:val="0"/>
        <w:ind w:right="-2"/>
        <w:jc w:val="both"/>
        <w:rPr>
          <w:rFonts w:ascii="Calibri" w:hAnsi="Calibri" w:cs="Arial"/>
          <w:sz w:val="22"/>
          <w:szCs w:val="22"/>
          <w:lang w:val="hr-HR"/>
        </w:rPr>
      </w:pPr>
      <w:r w:rsidRPr="001567C8">
        <w:rPr>
          <w:rFonts w:ascii="Calibri" w:hAnsi="Calibri" w:cs="Arial"/>
          <w:sz w:val="22"/>
          <w:szCs w:val="22"/>
          <w:lang w:val="hr-HR"/>
        </w:rPr>
        <w:t>Potpisom Ugovora o međusobnoj poslovnoj suradnji ugovara se prijenos tražbina poslovne banke iz ugovora</w:t>
      </w:r>
      <w:r w:rsidRPr="001567C8">
        <w:rPr>
          <w:rFonts w:ascii="Calibri" w:eastAsia="Calibri" w:hAnsi="Calibri" w:cs="Arial"/>
          <w:sz w:val="22"/>
          <w:szCs w:val="22"/>
          <w:lang w:val="hr-HR"/>
        </w:rPr>
        <w:t xml:space="preserve"> o kreditu s krajnjim korisnikom kredita na HBOR. Ugovorom poslovna banka ovlašćuje HBOR </w:t>
      </w:r>
      <w:r w:rsidRPr="001567C8">
        <w:rPr>
          <w:rFonts w:ascii="Calibri" w:hAnsi="Calibri" w:cs="Arial"/>
          <w:sz w:val="22"/>
          <w:szCs w:val="22"/>
          <w:lang w:val="hr-HR"/>
        </w:rPr>
        <w:t>da može jednostranom pisanom izjavom obavijestiti poslovnu banku da, u slučaju nelikvidnosti poslovne banke ili prijetećeg stečaja, neurednog ispunjavanja, odnosno neispunjavanja obveza iz ugovora o međubankarskom kreditu te otvaranja stečaja ili redovne likvidacije poslovne banke, nastupa ustupanje potraživanja prema krajnjem korisniku s poslovne banke na HBOR s učinkom cesije umjesto ispunjenja.</w:t>
      </w:r>
    </w:p>
    <w:p w:rsidR="006735C2" w:rsidRPr="001567C8" w:rsidRDefault="006735C2" w:rsidP="006735C2">
      <w:pPr>
        <w:autoSpaceDE w:val="0"/>
        <w:autoSpaceDN w:val="0"/>
        <w:adjustRightInd w:val="0"/>
        <w:ind w:right="426"/>
        <w:jc w:val="both"/>
        <w:rPr>
          <w:rFonts w:ascii="Calibri" w:hAnsi="Calibri" w:cs="Arial"/>
          <w:sz w:val="22"/>
          <w:szCs w:val="22"/>
          <w:lang w:val="hr-HR"/>
        </w:rPr>
      </w:pPr>
    </w:p>
    <w:p w:rsidR="006735C2" w:rsidRPr="001567C8" w:rsidRDefault="006735C2" w:rsidP="006735C2">
      <w:pPr>
        <w:autoSpaceDE w:val="0"/>
        <w:autoSpaceDN w:val="0"/>
        <w:adjustRightInd w:val="0"/>
        <w:ind w:right="-2"/>
        <w:jc w:val="both"/>
        <w:rPr>
          <w:rFonts w:ascii="Calibri" w:hAnsi="Calibri" w:cs="Arial"/>
          <w:sz w:val="22"/>
          <w:szCs w:val="22"/>
          <w:lang w:val="hr-HR"/>
        </w:rPr>
      </w:pPr>
      <w:r w:rsidRPr="001567C8">
        <w:rPr>
          <w:rFonts w:ascii="Calibri" w:hAnsi="Calibri" w:cs="Arial"/>
          <w:sz w:val="22"/>
          <w:szCs w:val="22"/>
          <w:lang w:val="hr-HR"/>
        </w:rPr>
        <w:t xml:space="preserve">Također, poslovna banka ovlašćuje HBOR da se temeljem ugovora o međusobnoj poslovnoj suradnji i navedene izjave može bez ikakve njezine daljnje suglasnosti ili odobrenja upisati u sve javne registre, knjige i upisnike umjesto poslovne banke na mjesto vjerovnika po provedenim osiguranjima za ustupljene tražbine te u svim drugim postupcima stupiti na mjesto vjerovnika. </w:t>
      </w:r>
    </w:p>
    <w:p w:rsidR="006735C2" w:rsidRPr="001567C8" w:rsidRDefault="006735C2" w:rsidP="006735C2">
      <w:pPr>
        <w:autoSpaceDE w:val="0"/>
        <w:autoSpaceDN w:val="0"/>
        <w:adjustRightInd w:val="0"/>
        <w:ind w:right="426"/>
        <w:jc w:val="both"/>
        <w:rPr>
          <w:rFonts w:ascii="Calibri" w:hAnsi="Calibri" w:cs="Arial"/>
          <w:sz w:val="22"/>
          <w:szCs w:val="22"/>
          <w:lang w:val="hr-HR"/>
        </w:rPr>
      </w:pPr>
    </w:p>
    <w:p w:rsidR="003E6690" w:rsidRPr="001567C8" w:rsidRDefault="006735C2" w:rsidP="006735C2">
      <w:pPr>
        <w:autoSpaceDE w:val="0"/>
        <w:autoSpaceDN w:val="0"/>
        <w:adjustRightInd w:val="0"/>
        <w:ind w:right="-2"/>
        <w:jc w:val="both"/>
        <w:rPr>
          <w:rFonts w:ascii="Calibri" w:hAnsi="Calibri" w:cs="Arial"/>
          <w:sz w:val="22"/>
          <w:szCs w:val="22"/>
          <w:lang w:val="hr-HR"/>
        </w:rPr>
        <w:sectPr w:rsidR="003E6690" w:rsidRPr="001567C8" w:rsidSect="003E2D7A">
          <w:pgSz w:w="11907" w:h="16840" w:code="9"/>
          <w:pgMar w:top="1418" w:right="1134" w:bottom="1134" w:left="1418" w:header="851" w:footer="851" w:gutter="0"/>
          <w:cols w:space="720"/>
          <w:noEndnote/>
        </w:sectPr>
      </w:pPr>
      <w:r w:rsidRPr="001567C8">
        <w:rPr>
          <w:rFonts w:ascii="Calibri" w:hAnsi="Calibri" w:cs="Arial"/>
          <w:sz w:val="22"/>
          <w:szCs w:val="22"/>
          <w:lang w:val="hr-HR"/>
        </w:rPr>
        <w:t>Od trenutka ustupanja, krajnji korisnik kredita je u obvezi sva plaćanja po ustupljenoj tražbini izvršavati izravno HBOR-u. Ako u tom slučaju poslovna banka eventualno primi neke uplate na ime naplate ustupljenog potraživanja, obvezna je sve što primi bez odgode proslijediti HBOR-u.</w:t>
      </w:r>
    </w:p>
    <w:p w:rsidR="006735C2" w:rsidRPr="001567C8" w:rsidRDefault="006735C2" w:rsidP="006735C2">
      <w:pPr>
        <w:autoSpaceDE w:val="0"/>
        <w:autoSpaceDN w:val="0"/>
        <w:adjustRightInd w:val="0"/>
        <w:ind w:right="-2"/>
        <w:jc w:val="both"/>
        <w:rPr>
          <w:rFonts w:ascii="Calibri" w:hAnsi="Calibri" w:cs="Arial"/>
          <w:sz w:val="18"/>
          <w:szCs w:val="18"/>
          <w:lang w:val="hr-HR"/>
        </w:rPr>
      </w:pPr>
    </w:p>
    <w:p w:rsidR="006735C2" w:rsidRPr="001567C8" w:rsidRDefault="003E6690" w:rsidP="006735C2">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w:t>
      </w:r>
      <w:r w:rsidR="006735C2" w:rsidRPr="001567C8">
        <w:rPr>
          <w:rFonts w:ascii="Calibri" w:hAnsi="Calibri" w:cs="Calibri"/>
          <w:b/>
          <w:bCs/>
          <w:sz w:val="22"/>
          <w:szCs w:val="22"/>
          <w:lang w:val="hr-HR" w:eastAsia="hr-HR"/>
        </w:rPr>
        <w:t>6.</w:t>
      </w:r>
      <w:r w:rsidR="006735C2" w:rsidRPr="001567C8">
        <w:rPr>
          <w:rFonts w:ascii="Calibri" w:hAnsi="Calibri" w:cs="Arial"/>
          <w:b/>
          <w:bCs/>
          <w:sz w:val="22"/>
          <w:szCs w:val="22"/>
          <w:lang w:val="hr-HR"/>
        </w:rPr>
        <w:tab/>
        <w:t>Upravljanje rizicima (nastavak)</w:t>
      </w:r>
    </w:p>
    <w:p w:rsidR="006735C2" w:rsidRPr="001567C8" w:rsidRDefault="006735C2" w:rsidP="006735C2">
      <w:pPr>
        <w:jc w:val="both"/>
        <w:rPr>
          <w:rFonts w:ascii="Calibri" w:hAnsi="Calibri"/>
          <w:sz w:val="18"/>
          <w:szCs w:val="18"/>
          <w:lang w:val="hr-HR"/>
        </w:rPr>
      </w:pPr>
    </w:p>
    <w:p w:rsidR="006735C2" w:rsidRPr="001567C8" w:rsidRDefault="003E6690" w:rsidP="003C6BA3">
      <w:pPr>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 Kreditni rizik (nastavak)</w:t>
      </w:r>
    </w:p>
    <w:p w:rsidR="006735C2" w:rsidRPr="001567C8" w:rsidRDefault="006735C2" w:rsidP="003C6BA3">
      <w:pPr>
        <w:rPr>
          <w:rFonts w:ascii="Calibri" w:eastAsia="Calibri" w:hAnsi="Calibri" w:cs="Arial"/>
          <w:b/>
          <w:sz w:val="18"/>
          <w:szCs w:val="18"/>
          <w:lang w:val="hr-HR"/>
        </w:rPr>
      </w:pPr>
    </w:p>
    <w:p w:rsidR="006735C2" w:rsidRPr="001567C8" w:rsidRDefault="003E6690" w:rsidP="003C6BA3">
      <w:pPr>
        <w:rPr>
          <w:rFonts w:ascii="Calibri" w:eastAsia="Calibri" w:hAnsi="Calibri" w:cs="Arial"/>
          <w:b/>
          <w:sz w:val="22"/>
          <w:szCs w:val="22"/>
          <w:lang w:val="hr-HR"/>
        </w:rPr>
      </w:pPr>
      <w:r w:rsidRPr="001567C8">
        <w:rPr>
          <w:rFonts w:ascii="Calibri" w:eastAsia="Calibri" w:hAnsi="Calibri" w:cs="Arial"/>
          <w:b/>
          <w:sz w:val="22"/>
          <w:szCs w:val="22"/>
          <w:lang w:val="hr-HR"/>
        </w:rPr>
        <w:t>3</w:t>
      </w:r>
      <w:r w:rsidR="006735C2" w:rsidRPr="001567C8">
        <w:rPr>
          <w:rFonts w:ascii="Calibri" w:eastAsia="Calibri" w:hAnsi="Calibri" w:cs="Arial"/>
          <w:b/>
          <w:sz w:val="22"/>
          <w:szCs w:val="22"/>
          <w:lang w:val="hr-HR"/>
        </w:rPr>
        <w:t>6.3.</w:t>
      </w:r>
      <w:r w:rsidR="00636530" w:rsidRPr="001567C8">
        <w:rPr>
          <w:rFonts w:ascii="Calibri" w:eastAsia="Calibri" w:hAnsi="Calibri" w:cs="Arial"/>
          <w:b/>
          <w:sz w:val="22"/>
          <w:szCs w:val="22"/>
          <w:lang w:val="hr-HR"/>
        </w:rPr>
        <w:t>8</w:t>
      </w:r>
      <w:r w:rsidR="006735C2" w:rsidRPr="001567C8">
        <w:rPr>
          <w:rFonts w:ascii="Calibri" w:eastAsia="Calibri" w:hAnsi="Calibri" w:cs="Arial"/>
          <w:b/>
          <w:sz w:val="22"/>
          <w:szCs w:val="22"/>
          <w:lang w:val="hr-HR"/>
        </w:rPr>
        <w:t>. Instrumenti osiguranja i ostala poboljšanja kvalitete kredita (kreditne sposobnosti) (nastavak)</w:t>
      </w:r>
    </w:p>
    <w:p w:rsidR="006735C2" w:rsidRPr="001567C8" w:rsidRDefault="006735C2">
      <w:pPr>
        <w:widowControl w:val="0"/>
        <w:jc w:val="both"/>
        <w:rPr>
          <w:rFonts w:ascii="Calibri" w:hAnsi="Calibri" w:cs="Arial"/>
          <w:sz w:val="18"/>
          <w:szCs w:val="18"/>
          <w:lang w:val="hr-HR"/>
        </w:rPr>
      </w:pPr>
    </w:p>
    <w:p w:rsidR="006735C2" w:rsidRPr="001567C8" w:rsidRDefault="006735C2">
      <w:pPr>
        <w:autoSpaceDE w:val="0"/>
        <w:autoSpaceDN w:val="0"/>
        <w:adjustRightInd w:val="0"/>
        <w:ind w:right="426"/>
        <w:jc w:val="both"/>
        <w:rPr>
          <w:rFonts w:ascii="Calibri" w:hAnsi="Calibri" w:cs="Arial"/>
          <w:sz w:val="22"/>
          <w:szCs w:val="22"/>
          <w:lang w:val="hr-HR"/>
        </w:rPr>
      </w:pPr>
      <w:r w:rsidRPr="001567C8">
        <w:rPr>
          <w:rFonts w:ascii="Calibri" w:eastAsia="Calibri" w:hAnsi="Calibri" w:cs="Arial"/>
          <w:sz w:val="22"/>
          <w:szCs w:val="22"/>
          <w:lang w:val="hr-HR"/>
        </w:rPr>
        <w:t xml:space="preserve">Svi izravni plasmani uglavnom su osigurani prijenosom vlasništva ili hipotekom na nekretninama te, ako je to moguće, kao osiguranje od kreditnog rizika Grupa pribavlja jamstvo Hrvatske agencije za malo gospodarstvo, inovacije i investicije (HAMAG-BICRO), jamstvo jedinice lokalne i područne (regionalne) </w:t>
      </w:r>
      <w:r w:rsidRPr="001567C8">
        <w:rPr>
          <w:rFonts w:ascii="Calibri" w:hAnsi="Calibri" w:cs="Arial"/>
          <w:sz w:val="22"/>
          <w:szCs w:val="22"/>
          <w:lang w:val="hr-HR"/>
        </w:rPr>
        <w:t xml:space="preserve">samouprave, jamstvo Republike Hrvatske i slično. </w:t>
      </w:r>
    </w:p>
    <w:p w:rsidR="006735C2" w:rsidRPr="001567C8" w:rsidRDefault="006735C2" w:rsidP="006735C2">
      <w:pPr>
        <w:autoSpaceDE w:val="0"/>
        <w:autoSpaceDN w:val="0"/>
        <w:adjustRightInd w:val="0"/>
        <w:ind w:right="426"/>
        <w:jc w:val="both"/>
        <w:rPr>
          <w:rFonts w:ascii="Calibri" w:hAnsi="Calibri" w:cs="Arial"/>
          <w:sz w:val="18"/>
          <w:szCs w:val="18"/>
          <w:lang w:val="hr-HR"/>
        </w:rPr>
      </w:pPr>
    </w:p>
    <w:p w:rsidR="006735C2" w:rsidRPr="001567C8" w:rsidRDefault="006735C2" w:rsidP="006735C2">
      <w:pPr>
        <w:autoSpaceDE w:val="0"/>
        <w:autoSpaceDN w:val="0"/>
        <w:adjustRightInd w:val="0"/>
        <w:ind w:right="426"/>
        <w:jc w:val="both"/>
        <w:rPr>
          <w:rFonts w:ascii="Calibri" w:hAnsi="Calibri" w:cs="Arial"/>
          <w:sz w:val="22"/>
          <w:szCs w:val="22"/>
          <w:lang w:val="hr-HR"/>
        </w:rPr>
      </w:pPr>
      <w:r w:rsidRPr="001567C8">
        <w:rPr>
          <w:rFonts w:ascii="Calibri" w:hAnsi="Calibri" w:cs="Arial"/>
          <w:sz w:val="22"/>
          <w:szCs w:val="22"/>
          <w:lang w:val="hr-HR"/>
        </w:rPr>
        <w:t xml:space="preserve">Grupa je ovlaštena izvršiti verifikaciju procjene vrijednosti i tako utvrđena procjena se smatra konačnom vrijednosti instrumenta osiguranja. </w:t>
      </w:r>
    </w:p>
    <w:p w:rsidR="006735C2" w:rsidRPr="00CD3A2D" w:rsidRDefault="006735C2" w:rsidP="006735C2">
      <w:pPr>
        <w:autoSpaceDE w:val="0"/>
        <w:autoSpaceDN w:val="0"/>
        <w:adjustRightInd w:val="0"/>
        <w:ind w:right="426"/>
        <w:jc w:val="both"/>
        <w:rPr>
          <w:rFonts w:ascii="Calibri" w:hAnsi="Calibri" w:cs="Arial"/>
          <w:sz w:val="16"/>
          <w:szCs w:val="16"/>
          <w:lang w:val="hr-HR"/>
        </w:rPr>
      </w:pPr>
    </w:p>
    <w:p w:rsidR="006735C2" w:rsidRPr="001567C8" w:rsidRDefault="006735C2" w:rsidP="006735C2">
      <w:pPr>
        <w:autoSpaceDE w:val="0"/>
        <w:autoSpaceDN w:val="0"/>
        <w:adjustRightInd w:val="0"/>
        <w:ind w:right="426"/>
        <w:jc w:val="both"/>
        <w:rPr>
          <w:rFonts w:ascii="Calibri" w:hAnsi="Calibri" w:cs="Arial"/>
          <w:sz w:val="22"/>
          <w:szCs w:val="22"/>
          <w:lang w:val="hr-HR"/>
        </w:rPr>
      </w:pPr>
      <w:r w:rsidRPr="001567C8">
        <w:rPr>
          <w:rFonts w:ascii="Calibri" w:hAnsi="Calibri" w:cs="Arial"/>
          <w:sz w:val="22"/>
          <w:szCs w:val="22"/>
          <w:lang w:val="hr-HR"/>
        </w:rPr>
        <w:t xml:space="preserve">Ovisno o vrsti instrumenta osiguranja, kreditnom programu, općim uvjetima osiguranja ili odluci nadležnog tijela, Grupa je odredila potreban omjer plasmana i osiguranja. </w:t>
      </w:r>
    </w:p>
    <w:p w:rsidR="006735C2" w:rsidRPr="00CD3A2D" w:rsidRDefault="006735C2" w:rsidP="006735C2">
      <w:pPr>
        <w:autoSpaceDE w:val="0"/>
        <w:autoSpaceDN w:val="0"/>
        <w:adjustRightInd w:val="0"/>
        <w:ind w:right="426"/>
        <w:jc w:val="both"/>
        <w:rPr>
          <w:rFonts w:ascii="Calibri" w:hAnsi="Calibri" w:cs="Arial"/>
          <w:sz w:val="16"/>
          <w:szCs w:val="16"/>
          <w:lang w:val="hr-HR"/>
        </w:rPr>
      </w:pPr>
    </w:p>
    <w:p w:rsidR="006735C2" w:rsidRPr="001567C8" w:rsidRDefault="006735C2" w:rsidP="006735C2">
      <w:pPr>
        <w:autoSpaceDE w:val="0"/>
        <w:autoSpaceDN w:val="0"/>
        <w:adjustRightInd w:val="0"/>
        <w:ind w:right="426"/>
        <w:jc w:val="both"/>
        <w:rPr>
          <w:rFonts w:ascii="Calibri" w:hAnsi="Calibri" w:cs="Arial"/>
          <w:sz w:val="22"/>
          <w:szCs w:val="22"/>
          <w:lang w:val="hr-HR"/>
        </w:rPr>
      </w:pPr>
      <w:r w:rsidRPr="001567C8">
        <w:rPr>
          <w:rFonts w:ascii="Calibri" w:hAnsi="Calibri" w:cs="Arial"/>
          <w:sz w:val="22"/>
          <w:szCs w:val="22"/>
          <w:lang w:val="hr-HR"/>
        </w:rPr>
        <w:t xml:space="preserve">Za nekretnine je potreban omjer iznosa plasmana i procijenjene prometne vrijednosti nekretnine 1:1,3, osim kod ulaganja na otocima, potpomognutim područjima gdje je taj omjer 1:1,2. Za pokretnine je potreban omjer iznosa plasmana i procijenjene prometne vrijednosti pokretnine 1:2. </w:t>
      </w:r>
      <w:r w:rsidRPr="001567C8">
        <w:rPr>
          <w:rFonts w:ascii="Calibri" w:eastAsia="Arial" w:hAnsi="Calibri" w:cs="Calibri"/>
          <w:sz w:val="22"/>
          <w:szCs w:val="22"/>
          <w:lang w:val="hr-HR"/>
        </w:rPr>
        <w:t>Za slučaj predlaganja nižeg omjera vrijednosti osiguranja od propisanog, obrazlažu se razlozi i opravdanosti odstupanja od propisanog.</w:t>
      </w:r>
    </w:p>
    <w:p w:rsidR="006735C2" w:rsidRPr="00CD3A2D" w:rsidRDefault="006735C2" w:rsidP="006735C2">
      <w:pPr>
        <w:autoSpaceDE w:val="0"/>
        <w:autoSpaceDN w:val="0"/>
        <w:adjustRightInd w:val="0"/>
        <w:ind w:right="426"/>
        <w:jc w:val="both"/>
        <w:rPr>
          <w:rFonts w:ascii="Calibri" w:hAnsi="Calibri" w:cs="Arial"/>
          <w:sz w:val="16"/>
          <w:szCs w:val="16"/>
          <w:lang w:val="hr-HR"/>
        </w:rPr>
      </w:pPr>
    </w:p>
    <w:p w:rsidR="006735C2" w:rsidRPr="001567C8" w:rsidRDefault="006735C2" w:rsidP="006735C2">
      <w:pPr>
        <w:autoSpaceDE w:val="0"/>
        <w:autoSpaceDN w:val="0"/>
        <w:adjustRightInd w:val="0"/>
        <w:ind w:right="426"/>
        <w:jc w:val="both"/>
        <w:rPr>
          <w:rFonts w:ascii="Calibri" w:eastAsia="Calibri" w:hAnsi="Calibri" w:cs="Arial"/>
          <w:sz w:val="22"/>
          <w:szCs w:val="22"/>
          <w:lang w:val="hr-HR"/>
        </w:rPr>
      </w:pPr>
      <w:r w:rsidRPr="001567C8">
        <w:rPr>
          <w:rFonts w:ascii="Calibri" w:hAnsi="Calibri" w:cs="Arial"/>
          <w:sz w:val="22"/>
          <w:szCs w:val="22"/>
          <w:lang w:val="hr-HR"/>
        </w:rPr>
        <w:t>Banka kontinuirano prati vrijednost instrumenata osiguranja ponovnom procjenom ili potvrdom/verifikacijom vrijednosti. Praćenje vrijednosti založene nekretnine obavlja se za poslovne nekretnine jednom godišnje, a za stambene</w:t>
      </w:r>
      <w:r w:rsidRPr="001567C8">
        <w:rPr>
          <w:rFonts w:ascii="Calibri" w:eastAsia="Calibri" w:hAnsi="Calibri" w:cs="Arial"/>
          <w:sz w:val="22"/>
          <w:szCs w:val="22"/>
          <w:lang w:val="hr-HR"/>
        </w:rPr>
        <w:t xml:space="preserve"> nekretnine svake tri godine. Banka ima formiranu posebnu organizacijsku jedinicu za:</w:t>
      </w:r>
    </w:p>
    <w:p w:rsidR="006735C2" w:rsidRPr="001567C8" w:rsidRDefault="006735C2" w:rsidP="002B5EA8">
      <w:pPr>
        <w:numPr>
          <w:ilvl w:val="0"/>
          <w:numId w:val="5"/>
        </w:numPr>
        <w:tabs>
          <w:tab w:val="right" w:pos="9129"/>
        </w:tabs>
        <w:ind w:right="444"/>
        <w:jc w:val="both"/>
        <w:rPr>
          <w:rFonts w:ascii="Calibri" w:eastAsia="Calibri" w:hAnsi="Calibri" w:cs="Arial"/>
          <w:sz w:val="22"/>
          <w:szCs w:val="22"/>
          <w:lang w:val="hr-HR"/>
        </w:rPr>
      </w:pPr>
      <w:r w:rsidRPr="001567C8">
        <w:rPr>
          <w:rFonts w:ascii="Calibri" w:eastAsia="Calibri" w:hAnsi="Calibri" w:cs="Arial"/>
          <w:sz w:val="22"/>
          <w:szCs w:val="22"/>
          <w:lang w:val="hr-HR"/>
        </w:rPr>
        <w:t xml:space="preserve">procjenu vrijednosti i verifikaciju već procijenjenih vrijednosti ponuđenih instrumenata osiguranja (nekretnine i pokretnine), </w:t>
      </w:r>
    </w:p>
    <w:p w:rsidR="006735C2" w:rsidRPr="001567C8" w:rsidRDefault="006735C2" w:rsidP="002B5EA8">
      <w:pPr>
        <w:numPr>
          <w:ilvl w:val="0"/>
          <w:numId w:val="5"/>
        </w:numPr>
        <w:tabs>
          <w:tab w:val="right" w:pos="9129"/>
        </w:tabs>
        <w:jc w:val="both"/>
        <w:rPr>
          <w:rFonts w:ascii="Calibri" w:eastAsia="Calibri" w:hAnsi="Calibri" w:cs="Arial"/>
          <w:sz w:val="22"/>
          <w:szCs w:val="22"/>
          <w:lang w:val="hr-HR"/>
        </w:rPr>
      </w:pPr>
      <w:r w:rsidRPr="001567C8">
        <w:rPr>
          <w:rFonts w:ascii="Calibri" w:eastAsia="Calibri" w:hAnsi="Calibri" w:cs="Arial"/>
          <w:sz w:val="22"/>
          <w:szCs w:val="22"/>
          <w:lang w:val="hr-HR"/>
        </w:rPr>
        <w:t xml:space="preserve">tehničko-tehnološku analizu investicijskih projekata kao i </w:t>
      </w:r>
    </w:p>
    <w:p w:rsidR="006735C2" w:rsidRPr="001567C8" w:rsidRDefault="006735C2" w:rsidP="002B5EA8">
      <w:pPr>
        <w:numPr>
          <w:ilvl w:val="0"/>
          <w:numId w:val="5"/>
        </w:numPr>
        <w:tabs>
          <w:tab w:val="right" w:pos="9129"/>
        </w:tabs>
        <w:jc w:val="both"/>
        <w:rPr>
          <w:rFonts w:ascii="Calibri" w:eastAsia="Calibri" w:hAnsi="Calibri" w:cs="Arial"/>
          <w:sz w:val="22"/>
          <w:szCs w:val="22"/>
          <w:lang w:val="hr-HR"/>
        </w:rPr>
      </w:pPr>
      <w:r w:rsidRPr="001567C8">
        <w:rPr>
          <w:rFonts w:ascii="Calibri" w:eastAsia="Calibri" w:hAnsi="Calibri" w:cs="Arial"/>
          <w:sz w:val="22"/>
          <w:szCs w:val="22"/>
          <w:lang w:val="hr-HR"/>
        </w:rPr>
        <w:t>financijski nadzor nad korištenjem sredstava kredita u svrhu izvedbe investicijskog projekta.</w:t>
      </w:r>
    </w:p>
    <w:p w:rsidR="006735C2" w:rsidRPr="00CD3A2D" w:rsidRDefault="006735C2" w:rsidP="006735C2">
      <w:pPr>
        <w:autoSpaceDE w:val="0"/>
        <w:autoSpaceDN w:val="0"/>
        <w:adjustRightInd w:val="0"/>
        <w:ind w:right="426"/>
        <w:jc w:val="both"/>
        <w:rPr>
          <w:rFonts w:ascii="Calibri" w:hAnsi="Calibri" w:cs="Arial"/>
          <w:sz w:val="16"/>
          <w:szCs w:val="16"/>
          <w:lang w:val="hr-HR"/>
        </w:rPr>
      </w:pPr>
    </w:p>
    <w:p w:rsidR="006735C2" w:rsidRPr="001567C8" w:rsidRDefault="006735C2" w:rsidP="006735C2">
      <w:pPr>
        <w:autoSpaceDE w:val="0"/>
        <w:autoSpaceDN w:val="0"/>
        <w:adjustRightInd w:val="0"/>
        <w:ind w:right="426"/>
        <w:jc w:val="both"/>
        <w:rPr>
          <w:rFonts w:ascii="Calibri" w:hAnsi="Calibri" w:cs="Arial"/>
          <w:sz w:val="22"/>
          <w:szCs w:val="22"/>
          <w:lang w:val="hr-HR"/>
        </w:rPr>
      </w:pPr>
      <w:r w:rsidRPr="001567C8">
        <w:rPr>
          <w:rFonts w:ascii="Calibri" w:hAnsi="Calibri" w:cs="Arial"/>
          <w:sz w:val="22"/>
          <w:szCs w:val="22"/>
          <w:lang w:val="hr-HR"/>
        </w:rPr>
        <w:t>U slučaju nemogućnosti naplate iz redovnog poslovanja Banka pokreće raspoložive instrumente osiguranja u svrhu naplate svojih potraživanja. To podrazumijeva pokretanje naplate iz obveznih instrumenata osiguranja zatim iz prvorazrednih bezuvjetnih na prvi poziv naplativih instrumenata, a zatim iz zaloga ili fiducije nad nekretninama ili pokretninama, uključujući i njihovo preuzimanje u vlasništvo Banke sa svrhom smanjenja ili naplate potraživanja. Preuzetu imovinu Banka ne koristi za svoje poslovne namjene.</w:t>
      </w:r>
    </w:p>
    <w:p w:rsidR="006735C2" w:rsidRPr="00CD3A2D" w:rsidRDefault="006735C2" w:rsidP="006735C2">
      <w:pPr>
        <w:autoSpaceDE w:val="0"/>
        <w:autoSpaceDN w:val="0"/>
        <w:adjustRightInd w:val="0"/>
        <w:ind w:right="426"/>
        <w:jc w:val="both"/>
        <w:rPr>
          <w:rFonts w:ascii="Calibri" w:hAnsi="Calibri" w:cs="Arial"/>
          <w:sz w:val="16"/>
          <w:szCs w:val="16"/>
          <w:lang w:val="hr-HR"/>
        </w:rPr>
      </w:pPr>
    </w:p>
    <w:p w:rsidR="006735C2" w:rsidRPr="001567C8" w:rsidRDefault="006735C2" w:rsidP="006735C2">
      <w:pPr>
        <w:autoSpaceDE w:val="0"/>
        <w:autoSpaceDN w:val="0"/>
        <w:adjustRightInd w:val="0"/>
        <w:ind w:right="426"/>
        <w:jc w:val="both"/>
        <w:rPr>
          <w:rFonts w:ascii="Calibri" w:hAnsi="Calibri" w:cs="Arial"/>
          <w:sz w:val="22"/>
          <w:szCs w:val="22"/>
          <w:lang w:val="hr-HR"/>
        </w:rPr>
      </w:pPr>
      <w:r w:rsidRPr="001567C8">
        <w:rPr>
          <w:rFonts w:ascii="Calibri" w:hAnsi="Calibri" w:cs="Arial"/>
          <w:sz w:val="22"/>
          <w:szCs w:val="22"/>
          <w:lang w:val="hr-HR"/>
        </w:rPr>
        <w:t xml:space="preserve">Kod modela podjele rizika, osiguranje se provodi ovisno o modelu: </w:t>
      </w:r>
    </w:p>
    <w:p w:rsidR="006735C2" w:rsidRPr="001567C8" w:rsidRDefault="006735C2" w:rsidP="002B5EA8">
      <w:pPr>
        <w:numPr>
          <w:ilvl w:val="0"/>
          <w:numId w:val="10"/>
        </w:numPr>
        <w:ind w:left="709" w:hanging="349"/>
        <w:contextualSpacing/>
        <w:jc w:val="both"/>
        <w:rPr>
          <w:rFonts w:ascii="Calibri" w:eastAsia="Calibri" w:hAnsi="Calibri" w:cs="Arial"/>
          <w:sz w:val="22"/>
          <w:szCs w:val="22"/>
          <w:lang w:val="hr-HR"/>
        </w:rPr>
      </w:pPr>
      <w:r w:rsidRPr="001567C8">
        <w:rPr>
          <w:rFonts w:ascii="Calibri" w:eastAsia="Calibri" w:hAnsi="Calibri" w:cs="Arial"/>
          <w:sz w:val="22"/>
          <w:szCs w:val="22"/>
          <w:lang w:val="hr-HR"/>
        </w:rPr>
        <w:t>poslovna banka - sukladno vlastitim internim aktima i dobrim bankarskim praksama te se ne primjenjuju akti HBOR-a i njima propisani omjeri osiguranja,</w:t>
      </w:r>
    </w:p>
    <w:p w:rsidR="006735C2" w:rsidRPr="001567C8" w:rsidRDefault="006735C2" w:rsidP="002B5EA8">
      <w:pPr>
        <w:numPr>
          <w:ilvl w:val="0"/>
          <w:numId w:val="10"/>
        </w:numPr>
        <w:autoSpaceDE w:val="0"/>
        <w:autoSpaceDN w:val="0"/>
        <w:adjustRightInd w:val="0"/>
        <w:ind w:left="709" w:right="426" w:hanging="349"/>
        <w:contextualSpacing/>
        <w:jc w:val="both"/>
        <w:rPr>
          <w:rFonts w:ascii="Calibri" w:eastAsia="Calibri" w:hAnsi="Calibri" w:cs="Arial"/>
          <w:sz w:val="22"/>
          <w:szCs w:val="22"/>
          <w:lang w:val="hr-HR"/>
        </w:rPr>
      </w:pPr>
      <w:r w:rsidRPr="001567C8">
        <w:rPr>
          <w:rFonts w:ascii="Calibri" w:eastAsia="Calibri" w:hAnsi="Calibri" w:cs="Arial"/>
          <w:sz w:val="22"/>
          <w:szCs w:val="22"/>
          <w:lang w:val="hr-HR"/>
        </w:rPr>
        <w:t>ili poslovna banka i HBOR - svaka za svoj dio kredita provodi osiguranje sukladno vlastitim aktima odlukama i/ili procedurama.</w:t>
      </w:r>
    </w:p>
    <w:p w:rsidR="007D6637" w:rsidRPr="00CD3A2D" w:rsidRDefault="007D6637" w:rsidP="008C01B9">
      <w:pPr>
        <w:autoSpaceDE w:val="0"/>
        <w:autoSpaceDN w:val="0"/>
        <w:adjustRightInd w:val="0"/>
        <w:ind w:right="426"/>
        <w:contextualSpacing/>
        <w:jc w:val="both"/>
        <w:rPr>
          <w:rFonts w:ascii="Calibri" w:eastAsia="Calibri" w:hAnsi="Calibri" w:cs="Arial"/>
          <w:b/>
          <w:sz w:val="18"/>
          <w:szCs w:val="18"/>
          <w:lang w:val="hr-HR"/>
        </w:rPr>
      </w:pPr>
    </w:p>
    <w:p w:rsidR="008C01B9" w:rsidRPr="00CD3A2D" w:rsidRDefault="007D6637" w:rsidP="008C01B9">
      <w:pPr>
        <w:autoSpaceDE w:val="0"/>
        <w:autoSpaceDN w:val="0"/>
        <w:adjustRightInd w:val="0"/>
        <w:ind w:right="426"/>
        <w:contextualSpacing/>
        <w:jc w:val="both"/>
        <w:rPr>
          <w:rFonts w:ascii="Calibri" w:eastAsia="Calibri" w:hAnsi="Calibri" w:cs="Arial"/>
          <w:b/>
          <w:sz w:val="22"/>
          <w:szCs w:val="22"/>
          <w:lang w:val="hr-HR"/>
        </w:rPr>
      </w:pPr>
      <w:r w:rsidRPr="00CD3A2D">
        <w:rPr>
          <w:rFonts w:ascii="Calibri" w:eastAsia="Calibri" w:hAnsi="Calibri" w:cs="Arial"/>
          <w:b/>
          <w:sz w:val="22"/>
          <w:szCs w:val="22"/>
          <w:lang w:val="hr-HR"/>
        </w:rPr>
        <w:t>Otpisi</w:t>
      </w:r>
    </w:p>
    <w:p w:rsidR="008C01B9" w:rsidRPr="00CD3A2D" w:rsidRDefault="008C01B9" w:rsidP="008C01B9">
      <w:pPr>
        <w:autoSpaceDE w:val="0"/>
        <w:autoSpaceDN w:val="0"/>
        <w:rPr>
          <w:rFonts w:asciiTheme="minorHAnsi" w:hAnsiTheme="minorHAnsi" w:cstheme="minorHAnsi"/>
          <w:sz w:val="22"/>
          <w:szCs w:val="22"/>
          <w:lang w:val="hr-HR"/>
        </w:rPr>
      </w:pPr>
      <w:r w:rsidRPr="00CD3A2D">
        <w:rPr>
          <w:rFonts w:asciiTheme="minorHAnsi" w:hAnsiTheme="minorHAnsi" w:cstheme="minorHAnsi"/>
          <w:sz w:val="22"/>
          <w:szCs w:val="22"/>
          <w:lang w:val="hr-HR"/>
        </w:rPr>
        <w:t>Otpis se provodi sukladno Metodologiji otpisa potraživanja.</w:t>
      </w:r>
    </w:p>
    <w:p w:rsidR="008C01B9" w:rsidRPr="00CD3A2D" w:rsidRDefault="008C01B9" w:rsidP="008C01B9">
      <w:pPr>
        <w:autoSpaceDE w:val="0"/>
        <w:autoSpaceDN w:val="0"/>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Kriteriji razmatranja otpisa potraživanja mogu se grupirati u 3 osnovne skupine:</w:t>
      </w:r>
    </w:p>
    <w:p w:rsidR="008C01B9" w:rsidRPr="00CD3A2D" w:rsidRDefault="008C01B9" w:rsidP="008C01B9">
      <w:pPr>
        <w:autoSpaceDE w:val="0"/>
        <w:autoSpaceDN w:val="0"/>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A. iscrpljenost svih raspoloživih oblika redovne i prisilne naplate;</w:t>
      </w:r>
    </w:p>
    <w:p w:rsidR="008C01B9" w:rsidRPr="00CD3A2D" w:rsidRDefault="008C01B9" w:rsidP="008C01B9">
      <w:pPr>
        <w:autoSpaceDE w:val="0"/>
        <w:autoSpaceDN w:val="0"/>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B. ostvarivanje nagodbe, prodaje potraživanja ili restrukturiranja plasmana;</w:t>
      </w:r>
    </w:p>
    <w:p w:rsidR="008C01B9" w:rsidRPr="00CD3A2D" w:rsidRDefault="008C01B9" w:rsidP="008C01B9">
      <w:pPr>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C. teško socijalno i/ili zdravstveno stanje dužnika (i/ili sudužnika, jamca).</w:t>
      </w:r>
    </w:p>
    <w:p w:rsidR="008C01B9" w:rsidRPr="001567C8" w:rsidRDefault="008C01B9" w:rsidP="003C6BA3">
      <w:pPr>
        <w:autoSpaceDE w:val="0"/>
        <w:autoSpaceDN w:val="0"/>
        <w:adjustRightInd w:val="0"/>
        <w:ind w:right="426"/>
        <w:contextualSpacing/>
        <w:jc w:val="both"/>
        <w:rPr>
          <w:rFonts w:ascii="Calibri" w:eastAsia="Calibri" w:hAnsi="Calibri" w:cs="Arial"/>
          <w:sz w:val="22"/>
          <w:szCs w:val="22"/>
          <w:lang w:val="hr-HR"/>
        </w:rPr>
        <w:sectPr w:rsidR="008C01B9" w:rsidRPr="001567C8" w:rsidSect="003E2D7A">
          <w:pgSz w:w="11907" w:h="16840" w:code="9"/>
          <w:pgMar w:top="1418" w:right="1134" w:bottom="1134" w:left="1418" w:header="851" w:footer="851" w:gutter="0"/>
          <w:cols w:space="720"/>
          <w:noEndnote/>
        </w:sectPr>
      </w:pPr>
    </w:p>
    <w:p w:rsidR="006102E6" w:rsidRPr="001567C8" w:rsidRDefault="006102E6" w:rsidP="001B52F6">
      <w:pPr>
        <w:pStyle w:val="T1"/>
        <w:spacing w:before="0" w:after="0" w:line="240" w:lineRule="auto"/>
        <w:rPr>
          <w:rFonts w:asciiTheme="minorHAnsi" w:hAnsiTheme="minorHAnsi" w:cs="Arial"/>
          <w:sz w:val="22"/>
          <w:szCs w:val="22"/>
          <w:lang w:val="hr-HR"/>
        </w:rPr>
      </w:pPr>
    </w:p>
    <w:p w:rsidR="00FA2A6D" w:rsidRPr="001567C8" w:rsidRDefault="00FA2A6D" w:rsidP="00FA2A6D">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36.</w:t>
      </w:r>
      <w:r w:rsidRPr="001567C8">
        <w:rPr>
          <w:rFonts w:ascii="Calibri" w:hAnsi="Calibri" w:cs="Arial"/>
          <w:b/>
          <w:bCs/>
          <w:sz w:val="22"/>
          <w:szCs w:val="22"/>
          <w:lang w:val="hr-HR"/>
        </w:rPr>
        <w:tab/>
        <w:t>Upravljanje rizicima (nastavak)</w:t>
      </w:r>
    </w:p>
    <w:p w:rsidR="00FA2A6D" w:rsidRPr="001567C8" w:rsidRDefault="00FA2A6D" w:rsidP="00FA2A6D">
      <w:pPr>
        <w:jc w:val="both"/>
        <w:rPr>
          <w:rFonts w:ascii="Calibri" w:hAnsi="Calibri"/>
          <w:sz w:val="18"/>
          <w:szCs w:val="18"/>
          <w:lang w:val="hr-HR"/>
        </w:rPr>
      </w:pPr>
    </w:p>
    <w:p w:rsidR="00FA2A6D" w:rsidRPr="001567C8" w:rsidRDefault="00FA2A6D" w:rsidP="00FA2A6D">
      <w:pPr>
        <w:rPr>
          <w:rFonts w:ascii="Calibri" w:eastAsia="Calibri" w:hAnsi="Calibri" w:cs="Arial"/>
          <w:b/>
          <w:sz w:val="22"/>
          <w:szCs w:val="22"/>
          <w:lang w:val="hr-HR"/>
        </w:rPr>
      </w:pPr>
      <w:r w:rsidRPr="001567C8">
        <w:rPr>
          <w:rFonts w:ascii="Calibri" w:eastAsia="Calibri" w:hAnsi="Calibri" w:cs="Arial"/>
          <w:b/>
          <w:sz w:val="22"/>
          <w:szCs w:val="22"/>
          <w:lang w:val="hr-HR"/>
        </w:rPr>
        <w:t>36.3. Kreditni rizik (nastavak)</w:t>
      </w:r>
    </w:p>
    <w:p w:rsidR="00FA2A6D" w:rsidRPr="00CD3A2D" w:rsidRDefault="00FA2A6D" w:rsidP="001B52F6">
      <w:pPr>
        <w:pStyle w:val="T1"/>
        <w:spacing w:before="0" w:after="0" w:line="240" w:lineRule="auto"/>
        <w:rPr>
          <w:rFonts w:asciiTheme="minorHAnsi" w:hAnsiTheme="minorHAnsi" w:cs="Arial"/>
          <w:sz w:val="18"/>
          <w:szCs w:val="18"/>
          <w:lang w:val="hr-HR"/>
        </w:rPr>
      </w:pPr>
    </w:p>
    <w:p w:rsidR="00FA2A6D" w:rsidRPr="001567C8" w:rsidRDefault="00FA2A6D" w:rsidP="001B52F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36.3.9. Kreditni rizik - Politika primjenjiva prije 1. siječnja 2018. godine</w:t>
      </w:r>
    </w:p>
    <w:p w:rsidR="00FA2A6D" w:rsidRPr="00CD3A2D" w:rsidRDefault="00FA2A6D" w:rsidP="001B52F6">
      <w:pPr>
        <w:pStyle w:val="T1"/>
        <w:spacing w:before="0" w:after="0" w:line="240" w:lineRule="auto"/>
        <w:rPr>
          <w:rFonts w:asciiTheme="minorHAnsi" w:hAnsiTheme="minorHAnsi" w:cs="Arial"/>
          <w:sz w:val="18"/>
          <w:szCs w:val="18"/>
          <w:lang w:val="hr-HR"/>
        </w:rPr>
      </w:pPr>
    </w:p>
    <w:p w:rsidR="00FA2A6D" w:rsidRPr="001567C8" w:rsidRDefault="00FA2A6D" w:rsidP="00FA2A6D">
      <w:pPr>
        <w:jc w:val="both"/>
        <w:rPr>
          <w:rFonts w:asciiTheme="minorHAnsi" w:hAnsiTheme="minorHAnsi" w:cs="Arial"/>
          <w:b/>
          <w:sz w:val="22"/>
          <w:szCs w:val="22"/>
          <w:lang w:val="hr-HR"/>
        </w:rPr>
      </w:pPr>
      <w:r w:rsidRPr="001567C8">
        <w:rPr>
          <w:rFonts w:asciiTheme="minorHAnsi" w:hAnsiTheme="minorHAnsi" w:cs="Arial"/>
          <w:b/>
          <w:sz w:val="22"/>
          <w:szCs w:val="22"/>
          <w:lang w:val="hr-HR"/>
        </w:rPr>
        <w:t>Interne metodologije procjene kreditnog rizika</w:t>
      </w:r>
    </w:p>
    <w:p w:rsidR="00FA2A6D" w:rsidRPr="001567C8" w:rsidRDefault="00FA2A6D" w:rsidP="00FA2A6D">
      <w:pPr>
        <w:jc w:val="both"/>
        <w:rPr>
          <w:rFonts w:asciiTheme="minorHAnsi" w:hAnsiTheme="minorHAnsi" w:cs="Arial"/>
          <w:sz w:val="22"/>
          <w:szCs w:val="22"/>
          <w:lang w:val="hr-HR"/>
        </w:rPr>
      </w:pPr>
    </w:p>
    <w:p w:rsidR="00FA2A6D" w:rsidRPr="001567C8" w:rsidRDefault="00FA2A6D" w:rsidP="00FA2A6D">
      <w:pPr>
        <w:jc w:val="both"/>
        <w:rPr>
          <w:rFonts w:asciiTheme="minorHAnsi" w:hAnsiTheme="minorHAnsi" w:cs="Arial"/>
          <w:sz w:val="22"/>
          <w:szCs w:val="22"/>
          <w:lang w:val="hr-HR"/>
        </w:rPr>
      </w:pPr>
      <w:r w:rsidRPr="001567C8">
        <w:rPr>
          <w:rFonts w:asciiTheme="minorHAnsi" w:hAnsiTheme="minorHAnsi" w:cs="Arial"/>
          <w:sz w:val="22"/>
          <w:szCs w:val="22"/>
          <w:lang w:val="hr-HR"/>
        </w:rPr>
        <w:t>Za analizu i ocjenu različitih ciljnih skupina klijenata Banka ima propisane interne metodologije. One predstavljaju smjernicu za donošenje odluke o odobrenju kredita, garancija i akreditiva s odgođenim polaganjem pokrića te su jedan od kriterija za određivanje rizičnosti plasmana.</w:t>
      </w:r>
    </w:p>
    <w:p w:rsidR="00FA2A6D" w:rsidRPr="00CD3A2D" w:rsidRDefault="00FA2A6D" w:rsidP="00FA2A6D">
      <w:pPr>
        <w:jc w:val="both"/>
        <w:rPr>
          <w:rFonts w:asciiTheme="minorHAnsi" w:hAnsiTheme="minorHAnsi" w:cs="Arial"/>
          <w:sz w:val="18"/>
          <w:szCs w:val="18"/>
          <w:lang w:val="hr-HR"/>
        </w:rPr>
      </w:pPr>
    </w:p>
    <w:p w:rsidR="00FA2A6D" w:rsidRPr="001567C8" w:rsidRDefault="00FA2A6D" w:rsidP="00FA2A6D">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Metodologija za ocjenu kreditnog rejtinga primjenjuje se prilikom određivanja kreditne sposobnosti klijenata kod izravnog kreditiranja za plasmane iznad 1.500 tisuća kuna. Sadrži tri glavna područja ocjene: ocjenu klijenta i ocjenu projekta/investicije te ocjenu klijenta analizom budućeg poslovanja. Sva područja ocjene se sastoje od tri osnovna dijela: financijske, nefinancijske analize i ispravka ocjene temeljem valutno induciranog kreditnog rizika (VIKR) za plasmane u stranoj valuti ili u kunama uz primjenu valutne klauzule. </w:t>
      </w:r>
    </w:p>
    <w:p w:rsidR="00FA2A6D" w:rsidRPr="00CD3A2D" w:rsidRDefault="00FA2A6D" w:rsidP="00FA2A6D">
      <w:pPr>
        <w:jc w:val="both"/>
        <w:rPr>
          <w:rFonts w:asciiTheme="minorHAnsi" w:hAnsiTheme="minorHAnsi" w:cs="Arial"/>
          <w:sz w:val="18"/>
          <w:szCs w:val="18"/>
          <w:lang w:val="hr-HR"/>
        </w:rPr>
      </w:pPr>
    </w:p>
    <w:p w:rsidR="00FA2A6D" w:rsidRPr="001567C8" w:rsidRDefault="00FA2A6D" w:rsidP="00FA2A6D">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Metodologije kreditnog bodovanja primjenjuju se prilikom ocjene kreditnog rizika na sve izravne plasmane manje od 1.500 tisuća kuna, po kojima je Banka izložena kreditnom riziku. Kvaliteta i vrijednost instrumenata osiguranja plasmana sastavni su dio postupka kreditnog bodovanja. </w:t>
      </w:r>
    </w:p>
    <w:p w:rsidR="00FA2A6D" w:rsidRPr="00CD3A2D" w:rsidRDefault="00FA2A6D" w:rsidP="00FA2A6D">
      <w:pPr>
        <w:jc w:val="both"/>
        <w:rPr>
          <w:rFonts w:asciiTheme="minorHAnsi" w:hAnsiTheme="minorHAnsi" w:cs="Arial"/>
          <w:sz w:val="18"/>
          <w:szCs w:val="18"/>
          <w:lang w:val="hr-HR"/>
        </w:rPr>
      </w:pPr>
    </w:p>
    <w:p w:rsidR="00FA2A6D" w:rsidRPr="001567C8" w:rsidRDefault="00FA2A6D" w:rsidP="00FA2A6D">
      <w:pPr>
        <w:jc w:val="both"/>
        <w:rPr>
          <w:rFonts w:asciiTheme="minorHAnsi" w:hAnsiTheme="minorHAnsi" w:cs="Arial"/>
          <w:sz w:val="22"/>
          <w:szCs w:val="22"/>
          <w:lang w:val="hr-HR"/>
        </w:rPr>
      </w:pPr>
      <w:r w:rsidRPr="001567C8">
        <w:rPr>
          <w:rFonts w:asciiTheme="minorHAnsi" w:hAnsiTheme="minorHAnsi" w:cs="Arial"/>
          <w:sz w:val="22"/>
          <w:szCs w:val="22"/>
          <w:lang w:val="hr-HR"/>
        </w:rPr>
        <w:t>Metodologije za analizu klijenata koji poslovne knjige vode po Zakonu o porezu na dohodak (odobrenja) primjenjuju se prilikom određivanja kreditne sposobnosti klijenata kod izravnog kreditiranja za plasmane iznad 1.500 tisuća kuna uz ocjenu projekta primjenom Metodologije za ocjenu kreditnog rejtinga (ocjena projekta).</w:t>
      </w:r>
    </w:p>
    <w:p w:rsidR="00FA2A6D" w:rsidRPr="00CD3A2D" w:rsidRDefault="00FA2A6D" w:rsidP="00FA2A6D">
      <w:pPr>
        <w:jc w:val="both"/>
        <w:rPr>
          <w:rFonts w:asciiTheme="minorHAnsi" w:hAnsiTheme="minorHAnsi" w:cs="Arial"/>
          <w:sz w:val="18"/>
          <w:szCs w:val="18"/>
          <w:lang w:val="hr-HR"/>
        </w:rPr>
      </w:pPr>
    </w:p>
    <w:p w:rsidR="00FA2A6D" w:rsidRPr="001567C8" w:rsidRDefault="00FA2A6D" w:rsidP="00FA2A6D">
      <w:pPr>
        <w:jc w:val="both"/>
        <w:rPr>
          <w:rFonts w:asciiTheme="minorHAnsi" w:hAnsiTheme="minorHAnsi" w:cs="Arial"/>
          <w:sz w:val="22"/>
          <w:szCs w:val="22"/>
          <w:lang w:val="hr-HR"/>
        </w:rPr>
      </w:pPr>
      <w:r w:rsidRPr="001567C8">
        <w:rPr>
          <w:rFonts w:asciiTheme="minorHAnsi" w:hAnsiTheme="minorHAnsi" w:cs="Arial"/>
          <w:sz w:val="22"/>
          <w:szCs w:val="22"/>
          <w:lang w:val="hr-HR"/>
        </w:rPr>
        <w:t>Metodologija za ocjenu i odabir banaka i Metodologija za ocjenu i odabir inozemnih banaka primjenjuju se za ocjenu domaćih i inozemnih banaka. Metodologija za ocjenu i odabir leasing društava primjenjuje se za ocjenu leasing društava. Metodologije obuhvaćaju procjenu financijskog rizika (kvantitativna ocjena), procjenu poslovnog rizika analiziranih banaka/leasing društava (kvalitativna ocjena) te procjenu reputacijskog rizika</w:t>
      </w:r>
      <w:r w:rsidRPr="001567C8">
        <w:rPr>
          <w:rFonts w:asciiTheme="minorHAnsi" w:hAnsiTheme="minorHAnsi"/>
          <w:b/>
          <w:sz w:val="22"/>
          <w:szCs w:val="22"/>
          <w:lang w:val="hr-HR"/>
        </w:rPr>
        <w:t>.</w:t>
      </w:r>
      <w:r w:rsidRPr="001567C8">
        <w:rPr>
          <w:rFonts w:asciiTheme="minorHAnsi" w:hAnsiTheme="minorHAnsi" w:cs="Arial"/>
          <w:sz w:val="22"/>
          <w:szCs w:val="22"/>
          <w:lang w:val="hr-HR"/>
        </w:rPr>
        <w:t xml:space="preserve"> </w:t>
      </w:r>
    </w:p>
    <w:p w:rsidR="00FA2A6D" w:rsidRPr="00CD3A2D" w:rsidRDefault="00FA2A6D" w:rsidP="00FA2A6D">
      <w:pPr>
        <w:jc w:val="both"/>
        <w:rPr>
          <w:rFonts w:asciiTheme="minorHAnsi" w:hAnsiTheme="minorHAnsi" w:cs="Arial"/>
          <w:sz w:val="18"/>
          <w:szCs w:val="18"/>
          <w:lang w:val="hr-HR"/>
        </w:rPr>
      </w:pPr>
    </w:p>
    <w:p w:rsidR="00FA2A6D" w:rsidRPr="001567C8" w:rsidRDefault="00FA2A6D" w:rsidP="00FA2A6D">
      <w:pPr>
        <w:jc w:val="both"/>
        <w:rPr>
          <w:rFonts w:asciiTheme="minorHAnsi" w:hAnsiTheme="minorHAnsi" w:cs="Arial"/>
          <w:sz w:val="22"/>
          <w:szCs w:val="22"/>
          <w:lang w:val="hr-HR"/>
        </w:rPr>
      </w:pPr>
      <w:r w:rsidRPr="001567C8">
        <w:rPr>
          <w:rFonts w:asciiTheme="minorHAnsi" w:hAnsiTheme="minorHAnsi" w:cs="Arial"/>
          <w:sz w:val="22"/>
          <w:szCs w:val="22"/>
          <w:lang w:val="hr-HR"/>
        </w:rPr>
        <w:t>Rezultat primjene navedenih metodologija je rejting klijenta.</w:t>
      </w:r>
    </w:p>
    <w:p w:rsidR="00FA2A6D" w:rsidRPr="001567C8" w:rsidRDefault="00FA2A6D" w:rsidP="001B52F6">
      <w:pPr>
        <w:pStyle w:val="T1"/>
        <w:spacing w:before="0" w:after="0" w:line="240" w:lineRule="auto"/>
        <w:rPr>
          <w:rFonts w:asciiTheme="minorHAnsi" w:hAnsiTheme="minorHAnsi" w:cs="Arial"/>
          <w:sz w:val="22"/>
          <w:szCs w:val="22"/>
          <w:lang w:val="hr-HR"/>
        </w:rPr>
      </w:pPr>
    </w:p>
    <w:p w:rsidR="00FA2A6D" w:rsidRPr="001567C8" w:rsidRDefault="00FA2A6D" w:rsidP="00FA2A6D">
      <w:pPr>
        <w:pStyle w:val="T1"/>
        <w:spacing w:before="0" w:after="0" w:line="240" w:lineRule="auto"/>
        <w:rPr>
          <w:rFonts w:asciiTheme="minorHAnsi" w:hAnsiTheme="minorHAnsi"/>
          <w:sz w:val="22"/>
          <w:szCs w:val="22"/>
          <w:lang w:val="hr-HR"/>
        </w:rPr>
      </w:pPr>
      <w:r w:rsidRPr="001567C8">
        <w:rPr>
          <w:rFonts w:asciiTheme="minorHAnsi" w:hAnsiTheme="minorHAnsi"/>
          <w:sz w:val="22"/>
          <w:szCs w:val="22"/>
          <w:lang w:val="hr-HR"/>
        </w:rPr>
        <w:t>Gubitak od umanjenja vrijednosti i rezerviranja</w:t>
      </w:r>
    </w:p>
    <w:p w:rsidR="00FA2A6D" w:rsidRPr="001567C8" w:rsidRDefault="00FA2A6D" w:rsidP="00FA2A6D">
      <w:pPr>
        <w:keepNext/>
        <w:jc w:val="both"/>
        <w:rPr>
          <w:rFonts w:asciiTheme="minorHAnsi" w:hAnsiTheme="minorHAnsi"/>
          <w:bCs/>
          <w:sz w:val="22"/>
          <w:szCs w:val="22"/>
          <w:lang w:val="hr-HR"/>
        </w:rPr>
      </w:pPr>
    </w:p>
    <w:p w:rsidR="00FA2A6D" w:rsidRPr="001567C8" w:rsidRDefault="00FA2A6D" w:rsidP="00FA2A6D">
      <w:pPr>
        <w:keepNext/>
        <w:jc w:val="both"/>
        <w:rPr>
          <w:rFonts w:asciiTheme="minorHAnsi" w:hAnsiTheme="minorHAnsi"/>
          <w:bCs/>
          <w:sz w:val="22"/>
          <w:szCs w:val="22"/>
          <w:lang w:val="hr-HR"/>
        </w:rPr>
      </w:pPr>
      <w:r w:rsidRPr="001567C8">
        <w:rPr>
          <w:rFonts w:asciiTheme="minorHAnsi" w:hAnsiTheme="minorHAnsi"/>
          <w:bCs/>
          <w:sz w:val="22"/>
          <w:szCs w:val="22"/>
          <w:lang w:val="hr-HR"/>
        </w:rPr>
        <w:t>Rezervacije za identificirane gubitke Banka formira u skladu s Međunarodnim standardima financijskog izvještavanja i vlastitim pravilima. Formiranje rezervacija u nadležnosti je Odbora za procjenu i mjerenje kreditnog rizika.</w:t>
      </w:r>
    </w:p>
    <w:p w:rsidR="00FA2A6D" w:rsidRPr="00CD3A2D" w:rsidRDefault="00FA2A6D" w:rsidP="00FA2A6D">
      <w:pPr>
        <w:jc w:val="both"/>
        <w:rPr>
          <w:rFonts w:asciiTheme="minorHAnsi" w:hAnsiTheme="minorHAnsi" w:cs="Arial"/>
          <w:sz w:val="18"/>
          <w:szCs w:val="18"/>
          <w:lang w:val="hr-HR"/>
        </w:rPr>
      </w:pPr>
    </w:p>
    <w:p w:rsidR="00FA2A6D" w:rsidRPr="001567C8" w:rsidRDefault="00FA2A6D" w:rsidP="00FA2A6D">
      <w:pPr>
        <w:pStyle w:val="T1"/>
        <w:keepNext w:val="0"/>
        <w:widowControl w:val="0"/>
        <w:spacing w:before="0" w:after="0" w:line="240" w:lineRule="auto"/>
        <w:rPr>
          <w:rFonts w:asciiTheme="minorHAnsi" w:hAnsiTheme="minorHAnsi" w:cs="Arial"/>
          <w:bCs w:val="0"/>
          <w:sz w:val="22"/>
          <w:szCs w:val="22"/>
          <w:lang w:val="hr-HR"/>
        </w:rPr>
      </w:pPr>
      <w:r w:rsidRPr="001567C8">
        <w:rPr>
          <w:rFonts w:asciiTheme="minorHAnsi" w:hAnsiTheme="minorHAnsi" w:cs="Arial"/>
          <w:sz w:val="22"/>
          <w:szCs w:val="22"/>
          <w:lang w:val="hr-HR"/>
        </w:rPr>
        <w:t xml:space="preserve">Ispravci vrijednosti i rezervacije </w:t>
      </w:r>
      <w:r w:rsidRPr="001567C8">
        <w:rPr>
          <w:rFonts w:asciiTheme="minorHAnsi" w:hAnsiTheme="minorHAnsi" w:cs="Arial"/>
          <w:bCs w:val="0"/>
          <w:sz w:val="22"/>
          <w:szCs w:val="22"/>
          <w:lang w:val="hr-HR"/>
        </w:rPr>
        <w:t>na pojedinačnoj osnovi</w:t>
      </w:r>
    </w:p>
    <w:p w:rsidR="00FA2A6D" w:rsidRPr="001567C8" w:rsidRDefault="00FA2A6D" w:rsidP="00FA2A6D">
      <w:pPr>
        <w:widowControl w:val="0"/>
        <w:jc w:val="both"/>
        <w:rPr>
          <w:rFonts w:asciiTheme="minorHAnsi" w:hAnsiTheme="minorHAnsi" w:cs="Arial"/>
          <w:sz w:val="22"/>
          <w:szCs w:val="22"/>
          <w:lang w:val="hr-HR"/>
        </w:rPr>
      </w:pPr>
    </w:p>
    <w:p w:rsidR="00FA2A6D" w:rsidRPr="001567C8" w:rsidRDefault="00FA2A6D" w:rsidP="00FA2A6D">
      <w:pPr>
        <w:widowControl w:val="0"/>
        <w:jc w:val="both"/>
        <w:rPr>
          <w:rFonts w:asciiTheme="minorHAnsi" w:hAnsiTheme="minorHAnsi" w:cs="Arial"/>
          <w:sz w:val="22"/>
          <w:szCs w:val="22"/>
          <w:lang w:val="hr-HR"/>
        </w:rPr>
      </w:pPr>
      <w:r w:rsidRPr="001567C8">
        <w:rPr>
          <w:rFonts w:asciiTheme="minorHAnsi" w:hAnsiTheme="minorHAnsi" w:cs="Arial"/>
          <w:sz w:val="22"/>
          <w:szCs w:val="22"/>
          <w:lang w:val="hr-HR"/>
        </w:rPr>
        <w:t xml:space="preserve">Ispravci vrijednosti i rezervacije na pojedinačnoj osnovi predstavlja umanjenje vrijednosti djelomično nadoknadivih i nenadoknadivih plasmana (rizične skupine „B“ i „C“). </w:t>
      </w:r>
      <w:r w:rsidRPr="001567C8">
        <w:rPr>
          <w:rFonts w:asciiTheme="minorHAnsi" w:hAnsiTheme="minorHAnsi" w:cs="Arial"/>
          <w:bCs/>
          <w:sz w:val="22"/>
          <w:szCs w:val="22"/>
          <w:lang w:val="hr-HR"/>
        </w:rPr>
        <w:t>Na pojedinačnoj osnovi raspoređivanje</w:t>
      </w:r>
      <w:r w:rsidRPr="001567C8">
        <w:rPr>
          <w:rFonts w:asciiTheme="minorHAnsi" w:hAnsiTheme="minorHAnsi" w:cs="Arial"/>
          <w:bCs/>
          <w:color w:val="FF0000"/>
          <w:sz w:val="22"/>
          <w:szCs w:val="22"/>
          <w:lang w:val="hr-HR"/>
        </w:rPr>
        <w:t xml:space="preserve"> </w:t>
      </w:r>
      <w:r w:rsidRPr="001567C8">
        <w:rPr>
          <w:rFonts w:asciiTheme="minorHAnsi" w:hAnsiTheme="minorHAnsi" w:cs="Arial"/>
          <w:sz w:val="22"/>
          <w:szCs w:val="22"/>
          <w:lang w:val="hr-HR"/>
        </w:rPr>
        <w:t xml:space="preserve">potraživanja u rizične skupine obavlja se po sljedećim kriterijima: </w:t>
      </w:r>
    </w:p>
    <w:p w:rsidR="00FA2A6D" w:rsidRPr="001567C8" w:rsidRDefault="00FA2A6D" w:rsidP="002B5EA8">
      <w:pPr>
        <w:pStyle w:val="ListParagraph"/>
        <w:widowControl w:val="0"/>
        <w:numPr>
          <w:ilvl w:val="0"/>
          <w:numId w:val="11"/>
        </w:num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kreditnoj sposobnosti, </w:t>
      </w:r>
    </w:p>
    <w:p w:rsidR="00FA2A6D" w:rsidRPr="001567C8" w:rsidRDefault="00FA2A6D" w:rsidP="002B5EA8">
      <w:pPr>
        <w:pStyle w:val="ListParagraph"/>
        <w:widowControl w:val="0"/>
        <w:numPr>
          <w:ilvl w:val="0"/>
          <w:numId w:val="11"/>
        </w:num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dužnikovoj urednosti podmirivanja obveza o roku dospijeća te </w:t>
      </w:r>
    </w:p>
    <w:p w:rsidR="00FA2A6D" w:rsidRPr="001567C8" w:rsidRDefault="00FA2A6D" w:rsidP="002B5EA8">
      <w:pPr>
        <w:pStyle w:val="ListParagraph"/>
        <w:widowControl w:val="0"/>
        <w:numPr>
          <w:ilvl w:val="0"/>
          <w:numId w:val="11"/>
        </w:numPr>
        <w:jc w:val="both"/>
        <w:rPr>
          <w:rFonts w:asciiTheme="minorHAnsi" w:hAnsiTheme="minorHAnsi" w:cs="Arial"/>
          <w:sz w:val="22"/>
          <w:szCs w:val="22"/>
          <w:lang w:val="hr-HR"/>
        </w:rPr>
        <w:sectPr w:rsidR="00FA2A6D" w:rsidRPr="001567C8" w:rsidSect="003E2D7A">
          <w:pgSz w:w="11907" w:h="16840" w:code="9"/>
          <w:pgMar w:top="1418" w:right="1134" w:bottom="1134" w:left="1418" w:header="851" w:footer="851" w:gutter="0"/>
          <w:cols w:space="720"/>
          <w:noEndnote/>
        </w:sectPr>
      </w:pPr>
      <w:r w:rsidRPr="001567C8">
        <w:rPr>
          <w:rFonts w:asciiTheme="minorHAnsi" w:hAnsiTheme="minorHAnsi" w:cs="Arial"/>
          <w:sz w:val="22"/>
          <w:szCs w:val="22"/>
          <w:lang w:val="hr-HR"/>
        </w:rPr>
        <w:t xml:space="preserve">kvaliteti instrumenata osiguranja potraživanja. </w:t>
      </w:r>
    </w:p>
    <w:p w:rsidR="00FA2A6D" w:rsidRPr="00CD3A2D" w:rsidRDefault="00FA2A6D" w:rsidP="00CD3A2D">
      <w:pPr>
        <w:widowControl w:val="0"/>
        <w:jc w:val="both"/>
        <w:rPr>
          <w:rFonts w:asciiTheme="minorHAnsi" w:hAnsiTheme="minorHAnsi" w:cs="Arial"/>
          <w:sz w:val="22"/>
          <w:szCs w:val="22"/>
          <w:lang w:val="hr-HR"/>
        </w:rPr>
      </w:pPr>
    </w:p>
    <w:p w:rsidR="00FA2A6D" w:rsidRPr="001567C8" w:rsidRDefault="00FA2A6D" w:rsidP="00FA2A6D">
      <w:pPr>
        <w:keepNext/>
        <w:tabs>
          <w:tab w:val="left" w:pos="426"/>
        </w:tabs>
        <w:jc w:val="both"/>
        <w:rPr>
          <w:rFonts w:ascii="Calibri" w:hAnsi="Calibri" w:cs="Arial"/>
          <w:b/>
          <w:bCs/>
          <w:sz w:val="22"/>
          <w:szCs w:val="22"/>
          <w:lang w:val="hr-HR"/>
        </w:rPr>
      </w:pPr>
      <w:r w:rsidRPr="001567C8">
        <w:rPr>
          <w:rFonts w:ascii="Calibri" w:hAnsi="Calibri" w:cs="Calibri"/>
          <w:b/>
          <w:bCs/>
          <w:sz w:val="22"/>
          <w:szCs w:val="22"/>
          <w:lang w:val="hr-HR" w:eastAsia="hr-HR"/>
        </w:rPr>
        <w:t>36.</w:t>
      </w:r>
      <w:r w:rsidRPr="001567C8">
        <w:rPr>
          <w:rFonts w:ascii="Calibri" w:hAnsi="Calibri" w:cs="Arial"/>
          <w:b/>
          <w:bCs/>
          <w:sz w:val="22"/>
          <w:szCs w:val="22"/>
          <w:lang w:val="hr-HR"/>
        </w:rPr>
        <w:tab/>
        <w:t>Upravljanje rizicima (nastavak)</w:t>
      </w:r>
    </w:p>
    <w:p w:rsidR="00FA2A6D" w:rsidRPr="001567C8" w:rsidRDefault="00FA2A6D" w:rsidP="00FA2A6D">
      <w:pPr>
        <w:jc w:val="both"/>
        <w:rPr>
          <w:rFonts w:ascii="Calibri" w:hAnsi="Calibri"/>
          <w:sz w:val="18"/>
          <w:szCs w:val="18"/>
          <w:lang w:val="hr-HR"/>
        </w:rPr>
      </w:pPr>
    </w:p>
    <w:p w:rsidR="00FA2A6D" w:rsidRPr="001567C8" w:rsidRDefault="00FA2A6D" w:rsidP="00FA2A6D">
      <w:pPr>
        <w:rPr>
          <w:rFonts w:ascii="Calibri" w:eastAsia="Calibri" w:hAnsi="Calibri" w:cs="Arial"/>
          <w:b/>
          <w:sz w:val="22"/>
          <w:szCs w:val="22"/>
          <w:lang w:val="hr-HR"/>
        </w:rPr>
      </w:pPr>
      <w:r w:rsidRPr="001567C8">
        <w:rPr>
          <w:rFonts w:ascii="Calibri" w:eastAsia="Calibri" w:hAnsi="Calibri" w:cs="Arial"/>
          <w:b/>
          <w:sz w:val="22"/>
          <w:szCs w:val="22"/>
          <w:lang w:val="hr-HR"/>
        </w:rPr>
        <w:t>36.3. Kreditni rizik (nastavak)</w:t>
      </w:r>
    </w:p>
    <w:p w:rsidR="00FA2A6D" w:rsidRPr="001567C8" w:rsidRDefault="00FA2A6D" w:rsidP="00FA2A6D">
      <w:pPr>
        <w:pStyle w:val="T1"/>
        <w:spacing w:before="0" w:after="0" w:line="240" w:lineRule="auto"/>
        <w:rPr>
          <w:rFonts w:asciiTheme="minorHAnsi" w:hAnsiTheme="minorHAnsi" w:cs="Arial"/>
          <w:sz w:val="18"/>
          <w:szCs w:val="18"/>
          <w:lang w:val="hr-HR"/>
        </w:rPr>
      </w:pPr>
    </w:p>
    <w:p w:rsidR="00FA2A6D" w:rsidRPr="001567C8" w:rsidRDefault="00FA2A6D" w:rsidP="00FA2A6D">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36.3.9. Kreditni rizik - Politika primjenjiva prije 1. siječnja 2018. godine</w:t>
      </w:r>
      <w:r w:rsidR="00B66851">
        <w:rPr>
          <w:rFonts w:asciiTheme="minorHAnsi" w:hAnsiTheme="minorHAnsi" w:cs="Arial"/>
          <w:sz w:val="22"/>
          <w:szCs w:val="22"/>
          <w:lang w:val="hr-HR"/>
        </w:rPr>
        <w:t xml:space="preserve"> (nastavak)</w:t>
      </w:r>
    </w:p>
    <w:p w:rsidR="00FA2A6D" w:rsidRPr="001567C8" w:rsidRDefault="00FA2A6D" w:rsidP="001B52F6">
      <w:pPr>
        <w:pStyle w:val="T1"/>
        <w:spacing w:before="0" w:after="0" w:line="240" w:lineRule="auto"/>
        <w:rPr>
          <w:rFonts w:asciiTheme="minorHAnsi" w:hAnsiTheme="minorHAnsi" w:cs="Arial"/>
          <w:sz w:val="22"/>
          <w:szCs w:val="22"/>
          <w:lang w:val="hr-HR"/>
        </w:rPr>
      </w:pPr>
    </w:p>
    <w:p w:rsidR="00FA2A6D" w:rsidRPr="001567C8" w:rsidRDefault="00FA2A6D" w:rsidP="00FA2A6D">
      <w:pPr>
        <w:pStyle w:val="T1"/>
        <w:keepNext w:val="0"/>
        <w:widowControl w:val="0"/>
        <w:spacing w:before="0" w:after="0" w:line="240" w:lineRule="auto"/>
        <w:rPr>
          <w:rFonts w:asciiTheme="minorHAnsi" w:hAnsiTheme="minorHAnsi" w:cs="Arial"/>
          <w:bCs w:val="0"/>
          <w:sz w:val="22"/>
          <w:szCs w:val="22"/>
          <w:lang w:val="hr-HR"/>
        </w:rPr>
      </w:pPr>
      <w:r w:rsidRPr="001567C8">
        <w:rPr>
          <w:rFonts w:asciiTheme="minorHAnsi" w:hAnsiTheme="minorHAnsi" w:cs="Arial"/>
          <w:sz w:val="22"/>
          <w:szCs w:val="22"/>
          <w:lang w:val="hr-HR"/>
        </w:rPr>
        <w:t xml:space="preserve">Ispravci vrijednosti i rezervacije </w:t>
      </w:r>
      <w:r w:rsidRPr="001567C8">
        <w:rPr>
          <w:rFonts w:asciiTheme="minorHAnsi" w:hAnsiTheme="minorHAnsi" w:cs="Arial"/>
          <w:bCs w:val="0"/>
          <w:sz w:val="22"/>
          <w:szCs w:val="22"/>
          <w:lang w:val="hr-HR"/>
        </w:rPr>
        <w:t>na pojedinačnoj osnovi (nastavak)</w:t>
      </w:r>
    </w:p>
    <w:p w:rsidR="00FA2A6D" w:rsidRPr="001567C8" w:rsidRDefault="00FA2A6D" w:rsidP="001B52F6">
      <w:pPr>
        <w:pStyle w:val="T1"/>
        <w:spacing w:before="0" w:after="0" w:line="240" w:lineRule="auto"/>
        <w:rPr>
          <w:rFonts w:asciiTheme="minorHAnsi" w:hAnsiTheme="minorHAnsi" w:cs="Arial"/>
          <w:sz w:val="22"/>
          <w:szCs w:val="22"/>
          <w:lang w:val="hr-HR"/>
        </w:rPr>
      </w:pPr>
    </w:p>
    <w:p w:rsidR="00FA2A6D" w:rsidRPr="001567C8" w:rsidRDefault="00FA2A6D" w:rsidP="00FA2A6D">
      <w:pPr>
        <w:widowControl w:val="0"/>
        <w:jc w:val="both"/>
        <w:rPr>
          <w:rFonts w:asciiTheme="minorHAnsi" w:hAnsiTheme="minorHAnsi" w:cs="Arial"/>
          <w:sz w:val="22"/>
          <w:szCs w:val="22"/>
          <w:lang w:val="hr-HR"/>
        </w:rPr>
      </w:pPr>
      <w:r w:rsidRPr="001567C8">
        <w:rPr>
          <w:rFonts w:asciiTheme="minorHAnsi" w:hAnsiTheme="minorHAnsi" w:cs="Arial"/>
          <w:sz w:val="22"/>
          <w:szCs w:val="22"/>
          <w:lang w:val="hr-HR"/>
        </w:rPr>
        <w:t>Potraživanja od dužnika koji pripadaju portfelju malih kredita raspoređuju se samo prema kriteriju urednosti podmirivanja obveza o roku dospijeća. Banka ne utvrđuje sadašnju vrijednost očekivanih budućih novčanih tijekova po djelomično nadoknadivim plasmanima ako je rok u kojem se očekuje priljev kraći od jedne godine računajući od datuma izrade izvještaja.</w:t>
      </w:r>
    </w:p>
    <w:p w:rsidR="00FA2A6D" w:rsidRPr="001567C8" w:rsidRDefault="00FA2A6D" w:rsidP="001B52F6">
      <w:pPr>
        <w:pStyle w:val="T1"/>
        <w:spacing w:before="0" w:after="0" w:line="240" w:lineRule="auto"/>
        <w:rPr>
          <w:rFonts w:asciiTheme="minorHAnsi" w:hAnsiTheme="minorHAnsi" w:cs="Arial"/>
          <w:sz w:val="22"/>
          <w:szCs w:val="22"/>
          <w:lang w:val="hr-HR"/>
        </w:rPr>
      </w:pPr>
    </w:p>
    <w:p w:rsidR="00FA2A6D" w:rsidRPr="001567C8" w:rsidRDefault="00FA2A6D" w:rsidP="00FA2A6D">
      <w:pPr>
        <w:pStyle w:val="T1"/>
        <w:keepNext w:val="0"/>
        <w:widowControl w:val="0"/>
        <w:spacing w:before="0" w:after="0" w:line="240" w:lineRule="auto"/>
        <w:rPr>
          <w:rFonts w:asciiTheme="minorHAnsi" w:hAnsiTheme="minorHAnsi" w:cs="Arial"/>
          <w:bCs w:val="0"/>
          <w:sz w:val="22"/>
          <w:szCs w:val="22"/>
          <w:lang w:val="hr-HR"/>
        </w:rPr>
      </w:pPr>
      <w:r w:rsidRPr="001567C8">
        <w:rPr>
          <w:rFonts w:asciiTheme="minorHAnsi" w:hAnsiTheme="minorHAnsi" w:cs="Arial"/>
          <w:sz w:val="22"/>
          <w:szCs w:val="22"/>
          <w:lang w:val="hr-HR"/>
        </w:rPr>
        <w:t xml:space="preserve">Ispravci vrijednosti i rezervacije </w:t>
      </w:r>
      <w:r w:rsidRPr="001567C8">
        <w:rPr>
          <w:rFonts w:asciiTheme="minorHAnsi" w:hAnsiTheme="minorHAnsi" w:cs="Arial"/>
          <w:bCs w:val="0"/>
          <w:sz w:val="22"/>
          <w:szCs w:val="22"/>
          <w:lang w:val="hr-HR"/>
        </w:rPr>
        <w:t>na skupnoj osnovi</w:t>
      </w:r>
    </w:p>
    <w:p w:rsidR="00FA2A6D" w:rsidRPr="001567C8" w:rsidRDefault="00FA2A6D" w:rsidP="00FA2A6D">
      <w:pPr>
        <w:jc w:val="both"/>
        <w:rPr>
          <w:rFonts w:asciiTheme="minorHAnsi" w:hAnsiTheme="minorHAnsi" w:cs="Arial"/>
          <w:sz w:val="22"/>
          <w:szCs w:val="22"/>
          <w:lang w:val="hr-HR"/>
        </w:rPr>
      </w:pPr>
    </w:p>
    <w:p w:rsidR="00FA2A6D" w:rsidRPr="001567C8" w:rsidRDefault="00FA2A6D" w:rsidP="00FA2A6D">
      <w:pPr>
        <w:jc w:val="both"/>
        <w:rPr>
          <w:rFonts w:asciiTheme="minorHAnsi" w:hAnsiTheme="minorHAnsi" w:cs="Arial"/>
          <w:sz w:val="22"/>
          <w:szCs w:val="22"/>
          <w:lang w:val="hr-HR"/>
        </w:rPr>
      </w:pPr>
      <w:r w:rsidRPr="001567C8">
        <w:rPr>
          <w:rFonts w:asciiTheme="minorHAnsi" w:hAnsiTheme="minorHAnsi" w:cs="Arial"/>
          <w:sz w:val="22"/>
          <w:szCs w:val="22"/>
          <w:lang w:val="hr-HR"/>
        </w:rPr>
        <w:t>Ispravci vrijednosti i rezervacije na skupnoj osnovi formiraju se za potpuno nadoknadive plasmane ili plasmane i potencijalne obveze razvrstane u rizičnu skupinu „A“. Raspoređivanje dužnika unutar rizične skupine obavlja se po kriteriju rizičnosti sektora, geografskoj pripadnosti, vrsti i valutnoj usklađenosti dužnika.</w:t>
      </w:r>
    </w:p>
    <w:p w:rsidR="00FA2A6D" w:rsidRPr="001567C8" w:rsidRDefault="00FA2A6D" w:rsidP="00FA2A6D">
      <w:pPr>
        <w:jc w:val="both"/>
        <w:rPr>
          <w:rFonts w:asciiTheme="minorHAnsi" w:hAnsiTheme="minorHAnsi" w:cs="Arial"/>
          <w:sz w:val="22"/>
          <w:szCs w:val="22"/>
          <w:lang w:val="hr-HR"/>
        </w:rPr>
      </w:pPr>
    </w:p>
    <w:p w:rsidR="00FA2A6D" w:rsidRPr="001567C8" w:rsidRDefault="00FA2A6D" w:rsidP="00FA2A6D">
      <w:pPr>
        <w:tabs>
          <w:tab w:val="left" w:pos="-720"/>
        </w:tabs>
        <w:suppressAutoHyphens/>
        <w:ind w:right="-5"/>
        <w:jc w:val="both"/>
        <w:rPr>
          <w:rFonts w:asciiTheme="minorHAnsi" w:hAnsiTheme="minorHAnsi" w:cs="Arial"/>
          <w:sz w:val="22"/>
          <w:szCs w:val="22"/>
          <w:lang w:val="hr-HR"/>
        </w:rPr>
      </w:pPr>
      <w:r w:rsidRPr="001567C8">
        <w:rPr>
          <w:rFonts w:asciiTheme="minorHAnsi" w:hAnsiTheme="minorHAnsi" w:cs="Arial"/>
          <w:sz w:val="22"/>
          <w:szCs w:val="22"/>
          <w:lang w:val="hr-HR"/>
        </w:rPr>
        <w:t>Bez obzira na ostale kriterije klasifikacije, plasmani koji su osigurani 80% i više prvorazrednim instrumentima osiguranja razvrstavaju se u rizičnu skupinu „A“.</w:t>
      </w:r>
    </w:p>
    <w:p w:rsidR="00FA2A6D" w:rsidRPr="001567C8" w:rsidRDefault="00FA2A6D" w:rsidP="00FA2A6D">
      <w:pPr>
        <w:keepNext/>
        <w:jc w:val="both"/>
        <w:rPr>
          <w:rFonts w:asciiTheme="minorHAnsi" w:hAnsiTheme="minorHAnsi" w:cs="Arial"/>
          <w:sz w:val="22"/>
          <w:szCs w:val="22"/>
          <w:lang w:val="hr-HR"/>
        </w:rPr>
      </w:pPr>
    </w:p>
    <w:p w:rsidR="00FA2A6D" w:rsidRPr="001567C8" w:rsidRDefault="00FA2A6D" w:rsidP="001B52F6">
      <w:pPr>
        <w:pStyle w:val="T1"/>
        <w:spacing w:before="0" w:after="0" w:line="240" w:lineRule="auto"/>
        <w:rPr>
          <w:rFonts w:asciiTheme="minorHAnsi" w:hAnsiTheme="minorHAnsi" w:cs="Arial"/>
          <w:sz w:val="22"/>
          <w:szCs w:val="22"/>
          <w:lang w:val="hr-HR"/>
        </w:rPr>
      </w:pPr>
    </w:p>
    <w:p w:rsidR="00FA2A6D" w:rsidRPr="001567C8" w:rsidRDefault="00FA2A6D" w:rsidP="001B52F6">
      <w:pPr>
        <w:pStyle w:val="T1"/>
        <w:spacing w:before="0" w:after="0" w:line="240" w:lineRule="auto"/>
        <w:rPr>
          <w:rFonts w:asciiTheme="minorHAnsi" w:hAnsiTheme="minorHAnsi" w:cs="Arial"/>
          <w:sz w:val="22"/>
          <w:szCs w:val="22"/>
          <w:lang w:val="hr-HR"/>
        </w:rPr>
      </w:pPr>
    </w:p>
    <w:p w:rsidR="00FA2A6D" w:rsidRPr="001567C8" w:rsidRDefault="00FA2A6D" w:rsidP="001B52F6">
      <w:pPr>
        <w:pStyle w:val="T1"/>
        <w:spacing w:before="0" w:after="0" w:line="240" w:lineRule="auto"/>
        <w:rPr>
          <w:rFonts w:asciiTheme="minorHAnsi" w:hAnsiTheme="minorHAnsi" w:cs="Arial"/>
          <w:sz w:val="22"/>
          <w:szCs w:val="22"/>
          <w:lang w:val="hr-HR"/>
        </w:rPr>
        <w:sectPr w:rsidR="00FA2A6D" w:rsidRPr="001567C8" w:rsidSect="003E2D7A">
          <w:pgSz w:w="11907" w:h="16840" w:code="9"/>
          <w:pgMar w:top="1418" w:right="1134" w:bottom="1134" w:left="1418" w:header="851" w:footer="851" w:gutter="0"/>
          <w:cols w:space="720"/>
          <w:noEndnote/>
        </w:sectPr>
      </w:pPr>
    </w:p>
    <w:p w:rsidR="001B52F6" w:rsidRPr="001567C8" w:rsidRDefault="001B52F6" w:rsidP="001B52F6">
      <w:pPr>
        <w:pStyle w:val="T1"/>
        <w:spacing w:before="0" w:after="0" w:line="240" w:lineRule="auto"/>
        <w:rPr>
          <w:rFonts w:asciiTheme="minorHAnsi" w:hAnsiTheme="minorHAnsi" w:cs="Arial"/>
          <w:sz w:val="22"/>
          <w:szCs w:val="22"/>
          <w:lang w:val="hr-HR"/>
        </w:rPr>
      </w:pPr>
    </w:p>
    <w:p w:rsidR="00C616F1" w:rsidRPr="001567C8" w:rsidRDefault="009C00FF" w:rsidP="001B52F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B20FD3" w:rsidRPr="001567C8">
        <w:rPr>
          <w:rFonts w:asciiTheme="minorHAnsi" w:hAnsiTheme="minorHAnsi" w:cs="Arial"/>
          <w:sz w:val="22"/>
          <w:szCs w:val="22"/>
          <w:lang w:val="hr-HR"/>
        </w:rPr>
        <w:t>6</w:t>
      </w:r>
      <w:r w:rsidR="00411D24" w:rsidRPr="001567C8">
        <w:rPr>
          <w:rFonts w:asciiTheme="minorHAnsi" w:hAnsiTheme="minorHAnsi" w:cs="Arial"/>
          <w:sz w:val="22"/>
          <w:szCs w:val="22"/>
          <w:lang w:val="hr-HR"/>
        </w:rPr>
        <w:t>.</w:t>
      </w:r>
      <w:r w:rsidR="00411D24" w:rsidRPr="001567C8">
        <w:rPr>
          <w:rFonts w:asciiTheme="minorHAnsi" w:hAnsiTheme="minorHAnsi" w:cs="Arial"/>
          <w:sz w:val="22"/>
          <w:szCs w:val="22"/>
          <w:lang w:val="hr-HR"/>
        </w:rPr>
        <w:tab/>
        <w:t>Upravljanje rizicima (nastavak)</w:t>
      </w:r>
    </w:p>
    <w:p w:rsidR="001B52F6" w:rsidRPr="001567C8" w:rsidRDefault="001B52F6" w:rsidP="001B52F6">
      <w:pPr>
        <w:pStyle w:val="T1"/>
        <w:spacing w:before="0" w:after="0" w:line="240" w:lineRule="auto"/>
        <w:rPr>
          <w:rFonts w:asciiTheme="minorHAnsi" w:hAnsiTheme="minorHAnsi" w:cs="Arial"/>
          <w:sz w:val="22"/>
          <w:szCs w:val="22"/>
          <w:lang w:val="hr-HR"/>
        </w:rPr>
      </w:pPr>
    </w:p>
    <w:p w:rsidR="0049376B" w:rsidRPr="001567C8" w:rsidRDefault="009C00FF" w:rsidP="001B52F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B20FD3" w:rsidRPr="001567C8">
        <w:rPr>
          <w:rFonts w:asciiTheme="minorHAnsi" w:hAnsiTheme="minorHAnsi" w:cs="Arial"/>
          <w:sz w:val="22"/>
          <w:szCs w:val="22"/>
          <w:lang w:val="hr-HR"/>
        </w:rPr>
        <w:t>6</w:t>
      </w:r>
      <w:r w:rsidR="0049376B" w:rsidRPr="001567C8">
        <w:rPr>
          <w:rFonts w:asciiTheme="minorHAnsi" w:hAnsiTheme="minorHAnsi" w:cs="Arial"/>
          <w:sz w:val="22"/>
          <w:szCs w:val="22"/>
          <w:lang w:val="hr-HR"/>
        </w:rPr>
        <w:t>.</w:t>
      </w:r>
      <w:r w:rsidR="003E6690" w:rsidRPr="001567C8">
        <w:rPr>
          <w:rFonts w:asciiTheme="minorHAnsi" w:hAnsiTheme="minorHAnsi" w:cs="Arial"/>
          <w:sz w:val="22"/>
          <w:szCs w:val="22"/>
          <w:lang w:val="hr-HR"/>
        </w:rPr>
        <w:t>3</w:t>
      </w:r>
      <w:r w:rsidR="0049376B" w:rsidRPr="001567C8">
        <w:rPr>
          <w:rFonts w:asciiTheme="minorHAnsi" w:hAnsiTheme="minorHAnsi" w:cs="Arial"/>
          <w:sz w:val="22"/>
          <w:szCs w:val="22"/>
          <w:lang w:val="hr-HR"/>
        </w:rPr>
        <w:t xml:space="preserve">. </w:t>
      </w:r>
      <w:r w:rsidR="0049376B" w:rsidRPr="001567C8">
        <w:rPr>
          <w:rFonts w:asciiTheme="minorHAnsi" w:hAnsiTheme="minorHAnsi" w:cs="Arial"/>
          <w:sz w:val="22"/>
          <w:szCs w:val="22"/>
          <w:lang w:val="hr-HR"/>
        </w:rPr>
        <w:tab/>
        <w:t>Kreditni rizik (nastavak)</w:t>
      </w:r>
    </w:p>
    <w:p w:rsidR="001B52F6" w:rsidRPr="001567C8" w:rsidRDefault="001B52F6" w:rsidP="001B52F6">
      <w:pPr>
        <w:pStyle w:val="T1"/>
        <w:spacing w:before="0" w:after="0" w:line="240" w:lineRule="auto"/>
        <w:rPr>
          <w:rFonts w:asciiTheme="minorHAnsi" w:hAnsiTheme="minorHAnsi" w:cs="Arial"/>
          <w:sz w:val="22"/>
          <w:szCs w:val="22"/>
          <w:lang w:val="hr-HR"/>
        </w:rPr>
      </w:pPr>
    </w:p>
    <w:p w:rsidR="009E77B5" w:rsidRPr="001567C8" w:rsidRDefault="00793CCF" w:rsidP="001B52F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Koncentracija rizika i maksimalna</w:t>
      </w:r>
      <w:r w:rsidR="009E77B5" w:rsidRPr="001567C8">
        <w:rPr>
          <w:rFonts w:asciiTheme="minorHAnsi" w:hAnsiTheme="minorHAnsi" w:cs="Arial"/>
          <w:sz w:val="22"/>
          <w:szCs w:val="22"/>
          <w:lang w:val="hr-HR"/>
        </w:rPr>
        <w:t xml:space="preserve"> izloženost kreditnom riziku</w:t>
      </w:r>
    </w:p>
    <w:p w:rsidR="001B52F6" w:rsidRPr="001567C8" w:rsidRDefault="001B52F6" w:rsidP="001B52F6">
      <w:pPr>
        <w:pStyle w:val="accountingpolicytitle"/>
        <w:rPr>
          <w:rFonts w:asciiTheme="minorHAnsi" w:hAnsiTheme="minorHAnsi" w:cs="Arial"/>
          <w:b w:val="0"/>
          <w:sz w:val="22"/>
          <w:szCs w:val="22"/>
          <w:lang w:val="hr-HR"/>
        </w:rPr>
      </w:pPr>
    </w:p>
    <w:p w:rsidR="009B0827" w:rsidRPr="001567C8" w:rsidRDefault="009B0827" w:rsidP="00E266C9">
      <w:pPr>
        <w:pStyle w:val="accountingpolicytitle"/>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Tabela u nastavku prikazuje </w:t>
      </w:r>
      <w:r w:rsidR="005B6383" w:rsidRPr="001567C8">
        <w:rPr>
          <w:rFonts w:asciiTheme="minorHAnsi" w:hAnsiTheme="minorHAnsi" w:cs="Arial"/>
          <w:b w:val="0"/>
          <w:sz w:val="22"/>
          <w:szCs w:val="22"/>
          <w:lang w:val="hr-HR"/>
        </w:rPr>
        <w:t xml:space="preserve">neto </w:t>
      </w:r>
      <w:r w:rsidRPr="001567C8">
        <w:rPr>
          <w:rFonts w:asciiTheme="minorHAnsi" w:hAnsiTheme="minorHAnsi" w:cs="Arial"/>
          <w:b w:val="0"/>
          <w:sz w:val="22"/>
          <w:szCs w:val="22"/>
          <w:lang w:val="hr-HR"/>
        </w:rPr>
        <w:t>najveću izloženost kreditnom riziku</w:t>
      </w:r>
      <w:r w:rsidR="00FC1F94" w:rsidRPr="001567C8">
        <w:rPr>
          <w:rFonts w:asciiTheme="minorHAnsi" w:hAnsiTheme="minorHAnsi" w:cs="Arial"/>
          <w:b w:val="0"/>
          <w:sz w:val="22"/>
          <w:szCs w:val="22"/>
          <w:lang w:val="hr-HR"/>
        </w:rPr>
        <w:t xml:space="preserve"> prema pozicijama izvještaja </w:t>
      </w:r>
      <w:r w:rsidR="00485285" w:rsidRPr="001567C8">
        <w:rPr>
          <w:rFonts w:asciiTheme="minorHAnsi" w:hAnsiTheme="minorHAnsi" w:cs="Arial"/>
          <w:b w:val="0"/>
          <w:sz w:val="22"/>
          <w:szCs w:val="22"/>
          <w:lang w:val="hr-HR"/>
        </w:rPr>
        <w:t>o financijskom položaju</w:t>
      </w:r>
      <w:r w:rsidRPr="001567C8">
        <w:rPr>
          <w:rFonts w:asciiTheme="minorHAnsi" w:hAnsiTheme="minorHAnsi" w:cs="Arial"/>
          <w:b w:val="0"/>
          <w:sz w:val="22"/>
          <w:szCs w:val="22"/>
          <w:lang w:val="hr-HR"/>
        </w:rPr>
        <w:t xml:space="preserve"> i </w:t>
      </w:r>
      <w:r w:rsidR="002709E7" w:rsidRPr="001567C8">
        <w:rPr>
          <w:rFonts w:asciiTheme="minorHAnsi" w:hAnsiTheme="minorHAnsi" w:cs="Arial"/>
          <w:b w:val="0"/>
          <w:sz w:val="22"/>
          <w:szCs w:val="22"/>
          <w:lang w:val="hr-HR"/>
        </w:rPr>
        <w:t>g</w:t>
      </w:r>
      <w:r w:rsidR="00671763" w:rsidRPr="001567C8">
        <w:rPr>
          <w:rFonts w:asciiTheme="minorHAnsi" w:hAnsiTheme="minorHAnsi" w:cs="Arial"/>
          <w:b w:val="0"/>
          <w:sz w:val="22"/>
          <w:szCs w:val="22"/>
          <w:lang w:val="hr-HR"/>
        </w:rPr>
        <w:t>arancija i preuzetih obveza</w:t>
      </w:r>
      <w:r w:rsidR="00D04AFD" w:rsidRPr="001567C8">
        <w:rPr>
          <w:rFonts w:asciiTheme="minorHAnsi" w:hAnsiTheme="minorHAnsi" w:cs="Arial"/>
          <w:b w:val="0"/>
          <w:sz w:val="22"/>
          <w:szCs w:val="22"/>
          <w:lang w:val="hr-HR"/>
        </w:rPr>
        <w:t xml:space="preserve"> na dan izvještavanja</w:t>
      </w:r>
      <w:r w:rsidRPr="001567C8">
        <w:rPr>
          <w:rFonts w:asciiTheme="minorHAnsi" w:hAnsiTheme="minorHAnsi" w:cs="Arial"/>
          <w:b w:val="0"/>
          <w:sz w:val="22"/>
          <w:szCs w:val="22"/>
          <w:lang w:val="hr-HR"/>
        </w:rPr>
        <w:t xml:space="preserve">, </w:t>
      </w:r>
      <w:r w:rsidR="00811E85" w:rsidRPr="001567C8">
        <w:rPr>
          <w:rFonts w:asciiTheme="minorHAnsi" w:hAnsiTheme="minorHAnsi" w:cs="Arial"/>
          <w:b w:val="0"/>
          <w:sz w:val="22"/>
          <w:szCs w:val="22"/>
          <w:lang w:val="hr-HR"/>
        </w:rPr>
        <w:t>bez umanjenja za vrijednost sredstava osiguranja naplate</w:t>
      </w:r>
      <w:r w:rsidRPr="001567C8">
        <w:rPr>
          <w:rFonts w:asciiTheme="minorHAnsi" w:hAnsiTheme="minorHAnsi" w:cs="Arial"/>
          <w:b w:val="0"/>
          <w:sz w:val="22"/>
          <w:szCs w:val="22"/>
          <w:lang w:val="hr-HR"/>
        </w:rPr>
        <w:t>:</w:t>
      </w:r>
    </w:p>
    <w:p w:rsidR="001B52F6" w:rsidRPr="001567C8" w:rsidRDefault="001B52F6" w:rsidP="001B52F6">
      <w:pPr>
        <w:pStyle w:val="accountingpolicytitle"/>
        <w:rPr>
          <w:rFonts w:asciiTheme="minorHAnsi" w:hAnsiTheme="minorHAnsi" w:cs="Arial"/>
          <w:b w:val="0"/>
          <w:sz w:val="22"/>
          <w:szCs w:val="22"/>
          <w:lang w:val="hr-HR"/>
        </w:rPr>
      </w:pPr>
    </w:p>
    <w:tbl>
      <w:tblPr>
        <w:tblW w:w="4944" w:type="pct"/>
        <w:tblLayout w:type="fixed"/>
        <w:tblCellMar>
          <w:left w:w="0" w:type="dxa"/>
          <w:right w:w="57" w:type="dxa"/>
        </w:tblCellMar>
        <w:tblLook w:val="0000" w:firstRow="0" w:lastRow="0" w:firstColumn="0" w:lastColumn="0" w:noHBand="0" w:noVBand="0"/>
      </w:tblPr>
      <w:tblGrid>
        <w:gridCol w:w="3830"/>
        <w:gridCol w:w="1354"/>
        <w:gridCol w:w="1356"/>
        <w:gridCol w:w="1354"/>
        <w:gridCol w:w="1356"/>
      </w:tblGrid>
      <w:tr w:rsidR="00617DE6" w:rsidRPr="001567C8" w:rsidTr="001B52F6">
        <w:trPr>
          <w:trHeight w:val="235"/>
        </w:trPr>
        <w:tc>
          <w:tcPr>
            <w:tcW w:w="2070" w:type="pct"/>
          </w:tcPr>
          <w:p w:rsidR="00617DE6" w:rsidRPr="001567C8" w:rsidRDefault="00617DE6" w:rsidP="00617DE6">
            <w:pPr>
              <w:pStyle w:val="accountingpolicytitle"/>
              <w:spacing w:line="360" w:lineRule="auto"/>
              <w:rPr>
                <w:rFonts w:asciiTheme="minorHAnsi" w:hAnsiTheme="minorHAnsi" w:cs="Arial"/>
                <w:b w:val="0"/>
                <w:bCs/>
                <w:sz w:val="20"/>
                <w:lang w:val="hr-HR"/>
              </w:rPr>
            </w:pPr>
          </w:p>
        </w:tc>
        <w:tc>
          <w:tcPr>
            <w:tcW w:w="1465" w:type="pct"/>
            <w:gridSpan w:val="2"/>
          </w:tcPr>
          <w:p w:rsidR="00617DE6" w:rsidRPr="001567C8" w:rsidRDefault="00617DE6" w:rsidP="00D7642E">
            <w:pPr>
              <w:pStyle w:val="accountingpolicytitle"/>
              <w:spacing w:line="360" w:lineRule="auto"/>
              <w:jc w:val="right"/>
              <w:rPr>
                <w:rFonts w:asciiTheme="minorHAnsi" w:hAnsiTheme="minorHAnsi" w:cs="Arial"/>
                <w:sz w:val="20"/>
                <w:lang w:val="hr-HR"/>
              </w:rPr>
            </w:pPr>
            <w:r w:rsidRPr="001567C8">
              <w:rPr>
                <w:rFonts w:asciiTheme="minorHAnsi" w:hAnsiTheme="minorHAnsi" w:cs="Arial"/>
                <w:sz w:val="20"/>
                <w:lang w:val="hr-HR"/>
              </w:rPr>
              <w:t>Grupa</w:t>
            </w:r>
          </w:p>
        </w:tc>
        <w:tc>
          <w:tcPr>
            <w:tcW w:w="1465" w:type="pct"/>
            <w:gridSpan w:val="2"/>
          </w:tcPr>
          <w:p w:rsidR="00617DE6" w:rsidRPr="001567C8" w:rsidRDefault="00617DE6" w:rsidP="00D7642E">
            <w:pPr>
              <w:pStyle w:val="accountingpolicytitle"/>
              <w:spacing w:line="360" w:lineRule="auto"/>
              <w:jc w:val="right"/>
              <w:rPr>
                <w:rFonts w:asciiTheme="minorHAnsi" w:hAnsiTheme="minorHAnsi" w:cs="Arial"/>
                <w:sz w:val="20"/>
                <w:lang w:val="hr-HR"/>
              </w:rPr>
            </w:pPr>
            <w:r w:rsidRPr="001567C8">
              <w:rPr>
                <w:rFonts w:asciiTheme="minorHAnsi" w:hAnsiTheme="minorHAnsi" w:cs="Arial"/>
                <w:sz w:val="20"/>
                <w:lang w:val="hr-HR"/>
              </w:rPr>
              <w:t>Banka</w:t>
            </w:r>
          </w:p>
        </w:tc>
      </w:tr>
      <w:tr w:rsidR="00B20FD3" w:rsidRPr="001567C8" w:rsidTr="00A63A54">
        <w:trPr>
          <w:trHeight w:val="764"/>
        </w:trPr>
        <w:tc>
          <w:tcPr>
            <w:tcW w:w="2070" w:type="pct"/>
          </w:tcPr>
          <w:p w:rsidR="00B20FD3" w:rsidRPr="001567C8" w:rsidRDefault="00B20FD3" w:rsidP="00B20FD3">
            <w:pPr>
              <w:rPr>
                <w:rFonts w:asciiTheme="minorHAnsi" w:hAnsiTheme="minorHAnsi" w:cs="Arial"/>
                <w:sz w:val="20"/>
                <w:szCs w:val="20"/>
                <w:lang w:val="hr-HR"/>
              </w:rPr>
            </w:pPr>
            <w:r w:rsidRPr="001567C8">
              <w:rPr>
                <w:rFonts w:asciiTheme="minorHAnsi" w:hAnsiTheme="minorHAnsi" w:cs="Arial"/>
                <w:b/>
                <w:bCs/>
                <w:sz w:val="20"/>
                <w:szCs w:val="20"/>
                <w:lang w:val="hr-HR"/>
              </w:rPr>
              <w:br w:type="page"/>
            </w:r>
          </w:p>
        </w:tc>
        <w:tc>
          <w:tcPr>
            <w:tcW w:w="732" w:type="pct"/>
            <w:vAlign w:val="center"/>
          </w:tcPr>
          <w:p w:rsidR="00B20FD3" w:rsidRPr="001567C8" w:rsidRDefault="00FC1F94" w:rsidP="00B20FD3">
            <w:pPr>
              <w:jc w:val="right"/>
              <w:rPr>
                <w:rFonts w:asciiTheme="minorHAnsi" w:hAnsiTheme="minorHAnsi" w:cs="Arial"/>
                <w:b/>
                <w:sz w:val="20"/>
                <w:szCs w:val="20"/>
                <w:lang w:val="hr-HR"/>
              </w:rPr>
            </w:pPr>
            <w:r w:rsidRPr="001567C8">
              <w:rPr>
                <w:rFonts w:asciiTheme="minorHAnsi" w:hAnsiTheme="minorHAnsi" w:cs="Arial"/>
                <w:b/>
                <w:sz w:val="20"/>
                <w:szCs w:val="20"/>
                <w:lang w:val="hr-HR"/>
              </w:rPr>
              <w:t>Neto n</w:t>
            </w:r>
            <w:r w:rsidR="00B20FD3" w:rsidRPr="001567C8">
              <w:rPr>
                <w:rFonts w:asciiTheme="minorHAnsi" w:hAnsiTheme="minorHAnsi" w:cs="Arial"/>
                <w:b/>
                <w:sz w:val="20"/>
                <w:szCs w:val="20"/>
                <w:lang w:val="hr-HR"/>
              </w:rPr>
              <w:t>ajveća izloženost</w:t>
            </w:r>
          </w:p>
          <w:p w:rsidR="00B20FD3" w:rsidRPr="001567C8" w:rsidRDefault="00AD2EF7" w:rsidP="00B20FD3">
            <w:pPr>
              <w:jc w:val="right"/>
              <w:rPr>
                <w:rFonts w:asciiTheme="minorHAnsi" w:hAnsiTheme="minorHAnsi" w:cs="Arial"/>
                <w:b/>
                <w:sz w:val="20"/>
                <w:szCs w:val="20"/>
                <w:lang w:val="hr-HR"/>
              </w:rPr>
            </w:pPr>
            <w:r>
              <w:rPr>
                <w:rFonts w:asciiTheme="minorHAnsi" w:hAnsiTheme="minorHAnsi" w:cs="Arial"/>
                <w:b/>
                <w:sz w:val="20"/>
                <w:szCs w:val="20"/>
                <w:lang w:val="hr-HR"/>
              </w:rPr>
              <w:t>31. prosin</w:t>
            </w:r>
            <w:r w:rsidR="0073283D" w:rsidRPr="001567C8">
              <w:rPr>
                <w:rFonts w:asciiTheme="minorHAnsi" w:hAnsiTheme="minorHAnsi" w:cs="Arial"/>
                <w:b/>
                <w:sz w:val="20"/>
                <w:szCs w:val="20"/>
                <w:lang w:val="hr-HR"/>
              </w:rPr>
              <w:t>c</w:t>
            </w:r>
            <w:r>
              <w:rPr>
                <w:rFonts w:asciiTheme="minorHAnsi" w:hAnsiTheme="minorHAnsi" w:cs="Arial"/>
                <w:b/>
                <w:sz w:val="20"/>
                <w:szCs w:val="20"/>
                <w:lang w:val="hr-HR"/>
              </w:rPr>
              <w:t>a</w:t>
            </w:r>
            <w:r w:rsidR="0073283D" w:rsidRPr="001567C8">
              <w:rPr>
                <w:rFonts w:asciiTheme="minorHAnsi" w:hAnsiTheme="minorHAnsi" w:cs="Arial"/>
                <w:b/>
                <w:sz w:val="20"/>
                <w:szCs w:val="20"/>
                <w:lang w:val="hr-HR"/>
              </w:rPr>
              <w:t xml:space="preserve"> </w:t>
            </w:r>
            <w:r w:rsidR="00B20FD3" w:rsidRPr="001567C8">
              <w:rPr>
                <w:rFonts w:asciiTheme="minorHAnsi" w:hAnsiTheme="minorHAnsi" w:cs="Arial"/>
                <w:b/>
                <w:sz w:val="20"/>
                <w:szCs w:val="20"/>
                <w:lang w:val="hr-HR"/>
              </w:rPr>
              <w:t>2018.</w:t>
            </w:r>
          </w:p>
        </w:tc>
        <w:tc>
          <w:tcPr>
            <w:tcW w:w="733" w:type="pct"/>
            <w:vAlign w:val="center"/>
          </w:tcPr>
          <w:p w:rsidR="00B20FD3" w:rsidRPr="001567C8" w:rsidRDefault="00AB0953" w:rsidP="00B20FD3">
            <w:pPr>
              <w:jc w:val="right"/>
              <w:rPr>
                <w:rFonts w:asciiTheme="minorHAnsi" w:hAnsiTheme="minorHAnsi" w:cs="Arial"/>
                <w:b/>
                <w:sz w:val="20"/>
                <w:szCs w:val="20"/>
                <w:lang w:val="hr-HR"/>
              </w:rPr>
            </w:pPr>
            <w:r w:rsidRPr="001567C8">
              <w:rPr>
                <w:rFonts w:asciiTheme="minorHAnsi" w:hAnsiTheme="minorHAnsi" w:cs="Arial"/>
                <w:b/>
                <w:sz w:val="20"/>
                <w:szCs w:val="20"/>
                <w:lang w:val="hr-HR"/>
              </w:rPr>
              <w:t>N</w:t>
            </w:r>
            <w:r w:rsidR="00FC1F94" w:rsidRPr="001567C8">
              <w:rPr>
                <w:rFonts w:asciiTheme="minorHAnsi" w:hAnsiTheme="minorHAnsi" w:cs="Arial"/>
                <w:b/>
                <w:sz w:val="20"/>
                <w:szCs w:val="20"/>
                <w:lang w:val="hr-HR"/>
              </w:rPr>
              <w:t>eto n</w:t>
            </w:r>
            <w:r w:rsidR="00B20FD3" w:rsidRPr="001567C8">
              <w:rPr>
                <w:rFonts w:asciiTheme="minorHAnsi" w:hAnsiTheme="minorHAnsi" w:cs="Arial"/>
                <w:b/>
                <w:sz w:val="20"/>
                <w:szCs w:val="20"/>
                <w:lang w:val="hr-HR"/>
              </w:rPr>
              <w:t>ajveća izloženost</w:t>
            </w:r>
          </w:p>
          <w:p w:rsidR="00B20FD3" w:rsidRPr="001567C8" w:rsidRDefault="00AD2EF7" w:rsidP="00B20FD3">
            <w:pPr>
              <w:jc w:val="right"/>
              <w:rPr>
                <w:rFonts w:asciiTheme="minorHAnsi" w:hAnsiTheme="minorHAnsi" w:cs="Arial"/>
                <w:b/>
                <w:sz w:val="20"/>
                <w:szCs w:val="20"/>
                <w:lang w:val="hr-HR"/>
              </w:rPr>
            </w:pPr>
            <w:r>
              <w:rPr>
                <w:rFonts w:asciiTheme="minorHAnsi" w:hAnsiTheme="minorHAnsi" w:cs="Arial"/>
                <w:b/>
                <w:sz w:val="20"/>
                <w:szCs w:val="20"/>
                <w:lang w:val="hr-HR"/>
              </w:rPr>
              <w:t>31. prosin</w:t>
            </w:r>
            <w:r w:rsidR="0073283D" w:rsidRPr="001567C8">
              <w:rPr>
                <w:rFonts w:asciiTheme="minorHAnsi" w:hAnsiTheme="minorHAnsi" w:cs="Arial"/>
                <w:b/>
                <w:sz w:val="20"/>
                <w:szCs w:val="20"/>
                <w:lang w:val="hr-HR"/>
              </w:rPr>
              <w:t>c</w:t>
            </w:r>
            <w:r>
              <w:rPr>
                <w:rFonts w:asciiTheme="minorHAnsi" w:hAnsiTheme="minorHAnsi" w:cs="Arial"/>
                <w:b/>
                <w:sz w:val="20"/>
                <w:szCs w:val="20"/>
                <w:lang w:val="hr-HR"/>
              </w:rPr>
              <w:t>a</w:t>
            </w:r>
            <w:r w:rsidR="0073283D" w:rsidRPr="001567C8">
              <w:rPr>
                <w:rFonts w:asciiTheme="minorHAnsi" w:hAnsiTheme="minorHAnsi" w:cs="Arial"/>
                <w:b/>
                <w:sz w:val="20"/>
                <w:szCs w:val="20"/>
                <w:lang w:val="hr-HR"/>
              </w:rPr>
              <w:t xml:space="preserve"> </w:t>
            </w:r>
            <w:r w:rsidR="00B20FD3" w:rsidRPr="001567C8">
              <w:rPr>
                <w:rFonts w:asciiTheme="minorHAnsi" w:hAnsiTheme="minorHAnsi" w:cs="Arial"/>
                <w:b/>
                <w:sz w:val="20"/>
                <w:szCs w:val="20"/>
                <w:lang w:val="hr-HR"/>
              </w:rPr>
              <w:t>2017.</w:t>
            </w:r>
          </w:p>
        </w:tc>
        <w:tc>
          <w:tcPr>
            <w:tcW w:w="732" w:type="pct"/>
            <w:vAlign w:val="center"/>
          </w:tcPr>
          <w:p w:rsidR="00B20FD3" w:rsidRPr="001567C8" w:rsidRDefault="00D11792" w:rsidP="00B20FD3">
            <w:pPr>
              <w:jc w:val="right"/>
              <w:rPr>
                <w:rFonts w:asciiTheme="minorHAnsi" w:hAnsiTheme="minorHAnsi" w:cs="Arial"/>
                <w:b/>
                <w:sz w:val="20"/>
                <w:szCs w:val="20"/>
                <w:lang w:val="hr-HR"/>
              </w:rPr>
            </w:pPr>
            <w:r w:rsidRPr="001567C8">
              <w:rPr>
                <w:rFonts w:asciiTheme="minorHAnsi" w:hAnsiTheme="minorHAnsi" w:cs="Arial"/>
                <w:b/>
                <w:sz w:val="20"/>
                <w:szCs w:val="20"/>
                <w:lang w:val="hr-HR"/>
              </w:rPr>
              <w:t>N</w:t>
            </w:r>
            <w:r w:rsidR="00FC1F94" w:rsidRPr="001567C8">
              <w:rPr>
                <w:rFonts w:asciiTheme="minorHAnsi" w:hAnsiTheme="minorHAnsi" w:cs="Arial"/>
                <w:b/>
                <w:sz w:val="20"/>
                <w:szCs w:val="20"/>
                <w:lang w:val="hr-HR"/>
              </w:rPr>
              <w:t>eto n</w:t>
            </w:r>
            <w:r w:rsidR="00B20FD3" w:rsidRPr="001567C8">
              <w:rPr>
                <w:rFonts w:asciiTheme="minorHAnsi" w:hAnsiTheme="minorHAnsi" w:cs="Arial"/>
                <w:b/>
                <w:sz w:val="20"/>
                <w:szCs w:val="20"/>
                <w:lang w:val="hr-HR"/>
              </w:rPr>
              <w:t>ajveća izloženost</w:t>
            </w:r>
          </w:p>
          <w:p w:rsidR="00B20FD3" w:rsidRPr="001567C8" w:rsidRDefault="00AD2EF7" w:rsidP="00B20FD3">
            <w:pPr>
              <w:jc w:val="right"/>
              <w:rPr>
                <w:rFonts w:asciiTheme="minorHAnsi" w:hAnsiTheme="minorHAnsi" w:cs="Arial"/>
                <w:b/>
                <w:sz w:val="20"/>
                <w:szCs w:val="20"/>
                <w:lang w:val="hr-HR"/>
              </w:rPr>
            </w:pPr>
            <w:r>
              <w:rPr>
                <w:rFonts w:asciiTheme="minorHAnsi" w:hAnsiTheme="minorHAnsi" w:cs="Arial"/>
                <w:b/>
                <w:sz w:val="20"/>
                <w:szCs w:val="20"/>
                <w:lang w:val="hr-HR"/>
              </w:rPr>
              <w:t>31. prosin</w:t>
            </w:r>
            <w:r w:rsidR="0073283D" w:rsidRPr="001567C8">
              <w:rPr>
                <w:rFonts w:asciiTheme="minorHAnsi" w:hAnsiTheme="minorHAnsi" w:cs="Arial"/>
                <w:b/>
                <w:sz w:val="20"/>
                <w:szCs w:val="20"/>
                <w:lang w:val="hr-HR"/>
              </w:rPr>
              <w:t>c</w:t>
            </w:r>
            <w:r>
              <w:rPr>
                <w:rFonts w:asciiTheme="minorHAnsi" w:hAnsiTheme="minorHAnsi" w:cs="Arial"/>
                <w:b/>
                <w:sz w:val="20"/>
                <w:szCs w:val="20"/>
                <w:lang w:val="hr-HR"/>
              </w:rPr>
              <w:t>a</w:t>
            </w:r>
            <w:r w:rsidR="0073283D" w:rsidRPr="001567C8">
              <w:rPr>
                <w:rFonts w:asciiTheme="minorHAnsi" w:hAnsiTheme="minorHAnsi" w:cs="Arial"/>
                <w:b/>
                <w:sz w:val="20"/>
                <w:szCs w:val="20"/>
                <w:lang w:val="hr-HR"/>
              </w:rPr>
              <w:t xml:space="preserve">  </w:t>
            </w:r>
            <w:r w:rsidR="00B20FD3" w:rsidRPr="001567C8">
              <w:rPr>
                <w:rFonts w:asciiTheme="minorHAnsi" w:hAnsiTheme="minorHAnsi" w:cs="Arial"/>
                <w:b/>
                <w:sz w:val="20"/>
                <w:szCs w:val="20"/>
                <w:lang w:val="hr-HR"/>
              </w:rPr>
              <w:t>2018.</w:t>
            </w:r>
          </w:p>
        </w:tc>
        <w:tc>
          <w:tcPr>
            <w:tcW w:w="733" w:type="pct"/>
            <w:vAlign w:val="center"/>
          </w:tcPr>
          <w:p w:rsidR="00B20FD3" w:rsidRPr="001567C8" w:rsidRDefault="00D11792" w:rsidP="00B20FD3">
            <w:pPr>
              <w:jc w:val="right"/>
              <w:rPr>
                <w:rFonts w:asciiTheme="minorHAnsi" w:hAnsiTheme="minorHAnsi" w:cs="Arial"/>
                <w:b/>
                <w:sz w:val="20"/>
                <w:szCs w:val="20"/>
                <w:lang w:val="hr-HR"/>
              </w:rPr>
            </w:pPr>
            <w:r w:rsidRPr="001567C8">
              <w:rPr>
                <w:rFonts w:asciiTheme="minorHAnsi" w:hAnsiTheme="minorHAnsi" w:cs="Arial"/>
                <w:b/>
                <w:sz w:val="20"/>
                <w:szCs w:val="20"/>
                <w:lang w:val="hr-HR"/>
              </w:rPr>
              <w:t>N</w:t>
            </w:r>
            <w:r w:rsidR="00FC1F94" w:rsidRPr="001567C8">
              <w:rPr>
                <w:rFonts w:asciiTheme="minorHAnsi" w:hAnsiTheme="minorHAnsi" w:cs="Arial"/>
                <w:b/>
                <w:sz w:val="20"/>
                <w:szCs w:val="20"/>
                <w:lang w:val="hr-HR"/>
              </w:rPr>
              <w:t>eto n</w:t>
            </w:r>
            <w:r w:rsidR="00B20FD3" w:rsidRPr="001567C8">
              <w:rPr>
                <w:rFonts w:asciiTheme="minorHAnsi" w:hAnsiTheme="minorHAnsi" w:cs="Arial"/>
                <w:b/>
                <w:sz w:val="20"/>
                <w:szCs w:val="20"/>
                <w:lang w:val="hr-HR"/>
              </w:rPr>
              <w:t>ajveća izloženost</w:t>
            </w:r>
          </w:p>
          <w:p w:rsidR="00B20FD3" w:rsidRPr="001567C8" w:rsidRDefault="00AD2EF7" w:rsidP="00B20FD3">
            <w:pPr>
              <w:jc w:val="right"/>
              <w:rPr>
                <w:rFonts w:asciiTheme="minorHAnsi" w:hAnsiTheme="minorHAnsi" w:cs="Arial"/>
                <w:b/>
                <w:sz w:val="20"/>
                <w:szCs w:val="20"/>
                <w:lang w:val="hr-HR"/>
              </w:rPr>
            </w:pPr>
            <w:r>
              <w:rPr>
                <w:rFonts w:asciiTheme="minorHAnsi" w:hAnsiTheme="minorHAnsi" w:cs="Arial"/>
                <w:b/>
                <w:sz w:val="20"/>
                <w:szCs w:val="20"/>
                <w:lang w:val="hr-HR"/>
              </w:rPr>
              <w:t>31. prosin</w:t>
            </w:r>
            <w:r w:rsidR="0073283D" w:rsidRPr="001567C8">
              <w:rPr>
                <w:rFonts w:asciiTheme="minorHAnsi" w:hAnsiTheme="minorHAnsi" w:cs="Arial"/>
                <w:b/>
                <w:sz w:val="20"/>
                <w:szCs w:val="20"/>
                <w:lang w:val="hr-HR"/>
              </w:rPr>
              <w:t>c</w:t>
            </w:r>
            <w:r>
              <w:rPr>
                <w:rFonts w:asciiTheme="minorHAnsi" w:hAnsiTheme="minorHAnsi" w:cs="Arial"/>
                <w:b/>
                <w:sz w:val="20"/>
                <w:szCs w:val="20"/>
                <w:lang w:val="hr-HR"/>
              </w:rPr>
              <w:t>a</w:t>
            </w:r>
            <w:r w:rsidR="0073283D" w:rsidRPr="001567C8">
              <w:rPr>
                <w:rFonts w:asciiTheme="minorHAnsi" w:hAnsiTheme="minorHAnsi" w:cs="Arial"/>
                <w:b/>
                <w:sz w:val="20"/>
                <w:szCs w:val="20"/>
                <w:lang w:val="hr-HR"/>
              </w:rPr>
              <w:t xml:space="preserve"> </w:t>
            </w:r>
            <w:r w:rsidR="00B20FD3" w:rsidRPr="001567C8">
              <w:rPr>
                <w:rFonts w:asciiTheme="minorHAnsi" w:hAnsiTheme="minorHAnsi" w:cs="Arial"/>
                <w:b/>
                <w:sz w:val="20"/>
                <w:szCs w:val="20"/>
                <w:lang w:val="hr-HR"/>
              </w:rPr>
              <w:t>2017.</w:t>
            </w:r>
          </w:p>
        </w:tc>
      </w:tr>
      <w:tr w:rsidR="00B20FD3" w:rsidRPr="001567C8" w:rsidTr="00A63A54">
        <w:tc>
          <w:tcPr>
            <w:tcW w:w="2070" w:type="pct"/>
          </w:tcPr>
          <w:p w:rsidR="00B20FD3" w:rsidRPr="001567C8" w:rsidRDefault="00B20FD3" w:rsidP="00B20FD3">
            <w:pPr>
              <w:rPr>
                <w:rFonts w:asciiTheme="minorHAnsi" w:hAnsiTheme="minorHAnsi" w:cs="Arial"/>
                <w:sz w:val="20"/>
                <w:szCs w:val="20"/>
                <w:lang w:val="hr-HR"/>
              </w:rPr>
            </w:pPr>
          </w:p>
        </w:tc>
        <w:tc>
          <w:tcPr>
            <w:tcW w:w="732" w:type="pct"/>
          </w:tcPr>
          <w:p w:rsidR="00B20FD3" w:rsidRPr="001567C8" w:rsidRDefault="00B20FD3" w:rsidP="00B20FD3">
            <w:pPr>
              <w:jc w:val="right"/>
              <w:rPr>
                <w:rFonts w:asciiTheme="minorHAnsi" w:hAnsiTheme="minorHAnsi" w:cs="Arial"/>
                <w:b/>
                <w:sz w:val="20"/>
                <w:szCs w:val="20"/>
                <w:lang w:val="hr-HR"/>
              </w:rPr>
            </w:pPr>
            <w:r w:rsidRPr="001567C8">
              <w:rPr>
                <w:rFonts w:asciiTheme="minorHAnsi" w:hAnsiTheme="minorHAnsi" w:cs="Arial"/>
                <w:b/>
                <w:sz w:val="20"/>
                <w:szCs w:val="20"/>
                <w:lang w:val="hr-HR"/>
              </w:rPr>
              <w:t>000 kuna</w:t>
            </w:r>
          </w:p>
        </w:tc>
        <w:tc>
          <w:tcPr>
            <w:tcW w:w="733" w:type="pct"/>
          </w:tcPr>
          <w:p w:rsidR="00B20FD3" w:rsidRPr="001567C8" w:rsidRDefault="00B20FD3" w:rsidP="00B20FD3">
            <w:pPr>
              <w:jc w:val="right"/>
              <w:rPr>
                <w:rFonts w:asciiTheme="minorHAnsi" w:hAnsiTheme="minorHAnsi" w:cs="Arial"/>
                <w:b/>
                <w:sz w:val="20"/>
                <w:szCs w:val="20"/>
                <w:lang w:val="hr-HR"/>
              </w:rPr>
            </w:pPr>
            <w:r w:rsidRPr="001567C8">
              <w:rPr>
                <w:rFonts w:asciiTheme="minorHAnsi" w:hAnsiTheme="minorHAnsi" w:cs="Arial"/>
                <w:b/>
                <w:sz w:val="20"/>
                <w:szCs w:val="20"/>
                <w:lang w:val="hr-HR"/>
              </w:rPr>
              <w:t>000 kuna</w:t>
            </w:r>
          </w:p>
        </w:tc>
        <w:tc>
          <w:tcPr>
            <w:tcW w:w="732" w:type="pct"/>
          </w:tcPr>
          <w:p w:rsidR="00B20FD3" w:rsidRPr="001567C8" w:rsidRDefault="00B20FD3" w:rsidP="00B20FD3">
            <w:pPr>
              <w:jc w:val="right"/>
              <w:rPr>
                <w:rFonts w:asciiTheme="minorHAnsi" w:hAnsiTheme="minorHAnsi" w:cs="Arial"/>
                <w:b/>
                <w:sz w:val="20"/>
                <w:szCs w:val="20"/>
                <w:lang w:val="hr-HR"/>
              </w:rPr>
            </w:pPr>
            <w:r w:rsidRPr="001567C8">
              <w:rPr>
                <w:rFonts w:asciiTheme="minorHAnsi" w:hAnsiTheme="minorHAnsi" w:cs="Arial"/>
                <w:b/>
                <w:sz w:val="20"/>
                <w:szCs w:val="20"/>
                <w:lang w:val="hr-HR"/>
              </w:rPr>
              <w:t>000 kuna</w:t>
            </w:r>
          </w:p>
        </w:tc>
        <w:tc>
          <w:tcPr>
            <w:tcW w:w="733" w:type="pct"/>
          </w:tcPr>
          <w:p w:rsidR="00B20FD3" w:rsidRPr="001567C8" w:rsidRDefault="00B20FD3" w:rsidP="00B20FD3">
            <w:pPr>
              <w:jc w:val="right"/>
              <w:rPr>
                <w:rFonts w:asciiTheme="minorHAnsi" w:hAnsiTheme="minorHAnsi" w:cs="Arial"/>
                <w:b/>
                <w:sz w:val="20"/>
                <w:szCs w:val="20"/>
                <w:lang w:val="hr-HR"/>
              </w:rPr>
            </w:pPr>
            <w:r w:rsidRPr="001567C8">
              <w:rPr>
                <w:rFonts w:asciiTheme="minorHAnsi" w:hAnsiTheme="minorHAnsi" w:cs="Arial"/>
                <w:b/>
                <w:sz w:val="20"/>
                <w:szCs w:val="20"/>
                <w:lang w:val="hr-HR"/>
              </w:rPr>
              <w:t>000 kuna</w:t>
            </w:r>
          </w:p>
        </w:tc>
      </w:tr>
      <w:tr w:rsidR="00B20FD3" w:rsidRPr="001567C8" w:rsidTr="00A63A54">
        <w:tc>
          <w:tcPr>
            <w:tcW w:w="2070" w:type="pct"/>
          </w:tcPr>
          <w:p w:rsidR="00B20FD3" w:rsidRPr="001567C8" w:rsidRDefault="00B20FD3" w:rsidP="00B20FD3">
            <w:pPr>
              <w:pStyle w:val="TT"/>
              <w:rPr>
                <w:rFonts w:asciiTheme="minorHAnsi" w:hAnsiTheme="minorHAnsi" w:cs="Arial"/>
                <w:b/>
                <w:bCs/>
                <w:sz w:val="20"/>
                <w:lang w:val="hr-HR"/>
              </w:rPr>
            </w:pPr>
            <w:r w:rsidRPr="001567C8">
              <w:rPr>
                <w:rFonts w:asciiTheme="minorHAnsi" w:hAnsiTheme="minorHAnsi" w:cs="Arial"/>
                <w:b/>
                <w:bCs/>
                <w:sz w:val="20"/>
                <w:lang w:val="hr-HR"/>
              </w:rPr>
              <w:t>Imovina</w:t>
            </w:r>
          </w:p>
        </w:tc>
        <w:tc>
          <w:tcPr>
            <w:tcW w:w="732" w:type="pct"/>
          </w:tcPr>
          <w:p w:rsidR="00B20FD3" w:rsidRPr="001567C8" w:rsidRDefault="00B20FD3" w:rsidP="00B20FD3">
            <w:pPr>
              <w:pStyle w:val="TT"/>
              <w:jc w:val="right"/>
              <w:rPr>
                <w:rFonts w:asciiTheme="minorHAnsi" w:hAnsiTheme="minorHAnsi" w:cs="Arial"/>
                <w:b/>
                <w:bCs/>
                <w:sz w:val="20"/>
                <w:lang w:val="hr-HR"/>
              </w:rPr>
            </w:pPr>
          </w:p>
        </w:tc>
        <w:tc>
          <w:tcPr>
            <w:tcW w:w="733" w:type="pct"/>
          </w:tcPr>
          <w:p w:rsidR="00B20FD3" w:rsidRPr="001567C8" w:rsidRDefault="00B20FD3" w:rsidP="00B20FD3">
            <w:pPr>
              <w:pStyle w:val="TT"/>
              <w:jc w:val="right"/>
              <w:rPr>
                <w:rFonts w:asciiTheme="minorHAnsi" w:hAnsiTheme="minorHAnsi" w:cs="Arial"/>
                <w:b/>
                <w:bCs/>
                <w:sz w:val="20"/>
                <w:lang w:val="hr-HR"/>
              </w:rPr>
            </w:pPr>
          </w:p>
        </w:tc>
        <w:tc>
          <w:tcPr>
            <w:tcW w:w="732" w:type="pct"/>
          </w:tcPr>
          <w:p w:rsidR="00B20FD3" w:rsidRPr="001567C8" w:rsidRDefault="00B20FD3" w:rsidP="00B20FD3">
            <w:pPr>
              <w:pStyle w:val="TT"/>
              <w:jc w:val="right"/>
              <w:rPr>
                <w:rFonts w:asciiTheme="minorHAnsi" w:hAnsiTheme="minorHAnsi" w:cs="Arial"/>
                <w:b/>
                <w:bCs/>
                <w:sz w:val="20"/>
                <w:lang w:val="hr-HR"/>
              </w:rPr>
            </w:pPr>
          </w:p>
        </w:tc>
        <w:tc>
          <w:tcPr>
            <w:tcW w:w="733" w:type="pct"/>
          </w:tcPr>
          <w:p w:rsidR="00B20FD3" w:rsidRPr="001567C8" w:rsidRDefault="00B20FD3" w:rsidP="00B20FD3">
            <w:pPr>
              <w:pStyle w:val="TT"/>
              <w:jc w:val="right"/>
              <w:rPr>
                <w:rFonts w:asciiTheme="minorHAnsi" w:hAnsiTheme="minorHAnsi" w:cs="Arial"/>
                <w:b/>
                <w:bCs/>
                <w:sz w:val="20"/>
                <w:lang w:val="hr-HR"/>
              </w:rPr>
            </w:pPr>
          </w:p>
        </w:tc>
      </w:tr>
      <w:tr w:rsidR="006977CB" w:rsidRPr="001567C8" w:rsidTr="006977CB">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Novčana sredstva i računi kod banaka</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napToGrid w:val="0"/>
                <w:szCs w:val="19"/>
                <w:lang w:val="hr-HR"/>
              </w:rPr>
            </w:pPr>
            <w:r w:rsidRPr="00CD3A2D">
              <w:rPr>
                <w:rFonts w:asciiTheme="minorHAnsi" w:hAnsiTheme="minorHAnsi" w:cstheme="minorHAnsi"/>
                <w:szCs w:val="19"/>
                <w:lang w:val="hr-HR"/>
              </w:rPr>
              <w:t>944.415</w:t>
            </w:r>
          </w:p>
        </w:tc>
        <w:tc>
          <w:tcPr>
            <w:tcW w:w="733" w:type="pct"/>
            <w:tcBorders>
              <w:top w:val="nil"/>
              <w:left w:val="nil"/>
              <w:bottom w:val="nil"/>
              <w:right w:val="nil"/>
            </w:tcBorders>
            <w:shd w:val="clear" w:color="auto" w:fill="auto"/>
          </w:tcPr>
          <w:p w:rsidR="006977CB" w:rsidRPr="001567C8" w:rsidRDefault="006977CB" w:rsidP="006977CB">
            <w:pPr>
              <w:pStyle w:val="TT"/>
              <w:jc w:val="right"/>
              <w:rPr>
                <w:rFonts w:asciiTheme="minorHAnsi" w:hAnsiTheme="minorHAnsi" w:cs="Arial"/>
                <w:snapToGrid w:val="0"/>
                <w:szCs w:val="19"/>
                <w:lang w:val="hr-HR"/>
              </w:rPr>
            </w:pPr>
            <w:r w:rsidRPr="00CD3A2D">
              <w:rPr>
                <w:rFonts w:ascii="Calibri" w:hAnsi="Calibri" w:cs="Arial"/>
                <w:szCs w:val="19"/>
                <w:lang w:val="hr-HR"/>
              </w:rPr>
              <w:t>1.403.664</w:t>
            </w:r>
          </w:p>
        </w:tc>
        <w:tc>
          <w:tcPr>
            <w:tcW w:w="732"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theme="minorHAnsi"/>
                <w:snapToGrid w:val="0"/>
                <w:sz w:val="19"/>
                <w:szCs w:val="19"/>
                <w:lang w:val="hr-HR"/>
              </w:rPr>
            </w:pPr>
            <w:r w:rsidRPr="00CD3A2D">
              <w:rPr>
                <w:rFonts w:asciiTheme="minorHAnsi" w:hAnsiTheme="minorHAnsi" w:cstheme="minorHAnsi"/>
                <w:sz w:val="19"/>
                <w:szCs w:val="19"/>
                <w:lang w:val="hr-HR"/>
              </w:rPr>
              <w:t>941.069</w:t>
            </w:r>
          </w:p>
        </w:tc>
        <w:tc>
          <w:tcPr>
            <w:tcW w:w="733"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Arial"/>
                <w:snapToGrid w:val="0"/>
                <w:sz w:val="19"/>
                <w:szCs w:val="19"/>
                <w:lang w:val="hr-HR"/>
              </w:rPr>
            </w:pPr>
            <w:r w:rsidRPr="00CD3A2D">
              <w:rPr>
                <w:rFonts w:ascii="Calibri" w:hAnsi="Calibri" w:cs="Arial"/>
                <w:sz w:val="19"/>
                <w:szCs w:val="19"/>
                <w:lang w:val="hr-HR"/>
              </w:rPr>
              <w:t>1.401.130</w:t>
            </w:r>
          </w:p>
        </w:tc>
      </w:tr>
      <w:tr w:rsidR="006977CB" w:rsidRPr="001567C8" w:rsidTr="006977CB">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Depoziti kod drugih banaka</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napToGrid w:val="0"/>
                <w:szCs w:val="19"/>
                <w:lang w:val="hr-HR"/>
              </w:rPr>
            </w:pPr>
            <w:r w:rsidRPr="00CD3A2D">
              <w:rPr>
                <w:rFonts w:asciiTheme="minorHAnsi" w:hAnsiTheme="minorHAnsi" w:cstheme="minorHAnsi"/>
                <w:szCs w:val="19"/>
                <w:lang w:val="hr-HR"/>
              </w:rPr>
              <w:t>261.925</w:t>
            </w:r>
          </w:p>
        </w:tc>
        <w:tc>
          <w:tcPr>
            <w:tcW w:w="733" w:type="pct"/>
            <w:tcBorders>
              <w:top w:val="nil"/>
              <w:left w:val="nil"/>
              <w:bottom w:val="nil"/>
              <w:right w:val="nil"/>
            </w:tcBorders>
            <w:shd w:val="clear" w:color="auto" w:fill="auto"/>
          </w:tcPr>
          <w:p w:rsidR="006977CB" w:rsidRPr="001567C8" w:rsidRDefault="006977CB" w:rsidP="006977CB">
            <w:pPr>
              <w:pStyle w:val="TT"/>
              <w:jc w:val="right"/>
              <w:rPr>
                <w:rFonts w:asciiTheme="minorHAnsi" w:hAnsiTheme="minorHAnsi" w:cs="Arial"/>
                <w:snapToGrid w:val="0"/>
                <w:szCs w:val="19"/>
                <w:lang w:val="hr-HR"/>
              </w:rPr>
            </w:pPr>
            <w:r w:rsidRPr="00CD3A2D">
              <w:rPr>
                <w:rFonts w:ascii="Calibri" w:hAnsi="Calibri" w:cs="Arial"/>
                <w:szCs w:val="19"/>
                <w:lang w:val="hr-HR"/>
              </w:rPr>
              <w:t>29.138</w:t>
            </w:r>
          </w:p>
        </w:tc>
        <w:tc>
          <w:tcPr>
            <w:tcW w:w="732"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theme="minorHAnsi"/>
                <w:snapToGrid w:val="0"/>
                <w:sz w:val="19"/>
                <w:szCs w:val="19"/>
                <w:lang w:val="hr-HR"/>
              </w:rPr>
            </w:pPr>
            <w:r w:rsidRPr="00CD3A2D">
              <w:rPr>
                <w:rFonts w:asciiTheme="minorHAnsi" w:hAnsiTheme="minorHAnsi" w:cstheme="minorHAnsi"/>
                <w:sz w:val="19"/>
                <w:szCs w:val="19"/>
                <w:lang w:val="hr-HR"/>
              </w:rPr>
              <w:t>261.925</w:t>
            </w:r>
          </w:p>
        </w:tc>
        <w:tc>
          <w:tcPr>
            <w:tcW w:w="733"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Arial"/>
                <w:snapToGrid w:val="0"/>
                <w:sz w:val="19"/>
                <w:szCs w:val="19"/>
                <w:lang w:val="hr-HR"/>
              </w:rPr>
            </w:pPr>
            <w:r w:rsidRPr="00CD3A2D">
              <w:rPr>
                <w:rFonts w:ascii="Calibri" w:hAnsi="Calibri" w:cs="Arial"/>
                <w:sz w:val="19"/>
                <w:szCs w:val="19"/>
                <w:lang w:val="hr-HR"/>
              </w:rPr>
              <w:t>29.138</w:t>
            </w:r>
          </w:p>
        </w:tc>
      </w:tr>
      <w:tr w:rsidR="006977CB" w:rsidRPr="001567C8" w:rsidTr="006977CB">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Krediti financijskim institucijama</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napToGrid w:val="0"/>
                <w:szCs w:val="19"/>
                <w:lang w:val="hr-HR"/>
              </w:rPr>
            </w:pPr>
            <w:r w:rsidRPr="00CD3A2D">
              <w:rPr>
                <w:rFonts w:asciiTheme="minorHAnsi" w:hAnsiTheme="minorHAnsi" w:cstheme="minorHAnsi"/>
                <w:szCs w:val="19"/>
                <w:lang w:val="hr-HR"/>
              </w:rPr>
              <w:t>10.234.988</w:t>
            </w:r>
          </w:p>
        </w:tc>
        <w:tc>
          <w:tcPr>
            <w:tcW w:w="733" w:type="pct"/>
            <w:tcBorders>
              <w:top w:val="nil"/>
              <w:left w:val="nil"/>
              <w:bottom w:val="nil"/>
              <w:right w:val="nil"/>
            </w:tcBorders>
            <w:shd w:val="clear" w:color="auto" w:fill="auto"/>
          </w:tcPr>
          <w:p w:rsidR="006977CB" w:rsidRPr="001567C8" w:rsidRDefault="006977CB" w:rsidP="006977CB">
            <w:pPr>
              <w:pStyle w:val="TT"/>
              <w:jc w:val="right"/>
              <w:rPr>
                <w:rFonts w:asciiTheme="minorHAnsi" w:hAnsiTheme="minorHAnsi" w:cs="Arial"/>
                <w:snapToGrid w:val="0"/>
                <w:szCs w:val="19"/>
                <w:lang w:val="hr-HR"/>
              </w:rPr>
            </w:pPr>
            <w:r w:rsidRPr="00CD3A2D">
              <w:rPr>
                <w:rFonts w:ascii="Calibri" w:hAnsi="Calibri" w:cs="Arial"/>
                <w:szCs w:val="19"/>
                <w:lang w:val="hr-HR"/>
              </w:rPr>
              <w:t>10.836.141</w:t>
            </w:r>
          </w:p>
        </w:tc>
        <w:tc>
          <w:tcPr>
            <w:tcW w:w="732"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theme="minorHAnsi"/>
                <w:snapToGrid w:val="0"/>
                <w:sz w:val="19"/>
                <w:szCs w:val="19"/>
                <w:lang w:val="hr-HR"/>
              </w:rPr>
            </w:pPr>
            <w:r w:rsidRPr="00CD3A2D">
              <w:rPr>
                <w:rFonts w:asciiTheme="minorHAnsi" w:hAnsiTheme="minorHAnsi" w:cstheme="minorHAnsi"/>
                <w:sz w:val="19"/>
                <w:szCs w:val="19"/>
                <w:lang w:val="hr-HR"/>
              </w:rPr>
              <w:t>10.234.988</w:t>
            </w:r>
          </w:p>
        </w:tc>
        <w:tc>
          <w:tcPr>
            <w:tcW w:w="733"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Arial"/>
                <w:snapToGrid w:val="0"/>
                <w:sz w:val="19"/>
                <w:szCs w:val="19"/>
                <w:lang w:val="hr-HR"/>
              </w:rPr>
            </w:pPr>
            <w:r w:rsidRPr="00CD3A2D">
              <w:rPr>
                <w:rFonts w:ascii="Calibri" w:hAnsi="Calibri" w:cs="Arial"/>
                <w:sz w:val="19"/>
                <w:szCs w:val="19"/>
                <w:lang w:val="hr-HR"/>
              </w:rPr>
              <w:t>10.836.141</w:t>
            </w:r>
          </w:p>
        </w:tc>
      </w:tr>
      <w:tr w:rsidR="006977CB" w:rsidRPr="001567C8" w:rsidTr="006977CB">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Krediti ostalim korisnicima</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pacing w:val="-2"/>
                <w:szCs w:val="19"/>
                <w:lang w:val="hr-HR"/>
              </w:rPr>
            </w:pPr>
            <w:r w:rsidRPr="00CD3A2D">
              <w:rPr>
                <w:rFonts w:asciiTheme="minorHAnsi" w:hAnsiTheme="minorHAnsi" w:cstheme="minorHAnsi"/>
                <w:szCs w:val="19"/>
                <w:lang w:val="hr-HR"/>
              </w:rPr>
              <w:t>12.510.686</w:t>
            </w:r>
          </w:p>
        </w:tc>
        <w:tc>
          <w:tcPr>
            <w:tcW w:w="733" w:type="pct"/>
            <w:tcBorders>
              <w:top w:val="nil"/>
              <w:left w:val="nil"/>
              <w:bottom w:val="nil"/>
              <w:right w:val="nil"/>
            </w:tcBorders>
            <w:shd w:val="clear" w:color="auto" w:fill="auto"/>
          </w:tcPr>
          <w:p w:rsidR="006977CB" w:rsidRPr="001567C8" w:rsidRDefault="006977CB" w:rsidP="006977CB">
            <w:pPr>
              <w:pStyle w:val="TT"/>
              <w:jc w:val="right"/>
              <w:rPr>
                <w:rFonts w:asciiTheme="minorHAnsi" w:hAnsiTheme="minorHAnsi" w:cs="Arial"/>
                <w:spacing w:val="-2"/>
                <w:szCs w:val="19"/>
                <w:lang w:val="hr-HR"/>
              </w:rPr>
            </w:pPr>
            <w:r w:rsidRPr="00CD3A2D">
              <w:rPr>
                <w:rFonts w:ascii="Calibri" w:hAnsi="Calibri" w:cs="Arial"/>
                <w:szCs w:val="19"/>
                <w:lang w:val="hr-HR"/>
              </w:rPr>
              <w:t>12.383.623</w:t>
            </w:r>
          </w:p>
        </w:tc>
        <w:tc>
          <w:tcPr>
            <w:tcW w:w="732"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theme="minorHAnsi"/>
                <w:spacing w:val="-2"/>
                <w:sz w:val="19"/>
                <w:szCs w:val="19"/>
                <w:lang w:val="hr-HR"/>
              </w:rPr>
            </w:pPr>
            <w:r w:rsidRPr="00CD3A2D">
              <w:rPr>
                <w:rFonts w:asciiTheme="minorHAnsi" w:hAnsiTheme="minorHAnsi" w:cstheme="minorHAnsi"/>
                <w:sz w:val="19"/>
                <w:szCs w:val="19"/>
                <w:lang w:val="hr-HR"/>
              </w:rPr>
              <w:t>12.510.686</w:t>
            </w:r>
          </w:p>
        </w:tc>
        <w:tc>
          <w:tcPr>
            <w:tcW w:w="733"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Arial"/>
                <w:spacing w:val="-2"/>
                <w:sz w:val="19"/>
                <w:szCs w:val="19"/>
                <w:lang w:val="hr-HR"/>
              </w:rPr>
            </w:pPr>
            <w:r w:rsidRPr="00CD3A2D">
              <w:rPr>
                <w:rFonts w:ascii="Calibri" w:hAnsi="Calibri" w:cs="Arial"/>
                <w:sz w:val="19"/>
                <w:szCs w:val="19"/>
                <w:lang w:val="hr-HR"/>
              </w:rPr>
              <w:t>12.383.623</w:t>
            </w:r>
          </w:p>
        </w:tc>
      </w:tr>
      <w:tr w:rsidR="006977CB" w:rsidRPr="001567C8" w:rsidTr="00AE6945">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Financijska imovina po fer vrijednosti kroz dobit i</w:t>
            </w:r>
            <w:r w:rsidR="00316574" w:rsidRPr="001567C8">
              <w:rPr>
                <w:rFonts w:asciiTheme="minorHAnsi" w:hAnsiTheme="minorHAnsi" w:cs="Arial"/>
                <w:sz w:val="20"/>
                <w:lang w:val="hr-HR"/>
              </w:rPr>
              <w:t>li</w:t>
            </w:r>
            <w:r w:rsidRPr="001567C8">
              <w:rPr>
                <w:rFonts w:asciiTheme="minorHAnsi" w:hAnsiTheme="minorHAnsi" w:cs="Arial"/>
                <w:sz w:val="20"/>
                <w:lang w:val="hr-HR"/>
              </w:rPr>
              <w:t xml:space="preserve"> gubit</w:t>
            </w:r>
            <w:r w:rsidR="00316574" w:rsidRPr="001567C8">
              <w:rPr>
                <w:rFonts w:asciiTheme="minorHAnsi" w:hAnsiTheme="minorHAnsi" w:cs="Arial"/>
                <w:sz w:val="20"/>
                <w:lang w:val="hr-HR"/>
              </w:rPr>
              <w:t>ak</w:t>
            </w:r>
            <w:r w:rsidRPr="001567C8">
              <w:rPr>
                <w:rFonts w:asciiTheme="minorHAnsi" w:hAnsiTheme="minorHAnsi" w:cs="Arial"/>
                <w:sz w:val="20"/>
                <w:lang w:val="hr-HR"/>
              </w:rPr>
              <w:t xml:space="preserve">*         </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pacing w:val="-2"/>
                <w:szCs w:val="19"/>
                <w:lang w:val="hr-HR"/>
              </w:rPr>
            </w:pPr>
            <w:r w:rsidRPr="00CD3A2D">
              <w:rPr>
                <w:rFonts w:asciiTheme="minorHAnsi" w:hAnsiTheme="minorHAnsi" w:cstheme="minorHAnsi"/>
                <w:szCs w:val="19"/>
                <w:lang w:val="hr-HR"/>
              </w:rPr>
              <w:t>2.045</w:t>
            </w:r>
          </w:p>
        </w:tc>
        <w:tc>
          <w:tcPr>
            <w:tcW w:w="733"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Arial"/>
                <w:spacing w:val="-2"/>
                <w:szCs w:val="19"/>
                <w:lang w:val="hr-HR"/>
              </w:rPr>
            </w:pPr>
            <w:r w:rsidRPr="00CD3A2D">
              <w:rPr>
                <w:rFonts w:ascii="Calibri" w:hAnsi="Calibri" w:cs="Arial"/>
                <w:szCs w:val="19"/>
                <w:lang w:val="hr-HR"/>
              </w:rPr>
              <w:t>-</w:t>
            </w:r>
          </w:p>
        </w:tc>
        <w:tc>
          <w:tcPr>
            <w:tcW w:w="73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2.045</w:t>
            </w:r>
          </w:p>
        </w:tc>
        <w:tc>
          <w:tcPr>
            <w:tcW w:w="733"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Arial"/>
                <w:spacing w:val="-2"/>
                <w:sz w:val="19"/>
                <w:szCs w:val="19"/>
                <w:lang w:val="hr-HR"/>
              </w:rPr>
            </w:pPr>
            <w:r w:rsidRPr="00CD3A2D">
              <w:rPr>
                <w:rFonts w:ascii="Calibri" w:hAnsi="Calibri" w:cs="Arial"/>
                <w:sz w:val="19"/>
                <w:szCs w:val="19"/>
                <w:lang w:val="hr-HR"/>
              </w:rPr>
              <w:t>-</w:t>
            </w:r>
          </w:p>
        </w:tc>
      </w:tr>
      <w:tr w:rsidR="006977CB" w:rsidRPr="001567C8" w:rsidTr="00AE6945">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 xml:space="preserve">Financijska imovina po fer vrijednosti kroz ostalu sveobuhvatnu dobit*         </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pacing w:val="-2"/>
                <w:szCs w:val="19"/>
                <w:lang w:val="hr-HR"/>
              </w:rPr>
            </w:pPr>
            <w:r w:rsidRPr="00CD3A2D">
              <w:rPr>
                <w:rFonts w:asciiTheme="minorHAnsi" w:hAnsiTheme="minorHAnsi" w:cstheme="minorHAnsi"/>
                <w:szCs w:val="19"/>
                <w:lang w:val="hr-HR"/>
              </w:rPr>
              <w:t>2.803.761</w:t>
            </w:r>
          </w:p>
        </w:tc>
        <w:tc>
          <w:tcPr>
            <w:tcW w:w="733" w:type="pct"/>
            <w:tcBorders>
              <w:top w:val="nil"/>
              <w:left w:val="nil"/>
              <w:bottom w:val="nil"/>
              <w:right w:val="nil"/>
            </w:tcBorders>
            <w:shd w:val="clear" w:color="auto" w:fill="auto"/>
            <w:vAlign w:val="bottom"/>
          </w:tcPr>
          <w:p w:rsidR="006977CB" w:rsidRPr="00CD3A2D" w:rsidRDefault="006977CB" w:rsidP="006977CB">
            <w:pPr>
              <w:pStyle w:val="TT"/>
              <w:jc w:val="right"/>
              <w:rPr>
                <w:rFonts w:ascii="Calibri" w:hAnsi="Calibri" w:cs="Arial"/>
                <w:szCs w:val="19"/>
                <w:lang w:val="hr-HR"/>
              </w:rPr>
            </w:pPr>
            <w:r w:rsidRPr="00CD3A2D">
              <w:rPr>
                <w:rFonts w:ascii="Calibri" w:hAnsi="Calibri" w:cs="Arial"/>
                <w:szCs w:val="19"/>
                <w:lang w:val="hr-HR"/>
              </w:rPr>
              <w:t>n/p</w:t>
            </w:r>
          </w:p>
        </w:tc>
        <w:tc>
          <w:tcPr>
            <w:tcW w:w="73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2.766.363</w:t>
            </w:r>
          </w:p>
        </w:tc>
        <w:tc>
          <w:tcPr>
            <w:tcW w:w="733" w:type="pct"/>
            <w:tcBorders>
              <w:top w:val="nil"/>
              <w:left w:val="nil"/>
              <w:bottom w:val="nil"/>
              <w:right w:val="nil"/>
            </w:tcBorders>
            <w:shd w:val="clear" w:color="auto" w:fill="auto"/>
            <w:vAlign w:val="bottom"/>
          </w:tcPr>
          <w:p w:rsidR="006977CB" w:rsidRPr="00CD3A2D" w:rsidRDefault="006977CB" w:rsidP="006977CB">
            <w:pPr>
              <w:tabs>
                <w:tab w:val="right" w:pos="1202"/>
              </w:tabs>
              <w:spacing w:line="301" w:lineRule="exact"/>
              <w:jc w:val="right"/>
              <w:outlineLvl w:val="0"/>
              <w:rPr>
                <w:rFonts w:ascii="Calibri" w:hAnsi="Calibri" w:cs="Arial"/>
                <w:sz w:val="19"/>
                <w:szCs w:val="19"/>
                <w:lang w:val="hr-HR"/>
              </w:rPr>
            </w:pPr>
            <w:r w:rsidRPr="00CD3A2D">
              <w:rPr>
                <w:rFonts w:ascii="Calibri" w:hAnsi="Calibri" w:cs="Arial"/>
                <w:sz w:val="19"/>
                <w:szCs w:val="19"/>
                <w:lang w:val="hr-HR"/>
              </w:rPr>
              <w:t>n/p</w:t>
            </w:r>
          </w:p>
        </w:tc>
      </w:tr>
      <w:tr w:rsidR="00F533CD" w:rsidRPr="001567C8" w:rsidTr="006977CB">
        <w:tc>
          <w:tcPr>
            <w:tcW w:w="2070" w:type="pct"/>
          </w:tcPr>
          <w:p w:rsidR="00F533CD" w:rsidRPr="001567C8" w:rsidRDefault="00F533CD" w:rsidP="00B20FD3">
            <w:pPr>
              <w:pStyle w:val="TT"/>
              <w:rPr>
                <w:rFonts w:asciiTheme="minorHAnsi" w:hAnsiTheme="minorHAnsi" w:cs="Arial"/>
                <w:sz w:val="20"/>
                <w:lang w:val="hr-HR"/>
              </w:rPr>
            </w:pPr>
            <w:r w:rsidRPr="001567C8">
              <w:rPr>
                <w:rFonts w:asciiTheme="minorHAnsi" w:hAnsiTheme="minorHAnsi" w:cs="Arial"/>
                <w:sz w:val="20"/>
                <w:lang w:val="hr-HR"/>
              </w:rPr>
              <w:t xml:space="preserve">Dužnički </w:t>
            </w:r>
            <w:r w:rsidR="003119F2" w:rsidRPr="001567C8">
              <w:rPr>
                <w:rFonts w:asciiTheme="minorHAnsi" w:hAnsiTheme="minorHAnsi" w:cs="Arial"/>
                <w:sz w:val="20"/>
                <w:lang w:val="hr-HR"/>
              </w:rPr>
              <w:t>vrijednosni</w:t>
            </w:r>
            <w:r w:rsidRPr="001567C8">
              <w:rPr>
                <w:rFonts w:asciiTheme="minorHAnsi" w:hAnsiTheme="minorHAnsi" w:cs="Arial"/>
                <w:sz w:val="20"/>
                <w:lang w:val="hr-HR"/>
              </w:rPr>
              <w:t xml:space="preserve"> papiri po amortiziranom trošku</w:t>
            </w:r>
          </w:p>
        </w:tc>
        <w:tc>
          <w:tcPr>
            <w:tcW w:w="732" w:type="pct"/>
            <w:tcBorders>
              <w:top w:val="nil"/>
              <w:left w:val="nil"/>
              <w:bottom w:val="nil"/>
              <w:right w:val="nil"/>
            </w:tcBorders>
            <w:shd w:val="clear" w:color="auto" w:fill="auto"/>
            <w:vAlign w:val="bottom"/>
          </w:tcPr>
          <w:p w:rsidR="00F533CD" w:rsidRPr="001567C8" w:rsidRDefault="006977CB" w:rsidP="006977CB">
            <w:pPr>
              <w:pStyle w:val="TT"/>
              <w:jc w:val="right"/>
              <w:rPr>
                <w:rFonts w:asciiTheme="minorHAnsi" w:hAnsiTheme="minorHAnsi" w:cstheme="minorHAnsi"/>
                <w:spacing w:val="-2"/>
                <w:szCs w:val="19"/>
                <w:lang w:val="hr-HR"/>
              </w:rPr>
            </w:pPr>
            <w:r w:rsidRPr="001567C8">
              <w:rPr>
                <w:rFonts w:asciiTheme="minorHAnsi" w:hAnsiTheme="minorHAnsi" w:cstheme="minorHAnsi"/>
                <w:spacing w:val="-2"/>
                <w:szCs w:val="19"/>
                <w:lang w:val="hr-HR"/>
              </w:rPr>
              <w:t>1.363</w:t>
            </w:r>
          </w:p>
        </w:tc>
        <w:tc>
          <w:tcPr>
            <w:tcW w:w="733" w:type="pct"/>
            <w:tcBorders>
              <w:top w:val="nil"/>
              <w:left w:val="nil"/>
              <w:bottom w:val="nil"/>
              <w:right w:val="nil"/>
            </w:tcBorders>
            <w:shd w:val="clear" w:color="auto" w:fill="auto"/>
            <w:vAlign w:val="bottom"/>
          </w:tcPr>
          <w:p w:rsidR="00F533CD" w:rsidRPr="00CD3A2D" w:rsidRDefault="00F533CD" w:rsidP="00B20FD3">
            <w:pPr>
              <w:pStyle w:val="TT"/>
              <w:jc w:val="right"/>
              <w:rPr>
                <w:rFonts w:ascii="Calibri" w:hAnsi="Calibri" w:cs="Arial"/>
                <w:szCs w:val="19"/>
                <w:lang w:val="hr-HR"/>
              </w:rPr>
            </w:pPr>
            <w:r w:rsidRPr="00CD3A2D">
              <w:rPr>
                <w:rFonts w:ascii="Calibri" w:hAnsi="Calibri" w:cs="Arial"/>
                <w:szCs w:val="19"/>
                <w:lang w:val="hr-HR"/>
              </w:rPr>
              <w:t>n/p</w:t>
            </w:r>
          </w:p>
        </w:tc>
        <w:tc>
          <w:tcPr>
            <w:tcW w:w="732" w:type="pct"/>
            <w:tcBorders>
              <w:top w:val="nil"/>
              <w:left w:val="nil"/>
              <w:bottom w:val="nil"/>
              <w:right w:val="nil"/>
            </w:tcBorders>
            <w:shd w:val="clear" w:color="auto" w:fill="auto"/>
            <w:vAlign w:val="bottom"/>
          </w:tcPr>
          <w:p w:rsidR="00F533CD" w:rsidRPr="001567C8" w:rsidRDefault="006977CB" w:rsidP="00B20FD3">
            <w:pPr>
              <w:tabs>
                <w:tab w:val="right" w:pos="1202"/>
              </w:tabs>
              <w:spacing w:line="301" w:lineRule="exact"/>
              <w:jc w:val="right"/>
              <w:outlineLvl w:val="0"/>
              <w:rPr>
                <w:rFonts w:asciiTheme="minorHAnsi" w:hAnsiTheme="minorHAnsi" w:cstheme="minorHAnsi"/>
                <w:spacing w:val="-2"/>
                <w:sz w:val="19"/>
                <w:szCs w:val="19"/>
                <w:lang w:val="hr-HR"/>
              </w:rPr>
            </w:pPr>
            <w:r w:rsidRPr="001567C8">
              <w:rPr>
                <w:rFonts w:asciiTheme="minorHAnsi" w:hAnsiTheme="minorHAnsi" w:cstheme="minorHAnsi"/>
                <w:spacing w:val="-2"/>
                <w:sz w:val="19"/>
                <w:szCs w:val="19"/>
                <w:lang w:val="hr-HR"/>
              </w:rPr>
              <w:t>-</w:t>
            </w:r>
          </w:p>
        </w:tc>
        <w:tc>
          <w:tcPr>
            <w:tcW w:w="733" w:type="pct"/>
            <w:tcBorders>
              <w:top w:val="nil"/>
              <w:left w:val="nil"/>
              <w:bottom w:val="nil"/>
              <w:right w:val="nil"/>
            </w:tcBorders>
            <w:shd w:val="clear" w:color="auto" w:fill="auto"/>
            <w:vAlign w:val="bottom"/>
          </w:tcPr>
          <w:p w:rsidR="00F533CD" w:rsidRPr="00CD3A2D" w:rsidRDefault="00F533CD" w:rsidP="00B20FD3">
            <w:pPr>
              <w:tabs>
                <w:tab w:val="right" w:pos="1202"/>
              </w:tabs>
              <w:spacing w:line="301" w:lineRule="exact"/>
              <w:jc w:val="right"/>
              <w:outlineLvl w:val="0"/>
              <w:rPr>
                <w:rFonts w:ascii="Calibri" w:hAnsi="Calibri" w:cs="Arial"/>
                <w:sz w:val="19"/>
                <w:szCs w:val="19"/>
                <w:lang w:val="hr-HR"/>
              </w:rPr>
            </w:pPr>
            <w:r w:rsidRPr="00CD3A2D">
              <w:rPr>
                <w:rFonts w:ascii="Calibri" w:hAnsi="Calibri" w:cs="Arial"/>
                <w:sz w:val="19"/>
                <w:szCs w:val="19"/>
                <w:lang w:val="hr-HR"/>
              </w:rPr>
              <w:t>n/p</w:t>
            </w:r>
          </w:p>
        </w:tc>
      </w:tr>
      <w:tr w:rsidR="006977CB" w:rsidRPr="001567C8" w:rsidTr="006977CB">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Imovina raspoloživa za prodaju</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napToGrid w:val="0"/>
                <w:szCs w:val="19"/>
                <w:lang w:val="hr-HR"/>
              </w:rPr>
            </w:pPr>
            <w:r w:rsidRPr="00CD3A2D">
              <w:rPr>
                <w:rFonts w:asciiTheme="minorHAnsi" w:hAnsiTheme="minorHAnsi" w:cstheme="minorHAnsi"/>
                <w:szCs w:val="19"/>
                <w:lang w:val="hr-HR"/>
              </w:rPr>
              <w:t>n/p</w:t>
            </w:r>
          </w:p>
        </w:tc>
        <w:tc>
          <w:tcPr>
            <w:tcW w:w="733" w:type="pct"/>
            <w:tcBorders>
              <w:top w:val="nil"/>
              <w:left w:val="nil"/>
              <w:bottom w:val="nil"/>
              <w:right w:val="nil"/>
            </w:tcBorders>
            <w:shd w:val="clear" w:color="auto" w:fill="auto"/>
          </w:tcPr>
          <w:p w:rsidR="006977CB" w:rsidRPr="001567C8" w:rsidRDefault="006977CB" w:rsidP="006977CB">
            <w:pPr>
              <w:pStyle w:val="TT"/>
              <w:jc w:val="right"/>
              <w:rPr>
                <w:rFonts w:asciiTheme="minorHAnsi" w:hAnsiTheme="minorHAnsi" w:cs="Arial"/>
                <w:snapToGrid w:val="0"/>
                <w:szCs w:val="19"/>
                <w:lang w:val="hr-HR"/>
              </w:rPr>
            </w:pPr>
            <w:r w:rsidRPr="00CD3A2D">
              <w:rPr>
                <w:rFonts w:ascii="Calibri" w:hAnsi="Calibri" w:cs="Arial"/>
                <w:szCs w:val="19"/>
                <w:lang w:val="hr-HR"/>
              </w:rPr>
              <w:t>2.483.371</w:t>
            </w:r>
          </w:p>
        </w:tc>
        <w:tc>
          <w:tcPr>
            <w:tcW w:w="732"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theme="minorHAnsi"/>
                <w:snapToGrid w:val="0"/>
                <w:sz w:val="19"/>
                <w:szCs w:val="19"/>
                <w:lang w:val="hr-HR"/>
              </w:rPr>
            </w:pPr>
            <w:r w:rsidRPr="001567C8">
              <w:rPr>
                <w:rFonts w:asciiTheme="minorHAnsi" w:hAnsiTheme="minorHAnsi" w:cstheme="minorHAnsi"/>
                <w:snapToGrid w:val="0"/>
                <w:sz w:val="19"/>
                <w:szCs w:val="19"/>
                <w:lang w:val="hr-HR"/>
              </w:rPr>
              <w:t>n/p</w:t>
            </w:r>
          </w:p>
        </w:tc>
        <w:tc>
          <w:tcPr>
            <w:tcW w:w="733" w:type="pct"/>
            <w:tcBorders>
              <w:top w:val="nil"/>
              <w:left w:val="nil"/>
              <w:bottom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Arial"/>
                <w:snapToGrid w:val="0"/>
                <w:sz w:val="19"/>
                <w:szCs w:val="19"/>
                <w:lang w:val="hr-HR"/>
              </w:rPr>
            </w:pPr>
            <w:r w:rsidRPr="00CD3A2D">
              <w:rPr>
                <w:rFonts w:ascii="Calibri" w:hAnsi="Calibri" w:cs="Arial"/>
                <w:sz w:val="19"/>
                <w:szCs w:val="19"/>
                <w:lang w:val="hr-HR"/>
              </w:rPr>
              <w:t>2.443.699</w:t>
            </w:r>
          </w:p>
        </w:tc>
      </w:tr>
      <w:tr w:rsidR="006977CB" w:rsidRPr="001567C8" w:rsidTr="006977CB">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Imovina koja se drži do dospijeća</w:t>
            </w:r>
          </w:p>
        </w:tc>
        <w:tc>
          <w:tcPr>
            <w:tcW w:w="732" w:type="pct"/>
            <w:tcBorders>
              <w:top w:val="nil"/>
              <w:left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napToGrid w:val="0"/>
                <w:szCs w:val="19"/>
                <w:lang w:val="hr-HR"/>
              </w:rPr>
            </w:pPr>
            <w:r w:rsidRPr="00CD3A2D">
              <w:rPr>
                <w:rFonts w:asciiTheme="minorHAnsi" w:hAnsiTheme="minorHAnsi" w:cstheme="minorHAnsi"/>
                <w:szCs w:val="19"/>
                <w:lang w:val="hr-HR"/>
              </w:rPr>
              <w:t>n/p</w:t>
            </w:r>
          </w:p>
        </w:tc>
        <w:tc>
          <w:tcPr>
            <w:tcW w:w="733" w:type="pct"/>
            <w:tcBorders>
              <w:top w:val="nil"/>
              <w:left w:val="nil"/>
              <w:right w:val="nil"/>
            </w:tcBorders>
            <w:shd w:val="clear" w:color="auto" w:fill="auto"/>
          </w:tcPr>
          <w:p w:rsidR="006977CB" w:rsidRPr="001567C8" w:rsidRDefault="006977CB" w:rsidP="006977CB">
            <w:pPr>
              <w:pStyle w:val="TT"/>
              <w:jc w:val="right"/>
              <w:rPr>
                <w:rFonts w:asciiTheme="minorHAnsi" w:hAnsiTheme="minorHAnsi" w:cs="Arial"/>
                <w:snapToGrid w:val="0"/>
                <w:szCs w:val="19"/>
                <w:lang w:val="hr-HR"/>
              </w:rPr>
            </w:pPr>
            <w:r w:rsidRPr="00CD3A2D">
              <w:rPr>
                <w:rFonts w:ascii="Calibri" w:hAnsi="Calibri" w:cs="Arial"/>
                <w:szCs w:val="19"/>
                <w:lang w:val="hr-HR"/>
              </w:rPr>
              <w:t>1.399</w:t>
            </w:r>
          </w:p>
        </w:tc>
        <w:tc>
          <w:tcPr>
            <w:tcW w:w="732" w:type="pct"/>
            <w:tcBorders>
              <w:top w:val="nil"/>
              <w:left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theme="minorHAnsi"/>
                <w:snapToGrid w:val="0"/>
                <w:sz w:val="19"/>
                <w:szCs w:val="19"/>
                <w:lang w:val="hr-HR"/>
              </w:rPr>
            </w:pPr>
            <w:r w:rsidRPr="001567C8">
              <w:rPr>
                <w:rFonts w:asciiTheme="minorHAnsi" w:hAnsiTheme="minorHAnsi" w:cstheme="minorHAnsi"/>
                <w:snapToGrid w:val="0"/>
                <w:sz w:val="19"/>
                <w:szCs w:val="19"/>
                <w:lang w:val="hr-HR"/>
              </w:rPr>
              <w:t>n/p</w:t>
            </w:r>
          </w:p>
        </w:tc>
        <w:tc>
          <w:tcPr>
            <w:tcW w:w="733" w:type="pct"/>
            <w:tcBorders>
              <w:top w:val="nil"/>
              <w:left w:val="nil"/>
              <w:right w:val="nil"/>
            </w:tcBorders>
            <w:shd w:val="clear" w:color="auto" w:fill="auto"/>
          </w:tcPr>
          <w:p w:rsidR="006977CB" w:rsidRPr="001567C8" w:rsidRDefault="006977CB" w:rsidP="006977CB">
            <w:pPr>
              <w:tabs>
                <w:tab w:val="right" w:pos="1202"/>
              </w:tabs>
              <w:spacing w:line="301" w:lineRule="exact"/>
              <w:jc w:val="right"/>
              <w:outlineLvl w:val="0"/>
              <w:rPr>
                <w:rFonts w:asciiTheme="minorHAnsi" w:hAnsiTheme="minorHAnsi" w:cs="Arial"/>
                <w:snapToGrid w:val="0"/>
                <w:sz w:val="19"/>
                <w:szCs w:val="19"/>
                <w:lang w:val="hr-HR"/>
              </w:rPr>
            </w:pPr>
            <w:r w:rsidRPr="00CD3A2D">
              <w:rPr>
                <w:rFonts w:ascii="Calibri" w:hAnsi="Calibri" w:cs="Arial"/>
                <w:sz w:val="19"/>
                <w:szCs w:val="19"/>
                <w:lang w:val="hr-HR"/>
              </w:rPr>
              <w:t>-</w:t>
            </w:r>
          </w:p>
        </w:tc>
      </w:tr>
      <w:tr w:rsidR="00B20FD3" w:rsidRPr="001567C8" w:rsidTr="006977CB">
        <w:tc>
          <w:tcPr>
            <w:tcW w:w="2070" w:type="pct"/>
          </w:tcPr>
          <w:p w:rsidR="00B20FD3" w:rsidRPr="001567C8" w:rsidRDefault="00B20FD3" w:rsidP="00B20FD3">
            <w:pPr>
              <w:pStyle w:val="TT"/>
              <w:rPr>
                <w:rFonts w:asciiTheme="minorHAnsi" w:hAnsiTheme="minorHAnsi" w:cs="Arial"/>
                <w:sz w:val="20"/>
                <w:lang w:val="hr-HR"/>
              </w:rPr>
            </w:pPr>
            <w:r w:rsidRPr="001567C8">
              <w:rPr>
                <w:rFonts w:asciiTheme="minorHAnsi" w:hAnsiTheme="minorHAnsi" w:cs="Arial"/>
                <w:sz w:val="20"/>
                <w:lang w:val="hr-HR"/>
              </w:rPr>
              <w:t>Ostala imovina</w:t>
            </w:r>
          </w:p>
        </w:tc>
        <w:tc>
          <w:tcPr>
            <w:tcW w:w="732" w:type="pct"/>
            <w:tcBorders>
              <w:top w:val="nil"/>
              <w:left w:val="nil"/>
              <w:bottom w:val="single" w:sz="4" w:space="0" w:color="auto"/>
              <w:right w:val="nil"/>
            </w:tcBorders>
            <w:shd w:val="clear" w:color="auto" w:fill="auto"/>
            <w:vAlign w:val="bottom"/>
          </w:tcPr>
          <w:p w:rsidR="00B20FD3" w:rsidRPr="001567C8" w:rsidRDefault="006977CB" w:rsidP="006977CB">
            <w:pPr>
              <w:pStyle w:val="TT"/>
              <w:jc w:val="right"/>
              <w:rPr>
                <w:rFonts w:asciiTheme="minorHAnsi" w:hAnsiTheme="minorHAnsi" w:cstheme="minorHAnsi"/>
                <w:snapToGrid w:val="0"/>
                <w:szCs w:val="19"/>
                <w:lang w:val="hr-HR"/>
              </w:rPr>
            </w:pPr>
            <w:r w:rsidRPr="001567C8">
              <w:rPr>
                <w:rFonts w:asciiTheme="minorHAnsi" w:hAnsiTheme="minorHAnsi" w:cstheme="minorHAnsi"/>
                <w:snapToGrid w:val="0"/>
                <w:szCs w:val="19"/>
                <w:lang w:val="hr-HR"/>
              </w:rPr>
              <w:t>12.722</w:t>
            </w:r>
          </w:p>
        </w:tc>
        <w:tc>
          <w:tcPr>
            <w:tcW w:w="733" w:type="pct"/>
            <w:tcBorders>
              <w:top w:val="nil"/>
              <w:left w:val="nil"/>
              <w:bottom w:val="single" w:sz="4" w:space="0" w:color="auto"/>
              <w:right w:val="nil"/>
            </w:tcBorders>
            <w:shd w:val="clear" w:color="auto" w:fill="auto"/>
          </w:tcPr>
          <w:p w:rsidR="00B20FD3" w:rsidRPr="001567C8" w:rsidRDefault="00B20FD3" w:rsidP="00B20FD3">
            <w:pPr>
              <w:pStyle w:val="TT"/>
              <w:jc w:val="right"/>
              <w:rPr>
                <w:rFonts w:asciiTheme="minorHAnsi" w:hAnsiTheme="minorHAnsi" w:cs="Arial"/>
                <w:snapToGrid w:val="0"/>
                <w:szCs w:val="19"/>
                <w:lang w:val="hr-HR"/>
              </w:rPr>
            </w:pPr>
            <w:r w:rsidRPr="00CD3A2D">
              <w:rPr>
                <w:rFonts w:ascii="Calibri" w:hAnsi="Calibri" w:cs="Arial"/>
                <w:szCs w:val="19"/>
                <w:lang w:val="hr-HR"/>
              </w:rPr>
              <w:t>19.297</w:t>
            </w:r>
          </w:p>
        </w:tc>
        <w:tc>
          <w:tcPr>
            <w:tcW w:w="732" w:type="pct"/>
            <w:tcBorders>
              <w:top w:val="nil"/>
              <w:left w:val="nil"/>
              <w:bottom w:val="single" w:sz="4" w:space="0" w:color="auto"/>
              <w:right w:val="nil"/>
            </w:tcBorders>
            <w:shd w:val="clear" w:color="auto" w:fill="auto"/>
          </w:tcPr>
          <w:p w:rsidR="00B20FD3" w:rsidRPr="001567C8" w:rsidRDefault="006977CB" w:rsidP="00B20FD3">
            <w:pPr>
              <w:tabs>
                <w:tab w:val="right" w:pos="1202"/>
              </w:tabs>
              <w:spacing w:line="301" w:lineRule="exact"/>
              <w:jc w:val="right"/>
              <w:outlineLvl w:val="0"/>
              <w:rPr>
                <w:rFonts w:asciiTheme="minorHAnsi" w:hAnsiTheme="minorHAnsi" w:cstheme="minorHAnsi"/>
                <w:snapToGrid w:val="0"/>
                <w:sz w:val="19"/>
                <w:szCs w:val="19"/>
                <w:lang w:val="hr-HR"/>
              </w:rPr>
            </w:pPr>
            <w:r w:rsidRPr="001567C8">
              <w:rPr>
                <w:rFonts w:asciiTheme="minorHAnsi" w:hAnsiTheme="minorHAnsi" w:cstheme="minorHAnsi"/>
                <w:snapToGrid w:val="0"/>
                <w:sz w:val="19"/>
                <w:szCs w:val="19"/>
                <w:lang w:val="hr-HR"/>
              </w:rPr>
              <w:t>4.182</w:t>
            </w:r>
          </w:p>
        </w:tc>
        <w:tc>
          <w:tcPr>
            <w:tcW w:w="733" w:type="pct"/>
            <w:tcBorders>
              <w:top w:val="nil"/>
              <w:left w:val="nil"/>
              <w:bottom w:val="single" w:sz="4" w:space="0" w:color="auto"/>
              <w:right w:val="nil"/>
            </w:tcBorders>
            <w:shd w:val="clear" w:color="auto" w:fill="auto"/>
          </w:tcPr>
          <w:p w:rsidR="00B20FD3" w:rsidRPr="001567C8" w:rsidRDefault="00B20FD3" w:rsidP="00B20FD3">
            <w:pPr>
              <w:tabs>
                <w:tab w:val="right" w:pos="1202"/>
              </w:tabs>
              <w:spacing w:line="301" w:lineRule="exact"/>
              <w:jc w:val="right"/>
              <w:outlineLvl w:val="0"/>
              <w:rPr>
                <w:rFonts w:asciiTheme="minorHAnsi" w:hAnsiTheme="minorHAnsi" w:cs="Arial"/>
                <w:snapToGrid w:val="0"/>
                <w:sz w:val="19"/>
                <w:szCs w:val="19"/>
                <w:lang w:val="hr-HR"/>
              </w:rPr>
            </w:pPr>
            <w:r w:rsidRPr="00CD3A2D">
              <w:rPr>
                <w:rFonts w:ascii="Calibri" w:hAnsi="Calibri" w:cs="Arial"/>
                <w:sz w:val="19"/>
                <w:szCs w:val="19"/>
                <w:lang w:val="hr-HR"/>
              </w:rPr>
              <w:t>12.282</w:t>
            </w:r>
          </w:p>
        </w:tc>
      </w:tr>
      <w:tr w:rsidR="00B20FD3" w:rsidRPr="001567C8" w:rsidTr="006977CB">
        <w:trPr>
          <w:trHeight w:val="327"/>
        </w:trPr>
        <w:tc>
          <w:tcPr>
            <w:tcW w:w="2070" w:type="pct"/>
            <w:vAlign w:val="bottom"/>
          </w:tcPr>
          <w:p w:rsidR="00B20FD3" w:rsidRPr="001567C8" w:rsidRDefault="00B20FD3" w:rsidP="00B20FD3">
            <w:pPr>
              <w:pStyle w:val="Tot"/>
              <w:rPr>
                <w:rFonts w:asciiTheme="minorHAnsi" w:hAnsiTheme="minorHAnsi" w:cs="Arial"/>
                <w:b/>
                <w:bCs/>
                <w:sz w:val="20"/>
                <w:lang w:val="hr-HR"/>
              </w:rPr>
            </w:pPr>
            <w:r w:rsidRPr="001567C8">
              <w:rPr>
                <w:rFonts w:asciiTheme="minorHAnsi" w:hAnsiTheme="minorHAnsi" w:cs="Arial"/>
                <w:b/>
                <w:bCs/>
                <w:sz w:val="20"/>
                <w:lang w:val="hr-HR"/>
              </w:rPr>
              <w:t>Ukupno</w:t>
            </w:r>
          </w:p>
        </w:tc>
        <w:tc>
          <w:tcPr>
            <w:tcW w:w="732" w:type="pct"/>
            <w:tcBorders>
              <w:top w:val="single" w:sz="4" w:space="0" w:color="auto"/>
              <w:bottom w:val="single" w:sz="12" w:space="0" w:color="auto"/>
            </w:tcBorders>
            <w:vAlign w:val="bottom"/>
          </w:tcPr>
          <w:p w:rsidR="00B20FD3" w:rsidRPr="001567C8" w:rsidRDefault="006977CB" w:rsidP="006977CB">
            <w:pPr>
              <w:pStyle w:val="Tot"/>
              <w:jc w:val="right"/>
              <w:rPr>
                <w:rFonts w:asciiTheme="minorHAnsi" w:hAnsiTheme="minorHAnsi" w:cstheme="minorHAnsi"/>
                <w:b/>
                <w:bCs/>
                <w:szCs w:val="19"/>
                <w:lang w:val="hr-HR"/>
              </w:rPr>
            </w:pPr>
            <w:r w:rsidRPr="001567C8">
              <w:rPr>
                <w:rFonts w:asciiTheme="minorHAnsi" w:hAnsiTheme="minorHAnsi" w:cstheme="minorHAnsi"/>
                <w:b/>
                <w:bCs/>
                <w:szCs w:val="19"/>
                <w:lang w:val="hr-HR"/>
              </w:rPr>
              <w:t>26.771.905</w:t>
            </w:r>
          </w:p>
        </w:tc>
        <w:tc>
          <w:tcPr>
            <w:tcW w:w="733" w:type="pct"/>
            <w:tcBorders>
              <w:top w:val="single" w:sz="4" w:space="0" w:color="auto"/>
              <w:bottom w:val="single" w:sz="12" w:space="0" w:color="auto"/>
            </w:tcBorders>
            <w:vAlign w:val="bottom"/>
          </w:tcPr>
          <w:p w:rsidR="00B20FD3" w:rsidRPr="001567C8" w:rsidRDefault="00B20FD3" w:rsidP="00B20FD3">
            <w:pPr>
              <w:pStyle w:val="Tot"/>
              <w:jc w:val="right"/>
              <w:rPr>
                <w:rFonts w:asciiTheme="minorHAnsi" w:hAnsiTheme="minorHAnsi" w:cs="Arial"/>
                <w:b/>
                <w:bCs/>
                <w:szCs w:val="19"/>
                <w:lang w:val="hr-HR"/>
              </w:rPr>
            </w:pPr>
            <w:r w:rsidRPr="001567C8">
              <w:rPr>
                <w:rFonts w:asciiTheme="minorHAnsi" w:hAnsiTheme="minorHAnsi" w:cs="Arial"/>
                <w:b/>
                <w:bCs/>
                <w:szCs w:val="19"/>
                <w:lang w:val="hr-HR"/>
              </w:rPr>
              <w:t>27.</w:t>
            </w:r>
            <w:r w:rsidR="00F533CD" w:rsidRPr="001567C8">
              <w:rPr>
                <w:rFonts w:asciiTheme="minorHAnsi" w:hAnsiTheme="minorHAnsi" w:cs="Arial"/>
                <w:b/>
                <w:bCs/>
                <w:szCs w:val="19"/>
                <w:lang w:val="hr-HR"/>
              </w:rPr>
              <w:t>156.633</w:t>
            </w:r>
          </w:p>
        </w:tc>
        <w:tc>
          <w:tcPr>
            <w:tcW w:w="732" w:type="pct"/>
            <w:tcBorders>
              <w:top w:val="single" w:sz="4" w:space="0" w:color="auto"/>
              <w:bottom w:val="single" w:sz="12" w:space="0" w:color="auto"/>
            </w:tcBorders>
            <w:vAlign w:val="bottom"/>
          </w:tcPr>
          <w:p w:rsidR="00B20FD3" w:rsidRPr="001567C8" w:rsidRDefault="006977CB" w:rsidP="00B20FD3">
            <w:pPr>
              <w:pStyle w:val="Tot"/>
              <w:jc w:val="right"/>
              <w:rPr>
                <w:rFonts w:asciiTheme="minorHAnsi" w:hAnsiTheme="minorHAnsi" w:cstheme="minorHAnsi"/>
                <w:b/>
                <w:bCs/>
                <w:szCs w:val="19"/>
                <w:lang w:val="hr-HR"/>
              </w:rPr>
            </w:pPr>
            <w:r w:rsidRPr="001567C8">
              <w:rPr>
                <w:rFonts w:asciiTheme="minorHAnsi" w:hAnsiTheme="minorHAnsi" w:cstheme="minorHAnsi"/>
                <w:b/>
                <w:bCs/>
                <w:szCs w:val="19"/>
                <w:lang w:val="hr-HR"/>
              </w:rPr>
              <w:t>26.721.258</w:t>
            </w:r>
          </w:p>
        </w:tc>
        <w:tc>
          <w:tcPr>
            <w:tcW w:w="733" w:type="pct"/>
            <w:tcBorders>
              <w:top w:val="single" w:sz="4" w:space="0" w:color="auto"/>
              <w:bottom w:val="single" w:sz="12" w:space="0" w:color="auto"/>
            </w:tcBorders>
            <w:vAlign w:val="bottom"/>
          </w:tcPr>
          <w:p w:rsidR="00B20FD3" w:rsidRPr="001567C8" w:rsidRDefault="00B20FD3" w:rsidP="00B20FD3">
            <w:pPr>
              <w:pStyle w:val="Tot"/>
              <w:jc w:val="right"/>
              <w:rPr>
                <w:rFonts w:asciiTheme="minorHAnsi" w:hAnsiTheme="minorHAnsi" w:cs="Arial"/>
                <w:b/>
                <w:bCs/>
                <w:szCs w:val="19"/>
                <w:lang w:val="hr-HR"/>
              </w:rPr>
            </w:pPr>
            <w:r w:rsidRPr="001567C8">
              <w:rPr>
                <w:rFonts w:asciiTheme="minorHAnsi" w:hAnsiTheme="minorHAnsi" w:cs="Arial"/>
                <w:b/>
                <w:bCs/>
                <w:szCs w:val="19"/>
                <w:lang w:val="hr-HR"/>
              </w:rPr>
              <w:t>27.</w:t>
            </w:r>
            <w:r w:rsidR="00F533CD" w:rsidRPr="001567C8">
              <w:rPr>
                <w:rFonts w:asciiTheme="minorHAnsi" w:hAnsiTheme="minorHAnsi" w:cs="Arial"/>
                <w:b/>
                <w:bCs/>
                <w:szCs w:val="19"/>
                <w:lang w:val="hr-HR"/>
              </w:rPr>
              <w:t>106.013</w:t>
            </w:r>
          </w:p>
        </w:tc>
      </w:tr>
      <w:tr w:rsidR="00B20FD3" w:rsidRPr="001567C8" w:rsidTr="006977CB">
        <w:tc>
          <w:tcPr>
            <w:tcW w:w="2070" w:type="pct"/>
          </w:tcPr>
          <w:p w:rsidR="00B20FD3" w:rsidRPr="001567C8" w:rsidRDefault="00B20FD3" w:rsidP="00B20FD3">
            <w:pPr>
              <w:pStyle w:val="TT"/>
              <w:rPr>
                <w:rFonts w:asciiTheme="minorHAnsi" w:hAnsiTheme="minorHAnsi" w:cs="Arial"/>
                <w:b/>
                <w:bCs/>
                <w:sz w:val="20"/>
                <w:lang w:val="hr-HR"/>
              </w:rPr>
            </w:pPr>
            <w:r w:rsidRPr="001567C8">
              <w:rPr>
                <w:rFonts w:asciiTheme="minorHAnsi" w:hAnsiTheme="minorHAnsi" w:cs="Arial"/>
                <w:b/>
                <w:bCs/>
                <w:sz w:val="20"/>
                <w:lang w:val="hr-HR"/>
              </w:rPr>
              <w:t>Garancije i preuzete obveze</w:t>
            </w:r>
          </w:p>
        </w:tc>
        <w:tc>
          <w:tcPr>
            <w:tcW w:w="732" w:type="pct"/>
            <w:tcBorders>
              <w:top w:val="single" w:sz="12" w:space="0" w:color="auto"/>
            </w:tcBorders>
            <w:vAlign w:val="bottom"/>
          </w:tcPr>
          <w:p w:rsidR="00B20FD3" w:rsidRPr="001567C8" w:rsidRDefault="00B20FD3" w:rsidP="006977CB">
            <w:pPr>
              <w:pStyle w:val="TT"/>
              <w:jc w:val="right"/>
              <w:rPr>
                <w:rFonts w:asciiTheme="minorHAnsi" w:hAnsiTheme="minorHAnsi" w:cstheme="minorHAnsi"/>
                <w:b/>
                <w:bCs/>
                <w:szCs w:val="19"/>
                <w:lang w:val="hr-HR"/>
              </w:rPr>
            </w:pPr>
          </w:p>
        </w:tc>
        <w:tc>
          <w:tcPr>
            <w:tcW w:w="733" w:type="pct"/>
            <w:tcBorders>
              <w:top w:val="single" w:sz="12" w:space="0" w:color="auto"/>
            </w:tcBorders>
            <w:vAlign w:val="bottom"/>
          </w:tcPr>
          <w:p w:rsidR="00B20FD3" w:rsidRPr="001567C8" w:rsidRDefault="00B20FD3" w:rsidP="00B20FD3">
            <w:pPr>
              <w:pStyle w:val="TT"/>
              <w:jc w:val="right"/>
              <w:rPr>
                <w:rFonts w:asciiTheme="minorHAnsi" w:hAnsiTheme="minorHAnsi" w:cs="Arial"/>
                <w:b/>
                <w:bCs/>
                <w:szCs w:val="19"/>
                <w:lang w:val="hr-HR"/>
              </w:rPr>
            </w:pPr>
          </w:p>
        </w:tc>
        <w:tc>
          <w:tcPr>
            <w:tcW w:w="732" w:type="pct"/>
            <w:tcBorders>
              <w:top w:val="single" w:sz="12" w:space="0" w:color="auto"/>
            </w:tcBorders>
            <w:vAlign w:val="bottom"/>
          </w:tcPr>
          <w:p w:rsidR="00B20FD3" w:rsidRPr="001567C8" w:rsidRDefault="00B20FD3" w:rsidP="00B20FD3">
            <w:pPr>
              <w:pStyle w:val="TT"/>
              <w:jc w:val="right"/>
              <w:rPr>
                <w:rFonts w:asciiTheme="minorHAnsi" w:hAnsiTheme="minorHAnsi" w:cstheme="minorHAnsi"/>
                <w:b/>
                <w:bCs/>
                <w:szCs w:val="19"/>
                <w:lang w:val="hr-HR"/>
              </w:rPr>
            </w:pPr>
          </w:p>
        </w:tc>
        <w:tc>
          <w:tcPr>
            <w:tcW w:w="733" w:type="pct"/>
            <w:tcBorders>
              <w:top w:val="single" w:sz="12" w:space="0" w:color="auto"/>
            </w:tcBorders>
            <w:vAlign w:val="bottom"/>
          </w:tcPr>
          <w:p w:rsidR="00B20FD3" w:rsidRPr="001567C8" w:rsidRDefault="00B20FD3" w:rsidP="00B20FD3">
            <w:pPr>
              <w:pStyle w:val="TT"/>
              <w:jc w:val="right"/>
              <w:rPr>
                <w:rFonts w:asciiTheme="minorHAnsi" w:hAnsiTheme="minorHAnsi" w:cs="Arial"/>
                <w:b/>
                <w:bCs/>
                <w:szCs w:val="19"/>
                <w:lang w:val="hr-HR"/>
              </w:rPr>
            </w:pPr>
          </w:p>
        </w:tc>
      </w:tr>
      <w:tr w:rsidR="006977CB" w:rsidRPr="001567C8" w:rsidTr="00AE6945">
        <w:tc>
          <w:tcPr>
            <w:tcW w:w="2070" w:type="pct"/>
          </w:tcPr>
          <w:p w:rsidR="006977CB" w:rsidRPr="001567C8" w:rsidRDefault="006977CB" w:rsidP="006977CB">
            <w:pPr>
              <w:pStyle w:val="TT"/>
              <w:rPr>
                <w:rFonts w:asciiTheme="minorHAnsi" w:hAnsiTheme="minorHAnsi" w:cs="Arial"/>
                <w:b/>
                <w:bCs/>
                <w:sz w:val="20"/>
                <w:lang w:val="hr-HR"/>
              </w:rPr>
            </w:pPr>
            <w:r w:rsidRPr="001567C8">
              <w:rPr>
                <w:rFonts w:asciiTheme="minorHAnsi" w:hAnsiTheme="minorHAnsi" w:cs="Arial"/>
                <w:sz w:val="20"/>
                <w:lang w:val="hr-HR"/>
              </w:rPr>
              <w:t>Izdane garancije u kunama</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bCs/>
                <w:szCs w:val="19"/>
                <w:lang w:val="hr-HR"/>
              </w:rPr>
            </w:pPr>
            <w:r w:rsidRPr="00CD3A2D">
              <w:rPr>
                <w:rFonts w:asciiTheme="minorHAnsi" w:hAnsiTheme="minorHAnsi" w:cstheme="minorHAnsi"/>
                <w:szCs w:val="19"/>
                <w:lang w:val="hr-HR"/>
              </w:rPr>
              <w:t>33.576</w:t>
            </w:r>
          </w:p>
        </w:tc>
        <w:tc>
          <w:tcPr>
            <w:tcW w:w="733" w:type="pct"/>
            <w:tcBorders>
              <w:top w:val="nil"/>
              <w:left w:val="nil"/>
              <w:bottom w:val="nil"/>
              <w:right w:val="nil"/>
            </w:tcBorders>
            <w:shd w:val="clear" w:color="auto" w:fill="auto"/>
            <w:vAlign w:val="center"/>
          </w:tcPr>
          <w:p w:rsidR="006977CB" w:rsidRPr="001567C8" w:rsidRDefault="006977CB" w:rsidP="006977CB">
            <w:pPr>
              <w:pStyle w:val="TT"/>
              <w:jc w:val="right"/>
              <w:rPr>
                <w:rFonts w:asciiTheme="minorHAnsi" w:hAnsiTheme="minorHAnsi" w:cs="Arial"/>
                <w:bCs/>
                <w:szCs w:val="19"/>
                <w:lang w:val="hr-HR"/>
              </w:rPr>
            </w:pPr>
            <w:r w:rsidRPr="00CD3A2D">
              <w:rPr>
                <w:rFonts w:ascii="Calibri" w:hAnsi="Calibri" w:cs="Arial"/>
                <w:lang w:val="hr-HR"/>
              </w:rPr>
              <w:t>33.993</w:t>
            </w:r>
          </w:p>
        </w:tc>
        <w:tc>
          <w:tcPr>
            <w:tcW w:w="732" w:type="pct"/>
            <w:tcBorders>
              <w:top w:val="nil"/>
              <w:left w:val="nil"/>
              <w:bottom w:val="nil"/>
              <w:right w:val="nil"/>
            </w:tcBorders>
            <w:shd w:val="clear" w:color="auto" w:fill="auto"/>
            <w:vAlign w:val="center"/>
          </w:tcPr>
          <w:p w:rsidR="006977CB" w:rsidRPr="001567C8" w:rsidRDefault="006977CB" w:rsidP="006977CB">
            <w:pPr>
              <w:pStyle w:val="TT"/>
              <w:jc w:val="right"/>
              <w:rPr>
                <w:rFonts w:asciiTheme="minorHAnsi" w:hAnsiTheme="minorHAnsi" w:cstheme="minorHAnsi"/>
                <w:bCs/>
                <w:szCs w:val="19"/>
                <w:lang w:val="hr-HR"/>
              </w:rPr>
            </w:pPr>
            <w:r w:rsidRPr="001567C8">
              <w:rPr>
                <w:rFonts w:asciiTheme="minorHAnsi" w:hAnsiTheme="minorHAnsi" w:cstheme="minorHAnsi"/>
                <w:bCs/>
                <w:szCs w:val="19"/>
                <w:lang w:val="hr-HR"/>
              </w:rPr>
              <w:t>33.576</w:t>
            </w:r>
          </w:p>
        </w:tc>
        <w:tc>
          <w:tcPr>
            <w:tcW w:w="733" w:type="pct"/>
            <w:tcBorders>
              <w:top w:val="nil"/>
              <w:left w:val="nil"/>
              <w:bottom w:val="nil"/>
              <w:right w:val="nil"/>
            </w:tcBorders>
            <w:shd w:val="clear" w:color="auto" w:fill="auto"/>
            <w:vAlign w:val="center"/>
          </w:tcPr>
          <w:p w:rsidR="006977CB" w:rsidRPr="001567C8" w:rsidRDefault="006977CB" w:rsidP="006977CB">
            <w:pPr>
              <w:pStyle w:val="TT"/>
              <w:jc w:val="right"/>
              <w:rPr>
                <w:rFonts w:asciiTheme="minorHAnsi" w:hAnsiTheme="minorHAnsi" w:cs="Arial"/>
                <w:bCs/>
                <w:szCs w:val="19"/>
                <w:lang w:val="hr-HR"/>
              </w:rPr>
            </w:pPr>
            <w:r w:rsidRPr="00CD3A2D">
              <w:rPr>
                <w:rFonts w:ascii="Calibri" w:hAnsi="Calibri" w:cs="Arial"/>
                <w:lang w:val="hr-HR"/>
              </w:rPr>
              <w:t>33.993</w:t>
            </w:r>
          </w:p>
        </w:tc>
      </w:tr>
      <w:tr w:rsidR="006977CB" w:rsidRPr="001567C8" w:rsidTr="00AE6945">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Izdane garancije u devizama</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zCs w:val="19"/>
                <w:lang w:val="hr-HR"/>
              </w:rPr>
            </w:pPr>
            <w:r w:rsidRPr="00CD3A2D">
              <w:rPr>
                <w:rFonts w:asciiTheme="minorHAnsi" w:hAnsiTheme="minorHAnsi" w:cstheme="minorHAnsi"/>
                <w:szCs w:val="19"/>
                <w:lang w:val="hr-HR"/>
              </w:rPr>
              <w:t>1.822.396</w:t>
            </w:r>
          </w:p>
        </w:tc>
        <w:tc>
          <w:tcPr>
            <w:tcW w:w="733" w:type="pct"/>
            <w:tcBorders>
              <w:top w:val="nil"/>
              <w:left w:val="nil"/>
              <w:bottom w:val="nil"/>
              <w:right w:val="nil"/>
            </w:tcBorders>
            <w:shd w:val="clear" w:color="auto" w:fill="auto"/>
            <w:vAlign w:val="center"/>
          </w:tcPr>
          <w:p w:rsidR="006977CB" w:rsidRPr="001567C8" w:rsidRDefault="006977CB" w:rsidP="006977CB">
            <w:pPr>
              <w:pStyle w:val="TT"/>
              <w:jc w:val="right"/>
              <w:rPr>
                <w:rFonts w:asciiTheme="minorHAnsi" w:hAnsiTheme="minorHAnsi" w:cs="Arial"/>
                <w:szCs w:val="19"/>
                <w:lang w:val="hr-HR"/>
              </w:rPr>
            </w:pPr>
            <w:r w:rsidRPr="00CD3A2D">
              <w:rPr>
                <w:rFonts w:ascii="Calibri" w:hAnsi="Calibri" w:cs="Arial"/>
                <w:lang w:val="hr-HR"/>
              </w:rPr>
              <w:t>2.446.324</w:t>
            </w:r>
          </w:p>
        </w:tc>
        <w:tc>
          <w:tcPr>
            <w:tcW w:w="732" w:type="pct"/>
            <w:tcBorders>
              <w:top w:val="nil"/>
              <w:left w:val="nil"/>
              <w:bottom w:val="nil"/>
              <w:right w:val="nil"/>
            </w:tcBorders>
            <w:shd w:val="clear" w:color="auto" w:fill="auto"/>
          </w:tcPr>
          <w:p w:rsidR="006977CB" w:rsidRPr="001567C8" w:rsidRDefault="006977CB" w:rsidP="006977CB">
            <w:pPr>
              <w:pStyle w:val="TT"/>
              <w:jc w:val="right"/>
              <w:rPr>
                <w:rFonts w:asciiTheme="minorHAnsi" w:hAnsiTheme="minorHAnsi" w:cstheme="minorHAnsi"/>
                <w:szCs w:val="19"/>
                <w:lang w:val="hr-HR"/>
              </w:rPr>
            </w:pPr>
            <w:r w:rsidRPr="00CD3A2D">
              <w:rPr>
                <w:rFonts w:asciiTheme="minorHAnsi" w:hAnsiTheme="minorHAnsi" w:cstheme="minorHAnsi"/>
                <w:szCs w:val="19"/>
                <w:lang w:val="hr-HR"/>
              </w:rPr>
              <w:t>1.822.396</w:t>
            </w:r>
          </w:p>
        </w:tc>
        <w:tc>
          <w:tcPr>
            <w:tcW w:w="733" w:type="pct"/>
            <w:tcBorders>
              <w:top w:val="nil"/>
              <w:left w:val="nil"/>
              <w:bottom w:val="nil"/>
              <w:right w:val="nil"/>
            </w:tcBorders>
            <w:shd w:val="clear" w:color="auto" w:fill="auto"/>
            <w:vAlign w:val="center"/>
          </w:tcPr>
          <w:p w:rsidR="006977CB" w:rsidRPr="001567C8" w:rsidRDefault="006977CB" w:rsidP="006977CB">
            <w:pPr>
              <w:pStyle w:val="TT"/>
              <w:jc w:val="right"/>
              <w:rPr>
                <w:rFonts w:asciiTheme="minorHAnsi" w:hAnsiTheme="minorHAnsi" w:cs="Arial"/>
                <w:szCs w:val="19"/>
                <w:lang w:val="hr-HR"/>
              </w:rPr>
            </w:pPr>
            <w:r w:rsidRPr="00CD3A2D">
              <w:rPr>
                <w:rFonts w:ascii="Calibri" w:hAnsi="Calibri" w:cs="Arial"/>
                <w:lang w:val="hr-HR"/>
              </w:rPr>
              <w:t>2.446.324</w:t>
            </w:r>
          </w:p>
        </w:tc>
      </w:tr>
      <w:tr w:rsidR="006977CB" w:rsidRPr="001567C8" w:rsidTr="00AE6945">
        <w:tc>
          <w:tcPr>
            <w:tcW w:w="2070" w:type="pct"/>
          </w:tcPr>
          <w:p w:rsidR="006977CB" w:rsidRPr="001567C8" w:rsidRDefault="006977CB" w:rsidP="006977CB">
            <w:pPr>
              <w:pStyle w:val="TT"/>
              <w:rPr>
                <w:rFonts w:asciiTheme="minorHAnsi" w:hAnsiTheme="minorHAnsi" w:cs="Arial"/>
                <w:sz w:val="20"/>
                <w:lang w:val="hr-HR"/>
              </w:rPr>
            </w:pPr>
            <w:r w:rsidRPr="001567C8">
              <w:rPr>
                <w:rFonts w:asciiTheme="minorHAnsi" w:hAnsiTheme="minorHAnsi" w:cs="Arial"/>
                <w:sz w:val="20"/>
                <w:lang w:val="hr-HR"/>
              </w:rPr>
              <w:t>Preuzete obveze po kreditima</w:t>
            </w:r>
          </w:p>
        </w:tc>
        <w:tc>
          <w:tcPr>
            <w:tcW w:w="732"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theme="minorHAnsi"/>
                <w:szCs w:val="19"/>
                <w:lang w:val="hr-HR"/>
              </w:rPr>
            </w:pPr>
            <w:r w:rsidRPr="00CD3A2D">
              <w:rPr>
                <w:rFonts w:asciiTheme="minorHAnsi" w:hAnsiTheme="minorHAnsi" w:cstheme="minorHAnsi"/>
                <w:szCs w:val="19"/>
                <w:lang w:val="hr-HR"/>
              </w:rPr>
              <w:t>3.291.032</w:t>
            </w:r>
          </w:p>
        </w:tc>
        <w:tc>
          <w:tcPr>
            <w:tcW w:w="733"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Arial"/>
                <w:szCs w:val="19"/>
                <w:lang w:val="hr-HR"/>
              </w:rPr>
            </w:pPr>
            <w:r w:rsidRPr="001567C8">
              <w:rPr>
                <w:rFonts w:asciiTheme="minorHAnsi" w:hAnsiTheme="minorHAnsi" w:cs="Arial"/>
                <w:szCs w:val="19"/>
                <w:lang w:val="hr-HR"/>
              </w:rPr>
              <w:t>2.986.798</w:t>
            </w:r>
          </w:p>
        </w:tc>
        <w:tc>
          <w:tcPr>
            <w:tcW w:w="732" w:type="pct"/>
            <w:tcBorders>
              <w:top w:val="nil"/>
              <w:left w:val="nil"/>
              <w:bottom w:val="nil"/>
              <w:right w:val="nil"/>
            </w:tcBorders>
            <w:shd w:val="clear" w:color="auto" w:fill="auto"/>
          </w:tcPr>
          <w:p w:rsidR="006977CB" w:rsidRPr="001567C8" w:rsidRDefault="006977CB" w:rsidP="006977CB">
            <w:pPr>
              <w:pStyle w:val="TT"/>
              <w:jc w:val="right"/>
              <w:rPr>
                <w:rFonts w:asciiTheme="minorHAnsi" w:hAnsiTheme="minorHAnsi" w:cstheme="minorHAnsi"/>
                <w:szCs w:val="19"/>
                <w:lang w:val="hr-HR"/>
              </w:rPr>
            </w:pPr>
            <w:r w:rsidRPr="00CD3A2D">
              <w:rPr>
                <w:rFonts w:asciiTheme="minorHAnsi" w:hAnsiTheme="minorHAnsi" w:cstheme="minorHAnsi"/>
                <w:szCs w:val="19"/>
                <w:lang w:val="hr-HR"/>
              </w:rPr>
              <w:t>3.291.032</w:t>
            </w:r>
          </w:p>
        </w:tc>
        <w:tc>
          <w:tcPr>
            <w:tcW w:w="733" w:type="pct"/>
            <w:tcBorders>
              <w:top w:val="nil"/>
              <w:left w:val="nil"/>
              <w:bottom w:val="nil"/>
              <w:right w:val="nil"/>
            </w:tcBorders>
            <w:shd w:val="clear" w:color="auto" w:fill="auto"/>
            <w:vAlign w:val="bottom"/>
          </w:tcPr>
          <w:p w:rsidR="006977CB" w:rsidRPr="001567C8" w:rsidRDefault="006977CB" w:rsidP="006977CB">
            <w:pPr>
              <w:pStyle w:val="TT"/>
              <w:jc w:val="right"/>
              <w:rPr>
                <w:rFonts w:asciiTheme="minorHAnsi" w:hAnsiTheme="minorHAnsi" w:cs="Arial"/>
                <w:szCs w:val="19"/>
                <w:lang w:val="hr-HR"/>
              </w:rPr>
            </w:pPr>
            <w:r w:rsidRPr="001567C8">
              <w:rPr>
                <w:rFonts w:asciiTheme="minorHAnsi" w:hAnsiTheme="minorHAnsi" w:cs="Arial"/>
                <w:szCs w:val="19"/>
                <w:lang w:val="hr-HR"/>
              </w:rPr>
              <w:t>2.986.798</w:t>
            </w:r>
          </w:p>
        </w:tc>
      </w:tr>
      <w:tr w:rsidR="00B20FD3" w:rsidRPr="001567C8" w:rsidTr="006977CB">
        <w:tc>
          <w:tcPr>
            <w:tcW w:w="2070" w:type="pct"/>
          </w:tcPr>
          <w:p w:rsidR="00B20FD3" w:rsidRPr="001567C8" w:rsidRDefault="00B20FD3" w:rsidP="00B20FD3">
            <w:pPr>
              <w:pStyle w:val="TT"/>
              <w:rPr>
                <w:rFonts w:asciiTheme="minorHAnsi" w:hAnsiTheme="minorHAnsi" w:cs="Arial"/>
                <w:sz w:val="20"/>
                <w:lang w:val="hr-HR"/>
              </w:rPr>
            </w:pPr>
            <w:r w:rsidRPr="001567C8">
              <w:rPr>
                <w:rFonts w:asciiTheme="minorHAnsi" w:hAnsiTheme="minorHAnsi" w:cs="Arial"/>
                <w:sz w:val="20"/>
                <w:lang w:val="hr-HR"/>
              </w:rPr>
              <w:t>Ostale nespomenute neopozive potencijalne obveze</w:t>
            </w:r>
          </w:p>
        </w:tc>
        <w:tc>
          <w:tcPr>
            <w:tcW w:w="732" w:type="pct"/>
            <w:tcBorders>
              <w:top w:val="nil"/>
              <w:left w:val="nil"/>
              <w:bottom w:val="single" w:sz="4" w:space="0" w:color="auto"/>
              <w:right w:val="nil"/>
            </w:tcBorders>
            <w:shd w:val="clear" w:color="auto" w:fill="auto"/>
            <w:vAlign w:val="bottom"/>
          </w:tcPr>
          <w:p w:rsidR="00B20FD3" w:rsidRPr="001567C8" w:rsidRDefault="006977CB" w:rsidP="006977CB">
            <w:pPr>
              <w:pStyle w:val="TT"/>
              <w:jc w:val="right"/>
              <w:rPr>
                <w:rFonts w:asciiTheme="minorHAnsi" w:hAnsiTheme="minorHAnsi" w:cstheme="minorHAnsi"/>
                <w:szCs w:val="19"/>
                <w:lang w:val="hr-HR"/>
              </w:rPr>
            </w:pPr>
            <w:r w:rsidRPr="001567C8">
              <w:rPr>
                <w:rFonts w:asciiTheme="minorHAnsi" w:hAnsiTheme="minorHAnsi" w:cstheme="minorHAnsi"/>
                <w:szCs w:val="19"/>
                <w:lang w:val="hr-HR"/>
              </w:rPr>
              <w:t>93</w:t>
            </w:r>
          </w:p>
        </w:tc>
        <w:tc>
          <w:tcPr>
            <w:tcW w:w="733" w:type="pct"/>
            <w:tcBorders>
              <w:top w:val="nil"/>
              <w:left w:val="nil"/>
              <w:bottom w:val="single" w:sz="4" w:space="0" w:color="auto"/>
              <w:right w:val="nil"/>
            </w:tcBorders>
            <w:shd w:val="clear" w:color="auto" w:fill="auto"/>
            <w:vAlign w:val="bottom"/>
          </w:tcPr>
          <w:p w:rsidR="00B20FD3" w:rsidRPr="001567C8" w:rsidRDefault="00B20FD3" w:rsidP="00B20FD3">
            <w:pPr>
              <w:pStyle w:val="TT"/>
              <w:jc w:val="right"/>
              <w:rPr>
                <w:rFonts w:asciiTheme="minorHAnsi" w:hAnsiTheme="minorHAnsi" w:cs="Arial"/>
                <w:szCs w:val="19"/>
                <w:lang w:val="hr-HR"/>
              </w:rPr>
            </w:pPr>
            <w:r w:rsidRPr="001567C8">
              <w:rPr>
                <w:rFonts w:asciiTheme="minorHAnsi" w:hAnsiTheme="minorHAnsi" w:cs="Arial"/>
                <w:szCs w:val="19"/>
                <w:lang w:val="hr-HR"/>
              </w:rPr>
              <w:t>335</w:t>
            </w:r>
          </w:p>
        </w:tc>
        <w:tc>
          <w:tcPr>
            <w:tcW w:w="732" w:type="pct"/>
            <w:tcBorders>
              <w:top w:val="nil"/>
              <w:left w:val="nil"/>
              <w:bottom w:val="single" w:sz="4" w:space="0" w:color="auto"/>
              <w:right w:val="nil"/>
            </w:tcBorders>
            <w:shd w:val="clear" w:color="auto" w:fill="auto"/>
            <w:vAlign w:val="bottom"/>
          </w:tcPr>
          <w:p w:rsidR="00B20FD3" w:rsidRPr="001567C8" w:rsidRDefault="006977CB" w:rsidP="00B20FD3">
            <w:pPr>
              <w:pStyle w:val="TT"/>
              <w:jc w:val="right"/>
              <w:rPr>
                <w:rFonts w:asciiTheme="minorHAnsi" w:hAnsiTheme="minorHAnsi" w:cstheme="minorHAnsi"/>
                <w:szCs w:val="19"/>
                <w:lang w:val="hr-HR"/>
              </w:rPr>
            </w:pPr>
            <w:r w:rsidRPr="001567C8">
              <w:rPr>
                <w:rFonts w:asciiTheme="minorHAnsi" w:hAnsiTheme="minorHAnsi" w:cstheme="minorHAnsi"/>
                <w:szCs w:val="19"/>
                <w:lang w:val="hr-HR"/>
              </w:rPr>
              <w:t>93</w:t>
            </w:r>
          </w:p>
        </w:tc>
        <w:tc>
          <w:tcPr>
            <w:tcW w:w="733" w:type="pct"/>
            <w:tcBorders>
              <w:top w:val="nil"/>
              <w:left w:val="nil"/>
              <w:bottom w:val="single" w:sz="4" w:space="0" w:color="auto"/>
              <w:right w:val="nil"/>
            </w:tcBorders>
            <w:shd w:val="clear" w:color="auto" w:fill="auto"/>
            <w:vAlign w:val="bottom"/>
          </w:tcPr>
          <w:p w:rsidR="00B20FD3" w:rsidRPr="001567C8" w:rsidRDefault="00B20FD3" w:rsidP="00B20FD3">
            <w:pPr>
              <w:pStyle w:val="TT"/>
              <w:jc w:val="right"/>
              <w:rPr>
                <w:rFonts w:asciiTheme="minorHAnsi" w:hAnsiTheme="minorHAnsi" w:cs="Arial"/>
                <w:szCs w:val="19"/>
                <w:lang w:val="hr-HR"/>
              </w:rPr>
            </w:pPr>
            <w:r w:rsidRPr="001567C8">
              <w:rPr>
                <w:rFonts w:asciiTheme="minorHAnsi" w:hAnsiTheme="minorHAnsi" w:cs="Arial"/>
                <w:szCs w:val="19"/>
                <w:lang w:val="hr-HR"/>
              </w:rPr>
              <w:t>335</w:t>
            </w:r>
          </w:p>
        </w:tc>
      </w:tr>
      <w:tr w:rsidR="00B20FD3" w:rsidRPr="001567C8" w:rsidTr="006977CB">
        <w:tc>
          <w:tcPr>
            <w:tcW w:w="2070" w:type="pct"/>
          </w:tcPr>
          <w:p w:rsidR="00B20FD3" w:rsidRPr="001567C8" w:rsidRDefault="00B20FD3" w:rsidP="00B20FD3">
            <w:pPr>
              <w:pStyle w:val="Tot"/>
              <w:rPr>
                <w:rFonts w:asciiTheme="minorHAnsi" w:hAnsiTheme="minorHAnsi" w:cs="Arial"/>
                <w:b/>
                <w:bCs/>
                <w:sz w:val="20"/>
                <w:lang w:val="hr-HR"/>
              </w:rPr>
            </w:pPr>
            <w:r w:rsidRPr="001567C8">
              <w:rPr>
                <w:rFonts w:asciiTheme="minorHAnsi" w:hAnsiTheme="minorHAnsi" w:cs="Arial"/>
                <w:b/>
                <w:bCs/>
                <w:sz w:val="20"/>
                <w:lang w:val="hr-HR"/>
              </w:rPr>
              <w:t>Ukupno</w:t>
            </w:r>
          </w:p>
        </w:tc>
        <w:tc>
          <w:tcPr>
            <w:tcW w:w="732" w:type="pct"/>
            <w:tcBorders>
              <w:top w:val="single" w:sz="4" w:space="0" w:color="auto"/>
              <w:bottom w:val="single" w:sz="12" w:space="0" w:color="auto"/>
            </w:tcBorders>
            <w:vAlign w:val="bottom"/>
          </w:tcPr>
          <w:p w:rsidR="00B20FD3" w:rsidRPr="001567C8" w:rsidRDefault="006977CB" w:rsidP="006977CB">
            <w:pPr>
              <w:pStyle w:val="Tot"/>
              <w:jc w:val="right"/>
              <w:rPr>
                <w:rFonts w:asciiTheme="minorHAnsi" w:hAnsiTheme="minorHAnsi" w:cstheme="minorHAnsi"/>
                <w:b/>
                <w:bCs/>
                <w:szCs w:val="19"/>
                <w:lang w:val="hr-HR"/>
              </w:rPr>
            </w:pPr>
            <w:r w:rsidRPr="001567C8">
              <w:rPr>
                <w:rFonts w:asciiTheme="minorHAnsi" w:hAnsiTheme="minorHAnsi" w:cstheme="minorHAnsi"/>
                <w:b/>
                <w:bCs/>
                <w:szCs w:val="19"/>
                <w:lang w:val="hr-HR"/>
              </w:rPr>
              <w:t>5.147.097</w:t>
            </w:r>
          </w:p>
        </w:tc>
        <w:tc>
          <w:tcPr>
            <w:tcW w:w="733" w:type="pct"/>
            <w:tcBorders>
              <w:top w:val="single" w:sz="4" w:space="0" w:color="auto"/>
              <w:bottom w:val="single" w:sz="12" w:space="0" w:color="auto"/>
            </w:tcBorders>
            <w:vAlign w:val="bottom"/>
          </w:tcPr>
          <w:p w:rsidR="00B20FD3" w:rsidRPr="001567C8" w:rsidRDefault="00B20FD3" w:rsidP="00B20FD3">
            <w:pPr>
              <w:pStyle w:val="Tot"/>
              <w:jc w:val="right"/>
              <w:rPr>
                <w:rFonts w:asciiTheme="minorHAnsi" w:hAnsiTheme="minorHAnsi" w:cs="Arial"/>
                <w:b/>
                <w:bCs/>
                <w:szCs w:val="19"/>
                <w:lang w:val="hr-HR"/>
              </w:rPr>
            </w:pPr>
            <w:r w:rsidRPr="001567C8">
              <w:rPr>
                <w:rFonts w:asciiTheme="minorHAnsi" w:hAnsiTheme="minorHAnsi" w:cs="Arial"/>
                <w:b/>
                <w:bCs/>
                <w:szCs w:val="19"/>
                <w:lang w:val="hr-HR"/>
              </w:rPr>
              <w:t>5.467.450</w:t>
            </w:r>
          </w:p>
        </w:tc>
        <w:tc>
          <w:tcPr>
            <w:tcW w:w="732" w:type="pct"/>
            <w:tcBorders>
              <w:top w:val="single" w:sz="4" w:space="0" w:color="auto"/>
              <w:bottom w:val="single" w:sz="12" w:space="0" w:color="auto"/>
            </w:tcBorders>
            <w:vAlign w:val="bottom"/>
          </w:tcPr>
          <w:p w:rsidR="00B20FD3" w:rsidRPr="001567C8" w:rsidRDefault="006977CB" w:rsidP="00B20FD3">
            <w:pPr>
              <w:pStyle w:val="Tot"/>
              <w:jc w:val="right"/>
              <w:rPr>
                <w:rFonts w:asciiTheme="minorHAnsi" w:hAnsiTheme="minorHAnsi" w:cstheme="minorHAnsi"/>
                <w:b/>
                <w:bCs/>
                <w:szCs w:val="19"/>
                <w:lang w:val="hr-HR"/>
              </w:rPr>
            </w:pPr>
            <w:r w:rsidRPr="001567C8">
              <w:rPr>
                <w:rFonts w:asciiTheme="minorHAnsi" w:hAnsiTheme="minorHAnsi" w:cstheme="minorHAnsi"/>
                <w:b/>
                <w:bCs/>
                <w:szCs w:val="19"/>
                <w:lang w:val="hr-HR"/>
              </w:rPr>
              <w:t>5.147.097</w:t>
            </w:r>
          </w:p>
        </w:tc>
        <w:tc>
          <w:tcPr>
            <w:tcW w:w="733" w:type="pct"/>
            <w:tcBorders>
              <w:top w:val="single" w:sz="4" w:space="0" w:color="auto"/>
              <w:bottom w:val="single" w:sz="12" w:space="0" w:color="auto"/>
            </w:tcBorders>
            <w:vAlign w:val="bottom"/>
          </w:tcPr>
          <w:p w:rsidR="00B20FD3" w:rsidRPr="001567C8" w:rsidRDefault="00B20FD3" w:rsidP="00B20FD3">
            <w:pPr>
              <w:pStyle w:val="Tot"/>
              <w:jc w:val="right"/>
              <w:rPr>
                <w:rFonts w:asciiTheme="minorHAnsi" w:hAnsiTheme="minorHAnsi" w:cs="Arial"/>
                <w:b/>
                <w:bCs/>
                <w:szCs w:val="19"/>
                <w:lang w:val="hr-HR"/>
              </w:rPr>
            </w:pPr>
            <w:r w:rsidRPr="001567C8">
              <w:rPr>
                <w:rFonts w:asciiTheme="minorHAnsi" w:hAnsiTheme="minorHAnsi" w:cs="Arial"/>
                <w:b/>
                <w:bCs/>
                <w:szCs w:val="19"/>
                <w:lang w:val="hr-HR"/>
              </w:rPr>
              <w:t>5.467.450</w:t>
            </w:r>
          </w:p>
        </w:tc>
      </w:tr>
      <w:tr w:rsidR="00B20FD3" w:rsidRPr="001567C8" w:rsidTr="006977CB">
        <w:trPr>
          <w:trHeight w:val="421"/>
        </w:trPr>
        <w:tc>
          <w:tcPr>
            <w:tcW w:w="2070" w:type="pct"/>
            <w:vAlign w:val="bottom"/>
          </w:tcPr>
          <w:p w:rsidR="00B20FD3" w:rsidRPr="001567C8" w:rsidRDefault="00B20FD3" w:rsidP="00B20FD3">
            <w:pPr>
              <w:pStyle w:val="Tot"/>
              <w:rPr>
                <w:rFonts w:asciiTheme="minorHAnsi" w:hAnsiTheme="minorHAnsi" w:cs="Arial"/>
                <w:b/>
                <w:bCs/>
                <w:sz w:val="20"/>
                <w:lang w:val="hr-HR"/>
              </w:rPr>
            </w:pPr>
            <w:r w:rsidRPr="001567C8">
              <w:rPr>
                <w:rFonts w:asciiTheme="minorHAnsi" w:hAnsiTheme="minorHAnsi" w:cs="Arial"/>
                <w:b/>
                <w:bCs/>
                <w:sz w:val="20"/>
                <w:lang w:val="hr-HR"/>
              </w:rPr>
              <w:t>Ukupna izloženost kreditnom riziku</w:t>
            </w:r>
          </w:p>
        </w:tc>
        <w:tc>
          <w:tcPr>
            <w:tcW w:w="732" w:type="pct"/>
            <w:tcBorders>
              <w:top w:val="single" w:sz="12" w:space="0" w:color="auto"/>
              <w:bottom w:val="single" w:sz="12" w:space="0" w:color="auto"/>
            </w:tcBorders>
            <w:vAlign w:val="bottom"/>
          </w:tcPr>
          <w:p w:rsidR="00B20FD3" w:rsidRPr="001567C8" w:rsidRDefault="006977CB" w:rsidP="006977CB">
            <w:pPr>
              <w:pStyle w:val="Tot"/>
              <w:jc w:val="right"/>
              <w:rPr>
                <w:rFonts w:asciiTheme="minorHAnsi" w:hAnsiTheme="minorHAnsi" w:cstheme="minorHAnsi"/>
                <w:b/>
                <w:bCs/>
                <w:szCs w:val="19"/>
                <w:lang w:val="hr-HR"/>
              </w:rPr>
            </w:pPr>
            <w:r w:rsidRPr="001567C8">
              <w:rPr>
                <w:rFonts w:asciiTheme="minorHAnsi" w:hAnsiTheme="minorHAnsi" w:cstheme="minorHAnsi"/>
                <w:b/>
                <w:bCs/>
                <w:szCs w:val="19"/>
                <w:lang w:val="hr-HR"/>
              </w:rPr>
              <w:t>31.919.002</w:t>
            </w:r>
          </w:p>
        </w:tc>
        <w:tc>
          <w:tcPr>
            <w:tcW w:w="733" w:type="pct"/>
            <w:tcBorders>
              <w:top w:val="single" w:sz="12" w:space="0" w:color="auto"/>
              <w:bottom w:val="single" w:sz="12" w:space="0" w:color="auto"/>
            </w:tcBorders>
            <w:vAlign w:val="bottom"/>
          </w:tcPr>
          <w:p w:rsidR="00B20FD3" w:rsidRPr="001567C8" w:rsidRDefault="00B20FD3" w:rsidP="00B20FD3">
            <w:pPr>
              <w:pStyle w:val="Tot"/>
              <w:jc w:val="right"/>
              <w:rPr>
                <w:rFonts w:asciiTheme="minorHAnsi" w:hAnsiTheme="minorHAnsi" w:cs="Arial"/>
                <w:b/>
                <w:bCs/>
                <w:szCs w:val="19"/>
                <w:lang w:val="hr-HR"/>
              </w:rPr>
            </w:pPr>
            <w:r w:rsidRPr="001567C8">
              <w:rPr>
                <w:rFonts w:asciiTheme="minorHAnsi" w:hAnsiTheme="minorHAnsi" w:cs="Arial"/>
                <w:b/>
                <w:bCs/>
                <w:szCs w:val="19"/>
                <w:lang w:val="hr-HR"/>
              </w:rPr>
              <w:t>3</w:t>
            </w:r>
            <w:r w:rsidR="00F533CD" w:rsidRPr="001567C8">
              <w:rPr>
                <w:rFonts w:asciiTheme="minorHAnsi" w:hAnsiTheme="minorHAnsi" w:cs="Arial"/>
                <w:b/>
                <w:bCs/>
                <w:szCs w:val="19"/>
                <w:lang w:val="hr-HR"/>
              </w:rPr>
              <w:t>2.624.083</w:t>
            </w:r>
          </w:p>
        </w:tc>
        <w:tc>
          <w:tcPr>
            <w:tcW w:w="732" w:type="pct"/>
            <w:tcBorders>
              <w:top w:val="single" w:sz="12" w:space="0" w:color="auto"/>
              <w:bottom w:val="single" w:sz="12" w:space="0" w:color="auto"/>
            </w:tcBorders>
            <w:vAlign w:val="bottom"/>
          </w:tcPr>
          <w:p w:rsidR="00B20FD3" w:rsidRPr="001567C8" w:rsidRDefault="006977CB" w:rsidP="00B20FD3">
            <w:pPr>
              <w:pStyle w:val="Tot"/>
              <w:jc w:val="right"/>
              <w:rPr>
                <w:rFonts w:asciiTheme="minorHAnsi" w:hAnsiTheme="minorHAnsi" w:cstheme="minorHAnsi"/>
                <w:b/>
                <w:bCs/>
                <w:szCs w:val="19"/>
                <w:lang w:val="hr-HR"/>
              </w:rPr>
            </w:pPr>
            <w:r w:rsidRPr="001567C8">
              <w:rPr>
                <w:rFonts w:asciiTheme="minorHAnsi" w:hAnsiTheme="minorHAnsi" w:cstheme="minorHAnsi"/>
                <w:b/>
                <w:bCs/>
                <w:szCs w:val="19"/>
                <w:lang w:val="hr-HR"/>
              </w:rPr>
              <w:t>31.868.355</w:t>
            </w:r>
          </w:p>
        </w:tc>
        <w:tc>
          <w:tcPr>
            <w:tcW w:w="733" w:type="pct"/>
            <w:tcBorders>
              <w:top w:val="single" w:sz="12" w:space="0" w:color="auto"/>
              <w:bottom w:val="single" w:sz="12" w:space="0" w:color="auto"/>
            </w:tcBorders>
            <w:vAlign w:val="bottom"/>
          </w:tcPr>
          <w:p w:rsidR="00B20FD3" w:rsidRPr="001567C8" w:rsidRDefault="00B20FD3" w:rsidP="00B20FD3">
            <w:pPr>
              <w:pStyle w:val="Tot"/>
              <w:jc w:val="right"/>
              <w:rPr>
                <w:rFonts w:asciiTheme="minorHAnsi" w:hAnsiTheme="minorHAnsi" w:cs="Arial"/>
                <w:b/>
                <w:bCs/>
                <w:szCs w:val="19"/>
                <w:lang w:val="hr-HR"/>
              </w:rPr>
            </w:pPr>
            <w:r w:rsidRPr="001567C8">
              <w:rPr>
                <w:rFonts w:asciiTheme="minorHAnsi" w:hAnsiTheme="minorHAnsi" w:cs="Arial"/>
                <w:b/>
                <w:bCs/>
                <w:szCs w:val="19"/>
                <w:lang w:val="hr-HR"/>
              </w:rPr>
              <w:t>3</w:t>
            </w:r>
            <w:r w:rsidR="00F533CD" w:rsidRPr="001567C8">
              <w:rPr>
                <w:rFonts w:asciiTheme="minorHAnsi" w:hAnsiTheme="minorHAnsi" w:cs="Arial"/>
                <w:b/>
                <w:bCs/>
                <w:szCs w:val="19"/>
                <w:lang w:val="hr-HR"/>
              </w:rPr>
              <w:t>2.573.463</w:t>
            </w:r>
          </w:p>
        </w:tc>
      </w:tr>
    </w:tbl>
    <w:p w:rsidR="00797EE8" w:rsidRPr="001567C8" w:rsidRDefault="00797EE8">
      <w:pPr>
        <w:pStyle w:val="accountingpolicytitle"/>
        <w:rPr>
          <w:rFonts w:asciiTheme="minorHAnsi" w:hAnsiTheme="minorHAnsi" w:cs="Arial"/>
          <w:b w:val="0"/>
          <w:i/>
          <w:sz w:val="20"/>
          <w:lang w:val="hr-HR"/>
        </w:rPr>
      </w:pPr>
    </w:p>
    <w:p w:rsidR="002B3935" w:rsidRPr="001567C8" w:rsidRDefault="00F533CD" w:rsidP="006977CB">
      <w:pPr>
        <w:pStyle w:val="accountingpolicytitle"/>
        <w:rPr>
          <w:rFonts w:asciiTheme="minorHAnsi" w:hAnsiTheme="minorHAnsi" w:cs="Arial"/>
          <w:b w:val="0"/>
          <w:i/>
          <w:sz w:val="20"/>
          <w:lang w:val="hr-HR"/>
        </w:rPr>
      </w:pPr>
      <w:r w:rsidRPr="001567C8">
        <w:rPr>
          <w:rFonts w:asciiTheme="minorHAnsi" w:hAnsiTheme="minorHAnsi" w:cs="Arial"/>
          <w:b w:val="0"/>
          <w:i/>
          <w:sz w:val="20"/>
          <w:lang w:val="hr-HR"/>
        </w:rPr>
        <w:t xml:space="preserve">*Objavljeni financijski izvještaji na dan i za godinu koja je završila 31. prosinca 2017. godine u sklopu ovih pozicija uključivali su i ulaganja u investicijske fondove. Ova promjena odnosi se na sve dijelove bilješke </w:t>
      </w:r>
      <w:r w:rsidR="008C1241" w:rsidRPr="001567C8">
        <w:rPr>
          <w:rFonts w:asciiTheme="minorHAnsi" w:hAnsiTheme="minorHAnsi" w:cs="Arial"/>
          <w:b w:val="0"/>
          <w:i/>
          <w:sz w:val="20"/>
          <w:lang w:val="hr-HR"/>
        </w:rPr>
        <w:t>3</w:t>
      </w:r>
      <w:r w:rsidRPr="001567C8">
        <w:rPr>
          <w:rFonts w:asciiTheme="minorHAnsi" w:hAnsiTheme="minorHAnsi" w:cs="Arial"/>
          <w:b w:val="0"/>
          <w:i/>
          <w:sz w:val="20"/>
          <w:lang w:val="hr-HR"/>
        </w:rPr>
        <w:t>6.3. Kreditni rizik.</w:t>
      </w:r>
    </w:p>
    <w:p w:rsidR="00F533CD" w:rsidRPr="001567C8" w:rsidRDefault="00F533CD" w:rsidP="004C010E">
      <w:pPr>
        <w:pStyle w:val="accountingpolicytitle"/>
        <w:spacing w:line="360" w:lineRule="auto"/>
        <w:rPr>
          <w:rFonts w:asciiTheme="minorHAnsi" w:hAnsiTheme="minorHAnsi" w:cs="Arial"/>
          <w:sz w:val="22"/>
          <w:szCs w:val="22"/>
          <w:lang w:val="hr-HR"/>
        </w:rPr>
      </w:pPr>
    </w:p>
    <w:p w:rsidR="003522BD" w:rsidRPr="001567C8" w:rsidRDefault="003522BD" w:rsidP="004C010E">
      <w:pPr>
        <w:pStyle w:val="accountingpolicytitle"/>
        <w:spacing w:line="360" w:lineRule="auto"/>
        <w:rPr>
          <w:rFonts w:asciiTheme="minorHAnsi" w:hAnsiTheme="minorHAnsi" w:cs="Arial"/>
          <w:sz w:val="22"/>
          <w:szCs w:val="22"/>
          <w:lang w:val="hr-HR"/>
        </w:rPr>
      </w:pPr>
    </w:p>
    <w:p w:rsidR="009E4DD8" w:rsidRPr="001567C8" w:rsidRDefault="009E4DD8" w:rsidP="004C010E">
      <w:pPr>
        <w:pStyle w:val="accountingpolicytitle"/>
        <w:spacing w:line="360" w:lineRule="auto"/>
        <w:rPr>
          <w:rFonts w:asciiTheme="minorHAnsi" w:hAnsiTheme="minorHAnsi" w:cs="Arial"/>
          <w:sz w:val="22"/>
          <w:szCs w:val="22"/>
          <w:lang w:val="hr-HR"/>
        </w:rPr>
        <w:sectPr w:rsidR="009E4DD8" w:rsidRPr="001567C8" w:rsidSect="003E2D7A">
          <w:pgSz w:w="11907" w:h="16840" w:code="9"/>
          <w:pgMar w:top="1418" w:right="1134" w:bottom="1134" w:left="1418" w:header="851" w:footer="851" w:gutter="0"/>
          <w:cols w:space="720"/>
          <w:noEndnote/>
        </w:sectPr>
      </w:pPr>
    </w:p>
    <w:p w:rsidR="001B52F6" w:rsidRPr="001567C8" w:rsidRDefault="001B52F6" w:rsidP="001B52F6">
      <w:pPr>
        <w:pStyle w:val="T1"/>
        <w:spacing w:before="0" w:after="0" w:line="240" w:lineRule="auto"/>
        <w:rPr>
          <w:rFonts w:asciiTheme="minorHAnsi" w:hAnsiTheme="minorHAnsi" w:cs="Arial"/>
          <w:sz w:val="22"/>
          <w:szCs w:val="22"/>
          <w:lang w:val="hr-HR"/>
        </w:rPr>
      </w:pPr>
    </w:p>
    <w:p w:rsidR="002B3935" w:rsidRPr="001567C8" w:rsidRDefault="00F533CD"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2B3935" w:rsidRPr="001567C8">
        <w:rPr>
          <w:rFonts w:asciiTheme="minorHAnsi" w:hAnsiTheme="minorHAnsi" w:cs="Arial"/>
          <w:sz w:val="22"/>
          <w:szCs w:val="22"/>
          <w:lang w:val="hr-HR"/>
        </w:rPr>
        <w:t>.</w:t>
      </w:r>
      <w:r w:rsidR="002B3935" w:rsidRPr="001567C8">
        <w:rPr>
          <w:rFonts w:asciiTheme="minorHAnsi" w:hAnsiTheme="minorHAnsi" w:cs="Arial"/>
          <w:sz w:val="22"/>
          <w:szCs w:val="22"/>
          <w:lang w:val="hr-HR"/>
        </w:rPr>
        <w:tab/>
        <w:t>Upravljanje rizicima (nastavak)</w:t>
      </w:r>
    </w:p>
    <w:p w:rsidR="00347537" w:rsidRPr="001567C8" w:rsidRDefault="00347537" w:rsidP="00347537">
      <w:pPr>
        <w:pStyle w:val="accountingpolicytitle"/>
        <w:rPr>
          <w:rFonts w:asciiTheme="minorHAnsi" w:hAnsiTheme="minorHAnsi"/>
          <w:sz w:val="22"/>
          <w:szCs w:val="22"/>
          <w:lang w:val="hr-HR"/>
        </w:rPr>
      </w:pPr>
    </w:p>
    <w:p w:rsidR="002B3935" w:rsidRPr="001567C8" w:rsidRDefault="00F533CD" w:rsidP="00347537">
      <w:pPr>
        <w:pStyle w:val="accountingpolicytitle"/>
        <w:rPr>
          <w:rFonts w:asciiTheme="minorHAnsi" w:hAnsiTheme="minorHAnsi"/>
          <w:sz w:val="22"/>
          <w:szCs w:val="22"/>
          <w:lang w:val="hr-HR"/>
        </w:rPr>
      </w:pPr>
      <w:r w:rsidRPr="001567C8">
        <w:rPr>
          <w:rFonts w:asciiTheme="minorHAnsi" w:hAnsiTheme="minorHAnsi"/>
          <w:sz w:val="22"/>
          <w:szCs w:val="22"/>
          <w:lang w:val="hr-HR"/>
        </w:rPr>
        <w:t>36</w:t>
      </w:r>
      <w:r w:rsidR="002B3935" w:rsidRPr="001567C8">
        <w:rPr>
          <w:rFonts w:asciiTheme="minorHAnsi" w:hAnsiTheme="minorHAnsi"/>
          <w:sz w:val="22"/>
          <w:szCs w:val="22"/>
          <w:lang w:val="hr-HR"/>
        </w:rPr>
        <w:t>.</w:t>
      </w:r>
      <w:r w:rsidR="003900A3" w:rsidRPr="001567C8">
        <w:rPr>
          <w:rFonts w:asciiTheme="minorHAnsi" w:hAnsiTheme="minorHAnsi"/>
          <w:sz w:val="22"/>
          <w:szCs w:val="22"/>
          <w:lang w:val="hr-HR"/>
        </w:rPr>
        <w:t>3</w:t>
      </w:r>
      <w:r w:rsidR="002B3935" w:rsidRPr="001567C8">
        <w:rPr>
          <w:rFonts w:asciiTheme="minorHAnsi" w:hAnsiTheme="minorHAnsi"/>
          <w:sz w:val="22"/>
          <w:szCs w:val="22"/>
          <w:lang w:val="hr-HR"/>
        </w:rPr>
        <w:t xml:space="preserve">. </w:t>
      </w:r>
      <w:r w:rsidR="002B3935" w:rsidRPr="001567C8">
        <w:rPr>
          <w:rFonts w:asciiTheme="minorHAnsi" w:hAnsiTheme="minorHAnsi"/>
          <w:sz w:val="22"/>
          <w:szCs w:val="22"/>
          <w:lang w:val="hr-HR"/>
        </w:rPr>
        <w:tab/>
        <w:t>Kreditni rizik (nastavak)</w:t>
      </w:r>
    </w:p>
    <w:p w:rsidR="00347537" w:rsidRPr="001567C8" w:rsidRDefault="00347537" w:rsidP="00347537">
      <w:pPr>
        <w:pStyle w:val="accountingpolicytitle"/>
        <w:rPr>
          <w:rFonts w:asciiTheme="minorHAnsi" w:hAnsiTheme="minorHAnsi" w:cs="Arial"/>
          <w:sz w:val="22"/>
          <w:szCs w:val="22"/>
          <w:lang w:val="hr-HR"/>
        </w:rPr>
      </w:pPr>
    </w:p>
    <w:p w:rsidR="002B3935" w:rsidRPr="001567C8" w:rsidRDefault="00793CCF" w:rsidP="00347537">
      <w:pPr>
        <w:pStyle w:val="accountingpolicytitle"/>
        <w:rPr>
          <w:rFonts w:asciiTheme="minorHAnsi" w:hAnsiTheme="minorHAnsi" w:cs="Arial"/>
          <w:sz w:val="22"/>
          <w:szCs w:val="22"/>
          <w:lang w:val="hr-HR"/>
        </w:rPr>
      </w:pPr>
      <w:r w:rsidRPr="001567C8">
        <w:rPr>
          <w:rFonts w:asciiTheme="minorHAnsi" w:hAnsiTheme="minorHAnsi" w:cs="Arial"/>
          <w:sz w:val="22"/>
          <w:szCs w:val="22"/>
          <w:lang w:val="hr-HR"/>
        </w:rPr>
        <w:t>Koncentracija rizika i maksimalna</w:t>
      </w:r>
      <w:r w:rsidR="002B3935" w:rsidRPr="001567C8">
        <w:rPr>
          <w:rFonts w:asciiTheme="minorHAnsi" w:hAnsiTheme="minorHAnsi" w:cs="Arial"/>
          <w:sz w:val="22"/>
          <w:szCs w:val="22"/>
          <w:lang w:val="hr-HR"/>
        </w:rPr>
        <w:t xml:space="preserve"> izloženost kreditnom riziku (nastavak)</w:t>
      </w:r>
    </w:p>
    <w:p w:rsidR="00347537" w:rsidRPr="001567C8" w:rsidRDefault="00347537" w:rsidP="00347537">
      <w:pPr>
        <w:pStyle w:val="T1"/>
        <w:spacing w:before="0" w:after="0" w:line="240" w:lineRule="auto"/>
        <w:rPr>
          <w:rFonts w:asciiTheme="minorHAnsi" w:hAnsiTheme="minorHAnsi" w:cs="Arial"/>
          <w:b w:val="0"/>
          <w:bCs w:val="0"/>
          <w:sz w:val="22"/>
          <w:szCs w:val="22"/>
          <w:lang w:val="hr-HR"/>
        </w:rPr>
      </w:pPr>
    </w:p>
    <w:p w:rsidR="002B3935" w:rsidRPr="001567C8" w:rsidRDefault="002B3935" w:rsidP="00E266C9">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Koncentracija </w:t>
      </w:r>
      <w:r w:rsidR="00D65436" w:rsidRPr="001567C8">
        <w:rPr>
          <w:rFonts w:asciiTheme="minorHAnsi" w:hAnsiTheme="minorHAnsi" w:cs="Arial"/>
          <w:b w:val="0"/>
          <w:bCs w:val="0"/>
          <w:sz w:val="22"/>
          <w:szCs w:val="22"/>
          <w:lang w:val="hr-HR"/>
        </w:rPr>
        <w:t>imovine</w:t>
      </w:r>
      <w:r w:rsidRPr="001567C8">
        <w:rPr>
          <w:rFonts w:asciiTheme="minorHAnsi" w:hAnsiTheme="minorHAnsi" w:cs="Arial"/>
          <w:b w:val="0"/>
          <w:bCs w:val="0"/>
          <w:sz w:val="22"/>
          <w:szCs w:val="22"/>
          <w:lang w:val="hr-HR"/>
        </w:rPr>
        <w:t xml:space="preserve"> i </w:t>
      </w:r>
      <w:r w:rsidR="00671763" w:rsidRPr="001567C8">
        <w:rPr>
          <w:rFonts w:asciiTheme="minorHAnsi" w:hAnsiTheme="minorHAnsi" w:cs="Arial"/>
          <w:b w:val="0"/>
          <w:bCs w:val="0"/>
          <w:sz w:val="22"/>
          <w:szCs w:val="22"/>
          <w:lang w:val="hr-HR"/>
        </w:rPr>
        <w:t xml:space="preserve">garancija </w:t>
      </w:r>
      <w:r w:rsidR="00F96790" w:rsidRPr="001567C8">
        <w:rPr>
          <w:rFonts w:asciiTheme="minorHAnsi" w:hAnsiTheme="minorHAnsi" w:cs="Arial"/>
          <w:b w:val="0"/>
          <w:bCs w:val="0"/>
          <w:sz w:val="22"/>
          <w:szCs w:val="22"/>
          <w:lang w:val="hr-HR"/>
        </w:rPr>
        <w:t xml:space="preserve">te </w:t>
      </w:r>
      <w:r w:rsidR="00671763" w:rsidRPr="001567C8">
        <w:rPr>
          <w:rFonts w:asciiTheme="minorHAnsi" w:hAnsiTheme="minorHAnsi" w:cs="Arial"/>
          <w:b w:val="0"/>
          <w:bCs w:val="0"/>
          <w:sz w:val="22"/>
          <w:szCs w:val="22"/>
          <w:lang w:val="hr-HR"/>
        </w:rPr>
        <w:t>preuzetih obveza</w:t>
      </w:r>
      <w:r w:rsidR="0024363A" w:rsidRPr="001567C8">
        <w:rPr>
          <w:rFonts w:asciiTheme="minorHAnsi" w:hAnsiTheme="minorHAnsi" w:cs="Arial"/>
          <w:b w:val="0"/>
          <w:bCs w:val="0"/>
          <w:sz w:val="22"/>
          <w:szCs w:val="22"/>
          <w:lang w:val="hr-HR"/>
        </w:rPr>
        <w:t xml:space="preserve"> prema zemljopisnim segmentima</w:t>
      </w:r>
      <w:r w:rsidR="00671763" w:rsidRPr="001567C8">
        <w:rPr>
          <w:rFonts w:asciiTheme="minorHAnsi" w:hAnsiTheme="minorHAnsi" w:cs="Arial"/>
          <w:b w:val="0"/>
          <w:bCs w:val="0"/>
          <w:sz w:val="22"/>
          <w:szCs w:val="22"/>
          <w:lang w:val="hr-HR"/>
        </w:rPr>
        <w:t>,</w:t>
      </w:r>
      <w:r w:rsidR="003F0EC8" w:rsidRPr="001567C8">
        <w:rPr>
          <w:rFonts w:asciiTheme="minorHAnsi" w:hAnsiTheme="minorHAnsi" w:cs="Arial"/>
          <w:b w:val="0"/>
          <w:bCs w:val="0"/>
          <w:sz w:val="22"/>
          <w:szCs w:val="22"/>
          <w:lang w:val="hr-HR"/>
        </w:rPr>
        <w:t xml:space="preserve"> neto izloženost,</w:t>
      </w:r>
      <w:r w:rsidR="00671763" w:rsidRPr="001567C8">
        <w:rPr>
          <w:rFonts w:asciiTheme="minorHAnsi" w:hAnsiTheme="minorHAnsi" w:cs="Arial"/>
          <w:b w:val="0"/>
          <w:bCs w:val="0"/>
          <w:sz w:val="22"/>
          <w:szCs w:val="22"/>
          <w:lang w:val="hr-HR"/>
        </w:rPr>
        <w:t xml:space="preserve"> </w:t>
      </w:r>
      <w:r w:rsidR="00343152" w:rsidRPr="001567C8">
        <w:rPr>
          <w:rFonts w:asciiTheme="minorHAnsi" w:hAnsiTheme="minorHAnsi" w:cs="Arial"/>
          <w:b w:val="0"/>
          <w:sz w:val="22"/>
          <w:szCs w:val="22"/>
          <w:lang w:val="hr-HR"/>
        </w:rPr>
        <w:t>bez umanjenja za vrijednost sredstava osiguranja naplate</w:t>
      </w:r>
      <w:r w:rsidRPr="001567C8">
        <w:rPr>
          <w:rFonts w:asciiTheme="minorHAnsi" w:hAnsiTheme="minorHAnsi" w:cs="Arial"/>
          <w:b w:val="0"/>
          <w:bCs w:val="0"/>
          <w:sz w:val="22"/>
          <w:szCs w:val="22"/>
          <w:lang w:val="hr-HR"/>
        </w:rPr>
        <w:t xml:space="preserve">: </w:t>
      </w:r>
    </w:p>
    <w:p w:rsidR="00513A7F" w:rsidRPr="001567C8" w:rsidRDefault="00513A7F" w:rsidP="001D233C">
      <w:pPr>
        <w:pStyle w:val="T1"/>
        <w:spacing w:before="0" w:after="0" w:line="240" w:lineRule="auto"/>
        <w:rPr>
          <w:rFonts w:asciiTheme="minorHAnsi" w:hAnsiTheme="minorHAnsi" w:cs="Arial"/>
          <w:b w:val="0"/>
          <w:bCs w:val="0"/>
          <w:sz w:val="22"/>
          <w:szCs w:val="22"/>
          <w:lang w:val="hr-HR"/>
        </w:rPr>
      </w:pPr>
    </w:p>
    <w:tbl>
      <w:tblPr>
        <w:tblW w:w="4985" w:type="pct"/>
        <w:tblLayout w:type="fixed"/>
        <w:tblCellMar>
          <w:left w:w="30" w:type="dxa"/>
          <w:right w:w="30" w:type="dxa"/>
        </w:tblCellMar>
        <w:tblLook w:val="0000" w:firstRow="0" w:lastRow="0" w:firstColumn="0" w:lastColumn="0" w:noHBand="0" w:noVBand="0"/>
      </w:tblPr>
      <w:tblGrid>
        <w:gridCol w:w="4761"/>
        <w:gridCol w:w="1142"/>
        <w:gridCol w:w="1142"/>
        <w:gridCol w:w="1142"/>
        <w:gridCol w:w="1140"/>
      </w:tblGrid>
      <w:tr w:rsidR="00811E85" w:rsidRPr="001567C8" w:rsidTr="00EB4107">
        <w:trPr>
          <w:cantSplit/>
          <w:trHeight w:val="265"/>
          <w:tblHeader/>
        </w:trPr>
        <w:tc>
          <w:tcPr>
            <w:tcW w:w="2552" w:type="pct"/>
          </w:tcPr>
          <w:p w:rsidR="00811E85" w:rsidRPr="001567C8" w:rsidRDefault="00811E85" w:rsidP="003B5C38">
            <w:pPr>
              <w:tabs>
                <w:tab w:val="right" w:pos="1202"/>
              </w:tabs>
              <w:spacing w:line="240" w:lineRule="atLeast"/>
              <w:outlineLvl w:val="0"/>
              <w:rPr>
                <w:rFonts w:asciiTheme="minorHAnsi" w:hAnsiTheme="minorHAnsi" w:cs="Arial"/>
                <w:b/>
                <w:sz w:val="19"/>
                <w:szCs w:val="19"/>
                <w:lang w:val="hr-HR"/>
              </w:rPr>
            </w:pPr>
            <w:bookmarkStart w:id="77" w:name="_Hlk499021691"/>
            <w:r w:rsidRPr="001567C8">
              <w:rPr>
                <w:rFonts w:asciiTheme="minorHAnsi" w:hAnsiTheme="minorHAnsi" w:cs="Arial"/>
                <w:b/>
                <w:sz w:val="19"/>
                <w:szCs w:val="19"/>
                <w:lang w:val="hr-HR"/>
              </w:rPr>
              <w:t>Grupa</w:t>
            </w:r>
          </w:p>
          <w:p w:rsidR="00B4688F" w:rsidRPr="001567C8" w:rsidRDefault="00B4688F" w:rsidP="003B5C38">
            <w:pPr>
              <w:tabs>
                <w:tab w:val="right" w:pos="1202"/>
              </w:tabs>
              <w:spacing w:line="240" w:lineRule="atLeast"/>
              <w:outlineLvl w:val="0"/>
              <w:rPr>
                <w:rFonts w:asciiTheme="minorHAnsi" w:hAnsiTheme="minorHAnsi" w:cs="Arial"/>
                <w:b/>
                <w:sz w:val="19"/>
                <w:szCs w:val="19"/>
                <w:lang w:val="hr-HR"/>
              </w:rPr>
            </w:pPr>
          </w:p>
          <w:p w:rsidR="00811E85" w:rsidRPr="001567C8" w:rsidRDefault="00AD2EF7" w:rsidP="00347537">
            <w:pPr>
              <w:tabs>
                <w:tab w:val="right" w:pos="1202"/>
              </w:tabs>
              <w:spacing w:line="240" w:lineRule="atLeast"/>
              <w:outlineLvl w:val="0"/>
              <w:rPr>
                <w:rFonts w:asciiTheme="minorHAnsi" w:hAnsiTheme="minorHAnsi" w:cs="Arial"/>
                <w:b/>
                <w:sz w:val="19"/>
                <w:szCs w:val="19"/>
                <w:lang w:val="hr-HR"/>
              </w:rPr>
            </w:pPr>
            <w:r>
              <w:rPr>
                <w:rFonts w:asciiTheme="minorHAnsi" w:hAnsiTheme="minorHAnsi" w:cs="Arial"/>
                <w:b/>
                <w:sz w:val="19"/>
                <w:szCs w:val="19"/>
                <w:lang w:val="hr-HR"/>
              </w:rPr>
              <w:t>31. prosin</w:t>
            </w:r>
            <w:r w:rsidR="0073283D" w:rsidRPr="001567C8">
              <w:rPr>
                <w:rFonts w:asciiTheme="minorHAnsi" w:hAnsiTheme="minorHAnsi" w:cs="Arial"/>
                <w:b/>
                <w:sz w:val="19"/>
                <w:szCs w:val="19"/>
                <w:lang w:val="hr-HR"/>
              </w:rPr>
              <w:t>c</w:t>
            </w:r>
            <w:r>
              <w:rPr>
                <w:rFonts w:asciiTheme="minorHAnsi" w:hAnsiTheme="minorHAnsi" w:cs="Arial"/>
                <w:b/>
                <w:sz w:val="19"/>
                <w:szCs w:val="19"/>
                <w:lang w:val="hr-HR"/>
              </w:rPr>
              <w:t>a</w:t>
            </w:r>
            <w:r w:rsidR="0073283D" w:rsidRPr="001567C8">
              <w:rPr>
                <w:rFonts w:asciiTheme="minorHAnsi" w:hAnsiTheme="minorHAnsi" w:cs="Arial"/>
                <w:b/>
                <w:sz w:val="19"/>
                <w:szCs w:val="19"/>
                <w:lang w:val="hr-HR"/>
              </w:rPr>
              <w:t xml:space="preserve"> </w:t>
            </w:r>
            <w:r w:rsidR="00513A7F" w:rsidRPr="001567C8">
              <w:rPr>
                <w:rFonts w:asciiTheme="minorHAnsi" w:hAnsiTheme="minorHAnsi" w:cs="Arial"/>
                <w:b/>
                <w:sz w:val="19"/>
                <w:szCs w:val="19"/>
                <w:lang w:val="hr-HR"/>
              </w:rPr>
              <w:t>201</w:t>
            </w:r>
            <w:r w:rsidR="00F533CD" w:rsidRPr="001567C8">
              <w:rPr>
                <w:rFonts w:asciiTheme="minorHAnsi" w:hAnsiTheme="minorHAnsi" w:cs="Arial"/>
                <w:b/>
                <w:sz w:val="19"/>
                <w:szCs w:val="19"/>
                <w:lang w:val="hr-HR"/>
              </w:rPr>
              <w:t>8</w:t>
            </w:r>
            <w:r w:rsidR="00811E85" w:rsidRPr="001567C8">
              <w:rPr>
                <w:rFonts w:asciiTheme="minorHAnsi" w:hAnsiTheme="minorHAnsi" w:cs="Arial"/>
                <w:b/>
                <w:sz w:val="19"/>
                <w:szCs w:val="19"/>
                <w:lang w:val="hr-HR"/>
              </w:rPr>
              <w:t>. godina</w:t>
            </w:r>
          </w:p>
        </w:tc>
        <w:tc>
          <w:tcPr>
            <w:tcW w:w="612" w:type="pct"/>
            <w:vAlign w:val="bottom"/>
          </w:tcPr>
          <w:p w:rsidR="00811E85" w:rsidRPr="001567C8" w:rsidRDefault="00811E85" w:rsidP="00811E85">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Republika Hrvatska</w:t>
            </w:r>
          </w:p>
        </w:tc>
        <w:tc>
          <w:tcPr>
            <w:tcW w:w="612" w:type="pct"/>
            <w:vAlign w:val="bottom"/>
          </w:tcPr>
          <w:p w:rsidR="00811E85" w:rsidRPr="001567C8" w:rsidRDefault="00811E85" w:rsidP="00811E85">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Zemlje Europske unije</w:t>
            </w:r>
          </w:p>
        </w:tc>
        <w:tc>
          <w:tcPr>
            <w:tcW w:w="612" w:type="pct"/>
            <w:vAlign w:val="bottom"/>
          </w:tcPr>
          <w:p w:rsidR="006977CB" w:rsidRPr="001567C8" w:rsidRDefault="00811E85" w:rsidP="00811E85">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 xml:space="preserve">Ostale </w:t>
            </w:r>
          </w:p>
          <w:p w:rsidR="00811E85" w:rsidRPr="001567C8" w:rsidRDefault="00811E85" w:rsidP="00811E85">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 xml:space="preserve">zemlje </w:t>
            </w:r>
          </w:p>
        </w:tc>
        <w:tc>
          <w:tcPr>
            <w:tcW w:w="611" w:type="pct"/>
            <w:vAlign w:val="bottom"/>
          </w:tcPr>
          <w:p w:rsidR="00811E85" w:rsidRPr="001567C8" w:rsidRDefault="00811E85" w:rsidP="00811E85">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Ukupno</w:t>
            </w:r>
          </w:p>
        </w:tc>
      </w:tr>
      <w:tr w:rsidR="00811E85" w:rsidRPr="001567C8" w:rsidTr="00EB4107">
        <w:trPr>
          <w:cantSplit/>
          <w:trHeight w:val="265"/>
          <w:tblHeader/>
        </w:trPr>
        <w:tc>
          <w:tcPr>
            <w:tcW w:w="2552" w:type="pct"/>
          </w:tcPr>
          <w:p w:rsidR="00811E85" w:rsidRPr="001567C8" w:rsidRDefault="00811E85" w:rsidP="00811E85">
            <w:pPr>
              <w:ind w:left="113" w:hanging="113"/>
              <w:rPr>
                <w:rFonts w:asciiTheme="minorHAnsi" w:hAnsiTheme="minorHAnsi" w:cs="Arial"/>
                <w:sz w:val="19"/>
                <w:szCs w:val="19"/>
                <w:lang w:val="hr-HR"/>
              </w:rPr>
            </w:pPr>
          </w:p>
        </w:tc>
        <w:tc>
          <w:tcPr>
            <w:tcW w:w="612" w:type="pct"/>
            <w:vAlign w:val="bottom"/>
          </w:tcPr>
          <w:p w:rsidR="00811E85" w:rsidRPr="001567C8" w:rsidRDefault="00811E85" w:rsidP="00811E85">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c>
          <w:tcPr>
            <w:tcW w:w="612" w:type="pct"/>
            <w:vAlign w:val="bottom"/>
          </w:tcPr>
          <w:p w:rsidR="00811E85" w:rsidRPr="001567C8" w:rsidRDefault="00811E85" w:rsidP="00811E85">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c>
          <w:tcPr>
            <w:tcW w:w="612" w:type="pct"/>
            <w:vAlign w:val="bottom"/>
          </w:tcPr>
          <w:p w:rsidR="00811E85" w:rsidRPr="001567C8" w:rsidRDefault="00811E85" w:rsidP="00811E85">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c>
          <w:tcPr>
            <w:tcW w:w="611" w:type="pct"/>
            <w:vAlign w:val="bottom"/>
          </w:tcPr>
          <w:p w:rsidR="00811E85" w:rsidRPr="001567C8" w:rsidRDefault="00811E85" w:rsidP="00811E85">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r>
      <w:tr w:rsidR="00811E85" w:rsidRPr="001567C8" w:rsidTr="00EB4107">
        <w:trPr>
          <w:cantSplit/>
          <w:trHeight w:val="265"/>
          <w:tblHeader/>
        </w:trPr>
        <w:tc>
          <w:tcPr>
            <w:tcW w:w="2552" w:type="pct"/>
          </w:tcPr>
          <w:p w:rsidR="00811E85" w:rsidRPr="001567C8" w:rsidRDefault="00811E85" w:rsidP="00811E85">
            <w:pPr>
              <w:ind w:left="113" w:hanging="113"/>
              <w:rPr>
                <w:rFonts w:asciiTheme="minorHAnsi" w:hAnsiTheme="minorHAnsi" w:cs="Arial"/>
                <w:sz w:val="19"/>
                <w:szCs w:val="19"/>
                <w:lang w:val="hr-HR"/>
              </w:rPr>
            </w:pPr>
          </w:p>
        </w:tc>
        <w:tc>
          <w:tcPr>
            <w:tcW w:w="612" w:type="pct"/>
          </w:tcPr>
          <w:p w:rsidR="00811E85" w:rsidRPr="001567C8" w:rsidRDefault="00811E85" w:rsidP="00811E85">
            <w:pPr>
              <w:jc w:val="right"/>
              <w:rPr>
                <w:rFonts w:asciiTheme="minorHAnsi" w:hAnsiTheme="minorHAnsi" w:cs="Arial"/>
                <w:sz w:val="19"/>
                <w:szCs w:val="19"/>
                <w:lang w:val="hr-HR"/>
              </w:rPr>
            </w:pPr>
          </w:p>
        </w:tc>
        <w:tc>
          <w:tcPr>
            <w:tcW w:w="612" w:type="pct"/>
          </w:tcPr>
          <w:p w:rsidR="00811E85" w:rsidRPr="001567C8" w:rsidRDefault="00811E85" w:rsidP="00811E85">
            <w:pPr>
              <w:jc w:val="right"/>
              <w:rPr>
                <w:rFonts w:asciiTheme="minorHAnsi" w:hAnsiTheme="minorHAnsi" w:cs="Arial"/>
                <w:sz w:val="19"/>
                <w:szCs w:val="19"/>
                <w:lang w:val="hr-HR"/>
              </w:rPr>
            </w:pPr>
          </w:p>
        </w:tc>
        <w:tc>
          <w:tcPr>
            <w:tcW w:w="612" w:type="pct"/>
          </w:tcPr>
          <w:p w:rsidR="00811E85" w:rsidRPr="001567C8" w:rsidRDefault="00811E85" w:rsidP="00811E85">
            <w:pPr>
              <w:jc w:val="right"/>
              <w:rPr>
                <w:rFonts w:asciiTheme="minorHAnsi" w:hAnsiTheme="minorHAnsi" w:cs="Arial"/>
                <w:sz w:val="19"/>
                <w:szCs w:val="19"/>
                <w:lang w:val="hr-HR"/>
              </w:rPr>
            </w:pPr>
          </w:p>
        </w:tc>
        <w:tc>
          <w:tcPr>
            <w:tcW w:w="611" w:type="pct"/>
          </w:tcPr>
          <w:p w:rsidR="00811E85" w:rsidRPr="001567C8" w:rsidRDefault="00811E85" w:rsidP="00811E85">
            <w:pPr>
              <w:jc w:val="center"/>
              <w:rPr>
                <w:rFonts w:asciiTheme="minorHAnsi" w:hAnsiTheme="minorHAnsi" w:cs="Arial"/>
                <w:sz w:val="19"/>
                <w:szCs w:val="19"/>
                <w:lang w:val="hr-HR"/>
              </w:rPr>
            </w:pPr>
          </w:p>
        </w:tc>
      </w:tr>
      <w:tr w:rsidR="00811E85" w:rsidRPr="001567C8" w:rsidTr="00EB4107">
        <w:trPr>
          <w:cantSplit/>
          <w:trHeight w:val="265"/>
          <w:tblHeader/>
        </w:trPr>
        <w:tc>
          <w:tcPr>
            <w:tcW w:w="2552" w:type="pct"/>
          </w:tcPr>
          <w:p w:rsidR="00811E85" w:rsidRPr="001567C8" w:rsidRDefault="008D6072" w:rsidP="008D6072">
            <w:pPr>
              <w:tabs>
                <w:tab w:val="right" w:pos="1202"/>
              </w:tabs>
              <w:spacing w:line="301" w:lineRule="exact"/>
              <w:outlineLvl w:val="0"/>
              <w:rPr>
                <w:rFonts w:asciiTheme="minorHAnsi" w:hAnsiTheme="minorHAnsi" w:cs="Arial"/>
                <w:b/>
                <w:bCs/>
                <w:sz w:val="19"/>
                <w:szCs w:val="19"/>
                <w:lang w:val="hr-HR"/>
              </w:rPr>
            </w:pPr>
            <w:r w:rsidRPr="001567C8">
              <w:rPr>
                <w:rFonts w:asciiTheme="minorHAnsi" w:hAnsiTheme="minorHAnsi" w:cs="Arial"/>
                <w:b/>
                <w:bCs/>
                <w:sz w:val="19"/>
                <w:szCs w:val="19"/>
                <w:lang w:val="hr-HR"/>
              </w:rPr>
              <w:t>Imovina</w:t>
            </w:r>
          </w:p>
        </w:tc>
        <w:tc>
          <w:tcPr>
            <w:tcW w:w="612" w:type="pct"/>
          </w:tcPr>
          <w:p w:rsidR="00811E85" w:rsidRPr="001567C8" w:rsidRDefault="00811E85" w:rsidP="00811E85">
            <w:pPr>
              <w:jc w:val="right"/>
              <w:rPr>
                <w:rFonts w:asciiTheme="minorHAnsi" w:hAnsiTheme="minorHAnsi" w:cs="Arial"/>
                <w:sz w:val="19"/>
                <w:szCs w:val="19"/>
                <w:lang w:val="hr-HR"/>
              </w:rPr>
            </w:pPr>
          </w:p>
        </w:tc>
        <w:tc>
          <w:tcPr>
            <w:tcW w:w="612" w:type="pct"/>
          </w:tcPr>
          <w:p w:rsidR="00811E85" w:rsidRPr="001567C8" w:rsidRDefault="00811E85" w:rsidP="00811E85">
            <w:pPr>
              <w:jc w:val="right"/>
              <w:rPr>
                <w:rFonts w:asciiTheme="minorHAnsi" w:hAnsiTheme="minorHAnsi" w:cs="Arial"/>
                <w:sz w:val="19"/>
                <w:szCs w:val="19"/>
                <w:lang w:val="hr-HR"/>
              </w:rPr>
            </w:pPr>
          </w:p>
        </w:tc>
        <w:tc>
          <w:tcPr>
            <w:tcW w:w="612" w:type="pct"/>
          </w:tcPr>
          <w:p w:rsidR="00811E85" w:rsidRPr="001567C8" w:rsidRDefault="00811E85" w:rsidP="00811E85">
            <w:pPr>
              <w:jc w:val="right"/>
              <w:rPr>
                <w:rFonts w:asciiTheme="minorHAnsi" w:hAnsiTheme="minorHAnsi" w:cs="Arial"/>
                <w:sz w:val="19"/>
                <w:szCs w:val="19"/>
                <w:lang w:val="hr-HR"/>
              </w:rPr>
            </w:pPr>
          </w:p>
        </w:tc>
        <w:tc>
          <w:tcPr>
            <w:tcW w:w="611" w:type="pct"/>
          </w:tcPr>
          <w:p w:rsidR="00811E85" w:rsidRPr="001567C8" w:rsidRDefault="00811E85" w:rsidP="00811E85">
            <w:pPr>
              <w:jc w:val="center"/>
              <w:rPr>
                <w:rFonts w:asciiTheme="minorHAnsi" w:hAnsiTheme="minorHAnsi" w:cs="Arial"/>
                <w:sz w:val="19"/>
                <w:szCs w:val="19"/>
                <w:lang w:val="hr-HR"/>
              </w:rPr>
            </w:pPr>
          </w:p>
        </w:tc>
      </w:tr>
      <w:tr w:rsidR="006977CB" w:rsidRPr="001567C8" w:rsidTr="00AE6945">
        <w:trPr>
          <w:cantSplit/>
          <w:trHeight w:val="26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Novčana sredstva i računi kod banaka</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929.211</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14.740</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464</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944.415</w:t>
            </w:r>
          </w:p>
        </w:tc>
      </w:tr>
      <w:tr w:rsidR="006977CB" w:rsidRPr="001567C8" w:rsidTr="00AE6945">
        <w:trPr>
          <w:cantSplit/>
          <w:trHeight w:val="26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Depoziti kod drugih banaka</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261.922</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261.925</w:t>
            </w:r>
          </w:p>
        </w:tc>
      </w:tr>
      <w:tr w:rsidR="006977CB" w:rsidRPr="001567C8" w:rsidTr="00AE6945">
        <w:trPr>
          <w:cantSplit/>
          <w:trHeight w:val="26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Krediti financijskim institucijama</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10.234.988</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10.234.988</w:t>
            </w:r>
          </w:p>
        </w:tc>
      </w:tr>
      <w:tr w:rsidR="006977CB" w:rsidRPr="001567C8" w:rsidTr="00AE6945">
        <w:trPr>
          <w:cantSplit/>
          <w:trHeight w:val="26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Krediti ostalim korisnicima</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11.736.094</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774.592</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12.510.686</w:t>
            </w:r>
          </w:p>
        </w:tc>
      </w:tr>
      <w:tr w:rsidR="006977CB" w:rsidRPr="001567C8" w:rsidTr="00AE6945">
        <w:trPr>
          <w:cantSplit/>
          <w:trHeight w:val="26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Financijska imovina po fer vrijednosti kroz dobit i</w:t>
            </w:r>
            <w:r w:rsidR="00316574" w:rsidRPr="001567C8">
              <w:rPr>
                <w:rFonts w:asciiTheme="minorHAnsi" w:hAnsiTheme="minorHAnsi"/>
                <w:sz w:val="19"/>
                <w:szCs w:val="19"/>
                <w:lang w:val="hr-HR"/>
              </w:rPr>
              <w:t>li</w:t>
            </w:r>
            <w:r w:rsidRPr="001567C8">
              <w:rPr>
                <w:rFonts w:asciiTheme="minorHAnsi" w:hAnsiTheme="minorHAnsi"/>
                <w:sz w:val="19"/>
                <w:szCs w:val="19"/>
                <w:lang w:val="hr-HR"/>
              </w:rPr>
              <w:t xml:space="preserve"> gubi</w:t>
            </w:r>
            <w:r w:rsidR="00316574" w:rsidRPr="001567C8">
              <w:rPr>
                <w:rFonts w:asciiTheme="minorHAnsi" w:hAnsiTheme="minorHAnsi"/>
                <w:sz w:val="19"/>
                <w:szCs w:val="19"/>
                <w:lang w:val="hr-HR"/>
              </w:rPr>
              <w:t>tak</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2.045</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2.045</w:t>
            </w:r>
          </w:p>
        </w:tc>
      </w:tr>
      <w:tr w:rsidR="006977CB" w:rsidRPr="001567C8" w:rsidTr="00AE6945">
        <w:trPr>
          <w:cantSplit/>
          <w:trHeight w:val="265"/>
          <w:tblHeader/>
        </w:trPr>
        <w:tc>
          <w:tcPr>
            <w:tcW w:w="2552" w:type="pct"/>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cs="Arial"/>
                <w:sz w:val="20"/>
                <w:lang w:val="hr-HR"/>
              </w:rPr>
              <w:t xml:space="preserve">Financijska imovina po fer vrijednosti kroz ostalu sveobuhvatnu dobit  </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2.803.761</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2.803.761</w:t>
            </w:r>
          </w:p>
        </w:tc>
      </w:tr>
      <w:tr w:rsidR="006977CB" w:rsidRPr="001567C8" w:rsidTr="00AE6945">
        <w:trPr>
          <w:cantSplit/>
          <w:trHeight w:val="265"/>
          <w:tblHeader/>
        </w:trPr>
        <w:tc>
          <w:tcPr>
            <w:tcW w:w="2552" w:type="pct"/>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cs="Arial"/>
                <w:sz w:val="20"/>
                <w:lang w:val="hr-HR"/>
              </w:rPr>
              <w:t xml:space="preserve">Dužnički </w:t>
            </w:r>
            <w:r w:rsidR="003119F2" w:rsidRPr="001567C8">
              <w:rPr>
                <w:rFonts w:asciiTheme="minorHAnsi" w:hAnsiTheme="minorHAnsi" w:cs="Arial"/>
                <w:sz w:val="20"/>
                <w:lang w:val="hr-HR"/>
              </w:rPr>
              <w:t>vrijednosni</w:t>
            </w:r>
            <w:r w:rsidRPr="001567C8">
              <w:rPr>
                <w:rFonts w:asciiTheme="minorHAnsi" w:hAnsiTheme="minorHAnsi" w:cs="Arial"/>
                <w:sz w:val="20"/>
                <w:lang w:val="hr-HR"/>
              </w:rPr>
              <w:t xml:space="preserve"> papiri po amortiziranom trošku</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1.363</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1.363</w:t>
            </w:r>
          </w:p>
        </w:tc>
      </w:tr>
      <w:tr w:rsidR="006977CB" w:rsidRPr="001567C8" w:rsidTr="00AE6945">
        <w:trPr>
          <w:cantSplit/>
          <w:trHeight w:val="26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Ostala imovina</w:t>
            </w:r>
          </w:p>
        </w:tc>
        <w:tc>
          <w:tcPr>
            <w:tcW w:w="612" w:type="pct"/>
            <w:tcBorders>
              <w:top w:val="nil"/>
              <w:left w:val="nil"/>
              <w:bottom w:val="single" w:sz="4"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5.362</w:t>
            </w:r>
          </w:p>
        </w:tc>
        <w:tc>
          <w:tcPr>
            <w:tcW w:w="612" w:type="pct"/>
            <w:tcBorders>
              <w:top w:val="nil"/>
              <w:left w:val="nil"/>
              <w:bottom w:val="single" w:sz="4"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7.293</w:t>
            </w:r>
          </w:p>
        </w:tc>
        <w:tc>
          <w:tcPr>
            <w:tcW w:w="612" w:type="pct"/>
            <w:tcBorders>
              <w:top w:val="nil"/>
              <w:left w:val="nil"/>
              <w:bottom w:val="single" w:sz="4"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67</w:t>
            </w:r>
          </w:p>
        </w:tc>
        <w:tc>
          <w:tcPr>
            <w:tcW w:w="611" w:type="pct"/>
            <w:tcBorders>
              <w:top w:val="nil"/>
              <w:left w:val="nil"/>
              <w:bottom w:val="single" w:sz="4"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12.722</w:t>
            </w:r>
          </w:p>
        </w:tc>
      </w:tr>
      <w:tr w:rsidR="006977CB" w:rsidRPr="001567C8" w:rsidTr="00AE6945">
        <w:trPr>
          <w:cantSplit/>
          <w:trHeight w:val="31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b/>
                <w:bCs/>
                <w:sz w:val="19"/>
                <w:szCs w:val="19"/>
                <w:lang w:val="hr-HR"/>
              </w:rPr>
            </w:pPr>
            <w:r w:rsidRPr="001567C8">
              <w:rPr>
                <w:rFonts w:asciiTheme="minorHAnsi" w:hAnsiTheme="minorHAnsi"/>
                <w:b/>
                <w:bCs/>
                <w:sz w:val="19"/>
                <w:szCs w:val="19"/>
                <w:lang w:val="hr-HR"/>
              </w:rPr>
              <w:t xml:space="preserve">Ukupno </w:t>
            </w:r>
          </w:p>
        </w:tc>
        <w:tc>
          <w:tcPr>
            <w:tcW w:w="612" w:type="pct"/>
            <w:tcBorders>
              <w:top w:val="nil"/>
              <w:left w:val="nil"/>
              <w:bottom w:val="single" w:sz="8"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25.974.746</w:t>
            </w:r>
          </w:p>
        </w:tc>
        <w:tc>
          <w:tcPr>
            <w:tcW w:w="612" w:type="pct"/>
            <w:tcBorders>
              <w:top w:val="nil"/>
              <w:left w:val="nil"/>
              <w:bottom w:val="single" w:sz="8"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22.036</w:t>
            </w:r>
          </w:p>
        </w:tc>
        <w:tc>
          <w:tcPr>
            <w:tcW w:w="612" w:type="pct"/>
            <w:tcBorders>
              <w:top w:val="nil"/>
              <w:left w:val="nil"/>
              <w:bottom w:val="single" w:sz="8"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775.123</w:t>
            </w:r>
          </w:p>
        </w:tc>
        <w:tc>
          <w:tcPr>
            <w:tcW w:w="611" w:type="pct"/>
            <w:tcBorders>
              <w:top w:val="nil"/>
              <w:left w:val="nil"/>
              <w:bottom w:val="single" w:sz="8"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26.771.905</w:t>
            </w:r>
          </w:p>
        </w:tc>
      </w:tr>
      <w:tr w:rsidR="00C82C97" w:rsidRPr="001567C8" w:rsidTr="006977CB">
        <w:tblPrEx>
          <w:tblCellMar>
            <w:left w:w="31" w:type="dxa"/>
            <w:right w:w="31" w:type="dxa"/>
          </w:tblCellMar>
        </w:tblPrEx>
        <w:trPr>
          <w:cantSplit/>
          <w:trHeight w:val="265"/>
          <w:tblHeader/>
        </w:trPr>
        <w:tc>
          <w:tcPr>
            <w:tcW w:w="2552" w:type="pct"/>
            <w:vAlign w:val="bottom"/>
          </w:tcPr>
          <w:p w:rsidR="00C82C97" w:rsidRPr="001567C8" w:rsidRDefault="00C82C97" w:rsidP="00C82C97">
            <w:pPr>
              <w:tabs>
                <w:tab w:val="right" w:pos="1202"/>
              </w:tabs>
              <w:spacing w:line="301" w:lineRule="exact"/>
              <w:outlineLvl w:val="0"/>
              <w:rPr>
                <w:rFonts w:asciiTheme="minorHAnsi" w:hAnsiTheme="minorHAnsi"/>
                <w:b/>
                <w:bCs/>
                <w:sz w:val="19"/>
                <w:szCs w:val="19"/>
                <w:lang w:val="hr-HR"/>
              </w:rPr>
            </w:pPr>
          </w:p>
        </w:tc>
        <w:tc>
          <w:tcPr>
            <w:tcW w:w="612" w:type="pct"/>
            <w:tcBorders>
              <w:top w:val="single" w:sz="12" w:space="0" w:color="auto"/>
            </w:tcBorders>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sz w:val="19"/>
                <w:szCs w:val="19"/>
                <w:lang w:val="hr-HR"/>
              </w:rPr>
            </w:pPr>
          </w:p>
        </w:tc>
        <w:tc>
          <w:tcPr>
            <w:tcW w:w="612" w:type="pct"/>
            <w:tcBorders>
              <w:top w:val="single" w:sz="12" w:space="0" w:color="auto"/>
            </w:tcBorders>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sz w:val="19"/>
                <w:szCs w:val="19"/>
                <w:lang w:val="hr-HR"/>
              </w:rPr>
            </w:pPr>
          </w:p>
        </w:tc>
        <w:tc>
          <w:tcPr>
            <w:tcW w:w="612" w:type="pct"/>
            <w:tcBorders>
              <w:top w:val="single" w:sz="12" w:space="0" w:color="auto"/>
            </w:tcBorders>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sz w:val="19"/>
                <w:szCs w:val="19"/>
                <w:lang w:val="hr-HR"/>
              </w:rPr>
            </w:pPr>
          </w:p>
        </w:tc>
        <w:tc>
          <w:tcPr>
            <w:tcW w:w="611" w:type="pct"/>
            <w:tcBorders>
              <w:top w:val="single" w:sz="12" w:space="0" w:color="auto"/>
            </w:tcBorders>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sz w:val="19"/>
                <w:szCs w:val="19"/>
                <w:lang w:val="hr-HR"/>
              </w:rPr>
            </w:pPr>
          </w:p>
        </w:tc>
      </w:tr>
      <w:tr w:rsidR="00C82C97" w:rsidRPr="001567C8" w:rsidTr="006977CB">
        <w:tblPrEx>
          <w:tblCellMar>
            <w:left w:w="31" w:type="dxa"/>
            <w:right w:w="31" w:type="dxa"/>
          </w:tblCellMar>
        </w:tblPrEx>
        <w:trPr>
          <w:cantSplit/>
          <w:trHeight w:val="265"/>
          <w:tblHeader/>
        </w:trPr>
        <w:tc>
          <w:tcPr>
            <w:tcW w:w="2552" w:type="pct"/>
          </w:tcPr>
          <w:p w:rsidR="00C82C97" w:rsidRPr="001567C8" w:rsidRDefault="00C82C97" w:rsidP="00C82C97">
            <w:pPr>
              <w:tabs>
                <w:tab w:val="right" w:pos="1202"/>
              </w:tabs>
              <w:spacing w:line="301" w:lineRule="exact"/>
              <w:outlineLvl w:val="0"/>
              <w:rPr>
                <w:rFonts w:asciiTheme="minorHAnsi" w:hAnsiTheme="minorHAnsi"/>
                <w:b/>
                <w:bCs/>
                <w:sz w:val="19"/>
                <w:szCs w:val="19"/>
                <w:lang w:val="hr-HR"/>
              </w:rPr>
            </w:pPr>
            <w:r w:rsidRPr="001567C8">
              <w:rPr>
                <w:rFonts w:asciiTheme="minorHAnsi" w:hAnsiTheme="minorHAnsi" w:cs="Arial"/>
                <w:b/>
                <w:bCs/>
                <w:sz w:val="19"/>
                <w:szCs w:val="19"/>
                <w:lang w:val="hr-HR"/>
              </w:rPr>
              <w:t>Garancije i preuzete obveze</w:t>
            </w:r>
          </w:p>
        </w:tc>
        <w:tc>
          <w:tcPr>
            <w:tcW w:w="612" w:type="pct"/>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sz w:val="19"/>
                <w:szCs w:val="19"/>
                <w:lang w:val="hr-HR"/>
              </w:rPr>
            </w:pPr>
          </w:p>
        </w:tc>
        <w:tc>
          <w:tcPr>
            <w:tcW w:w="612" w:type="pct"/>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sz w:val="19"/>
                <w:szCs w:val="19"/>
                <w:lang w:val="hr-HR"/>
              </w:rPr>
            </w:pPr>
          </w:p>
        </w:tc>
        <w:tc>
          <w:tcPr>
            <w:tcW w:w="612" w:type="pct"/>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sz w:val="19"/>
                <w:szCs w:val="19"/>
                <w:lang w:val="hr-HR"/>
              </w:rPr>
            </w:pPr>
          </w:p>
        </w:tc>
        <w:tc>
          <w:tcPr>
            <w:tcW w:w="611" w:type="pct"/>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sz w:val="19"/>
                <w:szCs w:val="19"/>
                <w:lang w:val="hr-HR"/>
              </w:rPr>
            </w:pPr>
          </w:p>
        </w:tc>
      </w:tr>
      <w:tr w:rsidR="006977CB" w:rsidRPr="001567C8" w:rsidTr="00AE6945">
        <w:tblPrEx>
          <w:tblCellMar>
            <w:left w:w="31" w:type="dxa"/>
            <w:right w:w="31" w:type="dxa"/>
          </w:tblCellMar>
        </w:tblPrEx>
        <w:trPr>
          <w:cantSplit/>
          <w:trHeight w:val="265"/>
          <w:tblHeader/>
        </w:trPr>
        <w:tc>
          <w:tcPr>
            <w:tcW w:w="2552" w:type="pct"/>
          </w:tcPr>
          <w:p w:rsidR="006977CB" w:rsidRPr="001567C8" w:rsidRDefault="006977CB" w:rsidP="006977CB">
            <w:pPr>
              <w:tabs>
                <w:tab w:val="right" w:pos="1202"/>
              </w:tabs>
              <w:spacing w:line="301" w:lineRule="exact"/>
              <w:outlineLvl w:val="0"/>
              <w:rPr>
                <w:rFonts w:asciiTheme="minorHAnsi" w:hAnsiTheme="minorHAnsi" w:cs="Arial"/>
                <w:b/>
                <w:bCs/>
                <w:sz w:val="19"/>
                <w:szCs w:val="19"/>
                <w:lang w:val="hr-HR"/>
              </w:rPr>
            </w:pPr>
            <w:r w:rsidRPr="001567C8">
              <w:rPr>
                <w:rFonts w:asciiTheme="minorHAnsi" w:hAnsiTheme="minorHAnsi" w:cs="Arial"/>
                <w:sz w:val="19"/>
                <w:szCs w:val="19"/>
                <w:lang w:val="hr-HR"/>
              </w:rPr>
              <w:t>Izdane garancije u kunama</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33.576</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33.576</w:t>
            </w:r>
          </w:p>
        </w:tc>
      </w:tr>
      <w:tr w:rsidR="006977CB" w:rsidRPr="001567C8" w:rsidTr="00AE6945">
        <w:tblPrEx>
          <w:tblCellMar>
            <w:left w:w="31" w:type="dxa"/>
            <w:right w:w="31" w:type="dxa"/>
          </w:tblCellMar>
        </w:tblPrEx>
        <w:trPr>
          <w:cantSplit/>
          <w:trHeight w:val="26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Izdane garancije u devizama</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1.822.396</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1.822.396</w:t>
            </w:r>
          </w:p>
        </w:tc>
      </w:tr>
      <w:tr w:rsidR="006977CB" w:rsidRPr="001567C8" w:rsidTr="00AE6945">
        <w:tblPrEx>
          <w:tblCellMar>
            <w:left w:w="31" w:type="dxa"/>
            <w:right w:w="31" w:type="dxa"/>
          </w:tblCellMar>
        </w:tblPrEx>
        <w:trPr>
          <w:cantSplit/>
          <w:trHeight w:val="26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Preuzete obveze po kreditima</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2.788.456</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2"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502.576</w:t>
            </w:r>
          </w:p>
        </w:tc>
        <w:tc>
          <w:tcPr>
            <w:tcW w:w="611" w:type="pct"/>
            <w:tcBorders>
              <w:top w:val="nil"/>
              <w:left w:val="nil"/>
              <w:bottom w:val="nil"/>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3.291.032</w:t>
            </w:r>
          </w:p>
        </w:tc>
      </w:tr>
      <w:tr w:rsidR="006977CB" w:rsidRPr="001567C8" w:rsidTr="00AE6945">
        <w:tblPrEx>
          <w:tblCellMar>
            <w:left w:w="31" w:type="dxa"/>
            <w:right w:w="31" w:type="dxa"/>
          </w:tblCellMar>
        </w:tblPrEx>
        <w:trPr>
          <w:cantSplit/>
          <w:trHeight w:val="26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Ostale nespomenute neopozive potencijalne obveze</w:t>
            </w:r>
          </w:p>
        </w:tc>
        <w:tc>
          <w:tcPr>
            <w:tcW w:w="612" w:type="pct"/>
            <w:tcBorders>
              <w:top w:val="nil"/>
              <w:left w:val="nil"/>
              <w:bottom w:val="single" w:sz="4"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93</w:t>
            </w:r>
          </w:p>
        </w:tc>
        <w:tc>
          <w:tcPr>
            <w:tcW w:w="612" w:type="pct"/>
            <w:tcBorders>
              <w:top w:val="nil"/>
              <w:left w:val="nil"/>
              <w:bottom w:val="single" w:sz="4"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2" w:type="pct"/>
            <w:tcBorders>
              <w:top w:val="nil"/>
              <w:left w:val="nil"/>
              <w:bottom w:val="single" w:sz="4"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11" w:type="pct"/>
            <w:tcBorders>
              <w:top w:val="nil"/>
              <w:left w:val="nil"/>
              <w:bottom w:val="single" w:sz="4"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93</w:t>
            </w:r>
          </w:p>
        </w:tc>
      </w:tr>
      <w:tr w:rsidR="006977CB" w:rsidRPr="001567C8" w:rsidTr="00AE6945">
        <w:tblPrEx>
          <w:tblCellMar>
            <w:left w:w="31" w:type="dxa"/>
            <w:right w:w="31" w:type="dxa"/>
          </w:tblCellMar>
        </w:tblPrEx>
        <w:trPr>
          <w:cantSplit/>
          <w:trHeight w:val="393"/>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sz w:val="19"/>
                <w:szCs w:val="19"/>
                <w:lang w:val="hr-HR"/>
              </w:rPr>
            </w:pPr>
            <w:r w:rsidRPr="001567C8">
              <w:rPr>
                <w:rFonts w:asciiTheme="minorHAnsi" w:hAnsiTheme="minorHAnsi"/>
                <w:b/>
                <w:bCs/>
                <w:sz w:val="19"/>
                <w:szCs w:val="19"/>
                <w:lang w:val="hr-HR"/>
              </w:rPr>
              <w:t>Ukupno</w:t>
            </w:r>
          </w:p>
        </w:tc>
        <w:tc>
          <w:tcPr>
            <w:tcW w:w="612" w:type="pct"/>
            <w:tcBorders>
              <w:top w:val="nil"/>
              <w:left w:val="nil"/>
              <w:bottom w:val="single" w:sz="12"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4.644.521</w:t>
            </w:r>
          </w:p>
        </w:tc>
        <w:tc>
          <w:tcPr>
            <w:tcW w:w="612" w:type="pct"/>
            <w:tcBorders>
              <w:top w:val="nil"/>
              <w:left w:val="nil"/>
              <w:bottom w:val="single" w:sz="12"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w:t>
            </w:r>
          </w:p>
        </w:tc>
        <w:tc>
          <w:tcPr>
            <w:tcW w:w="612" w:type="pct"/>
            <w:tcBorders>
              <w:top w:val="nil"/>
              <w:left w:val="nil"/>
              <w:bottom w:val="single" w:sz="12"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502.576</w:t>
            </w:r>
          </w:p>
        </w:tc>
        <w:tc>
          <w:tcPr>
            <w:tcW w:w="611" w:type="pct"/>
            <w:tcBorders>
              <w:top w:val="nil"/>
              <w:left w:val="nil"/>
              <w:bottom w:val="single" w:sz="12"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5.147.097</w:t>
            </w:r>
          </w:p>
        </w:tc>
      </w:tr>
      <w:tr w:rsidR="00C82C97" w:rsidRPr="001567C8" w:rsidTr="006977CB">
        <w:tblPrEx>
          <w:tblCellMar>
            <w:left w:w="31" w:type="dxa"/>
            <w:right w:w="31" w:type="dxa"/>
          </w:tblCellMar>
        </w:tblPrEx>
        <w:trPr>
          <w:cantSplit/>
          <w:trHeight w:hRule="exact" w:val="120"/>
          <w:tblHeader/>
        </w:trPr>
        <w:tc>
          <w:tcPr>
            <w:tcW w:w="2552" w:type="pct"/>
            <w:vAlign w:val="bottom"/>
          </w:tcPr>
          <w:p w:rsidR="00C82C97" w:rsidRPr="001567C8" w:rsidRDefault="00C82C97" w:rsidP="00C82C97">
            <w:pPr>
              <w:tabs>
                <w:tab w:val="right" w:pos="1202"/>
              </w:tabs>
              <w:spacing w:line="301" w:lineRule="exact"/>
              <w:outlineLvl w:val="0"/>
              <w:rPr>
                <w:rFonts w:asciiTheme="minorHAnsi" w:hAnsiTheme="minorHAnsi"/>
                <w:sz w:val="19"/>
                <w:szCs w:val="19"/>
                <w:lang w:val="hr-HR"/>
              </w:rPr>
            </w:pPr>
          </w:p>
        </w:tc>
        <w:tc>
          <w:tcPr>
            <w:tcW w:w="612" w:type="pct"/>
            <w:tcBorders>
              <w:top w:val="single" w:sz="12" w:space="0" w:color="auto"/>
            </w:tcBorders>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b/>
                <w:sz w:val="19"/>
                <w:szCs w:val="19"/>
                <w:lang w:val="hr-HR"/>
              </w:rPr>
            </w:pPr>
          </w:p>
        </w:tc>
        <w:tc>
          <w:tcPr>
            <w:tcW w:w="612" w:type="pct"/>
            <w:tcBorders>
              <w:top w:val="single" w:sz="12" w:space="0" w:color="auto"/>
            </w:tcBorders>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b/>
                <w:sz w:val="19"/>
                <w:szCs w:val="19"/>
                <w:lang w:val="hr-HR"/>
              </w:rPr>
            </w:pPr>
          </w:p>
        </w:tc>
        <w:tc>
          <w:tcPr>
            <w:tcW w:w="612" w:type="pct"/>
            <w:tcBorders>
              <w:top w:val="single" w:sz="12" w:space="0" w:color="auto"/>
            </w:tcBorders>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b/>
                <w:sz w:val="19"/>
                <w:szCs w:val="19"/>
                <w:lang w:val="hr-HR"/>
              </w:rPr>
            </w:pPr>
          </w:p>
        </w:tc>
        <w:tc>
          <w:tcPr>
            <w:tcW w:w="611" w:type="pct"/>
            <w:tcBorders>
              <w:top w:val="single" w:sz="12" w:space="0" w:color="auto"/>
            </w:tcBorders>
            <w:vAlign w:val="bottom"/>
          </w:tcPr>
          <w:p w:rsidR="00C82C97" w:rsidRPr="001567C8" w:rsidRDefault="00C82C97" w:rsidP="006977CB">
            <w:pPr>
              <w:tabs>
                <w:tab w:val="right" w:pos="1202"/>
              </w:tabs>
              <w:spacing w:line="301" w:lineRule="exact"/>
              <w:jc w:val="right"/>
              <w:outlineLvl w:val="0"/>
              <w:rPr>
                <w:rFonts w:asciiTheme="minorHAnsi" w:hAnsiTheme="minorHAnsi" w:cstheme="minorHAnsi"/>
                <w:b/>
                <w:sz w:val="19"/>
                <w:szCs w:val="19"/>
                <w:lang w:val="hr-HR"/>
              </w:rPr>
            </w:pPr>
          </w:p>
        </w:tc>
      </w:tr>
      <w:tr w:rsidR="006977CB" w:rsidRPr="001567C8" w:rsidTr="00AE6945">
        <w:tblPrEx>
          <w:tblCellMar>
            <w:left w:w="31" w:type="dxa"/>
            <w:right w:w="31" w:type="dxa"/>
          </w:tblCellMar>
        </w:tblPrEx>
        <w:trPr>
          <w:cantSplit/>
          <w:trHeight w:val="375"/>
          <w:tblHeader/>
        </w:trPr>
        <w:tc>
          <w:tcPr>
            <w:tcW w:w="2552" w:type="pct"/>
            <w:vAlign w:val="bottom"/>
          </w:tcPr>
          <w:p w:rsidR="006977CB" w:rsidRPr="001567C8" w:rsidRDefault="006977CB" w:rsidP="006977CB">
            <w:pPr>
              <w:tabs>
                <w:tab w:val="right" w:pos="1202"/>
              </w:tabs>
              <w:spacing w:line="301" w:lineRule="exact"/>
              <w:outlineLvl w:val="0"/>
              <w:rPr>
                <w:rFonts w:asciiTheme="minorHAnsi" w:hAnsiTheme="minorHAnsi"/>
                <w:b/>
                <w:bCs/>
                <w:sz w:val="19"/>
                <w:szCs w:val="19"/>
                <w:lang w:val="hr-HR"/>
              </w:rPr>
            </w:pPr>
            <w:r w:rsidRPr="001567C8">
              <w:rPr>
                <w:rFonts w:asciiTheme="minorHAnsi" w:hAnsiTheme="minorHAnsi" w:cs="Arial"/>
                <w:b/>
                <w:bCs/>
                <w:sz w:val="19"/>
                <w:szCs w:val="19"/>
                <w:lang w:val="hr-HR"/>
              </w:rPr>
              <w:t>Ukupna izloženost kreditnom riziku</w:t>
            </w:r>
          </w:p>
        </w:tc>
        <w:tc>
          <w:tcPr>
            <w:tcW w:w="612" w:type="pct"/>
            <w:tcBorders>
              <w:top w:val="nil"/>
              <w:left w:val="nil"/>
              <w:bottom w:val="single" w:sz="12"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30.619.267</w:t>
            </w:r>
          </w:p>
        </w:tc>
        <w:tc>
          <w:tcPr>
            <w:tcW w:w="612" w:type="pct"/>
            <w:tcBorders>
              <w:top w:val="nil"/>
              <w:left w:val="nil"/>
              <w:bottom w:val="single" w:sz="12"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22.036</w:t>
            </w:r>
          </w:p>
        </w:tc>
        <w:tc>
          <w:tcPr>
            <w:tcW w:w="612" w:type="pct"/>
            <w:tcBorders>
              <w:top w:val="nil"/>
              <w:left w:val="nil"/>
              <w:bottom w:val="single" w:sz="12"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1.277.699</w:t>
            </w:r>
          </w:p>
        </w:tc>
        <w:tc>
          <w:tcPr>
            <w:tcW w:w="611" w:type="pct"/>
            <w:tcBorders>
              <w:top w:val="nil"/>
              <w:left w:val="nil"/>
              <w:bottom w:val="single" w:sz="12" w:space="0" w:color="auto"/>
              <w:right w:val="nil"/>
            </w:tcBorders>
            <w:shd w:val="clear" w:color="auto" w:fill="auto"/>
            <w:vAlign w:val="bottom"/>
          </w:tcPr>
          <w:p w:rsidR="006977CB" w:rsidRPr="001567C8" w:rsidRDefault="006977CB" w:rsidP="006977CB">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31.919.002</w:t>
            </w:r>
          </w:p>
        </w:tc>
      </w:tr>
      <w:tr w:rsidR="00085453" w:rsidRPr="001567C8" w:rsidTr="00EB4107">
        <w:tblPrEx>
          <w:tblCellMar>
            <w:left w:w="31" w:type="dxa"/>
            <w:right w:w="31" w:type="dxa"/>
          </w:tblCellMar>
        </w:tblPrEx>
        <w:trPr>
          <w:cantSplit/>
          <w:trHeight w:hRule="exact" w:val="149"/>
          <w:tblHeader/>
        </w:trPr>
        <w:tc>
          <w:tcPr>
            <w:tcW w:w="2552" w:type="pct"/>
            <w:vAlign w:val="bottom"/>
          </w:tcPr>
          <w:p w:rsidR="00085453" w:rsidRPr="001567C8" w:rsidRDefault="00085453" w:rsidP="00830F63">
            <w:pPr>
              <w:tabs>
                <w:tab w:val="right" w:pos="1202"/>
              </w:tabs>
              <w:outlineLvl w:val="0"/>
              <w:rPr>
                <w:rFonts w:asciiTheme="minorHAnsi" w:hAnsiTheme="minorHAnsi"/>
                <w:b/>
                <w:bCs/>
                <w:sz w:val="19"/>
                <w:szCs w:val="19"/>
                <w:lang w:val="hr-HR"/>
              </w:rPr>
            </w:pPr>
          </w:p>
        </w:tc>
        <w:tc>
          <w:tcPr>
            <w:tcW w:w="612" w:type="pct"/>
            <w:tcBorders>
              <w:top w:val="single" w:sz="12" w:space="0" w:color="auto"/>
            </w:tcBorders>
            <w:vAlign w:val="bottom"/>
          </w:tcPr>
          <w:p w:rsidR="00085453" w:rsidRPr="001567C8" w:rsidRDefault="00085453">
            <w:pPr>
              <w:tabs>
                <w:tab w:val="right" w:pos="1202"/>
              </w:tabs>
              <w:jc w:val="right"/>
              <w:outlineLvl w:val="0"/>
              <w:rPr>
                <w:rFonts w:asciiTheme="minorHAnsi" w:hAnsiTheme="minorHAnsi" w:cs="Arial"/>
                <w:b/>
                <w:sz w:val="19"/>
                <w:szCs w:val="19"/>
                <w:lang w:val="hr-HR"/>
              </w:rPr>
            </w:pPr>
          </w:p>
        </w:tc>
        <w:tc>
          <w:tcPr>
            <w:tcW w:w="612" w:type="pct"/>
            <w:tcBorders>
              <w:top w:val="single" w:sz="12" w:space="0" w:color="auto"/>
            </w:tcBorders>
            <w:vAlign w:val="bottom"/>
          </w:tcPr>
          <w:p w:rsidR="00085453" w:rsidRPr="001567C8" w:rsidRDefault="00085453">
            <w:pPr>
              <w:tabs>
                <w:tab w:val="right" w:pos="1202"/>
              </w:tabs>
              <w:jc w:val="right"/>
              <w:outlineLvl w:val="0"/>
              <w:rPr>
                <w:rFonts w:asciiTheme="minorHAnsi" w:hAnsiTheme="minorHAnsi" w:cs="Arial"/>
                <w:b/>
                <w:sz w:val="19"/>
                <w:szCs w:val="19"/>
                <w:lang w:val="hr-HR"/>
              </w:rPr>
            </w:pPr>
          </w:p>
        </w:tc>
        <w:tc>
          <w:tcPr>
            <w:tcW w:w="612" w:type="pct"/>
            <w:tcBorders>
              <w:top w:val="single" w:sz="12" w:space="0" w:color="auto"/>
            </w:tcBorders>
            <w:vAlign w:val="bottom"/>
          </w:tcPr>
          <w:p w:rsidR="00085453" w:rsidRPr="001567C8" w:rsidRDefault="00085453">
            <w:pPr>
              <w:tabs>
                <w:tab w:val="right" w:pos="1202"/>
              </w:tabs>
              <w:jc w:val="right"/>
              <w:outlineLvl w:val="0"/>
              <w:rPr>
                <w:rFonts w:asciiTheme="minorHAnsi" w:hAnsiTheme="minorHAnsi" w:cs="Arial"/>
                <w:b/>
                <w:sz w:val="19"/>
                <w:szCs w:val="19"/>
                <w:lang w:val="hr-HR"/>
              </w:rPr>
            </w:pPr>
          </w:p>
        </w:tc>
        <w:tc>
          <w:tcPr>
            <w:tcW w:w="611" w:type="pct"/>
            <w:tcBorders>
              <w:top w:val="single" w:sz="12" w:space="0" w:color="auto"/>
            </w:tcBorders>
            <w:vAlign w:val="bottom"/>
          </w:tcPr>
          <w:p w:rsidR="00085453" w:rsidRPr="001567C8" w:rsidRDefault="00085453">
            <w:pPr>
              <w:tabs>
                <w:tab w:val="right" w:pos="1202"/>
              </w:tabs>
              <w:jc w:val="right"/>
              <w:outlineLvl w:val="0"/>
              <w:rPr>
                <w:rFonts w:asciiTheme="minorHAnsi" w:hAnsiTheme="minorHAnsi" w:cs="Arial"/>
                <w:b/>
                <w:sz w:val="19"/>
                <w:szCs w:val="19"/>
                <w:lang w:val="hr-HR"/>
              </w:rPr>
            </w:pPr>
          </w:p>
        </w:tc>
      </w:tr>
      <w:bookmarkEnd w:id="77"/>
    </w:tbl>
    <w:p w:rsidR="00A31858" w:rsidRPr="001567C8" w:rsidRDefault="00A31858">
      <w:pPr>
        <w:rPr>
          <w:rFonts w:asciiTheme="minorHAnsi" w:hAnsiTheme="minorHAnsi" w:cs="Arial"/>
          <w:b/>
          <w:bCs/>
          <w:sz w:val="22"/>
          <w:szCs w:val="22"/>
          <w:lang w:val="hr-HR"/>
        </w:rPr>
      </w:pPr>
    </w:p>
    <w:p w:rsidR="00513A7F" w:rsidRPr="001567C8" w:rsidRDefault="00513A7F">
      <w:pPr>
        <w:rPr>
          <w:rFonts w:asciiTheme="minorHAnsi" w:hAnsiTheme="minorHAnsi" w:cs="Arial"/>
          <w:b/>
          <w:bCs/>
          <w:sz w:val="22"/>
          <w:szCs w:val="22"/>
          <w:lang w:val="hr-HR"/>
        </w:rPr>
      </w:pPr>
    </w:p>
    <w:p w:rsidR="00513A7F" w:rsidRPr="001567C8" w:rsidRDefault="00513A7F">
      <w:pPr>
        <w:rPr>
          <w:rFonts w:asciiTheme="minorHAnsi" w:hAnsiTheme="minorHAnsi" w:cs="Arial"/>
          <w:b/>
          <w:bCs/>
          <w:sz w:val="22"/>
          <w:szCs w:val="22"/>
          <w:lang w:val="hr-HR"/>
        </w:rPr>
        <w:sectPr w:rsidR="00513A7F" w:rsidRPr="001567C8" w:rsidSect="003E2D7A">
          <w:pgSz w:w="11907" w:h="16840" w:code="9"/>
          <w:pgMar w:top="1418" w:right="1134" w:bottom="1134" w:left="1418" w:header="851" w:footer="851" w:gutter="0"/>
          <w:cols w:space="720"/>
          <w:noEndnote/>
        </w:sectPr>
      </w:pPr>
    </w:p>
    <w:p w:rsidR="00347537" w:rsidRPr="001567C8" w:rsidRDefault="00347537" w:rsidP="00347537">
      <w:pPr>
        <w:pStyle w:val="T1"/>
        <w:spacing w:before="0" w:after="0" w:line="240" w:lineRule="auto"/>
        <w:rPr>
          <w:rFonts w:asciiTheme="minorHAnsi" w:hAnsiTheme="minorHAnsi" w:cs="Arial"/>
          <w:sz w:val="22"/>
          <w:szCs w:val="22"/>
          <w:lang w:val="hr-HR"/>
        </w:rPr>
      </w:pPr>
    </w:p>
    <w:p w:rsidR="0095365D"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95365D" w:rsidRPr="001567C8">
        <w:rPr>
          <w:rFonts w:asciiTheme="minorHAnsi" w:hAnsiTheme="minorHAnsi" w:cs="Arial"/>
          <w:sz w:val="22"/>
          <w:szCs w:val="22"/>
          <w:lang w:val="hr-HR"/>
        </w:rPr>
        <w:t>.</w:t>
      </w:r>
      <w:r w:rsidR="0095365D" w:rsidRPr="001567C8">
        <w:rPr>
          <w:rFonts w:asciiTheme="minorHAnsi" w:hAnsiTheme="minorHAnsi" w:cs="Arial"/>
          <w:sz w:val="22"/>
          <w:szCs w:val="22"/>
          <w:lang w:val="hr-HR"/>
        </w:rPr>
        <w:tab/>
        <w:t>Upravljanje rizicima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95365D"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95365D"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3</w:t>
      </w:r>
      <w:r w:rsidR="0095365D" w:rsidRPr="001567C8">
        <w:rPr>
          <w:rFonts w:asciiTheme="minorHAnsi" w:hAnsiTheme="minorHAnsi" w:cs="Arial"/>
          <w:sz w:val="22"/>
          <w:szCs w:val="22"/>
          <w:lang w:val="hr-HR"/>
        </w:rPr>
        <w:t xml:space="preserve">. </w:t>
      </w:r>
      <w:r w:rsidR="0095365D" w:rsidRPr="001567C8">
        <w:rPr>
          <w:rFonts w:asciiTheme="minorHAnsi" w:hAnsiTheme="minorHAnsi" w:cs="Arial"/>
          <w:sz w:val="22"/>
          <w:szCs w:val="22"/>
          <w:lang w:val="hr-HR"/>
        </w:rPr>
        <w:tab/>
        <w:t>Kreditni rizik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95365D" w:rsidRPr="001567C8" w:rsidRDefault="0095365D"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Koncentracija rizik</w:t>
      </w:r>
      <w:r w:rsidR="00793CCF" w:rsidRPr="001567C8">
        <w:rPr>
          <w:rFonts w:asciiTheme="minorHAnsi" w:hAnsiTheme="minorHAnsi" w:cs="Arial"/>
          <w:sz w:val="22"/>
          <w:szCs w:val="22"/>
          <w:lang w:val="hr-HR"/>
        </w:rPr>
        <w:t>a i maksimalna</w:t>
      </w:r>
      <w:r w:rsidRPr="001567C8">
        <w:rPr>
          <w:rFonts w:asciiTheme="minorHAnsi" w:hAnsiTheme="minorHAnsi" w:cs="Arial"/>
          <w:sz w:val="22"/>
          <w:szCs w:val="22"/>
          <w:lang w:val="hr-HR"/>
        </w:rPr>
        <w:t xml:space="preserve"> izloženost kreditnom riziku (nastavak)</w:t>
      </w:r>
    </w:p>
    <w:p w:rsidR="00347537" w:rsidRPr="001567C8" w:rsidRDefault="00347537" w:rsidP="00347537">
      <w:pPr>
        <w:pStyle w:val="T1"/>
        <w:spacing w:before="0" w:after="0" w:line="240" w:lineRule="auto"/>
        <w:rPr>
          <w:rFonts w:asciiTheme="minorHAnsi" w:hAnsiTheme="minorHAnsi" w:cs="Arial"/>
          <w:b w:val="0"/>
          <w:bCs w:val="0"/>
          <w:sz w:val="22"/>
          <w:szCs w:val="22"/>
          <w:lang w:val="hr-HR"/>
        </w:rPr>
      </w:pPr>
    </w:p>
    <w:p w:rsidR="0095365D" w:rsidRPr="001567C8" w:rsidRDefault="0095365D" w:rsidP="00347537">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Koncentracija </w:t>
      </w:r>
      <w:r w:rsidR="008D6072" w:rsidRPr="001567C8">
        <w:rPr>
          <w:rFonts w:asciiTheme="minorHAnsi" w:hAnsiTheme="minorHAnsi" w:cs="Arial"/>
          <w:b w:val="0"/>
          <w:bCs w:val="0"/>
          <w:sz w:val="22"/>
          <w:szCs w:val="22"/>
          <w:lang w:val="hr-HR"/>
        </w:rPr>
        <w:t>imovine</w:t>
      </w:r>
      <w:r w:rsidRPr="001567C8">
        <w:rPr>
          <w:rFonts w:asciiTheme="minorHAnsi" w:hAnsiTheme="minorHAnsi" w:cs="Arial"/>
          <w:b w:val="0"/>
          <w:bCs w:val="0"/>
          <w:sz w:val="22"/>
          <w:szCs w:val="22"/>
          <w:lang w:val="hr-HR"/>
        </w:rPr>
        <w:t xml:space="preserve"> i garancija </w:t>
      </w:r>
      <w:r w:rsidR="00F96790" w:rsidRPr="001567C8">
        <w:rPr>
          <w:rFonts w:asciiTheme="minorHAnsi" w:hAnsiTheme="minorHAnsi" w:cs="Arial"/>
          <w:b w:val="0"/>
          <w:bCs w:val="0"/>
          <w:sz w:val="22"/>
          <w:szCs w:val="22"/>
          <w:lang w:val="hr-HR"/>
        </w:rPr>
        <w:t xml:space="preserve">te </w:t>
      </w:r>
      <w:r w:rsidRPr="001567C8">
        <w:rPr>
          <w:rFonts w:asciiTheme="minorHAnsi" w:hAnsiTheme="minorHAnsi" w:cs="Arial"/>
          <w:b w:val="0"/>
          <w:bCs w:val="0"/>
          <w:sz w:val="22"/>
          <w:szCs w:val="22"/>
          <w:lang w:val="hr-HR"/>
        </w:rPr>
        <w:t xml:space="preserve">preuzetih obveza prema zemljopisnim segmentima, </w:t>
      </w:r>
      <w:r w:rsidR="003F0EC8" w:rsidRPr="001567C8">
        <w:rPr>
          <w:rFonts w:asciiTheme="minorHAnsi" w:hAnsiTheme="minorHAnsi" w:cs="Arial"/>
          <w:b w:val="0"/>
          <w:bCs w:val="0"/>
          <w:sz w:val="22"/>
          <w:szCs w:val="22"/>
          <w:lang w:val="hr-HR"/>
        </w:rPr>
        <w:t xml:space="preserve">neto izloženost, </w:t>
      </w:r>
      <w:r w:rsidR="00343152" w:rsidRPr="001567C8">
        <w:rPr>
          <w:rFonts w:asciiTheme="minorHAnsi" w:hAnsiTheme="minorHAnsi" w:cs="Arial"/>
          <w:b w:val="0"/>
          <w:sz w:val="22"/>
          <w:szCs w:val="22"/>
          <w:lang w:val="hr-HR"/>
        </w:rPr>
        <w:t>bez umanjenja za vrijednost sredstava osiguranja naplate</w:t>
      </w:r>
      <w:r w:rsidRPr="001567C8">
        <w:rPr>
          <w:rFonts w:asciiTheme="minorHAnsi" w:hAnsiTheme="minorHAnsi" w:cs="Arial"/>
          <w:b w:val="0"/>
          <w:bCs w:val="0"/>
          <w:sz w:val="22"/>
          <w:szCs w:val="22"/>
          <w:lang w:val="hr-HR"/>
        </w:rPr>
        <w:t xml:space="preserve"> (nastavak): </w:t>
      </w:r>
    </w:p>
    <w:p w:rsidR="00347537" w:rsidRPr="001567C8" w:rsidRDefault="00347537" w:rsidP="00347537">
      <w:pPr>
        <w:pStyle w:val="T1"/>
        <w:spacing w:before="0" w:after="0" w:line="240" w:lineRule="auto"/>
        <w:rPr>
          <w:rFonts w:asciiTheme="minorHAnsi" w:hAnsiTheme="minorHAnsi" w:cs="Arial"/>
          <w:b w:val="0"/>
          <w:bCs w:val="0"/>
          <w:sz w:val="22"/>
          <w:szCs w:val="22"/>
          <w:lang w:val="hr-HR"/>
        </w:rPr>
      </w:pPr>
    </w:p>
    <w:tbl>
      <w:tblPr>
        <w:tblW w:w="4985" w:type="pct"/>
        <w:tblLayout w:type="fixed"/>
        <w:tblCellMar>
          <w:left w:w="30" w:type="dxa"/>
          <w:right w:w="30" w:type="dxa"/>
        </w:tblCellMar>
        <w:tblLook w:val="0000" w:firstRow="0" w:lastRow="0" w:firstColumn="0" w:lastColumn="0" w:noHBand="0" w:noVBand="0"/>
      </w:tblPr>
      <w:tblGrid>
        <w:gridCol w:w="4761"/>
        <w:gridCol w:w="1142"/>
        <w:gridCol w:w="1142"/>
        <w:gridCol w:w="1142"/>
        <w:gridCol w:w="1140"/>
      </w:tblGrid>
      <w:tr w:rsidR="00F533CD" w:rsidRPr="001567C8" w:rsidTr="00393B53">
        <w:trPr>
          <w:cantSplit/>
          <w:trHeight w:val="265"/>
          <w:tblHeader/>
        </w:trPr>
        <w:tc>
          <w:tcPr>
            <w:tcW w:w="2552" w:type="pct"/>
          </w:tcPr>
          <w:p w:rsidR="00F533CD" w:rsidRPr="001567C8" w:rsidRDefault="00F533CD" w:rsidP="00393B53">
            <w:pPr>
              <w:tabs>
                <w:tab w:val="right" w:pos="1202"/>
              </w:tabs>
              <w:spacing w:line="240" w:lineRule="atLeast"/>
              <w:outlineLvl w:val="0"/>
              <w:rPr>
                <w:rFonts w:asciiTheme="minorHAnsi" w:hAnsiTheme="minorHAnsi" w:cs="Arial"/>
                <w:b/>
                <w:sz w:val="19"/>
                <w:szCs w:val="19"/>
                <w:lang w:val="hr-HR"/>
              </w:rPr>
            </w:pPr>
            <w:r w:rsidRPr="001567C8">
              <w:rPr>
                <w:rFonts w:asciiTheme="minorHAnsi" w:hAnsiTheme="minorHAnsi" w:cs="Arial"/>
                <w:b/>
                <w:sz w:val="19"/>
                <w:szCs w:val="19"/>
                <w:lang w:val="hr-HR"/>
              </w:rPr>
              <w:t>Grupa</w:t>
            </w:r>
          </w:p>
          <w:p w:rsidR="00F533CD" w:rsidRPr="001567C8" w:rsidRDefault="00F533CD" w:rsidP="00393B53">
            <w:pPr>
              <w:tabs>
                <w:tab w:val="right" w:pos="1202"/>
              </w:tabs>
              <w:spacing w:line="240" w:lineRule="atLeast"/>
              <w:outlineLvl w:val="0"/>
              <w:rPr>
                <w:rFonts w:asciiTheme="minorHAnsi" w:hAnsiTheme="minorHAnsi" w:cs="Arial"/>
                <w:b/>
                <w:sz w:val="19"/>
                <w:szCs w:val="19"/>
                <w:lang w:val="hr-HR"/>
              </w:rPr>
            </w:pPr>
          </w:p>
          <w:p w:rsidR="00F533CD" w:rsidRPr="001567C8" w:rsidRDefault="00AD2EF7" w:rsidP="00393B53">
            <w:pPr>
              <w:tabs>
                <w:tab w:val="right" w:pos="1202"/>
              </w:tabs>
              <w:spacing w:line="240" w:lineRule="atLeast"/>
              <w:outlineLvl w:val="0"/>
              <w:rPr>
                <w:rFonts w:asciiTheme="minorHAnsi" w:hAnsiTheme="minorHAnsi" w:cs="Arial"/>
                <w:b/>
                <w:sz w:val="19"/>
                <w:szCs w:val="19"/>
                <w:lang w:val="hr-HR"/>
              </w:rPr>
            </w:pPr>
            <w:r>
              <w:rPr>
                <w:rFonts w:asciiTheme="minorHAnsi" w:hAnsiTheme="minorHAnsi" w:cs="Arial"/>
                <w:b/>
                <w:sz w:val="19"/>
                <w:szCs w:val="19"/>
                <w:lang w:val="hr-HR"/>
              </w:rPr>
              <w:t>31. prosin</w:t>
            </w:r>
            <w:r w:rsidR="0073283D" w:rsidRPr="001567C8">
              <w:rPr>
                <w:rFonts w:asciiTheme="minorHAnsi" w:hAnsiTheme="minorHAnsi" w:cs="Arial"/>
                <w:b/>
                <w:sz w:val="19"/>
                <w:szCs w:val="19"/>
                <w:lang w:val="hr-HR"/>
              </w:rPr>
              <w:t>c</w:t>
            </w:r>
            <w:r>
              <w:rPr>
                <w:rFonts w:asciiTheme="minorHAnsi" w:hAnsiTheme="minorHAnsi" w:cs="Arial"/>
                <w:b/>
                <w:sz w:val="19"/>
                <w:szCs w:val="19"/>
                <w:lang w:val="hr-HR"/>
              </w:rPr>
              <w:t>a</w:t>
            </w:r>
            <w:r w:rsidR="0073283D" w:rsidRPr="001567C8">
              <w:rPr>
                <w:rFonts w:asciiTheme="minorHAnsi" w:hAnsiTheme="minorHAnsi" w:cs="Arial"/>
                <w:b/>
                <w:sz w:val="19"/>
                <w:szCs w:val="19"/>
                <w:lang w:val="hr-HR"/>
              </w:rPr>
              <w:t xml:space="preserve"> </w:t>
            </w:r>
            <w:r w:rsidR="00F533CD" w:rsidRPr="001567C8">
              <w:rPr>
                <w:rFonts w:asciiTheme="minorHAnsi" w:hAnsiTheme="minorHAnsi" w:cs="Arial"/>
                <w:b/>
                <w:sz w:val="19"/>
                <w:szCs w:val="19"/>
                <w:lang w:val="hr-HR"/>
              </w:rPr>
              <w:t>2017. godina</w:t>
            </w:r>
          </w:p>
        </w:tc>
        <w:tc>
          <w:tcPr>
            <w:tcW w:w="612" w:type="pct"/>
            <w:vAlign w:val="bottom"/>
          </w:tcPr>
          <w:p w:rsidR="00F533CD" w:rsidRPr="001567C8" w:rsidRDefault="00F533CD"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Republika Hrvatska</w:t>
            </w:r>
          </w:p>
        </w:tc>
        <w:tc>
          <w:tcPr>
            <w:tcW w:w="612" w:type="pct"/>
            <w:vAlign w:val="bottom"/>
          </w:tcPr>
          <w:p w:rsidR="00F533CD" w:rsidRPr="001567C8" w:rsidRDefault="00F533CD"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Zemlje Europske unije</w:t>
            </w:r>
          </w:p>
        </w:tc>
        <w:tc>
          <w:tcPr>
            <w:tcW w:w="612" w:type="pct"/>
            <w:vAlign w:val="bottom"/>
          </w:tcPr>
          <w:p w:rsidR="00F533CD" w:rsidRPr="001567C8" w:rsidRDefault="00F533CD"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 xml:space="preserve">Ostale zemlje </w:t>
            </w:r>
          </w:p>
        </w:tc>
        <w:tc>
          <w:tcPr>
            <w:tcW w:w="611" w:type="pct"/>
            <w:vAlign w:val="bottom"/>
          </w:tcPr>
          <w:p w:rsidR="00F533CD" w:rsidRPr="001567C8" w:rsidRDefault="00F533CD"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Ukupno</w:t>
            </w:r>
          </w:p>
        </w:tc>
      </w:tr>
      <w:tr w:rsidR="00F533CD" w:rsidRPr="001567C8" w:rsidTr="00393B53">
        <w:trPr>
          <w:cantSplit/>
          <w:trHeight w:val="265"/>
          <w:tblHeader/>
        </w:trPr>
        <w:tc>
          <w:tcPr>
            <w:tcW w:w="2552" w:type="pct"/>
          </w:tcPr>
          <w:p w:rsidR="00F533CD" w:rsidRPr="001567C8" w:rsidRDefault="00F533CD" w:rsidP="00393B53">
            <w:pPr>
              <w:ind w:left="113" w:hanging="113"/>
              <w:rPr>
                <w:rFonts w:asciiTheme="minorHAnsi" w:hAnsiTheme="minorHAnsi" w:cs="Arial"/>
                <w:sz w:val="19"/>
                <w:szCs w:val="19"/>
                <w:lang w:val="hr-HR"/>
              </w:rPr>
            </w:pPr>
          </w:p>
        </w:tc>
        <w:tc>
          <w:tcPr>
            <w:tcW w:w="612" w:type="pct"/>
            <w:vAlign w:val="bottom"/>
          </w:tcPr>
          <w:p w:rsidR="00F533CD" w:rsidRPr="001567C8" w:rsidRDefault="00F533CD"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c>
          <w:tcPr>
            <w:tcW w:w="612" w:type="pct"/>
            <w:vAlign w:val="bottom"/>
          </w:tcPr>
          <w:p w:rsidR="00F533CD" w:rsidRPr="001567C8" w:rsidRDefault="00F533CD"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c>
          <w:tcPr>
            <w:tcW w:w="612" w:type="pct"/>
            <w:vAlign w:val="bottom"/>
          </w:tcPr>
          <w:p w:rsidR="00F533CD" w:rsidRPr="001567C8" w:rsidRDefault="00F533CD"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c>
          <w:tcPr>
            <w:tcW w:w="611" w:type="pct"/>
            <w:vAlign w:val="bottom"/>
          </w:tcPr>
          <w:p w:rsidR="00F533CD" w:rsidRPr="001567C8" w:rsidRDefault="00F533CD"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r>
      <w:tr w:rsidR="00F533CD" w:rsidRPr="001567C8" w:rsidTr="00393B53">
        <w:trPr>
          <w:cantSplit/>
          <w:trHeight w:val="265"/>
          <w:tblHeader/>
        </w:trPr>
        <w:tc>
          <w:tcPr>
            <w:tcW w:w="2552" w:type="pct"/>
          </w:tcPr>
          <w:p w:rsidR="00F533CD" w:rsidRPr="001567C8" w:rsidRDefault="00F533CD" w:rsidP="00393B53">
            <w:pPr>
              <w:ind w:left="113" w:hanging="113"/>
              <w:rPr>
                <w:rFonts w:asciiTheme="minorHAnsi" w:hAnsiTheme="minorHAnsi" w:cs="Arial"/>
                <w:sz w:val="19"/>
                <w:szCs w:val="19"/>
                <w:lang w:val="hr-HR"/>
              </w:rPr>
            </w:pPr>
          </w:p>
        </w:tc>
        <w:tc>
          <w:tcPr>
            <w:tcW w:w="612" w:type="pct"/>
          </w:tcPr>
          <w:p w:rsidR="00F533CD" w:rsidRPr="001567C8" w:rsidRDefault="00F533CD" w:rsidP="00393B53">
            <w:pPr>
              <w:jc w:val="right"/>
              <w:rPr>
                <w:rFonts w:asciiTheme="minorHAnsi" w:hAnsiTheme="minorHAnsi" w:cs="Arial"/>
                <w:sz w:val="19"/>
                <w:szCs w:val="19"/>
                <w:lang w:val="hr-HR"/>
              </w:rPr>
            </w:pPr>
          </w:p>
        </w:tc>
        <w:tc>
          <w:tcPr>
            <w:tcW w:w="612" w:type="pct"/>
          </w:tcPr>
          <w:p w:rsidR="00F533CD" w:rsidRPr="001567C8" w:rsidRDefault="00F533CD" w:rsidP="00393B53">
            <w:pPr>
              <w:jc w:val="right"/>
              <w:rPr>
                <w:rFonts w:asciiTheme="minorHAnsi" w:hAnsiTheme="minorHAnsi" w:cs="Arial"/>
                <w:sz w:val="19"/>
                <w:szCs w:val="19"/>
                <w:lang w:val="hr-HR"/>
              </w:rPr>
            </w:pPr>
          </w:p>
        </w:tc>
        <w:tc>
          <w:tcPr>
            <w:tcW w:w="612" w:type="pct"/>
          </w:tcPr>
          <w:p w:rsidR="00F533CD" w:rsidRPr="001567C8" w:rsidRDefault="00F533CD" w:rsidP="00393B53">
            <w:pPr>
              <w:jc w:val="right"/>
              <w:rPr>
                <w:rFonts w:asciiTheme="minorHAnsi" w:hAnsiTheme="minorHAnsi" w:cs="Arial"/>
                <w:sz w:val="19"/>
                <w:szCs w:val="19"/>
                <w:lang w:val="hr-HR"/>
              </w:rPr>
            </w:pPr>
          </w:p>
        </w:tc>
        <w:tc>
          <w:tcPr>
            <w:tcW w:w="611" w:type="pct"/>
          </w:tcPr>
          <w:p w:rsidR="00F533CD" w:rsidRPr="001567C8" w:rsidRDefault="00F533CD" w:rsidP="00393B53">
            <w:pPr>
              <w:jc w:val="center"/>
              <w:rPr>
                <w:rFonts w:asciiTheme="minorHAnsi" w:hAnsiTheme="minorHAnsi" w:cs="Arial"/>
                <w:sz w:val="19"/>
                <w:szCs w:val="19"/>
                <w:lang w:val="hr-HR"/>
              </w:rPr>
            </w:pPr>
          </w:p>
        </w:tc>
      </w:tr>
      <w:tr w:rsidR="00F533CD" w:rsidRPr="001567C8" w:rsidTr="00393B53">
        <w:trPr>
          <w:cantSplit/>
          <w:trHeight w:val="265"/>
          <w:tblHeader/>
        </w:trPr>
        <w:tc>
          <w:tcPr>
            <w:tcW w:w="2552" w:type="pct"/>
          </w:tcPr>
          <w:p w:rsidR="00F533CD" w:rsidRPr="001567C8" w:rsidRDefault="00F533CD" w:rsidP="00393B53">
            <w:pPr>
              <w:tabs>
                <w:tab w:val="right" w:pos="1202"/>
              </w:tabs>
              <w:spacing w:line="301" w:lineRule="exact"/>
              <w:outlineLvl w:val="0"/>
              <w:rPr>
                <w:rFonts w:asciiTheme="minorHAnsi" w:hAnsiTheme="minorHAnsi" w:cs="Arial"/>
                <w:b/>
                <w:bCs/>
                <w:sz w:val="19"/>
                <w:szCs w:val="19"/>
                <w:lang w:val="hr-HR"/>
              </w:rPr>
            </w:pPr>
            <w:r w:rsidRPr="001567C8">
              <w:rPr>
                <w:rFonts w:asciiTheme="minorHAnsi" w:hAnsiTheme="minorHAnsi" w:cs="Arial"/>
                <w:b/>
                <w:bCs/>
                <w:sz w:val="19"/>
                <w:szCs w:val="19"/>
                <w:lang w:val="hr-HR"/>
              </w:rPr>
              <w:t>Imovina</w:t>
            </w:r>
          </w:p>
        </w:tc>
        <w:tc>
          <w:tcPr>
            <w:tcW w:w="612" w:type="pct"/>
          </w:tcPr>
          <w:p w:rsidR="00F533CD" w:rsidRPr="001567C8" w:rsidRDefault="00F533CD" w:rsidP="00393B53">
            <w:pPr>
              <w:jc w:val="right"/>
              <w:rPr>
                <w:rFonts w:asciiTheme="minorHAnsi" w:hAnsiTheme="minorHAnsi" w:cs="Arial"/>
                <w:sz w:val="19"/>
                <w:szCs w:val="19"/>
                <w:lang w:val="hr-HR"/>
              </w:rPr>
            </w:pPr>
          </w:p>
        </w:tc>
        <w:tc>
          <w:tcPr>
            <w:tcW w:w="612" w:type="pct"/>
          </w:tcPr>
          <w:p w:rsidR="00F533CD" w:rsidRPr="001567C8" w:rsidRDefault="00F533CD" w:rsidP="00393B53">
            <w:pPr>
              <w:jc w:val="right"/>
              <w:rPr>
                <w:rFonts w:asciiTheme="minorHAnsi" w:hAnsiTheme="minorHAnsi" w:cs="Arial"/>
                <w:sz w:val="19"/>
                <w:szCs w:val="19"/>
                <w:lang w:val="hr-HR"/>
              </w:rPr>
            </w:pPr>
          </w:p>
        </w:tc>
        <w:tc>
          <w:tcPr>
            <w:tcW w:w="612" w:type="pct"/>
          </w:tcPr>
          <w:p w:rsidR="00F533CD" w:rsidRPr="001567C8" w:rsidRDefault="00F533CD" w:rsidP="00393B53">
            <w:pPr>
              <w:jc w:val="right"/>
              <w:rPr>
                <w:rFonts w:asciiTheme="minorHAnsi" w:hAnsiTheme="minorHAnsi" w:cs="Arial"/>
                <w:sz w:val="19"/>
                <w:szCs w:val="19"/>
                <w:lang w:val="hr-HR"/>
              </w:rPr>
            </w:pPr>
          </w:p>
        </w:tc>
        <w:tc>
          <w:tcPr>
            <w:tcW w:w="611" w:type="pct"/>
          </w:tcPr>
          <w:p w:rsidR="00F533CD" w:rsidRPr="001567C8" w:rsidRDefault="00F533CD" w:rsidP="00393B53">
            <w:pPr>
              <w:jc w:val="center"/>
              <w:rPr>
                <w:rFonts w:asciiTheme="minorHAnsi" w:hAnsiTheme="minorHAnsi" w:cs="Arial"/>
                <w:sz w:val="19"/>
                <w:szCs w:val="19"/>
                <w:lang w:val="hr-HR"/>
              </w:rPr>
            </w:pPr>
          </w:p>
        </w:tc>
      </w:tr>
      <w:tr w:rsidR="00F533CD" w:rsidRPr="001567C8" w:rsidTr="00393B53">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Novčana sredstva i računi kod banaka</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1.320.57</w:t>
            </w:r>
            <w:r w:rsidR="00393B53" w:rsidRPr="00CD3A2D">
              <w:rPr>
                <w:rFonts w:ascii="Calibri" w:hAnsi="Calibri" w:cs="Arial"/>
                <w:sz w:val="19"/>
                <w:szCs w:val="19"/>
                <w:lang w:val="hr-HR"/>
              </w:rPr>
              <w:t>9</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82.884</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201</w:t>
            </w:r>
          </w:p>
        </w:tc>
        <w:tc>
          <w:tcPr>
            <w:tcW w:w="611"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1.403.66</w:t>
            </w:r>
            <w:r w:rsidR="00393B53" w:rsidRPr="00CD3A2D">
              <w:rPr>
                <w:rFonts w:ascii="Calibri" w:hAnsi="Calibri" w:cs="Arial"/>
                <w:sz w:val="19"/>
                <w:szCs w:val="19"/>
                <w:lang w:val="hr-HR"/>
              </w:rPr>
              <w:t>4</w:t>
            </w:r>
          </w:p>
        </w:tc>
      </w:tr>
      <w:tr w:rsidR="00F533CD" w:rsidRPr="001567C8" w:rsidTr="00393B53">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Depoziti kod drugih banaka</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29.116</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22</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20"/>
                <w:szCs w:val="20"/>
                <w:lang w:val="hr-HR"/>
              </w:rPr>
            </w:pPr>
            <w:r w:rsidRPr="001567C8">
              <w:rPr>
                <w:rFonts w:asciiTheme="minorHAnsi" w:hAnsiTheme="minorHAnsi" w:cs="Arial"/>
                <w:sz w:val="20"/>
                <w:szCs w:val="20"/>
                <w:lang w:val="hr-HR"/>
              </w:rPr>
              <w:t>-</w:t>
            </w:r>
          </w:p>
        </w:tc>
        <w:tc>
          <w:tcPr>
            <w:tcW w:w="611"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29.138</w:t>
            </w:r>
          </w:p>
        </w:tc>
      </w:tr>
      <w:tr w:rsidR="00F533CD" w:rsidRPr="001567C8" w:rsidTr="00393B53">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Krediti financijskim institucijama</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10.836.141</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1"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10.836.141</w:t>
            </w:r>
          </w:p>
        </w:tc>
      </w:tr>
      <w:tr w:rsidR="00F533CD" w:rsidRPr="001567C8" w:rsidTr="00393B53">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Krediti ostalim korisnicima</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12.075.474</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308.149</w:t>
            </w:r>
          </w:p>
        </w:tc>
        <w:tc>
          <w:tcPr>
            <w:tcW w:w="611"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12.383.623</w:t>
            </w:r>
          </w:p>
        </w:tc>
      </w:tr>
      <w:tr w:rsidR="00F533CD" w:rsidRPr="001567C8" w:rsidTr="00393B53">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Imovina raspoloživa za prodaju</w:t>
            </w:r>
          </w:p>
        </w:tc>
        <w:tc>
          <w:tcPr>
            <w:tcW w:w="612" w:type="pct"/>
            <w:tcBorders>
              <w:top w:val="nil"/>
              <w:left w:val="nil"/>
              <w:bottom w:val="nil"/>
              <w:right w:val="nil"/>
            </w:tcBorders>
            <w:shd w:val="clear" w:color="auto" w:fill="auto"/>
            <w:vAlign w:val="center"/>
          </w:tcPr>
          <w:p w:rsidR="00F533CD" w:rsidRPr="001567C8" w:rsidRDefault="00393B53"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2.483.371</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1" w:type="pct"/>
            <w:tcBorders>
              <w:top w:val="nil"/>
              <w:left w:val="nil"/>
              <w:bottom w:val="nil"/>
              <w:right w:val="nil"/>
            </w:tcBorders>
            <w:shd w:val="clear" w:color="auto" w:fill="auto"/>
            <w:vAlign w:val="center"/>
          </w:tcPr>
          <w:p w:rsidR="00F533CD" w:rsidRPr="001567C8" w:rsidRDefault="00393B53"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2.483.371</w:t>
            </w:r>
          </w:p>
        </w:tc>
      </w:tr>
      <w:tr w:rsidR="00F533CD" w:rsidRPr="001567C8" w:rsidTr="00393B53">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Imovina koja se drži do dospijeća</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1.399</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1"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1.399</w:t>
            </w:r>
          </w:p>
        </w:tc>
      </w:tr>
      <w:tr w:rsidR="00F533CD" w:rsidRPr="001567C8" w:rsidTr="00393B53">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Ostala imovina</w:t>
            </w:r>
          </w:p>
        </w:tc>
        <w:tc>
          <w:tcPr>
            <w:tcW w:w="612" w:type="pct"/>
            <w:tcBorders>
              <w:top w:val="nil"/>
              <w:left w:val="nil"/>
              <w:bottom w:val="single" w:sz="4"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13.105</w:t>
            </w:r>
          </w:p>
        </w:tc>
        <w:tc>
          <w:tcPr>
            <w:tcW w:w="612" w:type="pct"/>
            <w:tcBorders>
              <w:top w:val="nil"/>
              <w:left w:val="nil"/>
              <w:bottom w:val="single" w:sz="4"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6.045</w:t>
            </w:r>
          </w:p>
        </w:tc>
        <w:tc>
          <w:tcPr>
            <w:tcW w:w="612" w:type="pct"/>
            <w:tcBorders>
              <w:top w:val="nil"/>
              <w:left w:val="nil"/>
              <w:bottom w:val="single" w:sz="4"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147</w:t>
            </w:r>
          </w:p>
        </w:tc>
        <w:tc>
          <w:tcPr>
            <w:tcW w:w="611" w:type="pct"/>
            <w:tcBorders>
              <w:top w:val="nil"/>
              <w:left w:val="nil"/>
              <w:bottom w:val="single" w:sz="4"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19.297</w:t>
            </w:r>
          </w:p>
        </w:tc>
      </w:tr>
      <w:tr w:rsidR="00F533CD" w:rsidRPr="001567C8" w:rsidTr="00393B53">
        <w:trPr>
          <w:cantSplit/>
          <w:trHeight w:val="31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b/>
                <w:bCs/>
                <w:sz w:val="19"/>
                <w:szCs w:val="19"/>
                <w:lang w:val="hr-HR"/>
              </w:rPr>
            </w:pPr>
            <w:r w:rsidRPr="001567C8">
              <w:rPr>
                <w:rFonts w:asciiTheme="minorHAnsi" w:hAnsiTheme="minorHAnsi"/>
                <w:b/>
                <w:bCs/>
                <w:sz w:val="19"/>
                <w:szCs w:val="19"/>
                <w:lang w:val="hr-HR"/>
              </w:rPr>
              <w:t xml:space="preserve">Ukupno </w:t>
            </w:r>
          </w:p>
        </w:tc>
        <w:tc>
          <w:tcPr>
            <w:tcW w:w="612" w:type="pct"/>
            <w:tcBorders>
              <w:top w:val="nil"/>
              <w:left w:val="nil"/>
              <w:bottom w:val="single" w:sz="8" w:space="0" w:color="auto"/>
              <w:right w:val="nil"/>
            </w:tcBorders>
            <w:shd w:val="clear" w:color="auto" w:fill="auto"/>
            <w:vAlign w:val="center"/>
          </w:tcPr>
          <w:p w:rsidR="00F533CD" w:rsidRPr="001567C8" w:rsidRDefault="00393B53" w:rsidP="00393B53">
            <w:pPr>
              <w:tabs>
                <w:tab w:val="right" w:pos="1202"/>
              </w:tabs>
              <w:spacing w:line="301" w:lineRule="exact"/>
              <w:jc w:val="right"/>
              <w:outlineLvl w:val="0"/>
              <w:rPr>
                <w:rFonts w:asciiTheme="minorHAnsi" w:hAnsiTheme="minorHAnsi" w:cs="Arial"/>
                <w:b/>
                <w:sz w:val="19"/>
                <w:szCs w:val="19"/>
                <w:lang w:val="hr-HR"/>
              </w:rPr>
            </w:pPr>
            <w:r w:rsidRPr="00CD3A2D">
              <w:rPr>
                <w:rFonts w:ascii="Calibri" w:hAnsi="Calibri" w:cs="Arial"/>
                <w:b/>
                <w:bCs/>
                <w:sz w:val="19"/>
                <w:szCs w:val="19"/>
                <w:lang w:val="hr-HR"/>
              </w:rPr>
              <w:t>26.759.185</w:t>
            </w:r>
          </w:p>
        </w:tc>
        <w:tc>
          <w:tcPr>
            <w:tcW w:w="612" w:type="pct"/>
            <w:tcBorders>
              <w:top w:val="nil"/>
              <w:left w:val="nil"/>
              <w:bottom w:val="single" w:sz="8"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b/>
                <w:sz w:val="19"/>
                <w:szCs w:val="19"/>
                <w:lang w:val="hr-HR"/>
              </w:rPr>
            </w:pPr>
            <w:r w:rsidRPr="00CD3A2D">
              <w:rPr>
                <w:rFonts w:ascii="Calibri" w:hAnsi="Calibri" w:cs="Arial"/>
                <w:b/>
                <w:bCs/>
                <w:sz w:val="19"/>
                <w:szCs w:val="19"/>
                <w:lang w:val="hr-HR"/>
              </w:rPr>
              <w:t>88.951</w:t>
            </w:r>
          </w:p>
        </w:tc>
        <w:tc>
          <w:tcPr>
            <w:tcW w:w="612" w:type="pct"/>
            <w:tcBorders>
              <w:top w:val="nil"/>
              <w:left w:val="nil"/>
              <w:bottom w:val="single" w:sz="8"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b/>
                <w:sz w:val="19"/>
                <w:szCs w:val="19"/>
                <w:lang w:val="hr-HR"/>
              </w:rPr>
            </w:pPr>
            <w:r w:rsidRPr="00CD3A2D">
              <w:rPr>
                <w:rFonts w:ascii="Calibri" w:hAnsi="Calibri" w:cs="Arial"/>
                <w:b/>
                <w:bCs/>
                <w:sz w:val="19"/>
                <w:szCs w:val="19"/>
                <w:lang w:val="hr-HR"/>
              </w:rPr>
              <w:t>308.497</w:t>
            </w:r>
          </w:p>
        </w:tc>
        <w:tc>
          <w:tcPr>
            <w:tcW w:w="611" w:type="pct"/>
            <w:tcBorders>
              <w:top w:val="nil"/>
              <w:left w:val="nil"/>
              <w:bottom w:val="single" w:sz="8" w:space="0" w:color="auto"/>
              <w:right w:val="nil"/>
            </w:tcBorders>
            <w:shd w:val="clear" w:color="auto" w:fill="auto"/>
            <w:vAlign w:val="center"/>
          </w:tcPr>
          <w:p w:rsidR="00F533CD" w:rsidRPr="001567C8" w:rsidRDefault="00393B53" w:rsidP="00393B53">
            <w:pPr>
              <w:tabs>
                <w:tab w:val="right" w:pos="1202"/>
              </w:tabs>
              <w:spacing w:line="301" w:lineRule="exact"/>
              <w:jc w:val="right"/>
              <w:outlineLvl w:val="0"/>
              <w:rPr>
                <w:rFonts w:asciiTheme="minorHAnsi" w:hAnsiTheme="minorHAnsi" w:cs="Arial"/>
                <w:b/>
                <w:sz w:val="19"/>
                <w:szCs w:val="19"/>
                <w:lang w:val="hr-HR"/>
              </w:rPr>
            </w:pPr>
            <w:r w:rsidRPr="00CD3A2D">
              <w:rPr>
                <w:rFonts w:ascii="Calibri" w:hAnsi="Calibri" w:cs="Arial"/>
                <w:b/>
                <w:bCs/>
                <w:sz w:val="19"/>
                <w:szCs w:val="19"/>
                <w:lang w:val="hr-HR"/>
              </w:rPr>
              <w:t>27.156.633</w:t>
            </w:r>
          </w:p>
        </w:tc>
      </w:tr>
      <w:tr w:rsidR="00F533CD" w:rsidRPr="001567C8" w:rsidTr="00393B53">
        <w:tblPrEx>
          <w:tblCellMar>
            <w:left w:w="31" w:type="dxa"/>
            <w:right w:w="31" w:type="dxa"/>
          </w:tblCellMar>
        </w:tblPrEx>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b/>
                <w:bCs/>
                <w:sz w:val="19"/>
                <w:szCs w:val="19"/>
                <w:lang w:val="hr-HR"/>
              </w:rPr>
            </w:pPr>
          </w:p>
        </w:tc>
        <w:tc>
          <w:tcPr>
            <w:tcW w:w="612" w:type="pct"/>
            <w:tcBorders>
              <w:top w:val="single" w:sz="12" w:space="0" w:color="auto"/>
            </w:tcBorders>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c>
          <w:tcPr>
            <w:tcW w:w="612" w:type="pct"/>
            <w:tcBorders>
              <w:top w:val="single" w:sz="12" w:space="0" w:color="auto"/>
            </w:tcBorders>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c>
          <w:tcPr>
            <w:tcW w:w="612" w:type="pct"/>
            <w:tcBorders>
              <w:top w:val="single" w:sz="12" w:space="0" w:color="auto"/>
            </w:tcBorders>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c>
          <w:tcPr>
            <w:tcW w:w="611" w:type="pct"/>
            <w:tcBorders>
              <w:top w:val="single" w:sz="12" w:space="0" w:color="auto"/>
            </w:tcBorders>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r>
      <w:tr w:rsidR="00F533CD" w:rsidRPr="001567C8" w:rsidTr="00393B53">
        <w:tblPrEx>
          <w:tblCellMar>
            <w:left w:w="31" w:type="dxa"/>
            <w:right w:w="31" w:type="dxa"/>
          </w:tblCellMar>
        </w:tblPrEx>
        <w:trPr>
          <w:cantSplit/>
          <w:trHeight w:val="265"/>
          <w:tblHeader/>
        </w:trPr>
        <w:tc>
          <w:tcPr>
            <w:tcW w:w="2552" w:type="pct"/>
          </w:tcPr>
          <w:p w:rsidR="00F533CD" w:rsidRPr="001567C8" w:rsidRDefault="00F533CD" w:rsidP="00393B53">
            <w:pPr>
              <w:tabs>
                <w:tab w:val="right" w:pos="1202"/>
              </w:tabs>
              <w:spacing w:line="301" w:lineRule="exact"/>
              <w:outlineLvl w:val="0"/>
              <w:rPr>
                <w:rFonts w:asciiTheme="minorHAnsi" w:hAnsiTheme="minorHAnsi"/>
                <w:b/>
                <w:bCs/>
                <w:sz w:val="19"/>
                <w:szCs w:val="19"/>
                <w:lang w:val="hr-HR"/>
              </w:rPr>
            </w:pPr>
            <w:r w:rsidRPr="001567C8">
              <w:rPr>
                <w:rFonts w:asciiTheme="minorHAnsi" w:hAnsiTheme="minorHAnsi" w:cs="Arial"/>
                <w:b/>
                <w:bCs/>
                <w:sz w:val="19"/>
                <w:szCs w:val="19"/>
                <w:lang w:val="hr-HR"/>
              </w:rPr>
              <w:t>Garancije i preuzete obveze</w:t>
            </w:r>
          </w:p>
        </w:tc>
        <w:tc>
          <w:tcPr>
            <w:tcW w:w="612" w:type="pct"/>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c>
          <w:tcPr>
            <w:tcW w:w="612" w:type="pct"/>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c>
          <w:tcPr>
            <w:tcW w:w="612" w:type="pct"/>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c>
          <w:tcPr>
            <w:tcW w:w="611" w:type="pct"/>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r>
      <w:tr w:rsidR="00F533CD" w:rsidRPr="001567C8" w:rsidTr="00393B53">
        <w:tblPrEx>
          <w:tblCellMar>
            <w:left w:w="31" w:type="dxa"/>
            <w:right w:w="31" w:type="dxa"/>
          </w:tblCellMar>
        </w:tblPrEx>
        <w:trPr>
          <w:cantSplit/>
          <w:trHeight w:val="265"/>
          <w:tblHeader/>
        </w:trPr>
        <w:tc>
          <w:tcPr>
            <w:tcW w:w="2552" w:type="pct"/>
          </w:tcPr>
          <w:p w:rsidR="00F533CD" w:rsidRPr="001567C8" w:rsidRDefault="00F533CD" w:rsidP="00393B53">
            <w:pPr>
              <w:tabs>
                <w:tab w:val="right" w:pos="1202"/>
              </w:tabs>
              <w:spacing w:line="301" w:lineRule="exact"/>
              <w:outlineLvl w:val="0"/>
              <w:rPr>
                <w:rFonts w:asciiTheme="minorHAnsi" w:hAnsiTheme="minorHAnsi" w:cs="Arial"/>
                <w:b/>
                <w:bCs/>
                <w:sz w:val="19"/>
                <w:szCs w:val="19"/>
                <w:lang w:val="hr-HR"/>
              </w:rPr>
            </w:pPr>
            <w:r w:rsidRPr="001567C8">
              <w:rPr>
                <w:rFonts w:asciiTheme="minorHAnsi" w:hAnsiTheme="minorHAnsi" w:cs="Arial"/>
                <w:sz w:val="19"/>
                <w:szCs w:val="19"/>
                <w:lang w:val="hr-HR"/>
              </w:rPr>
              <w:t>Izdane garancije u kunama</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33.391</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602</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1"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33.993</w:t>
            </w:r>
          </w:p>
        </w:tc>
      </w:tr>
      <w:tr w:rsidR="00F533CD" w:rsidRPr="001567C8" w:rsidTr="00393B53">
        <w:tblPrEx>
          <w:tblCellMar>
            <w:left w:w="31" w:type="dxa"/>
            <w:right w:w="31" w:type="dxa"/>
          </w:tblCellMar>
        </w:tblPrEx>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Izdane garancije u devizama</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2.446.324</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1"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2.446.324</w:t>
            </w:r>
          </w:p>
        </w:tc>
      </w:tr>
      <w:tr w:rsidR="00F533CD" w:rsidRPr="001567C8" w:rsidTr="00393B53">
        <w:tblPrEx>
          <w:tblCellMar>
            <w:left w:w="31" w:type="dxa"/>
            <w:right w:w="31" w:type="dxa"/>
          </w:tblCellMar>
        </w:tblPrEx>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Preuzete obveze po kreditima</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2.844.366</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2"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142.432</w:t>
            </w:r>
          </w:p>
        </w:tc>
        <w:tc>
          <w:tcPr>
            <w:tcW w:w="611" w:type="pct"/>
            <w:tcBorders>
              <w:top w:val="nil"/>
              <w:left w:val="nil"/>
              <w:bottom w:val="nil"/>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2.986.798</w:t>
            </w:r>
          </w:p>
        </w:tc>
      </w:tr>
      <w:tr w:rsidR="00F533CD" w:rsidRPr="001567C8" w:rsidTr="00393B53">
        <w:tblPrEx>
          <w:tblCellMar>
            <w:left w:w="31" w:type="dxa"/>
            <w:right w:w="31" w:type="dxa"/>
          </w:tblCellMar>
        </w:tblPrEx>
        <w:trPr>
          <w:cantSplit/>
          <w:trHeight w:val="26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Ostale nespomenute neopozive potencijalne obveze</w:t>
            </w:r>
          </w:p>
        </w:tc>
        <w:tc>
          <w:tcPr>
            <w:tcW w:w="612" w:type="pct"/>
            <w:tcBorders>
              <w:top w:val="nil"/>
              <w:left w:val="nil"/>
              <w:bottom w:val="single" w:sz="4"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335</w:t>
            </w:r>
          </w:p>
        </w:tc>
        <w:tc>
          <w:tcPr>
            <w:tcW w:w="612" w:type="pct"/>
            <w:tcBorders>
              <w:top w:val="nil"/>
              <w:left w:val="nil"/>
              <w:bottom w:val="single" w:sz="4"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2" w:type="pct"/>
            <w:tcBorders>
              <w:top w:val="nil"/>
              <w:left w:val="nil"/>
              <w:bottom w:val="single" w:sz="4"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w:t>
            </w:r>
          </w:p>
        </w:tc>
        <w:tc>
          <w:tcPr>
            <w:tcW w:w="611" w:type="pct"/>
            <w:tcBorders>
              <w:top w:val="nil"/>
              <w:left w:val="nil"/>
              <w:bottom w:val="single" w:sz="4"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sz w:val="19"/>
                <w:szCs w:val="19"/>
                <w:lang w:val="hr-HR"/>
              </w:rPr>
              <w:t>335</w:t>
            </w:r>
          </w:p>
        </w:tc>
      </w:tr>
      <w:tr w:rsidR="00F533CD" w:rsidRPr="001567C8" w:rsidTr="00393B53">
        <w:tblPrEx>
          <w:tblCellMar>
            <w:left w:w="31" w:type="dxa"/>
            <w:right w:w="31" w:type="dxa"/>
          </w:tblCellMar>
        </w:tblPrEx>
        <w:trPr>
          <w:cantSplit/>
          <w:trHeight w:val="393"/>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r w:rsidRPr="001567C8">
              <w:rPr>
                <w:rFonts w:asciiTheme="minorHAnsi" w:hAnsiTheme="minorHAnsi"/>
                <w:b/>
                <w:bCs/>
                <w:sz w:val="19"/>
                <w:szCs w:val="19"/>
                <w:lang w:val="hr-HR"/>
              </w:rPr>
              <w:t>Ukupno</w:t>
            </w:r>
          </w:p>
        </w:tc>
        <w:tc>
          <w:tcPr>
            <w:tcW w:w="612" w:type="pct"/>
            <w:tcBorders>
              <w:top w:val="nil"/>
              <w:left w:val="nil"/>
              <w:bottom w:val="single" w:sz="12"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b/>
                <w:bCs/>
                <w:sz w:val="19"/>
                <w:szCs w:val="19"/>
                <w:lang w:val="hr-HR"/>
              </w:rPr>
              <w:t>5.324.416</w:t>
            </w:r>
          </w:p>
        </w:tc>
        <w:tc>
          <w:tcPr>
            <w:tcW w:w="612" w:type="pct"/>
            <w:tcBorders>
              <w:top w:val="nil"/>
              <w:left w:val="nil"/>
              <w:bottom w:val="single" w:sz="12"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b/>
                <w:bCs/>
                <w:sz w:val="19"/>
                <w:szCs w:val="19"/>
                <w:lang w:val="hr-HR"/>
              </w:rPr>
              <w:t>602</w:t>
            </w:r>
          </w:p>
        </w:tc>
        <w:tc>
          <w:tcPr>
            <w:tcW w:w="612" w:type="pct"/>
            <w:tcBorders>
              <w:top w:val="nil"/>
              <w:left w:val="nil"/>
              <w:bottom w:val="single" w:sz="12"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b/>
                <w:bCs/>
                <w:sz w:val="19"/>
                <w:szCs w:val="19"/>
                <w:lang w:val="hr-HR"/>
              </w:rPr>
              <w:t>142.432</w:t>
            </w:r>
          </w:p>
        </w:tc>
        <w:tc>
          <w:tcPr>
            <w:tcW w:w="611" w:type="pct"/>
            <w:tcBorders>
              <w:top w:val="nil"/>
              <w:left w:val="nil"/>
              <w:bottom w:val="single" w:sz="12"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Arial"/>
                <w:b/>
                <w:bCs/>
                <w:sz w:val="19"/>
                <w:szCs w:val="19"/>
                <w:lang w:val="hr-HR"/>
              </w:rPr>
              <w:t>5.467.450</w:t>
            </w:r>
          </w:p>
        </w:tc>
      </w:tr>
      <w:tr w:rsidR="00F533CD" w:rsidRPr="001567C8" w:rsidTr="00393B53">
        <w:tblPrEx>
          <w:tblCellMar>
            <w:left w:w="31" w:type="dxa"/>
            <w:right w:w="31" w:type="dxa"/>
          </w:tblCellMar>
        </w:tblPrEx>
        <w:trPr>
          <w:cantSplit/>
          <w:trHeight w:hRule="exact" w:val="120"/>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sz w:val="19"/>
                <w:szCs w:val="19"/>
                <w:lang w:val="hr-HR"/>
              </w:rPr>
            </w:pPr>
          </w:p>
        </w:tc>
        <w:tc>
          <w:tcPr>
            <w:tcW w:w="612" w:type="pct"/>
            <w:tcBorders>
              <w:top w:val="single" w:sz="12" w:space="0" w:color="auto"/>
            </w:tcBorders>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c>
          <w:tcPr>
            <w:tcW w:w="612" w:type="pct"/>
            <w:tcBorders>
              <w:top w:val="single" w:sz="12" w:space="0" w:color="auto"/>
            </w:tcBorders>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c>
          <w:tcPr>
            <w:tcW w:w="612" w:type="pct"/>
            <w:tcBorders>
              <w:top w:val="single" w:sz="12" w:space="0" w:color="auto"/>
            </w:tcBorders>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c>
          <w:tcPr>
            <w:tcW w:w="611" w:type="pct"/>
            <w:tcBorders>
              <w:top w:val="single" w:sz="12" w:space="0" w:color="auto"/>
            </w:tcBorders>
            <w:vAlign w:val="bottom"/>
          </w:tcPr>
          <w:p w:rsidR="00F533CD" w:rsidRPr="001567C8" w:rsidRDefault="00F533CD" w:rsidP="00393B53">
            <w:pPr>
              <w:tabs>
                <w:tab w:val="right" w:pos="1202"/>
              </w:tabs>
              <w:spacing w:line="301" w:lineRule="exact"/>
              <w:jc w:val="right"/>
              <w:outlineLvl w:val="0"/>
              <w:rPr>
                <w:rFonts w:asciiTheme="minorHAnsi" w:hAnsiTheme="minorHAnsi" w:cs="Arial"/>
                <w:sz w:val="19"/>
                <w:szCs w:val="19"/>
                <w:lang w:val="hr-HR"/>
              </w:rPr>
            </w:pPr>
          </w:p>
        </w:tc>
      </w:tr>
      <w:tr w:rsidR="00F533CD" w:rsidRPr="001567C8" w:rsidTr="00393B53">
        <w:tblPrEx>
          <w:tblCellMar>
            <w:left w:w="31" w:type="dxa"/>
            <w:right w:w="31" w:type="dxa"/>
          </w:tblCellMar>
        </w:tblPrEx>
        <w:trPr>
          <w:cantSplit/>
          <w:trHeight w:val="375"/>
          <w:tblHeader/>
        </w:trPr>
        <w:tc>
          <w:tcPr>
            <w:tcW w:w="2552" w:type="pct"/>
            <w:vAlign w:val="bottom"/>
          </w:tcPr>
          <w:p w:rsidR="00F533CD" w:rsidRPr="001567C8" w:rsidRDefault="00F533CD" w:rsidP="00393B53">
            <w:pPr>
              <w:tabs>
                <w:tab w:val="right" w:pos="1202"/>
              </w:tabs>
              <w:spacing w:line="301" w:lineRule="exact"/>
              <w:outlineLvl w:val="0"/>
              <w:rPr>
                <w:rFonts w:asciiTheme="minorHAnsi" w:hAnsiTheme="minorHAnsi"/>
                <w:b/>
                <w:bCs/>
                <w:sz w:val="19"/>
                <w:szCs w:val="19"/>
                <w:lang w:val="hr-HR"/>
              </w:rPr>
            </w:pPr>
            <w:r w:rsidRPr="001567C8">
              <w:rPr>
                <w:rFonts w:asciiTheme="minorHAnsi" w:hAnsiTheme="minorHAnsi" w:cs="Arial"/>
                <w:b/>
                <w:bCs/>
                <w:sz w:val="19"/>
                <w:szCs w:val="19"/>
                <w:lang w:val="hr-HR"/>
              </w:rPr>
              <w:t>Ukupna izloženost kreditnom riziku</w:t>
            </w:r>
          </w:p>
        </w:tc>
        <w:tc>
          <w:tcPr>
            <w:tcW w:w="612" w:type="pct"/>
            <w:tcBorders>
              <w:top w:val="nil"/>
              <w:left w:val="nil"/>
              <w:bottom w:val="single" w:sz="12" w:space="0" w:color="auto"/>
              <w:right w:val="nil"/>
            </w:tcBorders>
            <w:shd w:val="clear" w:color="auto" w:fill="auto"/>
            <w:vAlign w:val="center"/>
          </w:tcPr>
          <w:p w:rsidR="00F533CD" w:rsidRPr="001567C8" w:rsidRDefault="00393B53" w:rsidP="00393B53">
            <w:pPr>
              <w:tabs>
                <w:tab w:val="right" w:pos="1202"/>
              </w:tabs>
              <w:spacing w:line="301" w:lineRule="exact"/>
              <w:jc w:val="right"/>
              <w:outlineLvl w:val="0"/>
              <w:rPr>
                <w:rFonts w:asciiTheme="minorHAnsi" w:hAnsiTheme="minorHAnsi" w:cs="Arial"/>
                <w:b/>
                <w:sz w:val="19"/>
                <w:szCs w:val="19"/>
                <w:lang w:val="hr-HR"/>
              </w:rPr>
            </w:pPr>
            <w:r w:rsidRPr="00CD3A2D">
              <w:rPr>
                <w:rFonts w:ascii="Calibri" w:hAnsi="Calibri" w:cs="Arial"/>
                <w:b/>
                <w:bCs/>
                <w:sz w:val="19"/>
                <w:szCs w:val="19"/>
                <w:lang w:val="hr-HR"/>
              </w:rPr>
              <w:t>32.083.601</w:t>
            </w:r>
          </w:p>
        </w:tc>
        <w:tc>
          <w:tcPr>
            <w:tcW w:w="612" w:type="pct"/>
            <w:tcBorders>
              <w:top w:val="nil"/>
              <w:left w:val="nil"/>
              <w:bottom w:val="single" w:sz="12"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b/>
                <w:sz w:val="19"/>
                <w:szCs w:val="19"/>
                <w:lang w:val="hr-HR"/>
              </w:rPr>
            </w:pPr>
            <w:r w:rsidRPr="00CD3A2D">
              <w:rPr>
                <w:rFonts w:ascii="Calibri" w:hAnsi="Calibri" w:cs="Arial"/>
                <w:b/>
                <w:bCs/>
                <w:sz w:val="19"/>
                <w:szCs w:val="19"/>
                <w:lang w:val="hr-HR"/>
              </w:rPr>
              <w:t>89.553</w:t>
            </w:r>
          </w:p>
        </w:tc>
        <w:tc>
          <w:tcPr>
            <w:tcW w:w="612" w:type="pct"/>
            <w:tcBorders>
              <w:top w:val="nil"/>
              <w:left w:val="nil"/>
              <w:bottom w:val="single" w:sz="12" w:space="0" w:color="auto"/>
              <w:right w:val="nil"/>
            </w:tcBorders>
            <w:shd w:val="clear" w:color="auto" w:fill="auto"/>
            <w:vAlign w:val="center"/>
          </w:tcPr>
          <w:p w:rsidR="00F533CD" w:rsidRPr="001567C8" w:rsidRDefault="00F533CD" w:rsidP="00393B53">
            <w:pPr>
              <w:tabs>
                <w:tab w:val="right" w:pos="1202"/>
              </w:tabs>
              <w:spacing w:line="301" w:lineRule="exact"/>
              <w:jc w:val="right"/>
              <w:outlineLvl w:val="0"/>
              <w:rPr>
                <w:rFonts w:asciiTheme="minorHAnsi" w:hAnsiTheme="minorHAnsi" w:cs="Arial"/>
                <w:b/>
                <w:sz w:val="19"/>
                <w:szCs w:val="19"/>
                <w:lang w:val="hr-HR"/>
              </w:rPr>
            </w:pPr>
            <w:r w:rsidRPr="00CD3A2D">
              <w:rPr>
                <w:rFonts w:ascii="Calibri" w:hAnsi="Calibri" w:cs="Arial"/>
                <w:b/>
                <w:bCs/>
                <w:sz w:val="19"/>
                <w:szCs w:val="19"/>
                <w:lang w:val="hr-HR"/>
              </w:rPr>
              <w:t>450.929</w:t>
            </w:r>
          </w:p>
        </w:tc>
        <w:tc>
          <w:tcPr>
            <w:tcW w:w="611" w:type="pct"/>
            <w:tcBorders>
              <w:top w:val="nil"/>
              <w:left w:val="nil"/>
              <w:bottom w:val="single" w:sz="12" w:space="0" w:color="auto"/>
              <w:right w:val="nil"/>
            </w:tcBorders>
            <w:shd w:val="clear" w:color="auto" w:fill="auto"/>
            <w:vAlign w:val="center"/>
          </w:tcPr>
          <w:p w:rsidR="00F533CD" w:rsidRPr="001567C8" w:rsidRDefault="00393B53" w:rsidP="00393B53">
            <w:pPr>
              <w:tabs>
                <w:tab w:val="right" w:pos="1202"/>
              </w:tabs>
              <w:spacing w:line="301" w:lineRule="exact"/>
              <w:jc w:val="right"/>
              <w:outlineLvl w:val="0"/>
              <w:rPr>
                <w:rFonts w:asciiTheme="minorHAnsi" w:hAnsiTheme="minorHAnsi" w:cs="Arial"/>
                <w:b/>
                <w:sz w:val="19"/>
                <w:szCs w:val="19"/>
                <w:lang w:val="hr-HR"/>
              </w:rPr>
            </w:pPr>
            <w:r w:rsidRPr="00CD3A2D">
              <w:rPr>
                <w:rFonts w:ascii="Calibri" w:hAnsi="Calibri" w:cs="Arial"/>
                <w:b/>
                <w:bCs/>
                <w:sz w:val="19"/>
                <w:szCs w:val="19"/>
                <w:lang w:val="hr-HR"/>
              </w:rPr>
              <w:t>32.624.083</w:t>
            </w:r>
          </w:p>
        </w:tc>
      </w:tr>
      <w:tr w:rsidR="00F533CD" w:rsidRPr="001567C8" w:rsidTr="00393B53">
        <w:tblPrEx>
          <w:tblCellMar>
            <w:left w:w="31" w:type="dxa"/>
            <w:right w:w="31" w:type="dxa"/>
          </w:tblCellMar>
        </w:tblPrEx>
        <w:trPr>
          <w:cantSplit/>
          <w:trHeight w:hRule="exact" w:val="149"/>
          <w:tblHeader/>
        </w:trPr>
        <w:tc>
          <w:tcPr>
            <w:tcW w:w="2552" w:type="pct"/>
            <w:vAlign w:val="bottom"/>
          </w:tcPr>
          <w:p w:rsidR="00F533CD" w:rsidRPr="001567C8" w:rsidRDefault="00F533CD" w:rsidP="00393B53">
            <w:pPr>
              <w:tabs>
                <w:tab w:val="right" w:pos="1202"/>
              </w:tabs>
              <w:outlineLvl w:val="0"/>
              <w:rPr>
                <w:rFonts w:asciiTheme="minorHAnsi" w:hAnsiTheme="minorHAnsi"/>
                <w:b/>
                <w:bCs/>
                <w:sz w:val="19"/>
                <w:szCs w:val="19"/>
                <w:lang w:val="hr-HR"/>
              </w:rPr>
            </w:pPr>
          </w:p>
        </w:tc>
        <w:tc>
          <w:tcPr>
            <w:tcW w:w="612" w:type="pct"/>
            <w:tcBorders>
              <w:top w:val="single" w:sz="12" w:space="0" w:color="auto"/>
            </w:tcBorders>
            <w:vAlign w:val="bottom"/>
          </w:tcPr>
          <w:p w:rsidR="00F533CD" w:rsidRPr="001567C8" w:rsidRDefault="00F533CD" w:rsidP="00393B53">
            <w:pPr>
              <w:tabs>
                <w:tab w:val="right" w:pos="1202"/>
              </w:tabs>
              <w:jc w:val="right"/>
              <w:outlineLvl w:val="0"/>
              <w:rPr>
                <w:rFonts w:asciiTheme="minorHAnsi" w:hAnsiTheme="minorHAnsi" w:cs="Arial"/>
                <w:b/>
                <w:sz w:val="19"/>
                <w:szCs w:val="19"/>
                <w:lang w:val="hr-HR"/>
              </w:rPr>
            </w:pPr>
          </w:p>
        </w:tc>
        <w:tc>
          <w:tcPr>
            <w:tcW w:w="612" w:type="pct"/>
            <w:tcBorders>
              <w:top w:val="single" w:sz="12" w:space="0" w:color="auto"/>
            </w:tcBorders>
            <w:vAlign w:val="bottom"/>
          </w:tcPr>
          <w:p w:rsidR="00F533CD" w:rsidRPr="001567C8" w:rsidRDefault="00F533CD" w:rsidP="00393B53">
            <w:pPr>
              <w:tabs>
                <w:tab w:val="right" w:pos="1202"/>
              </w:tabs>
              <w:jc w:val="right"/>
              <w:outlineLvl w:val="0"/>
              <w:rPr>
                <w:rFonts w:asciiTheme="minorHAnsi" w:hAnsiTheme="minorHAnsi" w:cs="Arial"/>
                <w:b/>
                <w:sz w:val="19"/>
                <w:szCs w:val="19"/>
                <w:lang w:val="hr-HR"/>
              </w:rPr>
            </w:pPr>
          </w:p>
        </w:tc>
        <w:tc>
          <w:tcPr>
            <w:tcW w:w="612" w:type="pct"/>
            <w:tcBorders>
              <w:top w:val="single" w:sz="12" w:space="0" w:color="auto"/>
            </w:tcBorders>
            <w:vAlign w:val="bottom"/>
          </w:tcPr>
          <w:p w:rsidR="00F533CD" w:rsidRPr="001567C8" w:rsidRDefault="00F533CD" w:rsidP="00393B53">
            <w:pPr>
              <w:tabs>
                <w:tab w:val="right" w:pos="1202"/>
              </w:tabs>
              <w:jc w:val="right"/>
              <w:outlineLvl w:val="0"/>
              <w:rPr>
                <w:rFonts w:asciiTheme="minorHAnsi" w:hAnsiTheme="minorHAnsi" w:cs="Arial"/>
                <w:b/>
                <w:sz w:val="19"/>
                <w:szCs w:val="19"/>
                <w:lang w:val="hr-HR"/>
              </w:rPr>
            </w:pPr>
          </w:p>
        </w:tc>
        <w:tc>
          <w:tcPr>
            <w:tcW w:w="611" w:type="pct"/>
            <w:tcBorders>
              <w:top w:val="single" w:sz="12" w:space="0" w:color="auto"/>
            </w:tcBorders>
            <w:vAlign w:val="bottom"/>
          </w:tcPr>
          <w:p w:rsidR="00F533CD" w:rsidRPr="001567C8" w:rsidRDefault="00F533CD" w:rsidP="00393B53">
            <w:pPr>
              <w:tabs>
                <w:tab w:val="right" w:pos="1202"/>
              </w:tabs>
              <w:jc w:val="right"/>
              <w:outlineLvl w:val="0"/>
              <w:rPr>
                <w:rFonts w:asciiTheme="minorHAnsi" w:hAnsiTheme="minorHAnsi" w:cs="Arial"/>
                <w:b/>
                <w:sz w:val="19"/>
                <w:szCs w:val="19"/>
                <w:lang w:val="hr-HR"/>
              </w:rPr>
            </w:pPr>
          </w:p>
        </w:tc>
      </w:tr>
    </w:tbl>
    <w:p w:rsidR="0095365D" w:rsidRPr="001567C8" w:rsidRDefault="0095365D">
      <w:pPr>
        <w:rPr>
          <w:rFonts w:asciiTheme="minorHAnsi" w:hAnsiTheme="minorHAnsi" w:cs="Arial"/>
          <w:sz w:val="22"/>
          <w:szCs w:val="22"/>
          <w:lang w:val="hr-HR"/>
        </w:rPr>
      </w:pPr>
    </w:p>
    <w:p w:rsidR="00E61C82" w:rsidRPr="001567C8" w:rsidRDefault="00E61C82" w:rsidP="008170F0">
      <w:pPr>
        <w:pStyle w:val="T1"/>
        <w:spacing w:before="120" w:after="0"/>
        <w:rPr>
          <w:rFonts w:asciiTheme="minorHAnsi" w:hAnsiTheme="minorHAnsi" w:cs="Arial"/>
          <w:b w:val="0"/>
          <w:bCs w:val="0"/>
          <w:sz w:val="22"/>
          <w:szCs w:val="22"/>
          <w:lang w:val="hr-HR"/>
        </w:rPr>
      </w:pPr>
    </w:p>
    <w:p w:rsidR="00513A7F" w:rsidRPr="001567C8" w:rsidRDefault="00513A7F" w:rsidP="008170F0">
      <w:pPr>
        <w:pStyle w:val="T1"/>
        <w:spacing w:before="120" w:after="0"/>
        <w:rPr>
          <w:rFonts w:asciiTheme="minorHAnsi" w:hAnsiTheme="minorHAnsi" w:cs="Arial"/>
          <w:b w:val="0"/>
          <w:bCs w:val="0"/>
          <w:sz w:val="22"/>
          <w:szCs w:val="22"/>
          <w:lang w:val="hr-HR"/>
        </w:rPr>
      </w:pPr>
    </w:p>
    <w:p w:rsidR="00E61C82" w:rsidRPr="001567C8" w:rsidRDefault="00E61C82" w:rsidP="008170F0">
      <w:pPr>
        <w:pStyle w:val="T1"/>
        <w:spacing w:before="120" w:after="0"/>
        <w:rPr>
          <w:rFonts w:asciiTheme="minorHAnsi" w:hAnsiTheme="minorHAnsi" w:cs="Arial"/>
          <w:b w:val="0"/>
          <w:bCs w:val="0"/>
          <w:sz w:val="22"/>
          <w:szCs w:val="22"/>
          <w:lang w:val="hr-HR"/>
        </w:rPr>
        <w:sectPr w:rsidR="00E61C82" w:rsidRPr="001567C8" w:rsidSect="003E2D7A">
          <w:pgSz w:w="11907" w:h="16840" w:code="9"/>
          <w:pgMar w:top="1418" w:right="1134" w:bottom="1134" w:left="1418" w:header="851" w:footer="851" w:gutter="0"/>
          <w:cols w:space="720"/>
          <w:noEndnote/>
        </w:sectPr>
      </w:pPr>
    </w:p>
    <w:p w:rsidR="00347537" w:rsidRPr="001567C8" w:rsidRDefault="00347537" w:rsidP="00347537">
      <w:pPr>
        <w:pStyle w:val="T1"/>
        <w:spacing w:before="0" w:after="0" w:line="240" w:lineRule="auto"/>
        <w:rPr>
          <w:rFonts w:asciiTheme="minorHAnsi" w:hAnsiTheme="minorHAnsi" w:cs="Arial"/>
          <w:sz w:val="22"/>
          <w:szCs w:val="22"/>
          <w:lang w:val="hr-HR"/>
        </w:rPr>
      </w:pPr>
    </w:p>
    <w:p w:rsidR="00E61C82"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E61C82" w:rsidRPr="001567C8">
        <w:rPr>
          <w:rFonts w:asciiTheme="minorHAnsi" w:hAnsiTheme="minorHAnsi" w:cs="Arial"/>
          <w:sz w:val="22"/>
          <w:szCs w:val="22"/>
          <w:lang w:val="hr-HR"/>
        </w:rPr>
        <w:t>.</w:t>
      </w:r>
      <w:r w:rsidR="00E61C82" w:rsidRPr="001567C8">
        <w:rPr>
          <w:rFonts w:asciiTheme="minorHAnsi" w:hAnsiTheme="minorHAnsi" w:cs="Arial"/>
          <w:sz w:val="22"/>
          <w:szCs w:val="22"/>
          <w:lang w:val="hr-HR"/>
        </w:rPr>
        <w:tab/>
        <w:t>Upravljanje rizicima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E61C82"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E61C82"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3</w:t>
      </w:r>
      <w:r w:rsidR="00E61C82" w:rsidRPr="001567C8">
        <w:rPr>
          <w:rFonts w:asciiTheme="minorHAnsi" w:hAnsiTheme="minorHAnsi" w:cs="Arial"/>
          <w:sz w:val="22"/>
          <w:szCs w:val="22"/>
          <w:lang w:val="hr-HR"/>
        </w:rPr>
        <w:t xml:space="preserve">. </w:t>
      </w:r>
      <w:r w:rsidR="00E61C82" w:rsidRPr="001567C8">
        <w:rPr>
          <w:rFonts w:asciiTheme="minorHAnsi" w:hAnsiTheme="minorHAnsi" w:cs="Arial"/>
          <w:sz w:val="22"/>
          <w:szCs w:val="22"/>
          <w:lang w:val="hr-HR"/>
        </w:rPr>
        <w:tab/>
        <w:t>Kreditni rizik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E61C82" w:rsidRPr="001567C8" w:rsidRDefault="00793CCF"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Koncentracija rizika i maksimalna</w:t>
      </w:r>
      <w:r w:rsidR="00E61C82" w:rsidRPr="001567C8">
        <w:rPr>
          <w:rFonts w:asciiTheme="minorHAnsi" w:hAnsiTheme="minorHAnsi" w:cs="Arial"/>
          <w:sz w:val="22"/>
          <w:szCs w:val="22"/>
          <w:lang w:val="hr-HR"/>
        </w:rPr>
        <w:t xml:space="preserve"> izloženost kreditnom riziku (nastavak)</w:t>
      </w:r>
    </w:p>
    <w:p w:rsidR="00347537" w:rsidRPr="001567C8" w:rsidRDefault="00347537" w:rsidP="00347537">
      <w:pPr>
        <w:pStyle w:val="T1"/>
        <w:spacing w:before="0" w:after="0" w:line="240" w:lineRule="auto"/>
        <w:rPr>
          <w:rFonts w:asciiTheme="minorHAnsi" w:hAnsiTheme="minorHAnsi" w:cs="Arial"/>
          <w:b w:val="0"/>
          <w:bCs w:val="0"/>
          <w:sz w:val="22"/>
          <w:szCs w:val="22"/>
          <w:lang w:val="hr-HR"/>
        </w:rPr>
      </w:pPr>
    </w:p>
    <w:p w:rsidR="00343152" w:rsidRPr="001567C8" w:rsidRDefault="00E61C82" w:rsidP="00E266C9">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Koncentracija </w:t>
      </w:r>
      <w:r w:rsidR="008D6072" w:rsidRPr="001567C8">
        <w:rPr>
          <w:rFonts w:asciiTheme="minorHAnsi" w:hAnsiTheme="minorHAnsi" w:cs="Arial"/>
          <w:b w:val="0"/>
          <w:bCs w:val="0"/>
          <w:sz w:val="22"/>
          <w:szCs w:val="22"/>
          <w:lang w:val="hr-HR"/>
        </w:rPr>
        <w:t>imovine</w:t>
      </w:r>
      <w:r w:rsidRPr="001567C8">
        <w:rPr>
          <w:rFonts w:asciiTheme="minorHAnsi" w:hAnsiTheme="minorHAnsi" w:cs="Arial"/>
          <w:b w:val="0"/>
          <w:bCs w:val="0"/>
          <w:sz w:val="22"/>
          <w:szCs w:val="22"/>
          <w:lang w:val="hr-HR"/>
        </w:rPr>
        <w:t xml:space="preserve"> i garancija </w:t>
      </w:r>
      <w:r w:rsidR="00F96790" w:rsidRPr="001567C8">
        <w:rPr>
          <w:rFonts w:asciiTheme="minorHAnsi" w:hAnsiTheme="minorHAnsi" w:cs="Arial"/>
          <w:b w:val="0"/>
          <w:bCs w:val="0"/>
          <w:sz w:val="22"/>
          <w:szCs w:val="22"/>
          <w:lang w:val="hr-HR"/>
        </w:rPr>
        <w:t xml:space="preserve">te </w:t>
      </w:r>
      <w:r w:rsidRPr="001567C8">
        <w:rPr>
          <w:rFonts w:asciiTheme="minorHAnsi" w:hAnsiTheme="minorHAnsi" w:cs="Arial"/>
          <w:b w:val="0"/>
          <w:bCs w:val="0"/>
          <w:sz w:val="22"/>
          <w:szCs w:val="22"/>
          <w:lang w:val="hr-HR"/>
        </w:rPr>
        <w:t xml:space="preserve">preuzetih obveza prema zemljopisnim segmentima, </w:t>
      </w:r>
      <w:r w:rsidR="003F0EC8" w:rsidRPr="001567C8">
        <w:rPr>
          <w:rFonts w:asciiTheme="minorHAnsi" w:hAnsiTheme="minorHAnsi" w:cs="Arial"/>
          <w:b w:val="0"/>
          <w:bCs w:val="0"/>
          <w:sz w:val="22"/>
          <w:szCs w:val="22"/>
          <w:lang w:val="hr-HR"/>
        </w:rPr>
        <w:t xml:space="preserve">neto izloženost, </w:t>
      </w:r>
      <w:r w:rsidR="00343152" w:rsidRPr="001567C8">
        <w:rPr>
          <w:rFonts w:asciiTheme="minorHAnsi" w:hAnsiTheme="minorHAnsi" w:cs="Arial"/>
          <w:b w:val="0"/>
          <w:sz w:val="22"/>
          <w:szCs w:val="22"/>
          <w:lang w:val="hr-HR"/>
        </w:rPr>
        <w:t>bez umanjenja za vrijednost sredstava osiguranja naplate</w:t>
      </w:r>
      <w:r w:rsidR="00354EA6" w:rsidRPr="001567C8">
        <w:rPr>
          <w:rFonts w:asciiTheme="minorHAnsi" w:hAnsiTheme="minorHAnsi" w:cs="Arial"/>
          <w:b w:val="0"/>
          <w:bCs w:val="0"/>
          <w:sz w:val="22"/>
          <w:szCs w:val="22"/>
          <w:lang w:val="hr-HR"/>
        </w:rPr>
        <w:t xml:space="preserve"> (nastavak)</w:t>
      </w:r>
      <w:r w:rsidRPr="001567C8">
        <w:rPr>
          <w:rFonts w:asciiTheme="minorHAnsi" w:hAnsiTheme="minorHAnsi" w:cs="Arial"/>
          <w:b w:val="0"/>
          <w:bCs w:val="0"/>
          <w:sz w:val="22"/>
          <w:szCs w:val="22"/>
          <w:lang w:val="hr-HR"/>
        </w:rPr>
        <w:t xml:space="preserve">: </w:t>
      </w:r>
    </w:p>
    <w:p w:rsidR="00513A7F" w:rsidRPr="001567C8" w:rsidRDefault="00513A7F" w:rsidP="001D233C">
      <w:pPr>
        <w:pStyle w:val="T1"/>
        <w:spacing w:before="0" w:after="0" w:line="240" w:lineRule="auto"/>
        <w:rPr>
          <w:rFonts w:asciiTheme="minorHAnsi" w:hAnsiTheme="minorHAnsi" w:cs="Arial"/>
          <w:b w:val="0"/>
          <w:bCs w:val="0"/>
          <w:sz w:val="22"/>
          <w:szCs w:val="22"/>
          <w:lang w:val="hr-HR"/>
        </w:rPr>
      </w:pPr>
    </w:p>
    <w:tbl>
      <w:tblPr>
        <w:tblW w:w="5000" w:type="pct"/>
        <w:tblCellMar>
          <w:left w:w="30" w:type="dxa"/>
          <w:right w:w="30" w:type="dxa"/>
        </w:tblCellMar>
        <w:tblLook w:val="0000" w:firstRow="0" w:lastRow="0" w:firstColumn="0" w:lastColumn="0" w:noHBand="0" w:noVBand="0"/>
      </w:tblPr>
      <w:tblGrid>
        <w:gridCol w:w="4785"/>
        <w:gridCol w:w="1182"/>
        <w:gridCol w:w="1065"/>
        <w:gridCol w:w="1184"/>
        <w:gridCol w:w="1139"/>
      </w:tblGrid>
      <w:tr w:rsidR="00343152" w:rsidRPr="001567C8" w:rsidTr="00347537">
        <w:trPr>
          <w:cantSplit/>
          <w:trHeight w:val="784"/>
          <w:tblHeader/>
        </w:trPr>
        <w:tc>
          <w:tcPr>
            <w:tcW w:w="2557" w:type="pct"/>
          </w:tcPr>
          <w:p w:rsidR="00343152" w:rsidRPr="001567C8" w:rsidRDefault="00343152" w:rsidP="003B5C38">
            <w:pPr>
              <w:pStyle w:val="TH"/>
              <w:rPr>
                <w:rFonts w:asciiTheme="minorHAnsi" w:hAnsiTheme="minorHAnsi" w:cs="Arial"/>
                <w:szCs w:val="19"/>
                <w:lang w:val="hr-HR"/>
              </w:rPr>
            </w:pPr>
            <w:r w:rsidRPr="001567C8">
              <w:rPr>
                <w:rFonts w:asciiTheme="minorHAnsi" w:hAnsiTheme="minorHAnsi" w:cs="Arial"/>
                <w:szCs w:val="19"/>
                <w:lang w:val="hr-HR"/>
              </w:rPr>
              <w:t>Banka</w:t>
            </w:r>
          </w:p>
          <w:p w:rsidR="00B4688F" w:rsidRPr="001567C8" w:rsidRDefault="00B4688F" w:rsidP="003B5C38">
            <w:pPr>
              <w:pStyle w:val="TH"/>
              <w:rPr>
                <w:rFonts w:asciiTheme="minorHAnsi" w:hAnsiTheme="minorHAnsi" w:cs="Arial"/>
                <w:szCs w:val="19"/>
                <w:lang w:val="hr-HR"/>
              </w:rPr>
            </w:pPr>
          </w:p>
          <w:p w:rsidR="00343152" w:rsidRPr="001567C8" w:rsidRDefault="00AD2EF7" w:rsidP="00347537">
            <w:pPr>
              <w:pStyle w:val="TH"/>
              <w:rPr>
                <w:rFonts w:asciiTheme="minorHAnsi" w:hAnsiTheme="minorHAnsi" w:cs="Arial"/>
                <w:szCs w:val="19"/>
                <w:lang w:val="hr-HR"/>
              </w:rPr>
            </w:pPr>
            <w:r>
              <w:rPr>
                <w:rFonts w:ascii="Calibri" w:eastAsia="Calibri" w:hAnsi="Calibri" w:cs="Arial"/>
                <w:bCs/>
                <w:iCs/>
                <w:sz w:val="20"/>
                <w:lang w:val="hr-HR"/>
              </w:rPr>
              <w:t>31. prosin</w:t>
            </w:r>
            <w:r w:rsidR="0073283D" w:rsidRPr="001567C8">
              <w:rPr>
                <w:rFonts w:ascii="Calibri" w:eastAsia="Calibri" w:hAnsi="Calibri" w:cs="Arial"/>
                <w:bCs/>
                <w:iCs/>
                <w:sz w:val="20"/>
                <w:lang w:val="hr-HR"/>
              </w:rPr>
              <w:t>c</w:t>
            </w:r>
            <w:r>
              <w:rPr>
                <w:rFonts w:ascii="Calibri" w:eastAsia="Calibri" w:hAnsi="Calibri" w:cs="Arial"/>
                <w:bCs/>
                <w:iCs/>
                <w:sz w:val="20"/>
                <w:lang w:val="hr-HR"/>
              </w:rPr>
              <w:t>a</w:t>
            </w:r>
            <w:r w:rsidR="0073283D" w:rsidRPr="001567C8">
              <w:rPr>
                <w:rFonts w:ascii="Calibri" w:eastAsia="Calibri" w:hAnsi="Calibri" w:cs="Arial"/>
                <w:bCs/>
                <w:iCs/>
                <w:sz w:val="20"/>
                <w:lang w:val="hr-HR"/>
              </w:rPr>
              <w:t xml:space="preserve"> </w:t>
            </w:r>
            <w:r w:rsidR="00513A7F" w:rsidRPr="001567C8">
              <w:rPr>
                <w:rFonts w:asciiTheme="minorHAnsi" w:hAnsiTheme="minorHAnsi" w:cs="Arial"/>
                <w:szCs w:val="19"/>
                <w:lang w:val="hr-HR"/>
              </w:rPr>
              <w:t>201</w:t>
            </w:r>
            <w:r w:rsidR="00393B53" w:rsidRPr="001567C8">
              <w:rPr>
                <w:rFonts w:asciiTheme="minorHAnsi" w:hAnsiTheme="minorHAnsi" w:cs="Arial"/>
                <w:szCs w:val="19"/>
                <w:lang w:val="hr-HR"/>
              </w:rPr>
              <w:t>8</w:t>
            </w:r>
            <w:r w:rsidR="00343152" w:rsidRPr="001567C8">
              <w:rPr>
                <w:rFonts w:asciiTheme="minorHAnsi" w:hAnsiTheme="minorHAnsi" w:cs="Arial"/>
                <w:szCs w:val="19"/>
                <w:lang w:val="hr-HR"/>
              </w:rPr>
              <w:t>. godina</w:t>
            </w:r>
          </w:p>
        </w:tc>
        <w:tc>
          <w:tcPr>
            <w:tcW w:w="632" w:type="pct"/>
            <w:vAlign w:val="bottom"/>
          </w:tcPr>
          <w:p w:rsidR="00343152" w:rsidRPr="001567C8" w:rsidRDefault="00343152" w:rsidP="00F62451">
            <w:pPr>
              <w:pStyle w:val="TH"/>
              <w:jc w:val="right"/>
              <w:rPr>
                <w:rFonts w:asciiTheme="minorHAnsi" w:hAnsiTheme="minorHAnsi" w:cs="Arial"/>
                <w:szCs w:val="19"/>
                <w:lang w:val="hr-HR"/>
              </w:rPr>
            </w:pPr>
            <w:r w:rsidRPr="001567C8">
              <w:rPr>
                <w:rFonts w:asciiTheme="minorHAnsi" w:hAnsiTheme="minorHAnsi" w:cs="Arial"/>
                <w:szCs w:val="19"/>
                <w:lang w:val="hr-HR"/>
              </w:rPr>
              <w:t>Republika Hrvatska</w:t>
            </w:r>
          </w:p>
        </w:tc>
        <w:tc>
          <w:tcPr>
            <w:tcW w:w="569" w:type="pct"/>
            <w:vAlign w:val="bottom"/>
          </w:tcPr>
          <w:p w:rsidR="00343152" w:rsidRPr="001567C8" w:rsidRDefault="00343152" w:rsidP="00F62451">
            <w:pPr>
              <w:pStyle w:val="TH"/>
              <w:jc w:val="right"/>
              <w:rPr>
                <w:rFonts w:asciiTheme="minorHAnsi" w:hAnsiTheme="minorHAnsi" w:cs="Arial"/>
                <w:szCs w:val="19"/>
                <w:lang w:val="hr-HR"/>
              </w:rPr>
            </w:pPr>
            <w:r w:rsidRPr="001567C8">
              <w:rPr>
                <w:rFonts w:asciiTheme="minorHAnsi" w:hAnsiTheme="minorHAnsi" w:cs="Arial"/>
                <w:szCs w:val="19"/>
                <w:lang w:val="hr-HR"/>
              </w:rPr>
              <w:t>Zemlje Europske unije</w:t>
            </w:r>
          </w:p>
        </w:tc>
        <w:tc>
          <w:tcPr>
            <w:tcW w:w="633" w:type="pct"/>
            <w:vAlign w:val="bottom"/>
          </w:tcPr>
          <w:p w:rsidR="00347537" w:rsidRPr="001567C8" w:rsidRDefault="00343152" w:rsidP="00F62451">
            <w:pPr>
              <w:pStyle w:val="TH"/>
              <w:jc w:val="right"/>
              <w:rPr>
                <w:rFonts w:asciiTheme="minorHAnsi" w:hAnsiTheme="minorHAnsi" w:cs="Arial"/>
                <w:szCs w:val="19"/>
                <w:lang w:val="hr-HR"/>
              </w:rPr>
            </w:pPr>
            <w:r w:rsidRPr="001567C8">
              <w:rPr>
                <w:rFonts w:asciiTheme="minorHAnsi" w:hAnsiTheme="minorHAnsi" w:cs="Arial"/>
                <w:szCs w:val="19"/>
                <w:lang w:val="hr-HR"/>
              </w:rPr>
              <w:t xml:space="preserve">Ostale </w:t>
            </w:r>
          </w:p>
          <w:p w:rsidR="00343152" w:rsidRPr="001567C8" w:rsidRDefault="00343152" w:rsidP="00F62451">
            <w:pPr>
              <w:pStyle w:val="TH"/>
              <w:jc w:val="right"/>
              <w:rPr>
                <w:rFonts w:asciiTheme="minorHAnsi" w:hAnsiTheme="minorHAnsi" w:cs="Arial"/>
                <w:szCs w:val="19"/>
                <w:lang w:val="hr-HR"/>
              </w:rPr>
            </w:pPr>
            <w:r w:rsidRPr="001567C8">
              <w:rPr>
                <w:rFonts w:asciiTheme="minorHAnsi" w:hAnsiTheme="minorHAnsi" w:cs="Arial"/>
                <w:szCs w:val="19"/>
                <w:lang w:val="hr-HR"/>
              </w:rPr>
              <w:t xml:space="preserve">zemlje </w:t>
            </w:r>
          </w:p>
        </w:tc>
        <w:tc>
          <w:tcPr>
            <w:tcW w:w="609" w:type="pct"/>
            <w:vAlign w:val="bottom"/>
          </w:tcPr>
          <w:p w:rsidR="00343152" w:rsidRPr="001567C8" w:rsidRDefault="00343152" w:rsidP="00F62451">
            <w:pPr>
              <w:pStyle w:val="TH"/>
              <w:jc w:val="right"/>
              <w:rPr>
                <w:rFonts w:asciiTheme="minorHAnsi" w:hAnsiTheme="minorHAnsi" w:cs="Arial"/>
                <w:szCs w:val="19"/>
                <w:lang w:val="hr-HR"/>
              </w:rPr>
            </w:pPr>
            <w:r w:rsidRPr="001567C8">
              <w:rPr>
                <w:rFonts w:asciiTheme="minorHAnsi" w:hAnsiTheme="minorHAnsi" w:cs="Arial"/>
                <w:szCs w:val="19"/>
                <w:lang w:val="hr-HR"/>
              </w:rPr>
              <w:t>Ukupno</w:t>
            </w:r>
          </w:p>
        </w:tc>
      </w:tr>
      <w:tr w:rsidR="00343152" w:rsidRPr="001567C8" w:rsidTr="00E71745">
        <w:trPr>
          <w:cantSplit/>
          <w:trHeight w:val="250"/>
          <w:tblHeader/>
        </w:trPr>
        <w:tc>
          <w:tcPr>
            <w:tcW w:w="2557" w:type="pct"/>
          </w:tcPr>
          <w:p w:rsidR="00343152" w:rsidRPr="001567C8" w:rsidRDefault="00343152" w:rsidP="00F62451">
            <w:pPr>
              <w:ind w:left="113" w:hanging="113"/>
              <w:rPr>
                <w:rFonts w:asciiTheme="minorHAnsi" w:hAnsiTheme="minorHAnsi" w:cs="Arial"/>
                <w:sz w:val="19"/>
                <w:szCs w:val="19"/>
                <w:lang w:val="hr-HR"/>
              </w:rPr>
            </w:pPr>
          </w:p>
        </w:tc>
        <w:tc>
          <w:tcPr>
            <w:tcW w:w="632" w:type="pct"/>
            <w:vAlign w:val="bottom"/>
          </w:tcPr>
          <w:p w:rsidR="00343152" w:rsidRPr="001567C8" w:rsidRDefault="00343152" w:rsidP="00F62451">
            <w:pPr>
              <w:pStyle w:val="TH"/>
              <w:jc w:val="right"/>
              <w:rPr>
                <w:rFonts w:asciiTheme="minorHAnsi" w:hAnsiTheme="minorHAnsi" w:cs="Arial"/>
                <w:szCs w:val="19"/>
                <w:lang w:val="hr-HR"/>
              </w:rPr>
            </w:pPr>
            <w:r w:rsidRPr="001567C8">
              <w:rPr>
                <w:rFonts w:asciiTheme="minorHAnsi" w:hAnsiTheme="minorHAnsi" w:cs="Arial"/>
                <w:szCs w:val="19"/>
                <w:lang w:val="hr-HR"/>
              </w:rPr>
              <w:t>000 kuna</w:t>
            </w:r>
          </w:p>
        </w:tc>
        <w:tc>
          <w:tcPr>
            <w:tcW w:w="569" w:type="pct"/>
            <w:vAlign w:val="bottom"/>
          </w:tcPr>
          <w:p w:rsidR="00343152" w:rsidRPr="001567C8" w:rsidRDefault="00343152" w:rsidP="00F62451">
            <w:pPr>
              <w:pStyle w:val="TH"/>
              <w:jc w:val="right"/>
              <w:rPr>
                <w:rFonts w:asciiTheme="minorHAnsi" w:hAnsiTheme="minorHAnsi" w:cs="Arial"/>
                <w:szCs w:val="19"/>
                <w:lang w:val="hr-HR"/>
              </w:rPr>
            </w:pPr>
            <w:r w:rsidRPr="001567C8">
              <w:rPr>
                <w:rFonts w:asciiTheme="minorHAnsi" w:hAnsiTheme="minorHAnsi" w:cs="Arial"/>
                <w:szCs w:val="19"/>
                <w:lang w:val="hr-HR"/>
              </w:rPr>
              <w:t>000 kuna</w:t>
            </w:r>
          </w:p>
        </w:tc>
        <w:tc>
          <w:tcPr>
            <w:tcW w:w="633" w:type="pct"/>
            <w:vAlign w:val="bottom"/>
          </w:tcPr>
          <w:p w:rsidR="00343152" w:rsidRPr="001567C8" w:rsidRDefault="00343152" w:rsidP="00F62451">
            <w:pPr>
              <w:pStyle w:val="TH"/>
              <w:jc w:val="right"/>
              <w:rPr>
                <w:rFonts w:asciiTheme="minorHAnsi" w:hAnsiTheme="minorHAnsi" w:cs="Arial"/>
                <w:szCs w:val="19"/>
                <w:lang w:val="hr-HR"/>
              </w:rPr>
            </w:pPr>
            <w:r w:rsidRPr="001567C8">
              <w:rPr>
                <w:rFonts w:asciiTheme="minorHAnsi" w:hAnsiTheme="minorHAnsi" w:cs="Arial"/>
                <w:szCs w:val="19"/>
                <w:lang w:val="hr-HR"/>
              </w:rPr>
              <w:t>000 kuna</w:t>
            </w:r>
          </w:p>
        </w:tc>
        <w:tc>
          <w:tcPr>
            <w:tcW w:w="609" w:type="pct"/>
            <w:vAlign w:val="bottom"/>
          </w:tcPr>
          <w:p w:rsidR="00343152" w:rsidRPr="001567C8" w:rsidRDefault="00343152" w:rsidP="00F62451">
            <w:pPr>
              <w:pStyle w:val="TH"/>
              <w:jc w:val="right"/>
              <w:rPr>
                <w:rFonts w:asciiTheme="minorHAnsi" w:hAnsiTheme="minorHAnsi" w:cs="Arial"/>
                <w:szCs w:val="19"/>
                <w:lang w:val="hr-HR"/>
              </w:rPr>
            </w:pPr>
            <w:r w:rsidRPr="001567C8">
              <w:rPr>
                <w:rFonts w:asciiTheme="minorHAnsi" w:hAnsiTheme="minorHAnsi" w:cs="Arial"/>
                <w:szCs w:val="19"/>
                <w:lang w:val="hr-HR"/>
              </w:rPr>
              <w:t>000 kuna</w:t>
            </w:r>
          </w:p>
        </w:tc>
      </w:tr>
      <w:tr w:rsidR="00343152" w:rsidRPr="001567C8" w:rsidTr="00E71745">
        <w:trPr>
          <w:cantSplit/>
          <w:trHeight w:val="250"/>
          <w:tblHeader/>
        </w:trPr>
        <w:tc>
          <w:tcPr>
            <w:tcW w:w="2557" w:type="pct"/>
          </w:tcPr>
          <w:p w:rsidR="00343152" w:rsidRPr="001567C8" w:rsidRDefault="00343152" w:rsidP="00F62451">
            <w:pPr>
              <w:ind w:left="113" w:hanging="113"/>
              <w:rPr>
                <w:rFonts w:asciiTheme="minorHAnsi" w:hAnsiTheme="minorHAnsi" w:cs="Arial"/>
                <w:sz w:val="19"/>
                <w:szCs w:val="19"/>
                <w:lang w:val="hr-HR"/>
              </w:rPr>
            </w:pPr>
          </w:p>
        </w:tc>
        <w:tc>
          <w:tcPr>
            <w:tcW w:w="632" w:type="pct"/>
          </w:tcPr>
          <w:p w:rsidR="00343152" w:rsidRPr="001567C8" w:rsidRDefault="00343152" w:rsidP="00F62451">
            <w:pPr>
              <w:jc w:val="right"/>
              <w:rPr>
                <w:rFonts w:asciiTheme="minorHAnsi" w:hAnsiTheme="minorHAnsi" w:cs="Arial"/>
                <w:sz w:val="19"/>
                <w:szCs w:val="19"/>
                <w:lang w:val="hr-HR"/>
              </w:rPr>
            </w:pPr>
          </w:p>
        </w:tc>
        <w:tc>
          <w:tcPr>
            <w:tcW w:w="569" w:type="pct"/>
          </w:tcPr>
          <w:p w:rsidR="00343152" w:rsidRPr="001567C8" w:rsidRDefault="00343152" w:rsidP="00F62451">
            <w:pPr>
              <w:jc w:val="right"/>
              <w:rPr>
                <w:rFonts w:asciiTheme="minorHAnsi" w:hAnsiTheme="minorHAnsi" w:cs="Arial"/>
                <w:sz w:val="19"/>
                <w:szCs w:val="19"/>
                <w:lang w:val="hr-HR"/>
              </w:rPr>
            </w:pPr>
          </w:p>
        </w:tc>
        <w:tc>
          <w:tcPr>
            <w:tcW w:w="633" w:type="pct"/>
          </w:tcPr>
          <w:p w:rsidR="00343152" w:rsidRPr="001567C8" w:rsidRDefault="00343152" w:rsidP="00F62451">
            <w:pPr>
              <w:jc w:val="right"/>
              <w:rPr>
                <w:rFonts w:asciiTheme="minorHAnsi" w:hAnsiTheme="minorHAnsi" w:cs="Arial"/>
                <w:sz w:val="19"/>
                <w:szCs w:val="19"/>
                <w:lang w:val="hr-HR"/>
              </w:rPr>
            </w:pPr>
          </w:p>
        </w:tc>
        <w:tc>
          <w:tcPr>
            <w:tcW w:w="609" w:type="pct"/>
          </w:tcPr>
          <w:p w:rsidR="00343152" w:rsidRPr="001567C8" w:rsidRDefault="00343152" w:rsidP="00F62451">
            <w:pPr>
              <w:jc w:val="center"/>
              <w:rPr>
                <w:rFonts w:asciiTheme="minorHAnsi" w:hAnsiTheme="minorHAnsi" w:cs="Arial"/>
                <w:sz w:val="19"/>
                <w:szCs w:val="19"/>
                <w:lang w:val="hr-HR"/>
              </w:rPr>
            </w:pPr>
          </w:p>
        </w:tc>
      </w:tr>
      <w:tr w:rsidR="00343152" w:rsidRPr="001567C8" w:rsidTr="00E71745">
        <w:trPr>
          <w:cantSplit/>
          <w:trHeight w:val="250"/>
          <w:tblHeader/>
        </w:trPr>
        <w:tc>
          <w:tcPr>
            <w:tcW w:w="2557" w:type="pct"/>
          </w:tcPr>
          <w:p w:rsidR="00343152" w:rsidRPr="001567C8" w:rsidRDefault="008D6072" w:rsidP="008D6072">
            <w:pPr>
              <w:pStyle w:val="TT"/>
              <w:rPr>
                <w:rFonts w:asciiTheme="minorHAnsi" w:hAnsiTheme="minorHAnsi" w:cs="Arial"/>
                <w:b/>
                <w:bCs/>
                <w:szCs w:val="19"/>
                <w:lang w:val="hr-HR"/>
              </w:rPr>
            </w:pPr>
            <w:r w:rsidRPr="001567C8">
              <w:rPr>
                <w:rFonts w:asciiTheme="minorHAnsi" w:hAnsiTheme="minorHAnsi" w:cs="Arial"/>
                <w:b/>
                <w:bCs/>
                <w:szCs w:val="19"/>
                <w:lang w:val="hr-HR"/>
              </w:rPr>
              <w:t>Imovina</w:t>
            </w:r>
          </w:p>
        </w:tc>
        <w:tc>
          <w:tcPr>
            <w:tcW w:w="632" w:type="pct"/>
          </w:tcPr>
          <w:p w:rsidR="00343152" w:rsidRPr="001567C8" w:rsidRDefault="00343152" w:rsidP="00F62451">
            <w:pPr>
              <w:jc w:val="right"/>
              <w:rPr>
                <w:rFonts w:asciiTheme="minorHAnsi" w:hAnsiTheme="minorHAnsi" w:cs="Arial"/>
                <w:sz w:val="19"/>
                <w:szCs w:val="19"/>
                <w:lang w:val="hr-HR"/>
              </w:rPr>
            </w:pPr>
          </w:p>
        </w:tc>
        <w:tc>
          <w:tcPr>
            <w:tcW w:w="569" w:type="pct"/>
          </w:tcPr>
          <w:p w:rsidR="00343152" w:rsidRPr="001567C8" w:rsidRDefault="00343152" w:rsidP="00F62451">
            <w:pPr>
              <w:jc w:val="right"/>
              <w:rPr>
                <w:rFonts w:asciiTheme="minorHAnsi" w:hAnsiTheme="minorHAnsi" w:cs="Arial"/>
                <w:sz w:val="19"/>
                <w:szCs w:val="19"/>
                <w:lang w:val="hr-HR"/>
              </w:rPr>
            </w:pPr>
          </w:p>
        </w:tc>
        <w:tc>
          <w:tcPr>
            <w:tcW w:w="633" w:type="pct"/>
          </w:tcPr>
          <w:p w:rsidR="00343152" w:rsidRPr="001567C8" w:rsidRDefault="00343152" w:rsidP="00F62451">
            <w:pPr>
              <w:jc w:val="right"/>
              <w:rPr>
                <w:rFonts w:asciiTheme="minorHAnsi" w:hAnsiTheme="minorHAnsi" w:cs="Arial"/>
                <w:sz w:val="19"/>
                <w:szCs w:val="19"/>
                <w:lang w:val="hr-HR"/>
              </w:rPr>
            </w:pPr>
          </w:p>
        </w:tc>
        <w:tc>
          <w:tcPr>
            <w:tcW w:w="609" w:type="pct"/>
          </w:tcPr>
          <w:p w:rsidR="00343152" w:rsidRPr="001567C8" w:rsidRDefault="00343152" w:rsidP="00F62451">
            <w:pPr>
              <w:jc w:val="center"/>
              <w:rPr>
                <w:rFonts w:asciiTheme="minorHAnsi" w:hAnsiTheme="minorHAnsi" w:cs="Arial"/>
                <w:sz w:val="19"/>
                <w:szCs w:val="19"/>
                <w:lang w:val="hr-HR"/>
              </w:rPr>
            </w:pPr>
          </w:p>
        </w:tc>
      </w:tr>
      <w:tr w:rsidR="00AE6945" w:rsidRPr="001567C8" w:rsidTr="00AE6945">
        <w:trPr>
          <w:cantSplit/>
          <w:trHeight w:val="250"/>
          <w:tblHeader/>
        </w:trPr>
        <w:tc>
          <w:tcPr>
            <w:tcW w:w="2557" w:type="pct"/>
            <w:vAlign w:val="bottom"/>
          </w:tcPr>
          <w:p w:rsidR="00AE6945" w:rsidRPr="001567C8" w:rsidRDefault="00AE6945" w:rsidP="00AE6945">
            <w:pPr>
              <w:pStyle w:val="TT"/>
              <w:rPr>
                <w:rFonts w:asciiTheme="minorHAnsi" w:hAnsiTheme="minorHAnsi"/>
                <w:szCs w:val="19"/>
                <w:lang w:val="hr-HR"/>
              </w:rPr>
            </w:pPr>
            <w:r w:rsidRPr="001567C8">
              <w:rPr>
                <w:rFonts w:asciiTheme="minorHAnsi" w:hAnsiTheme="minorHAnsi"/>
                <w:szCs w:val="19"/>
                <w:lang w:val="hr-HR"/>
              </w:rPr>
              <w:t>Novčana sredstva i računi kod banaka</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925.865</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14.740</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464</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941.069</w:t>
            </w:r>
          </w:p>
        </w:tc>
      </w:tr>
      <w:tr w:rsidR="00AE6945" w:rsidRPr="001567C8" w:rsidTr="00AE6945">
        <w:trPr>
          <w:cantSplit/>
          <w:trHeight w:val="250"/>
          <w:tblHeader/>
        </w:trPr>
        <w:tc>
          <w:tcPr>
            <w:tcW w:w="2557" w:type="pct"/>
            <w:vAlign w:val="bottom"/>
          </w:tcPr>
          <w:p w:rsidR="00AE6945" w:rsidRPr="001567C8" w:rsidRDefault="00AE6945" w:rsidP="00AE6945">
            <w:pPr>
              <w:pStyle w:val="TT"/>
              <w:rPr>
                <w:rFonts w:asciiTheme="minorHAnsi" w:hAnsiTheme="minorHAnsi"/>
                <w:szCs w:val="19"/>
                <w:lang w:val="hr-HR"/>
              </w:rPr>
            </w:pPr>
            <w:r w:rsidRPr="001567C8">
              <w:rPr>
                <w:rFonts w:asciiTheme="minorHAnsi" w:hAnsiTheme="minorHAnsi"/>
                <w:szCs w:val="19"/>
                <w:lang w:val="hr-HR"/>
              </w:rPr>
              <w:t>Depoziti kod drugih banaka</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261.922</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261.925</w:t>
            </w:r>
          </w:p>
        </w:tc>
      </w:tr>
      <w:tr w:rsidR="00AE6945" w:rsidRPr="001567C8" w:rsidTr="00AE6945">
        <w:trPr>
          <w:cantSplit/>
          <w:trHeight w:val="250"/>
          <w:tblHeader/>
        </w:trPr>
        <w:tc>
          <w:tcPr>
            <w:tcW w:w="2557" w:type="pct"/>
            <w:vAlign w:val="bottom"/>
          </w:tcPr>
          <w:p w:rsidR="00AE6945" w:rsidRPr="001567C8" w:rsidRDefault="00AE6945" w:rsidP="00AE6945">
            <w:pPr>
              <w:pStyle w:val="TT"/>
              <w:rPr>
                <w:rFonts w:asciiTheme="minorHAnsi" w:hAnsiTheme="minorHAnsi"/>
                <w:szCs w:val="19"/>
                <w:lang w:val="hr-HR"/>
              </w:rPr>
            </w:pPr>
            <w:r w:rsidRPr="001567C8">
              <w:rPr>
                <w:rFonts w:asciiTheme="minorHAnsi" w:hAnsiTheme="minorHAnsi"/>
                <w:szCs w:val="19"/>
                <w:lang w:val="hr-HR"/>
              </w:rPr>
              <w:t>Krediti financijskim institucijama</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10.234.988</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10.234.988</w:t>
            </w:r>
          </w:p>
        </w:tc>
      </w:tr>
      <w:tr w:rsidR="00AE6945" w:rsidRPr="001567C8" w:rsidTr="00AE6945">
        <w:trPr>
          <w:cantSplit/>
          <w:trHeight w:val="250"/>
          <w:tblHeader/>
        </w:trPr>
        <w:tc>
          <w:tcPr>
            <w:tcW w:w="2557" w:type="pct"/>
            <w:vAlign w:val="bottom"/>
          </w:tcPr>
          <w:p w:rsidR="00AE6945" w:rsidRPr="001567C8" w:rsidRDefault="00AE6945" w:rsidP="00AE6945">
            <w:pPr>
              <w:pStyle w:val="TT"/>
              <w:rPr>
                <w:rFonts w:asciiTheme="minorHAnsi" w:hAnsiTheme="minorHAnsi"/>
                <w:szCs w:val="19"/>
                <w:lang w:val="hr-HR"/>
              </w:rPr>
            </w:pPr>
            <w:r w:rsidRPr="001567C8">
              <w:rPr>
                <w:rFonts w:asciiTheme="minorHAnsi" w:hAnsiTheme="minorHAnsi"/>
                <w:szCs w:val="19"/>
                <w:lang w:val="hr-HR"/>
              </w:rPr>
              <w:t>Krediti ostalim korisnicima</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11.736.094</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774.592</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12.510.686</w:t>
            </w:r>
          </w:p>
        </w:tc>
      </w:tr>
      <w:tr w:rsidR="00AE6945" w:rsidRPr="001567C8" w:rsidTr="00AE6945">
        <w:trPr>
          <w:cantSplit/>
          <w:trHeight w:val="250"/>
          <w:tblHeader/>
        </w:trPr>
        <w:tc>
          <w:tcPr>
            <w:tcW w:w="2557" w:type="pct"/>
            <w:vAlign w:val="bottom"/>
          </w:tcPr>
          <w:p w:rsidR="00AE6945" w:rsidRPr="001567C8" w:rsidRDefault="00AE6945" w:rsidP="00AE6945">
            <w:pPr>
              <w:pStyle w:val="TT"/>
              <w:rPr>
                <w:rFonts w:asciiTheme="minorHAnsi" w:hAnsiTheme="minorHAnsi"/>
                <w:szCs w:val="19"/>
                <w:lang w:val="hr-HR"/>
              </w:rPr>
            </w:pPr>
            <w:r w:rsidRPr="001567C8">
              <w:rPr>
                <w:rFonts w:asciiTheme="minorHAnsi" w:hAnsiTheme="minorHAnsi"/>
                <w:szCs w:val="19"/>
                <w:lang w:val="hr-HR"/>
              </w:rPr>
              <w:t xml:space="preserve">Financijska imovina po fer vrijednosti kroz </w:t>
            </w:r>
            <w:r w:rsidR="00316574" w:rsidRPr="001567C8">
              <w:rPr>
                <w:rFonts w:asciiTheme="minorHAnsi" w:hAnsiTheme="minorHAnsi"/>
                <w:szCs w:val="19"/>
                <w:lang w:val="hr-HR"/>
              </w:rPr>
              <w:t>d</w:t>
            </w:r>
            <w:r w:rsidRPr="001567C8">
              <w:rPr>
                <w:rFonts w:asciiTheme="minorHAnsi" w:hAnsiTheme="minorHAnsi"/>
                <w:szCs w:val="19"/>
                <w:lang w:val="hr-HR"/>
              </w:rPr>
              <w:t>obit i</w:t>
            </w:r>
            <w:r w:rsidR="00316574" w:rsidRPr="001567C8">
              <w:rPr>
                <w:rFonts w:asciiTheme="minorHAnsi" w:hAnsiTheme="minorHAnsi"/>
                <w:szCs w:val="19"/>
                <w:lang w:val="hr-HR"/>
              </w:rPr>
              <w:t xml:space="preserve">li </w:t>
            </w:r>
            <w:r w:rsidRPr="001567C8">
              <w:rPr>
                <w:rFonts w:asciiTheme="minorHAnsi" w:hAnsiTheme="minorHAnsi"/>
                <w:szCs w:val="19"/>
                <w:lang w:val="hr-HR"/>
              </w:rPr>
              <w:t>gubit</w:t>
            </w:r>
            <w:r w:rsidR="00316574" w:rsidRPr="001567C8">
              <w:rPr>
                <w:rFonts w:asciiTheme="minorHAnsi" w:hAnsiTheme="minorHAnsi"/>
                <w:szCs w:val="19"/>
                <w:lang w:val="hr-HR"/>
              </w:rPr>
              <w:t>ak</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2.045</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2.045</w:t>
            </w:r>
          </w:p>
        </w:tc>
      </w:tr>
      <w:tr w:rsidR="00AE6945" w:rsidRPr="001567C8" w:rsidTr="00AE6945">
        <w:trPr>
          <w:cantSplit/>
          <w:trHeight w:val="250"/>
          <w:tblHeader/>
        </w:trPr>
        <w:tc>
          <w:tcPr>
            <w:tcW w:w="2557" w:type="pct"/>
          </w:tcPr>
          <w:p w:rsidR="00AE6945" w:rsidRPr="001567C8" w:rsidRDefault="00AE6945" w:rsidP="00AE6945">
            <w:pPr>
              <w:pStyle w:val="TT"/>
              <w:rPr>
                <w:rFonts w:asciiTheme="minorHAnsi" w:hAnsiTheme="minorHAnsi"/>
                <w:szCs w:val="19"/>
                <w:lang w:val="hr-HR"/>
              </w:rPr>
            </w:pPr>
            <w:r w:rsidRPr="001567C8">
              <w:rPr>
                <w:rFonts w:asciiTheme="minorHAnsi" w:hAnsiTheme="minorHAnsi" w:cs="Arial"/>
                <w:szCs w:val="19"/>
                <w:lang w:val="hr-HR"/>
              </w:rPr>
              <w:t xml:space="preserve">Financijska imovina po fer vrijednosti kroz ostalu sveobuhvatnu dobit        </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2.766.363</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2.766.363</w:t>
            </w:r>
          </w:p>
        </w:tc>
      </w:tr>
      <w:tr w:rsidR="00AE6945" w:rsidRPr="001567C8" w:rsidTr="00AE6945">
        <w:trPr>
          <w:cantSplit/>
          <w:trHeight w:val="250"/>
          <w:tblHeader/>
        </w:trPr>
        <w:tc>
          <w:tcPr>
            <w:tcW w:w="2557" w:type="pct"/>
            <w:vAlign w:val="bottom"/>
          </w:tcPr>
          <w:p w:rsidR="00AE6945" w:rsidRPr="001567C8" w:rsidRDefault="00AE6945" w:rsidP="00AE6945">
            <w:pPr>
              <w:pStyle w:val="TT"/>
              <w:rPr>
                <w:rFonts w:asciiTheme="minorHAnsi" w:hAnsiTheme="minorHAnsi"/>
                <w:szCs w:val="19"/>
                <w:lang w:val="hr-HR"/>
              </w:rPr>
            </w:pPr>
            <w:r w:rsidRPr="001567C8">
              <w:rPr>
                <w:rFonts w:asciiTheme="minorHAnsi" w:hAnsiTheme="minorHAnsi"/>
                <w:szCs w:val="19"/>
                <w:lang w:val="hr-HR"/>
              </w:rPr>
              <w:t>Ostala imovina</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4.106</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67</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4.182</w:t>
            </w:r>
          </w:p>
        </w:tc>
      </w:tr>
      <w:tr w:rsidR="00AE6945" w:rsidRPr="001567C8" w:rsidTr="00AE6945">
        <w:trPr>
          <w:cantSplit/>
          <w:trHeight w:hRule="exact" w:val="441"/>
          <w:tblHeader/>
        </w:trPr>
        <w:tc>
          <w:tcPr>
            <w:tcW w:w="2557" w:type="pct"/>
            <w:vAlign w:val="bottom"/>
          </w:tcPr>
          <w:p w:rsidR="00AE6945" w:rsidRPr="001567C8" w:rsidRDefault="00AE6945" w:rsidP="00AE6945">
            <w:pPr>
              <w:pStyle w:val="TT"/>
              <w:rPr>
                <w:rFonts w:asciiTheme="minorHAnsi" w:hAnsiTheme="minorHAnsi"/>
                <w:b/>
                <w:bCs/>
                <w:szCs w:val="19"/>
                <w:lang w:val="hr-HR"/>
              </w:rPr>
            </w:pPr>
            <w:r w:rsidRPr="001567C8">
              <w:rPr>
                <w:rFonts w:asciiTheme="minorHAnsi" w:hAnsiTheme="minorHAnsi"/>
                <w:b/>
                <w:bCs/>
                <w:szCs w:val="19"/>
                <w:lang w:val="hr-HR"/>
              </w:rPr>
              <w:t xml:space="preserve">Ukupno </w:t>
            </w:r>
          </w:p>
        </w:tc>
        <w:tc>
          <w:tcPr>
            <w:tcW w:w="632" w:type="pct"/>
            <w:tcBorders>
              <w:top w:val="single" w:sz="8" w:space="0" w:color="auto"/>
              <w:left w:val="nil"/>
              <w:bottom w:val="single" w:sz="8"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25.931.383</w:t>
            </w:r>
          </w:p>
        </w:tc>
        <w:tc>
          <w:tcPr>
            <w:tcW w:w="569" w:type="pct"/>
            <w:tcBorders>
              <w:top w:val="single" w:sz="8" w:space="0" w:color="auto"/>
              <w:left w:val="nil"/>
              <w:bottom w:val="single" w:sz="8"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14.752</w:t>
            </w:r>
          </w:p>
        </w:tc>
        <w:tc>
          <w:tcPr>
            <w:tcW w:w="633" w:type="pct"/>
            <w:tcBorders>
              <w:top w:val="single" w:sz="8" w:space="0" w:color="auto"/>
              <w:left w:val="nil"/>
              <w:bottom w:val="single" w:sz="8"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775.123</w:t>
            </w:r>
          </w:p>
        </w:tc>
        <w:tc>
          <w:tcPr>
            <w:tcW w:w="609" w:type="pct"/>
            <w:tcBorders>
              <w:top w:val="single" w:sz="8" w:space="0" w:color="auto"/>
              <w:left w:val="nil"/>
              <w:bottom w:val="single" w:sz="8"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26.721.258</w:t>
            </w:r>
          </w:p>
        </w:tc>
      </w:tr>
      <w:tr w:rsidR="00AE6945" w:rsidRPr="001567C8" w:rsidTr="00AE6945">
        <w:tblPrEx>
          <w:tblCellMar>
            <w:left w:w="31" w:type="dxa"/>
            <w:right w:w="31" w:type="dxa"/>
          </w:tblCellMar>
        </w:tblPrEx>
        <w:trPr>
          <w:cantSplit/>
          <w:trHeight w:val="250"/>
          <w:tblHeader/>
        </w:trPr>
        <w:tc>
          <w:tcPr>
            <w:tcW w:w="2557" w:type="pct"/>
            <w:vAlign w:val="bottom"/>
          </w:tcPr>
          <w:p w:rsidR="00AE6945" w:rsidRPr="001567C8" w:rsidRDefault="00AE6945" w:rsidP="00AE6945">
            <w:pPr>
              <w:pStyle w:val="TT"/>
              <w:rPr>
                <w:rFonts w:asciiTheme="minorHAnsi" w:hAnsiTheme="minorHAnsi"/>
                <w:b/>
                <w:bCs/>
                <w:szCs w:val="19"/>
                <w:lang w:val="hr-HR"/>
              </w:rPr>
            </w:pPr>
          </w:p>
        </w:tc>
        <w:tc>
          <w:tcPr>
            <w:tcW w:w="632" w:type="pct"/>
            <w:tcBorders>
              <w:top w:val="single" w:sz="12" w:space="0" w:color="auto"/>
            </w:tcBorders>
            <w:vAlign w:val="bottom"/>
          </w:tcPr>
          <w:p w:rsidR="00AE6945" w:rsidRPr="001567C8" w:rsidRDefault="00AE6945" w:rsidP="00AE6945">
            <w:pPr>
              <w:pStyle w:val="TT"/>
              <w:jc w:val="right"/>
              <w:rPr>
                <w:rFonts w:asciiTheme="minorHAnsi" w:hAnsiTheme="minorHAnsi" w:cstheme="minorHAnsi"/>
                <w:szCs w:val="19"/>
                <w:lang w:val="hr-HR"/>
              </w:rPr>
            </w:pPr>
          </w:p>
        </w:tc>
        <w:tc>
          <w:tcPr>
            <w:tcW w:w="569" w:type="pct"/>
            <w:tcBorders>
              <w:top w:val="single" w:sz="12" w:space="0" w:color="auto"/>
            </w:tcBorders>
            <w:vAlign w:val="bottom"/>
          </w:tcPr>
          <w:p w:rsidR="00AE6945" w:rsidRPr="001567C8" w:rsidRDefault="00AE6945" w:rsidP="00AE6945">
            <w:pPr>
              <w:pStyle w:val="TT"/>
              <w:jc w:val="right"/>
              <w:rPr>
                <w:rFonts w:asciiTheme="minorHAnsi" w:hAnsiTheme="minorHAnsi" w:cstheme="minorHAnsi"/>
                <w:szCs w:val="19"/>
                <w:lang w:val="hr-HR"/>
              </w:rPr>
            </w:pPr>
          </w:p>
        </w:tc>
        <w:tc>
          <w:tcPr>
            <w:tcW w:w="633" w:type="pct"/>
            <w:tcBorders>
              <w:top w:val="single" w:sz="12" w:space="0" w:color="auto"/>
            </w:tcBorders>
            <w:vAlign w:val="bottom"/>
          </w:tcPr>
          <w:p w:rsidR="00AE6945" w:rsidRPr="001567C8" w:rsidRDefault="00AE6945" w:rsidP="00AE6945">
            <w:pPr>
              <w:pStyle w:val="TT"/>
              <w:jc w:val="right"/>
              <w:rPr>
                <w:rFonts w:asciiTheme="minorHAnsi" w:hAnsiTheme="minorHAnsi" w:cstheme="minorHAnsi"/>
                <w:szCs w:val="19"/>
                <w:lang w:val="hr-HR"/>
              </w:rPr>
            </w:pPr>
          </w:p>
        </w:tc>
        <w:tc>
          <w:tcPr>
            <w:tcW w:w="609" w:type="pct"/>
            <w:tcBorders>
              <w:top w:val="single" w:sz="12" w:space="0" w:color="auto"/>
            </w:tcBorders>
            <w:vAlign w:val="bottom"/>
          </w:tcPr>
          <w:p w:rsidR="00AE6945" w:rsidRPr="001567C8" w:rsidRDefault="00AE6945" w:rsidP="00AE6945">
            <w:pPr>
              <w:pStyle w:val="TT"/>
              <w:jc w:val="right"/>
              <w:rPr>
                <w:rFonts w:asciiTheme="minorHAnsi" w:hAnsiTheme="minorHAnsi" w:cstheme="minorHAnsi"/>
                <w:szCs w:val="19"/>
                <w:lang w:val="hr-HR"/>
              </w:rPr>
            </w:pPr>
          </w:p>
        </w:tc>
      </w:tr>
      <w:tr w:rsidR="00AE6945" w:rsidRPr="001567C8" w:rsidTr="00AE6945">
        <w:tblPrEx>
          <w:tblCellMar>
            <w:left w:w="31" w:type="dxa"/>
            <w:right w:w="31" w:type="dxa"/>
          </w:tblCellMar>
        </w:tblPrEx>
        <w:trPr>
          <w:cantSplit/>
          <w:trHeight w:val="250"/>
          <w:tblHeader/>
        </w:trPr>
        <w:tc>
          <w:tcPr>
            <w:tcW w:w="2557" w:type="pct"/>
          </w:tcPr>
          <w:p w:rsidR="00AE6945" w:rsidRPr="001567C8" w:rsidRDefault="00AE6945" w:rsidP="00AE6945">
            <w:pPr>
              <w:pStyle w:val="TT"/>
              <w:rPr>
                <w:rFonts w:asciiTheme="minorHAnsi" w:hAnsiTheme="minorHAnsi"/>
                <w:b/>
                <w:bCs/>
                <w:szCs w:val="19"/>
                <w:lang w:val="hr-HR"/>
              </w:rPr>
            </w:pPr>
            <w:r w:rsidRPr="001567C8">
              <w:rPr>
                <w:rFonts w:asciiTheme="minorHAnsi" w:hAnsiTheme="minorHAnsi" w:cs="Arial"/>
                <w:b/>
                <w:bCs/>
                <w:szCs w:val="19"/>
                <w:lang w:val="hr-HR"/>
              </w:rPr>
              <w:t>Garancije i preuzete obveze</w:t>
            </w:r>
          </w:p>
        </w:tc>
        <w:tc>
          <w:tcPr>
            <w:tcW w:w="632" w:type="pct"/>
            <w:vAlign w:val="bottom"/>
          </w:tcPr>
          <w:p w:rsidR="00AE6945" w:rsidRPr="001567C8" w:rsidRDefault="00AE6945" w:rsidP="00AE6945">
            <w:pPr>
              <w:pStyle w:val="TT"/>
              <w:jc w:val="right"/>
              <w:rPr>
                <w:rFonts w:asciiTheme="minorHAnsi" w:hAnsiTheme="minorHAnsi" w:cstheme="minorHAnsi"/>
                <w:szCs w:val="19"/>
                <w:lang w:val="hr-HR"/>
              </w:rPr>
            </w:pPr>
          </w:p>
        </w:tc>
        <w:tc>
          <w:tcPr>
            <w:tcW w:w="569" w:type="pct"/>
            <w:vAlign w:val="bottom"/>
          </w:tcPr>
          <w:p w:rsidR="00AE6945" w:rsidRPr="001567C8" w:rsidRDefault="00AE6945" w:rsidP="00AE6945">
            <w:pPr>
              <w:pStyle w:val="TT"/>
              <w:jc w:val="right"/>
              <w:rPr>
                <w:rFonts w:asciiTheme="minorHAnsi" w:hAnsiTheme="minorHAnsi" w:cstheme="minorHAnsi"/>
                <w:szCs w:val="19"/>
                <w:lang w:val="hr-HR"/>
              </w:rPr>
            </w:pPr>
          </w:p>
        </w:tc>
        <w:tc>
          <w:tcPr>
            <w:tcW w:w="633" w:type="pct"/>
            <w:vAlign w:val="bottom"/>
          </w:tcPr>
          <w:p w:rsidR="00AE6945" w:rsidRPr="001567C8" w:rsidRDefault="00AE6945" w:rsidP="00AE6945">
            <w:pPr>
              <w:pStyle w:val="TT"/>
              <w:jc w:val="right"/>
              <w:rPr>
                <w:rFonts w:asciiTheme="minorHAnsi" w:hAnsiTheme="minorHAnsi" w:cstheme="minorHAnsi"/>
                <w:szCs w:val="19"/>
                <w:lang w:val="hr-HR"/>
              </w:rPr>
            </w:pPr>
          </w:p>
        </w:tc>
        <w:tc>
          <w:tcPr>
            <w:tcW w:w="609" w:type="pct"/>
            <w:vAlign w:val="bottom"/>
          </w:tcPr>
          <w:p w:rsidR="00AE6945" w:rsidRPr="001567C8" w:rsidRDefault="00AE6945" w:rsidP="00AE6945">
            <w:pPr>
              <w:pStyle w:val="TT"/>
              <w:jc w:val="right"/>
              <w:rPr>
                <w:rFonts w:asciiTheme="minorHAnsi" w:hAnsiTheme="minorHAnsi" w:cstheme="minorHAnsi"/>
                <w:szCs w:val="19"/>
                <w:lang w:val="hr-HR"/>
              </w:rPr>
            </w:pPr>
          </w:p>
        </w:tc>
      </w:tr>
      <w:tr w:rsidR="00AE6945" w:rsidRPr="001567C8" w:rsidTr="00AE6945">
        <w:tblPrEx>
          <w:tblCellMar>
            <w:left w:w="31" w:type="dxa"/>
            <w:right w:w="31" w:type="dxa"/>
          </w:tblCellMar>
        </w:tblPrEx>
        <w:trPr>
          <w:cantSplit/>
          <w:trHeight w:val="250"/>
          <w:tblHeader/>
        </w:trPr>
        <w:tc>
          <w:tcPr>
            <w:tcW w:w="2557" w:type="pct"/>
          </w:tcPr>
          <w:p w:rsidR="00AE6945" w:rsidRPr="001567C8" w:rsidRDefault="00AE6945" w:rsidP="00AE6945">
            <w:pPr>
              <w:tabs>
                <w:tab w:val="right" w:pos="1202"/>
              </w:tabs>
              <w:spacing w:line="301" w:lineRule="exact"/>
              <w:outlineLvl w:val="0"/>
              <w:rPr>
                <w:rFonts w:asciiTheme="minorHAnsi" w:hAnsiTheme="minorHAnsi" w:cs="Arial"/>
                <w:b/>
                <w:bCs/>
                <w:sz w:val="19"/>
                <w:szCs w:val="19"/>
                <w:lang w:val="hr-HR"/>
              </w:rPr>
            </w:pPr>
            <w:r w:rsidRPr="001567C8">
              <w:rPr>
                <w:rFonts w:asciiTheme="minorHAnsi" w:hAnsiTheme="minorHAnsi" w:cs="Arial"/>
                <w:sz w:val="19"/>
                <w:szCs w:val="19"/>
                <w:lang w:val="hr-HR"/>
              </w:rPr>
              <w:t>Izdane garancije u kunama</w:t>
            </w:r>
          </w:p>
        </w:tc>
        <w:tc>
          <w:tcPr>
            <w:tcW w:w="632" w:type="pct"/>
            <w:tcBorders>
              <w:top w:val="nil"/>
              <w:left w:val="nil"/>
              <w:bottom w:val="nil"/>
              <w:right w:val="nil"/>
            </w:tcBorders>
            <w:shd w:val="clear" w:color="auto" w:fill="auto"/>
            <w:vAlign w:val="bottom"/>
          </w:tcPr>
          <w:p w:rsidR="00AE6945" w:rsidRPr="001567C8" w:rsidRDefault="00AE6945" w:rsidP="00AE6945">
            <w:pPr>
              <w:pStyle w:val="TT"/>
              <w:jc w:val="right"/>
              <w:rPr>
                <w:rFonts w:asciiTheme="minorHAnsi" w:hAnsiTheme="minorHAnsi" w:cstheme="minorHAnsi"/>
                <w:szCs w:val="19"/>
                <w:lang w:val="hr-HR"/>
              </w:rPr>
            </w:pPr>
            <w:r w:rsidRPr="00CD3A2D">
              <w:rPr>
                <w:rFonts w:asciiTheme="minorHAnsi" w:hAnsiTheme="minorHAnsi" w:cstheme="minorHAnsi"/>
                <w:szCs w:val="19"/>
                <w:lang w:val="hr-HR"/>
              </w:rPr>
              <w:t>33.576</w:t>
            </w:r>
          </w:p>
        </w:tc>
        <w:tc>
          <w:tcPr>
            <w:tcW w:w="569" w:type="pct"/>
            <w:tcBorders>
              <w:top w:val="nil"/>
              <w:left w:val="nil"/>
              <w:bottom w:val="nil"/>
              <w:right w:val="nil"/>
            </w:tcBorders>
            <w:shd w:val="clear" w:color="auto" w:fill="auto"/>
            <w:vAlign w:val="bottom"/>
          </w:tcPr>
          <w:p w:rsidR="00AE6945" w:rsidRPr="001567C8" w:rsidRDefault="00AE6945" w:rsidP="00AE6945">
            <w:pPr>
              <w:pStyle w:val="TT"/>
              <w:jc w:val="right"/>
              <w:rPr>
                <w:rFonts w:asciiTheme="minorHAnsi" w:hAnsiTheme="minorHAnsi" w:cstheme="minorHAnsi"/>
                <w:szCs w:val="19"/>
                <w:lang w:val="hr-HR"/>
              </w:rPr>
            </w:pPr>
            <w:r w:rsidRPr="00CD3A2D">
              <w:rPr>
                <w:rFonts w:asciiTheme="minorHAnsi" w:hAnsiTheme="minorHAnsi" w:cstheme="minorHAnsi"/>
                <w:szCs w:val="19"/>
                <w:lang w:val="hr-HR"/>
              </w:rPr>
              <w:t>-</w:t>
            </w:r>
          </w:p>
        </w:tc>
        <w:tc>
          <w:tcPr>
            <w:tcW w:w="633" w:type="pct"/>
            <w:tcBorders>
              <w:top w:val="nil"/>
              <w:left w:val="nil"/>
              <w:bottom w:val="nil"/>
              <w:right w:val="nil"/>
            </w:tcBorders>
            <w:shd w:val="clear" w:color="auto" w:fill="auto"/>
            <w:vAlign w:val="bottom"/>
          </w:tcPr>
          <w:p w:rsidR="00AE6945" w:rsidRPr="001567C8" w:rsidRDefault="00AE6945" w:rsidP="00AE6945">
            <w:pPr>
              <w:pStyle w:val="TT"/>
              <w:jc w:val="right"/>
              <w:rPr>
                <w:rFonts w:asciiTheme="minorHAnsi" w:hAnsiTheme="minorHAnsi" w:cstheme="minorHAnsi"/>
                <w:szCs w:val="19"/>
                <w:lang w:val="hr-HR"/>
              </w:rPr>
            </w:pPr>
            <w:r w:rsidRPr="00CD3A2D">
              <w:rPr>
                <w:rFonts w:asciiTheme="minorHAnsi" w:hAnsiTheme="minorHAnsi" w:cstheme="minorHAnsi"/>
                <w:szCs w:val="19"/>
                <w:lang w:val="hr-HR"/>
              </w:rPr>
              <w:t>-</w:t>
            </w:r>
          </w:p>
        </w:tc>
        <w:tc>
          <w:tcPr>
            <w:tcW w:w="609" w:type="pct"/>
            <w:tcBorders>
              <w:top w:val="nil"/>
              <w:left w:val="nil"/>
              <w:bottom w:val="nil"/>
              <w:right w:val="nil"/>
            </w:tcBorders>
            <w:shd w:val="clear" w:color="auto" w:fill="auto"/>
            <w:vAlign w:val="bottom"/>
          </w:tcPr>
          <w:p w:rsidR="00AE6945" w:rsidRPr="001567C8" w:rsidRDefault="00AE6945" w:rsidP="00AE6945">
            <w:pPr>
              <w:pStyle w:val="TT"/>
              <w:jc w:val="right"/>
              <w:rPr>
                <w:rFonts w:asciiTheme="minorHAnsi" w:hAnsiTheme="minorHAnsi" w:cstheme="minorHAnsi"/>
                <w:szCs w:val="19"/>
                <w:lang w:val="hr-HR"/>
              </w:rPr>
            </w:pPr>
            <w:r w:rsidRPr="00CD3A2D">
              <w:rPr>
                <w:rFonts w:asciiTheme="minorHAnsi" w:hAnsiTheme="minorHAnsi" w:cstheme="minorHAnsi"/>
                <w:szCs w:val="19"/>
                <w:lang w:val="hr-HR"/>
              </w:rPr>
              <w:t>33.576</w:t>
            </w:r>
          </w:p>
        </w:tc>
      </w:tr>
      <w:tr w:rsidR="00AE6945" w:rsidRPr="001567C8" w:rsidTr="00AE6945">
        <w:tblPrEx>
          <w:tblCellMar>
            <w:left w:w="31" w:type="dxa"/>
            <w:right w:w="31" w:type="dxa"/>
          </w:tblCellMar>
        </w:tblPrEx>
        <w:trPr>
          <w:cantSplit/>
          <w:trHeight w:val="250"/>
          <w:tblHeader/>
        </w:trPr>
        <w:tc>
          <w:tcPr>
            <w:tcW w:w="2557" w:type="pct"/>
            <w:vAlign w:val="bottom"/>
          </w:tcPr>
          <w:p w:rsidR="00AE6945" w:rsidRPr="001567C8" w:rsidRDefault="00AE6945" w:rsidP="00AE6945">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Izdane garancije u devizama</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1.822.396</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1.822.396</w:t>
            </w:r>
          </w:p>
        </w:tc>
      </w:tr>
      <w:tr w:rsidR="00AE6945" w:rsidRPr="001567C8" w:rsidTr="00AE6945">
        <w:tblPrEx>
          <w:tblCellMar>
            <w:left w:w="31" w:type="dxa"/>
            <w:right w:w="31" w:type="dxa"/>
          </w:tblCellMar>
        </w:tblPrEx>
        <w:trPr>
          <w:cantSplit/>
          <w:trHeight w:val="250"/>
          <w:tblHeader/>
        </w:trPr>
        <w:tc>
          <w:tcPr>
            <w:tcW w:w="2557" w:type="pct"/>
            <w:vAlign w:val="bottom"/>
          </w:tcPr>
          <w:p w:rsidR="00AE6945" w:rsidRPr="001567C8" w:rsidRDefault="00AE6945" w:rsidP="00AE6945">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Preuzete obveze po kreditima</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2.788.456</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502.576</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3.291.032</w:t>
            </w:r>
          </w:p>
        </w:tc>
      </w:tr>
      <w:tr w:rsidR="00AE6945" w:rsidRPr="001567C8" w:rsidTr="00AE6945">
        <w:tblPrEx>
          <w:tblCellMar>
            <w:left w:w="31" w:type="dxa"/>
            <w:right w:w="31" w:type="dxa"/>
          </w:tblCellMar>
        </w:tblPrEx>
        <w:trPr>
          <w:cantSplit/>
          <w:trHeight w:val="250"/>
          <w:tblHeader/>
        </w:trPr>
        <w:tc>
          <w:tcPr>
            <w:tcW w:w="2557" w:type="pct"/>
            <w:vAlign w:val="bottom"/>
          </w:tcPr>
          <w:p w:rsidR="00AE6945" w:rsidRPr="001567C8" w:rsidRDefault="00AE6945" w:rsidP="00AE6945">
            <w:pPr>
              <w:tabs>
                <w:tab w:val="right" w:pos="1202"/>
              </w:tabs>
              <w:spacing w:line="301" w:lineRule="exact"/>
              <w:outlineLvl w:val="0"/>
              <w:rPr>
                <w:rFonts w:asciiTheme="minorHAnsi" w:hAnsiTheme="minorHAnsi"/>
                <w:sz w:val="19"/>
                <w:szCs w:val="19"/>
                <w:lang w:val="hr-HR"/>
              </w:rPr>
            </w:pPr>
            <w:r w:rsidRPr="001567C8">
              <w:rPr>
                <w:rFonts w:asciiTheme="minorHAnsi" w:hAnsiTheme="minorHAnsi"/>
                <w:sz w:val="19"/>
                <w:szCs w:val="19"/>
                <w:lang w:val="hr-HR"/>
              </w:rPr>
              <w:t>Ostale nespomenute neopozive potencijalne obveze</w:t>
            </w:r>
          </w:p>
        </w:tc>
        <w:tc>
          <w:tcPr>
            <w:tcW w:w="632"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93</w:t>
            </w:r>
          </w:p>
        </w:tc>
        <w:tc>
          <w:tcPr>
            <w:tcW w:w="56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33"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609" w:type="pct"/>
            <w:tcBorders>
              <w:top w:val="nil"/>
              <w:left w:val="nil"/>
              <w:bottom w:val="nil"/>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93</w:t>
            </w:r>
          </w:p>
        </w:tc>
      </w:tr>
      <w:tr w:rsidR="00AE6945" w:rsidRPr="001567C8" w:rsidTr="00AE6945">
        <w:tblPrEx>
          <w:tblCellMar>
            <w:left w:w="31" w:type="dxa"/>
            <w:right w:w="31" w:type="dxa"/>
          </w:tblCellMar>
        </w:tblPrEx>
        <w:trPr>
          <w:cantSplit/>
          <w:trHeight w:val="399"/>
          <w:tblHeader/>
        </w:trPr>
        <w:tc>
          <w:tcPr>
            <w:tcW w:w="2557" w:type="pct"/>
            <w:vAlign w:val="bottom"/>
          </w:tcPr>
          <w:p w:rsidR="00AE6945" w:rsidRPr="001567C8" w:rsidRDefault="00AE6945" w:rsidP="00AE6945">
            <w:pPr>
              <w:pStyle w:val="TT"/>
              <w:rPr>
                <w:rFonts w:asciiTheme="minorHAnsi" w:hAnsiTheme="minorHAnsi"/>
                <w:b/>
                <w:bCs/>
                <w:szCs w:val="19"/>
                <w:lang w:val="hr-HR"/>
              </w:rPr>
            </w:pPr>
            <w:r w:rsidRPr="001567C8">
              <w:rPr>
                <w:rFonts w:asciiTheme="minorHAnsi" w:hAnsiTheme="minorHAnsi"/>
                <w:b/>
                <w:bCs/>
                <w:szCs w:val="19"/>
                <w:lang w:val="hr-HR"/>
              </w:rPr>
              <w:t>Ukupno</w:t>
            </w:r>
          </w:p>
        </w:tc>
        <w:tc>
          <w:tcPr>
            <w:tcW w:w="632" w:type="pct"/>
            <w:tcBorders>
              <w:top w:val="single" w:sz="8" w:space="0" w:color="auto"/>
              <w:left w:val="nil"/>
              <w:bottom w:val="single" w:sz="12"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4.644.521</w:t>
            </w:r>
          </w:p>
        </w:tc>
        <w:tc>
          <w:tcPr>
            <w:tcW w:w="569" w:type="pct"/>
            <w:tcBorders>
              <w:top w:val="single" w:sz="8" w:space="0" w:color="auto"/>
              <w:left w:val="nil"/>
              <w:bottom w:val="single" w:sz="12"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w:t>
            </w:r>
          </w:p>
        </w:tc>
        <w:tc>
          <w:tcPr>
            <w:tcW w:w="633" w:type="pct"/>
            <w:tcBorders>
              <w:top w:val="single" w:sz="8" w:space="0" w:color="auto"/>
              <w:left w:val="nil"/>
              <w:bottom w:val="single" w:sz="12"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502.576</w:t>
            </w:r>
          </w:p>
        </w:tc>
        <w:tc>
          <w:tcPr>
            <w:tcW w:w="609" w:type="pct"/>
            <w:tcBorders>
              <w:top w:val="single" w:sz="8" w:space="0" w:color="auto"/>
              <w:left w:val="nil"/>
              <w:bottom w:val="single" w:sz="12"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5.147.097</w:t>
            </w:r>
          </w:p>
        </w:tc>
      </w:tr>
      <w:tr w:rsidR="00AE6945" w:rsidRPr="001567C8" w:rsidTr="00AE6945">
        <w:tblPrEx>
          <w:tblCellMar>
            <w:left w:w="31" w:type="dxa"/>
            <w:right w:w="31" w:type="dxa"/>
          </w:tblCellMar>
        </w:tblPrEx>
        <w:trPr>
          <w:cantSplit/>
          <w:trHeight w:hRule="exact" w:val="113"/>
          <w:tblHeader/>
        </w:trPr>
        <w:tc>
          <w:tcPr>
            <w:tcW w:w="2557" w:type="pct"/>
            <w:vAlign w:val="bottom"/>
          </w:tcPr>
          <w:p w:rsidR="00AE6945" w:rsidRPr="001567C8" w:rsidRDefault="00AE6945" w:rsidP="00AE6945">
            <w:pPr>
              <w:pStyle w:val="TT"/>
              <w:spacing w:line="240" w:lineRule="auto"/>
              <w:rPr>
                <w:rFonts w:asciiTheme="minorHAnsi" w:hAnsiTheme="minorHAnsi"/>
                <w:b/>
                <w:bCs/>
                <w:szCs w:val="19"/>
                <w:lang w:val="hr-HR"/>
              </w:rPr>
            </w:pPr>
          </w:p>
        </w:tc>
        <w:tc>
          <w:tcPr>
            <w:tcW w:w="632" w:type="pct"/>
            <w:tcBorders>
              <w:top w:val="single" w:sz="12" w:space="0" w:color="auto"/>
            </w:tcBorders>
            <w:vAlign w:val="bottom"/>
          </w:tcPr>
          <w:p w:rsidR="00AE6945" w:rsidRPr="001567C8" w:rsidRDefault="00AE6945" w:rsidP="00AE6945">
            <w:pPr>
              <w:tabs>
                <w:tab w:val="right" w:pos="1202"/>
              </w:tabs>
              <w:jc w:val="right"/>
              <w:outlineLvl w:val="0"/>
              <w:rPr>
                <w:rFonts w:asciiTheme="minorHAnsi" w:hAnsiTheme="minorHAnsi" w:cstheme="minorHAnsi"/>
                <w:b/>
                <w:sz w:val="19"/>
                <w:szCs w:val="19"/>
                <w:lang w:val="hr-HR"/>
              </w:rPr>
            </w:pPr>
          </w:p>
        </w:tc>
        <w:tc>
          <w:tcPr>
            <w:tcW w:w="569" w:type="pct"/>
            <w:tcBorders>
              <w:top w:val="single" w:sz="12" w:space="0" w:color="auto"/>
            </w:tcBorders>
            <w:vAlign w:val="bottom"/>
          </w:tcPr>
          <w:p w:rsidR="00AE6945" w:rsidRPr="001567C8" w:rsidRDefault="00AE6945" w:rsidP="00AE6945">
            <w:pPr>
              <w:tabs>
                <w:tab w:val="right" w:pos="1202"/>
              </w:tabs>
              <w:jc w:val="right"/>
              <w:outlineLvl w:val="0"/>
              <w:rPr>
                <w:rFonts w:asciiTheme="minorHAnsi" w:hAnsiTheme="minorHAnsi" w:cstheme="minorHAnsi"/>
                <w:b/>
                <w:sz w:val="19"/>
                <w:szCs w:val="19"/>
                <w:lang w:val="hr-HR"/>
              </w:rPr>
            </w:pPr>
          </w:p>
        </w:tc>
        <w:tc>
          <w:tcPr>
            <w:tcW w:w="633" w:type="pct"/>
            <w:tcBorders>
              <w:top w:val="single" w:sz="12" w:space="0" w:color="auto"/>
            </w:tcBorders>
            <w:vAlign w:val="bottom"/>
          </w:tcPr>
          <w:p w:rsidR="00AE6945" w:rsidRPr="001567C8" w:rsidRDefault="00AE6945" w:rsidP="00AE6945">
            <w:pPr>
              <w:tabs>
                <w:tab w:val="right" w:pos="1202"/>
              </w:tabs>
              <w:jc w:val="right"/>
              <w:outlineLvl w:val="0"/>
              <w:rPr>
                <w:rFonts w:asciiTheme="minorHAnsi" w:hAnsiTheme="minorHAnsi" w:cstheme="minorHAnsi"/>
                <w:b/>
                <w:sz w:val="19"/>
                <w:szCs w:val="19"/>
                <w:lang w:val="hr-HR"/>
              </w:rPr>
            </w:pPr>
          </w:p>
        </w:tc>
        <w:tc>
          <w:tcPr>
            <w:tcW w:w="609" w:type="pct"/>
            <w:tcBorders>
              <w:top w:val="single" w:sz="12" w:space="0" w:color="auto"/>
            </w:tcBorders>
            <w:vAlign w:val="bottom"/>
          </w:tcPr>
          <w:p w:rsidR="00AE6945" w:rsidRPr="001567C8" w:rsidRDefault="00AE6945" w:rsidP="00AE6945">
            <w:pPr>
              <w:tabs>
                <w:tab w:val="right" w:pos="1202"/>
              </w:tabs>
              <w:jc w:val="right"/>
              <w:outlineLvl w:val="0"/>
              <w:rPr>
                <w:rFonts w:asciiTheme="minorHAnsi" w:hAnsiTheme="minorHAnsi" w:cstheme="minorHAnsi"/>
                <w:b/>
                <w:sz w:val="19"/>
                <w:szCs w:val="19"/>
                <w:lang w:val="hr-HR"/>
              </w:rPr>
            </w:pPr>
          </w:p>
        </w:tc>
      </w:tr>
      <w:tr w:rsidR="00AE6945" w:rsidRPr="001567C8" w:rsidTr="00AE6945">
        <w:tblPrEx>
          <w:tblCellMar>
            <w:left w:w="31" w:type="dxa"/>
            <w:right w:w="31" w:type="dxa"/>
          </w:tblCellMar>
        </w:tblPrEx>
        <w:trPr>
          <w:cantSplit/>
          <w:trHeight w:val="270"/>
          <w:tblHeader/>
        </w:trPr>
        <w:tc>
          <w:tcPr>
            <w:tcW w:w="2557" w:type="pct"/>
            <w:vAlign w:val="bottom"/>
          </w:tcPr>
          <w:p w:rsidR="00AE6945" w:rsidRPr="001567C8" w:rsidRDefault="00AE6945" w:rsidP="00AE6945">
            <w:pPr>
              <w:pStyle w:val="TT"/>
              <w:spacing w:before="120" w:line="300" w:lineRule="exact"/>
              <w:jc w:val="both"/>
              <w:outlineLvl w:val="9"/>
              <w:rPr>
                <w:rFonts w:asciiTheme="minorHAnsi" w:hAnsiTheme="minorHAnsi"/>
                <w:b/>
                <w:bCs/>
                <w:szCs w:val="19"/>
                <w:lang w:val="hr-HR"/>
              </w:rPr>
            </w:pPr>
            <w:r w:rsidRPr="001567C8">
              <w:rPr>
                <w:rFonts w:asciiTheme="minorHAnsi" w:hAnsiTheme="minorHAnsi" w:cs="Arial"/>
                <w:b/>
                <w:bCs/>
                <w:szCs w:val="19"/>
                <w:lang w:val="hr-HR"/>
              </w:rPr>
              <w:t>Ukupna izloženost kreditnom riziku</w:t>
            </w:r>
          </w:p>
        </w:tc>
        <w:tc>
          <w:tcPr>
            <w:tcW w:w="632" w:type="pct"/>
            <w:tcBorders>
              <w:top w:val="nil"/>
              <w:left w:val="nil"/>
              <w:bottom w:val="single" w:sz="12"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30.575.904</w:t>
            </w:r>
          </w:p>
        </w:tc>
        <w:tc>
          <w:tcPr>
            <w:tcW w:w="569" w:type="pct"/>
            <w:tcBorders>
              <w:top w:val="nil"/>
              <w:left w:val="nil"/>
              <w:bottom w:val="single" w:sz="12"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14.752</w:t>
            </w:r>
          </w:p>
        </w:tc>
        <w:tc>
          <w:tcPr>
            <w:tcW w:w="633" w:type="pct"/>
            <w:tcBorders>
              <w:top w:val="nil"/>
              <w:left w:val="nil"/>
              <w:bottom w:val="single" w:sz="12"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1.277.699</w:t>
            </w:r>
          </w:p>
        </w:tc>
        <w:tc>
          <w:tcPr>
            <w:tcW w:w="609" w:type="pct"/>
            <w:tcBorders>
              <w:top w:val="nil"/>
              <w:left w:val="nil"/>
              <w:bottom w:val="single" w:sz="12" w:space="0" w:color="auto"/>
              <w:right w:val="nil"/>
            </w:tcBorders>
            <w:shd w:val="clear" w:color="auto" w:fill="auto"/>
            <w:vAlign w:val="bottom"/>
          </w:tcPr>
          <w:p w:rsidR="00AE6945" w:rsidRPr="001567C8" w:rsidRDefault="00AE6945" w:rsidP="00AE6945">
            <w:pPr>
              <w:tabs>
                <w:tab w:val="right" w:pos="1202"/>
              </w:tabs>
              <w:spacing w:line="301" w:lineRule="exact"/>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31.868.355</w:t>
            </w:r>
          </w:p>
        </w:tc>
      </w:tr>
    </w:tbl>
    <w:p w:rsidR="0095365D" w:rsidRPr="001567C8" w:rsidRDefault="0095365D" w:rsidP="00D23276">
      <w:pPr>
        <w:spacing w:before="120" w:line="300" w:lineRule="exact"/>
        <w:jc w:val="both"/>
        <w:rPr>
          <w:rFonts w:asciiTheme="minorHAnsi" w:hAnsiTheme="minorHAnsi" w:cs="Arial"/>
          <w:sz w:val="22"/>
          <w:szCs w:val="22"/>
          <w:lang w:val="hr-HR"/>
        </w:rPr>
      </w:pPr>
    </w:p>
    <w:p w:rsidR="00513A7F" w:rsidRPr="001567C8" w:rsidRDefault="00513A7F" w:rsidP="00D23276">
      <w:pPr>
        <w:spacing w:before="120" w:line="300" w:lineRule="exact"/>
        <w:jc w:val="both"/>
        <w:rPr>
          <w:rFonts w:asciiTheme="minorHAnsi" w:hAnsiTheme="minorHAnsi" w:cs="Arial"/>
          <w:sz w:val="22"/>
          <w:szCs w:val="22"/>
          <w:lang w:val="hr-HR"/>
        </w:rPr>
        <w:sectPr w:rsidR="00513A7F" w:rsidRPr="001567C8" w:rsidSect="003E2D7A">
          <w:pgSz w:w="11907" w:h="16840" w:code="9"/>
          <w:pgMar w:top="1418" w:right="1134" w:bottom="1134" w:left="1418" w:header="851" w:footer="851" w:gutter="0"/>
          <w:cols w:space="720"/>
          <w:noEndnote/>
        </w:sectPr>
      </w:pPr>
    </w:p>
    <w:p w:rsidR="00347537" w:rsidRPr="001567C8" w:rsidRDefault="00347537" w:rsidP="00347537">
      <w:pPr>
        <w:pStyle w:val="T1"/>
        <w:spacing w:before="0" w:after="0" w:line="240" w:lineRule="auto"/>
        <w:rPr>
          <w:rFonts w:asciiTheme="minorHAnsi" w:hAnsiTheme="minorHAnsi" w:cs="Arial"/>
          <w:sz w:val="22"/>
          <w:szCs w:val="22"/>
          <w:lang w:val="hr-HR"/>
        </w:rPr>
      </w:pPr>
    </w:p>
    <w:p w:rsidR="0095365D"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95365D" w:rsidRPr="001567C8">
        <w:rPr>
          <w:rFonts w:asciiTheme="minorHAnsi" w:hAnsiTheme="minorHAnsi" w:cs="Arial"/>
          <w:sz w:val="22"/>
          <w:szCs w:val="22"/>
          <w:lang w:val="hr-HR"/>
        </w:rPr>
        <w:t>.</w:t>
      </w:r>
      <w:r w:rsidR="0095365D" w:rsidRPr="001567C8">
        <w:rPr>
          <w:rFonts w:asciiTheme="minorHAnsi" w:hAnsiTheme="minorHAnsi" w:cs="Arial"/>
          <w:sz w:val="22"/>
          <w:szCs w:val="22"/>
          <w:lang w:val="hr-HR"/>
        </w:rPr>
        <w:tab/>
        <w:t>Upravljanje rizicima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95365D"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95365D"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3</w:t>
      </w:r>
      <w:r w:rsidR="0095365D" w:rsidRPr="001567C8">
        <w:rPr>
          <w:rFonts w:asciiTheme="minorHAnsi" w:hAnsiTheme="minorHAnsi" w:cs="Arial"/>
          <w:sz w:val="22"/>
          <w:szCs w:val="22"/>
          <w:lang w:val="hr-HR"/>
        </w:rPr>
        <w:t xml:space="preserve">. </w:t>
      </w:r>
      <w:r w:rsidR="0095365D" w:rsidRPr="001567C8">
        <w:rPr>
          <w:rFonts w:asciiTheme="minorHAnsi" w:hAnsiTheme="minorHAnsi" w:cs="Arial"/>
          <w:sz w:val="22"/>
          <w:szCs w:val="22"/>
          <w:lang w:val="hr-HR"/>
        </w:rPr>
        <w:tab/>
        <w:t>Kreditni rizik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95365D" w:rsidRPr="001567C8" w:rsidRDefault="00793CCF"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Koncentracija rizika i maksimalna</w:t>
      </w:r>
      <w:r w:rsidR="0095365D" w:rsidRPr="001567C8">
        <w:rPr>
          <w:rFonts w:asciiTheme="minorHAnsi" w:hAnsiTheme="minorHAnsi" w:cs="Arial"/>
          <w:sz w:val="22"/>
          <w:szCs w:val="22"/>
          <w:lang w:val="hr-HR"/>
        </w:rPr>
        <w:t xml:space="preserve"> izloženost kreditnom riziku (nastavak)</w:t>
      </w:r>
    </w:p>
    <w:p w:rsidR="00347537" w:rsidRPr="001567C8" w:rsidRDefault="00347537" w:rsidP="00347537">
      <w:pPr>
        <w:pStyle w:val="T1"/>
        <w:spacing w:before="0" w:after="0" w:line="240" w:lineRule="auto"/>
        <w:rPr>
          <w:rFonts w:asciiTheme="minorHAnsi" w:hAnsiTheme="minorHAnsi" w:cs="Arial"/>
          <w:b w:val="0"/>
          <w:bCs w:val="0"/>
          <w:sz w:val="22"/>
          <w:szCs w:val="22"/>
          <w:lang w:val="hr-HR"/>
        </w:rPr>
      </w:pPr>
    </w:p>
    <w:p w:rsidR="008256C7" w:rsidRPr="001567C8" w:rsidRDefault="008256C7" w:rsidP="00E266C9">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Koncentracija </w:t>
      </w:r>
      <w:r w:rsidR="008D6072" w:rsidRPr="001567C8">
        <w:rPr>
          <w:rFonts w:asciiTheme="minorHAnsi" w:hAnsiTheme="minorHAnsi" w:cs="Arial"/>
          <w:b w:val="0"/>
          <w:bCs w:val="0"/>
          <w:sz w:val="22"/>
          <w:szCs w:val="22"/>
          <w:lang w:val="hr-HR"/>
        </w:rPr>
        <w:t>imovine</w:t>
      </w:r>
      <w:r w:rsidRPr="001567C8">
        <w:rPr>
          <w:rFonts w:asciiTheme="minorHAnsi" w:hAnsiTheme="minorHAnsi" w:cs="Arial"/>
          <w:b w:val="0"/>
          <w:bCs w:val="0"/>
          <w:sz w:val="22"/>
          <w:szCs w:val="22"/>
          <w:lang w:val="hr-HR"/>
        </w:rPr>
        <w:t xml:space="preserve"> i garancija </w:t>
      </w:r>
      <w:r w:rsidR="00F96790" w:rsidRPr="001567C8">
        <w:rPr>
          <w:rFonts w:asciiTheme="minorHAnsi" w:hAnsiTheme="minorHAnsi" w:cs="Arial"/>
          <w:b w:val="0"/>
          <w:bCs w:val="0"/>
          <w:sz w:val="22"/>
          <w:szCs w:val="22"/>
          <w:lang w:val="hr-HR"/>
        </w:rPr>
        <w:t xml:space="preserve">te </w:t>
      </w:r>
      <w:r w:rsidRPr="001567C8">
        <w:rPr>
          <w:rFonts w:asciiTheme="minorHAnsi" w:hAnsiTheme="minorHAnsi" w:cs="Arial"/>
          <w:b w:val="0"/>
          <w:bCs w:val="0"/>
          <w:sz w:val="22"/>
          <w:szCs w:val="22"/>
          <w:lang w:val="hr-HR"/>
        </w:rPr>
        <w:t xml:space="preserve">preuzetih obveza prema zemljopisnim segmentima, </w:t>
      </w:r>
      <w:r w:rsidR="003F0EC8" w:rsidRPr="001567C8">
        <w:rPr>
          <w:rFonts w:asciiTheme="minorHAnsi" w:hAnsiTheme="minorHAnsi" w:cs="Arial"/>
          <w:b w:val="0"/>
          <w:bCs w:val="0"/>
          <w:sz w:val="22"/>
          <w:szCs w:val="22"/>
          <w:lang w:val="hr-HR"/>
        </w:rPr>
        <w:t xml:space="preserve">neto izloženost, </w:t>
      </w:r>
      <w:r w:rsidR="00343152" w:rsidRPr="001567C8">
        <w:rPr>
          <w:rFonts w:asciiTheme="minorHAnsi" w:hAnsiTheme="minorHAnsi" w:cs="Arial"/>
          <w:b w:val="0"/>
          <w:sz w:val="22"/>
          <w:szCs w:val="22"/>
          <w:lang w:val="hr-HR"/>
        </w:rPr>
        <w:t>bez umanjenja za vrijednost sredstava osiguranja naplate</w:t>
      </w:r>
      <w:r w:rsidRPr="001567C8">
        <w:rPr>
          <w:rFonts w:asciiTheme="minorHAnsi" w:hAnsiTheme="minorHAnsi" w:cs="Arial"/>
          <w:b w:val="0"/>
          <w:bCs w:val="0"/>
          <w:sz w:val="22"/>
          <w:szCs w:val="22"/>
          <w:lang w:val="hr-HR"/>
        </w:rPr>
        <w:t xml:space="preserve"> (nastavak): </w:t>
      </w:r>
    </w:p>
    <w:p w:rsidR="00B4688F" w:rsidRPr="001567C8" w:rsidRDefault="00B4688F" w:rsidP="001D233C">
      <w:pPr>
        <w:pStyle w:val="T1"/>
        <w:spacing w:before="0" w:after="0" w:line="240" w:lineRule="auto"/>
        <w:rPr>
          <w:rFonts w:asciiTheme="minorHAnsi" w:hAnsiTheme="minorHAnsi" w:cs="Arial"/>
          <w:b w:val="0"/>
          <w:bCs w:val="0"/>
          <w:sz w:val="22"/>
          <w:szCs w:val="22"/>
          <w:lang w:val="hr-HR"/>
        </w:rPr>
      </w:pPr>
    </w:p>
    <w:p w:rsidR="00347537" w:rsidRPr="001567C8" w:rsidRDefault="00347537" w:rsidP="00347537">
      <w:pPr>
        <w:pStyle w:val="T1"/>
        <w:spacing w:before="0" w:after="0" w:line="240" w:lineRule="auto"/>
        <w:rPr>
          <w:rFonts w:asciiTheme="minorHAnsi" w:hAnsiTheme="minorHAnsi" w:cs="Arial"/>
          <w:b w:val="0"/>
          <w:bCs w:val="0"/>
          <w:sz w:val="22"/>
          <w:szCs w:val="22"/>
          <w:lang w:val="hr-HR"/>
        </w:rPr>
      </w:pPr>
    </w:p>
    <w:tbl>
      <w:tblPr>
        <w:tblW w:w="5000" w:type="pct"/>
        <w:tblCellMar>
          <w:left w:w="30" w:type="dxa"/>
          <w:right w:w="30" w:type="dxa"/>
        </w:tblCellMar>
        <w:tblLook w:val="0000" w:firstRow="0" w:lastRow="0" w:firstColumn="0" w:lastColumn="0" w:noHBand="0" w:noVBand="0"/>
      </w:tblPr>
      <w:tblGrid>
        <w:gridCol w:w="4788"/>
        <w:gridCol w:w="1182"/>
        <w:gridCol w:w="1065"/>
        <w:gridCol w:w="1184"/>
        <w:gridCol w:w="1136"/>
      </w:tblGrid>
      <w:tr w:rsidR="00393B53" w:rsidRPr="001567C8" w:rsidTr="00393B53">
        <w:trPr>
          <w:cantSplit/>
          <w:trHeight w:val="784"/>
          <w:tblHeader/>
        </w:trPr>
        <w:tc>
          <w:tcPr>
            <w:tcW w:w="2559" w:type="pct"/>
          </w:tcPr>
          <w:p w:rsidR="00393B53" w:rsidRPr="001567C8" w:rsidRDefault="00393B53" w:rsidP="00393B53">
            <w:pPr>
              <w:tabs>
                <w:tab w:val="right" w:pos="1202"/>
              </w:tabs>
              <w:spacing w:line="240" w:lineRule="atLeast"/>
              <w:outlineLvl w:val="0"/>
              <w:rPr>
                <w:rFonts w:ascii="Calibri" w:hAnsi="Calibri" w:cs="Arial"/>
                <w:b/>
                <w:sz w:val="19"/>
                <w:szCs w:val="19"/>
                <w:lang w:val="hr-HR"/>
              </w:rPr>
            </w:pPr>
            <w:r w:rsidRPr="001567C8">
              <w:rPr>
                <w:rFonts w:ascii="Calibri" w:hAnsi="Calibri" w:cs="Arial"/>
                <w:b/>
                <w:sz w:val="19"/>
                <w:szCs w:val="19"/>
                <w:lang w:val="hr-HR"/>
              </w:rPr>
              <w:t>Banka</w:t>
            </w:r>
          </w:p>
          <w:p w:rsidR="00393B53" w:rsidRPr="001567C8" w:rsidRDefault="00393B53" w:rsidP="00393B53">
            <w:pPr>
              <w:tabs>
                <w:tab w:val="right" w:pos="1202"/>
              </w:tabs>
              <w:spacing w:line="240" w:lineRule="atLeast"/>
              <w:outlineLvl w:val="0"/>
              <w:rPr>
                <w:rFonts w:ascii="Calibri" w:hAnsi="Calibri" w:cs="Arial"/>
                <w:b/>
                <w:sz w:val="19"/>
                <w:szCs w:val="19"/>
                <w:lang w:val="hr-HR"/>
              </w:rPr>
            </w:pPr>
          </w:p>
          <w:p w:rsidR="00393B53" w:rsidRPr="001567C8" w:rsidRDefault="00AD2EF7" w:rsidP="00393B53">
            <w:pPr>
              <w:tabs>
                <w:tab w:val="right" w:pos="1202"/>
              </w:tabs>
              <w:spacing w:line="240" w:lineRule="atLeast"/>
              <w:outlineLvl w:val="0"/>
              <w:rPr>
                <w:rFonts w:ascii="Calibri" w:hAnsi="Calibri" w:cs="Arial"/>
                <w:b/>
                <w:sz w:val="19"/>
                <w:szCs w:val="19"/>
                <w:lang w:val="hr-HR"/>
              </w:rPr>
            </w:pPr>
            <w:r>
              <w:rPr>
                <w:rFonts w:ascii="Calibri" w:hAnsi="Calibri" w:cs="Arial"/>
                <w:b/>
                <w:sz w:val="19"/>
                <w:szCs w:val="19"/>
                <w:lang w:val="hr-HR"/>
              </w:rPr>
              <w:t>31. prosin</w:t>
            </w:r>
            <w:r w:rsidR="0073283D" w:rsidRPr="001567C8">
              <w:rPr>
                <w:rFonts w:ascii="Calibri" w:hAnsi="Calibri" w:cs="Arial"/>
                <w:b/>
                <w:sz w:val="19"/>
                <w:szCs w:val="19"/>
                <w:lang w:val="hr-HR"/>
              </w:rPr>
              <w:t>c</w:t>
            </w:r>
            <w:r>
              <w:rPr>
                <w:rFonts w:ascii="Calibri" w:hAnsi="Calibri" w:cs="Arial"/>
                <w:b/>
                <w:sz w:val="19"/>
                <w:szCs w:val="19"/>
                <w:lang w:val="hr-HR"/>
              </w:rPr>
              <w:t>a</w:t>
            </w:r>
            <w:r w:rsidR="0073283D" w:rsidRPr="001567C8">
              <w:rPr>
                <w:rFonts w:ascii="Calibri" w:hAnsi="Calibri" w:cs="Arial"/>
                <w:b/>
                <w:sz w:val="19"/>
                <w:szCs w:val="19"/>
                <w:lang w:val="hr-HR"/>
              </w:rPr>
              <w:t xml:space="preserve"> </w:t>
            </w:r>
            <w:r w:rsidR="00393B53" w:rsidRPr="001567C8">
              <w:rPr>
                <w:rFonts w:ascii="Calibri" w:hAnsi="Calibri" w:cs="Arial"/>
                <w:b/>
                <w:sz w:val="19"/>
                <w:szCs w:val="19"/>
                <w:lang w:val="hr-HR"/>
              </w:rPr>
              <w:t xml:space="preserve">2017. </w:t>
            </w:r>
            <w:r w:rsidR="00887520" w:rsidRPr="001567C8">
              <w:rPr>
                <w:rFonts w:ascii="Calibri" w:hAnsi="Calibri" w:cs="Arial"/>
                <w:b/>
                <w:sz w:val="19"/>
                <w:szCs w:val="19"/>
                <w:lang w:val="hr-HR"/>
              </w:rPr>
              <w:t>godina</w:t>
            </w:r>
          </w:p>
        </w:tc>
        <w:tc>
          <w:tcPr>
            <w:tcW w:w="632" w:type="pct"/>
            <w:vAlign w:val="bottom"/>
          </w:tcPr>
          <w:p w:rsidR="00393B53" w:rsidRPr="001567C8" w:rsidRDefault="00393B53" w:rsidP="00393B53">
            <w:pPr>
              <w:tabs>
                <w:tab w:val="right" w:pos="1202"/>
              </w:tabs>
              <w:spacing w:line="240" w:lineRule="atLeast"/>
              <w:jc w:val="right"/>
              <w:outlineLvl w:val="0"/>
              <w:rPr>
                <w:rFonts w:ascii="Calibri" w:hAnsi="Calibri" w:cs="Arial"/>
                <w:b/>
                <w:sz w:val="19"/>
                <w:szCs w:val="19"/>
                <w:lang w:val="hr-HR"/>
              </w:rPr>
            </w:pPr>
            <w:r w:rsidRPr="001567C8">
              <w:rPr>
                <w:rFonts w:ascii="Calibri" w:hAnsi="Calibri" w:cs="Arial"/>
                <w:b/>
                <w:sz w:val="19"/>
                <w:szCs w:val="19"/>
                <w:lang w:val="hr-HR"/>
              </w:rPr>
              <w:t>Republika Hrvatska</w:t>
            </w:r>
          </w:p>
        </w:tc>
        <w:tc>
          <w:tcPr>
            <w:tcW w:w="569" w:type="pct"/>
            <w:vAlign w:val="bottom"/>
          </w:tcPr>
          <w:p w:rsidR="00393B53" w:rsidRPr="001567C8" w:rsidRDefault="00393B53" w:rsidP="00393B53">
            <w:pPr>
              <w:tabs>
                <w:tab w:val="right" w:pos="1202"/>
              </w:tabs>
              <w:spacing w:line="240" w:lineRule="atLeast"/>
              <w:jc w:val="right"/>
              <w:outlineLvl w:val="0"/>
              <w:rPr>
                <w:rFonts w:ascii="Calibri" w:hAnsi="Calibri" w:cs="Arial"/>
                <w:b/>
                <w:sz w:val="19"/>
                <w:szCs w:val="19"/>
                <w:lang w:val="hr-HR"/>
              </w:rPr>
            </w:pPr>
            <w:r w:rsidRPr="001567C8">
              <w:rPr>
                <w:rFonts w:ascii="Calibri" w:hAnsi="Calibri" w:cs="Arial"/>
                <w:b/>
                <w:sz w:val="19"/>
                <w:szCs w:val="19"/>
                <w:lang w:val="hr-HR"/>
              </w:rPr>
              <w:t>Zemlje Europske unije</w:t>
            </w:r>
          </w:p>
        </w:tc>
        <w:tc>
          <w:tcPr>
            <w:tcW w:w="633" w:type="pct"/>
            <w:vAlign w:val="bottom"/>
          </w:tcPr>
          <w:p w:rsidR="00393B53" w:rsidRPr="001567C8" w:rsidRDefault="00393B53" w:rsidP="00393B53">
            <w:pPr>
              <w:tabs>
                <w:tab w:val="right" w:pos="1202"/>
              </w:tabs>
              <w:spacing w:line="240" w:lineRule="atLeast"/>
              <w:jc w:val="right"/>
              <w:outlineLvl w:val="0"/>
              <w:rPr>
                <w:rFonts w:ascii="Calibri" w:hAnsi="Calibri" w:cs="Arial"/>
                <w:b/>
                <w:sz w:val="19"/>
                <w:szCs w:val="19"/>
                <w:lang w:val="hr-HR"/>
              </w:rPr>
            </w:pPr>
            <w:r w:rsidRPr="001567C8">
              <w:rPr>
                <w:rFonts w:ascii="Calibri" w:hAnsi="Calibri" w:cs="Arial"/>
                <w:b/>
                <w:sz w:val="19"/>
                <w:szCs w:val="19"/>
                <w:lang w:val="hr-HR"/>
              </w:rPr>
              <w:t xml:space="preserve">Ostale </w:t>
            </w:r>
          </w:p>
          <w:p w:rsidR="00393B53" w:rsidRPr="001567C8" w:rsidRDefault="00393B53" w:rsidP="00393B53">
            <w:pPr>
              <w:tabs>
                <w:tab w:val="right" w:pos="1202"/>
              </w:tabs>
              <w:spacing w:line="240" w:lineRule="atLeast"/>
              <w:jc w:val="right"/>
              <w:outlineLvl w:val="0"/>
              <w:rPr>
                <w:rFonts w:ascii="Calibri" w:hAnsi="Calibri" w:cs="Arial"/>
                <w:b/>
                <w:sz w:val="19"/>
                <w:szCs w:val="19"/>
                <w:lang w:val="hr-HR"/>
              </w:rPr>
            </w:pPr>
            <w:r w:rsidRPr="001567C8">
              <w:rPr>
                <w:rFonts w:ascii="Calibri" w:hAnsi="Calibri" w:cs="Arial"/>
                <w:b/>
                <w:sz w:val="19"/>
                <w:szCs w:val="19"/>
                <w:lang w:val="hr-HR"/>
              </w:rPr>
              <w:t xml:space="preserve">zemlje </w:t>
            </w:r>
          </w:p>
        </w:tc>
        <w:tc>
          <w:tcPr>
            <w:tcW w:w="608" w:type="pct"/>
            <w:vAlign w:val="bottom"/>
          </w:tcPr>
          <w:p w:rsidR="00393B53" w:rsidRPr="001567C8" w:rsidRDefault="00393B53" w:rsidP="00393B53">
            <w:pPr>
              <w:tabs>
                <w:tab w:val="right" w:pos="1202"/>
              </w:tabs>
              <w:spacing w:line="240" w:lineRule="atLeast"/>
              <w:jc w:val="right"/>
              <w:outlineLvl w:val="0"/>
              <w:rPr>
                <w:rFonts w:ascii="Calibri" w:hAnsi="Calibri" w:cs="Arial"/>
                <w:b/>
                <w:sz w:val="19"/>
                <w:szCs w:val="19"/>
                <w:lang w:val="hr-HR"/>
              </w:rPr>
            </w:pPr>
            <w:r w:rsidRPr="001567C8">
              <w:rPr>
                <w:rFonts w:ascii="Calibri" w:hAnsi="Calibri" w:cs="Arial"/>
                <w:b/>
                <w:sz w:val="19"/>
                <w:szCs w:val="19"/>
                <w:lang w:val="hr-HR"/>
              </w:rPr>
              <w:t>Ukupno</w:t>
            </w:r>
          </w:p>
        </w:tc>
      </w:tr>
      <w:tr w:rsidR="00393B53" w:rsidRPr="001567C8" w:rsidTr="00393B53">
        <w:trPr>
          <w:cantSplit/>
          <w:trHeight w:val="250"/>
          <w:tblHeader/>
        </w:trPr>
        <w:tc>
          <w:tcPr>
            <w:tcW w:w="2559" w:type="pct"/>
          </w:tcPr>
          <w:p w:rsidR="00393B53" w:rsidRPr="001567C8" w:rsidRDefault="00393B53" w:rsidP="00393B53">
            <w:pPr>
              <w:ind w:hanging="113"/>
              <w:rPr>
                <w:rFonts w:ascii="Calibri" w:eastAsia="Calibri" w:hAnsi="Calibri" w:cs="Arial"/>
                <w:sz w:val="19"/>
                <w:szCs w:val="19"/>
                <w:lang w:val="hr-HR"/>
              </w:rPr>
            </w:pPr>
          </w:p>
        </w:tc>
        <w:tc>
          <w:tcPr>
            <w:tcW w:w="632" w:type="pct"/>
            <w:vAlign w:val="bottom"/>
          </w:tcPr>
          <w:p w:rsidR="00393B53" w:rsidRPr="001567C8" w:rsidRDefault="00393B53" w:rsidP="00393B53">
            <w:pPr>
              <w:tabs>
                <w:tab w:val="right" w:pos="1202"/>
              </w:tabs>
              <w:spacing w:line="240" w:lineRule="atLeast"/>
              <w:jc w:val="right"/>
              <w:outlineLvl w:val="0"/>
              <w:rPr>
                <w:rFonts w:ascii="Calibri" w:hAnsi="Calibri" w:cs="Arial"/>
                <w:b/>
                <w:sz w:val="19"/>
                <w:szCs w:val="19"/>
                <w:lang w:val="hr-HR"/>
              </w:rPr>
            </w:pPr>
            <w:r w:rsidRPr="001567C8">
              <w:rPr>
                <w:rFonts w:ascii="Calibri" w:hAnsi="Calibri" w:cs="Arial"/>
                <w:b/>
                <w:sz w:val="19"/>
                <w:szCs w:val="19"/>
                <w:lang w:val="hr-HR"/>
              </w:rPr>
              <w:t>000 kuna</w:t>
            </w:r>
          </w:p>
        </w:tc>
        <w:tc>
          <w:tcPr>
            <w:tcW w:w="569" w:type="pct"/>
            <w:vAlign w:val="bottom"/>
          </w:tcPr>
          <w:p w:rsidR="00393B53" w:rsidRPr="001567C8" w:rsidRDefault="00393B53" w:rsidP="00393B53">
            <w:pPr>
              <w:tabs>
                <w:tab w:val="right" w:pos="1202"/>
              </w:tabs>
              <w:spacing w:line="240" w:lineRule="atLeast"/>
              <w:jc w:val="right"/>
              <w:outlineLvl w:val="0"/>
              <w:rPr>
                <w:rFonts w:ascii="Calibri" w:hAnsi="Calibri" w:cs="Arial"/>
                <w:b/>
                <w:sz w:val="19"/>
                <w:szCs w:val="19"/>
                <w:lang w:val="hr-HR"/>
              </w:rPr>
            </w:pPr>
            <w:r w:rsidRPr="001567C8">
              <w:rPr>
                <w:rFonts w:ascii="Calibri" w:hAnsi="Calibri" w:cs="Arial"/>
                <w:b/>
                <w:sz w:val="19"/>
                <w:szCs w:val="19"/>
                <w:lang w:val="hr-HR"/>
              </w:rPr>
              <w:t>000 kuna</w:t>
            </w:r>
          </w:p>
        </w:tc>
        <w:tc>
          <w:tcPr>
            <w:tcW w:w="633" w:type="pct"/>
            <w:vAlign w:val="bottom"/>
          </w:tcPr>
          <w:p w:rsidR="00393B53" w:rsidRPr="001567C8" w:rsidRDefault="00393B53" w:rsidP="00393B53">
            <w:pPr>
              <w:tabs>
                <w:tab w:val="right" w:pos="1202"/>
              </w:tabs>
              <w:spacing w:line="240" w:lineRule="atLeast"/>
              <w:jc w:val="right"/>
              <w:outlineLvl w:val="0"/>
              <w:rPr>
                <w:rFonts w:ascii="Calibri" w:hAnsi="Calibri" w:cs="Arial"/>
                <w:b/>
                <w:sz w:val="19"/>
                <w:szCs w:val="19"/>
                <w:lang w:val="hr-HR"/>
              </w:rPr>
            </w:pPr>
            <w:r w:rsidRPr="001567C8">
              <w:rPr>
                <w:rFonts w:ascii="Calibri" w:hAnsi="Calibri" w:cs="Arial"/>
                <w:b/>
                <w:sz w:val="19"/>
                <w:szCs w:val="19"/>
                <w:lang w:val="hr-HR"/>
              </w:rPr>
              <w:t>000 kuna</w:t>
            </w:r>
          </w:p>
        </w:tc>
        <w:tc>
          <w:tcPr>
            <w:tcW w:w="608" w:type="pct"/>
            <w:vAlign w:val="bottom"/>
          </w:tcPr>
          <w:p w:rsidR="00393B53" w:rsidRPr="001567C8" w:rsidRDefault="00393B53" w:rsidP="00393B53">
            <w:pPr>
              <w:tabs>
                <w:tab w:val="right" w:pos="1202"/>
              </w:tabs>
              <w:spacing w:line="240" w:lineRule="atLeast"/>
              <w:jc w:val="right"/>
              <w:outlineLvl w:val="0"/>
              <w:rPr>
                <w:rFonts w:ascii="Calibri" w:hAnsi="Calibri" w:cs="Arial"/>
                <w:b/>
                <w:sz w:val="19"/>
                <w:szCs w:val="19"/>
                <w:lang w:val="hr-HR"/>
              </w:rPr>
            </w:pPr>
            <w:r w:rsidRPr="001567C8">
              <w:rPr>
                <w:rFonts w:ascii="Calibri" w:hAnsi="Calibri" w:cs="Arial"/>
                <w:b/>
                <w:sz w:val="19"/>
                <w:szCs w:val="19"/>
                <w:lang w:val="hr-HR"/>
              </w:rPr>
              <w:t>000 kuna</w:t>
            </w:r>
          </w:p>
        </w:tc>
      </w:tr>
      <w:tr w:rsidR="00393B53" w:rsidRPr="001567C8" w:rsidTr="00393B53">
        <w:trPr>
          <w:cantSplit/>
          <w:trHeight w:val="250"/>
          <w:tblHeader/>
        </w:trPr>
        <w:tc>
          <w:tcPr>
            <w:tcW w:w="2559" w:type="pct"/>
          </w:tcPr>
          <w:p w:rsidR="00393B53" w:rsidRPr="001567C8" w:rsidRDefault="00393B53" w:rsidP="00393B53">
            <w:pPr>
              <w:ind w:hanging="113"/>
              <w:rPr>
                <w:rFonts w:ascii="Calibri" w:eastAsia="Calibri" w:hAnsi="Calibri" w:cs="Arial"/>
                <w:sz w:val="19"/>
                <w:szCs w:val="19"/>
                <w:lang w:val="hr-HR"/>
              </w:rPr>
            </w:pPr>
          </w:p>
        </w:tc>
        <w:tc>
          <w:tcPr>
            <w:tcW w:w="632" w:type="pct"/>
          </w:tcPr>
          <w:p w:rsidR="00393B53" w:rsidRPr="001567C8" w:rsidRDefault="00393B53" w:rsidP="00393B53">
            <w:pPr>
              <w:jc w:val="right"/>
              <w:rPr>
                <w:rFonts w:ascii="Calibri" w:eastAsia="Calibri" w:hAnsi="Calibri" w:cs="Arial"/>
                <w:sz w:val="19"/>
                <w:szCs w:val="19"/>
                <w:lang w:val="hr-HR"/>
              </w:rPr>
            </w:pPr>
          </w:p>
        </w:tc>
        <w:tc>
          <w:tcPr>
            <w:tcW w:w="569" w:type="pct"/>
          </w:tcPr>
          <w:p w:rsidR="00393B53" w:rsidRPr="001567C8" w:rsidRDefault="00393B53" w:rsidP="00393B53">
            <w:pPr>
              <w:jc w:val="right"/>
              <w:rPr>
                <w:rFonts w:ascii="Calibri" w:eastAsia="Calibri" w:hAnsi="Calibri" w:cs="Arial"/>
                <w:sz w:val="19"/>
                <w:szCs w:val="19"/>
                <w:lang w:val="hr-HR"/>
              </w:rPr>
            </w:pPr>
          </w:p>
        </w:tc>
        <w:tc>
          <w:tcPr>
            <w:tcW w:w="633" w:type="pct"/>
          </w:tcPr>
          <w:p w:rsidR="00393B53" w:rsidRPr="001567C8" w:rsidRDefault="00393B53" w:rsidP="00393B53">
            <w:pPr>
              <w:jc w:val="right"/>
              <w:rPr>
                <w:rFonts w:ascii="Calibri" w:eastAsia="Calibri" w:hAnsi="Calibri" w:cs="Arial"/>
                <w:sz w:val="19"/>
                <w:szCs w:val="19"/>
                <w:lang w:val="hr-HR"/>
              </w:rPr>
            </w:pPr>
          </w:p>
        </w:tc>
        <w:tc>
          <w:tcPr>
            <w:tcW w:w="608" w:type="pct"/>
          </w:tcPr>
          <w:p w:rsidR="00393B53" w:rsidRPr="001567C8" w:rsidRDefault="00393B53" w:rsidP="00393B53">
            <w:pPr>
              <w:jc w:val="center"/>
              <w:rPr>
                <w:rFonts w:ascii="Calibri" w:eastAsia="Calibri" w:hAnsi="Calibri" w:cs="Arial"/>
                <w:sz w:val="19"/>
                <w:szCs w:val="19"/>
                <w:lang w:val="hr-HR"/>
              </w:rPr>
            </w:pPr>
          </w:p>
        </w:tc>
      </w:tr>
      <w:tr w:rsidR="00393B53" w:rsidRPr="001567C8" w:rsidTr="00393B53">
        <w:trPr>
          <w:cantSplit/>
          <w:trHeight w:val="250"/>
          <w:tblHeader/>
        </w:trPr>
        <w:tc>
          <w:tcPr>
            <w:tcW w:w="2559" w:type="pct"/>
          </w:tcPr>
          <w:p w:rsidR="00393B53" w:rsidRPr="001567C8" w:rsidRDefault="00393B53" w:rsidP="00393B53">
            <w:pPr>
              <w:tabs>
                <w:tab w:val="right" w:pos="1202"/>
              </w:tabs>
              <w:spacing w:line="301" w:lineRule="exact"/>
              <w:outlineLvl w:val="0"/>
              <w:rPr>
                <w:rFonts w:ascii="Calibri" w:hAnsi="Calibri" w:cs="Arial"/>
                <w:b/>
                <w:bCs/>
                <w:sz w:val="19"/>
                <w:szCs w:val="19"/>
                <w:lang w:val="hr-HR"/>
              </w:rPr>
            </w:pPr>
            <w:r w:rsidRPr="001567C8">
              <w:rPr>
                <w:rFonts w:ascii="Calibri" w:hAnsi="Calibri" w:cs="Arial"/>
                <w:b/>
                <w:bCs/>
                <w:sz w:val="19"/>
                <w:szCs w:val="19"/>
                <w:lang w:val="hr-HR"/>
              </w:rPr>
              <w:t>Imovina</w:t>
            </w:r>
          </w:p>
        </w:tc>
        <w:tc>
          <w:tcPr>
            <w:tcW w:w="632" w:type="pct"/>
          </w:tcPr>
          <w:p w:rsidR="00393B53" w:rsidRPr="001567C8" w:rsidRDefault="00393B53" w:rsidP="00393B53">
            <w:pPr>
              <w:jc w:val="right"/>
              <w:rPr>
                <w:rFonts w:ascii="Calibri" w:eastAsia="Calibri" w:hAnsi="Calibri" w:cs="Arial"/>
                <w:sz w:val="19"/>
                <w:szCs w:val="19"/>
                <w:lang w:val="hr-HR"/>
              </w:rPr>
            </w:pPr>
          </w:p>
        </w:tc>
        <w:tc>
          <w:tcPr>
            <w:tcW w:w="569" w:type="pct"/>
          </w:tcPr>
          <w:p w:rsidR="00393B53" w:rsidRPr="001567C8" w:rsidRDefault="00393B53" w:rsidP="00393B53">
            <w:pPr>
              <w:jc w:val="right"/>
              <w:rPr>
                <w:rFonts w:ascii="Calibri" w:eastAsia="Calibri" w:hAnsi="Calibri" w:cs="Arial"/>
                <w:sz w:val="19"/>
                <w:szCs w:val="19"/>
                <w:lang w:val="hr-HR"/>
              </w:rPr>
            </w:pPr>
          </w:p>
        </w:tc>
        <w:tc>
          <w:tcPr>
            <w:tcW w:w="633" w:type="pct"/>
          </w:tcPr>
          <w:p w:rsidR="00393B53" w:rsidRPr="001567C8" w:rsidRDefault="00393B53" w:rsidP="00393B53">
            <w:pPr>
              <w:jc w:val="right"/>
              <w:rPr>
                <w:rFonts w:ascii="Calibri" w:eastAsia="Calibri" w:hAnsi="Calibri" w:cs="Arial"/>
                <w:sz w:val="19"/>
                <w:szCs w:val="19"/>
                <w:lang w:val="hr-HR"/>
              </w:rPr>
            </w:pPr>
          </w:p>
        </w:tc>
        <w:tc>
          <w:tcPr>
            <w:tcW w:w="608" w:type="pct"/>
          </w:tcPr>
          <w:p w:rsidR="00393B53" w:rsidRPr="001567C8" w:rsidRDefault="00393B53" w:rsidP="00393B53">
            <w:pPr>
              <w:jc w:val="center"/>
              <w:rPr>
                <w:rFonts w:ascii="Calibri" w:eastAsia="Calibri" w:hAnsi="Calibri" w:cs="Arial"/>
                <w:sz w:val="19"/>
                <w:szCs w:val="19"/>
                <w:lang w:val="hr-HR"/>
              </w:rPr>
            </w:pPr>
          </w:p>
        </w:tc>
      </w:tr>
      <w:tr w:rsidR="00393B53" w:rsidRPr="001567C8" w:rsidTr="00393B53">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hAnsi="Calibri"/>
                <w:sz w:val="19"/>
                <w:szCs w:val="19"/>
                <w:lang w:val="hr-HR"/>
              </w:rPr>
            </w:pPr>
            <w:r w:rsidRPr="001567C8">
              <w:rPr>
                <w:rFonts w:ascii="Calibri" w:hAnsi="Calibri"/>
                <w:sz w:val="19"/>
                <w:szCs w:val="19"/>
                <w:lang w:val="hr-HR"/>
              </w:rPr>
              <w:t>Novčana sredstva i računi kod banaka</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1.318.045</w:t>
            </w: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82.884</w:t>
            </w: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201</w:t>
            </w: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1.401.130</w:t>
            </w:r>
          </w:p>
        </w:tc>
      </w:tr>
      <w:tr w:rsidR="00393B53" w:rsidRPr="001567C8" w:rsidTr="00393B53">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hAnsi="Calibri"/>
                <w:sz w:val="19"/>
                <w:szCs w:val="19"/>
                <w:lang w:val="hr-HR"/>
              </w:rPr>
            </w:pPr>
            <w:r w:rsidRPr="001567C8">
              <w:rPr>
                <w:rFonts w:ascii="Calibri" w:hAnsi="Calibri"/>
                <w:sz w:val="19"/>
                <w:szCs w:val="19"/>
                <w:lang w:val="hr-HR"/>
              </w:rPr>
              <w:t>Depoziti kod drugih banaka</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29.116</w:t>
            </w: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22</w:t>
            </w: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w:t>
            </w: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29.138</w:t>
            </w:r>
          </w:p>
        </w:tc>
      </w:tr>
      <w:tr w:rsidR="00393B53" w:rsidRPr="001567C8" w:rsidTr="00393B53">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hAnsi="Calibri"/>
                <w:sz w:val="19"/>
                <w:szCs w:val="19"/>
                <w:lang w:val="hr-HR"/>
              </w:rPr>
            </w:pPr>
            <w:r w:rsidRPr="001567C8">
              <w:rPr>
                <w:rFonts w:ascii="Calibri" w:hAnsi="Calibri"/>
                <w:sz w:val="19"/>
                <w:szCs w:val="19"/>
                <w:lang w:val="hr-HR"/>
              </w:rPr>
              <w:t>Krediti financijskim institucijama</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10.836.141</w:t>
            </w: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w:t>
            </w: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w:t>
            </w: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10.836.141</w:t>
            </w:r>
          </w:p>
        </w:tc>
      </w:tr>
      <w:tr w:rsidR="00393B53" w:rsidRPr="001567C8" w:rsidTr="00393B53">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hAnsi="Calibri"/>
                <w:sz w:val="19"/>
                <w:szCs w:val="19"/>
                <w:lang w:val="hr-HR"/>
              </w:rPr>
            </w:pPr>
            <w:r w:rsidRPr="001567C8">
              <w:rPr>
                <w:rFonts w:ascii="Calibri" w:hAnsi="Calibri"/>
                <w:sz w:val="19"/>
                <w:szCs w:val="19"/>
                <w:lang w:val="hr-HR"/>
              </w:rPr>
              <w:t>Krediti ostalim korisnicima</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12.075.474</w:t>
            </w: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w:t>
            </w: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308.149</w:t>
            </w: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Arial"/>
                <w:color w:val="000000"/>
                <w:sz w:val="19"/>
                <w:szCs w:val="19"/>
                <w:lang w:val="hr-HR"/>
              </w:rPr>
              <w:t>12.383.623</w:t>
            </w:r>
          </w:p>
        </w:tc>
      </w:tr>
      <w:tr w:rsidR="00393B53" w:rsidRPr="001567C8" w:rsidTr="00393B53">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hAnsi="Calibri"/>
                <w:sz w:val="19"/>
                <w:szCs w:val="19"/>
                <w:lang w:val="hr-HR"/>
              </w:rPr>
            </w:pPr>
            <w:r w:rsidRPr="001567C8">
              <w:rPr>
                <w:rFonts w:ascii="Calibri" w:hAnsi="Calibri"/>
                <w:sz w:val="19"/>
                <w:szCs w:val="19"/>
                <w:lang w:val="hr-HR"/>
              </w:rPr>
              <w:t>Imovina raspoloživa za prodaju</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2.443.699</w:t>
            </w: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w:t>
            </w: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w:t>
            </w: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2.443.699</w:t>
            </w:r>
          </w:p>
        </w:tc>
      </w:tr>
      <w:tr w:rsidR="00393B53" w:rsidRPr="001567C8" w:rsidTr="00393B53">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hAnsi="Calibri"/>
                <w:sz w:val="19"/>
                <w:szCs w:val="19"/>
                <w:lang w:val="hr-HR"/>
              </w:rPr>
            </w:pPr>
            <w:r w:rsidRPr="001567C8">
              <w:rPr>
                <w:rFonts w:ascii="Calibri" w:hAnsi="Calibri"/>
                <w:sz w:val="19"/>
                <w:szCs w:val="19"/>
                <w:lang w:val="hr-HR"/>
              </w:rPr>
              <w:t>Ostala imovina</w:t>
            </w:r>
          </w:p>
        </w:tc>
        <w:tc>
          <w:tcPr>
            <w:tcW w:w="632" w:type="pct"/>
            <w:tcBorders>
              <w:top w:val="nil"/>
              <w:left w:val="nil"/>
              <w:bottom w:val="single" w:sz="8" w:space="0" w:color="auto"/>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11.911</w:t>
            </w:r>
          </w:p>
        </w:tc>
        <w:tc>
          <w:tcPr>
            <w:tcW w:w="569" w:type="pct"/>
            <w:tcBorders>
              <w:top w:val="nil"/>
              <w:left w:val="nil"/>
              <w:bottom w:val="single" w:sz="8" w:space="0" w:color="auto"/>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224</w:t>
            </w:r>
          </w:p>
        </w:tc>
        <w:tc>
          <w:tcPr>
            <w:tcW w:w="633" w:type="pct"/>
            <w:tcBorders>
              <w:top w:val="nil"/>
              <w:left w:val="nil"/>
              <w:bottom w:val="single" w:sz="8" w:space="0" w:color="auto"/>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147</w:t>
            </w:r>
          </w:p>
        </w:tc>
        <w:tc>
          <w:tcPr>
            <w:tcW w:w="608" w:type="pct"/>
            <w:tcBorders>
              <w:top w:val="nil"/>
              <w:left w:val="nil"/>
              <w:bottom w:val="single" w:sz="8" w:space="0" w:color="auto"/>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12.282</w:t>
            </w:r>
          </w:p>
        </w:tc>
      </w:tr>
      <w:tr w:rsidR="00393B53" w:rsidRPr="001567C8" w:rsidTr="00393B53">
        <w:trPr>
          <w:cantSplit/>
          <w:trHeight w:hRule="exact" w:val="441"/>
          <w:tblHeader/>
        </w:trPr>
        <w:tc>
          <w:tcPr>
            <w:tcW w:w="2559" w:type="pct"/>
            <w:vAlign w:val="bottom"/>
          </w:tcPr>
          <w:p w:rsidR="00393B53" w:rsidRPr="001567C8" w:rsidRDefault="00393B53" w:rsidP="00393B53">
            <w:pPr>
              <w:tabs>
                <w:tab w:val="right" w:pos="1202"/>
              </w:tabs>
              <w:spacing w:line="301" w:lineRule="exact"/>
              <w:outlineLvl w:val="0"/>
              <w:rPr>
                <w:rFonts w:ascii="Calibri" w:hAnsi="Calibri"/>
                <w:b/>
                <w:bCs/>
                <w:sz w:val="19"/>
                <w:szCs w:val="19"/>
                <w:lang w:val="hr-HR"/>
              </w:rPr>
            </w:pPr>
            <w:r w:rsidRPr="001567C8">
              <w:rPr>
                <w:rFonts w:ascii="Calibri" w:hAnsi="Calibri"/>
                <w:b/>
                <w:bCs/>
                <w:sz w:val="19"/>
                <w:szCs w:val="19"/>
                <w:lang w:val="hr-HR"/>
              </w:rPr>
              <w:t xml:space="preserve">Ukupno </w:t>
            </w:r>
          </w:p>
        </w:tc>
        <w:tc>
          <w:tcPr>
            <w:tcW w:w="632" w:type="pct"/>
            <w:tcBorders>
              <w:top w:val="single" w:sz="8" w:space="0" w:color="auto"/>
              <w:left w:val="nil"/>
              <w:bottom w:val="single" w:sz="12" w:space="0" w:color="auto"/>
              <w:right w:val="nil"/>
            </w:tcBorders>
            <w:shd w:val="clear" w:color="auto" w:fill="auto"/>
            <w:vAlign w:val="bottom"/>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26.714.386</w:t>
            </w:r>
          </w:p>
        </w:tc>
        <w:tc>
          <w:tcPr>
            <w:tcW w:w="569" w:type="pct"/>
            <w:tcBorders>
              <w:top w:val="single" w:sz="8" w:space="0" w:color="auto"/>
              <w:left w:val="nil"/>
              <w:bottom w:val="single" w:sz="12" w:space="0" w:color="auto"/>
              <w:right w:val="nil"/>
            </w:tcBorders>
            <w:shd w:val="clear" w:color="auto" w:fill="auto"/>
            <w:vAlign w:val="bottom"/>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83.130</w:t>
            </w:r>
          </w:p>
        </w:tc>
        <w:tc>
          <w:tcPr>
            <w:tcW w:w="633" w:type="pct"/>
            <w:tcBorders>
              <w:top w:val="single" w:sz="8" w:space="0" w:color="auto"/>
              <w:left w:val="nil"/>
              <w:bottom w:val="single" w:sz="12" w:space="0" w:color="auto"/>
              <w:right w:val="nil"/>
            </w:tcBorders>
            <w:shd w:val="clear" w:color="auto" w:fill="auto"/>
            <w:vAlign w:val="bottom"/>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308.497</w:t>
            </w:r>
          </w:p>
        </w:tc>
        <w:tc>
          <w:tcPr>
            <w:tcW w:w="608" w:type="pct"/>
            <w:tcBorders>
              <w:top w:val="single" w:sz="8" w:space="0" w:color="auto"/>
              <w:left w:val="nil"/>
              <w:bottom w:val="single" w:sz="12" w:space="0" w:color="auto"/>
              <w:right w:val="nil"/>
            </w:tcBorders>
            <w:shd w:val="clear" w:color="auto" w:fill="auto"/>
            <w:vAlign w:val="bottom"/>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27.106.013</w:t>
            </w:r>
          </w:p>
        </w:tc>
      </w:tr>
      <w:tr w:rsidR="00393B53" w:rsidRPr="001567C8" w:rsidTr="00393B53">
        <w:tblPrEx>
          <w:tblCellMar>
            <w:left w:w="31" w:type="dxa"/>
            <w:right w:w="31" w:type="dxa"/>
          </w:tblCellMar>
        </w:tblPrEx>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hAnsi="Calibri"/>
                <w:b/>
                <w:bCs/>
                <w:sz w:val="19"/>
                <w:szCs w:val="19"/>
                <w:lang w:val="hr-HR"/>
              </w:rPr>
            </w:pPr>
          </w:p>
        </w:tc>
        <w:tc>
          <w:tcPr>
            <w:tcW w:w="632" w:type="pct"/>
            <w:tcBorders>
              <w:top w:val="single" w:sz="12" w:space="0" w:color="auto"/>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p>
        </w:tc>
        <w:tc>
          <w:tcPr>
            <w:tcW w:w="569" w:type="pct"/>
            <w:tcBorders>
              <w:top w:val="single" w:sz="12" w:space="0" w:color="auto"/>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p>
        </w:tc>
        <w:tc>
          <w:tcPr>
            <w:tcW w:w="633" w:type="pct"/>
            <w:tcBorders>
              <w:top w:val="single" w:sz="12" w:space="0" w:color="auto"/>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p>
        </w:tc>
        <w:tc>
          <w:tcPr>
            <w:tcW w:w="608" w:type="pct"/>
            <w:tcBorders>
              <w:top w:val="single" w:sz="12" w:space="0" w:color="auto"/>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p>
        </w:tc>
      </w:tr>
      <w:tr w:rsidR="00393B53" w:rsidRPr="001567C8" w:rsidTr="00393B53">
        <w:tblPrEx>
          <w:tblCellMar>
            <w:left w:w="31" w:type="dxa"/>
            <w:right w:w="31" w:type="dxa"/>
          </w:tblCellMar>
        </w:tblPrEx>
        <w:trPr>
          <w:cantSplit/>
          <w:trHeight w:val="250"/>
          <w:tblHeader/>
        </w:trPr>
        <w:tc>
          <w:tcPr>
            <w:tcW w:w="2559" w:type="pct"/>
          </w:tcPr>
          <w:p w:rsidR="00393B53" w:rsidRPr="001567C8" w:rsidRDefault="00393B53" w:rsidP="00393B53">
            <w:pPr>
              <w:tabs>
                <w:tab w:val="right" w:pos="1202"/>
              </w:tabs>
              <w:spacing w:line="301" w:lineRule="exact"/>
              <w:outlineLvl w:val="0"/>
              <w:rPr>
                <w:rFonts w:ascii="Calibri" w:hAnsi="Calibri"/>
                <w:b/>
                <w:bCs/>
                <w:sz w:val="19"/>
                <w:szCs w:val="19"/>
                <w:lang w:val="hr-HR"/>
              </w:rPr>
            </w:pPr>
            <w:r w:rsidRPr="001567C8">
              <w:rPr>
                <w:rFonts w:ascii="Calibri" w:hAnsi="Calibri" w:cs="Arial"/>
                <w:b/>
                <w:bCs/>
                <w:sz w:val="19"/>
                <w:szCs w:val="19"/>
                <w:lang w:val="hr-HR"/>
              </w:rPr>
              <w:t>Garancije i preuzete obveze</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p>
        </w:tc>
      </w:tr>
      <w:tr w:rsidR="00393B53" w:rsidRPr="001567C8" w:rsidTr="00393B53">
        <w:tblPrEx>
          <w:tblCellMar>
            <w:left w:w="31" w:type="dxa"/>
            <w:right w:w="31" w:type="dxa"/>
          </w:tblCellMar>
        </w:tblPrEx>
        <w:trPr>
          <w:cantSplit/>
          <w:trHeight w:val="250"/>
          <w:tblHeader/>
        </w:trPr>
        <w:tc>
          <w:tcPr>
            <w:tcW w:w="2559" w:type="pct"/>
          </w:tcPr>
          <w:p w:rsidR="00393B53" w:rsidRPr="001567C8" w:rsidRDefault="00393B53" w:rsidP="00393B53">
            <w:pPr>
              <w:tabs>
                <w:tab w:val="right" w:pos="1202"/>
              </w:tabs>
              <w:spacing w:line="301" w:lineRule="exact"/>
              <w:outlineLvl w:val="0"/>
              <w:rPr>
                <w:rFonts w:ascii="Calibri" w:eastAsia="Calibri" w:hAnsi="Calibri" w:cs="Arial"/>
                <w:b/>
                <w:bCs/>
                <w:sz w:val="19"/>
                <w:szCs w:val="19"/>
                <w:lang w:val="hr-HR"/>
              </w:rPr>
            </w:pPr>
            <w:r w:rsidRPr="001567C8">
              <w:rPr>
                <w:rFonts w:ascii="Calibri" w:eastAsia="Calibri" w:hAnsi="Calibri" w:cs="Arial"/>
                <w:sz w:val="19"/>
                <w:szCs w:val="19"/>
                <w:lang w:val="hr-HR"/>
              </w:rPr>
              <w:t>Izdane garancije u kunama</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r w:rsidRPr="001567C8">
              <w:rPr>
                <w:rFonts w:ascii="Calibri" w:hAnsi="Calibri" w:cs="Calibri"/>
                <w:color w:val="000000"/>
                <w:sz w:val="19"/>
                <w:szCs w:val="19"/>
                <w:lang w:val="hr-HR"/>
              </w:rPr>
              <w:t>33.391</w:t>
            </w: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r w:rsidRPr="001567C8">
              <w:rPr>
                <w:rFonts w:ascii="Calibri" w:hAnsi="Calibri" w:cs="Calibri"/>
                <w:color w:val="000000"/>
                <w:sz w:val="19"/>
                <w:szCs w:val="19"/>
                <w:lang w:val="hr-HR"/>
              </w:rPr>
              <w:t>602</w:t>
            </w: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r w:rsidRPr="001567C8">
              <w:rPr>
                <w:rFonts w:ascii="Calibri" w:hAnsi="Calibri" w:cs="Calibri"/>
                <w:color w:val="000000"/>
                <w:sz w:val="19"/>
                <w:szCs w:val="19"/>
                <w:lang w:val="hr-HR"/>
              </w:rPr>
              <w:t>-</w:t>
            </w: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hAnsi="Calibri" w:cs="Arial"/>
                <w:sz w:val="19"/>
                <w:szCs w:val="19"/>
                <w:lang w:val="hr-HR"/>
              </w:rPr>
            </w:pPr>
            <w:r w:rsidRPr="001567C8">
              <w:rPr>
                <w:rFonts w:ascii="Calibri" w:hAnsi="Calibri" w:cs="Calibri"/>
                <w:color w:val="000000"/>
                <w:sz w:val="19"/>
                <w:szCs w:val="19"/>
                <w:lang w:val="hr-HR"/>
              </w:rPr>
              <w:t>33.993</w:t>
            </w:r>
          </w:p>
        </w:tc>
      </w:tr>
      <w:tr w:rsidR="00393B53" w:rsidRPr="001567C8" w:rsidTr="00393B53">
        <w:tblPrEx>
          <w:tblCellMar>
            <w:left w:w="31" w:type="dxa"/>
            <w:right w:w="31" w:type="dxa"/>
          </w:tblCellMar>
        </w:tblPrEx>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eastAsia="Calibri" w:hAnsi="Calibri"/>
                <w:sz w:val="19"/>
                <w:szCs w:val="19"/>
                <w:lang w:val="hr-HR"/>
              </w:rPr>
            </w:pPr>
            <w:r w:rsidRPr="001567C8">
              <w:rPr>
                <w:rFonts w:ascii="Calibri" w:eastAsia="Calibri" w:hAnsi="Calibri"/>
                <w:sz w:val="19"/>
                <w:szCs w:val="19"/>
                <w:lang w:val="hr-HR"/>
              </w:rPr>
              <w:t>Izdane garancije u devizama</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2.446.324</w:t>
            </w: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w:t>
            </w: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w:t>
            </w: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2.446.324</w:t>
            </w:r>
          </w:p>
        </w:tc>
      </w:tr>
      <w:tr w:rsidR="00393B53" w:rsidRPr="001567C8" w:rsidTr="00393B53">
        <w:tblPrEx>
          <w:tblCellMar>
            <w:left w:w="31" w:type="dxa"/>
            <w:right w:w="31" w:type="dxa"/>
          </w:tblCellMar>
        </w:tblPrEx>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eastAsia="Calibri" w:hAnsi="Calibri"/>
                <w:sz w:val="19"/>
                <w:szCs w:val="19"/>
                <w:lang w:val="hr-HR"/>
              </w:rPr>
            </w:pPr>
            <w:r w:rsidRPr="001567C8">
              <w:rPr>
                <w:rFonts w:ascii="Calibri" w:eastAsia="Calibri" w:hAnsi="Calibri"/>
                <w:sz w:val="19"/>
                <w:szCs w:val="19"/>
                <w:lang w:val="hr-HR"/>
              </w:rPr>
              <w:t>Preuzete obveze po kreditima</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2.844.366</w:t>
            </w: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w:t>
            </w: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142.432</w:t>
            </w: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2.986.798</w:t>
            </w:r>
          </w:p>
        </w:tc>
      </w:tr>
      <w:tr w:rsidR="00393B53" w:rsidRPr="001567C8" w:rsidTr="00393B53">
        <w:tblPrEx>
          <w:tblCellMar>
            <w:left w:w="31" w:type="dxa"/>
            <w:right w:w="31" w:type="dxa"/>
          </w:tblCellMar>
        </w:tblPrEx>
        <w:trPr>
          <w:cantSplit/>
          <w:trHeight w:val="250"/>
          <w:tblHeader/>
        </w:trPr>
        <w:tc>
          <w:tcPr>
            <w:tcW w:w="2559" w:type="pct"/>
            <w:vAlign w:val="bottom"/>
          </w:tcPr>
          <w:p w:rsidR="00393B53" w:rsidRPr="001567C8" w:rsidRDefault="00393B53" w:rsidP="00393B53">
            <w:pPr>
              <w:tabs>
                <w:tab w:val="right" w:pos="1202"/>
              </w:tabs>
              <w:spacing w:line="301" w:lineRule="exact"/>
              <w:outlineLvl w:val="0"/>
              <w:rPr>
                <w:rFonts w:ascii="Calibri" w:eastAsia="Calibri" w:hAnsi="Calibri"/>
                <w:sz w:val="19"/>
                <w:szCs w:val="19"/>
                <w:lang w:val="hr-HR"/>
              </w:rPr>
            </w:pPr>
            <w:r w:rsidRPr="001567C8">
              <w:rPr>
                <w:rFonts w:ascii="Calibri" w:eastAsia="Calibri" w:hAnsi="Calibri"/>
                <w:sz w:val="19"/>
                <w:szCs w:val="19"/>
                <w:lang w:val="hr-HR"/>
              </w:rPr>
              <w:t>Ostale nespomenute neopozive potencijalne obveze</w:t>
            </w:r>
          </w:p>
        </w:tc>
        <w:tc>
          <w:tcPr>
            <w:tcW w:w="632"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335</w:t>
            </w:r>
          </w:p>
        </w:tc>
        <w:tc>
          <w:tcPr>
            <w:tcW w:w="569"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w:t>
            </w:r>
          </w:p>
        </w:tc>
        <w:tc>
          <w:tcPr>
            <w:tcW w:w="633"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w:t>
            </w:r>
          </w:p>
        </w:tc>
        <w:tc>
          <w:tcPr>
            <w:tcW w:w="608" w:type="pct"/>
            <w:tcBorders>
              <w:top w:val="nil"/>
              <w:left w:val="nil"/>
              <w:bottom w:val="nil"/>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sz w:val="19"/>
                <w:szCs w:val="19"/>
                <w:lang w:val="hr-HR"/>
              </w:rPr>
            </w:pPr>
            <w:r w:rsidRPr="001567C8">
              <w:rPr>
                <w:rFonts w:ascii="Calibri" w:eastAsia="Calibri" w:hAnsi="Calibri" w:cs="Calibri"/>
                <w:color w:val="000000"/>
                <w:sz w:val="19"/>
                <w:szCs w:val="19"/>
                <w:lang w:val="hr-HR"/>
              </w:rPr>
              <w:t>335</w:t>
            </w:r>
          </w:p>
        </w:tc>
      </w:tr>
      <w:tr w:rsidR="00393B53" w:rsidRPr="001567C8" w:rsidTr="00393B53">
        <w:tblPrEx>
          <w:tblCellMar>
            <w:left w:w="31" w:type="dxa"/>
            <w:right w:w="31" w:type="dxa"/>
          </w:tblCellMar>
        </w:tblPrEx>
        <w:trPr>
          <w:cantSplit/>
          <w:trHeight w:val="399"/>
          <w:tblHeader/>
        </w:trPr>
        <w:tc>
          <w:tcPr>
            <w:tcW w:w="2559" w:type="pct"/>
            <w:vAlign w:val="bottom"/>
          </w:tcPr>
          <w:p w:rsidR="00393B53" w:rsidRPr="001567C8" w:rsidRDefault="00393B53" w:rsidP="00393B53">
            <w:pPr>
              <w:tabs>
                <w:tab w:val="right" w:pos="1202"/>
              </w:tabs>
              <w:spacing w:line="301" w:lineRule="exact"/>
              <w:outlineLvl w:val="0"/>
              <w:rPr>
                <w:rFonts w:ascii="Calibri" w:hAnsi="Calibri"/>
                <w:b/>
                <w:bCs/>
                <w:sz w:val="19"/>
                <w:szCs w:val="19"/>
                <w:lang w:val="hr-HR"/>
              </w:rPr>
            </w:pPr>
            <w:r w:rsidRPr="001567C8">
              <w:rPr>
                <w:rFonts w:ascii="Calibri" w:hAnsi="Calibri"/>
                <w:b/>
                <w:bCs/>
                <w:sz w:val="19"/>
                <w:szCs w:val="19"/>
                <w:lang w:val="hr-HR"/>
              </w:rPr>
              <w:t>Ukupno</w:t>
            </w:r>
          </w:p>
        </w:tc>
        <w:tc>
          <w:tcPr>
            <w:tcW w:w="632" w:type="pct"/>
            <w:tcBorders>
              <w:top w:val="single" w:sz="8" w:space="0" w:color="auto"/>
              <w:left w:val="nil"/>
              <w:bottom w:val="single" w:sz="12" w:space="0" w:color="auto"/>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5.324.416</w:t>
            </w:r>
          </w:p>
        </w:tc>
        <w:tc>
          <w:tcPr>
            <w:tcW w:w="569" w:type="pct"/>
            <w:tcBorders>
              <w:top w:val="single" w:sz="8" w:space="0" w:color="auto"/>
              <w:left w:val="nil"/>
              <w:bottom w:val="single" w:sz="12" w:space="0" w:color="auto"/>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602</w:t>
            </w:r>
          </w:p>
        </w:tc>
        <w:tc>
          <w:tcPr>
            <w:tcW w:w="633" w:type="pct"/>
            <w:tcBorders>
              <w:top w:val="single" w:sz="8" w:space="0" w:color="auto"/>
              <w:left w:val="nil"/>
              <w:bottom w:val="single" w:sz="12" w:space="0" w:color="auto"/>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142.432</w:t>
            </w:r>
          </w:p>
        </w:tc>
        <w:tc>
          <w:tcPr>
            <w:tcW w:w="608" w:type="pct"/>
            <w:tcBorders>
              <w:top w:val="single" w:sz="8" w:space="0" w:color="auto"/>
              <w:left w:val="nil"/>
              <w:bottom w:val="single" w:sz="12" w:space="0" w:color="auto"/>
              <w:right w:val="nil"/>
            </w:tcBorders>
            <w:shd w:val="clear" w:color="auto" w:fill="auto"/>
            <w:vAlign w:val="center"/>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5.467.450</w:t>
            </w:r>
          </w:p>
        </w:tc>
      </w:tr>
      <w:tr w:rsidR="00393B53" w:rsidRPr="001567C8" w:rsidTr="00393B53">
        <w:tblPrEx>
          <w:tblCellMar>
            <w:left w:w="31" w:type="dxa"/>
            <w:right w:w="31" w:type="dxa"/>
          </w:tblCellMar>
        </w:tblPrEx>
        <w:trPr>
          <w:cantSplit/>
          <w:trHeight w:hRule="exact" w:val="113"/>
          <w:tblHeader/>
        </w:trPr>
        <w:tc>
          <w:tcPr>
            <w:tcW w:w="2559" w:type="pct"/>
            <w:vAlign w:val="bottom"/>
          </w:tcPr>
          <w:p w:rsidR="00393B53" w:rsidRPr="001567C8" w:rsidRDefault="00393B53" w:rsidP="00393B53">
            <w:pPr>
              <w:tabs>
                <w:tab w:val="right" w:pos="1202"/>
              </w:tabs>
              <w:outlineLvl w:val="0"/>
              <w:rPr>
                <w:rFonts w:ascii="Calibri" w:hAnsi="Calibri"/>
                <w:b/>
                <w:bCs/>
                <w:sz w:val="19"/>
                <w:szCs w:val="19"/>
                <w:lang w:val="hr-HR"/>
              </w:rPr>
            </w:pPr>
          </w:p>
        </w:tc>
        <w:tc>
          <w:tcPr>
            <w:tcW w:w="632" w:type="pct"/>
            <w:tcBorders>
              <w:top w:val="nil"/>
              <w:left w:val="nil"/>
              <w:right w:val="nil"/>
            </w:tcBorders>
            <w:shd w:val="clear" w:color="auto" w:fill="auto"/>
            <w:vAlign w:val="center"/>
          </w:tcPr>
          <w:p w:rsidR="00393B53" w:rsidRPr="001567C8" w:rsidRDefault="00393B53" w:rsidP="00393B53">
            <w:pPr>
              <w:tabs>
                <w:tab w:val="right" w:pos="1202"/>
              </w:tabs>
              <w:jc w:val="right"/>
              <w:outlineLvl w:val="0"/>
              <w:rPr>
                <w:rFonts w:ascii="Calibri" w:eastAsia="Calibri" w:hAnsi="Calibri" w:cs="Arial"/>
                <w:b/>
                <w:sz w:val="19"/>
                <w:szCs w:val="19"/>
                <w:highlight w:val="yellow"/>
                <w:lang w:val="hr-HR"/>
              </w:rPr>
            </w:pPr>
          </w:p>
        </w:tc>
        <w:tc>
          <w:tcPr>
            <w:tcW w:w="569" w:type="pct"/>
            <w:tcBorders>
              <w:top w:val="nil"/>
              <w:left w:val="nil"/>
              <w:right w:val="nil"/>
            </w:tcBorders>
            <w:shd w:val="clear" w:color="auto" w:fill="auto"/>
            <w:vAlign w:val="center"/>
          </w:tcPr>
          <w:p w:rsidR="00393B53" w:rsidRPr="001567C8" w:rsidRDefault="00393B53" w:rsidP="00393B53">
            <w:pPr>
              <w:tabs>
                <w:tab w:val="right" w:pos="1202"/>
              </w:tabs>
              <w:jc w:val="right"/>
              <w:outlineLvl w:val="0"/>
              <w:rPr>
                <w:rFonts w:ascii="Calibri" w:eastAsia="Calibri" w:hAnsi="Calibri" w:cs="Arial"/>
                <w:b/>
                <w:sz w:val="19"/>
                <w:szCs w:val="19"/>
                <w:highlight w:val="yellow"/>
                <w:lang w:val="hr-HR"/>
              </w:rPr>
            </w:pPr>
          </w:p>
        </w:tc>
        <w:tc>
          <w:tcPr>
            <w:tcW w:w="633" w:type="pct"/>
            <w:tcBorders>
              <w:top w:val="nil"/>
              <w:left w:val="nil"/>
              <w:right w:val="nil"/>
            </w:tcBorders>
            <w:shd w:val="clear" w:color="auto" w:fill="auto"/>
            <w:vAlign w:val="center"/>
          </w:tcPr>
          <w:p w:rsidR="00393B53" w:rsidRPr="001567C8" w:rsidRDefault="00393B53" w:rsidP="00393B53">
            <w:pPr>
              <w:tabs>
                <w:tab w:val="right" w:pos="1202"/>
              </w:tabs>
              <w:jc w:val="right"/>
              <w:outlineLvl w:val="0"/>
              <w:rPr>
                <w:rFonts w:ascii="Calibri" w:eastAsia="Calibri" w:hAnsi="Calibri" w:cs="Arial"/>
                <w:b/>
                <w:sz w:val="19"/>
                <w:szCs w:val="19"/>
                <w:highlight w:val="yellow"/>
                <w:lang w:val="hr-HR"/>
              </w:rPr>
            </w:pPr>
          </w:p>
        </w:tc>
        <w:tc>
          <w:tcPr>
            <w:tcW w:w="608" w:type="pct"/>
            <w:tcBorders>
              <w:top w:val="nil"/>
              <w:left w:val="nil"/>
              <w:right w:val="nil"/>
            </w:tcBorders>
            <w:shd w:val="clear" w:color="auto" w:fill="auto"/>
            <w:vAlign w:val="center"/>
          </w:tcPr>
          <w:p w:rsidR="00393B53" w:rsidRPr="001567C8" w:rsidRDefault="00393B53" w:rsidP="00393B53">
            <w:pPr>
              <w:tabs>
                <w:tab w:val="right" w:pos="1202"/>
              </w:tabs>
              <w:jc w:val="right"/>
              <w:outlineLvl w:val="0"/>
              <w:rPr>
                <w:rFonts w:ascii="Calibri" w:eastAsia="Calibri" w:hAnsi="Calibri" w:cs="Arial"/>
                <w:b/>
                <w:sz w:val="19"/>
                <w:szCs w:val="19"/>
                <w:highlight w:val="yellow"/>
                <w:lang w:val="hr-HR"/>
              </w:rPr>
            </w:pPr>
          </w:p>
        </w:tc>
      </w:tr>
      <w:tr w:rsidR="00393B53" w:rsidRPr="001567C8" w:rsidTr="00393B53">
        <w:tblPrEx>
          <w:tblCellMar>
            <w:left w:w="31" w:type="dxa"/>
            <w:right w:w="31" w:type="dxa"/>
          </w:tblCellMar>
        </w:tblPrEx>
        <w:trPr>
          <w:cantSplit/>
          <w:trHeight w:val="391"/>
          <w:tblHeader/>
        </w:trPr>
        <w:tc>
          <w:tcPr>
            <w:tcW w:w="2559" w:type="pct"/>
            <w:vAlign w:val="bottom"/>
          </w:tcPr>
          <w:p w:rsidR="00393B53" w:rsidRPr="001567C8" w:rsidRDefault="00393B53" w:rsidP="00393B53">
            <w:pPr>
              <w:tabs>
                <w:tab w:val="right" w:pos="1202"/>
              </w:tabs>
              <w:spacing w:line="300" w:lineRule="exact"/>
              <w:jc w:val="both"/>
              <w:rPr>
                <w:rFonts w:ascii="Calibri" w:hAnsi="Calibri"/>
                <w:b/>
                <w:bCs/>
                <w:sz w:val="19"/>
                <w:szCs w:val="19"/>
                <w:lang w:val="hr-HR"/>
              </w:rPr>
            </w:pPr>
            <w:r w:rsidRPr="001567C8">
              <w:rPr>
                <w:rFonts w:ascii="Calibri" w:hAnsi="Calibri" w:cs="Arial"/>
                <w:b/>
                <w:bCs/>
                <w:sz w:val="19"/>
                <w:szCs w:val="19"/>
                <w:lang w:val="hr-HR"/>
              </w:rPr>
              <w:t>Ukupna izloženost kreditnom riziku</w:t>
            </w:r>
          </w:p>
        </w:tc>
        <w:tc>
          <w:tcPr>
            <w:tcW w:w="632" w:type="pct"/>
            <w:tcBorders>
              <w:top w:val="nil"/>
              <w:left w:val="nil"/>
              <w:bottom w:val="single" w:sz="12" w:space="0" w:color="auto"/>
              <w:right w:val="nil"/>
            </w:tcBorders>
            <w:shd w:val="clear" w:color="auto" w:fill="auto"/>
            <w:vAlign w:val="bottom"/>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32.038.802</w:t>
            </w:r>
          </w:p>
        </w:tc>
        <w:tc>
          <w:tcPr>
            <w:tcW w:w="569" w:type="pct"/>
            <w:tcBorders>
              <w:top w:val="nil"/>
              <w:left w:val="nil"/>
              <w:bottom w:val="single" w:sz="12" w:space="0" w:color="auto"/>
              <w:right w:val="nil"/>
            </w:tcBorders>
            <w:shd w:val="clear" w:color="auto" w:fill="auto"/>
            <w:vAlign w:val="bottom"/>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83.732</w:t>
            </w:r>
          </w:p>
        </w:tc>
        <w:tc>
          <w:tcPr>
            <w:tcW w:w="633" w:type="pct"/>
            <w:tcBorders>
              <w:top w:val="nil"/>
              <w:left w:val="nil"/>
              <w:bottom w:val="single" w:sz="12" w:space="0" w:color="auto"/>
              <w:right w:val="nil"/>
            </w:tcBorders>
            <w:shd w:val="clear" w:color="auto" w:fill="auto"/>
            <w:vAlign w:val="bottom"/>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450.929</w:t>
            </w:r>
          </w:p>
        </w:tc>
        <w:tc>
          <w:tcPr>
            <w:tcW w:w="608" w:type="pct"/>
            <w:tcBorders>
              <w:top w:val="nil"/>
              <w:left w:val="nil"/>
              <w:bottom w:val="single" w:sz="12" w:space="0" w:color="auto"/>
              <w:right w:val="nil"/>
            </w:tcBorders>
            <w:shd w:val="clear" w:color="auto" w:fill="auto"/>
            <w:vAlign w:val="bottom"/>
          </w:tcPr>
          <w:p w:rsidR="00393B53" w:rsidRPr="001567C8" w:rsidRDefault="00393B53" w:rsidP="00393B53">
            <w:pPr>
              <w:tabs>
                <w:tab w:val="right" w:pos="1202"/>
              </w:tabs>
              <w:spacing w:line="301" w:lineRule="exact"/>
              <w:jc w:val="right"/>
              <w:outlineLvl w:val="0"/>
              <w:rPr>
                <w:rFonts w:ascii="Calibri" w:eastAsia="Calibri" w:hAnsi="Calibri" w:cs="Arial"/>
                <w:b/>
                <w:sz w:val="19"/>
                <w:szCs w:val="19"/>
                <w:highlight w:val="yellow"/>
                <w:lang w:val="hr-HR"/>
              </w:rPr>
            </w:pPr>
            <w:r w:rsidRPr="001567C8">
              <w:rPr>
                <w:rFonts w:ascii="Calibri" w:eastAsia="Calibri" w:hAnsi="Calibri" w:cs="Calibri"/>
                <w:b/>
                <w:bCs/>
                <w:color w:val="000000"/>
                <w:sz w:val="19"/>
                <w:szCs w:val="19"/>
                <w:lang w:val="hr-HR"/>
              </w:rPr>
              <w:t>32.573.463</w:t>
            </w:r>
          </w:p>
        </w:tc>
      </w:tr>
    </w:tbl>
    <w:p w:rsidR="000D7337" w:rsidRPr="001567C8" w:rsidRDefault="000D7337" w:rsidP="00D225D0">
      <w:pPr>
        <w:pStyle w:val="T1"/>
        <w:spacing w:before="120" w:after="0" w:line="300" w:lineRule="exact"/>
        <w:rPr>
          <w:rFonts w:asciiTheme="minorHAnsi" w:hAnsiTheme="minorHAnsi" w:cs="Arial"/>
          <w:b w:val="0"/>
          <w:bCs w:val="0"/>
          <w:sz w:val="22"/>
          <w:szCs w:val="22"/>
          <w:lang w:val="hr-HR"/>
        </w:rPr>
      </w:pPr>
    </w:p>
    <w:p w:rsidR="003A5CBB" w:rsidRPr="001567C8" w:rsidRDefault="003A5CBB" w:rsidP="008256C7">
      <w:pPr>
        <w:pStyle w:val="T1"/>
        <w:spacing w:before="120" w:after="0"/>
        <w:rPr>
          <w:rFonts w:asciiTheme="minorHAnsi" w:hAnsiTheme="minorHAnsi" w:cs="Arial"/>
          <w:b w:val="0"/>
          <w:bCs w:val="0"/>
          <w:sz w:val="22"/>
          <w:szCs w:val="22"/>
          <w:lang w:val="hr-HR"/>
        </w:rPr>
      </w:pPr>
    </w:p>
    <w:p w:rsidR="00EF4F7E" w:rsidRPr="001567C8" w:rsidRDefault="00EF4F7E" w:rsidP="002B3935">
      <w:pPr>
        <w:pStyle w:val="T1"/>
        <w:ind w:left="709" w:hanging="709"/>
        <w:rPr>
          <w:rFonts w:asciiTheme="minorHAnsi" w:hAnsiTheme="minorHAnsi" w:cs="Arial"/>
          <w:b w:val="0"/>
          <w:bCs w:val="0"/>
          <w:sz w:val="22"/>
          <w:szCs w:val="22"/>
          <w:lang w:val="hr-HR"/>
        </w:rPr>
      </w:pPr>
    </w:p>
    <w:p w:rsidR="00EF4F7E" w:rsidRPr="001567C8" w:rsidRDefault="00EF4F7E" w:rsidP="00EF4F7E">
      <w:pPr>
        <w:rPr>
          <w:rFonts w:asciiTheme="minorHAnsi" w:hAnsiTheme="minorHAnsi"/>
          <w:sz w:val="22"/>
          <w:szCs w:val="22"/>
          <w:lang w:val="hr-HR"/>
        </w:rPr>
      </w:pPr>
    </w:p>
    <w:p w:rsidR="00E2685F" w:rsidRPr="001567C8" w:rsidRDefault="00E2685F" w:rsidP="00EF4F7E">
      <w:pPr>
        <w:rPr>
          <w:rFonts w:asciiTheme="minorHAnsi" w:hAnsiTheme="minorHAnsi"/>
          <w:sz w:val="22"/>
          <w:szCs w:val="22"/>
          <w:lang w:val="hr-HR"/>
        </w:rPr>
      </w:pPr>
    </w:p>
    <w:p w:rsidR="00EF4F7E" w:rsidRPr="001567C8" w:rsidRDefault="00EF4F7E" w:rsidP="00EF4F7E">
      <w:pPr>
        <w:tabs>
          <w:tab w:val="left" w:pos="2520"/>
        </w:tabs>
        <w:rPr>
          <w:rFonts w:asciiTheme="minorHAnsi" w:hAnsiTheme="minorHAnsi"/>
          <w:sz w:val="22"/>
          <w:szCs w:val="22"/>
          <w:lang w:val="hr-HR"/>
        </w:rPr>
      </w:pPr>
      <w:r w:rsidRPr="001567C8">
        <w:rPr>
          <w:rFonts w:asciiTheme="minorHAnsi" w:hAnsiTheme="minorHAnsi"/>
          <w:sz w:val="22"/>
          <w:szCs w:val="22"/>
          <w:lang w:val="hr-HR"/>
        </w:rPr>
        <w:tab/>
      </w:r>
    </w:p>
    <w:p w:rsidR="00EF4F7E" w:rsidRPr="001567C8" w:rsidRDefault="00EF4F7E" w:rsidP="00EF4F7E">
      <w:pPr>
        <w:rPr>
          <w:rFonts w:asciiTheme="minorHAnsi" w:hAnsiTheme="minorHAnsi"/>
          <w:sz w:val="22"/>
          <w:szCs w:val="22"/>
          <w:lang w:val="hr-HR"/>
        </w:rPr>
      </w:pPr>
    </w:p>
    <w:p w:rsidR="00AE2CB9" w:rsidRPr="001567C8" w:rsidRDefault="00AE2CB9" w:rsidP="00EF4F7E">
      <w:pPr>
        <w:rPr>
          <w:rFonts w:asciiTheme="minorHAnsi" w:hAnsiTheme="minorHAnsi"/>
          <w:sz w:val="22"/>
          <w:szCs w:val="22"/>
          <w:lang w:val="hr-HR"/>
        </w:rPr>
        <w:sectPr w:rsidR="00AE2CB9" w:rsidRPr="001567C8" w:rsidSect="003E2D7A">
          <w:pgSz w:w="11907" w:h="16840" w:code="9"/>
          <w:pgMar w:top="1418" w:right="1134" w:bottom="1134" w:left="1418" w:header="851" w:footer="851" w:gutter="0"/>
          <w:cols w:space="720"/>
          <w:noEndnote/>
        </w:sectPr>
      </w:pPr>
    </w:p>
    <w:p w:rsidR="00DC03AE" w:rsidRPr="001567C8" w:rsidRDefault="00DC03AE" w:rsidP="00B64938">
      <w:pPr>
        <w:jc w:val="right"/>
        <w:rPr>
          <w:rFonts w:asciiTheme="minorHAnsi" w:hAnsiTheme="minorHAnsi" w:cs="Arial"/>
          <w:b/>
          <w:bCs/>
          <w:sz w:val="22"/>
          <w:szCs w:val="22"/>
          <w:lang w:val="hr-HR"/>
          <w14:shadow w14:blurRad="50800" w14:dist="38100" w14:dir="2700000" w14:sx="100000" w14:sy="100000" w14:kx="0" w14:ky="0" w14:algn="tl">
            <w14:srgbClr w14:val="000000">
              <w14:alpha w14:val="60000"/>
            </w14:srgbClr>
          </w14:shadow>
        </w:rPr>
      </w:pPr>
    </w:p>
    <w:p w:rsidR="00235F37" w:rsidRPr="001567C8" w:rsidRDefault="00235F37" w:rsidP="00B64938">
      <w:pPr>
        <w:jc w:val="right"/>
        <w:rPr>
          <w:rFonts w:asciiTheme="minorHAnsi" w:hAnsiTheme="minorHAnsi" w:cs="Arial"/>
          <w:b/>
          <w:bCs/>
          <w:sz w:val="22"/>
          <w:szCs w:val="22"/>
          <w:lang w:val="hr-HR"/>
          <w14:shadow w14:blurRad="50800" w14:dist="38100" w14:dir="2700000" w14:sx="100000" w14:sy="100000" w14:kx="0" w14:ky="0" w14:algn="tl">
            <w14:srgbClr w14:val="000000">
              <w14:alpha w14:val="60000"/>
            </w14:srgbClr>
          </w14:shadow>
        </w:rPr>
        <w:sectPr w:rsidR="00235F37" w:rsidRPr="001567C8" w:rsidSect="003E2D7A">
          <w:type w:val="continuous"/>
          <w:pgSz w:w="11907" w:h="16840" w:code="9"/>
          <w:pgMar w:top="1418" w:right="1134" w:bottom="1134" w:left="1418" w:header="851" w:footer="851" w:gutter="0"/>
          <w:cols w:space="720"/>
          <w:noEndnote/>
        </w:sectPr>
      </w:pPr>
    </w:p>
    <w:p w:rsidR="00347537" w:rsidRPr="001567C8" w:rsidRDefault="00347537" w:rsidP="00347537">
      <w:pPr>
        <w:pStyle w:val="T1"/>
        <w:spacing w:before="0" w:after="0" w:line="240" w:lineRule="auto"/>
        <w:rPr>
          <w:rFonts w:asciiTheme="minorHAnsi" w:hAnsiTheme="minorHAnsi" w:cs="Arial"/>
          <w:sz w:val="22"/>
          <w:szCs w:val="22"/>
          <w:lang w:val="hr-HR"/>
        </w:rPr>
      </w:pPr>
    </w:p>
    <w:p w:rsidR="00ED01D8"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ED01D8" w:rsidRPr="001567C8">
        <w:rPr>
          <w:rFonts w:asciiTheme="minorHAnsi" w:hAnsiTheme="minorHAnsi" w:cs="Arial"/>
          <w:sz w:val="22"/>
          <w:szCs w:val="22"/>
          <w:lang w:val="hr-HR"/>
        </w:rPr>
        <w:t>.</w:t>
      </w:r>
      <w:r w:rsidR="00ED01D8" w:rsidRPr="001567C8">
        <w:rPr>
          <w:rFonts w:asciiTheme="minorHAnsi" w:hAnsiTheme="minorHAnsi" w:cs="Arial"/>
          <w:sz w:val="22"/>
          <w:szCs w:val="22"/>
          <w:lang w:val="hr-HR"/>
        </w:rPr>
        <w:tab/>
        <w:t>Upravljanje rizicima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ED01D8"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ED01D8"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3</w:t>
      </w:r>
      <w:r w:rsidR="00ED01D8" w:rsidRPr="001567C8">
        <w:rPr>
          <w:rFonts w:asciiTheme="minorHAnsi" w:hAnsiTheme="minorHAnsi" w:cs="Arial"/>
          <w:sz w:val="22"/>
          <w:szCs w:val="22"/>
          <w:lang w:val="hr-HR"/>
        </w:rPr>
        <w:t xml:space="preserve">. </w:t>
      </w:r>
      <w:r w:rsidR="00ED01D8" w:rsidRPr="001567C8">
        <w:rPr>
          <w:rFonts w:asciiTheme="minorHAnsi" w:hAnsiTheme="minorHAnsi" w:cs="Arial"/>
          <w:sz w:val="22"/>
          <w:szCs w:val="22"/>
          <w:lang w:val="hr-HR"/>
        </w:rPr>
        <w:tab/>
        <w:t>Kreditni rizik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6C6148" w:rsidRPr="001567C8" w:rsidRDefault="00793CCF"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Koncentracija rizika i maksimalna</w:t>
      </w:r>
      <w:r w:rsidR="00ED01D8" w:rsidRPr="001567C8">
        <w:rPr>
          <w:rFonts w:asciiTheme="minorHAnsi" w:hAnsiTheme="minorHAnsi" w:cs="Arial"/>
          <w:sz w:val="22"/>
          <w:szCs w:val="22"/>
          <w:lang w:val="hr-HR"/>
        </w:rPr>
        <w:t xml:space="preserve"> izloženost kreditnom riziku (nastavak)</w:t>
      </w:r>
    </w:p>
    <w:p w:rsidR="00347537" w:rsidRPr="001567C8" w:rsidRDefault="00347537" w:rsidP="00347537">
      <w:pPr>
        <w:pStyle w:val="TH"/>
        <w:spacing w:line="240" w:lineRule="auto"/>
        <w:rPr>
          <w:rFonts w:asciiTheme="minorHAnsi" w:hAnsiTheme="minorHAnsi"/>
          <w:b w:val="0"/>
          <w:sz w:val="22"/>
          <w:szCs w:val="22"/>
          <w:lang w:val="hr-HR"/>
        </w:rPr>
      </w:pPr>
    </w:p>
    <w:p w:rsidR="00D225D0" w:rsidRPr="001567C8" w:rsidRDefault="006C6148" w:rsidP="00E266C9">
      <w:pPr>
        <w:pStyle w:val="TH"/>
        <w:spacing w:line="240" w:lineRule="auto"/>
        <w:jc w:val="both"/>
        <w:rPr>
          <w:rFonts w:asciiTheme="minorHAnsi" w:hAnsiTheme="minorHAnsi" w:cs="Arial"/>
          <w:b w:val="0"/>
          <w:sz w:val="22"/>
          <w:szCs w:val="22"/>
          <w:lang w:val="hr-HR"/>
        </w:rPr>
      </w:pPr>
      <w:r w:rsidRPr="001567C8">
        <w:rPr>
          <w:rFonts w:asciiTheme="minorHAnsi" w:hAnsiTheme="minorHAnsi"/>
          <w:b w:val="0"/>
          <w:sz w:val="22"/>
          <w:szCs w:val="22"/>
          <w:lang w:val="hr-HR"/>
        </w:rPr>
        <w:t xml:space="preserve">Koncentracija </w:t>
      </w:r>
      <w:r w:rsidR="008D6072" w:rsidRPr="001567C8">
        <w:rPr>
          <w:rFonts w:asciiTheme="minorHAnsi" w:hAnsiTheme="minorHAnsi"/>
          <w:b w:val="0"/>
          <w:sz w:val="22"/>
          <w:szCs w:val="22"/>
          <w:lang w:val="hr-HR"/>
        </w:rPr>
        <w:t>imovine</w:t>
      </w:r>
      <w:r w:rsidRPr="001567C8">
        <w:rPr>
          <w:rFonts w:asciiTheme="minorHAnsi" w:hAnsiTheme="minorHAnsi"/>
          <w:b w:val="0"/>
          <w:sz w:val="22"/>
          <w:szCs w:val="22"/>
          <w:lang w:val="hr-HR"/>
        </w:rPr>
        <w:t xml:space="preserve"> i garancija </w:t>
      </w:r>
      <w:r w:rsidR="00F96790" w:rsidRPr="001567C8">
        <w:rPr>
          <w:rFonts w:asciiTheme="minorHAnsi" w:hAnsiTheme="minorHAnsi"/>
          <w:b w:val="0"/>
          <w:sz w:val="22"/>
          <w:szCs w:val="22"/>
          <w:lang w:val="hr-HR"/>
        </w:rPr>
        <w:t xml:space="preserve">te </w:t>
      </w:r>
      <w:r w:rsidRPr="001567C8">
        <w:rPr>
          <w:rFonts w:asciiTheme="minorHAnsi" w:hAnsiTheme="minorHAnsi"/>
          <w:b w:val="0"/>
          <w:sz w:val="22"/>
          <w:szCs w:val="22"/>
          <w:lang w:val="hr-HR"/>
        </w:rPr>
        <w:t>preuzetih obveza</w:t>
      </w:r>
      <w:r w:rsidR="00E4550D" w:rsidRPr="001567C8">
        <w:rPr>
          <w:rFonts w:asciiTheme="minorHAnsi" w:hAnsiTheme="minorHAnsi"/>
          <w:b w:val="0"/>
          <w:sz w:val="22"/>
          <w:szCs w:val="22"/>
          <w:lang w:val="hr-HR"/>
        </w:rPr>
        <w:t xml:space="preserve"> prema </w:t>
      </w:r>
      <w:r w:rsidR="00EB0179" w:rsidRPr="001567C8">
        <w:rPr>
          <w:rFonts w:asciiTheme="minorHAnsi" w:hAnsiTheme="minorHAnsi"/>
          <w:b w:val="0"/>
          <w:sz w:val="22"/>
          <w:szCs w:val="22"/>
          <w:lang w:val="hr-HR"/>
        </w:rPr>
        <w:t>industrijskim granama</w:t>
      </w:r>
      <w:r w:rsidRPr="001567C8">
        <w:rPr>
          <w:rFonts w:asciiTheme="minorHAnsi" w:hAnsiTheme="minorHAnsi"/>
          <w:b w:val="0"/>
          <w:sz w:val="22"/>
          <w:szCs w:val="22"/>
          <w:lang w:val="hr-HR"/>
        </w:rPr>
        <w:t xml:space="preserve">, </w:t>
      </w:r>
      <w:r w:rsidR="003F0EC8" w:rsidRPr="001567C8">
        <w:rPr>
          <w:rFonts w:asciiTheme="minorHAnsi" w:hAnsiTheme="minorHAnsi"/>
          <w:b w:val="0"/>
          <w:sz w:val="22"/>
          <w:szCs w:val="22"/>
          <w:lang w:val="hr-HR"/>
        </w:rPr>
        <w:t>neto</w:t>
      </w:r>
      <w:r w:rsidR="00603200" w:rsidRPr="00CD3A2D">
        <w:rPr>
          <w:lang w:val="hr-HR"/>
        </w:rPr>
        <w:t xml:space="preserve"> </w:t>
      </w:r>
      <w:r w:rsidR="00603200" w:rsidRPr="001567C8">
        <w:rPr>
          <w:rFonts w:asciiTheme="minorHAnsi" w:hAnsiTheme="minorHAnsi"/>
          <w:b w:val="0"/>
          <w:sz w:val="22"/>
          <w:szCs w:val="22"/>
          <w:lang w:val="hr-HR"/>
        </w:rPr>
        <w:t>izloženost</w:t>
      </w:r>
      <w:r w:rsidR="003F0EC8" w:rsidRPr="001567C8">
        <w:rPr>
          <w:rFonts w:asciiTheme="minorHAnsi" w:hAnsiTheme="minorHAnsi"/>
          <w:b w:val="0"/>
          <w:sz w:val="22"/>
          <w:szCs w:val="22"/>
          <w:lang w:val="hr-HR"/>
        </w:rPr>
        <w:t xml:space="preserve">, </w:t>
      </w:r>
      <w:r w:rsidR="00FC1F94" w:rsidRPr="001567C8">
        <w:rPr>
          <w:rFonts w:asciiTheme="minorHAnsi" w:hAnsiTheme="minorHAnsi"/>
          <w:b w:val="0"/>
          <w:sz w:val="22"/>
          <w:szCs w:val="22"/>
          <w:lang w:val="hr-HR"/>
        </w:rPr>
        <w:t>prije i nakon uzimanja u obzir primljenih instrumenata osiguranja</w:t>
      </w:r>
      <w:r w:rsidR="00D225D0" w:rsidRPr="001567C8">
        <w:rPr>
          <w:rFonts w:asciiTheme="minorHAnsi" w:hAnsiTheme="minorHAnsi"/>
          <w:b w:val="0"/>
          <w:sz w:val="22"/>
          <w:szCs w:val="22"/>
          <w:lang w:val="hr-HR"/>
        </w:rPr>
        <w:t>:</w:t>
      </w:r>
    </w:p>
    <w:p w:rsidR="00D225D0" w:rsidRPr="001567C8" w:rsidRDefault="00D225D0" w:rsidP="00347537">
      <w:pPr>
        <w:pStyle w:val="TH"/>
        <w:spacing w:line="240" w:lineRule="auto"/>
        <w:rPr>
          <w:rFonts w:asciiTheme="minorHAnsi" w:hAnsiTheme="minorHAnsi" w:cs="Arial"/>
          <w:b w:val="0"/>
          <w:sz w:val="22"/>
          <w:szCs w:val="22"/>
          <w:lang w:val="hr-HR"/>
        </w:rPr>
      </w:pPr>
    </w:p>
    <w:tbl>
      <w:tblPr>
        <w:tblpPr w:leftFromText="181" w:rightFromText="181" w:vertAnchor="text" w:tblpY="1"/>
        <w:tblOverlap w:val="never"/>
        <w:tblW w:w="5000" w:type="pct"/>
        <w:tblLayout w:type="fixed"/>
        <w:tblCellMar>
          <w:left w:w="30" w:type="dxa"/>
          <w:right w:w="30" w:type="dxa"/>
        </w:tblCellMar>
        <w:tblLook w:val="0000" w:firstRow="0" w:lastRow="0" w:firstColumn="0" w:lastColumn="0" w:noHBand="0" w:noVBand="0"/>
      </w:tblPr>
      <w:tblGrid>
        <w:gridCol w:w="5144"/>
        <w:gridCol w:w="1052"/>
        <w:gridCol w:w="1053"/>
        <w:gridCol w:w="1053"/>
        <w:gridCol w:w="1053"/>
      </w:tblGrid>
      <w:tr w:rsidR="007A2DA9" w:rsidRPr="001567C8" w:rsidTr="003C6BA3">
        <w:trPr>
          <w:cantSplit/>
          <w:trHeight w:val="709"/>
          <w:tblHeader/>
        </w:trPr>
        <w:tc>
          <w:tcPr>
            <w:tcW w:w="2749" w:type="pct"/>
            <w:vAlign w:val="bottom"/>
          </w:tcPr>
          <w:p w:rsidR="007A2DA9" w:rsidRPr="001567C8" w:rsidRDefault="007A2DA9" w:rsidP="007A2DA9">
            <w:pPr>
              <w:tabs>
                <w:tab w:val="right" w:pos="1202"/>
              </w:tabs>
              <w:spacing w:line="240" w:lineRule="atLeast"/>
              <w:outlineLvl w:val="0"/>
              <w:rPr>
                <w:rFonts w:asciiTheme="minorHAnsi" w:hAnsiTheme="minorHAnsi" w:cs="Arial"/>
                <w:b/>
                <w:sz w:val="19"/>
                <w:szCs w:val="19"/>
                <w:lang w:val="hr-HR"/>
              </w:rPr>
            </w:pPr>
            <w:r w:rsidRPr="001567C8">
              <w:rPr>
                <w:rFonts w:asciiTheme="minorHAnsi" w:hAnsiTheme="minorHAnsi" w:cs="Arial"/>
                <w:b/>
                <w:sz w:val="19"/>
                <w:szCs w:val="19"/>
                <w:lang w:val="hr-HR"/>
              </w:rPr>
              <w:t>Grupa</w:t>
            </w:r>
          </w:p>
        </w:tc>
        <w:tc>
          <w:tcPr>
            <w:tcW w:w="562" w:type="pct"/>
            <w:vAlign w:val="bottom"/>
          </w:tcPr>
          <w:p w:rsidR="007A2DA9" w:rsidRPr="001567C8" w:rsidRDefault="00FC1F94" w:rsidP="007A2DA9">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Neto n</w:t>
            </w:r>
            <w:r w:rsidR="007A2DA9" w:rsidRPr="001567C8">
              <w:rPr>
                <w:rFonts w:asciiTheme="minorHAnsi" w:hAnsiTheme="minorHAnsi" w:cs="Arial"/>
                <w:b/>
                <w:sz w:val="19"/>
                <w:szCs w:val="19"/>
                <w:lang w:val="hr-HR"/>
              </w:rPr>
              <w:t>ajveća izloženost</w:t>
            </w:r>
          </w:p>
        </w:tc>
        <w:tc>
          <w:tcPr>
            <w:tcW w:w="563" w:type="pct"/>
            <w:vAlign w:val="bottom"/>
          </w:tcPr>
          <w:p w:rsidR="007A2DA9" w:rsidRPr="001567C8" w:rsidRDefault="00FC1F94" w:rsidP="007A2DA9">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Neto n</w:t>
            </w:r>
            <w:r w:rsidR="007A2DA9" w:rsidRPr="001567C8">
              <w:rPr>
                <w:rFonts w:asciiTheme="minorHAnsi" w:hAnsiTheme="minorHAnsi" w:cs="Arial"/>
                <w:b/>
                <w:sz w:val="19"/>
                <w:szCs w:val="19"/>
                <w:lang w:val="hr-HR"/>
              </w:rPr>
              <w:t>ajveća izloženost</w:t>
            </w:r>
            <w:r w:rsidR="00AB0953" w:rsidRPr="001567C8">
              <w:rPr>
                <w:rFonts w:asciiTheme="minorHAnsi" w:hAnsiTheme="minorHAnsi" w:cs="Arial"/>
                <w:b/>
                <w:sz w:val="19"/>
                <w:szCs w:val="19"/>
                <w:lang w:val="hr-HR"/>
              </w:rPr>
              <w:t xml:space="preserve"> nakon umanjenja za sredstva osiguranja</w:t>
            </w:r>
          </w:p>
        </w:tc>
        <w:tc>
          <w:tcPr>
            <w:tcW w:w="563" w:type="pct"/>
            <w:vAlign w:val="bottom"/>
          </w:tcPr>
          <w:p w:rsidR="007A2DA9" w:rsidRPr="001567C8" w:rsidRDefault="00FC1F94" w:rsidP="007A2DA9">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Neto n</w:t>
            </w:r>
            <w:r w:rsidR="007A2DA9" w:rsidRPr="001567C8">
              <w:rPr>
                <w:rFonts w:asciiTheme="minorHAnsi" w:hAnsiTheme="minorHAnsi" w:cs="Arial"/>
                <w:b/>
                <w:sz w:val="19"/>
                <w:szCs w:val="19"/>
                <w:lang w:val="hr-HR"/>
              </w:rPr>
              <w:t>ajveća izloženost</w:t>
            </w:r>
          </w:p>
        </w:tc>
        <w:tc>
          <w:tcPr>
            <w:tcW w:w="563" w:type="pct"/>
            <w:vAlign w:val="bottom"/>
          </w:tcPr>
          <w:p w:rsidR="007A2DA9" w:rsidRPr="001567C8" w:rsidRDefault="00FC1F94" w:rsidP="007A2DA9">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Neto n</w:t>
            </w:r>
            <w:r w:rsidR="007A2DA9" w:rsidRPr="001567C8">
              <w:rPr>
                <w:rFonts w:asciiTheme="minorHAnsi" w:hAnsiTheme="minorHAnsi" w:cs="Arial"/>
                <w:b/>
                <w:sz w:val="19"/>
                <w:szCs w:val="19"/>
                <w:lang w:val="hr-HR"/>
              </w:rPr>
              <w:t>ajveća izloženost</w:t>
            </w:r>
            <w:r w:rsidR="00AB0953" w:rsidRPr="001567C8">
              <w:rPr>
                <w:rFonts w:asciiTheme="minorHAnsi" w:hAnsiTheme="minorHAnsi" w:cs="Arial"/>
                <w:b/>
                <w:sz w:val="19"/>
                <w:szCs w:val="19"/>
                <w:lang w:val="hr-HR"/>
              </w:rPr>
              <w:t xml:space="preserve">  nakon umanjenja za sredstva osiguranja</w:t>
            </w:r>
          </w:p>
        </w:tc>
      </w:tr>
      <w:tr w:rsidR="007A2DA9" w:rsidRPr="001567C8" w:rsidTr="00DC6688">
        <w:trPr>
          <w:cantSplit/>
          <w:trHeight w:val="159"/>
          <w:tblHeader/>
        </w:trPr>
        <w:tc>
          <w:tcPr>
            <w:tcW w:w="2749" w:type="pct"/>
            <w:vAlign w:val="bottom"/>
          </w:tcPr>
          <w:p w:rsidR="007A2DA9" w:rsidRPr="001567C8" w:rsidRDefault="007A2DA9" w:rsidP="007A2DA9">
            <w:pPr>
              <w:spacing w:line="120" w:lineRule="auto"/>
              <w:ind w:left="113" w:hanging="113"/>
              <w:jc w:val="center"/>
              <w:rPr>
                <w:rFonts w:asciiTheme="minorHAnsi" w:hAnsiTheme="minorHAnsi" w:cs="Arial"/>
                <w:sz w:val="19"/>
                <w:szCs w:val="19"/>
                <w:lang w:val="hr-HR"/>
              </w:rPr>
            </w:pPr>
          </w:p>
        </w:tc>
        <w:tc>
          <w:tcPr>
            <w:tcW w:w="562" w:type="pct"/>
            <w:vAlign w:val="bottom"/>
          </w:tcPr>
          <w:p w:rsidR="007A2DA9" w:rsidRPr="001567C8" w:rsidRDefault="007A2DA9" w:rsidP="007A2DA9">
            <w:pPr>
              <w:tabs>
                <w:tab w:val="right" w:pos="1202"/>
              </w:tabs>
              <w:spacing w:line="120" w:lineRule="auto"/>
              <w:jc w:val="center"/>
              <w:outlineLvl w:val="0"/>
              <w:rPr>
                <w:rFonts w:asciiTheme="minorHAnsi" w:hAnsiTheme="minorHAnsi" w:cs="Arial"/>
                <w:b/>
                <w:sz w:val="19"/>
                <w:szCs w:val="19"/>
                <w:lang w:val="hr-HR"/>
              </w:rPr>
            </w:pPr>
          </w:p>
        </w:tc>
        <w:tc>
          <w:tcPr>
            <w:tcW w:w="563" w:type="pct"/>
            <w:vAlign w:val="bottom"/>
          </w:tcPr>
          <w:p w:rsidR="007A2DA9" w:rsidRPr="001567C8" w:rsidRDefault="007A2DA9" w:rsidP="007A2DA9">
            <w:pPr>
              <w:tabs>
                <w:tab w:val="right" w:pos="1202"/>
              </w:tabs>
              <w:spacing w:line="120" w:lineRule="auto"/>
              <w:jc w:val="center"/>
              <w:outlineLvl w:val="0"/>
              <w:rPr>
                <w:rFonts w:asciiTheme="minorHAnsi" w:hAnsiTheme="minorHAnsi" w:cs="Arial"/>
                <w:b/>
                <w:sz w:val="19"/>
                <w:szCs w:val="19"/>
                <w:lang w:val="hr-HR"/>
              </w:rPr>
            </w:pPr>
          </w:p>
        </w:tc>
        <w:tc>
          <w:tcPr>
            <w:tcW w:w="563" w:type="pct"/>
            <w:vAlign w:val="bottom"/>
          </w:tcPr>
          <w:p w:rsidR="007A2DA9" w:rsidRPr="001567C8" w:rsidRDefault="007A2DA9" w:rsidP="007A2DA9">
            <w:pPr>
              <w:tabs>
                <w:tab w:val="right" w:pos="1202"/>
              </w:tabs>
              <w:spacing w:line="120" w:lineRule="auto"/>
              <w:jc w:val="center"/>
              <w:outlineLvl w:val="0"/>
              <w:rPr>
                <w:rFonts w:asciiTheme="minorHAnsi" w:hAnsiTheme="minorHAnsi" w:cs="Arial"/>
                <w:b/>
                <w:sz w:val="19"/>
                <w:szCs w:val="19"/>
                <w:lang w:val="hr-HR"/>
              </w:rPr>
            </w:pPr>
          </w:p>
        </w:tc>
        <w:tc>
          <w:tcPr>
            <w:tcW w:w="563" w:type="pct"/>
            <w:vAlign w:val="bottom"/>
          </w:tcPr>
          <w:p w:rsidR="007A2DA9" w:rsidRPr="001567C8" w:rsidRDefault="007A2DA9" w:rsidP="007A2DA9">
            <w:pPr>
              <w:tabs>
                <w:tab w:val="right" w:pos="1202"/>
              </w:tabs>
              <w:spacing w:line="120" w:lineRule="auto"/>
              <w:jc w:val="center"/>
              <w:outlineLvl w:val="0"/>
              <w:rPr>
                <w:rFonts w:asciiTheme="minorHAnsi" w:hAnsiTheme="minorHAnsi" w:cs="Arial"/>
                <w:b/>
                <w:sz w:val="19"/>
                <w:szCs w:val="19"/>
                <w:lang w:val="hr-HR"/>
              </w:rPr>
            </w:pPr>
          </w:p>
        </w:tc>
      </w:tr>
      <w:tr w:rsidR="00393B53" w:rsidRPr="001567C8" w:rsidTr="00DC6688">
        <w:trPr>
          <w:cantSplit/>
          <w:trHeight w:val="250"/>
          <w:tblHeader/>
        </w:trPr>
        <w:tc>
          <w:tcPr>
            <w:tcW w:w="2749" w:type="pct"/>
          </w:tcPr>
          <w:p w:rsidR="00393B53" w:rsidRPr="001567C8" w:rsidRDefault="00393B53" w:rsidP="00393B53">
            <w:pPr>
              <w:ind w:left="113" w:hanging="113"/>
              <w:rPr>
                <w:rFonts w:asciiTheme="minorHAnsi" w:hAnsiTheme="minorHAnsi" w:cs="Arial"/>
                <w:sz w:val="19"/>
                <w:szCs w:val="19"/>
                <w:lang w:val="hr-HR"/>
              </w:rPr>
            </w:pPr>
          </w:p>
        </w:tc>
        <w:tc>
          <w:tcPr>
            <w:tcW w:w="562" w:type="pct"/>
            <w:vAlign w:val="bottom"/>
          </w:tcPr>
          <w:p w:rsidR="00393B53" w:rsidRPr="001567C8" w:rsidRDefault="0073283D"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31. pros</w:t>
            </w:r>
            <w:r w:rsidR="00AD2EF7">
              <w:rPr>
                <w:rFonts w:asciiTheme="minorHAnsi" w:hAnsiTheme="minorHAnsi" w:cs="Arial"/>
                <w:b/>
                <w:sz w:val="19"/>
                <w:szCs w:val="19"/>
                <w:lang w:val="hr-HR"/>
              </w:rPr>
              <w:t>in</w:t>
            </w:r>
            <w:r w:rsidRPr="001567C8">
              <w:rPr>
                <w:rFonts w:asciiTheme="minorHAnsi" w:hAnsiTheme="minorHAnsi" w:cs="Arial"/>
                <w:b/>
                <w:sz w:val="19"/>
                <w:szCs w:val="19"/>
                <w:lang w:val="hr-HR"/>
              </w:rPr>
              <w:t>c</w:t>
            </w:r>
            <w:r w:rsidR="00AD2EF7">
              <w:rPr>
                <w:rFonts w:asciiTheme="minorHAnsi" w:hAnsiTheme="minorHAnsi" w:cs="Arial"/>
                <w:b/>
                <w:sz w:val="19"/>
                <w:szCs w:val="19"/>
                <w:lang w:val="hr-HR"/>
              </w:rPr>
              <w:t>a</w:t>
            </w:r>
            <w:r w:rsidRPr="001567C8">
              <w:rPr>
                <w:rFonts w:asciiTheme="minorHAnsi" w:hAnsiTheme="minorHAnsi" w:cs="Arial"/>
                <w:b/>
                <w:sz w:val="19"/>
                <w:szCs w:val="19"/>
                <w:lang w:val="hr-HR"/>
              </w:rPr>
              <w:t xml:space="preserve"> </w:t>
            </w:r>
            <w:r w:rsidR="00393B53" w:rsidRPr="001567C8">
              <w:rPr>
                <w:rFonts w:asciiTheme="minorHAnsi" w:hAnsiTheme="minorHAnsi" w:cs="Arial"/>
                <w:b/>
                <w:sz w:val="19"/>
                <w:szCs w:val="19"/>
                <w:lang w:val="hr-HR"/>
              </w:rPr>
              <w:t>201</w:t>
            </w:r>
            <w:r w:rsidR="00202833" w:rsidRPr="001567C8">
              <w:rPr>
                <w:rFonts w:asciiTheme="minorHAnsi" w:hAnsiTheme="minorHAnsi" w:cs="Arial"/>
                <w:b/>
                <w:sz w:val="19"/>
                <w:szCs w:val="19"/>
                <w:lang w:val="hr-HR"/>
              </w:rPr>
              <w:t>8</w:t>
            </w:r>
            <w:r w:rsidR="00393B53" w:rsidRPr="001567C8">
              <w:rPr>
                <w:rFonts w:asciiTheme="minorHAnsi" w:hAnsiTheme="minorHAnsi" w:cs="Arial"/>
                <w:b/>
                <w:sz w:val="19"/>
                <w:szCs w:val="19"/>
                <w:lang w:val="hr-HR"/>
              </w:rPr>
              <w:t>.</w:t>
            </w:r>
          </w:p>
        </w:tc>
        <w:tc>
          <w:tcPr>
            <w:tcW w:w="563" w:type="pct"/>
            <w:vAlign w:val="bottom"/>
          </w:tcPr>
          <w:p w:rsidR="00393B53" w:rsidRPr="001567C8" w:rsidRDefault="00AD2EF7"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31. pros</w:t>
            </w:r>
            <w:r>
              <w:rPr>
                <w:rFonts w:asciiTheme="minorHAnsi" w:hAnsiTheme="minorHAnsi" w:cs="Arial"/>
                <w:b/>
                <w:sz w:val="19"/>
                <w:szCs w:val="19"/>
                <w:lang w:val="hr-HR"/>
              </w:rPr>
              <w:t>in</w:t>
            </w:r>
            <w:r w:rsidRPr="001567C8">
              <w:rPr>
                <w:rFonts w:asciiTheme="minorHAnsi" w:hAnsiTheme="minorHAnsi" w:cs="Arial"/>
                <w:b/>
                <w:sz w:val="19"/>
                <w:szCs w:val="19"/>
                <w:lang w:val="hr-HR"/>
              </w:rPr>
              <w:t>c</w:t>
            </w:r>
            <w:r>
              <w:rPr>
                <w:rFonts w:asciiTheme="minorHAnsi" w:hAnsiTheme="minorHAnsi" w:cs="Arial"/>
                <w:b/>
                <w:sz w:val="19"/>
                <w:szCs w:val="19"/>
                <w:lang w:val="hr-HR"/>
              </w:rPr>
              <w:t>a</w:t>
            </w:r>
            <w:r w:rsidRPr="001567C8">
              <w:rPr>
                <w:rFonts w:asciiTheme="minorHAnsi" w:hAnsiTheme="minorHAnsi" w:cs="Arial"/>
                <w:b/>
                <w:sz w:val="19"/>
                <w:szCs w:val="19"/>
                <w:lang w:val="hr-HR"/>
              </w:rPr>
              <w:t xml:space="preserve"> </w:t>
            </w:r>
            <w:r w:rsidR="00393B53" w:rsidRPr="001567C8">
              <w:rPr>
                <w:rFonts w:asciiTheme="minorHAnsi" w:hAnsiTheme="minorHAnsi" w:cs="Arial"/>
                <w:b/>
                <w:sz w:val="19"/>
                <w:szCs w:val="19"/>
                <w:lang w:val="hr-HR"/>
              </w:rPr>
              <w:t>201</w:t>
            </w:r>
            <w:r w:rsidR="00202833" w:rsidRPr="001567C8">
              <w:rPr>
                <w:rFonts w:asciiTheme="minorHAnsi" w:hAnsiTheme="minorHAnsi" w:cs="Arial"/>
                <w:b/>
                <w:sz w:val="19"/>
                <w:szCs w:val="19"/>
                <w:lang w:val="hr-HR"/>
              </w:rPr>
              <w:t>8</w:t>
            </w:r>
            <w:r w:rsidR="00393B53" w:rsidRPr="001567C8">
              <w:rPr>
                <w:rFonts w:asciiTheme="minorHAnsi" w:hAnsiTheme="minorHAnsi" w:cs="Arial"/>
                <w:b/>
                <w:sz w:val="19"/>
                <w:szCs w:val="19"/>
                <w:lang w:val="hr-HR"/>
              </w:rPr>
              <w:t>.</w:t>
            </w:r>
          </w:p>
        </w:tc>
        <w:tc>
          <w:tcPr>
            <w:tcW w:w="563" w:type="pct"/>
            <w:vAlign w:val="bottom"/>
          </w:tcPr>
          <w:p w:rsidR="00393B53" w:rsidRPr="001567C8" w:rsidRDefault="00AD2EF7"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31. pros</w:t>
            </w:r>
            <w:r>
              <w:rPr>
                <w:rFonts w:asciiTheme="minorHAnsi" w:hAnsiTheme="minorHAnsi" w:cs="Arial"/>
                <w:b/>
                <w:sz w:val="19"/>
                <w:szCs w:val="19"/>
                <w:lang w:val="hr-HR"/>
              </w:rPr>
              <w:t>in</w:t>
            </w:r>
            <w:r w:rsidRPr="001567C8">
              <w:rPr>
                <w:rFonts w:asciiTheme="minorHAnsi" w:hAnsiTheme="minorHAnsi" w:cs="Arial"/>
                <w:b/>
                <w:sz w:val="19"/>
                <w:szCs w:val="19"/>
                <w:lang w:val="hr-HR"/>
              </w:rPr>
              <w:t>c</w:t>
            </w:r>
            <w:r>
              <w:rPr>
                <w:rFonts w:asciiTheme="minorHAnsi" w:hAnsiTheme="minorHAnsi" w:cs="Arial"/>
                <w:b/>
                <w:sz w:val="19"/>
                <w:szCs w:val="19"/>
                <w:lang w:val="hr-HR"/>
              </w:rPr>
              <w:t>a</w:t>
            </w:r>
            <w:r w:rsidRPr="001567C8">
              <w:rPr>
                <w:rFonts w:asciiTheme="minorHAnsi" w:hAnsiTheme="minorHAnsi" w:cs="Arial"/>
                <w:b/>
                <w:sz w:val="19"/>
                <w:szCs w:val="19"/>
                <w:lang w:val="hr-HR"/>
              </w:rPr>
              <w:t xml:space="preserve"> </w:t>
            </w:r>
            <w:r w:rsidR="00393B53" w:rsidRPr="001567C8">
              <w:rPr>
                <w:rFonts w:asciiTheme="minorHAnsi" w:hAnsiTheme="minorHAnsi" w:cs="Arial"/>
                <w:b/>
                <w:sz w:val="19"/>
                <w:szCs w:val="19"/>
                <w:lang w:val="hr-HR"/>
              </w:rPr>
              <w:t>2017.</w:t>
            </w:r>
          </w:p>
        </w:tc>
        <w:tc>
          <w:tcPr>
            <w:tcW w:w="563" w:type="pct"/>
            <w:vAlign w:val="bottom"/>
          </w:tcPr>
          <w:p w:rsidR="00393B53" w:rsidRPr="001567C8" w:rsidRDefault="00AD2EF7" w:rsidP="00393B5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31. pros</w:t>
            </w:r>
            <w:r>
              <w:rPr>
                <w:rFonts w:asciiTheme="minorHAnsi" w:hAnsiTheme="minorHAnsi" w:cs="Arial"/>
                <w:b/>
                <w:sz w:val="19"/>
                <w:szCs w:val="19"/>
                <w:lang w:val="hr-HR"/>
              </w:rPr>
              <w:t>in</w:t>
            </w:r>
            <w:r w:rsidRPr="001567C8">
              <w:rPr>
                <w:rFonts w:asciiTheme="minorHAnsi" w:hAnsiTheme="minorHAnsi" w:cs="Arial"/>
                <w:b/>
                <w:sz w:val="19"/>
                <w:szCs w:val="19"/>
                <w:lang w:val="hr-HR"/>
              </w:rPr>
              <w:t>c</w:t>
            </w:r>
            <w:r>
              <w:rPr>
                <w:rFonts w:asciiTheme="minorHAnsi" w:hAnsiTheme="minorHAnsi" w:cs="Arial"/>
                <w:b/>
                <w:sz w:val="19"/>
                <w:szCs w:val="19"/>
                <w:lang w:val="hr-HR"/>
              </w:rPr>
              <w:t>a</w:t>
            </w:r>
            <w:r w:rsidRPr="001567C8">
              <w:rPr>
                <w:rFonts w:asciiTheme="minorHAnsi" w:hAnsiTheme="minorHAnsi" w:cs="Arial"/>
                <w:b/>
                <w:sz w:val="19"/>
                <w:szCs w:val="19"/>
                <w:lang w:val="hr-HR"/>
              </w:rPr>
              <w:t xml:space="preserve"> </w:t>
            </w:r>
            <w:r w:rsidR="00393B53" w:rsidRPr="001567C8">
              <w:rPr>
                <w:rFonts w:asciiTheme="minorHAnsi" w:hAnsiTheme="minorHAnsi" w:cs="Arial"/>
                <w:b/>
                <w:sz w:val="19"/>
                <w:szCs w:val="19"/>
                <w:lang w:val="hr-HR"/>
              </w:rPr>
              <w:t>2017.</w:t>
            </w:r>
          </w:p>
        </w:tc>
      </w:tr>
      <w:tr w:rsidR="007A2DA9" w:rsidRPr="001567C8" w:rsidTr="00DC6688">
        <w:trPr>
          <w:cantSplit/>
          <w:trHeight w:val="250"/>
          <w:tblHeader/>
        </w:trPr>
        <w:tc>
          <w:tcPr>
            <w:tcW w:w="2749" w:type="pct"/>
          </w:tcPr>
          <w:p w:rsidR="007A2DA9" w:rsidRPr="001567C8" w:rsidRDefault="007A2DA9" w:rsidP="007A2DA9">
            <w:pPr>
              <w:ind w:left="113" w:hanging="113"/>
              <w:rPr>
                <w:rFonts w:asciiTheme="minorHAnsi" w:hAnsiTheme="minorHAnsi" w:cs="Arial"/>
                <w:sz w:val="19"/>
                <w:szCs w:val="19"/>
                <w:lang w:val="hr-HR"/>
              </w:rPr>
            </w:pPr>
          </w:p>
        </w:tc>
        <w:tc>
          <w:tcPr>
            <w:tcW w:w="562" w:type="pct"/>
            <w:vAlign w:val="bottom"/>
          </w:tcPr>
          <w:p w:rsidR="007A2DA9" w:rsidRPr="001567C8" w:rsidRDefault="007A2DA9" w:rsidP="007A2DA9">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c>
          <w:tcPr>
            <w:tcW w:w="563" w:type="pct"/>
            <w:vAlign w:val="bottom"/>
          </w:tcPr>
          <w:p w:rsidR="007A2DA9" w:rsidRPr="001567C8" w:rsidRDefault="007A2DA9" w:rsidP="007A2DA9">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c>
          <w:tcPr>
            <w:tcW w:w="563" w:type="pct"/>
            <w:vAlign w:val="bottom"/>
          </w:tcPr>
          <w:p w:rsidR="007A2DA9" w:rsidRPr="001567C8" w:rsidRDefault="007A2DA9" w:rsidP="007A2DA9">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c>
          <w:tcPr>
            <w:tcW w:w="563" w:type="pct"/>
            <w:vAlign w:val="bottom"/>
          </w:tcPr>
          <w:p w:rsidR="007A2DA9" w:rsidRPr="001567C8" w:rsidRDefault="007A2DA9" w:rsidP="007A2DA9">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000 kuna</w:t>
            </w:r>
          </w:p>
        </w:tc>
      </w:tr>
      <w:tr w:rsidR="007A2DA9" w:rsidRPr="001567C8" w:rsidTr="00DC6688">
        <w:trPr>
          <w:cantSplit/>
          <w:trHeight w:val="56"/>
          <w:tblHeader/>
        </w:trPr>
        <w:tc>
          <w:tcPr>
            <w:tcW w:w="2749" w:type="pct"/>
            <w:vAlign w:val="bottom"/>
          </w:tcPr>
          <w:p w:rsidR="007A2DA9" w:rsidRPr="001567C8" w:rsidRDefault="007A2DA9" w:rsidP="007A2DA9">
            <w:pPr>
              <w:ind w:left="113" w:hanging="113"/>
              <w:jc w:val="right"/>
              <w:rPr>
                <w:rFonts w:asciiTheme="minorHAnsi" w:hAnsiTheme="minorHAnsi" w:cs="Arial"/>
                <w:sz w:val="19"/>
                <w:szCs w:val="19"/>
                <w:lang w:val="hr-HR"/>
              </w:rPr>
            </w:pPr>
          </w:p>
        </w:tc>
        <w:tc>
          <w:tcPr>
            <w:tcW w:w="562" w:type="pct"/>
          </w:tcPr>
          <w:p w:rsidR="007A2DA9" w:rsidRPr="001567C8" w:rsidRDefault="007A2DA9" w:rsidP="007A2DA9">
            <w:pPr>
              <w:tabs>
                <w:tab w:val="right" w:pos="1202"/>
              </w:tabs>
              <w:jc w:val="right"/>
              <w:outlineLvl w:val="0"/>
              <w:rPr>
                <w:rFonts w:asciiTheme="minorHAnsi" w:hAnsiTheme="minorHAnsi" w:cs="Arial"/>
                <w:b/>
                <w:sz w:val="19"/>
                <w:szCs w:val="19"/>
                <w:lang w:val="hr-HR"/>
              </w:rPr>
            </w:pPr>
          </w:p>
        </w:tc>
        <w:tc>
          <w:tcPr>
            <w:tcW w:w="563" w:type="pct"/>
          </w:tcPr>
          <w:p w:rsidR="007A2DA9" w:rsidRPr="001567C8" w:rsidRDefault="007A2DA9" w:rsidP="007A2DA9">
            <w:pPr>
              <w:tabs>
                <w:tab w:val="right" w:pos="1202"/>
              </w:tabs>
              <w:jc w:val="right"/>
              <w:outlineLvl w:val="0"/>
              <w:rPr>
                <w:rFonts w:asciiTheme="minorHAnsi" w:hAnsiTheme="minorHAnsi" w:cs="Arial"/>
                <w:b/>
                <w:sz w:val="19"/>
                <w:szCs w:val="19"/>
                <w:lang w:val="hr-HR"/>
              </w:rPr>
            </w:pPr>
          </w:p>
        </w:tc>
        <w:tc>
          <w:tcPr>
            <w:tcW w:w="563" w:type="pct"/>
          </w:tcPr>
          <w:p w:rsidR="007A2DA9" w:rsidRPr="001567C8" w:rsidRDefault="007A2DA9" w:rsidP="007A2DA9">
            <w:pPr>
              <w:tabs>
                <w:tab w:val="right" w:pos="1202"/>
              </w:tabs>
              <w:jc w:val="right"/>
              <w:outlineLvl w:val="0"/>
              <w:rPr>
                <w:rFonts w:asciiTheme="minorHAnsi" w:hAnsiTheme="minorHAnsi" w:cs="Arial"/>
                <w:b/>
                <w:sz w:val="19"/>
                <w:szCs w:val="19"/>
                <w:lang w:val="hr-HR"/>
              </w:rPr>
            </w:pPr>
          </w:p>
        </w:tc>
        <w:tc>
          <w:tcPr>
            <w:tcW w:w="563" w:type="pct"/>
          </w:tcPr>
          <w:p w:rsidR="007A2DA9" w:rsidRPr="001567C8" w:rsidRDefault="007A2DA9" w:rsidP="007A2DA9">
            <w:pPr>
              <w:tabs>
                <w:tab w:val="right" w:pos="1202"/>
              </w:tabs>
              <w:jc w:val="right"/>
              <w:outlineLvl w:val="0"/>
              <w:rPr>
                <w:rFonts w:asciiTheme="minorHAnsi" w:hAnsiTheme="minorHAnsi" w:cs="Arial"/>
                <w:b/>
                <w:sz w:val="19"/>
                <w:szCs w:val="19"/>
                <w:lang w:val="hr-HR"/>
              </w:rPr>
            </w:pP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Financijske djelatnosti i djelatnosti osiguranja</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13.037.974</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1567C8">
              <w:rPr>
                <w:rFonts w:asciiTheme="minorHAnsi" w:hAnsiTheme="minorHAnsi" w:cstheme="minorHAnsi"/>
                <w:sz w:val="19"/>
                <w:szCs w:val="19"/>
                <w:lang w:val="hr-HR"/>
              </w:rPr>
              <w:t>-</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13.991.248</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w:t>
            </w: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Vodoopskrba, opskrba električnom energijom i ostala infrastruktura</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1.381.948</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1.029.981</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1.260.064</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931.740</w:t>
            </w: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Turizam</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3.113.457</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77.346</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3.550.174</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268.536</w:t>
            </w: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Prijevoz, skladištenje i veze</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1.955.578</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695.034</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1.979.350</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857.758</w:t>
            </w: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Brodogradnja</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2.995.154</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382.101</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2.994.248</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416.604</w:t>
            </w:r>
          </w:p>
        </w:tc>
      </w:tr>
      <w:tr w:rsidR="00C3696D" w:rsidRPr="001567C8" w:rsidTr="00A41157">
        <w:trPr>
          <w:cantSplit/>
          <w:trHeight w:val="250"/>
          <w:tblHeader/>
        </w:trPr>
        <w:tc>
          <w:tcPr>
            <w:tcW w:w="2749" w:type="pct"/>
            <w:vAlign w:val="bottom"/>
          </w:tcPr>
          <w:p w:rsidR="00C3696D" w:rsidRPr="001567C8" w:rsidDel="00FF5490" w:rsidRDefault="00C3696D" w:rsidP="00A41157">
            <w:pPr>
              <w:spacing w:line="288" w:lineRule="auto"/>
              <w:rPr>
                <w:rFonts w:asciiTheme="minorHAnsi" w:hAnsiTheme="minorHAnsi" w:cs="Arial"/>
                <w:sz w:val="19"/>
                <w:szCs w:val="19"/>
                <w:lang w:val="hr-HR"/>
              </w:rPr>
            </w:pPr>
            <w:r w:rsidRPr="001567C8">
              <w:rPr>
                <w:rFonts w:asciiTheme="minorHAnsi" w:hAnsiTheme="minorHAnsi" w:cs="Arial"/>
                <w:bCs/>
                <w:sz w:val="19"/>
                <w:szCs w:val="19"/>
                <w:lang w:val="hr-HR"/>
              </w:rPr>
              <w:t>Poljoprivreda i ribarstvo</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517.983</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129.394</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455.716</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68.992</w:t>
            </w:r>
          </w:p>
        </w:tc>
      </w:tr>
      <w:tr w:rsidR="00C3696D" w:rsidRPr="001567C8" w:rsidTr="00A41157">
        <w:trPr>
          <w:cantSplit/>
          <w:trHeight w:val="250"/>
          <w:tblHeader/>
        </w:trPr>
        <w:tc>
          <w:tcPr>
            <w:tcW w:w="2749" w:type="pct"/>
            <w:vAlign w:val="bottom"/>
          </w:tcPr>
          <w:p w:rsidR="00C3696D" w:rsidRPr="001567C8" w:rsidDel="00FF5490" w:rsidRDefault="00C3696D" w:rsidP="00A41157">
            <w:pPr>
              <w:spacing w:line="288" w:lineRule="auto"/>
              <w:rPr>
                <w:rFonts w:asciiTheme="minorHAnsi" w:hAnsiTheme="minorHAnsi" w:cs="Arial"/>
                <w:sz w:val="19"/>
                <w:szCs w:val="19"/>
                <w:lang w:val="hr-HR"/>
              </w:rPr>
            </w:pPr>
            <w:r w:rsidRPr="001567C8">
              <w:rPr>
                <w:rFonts w:asciiTheme="minorHAnsi" w:hAnsiTheme="minorHAnsi" w:cs="Arial"/>
                <w:bCs/>
                <w:sz w:val="19"/>
                <w:szCs w:val="19"/>
                <w:lang w:val="hr-HR"/>
              </w:rPr>
              <w:t>Proizvodnja prehrambenih proizvoda</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824.235</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117.622</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952.014</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143.121</w:t>
            </w:r>
          </w:p>
        </w:tc>
      </w:tr>
      <w:tr w:rsidR="00C3696D" w:rsidRPr="001567C8" w:rsidTr="00A41157">
        <w:trPr>
          <w:cantSplit/>
          <w:trHeight w:val="250"/>
          <w:tblHeader/>
        </w:trPr>
        <w:tc>
          <w:tcPr>
            <w:tcW w:w="2749" w:type="pct"/>
            <w:vAlign w:val="bottom"/>
          </w:tcPr>
          <w:p w:rsidR="00C3696D" w:rsidRPr="001567C8" w:rsidDel="00FF5490" w:rsidRDefault="00C3696D" w:rsidP="00A41157">
            <w:pPr>
              <w:spacing w:line="288" w:lineRule="auto"/>
              <w:rPr>
                <w:rFonts w:asciiTheme="minorHAnsi" w:hAnsiTheme="minorHAnsi" w:cs="Arial"/>
                <w:sz w:val="19"/>
                <w:szCs w:val="19"/>
                <w:lang w:val="hr-HR"/>
              </w:rPr>
            </w:pPr>
            <w:r w:rsidRPr="001567C8">
              <w:rPr>
                <w:rFonts w:asciiTheme="minorHAnsi" w:hAnsiTheme="minorHAnsi" w:cs="Arial"/>
                <w:sz w:val="19"/>
                <w:szCs w:val="19"/>
                <w:lang w:val="hr-HR"/>
              </w:rPr>
              <w:t>Građevinarstvo</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1.011.185</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66.009</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1.225.516</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52.841</w:t>
            </w:r>
          </w:p>
        </w:tc>
      </w:tr>
      <w:tr w:rsidR="00C3696D" w:rsidRPr="001567C8" w:rsidTr="00A41157">
        <w:trPr>
          <w:cantSplit/>
          <w:trHeight w:val="250"/>
          <w:tblHeader/>
        </w:trPr>
        <w:tc>
          <w:tcPr>
            <w:tcW w:w="2749" w:type="pct"/>
            <w:vAlign w:val="bottom"/>
          </w:tcPr>
          <w:p w:rsidR="00C3696D" w:rsidRPr="001567C8" w:rsidDel="00FF5490" w:rsidRDefault="00C3696D" w:rsidP="00A41157">
            <w:pPr>
              <w:spacing w:line="288" w:lineRule="auto"/>
              <w:rPr>
                <w:rFonts w:asciiTheme="minorHAnsi" w:hAnsiTheme="minorHAnsi" w:cs="Arial"/>
                <w:sz w:val="19"/>
                <w:szCs w:val="19"/>
                <w:lang w:val="hr-HR"/>
              </w:rPr>
            </w:pPr>
            <w:r w:rsidRPr="001567C8">
              <w:rPr>
                <w:rFonts w:asciiTheme="minorHAnsi" w:hAnsiTheme="minorHAnsi" w:cs="Arial"/>
                <w:sz w:val="19"/>
                <w:szCs w:val="19"/>
                <w:lang w:val="hr-HR"/>
              </w:rPr>
              <w:t>Ostala industrija</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460.568</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131.022</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493.034</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149.251</w:t>
            </w:r>
          </w:p>
        </w:tc>
      </w:tr>
      <w:tr w:rsidR="00C3696D" w:rsidRPr="001567C8" w:rsidTr="00A41157">
        <w:trPr>
          <w:cantSplit/>
          <w:trHeight w:val="250"/>
          <w:tblHeader/>
        </w:trPr>
        <w:tc>
          <w:tcPr>
            <w:tcW w:w="2749" w:type="pct"/>
            <w:vAlign w:val="bottom"/>
          </w:tcPr>
          <w:p w:rsidR="00C3696D" w:rsidRPr="001567C8" w:rsidDel="00FF5490" w:rsidRDefault="00C3696D" w:rsidP="00A41157">
            <w:pPr>
              <w:spacing w:line="288" w:lineRule="auto"/>
              <w:rPr>
                <w:rFonts w:asciiTheme="minorHAnsi" w:hAnsiTheme="minorHAnsi" w:cs="Arial"/>
                <w:sz w:val="19"/>
                <w:szCs w:val="19"/>
                <w:lang w:val="hr-HR"/>
              </w:rPr>
            </w:pPr>
            <w:r w:rsidRPr="001567C8">
              <w:rPr>
                <w:rFonts w:asciiTheme="minorHAnsi" w:hAnsiTheme="minorHAnsi" w:cs="Arial"/>
                <w:bCs/>
                <w:sz w:val="19"/>
                <w:szCs w:val="19"/>
                <w:lang w:val="hr-HR"/>
              </w:rPr>
              <w:t>Javna uprava</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3.788.365</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3.788.365</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2.473.206</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2.473.206</w:t>
            </w:r>
          </w:p>
        </w:tc>
      </w:tr>
      <w:tr w:rsidR="00C3696D" w:rsidRPr="001567C8" w:rsidTr="00A41157">
        <w:trPr>
          <w:cantSplit/>
          <w:trHeight w:val="250"/>
          <w:tblHeader/>
        </w:trPr>
        <w:tc>
          <w:tcPr>
            <w:tcW w:w="2749" w:type="pct"/>
            <w:vAlign w:val="bottom"/>
          </w:tcPr>
          <w:p w:rsidR="00C3696D" w:rsidRPr="001567C8" w:rsidDel="00FF5490" w:rsidRDefault="00C3696D" w:rsidP="00A41157">
            <w:pPr>
              <w:spacing w:line="288" w:lineRule="auto"/>
              <w:rPr>
                <w:rFonts w:asciiTheme="minorHAnsi" w:hAnsiTheme="minorHAnsi" w:cs="Arial"/>
                <w:sz w:val="19"/>
                <w:szCs w:val="19"/>
                <w:lang w:val="hr-HR"/>
              </w:rPr>
            </w:pPr>
            <w:r w:rsidRPr="001567C8">
              <w:rPr>
                <w:rFonts w:asciiTheme="minorHAnsi" w:hAnsiTheme="minorHAnsi" w:cs="Arial"/>
                <w:bCs/>
                <w:sz w:val="19"/>
                <w:szCs w:val="19"/>
                <w:lang w:val="hr-HR"/>
              </w:rPr>
              <w:t>Obrazovanje</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43.562</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39.163</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47.201</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42.085</w:t>
            </w: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sz w:val="19"/>
                <w:szCs w:val="19"/>
                <w:lang w:val="hr-HR"/>
              </w:rPr>
            </w:pPr>
            <w:r w:rsidRPr="001567C8">
              <w:rPr>
                <w:rFonts w:asciiTheme="minorHAnsi" w:hAnsiTheme="minorHAnsi" w:cs="Arial"/>
                <w:bCs/>
                <w:sz w:val="19"/>
                <w:szCs w:val="19"/>
                <w:lang w:val="hr-HR"/>
              </w:rPr>
              <w:t xml:space="preserve">Proizvodnja metala i gotovih metalnih proizvoda, osim strojeva i opreme </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219.087</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19.227</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321.123</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55.470</w:t>
            </w: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Proizvodnja kemikalija i kemijskih proizvoda</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74.185</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54.370</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403.043</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89.662</w:t>
            </w: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sz w:val="19"/>
                <w:szCs w:val="19"/>
                <w:lang w:val="hr-HR"/>
              </w:rPr>
            </w:pPr>
            <w:r w:rsidRPr="001567C8">
              <w:rPr>
                <w:rFonts w:asciiTheme="minorHAnsi" w:hAnsiTheme="minorHAnsi" w:cs="Arial"/>
                <w:bCs/>
                <w:sz w:val="19"/>
                <w:szCs w:val="19"/>
                <w:lang w:val="hr-HR"/>
              </w:rPr>
              <w:t xml:space="preserve">Proizvodnja ostalih nemetalnih mineralnih proizvoda </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207.541</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65.207</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261.053</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55.823</w:t>
            </w: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Proizvodnja farmaceutskih pripravaka</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461.803</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911</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544.777</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891</w:t>
            </w:r>
          </w:p>
        </w:tc>
      </w:tr>
      <w:tr w:rsidR="00C3696D" w:rsidRPr="001567C8" w:rsidTr="00A41157">
        <w:trPr>
          <w:cantSplit/>
          <w:trHeight w:val="250"/>
          <w:tblHeader/>
        </w:trPr>
        <w:tc>
          <w:tcPr>
            <w:tcW w:w="2749" w:type="pct"/>
            <w:vAlign w:val="bottom"/>
          </w:tcPr>
          <w:p w:rsidR="00C3696D" w:rsidRPr="001567C8" w:rsidRDefault="00C3696D"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Ostalo</w:t>
            </w:r>
          </w:p>
        </w:tc>
        <w:tc>
          <w:tcPr>
            <w:tcW w:w="562"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1.826.377</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312.829</w:t>
            </w:r>
          </w:p>
        </w:tc>
        <w:tc>
          <w:tcPr>
            <w:tcW w:w="563" w:type="pct"/>
            <w:tcBorders>
              <w:top w:val="nil"/>
              <w:left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1.672.316</w:t>
            </w:r>
          </w:p>
        </w:tc>
        <w:tc>
          <w:tcPr>
            <w:tcW w:w="563" w:type="pct"/>
            <w:tcBorders>
              <w:top w:val="nil"/>
              <w:left w:val="nil"/>
              <w:bottom w:val="nil"/>
              <w:right w:val="nil"/>
            </w:tcBorders>
            <w:shd w:val="clear" w:color="auto" w:fill="auto"/>
            <w:vAlign w:val="bottom"/>
          </w:tcPr>
          <w:p w:rsidR="00C3696D" w:rsidRPr="001567C8" w:rsidRDefault="00C3696D" w:rsidP="00C3696D">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476.548</w:t>
            </w:r>
          </w:p>
        </w:tc>
      </w:tr>
      <w:tr w:rsidR="00393B53" w:rsidRPr="001567C8" w:rsidTr="00A41157">
        <w:tblPrEx>
          <w:tblCellMar>
            <w:left w:w="31" w:type="dxa"/>
            <w:right w:w="31" w:type="dxa"/>
          </w:tblCellMar>
        </w:tblPrEx>
        <w:trPr>
          <w:cantSplit/>
          <w:trHeight w:val="70"/>
          <w:tblHeader/>
        </w:trPr>
        <w:tc>
          <w:tcPr>
            <w:tcW w:w="2749" w:type="pct"/>
            <w:vAlign w:val="bottom"/>
          </w:tcPr>
          <w:p w:rsidR="00393B53" w:rsidRPr="001567C8" w:rsidRDefault="00393B53" w:rsidP="00A41157">
            <w:pPr>
              <w:keepNext/>
              <w:keepLines/>
              <w:tabs>
                <w:tab w:val="decimal" w:pos="1202"/>
              </w:tabs>
              <w:spacing w:line="140" w:lineRule="exact"/>
              <w:rPr>
                <w:rFonts w:asciiTheme="minorHAnsi" w:hAnsiTheme="minorHAnsi" w:cs="Arial"/>
                <w:b/>
                <w:bCs/>
                <w:position w:val="4"/>
                <w:sz w:val="19"/>
                <w:szCs w:val="19"/>
                <w:lang w:val="hr-HR"/>
              </w:rPr>
            </w:pPr>
          </w:p>
        </w:tc>
        <w:tc>
          <w:tcPr>
            <w:tcW w:w="562" w:type="pct"/>
            <w:tcBorders>
              <w:bottom w:val="single" w:sz="8" w:space="0" w:color="auto"/>
            </w:tcBorders>
            <w:shd w:val="clear" w:color="auto" w:fill="auto"/>
            <w:vAlign w:val="bottom"/>
          </w:tcPr>
          <w:p w:rsidR="00393B53" w:rsidRPr="001567C8" w:rsidRDefault="00393B53" w:rsidP="00C3696D">
            <w:pPr>
              <w:keepNext/>
              <w:keepLines/>
              <w:tabs>
                <w:tab w:val="decimal" w:pos="1202"/>
              </w:tabs>
              <w:spacing w:line="140" w:lineRule="exact"/>
              <w:jc w:val="right"/>
              <w:rPr>
                <w:rFonts w:asciiTheme="minorHAnsi" w:hAnsiTheme="minorHAnsi" w:cstheme="minorHAnsi"/>
                <w:b/>
                <w:bCs/>
                <w:position w:val="4"/>
                <w:sz w:val="19"/>
                <w:szCs w:val="19"/>
                <w:lang w:val="hr-HR"/>
              </w:rPr>
            </w:pPr>
          </w:p>
        </w:tc>
        <w:tc>
          <w:tcPr>
            <w:tcW w:w="563" w:type="pct"/>
            <w:tcBorders>
              <w:bottom w:val="single" w:sz="8" w:space="0" w:color="auto"/>
            </w:tcBorders>
            <w:shd w:val="clear" w:color="auto" w:fill="auto"/>
            <w:vAlign w:val="bottom"/>
          </w:tcPr>
          <w:p w:rsidR="00393B53" w:rsidRPr="001567C8" w:rsidRDefault="00393B53" w:rsidP="00C3696D">
            <w:pPr>
              <w:keepNext/>
              <w:keepLines/>
              <w:tabs>
                <w:tab w:val="decimal" w:pos="1202"/>
              </w:tabs>
              <w:spacing w:line="140" w:lineRule="exact"/>
              <w:jc w:val="right"/>
              <w:rPr>
                <w:rFonts w:asciiTheme="minorHAnsi" w:hAnsiTheme="minorHAnsi" w:cstheme="minorHAnsi"/>
                <w:b/>
                <w:bCs/>
                <w:position w:val="4"/>
                <w:sz w:val="19"/>
                <w:szCs w:val="19"/>
                <w:lang w:val="hr-HR"/>
              </w:rPr>
            </w:pPr>
          </w:p>
        </w:tc>
        <w:tc>
          <w:tcPr>
            <w:tcW w:w="563" w:type="pct"/>
            <w:tcBorders>
              <w:bottom w:val="single" w:sz="8" w:space="0" w:color="auto"/>
            </w:tcBorders>
            <w:shd w:val="clear" w:color="auto" w:fill="auto"/>
            <w:vAlign w:val="bottom"/>
          </w:tcPr>
          <w:p w:rsidR="00393B53" w:rsidRPr="001567C8" w:rsidRDefault="00393B53" w:rsidP="00393B53">
            <w:pPr>
              <w:keepNext/>
              <w:keepLines/>
              <w:tabs>
                <w:tab w:val="decimal" w:pos="1202"/>
              </w:tabs>
              <w:spacing w:line="140" w:lineRule="exact"/>
              <w:jc w:val="right"/>
              <w:rPr>
                <w:rFonts w:asciiTheme="minorHAnsi" w:hAnsiTheme="minorHAnsi" w:cs="Arial"/>
                <w:b/>
                <w:bCs/>
                <w:position w:val="4"/>
                <w:sz w:val="19"/>
                <w:szCs w:val="19"/>
                <w:lang w:val="hr-HR"/>
              </w:rPr>
            </w:pPr>
          </w:p>
        </w:tc>
        <w:tc>
          <w:tcPr>
            <w:tcW w:w="563" w:type="pct"/>
            <w:tcBorders>
              <w:bottom w:val="single" w:sz="8" w:space="0" w:color="auto"/>
            </w:tcBorders>
            <w:shd w:val="clear" w:color="auto" w:fill="auto"/>
            <w:vAlign w:val="bottom"/>
          </w:tcPr>
          <w:p w:rsidR="00393B53" w:rsidRPr="001567C8" w:rsidRDefault="00393B53" w:rsidP="00393B53">
            <w:pPr>
              <w:keepNext/>
              <w:keepLines/>
              <w:tabs>
                <w:tab w:val="decimal" w:pos="1202"/>
              </w:tabs>
              <w:spacing w:line="140" w:lineRule="exact"/>
              <w:jc w:val="right"/>
              <w:rPr>
                <w:rFonts w:asciiTheme="minorHAnsi" w:hAnsiTheme="minorHAnsi" w:cs="Arial"/>
                <w:b/>
                <w:bCs/>
                <w:position w:val="4"/>
                <w:sz w:val="19"/>
                <w:szCs w:val="19"/>
                <w:lang w:val="hr-HR"/>
              </w:rPr>
            </w:pPr>
          </w:p>
        </w:tc>
      </w:tr>
      <w:tr w:rsidR="00393B53" w:rsidRPr="001567C8" w:rsidTr="00A41157">
        <w:tblPrEx>
          <w:tblCellMar>
            <w:left w:w="31" w:type="dxa"/>
            <w:right w:w="31" w:type="dxa"/>
          </w:tblCellMar>
        </w:tblPrEx>
        <w:trPr>
          <w:cantSplit/>
          <w:trHeight w:hRule="exact" w:val="113"/>
          <w:tblHeader/>
        </w:trPr>
        <w:tc>
          <w:tcPr>
            <w:tcW w:w="2749" w:type="pct"/>
            <w:vAlign w:val="bottom"/>
          </w:tcPr>
          <w:p w:rsidR="00393B53" w:rsidRPr="001567C8" w:rsidRDefault="00393B53" w:rsidP="00A41157">
            <w:pPr>
              <w:rPr>
                <w:rFonts w:asciiTheme="minorHAnsi" w:hAnsiTheme="minorHAnsi" w:cs="Arial"/>
                <w:b/>
                <w:bCs/>
                <w:sz w:val="19"/>
                <w:szCs w:val="19"/>
                <w:lang w:val="hr-HR"/>
              </w:rPr>
            </w:pPr>
          </w:p>
        </w:tc>
        <w:tc>
          <w:tcPr>
            <w:tcW w:w="562" w:type="pct"/>
            <w:tcBorders>
              <w:top w:val="single" w:sz="8" w:space="0" w:color="auto"/>
            </w:tcBorders>
            <w:shd w:val="clear" w:color="auto" w:fill="auto"/>
            <w:vAlign w:val="bottom"/>
          </w:tcPr>
          <w:p w:rsidR="00393B53" w:rsidRPr="001567C8" w:rsidRDefault="00393B53" w:rsidP="00C3696D">
            <w:pPr>
              <w:tabs>
                <w:tab w:val="right" w:pos="1202"/>
              </w:tabs>
              <w:jc w:val="right"/>
              <w:outlineLvl w:val="0"/>
              <w:rPr>
                <w:rFonts w:asciiTheme="minorHAnsi" w:hAnsiTheme="minorHAnsi" w:cstheme="minorHAnsi"/>
                <w:noProof/>
                <w:sz w:val="19"/>
                <w:szCs w:val="19"/>
                <w:lang w:val="hr-HR" w:eastAsia="hr-HR"/>
              </w:rPr>
            </w:pPr>
          </w:p>
        </w:tc>
        <w:tc>
          <w:tcPr>
            <w:tcW w:w="563" w:type="pct"/>
            <w:tcBorders>
              <w:top w:val="single" w:sz="8" w:space="0" w:color="auto"/>
            </w:tcBorders>
            <w:shd w:val="clear" w:color="auto" w:fill="auto"/>
            <w:vAlign w:val="bottom"/>
          </w:tcPr>
          <w:p w:rsidR="00393B53" w:rsidRPr="001567C8" w:rsidRDefault="00393B53" w:rsidP="00C3696D">
            <w:pPr>
              <w:tabs>
                <w:tab w:val="right" w:pos="1202"/>
              </w:tabs>
              <w:jc w:val="right"/>
              <w:outlineLvl w:val="0"/>
              <w:rPr>
                <w:rFonts w:asciiTheme="minorHAnsi" w:hAnsiTheme="minorHAnsi" w:cstheme="minorHAnsi"/>
                <w:noProof/>
                <w:sz w:val="19"/>
                <w:szCs w:val="19"/>
                <w:lang w:val="hr-HR" w:eastAsia="hr-HR"/>
              </w:rPr>
            </w:pPr>
          </w:p>
        </w:tc>
        <w:tc>
          <w:tcPr>
            <w:tcW w:w="563" w:type="pct"/>
            <w:tcBorders>
              <w:top w:val="single" w:sz="8" w:space="0" w:color="auto"/>
            </w:tcBorders>
            <w:shd w:val="clear" w:color="auto" w:fill="auto"/>
            <w:vAlign w:val="bottom"/>
          </w:tcPr>
          <w:p w:rsidR="00393B53" w:rsidRPr="001567C8" w:rsidRDefault="00393B53" w:rsidP="00393B53">
            <w:pPr>
              <w:tabs>
                <w:tab w:val="right" w:pos="1202"/>
              </w:tabs>
              <w:jc w:val="right"/>
              <w:outlineLvl w:val="0"/>
              <w:rPr>
                <w:rFonts w:asciiTheme="minorHAnsi" w:hAnsiTheme="minorHAnsi" w:cs="Arial"/>
                <w:noProof/>
                <w:sz w:val="19"/>
                <w:szCs w:val="19"/>
                <w:lang w:val="hr-HR" w:eastAsia="hr-HR"/>
              </w:rPr>
            </w:pPr>
          </w:p>
        </w:tc>
        <w:tc>
          <w:tcPr>
            <w:tcW w:w="563" w:type="pct"/>
            <w:tcBorders>
              <w:top w:val="single" w:sz="8" w:space="0" w:color="auto"/>
            </w:tcBorders>
            <w:shd w:val="clear" w:color="auto" w:fill="auto"/>
            <w:vAlign w:val="bottom"/>
          </w:tcPr>
          <w:p w:rsidR="00393B53" w:rsidRPr="001567C8" w:rsidRDefault="00393B53" w:rsidP="00393B53">
            <w:pPr>
              <w:tabs>
                <w:tab w:val="right" w:pos="1202"/>
              </w:tabs>
              <w:jc w:val="right"/>
              <w:outlineLvl w:val="0"/>
              <w:rPr>
                <w:rFonts w:asciiTheme="minorHAnsi" w:hAnsiTheme="minorHAnsi" w:cs="Arial"/>
                <w:noProof/>
                <w:sz w:val="19"/>
                <w:szCs w:val="19"/>
                <w:lang w:val="hr-HR" w:eastAsia="hr-HR"/>
              </w:rPr>
            </w:pPr>
          </w:p>
        </w:tc>
      </w:tr>
      <w:tr w:rsidR="00C3696D" w:rsidRPr="001567C8" w:rsidTr="00A41157">
        <w:tblPrEx>
          <w:tblCellMar>
            <w:left w:w="31" w:type="dxa"/>
            <w:right w:w="31" w:type="dxa"/>
          </w:tblCellMar>
        </w:tblPrEx>
        <w:trPr>
          <w:cantSplit/>
          <w:trHeight w:val="316"/>
          <w:tblHeader/>
        </w:trPr>
        <w:tc>
          <w:tcPr>
            <w:tcW w:w="2749" w:type="pct"/>
            <w:vAlign w:val="bottom"/>
          </w:tcPr>
          <w:p w:rsidR="00C3696D" w:rsidRPr="001567C8" w:rsidRDefault="00C3696D" w:rsidP="00A41157">
            <w:pPr>
              <w:rPr>
                <w:rFonts w:asciiTheme="minorHAnsi" w:hAnsiTheme="minorHAnsi" w:cs="Arial"/>
                <w:b/>
                <w:bCs/>
                <w:sz w:val="19"/>
                <w:szCs w:val="19"/>
                <w:lang w:val="hr-HR"/>
              </w:rPr>
            </w:pPr>
            <w:r w:rsidRPr="001567C8">
              <w:rPr>
                <w:rFonts w:asciiTheme="minorHAnsi" w:hAnsiTheme="minorHAnsi" w:cs="Arial"/>
                <w:b/>
                <w:bCs/>
                <w:sz w:val="19"/>
                <w:szCs w:val="19"/>
                <w:lang w:val="hr-HR"/>
              </w:rPr>
              <w:t>Ukupna izloženost kreditnom riziku</w:t>
            </w:r>
          </w:p>
        </w:tc>
        <w:tc>
          <w:tcPr>
            <w:tcW w:w="562" w:type="pct"/>
            <w:tcBorders>
              <w:left w:val="nil"/>
              <w:bottom w:val="single" w:sz="12" w:space="0" w:color="auto"/>
              <w:right w:val="nil"/>
            </w:tcBorders>
            <w:shd w:val="clear" w:color="auto" w:fill="auto"/>
            <w:vAlign w:val="center"/>
          </w:tcPr>
          <w:p w:rsidR="00C3696D" w:rsidRPr="001567C8" w:rsidRDefault="00C3696D" w:rsidP="00C3696D">
            <w:pPr>
              <w:tabs>
                <w:tab w:val="right" w:pos="1202"/>
              </w:tabs>
              <w:jc w:val="right"/>
              <w:outlineLvl w:val="0"/>
              <w:rPr>
                <w:rFonts w:asciiTheme="minorHAnsi" w:hAnsiTheme="minorHAnsi" w:cstheme="minorHAnsi"/>
                <w:b/>
                <w:noProof/>
                <w:sz w:val="19"/>
                <w:szCs w:val="19"/>
                <w:lang w:val="hr-HR" w:eastAsia="hr-HR"/>
              </w:rPr>
            </w:pPr>
            <w:r w:rsidRPr="00CD3A2D">
              <w:rPr>
                <w:rFonts w:asciiTheme="minorHAnsi" w:hAnsiTheme="minorHAnsi" w:cstheme="minorHAnsi"/>
                <w:b/>
                <w:sz w:val="19"/>
                <w:szCs w:val="19"/>
                <w:lang w:val="hr-HR"/>
              </w:rPr>
              <w:t>31.919.002</w:t>
            </w:r>
          </w:p>
        </w:tc>
        <w:tc>
          <w:tcPr>
            <w:tcW w:w="563" w:type="pct"/>
            <w:tcBorders>
              <w:left w:val="nil"/>
              <w:bottom w:val="single" w:sz="12" w:space="0" w:color="auto"/>
              <w:right w:val="nil"/>
            </w:tcBorders>
            <w:shd w:val="clear" w:color="auto" w:fill="auto"/>
            <w:vAlign w:val="center"/>
          </w:tcPr>
          <w:p w:rsidR="00C3696D" w:rsidRPr="001567C8" w:rsidRDefault="00C3696D" w:rsidP="00C3696D">
            <w:pPr>
              <w:tabs>
                <w:tab w:val="right" w:pos="1202"/>
              </w:tabs>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6.908.581</w:t>
            </w:r>
          </w:p>
        </w:tc>
        <w:tc>
          <w:tcPr>
            <w:tcW w:w="563" w:type="pct"/>
            <w:tcBorders>
              <w:top w:val="nil"/>
              <w:left w:val="nil"/>
              <w:bottom w:val="nil"/>
              <w:right w:val="nil"/>
            </w:tcBorders>
            <w:shd w:val="clear" w:color="auto" w:fill="auto"/>
            <w:vAlign w:val="center"/>
          </w:tcPr>
          <w:p w:rsidR="00C3696D" w:rsidRPr="001567C8" w:rsidRDefault="00C3696D" w:rsidP="00C3696D">
            <w:pPr>
              <w:tabs>
                <w:tab w:val="right" w:pos="1202"/>
              </w:tabs>
              <w:jc w:val="right"/>
              <w:outlineLvl w:val="0"/>
              <w:rPr>
                <w:rFonts w:asciiTheme="minorHAnsi" w:hAnsiTheme="minorHAnsi" w:cs="Arial"/>
                <w:b/>
                <w:noProof/>
                <w:sz w:val="19"/>
                <w:szCs w:val="19"/>
                <w:lang w:val="hr-HR" w:eastAsia="hr-HR"/>
              </w:rPr>
            </w:pPr>
            <w:r w:rsidRPr="00CD3A2D">
              <w:rPr>
                <w:rFonts w:ascii="Calibri" w:hAnsi="Calibri" w:cs="Calibri"/>
                <w:b/>
                <w:bCs/>
                <w:color w:val="000000"/>
                <w:sz w:val="19"/>
                <w:szCs w:val="19"/>
                <w:lang w:val="hr-HR"/>
              </w:rPr>
              <w:t>32.624.083</w:t>
            </w:r>
          </w:p>
        </w:tc>
        <w:tc>
          <w:tcPr>
            <w:tcW w:w="563" w:type="pct"/>
            <w:tcBorders>
              <w:top w:val="nil"/>
              <w:left w:val="nil"/>
              <w:bottom w:val="nil"/>
              <w:right w:val="nil"/>
            </w:tcBorders>
            <w:shd w:val="clear" w:color="auto" w:fill="auto"/>
            <w:vAlign w:val="center"/>
          </w:tcPr>
          <w:p w:rsidR="00C3696D" w:rsidRPr="001567C8" w:rsidRDefault="00C3696D" w:rsidP="00C3696D">
            <w:pPr>
              <w:tabs>
                <w:tab w:val="right" w:pos="1202"/>
              </w:tabs>
              <w:jc w:val="right"/>
              <w:outlineLvl w:val="0"/>
              <w:rPr>
                <w:rFonts w:asciiTheme="minorHAnsi" w:hAnsiTheme="minorHAnsi" w:cs="Arial"/>
                <w:b/>
                <w:sz w:val="19"/>
                <w:szCs w:val="19"/>
                <w:lang w:val="hr-HR"/>
              </w:rPr>
            </w:pPr>
            <w:r w:rsidRPr="00CD3A2D">
              <w:rPr>
                <w:rFonts w:ascii="Calibri" w:hAnsi="Calibri" w:cs="Calibri"/>
                <w:b/>
                <w:bCs/>
                <w:color w:val="000000"/>
                <w:sz w:val="19"/>
                <w:szCs w:val="19"/>
                <w:lang w:val="hr-HR"/>
              </w:rPr>
              <w:t>6.082.528</w:t>
            </w:r>
          </w:p>
        </w:tc>
      </w:tr>
      <w:tr w:rsidR="00812F82" w:rsidRPr="001567C8" w:rsidTr="00447AB8">
        <w:tblPrEx>
          <w:tblCellMar>
            <w:left w:w="31" w:type="dxa"/>
            <w:right w:w="31" w:type="dxa"/>
          </w:tblCellMar>
        </w:tblPrEx>
        <w:trPr>
          <w:cantSplit/>
          <w:trHeight w:val="250"/>
          <w:tblHeader/>
        </w:trPr>
        <w:tc>
          <w:tcPr>
            <w:tcW w:w="2749" w:type="pct"/>
            <w:vAlign w:val="bottom"/>
          </w:tcPr>
          <w:p w:rsidR="00812F82" w:rsidRPr="001567C8" w:rsidRDefault="00812F82" w:rsidP="00D225D0">
            <w:pPr>
              <w:spacing w:line="288" w:lineRule="auto"/>
              <w:rPr>
                <w:rFonts w:asciiTheme="minorHAnsi" w:hAnsiTheme="minorHAnsi" w:cs="Arial"/>
                <w:bCs/>
                <w:sz w:val="19"/>
                <w:szCs w:val="19"/>
                <w:lang w:val="hr-HR"/>
              </w:rPr>
            </w:pPr>
          </w:p>
        </w:tc>
        <w:tc>
          <w:tcPr>
            <w:tcW w:w="562" w:type="pct"/>
            <w:tcBorders>
              <w:top w:val="single" w:sz="12" w:space="0" w:color="auto"/>
            </w:tcBorders>
          </w:tcPr>
          <w:p w:rsidR="00812F82" w:rsidRPr="001567C8" w:rsidRDefault="00812F82" w:rsidP="00D225D0">
            <w:pPr>
              <w:tabs>
                <w:tab w:val="right" w:pos="1202"/>
              </w:tabs>
              <w:spacing w:line="301" w:lineRule="exact"/>
              <w:jc w:val="right"/>
              <w:outlineLvl w:val="0"/>
              <w:rPr>
                <w:rFonts w:asciiTheme="minorHAnsi" w:hAnsiTheme="minorHAnsi" w:cs="Arial"/>
                <w:b/>
                <w:sz w:val="19"/>
                <w:szCs w:val="19"/>
                <w:lang w:val="hr-HR"/>
              </w:rPr>
            </w:pPr>
          </w:p>
        </w:tc>
        <w:tc>
          <w:tcPr>
            <w:tcW w:w="563" w:type="pct"/>
            <w:tcBorders>
              <w:top w:val="single" w:sz="12" w:space="0" w:color="auto"/>
            </w:tcBorders>
          </w:tcPr>
          <w:p w:rsidR="00812F82" w:rsidRPr="001567C8" w:rsidRDefault="00812F82" w:rsidP="00D225D0">
            <w:pPr>
              <w:tabs>
                <w:tab w:val="right" w:pos="1202"/>
              </w:tabs>
              <w:spacing w:line="301" w:lineRule="exact"/>
              <w:jc w:val="right"/>
              <w:outlineLvl w:val="0"/>
              <w:rPr>
                <w:rFonts w:asciiTheme="minorHAnsi" w:hAnsiTheme="minorHAnsi" w:cs="Arial"/>
                <w:b/>
                <w:sz w:val="19"/>
                <w:szCs w:val="19"/>
                <w:lang w:val="hr-HR"/>
              </w:rPr>
            </w:pPr>
          </w:p>
        </w:tc>
        <w:tc>
          <w:tcPr>
            <w:tcW w:w="563" w:type="pct"/>
            <w:tcBorders>
              <w:top w:val="single" w:sz="12" w:space="0" w:color="auto"/>
            </w:tcBorders>
            <w:vAlign w:val="bottom"/>
          </w:tcPr>
          <w:p w:rsidR="00812F82" w:rsidRPr="001567C8" w:rsidRDefault="00812F82" w:rsidP="00D225D0">
            <w:pPr>
              <w:tabs>
                <w:tab w:val="right" w:pos="1202"/>
              </w:tabs>
              <w:spacing w:line="301" w:lineRule="exact"/>
              <w:jc w:val="right"/>
              <w:outlineLvl w:val="0"/>
              <w:rPr>
                <w:rFonts w:asciiTheme="minorHAnsi" w:hAnsiTheme="minorHAnsi" w:cs="Arial"/>
                <w:b/>
                <w:sz w:val="19"/>
                <w:szCs w:val="19"/>
                <w:lang w:val="hr-HR"/>
              </w:rPr>
            </w:pPr>
          </w:p>
        </w:tc>
        <w:tc>
          <w:tcPr>
            <w:tcW w:w="563" w:type="pct"/>
            <w:tcBorders>
              <w:top w:val="single" w:sz="12" w:space="0" w:color="auto"/>
            </w:tcBorders>
            <w:vAlign w:val="bottom"/>
          </w:tcPr>
          <w:p w:rsidR="00812F82" w:rsidRPr="001567C8" w:rsidRDefault="00812F82" w:rsidP="00D225D0">
            <w:pPr>
              <w:tabs>
                <w:tab w:val="right" w:pos="1202"/>
              </w:tabs>
              <w:spacing w:line="301" w:lineRule="exact"/>
              <w:jc w:val="right"/>
              <w:outlineLvl w:val="0"/>
              <w:rPr>
                <w:rFonts w:asciiTheme="minorHAnsi" w:hAnsiTheme="minorHAnsi" w:cs="Arial"/>
                <w:b/>
                <w:sz w:val="19"/>
                <w:szCs w:val="19"/>
                <w:lang w:val="hr-HR"/>
              </w:rPr>
            </w:pPr>
          </w:p>
        </w:tc>
      </w:tr>
    </w:tbl>
    <w:p w:rsidR="00D225D0" w:rsidRPr="001567C8" w:rsidRDefault="00D225D0" w:rsidP="003741DF">
      <w:pPr>
        <w:pStyle w:val="TH"/>
        <w:spacing w:line="360" w:lineRule="auto"/>
        <w:rPr>
          <w:rFonts w:asciiTheme="minorHAnsi" w:hAnsiTheme="minorHAnsi"/>
          <w:b w:val="0"/>
          <w:sz w:val="22"/>
          <w:szCs w:val="22"/>
          <w:lang w:val="hr-HR"/>
        </w:rPr>
      </w:pPr>
    </w:p>
    <w:p w:rsidR="00D225D0" w:rsidRPr="001567C8" w:rsidRDefault="00D225D0" w:rsidP="003741DF">
      <w:pPr>
        <w:pStyle w:val="TH"/>
        <w:spacing w:line="360" w:lineRule="auto"/>
        <w:rPr>
          <w:rFonts w:asciiTheme="minorHAnsi" w:hAnsiTheme="minorHAnsi"/>
          <w:b w:val="0"/>
          <w:sz w:val="22"/>
          <w:szCs w:val="22"/>
          <w:lang w:val="hr-HR"/>
        </w:rPr>
      </w:pPr>
    </w:p>
    <w:p w:rsidR="00812F82" w:rsidRPr="001567C8" w:rsidRDefault="00812F82" w:rsidP="003741DF">
      <w:pPr>
        <w:pStyle w:val="TH"/>
        <w:spacing w:line="360" w:lineRule="auto"/>
        <w:rPr>
          <w:rFonts w:asciiTheme="minorHAnsi" w:hAnsiTheme="minorHAnsi"/>
          <w:b w:val="0"/>
          <w:sz w:val="22"/>
          <w:szCs w:val="22"/>
          <w:lang w:val="hr-HR"/>
        </w:rPr>
      </w:pPr>
    </w:p>
    <w:p w:rsidR="00D225D0" w:rsidRPr="001567C8" w:rsidRDefault="00D225D0" w:rsidP="003741DF">
      <w:pPr>
        <w:pStyle w:val="TH"/>
        <w:spacing w:line="360" w:lineRule="auto"/>
        <w:rPr>
          <w:rFonts w:asciiTheme="minorHAnsi" w:hAnsiTheme="minorHAnsi"/>
          <w:b w:val="0"/>
          <w:sz w:val="22"/>
          <w:szCs w:val="22"/>
          <w:lang w:val="hr-HR"/>
        </w:rPr>
        <w:sectPr w:rsidR="00D225D0" w:rsidRPr="001567C8" w:rsidSect="003E2D7A">
          <w:pgSz w:w="11907" w:h="16840" w:code="9"/>
          <w:pgMar w:top="1418" w:right="1134" w:bottom="1134" w:left="1418" w:header="851" w:footer="851" w:gutter="0"/>
          <w:cols w:space="720"/>
          <w:noEndnote/>
        </w:sectPr>
      </w:pPr>
    </w:p>
    <w:p w:rsidR="00347537" w:rsidRPr="001567C8" w:rsidRDefault="00347537" w:rsidP="00347537">
      <w:pPr>
        <w:pStyle w:val="T1"/>
        <w:spacing w:before="0" w:after="0" w:line="240" w:lineRule="auto"/>
        <w:rPr>
          <w:rFonts w:asciiTheme="minorHAnsi" w:hAnsiTheme="minorHAnsi" w:cs="Arial"/>
          <w:sz w:val="22"/>
          <w:szCs w:val="22"/>
          <w:lang w:val="hr-HR"/>
        </w:rPr>
      </w:pPr>
    </w:p>
    <w:p w:rsidR="00AC6CD3"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AC6CD3" w:rsidRPr="001567C8">
        <w:rPr>
          <w:rFonts w:asciiTheme="minorHAnsi" w:hAnsiTheme="minorHAnsi" w:cs="Arial"/>
          <w:sz w:val="22"/>
          <w:szCs w:val="22"/>
          <w:lang w:val="hr-HR"/>
        </w:rPr>
        <w:t>.</w:t>
      </w:r>
      <w:r w:rsidR="00AC6CD3" w:rsidRPr="001567C8">
        <w:rPr>
          <w:rFonts w:asciiTheme="minorHAnsi" w:hAnsiTheme="minorHAnsi" w:cs="Arial"/>
          <w:sz w:val="22"/>
          <w:szCs w:val="22"/>
          <w:lang w:val="hr-HR"/>
        </w:rPr>
        <w:tab/>
        <w:t>Upravljanje rizicima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AC6CD3"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AC6CD3"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3</w:t>
      </w:r>
      <w:r w:rsidR="00AC6CD3" w:rsidRPr="001567C8">
        <w:rPr>
          <w:rFonts w:asciiTheme="minorHAnsi" w:hAnsiTheme="minorHAnsi" w:cs="Arial"/>
          <w:sz w:val="22"/>
          <w:szCs w:val="22"/>
          <w:lang w:val="hr-HR"/>
        </w:rPr>
        <w:t xml:space="preserve">. </w:t>
      </w:r>
      <w:r w:rsidR="00AC6CD3" w:rsidRPr="001567C8">
        <w:rPr>
          <w:rFonts w:asciiTheme="minorHAnsi" w:hAnsiTheme="minorHAnsi" w:cs="Arial"/>
          <w:sz w:val="22"/>
          <w:szCs w:val="22"/>
          <w:lang w:val="hr-HR"/>
        </w:rPr>
        <w:tab/>
        <w:t>Kreditni rizik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AC6CD3" w:rsidRPr="001567C8" w:rsidRDefault="00793CCF"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Koncentracija rizika i maksimalna</w:t>
      </w:r>
      <w:r w:rsidR="00AC6CD3" w:rsidRPr="001567C8">
        <w:rPr>
          <w:rFonts w:asciiTheme="minorHAnsi" w:hAnsiTheme="minorHAnsi" w:cs="Arial"/>
          <w:sz w:val="22"/>
          <w:szCs w:val="22"/>
          <w:lang w:val="hr-HR"/>
        </w:rPr>
        <w:t xml:space="preserve"> izloženost kreditnom riziku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812F82" w:rsidRPr="001567C8" w:rsidRDefault="00812F82" w:rsidP="00E266C9">
      <w:pPr>
        <w:pStyle w:val="TH"/>
        <w:spacing w:line="240" w:lineRule="auto"/>
        <w:jc w:val="both"/>
        <w:rPr>
          <w:rFonts w:asciiTheme="minorHAnsi" w:hAnsiTheme="minorHAnsi" w:cs="Arial"/>
          <w:b w:val="0"/>
          <w:sz w:val="22"/>
          <w:szCs w:val="22"/>
          <w:lang w:val="hr-HR"/>
        </w:rPr>
      </w:pPr>
      <w:r w:rsidRPr="001567C8">
        <w:rPr>
          <w:rFonts w:asciiTheme="minorHAnsi" w:hAnsiTheme="minorHAnsi"/>
          <w:b w:val="0"/>
          <w:sz w:val="22"/>
          <w:szCs w:val="22"/>
          <w:lang w:val="hr-HR"/>
        </w:rPr>
        <w:t xml:space="preserve">Koncentracija </w:t>
      </w:r>
      <w:r w:rsidR="008D6072" w:rsidRPr="001567C8">
        <w:rPr>
          <w:rFonts w:asciiTheme="minorHAnsi" w:hAnsiTheme="minorHAnsi"/>
          <w:b w:val="0"/>
          <w:sz w:val="22"/>
          <w:szCs w:val="22"/>
          <w:lang w:val="hr-HR"/>
        </w:rPr>
        <w:t>imovine</w:t>
      </w:r>
      <w:r w:rsidRPr="001567C8">
        <w:rPr>
          <w:rFonts w:asciiTheme="minorHAnsi" w:hAnsiTheme="minorHAnsi"/>
          <w:b w:val="0"/>
          <w:sz w:val="22"/>
          <w:szCs w:val="22"/>
          <w:lang w:val="hr-HR"/>
        </w:rPr>
        <w:t xml:space="preserve"> i garancija </w:t>
      </w:r>
      <w:r w:rsidR="00F96790" w:rsidRPr="001567C8">
        <w:rPr>
          <w:rFonts w:asciiTheme="minorHAnsi" w:hAnsiTheme="minorHAnsi"/>
          <w:b w:val="0"/>
          <w:sz w:val="22"/>
          <w:szCs w:val="22"/>
          <w:lang w:val="hr-HR"/>
        </w:rPr>
        <w:t xml:space="preserve">te </w:t>
      </w:r>
      <w:r w:rsidRPr="001567C8">
        <w:rPr>
          <w:rFonts w:asciiTheme="minorHAnsi" w:hAnsiTheme="minorHAnsi"/>
          <w:b w:val="0"/>
          <w:sz w:val="22"/>
          <w:szCs w:val="22"/>
          <w:lang w:val="hr-HR"/>
        </w:rPr>
        <w:t xml:space="preserve">preuzetih obveza prema industrijskim granama, </w:t>
      </w:r>
      <w:r w:rsidR="003F0EC8" w:rsidRPr="001567C8">
        <w:rPr>
          <w:rFonts w:asciiTheme="minorHAnsi" w:hAnsiTheme="minorHAnsi"/>
          <w:b w:val="0"/>
          <w:sz w:val="22"/>
          <w:szCs w:val="22"/>
          <w:lang w:val="hr-HR"/>
        </w:rPr>
        <w:t>neto</w:t>
      </w:r>
      <w:r w:rsidR="00603200" w:rsidRPr="00CD3A2D">
        <w:rPr>
          <w:lang w:val="hr-HR"/>
        </w:rPr>
        <w:t xml:space="preserve"> </w:t>
      </w:r>
      <w:r w:rsidR="00603200" w:rsidRPr="001567C8">
        <w:rPr>
          <w:rFonts w:asciiTheme="minorHAnsi" w:hAnsiTheme="minorHAnsi"/>
          <w:b w:val="0"/>
          <w:sz w:val="22"/>
          <w:szCs w:val="22"/>
          <w:lang w:val="hr-HR"/>
        </w:rPr>
        <w:t>izloženost</w:t>
      </w:r>
      <w:r w:rsidR="003F0EC8" w:rsidRPr="001567C8">
        <w:rPr>
          <w:rFonts w:asciiTheme="minorHAnsi" w:hAnsiTheme="minorHAnsi"/>
          <w:b w:val="0"/>
          <w:sz w:val="22"/>
          <w:szCs w:val="22"/>
          <w:lang w:val="hr-HR"/>
        </w:rPr>
        <w:t xml:space="preserve">, </w:t>
      </w:r>
      <w:r w:rsidR="00FC1F94" w:rsidRPr="001567C8">
        <w:rPr>
          <w:rFonts w:asciiTheme="minorHAnsi" w:hAnsiTheme="minorHAnsi" w:cs="Arial"/>
          <w:b w:val="0"/>
          <w:sz w:val="22"/>
          <w:szCs w:val="22"/>
          <w:lang w:val="hr-HR"/>
        </w:rPr>
        <w:t>prije i nakon uzimanja u obzir primljenih instrumenata osiguranja</w:t>
      </w:r>
      <w:r w:rsidRPr="001567C8">
        <w:rPr>
          <w:rFonts w:asciiTheme="minorHAnsi" w:hAnsiTheme="minorHAnsi"/>
          <w:b w:val="0"/>
          <w:sz w:val="22"/>
          <w:szCs w:val="22"/>
          <w:lang w:val="hr-HR"/>
        </w:rPr>
        <w:t>:</w:t>
      </w:r>
    </w:p>
    <w:tbl>
      <w:tblPr>
        <w:tblpPr w:leftFromText="180" w:rightFromText="180" w:vertAnchor="text" w:horzAnchor="margin" w:tblpY="290"/>
        <w:tblOverlap w:val="never"/>
        <w:tblW w:w="5000" w:type="pct"/>
        <w:tblLayout w:type="fixed"/>
        <w:tblCellMar>
          <w:left w:w="30" w:type="dxa"/>
          <w:right w:w="30" w:type="dxa"/>
        </w:tblCellMar>
        <w:tblLook w:val="0000" w:firstRow="0" w:lastRow="0" w:firstColumn="0" w:lastColumn="0" w:noHBand="0" w:noVBand="0"/>
      </w:tblPr>
      <w:tblGrid>
        <w:gridCol w:w="5101"/>
        <w:gridCol w:w="1063"/>
        <w:gridCol w:w="1063"/>
        <w:gridCol w:w="1063"/>
        <w:gridCol w:w="1065"/>
      </w:tblGrid>
      <w:tr w:rsidR="005A4337" w:rsidRPr="001567C8" w:rsidTr="00D10182">
        <w:trPr>
          <w:cantSplit/>
          <w:trHeight w:val="250"/>
          <w:tblHeader/>
        </w:trPr>
        <w:tc>
          <w:tcPr>
            <w:tcW w:w="2726" w:type="pct"/>
            <w:vAlign w:val="bottom"/>
          </w:tcPr>
          <w:p w:rsidR="005A4337" w:rsidRPr="001567C8" w:rsidRDefault="005A4337" w:rsidP="005A4337">
            <w:pPr>
              <w:pStyle w:val="TH"/>
              <w:rPr>
                <w:rFonts w:asciiTheme="minorHAnsi" w:hAnsiTheme="minorHAnsi" w:cs="Arial"/>
                <w:szCs w:val="19"/>
                <w:lang w:val="hr-HR"/>
              </w:rPr>
            </w:pPr>
            <w:r w:rsidRPr="001567C8">
              <w:rPr>
                <w:rFonts w:asciiTheme="minorHAnsi" w:hAnsiTheme="minorHAnsi" w:cs="Arial"/>
                <w:szCs w:val="19"/>
                <w:lang w:val="hr-HR"/>
              </w:rPr>
              <w:t>Banka</w:t>
            </w:r>
          </w:p>
        </w:tc>
        <w:tc>
          <w:tcPr>
            <w:tcW w:w="568" w:type="pct"/>
            <w:vAlign w:val="bottom"/>
          </w:tcPr>
          <w:p w:rsidR="005A4337" w:rsidRPr="001567C8" w:rsidRDefault="00AB0953" w:rsidP="005A4337">
            <w:pPr>
              <w:pStyle w:val="TH"/>
              <w:jc w:val="right"/>
              <w:rPr>
                <w:rFonts w:asciiTheme="minorHAnsi" w:hAnsiTheme="minorHAnsi" w:cs="Arial"/>
                <w:szCs w:val="19"/>
                <w:lang w:val="hr-HR"/>
              </w:rPr>
            </w:pPr>
            <w:r w:rsidRPr="001567C8">
              <w:rPr>
                <w:rFonts w:asciiTheme="minorHAnsi" w:hAnsiTheme="minorHAnsi" w:cs="Arial"/>
                <w:szCs w:val="19"/>
                <w:lang w:val="hr-HR"/>
              </w:rPr>
              <w:t>N</w:t>
            </w:r>
            <w:r w:rsidR="00FC1F94" w:rsidRPr="001567C8">
              <w:rPr>
                <w:rFonts w:asciiTheme="minorHAnsi" w:hAnsiTheme="minorHAnsi" w:cs="Arial"/>
                <w:szCs w:val="19"/>
                <w:lang w:val="hr-HR"/>
              </w:rPr>
              <w:t>eto n</w:t>
            </w:r>
            <w:r w:rsidR="005A4337" w:rsidRPr="001567C8">
              <w:rPr>
                <w:rFonts w:asciiTheme="minorHAnsi" w:hAnsiTheme="minorHAnsi" w:cs="Arial"/>
                <w:szCs w:val="19"/>
                <w:lang w:val="hr-HR"/>
              </w:rPr>
              <w:t>ajveća izloženost</w:t>
            </w:r>
          </w:p>
        </w:tc>
        <w:tc>
          <w:tcPr>
            <w:tcW w:w="568" w:type="pct"/>
            <w:vAlign w:val="bottom"/>
          </w:tcPr>
          <w:p w:rsidR="005A4337" w:rsidRPr="001567C8" w:rsidRDefault="005A4337" w:rsidP="005A4337">
            <w:pPr>
              <w:pStyle w:val="TH"/>
              <w:jc w:val="right"/>
              <w:rPr>
                <w:rFonts w:asciiTheme="minorHAnsi" w:hAnsiTheme="minorHAnsi" w:cs="Arial"/>
                <w:szCs w:val="19"/>
                <w:lang w:val="hr-HR"/>
              </w:rPr>
            </w:pPr>
            <w:r w:rsidRPr="001567C8">
              <w:rPr>
                <w:rFonts w:asciiTheme="minorHAnsi" w:hAnsiTheme="minorHAnsi" w:cs="Arial"/>
                <w:szCs w:val="19"/>
                <w:lang w:val="hr-HR"/>
              </w:rPr>
              <w:t>N</w:t>
            </w:r>
            <w:r w:rsidR="00FC1F94" w:rsidRPr="001567C8">
              <w:rPr>
                <w:rFonts w:asciiTheme="minorHAnsi" w:hAnsiTheme="minorHAnsi" w:cs="Arial"/>
                <w:szCs w:val="19"/>
                <w:lang w:val="hr-HR"/>
              </w:rPr>
              <w:t>eto n</w:t>
            </w:r>
            <w:r w:rsidRPr="001567C8">
              <w:rPr>
                <w:rFonts w:asciiTheme="minorHAnsi" w:hAnsiTheme="minorHAnsi" w:cs="Arial"/>
                <w:szCs w:val="19"/>
                <w:lang w:val="hr-HR"/>
              </w:rPr>
              <w:t>ajveća izloženost</w:t>
            </w:r>
            <w:r w:rsidR="00AB0953" w:rsidRPr="001567C8">
              <w:rPr>
                <w:rFonts w:asciiTheme="minorHAnsi" w:hAnsiTheme="minorHAnsi" w:cs="Arial"/>
                <w:szCs w:val="19"/>
                <w:lang w:val="hr-HR"/>
              </w:rPr>
              <w:t xml:space="preserve"> </w:t>
            </w:r>
            <w:r w:rsidR="00AB0953" w:rsidRPr="001567C8">
              <w:rPr>
                <w:rFonts w:asciiTheme="minorHAnsi" w:hAnsiTheme="minorHAnsi" w:cs="Arial"/>
                <w:b w:val="0"/>
                <w:szCs w:val="19"/>
                <w:lang w:val="hr-HR"/>
              </w:rPr>
              <w:t xml:space="preserve"> </w:t>
            </w:r>
            <w:r w:rsidR="00AB0953" w:rsidRPr="001567C8">
              <w:rPr>
                <w:rFonts w:asciiTheme="minorHAnsi" w:hAnsiTheme="minorHAnsi" w:cs="Arial"/>
                <w:szCs w:val="19"/>
                <w:lang w:val="hr-HR"/>
              </w:rPr>
              <w:t>nakon umanjenja za sredstva osiguranja</w:t>
            </w:r>
          </w:p>
        </w:tc>
        <w:tc>
          <w:tcPr>
            <w:tcW w:w="568" w:type="pct"/>
            <w:vAlign w:val="bottom"/>
          </w:tcPr>
          <w:p w:rsidR="005A4337" w:rsidRPr="001567C8" w:rsidRDefault="00AB0953" w:rsidP="005A4337">
            <w:pPr>
              <w:pStyle w:val="TH"/>
              <w:jc w:val="right"/>
              <w:rPr>
                <w:rFonts w:asciiTheme="minorHAnsi" w:hAnsiTheme="minorHAnsi" w:cs="Arial"/>
                <w:szCs w:val="19"/>
                <w:lang w:val="hr-HR"/>
              </w:rPr>
            </w:pPr>
            <w:r w:rsidRPr="001567C8">
              <w:rPr>
                <w:rFonts w:asciiTheme="minorHAnsi" w:hAnsiTheme="minorHAnsi" w:cs="Arial"/>
                <w:szCs w:val="19"/>
                <w:lang w:val="hr-HR"/>
              </w:rPr>
              <w:t>N</w:t>
            </w:r>
            <w:r w:rsidR="00FC1F94" w:rsidRPr="001567C8">
              <w:rPr>
                <w:rFonts w:asciiTheme="minorHAnsi" w:hAnsiTheme="minorHAnsi" w:cs="Arial"/>
                <w:szCs w:val="19"/>
                <w:lang w:val="hr-HR"/>
              </w:rPr>
              <w:t>eto n</w:t>
            </w:r>
            <w:r w:rsidR="005A4337" w:rsidRPr="001567C8">
              <w:rPr>
                <w:rFonts w:asciiTheme="minorHAnsi" w:hAnsiTheme="minorHAnsi" w:cs="Arial"/>
                <w:szCs w:val="19"/>
                <w:lang w:val="hr-HR"/>
              </w:rPr>
              <w:t>ajveća izloženost</w:t>
            </w:r>
          </w:p>
        </w:tc>
        <w:tc>
          <w:tcPr>
            <w:tcW w:w="569" w:type="pct"/>
            <w:vAlign w:val="bottom"/>
          </w:tcPr>
          <w:p w:rsidR="005A4337" w:rsidRPr="001567C8" w:rsidRDefault="005A4337" w:rsidP="005A4337">
            <w:pPr>
              <w:pStyle w:val="TH"/>
              <w:jc w:val="right"/>
              <w:rPr>
                <w:rFonts w:asciiTheme="minorHAnsi" w:hAnsiTheme="minorHAnsi" w:cs="Arial"/>
                <w:szCs w:val="19"/>
                <w:lang w:val="hr-HR"/>
              </w:rPr>
            </w:pPr>
            <w:r w:rsidRPr="001567C8">
              <w:rPr>
                <w:rFonts w:asciiTheme="minorHAnsi" w:hAnsiTheme="minorHAnsi" w:cs="Arial"/>
                <w:szCs w:val="19"/>
                <w:lang w:val="hr-HR"/>
              </w:rPr>
              <w:t>N</w:t>
            </w:r>
            <w:r w:rsidR="00FC1F94" w:rsidRPr="001567C8">
              <w:rPr>
                <w:rFonts w:asciiTheme="minorHAnsi" w:hAnsiTheme="minorHAnsi" w:cs="Arial"/>
                <w:szCs w:val="19"/>
                <w:lang w:val="hr-HR"/>
              </w:rPr>
              <w:t>eto n</w:t>
            </w:r>
            <w:r w:rsidR="00AB0953" w:rsidRPr="001567C8">
              <w:rPr>
                <w:rFonts w:asciiTheme="minorHAnsi" w:hAnsiTheme="minorHAnsi" w:cs="Arial"/>
                <w:szCs w:val="19"/>
                <w:lang w:val="hr-HR"/>
              </w:rPr>
              <w:t>a</w:t>
            </w:r>
            <w:r w:rsidRPr="001567C8">
              <w:rPr>
                <w:rFonts w:asciiTheme="minorHAnsi" w:hAnsiTheme="minorHAnsi" w:cs="Arial"/>
                <w:szCs w:val="19"/>
                <w:lang w:val="hr-HR"/>
              </w:rPr>
              <w:t>jveća izloženost</w:t>
            </w:r>
            <w:r w:rsidR="00AB0953" w:rsidRPr="001567C8">
              <w:rPr>
                <w:rFonts w:asciiTheme="minorHAnsi" w:hAnsiTheme="minorHAnsi" w:cs="Arial"/>
                <w:szCs w:val="19"/>
                <w:lang w:val="hr-HR"/>
              </w:rPr>
              <w:t xml:space="preserve">  nakon umanjenja za sredstva osiguranja</w:t>
            </w:r>
          </w:p>
        </w:tc>
      </w:tr>
      <w:tr w:rsidR="005A4337" w:rsidRPr="001567C8" w:rsidTr="00D10182">
        <w:trPr>
          <w:cantSplit/>
          <w:trHeight w:val="159"/>
          <w:tblHeader/>
        </w:trPr>
        <w:tc>
          <w:tcPr>
            <w:tcW w:w="2726" w:type="pct"/>
            <w:vAlign w:val="bottom"/>
          </w:tcPr>
          <w:p w:rsidR="005A4337" w:rsidRPr="001567C8" w:rsidRDefault="005A4337" w:rsidP="005A4337">
            <w:pPr>
              <w:spacing w:line="120" w:lineRule="auto"/>
              <w:ind w:left="113" w:hanging="113"/>
              <w:jc w:val="center"/>
              <w:rPr>
                <w:rFonts w:asciiTheme="minorHAnsi" w:hAnsiTheme="minorHAnsi" w:cs="Arial"/>
                <w:sz w:val="19"/>
                <w:szCs w:val="19"/>
                <w:lang w:val="hr-HR"/>
              </w:rPr>
            </w:pPr>
          </w:p>
        </w:tc>
        <w:tc>
          <w:tcPr>
            <w:tcW w:w="568" w:type="pct"/>
            <w:vAlign w:val="bottom"/>
          </w:tcPr>
          <w:p w:rsidR="005A4337" w:rsidRPr="001567C8" w:rsidRDefault="005A4337" w:rsidP="005A4337">
            <w:pPr>
              <w:pStyle w:val="TH"/>
              <w:spacing w:line="120" w:lineRule="auto"/>
              <w:jc w:val="center"/>
              <w:rPr>
                <w:rFonts w:asciiTheme="minorHAnsi" w:hAnsiTheme="minorHAnsi" w:cs="Arial"/>
                <w:szCs w:val="19"/>
                <w:lang w:val="hr-HR"/>
              </w:rPr>
            </w:pPr>
          </w:p>
        </w:tc>
        <w:tc>
          <w:tcPr>
            <w:tcW w:w="568" w:type="pct"/>
            <w:vAlign w:val="bottom"/>
          </w:tcPr>
          <w:p w:rsidR="005A4337" w:rsidRPr="001567C8" w:rsidRDefault="005A4337" w:rsidP="005A4337">
            <w:pPr>
              <w:pStyle w:val="TH"/>
              <w:spacing w:line="120" w:lineRule="auto"/>
              <w:jc w:val="center"/>
              <w:rPr>
                <w:rFonts w:asciiTheme="minorHAnsi" w:hAnsiTheme="minorHAnsi" w:cs="Arial"/>
                <w:szCs w:val="19"/>
                <w:lang w:val="hr-HR"/>
              </w:rPr>
            </w:pPr>
          </w:p>
        </w:tc>
        <w:tc>
          <w:tcPr>
            <w:tcW w:w="568" w:type="pct"/>
            <w:vAlign w:val="bottom"/>
          </w:tcPr>
          <w:p w:rsidR="005A4337" w:rsidRPr="001567C8" w:rsidRDefault="005A4337" w:rsidP="005A4337">
            <w:pPr>
              <w:pStyle w:val="TH"/>
              <w:spacing w:line="120" w:lineRule="auto"/>
              <w:jc w:val="center"/>
              <w:rPr>
                <w:rFonts w:asciiTheme="minorHAnsi" w:hAnsiTheme="minorHAnsi" w:cs="Arial"/>
                <w:szCs w:val="19"/>
                <w:lang w:val="hr-HR"/>
              </w:rPr>
            </w:pPr>
          </w:p>
        </w:tc>
        <w:tc>
          <w:tcPr>
            <w:tcW w:w="569" w:type="pct"/>
            <w:vAlign w:val="bottom"/>
          </w:tcPr>
          <w:p w:rsidR="005A4337" w:rsidRPr="001567C8" w:rsidRDefault="005A4337" w:rsidP="005A4337">
            <w:pPr>
              <w:pStyle w:val="TH"/>
              <w:spacing w:line="120" w:lineRule="auto"/>
              <w:jc w:val="center"/>
              <w:rPr>
                <w:rFonts w:asciiTheme="minorHAnsi" w:hAnsiTheme="minorHAnsi" w:cs="Arial"/>
                <w:szCs w:val="19"/>
                <w:lang w:val="hr-HR"/>
              </w:rPr>
            </w:pPr>
          </w:p>
        </w:tc>
      </w:tr>
      <w:tr w:rsidR="00202833" w:rsidRPr="001567C8" w:rsidTr="00D10182">
        <w:trPr>
          <w:cantSplit/>
          <w:trHeight w:val="250"/>
          <w:tblHeader/>
        </w:trPr>
        <w:tc>
          <w:tcPr>
            <w:tcW w:w="2726" w:type="pct"/>
          </w:tcPr>
          <w:p w:rsidR="00202833" w:rsidRPr="001567C8" w:rsidRDefault="00202833" w:rsidP="00202833">
            <w:pPr>
              <w:ind w:left="113" w:hanging="113"/>
              <w:rPr>
                <w:rFonts w:asciiTheme="minorHAnsi" w:hAnsiTheme="minorHAnsi" w:cs="Arial"/>
                <w:sz w:val="19"/>
                <w:szCs w:val="19"/>
                <w:lang w:val="hr-HR"/>
              </w:rPr>
            </w:pPr>
          </w:p>
        </w:tc>
        <w:tc>
          <w:tcPr>
            <w:tcW w:w="568" w:type="pct"/>
            <w:vAlign w:val="bottom"/>
          </w:tcPr>
          <w:p w:rsidR="00202833" w:rsidRPr="001567C8" w:rsidRDefault="00AD2EF7" w:rsidP="0020283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31. pros</w:t>
            </w:r>
            <w:r>
              <w:rPr>
                <w:rFonts w:asciiTheme="minorHAnsi" w:hAnsiTheme="minorHAnsi" w:cs="Arial"/>
                <w:b/>
                <w:sz w:val="19"/>
                <w:szCs w:val="19"/>
                <w:lang w:val="hr-HR"/>
              </w:rPr>
              <w:t>in</w:t>
            </w:r>
            <w:r w:rsidRPr="001567C8">
              <w:rPr>
                <w:rFonts w:asciiTheme="minorHAnsi" w:hAnsiTheme="minorHAnsi" w:cs="Arial"/>
                <w:b/>
                <w:sz w:val="19"/>
                <w:szCs w:val="19"/>
                <w:lang w:val="hr-HR"/>
              </w:rPr>
              <w:t>c</w:t>
            </w:r>
            <w:r>
              <w:rPr>
                <w:rFonts w:asciiTheme="minorHAnsi" w:hAnsiTheme="minorHAnsi" w:cs="Arial"/>
                <w:b/>
                <w:sz w:val="19"/>
                <w:szCs w:val="19"/>
                <w:lang w:val="hr-HR"/>
              </w:rPr>
              <w:t>a</w:t>
            </w:r>
            <w:r w:rsidRPr="001567C8">
              <w:rPr>
                <w:rFonts w:asciiTheme="minorHAnsi" w:hAnsiTheme="minorHAnsi" w:cs="Arial"/>
                <w:b/>
                <w:sz w:val="19"/>
                <w:szCs w:val="19"/>
                <w:lang w:val="hr-HR"/>
              </w:rPr>
              <w:t xml:space="preserve"> </w:t>
            </w:r>
            <w:r w:rsidR="00202833" w:rsidRPr="001567C8">
              <w:rPr>
                <w:rFonts w:asciiTheme="minorHAnsi" w:hAnsiTheme="minorHAnsi" w:cs="Arial"/>
                <w:b/>
                <w:sz w:val="19"/>
                <w:szCs w:val="19"/>
                <w:lang w:val="hr-HR"/>
              </w:rPr>
              <w:t>2018.</w:t>
            </w:r>
          </w:p>
        </w:tc>
        <w:tc>
          <w:tcPr>
            <w:tcW w:w="568" w:type="pct"/>
            <w:vAlign w:val="bottom"/>
          </w:tcPr>
          <w:p w:rsidR="00202833" w:rsidRPr="001567C8" w:rsidRDefault="00AD2EF7" w:rsidP="0020283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31. pros</w:t>
            </w:r>
            <w:r>
              <w:rPr>
                <w:rFonts w:asciiTheme="minorHAnsi" w:hAnsiTheme="minorHAnsi" w:cs="Arial"/>
                <w:b/>
                <w:sz w:val="19"/>
                <w:szCs w:val="19"/>
                <w:lang w:val="hr-HR"/>
              </w:rPr>
              <w:t>in</w:t>
            </w:r>
            <w:r w:rsidRPr="001567C8">
              <w:rPr>
                <w:rFonts w:asciiTheme="minorHAnsi" w:hAnsiTheme="minorHAnsi" w:cs="Arial"/>
                <w:b/>
                <w:sz w:val="19"/>
                <w:szCs w:val="19"/>
                <w:lang w:val="hr-HR"/>
              </w:rPr>
              <w:t>c</w:t>
            </w:r>
            <w:r>
              <w:rPr>
                <w:rFonts w:asciiTheme="minorHAnsi" w:hAnsiTheme="minorHAnsi" w:cs="Arial"/>
                <w:b/>
                <w:sz w:val="19"/>
                <w:szCs w:val="19"/>
                <w:lang w:val="hr-HR"/>
              </w:rPr>
              <w:t>a</w:t>
            </w:r>
            <w:r w:rsidRPr="001567C8">
              <w:rPr>
                <w:rFonts w:asciiTheme="minorHAnsi" w:hAnsiTheme="minorHAnsi" w:cs="Arial"/>
                <w:b/>
                <w:sz w:val="19"/>
                <w:szCs w:val="19"/>
                <w:lang w:val="hr-HR"/>
              </w:rPr>
              <w:t xml:space="preserve"> </w:t>
            </w:r>
            <w:r w:rsidR="00202833" w:rsidRPr="001567C8">
              <w:rPr>
                <w:rFonts w:asciiTheme="minorHAnsi" w:hAnsiTheme="minorHAnsi" w:cs="Arial"/>
                <w:b/>
                <w:sz w:val="19"/>
                <w:szCs w:val="19"/>
                <w:lang w:val="hr-HR"/>
              </w:rPr>
              <w:t>2018.</w:t>
            </w:r>
          </w:p>
        </w:tc>
        <w:tc>
          <w:tcPr>
            <w:tcW w:w="568" w:type="pct"/>
            <w:vAlign w:val="bottom"/>
          </w:tcPr>
          <w:p w:rsidR="00202833" w:rsidRPr="001567C8" w:rsidRDefault="00AD2EF7" w:rsidP="0020283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31. pros</w:t>
            </w:r>
            <w:r>
              <w:rPr>
                <w:rFonts w:asciiTheme="minorHAnsi" w:hAnsiTheme="minorHAnsi" w:cs="Arial"/>
                <w:b/>
                <w:sz w:val="19"/>
                <w:szCs w:val="19"/>
                <w:lang w:val="hr-HR"/>
              </w:rPr>
              <w:t>in</w:t>
            </w:r>
            <w:r w:rsidRPr="001567C8">
              <w:rPr>
                <w:rFonts w:asciiTheme="minorHAnsi" w:hAnsiTheme="minorHAnsi" w:cs="Arial"/>
                <w:b/>
                <w:sz w:val="19"/>
                <w:szCs w:val="19"/>
                <w:lang w:val="hr-HR"/>
              </w:rPr>
              <w:t>c</w:t>
            </w:r>
            <w:r>
              <w:rPr>
                <w:rFonts w:asciiTheme="minorHAnsi" w:hAnsiTheme="minorHAnsi" w:cs="Arial"/>
                <w:b/>
                <w:sz w:val="19"/>
                <w:szCs w:val="19"/>
                <w:lang w:val="hr-HR"/>
              </w:rPr>
              <w:t>a</w:t>
            </w:r>
            <w:r w:rsidRPr="001567C8">
              <w:rPr>
                <w:rFonts w:asciiTheme="minorHAnsi" w:hAnsiTheme="minorHAnsi" w:cs="Arial"/>
                <w:b/>
                <w:sz w:val="19"/>
                <w:szCs w:val="19"/>
                <w:lang w:val="hr-HR"/>
              </w:rPr>
              <w:t xml:space="preserve"> </w:t>
            </w:r>
            <w:r w:rsidR="00202833" w:rsidRPr="001567C8">
              <w:rPr>
                <w:rFonts w:asciiTheme="minorHAnsi" w:hAnsiTheme="minorHAnsi" w:cs="Arial"/>
                <w:b/>
                <w:sz w:val="19"/>
                <w:szCs w:val="19"/>
                <w:lang w:val="hr-HR"/>
              </w:rPr>
              <w:t>2017.</w:t>
            </w:r>
          </w:p>
        </w:tc>
        <w:tc>
          <w:tcPr>
            <w:tcW w:w="569" w:type="pct"/>
            <w:vAlign w:val="bottom"/>
          </w:tcPr>
          <w:p w:rsidR="00202833" w:rsidRPr="001567C8" w:rsidRDefault="00AD2EF7" w:rsidP="00202833">
            <w:pPr>
              <w:tabs>
                <w:tab w:val="right" w:pos="1202"/>
              </w:tabs>
              <w:spacing w:line="240" w:lineRule="atLeast"/>
              <w:jc w:val="right"/>
              <w:outlineLvl w:val="0"/>
              <w:rPr>
                <w:rFonts w:asciiTheme="minorHAnsi" w:hAnsiTheme="minorHAnsi" w:cs="Arial"/>
                <w:b/>
                <w:sz w:val="19"/>
                <w:szCs w:val="19"/>
                <w:lang w:val="hr-HR"/>
              </w:rPr>
            </w:pPr>
            <w:r w:rsidRPr="001567C8">
              <w:rPr>
                <w:rFonts w:asciiTheme="minorHAnsi" w:hAnsiTheme="minorHAnsi" w:cs="Arial"/>
                <w:b/>
                <w:sz w:val="19"/>
                <w:szCs w:val="19"/>
                <w:lang w:val="hr-HR"/>
              </w:rPr>
              <w:t>31. pros</w:t>
            </w:r>
            <w:r>
              <w:rPr>
                <w:rFonts w:asciiTheme="minorHAnsi" w:hAnsiTheme="minorHAnsi" w:cs="Arial"/>
                <w:b/>
                <w:sz w:val="19"/>
                <w:szCs w:val="19"/>
                <w:lang w:val="hr-HR"/>
              </w:rPr>
              <w:t>in</w:t>
            </w:r>
            <w:r w:rsidRPr="001567C8">
              <w:rPr>
                <w:rFonts w:asciiTheme="minorHAnsi" w:hAnsiTheme="minorHAnsi" w:cs="Arial"/>
                <w:b/>
                <w:sz w:val="19"/>
                <w:szCs w:val="19"/>
                <w:lang w:val="hr-HR"/>
              </w:rPr>
              <w:t>c</w:t>
            </w:r>
            <w:r>
              <w:rPr>
                <w:rFonts w:asciiTheme="minorHAnsi" w:hAnsiTheme="minorHAnsi" w:cs="Arial"/>
                <w:b/>
                <w:sz w:val="19"/>
                <w:szCs w:val="19"/>
                <w:lang w:val="hr-HR"/>
              </w:rPr>
              <w:t>a</w:t>
            </w:r>
            <w:r w:rsidRPr="001567C8">
              <w:rPr>
                <w:rFonts w:asciiTheme="minorHAnsi" w:hAnsiTheme="minorHAnsi" w:cs="Arial"/>
                <w:b/>
                <w:sz w:val="19"/>
                <w:szCs w:val="19"/>
                <w:lang w:val="hr-HR"/>
              </w:rPr>
              <w:t xml:space="preserve"> </w:t>
            </w:r>
            <w:r w:rsidR="00202833" w:rsidRPr="001567C8">
              <w:rPr>
                <w:rFonts w:asciiTheme="minorHAnsi" w:hAnsiTheme="minorHAnsi" w:cs="Arial"/>
                <w:b/>
                <w:sz w:val="19"/>
                <w:szCs w:val="19"/>
                <w:lang w:val="hr-HR"/>
              </w:rPr>
              <w:t>2017.</w:t>
            </w:r>
          </w:p>
        </w:tc>
      </w:tr>
      <w:tr w:rsidR="005A4337" w:rsidRPr="001567C8" w:rsidTr="00D10182">
        <w:trPr>
          <w:cantSplit/>
          <w:trHeight w:val="250"/>
          <w:tblHeader/>
        </w:trPr>
        <w:tc>
          <w:tcPr>
            <w:tcW w:w="2726" w:type="pct"/>
          </w:tcPr>
          <w:p w:rsidR="005A4337" w:rsidRPr="001567C8" w:rsidRDefault="005A4337" w:rsidP="005A4337">
            <w:pPr>
              <w:ind w:left="113" w:hanging="113"/>
              <w:rPr>
                <w:rFonts w:asciiTheme="minorHAnsi" w:hAnsiTheme="minorHAnsi" w:cs="Arial"/>
                <w:sz w:val="19"/>
                <w:szCs w:val="19"/>
                <w:lang w:val="hr-HR"/>
              </w:rPr>
            </w:pPr>
          </w:p>
        </w:tc>
        <w:tc>
          <w:tcPr>
            <w:tcW w:w="568" w:type="pct"/>
            <w:vAlign w:val="bottom"/>
          </w:tcPr>
          <w:p w:rsidR="005A4337" w:rsidRPr="001567C8" w:rsidRDefault="005A4337" w:rsidP="005A4337">
            <w:pPr>
              <w:pStyle w:val="TH"/>
              <w:jc w:val="right"/>
              <w:rPr>
                <w:rFonts w:asciiTheme="minorHAnsi" w:hAnsiTheme="minorHAnsi" w:cs="Arial"/>
                <w:szCs w:val="19"/>
                <w:lang w:val="hr-HR"/>
              </w:rPr>
            </w:pPr>
            <w:r w:rsidRPr="001567C8">
              <w:rPr>
                <w:rFonts w:asciiTheme="minorHAnsi" w:hAnsiTheme="minorHAnsi" w:cs="Arial"/>
                <w:szCs w:val="19"/>
                <w:lang w:val="hr-HR"/>
              </w:rPr>
              <w:t>000 kuna</w:t>
            </w:r>
          </w:p>
        </w:tc>
        <w:tc>
          <w:tcPr>
            <w:tcW w:w="568" w:type="pct"/>
            <w:vAlign w:val="bottom"/>
          </w:tcPr>
          <w:p w:rsidR="005A4337" w:rsidRPr="001567C8" w:rsidRDefault="005A4337" w:rsidP="005A4337">
            <w:pPr>
              <w:pStyle w:val="TH"/>
              <w:jc w:val="right"/>
              <w:rPr>
                <w:rFonts w:asciiTheme="minorHAnsi" w:hAnsiTheme="minorHAnsi" w:cs="Arial"/>
                <w:szCs w:val="19"/>
                <w:lang w:val="hr-HR"/>
              </w:rPr>
            </w:pPr>
            <w:r w:rsidRPr="001567C8">
              <w:rPr>
                <w:rFonts w:asciiTheme="minorHAnsi" w:hAnsiTheme="minorHAnsi" w:cs="Arial"/>
                <w:szCs w:val="19"/>
                <w:lang w:val="hr-HR"/>
              </w:rPr>
              <w:t>000 kuna</w:t>
            </w:r>
          </w:p>
        </w:tc>
        <w:tc>
          <w:tcPr>
            <w:tcW w:w="568" w:type="pct"/>
            <w:vAlign w:val="bottom"/>
          </w:tcPr>
          <w:p w:rsidR="005A4337" w:rsidRPr="001567C8" w:rsidRDefault="005A4337" w:rsidP="005A4337">
            <w:pPr>
              <w:pStyle w:val="TH"/>
              <w:jc w:val="right"/>
              <w:rPr>
                <w:rFonts w:asciiTheme="minorHAnsi" w:hAnsiTheme="minorHAnsi" w:cs="Arial"/>
                <w:szCs w:val="19"/>
                <w:lang w:val="hr-HR"/>
              </w:rPr>
            </w:pPr>
            <w:r w:rsidRPr="001567C8">
              <w:rPr>
                <w:rFonts w:asciiTheme="minorHAnsi" w:hAnsiTheme="minorHAnsi" w:cs="Arial"/>
                <w:szCs w:val="19"/>
                <w:lang w:val="hr-HR"/>
              </w:rPr>
              <w:t>000 kuna</w:t>
            </w:r>
          </w:p>
        </w:tc>
        <w:tc>
          <w:tcPr>
            <w:tcW w:w="569" w:type="pct"/>
            <w:vAlign w:val="bottom"/>
          </w:tcPr>
          <w:p w:rsidR="005A4337" w:rsidRPr="001567C8" w:rsidRDefault="005A4337" w:rsidP="005A4337">
            <w:pPr>
              <w:pStyle w:val="TH"/>
              <w:jc w:val="right"/>
              <w:rPr>
                <w:rFonts w:asciiTheme="minorHAnsi" w:hAnsiTheme="minorHAnsi" w:cs="Arial"/>
                <w:szCs w:val="19"/>
                <w:lang w:val="hr-HR"/>
              </w:rPr>
            </w:pPr>
            <w:r w:rsidRPr="001567C8">
              <w:rPr>
                <w:rFonts w:asciiTheme="minorHAnsi" w:hAnsiTheme="minorHAnsi" w:cs="Arial"/>
                <w:szCs w:val="19"/>
                <w:lang w:val="hr-HR"/>
              </w:rPr>
              <w:t>000 kuna</w:t>
            </w:r>
          </w:p>
        </w:tc>
      </w:tr>
      <w:tr w:rsidR="005A4337" w:rsidRPr="001567C8" w:rsidTr="00D10182">
        <w:trPr>
          <w:cantSplit/>
          <w:trHeight w:val="56"/>
          <w:tblHeader/>
        </w:trPr>
        <w:tc>
          <w:tcPr>
            <w:tcW w:w="2726" w:type="pct"/>
            <w:vAlign w:val="bottom"/>
          </w:tcPr>
          <w:p w:rsidR="005A4337" w:rsidRPr="001567C8" w:rsidRDefault="005A4337" w:rsidP="005A4337">
            <w:pPr>
              <w:ind w:left="113" w:hanging="113"/>
              <w:jc w:val="right"/>
              <w:rPr>
                <w:rFonts w:asciiTheme="minorHAnsi" w:hAnsiTheme="minorHAnsi" w:cs="Arial"/>
                <w:sz w:val="19"/>
                <w:szCs w:val="19"/>
                <w:lang w:val="hr-HR"/>
              </w:rPr>
            </w:pPr>
          </w:p>
        </w:tc>
        <w:tc>
          <w:tcPr>
            <w:tcW w:w="568" w:type="pct"/>
            <w:vAlign w:val="bottom"/>
          </w:tcPr>
          <w:p w:rsidR="005A4337" w:rsidRPr="001567C8" w:rsidRDefault="005A4337" w:rsidP="005A4337">
            <w:pPr>
              <w:pStyle w:val="TH"/>
              <w:spacing w:line="240" w:lineRule="auto"/>
              <w:jc w:val="right"/>
              <w:rPr>
                <w:rFonts w:asciiTheme="minorHAnsi" w:hAnsiTheme="minorHAnsi" w:cs="Arial"/>
                <w:szCs w:val="19"/>
                <w:lang w:val="hr-HR"/>
              </w:rPr>
            </w:pPr>
          </w:p>
        </w:tc>
        <w:tc>
          <w:tcPr>
            <w:tcW w:w="568" w:type="pct"/>
            <w:vAlign w:val="bottom"/>
          </w:tcPr>
          <w:p w:rsidR="005A4337" w:rsidRPr="001567C8" w:rsidRDefault="005A4337" w:rsidP="005A4337">
            <w:pPr>
              <w:pStyle w:val="TH"/>
              <w:spacing w:line="240" w:lineRule="auto"/>
              <w:jc w:val="right"/>
              <w:rPr>
                <w:rFonts w:asciiTheme="minorHAnsi" w:hAnsiTheme="minorHAnsi" w:cs="Arial"/>
                <w:szCs w:val="19"/>
                <w:lang w:val="hr-HR"/>
              </w:rPr>
            </w:pPr>
          </w:p>
        </w:tc>
        <w:tc>
          <w:tcPr>
            <w:tcW w:w="568" w:type="pct"/>
            <w:vAlign w:val="bottom"/>
          </w:tcPr>
          <w:p w:rsidR="005A4337" w:rsidRPr="001567C8" w:rsidRDefault="005A4337" w:rsidP="005A4337">
            <w:pPr>
              <w:pStyle w:val="TH"/>
              <w:spacing w:line="240" w:lineRule="auto"/>
              <w:jc w:val="right"/>
              <w:rPr>
                <w:rFonts w:asciiTheme="minorHAnsi" w:hAnsiTheme="minorHAnsi" w:cs="Arial"/>
                <w:szCs w:val="19"/>
                <w:lang w:val="hr-HR"/>
              </w:rPr>
            </w:pPr>
          </w:p>
        </w:tc>
        <w:tc>
          <w:tcPr>
            <w:tcW w:w="569" w:type="pct"/>
            <w:vAlign w:val="bottom"/>
          </w:tcPr>
          <w:p w:rsidR="005A4337" w:rsidRPr="001567C8" w:rsidRDefault="005A4337" w:rsidP="005A4337">
            <w:pPr>
              <w:pStyle w:val="TH"/>
              <w:spacing w:line="240" w:lineRule="auto"/>
              <w:jc w:val="right"/>
              <w:rPr>
                <w:rFonts w:asciiTheme="minorHAnsi" w:hAnsiTheme="minorHAnsi" w:cs="Arial"/>
                <w:szCs w:val="19"/>
                <w:lang w:val="hr-HR"/>
              </w:rPr>
            </w:pPr>
          </w:p>
        </w:tc>
      </w:tr>
      <w:tr w:rsidR="00A41157" w:rsidRPr="001567C8" w:rsidTr="00A41157">
        <w:trPr>
          <w:cantSplit/>
          <w:trHeight w:val="250"/>
          <w:tblHeader/>
        </w:trPr>
        <w:tc>
          <w:tcPr>
            <w:tcW w:w="2726" w:type="pct"/>
            <w:vAlign w:val="center"/>
          </w:tcPr>
          <w:p w:rsidR="00A41157" w:rsidRPr="001567C8"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Financijske djelatnosti i djelatnosti osiguranja</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13.027.345</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13.982.804</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w:t>
            </w:r>
          </w:p>
        </w:tc>
      </w:tr>
      <w:tr w:rsidR="00A41157" w:rsidRPr="001567C8" w:rsidTr="00A41157">
        <w:trPr>
          <w:cantSplit/>
          <w:trHeight w:val="250"/>
          <w:tblHeader/>
        </w:trPr>
        <w:tc>
          <w:tcPr>
            <w:tcW w:w="2726" w:type="pct"/>
            <w:vAlign w:val="center"/>
          </w:tcPr>
          <w:p w:rsidR="00A41157" w:rsidRPr="001567C8"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Vodoopskrba, opskrba električnom energijom i ostala infrastruktura</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1.381.948</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1.029.981</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1.260.064</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931.740</w:t>
            </w:r>
          </w:p>
        </w:tc>
      </w:tr>
      <w:tr w:rsidR="00A41157" w:rsidRPr="001567C8" w:rsidTr="00A41157">
        <w:trPr>
          <w:cantSplit/>
          <w:trHeight w:val="250"/>
          <w:tblHeader/>
        </w:trPr>
        <w:tc>
          <w:tcPr>
            <w:tcW w:w="2726" w:type="pct"/>
            <w:vAlign w:val="center"/>
          </w:tcPr>
          <w:p w:rsidR="00A41157" w:rsidRPr="001567C8"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Turizam</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3.113.457</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77.346</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3.550.170</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268.533</w:t>
            </w:r>
          </w:p>
        </w:tc>
      </w:tr>
      <w:tr w:rsidR="00A41157" w:rsidRPr="001567C8" w:rsidTr="00A41157">
        <w:trPr>
          <w:cantSplit/>
          <w:trHeight w:val="250"/>
          <w:tblHeader/>
        </w:trPr>
        <w:tc>
          <w:tcPr>
            <w:tcW w:w="2726" w:type="pct"/>
            <w:vAlign w:val="center"/>
          </w:tcPr>
          <w:p w:rsidR="00A41157" w:rsidRPr="001567C8"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Prijevoz, skladištenje i veze</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1.955.578</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695.034</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1.979.333</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857.741</w:t>
            </w:r>
          </w:p>
        </w:tc>
      </w:tr>
      <w:tr w:rsidR="00A41157" w:rsidRPr="001567C8" w:rsidTr="00A41157">
        <w:trPr>
          <w:cantSplit/>
          <w:trHeight w:val="250"/>
          <w:tblHeader/>
        </w:trPr>
        <w:tc>
          <w:tcPr>
            <w:tcW w:w="2726" w:type="pct"/>
            <w:vAlign w:val="center"/>
          </w:tcPr>
          <w:p w:rsidR="00A41157" w:rsidRPr="001567C8" w:rsidDel="00FF5490"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Brodogradnja</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2.995.154</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382.101</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2.994.248</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416.604</w:t>
            </w:r>
          </w:p>
        </w:tc>
      </w:tr>
      <w:tr w:rsidR="00A41157" w:rsidRPr="001567C8" w:rsidTr="00A41157">
        <w:trPr>
          <w:cantSplit/>
          <w:trHeight w:val="250"/>
          <w:tblHeader/>
        </w:trPr>
        <w:tc>
          <w:tcPr>
            <w:tcW w:w="2726" w:type="pct"/>
            <w:vAlign w:val="center"/>
          </w:tcPr>
          <w:p w:rsidR="00A41157" w:rsidRPr="001567C8" w:rsidDel="00FF5490"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Poljoprivreda i ribarstvo</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517.943</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129.354</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455.679</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68.956</w:t>
            </w:r>
          </w:p>
        </w:tc>
      </w:tr>
      <w:tr w:rsidR="00A41157" w:rsidRPr="001567C8" w:rsidTr="00A41157">
        <w:trPr>
          <w:cantSplit/>
          <w:trHeight w:val="250"/>
          <w:tblHeader/>
        </w:trPr>
        <w:tc>
          <w:tcPr>
            <w:tcW w:w="2726" w:type="pct"/>
            <w:vAlign w:val="center"/>
          </w:tcPr>
          <w:p w:rsidR="00A41157" w:rsidRPr="001567C8" w:rsidDel="00FF5490"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Proizvodnja prehrambenih proizvoda</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824.134</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117.521</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951.920</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143.027</w:t>
            </w:r>
          </w:p>
        </w:tc>
      </w:tr>
      <w:tr w:rsidR="00A41157" w:rsidRPr="001567C8" w:rsidTr="00A41157">
        <w:trPr>
          <w:cantSplit/>
          <w:trHeight w:val="250"/>
          <w:tblHeader/>
        </w:trPr>
        <w:tc>
          <w:tcPr>
            <w:tcW w:w="2726" w:type="pct"/>
            <w:vAlign w:val="center"/>
          </w:tcPr>
          <w:p w:rsidR="00A41157" w:rsidRPr="001567C8" w:rsidDel="00FF5490"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sz w:val="19"/>
                <w:szCs w:val="19"/>
                <w:lang w:val="hr-HR"/>
              </w:rPr>
              <w:t>Građevinarstvo</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1.011.110</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65.933</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1.225.514</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52.839</w:t>
            </w:r>
          </w:p>
        </w:tc>
      </w:tr>
      <w:tr w:rsidR="00A41157" w:rsidRPr="001567C8" w:rsidTr="00A41157">
        <w:trPr>
          <w:cantSplit/>
          <w:trHeight w:val="250"/>
          <w:tblHeader/>
        </w:trPr>
        <w:tc>
          <w:tcPr>
            <w:tcW w:w="2726" w:type="pct"/>
            <w:vAlign w:val="center"/>
          </w:tcPr>
          <w:p w:rsidR="00A41157" w:rsidRPr="001567C8" w:rsidDel="00FF5490"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sz w:val="19"/>
                <w:szCs w:val="19"/>
                <w:lang w:val="hr-HR"/>
              </w:rPr>
              <w:t>Ostala industrija</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460.205</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130.659</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492.757</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148.974</w:t>
            </w:r>
          </w:p>
        </w:tc>
      </w:tr>
      <w:tr w:rsidR="00A41157" w:rsidRPr="001567C8" w:rsidTr="00A41157">
        <w:trPr>
          <w:cantSplit/>
          <w:trHeight w:val="250"/>
          <w:tblHeader/>
        </w:trPr>
        <w:tc>
          <w:tcPr>
            <w:tcW w:w="2726" w:type="pct"/>
            <w:vAlign w:val="center"/>
          </w:tcPr>
          <w:p w:rsidR="00A41157" w:rsidRPr="001567C8" w:rsidDel="00FF5490"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Javna uprava</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3.750.268</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3.750.268</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2.432.805</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2.432.805</w:t>
            </w:r>
          </w:p>
        </w:tc>
      </w:tr>
      <w:tr w:rsidR="00A41157" w:rsidRPr="001567C8" w:rsidTr="00A41157">
        <w:trPr>
          <w:cantSplit/>
          <w:trHeight w:val="250"/>
          <w:tblHeader/>
        </w:trPr>
        <w:tc>
          <w:tcPr>
            <w:tcW w:w="2726" w:type="pct"/>
            <w:vAlign w:val="center"/>
          </w:tcPr>
          <w:p w:rsidR="00A41157" w:rsidRPr="001567C8" w:rsidDel="00FF5490"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Obrazovanje</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43.562</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39.163</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47.201</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42.085</w:t>
            </w:r>
          </w:p>
        </w:tc>
      </w:tr>
      <w:tr w:rsidR="00A41157" w:rsidRPr="001567C8" w:rsidTr="00A41157">
        <w:trPr>
          <w:cantSplit/>
          <w:trHeight w:val="250"/>
          <w:tblHeader/>
        </w:trPr>
        <w:tc>
          <w:tcPr>
            <w:tcW w:w="2726" w:type="pct"/>
            <w:vAlign w:val="center"/>
          </w:tcPr>
          <w:p w:rsidR="00A41157" w:rsidRPr="001567C8"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 xml:space="preserve">Proizvodnja metala i gotovih metalnih proizvoda, osim strojeva i opreme </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218.982</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19.122</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321.017</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55.363</w:t>
            </w:r>
          </w:p>
        </w:tc>
      </w:tr>
      <w:tr w:rsidR="00A41157" w:rsidRPr="001567C8" w:rsidTr="00A41157">
        <w:trPr>
          <w:cantSplit/>
          <w:trHeight w:val="250"/>
          <w:tblHeader/>
        </w:trPr>
        <w:tc>
          <w:tcPr>
            <w:tcW w:w="2726" w:type="pct"/>
            <w:vAlign w:val="center"/>
          </w:tcPr>
          <w:p w:rsidR="00A41157" w:rsidRPr="001567C8" w:rsidRDefault="00A41157" w:rsidP="00A41157">
            <w:pPr>
              <w:spacing w:line="288" w:lineRule="auto"/>
              <w:rPr>
                <w:rFonts w:asciiTheme="minorHAnsi" w:hAnsiTheme="minorHAnsi" w:cs="Arial"/>
                <w:sz w:val="19"/>
                <w:szCs w:val="19"/>
                <w:lang w:val="hr-HR"/>
              </w:rPr>
            </w:pPr>
            <w:r w:rsidRPr="001567C8">
              <w:rPr>
                <w:rFonts w:asciiTheme="minorHAnsi" w:hAnsiTheme="minorHAnsi" w:cs="Arial"/>
                <w:bCs/>
                <w:sz w:val="19"/>
                <w:szCs w:val="19"/>
                <w:lang w:val="hr-HR"/>
              </w:rPr>
              <w:t>Proizvodnja kemikalija i kemijskih proizvoda</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74.166</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54.351</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403.025</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89.644</w:t>
            </w:r>
          </w:p>
        </w:tc>
      </w:tr>
      <w:tr w:rsidR="00A41157" w:rsidRPr="001567C8" w:rsidTr="00A41157">
        <w:trPr>
          <w:cantSplit/>
          <w:trHeight w:val="250"/>
          <w:tblHeader/>
        </w:trPr>
        <w:tc>
          <w:tcPr>
            <w:tcW w:w="2726" w:type="pct"/>
            <w:vAlign w:val="center"/>
          </w:tcPr>
          <w:p w:rsidR="00A41157" w:rsidRPr="001567C8"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 xml:space="preserve">Proizvodnja ostalih nemetalnih mineralnih proizvoda </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207.522</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65.189</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261.037</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55.807</w:t>
            </w:r>
          </w:p>
        </w:tc>
      </w:tr>
      <w:tr w:rsidR="00A41157" w:rsidRPr="001567C8" w:rsidTr="00A41157">
        <w:trPr>
          <w:cantSplit/>
          <w:trHeight w:val="250"/>
          <w:tblHeader/>
        </w:trPr>
        <w:tc>
          <w:tcPr>
            <w:tcW w:w="2726" w:type="pct"/>
            <w:vAlign w:val="center"/>
          </w:tcPr>
          <w:p w:rsidR="00A41157" w:rsidRPr="001567C8" w:rsidRDefault="00A41157" w:rsidP="00A41157">
            <w:pPr>
              <w:spacing w:line="288" w:lineRule="auto"/>
              <w:rPr>
                <w:rFonts w:asciiTheme="minorHAnsi" w:hAnsiTheme="minorHAnsi" w:cs="Arial"/>
                <w:bCs/>
                <w:sz w:val="19"/>
                <w:szCs w:val="19"/>
                <w:lang w:val="hr-HR"/>
              </w:rPr>
            </w:pPr>
            <w:r w:rsidRPr="001567C8">
              <w:rPr>
                <w:rFonts w:asciiTheme="minorHAnsi" w:hAnsiTheme="minorHAnsi" w:cs="Arial"/>
                <w:bCs/>
                <w:sz w:val="19"/>
                <w:szCs w:val="19"/>
                <w:lang w:val="hr-HR"/>
              </w:rPr>
              <w:t>Proizvodnja farmaceutskih pripravaka</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460.893</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543.887</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w:t>
            </w:r>
          </w:p>
        </w:tc>
      </w:tr>
      <w:tr w:rsidR="00A41157" w:rsidRPr="001567C8" w:rsidTr="00A41157">
        <w:trPr>
          <w:cantSplit/>
          <w:trHeight w:val="250"/>
          <w:tblHeader/>
        </w:trPr>
        <w:tc>
          <w:tcPr>
            <w:tcW w:w="2726" w:type="pct"/>
            <w:vAlign w:val="bottom"/>
          </w:tcPr>
          <w:p w:rsidR="00A41157" w:rsidRPr="001567C8" w:rsidRDefault="00A41157" w:rsidP="00A41157">
            <w:pPr>
              <w:spacing w:line="288" w:lineRule="auto"/>
              <w:rPr>
                <w:rFonts w:asciiTheme="minorHAnsi" w:hAnsiTheme="minorHAnsi" w:cs="Arial"/>
                <w:sz w:val="19"/>
                <w:szCs w:val="19"/>
                <w:lang w:val="hr-HR"/>
              </w:rPr>
            </w:pPr>
            <w:r w:rsidRPr="001567C8">
              <w:rPr>
                <w:rFonts w:asciiTheme="minorHAnsi" w:hAnsiTheme="minorHAnsi" w:cs="Arial"/>
                <w:bCs/>
                <w:sz w:val="19"/>
                <w:szCs w:val="19"/>
                <w:lang w:val="hr-HR"/>
              </w:rPr>
              <w:t>Ostalo</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1.826.088</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theme="minorHAnsi"/>
                <w:sz w:val="19"/>
                <w:szCs w:val="19"/>
                <w:lang w:val="hr-HR"/>
              </w:rPr>
            </w:pPr>
            <w:r w:rsidRPr="00CD3A2D">
              <w:rPr>
                <w:rFonts w:asciiTheme="minorHAnsi" w:hAnsiTheme="minorHAnsi" w:cstheme="minorHAnsi"/>
                <w:sz w:val="19"/>
                <w:szCs w:val="19"/>
                <w:lang w:val="hr-HR"/>
              </w:rPr>
              <w:t>312.540</w:t>
            </w:r>
          </w:p>
        </w:tc>
        <w:tc>
          <w:tcPr>
            <w:tcW w:w="568"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1.672.002</w:t>
            </w:r>
          </w:p>
        </w:tc>
        <w:tc>
          <w:tcPr>
            <w:tcW w:w="569" w:type="pct"/>
            <w:tcBorders>
              <w:top w:val="nil"/>
              <w:left w:val="nil"/>
              <w:bottom w:val="nil"/>
              <w:right w:val="nil"/>
            </w:tcBorders>
            <w:shd w:val="clear" w:color="auto" w:fill="auto"/>
            <w:vAlign w:val="bottom"/>
          </w:tcPr>
          <w:p w:rsidR="00A41157" w:rsidRPr="001567C8" w:rsidRDefault="00A41157" w:rsidP="00A41157">
            <w:pPr>
              <w:tabs>
                <w:tab w:val="right" w:pos="1202"/>
              </w:tabs>
              <w:spacing w:line="301" w:lineRule="exact"/>
              <w:jc w:val="right"/>
              <w:outlineLvl w:val="0"/>
              <w:rPr>
                <w:rFonts w:asciiTheme="minorHAnsi" w:hAnsiTheme="minorHAnsi" w:cs="Arial"/>
                <w:sz w:val="19"/>
                <w:szCs w:val="19"/>
                <w:lang w:val="hr-HR"/>
              </w:rPr>
            </w:pPr>
            <w:r w:rsidRPr="00CD3A2D">
              <w:rPr>
                <w:rFonts w:ascii="Calibri" w:hAnsi="Calibri" w:cs="Calibri"/>
                <w:color w:val="000000"/>
                <w:sz w:val="19"/>
                <w:szCs w:val="19"/>
                <w:lang w:val="hr-HR"/>
              </w:rPr>
              <w:t>476.249</w:t>
            </w:r>
          </w:p>
        </w:tc>
      </w:tr>
      <w:tr w:rsidR="00202833" w:rsidRPr="001567C8" w:rsidTr="00A41157">
        <w:tblPrEx>
          <w:tblCellMar>
            <w:left w:w="31" w:type="dxa"/>
            <w:right w:w="31" w:type="dxa"/>
          </w:tblCellMar>
        </w:tblPrEx>
        <w:trPr>
          <w:cantSplit/>
          <w:trHeight w:val="74"/>
          <w:tblHeader/>
        </w:trPr>
        <w:tc>
          <w:tcPr>
            <w:tcW w:w="2726" w:type="pct"/>
            <w:vAlign w:val="center"/>
          </w:tcPr>
          <w:p w:rsidR="00202833" w:rsidRPr="001567C8" w:rsidRDefault="00202833" w:rsidP="00202833">
            <w:pPr>
              <w:spacing w:line="140" w:lineRule="exact"/>
              <w:rPr>
                <w:rFonts w:asciiTheme="minorHAnsi" w:hAnsiTheme="minorHAnsi" w:cs="Arial"/>
                <w:bCs/>
                <w:sz w:val="19"/>
                <w:szCs w:val="19"/>
                <w:lang w:val="hr-HR"/>
              </w:rPr>
            </w:pPr>
          </w:p>
        </w:tc>
        <w:tc>
          <w:tcPr>
            <w:tcW w:w="568" w:type="pct"/>
            <w:tcBorders>
              <w:bottom w:val="single" w:sz="8" w:space="0" w:color="auto"/>
            </w:tcBorders>
            <w:shd w:val="clear" w:color="auto" w:fill="auto"/>
            <w:vAlign w:val="bottom"/>
          </w:tcPr>
          <w:p w:rsidR="00202833" w:rsidRPr="001567C8" w:rsidRDefault="00202833" w:rsidP="00A41157">
            <w:pPr>
              <w:tabs>
                <w:tab w:val="right" w:pos="1202"/>
              </w:tabs>
              <w:spacing w:line="140" w:lineRule="exact"/>
              <w:jc w:val="right"/>
              <w:outlineLvl w:val="0"/>
              <w:rPr>
                <w:rFonts w:asciiTheme="minorHAnsi" w:hAnsiTheme="minorHAnsi" w:cstheme="minorHAnsi"/>
                <w:sz w:val="19"/>
                <w:szCs w:val="19"/>
                <w:lang w:val="hr-HR"/>
              </w:rPr>
            </w:pPr>
          </w:p>
        </w:tc>
        <w:tc>
          <w:tcPr>
            <w:tcW w:w="568" w:type="pct"/>
            <w:tcBorders>
              <w:bottom w:val="single" w:sz="8" w:space="0" w:color="auto"/>
            </w:tcBorders>
            <w:shd w:val="clear" w:color="auto" w:fill="auto"/>
            <w:vAlign w:val="bottom"/>
          </w:tcPr>
          <w:p w:rsidR="00202833" w:rsidRPr="001567C8" w:rsidRDefault="00202833" w:rsidP="00A41157">
            <w:pPr>
              <w:tabs>
                <w:tab w:val="right" w:pos="1202"/>
              </w:tabs>
              <w:spacing w:line="140" w:lineRule="exact"/>
              <w:jc w:val="right"/>
              <w:outlineLvl w:val="0"/>
              <w:rPr>
                <w:rFonts w:asciiTheme="minorHAnsi" w:hAnsiTheme="minorHAnsi" w:cstheme="minorHAnsi"/>
                <w:sz w:val="19"/>
                <w:szCs w:val="19"/>
                <w:lang w:val="hr-HR"/>
              </w:rPr>
            </w:pPr>
          </w:p>
        </w:tc>
        <w:tc>
          <w:tcPr>
            <w:tcW w:w="568" w:type="pct"/>
            <w:tcBorders>
              <w:top w:val="nil"/>
              <w:left w:val="nil"/>
              <w:bottom w:val="single" w:sz="8" w:space="0" w:color="auto"/>
              <w:right w:val="nil"/>
            </w:tcBorders>
            <w:shd w:val="clear" w:color="auto" w:fill="auto"/>
            <w:vAlign w:val="bottom"/>
          </w:tcPr>
          <w:p w:rsidR="00202833" w:rsidRPr="001567C8" w:rsidRDefault="00202833" w:rsidP="00A41157">
            <w:pPr>
              <w:tabs>
                <w:tab w:val="right" w:pos="1202"/>
              </w:tabs>
              <w:spacing w:line="140" w:lineRule="exact"/>
              <w:jc w:val="right"/>
              <w:outlineLvl w:val="0"/>
              <w:rPr>
                <w:rFonts w:asciiTheme="minorHAnsi" w:hAnsiTheme="minorHAnsi" w:cs="Arial"/>
                <w:sz w:val="19"/>
                <w:szCs w:val="19"/>
                <w:lang w:val="hr-HR"/>
              </w:rPr>
            </w:pPr>
          </w:p>
        </w:tc>
        <w:tc>
          <w:tcPr>
            <w:tcW w:w="569" w:type="pct"/>
            <w:tcBorders>
              <w:top w:val="nil"/>
              <w:left w:val="nil"/>
              <w:bottom w:val="single" w:sz="8" w:space="0" w:color="auto"/>
              <w:right w:val="nil"/>
            </w:tcBorders>
            <w:shd w:val="clear" w:color="auto" w:fill="auto"/>
            <w:vAlign w:val="bottom"/>
          </w:tcPr>
          <w:p w:rsidR="00202833" w:rsidRPr="001567C8" w:rsidRDefault="00202833" w:rsidP="00A41157">
            <w:pPr>
              <w:tabs>
                <w:tab w:val="right" w:pos="1202"/>
              </w:tabs>
              <w:spacing w:line="140" w:lineRule="exact"/>
              <w:jc w:val="right"/>
              <w:outlineLvl w:val="0"/>
              <w:rPr>
                <w:rFonts w:asciiTheme="minorHAnsi" w:hAnsiTheme="minorHAnsi" w:cs="Arial"/>
                <w:sz w:val="19"/>
                <w:szCs w:val="19"/>
                <w:lang w:val="hr-HR"/>
              </w:rPr>
            </w:pPr>
          </w:p>
        </w:tc>
      </w:tr>
      <w:tr w:rsidR="00202833" w:rsidRPr="001567C8" w:rsidTr="00A41157">
        <w:tblPrEx>
          <w:tblCellMar>
            <w:left w:w="31" w:type="dxa"/>
            <w:right w:w="31" w:type="dxa"/>
          </w:tblCellMar>
        </w:tblPrEx>
        <w:trPr>
          <w:cantSplit/>
          <w:trHeight w:hRule="exact" w:val="113"/>
          <w:tblHeader/>
        </w:trPr>
        <w:tc>
          <w:tcPr>
            <w:tcW w:w="2726" w:type="pct"/>
            <w:vAlign w:val="center"/>
          </w:tcPr>
          <w:p w:rsidR="00202833" w:rsidRPr="001567C8" w:rsidRDefault="00202833" w:rsidP="00202833">
            <w:pPr>
              <w:rPr>
                <w:rFonts w:asciiTheme="minorHAnsi" w:hAnsiTheme="minorHAnsi" w:cs="Arial"/>
                <w:b/>
                <w:bCs/>
                <w:sz w:val="19"/>
                <w:szCs w:val="19"/>
                <w:lang w:val="hr-HR"/>
              </w:rPr>
            </w:pPr>
          </w:p>
        </w:tc>
        <w:tc>
          <w:tcPr>
            <w:tcW w:w="568" w:type="pct"/>
            <w:tcBorders>
              <w:top w:val="single" w:sz="8" w:space="0" w:color="auto"/>
            </w:tcBorders>
            <w:shd w:val="clear" w:color="auto" w:fill="auto"/>
            <w:vAlign w:val="bottom"/>
          </w:tcPr>
          <w:p w:rsidR="00202833" w:rsidRPr="001567C8" w:rsidRDefault="00202833" w:rsidP="00A41157">
            <w:pPr>
              <w:tabs>
                <w:tab w:val="right" w:pos="1202"/>
              </w:tabs>
              <w:jc w:val="right"/>
              <w:outlineLvl w:val="0"/>
              <w:rPr>
                <w:rFonts w:asciiTheme="minorHAnsi" w:hAnsiTheme="minorHAnsi" w:cstheme="minorHAnsi"/>
                <w:noProof/>
                <w:sz w:val="19"/>
                <w:szCs w:val="19"/>
                <w:lang w:val="hr-HR" w:eastAsia="hr-HR"/>
              </w:rPr>
            </w:pPr>
          </w:p>
        </w:tc>
        <w:tc>
          <w:tcPr>
            <w:tcW w:w="568" w:type="pct"/>
            <w:tcBorders>
              <w:top w:val="single" w:sz="8" w:space="0" w:color="auto"/>
            </w:tcBorders>
            <w:shd w:val="clear" w:color="auto" w:fill="auto"/>
            <w:vAlign w:val="bottom"/>
          </w:tcPr>
          <w:p w:rsidR="00202833" w:rsidRPr="001567C8" w:rsidRDefault="00202833" w:rsidP="00A41157">
            <w:pPr>
              <w:tabs>
                <w:tab w:val="right" w:pos="1202"/>
              </w:tabs>
              <w:jc w:val="right"/>
              <w:outlineLvl w:val="0"/>
              <w:rPr>
                <w:rFonts w:asciiTheme="minorHAnsi" w:hAnsiTheme="minorHAnsi" w:cstheme="minorHAnsi"/>
                <w:b/>
                <w:sz w:val="19"/>
                <w:szCs w:val="19"/>
                <w:lang w:val="hr-HR"/>
              </w:rPr>
            </w:pPr>
          </w:p>
        </w:tc>
        <w:tc>
          <w:tcPr>
            <w:tcW w:w="568" w:type="pct"/>
            <w:tcBorders>
              <w:top w:val="single" w:sz="8" w:space="0" w:color="auto"/>
              <w:left w:val="nil"/>
              <w:bottom w:val="nil"/>
              <w:right w:val="nil"/>
            </w:tcBorders>
            <w:shd w:val="clear" w:color="auto" w:fill="auto"/>
            <w:vAlign w:val="bottom"/>
          </w:tcPr>
          <w:p w:rsidR="00202833" w:rsidRPr="001567C8" w:rsidRDefault="00202833" w:rsidP="00A41157">
            <w:pPr>
              <w:tabs>
                <w:tab w:val="right" w:pos="1202"/>
              </w:tabs>
              <w:jc w:val="right"/>
              <w:outlineLvl w:val="0"/>
              <w:rPr>
                <w:rFonts w:asciiTheme="minorHAnsi" w:hAnsiTheme="minorHAnsi" w:cs="Arial"/>
                <w:noProof/>
                <w:sz w:val="19"/>
                <w:szCs w:val="19"/>
                <w:lang w:val="hr-HR" w:eastAsia="hr-HR"/>
              </w:rPr>
            </w:pPr>
          </w:p>
        </w:tc>
        <w:tc>
          <w:tcPr>
            <w:tcW w:w="569" w:type="pct"/>
            <w:tcBorders>
              <w:top w:val="single" w:sz="8" w:space="0" w:color="auto"/>
              <w:left w:val="nil"/>
              <w:bottom w:val="nil"/>
              <w:right w:val="nil"/>
            </w:tcBorders>
            <w:shd w:val="clear" w:color="auto" w:fill="auto"/>
            <w:vAlign w:val="bottom"/>
          </w:tcPr>
          <w:p w:rsidR="00202833" w:rsidRPr="001567C8" w:rsidRDefault="00202833" w:rsidP="00A41157">
            <w:pPr>
              <w:tabs>
                <w:tab w:val="right" w:pos="1202"/>
              </w:tabs>
              <w:jc w:val="right"/>
              <w:outlineLvl w:val="0"/>
              <w:rPr>
                <w:rFonts w:asciiTheme="minorHAnsi" w:hAnsiTheme="minorHAnsi" w:cs="Arial"/>
                <w:b/>
                <w:sz w:val="19"/>
                <w:szCs w:val="19"/>
                <w:lang w:val="hr-HR"/>
              </w:rPr>
            </w:pPr>
          </w:p>
        </w:tc>
      </w:tr>
      <w:tr w:rsidR="00A41157" w:rsidRPr="001567C8" w:rsidTr="00A41157">
        <w:tblPrEx>
          <w:tblCellMar>
            <w:left w:w="31" w:type="dxa"/>
            <w:right w:w="31" w:type="dxa"/>
          </w:tblCellMar>
        </w:tblPrEx>
        <w:trPr>
          <w:cantSplit/>
          <w:trHeight w:val="322"/>
          <w:tblHeader/>
        </w:trPr>
        <w:tc>
          <w:tcPr>
            <w:tcW w:w="2726" w:type="pct"/>
            <w:vAlign w:val="center"/>
          </w:tcPr>
          <w:p w:rsidR="00A41157" w:rsidRPr="001567C8" w:rsidRDefault="00A41157" w:rsidP="00A41157">
            <w:pPr>
              <w:rPr>
                <w:rFonts w:asciiTheme="minorHAnsi" w:hAnsiTheme="minorHAnsi" w:cs="Arial"/>
                <w:b/>
                <w:bCs/>
                <w:sz w:val="19"/>
                <w:szCs w:val="19"/>
                <w:lang w:val="hr-HR"/>
              </w:rPr>
            </w:pPr>
            <w:r w:rsidRPr="001567C8">
              <w:rPr>
                <w:rFonts w:asciiTheme="minorHAnsi" w:hAnsiTheme="minorHAnsi" w:cs="Arial"/>
                <w:b/>
                <w:bCs/>
                <w:sz w:val="19"/>
                <w:szCs w:val="19"/>
                <w:lang w:val="hr-HR"/>
              </w:rPr>
              <w:t>Ukupna izloženost kreditnom riziku</w:t>
            </w:r>
          </w:p>
        </w:tc>
        <w:tc>
          <w:tcPr>
            <w:tcW w:w="568" w:type="pct"/>
            <w:tcBorders>
              <w:left w:val="nil"/>
              <w:bottom w:val="single" w:sz="12" w:space="0" w:color="auto"/>
              <w:right w:val="nil"/>
            </w:tcBorders>
            <w:shd w:val="clear" w:color="auto" w:fill="auto"/>
            <w:vAlign w:val="center"/>
          </w:tcPr>
          <w:p w:rsidR="00A41157" w:rsidRPr="001567C8" w:rsidRDefault="00A41157" w:rsidP="00A41157">
            <w:pPr>
              <w:tabs>
                <w:tab w:val="right" w:pos="1202"/>
              </w:tabs>
              <w:jc w:val="right"/>
              <w:outlineLvl w:val="0"/>
              <w:rPr>
                <w:rFonts w:asciiTheme="minorHAnsi" w:hAnsiTheme="minorHAnsi" w:cstheme="minorHAnsi"/>
                <w:b/>
                <w:noProof/>
                <w:sz w:val="19"/>
                <w:szCs w:val="19"/>
                <w:lang w:val="hr-HR" w:eastAsia="hr-HR"/>
              </w:rPr>
            </w:pPr>
            <w:r w:rsidRPr="00CD3A2D">
              <w:rPr>
                <w:rFonts w:asciiTheme="minorHAnsi" w:hAnsiTheme="minorHAnsi" w:cstheme="minorHAnsi"/>
                <w:b/>
                <w:sz w:val="19"/>
                <w:szCs w:val="19"/>
                <w:lang w:val="hr-HR"/>
              </w:rPr>
              <w:t>31.868.355</w:t>
            </w:r>
          </w:p>
        </w:tc>
        <w:tc>
          <w:tcPr>
            <w:tcW w:w="568" w:type="pct"/>
            <w:tcBorders>
              <w:left w:val="nil"/>
              <w:bottom w:val="single" w:sz="12" w:space="0" w:color="auto"/>
              <w:right w:val="nil"/>
            </w:tcBorders>
            <w:shd w:val="clear" w:color="auto" w:fill="auto"/>
            <w:vAlign w:val="center"/>
          </w:tcPr>
          <w:p w:rsidR="00A41157" w:rsidRPr="001567C8" w:rsidRDefault="00A41157" w:rsidP="00A41157">
            <w:pPr>
              <w:tabs>
                <w:tab w:val="right" w:pos="1202"/>
              </w:tabs>
              <w:jc w:val="right"/>
              <w:outlineLvl w:val="0"/>
              <w:rPr>
                <w:rFonts w:asciiTheme="minorHAnsi" w:hAnsiTheme="minorHAnsi" w:cstheme="minorHAnsi"/>
                <w:b/>
                <w:sz w:val="19"/>
                <w:szCs w:val="19"/>
                <w:lang w:val="hr-HR"/>
              </w:rPr>
            </w:pPr>
            <w:r w:rsidRPr="00CD3A2D">
              <w:rPr>
                <w:rFonts w:asciiTheme="minorHAnsi" w:hAnsiTheme="minorHAnsi" w:cstheme="minorHAnsi"/>
                <w:b/>
                <w:sz w:val="19"/>
                <w:szCs w:val="19"/>
                <w:lang w:val="hr-HR"/>
              </w:rPr>
              <w:t>6.868.562</w:t>
            </w:r>
          </w:p>
        </w:tc>
        <w:tc>
          <w:tcPr>
            <w:tcW w:w="568" w:type="pct"/>
            <w:tcBorders>
              <w:top w:val="nil"/>
              <w:left w:val="nil"/>
              <w:bottom w:val="nil"/>
              <w:right w:val="nil"/>
            </w:tcBorders>
            <w:shd w:val="clear" w:color="auto" w:fill="auto"/>
            <w:vAlign w:val="center"/>
          </w:tcPr>
          <w:p w:rsidR="00A41157" w:rsidRPr="001567C8" w:rsidRDefault="00A41157" w:rsidP="00A41157">
            <w:pPr>
              <w:tabs>
                <w:tab w:val="right" w:pos="1202"/>
              </w:tabs>
              <w:jc w:val="right"/>
              <w:outlineLvl w:val="0"/>
              <w:rPr>
                <w:rFonts w:asciiTheme="minorHAnsi" w:hAnsiTheme="minorHAnsi" w:cs="Arial"/>
                <w:b/>
                <w:noProof/>
                <w:sz w:val="19"/>
                <w:szCs w:val="19"/>
                <w:lang w:val="hr-HR" w:eastAsia="hr-HR"/>
              </w:rPr>
            </w:pPr>
            <w:r w:rsidRPr="00CD3A2D">
              <w:rPr>
                <w:rFonts w:ascii="Calibri" w:hAnsi="Calibri" w:cs="Calibri"/>
                <w:b/>
                <w:bCs/>
                <w:color w:val="000000"/>
                <w:sz w:val="19"/>
                <w:szCs w:val="19"/>
                <w:lang w:val="hr-HR"/>
              </w:rPr>
              <w:t>32.573.463</w:t>
            </w:r>
          </w:p>
        </w:tc>
        <w:tc>
          <w:tcPr>
            <w:tcW w:w="569" w:type="pct"/>
            <w:tcBorders>
              <w:top w:val="nil"/>
              <w:left w:val="nil"/>
              <w:bottom w:val="nil"/>
              <w:right w:val="nil"/>
            </w:tcBorders>
            <w:shd w:val="clear" w:color="auto" w:fill="auto"/>
            <w:vAlign w:val="center"/>
          </w:tcPr>
          <w:p w:rsidR="00A41157" w:rsidRPr="001567C8" w:rsidRDefault="00A41157" w:rsidP="00A41157">
            <w:pPr>
              <w:tabs>
                <w:tab w:val="right" w:pos="1202"/>
              </w:tabs>
              <w:jc w:val="right"/>
              <w:outlineLvl w:val="0"/>
              <w:rPr>
                <w:rFonts w:asciiTheme="minorHAnsi" w:hAnsiTheme="minorHAnsi" w:cs="Arial"/>
                <w:b/>
                <w:sz w:val="19"/>
                <w:szCs w:val="19"/>
                <w:lang w:val="hr-HR"/>
              </w:rPr>
            </w:pPr>
            <w:r w:rsidRPr="00CD3A2D">
              <w:rPr>
                <w:rFonts w:ascii="Calibri" w:hAnsi="Calibri" w:cs="Calibri"/>
                <w:b/>
                <w:bCs/>
                <w:color w:val="000000"/>
                <w:sz w:val="19"/>
                <w:szCs w:val="19"/>
                <w:lang w:val="hr-HR"/>
              </w:rPr>
              <w:t>6.040.367</w:t>
            </w:r>
          </w:p>
        </w:tc>
      </w:tr>
      <w:tr w:rsidR="00812F82" w:rsidRPr="001567C8" w:rsidTr="00447AB8">
        <w:tblPrEx>
          <w:tblCellMar>
            <w:left w:w="31" w:type="dxa"/>
            <w:right w:w="31" w:type="dxa"/>
          </w:tblCellMar>
        </w:tblPrEx>
        <w:trPr>
          <w:cantSplit/>
          <w:trHeight w:val="30"/>
          <w:tblHeader/>
        </w:trPr>
        <w:tc>
          <w:tcPr>
            <w:tcW w:w="2726" w:type="pct"/>
            <w:vAlign w:val="bottom"/>
          </w:tcPr>
          <w:p w:rsidR="00812F82" w:rsidRPr="001567C8" w:rsidRDefault="00812F82" w:rsidP="00812F82">
            <w:pPr>
              <w:spacing w:line="140" w:lineRule="exact"/>
              <w:rPr>
                <w:rFonts w:asciiTheme="minorHAnsi" w:hAnsiTheme="minorHAnsi" w:cs="Arial"/>
                <w:bCs/>
                <w:sz w:val="19"/>
                <w:szCs w:val="19"/>
                <w:lang w:val="hr-HR"/>
              </w:rPr>
            </w:pPr>
          </w:p>
        </w:tc>
        <w:tc>
          <w:tcPr>
            <w:tcW w:w="568" w:type="pct"/>
            <w:tcBorders>
              <w:top w:val="single" w:sz="12" w:space="0" w:color="auto"/>
            </w:tcBorders>
            <w:vAlign w:val="bottom"/>
          </w:tcPr>
          <w:p w:rsidR="00812F82" w:rsidRPr="001567C8" w:rsidRDefault="00812F82" w:rsidP="00812F82">
            <w:pPr>
              <w:pStyle w:val="TT"/>
              <w:spacing w:line="140" w:lineRule="exact"/>
              <w:jc w:val="right"/>
              <w:rPr>
                <w:rFonts w:asciiTheme="minorHAnsi" w:hAnsiTheme="minorHAnsi" w:cs="Arial"/>
                <w:b/>
                <w:szCs w:val="19"/>
                <w:lang w:val="hr-HR"/>
              </w:rPr>
            </w:pPr>
          </w:p>
        </w:tc>
        <w:tc>
          <w:tcPr>
            <w:tcW w:w="568" w:type="pct"/>
            <w:tcBorders>
              <w:top w:val="single" w:sz="12" w:space="0" w:color="auto"/>
            </w:tcBorders>
            <w:vAlign w:val="bottom"/>
          </w:tcPr>
          <w:p w:rsidR="00812F82" w:rsidRPr="001567C8" w:rsidRDefault="00812F82" w:rsidP="00812F82">
            <w:pPr>
              <w:pStyle w:val="TT"/>
              <w:spacing w:line="140" w:lineRule="exact"/>
              <w:jc w:val="right"/>
              <w:rPr>
                <w:rFonts w:asciiTheme="minorHAnsi" w:hAnsiTheme="minorHAnsi" w:cs="Arial"/>
                <w:b/>
                <w:szCs w:val="19"/>
                <w:lang w:val="hr-HR"/>
              </w:rPr>
            </w:pPr>
          </w:p>
        </w:tc>
        <w:tc>
          <w:tcPr>
            <w:tcW w:w="568" w:type="pct"/>
            <w:tcBorders>
              <w:top w:val="single" w:sz="12" w:space="0" w:color="auto"/>
            </w:tcBorders>
            <w:vAlign w:val="bottom"/>
          </w:tcPr>
          <w:p w:rsidR="00812F82" w:rsidRPr="001567C8" w:rsidRDefault="00812F82" w:rsidP="00812F82">
            <w:pPr>
              <w:pStyle w:val="TT"/>
              <w:spacing w:line="140" w:lineRule="exact"/>
              <w:jc w:val="right"/>
              <w:rPr>
                <w:rFonts w:asciiTheme="minorHAnsi" w:hAnsiTheme="minorHAnsi" w:cs="Arial"/>
                <w:b/>
                <w:szCs w:val="19"/>
                <w:lang w:val="hr-HR"/>
              </w:rPr>
            </w:pPr>
          </w:p>
        </w:tc>
        <w:tc>
          <w:tcPr>
            <w:tcW w:w="569" w:type="pct"/>
            <w:tcBorders>
              <w:top w:val="single" w:sz="12" w:space="0" w:color="auto"/>
            </w:tcBorders>
            <w:vAlign w:val="bottom"/>
          </w:tcPr>
          <w:p w:rsidR="00812F82" w:rsidRPr="001567C8" w:rsidRDefault="00812F82" w:rsidP="00812F82">
            <w:pPr>
              <w:pStyle w:val="TT"/>
              <w:spacing w:line="140" w:lineRule="exact"/>
              <w:jc w:val="right"/>
              <w:rPr>
                <w:rFonts w:asciiTheme="minorHAnsi" w:hAnsiTheme="minorHAnsi" w:cs="Arial"/>
                <w:b/>
                <w:szCs w:val="19"/>
                <w:lang w:val="hr-HR"/>
              </w:rPr>
            </w:pPr>
          </w:p>
        </w:tc>
      </w:tr>
    </w:tbl>
    <w:p w:rsidR="00347537" w:rsidRPr="001567C8" w:rsidRDefault="00347537" w:rsidP="00347537">
      <w:pPr>
        <w:pStyle w:val="T1"/>
        <w:spacing w:before="0" w:after="0" w:line="240" w:lineRule="auto"/>
        <w:rPr>
          <w:rFonts w:asciiTheme="minorHAnsi" w:hAnsiTheme="minorHAnsi" w:cs="Arial"/>
          <w:b w:val="0"/>
          <w:sz w:val="22"/>
          <w:szCs w:val="22"/>
          <w:lang w:val="hr-HR"/>
        </w:rPr>
      </w:pPr>
    </w:p>
    <w:p w:rsidR="00347537" w:rsidRPr="001567C8" w:rsidRDefault="00347537" w:rsidP="00347537">
      <w:pPr>
        <w:pStyle w:val="T1"/>
        <w:spacing w:before="0" w:after="0" w:line="240" w:lineRule="auto"/>
        <w:rPr>
          <w:rFonts w:asciiTheme="minorHAnsi" w:hAnsiTheme="minorHAnsi" w:cs="Arial"/>
          <w:b w:val="0"/>
          <w:sz w:val="22"/>
          <w:szCs w:val="22"/>
          <w:lang w:val="hr-HR"/>
        </w:rPr>
      </w:pPr>
    </w:p>
    <w:p w:rsidR="00513D18" w:rsidRPr="001567C8" w:rsidRDefault="00DF4E94" w:rsidP="00E266C9">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Koncentracija </w:t>
      </w:r>
      <w:r w:rsidR="008D6072" w:rsidRPr="001567C8">
        <w:rPr>
          <w:rFonts w:asciiTheme="minorHAnsi" w:hAnsiTheme="minorHAnsi" w:cs="Arial"/>
          <w:b w:val="0"/>
          <w:sz w:val="22"/>
          <w:szCs w:val="22"/>
          <w:lang w:val="hr-HR"/>
        </w:rPr>
        <w:t>imovine</w:t>
      </w:r>
      <w:r w:rsidRPr="001567C8">
        <w:rPr>
          <w:rFonts w:asciiTheme="minorHAnsi" w:hAnsiTheme="minorHAnsi" w:cs="Arial"/>
          <w:b w:val="0"/>
          <w:sz w:val="22"/>
          <w:szCs w:val="22"/>
          <w:lang w:val="hr-HR"/>
        </w:rPr>
        <w:t xml:space="preserve"> i garancija i preuzetih obveza prema industrijskim granama za obje godine sastavljena je  sukladno Nacionalnoj klasifikac</w:t>
      </w:r>
      <w:r w:rsidR="00AD31D3" w:rsidRPr="001567C8">
        <w:rPr>
          <w:rFonts w:asciiTheme="minorHAnsi" w:hAnsiTheme="minorHAnsi" w:cs="Arial"/>
          <w:b w:val="0"/>
          <w:sz w:val="22"/>
          <w:szCs w:val="22"/>
          <w:lang w:val="hr-HR"/>
        </w:rPr>
        <w:t>i</w:t>
      </w:r>
      <w:r w:rsidRPr="001567C8">
        <w:rPr>
          <w:rFonts w:asciiTheme="minorHAnsi" w:hAnsiTheme="minorHAnsi" w:cs="Arial"/>
          <w:b w:val="0"/>
          <w:sz w:val="22"/>
          <w:szCs w:val="22"/>
          <w:lang w:val="hr-HR"/>
        </w:rPr>
        <w:t xml:space="preserve">ji djelatnosti iz 2007. </w:t>
      </w:r>
      <w:r w:rsidR="00513D18" w:rsidRPr="001567C8">
        <w:rPr>
          <w:rFonts w:asciiTheme="minorHAnsi" w:hAnsiTheme="minorHAnsi" w:cs="Arial"/>
          <w:b w:val="0"/>
          <w:sz w:val="22"/>
          <w:szCs w:val="22"/>
          <w:lang w:val="hr-HR"/>
        </w:rPr>
        <w:t>g</w:t>
      </w:r>
      <w:r w:rsidRPr="001567C8">
        <w:rPr>
          <w:rFonts w:asciiTheme="minorHAnsi" w:hAnsiTheme="minorHAnsi" w:cs="Arial"/>
          <w:b w:val="0"/>
          <w:sz w:val="22"/>
          <w:szCs w:val="22"/>
          <w:lang w:val="hr-HR"/>
        </w:rPr>
        <w:t>odine</w:t>
      </w:r>
      <w:r w:rsidR="00513D18" w:rsidRPr="001567C8">
        <w:rPr>
          <w:rFonts w:asciiTheme="minorHAnsi" w:hAnsiTheme="minorHAnsi" w:cs="Arial"/>
          <w:b w:val="0"/>
          <w:sz w:val="22"/>
          <w:szCs w:val="22"/>
          <w:lang w:val="hr-HR"/>
        </w:rPr>
        <w:t xml:space="preserve"> („NKD 2007.“)</w:t>
      </w:r>
      <w:r w:rsidRPr="001567C8">
        <w:rPr>
          <w:rFonts w:asciiTheme="minorHAnsi" w:hAnsiTheme="minorHAnsi" w:cs="Arial"/>
          <w:b w:val="0"/>
          <w:sz w:val="22"/>
          <w:szCs w:val="22"/>
          <w:lang w:val="hr-HR"/>
        </w:rPr>
        <w:t xml:space="preserve">. </w:t>
      </w:r>
    </w:p>
    <w:p w:rsidR="00347537" w:rsidRPr="001567C8" w:rsidRDefault="00347537" w:rsidP="001D233C">
      <w:pPr>
        <w:pStyle w:val="T1"/>
        <w:spacing w:before="0" w:after="0" w:line="240" w:lineRule="auto"/>
        <w:rPr>
          <w:rFonts w:asciiTheme="minorHAnsi" w:hAnsiTheme="minorHAnsi" w:cs="Arial"/>
          <w:sz w:val="22"/>
          <w:szCs w:val="22"/>
          <w:lang w:val="hr-HR"/>
        </w:rPr>
      </w:pPr>
    </w:p>
    <w:p w:rsidR="000222F5" w:rsidRPr="001567C8" w:rsidRDefault="00DF4E94" w:rsidP="000222F5">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Pri sastavljanju bilješke primjenjuje se </w:t>
      </w:r>
      <w:r w:rsidR="00EB0179" w:rsidRPr="001567C8">
        <w:rPr>
          <w:rFonts w:asciiTheme="minorHAnsi" w:hAnsiTheme="minorHAnsi" w:cs="Arial"/>
          <w:sz w:val="22"/>
          <w:szCs w:val="22"/>
          <w:lang w:val="hr-HR"/>
        </w:rPr>
        <w:t>kombiniran</w:t>
      </w:r>
      <w:r w:rsidRPr="001567C8">
        <w:rPr>
          <w:rFonts w:asciiTheme="minorHAnsi" w:hAnsiTheme="minorHAnsi" w:cs="Arial"/>
          <w:sz w:val="22"/>
          <w:szCs w:val="22"/>
          <w:lang w:val="hr-HR"/>
        </w:rPr>
        <w:t xml:space="preserve">i </w:t>
      </w:r>
      <w:r w:rsidR="00EB0179" w:rsidRPr="001567C8">
        <w:rPr>
          <w:rFonts w:asciiTheme="minorHAnsi" w:hAnsiTheme="minorHAnsi" w:cs="Arial"/>
          <w:sz w:val="22"/>
          <w:szCs w:val="22"/>
          <w:lang w:val="hr-HR"/>
        </w:rPr>
        <w:t>pristup koji uvažava djelatnosti dužnika</w:t>
      </w:r>
      <w:r w:rsidRPr="001567C8">
        <w:rPr>
          <w:rFonts w:asciiTheme="minorHAnsi" w:hAnsiTheme="minorHAnsi" w:cs="Arial"/>
          <w:sz w:val="22"/>
          <w:szCs w:val="22"/>
          <w:lang w:val="hr-HR"/>
        </w:rPr>
        <w:t>,</w:t>
      </w:r>
      <w:r w:rsidR="00EB0179" w:rsidRPr="001567C8">
        <w:rPr>
          <w:rFonts w:asciiTheme="minorHAnsi" w:hAnsiTheme="minorHAnsi" w:cs="Arial"/>
          <w:sz w:val="22"/>
          <w:szCs w:val="22"/>
          <w:lang w:val="hr-HR"/>
        </w:rPr>
        <w:t xml:space="preserve"> zadržava naziv</w:t>
      </w:r>
      <w:r w:rsidRPr="001567C8">
        <w:rPr>
          <w:rFonts w:asciiTheme="minorHAnsi" w:hAnsiTheme="minorHAnsi" w:cs="Arial"/>
          <w:sz w:val="22"/>
          <w:szCs w:val="22"/>
          <w:lang w:val="hr-HR"/>
        </w:rPr>
        <w:t>e</w:t>
      </w:r>
      <w:r w:rsidR="00EB0179" w:rsidRPr="001567C8">
        <w:rPr>
          <w:rFonts w:asciiTheme="minorHAnsi" w:hAnsiTheme="minorHAnsi" w:cs="Arial"/>
          <w:sz w:val="22"/>
          <w:szCs w:val="22"/>
          <w:lang w:val="hr-HR"/>
        </w:rPr>
        <w:t xml:space="preserve"> djelatnosti drugačij</w:t>
      </w:r>
      <w:r w:rsidRPr="001567C8">
        <w:rPr>
          <w:rFonts w:asciiTheme="minorHAnsi" w:hAnsiTheme="minorHAnsi" w:cs="Arial"/>
          <w:sz w:val="22"/>
          <w:szCs w:val="22"/>
          <w:lang w:val="hr-HR"/>
        </w:rPr>
        <w:t>e</w:t>
      </w:r>
      <w:r w:rsidR="00EB0179" w:rsidRPr="001567C8">
        <w:rPr>
          <w:rFonts w:asciiTheme="minorHAnsi" w:hAnsiTheme="minorHAnsi" w:cs="Arial"/>
          <w:sz w:val="22"/>
          <w:szCs w:val="22"/>
          <w:lang w:val="hr-HR"/>
        </w:rPr>
        <w:t xml:space="preserve"> od onih u N</w:t>
      </w:r>
      <w:r w:rsidRPr="001567C8">
        <w:rPr>
          <w:rFonts w:asciiTheme="minorHAnsi" w:hAnsiTheme="minorHAnsi" w:cs="Arial"/>
          <w:sz w:val="22"/>
          <w:szCs w:val="22"/>
          <w:lang w:val="hr-HR"/>
        </w:rPr>
        <w:t>acionalnoj klasifikaciji djelatnosti</w:t>
      </w:r>
      <w:r w:rsidR="00EB0179" w:rsidRPr="001567C8">
        <w:rPr>
          <w:rFonts w:asciiTheme="minorHAnsi" w:hAnsiTheme="minorHAnsi" w:cs="Arial"/>
          <w:sz w:val="22"/>
          <w:szCs w:val="22"/>
          <w:lang w:val="hr-HR"/>
        </w:rPr>
        <w:t xml:space="preserve"> te objedinj</w:t>
      </w:r>
      <w:r w:rsidRPr="001567C8">
        <w:rPr>
          <w:rFonts w:asciiTheme="minorHAnsi" w:hAnsiTheme="minorHAnsi" w:cs="Arial"/>
          <w:sz w:val="22"/>
          <w:szCs w:val="22"/>
          <w:lang w:val="hr-HR"/>
        </w:rPr>
        <w:t>uje</w:t>
      </w:r>
      <w:r w:rsidR="00EB0179" w:rsidRPr="001567C8">
        <w:rPr>
          <w:rFonts w:asciiTheme="minorHAnsi" w:hAnsiTheme="minorHAnsi" w:cs="Arial"/>
          <w:sz w:val="22"/>
          <w:szCs w:val="22"/>
          <w:lang w:val="hr-HR"/>
        </w:rPr>
        <w:t xml:space="preserve"> sličn</w:t>
      </w:r>
      <w:r w:rsidRPr="001567C8">
        <w:rPr>
          <w:rFonts w:asciiTheme="minorHAnsi" w:hAnsiTheme="minorHAnsi" w:cs="Arial"/>
          <w:sz w:val="22"/>
          <w:szCs w:val="22"/>
          <w:lang w:val="hr-HR"/>
        </w:rPr>
        <w:t>e</w:t>
      </w:r>
      <w:r w:rsidR="00EB0179" w:rsidRPr="001567C8">
        <w:rPr>
          <w:rFonts w:asciiTheme="minorHAnsi" w:hAnsiTheme="minorHAnsi" w:cs="Arial"/>
          <w:sz w:val="22"/>
          <w:szCs w:val="22"/>
          <w:lang w:val="hr-HR"/>
        </w:rPr>
        <w:t xml:space="preserve"> djelatnosti.</w:t>
      </w:r>
    </w:p>
    <w:p w:rsidR="000222F5" w:rsidRPr="001567C8" w:rsidRDefault="000222F5" w:rsidP="00014EE0">
      <w:pPr>
        <w:jc w:val="both"/>
        <w:rPr>
          <w:rFonts w:asciiTheme="minorHAnsi" w:hAnsiTheme="minorHAnsi" w:cs="Arial"/>
          <w:sz w:val="22"/>
          <w:szCs w:val="22"/>
          <w:lang w:val="hr-HR"/>
        </w:rPr>
        <w:sectPr w:rsidR="000222F5" w:rsidRPr="001567C8" w:rsidSect="003E2D7A">
          <w:pgSz w:w="11907" w:h="16840" w:code="9"/>
          <w:pgMar w:top="1418" w:right="1134" w:bottom="1134" w:left="1418" w:header="851" w:footer="851" w:gutter="0"/>
          <w:cols w:space="720"/>
          <w:noEndnote/>
        </w:sectPr>
      </w:pPr>
    </w:p>
    <w:p w:rsidR="00EB0179" w:rsidRPr="001567C8" w:rsidRDefault="00EB0179" w:rsidP="00014EE0">
      <w:pPr>
        <w:jc w:val="both"/>
        <w:rPr>
          <w:rFonts w:asciiTheme="minorHAnsi" w:hAnsiTheme="minorHAnsi" w:cs="Arial"/>
          <w:sz w:val="22"/>
          <w:szCs w:val="22"/>
          <w:lang w:val="hr-HR"/>
        </w:rPr>
      </w:pPr>
    </w:p>
    <w:p w:rsidR="00EF74B4"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EF74B4" w:rsidRPr="001567C8">
        <w:rPr>
          <w:rFonts w:asciiTheme="minorHAnsi" w:hAnsiTheme="minorHAnsi" w:cs="Arial"/>
          <w:sz w:val="22"/>
          <w:szCs w:val="22"/>
          <w:lang w:val="hr-HR"/>
        </w:rPr>
        <w:t>.</w:t>
      </w:r>
      <w:r w:rsidR="00EF74B4" w:rsidRPr="001567C8">
        <w:rPr>
          <w:rFonts w:asciiTheme="minorHAnsi" w:hAnsiTheme="minorHAnsi" w:cs="Arial"/>
          <w:sz w:val="22"/>
          <w:szCs w:val="22"/>
          <w:lang w:val="hr-HR"/>
        </w:rPr>
        <w:tab/>
        <w:t>Upravljanje rizicima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EF74B4" w:rsidRPr="001567C8" w:rsidRDefault="00202833"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EF74B4"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3</w:t>
      </w:r>
      <w:r w:rsidR="00EF74B4" w:rsidRPr="001567C8">
        <w:rPr>
          <w:rFonts w:asciiTheme="minorHAnsi" w:hAnsiTheme="minorHAnsi" w:cs="Arial"/>
          <w:sz w:val="22"/>
          <w:szCs w:val="22"/>
          <w:lang w:val="hr-HR"/>
        </w:rPr>
        <w:t xml:space="preserve">. </w:t>
      </w:r>
      <w:r w:rsidR="00EF74B4" w:rsidRPr="001567C8">
        <w:rPr>
          <w:rFonts w:asciiTheme="minorHAnsi" w:hAnsiTheme="minorHAnsi" w:cs="Arial"/>
          <w:sz w:val="22"/>
          <w:szCs w:val="22"/>
          <w:lang w:val="hr-HR"/>
        </w:rPr>
        <w:tab/>
        <w:t>Kreditni rizik (nastavak)</w:t>
      </w:r>
    </w:p>
    <w:p w:rsidR="00347537" w:rsidRPr="001567C8" w:rsidRDefault="00347537" w:rsidP="00347537">
      <w:pPr>
        <w:pStyle w:val="T1"/>
        <w:spacing w:before="0" w:after="0" w:line="240" w:lineRule="auto"/>
        <w:rPr>
          <w:rFonts w:asciiTheme="minorHAnsi" w:hAnsiTheme="minorHAnsi" w:cs="Arial"/>
          <w:sz w:val="22"/>
          <w:szCs w:val="22"/>
          <w:lang w:val="hr-HR"/>
        </w:rPr>
      </w:pPr>
    </w:p>
    <w:p w:rsidR="00EF74B4" w:rsidRPr="001567C8" w:rsidRDefault="00793CCF" w:rsidP="0034753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Koncentracija rizika i maksimalna</w:t>
      </w:r>
      <w:r w:rsidR="00EF74B4" w:rsidRPr="001567C8">
        <w:rPr>
          <w:rFonts w:asciiTheme="minorHAnsi" w:hAnsiTheme="minorHAnsi" w:cs="Arial"/>
          <w:sz w:val="22"/>
          <w:szCs w:val="22"/>
          <w:lang w:val="hr-HR"/>
        </w:rPr>
        <w:t xml:space="preserve"> izloženost kreditnom riziku (nastavak)</w:t>
      </w:r>
    </w:p>
    <w:p w:rsidR="00347537" w:rsidRPr="001567C8" w:rsidRDefault="00347537" w:rsidP="00347537">
      <w:pPr>
        <w:tabs>
          <w:tab w:val="right" w:pos="9129"/>
        </w:tabs>
        <w:jc w:val="both"/>
        <w:rPr>
          <w:rFonts w:asciiTheme="minorHAnsi" w:hAnsiTheme="minorHAnsi" w:cs="Arial"/>
          <w:bCs/>
          <w:sz w:val="22"/>
          <w:szCs w:val="22"/>
          <w:lang w:val="hr-HR"/>
        </w:rPr>
      </w:pPr>
    </w:p>
    <w:p w:rsidR="003F655D" w:rsidRPr="001567C8" w:rsidRDefault="003F655D" w:rsidP="00E266C9">
      <w:pPr>
        <w:tabs>
          <w:tab w:val="right" w:pos="9129"/>
        </w:tabs>
        <w:jc w:val="both"/>
        <w:rPr>
          <w:rFonts w:asciiTheme="minorHAnsi" w:hAnsiTheme="minorHAnsi" w:cs="Arial"/>
          <w:bCs/>
          <w:sz w:val="22"/>
          <w:szCs w:val="22"/>
          <w:lang w:val="hr-HR"/>
        </w:rPr>
      </w:pPr>
      <w:r w:rsidRPr="001567C8">
        <w:rPr>
          <w:rFonts w:asciiTheme="minorHAnsi" w:hAnsiTheme="minorHAnsi" w:cs="Arial"/>
          <w:bCs/>
          <w:sz w:val="22"/>
          <w:szCs w:val="22"/>
          <w:lang w:val="hr-HR"/>
        </w:rPr>
        <w:t>Fer vrijednost instrumenata osiguranja u 201</w:t>
      </w:r>
      <w:r w:rsidR="00202833" w:rsidRPr="001567C8">
        <w:rPr>
          <w:rFonts w:asciiTheme="minorHAnsi" w:hAnsiTheme="minorHAnsi" w:cs="Arial"/>
          <w:bCs/>
          <w:sz w:val="22"/>
          <w:szCs w:val="22"/>
          <w:lang w:val="hr-HR"/>
        </w:rPr>
        <w:t>8</w:t>
      </w:r>
      <w:r w:rsidRPr="001567C8">
        <w:rPr>
          <w:rFonts w:asciiTheme="minorHAnsi" w:hAnsiTheme="minorHAnsi" w:cs="Arial"/>
          <w:bCs/>
          <w:sz w:val="22"/>
          <w:szCs w:val="22"/>
          <w:lang w:val="hr-HR"/>
        </w:rPr>
        <w:t xml:space="preserve">. godini za Grupu iznosi </w:t>
      </w:r>
      <w:r w:rsidR="00A41157" w:rsidRPr="001567C8">
        <w:rPr>
          <w:rFonts w:asciiTheme="minorHAnsi" w:hAnsiTheme="minorHAnsi" w:cs="Arial"/>
          <w:bCs/>
          <w:sz w:val="22"/>
          <w:szCs w:val="22"/>
          <w:lang w:val="hr-HR"/>
        </w:rPr>
        <w:t xml:space="preserve">25.010.421 </w:t>
      </w:r>
      <w:r w:rsidRPr="001567C8">
        <w:rPr>
          <w:rFonts w:asciiTheme="minorHAnsi" w:hAnsiTheme="minorHAnsi" w:cs="Arial"/>
          <w:bCs/>
          <w:sz w:val="22"/>
          <w:szCs w:val="22"/>
          <w:lang w:val="hr-HR"/>
        </w:rPr>
        <w:t>tisuća kuna (</w:t>
      </w:r>
      <w:r w:rsidR="006D377C" w:rsidRPr="001567C8">
        <w:rPr>
          <w:rFonts w:asciiTheme="minorHAnsi" w:hAnsiTheme="minorHAnsi" w:cs="Arial"/>
          <w:bCs/>
          <w:sz w:val="22"/>
          <w:szCs w:val="22"/>
          <w:lang w:val="hr-HR"/>
        </w:rPr>
        <w:t xml:space="preserve">31. prosinca </w:t>
      </w:r>
      <w:r w:rsidRPr="001567C8">
        <w:rPr>
          <w:rFonts w:asciiTheme="minorHAnsi" w:hAnsiTheme="minorHAnsi" w:cs="Arial"/>
          <w:bCs/>
          <w:sz w:val="22"/>
          <w:szCs w:val="22"/>
          <w:lang w:val="hr-HR"/>
        </w:rPr>
        <w:t>201</w:t>
      </w:r>
      <w:r w:rsidR="00202833" w:rsidRPr="001567C8">
        <w:rPr>
          <w:rFonts w:asciiTheme="minorHAnsi" w:hAnsiTheme="minorHAnsi" w:cs="Arial"/>
          <w:bCs/>
          <w:sz w:val="22"/>
          <w:szCs w:val="22"/>
          <w:lang w:val="hr-HR"/>
        </w:rPr>
        <w:t>7</w:t>
      </w:r>
      <w:r w:rsidRPr="001567C8">
        <w:rPr>
          <w:rFonts w:asciiTheme="minorHAnsi" w:hAnsiTheme="minorHAnsi" w:cs="Arial"/>
          <w:bCs/>
          <w:sz w:val="22"/>
          <w:szCs w:val="22"/>
          <w:lang w:val="hr-HR"/>
        </w:rPr>
        <w:t xml:space="preserve">. godine: </w:t>
      </w:r>
      <w:r w:rsidR="00F252C2" w:rsidRPr="001567C8">
        <w:rPr>
          <w:rFonts w:asciiTheme="minorHAnsi" w:hAnsiTheme="minorHAnsi" w:cs="Arial"/>
          <w:bCs/>
          <w:sz w:val="22"/>
          <w:szCs w:val="22"/>
          <w:lang w:val="hr-HR"/>
        </w:rPr>
        <w:t>26.541.555</w:t>
      </w:r>
      <w:r w:rsidR="00EE01A6"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tisuća kuna</w:t>
      </w:r>
      <w:r w:rsidR="00861598" w:rsidRPr="001567C8">
        <w:rPr>
          <w:rFonts w:asciiTheme="minorHAnsi" w:hAnsiTheme="minorHAnsi" w:cs="Arial"/>
          <w:bCs/>
          <w:sz w:val="22"/>
          <w:szCs w:val="22"/>
          <w:lang w:val="hr-HR"/>
        </w:rPr>
        <w:t>)</w:t>
      </w:r>
      <w:r w:rsidR="002D08C1" w:rsidRPr="001567C8">
        <w:rPr>
          <w:rFonts w:asciiTheme="minorHAnsi" w:hAnsiTheme="minorHAnsi" w:cs="Arial"/>
          <w:bCs/>
          <w:sz w:val="22"/>
          <w:szCs w:val="22"/>
          <w:lang w:val="hr-HR"/>
        </w:rPr>
        <w:t>,</w:t>
      </w:r>
      <w:r w:rsidRPr="001567C8">
        <w:rPr>
          <w:rFonts w:asciiTheme="minorHAnsi" w:hAnsiTheme="minorHAnsi" w:cs="Arial"/>
          <w:bCs/>
          <w:sz w:val="22"/>
          <w:szCs w:val="22"/>
          <w:lang w:val="hr-HR"/>
        </w:rPr>
        <w:t xml:space="preserve"> a za Banku iznosi </w:t>
      </w:r>
      <w:r w:rsidR="00A41157" w:rsidRPr="001567C8">
        <w:rPr>
          <w:rFonts w:asciiTheme="minorHAnsi" w:hAnsiTheme="minorHAnsi" w:cs="Arial"/>
          <w:bCs/>
          <w:sz w:val="22"/>
          <w:szCs w:val="22"/>
          <w:lang w:val="hr-HR"/>
        </w:rPr>
        <w:t xml:space="preserve">24.999.793 </w:t>
      </w:r>
      <w:r w:rsidRPr="001567C8">
        <w:rPr>
          <w:rFonts w:asciiTheme="minorHAnsi" w:hAnsiTheme="minorHAnsi" w:cs="Arial"/>
          <w:bCs/>
          <w:sz w:val="22"/>
          <w:szCs w:val="22"/>
          <w:lang w:val="hr-HR"/>
        </w:rPr>
        <w:t>tisuća kuna (</w:t>
      </w:r>
      <w:r w:rsidR="006D377C" w:rsidRPr="001567C8">
        <w:rPr>
          <w:rFonts w:asciiTheme="minorHAnsi" w:hAnsiTheme="minorHAnsi" w:cs="Arial"/>
          <w:bCs/>
          <w:sz w:val="22"/>
          <w:szCs w:val="22"/>
          <w:lang w:val="hr-HR"/>
        </w:rPr>
        <w:t xml:space="preserve">31. prosinca </w:t>
      </w:r>
      <w:r w:rsidRPr="001567C8">
        <w:rPr>
          <w:rFonts w:asciiTheme="minorHAnsi" w:hAnsiTheme="minorHAnsi" w:cs="Arial"/>
          <w:bCs/>
          <w:sz w:val="22"/>
          <w:szCs w:val="22"/>
          <w:lang w:val="hr-HR"/>
        </w:rPr>
        <w:t>201</w:t>
      </w:r>
      <w:r w:rsidR="00202833" w:rsidRPr="001567C8">
        <w:rPr>
          <w:rFonts w:asciiTheme="minorHAnsi" w:hAnsiTheme="minorHAnsi" w:cs="Arial"/>
          <w:bCs/>
          <w:sz w:val="22"/>
          <w:szCs w:val="22"/>
          <w:lang w:val="hr-HR"/>
        </w:rPr>
        <w:t>7</w:t>
      </w:r>
      <w:r w:rsidRPr="001567C8">
        <w:rPr>
          <w:rFonts w:asciiTheme="minorHAnsi" w:hAnsiTheme="minorHAnsi" w:cs="Arial"/>
          <w:bCs/>
          <w:sz w:val="22"/>
          <w:szCs w:val="22"/>
          <w:lang w:val="hr-HR"/>
        </w:rPr>
        <w:t xml:space="preserve">. godine: </w:t>
      </w:r>
      <w:r w:rsidR="00F252C2" w:rsidRPr="001567C8">
        <w:rPr>
          <w:rFonts w:asciiTheme="minorHAnsi" w:hAnsiTheme="minorHAnsi" w:cs="Arial"/>
          <w:bCs/>
          <w:sz w:val="22"/>
          <w:szCs w:val="22"/>
          <w:lang w:val="hr-HR"/>
        </w:rPr>
        <w:t>26.533.096</w:t>
      </w:r>
      <w:r w:rsidR="00876E0C"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tisuća kuna).</w:t>
      </w:r>
    </w:p>
    <w:p w:rsidR="00347537" w:rsidRPr="001567C8" w:rsidRDefault="00347537" w:rsidP="001D233C">
      <w:pPr>
        <w:tabs>
          <w:tab w:val="right" w:pos="9129"/>
        </w:tabs>
        <w:jc w:val="both"/>
        <w:rPr>
          <w:rFonts w:asciiTheme="minorHAnsi" w:hAnsiTheme="minorHAnsi" w:cs="Arial"/>
          <w:bCs/>
          <w:sz w:val="22"/>
          <w:szCs w:val="22"/>
          <w:lang w:val="hr-HR"/>
        </w:rPr>
      </w:pPr>
    </w:p>
    <w:p w:rsidR="003F655D" w:rsidRPr="001567C8" w:rsidRDefault="003F655D" w:rsidP="00014EE0">
      <w:pPr>
        <w:tabs>
          <w:tab w:val="right" w:pos="9129"/>
        </w:tabs>
        <w:jc w:val="both"/>
        <w:rPr>
          <w:rFonts w:asciiTheme="minorHAnsi" w:hAnsiTheme="minorHAnsi" w:cs="Arial"/>
          <w:bCs/>
          <w:sz w:val="22"/>
          <w:szCs w:val="22"/>
          <w:lang w:val="hr-HR"/>
        </w:rPr>
      </w:pPr>
      <w:r w:rsidRPr="001567C8">
        <w:rPr>
          <w:rFonts w:asciiTheme="minorHAnsi" w:hAnsiTheme="minorHAnsi" w:cs="Arial"/>
          <w:bCs/>
          <w:sz w:val="22"/>
          <w:szCs w:val="22"/>
          <w:lang w:val="hr-HR"/>
        </w:rPr>
        <w:t xml:space="preserve">U ukupnoj neto najvećoj izloženosti Banke </w:t>
      </w:r>
      <w:r w:rsidR="001043A2" w:rsidRPr="001567C8">
        <w:rPr>
          <w:rFonts w:asciiTheme="minorHAnsi" w:hAnsiTheme="minorHAnsi" w:cs="Arial"/>
          <w:bCs/>
          <w:sz w:val="22"/>
          <w:szCs w:val="22"/>
          <w:lang w:val="hr-HR"/>
        </w:rPr>
        <w:t xml:space="preserve">nakon umanjenja za sredstva osiguranja </w:t>
      </w:r>
      <w:r w:rsidRPr="001567C8">
        <w:rPr>
          <w:rFonts w:asciiTheme="minorHAnsi" w:hAnsiTheme="minorHAnsi" w:cs="Arial"/>
          <w:bCs/>
          <w:sz w:val="22"/>
          <w:szCs w:val="22"/>
          <w:lang w:val="hr-HR"/>
        </w:rPr>
        <w:t>u 201</w:t>
      </w:r>
      <w:r w:rsidR="00202833" w:rsidRPr="001567C8">
        <w:rPr>
          <w:rFonts w:asciiTheme="minorHAnsi" w:hAnsiTheme="minorHAnsi" w:cs="Arial"/>
          <w:bCs/>
          <w:sz w:val="22"/>
          <w:szCs w:val="22"/>
          <w:lang w:val="hr-HR"/>
        </w:rPr>
        <w:t>8</w:t>
      </w:r>
      <w:r w:rsidRPr="001567C8">
        <w:rPr>
          <w:rFonts w:asciiTheme="minorHAnsi" w:hAnsiTheme="minorHAnsi" w:cs="Arial"/>
          <w:bCs/>
          <w:sz w:val="22"/>
          <w:szCs w:val="22"/>
          <w:lang w:val="hr-HR"/>
        </w:rPr>
        <w:t>. godini iznos kreditnog rizika od</w:t>
      </w:r>
      <w:r w:rsidR="00E71745" w:rsidRPr="001567C8">
        <w:rPr>
          <w:rFonts w:asciiTheme="minorHAnsi" w:hAnsiTheme="minorHAnsi" w:cs="Arial"/>
          <w:bCs/>
          <w:sz w:val="22"/>
          <w:szCs w:val="22"/>
          <w:lang w:val="hr-HR"/>
        </w:rPr>
        <w:t xml:space="preserve"> </w:t>
      </w:r>
      <w:r w:rsidR="005618CA" w:rsidRPr="001567C8">
        <w:rPr>
          <w:rFonts w:asciiTheme="minorHAnsi" w:hAnsiTheme="minorHAnsi" w:cs="Arial"/>
          <w:bCs/>
          <w:sz w:val="22"/>
          <w:szCs w:val="22"/>
          <w:lang w:val="hr-HR"/>
        </w:rPr>
        <w:t>5.287.160</w:t>
      </w:r>
      <w:r w:rsidR="00764D57"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tisuća kuna (</w:t>
      </w:r>
      <w:r w:rsidR="006D377C" w:rsidRPr="001567C8">
        <w:rPr>
          <w:rFonts w:asciiTheme="minorHAnsi" w:hAnsiTheme="minorHAnsi" w:cs="Arial"/>
          <w:bCs/>
          <w:sz w:val="22"/>
          <w:szCs w:val="22"/>
          <w:lang w:val="hr-HR"/>
        </w:rPr>
        <w:t xml:space="preserve">31. prosinca </w:t>
      </w:r>
      <w:r w:rsidRPr="001567C8">
        <w:rPr>
          <w:rFonts w:asciiTheme="minorHAnsi" w:hAnsiTheme="minorHAnsi" w:cs="Arial"/>
          <w:bCs/>
          <w:sz w:val="22"/>
          <w:szCs w:val="22"/>
          <w:lang w:val="hr-HR"/>
        </w:rPr>
        <w:t>201</w:t>
      </w:r>
      <w:r w:rsidR="00202833" w:rsidRPr="001567C8">
        <w:rPr>
          <w:rFonts w:asciiTheme="minorHAnsi" w:hAnsiTheme="minorHAnsi" w:cs="Arial"/>
          <w:bCs/>
          <w:sz w:val="22"/>
          <w:szCs w:val="22"/>
          <w:lang w:val="hr-HR"/>
        </w:rPr>
        <w:t>7</w:t>
      </w:r>
      <w:r w:rsidRPr="001567C8">
        <w:rPr>
          <w:rFonts w:asciiTheme="minorHAnsi" w:hAnsiTheme="minorHAnsi" w:cs="Arial"/>
          <w:bCs/>
          <w:sz w:val="22"/>
          <w:szCs w:val="22"/>
          <w:lang w:val="hr-HR"/>
        </w:rPr>
        <w:t xml:space="preserve">. godine: </w:t>
      </w:r>
      <w:r w:rsidR="00202833" w:rsidRPr="001567C8">
        <w:rPr>
          <w:rFonts w:asciiTheme="minorHAnsi" w:hAnsiTheme="minorHAnsi" w:cs="Arial"/>
          <w:bCs/>
          <w:sz w:val="22"/>
          <w:szCs w:val="22"/>
          <w:lang w:val="hr-HR"/>
        </w:rPr>
        <w:t>3.966.003</w:t>
      </w:r>
      <w:r w:rsidR="00876E0C"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 xml:space="preserve">tisuća kuna) nije pokriven uobičajenim instrumentima osiguranja, ali se odnosi na potraživanja i primljena sredstva od Republike Hrvatske u iznosu od </w:t>
      </w:r>
      <w:r w:rsidR="005618CA" w:rsidRPr="001567C8">
        <w:rPr>
          <w:rFonts w:asciiTheme="minorHAnsi" w:hAnsiTheme="minorHAnsi" w:cs="Arial"/>
          <w:bCs/>
          <w:sz w:val="22"/>
          <w:szCs w:val="22"/>
          <w:lang w:val="hr-HR"/>
        </w:rPr>
        <w:t>1.572.804</w:t>
      </w:r>
      <w:r w:rsidR="00764D57"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tisuća kuna (</w:t>
      </w:r>
      <w:r w:rsidR="006D377C" w:rsidRPr="001567C8">
        <w:rPr>
          <w:rFonts w:asciiTheme="minorHAnsi" w:hAnsiTheme="minorHAnsi" w:cs="Arial"/>
          <w:bCs/>
          <w:sz w:val="22"/>
          <w:szCs w:val="22"/>
          <w:lang w:val="hr-HR"/>
        </w:rPr>
        <w:t xml:space="preserve">31. prosinca </w:t>
      </w:r>
      <w:r w:rsidRPr="001567C8">
        <w:rPr>
          <w:rFonts w:asciiTheme="minorHAnsi" w:hAnsiTheme="minorHAnsi" w:cs="Arial"/>
          <w:bCs/>
          <w:sz w:val="22"/>
          <w:szCs w:val="22"/>
          <w:lang w:val="hr-HR"/>
        </w:rPr>
        <w:t>201</w:t>
      </w:r>
      <w:r w:rsidR="00202833" w:rsidRPr="001567C8">
        <w:rPr>
          <w:rFonts w:asciiTheme="minorHAnsi" w:hAnsiTheme="minorHAnsi" w:cs="Arial"/>
          <w:bCs/>
          <w:sz w:val="22"/>
          <w:szCs w:val="22"/>
          <w:lang w:val="hr-HR"/>
        </w:rPr>
        <w:t>7</w:t>
      </w:r>
      <w:r w:rsidRPr="001567C8">
        <w:rPr>
          <w:rFonts w:asciiTheme="minorHAnsi" w:hAnsiTheme="minorHAnsi" w:cs="Arial"/>
          <w:bCs/>
          <w:sz w:val="22"/>
          <w:szCs w:val="22"/>
          <w:lang w:val="hr-HR"/>
        </w:rPr>
        <w:t xml:space="preserve">. godine: </w:t>
      </w:r>
      <w:r w:rsidR="00202833" w:rsidRPr="001567C8">
        <w:rPr>
          <w:rFonts w:asciiTheme="minorHAnsi" w:hAnsiTheme="minorHAnsi" w:cs="Arial"/>
          <w:bCs/>
          <w:sz w:val="22"/>
          <w:szCs w:val="22"/>
          <w:lang w:val="hr-HR"/>
        </w:rPr>
        <w:t>619.922</w:t>
      </w:r>
      <w:r w:rsidR="00764D57"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 xml:space="preserve">tisuća kuna), jedinica lokalne i područne (regionalne) samouprave u iznosu od </w:t>
      </w:r>
      <w:r w:rsidR="005618CA" w:rsidRPr="001567C8">
        <w:rPr>
          <w:rFonts w:asciiTheme="minorHAnsi" w:hAnsiTheme="minorHAnsi" w:cs="Arial"/>
          <w:bCs/>
          <w:sz w:val="22"/>
          <w:szCs w:val="22"/>
          <w:lang w:val="hr-HR"/>
        </w:rPr>
        <w:t>647.039</w:t>
      </w:r>
      <w:r w:rsidR="00E8316A"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tisuća kuna (</w:t>
      </w:r>
      <w:r w:rsidR="006D377C" w:rsidRPr="001567C8">
        <w:rPr>
          <w:rFonts w:asciiTheme="minorHAnsi" w:hAnsiTheme="minorHAnsi" w:cs="Arial"/>
          <w:bCs/>
          <w:sz w:val="22"/>
          <w:szCs w:val="22"/>
          <w:lang w:val="hr-HR"/>
        </w:rPr>
        <w:t xml:space="preserve">31. prosinca </w:t>
      </w:r>
      <w:r w:rsidRPr="001567C8">
        <w:rPr>
          <w:rFonts w:asciiTheme="minorHAnsi" w:hAnsiTheme="minorHAnsi" w:cs="Arial"/>
          <w:bCs/>
          <w:sz w:val="22"/>
          <w:szCs w:val="22"/>
          <w:lang w:val="hr-HR"/>
        </w:rPr>
        <w:t>201</w:t>
      </w:r>
      <w:r w:rsidR="00202833" w:rsidRPr="001567C8">
        <w:rPr>
          <w:rFonts w:asciiTheme="minorHAnsi" w:hAnsiTheme="minorHAnsi" w:cs="Arial"/>
          <w:bCs/>
          <w:sz w:val="22"/>
          <w:szCs w:val="22"/>
          <w:lang w:val="hr-HR"/>
        </w:rPr>
        <w:t>7</w:t>
      </w:r>
      <w:r w:rsidRPr="001567C8">
        <w:rPr>
          <w:rFonts w:asciiTheme="minorHAnsi" w:hAnsiTheme="minorHAnsi" w:cs="Arial"/>
          <w:bCs/>
          <w:sz w:val="22"/>
          <w:szCs w:val="22"/>
          <w:lang w:val="hr-HR"/>
        </w:rPr>
        <w:t xml:space="preserve">. godine: </w:t>
      </w:r>
      <w:r w:rsidR="00202833" w:rsidRPr="001567C8">
        <w:rPr>
          <w:rFonts w:asciiTheme="minorHAnsi" w:hAnsiTheme="minorHAnsi" w:cs="Arial"/>
          <w:bCs/>
          <w:sz w:val="22"/>
          <w:szCs w:val="22"/>
          <w:lang w:val="hr-HR"/>
        </w:rPr>
        <w:t>510.573</w:t>
      </w:r>
      <w:r w:rsidR="0060641A"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 xml:space="preserve">tisuća kuna), državnih trgovačkih društava za čije obveze Republika Hrvatska odgovara solidarno i neograničeno u iznosu od </w:t>
      </w:r>
      <w:r w:rsidR="005618CA" w:rsidRPr="001567C8">
        <w:rPr>
          <w:rFonts w:asciiTheme="minorHAnsi" w:hAnsiTheme="minorHAnsi" w:cs="Arial"/>
          <w:bCs/>
          <w:sz w:val="22"/>
          <w:szCs w:val="22"/>
          <w:lang w:val="hr-HR"/>
        </w:rPr>
        <w:t xml:space="preserve">228.404 </w:t>
      </w:r>
      <w:r w:rsidRPr="001567C8">
        <w:rPr>
          <w:rFonts w:asciiTheme="minorHAnsi" w:hAnsiTheme="minorHAnsi" w:cs="Arial"/>
          <w:bCs/>
          <w:sz w:val="22"/>
          <w:szCs w:val="22"/>
          <w:lang w:val="hr-HR"/>
        </w:rPr>
        <w:t>tisuća kuna (</w:t>
      </w:r>
      <w:r w:rsidR="006D377C" w:rsidRPr="001567C8">
        <w:rPr>
          <w:rFonts w:asciiTheme="minorHAnsi" w:hAnsiTheme="minorHAnsi" w:cs="Arial"/>
          <w:bCs/>
          <w:sz w:val="22"/>
          <w:szCs w:val="22"/>
          <w:lang w:val="hr-HR"/>
        </w:rPr>
        <w:t xml:space="preserve">31. prosinca </w:t>
      </w:r>
      <w:r w:rsidRPr="001567C8">
        <w:rPr>
          <w:rFonts w:asciiTheme="minorHAnsi" w:hAnsiTheme="minorHAnsi" w:cs="Arial"/>
          <w:bCs/>
          <w:sz w:val="22"/>
          <w:szCs w:val="22"/>
          <w:lang w:val="hr-HR"/>
        </w:rPr>
        <w:t>201</w:t>
      </w:r>
      <w:r w:rsidR="00202833" w:rsidRPr="001567C8">
        <w:rPr>
          <w:rFonts w:asciiTheme="minorHAnsi" w:hAnsiTheme="minorHAnsi" w:cs="Arial"/>
          <w:bCs/>
          <w:sz w:val="22"/>
          <w:szCs w:val="22"/>
          <w:lang w:val="hr-HR"/>
        </w:rPr>
        <w:t>7</w:t>
      </w:r>
      <w:r w:rsidRPr="001567C8">
        <w:rPr>
          <w:rFonts w:asciiTheme="minorHAnsi" w:hAnsiTheme="minorHAnsi" w:cs="Arial"/>
          <w:bCs/>
          <w:sz w:val="22"/>
          <w:szCs w:val="22"/>
          <w:lang w:val="hr-HR"/>
        </w:rPr>
        <w:t xml:space="preserve">. godine: </w:t>
      </w:r>
      <w:r w:rsidR="00202833" w:rsidRPr="001567C8">
        <w:rPr>
          <w:rFonts w:asciiTheme="minorHAnsi" w:hAnsiTheme="minorHAnsi" w:cs="Arial"/>
          <w:bCs/>
          <w:sz w:val="22"/>
          <w:szCs w:val="22"/>
          <w:lang w:val="hr-HR"/>
        </w:rPr>
        <w:t>240.099</w:t>
      </w:r>
      <w:r w:rsidR="00E8316A"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 xml:space="preserve">tisuća kuna), republičkih fondova u iznosu od </w:t>
      </w:r>
      <w:r w:rsidR="005618CA" w:rsidRPr="001567C8">
        <w:rPr>
          <w:rFonts w:asciiTheme="minorHAnsi" w:hAnsiTheme="minorHAnsi" w:cs="Arial"/>
          <w:bCs/>
          <w:sz w:val="22"/>
          <w:szCs w:val="22"/>
          <w:lang w:val="hr-HR"/>
        </w:rPr>
        <w:t xml:space="preserve">85 </w:t>
      </w:r>
      <w:r w:rsidR="00B22F20" w:rsidRPr="001567C8">
        <w:rPr>
          <w:rFonts w:asciiTheme="minorHAnsi" w:hAnsiTheme="minorHAnsi" w:cs="Arial"/>
          <w:bCs/>
          <w:sz w:val="22"/>
          <w:szCs w:val="22"/>
          <w:lang w:val="hr-HR"/>
        </w:rPr>
        <w:t xml:space="preserve">tisuće </w:t>
      </w:r>
      <w:r w:rsidRPr="001567C8">
        <w:rPr>
          <w:rFonts w:asciiTheme="minorHAnsi" w:hAnsiTheme="minorHAnsi" w:cs="Arial"/>
          <w:bCs/>
          <w:sz w:val="22"/>
          <w:szCs w:val="22"/>
          <w:lang w:val="hr-HR"/>
        </w:rPr>
        <w:t>kuna (</w:t>
      </w:r>
      <w:r w:rsidR="00150CA8" w:rsidRPr="001567C8">
        <w:rPr>
          <w:rFonts w:asciiTheme="minorHAnsi" w:hAnsiTheme="minorHAnsi" w:cs="Arial"/>
          <w:bCs/>
          <w:sz w:val="22"/>
          <w:szCs w:val="22"/>
          <w:lang w:val="hr-HR"/>
        </w:rPr>
        <w:t xml:space="preserve">31. prosinca </w:t>
      </w:r>
      <w:r w:rsidRPr="001567C8">
        <w:rPr>
          <w:rFonts w:asciiTheme="minorHAnsi" w:hAnsiTheme="minorHAnsi" w:cs="Arial"/>
          <w:bCs/>
          <w:sz w:val="22"/>
          <w:szCs w:val="22"/>
          <w:lang w:val="hr-HR"/>
        </w:rPr>
        <w:t>201</w:t>
      </w:r>
      <w:r w:rsidR="00202833" w:rsidRPr="001567C8">
        <w:rPr>
          <w:rFonts w:asciiTheme="minorHAnsi" w:hAnsiTheme="minorHAnsi" w:cs="Arial"/>
          <w:bCs/>
          <w:sz w:val="22"/>
          <w:szCs w:val="22"/>
          <w:lang w:val="hr-HR"/>
        </w:rPr>
        <w:t>7</w:t>
      </w:r>
      <w:r w:rsidRPr="001567C8">
        <w:rPr>
          <w:rFonts w:asciiTheme="minorHAnsi" w:hAnsiTheme="minorHAnsi" w:cs="Arial"/>
          <w:bCs/>
          <w:sz w:val="22"/>
          <w:szCs w:val="22"/>
          <w:lang w:val="hr-HR"/>
        </w:rPr>
        <w:t xml:space="preserve">. </w:t>
      </w:r>
      <w:r w:rsidR="00DD5549" w:rsidRPr="001567C8">
        <w:rPr>
          <w:rFonts w:asciiTheme="minorHAnsi" w:hAnsiTheme="minorHAnsi" w:cs="Arial"/>
          <w:bCs/>
          <w:sz w:val="22"/>
          <w:szCs w:val="22"/>
          <w:lang w:val="hr-HR"/>
        </w:rPr>
        <w:t>g</w:t>
      </w:r>
      <w:r w:rsidRPr="001567C8">
        <w:rPr>
          <w:rFonts w:asciiTheme="minorHAnsi" w:hAnsiTheme="minorHAnsi" w:cs="Arial"/>
          <w:bCs/>
          <w:sz w:val="22"/>
          <w:szCs w:val="22"/>
          <w:lang w:val="hr-HR"/>
        </w:rPr>
        <w:t>odine</w:t>
      </w:r>
      <w:r w:rsidR="00DD5549" w:rsidRPr="001567C8">
        <w:rPr>
          <w:rFonts w:asciiTheme="minorHAnsi" w:hAnsiTheme="minorHAnsi" w:cs="Arial"/>
          <w:bCs/>
          <w:sz w:val="22"/>
          <w:szCs w:val="22"/>
          <w:lang w:val="hr-HR"/>
        </w:rPr>
        <w:t xml:space="preserve"> </w:t>
      </w:r>
      <w:r w:rsidR="00202833" w:rsidRPr="001567C8">
        <w:rPr>
          <w:rFonts w:asciiTheme="minorHAnsi" w:hAnsiTheme="minorHAnsi" w:cs="Arial"/>
          <w:bCs/>
          <w:sz w:val="22"/>
          <w:szCs w:val="22"/>
          <w:lang w:val="hr-HR"/>
        </w:rPr>
        <w:t>43</w:t>
      </w:r>
      <w:r w:rsidR="00E8316A"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 xml:space="preserve">tisuća kuna), obveznica RH i trezorskih zapisa Ministarstva financija u iznosu od </w:t>
      </w:r>
      <w:r w:rsidR="005618CA" w:rsidRPr="001567C8">
        <w:rPr>
          <w:rFonts w:asciiTheme="minorHAnsi" w:hAnsiTheme="minorHAnsi" w:cs="Arial"/>
          <w:bCs/>
          <w:sz w:val="22"/>
          <w:szCs w:val="22"/>
          <w:lang w:val="hr-HR"/>
        </w:rPr>
        <w:t>2.765.595</w:t>
      </w:r>
      <w:r w:rsidR="00E8316A"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tisuća kuna (</w:t>
      </w:r>
      <w:r w:rsidR="00150CA8" w:rsidRPr="001567C8">
        <w:rPr>
          <w:rFonts w:asciiTheme="minorHAnsi" w:hAnsiTheme="minorHAnsi" w:cs="Arial"/>
          <w:bCs/>
          <w:sz w:val="22"/>
          <w:szCs w:val="22"/>
          <w:lang w:val="hr-HR"/>
        </w:rPr>
        <w:t xml:space="preserve">31. prosinca </w:t>
      </w:r>
      <w:r w:rsidRPr="001567C8">
        <w:rPr>
          <w:rFonts w:asciiTheme="minorHAnsi" w:hAnsiTheme="minorHAnsi" w:cs="Arial"/>
          <w:bCs/>
          <w:sz w:val="22"/>
          <w:szCs w:val="22"/>
          <w:lang w:val="hr-HR"/>
        </w:rPr>
        <w:t>201</w:t>
      </w:r>
      <w:r w:rsidR="00202833" w:rsidRPr="001567C8">
        <w:rPr>
          <w:rFonts w:asciiTheme="minorHAnsi" w:hAnsiTheme="minorHAnsi" w:cs="Arial"/>
          <w:bCs/>
          <w:sz w:val="22"/>
          <w:szCs w:val="22"/>
          <w:lang w:val="hr-HR"/>
        </w:rPr>
        <w:t>7</w:t>
      </w:r>
      <w:r w:rsidRPr="001567C8">
        <w:rPr>
          <w:rFonts w:asciiTheme="minorHAnsi" w:hAnsiTheme="minorHAnsi" w:cs="Arial"/>
          <w:bCs/>
          <w:sz w:val="22"/>
          <w:szCs w:val="22"/>
          <w:lang w:val="hr-HR"/>
        </w:rPr>
        <w:t xml:space="preserve">. godine: </w:t>
      </w:r>
      <w:r w:rsidR="00202833" w:rsidRPr="001567C8">
        <w:rPr>
          <w:rFonts w:asciiTheme="minorHAnsi" w:hAnsiTheme="minorHAnsi" w:cs="Arial"/>
          <w:bCs/>
          <w:sz w:val="22"/>
          <w:szCs w:val="22"/>
          <w:lang w:val="hr-HR"/>
        </w:rPr>
        <w:t>2.443.010</w:t>
      </w:r>
      <w:r w:rsidR="00E8316A"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 xml:space="preserve">tisuća kuna). Osim toga, iznos od </w:t>
      </w:r>
      <w:r w:rsidR="005618CA" w:rsidRPr="001567C8">
        <w:rPr>
          <w:rFonts w:asciiTheme="minorHAnsi" w:hAnsiTheme="minorHAnsi" w:cs="Arial"/>
          <w:bCs/>
          <w:sz w:val="22"/>
          <w:szCs w:val="22"/>
          <w:lang w:val="hr-HR"/>
        </w:rPr>
        <w:t>73.233</w:t>
      </w:r>
      <w:r w:rsidR="00E8316A"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tisuća kuna (</w:t>
      </w:r>
      <w:r w:rsidR="00150CA8" w:rsidRPr="001567C8">
        <w:rPr>
          <w:rFonts w:asciiTheme="minorHAnsi" w:hAnsiTheme="minorHAnsi" w:cs="Arial"/>
          <w:bCs/>
          <w:sz w:val="22"/>
          <w:szCs w:val="22"/>
          <w:lang w:val="hr-HR"/>
        </w:rPr>
        <w:t xml:space="preserve">31. prosinca </w:t>
      </w:r>
      <w:r w:rsidRPr="001567C8">
        <w:rPr>
          <w:rFonts w:asciiTheme="minorHAnsi" w:hAnsiTheme="minorHAnsi" w:cs="Arial"/>
          <w:bCs/>
          <w:sz w:val="22"/>
          <w:szCs w:val="22"/>
          <w:lang w:val="hr-HR"/>
        </w:rPr>
        <w:t>201</w:t>
      </w:r>
      <w:r w:rsidR="00202833" w:rsidRPr="001567C8">
        <w:rPr>
          <w:rFonts w:asciiTheme="minorHAnsi" w:hAnsiTheme="minorHAnsi" w:cs="Arial"/>
          <w:bCs/>
          <w:sz w:val="22"/>
          <w:szCs w:val="22"/>
          <w:lang w:val="hr-HR"/>
        </w:rPr>
        <w:t>7</w:t>
      </w:r>
      <w:r w:rsidRPr="001567C8">
        <w:rPr>
          <w:rFonts w:asciiTheme="minorHAnsi" w:hAnsiTheme="minorHAnsi" w:cs="Arial"/>
          <w:bCs/>
          <w:sz w:val="22"/>
          <w:szCs w:val="22"/>
          <w:lang w:val="hr-HR"/>
        </w:rPr>
        <w:t xml:space="preserve">. godine: </w:t>
      </w:r>
      <w:r w:rsidR="00202833" w:rsidRPr="001567C8">
        <w:rPr>
          <w:rFonts w:asciiTheme="minorHAnsi" w:hAnsiTheme="minorHAnsi" w:cs="Arial"/>
          <w:bCs/>
          <w:sz w:val="22"/>
          <w:szCs w:val="22"/>
          <w:lang w:val="hr-HR"/>
        </w:rPr>
        <w:t>152.356</w:t>
      </w:r>
      <w:r w:rsidR="00E8316A"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tisuća kuna) odnosi se na potraživanja od trgovačkog društva u ve</w:t>
      </w:r>
      <w:r w:rsidR="00F2590B" w:rsidRPr="001567C8">
        <w:rPr>
          <w:rFonts w:asciiTheme="minorHAnsi" w:hAnsiTheme="minorHAnsi" w:cs="Arial"/>
          <w:bCs/>
          <w:sz w:val="22"/>
          <w:szCs w:val="22"/>
          <w:lang w:val="hr-HR"/>
        </w:rPr>
        <w:t>ćinskom državnom vlasništvu (kontrolni utjecaj</w:t>
      </w:r>
      <w:r w:rsidRPr="001567C8">
        <w:rPr>
          <w:rFonts w:asciiTheme="minorHAnsi" w:hAnsiTheme="minorHAnsi" w:cs="Arial"/>
          <w:bCs/>
          <w:sz w:val="22"/>
          <w:szCs w:val="22"/>
          <w:lang w:val="hr-HR"/>
        </w:rPr>
        <w:t>).</w:t>
      </w:r>
    </w:p>
    <w:p w:rsidR="00347537" w:rsidRPr="001567C8" w:rsidRDefault="00347537">
      <w:pPr>
        <w:tabs>
          <w:tab w:val="right" w:pos="9129"/>
        </w:tabs>
        <w:jc w:val="both"/>
        <w:rPr>
          <w:rFonts w:asciiTheme="minorHAnsi" w:hAnsiTheme="minorHAnsi" w:cs="Arial"/>
          <w:bCs/>
          <w:sz w:val="22"/>
          <w:szCs w:val="22"/>
          <w:lang w:val="hr-HR"/>
        </w:rPr>
      </w:pPr>
    </w:p>
    <w:p w:rsidR="003F655D" w:rsidRPr="001567C8" w:rsidRDefault="003F655D">
      <w:pPr>
        <w:tabs>
          <w:tab w:val="right" w:pos="9129"/>
        </w:tabs>
        <w:jc w:val="both"/>
        <w:rPr>
          <w:rFonts w:asciiTheme="minorHAnsi" w:hAnsiTheme="minorHAnsi" w:cs="Arial"/>
          <w:bCs/>
          <w:sz w:val="22"/>
          <w:szCs w:val="22"/>
          <w:lang w:val="hr-HR"/>
        </w:rPr>
      </w:pPr>
      <w:r w:rsidRPr="001567C8">
        <w:rPr>
          <w:rFonts w:asciiTheme="minorHAnsi" w:hAnsiTheme="minorHAnsi" w:cs="Arial"/>
          <w:bCs/>
          <w:sz w:val="22"/>
          <w:szCs w:val="22"/>
          <w:lang w:val="hr-HR"/>
        </w:rPr>
        <w:t xml:space="preserve">Dio plasmana koji imaju iskazanu neto izloženost odnosi se na plasmane koji su privremeno djelomično pokriveni instrumentima osiguranja te je daljnje plasiranje po odobrenom plasmanu obustavljeno sve do pribavljanja instrumenata osiguranja potrebnih za udovoljavanje potrebnog omjera vrijednosti predmeta osiguranja i plasmana. </w:t>
      </w:r>
    </w:p>
    <w:p w:rsidR="00347537" w:rsidRPr="001567C8" w:rsidRDefault="00347537">
      <w:pPr>
        <w:tabs>
          <w:tab w:val="right" w:pos="9129"/>
        </w:tabs>
        <w:jc w:val="both"/>
        <w:rPr>
          <w:rFonts w:asciiTheme="minorHAnsi" w:hAnsiTheme="minorHAnsi" w:cs="Arial"/>
          <w:bCs/>
          <w:sz w:val="22"/>
          <w:szCs w:val="22"/>
          <w:lang w:val="hr-HR"/>
        </w:rPr>
      </w:pPr>
    </w:p>
    <w:p w:rsidR="003F655D" w:rsidRPr="001567C8" w:rsidRDefault="003F655D">
      <w:pPr>
        <w:tabs>
          <w:tab w:val="right" w:pos="9129"/>
        </w:tabs>
        <w:jc w:val="both"/>
        <w:rPr>
          <w:rFonts w:asciiTheme="minorHAnsi" w:hAnsiTheme="minorHAnsi" w:cs="Arial"/>
          <w:bCs/>
          <w:sz w:val="22"/>
          <w:szCs w:val="22"/>
          <w:lang w:val="hr-HR"/>
        </w:rPr>
      </w:pPr>
      <w:r w:rsidRPr="001567C8">
        <w:rPr>
          <w:rFonts w:asciiTheme="minorHAnsi" w:hAnsiTheme="minorHAnsi" w:cs="Arial"/>
          <w:bCs/>
          <w:sz w:val="22"/>
          <w:szCs w:val="22"/>
          <w:lang w:val="hr-HR"/>
        </w:rPr>
        <w:t xml:space="preserve">Djelatnost financijskog posredovanja najvećim dijelom uključuje poslovne </w:t>
      </w:r>
      <w:r w:rsidR="00EA1B5E" w:rsidRPr="001567C8">
        <w:rPr>
          <w:rFonts w:asciiTheme="minorHAnsi" w:hAnsiTheme="minorHAnsi" w:cs="Arial"/>
          <w:bCs/>
          <w:sz w:val="22"/>
          <w:szCs w:val="22"/>
          <w:lang w:val="hr-HR"/>
        </w:rPr>
        <w:t>banke</w:t>
      </w:r>
      <w:r w:rsidR="00202833" w:rsidRPr="001567C8">
        <w:rPr>
          <w:rFonts w:asciiTheme="minorHAnsi" w:hAnsiTheme="minorHAnsi" w:cs="Arial"/>
          <w:bCs/>
          <w:sz w:val="22"/>
          <w:szCs w:val="22"/>
          <w:lang w:val="hr-HR"/>
        </w:rPr>
        <w:t>.</w:t>
      </w:r>
    </w:p>
    <w:p w:rsidR="00C859AB" w:rsidRPr="001567C8" w:rsidRDefault="00C859AB" w:rsidP="00347537">
      <w:pPr>
        <w:jc w:val="both"/>
        <w:rPr>
          <w:rFonts w:asciiTheme="minorHAnsi" w:hAnsiTheme="minorHAnsi" w:cs="Arial"/>
          <w:b/>
          <w:bCs/>
          <w:sz w:val="22"/>
          <w:szCs w:val="22"/>
          <w:lang w:val="hr-HR"/>
          <w14:shadow w14:blurRad="50800" w14:dist="38100" w14:dir="2700000" w14:sx="100000" w14:sy="100000" w14:kx="0" w14:ky="0" w14:algn="tl">
            <w14:srgbClr w14:val="000000">
              <w14:alpha w14:val="60000"/>
            </w14:srgbClr>
          </w14:shadow>
        </w:rPr>
        <w:sectPr w:rsidR="00C859AB" w:rsidRPr="001567C8" w:rsidSect="003E2D7A">
          <w:type w:val="continuous"/>
          <w:pgSz w:w="11907" w:h="16840" w:code="9"/>
          <w:pgMar w:top="1418" w:right="1134" w:bottom="1134" w:left="1418" w:header="851" w:footer="851" w:gutter="0"/>
          <w:cols w:space="720"/>
          <w:noEndnote/>
        </w:sectPr>
      </w:pPr>
    </w:p>
    <w:p w:rsidR="00C859AB" w:rsidRPr="001567C8" w:rsidRDefault="00CB20DA" w:rsidP="00B65175">
      <w:pPr>
        <w:pStyle w:val="T1"/>
        <w:spacing w:before="120" w:line="240" w:lineRule="auto"/>
        <w:rPr>
          <w:rFonts w:asciiTheme="minorHAnsi" w:hAnsiTheme="minorHAnsi" w:cs="Arial"/>
          <w:sz w:val="20"/>
          <w:lang w:val="hr-HR"/>
        </w:rPr>
      </w:pPr>
      <w:r w:rsidRPr="001567C8">
        <w:rPr>
          <w:rFonts w:asciiTheme="minorHAnsi" w:hAnsiTheme="minorHAnsi" w:cs="Arial"/>
          <w:sz w:val="20"/>
          <w:lang w:val="hr-HR"/>
        </w:rPr>
        <w:t>3</w:t>
      </w:r>
      <w:r w:rsidR="00B65175" w:rsidRPr="001567C8">
        <w:rPr>
          <w:rFonts w:asciiTheme="minorHAnsi" w:hAnsiTheme="minorHAnsi" w:cs="Arial"/>
          <w:sz w:val="20"/>
          <w:lang w:val="hr-HR"/>
        </w:rPr>
        <w:t>6</w:t>
      </w:r>
      <w:r w:rsidR="00CB22D0" w:rsidRPr="001567C8">
        <w:rPr>
          <w:rFonts w:asciiTheme="minorHAnsi" w:hAnsiTheme="minorHAnsi" w:cs="Arial"/>
          <w:sz w:val="20"/>
          <w:lang w:val="hr-HR"/>
        </w:rPr>
        <w:t>.</w:t>
      </w:r>
      <w:r w:rsidR="00CB22D0" w:rsidRPr="001567C8">
        <w:rPr>
          <w:rFonts w:asciiTheme="minorHAnsi" w:hAnsiTheme="minorHAnsi" w:cs="Arial"/>
          <w:sz w:val="20"/>
          <w:lang w:val="hr-HR"/>
        </w:rPr>
        <w:tab/>
        <w:t>Upravljanje rizicima (nastavak)</w:t>
      </w:r>
    </w:p>
    <w:p w:rsidR="00C859AB" w:rsidRPr="001567C8" w:rsidRDefault="007F31B5" w:rsidP="00B65175">
      <w:pPr>
        <w:pStyle w:val="T1"/>
        <w:spacing w:before="120" w:line="240" w:lineRule="auto"/>
        <w:rPr>
          <w:rFonts w:asciiTheme="minorHAnsi" w:hAnsiTheme="minorHAnsi" w:cs="Arial"/>
          <w:sz w:val="20"/>
          <w:lang w:val="hr-HR"/>
        </w:rPr>
      </w:pPr>
      <w:r w:rsidRPr="001567C8">
        <w:rPr>
          <w:rFonts w:asciiTheme="minorHAnsi" w:hAnsiTheme="minorHAnsi" w:cs="Arial"/>
          <w:sz w:val="20"/>
          <w:lang w:val="hr-HR"/>
        </w:rPr>
        <w:t>3</w:t>
      </w:r>
      <w:r w:rsidR="00B65175" w:rsidRPr="001567C8">
        <w:rPr>
          <w:rFonts w:asciiTheme="minorHAnsi" w:hAnsiTheme="minorHAnsi" w:cs="Arial"/>
          <w:sz w:val="20"/>
          <w:lang w:val="hr-HR"/>
        </w:rPr>
        <w:t>6</w:t>
      </w:r>
      <w:r w:rsidR="00CB22D0" w:rsidRPr="001567C8">
        <w:rPr>
          <w:rFonts w:asciiTheme="minorHAnsi" w:hAnsiTheme="minorHAnsi" w:cs="Arial"/>
          <w:sz w:val="20"/>
          <w:lang w:val="hr-HR"/>
        </w:rPr>
        <w:t>.</w:t>
      </w:r>
      <w:r w:rsidR="003900A3" w:rsidRPr="001567C8">
        <w:rPr>
          <w:rFonts w:asciiTheme="minorHAnsi" w:hAnsiTheme="minorHAnsi" w:cs="Arial"/>
          <w:sz w:val="20"/>
          <w:lang w:val="hr-HR"/>
        </w:rPr>
        <w:t>3</w:t>
      </w:r>
      <w:r w:rsidR="00CB22D0" w:rsidRPr="001567C8">
        <w:rPr>
          <w:rFonts w:asciiTheme="minorHAnsi" w:hAnsiTheme="minorHAnsi" w:cs="Arial"/>
          <w:sz w:val="20"/>
          <w:lang w:val="hr-HR"/>
        </w:rPr>
        <w:t xml:space="preserve">. </w:t>
      </w:r>
      <w:r w:rsidR="00CB22D0" w:rsidRPr="001567C8">
        <w:rPr>
          <w:rFonts w:asciiTheme="minorHAnsi" w:hAnsiTheme="minorHAnsi" w:cs="Arial"/>
          <w:sz w:val="20"/>
          <w:lang w:val="hr-HR"/>
        </w:rPr>
        <w:tab/>
        <w:t>Kreditni rizik (nastavak)</w:t>
      </w:r>
    </w:p>
    <w:p w:rsidR="00A418BF" w:rsidRPr="001567C8" w:rsidRDefault="00A418BF" w:rsidP="00B65175">
      <w:pPr>
        <w:pStyle w:val="T1"/>
        <w:spacing w:before="120" w:line="240" w:lineRule="auto"/>
        <w:rPr>
          <w:rFonts w:asciiTheme="minorHAnsi" w:hAnsiTheme="minorHAnsi" w:cs="Arial"/>
          <w:sz w:val="20"/>
          <w:lang w:val="hr-HR"/>
        </w:rPr>
      </w:pPr>
      <w:r w:rsidRPr="001567C8">
        <w:rPr>
          <w:rFonts w:asciiTheme="minorHAnsi" w:hAnsiTheme="minorHAnsi" w:cs="Arial"/>
          <w:sz w:val="20"/>
          <w:lang w:val="hr-HR"/>
        </w:rPr>
        <w:t xml:space="preserve">Kvaliteta kreditnog rizika prema vrsti financijske imovine </w:t>
      </w:r>
    </w:p>
    <w:p w:rsidR="009808C2" w:rsidRPr="001567C8" w:rsidRDefault="009808C2" w:rsidP="00E266C9">
      <w:pPr>
        <w:jc w:val="both"/>
        <w:rPr>
          <w:rFonts w:asciiTheme="minorHAnsi" w:hAnsiTheme="minorHAnsi" w:cs="Arial"/>
          <w:sz w:val="20"/>
          <w:szCs w:val="20"/>
          <w:lang w:val="hr-HR"/>
        </w:rPr>
      </w:pPr>
      <w:r w:rsidRPr="001567C8">
        <w:rPr>
          <w:rFonts w:asciiTheme="minorHAnsi" w:hAnsiTheme="minorHAnsi" w:cs="Arial"/>
          <w:sz w:val="20"/>
          <w:szCs w:val="20"/>
          <w:lang w:val="hr-HR"/>
        </w:rPr>
        <w:t>Analiza kreditnog rizika</w:t>
      </w:r>
      <w:r w:rsidR="003F0EC8" w:rsidRPr="001567C8">
        <w:rPr>
          <w:rFonts w:asciiTheme="minorHAnsi" w:hAnsiTheme="minorHAnsi" w:cs="Arial"/>
          <w:sz w:val="20"/>
          <w:szCs w:val="20"/>
          <w:lang w:val="hr-HR"/>
        </w:rPr>
        <w:t>, neto</w:t>
      </w:r>
      <w:r w:rsidR="00603200" w:rsidRPr="00CD3A2D">
        <w:rPr>
          <w:lang w:val="hr-HR"/>
        </w:rPr>
        <w:t xml:space="preserve"> </w:t>
      </w:r>
      <w:r w:rsidR="00603200" w:rsidRPr="001567C8">
        <w:rPr>
          <w:rFonts w:asciiTheme="minorHAnsi" w:hAnsiTheme="minorHAnsi" w:cs="Arial"/>
          <w:sz w:val="20"/>
          <w:szCs w:val="20"/>
          <w:lang w:val="hr-HR"/>
        </w:rPr>
        <w:t>izloženost</w:t>
      </w:r>
      <w:r w:rsidR="003F0EC8" w:rsidRPr="001567C8">
        <w:rPr>
          <w:rFonts w:asciiTheme="minorHAnsi" w:hAnsiTheme="minorHAnsi" w:cs="Arial"/>
          <w:sz w:val="20"/>
          <w:szCs w:val="20"/>
          <w:lang w:val="hr-HR"/>
        </w:rPr>
        <w:t>,</w:t>
      </w:r>
      <w:r w:rsidRPr="001567C8">
        <w:rPr>
          <w:rFonts w:asciiTheme="minorHAnsi" w:hAnsiTheme="minorHAnsi" w:cs="Arial"/>
          <w:sz w:val="20"/>
          <w:szCs w:val="20"/>
          <w:lang w:val="hr-HR"/>
        </w:rPr>
        <w:t xml:space="preserve"> prije i nakon uzimanja u obzir primljenih instrumenata osiguranja</w:t>
      </w:r>
      <w:r w:rsidR="003F0EC8" w:rsidRPr="001567C8">
        <w:rPr>
          <w:rFonts w:asciiTheme="minorHAnsi" w:hAnsiTheme="minorHAnsi" w:cs="Arial"/>
          <w:sz w:val="20"/>
          <w:szCs w:val="20"/>
          <w:lang w:val="hr-HR"/>
        </w:rPr>
        <w:t xml:space="preserve">, </w:t>
      </w:r>
      <w:r w:rsidRPr="001567C8">
        <w:rPr>
          <w:rFonts w:asciiTheme="minorHAnsi" w:hAnsiTheme="minorHAnsi" w:cs="Arial"/>
          <w:sz w:val="20"/>
          <w:szCs w:val="20"/>
          <w:lang w:val="hr-HR"/>
        </w:rPr>
        <w:t xml:space="preserve">prema vrsti financijske imovine na pozicijama </w:t>
      </w:r>
      <w:r w:rsidR="008D6072" w:rsidRPr="001567C8">
        <w:rPr>
          <w:rFonts w:asciiTheme="minorHAnsi" w:hAnsiTheme="minorHAnsi" w:cs="Arial"/>
          <w:sz w:val="20"/>
          <w:szCs w:val="20"/>
          <w:lang w:val="hr-HR"/>
        </w:rPr>
        <w:t>imovine</w:t>
      </w:r>
      <w:r w:rsidRPr="001567C8">
        <w:rPr>
          <w:rFonts w:asciiTheme="minorHAnsi" w:hAnsiTheme="minorHAnsi" w:cs="Arial"/>
          <w:sz w:val="20"/>
          <w:szCs w:val="20"/>
          <w:lang w:val="hr-HR"/>
        </w:rPr>
        <w:t xml:space="preserve"> i garancija i preuzetih obveza prema rizičnim skupinama:</w:t>
      </w:r>
    </w:p>
    <w:tbl>
      <w:tblPr>
        <w:tblW w:w="5205" w:type="pct"/>
        <w:jc w:val="center"/>
        <w:tblLayout w:type="fixed"/>
        <w:tblLook w:val="0000" w:firstRow="0" w:lastRow="0" w:firstColumn="0" w:lastColumn="0" w:noHBand="0" w:noVBand="0"/>
      </w:tblPr>
      <w:tblGrid>
        <w:gridCol w:w="2626"/>
        <w:gridCol w:w="946"/>
        <w:gridCol w:w="943"/>
        <w:gridCol w:w="937"/>
        <w:gridCol w:w="875"/>
        <w:gridCol w:w="985"/>
        <w:gridCol w:w="937"/>
        <w:gridCol w:w="1080"/>
        <w:gridCol w:w="1077"/>
        <w:gridCol w:w="1077"/>
        <w:gridCol w:w="1077"/>
        <w:gridCol w:w="1261"/>
        <w:gridCol w:w="1053"/>
      </w:tblGrid>
      <w:tr w:rsidR="00B65175" w:rsidRPr="001567C8" w:rsidTr="00B65175">
        <w:trPr>
          <w:trHeight w:val="1607"/>
          <w:jc w:val="center"/>
        </w:trPr>
        <w:tc>
          <w:tcPr>
            <w:tcW w:w="883" w:type="pct"/>
          </w:tcPr>
          <w:p w:rsidR="00B65175" w:rsidRPr="001567C8" w:rsidRDefault="00B65175" w:rsidP="00B65175">
            <w:pPr>
              <w:rPr>
                <w:rFonts w:ascii="Calibri" w:eastAsia="Calibri" w:hAnsi="Calibri" w:cs="Arial"/>
                <w:b/>
                <w:bCs/>
                <w:sz w:val="15"/>
                <w:szCs w:val="15"/>
                <w:lang w:val="hr-HR"/>
              </w:rPr>
            </w:pPr>
            <w:bookmarkStart w:id="78" w:name="_Hlk530060318"/>
            <w:r w:rsidRPr="001567C8">
              <w:rPr>
                <w:rFonts w:ascii="Calibri" w:eastAsia="Calibri" w:hAnsi="Calibri" w:cs="Arial"/>
                <w:b/>
                <w:bCs/>
                <w:sz w:val="15"/>
                <w:szCs w:val="15"/>
                <w:lang w:val="hr-HR"/>
              </w:rPr>
              <w:br w:type="page"/>
              <w:t>Grupa</w:t>
            </w:r>
          </w:p>
          <w:p w:rsidR="007C5023" w:rsidRPr="001567C8" w:rsidRDefault="007C5023" w:rsidP="00B65175">
            <w:pPr>
              <w:rPr>
                <w:rFonts w:ascii="Calibri" w:eastAsia="Calibri" w:hAnsi="Calibri" w:cs="Arial"/>
                <w:b/>
                <w:bCs/>
                <w:sz w:val="15"/>
                <w:szCs w:val="15"/>
                <w:lang w:val="hr-HR"/>
              </w:rPr>
            </w:pPr>
          </w:p>
          <w:p w:rsidR="00B65175" w:rsidRPr="001567C8" w:rsidRDefault="00AD2EF7" w:rsidP="00B65175">
            <w:pPr>
              <w:rPr>
                <w:rFonts w:ascii="Calibri" w:eastAsia="Calibri" w:hAnsi="Calibri" w:cs="Arial"/>
                <w:sz w:val="15"/>
                <w:szCs w:val="15"/>
                <w:lang w:val="hr-HR"/>
              </w:rPr>
            </w:pPr>
            <w:r>
              <w:rPr>
                <w:rFonts w:ascii="Calibri" w:eastAsia="Calibri" w:hAnsi="Calibri" w:cs="Arial"/>
                <w:b/>
                <w:bCs/>
                <w:sz w:val="15"/>
                <w:szCs w:val="15"/>
                <w:lang w:val="hr-HR"/>
              </w:rPr>
              <w:t>31. prosin</w:t>
            </w:r>
            <w:r w:rsidR="0073283D" w:rsidRPr="001567C8">
              <w:rPr>
                <w:rFonts w:ascii="Calibri" w:eastAsia="Calibri" w:hAnsi="Calibri" w:cs="Arial"/>
                <w:b/>
                <w:bCs/>
                <w:sz w:val="15"/>
                <w:szCs w:val="15"/>
                <w:lang w:val="hr-HR"/>
              </w:rPr>
              <w:t>c</w:t>
            </w:r>
            <w:r>
              <w:rPr>
                <w:rFonts w:ascii="Calibri" w:eastAsia="Calibri" w:hAnsi="Calibri" w:cs="Arial"/>
                <w:b/>
                <w:bCs/>
                <w:sz w:val="15"/>
                <w:szCs w:val="15"/>
                <w:lang w:val="hr-HR"/>
              </w:rPr>
              <w:t>a</w:t>
            </w:r>
            <w:r w:rsidR="0073283D" w:rsidRPr="001567C8">
              <w:rPr>
                <w:rFonts w:ascii="Calibri" w:eastAsia="Calibri" w:hAnsi="Calibri" w:cs="Arial"/>
                <w:b/>
                <w:bCs/>
                <w:sz w:val="15"/>
                <w:szCs w:val="15"/>
                <w:lang w:val="hr-HR"/>
              </w:rPr>
              <w:t xml:space="preserve"> </w:t>
            </w:r>
            <w:r w:rsidR="00B65175" w:rsidRPr="001567C8">
              <w:rPr>
                <w:rFonts w:ascii="Calibri" w:eastAsia="Calibri" w:hAnsi="Calibri" w:cs="Arial"/>
                <w:b/>
                <w:bCs/>
                <w:sz w:val="15"/>
                <w:szCs w:val="15"/>
                <w:lang w:val="hr-HR"/>
              </w:rPr>
              <w:t>2018.</w:t>
            </w:r>
            <w:r w:rsidR="00887520" w:rsidRPr="001567C8">
              <w:rPr>
                <w:rFonts w:ascii="Calibri" w:eastAsia="Calibri" w:hAnsi="Calibri" w:cs="Arial"/>
                <w:b/>
                <w:bCs/>
                <w:sz w:val="15"/>
                <w:szCs w:val="15"/>
                <w:lang w:val="hr-HR"/>
              </w:rPr>
              <w:t xml:space="preserve"> godina</w:t>
            </w:r>
          </w:p>
        </w:tc>
        <w:tc>
          <w:tcPr>
            <w:tcW w:w="318"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 stupanj 1</w:t>
            </w:r>
          </w:p>
        </w:tc>
        <w:tc>
          <w:tcPr>
            <w:tcW w:w="317"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 stupanj 2</w:t>
            </w:r>
          </w:p>
        </w:tc>
        <w:tc>
          <w:tcPr>
            <w:tcW w:w="315"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 stupanj 3</w:t>
            </w:r>
          </w:p>
        </w:tc>
        <w:tc>
          <w:tcPr>
            <w:tcW w:w="294"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rizične skupine POCI</w:t>
            </w:r>
          </w:p>
        </w:tc>
        <w:tc>
          <w:tcPr>
            <w:tcW w:w="331" w:type="pct"/>
            <w:vAlign w:val="bottom"/>
          </w:tcPr>
          <w:p w:rsidR="00B65175" w:rsidRPr="001567C8" w:rsidRDefault="00B65175" w:rsidP="00B65175">
            <w:pPr>
              <w:jc w:val="right"/>
              <w:rPr>
                <w:rFonts w:ascii="Calibri" w:eastAsia="Calibri" w:hAnsi="Calibri"/>
                <w:sz w:val="15"/>
                <w:szCs w:val="15"/>
                <w:lang w:val="hr-HR"/>
              </w:rPr>
            </w:pPr>
            <w:r w:rsidRPr="001567C8">
              <w:rPr>
                <w:rFonts w:ascii="Calibri" w:eastAsia="Calibri" w:hAnsi="Calibri" w:cs="Arial"/>
                <w:b/>
                <w:sz w:val="15"/>
                <w:szCs w:val="15"/>
                <w:lang w:val="hr-HR"/>
              </w:rPr>
              <w:t>Financijska imovina koja se ne raspoređuje u rizične skupine po MSFI-ju 9</w:t>
            </w:r>
          </w:p>
        </w:tc>
        <w:tc>
          <w:tcPr>
            <w:tcW w:w="315"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ukupnog portfelja</w:t>
            </w:r>
          </w:p>
        </w:tc>
        <w:tc>
          <w:tcPr>
            <w:tcW w:w="363"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nakon umanjenja za instrumente osiguranja- stupanj 1</w:t>
            </w:r>
          </w:p>
        </w:tc>
        <w:tc>
          <w:tcPr>
            <w:tcW w:w="362"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nakon umanjenja za instrumente osiguranja- stupanj 2</w:t>
            </w:r>
          </w:p>
        </w:tc>
        <w:tc>
          <w:tcPr>
            <w:tcW w:w="362"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nakon umanjenja za instrumente osiguranja- stupanj 3</w:t>
            </w:r>
          </w:p>
        </w:tc>
        <w:tc>
          <w:tcPr>
            <w:tcW w:w="362"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nakon umanjenja za instrumente osiguranja- rizične skupine POCI</w:t>
            </w:r>
          </w:p>
        </w:tc>
        <w:tc>
          <w:tcPr>
            <w:tcW w:w="424"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Financijska imovina  koja se ne raspoređuje u rizične skupine po MSFI-ju 9 nakon umanjenja za instrumente osiguranja</w:t>
            </w:r>
          </w:p>
        </w:tc>
        <w:tc>
          <w:tcPr>
            <w:tcW w:w="354"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ukupnog portfelja nakon umanjenja za instrumente osiguranja</w:t>
            </w:r>
          </w:p>
        </w:tc>
      </w:tr>
      <w:tr w:rsidR="00B65175" w:rsidRPr="001567C8" w:rsidTr="00B65175">
        <w:trPr>
          <w:trHeight w:val="160"/>
          <w:jc w:val="center"/>
        </w:trPr>
        <w:tc>
          <w:tcPr>
            <w:tcW w:w="883" w:type="pct"/>
          </w:tcPr>
          <w:p w:rsidR="00B65175" w:rsidRPr="001567C8" w:rsidRDefault="00B65175" w:rsidP="00B65175">
            <w:pPr>
              <w:rPr>
                <w:rFonts w:ascii="Calibri" w:eastAsia="Calibri" w:hAnsi="Calibri" w:cs="Arial"/>
                <w:b/>
                <w:bCs/>
                <w:sz w:val="15"/>
                <w:szCs w:val="15"/>
                <w:lang w:val="hr-HR"/>
              </w:rPr>
            </w:pPr>
          </w:p>
        </w:tc>
        <w:tc>
          <w:tcPr>
            <w:tcW w:w="318"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17"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15"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294"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31"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15"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63"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62"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62"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62"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424"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54"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r>
      <w:tr w:rsidR="00B65175" w:rsidRPr="001567C8" w:rsidTr="00B65175">
        <w:trPr>
          <w:trHeight w:val="117"/>
          <w:jc w:val="center"/>
        </w:trPr>
        <w:tc>
          <w:tcPr>
            <w:tcW w:w="883" w:type="pct"/>
          </w:tcPr>
          <w:p w:rsidR="00B65175" w:rsidRPr="001567C8" w:rsidRDefault="00B65175" w:rsidP="00B65175">
            <w:pPr>
              <w:tabs>
                <w:tab w:val="right" w:pos="1202"/>
              </w:tabs>
              <w:spacing w:line="301"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Imovina</w:t>
            </w:r>
          </w:p>
        </w:tc>
        <w:tc>
          <w:tcPr>
            <w:tcW w:w="318"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17"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15"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294"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31"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15"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63"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62"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62"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62"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424"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54"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Novčana sredstva i računi kod banaka</w:t>
            </w:r>
          </w:p>
        </w:tc>
        <w:tc>
          <w:tcPr>
            <w:tcW w:w="318"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944.415 </w:t>
            </w:r>
          </w:p>
        </w:tc>
        <w:tc>
          <w:tcPr>
            <w:tcW w:w="317"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294"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31"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944.415 </w:t>
            </w:r>
          </w:p>
        </w:tc>
        <w:tc>
          <w:tcPr>
            <w:tcW w:w="363"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2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5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Depoziti kod drugih banaka</w:t>
            </w:r>
          </w:p>
        </w:tc>
        <w:tc>
          <w:tcPr>
            <w:tcW w:w="318"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261.925 </w:t>
            </w:r>
          </w:p>
        </w:tc>
        <w:tc>
          <w:tcPr>
            <w:tcW w:w="317"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294"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31"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261.925 </w:t>
            </w:r>
          </w:p>
        </w:tc>
        <w:tc>
          <w:tcPr>
            <w:tcW w:w="363"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2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5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Krediti financijskim institucijama</w:t>
            </w:r>
          </w:p>
        </w:tc>
        <w:tc>
          <w:tcPr>
            <w:tcW w:w="318"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10.064.840 </w:t>
            </w:r>
          </w:p>
        </w:tc>
        <w:tc>
          <w:tcPr>
            <w:tcW w:w="317"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137.737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32.411 </w:t>
            </w:r>
          </w:p>
        </w:tc>
        <w:tc>
          <w:tcPr>
            <w:tcW w:w="294"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31"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10.234.988 </w:t>
            </w:r>
          </w:p>
        </w:tc>
        <w:tc>
          <w:tcPr>
            <w:tcW w:w="363"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2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5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Krediti ostalim korisnicima</w:t>
            </w:r>
          </w:p>
        </w:tc>
        <w:tc>
          <w:tcPr>
            <w:tcW w:w="318"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9.408.775 </w:t>
            </w:r>
          </w:p>
        </w:tc>
        <w:tc>
          <w:tcPr>
            <w:tcW w:w="317"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1.141.971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1.728.419 </w:t>
            </w:r>
          </w:p>
        </w:tc>
        <w:tc>
          <w:tcPr>
            <w:tcW w:w="294"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231.521 </w:t>
            </w:r>
          </w:p>
        </w:tc>
        <w:tc>
          <w:tcPr>
            <w:tcW w:w="331"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12.510.686 </w:t>
            </w:r>
          </w:p>
        </w:tc>
        <w:tc>
          <w:tcPr>
            <w:tcW w:w="363"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2.930.911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127.418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278.948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1.372 </w:t>
            </w:r>
          </w:p>
        </w:tc>
        <w:tc>
          <w:tcPr>
            <w:tcW w:w="42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5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3.338.649 </w:t>
            </w: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Financijska imovina po fer vrijednosti kroz dobit i</w:t>
            </w:r>
            <w:r w:rsidR="00316574" w:rsidRPr="001567C8">
              <w:rPr>
                <w:rFonts w:ascii="Calibri" w:eastAsia="Calibri" w:hAnsi="Calibri"/>
                <w:sz w:val="15"/>
                <w:szCs w:val="15"/>
                <w:lang w:val="hr-HR"/>
              </w:rPr>
              <w:t>li</w:t>
            </w:r>
            <w:r w:rsidRPr="001567C8">
              <w:rPr>
                <w:rFonts w:ascii="Calibri" w:eastAsia="Calibri" w:hAnsi="Calibri"/>
                <w:sz w:val="15"/>
                <w:szCs w:val="15"/>
                <w:lang w:val="hr-HR"/>
              </w:rPr>
              <w:t xml:space="preserve"> gubit</w:t>
            </w:r>
            <w:r w:rsidR="00316574" w:rsidRPr="001567C8">
              <w:rPr>
                <w:rFonts w:ascii="Calibri" w:eastAsia="Calibri" w:hAnsi="Calibri"/>
                <w:sz w:val="15"/>
                <w:szCs w:val="15"/>
                <w:lang w:val="hr-HR"/>
              </w:rPr>
              <w:t>ak</w:t>
            </w:r>
          </w:p>
        </w:tc>
        <w:tc>
          <w:tcPr>
            <w:tcW w:w="318"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17"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294"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31"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2.045 </w:t>
            </w:r>
          </w:p>
        </w:tc>
        <w:tc>
          <w:tcPr>
            <w:tcW w:w="315"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highlight w:val="yellow"/>
                <w:lang w:val="hr-HR"/>
              </w:rPr>
            </w:pPr>
            <w:r w:rsidRPr="00CD3A2D">
              <w:rPr>
                <w:rFonts w:asciiTheme="minorHAnsi" w:hAnsiTheme="minorHAnsi"/>
                <w:sz w:val="15"/>
                <w:szCs w:val="15"/>
                <w:lang w:val="hr-HR"/>
              </w:rPr>
              <w:t xml:space="preserve"> 2.045 </w:t>
            </w:r>
          </w:p>
        </w:tc>
        <w:tc>
          <w:tcPr>
            <w:tcW w:w="363"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424"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2.045 </w:t>
            </w:r>
          </w:p>
        </w:tc>
        <w:tc>
          <w:tcPr>
            <w:tcW w:w="354"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2.045 </w:t>
            </w: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Financijska imovina po fer vrijednosti kroz ostalu sveobuhvatnu dobit</w:t>
            </w:r>
          </w:p>
        </w:tc>
        <w:tc>
          <w:tcPr>
            <w:tcW w:w="318"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2.802.22</w:t>
            </w:r>
            <w:r w:rsidR="00A57318" w:rsidRPr="00CD3A2D">
              <w:rPr>
                <w:rFonts w:asciiTheme="minorHAnsi" w:hAnsiTheme="minorHAnsi"/>
                <w:sz w:val="15"/>
                <w:szCs w:val="15"/>
                <w:lang w:val="hr-HR"/>
              </w:rPr>
              <w:t>3</w:t>
            </w:r>
            <w:r w:rsidRPr="00CD3A2D">
              <w:rPr>
                <w:rFonts w:asciiTheme="minorHAnsi" w:hAnsiTheme="minorHAnsi"/>
                <w:sz w:val="15"/>
                <w:szCs w:val="15"/>
                <w:lang w:val="hr-HR"/>
              </w:rPr>
              <w:t xml:space="preserve"> </w:t>
            </w:r>
          </w:p>
        </w:tc>
        <w:tc>
          <w:tcPr>
            <w:tcW w:w="317"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77</w:t>
            </w:r>
            <w:r w:rsidR="00A57318" w:rsidRPr="00CD3A2D">
              <w:rPr>
                <w:rFonts w:asciiTheme="minorHAnsi" w:hAnsiTheme="minorHAnsi"/>
                <w:sz w:val="15"/>
                <w:szCs w:val="15"/>
                <w:lang w:val="hr-HR"/>
              </w:rPr>
              <w:t>0</w:t>
            </w:r>
            <w:r w:rsidRPr="00CD3A2D">
              <w:rPr>
                <w:rFonts w:asciiTheme="minorHAnsi" w:hAnsiTheme="minorHAnsi"/>
                <w:sz w:val="15"/>
                <w:szCs w:val="15"/>
                <w:lang w:val="hr-HR"/>
              </w:rPr>
              <w:t xml:space="preserve"> </w:t>
            </w:r>
          </w:p>
        </w:tc>
        <w:tc>
          <w:tcPr>
            <w:tcW w:w="315"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768 </w:t>
            </w:r>
          </w:p>
        </w:tc>
        <w:tc>
          <w:tcPr>
            <w:tcW w:w="294"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31"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15"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highlight w:val="yellow"/>
                <w:lang w:val="hr-HR"/>
              </w:rPr>
            </w:pPr>
            <w:r w:rsidRPr="00CD3A2D">
              <w:rPr>
                <w:rFonts w:asciiTheme="minorHAnsi" w:hAnsiTheme="minorHAnsi"/>
                <w:sz w:val="15"/>
                <w:szCs w:val="15"/>
                <w:lang w:val="hr-HR"/>
              </w:rPr>
              <w:t xml:space="preserve"> 2.803.761 </w:t>
            </w:r>
          </w:p>
        </w:tc>
        <w:tc>
          <w:tcPr>
            <w:tcW w:w="363"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2.802.22</w:t>
            </w:r>
            <w:r w:rsidR="00A57318" w:rsidRPr="00CD3A2D">
              <w:rPr>
                <w:rFonts w:asciiTheme="minorHAnsi" w:hAnsiTheme="minorHAnsi"/>
                <w:sz w:val="15"/>
                <w:szCs w:val="15"/>
                <w:lang w:val="hr-HR"/>
              </w:rPr>
              <w:t>3</w:t>
            </w:r>
            <w:r w:rsidRPr="00CD3A2D">
              <w:rPr>
                <w:rFonts w:asciiTheme="minorHAnsi" w:hAnsiTheme="minorHAnsi"/>
                <w:sz w:val="15"/>
                <w:szCs w:val="15"/>
                <w:lang w:val="hr-HR"/>
              </w:rPr>
              <w:t xml:space="preserve"> </w:t>
            </w:r>
          </w:p>
        </w:tc>
        <w:tc>
          <w:tcPr>
            <w:tcW w:w="362"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77</w:t>
            </w:r>
            <w:r w:rsidR="00A57318" w:rsidRPr="00CD3A2D">
              <w:rPr>
                <w:rFonts w:asciiTheme="minorHAnsi" w:hAnsiTheme="minorHAnsi"/>
                <w:sz w:val="15"/>
                <w:szCs w:val="15"/>
                <w:lang w:val="hr-HR"/>
              </w:rPr>
              <w:t>0</w:t>
            </w:r>
            <w:r w:rsidRPr="00CD3A2D">
              <w:rPr>
                <w:rFonts w:asciiTheme="minorHAnsi" w:hAnsiTheme="minorHAnsi"/>
                <w:sz w:val="15"/>
                <w:szCs w:val="15"/>
                <w:lang w:val="hr-HR"/>
              </w:rPr>
              <w:t xml:space="preserve"> </w:t>
            </w:r>
          </w:p>
        </w:tc>
        <w:tc>
          <w:tcPr>
            <w:tcW w:w="362"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768 </w:t>
            </w:r>
          </w:p>
        </w:tc>
        <w:tc>
          <w:tcPr>
            <w:tcW w:w="362"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424"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54"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highlight w:val="yellow"/>
                <w:lang w:val="hr-HR"/>
              </w:rPr>
            </w:pPr>
            <w:r w:rsidRPr="00CD3A2D">
              <w:rPr>
                <w:rFonts w:asciiTheme="minorHAnsi" w:hAnsiTheme="minorHAnsi"/>
                <w:sz w:val="15"/>
                <w:szCs w:val="15"/>
                <w:lang w:val="hr-HR"/>
              </w:rPr>
              <w:t xml:space="preserve"> 2.803.761 </w:t>
            </w: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Dužnički vrijednosni papiri po amortiziranom trošku</w:t>
            </w:r>
          </w:p>
        </w:tc>
        <w:tc>
          <w:tcPr>
            <w:tcW w:w="318"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1.363 </w:t>
            </w:r>
          </w:p>
        </w:tc>
        <w:tc>
          <w:tcPr>
            <w:tcW w:w="317"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15"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294"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31"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15" w:type="pct"/>
            <w:tcBorders>
              <w:top w:val="nil"/>
              <w:left w:val="nil"/>
              <w:bottom w:val="nil"/>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1.363 </w:t>
            </w:r>
          </w:p>
        </w:tc>
        <w:tc>
          <w:tcPr>
            <w:tcW w:w="363"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1.363 </w:t>
            </w:r>
          </w:p>
        </w:tc>
        <w:tc>
          <w:tcPr>
            <w:tcW w:w="362"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62"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62"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424"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54" w:type="pct"/>
            <w:tcBorders>
              <w:top w:val="nil"/>
              <w:left w:val="nil"/>
              <w:bottom w:val="nil"/>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1.363 </w:t>
            </w: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Ostala imovina</w:t>
            </w:r>
          </w:p>
        </w:tc>
        <w:tc>
          <w:tcPr>
            <w:tcW w:w="318"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11.315 </w:t>
            </w:r>
          </w:p>
        </w:tc>
        <w:tc>
          <w:tcPr>
            <w:tcW w:w="317"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12 </w:t>
            </w:r>
          </w:p>
        </w:tc>
        <w:tc>
          <w:tcPr>
            <w:tcW w:w="315"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1.395 </w:t>
            </w:r>
          </w:p>
        </w:tc>
        <w:tc>
          <w:tcPr>
            <w:tcW w:w="294"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31"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15"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12.722 </w:t>
            </w:r>
          </w:p>
        </w:tc>
        <w:tc>
          <w:tcPr>
            <w:tcW w:w="363"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3.067 </w:t>
            </w:r>
          </w:p>
        </w:tc>
        <w:tc>
          <w:tcPr>
            <w:tcW w:w="362"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 </w:t>
            </w:r>
          </w:p>
        </w:tc>
        <w:tc>
          <w:tcPr>
            <w:tcW w:w="362"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1.281 </w:t>
            </w:r>
          </w:p>
        </w:tc>
        <w:tc>
          <w:tcPr>
            <w:tcW w:w="362"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424"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1567C8">
              <w:rPr>
                <w:rFonts w:asciiTheme="minorHAnsi" w:eastAsia="Calibri" w:hAnsiTheme="minorHAnsi" w:cs="Arial"/>
                <w:snapToGrid w:val="0"/>
                <w:sz w:val="15"/>
                <w:szCs w:val="15"/>
                <w:lang w:val="hr-HR"/>
              </w:rPr>
              <w:t>-</w:t>
            </w:r>
          </w:p>
        </w:tc>
        <w:tc>
          <w:tcPr>
            <w:tcW w:w="354"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4.349 </w:t>
            </w:r>
          </w:p>
        </w:tc>
      </w:tr>
      <w:tr w:rsidR="004F0C6A" w:rsidRPr="001567C8" w:rsidTr="003C6BA3">
        <w:trPr>
          <w:trHeight w:val="201"/>
          <w:jc w:val="center"/>
        </w:trPr>
        <w:tc>
          <w:tcPr>
            <w:tcW w:w="883" w:type="pct"/>
          </w:tcPr>
          <w:p w:rsidR="004F0C6A" w:rsidRPr="001567C8" w:rsidRDefault="004F0C6A" w:rsidP="004F0C6A">
            <w:pPr>
              <w:tabs>
                <w:tab w:val="right" w:pos="1202"/>
              </w:tabs>
              <w:spacing w:line="301"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Ukupno</w:t>
            </w:r>
          </w:p>
        </w:tc>
        <w:tc>
          <w:tcPr>
            <w:tcW w:w="318" w:type="pct"/>
            <w:tcBorders>
              <w:top w:val="nil"/>
              <w:left w:val="nil"/>
              <w:bottom w:val="single" w:sz="12" w:space="0" w:color="auto"/>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23.494.85</w:t>
            </w:r>
            <w:r w:rsidR="00A57318" w:rsidRPr="00CD3A2D">
              <w:rPr>
                <w:rFonts w:asciiTheme="minorHAnsi" w:hAnsiTheme="minorHAnsi"/>
                <w:b/>
                <w:sz w:val="15"/>
                <w:szCs w:val="15"/>
                <w:lang w:val="hr-HR"/>
              </w:rPr>
              <w:t>6</w:t>
            </w:r>
            <w:r w:rsidRPr="00CD3A2D">
              <w:rPr>
                <w:rFonts w:asciiTheme="minorHAnsi" w:hAnsiTheme="minorHAnsi"/>
                <w:b/>
                <w:sz w:val="15"/>
                <w:szCs w:val="15"/>
                <w:lang w:val="hr-HR"/>
              </w:rPr>
              <w:t xml:space="preserve"> </w:t>
            </w:r>
          </w:p>
        </w:tc>
        <w:tc>
          <w:tcPr>
            <w:tcW w:w="317" w:type="pct"/>
            <w:tcBorders>
              <w:top w:val="nil"/>
              <w:left w:val="nil"/>
              <w:bottom w:val="single" w:sz="12" w:space="0" w:color="auto"/>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1.280.49</w:t>
            </w:r>
            <w:r w:rsidR="00A57318" w:rsidRPr="00CD3A2D">
              <w:rPr>
                <w:rFonts w:asciiTheme="minorHAnsi" w:hAnsiTheme="minorHAnsi"/>
                <w:b/>
                <w:sz w:val="15"/>
                <w:szCs w:val="15"/>
                <w:lang w:val="hr-HR"/>
              </w:rPr>
              <w:t>0</w:t>
            </w:r>
            <w:r w:rsidRPr="00CD3A2D">
              <w:rPr>
                <w:rFonts w:asciiTheme="minorHAnsi" w:hAnsiTheme="minorHAnsi"/>
                <w:b/>
                <w:sz w:val="15"/>
                <w:szCs w:val="15"/>
                <w:lang w:val="hr-HR"/>
              </w:rPr>
              <w:t xml:space="preserve"> </w:t>
            </w:r>
          </w:p>
        </w:tc>
        <w:tc>
          <w:tcPr>
            <w:tcW w:w="315" w:type="pct"/>
            <w:tcBorders>
              <w:top w:val="nil"/>
              <w:left w:val="nil"/>
              <w:bottom w:val="single" w:sz="12" w:space="0" w:color="auto"/>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1.762.993 </w:t>
            </w:r>
          </w:p>
        </w:tc>
        <w:tc>
          <w:tcPr>
            <w:tcW w:w="294" w:type="pct"/>
            <w:tcBorders>
              <w:top w:val="nil"/>
              <w:left w:val="nil"/>
              <w:bottom w:val="single" w:sz="12" w:space="0" w:color="auto"/>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231.521 </w:t>
            </w:r>
          </w:p>
        </w:tc>
        <w:tc>
          <w:tcPr>
            <w:tcW w:w="331" w:type="pct"/>
            <w:tcBorders>
              <w:top w:val="nil"/>
              <w:left w:val="nil"/>
              <w:bottom w:val="single" w:sz="12" w:space="0" w:color="auto"/>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2.045 </w:t>
            </w:r>
          </w:p>
        </w:tc>
        <w:tc>
          <w:tcPr>
            <w:tcW w:w="315" w:type="pct"/>
            <w:tcBorders>
              <w:top w:val="nil"/>
              <w:left w:val="nil"/>
              <w:bottom w:val="single" w:sz="12" w:space="0" w:color="auto"/>
              <w:right w:val="nil"/>
            </w:tcBorders>
            <w:shd w:val="clear" w:color="auto" w:fill="auto"/>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26.771.905 </w:t>
            </w:r>
          </w:p>
        </w:tc>
        <w:tc>
          <w:tcPr>
            <w:tcW w:w="363" w:type="pct"/>
            <w:tcBorders>
              <w:top w:val="nil"/>
              <w:left w:val="nil"/>
              <w:bottom w:val="single" w:sz="12" w:space="0" w:color="auto"/>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5.737.56</w:t>
            </w:r>
            <w:r w:rsidR="00A57318" w:rsidRPr="00CD3A2D">
              <w:rPr>
                <w:rFonts w:asciiTheme="minorHAnsi" w:hAnsiTheme="minorHAnsi"/>
                <w:b/>
                <w:sz w:val="15"/>
                <w:szCs w:val="15"/>
                <w:lang w:val="hr-HR"/>
              </w:rPr>
              <w:t>4</w:t>
            </w:r>
            <w:r w:rsidRPr="00CD3A2D">
              <w:rPr>
                <w:rFonts w:asciiTheme="minorHAnsi" w:hAnsiTheme="minorHAnsi"/>
                <w:b/>
                <w:sz w:val="15"/>
                <w:szCs w:val="15"/>
                <w:lang w:val="hr-HR"/>
              </w:rPr>
              <w:t xml:space="preserve"> </w:t>
            </w:r>
          </w:p>
        </w:tc>
        <w:tc>
          <w:tcPr>
            <w:tcW w:w="362" w:type="pct"/>
            <w:tcBorders>
              <w:top w:val="nil"/>
              <w:left w:val="nil"/>
              <w:bottom w:val="single" w:sz="12" w:space="0" w:color="auto"/>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128.1</w:t>
            </w:r>
            <w:r w:rsidR="00A57318" w:rsidRPr="00CD3A2D">
              <w:rPr>
                <w:rFonts w:asciiTheme="minorHAnsi" w:hAnsiTheme="minorHAnsi"/>
                <w:b/>
                <w:sz w:val="15"/>
                <w:szCs w:val="15"/>
                <w:lang w:val="hr-HR"/>
              </w:rPr>
              <w:t>89</w:t>
            </w:r>
          </w:p>
        </w:tc>
        <w:tc>
          <w:tcPr>
            <w:tcW w:w="362" w:type="pct"/>
            <w:tcBorders>
              <w:top w:val="nil"/>
              <w:left w:val="nil"/>
              <w:bottom w:val="single" w:sz="12" w:space="0" w:color="auto"/>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280.997 </w:t>
            </w:r>
          </w:p>
        </w:tc>
        <w:tc>
          <w:tcPr>
            <w:tcW w:w="362" w:type="pct"/>
            <w:tcBorders>
              <w:top w:val="nil"/>
              <w:left w:val="nil"/>
              <w:bottom w:val="single" w:sz="12" w:space="0" w:color="auto"/>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1.372 </w:t>
            </w:r>
          </w:p>
        </w:tc>
        <w:tc>
          <w:tcPr>
            <w:tcW w:w="424" w:type="pct"/>
            <w:tcBorders>
              <w:top w:val="nil"/>
              <w:left w:val="nil"/>
              <w:bottom w:val="single" w:sz="12" w:space="0" w:color="auto"/>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2.045 </w:t>
            </w:r>
          </w:p>
        </w:tc>
        <w:tc>
          <w:tcPr>
            <w:tcW w:w="354" w:type="pct"/>
            <w:tcBorders>
              <w:top w:val="nil"/>
              <w:left w:val="nil"/>
              <w:bottom w:val="single" w:sz="12" w:space="0" w:color="auto"/>
              <w:right w:val="nil"/>
            </w:tcBorders>
            <w:vAlign w:val="bottom"/>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6.150.167 </w:t>
            </w:r>
          </w:p>
        </w:tc>
      </w:tr>
      <w:tr w:rsidR="00B65175" w:rsidRPr="001567C8" w:rsidTr="00B65175">
        <w:trPr>
          <w:trHeight w:val="168"/>
          <w:jc w:val="center"/>
        </w:trPr>
        <w:tc>
          <w:tcPr>
            <w:tcW w:w="883" w:type="pct"/>
          </w:tcPr>
          <w:p w:rsidR="00B65175" w:rsidRPr="001567C8" w:rsidRDefault="00B65175" w:rsidP="00B65175">
            <w:pPr>
              <w:tabs>
                <w:tab w:val="right" w:pos="1202"/>
              </w:tabs>
              <w:spacing w:line="200"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Garancije i preuzete obveze</w:t>
            </w:r>
          </w:p>
        </w:tc>
        <w:tc>
          <w:tcPr>
            <w:tcW w:w="318"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17"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15"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294"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31"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15"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63"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62"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62"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62"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424"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54"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cs="Arial"/>
                <w:b/>
                <w:bCs/>
                <w:sz w:val="15"/>
                <w:szCs w:val="15"/>
                <w:lang w:val="hr-HR"/>
              </w:rPr>
            </w:pPr>
            <w:r w:rsidRPr="001567C8">
              <w:rPr>
                <w:rFonts w:ascii="Calibri" w:eastAsia="Calibri" w:hAnsi="Calibri" w:cs="Arial"/>
                <w:sz w:val="15"/>
                <w:szCs w:val="15"/>
                <w:lang w:val="hr-HR"/>
              </w:rPr>
              <w:t>Izdane garancije u kunama</w:t>
            </w:r>
          </w:p>
        </w:tc>
        <w:tc>
          <w:tcPr>
            <w:tcW w:w="318"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13.236 </w:t>
            </w:r>
          </w:p>
        </w:tc>
        <w:tc>
          <w:tcPr>
            <w:tcW w:w="317"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20.340 </w:t>
            </w:r>
          </w:p>
        </w:tc>
        <w:tc>
          <w:tcPr>
            <w:tcW w:w="294"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31"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33.576 </w:t>
            </w:r>
          </w:p>
        </w:tc>
        <w:tc>
          <w:tcPr>
            <w:tcW w:w="363"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12.371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2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5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12.371 </w:t>
            </w: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cs="Arial"/>
                <w:sz w:val="15"/>
                <w:szCs w:val="15"/>
                <w:lang w:val="hr-HR"/>
              </w:rPr>
            </w:pPr>
            <w:r w:rsidRPr="001567C8">
              <w:rPr>
                <w:rFonts w:ascii="Calibri" w:eastAsia="Calibri" w:hAnsi="Calibri" w:cs="Arial"/>
                <w:sz w:val="15"/>
                <w:szCs w:val="15"/>
                <w:lang w:val="hr-HR"/>
              </w:rPr>
              <w:t>Izdane garancije u devizama</w:t>
            </w:r>
          </w:p>
        </w:tc>
        <w:tc>
          <w:tcPr>
            <w:tcW w:w="318"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31.756 </w:t>
            </w:r>
          </w:p>
        </w:tc>
        <w:tc>
          <w:tcPr>
            <w:tcW w:w="317"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1.790.640 </w:t>
            </w:r>
          </w:p>
        </w:tc>
        <w:tc>
          <w:tcPr>
            <w:tcW w:w="294"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31"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1.822.396 </w:t>
            </w:r>
          </w:p>
        </w:tc>
        <w:tc>
          <w:tcPr>
            <w:tcW w:w="363"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1.469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293.997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2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5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295.466 </w:t>
            </w:r>
          </w:p>
        </w:tc>
      </w:tr>
      <w:tr w:rsidR="004F0C6A" w:rsidRPr="001567C8" w:rsidTr="003C6BA3">
        <w:trPr>
          <w:trHeight w:val="189"/>
          <w:jc w:val="center"/>
        </w:trPr>
        <w:tc>
          <w:tcPr>
            <w:tcW w:w="883" w:type="pct"/>
            <w:vAlign w:val="bottom"/>
          </w:tcPr>
          <w:p w:rsidR="004F0C6A" w:rsidRPr="001567C8" w:rsidRDefault="004F0C6A" w:rsidP="004F0C6A">
            <w:pPr>
              <w:tabs>
                <w:tab w:val="right" w:pos="1202"/>
              </w:tabs>
              <w:outlineLvl w:val="0"/>
              <w:rPr>
                <w:rFonts w:ascii="Calibri" w:eastAsia="Calibri" w:hAnsi="Calibri" w:cs="Arial"/>
                <w:sz w:val="15"/>
                <w:szCs w:val="15"/>
                <w:lang w:val="hr-HR"/>
              </w:rPr>
            </w:pPr>
            <w:r w:rsidRPr="001567C8">
              <w:rPr>
                <w:rFonts w:ascii="Calibri" w:eastAsia="Calibri" w:hAnsi="Calibri" w:cs="Arial"/>
                <w:sz w:val="15"/>
                <w:szCs w:val="15"/>
                <w:lang w:val="hr-HR"/>
              </w:rPr>
              <w:t>Preuzete obveze po kreditima</w:t>
            </w:r>
          </w:p>
        </w:tc>
        <w:tc>
          <w:tcPr>
            <w:tcW w:w="318"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2.654.591 </w:t>
            </w:r>
          </w:p>
        </w:tc>
        <w:tc>
          <w:tcPr>
            <w:tcW w:w="317"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604.066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22.193 </w:t>
            </w:r>
          </w:p>
        </w:tc>
        <w:tc>
          <w:tcPr>
            <w:tcW w:w="294"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10.182 </w:t>
            </w:r>
          </w:p>
        </w:tc>
        <w:tc>
          <w:tcPr>
            <w:tcW w:w="331"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3.291.032 </w:t>
            </w:r>
          </w:p>
        </w:tc>
        <w:tc>
          <w:tcPr>
            <w:tcW w:w="363"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318.481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110.058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21.945 </w:t>
            </w:r>
          </w:p>
        </w:tc>
        <w:tc>
          <w:tcPr>
            <w:tcW w:w="362"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2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54"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450.484 </w:t>
            </w:r>
          </w:p>
        </w:tc>
      </w:tr>
      <w:tr w:rsidR="004F0C6A" w:rsidRPr="001567C8" w:rsidTr="003C6BA3">
        <w:trPr>
          <w:trHeight w:val="295"/>
          <w:jc w:val="center"/>
        </w:trPr>
        <w:tc>
          <w:tcPr>
            <w:tcW w:w="883" w:type="pct"/>
            <w:vAlign w:val="bottom"/>
          </w:tcPr>
          <w:p w:rsidR="004F0C6A" w:rsidRPr="001567C8" w:rsidRDefault="004F0C6A" w:rsidP="004F0C6A">
            <w:pPr>
              <w:tabs>
                <w:tab w:val="right" w:pos="1202"/>
              </w:tabs>
              <w:outlineLvl w:val="0"/>
              <w:rPr>
                <w:rFonts w:ascii="Calibri" w:eastAsia="Calibri" w:hAnsi="Calibri" w:cs="Arial"/>
                <w:sz w:val="15"/>
                <w:szCs w:val="15"/>
                <w:lang w:val="hr-HR"/>
              </w:rPr>
            </w:pPr>
            <w:r w:rsidRPr="001567C8">
              <w:rPr>
                <w:rFonts w:ascii="Calibri" w:eastAsia="Calibri" w:hAnsi="Calibri" w:cs="Arial"/>
                <w:sz w:val="15"/>
                <w:szCs w:val="15"/>
                <w:lang w:val="hr-HR"/>
              </w:rPr>
              <w:t>Ostale nespomenute neopozive potencijalne obveze</w:t>
            </w:r>
          </w:p>
        </w:tc>
        <w:tc>
          <w:tcPr>
            <w:tcW w:w="318" w:type="pct"/>
            <w:tcBorders>
              <w:top w:val="nil"/>
              <w:left w:val="nil"/>
              <w:bottom w:val="single" w:sz="8" w:space="0" w:color="auto"/>
              <w:right w:val="nil"/>
            </w:tcBorders>
            <w:shd w:val="clear" w:color="auto" w:fill="auto"/>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93 </w:t>
            </w:r>
          </w:p>
        </w:tc>
        <w:tc>
          <w:tcPr>
            <w:tcW w:w="317" w:type="pct"/>
            <w:tcBorders>
              <w:top w:val="nil"/>
              <w:left w:val="nil"/>
              <w:bottom w:val="single" w:sz="8" w:space="0" w:color="auto"/>
              <w:right w:val="nil"/>
            </w:tcBorders>
            <w:shd w:val="clear" w:color="auto" w:fill="auto"/>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single" w:sz="8" w:space="0" w:color="auto"/>
              <w:right w:val="nil"/>
            </w:tcBorders>
            <w:shd w:val="clear" w:color="auto" w:fill="auto"/>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294" w:type="pct"/>
            <w:tcBorders>
              <w:top w:val="nil"/>
              <w:left w:val="nil"/>
              <w:bottom w:val="single" w:sz="8" w:space="0" w:color="auto"/>
              <w:right w:val="nil"/>
            </w:tcBorders>
            <w:shd w:val="clear" w:color="auto" w:fill="auto"/>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31" w:type="pct"/>
            <w:tcBorders>
              <w:top w:val="nil"/>
              <w:left w:val="nil"/>
              <w:bottom w:val="single" w:sz="8" w:space="0" w:color="auto"/>
              <w:right w:val="nil"/>
            </w:tcBorders>
            <w:shd w:val="clear" w:color="auto" w:fill="auto"/>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5" w:type="pct"/>
            <w:tcBorders>
              <w:top w:val="nil"/>
              <w:left w:val="nil"/>
              <w:bottom w:val="single" w:sz="8" w:space="0" w:color="auto"/>
              <w:right w:val="nil"/>
            </w:tcBorders>
            <w:shd w:val="clear" w:color="auto" w:fill="auto"/>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93 </w:t>
            </w:r>
          </w:p>
        </w:tc>
        <w:tc>
          <w:tcPr>
            <w:tcW w:w="363" w:type="pct"/>
            <w:tcBorders>
              <w:top w:val="nil"/>
              <w:left w:val="nil"/>
              <w:bottom w:val="single" w:sz="8" w:space="0" w:color="auto"/>
              <w:right w:val="nil"/>
            </w:tcBorders>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93 </w:t>
            </w:r>
          </w:p>
        </w:tc>
        <w:tc>
          <w:tcPr>
            <w:tcW w:w="362" w:type="pct"/>
            <w:tcBorders>
              <w:top w:val="nil"/>
              <w:left w:val="nil"/>
              <w:bottom w:val="single" w:sz="8" w:space="0" w:color="auto"/>
              <w:right w:val="nil"/>
            </w:tcBorders>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single" w:sz="8" w:space="0" w:color="auto"/>
              <w:right w:val="nil"/>
            </w:tcBorders>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2" w:type="pct"/>
            <w:tcBorders>
              <w:top w:val="nil"/>
              <w:left w:val="nil"/>
              <w:bottom w:val="single" w:sz="8" w:space="0" w:color="auto"/>
              <w:right w:val="nil"/>
            </w:tcBorders>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24" w:type="pct"/>
            <w:tcBorders>
              <w:top w:val="nil"/>
              <w:left w:val="nil"/>
              <w:bottom w:val="single" w:sz="8" w:space="0" w:color="auto"/>
              <w:right w:val="nil"/>
            </w:tcBorders>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54" w:type="pct"/>
            <w:tcBorders>
              <w:top w:val="nil"/>
              <w:left w:val="nil"/>
              <w:bottom w:val="single" w:sz="8" w:space="0" w:color="auto"/>
              <w:right w:val="nil"/>
            </w:tcBorders>
            <w:vAlign w:val="bottom"/>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93 </w:t>
            </w:r>
          </w:p>
        </w:tc>
      </w:tr>
      <w:tr w:rsidR="004F0C6A" w:rsidRPr="001567C8" w:rsidTr="003C6BA3">
        <w:trPr>
          <w:trHeight w:val="267"/>
          <w:jc w:val="center"/>
        </w:trPr>
        <w:tc>
          <w:tcPr>
            <w:tcW w:w="883" w:type="pct"/>
          </w:tcPr>
          <w:p w:rsidR="004F0C6A" w:rsidRPr="001567C8" w:rsidRDefault="004F0C6A" w:rsidP="004F0C6A">
            <w:pPr>
              <w:tabs>
                <w:tab w:val="right" w:pos="1202"/>
              </w:tabs>
              <w:spacing w:line="301"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Ukupno</w:t>
            </w:r>
          </w:p>
        </w:tc>
        <w:tc>
          <w:tcPr>
            <w:tcW w:w="318"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2.699.676 </w:t>
            </w:r>
          </w:p>
        </w:tc>
        <w:tc>
          <w:tcPr>
            <w:tcW w:w="317"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604.066 </w:t>
            </w:r>
          </w:p>
        </w:tc>
        <w:tc>
          <w:tcPr>
            <w:tcW w:w="315"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1.833.173 </w:t>
            </w:r>
          </w:p>
        </w:tc>
        <w:tc>
          <w:tcPr>
            <w:tcW w:w="294"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10.182 </w:t>
            </w:r>
          </w:p>
        </w:tc>
        <w:tc>
          <w:tcPr>
            <w:tcW w:w="331"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 </w:t>
            </w:r>
          </w:p>
        </w:tc>
        <w:tc>
          <w:tcPr>
            <w:tcW w:w="315"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5.147.097 </w:t>
            </w:r>
          </w:p>
        </w:tc>
        <w:tc>
          <w:tcPr>
            <w:tcW w:w="363"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332.414 </w:t>
            </w:r>
          </w:p>
        </w:tc>
        <w:tc>
          <w:tcPr>
            <w:tcW w:w="362"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110.058 </w:t>
            </w:r>
          </w:p>
        </w:tc>
        <w:tc>
          <w:tcPr>
            <w:tcW w:w="362"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315.942 </w:t>
            </w:r>
          </w:p>
        </w:tc>
        <w:tc>
          <w:tcPr>
            <w:tcW w:w="362"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 </w:t>
            </w:r>
          </w:p>
        </w:tc>
        <w:tc>
          <w:tcPr>
            <w:tcW w:w="424"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 </w:t>
            </w:r>
          </w:p>
        </w:tc>
        <w:tc>
          <w:tcPr>
            <w:tcW w:w="354"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758.414 </w:t>
            </w:r>
          </w:p>
        </w:tc>
      </w:tr>
      <w:tr w:rsidR="004F0C6A" w:rsidRPr="001567C8" w:rsidTr="003C6BA3">
        <w:trPr>
          <w:trHeight w:val="55"/>
          <w:jc w:val="center"/>
        </w:trPr>
        <w:tc>
          <w:tcPr>
            <w:tcW w:w="883" w:type="pct"/>
            <w:vAlign w:val="center"/>
          </w:tcPr>
          <w:p w:rsidR="004F0C6A" w:rsidRPr="001567C8" w:rsidRDefault="004F0C6A" w:rsidP="004F0C6A">
            <w:pPr>
              <w:tabs>
                <w:tab w:val="right" w:pos="1202"/>
              </w:tabs>
              <w:spacing w:line="301"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Ukupna izloženost kreditnom riziku</w:t>
            </w:r>
          </w:p>
        </w:tc>
        <w:tc>
          <w:tcPr>
            <w:tcW w:w="318"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26.194.53</w:t>
            </w:r>
            <w:r w:rsidR="00A57318" w:rsidRPr="00CD3A2D">
              <w:rPr>
                <w:rFonts w:asciiTheme="minorHAnsi" w:hAnsiTheme="minorHAnsi"/>
                <w:b/>
                <w:sz w:val="15"/>
                <w:szCs w:val="15"/>
                <w:lang w:val="hr-HR"/>
              </w:rPr>
              <w:t>2</w:t>
            </w:r>
            <w:r w:rsidRPr="00CD3A2D">
              <w:rPr>
                <w:rFonts w:asciiTheme="minorHAnsi" w:hAnsiTheme="minorHAnsi"/>
                <w:b/>
                <w:sz w:val="15"/>
                <w:szCs w:val="15"/>
                <w:lang w:val="hr-HR"/>
              </w:rPr>
              <w:t xml:space="preserve"> </w:t>
            </w:r>
          </w:p>
        </w:tc>
        <w:tc>
          <w:tcPr>
            <w:tcW w:w="317"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1.884.55</w:t>
            </w:r>
            <w:r w:rsidR="00A57318" w:rsidRPr="00CD3A2D">
              <w:rPr>
                <w:rFonts w:asciiTheme="minorHAnsi" w:hAnsiTheme="minorHAnsi"/>
                <w:b/>
                <w:sz w:val="15"/>
                <w:szCs w:val="15"/>
                <w:lang w:val="hr-HR"/>
              </w:rPr>
              <w:t>6</w:t>
            </w:r>
          </w:p>
        </w:tc>
        <w:tc>
          <w:tcPr>
            <w:tcW w:w="315"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3.596.166 </w:t>
            </w:r>
          </w:p>
        </w:tc>
        <w:tc>
          <w:tcPr>
            <w:tcW w:w="294"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241.703 </w:t>
            </w:r>
          </w:p>
        </w:tc>
        <w:tc>
          <w:tcPr>
            <w:tcW w:w="331"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2.045 </w:t>
            </w:r>
          </w:p>
        </w:tc>
        <w:tc>
          <w:tcPr>
            <w:tcW w:w="315"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31.919.002 </w:t>
            </w:r>
          </w:p>
        </w:tc>
        <w:tc>
          <w:tcPr>
            <w:tcW w:w="363"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6.069.97</w:t>
            </w:r>
            <w:r w:rsidR="00A57318" w:rsidRPr="00CD3A2D">
              <w:rPr>
                <w:rFonts w:asciiTheme="minorHAnsi" w:hAnsiTheme="minorHAnsi"/>
                <w:b/>
                <w:sz w:val="15"/>
                <w:szCs w:val="15"/>
                <w:lang w:val="hr-HR"/>
              </w:rPr>
              <w:t>8</w:t>
            </w:r>
            <w:r w:rsidRPr="00CD3A2D">
              <w:rPr>
                <w:rFonts w:asciiTheme="minorHAnsi" w:hAnsiTheme="minorHAnsi"/>
                <w:b/>
                <w:sz w:val="15"/>
                <w:szCs w:val="15"/>
                <w:lang w:val="hr-HR"/>
              </w:rPr>
              <w:t xml:space="preserve"> </w:t>
            </w:r>
          </w:p>
        </w:tc>
        <w:tc>
          <w:tcPr>
            <w:tcW w:w="362"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238.24</w:t>
            </w:r>
            <w:r w:rsidR="00A57318" w:rsidRPr="00CD3A2D">
              <w:rPr>
                <w:rFonts w:asciiTheme="minorHAnsi" w:hAnsiTheme="minorHAnsi"/>
                <w:b/>
                <w:sz w:val="15"/>
                <w:szCs w:val="15"/>
                <w:lang w:val="hr-HR"/>
              </w:rPr>
              <w:t>7</w:t>
            </w:r>
          </w:p>
        </w:tc>
        <w:tc>
          <w:tcPr>
            <w:tcW w:w="362"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596.939 </w:t>
            </w:r>
          </w:p>
        </w:tc>
        <w:tc>
          <w:tcPr>
            <w:tcW w:w="362"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1.372 </w:t>
            </w:r>
          </w:p>
        </w:tc>
        <w:tc>
          <w:tcPr>
            <w:tcW w:w="424"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2.045 </w:t>
            </w:r>
          </w:p>
        </w:tc>
        <w:tc>
          <w:tcPr>
            <w:tcW w:w="354"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6.908.581 </w:t>
            </w:r>
          </w:p>
        </w:tc>
      </w:tr>
      <w:bookmarkEnd w:id="78"/>
    </w:tbl>
    <w:p w:rsidR="003F655D" w:rsidRPr="001567C8" w:rsidRDefault="003F655D" w:rsidP="00353005">
      <w:pPr>
        <w:spacing w:before="120" w:line="260" w:lineRule="exact"/>
        <w:jc w:val="both"/>
        <w:rPr>
          <w:rFonts w:asciiTheme="minorHAnsi" w:hAnsiTheme="minorHAnsi" w:cs="Arial"/>
          <w:sz w:val="22"/>
          <w:szCs w:val="22"/>
          <w:lang w:val="hr-HR"/>
        </w:rPr>
        <w:sectPr w:rsidR="003F655D" w:rsidRPr="001567C8" w:rsidSect="00B65175">
          <w:footerReference w:type="default" r:id="rId75"/>
          <w:pgSz w:w="16840" w:h="11907" w:orient="landscape" w:code="9"/>
          <w:pgMar w:top="1134" w:right="1134" w:bottom="1418" w:left="1418" w:header="851" w:footer="851" w:gutter="0"/>
          <w:cols w:space="720"/>
          <w:noEndnote/>
          <w:docGrid w:linePitch="326"/>
        </w:sectPr>
      </w:pPr>
    </w:p>
    <w:p w:rsidR="002911A6" w:rsidRPr="001567C8" w:rsidRDefault="002911A6" w:rsidP="002911A6">
      <w:pPr>
        <w:pStyle w:val="T1"/>
        <w:spacing w:before="0" w:after="0" w:line="240" w:lineRule="auto"/>
        <w:rPr>
          <w:rFonts w:asciiTheme="minorHAnsi" w:hAnsiTheme="minorHAnsi" w:cs="Arial"/>
          <w:sz w:val="22"/>
          <w:szCs w:val="22"/>
          <w:lang w:val="hr-HR"/>
        </w:rPr>
      </w:pPr>
    </w:p>
    <w:p w:rsidR="009318F4" w:rsidRPr="001567C8" w:rsidRDefault="009318F4" w:rsidP="002911A6">
      <w:pPr>
        <w:pStyle w:val="T1"/>
        <w:spacing w:before="0" w:after="0" w:line="240" w:lineRule="auto"/>
        <w:rPr>
          <w:rFonts w:asciiTheme="minorHAnsi" w:hAnsiTheme="minorHAnsi" w:cs="Arial"/>
          <w:sz w:val="22"/>
          <w:szCs w:val="22"/>
          <w:lang w:val="hr-HR"/>
        </w:rPr>
      </w:pPr>
      <w:bookmarkStart w:id="79" w:name="_Hlk1732888"/>
      <w:bookmarkStart w:id="80" w:name="_Hlk1733949"/>
      <w:r w:rsidRPr="001567C8">
        <w:rPr>
          <w:rFonts w:asciiTheme="minorHAnsi" w:hAnsiTheme="minorHAnsi" w:cs="Arial"/>
          <w:sz w:val="22"/>
          <w:szCs w:val="22"/>
          <w:lang w:val="hr-HR"/>
        </w:rPr>
        <w:t>3</w:t>
      </w:r>
      <w:r w:rsidR="00B65175"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Upravljanje rizicima (nastavak)</w:t>
      </w:r>
    </w:p>
    <w:p w:rsidR="002911A6" w:rsidRPr="001567C8" w:rsidRDefault="002911A6" w:rsidP="002911A6">
      <w:pPr>
        <w:pStyle w:val="T1"/>
        <w:spacing w:before="0" w:after="0" w:line="240" w:lineRule="auto"/>
        <w:rPr>
          <w:rFonts w:asciiTheme="minorHAnsi" w:hAnsiTheme="minorHAnsi" w:cs="Arial"/>
          <w:sz w:val="22"/>
          <w:szCs w:val="22"/>
          <w:lang w:val="hr-HR"/>
        </w:rPr>
      </w:pPr>
    </w:p>
    <w:p w:rsidR="00273AC1" w:rsidRPr="001567C8" w:rsidRDefault="009318F4" w:rsidP="002911A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B65175"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851FAE" w:rsidRPr="001567C8" w:rsidRDefault="00851FAE" w:rsidP="002911A6">
      <w:pPr>
        <w:pStyle w:val="T1"/>
        <w:spacing w:before="0" w:after="0" w:line="240" w:lineRule="auto"/>
        <w:rPr>
          <w:rFonts w:asciiTheme="minorHAnsi" w:hAnsiTheme="minorHAnsi" w:cs="Arial"/>
          <w:sz w:val="22"/>
          <w:szCs w:val="22"/>
          <w:lang w:val="hr-HR"/>
        </w:rPr>
      </w:pPr>
    </w:p>
    <w:p w:rsidR="00851FAE" w:rsidRPr="001567C8" w:rsidRDefault="00851FAE" w:rsidP="002B5EA8">
      <w:pPr>
        <w:pStyle w:val="T1"/>
        <w:numPr>
          <w:ilvl w:val="8"/>
          <w:numId w:val="20"/>
        </w:numPr>
        <w:spacing w:before="0" w:after="0" w:line="240" w:lineRule="auto"/>
        <w:ind w:left="284" w:hanging="284"/>
        <w:jc w:val="left"/>
        <w:rPr>
          <w:rFonts w:asciiTheme="minorHAnsi" w:hAnsiTheme="minorHAnsi" w:cs="Arial"/>
          <w:b w:val="0"/>
          <w:i/>
          <w:sz w:val="22"/>
          <w:szCs w:val="22"/>
          <w:lang w:val="hr-HR"/>
        </w:rPr>
      </w:pPr>
      <w:bookmarkStart w:id="81" w:name="_Hlk1734146"/>
      <w:r w:rsidRPr="001567C8">
        <w:rPr>
          <w:rFonts w:asciiTheme="minorHAnsi" w:hAnsiTheme="minorHAnsi" w:cs="Arial"/>
          <w:b w:val="0"/>
          <w:i/>
          <w:sz w:val="22"/>
          <w:szCs w:val="22"/>
          <w:lang w:val="hr-HR"/>
        </w:rPr>
        <w:t>Promjene po rezerviranjima</w:t>
      </w:r>
    </w:p>
    <w:bookmarkEnd w:id="79"/>
    <w:p w:rsidR="003A04E4" w:rsidRPr="001567C8" w:rsidRDefault="003A04E4" w:rsidP="003A04E4">
      <w:pPr>
        <w:pStyle w:val="T1"/>
        <w:spacing w:before="0" w:after="0" w:line="240" w:lineRule="auto"/>
        <w:jc w:val="left"/>
        <w:rPr>
          <w:rFonts w:asciiTheme="minorHAnsi" w:hAnsiTheme="minorHAnsi" w:cs="Arial"/>
          <w:b w:val="0"/>
          <w:i/>
          <w:sz w:val="22"/>
          <w:szCs w:val="22"/>
          <w:lang w:val="hr-HR"/>
        </w:rPr>
      </w:pPr>
    </w:p>
    <w:p w:rsidR="003A04E4" w:rsidRPr="001567C8" w:rsidRDefault="00DC6A16" w:rsidP="003A04E4">
      <w:pPr>
        <w:pStyle w:val="T1"/>
        <w:spacing w:before="0" w:after="0" w:line="240" w:lineRule="auto"/>
        <w:jc w:val="left"/>
        <w:rPr>
          <w:rFonts w:asciiTheme="minorHAnsi" w:hAnsiTheme="minorHAnsi" w:cs="Arial"/>
          <w:b w:val="0"/>
          <w:sz w:val="22"/>
          <w:szCs w:val="22"/>
          <w:lang w:val="hr-HR"/>
        </w:rPr>
      </w:pPr>
      <w:r w:rsidRPr="001567C8">
        <w:rPr>
          <w:rFonts w:asciiTheme="minorHAnsi" w:hAnsiTheme="minorHAnsi" w:cs="Arial"/>
          <w:b w:val="0"/>
          <w:sz w:val="22"/>
          <w:szCs w:val="22"/>
          <w:lang w:val="hr-HR"/>
        </w:rPr>
        <w:t>U sljedećim tablicama prikazuju se promjene po rezerviranjima od početnog do završnog stanja prema vrsti financijskog instrumenta i prema rizičnim skupinama:</w:t>
      </w:r>
    </w:p>
    <w:p w:rsidR="003A04E4" w:rsidRPr="001567C8" w:rsidRDefault="003A04E4" w:rsidP="003A04E4">
      <w:pPr>
        <w:pStyle w:val="T1"/>
        <w:spacing w:before="0" w:after="0" w:line="240" w:lineRule="auto"/>
        <w:jc w:val="left"/>
        <w:rPr>
          <w:rFonts w:asciiTheme="minorHAnsi" w:hAnsiTheme="minorHAnsi" w:cs="Arial"/>
          <w:b w:val="0"/>
          <w:i/>
          <w:sz w:val="22"/>
          <w:szCs w:val="22"/>
          <w:lang w:val="hr-HR"/>
        </w:rPr>
      </w:pPr>
    </w:p>
    <w:p w:rsidR="003A04E4" w:rsidRPr="001567C8" w:rsidRDefault="001F797D" w:rsidP="00E5067B">
      <w:pPr>
        <w:pStyle w:val="T1"/>
        <w:spacing w:before="0" w:after="0" w:line="240" w:lineRule="auto"/>
        <w:jc w:val="left"/>
        <w:rPr>
          <w:rFonts w:asciiTheme="minorHAnsi" w:hAnsiTheme="minorHAnsi" w:cs="Arial"/>
          <w:sz w:val="22"/>
          <w:szCs w:val="22"/>
          <w:lang w:val="hr-HR"/>
        </w:rPr>
      </w:pPr>
      <w:r w:rsidRPr="001567C8">
        <w:rPr>
          <w:rFonts w:asciiTheme="minorHAnsi" w:hAnsiTheme="minorHAnsi" w:cs="Arial"/>
          <w:sz w:val="22"/>
          <w:szCs w:val="22"/>
          <w:lang w:val="hr-HR"/>
        </w:rPr>
        <w:t>Novčana sredstva i računi kod banaka</w:t>
      </w:r>
    </w:p>
    <w:p w:rsidR="00273AC1" w:rsidRPr="001567C8" w:rsidRDefault="00273AC1" w:rsidP="002911A6">
      <w:pPr>
        <w:pStyle w:val="T1"/>
        <w:spacing w:before="0" w:after="0" w:line="240" w:lineRule="auto"/>
        <w:rPr>
          <w:rFonts w:asciiTheme="minorHAnsi" w:hAnsiTheme="minorHAnsi" w:cs="Arial"/>
          <w:sz w:val="22"/>
          <w:szCs w:val="22"/>
          <w:lang w:val="hr-HR"/>
        </w:rPr>
      </w:pPr>
    </w:p>
    <w:tbl>
      <w:tblPr>
        <w:tblW w:w="9818" w:type="dxa"/>
        <w:tblInd w:w="-142" w:type="dxa"/>
        <w:tblLook w:val="04A0" w:firstRow="1" w:lastRow="0" w:firstColumn="1" w:lastColumn="0" w:noHBand="0" w:noVBand="1"/>
      </w:tblPr>
      <w:tblGrid>
        <w:gridCol w:w="3686"/>
        <w:gridCol w:w="1022"/>
        <w:gridCol w:w="1022"/>
        <w:gridCol w:w="1022"/>
        <w:gridCol w:w="1022"/>
        <w:gridCol w:w="1022"/>
        <w:gridCol w:w="1022"/>
      </w:tblGrid>
      <w:tr w:rsidR="001F797D" w:rsidRPr="001567C8" w:rsidTr="003327E4">
        <w:trPr>
          <w:trHeight w:val="163"/>
        </w:trPr>
        <w:tc>
          <w:tcPr>
            <w:tcW w:w="3686" w:type="dxa"/>
            <w:tcBorders>
              <w:top w:val="nil"/>
              <w:left w:val="nil"/>
              <w:bottom w:val="nil"/>
              <w:right w:val="nil"/>
            </w:tcBorders>
            <w:shd w:val="clear" w:color="auto" w:fill="auto"/>
            <w:vAlign w:val="center"/>
            <w:hideMark/>
          </w:tcPr>
          <w:p w:rsidR="001F797D" w:rsidRPr="00CD3A2D" w:rsidRDefault="001F797D">
            <w:pPr>
              <w:rPr>
                <w:rFonts w:ascii="Calibri" w:hAnsi="Calibri" w:cs="Calibri"/>
                <w:b/>
                <w:bCs/>
                <w:color w:val="FF0000"/>
                <w:sz w:val="20"/>
                <w:szCs w:val="20"/>
                <w:lang w:val="hr-HR"/>
              </w:rPr>
            </w:pPr>
            <w:r w:rsidRPr="00CD3A2D">
              <w:rPr>
                <w:rFonts w:ascii="Calibri" w:hAnsi="Calibri" w:cs="Calibri"/>
                <w:b/>
                <w:bCs/>
                <w:sz w:val="20"/>
                <w:szCs w:val="20"/>
                <w:lang w:val="hr-HR"/>
              </w:rPr>
              <w:t>Grupa</w:t>
            </w:r>
          </w:p>
        </w:tc>
        <w:tc>
          <w:tcPr>
            <w:tcW w:w="5110" w:type="dxa"/>
            <w:gridSpan w:val="5"/>
            <w:tcBorders>
              <w:top w:val="nil"/>
              <w:left w:val="nil"/>
              <w:bottom w:val="nil"/>
              <w:right w:val="nil"/>
            </w:tcBorders>
            <w:shd w:val="clear" w:color="auto" w:fill="auto"/>
            <w:vAlign w:val="center"/>
            <w:hideMark/>
          </w:tcPr>
          <w:p w:rsidR="001F797D" w:rsidRPr="00CD3A2D" w:rsidRDefault="001F797D" w:rsidP="00E5067B">
            <w:pPr>
              <w:jc w:val="center"/>
              <w:rPr>
                <w:rFonts w:ascii="Calibri" w:hAnsi="Calibri" w:cs="Calibri"/>
                <w:b/>
                <w:bCs/>
                <w:color w:val="000000"/>
                <w:sz w:val="20"/>
                <w:szCs w:val="20"/>
                <w:lang w:val="hr-HR"/>
              </w:rPr>
            </w:pPr>
            <w:r w:rsidRPr="00CD3A2D">
              <w:rPr>
                <w:rFonts w:ascii="Calibri" w:hAnsi="Calibri" w:cs="Calibri"/>
                <w:b/>
                <w:bCs/>
                <w:color w:val="000000"/>
                <w:sz w:val="20"/>
                <w:szCs w:val="20"/>
                <w:lang w:val="hr-HR"/>
              </w:rPr>
              <w:t>2018</w:t>
            </w:r>
            <w:r w:rsidR="00BD55E1" w:rsidRPr="00CD3A2D">
              <w:rPr>
                <w:rFonts w:ascii="Calibri" w:hAnsi="Calibri" w:cs="Calibri"/>
                <w:b/>
                <w:bCs/>
                <w:color w:val="000000"/>
                <w:sz w:val="20"/>
                <w:szCs w:val="20"/>
                <w:lang w:val="hr-HR"/>
              </w:rPr>
              <w:t>.</w:t>
            </w:r>
          </w:p>
        </w:tc>
        <w:tc>
          <w:tcPr>
            <w:tcW w:w="1022" w:type="dxa"/>
            <w:tcBorders>
              <w:top w:val="nil"/>
              <w:left w:val="nil"/>
              <w:bottom w:val="nil"/>
              <w:right w:val="nil"/>
            </w:tcBorders>
            <w:shd w:val="clear" w:color="auto" w:fill="auto"/>
            <w:vAlign w:val="center"/>
            <w:hideMark/>
          </w:tcPr>
          <w:p w:rsidR="001F797D" w:rsidRPr="00CD3A2D" w:rsidRDefault="001F797D" w:rsidP="00BD55E1">
            <w:pPr>
              <w:jc w:val="center"/>
              <w:rPr>
                <w:rFonts w:ascii="Calibri" w:hAnsi="Calibri" w:cs="Calibri"/>
                <w:b/>
                <w:bCs/>
                <w:color w:val="000000"/>
                <w:sz w:val="20"/>
                <w:szCs w:val="20"/>
                <w:lang w:val="hr-HR"/>
              </w:rPr>
            </w:pPr>
            <w:r w:rsidRPr="00CD3A2D">
              <w:rPr>
                <w:rFonts w:ascii="Calibri" w:hAnsi="Calibri" w:cs="Calibri"/>
                <w:b/>
                <w:bCs/>
                <w:color w:val="000000"/>
                <w:sz w:val="20"/>
                <w:szCs w:val="20"/>
                <w:lang w:val="hr-HR"/>
              </w:rPr>
              <w:t>2017</w:t>
            </w:r>
            <w:r w:rsidR="00BD55E1" w:rsidRPr="00CD3A2D">
              <w:rPr>
                <w:rFonts w:ascii="Calibri" w:hAnsi="Calibri" w:cs="Calibri"/>
                <w:b/>
                <w:bCs/>
                <w:color w:val="000000"/>
                <w:sz w:val="20"/>
                <w:szCs w:val="20"/>
                <w:lang w:val="hr-HR"/>
              </w:rPr>
              <w:t>.</w:t>
            </w:r>
          </w:p>
        </w:tc>
      </w:tr>
      <w:tr w:rsidR="00E1097B" w:rsidRPr="001567C8" w:rsidTr="003327E4">
        <w:trPr>
          <w:trHeight w:val="163"/>
        </w:trPr>
        <w:tc>
          <w:tcPr>
            <w:tcW w:w="3686"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1</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2</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3</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POCI</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r>
      <w:tr w:rsidR="00E1097B" w:rsidRPr="001567C8" w:rsidTr="003327E4">
        <w:trPr>
          <w:trHeight w:val="163"/>
        </w:trPr>
        <w:tc>
          <w:tcPr>
            <w:tcW w:w="3686"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000 </w:t>
            </w:r>
            <w:r w:rsidR="00AA21D0" w:rsidRPr="00CD3A2D">
              <w:rPr>
                <w:rFonts w:ascii="Calibri" w:hAnsi="Calibri" w:cs="Calibri"/>
                <w:b/>
                <w:bCs/>
                <w:color w:val="000000"/>
                <w:sz w:val="20"/>
                <w:szCs w:val="20"/>
                <w:lang w:val="hr-HR"/>
              </w:rPr>
              <w:t>kuna</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000 </w:t>
            </w:r>
            <w:r w:rsidR="00AA21D0" w:rsidRPr="00CD3A2D">
              <w:rPr>
                <w:rFonts w:ascii="Calibri" w:hAnsi="Calibri" w:cs="Calibri"/>
                <w:b/>
                <w:bCs/>
                <w:color w:val="000000"/>
                <w:sz w:val="20"/>
                <w:szCs w:val="20"/>
                <w:lang w:val="hr-HR"/>
              </w:rPr>
              <w:t>kuna</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000 </w:t>
            </w:r>
            <w:r w:rsidR="00AA21D0" w:rsidRPr="00CD3A2D">
              <w:rPr>
                <w:rFonts w:ascii="Calibri" w:hAnsi="Calibri" w:cs="Calibri"/>
                <w:b/>
                <w:bCs/>
                <w:color w:val="000000"/>
                <w:sz w:val="20"/>
                <w:szCs w:val="20"/>
                <w:lang w:val="hr-HR"/>
              </w:rPr>
              <w:t>kuna</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000 </w:t>
            </w:r>
            <w:r w:rsidR="00AA21D0" w:rsidRPr="00CD3A2D">
              <w:rPr>
                <w:rFonts w:ascii="Calibri" w:hAnsi="Calibri" w:cs="Calibri"/>
                <w:b/>
                <w:bCs/>
                <w:color w:val="000000"/>
                <w:sz w:val="20"/>
                <w:szCs w:val="20"/>
                <w:lang w:val="hr-HR"/>
              </w:rPr>
              <w:t>kuna</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000 </w:t>
            </w:r>
            <w:r w:rsidR="00AA21D0" w:rsidRPr="00CD3A2D">
              <w:rPr>
                <w:rFonts w:ascii="Calibri" w:hAnsi="Calibri" w:cs="Calibri"/>
                <w:b/>
                <w:bCs/>
                <w:color w:val="000000"/>
                <w:sz w:val="20"/>
                <w:szCs w:val="20"/>
                <w:lang w:val="hr-HR"/>
              </w:rPr>
              <w:t>kuna</w:t>
            </w:r>
          </w:p>
        </w:tc>
        <w:tc>
          <w:tcPr>
            <w:tcW w:w="1022" w:type="dxa"/>
            <w:tcBorders>
              <w:top w:val="nil"/>
              <w:left w:val="nil"/>
              <w:bottom w:val="nil"/>
              <w:right w:val="nil"/>
            </w:tcBorders>
            <w:shd w:val="clear" w:color="auto" w:fill="auto"/>
            <w:vAlign w:val="center"/>
            <w:hideMark/>
          </w:tcPr>
          <w:p w:rsidR="001F797D" w:rsidRPr="00CD3A2D" w:rsidRDefault="001F797D">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000 </w:t>
            </w:r>
            <w:r w:rsidR="00AA21D0" w:rsidRPr="00CD3A2D">
              <w:rPr>
                <w:rFonts w:ascii="Calibri" w:hAnsi="Calibri" w:cs="Calibri"/>
                <w:b/>
                <w:bCs/>
                <w:color w:val="000000"/>
                <w:sz w:val="20"/>
                <w:szCs w:val="20"/>
                <w:lang w:val="hr-HR"/>
              </w:rPr>
              <w:t>kuna</w:t>
            </w:r>
          </w:p>
        </w:tc>
      </w:tr>
      <w:tr w:rsidR="00E1097B" w:rsidRPr="001567C8" w:rsidTr="003327E4">
        <w:trPr>
          <w:trHeight w:val="163"/>
        </w:trPr>
        <w:tc>
          <w:tcPr>
            <w:tcW w:w="3686" w:type="dxa"/>
            <w:tcBorders>
              <w:top w:val="nil"/>
              <w:left w:val="nil"/>
              <w:bottom w:val="nil"/>
              <w:right w:val="nil"/>
            </w:tcBorders>
            <w:shd w:val="clear" w:color="auto" w:fill="auto"/>
            <w:vAlign w:val="center"/>
          </w:tcPr>
          <w:p w:rsidR="00E1097B" w:rsidRPr="00CD3A2D" w:rsidRDefault="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pPr>
              <w:jc w:val="right"/>
              <w:rPr>
                <w:rFonts w:ascii="Calibri" w:hAnsi="Calibri" w:cs="Calibri"/>
                <w:b/>
                <w:bCs/>
                <w:color w:val="000000"/>
                <w:sz w:val="20"/>
                <w:szCs w:val="20"/>
                <w:lang w:val="hr-HR"/>
              </w:rPr>
            </w:pPr>
          </w:p>
        </w:tc>
      </w:tr>
      <w:tr w:rsidR="00E1097B" w:rsidRPr="001567C8" w:rsidTr="003327E4">
        <w:trPr>
          <w:trHeight w:val="163"/>
        </w:trPr>
        <w:tc>
          <w:tcPr>
            <w:tcW w:w="3686" w:type="dxa"/>
            <w:tcBorders>
              <w:top w:val="nil"/>
              <w:left w:val="nil"/>
              <w:bottom w:val="nil"/>
              <w:right w:val="nil"/>
            </w:tcBorders>
            <w:shd w:val="clear" w:color="auto" w:fill="auto"/>
            <w:vAlign w:val="center"/>
            <w:hideMark/>
          </w:tcPr>
          <w:p w:rsidR="001F797D" w:rsidRPr="00CD3A2D" w:rsidRDefault="001F797D">
            <w:pPr>
              <w:rPr>
                <w:rFonts w:ascii="Calibri" w:hAnsi="Calibri" w:cs="Calibri"/>
                <w:color w:val="000000"/>
                <w:sz w:val="20"/>
                <w:szCs w:val="20"/>
                <w:lang w:val="hr-HR"/>
              </w:rPr>
            </w:pPr>
            <w:r w:rsidRPr="00CD3A2D">
              <w:rPr>
                <w:rFonts w:ascii="Calibri" w:hAnsi="Calibri" w:cs="Calibri"/>
                <w:color w:val="000000"/>
                <w:sz w:val="20"/>
                <w:szCs w:val="20"/>
                <w:lang w:val="hr-HR"/>
              </w:rPr>
              <w:t>Stanje 1. siječnja 2018. godine</w:t>
            </w:r>
          </w:p>
        </w:tc>
        <w:tc>
          <w:tcPr>
            <w:tcW w:w="1022" w:type="dxa"/>
            <w:tcBorders>
              <w:top w:val="nil"/>
              <w:left w:val="nil"/>
              <w:bottom w:val="nil"/>
              <w:right w:val="nil"/>
            </w:tcBorders>
            <w:shd w:val="clear" w:color="auto" w:fill="auto"/>
            <w:vAlign w:val="bottom"/>
            <w:hideMark/>
          </w:tcPr>
          <w:p w:rsidR="001F797D" w:rsidRPr="00CD3A2D" w:rsidRDefault="001F797D"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41 </w:t>
            </w:r>
          </w:p>
        </w:tc>
        <w:tc>
          <w:tcPr>
            <w:tcW w:w="1022" w:type="dxa"/>
            <w:tcBorders>
              <w:top w:val="nil"/>
              <w:left w:val="nil"/>
              <w:bottom w:val="nil"/>
              <w:right w:val="nil"/>
            </w:tcBorders>
            <w:shd w:val="clear" w:color="auto" w:fill="auto"/>
            <w:vAlign w:val="bottom"/>
            <w:hideMark/>
          </w:tcPr>
          <w:p w:rsidR="001F797D" w:rsidRPr="00CD3A2D" w:rsidRDefault="001F797D" w:rsidP="008C1241">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nil"/>
              <w:right w:val="nil"/>
            </w:tcBorders>
            <w:shd w:val="clear" w:color="auto" w:fill="auto"/>
            <w:vAlign w:val="bottom"/>
            <w:hideMark/>
          </w:tcPr>
          <w:p w:rsidR="001F797D" w:rsidRPr="00CD3A2D" w:rsidRDefault="001F797D" w:rsidP="00F0295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nil"/>
              <w:right w:val="nil"/>
            </w:tcBorders>
            <w:shd w:val="clear" w:color="auto" w:fill="auto"/>
            <w:vAlign w:val="bottom"/>
            <w:hideMark/>
          </w:tcPr>
          <w:p w:rsidR="001F797D" w:rsidRPr="00CD3A2D" w:rsidRDefault="001F797D" w:rsidP="00DC6A16">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nil"/>
              <w:right w:val="nil"/>
            </w:tcBorders>
            <w:shd w:val="clear" w:color="auto" w:fill="auto"/>
            <w:vAlign w:val="bottom"/>
            <w:hideMark/>
          </w:tcPr>
          <w:p w:rsidR="001F797D" w:rsidRPr="00CD3A2D" w:rsidRDefault="001F797D" w:rsidP="00AD2AC2">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41 </w:t>
            </w:r>
          </w:p>
        </w:tc>
        <w:tc>
          <w:tcPr>
            <w:tcW w:w="1022" w:type="dxa"/>
            <w:tcBorders>
              <w:top w:val="nil"/>
              <w:left w:val="nil"/>
              <w:bottom w:val="nil"/>
              <w:right w:val="nil"/>
            </w:tcBorders>
            <w:shd w:val="clear" w:color="auto" w:fill="auto"/>
            <w:vAlign w:val="bottom"/>
            <w:hideMark/>
          </w:tcPr>
          <w:p w:rsidR="001F797D" w:rsidRPr="00CD3A2D" w:rsidRDefault="001F797D" w:rsidP="00F75285">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3.079 </w:t>
            </w:r>
          </w:p>
        </w:tc>
      </w:tr>
      <w:tr w:rsidR="00E1097B" w:rsidRPr="001567C8" w:rsidTr="003327E4">
        <w:trPr>
          <w:trHeight w:val="163"/>
        </w:trPr>
        <w:tc>
          <w:tcPr>
            <w:tcW w:w="3686" w:type="dxa"/>
            <w:tcBorders>
              <w:top w:val="nil"/>
              <w:left w:val="nil"/>
              <w:bottom w:val="nil"/>
              <w:right w:val="nil"/>
            </w:tcBorders>
            <w:shd w:val="clear" w:color="auto" w:fill="auto"/>
            <w:vAlign w:val="center"/>
            <w:hideMark/>
          </w:tcPr>
          <w:p w:rsidR="001F797D" w:rsidRPr="00CD3A2D" w:rsidRDefault="001F797D">
            <w:pPr>
              <w:rPr>
                <w:rFonts w:ascii="Calibri" w:hAnsi="Calibri" w:cs="Calibri"/>
                <w:color w:val="000000"/>
                <w:sz w:val="20"/>
                <w:szCs w:val="20"/>
                <w:lang w:val="hr-HR"/>
              </w:rPr>
            </w:pPr>
            <w:r w:rsidRPr="00CD3A2D">
              <w:rPr>
                <w:rFonts w:ascii="Calibri" w:hAnsi="Calibri" w:cs="Calibri"/>
                <w:color w:val="000000"/>
                <w:sz w:val="20"/>
                <w:szCs w:val="20"/>
                <w:lang w:val="hr-HR"/>
              </w:rPr>
              <w:t>Pr</w:t>
            </w:r>
            <w:r w:rsidR="006D18A4" w:rsidRPr="00CD3A2D">
              <w:rPr>
                <w:rFonts w:ascii="Calibri" w:hAnsi="Calibri" w:cs="Calibri"/>
                <w:color w:val="000000"/>
                <w:sz w:val="20"/>
                <w:szCs w:val="20"/>
                <w:lang w:val="hr-HR"/>
              </w:rPr>
              <w:t>ijenos</w:t>
            </w:r>
            <w:r w:rsidRPr="00CD3A2D">
              <w:rPr>
                <w:rFonts w:ascii="Calibri" w:hAnsi="Calibri" w:cs="Calibri"/>
                <w:color w:val="000000"/>
                <w:sz w:val="20"/>
                <w:szCs w:val="20"/>
                <w:lang w:val="hr-HR"/>
              </w:rPr>
              <w:t xml:space="preserve"> u Stupanj 1</w:t>
            </w:r>
          </w:p>
        </w:tc>
        <w:tc>
          <w:tcPr>
            <w:tcW w:w="1022" w:type="dxa"/>
            <w:tcBorders>
              <w:top w:val="nil"/>
              <w:left w:val="nil"/>
              <w:bottom w:val="nil"/>
              <w:right w:val="nil"/>
            </w:tcBorders>
            <w:shd w:val="clear" w:color="auto" w:fill="auto"/>
            <w:vAlign w:val="bottom"/>
          </w:tcPr>
          <w:p w:rsidR="001F797D" w:rsidRPr="00CD3A2D" w:rsidRDefault="00E1097B"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8C1241">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F0295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DC6A16">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AD2AC2">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F75285">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r>
      <w:tr w:rsidR="00E1097B" w:rsidRPr="001567C8" w:rsidTr="003327E4">
        <w:trPr>
          <w:trHeight w:val="163"/>
        </w:trPr>
        <w:tc>
          <w:tcPr>
            <w:tcW w:w="3686" w:type="dxa"/>
            <w:tcBorders>
              <w:top w:val="nil"/>
              <w:left w:val="nil"/>
              <w:bottom w:val="nil"/>
              <w:right w:val="nil"/>
            </w:tcBorders>
            <w:shd w:val="clear" w:color="auto" w:fill="auto"/>
            <w:vAlign w:val="center"/>
            <w:hideMark/>
          </w:tcPr>
          <w:p w:rsidR="001F797D" w:rsidRPr="00CD3A2D" w:rsidRDefault="006D18A4">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1F797D" w:rsidRPr="00CD3A2D">
              <w:rPr>
                <w:rFonts w:ascii="Calibri" w:hAnsi="Calibri" w:cs="Calibri"/>
                <w:color w:val="000000"/>
                <w:sz w:val="20"/>
                <w:szCs w:val="20"/>
                <w:lang w:val="hr-HR"/>
              </w:rPr>
              <w:t xml:space="preserve"> u Stupanj 2</w:t>
            </w:r>
          </w:p>
        </w:tc>
        <w:tc>
          <w:tcPr>
            <w:tcW w:w="1022" w:type="dxa"/>
            <w:tcBorders>
              <w:top w:val="nil"/>
              <w:left w:val="nil"/>
              <w:bottom w:val="nil"/>
              <w:right w:val="nil"/>
            </w:tcBorders>
            <w:shd w:val="clear" w:color="auto" w:fill="auto"/>
            <w:vAlign w:val="bottom"/>
          </w:tcPr>
          <w:p w:rsidR="001F797D" w:rsidRPr="00CD3A2D" w:rsidRDefault="00E1097B"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8C1241">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F0295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DC6A16">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AD2AC2">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F75285">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r>
      <w:tr w:rsidR="00E1097B" w:rsidRPr="001567C8" w:rsidTr="003327E4">
        <w:trPr>
          <w:trHeight w:val="163"/>
        </w:trPr>
        <w:tc>
          <w:tcPr>
            <w:tcW w:w="3686" w:type="dxa"/>
            <w:tcBorders>
              <w:top w:val="nil"/>
              <w:left w:val="nil"/>
              <w:bottom w:val="nil"/>
              <w:right w:val="nil"/>
            </w:tcBorders>
            <w:shd w:val="clear" w:color="auto" w:fill="auto"/>
            <w:vAlign w:val="center"/>
            <w:hideMark/>
          </w:tcPr>
          <w:p w:rsidR="001F797D" w:rsidRPr="00CD3A2D" w:rsidRDefault="006D18A4">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1F797D" w:rsidRPr="00CD3A2D">
              <w:rPr>
                <w:rFonts w:ascii="Calibri" w:hAnsi="Calibri" w:cs="Calibri"/>
                <w:color w:val="000000"/>
                <w:sz w:val="20"/>
                <w:szCs w:val="20"/>
                <w:lang w:val="hr-HR"/>
              </w:rPr>
              <w:t xml:space="preserve"> u Stupanj 3</w:t>
            </w:r>
          </w:p>
        </w:tc>
        <w:tc>
          <w:tcPr>
            <w:tcW w:w="1022" w:type="dxa"/>
            <w:tcBorders>
              <w:top w:val="nil"/>
              <w:left w:val="nil"/>
              <w:bottom w:val="nil"/>
              <w:right w:val="nil"/>
            </w:tcBorders>
            <w:shd w:val="clear" w:color="auto" w:fill="auto"/>
            <w:vAlign w:val="bottom"/>
          </w:tcPr>
          <w:p w:rsidR="001F797D" w:rsidRPr="00CD3A2D" w:rsidRDefault="00E1097B"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8C1241">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F0295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DC6A16">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AD2AC2">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022" w:type="dxa"/>
            <w:tcBorders>
              <w:top w:val="nil"/>
              <w:left w:val="nil"/>
              <w:bottom w:val="nil"/>
              <w:right w:val="nil"/>
            </w:tcBorders>
            <w:shd w:val="clear" w:color="auto" w:fill="auto"/>
            <w:vAlign w:val="bottom"/>
          </w:tcPr>
          <w:p w:rsidR="001F797D" w:rsidRPr="00CD3A2D" w:rsidRDefault="00E1097B" w:rsidP="00F75285">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r>
      <w:tr w:rsidR="00E1097B" w:rsidRPr="001567C8" w:rsidTr="003327E4">
        <w:trPr>
          <w:trHeight w:val="203"/>
        </w:trPr>
        <w:tc>
          <w:tcPr>
            <w:tcW w:w="3686" w:type="dxa"/>
            <w:tcBorders>
              <w:top w:val="nil"/>
              <w:left w:val="nil"/>
              <w:bottom w:val="nil"/>
              <w:right w:val="nil"/>
            </w:tcBorders>
            <w:shd w:val="clear" w:color="auto" w:fill="auto"/>
            <w:vAlign w:val="center"/>
            <w:hideMark/>
          </w:tcPr>
          <w:p w:rsidR="001F797D" w:rsidRPr="00CD3A2D" w:rsidRDefault="001F797D">
            <w:pPr>
              <w:rPr>
                <w:rFonts w:ascii="Calibri" w:hAnsi="Calibri" w:cs="Calibri"/>
                <w:color w:val="000000"/>
                <w:sz w:val="20"/>
                <w:szCs w:val="20"/>
                <w:lang w:val="hr-HR"/>
              </w:rPr>
            </w:pPr>
            <w:r w:rsidRPr="00CD3A2D">
              <w:rPr>
                <w:rFonts w:ascii="Calibri" w:hAnsi="Calibri" w:cs="Calibri"/>
                <w:color w:val="000000"/>
                <w:sz w:val="20"/>
                <w:szCs w:val="20"/>
                <w:lang w:val="hr-HR"/>
              </w:rPr>
              <w:t xml:space="preserve">Povećanje rezerviranja za očekivane gubitke </w:t>
            </w:r>
          </w:p>
        </w:tc>
        <w:tc>
          <w:tcPr>
            <w:tcW w:w="1022" w:type="dxa"/>
            <w:tcBorders>
              <w:top w:val="nil"/>
              <w:left w:val="nil"/>
              <w:bottom w:val="nil"/>
              <w:right w:val="nil"/>
            </w:tcBorders>
            <w:shd w:val="clear" w:color="auto" w:fill="auto"/>
            <w:vAlign w:val="bottom"/>
            <w:hideMark/>
          </w:tcPr>
          <w:p w:rsidR="001F797D" w:rsidRPr="00CD3A2D" w:rsidRDefault="001F797D"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2.217 </w:t>
            </w:r>
          </w:p>
        </w:tc>
        <w:tc>
          <w:tcPr>
            <w:tcW w:w="1022" w:type="dxa"/>
            <w:tcBorders>
              <w:top w:val="nil"/>
              <w:left w:val="nil"/>
              <w:bottom w:val="nil"/>
              <w:right w:val="nil"/>
            </w:tcBorders>
            <w:shd w:val="clear" w:color="auto" w:fill="auto"/>
            <w:vAlign w:val="bottom"/>
            <w:hideMark/>
          </w:tcPr>
          <w:p w:rsidR="001F797D" w:rsidRPr="00CD3A2D" w:rsidRDefault="001F797D" w:rsidP="008C1241">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nil"/>
              <w:right w:val="nil"/>
            </w:tcBorders>
            <w:shd w:val="clear" w:color="auto" w:fill="auto"/>
            <w:vAlign w:val="bottom"/>
            <w:hideMark/>
          </w:tcPr>
          <w:p w:rsidR="001F797D" w:rsidRPr="00CD3A2D" w:rsidRDefault="00E1097B" w:rsidP="00F0295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r w:rsidR="001F797D" w:rsidRPr="00CD3A2D">
              <w:rPr>
                <w:rFonts w:ascii="Calibri" w:hAnsi="Calibri" w:cs="Calibri"/>
                <w:color w:val="000000"/>
                <w:sz w:val="20"/>
                <w:szCs w:val="20"/>
                <w:lang w:val="hr-HR"/>
              </w:rPr>
              <w:t xml:space="preserve">    </w:t>
            </w:r>
          </w:p>
        </w:tc>
        <w:tc>
          <w:tcPr>
            <w:tcW w:w="1022" w:type="dxa"/>
            <w:tcBorders>
              <w:top w:val="nil"/>
              <w:left w:val="nil"/>
              <w:bottom w:val="nil"/>
              <w:right w:val="nil"/>
            </w:tcBorders>
            <w:shd w:val="clear" w:color="auto" w:fill="auto"/>
            <w:vAlign w:val="bottom"/>
            <w:hideMark/>
          </w:tcPr>
          <w:p w:rsidR="001F797D" w:rsidRPr="00CD3A2D" w:rsidRDefault="001F797D" w:rsidP="00DC6A16">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nil"/>
              <w:right w:val="nil"/>
            </w:tcBorders>
            <w:shd w:val="clear" w:color="auto" w:fill="auto"/>
            <w:vAlign w:val="bottom"/>
            <w:hideMark/>
          </w:tcPr>
          <w:p w:rsidR="001F797D" w:rsidRPr="00CD3A2D" w:rsidRDefault="001F797D" w:rsidP="00AD2AC2">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2.217 </w:t>
            </w:r>
          </w:p>
        </w:tc>
        <w:tc>
          <w:tcPr>
            <w:tcW w:w="1022" w:type="dxa"/>
            <w:tcBorders>
              <w:top w:val="nil"/>
              <w:left w:val="nil"/>
              <w:bottom w:val="nil"/>
              <w:right w:val="nil"/>
            </w:tcBorders>
            <w:shd w:val="clear" w:color="auto" w:fill="auto"/>
            <w:vAlign w:val="bottom"/>
            <w:hideMark/>
          </w:tcPr>
          <w:p w:rsidR="001F797D" w:rsidRPr="00CD3A2D" w:rsidRDefault="001F797D" w:rsidP="00F75285">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r>
      <w:tr w:rsidR="00E1097B" w:rsidRPr="001567C8" w:rsidTr="003327E4">
        <w:trPr>
          <w:trHeight w:val="234"/>
        </w:trPr>
        <w:tc>
          <w:tcPr>
            <w:tcW w:w="3686" w:type="dxa"/>
            <w:tcBorders>
              <w:top w:val="nil"/>
              <w:left w:val="nil"/>
              <w:bottom w:val="nil"/>
              <w:right w:val="nil"/>
            </w:tcBorders>
            <w:shd w:val="clear" w:color="auto" w:fill="auto"/>
            <w:vAlign w:val="center"/>
            <w:hideMark/>
          </w:tcPr>
          <w:p w:rsidR="001F797D" w:rsidRPr="00CD3A2D" w:rsidRDefault="001F797D">
            <w:pPr>
              <w:rPr>
                <w:rFonts w:ascii="Calibri" w:hAnsi="Calibri" w:cs="Calibri"/>
                <w:color w:val="000000"/>
                <w:sz w:val="20"/>
                <w:szCs w:val="20"/>
                <w:lang w:val="hr-HR"/>
              </w:rPr>
            </w:pPr>
            <w:r w:rsidRPr="00CD3A2D">
              <w:rPr>
                <w:rFonts w:ascii="Calibri" w:hAnsi="Calibri" w:cs="Calibri"/>
                <w:color w:val="000000"/>
                <w:sz w:val="20"/>
                <w:szCs w:val="20"/>
                <w:lang w:val="hr-HR"/>
              </w:rPr>
              <w:t xml:space="preserve">Smanjenje rezerviranja za očekivane gubitke </w:t>
            </w:r>
          </w:p>
        </w:tc>
        <w:tc>
          <w:tcPr>
            <w:tcW w:w="1022" w:type="dxa"/>
            <w:tcBorders>
              <w:top w:val="nil"/>
              <w:left w:val="nil"/>
              <w:bottom w:val="nil"/>
              <w:right w:val="nil"/>
            </w:tcBorders>
            <w:shd w:val="clear" w:color="auto" w:fill="auto"/>
            <w:vAlign w:val="bottom"/>
            <w:hideMark/>
          </w:tcPr>
          <w:p w:rsidR="001F797D" w:rsidRPr="00CD3A2D" w:rsidRDefault="001F797D"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(592)</w:t>
            </w:r>
          </w:p>
        </w:tc>
        <w:tc>
          <w:tcPr>
            <w:tcW w:w="1022" w:type="dxa"/>
            <w:tcBorders>
              <w:top w:val="nil"/>
              <w:left w:val="nil"/>
              <w:bottom w:val="nil"/>
              <w:right w:val="nil"/>
            </w:tcBorders>
            <w:shd w:val="clear" w:color="auto" w:fill="auto"/>
            <w:vAlign w:val="bottom"/>
            <w:hideMark/>
          </w:tcPr>
          <w:p w:rsidR="001F797D" w:rsidRPr="00CD3A2D" w:rsidRDefault="001F797D" w:rsidP="008C1241">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nil"/>
              <w:right w:val="nil"/>
            </w:tcBorders>
            <w:shd w:val="clear" w:color="auto" w:fill="auto"/>
            <w:vAlign w:val="bottom"/>
            <w:hideMark/>
          </w:tcPr>
          <w:p w:rsidR="001F797D" w:rsidRPr="00CD3A2D" w:rsidRDefault="001F797D" w:rsidP="00F0295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w:t>
            </w:r>
          </w:p>
        </w:tc>
        <w:tc>
          <w:tcPr>
            <w:tcW w:w="1022" w:type="dxa"/>
            <w:tcBorders>
              <w:top w:val="nil"/>
              <w:left w:val="nil"/>
              <w:bottom w:val="nil"/>
              <w:right w:val="nil"/>
            </w:tcBorders>
            <w:shd w:val="clear" w:color="auto" w:fill="auto"/>
            <w:vAlign w:val="bottom"/>
            <w:hideMark/>
          </w:tcPr>
          <w:p w:rsidR="001F797D" w:rsidRPr="00CD3A2D" w:rsidRDefault="001F797D" w:rsidP="00DC6A16">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nil"/>
              <w:right w:val="nil"/>
            </w:tcBorders>
            <w:shd w:val="clear" w:color="auto" w:fill="auto"/>
            <w:vAlign w:val="bottom"/>
            <w:hideMark/>
          </w:tcPr>
          <w:p w:rsidR="001F797D" w:rsidRPr="00CD3A2D" w:rsidRDefault="001F797D" w:rsidP="00AD2AC2">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(592)</w:t>
            </w:r>
          </w:p>
        </w:tc>
        <w:tc>
          <w:tcPr>
            <w:tcW w:w="1022" w:type="dxa"/>
            <w:tcBorders>
              <w:top w:val="nil"/>
              <w:left w:val="nil"/>
              <w:bottom w:val="nil"/>
              <w:right w:val="nil"/>
            </w:tcBorders>
            <w:shd w:val="clear" w:color="auto" w:fill="auto"/>
            <w:vAlign w:val="bottom"/>
            <w:hideMark/>
          </w:tcPr>
          <w:p w:rsidR="001F797D" w:rsidRPr="00CD3A2D" w:rsidRDefault="001F797D" w:rsidP="00F75285">
            <w:pPr>
              <w:jc w:val="right"/>
              <w:rPr>
                <w:rFonts w:ascii="Calibri" w:hAnsi="Calibri" w:cs="Calibri"/>
                <w:color w:val="000000"/>
                <w:sz w:val="20"/>
                <w:szCs w:val="20"/>
                <w:lang w:val="hr-HR"/>
              </w:rPr>
            </w:pPr>
            <w:r w:rsidRPr="00CD3A2D">
              <w:rPr>
                <w:rFonts w:ascii="Calibri" w:hAnsi="Calibri" w:cs="Calibri"/>
                <w:color w:val="000000"/>
                <w:sz w:val="20"/>
                <w:szCs w:val="20"/>
                <w:lang w:val="hr-HR"/>
              </w:rPr>
              <w:t>(2.221)</w:t>
            </w:r>
          </w:p>
        </w:tc>
      </w:tr>
      <w:tr w:rsidR="00E1097B" w:rsidRPr="001567C8" w:rsidTr="003327E4">
        <w:trPr>
          <w:trHeight w:val="171"/>
        </w:trPr>
        <w:tc>
          <w:tcPr>
            <w:tcW w:w="3686" w:type="dxa"/>
            <w:tcBorders>
              <w:top w:val="nil"/>
              <w:left w:val="nil"/>
              <w:bottom w:val="nil"/>
              <w:right w:val="nil"/>
            </w:tcBorders>
            <w:shd w:val="clear" w:color="auto" w:fill="auto"/>
            <w:vAlign w:val="center"/>
            <w:hideMark/>
          </w:tcPr>
          <w:p w:rsidR="001F797D" w:rsidRPr="00CD3A2D" w:rsidRDefault="00716D22">
            <w:pPr>
              <w:rPr>
                <w:rFonts w:ascii="Calibri" w:hAnsi="Calibri" w:cs="Calibri"/>
                <w:color w:val="000000"/>
                <w:sz w:val="20"/>
                <w:szCs w:val="20"/>
                <w:lang w:val="hr-HR"/>
              </w:rPr>
            </w:pPr>
            <w:r w:rsidRPr="00CD3A2D">
              <w:rPr>
                <w:rFonts w:ascii="Calibri" w:hAnsi="Calibri" w:cs="Calibri"/>
                <w:color w:val="000000"/>
                <w:sz w:val="20"/>
                <w:szCs w:val="20"/>
                <w:lang w:val="hr-HR"/>
              </w:rPr>
              <w:t>Neto dobi</w:t>
            </w:r>
            <w:r w:rsidR="004F176D" w:rsidRPr="00CD3A2D">
              <w:rPr>
                <w:rFonts w:ascii="Calibri" w:hAnsi="Calibri" w:cs="Calibri"/>
                <w:color w:val="000000"/>
                <w:sz w:val="20"/>
                <w:szCs w:val="20"/>
                <w:lang w:val="hr-HR"/>
              </w:rPr>
              <w:t>t</w:t>
            </w:r>
            <w:r w:rsidRPr="00CD3A2D">
              <w:rPr>
                <w:rFonts w:ascii="Calibri" w:hAnsi="Calibri" w:cs="Calibri"/>
                <w:color w:val="000000"/>
                <w:sz w:val="20"/>
                <w:szCs w:val="20"/>
                <w:lang w:val="hr-HR"/>
              </w:rPr>
              <w:t xml:space="preserve"> </w:t>
            </w:r>
            <w:r w:rsidR="0063609C" w:rsidRPr="00CD3A2D">
              <w:rPr>
                <w:rFonts w:ascii="Calibri" w:hAnsi="Calibri" w:cs="Calibri"/>
                <w:color w:val="000000"/>
                <w:sz w:val="20"/>
                <w:szCs w:val="20"/>
                <w:lang w:val="hr-HR"/>
              </w:rPr>
              <w:t>od</w:t>
            </w:r>
            <w:r w:rsidRPr="00CD3A2D">
              <w:rPr>
                <w:rFonts w:ascii="Calibri" w:hAnsi="Calibri" w:cs="Calibri"/>
                <w:color w:val="000000"/>
                <w:sz w:val="20"/>
                <w:szCs w:val="20"/>
                <w:lang w:val="hr-HR"/>
              </w:rPr>
              <w:t xml:space="preserve"> tečajn</w:t>
            </w:r>
            <w:r w:rsidR="0063609C" w:rsidRPr="00CD3A2D">
              <w:rPr>
                <w:rFonts w:ascii="Calibri" w:hAnsi="Calibri" w:cs="Calibri"/>
                <w:color w:val="000000"/>
                <w:sz w:val="20"/>
                <w:szCs w:val="20"/>
                <w:lang w:val="hr-HR"/>
              </w:rPr>
              <w:t>ih</w:t>
            </w:r>
            <w:r w:rsidRPr="00CD3A2D">
              <w:rPr>
                <w:rFonts w:ascii="Calibri" w:hAnsi="Calibri" w:cs="Calibri"/>
                <w:color w:val="000000"/>
                <w:sz w:val="20"/>
                <w:szCs w:val="20"/>
                <w:lang w:val="hr-HR"/>
              </w:rPr>
              <w:t xml:space="preserve"> razlika</w:t>
            </w:r>
            <w:r w:rsidR="0063609C" w:rsidRPr="00CD3A2D">
              <w:rPr>
                <w:rFonts w:ascii="Calibri" w:hAnsi="Calibri" w:cs="Calibri"/>
                <w:color w:val="000000"/>
                <w:sz w:val="20"/>
                <w:szCs w:val="20"/>
                <w:lang w:val="hr-HR"/>
              </w:rPr>
              <w:t xml:space="preserve"> po rezerviranjima za očekivane gubitke</w:t>
            </w:r>
          </w:p>
        </w:tc>
        <w:tc>
          <w:tcPr>
            <w:tcW w:w="1022" w:type="dxa"/>
            <w:tcBorders>
              <w:top w:val="nil"/>
              <w:left w:val="nil"/>
              <w:bottom w:val="single" w:sz="8" w:space="0" w:color="auto"/>
              <w:right w:val="nil"/>
            </w:tcBorders>
            <w:shd w:val="clear" w:color="auto" w:fill="auto"/>
            <w:vAlign w:val="bottom"/>
            <w:hideMark/>
          </w:tcPr>
          <w:p w:rsidR="001F797D" w:rsidRPr="00CD3A2D" w:rsidRDefault="001F797D"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2 </w:t>
            </w:r>
          </w:p>
        </w:tc>
        <w:tc>
          <w:tcPr>
            <w:tcW w:w="1022" w:type="dxa"/>
            <w:tcBorders>
              <w:top w:val="nil"/>
              <w:left w:val="nil"/>
              <w:bottom w:val="single" w:sz="8" w:space="0" w:color="auto"/>
              <w:right w:val="nil"/>
            </w:tcBorders>
            <w:shd w:val="clear" w:color="auto" w:fill="auto"/>
            <w:vAlign w:val="bottom"/>
            <w:hideMark/>
          </w:tcPr>
          <w:p w:rsidR="001F797D" w:rsidRPr="00CD3A2D" w:rsidRDefault="001F797D" w:rsidP="008C1241">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single" w:sz="8" w:space="0" w:color="auto"/>
              <w:right w:val="nil"/>
            </w:tcBorders>
            <w:shd w:val="clear" w:color="auto" w:fill="auto"/>
            <w:vAlign w:val="bottom"/>
            <w:hideMark/>
          </w:tcPr>
          <w:p w:rsidR="001F797D" w:rsidRPr="00CD3A2D" w:rsidRDefault="001F797D" w:rsidP="00F0295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single" w:sz="8" w:space="0" w:color="auto"/>
              <w:right w:val="nil"/>
            </w:tcBorders>
            <w:shd w:val="clear" w:color="auto" w:fill="auto"/>
            <w:vAlign w:val="bottom"/>
            <w:hideMark/>
          </w:tcPr>
          <w:p w:rsidR="001F797D" w:rsidRPr="00CD3A2D" w:rsidRDefault="001F797D" w:rsidP="00DC6A16">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c>
          <w:tcPr>
            <w:tcW w:w="1022" w:type="dxa"/>
            <w:tcBorders>
              <w:top w:val="nil"/>
              <w:left w:val="nil"/>
              <w:bottom w:val="single" w:sz="8" w:space="0" w:color="auto"/>
              <w:right w:val="nil"/>
            </w:tcBorders>
            <w:shd w:val="clear" w:color="auto" w:fill="auto"/>
            <w:vAlign w:val="bottom"/>
            <w:hideMark/>
          </w:tcPr>
          <w:p w:rsidR="001F797D" w:rsidRPr="00CD3A2D" w:rsidRDefault="001F797D" w:rsidP="00AD2AC2">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2 </w:t>
            </w:r>
          </w:p>
        </w:tc>
        <w:tc>
          <w:tcPr>
            <w:tcW w:w="1022" w:type="dxa"/>
            <w:tcBorders>
              <w:top w:val="nil"/>
              <w:left w:val="nil"/>
              <w:bottom w:val="single" w:sz="8" w:space="0" w:color="auto"/>
              <w:right w:val="nil"/>
            </w:tcBorders>
            <w:shd w:val="clear" w:color="auto" w:fill="auto"/>
            <w:vAlign w:val="bottom"/>
            <w:hideMark/>
          </w:tcPr>
          <w:p w:rsidR="001F797D" w:rsidRPr="00CD3A2D" w:rsidRDefault="001F797D" w:rsidP="00F75285">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r>
      <w:tr w:rsidR="00E1097B" w:rsidRPr="001567C8" w:rsidTr="003327E4">
        <w:trPr>
          <w:trHeight w:val="171"/>
        </w:trPr>
        <w:tc>
          <w:tcPr>
            <w:tcW w:w="3686" w:type="dxa"/>
            <w:tcBorders>
              <w:top w:val="nil"/>
              <w:left w:val="nil"/>
              <w:bottom w:val="nil"/>
              <w:right w:val="nil"/>
            </w:tcBorders>
            <w:shd w:val="clear" w:color="auto" w:fill="auto"/>
            <w:vAlign w:val="bottom"/>
            <w:hideMark/>
          </w:tcPr>
          <w:p w:rsidR="001F797D" w:rsidRPr="00CD3A2D" w:rsidRDefault="001F797D" w:rsidP="008751BC">
            <w:pPr>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Stanje 31. prosinca 2018. godine </w:t>
            </w:r>
          </w:p>
        </w:tc>
        <w:tc>
          <w:tcPr>
            <w:tcW w:w="1022" w:type="dxa"/>
            <w:tcBorders>
              <w:top w:val="nil"/>
              <w:left w:val="nil"/>
              <w:bottom w:val="single" w:sz="12" w:space="0" w:color="auto"/>
              <w:right w:val="nil"/>
            </w:tcBorders>
            <w:shd w:val="clear" w:color="auto" w:fill="auto"/>
            <w:vAlign w:val="bottom"/>
            <w:hideMark/>
          </w:tcPr>
          <w:p w:rsidR="001F797D" w:rsidRPr="00CD3A2D" w:rsidRDefault="001F797D" w:rsidP="008751BC">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1.668 </w:t>
            </w:r>
          </w:p>
        </w:tc>
        <w:tc>
          <w:tcPr>
            <w:tcW w:w="1022" w:type="dxa"/>
            <w:tcBorders>
              <w:top w:val="nil"/>
              <w:left w:val="nil"/>
              <w:bottom w:val="single" w:sz="12" w:space="0" w:color="auto"/>
              <w:right w:val="nil"/>
            </w:tcBorders>
            <w:shd w:val="clear" w:color="auto" w:fill="auto"/>
            <w:vAlign w:val="bottom"/>
            <w:hideMark/>
          </w:tcPr>
          <w:p w:rsidR="001F797D" w:rsidRPr="00CD3A2D" w:rsidRDefault="001F797D" w:rsidP="008751BC">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 </w:t>
            </w:r>
          </w:p>
        </w:tc>
        <w:tc>
          <w:tcPr>
            <w:tcW w:w="1022" w:type="dxa"/>
            <w:tcBorders>
              <w:top w:val="nil"/>
              <w:left w:val="nil"/>
              <w:bottom w:val="single" w:sz="12" w:space="0" w:color="auto"/>
              <w:right w:val="nil"/>
            </w:tcBorders>
            <w:shd w:val="clear" w:color="auto" w:fill="auto"/>
            <w:vAlign w:val="bottom"/>
            <w:hideMark/>
          </w:tcPr>
          <w:p w:rsidR="001F797D" w:rsidRPr="00CD3A2D" w:rsidRDefault="001F797D" w:rsidP="008751BC">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 </w:t>
            </w:r>
          </w:p>
        </w:tc>
        <w:tc>
          <w:tcPr>
            <w:tcW w:w="1022" w:type="dxa"/>
            <w:tcBorders>
              <w:top w:val="nil"/>
              <w:left w:val="nil"/>
              <w:bottom w:val="single" w:sz="12" w:space="0" w:color="auto"/>
              <w:right w:val="nil"/>
            </w:tcBorders>
            <w:shd w:val="clear" w:color="auto" w:fill="auto"/>
            <w:vAlign w:val="bottom"/>
            <w:hideMark/>
          </w:tcPr>
          <w:p w:rsidR="001F797D" w:rsidRPr="00CD3A2D" w:rsidRDefault="001F797D" w:rsidP="008751BC">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 </w:t>
            </w:r>
          </w:p>
        </w:tc>
        <w:tc>
          <w:tcPr>
            <w:tcW w:w="1022" w:type="dxa"/>
            <w:tcBorders>
              <w:top w:val="nil"/>
              <w:left w:val="nil"/>
              <w:bottom w:val="single" w:sz="12" w:space="0" w:color="auto"/>
              <w:right w:val="nil"/>
            </w:tcBorders>
            <w:shd w:val="clear" w:color="auto" w:fill="auto"/>
            <w:vAlign w:val="bottom"/>
            <w:hideMark/>
          </w:tcPr>
          <w:p w:rsidR="001F797D" w:rsidRPr="00CD3A2D" w:rsidRDefault="001F797D" w:rsidP="008751BC">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1.668 </w:t>
            </w:r>
          </w:p>
        </w:tc>
        <w:tc>
          <w:tcPr>
            <w:tcW w:w="1022" w:type="dxa"/>
            <w:tcBorders>
              <w:top w:val="nil"/>
              <w:left w:val="nil"/>
              <w:bottom w:val="single" w:sz="12" w:space="0" w:color="auto"/>
              <w:right w:val="nil"/>
            </w:tcBorders>
            <w:shd w:val="clear" w:color="auto" w:fill="auto"/>
            <w:vAlign w:val="bottom"/>
            <w:hideMark/>
          </w:tcPr>
          <w:p w:rsidR="001F797D" w:rsidRPr="00CD3A2D" w:rsidRDefault="001F797D" w:rsidP="008751BC">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858 </w:t>
            </w:r>
          </w:p>
        </w:tc>
      </w:tr>
    </w:tbl>
    <w:p w:rsidR="001F797D" w:rsidRPr="001567C8" w:rsidRDefault="001F797D" w:rsidP="002911A6">
      <w:pPr>
        <w:pStyle w:val="T1"/>
        <w:spacing w:before="0" w:after="0" w:line="240" w:lineRule="auto"/>
        <w:rPr>
          <w:rFonts w:asciiTheme="minorHAnsi" w:hAnsiTheme="minorHAnsi" w:cs="Arial"/>
          <w:sz w:val="22"/>
          <w:szCs w:val="22"/>
          <w:lang w:val="hr-HR"/>
        </w:rPr>
      </w:pPr>
    </w:p>
    <w:p w:rsidR="00E1097B" w:rsidRPr="001567C8" w:rsidRDefault="00E1097B" w:rsidP="002911A6">
      <w:pPr>
        <w:pStyle w:val="T1"/>
        <w:spacing w:before="0" w:after="0" w:line="240" w:lineRule="auto"/>
        <w:rPr>
          <w:rFonts w:asciiTheme="minorHAnsi" w:hAnsiTheme="minorHAnsi" w:cs="Arial"/>
          <w:sz w:val="22"/>
          <w:szCs w:val="22"/>
          <w:lang w:val="hr-HR"/>
        </w:rPr>
      </w:pPr>
    </w:p>
    <w:p w:rsidR="00E75525" w:rsidRPr="001567C8" w:rsidRDefault="00E75525" w:rsidP="002911A6">
      <w:pPr>
        <w:pStyle w:val="T1"/>
        <w:spacing w:before="0" w:after="0" w:line="240" w:lineRule="auto"/>
        <w:rPr>
          <w:rFonts w:asciiTheme="minorHAnsi" w:hAnsiTheme="minorHAnsi" w:cs="Arial"/>
          <w:sz w:val="22"/>
          <w:szCs w:val="22"/>
          <w:lang w:val="hr-HR"/>
        </w:rPr>
      </w:pPr>
    </w:p>
    <w:p w:rsidR="00E1097B" w:rsidRPr="001567C8" w:rsidRDefault="00E1097B" w:rsidP="002911A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Depoziti kod drugih banaka</w:t>
      </w:r>
    </w:p>
    <w:p w:rsidR="00E1097B" w:rsidRPr="001567C8" w:rsidRDefault="00E1097B" w:rsidP="002911A6">
      <w:pPr>
        <w:pStyle w:val="T1"/>
        <w:spacing w:before="0" w:after="0" w:line="240" w:lineRule="auto"/>
        <w:rPr>
          <w:rFonts w:asciiTheme="minorHAnsi" w:hAnsiTheme="minorHAnsi" w:cs="Arial"/>
          <w:sz w:val="22"/>
          <w:szCs w:val="22"/>
          <w:lang w:val="hr-HR"/>
        </w:rPr>
      </w:pPr>
    </w:p>
    <w:tbl>
      <w:tblPr>
        <w:tblW w:w="9818" w:type="dxa"/>
        <w:tblInd w:w="-142" w:type="dxa"/>
        <w:tblLook w:val="04A0" w:firstRow="1" w:lastRow="0" w:firstColumn="1" w:lastColumn="0" w:noHBand="0" w:noVBand="1"/>
      </w:tblPr>
      <w:tblGrid>
        <w:gridCol w:w="3686"/>
        <w:gridCol w:w="1022"/>
        <w:gridCol w:w="1022"/>
        <w:gridCol w:w="1022"/>
        <w:gridCol w:w="1022"/>
        <w:gridCol w:w="1022"/>
        <w:gridCol w:w="1022"/>
      </w:tblGrid>
      <w:tr w:rsidR="00E1097B" w:rsidRPr="001567C8" w:rsidTr="003327E4">
        <w:trPr>
          <w:trHeight w:val="163"/>
        </w:trPr>
        <w:tc>
          <w:tcPr>
            <w:tcW w:w="3686" w:type="dxa"/>
            <w:tcBorders>
              <w:top w:val="nil"/>
              <w:left w:val="nil"/>
              <w:bottom w:val="nil"/>
              <w:right w:val="nil"/>
            </w:tcBorders>
            <w:shd w:val="clear" w:color="auto" w:fill="auto"/>
            <w:vAlign w:val="center"/>
            <w:hideMark/>
          </w:tcPr>
          <w:p w:rsidR="00E1097B" w:rsidRPr="00CD3A2D" w:rsidRDefault="00E1097B" w:rsidP="00E1097B">
            <w:pPr>
              <w:rPr>
                <w:rFonts w:ascii="Calibri" w:hAnsi="Calibri" w:cs="Calibri"/>
                <w:b/>
                <w:bCs/>
                <w:color w:val="FF0000"/>
                <w:sz w:val="20"/>
                <w:szCs w:val="20"/>
                <w:lang w:val="hr-HR"/>
              </w:rPr>
            </w:pPr>
            <w:r w:rsidRPr="00CD3A2D">
              <w:rPr>
                <w:rFonts w:ascii="Calibri" w:hAnsi="Calibri" w:cs="Calibri"/>
                <w:b/>
                <w:bCs/>
                <w:sz w:val="20"/>
                <w:szCs w:val="20"/>
                <w:lang w:val="hr-HR"/>
              </w:rPr>
              <w:t>Grupa</w:t>
            </w:r>
          </w:p>
        </w:tc>
        <w:tc>
          <w:tcPr>
            <w:tcW w:w="5110" w:type="dxa"/>
            <w:gridSpan w:val="5"/>
            <w:tcBorders>
              <w:top w:val="nil"/>
              <w:left w:val="nil"/>
              <w:bottom w:val="nil"/>
              <w:right w:val="nil"/>
            </w:tcBorders>
            <w:shd w:val="clear" w:color="auto" w:fill="auto"/>
            <w:vAlign w:val="center"/>
            <w:hideMark/>
          </w:tcPr>
          <w:p w:rsidR="00E1097B" w:rsidRPr="00CD3A2D" w:rsidRDefault="00E1097B" w:rsidP="00E1097B">
            <w:pPr>
              <w:jc w:val="center"/>
              <w:rPr>
                <w:rFonts w:ascii="Calibri" w:hAnsi="Calibri" w:cs="Calibri"/>
                <w:b/>
                <w:bCs/>
                <w:color w:val="000000"/>
                <w:sz w:val="20"/>
                <w:szCs w:val="20"/>
                <w:lang w:val="hr-HR"/>
              </w:rPr>
            </w:pPr>
            <w:r w:rsidRPr="00CD3A2D">
              <w:rPr>
                <w:rFonts w:ascii="Calibri" w:hAnsi="Calibri" w:cs="Calibri"/>
                <w:b/>
                <w:bCs/>
                <w:color w:val="000000"/>
                <w:sz w:val="20"/>
                <w:szCs w:val="20"/>
                <w:lang w:val="hr-HR"/>
              </w:rPr>
              <w:t>2018</w:t>
            </w:r>
            <w:r w:rsidR="00BD55E1" w:rsidRPr="00CD3A2D">
              <w:rPr>
                <w:rFonts w:ascii="Calibri" w:hAnsi="Calibri" w:cs="Calibri"/>
                <w:b/>
                <w:bCs/>
                <w:color w:val="000000"/>
                <w:sz w:val="20"/>
                <w:szCs w:val="20"/>
                <w:lang w:val="hr-HR"/>
              </w:rPr>
              <w:t>.</w:t>
            </w:r>
          </w:p>
        </w:tc>
        <w:tc>
          <w:tcPr>
            <w:tcW w:w="1022" w:type="dxa"/>
            <w:tcBorders>
              <w:top w:val="nil"/>
              <w:left w:val="nil"/>
              <w:bottom w:val="nil"/>
              <w:right w:val="nil"/>
            </w:tcBorders>
            <w:shd w:val="clear" w:color="auto" w:fill="auto"/>
            <w:vAlign w:val="center"/>
            <w:hideMark/>
          </w:tcPr>
          <w:p w:rsidR="00E1097B" w:rsidRPr="00CD3A2D" w:rsidRDefault="00E1097B" w:rsidP="00BD55E1">
            <w:pPr>
              <w:jc w:val="center"/>
              <w:rPr>
                <w:rFonts w:ascii="Calibri" w:hAnsi="Calibri" w:cs="Calibri"/>
                <w:b/>
                <w:bCs/>
                <w:color w:val="000000"/>
                <w:sz w:val="20"/>
                <w:szCs w:val="20"/>
                <w:lang w:val="hr-HR"/>
              </w:rPr>
            </w:pPr>
            <w:r w:rsidRPr="00CD3A2D">
              <w:rPr>
                <w:rFonts w:ascii="Calibri" w:hAnsi="Calibri" w:cs="Calibri"/>
                <w:b/>
                <w:bCs/>
                <w:color w:val="000000"/>
                <w:sz w:val="20"/>
                <w:szCs w:val="20"/>
                <w:lang w:val="hr-HR"/>
              </w:rPr>
              <w:t>2017</w:t>
            </w:r>
            <w:r w:rsidR="00BD55E1" w:rsidRPr="00CD3A2D">
              <w:rPr>
                <w:rFonts w:ascii="Calibri" w:hAnsi="Calibri" w:cs="Calibri"/>
                <w:b/>
                <w:bCs/>
                <w:color w:val="000000"/>
                <w:sz w:val="20"/>
                <w:szCs w:val="20"/>
                <w:lang w:val="hr-HR"/>
              </w:rPr>
              <w:t>.</w:t>
            </w:r>
          </w:p>
        </w:tc>
      </w:tr>
      <w:tr w:rsidR="00E1097B" w:rsidRPr="001567C8" w:rsidTr="003327E4">
        <w:trPr>
          <w:trHeight w:val="163"/>
        </w:trPr>
        <w:tc>
          <w:tcPr>
            <w:tcW w:w="3686"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1</w:t>
            </w:r>
          </w:p>
        </w:tc>
        <w:tc>
          <w:tcPr>
            <w:tcW w:w="1022"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2</w:t>
            </w:r>
          </w:p>
        </w:tc>
        <w:tc>
          <w:tcPr>
            <w:tcW w:w="1022"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3</w:t>
            </w:r>
          </w:p>
        </w:tc>
        <w:tc>
          <w:tcPr>
            <w:tcW w:w="1022"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POCI</w:t>
            </w:r>
          </w:p>
        </w:tc>
        <w:tc>
          <w:tcPr>
            <w:tcW w:w="1022"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c>
          <w:tcPr>
            <w:tcW w:w="1022"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r>
      <w:tr w:rsidR="006B1659" w:rsidRPr="001567C8" w:rsidTr="003327E4">
        <w:trPr>
          <w:trHeight w:val="163"/>
        </w:trPr>
        <w:tc>
          <w:tcPr>
            <w:tcW w:w="3686"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r>
      <w:tr w:rsidR="00E1097B" w:rsidRPr="001567C8" w:rsidTr="003327E4">
        <w:trPr>
          <w:trHeight w:val="163"/>
        </w:trPr>
        <w:tc>
          <w:tcPr>
            <w:tcW w:w="3686"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20"/>
                <w:szCs w:val="20"/>
                <w:lang w:val="hr-HR"/>
              </w:rPr>
            </w:pPr>
          </w:p>
        </w:tc>
      </w:tr>
      <w:tr w:rsidR="006303BA" w:rsidRPr="001567C8" w:rsidTr="003327E4">
        <w:trPr>
          <w:trHeight w:val="163"/>
        </w:trPr>
        <w:tc>
          <w:tcPr>
            <w:tcW w:w="3686" w:type="dxa"/>
            <w:tcBorders>
              <w:top w:val="nil"/>
              <w:left w:val="nil"/>
              <w:bottom w:val="nil"/>
              <w:right w:val="nil"/>
            </w:tcBorders>
            <w:shd w:val="clear" w:color="auto" w:fill="auto"/>
            <w:vAlign w:val="center"/>
            <w:hideMark/>
          </w:tcPr>
          <w:p w:rsidR="006303BA" w:rsidRPr="00CD3A2D" w:rsidRDefault="006303BA" w:rsidP="006303BA">
            <w:pPr>
              <w:rPr>
                <w:rFonts w:ascii="Calibri" w:hAnsi="Calibri" w:cs="Calibri"/>
                <w:color w:val="000000"/>
                <w:sz w:val="20"/>
                <w:szCs w:val="20"/>
                <w:lang w:val="hr-HR"/>
              </w:rPr>
            </w:pPr>
            <w:r w:rsidRPr="00CD3A2D">
              <w:rPr>
                <w:rFonts w:ascii="Calibri" w:hAnsi="Calibri" w:cs="Calibri"/>
                <w:color w:val="000000"/>
                <w:sz w:val="20"/>
                <w:szCs w:val="20"/>
                <w:lang w:val="hr-HR"/>
              </w:rPr>
              <w:t>Stanje 1. siječnja 2018. godine</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152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152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248 </w:t>
            </w:r>
          </w:p>
        </w:tc>
      </w:tr>
      <w:tr w:rsidR="006303BA" w:rsidRPr="001567C8" w:rsidTr="003327E4">
        <w:trPr>
          <w:trHeight w:val="163"/>
        </w:trPr>
        <w:tc>
          <w:tcPr>
            <w:tcW w:w="3686" w:type="dxa"/>
            <w:tcBorders>
              <w:top w:val="nil"/>
              <w:left w:val="nil"/>
              <w:bottom w:val="nil"/>
              <w:right w:val="nil"/>
            </w:tcBorders>
            <w:shd w:val="clear" w:color="auto" w:fill="auto"/>
            <w:vAlign w:val="center"/>
            <w:hideMark/>
          </w:tcPr>
          <w:p w:rsidR="006303BA" w:rsidRPr="00CD3A2D" w:rsidRDefault="008A260B" w:rsidP="006303BA">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6303BA" w:rsidRPr="00CD3A2D">
              <w:rPr>
                <w:rFonts w:ascii="Calibri" w:hAnsi="Calibri" w:cs="Calibri"/>
                <w:color w:val="000000"/>
                <w:sz w:val="20"/>
                <w:szCs w:val="20"/>
                <w:lang w:val="hr-HR"/>
              </w:rPr>
              <w:t xml:space="preserve"> u Stupanj 1</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6303BA" w:rsidRPr="001567C8" w:rsidTr="003327E4">
        <w:trPr>
          <w:trHeight w:val="163"/>
        </w:trPr>
        <w:tc>
          <w:tcPr>
            <w:tcW w:w="3686" w:type="dxa"/>
            <w:tcBorders>
              <w:top w:val="nil"/>
              <w:left w:val="nil"/>
              <w:bottom w:val="nil"/>
              <w:right w:val="nil"/>
            </w:tcBorders>
            <w:shd w:val="clear" w:color="auto" w:fill="auto"/>
            <w:vAlign w:val="center"/>
            <w:hideMark/>
          </w:tcPr>
          <w:p w:rsidR="006303BA" w:rsidRPr="00CD3A2D" w:rsidRDefault="008A260B" w:rsidP="006303BA">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6303BA" w:rsidRPr="00CD3A2D">
              <w:rPr>
                <w:rFonts w:ascii="Calibri" w:hAnsi="Calibri" w:cs="Calibri"/>
                <w:color w:val="000000"/>
                <w:sz w:val="20"/>
                <w:szCs w:val="20"/>
                <w:lang w:val="hr-HR"/>
              </w:rPr>
              <w:t xml:space="preserve"> u Stupanj 2</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6303BA" w:rsidRPr="001567C8" w:rsidTr="003327E4">
        <w:trPr>
          <w:trHeight w:val="163"/>
        </w:trPr>
        <w:tc>
          <w:tcPr>
            <w:tcW w:w="3686" w:type="dxa"/>
            <w:tcBorders>
              <w:top w:val="nil"/>
              <w:left w:val="nil"/>
              <w:bottom w:val="nil"/>
              <w:right w:val="nil"/>
            </w:tcBorders>
            <w:shd w:val="clear" w:color="auto" w:fill="auto"/>
            <w:vAlign w:val="center"/>
            <w:hideMark/>
          </w:tcPr>
          <w:p w:rsidR="006303BA" w:rsidRPr="00CD3A2D" w:rsidRDefault="008A260B" w:rsidP="006303BA">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6303BA" w:rsidRPr="00CD3A2D">
              <w:rPr>
                <w:rFonts w:ascii="Calibri" w:hAnsi="Calibri" w:cs="Calibri"/>
                <w:color w:val="000000"/>
                <w:sz w:val="20"/>
                <w:szCs w:val="20"/>
                <w:lang w:val="hr-HR"/>
              </w:rPr>
              <w:t xml:space="preserve"> u Stupanj 3</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6303BA" w:rsidRPr="001567C8" w:rsidTr="003327E4">
        <w:trPr>
          <w:trHeight w:val="203"/>
        </w:trPr>
        <w:tc>
          <w:tcPr>
            <w:tcW w:w="3686" w:type="dxa"/>
            <w:tcBorders>
              <w:top w:val="nil"/>
              <w:left w:val="nil"/>
              <w:bottom w:val="nil"/>
              <w:right w:val="nil"/>
            </w:tcBorders>
            <w:shd w:val="clear" w:color="auto" w:fill="auto"/>
            <w:vAlign w:val="center"/>
            <w:hideMark/>
          </w:tcPr>
          <w:p w:rsidR="006303BA" w:rsidRPr="00CD3A2D" w:rsidRDefault="006303BA" w:rsidP="006303BA">
            <w:pPr>
              <w:rPr>
                <w:rFonts w:ascii="Calibri" w:hAnsi="Calibri" w:cs="Calibri"/>
                <w:color w:val="000000"/>
                <w:sz w:val="20"/>
                <w:szCs w:val="20"/>
                <w:lang w:val="hr-HR"/>
              </w:rPr>
            </w:pPr>
            <w:r w:rsidRPr="00CD3A2D">
              <w:rPr>
                <w:rFonts w:ascii="Calibri" w:hAnsi="Calibri" w:cs="Calibri"/>
                <w:color w:val="000000"/>
                <w:sz w:val="20"/>
                <w:szCs w:val="20"/>
                <w:lang w:val="hr-HR"/>
              </w:rPr>
              <w:t xml:space="preserve">Povećanje rezerviranja za očekivane gubitke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1.465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1.465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106 </w:t>
            </w:r>
          </w:p>
        </w:tc>
      </w:tr>
      <w:tr w:rsidR="006303BA" w:rsidRPr="001567C8" w:rsidTr="003327E4">
        <w:trPr>
          <w:trHeight w:val="234"/>
        </w:trPr>
        <w:tc>
          <w:tcPr>
            <w:tcW w:w="3686" w:type="dxa"/>
            <w:tcBorders>
              <w:top w:val="nil"/>
              <w:left w:val="nil"/>
              <w:bottom w:val="nil"/>
              <w:right w:val="nil"/>
            </w:tcBorders>
            <w:shd w:val="clear" w:color="auto" w:fill="auto"/>
            <w:vAlign w:val="center"/>
            <w:hideMark/>
          </w:tcPr>
          <w:p w:rsidR="006303BA" w:rsidRPr="00CD3A2D" w:rsidRDefault="006303BA" w:rsidP="006303BA">
            <w:pPr>
              <w:rPr>
                <w:rFonts w:ascii="Calibri" w:hAnsi="Calibri" w:cs="Calibri"/>
                <w:color w:val="000000"/>
                <w:sz w:val="20"/>
                <w:szCs w:val="20"/>
                <w:lang w:val="hr-HR"/>
              </w:rPr>
            </w:pPr>
            <w:r w:rsidRPr="00CD3A2D">
              <w:rPr>
                <w:rFonts w:ascii="Calibri" w:hAnsi="Calibri" w:cs="Calibri"/>
                <w:color w:val="000000"/>
                <w:sz w:val="20"/>
                <w:szCs w:val="20"/>
                <w:lang w:val="hr-HR"/>
              </w:rPr>
              <w:t xml:space="preserve">Smanjenje rezerviranja za očekivane gubitke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(249)</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(249)</w:t>
            </w:r>
          </w:p>
        </w:tc>
        <w:tc>
          <w:tcPr>
            <w:tcW w:w="102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6303BA" w:rsidRPr="001567C8" w:rsidTr="003327E4">
        <w:trPr>
          <w:trHeight w:val="171"/>
        </w:trPr>
        <w:tc>
          <w:tcPr>
            <w:tcW w:w="3686" w:type="dxa"/>
            <w:tcBorders>
              <w:top w:val="nil"/>
              <w:left w:val="nil"/>
              <w:bottom w:val="nil"/>
              <w:right w:val="nil"/>
            </w:tcBorders>
            <w:shd w:val="clear" w:color="auto" w:fill="auto"/>
            <w:vAlign w:val="center"/>
            <w:hideMark/>
          </w:tcPr>
          <w:p w:rsidR="006303BA" w:rsidRPr="00CD3A2D" w:rsidRDefault="00716D22" w:rsidP="006303BA">
            <w:pPr>
              <w:rPr>
                <w:rFonts w:ascii="Calibri" w:hAnsi="Calibri" w:cs="Calibri"/>
                <w:color w:val="000000"/>
                <w:sz w:val="20"/>
                <w:szCs w:val="20"/>
                <w:lang w:val="hr-HR"/>
              </w:rPr>
            </w:pPr>
            <w:r w:rsidRPr="00CD3A2D">
              <w:rPr>
                <w:rFonts w:ascii="Calibri" w:hAnsi="Calibri" w:cs="Calibri"/>
                <w:color w:val="000000"/>
                <w:sz w:val="20"/>
                <w:szCs w:val="20"/>
                <w:lang w:val="hr-HR"/>
              </w:rPr>
              <w:t xml:space="preserve">Neto gubitak </w:t>
            </w:r>
            <w:r w:rsidR="0063609C" w:rsidRPr="00CD3A2D">
              <w:rPr>
                <w:rFonts w:ascii="Calibri" w:hAnsi="Calibri" w:cs="Calibri"/>
                <w:color w:val="000000"/>
                <w:sz w:val="20"/>
                <w:szCs w:val="20"/>
                <w:lang w:val="hr-HR"/>
              </w:rPr>
              <w:t>od</w:t>
            </w:r>
            <w:r w:rsidRPr="00CD3A2D">
              <w:rPr>
                <w:rFonts w:ascii="Calibri" w:hAnsi="Calibri" w:cs="Calibri"/>
                <w:color w:val="000000"/>
                <w:sz w:val="20"/>
                <w:szCs w:val="20"/>
                <w:lang w:val="hr-HR"/>
              </w:rPr>
              <w:t xml:space="preserve"> tečajni</w:t>
            </w:r>
            <w:r w:rsidR="0063609C" w:rsidRPr="00CD3A2D">
              <w:rPr>
                <w:rFonts w:ascii="Calibri" w:hAnsi="Calibri" w:cs="Calibri"/>
                <w:color w:val="000000"/>
                <w:sz w:val="20"/>
                <w:szCs w:val="20"/>
                <w:lang w:val="hr-HR"/>
              </w:rPr>
              <w:t>h</w:t>
            </w:r>
            <w:r w:rsidRPr="00CD3A2D">
              <w:rPr>
                <w:rFonts w:ascii="Calibri" w:hAnsi="Calibri" w:cs="Calibri"/>
                <w:color w:val="000000"/>
                <w:sz w:val="20"/>
                <w:szCs w:val="20"/>
                <w:lang w:val="hr-HR"/>
              </w:rPr>
              <w:t xml:space="preserve"> razlika</w:t>
            </w:r>
            <w:r w:rsidR="0063609C" w:rsidRPr="00CD3A2D">
              <w:rPr>
                <w:rFonts w:ascii="Calibri" w:hAnsi="Calibri" w:cs="Calibri"/>
                <w:color w:val="000000"/>
                <w:sz w:val="20"/>
                <w:szCs w:val="20"/>
                <w:lang w:val="hr-HR"/>
              </w:rPr>
              <w:t xml:space="preserve"> po rezerviranjima za očekivane gubitke</w:t>
            </w:r>
          </w:p>
        </w:tc>
        <w:tc>
          <w:tcPr>
            <w:tcW w:w="1022"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(7)</w:t>
            </w:r>
          </w:p>
        </w:tc>
        <w:tc>
          <w:tcPr>
            <w:tcW w:w="1022"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(7)</w:t>
            </w:r>
          </w:p>
        </w:tc>
        <w:tc>
          <w:tcPr>
            <w:tcW w:w="1022"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6303BA" w:rsidRPr="001567C8" w:rsidTr="003327E4">
        <w:trPr>
          <w:trHeight w:val="171"/>
        </w:trPr>
        <w:tc>
          <w:tcPr>
            <w:tcW w:w="3686" w:type="dxa"/>
            <w:tcBorders>
              <w:top w:val="nil"/>
              <w:left w:val="nil"/>
              <w:bottom w:val="nil"/>
              <w:right w:val="nil"/>
            </w:tcBorders>
            <w:shd w:val="clear" w:color="auto" w:fill="auto"/>
            <w:vAlign w:val="bottom"/>
            <w:hideMark/>
          </w:tcPr>
          <w:p w:rsidR="006303BA" w:rsidRPr="00CD3A2D" w:rsidRDefault="006303BA" w:rsidP="008751BC">
            <w:pPr>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Stanje 31. prosinca 2018. godine </w:t>
            </w:r>
          </w:p>
        </w:tc>
        <w:tc>
          <w:tcPr>
            <w:tcW w:w="1022"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1.361 </w:t>
            </w:r>
          </w:p>
        </w:tc>
        <w:tc>
          <w:tcPr>
            <w:tcW w:w="1022"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 </w:t>
            </w:r>
          </w:p>
        </w:tc>
        <w:tc>
          <w:tcPr>
            <w:tcW w:w="1022"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 </w:t>
            </w:r>
          </w:p>
        </w:tc>
        <w:tc>
          <w:tcPr>
            <w:tcW w:w="1022"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 </w:t>
            </w:r>
          </w:p>
        </w:tc>
        <w:tc>
          <w:tcPr>
            <w:tcW w:w="1022"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1.361 </w:t>
            </w:r>
          </w:p>
        </w:tc>
        <w:tc>
          <w:tcPr>
            <w:tcW w:w="1022"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354 </w:t>
            </w:r>
          </w:p>
        </w:tc>
      </w:tr>
    </w:tbl>
    <w:p w:rsidR="00E1097B" w:rsidRPr="001567C8" w:rsidRDefault="00E1097B" w:rsidP="002911A6">
      <w:pPr>
        <w:pStyle w:val="T1"/>
        <w:spacing w:before="0" w:after="0" w:line="240" w:lineRule="auto"/>
        <w:rPr>
          <w:rFonts w:asciiTheme="minorHAnsi" w:hAnsiTheme="minorHAnsi" w:cs="Arial"/>
          <w:sz w:val="22"/>
          <w:szCs w:val="22"/>
          <w:lang w:val="hr-HR"/>
        </w:rPr>
        <w:sectPr w:rsidR="00E1097B" w:rsidRPr="001567C8" w:rsidSect="0077198A">
          <w:footerReference w:type="default" r:id="rId76"/>
          <w:pgSz w:w="11907" w:h="16840" w:code="9"/>
          <w:pgMar w:top="1418" w:right="1134" w:bottom="1134" w:left="1418" w:header="851" w:footer="851" w:gutter="0"/>
          <w:cols w:space="720"/>
          <w:noEndnote/>
        </w:sectPr>
      </w:pPr>
    </w:p>
    <w:p w:rsidR="00E1097B" w:rsidRPr="001567C8" w:rsidRDefault="00E1097B" w:rsidP="00E1097B">
      <w:pPr>
        <w:pStyle w:val="T1"/>
        <w:spacing w:before="0" w:after="0" w:line="240" w:lineRule="auto"/>
        <w:rPr>
          <w:rFonts w:asciiTheme="minorHAnsi" w:hAnsiTheme="minorHAnsi" w:cs="Arial"/>
          <w:sz w:val="22"/>
          <w:szCs w:val="22"/>
          <w:lang w:val="hr-HR"/>
        </w:rPr>
      </w:pPr>
    </w:p>
    <w:p w:rsidR="00E1097B" w:rsidRPr="001567C8" w:rsidRDefault="00E1097B" w:rsidP="00E5067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Pr="001567C8">
        <w:rPr>
          <w:rFonts w:asciiTheme="minorHAnsi" w:hAnsiTheme="minorHAnsi" w:cs="Arial"/>
          <w:sz w:val="22"/>
          <w:szCs w:val="22"/>
          <w:lang w:val="hr-HR"/>
        </w:rPr>
        <w:tab/>
        <w:t>Upravljanje rizicima (nastavak)</w:t>
      </w:r>
    </w:p>
    <w:p w:rsidR="00E1097B" w:rsidRPr="001567C8" w:rsidRDefault="00E1097B" w:rsidP="00E1097B">
      <w:pPr>
        <w:pStyle w:val="T1"/>
        <w:spacing w:before="0" w:after="0" w:line="240" w:lineRule="auto"/>
        <w:rPr>
          <w:rFonts w:asciiTheme="minorHAnsi" w:hAnsiTheme="minorHAnsi" w:cs="Arial"/>
          <w:sz w:val="22"/>
          <w:szCs w:val="22"/>
          <w:lang w:val="hr-HR"/>
        </w:rPr>
      </w:pPr>
    </w:p>
    <w:p w:rsidR="00E1097B" w:rsidRPr="001567C8" w:rsidRDefault="00E1097B" w:rsidP="00E5067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E1097B" w:rsidRPr="001567C8" w:rsidRDefault="00E1097B" w:rsidP="00E1097B">
      <w:pPr>
        <w:pStyle w:val="T1"/>
        <w:spacing w:before="0" w:after="0" w:line="240" w:lineRule="auto"/>
        <w:rPr>
          <w:rFonts w:asciiTheme="minorHAnsi" w:hAnsiTheme="minorHAnsi" w:cs="Arial"/>
          <w:sz w:val="22"/>
          <w:szCs w:val="22"/>
          <w:lang w:val="hr-HR"/>
        </w:rPr>
      </w:pPr>
    </w:p>
    <w:p w:rsidR="00E1097B" w:rsidRPr="001567C8" w:rsidRDefault="00E1097B" w:rsidP="00E5067B">
      <w:pPr>
        <w:pStyle w:val="T1"/>
        <w:tabs>
          <w:tab w:val="left" w:pos="284"/>
        </w:tabs>
        <w:spacing w:before="0" w:after="0" w:line="240" w:lineRule="auto"/>
        <w:rPr>
          <w:rFonts w:asciiTheme="minorHAnsi" w:hAnsiTheme="minorHAnsi" w:cs="Arial"/>
          <w:b w:val="0"/>
          <w:i/>
          <w:sz w:val="22"/>
          <w:szCs w:val="22"/>
          <w:lang w:val="hr-HR"/>
        </w:rPr>
      </w:pPr>
      <w:r w:rsidRPr="001567C8">
        <w:rPr>
          <w:rFonts w:asciiTheme="minorHAnsi" w:hAnsiTheme="minorHAnsi" w:cs="Arial"/>
          <w:b w:val="0"/>
          <w:i/>
          <w:sz w:val="22"/>
          <w:szCs w:val="22"/>
          <w:lang w:val="hr-HR"/>
        </w:rPr>
        <w:t>i.</w:t>
      </w:r>
      <w:r w:rsidRPr="001567C8">
        <w:rPr>
          <w:rFonts w:asciiTheme="minorHAnsi" w:hAnsiTheme="minorHAnsi" w:cs="Arial"/>
          <w:b w:val="0"/>
          <w:i/>
          <w:sz w:val="22"/>
          <w:szCs w:val="22"/>
          <w:lang w:val="hr-HR"/>
        </w:rPr>
        <w:tab/>
        <w:t>Promjene po rezerviranjima</w:t>
      </w:r>
      <w:r w:rsidR="00FB7194" w:rsidRPr="001567C8">
        <w:rPr>
          <w:rFonts w:asciiTheme="minorHAnsi" w:hAnsiTheme="minorHAnsi" w:cs="Arial"/>
          <w:b w:val="0"/>
          <w:i/>
          <w:sz w:val="22"/>
          <w:szCs w:val="22"/>
          <w:lang w:val="hr-HR"/>
        </w:rPr>
        <w:t xml:space="preserve"> (nastavak)</w:t>
      </w:r>
    </w:p>
    <w:p w:rsidR="00E1097B" w:rsidRPr="001567C8" w:rsidRDefault="00E1097B" w:rsidP="00BB3DBE">
      <w:pPr>
        <w:pStyle w:val="T1"/>
        <w:spacing w:before="0" w:after="0" w:line="240" w:lineRule="auto"/>
        <w:rPr>
          <w:rFonts w:asciiTheme="minorHAnsi" w:hAnsiTheme="minorHAnsi" w:cs="Arial"/>
          <w:sz w:val="22"/>
          <w:szCs w:val="22"/>
          <w:lang w:val="hr-HR"/>
        </w:rPr>
      </w:pPr>
    </w:p>
    <w:p w:rsidR="00E1097B" w:rsidRPr="001567C8" w:rsidRDefault="00E1097B" w:rsidP="008C1241">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Krediti financijskim institucijama</w:t>
      </w:r>
    </w:p>
    <w:p w:rsidR="00E1097B" w:rsidRPr="001567C8" w:rsidRDefault="00E1097B" w:rsidP="00F0295E">
      <w:pPr>
        <w:pStyle w:val="T1"/>
        <w:spacing w:before="0" w:after="0" w:line="240" w:lineRule="auto"/>
        <w:rPr>
          <w:rFonts w:asciiTheme="minorHAnsi" w:hAnsiTheme="minorHAnsi" w:cs="Arial"/>
          <w:sz w:val="22"/>
          <w:szCs w:val="22"/>
          <w:lang w:val="hr-HR"/>
        </w:rPr>
      </w:pPr>
    </w:p>
    <w:tbl>
      <w:tblPr>
        <w:tblW w:w="10442" w:type="dxa"/>
        <w:tblInd w:w="-567" w:type="dxa"/>
        <w:tblLook w:val="04A0" w:firstRow="1" w:lastRow="0" w:firstColumn="1" w:lastColumn="0" w:noHBand="0" w:noVBand="1"/>
      </w:tblPr>
      <w:tblGrid>
        <w:gridCol w:w="3828"/>
        <w:gridCol w:w="1102"/>
        <w:gridCol w:w="1102"/>
        <w:gridCol w:w="1103"/>
        <w:gridCol w:w="1102"/>
        <w:gridCol w:w="1027"/>
        <w:gridCol w:w="75"/>
        <w:gridCol w:w="1103"/>
      </w:tblGrid>
      <w:tr w:rsidR="00E1097B" w:rsidRPr="001567C8" w:rsidTr="00BD55E1">
        <w:trPr>
          <w:trHeight w:val="164"/>
        </w:trPr>
        <w:tc>
          <w:tcPr>
            <w:tcW w:w="3828" w:type="dxa"/>
            <w:tcBorders>
              <w:top w:val="nil"/>
              <w:left w:val="nil"/>
              <w:bottom w:val="nil"/>
              <w:right w:val="nil"/>
            </w:tcBorders>
            <w:shd w:val="clear" w:color="auto" w:fill="auto"/>
            <w:vAlign w:val="center"/>
            <w:hideMark/>
          </w:tcPr>
          <w:p w:rsidR="00E1097B" w:rsidRPr="00CD3A2D" w:rsidRDefault="00E1097B" w:rsidP="00E1097B">
            <w:pPr>
              <w:rPr>
                <w:rFonts w:ascii="Calibri" w:hAnsi="Calibri" w:cs="Calibri"/>
                <w:b/>
                <w:bCs/>
                <w:color w:val="FF0000"/>
                <w:sz w:val="19"/>
                <w:szCs w:val="19"/>
                <w:lang w:val="hr-HR"/>
              </w:rPr>
            </w:pPr>
            <w:r w:rsidRPr="00CD3A2D">
              <w:rPr>
                <w:rFonts w:ascii="Calibri" w:hAnsi="Calibri" w:cs="Calibri"/>
                <w:b/>
                <w:bCs/>
                <w:sz w:val="19"/>
                <w:szCs w:val="19"/>
                <w:lang w:val="hr-HR"/>
              </w:rPr>
              <w:t>Grupa</w:t>
            </w:r>
          </w:p>
        </w:tc>
        <w:tc>
          <w:tcPr>
            <w:tcW w:w="5436" w:type="dxa"/>
            <w:gridSpan w:val="5"/>
            <w:tcBorders>
              <w:top w:val="nil"/>
              <w:left w:val="nil"/>
              <w:bottom w:val="nil"/>
              <w:right w:val="nil"/>
            </w:tcBorders>
            <w:shd w:val="clear" w:color="auto" w:fill="auto"/>
            <w:vAlign w:val="center"/>
            <w:hideMark/>
          </w:tcPr>
          <w:p w:rsidR="00E1097B" w:rsidRPr="00CD3A2D" w:rsidRDefault="00E1097B" w:rsidP="00E1097B">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2018</w:t>
            </w:r>
            <w:r w:rsidR="00BD55E1" w:rsidRPr="00CD3A2D">
              <w:rPr>
                <w:rFonts w:ascii="Calibri" w:hAnsi="Calibri" w:cs="Calibri"/>
                <w:b/>
                <w:bCs/>
                <w:color w:val="000000"/>
                <w:sz w:val="19"/>
                <w:szCs w:val="19"/>
                <w:lang w:val="hr-HR"/>
              </w:rPr>
              <w:t>.</w:t>
            </w:r>
          </w:p>
        </w:tc>
        <w:tc>
          <w:tcPr>
            <w:tcW w:w="1178" w:type="dxa"/>
            <w:gridSpan w:val="2"/>
            <w:tcBorders>
              <w:top w:val="nil"/>
              <w:left w:val="nil"/>
              <w:bottom w:val="nil"/>
              <w:right w:val="nil"/>
            </w:tcBorders>
            <w:shd w:val="clear" w:color="auto" w:fill="auto"/>
            <w:vAlign w:val="center"/>
            <w:hideMark/>
          </w:tcPr>
          <w:p w:rsidR="00E1097B" w:rsidRPr="00CD3A2D" w:rsidRDefault="00E1097B" w:rsidP="00BD55E1">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2017</w:t>
            </w:r>
            <w:r w:rsidR="00BD55E1" w:rsidRPr="00CD3A2D">
              <w:rPr>
                <w:rFonts w:ascii="Calibri" w:hAnsi="Calibri" w:cs="Calibri"/>
                <w:b/>
                <w:bCs/>
                <w:color w:val="000000"/>
                <w:sz w:val="19"/>
                <w:szCs w:val="19"/>
                <w:lang w:val="hr-HR"/>
              </w:rPr>
              <w:t>.</w:t>
            </w:r>
          </w:p>
        </w:tc>
      </w:tr>
      <w:tr w:rsidR="00E1097B" w:rsidRPr="001567C8" w:rsidTr="003C6BA3">
        <w:trPr>
          <w:trHeight w:val="164"/>
        </w:trPr>
        <w:tc>
          <w:tcPr>
            <w:tcW w:w="3828"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19"/>
                <w:szCs w:val="19"/>
                <w:lang w:val="hr-HR"/>
              </w:rPr>
            </w:pPr>
          </w:p>
        </w:tc>
        <w:tc>
          <w:tcPr>
            <w:tcW w:w="1102"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1102"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1103"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1102"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POCI</w:t>
            </w:r>
          </w:p>
        </w:tc>
        <w:tc>
          <w:tcPr>
            <w:tcW w:w="1102" w:type="dxa"/>
            <w:gridSpan w:val="2"/>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1103" w:type="dxa"/>
            <w:tcBorders>
              <w:top w:val="nil"/>
              <w:left w:val="nil"/>
              <w:bottom w:val="nil"/>
              <w:right w:val="nil"/>
            </w:tcBorders>
            <w:shd w:val="clear" w:color="auto" w:fill="auto"/>
            <w:vAlign w:val="center"/>
            <w:hideMark/>
          </w:tcPr>
          <w:p w:rsidR="00E1097B" w:rsidRPr="00CD3A2D" w:rsidRDefault="00E1097B" w:rsidP="00E1097B">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6B1659" w:rsidRPr="001567C8" w:rsidTr="003C6BA3">
        <w:trPr>
          <w:trHeight w:val="164"/>
        </w:trPr>
        <w:tc>
          <w:tcPr>
            <w:tcW w:w="3828"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p>
        </w:tc>
        <w:tc>
          <w:tcPr>
            <w:tcW w:w="110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0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03"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0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02" w:type="dxa"/>
            <w:gridSpan w:val="2"/>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03"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E1097B" w:rsidRPr="001567C8" w:rsidTr="003C6BA3">
        <w:trPr>
          <w:trHeight w:val="164"/>
        </w:trPr>
        <w:tc>
          <w:tcPr>
            <w:tcW w:w="3828"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19"/>
                <w:szCs w:val="19"/>
                <w:lang w:val="hr-HR"/>
              </w:rPr>
            </w:pPr>
          </w:p>
        </w:tc>
        <w:tc>
          <w:tcPr>
            <w:tcW w:w="1102"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19"/>
                <w:szCs w:val="19"/>
                <w:lang w:val="hr-HR"/>
              </w:rPr>
            </w:pPr>
          </w:p>
        </w:tc>
        <w:tc>
          <w:tcPr>
            <w:tcW w:w="1102"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19"/>
                <w:szCs w:val="19"/>
                <w:lang w:val="hr-HR"/>
              </w:rPr>
            </w:pPr>
          </w:p>
        </w:tc>
        <w:tc>
          <w:tcPr>
            <w:tcW w:w="1103"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19"/>
                <w:szCs w:val="19"/>
                <w:lang w:val="hr-HR"/>
              </w:rPr>
            </w:pPr>
          </w:p>
        </w:tc>
        <w:tc>
          <w:tcPr>
            <w:tcW w:w="1102"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19"/>
                <w:szCs w:val="19"/>
                <w:lang w:val="hr-HR"/>
              </w:rPr>
            </w:pPr>
          </w:p>
        </w:tc>
        <w:tc>
          <w:tcPr>
            <w:tcW w:w="1102" w:type="dxa"/>
            <w:gridSpan w:val="2"/>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19"/>
                <w:szCs w:val="19"/>
                <w:lang w:val="hr-HR"/>
              </w:rPr>
            </w:pPr>
          </w:p>
        </w:tc>
        <w:tc>
          <w:tcPr>
            <w:tcW w:w="1103" w:type="dxa"/>
            <w:tcBorders>
              <w:top w:val="nil"/>
              <w:left w:val="nil"/>
              <w:bottom w:val="nil"/>
              <w:right w:val="nil"/>
            </w:tcBorders>
            <w:shd w:val="clear" w:color="auto" w:fill="auto"/>
            <w:vAlign w:val="center"/>
          </w:tcPr>
          <w:p w:rsidR="00E1097B" w:rsidRPr="00CD3A2D" w:rsidRDefault="00E1097B" w:rsidP="00E1097B">
            <w:pPr>
              <w:jc w:val="right"/>
              <w:rPr>
                <w:rFonts w:ascii="Calibri" w:hAnsi="Calibri" w:cs="Calibri"/>
                <w:b/>
                <w:bCs/>
                <w:color w:val="000000"/>
                <w:sz w:val="19"/>
                <w:szCs w:val="19"/>
                <w:lang w:val="hr-HR"/>
              </w:rPr>
            </w:pPr>
          </w:p>
        </w:tc>
      </w:tr>
      <w:tr w:rsidR="006303BA" w:rsidRPr="001567C8" w:rsidTr="003C6BA3">
        <w:trPr>
          <w:trHeight w:val="164"/>
        </w:trPr>
        <w:tc>
          <w:tcPr>
            <w:tcW w:w="3828" w:type="dxa"/>
            <w:tcBorders>
              <w:top w:val="nil"/>
              <w:left w:val="nil"/>
              <w:bottom w:val="nil"/>
              <w:right w:val="nil"/>
            </w:tcBorders>
            <w:shd w:val="clear" w:color="auto" w:fill="auto"/>
            <w:vAlign w:val="center"/>
            <w:hideMark/>
          </w:tcPr>
          <w:p w:rsidR="006303BA" w:rsidRPr="00CD3A2D" w:rsidRDefault="006303BA" w:rsidP="006303BA">
            <w:pPr>
              <w:rPr>
                <w:rFonts w:ascii="Calibri" w:hAnsi="Calibri" w:cs="Calibri"/>
                <w:color w:val="000000"/>
                <w:sz w:val="19"/>
                <w:szCs w:val="19"/>
                <w:lang w:val="hr-HR"/>
              </w:rPr>
            </w:pPr>
            <w:r w:rsidRPr="00CD3A2D">
              <w:rPr>
                <w:rFonts w:ascii="Calibri" w:hAnsi="Calibri" w:cs="Calibri"/>
                <w:color w:val="000000"/>
                <w:sz w:val="19"/>
                <w:szCs w:val="19"/>
                <w:lang w:val="hr-HR"/>
              </w:rPr>
              <w:t>Stanje 1. siječnja 2018. godine</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76.58</w:t>
            </w:r>
            <w:r w:rsidR="0053190A" w:rsidRPr="00CD3A2D">
              <w:rPr>
                <w:rFonts w:asciiTheme="minorHAnsi" w:hAnsiTheme="minorHAnsi" w:cstheme="minorHAnsi"/>
                <w:sz w:val="19"/>
                <w:szCs w:val="19"/>
                <w:lang w:val="hr-HR"/>
              </w:rPr>
              <w:t>1</w:t>
            </w:r>
            <w:r w:rsidRPr="00CD3A2D">
              <w:rPr>
                <w:rFonts w:asciiTheme="minorHAnsi" w:hAnsiTheme="minorHAnsi" w:cstheme="minorHAnsi"/>
                <w:sz w:val="19"/>
                <w:szCs w:val="19"/>
                <w:lang w:val="hr-HR"/>
              </w:rPr>
              <w:t xml:space="preserve">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33.937 </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20.502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131.02</w:t>
            </w:r>
            <w:r w:rsidR="0053190A" w:rsidRPr="00CD3A2D">
              <w:rPr>
                <w:rFonts w:asciiTheme="minorHAnsi" w:hAnsiTheme="minorHAnsi" w:cstheme="minorHAnsi"/>
                <w:sz w:val="19"/>
                <w:szCs w:val="19"/>
                <w:lang w:val="hr-HR"/>
              </w:rPr>
              <w:t>0</w:t>
            </w:r>
            <w:r w:rsidRPr="00CD3A2D">
              <w:rPr>
                <w:rFonts w:asciiTheme="minorHAnsi" w:hAnsiTheme="minorHAnsi" w:cstheme="minorHAnsi"/>
                <w:sz w:val="19"/>
                <w:szCs w:val="19"/>
                <w:lang w:val="hr-HR"/>
              </w:rPr>
              <w:t xml:space="preserve"> </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363.317 </w:t>
            </w:r>
          </w:p>
        </w:tc>
      </w:tr>
      <w:tr w:rsidR="006303BA" w:rsidRPr="001567C8" w:rsidTr="003C6BA3">
        <w:trPr>
          <w:trHeight w:val="164"/>
        </w:trPr>
        <w:tc>
          <w:tcPr>
            <w:tcW w:w="3828" w:type="dxa"/>
            <w:tcBorders>
              <w:top w:val="nil"/>
              <w:left w:val="nil"/>
              <w:bottom w:val="nil"/>
              <w:right w:val="nil"/>
            </w:tcBorders>
            <w:shd w:val="clear" w:color="auto" w:fill="auto"/>
            <w:vAlign w:val="center"/>
            <w:hideMark/>
          </w:tcPr>
          <w:p w:rsidR="006303BA" w:rsidRPr="00CD3A2D" w:rsidRDefault="008A260B" w:rsidP="006303BA">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6303BA" w:rsidRPr="00CD3A2D">
              <w:rPr>
                <w:rFonts w:ascii="Calibri" w:hAnsi="Calibri" w:cs="Calibri"/>
                <w:color w:val="000000"/>
                <w:sz w:val="19"/>
                <w:szCs w:val="19"/>
                <w:lang w:val="hr-HR"/>
              </w:rPr>
              <w:t xml:space="preserve"> u Stupanj 1</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89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(89)</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6303BA" w:rsidRPr="001567C8" w:rsidTr="003C6BA3">
        <w:trPr>
          <w:trHeight w:val="164"/>
        </w:trPr>
        <w:tc>
          <w:tcPr>
            <w:tcW w:w="3828" w:type="dxa"/>
            <w:tcBorders>
              <w:top w:val="nil"/>
              <w:left w:val="nil"/>
              <w:bottom w:val="nil"/>
              <w:right w:val="nil"/>
            </w:tcBorders>
            <w:shd w:val="clear" w:color="auto" w:fill="auto"/>
            <w:vAlign w:val="center"/>
            <w:hideMark/>
          </w:tcPr>
          <w:p w:rsidR="006303BA" w:rsidRPr="00CD3A2D" w:rsidRDefault="008A260B" w:rsidP="006303BA">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6303BA" w:rsidRPr="00CD3A2D">
              <w:rPr>
                <w:rFonts w:ascii="Calibri" w:hAnsi="Calibri" w:cs="Calibri"/>
                <w:color w:val="000000"/>
                <w:sz w:val="19"/>
                <w:szCs w:val="19"/>
                <w:lang w:val="hr-HR"/>
              </w:rPr>
              <w:t xml:space="preserve"> u Stupanj 2</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6303BA" w:rsidRPr="001567C8" w:rsidTr="003C6BA3">
        <w:trPr>
          <w:trHeight w:val="164"/>
        </w:trPr>
        <w:tc>
          <w:tcPr>
            <w:tcW w:w="3828" w:type="dxa"/>
            <w:tcBorders>
              <w:top w:val="nil"/>
              <w:left w:val="nil"/>
              <w:bottom w:val="nil"/>
              <w:right w:val="nil"/>
            </w:tcBorders>
            <w:shd w:val="clear" w:color="auto" w:fill="auto"/>
            <w:vAlign w:val="center"/>
            <w:hideMark/>
          </w:tcPr>
          <w:p w:rsidR="006303BA" w:rsidRPr="00CD3A2D" w:rsidRDefault="008A260B" w:rsidP="006303BA">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6303BA" w:rsidRPr="00CD3A2D">
              <w:rPr>
                <w:rFonts w:ascii="Calibri" w:hAnsi="Calibri" w:cs="Calibri"/>
                <w:color w:val="000000"/>
                <w:sz w:val="19"/>
                <w:szCs w:val="19"/>
                <w:lang w:val="hr-HR"/>
              </w:rPr>
              <w:t xml:space="preserve"> u Stupanj 3</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(727)</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727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6303BA" w:rsidRPr="001567C8" w:rsidTr="003C6BA3">
        <w:trPr>
          <w:trHeight w:val="204"/>
        </w:trPr>
        <w:tc>
          <w:tcPr>
            <w:tcW w:w="3828" w:type="dxa"/>
            <w:tcBorders>
              <w:top w:val="nil"/>
              <w:left w:val="nil"/>
              <w:bottom w:val="nil"/>
              <w:right w:val="nil"/>
            </w:tcBorders>
            <w:shd w:val="clear" w:color="auto" w:fill="auto"/>
            <w:vAlign w:val="center"/>
            <w:hideMark/>
          </w:tcPr>
          <w:p w:rsidR="006303BA" w:rsidRPr="00CD3A2D" w:rsidRDefault="006303BA" w:rsidP="006303BA">
            <w:pPr>
              <w:rPr>
                <w:rFonts w:ascii="Calibri" w:hAnsi="Calibri" w:cs="Calibri"/>
                <w:color w:val="000000"/>
                <w:sz w:val="19"/>
                <w:szCs w:val="19"/>
                <w:lang w:val="hr-HR"/>
              </w:rPr>
            </w:pPr>
            <w:r w:rsidRPr="00CD3A2D">
              <w:rPr>
                <w:rFonts w:ascii="Calibri" w:hAnsi="Calibri" w:cs="Calibri"/>
                <w:color w:val="000000"/>
                <w:sz w:val="19"/>
                <w:szCs w:val="19"/>
                <w:lang w:val="hr-HR"/>
              </w:rPr>
              <w:t xml:space="preserve">Povećanje rezerviranja za očekivane gubitke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39.481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3.594 </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2.485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45.560 </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7.949 </w:t>
            </w:r>
          </w:p>
        </w:tc>
      </w:tr>
      <w:tr w:rsidR="006303BA" w:rsidRPr="001567C8" w:rsidTr="003C6BA3">
        <w:trPr>
          <w:trHeight w:val="235"/>
        </w:trPr>
        <w:tc>
          <w:tcPr>
            <w:tcW w:w="3828" w:type="dxa"/>
            <w:tcBorders>
              <w:top w:val="nil"/>
              <w:left w:val="nil"/>
              <w:bottom w:val="nil"/>
              <w:right w:val="nil"/>
            </w:tcBorders>
            <w:shd w:val="clear" w:color="auto" w:fill="auto"/>
            <w:vAlign w:val="center"/>
            <w:hideMark/>
          </w:tcPr>
          <w:p w:rsidR="006303BA" w:rsidRPr="00CD3A2D" w:rsidRDefault="006303BA" w:rsidP="006303BA">
            <w:pPr>
              <w:rPr>
                <w:rFonts w:ascii="Calibri" w:hAnsi="Calibri" w:cs="Calibri"/>
                <w:color w:val="000000"/>
                <w:sz w:val="19"/>
                <w:szCs w:val="19"/>
                <w:lang w:val="hr-HR"/>
              </w:rPr>
            </w:pPr>
            <w:r w:rsidRPr="00CD3A2D">
              <w:rPr>
                <w:rFonts w:ascii="Calibri" w:hAnsi="Calibri" w:cs="Calibri"/>
                <w:color w:val="000000"/>
                <w:sz w:val="19"/>
                <w:szCs w:val="19"/>
                <w:lang w:val="hr-HR"/>
              </w:rPr>
              <w:t xml:space="preserve">Smanjenje rezerviranja za očekivane gubitke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(41.651)</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(11.810)</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(5.248)</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(58.709)</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(131.795)</w:t>
            </w:r>
          </w:p>
        </w:tc>
      </w:tr>
      <w:tr w:rsidR="006303BA" w:rsidRPr="001567C8" w:rsidTr="003C6BA3">
        <w:trPr>
          <w:trHeight w:val="235"/>
        </w:trPr>
        <w:tc>
          <w:tcPr>
            <w:tcW w:w="3828" w:type="dxa"/>
            <w:tcBorders>
              <w:top w:val="nil"/>
              <w:left w:val="nil"/>
              <w:bottom w:val="nil"/>
              <w:right w:val="nil"/>
            </w:tcBorders>
            <w:shd w:val="clear" w:color="auto" w:fill="auto"/>
          </w:tcPr>
          <w:p w:rsidR="006303BA" w:rsidRPr="00CD3A2D" w:rsidRDefault="006303BA" w:rsidP="006303BA">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Unwinding - promjena uslijed proteka vremena</w:t>
            </w:r>
          </w:p>
        </w:tc>
        <w:tc>
          <w:tcPr>
            <w:tcW w:w="1102"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3"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275 </w:t>
            </w:r>
          </w:p>
        </w:tc>
        <w:tc>
          <w:tcPr>
            <w:tcW w:w="1102"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275 </w:t>
            </w:r>
          </w:p>
        </w:tc>
        <w:tc>
          <w:tcPr>
            <w:tcW w:w="1103"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6303BA" w:rsidRPr="001567C8" w:rsidTr="003C6BA3">
        <w:trPr>
          <w:trHeight w:val="235"/>
        </w:trPr>
        <w:tc>
          <w:tcPr>
            <w:tcW w:w="3828" w:type="dxa"/>
            <w:tcBorders>
              <w:top w:val="nil"/>
              <w:left w:val="nil"/>
              <w:bottom w:val="nil"/>
              <w:right w:val="nil"/>
            </w:tcBorders>
            <w:shd w:val="clear" w:color="auto" w:fill="auto"/>
          </w:tcPr>
          <w:p w:rsidR="006303BA" w:rsidRPr="00CD3A2D" w:rsidRDefault="00716D22" w:rsidP="006303BA">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(Prijenos na)/donos sa kredita ostalim korisnicima</w:t>
            </w:r>
          </w:p>
        </w:tc>
        <w:tc>
          <w:tcPr>
            <w:tcW w:w="1102" w:type="dxa"/>
            <w:tcBorders>
              <w:top w:val="nil"/>
              <w:left w:val="nil"/>
              <w:bottom w:val="nil"/>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w:t>
            </w:r>
          </w:p>
        </w:tc>
        <w:tc>
          <w:tcPr>
            <w:tcW w:w="1102" w:type="dxa"/>
            <w:tcBorders>
              <w:top w:val="nil"/>
              <w:left w:val="nil"/>
              <w:bottom w:val="nil"/>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(24)</w:t>
            </w:r>
          </w:p>
        </w:tc>
        <w:tc>
          <w:tcPr>
            <w:tcW w:w="1103" w:type="dxa"/>
            <w:tcBorders>
              <w:top w:val="nil"/>
              <w:left w:val="nil"/>
              <w:bottom w:val="nil"/>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tcBorders>
              <w:top w:val="nil"/>
              <w:left w:val="nil"/>
              <w:bottom w:val="nil"/>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nil"/>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w:t>
            </w:r>
          </w:p>
        </w:tc>
        <w:tc>
          <w:tcPr>
            <w:tcW w:w="1103" w:type="dxa"/>
            <w:tcBorders>
              <w:top w:val="nil"/>
              <w:left w:val="nil"/>
              <w:bottom w:val="nil"/>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998 </w:t>
            </w:r>
          </w:p>
        </w:tc>
      </w:tr>
      <w:tr w:rsidR="006303BA" w:rsidRPr="001567C8" w:rsidTr="003C6BA3">
        <w:trPr>
          <w:trHeight w:val="235"/>
        </w:trPr>
        <w:tc>
          <w:tcPr>
            <w:tcW w:w="3828" w:type="dxa"/>
            <w:tcBorders>
              <w:top w:val="nil"/>
              <w:left w:val="nil"/>
              <w:bottom w:val="nil"/>
              <w:right w:val="nil"/>
            </w:tcBorders>
            <w:shd w:val="clear" w:color="auto" w:fill="auto"/>
          </w:tcPr>
          <w:p w:rsidR="006303BA" w:rsidRPr="00CD3A2D" w:rsidRDefault="00795F59" w:rsidP="006303BA">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Preuzimanje nekretnina</w:t>
            </w:r>
          </w:p>
        </w:tc>
        <w:tc>
          <w:tcPr>
            <w:tcW w:w="1102" w:type="dxa"/>
            <w:tcBorders>
              <w:top w:val="nil"/>
              <w:left w:val="nil"/>
              <w:bottom w:val="nil"/>
              <w:right w:val="nil"/>
            </w:tcBorders>
            <w:shd w:val="clear" w:color="auto" w:fill="auto"/>
          </w:tcPr>
          <w:p w:rsidR="006303BA" w:rsidRPr="00CD3A2D" w:rsidRDefault="0053190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nil"/>
              <w:right w:val="nil"/>
            </w:tcBorders>
            <w:shd w:val="clear" w:color="auto" w:fill="auto"/>
          </w:tcPr>
          <w:p w:rsidR="006303BA" w:rsidRPr="00CD3A2D" w:rsidRDefault="0053190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w:t>
            </w:r>
          </w:p>
        </w:tc>
        <w:tc>
          <w:tcPr>
            <w:tcW w:w="1103" w:type="dxa"/>
            <w:tcBorders>
              <w:top w:val="nil"/>
              <w:left w:val="nil"/>
              <w:bottom w:val="nil"/>
              <w:right w:val="nil"/>
            </w:tcBorders>
            <w:shd w:val="clear" w:color="auto" w:fill="auto"/>
          </w:tcPr>
          <w:p w:rsidR="006303BA" w:rsidRPr="00CD3A2D" w:rsidRDefault="006303BA" w:rsidP="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(1.105)</w:t>
            </w:r>
          </w:p>
        </w:tc>
      </w:tr>
      <w:tr w:rsidR="006303BA" w:rsidRPr="001567C8" w:rsidTr="003C6BA3">
        <w:trPr>
          <w:trHeight w:val="172"/>
        </w:trPr>
        <w:tc>
          <w:tcPr>
            <w:tcW w:w="3828" w:type="dxa"/>
            <w:tcBorders>
              <w:top w:val="nil"/>
              <w:left w:val="nil"/>
              <w:bottom w:val="nil"/>
              <w:right w:val="nil"/>
            </w:tcBorders>
            <w:shd w:val="clear" w:color="auto" w:fill="auto"/>
            <w:vAlign w:val="center"/>
            <w:hideMark/>
          </w:tcPr>
          <w:p w:rsidR="006303BA" w:rsidRPr="00CD3A2D" w:rsidRDefault="00716D22" w:rsidP="006303BA">
            <w:pPr>
              <w:rPr>
                <w:rFonts w:ascii="Calibri" w:hAnsi="Calibri" w:cs="Calibri"/>
                <w:color w:val="000000"/>
                <w:sz w:val="19"/>
                <w:szCs w:val="19"/>
                <w:lang w:val="hr-HR"/>
              </w:rPr>
            </w:pPr>
            <w:r w:rsidRPr="00CD3A2D">
              <w:rPr>
                <w:rFonts w:ascii="Calibri" w:hAnsi="Calibri" w:cs="Calibri"/>
                <w:color w:val="000000"/>
                <w:sz w:val="19"/>
                <w:szCs w:val="19"/>
                <w:lang w:val="hr-HR"/>
              </w:rPr>
              <w:t xml:space="preserve">Neto gubitak od </w:t>
            </w:r>
            <w:r w:rsidR="003119F2" w:rsidRPr="001567C8">
              <w:rPr>
                <w:rFonts w:ascii="Calibri" w:hAnsi="Calibri" w:cs="Calibri"/>
                <w:color w:val="000000"/>
                <w:sz w:val="19"/>
                <w:szCs w:val="19"/>
                <w:lang w:val="hr-HR"/>
              </w:rPr>
              <w:t>tečajnih</w:t>
            </w:r>
            <w:r w:rsidRPr="00CD3A2D">
              <w:rPr>
                <w:rFonts w:ascii="Calibri" w:hAnsi="Calibri" w:cs="Calibri"/>
                <w:color w:val="000000"/>
                <w:sz w:val="19"/>
                <w:szCs w:val="19"/>
                <w:lang w:val="hr-HR"/>
              </w:rPr>
              <w:t xml:space="preserve"> razlika</w:t>
            </w:r>
            <w:r w:rsidR="0063609C" w:rsidRPr="00CD3A2D">
              <w:rPr>
                <w:rFonts w:ascii="Calibri" w:hAnsi="Calibri" w:cs="Calibri"/>
                <w:color w:val="000000"/>
                <w:sz w:val="19"/>
                <w:szCs w:val="19"/>
                <w:lang w:val="hr-HR"/>
              </w:rPr>
              <w:t xml:space="preserve"> po rezerviranjima za očekivane gubitke</w:t>
            </w:r>
          </w:p>
        </w:tc>
        <w:tc>
          <w:tcPr>
            <w:tcW w:w="1102"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(553)</w:t>
            </w:r>
          </w:p>
        </w:tc>
        <w:tc>
          <w:tcPr>
            <w:tcW w:w="1102"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(272)</w:t>
            </w:r>
          </w:p>
        </w:tc>
        <w:tc>
          <w:tcPr>
            <w:tcW w:w="1103"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(139)</w:t>
            </w:r>
          </w:p>
        </w:tc>
        <w:tc>
          <w:tcPr>
            <w:tcW w:w="1102"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02" w:type="dxa"/>
            <w:gridSpan w:val="2"/>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(964)</w:t>
            </w:r>
          </w:p>
        </w:tc>
        <w:tc>
          <w:tcPr>
            <w:tcW w:w="1103" w:type="dxa"/>
            <w:tcBorders>
              <w:top w:val="nil"/>
              <w:left w:val="nil"/>
              <w:bottom w:val="single" w:sz="8" w:space="0" w:color="auto"/>
              <w:right w:val="nil"/>
            </w:tcBorders>
            <w:shd w:val="clear" w:color="auto" w:fill="auto"/>
            <w:vAlign w:val="bottom"/>
          </w:tcPr>
          <w:p w:rsidR="006303BA" w:rsidRPr="00CD3A2D" w:rsidRDefault="006303BA">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(1.438)</w:t>
            </w:r>
          </w:p>
        </w:tc>
      </w:tr>
      <w:tr w:rsidR="006303BA" w:rsidRPr="001567C8" w:rsidTr="003C6BA3">
        <w:trPr>
          <w:trHeight w:val="172"/>
        </w:trPr>
        <w:tc>
          <w:tcPr>
            <w:tcW w:w="3828" w:type="dxa"/>
            <w:tcBorders>
              <w:top w:val="nil"/>
              <w:left w:val="nil"/>
              <w:bottom w:val="nil"/>
              <w:right w:val="nil"/>
            </w:tcBorders>
            <w:shd w:val="clear" w:color="auto" w:fill="auto"/>
            <w:vAlign w:val="bottom"/>
            <w:hideMark/>
          </w:tcPr>
          <w:p w:rsidR="006303BA" w:rsidRPr="00CD3A2D" w:rsidRDefault="006303BA" w:rsidP="008751BC">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Stanje 31. prosinca 2018. godine </w:t>
            </w:r>
          </w:p>
        </w:tc>
        <w:tc>
          <w:tcPr>
            <w:tcW w:w="1102"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73.943 </w:t>
            </w:r>
          </w:p>
        </w:tc>
        <w:tc>
          <w:tcPr>
            <w:tcW w:w="1102"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24.609 </w:t>
            </w:r>
          </w:p>
        </w:tc>
        <w:tc>
          <w:tcPr>
            <w:tcW w:w="1103"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18.602 </w:t>
            </w:r>
          </w:p>
        </w:tc>
        <w:tc>
          <w:tcPr>
            <w:tcW w:w="1102"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 </w:t>
            </w:r>
          </w:p>
        </w:tc>
        <w:tc>
          <w:tcPr>
            <w:tcW w:w="1102" w:type="dxa"/>
            <w:gridSpan w:val="2"/>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117.154 </w:t>
            </w:r>
          </w:p>
        </w:tc>
        <w:tc>
          <w:tcPr>
            <w:tcW w:w="1103" w:type="dxa"/>
            <w:tcBorders>
              <w:top w:val="nil"/>
              <w:left w:val="nil"/>
              <w:bottom w:val="single" w:sz="12" w:space="0" w:color="auto"/>
              <w:right w:val="nil"/>
            </w:tcBorders>
            <w:shd w:val="clear" w:color="auto" w:fill="auto"/>
            <w:vAlign w:val="bottom"/>
          </w:tcPr>
          <w:p w:rsidR="006303BA" w:rsidRPr="00CD3A2D" w:rsidRDefault="006303BA"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237.926 </w:t>
            </w:r>
          </w:p>
        </w:tc>
      </w:tr>
    </w:tbl>
    <w:p w:rsidR="00E1097B" w:rsidRPr="001567C8" w:rsidRDefault="00E1097B" w:rsidP="002911A6">
      <w:pPr>
        <w:pStyle w:val="T1"/>
        <w:spacing w:before="0" w:after="0" w:line="240" w:lineRule="auto"/>
        <w:rPr>
          <w:rFonts w:asciiTheme="minorHAnsi" w:hAnsiTheme="minorHAnsi" w:cs="Arial"/>
          <w:sz w:val="22"/>
          <w:szCs w:val="22"/>
          <w:lang w:val="hr-HR"/>
        </w:rPr>
      </w:pPr>
    </w:p>
    <w:p w:rsidR="00E16FDD" w:rsidRPr="00CD3A2D" w:rsidRDefault="00E16FDD" w:rsidP="00E16FDD">
      <w:pPr>
        <w:jc w:val="both"/>
        <w:rPr>
          <w:rFonts w:ascii="Calibri" w:hAnsi="Calibri" w:cs="Calibri"/>
          <w:b/>
          <w:bCs/>
          <w:color w:val="000000"/>
          <w:sz w:val="22"/>
          <w:szCs w:val="22"/>
          <w:lang w:val="hr-HR"/>
        </w:rPr>
      </w:pPr>
      <w:r w:rsidRPr="00CD3A2D">
        <w:rPr>
          <w:rFonts w:ascii="Calibri" w:hAnsi="Calibri" w:cs="Calibri"/>
          <w:b/>
          <w:bCs/>
          <w:color w:val="000000"/>
          <w:sz w:val="22"/>
          <w:szCs w:val="22"/>
          <w:lang w:val="hr-HR"/>
        </w:rPr>
        <w:t>Krediti ostalim korisnicima</w:t>
      </w:r>
    </w:p>
    <w:p w:rsidR="00E1097B" w:rsidRPr="001567C8" w:rsidRDefault="00E1097B" w:rsidP="002911A6">
      <w:pPr>
        <w:pStyle w:val="T1"/>
        <w:spacing w:before="0" w:after="0" w:line="240" w:lineRule="auto"/>
        <w:rPr>
          <w:rFonts w:asciiTheme="minorHAnsi" w:hAnsiTheme="minorHAnsi" w:cs="Arial"/>
          <w:sz w:val="22"/>
          <w:szCs w:val="22"/>
          <w:lang w:val="hr-HR"/>
        </w:rPr>
      </w:pPr>
    </w:p>
    <w:tbl>
      <w:tblPr>
        <w:tblW w:w="10490" w:type="dxa"/>
        <w:tblInd w:w="-567" w:type="dxa"/>
        <w:tblLayout w:type="fixed"/>
        <w:tblLook w:val="04A0" w:firstRow="1" w:lastRow="0" w:firstColumn="1" w:lastColumn="0" w:noHBand="0" w:noVBand="1"/>
      </w:tblPr>
      <w:tblGrid>
        <w:gridCol w:w="3827"/>
        <w:gridCol w:w="1110"/>
        <w:gridCol w:w="1111"/>
        <w:gridCol w:w="1110"/>
        <w:gridCol w:w="1111"/>
        <w:gridCol w:w="1087"/>
        <w:gridCol w:w="23"/>
        <w:gridCol w:w="1111"/>
      </w:tblGrid>
      <w:tr w:rsidR="00BD55E1" w:rsidRPr="001567C8" w:rsidTr="003C6BA3">
        <w:trPr>
          <w:trHeight w:val="163"/>
        </w:trPr>
        <w:tc>
          <w:tcPr>
            <w:tcW w:w="3827" w:type="dxa"/>
            <w:tcBorders>
              <w:top w:val="nil"/>
              <w:left w:val="nil"/>
              <w:bottom w:val="nil"/>
              <w:right w:val="nil"/>
            </w:tcBorders>
            <w:shd w:val="clear" w:color="auto" w:fill="auto"/>
            <w:vAlign w:val="center"/>
          </w:tcPr>
          <w:p w:rsidR="00BD55E1" w:rsidRPr="00CD3A2D" w:rsidRDefault="00BD55E1" w:rsidP="00BD55E1">
            <w:pPr>
              <w:rPr>
                <w:rFonts w:ascii="Calibri" w:hAnsi="Calibri" w:cs="Calibri"/>
                <w:b/>
                <w:bCs/>
                <w:color w:val="000000"/>
                <w:sz w:val="19"/>
                <w:szCs w:val="19"/>
                <w:lang w:val="hr-HR"/>
              </w:rPr>
            </w:pPr>
            <w:r w:rsidRPr="00CD3A2D">
              <w:rPr>
                <w:rFonts w:ascii="Calibri" w:hAnsi="Calibri" w:cs="Calibri"/>
                <w:b/>
                <w:bCs/>
                <w:sz w:val="19"/>
                <w:szCs w:val="19"/>
                <w:lang w:val="hr-HR"/>
              </w:rPr>
              <w:t>Grupa</w:t>
            </w:r>
          </w:p>
        </w:tc>
        <w:tc>
          <w:tcPr>
            <w:tcW w:w="5529" w:type="dxa"/>
            <w:gridSpan w:val="5"/>
            <w:tcBorders>
              <w:top w:val="nil"/>
              <w:left w:val="nil"/>
              <w:bottom w:val="nil"/>
              <w:right w:val="nil"/>
            </w:tcBorders>
            <w:shd w:val="clear" w:color="auto" w:fill="auto"/>
            <w:vAlign w:val="center"/>
          </w:tcPr>
          <w:p w:rsidR="00BD55E1" w:rsidRPr="00CD3A2D" w:rsidRDefault="00BD55E1" w:rsidP="00BD55E1">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2018.</w:t>
            </w:r>
          </w:p>
        </w:tc>
        <w:tc>
          <w:tcPr>
            <w:tcW w:w="1134" w:type="dxa"/>
            <w:gridSpan w:val="2"/>
            <w:tcBorders>
              <w:top w:val="nil"/>
              <w:left w:val="nil"/>
              <w:bottom w:val="nil"/>
              <w:right w:val="nil"/>
            </w:tcBorders>
            <w:shd w:val="clear" w:color="auto" w:fill="auto"/>
            <w:vAlign w:val="center"/>
          </w:tcPr>
          <w:p w:rsidR="00BD55E1" w:rsidRPr="00CD3A2D" w:rsidRDefault="00BD55E1" w:rsidP="00BD55E1">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2017.</w:t>
            </w:r>
          </w:p>
        </w:tc>
      </w:tr>
      <w:tr w:rsidR="00ED7D08" w:rsidRPr="001567C8" w:rsidTr="003C6BA3">
        <w:trPr>
          <w:trHeight w:val="163"/>
        </w:trPr>
        <w:tc>
          <w:tcPr>
            <w:tcW w:w="3827"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p>
        </w:tc>
        <w:tc>
          <w:tcPr>
            <w:tcW w:w="1110"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1111"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1110"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1111"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POCI</w:t>
            </w:r>
          </w:p>
        </w:tc>
        <w:tc>
          <w:tcPr>
            <w:tcW w:w="1110" w:type="dxa"/>
            <w:gridSpan w:val="2"/>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1111"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6B1659" w:rsidRPr="001567C8" w:rsidTr="003C6BA3">
        <w:trPr>
          <w:trHeight w:val="163"/>
        </w:trPr>
        <w:tc>
          <w:tcPr>
            <w:tcW w:w="3827"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p>
        </w:tc>
        <w:tc>
          <w:tcPr>
            <w:tcW w:w="1110"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1"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0"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1"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0" w:type="dxa"/>
            <w:gridSpan w:val="2"/>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1"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ED7D08" w:rsidRPr="001567C8" w:rsidTr="003C6BA3">
        <w:trPr>
          <w:trHeight w:val="163"/>
        </w:trPr>
        <w:tc>
          <w:tcPr>
            <w:tcW w:w="3827"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110"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111"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110"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111"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110" w:type="dxa"/>
            <w:gridSpan w:val="2"/>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111"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r>
      <w:tr w:rsidR="00ED7D08" w:rsidRPr="001567C8" w:rsidTr="003C6BA3">
        <w:trPr>
          <w:trHeight w:val="163"/>
        </w:trPr>
        <w:tc>
          <w:tcPr>
            <w:tcW w:w="3827" w:type="dxa"/>
            <w:tcBorders>
              <w:top w:val="nil"/>
              <w:left w:val="nil"/>
              <w:bottom w:val="nil"/>
              <w:right w:val="nil"/>
            </w:tcBorders>
            <w:shd w:val="clear" w:color="auto" w:fill="auto"/>
            <w:vAlign w:val="center"/>
            <w:hideMark/>
          </w:tcPr>
          <w:p w:rsidR="006303BA" w:rsidRPr="00CD3A2D" w:rsidRDefault="006303BA" w:rsidP="006303BA">
            <w:pPr>
              <w:rPr>
                <w:rFonts w:ascii="Calibri" w:hAnsi="Calibri" w:cs="Calibri"/>
                <w:color w:val="000000"/>
                <w:sz w:val="19"/>
                <w:szCs w:val="19"/>
                <w:lang w:val="hr-HR"/>
              </w:rPr>
            </w:pPr>
            <w:r w:rsidRPr="00CD3A2D">
              <w:rPr>
                <w:rFonts w:ascii="Calibri" w:hAnsi="Calibri" w:cs="Calibri"/>
                <w:color w:val="000000"/>
                <w:sz w:val="19"/>
                <w:szCs w:val="19"/>
                <w:lang w:val="hr-HR"/>
              </w:rPr>
              <w:t>Stanje 1. siječnja 2018. godine</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381.600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452.780 </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2.758.825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3.593.205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2.579.501 </w:t>
            </w:r>
          </w:p>
        </w:tc>
      </w:tr>
      <w:tr w:rsidR="00ED7D08" w:rsidRPr="001567C8" w:rsidTr="003C6BA3">
        <w:trPr>
          <w:trHeight w:val="163"/>
        </w:trPr>
        <w:tc>
          <w:tcPr>
            <w:tcW w:w="3827" w:type="dxa"/>
            <w:tcBorders>
              <w:top w:val="nil"/>
              <w:left w:val="nil"/>
              <w:bottom w:val="nil"/>
              <w:right w:val="nil"/>
            </w:tcBorders>
            <w:shd w:val="clear" w:color="auto" w:fill="auto"/>
            <w:vAlign w:val="center"/>
            <w:hideMark/>
          </w:tcPr>
          <w:p w:rsidR="006303BA" w:rsidRPr="00CD3A2D" w:rsidRDefault="008A260B" w:rsidP="006303BA">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6303BA" w:rsidRPr="00CD3A2D">
              <w:rPr>
                <w:rFonts w:ascii="Calibri" w:hAnsi="Calibri" w:cs="Calibri"/>
                <w:color w:val="000000"/>
                <w:sz w:val="19"/>
                <w:szCs w:val="19"/>
                <w:lang w:val="hr-HR"/>
              </w:rPr>
              <w:t xml:space="preserve"> u Stupanj 1</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22.243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(21.969)</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(274)</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3C6BA3">
        <w:trPr>
          <w:trHeight w:val="163"/>
        </w:trPr>
        <w:tc>
          <w:tcPr>
            <w:tcW w:w="3827" w:type="dxa"/>
            <w:tcBorders>
              <w:top w:val="nil"/>
              <w:left w:val="nil"/>
              <w:bottom w:val="nil"/>
              <w:right w:val="nil"/>
            </w:tcBorders>
            <w:shd w:val="clear" w:color="auto" w:fill="auto"/>
            <w:vAlign w:val="center"/>
            <w:hideMark/>
          </w:tcPr>
          <w:p w:rsidR="006303BA" w:rsidRPr="00CD3A2D" w:rsidRDefault="008A260B" w:rsidP="006303BA">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6303BA" w:rsidRPr="00CD3A2D">
              <w:rPr>
                <w:rFonts w:ascii="Calibri" w:hAnsi="Calibri" w:cs="Calibri"/>
                <w:color w:val="000000"/>
                <w:sz w:val="19"/>
                <w:szCs w:val="19"/>
                <w:lang w:val="hr-HR"/>
              </w:rPr>
              <w:t xml:space="preserve"> u Stupanj 2</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(379.180)</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382.723 </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(3.543)</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3C6BA3">
        <w:trPr>
          <w:trHeight w:val="163"/>
        </w:trPr>
        <w:tc>
          <w:tcPr>
            <w:tcW w:w="3827" w:type="dxa"/>
            <w:tcBorders>
              <w:top w:val="nil"/>
              <w:left w:val="nil"/>
              <w:bottom w:val="nil"/>
              <w:right w:val="nil"/>
            </w:tcBorders>
            <w:shd w:val="clear" w:color="auto" w:fill="auto"/>
            <w:vAlign w:val="center"/>
            <w:hideMark/>
          </w:tcPr>
          <w:p w:rsidR="006303BA" w:rsidRPr="00CD3A2D" w:rsidRDefault="008A260B" w:rsidP="006303BA">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6303BA" w:rsidRPr="00CD3A2D">
              <w:rPr>
                <w:rFonts w:ascii="Calibri" w:hAnsi="Calibri" w:cs="Calibri"/>
                <w:color w:val="000000"/>
                <w:sz w:val="19"/>
                <w:szCs w:val="19"/>
                <w:lang w:val="hr-HR"/>
              </w:rPr>
              <w:t xml:space="preserve"> u Stupanj 3</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(39.281)</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(82.634)</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121.915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3C6BA3">
        <w:trPr>
          <w:trHeight w:val="203"/>
        </w:trPr>
        <w:tc>
          <w:tcPr>
            <w:tcW w:w="3827" w:type="dxa"/>
            <w:tcBorders>
              <w:top w:val="nil"/>
              <w:left w:val="nil"/>
              <w:bottom w:val="nil"/>
              <w:right w:val="nil"/>
            </w:tcBorders>
            <w:shd w:val="clear" w:color="auto" w:fill="auto"/>
            <w:vAlign w:val="center"/>
            <w:hideMark/>
          </w:tcPr>
          <w:p w:rsidR="006303BA" w:rsidRPr="00CD3A2D" w:rsidRDefault="006303BA" w:rsidP="006303BA">
            <w:pPr>
              <w:rPr>
                <w:rFonts w:ascii="Calibri" w:hAnsi="Calibri" w:cs="Calibri"/>
                <w:color w:val="000000"/>
                <w:sz w:val="19"/>
                <w:szCs w:val="19"/>
                <w:lang w:val="hr-HR"/>
              </w:rPr>
            </w:pPr>
            <w:r w:rsidRPr="00CD3A2D">
              <w:rPr>
                <w:rFonts w:ascii="Calibri" w:hAnsi="Calibri" w:cs="Calibri"/>
                <w:color w:val="000000"/>
                <w:sz w:val="19"/>
                <w:szCs w:val="19"/>
                <w:lang w:val="hr-HR"/>
              </w:rPr>
              <w:t xml:space="preserve">Povećanje rezerviranja za očekivane gubitke </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211.75</w:t>
            </w:r>
            <w:r w:rsidR="0053190A" w:rsidRPr="00CD3A2D">
              <w:rPr>
                <w:rFonts w:asciiTheme="minorHAnsi" w:hAnsiTheme="minorHAnsi" w:cstheme="minorHAnsi"/>
                <w:sz w:val="19"/>
                <w:szCs w:val="19"/>
                <w:lang w:val="hr-HR"/>
              </w:rPr>
              <w:t>6</w:t>
            </w:r>
            <w:r w:rsidRPr="00CD3A2D">
              <w:rPr>
                <w:rFonts w:asciiTheme="minorHAnsi" w:hAnsiTheme="minorHAnsi" w:cstheme="minorHAnsi"/>
                <w:sz w:val="19"/>
                <w:szCs w:val="19"/>
                <w:lang w:val="hr-HR"/>
              </w:rPr>
              <w:t xml:space="preserve">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416.830 </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415.807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93.000 </w:t>
            </w:r>
          </w:p>
        </w:tc>
        <w:tc>
          <w:tcPr>
            <w:tcW w:w="1110" w:type="dxa"/>
            <w:gridSpan w:val="2"/>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1.137.39</w:t>
            </w:r>
            <w:r w:rsidR="0053190A" w:rsidRPr="00CD3A2D">
              <w:rPr>
                <w:rFonts w:asciiTheme="minorHAnsi" w:hAnsiTheme="minorHAnsi" w:cstheme="minorHAnsi"/>
                <w:sz w:val="19"/>
                <w:szCs w:val="19"/>
                <w:lang w:val="hr-HR"/>
              </w:rPr>
              <w:t>3</w:t>
            </w:r>
            <w:r w:rsidRPr="00CD3A2D">
              <w:rPr>
                <w:rFonts w:asciiTheme="minorHAnsi" w:hAnsiTheme="minorHAnsi" w:cstheme="minorHAnsi"/>
                <w:sz w:val="19"/>
                <w:szCs w:val="19"/>
                <w:lang w:val="hr-HR"/>
              </w:rPr>
              <w:t xml:space="preserve"> </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553.952 </w:t>
            </w:r>
          </w:p>
        </w:tc>
      </w:tr>
      <w:tr w:rsidR="00ED7D08" w:rsidRPr="001567C8" w:rsidTr="003C6BA3">
        <w:trPr>
          <w:trHeight w:val="183"/>
        </w:trPr>
        <w:tc>
          <w:tcPr>
            <w:tcW w:w="3827" w:type="dxa"/>
            <w:tcBorders>
              <w:top w:val="nil"/>
              <w:left w:val="nil"/>
              <w:bottom w:val="nil"/>
              <w:right w:val="nil"/>
            </w:tcBorders>
            <w:shd w:val="clear" w:color="auto" w:fill="auto"/>
            <w:vAlign w:val="bottom"/>
            <w:hideMark/>
          </w:tcPr>
          <w:p w:rsidR="006303BA" w:rsidRPr="00CD3A2D" w:rsidRDefault="006303BA">
            <w:pPr>
              <w:rPr>
                <w:rFonts w:ascii="Calibri" w:hAnsi="Calibri" w:cs="Calibri"/>
                <w:color w:val="000000"/>
                <w:sz w:val="19"/>
                <w:szCs w:val="19"/>
                <w:lang w:val="hr-HR"/>
              </w:rPr>
            </w:pPr>
            <w:r w:rsidRPr="00CD3A2D">
              <w:rPr>
                <w:rFonts w:ascii="Calibri" w:hAnsi="Calibri" w:cs="Calibri"/>
                <w:color w:val="000000"/>
                <w:sz w:val="19"/>
                <w:szCs w:val="19"/>
                <w:lang w:val="hr-HR"/>
              </w:rPr>
              <w:t xml:space="preserve">Smanjenje rezerviranja za očekivane gubitke </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(445.286)</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(104.673)</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(714.</w:t>
            </w:r>
            <w:r w:rsidR="00DB4B98" w:rsidRPr="00CD3A2D">
              <w:rPr>
                <w:rFonts w:ascii="Calibri" w:hAnsi="Calibri" w:cs="Calibri"/>
                <w:color w:val="000000"/>
                <w:sz w:val="19"/>
                <w:szCs w:val="19"/>
                <w:lang w:val="hr-HR"/>
              </w:rPr>
              <w:t>670</w:t>
            </w:r>
            <w:r w:rsidRPr="00CD3A2D">
              <w:rPr>
                <w:rFonts w:ascii="Calibri" w:hAnsi="Calibri" w:cs="Calibri"/>
                <w:color w:val="000000"/>
                <w:sz w:val="19"/>
                <w:szCs w:val="19"/>
                <w:lang w:val="hr-HR"/>
              </w:rPr>
              <w:t>)</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Calibri" w:hAnsi="Calibri" w:cs="Calibri"/>
                <w:color w:val="000000"/>
                <w:sz w:val="19"/>
                <w:szCs w:val="19"/>
                <w:lang w:val="hr-HR"/>
              </w:rPr>
            </w:pPr>
            <w:r w:rsidRPr="00CD3A2D">
              <w:rPr>
                <w:rFonts w:ascii="Calibri" w:hAnsi="Calibri" w:cs="Calibri"/>
                <w:color w:val="000000"/>
                <w:sz w:val="19"/>
                <w:szCs w:val="19"/>
                <w:lang w:val="hr-HR"/>
              </w:rPr>
              <w:t>(83.925)</w:t>
            </w:r>
          </w:p>
        </w:tc>
        <w:tc>
          <w:tcPr>
            <w:tcW w:w="1110" w:type="dxa"/>
            <w:gridSpan w:val="2"/>
            <w:tcBorders>
              <w:top w:val="nil"/>
              <w:left w:val="nil"/>
              <w:bottom w:val="nil"/>
              <w:right w:val="nil"/>
            </w:tcBorders>
            <w:shd w:val="clear" w:color="auto" w:fill="auto"/>
            <w:vAlign w:val="bottom"/>
          </w:tcPr>
          <w:p w:rsidR="006303BA" w:rsidRPr="00CD3A2D" w:rsidRDefault="006303BA" w:rsidP="00BD55E1">
            <w:pPr>
              <w:jc w:val="right"/>
              <w:rPr>
                <w:rFonts w:ascii="Calibri" w:hAnsi="Calibri" w:cs="Calibri"/>
                <w:color w:val="000000"/>
                <w:sz w:val="19"/>
                <w:szCs w:val="19"/>
                <w:lang w:val="hr-HR"/>
              </w:rPr>
            </w:pPr>
            <w:r w:rsidRPr="00CD3A2D">
              <w:rPr>
                <w:rFonts w:ascii="Calibri" w:hAnsi="Calibri" w:cs="Calibri"/>
                <w:color w:val="000000"/>
                <w:sz w:val="19"/>
                <w:szCs w:val="19"/>
                <w:lang w:val="hr-HR"/>
              </w:rPr>
              <w:t>(1.348.</w:t>
            </w:r>
            <w:r w:rsidR="00A6453C" w:rsidRPr="00CD3A2D">
              <w:rPr>
                <w:rFonts w:ascii="Calibri" w:hAnsi="Calibri" w:cs="Calibri"/>
                <w:color w:val="000000"/>
                <w:sz w:val="19"/>
                <w:szCs w:val="19"/>
                <w:lang w:val="hr-HR"/>
              </w:rPr>
              <w:t>554</w:t>
            </w:r>
            <w:r w:rsidRPr="00CD3A2D">
              <w:rPr>
                <w:rFonts w:ascii="Calibri" w:hAnsi="Calibri" w:cs="Calibri"/>
                <w:color w:val="000000"/>
                <w:sz w:val="19"/>
                <w:szCs w:val="19"/>
                <w:lang w:val="hr-HR"/>
              </w:rPr>
              <w:t>)</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(21</w:t>
            </w:r>
            <w:r w:rsidR="00DB4B98" w:rsidRPr="00CD3A2D">
              <w:rPr>
                <w:rFonts w:ascii="Calibri" w:hAnsi="Calibri" w:cs="Calibri"/>
                <w:color w:val="000000"/>
                <w:sz w:val="19"/>
                <w:szCs w:val="19"/>
                <w:lang w:val="hr-HR"/>
              </w:rPr>
              <w:t>6</w:t>
            </w:r>
            <w:r w:rsidRPr="00CD3A2D">
              <w:rPr>
                <w:rFonts w:ascii="Calibri" w:hAnsi="Calibri" w:cs="Calibri"/>
                <w:color w:val="000000"/>
                <w:sz w:val="19"/>
                <w:szCs w:val="19"/>
                <w:lang w:val="hr-HR"/>
              </w:rPr>
              <w:t>.</w:t>
            </w:r>
            <w:r w:rsidR="00DB4B98" w:rsidRPr="00CD3A2D">
              <w:rPr>
                <w:rFonts w:ascii="Calibri" w:hAnsi="Calibri" w:cs="Calibri"/>
                <w:color w:val="000000"/>
                <w:sz w:val="19"/>
                <w:szCs w:val="19"/>
                <w:lang w:val="hr-HR"/>
              </w:rPr>
              <w:t>064</w:t>
            </w:r>
            <w:r w:rsidRPr="00CD3A2D">
              <w:rPr>
                <w:rFonts w:ascii="Calibri" w:hAnsi="Calibri" w:cs="Calibri"/>
                <w:color w:val="000000"/>
                <w:sz w:val="19"/>
                <w:szCs w:val="19"/>
                <w:lang w:val="hr-HR"/>
              </w:rPr>
              <w:t>)</w:t>
            </w:r>
          </w:p>
        </w:tc>
      </w:tr>
      <w:tr w:rsidR="00ED7D08" w:rsidRPr="001567C8" w:rsidTr="003C6BA3">
        <w:trPr>
          <w:trHeight w:val="234"/>
        </w:trPr>
        <w:tc>
          <w:tcPr>
            <w:tcW w:w="3827" w:type="dxa"/>
            <w:tcBorders>
              <w:top w:val="nil"/>
              <w:left w:val="nil"/>
              <w:bottom w:val="nil"/>
              <w:right w:val="nil"/>
            </w:tcBorders>
            <w:shd w:val="clear" w:color="auto" w:fill="auto"/>
          </w:tcPr>
          <w:p w:rsidR="006303BA" w:rsidRPr="00CD3A2D" w:rsidRDefault="00A6453C" w:rsidP="006303BA">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Otpis</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w:t>
            </w:r>
            <w:r w:rsidR="0053190A" w:rsidRPr="00CD3A2D">
              <w:rPr>
                <w:rFonts w:asciiTheme="minorHAnsi" w:hAnsiTheme="minorHAnsi" w:cstheme="minorHAnsi"/>
                <w:sz w:val="19"/>
                <w:szCs w:val="19"/>
                <w:lang w:val="hr-HR"/>
              </w:rPr>
              <w:t>2</w:t>
            </w: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(42.028)</w:t>
            </w:r>
          </w:p>
        </w:tc>
        <w:tc>
          <w:tcPr>
            <w:tcW w:w="1111" w:type="dxa"/>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(1.228)</w:t>
            </w:r>
          </w:p>
        </w:tc>
        <w:tc>
          <w:tcPr>
            <w:tcW w:w="1110" w:type="dxa"/>
            <w:gridSpan w:val="2"/>
            <w:tcBorders>
              <w:top w:val="nil"/>
              <w:left w:val="nil"/>
              <w:bottom w:val="nil"/>
              <w:right w:val="nil"/>
            </w:tcBorders>
            <w:shd w:val="clear" w:color="auto" w:fill="auto"/>
            <w:vAlign w:val="bottom"/>
          </w:tcPr>
          <w:p w:rsidR="006303BA" w:rsidRPr="00CD3A2D" w:rsidRDefault="006303BA"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(43.25</w:t>
            </w:r>
            <w:r w:rsidR="0053190A" w:rsidRPr="00CD3A2D">
              <w:rPr>
                <w:rFonts w:asciiTheme="minorHAnsi" w:hAnsiTheme="minorHAnsi" w:cstheme="minorHAnsi"/>
                <w:sz w:val="19"/>
                <w:szCs w:val="19"/>
                <w:lang w:val="hr-HR"/>
              </w:rPr>
              <w:t>8</w:t>
            </w: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6303BA" w:rsidRPr="00CD3A2D" w:rsidRDefault="00D64A2E" w:rsidP="00BD55E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(7.610)</w:t>
            </w:r>
            <w:r w:rsidR="006303BA" w:rsidRPr="00CD3A2D">
              <w:rPr>
                <w:rFonts w:asciiTheme="minorHAnsi" w:hAnsiTheme="minorHAnsi" w:cstheme="minorHAnsi"/>
                <w:sz w:val="19"/>
                <w:szCs w:val="19"/>
                <w:lang w:val="hr-HR"/>
              </w:rPr>
              <w:t xml:space="preserve"> </w:t>
            </w:r>
          </w:p>
        </w:tc>
      </w:tr>
      <w:tr w:rsidR="00A659F2" w:rsidRPr="001567C8" w:rsidTr="003C6BA3">
        <w:trPr>
          <w:trHeight w:val="234"/>
        </w:trPr>
        <w:tc>
          <w:tcPr>
            <w:tcW w:w="3827" w:type="dxa"/>
            <w:tcBorders>
              <w:top w:val="nil"/>
              <w:left w:val="nil"/>
              <w:bottom w:val="nil"/>
              <w:right w:val="nil"/>
            </w:tcBorders>
            <w:shd w:val="clear" w:color="auto" w:fill="auto"/>
          </w:tcPr>
          <w:p w:rsidR="00A659F2" w:rsidRPr="00CD3A2D" w:rsidRDefault="00A6453C" w:rsidP="00A659F2">
            <w:pPr>
              <w:rPr>
                <w:rFonts w:asciiTheme="minorHAnsi" w:hAnsiTheme="minorHAnsi" w:cstheme="minorHAnsi"/>
                <w:sz w:val="19"/>
                <w:szCs w:val="19"/>
                <w:lang w:val="hr-HR"/>
              </w:rPr>
            </w:pPr>
            <w:r w:rsidRPr="00CD3A2D">
              <w:rPr>
                <w:rFonts w:asciiTheme="minorHAnsi" w:hAnsiTheme="minorHAnsi" w:cstheme="minorHAnsi"/>
                <w:sz w:val="19"/>
                <w:szCs w:val="19"/>
                <w:lang w:val="hr-HR"/>
              </w:rPr>
              <w:t>Unwinding - promjena uslijed proteka vremena</w:t>
            </w:r>
          </w:p>
        </w:tc>
        <w:tc>
          <w:tcPr>
            <w:tcW w:w="1110" w:type="dxa"/>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337 </w:t>
            </w:r>
          </w:p>
        </w:tc>
        <w:tc>
          <w:tcPr>
            <w:tcW w:w="1111" w:type="dxa"/>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213 </w:t>
            </w:r>
          </w:p>
        </w:tc>
        <w:tc>
          <w:tcPr>
            <w:tcW w:w="1110" w:type="dxa"/>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51.35</w:t>
            </w:r>
            <w:r w:rsidR="0053190A" w:rsidRPr="00CD3A2D">
              <w:rPr>
                <w:rFonts w:asciiTheme="minorHAnsi" w:hAnsiTheme="minorHAnsi" w:cstheme="minorHAnsi"/>
                <w:sz w:val="19"/>
                <w:szCs w:val="19"/>
                <w:lang w:val="hr-HR"/>
              </w:rPr>
              <w:t>7</w:t>
            </w:r>
            <w:r w:rsidRPr="00CD3A2D">
              <w:rPr>
                <w:rFonts w:asciiTheme="minorHAnsi" w:hAnsiTheme="minorHAnsi" w:cstheme="minorHAnsi"/>
                <w:sz w:val="19"/>
                <w:szCs w:val="19"/>
                <w:lang w:val="hr-HR"/>
              </w:rPr>
              <w:t xml:space="preserve"> </w:t>
            </w:r>
          </w:p>
        </w:tc>
        <w:tc>
          <w:tcPr>
            <w:tcW w:w="1111" w:type="dxa"/>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5.182 </w:t>
            </w:r>
          </w:p>
        </w:tc>
        <w:tc>
          <w:tcPr>
            <w:tcW w:w="1110" w:type="dxa"/>
            <w:gridSpan w:val="2"/>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57.0</w:t>
            </w:r>
            <w:r w:rsidR="0053190A" w:rsidRPr="00CD3A2D">
              <w:rPr>
                <w:rFonts w:asciiTheme="minorHAnsi" w:hAnsiTheme="minorHAnsi" w:cstheme="minorHAnsi"/>
                <w:sz w:val="19"/>
                <w:szCs w:val="19"/>
                <w:lang w:val="hr-HR"/>
              </w:rPr>
              <w:t>89</w:t>
            </w:r>
            <w:r w:rsidRPr="00CD3A2D">
              <w:rPr>
                <w:rFonts w:asciiTheme="minorHAnsi" w:hAnsiTheme="minorHAnsi" w:cstheme="minorHAnsi"/>
                <w:sz w:val="19"/>
                <w:szCs w:val="19"/>
                <w:lang w:val="hr-HR"/>
              </w:rPr>
              <w:t xml:space="preserve"> </w:t>
            </w:r>
          </w:p>
        </w:tc>
        <w:tc>
          <w:tcPr>
            <w:tcW w:w="1111" w:type="dxa"/>
            <w:tcBorders>
              <w:top w:val="nil"/>
              <w:left w:val="nil"/>
              <w:bottom w:val="nil"/>
              <w:right w:val="nil"/>
            </w:tcBorders>
            <w:shd w:val="clear" w:color="auto" w:fill="auto"/>
            <w:vAlign w:val="bottom"/>
          </w:tcPr>
          <w:p w:rsidR="00A659F2" w:rsidRPr="00CD3A2D" w:rsidRDefault="00D64A2E">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r>
      <w:tr w:rsidR="00A659F2" w:rsidRPr="001567C8" w:rsidTr="003C6BA3">
        <w:trPr>
          <w:trHeight w:val="234"/>
        </w:trPr>
        <w:tc>
          <w:tcPr>
            <w:tcW w:w="3827" w:type="dxa"/>
            <w:tcBorders>
              <w:top w:val="nil"/>
              <w:left w:val="nil"/>
              <w:bottom w:val="nil"/>
              <w:right w:val="nil"/>
            </w:tcBorders>
            <w:shd w:val="clear" w:color="auto" w:fill="auto"/>
          </w:tcPr>
          <w:p w:rsidR="00A659F2" w:rsidRPr="00CD3A2D" w:rsidRDefault="00716D22" w:rsidP="00A659F2">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Donos sa/(prijenos na) kredita financijskim institucijama</w:t>
            </w:r>
          </w:p>
        </w:tc>
        <w:tc>
          <w:tcPr>
            <w:tcW w:w="1110" w:type="dxa"/>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 </w:t>
            </w:r>
          </w:p>
        </w:tc>
        <w:tc>
          <w:tcPr>
            <w:tcW w:w="1111" w:type="dxa"/>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24 </w:t>
            </w:r>
          </w:p>
        </w:tc>
        <w:tc>
          <w:tcPr>
            <w:tcW w:w="1110" w:type="dxa"/>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1" w:type="dxa"/>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 </w:t>
            </w:r>
          </w:p>
        </w:tc>
        <w:tc>
          <w:tcPr>
            <w:tcW w:w="1111" w:type="dxa"/>
            <w:tcBorders>
              <w:top w:val="nil"/>
              <w:left w:val="nil"/>
              <w:bottom w:val="nil"/>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(998)</w:t>
            </w:r>
          </w:p>
        </w:tc>
      </w:tr>
      <w:tr w:rsidR="00DB4B98" w:rsidRPr="001567C8" w:rsidTr="003C6BA3">
        <w:trPr>
          <w:trHeight w:val="234"/>
        </w:trPr>
        <w:tc>
          <w:tcPr>
            <w:tcW w:w="3827" w:type="dxa"/>
            <w:tcBorders>
              <w:top w:val="nil"/>
              <w:left w:val="nil"/>
              <w:bottom w:val="nil"/>
              <w:right w:val="nil"/>
            </w:tcBorders>
            <w:shd w:val="clear" w:color="auto" w:fill="auto"/>
          </w:tcPr>
          <w:p w:rsidR="00DB4B98" w:rsidRPr="00CD3A2D" w:rsidRDefault="00DB4B98" w:rsidP="00A659F2">
            <w:pPr>
              <w:rPr>
                <w:rFonts w:asciiTheme="minorHAnsi" w:hAnsiTheme="minorHAnsi" w:cstheme="minorHAnsi"/>
                <w:sz w:val="19"/>
                <w:szCs w:val="19"/>
                <w:lang w:val="hr-HR"/>
              </w:rPr>
            </w:pPr>
            <w:r w:rsidRPr="00CD3A2D">
              <w:rPr>
                <w:rFonts w:asciiTheme="minorHAnsi" w:hAnsiTheme="minorHAnsi" w:cstheme="minorHAnsi"/>
                <w:sz w:val="19"/>
                <w:szCs w:val="19"/>
                <w:lang w:val="hr-HR"/>
              </w:rPr>
              <w:t>Preuzimanje nekretnine</w:t>
            </w:r>
          </w:p>
        </w:tc>
        <w:tc>
          <w:tcPr>
            <w:tcW w:w="1110"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(5)</w:t>
            </w:r>
          </w:p>
        </w:tc>
        <w:tc>
          <w:tcPr>
            <w:tcW w:w="1111"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(984)</w:t>
            </w:r>
          </w:p>
        </w:tc>
        <w:tc>
          <w:tcPr>
            <w:tcW w:w="1111"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gridSpan w:val="2"/>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(989)</w:t>
            </w:r>
          </w:p>
        </w:tc>
        <w:tc>
          <w:tcPr>
            <w:tcW w:w="1111"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(284)</w:t>
            </w:r>
          </w:p>
        </w:tc>
      </w:tr>
      <w:tr w:rsidR="00DB4B98" w:rsidRPr="001567C8" w:rsidTr="003C6BA3">
        <w:trPr>
          <w:trHeight w:val="234"/>
        </w:trPr>
        <w:tc>
          <w:tcPr>
            <w:tcW w:w="3827" w:type="dxa"/>
            <w:tcBorders>
              <w:top w:val="nil"/>
              <w:left w:val="nil"/>
              <w:bottom w:val="nil"/>
              <w:right w:val="nil"/>
            </w:tcBorders>
            <w:shd w:val="clear" w:color="auto" w:fill="auto"/>
          </w:tcPr>
          <w:p w:rsidR="00DB4B98" w:rsidRPr="00CD3A2D" w:rsidRDefault="00DB4B98" w:rsidP="00A659F2">
            <w:pPr>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Vraćanje isključenih kamata u </w:t>
            </w:r>
            <w:r w:rsidR="003119F2" w:rsidRPr="001567C8">
              <w:rPr>
                <w:rFonts w:asciiTheme="minorHAnsi" w:hAnsiTheme="minorHAnsi" w:cstheme="minorHAnsi"/>
                <w:sz w:val="19"/>
                <w:szCs w:val="19"/>
                <w:lang w:val="hr-HR"/>
              </w:rPr>
              <w:t>bilancu</w:t>
            </w:r>
          </w:p>
        </w:tc>
        <w:tc>
          <w:tcPr>
            <w:tcW w:w="1110"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496</w:t>
            </w:r>
          </w:p>
        </w:tc>
        <w:tc>
          <w:tcPr>
            <w:tcW w:w="1111"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gridSpan w:val="2"/>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496</w:t>
            </w:r>
          </w:p>
        </w:tc>
        <w:tc>
          <w:tcPr>
            <w:tcW w:w="1111"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r>
      <w:tr w:rsidR="00DB4B98" w:rsidRPr="001567C8" w:rsidTr="003C6BA3">
        <w:trPr>
          <w:trHeight w:val="234"/>
        </w:trPr>
        <w:tc>
          <w:tcPr>
            <w:tcW w:w="3827" w:type="dxa"/>
            <w:tcBorders>
              <w:top w:val="nil"/>
              <w:left w:val="nil"/>
              <w:bottom w:val="nil"/>
              <w:right w:val="nil"/>
            </w:tcBorders>
            <w:shd w:val="clear" w:color="auto" w:fill="auto"/>
          </w:tcPr>
          <w:p w:rsidR="00DB4B98" w:rsidRPr="00CD3A2D" w:rsidRDefault="00DB4B98" w:rsidP="00A659F2">
            <w:pPr>
              <w:rPr>
                <w:rFonts w:asciiTheme="minorHAnsi" w:hAnsiTheme="minorHAnsi" w:cstheme="minorHAnsi"/>
                <w:sz w:val="19"/>
                <w:szCs w:val="19"/>
                <w:lang w:val="hr-HR"/>
              </w:rPr>
            </w:pPr>
            <w:r w:rsidRPr="00CD3A2D">
              <w:rPr>
                <w:rFonts w:asciiTheme="minorHAnsi" w:hAnsiTheme="minorHAnsi" w:cstheme="minorHAnsi"/>
                <w:sz w:val="19"/>
                <w:szCs w:val="19"/>
                <w:lang w:val="hr-HR"/>
              </w:rPr>
              <w:t>Prodaja potraživanja</w:t>
            </w:r>
          </w:p>
        </w:tc>
        <w:tc>
          <w:tcPr>
            <w:tcW w:w="1110"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gridSpan w:val="2"/>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DB4B98" w:rsidRPr="00CD3A2D" w:rsidRDefault="00DB4B9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(31.636)</w:t>
            </w:r>
          </w:p>
        </w:tc>
      </w:tr>
      <w:tr w:rsidR="00A659F2" w:rsidRPr="001567C8" w:rsidTr="003C6BA3">
        <w:trPr>
          <w:trHeight w:val="234"/>
        </w:trPr>
        <w:tc>
          <w:tcPr>
            <w:tcW w:w="3827" w:type="dxa"/>
            <w:tcBorders>
              <w:top w:val="nil"/>
              <w:left w:val="nil"/>
              <w:bottom w:val="nil"/>
              <w:right w:val="nil"/>
            </w:tcBorders>
            <w:shd w:val="clear" w:color="auto" w:fill="auto"/>
          </w:tcPr>
          <w:p w:rsidR="00A659F2" w:rsidRPr="00CD3A2D" w:rsidRDefault="00A659F2" w:rsidP="00A659F2">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Ostalo</w:t>
            </w:r>
          </w:p>
        </w:tc>
        <w:tc>
          <w:tcPr>
            <w:tcW w:w="1110" w:type="dxa"/>
            <w:tcBorders>
              <w:top w:val="nil"/>
              <w:left w:val="nil"/>
              <w:bottom w:val="nil"/>
              <w:right w:val="nil"/>
            </w:tcBorders>
            <w:shd w:val="clear" w:color="auto" w:fill="auto"/>
          </w:tcPr>
          <w:p w:rsidR="00A659F2" w:rsidRPr="00CD3A2D" w:rsidRDefault="00A659F2" w:rsidP="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w:t>
            </w:r>
            <w:r w:rsidR="00DB4B98"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tcPr>
          <w:p w:rsidR="00A659F2" w:rsidRPr="00CD3A2D" w:rsidRDefault="00A659F2" w:rsidP="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tcBorders>
              <w:top w:val="nil"/>
              <w:left w:val="nil"/>
              <w:bottom w:val="nil"/>
              <w:right w:val="nil"/>
            </w:tcBorders>
            <w:shd w:val="clear" w:color="auto" w:fill="auto"/>
          </w:tcPr>
          <w:p w:rsidR="00A659F2" w:rsidRPr="00CD3A2D" w:rsidRDefault="00DB4B98" w:rsidP="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tcPr>
          <w:p w:rsidR="00A659F2" w:rsidRPr="00CD3A2D" w:rsidRDefault="00A659F2" w:rsidP="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tcPr>
          <w:p w:rsidR="00A659F2" w:rsidRPr="00CD3A2D" w:rsidRDefault="00DB4B98" w:rsidP="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tcPr>
          <w:p w:rsidR="00A659F2" w:rsidRPr="00CD3A2D" w:rsidRDefault="00DB4B98" w:rsidP="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2.085</w:t>
            </w:r>
          </w:p>
        </w:tc>
      </w:tr>
      <w:tr w:rsidR="00A659F2" w:rsidRPr="001567C8" w:rsidTr="003C6BA3">
        <w:trPr>
          <w:trHeight w:val="171"/>
        </w:trPr>
        <w:tc>
          <w:tcPr>
            <w:tcW w:w="3827" w:type="dxa"/>
            <w:tcBorders>
              <w:top w:val="nil"/>
              <w:left w:val="nil"/>
              <w:bottom w:val="nil"/>
              <w:right w:val="nil"/>
            </w:tcBorders>
            <w:shd w:val="clear" w:color="auto" w:fill="auto"/>
            <w:vAlign w:val="center"/>
            <w:hideMark/>
          </w:tcPr>
          <w:p w:rsidR="00A659F2" w:rsidRPr="00CD3A2D" w:rsidRDefault="00716D22" w:rsidP="00A659F2">
            <w:pPr>
              <w:rPr>
                <w:rFonts w:ascii="Calibri" w:hAnsi="Calibri" w:cs="Calibri"/>
                <w:color w:val="000000"/>
                <w:sz w:val="19"/>
                <w:szCs w:val="19"/>
                <w:lang w:val="hr-HR"/>
              </w:rPr>
            </w:pPr>
            <w:r w:rsidRPr="00CD3A2D">
              <w:rPr>
                <w:rFonts w:ascii="Calibri" w:hAnsi="Calibri" w:cs="Calibri"/>
                <w:color w:val="000000"/>
                <w:sz w:val="19"/>
                <w:szCs w:val="19"/>
                <w:lang w:val="hr-HR"/>
              </w:rPr>
              <w:t xml:space="preserve">Neto gubitak od </w:t>
            </w:r>
            <w:r w:rsidR="003119F2" w:rsidRPr="001567C8">
              <w:rPr>
                <w:rFonts w:ascii="Calibri" w:hAnsi="Calibri" w:cs="Calibri"/>
                <w:color w:val="000000"/>
                <w:sz w:val="19"/>
                <w:szCs w:val="19"/>
                <w:lang w:val="hr-HR"/>
              </w:rPr>
              <w:t>tečajnih</w:t>
            </w:r>
            <w:r w:rsidRPr="00CD3A2D">
              <w:rPr>
                <w:rFonts w:ascii="Calibri" w:hAnsi="Calibri" w:cs="Calibri"/>
                <w:color w:val="000000"/>
                <w:sz w:val="19"/>
                <w:szCs w:val="19"/>
                <w:lang w:val="hr-HR"/>
              </w:rPr>
              <w:t xml:space="preserve"> razlika</w:t>
            </w:r>
            <w:r w:rsidR="0063609C" w:rsidRPr="00CD3A2D">
              <w:rPr>
                <w:sz w:val="19"/>
                <w:szCs w:val="19"/>
                <w:lang w:val="hr-HR"/>
              </w:rPr>
              <w:t xml:space="preserve"> </w:t>
            </w:r>
            <w:r w:rsidR="0063609C" w:rsidRPr="00CD3A2D">
              <w:rPr>
                <w:rFonts w:ascii="Calibri" w:hAnsi="Calibri" w:cs="Calibri"/>
                <w:color w:val="000000"/>
                <w:sz w:val="19"/>
                <w:szCs w:val="19"/>
                <w:lang w:val="hr-HR"/>
              </w:rPr>
              <w:t>po rezerviranjima za očekivane gubitke</w:t>
            </w:r>
          </w:p>
        </w:tc>
        <w:tc>
          <w:tcPr>
            <w:tcW w:w="1110" w:type="dxa"/>
            <w:tcBorders>
              <w:top w:val="nil"/>
              <w:left w:val="nil"/>
              <w:bottom w:val="single" w:sz="8" w:space="0" w:color="auto"/>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(5.082)</w:t>
            </w:r>
          </w:p>
        </w:tc>
        <w:tc>
          <w:tcPr>
            <w:tcW w:w="1111" w:type="dxa"/>
            <w:tcBorders>
              <w:top w:val="nil"/>
              <w:left w:val="nil"/>
              <w:bottom w:val="single" w:sz="8" w:space="0" w:color="auto"/>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(2.196)</w:t>
            </w:r>
          </w:p>
        </w:tc>
        <w:tc>
          <w:tcPr>
            <w:tcW w:w="1110" w:type="dxa"/>
            <w:tcBorders>
              <w:top w:val="nil"/>
              <w:left w:val="nil"/>
              <w:bottom w:val="single" w:sz="8" w:space="0" w:color="auto"/>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(8.466)</w:t>
            </w:r>
          </w:p>
        </w:tc>
        <w:tc>
          <w:tcPr>
            <w:tcW w:w="1111" w:type="dxa"/>
            <w:tcBorders>
              <w:top w:val="nil"/>
              <w:left w:val="nil"/>
              <w:bottom w:val="single" w:sz="8" w:space="0" w:color="auto"/>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630 </w:t>
            </w:r>
          </w:p>
        </w:tc>
        <w:tc>
          <w:tcPr>
            <w:tcW w:w="1110" w:type="dxa"/>
            <w:gridSpan w:val="2"/>
            <w:tcBorders>
              <w:top w:val="nil"/>
              <w:left w:val="nil"/>
              <w:bottom w:val="single" w:sz="8" w:space="0" w:color="auto"/>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(15.114)</w:t>
            </w:r>
          </w:p>
        </w:tc>
        <w:tc>
          <w:tcPr>
            <w:tcW w:w="1111" w:type="dxa"/>
            <w:tcBorders>
              <w:top w:val="nil"/>
              <w:left w:val="nil"/>
              <w:bottom w:val="single" w:sz="8" w:space="0" w:color="auto"/>
              <w:right w:val="nil"/>
            </w:tcBorders>
            <w:shd w:val="clear" w:color="auto" w:fill="auto"/>
            <w:vAlign w:val="bottom"/>
          </w:tcPr>
          <w:p w:rsidR="00A659F2" w:rsidRPr="00CD3A2D" w:rsidRDefault="00A659F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(3.643)</w:t>
            </w:r>
          </w:p>
        </w:tc>
      </w:tr>
      <w:tr w:rsidR="00A659F2" w:rsidRPr="001567C8" w:rsidTr="003C6BA3">
        <w:trPr>
          <w:trHeight w:val="283"/>
        </w:trPr>
        <w:tc>
          <w:tcPr>
            <w:tcW w:w="3827" w:type="dxa"/>
            <w:tcBorders>
              <w:top w:val="nil"/>
              <w:left w:val="nil"/>
              <w:bottom w:val="nil"/>
              <w:right w:val="nil"/>
            </w:tcBorders>
            <w:shd w:val="clear" w:color="auto" w:fill="auto"/>
            <w:vAlign w:val="bottom"/>
            <w:hideMark/>
          </w:tcPr>
          <w:p w:rsidR="00A659F2" w:rsidRPr="00CD3A2D" w:rsidRDefault="00A659F2" w:rsidP="008751BC">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Stanje 31. prosinca 2018. godine </w:t>
            </w:r>
          </w:p>
        </w:tc>
        <w:tc>
          <w:tcPr>
            <w:tcW w:w="1110" w:type="dxa"/>
            <w:tcBorders>
              <w:top w:val="nil"/>
              <w:left w:val="nil"/>
              <w:bottom w:val="single" w:sz="12" w:space="0" w:color="auto"/>
              <w:right w:val="nil"/>
            </w:tcBorders>
            <w:shd w:val="clear" w:color="auto" w:fill="auto"/>
            <w:vAlign w:val="bottom"/>
          </w:tcPr>
          <w:p w:rsidR="00A659F2" w:rsidRPr="00CD3A2D" w:rsidRDefault="00A659F2"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(252.896)</w:t>
            </w:r>
          </w:p>
        </w:tc>
        <w:tc>
          <w:tcPr>
            <w:tcW w:w="1111" w:type="dxa"/>
            <w:tcBorders>
              <w:top w:val="nil"/>
              <w:left w:val="nil"/>
              <w:bottom w:val="single" w:sz="12" w:space="0" w:color="auto"/>
              <w:right w:val="nil"/>
            </w:tcBorders>
            <w:shd w:val="clear" w:color="auto" w:fill="auto"/>
            <w:vAlign w:val="bottom"/>
          </w:tcPr>
          <w:p w:rsidR="00A659F2" w:rsidRPr="00CD3A2D" w:rsidRDefault="00A659F2"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1.041.098 </w:t>
            </w:r>
          </w:p>
        </w:tc>
        <w:tc>
          <w:tcPr>
            <w:tcW w:w="1110" w:type="dxa"/>
            <w:tcBorders>
              <w:top w:val="nil"/>
              <w:left w:val="nil"/>
              <w:bottom w:val="single" w:sz="12" w:space="0" w:color="auto"/>
              <w:right w:val="nil"/>
            </w:tcBorders>
            <w:shd w:val="clear" w:color="auto" w:fill="auto"/>
            <w:vAlign w:val="bottom"/>
          </w:tcPr>
          <w:p w:rsidR="00A659F2" w:rsidRPr="00CD3A2D" w:rsidRDefault="00A659F2"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2.578.435 </w:t>
            </w:r>
          </w:p>
        </w:tc>
        <w:tc>
          <w:tcPr>
            <w:tcW w:w="1111" w:type="dxa"/>
            <w:tcBorders>
              <w:top w:val="nil"/>
              <w:left w:val="nil"/>
              <w:bottom w:val="single" w:sz="12" w:space="0" w:color="auto"/>
              <w:right w:val="nil"/>
            </w:tcBorders>
            <w:shd w:val="clear" w:color="auto" w:fill="auto"/>
            <w:vAlign w:val="bottom"/>
          </w:tcPr>
          <w:p w:rsidR="00A659F2" w:rsidRPr="00CD3A2D" w:rsidRDefault="00A659F2"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13.659 </w:t>
            </w:r>
          </w:p>
        </w:tc>
        <w:tc>
          <w:tcPr>
            <w:tcW w:w="1110" w:type="dxa"/>
            <w:gridSpan w:val="2"/>
            <w:tcBorders>
              <w:top w:val="nil"/>
              <w:left w:val="nil"/>
              <w:bottom w:val="single" w:sz="12" w:space="0" w:color="auto"/>
              <w:right w:val="nil"/>
            </w:tcBorders>
            <w:shd w:val="clear" w:color="auto" w:fill="auto"/>
            <w:vAlign w:val="bottom"/>
          </w:tcPr>
          <w:p w:rsidR="00A659F2" w:rsidRPr="00CD3A2D" w:rsidRDefault="00A659F2"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3.380.296 </w:t>
            </w:r>
          </w:p>
        </w:tc>
        <w:tc>
          <w:tcPr>
            <w:tcW w:w="1111" w:type="dxa"/>
            <w:tcBorders>
              <w:top w:val="nil"/>
              <w:left w:val="nil"/>
              <w:bottom w:val="single" w:sz="12" w:space="0" w:color="auto"/>
              <w:right w:val="nil"/>
            </w:tcBorders>
            <w:shd w:val="clear" w:color="auto" w:fill="auto"/>
            <w:vAlign w:val="bottom"/>
          </w:tcPr>
          <w:p w:rsidR="00A659F2" w:rsidRPr="00CD3A2D" w:rsidRDefault="00A659F2"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2.875.303 </w:t>
            </w:r>
          </w:p>
        </w:tc>
      </w:tr>
    </w:tbl>
    <w:p w:rsidR="00E16FDD" w:rsidRPr="001567C8" w:rsidRDefault="00E16FDD" w:rsidP="002911A6">
      <w:pPr>
        <w:pStyle w:val="T1"/>
        <w:spacing w:before="0" w:after="0" w:line="240" w:lineRule="auto"/>
        <w:rPr>
          <w:rFonts w:asciiTheme="minorHAnsi" w:hAnsiTheme="minorHAnsi" w:cs="Arial"/>
          <w:sz w:val="22"/>
          <w:szCs w:val="22"/>
          <w:lang w:val="hr-HR"/>
        </w:rPr>
        <w:sectPr w:rsidR="00E16FDD" w:rsidRPr="001567C8" w:rsidSect="0077198A">
          <w:pgSz w:w="11907" w:h="16840" w:code="9"/>
          <w:pgMar w:top="1418" w:right="1134" w:bottom="1134" w:left="1418" w:header="851" w:footer="851" w:gutter="0"/>
          <w:cols w:space="720"/>
          <w:noEndnote/>
        </w:sectPr>
      </w:pPr>
    </w:p>
    <w:p w:rsidR="00E16FDD" w:rsidRPr="001567C8" w:rsidRDefault="00E16FDD" w:rsidP="00E5067B">
      <w:pPr>
        <w:pStyle w:val="T1"/>
        <w:spacing w:before="12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Pr="001567C8">
        <w:rPr>
          <w:rFonts w:asciiTheme="minorHAnsi" w:hAnsiTheme="minorHAnsi" w:cs="Arial"/>
          <w:sz w:val="22"/>
          <w:szCs w:val="22"/>
          <w:lang w:val="hr-HR"/>
        </w:rPr>
        <w:tab/>
        <w:t>Upravljanje rizicima (nastavak)</w:t>
      </w:r>
    </w:p>
    <w:p w:rsidR="00E16FDD" w:rsidRPr="001567C8" w:rsidRDefault="00E16FDD" w:rsidP="00E5067B">
      <w:pPr>
        <w:pStyle w:val="T1"/>
        <w:spacing w:before="12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E1097B" w:rsidRPr="001567C8" w:rsidRDefault="00E16FDD" w:rsidP="00E5067B">
      <w:pPr>
        <w:pStyle w:val="T1"/>
        <w:tabs>
          <w:tab w:val="left" w:pos="284"/>
        </w:tabs>
        <w:spacing w:before="120" w:line="240" w:lineRule="auto"/>
        <w:rPr>
          <w:rFonts w:asciiTheme="minorHAnsi" w:hAnsiTheme="minorHAnsi" w:cs="Arial"/>
          <w:b w:val="0"/>
          <w:i/>
          <w:sz w:val="22"/>
          <w:szCs w:val="22"/>
          <w:lang w:val="hr-HR"/>
        </w:rPr>
      </w:pPr>
      <w:r w:rsidRPr="001567C8">
        <w:rPr>
          <w:rFonts w:asciiTheme="minorHAnsi" w:hAnsiTheme="minorHAnsi" w:cs="Arial"/>
          <w:b w:val="0"/>
          <w:i/>
          <w:sz w:val="22"/>
          <w:szCs w:val="22"/>
          <w:lang w:val="hr-HR"/>
        </w:rPr>
        <w:t>i.</w:t>
      </w:r>
      <w:r w:rsidRPr="001567C8">
        <w:rPr>
          <w:rFonts w:asciiTheme="minorHAnsi" w:hAnsiTheme="minorHAnsi" w:cs="Arial"/>
          <w:b w:val="0"/>
          <w:i/>
          <w:sz w:val="22"/>
          <w:szCs w:val="22"/>
          <w:lang w:val="hr-HR"/>
        </w:rPr>
        <w:tab/>
        <w:t>Promjene po rezerviranjima</w:t>
      </w:r>
      <w:r w:rsidR="00B66851">
        <w:rPr>
          <w:rFonts w:asciiTheme="minorHAnsi" w:hAnsiTheme="minorHAnsi" w:cs="Arial"/>
          <w:b w:val="0"/>
          <w:i/>
          <w:sz w:val="22"/>
          <w:szCs w:val="22"/>
          <w:lang w:val="hr-HR"/>
        </w:rPr>
        <w:t xml:space="preserve"> </w:t>
      </w:r>
      <w:r w:rsidR="00B66851" w:rsidRPr="001567C8">
        <w:rPr>
          <w:rFonts w:asciiTheme="minorHAnsi" w:hAnsiTheme="minorHAnsi" w:cs="Arial"/>
          <w:b w:val="0"/>
          <w:i/>
          <w:sz w:val="22"/>
          <w:szCs w:val="22"/>
          <w:lang w:val="hr-HR"/>
        </w:rPr>
        <w:t>(nastavak)</w:t>
      </w:r>
    </w:p>
    <w:p w:rsidR="00E1097B" w:rsidRPr="001567C8" w:rsidRDefault="00E16FDD" w:rsidP="002911A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Financijska imovina po fer vrijednosti kroz ostalu sveobuhvatnu dobit</w:t>
      </w:r>
    </w:p>
    <w:p w:rsidR="00E1097B" w:rsidRPr="001567C8" w:rsidRDefault="00E1097B" w:rsidP="002911A6">
      <w:pPr>
        <w:pStyle w:val="T1"/>
        <w:spacing w:before="0" w:after="0" w:line="240" w:lineRule="auto"/>
        <w:rPr>
          <w:rFonts w:asciiTheme="minorHAnsi" w:hAnsiTheme="minorHAnsi" w:cs="Arial"/>
          <w:sz w:val="22"/>
          <w:szCs w:val="22"/>
          <w:lang w:val="hr-HR"/>
        </w:rPr>
      </w:pPr>
    </w:p>
    <w:tbl>
      <w:tblPr>
        <w:tblW w:w="10102" w:type="dxa"/>
        <w:tblInd w:w="-426" w:type="dxa"/>
        <w:tblLook w:val="04A0" w:firstRow="1" w:lastRow="0" w:firstColumn="1" w:lastColumn="0" w:noHBand="0" w:noVBand="1"/>
      </w:tblPr>
      <w:tblGrid>
        <w:gridCol w:w="3970"/>
        <w:gridCol w:w="1022"/>
        <w:gridCol w:w="1022"/>
        <w:gridCol w:w="1022"/>
        <w:gridCol w:w="1022"/>
        <w:gridCol w:w="1022"/>
        <w:gridCol w:w="1022"/>
      </w:tblGrid>
      <w:tr w:rsidR="00E16FDD" w:rsidRPr="001567C8" w:rsidTr="006303BA">
        <w:trPr>
          <w:trHeight w:val="163"/>
        </w:trPr>
        <w:tc>
          <w:tcPr>
            <w:tcW w:w="3970" w:type="dxa"/>
            <w:tcBorders>
              <w:top w:val="nil"/>
              <w:left w:val="nil"/>
              <w:bottom w:val="nil"/>
              <w:right w:val="nil"/>
            </w:tcBorders>
            <w:shd w:val="clear" w:color="auto" w:fill="auto"/>
            <w:vAlign w:val="center"/>
            <w:hideMark/>
          </w:tcPr>
          <w:p w:rsidR="00E16FDD" w:rsidRPr="00CD3A2D" w:rsidRDefault="00E16FDD" w:rsidP="006303BA">
            <w:pPr>
              <w:rPr>
                <w:rFonts w:asciiTheme="minorHAnsi" w:hAnsiTheme="minorHAnsi" w:cstheme="minorHAnsi"/>
                <w:b/>
                <w:bCs/>
                <w:color w:val="FF0000"/>
                <w:sz w:val="19"/>
                <w:szCs w:val="19"/>
                <w:lang w:val="hr-HR"/>
              </w:rPr>
            </w:pPr>
            <w:r w:rsidRPr="00CD3A2D">
              <w:rPr>
                <w:rFonts w:asciiTheme="minorHAnsi" w:hAnsiTheme="minorHAnsi" w:cstheme="minorHAnsi"/>
                <w:b/>
                <w:bCs/>
                <w:sz w:val="19"/>
                <w:szCs w:val="19"/>
                <w:lang w:val="hr-HR"/>
              </w:rPr>
              <w:t>Grupa</w:t>
            </w:r>
          </w:p>
        </w:tc>
        <w:tc>
          <w:tcPr>
            <w:tcW w:w="5110" w:type="dxa"/>
            <w:gridSpan w:val="5"/>
            <w:tcBorders>
              <w:top w:val="nil"/>
              <w:left w:val="nil"/>
              <w:bottom w:val="nil"/>
              <w:right w:val="nil"/>
            </w:tcBorders>
            <w:shd w:val="clear" w:color="auto" w:fill="auto"/>
            <w:vAlign w:val="center"/>
            <w:hideMark/>
          </w:tcPr>
          <w:p w:rsidR="00E16FDD" w:rsidRPr="00CD3A2D" w:rsidRDefault="00E16FDD" w:rsidP="006303BA">
            <w:pPr>
              <w:jc w:val="center"/>
              <w:rPr>
                <w:rFonts w:asciiTheme="minorHAnsi" w:hAnsiTheme="minorHAnsi" w:cstheme="minorHAnsi"/>
                <w:b/>
                <w:bCs/>
                <w:color w:val="000000"/>
                <w:sz w:val="19"/>
                <w:szCs w:val="19"/>
                <w:lang w:val="hr-HR"/>
              </w:rPr>
            </w:pPr>
            <w:r w:rsidRPr="00CD3A2D">
              <w:rPr>
                <w:rFonts w:asciiTheme="minorHAnsi" w:hAnsiTheme="minorHAnsi" w:cstheme="minorHAnsi"/>
                <w:b/>
                <w:bCs/>
                <w:color w:val="000000"/>
                <w:sz w:val="19"/>
                <w:szCs w:val="19"/>
                <w:lang w:val="hr-HR"/>
              </w:rPr>
              <w:t>2018</w:t>
            </w:r>
            <w:r w:rsidR="00BD55E1" w:rsidRPr="00CD3A2D">
              <w:rPr>
                <w:rFonts w:asciiTheme="minorHAnsi" w:hAnsiTheme="minorHAnsi" w:cstheme="minorHAnsi"/>
                <w:b/>
                <w:bCs/>
                <w:color w:val="000000"/>
                <w:sz w:val="19"/>
                <w:szCs w:val="19"/>
                <w:lang w:val="hr-HR"/>
              </w:rPr>
              <w:t>.</w:t>
            </w:r>
          </w:p>
        </w:tc>
        <w:tc>
          <w:tcPr>
            <w:tcW w:w="1022" w:type="dxa"/>
            <w:tcBorders>
              <w:top w:val="nil"/>
              <w:left w:val="nil"/>
              <w:bottom w:val="nil"/>
              <w:right w:val="nil"/>
            </w:tcBorders>
            <w:shd w:val="clear" w:color="auto" w:fill="auto"/>
            <w:vAlign w:val="center"/>
            <w:hideMark/>
          </w:tcPr>
          <w:p w:rsidR="00E16FDD" w:rsidRPr="00CD3A2D" w:rsidRDefault="00E16FDD" w:rsidP="00BD55E1">
            <w:pPr>
              <w:jc w:val="center"/>
              <w:rPr>
                <w:rFonts w:asciiTheme="minorHAnsi" w:hAnsiTheme="minorHAnsi" w:cstheme="minorHAnsi"/>
                <w:b/>
                <w:bCs/>
                <w:color w:val="000000"/>
                <w:sz w:val="19"/>
                <w:szCs w:val="19"/>
                <w:lang w:val="hr-HR"/>
              </w:rPr>
            </w:pPr>
            <w:r w:rsidRPr="00CD3A2D">
              <w:rPr>
                <w:rFonts w:asciiTheme="minorHAnsi" w:hAnsiTheme="minorHAnsi" w:cstheme="minorHAnsi"/>
                <w:b/>
                <w:bCs/>
                <w:color w:val="000000"/>
                <w:sz w:val="19"/>
                <w:szCs w:val="19"/>
                <w:lang w:val="hr-HR"/>
              </w:rPr>
              <w:t>2017</w:t>
            </w:r>
            <w:r w:rsidR="00BD55E1" w:rsidRPr="00CD3A2D">
              <w:rPr>
                <w:rFonts w:asciiTheme="minorHAnsi" w:hAnsiTheme="minorHAnsi" w:cstheme="minorHAnsi"/>
                <w:b/>
                <w:bCs/>
                <w:color w:val="000000"/>
                <w:sz w:val="19"/>
                <w:szCs w:val="19"/>
                <w:lang w:val="hr-HR"/>
              </w:rPr>
              <w:t>.</w:t>
            </w:r>
          </w:p>
        </w:tc>
      </w:tr>
      <w:tr w:rsidR="00E16FDD" w:rsidRPr="001567C8" w:rsidTr="006303BA">
        <w:trPr>
          <w:trHeight w:val="163"/>
        </w:trPr>
        <w:tc>
          <w:tcPr>
            <w:tcW w:w="3970" w:type="dxa"/>
            <w:tcBorders>
              <w:top w:val="nil"/>
              <w:left w:val="nil"/>
              <w:bottom w:val="nil"/>
              <w:right w:val="nil"/>
            </w:tcBorders>
            <w:shd w:val="clear" w:color="auto" w:fill="auto"/>
            <w:vAlign w:val="center"/>
            <w:hideMark/>
          </w:tcPr>
          <w:p w:rsidR="00E16FDD" w:rsidRPr="00CD3A2D" w:rsidRDefault="00E16FDD" w:rsidP="006303BA">
            <w:pPr>
              <w:jc w:val="right"/>
              <w:rPr>
                <w:rFonts w:asciiTheme="minorHAnsi" w:hAnsiTheme="minorHAnsi" w:cstheme="minorHAnsi"/>
                <w:b/>
                <w:bCs/>
                <w:color w:val="000000"/>
                <w:sz w:val="19"/>
                <w:szCs w:val="19"/>
                <w:lang w:val="hr-HR"/>
              </w:rPr>
            </w:pP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Theme="minorHAnsi" w:hAnsiTheme="minorHAnsi" w:cstheme="minorHAnsi"/>
                <w:b/>
                <w:bCs/>
                <w:color w:val="000000"/>
                <w:sz w:val="19"/>
                <w:szCs w:val="19"/>
                <w:lang w:val="hr-HR"/>
              </w:rPr>
            </w:pPr>
            <w:r w:rsidRPr="00CD3A2D">
              <w:rPr>
                <w:rFonts w:asciiTheme="minorHAnsi" w:hAnsiTheme="minorHAnsi" w:cstheme="minorHAnsi"/>
                <w:b/>
                <w:bCs/>
                <w:color w:val="000000"/>
                <w:sz w:val="19"/>
                <w:szCs w:val="19"/>
                <w:lang w:val="hr-HR"/>
              </w:rPr>
              <w:t>Stupanj 1</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Theme="minorHAnsi" w:hAnsiTheme="minorHAnsi" w:cstheme="minorHAnsi"/>
                <w:b/>
                <w:bCs/>
                <w:color w:val="000000"/>
                <w:sz w:val="19"/>
                <w:szCs w:val="19"/>
                <w:lang w:val="hr-HR"/>
              </w:rPr>
            </w:pPr>
            <w:r w:rsidRPr="00CD3A2D">
              <w:rPr>
                <w:rFonts w:asciiTheme="minorHAnsi" w:hAnsiTheme="minorHAnsi" w:cstheme="minorHAnsi"/>
                <w:b/>
                <w:bCs/>
                <w:color w:val="000000"/>
                <w:sz w:val="19"/>
                <w:szCs w:val="19"/>
                <w:lang w:val="hr-HR"/>
              </w:rPr>
              <w:t>Stupanj 2</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Theme="minorHAnsi" w:hAnsiTheme="minorHAnsi" w:cstheme="minorHAnsi"/>
                <w:b/>
                <w:bCs/>
                <w:color w:val="000000"/>
                <w:sz w:val="19"/>
                <w:szCs w:val="19"/>
                <w:lang w:val="hr-HR"/>
              </w:rPr>
            </w:pPr>
            <w:r w:rsidRPr="00CD3A2D">
              <w:rPr>
                <w:rFonts w:asciiTheme="minorHAnsi" w:hAnsiTheme="minorHAnsi" w:cstheme="minorHAnsi"/>
                <w:b/>
                <w:bCs/>
                <w:color w:val="000000"/>
                <w:sz w:val="19"/>
                <w:szCs w:val="19"/>
                <w:lang w:val="hr-HR"/>
              </w:rPr>
              <w:t>Stupanj 3</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Theme="minorHAnsi" w:hAnsiTheme="minorHAnsi" w:cstheme="minorHAnsi"/>
                <w:b/>
                <w:bCs/>
                <w:color w:val="000000"/>
                <w:sz w:val="19"/>
                <w:szCs w:val="19"/>
                <w:lang w:val="hr-HR"/>
              </w:rPr>
            </w:pPr>
            <w:r w:rsidRPr="00CD3A2D">
              <w:rPr>
                <w:rFonts w:asciiTheme="minorHAnsi" w:hAnsiTheme="minorHAnsi" w:cstheme="minorHAnsi"/>
                <w:b/>
                <w:bCs/>
                <w:color w:val="000000"/>
                <w:sz w:val="19"/>
                <w:szCs w:val="19"/>
                <w:lang w:val="hr-HR"/>
              </w:rPr>
              <w:t>POCI</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Theme="minorHAnsi" w:hAnsiTheme="minorHAnsi" w:cstheme="minorHAnsi"/>
                <w:b/>
                <w:bCs/>
                <w:color w:val="000000"/>
                <w:sz w:val="19"/>
                <w:szCs w:val="19"/>
                <w:lang w:val="hr-HR"/>
              </w:rPr>
            </w:pPr>
            <w:r w:rsidRPr="00CD3A2D">
              <w:rPr>
                <w:rFonts w:asciiTheme="minorHAnsi" w:hAnsiTheme="minorHAnsi" w:cstheme="minorHAnsi"/>
                <w:b/>
                <w:bCs/>
                <w:color w:val="000000"/>
                <w:sz w:val="19"/>
                <w:szCs w:val="19"/>
                <w:lang w:val="hr-HR"/>
              </w:rPr>
              <w:t>Ukupno</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Theme="minorHAnsi" w:hAnsiTheme="minorHAnsi" w:cstheme="minorHAnsi"/>
                <w:b/>
                <w:bCs/>
                <w:color w:val="000000"/>
                <w:sz w:val="19"/>
                <w:szCs w:val="19"/>
                <w:lang w:val="hr-HR"/>
              </w:rPr>
            </w:pPr>
            <w:r w:rsidRPr="00CD3A2D">
              <w:rPr>
                <w:rFonts w:asciiTheme="minorHAnsi" w:hAnsiTheme="minorHAnsi" w:cstheme="minorHAnsi"/>
                <w:b/>
                <w:bCs/>
                <w:color w:val="000000"/>
                <w:sz w:val="19"/>
                <w:szCs w:val="19"/>
                <w:lang w:val="hr-HR"/>
              </w:rPr>
              <w:t>Ukupno</w:t>
            </w:r>
          </w:p>
        </w:tc>
      </w:tr>
      <w:tr w:rsidR="006B1659" w:rsidRPr="001567C8" w:rsidTr="006303BA">
        <w:trPr>
          <w:trHeight w:val="163"/>
        </w:trPr>
        <w:tc>
          <w:tcPr>
            <w:tcW w:w="3970" w:type="dxa"/>
            <w:tcBorders>
              <w:top w:val="nil"/>
              <w:left w:val="nil"/>
              <w:bottom w:val="nil"/>
              <w:right w:val="nil"/>
            </w:tcBorders>
            <w:shd w:val="clear" w:color="auto" w:fill="auto"/>
            <w:vAlign w:val="center"/>
            <w:hideMark/>
          </w:tcPr>
          <w:p w:rsidR="006B1659" w:rsidRPr="00CD3A2D" w:rsidRDefault="006B1659" w:rsidP="006B1659">
            <w:pPr>
              <w:jc w:val="right"/>
              <w:rPr>
                <w:rFonts w:asciiTheme="minorHAnsi" w:hAnsiTheme="minorHAnsi" w:cstheme="minorHAnsi"/>
                <w:b/>
                <w:bCs/>
                <w:color w:val="000000"/>
                <w:sz w:val="19"/>
                <w:szCs w:val="19"/>
                <w:lang w:val="hr-HR"/>
              </w:rPr>
            </w:pP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Theme="minorHAnsi" w:hAnsiTheme="minorHAnsi" w:cstheme="minorHAns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Theme="minorHAnsi" w:hAnsiTheme="minorHAnsi" w:cstheme="minorHAns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Theme="minorHAnsi" w:hAnsiTheme="minorHAnsi" w:cstheme="minorHAns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Theme="minorHAnsi" w:hAnsiTheme="minorHAnsi" w:cstheme="minorHAns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Theme="minorHAnsi" w:hAnsiTheme="minorHAnsi" w:cstheme="minorHAns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Theme="minorHAnsi" w:hAnsiTheme="minorHAnsi" w:cstheme="minorHAnsi"/>
                <w:b/>
                <w:bCs/>
                <w:color w:val="000000"/>
                <w:sz w:val="19"/>
                <w:szCs w:val="19"/>
                <w:lang w:val="hr-HR"/>
              </w:rPr>
            </w:pPr>
            <w:r w:rsidRPr="00CD3A2D">
              <w:rPr>
                <w:rFonts w:ascii="Calibri" w:hAnsi="Calibri" w:cs="Calibri"/>
                <w:b/>
                <w:bCs/>
                <w:color w:val="000000"/>
                <w:sz w:val="19"/>
                <w:szCs w:val="19"/>
                <w:lang w:val="hr-HR"/>
              </w:rPr>
              <w:t>000 kuna</w:t>
            </w:r>
          </w:p>
        </w:tc>
      </w:tr>
      <w:tr w:rsidR="00E16FDD" w:rsidRPr="001567C8" w:rsidTr="006303BA">
        <w:trPr>
          <w:trHeight w:val="163"/>
        </w:trPr>
        <w:tc>
          <w:tcPr>
            <w:tcW w:w="3970" w:type="dxa"/>
            <w:tcBorders>
              <w:top w:val="nil"/>
              <w:left w:val="nil"/>
              <w:bottom w:val="nil"/>
              <w:right w:val="nil"/>
            </w:tcBorders>
            <w:shd w:val="clear" w:color="auto" w:fill="auto"/>
            <w:vAlign w:val="center"/>
          </w:tcPr>
          <w:p w:rsidR="00E16FDD" w:rsidRPr="00CD3A2D" w:rsidRDefault="00E16FDD" w:rsidP="006303BA">
            <w:pPr>
              <w:jc w:val="right"/>
              <w:rPr>
                <w:rFonts w:asciiTheme="minorHAnsi" w:hAnsiTheme="minorHAnsi" w:cstheme="minorHAns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Theme="minorHAnsi" w:hAnsiTheme="minorHAnsi" w:cstheme="minorHAns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Theme="minorHAnsi" w:hAnsiTheme="minorHAnsi" w:cstheme="minorHAns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Theme="minorHAnsi" w:hAnsiTheme="minorHAnsi" w:cstheme="minorHAns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Theme="minorHAnsi" w:hAnsiTheme="minorHAnsi" w:cstheme="minorHAns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Theme="minorHAnsi" w:hAnsiTheme="minorHAnsi" w:cstheme="minorHAns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Theme="minorHAnsi" w:hAnsiTheme="minorHAnsi" w:cstheme="minorHAnsi"/>
                <w:b/>
                <w:bCs/>
                <w:color w:val="000000"/>
                <w:sz w:val="19"/>
                <w:szCs w:val="19"/>
                <w:lang w:val="hr-HR"/>
              </w:rPr>
            </w:pPr>
          </w:p>
        </w:tc>
      </w:tr>
      <w:tr w:rsidR="00FC72CE" w:rsidRPr="001567C8" w:rsidTr="003C6BA3">
        <w:trPr>
          <w:trHeight w:val="163"/>
        </w:trPr>
        <w:tc>
          <w:tcPr>
            <w:tcW w:w="3970" w:type="dxa"/>
            <w:tcBorders>
              <w:top w:val="nil"/>
              <w:left w:val="nil"/>
              <w:bottom w:val="nil"/>
              <w:right w:val="nil"/>
            </w:tcBorders>
            <w:shd w:val="clear" w:color="auto" w:fill="auto"/>
            <w:vAlign w:val="center"/>
            <w:hideMark/>
          </w:tcPr>
          <w:p w:rsidR="00FC72CE" w:rsidRPr="00CD3A2D" w:rsidRDefault="00FC72CE" w:rsidP="00FC72CE">
            <w:pPr>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Stanje 1. siječnja 2018. godine</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3.837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451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4.288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FC72CE" w:rsidRPr="001567C8" w:rsidTr="003C6BA3">
        <w:trPr>
          <w:trHeight w:val="163"/>
        </w:trPr>
        <w:tc>
          <w:tcPr>
            <w:tcW w:w="3970" w:type="dxa"/>
            <w:tcBorders>
              <w:top w:val="nil"/>
              <w:left w:val="nil"/>
              <w:bottom w:val="nil"/>
              <w:right w:val="nil"/>
            </w:tcBorders>
            <w:shd w:val="clear" w:color="auto" w:fill="auto"/>
            <w:vAlign w:val="center"/>
            <w:hideMark/>
          </w:tcPr>
          <w:p w:rsidR="00FC72CE" w:rsidRPr="00CD3A2D" w:rsidRDefault="008A260B" w:rsidP="00FC72CE">
            <w:pPr>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Prijenos</w:t>
            </w:r>
            <w:r w:rsidR="00FC72CE" w:rsidRPr="00CD3A2D">
              <w:rPr>
                <w:rFonts w:asciiTheme="minorHAnsi" w:hAnsiTheme="minorHAnsi" w:cstheme="minorHAnsi"/>
                <w:color w:val="000000"/>
                <w:sz w:val="19"/>
                <w:szCs w:val="19"/>
                <w:lang w:val="hr-HR"/>
              </w:rPr>
              <w:t xml:space="preserve"> u Stupanj 1</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FC72CE" w:rsidRPr="001567C8" w:rsidTr="003C6BA3">
        <w:trPr>
          <w:trHeight w:val="163"/>
        </w:trPr>
        <w:tc>
          <w:tcPr>
            <w:tcW w:w="3970" w:type="dxa"/>
            <w:tcBorders>
              <w:top w:val="nil"/>
              <w:left w:val="nil"/>
              <w:bottom w:val="nil"/>
              <w:right w:val="nil"/>
            </w:tcBorders>
            <w:shd w:val="clear" w:color="auto" w:fill="auto"/>
            <w:vAlign w:val="center"/>
            <w:hideMark/>
          </w:tcPr>
          <w:p w:rsidR="00FC72CE" w:rsidRPr="00CD3A2D" w:rsidRDefault="008A260B" w:rsidP="00FC72CE">
            <w:pPr>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Prijenos</w:t>
            </w:r>
            <w:r w:rsidR="00FC72CE" w:rsidRPr="00CD3A2D">
              <w:rPr>
                <w:rFonts w:asciiTheme="minorHAnsi" w:hAnsiTheme="minorHAnsi" w:cstheme="minorHAnsi"/>
                <w:color w:val="000000"/>
                <w:sz w:val="19"/>
                <w:szCs w:val="19"/>
                <w:lang w:val="hr-HR"/>
              </w:rPr>
              <w:t xml:space="preserve"> u Stupanj 2</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FC72CE" w:rsidRPr="001567C8" w:rsidTr="003C6BA3">
        <w:trPr>
          <w:trHeight w:val="163"/>
        </w:trPr>
        <w:tc>
          <w:tcPr>
            <w:tcW w:w="3970" w:type="dxa"/>
            <w:tcBorders>
              <w:top w:val="nil"/>
              <w:left w:val="nil"/>
              <w:bottom w:val="nil"/>
              <w:right w:val="nil"/>
            </w:tcBorders>
            <w:shd w:val="clear" w:color="auto" w:fill="auto"/>
            <w:vAlign w:val="center"/>
            <w:hideMark/>
          </w:tcPr>
          <w:p w:rsidR="00FC72CE" w:rsidRPr="00CD3A2D" w:rsidRDefault="008A260B" w:rsidP="00FC72CE">
            <w:pPr>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Prijenos</w:t>
            </w:r>
            <w:r w:rsidR="00FC72CE" w:rsidRPr="00CD3A2D">
              <w:rPr>
                <w:rFonts w:asciiTheme="minorHAnsi" w:hAnsiTheme="minorHAnsi" w:cstheme="minorHAnsi"/>
                <w:color w:val="000000"/>
                <w:sz w:val="19"/>
                <w:szCs w:val="19"/>
                <w:lang w:val="hr-HR"/>
              </w:rPr>
              <w:t xml:space="preserve"> u Stupanj 3</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(1.739)</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1.739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FC72CE" w:rsidRPr="001567C8" w:rsidTr="003C6BA3">
        <w:trPr>
          <w:trHeight w:val="203"/>
        </w:trPr>
        <w:tc>
          <w:tcPr>
            <w:tcW w:w="3970" w:type="dxa"/>
            <w:tcBorders>
              <w:top w:val="nil"/>
              <w:left w:val="nil"/>
              <w:bottom w:val="nil"/>
              <w:right w:val="nil"/>
            </w:tcBorders>
            <w:shd w:val="clear" w:color="auto" w:fill="auto"/>
            <w:vAlign w:val="center"/>
            <w:hideMark/>
          </w:tcPr>
          <w:p w:rsidR="00FC72CE" w:rsidRPr="00CD3A2D" w:rsidRDefault="00FC72CE" w:rsidP="00FC72CE">
            <w:pPr>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 xml:space="preserve">Povećanje rezerviranja za očekivane gubitke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4.032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1.293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5.325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FC72CE" w:rsidRPr="001567C8" w:rsidTr="003C6BA3">
        <w:trPr>
          <w:trHeight w:val="234"/>
        </w:trPr>
        <w:tc>
          <w:tcPr>
            <w:tcW w:w="3970" w:type="dxa"/>
            <w:tcBorders>
              <w:top w:val="nil"/>
              <w:left w:val="nil"/>
              <w:bottom w:val="nil"/>
              <w:right w:val="nil"/>
            </w:tcBorders>
            <w:shd w:val="clear" w:color="auto" w:fill="auto"/>
            <w:vAlign w:val="center"/>
            <w:hideMark/>
          </w:tcPr>
          <w:p w:rsidR="00FC72CE" w:rsidRPr="00CD3A2D" w:rsidRDefault="00FC72CE" w:rsidP="00FC72CE">
            <w:pPr>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 xml:space="preserve">Smanjenje rezerviranja za očekivane gubitke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(2.84</w:t>
            </w:r>
            <w:r w:rsidR="00365AB8" w:rsidRPr="00CD3A2D">
              <w:rPr>
                <w:rFonts w:asciiTheme="minorHAnsi" w:hAnsiTheme="minorHAnsi" w:cstheme="minorHAnsi"/>
                <w:sz w:val="19"/>
                <w:szCs w:val="19"/>
                <w:lang w:val="hr-HR"/>
              </w:rPr>
              <w:t>8</w:t>
            </w:r>
            <w:r w:rsidRPr="00CD3A2D">
              <w:rPr>
                <w:rFonts w:asciiTheme="minorHAnsi" w:hAnsiTheme="minorHAnsi" w:cstheme="minorHAnsi"/>
                <w:sz w:val="19"/>
                <w:szCs w:val="19"/>
                <w:lang w:val="hr-HR"/>
              </w:rPr>
              <w:t>)</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(2.84</w:t>
            </w:r>
            <w:r w:rsidR="00365AB8" w:rsidRPr="00CD3A2D">
              <w:rPr>
                <w:rFonts w:asciiTheme="minorHAnsi" w:hAnsiTheme="minorHAnsi" w:cstheme="minorHAnsi"/>
                <w:sz w:val="19"/>
                <w:szCs w:val="19"/>
                <w:lang w:val="hr-HR"/>
              </w:rPr>
              <w:t>8</w:t>
            </w:r>
            <w:r w:rsidRPr="00CD3A2D">
              <w:rPr>
                <w:rFonts w:asciiTheme="minorHAnsi" w:hAnsiTheme="minorHAnsi" w:cstheme="minorHAnsi"/>
                <w:sz w:val="19"/>
                <w:szCs w:val="19"/>
                <w:lang w:val="hr-HR"/>
              </w:rPr>
              <w:t>)</w:t>
            </w:r>
          </w:p>
        </w:tc>
        <w:tc>
          <w:tcPr>
            <w:tcW w:w="1022" w:type="dxa"/>
            <w:tcBorders>
              <w:top w:val="nil"/>
              <w:left w:val="nil"/>
              <w:bottom w:val="nil"/>
              <w:right w:val="nil"/>
            </w:tcBorders>
            <w:shd w:val="clear" w:color="auto" w:fill="auto"/>
          </w:tcPr>
          <w:p w:rsidR="00FC72CE" w:rsidRPr="00CD3A2D" w:rsidRDefault="00FC72CE" w:rsidP="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FC72CE" w:rsidRPr="001567C8" w:rsidTr="003C6BA3">
        <w:trPr>
          <w:trHeight w:val="171"/>
        </w:trPr>
        <w:tc>
          <w:tcPr>
            <w:tcW w:w="3970" w:type="dxa"/>
            <w:tcBorders>
              <w:top w:val="nil"/>
              <w:left w:val="nil"/>
              <w:bottom w:val="nil"/>
              <w:right w:val="nil"/>
            </w:tcBorders>
            <w:shd w:val="clear" w:color="auto" w:fill="auto"/>
            <w:vAlign w:val="center"/>
            <w:hideMark/>
          </w:tcPr>
          <w:p w:rsidR="00FC72CE" w:rsidRPr="00CD3A2D" w:rsidRDefault="00716D22" w:rsidP="00FC72CE">
            <w:pPr>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 xml:space="preserve">Neto gubitak </w:t>
            </w:r>
            <w:r w:rsidR="0063609C" w:rsidRPr="00CD3A2D">
              <w:rPr>
                <w:rFonts w:asciiTheme="minorHAnsi" w:hAnsiTheme="minorHAnsi" w:cstheme="minorHAnsi"/>
                <w:color w:val="000000"/>
                <w:sz w:val="19"/>
                <w:szCs w:val="19"/>
                <w:lang w:val="hr-HR"/>
              </w:rPr>
              <w:t>od</w:t>
            </w:r>
            <w:r w:rsidRPr="00CD3A2D">
              <w:rPr>
                <w:rFonts w:asciiTheme="minorHAnsi" w:hAnsiTheme="minorHAnsi" w:cstheme="minorHAnsi"/>
                <w:color w:val="000000"/>
                <w:sz w:val="19"/>
                <w:szCs w:val="19"/>
                <w:lang w:val="hr-HR"/>
              </w:rPr>
              <w:t xml:space="preserve"> tečajni</w:t>
            </w:r>
            <w:r w:rsidR="0063609C" w:rsidRPr="00CD3A2D">
              <w:rPr>
                <w:rFonts w:asciiTheme="minorHAnsi" w:hAnsiTheme="minorHAnsi" w:cstheme="minorHAnsi"/>
                <w:color w:val="000000"/>
                <w:sz w:val="19"/>
                <w:szCs w:val="19"/>
                <w:lang w:val="hr-HR"/>
              </w:rPr>
              <w:t>h</w:t>
            </w:r>
            <w:r w:rsidRPr="00CD3A2D">
              <w:rPr>
                <w:rFonts w:asciiTheme="minorHAnsi" w:hAnsiTheme="minorHAnsi" w:cstheme="minorHAnsi"/>
                <w:color w:val="000000"/>
                <w:sz w:val="19"/>
                <w:szCs w:val="19"/>
                <w:lang w:val="hr-HR"/>
              </w:rPr>
              <w:t xml:space="preserve"> razlika</w:t>
            </w:r>
            <w:r w:rsidR="0063609C" w:rsidRPr="00CD3A2D">
              <w:rPr>
                <w:rFonts w:asciiTheme="minorHAnsi" w:hAnsiTheme="minorHAnsi" w:cstheme="minorHAnsi"/>
                <w:color w:val="000000"/>
                <w:sz w:val="19"/>
                <w:szCs w:val="19"/>
                <w:lang w:val="hr-HR"/>
              </w:rPr>
              <w:t xml:space="preserve"> po rezerviranjima za očekivane gubitke</w:t>
            </w:r>
          </w:p>
        </w:tc>
        <w:tc>
          <w:tcPr>
            <w:tcW w:w="1022" w:type="dxa"/>
            <w:tcBorders>
              <w:top w:val="nil"/>
              <w:left w:val="nil"/>
              <w:bottom w:val="single" w:sz="8" w:space="0" w:color="auto"/>
              <w:right w:val="nil"/>
            </w:tcBorders>
            <w:shd w:val="clear" w:color="auto" w:fill="auto"/>
            <w:vAlign w:val="bottom"/>
          </w:tcPr>
          <w:p w:rsidR="00FC72CE" w:rsidRPr="00CD3A2D" w:rsidRDefault="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(14)</w:t>
            </w:r>
          </w:p>
        </w:tc>
        <w:tc>
          <w:tcPr>
            <w:tcW w:w="1022" w:type="dxa"/>
            <w:tcBorders>
              <w:top w:val="nil"/>
              <w:left w:val="nil"/>
              <w:bottom w:val="single" w:sz="8" w:space="0" w:color="auto"/>
              <w:right w:val="nil"/>
            </w:tcBorders>
            <w:shd w:val="clear" w:color="auto" w:fill="auto"/>
            <w:vAlign w:val="bottom"/>
          </w:tcPr>
          <w:p w:rsidR="00FC72CE" w:rsidRPr="00CD3A2D" w:rsidRDefault="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FC72CE" w:rsidRPr="00CD3A2D" w:rsidRDefault="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w:t>
            </w:r>
          </w:p>
        </w:tc>
        <w:tc>
          <w:tcPr>
            <w:tcW w:w="1022" w:type="dxa"/>
            <w:tcBorders>
              <w:top w:val="nil"/>
              <w:left w:val="nil"/>
              <w:bottom w:val="single" w:sz="8" w:space="0" w:color="auto"/>
              <w:right w:val="nil"/>
            </w:tcBorders>
            <w:shd w:val="clear" w:color="auto" w:fill="auto"/>
            <w:vAlign w:val="bottom"/>
          </w:tcPr>
          <w:p w:rsidR="00FC72CE" w:rsidRPr="00CD3A2D" w:rsidRDefault="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FC72CE" w:rsidRPr="00CD3A2D" w:rsidRDefault="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(19)</w:t>
            </w:r>
          </w:p>
        </w:tc>
        <w:tc>
          <w:tcPr>
            <w:tcW w:w="1022" w:type="dxa"/>
            <w:tcBorders>
              <w:top w:val="nil"/>
              <w:left w:val="nil"/>
              <w:bottom w:val="single" w:sz="8" w:space="0" w:color="auto"/>
              <w:right w:val="nil"/>
            </w:tcBorders>
            <w:shd w:val="clear" w:color="auto" w:fill="auto"/>
            <w:vAlign w:val="bottom"/>
          </w:tcPr>
          <w:p w:rsidR="00FC72CE" w:rsidRPr="00CD3A2D" w:rsidRDefault="00FC72C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FC72CE" w:rsidRPr="001567C8" w:rsidTr="003C6BA3">
        <w:trPr>
          <w:trHeight w:val="171"/>
        </w:trPr>
        <w:tc>
          <w:tcPr>
            <w:tcW w:w="3970" w:type="dxa"/>
            <w:tcBorders>
              <w:top w:val="nil"/>
              <w:left w:val="nil"/>
              <w:bottom w:val="nil"/>
              <w:right w:val="nil"/>
            </w:tcBorders>
            <w:shd w:val="clear" w:color="auto" w:fill="auto"/>
            <w:vAlign w:val="bottom"/>
            <w:hideMark/>
          </w:tcPr>
          <w:p w:rsidR="00FC72CE" w:rsidRPr="00CD3A2D" w:rsidRDefault="00FC72CE" w:rsidP="008751BC">
            <w:pPr>
              <w:rPr>
                <w:rFonts w:asciiTheme="minorHAnsi" w:hAnsiTheme="minorHAnsi" w:cstheme="minorHAnsi"/>
                <w:b/>
                <w:bCs/>
                <w:color w:val="000000"/>
                <w:sz w:val="19"/>
                <w:szCs w:val="19"/>
                <w:lang w:val="hr-HR"/>
              </w:rPr>
            </w:pPr>
            <w:r w:rsidRPr="00CD3A2D">
              <w:rPr>
                <w:rFonts w:asciiTheme="minorHAnsi" w:hAnsiTheme="minorHAnsi" w:cstheme="minorHAnsi"/>
                <w:b/>
                <w:bCs/>
                <w:color w:val="000000"/>
                <w:sz w:val="19"/>
                <w:szCs w:val="19"/>
                <w:lang w:val="hr-HR"/>
              </w:rPr>
              <w:t xml:space="preserve">Stanje 31. prosinca 2018. godine </w:t>
            </w:r>
          </w:p>
        </w:tc>
        <w:tc>
          <w:tcPr>
            <w:tcW w:w="1022" w:type="dxa"/>
            <w:tcBorders>
              <w:top w:val="nil"/>
              <w:left w:val="nil"/>
              <w:bottom w:val="single" w:sz="12" w:space="0" w:color="auto"/>
              <w:right w:val="nil"/>
            </w:tcBorders>
            <w:shd w:val="clear" w:color="auto" w:fill="auto"/>
            <w:vAlign w:val="bottom"/>
          </w:tcPr>
          <w:p w:rsidR="00FC72CE" w:rsidRPr="00CD3A2D" w:rsidRDefault="00FC72CE"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5.00</w:t>
            </w:r>
            <w:r w:rsidR="00365AB8" w:rsidRPr="00CD3A2D">
              <w:rPr>
                <w:rFonts w:asciiTheme="minorHAnsi" w:hAnsiTheme="minorHAnsi" w:cstheme="minorHAnsi"/>
                <w:b/>
                <w:sz w:val="19"/>
                <w:szCs w:val="19"/>
                <w:lang w:val="hr-HR"/>
              </w:rPr>
              <w:t>7</w:t>
            </w:r>
          </w:p>
        </w:tc>
        <w:tc>
          <w:tcPr>
            <w:tcW w:w="1022" w:type="dxa"/>
            <w:tcBorders>
              <w:top w:val="nil"/>
              <w:left w:val="nil"/>
              <w:bottom w:val="single" w:sz="12" w:space="0" w:color="auto"/>
              <w:right w:val="nil"/>
            </w:tcBorders>
            <w:shd w:val="clear" w:color="auto" w:fill="auto"/>
            <w:vAlign w:val="bottom"/>
          </w:tcPr>
          <w:p w:rsidR="00FC72CE" w:rsidRPr="00CD3A2D" w:rsidRDefault="00FC72CE"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(1.288)</w:t>
            </w:r>
          </w:p>
        </w:tc>
        <w:tc>
          <w:tcPr>
            <w:tcW w:w="1022" w:type="dxa"/>
            <w:tcBorders>
              <w:top w:val="nil"/>
              <w:left w:val="nil"/>
              <w:bottom w:val="single" w:sz="12" w:space="0" w:color="auto"/>
              <w:right w:val="nil"/>
            </w:tcBorders>
            <w:shd w:val="clear" w:color="auto" w:fill="auto"/>
            <w:vAlign w:val="bottom"/>
          </w:tcPr>
          <w:p w:rsidR="00FC72CE" w:rsidRPr="00CD3A2D" w:rsidRDefault="00FC72CE"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3.027 </w:t>
            </w:r>
          </w:p>
        </w:tc>
        <w:tc>
          <w:tcPr>
            <w:tcW w:w="1022" w:type="dxa"/>
            <w:tcBorders>
              <w:top w:val="nil"/>
              <w:left w:val="nil"/>
              <w:bottom w:val="single" w:sz="12" w:space="0" w:color="auto"/>
              <w:right w:val="nil"/>
            </w:tcBorders>
            <w:shd w:val="clear" w:color="auto" w:fill="auto"/>
            <w:vAlign w:val="bottom"/>
          </w:tcPr>
          <w:p w:rsidR="00FC72CE" w:rsidRPr="00CD3A2D" w:rsidRDefault="00FC72CE"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 </w:t>
            </w:r>
          </w:p>
        </w:tc>
        <w:tc>
          <w:tcPr>
            <w:tcW w:w="1022" w:type="dxa"/>
            <w:tcBorders>
              <w:top w:val="nil"/>
              <w:left w:val="nil"/>
              <w:bottom w:val="single" w:sz="12" w:space="0" w:color="auto"/>
              <w:right w:val="nil"/>
            </w:tcBorders>
            <w:shd w:val="clear" w:color="auto" w:fill="auto"/>
            <w:vAlign w:val="bottom"/>
          </w:tcPr>
          <w:p w:rsidR="00FC72CE" w:rsidRPr="00CD3A2D" w:rsidRDefault="00FC72CE"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6.74</w:t>
            </w:r>
            <w:r w:rsidR="00365AB8" w:rsidRPr="00CD3A2D">
              <w:rPr>
                <w:rFonts w:asciiTheme="minorHAnsi" w:hAnsiTheme="minorHAnsi" w:cstheme="minorHAnsi"/>
                <w:b/>
                <w:sz w:val="19"/>
                <w:szCs w:val="19"/>
                <w:lang w:val="hr-HR"/>
              </w:rPr>
              <w:t>6</w:t>
            </w:r>
            <w:r w:rsidRPr="00CD3A2D">
              <w:rPr>
                <w:rFonts w:asciiTheme="minorHAnsi" w:hAnsiTheme="minorHAnsi" w:cstheme="minorHAnsi"/>
                <w:b/>
                <w:sz w:val="19"/>
                <w:szCs w:val="19"/>
                <w:lang w:val="hr-HR"/>
              </w:rPr>
              <w:t xml:space="preserve"> </w:t>
            </w:r>
          </w:p>
        </w:tc>
        <w:tc>
          <w:tcPr>
            <w:tcW w:w="1022" w:type="dxa"/>
            <w:tcBorders>
              <w:top w:val="nil"/>
              <w:left w:val="nil"/>
              <w:bottom w:val="single" w:sz="12" w:space="0" w:color="auto"/>
              <w:right w:val="nil"/>
            </w:tcBorders>
            <w:shd w:val="clear" w:color="auto" w:fill="auto"/>
            <w:vAlign w:val="bottom"/>
          </w:tcPr>
          <w:p w:rsidR="00FC72CE" w:rsidRPr="00CD3A2D" w:rsidRDefault="00FC72CE"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 </w:t>
            </w:r>
          </w:p>
        </w:tc>
      </w:tr>
    </w:tbl>
    <w:p w:rsidR="00E16FDD" w:rsidRPr="001567C8" w:rsidRDefault="00E16FDD" w:rsidP="002911A6">
      <w:pPr>
        <w:pStyle w:val="T1"/>
        <w:spacing w:before="0" w:after="0" w:line="240" w:lineRule="auto"/>
        <w:rPr>
          <w:rFonts w:asciiTheme="minorHAnsi" w:hAnsiTheme="minorHAnsi" w:cs="Arial"/>
          <w:sz w:val="22"/>
          <w:szCs w:val="22"/>
          <w:lang w:val="hr-HR"/>
        </w:rPr>
      </w:pPr>
    </w:p>
    <w:p w:rsidR="00E16FDD" w:rsidRPr="00CD3A2D" w:rsidRDefault="00E16FDD" w:rsidP="0044791D">
      <w:pPr>
        <w:spacing w:after="120"/>
        <w:jc w:val="both"/>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Ostala imovina </w:t>
      </w:r>
    </w:p>
    <w:tbl>
      <w:tblPr>
        <w:tblW w:w="10102" w:type="dxa"/>
        <w:tblInd w:w="-426" w:type="dxa"/>
        <w:tblLook w:val="04A0" w:firstRow="1" w:lastRow="0" w:firstColumn="1" w:lastColumn="0" w:noHBand="0" w:noVBand="1"/>
      </w:tblPr>
      <w:tblGrid>
        <w:gridCol w:w="3970"/>
        <w:gridCol w:w="1022"/>
        <w:gridCol w:w="1022"/>
        <w:gridCol w:w="1022"/>
        <w:gridCol w:w="1022"/>
        <w:gridCol w:w="1022"/>
        <w:gridCol w:w="1022"/>
      </w:tblGrid>
      <w:tr w:rsidR="00E16FDD" w:rsidRPr="001567C8" w:rsidTr="006303BA">
        <w:trPr>
          <w:trHeight w:val="163"/>
        </w:trPr>
        <w:tc>
          <w:tcPr>
            <w:tcW w:w="3970" w:type="dxa"/>
            <w:tcBorders>
              <w:top w:val="nil"/>
              <w:left w:val="nil"/>
              <w:bottom w:val="nil"/>
              <w:right w:val="nil"/>
            </w:tcBorders>
            <w:shd w:val="clear" w:color="auto" w:fill="auto"/>
            <w:vAlign w:val="center"/>
            <w:hideMark/>
          </w:tcPr>
          <w:p w:rsidR="00E16FDD" w:rsidRPr="00CD3A2D" w:rsidRDefault="00E16FDD" w:rsidP="006303BA">
            <w:pPr>
              <w:rPr>
                <w:rFonts w:ascii="Calibri" w:hAnsi="Calibri" w:cs="Calibri"/>
                <w:b/>
                <w:bCs/>
                <w:color w:val="FF0000"/>
                <w:sz w:val="19"/>
                <w:szCs w:val="19"/>
                <w:lang w:val="hr-HR"/>
              </w:rPr>
            </w:pPr>
            <w:r w:rsidRPr="00CD3A2D">
              <w:rPr>
                <w:rFonts w:ascii="Calibri" w:hAnsi="Calibri" w:cs="Calibri"/>
                <w:b/>
                <w:bCs/>
                <w:sz w:val="19"/>
                <w:szCs w:val="19"/>
                <w:lang w:val="hr-HR"/>
              </w:rPr>
              <w:t>Grupa</w:t>
            </w:r>
          </w:p>
        </w:tc>
        <w:tc>
          <w:tcPr>
            <w:tcW w:w="5110" w:type="dxa"/>
            <w:gridSpan w:val="5"/>
            <w:tcBorders>
              <w:top w:val="nil"/>
              <w:left w:val="nil"/>
              <w:bottom w:val="nil"/>
              <w:right w:val="nil"/>
            </w:tcBorders>
            <w:shd w:val="clear" w:color="auto" w:fill="auto"/>
            <w:vAlign w:val="center"/>
            <w:hideMark/>
          </w:tcPr>
          <w:p w:rsidR="00E16FDD" w:rsidRPr="00CD3A2D" w:rsidRDefault="00E16FDD" w:rsidP="006303BA">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2018</w:t>
            </w:r>
            <w:r w:rsidR="00BD55E1" w:rsidRPr="00CD3A2D">
              <w:rPr>
                <w:rFonts w:ascii="Calibri" w:hAnsi="Calibri" w:cs="Calibri"/>
                <w:b/>
                <w:bCs/>
                <w:color w:val="000000"/>
                <w:sz w:val="19"/>
                <w:szCs w:val="19"/>
                <w:lang w:val="hr-HR"/>
              </w:rPr>
              <w:t>.</w:t>
            </w:r>
          </w:p>
        </w:tc>
        <w:tc>
          <w:tcPr>
            <w:tcW w:w="1022" w:type="dxa"/>
            <w:tcBorders>
              <w:top w:val="nil"/>
              <w:left w:val="nil"/>
              <w:bottom w:val="nil"/>
              <w:right w:val="nil"/>
            </w:tcBorders>
            <w:shd w:val="clear" w:color="auto" w:fill="auto"/>
            <w:vAlign w:val="center"/>
            <w:hideMark/>
          </w:tcPr>
          <w:p w:rsidR="00E16FDD" w:rsidRPr="00CD3A2D" w:rsidRDefault="00E16FDD" w:rsidP="00BD55E1">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2017</w:t>
            </w:r>
            <w:r w:rsidR="00BD55E1" w:rsidRPr="00CD3A2D">
              <w:rPr>
                <w:rFonts w:ascii="Calibri" w:hAnsi="Calibri" w:cs="Calibri"/>
                <w:b/>
                <w:bCs/>
                <w:color w:val="000000"/>
                <w:sz w:val="19"/>
                <w:szCs w:val="19"/>
                <w:lang w:val="hr-HR"/>
              </w:rPr>
              <w:t>.</w:t>
            </w:r>
          </w:p>
        </w:tc>
      </w:tr>
      <w:tr w:rsidR="00E16FDD" w:rsidRPr="001567C8" w:rsidTr="006303BA">
        <w:trPr>
          <w:trHeight w:val="163"/>
        </w:trPr>
        <w:tc>
          <w:tcPr>
            <w:tcW w:w="3970"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POCI</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6B1659" w:rsidRPr="001567C8" w:rsidTr="006303BA">
        <w:trPr>
          <w:trHeight w:val="163"/>
        </w:trPr>
        <w:tc>
          <w:tcPr>
            <w:tcW w:w="3970"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E16FDD" w:rsidRPr="001567C8" w:rsidTr="006303BA">
        <w:trPr>
          <w:trHeight w:val="163"/>
        </w:trPr>
        <w:tc>
          <w:tcPr>
            <w:tcW w:w="3970"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r>
      <w:tr w:rsidR="00ED7D08" w:rsidRPr="001567C8" w:rsidTr="00E5067B">
        <w:trPr>
          <w:trHeight w:val="163"/>
        </w:trPr>
        <w:tc>
          <w:tcPr>
            <w:tcW w:w="3970" w:type="dxa"/>
            <w:tcBorders>
              <w:top w:val="nil"/>
              <w:left w:val="nil"/>
              <w:bottom w:val="nil"/>
              <w:right w:val="nil"/>
            </w:tcBorders>
            <w:shd w:val="clear" w:color="auto" w:fill="auto"/>
            <w:vAlign w:val="center"/>
            <w:hideMark/>
          </w:tcPr>
          <w:p w:rsidR="00ED7D08" w:rsidRPr="00CD3A2D" w:rsidRDefault="00ED7D08" w:rsidP="00ED7D08">
            <w:pPr>
              <w:rPr>
                <w:rFonts w:ascii="Calibri" w:hAnsi="Calibri" w:cs="Calibri"/>
                <w:color w:val="000000"/>
                <w:sz w:val="19"/>
                <w:szCs w:val="19"/>
                <w:lang w:val="hr-HR"/>
              </w:rPr>
            </w:pPr>
            <w:r w:rsidRPr="00CD3A2D">
              <w:rPr>
                <w:rFonts w:ascii="Calibri" w:hAnsi="Calibri" w:cs="Calibri"/>
                <w:color w:val="000000"/>
                <w:sz w:val="19"/>
                <w:szCs w:val="19"/>
                <w:lang w:val="hr-HR"/>
              </w:rPr>
              <w:t>Stanje 1. siječnja 2018. godine</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140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13.079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13.223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4.541 </w:t>
            </w:r>
          </w:p>
        </w:tc>
      </w:tr>
      <w:tr w:rsidR="00ED7D08" w:rsidRPr="001567C8" w:rsidTr="00E5067B">
        <w:trPr>
          <w:trHeight w:val="163"/>
        </w:trPr>
        <w:tc>
          <w:tcPr>
            <w:tcW w:w="3970" w:type="dxa"/>
            <w:tcBorders>
              <w:top w:val="nil"/>
              <w:left w:val="nil"/>
              <w:bottom w:val="nil"/>
              <w:right w:val="nil"/>
            </w:tcBorders>
            <w:shd w:val="clear" w:color="auto" w:fill="auto"/>
            <w:vAlign w:val="center"/>
            <w:hideMark/>
          </w:tcPr>
          <w:p w:rsidR="00ED7D08" w:rsidRPr="00CD3A2D" w:rsidRDefault="008A260B" w:rsidP="00ED7D08">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ED7D08" w:rsidRPr="00CD3A2D">
              <w:rPr>
                <w:rFonts w:ascii="Calibri" w:hAnsi="Calibri" w:cs="Calibri"/>
                <w:color w:val="000000"/>
                <w:sz w:val="19"/>
                <w:szCs w:val="19"/>
                <w:lang w:val="hr-HR"/>
              </w:rPr>
              <w:t xml:space="preserve"> u Stupanj 1</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E5067B">
        <w:trPr>
          <w:trHeight w:val="163"/>
        </w:trPr>
        <w:tc>
          <w:tcPr>
            <w:tcW w:w="3970" w:type="dxa"/>
            <w:tcBorders>
              <w:top w:val="nil"/>
              <w:left w:val="nil"/>
              <w:bottom w:val="nil"/>
              <w:right w:val="nil"/>
            </w:tcBorders>
            <w:shd w:val="clear" w:color="auto" w:fill="auto"/>
            <w:vAlign w:val="center"/>
            <w:hideMark/>
          </w:tcPr>
          <w:p w:rsidR="00ED7D08" w:rsidRPr="00CD3A2D" w:rsidRDefault="008A260B" w:rsidP="00ED7D08">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ED7D08" w:rsidRPr="00CD3A2D">
              <w:rPr>
                <w:rFonts w:ascii="Calibri" w:hAnsi="Calibri" w:cs="Calibri"/>
                <w:color w:val="000000"/>
                <w:sz w:val="19"/>
                <w:szCs w:val="19"/>
                <w:lang w:val="hr-HR"/>
              </w:rPr>
              <w:t xml:space="preserve"> u Stupanj 2</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E5067B">
        <w:trPr>
          <w:trHeight w:val="163"/>
        </w:trPr>
        <w:tc>
          <w:tcPr>
            <w:tcW w:w="3970" w:type="dxa"/>
            <w:tcBorders>
              <w:top w:val="nil"/>
              <w:left w:val="nil"/>
              <w:bottom w:val="nil"/>
              <w:right w:val="nil"/>
            </w:tcBorders>
            <w:shd w:val="clear" w:color="auto" w:fill="auto"/>
            <w:vAlign w:val="center"/>
            <w:hideMark/>
          </w:tcPr>
          <w:p w:rsidR="00ED7D08" w:rsidRPr="00CD3A2D" w:rsidRDefault="008A260B" w:rsidP="00ED7D08">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ED7D08" w:rsidRPr="00CD3A2D">
              <w:rPr>
                <w:rFonts w:ascii="Calibri" w:hAnsi="Calibri" w:cs="Calibri"/>
                <w:color w:val="000000"/>
                <w:sz w:val="19"/>
                <w:szCs w:val="19"/>
                <w:lang w:val="hr-HR"/>
              </w:rPr>
              <w:t xml:space="preserve"> u Stupanj 3</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18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E5067B">
        <w:trPr>
          <w:trHeight w:val="203"/>
        </w:trPr>
        <w:tc>
          <w:tcPr>
            <w:tcW w:w="3970" w:type="dxa"/>
            <w:tcBorders>
              <w:top w:val="nil"/>
              <w:left w:val="nil"/>
              <w:bottom w:val="nil"/>
              <w:right w:val="nil"/>
            </w:tcBorders>
            <w:shd w:val="clear" w:color="auto" w:fill="auto"/>
            <w:vAlign w:val="center"/>
            <w:hideMark/>
          </w:tcPr>
          <w:p w:rsidR="00ED7D08" w:rsidRPr="00CD3A2D" w:rsidRDefault="00ED7D08" w:rsidP="00ED7D08">
            <w:pPr>
              <w:rPr>
                <w:rFonts w:ascii="Calibri" w:hAnsi="Calibri" w:cs="Calibri"/>
                <w:color w:val="000000"/>
                <w:sz w:val="19"/>
                <w:szCs w:val="19"/>
                <w:lang w:val="hr-HR"/>
              </w:rPr>
            </w:pPr>
            <w:r w:rsidRPr="00CD3A2D">
              <w:rPr>
                <w:rFonts w:ascii="Calibri" w:hAnsi="Calibri" w:cs="Calibri"/>
                <w:color w:val="000000"/>
                <w:sz w:val="19"/>
                <w:szCs w:val="19"/>
                <w:lang w:val="hr-HR"/>
              </w:rPr>
              <w:t xml:space="preserve">Povećanje rezerviranja za očekivane gubitke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395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26.958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27.356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2.756 </w:t>
            </w:r>
          </w:p>
        </w:tc>
      </w:tr>
      <w:tr w:rsidR="00ED7D08" w:rsidRPr="001567C8" w:rsidTr="00E5067B">
        <w:trPr>
          <w:trHeight w:val="234"/>
        </w:trPr>
        <w:tc>
          <w:tcPr>
            <w:tcW w:w="3970" w:type="dxa"/>
            <w:tcBorders>
              <w:top w:val="nil"/>
              <w:left w:val="nil"/>
              <w:bottom w:val="nil"/>
              <w:right w:val="nil"/>
            </w:tcBorders>
            <w:shd w:val="clear" w:color="auto" w:fill="auto"/>
            <w:vAlign w:val="center"/>
            <w:hideMark/>
          </w:tcPr>
          <w:p w:rsidR="00ED7D08" w:rsidRPr="00CD3A2D" w:rsidRDefault="00ED7D08" w:rsidP="00ED7D08">
            <w:pPr>
              <w:rPr>
                <w:rFonts w:ascii="Calibri" w:hAnsi="Calibri" w:cs="Calibri"/>
                <w:color w:val="000000"/>
                <w:sz w:val="19"/>
                <w:szCs w:val="19"/>
                <w:lang w:val="hr-HR"/>
              </w:rPr>
            </w:pPr>
            <w:r w:rsidRPr="00CD3A2D">
              <w:rPr>
                <w:rFonts w:ascii="Calibri" w:hAnsi="Calibri" w:cs="Calibri"/>
                <w:color w:val="000000"/>
                <w:sz w:val="19"/>
                <w:szCs w:val="19"/>
                <w:lang w:val="hr-HR"/>
              </w:rPr>
              <w:t xml:space="preserve">Smanjenje rezerviranja za očekivane gubitke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w:t>
            </w:r>
            <w:r w:rsidR="0044791D" w:rsidRPr="00CD3A2D">
              <w:rPr>
                <w:rFonts w:asciiTheme="minorHAnsi" w:hAnsiTheme="minorHAnsi" w:cstheme="minorHAnsi"/>
                <w:sz w:val="19"/>
                <w:szCs w:val="19"/>
                <w:lang w:val="hr-HR"/>
              </w:rPr>
              <w:t>72</w:t>
            </w:r>
            <w:r w:rsidRPr="00CD3A2D">
              <w:rPr>
                <w:rFonts w:asciiTheme="minorHAnsi" w:hAnsiTheme="minorHAnsi" w:cstheme="minorHAnsi"/>
                <w:sz w:val="19"/>
                <w:szCs w:val="19"/>
                <w:lang w:val="hr-HR"/>
              </w:rPr>
              <w:t>)</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(6.163)</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(6.4</w:t>
            </w:r>
            <w:r w:rsidR="0044791D" w:rsidRPr="00CD3A2D">
              <w:rPr>
                <w:rFonts w:asciiTheme="minorHAnsi" w:hAnsiTheme="minorHAnsi" w:cstheme="minorHAnsi"/>
                <w:sz w:val="19"/>
                <w:szCs w:val="19"/>
                <w:lang w:val="hr-HR"/>
              </w:rPr>
              <w:t>41</w:t>
            </w:r>
            <w:r w:rsidRPr="00CD3A2D">
              <w:rPr>
                <w:rFonts w:asciiTheme="minorHAnsi" w:hAnsiTheme="minorHAnsi" w:cstheme="minorHAnsi"/>
                <w:sz w:val="19"/>
                <w:szCs w:val="19"/>
                <w:lang w:val="hr-HR"/>
              </w:rPr>
              <w:t>)</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(559)</w:t>
            </w:r>
          </w:p>
        </w:tc>
      </w:tr>
      <w:tr w:rsidR="00ED7D08" w:rsidRPr="001567C8" w:rsidTr="00E5067B">
        <w:trPr>
          <w:trHeight w:val="234"/>
        </w:trPr>
        <w:tc>
          <w:tcPr>
            <w:tcW w:w="3970" w:type="dxa"/>
            <w:tcBorders>
              <w:top w:val="nil"/>
              <w:left w:val="nil"/>
              <w:bottom w:val="nil"/>
              <w:right w:val="nil"/>
            </w:tcBorders>
            <w:shd w:val="clear" w:color="auto" w:fill="auto"/>
          </w:tcPr>
          <w:p w:rsidR="00ED7D08" w:rsidRPr="00CD3A2D" w:rsidRDefault="00ED7D08" w:rsidP="00ED7D08">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Otpis</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(10)</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(10)</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w:t>
            </w:r>
          </w:p>
        </w:tc>
      </w:tr>
      <w:tr w:rsidR="00ED7D08" w:rsidRPr="001567C8" w:rsidTr="00E5067B">
        <w:trPr>
          <w:trHeight w:val="234"/>
        </w:trPr>
        <w:tc>
          <w:tcPr>
            <w:tcW w:w="3970" w:type="dxa"/>
            <w:tcBorders>
              <w:top w:val="nil"/>
              <w:left w:val="nil"/>
              <w:bottom w:val="nil"/>
              <w:right w:val="nil"/>
            </w:tcBorders>
            <w:shd w:val="clear" w:color="auto" w:fill="auto"/>
          </w:tcPr>
          <w:p w:rsidR="00ED7D08" w:rsidRPr="00CD3A2D" w:rsidRDefault="0044791D" w:rsidP="00ED7D08">
            <w:pPr>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Preuzimanje nekretnine</w:t>
            </w:r>
          </w:p>
        </w:tc>
        <w:tc>
          <w:tcPr>
            <w:tcW w:w="1022" w:type="dxa"/>
            <w:tcBorders>
              <w:top w:val="nil"/>
              <w:left w:val="nil"/>
              <w:bottom w:val="nil"/>
              <w:right w:val="nil"/>
            </w:tcBorders>
            <w:shd w:val="clear" w:color="auto" w:fill="auto"/>
          </w:tcPr>
          <w:p w:rsidR="00ED7D08" w:rsidRPr="00CD3A2D" w:rsidRDefault="0044791D"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(14)</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w:t>
            </w:r>
            <w:r w:rsidR="0044791D" w:rsidRPr="00CD3A2D">
              <w:rPr>
                <w:rFonts w:asciiTheme="minorHAnsi" w:hAnsiTheme="minorHAnsi" w:cstheme="minorHAnsi"/>
                <w:sz w:val="19"/>
                <w:szCs w:val="19"/>
                <w:lang w:val="hr-HR"/>
              </w:rPr>
              <w:t>14</w:t>
            </w:r>
            <w:r w:rsidRPr="00CD3A2D">
              <w:rPr>
                <w:rFonts w:asciiTheme="minorHAnsi" w:hAnsiTheme="minorHAnsi" w:cstheme="minorHAnsi"/>
                <w:sz w:val="19"/>
                <w:szCs w:val="19"/>
                <w:lang w:val="hr-HR"/>
              </w:rPr>
              <w:t>)</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44791D" w:rsidRPr="001567C8" w:rsidTr="00E5067B">
        <w:trPr>
          <w:trHeight w:val="234"/>
        </w:trPr>
        <w:tc>
          <w:tcPr>
            <w:tcW w:w="3970" w:type="dxa"/>
            <w:tcBorders>
              <w:top w:val="nil"/>
              <w:left w:val="nil"/>
              <w:bottom w:val="nil"/>
              <w:right w:val="nil"/>
            </w:tcBorders>
            <w:shd w:val="clear" w:color="auto" w:fill="auto"/>
          </w:tcPr>
          <w:p w:rsidR="0044791D" w:rsidRPr="00CD3A2D" w:rsidRDefault="0044791D" w:rsidP="00ED7D08">
            <w:pPr>
              <w:rPr>
                <w:rFonts w:asciiTheme="minorHAnsi" w:hAnsiTheme="minorHAnsi" w:cstheme="minorHAnsi"/>
                <w:color w:val="000000"/>
                <w:sz w:val="19"/>
                <w:szCs w:val="19"/>
                <w:lang w:val="hr-HR"/>
              </w:rPr>
            </w:pPr>
            <w:r w:rsidRPr="00CD3A2D">
              <w:rPr>
                <w:rFonts w:asciiTheme="minorHAnsi" w:hAnsiTheme="minorHAnsi" w:cstheme="minorHAnsi"/>
                <w:color w:val="000000"/>
                <w:sz w:val="19"/>
                <w:szCs w:val="19"/>
                <w:lang w:val="hr-HR"/>
              </w:rPr>
              <w:t>Ostala usklađenja</w:t>
            </w:r>
          </w:p>
        </w:tc>
        <w:tc>
          <w:tcPr>
            <w:tcW w:w="1022" w:type="dxa"/>
            <w:tcBorders>
              <w:top w:val="nil"/>
              <w:left w:val="nil"/>
              <w:bottom w:val="nil"/>
              <w:right w:val="nil"/>
            </w:tcBorders>
            <w:shd w:val="clear" w:color="auto" w:fill="auto"/>
          </w:tcPr>
          <w:p w:rsidR="0044791D" w:rsidRPr="00CD3A2D" w:rsidRDefault="0044791D" w:rsidP="00ED7D0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(2)</w:t>
            </w:r>
          </w:p>
        </w:tc>
        <w:tc>
          <w:tcPr>
            <w:tcW w:w="1022" w:type="dxa"/>
            <w:tcBorders>
              <w:top w:val="nil"/>
              <w:left w:val="nil"/>
              <w:bottom w:val="nil"/>
              <w:right w:val="nil"/>
            </w:tcBorders>
            <w:shd w:val="clear" w:color="auto" w:fill="auto"/>
          </w:tcPr>
          <w:p w:rsidR="0044791D" w:rsidRPr="00CD3A2D" w:rsidRDefault="0044791D" w:rsidP="00ED7D0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022" w:type="dxa"/>
            <w:tcBorders>
              <w:top w:val="nil"/>
              <w:left w:val="nil"/>
              <w:bottom w:val="nil"/>
              <w:right w:val="nil"/>
            </w:tcBorders>
            <w:shd w:val="clear" w:color="auto" w:fill="auto"/>
          </w:tcPr>
          <w:p w:rsidR="0044791D" w:rsidRPr="00CD3A2D" w:rsidRDefault="0044791D" w:rsidP="00ED7D0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022" w:type="dxa"/>
            <w:tcBorders>
              <w:top w:val="nil"/>
              <w:left w:val="nil"/>
              <w:bottom w:val="nil"/>
              <w:right w:val="nil"/>
            </w:tcBorders>
            <w:shd w:val="clear" w:color="auto" w:fill="auto"/>
          </w:tcPr>
          <w:p w:rsidR="0044791D" w:rsidRPr="00CD3A2D" w:rsidRDefault="0044791D" w:rsidP="00ED7D0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022" w:type="dxa"/>
            <w:tcBorders>
              <w:top w:val="nil"/>
              <w:left w:val="nil"/>
              <w:bottom w:val="nil"/>
              <w:right w:val="nil"/>
            </w:tcBorders>
            <w:shd w:val="clear" w:color="auto" w:fill="auto"/>
          </w:tcPr>
          <w:p w:rsidR="0044791D" w:rsidRPr="00CD3A2D" w:rsidRDefault="0044791D" w:rsidP="00ED7D08">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(2)</w:t>
            </w:r>
          </w:p>
        </w:tc>
        <w:tc>
          <w:tcPr>
            <w:tcW w:w="1022" w:type="dxa"/>
            <w:tcBorders>
              <w:top w:val="nil"/>
              <w:left w:val="nil"/>
              <w:bottom w:val="nil"/>
              <w:right w:val="nil"/>
            </w:tcBorders>
            <w:shd w:val="clear" w:color="auto" w:fill="auto"/>
          </w:tcPr>
          <w:p w:rsidR="0044791D" w:rsidRPr="00CD3A2D" w:rsidRDefault="0044791D" w:rsidP="00ED7D08">
            <w:pPr>
              <w:jc w:val="right"/>
              <w:rPr>
                <w:rFonts w:asciiTheme="minorHAnsi" w:hAnsiTheme="minorHAnsi" w:cstheme="minorHAnsi"/>
                <w:sz w:val="19"/>
                <w:szCs w:val="19"/>
                <w:lang w:val="hr-HR"/>
              </w:rPr>
            </w:pPr>
          </w:p>
        </w:tc>
      </w:tr>
      <w:tr w:rsidR="00ED7D08" w:rsidRPr="001567C8" w:rsidTr="003C6BA3">
        <w:trPr>
          <w:trHeight w:val="171"/>
        </w:trPr>
        <w:tc>
          <w:tcPr>
            <w:tcW w:w="3970" w:type="dxa"/>
            <w:tcBorders>
              <w:top w:val="nil"/>
              <w:left w:val="nil"/>
              <w:bottom w:val="nil"/>
              <w:right w:val="nil"/>
            </w:tcBorders>
            <w:shd w:val="clear" w:color="auto" w:fill="auto"/>
            <w:vAlign w:val="center"/>
            <w:hideMark/>
          </w:tcPr>
          <w:p w:rsidR="00ED7D08" w:rsidRPr="00CD3A2D" w:rsidRDefault="00716D22" w:rsidP="00ED7D08">
            <w:pPr>
              <w:rPr>
                <w:rFonts w:ascii="Calibri" w:hAnsi="Calibri" w:cs="Calibri"/>
                <w:color w:val="000000"/>
                <w:sz w:val="19"/>
                <w:szCs w:val="19"/>
                <w:lang w:val="hr-HR"/>
              </w:rPr>
            </w:pPr>
            <w:r w:rsidRPr="00CD3A2D">
              <w:rPr>
                <w:rFonts w:ascii="Calibri" w:hAnsi="Calibri" w:cs="Calibri"/>
                <w:color w:val="000000"/>
                <w:sz w:val="19"/>
                <w:szCs w:val="19"/>
                <w:lang w:val="hr-HR"/>
              </w:rPr>
              <w:t xml:space="preserve">Neto dobit </w:t>
            </w:r>
            <w:r w:rsidR="0063609C" w:rsidRPr="00CD3A2D">
              <w:rPr>
                <w:rFonts w:ascii="Calibri" w:hAnsi="Calibri" w:cs="Calibri"/>
                <w:color w:val="000000"/>
                <w:sz w:val="19"/>
                <w:szCs w:val="19"/>
                <w:lang w:val="hr-HR"/>
              </w:rPr>
              <w:t>od tečajnih razlika po rezerviranjima za očekivane gubitke</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 </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 </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3C6BA3">
        <w:trPr>
          <w:trHeight w:val="171"/>
        </w:trPr>
        <w:tc>
          <w:tcPr>
            <w:tcW w:w="3970" w:type="dxa"/>
            <w:tcBorders>
              <w:top w:val="nil"/>
              <w:left w:val="nil"/>
              <w:bottom w:val="nil"/>
              <w:right w:val="nil"/>
            </w:tcBorders>
            <w:shd w:val="clear" w:color="auto" w:fill="auto"/>
            <w:vAlign w:val="bottom"/>
            <w:hideMark/>
          </w:tcPr>
          <w:p w:rsidR="00ED7D08" w:rsidRPr="00CD3A2D" w:rsidRDefault="00ED7D08" w:rsidP="008751BC">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Stanje 31. prosinca 2018. godine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260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(8)</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33.866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34.118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6.737 </w:t>
            </w:r>
          </w:p>
        </w:tc>
      </w:tr>
    </w:tbl>
    <w:p w:rsidR="00E1097B" w:rsidRPr="001567C8" w:rsidRDefault="00E1097B" w:rsidP="002911A6">
      <w:pPr>
        <w:pStyle w:val="T1"/>
        <w:spacing w:before="0" w:after="0" w:line="240" w:lineRule="auto"/>
        <w:rPr>
          <w:rFonts w:asciiTheme="minorHAnsi" w:hAnsiTheme="minorHAnsi" w:cs="Arial"/>
          <w:sz w:val="22"/>
          <w:szCs w:val="22"/>
          <w:lang w:val="hr-HR"/>
        </w:rPr>
      </w:pPr>
    </w:p>
    <w:p w:rsidR="00E16FDD" w:rsidRPr="00CD3A2D" w:rsidRDefault="00E16FDD" w:rsidP="0044791D">
      <w:pPr>
        <w:spacing w:after="120"/>
        <w:jc w:val="both"/>
        <w:rPr>
          <w:rFonts w:ascii="Calibri" w:hAnsi="Calibri" w:cs="Calibri"/>
          <w:b/>
          <w:bCs/>
          <w:color w:val="000000"/>
          <w:sz w:val="22"/>
          <w:szCs w:val="22"/>
          <w:lang w:val="hr-HR"/>
        </w:rPr>
      </w:pPr>
      <w:r w:rsidRPr="00CD3A2D">
        <w:rPr>
          <w:rFonts w:ascii="Calibri" w:hAnsi="Calibri" w:cs="Calibri"/>
          <w:b/>
          <w:bCs/>
          <w:color w:val="000000"/>
          <w:sz w:val="22"/>
          <w:szCs w:val="22"/>
          <w:lang w:val="hr-HR"/>
        </w:rPr>
        <w:t>Garancije i preuzete obveze</w:t>
      </w:r>
    </w:p>
    <w:tbl>
      <w:tblPr>
        <w:tblW w:w="10102" w:type="dxa"/>
        <w:tblInd w:w="-426" w:type="dxa"/>
        <w:tblLook w:val="04A0" w:firstRow="1" w:lastRow="0" w:firstColumn="1" w:lastColumn="0" w:noHBand="0" w:noVBand="1"/>
      </w:tblPr>
      <w:tblGrid>
        <w:gridCol w:w="3970"/>
        <w:gridCol w:w="1022"/>
        <w:gridCol w:w="1022"/>
        <w:gridCol w:w="1022"/>
        <w:gridCol w:w="1022"/>
        <w:gridCol w:w="1022"/>
        <w:gridCol w:w="1022"/>
      </w:tblGrid>
      <w:tr w:rsidR="00E16FDD" w:rsidRPr="001567C8" w:rsidTr="006303BA">
        <w:trPr>
          <w:trHeight w:val="163"/>
        </w:trPr>
        <w:tc>
          <w:tcPr>
            <w:tcW w:w="3970" w:type="dxa"/>
            <w:tcBorders>
              <w:top w:val="nil"/>
              <w:left w:val="nil"/>
              <w:bottom w:val="nil"/>
              <w:right w:val="nil"/>
            </w:tcBorders>
            <w:shd w:val="clear" w:color="auto" w:fill="auto"/>
            <w:vAlign w:val="center"/>
            <w:hideMark/>
          </w:tcPr>
          <w:p w:rsidR="00E16FDD" w:rsidRPr="00CD3A2D" w:rsidRDefault="00E16FDD" w:rsidP="006303BA">
            <w:pPr>
              <w:rPr>
                <w:rFonts w:ascii="Calibri" w:hAnsi="Calibri" w:cs="Calibri"/>
                <w:b/>
                <w:bCs/>
                <w:color w:val="FF0000"/>
                <w:sz w:val="19"/>
                <w:szCs w:val="19"/>
                <w:lang w:val="hr-HR"/>
              </w:rPr>
            </w:pPr>
            <w:r w:rsidRPr="00CD3A2D">
              <w:rPr>
                <w:rFonts w:ascii="Calibri" w:hAnsi="Calibri" w:cs="Calibri"/>
                <w:b/>
                <w:bCs/>
                <w:sz w:val="19"/>
                <w:szCs w:val="19"/>
                <w:lang w:val="hr-HR"/>
              </w:rPr>
              <w:t>Grupa</w:t>
            </w:r>
          </w:p>
        </w:tc>
        <w:tc>
          <w:tcPr>
            <w:tcW w:w="5110" w:type="dxa"/>
            <w:gridSpan w:val="5"/>
            <w:tcBorders>
              <w:top w:val="nil"/>
              <w:left w:val="nil"/>
              <w:bottom w:val="nil"/>
              <w:right w:val="nil"/>
            </w:tcBorders>
            <w:shd w:val="clear" w:color="auto" w:fill="auto"/>
            <w:vAlign w:val="center"/>
            <w:hideMark/>
          </w:tcPr>
          <w:p w:rsidR="00E16FDD" w:rsidRPr="00CD3A2D" w:rsidRDefault="00E16FDD" w:rsidP="006303BA">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2018</w:t>
            </w:r>
            <w:r w:rsidR="00BD55E1" w:rsidRPr="00CD3A2D">
              <w:rPr>
                <w:rFonts w:ascii="Calibri" w:hAnsi="Calibri" w:cs="Calibri"/>
                <w:b/>
                <w:bCs/>
                <w:color w:val="000000"/>
                <w:sz w:val="19"/>
                <w:szCs w:val="19"/>
                <w:lang w:val="hr-HR"/>
              </w:rPr>
              <w:t>.</w:t>
            </w:r>
          </w:p>
        </w:tc>
        <w:tc>
          <w:tcPr>
            <w:tcW w:w="1022" w:type="dxa"/>
            <w:tcBorders>
              <w:top w:val="nil"/>
              <w:left w:val="nil"/>
              <w:bottom w:val="nil"/>
              <w:right w:val="nil"/>
            </w:tcBorders>
            <w:shd w:val="clear" w:color="auto" w:fill="auto"/>
            <w:vAlign w:val="center"/>
            <w:hideMark/>
          </w:tcPr>
          <w:p w:rsidR="00E16FDD" w:rsidRPr="00CD3A2D" w:rsidRDefault="00E16FDD" w:rsidP="00BD55E1">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2017</w:t>
            </w:r>
            <w:r w:rsidR="00BD55E1" w:rsidRPr="00CD3A2D">
              <w:rPr>
                <w:rFonts w:ascii="Calibri" w:hAnsi="Calibri" w:cs="Calibri"/>
                <w:b/>
                <w:bCs/>
                <w:color w:val="000000"/>
                <w:sz w:val="19"/>
                <w:szCs w:val="19"/>
                <w:lang w:val="hr-HR"/>
              </w:rPr>
              <w:t>.</w:t>
            </w:r>
          </w:p>
        </w:tc>
      </w:tr>
      <w:tr w:rsidR="00E16FDD" w:rsidRPr="001567C8" w:rsidTr="006303BA">
        <w:trPr>
          <w:trHeight w:val="163"/>
        </w:trPr>
        <w:tc>
          <w:tcPr>
            <w:tcW w:w="3970"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POCI</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1022" w:type="dxa"/>
            <w:tcBorders>
              <w:top w:val="nil"/>
              <w:left w:val="nil"/>
              <w:bottom w:val="nil"/>
              <w:right w:val="nil"/>
            </w:tcBorders>
            <w:shd w:val="clear" w:color="auto" w:fill="auto"/>
            <w:vAlign w:val="center"/>
            <w:hideMark/>
          </w:tcPr>
          <w:p w:rsidR="00E16FDD" w:rsidRPr="00CD3A2D" w:rsidRDefault="00E16FDD"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6B1659" w:rsidRPr="001567C8" w:rsidTr="006303BA">
        <w:trPr>
          <w:trHeight w:val="163"/>
        </w:trPr>
        <w:tc>
          <w:tcPr>
            <w:tcW w:w="3970"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E16FDD" w:rsidRPr="001567C8" w:rsidTr="006303BA">
        <w:trPr>
          <w:trHeight w:val="163"/>
        </w:trPr>
        <w:tc>
          <w:tcPr>
            <w:tcW w:w="3970"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E16FDD" w:rsidRPr="00CD3A2D" w:rsidRDefault="00E16FDD" w:rsidP="006303BA">
            <w:pPr>
              <w:jc w:val="right"/>
              <w:rPr>
                <w:rFonts w:ascii="Calibri" w:hAnsi="Calibri" w:cs="Calibri"/>
                <w:b/>
                <w:bCs/>
                <w:color w:val="000000"/>
                <w:sz w:val="19"/>
                <w:szCs w:val="19"/>
                <w:lang w:val="hr-HR"/>
              </w:rPr>
            </w:pPr>
          </w:p>
        </w:tc>
      </w:tr>
      <w:tr w:rsidR="00ED7D08" w:rsidRPr="001567C8" w:rsidTr="00E5067B">
        <w:trPr>
          <w:trHeight w:val="163"/>
        </w:trPr>
        <w:tc>
          <w:tcPr>
            <w:tcW w:w="3970" w:type="dxa"/>
            <w:tcBorders>
              <w:top w:val="nil"/>
              <w:left w:val="nil"/>
              <w:bottom w:val="nil"/>
              <w:right w:val="nil"/>
            </w:tcBorders>
            <w:shd w:val="clear" w:color="auto" w:fill="auto"/>
            <w:vAlign w:val="center"/>
            <w:hideMark/>
          </w:tcPr>
          <w:p w:rsidR="00ED7D08" w:rsidRPr="00CD3A2D" w:rsidRDefault="00ED7D08" w:rsidP="00ED7D08">
            <w:pPr>
              <w:rPr>
                <w:rFonts w:ascii="Calibri" w:hAnsi="Calibri" w:cs="Calibri"/>
                <w:color w:val="000000"/>
                <w:sz w:val="19"/>
                <w:szCs w:val="19"/>
                <w:lang w:val="hr-HR"/>
              </w:rPr>
            </w:pPr>
            <w:r w:rsidRPr="00CD3A2D">
              <w:rPr>
                <w:rFonts w:ascii="Calibri" w:hAnsi="Calibri" w:cs="Calibri"/>
                <w:color w:val="000000"/>
                <w:sz w:val="19"/>
                <w:szCs w:val="19"/>
                <w:lang w:val="hr-HR"/>
              </w:rPr>
              <w:t>Stanje 1. siječnja 2018. godine</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20.203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749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28.395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49.347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75.103 </w:t>
            </w:r>
          </w:p>
        </w:tc>
      </w:tr>
      <w:tr w:rsidR="00ED7D08" w:rsidRPr="001567C8" w:rsidTr="00E5067B">
        <w:trPr>
          <w:trHeight w:val="163"/>
        </w:trPr>
        <w:tc>
          <w:tcPr>
            <w:tcW w:w="3970" w:type="dxa"/>
            <w:tcBorders>
              <w:top w:val="nil"/>
              <w:left w:val="nil"/>
              <w:bottom w:val="nil"/>
              <w:right w:val="nil"/>
            </w:tcBorders>
            <w:shd w:val="clear" w:color="auto" w:fill="auto"/>
            <w:vAlign w:val="center"/>
            <w:hideMark/>
          </w:tcPr>
          <w:p w:rsidR="00ED7D08" w:rsidRPr="00CD3A2D" w:rsidRDefault="008A260B" w:rsidP="00ED7D08">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ED7D08" w:rsidRPr="00CD3A2D">
              <w:rPr>
                <w:rFonts w:ascii="Calibri" w:hAnsi="Calibri" w:cs="Calibri"/>
                <w:color w:val="000000"/>
                <w:sz w:val="19"/>
                <w:szCs w:val="19"/>
                <w:lang w:val="hr-HR"/>
              </w:rPr>
              <w:t xml:space="preserve"> u Stupanj 1</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E5067B">
        <w:trPr>
          <w:trHeight w:val="163"/>
        </w:trPr>
        <w:tc>
          <w:tcPr>
            <w:tcW w:w="3970" w:type="dxa"/>
            <w:tcBorders>
              <w:top w:val="nil"/>
              <w:left w:val="nil"/>
              <w:bottom w:val="nil"/>
              <w:right w:val="nil"/>
            </w:tcBorders>
            <w:shd w:val="clear" w:color="auto" w:fill="auto"/>
            <w:vAlign w:val="center"/>
            <w:hideMark/>
          </w:tcPr>
          <w:p w:rsidR="00ED7D08" w:rsidRPr="00CD3A2D" w:rsidRDefault="008A260B" w:rsidP="00ED7D08">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ED7D08" w:rsidRPr="00CD3A2D">
              <w:rPr>
                <w:rFonts w:ascii="Calibri" w:hAnsi="Calibri" w:cs="Calibri"/>
                <w:color w:val="000000"/>
                <w:sz w:val="19"/>
                <w:szCs w:val="19"/>
                <w:lang w:val="hr-HR"/>
              </w:rPr>
              <w:t xml:space="preserve"> u Stupanj 2</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(65.094)</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65.094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E5067B">
        <w:trPr>
          <w:trHeight w:val="163"/>
        </w:trPr>
        <w:tc>
          <w:tcPr>
            <w:tcW w:w="3970" w:type="dxa"/>
            <w:tcBorders>
              <w:top w:val="nil"/>
              <w:left w:val="nil"/>
              <w:bottom w:val="nil"/>
              <w:right w:val="nil"/>
            </w:tcBorders>
            <w:shd w:val="clear" w:color="auto" w:fill="auto"/>
            <w:vAlign w:val="center"/>
            <w:hideMark/>
          </w:tcPr>
          <w:p w:rsidR="00ED7D08" w:rsidRPr="00CD3A2D" w:rsidRDefault="008A260B" w:rsidP="00ED7D08">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ED7D08" w:rsidRPr="00CD3A2D">
              <w:rPr>
                <w:rFonts w:ascii="Calibri" w:hAnsi="Calibri" w:cs="Calibri"/>
                <w:color w:val="000000"/>
                <w:sz w:val="19"/>
                <w:szCs w:val="19"/>
                <w:lang w:val="hr-HR"/>
              </w:rPr>
              <w:t xml:space="preserve"> u Stupanj 3</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ED7D08" w:rsidRPr="001567C8" w:rsidTr="00E5067B">
        <w:trPr>
          <w:trHeight w:val="203"/>
        </w:trPr>
        <w:tc>
          <w:tcPr>
            <w:tcW w:w="3970" w:type="dxa"/>
            <w:tcBorders>
              <w:top w:val="nil"/>
              <w:left w:val="nil"/>
              <w:bottom w:val="nil"/>
              <w:right w:val="nil"/>
            </w:tcBorders>
            <w:shd w:val="clear" w:color="auto" w:fill="auto"/>
            <w:vAlign w:val="center"/>
            <w:hideMark/>
          </w:tcPr>
          <w:p w:rsidR="00ED7D08" w:rsidRPr="00CD3A2D" w:rsidRDefault="00ED7D08" w:rsidP="00ED7D08">
            <w:pPr>
              <w:rPr>
                <w:rFonts w:ascii="Calibri" w:hAnsi="Calibri" w:cs="Calibri"/>
                <w:color w:val="000000"/>
                <w:sz w:val="19"/>
                <w:szCs w:val="19"/>
                <w:lang w:val="hr-HR"/>
              </w:rPr>
            </w:pPr>
            <w:r w:rsidRPr="00CD3A2D">
              <w:rPr>
                <w:rFonts w:ascii="Calibri" w:hAnsi="Calibri" w:cs="Calibri"/>
                <w:color w:val="000000"/>
                <w:sz w:val="19"/>
                <w:szCs w:val="19"/>
                <w:lang w:val="hr-HR"/>
              </w:rPr>
              <w:t xml:space="preserve">Povećanje rezerviranja za očekivane gubitke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69.535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83.274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170.322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20.173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343.304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11.523 </w:t>
            </w:r>
          </w:p>
        </w:tc>
      </w:tr>
      <w:tr w:rsidR="00ED7D08" w:rsidRPr="001567C8" w:rsidTr="00E5067B">
        <w:trPr>
          <w:trHeight w:val="234"/>
        </w:trPr>
        <w:tc>
          <w:tcPr>
            <w:tcW w:w="3970" w:type="dxa"/>
            <w:tcBorders>
              <w:top w:val="nil"/>
              <w:left w:val="nil"/>
              <w:bottom w:val="nil"/>
              <w:right w:val="nil"/>
            </w:tcBorders>
            <w:shd w:val="clear" w:color="auto" w:fill="auto"/>
            <w:vAlign w:val="center"/>
            <w:hideMark/>
          </w:tcPr>
          <w:p w:rsidR="00ED7D08" w:rsidRPr="00CD3A2D" w:rsidRDefault="00ED7D08" w:rsidP="00ED7D08">
            <w:pPr>
              <w:rPr>
                <w:rFonts w:ascii="Calibri" w:hAnsi="Calibri" w:cs="Calibri"/>
                <w:color w:val="000000"/>
                <w:sz w:val="19"/>
                <w:szCs w:val="19"/>
                <w:lang w:val="hr-HR"/>
              </w:rPr>
            </w:pPr>
            <w:r w:rsidRPr="00CD3A2D">
              <w:rPr>
                <w:rFonts w:ascii="Calibri" w:hAnsi="Calibri" w:cs="Calibri"/>
                <w:color w:val="000000"/>
                <w:sz w:val="19"/>
                <w:szCs w:val="19"/>
                <w:lang w:val="hr-HR"/>
              </w:rPr>
              <w:t xml:space="preserve">Smanjenje rezerviranja za očekivane gubitke </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(79.902)</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(19.787)</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(24.364)</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(9.140)</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(133.193)</w:t>
            </w:r>
          </w:p>
        </w:tc>
        <w:tc>
          <w:tcPr>
            <w:tcW w:w="1022" w:type="dxa"/>
            <w:tcBorders>
              <w:top w:val="nil"/>
              <w:left w:val="nil"/>
              <w:bottom w:val="nil"/>
              <w:right w:val="nil"/>
            </w:tcBorders>
            <w:shd w:val="clear" w:color="auto" w:fill="auto"/>
          </w:tcPr>
          <w:p w:rsidR="00ED7D08" w:rsidRPr="00CD3A2D" w:rsidRDefault="00ED7D08" w:rsidP="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(21.878)</w:t>
            </w:r>
          </w:p>
        </w:tc>
      </w:tr>
      <w:tr w:rsidR="00ED7D08" w:rsidRPr="001567C8" w:rsidTr="003C6BA3">
        <w:trPr>
          <w:trHeight w:val="171"/>
        </w:trPr>
        <w:tc>
          <w:tcPr>
            <w:tcW w:w="3970" w:type="dxa"/>
            <w:tcBorders>
              <w:top w:val="nil"/>
              <w:left w:val="nil"/>
              <w:bottom w:val="nil"/>
              <w:right w:val="nil"/>
            </w:tcBorders>
            <w:shd w:val="clear" w:color="auto" w:fill="auto"/>
            <w:vAlign w:val="center"/>
            <w:hideMark/>
          </w:tcPr>
          <w:p w:rsidR="00ED7D08" w:rsidRPr="00CD3A2D" w:rsidRDefault="00716D22" w:rsidP="00ED7D08">
            <w:pPr>
              <w:rPr>
                <w:rFonts w:ascii="Calibri" w:hAnsi="Calibri" w:cs="Calibri"/>
                <w:color w:val="000000"/>
                <w:sz w:val="19"/>
                <w:szCs w:val="19"/>
                <w:lang w:val="hr-HR"/>
              </w:rPr>
            </w:pPr>
            <w:r w:rsidRPr="00CD3A2D">
              <w:rPr>
                <w:rFonts w:ascii="Calibri" w:hAnsi="Calibri" w:cs="Calibri"/>
                <w:color w:val="000000"/>
                <w:sz w:val="19"/>
                <w:szCs w:val="19"/>
                <w:lang w:val="hr-HR"/>
              </w:rPr>
              <w:t xml:space="preserve">Neto </w:t>
            </w:r>
            <w:r w:rsidR="0063609C" w:rsidRPr="00CD3A2D">
              <w:rPr>
                <w:rFonts w:ascii="Calibri" w:hAnsi="Calibri" w:cs="Calibri"/>
                <w:color w:val="000000"/>
                <w:sz w:val="19"/>
                <w:szCs w:val="19"/>
                <w:lang w:val="hr-HR"/>
              </w:rPr>
              <w:t>dobit/(gubitak) od tečajnih razlika po rezerviranjima za očekivane gubitke</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(193)</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382 </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1.645 </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1.825 </w:t>
            </w:r>
          </w:p>
        </w:tc>
        <w:tc>
          <w:tcPr>
            <w:tcW w:w="1022" w:type="dxa"/>
            <w:tcBorders>
              <w:top w:val="nil"/>
              <w:left w:val="nil"/>
              <w:bottom w:val="single" w:sz="8" w:space="0" w:color="auto"/>
              <w:right w:val="nil"/>
            </w:tcBorders>
            <w:shd w:val="clear" w:color="auto" w:fill="auto"/>
            <w:vAlign w:val="bottom"/>
          </w:tcPr>
          <w:p w:rsidR="00ED7D08" w:rsidRPr="00CD3A2D" w:rsidRDefault="00ED7D08">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(388)</w:t>
            </w:r>
          </w:p>
        </w:tc>
      </w:tr>
      <w:tr w:rsidR="00ED7D08" w:rsidRPr="001567C8" w:rsidTr="003C6BA3">
        <w:trPr>
          <w:trHeight w:val="171"/>
        </w:trPr>
        <w:tc>
          <w:tcPr>
            <w:tcW w:w="3970" w:type="dxa"/>
            <w:tcBorders>
              <w:top w:val="nil"/>
              <w:left w:val="nil"/>
              <w:bottom w:val="nil"/>
              <w:right w:val="nil"/>
            </w:tcBorders>
            <w:shd w:val="clear" w:color="auto" w:fill="auto"/>
            <w:vAlign w:val="bottom"/>
            <w:hideMark/>
          </w:tcPr>
          <w:p w:rsidR="00ED7D08" w:rsidRPr="00CD3A2D" w:rsidRDefault="00ED7D08" w:rsidP="008751BC">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Stanje 31. prosinca 2018. godine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(55.451)</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129.711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175.999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11.024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261.283 </w:t>
            </w:r>
          </w:p>
        </w:tc>
        <w:tc>
          <w:tcPr>
            <w:tcW w:w="1022" w:type="dxa"/>
            <w:tcBorders>
              <w:top w:val="nil"/>
              <w:left w:val="nil"/>
              <w:bottom w:val="single" w:sz="12" w:space="0" w:color="auto"/>
              <w:right w:val="nil"/>
            </w:tcBorders>
            <w:shd w:val="clear" w:color="auto" w:fill="auto"/>
            <w:vAlign w:val="bottom"/>
          </w:tcPr>
          <w:p w:rsidR="00ED7D08" w:rsidRPr="00CD3A2D" w:rsidRDefault="00ED7D08" w:rsidP="008751BC">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64.360 </w:t>
            </w:r>
          </w:p>
        </w:tc>
      </w:tr>
      <w:bookmarkEnd w:id="80"/>
    </w:tbl>
    <w:p w:rsidR="00E16FDD" w:rsidRPr="001567C8" w:rsidRDefault="00E16FDD" w:rsidP="002911A6">
      <w:pPr>
        <w:pStyle w:val="T1"/>
        <w:spacing w:before="0" w:after="0" w:line="240" w:lineRule="auto"/>
        <w:rPr>
          <w:rFonts w:asciiTheme="minorHAnsi" w:hAnsiTheme="minorHAnsi" w:cs="Arial"/>
          <w:sz w:val="22"/>
          <w:szCs w:val="22"/>
          <w:lang w:val="hr-HR"/>
        </w:rPr>
      </w:pPr>
    </w:p>
    <w:p w:rsidR="00E16FDD" w:rsidRPr="001567C8" w:rsidRDefault="00E16FDD" w:rsidP="002911A6">
      <w:pPr>
        <w:pStyle w:val="T1"/>
        <w:spacing w:before="0" w:after="0" w:line="240" w:lineRule="auto"/>
        <w:rPr>
          <w:rFonts w:asciiTheme="minorHAnsi" w:hAnsiTheme="minorHAnsi" w:cs="Arial"/>
          <w:sz w:val="22"/>
          <w:szCs w:val="22"/>
          <w:lang w:val="hr-HR"/>
        </w:rPr>
        <w:sectPr w:rsidR="00E16FDD" w:rsidRPr="001567C8" w:rsidSect="0077198A">
          <w:pgSz w:w="11907" w:h="16840" w:code="9"/>
          <w:pgMar w:top="1418" w:right="1134" w:bottom="1134" w:left="1418" w:header="851" w:footer="851" w:gutter="0"/>
          <w:cols w:space="720"/>
          <w:noEndnote/>
        </w:sectPr>
      </w:pPr>
    </w:p>
    <w:bookmarkEnd w:id="81"/>
    <w:p w:rsidR="00E16FDD" w:rsidRPr="001567C8" w:rsidRDefault="00E16FDD" w:rsidP="00E16FDD">
      <w:pPr>
        <w:pStyle w:val="T1"/>
        <w:spacing w:before="0" w:after="0" w:line="240" w:lineRule="auto"/>
        <w:rPr>
          <w:rFonts w:asciiTheme="minorHAnsi" w:hAnsiTheme="minorHAnsi" w:cs="Arial"/>
          <w:sz w:val="22"/>
          <w:szCs w:val="22"/>
          <w:lang w:val="hr-HR"/>
        </w:rPr>
      </w:pPr>
    </w:p>
    <w:p w:rsidR="00E16FDD" w:rsidRPr="001567C8" w:rsidRDefault="00E16FDD" w:rsidP="00E16FDD">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Pr="001567C8">
        <w:rPr>
          <w:rFonts w:asciiTheme="minorHAnsi" w:hAnsiTheme="minorHAnsi" w:cs="Arial"/>
          <w:sz w:val="22"/>
          <w:szCs w:val="22"/>
          <w:lang w:val="hr-HR"/>
        </w:rPr>
        <w:tab/>
        <w:t>Upravljanje rizicima (nastavak)</w:t>
      </w:r>
    </w:p>
    <w:p w:rsidR="00E16FDD" w:rsidRPr="001567C8" w:rsidRDefault="00E16FDD" w:rsidP="00E16FDD">
      <w:pPr>
        <w:pStyle w:val="T1"/>
        <w:spacing w:before="0" w:after="0" w:line="240" w:lineRule="auto"/>
        <w:rPr>
          <w:rFonts w:asciiTheme="minorHAnsi" w:hAnsiTheme="minorHAnsi" w:cs="Arial"/>
          <w:sz w:val="22"/>
          <w:szCs w:val="22"/>
          <w:lang w:val="hr-HR"/>
        </w:rPr>
      </w:pPr>
    </w:p>
    <w:p w:rsidR="00E16FDD" w:rsidRPr="001567C8" w:rsidRDefault="00E16FDD" w:rsidP="00E16FDD">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E16FDD" w:rsidRPr="001567C8" w:rsidRDefault="00E16FDD" w:rsidP="002911A6">
      <w:pPr>
        <w:pStyle w:val="T1"/>
        <w:spacing w:before="0" w:after="0" w:line="240" w:lineRule="auto"/>
        <w:rPr>
          <w:rFonts w:asciiTheme="minorHAnsi" w:hAnsiTheme="minorHAnsi" w:cs="Arial"/>
          <w:sz w:val="22"/>
          <w:szCs w:val="22"/>
          <w:lang w:val="hr-HR"/>
        </w:rPr>
      </w:pPr>
    </w:p>
    <w:p w:rsidR="009318F4" w:rsidRPr="001567C8" w:rsidRDefault="009318F4" w:rsidP="002911A6">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 xml:space="preserve">Kvaliteta kreditnog rizika prema vrsti financijske imovine </w:t>
      </w:r>
      <w:r w:rsidR="003E6AF7" w:rsidRPr="001567C8">
        <w:rPr>
          <w:rFonts w:asciiTheme="minorHAnsi" w:hAnsiTheme="minorHAnsi" w:cs="Arial"/>
          <w:sz w:val="22"/>
          <w:szCs w:val="22"/>
          <w:lang w:val="hr-HR"/>
        </w:rPr>
        <w:t>(nastavak)</w:t>
      </w:r>
    </w:p>
    <w:p w:rsidR="002911A6" w:rsidRPr="001567C8" w:rsidRDefault="002911A6" w:rsidP="00E266C9">
      <w:pPr>
        <w:jc w:val="both"/>
        <w:rPr>
          <w:rFonts w:asciiTheme="minorHAnsi" w:hAnsiTheme="minorHAnsi" w:cs="Arial"/>
          <w:sz w:val="22"/>
          <w:szCs w:val="22"/>
          <w:lang w:val="hr-HR"/>
        </w:rPr>
      </w:pPr>
    </w:p>
    <w:p w:rsidR="006E2C67" w:rsidRPr="001567C8" w:rsidRDefault="009318F4" w:rsidP="001D233C">
      <w:pPr>
        <w:jc w:val="both"/>
        <w:rPr>
          <w:rFonts w:asciiTheme="minorHAnsi" w:hAnsiTheme="minorHAnsi" w:cs="Arial"/>
          <w:sz w:val="22"/>
          <w:szCs w:val="22"/>
          <w:lang w:val="hr-HR"/>
        </w:rPr>
      </w:pPr>
      <w:r w:rsidRPr="001567C8">
        <w:rPr>
          <w:rFonts w:asciiTheme="minorHAnsi" w:hAnsiTheme="minorHAnsi" w:cs="Arial"/>
          <w:sz w:val="22"/>
          <w:szCs w:val="22"/>
          <w:lang w:val="hr-HR"/>
        </w:rPr>
        <w:t>Analiza kreditnog rizika</w:t>
      </w:r>
      <w:r w:rsidR="003F0EC8" w:rsidRPr="001567C8">
        <w:rPr>
          <w:rFonts w:asciiTheme="minorHAnsi" w:hAnsiTheme="minorHAnsi" w:cs="Arial"/>
          <w:sz w:val="22"/>
          <w:szCs w:val="22"/>
          <w:lang w:val="hr-HR"/>
        </w:rPr>
        <w:t>, neto</w:t>
      </w:r>
      <w:r w:rsidR="00603200" w:rsidRPr="00CD3A2D">
        <w:rPr>
          <w:lang w:val="hr-HR"/>
        </w:rPr>
        <w:t xml:space="preserve"> </w:t>
      </w:r>
      <w:r w:rsidR="00603200" w:rsidRPr="001567C8">
        <w:rPr>
          <w:rFonts w:asciiTheme="minorHAnsi" w:hAnsiTheme="minorHAnsi" w:cs="Arial"/>
          <w:sz w:val="22"/>
          <w:szCs w:val="22"/>
          <w:lang w:val="hr-HR"/>
        </w:rPr>
        <w:t>izloženost</w:t>
      </w:r>
      <w:r w:rsidR="003F0EC8"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prije i nakon uzimanja u obzir primljenih instrumenata osiguranja</w:t>
      </w:r>
      <w:r w:rsidR="003F0EC8" w:rsidRPr="001567C8">
        <w:rPr>
          <w:rFonts w:asciiTheme="minorHAnsi" w:hAnsiTheme="minorHAnsi" w:cs="Arial"/>
          <w:sz w:val="22"/>
          <w:szCs w:val="22"/>
          <w:lang w:val="hr-HR"/>
        </w:rPr>
        <w:t>,</w:t>
      </w:r>
      <w:r w:rsidRPr="001567C8">
        <w:rPr>
          <w:rFonts w:asciiTheme="minorHAnsi" w:hAnsiTheme="minorHAnsi" w:cs="Arial"/>
          <w:sz w:val="22"/>
          <w:szCs w:val="22"/>
          <w:lang w:val="hr-HR"/>
        </w:rPr>
        <w:t xml:space="preserve"> prema vrsti financijske imovine na pozicijama </w:t>
      </w:r>
      <w:r w:rsidR="008D6072" w:rsidRPr="001567C8">
        <w:rPr>
          <w:rFonts w:asciiTheme="minorHAnsi" w:hAnsiTheme="minorHAnsi" w:cs="Arial"/>
          <w:sz w:val="22"/>
          <w:szCs w:val="22"/>
          <w:lang w:val="hr-HR"/>
        </w:rPr>
        <w:t>imovine</w:t>
      </w:r>
      <w:r w:rsidRPr="001567C8">
        <w:rPr>
          <w:rFonts w:asciiTheme="minorHAnsi" w:hAnsiTheme="minorHAnsi" w:cs="Arial"/>
          <w:sz w:val="22"/>
          <w:szCs w:val="22"/>
          <w:lang w:val="hr-HR"/>
        </w:rPr>
        <w:t xml:space="preserve"> i garancija i preuzetih obveza prema rizičnim skupinama</w:t>
      </w:r>
      <w:r w:rsidR="00E7509F" w:rsidRPr="001567C8">
        <w:rPr>
          <w:rFonts w:asciiTheme="minorHAnsi" w:hAnsiTheme="minorHAnsi" w:cs="Arial"/>
          <w:sz w:val="22"/>
          <w:szCs w:val="22"/>
          <w:lang w:val="hr-HR"/>
        </w:rPr>
        <w:t xml:space="preserve"> (nastavak)</w:t>
      </w:r>
      <w:r w:rsidRPr="001567C8">
        <w:rPr>
          <w:rFonts w:asciiTheme="minorHAnsi" w:hAnsiTheme="minorHAnsi" w:cs="Arial"/>
          <w:sz w:val="22"/>
          <w:szCs w:val="22"/>
          <w:lang w:val="hr-HR"/>
        </w:rPr>
        <w:t>:</w:t>
      </w:r>
    </w:p>
    <w:p w:rsidR="00B65175" w:rsidRPr="001567C8" w:rsidRDefault="00B65175" w:rsidP="001D233C">
      <w:pPr>
        <w:jc w:val="both"/>
        <w:rPr>
          <w:rFonts w:asciiTheme="minorHAnsi" w:hAnsiTheme="minorHAnsi" w:cs="Arial"/>
          <w:sz w:val="22"/>
          <w:szCs w:val="22"/>
          <w:lang w:val="hr-HR"/>
        </w:rPr>
      </w:pPr>
    </w:p>
    <w:tbl>
      <w:tblPr>
        <w:tblW w:w="5428" w:type="pct"/>
        <w:jc w:val="center"/>
        <w:tblLayout w:type="fixed"/>
        <w:tblLook w:val="0000" w:firstRow="0" w:lastRow="0" w:firstColumn="0" w:lastColumn="0" w:noHBand="0" w:noVBand="0"/>
      </w:tblPr>
      <w:tblGrid>
        <w:gridCol w:w="1828"/>
        <w:gridCol w:w="1040"/>
        <w:gridCol w:w="1042"/>
        <w:gridCol w:w="1042"/>
        <w:gridCol w:w="1042"/>
        <w:gridCol w:w="1042"/>
        <w:gridCol w:w="1042"/>
        <w:gridCol w:w="1042"/>
        <w:gridCol w:w="1036"/>
      </w:tblGrid>
      <w:tr w:rsidR="00B65175" w:rsidRPr="001567C8" w:rsidTr="00B65175">
        <w:trPr>
          <w:trHeight w:val="445"/>
          <w:jc w:val="center"/>
        </w:trPr>
        <w:tc>
          <w:tcPr>
            <w:tcW w:w="900" w:type="pct"/>
          </w:tcPr>
          <w:p w:rsidR="00B65175" w:rsidRPr="001567C8" w:rsidRDefault="00B65175" w:rsidP="00B65175">
            <w:pPr>
              <w:rPr>
                <w:rFonts w:ascii="Calibri" w:eastAsia="Calibri" w:hAnsi="Calibri" w:cs="Arial"/>
                <w:b/>
                <w:bCs/>
                <w:sz w:val="16"/>
                <w:szCs w:val="16"/>
                <w:lang w:val="hr-HR"/>
              </w:rPr>
            </w:pPr>
            <w:r w:rsidRPr="001567C8">
              <w:rPr>
                <w:rFonts w:ascii="Calibri" w:eastAsia="Calibri" w:hAnsi="Calibri" w:cs="Arial"/>
                <w:b/>
                <w:bCs/>
                <w:sz w:val="16"/>
                <w:szCs w:val="16"/>
                <w:lang w:val="hr-HR"/>
              </w:rPr>
              <w:br w:type="page"/>
              <w:t>Grupa</w:t>
            </w:r>
          </w:p>
          <w:p w:rsidR="00B65175" w:rsidRPr="001567C8" w:rsidRDefault="00B65175" w:rsidP="00B65175">
            <w:pPr>
              <w:rPr>
                <w:rFonts w:ascii="Calibri" w:eastAsia="Calibri" w:hAnsi="Calibri" w:cs="Arial"/>
                <w:b/>
                <w:bCs/>
                <w:sz w:val="16"/>
                <w:szCs w:val="16"/>
                <w:lang w:val="hr-HR"/>
              </w:rPr>
            </w:pPr>
          </w:p>
          <w:p w:rsidR="00B65175" w:rsidRPr="001567C8" w:rsidRDefault="00B65175" w:rsidP="00B65175">
            <w:pPr>
              <w:rPr>
                <w:rFonts w:ascii="Calibri" w:eastAsia="Calibri" w:hAnsi="Calibri" w:cs="Arial"/>
                <w:b/>
                <w:bCs/>
                <w:sz w:val="16"/>
                <w:szCs w:val="16"/>
                <w:lang w:val="hr-HR"/>
              </w:rPr>
            </w:pPr>
          </w:p>
          <w:p w:rsidR="0073283D" w:rsidRPr="001567C8" w:rsidRDefault="00AD2EF7" w:rsidP="00B65175">
            <w:pPr>
              <w:rPr>
                <w:rFonts w:ascii="Calibri" w:eastAsia="Calibri" w:hAnsi="Calibri" w:cs="Arial"/>
                <w:b/>
                <w:bCs/>
                <w:sz w:val="16"/>
                <w:szCs w:val="16"/>
                <w:lang w:val="hr-HR"/>
              </w:rPr>
            </w:pPr>
            <w:r>
              <w:rPr>
                <w:rFonts w:ascii="Calibri" w:eastAsia="Calibri" w:hAnsi="Calibri" w:cs="Arial"/>
                <w:b/>
                <w:bCs/>
                <w:sz w:val="16"/>
                <w:szCs w:val="16"/>
                <w:lang w:val="hr-HR"/>
              </w:rPr>
              <w:t>31. prosin</w:t>
            </w:r>
            <w:r w:rsidR="0073283D" w:rsidRPr="001567C8">
              <w:rPr>
                <w:rFonts w:ascii="Calibri" w:eastAsia="Calibri" w:hAnsi="Calibri" w:cs="Arial"/>
                <w:b/>
                <w:bCs/>
                <w:sz w:val="16"/>
                <w:szCs w:val="16"/>
                <w:lang w:val="hr-HR"/>
              </w:rPr>
              <w:t>c</w:t>
            </w:r>
            <w:r>
              <w:rPr>
                <w:rFonts w:ascii="Calibri" w:eastAsia="Calibri" w:hAnsi="Calibri" w:cs="Arial"/>
                <w:b/>
                <w:bCs/>
                <w:sz w:val="16"/>
                <w:szCs w:val="16"/>
                <w:lang w:val="hr-HR"/>
              </w:rPr>
              <w:t>a</w:t>
            </w:r>
            <w:r w:rsidR="0073283D" w:rsidRPr="001567C8">
              <w:rPr>
                <w:rFonts w:ascii="Calibri" w:eastAsia="Calibri" w:hAnsi="Calibri" w:cs="Arial"/>
                <w:b/>
                <w:bCs/>
                <w:sz w:val="16"/>
                <w:szCs w:val="16"/>
                <w:lang w:val="hr-HR"/>
              </w:rPr>
              <w:t xml:space="preserve"> </w:t>
            </w:r>
          </w:p>
          <w:p w:rsidR="00B65175" w:rsidRPr="001567C8" w:rsidRDefault="00B65175" w:rsidP="00B65175">
            <w:pPr>
              <w:rPr>
                <w:rFonts w:ascii="Calibri" w:eastAsia="Calibri" w:hAnsi="Calibri" w:cs="Arial"/>
                <w:sz w:val="16"/>
                <w:szCs w:val="16"/>
                <w:lang w:val="hr-HR"/>
              </w:rPr>
            </w:pPr>
            <w:r w:rsidRPr="001567C8">
              <w:rPr>
                <w:rFonts w:ascii="Calibri" w:eastAsia="Calibri" w:hAnsi="Calibri" w:cs="Arial"/>
                <w:b/>
                <w:bCs/>
                <w:sz w:val="16"/>
                <w:szCs w:val="16"/>
                <w:lang w:val="hr-HR"/>
              </w:rPr>
              <w:t xml:space="preserve">2017. </w:t>
            </w:r>
            <w:r w:rsidR="007C5023" w:rsidRPr="001567C8">
              <w:rPr>
                <w:rFonts w:ascii="Calibri" w:eastAsia="Calibri" w:hAnsi="Calibri" w:cs="Arial"/>
                <w:b/>
                <w:bCs/>
                <w:sz w:val="16"/>
                <w:szCs w:val="16"/>
                <w:lang w:val="hr-HR"/>
              </w:rPr>
              <w:t>godina</w:t>
            </w:r>
          </w:p>
        </w:tc>
        <w:tc>
          <w:tcPr>
            <w:tcW w:w="512" w:type="pct"/>
            <w:vAlign w:val="bottom"/>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Neto izloženost portfelja rizične skupine A</w:t>
            </w:r>
          </w:p>
        </w:tc>
        <w:tc>
          <w:tcPr>
            <w:tcW w:w="513" w:type="pct"/>
            <w:vAlign w:val="bottom"/>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Neto izloženost portfelja rizične skupine B</w:t>
            </w:r>
          </w:p>
        </w:tc>
        <w:tc>
          <w:tcPr>
            <w:tcW w:w="513" w:type="pct"/>
            <w:vAlign w:val="bottom"/>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Neto izloženost portfelja rizične skupine C</w:t>
            </w:r>
          </w:p>
        </w:tc>
        <w:tc>
          <w:tcPr>
            <w:tcW w:w="513" w:type="pct"/>
            <w:vAlign w:val="bottom"/>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Neto izloženost ukupnog portfelja</w:t>
            </w:r>
          </w:p>
        </w:tc>
        <w:tc>
          <w:tcPr>
            <w:tcW w:w="513" w:type="pct"/>
            <w:vAlign w:val="bottom"/>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Neto izloženost portfelja rizične skupine A nakon umanjenja za sredstva osiguranja</w:t>
            </w:r>
          </w:p>
        </w:tc>
        <w:tc>
          <w:tcPr>
            <w:tcW w:w="513" w:type="pct"/>
            <w:vAlign w:val="bottom"/>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Neto izloženost portfelja rizične skupine B nakon umanjenja za sredstva osiguranja</w:t>
            </w:r>
          </w:p>
        </w:tc>
        <w:tc>
          <w:tcPr>
            <w:tcW w:w="513" w:type="pct"/>
            <w:vAlign w:val="bottom"/>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Neto izloženost portfelja rizične skupine C nakon umanjenja za sredstva osiguranja</w:t>
            </w:r>
          </w:p>
        </w:tc>
        <w:tc>
          <w:tcPr>
            <w:tcW w:w="510" w:type="pct"/>
            <w:vAlign w:val="bottom"/>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Neto izloženost ukupnog portfelja nakon umanjenja za sredstva osiguranja</w:t>
            </w:r>
          </w:p>
        </w:tc>
      </w:tr>
      <w:tr w:rsidR="00B65175" w:rsidRPr="001567C8" w:rsidTr="00B65175">
        <w:trPr>
          <w:trHeight w:val="208"/>
          <w:jc w:val="center"/>
        </w:trPr>
        <w:tc>
          <w:tcPr>
            <w:tcW w:w="900" w:type="pct"/>
          </w:tcPr>
          <w:p w:rsidR="00B65175" w:rsidRPr="001567C8" w:rsidRDefault="00B65175" w:rsidP="00B65175">
            <w:pPr>
              <w:rPr>
                <w:rFonts w:ascii="Calibri" w:eastAsia="Calibri" w:hAnsi="Calibri" w:cs="Arial"/>
                <w:sz w:val="16"/>
                <w:szCs w:val="16"/>
                <w:lang w:val="hr-HR"/>
              </w:rPr>
            </w:pPr>
          </w:p>
        </w:tc>
        <w:tc>
          <w:tcPr>
            <w:tcW w:w="512" w:type="pct"/>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513" w:type="pct"/>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513" w:type="pct"/>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513" w:type="pct"/>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513" w:type="pct"/>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513" w:type="pct"/>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513" w:type="pct"/>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510" w:type="pct"/>
          </w:tcPr>
          <w:p w:rsidR="00B65175" w:rsidRPr="001567C8" w:rsidRDefault="00B65175" w:rsidP="00B65175">
            <w:pPr>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r>
      <w:tr w:rsidR="00B65175" w:rsidRPr="001567C8" w:rsidTr="00B65175">
        <w:trPr>
          <w:trHeight w:val="278"/>
          <w:jc w:val="center"/>
        </w:trPr>
        <w:tc>
          <w:tcPr>
            <w:tcW w:w="900" w:type="pct"/>
          </w:tcPr>
          <w:p w:rsidR="00B65175" w:rsidRPr="001567C8" w:rsidRDefault="00B65175" w:rsidP="00B65175">
            <w:pPr>
              <w:tabs>
                <w:tab w:val="right" w:pos="1202"/>
              </w:tabs>
              <w:spacing w:line="301" w:lineRule="exact"/>
              <w:outlineLvl w:val="0"/>
              <w:rPr>
                <w:rFonts w:ascii="Calibri" w:hAnsi="Calibri" w:cs="Arial"/>
                <w:b/>
                <w:bCs/>
                <w:sz w:val="16"/>
                <w:szCs w:val="16"/>
                <w:lang w:val="hr-HR"/>
              </w:rPr>
            </w:pPr>
            <w:r w:rsidRPr="001567C8">
              <w:rPr>
                <w:rFonts w:ascii="Calibri" w:hAnsi="Calibri" w:cs="Arial"/>
                <w:b/>
                <w:bCs/>
                <w:sz w:val="16"/>
                <w:szCs w:val="16"/>
                <w:lang w:val="hr-HR"/>
              </w:rPr>
              <w:t>Imovina</w:t>
            </w:r>
          </w:p>
        </w:tc>
        <w:tc>
          <w:tcPr>
            <w:tcW w:w="512" w:type="pct"/>
          </w:tcPr>
          <w:p w:rsidR="00B65175" w:rsidRPr="001567C8" w:rsidRDefault="00B65175" w:rsidP="00B65175">
            <w:pPr>
              <w:tabs>
                <w:tab w:val="right" w:pos="1202"/>
              </w:tabs>
              <w:spacing w:line="301" w:lineRule="exact"/>
              <w:outlineLvl w:val="0"/>
              <w:rPr>
                <w:rFonts w:ascii="Calibri" w:hAnsi="Calibri" w:cs="Arial"/>
                <w:b/>
                <w:bCs/>
                <w:sz w:val="16"/>
                <w:szCs w:val="16"/>
                <w:lang w:val="hr-HR"/>
              </w:rPr>
            </w:pPr>
          </w:p>
        </w:tc>
        <w:tc>
          <w:tcPr>
            <w:tcW w:w="513" w:type="pct"/>
          </w:tcPr>
          <w:p w:rsidR="00B65175" w:rsidRPr="001567C8" w:rsidRDefault="00B65175" w:rsidP="00B65175">
            <w:pPr>
              <w:tabs>
                <w:tab w:val="right" w:pos="1202"/>
              </w:tabs>
              <w:spacing w:line="301" w:lineRule="exact"/>
              <w:outlineLvl w:val="0"/>
              <w:rPr>
                <w:rFonts w:ascii="Calibri" w:hAnsi="Calibri" w:cs="Arial"/>
                <w:b/>
                <w:bCs/>
                <w:sz w:val="16"/>
                <w:szCs w:val="16"/>
                <w:lang w:val="hr-HR"/>
              </w:rPr>
            </w:pPr>
          </w:p>
        </w:tc>
        <w:tc>
          <w:tcPr>
            <w:tcW w:w="513" w:type="pct"/>
          </w:tcPr>
          <w:p w:rsidR="00B65175" w:rsidRPr="001567C8" w:rsidRDefault="00B65175" w:rsidP="00B65175">
            <w:pPr>
              <w:tabs>
                <w:tab w:val="right" w:pos="1202"/>
              </w:tabs>
              <w:spacing w:line="301" w:lineRule="exact"/>
              <w:outlineLvl w:val="0"/>
              <w:rPr>
                <w:rFonts w:ascii="Calibri" w:hAnsi="Calibri" w:cs="Arial"/>
                <w:b/>
                <w:bCs/>
                <w:sz w:val="16"/>
                <w:szCs w:val="16"/>
                <w:lang w:val="hr-HR"/>
              </w:rPr>
            </w:pPr>
          </w:p>
        </w:tc>
        <w:tc>
          <w:tcPr>
            <w:tcW w:w="513" w:type="pct"/>
          </w:tcPr>
          <w:p w:rsidR="00B65175" w:rsidRPr="001567C8" w:rsidRDefault="00B65175" w:rsidP="00B65175">
            <w:pPr>
              <w:tabs>
                <w:tab w:val="right" w:pos="1202"/>
              </w:tabs>
              <w:spacing w:line="301" w:lineRule="exact"/>
              <w:outlineLvl w:val="0"/>
              <w:rPr>
                <w:rFonts w:ascii="Calibri" w:hAnsi="Calibri" w:cs="Arial"/>
                <w:b/>
                <w:bCs/>
                <w:sz w:val="16"/>
                <w:szCs w:val="16"/>
                <w:lang w:val="hr-HR"/>
              </w:rPr>
            </w:pPr>
          </w:p>
        </w:tc>
        <w:tc>
          <w:tcPr>
            <w:tcW w:w="513" w:type="pct"/>
          </w:tcPr>
          <w:p w:rsidR="00B65175" w:rsidRPr="001567C8" w:rsidRDefault="00B65175" w:rsidP="00B65175">
            <w:pPr>
              <w:tabs>
                <w:tab w:val="right" w:pos="1202"/>
              </w:tabs>
              <w:spacing w:line="301" w:lineRule="exact"/>
              <w:outlineLvl w:val="0"/>
              <w:rPr>
                <w:rFonts w:ascii="Calibri" w:hAnsi="Calibri" w:cs="Arial"/>
                <w:b/>
                <w:bCs/>
                <w:sz w:val="16"/>
                <w:szCs w:val="16"/>
                <w:lang w:val="hr-HR"/>
              </w:rPr>
            </w:pPr>
          </w:p>
        </w:tc>
        <w:tc>
          <w:tcPr>
            <w:tcW w:w="513" w:type="pct"/>
          </w:tcPr>
          <w:p w:rsidR="00B65175" w:rsidRPr="001567C8" w:rsidRDefault="00B65175" w:rsidP="00B65175">
            <w:pPr>
              <w:tabs>
                <w:tab w:val="right" w:pos="1202"/>
              </w:tabs>
              <w:spacing w:line="301" w:lineRule="exact"/>
              <w:outlineLvl w:val="0"/>
              <w:rPr>
                <w:rFonts w:ascii="Calibri" w:hAnsi="Calibri" w:cs="Arial"/>
                <w:b/>
                <w:bCs/>
                <w:sz w:val="16"/>
                <w:szCs w:val="16"/>
                <w:lang w:val="hr-HR"/>
              </w:rPr>
            </w:pPr>
          </w:p>
        </w:tc>
        <w:tc>
          <w:tcPr>
            <w:tcW w:w="513" w:type="pct"/>
          </w:tcPr>
          <w:p w:rsidR="00B65175" w:rsidRPr="001567C8" w:rsidRDefault="00B65175" w:rsidP="00B65175">
            <w:pPr>
              <w:tabs>
                <w:tab w:val="right" w:pos="1202"/>
              </w:tabs>
              <w:spacing w:line="301" w:lineRule="exact"/>
              <w:outlineLvl w:val="0"/>
              <w:rPr>
                <w:rFonts w:ascii="Calibri" w:hAnsi="Calibri" w:cs="Arial"/>
                <w:b/>
                <w:bCs/>
                <w:sz w:val="16"/>
                <w:szCs w:val="16"/>
                <w:lang w:val="hr-HR"/>
              </w:rPr>
            </w:pPr>
          </w:p>
        </w:tc>
        <w:tc>
          <w:tcPr>
            <w:tcW w:w="510" w:type="pct"/>
          </w:tcPr>
          <w:p w:rsidR="00B65175" w:rsidRPr="001567C8" w:rsidRDefault="00B65175" w:rsidP="00B65175">
            <w:pPr>
              <w:tabs>
                <w:tab w:val="right" w:pos="1202"/>
              </w:tabs>
              <w:spacing w:line="301" w:lineRule="exact"/>
              <w:outlineLvl w:val="0"/>
              <w:rPr>
                <w:rFonts w:ascii="Calibri" w:hAnsi="Calibri" w:cs="Arial"/>
                <w:b/>
                <w:bCs/>
                <w:sz w:val="16"/>
                <w:szCs w:val="16"/>
                <w:lang w:val="hr-HR"/>
              </w:rPr>
            </w:pPr>
          </w:p>
        </w:tc>
      </w:tr>
      <w:tr w:rsidR="00B65175" w:rsidRPr="001567C8" w:rsidTr="00B65175">
        <w:trPr>
          <w:trHeight w:val="405"/>
          <w:jc w:val="center"/>
        </w:trPr>
        <w:tc>
          <w:tcPr>
            <w:tcW w:w="900" w:type="pct"/>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Novčana sredstva i računi kod banaka</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1.403.664</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1.403.664</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r>
      <w:tr w:rsidR="00B65175" w:rsidRPr="001567C8" w:rsidTr="00B65175">
        <w:trPr>
          <w:trHeight w:val="405"/>
          <w:jc w:val="center"/>
        </w:trPr>
        <w:tc>
          <w:tcPr>
            <w:tcW w:w="900" w:type="pct"/>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Depoziti kod drugih banaka</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29.138</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29.138</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r>
      <w:tr w:rsidR="00B65175" w:rsidRPr="001567C8" w:rsidTr="00B65175">
        <w:trPr>
          <w:trHeight w:val="405"/>
          <w:jc w:val="center"/>
        </w:trPr>
        <w:tc>
          <w:tcPr>
            <w:tcW w:w="900" w:type="pct"/>
            <w:vAlign w:val="center"/>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Krediti financijskim institucijama</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10.624.635</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211.506</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10.836.141</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r>
      <w:tr w:rsidR="00B65175" w:rsidRPr="001567C8" w:rsidTr="00B65175">
        <w:trPr>
          <w:trHeight w:val="405"/>
          <w:jc w:val="center"/>
        </w:trPr>
        <w:tc>
          <w:tcPr>
            <w:tcW w:w="900" w:type="pct"/>
            <w:vAlign w:val="bottom"/>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Krediti ostalim korisnicima</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pacing w:val="-2"/>
                <w:sz w:val="16"/>
                <w:szCs w:val="16"/>
                <w:lang w:val="hr-HR"/>
              </w:rPr>
            </w:pPr>
            <w:r w:rsidRPr="001567C8">
              <w:rPr>
                <w:rFonts w:ascii="Calibri" w:hAnsi="Calibri" w:cs="Calibri"/>
                <w:color w:val="000000"/>
                <w:sz w:val="16"/>
                <w:szCs w:val="16"/>
                <w:lang w:val="hr-HR"/>
              </w:rPr>
              <w:t>10.990.700</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pacing w:val="-2"/>
                <w:sz w:val="16"/>
                <w:szCs w:val="16"/>
                <w:lang w:val="hr-HR"/>
              </w:rPr>
            </w:pPr>
            <w:r w:rsidRPr="001567C8">
              <w:rPr>
                <w:rFonts w:ascii="Calibri" w:hAnsi="Calibri" w:cs="Calibri"/>
                <w:color w:val="000000"/>
                <w:sz w:val="16"/>
                <w:szCs w:val="16"/>
                <w:lang w:val="hr-HR"/>
              </w:rPr>
              <w:t>1.392.923</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pacing w:val="-2"/>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pacing w:val="-2"/>
                <w:sz w:val="16"/>
                <w:szCs w:val="16"/>
                <w:lang w:val="hr-HR"/>
              </w:rPr>
            </w:pPr>
            <w:r w:rsidRPr="001567C8">
              <w:rPr>
                <w:rFonts w:ascii="Calibri" w:hAnsi="Calibri" w:cs="Calibri"/>
                <w:color w:val="000000"/>
                <w:sz w:val="16"/>
                <w:szCs w:val="16"/>
                <w:lang w:val="hr-HR"/>
              </w:rPr>
              <w:t>12.383.623</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2.761.223</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50.706</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w:t>
            </w: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2.811.929</w:t>
            </w:r>
          </w:p>
        </w:tc>
      </w:tr>
      <w:tr w:rsidR="00B65175" w:rsidRPr="001567C8" w:rsidTr="00B65175">
        <w:trPr>
          <w:trHeight w:val="417"/>
          <w:jc w:val="center"/>
        </w:trPr>
        <w:tc>
          <w:tcPr>
            <w:tcW w:w="900" w:type="pct"/>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Imovina raspoloživa za prodaju</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2.483.371</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highlight w:val="yellow"/>
                <w:lang w:val="hr-HR"/>
              </w:rPr>
            </w:pPr>
            <w:r w:rsidRPr="001567C8">
              <w:rPr>
                <w:rFonts w:ascii="Calibri" w:hAnsi="Calibri" w:cs="Calibri"/>
                <w:color w:val="000000"/>
                <w:sz w:val="16"/>
                <w:szCs w:val="16"/>
                <w:lang w:val="hr-HR"/>
              </w:rPr>
              <w:t>2.483.371</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2.483.371</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2.483.371</w:t>
            </w:r>
          </w:p>
        </w:tc>
      </w:tr>
      <w:tr w:rsidR="00B65175" w:rsidRPr="001567C8" w:rsidTr="00B65175">
        <w:trPr>
          <w:trHeight w:val="405"/>
          <w:jc w:val="center"/>
        </w:trPr>
        <w:tc>
          <w:tcPr>
            <w:tcW w:w="900" w:type="pct"/>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Imovina koja se drži do dospijeća</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1.399</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1.399</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1.399</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1.399</w:t>
            </w:r>
          </w:p>
        </w:tc>
      </w:tr>
      <w:tr w:rsidR="00B65175" w:rsidRPr="001567C8" w:rsidTr="00B65175">
        <w:trPr>
          <w:trHeight w:val="266"/>
          <w:jc w:val="center"/>
        </w:trPr>
        <w:tc>
          <w:tcPr>
            <w:tcW w:w="900" w:type="pct"/>
            <w:vAlign w:val="bottom"/>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Ostala imovina</w:t>
            </w:r>
          </w:p>
        </w:tc>
        <w:tc>
          <w:tcPr>
            <w:tcW w:w="512" w:type="pct"/>
            <w:tcBorders>
              <w:top w:val="nil"/>
              <w:left w:val="nil"/>
              <w:bottom w:val="single" w:sz="8"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18.871</w:t>
            </w:r>
          </w:p>
        </w:tc>
        <w:tc>
          <w:tcPr>
            <w:tcW w:w="513" w:type="pct"/>
            <w:tcBorders>
              <w:top w:val="nil"/>
              <w:left w:val="nil"/>
              <w:bottom w:val="single" w:sz="8"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426</w:t>
            </w:r>
          </w:p>
        </w:tc>
        <w:tc>
          <w:tcPr>
            <w:tcW w:w="513" w:type="pct"/>
            <w:tcBorders>
              <w:top w:val="nil"/>
              <w:left w:val="nil"/>
              <w:bottom w:val="single" w:sz="8"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3" w:type="pct"/>
            <w:tcBorders>
              <w:top w:val="nil"/>
              <w:left w:val="nil"/>
              <w:bottom w:val="single" w:sz="8"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19.297</w:t>
            </w:r>
          </w:p>
        </w:tc>
        <w:tc>
          <w:tcPr>
            <w:tcW w:w="513" w:type="pct"/>
            <w:tcBorders>
              <w:top w:val="nil"/>
              <w:left w:val="nil"/>
              <w:bottom w:val="single" w:sz="8"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10.608</w:t>
            </w:r>
          </w:p>
        </w:tc>
        <w:tc>
          <w:tcPr>
            <w:tcW w:w="513" w:type="pct"/>
            <w:tcBorders>
              <w:top w:val="nil"/>
              <w:left w:val="nil"/>
              <w:bottom w:val="single" w:sz="8"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426</w:t>
            </w:r>
          </w:p>
        </w:tc>
        <w:tc>
          <w:tcPr>
            <w:tcW w:w="513" w:type="pct"/>
            <w:tcBorders>
              <w:top w:val="nil"/>
              <w:left w:val="nil"/>
              <w:bottom w:val="single" w:sz="8"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w:t>
            </w:r>
          </w:p>
        </w:tc>
        <w:tc>
          <w:tcPr>
            <w:tcW w:w="510" w:type="pct"/>
            <w:tcBorders>
              <w:top w:val="nil"/>
              <w:left w:val="nil"/>
              <w:bottom w:val="single" w:sz="8"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snapToGrid w:val="0"/>
                <w:sz w:val="16"/>
                <w:szCs w:val="16"/>
                <w:lang w:val="hr-HR"/>
              </w:rPr>
            </w:pPr>
            <w:r w:rsidRPr="001567C8">
              <w:rPr>
                <w:rFonts w:ascii="Calibri" w:hAnsi="Calibri" w:cs="Calibri"/>
                <w:color w:val="000000"/>
                <w:sz w:val="16"/>
                <w:szCs w:val="16"/>
                <w:lang w:val="hr-HR"/>
              </w:rPr>
              <w:t>11.034</w:t>
            </w:r>
          </w:p>
        </w:tc>
      </w:tr>
      <w:tr w:rsidR="00B65175" w:rsidRPr="001567C8" w:rsidTr="00B65175">
        <w:trPr>
          <w:trHeight w:val="301"/>
          <w:jc w:val="center"/>
        </w:trPr>
        <w:tc>
          <w:tcPr>
            <w:tcW w:w="900" w:type="pct"/>
          </w:tcPr>
          <w:p w:rsidR="00B65175" w:rsidRPr="001567C8" w:rsidRDefault="00B65175" w:rsidP="00B65175">
            <w:pPr>
              <w:tabs>
                <w:tab w:val="right" w:pos="1202"/>
              </w:tabs>
              <w:spacing w:line="340" w:lineRule="exact"/>
              <w:outlineLvl w:val="0"/>
              <w:rPr>
                <w:rFonts w:ascii="Calibri" w:hAnsi="Calibri" w:cs="Arial"/>
                <w:b/>
                <w:bCs/>
                <w:sz w:val="16"/>
                <w:szCs w:val="16"/>
                <w:lang w:val="hr-HR"/>
              </w:rPr>
            </w:pPr>
            <w:r w:rsidRPr="001567C8">
              <w:rPr>
                <w:rFonts w:ascii="Calibri" w:hAnsi="Calibri" w:cs="Arial"/>
                <w:b/>
                <w:bCs/>
                <w:sz w:val="16"/>
                <w:szCs w:val="16"/>
                <w:lang w:val="hr-HR"/>
              </w:rPr>
              <w:t>Ukupno</w:t>
            </w:r>
          </w:p>
        </w:tc>
        <w:tc>
          <w:tcPr>
            <w:tcW w:w="512"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25.551.778</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1.604.855</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snapToGrid w:val="0"/>
                <w:sz w:val="16"/>
                <w:szCs w:val="16"/>
                <w:lang w:val="hr-HR"/>
              </w:rPr>
            </w:pPr>
            <w:r w:rsidRPr="001567C8">
              <w:rPr>
                <w:rFonts w:ascii="Calibri" w:hAnsi="Calibri" w:cs="Calibri"/>
                <w:b/>
                <w:bCs/>
                <w:color w:val="000000"/>
                <w:sz w:val="16"/>
                <w:szCs w:val="16"/>
                <w:lang w:val="hr-HR"/>
              </w:rPr>
              <w:t>-</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27.156.633</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5.256.601</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51.132</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w:t>
            </w:r>
          </w:p>
        </w:tc>
        <w:tc>
          <w:tcPr>
            <w:tcW w:w="510"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5.307.733</w:t>
            </w:r>
          </w:p>
        </w:tc>
      </w:tr>
      <w:tr w:rsidR="00B65175" w:rsidRPr="001567C8" w:rsidTr="00B65175">
        <w:trPr>
          <w:trHeight w:val="382"/>
          <w:jc w:val="center"/>
        </w:trPr>
        <w:tc>
          <w:tcPr>
            <w:tcW w:w="900" w:type="pct"/>
          </w:tcPr>
          <w:p w:rsidR="00B65175" w:rsidRPr="001567C8" w:rsidRDefault="00B65175" w:rsidP="00B65175">
            <w:pPr>
              <w:tabs>
                <w:tab w:val="right" w:pos="1202"/>
              </w:tabs>
              <w:spacing w:line="200" w:lineRule="exact"/>
              <w:outlineLvl w:val="0"/>
              <w:rPr>
                <w:rFonts w:ascii="Calibri" w:hAnsi="Calibri" w:cs="Arial"/>
                <w:b/>
                <w:bCs/>
                <w:sz w:val="16"/>
                <w:szCs w:val="16"/>
                <w:lang w:val="hr-HR"/>
              </w:rPr>
            </w:pPr>
            <w:r w:rsidRPr="001567C8">
              <w:rPr>
                <w:rFonts w:ascii="Calibri" w:hAnsi="Calibri" w:cs="Arial"/>
                <w:b/>
                <w:bCs/>
                <w:sz w:val="16"/>
                <w:szCs w:val="16"/>
                <w:lang w:val="hr-HR"/>
              </w:rPr>
              <w:t>Garancije i preuzete obveze</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p>
        </w:tc>
      </w:tr>
      <w:tr w:rsidR="00B65175" w:rsidRPr="001567C8" w:rsidTr="00B65175">
        <w:trPr>
          <w:trHeight w:val="371"/>
          <w:jc w:val="center"/>
        </w:trPr>
        <w:tc>
          <w:tcPr>
            <w:tcW w:w="900" w:type="pct"/>
            <w:vAlign w:val="center"/>
          </w:tcPr>
          <w:p w:rsidR="00B65175" w:rsidRPr="001567C8" w:rsidRDefault="00B65175" w:rsidP="00B65175">
            <w:pPr>
              <w:tabs>
                <w:tab w:val="right" w:pos="1202"/>
              </w:tabs>
              <w:spacing w:line="200" w:lineRule="exact"/>
              <w:outlineLvl w:val="0"/>
              <w:rPr>
                <w:rFonts w:ascii="Calibri" w:hAnsi="Calibri" w:cs="Arial"/>
                <w:b/>
                <w:bCs/>
                <w:sz w:val="16"/>
                <w:szCs w:val="16"/>
                <w:lang w:val="hr-HR"/>
              </w:rPr>
            </w:pPr>
            <w:r w:rsidRPr="001567C8">
              <w:rPr>
                <w:rFonts w:ascii="Calibri" w:hAnsi="Calibri" w:cs="Arial"/>
                <w:sz w:val="16"/>
                <w:szCs w:val="16"/>
                <w:lang w:val="hr-HR"/>
              </w:rPr>
              <w:t>Izdane garancije u kunama</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r w:rsidRPr="001567C8">
              <w:rPr>
                <w:rFonts w:ascii="Calibri" w:hAnsi="Calibri" w:cs="Calibri"/>
                <w:color w:val="000000"/>
                <w:sz w:val="16"/>
                <w:szCs w:val="16"/>
                <w:lang w:val="hr-HR"/>
              </w:rPr>
              <w:t>33.993</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r w:rsidRPr="001567C8">
              <w:rPr>
                <w:rFonts w:ascii="Calibri" w:hAnsi="Calibri" w:cs="Calibri"/>
                <w:color w:val="000000"/>
                <w:sz w:val="16"/>
                <w:szCs w:val="16"/>
                <w:lang w:val="hr-HR"/>
              </w:rPr>
              <w:t>33.993</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r w:rsidRPr="001567C8">
              <w:rPr>
                <w:rFonts w:ascii="Calibri" w:hAnsi="Calibri" w:cs="Calibri"/>
                <w:color w:val="000000"/>
                <w:sz w:val="16"/>
                <w:szCs w:val="16"/>
                <w:lang w:val="hr-HR"/>
              </w:rPr>
              <w:t>1.254</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r w:rsidRPr="001567C8">
              <w:rPr>
                <w:rFonts w:ascii="Calibri" w:hAnsi="Calibri" w:cs="Calibri"/>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r w:rsidRPr="001567C8">
              <w:rPr>
                <w:rFonts w:ascii="Calibri" w:hAnsi="Calibri" w:cs="Calibri"/>
                <w:color w:val="000000"/>
                <w:sz w:val="16"/>
                <w:szCs w:val="16"/>
                <w:lang w:val="hr-HR"/>
              </w:rPr>
              <w:t>-</w:t>
            </w: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hAnsi="Calibri" w:cs="Arial"/>
                <w:b/>
                <w:bCs/>
                <w:sz w:val="16"/>
                <w:szCs w:val="16"/>
                <w:lang w:val="hr-HR"/>
              </w:rPr>
            </w:pPr>
            <w:r w:rsidRPr="001567C8">
              <w:rPr>
                <w:rFonts w:ascii="Calibri" w:hAnsi="Calibri" w:cs="Calibri"/>
                <w:color w:val="000000"/>
                <w:sz w:val="16"/>
                <w:szCs w:val="16"/>
                <w:lang w:val="hr-HR"/>
              </w:rPr>
              <w:t>1.254</w:t>
            </w:r>
          </w:p>
        </w:tc>
      </w:tr>
      <w:tr w:rsidR="00B65175" w:rsidRPr="001567C8" w:rsidTr="00B65175">
        <w:trPr>
          <w:trHeight w:val="405"/>
          <w:jc w:val="center"/>
        </w:trPr>
        <w:tc>
          <w:tcPr>
            <w:tcW w:w="900" w:type="pct"/>
            <w:vAlign w:val="center"/>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Izdane garancije u devizama</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z w:val="16"/>
                <w:szCs w:val="16"/>
                <w:lang w:val="hr-HR"/>
              </w:rPr>
            </w:pPr>
            <w:r w:rsidRPr="001567C8">
              <w:rPr>
                <w:rFonts w:ascii="Calibri" w:eastAsia="Calibri" w:hAnsi="Calibri" w:cs="Arial"/>
                <w:bCs/>
                <w:color w:val="000000"/>
                <w:sz w:val="16"/>
                <w:szCs w:val="16"/>
                <w:lang w:val="hr-HR"/>
              </w:rPr>
              <w:t>2.425.975</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z w:val="16"/>
                <w:szCs w:val="16"/>
                <w:lang w:val="hr-HR"/>
              </w:rPr>
            </w:pPr>
            <w:r w:rsidRPr="001567C8">
              <w:rPr>
                <w:rFonts w:ascii="Calibri" w:eastAsia="Calibri" w:hAnsi="Calibri" w:cs="Arial"/>
                <w:bCs/>
                <w:color w:val="000000"/>
                <w:sz w:val="16"/>
                <w:szCs w:val="16"/>
                <w:lang w:val="hr-HR"/>
              </w:rPr>
              <w:t>20.349</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napToGrid w:val="0"/>
                <w:sz w:val="16"/>
                <w:szCs w:val="16"/>
                <w:lang w:val="hr-HR"/>
              </w:rPr>
            </w:pPr>
            <w:r w:rsidRPr="001567C8">
              <w:rPr>
                <w:rFonts w:ascii="Calibri" w:eastAsia="Calibri" w:hAnsi="Calibri" w:cs="Arial"/>
                <w:bCs/>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z w:val="16"/>
                <w:szCs w:val="16"/>
                <w:lang w:val="hr-HR"/>
              </w:rPr>
            </w:pPr>
            <w:r w:rsidRPr="001567C8">
              <w:rPr>
                <w:rFonts w:ascii="Calibri" w:eastAsia="Calibri" w:hAnsi="Calibri" w:cs="Arial"/>
                <w:bCs/>
                <w:color w:val="000000"/>
                <w:sz w:val="16"/>
                <w:szCs w:val="16"/>
                <w:lang w:val="hr-HR"/>
              </w:rPr>
              <w:t>2.446.324</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z w:val="16"/>
                <w:szCs w:val="16"/>
                <w:lang w:val="hr-HR"/>
              </w:rPr>
            </w:pPr>
            <w:r w:rsidRPr="001567C8">
              <w:rPr>
                <w:rFonts w:ascii="Calibri" w:eastAsia="Calibri" w:hAnsi="Calibri" w:cs="Arial"/>
                <w:bCs/>
                <w:color w:val="000000"/>
                <w:sz w:val="16"/>
                <w:szCs w:val="16"/>
                <w:lang w:val="hr-HR"/>
              </w:rPr>
              <w:t>330.170</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napToGrid w:val="0"/>
                <w:sz w:val="16"/>
                <w:szCs w:val="16"/>
                <w:lang w:val="hr-HR"/>
              </w:rPr>
            </w:pPr>
            <w:r w:rsidRPr="001567C8">
              <w:rPr>
                <w:rFonts w:ascii="Calibri" w:eastAsia="Calibri" w:hAnsi="Calibri" w:cs="Arial"/>
                <w:bCs/>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napToGrid w:val="0"/>
                <w:sz w:val="16"/>
                <w:szCs w:val="16"/>
                <w:lang w:val="hr-HR"/>
              </w:rPr>
            </w:pPr>
            <w:r w:rsidRPr="001567C8">
              <w:rPr>
                <w:rFonts w:ascii="Calibri" w:eastAsia="Calibri" w:hAnsi="Calibri" w:cs="Arial"/>
                <w:bCs/>
                <w:color w:val="000000"/>
                <w:sz w:val="16"/>
                <w:szCs w:val="16"/>
                <w:lang w:val="hr-HR"/>
              </w:rPr>
              <w:t>-</w:t>
            </w: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z w:val="16"/>
                <w:szCs w:val="16"/>
                <w:lang w:val="hr-HR"/>
              </w:rPr>
            </w:pPr>
            <w:r w:rsidRPr="001567C8">
              <w:rPr>
                <w:rFonts w:ascii="Calibri" w:eastAsia="Calibri" w:hAnsi="Calibri" w:cs="Arial"/>
                <w:bCs/>
                <w:color w:val="000000"/>
                <w:sz w:val="16"/>
                <w:szCs w:val="16"/>
                <w:lang w:val="hr-HR"/>
              </w:rPr>
              <w:t>330.170</w:t>
            </w:r>
          </w:p>
        </w:tc>
      </w:tr>
      <w:tr w:rsidR="00B65175" w:rsidRPr="001567C8" w:rsidTr="00B65175">
        <w:trPr>
          <w:trHeight w:val="405"/>
          <w:jc w:val="center"/>
        </w:trPr>
        <w:tc>
          <w:tcPr>
            <w:tcW w:w="900" w:type="pct"/>
            <w:vAlign w:val="center"/>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Preuzete obveze po kreditima</w:t>
            </w: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z w:val="16"/>
                <w:szCs w:val="16"/>
                <w:lang w:val="hr-HR"/>
              </w:rPr>
            </w:pPr>
            <w:r w:rsidRPr="001567C8">
              <w:rPr>
                <w:rFonts w:ascii="Calibri" w:eastAsia="Calibri" w:hAnsi="Calibri" w:cs="Arial"/>
                <w:bCs/>
                <w:color w:val="000000"/>
                <w:sz w:val="16"/>
                <w:szCs w:val="16"/>
                <w:lang w:val="hr-HR"/>
              </w:rPr>
              <w:t>2.984.971</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napToGrid w:val="0"/>
                <w:sz w:val="16"/>
                <w:szCs w:val="16"/>
                <w:lang w:val="hr-HR"/>
              </w:rPr>
            </w:pPr>
            <w:r w:rsidRPr="001567C8">
              <w:rPr>
                <w:rFonts w:ascii="Calibri" w:eastAsia="Calibri" w:hAnsi="Calibri" w:cs="Arial"/>
                <w:bCs/>
                <w:color w:val="000000"/>
                <w:sz w:val="16"/>
                <w:szCs w:val="16"/>
                <w:lang w:val="hr-HR"/>
              </w:rPr>
              <w:t>1.827</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napToGrid w:val="0"/>
                <w:sz w:val="16"/>
                <w:szCs w:val="16"/>
                <w:lang w:val="hr-HR"/>
              </w:rPr>
            </w:pPr>
            <w:r w:rsidRPr="001567C8">
              <w:rPr>
                <w:rFonts w:ascii="Calibri" w:eastAsia="Calibri" w:hAnsi="Calibri" w:cs="Arial"/>
                <w:bCs/>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z w:val="16"/>
                <w:szCs w:val="16"/>
                <w:lang w:val="hr-HR"/>
              </w:rPr>
            </w:pPr>
            <w:r w:rsidRPr="001567C8">
              <w:rPr>
                <w:rFonts w:ascii="Calibri" w:eastAsia="Calibri" w:hAnsi="Calibri" w:cs="Arial"/>
                <w:bCs/>
                <w:color w:val="000000"/>
                <w:sz w:val="16"/>
                <w:szCs w:val="16"/>
                <w:lang w:val="hr-HR"/>
              </w:rPr>
              <w:t>2.986.798</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443.036</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w:t>
            </w: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w:t>
            </w: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443.036</w:t>
            </w:r>
          </w:p>
        </w:tc>
      </w:tr>
      <w:tr w:rsidR="00B65175" w:rsidRPr="001567C8" w:rsidTr="00B65175">
        <w:trPr>
          <w:trHeight w:val="614"/>
          <w:jc w:val="center"/>
        </w:trPr>
        <w:tc>
          <w:tcPr>
            <w:tcW w:w="900" w:type="pct"/>
            <w:vAlign w:val="center"/>
          </w:tcPr>
          <w:p w:rsidR="00B65175" w:rsidRPr="001567C8" w:rsidRDefault="00B65175" w:rsidP="00B65175">
            <w:pPr>
              <w:tabs>
                <w:tab w:val="right" w:pos="1202"/>
              </w:tabs>
              <w:outlineLvl w:val="0"/>
              <w:rPr>
                <w:rFonts w:ascii="Calibri" w:hAnsi="Calibri" w:cs="Arial"/>
                <w:sz w:val="16"/>
                <w:szCs w:val="16"/>
                <w:lang w:val="hr-HR"/>
              </w:rPr>
            </w:pPr>
            <w:r w:rsidRPr="001567C8">
              <w:rPr>
                <w:rFonts w:ascii="Calibri" w:hAnsi="Calibri" w:cs="Arial"/>
                <w:sz w:val="16"/>
                <w:szCs w:val="16"/>
                <w:lang w:val="hr-HR"/>
              </w:rPr>
              <w:t>Ostale nespomenute neopozive potencijalne obveze</w:t>
            </w:r>
          </w:p>
        </w:tc>
        <w:tc>
          <w:tcPr>
            <w:tcW w:w="512" w:type="pct"/>
            <w:tcBorders>
              <w:top w:val="nil"/>
              <w:left w:val="nil"/>
              <w:bottom w:val="single" w:sz="8" w:space="0" w:color="auto"/>
              <w:right w:val="nil"/>
            </w:tcBorders>
            <w:shd w:val="clear" w:color="auto" w:fill="auto"/>
            <w:vAlign w:val="center"/>
          </w:tcPr>
          <w:p w:rsidR="00B65175" w:rsidRPr="001567C8" w:rsidDel="006E2C67" w:rsidRDefault="00B65175" w:rsidP="00B65175">
            <w:pPr>
              <w:tabs>
                <w:tab w:val="right" w:pos="1202"/>
              </w:tabs>
              <w:spacing w:line="301" w:lineRule="exact"/>
              <w:jc w:val="right"/>
              <w:outlineLvl w:val="0"/>
              <w:rPr>
                <w:rFonts w:ascii="Calibri" w:eastAsia="Calibri" w:hAnsi="Calibri" w:cs="Arial"/>
                <w:sz w:val="16"/>
                <w:szCs w:val="16"/>
                <w:lang w:val="hr-HR"/>
              </w:rPr>
            </w:pPr>
            <w:r w:rsidRPr="001567C8">
              <w:rPr>
                <w:rFonts w:ascii="Calibri" w:eastAsia="Calibri" w:hAnsi="Calibri" w:cs="Arial"/>
                <w:bCs/>
                <w:color w:val="000000"/>
                <w:sz w:val="16"/>
                <w:szCs w:val="16"/>
                <w:lang w:val="hr-HR"/>
              </w:rPr>
              <w:t>335</w:t>
            </w:r>
          </w:p>
        </w:tc>
        <w:tc>
          <w:tcPr>
            <w:tcW w:w="513" w:type="pct"/>
            <w:tcBorders>
              <w:top w:val="nil"/>
              <w:left w:val="nil"/>
              <w:bottom w:val="single" w:sz="8" w:space="0" w:color="auto"/>
              <w:right w:val="nil"/>
            </w:tcBorders>
            <w:shd w:val="clear" w:color="auto" w:fill="auto"/>
            <w:vAlign w:val="center"/>
          </w:tcPr>
          <w:p w:rsidR="00B65175" w:rsidRPr="001567C8" w:rsidDel="006E2C67" w:rsidRDefault="00B65175" w:rsidP="00B65175">
            <w:pPr>
              <w:tabs>
                <w:tab w:val="right" w:pos="1202"/>
              </w:tabs>
              <w:spacing w:line="301" w:lineRule="exact"/>
              <w:jc w:val="right"/>
              <w:outlineLvl w:val="0"/>
              <w:rPr>
                <w:rFonts w:ascii="Calibri" w:eastAsia="Calibri" w:hAnsi="Calibri" w:cs="Arial"/>
                <w:snapToGrid w:val="0"/>
                <w:sz w:val="16"/>
                <w:szCs w:val="16"/>
                <w:lang w:val="hr-HR"/>
              </w:rPr>
            </w:pPr>
            <w:r w:rsidRPr="001567C8">
              <w:rPr>
                <w:rFonts w:ascii="Calibri" w:eastAsia="Calibri" w:hAnsi="Calibri" w:cs="Arial"/>
                <w:bCs/>
                <w:color w:val="000000"/>
                <w:sz w:val="16"/>
                <w:szCs w:val="16"/>
                <w:lang w:val="hr-HR"/>
              </w:rPr>
              <w:t>-</w:t>
            </w:r>
          </w:p>
        </w:tc>
        <w:tc>
          <w:tcPr>
            <w:tcW w:w="513" w:type="pct"/>
            <w:tcBorders>
              <w:top w:val="nil"/>
              <w:left w:val="nil"/>
              <w:bottom w:val="single" w:sz="8" w:space="0" w:color="auto"/>
              <w:right w:val="nil"/>
            </w:tcBorders>
            <w:shd w:val="clear" w:color="auto" w:fill="auto"/>
            <w:vAlign w:val="center"/>
          </w:tcPr>
          <w:p w:rsidR="00B65175" w:rsidRPr="001567C8" w:rsidDel="006E2C67" w:rsidRDefault="00B65175" w:rsidP="00B65175">
            <w:pPr>
              <w:tabs>
                <w:tab w:val="right" w:pos="1202"/>
              </w:tabs>
              <w:spacing w:line="301" w:lineRule="exact"/>
              <w:jc w:val="right"/>
              <w:outlineLvl w:val="0"/>
              <w:rPr>
                <w:rFonts w:ascii="Calibri" w:eastAsia="Calibri" w:hAnsi="Calibri" w:cs="Arial"/>
                <w:snapToGrid w:val="0"/>
                <w:sz w:val="16"/>
                <w:szCs w:val="16"/>
                <w:lang w:val="hr-HR"/>
              </w:rPr>
            </w:pPr>
            <w:r w:rsidRPr="001567C8">
              <w:rPr>
                <w:rFonts w:ascii="Calibri" w:eastAsia="Calibri" w:hAnsi="Calibri" w:cs="Arial"/>
                <w:bCs/>
                <w:color w:val="000000"/>
                <w:sz w:val="16"/>
                <w:szCs w:val="16"/>
                <w:lang w:val="hr-HR"/>
              </w:rPr>
              <w:t>-</w:t>
            </w:r>
          </w:p>
        </w:tc>
        <w:tc>
          <w:tcPr>
            <w:tcW w:w="513" w:type="pct"/>
            <w:tcBorders>
              <w:top w:val="nil"/>
              <w:left w:val="nil"/>
              <w:bottom w:val="single" w:sz="8" w:space="0" w:color="auto"/>
              <w:right w:val="nil"/>
            </w:tcBorders>
            <w:shd w:val="clear" w:color="auto" w:fill="auto"/>
            <w:vAlign w:val="center"/>
          </w:tcPr>
          <w:p w:rsidR="00B65175" w:rsidRPr="001567C8" w:rsidDel="006E2C67" w:rsidRDefault="00B65175" w:rsidP="00B65175">
            <w:pPr>
              <w:tabs>
                <w:tab w:val="right" w:pos="1202"/>
              </w:tabs>
              <w:spacing w:line="301" w:lineRule="exact"/>
              <w:jc w:val="right"/>
              <w:outlineLvl w:val="0"/>
              <w:rPr>
                <w:rFonts w:ascii="Calibri" w:eastAsia="Calibri" w:hAnsi="Calibri" w:cs="Arial"/>
                <w:sz w:val="16"/>
                <w:szCs w:val="16"/>
                <w:lang w:val="hr-HR"/>
              </w:rPr>
            </w:pPr>
            <w:r w:rsidRPr="001567C8">
              <w:rPr>
                <w:rFonts w:ascii="Calibri" w:eastAsia="Calibri" w:hAnsi="Calibri" w:cs="Calibri"/>
                <w:color w:val="000000"/>
                <w:sz w:val="16"/>
                <w:szCs w:val="16"/>
                <w:lang w:val="hr-HR"/>
              </w:rPr>
              <w:t>335</w:t>
            </w:r>
          </w:p>
        </w:tc>
        <w:tc>
          <w:tcPr>
            <w:tcW w:w="513" w:type="pct"/>
            <w:tcBorders>
              <w:top w:val="nil"/>
              <w:left w:val="nil"/>
              <w:bottom w:val="single" w:sz="8" w:space="0" w:color="auto"/>
              <w:right w:val="nil"/>
            </w:tcBorders>
            <w:shd w:val="clear" w:color="auto" w:fill="auto"/>
            <w:vAlign w:val="center"/>
          </w:tcPr>
          <w:p w:rsidR="00B65175" w:rsidRPr="001567C8" w:rsidDel="006E2C67"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335</w:t>
            </w:r>
          </w:p>
        </w:tc>
        <w:tc>
          <w:tcPr>
            <w:tcW w:w="513" w:type="pct"/>
            <w:tcBorders>
              <w:top w:val="nil"/>
              <w:left w:val="nil"/>
              <w:bottom w:val="single" w:sz="8" w:space="0" w:color="auto"/>
              <w:right w:val="nil"/>
            </w:tcBorders>
            <w:shd w:val="clear" w:color="auto" w:fill="auto"/>
            <w:vAlign w:val="center"/>
          </w:tcPr>
          <w:p w:rsidR="00B65175" w:rsidRPr="001567C8" w:rsidDel="006E2C67"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w:t>
            </w:r>
          </w:p>
        </w:tc>
        <w:tc>
          <w:tcPr>
            <w:tcW w:w="513" w:type="pct"/>
            <w:tcBorders>
              <w:top w:val="nil"/>
              <w:left w:val="nil"/>
              <w:bottom w:val="single" w:sz="8" w:space="0" w:color="auto"/>
              <w:right w:val="nil"/>
            </w:tcBorders>
            <w:shd w:val="clear" w:color="auto" w:fill="auto"/>
            <w:vAlign w:val="center"/>
          </w:tcPr>
          <w:p w:rsidR="00B65175" w:rsidRPr="001567C8" w:rsidDel="006E2C67"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w:t>
            </w:r>
          </w:p>
        </w:tc>
        <w:tc>
          <w:tcPr>
            <w:tcW w:w="510" w:type="pct"/>
            <w:tcBorders>
              <w:top w:val="nil"/>
              <w:left w:val="nil"/>
              <w:bottom w:val="single" w:sz="8" w:space="0" w:color="auto"/>
              <w:right w:val="nil"/>
            </w:tcBorders>
            <w:shd w:val="clear" w:color="auto" w:fill="auto"/>
            <w:vAlign w:val="center"/>
          </w:tcPr>
          <w:p w:rsidR="00B65175" w:rsidRPr="001567C8" w:rsidDel="006E2C67" w:rsidRDefault="00B65175" w:rsidP="00B65175">
            <w:pPr>
              <w:tabs>
                <w:tab w:val="right" w:pos="1202"/>
              </w:tabs>
              <w:spacing w:line="301" w:lineRule="exact"/>
              <w:jc w:val="right"/>
              <w:outlineLvl w:val="0"/>
              <w:rPr>
                <w:rFonts w:ascii="Calibri" w:eastAsia="Calibri" w:hAnsi="Calibri" w:cs="Arial"/>
                <w:spacing w:val="-2"/>
                <w:sz w:val="16"/>
                <w:szCs w:val="16"/>
                <w:lang w:val="hr-HR"/>
              </w:rPr>
            </w:pPr>
            <w:r w:rsidRPr="001567C8">
              <w:rPr>
                <w:rFonts w:ascii="Calibri" w:eastAsia="Calibri" w:hAnsi="Calibri" w:cs="Arial"/>
                <w:bCs/>
                <w:color w:val="000000"/>
                <w:sz w:val="16"/>
                <w:szCs w:val="16"/>
                <w:lang w:val="hr-HR"/>
              </w:rPr>
              <w:t>335</w:t>
            </w:r>
          </w:p>
        </w:tc>
      </w:tr>
      <w:tr w:rsidR="00B65175" w:rsidRPr="001567C8" w:rsidTr="00B65175">
        <w:trPr>
          <w:trHeight w:val="312"/>
          <w:jc w:val="center"/>
        </w:trPr>
        <w:tc>
          <w:tcPr>
            <w:tcW w:w="900" w:type="pct"/>
          </w:tcPr>
          <w:p w:rsidR="00B65175" w:rsidRPr="001567C8" w:rsidRDefault="00B65175" w:rsidP="00B65175">
            <w:pPr>
              <w:tabs>
                <w:tab w:val="right" w:pos="1202"/>
              </w:tabs>
              <w:spacing w:line="340" w:lineRule="exact"/>
              <w:outlineLvl w:val="0"/>
              <w:rPr>
                <w:rFonts w:ascii="Calibri" w:hAnsi="Calibri" w:cs="Arial"/>
                <w:b/>
                <w:bCs/>
                <w:sz w:val="16"/>
                <w:szCs w:val="16"/>
                <w:lang w:val="hr-HR"/>
              </w:rPr>
            </w:pPr>
            <w:r w:rsidRPr="001567C8">
              <w:rPr>
                <w:rFonts w:ascii="Calibri" w:hAnsi="Calibri" w:cs="Arial"/>
                <w:b/>
                <w:bCs/>
                <w:sz w:val="16"/>
                <w:szCs w:val="16"/>
                <w:lang w:val="hr-HR"/>
              </w:rPr>
              <w:t>Ukupno</w:t>
            </w:r>
          </w:p>
        </w:tc>
        <w:tc>
          <w:tcPr>
            <w:tcW w:w="512"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eastAsia="Calibri" w:hAnsi="Calibri" w:cs="Arial"/>
                <w:b/>
                <w:bCs/>
                <w:sz w:val="16"/>
                <w:szCs w:val="16"/>
                <w:lang w:val="hr-HR"/>
              </w:rPr>
            </w:pPr>
            <w:r w:rsidRPr="001567C8">
              <w:rPr>
                <w:rFonts w:ascii="Calibri" w:eastAsia="Calibri" w:hAnsi="Calibri" w:cs="Arial"/>
                <w:b/>
                <w:bCs/>
                <w:color w:val="000000"/>
                <w:sz w:val="16"/>
                <w:szCs w:val="16"/>
                <w:lang w:val="hr-HR"/>
              </w:rPr>
              <w:t>5.445.274</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eastAsia="Calibri" w:hAnsi="Calibri" w:cs="Arial"/>
                <w:b/>
                <w:bCs/>
                <w:sz w:val="16"/>
                <w:szCs w:val="16"/>
                <w:lang w:val="hr-HR"/>
              </w:rPr>
            </w:pPr>
            <w:r w:rsidRPr="001567C8">
              <w:rPr>
                <w:rFonts w:ascii="Calibri" w:eastAsia="Calibri" w:hAnsi="Calibri" w:cs="Arial"/>
                <w:b/>
                <w:bCs/>
                <w:color w:val="000000"/>
                <w:sz w:val="16"/>
                <w:szCs w:val="16"/>
                <w:lang w:val="hr-HR"/>
              </w:rPr>
              <w:t>22.176</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b/>
                <w:snapToGrid w:val="0"/>
                <w:sz w:val="16"/>
                <w:szCs w:val="16"/>
                <w:lang w:val="hr-HR"/>
              </w:rPr>
            </w:pPr>
            <w:r w:rsidRPr="001567C8">
              <w:rPr>
                <w:rFonts w:ascii="Calibri" w:eastAsia="Calibri" w:hAnsi="Calibri" w:cs="Arial"/>
                <w:b/>
                <w:bCs/>
                <w:color w:val="000000"/>
                <w:sz w:val="16"/>
                <w:szCs w:val="16"/>
                <w:lang w:val="hr-HR"/>
              </w:rPr>
              <w:t>-</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eastAsia="Calibri" w:hAnsi="Calibri" w:cs="Arial"/>
                <w:b/>
                <w:bCs/>
                <w:sz w:val="16"/>
                <w:szCs w:val="16"/>
                <w:lang w:val="hr-HR"/>
              </w:rPr>
            </w:pPr>
            <w:r w:rsidRPr="001567C8">
              <w:rPr>
                <w:rFonts w:ascii="Calibri" w:eastAsia="Calibri" w:hAnsi="Calibri" w:cs="Arial"/>
                <w:b/>
                <w:bCs/>
                <w:color w:val="000000"/>
                <w:sz w:val="16"/>
                <w:szCs w:val="16"/>
                <w:lang w:val="hr-HR"/>
              </w:rPr>
              <w:t>5.467.450</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eastAsia="Calibri" w:hAnsi="Calibri" w:cs="Arial"/>
                <w:b/>
                <w:bCs/>
                <w:sz w:val="16"/>
                <w:szCs w:val="16"/>
                <w:lang w:val="hr-HR"/>
              </w:rPr>
            </w:pPr>
            <w:r w:rsidRPr="001567C8">
              <w:rPr>
                <w:rFonts w:ascii="Calibri" w:eastAsia="Calibri" w:hAnsi="Calibri" w:cs="Arial"/>
                <w:b/>
                <w:bCs/>
                <w:color w:val="000000"/>
                <w:sz w:val="16"/>
                <w:szCs w:val="16"/>
                <w:lang w:val="hr-HR"/>
              </w:rPr>
              <w:t>774.795</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eastAsia="Calibri" w:hAnsi="Calibri" w:cs="Arial"/>
                <w:b/>
                <w:bCs/>
                <w:sz w:val="16"/>
                <w:szCs w:val="16"/>
                <w:lang w:val="hr-HR"/>
              </w:rPr>
            </w:pPr>
            <w:r w:rsidRPr="001567C8">
              <w:rPr>
                <w:rFonts w:ascii="Calibri" w:eastAsia="Calibri" w:hAnsi="Calibri" w:cs="Arial"/>
                <w:b/>
                <w:bCs/>
                <w:color w:val="000000"/>
                <w:sz w:val="16"/>
                <w:szCs w:val="16"/>
                <w:lang w:val="hr-HR"/>
              </w:rPr>
              <w:t>-</w:t>
            </w:r>
          </w:p>
        </w:tc>
        <w:tc>
          <w:tcPr>
            <w:tcW w:w="513"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01" w:lineRule="exact"/>
              <w:jc w:val="right"/>
              <w:outlineLvl w:val="0"/>
              <w:rPr>
                <w:rFonts w:ascii="Calibri" w:eastAsia="Calibri" w:hAnsi="Calibri" w:cs="Arial"/>
                <w:b/>
                <w:spacing w:val="-2"/>
                <w:sz w:val="16"/>
                <w:szCs w:val="16"/>
                <w:lang w:val="hr-HR"/>
              </w:rPr>
            </w:pPr>
            <w:r w:rsidRPr="001567C8">
              <w:rPr>
                <w:rFonts w:ascii="Calibri" w:eastAsia="Calibri" w:hAnsi="Calibri" w:cs="Arial"/>
                <w:b/>
                <w:spacing w:val="-2"/>
                <w:sz w:val="16"/>
                <w:szCs w:val="16"/>
                <w:lang w:val="hr-HR"/>
              </w:rPr>
              <w:t>-</w:t>
            </w:r>
          </w:p>
        </w:tc>
        <w:tc>
          <w:tcPr>
            <w:tcW w:w="510" w:type="pct"/>
            <w:tcBorders>
              <w:top w:val="nil"/>
              <w:left w:val="nil"/>
              <w:bottom w:val="single" w:sz="12" w:space="0" w:color="auto"/>
              <w:right w:val="nil"/>
            </w:tcBorders>
            <w:shd w:val="clear" w:color="auto" w:fill="auto"/>
            <w:vAlign w:val="center"/>
          </w:tcPr>
          <w:p w:rsidR="00B65175" w:rsidRPr="001567C8" w:rsidRDefault="00B65175" w:rsidP="00B65175">
            <w:pPr>
              <w:tabs>
                <w:tab w:val="right" w:pos="1202"/>
              </w:tabs>
              <w:spacing w:line="340" w:lineRule="exact"/>
              <w:jc w:val="right"/>
              <w:outlineLvl w:val="0"/>
              <w:rPr>
                <w:rFonts w:ascii="Calibri" w:eastAsia="Calibri" w:hAnsi="Calibri" w:cs="Arial"/>
                <w:b/>
                <w:bCs/>
                <w:sz w:val="16"/>
                <w:szCs w:val="16"/>
                <w:lang w:val="hr-HR"/>
              </w:rPr>
            </w:pPr>
            <w:r w:rsidRPr="001567C8">
              <w:rPr>
                <w:rFonts w:ascii="Calibri" w:eastAsia="Calibri" w:hAnsi="Calibri" w:cs="Arial"/>
                <w:b/>
                <w:bCs/>
                <w:color w:val="000000"/>
                <w:sz w:val="16"/>
                <w:szCs w:val="16"/>
                <w:lang w:val="hr-HR"/>
              </w:rPr>
              <w:t>774.795</w:t>
            </w:r>
          </w:p>
        </w:tc>
      </w:tr>
      <w:tr w:rsidR="00B65175" w:rsidRPr="001567C8" w:rsidTr="00B65175">
        <w:trPr>
          <w:trHeight w:val="36"/>
          <w:jc w:val="center"/>
        </w:trPr>
        <w:tc>
          <w:tcPr>
            <w:tcW w:w="900" w:type="pct"/>
            <w:vAlign w:val="bottom"/>
          </w:tcPr>
          <w:p w:rsidR="00B65175" w:rsidRPr="001567C8" w:rsidRDefault="00B65175" w:rsidP="00B65175">
            <w:pPr>
              <w:tabs>
                <w:tab w:val="right" w:pos="1202"/>
              </w:tabs>
              <w:spacing w:line="120" w:lineRule="auto"/>
              <w:jc w:val="center"/>
              <w:outlineLvl w:val="0"/>
              <w:rPr>
                <w:rFonts w:ascii="Calibri" w:hAnsi="Calibri" w:cs="Arial"/>
                <w:b/>
                <w:bCs/>
                <w:sz w:val="16"/>
                <w:szCs w:val="16"/>
                <w:lang w:val="hr-HR"/>
              </w:rPr>
            </w:pPr>
          </w:p>
        </w:tc>
        <w:tc>
          <w:tcPr>
            <w:tcW w:w="512" w:type="pct"/>
            <w:tcBorders>
              <w:top w:val="nil"/>
              <w:left w:val="nil"/>
              <w:bottom w:val="nil"/>
              <w:right w:val="nil"/>
            </w:tcBorders>
            <w:shd w:val="clear" w:color="auto" w:fill="auto"/>
            <w:vAlign w:val="center"/>
          </w:tcPr>
          <w:p w:rsidR="00B65175" w:rsidRPr="001567C8" w:rsidRDefault="00B65175" w:rsidP="00B65175">
            <w:pPr>
              <w:tabs>
                <w:tab w:val="right" w:pos="1202"/>
              </w:tabs>
              <w:spacing w:line="120" w:lineRule="auto"/>
              <w:jc w:val="right"/>
              <w:outlineLvl w:val="0"/>
              <w:rPr>
                <w:rFonts w:ascii="Calibri" w:hAnsi="Calibri" w:cs="Arial"/>
                <w:b/>
                <w:bCs/>
                <w:sz w:val="16"/>
                <w:szCs w:val="16"/>
                <w:lang w:val="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120" w:lineRule="auto"/>
              <w:jc w:val="right"/>
              <w:outlineLvl w:val="0"/>
              <w:rPr>
                <w:rFonts w:ascii="Calibri" w:hAnsi="Calibri" w:cs="Arial"/>
                <w:b/>
                <w:bCs/>
                <w:sz w:val="16"/>
                <w:szCs w:val="16"/>
                <w:lang w:val="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120" w:lineRule="auto"/>
              <w:jc w:val="right"/>
              <w:outlineLvl w:val="0"/>
              <w:rPr>
                <w:rFonts w:ascii="Calibri" w:hAnsi="Calibri" w:cs="Arial"/>
                <w:b/>
                <w:bCs/>
                <w:sz w:val="16"/>
                <w:szCs w:val="16"/>
                <w:lang w:val="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120" w:lineRule="auto"/>
              <w:jc w:val="right"/>
              <w:outlineLvl w:val="0"/>
              <w:rPr>
                <w:rFonts w:ascii="Calibri" w:hAnsi="Calibri" w:cs="Arial"/>
                <w:b/>
                <w:bCs/>
                <w:sz w:val="16"/>
                <w:szCs w:val="16"/>
                <w:lang w:val="hr-HR" w:eastAsia="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120" w:lineRule="auto"/>
              <w:jc w:val="right"/>
              <w:outlineLvl w:val="0"/>
              <w:rPr>
                <w:rFonts w:ascii="Calibri" w:hAnsi="Calibri" w:cs="Arial"/>
                <w:b/>
                <w:bCs/>
                <w:sz w:val="16"/>
                <w:szCs w:val="16"/>
                <w:lang w:val="hr-HR" w:eastAsia="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120" w:lineRule="auto"/>
              <w:jc w:val="right"/>
              <w:outlineLvl w:val="0"/>
              <w:rPr>
                <w:rFonts w:ascii="Calibri" w:hAnsi="Calibri" w:cs="Arial"/>
                <w:b/>
                <w:bCs/>
                <w:sz w:val="16"/>
                <w:szCs w:val="16"/>
                <w:lang w:val="hr-HR" w:eastAsia="hr-HR"/>
              </w:rPr>
            </w:pPr>
          </w:p>
        </w:tc>
        <w:tc>
          <w:tcPr>
            <w:tcW w:w="513" w:type="pct"/>
            <w:tcBorders>
              <w:top w:val="nil"/>
              <w:left w:val="nil"/>
              <w:bottom w:val="nil"/>
              <w:right w:val="nil"/>
            </w:tcBorders>
            <w:shd w:val="clear" w:color="auto" w:fill="auto"/>
            <w:vAlign w:val="center"/>
          </w:tcPr>
          <w:p w:rsidR="00B65175" w:rsidRPr="001567C8" w:rsidRDefault="00B65175" w:rsidP="00B65175">
            <w:pPr>
              <w:tabs>
                <w:tab w:val="right" w:pos="1202"/>
              </w:tabs>
              <w:spacing w:line="120" w:lineRule="auto"/>
              <w:jc w:val="right"/>
              <w:outlineLvl w:val="0"/>
              <w:rPr>
                <w:rFonts w:ascii="Calibri" w:hAnsi="Calibri" w:cs="Arial"/>
                <w:b/>
                <w:bCs/>
                <w:sz w:val="16"/>
                <w:szCs w:val="16"/>
                <w:lang w:val="hr-HR" w:eastAsia="hr-HR"/>
              </w:rPr>
            </w:pPr>
          </w:p>
        </w:tc>
        <w:tc>
          <w:tcPr>
            <w:tcW w:w="510" w:type="pct"/>
            <w:tcBorders>
              <w:top w:val="nil"/>
              <w:left w:val="nil"/>
              <w:bottom w:val="nil"/>
              <w:right w:val="nil"/>
            </w:tcBorders>
            <w:shd w:val="clear" w:color="auto" w:fill="auto"/>
            <w:vAlign w:val="center"/>
          </w:tcPr>
          <w:p w:rsidR="00B65175" w:rsidRPr="001567C8" w:rsidRDefault="00B65175" w:rsidP="00B65175">
            <w:pPr>
              <w:tabs>
                <w:tab w:val="right" w:pos="1202"/>
              </w:tabs>
              <w:spacing w:line="120" w:lineRule="auto"/>
              <w:jc w:val="right"/>
              <w:outlineLvl w:val="0"/>
              <w:rPr>
                <w:rFonts w:ascii="Calibri" w:hAnsi="Calibri" w:cs="Arial"/>
                <w:b/>
                <w:bCs/>
                <w:sz w:val="16"/>
                <w:szCs w:val="16"/>
                <w:lang w:val="hr-HR"/>
              </w:rPr>
            </w:pPr>
          </w:p>
        </w:tc>
      </w:tr>
      <w:tr w:rsidR="00B65175" w:rsidRPr="001567C8" w:rsidTr="00B65175">
        <w:trPr>
          <w:trHeight w:val="440"/>
          <w:jc w:val="center"/>
        </w:trPr>
        <w:tc>
          <w:tcPr>
            <w:tcW w:w="900" w:type="pct"/>
            <w:vAlign w:val="center"/>
          </w:tcPr>
          <w:p w:rsidR="00B65175" w:rsidRPr="001567C8" w:rsidRDefault="00B65175" w:rsidP="00B65175">
            <w:pPr>
              <w:tabs>
                <w:tab w:val="right" w:pos="1202"/>
              </w:tabs>
              <w:spacing w:line="240" w:lineRule="exact"/>
              <w:outlineLvl w:val="0"/>
              <w:rPr>
                <w:rFonts w:ascii="Calibri" w:hAnsi="Calibri" w:cs="Arial"/>
                <w:b/>
                <w:bCs/>
                <w:sz w:val="16"/>
                <w:szCs w:val="16"/>
                <w:lang w:val="hr-HR"/>
              </w:rPr>
            </w:pPr>
            <w:r w:rsidRPr="001567C8">
              <w:rPr>
                <w:rFonts w:ascii="Calibri" w:hAnsi="Calibri" w:cs="Arial"/>
                <w:b/>
                <w:bCs/>
                <w:sz w:val="16"/>
                <w:szCs w:val="16"/>
                <w:lang w:val="hr-HR"/>
              </w:rPr>
              <w:t>Ukupna izloženost kreditnom riziku</w:t>
            </w:r>
          </w:p>
        </w:tc>
        <w:tc>
          <w:tcPr>
            <w:tcW w:w="512" w:type="pct"/>
            <w:tcBorders>
              <w:top w:val="nil"/>
              <w:left w:val="nil"/>
              <w:bottom w:val="single" w:sz="12" w:space="0" w:color="auto"/>
              <w:right w:val="nil"/>
            </w:tcBorders>
            <w:shd w:val="clear" w:color="auto" w:fill="auto"/>
            <w:vAlign w:val="bottom"/>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30.997.052</w:t>
            </w:r>
          </w:p>
        </w:tc>
        <w:tc>
          <w:tcPr>
            <w:tcW w:w="513" w:type="pct"/>
            <w:tcBorders>
              <w:top w:val="nil"/>
              <w:left w:val="nil"/>
              <w:bottom w:val="single" w:sz="12" w:space="0" w:color="auto"/>
              <w:right w:val="nil"/>
            </w:tcBorders>
            <w:shd w:val="clear" w:color="auto" w:fill="auto"/>
            <w:vAlign w:val="bottom"/>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1.627.031</w:t>
            </w:r>
          </w:p>
        </w:tc>
        <w:tc>
          <w:tcPr>
            <w:tcW w:w="513" w:type="pct"/>
            <w:tcBorders>
              <w:top w:val="nil"/>
              <w:left w:val="nil"/>
              <w:bottom w:val="single" w:sz="12" w:space="0" w:color="auto"/>
              <w:right w:val="nil"/>
            </w:tcBorders>
            <w:shd w:val="clear" w:color="auto" w:fill="auto"/>
            <w:vAlign w:val="bottom"/>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w:t>
            </w:r>
          </w:p>
        </w:tc>
        <w:tc>
          <w:tcPr>
            <w:tcW w:w="513" w:type="pct"/>
            <w:tcBorders>
              <w:top w:val="nil"/>
              <w:left w:val="nil"/>
              <w:bottom w:val="single" w:sz="12" w:space="0" w:color="auto"/>
              <w:right w:val="nil"/>
            </w:tcBorders>
            <w:shd w:val="clear" w:color="auto" w:fill="auto"/>
            <w:vAlign w:val="bottom"/>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32.624.083</w:t>
            </w:r>
          </w:p>
        </w:tc>
        <w:tc>
          <w:tcPr>
            <w:tcW w:w="513" w:type="pct"/>
            <w:tcBorders>
              <w:top w:val="nil"/>
              <w:left w:val="nil"/>
              <w:bottom w:val="single" w:sz="12" w:space="0" w:color="auto"/>
              <w:right w:val="nil"/>
            </w:tcBorders>
            <w:shd w:val="clear" w:color="auto" w:fill="auto"/>
            <w:vAlign w:val="bottom"/>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6.031.396</w:t>
            </w:r>
          </w:p>
        </w:tc>
        <w:tc>
          <w:tcPr>
            <w:tcW w:w="513" w:type="pct"/>
            <w:tcBorders>
              <w:top w:val="nil"/>
              <w:left w:val="nil"/>
              <w:bottom w:val="single" w:sz="12" w:space="0" w:color="auto"/>
              <w:right w:val="nil"/>
            </w:tcBorders>
            <w:shd w:val="clear" w:color="auto" w:fill="auto"/>
            <w:vAlign w:val="bottom"/>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51.132</w:t>
            </w:r>
          </w:p>
        </w:tc>
        <w:tc>
          <w:tcPr>
            <w:tcW w:w="513" w:type="pct"/>
            <w:tcBorders>
              <w:top w:val="nil"/>
              <w:left w:val="nil"/>
              <w:bottom w:val="single" w:sz="12" w:space="0" w:color="auto"/>
              <w:right w:val="nil"/>
            </w:tcBorders>
            <w:shd w:val="clear" w:color="auto" w:fill="auto"/>
            <w:vAlign w:val="bottom"/>
          </w:tcPr>
          <w:p w:rsidR="00B65175" w:rsidRPr="001567C8" w:rsidRDefault="00B65175" w:rsidP="00B65175">
            <w:pPr>
              <w:tabs>
                <w:tab w:val="right" w:pos="1202"/>
              </w:tabs>
              <w:spacing w:line="301" w:lineRule="exact"/>
              <w:jc w:val="right"/>
              <w:outlineLvl w:val="0"/>
              <w:rPr>
                <w:rFonts w:ascii="Calibri" w:hAnsi="Calibri" w:cs="Arial"/>
                <w:b/>
                <w:spacing w:val="-2"/>
                <w:sz w:val="16"/>
                <w:szCs w:val="16"/>
                <w:lang w:val="hr-HR"/>
              </w:rPr>
            </w:pPr>
            <w:r w:rsidRPr="001567C8">
              <w:rPr>
                <w:rFonts w:ascii="Calibri" w:hAnsi="Calibri" w:cs="Calibri"/>
                <w:b/>
                <w:bCs/>
                <w:color w:val="000000"/>
                <w:sz w:val="16"/>
                <w:szCs w:val="16"/>
                <w:lang w:val="hr-HR"/>
              </w:rPr>
              <w:t>-</w:t>
            </w:r>
          </w:p>
        </w:tc>
        <w:tc>
          <w:tcPr>
            <w:tcW w:w="510" w:type="pct"/>
            <w:tcBorders>
              <w:top w:val="nil"/>
              <w:left w:val="nil"/>
              <w:bottom w:val="single" w:sz="12" w:space="0" w:color="auto"/>
              <w:right w:val="nil"/>
            </w:tcBorders>
            <w:shd w:val="clear" w:color="auto" w:fill="auto"/>
            <w:vAlign w:val="bottom"/>
          </w:tcPr>
          <w:p w:rsidR="00B65175" w:rsidRPr="001567C8" w:rsidRDefault="00B65175" w:rsidP="00B65175">
            <w:pPr>
              <w:tabs>
                <w:tab w:val="right" w:pos="1202"/>
              </w:tabs>
              <w:spacing w:line="340" w:lineRule="exact"/>
              <w:jc w:val="right"/>
              <w:outlineLvl w:val="0"/>
              <w:rPr>
                <w:rFonts w:ascii="Calibri" w:hAnsi="Calibri" w:cs="Arial"/>
                <w:b/>
                <w:bCs/>
                <w:sz w:val="16"/>
                <w:szCs w:val="16"/>
                <w:lang w:val="hr-HR"/>
              </w:rPr>
            </w:pPr>
            <w:r w:rsidRPr="001567C8">
              <w:rPr>
                <w:rFonts w:ascii="Calibri" w:hAnsi="Calibri" w:cs="Calibri"/>
                <w:b/>
                <w:bCs/>
                <w:color w:val="000000"/>
                <w:sz w:val="16"/>
                <w:szCs w:val="16"/>
                <w:lang w:val="hr-HR"/>
              </w:rPr>
              <w:t>6.082.528</w:t>
            </w:r>
          </w:p>
        </w:tc>
      </w:tr>
    </w:tbl>
    <w:p w:rsidR="00136347" w:rsidRPr="001567C8" w:rsidRDefault="00136347" w:rsidP="00B65175">
      <w:pPr>
        <w:tabs>
          <w:tab w:val="left" w:pos="9180"/>
        </w:tabs>
        <w:spacing w:before="120" w:line="240" w:lineRule="exact"/>
        <w:ind w:right="-289"/>
        <w:jc w:val="both"/>
        <w:rPr>
          <w:rFonts w:asciiTheme="minorHAnsi" w:hAnsiTheme="minorHAnsi" w:cs="Arial"/>
          <w:sz w:val="22"/>
          <w:szCs w:val="22"/>
          <w:lang w:val="hr-HR"/>
        </w:rPr>
      </w:pPr>
    </w:p>
    <w:p w:rsidR="00136347" w:rsidRPr="001567C8" w:rsidRDefault="00136347" w:rsidP="00353005">
      <w:pPr>
        <w:tabs>
          <w:tab w:val="left" w:pos="9180"/>
        </w:tabs>
        <w:spacing w:before="120" w:line="240" w:lineRule="exact"/>
        <w:ind w:left="-181" w:right="-289"/>
        <w:jc w:val="both"/>
        <w:rPr>
          <w:rFonts w:asciiTheme="minorHAnsi" w:hAnsiTheme="minorHAnsi" w:cs="Arial"/>
          <w:sz w:val="22"/>
          <w:szCs w:val="22"/>
          <w:lang w:val="hr-HR"/>
        </w:rPr>
        <w:sectPr w:rsidR="00136347" w:rsidRPr="001567C8" w:rsidSect="0077198A">
          <w:pgSz w:w="11907" w:h="16840" w:code="9"/>
          <w:pgMar w:top="1418" w:right="1134" w:bottom="1134" w:left="1418" w:header="851" w:footer="851" w:gutter="0"/>
          <w:cols w:space="720"/>
          <w:noEndnote/>
        </w:sectPr>
      </w:pPr>
    </w:p>
    <w:p w:rsidR="002911A6" w:rsidRPr="001567C8" w:rsidRDefault="000D0896" w:rsidP="00B65175">
      <w:pPr>
        <w:pStyle w:val="T1"/>
        <w:spacing w:before="120" w:line="240" w:lineRule="auto"/>
        <w:rPr>
          <w:rFonts w:asciiTheme="minorHAnsi" w:hAnsiTheme="minorHAnsi" w:cs="Arial"/>
          <w:sz w:val="20"/>
          <w:lang w:val="hr-HR"/>
        </w:rPr>
      </w:pPr>
      <w:r w:rsidRPr="001567C8">
        <w:rPr>
          <w:rFonts w:asciiTheme="minorHAnsi" w:hAnsiTheme="minorHAnsi" w:cs="Arial"/>
          <w:sz w:val="20"/>
          <w:lang w:val="hr-HR"/>
        </w:rPr>
        <w:t>3</w:t>
      </w:r>
      <w:r w:rsidR="00B65175" w:rsidRPr="001567C8">
        <w:rPr>
          <w:rFonts w:asciiTheme="minorHAnsi" w:hAnsiTheme="minorHAnsi" w:cs="Arial"/>
          <w:sz w:val="20"/>
          <w:lang w:val="hr-HR"/>
        </w:rPr>
        <w:t>6</w:t>
      </w:r>
      <w:r w:rsidR="00472A1A" w:rsidRPr="001567C8">
        <w:rPr>
          <w:rFonts w:asciiTheme="minorHAnsi" w:hAnsiTheme="minorHAnsi" w:cs="Arial"/>
          <w:sz w:val="20"/>
          <w:lang w:val="hr-HR"/>
        </w:rPr>
        <w:t>.</w:t>
      </w:r>
      <w:r w:rsidR="00472A1A" w:rsidRPr="001567C8">
        <w:rPr>
          <w:rFonts w:asciiTheme="minorHAnsi" w:hAnsiTheme="minorHAnsi" w:cs="Arial"/>
          <w:sz w:val="20"/>
          <w:lang w:val="hr-HR"/>
        </w:rPr>
        <w:tab/>
        <w:t>Upravljanje rizicima (nastavak)</w:t>
      </w:r>
    </w:p>
    <w:p w:rsidR="002911A6" w:rsidRPr="001567C8" w:rsidRDefault="000D0896" w:rsidP="00B65175">
      <w:pPr>
        <w:pStyle w:val="T1"/>
        <w:spacing w:before="120" w:line="240" w:lineRule="auto"/>
        <w:rPr>
          <w:rFonts w:asciiTheme="minorHAnsi" w:hAnsiTheme="minorHAnsi" w:cs="Arial"/>
          <w:sz w:val="20"/>
          <w:lang w:val="hr-HR"/>
        </w:rPr>
      </w:pPr>
      <w:r w:rsidRPr="001567C8">
        <w:rPr>
          <w:rFonts w:asciiTheme="minorHAnsi" w:hAnsiTheme="minorHAnsi" w:cs="Arial"/>
          <w:sz w:val="20"/>
          <w:lang w:val="hr-HR"/>
        </w:rPr>
        <w:t>3</w:t>
      </w:r>
      <w:r w:rsidR="00B65175" w:rsidRPr="001567C8">
        <w:rPr>
          <w:rFonts w:asciiTheme="minorHAnsi" w:hAnsiTheme="minorHAnsi" w:cs="Arial"/>
          <w:sz w:val="20"/>
          <w:lang w:val="hr-HR"/>
        </w:rPr>
        <w:t>6</w:t>
      </w:r>
      <w:r w:rsidR="00472A1A" w:rsidRPr="001567C8">
        <w:rPr>
          <w:rFonts w:asciiTheme="minorHAnsi" w:hAnsiTheme="minorHAnsi" w:cs="Arial"/>
          <w:sz w:val="20"/>
          <w:lang w:val="hr-HR"/>
        </w:rPr>
        <w:t>.</w:t>
      </w:r>
      <w:r w:rsidR="003900A3" w:rsidRPr="001567C8">
        <w:rPr>
          <w:rFonts w:asciiTheme="minorHAnsi" w:hAnsiTheme="minorHAnsi" w:cs="Arial"/>
          <w:sz w:val="20"/>
          <w:lang w:val="hr-HR"/>
        </w:rPr>
        <w:t>3</w:t>
      </w:r>
      <w:r w:rsidR="00472A1A" w:rsidRPr="001567C8">
        <w:rPr>
          <w:rFonts w:asciiTheme="minorHAnsi" w:hAnsiTheme="minorHAnsi" w:cs="Arial"/>
          <w:sz w:val="20"/>
          <w:lang w:val="hr-HR"/>
        </w:rPr>
        <w:t xml:space="preserve">. </w:t>
      </w:r>
      <w:r w:rsidR="00472A1A" w:rsidRPr="001567C8">
        <w:rPr>
          <w:rFonts w:asciiTheme="minorHAnsi" w:hAnsiTheme="minorHAnsi" w:cs="Arial"/>
          <w:sz w:val="20"/>
          <w:lang w:val="hr-HR"/>
        </w:rPr>
        <w:tab/>
        <w:t>Kreditni rizik (nastavak)</w:t>
      </w:r>
    </w:p>
    <w:p w:rsidR="00472A1A" w:rsidRPr="001567C8" w:rsidRDefault="00472A1A" w:rsidP="00B65175">
      <w:pPr>
        <w:pStyle w:val="T1"/>
        <w:spacing w:before="120" w:line="240" w:lineRule="auto"/>
        <w:rPr>
          <w:rFonts w:asciiTheme="minorHAnsi" w:hAnsiTheme="minorHAnsi" w:cs="Arial"/>
          <w:sz w:val="20"/>
          <w:lang w:val="hr-HR"/>
        </w:rPr>
      </w:pPr>
      <w:r w:rsidRPr="001567C8">
        <w:rPr>
          <w:rFonts w:asciiTheme="minorHAnsi" w:hAnsiTheme="minorHAnsi" w:cs="Arial"/>
          <w:sz w:val="20"/>
          <w:lang w:val="hr-HR"/>
        </w:rPr>
        <w:t xml:space="preserve">Kvaliteta kreditnog rizika prema vrsti financijske imovine </w:t>
      </w:r>
      <w:r w:rsidR="00FB1E6A" w:rsidRPr="001567C8">
        <w:rPr>
          <w:rFonts w:asciiTheme="minorHAnsi" w:hAnsiTheme="minorHAnsi" w:cs="Arial"/>
          <w:sz w:val="20"/>
          <w:lang w:val="hr-HR"/>
        </w:rPr>
        <w:t>(nastavak)</w:t>
      </w:r>
    </w:p>
    <w:p w:rsidR="00C03BF7" w:rsidRPr="001567C8" w:rsidRDefault="00472A1A" w:rsidP="00B65175">
      <w:pPr>
        <w:spacing w:before="120" w:after="120"/>
        <w:jc w:val="both"/>
        <w:rPr>
          <w:rFonts w:asciiTheme="minorHAnsi" w:hAnsiTheme="minorHAnsi" w:cs="Arial"/>
          <w:sz w:val="20"/>
          <w:szCs w:val="20"/>
          <w:lang w:val="hr-HR"/>
        </w:rPr>
      </w:pPr>
      <w:r w:rsidRPr="001567C8">
        <w:rPr>
          <w:rFonts w:asciiTheme="minorHAnsi" w:hAnsiTheme="minorHAnsi" w:cs="Arial"/>
          <w:sz w:val="20"/>
          <w:szCs w:val="20"/>
          <w:lang w:val="hr-HR"/>
        </w:rPr>
        <w:t>Analiza kreditnog rizika</w:t>
      </w:r>
      <w:r w:rsidR="003F0EC8" w:rsidRPr="001567C8">
        <w:rPr>
          <w:rFonts w:asciiTheme="minorHAnsi" w:hAnsiTheme="minorHAnsi" w:cs="Arial"/>
          <w:sz w:val="20"/>
          <w:szCs w:val="20"/>
          <w:lang w:val="hr-HR"/>
        </w:rPr>
        <w:t>, neto</w:t>
      </w:r>
      <w:r w:rsidR="00603200" w:rsidRPr="00CD3A2D">
        <w:rPr>
          <w:lang w:val="hr-HR"/>
        </w:rPr>
        <w:t xml:space="preserve"> </w:t>
      </w:r>
      <w:r w:rsidR="00603200" w:rsidRPr="001567C8">
        <w:rPr>
          <w:rFonts w:asciiTheme="minorHAnsi" w:hAnsiTheme="minorHAnsi" w:cs="Arial"/>
          <w:sz w:val="20"/>
          <w:szCs w:val="20"/>
          <w:lang w:val="hr-HR"/>
        </w:rPr>
        <w:t>izloženost</w:t>
      </w:r>
      <w:r w:rsidR="003F0EC8" w:rsidRPr="001567C8">
        <w:rPr>
          <w:rFonts w:asciiTheme="minorHAnsi" w:hAnsiTheme="minorHAnsi" w:cs="Arial"/>
          <w:sz w:val="20"/>
          <w:szCs w:val="20"/>
          <w:lang w:val="hr-HR"/>
        </w:rPr>
        <w:t>,</w:t>
      </w:r>
      <w:r w:rsidRPr="001567C8">
        <w:rPr>
          <w:rFonts w:asciiTheme="minorHAnsi" w:hAnsiTheme="minorHAnsi" w:cs="Arial"/>
          <w:sz w:val="20"/>
          <w:szCs w:val="20"/>
          <w:lang w:val="hr-HR"/>
        </w:rPr>
        <w:t xml:space="preserve"> prije i nakon uzimanja u obzir primljenih instrumenata osiguranja</w:t>
      </w:r>
      <w:r w:rsidR="00C17648" w:rsidRPr="001567C8">
        <w:rPr>
          <w:rFonts w:asciiTheme="minorHAnsi" w:hAnsiTheme="minorHAnsi" w:cs="Arial"/>
          <w:sz w:val="20"/>
          <w:szCs w:val="20"/>
          <w:lang w:val="hr-HR"/>
        </w:rPr>
        <w:t xml:space="preserve">, </w:t>
      </w:r>
      <w:r w:rsidRPr="001567C8">
        <w:rPr>
          <w:rFonts w:asciiTheme="minorHAnsi" w:hAnsiTheme="minorHAnsi" w:cs="Arial"/>
          <w:sz w:val="20"/>
          <w:szCs w:val="20"/>
          <w:lang w:val="hr-HR"/>
        </w:rPr>
        <w:t xml:space="preserve">prema vrsti financijske imovine na pozicijama </w:t>
      </w:r>
      <w:r w:rsidR="008D6072" w:rsidRPr="001567C8">
        <w:rPr>
          <w:rFonts w:asciiTheme="minorHAnsi" w:hAnsiTheme="minorHAnsi" w:cs="Arial"/>
          <w:sz w:val="20"/>
          <w:szCs w:val="20"/>
          <w:lang w:val="hr-HR"/>
        </w:rPr>
        <w:t>imovine</w:t>
      </w:r>
      <w:r w:rsidRPr="001567C8">
        <w:rPr>
          <w:rFonts w:asciiTheme="minorHAnsi" w:hAnsiTheme="minorHAnsi" w:cs="Arial"/>
          <w:sz w:val="20"/>
          <w:szCs w:val="20"/>
          <w:lang w:val="hr-HR"/>
        </w:rPr>
        <w:t xml:space="preserve"> i garancija i preuzetih obveza prema rizičnim skupinama</w:t>
      </w:r>
      <w:r w:rsidR="00FB1E6A" w:rsidRPr="001567C8">
        <w:rPr>
          <w:rFonts w:asciiTheme="minorHAnsi" w:hAnsiTheme="minorHAnsi" w:cs="Arial"/>
          <w:sz w:val="20"/>
          <w:szCs w:val="20"/>
          <w:lang w:val="hr-HR"/>
        </w:rPr>
        <w:t xml:space="preserve"> (nastavak)</w:t>
      </w:r>
      <w:r w:rsidRPr="001567C8">
        <w:rPr>
          <w:rFonts w:asciiTheme="minorHAnsi" w:hAnsiTheme="minorHAnsi" w:cs="Arial"/>
          <w:sz w:val="20"/>
          <w:szCs w:val="20"/>
          <w:lang w:val="hr-HR"/>
        </w:rPr>
        <w:t>:</w:t>
      </w:r>
    </w:p>
    <w:tbl>
      <w:tblPr>
        <w:tblW w:w="5254" w:type="pct"/>
        <w:jc w:val="center"/>
        <w:tblLayout w:type="fixed"/>
        <w:tblLook w:val="0000" w:firstRow="0" w:lastRow="0" w:firstColumn="0" w:lastColumn="0" w:noHBand="0" w:noVBand="0"/>
      </w:tblPr>
      <w:tblGrid>
        <w:gridCol w:w="2735"/>
        <w:gridCol w:w="940"/>
        <w:gridCol w:w="940"/>
        <w:gridCol w:w="940"/>
        <w:gridCol w:w="940"/>
        <w:gridCol w:w="940"/>
        <w:gridCol w:w="940"/>
        <w:gridCol w:w="1084"/>
        <w:gridCol w:w="1084"/>
        <w:gridCol w:w="1084"/>
        <w:gridCol w:w="1084"/>
        <w:gridCol w:w="1258"/>
        <w:gridCol w:w="1045"/>
      </w:tblGrid>
      <w:tr w:rsidR="00B65175" w:rsidRPr="001567C8" w:rsidTr="004F0C6A">
        <w:trPr>
          <w:trHeight w:val="453"/>
          <w:jc w:val="center"/>
        </w:trPr>
        <w:tc>
          <w:tcPr>
            <w:tcW w:w="911" w:type="pct"/>
          </w:tcPr>
          <w:p w:rsidR="00B65175" w:rsidRPr="001567C8" w:rsidRDefault="00B65175" w:rsidP="00B65175">
            <w:pPr>
              <w:rPr>
                <w:rFonts w:ascii="Calibri" w:eastAsia="Calibri" w:hAnsi="Calibri" w:cs="Arial"/>
                <w:b/>
                <w:bCs/>
                <w:sz w:val="15"/>
                <w:szCs w:val="15"/>
                <w:lang w:val="hr-HR"/>
              </w:rPr>
            </w:pPr>
            <w:bookmarkStart w:id="82" w:name="_Hlk530061592"/>
            <w:r w:rsidRPr="001567C8">
              <w:rPr>
                <w:rFonts w:ascii="Calibri" w:eastAsia="Calibri" w:hAnsi="Calibri" w:cs="Arial"/>
                <w:b/>
                <w:bCs/>
                <w:sz w:val="15"/>
                <w:szCs w:val="15"/>
                <w:lang w:val="hr-HR"/>
              </w:rPr>
              <w:br w:type="page"/>
              <w:t xml:space="preserve">Banka </w:t>
            </w:r>
          </w:p>
          <w:p w:rsidR="007C5023" w:rsidRPr="001567C8" w:rsidRDefault="007C5023" w:rsidP="00B65175">
            <w:pPr>
              <w:rPr>
                <w:rFonts w:ascii="Calibri" w:eastAsia="Calibri" w:hAnsi="Calibri" w:cs="Arial"/>
                <w:b/>
                <w:bCs/>
                <w:sz w:val="15"/>
                <w:szCs w:val="15"/>
                <w:lang w:val="hr-HR"/>
              </w:rPr>
            </w:pPr>
          </w:p>
          <w:p w:rsidR="00B65175" w:rsidRPr="001567C8" w:rsidRDefault="00AD2EF7" w:rsidP="00B65175">
            <w:pPr>
              <w:rPr>
                <w:rFonts w:ascii="Calibri" w:eastAsia="Calibri" w:hAnsi="Calibri" w:cs="Arial"/>
                <w:sz w:val="15"/>
                <w:szCs w:val="15"/>
                <w:lang w:val="hr-HR"/>
              </w:rPr>
            </w:pPr>
            <w:r>
              <w:rPr>
                <w:rFonts w:ascii="Calibri" w:eastAsia="Calibri" w:hAnsi="Calibri" w:cs="Arial"/>
                <w:b/>
                <w:bCs/>
                <w:sz w:val="15"/>
                <w:szCs w:val="15"/>
                <w:lang w:val="hr-HR"/>
              </w:rPr>
              <w:t>31. prosin</w:t>
            </w:r>
            <w:r w:rsidR="0073283D" w:rsidRPr="001567C8">
              <w:rPr>
                <w:rFonts w:ascii="Calibri" w:eastAsia="Calibri" w:hAnsi="Calibri" w:cs="Arial"/>
                <w:b/>
                <w:bCs/>
                <w:sz w:val="15"/>
                <w:szCs w:val="15"/>
                <w:lang w:val="hr-HR"/>
              </w:rPr>
              <w:t>c</w:t>
            </w:r>
            <w:r>
              <w:rPr>
                <w:rFonts w:ascii="Calibri" w:eastAsia="Calibri" w:hAnsi="Calibri" w:cs="Arial"/>
                <w:b/>
                <w:bCs/>
                <w:sz w:val="15"/>
                <w:szCs w:val="15"/>
                <w:lang w:val="hr-HR"/>
              </w:rPr>
              <w:t>a</w:t>
            </w:r>
            <w:r w:rsidR="0073283D" w:rsidRPr="001567C8">
              <w:rPr>
                <w:rFonts w:ascii="Calibri" w:eastAsia="Calibri" w:hAnsi="Calibri" w:cs="Arial"/>
                <w:b/>
                <w:bCs/>
                <w:sz w:val="15"/>
                <w:szCs w:val="15"/>
                <w:lang w:val="hr-HR"/>
              </w:rPr>
              <w:t xml:space="preserve"> </w:t>
            </w:r>
            <w:r w:rsidR="00B65175" w:rsidRPr="001567C8">
              <w:rPr>
                <w:rFonts w:ascii="Calibri" w:eastAsia="Calibri" w:hAnsi="Calibri" w:cs="Arial"/>
                <w:b/>
                <w:bCs/>
                <w:sz w:val="15"/>
                <w:szCs w:val="15"/>
                <w:lang w:val="hr-HR"/>
              </w:rPr>
              <w:t>2018.</w:t>
            </w:r>
            <w:r w:rsidR="007C5023" w:rsidRPr="001567C8">
              <w:rPr>
                <w:rFonts w:ascii="Calibri" w:eastAsia="Calibri" w:hAnsi="Calibri" w:cs="Arial"/>
                <w:b/>
                <w:bCs/>
                <w:sz w:val="15"/>
                <w:szCs w:val="15"/>
                <w:lang w:val="hr-HR"/>
              </w:rPr>
              <w:t xml:space="preserve"> godina</w:t>
            </w:r>
          </w:p>
        </w:tc>
        <w:tc>
          <w:tcPr>
            <w:tcW w:w="313"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 stupanj 1</w:t>
            </w:r>
          </w:p>
        </w:tc>
        <w:tc>
          <w:tcPr>
            <w:tcW w:w="313"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 stupanj 2</w:t>
            </w:r>
          </w:p>
        </w:tc>
        <w:tc>
          <w:tcPr>
            <w:tcW w:w="313"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 stupanj 3</w:t>
            </w:r>
          </w:p>
        </w:tc>
        <w:tc>
          <w:tcPr>
            <w:tcW w:w="313"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rizične skupine POCI</w:t>
            </w:r>
          </w:p>
        </w:tc>
        <w:tc>
          <w:tcPr>
            <w:tcW w:w="313" w:type="pct"/>
            <w:vAlign w:val="bottom"/>
          </w:tcPr>
          <w:p w:rsidR="00B65175" w:rsidRPr="001567C8" w:rsidRDefault="00B65175" w:rsidP="00B65175">
            <w:pPr>
              <w:jc w:val="right"/>
              <w:rPr>
                <w:rFonts w:ascii="Calibri" w:eastAsia="Calibri" w:hAnsi="Calibri"/>
                <w:sz w:val="15"/>
                <w:szCs w:val="15"/>
                <w:lang w:val="hr-HR"/>
              </w:rPr>
            </w:pPr>
            <w:r w:rsidRPr="001567C8">
              <w:rPr>
                <w:rFonts w:ascii="Calibri" w:eastAsia="Calibri" w:hAnsi="Calibri" w:cs="Arial"/>
                <w:b/>
                <w:sz w:val="15"/>
                <w:szCs w:val="15"/>
                <w:lang w:val="hr-HR"/>
              </w:rPr>
              <w:t>Financijska imovina koja se ne raspoređuje u rizične skupine po MSFI-ju 9</w:t>
            </w:r>
          </w:p>
        </w:tc>
        <w:tc>
          <w:tcPr>
            <w:tcW w:w="313"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ukupnog portfelja</w:t>
            </w:r>
          </w:p>
        </w:tc>
        <w:tc>
          <w:tcPr>
            <w:tcW w:w="361"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nakon umanjenja za instrumente osiguranja- stupanj 1</w:t>
            </w:r>
          </w:p>
        </w:tc>
        <w:tc>
          <w:tcPr>
            <w:tcW w:w="361"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nakon umanjenja za instrumente osiguranja- stupanj 2</w:t>
            </w:r>
          </w:p>
        </w:tc>
        <w:tc>
          <w:tcPr>
            <w:tcW w:w="361"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nakon umanjenja za instrumente osiguranja- stupanj 3</w:t>
            </w:r>
          </w:p>
        </w:tc>
        <w:tc>
          <w:tcPr>
            <w:tcW w:w="361"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portfelja nakon umanjenja za instrumente osiguranja- rizične skupine POCI</w:t>
            </w:r>
          </w:p>
        </w:tc>
        <w:tc>
          <w:tcPr>
            <w:tcW w:w="419"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Financijska imovina  koja se ne raspoređuje u rizične skupine po MSFI-ju 9 nakon umanjenja za instrumente osiguranja</w:t>
            </w:r>
          </w:p>
        </w:tc>
        <w:tc>
          <w:tcPr>
            <w:tcW w:w="348" w:type="pct"/>
            <w:vAlign w:val="bottom"/>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Neto izloženost ukupnog portfelja nakon umanjenja za instrumente osiguranja</w:t>
            </w:r>
          </w:p>
        </w:tc>
      </w:tr>
      <w:tr w:rsidR="00B65175" w:rsidRPr="001567C8" w:rsidTr="004F0C6A">
        <w:trPr>
          <w:trHeight w:val="167"/>
          <w:jc w:val="center"/>
        </w:trPr>
        <w:tc>
          <w:tcPr>
            <w:tcW w:w="911" w:type="pct"/>
          </w:tcPr>
          <w:p w:rsidR="00B65175" w:rsidRPr="001567C8" w:rsidRDefault="00B65175" w:rsidP="00B65175">
            <w:pPr>
              <w:rPr>
                <w:rFonts w:ascii="Calibri" w:eastAsia="Calibri" w:hAnsi="Calibri" w:cs="Arial"/>
                <w:b/>
                <w:bCs/>
                <w:sz w:val="15"/>
                <w:szCs w:val="15"/>
                <w:lang w:val="hr-HR"/>
              </w:rPr>
            </w:pPr>
          </w:p>
        </w:tc>
        <w:tc>
          <w:tcPr>
            <w:tcW w:w="313"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13"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13"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13"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13"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13"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61"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61"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61"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61"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419"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c>
          <w:tcPr>
            <w:tcW w:w="348" w:type="pct"/>
          </w:tcPr>
          <w:p w:rsidR="00B65175" w:rsidRPr="001567C8" w:rsidRDefault="00B65175" w:rsidP="00B65175">
            <w:pPr>
              <w:jc w:val="right"/>
              <w:rPr>
                <w:rFonts w:ascii="Calibri" w:eastAsia="Calibri" w:hAnsi="Calibri" w:cs="Arial"/>
                <w:b/>
                <w:sz w:val="15"/>
                <w:szCs w:val="15"/>
                <w:lang w:val="hr-HR"/>
              </w:rPr>
            </w:pPr>
            <w:r w:rsidRPr="001567C8">
              <w:rPr>
                <w:rFonts w:ascii="Calibri" w:eastAsia="Calibri" w:hAnsi="Calibri" w:cs="Arial"/>
                <w:b/>
                <w:sz w:val="15"/>
                <w:szCs w:val="15"/>
                <w:lang w:val="hr-HR"/>
              </w:rPr>
              <w:t>000 kuna</w:t>
            </w:r>
          </w:p>
        </w:tc>
      </w:tr>
      <w:tr w:rsidR="00B65175" w:rsidRPr="001567C8" w:rsidTr="004F0C6A">
        <w:trPr>
          <w:trHeight w:val="150"/>
          <w:jc w:val="center"/>
        </w:trPr>
        <w:tc>
          <w:tcPr>
            <w:tcW w:w="911" w:type="pct"/>
          </w:tcPr>
          <w:p w:rsidR="00B65175" w:rsidRPr="001567C8" w:rsidRDefault="00B65175" w:rsidP="00B65175">
            <w:pPr>
              <w:tabs>
                <w:tab w:val="right" w:pos="1202"/>
              </w:tabs>
              <w:spacing w:line="301"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Imovina</w:t>
            </w:r>
          </w:p>
        </w:tc>
        <w:tc>
          <w:tcPr>
            <w:tcW w:w="313"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13"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13"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13"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13"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13"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61"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61"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61"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61"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419"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c>
          <w:tcPr>
            <w:tcW w:w="348" w:type="pct"/>
            <w:vAlign w:val="bottom"/>
          </w:tcPr>
          <w:p w:rsidR="00B65175" w:rsidRPr="001567C8" w:rsidRDefault="00B65175" w:rsidP="00B65175">
            <w:pPr>
              <w:tabs>
                <w:tab w:val="right" w:pos="1202"/>
              </w:tabs>
              <w:spacing w:line="301" w:lineRule="exact"/>
              <w:jc w:val="right"/>
              <w:outlineLvl w:val="0"/>
              <w:rPr>
                <w:rFonts w:ascii="Calibri" w:eastAsia="Calibri" w:hAnsi="Calibri" w:cs="Arial"/>
                <w:b/>
                <w:bCs/>
                <w:sz w:val="15"/>
                <w:szCs w:val="15"/>
                <w:lang w:val="hr-HR"/>
              </w:rPr>
            </w:pPr>
          </w:p>
        </w:tc>
      </w:tr>
      <w:tr w:rsidR="004F0C6A" w:rsidRPr="001567C8" w:rsidTr="003C6BA3">
        <w:trPr>
          <w:trHeight w:val="180"/>
          <w:jc w:val="center"/>
        </w:trPr>
        <w:tc>
          <w:tcPr>
            <w:tcW w:w="911"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Novčana sredstva i računi kod banaka</w:t>
            </w:r>
          </w:p>
        </w:tc>
        <w:tc>
          <w:tcPr>
            <w:tcW w:w="313" w:type="pct"/>
            <w:tcBorders>
              <w:top w:val="nil"/>
              <w:left w:val="nil"/>
              <w:bottom w:val="nil"/>
              <w:right w:val="nil"/>
            </w:tcBorders>
            <w:shd w:val="clear" w:color="auto" w:fill="auto"/>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941.069 </w:t>
            </w:r>
          </w:p>
        </w:tc>
        <w:tc>
          <w:tcPr>
            <w:tcW w:w="313" w:type="pct"/>
            <w:tcBorders>
              <w:top w:val="nil"/>
              <w:left w:val="nil"/>
              <w:bottom w:val="nil"/>
              <w:right w:val="nil"/>
            </w:tcBorders>
            <w:shd w:val="clear" w:color="auto" w:fill="auto"/>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941.069 </w:t>
            </w:r>
          </w:p>
        </w:tc>
        <w:tc>
          <w:tcPr>
            <w:tcW w:w="361" w:type="pct"/>
            <w:tcBorders>
              <w:top w:val="nil"/>
              <w:left w:val="nil"/>
              <w:bottom w:val="nil"/>
              <w:right w:val="nil"/>
            </w:tcBorders>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nil"/>
              <w:right w:val="nil"/>
            </w:tcBorders>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nil"/>
              <w:right w:val="nil"/>
            </w:tcBorders>
          </w:tcPr>
          <w:p w:rsidR="004F0C6A" w:rsidRPr="001567C8" w:rsidRDefault="004F0C6A" w:rsidP="003C6BA3">
            <w:pPr>
              <w:tabs>
                <w:tab w:val="right" w:pos="1202"/>
              </w:tabs>
              <w:jc w:val="right"/>
              <w:outlineLvl w:val="0"/>
              <w:rPr>
                <w:rFonts w:asciiTheme="minorHAnsi" w:eastAsia="Calibri" w:hAnsiTheme="minorHAnsi"/>
                <w:sz w:val="15"/>
                <w:szCs w:val="15"/>
                <w:lang w:val="hr-HR"/>
              </w:rPr>
            </w:pPr>
            <w:r w:rsidRPr="00CD3A2D">
              <w:rPr>
                <w:rFonts w:asciiTheme="minorHAnsi" w:hAnsiTheme="minorHAnsi"/>
                <w:sz w:val="15"/>
                <w:szCs w:val="15"/>
                <w:lang w:val="hr-HR"/>
              </w:rPr>
              <w:t xml:space="preserve"> - </w:t>
            </w:r>
          </w:p>
        </w:tc>
      </w:tr>
      <w:tr w:rsidR="004F0C6A" w:rsidRPr="001567C8" w:rsidTr="003C6BA3">
        <w:trPr>
          <w:trHeight w:val="197"/>
          <w:jc w:val="center"/>
        </w:trPr>
        <w:tc>
          <w:tcPr>
            <w:tcW w:w="911"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Depoziti kod drugih banaka</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261.925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261.925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r>
      <w:tr w:rsidR="004F0C6A" w:rsidRPr="001567C8" w:rsidTr="003C6BA3">
        <w:trPr>
          <w:trHeight w:val="197"/>
          <w:jc w:val="center"/>
        </w:trPr>
        <w:tc>
          <w:tcPr>
            <w:tcW w:w="911"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Krediti financijskim institucijama</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10.064.840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137.737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32.411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10.234.988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r>
      <w:tr w:rsidR="004F0C6A" w:rsidRPr="001567C8" w:rsidTr="003C6BA3">
        <w:trPr>
          <w:trHeight w:val="197"/>
          <w:jc w:val="center"/>
        </w:trPr>
        <w:tc>
          <w:tcPr>
            <w:tcW w:w="911"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Krediti ostalim korisnicima</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9.408.775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1.141.971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1.728.419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231.521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12.510.686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2.930.911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127.418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278.948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1.372 </w:t>
            </w:r>
          </w:p>
        </w:tc>
        <w:tc>
          <w:tcPr>
            <w:tcW w:w="419"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3.338.649 </w:t>
            </w:r>
          </w:p>
        </w:tc>
      </w:tr>
      <w:tr w:rsidR="004F0C6A" w:rsidRPr="001567C8" w:rsidTr="003C6BA3">
        <w:trPr>
          <w:trHeight w:val="197"/>
          <w:jc w:val="center"/>
        </w:trPr>
        <w:tc>
          <w:tcPr>
            <w:tcW w:w="911"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 xml:space="preserve">Financijska imovina po fer vrijednosti kroz </w:t>
            </w:r>
            <w:r w:rsidR="00316574" w:rsidRPr="001567C8">
              <w:rPr>
                <w:rFonts w:ascii="Calibri" w:eastAsia="Calibri" w:hAnsi="Calibri"/>
                <w:sz w:val="15"/>
                <w:szCs w:val="15"/>
                <w:lang w:val="hr-HR"/>
              </w:rPr>
              <w:t>dobit ili gubitak</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2.045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highlight w:val="yellow"/>
                <w:lang w:val="hr-HR"/>
              </w:rPr>
            </w:pPr>
            <w:r w:rsidRPr="00CD3A2D">
              <w:rPr>
                <w:rFonts w:asciiTheme="minorHAnsi" w:hAnsiTheme="minorHAnsi"/>
                <w:sz w:val="15"/>
                <w:szCs w:val="15"/>
                <w:lang w:val="hr-HR"/>
              </w:rPr>
              <w:t xml:space="preserve"> 2.045 </w:t>
            </w:r>
          </w:p>
        </w:tc>
        <w:tc>
          <w:tcPr>
            <w:tcW w:w="361"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2.045 </w:t>
            </w:r>
          </w:p>
        </w:tc>
        <w:tc>
          <w:tcPr>
            <w:tcW w:w="348"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pacing w:val="-2"/>
                <w:sz w:val="15"/>
                <w:szCs w:val="15"/>
                <w:lang w:val="hr-HR"/>
              </w:rPr>
            </w:pPr>
            <w:r w:rsidRPr="00CD3A2D">
              <w:rPr>
                <w:rFonts w:asciiTheme="minorHAnsi" w:hAnsiTheme="minorHAnsi"/>
                <w:sz w:val="15"/>
                <w:szCs w:val="15"/>
                <w:lang w:val="hr-HR"/>
              </w:rPr>
              <w:t xml:space="preserve"> 2.045 </w:t>
            </w:r>
          </w:p>
        </w:tc>
      </w:tr>
      <w:tr w:rsidR="004F0C6A" w:rsidRPr="001567C8" w:rsidTr="003C6BA3">
        <w:trPr>
          <w:trHeight w:val="197"/>
          <w:jc w:val="center"/>
        </w:trPr>
        <w:tc>
          <w:tcPr>
            <w:tcW w:w="911"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Financijska imovina po fer vrijednosti kroz ostalu sveobuhvatnu dobit</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2.765.595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768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highlight w:val="yellow"/>
                <w:lang w:val="hr-HR"/>
              </w:rPr>
            </w:pPr>
            <w:r w:rsidRPr="00CD3A2D">
              <w:rPr>
                <w:rFonts w:asciiTheme="minorHAnsi" w:hAnsiTheme="minorHAnsi"/>
                <w:sz w:val="15"/>
                <w:szCs w:val="15"/>
                <w:lang w:val="hr-HR"/>
              </w:rPr>
              <w:t xml:space="preserve"> 2.766.363 </w:t>
            </w:r>
          </w:p>
        </w:tc>
        <w:tc>
          <w:tcPr>
            <w:tcW w:w="361"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2.765.595 </w:t>
            </w:r>
          </w:p>
        </w:tc>
        <w:tc>
          <w:tcPr>
            <w:tcW w:w="361"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768 </w:t>
            </w:r>
          </w:p>
        </w:tc>
        <w:tc>
          <w:tcPr>
            <w:tcW w:w="361"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nil"/>
              <w:right w:val="nil"/>
            </w:tcBorders>
            <w:vAlign w:val="bottom"/>
          </w:tcPr>
          <w:p w:rsidR="004F0C6A" w:rsidRPr="001567C8" w:rsidRDefault="004F0C6A" w:rsidP="008F4BDD">
            <w:pPr>
              <w:tabs>
                <w:tab w:val="right" w:pos="1202"/>
              </w:tabs>
              <w:spacing w:line="301" w:lineRule="exact"/>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2.766.363 </w:t>
            </w:r>
          </w:p>
        </w:tc>
      </w:tr>
      <w:tr w:rsidR="004F0C6A" w:rsidRPr="001567C8" w:rsidTr="003C6BA3">
        <w:trPr>
          <w:trHeight w:val="197"/>
          <w:jc w:val="center"/>
        </w:trPr>
        <w:tc>
          <w:tcPr>
            <w:tcW w:w="911" w:type="pct"/>
            <w:vAlign w:val="bottom"/>
          </w:tcPr>
          <w:p w:rsidR="004F0C6A" w:rsidRPr="001567C8" w:rsidRDefault="004F0C6A" w:rsidP="004F0C6A">
            <w:pPr>
              <w:tabs>
                <w:tab w:val="right" w:pos="1202"/>
              </w:tabs>
              <w:outlineLvl w:val="0"/>
              <w:rPr>
                <w:rFonts w:ascii="Calibri" w:eastAsia="Calibri" w:hAnsi="Calibri"/>
                <w:sz w:val="15"/>
                <w:szCs w:val="15"/>
                <w:lang w:val="hr-HR"/>
              </w:rPr>
            </w:pPr>
            <w:r w:rsidRPr="001567C8">
              <w:rPr>
                <w:rFonts w:ascii="Calibri" w:eastAsia="Calibri" w:hAnsi="Calibri"/>
                <w:sz w:val="15"/>
                <w:szCs w:val="15"/>
                <w:lang w:val="hr-HR"/>
              </w:rPr>
              <w:t>Ostala imovina</w:t>
            </w:r>
          </w:p>
        </w:tc>
        <w:tc>
          <w:tcPr>
            <w:tcW w:w="313"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2.775 </w:t>
            </w:r>
          </w:p>
        </w:tc>
        <w:tc>
          <w:tcPr>
            <w:tcW w:w="313"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12 </w:t>
            </w:r>
          </w:p>
        </w:tc>
        <w:tc>
          <w:tcPr>
            <w:tcW w:w="313"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1.395 </w:t>
            </w:r>
          </w:p>
        </w:tc>
        <w:tc>
          <w:tcPr>
            <w:tcW w:w="313"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single" w:sz="8" w:space="0" w:color="auto"/>
              <w:right w:val="nil"/>
            </w:tcBorders>
            <w:shd w:val="clear" w:color="auto" w:fill="auto"/>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4.182 </w:t>
            </w:r>
          </w:p>
        </w:tc>
        <w:tc>
          <w:tcPr>
            <w:tcW w:w="361"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1.809 </w:t>
            </w:r>
          </w:p>
        </w:tc>
        <w:tc>
          <w:tcPr>
            <w:tcW w:w="361"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 </w:t>
            </w:r>
          </w:p>
        </w:tc>
        <w:tc>
          <w:tcPr>
            <w:tcW w:w="361"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1.281 </w:t>
            </w:r>
          </w:p>
        </w:tc>
        <w:tc>
          <w:tcPr>
            <w:tcW w:w="361"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single" w:sz="8" w:space="0" w:color="auto"/>
              <w:right w:val="nil"/>
            </w:tcBorders>
          </w:tcPr>
          <w:p w:rsidR="004F0C6A" w:rsidRPr="001567C8" w:rsidRDefault="004F0C6A" w:rsidP="004F0C6A">
            <w:pPr>
              <w:tabs>
                <w:tab w:val="right" w:pos="1202"/>
              </w:tabs>
              <w:jc w:val="right"/>
              <w:outlineLvl w:val="0"/>
              <w:rPr>
                <w:rFonts w:asciiTheme="minorHAnsi" w:eastAsia="Calibri" w:hAnsiTheme="minorHAnsi" w:cs="Arial"/>
                <w:snapToGrid w:val="0"/>
                <w:sz w:val="15"/>
                <w:szCs w:val="15"/>
                <w:lang w:val="hr-HR"/>
              </w:rPr>
            </w:pPr>
            <w:r w:rsidRPr="00CD3A2D">
              <w:rPr>
                <w:rFonts w:asciiTheme="minorHAnsi" w:hAnsiTheme="minorHAnsi"/>
                <w:sz w:val="15"/>
                <w:szCs w:val="15"/>
                <w:lang w:val="hr-HR"/>
              </w:rPr>
              <w:t xml:space="preserve"> 3.091 </w:t>
            </w:r>
          </w:p>
        </w:tc>
      </w:tr>
      <w:tr w:rsidR="004F0C6A" w:rsidRPr="001567C8" w:rsidTr="003C6BA3">
        <w:trPr>
          <w:trHeight w:val="57"/>
          <w:jc w:val="center"/>
        </w:trPr>
        <w:tc>
          <w:tcPr>
            <w:tcW w:w="911" w:type="pct"/>
          </w:tcPr>
          <w:p w:rsidR="004F0C6A" w:rsidRPr="001567C8" w:rsidRDefault="004F0C6A" w:rsidP="004F0C6A">
            <w:pPr>
              <w:tabs>
                <w:tab w:val="right" w:pos="1202"/>
              </w:tabs>
              <w:spacing w:line="301"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Ukupno</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23.444.979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1.279.720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1.762.993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231.521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2.045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26.721.258 </w:t>
            </w:r>
          </w:p>
        </w:tc>
        <w:tc>
          <w:tcPr>
            <w:tcW w:w="361"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5.698.315 </w:t>
            </w:r>
          </w:p>
        </w:tc>
        <w:tc>
          <w:tcPr>
            <w:tcW w:w="361"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127.419 </w:t>
            </w:r>
          </w:p>
        </w:tc>
        <w:tc>
          <w:tcPr>
            <w:tcW w:w="361"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280.997 </w:t>
            </w:r>
          </w:p>
        </w:tc>
        <w:tc>
          <w:tcPr>
            <w:tcW w:w="361"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1.372 </w:t>
            </w:r>
          </w:p>
        </w:tc>
        <w:tc>
          <w:tcPr>
            <w:tcW w:w="419"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2.045 </w:t>
            </w:r>
          </w:p>
        </w:tc>
        <w:tc>
          <w:tcPr>
            <w:tcW w:w="348"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6.110.148 </w:t>
            </w:r>
          </w:p>
        </w:tc>
      </w:tr>
      <w:tr w:rsidR="00B65175" w:rsidRPr="001567C8" w:rsidTr="004F0C6A">
        <w:trPr>
          <w:trHeight w:val="175"/>
          <w:jc w:val="center"/>
        </w:trPr>
        <w:tc>
          <w:tcPr>
            <w:tcW w:w="911" w:type="pct"/>
          </w:tcPr>
          <w:p w:rsidR="00B65175" w:rsidRPr="001567C8" w:rsidRDefault="00B65175" w:rsidP="00B65175">
            <w:pPr>
              <w:tabs>
                <w:tab w:val="right" w:pos="1202"/>
              </w:tabs>
              <w:spacing w:line="200"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Garancije i preuzete obveze</w:t>
            </w:r>
          </w:p>
        </w:tc>
        <w:tc>
          <w:tcPr>
            <w:tcW w:w="313"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13"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13"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13"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13"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13" w:type="pct"/>
            <w:tcBorders>
              <w:top w:val="nil"/>
              <w:left w:val="nil"/>
              <w:bottom w:val="nil"/>
              <w:right w:val="nil"/>
            </w:tcBorders>
            <w:shd w:val="clear" w:color="auto" w:fill="auto"/>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61"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61"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61"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61"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419"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c>
          <w:tcPr>
            <w:tcW w:w="348" w:type="pct"/>
            <w:tcBorders>
              <w:top w:val="nil"/>
              <w:left w:val="nil"/>
              <w:bottom w:val="nil"/>
              <w:right w:val="nil"/>
            </w:tcBorders>
            <w:vAlign w:val="bottom"/>
          </w:tcPr>
          <w:p w:rsidR="00B65175" w:rsidRPr="001567C8" w:rsidRDefault="00B65175" w:rsidP="00B65175">
            <w:pPr>
              <w:tabs>
                <w:tab w:val="right" w:pos="1202"/>
              </w:tabs>
              <w:jc w:val="right"/>
              <w:outlineLvl w:val="0"/>
              <w:rPr>
                <w:rFonts w:asciiTheme="minorHAnsi" w:eastAsia="Calibri" w:hAnsiTheme="minorHAnsi" w:cs="Arial"/>
                <w:snapToGrid w:val="0"/>
                <w:sz w:val="15"/>
                <w:szCs w:val="15"/>
                <w:lang w:val="hr-HR"/>
              </w:rPr>
            </w:pPr>
          </w:p>
        </w:tc>
      </w:tr>
      <w:tr w:rsidR="004F0C6A" w:rsidRPr="001567C8" w:rsidTr="003C6BA3">
        <w:trPr>
          <w:trHeight w:val="197"/>
          <w:jc w:val="center"/>
        </w:trPr>
        <w:tc>
          <w:tcPr>
            <w:tcW w:w="911" w:type="pct"/>
            <w:vAlign w:val="bottom"/>
          </w:tcPr>
          <w:p w:rsidR="004F0C6A" w:rsidRPr="001567C8" w:rsidRDefault="004F0C6A" w:rsidP="004F0C6A">
            <w:pPr>
              <w:tabs>
                <w:tab w:val="right" w:pos="1202"/>
              </w:tabs>
              <w:outlineLvl w:val="0"/>
              <w:rPr>
                <w:rFonts w:ascii="Calibri" w:eastAsia="Calibri" w:hAnsi="Calibri" w:cs="Arial"/>
                <w:b/>
                <w:bCs/>
                <w:sz w:val="15"/>
                <w:szCs w:val="15"/>
                <w:lang w:val="hr-HR"/>
              </w:rPr>
            </w:pPr>
            <w:r w:rsidRPr="001567C8">
              <w:rPr>
                <w:rFonts w:ascii="Calibri" w:eastAsia="Calibri" w:hAnsi="Calibri" w:cs="Arial"/>
                <w:sz w:val="15"/>
                <w:szCs w:val="15"/>
                <w:lang w:val="hr-HR"/>
              </w:rPr>
              <w:t>Izdane garancije u kunama</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13.236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20.340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33.576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12.371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12.371 </w:t>
            </w:r>
          </w:p>
        </w:tc>
      </w:tr>
      <w:tr w:rsidR="004F0C6A" w:rsidRPr="001567C8" w:rsidTr="003C6BA3">
        <w:trPr>
          <w:trHeight w:val="197"/>
          <w:jc w:val="center"/>
        </w:trPr>
        <w:tc>
          <w:tcPr>
            <w:tcW w:w="911" w:type="pct"/>
            <w:vAlign w:val="bottom"/>
          </w:tcPr>
          <w:p w:rsidR="004F0C6A" w:rsidRPr="001567C8" w:rsidRDefault="004F0C6A" w:rsidP="004F0C6A">
            <w:pPr>
              <w:tabs>
                <w:tab w:val="right" w:pos="1202"/>
              </w:tabs>
              <w:outlineLvl w:val="0"/>
              <w:rPr>
                <w:rFonts w:ascii="Calibri" w:eastAsia="Calibri" w:hAnsi="Calibri" w:cs="Arial"/>
                <w:sz w:val="15"/>
                <w:szCs w:val="15"/>
                <w:lang w:val="hr-HR"/>
              </w:rPr>
            </w:pPr>
            <w:r w:rsidRPr="001567C8">
              <w:rPr>
                <w:rFonts w:ascii="Calibri" w:eastAsia="Calibri" w:hAnsi="Calibri" w:cs="Arial"/>
                <w:sz w:val="15"/>
                <w:szCs w:val="15"/>
                <w:lang w:val="hr-HR"/>
              </w:rPr>
              <w:t>Izdane garancije u devizama</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31.756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1.790.640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1.822.396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1.469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293.997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295.466 </w:t>
            </w:r>
          </w:p>
        </w:tc>
      </w:tr>
      <w:tr w:rsidR="004F0C6A" w:rsidRPr="001567C8" w:rsidTr="003C6BA3">
        <w:trPr>
          <w:trHeight w:val="197"/>
          <w:jc w:val="center"/>
        </w:trPr>
        <w:tc>
          <w:tcPr>
            <w:tcW w:w="911" w:type="pct"/>
            <w:vAlign w:val="bottom"/>
          </w:tcPr>
          <w:p w:rsidR="004F0C6A" w:rsidRPr="001567C8" w:rsidRDefault="004F0C6A" w:rsidP="004F0C6A">
            <w:pPr>
              <w:tabs>
                <w:tab w:val="right" w:pos="1202"/>
              </w:tabs>
              <w:outlineLvl w:val="0"/>
              <w:rPr>
                <w:rFonts w:ascii="Calibri" w:eastAsia="Calibri" w:hAnsi="Calibri" w:cs="Arial"/>
                <w:sz w:val="15"/>
                <w:szCs w:val="15"/>
                <w:lang w:val="hr-HR"/>
              </w:rPr>
            </w:pPr>
            <w:r w:rsidRPr="001567C8">
              <w:rPr>
                <w:rFonts w:ascii="Calibri" w:eastAsia="Calibri" w:hAnsi="Calibri" w:cs="Arial"/>
                <w:sz w:val="15"/>
                <w:szCs w:val="15"/>
                <w:lang w:val="hr-HR"/>
              </w:rPr>
              <w:t>Preuzete obveze po kreditima</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2.654.591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604.066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22.193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10.182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nil"/>
              <w:right w:val="nil"/>
            </w:tcBorders>
            <w:shd w:val="clear" w:color="auto" w:fill="auto"/>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3.291.032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318.481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110.058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21.945 </w:t>
            </w:r>
          </w:p>
        </w:tc>
        <w:tc>
          <w:tcPr>
            <w:tcW w:w="361"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nil"/>
              <w:right w:val="nil"/>
            </w:tcBorders>
          </w:tcPr>
          <w:p w:rsidR="004F0C6A" w:rsidRPr="001567C8" w:rsidRDefault="004F0C6A" w:rsidP="004F0C6A">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450.484 </w:t>
            </w:r>
          </w:p>
        </w:tc>
      </w:tr>
      <w:tr w:rsidR="004F0C6A" w:rsidRPr="001567C8" w:rsidTr="003C6BA3">
        <w:trPr>
          <w:trHeight w:val="200"/>
          <w:jc w:val="center"/>
        </w:trPr>
        <w:tc>
          <w:tcPr>
            <w:tcW w:w="911" w:type="pct"/>
            <w:vAlign w:val="bottom"/>
          </w:tcPr>
          <w:p w:rsidR="004F0C6A" w:rsidRPr="001567C8" w:rsidRDefault="004F0C6A" w:rsidP="004F0C6A">
            <w:pPr>
              <w:tabs>
                <w:tab w:val="right" w:pos="1202"/>
              </w:tabs>
              <w:outlineLvl w:val="0"/>
              <w:rPr>
                <w:rFonts w:ascii="Calibri" w:eastAsia="Calibri" w:hAnsi="Calibri" w:cs="Arial"/>
                <w:sz w:val="15"/>
                <w:szCs w:val="15"/>
                <w:lang w:val="hr-HR"/>
              </w:rPr>
            </w:pPr>
            <w:r w:rsidRPr="001567C8">
              <w:rPr>
                <w:rFonts w:ascii="Calibri" w:eastAsia="Calibri" w:hAnsi="Calibri" w:cs="Arial"/>
                <w:sz w:val="15"/>
                <w:szCs w:val="15"/>
                <w:lang w:val="hr-HR"/>
              </w:rPr>
              <w:t>Ostale nespomenute neopozive potencijalne obveze</w:t>
            </w:r>
          </w:p>
        </w:tc>
        <w:tc>
          <w:tcPr>
            <w:tcW w:w="313" w:type="pct"/>
            <w:tcBorders>
              <w:top w:val="nil"/>
              <w:left w:val="nil"/>
              <w:bottom w:val="single" w:sz="8" w:space="0" w:color="auto"/>
              <w:right w:val="nil"/>
            </w:tcBorders>
            <w:shd w:val="clear" w:color="auto" w:fill="auto"/>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93 </w:t>
            </w:r>
          </w:p>
        </w:tc>
        <w:tc>
          <w:tcPr>
            <w:tcW w:w="313" w:type="pct"/>
            <w:tcBorders>
              <w:top w:val="nil"/>
              <w:left w:val="nil"/>
              <w:bottom w:val="single" w:sz="8" w:space="0" w:color="auto"/>
              <w:right w:val="nil"/>
            </w:tcBorders>
            <w:shd w:val="clear" w:color="auto" w:fill="auto"/>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93 </w:t>
            </w:r>
          </w:p>
        </w:tc>
        <w:tc>
          <w:tcPr>
            <w:tcW w:w="361" w:type="pct"/>
            <w:tcBorders>
              <w:top w:val="nil"/>
              <w:left w:val="nil"/>
              <w:bottom w:val="single" w:sz="8" w:space="0" w:color="auto"/>
              <w:right w:val="nil"/>
            </w:tcBorders>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93 </w:t>
            </w:r>
          </w:p>
        </w:tc>
        <w:tc>
          <w:tcPr>
            <w:tcW w:w="361" w:type="pct"/>
            <w:tcBorders>
              <w:top w:val="nil"/>
              <w:left w:val="nil"/>
              <w:bottom w:val="single" w:sz="8" w:space="0" w:color="auto"/>
              <w:right w:val="nil"/>
            </w:tcBorders>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single" w:sz="8" w:space="0" w:color="auto"/>
              <w:right w:val="nil"/>
            </w:tcBorders>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61" w:type="pct"/>
            <w:tcBorders>
              <w:top w:val="nil"/>
              <w:left w:val="nil"/>
              <w:bottom w:val="single" w:sz="8" w:space="0" w:color="auto"/>
              <w:right w:val="nil"/>
            </w:tcBorders>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419" w:type="pct"/>
            <w:tcBorders>
              <w:top w:val="nil"/>
              <w:left w:val="nil"/>
              <w:bottom w:val="single" w:sz="8" w:space="0" w:color="auto"/>
              <w:right w:val="nil"/>
            </w:tcBorders>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 </w:t>
            </w:r>
          </w:p>
        </w:tc>
        <w:tc>
          <w:tcPr>
            <w:tcW w:w="348" w:type="pct"/>
            <w:tcBorders>
              <w:top w:val="nil"/>
              <w:left w:val="nil"/>
              <w:bottom w:val="single" w:sz="8" w:space="0" w:color="auto"/>
              <w:right w:val="nil"/>
            </w:tcBorders>
            <w:vAlign w:val="bottom"/>
          </w:tcPr>
          <w:p w:rsidR="004F0C6A" w:rsidRPr="001567C8" w:rsidRDefault="004F0C6A" w:rsidP="008F4BDD">
            <w:pPr>
              <w:jc w:val="right"/>
              <w:rPr>
                <w:rFonts w:asciiTheme="minorHAnsi" w:eastAsia="Calibri" w:hAnsiTheme="minorHAnsi" w:cs="Arial"/>
                <w:sz w:val="15"/>
                <w:szCs w:val="15"/>
                <w:lang w:val="hr-HR"/>
              </w:rPr>
            </w:pPr>
            <w:r w:rsidRPr="00CD3A2D">
              <w:rPr>
                <w:rFonts w:asciiTheme="minorHAnsi" w:hAnsiTheme="minorHAnsi"/>
                <w:sz w:val="15"/>
                <w:szCs w:val="15"/>
                <w:lang w:val="hr-HR"/>
              </w:rPr>
              <w:t xml:space="preserve"> 93 </w:t>
            </w:r>
          </w:p>
        </w:tc>
      </w:tr>
      <w:tr w:rsidR="004F0C6A" w:rsidRPr="001567C8" w:rsidTr="003C6BA3">
        <w:trPr>
          <w:trHeight w:val="57"/>
          <w:jc w:val="center"/>
        </w:trPr>
        <w:tc>
          <w:tcPr>
            <w:tcW w:w="911" w:type="pct"/>
          </w:tcPr>
          <w:p w:rsidR="004F0C6A" w:rsidRPr="001567C8" w:rsidRDefault="004F0C6A" w:rsidP="004F0C6A">
            <w:pPr>
              <w:tabs>
                <w:tab w:val="right" w:pos="1202"/>
              </w:tabs>
              <w:spacing w:line="301"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Ukupno</w:t>
            </w:r>
          </w:p>
        </w:tc>
        <w:tc>
          <w:tcPr>
            <w:tcW w:w="313"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2.699.676 </w:t>
            </w:r>
          </w:p>
        </w:tc>
        <w:tc>
          <w:tcPr>
            <w:tcW w:w="313"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604.066 </w:t>
            </w:r>
          </w:p>
        </w:tc>
        <w:tc>
          <w:tcPr>
            <w:tcW w:w="313"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1.833.173 </w:t>
            </w:r>
          </w:p>
        </w:tc>
        <w:tc>
          <w:tcPr>
            <w:tcW w:w="313"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10.182 </w:t>
            </w:r>
          </w:p>
        </w:tc>
        <w:tc>
          <w:tcPr>
            <w:tcW w:w="313"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 </w:t>
            </w:r>
          </w:p>
        </w:tc>
        <w:tc>
          <w:tcPr>
            <w:tcW w:w="313" w:type="pct"/>
            <w:tcBorders>
              <w:top w:val="nil"/>
              <w:left w:val="nil"/>
              <w:bottom w:val="single" w:sz="12" w:space="0" w:color="auto"/>
              <w:right w:val="nil"/>
            </w:tcBorders>
            <w:shd w:val="clear" w:color="auto" w:fill="auto"/>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5.147.097 </w:t>
            </w:r>
          </w:p>
        </w:tc>
        <w:tc>
          <w:tcPr>
            <w:tcW w:w="361"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332.414 </w:t>
            </w:r>
          </w:p>
        </w:tc>
        <w:tc>
          <w:tcPr>
            <w:tcW w:w="361"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110.058 </w:t>
            </w:r>
          </w:p>
        </w:tc>
        <w:tc>
          <w:tcPr>
            <w:tcW w:w="361"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315.942 </w:t>
            </w:r>
          </w:p>
        </w:tc>
        <w:tc>
          <w:tcPr>
            <w:tcW w:w="361"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 </w:t>
            </w:r>
          </w:p>
        </w:tc>
        <w:tc>
          <w:tcPr>
            <w:tcW w:w="419"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 </w:t>
            </w:r>
          </w:p>
        </w:tc>
        <w:tc>
          <w:tcPr>
            <w:tcW w:w="348" w:type="pct"/>
            <w:tcBorders>
              <w:top w:val="nil"/>
              <w:left w:val="nil"/>
              <w:bottom w:val="single" w:sz="12" w:space="0" w:color="auto"/>
              <w:right w:val="nil"/>
            </w:tcBorders>
          </w:tcPr>
          <w:p w:rsidR="004F0C6A" w:rsidRPr="001567C8" w:rsidRDefault="004F0C6A" w:rsidP="004F0C6A">
            <w:pPr>
              <w:spacing w:line="301" w:lineRule="exact"/>
              <w:jc w:val="right"/>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758.414 </w:t>
            </w:r>
          </w:p>
        </w:tc>
      </w:tr>
      <w:tr w:rsidR="004F0C6A" w:rsidRPr="001567C8" w:rsidTr="003C6BA3">
        <w:trPr>
          <w:trHeight w:val="44"/>
          <w:jc w:val="center"/>
        </w:trPr>
        <w:tc>
          <w:tcPr>
            <w:tcW w:w="911" w:type="pct"/>
            <w:vAlign w:val="center"/>
          </w:tcPr>
          <w:p w:rsidR="004F0C6A" w:rsidRPr="001567C8" w:rsidRDefault="004F0C6A" w:rsidP="004F0C6A">
            <w:pPr>
              <w:tabs>
                <w:tab w:val="right" w:pos="1202"/>
              </w:tabs>
              <w:spacing w:line="301" w:lineRule="exact"/>
              <w:outlineLvl w:val="0"/>
              <w:rPr>
                <w:rFonts w:ascii="Calibri" w:eastAsia="Calibri" w:hAnsi="Calibri" w:cs="Arial"/>
                <w:b/>
                <w:bCs/>
                <w:sz w:val="15"/>
                <w:szCs w:val="15"/>
                <w:lang w:val="hr-HR"/>
              </w:rPr>
            </w:pPr>
            <w:r w:rsidRPr="001567C8">
              <w:rPr>
                <w:rFonts w:ascii="Calibri" w:eastAsia="Calibri" w:hAnsi="Calibri" w:cs="Arial"/>
                <w:b/>
                <w:bCs/>
                <w:sz w:val="15"/>
                <w:szCs w:val="15"/>
                <w:lang w:val="hr-HR"/>
              </w:rPr>
              <w:t>Ukupna izloženost kreditnom riziku</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26.144.655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1.883.786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3.596.166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241.703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2.045 </w:t>
            </w:r>
          </w:p>
        </w:tc>
        <w:tc>
          <w:tcPr>
            <w:tcW w:w="313" w:type="pct"/>
            <w:tcBorders>
              <w:top w:val="nil"/>
              <w:left w:val="nil"/>
              <w:bottom w:val="single" w:sz="12" w:space="0" w:color="auto"/>
              <w:right w:val="nil"/>
            </w:tcBorders>
            <w:shd w:val="clear" w:color="auto" w:fill="auto"/>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31.868.355 </w:t>
            </w:r>
          </w:p>
        </w:tc>
        <w:tc>
          <w:tcPr>
            <w:tcW w:w="361"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6.030.729 </w:t>
            </w:r>
          </w:p>
        </w:tc>
        <w:tc>
          <w:tcPr>
            <w:tcW w:w="361"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237.477 </w:t>
            </w:r>
          </w:p>
        </w:tc>
        <w:tc>
          <w:tcPr>
            <w:tcW w:w="361"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596.939 </w:t>
            </w:r>
          </w:p>
        </w:tc>
        <w:tc>
          <w:tcPr>
            <w:tcW w:w="361"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1.372 </w:t>
            </w:r>
          </w:p>
        </w:tc>
        <w:tc>
          <w:tcPr>
            <w:tcW w:w="419"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2.045 </w:t>
            </w:r>
          </w:p>
        </w:tc>
        <w:tc>
          <w:tcPr>
            <w:tcW w:w="348" w:type="pct"/>
            <w:tcBorders>
              <w:top w:val="nil"/>
              <w:left w:val="nil"/>
              <w:bottom w:val="single" w:sz="12" w:space="0" w:color="auto"/>
              <w:right w:val="nil"/>
            </w:tcBorders>
          </w:tcPr>
          <w:p w:rsidR="004F0C6A" w:rsidRPr="001567C8" w:rsidRDefault="004F0C6A" w:rsidP="004F0C6A">
            <w:pPr>
              <w:tabs>
                <w:tab w:val="right" w:pos="1202"/>
              </w:tabs>
              <w:spacing w:line="301" w:lineRule="exact"/>
              <w:jc w:val="right"/>
              <w:outlineLvl w:val="0"/>
              <w:rPr>
                <w:rFonts w:asciiTheme="minorHAnsi" w:eastAsia="Calibri" w:hAnsiTheme="minorHAnsi" w:cs="Arial"/>
                <w:b/>
                <w:bCs/>
                <w:sz w:val="15"/>
                <w:szCs w:val="15"/>
                <w:lang w:val="hr-HR"/>
              </w:rPr>
            </w:pPr>
            <w:r w:rsidRPr="00CD3A2D">
              <w:rPr>
                <w:rFonts w:asciiTheme="minorHAnsi" w:hAnsiTheme="minorHAnsi"/>
                <w:b/>
                <w:sz w:val="15"/>
                <w:szCs w:val="15"/>
                <w:lang w:val="hr-HR"/>
              </w:rPr>
              <w:t xml:space="preserve"> 6.868.562 </w:t>
            </w:r>
          </w:p>
        </w:tc>
      </w:tr>
      <w:bookmarkEnd w:id="82"/>
    </w:tbl>
    <w:p w:rsidR="00B65175" w:rsidRPr="001567C8" w:rsidRDefault="00B65175" w:rsidP="002911A6">
      <w:pPr>
        <w:tabs>
          <w:tab w:val="left" w:pos="9180"/>
        </w:tabs>
        <w:ind w:left="-181" w:right="-289"/>
        <w:jc w:val="both"/>
        <w:rPr>
          <w:rFonts w:asciiTheme="minorHAnsi" w:hAnsiTheme="minorHAnsi" w:cs="Arial"/>
          <w:bCs/>
          <w:sz w:val="22"/>
          <w:szCs w:val="22"/>
          <w:lang w:val="hr-HR"/>
        </w:rPr>
        <w:sectPr w:rsidR="00B65175" w:rsidRPr="001567C8" w:rsidSect="00B65175">
          <w:footerReference w:type="default" r:id="rId77"/>
          <w:pgSz w:w="16840" w:h="11907" w:orient="landscape" w:code="9"/>
          <w:pgMar w:top="1134" w:right="1134" w:bottom="1418" w:left="1418" w:header="851" w:footer="851" w:gutter="0"/>
          <w:cols w:space="720"/>
          <w:noEndnote/>
          <w:docGrid w:linePitch="326"/>
        </w:sectPr>
      </w:pPr>
    </w:p>
    <w:p w:rsidR="002A11E0" w:rsidRPr="001567C8" w:rsidRDefault="002A11E0" w:rsidP="002911A6">
      <w:pPr>
        <w:tabs>
          <w:tab w:val="left" w:pos="9180"/>
        </w:tabs>
        <w:ind w:left="-181" w:right="-289"/>
        <w:jc w:val="both"/>
        <w:rPr>
          <w:rFonts w:asciiTheme="minorHAnsi" w:hAnsiTheme="minorHAnsi" w:cs="Arial"/>
          <w:bCs/>
          <w:sz w:val="22"/>
          <w:szCs w:val="22"/>
          <w:lang w:val="hr-HR"/>
        </w:rPr>
      </w:pPr>
    </w:p>
    <w:p w:rsidR="00B65175" w:rsidRPr="001567C8" w:rsidRDefault="00B65175" w:rsidP="00B65175">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Pr="001567C8">
        <w:rPr>
          <w:rFonts w:asciiTheme="minorHAnsi" w:hAnsiTheme="minorHAnsi" w:cs="Arial"/>
          <w:sz w:val="22"/>
          <w:szCs w:val="22"/>
          <w:lang w:val="hr-HR"/>
        </w:rPr>
        <w:tab/>
        <w:t>Upravljanje rizicima (nastavak)</w:t>
      </w:r>
    </w:p>
    <w:p w:rsidR="00B65175" w:rsidRPr="001567C8" w:rsidRDefault="00B65175" w:rsidP="00B65175">
      <w:pPr>
        <w:pStyle w:val="T1"/>
        <w:spacing w:before="0" w:after="0" w:line="240" w:lineRule="auto"/>
        <w:rPr>
          <w:rFonts w:asciiTheme="minorHAnsi" w:hAnsiTheme="minorHAnsi" w:cs="Arial"/>
          <w:sz w:val="22"/>
          <w:szCs w:val="22"/>
          <w:lang w:val="hr-HR"/>
        </w:rPr>
      </w:pPr>
    </w:p>
    <w:p w:rsidR="00B65175" w:rsidRPr="001567C8" w:rsidRDefault="00B65175" w:rsidP="00B65175">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B65175" w:rsidRPr="001567C8" w:rsidRDefault="00B65175" w:rsidP="00B65175">
      <w:pPr>
        <w:pStyle w:val="T1"/>
        <w:spacing w:before="0" w:after="0" w:line="240" w:lineRule="auto"/>
        <w:rPr>
          <w:rFonts w:asciiTheme="minorHAnsi" w:hAnsiTheme="minorHAnsi" w:cs="Arial"/>
          <w:sz w:val="22"/>
          <w:szCs w:val="22"/>
          <w:lang w:val="hr-HR"/>
        </w:rPr>
      </w:pPr>
    </w:p>
    <w:p w:rsidR="00B65175" w:rsidRPr="001567C8" w:rsidRDefault="00B65175" w:rsidP="00B65175">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Kvaliteta kreditnog rizika prema vrsti financijske imovine (nastavak)</w:t>
      </w:r>
    </w:p>
    <w:p w:rsidR="000D0DC5" w:rsidRPr="001567C8" w:rsidRDefault="000D0DC5" w:rsidP="002911A6">
      <w:pPr>
        <w:tabs>
          <w:tab w:val="left" w:pos="9180"/>
        </w:tabs>
        <w:ind w:right="-289"/>
        <w:jc w:val="both"/>
        <w:rPr>
          <w:rFonts w:asciiTheme="minorHAnsi" w:hAnsiTheme="minorHAnsi" w:cs="Arial"/>
          <w:bCs/>
          <w:sz w:val="22"/>
          <w:szCs w:val="22"/>
          <w:highlight w:val="yellow"/>
          <w:lang w:val="hr-HR"/>
        </w:rPr>
      </w:pPr>
    </w:p>
    <w:p w:rsidR="002A11E0" w:rsidRPr="001567C8" w:rsidRDefault="00F62451" w:rsidP="003C6BA3">
      <w:pPr>
        <w:tabs>
          <w:tab w:val="left" w:pos="9180"/>
        </w:tabs>
        <w:jc w:val="both"/>
        <w:rPr>
          <w:rFonts w:asciiTheme="minorHAnsi" w:hAnsiTheme="minorHAnsi" w:cs="Arial"/>
          <w:sz w:val="22"/>
          <w:szCs w:val="22"/>
          <w:lang w:val="hr-HR"/>
        </w:rPr>
      </w:pPr>
      <w:r w:rsidRPr="001567C8">
        <w:rPr>
          <w:rFonts w:asciiTheme="minorHAnsi" w:hAnsiTheme="minorHAnsi" w:cs="Arial"/>
          <w:bCs/>
          <w:sz w:val="22"/>
          <w:szCs w:val="22"/>
          <w:lang w:val="hr-HR"/>
        </w:rPr>
        <w:t>U ukupnoj neto najvećoj izloženosti Grupe i Banke i</w:t>
      </w:r>
      <w:r w:rsidRPr="001567C8">
        <w:rPr>
          <w:rFonts w:asciiTheme="minorHAnsi" w:hAnsiTheme="minorHAnsi" w:cs="Arial"/>
          <w:sz w:val="22"/>
          <w:szCs w:val="22"/>
          <w:lang w:val="hr-HR"/>
        </w:rPr>
        <w:t xml:space="preserve">znos kredita ostalim korisnicima od </w:t>
      </w:r>
      <w:r w:rsidR="00EA4C68" w:rsidRPr="001567C8">
        <w:rPr>
          <w:rFonts w:asciiTheme="minorHAnsi" w:hAnsiTheme="minorHAnsi" w:cs="Arial"/>
          <w:sz w:val="22"/>
          <w:szCs w:val="22"/>
          <w:lang w:val="hr-HR"/>
        </w:rPr>
        <w:t>2.520.298</w:t>
      </w:r>
      <w:r w:rsidRPr="001567C8">
        <w:rPr>
          <w:rFonts w:asciiTheme="minorHAnsi" w:hAnsiTheme="minorHAnsi" w:cs="Arial"/>
          <w:sz w:val="22"/>
          <w:szCs w:val="22"/>
          <w:lang w:val="hr-HR"/>
        </w:rPr>
        <w:t xml:space="preserve"> tisuća kuna nije pokriven uobičajenim instrumentima osiguranja, ali se odnosi na potraživanja i primljena sredstva od Republike Hrvatske u iznosu od </w:t>
      </w:r>
      <w:r w:rsidR="00EA4C68" w:rsidRPr="001567C8">
        <w:rPr>
          <w:rFonts w:asciiTheme="minorHAnsi" w:hAnsiTheme="minorHAnsi" w:cs="Arial"/>
          <w:sz w:val="22"/>
          <w:szCs w:val="22"/>
          <w:lang w:val="hr-HR"/>
        </w:rPr>
        <w:t>1.571.622</w:t>
      </w:r>
      <w:r w:rsidRPr="001567C8">
        <w:rPr>
          <w:rFonts w:asciiTheme="minorHAnsi" w:hAnsiTheme="minorHAnsi" w:cs="Arial"/>
          <w:sz w:val="22"/>
          <w:szCs w:val="22"/>
          <w:lang w:val="hr-HR"/>
        </w:rPr>
        <w:t xml:space="preserve"> tisuća kuna, jedinica lokalne i područne (regionalne) samouprave u iznosu od </w:t>
      </w:r>
      <w:r w:rsidR="00EA4C68" w:rsidRPr="001567C8">
        <w:rPr>
          <w:rFonts w:asciiTheme="minorHAnsi" w:hAnsiTheme="minorHAnsi" w:cs="Arial"/>
          <w:sz w:val="22"/>
          <w:szCs w:val="22"/>
          <w:lang w:val="hr-HR"/>
        </w:rPr>
        <w:t xml:space="preserve">647.039 </w:t>
      </w:r>
      <w:r w:rsidRPr="001567C8">
        <w:rPr>
          <w:rFonts w:asciiTheme="minorHAnsi" w:hAnsiTheme="minorHAnsi" w:cs="Arial"/>
          <w:sz w:val="22"/>
          <w:szCs w:val="22"/>
          <w:lang w:val="hr-HR"/>
        </w:rPr>
        <w:t>tisuća kuna</w:t>
      </w:r>
      <w:r w:rsidR="00550945" w:rsidRPr="001567C8">
        <w:rPr>
          <w:rFonts w:asciiTheme="minorHAnsi" w:hAnsiTheme="minorHAnsi" w:cs="Arial"/>
          <w:sz w:val="22"/>
          <w:szCs w:val="22"/>
          <w:lang w:val="hr-HR"/>
        </w:rPr>
        <w:t xml:space="preserve"> te</w:t>
      </w:r>
      <w:r w:rsidRPr="001567C8">
        <w:rPr>
          <w:rFonts w:asciiTheme="minorHAnsi" w:hAnsiTheme="minorHAnsi" w:cs="Arial"/>
          <w:sz w:val="22"/>
          <w:szCs w:val="22"/>
          <w:lang w:val="hr-HR"/>
        </w:rPr>
        <w:t xml:space="preserve"> državnih trgovačkih društava za čije obveze Republika Hrvatska odgovara solidarno i neograničeno u iznosu od </w:t>
      </w:r>
      <w:r w:rsidR="00EA4C68" w:rsidRPr="001567C8">
        <w:rPr>
          <w:rFonts w:asciiTheme="minorHAnsi" w:hAnsiTheme="minorHAnsi" w:cs="Arial"/>
          <w:sz w:val="22"/>
          <w:szCs w:val="22"/>
          <w:lang w:val="hr-HR"/>
        </w:rPr>
        <w:t>228.404</w:t>
      </w:r>
      <w:r w:rsidRPr="001567C8">
        <w:rPr>
          <w:rFonts w:asciiTheme="minorHAnsi" w:hAnsiTheme="minorHAnsi" w:cs="Arial"/>
          <w:sz w:val="22"/>
          <w:szCs w:val="22"/>
          <w:lang w:val="hr-HR"/>
        </w:rPr>
        <w:t xml:space="preserve"> tisuća. </w:t>
      </w:r>
      <w:r w:rsidRPr="001567C8">
        <w:rPr>
          <w:rFonts w:asciiTheme="minorHAnsi" w:hAnsiTheme="minorHAnsi" w:cs="Arial"/>
          <w:bCs/>
          <w:sz w:val="22"/>
          <w:szCs w:val="22"/>
          <w:lang w:val="hr-HR"/>
        </w:rPr>
        <w:t xml:space="preserve">Dodatno, iznos od </w:t>
      </w:r>
      <w:r w:rsidR="00EA4C68" w:rsidRPr="001567C8">
        <w:rPr>
          <w:rFonts w:asciiTheme="minorHAnsi" w:hAnsiTheme="minorHAnsi" w:cs="Arial"/>
          <w:bCs/>
          <w:sz w:val="22"/>
          <w:szCs w:val="22"/>
          <w:lang w:val="hr-HR"/>
        </w:rPr>
        <w:t xml:space="preserve">73.233 </w:t>
      </w:r>
      <w:r w:rsidRPr="001567C8">
        <w:rPr>
          <w:rFonts w:asciiTheme="minorHAnsi" w:hAnsiTheme="minorHAnsi" w:cs="Arial"/>
          <w:bCs/>
          <w:sz w:val="22"/>
          <w:szCs w:val="22"/>
          <w:lang w:val="hr-HR"/>
        </w:rPr>
        <w:t>tisuća kuna odnosi se na potraživanja od trgovačkog društva u ve</w:t>
      </w:r>
      <w:r w:rsidR="00F2590B" w:rsidRPr="001567C8">
        <w:rPr>
          <w:rFonts w:asciiTheme="minorHAnsi" w:hAnsiTheme="minorHAnsi" w:cs="Arial"/>
          <w:bCs/>
          <w:sz w:val="22"/>
          <w:szCs w:val="22"/>
          <w:lang w:val="hr-HR"/>
        </w:rPr>
        <w:t>ćinskom državnom vlasništvu (kontrolni utjecaj</w:t>
      </w:r>
      <w:r w:rsidRPr="001567C8">
        <w:rPr>
          <w:rFonts w:asciiTheme="minorHAnsi" w:hAnsiTheme="minorHAnsi" w:cs="Arial"/>
          <w:bCs/>
          <w:sz w:val="22"/>
          <w:szCs w:val="22"/>
          <w:lang w:val="hr-HR"/>
        </w:rPr>
        <w:t>).</w:t>
      </w:r>
    </w:p>
    <w:p w:rsidR="002911A6" w:rsidRPr="001567C8" w:rsidRDefault="002911A6" w:rsidP="002911A6">
      <w:pPr>
        <w:tabs>
          <w:tab w:val="left" w:pos="9180"/>
        </w:tabs>
        <w:ind w:right="-289"/>
        <w:jc w:val="both"/>
        <w:rPr>
          <w:rFonts w:asciiTheme="minorHAnsi" w:hAnsiTheme="minorHAnsi" w:cs="Arial"/>
          <w:sz w:val="22"/>
          <w:szCs w:val="22"/>
          <w:lang w:val="hr-HR"/>
        </w:rPr>
      </w:pPr>
    </w:p>
    <w:p w:rsidR="002911A6" w:rsidRPr="001567C8" w:rsidRDefault="002911A6" w:rsidP="00361B04">
      <w:pPr>
        <w:tabs>
          <w:tab w:val="left" w:pos="9180"/>
        </w:tabs>
        <w:jc w:val="both"/>
        <w:rPr>
          <w:rFonts w:asciiTheme="minorHAnsi" w:hAnsiTheme="minorHAnsi" w:cs="Arial"/>
          <w:sz w:val="22"/>
          <w:szCs w:val="22"/>
          <w:lang w:val="hr-HR"/>
        </w:rPr>
      </w:pPr>
      <w:r w:rsidRPr="001567C8">
        <w:rPr>
          <w:rFonts w:asciiTheme="minorHAnsi" w:hAnsiTheme="minorHAnsi" w:cs="Arial"/>
          <w:sz w:val="22"/>
          <w:szCs w:val="22"/>
          <w:lang w:val="hr-HR"/>
        </w:rPr>
        <w:t xml:space="preserve">Iznos </w:t>
      </w:r>
      <w:r w:rsidR="00200476" w:rsidRPr="001567C8">
        <w:rPr>
          <w:rFonts w:asciiTheme="minorHAnsi" w:hAnsiTheme="minorHAnsi" w:cs="Arial"/>
          <w:sz w:val="22"/>
          <w:szCs w:val="22"/>
          <w:lang w:val="hr-HR"/>
        </w:rPr>
        <w:t>financijske imovine po fer vrijednosti kroz ostalu sveobuhvatnu dobit i dužničkih vrijednosnih papira po amortiziranom trošku</w:t>
      </w:r>
      <w:r w:rsidRPr="001567C8">
        <w:rPr>
          <w:rFonts w:asciiTheme="minorHAnsi" w:hAnsiTheme="minorHAnsi" w:cs="Arial"/>
          <w:sz w:val="22"/>
          <w:szCs w:val="22"/>
          <w:lang w:val="hr-HR"/>
        </w:rPr>
        <w:t xml:space="preserve"> nije pokriven uobičajenim instrumentima, ali se odnosi na obveznice Republike Hrvatske i trezorske zapise Ministarstva financija u iznosu od </w:t>
      </w:r>
      <w:r w:rsidR="00EA4C68" w:rsidRPr="001567C8">
        <w:rPr>
          <w:rFonts w:asciiTheme="minorHAnsi" w:hAnsiTheme="minorHAnsi" w:cs="Arial"/>
          <w:sz w:val="22"/>
          <w:szCs w:val="22"/>
          <w:lang w:val="hr-HR"/>
        </w:rPr>
        <w:t>2.</w:t>
      </w:r>
      <w:r w:rsidR="005E7CDB" w:rsidRPr="001567C8">
        <w:rPr>
          <w:rFonts w:asciiTheme="minorHAnsi" w:hAnsiTheme="minorHAnsi" w:cs="Arial"/>
          <w:sz w:val="22"/>
          <w:szCs w:val="22"/>
          <w:lang w:val="hr-HR"/>
        </w:rPr>
        <w:t>803</w:t>
      </w:r>
      <w:r w:rsidR="00EA4C68" w:rsidRPr="001567C8">
        <w:rPr>
          <w:rFonts w:asciiTheme="minorHAnsi" w:hAnsiTheme="minorHAnsi" w:cs="Arial"/>
          <w:sz w:val="22"/>
          <w:szCs w:val="22"/>
          <w:lang w:val="hr-HR"/>
        </w:rPr>
        <w:t>.</w:t>
      </w:r>
      <w:r w:rsidR="005E7CDB" w:rsidRPr="001567C8">
        <w:rPr>
          <w:rFonts w:asciiTheme="minorHAnsi" w:hAnsiTheme="minorHAnsi" w:cs="Arial"/>
          <w:sz w:val="22"/>
          <w:szCs w:val="22"/>
          <w:lang w:val="hr-HR"/>
        </w:rPr>
        <w:t>585</w:t>
      </w:r>
      <w:r w:rsidR="00EA4C68"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 xml:space="preserve">tisuća kuna kod Grupe i </w:t>
      </w:r>
      <w:r w:rsidR="00EA4C68" w:rsidRPr="001567C8">
        <w:rPr>
          <w:rFonts w:asciiTheme="minorHAnsi" w:hAnsiTheme="minorHAnsi" w:cs="Arial"/>
          <w:sz w:val="22"/>
          <w:szCs w:val="22"/>
          <w:lang w:val="hr-HR"/>
        </w:rPr>
        <w:t xml:space="preserve">2.765.595 </w:t>
      </w:r>
      <w:r w:rsidRPr="001567C8">
        <w:rPr>
          <w:rFonts w:asciiTheme="minorHAnsi" w:hAnsiTheme="minorHAnsi" w:cs="Arial"/>
          <w:sz w:val="22"/>
          <w:szCs w:val="22"/>
          <w:lang w:val="hr-HR"/>
        </w:rPr>
        <w:t>tisuća kuna kod Banke.</w:t>
      </w:r>
    </w:p>
    <w:p w:rsidR="002911A6" w:rsidRPr="001567C8" w:rsidRDefault="002911A6" w:rsidP="00361B04">
      <w:pPr>
        <w:tabs>
          <w:tab w:val="left" w:pos="9180"/>
        </w:tabs>
        <w:jc w:val="both"/>
        <w:rPr>
          <w:rFonts w:asciiTheme="minorHAnsi" w:hAnsiTheme="minorHAnsi" w:cs="Arial"/>
          <w:sz w:val="22"/>
          <w:szCs w:val="22"/>
          <w:lang w:val="hr-HR"/>
        </w:rPr>
      </w:pPr>
    </w:p>
    <w:p w:rsidR="002A11E0" w:rsidRPr="001567C8" w:rsidRDefault="00F62451" w:rsidP="00361B04">
      <w:pPr>
        <w:tabs>
          <w:tab w:val="left" w:pos="9180"/>
        </w:tabs>
        <w:jc w:val="both"/>
        <w:rPr>
          <w:rFonts w:asciiTheme="minorHAnsi" w:hAnsiTheme="minorHAnsi" w:cs="Arial"/>
          <w:sz w:val="22"/>
          <w:szCs w:val="22"/>
          <w:lang w:val="hr-HR"/>
        </w:rPr>
      </w:pPr>
      <w:r w:rsidRPr="001567C8">
        <w:rPr>
          <w:rFonts w:asciiTheme="minorHAnsi" w:hAnsiTheme="minorHAnsi" w:cs="Arial"/>
          <w:sz w:val="22"/>
          <w:szCs w:val="22"/>
          <w:lang w:val="hr-HR"/>
        </w:rPr>
        <w:t xml:space="preserve">Ostala </w:t>
      </w:r>
      <w:r w:rsidR="008D6072" w:rsidRPr="001567C8">
        <w:rPr>
          <w:rFonts w:asciiTheme="minorHAnsi" w:hAnsiTheme="minorHAnsi" w:cs="Arial"/>
          <w:sz w:val="22"/>
          <w:szCs w:val="22"/>
          <w:lang w:val="hr-HR"/>
        </w:rPr>
        <w:t>imovina</w:t>
      </w:r>
      <w:r w:rsidRPr="001567C8">
        <w:rPr>
          <w:rFonts w:asciiTheme="minorHAnsi" w:hAnsiTheme="minorHAnsi" w:cs="Arial"/>
          <w:sz w:val="22"/>
          <w:szCs w:val="22"/>
          <w:lang w:val="hr-HR"/>
        </w:rPr>
        <w:t xml:space="preserve"> u iznosu od </w:t>
      </w:r>
      <w:r w:rsidR="00EA4C68" w:rsidRPr="001567C8">
        <w:rPr>
          <w:rFonts w:asciiTheme="minorHAnsi" w:hAnsiTheme="minorHAnsi" w:cs="Arial"/>
          <w:sz w:val="22"/>
          <w:szCs w:val="22"/>
          <w:lang w:val="hr-HR"/>
        </w:rPr>
        <w:t>1.174</w:t>
      </w:r>
      <w:r w:rsidR="00867992"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tisuća kuna nije pokrivena uobičajenim instrumentima osiguranja, ali se odnosi na potraživanja od Republike Hrvatske i republičkih fondova.</w:t>
      </w:r>
      <w:r w:rsidR="0060641A" w:rsidRPr="001567C8">
        <w:rPr>
          <w:rFonts w:asciiTheme="minorHAnsi" w:hAnsiTheme="minorHAnsi" w:cs="Arial"/>
          <w:sz w:val="22"/>
          <w:szCs w:val="22"/>
          <w:lang w:val="hr-HR"/>
        </w:rPr>
        <w:t xml:space="preserve"> </w:t>
      </w:r>
    </w:p>
    <w:p w:rsidR="002911A6" w:rsidRPr="001567C8" w:rsidRDefault="002911A6" w:rsidP="00361B04">
      <w:pPr>
        <w:tabs>
          <w:tab w:val="left" w:pos="9180"/>
        </w:tabs>
        <w:jc w:val="both"/>
        <w:rPr>
          <w:rFonts w:asciiTheme="minorHAnsi" w:hAnsiTheme="minorHAnsi" w:cs="Arial"/>
          <w:sz w:val="22"/>
          <w:szCs w:val="22"/>
          <w:lang w:val="hr-HR"/>
        </w:rPr>
      </w:pPr>
    </w:p>
    <w:p w:rsidR="00074D8C" w:rsidRPr="001567C8" w:rsidRDefault="00074D8C" w:rsidP="00C4703D">
      <w:pPr>
        <w:tabs>
          <w:tab w:val="left" w:pos="9180"/>
        </w:tabs>
        <w:spacing w:before="120" w:after="120" w:line="280" w:lineRule="exact"/>
        <w:ind w:left="-181" w:right="-289"/>
        <w:jc w:val="both"/>
        <w:rPr>
          <w:rFonts w:asciiTheme="minorHAnsi" w:hAnsiTheme="minorHAnsi" w:cs="Arial"/>
          <w:sz w:val="22"/>
          <w:szCs w:val="22"/>
          <w:lang w:val="hr-HR"/>
        </w:rPr>
        <w:sectPr w:rsidR="00074D8C" w:rsidRPr="001567C8" w:rsidSect="0077198A">
          <w:footerReference w:type="default" r:id="rId78"/>
          <w:pgSz w:w="11907" w:h="16840" w:code="9"/>
          <w:pgMar w:top="1418" w:right="1134" w:bottom="1134" w:left="1418" w:header="851" w:footer="851" w:gutter="0"/>
          <w:cols w:space="720"/>
          <w:noEndnote/>
        </w:sectPr>
      </w:pPr>
    </w:p>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1567C8" w:rsidRDefault="00C17BDA" w:rsidP="00C17BD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Pr="001567C8">
        <w:rPr>
          <w:rFonts w:asciiTheme="minorHAnsi" w:hAnsiTheme="minorHAnsi" w:cs="Arial"/>
          <w:sz w:val="22"/>
          <w:szCs w:val="22"/>
          <w:lang w:val="hr-HR"/>
        </w:rPr>
        <w:tab/>
        <w:t>Upravljanje rizicima (nastavak)</w:t>
      </w:r>
    </w:p>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1567C8" w:rsidRDefault="00C17BDA" w:rsidP="00C17BD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1567C8" w:rsidRDefault="00C17BDA" w:rsidP="00C17BDA">
      <w:pPr>
        <w:pStyle w:val="T1"/>
        <w:tabs>
          <w:tab w:val="left" w:pos="284"/>
        </w:tabs>
        <w:spacing w:before="0" w:after="0" w:line="240" w:lineRule="auto"/>
        <w:rPr>
          <w:rFonts w:asciiTheme="minorHAnsi" w:hAnsiTheme="minorHAnsi" w:cs="Arial"/>
          <w:b w:val="0"/>
          <w:i/>
          <w:sz w:val="22"/>
          <w:szCs w:val="22"/>
          <w:lang w:val="hr-HR"/>
        </w:rPr>
      </w:pPr>
      <w:r w:rsidRPr="001567C8">
        <w:rPr>
          <w:rFonts w:asciiTheme="minorHAnsi" w:hAnsiTheme="minorHAnsi" w:cs="Arial"/>
          <w:b w:val="0"/>
          <w:i/>
          <w:sz w:val="22"/>
          <w:szCs w:val="22"/>
          <w:lang w:val="hr-HR"/>
        </w:rPr>
        <w:t>i.</w:t>
      </w:r>
      <w:r w:rsidRPr="001567C8">
        <w:rPr>
          <w:rFonts w:asciiTheme="minorHAnsi" w:hAnsiTheme="minorHAnsi" w:cs="Arial"/>
          <w:b w:val="0"/>
          <w:i/>
          <w:sz w:val="22"/>
          <w:szCs w:val="22"/>
          <w:lang w:val="hr-HR"/>
        </w:rPr>
        <w:tab/>
        <w:t>Promjene po rezerviranjima</w:t>
      </w:r>
    </w:p>
    <w:p w:rsidR="00C17BDA" w:rsidRPr="001567C8" w:rsidRDefault="00C17BDA" w:rsidP="00C17BDA">
      <w:pPr>
        <w:pStyle w:val="T1"/>
        <w:spacing w:before="0" w:after="0" w:line="240" w:lineRule="auto"/>
        <w:jc w:val="left"/>
        <w:rPr>
          <w:rFonts w:asciiTheme="minorHAnsi" w:hAnsiTheme="minorHAnsi" w:cs="Arial"/>
          <w:b w:val="0"/>
          <w:i/>
          <w:sz w:val="22"/>
          <w:szCs w:val="22"/>
          <w:lang w:val="hr-HR"/>
        </w:rPr>
      </w:pPr>
    </w:p>
    <w:p w:rsidR="00C17BDA" w:rsidRPr="001567C8" w:rsidRDefault="00C17BDA" w:rsidP="00C17BDA">
      <w:pPr>
        <w:pStyle w:val="T1"/>
        <w:spacing w:before="0" w:after="0" w:line="240" w:lineRule="auto"/>
        <w:jc w:val="left"/>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U sljedećim tablicama prikazuju se promjene po rezerviranjima od početnog do završnog stanja prema </w:t>
      </w:r>
      <w:r w:rsidR="00DC6A16" w:rsidRPr="001567C8">
        <w:rPr>
          <w:rFonts w:asciiTheme="minorHAnsi" w:hAnsiTheme="minorHAnsi" w:cs="Arial"/>
          <w:b w:val="0"/>
          <w:sz w:val="22"/>
          <w:szCs w:val="22"/>
          <w:lang w:val="hr-HR"/>
        </w:rPr>
        <w:t>vrsti financijskog instrumenta i prema rizičnim skupinama</w:t>
      </w:r>
      <w:r w:rsidRPr="001567C8">
        <w:rPr>
          <w:rFonts w:asciiTheme="minorHAnsi" w:hAnsiTheme="minorHAnsi" w:cs="Arial"/>
          <w:b w:val="0"/>
          <w:sz w:val="22"/>
          <w:szCs w:val="22"/>
          <w:lang w:val="hr-HR"/>
        </w:rPr>
        <w:t>:</w:t>
      </w:r>
    </w:p>
    <w:p w:rsidR="00C17BDA" w:rsidRPr="001567C8" w:rsidRDefault="00C17BDA" w:rsidP="00C17BDA">
      <w:pPr>
        <w:pStyle w:val="T1"/>
        <w:spacing w:before="0" w:after="0" w:line="240" w:lineRule="auto"/>
        <w:jc w:val="left"/>
        <w:rPr>
          <w:rFonts w:asciiTheme="minorHAnsi" w:hAnsiTheme="minorHAnsi" w:cs="Arial"/>
          <w:b w:val="0"/>
          <w:i/>
          <w:sz w:val="22"/>
          <w:szCs w:val="22"/>
          <w:lang w:val="hr-HR"/>
        </w:rPr>
      </w:pPr>
    </w:p>
    <w:p w:rsidR="00C17BDA" w:rsidRPr="001567C8" w:rsidRDefault="00C17BDA" w:rsidP="00C17BDA">
      <w:pPr>
        <w:pStyle w:val="T1"/>
        <w:spacing w:before="0" w:after="0" w:line="240" w:lineRule="auto"/>
        <w:jc w:val="left"/>
        <w:rPr>
          <w:rFonts w:asciiTheme="minorHAnsi" w:hAnsiTheme="minorHAnsi" w:cs="Arial"/>
          <w:sz w:val="22"/>
          <w:szCs w:val="22"/>
          <w:lang w:val="hr-HR"/>
        </w:rPr>
      </w:pPr>
      <w:r w:rsidRPr="001567C8">
        <w:rPr>
          <w:rFonts w:asciiTheme="minorHAnsi" w:hAnsiTheme="minorHAnsi" w:cs="Arial"/>
          <w:sz w:val="22"/>
          <w:szCs w:val="22"/>
          <w:lang w:val="hr-HR"/>
        </w:rPr>
        <w:t>Novčana sredstva i računi kod banaka</w:t>
      </w:r>
    </w:p>
    <w:p w:rsidR="00C17BDA" w:rsidRPr="001567C8" w:rsidRDefault="00C17BDA" w:rsidP="00C17BDA">
      <w:pPr>
        <w:pStyle w:val="T1"/>
        <w:spacing w:before="0" w:after="0" w:line="240" w:lineRule="auto"/>
        <w:rPr>
          <w:rFonts w:asciiTheme="minorHAnsi" w:hAnsiTheme="minorHAnsi" w:cs="Arial"/>
          <w:sz w:val="22"/>
          <w:szCs w:val="22"/>
          <w:lang w:val="hr-HR"/>
        </w:rPr>
      </w:pPr>
    </w:p>
    <w:tbl>
      <w:tblPr>
        <w:tblW w:w="10102" w:type="dxa"/>
        <w:tblInd w:w="-426" w:type="dxa"/>
        <w:tblLook w:val="04A0" w:firstRow="1" w:lastRow="0" w:firstColumn="1" w:lastColumn="0" w:noHBand="0" w:noVBand="1"/>
      </w:tblPr>
      <w:tblGrid>
        <w:gridCol w:w="3970"/>
        <w:gridCol w:w="1022"/>
        <w:gridCol w:w="1022"/>
        <w:gridCol w:w="1022"/>
        <w:gridCol w:w="1022"/>
        <w:gridCol w:w="1022"/>
        <w:gridCol w:w="1022"/>
      </w:tblGrid>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rPr>
                <w:rFonts w:ascii="Calibri" w:hAnsi="Calibri" w:cs="Calibri"/>
                <w:b/>
                <w:bCs/>
                <w:color w:val="FF0000"/>
                <w:sz w:val="20"/>
                <w:szCs w:val="20"/>
                <w:lang w:val="hr-HR"/>
              </w:rPr>
            </w:pPr>
            <w:r w:rsidRPr="00CD3A2D">
              <w:rPr>
                <w:rFonts w:ascii="Calibri" w:hAnsi="Calibri" w:cs="Calibri"/>
                <w:b/>
                <w:bCs/>
                <w:sz w:val="20"/>
                <w:szCs w:val="20"/>
                <w:lang w:val="hr-HR"/>
              </w:rPr>
              <w:t>Banka</w:t>
            </w:r>
          </w:p>
        </w:tc>
        <w:tc>
          <w:tcPr>
            <w:tcW w:w="5110" w:type="dxa"/>
            <w:gridSpan w:val="5"/>
            <w:tcBorders>
              <w:top w:val="nil"/>
              <w:left w:val="nil"/>
              <w:bottom w:val="nil"/>
              <w:right w:val="nil"/>
            </w:tcBorders>
            <w:shd w:val="clear" w:color="auto" w:fill="auto"/>
            <w:vAlign w:val="center"/>
            <w:hideMark/>
          </w:tcPr>
          <w:p w:rsidR="00C17BDA" w:rsidRPr="00CD3A2D" w:rsidRDefault="00C17BDA" w:rsidP="006303BA">
            <w:pPr>
              <w:jc w:val="center"/>
              <w:rPr>
                <w:rFonts w:ascii="Calibri" w:hAnsi="Calibri" w:cs="Calibri"/>
                <w:b/>
                <w:bCs/>
                <w:color w:val="000000"/>
                <w:sz w:val="20"/>
                <w:szCs w:val="20"/>
                <w:lang w:val="hr-HR"/>
              </w:rPr>
            </w:pPr>
            <w:r w:rsidRPr="00CD3A2D">
              <w:rPr>
                <w:rFonts w:ascii="Calibri" w:hAnsi="Calibri" w:cs="Calibri"/>
                <w:b/>
                <w:bCs/>
                <w:color w:val="000000"/>
                <w:sz w:val="20"/>
                <w:szCs w:val="20"/>
                <w:lang w:val="hr-HR"/>
              </w:rPr>
              <w:t>2018</w:t>
            </w:r>
            <w:r w:rsidR="00BB3DBE" w:rsidRPr="00CD3A2D">
              <w:rPr>
                <w:rFonts w:ascii="Calibri" w:hAnsi="Calibri" w:cs="Calibri"/>
                <w:b/>
                <w:bCs/>
                <w:color w:val="000000"/>
                <w:sz w:val="20"/>
                <w:szCs w:val="20"/>
                <w:lang w:val="hr-HR"/>
              </w:rPr>
              <w:t>.</w:t>
            </w:r>
          </w:p>
        </w:tc>
        <w:tc>
          <w:tcPr>
            <w:tcW w:w="1022" w:type="dxa"/>
            <w:tcBorders>
              <w:top w:val="nil"/>
              <w:left w:val="nil"/>
              <w:bottom w:val="nil"/>
              <w:right w:val="nil"/>
            </w:tcBorders>
            <w:shd w:val="clear" w:color="auto" w:fill="auto"/>
            <w:vAlign w:val="center"/>
            <w:hideMark/>
          </w:tcPr>
          <w:p w:rsidR="00C17BDA" w:rsidRPr="00CD3A2D" w:rsidRDefault="00C17BDA" w:rsidP="00BB3DBE">
            <w:pPr>
              <w:jc w:val="center"/>
              <w:rPr>
                <w:rFonts w:ascii="Calibri" w:hAnsi="Calibri" w:cs="Calibri"/>
                <w:b/>
                <w:bCs/>
                <w:color w:val="000000"/>
                <w:sz w:val="20"/>
                <w:szCs w:val="20"/>
                <w:lang w:val="hr-HR"/>
              </w:rPr>
            </w:pPr>
            <w:r w:rsidRPr="00CD3A2D">
              <w:rPr>
                <w:rFonts w:ascii="Calibri" w:hAnsi="Calibri" w:cs="Calibri"/>
                <w:b/>
                <w:bCs/>
                <w:color w:val="000000"/>
                <w:sz w:val="20"/>
                <w:szCs w:val="20"/>
                <w:lang w:val="hr-HR"/>
              </w:rPr>
              <w:t>2017</w:t>
            </w:r>
            <w:r w:rsidR="00BB3DBE" w:rsidRPr="00CD3A2D">
              <w:rPr>
                <w:rFonts w:ascii="Calibri" w:hAnsi="Calibri" w:cs="Calibri"/>
                <w:b/>
                <w:bCs/>
                <w:color w:val="000000"/>
                <w:sz w:val="20"/>
                <w:szCs w:val="20"/>
                <w:lang w:val="hr-HR"/>
              </w:rPr>
              <w:t>.</w:t>
            </w:r>
          </w:p>
        </w:tc>
      </w:tr>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1</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2</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3</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POCI</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r>
      <w:tr w:rsidR="006B1659" w:rsidRPr="001567C8" w:rsidTr="006303BA">
        <w:trPr>
          <w:trHeight w:val="163"/>
        </w:trPr>
        <w:tc>
          <w:tcPr>
            <w:tcW w:w="3970"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r>
      <w:tr w:rsidR="00C17BDA" w:rsidRPr="001567C8" w:rsidTr="006303BA">
        <w:trPr>
          <w:trHeight w:val="163"/>
        </w:trPr>
        <w:tc>
          <w:tcPr>
            <w:tcW w:w="3970"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r>
      <w:tr w:rsidR="00BB3DBE" w:rsidRPr="001567C8" w:rsidTr="001D0A0D">
        <w:trPr>
          <w:trHeight w:val="163"/>
        </w:trPr>
        <w:tc>
          <w:tcPr>
            <w:tcW w:w="3970" w:type="dxa"/>
            <w:tcBorders>
              <w:top w:val="nil"/>
              <w:left w:val="nil"/>
              <w:bottom w:val="nil"/>
              <w:right w:val="nil"/>
            </w:tcBorders>
            <w:shd w:val="clear" w:color="auto" w:fill="auto"/>
            <w:vAlign w:val="center"/>
            <w:hideMark/>
          </w:tcPr>
          <w:p w:rsidR="00BB3DBE" w:rsidRPr="00CD3A2D" w:rsidRDefault="00BB3DBE" w:rsidP="00BB3DBE">
            <w:pPr>
              <w:rPr>
                <w:rFonts w:ascii="Calibri" w:hAnsi="Calibri" w:cs="Calibri"/>
                <w:color w:val="000000"/>
                <w:sz w:val="20"/>
                <w:szCs w:val="20"/>
                <w:lang w:val="hr-HR"/>
              </w:rPr>
            </w:pPr>
            <w:r w:rsidRPr="00CD3A2D">
              <w:rPr>
                <w:rFonts w:ascii="Calibri" w:hAnsi="Calibri" w:cs="Calibri"/>
                <w:color w:val="000000"/>
                <w:sz w:val="20"/>
                <w:szCs w:val="20"/>
                <w:lang w:val="hr-HR"/>
              </w:rPr>
              <w:t>Stanje 1. siječnja 2018. godine</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41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41 </w:t>
            </w:r>
          </w:p>
        </w:tc>
        <w:tc>
          <w:tcPr>
            <w:tcW w:w="1022" w:type="dxa"/>
            <w:tcBorders>
              <w:top w:val="nil"/>
              <w:left w:val="nil"/>
              <w:bottom w:val="nil"/>
              <w:right w:val="nil"/>
            </w:tcBorders>
            <w:shd w:val="clear" w:color="auto" w:fill="auto"/>
            <w:vAlign w:val="bottom"/>
            <w:hideMark/>
          </w:tcPr>
          <w:p w:rsidR="00BB3DBE" w:rsidRPr="00CD3A2D" w:rsidRDefault="00BB3DBE"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3.079 </w:t>
            </w:r>
          </w:p>
        </w:tc>
      </w:tr>
      <w:tr w:rsidR="00BB3DBE" w:rsidRPr="001567C8" w:rsidTr="001D0A0D">
        <w:trPr>
          <w:trHeight w:val="163"/>
        </w:trPr>
        <w:tc>
          <w:tcPr>
            <w:tcW w:w="3970" w:type="dxa"/>
            <w:tcBorders>
              <w:top w:val="nil"/>
              <w:left w:val="nil"/>
              <w:bottom w:val="nil"/>
              <w:right w:val="nil"/>
            </w:tcBorders>
            <w:shd w:val="clear" w:color="auto" w:fill="auto"/>
            <w:vAlign w:val="center"/>
            <w:hideMark/>
          </w:tcPr>
          <w:p w:rsidR="00BB3DBE" w:rsidRPr="00CD3A2D" w:rsidRDefault="008A260B" w:rsidP="00BB3DBE">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BB3DBE" w:rsidRPr="00CD3A2D">
              <w:rPr>
                <w:rFonts w:ascii="Calibri" w:hAnsi="Calibri" w:cs="Calibri"/>
                <w:color w:val="000000"/>
                <w:sz w:val="20"/>
                <w:szCs w:val="20"/>
                <w:lang w:val="hr-HR"/>
              </w:rPr>
              <w:t xml:space="preserve"> u Stupanj 1</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vAlign w:val="bottom"/>
          </w:tcPr>
          <w:p w:rsidR="00BB3DBE" w:rsidRPr="00CD3A2D" w:rsidRDefault="00BB3DBE"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r>
      <w:tr w:rsidR="00BB3DBE" w:rsidRPr="001567C8" w:rsidTr="001D0A0D">
        <w:trPr>
          <w:trHeight w:val="163"/>
        </w:trPr>
        <w:tc>
          <w:tcPr>
            <w:tcW w:w="3970" w:type="dxa"/>
            <w:tcBorders>
              <w:top w:val="nil"/>
              <w:left w:val="nil"/>
              <w:bottom w:val="nil"/>
              <w:right w:val="nil"/>
            </w:tcBorders>
            <w:shd w:val="clear" w:color="auto" w:fill="auto"/>
            <w:vAlign w:val="center"/>
            <w:hideMark/>
          </w:tcPr>
          <w:p w:rsidR="00BB3DBE" w:rsidRPr="00CD3A2D" w:rsidRDefault="008A260B" w:rsidP="00BB3DBE">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BB3DBE" w:rsidRPr="00CD3A2D">
              <w:rPr>
                <w:rFonts w:ascii="Calibri" w:hAnsi="Calibri" w:cs="Calibri"/>
                <w:color w:val="000000"/>
                <w:sz w:val="20"/>
                <w:szCs w:val="20"/>
                <w:lang w:val="hr-HR"/>
              </w:rPr>
              <w:t xml:space="preserve"> u Stupanj 2</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vAlign w:val="bottom"/>
          </w:tcPr>
          <w:p w:rsidR="00BB3DBE" w:rsidRPr="00CD3A2D" w:rsidRDefault="00BB3DBE"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r>
      <w:tr w:rsidR="00BB3DBE" w:rsidRPr="001567C8" w:rsidTr="001D0A0D">
        <w:trPr>
          <w:trHeight w:val="163"/>
        </w:trPr>
        <w:tc>
          <w:tcPr>
            <w:tcW w:w="3970" w:type="dxa"/>
            <w:tcBorders>
              <w:top w:val="nil"/>
              <w:left w:val="nil"/>
              <w:bottom w:val="nil"/>
              <w:right w:val="nil"/>
            </w:tcBorders>
            <w:shd w:val="clear" w:color="auto" w:fill="auto"/>
            <w:vAlign w:val="center"/>
            <w:hideMark/>
          </w:tcPr>
          <w:p w:rsidR="00BB3DBE" w:rsidRPr="00CD3A2D" w:rsidRDefault="008A260B" w:rsidP="00BB3DBE">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BB3DBE" w:rsidRPr="00CD3A2D">
              <w:rPr>
                <w:rFonts w:ascii="Calibri" w:hAnsi="Calibri" w:cs="Calibri"/>
                <w:color w:val="000000"/>
                <w:sz w:val="20"/>
                <w:szCs w:val="20"/>
                <w:lang w:val="hr-HR"/>
              </w:rPr>
              <w:t xml:space="preserve"> u Stupanj 3</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vAlign w:val="bottom"/>
          </w:tcPr>
          <w:p w:rsidR="00BB3DBE" w:rsidRPr="00CD3A2D" w:rsidRDefault="00BB3DBE"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w:t>
            </w:r>
          </w:p>
        </w:tc>
      </w:tr>
      <w:tr w:rsidR="00BB3DBE" w:rsidRPr="001567C8" w:rsidTr="001D0A0D">
        <w:trPr>
          <w:trHeight w:val="203"/>
        </w:trPr>
        <w:tc>
          <w:tcPr>
            <w:tcW w:w="3970" w:type="dxa"/>
            <w:tcBorders>
              <w:top w:val="nil"/>
              <w:left w:val="nil"/>
              <w:bottom w:val="nil"/>
              <w:right w:val="nil"/>
            </w:tcBorders>
            <w:shd w:val="clear" w:color="auto" w:fill="auto"/>
            <w:vAlign w:val="center"/>
            <w:hideMark/>
          </w:tcPr>
          <w:p w:rsidR="00BB3DBE" w:rsidRPr="00CD3A2D" w:rsidRDefault="00BB3DBE" w:rsidP="00BB3DBE">
            <w:pPr>
              <w:rPr>
                <w:rFonts w:ascii="Calibri" w:hAnsi="Calibri" w:cs="Calibri"/>
                <w:color w:val="000000"/>
                <w:sz w:val="20"/>
                <w:szCs w:val="20"/>
                <w:lang w:val="hr-HR"/>
              </w:rPr>
            </w:pPr>
            <w:r w:rsidRPr="00CD3A2D">
              <w:rPr>
                <w:rFonts w:ascii="Calibri" w:hAnsi="Calibri" w:cs="Calibri"/>
                <w:color w:val="000000"/>
                <w:sz w:val="20"/>
                <w:szCs w:val="20"/>
                <w:lang w:val="hr-HR"/>
              </w:rPr>
              <w:t xml:space="preserve">Povećanje rezerviranja za očekivane gubitke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2.200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2.200 </w:t>
            </w:r>
          </w:p>
        </w:tc>
        <w:tc>
          <w:tcPr>
            <w:tcW w:w="1022" w:type="dxa"/>
            <w:tcBorders>
              <w:top w:val="nil"/>
              <w:left w:val="nil"/>
              <w:bottom w:val="nil"/>
              <w:right w:val="nil"/>
            </w:tcBorders>
            <w:shd w:val="clear" w:color="auto" w:fill="auto"/>
            <w:vAlign w:val="bottom"/>
            <w:hideMark/>
          </w:tcPr>
          <w:p w:rsidR="00BB3DBE" w:rsidRPr="00CD3A2D" w:rsidRDefault="00BB3DBE"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r>
      <w:tr w:rsidR="00BB3DBE" w:rsidRPr="001567C8" w:rsidTr="001D0A0D">
        <w:trPr>
          <w:trHeight w:val="234"/>
        </w:trPr>
        <w:tc>
          <w:tcPr>
            <w:tcW w:w="3970" w:type="dxa"/>
            <w:tcBorders>
              <w:top w:val="nil"/>
              <w:left w:val="nil"/>
              <w:bottom w:val="nil"/>
              <w:right w:val="nil"/>
            </w:tcBorders>
            <w:shd w:val="clear" w:color="auto" w:fill="auto"/>
            <w:vAlign w:val="center"/>
            <w:hideMark/>
          </w:tcPr>
          <w:p w:rsidR="00BB3DBE" w:rsidRPr="00CD3A2D" w:rsidRDefault="00BB3DBE" w:rsidP="00BB3DBE">
            <w:pPr>
              <w:rPr>
                <w:rFonts w:ascii="Calibri" w:hAnsi="Calibri" w:cs="Calibri"/>
                <w:color w:val="000000"/>
                <w:sz w:val="20"/>
                <w:szCs w:val="20"/>
                <w:lang w:val="hr-HR"/>
              </w:rPr>
            </w:pPr>
            <w:r w:rsidRPr="00CD3A2D">
              <w:rPr>
                <w:rFonts w:ascii="Calibri" w:hAnsi="Calibri" w:cs="Calibri"/>
                <w:color w:val="000000"/>
                <w:sz w:val="20"/>
                <w:szCs w:val="20"/>
                <w:lang w:val="hr-HR"/>
              </w:rPr>
              <w:t xml:space="preserve">Smanjenje rezerviranja za očekivane gubitke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(592)</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hideMark/>
          </w:tcPr>
          <w:p w:rsidR="00BB3DBE" w:rsidRPr="00CD3A2D" w:rsidRDefault="00BB3DBE" w:rsidP="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(592)</w:t>
            </w:r>
          </w:p>
        </w:tc>
        <w:tc>
          <w:tcPr>
            <w:tcW w:w="1022" w:type="dxa"/>
            <w:tcBorders>
              <w:top w:val="nil"/>
              <w:left w:val="nil"/>
              <w:bottom w:val="nil"/>
              <w:right w:val="nil"/>
            </w:tcBorders>
            <w:shd w:val="clear" w:color="auto" w:fill="auto"/>
            <w:vAlign w:val="bottom"/>
            <w:hideMark/>
          </w:tcPr>
          <w:p w:rsidR="00BB3DBE" w:rsidRPr="00CD3A2D" w:rsidRDefault="00BB3DBE" w:rsidP="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(2.221)</w:t>
            </w:r>
          </w:p>
        </w:tc>
      </w:tr>
      <w:tr w:rsidR="00BB3DBE" w:rsidRPr="001567C8" w:rsidTr="003C6BA3">
        <w:trPr>
          <w:trHeight w:val="171"/>
        </w:trPr>
        <w:tc>
          <w:tcPr>
            <w:tcW w:w="3970" w:type="dxa"/>
            <w:tcBorders>
              <w:top w:val="nil"/>
              <w:left w:val="nil"/>
              <w:bottom w:val="nil"/>
              <w:right w:val="nil"/>
            </w:tcBorders>
            <w:shd w:val="clear" w:color="auto" w:fill="auto"/>
            <w:vAlign w:val="center"/>
            <w:hideMark/>
          </w:tcPr>
          <w:p w:rsidR="00BB3DBE" w:rsidRPr="00CD3A2D" w:rsidRDefault="00BB3DBE" w:rsidP="00BB3DBE">
            <w:pPr>
              <w:rPr>
                <w:rFonts w:ascii="Calibri" w:hAnsi="Calibri" w:cs="Calibri"/>
                <w:color w:val="000000"/>
                <w:sz w:val="20"/>
                <w:szCs w:val="20"/>
                <w:lang w:val="hr-HR"/>
              </w:rPr>
            </w:pPr>
            <w:r w:rsidRPr="00CD3A2D">
              <w:rPr>
                <w:rFonts w:ascii="Calibri" w:hAnsi="Calibri" w:cs="Calibri"/>
                <w:color w:val="000000"/>
                <w:sz w:val="20"/>
                <w:szCs w:val="20"/>
                <w:lang w:val="hr-HR"/>
              </w:rPr>
              <w:t xml:space="preserve">Neto </w:t>
            </w:r>
            <w:r w:rsidR="009E6DEC" w:rsidRPr="00CD3A2D">
              <w:rPr>
                <w:rFonts w:ascii="Calibri" w:hAnsi="Calibri" w:cs="Calibri"/>
                <w:color w:val="000000"/>
                <w:sz w:val="20"/>
                <w:szCs w:val="20"/>
                <w:lang w:val="hr-HR"/>
              </w:rPr>
              <w:t>dobit</w:t>
            </w:r>
            <w:r w:rsidR="0063609C" w:rsidRPr="00CD3A2D">
              <w:rPr>
                <w:rFonts w:ascii="Calibri" w:hAnsi="Calibri" w:cs="Calibri"/>
                <w:color w:val="000000"/>
                <w:sz w:val="20"/>
                <w:szCs w:val="20"/>
                <w:lang w:val="hr-HR"/>
              </w:rPr>
              <w:t xml:space="preserve"> od tečajnih razlika po rezerviranjima za očekivane gubitke</w:t>
            </w:r>
          </w:p>
        </w:tc>
        <w:tc>
          <w:tcPr>
            <w:tcW w:w="1022" w:type="dxa"/>
            <w:tcBorders>
              <w:top w:val="nil"/>
              <w:left w:val="nil"/>
              <w:bottom w:val="single" w:sz="8" w:space="0" w:color="auto"/>
              <w:right w:val="nil"/>
            </w:tcBorders>
            <w:shd w:val="clear" w:color="auto" w:fill="auto"/>
            <w:vAlign w:val="bottom"/>
            <w:hideMark/>
          </w:tcPr>
          <w:p w:rsidR="00BB3DBE" w:rsidRPr="00CD3A2D" w:rsidRDefault="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 </w:t>
            </w:r>
          </w:p>
        </w:tc>
        <w:tc>
          <w:tcPr>
            <w:tcW w:w="1022" w:type="dxa"/>
            <w:tcBorders>
              <w:top w:val="nil"/>
              <w:left w:val="nil"/>
              <w:bottom w:val="single" w:sz="8" w:space="0" w:color="auto"/>
              <w:right w:val="nil"/>
            </w:tcBorders>
            <w:shd w:val="clear" w:color="auto" w:fill="auto"/>
            <w:vAlign w:val="bottom"/>
            <w:hideMark/>
          </w:tcPr>
          <w:p w:rsidR="00BB3DBE" w:rsidRPr="00CD3A2D" w:rsidRDefault="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single" w:sz="8" w:space="0" w:color="auto"/>
              <w:right w:val="nil"/>
            </w:tcBorders>
            <w:shd w:val="clear" w:color="auto" w:fill="auto"/>
            <w:vAlign w:val="bottom"/>
            <w:hideMark/>
          </w:tcPr>
          <w:p w:rsidR="00BB3DBE" w:rsidRPr="00CD3A2D" w:rsidRDefault="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single" w:sz="8" w:space="0" w:color="auto"/>
              <w:right w:val="nil"/>
            </w:tcBorders>
            <w:shd w:val="clear" w:color="auto" w:fill="auto"/>
            <w:vAlign w:val="bottom"/>
            <w:hideMark/>
          </w:tcPr>
          <w:p w:rsidR="00BB3DBE" w:rsidRPr="00CD3A2D" w:rsidRDefault="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single" w:sz="8" w:space="0" w:color="auto"/>
              <w:right w:val="nil"/>
            </w:tcBorders>
            <w:shd w:val="clear" w:color="auto" w:fill="auto"/>
            <w:vAlign w:val="bottom"/>
            <w:hideMark/>
          </w:tcPr>
          <w:p w:rsidR="00BB3DBE" w:rsidRPr="00CD3A2D" w:rsidRDefault="00BB3DBE">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 </w:t>
            </w:r>
          </w:p>
        </w:tc>
        <w:tc>
          <w:tcPr>
            <w:tcW w:w="1022" w:type="dxa"/>
            <w:tcBorders>
              <w:top w:val="nil"/>
              <w:left w:val="nil"/>
              <w:bottom w:val="single" w:sz="8" w:space="0" w:color="auto"/>
              <w:right w:val="nil"/>
            </w:tcBorders>
            <w:shd w:val="clear" w:color="auto" w:fill="auto"/>
            <w:vAlign w:val="bottom"/>
            <w:hideMark/>
          </w:tcPr>
          <w:p w:rsidR="00BB3DBE" w:rsidRPr="00CD3A2D" w:rsidRDefault="00BB3DBE">
            <w:pPr>
              <w:jc w:val="right"/>
              <w:rPr>
                <w:rFonts w:ascii="Calibri" w:hAnsi="Calibri" w:cs="Calibri"/>
                <w:color w:val="000000"/>
                <w:sz w:val="20"/>
                <w:szCs w:val="20"/>
                <w:lang w:val="hr-HR"/>
              </w:rPr>
            </w:pPr>
            <w:r w:rsidRPr="00CD3A2D">
              <w:rPr>
                <w:rFonts w:ascii="Calibri" w:hAnsi="Calibri" w:cs="Calibri"/>
                <w:color w:val="000000"/>
                <w:sz w:val="20"/>
                <w:szCs w:val="20"/>
                <w:lang w:val="hr-HR"/>
              </w:rPr>
              <w:t xml:space="preserve"> - </w:t>
            </w:r>
          </w:p>
        </w:tc>
      </w:tr>
      <w:tr w:rsidR="00BB3DBE" w:rsidRPr="001567C8" w:rsidTr="001D0A0D">
        <w:trPr>
          <w:trHeight w:val="171"/>
        </w:trPr>
        <w:tc>
          <w:tcPr>
            <w:tcW w:w="3970" w:type="dxa"/>
            <w:tcBorders>
              <w:top w:val="nil"/>
              <w:left w:val="nil"/>
              <w:bottom w:val="nil"/>
              <w:right w:val="nil"/>
            </w:tcBorders>
            <w:shd w:val="clear" w:color="auto" w:fill="auto"/>
            <w:vAlign w:val="center"/>
            <w:hideMark/>
          </w:tcPr>
          <w:p w:rsidR="00BB3DBE" w:rsidRPr="00CD3A2D" w:rsidRDefault="00BB3DBE" w:rsidP="00BB3DBE">
            <w:pPr>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Stanje 31. prosinca 2018. godine </w:t>
            </w:r>
          </w:p>
        </w:tc>
        <w:tc>
          <w:tcPr>
            <w:tcW w:w="1022" w:type="dxa"/>
            <w:tcBorders>
              <w:top w:val="nil"/>
              <w:left w:val="nil"/>
              <w:bottom w:val="single" w:sz="12" w:space="0" w:color="auto"/>
              <w:right w:val="nil"/>
            </w:tcBorders>
            <w:shd w:val="clear" w:color="auto" w:fill="auto"/>
            <w:hideMark/>
          </w:tcPr>
          <w:p w:rsidR="00BB3DBE" w:rsidRPr="00CD3A2D" w:rsidRDefault="00BB3DBE" w:rsidP="00BB3DBE">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1.651 </w:t>
            </w:r>
          </w:p>
        </w:tc>
        <w:tc>
          <w:tcPr>
            <w:tcW w:w="1022" w:type="dxa"/>
            <w:tcBorders>
              <w:top w:val="nil"/>
              <w:left w:val="nil"/>
              <w:bottom w:val="single" w:sz="12" w:space="0" w:color="auto"/>
              <w:right w:val="nil"/>
            </w:tcBorders>
            <w:shd w:val="clear" w:color="auto" w:fill="auto"/>
            <w:hideMark/>
          </w:tcPr>
          <w:p w:rsidR="00BB3DBE" w:rsidRPr="00CD3A2D" w:rsidRDefault="00BB3DBE" w:rsidP="00BB3DBE">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 </w:t>
            </w:r>
          </w:p>
        </w:tc>
        <w:tc>
          <w:tcPr>
            <w:tcW w:w="1022" w:type="dxa"/>
            <w:tcBorders>
              <w:top w:val="nil"/>
              <w:left w:val="nil"/>
              <w:bottom w:val="single" w:sz="12" w:space="0" w:color="auto"/>
              <w:right w:val="nil"/>
            </w:tcBorders>
            <w:shd w:val="clear" w:color="auto" w:fill="auto"/>
            <w:hideMark/>
          </w:tcPr>
          <w:p w:rsidR="00BB3DBE" w:rsidRPr="00CD3A2D" w:rsidRDefault="00BB3DBE" w:rsidP="00BB3DBE">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 </w:t>
            </w:r>
          </w:p>
        </w:tc>
        <w:tc>
          <w:tcPr>
            <w:tcW w:w="1022" w:type="dxa"/>
            <w:tcBorders>
              <w:top w:val="nil"/>
              <w:left w:val="nil"/>
              <w:bottom w:val="single" w:sz="12" w:space="0" w:color="auto"/>
              <w:right w:val="nil"/>
            </w:tcBorders>
            <w:shd w:val="clear" w:color="auto" w:fill="auto"/>
            <w:hideMark/>
          </w:tcPr>
          <w:p w:rsidR="00BB3DBE" w:rsidRPr="00CD3A2D" w:rsidRDefault="00BB3DBE" w:rsidP="00BB3DBE">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 </w:t>
            </w:r>
          </w:p>
        </w:tc>
        <w:tc>
          <w:tcPr>
            <w:tcW w:w="1022" w:type="dxa"/>
            <w:tcBorders>
              <w:top w:val="nil"/>
              <w:left w:val="nil"/>
              <w:bottom w:val="single" w:sz="12" w:space="0" w:color="auto"/>
              <w:right w:val="nil"/>
            </w:tcBorders>
            <w:shd w:val="clear" w:color="auto" w:fill="auto"/>
            <w:hideMark/>
          </w:tcPr>
          <w:p w:rsidR="00BB3DBE" w:rsidRPr="00CD3A2D" w:rsidRDefault="00BB3DBE" w:rsidP="00BB3DBE">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1.651 </w:t>
            </w:r>
          </w:p>
        </w:tc>
        <w:tc>
          <w:tcPr>
            <w:tcW w:w="1022" w:type="dxa"/>
            <w:tcBorders>
              <w:top w:val="nil"/>
              <w:left w:val="nil"/>
              <w:bottom w:val="single" w:sz="12" w:space="0" w:color="auto"/>
              <w:right w:val="nil"/>
            </w:tcBorders>
            <w:shd w:val="clear" w:color="auto" w:fill="auto"/>
            <w:vAlign w:val="center"/>
            <w:hideMark/>
          </w:tcPr>
          <w:p w:rsidR="00BB3DBE" w:rsidRPr="00CD3A2D" w:rsidRDefault="00BB3DBE" w:rsidP="00BB3DBE">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    858 </w:t>
            </w:r>
          </w:p>
        </w:tc>
      </w:tr>
    </w:tbl>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1567C8" w:rsidRDefault="00C17BDA" w:rsidP="00C17BDA">
      <w:pPr>
        <w:pStyle w:val="T1"/>
        <w:spacing w:before="0" w:after="0" w:line="240" w:lineRule="auto"/>
        <w:rPr>
          <w:rFonts w:asciiTheme="minorHAnsi" w:hAnsiTheme="minorHAnsi" w:cs="Arial"/>
          <w:sz w:val="22"/>
          <w:szCs w:val="22"/>
          <w:lang w:val="hr-HR"/>
        </w:rPr>
      </w:pPr>
    </w:p>
    <w:p w:rsidR="00E75525" w:rsidRPr="001567C8" w:rsidRDefault="00E75525" w:rsidP="00C17BDA">
      <w:pPr>
        <w:pStyle w:val="T1"/>
        <w:spacing w:before="0" w:after="0" w:line="240" w:lineRule="auto"/>
        <w:rPr>
          <w:rFonts w:asciiTheme="minorHAnsi" w:hAnsiTheme="minorHAnsi" w:cs="Arial"/>
          <w:sz w:val="22"/>
          <w:szCs w:val="22"/>
          <w:lang w:val="hr-HR"/>
        </w:rPr>
      </w:pPr>
    </w:p>
    <w:p w:rsidR="00C17BDA" w:rsidRPr="001567C8" w:rsidRDefault="00C17BDA" w:rsidP="00C17BD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Depoziti kod drugih banaka</w:t>
      </w:r>
    </w:p>
    <w:p w:rsidR="00C17BDA" w:rsidRPr="001567C8" w:rsidRDefault="00C17BDA" w:rsidP="00C17BDA">
      <w:pPr>
        <w:pStyle w:val="T1"/>
        <w:spacing w:before="0" w:after="0" w:line="240" w:lineRule="auto"/>
        <w:rPr>
          <w:rFonts w:asciiTheme="minorHAnsi" w:hAnsiTheme="minorHAnsi" w:cs="Arial"/>
          <w:sz w:val="22"/>
          <w:szCs w:val="22"/>
          <w:lang w:val="hr-HR"/>
        </w:rPr>
      </w:pPr>
    </w:p>
    <w:tbl>
      <w:tblPr>
        <w:tblW w:w="10102" w:type="dxa"/>
        <w:tblInd w:w="-426" w:type="dxa"/>
        <w:tblLook w:val="04A0" w:firstRow="1" w:lastRow="0" w:firstColumn="1" w:lastColumn="0" w:noHBand="0" w:noVBand="1"/>
      </w:tblPr>
      <w:tblGrid>
        <w:gridCol w:w="3970"/>
        <w:gridCol w:w="1022"/>
        <w:gridCol w:w="1022"/>
        <w:gridCol w:w="1022"/>
        <w:gridCol w:w="1022"/>
        <w:gridCol w:w="1022"/>
        <w:gridCol w:w="1022"/>
      </w:tblGrid>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rPr>
                <w:rFonts w:ascii="Calibri" w:hAnsi="Calibri" w:cs="Calibri"/>
                <w:b/>
                <w:bCs/>
                <w:color w:val="FF0000"/>
                <w:sz w:val="20"/>
                <w:szCs w:val="20"/>
                <w:lang w:val="hr-HR"/>
              </w:rPr>
            </w:pPr>
            <w:r w:rsidRPr="00CD3A2D">
              <w:rPr>
                <w:rFonts w:ascii="Calibri" w:hAnsi="Calibri" w:cs="Calibri"/>
                <w:b/>
                <w:bCs/>
                <w:sz w:val="20"/>
                <w:szCs w:val="20"/>
                <w:lang w:val="hr-HR"/>
              </w:rPr>
              <w:t>Banka</w:t>
            </w:r>
          </w:p>
        </w:tc>
        <w:tc>
          <w:tcPr>
            <w:tcW w:w="5110" w:type="dxa"/>
            <w:gridSpan w:val="5"/>
            <w:tcBorders>
              <w:top w:val="nil"/>
              <w:left w:val="nil"/>
              <w:bottom w:val="nil"/>
              <w:right w:val="nil"/>
            </w:tcBorders>
            <w:shd w:val="clear" w:color="auto" w:fill="auto"/>
            <w:vAlign w:val="center"/>
            <w:hideMark/>
          </w:tcPr>
          <w:p w:rsidR="00C17BDA" w:rsidRPr="00CD3A2D" w:rsidRDefault="00C17BDA" w:rsidP="006303BA">
            <w:pPr>
              <w:jc w:val="center"/>
              <w:rPr>
                <w:rFonts w:ascii="Calibri" w:hAnsi="Calibri" w:cs="Calibri"/>
                <w:b/>
                <w:bCs/>
                <w:color w:val="000000"/>
                <w:sz w:val="20"/>
                <w:szCs w:val="20"/>
                <w:lang w:val="hr-HR"/>
              </w:rPr>
            </w:pPr>
            <w:r w:rsidRPr="00CD3A2D">
              <w:rPr>
                <w:rFonts w:ascii="Calibri" w:hAnsi="Calibri" w:cs="Calibri"/>
                <w:b/>
                <w:bCs/>
                <w:color w:val="000000"/>
                <w:sz w:val="20"/>
                <w:szCs w:val="20"/>
                <w:lang w:val="hr-HR"/>
              </w:rPr>
              <w:t>2018</w:t>
            </w:r>
            <w:r w:rsidR="00BB3DBE" w:rsidRPr="00CD3A2D">
              <w:rPr>
                <w:rFonts w:ascii="Calibri" w:hAnsi="Calibri" w:cs="Calibri"/>
                <w:b/>
                <w:bCs/>
                <w:color w:val="000000"/>
                <w:sz w:val="20"/>
                <w:szCs w:val="20"/>
                <w:lang w:val="hr-HR"/>
              </w:rPr>
              <w:t>.</w:t>
            </w:r>
          </w:p>
        </w:tc>
        <w:tc>
          <w:tcPr>
            <w:tcW w:w="1022" w:type="dxa"/>
            <w:tcBorders>
              <w:top w:val="nil"/>
              <w:left w:val="nil"/>
              <w:bottom w:val="nil"/>
              <w:right w:val="nil"/>
            </w:tcBorders>
            <w:shd w:val="clear" w:color="auto" w:fill="auto"/>
            <w:vAlign w:val="center"/>
            <w:hideMark/>
          </w:tcPr>
          <w:p w:rsidR="00C17BDA" w:rsidRPr="00CD3A2D" w:rsidRDefault="00C17BDA" w:rsidP="00BB3DBE">
            <w:pPr>
              <w:jc w:val="center"/>
              <w:rPr>
                <w:rFonts w:ascii="Calibri" w:hAnsi="Calibri" w:cs="Calibri"/>
                <w:b/>
                <w:bCs/>
                <w:color w:val="000000"/>
                <w:sz w:val="20"/>
                <w:szCs w:val="20"/>
                <w:lang w:val="hr-HR"/>
              </w:rPr>
            </w:pPr>
            <w:r w:rsidRPr="00CD3A2D">
              <w:rPr>
                <w:rFonts w:ascii="Calibri" w:hAnsi="Calibri" w:cs="Calibri"/>
                <w:b/>
                <w:bCs/>
                <w:color w:val="000000"/>
                <w:sz w:val="20"/>
                <w:szCs w:val="20"/>
                <w:lang w:val="hr-HR"/>
              </w:rPr>
              <w:t>2017</w:t>
            </w:r>
            <w:r w:rsidR="00BB3DBE" w:rsidRPr="00CD3A2D">
              <w:rPr>
                <w:rFonts w:ascii="Calibri" w:hAnsi="Calibri" w:cs="Calibri"/>
                <w:b/>
                <w:bCs/>
                <w:color w:val="000000"/>
                <w:sz w:val="20"/>
                <w:szCs w:val="20"/>
                <w:lang w:val="hr-HR"/>
              </w:rPr>
              <w:t>.</w:t>
            </w:r>
          </w:p>
        </w:tc>
      </w:tr>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1</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2</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Stupanj 3</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POCI</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Ukupno</w:t>
            </w:r>
          </w:p>
        </w:tc>
      </w:tr>
      <w:tr w:rsidR="006B1659" w:rsidRPr="001567C8" w:rsidTr="006303BA">
        <w:trPr>
          <w:trHeight w:val="163"/>
        </w:trPr>
        <w:tc>
          <w:tcPr>
            <w:tcW w:w="3970"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20"/>
                <w:szCs w:val="20"/>
                <w:lang w:val="hr-HR"/>
              </w:rPr>
            </w:pPr>
            <w:r w:rsidRPr="00CD3A2D">
              <w:rPr>
                <w:rFonts w:ascii="Calibri" w:hAnsi="Calibri" w:cs="Calibri"/>
                <w:b/>
                <w:bCs/>
                <w:color w:val="000000"/>
                <w:sz w:val="20"/>
                <w:szCs w:val="20"/>
                <w:lang w:val="hr-HR"/>
              </w:rPr>
              <w:t>000 kuna</w:t>
            </w:r>
          </w:p>
        </w:tc>
      </w:tr>
      <w:tr w:rsidR="00C17BDA" w:rsidRPr="001567C8" w:rsidTr="006303BA">
        <w:trPr>
          <w:trHeight w:val="163"/>
        </w:trPr>
        <w:tc>
          <w:tcPr>
            <w:tcW w:w="3970"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20"/>
                <w:szCs w:val="20"/>
                <w:lang w:val="hr-HR"/>
              </w:rPr>
            </w:pPr>
          </w:p>
        </w:tc>
      </w:tr>
      <w:tr w:rsidR="00A37913" w:rsidRPr="001567C8" w:rsidTr="001D0A0D">
        <w:trPr>
          <w:trHeight w:val="163"/>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20"/>
                <w:szCs w:val="20"/>
                <w:lang w:val="hr-HR"/>
              </w:rPr>
            </w:pPr>
            <w:r w:rsidRPr="00CD3A2D">
              <w:rPr>
                <w:rFonts w:ascii="Calibri" w:hAnsi="Calibri" w:cs="Calibri"/>
                <w:color w:val="000000"/>
                <w:sz w:val="20"/>
                <w:szCs w:val="20"/>
                <w:lang w:val="hr-HR"/>
              </w:rPr>
              <w:t>Stanje 1. siječnja 2018. godine</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152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Calibri" w:hAnsi="Calibri" w:cs="Calibr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152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248 </w:t>
            </w:r>
          </w:p>
        </w:tc>
      </w:tr>
      <w:tr w:rsidR="00A37913" w:rsidRPr="001567C8" w:rsidTr="001D0A0D">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A37913" w:rsidRPr="00CD3A2D">
              <w:rPr>
                <w:rFonts w:ascii="Calibri" w:hAnsi="Calibri" w:cs="Calibri"/>
                <w:color w:val="000000"/>
                <w:sz w:val="20"/>
                <w:szCs w:val="20"/>
                <w:lang w:val="hr-HR"/>
              </w:rPr>
              <w:t xml:space="preserve"> u Stupanj 1</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A37913" w:rsidRPr="001567C8" w:rsidTr="001D0A0D">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A37913" w:rsidRPr="00CD3A2D">
              <w:rPr>
                <w:rFonts w:ascii="Calibri" w:hAnsi="Calibri" w:cs="Calibri"/>
                <w:color w:val="000000"/>
                <w:sz w:val="20"/>
                <w:szCs w:val="20"/>
                <w:lang w:val="hr-HR"/>
              </w:rPr>
              <w:t xml:space="preserve"> u Stupanj 2</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A37913" w:rsidRPr="001567C8" w:rsidTr="001D0A0D">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20"/>
                <w:szCs w:val="20"/>
                <w:lang w:val="hr-HR"/>
              </w:rPr>
            </w:pPr>
            <w:r w:rsidRPr="00CD3A2D">
              <w:rPr>
                <w:rFonts w:ascii="Calibri" w:hAnsi="Calibri" w:cs="Calibri"/>
                <w:color w:val="000000"/>
                <w:sz w:val="20"/>
                <w:szCs w:val="20"/>
                <w:lang w:val="hr-HR"/>
              </w:rPr>
              <w:t>Prijenos</w:t>
            </w:r>
            <w:r w:rsidR="00A37913" w:rsidRPr="00CD3A2D">
              <w:rPr>
                <w:rFonts w:ascii="Calibri" w:hAnsi="Calibri" w:cs="Calibri"/>
                <w:color w:val="000000"/>
                <w:sz w:val="20"/>
                <w:szCs w:val="20"/>
                <w:lang w:val="hr-HR"/>
              </w:rPr>
              <w:t xml:space="preserve"> u Stupanj 3</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A37913" w:rsidRPr="001567C8" w:rsidTr="001D0A0D">
        <w:trPr>
          <w:trHeight w:val="203"/>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20"/>
                <w:szCs w:val="20"/>
                <w:lang w:val="hr-HR"/>
              </w:rPr>
            </w:pPr>
            <w:r w:rsidRPr="00CD3A2D">
              <w:rPr>
                <w:rFonts w:ascii="Calibri" w:hAnsi="Calibri" w:cs="Calibri"/>
                <w:color w:val="000000"/>
                <w:sz w:val="20"/>
                <w:szCs w:val="20"/>
                <w:lang w:val="hr-HR"/>
              </w:rPr>
              <w:t xml:space="preserve">Povećanje rezerviranja za očekivane gubitke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1.465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1.465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106 </w:t>
            </w:r>
          </w:p>
        </w:tc>
      </w:tr>
      <w:tr w:rsidR="00A37913" w:rsidRPr="001567C8" w:rsidTr="001D0A0D">
        <w:trPr>
          <w:trHeight w:val="234"/>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20"/>
                <w:szCs w:val="20"/>
                <w:lang w:val="hr-HR"/>
              </w:rPr>
            </w:pPr>
            <w:r w:rsidRPr="00CD3A2D">
              <w:rPr>
                <w:rFonts w:ascii="Calibri" w:hAnsi="Calibri" w:cs="Calibri"/>
                <w:color w:val="000000"/>
                <w:sz w:val="20"/>
                <w:szCs w:val="20"/>
                <w:lang w:val="hr-HR"/>
              </w:rPr>
              <w:t xml:space="preserve">Smanjenje rezerviranja za očekivane gubitke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(249)</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(249)</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A37913" w:rsidRPr="001567C8" w:rsidTr="003C6BA3">
        <w:trPr>
          <w:trHeight w:val="171"/>
        </w:trPr>
        <w:tc>
          <w:tcPr>
            <w:tcW w:w="3970" w:type="dxa"/>
            <w:tcBorders>
              <w:top w:val="nil"/>
              <w:left w:val="nil"/>
              <w:bottom w:val="nil"/>
              <w:right w:val="nil"/>
            </w:tcBorders>
            <w:shd w:val="clear" w:color="auto" w:fill="auto"/>
            <w:vAlign w:val="center"/>
            <w:hideMark/>
          </w:tcPr>
          <w:p w:rsidR="00A37913" w:rsidRPr="00CD3A2D" w:rsidRDefault="009E6DEC" w:rsidP="00A37913">
            <w:pPr>
              <w:rPr>
                <w:rFonts w:ascii="Calibri" w:hAnsi="Calibri" w:cs="Calibri"/>
                <w:color w:val="000000"/>
                <w:sz w:val="20"/>
                <w:szCs w:val="20"/>
                <w:lang w:val="hr-HR"/>
              </w:rPr>
            </w:pPr>
            <w:r w:rsidRPr="00CD3A2D">
              <w:rPr>
                <w:rFonts w:ascii="Calibri" w:hAnsi="Calibri" w:cs="Calibri"/>
                <w:color w:val="000000"/>
                <w:sz w:val="20"/>
                <w:szCs w:val="20"/>
                <w:lang w:val="hr-HR"/>
              </w:rPr>
              <w:t>Neto gubitak</w:t>
            </w:r>
            <w:r w:rsidR="0063609C" w:rsidRPr="00CD3A2D">
              <w:rPr>
                <w:rFonts w:ascii="Calibri" w:hAnsi="Calibri" w:cs="Calibri"/>
                <w:color w:val="000000"/>
                <w:sz w:val="20"/>
                <w:szCs w:val="20"/>
                <w:lang w:val="hr-HR"/>
              </w:rPr>
              <w:t xml:space="preserve"> od tečajnih razlika po rezerviranjima za očekivane gubitke</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(7)</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(7)</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r>
      <w:tr w:rsidR="00A37913" w:rsidRPr="001567C8" w:rsidTr="001D0A0D">
        <w:trPr>
          <w:trHeight w:val="171"/>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b/>
                <w:bCs/>
                <w:color w:val="000000"/>
                <w:sz w:val="20"/>
                <w:szCs w:val="20"/>
                <w:lang w:val="hr-HR"/>
              </w:rPr>
            </w:pPr>
            <w:r w:rsidRPr="00CD3A2D">
              <w:rPr>
                <w:rFonts w:ascii="Calibri" w:hAnsi="Calibri" w:cs="Calibri"/>
                <w:b/>
                <w:bCs/>
                <w:color w:val="000000"/>
                <w:sz w:val="20"/>
                <w:szCs w:val="20"/>
                <w:lang w:val="hr-HR"/>
              </w:rPr>
              <w:t xml:space="preserve">Stanje 31. prosinca 2018. godine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1.361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1.361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20"/>
                <w:szCs w:val="20"/>
                <w:lang w:val="hr-HR"/>
              </w:rPr>
            </w:pPr>
            <w:r w:rsidRPr="00CD3A2D">
              <w:rPr>
                <w:rFonts w:asciiTheme="minorHAnsi" w:hAnsiTheme="minorHAnsi" w:cstheme="minorHAnsi"/>
                <w:b/>
                <w:sz w:val="20"/>
                <w:szCs w:val="20"/>
                <w:lang w:val="hr-HR"/>
              </w:rPr>
              <w:t xml:space="preserve"> 354 </w:t>
            </w:r>
          </w:p>
        </w:tc>
      </w:tr>
    </w:tbl>
    <w:p w:rsidR="00C17BDA" w:rsidRPr="001567C8" w:rsidRDefault="00C17BDA" w:rsidP="00C17BDA">
      <w:pPr>
        <w:pStyle w:val="T1"/>
        <w:spacing w:before="0" w:after="0" w:line="240" w:lineRule="auto"/>
        <w:rPr>
          <w:rFonts w:asciiTheme="minorHAnsi" w:hAnsiTheme="minorHAnsi" w:cs="Arial"/>
          <w:sz w:val="22"/>
          <w:szCs w:val="22"/>
          <w:lang w:val="hr-HR"/>
        </w:rPr>
        <w:sectPr w:rsidR="00C17BDA" w:rsidRPr="001567C8" w:rsidSect="0077198A">
          <w:pgSz w:w="11907" w:h="16840" w:code="9"/>
          <w:pgMar w:top="1418" w:right="1134" w:bottom="1134" w:left="1418" w:header="851" w:footer="851" w:gutter="0"/>
          <w:cols w:space="720"/>
          <w:noEndnote/>
        </w:sectPr>
      </w:pPr>
    </w:p>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1567C8" w:rsidRDefault="00C17BDA" w:rsidP="00C17BD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Pr="001567C8">
        <w:rPr>
          <w:rFonts w:asciiTheme="minorHAnsi" w:hAnsiTheme="minorHAnsi" w:cs="Arial"/>
          <w:sz w:val="22"/>
          <w:szCs w:val="22"/>
          <w:lang w:val="hr-HR"/>
        </w:rPr>
        <w:tab/>
        <w:t>Upravljanje rizicima (nastavak)</w:t>
      </w:r>
    </w:p>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1567C8" w:rsidRDefault="00C17BDA" w:rsidP="00C17BD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1567C8" w:rsidRDefault="00C17BDA" w:rsidP="00C17BDA">
      <w:pPr>
        <w:pStyle w:val="T1"/>
        <w:tabs>
          <w:tab w:val="left" w:pos="284"/>
        </w:tabs>
        <w:spacing w:before="0" w:after="0" w:line="240" w:lineRule="auto"/>
        <w:rPr>
          <w:rFonts w:asciiTheme="minorHAnsi" w:hAnsiTheme="minorHAnsi" w:cs="Arial"/>
          <w:b w:val="0"/>
          <w:i/>
          <w:sz w:val="22"/>
          <w:szCs w:val="22"/>
          <w:lang w:val="hr-HR"/>
        </w:rPr>
      </w:pPr>
      <w:r w:rsidRPr="001567C8">
        <w:rPr>
          <w:rFonts w:asciiTheme="minorHAnsi" w:hAnsiTheme="minorHAnsi" w:cs="Arial"/>
          <w:b w:val="0"/>
          <w:i/>
          <w:sz w:val="22"/>
          <w:szCs w:val="22"/>
          <w:lang w:val="hr-HR"/>
        </w:rPr>
        <w:t>i.</w:t>
      </w:r>
      <w:r w:rsidRPr="001567C8">
        <w:rPr>
          <w:rFonts w:asciiTheme="minorHAnsi" w:hAnsiTheme="minorHAnsi" w:cs="Arial"/>
          <w:b w:val="0"/>
          <w:i/>
          <w:sz w:val="22"/>
          <w:szCs w:val="22"/>
          <w:lang w:val="hr-HR"/>
        </w:rPr>
        <w:tab/>
        <w:t>Promjene po rezerviranjima</w:t>
      </w:r>
      <w:r w:rsidR="00B66851">
        <w:rPr>
          <w:rFonts w:asciiTheme="minorHAnsi" w:hAnsiTheme="minorHAnsi" w:cs="Arial"/>
          <w:b w:val="0"/>
          <w:i/>
          <w:sz w:val="22"/>
          <w:szCs w:val="22"/>
          <w:lang w:val="hr-HR"/>
        </w:rPr>
        <w:t xml:space="preserve"> </w:t>
      </w:r>
      <w:r w:rsidR="00B66851" w:rsidRPr="001567C8">
        <w:rPr>
          <w:rFonts w:asciiTheme="minorHAnsi" w:hAnsiTheme="minorHAnsi" w:cs="Arial"/>
          <w:b w:val="0"/>
          <w:i/>
          <w:sz w:val="22"/>
          <w:szCs w:val="22"/>
          <w:lang w:val="hr-HR"/>
        </w:rPr>
        <w:t>(nastavak)</w:t>
      </w:r>
    </w:p>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1567C8" w:rsidRDefault="00C17BDA" w:rsidP="00C17BD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Krediti financijskim institucijama</w:t>
      </w:r>
    </w:p>
    <w:p w:rsidR="00C17BDA" w:rsidRPr="001567C8" w:rsidRDefault="00C17BDA" w:rsidP="00C17BDA">
      <w:pPr>
        <w:pStyle w:val="T1"/>
        <w:spacing w:before="0" w:after="0" w:line="240" w:lineRule="auto"/>
        <w:rPr>
          <w:rFonts w:asciiTheme="minorHAnsi" w:hAnsiTheme="minorHAnsi" w:cs="Arial"/>
          <w:sz w:val="22"/>
          <w:szCs w:val="22"/>
          <w:lang w:val="hr-HR"/>
        </w:rPr>
      </w:pPr>
    </w:p>
    <w:tbl>
      <w:tblPr>
        <w:tblW w:w="10418" w:type="dxa"/>
        <w:tblInd w:w="-567" w:type="dxa"/>
        <w:tblLook w:val="04A0" w:firstRow="1" w:lastRow="0" w:firstColumn="1" w:lastColumn="0" w:noHBand="0" w:noVBand="1"/>
      </w:tblPr>
      <w:tblGrid>
        <w:gridCol w:w="3828"/>
        <w:gridCol w:w="1098"/>
        <w:gridCol w:w="1098"/>
        <w:gridCol w:w="1099"/>
        <w:gridCol w:w="1098"/>
        <w:gridCol w:w="1098"/>
        <w:gridCol w:w="60"/>
        <w:gridCol w:w="1039"/>
      </w:tblGrid>
      <w:tr w:rsidR="00C17BDA" w:rsidRPr="001567C8" w:rsidTr="003C6BA3">
        <w:trPr>
          <w:trHeight w:val="164"/>
        </w:trPr>
        <w:tc>
          <w:tcPr>
            <w:tcW w:w="3828" w:type="dxa"/>
            <w:tcBorders>
              <w:top w:val="nil"/>
              <w:left w:val="nil"/>
              <w:bottom w:val="nil"/>
              <w:right w:val="nil"/>
            </w:tcBorders>
            <w:shd w:val="clear" w:color="auto" w:fill="auto"/>
            <w:vAlign w:val="center"/>
            <w:hideMark/>
          </w:tcPr>
          <w:p w:rsidR="00C17BDA" w:rsidRPr="00CD3A2D" w:rsidRDefault="00C17BDA" w:rsidP="006303BA">
            <w:pPr>
              <w:rPr>
                <w:rFonts w:ascii="Calibri" w:hAnsi="Calibri" w:cs="Calibri"/>
                <w:b/>
                <w:bCs/>
                <w:color w:val="FF0000"/>
                <w:sz w:val="19"/>
                <w:szCs w:val="19"/>
                <w:lang w:val="hr-HR"/>
              </w:rPr>
            </w:pPr>
            <w:r w:rsidRPr="00CD3A2D">
              <w:rPr>
                <w:rFonts w:ascii="Calibri" w:hAnsi="Calibri" w:cs="Calibri"/>
                <w:b/>
                <w:bCs/>
                <w:sz w:val="19"/>
                <w:szCs w:val="19"/>
                <w:lang w:val="hr-HR"/>
              </w:rPr>
              <w:t>Banka</w:t>
            </w:r>
          </w:p>
        </w:tc>
        <w:tc>
          <w:tcPr>
            <w:tcW w:w="5551" w:type="dxa"/>
            <w:gridSpan w:val="6"/>
            <w:tcBorders>
              <w:top w:val="nil"/>
              <w:left w:val="nil"/>
              <w:bottom w:val="nil"/>
              <w:right w:val="nil"/>
            </w:tcBorders>
            <w:shd w:val="clear" w:color="auto" w:fill="auto"/>
            <w:vAlign w:val="center"/>
            <w:hideMark/>
          </w:tcPr>
          <w:p w:rsidR="00C17BDA" w:rsidRPr="00CD3A2D" w:rsidRDefault="00C17BDA" w:rsidP="006303BA">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2018</w:t>
            </w:r>
            <w:r w:rsidR="00A37913" w:rsidRPr="00CD3A2D">
              <w:rPr>
                <w:rFonts w:ascii="Calibri" w:hAnsi="Calibri" w:cs="Calibri"/>
                <w:b/>
                <w:bCs/>
                <w:color w:val="000000"/>
                <w:sz w:val="19"/>
                <w:szCs w:val="19"/>
                <w:lang w:val="hr-HR"/>
              </w:rPr>
              <w:t>.</w:t>
            </w:r>
          </w:p>
        </w:tc>
        <w:tc>
          <w:tcPr>
            <w:tcW w:w="1039" w:type="dxa"/>
            <w:tcBorders>
              <w:top w:val="nil"/>
              <w:left w:val="nil"/>
              <w:bottom w:val="nil"/>
              <w:right w:val="nil"/>
            </w:tcBorders>
            <w:shd w:val="clear" w:color="auto" w:fill="auto"/>
            <w:vAlign w:val="center"/>
            <w:hideMark/>
          </w:tcPr>
          <w:p w:rsidR="00C17BDA" w:rsidRPr="00CD3A2D" w:rsidRDefault="00C17BDA" w:rsidP="003C6BA3">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2017</w:t>
            </w:r>
            <w:r w:rsidR="00A37913" w:rsidRPr="00CD3A2D">
              <w:rPr>
                <w:rFonts w:ascii="Calibri" w:hAnsi="Calibri" w:cs="Calibri"/>
                <w:b/>
                <w:bCs/>
                <w:color w:val="000000"/>
                <w:sz w:val="19"/>
                <w:szCs w:val="19"/>
                <w:lang w:val="hr-HR"/>
              </w:rPr>
              <w:t>.</w:t>
            </w:r>
          </w:p>
        </w:tc>
      </w:tr>
      <w:tr w:rsidR="00C17BDA" w:rsidRPr="001567C8" w:rsidTr="003C6BA3">
        <w:trPr>
          <w:trHeight w:val="164"/>
        </w:trPr>
        <w:tc>
          <w:tcPr>
            <w:tcW w:w="3828"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p>
        </w:tc>
        <w:tc>
          <w:tcPr>
            <w:tcW w:w="1098"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1098"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1099"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1098"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POCI</w:t>
            </w:r>
          </w:p>
        </w:tc>
        <w:tc>
          <w:tcPr>
            <w:tcW w:w="1098"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1099" w:type="dxa"/>
            <w:gridSpan w:val="2"/>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6B1659" w:rsidRPr="001567C8" w:rsidTr="003C6BA3">
        <w:trPr>
          <w:trHeight w:val="164"/>
        </w:trPr>
        <w:tc>
          <w:tcPr>
            <w:tcW w:w="3828"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p>
        </w:tc>
        <w:tc>
          <w:tcPr>
            <w:tcW w:w="1098"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98"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99"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98"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98"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99" w:type="dxa"/>
            <w:gridSpan w:val="2"/>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C17BDA" w:rsidRPr="001567C8" w:rsidTr="003C6BA3">
        <w:trPr>
          <w:trHeight w:val="164"/>
        </w:trPr>
        <w:tc>
          <w:tcPr>
            <w:tcW w:w="3828"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98"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98"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99"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98"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98"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99" w:type="dxa"/>
            <w:gridSpan w:val="2"/>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r>
      <w:tr w:rsidR="00A37913" w:rsidRPr="001567C8" w:rsidTr="003C6BA3">
        <w:trPr>
          <w:trHeight w:val="164"/>
        </w:trPr>
        <w:tc>
          <w:tcPr>
            <w:tcW w:w="3828"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Stanje 1. siječnja 2018. godine</w:t>
            </w:r>
          </w:p>
        </w:tc>
        <w:tc>
          <w:tcPr>
            <w:tcW w:w="1098" w:type="dxa"/>
            <w:tcBorders>
              <w:top w:val="nil"/>
              <w:left w:val="nil"/>
              <w:bottom w:val="nil"/>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76.58</w:t>
            </w:r>
            <w:r w:rsidR="00795F59" w:rsidRPr="00CD3A2D">
              <w:rPr>
                <w:rFonts w:asciiTheme="minorHAnsi" w:hAnsiTheme="minorHAnsi" w:cstheme="minorHAnsi"/>
                <w:sz w:val="19"/>
                <w:szCs w:val="19"/>
                <w:lang w:val="hr-HR"/>
              </w:rPr>
              <w:t>1</w:t>
            </w:r>
            <w:r w:rsidRPr="00CD3A2D">
              <w:rPr>
                <w:rFonts w:asciiTheme="minorHAnsi" w:hAnsiTheme="minorHAnsi" w:cstheme="minorHAnsi"/>
                <w:sz w:val="19"/>
                <w:szCs w:val="19"/>
                <w:lang w:val="hr-HR"/>
              </w:rPr>
              <w:t xml:space="preserve"> </w:t>
            </w:r>
          </w:p>
        </w:tc>
        <w:tc>
          <w:tcPr>
            <w:tcW w:w="1098" w:type="dxa"/>
            <w:tcBorders>
              <w:top w:val="nil"/>
              <w:left w:val="nil"/>
              <w:bottom w:val="nil"/>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33.937 </w:t>
            </w:r>
          </w:p>
        </w:tc>
        <w:tc>
          <w:tcPr>
            <w:tcW w:w="1099" w:type="dxa"/>
            <w:tcBorders>
              <w:top w:val="nil"/>
              <w:left w:val="nil"/>
              <w:bottom w:val="nil"/>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20.502 </w:t>
            </w:r>
          </w:p>
        </w:tc>
        <w:tc>
          <w:tcPr>
            <w:tcW w:w="1098" w:type="dxa"/>
            <w:tcBorders>
              <w:top w:val="nil"/>
              <w:left w:val="nil"/>
              <w:bottom w:val="nil"/>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131.02</w:t>
            </w:r>
            <w:r w:rsidR="00795F59" w:rsidRPr="00CD3A2D">
              <w:rPr>
                <w:rFonts w:asciiTheme="minorHAnsi" w:hAnsiTheme="minorHAnsi" w:cstheme="minorHAnsi"/>
                <w:sz w:val="19"/>
                <w:szCs w:val="19"/>
                <w:lang w:val="hr-HR"/>
              </w:rPr>
              <w:t>0</w:t>
            </w:r>
            <w:r w:rsidRPr="00CD3A2D">
              <w:rPr>
                <w:rFonts w:asciiTheme="minorHAnsi" w:hAnsiTheme="minorHAnsi" w:cstheme="minorHAnsi"/>
                <w:sz w:val="19"/>
                <w:szCs w:val="19"/>
                <w:lang w:val="hr-HR"/>
              </w:rPr>
              <w:t xml:space="preserve"> </w:t>
            </w:r>
          </w:p>
        </w:tc>
        <w:tc>
          <w:tcPr>
            <w:tcW w:w="1099" w:type="dxa"/>
            <w:gridSpan w:val="2"/>
            <w:tcBorders>
              <w:top w:val="nil"/>
              <w:left w:val="nil"/>
              <w:bottom w:val="nil"/>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363.317 </w:t>
            </w:r>
          </w:p>
        </w:tc>
      </w:tr>
      <w:tr w:rsidR="00A37913" w:rsidRPr="001567C8" w:rsidTr="003C6BA3">
        <w:trPr>
          <w:trHeight w:val="164"/>
        </w:trPr>
        <w:tc>
          <w:tcPr>
            <w:tcW w:w="3828"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1</w:t>
            </w:r>
          </w:p>
        </w:tc>
        <w:tc>
          <w:tcPr>
            <w:tcW w:w="1098" w:type="dxa"/>
            <w:tcBorders>
              <w:top w:val="nil"/>
              <w:left w:val="nil"/>
              <w:bottom w:val="nil"/>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89 </w:t>
            </w:r>
          </w:p>
        </w:tc>
        <w:tc>
          <w:tcPr>
            <w:tcW w:w="1098" w:type="dxa"/>
            <w:tcBorders>
              <w:top w:val="nil"/>
              <w:left w:val="nil"/>
              <w:bottom w:val="nil"/>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(89)</w:t>
            </w:r>
          </w:p>
        </w:tc>
        <w:tc>
          <w:tcPr>
            <w:tcW w:w="1099" w:type="dxa"/>
            <w:tcBorders>
              <w:top w:val="nil"/>
              <w:left w:val="nil"/>
              <w:bottom w:val="nil"/>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9" w:type="dxa"/>
            <w:gridSpan w:val="2"/>
            <w:tcBorders>
              <w:top w:val="nil"/>
              <w:left w:val="nil"/>
              <w:bottom w:val="nil"/>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3C6BA3">
        <w:trPr>
          <w:trHeight w:val="164"/>
        </w:trPr>
        <w:tc>
          <w:tcPr>
            <w:tcW w:w="3828"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2</w:t>
            </w:r>
          </w:p>
        </w:tc>
        <w:tc>
          <w:tcPr>
            <w:tcW w:w="1098" w:type="dxa"/>
            <w:tcBorders>
              <w:top w:val="nil"/>
              <w:left w:val="nil"/>
              <w:bottom w:val="nil"/>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9" w:type="dxa"/>
            <w:tcBorders>
              <w:top w:val="nil"/>
              <w:left w:val="nil"/>
              <w:bottom w:val="nil"/>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9" w:type="dxa"/>
            <w:gridSpan w:val="2"/>
            <w:tcBorders>
              <w:top w:val="nil"/>
              <w:left w:val="nil"/>
              <w:bottom w:val="nil"/>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3C6BA3">
        <w:trPr>
          <w:trHeight w:val="164"/>
        </w:trPr>
        <w:tc>
          <w:tcPr>
            <w:tcW w:w="3828"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3</w:t>
            </w:r>
          </w:p>
        </w:tc>
        <w:tc>
          <w:tcPr>
            <w:tcW w:w="1098" w:type="dxa"/>
            <w:tcBorders>
              <w:top w:val="nil"/>
              <w:left w:val="nil"/>
              <w:bottom w:val="nil"/>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(727)</w:t>
            </w:r>
          </w:p>
        </w:tc>
        <w:tc>
          <w:tcPr>
            <w:tcW w:w="1099" w:type="dxa"/>
            <w:tcBorders>
              <w:top w:val="nil"/>
              <w:left w:val="nil"/>
              <w:bottom w:val="nil"/>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727 </w:t>
            </w:r>
          </w:p>
        </w:tc>
        <w:tc>
          <w:tcPr>
            <w:tcW w:w="1098" w:type="dxa"/>
            <w:tcBorders>
              <w:top w:val="nil"/>
              <w:left w:val="nil"/>
              <w:bottom w:val="nil"/>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9" w:type="dxa"/>
            <w:gridSpan w:val="2"/>
            <w:tcBorders>
              <w:top w:val="nil"/>
              <w:left w:val="nil"/>
              <w:bottom w:val="nil"/>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3C6BA3">
        <w:trPr>
          <w:trHeight w:val="204"/>
        </w:trPr>
        <w:tc>
          <w:tcPr>
            <w:tcW w:w="3828"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Povećanje rezerviranja za očekivane gubitke </w:t>
            </w:r>
          </w:p>
        </w:tc>
        <w:tc>
          <w:tcPr>
            <w:tcW w:w="1098" w:type="dxa"/>
            <w:tcBorders>
              <w:top w:val="nil"/>
              <w:left w:val="nil"/>
              <w:bottom w:val="nil"/>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39.481 </w:t>
            </w:r>
          </w:p>
        </w:tc>
        <w:tc>
          <w:tcPr>
            <w:tcW w:w="1098" w:type="dxa"/>
            <w:tcBorders>
              <w:top w:val="nil"/>
              <w:left w:val="nil"/>
              <w:bottom w:val="nil"/>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3.594 </w:t>
            </w:r>
          </w:p>
        </w:tc>
        <w:tc>
          <w:tcPr>
            <w:tcW w:w="1099" w:type="dxa"/>
            <w:tcBorders>
              <w:top w:val="nil"/>
              <w:left w:val="nil"/>
              <w:bottom w:val="nil"/>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2.485 </w:t>
            </w:r>
          </w:p>
        </w:tc>
        <w:tc>
          <w:tcPr>
            <w:tcW w:w="1098" w:type="dxa"/>
            <w:tcBorders>
              <w:top w:val="nil"/>
              <w:left w:val="nil"/>
              <w:bottom w:val="nil"/>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45.560 </w:t>
            </w:r>
          </w:p>
        </w:tc>
        <w:tc>
          <w:tcPr>
            <w:tcW w:w="1099" w:type="dxa"/>
            <w:gridSpan w:val="2"/>
            <w:tcBorders>
              <w:top w:val="nil"/>
              <w:left w:val="nil"/>
              <w:bottom w:val="nil"/>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7.949 </w:t>
            </w:r>
          </w:p>
        </w:tc>
      </w:tr>
      <w:tr w:rsidR="00A37913" w:rsidRPr="001567C8" w:rsidTr="003C6BA3">
        <w:trPr>
          <w:trHeight w:val="235"/>
        </w:trPr>
        <w:tc>
          <w:tcPr>
            <w:tcW w:w="3828"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Smanjenje rezerviranja za očekivane gubitke </w:t>
            </w:r>
          </w:p>
        </w:tc>
        <w:tc>
          <w:tcPr>
            <w:tcW w:w="1098" w:type="dxa"/>
            <w:tcBorders>
              <w:top w:val="nil"/>
              <w:left w:val="nil"/>
              <w:bottom w:val="nil"/>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(41.651)</w:t>
            </w:r>
          </w:p>
        </w:tc>
        <w:tc>
          <w:tcPr>
            <w:tcW w:w="1098" w:type="dxa"/>
            <w:tcBorders>
              <w:top w:val="nil"/>
              <w:left w:val="nil"/>
              <w:bottom w:val="nil"/>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(11.810)</w:t>
            </w:r>
          </w:p>
        </w:tc>
        <w:tc>
          <w:tcPr>
            <w:tcW w:w="1099" w:type="dxa"/>
            <w:tcBorders>
              <w:top w:val="nil"/>
              <w:left w:val="nil"/>
              <w:bottom w:val="nil"/>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(5.248)</w:t>
            </w:r>
          </w:p>
        </w:tc>
        <w:tc>
          <w:tcPr>
            <w:tcW w:w="1098" w:type="dxa"/>
            <w:tcBorders>
              <w:top w:val="nil"/>
              <w:left w:val="nil"/>
              <w:bottom w:val="nil"/>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(58.709)</w:t>
            </w:r>
          </w:p>
        </w:tc>
        <w:tc>
          <w:tcPr>
            <w:tcW w:w="1099" w:type="dxa"/>
            <w:gridSpan w:val="2"/>
            <w:tcBorders>
              <w:top w:val="nil"/>
              <w:left w:val="nil"/>
              <w:bottom w:val="nil"/>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(131.795)</w:t>
            </w:r>
          </w:p>
        </w:tc>
      </w:tr>
      <w:tr w:rsidR="00A37913" w:rsidRPr="001567C8" w:rsidTr="003C6BA3">
        <w:trPr>
          <w:trHeight w:val="235"/>
        </w:trPr>
        <w:tc>
          <w:tcPr>
            <w:tcW w:w="3828" w:type="dxa"/>
            <w:tcBorders>
              <w:top w:val="nil"/>
              <w:left w:val="nil"/>
              <w:bottom w:val="nil"/>
              <w:right w:val="nil"/>
            </w:tcBorders>
            <w:shd w:val="clear" w:color="auto" w:fill="auto"/>
          </w:tcPr>
          <w:p w:rsidR="00A37913" w:rsidRPr="00CD3A2D" w:rsidRDefault="00A37913" w:rsidP="00A37913">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Unwinding - promjena uslijed proteka vremena</w:t>
            </w:r>
          </w:p>
        </w:tc>
        <w:tc>
          <w:tcPr>
            <w:tcW w:w="1098" w:type="dxa"/>
            <w:tcBorders>
              <w:top w:val="nil"/>
              <w:left w:val="nil"/>
              <w:bottom w:val="nil"/>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9" w:type="dxa"/>
            <w:tcBorders>
              <w:top w:val="nil"/>
              <w:left w:val="nil"/>
              <w:bottom w:val="nil"/>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275 </w:t>
            </w:r>
          </w:p>
        </w:tc>
        <w:tc>
          <w:tcPr>
            <w:tcW w:w="1098" w:type="dxa"/>
            <w:tcBorders>
              <w:top w:val="nil"/>
              <w:left w:val="nil"/>
              <w:bottom w:val="nil"/>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275 </w:t>
            </w:r>
          </w:p>
        </w:tc>
        <w:tc>
          <w:tcPr>
            <w:tcW w:w="1099" w:type="dxa"/>
            <w:gridSpan w:val="2"/>
            <w:tcBorders>
              <w:top w:val="nil"/>
              <w:left w:val="nil"/>
              <w:bottom w:val="nil"/>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3C6BA3">
        <w:trPr>
          <w:trHeight w:val="235"/>
        </w:trPr>
        <w:tc>
          <w:tcPr>
            <w:tcW w:w="3828" w:type="dxa"/>
            <w:tcBorders>
              <w:top w:val="nil"/>
              <w:left w:val="nil"/>
              <w:bottom w:val="nil"/>
              <w:right w:val="nil"/>
            </w:tcBorders>
            <w:shd w:val="clear" w:color="auto" w:fill="auto"/>
          </w:tcPr>
          <w:p w:rsidR="00A37913" w:rsidRPr="00CD3A2D" w:rsidRDefault="009E6DEC" w:rsidP="00A37913">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(Prijenos na)/donos sa kredita ostalim korisnicima</w:t>
            </w:r>
          </w:p>
        </w:tc>
        <w:tc>
          <w:tcPr>
            <w:tcW w:w="1098" w:type="dxa"/>
            <w:tcBorders>
              <w:top w:val="nil"/>
              <w:left w:val="nil"/>
              <w:bottom w:val="nil"/>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w:t>
            </w:r>
          </w:p>
        </w:tc>
        <w:tc>
          <w:tcPr>
            <w:tcW w:w="1098" w:type="dxa"/>
            <w:tcBorders>
              <w:top w:val="nil"/>
              <w:left w:val="nil"/>
              <w:bottom w:val="nil"/>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(24)</w:t>
            </w:r>
          </w:p>
        </w:tc>
        <w:tc>
          <w:tcPr>
            <w:tcW w:w="1099" w:type="dxa"/>
            <w:tcBorders>
              <w:top w:val="nil"/>
              <w:left w:val="nil"/>
              <w:bottom w:val="nil"/>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w:t>
            </w:r>
          </w:p>
        </w:tc>
        <w:tc>
          <w:tcPr>
            <w:tcW w:w="1099" w:type="dxa"/>
            <w:gridSpan w:val="2"/>
            <w:tcBorders>
              <w:top w:val="nil"/>
              <w:left w:val="nil"/>
              <w:bottom w:val="nil"/>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998 </w:t>
            </w:r>
          </w:p>
        </w:tc>
      </w:tr>
      <w:tr w:rsidR="00A37913" w:rsidRPr="001567C8" w:rsidTr="003C6BA3">
        <w:trPr>
          <w:trHeight w:val="235"/>
        </w:trPr>
        <w:tc>
          <w:tcPr>
            <w:tcW w:w="3828" w:type="dxa"/>
            <w:tcBorders>
              <w:top w:val="nil"/>
              <w:left w:val="nil"/>
              <w:bottom w:val="nil"/>
              <w:right w:val="nil"/>
            </w:tcBorders>
            <w:shd w:val="clear" w:color="auto" w:fill="auto"/>
          </w:tcPr>
          <w:p w:rsidR="00A37913" w:rsidRPr="00CD3A2D" w:rsidRDefault="00795F59" w:rsidP="00A37913">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Preuzimanje nekretnina</w:t>
            </w:r>
          </w:p>
        </w:tc>
        <w:tc>
          <w:tcPr>
            <w:tcW w:w="1098" w:type="dxa"/>
            <w:tcBorders>
              <w:top w:val="nil"/>
              <w:left w:val="nil"/>
              <w:bottom w:val="nil"/>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w:t>
            </w:r>
            <w:r w:rsidR="00795F59" w:rsidRPr="00CD3A2D">
              <w:rPr>
                <w:rFonts w:asciiTheme="minorHAnsi" w:hAnsiTheme="minorHAnsi" w:cstheme="minorHAnsi"/>
                <w:sz w:val="19"/>
                <w:szCs w:val="19"/>
                <w:lang w:val="hr-HR"/>
              </w:rPr>
              <w:t>-</w:t>
            </w:r>
          </w:p>
        </w:tc>
        <w:tc>
          <w:tcPr>
            <w:tcW w:w="1098" w:type="dxa"/>
            <w:tcBorders>
              <w:top w:val="nil"/>
              <w:left w:val="nil"/>
              <w:bottom w:val="nil"/>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9" w:type="dxa"/>
            <w:tcBorders>
              <w:top w:val="nil"/>
              <w:left w:val="nil"/>
              <w:bottom w:val="nil"/>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nil"/>
              <w:right w:val="nil"/>
            </w:tcBorders>
            <w:shd w:val="clear" w:color="auto" w:fill="auto"/>
            <w:vAlign w:val="bottom"/>
          </w:tcPr>
          <w:p w:rsidR="00A37913" w:rsidRPr="00CD3A2D" w:rsidRDefault="00795F59"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w:t>
            </w:r>
          </w:p>
        </w:tc>
        <w:tc>
          <w:tcPr>
            <w:tcW w:w="1099" w:type="dxa"/>
            <w:gridSpan w:val="2"/>
            <w:tcBorders>
              <w:top w:val="nil"/>
              <w:left w:val="nil"/>
              <w:bottom w:val="nil"/>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(1.105)</w:t>
            </w:r>
          </w:p>
        </w:tc>
      </w:tr>
      <w:tr w:rsidR="00A37913" w:rsidRPr="001567C8" w:rsidTr="003C6BA3">
        <w:trPr>
          <w:trHeight w:val="172"/>
        </w:trPr>
        <w:tc>
          <w:tcPr>
            <w:tcW w:w="3828"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Neto </w:t>
            </w:r>
            <w:r w:rsidR="009E6DEC" w:rsidRPr="00CD3A2D">
              <w:rPr>
                <w:rFonts w:ascii="Calibri" w:hAnsi="Calibri" w:cs="Calibri"/>
                <w:color w:val="000000"/>
                <w:sz w:val="19"/>
                <w:szCs w:val="19"/>
                <w:lang w:val="hr-HR"/>
              </w:rPr>
              <w:t xml:space="preserve">gubitak </w:t>
            </w:r>
            <w:r w:rsidR="0063609C" w:rsidRPr="00CD3A2D">
              <w:rPr>
                <w:rFonts w:ascii="Calibri" w:hAnsi="Calibri" w:cs="Calibri"/>
                <w:color w:val="000000"/>
                <w:sz w:val="19"/>
                <w:szCs w:val="19"/>
                <w:lang w:val="hr-HR"/>
              </w:rPr>
              <w:t>od tečajnih razlika po rezerviranjima za očekivane gubitke</w:t>
            </w:r>
          </w:p>
        </w:tc>
        <w:tc>
          <w:tcPr>
            <w:tcW w:w="1098" w:type="dxa"/>
            <w:tcBorders>
              <w:top w:val="nil"/>
              <w:left w:val="nil"/>
              <w:bottom w:val="single" w:sz="8" w:space="0" w:color="auto"/>
              <w:right w:val="nil"/>
            </w:tcBorders>
            <w:shd w:val="clear" w:color="auto" w:fill="auto"/>
            <w:vAlign w:val="bottom"/>
          </w:tcPr>
          <w:p w:rsidR="00A37913" w:rsidRPr="00CD3A2D" w:rsidRDefault="00A37913" w:rsidP="008C1241">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(553)</w:t>
            </w:r>
          </w:p>
        </w:tc>
        <w:tc>
          <w:tcPr>
            <w:tcW w:w="1098" w:type="dxa"/>
            <w:tcBorders>
              <w:top w:val="nil"/>
              <w:left w:val="nil"/>
              <w:bottom w:val="single" w:sz="8" w:space="0" w:color="auto"/>
              <w:right w:val="nil"/>
            </w:tcBorders>
            <w:shd w:val="clear" w:color="auto" w:fill="auto"/>
            <w:vAlign w:val="bottom"/>
          </w:tcPr>
          <w:p w:rsidR="00A37913" w:rsidRPr="00CD3A2D" w:rsidRDefault="00A37913" w:rsidP="00F0295E">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(272)</w:t>
            </w:r>
          </w:p>
        </w:tc>
        <w:tc>
          <w:tcPr>
            <w:tcW w:w="1099" w:type="dxa"/>
            <w:tcBorders>
              <w:top w:val="nil"/>
              <w:left w:val="nil"/>
              <w:bottom w:val="single" w:sz="8" w:space="0" w:color="auto"/>
              <w:right w:val="nil"/>
            </w:tcBorders>
            <w:shd w:val="clear" w:color="auto" w:fill="auto"/>
            <w:vAlign w:val="bottom"/>
          </w:tcPr>
          <w:p w:rsidR="00A37913" w:rsidRPr="00CD3A2D" w:rsidRDefault="00A37913" w:rsidP="00DC6A16">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(139)</w:t>
            </w:r>
          </w:p>
        </w:tc>
        <w:tc>
          <w:tcPr>
            <w:tcW w:w="1098" w:type="dxa"/>
            <w:tcBorders>
              <w:top w:val="nil"/>
              <w:left w:val="nil"/>
              <w:bottom w:val="single" w:sz="8" w:space="0" w:color="auto"/>
              <w:right w:val="nil"/>
            </w:tcBorders>
            <w:shd w:val="clear" w:color="auto" w:fill="auto"/>
            <w:vAlign w:val="bottom"/>
          </w:tcPr>
          <w:p w:rsidR="00A37913" w:rsidRPr="00CD3A2D" w:rsidRDefault="00A37913" w:rsidP="00AD2AC2">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98" w:type="dxa"/>
            <w:tcBorders>
              <w:top w:val="nil"/>
              <w:left w:val="nil"/>
              <w:bottom w:val="single" w:sz="8" w:space="0" w:color="auto"/>
              <w:right w:val="nil"/>
            </w:tcBorders>
            <w:shd w:val="clear" w:color="auto" w:fill="auto"/>
            <w:vAlign w:val="bottom"/>
          </w:tcPr>
          <w:p w:rsidR="00A37913" w:rsidRPr="00CD3A2D" w:rsidRDefault="00A37913" w:rsidP="00F75285">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(964)</w:t>
            </w:r>
          </w:p>
        </w:tc>
        <w:tc>
          <w:tcPr>
            <w:tcW w:w="1099" w:type="dxa"/>
            <w:gridSpan w:val="2"/>
            <w:tcBorders>
              <w:top w:val="nil"/>
              <w:left w:val="nil"/>
              <w:bottom w:val="single" w:sz="8" w:space="0" w:color="auto"/>
              <w:right w:val="nil"/>
            </w:tcBorders>
            <w:shd w:val="clear" w:color="auto" w:fill="auto"/>
            <w:vAlign w:val="bottom"/>
          </w:tcPr>
          <w:p w:rsidR="00A37913" w:rsidRPr="00CD3A2D" w:rsidRDefault="00A37913" w:rsidP="00985E9F">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(1.438)</w:t>
            </w:r>
          </w:p>
        </w:tc>
      </w:tr>
      <w:tr w:rsidR="00A37913" w:rsidRPr="001567C8" w:rsidTr="003C6BA3">
        <w:trPr>
          <w:trHeight w:val="172"/>
        </w:trPr>
        <w:tc>
          <w:tcPr>
            <w:tcW w:w="3828"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Stanje 31. prosinca 2018. godine </w:t>
            </w:r>
          </w:p>
        </w:tc>
        <w:tc>
          <w:tcPr>
            <w:tcW w:w="1098" w:type="dxa"/>
            <w:tcBorders>
              <w:top w:val="nil"/>
              <w:left w:val="nil"/>
              <w:bottom w:val="single" w:sz="12" w:space="0" w:color="auto"/>
              <w:right w:val="nil"/>
            </w:tcBorders>
            <w:shd w:val="clear" w:color="auto" w:fill="auto"/>
            <w:vAlign w:val="bottom"/>
          </w:tcPr>
          <w:p w:rsidR="00A37913" w:rsidRPr="00CD3A2D" w:rsidRDefault="00A37913" w:rsidP="008C1241">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73.943 </w:t>
            </w:r>
          </w:p>
        </w:tc>
        <w:tc>
          <w:tcPr>
            <w:tcW w:w="1098" w:type="dxa"/>
            <w:tcBorders>
              <w:top w:val="nil"/>
              <w:left w:val="nil"/>
              <w:bottom w:val="single" w:sz="12" w:space="0" w:color="auto"/>
              <w:right w:val="nil"/>
            </w:tcBorders>
            <w:shd w:val="clear" w:color="auto" w:fill="auto"/>
            <w:vAlign w:val="bottom"/>
          </w:tcPr>
          <w:p w:rsidR="00A37913" w:rsidRPr="00CD3A2D" w:rsidRDefault="00A37913" w:rsidP="00F0295E">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24.609 </w:t>
            </w:r>
          </w:p>
        </w:tc>
        <w:tc>
          <w:tcPr>
            <w:tcW w:w="1099" w:type="dxa"/>
            <w:tcBorders>
              <w:top w:val="nil"/>
              <w:left w:val="nil"/>
              <w:bottom w:val="single" w:sz="12" w:space="0" w:color="auto"/>
              <w:right w:val="nil"/>
            </w:tcBorders>
            <w:shd w:val="clear" w:color="auto" w:fill="auto"/>
            <w:vAlign w:val="bottom"/>
          </w:tcPr>
          <w:p w:rsidR="00A37913" w:rsidRPr="00CD3A2D" w:rsidRDefault="00A37913" w:rsidP="00DC6A16">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18.602 </w:t>
            </w:r>
          </w:p>
        </w:tc>
        <w:tc>
          <w:tcPr>
            <w:tcW w:w="1098" w:type="dxa"/>
            <w:tcBorders>
              <w:top w:val="nil"/>
              <w:left w:val="nil"/>
              <w:bottom w:val="single" w:sz="12" w:space="0" w:color="auto"/>
              <w:right w:val="nil"/>
            </w:tcBorders>
            <w:shd w:val="clear" w:color="auto" w:fill="auto"/>
            <w:vAlign w:val="bottom"/>
          </w:tcPr>
          <w:p w:rsidR="00A37913" w:rsidRPr="00CD3A2D" w:rsidRDefault="00A37913" w:rsidP="00AD2AC2">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 </w:t>
            </w:r>
          </w:p>
        </w:tc>
        <w:tc>
          <w:tcPr>
            <w:tcW w:w="1098" w:type="dxa"/>
            <w:tcBorders>
              <w:top w:val="nil"/>
              <w:left w:val="nil"/>
              <w:bottom w:val="single" w:sz="12" w:space="0" w:color="auto"/>
              <w:right w:val="nil"/>
            </w:tcBorders>
            <w:shd w:val="clear" w:color="auto" w:fill="auto"/>
            <w:vAlign w:val="bottom"/>
          </w:tcPr>
          <w:p w:rsidR="00A37913" w:rsidRPr="00CD3A2D" w:rsidRDefault="00A37913" w:rsidP="00F75285">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117.154 </w:t>
            </w:r>
          </w:p>
        </w:tc>
        <w:tc>
          <w:tcPr>
            <w:tcW w:w="1099" w:type="dxa"/>
            <w:gridSpan w:val="2"/>
            <w:tcBorders>
              <w:top w:val="nil"/>
              <w:left w:val="nil"/>
              <w:bottom w:val="single" w:sz="12" w:space="0" w:color="auto"/>
              <w:right w:val="nil"/>
            </w:tcBorders>
            <w:shd w:val="clear" w:color="auto" w:fill="auto"/>
            <w:vAlign w:val="bottom"/>
          </w:tcPr>
          <w:p w:rsidR="00A37913" w:rsidRPr="00CD3A2D" w:rsidRDefault="00A37913" w:rsidP="00985E9F">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237.926 </w:t>
            </w:r>
          </w:p>
        </w:tc>
      </w:tr>
    </w:tbl>
    <w:p w:rsidR="00E75525" w:rsidRPr="001567C8" w:rsidRDefault="00E75525" w:rsidP="00C17BDA">
      <w:pPr>
        <w:pStyle w:val="T1"/>
        <w:spacing w:before="0" w:after="0" w:line="240" w:lineRule="auto"/>
        <w:rPr>
          <w:rFonts w:asciiTheme="minorHAnsi" w:hAnsiTheme="minorHAnsi" w:cs="Arial"/>
          <w:sz w:val="22"/>
          <w:szCs w:val="22"/>
          <w:lang w:val="hr-HR"/>
        </w:rPr>
      </w:pPr>
    </w:p>
    <w:p w:rsidR="00DB4B98" w:rsidRPr="001567C8" w:rsidRDefault="00DB4B98" w:rsidP="00C17BDA">
      <w:pPr>
        <w:pStyle w:val="T1"/>
        <w:spacing w:before="0" w:after="0" w:line="240" w:lineRule="auto"/>
        <w:rPr>
          <w:rFonts w:asciiTheme="minorHAnsi" w:hAnsiTheme="minorHAnsi" w:cs="Arial"/>
          <w:sz w:val="22"/>
          <w:szCs w:val="22"/>
          <w:lang w:val="hr-HR"/>
        </w:rPr>
      </w:pPr>
    </w:p>
    <w:p w:rsidR="00C17BDA" w:rsidRPr="00CD3A2D" w:rsidRDefault="00C17BDA" w:rsidP="00C17BDA">
      <w:pPr>
        <w:jc w:val="both"/>
        <w:rPr>
          <w:rFonts w:ascii="Calibri" w:hAnsi="Calibri" w:cs="Calibri"/>
          <w:b/>
          <w:bCs/>
          <w:color w:val="000000"/>
          <w:sz w:val="22"/>
          <w:szCs w:val="22"/>
          <w:lang w:val="hr-HR"/>
        </w:rPr>
      </w:pPr>
      <w:r w:rsidRPr="00CD3A2D">
        <w:rPr>
          <w:rFonts w:ascii="Calibri" w:hAnsi="Calibri" w:cs="Calibri"/>
          <w:b/>
          <w:bCs/>
          <w:color w:val="000000"/>
          <w:sz w:val="22"/>
          <w:szCs w:val="22"/>
          <w:lang w:val="hr-HR"/>
        </w:rPr>
        <w:t>Krediti ostalim korisnicima</w:t>
      </w:r>
    </w:p>
    <w:p w:rsidR="00C17BDA" w:rsidRPr="001567C8" w:rsidRDefault="00C17BDA" w:rsidP="00C17BDA">
      <w:pPr>
        <w:pStyle w:val="T1"/>
        <w:spacing w:before="0" w:after="0" w:line="240" w:lineRule="auto"/>
        <w:rPr>
          <w:rFonts w:asciiTheme="minorHAnsi" w:hAnsiTheme="minorHAnsi" w:cs="Arial"/>
          <w:sz w:val="22"/>
          <w:szCs w:val="22"/>
          <w:lang w:val="hr-HR"/>
        </w:rPr>
      </w:pPr>
    </w:p>
    <w:tbl>
      <w:tblPr>
        <w:tblW w:w="10490" w:type="dxa"/>
        <w:tblInd w:w="-567" w:type="dxa"/>
        <w:tblLayout w:type="fixed"/>
        <w:tblLook w:val="04A0" w:firstRow="1" w:lastRow="0" w:firstColumn="1" w:lastColumn="0" w:noHBand="0" w:noVBand="1"/>
      </w:tblPr>
      <w:tblGrid>
        <w:gridCol w:w="3827"/>
        <w:gridCol w:w="1110"/>
        <w:gridCol w:w="1111"/>
        <w:gridCol w:w="1110"/>
        <w:gridCol w:w="1111"/>
        <w:gridCol w:w="1087"/>
        <w:gridCol w:w="23"/>
        <w:gridCol w:w="1111"/>
      </w:tblGrid>
      <w:tr w:rsidR="00B57831" w:rsidRPr="001567C8" w:rsidTr="00513229">
        <w:trPr>
          <w:trHeight w:val="163"/>
        </w:trPr>
        <w:tc>
          <w:tcPr>
            <w:tcW w:w="3827" w:type="dxa"/>
            <w:tcBorders>
              <w:top w:val="nil"/>
              <w:left w:val="nil"/>
              <w:bottom w:val="nil"/>
              <w:right w:val="nil"/>
            </w:tcBorders>
            <w:shd w:val="clear" w:color="auto" w:fill="auto"/>
            <w:vAlign w:val="center"/>
          </w:tcPr>
          <w:p w:rsidR="00B57831" w:rsidRPr="00CD3A2D" w:rsidRDefault="00B57831" w:rsidP="00513229">
            <w:pPr>
              <w:rPr>
                <w:rFonts w:ascii="Calibri" w:hAnsi="Calibri" w:cs="Calibri"/>
                <w:b/>
                <w:bCs/>
                <w:color w:val="000000"/>
                <w:sz w:val="19"/>
                <w:szCs w:val="19"/>
                <w:lang w:val="hr-HR"/>
              </w:rPr>
            </w:pPr>
            <w:r w:rsidRPr="00CD3A2D">
              <w:rPr>
                <w:rFonts w:ascii="Calibri" w:hAnsi="Calibri" w:cs="Calibri"/>
                <w:b/>
                <w:bCs/>
                <w:sz w:val="19"/>
                <w:szCs w:val="19"/>
                <w:lang w:val="hr-HR"/>
              </w:rPr>
              <w:t>Banka</w:t>
            </w:r>
          </w:p>
        </w:tc>
        <w:tc>
          <w:tcPr>
            <w:tcW w:w="5529" w:type="dxa"/>
            <w:gridSpan w:val="5"/>
            <w:tcBorders>
              <w:top w:val="nil"/>
              <w:left w:val="nil"/>
              <w:bottom w:val="nil"/>
              <w:right w:val="nil"/>
            </w:tcBorders>
            <w:shd w:val="clear" w:color="auto" w:fill="auto"/>
            <w:vAlign w:val="center"/>
          </w:tcPr>
          <w:p w:rsidR="00B57831" w:rsidRPr="00CD3A2D" w:rsidRDefault="00B57831" w:rsidP="00513229">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2018.</w:t>
            </w:r>
          </w:p>
        </w:tc>
        <w:tc>
          <w:tcPr>
            <w:tcW w:w="1134" w:type="dxa"/>
            <w:gridSpan w:val="2"/>
            <w:tcBorders>
              <w:top w:val="nil"/>
              <w:left w:val="nil"/>
              <w:bottom w:val="nil"/>
              <w:right w:val="nil"/>
            </w:tcBorders>
            <w:shd w:val="clear" w:color="auto" w:fill="auto"/>
            <w:vAlign w:val="center"/>
          </w:tcPr>
          <w:p w:rsidR="00B57831" w:rsidRPr="00CD3A2D" w:rsidRDefault="00B57831" w:rsidP="00513229">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2017.</w:t>
            </w:r>
          </w:p>
        </w:tc>
      </w:tr>
      <w:tr w:rsidR="00B57831" w:rsidRPr="001567C8" w:rsidTr="003C6BA3">
        <w:trPr>
          <w:trHeight w:val="163"/>
        </w:trPr>
        <w:tc>
          <w:tcPr>
            <w:tcW w:w="3827"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p>
        </w:tc>
        <w:tc>
          <w:tcPr>
            <w:tcW w:w="1110"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1111"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1110"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1111"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POCI</w:t>
            </w:r>
          </w:p>
        </w:tc>
        <w:tc>
          <w:tcPr>
            <w:tcW w:w="1110" w:type="dxa"/>
            <w:gridSpan w:val="2"/>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1111"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B57831" w:rsidRPr="001567C8" w:rsidTr="003C6BA3">
        <w:trPr>
          <w:trHeight w:val="163"/>
        </w:trPr>
        <w:tc>
          <w:tcPr>
            <w:tcW w:w="3827"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p>
        </w:tc>
        <w:tc>
          <w:tcPr>
            <w:tcW w:w="1110"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1"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0"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1"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0" w:type="dxa"/>
            <w:gridSpan w:val="2"/>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111" w:type="dxa"/>
            <w:tcBorders>
              <w:top w:val="nil"/>
              <w:left w:val="nil"/>
              <w:bottom w:val="nil"/>
              <w:right w:val="nil"/>
            </w:tcBorders>
            <w:shd w:val="clear" w:color="auto" w:fill="auto"/>
            <w:vAlign w:val="center"/>
            <w:hideMark/>
          </w:tcPr>
          <w:p w:rsidR="00B57831" w:rsidRPr="00CD3A2D" w:rsidRDefault="00B57831" w:rsidP="0051322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B57831" w:rsidRPr="001567C8" w:rsidTr="003C6BA3">
        <w:trPr>
          <w:trHeight w:val="163"/>
        </w:trPr>
        <w:tc>
          <w:tcPr>
            <w:tcW w:w="3827" w:type="dxa"/>
            <w:tcBorders>
              <w:top w:val="nil"/>
              <w:left w:val="nil"/>
              <w:bottom w:val="nil"/>
              <w:right w:val="nil"/>
            </w:tcBorders>
            <w:shd w:val="clear" w:color="auto" w:fill="auto"/>
            <w:vAlign w:val="center"/>
          </w:tcPr>
          <w:p w:rsidR="00B57831" w:rsidRPr="00CD3A2D" w:rsidRDefault="00B57831" w:rsidP="00513229">
            <w:pPr>
              <w:jc w:val="right"/>
              <w:rPr>
                <w:rFonts w:ascii="Calibri" w:hAnsi="Calibri" w:cs="Calibri"/>
                <w:b/>
                <w:bCs/>
                <w:color w:val="000000"/>
                <w:sz w:val="19"/>
                <w:szCs w:val="19"/>
                <w:lang w:val="hr-HR"/>
              </w:rPr>
            </w:pPr>
          </w:p>
        </w:tc>
        <w:tc>
          <w:tcPr>
            <w:tcW w:w="1110" w:type="dxa"/>
            <w:tcBorders>
              <w:top w:val="nil"/>
              <w:left w:val="nil"/>
              <w:bottom w:val="nil"/>
              <w:right w:val="nil"/>
            </w:tcBorders>
            <w:shd w:val="clear" w:color="auto" w:fill="auto"/>
            <w:vAlign w:val="center"/>
          </w:tcPr>
          <w:p w:rsidR="00B57831" w:rsidRPr="00CD3A2D" w:rsidRDefault="00B57831" w:rsidP="00513229">
            <w:pPr>
              <w:jc w:val="right"/>
              <w:rPr>
                <w:rFonts w:ascii="Calibri" w:hAnsi="Calibri" w:cs="Calibri"/>
                <w:b/>
                <w:bCs/>
                <w:color w:val="000000"/>
                <w:sz w:val="19"/>
                <w:szCs w:val="19"/>
                <w:lang w:val="hr-HR"/>
              </w:rPr>
            </w:pPr>
          </w:p>
        </w:tc>
        <w:tc>
          <w:tcPr>
            <w:tcW w:w="1111" w:type="dxa"/>
            <w:tcBorders>
              <w:top w:val="nil"/>
              <w:left w:val="nil"/>
              <w:bottom w:val="nil"/>
              <w:right w:val="nil"/>
            </w:tcBorders>
            <w:shd w:val="clear" w:color="auto" w:fill="auto"/>
            <w:vAlign w:val="center"/>
          </w:tcPr>
          <w:p w:rsidR="00B57831" w:rsidRPr="00CD3A2D" w:rsidRDefault="00B57831" w:rsidP="00513229">
            <w:pPr>
              <w:jc w:val="right"/>
              <w:rPr>
                <w:rFonts w:ascii="Calibri" w:hAnsi="Calibri" w:cs="Calibri"/>
                <w:b/>
                <w:bCs/>
                <w:color w:val="000000"/>
                <w:sz w:val="19"/>
                <w:szCs w:val="19"/>
                <w:lang w:val="hr-HR"/>
              </w:rPr>
            </w:pPr>
          </w:p>
        </w:tc>
        <w:tc>
          <w:tcPr>
            <w:tcW w:w="1110" w:type="dxa"/>
            <w:tcBorders>
              <w:top w:val="nil"/>
              <w:left w:val="nil"/>
              <w:bottom w:val="nil"/>
              <w:right w:val="nil"/>
            </w:tcBorders>
            <w:shd w:val="clear" w:color="auto" w:fill="auto"/>
            <w:vAlign w:val="center"/>
          </w:tcPr>
          <w:p w:rsidR="00B57831" w:rsidRPr="00CD3A2D" w:rsidRDefault="00B57831" w:rsidP="00513229">
            <w:pPr>
              <w:jc w:val="right"/>
              <w:rPr>
                <w:rFonts w:ascii="Calibri" w:hAnsi="Calibri" w:cs="Calibri"/>
                <w:b/>
                <w:bCs/>
                <w:color w:val="000000"/>
                <w:sz w:val="19"/>
                <w:szCs w:val="19"/>
                <w:lang w:val="hr-HR"/>
              </w:rPr>
            </w:pPr>
          </w:p>
        </w:tc>
        <w:tc>
          <w:tcPr>
            <w:tcW w:w="1111" w:type="dxa"/>
            <w:tcBorders>
              <w:top w:val="nil"/>
              <w:left w:val="nil"/>
              <w:bottom w:val="nil"/>
              <w:right w:val="nil"/>
            </w:tcBorders>
            <w:shd w:val="clear" w:color="auto" w:fill="auto"/>
            <w:vAlign w:val="center"/>
          </w:tcPr>
          <w:p w:rsidR="00B57831" w:rsidRPr="00CD3A2D" w:rsidRDefault="00B57831" w:rsidP="00513229">
            <w:pPr>
              <w:jc w:val="right"/>
              <w:rPr>
                <w:rFonts w:ascii="Calibri" w:hAnsi="Calibri" w:cs="Calibri"/>
                <w:b/>
                <w:bCs/>
                <w:color w:val="000000"/>
                <w:sz w:val="19"/>
                <w:szCs w:val="19"/>
                <w:lang w:val="hr-HR"/>
              </w:rPr>
            </w:pPr>
          </w:p>
        </w:tc>
        <w:tc>
          <w:tcPr>
            <w:tcW w:w="1110" w:type="dxa"/>
            <w:gridSpan w:val="2"/>
            <w:tcBorders>
              <w:top w:val="nil"/>
              <w:left w:val="nil"/>
              <w:bottom w:val="nil"/>
              <w:right w:val="nil"/>
            </w:tcBorders>
            <w:shd w:val="clear" w:color="auto" w:fill="auto"/>
            <w:vAlign w:val="center"/>
          </w:tcPr>
          <w:p w:rsidR="00B57831" w:rsidRPr="00CD3A2D" w:rsidRDefault="00B57831" w:rsidP="00513229">
            <w:pPr>
              <w:jc w:val="right"/>
              <w:rPr>
                <w:rFonts w:ascii="Calibri" w:hAnsi="Calibri" w:cs="Calibri"/>
                <w:b/>
                <w:bCs/>
                <w:color w:val="000000"/>
                <w:sz w:val="19"/>
                <w:szCs w:val="19"/>
                <w:lang w:val="hr-HR"/>
              </w:rPr>
            </w:pPr>
          </w:p>
        </w:tc>
        <w:tc>
          <w:tcPr>
            <w:tcW w:w="1111" w:type="dxa"/>
            <w:tcBorders>
              <w:top w:val="nil"/>
              <w:left w:val="nil"/>
              <w:bottom w:val="nil"/>
              <w:right w:val="nil"/>
            </w:tcBorders>
            <w:shd w:val="clear" w:color="auto" w:fill="auto"/>
            <w:vAlign w:val="center"/>
          </w:tcPr>
          <w:p w:rsidR="00B57831" w:rsidRPr="00CD3A2D" w:rsidRDefault="00B57831" w:rsidP="00513229">
            <w:pPr>
              <w:jc w:val="right"/>
              <w:rPr>
                <w:rFonts w:ascii="Calibri" w:hAnsi="Calibri" w:cs="Calibri"/>
                <w:b/>
                <w:bCs/>
                <w:color w:val="000000"/>
                <w:sz w:val="19"/>
                <w:szCs w:val="19"/>
                <w:lang w:val="hr-HR"/>
              </w:rPr>
            </w:pPr>
          </w:p>
        </w:tc>
      </w:tr>
      <w:tr w:rsidR="00B57831" w:rsidRPr="001567C8" w:rsidTr="003C6BA3">
        <w:trPr>
          <w:trHeight w:val="163"/>
        </w:trPr>
        <w:tc>
          <w:tcPr>
            <w:tcW w:w="3827" w:type="dxa"/>
            <w:tcBorders>
              <w:top w:val="nil"/>
              <w:left w:val="nil"/>
              <w:bottom w:val="nil"/>
              <w:right w:val="nil"/>
            </w:tcBorders>
            <w:shd w:val="clear" w:color="auto" w:fill="auto"/>
            <w:vAlign w:val="center"/>
            <w:hideMark/>
          </w:tcPr>
          <w:p w:rsidR="00B57831" w:rsidRPr="00CD3A2D" w:rsidRDefault="00B57831" w:rsidP="00513229">
            <w:pPr>
              <w:rPr>
                <w:rFonts w:ascii="Calibri" w:hAnsi="Calibri" w:cs="Calibri"/>
                <w:color w:val="000000"/>
                <w:sz w:val="19"/>
                <w:szCs w:val="19"/>
                <w:lang w:val="hr-HR"/>
              </w:rPr>
            </w:pPr>
            <w:r w:rsidRPr="00CD3A2D">
              <w:rPr>
                <w:rFonts w:ascii="Calibri" w:hAnsi="Calibri" w:cs="Calibri"/>
                <w:color w:val="000000"/>
                <w:sz w:val="19"/>
                <w:szCs w:val="19"/>
                <w:lang w:val="hr-HR"/>
              </w:rPr>
              <w:t>Stanje 1. siječnja 2018. godine</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381.600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452.780 </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2.758.825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3.593.205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2.579.501 </w:t>
            </w:r>
          </w:p>
        </w:tc>
      </w:tr>
      <w:tr w:rsidR="00B57831" w:rsidRPr="001567C8" w:rsidTr="003C6BA3">
        <w:trPr>
          <w:trHeight w:val="163"/>
        </w:trPr>
        <w:tc>
          <w:tcPr>
            <w:tcW w:w="3827" w:type="dxa"/>
            <w:tcBorders>
              <w:top w:val="nil"/>
              <w:left w:val="nil"/>
              <w:bottom w:val="nil"/>
              <w:right w:val="nil"/>
            </w:tcBorders>
            <w:shd w:val="clear" w:color="auto" w:fill="auto"/>
            <w:vAlign w:val="center"/>
            <w:hideMark/>
          </w:tcPr>
          <w:p w:rsidR="00B57831" w:rsidRPr="00CD3A2D" w:rsidRDefault="00B57831" w:rsidP="00513229">
            <w:pPr>
              <w:rPr>
                <w:rFonts w:ascii="Calibri" w:hAnsi="Calibri" w:cs="Calibri"/>
                <w:color w:val="000000"/>
                <w:sz w:val="19"/>
                <w:szCs w:val="19"/>
                <w:lang w:val="hr-HR"/>
              </w:rPr>
            </w:pPr>
            <w:r w:rsidRPr="00CD3A2D">
              <w:rPr>
                <w:rFonts w:ascii="Calibri" w:hAnsi="Calibri" w:cs="Calibri"/>
                <w:color w:val="000000"/>
                <w:sz w:val="19"/>
                <w:szCs w:val="19"/>
                <w:lang w:val="hr-HR"/>
              </w:rPr>
              <w:t>Prijenos u Stupanj 1</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22.243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(21.969)</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(274)</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B57831" w:rsidRPr="001567C8" w:rsidTr="003C6BA3">
        <w:trPr>
          <w:trHeight w:val="163"/>
        </w:trPr>
        <w:tc>
          <w:tcPr>
            <w:tcW w:w="3827" w:type="dxa"/>
            <w:tcBorders>
              <w:top w:val="nil"/>
              <w:left w:val="nil"/>
              <w:bottom w:val="nil"/>
              <w:right w:val="nil"/>
            </w:tcBorders>
            <w:shd w:val="clear" w:color="auto" w:fill="auto"/>
            <w:vAlign w:val="center"/>
            <w:hideMark/>
          </w:tcPr>
          <w:p w:rsidR="00B57831" w:rsidRPr="00CD3A2D" w:rsidRDefault="00B57831" w:rsidP="00513229">
            <w:pPr>
              <w:rPr>
                <w:rFonts w:ascii="Calibri" w:hAnsi="Calibri" w:cs="Calibri"/>
                <w:color w:val="000000"/>
                <w:sz w:val="19"/>
                <w:szCs w:val="19"/>
                <w:lang w:val="hr-HR"/>
              </w:rPr>
            </w:pPr>
            <w:r w:rsidRPr="00CD3A2D">
              <w:rPr>
                <w:rFonts w:ascii="Calibri" w:hAnsi="Calibri" w:cs="Calibri"/>
                <w:color w:val="000000"/>
                <w:sz w:val="19"/>
                <w:szCs w:val="19"/>
                <w:lang w:val="hr-HR"/>
              </w:rPr>
              <w:t>Prijenos u Stupanj 2</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(379.180)</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382.723 </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(3.543)</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B57831" w:rsidRPr="001567C8" w:rsidTr="003C6BA3">
        <w:trPr>
          <w:trHeight w:val="163"/>
        </w:trPr>
        <w:tc>
          <w:tcPr>
            <w:tcW w:w="3827" w:type="dxa"/>
            <w:tcBorders>
              <w:top w:val="nil"/>
              <w:left w:val="nil"/>
              <w:bottom w:val="nil"/>
              <w:right w:val="nil"/>
            </w:tcBorders>
            <w:shd w:val="clear" w:color="auto" w:fill="auto"/>
            <w:vAlign w:val="center"/>
            <w:hideMark/>
          </w:tcPr>
          <w:p w:rsidR="00B57831" w:rsidRPr="00CD3A2D" w:rsidRDefault="00B57831" w:rsidP="00513229">
            <w:pPr>
              <w:rPr>
                <w:rFonts w:ascii="Calibri" w:hAnsi="Calibri" w:cs="Calibri"/>
                <w:color w:val="000000"/>
                <w:sz w:val="19"/>
                <w:szCs w:val="19"/>
                <w:lang w:val="hr-HR"/>
              </w:rPr>
            </w:pPr>
            <w:r w:rsidRPr="00CD3A2D">
              <w:rPr>
                <w:rFonts w:ascii="Calibri" w:hAnsi="Calibri" w:cs="Calibri"/>
                <w:color w:val="000000"/>
                <w:sz w:val="19"/>
                <w:szCs w:val="19"/>
                <w:lang w:val="hr-HR"/>
              </w:rPr>
              <w:t>Prijenos u Stupanj 3</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(39.281)</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(82.634)</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121.915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B57831" w:rsidRPr="001567C8" w:rsidTr="003C6BA3">
        <w:trPr>
          <w:trHeight w:val="203"/>
        </w:trPr>
        <w:tc>
          <w:tcPr>
            <w:tcW w:w="3827" w:type="dxa"/>
            <w:tcBorders>
              <w:top w:val="nil"/>
              <w:left w:val="nil"/>
              <w:bottom w:val="nil"/>
              <w:right w:val="nil"/>
            </w:tcBorders>
            <w:shd w:val="clear" w:color="auto" w:fill="auto"/>
            <w:vAlign w:val="center"/>
            <w:hideMark/>
          </w:tcPr>
          <w:p w:rsidR="00B57831" w:rsidRPr="00CD3A2D" w:rsidRDefault="00B57831" w:rsidP="00513229">
            <w:pPr>
              <w:rPr>
                <w:rFonts w:ascii="Calibri" w:hAnsi="Calibri" w:cs="Calibri"/>
                <w:color w:val="000000"/>
                <w:sz w:val="19"/>
                <w:szCs w:val="19"/>
                <w:lang w:val="hr-HR"/>
              </w:rPr>
            </w:pPr>
            <w:r w:rsidRPr="00CD3A2D">
              <w:rPr>
                <w:rFonts w:ascii="Calibri" w:hAnsi="Calibri" w:cs="Calibri"/>
                <w:color w:val="000000"/>
                <w:sz w:val="19"/>
                <w:szCs w:val="19"/>
                <w:lang w:val="hr-HR"/>
              </w:rPr>
              <w:t xml:space="preserve">Povećanje rezerviranja za očekivane gubitke </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211.756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416.830 </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415.807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93.000 </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1.137.393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553.952 </w:t>
            </w:r>
          </w:p>
        </w:tc>
      </w:tr>
      <w:tr w:rsidR="00B57831" w:rsidRPr="001567C8" w:rsidTr="003C6BA3">
        <w:trPr>
          <w:trHeight w:val="183"/>
        </w:trPr>
        <w:tc>
          <w:tcPr>
            <w:tcW w:w="3827" w:type="dxa"/>
            <w:tcBorders>
              <w:top w:val="nil"/>
              <w:left w:val="nil"/>
              <w:bottom w:val="nil"/>
              <w:right w:val="nil"/>
            </w:tcBorders>
            <w:shd w:val="clear" w:color="auto" w:fill="auto"/>
            <w:vAlign w:val="bottom"/>
            <w:hideMark/>
          </w:tcPr>
          <w:p w:rsidR="00B57831" w:rsidRPr="00CD3A2D" w:rsidRDefault="00B57831" w:rsidP="00513229">
            <w:pPr>
              <w:rPr>
                <w:rFonts w:ascii="Calibri" w:hAnsi="Calibri" w:cs="Calibri"/>
                <w:color w:val="000000"/>
                <w:sz w:val="19"/>
                <w:szCs w:val="19"/>
                <w:lang w:val="hr-HR"/>
              </w:rPr>
            </w:pPr>
            <w:r w:rsidRPr="00CD3A2D">
              <w:rPr>
                <w:rFonts w:ascii="Calibri" w:hAnsi="Calibri" w:cs="Calibri"/>
                <w:color w:val="000000"/>
                <w:sz w:val="19"/>
                <w:szCs w:val="19"/>
                <w:lang w:val="hr-HR"/>
              </w:rPr>
              <w:t xml:space="preserve">Smanjenje rezerviranja za očekivane gubitke </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(445.286)</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(104.673)</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(714.670)</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Calibri" w:hAnsi="Calibri" w:cs="Calibri"/>
                <w:color w:val="000000"/>
                <w:sz w:val="19"/>
                <w:szCs w:val="19"/>
                <w:lang w:val="hr-HR"/>
              </w:rPr>
            </w:pPr>
            <w:r w:rsidRPr="00CD3A2D">
              <w:rPr>
                <w:rFonts w:ascii="Calibri" w:hAnsi="Calibri" w:cs="Calibri"/>
                <w:color w:val="000000"/>
                <w:sz w:val="19"/>
                <w:szCs w:val="19"/>
                <w:lang w:val="hr-HR"/>
              </w:rPr>
              <w:t>(83.925)</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Calibri" w:hAnsi="Calibri" w:cs="Calibri"/>
                <w:color w:val="000000"/>
                <w:sz w:val="19"/>
                <w:szCs w:val="19"/>
                <w:lang w:val="hr-HR"/>
              </w:rPr>
            </w:pPr>
            <w:r w:rsidRPr="00CD3A2D">
              <w:rPr>
                <w:rFonts w:ascii="Calibri" w:hAnsi="Calibri" w:cs="Calibri"/>
                <w:color w:val="000000"/>
                <w:sz w:val="19"/>
                <w:szCs w:val="19"/>
                <w:lang w:val="hr-HR"/>
              </w:rPr>
              <w:t>(1.348.554)</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Calibri" w:hAnsi="Calibri" w:cs="Calibri"/>
                <w:color w:val="000000"/>
                <w:sz w:val="19"/>
                <w:szCs w:val="19"/>
                <w:lang w:val="hr-HR"/>
              </w:rPr>
            </w:pPr>
            <w:r w:rsidRPr="00CD3A2D">
              <w:rPr>
                <w:rFonts w:ascii="Calibri" w:hAnsi="Calibri" w:cs="Calibri"/>
                <w:color w:val="000000"/>
                <w:sz w:val="19"/>
                <w:szCs w:val="19"/>
                <w:lang w:val="hr-HR"/>
              </w:rPr>
              <w:t xml:space="preserve"> (216.064)</w:t>
            </w:r>
          </w:p>
        </w:tc>
      </w:tr>
      <w:tr w:rsidR="00B57831" w:rsidRPr="001567C8" w:rsidTr="003C6BA3">
        <w:trPr>
          <w:trHeight w:val="234"/>
        </w:trPr>
        <w:tc>
          <w:tcPr>
            <w:tcW w:w="3827" w:type="dxa"/>
            <w:tcBorders>
              <w:top w:val="nil"/>
              <w:left w:val="nil"/>
              <w:bottom w:val="nil"/>
              <w:right w:val="nil"/>
            </w:tcBorders>
            <w:shd w:val="clear" w:color="auto" w:fill="auto"/>
          </w:tcPr>
          <w:p w:rsidR="00B57831" w:rsidRPr="00CD3A2D" w:rsidRDefault="00B57831" w:rsidP="00513229">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Otpis</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(42.028)</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(1.228)</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(43.258)</w:t>
            </w:r>
          </w:p>
        </w:tc>
        <w:tc>
          <w:tcPr>
            <w:tcW w:w="1111" w:type="dxa"/>
            <w:tcBorders>
              <w:top w:val="nil"/>
              <w:left w:val="nil"/>
              <w:bottom w:val="nil"/>
              <w:right w:val="nil"/>
            </w:tcBorders>
            <w:shd w:val="clear" w:color="auto" w:fill="auto"/>
            <w:vAlign w:val="bottom"/>
          </w:tcPr>
          <w:p w:rsidR="00B57831" w:rsidRPr="00CD3A2D" w:rsidRDefault="00D64A2E"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(7.610)</w:t>
            </w:r>
            <w:r w:rsidR="00B57831" w:rsidRPr="00CD3A2D">
              <w:rPr>
                <w:rFonts w:asciiTheme="minorHAnsi" w:hAnsiTheme="minorHAnsi" w:cstheme="minorHAnsi"/>
                <w:sz w:val="19"/>
                <w:szCs w:val="19"/>
                <w:lang w:val="hr-HR"/>
              </w:rPr>
              <w:t xml:space="preserve"> </w:t>
            </w:r>
          </w:p>
        </w:tc>
      </w:tr>
      <w:tr w:rsidR="00B57831" w:rsidRPr="001567C8" w:rsidTr="003C6BA3">
        <w:trPr>
          <w:trHeight w:val="234"/>
        </w:trPr>
        <w:tc>
          <w:tcPr>
            <w:tcW w:w="3827" w:type="dxa"/>
            <w:tcBorders>
              <w:top w:val="nil"/>
              <w:left w:val="nil"/>
              <w:bottom w:val="nil"/>
              <w:right w:val="nil"/>
            </w:tcBorders>
            <w:shd w:val="clear" w:color="auto" w:fill="auto"/>
          </w:tcPr>
          <w:p w:rsidR="00B57831" w:rsidRPr="00CD3A2D" w:rsidRDefault="00B57831" w:rsidP="00513229">
            <w:pPr>
              <w:rPr>
                <w:rFonts w:asciiTheme="minorHAnsi" w:hAnsiTheme="minorHAnsi" w:cstheme="minorHAnsi"/>
                <w:sz w:val="19"/>
                <w:szCs w:val="19"/>
                <w:lang w:val="hr-HR"/>
              </w:rPr>
            </w:pPr>
            <w:r w:rsidRPr="00CD3A2D">
              <w:rPr>
                <w:rFonts w:asciiTheme="minorHAnsi" w:hAnsiTheme="minorHAnsi" w:cstheme="minorHAnsi"/>
                <w:sz w:val="19"/>
                <w:szCs w:val="19"/>
                <w:lang w:val="hr-HR"/>
              </w:rPr>
              <w:t>Unwinding - promjena uslijed proteka vremena</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337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213 </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51.357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5.182 </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 57.089 </w:t>
            </w:r>
          </w:p>
        </w:tc>
        <w:tc>
          <w:tcPr>
            <w:tcW w:w="1111" w:type="dxa"/>
            <w:tcBorders>
              <w:top w:val="nil"/>
              <w:left w:val="nil"/>
              <w:bottom w:val="nil"/>
              <w:right w:val="nil"/>
            </w:tcBorders>
            <w:shd w:val="clear" w:color="auto" w:fill="auto"/>
            <w:vAlign w:val="bottom"/>
          </w:tcPr>
          <w:p w:rsidR="00B57831" w:rsidRPr="00CD3A2D" w:rsidRDefault="00D64A2E" w:rsidP="00513229">
            <w:pPr>
              <w:jc w:val="right"/>
              <w:rPr>
                <w:rFonts w:asciiTheme="minorHAnsi" w:hAnsiTheme="minorHAnsi" w:cstheme="minorHAnsi"/>
                <w:sz w:val="19"/>
                <w:szCs w:val="19"/>
                <w:lang w:val="hr-HR"/>
              </w:rPr>
            </w:pPr>
            <w:r>
              <w:rPr>
                <w:rFonts w:asciiTheme="minorHAnsi" w:hAnsiTheme="minorHAnsi" w:cstheme="minorHAnsi"/>
                <w:sz w:val="19"/>
                <w:szCs w:val="19"/>
                <w:lang w:val="hr-HR"/>
              </w:rPr>
              <w:t>-</w:t>
            </w:r>
          </w:p>
        </w:tc>
      </w:tr>
      <w:tr w:rsidR="00B57831" w:rsidRPr="001567C8" w:rsidTr="003C6BA3">
        <w:trPr>
          <w:trHeight w:val="234"/>
        </w:trPr>
        <w:tc>
          <w:tcPr>
            <w:tcW w:w="3827" w:type="dxa"/>
            <w:tcBorders>
              <w:top w:val="nil"/>
              <w:left w:val="nil"/>
              <w:bottom w:val="nil"/>
              <w:right w:val="nil"/>
            </w:tcBorders>
            <w:shd w:val="clear" w:color="auto" w:fill="auto"/>
          </w:tcPr>
          <w:p w:rsidR="00B57831" w:rsidRPr="00CD3A2D" w:rsidRDefault="00B57831" w:rsidP="00513229">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Donos sa/(prijenos na) kredita financijskim institucijama</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24 </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 </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(998)</w:t>
            </w:r>
          </w:p>
        </w:tc>
      </w:tr>
      <w:tr w:rsidR="00B57831" w:rsidRPr="001567C8" w:rsidTr="003C6BA3">
        <w:trPr>
          <w:trHeight w:val="234"/>
        </w:trPr>
        <w:tc>
          <w:tcPr>
            <w:tcW w:w="3827" w:type="dxa"/>
            <w:tcBorders>
              <w:top w:val="nil"/>
              <w:left w:val="nil"/>
              <w:bottom w:val="nil"/>
              <w:right w:val="nil"/>
            </w:tcBorders>
            <w:shd w:val="clear" w:color="auto" w:fill="auto"/>
          </w:tcPr>
          <w:p w:rsidR="00B57831" w:rsidRPr="00CD3A2D" w:rsidRDefault="00B57831" w:rsidP="00513229">
            <w:pPr>
              <w:rPr>
                <w:rFonts w:asciiTheme="minorHAnsi" w:hAnsiTheme="minorHAnsi" w:cstheme="minorHAnsi"/>
                <w:sz w:val="19"/>
                <w:szCs w:val="19"/>
                <w:lang w:val="hr-HR"/>
              </w:rPr>
            </w:pPr>
            <w:r w:rsidRPr="00CD3A2D">
              <w:rPr>
                <w:rFonts w:asciiTheme="minorHAnsi" w:hAnsiTheme="minorHAnsi" w:cstheme="minorHAnsi"/>
                <w:sz w:val="19"/>
                <w:szCs w:val="19"/>
                <w:lang w:val="hr-HR"/>
              </w:rPr>
              <w:t>Preuzimanje nekretnine</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(5)</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(984)</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(989)</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(284)</w:t>
            </w:r>
          </w:p>
        </w:tc>
      </w:tr>
      <w:tr w:rsidR="00B57831" w:rsidRPr="001567C8" w:rsidTr="003C6BA3">
        <w:trPr>
          <w:trHeight w:val="234"/>
        </w:trPr>
        <w:tc>
          <w:tcPr>
            <w:tcW w:w="3827" w:type="dxa"/>
            <w:tcBorders>
              <w:top w:val="nil"/>
              <w:left w:val="nil"/>
              <w:bottom w:val="nil"/>
              <w:right w:val="nil"/>
            </w:tcBorders>
            <w:shd w:val="clear" w:color="auto" w:fill="auto"/>
          </w:tcPr>
          <w:p w:rsidR="00B57831" w:rsidRPr="00CD3A2D" w:rsidRDefault="00B57831" w:rsidP="00513229">
            <w:pPr>
              <w:rPr>
                <w:rFonts w:asciiTheme="minorHAnsi" w:hAnsiTheme="minorHAnsi" w:cstheme="minorHAnsi"/>
                <w:sz w:val="19"/>
                <w:szCs w:val="19"/>
                <w:lang w:val="hr-HR"/>
              </w:rPr>
            </w:pPr>
            <w:r w:rsidRPr="00CD3A2D">
              <w:rPr>
                <w:rFonts w:asciiTheme="minorHAnsi" w:hAnsiTheme="minorHAnsi" w:cstheme="minorHAnsi"/>
                <w:sz w:val="19"/>
                <w:szCs w:val="19"/>
                <w:lang w:val="hr-HR"/>
              </w:rPr>
              <w:t xml:space="preserve">Vraćanje isključenih kamata u </w:t>
            </w:r>
            <w:r w:rsidR="003119F2" w:rsidRPr="001567C8">
              <w:rPr>
                <w:rFonts w:asciiTheme="minorHAnsi" w:hAnsiTheme="minorHAnsi" w:cstheme="minorHAnsi"/>
                <w:sz w:val="19"/>
                <w:szCs w:val="19"/>
                <w:lang w:val="hr-HR"/>
              </w:rPr>
              <w:t>bilancu</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496</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496</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r>
      <w:tr w:rsidR="00B57831" w:rsidRPr="001567C8" w:rsidTr="003C6BA3">
        <w:trPr>
          <w:trHeight w:val="234"/>
        </w:trPr>
        <w:tc>
          <w:tcPr>
            <w:tcW w:w="3827" w:type="dxa"/>
            <w:tcBorders>
              <w:top w:val="nil"/>
              <w:left w:val="nil"/>
              <w:bottom w:val="nil"/>
              <w:right w:val="nil"/>
            </w:tcBorders>
            <w:shd w:val="clear" w:color="auto" w:fill="auto"/>
          </w:tcPr>
          <w:p w:rsidR="00B57831" w:rsidRPr="00CD3A2D" w:rsidRDefault="00B57831" w:rsidP="00513229">
            <w:pPr>
              <w:rPr>
                <w:rFonts w:asciiTheme="minorHAnsi" w:hAnsiTheme="minorHAnsi" w:cstheme="minorHAnsi"/>
                <w:sz w:val="19"/>
                <w:szCs w:val="19"/>
                <w:lang w:val="hr-HR"/>
              </w:rPr>
            </w:pPr>
            <w:r w:rsidRPr="00CD3A2D">
              <w:rPr>
                <w:rFonts w:asciiTheme="minorHAnsi" w:hAnsiTheme="minorHAnsi" w:cstheme="minorHAnsi"/>
                <w:sz w:val="19"/>
                <w:szCs w:val="19"/>
                <w:lang w:val="hr-HR"/>
              </w:rPr>
              <w:t>Prodaja potraživanja</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0" w:type="dxa"/>
            <w:gridSpan w:val="2"/>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vAlign w:val="bottom"/>
          </w:tcPr>
          <w:p w:rsidR="00B57831" w:rsidRPr="00CD3A2D" w:rsidRDefault="00B57831" w:rsidP="00513229">
            <w:pPr>
              <w:jc w:val="right"/>
              <w:rPr>
                <w:rFonts w:asciiTheme="minorHAnsi" w:hAnsiTheme="minorHAnsi" w:cstheme="minorHAnsi"/>
                <w:sz w:val="19"/>
                <w:szCs w:val="19"/>
                <w:lang w:val="hr-HR"/>
              </w:rPr>
            </w:pPr>
            <w:r w:rsidRPr="00CD3A2D">
              <w:rPr>
                <w:rFonts w:asciiTheme="minorHAnsi" w:hAnsiTheme="minorHAnsi" w:cstheme="minorHAnsi"/>
                <w:sz w:val="19"/>
                <w:szCs w:val="19"/>
                <w:lang w:val="hr-HR"/>
              </w:rPr>
              <w:t>(31.636)</w:t>
            </w:r>
          </w:p>
        </w:tc>
      </w:tr>
      <w:tr w:rsidR="00B57831" w:rsidRPr="001567C8" w:rsidTr="003C6BA3">
        <w:trPr>
          <w:trHeight w:val="234"/>
        </w:trPr>
        <w:tc>
          <w:tcPr>
            <w:tcW w:w="3827" w:type="dxa"/>
            <w:tcBorders>
              <w:top w:val="nil"/>
              <w:left w:val="nil"/>
              <w:bottom w:val="nil"/>
              <w:right w:val="nil"/>
            </w:tcBorders>
            <w:shd w:val="clear" w:color="auto" w:fill="auto"/>
          </w:tcPr>
          <w:p w:rsidR="00B57831" w:rsidRPr="00CD3A2D" w:rsidRDefault="00B57831" w:rsidP="00513229">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Ostalo</w:t>
            </w:r>
          </w:p>
        </w:tc>
        <w:tc>
          <w:tcPr>
            <w:tcW w:w="1110" w:type="dxa"/>
            <w:tcBorders>
              <w:top w:val="nil"/>
              <w:left w:val="nil"/>
              <w:bottom w:val="nil"/>
              <w:right w:val="nil"/>
            </w:tcBorders>
            <w:shd w:val="clear" w:color="auto" w:fill="auto"/>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w:t>
            </w:r>
          </w:p>
        </w:tc>
        <w:tc>
          <w:tcPr>
            <w:tcW w:w="1111" w:type="dxa"/>
            <w:tcBorders>
              <w:top w:val="nil"/>
              <w:left w:val="nil"/>
              <w:bottom w:val="nil"/>
              <w:right w:val="nil"/>
            </w:tcBorders>
            <w:shd w:val="clear" w:color="auto" w:fill="auto"/>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tcBorders>
              <w:top w:val="nil"/>
              <w:left w:val="nil"/>
              <w:bottom w:val="nil"/>
              <w:right w:val="nil"/>
            </w:tcBorders>
            <w:shd w:val="clear" w:color="auto" w:fill="auto"/>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110" w:type="dxa"/>
            <w:gridSpan w:val="2"/>
            <w:tcBorders>
              <w:top w:val="nil"/>
              <w:left w:val="nil"/>
              <w:bottom w:val="nil"/>
              <w:right w:val="nil"/>
            </w:tcBorders>
            <w:shd w:val="clear" w:color="auto" w:fill="auto"/>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w:t>
            </w:r>
          </w:p>
        </w:tc>
        <w:tc>
          <w:tcPr>
            <w:tcW w:w="1111" w:type="dxa"/>
            <w:tcBorders>
              <w:top w:val="nil"/>
              <w:left w:val="nil"/>
              <w:bottom w:val="nil"/>
              <w:right w:val="nil"/>
            </w:tcBorders>
            <w:shd w:val="clear" w:color="auto" w:fill="auto"/>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2.085</w:t>
            </w:r>
          </w:p>
        </w:tc>
      </w:tr>
      <w:tr w:rsidR="00B57831" w:rsidRPr="001567C8" w:rsidTr="003C6BA3">
        <w:trPr>
          <w:trHeight w:val="171"/>
        </w:trPr>
        <w:tc>
          <w:tcPr>
            <w:tcW w:w="3827" w:type="dxa"/>
            <w:tcBorders>
              <w:top w:val="nil"/>
              <w:left w:val="nil"/>
              <w:bottom w:val="nil"/>
              <w:right w:val="nil"/>
            </w:tcBorders>
            <w:shd w:val="clear" w:color="auto" w:fill="auto"/>
            <w:vAlign w:val="center"/>
            <w:hideMark/>
          </w:tcPr>
          <w:p w:rsidR="00B57831" w:rsidRPr="00CD3A2D" w:rsidRDefault="00B57831" w:rsidP="00513229">
            <w:pPr>
              <w:rPr>
                <w:rFonts w:ascii="Calibri" w:hAnsi="Calibri" w:cs="Calibri"/>
                <w:color w:val="000000"/>
                <w:sz w:val="19"/>
                <w:szCs w:val="19"/>
                <w:lang w:val="hr-HR"/>
              </w:rPr>
            </w:pPr>
            <w:r w:rsidRPr="00CD3A2D">
              <w:rPr>
                <w:rFonts w:ascii="Calibri" w:hAnsi="Calibri" w:cs="Calibri"/>
                <w:color w:val="000000"/>
                <w:sz w:val="19"/>
                <w:szCs w:val="19"/>
                <w:lang w:val="hr-HR"/>
              </w:rPr>
              <w:t xml:space="preserve">Neto gubitak od </w:t>
            </w:r>
            <w:r w:rsidR="003119F2" w:rsidRPr="001567C8">
              <w:rPr>
                <w:rFonts w:ascii="Calibri" w:hAnsi="Calibri" w:cs="Calibri"/>
                <w:color w:val="000000"/>
                <w:sz w:val="19"/>
                <w:szCs w:val="19"/>
                <w:lang w:val="hr-HR"/>
              </w:rPr>
              <w:t>tečajnih</w:t>
            </w:r>
            <w:r w:rsidRPr="00CD3A2D">
              <w:rPr>
                <w:rFonts w:ascii="Calibri" w:hAnsi="Calibri" w:cs="Calibri"/>
                <w:color w:val="000000"/>
                <w:sz w:val="19"/>
                <w:szCs w:val="19"/>
                <w:lang w:val="hr-HR"/>
              </w:rPr>
              <w:t xml:space="preserve"> razlika</w:t>
            </w:r>
            <w:r w:rsidRPr="00CD3A2D">
              <w:rPr>
                <w:sz w:val="19"/>
                <w:szCs w:val="19"/>
                <w:lang w:val="hr-HR"/>
              </w:rPr>
              <w:t xml:space="preserve"> </w:t>
            </w:r>
            <w:r w:rsidRPr="00CD3A2D">
              <w:rPr>
                <w:rFonts w:ascii="Calibri" w:hAnsi="Calibri" w:cs="Calibri"/>
                <w:color w:val="000000"/>
                <w:sz w:val="19"/>
                <w:szCs w:val="19"/>
                <w:lang w:val="hr-HR"/>
              </w:rPr>
              <w:t>po rezerviranjima za očekivane gubitke</w:t>
            </w:r>
          </w:p>
        </w:tc>
        <w:tc>
          <w:tcPr>
            <w:tcW w:w="1110" w:type="dxa"/>
            <w:tcBorders>
              <w:top w:val="nil"/>
              <w:left w:val="nil"/>
              <w:bottom w:val="single" w:sz="8" w:space="0" w:color="auto"/>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(5.082)</w:t>
            </w:r>
          </w:p>
        </w:tc>
        <w:tc>
          <w:tcPr>
            <w:tcW w:w="1111" w:type="dxa"/>
            <w:tcBorders>
              <w:top w:val="nil"/>
              <w:left w:val="nil"/>
              <w:bottom w:val="single" w:sz="8" w:space="0" w:color="auto"/>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(2.196)</w:t>
            </w:r>
          </w:p>
        </w:tc>
        <w:tc>
          <w:tcPr>
            <w:tcW w:w="1110" w:type="dxa"/>
            <w:tcBorders>
              <w:top w:val="nil"/>
              <w:left w:val="nil"/>
              <w:bottom w:val="single" w:sz="8" w:space="0" w:color="auto"/>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(8.466)</w:t>
            </w:r>
          </w:p>
        </w:tc>
        <w:tc>
          <w:tcPr>
            <w:tcW w:w="1111" w:type="dxa"/>
            <w:tcBorders>
              <w:top w:val="nil"/>
              <w:left w:val="nil"/>
              <w:bottom w:val="single" w:sz="8" w:space="0" w:color="auto"/>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630 </w:t>
            </w:r>
          </w:p>
        </w:tc>
        <w:tc>
          <w:tcPr>
            <w:tcW w:w="1110" w:type="dxa"/>
            <w:gridSpan w:val="2"/>
            <w:tcBorders>
              <w:top w:val="nil"/>
              <w:left w:val="nil"/>
              <w:bottom w:val="single" w:sz="8" w:space="0" w:color="auto"/>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(15.114)</w:t>
            </w:r>
          </w:p>
        </w:tc>
        <w:tc>
          <w:tcPr>
            <w:tcW w:w="1111" w:type="dxa"/>
            <w:tcBorders>
              <w:top w:val="nil"/>
              <w:left w:val="nil"/>
              <w:bottom w:val="single" w:sz="8" w:space="0" w:color="auto"/>
              <w:right w:val="nil"/>
            </w:tcBorders>
            <w:shd w:val="clear" w:color="auto" w:fill="auto"/>
            <w:vAlign w:val="bottom"/>
          </w:tcPr>
          <w:p w:rsidR="00B57831" w:rsidRPr="00CD3A2D" w:rsidRDefault="00B57831" w:rsidP="00513229">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(3.643)</w:t>
            </w:r>
          </w:p>
        </w:tc>
      </w:tr>
      <w:tr w:rsidR="00B57831" w:rsidRPr="001567C8" w:rsidTr="003C6BA3">
        <w:trPr>
          <w:trHeight w:val="283"/>
        </w:trPr>
        <w:tc>
          <w:tcPr>
            <w:tcW w:w="3827" w:type="dxa"/>
            <w:tcBorders>
              <w:top w:val="nil"/>
              <w:left w:val="nil"/>
              <w:bottom w:val="nil"/>
              <w:right w:val="nil"/>
            </w:tcBorders>
            <w:shd w:val="clear" w:color="auto" w:fill="auto"/>
            <w:vAlign w:val="bottom"/>
            <w:hideMark/>
          </w:tcPr>
          <w:p w:rsidR="00B57831" w:rsidRPr="00CD3A2D" w:rsidRDefault="00B57831" w:rsidP="00513229">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Stanje 31. prosinca 2018. godine </w:t>
            </w:r>
          </w:p>
        </w:tc>
        <w:tc>
          <w:tcPr>
            <w:tcW w:w="1110" w:type="dxa"/>
            <w:tcBorders>
              <w:top w:val="nil"/>
              <w:left w:val="nil"/>
              <w:bottom w:val="single" w:sz="12" w:space="0" w:color="auto"/>
              <w:right w:val="nil"/>
            </w:tcBorders>
            <w:shd w:val="clear" w:color="auto" w:fill="auto"/>
            <w:vAlign w:val="bottom"/>
          </w:tcPr>
          <w:p w:rsidR="00B57831" w:rsidRPr="00CD3A2D" w:rsidRDefault="00B57831" w:rsidP="00513229">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(252.896)</w:t>
            </w:r>
          </w:p>
        </w:tc>
        <w:tc>
          <w:tcPr>
            <w:tcW w:w="1111" w:type="dxa"/>
            <w:tcBorders>
              <w:top w:val="nil"/>
              <w:left w:val="nil"/>
              <w:bottom w:val="single" w:sz="12" w:space="0" w:color="auto"/>
              <w:right w:val="nil"/>
            </w:tcBorders>
            <w:shd w:val="clear" w:color="auto" w:fill="auto"/>
            <w:vAlign w:val="bottom"/>
          </w:tcPr>
          <w:p w:rsidR="00B57831" w:rsidRPr="00CD3A2D" w:rsidRDefault="00B57831" w:rsidP="00513229">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1.041.098 </w:t>
            </w:r>
          </w:p>
        </w:tc>
        <w:tc>
          <w:tcPr>
            <w:tcW w:w="1110" w:type="dxa"/>
            <w:tcBorders>
              <w:top w:val="nil"/>
              <w:left w:val="nil"/>
              <w:bottom w:val="single" w:sz="12" w:space="0" w:color="auto"/>
              <w:right w:val="nil"/>
            </w:tcBorders>
            <w:shd w:val="clear" w:color="auto" w:fill="auto"/>
            <w:vAlign w:val="bottom"/>
          </w:tcPr>
          <w:p w:rsidR="00B57831" w:rsidRPr="00CD3A2D" w:rsidRDefault="00B57831" w:rsidP="00513229">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2.578.435 </w:t>
            </w:r>
          </w:p>
        </w:tc>
        <w:tc>
          <w:tcPr>
            <w:tcW w:w="1111" w:type="dxa"/>
            <w:tcBorders>
              <w:top w:val="nil"/>
              <w:left w:val="nil"/>
              <w:bottom w:val="single" w:sz="12" w:space="0" w:color="auto"/>
              <w:right w:val="nil"/>
            </w:tcBorders>
            <w:shd w:val="clear" w:color="auto" w:fill="auto"/>
            <w:vAlign w:val="bottom"/>
          </w:tcPr>
          <w:p w:rsidR="00B57831" w:rsidRPr="00CD3A2D" w:rsidRDefault="00B57831" w:rsidP="00513229">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13.659 </w:t>
            </w:r>
          </w:p>
        </w:tc>
        <w:tc>
          <w:tcPr>
            <w:tcW w:w="1110" w:type="dxa"/>
            <w:gridSpan w:val="2"/>
            <w:tcBorders>
              <w:top w:val="nil"/>
              <w:left w:val="nil"/>
              <w:bottom w:val="single" w:sz="12" w:space="0" w:color="auto"/>
              <w:right w:val="nil"/>
            </w:tcBorders>
            <w:shd w:val="clear" w:color="auto" w:fill="auto"/>
            <w:vAlign w:val="bottom"/>
          </w:tcPr>
          <w:p w:rsidR="00B57831" w:rsidRPr="00CD3A2D" w:rsidRDefault="00B57831" w:rsidP="00513229">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3.380.296 </w:t>
            </w:r>
          </w:p>
        </w:tc>
        <w:tc>
          <w:tcPr>
            <w:tcW w:w="1111" w:type="dxa"/>
            <w:tcBorders>
              <w:top w:val="nil"/>
              <w:left w:val="nil"/>
              <w:bottom w:val="single" w:sz="12" w:space="0" w:color="auto"/>
              <w:right w:val="nil"/>
            </w:tcBorders>
            <w:shd w:val="clear" w:color="auto" w:fill="auto"/>
            <w:vAlign w:val="bottom"/>
          </w:tcPr>
          <w:p w:rsidR="00B57831" w:rsidRPr="00CD3A2D" w:rsidRDefault="00B57831" w:rsidP="00513229">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2.875.303 </w:t>
            </w:r>
          </w:p>
        </w:tc>
      </w:tr>
    </w:tbl>
    <w:p w:rsidR="00C17BDA" w:rsidRPr="001567C8" w:rsidRDefault="00C17BDA" w:rsidP="00C17BDA">
      <w:pPr>
        <w:pStyle w:val="T1"/>
        <w:spacing w:before="0" w:after="0" w:line="240" w:lineRule="auto"/>
        <w:rPr>
          <w:rFonts w:asciiTheme="minorHAnsi" w:hAnsiTheme="minorHAnsi" w:cs="Arial"/>
          <w:sz w:val="22"/>
          <w:szCs w:val="22"/>
          <w:lang w:val="hr-HR"/>
        </w:rPr>
        <w:sectPr w:rsidR="00C17BDA" w:rsidRPr="001567C8" w:rsidSect="0077198A">
          <w:pgSz w:w="11907" w:h="16840" w:code="9"/>
          <w:pgMar w:top="1418" w:right="1134" w:bottom="1134" w:left="1418" w:header="851" w:footer="851" w:gutter="0"/>
          <w:cols w:space="720"/>
          <w:noEndnote/>
        </w:sectPr>
      </w:pPr>
    </w:p>
    <w:p w:rsidR="00C17BDA" w:rsidRPr="001567C8" w:rsidRDefault="00C17BDA" w:rsidP="003C6BA3">
      <w:pPr>
        <w:pStyle w:val="T1"/>
        <w:spacing w:before="12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Pr="001567C8">
        <w:rPr>
          <w:rFonts w:asciiTheme="minorHAnsi" w:hAnsiTheme="minorHAnsi" w:cs="Arial"/>
          <w:sz w:val="22"/>
          <w:szCs w:val="22"/>
          <w:lang w:val="hr-HR"/>
        </w:rPr>
        <w:tab/>
        <w:t>Upravljanje rizicima (nastavak)</w:t>
      </w:r>
    </w:p>
    <w:p w:rsidR="00C17BDA" w:rsidRPr="001567C8" w:rsidRDefault="00C17BDA" w:rsidP="003C6BA3">
      <w:pPr>
        <w:pStyle w:val="T1"/>
        <w:spacing w:before="12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C17BDA" w:rsidRPr="001567C8" w:rsidRDefault="00C17BDA" w:rsidP="003C6BA3">
      <w:pPr>
        <w:pStyle w:val="T1"/>
        <w:tabs>
          <w:tab w:val="left" w:pos="284"/>
        </w:tabs>
        <w:spacing w:before="120" w:line="240" w:lineRule="auto"/>
        <w:rPr>
          <w:rFonts w:asciiTheme="minorHAnsi" w:hAnsiTheme="minorHAnsi" w:cs="Arial"/>
          <w:b w:val="0"/>
          <w:i/>
          <w:sz w:val="22"/>
          <w:szCs w:val="22"/>
          <w:lang w:val="hr-HR"/>
        </w:rPr>
      </w:pPr>
      <w:r w:rsidRPr="001567C8">
        <w:rPr>
          <w:rFonts w:asciiTheme="minorHAnsi" w:hAnsiTheme="minorHAnsi" w:cs="Arial"/>
          <w:b w:val="0"/>
          <w:i/>
          <w:sz w:val="22"/>
          <w:szCs w:val="22"/>
          <w:lang w:val="hr-HR"/>
        </w:rPr>
        <w:t>i.</w:t>
      </w:r>
      <w:r w:rsidRPr="001567C8">
        <w:rPr>
          <w:rFonts w:asciiTheme="minorHAnsi" w:hAnsiTheme="minorHAnsi" w:cs="Arial"/>
          <w:b w:val="0"/>
          <w:i/>
          <w:sz w:val="22"/>
          <w:szCs w:val="22"/>
          <w:lang w:val="hr-HR"/>
        </w:rPr>
        <w:tab/>
        <w:t>Promjene po rezerviranjima</w:t>
      </w:r>
      <w:r w:rsidR="00B66851">
        <w:rPr>
          <w:rFonts w:asciiTheme="minorHAnsi" w:hAnsiTheme="minorHAnsi" w:cs="Arial"/>
          <w:b w:val="0"/>
          <w:i/>
          <w:sz w:val="22"/>
          <w:szCs w:val="22"/>
          <w:lang w:val="hr-HR"/>
        </w:rPr>
        <w:t xml:space="preserve"> </w:t>
      </w:r>
      <w:r w:rsidR="00B66851" w:rsidRPr="001567C8">
        <w:rPr>
          <w:rFonts w:asciiTheme="minorHAnsi" w:hAnsiTheme="minorHAnsi" w:cs="Arial"/>
          <w:b w:val="0"/>
          <w:i/>
          <w:sz w:val="22"/>
          <w:szCs w:val="22"/>
          <w:lang w:val="hr-HR"/>
        </w:rPr>
        <w:t>(nastavak)</w:t>
      </w:r>
    </w:p>
    <w:p w:rsidR="00C17BDA" w:rsidRPr="001567C8" w:rsidRDefault="00C17BDA" w:rsidP="00C17BDA">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Financijska imovina po fer vrijednosti kroz ostalu sveobuhvatnu dobit</w:t>
      </w:r>
    </w:p>
    <w:p w:rsidR="00C17BDA" w:rsidRPr="001567C8" w:rsidRDefault="00C17BDA" w:rsidP="00C17BDA">
      <w:pPr>
        <w:pStyle w:val="T1"/>
        <w:spacing w:before="0" w:after="0" w:line="240" w:lineRule="auto"/>
        <w:rPr>
          <w:rFonts w:asciiTheme="minorHAnsi" w:hAnsiTheme="minorHAnsi" w:cs="Arial"/>
          <w:sz w:val="22"/>
          <w:szCs w:val="22"/>
          <w:lang w:val="hr-HR"/>
        </w:rPr>
      </w:pPr>
    </w:p>
    <w:tbl>
      <w:tblPr>
        <w:tblW w:w="10102" w:type="dxa"/>
        <w:tblInd w:w="-426" w:type="dxa"/>
        <w:tblLook w:val="04A0" w:firstRow="1" w:lastRow="0" w:firstColumn="1" w:lastColumn="0" w:noHBand="0" w:noVBand="1"/>
      </w:tblPr>
      <w:tblGrid>
        <w:gridCol w:w="3970"/>
        <w:gridCol w:w="1022"/>
        <w:gridCol w:w="1022"/>
        <w:gridCol w:w="1022"/>
        <w:gridCol w:w="1022"/>
        <w:gridCol w:w="1022"/>
        <w:gridCol w:w="1022"/>
      </w:tblGrid>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rPr>
                <w:rFonts w:ascii="Calibri" w:hAnsi="Calibri" w:cs="Calibri"/>
                <w:b/>
                <w:bCs/>
                <w:color w:val="FF0000"/>
                <w:sz w:val="19"/>
                <w:szCs w:val="19"/>
                <w:lang w:val="hr-HR"/>
              </w:rPr>
            </w:pPr>
            <w:r w:rsidRPr="00CD3A2D">
              <w:rPr>
                <w:rFonts w:ascii="Calibri" w:hAnsi="Calibri" w:cs="Calibri"/>
                <w:b/>
                <w:bCs/>
                <w:sz w:val="19"/>
                <w:szCs w:val="19"/>
                <w:lang w:val="hr-HR"/>
              </w:rPr>
              <w:t>Banka</w:t>
            </w:r>
          </w:p>
        </w:tc>
        <w:tc>
          <w:tcPr>
            <w:tcW w:w="5110" w:type="dxa"/>
            <w:gridSpan w:val="5"/>
            <w:tcBorders>
              <w:top w:val="nil"/>
              <w:left w:val="nil"/>
              <w:bottom w:val="nil"/>
              <w:right w:val="nil"/>
            </w:tcBorders>
            <w:shd w:val="clear" w:color="auto" w:fill="auto"/>
            <w:vAlign w:val="center"/>
            <w:hideMark/>
          </w:tcPr>
          <w:p w:rsidR="00C17BDA" w:rsidRPr="00CD3A2D" w:rsidRDefault="00C17BDA" w:rsidP="006303BA">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2018</w:t>
            </w:r>
            <w:r w:rsidR="00A37913" w:rsidRPr="00CD3A2D">
              <w:rPr>
                <w:rFonts w:ascii="Calibri" w:hAnsi="Calibri" w:cs="Calibri"/>
                <w:b/>
                <w:bCs/>
                <w:color w:val="000000"/>
                <w:sz w:val="19"/>
                <w:szCs w:val="19"/>
                <w:lang w:val="hr-HR"/>
              </w:rPr>
              <w:t>.</w:t>
            </w:r>
          </w:p>
        </w:tc>
        <w:tc>
          <w:tcPr>
            <w:tcW w:w="1022" w:type="dxa"/>
            <w:tcBorders>
              <w:top w:val="nil"/>
              <w:left w:val="nil"/>
              <w:bottom w:val="nil"/>
              <w:right w:val="nil"/>
            </w:tcBorders>
            <w:shd w:val="clear" w:color="auto" w:fill="auto"/>
            <w:vAlign w:val="center"/>
            <w:hideMark/>
          </w:tcPr>
          <w:p w:rsidR="00C17BDA" w:rsidRPr="00CD3A2D" w:rsidRDefault="00C17BDA" w:rsidP="004F0C6A">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2017</w:t>
            </w:r>
            <w:r w:rsidR="00A37913" w:rsidRPr="00CD3A2D">
              <w:rPr>
                <w:rFonts w:ascii="Calibri" w:hAnsi="Calibri" w:cs="Calibri"/>
                <w:b/>
                <w:bCs/>
                <w:color w:val="000000"/>
                <w:sz w:val="19"/>
                <w:szCs w:val="19"/>
                <w:lang w:val="hr-HR"/>
              </w:rPr>
              <w:t>.</w:t>
            </w:r>
          </w:p>
        </w:tc>
      </w:tr>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POCI</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6B1659" w:rsidRPr="001567C8" w:rsidTr="006303BA">
        <w:trPr>
          <w:trHeight w:val="163"/>
        </w:trPr>
        <w:tc>
          <w:tcPr>
            <w:tcW w:w="3970"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C17BDA" w:rsidRPr="001567C8" w:rsidTr="006303BA">
        <w:trPr>
          <w:trHeight w:val="163"/>
        </w:trPr>
        <w:tc>
          <w:tcPr>
            <w:tcW w:w="3970"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r>
      <w:tr w:rsidR="00A37913" w:rsidRPr="001567C8" w:rsidTr="004F0C6A">
        <w:trPr>
          <w:trHeight w:val="163"/>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Stanje 1. siječnja 2018. godine</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3.546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451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3.997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1</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2</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3</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(1.739)</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1.739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203"/>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Povećanje rezerviranja za očekivane gubitke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4.032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1.293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5.325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234"/>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Smanjenje rezerviranja za očekivane gubitke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(2.844)</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(2.844)</w:t>
            </w:r>
          </w:p>
        </w:tc>
        <w:tc>
          <w:tcPr>
            <w:tcW w:w="1022" w:type="dxa"/>
            <w:tcBorders>
              <w:top w:val="nil"/>
              <w:left w:val="nil"/>
              <w:bottom w:val="nil"/>
              <w:right w:val="nil"/>
            </w:tcBorders>
            <w:shd w:val="clear" w:color="auto" w:fill="auto"/>
            <w:vAlign w:val="center"/>
          </w:tcPr>
          <w:p w:rsidR="00A37913" w:rsidRPr="00CD3A2D" w:rsidRDefault="00A37913" w:rsidP="004C32E7">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3C6BA3">
        <w:trPr>
          <w:trHeight w:val="171"/>
        </w:trPr>
        <w:tc>
          <w:tcPr>
            <w:tcW w:w="3970" w:type="dxa"/>
            <w:tcBorders>
              <w:top w:val="nil"/>
              <w:left w:val="nil"/>
              <w:bottom w:val="nil"/>
              <w:right w:val="nil"/>
            </w:tcBorders>
            <w:shd w:val="clear" w:color="auto" w:fill="auto"/>
            <w:vAlign w:val="center"/>
            <w:hideMark/>
          </w:tcPr>
          <w:p w:rsidR="00A37913" w:rsidRPr="00CD3A2D" w:rsidRDefault="009E6DEC" w:rsidP="00A37913">
            <w:pPr>
              <w:rPr>
                <w:rFonts w:ascii="Calibri" w:hAnsi="Calibri" w:cs="Calibri"/>
                <w:color w:val="000000"/>
                <w:sz w:val="19"/>
                <w:szCs w:val="19"/>
                <w:lang w:val="hr-HR"/>
              </w:rPr>
            </w:pPr>
            <w:r w:rsidRPr="00CD3A2D">
              <w:rPr>
                <w:rFonts w:ascii="Calibri" w:hAnsi="Calibri" w:cs="Calibri"/>
                <w:color w:val="000000"/>
                <w:sz w:val="20"/>
                <w:szCs w:val="20"/>
                <w:lang w:val="hr-HR"/>
              </w:rPr>
              <w:t xml:space="preserve">Neto gubitak </w:t>
            </w:r>
            <w:r w:rsidR="00EE2576" w:rsidRPr="00CD3A2D">
              <w:rPr>
                <w:rFonts w:ascii="Calibri" w:hAnsi="Calibri" w:cs="Calibri"/>
                <w:color w:val="000000"/>
                <w:sz w:val="20"/>
                <w:szCs w:val="20"/>
                <w:lang w:val="hr-HR"/>
              </w:rPr>
              <w:t>od tečajnih razlika po rezerviranjima za očekivane gubitke</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(14)</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(19)</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171"/>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Stanje 31. prosinca 2018. godine </w:t>
            </w:r>
          </w:p>
        </w:tc>
        <w:tc>
          <w:tcPr>
            <w:tcW w:w="1022" w:type="dxa"/>
            <w:tcBorders>
              <w:top w:val="nil"/>
              <w:left w:val="nil"/>
              <w:bottom w:val="single" w:sz="12" w:space="0" w:color="auto"/>
              <w:right w:val="nil"/>
            </w:tcBorders>
            <w:shd w:val="clear" w:color="auto" w:fill="auto"/>
            <w:vAlign w:val="center"/>
          </w:tcPr>
          <w:p w:rsidR="00A37913" w:rsidRPr="00CD3A2D" w:rsidRDefault="00A37913" w:rsidP="004C32E7">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4.720 </w:t>
            </w:r>
          </w:p>
        </w:tc>
        <w:tc>
          <w:tcPr>
            <w:tcW w:w="1022" w:type="dxa"/>
            <w:tcBorders>
              <w:top w:val="nil"/>
              <w:left w:val="nil"/>
              <w:bottom w:val="single" w:sz="12" w:space="0" w:color="auto"/>
              <w:right w:val="nil"/>
            </w:tcBorders>
            <w:shd w:val="clear" w:color="auto" w:fill="auto"/>
            <w:vAlign w:val="center"/>
          </w:tcPr>
          <w:p w:rsidR="00A37913" w:rsidRPr="00CD3A2D" w:rsidRDefault="00A37913" w:rsidP="004C32E7">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(1.288)</w:t>
            </w:r>
          </w:p>
        </w:tc>
        <w:tc>
          <w:tcPr>
            <w:tcW w:w="1022" w:type="dxa"/>
            <w:tcBorders>
              <w:top w:val="nil"/>
              <w:left w:val="nil"/>
              <w:bottom w:val="single" w:sz="12" w:space="0" w:color="auto"/>
              <w:right w:val="nil"/>
            </w:tcBorders>
            <w:shd w:val="clear" w:color="auto" w:fill="auto"/>
            <w:vAlign w:val="center"/>
          </w:tcPr>
          <w:p w:rsidR="00A37913" w:rsidRPr="00CD3A2D" w:rsidRDefault="00A37913" w:rsidP="004C32E7">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3.027 </w:t>
            </w:r>
          </w:p>
        </w:tc>
        <w:tc>
          <w:tcPr>
            <w:tcW w:w="1022" w:type="dxa"/>
            <w:tcBorders>
              <w:top w:val="nil"/>
              <w:left w:val="nil"/>
              <w:bottom w:val="single" w:sz="12" w:space="0" w:color="auto"/>
              <w:right w:val="nil"/>
            </w:tcBorders>
            <w:shd w:val="clear" w:color="auto" w:fill="auto"/>
            <w:vAlign w:val="center"/>
          </w:tcPr>
          <w:p w:rsidR="00A37913" w:rsidRPr="00CD3A2D" w:rsidRDefault="00A37913" w:rsidP="004C32E7">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 </w:t>
            </w:r>
          </w:p>
        </w:tc>
        <w:tc>
          <w:tcPr>
            <w:tcW w:w="1022" w:type="dxa"/>
            <w:tcBorders>
              <w:top w:val="nil"/>
              <w:left w:val="nil"/>
              <w:bottom w:val="single" w:sz="12" w:space="0" w:color="auto"/>
              <w:right w:val="nil"/>
            </w:tcBorders>
            <w:shd w:val="clear" w:color="auto" w:fill="auto"/>
            <w:vAlign w:val="center"/>
          </w:tcPr>
          <w:p w:rsidR="00A37913" w:rsidRPr="00CD3A2D" w:rsidRDefault="00A37913" w:rsidP="004C32E7">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6.459 </w:t>
            </w:r>
          </w:p>
        </w:tc>
        <w:tc>
          <w:tcPr>
            <w:tcW w:w="1022" w:type="dxa"/>
            <w:tcBorders>
              <w:top w:val="nil"/>
              <w:left w:val="nil"/>
              <w:bottom w:val="single" w:sz="12" w:space="0" w:color="auto"/>
              <w:right w:val="nil"/>
            </w:tcBorders>
            <w:shd w:val="clear" w:color="auto" w:fill="auto"/>
            <w:vAlign w:val="center"/>
          </w:tcPr>
          <w:p w:rsidR="00A37913" w:rsidRPr="00CD3A2D" w:rsidRDefault="00A37913" w:rsidP="004C32E7">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 </w:t>
            </w:r>
          </w:p>
        </w:tc>
      </w:tr>
    </w:tbl>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CD3A2D" w:rsidRDefault="00C17BDA" w:rsidP="00C17BDA">
      <w:pPr>
        <w:jc w:val="both"/>
        <w:rPr>
          <w:rFonts w:ascii="Calibri" w:hAnsi="Calibri" w:cs="Calibri"/>
          <w:b/>
          <w:bCs/>
          <w:color w:val="000000"/>
          <w:sz w:val="22"/>
          <w:szCs w:val="22"/>
          <w:lang w:val="hr-HR"/>
        </w:rPr>
      </w:pPr>
      <w:r w:rsidRPr="00CD3A2D">
        <w:rPr>
          <w:rFonts w:ascii="Calibri" w:hAnsi="Calibri" w:cs="Calibri"/>
          <w:b/>
          <w:bCs/>
          <w:color w:val="000000"/>
          <w:sz w:val="22"/>
          <w:szCs w:val="22"/>
          <w:lang w:val="hr-HR"/>
        </w:rPr>
        <w:t xml:space="preserve">Ostala imovina </w:t>
      </w:r>
    </w:p>
    <w:p w:rsidR="00C17BDA" w:rsidRPr="001567C8" w:rsidRDefault="00C17BDA" w:rsidP="00C17BDA">
      <w:pPr>
        <w:pStyle w:val="T1"/>
        <w:spacing w:before="0" w:after="0" w:line="240" w:lineRule="auto"/>
        <w:rPr>
          <w:rFonts w:asciiTheme="minorHAnsi" w:hAnsiTheme="minorHAnsi" w:cs="Arial"/>
          <w:sz w:val="22"/>
          <w:szCs w:val="22"/>
          <w:lang w:val="hr-HR"/>
        </w:rPr>
      </w:pPr>
    </w:p>
    <w:tbl>
      <w:tblPr>
        <w:tblW w:w="10102" w:type="dxa"/>
        <w:tblInd w:w="-426" w:type="dxa"/>
        <w:tblLook w:val="04A0" w:firstRow="1" w:lastRow="0" w:firstColumn="1" w:lastColumn="0" w:noHBand="0" w:noVBand="1"/>
      </w:tblPr>
      <w:tblGrid>
        <w:gridCol w:w="3970"/>
        <w:gridCol w:w="1022"/>
        <w:gridCol w:w="1022"/>
        <w:gridCol w:w="1022"/>
        <w:gridCol w:w="1022"/>
        <w:gridCol w:w="1022"/>
        <w:gridCol w:w="1022"/>
      </w:tblGrid>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rPr>
                <w:rFonts w:ascii="Calibri" w:hAnsi="Calibri" w:cs="Calibri"/>
                <w:b/>
                <w:bCs/>
                <w:color w:val="FF0000"/>
                <w:sz w:val="19"/>
                <w:szCs w:val="19"/>
                <w:lang w:val="hr-HR"/>
              </w:rPr>
            </w:pPr>
            <w:r w:rsidRPr="00CD3A2D">
              <w:rPr>
                <w:rFonts w:ascii="Calibri" w:hAnsi="Calibri" w:cs="Calibri"/>
                <w:b/>
                <w:bCs/>
                <w:sz w:val="19"/>
                <w:szCs w:val="19"/>
                <w:lang w:val="hr-HR"/>
              </w:rPr>
              <w:t>Banka</w:t>
            </w:r>
          </w:p>
        </w:tc>
        <w:tc>
          <w:tcPr>
            <w:tcW w:w="5110" w:type="dxa"/>
            <w:gridSpan w:val="5"/>
            <w:tcBorders>
              <w:top w:val="nil"/>
              <w:left w:val="nil"/>
              <w:bottom w:val="nil"/>
              <w:right w:val="nil"/>
            </w:tcBorders>
            <w:shd w:val="clear" w:color="auto" w:fill="auto"/>
            <w:vAlign w:val="center"/>
            <w:hideMark/>
          </w:tcPr>
          <w:p w:rsidR="00C17BDA" w:rsidRPr="00CD3A2D" w:rsidRDefault="00C17BDA" w:rsidP="006303BA">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2018</w:t>
            </w:r>
            <w:r w:rsidR="00A37913" w:rsidRPr="00CD3A2D">
              <w:rPr>
                <w:rFonts w:ascii="Calibri" w:hAnsi="Calibri" w:cs="Calibri"/>
                <w:b/>
                <w:bCs/>
                <w:color w:val="000000"/>
                <w:sz w:val="19"/>
                <w:szCs w:val="19"/>
                <w:lang w:val="hr-HR"/>
              </w:rPr>
              <w:t>.</w:t>
            </w:r>
          </w:p>
        </w:tc>
        <w:tc>
          <w:tcPr>
            <w:tcW w:w="1022" w:type="dxa"/>
            <w:tcBorders>
              <w:top w:val="nil"/>
              <w:left w:val="nil"/>
              <w:bottom w:val="nil"/>
              <w:right w:val="nil"/>
            </w:tcBorders>
            <w:shd w:val="clear" w:color="auto" w:fill="auto"/>
            <w:vAlign w:val="center"/>
            <w:hideMark/>
          </w:tcPr>
          <w:p w:rsidR="00C17BDA" w:rsidRPr="00CD3A2D" w:rsidRDefault="00C17BDA" w:rsidP="004F0C6A">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2017</w:t>
            </w:r>
            <w:r w:rsidR="00A37913" w:rsidRPr="00CD3A2D">
              <w:rPr>
                <w:rFonts w:ascii="Calibri" w:hAnsi="Calibri" w:cs="Calibri"/>
                <w:b/>
                <w:bCs/>
                <w:color w:val="000000"/>
                <w:sz w:val="19"/>
                <w:szCs w:val="19"/>
                <w:lang w:val="hr-HR"/>
              </w:rPr>
              <w:t>.</w:t>
            </w:r>
          </w:p>
        </w:tc>
      </w:tr>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POCI</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6B1659" w:rsidRPr="001567C8" w:rsidTr="006303BA">
        <w:trPr>
          <w:trHeight w:val="163"/>
        </w:trPr>
        <w:tc>
          <w:tcPr>
            <w:tcW w:w="3970"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C17BDA" w:rsidRPr="001567C8" w:rsidTr="006303BA">
        <w:trPr>
          <w:trHeight w:val="163"/>
        </w:trPr>
        <w:tc>
          <w:tcPr>
            <w:tcW w:w="3970"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r>
      <w:tr w:rsidR="00A37913" w:rsidRPr="001567C8" w:rsidTr="004F0C6A">
        <w:trPr>
          <w:trHeight w:val="163"/>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Stanje 1. siječnja 2018. godine</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13.079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13.087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4.537 </w:t>
            </w:r>
          </w:p>
        </w:tc>
      </w:tr>
      <w:tr w:rsidR="00A37913" w:rsidRPr="001567C8" w:rsidTr="004F0C6A">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1</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2</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3</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18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203"/>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Povećanje rezerviranja za očekivane gubitke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196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26.958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27.157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2.399 </w:t>
            </w:r>
          </w:p>
        </w:tc>
      </w:tr>
      <w:tr w:rsidR="00A37913" w:rsidRPr="001567C8" w:rsidTr="004F0C6A">
        <w:trPr>
          <w:trHeight w:val="234"/>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Smanjenje rezerviranja za očekivane gubitke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(174)</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(5)</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(6.163)</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(6.343)</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(489)</w:t>
            </w:r>
          </w:p>
        </w:tc>
      </w:tr>
      <w:tr w:rsidR="00A37913" w:rsidRPr="001567C8" w:rsidTr="004F0C6A">
        <w:trPr>
          <w:trHeight w:val="234"/>
        </w:trPr>
        <w:tc>
          <w:tcPr>
            <w:tcW w:w="3970" w:type="dxa"/>
            <w:tcBorders>
              <w:top w:val="nil"/>
              <w:left w:val="nil"/>
              <w:bottom w:val="nil"/>
              <w:right w:val="nil"/>
            </w:tcBorders>
            <w:shd w:val="clear" w:color="auto" w:fill="auto"/>
          </w:tcPr>
          <w:p w:rsidR="00A37913" w:rsidRPr="00CD3A2D" w:rsidRDefault="00A37913" w:rsidP="00A37913">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Otpis</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(10)</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(10)</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w:t>
            </w:r>
          </w:p>
        </w:tc>
      </w:tr>
      <w:tr w:rsidR="00A37913" w:rsidRPr="001567C8" w:rsidTr="004F0C6A">
        <w:trPr>
          <w:trHeight w:val="234"/>
        </w:trPr>
        <w:tc>
          <w:tcPr>
            <w:tcW w:w="3970" w:type="dxa"/>
            <w:tcBorders>
              <w:top w:val="nil"/>
              <w:left w:val="nil"/>
              <w:bottom w:val="nil"/>
              <w:right w:val="nil"/>
            </w:tcBorders>
            <w:shd w:val="clear" w:color="auto" w:fill="auto"/>
          </w:tcPr>
          <w:p w:rsidR="00A37913" w:rsidRPr="00CD3A2D" w:rsidRDefault="00083234" w:rsidP="00A37913">
            <w:pPr>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Preuzimanje nekretnina</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(14)</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(14)</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3C6BA3">
        <w:trPr>
          <w:trHeight w:val="171"/>
        </w:trPr>
        <w:tc>
          <w:tcPr>
            <w:tcW w:w="3970" w:type="dxa"/>
            <w:tcBorders>
              <w:top w:val="nil"/>
              <w:left w:val="nil"/>
              <w:bottom w:val="nil"/>
              <w:right w:val="nil"/>
            </w:tcBorders>
            <w:shd w:val="clear" w:color="auto" w:fill="auto"/>
            <w:vAlign w:val="center"/>
            <w:hideMark/>
          </w:tcPr>
          <w:p w:rsidR="00A37913" w:rsidRPr="00CD3A2D" w:rsidRDefault="009E6DEC" w:rsidP="00A37913">
            <w:pPr>
              <w:rPr>
                <w:rFonts w:ascii="Calibri" w:hAnsi="Calibri" w:cs="Calibri"/>
                <w:color w:val="000000"/>
                <w:sz w:val="19"/>
                <w:szCs w:val="19"/>
                <w:lang w:val="hr-HR"/>
              </w:rPr>
            </w:pPr>
            <w:r w:rsidRPr="00CD3A2D">
              <w:rPr>
                <w:rFonts w:ascii="Calibri" w:hAnsi="Calibri" w:cs="Calibri"/>
                <w:color w:val="000000"/>
                <w:sz w:val="20"/>
                <w:szCs w:val="20"/>
                <w:lang w:val="hr-HR"/>
              </w:rPr>
              <w:t>Neto dobit</w:t>
            </w:r>
            <w:r w:rsidR="00EE2576" w:rsidRPr="00CD3A2D">
              <w:rPr>
                <w:rFonts w:ascii="Calibri" w:hAnsi="Calibri" w:cs="Calibri"/>
                <w:color w:val="000000"/>
                <w:sz w:val="20"/>
                <w:szCs w:val="20"/>
                <w:lang w:val="hr-HR"/>
              </w:rPr>
              <w:t xml:space="preserve"> od tečajnih razlika po rezerviranjima za očekivane gubitke</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4F0C6A">
        <w:trPr>
          <w:trHeight w:val="171"/>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Stanje 31. prosinca 2018. godine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25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(8)</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33.866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33.883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6.446 </w:t>
            </w:r>
          </w:p>
        </w:tc>
      </w:tr>
    </w:tbl>
    <w:p w:rsidR="00C17BDA" w:rsidRPr="001567C8" w:rsidRDefault="00C17BDA" w:rsidP="00C17BDA">
      <w:pPr>
        <w:pStyle w:val="T1"/>
        <w:spacing w:before="0" w:after="0" w:line="240" w:lineRule="auto"/>
        <w:rPr>
          <w:rFonts w:asciiTheme="minorHAnsi" w:hAnsiTheme="minorHAnsi" w:cs="Arial"/>
          <w:sz w:val="22"/>
          <w:szCs w:val="22"/>
          <w:lang w:val="hr-HR"/>
        </w:rPr>
      </w:pPr>
    </w:p>
    <w:p w:rsidR="00C17BDA" w:rsidRPr="00CD3A2D" w:rsidRDefault="00C17BDA" w:rsidP="00C17BDA">
      <w:pPr>
        <w:jc w:val="both"/>
        <w:rPr>
          <w:rFonts w:ascii="Calibri" w:hAnsi="Calibri" w:cs="Calibri"/>
          <w:b/>
          <w:bCs/>
          <w:color w:val="000000"/>
          <w:sz w:val="22"/>
          <w:szCs w:val="22"/>
          <w:lang w:val="hr-HR"/>
        </w:rPr>
      </w:pPr>
      <w:r w:rsidRPr="00CD3A2D">
        <w:rPr>
          <w:rFonts w:ascii="Calibri" w:hAnsi="Calibri" w:cs="Calibri"/>
          <w:b/>
          <w:bCs/>
          <w:color w:val="000000"/>
          <w:sz w:val="22"/>
          <w:szCs w:val="22"/>
          <w:lang w:val="hr-HR"/>
        </w:rPr>
        <w:t>Garancije i preuzete obveze</w:t>
      </w:r>
    </w:p>
    <w:p w:rsidR="00C17BDA" w:rsidRPr="001567C8" w:rsidRDefault="00C17BDA" w:rsidP="00C17BDA">
      <w:pPr>
        <w:pStyle w:val="T1"/>
        <w:spacing w:before="0" w:after="0" w:line="240" w:lineRule="auto"/>
        <w:rPr>
          <w:rFonts w:asciiTheme="minorHAnsi" w:hAnsiTheme="minorHAnsi" w:cs="Arial"/>
          <w:sz w:val="22"/>
          <w:szCs w:val="22"/>
          <w:lang w:val="hr-HR"/>
        </w:rPr>
      </w:pPr>
    </w:p>
    <w:tbl>
      <w:tblPr>
        <w:tblW w:w="10102" w:type="dxa"/>
        <w:tblInd w:w="-426" w:type="dxa"/>
        <w:tblLook w:val="04A0" w:firstRow="1" w:lastRow="0" w:firstColumn="1" w:lastColumn="0" w:noHBand="0" w:noVBand="1"/>
      </w:tblPr>
      <w:tblGrid>
        <w:gridCol w:w="3970"/>
        <w:gridCol w:w="1022"/>
        <w:gridCol w:w="1022"/>
        <w:gridCol w:w="1022"/>
        <w:gridCol w:w="1022"/>
        <w:gridCol w:w="1022"/>
        <w:gridCol w:w="1022"/>
      </w:tblGrid>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rPr>
                <w:rFonts w:ascii="Calibri" w:hAnsi="Calibri" w:cs="Calibri"/>
                <w:b/>
                <w:bCs/>
                <w:color w:val="FF0000"/>
                <w:sz w:val="19"/>
                <w:szCs w:val="19"/>
                <w:lang w:val="hr-HR"/>
              </w:rPr>
            </w:pPr>
            <w:r w:rsidRPr="00CD3A2D">
              <w:rPr>
                <w:rFonts w:ascii="Calibri" w:hAnsi="Calibri" w:cs="Calibri"/>
                <w:b/>
                <w:bCs/>
                <w:sz w:val="19"/>
                <w:szCs w:val="19"/>
                <w:lang w:val="hr-HR"/>
              </w:rPr>
              <w:t>Banka</w:t>
            </w:r>
          </w:p>
        </w:tc>
        <w:tc>
          <w:tcPr>
            <w:tcW w:w="5110" w:type="dxa"/>
            <w:gridSpan w:val="5"/>
            <w:tcBorders>
              <w:top w:val="nil"/>
              <w:left w:val="nil"/>
              <w:bottom w:val="nil"/>
              <w:right w:val="nil"/>
            </w:tcBorders>
            <w:shd w:val="clear" w:color="auto" w:fill="auto"/>
            <w:vAlign w:val="center"/>
            <w:hideMark/>
          </w:tcPr>
          <w:p w:rsidR="00C17BDA" w:rsidRPr="00CD3A2D" w:rsidRDefault="00C17BDA" w:rsidP="006303BA">
            <w:pPr>
              <w:jc w:val="center"/>
              <w:rPr>
                <w:rFonts w:ascii="Calibri" w:hAnsi="Calibri" w:cs="Calibri"/>
                <w:b/>
                <w:bCs/>
                <w:color w:val="000000"/>
                <w:sz w:val="19"/>
                <w:szCs w:val="19"/>
                <w:lang w:val="hr-HR"/>
              </w:rPr>
            </w:pPr>
            <w:r w:rsidRPr="00CD3A2D">
              <w:rPr>
                <w:rFonts w:ascii="Calibri" w:hAnsi="Calibri" w:cs="Calibri"/>
                <w:b/>
                <w:bCs/>
                <w:color w:val="000000"/>
                <w:sz w:val="19"/>
                <w:szCs w:val="19"/>
                <w:lang w:val="hr-HR"/>
              </w:rPr>
              <w:t>2018</w:t>
            </w:r>
            <w:r w:rsidR="00D64A2E">
              <w:rPr>
                <w:rFonts w:ascii="Calibri" w:hAnsi="Calibri" w:cs="Calibri"/>
                <w:b/>
                <w:bCs/>
                <w:color w:val="000000"/>
                <w:sz w:val="19"/>
                <w:szCs w:val="19"/>
                <w:lang w:val="hr-HR"/>
              </w:rPr>
              <w:t>.</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2017</w:t>
            </w:r>
            <w:r w:rsidR="00D64A2E">
              <w:rPr>
                <w:rFonts w:ascii="Calibri" w:hAnsi="Calibri" w:cs="Calibri"/>
                <w:b/>
                <w:bCs/>
                <w:color w:val="000000"/>
                <w:sz w:val="19"/>
                <w:szCs w:val="19"/>
                <w:lang w:val="hr-HR"/>
              </w:rPr>
              <w:t>.</w:t>
            </w:r>
          </w:p>
        </w:tc>
      </w:tr>
      <w:tr w:rsidR="00C17BDA" w:rsidRPr="001567C8" w:rsidTr="006303BA">
        <w:trPr>
          <w:trHeight w:val="163"/>
        </w:trPr>
        <w:tc>
          <w:tcPr>
            <w:tcW w:w="3970"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1</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2</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Stupanj 3</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POCI</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c>
          <w:tcPr>
            <w:tcW w:w="1022" w:type="dxa"/>
            <w:tcBorders>
              <w:top w:val="nil"/>
              <w:left w:val="nil"/>
              <w:bottom w:val="nil"/>
              <w:right w:val="nil"/>
            </w:tcBorders>
            <w:shd w:val="clear" w:color="auto" w:fill="auto"/>
            <w:vAlign w:val="center"/>
            <w:hideMark/>
          </w:tcPr>
          <w:p w:rsidR="00C17BDA" w:rsidRPr="00CD3A2D" w:rsidRDefault="00C17BDA" w:rsidP="006303BA">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Ukupno</w:t>
            </w:r>
          </w:p>
        </w:tc>
      </w:tr>
      <w:tr w:rsidR="006B1659" w:rsidRPr="001567C8" w:rsidTr="006303BA">
        <w:trPr>
          <w:trHeight w:val="163"/>
        </w:trPr>
        <w:tc>
          <w:tcPr>
            <w:tcW w:w="3970"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c>
          <w:tcPr>
            <w:tcW w:w="1022" w:type="dxa"/>
            <w:tcBorders>
              <w:top w:val="nil"/>
              <w:left w:val="nil"/>
              <w:bottom w:val="nil"/>
              <w:right w:val="nil"/>
            </w:tcBorders>
            <w:shd w:val="clear" w:color="auto" w:fill="auto"/>
            <w:vAlign w:val="center"/>
            <w:hideMark/>
          </w:tcPr>
          <w:p w:rsidR="006B1659" w:rsidRPr="00CD3A2D" w:rsidRDefault="006B1659" w:rsidP="006B1659">
            <w:pPr>
              <w:jc w:val="right"/>
              <w:rPr>
                <w:rFonts w:ascii="Calibri" w:hAnsi="Calibri" w:cs="Calibri"/>
                <w:b/>
                <w:bCs/>
                <w:color w:val="000000"/>
                <w:sz w:val="19"/>
                <w:szCs w:val="19"/>
                <w:lang w:val="hr-HR"/>
              </w:rPr>
            </w:pPr>
            <w:r w:rsidRPr="00CD3A2D">
              <w:rPr>
                <w:rFonts w:ascii="Calibri" w:hAnsi="Calibri" w:cs="Calibri"/>
                <w:b/>
                <w:bCs/>
                <w:color w:val="000000"/>
                <w:sz w:val="19"/>
                <w:szCs w:val="19"/>
                <w:lang w:val="hr-HR"/>
              </w:rPr>
              <w:t>000 kuna</w:t>
            </w:r>
          </w:p>
        </w:tc>
      </w:tr>
      <w:tr w:rsidR="00C17BDA" w:rsidRPr="001567C8" w:rsidTr="006303BA">
        <w:trPr>
          <w:trHeight w:val="163"/>
        </w:trPr>
        <w:tc>
          <w:tcPr>
            <w:tcW w:w="3970"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c>
          <w:tcPr>
            <w:tcW w:w="1022" w:type="dxa"/>
            <w:tcBorders>
              <w:top w:val="nil"/>
              <w:left w:val="nil"/>
              <w:bottom w:val="nil"/>
              <w:right w:val="nil"/>
            </w:tcBorders>
            <w:shd w:val="clear" w:color="auto" w:fill="auto"/>
            <w:vAlign w:val="center"/>
          </w:tcPr>
          <w:p w:rsidR="00C17BDA" w:rsidRPr="00CD3A2D" w:rsidRDefault="00C17BDA" w:rsidP="006303BA">
            <w:pPr>
              <w:jc w:val="right"/>
              <w:rPr>
                <w:rFonts w:ascii="Calibri" w:hAnsi="Calibri" w:cs="Calibri"/>
                <w:b/>
                <w:bCs/>
                <w:color w:val="000000"/>
                <w:sz w:val="19"/>
                <w:szCs w:val="19"/>
                <w:lang w:val="hr-HR"/>
              </w:rPr>
            </w:pPr>
          </w:p>
        </w:tc>
      </w:tr>
      <w:tr w:rsidR="00A37913" w:rsidRPr="001567C8" w:rsidTr="003C6BA3">
        <w:trPr>
          <w:trHeight w:val="163"/>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Stanje 1. siječnja 2018. godine</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20.203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749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28.395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49.347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75.103 </w:t>
            </w:r>
          </w:p>
        </w:tc>
      </w:tr>
      <w:tr w:rsidR="00A37913" w:rsidRPr="001567C8" w:rsidTr="003C6BA3">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1</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3C6BA3">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2</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(65.094)</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65.094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3C6BA3">
        <w:trPr>
          <w:trHeight w:val="163"/>
        </w:trPr>
        <w:tc>
          <w:tcPr>
            <w:tcW w:w="3970" w:type="dxa"/>
            <w:tcBorders>
              <w:top w:val="nil"/>
              <w:left w:val="nil"/>
              <w:bottom w:val="nil"/>
              <w:right w:val="nil"/>
            </w:tcBorders>
            <w:shd w:val="clear" w:color="auto" w:fill="auto"/>
            <w:vAlign w:val="center"/>
            <w:hideMark/>
          </w:tcPr>
          <w:p w:rsidR="00A37913" w:rsidRPr="00CD3A2D" w:rsidRDefault="008A260B" w:rsidP="00A37913">
            <w:pPr>
              <w:rPr>
                <w:rFonts w:ascii="Calibri" w:hAnsi="Calibri" w:cs="Calibri"/>
                <w:color w:val="000000"/>
                <w:sz w:val="19"/>
                <w:szCs w:val="19"/>
                <w:lang w:val="hr-HR"/>
              </w:rPr>
            </w:pPr>
            <w:r w:rsidRPr="00CD3A2D">
              <w:rPr>
                <w:rFonts w:ascii="Calibri" w:hAnsi="Calibri" w:cs="Calibri"/>
                <w:color w:val="000000"/>
                <w:sz w:val="19"/>
                <w:szCs w:val="19"/>
                <w:lang w:val="hr-HR"/>
              </w:rPr>
              <w:t>Prijenos</w:t>
            </w:r>
            <w:r w:rsidR="00A37913" w:rsidRPr="00CD3A2D">
              <w:rPr>
                <w:rFonts w:ascii="Calibri" w:hAnsi="Calibri" w:cs="Calibri"/>
                <w:color w:val="000000"/>
                <w:sz w:val="19"/>
                <w:szCs w:val="19"/>
                <w:lang w:val="hr-HR"/>
              </w:rPr>
              <w:t xml:space="preserve"> u Stupanj 3</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 </w:t>
            </w:r>
          </w:p>
        </w:tc>
      </w:tr>
      <w:tr w:rsidR="00A37913" w:rsidRPr="001567C8" w:rsidTr="003C6BA3">
        <w:trPr>
          <w:trHeight w:val="203"/>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Povećanje rezerviranja za očekivane gubitke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69.535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83.274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170.322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20.173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343.304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11.523 </w:t>
            </w:r>
          </w:p>
        </w:tc>
      </w:tr>
      <w:tr w:rsidR="00A37913" w:rsidRPr="001567C8" w:rsidTr="003C6BA3">
        <w:trPr>
          <w:trHeight w:val="234"/>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Smanjenje rezerviranja za očekivane gubitke </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(79.902)</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(19.787)</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(24.364)</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(9.140)</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(133.193)</w:t>
            </w:r>
          </w:p>
        </w:tc>
        <w:tc>
          <w:tcPr>
            <w:tcW w:w="1022" w:type="dxa"/>
            <w:tcBorders>
              <w:top w:val="nil"/>
              <w:left w:val="nil"/>
              <w:bottom w:val="nil"/>
              <w:right w:val="nil"/>
            </w:tcBorders>
            <w:shd w:val="clear" w:color="auto" w:fill="auto"/>
          </w:tcPr>
          <w:p w:rsidR="00A37913" w:rsidRPr="00CD3A2D" w:rsidRDefault="00A37913" w:rsidP="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(21.878)</w:t>
            </w:r>
          </w:p>
        </w:tc>
      </w:tr>
      <w:tr w:rsidR="00A37913" w:rsidRPr="001567C8" w:rsidTr="003C6BA3">
        <w:trPr>
          <w:trHeight w:val="171"/>
        </w:trPr>
        <w:tc>
          <w:tcPr>
            <w:tcW w:w="3970" w:type="dxa"/>
            <w:tcBorders>
              <w:top w:val="nil"/>
              <w:left w:val="nil"/>
              <w:bottom w:val="nil"/>
              <w:right w:val="nil"/>
            </w:tcBorders>
            <w:shd w:val="clear" w:color="auto" w:fill="auto"/>
            <w:vAlign w:val="center"/>
            <w:hideMark/>
          </w:tcPr>
          <w:p w:rsidR="00A37913" w:rsidRPr="00CD3A2D" w:rsidRDefault="008E59CB" w:rsidP="00A37913">
            <w:pPr>
              <w:rPr>
                <w:rFonts w:ascii="Calibri" w:hAnsi="Calibri" w:cs="Calibri"/>
                <w:color w:val="000000"/>
                <w:sz w:val="19"/>
                <w:szCs w:val="19"/>
                <w:lang w:val="hr-HR"/>
              </w:rPr>
            </w:pPr>
            <w:r w:rsidRPr="00CD3A2D">
              <w:rPr>
                <w:rFonts w:ascii="Calibri" w:hAnsi="Calibri" w:cs="Calibri"/>
                <w:color w:val="000000"/>
                <w:sz w:val="19"/>
                <w:szCs w:val="19"/>
                <w:lang w:val="hr-HR"/>
              </w:rPr>
              <w:t xml:space="preserve">Neto </w:t>
            </w:r>
            <w:r w:rsidR="00EE2576" w:rsidRPr="00CD3A2D">
              <w:rPr>
                <w:rFonts w:ascii="Calibri" w:hAnsi="Calibri" w:cs="Calibri"/>
                <w:color w:val="000000"/>
                <w:sz w:val="19"/>
                <w:szCs w:val="19"/>
                <w:lang w:val="hr-HR"/>
              </w:rPr>
              <w:t>dobit/(</w:t>
            </w:r>
            <w:r w:rsidRPr="00CD3A2D">
              <w:rPr>
                <w:rFonts w:ascii="Calibri" w:hAnsi="Calibri" w:cs="Calibri"/>
                <w:color w:val="000000"/>
                <w:sz w:val="19"/>
                <w:szCs w:val="19"/>
                <w:lang w:val="hr-HR"/>
              </w:rPr>
              <w:t>gubitak</w:t>
            </w:r>
            <w:r w:rsidR="00EE2576" w:rsidRPr="00CD3A2D">
              <w:rPr>
                <w:rFonts w:ascii="Calibri" w:hAnsi="Calibri" w:cs="Calibri"/>
                <w:color w:val="000000"/>
                <w:sz w:val="19"/>
                <w:szCs w:val="19"/>
                <w:lang w:val="hr-HR"/>
              </w:rPr>
              <w:t>) od tečajnih razlika po rezerviranjima za očekivane gubitke</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(193)</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382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1.645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(9)</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1.825 </w:t>
            </w:r>
          </w:p>
        </w:tc>
        <w:tc>
          <w:tcPr>
            <w:tcW w:w="1022" w:type="dxa"/>
            <w:tcBorders>
              <w:top w:val="nil"/>
              <w:left w:val="nil"/>
              <w:bottom w:val="single" w:sz="8" w:space="0" w:color="auto"/>
              <w:right w:val="nil"/>
            </w:tcBorders>
            <w:shd w:val="clear" w:color="auto" w:fill="auto"/>
            <w:vAlign w:val="bottom"/>
          </w:tcPr>
          <w:p w:rsidR="00A37913" w:rsidRPr="00CD3A2D" w:rsidRDefault="00A37913">
            <w:pPr>
              <w:jc w:val="right"/>
              <w:rPr>
                <w:rFonts w:asciiTheme="minorHAnsi" w:hAnsiTheme="minorHAnsi" w:cstheme="minorHAnsi"/>
                <w:color w:val="000000"/>
                <w:sz w:val="19"/>
                <w:szCs w:val="19"/>
                <w:lang w:val="hr-HR"/>
              </w:rPr>
            </w:pPr>
            <w:r w:rsidRPr="00CD3A2D">
              <w:rPr>
                <w:rFonts w:asciiTheme="minorHAnsi" w:hAnsiTheme="minorHAnsi" w:cstheme="minorHAnsi"/>
                <w:sz w:val="19"/>
                <w:szCs w:val="19"/>
                <w:lang w:val="hr-HR"/>
              </w:rPr>
              <w:t xml:space="preserve"> (388)</w:t>
            </w:r>
          </w:p>
        </w:tc>
      </w:tr>
      <w:tr w:rsidR="00A37913" w:rsidRPr="001567C8" w:rsidTr="003C6BA3">
        <w:trPr>
          <w:trHeight w:val="171"/>
        </w:trPr>
        <w:tc>
          <w:tcPr>
            <w:tcW w:w="3970" w:type="dxa"/>
            <w:tcBorders>
              <w:top w:val="nil"/>
              <w:left w:val="nil"/>
              <w:bottom w:val="nil"/>
              <w:right w:val="nil"/>
            </w:tcBorders>
            <w:shd w:val="clear" w:color="auto" w:fill="auto"/>
            <w:vAlign w:val="center"/>
            <w:hideMark/>
          </w:tcPr>
          <w:p w:rsidR="00A37913" w:rsidRPr="00CD3A2D" w:rsidRDefault="00A37913" w:rsidP="00A37913">
            <w:pPr>
              <w:rPr>
                <w:rFonts w:ascii="Calibri" w:hAnsi="Calibri" w:cs="Calibri"/>
                <w:b/>
                <w:bCs/>
                <w:color w:val="000000"/>
                <w:sz w:val="19"/>
                <w:szCs w:val="19"/>
                <w:lang w:val="hr-HR"/>
              </w:rPr>
            </w:pPr>
            <w:r w:rsidRPr="00CD3A2D">
              <w:rPr>
                <w:rFonts w:ascii="Calibri" w:hAnsi="Calibri" w:cs="Calibri"/>
                <w:b/>
                <w:bCs/>
                <w:color w:val="000000"/>
                <w:sz w:val="19"/>
                <w:szCs w:val="19"/>
                <w:lang w:val="hr-HR"/>
              </w:rPr>
              <w:t xml:space="preserve">Stanje 31. prosinca 2018. godine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(55.451)</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129.711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175.999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11.024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261.283 </w:t>
            </w:r>
          </w:p>
        </w:tc>
        <w:tc>
          <w:tcPr>
            <w:tcW w:w="1022" w:type="dxa"/>
            <w:tcBorders>
              <w:top w:val="nil"/>
              <w:left w:val="nil"/>
              <w:bottom w:val="single" w:sz="12" w:space="0" w:color="auto"/>
              <w:right w:val="nil"/>
            </w:tcBorders>
            <w:shd w:val="clear" w:color="auto" w:fill="auto"/>
          </w:tcPr>
          <w:p w:rsidR="00A37913" w:rsidRPr="00CD3A2D" w:rsidRDefault="00A37913" w:rsidP="00A37913">
            <w:pPr>
              <w:jc w:val="right"/>
              <w:rPr>
                <w:rFonts w:asciiTheme="minorHAnsi" w:hAnsiTheme="minorHAnsi" w:cstheme="minorHAnsi"/>
                <w:b/>
                <w:bCs/>
                <w:color w:val="000000"/>
                <w:sz w:val="19"/>
                <w:szCs w:val="19"/>
                <w:lang w:val="hr-HR"/>
              </w:rPr>
            </w:pPr>
            <w:r w:rsidRPr="00CD3A2D">
              <w:rPr>
                <w:rFonts w:asciiTheme="minorHAnsi" w:hAnsiTheme="minorHAnsi" w:cstheme="minorHAnsi"/>
                <w:b/>
                <w:sz w:val="19"/>
                <w:szCs w:val="19"/>
                <w:lang w:val="hr-HR"/>
              </w:rPr>
              <w:t xml:space="preserve"> 64.360 </w:t>
            </w:r>
          </w:p>
        </w:tc>
      </w:tr>
    </w:tbl>
    <w:p w:rsidR="00C17BDA" w:rsidRPr="001567C8" w:rsidRDefault="00C17BDA" w:rsidP="00C17BDA">
      <w:pPr>
        <w:pStyle w:val="T1"/>
        <w:spacing w:before="0" w:after="0" w:line="240" w:lineRule="auto"/>
        <w:rPr>
          <w:rFonts w:asciiTheme="minorHAnsi" w:hAnsiTheme="minorHAnsi" w:cs="Arial"/>
          <w:sz w:val="22"/>
          <w:szCs w:val="22"/>
          <w:lang w:val="hr-HR"/>
        </w:rPr>
        <w:sectPr w:rsidR="00C17BDA" w:rsidRPr="001567C8" w:rsidSect="0077198A">
          <w:pgSz w:w="11907" w:h="16840" w:code="9"/>
          <w:pgMar w:top="1418" w:right="1134" w:bottom="1134" w:left="1418" w:header="851" w:footer="851" w:gutter="0"/>
          <w:cols w:space="720"/>
          <w:noEndnote/>
        </w:sectPr>
      </w:pPr>
    </w:p>
    <w:p w:rsidR="00C17BDA" w:rsidRPr="001567C8" w:rsidRDefault="00C17BDA" w:rsidP="00211700">
      <w:pPr>
        <w:pStyle w:val="T1"/>
        <w:spacing w:before="0" w:after="0" w:line="240" w:lineRule="auto"/>
        <w:rPr>
          <w:rFonts w:asciiTheme="minorHAnsi" w:hAnsiTheme="minorHAnsi" w:cs="Arial"/>
          <w:sz w:val="22"/>
          <w:szCs w:val="22"/>
          <w:lang w:val="hr-HR"/>
        </w:rPr>
      </w:pPr>
    </w:p>
    <w:p w:rsidR="00E7509F" w:rsidRPr="001567C8" w:rsidRDefault="00E7509F" w:rsidP="00211700">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B65175"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Upravljanje rizicima (nastavak)</w:t>
      </w:r>
    </w:p>
    <w:p w:rsidR="002911A6" w:rsidRPr="001567C8" w:rsidRDefault="002911A6" w:rsidP="00211700">
      <w:pPr>
        <w:pStyle w:val="T1"/>
        <w:spacing w:before="0" w:after="0" w:line="240" w:lineRule="auto"/>
        <w:rPr>
          <w:rFonts w:asciiTheme="minorHAnsi" w:hAnsiTheme="minorHAnsi" w:cs="Arial"/>
          <w:sz w:val="22"/>
          <w:szCs w:val="22"/>
          <w:lang w:val="hr-HR"/>
        </w:rPr>
      </w:pPr>
    </w:p>
    <w:p w:rsidR="00E7509F" w:rsidRPr="001567C8" w:rsidRDefault="00E7509F" w:rsidP="00211700">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B65175"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2911A6" w:rsidRPr="001567C8" w:rsidRDefault="002911A6" w:rsidP="00211700">
      <w:pPr>
        <w:pStyle w:val="T1"/>
        <w:spacing w:before="0" w:after="0" w:line="240" w:lineRule="auto"/>
        <w:rPr>
          <w:rFonts w:asciiTheme="minorHAnsi" w:hAnsiTheme="minorHAnsi" w:cs="Arial"/>
          <w:sz w:val="22"/>
          <w:szCs w:val="22"/>
          <w:lang w:val="hr-HR"/>
        </w:rPr>
      </w:pPr>
    </w:p>
    <w:p w:rsidR="00E7509F" w:rsidRPr="001567C8" w:rsidRDefault="00E7509F" w:rsidP="00211700">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 xml:space="preserve">Kvaliteta kreditnog rizika prema vrsti financijske imovine </w:t>
      </w:r>
      <w:r w:rsidR="003E6AF7" w:rsidRPr="001567C8">
        <w:rPr>
          <w:rFonts w:asciiTheme="minorHAnsi" w:hAnsiTheme="minorHAnsi" w:cs="Arial"/>
          <w:sz w:val="22"/>
          <w:szCs w:val="22"/>
          <w:lang w:val="hr-HR"/>
        </w:rPr>
        <w:t>(nastavak)</w:t>
      </w:r>
    </w:p>
    <w:p w:rsidR="002911A6" w:rsidRPr="001567C8" w:rsidRDefault="002911A6" w:rsidP="00211700">
      <w:pPr>
        <w:jc w:val="both"/>
        <w:rPr>
          <w:rFonts w:asciiTheme="minorHAnsi" w:hAnsiTheme="minorHAnsi" w:cs="Arial"/>
          <w:sz w:val="22"/>
          <w:szCs w:val="22"/>
          <w:lang w:val="hr-HR"/>
        </w:rPr>
      </w:pPr>
    </w:p>
    <w:p w:rsidR="002911A6" w:rsidRPr="001567C8" w:rsidRDefault="00E7509F" w:rsidP="002911A6">
      <w:pPr>
        <w:jc w:val="both"/>
        <w:rPr>
          <w:rFonts w:asciiTheme="minorHAnsi" w:hAnsiTheme="minorHAnsi" w:cs="Arial"/>
          <w:sz w:val="22"/>
          <w:szCs w:val="22"/>
          <w:lang w:val="hr-HR"/>
        </w:rPr>
      </w:pPr>
      <w:r w:rsidRPr="001567C8">
        <w:rPr>
          <w:rFonts w:asciiTheme="minorHAnsi" w:hAnsiTheme="minorHAnsi" w:cs="Arial"/>
          <w:sz w:val="22"/>
          <w:szCs w:val="22"/>
          <w:lang w:val="hr-HR"/>
        </w:rPr>
        <w:t>Analiza kreditnog rizika</w:t>
      </w:r>
      <w:r w:rsidR="003F0EC8" w:rsidRPr="001567C8">
        <w:rPr>
          <w:rFonts w:asciiTheme="minorHAnsi" w:hAnsiTheme="minorHAnsi" w:cs="Arial"/>
          <w:sz w:val="22"/>
          <w:szCs w:val="22"/>
          <w:lang w:val="hr-HR"/>
        </w:rPr>
        <w:t>, neto</w:t>
      </w:r>
      <w:r w:rsidR="00603200" w:rsidRPr="00CD3A2D">
        <w:rPr>
          <w:lang w:val="hr-HR"/>
        </w:rPr>
        <w:t xml:space="preserve"> </w:t>
      </w:r>
      <w:r w:rsidR="00603200" w:rsidRPr="001567C8">
        <w:rPr>
          <w:rFonts w:asciiTheme="minorHAnsi" w:hAnsiTheme="minorHAnsi" w:cs="Arial"/>
          <w:sz w:val="22"/>
          <w:szCs w:val="22"/>
          <w:lang w:val="hr-HR"/>
        </w:rPr>
        <w:t>izloženost</w:t>
      </w:r>
      <w:r w:rsidR="003F0EC8" w:rsidRPr="001567C8">
        <w:rPr>
          <w:rFonts w:asciiTheme="minorHAnsi" w:hAnsiTheme="minorHAnsi" w:cs="Arial"/>
          <w:sz w:val="22"/>
          <w:szCs w:val="22"/>
          <w:lang w:val="hr-HR"/>
        </w:rPr>
        <w:t>,</w:t>
      </w:r>
      <w:r w:rsidRPr="001567C8">
        <w:rPr>
          <w:rFonts w:asciiTheme="minorHAnsi" w:hAnsiTheme="minorHAnsi" w:cs="Arial"/>
          <w:sz w:val="22"/>
          <w:szCs w:val="22"/>
          <w:lang w:val="hr-HR"/>
        </w:rPr>
        <w:t xml:space="preserve"> prije i nakon uzimanja u obzir primljenih instrumenata osiguranja</w:t>
      </w:r>
      <w:r w:rsidR="00C17648" w:rsidRPr="001567C8">
        <w:rPr>
          <w:rFonts w:asciiTheme="minorHAnsi" w:hAnsiTheme="minorHAnsi" w:cs="Arial"/>
          <w:sz w:val="22"/>
          <w:szCs w:val="22"/>
          <w:lang w:val="hr-HR"/>
        </w:rPr>
        <w:t>,</w:t>
      </w:r>
      <w:r w:rsidR="00C17648" w:rsidRPr="00CD3A2D">
        <w:rPr>
          <w:lang w:val="hr-HR"/>
        </w:rPr>
        <w:t xml:space="preserve"> </w:t>
      </w:r>
      <w:r w:rsidRPr="001567C8">
        <w:rPr>
          <w:rFonts w:asciiTheme="minorHAnsi" w:hAnsiTheme="minorHAnsi" w:cs="Arial"/>
          <w:sz w:val="22"/>
          <w:szCs w:val="22"/>
          <w:lang w:val="hr-HR"/>
        </w:rPr>
        <w:t xml:space="preserve">prema vrsti financijske imovine na pozicijama </w:t>
      </w:r>
      <w:r w:rsidR="008D6072" w:rsidRPr="001567C8">
        <w:rPr>
          <w:rFonts w:asciiTheme="minorHAnsi" w:hAnsiTheme="minorHAnsi" w:cs="Arial"/>
          <w:sz w:val="22"/>
          <w:szCs w:val="22"/>
          <w:lang w:val="hr-HR"/>
        </w:rPr>
        <w:t>imovine</w:t>
      </w:r>
      <w:r w:rsidRPr="001567C8">
        <w:rPr>
          <w:rFonts w:asciiTheme="minorHAnsi" w:hAnsiTheme="minorHAnsi" w:cs="Arial"/>
          <w:sz w:val="22"/>
          <w:szCs w:val="22"/>
          <w:lang w:val="hr-HR"/>
        </w:rPr>
        <w:t xml:space="preserve"> i garancija i preuzetih obveza prema rizičnim skupinama (nastavak):</w:t>
      </w:r>
    </w:p>
    <w:p w:rsidR="00C03BF7" w:rsidRPr="001567C8" w:rsidRDefault="00C03BF7" w:rsidP="002911A6">
      <w:pPr>
        <w:jc w:val="both"/>
        <w:rPr>
          <w:rFonts w:asciiTheme="minorHAnsi" w:hAnsiTheme="minorHAnsi" w:cs="Arial"/>
          <w:sz w:val="22"/>
          <w:szCs w:val="22"/>
          <w:lang w:val="hr-HR"/>
        </w:rPr>
      </w:pPr>
    </w:p>
    <w:tbl>
      <w:tblPr>
        <w:tblW w:w="5352" w:type="pct"/>
        <w:jc w:val="center"/>
        <w:tblLayout w:type="fixed"/>
        <w:tblLook w:val="0000" w:firstRow="0" w:lastRow="0" w:firstColumn="0" w:lastColumn="0" w:noHBand="0" w:noVBand="0"/>
      </w:tblPr>
      <w:tblGrid>
        <w:gridCol w:w="1721"/>
        <w:gridCol w:w="1185"/>
        <w:gridCol w:w="1001"/>
        <w:gridCol w:w="1001"/>
        <w:gridCol w:w="1146"/>
        <w:gridCol w:w="1001"/>
        <w:gridCol w:w="1001"/>
        <w:gridCol w:w="1001"/>
        <w:gridCol w:w="957"/>
      </w:tblGrid>
      <w:tr w:rsidR="00B65175" w:rsidRPr="001567C8" w:rsidTr="003C6BA3">
        <w:trPr>
          <w:trHeight w:val="1066"/>
          <w:jc w:val="center"/>
        </w:trPr>
        <w:tc>
          <w:tcPr>
            <w:tcW w:w="859" w:type="pct"/>
          </w:tcPr>
          <w:p w:rsidR="007C5023" w:rsidRPr="00CD3A2D" w:rsidRDefault="00B65175" w:rsidP="00B65175">
            <w:pPr>
              <w:rPr>
                <w:rFonts w:asciiTheme="minorHAnsi" w:hAnsiTheme="minorHAnsi" w:cstheme="minorHAnsi"/>
                <w:b/>
                <w:bCs/>
                <w:sz w:val="16"/>
                <w:szCs w:val="16"/>
                <w:lang w:val="hr-HR"/>
              </w:rPr>
            </w:pPr>
            <w:r w:rsidRPr="00CD3A2D">
              <w:rPr>
                <w:rFonts w:asciiTheme="minorHAnsi" w:hAnsiTheme="minorHAnsi" w:cstheme="minorHAnsi"/>
                <w:b/>
                <w:bCs/>
                <w:sz w:val="16"/>
                <w:szCs w:val="16"/>
                <w:lang w:val="hr-HR"/>
              </w:rPr>
              <w:br w:type="page"/>
              <w:t>Banka</w:t>
            </w:r>
          </w:p>
          <w:p w:rsidR="007C5023" w:rsidRPr="00CD3A2D" w:rsidRDefault="007C5023" w:rsidP="00B65175">
            <w:pPr>
              <w:rPr>
                <w:rFonts w:asciiTheme="minorHAnsi" w:hAnsiTheme="minorHAnsi" w:cstheme="minorHAnsi"/>
                <w:b/>
                <w:bCs/>
                <w:sz w:val="16"/>
                <w:szCs w:val="16"/>
                <w:lang w:val="hr-HR"/>
              </w:rPr>
            </w:pPr>
          </w:p>
          <w:p w:rsidR="00B65175" w:rsidRPr="00CD3A2D" w:rsidRDefault="00B65175" w:rsidP="00B65175">
            <w:pPr>
              <w:rPr>
                <w:rFonts w:asciiTheme="minorHAnsi" w:hAnsiTheme="minorHAnsi" w:cstheme="minorHAnsi"/>
                <w:b/>
                <w:bCs/>
                <w:sz w:val="16"/>
                <w:szCs w:val="16"/>
                <w:lang w:val="hr-HR"/>
              </w:rPr>
            </w:pPr>
          </w:p>
          <w:p w:rsidR="0073283D" w:rsidRPr="00CD3A2D" w:rsidRDefault="00AD2EF7" w:rsidP="00B65175">
            <w:pPr>
              <w:rPr>
                <w:rFonts w:asciiTheme="minorHAnsi" w:hAnsiTheme="minorHAnsi" w:cstheme="minorHAnsi"/>
                <w:b/>
                <w:bCs/>
                <w:sz w:val="16"/>
                <w:szCs w:val="16"/>
                <w:lang w:val="hr-HR"/>
              </w:rPr>
            </w:pPr>
            <w:r>
              <w:rPr>
                <w:rFonts w:asciiTheme="minorHAnsi" w:hAnsiTheme="minorHAnsi" w:cstheme="minorHAnsi"/>
                <w:b/>
                <w:bCs/>
                <w:sz w:val="16"/>
                <w:szCs w:val="16"/>
                <w:lang w:val="hr-HR"/>
              </w:rPr>
              <w:t>31. prosin</w:t>
            </w:r>
            <w:r w:rsidR="0073283D" w:rsidRPr="00CD3A2D">
              <w:rPr>
                <w:rFonts w:asciiTheme="minorHAnsi" w:hAnsiTheme="minorHAnsi" w:cstheme="minorHAnsi"/>
                <w:b/>
                <w:bCs/>
                <w:sz w:val="16"/>
                <w:szCs w:val="16"/>
                <w:lang w:val="hr-HR"/>
              </w:rPr>
              <w:t>c</w:t>
            </w:r>
            <w:r>
              <w:rPr>
                <w:rFonts w:asciiTheme="minorHAnsi" w:hAnsiTheme="minorHAnsi" w:cstheme="minorHAnsi"/>
                <w:b/>
                <w:bCs/>
                <w:sz w:val="16"/>
                <w:szCs w:val="16"/>
                <w:lang w:val="hr-HR"/>
              </w:rPr>
              <w:t>a</w:t>
            </w:r>
            <w:r w:rsidR="0073283D" w:rsidRPr="00CD3A2D">
              <w:rPr>
                <w:rFonts w:asciiTheme="minorHAnsi" w:hAnsiTheme="minorHAnsi" w:cstheme="minorHAnsi"/>
                <w:b/>
                <w:bCs/>
                <w:sz w:val="16"/>
                <w:szCs w:val="16"/>
                <w:lang w:val="hr-HR"/>
              </w:rPr>
              <w:t xml:space="preserve"> </w:t>
            </w:r>
          </w:p>
          <w:p w:rsidR="00B65175" w:rsidRPr="00CD3A2D" w:rsidRDefault="00B65175" w:rsidP="00B65175">
            <w:pPr>
              <w:rPr>
                <w:rFonts w:asciiTheme="minorHAnsi" w:hAnsiTheme="minorHAnsi" w:cstheme="minorHAnsi"/>
                <w:sz w:val="16"/>
                <w:szCs w:val="16"/>
                <w:lang w:val="hr-HR"/>
              </w:rPr>
            </w:pPr>
            <w:r w:rsidRPr="00CD3A2D">
              <w:rPr>
                <w:rFonts w:asciiTheme="minorHAnsi" w:hAnsiTheme="minorHAnsi" w:cstheme="minorHAnsi"/>
                <w:b/>
                <w:bCs/>
                <w:sz w:val="16"/>
                <w:szCs w:val="16"/>
                <w:lang w:val="hr-HR"/>
              </w:rPr>
              <w:t>2017.</w:t>
            </w:r>
            <w:r w:rsidR="007C5023" w:rsidRPr="00CD3A2D">
              <w:rPr>
                <w:rFonts w:asciiTheme="minorHAnsi" w:hAnsiTheme="minorHAnsi" w:cstheme="minorHAnsi"/>
                <w:b/>
                <w:bCs/>
                <w:sz w:val="16"/>
                <w:szCs w:val="16"/>
                <w:lang w:val="hr-HR"/>
              </w:rPr>
              <w:t xml:space="preserve"> godina</w:t>
            </w:r>
          </w:p>
        </w:tc>
        <w:tc>
          <w:tcPr>
            <w:tcW w:w="591" w:type="pct"/>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Neto izloženost portfelja rizične skupine A</w:t>
            </w:r>
          </w:p>
        </w:tc>
        <w:tc>
          <w:tcPr>
            <w:tcW w:w="500" w:type="pct"/>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Neto izloženost portfelja rizične skupine B</w:t>
            </w:r>
          </w:p>
        </w:tc>
        <w:tc>
          <w:tcPr>
            <w:tcW w:w="500" w:type="pct"/>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Neto izloženost portfelja rizične skupine C</w:t>
            </w:r>
          </w:p>
        </w:tc>
        <w:tc>
          <w:tcPr>
            <w:tcW w:w="572" w:type="pct"/>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Neto izloženost ukupnog portfelja</w:t>
            </w:r>
          </w:p>
        </w:tc>
        <w:tc>
          <w:tcPr>
            <w:tcW w:w="500" w:type="pct"/>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Neto izloženost portfelja rizične skupine A nakon umanjenja za sredstva osiguranja</w:t>
            </w:r>
          </w:p>
        </w:tc>
        <w:tc>
          <w:tcPr>
            <w:tcW w:w="500" w:type="pct"/>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Neto izloženost portfelja rizične skupine B nakon umanjenja za sredstva osiguranja</w:t>
            </w:r>
          </w:p>
        </w:tc>
        <w:tc>
          <w:tcPr>
            <w:tcW w:w="500" w:type="pct"/>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Neto izloženost portfelja rizične skupine C nakon umanjenja za sredstva osiguranja</w:t>
            </w:r>
          </w:p>
        </w:tc>
        <w:tc>
          <w:tcPr>
            <w:tcW w:w="479" w:type="pct"/>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Neto izloženost ukupnog portfelja nakon umanjenja za sredstva osiguranja</w:t>
            </w:r>
          </w:p>
        </w:tc>
      </w:tr>
      <w:tr w:rsidR="00B65175" w:rsidRPr="001567C8" w:rsidTr="003C6BA3">
        <w:trPr>
          <w:trHeight w:val="179"/>
          <w:jc w:val="center"/>
        </w:trPr>
        <w:tc>
          <w:tcPr>
            <w:tcW w:w="859" w:type="pct"/>
          </w:tcPr>
          <w:p w:rsidR="00B65175" w:rsidRPr="00CD3A2D" w:rsidRDefault="00B65175" w:rsidP="00B65175">
            <w:pPr>
              <w:rPr>
                <w:rFonts w:asciiTheme="minorHAnsi" w:hAnsiTheme="minorHAnsi" w:cstheme="minorHAnsi"/>
                <w:sz w:val="16"/>
                <w:szCs w:val="16"/>
                <w:lang w:val="hr-HR"/>
              </w:rPr>
            </w:pPr>
          </w:p>
        </w:tc>
        <w:tc>
          <w:tcPr>
            <w:tcW w:w="591" w:type="pct"/>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000 kuna</w:t>
            </w:r>
          </w:p>
        </w:tc>
        <w:tc>
          <w:tcPr>
            <w:tcW w:w="500" w:type="pct"/>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000 kuna</w:t>
            </w:r>
          </w:p>
        </w:tc>
        <w:tc>
          <w:tcPr>
            <w:tcW w:w="500" w:type="pct"/>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000 kuna</w:t>
            </w:r>
          </w:p>
        </w:tc>
        <w:tc>
          <w:tcPr>
            <w:tcW w:w="572" w:type="pct"/>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000 kuna</w:t>
            </w:r>
          </w:p>
        </w:tc>
        <w:tc>
          <w:tcPr>
            <w:tcW w:w="500" w:type="pct"/>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000 kuna</w:t>
            </w:r>
          </w:p>
        </w:tc>
        <w:tc>
          <w:tcPr>
            <w:tcW w:w="500" w:type="pct"/>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000 kuna</w:t>
            </w:r>
          </w:p>
        </w:tc>
        <w:tc>
          <w:tcPr>
            <w:tcW w:w="500" w:type="pct"/>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000 kuna</w:t>
            </w:r>
          </w:p>
        </w:tc>
        <w:tc>
          <w:tcPr>
            <w:tcW w:w="479" w:type="pct"/>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sz w:val="16"/>
                <w:szCs w:val="16"/>
                <w:lang w:val="hr-HR"/>
              </w:rPr>
              <w:t>000 kuna</w:t>
            </w:r>
          </w:p>
        </w:tc>
      </w:tr>
      <w:tr w:rsidR="00B65175" w:rsidRPr="001567C8" w:rsidTr="003C6BA3">
        <w:trPr>
          <w:trHeight w:val="238"/>
          <w:jc w:val="center"/>
        </w:trPr>
        <w:tc>
          <w:tcPr>
            <w:tcW w:w="859" w:type="pct"/>
          </w:tcPr>
          <w:p w:rsidR="00B65175" w:rsidRPr="001567C8" w:rsidRDefault="00B65175" w:rsidP="00B65175">
            <w:pPr>
              <w:pStyle w:val="TT"/>
              <w:spacing w:line="240" w:lineRule="exact"/>
              <w:rPr>
                <w:rFonts w:asciiTheme="minorHAnsi" w:hAnsiTheme="minorHAnsi" w:cstheme="minorHAnsi"/>
                <w:b/>
                <w:bCs/>
                <w:sz w:val="16"/>
                <w:szCs w:val="16"/>
                <w:lang w:val="hr-HR"/>
              </w:rPr>
            </w:pPr>
            <w:r w:rsidRPr="001567C8">
              <w:rPr>
                <w:rFonts w:asciiTheme="minorHAnsi" w:hAnsiTheme="minorHAnsi" w:cstheme="minorHAnsi"/>
                <w:b/>
                <w:bCs/>
                <w:sz w:val="16"/>
                <w:szCs w:val="16"/>
                <w:lang w:val="hr-HR"/>
              </w:rPr>
              <w:t>Imovina</w:t>
            </w:r>
          </w:p>
        </w:tc>
        <w:tc>
          <w:tcPr>
            <w:tcW w:w="591" w:type="pct"/>
          </w:tcPr>
          <w:p w:rsidR="00B65175" w:rsidRPr="001567C8" w:rsidRDefault="00B65175" w:rsidP="00B65175">
            <w:pPr>
              <w:pStyle w:val="TT"/>
              <w:spacing w:line="240" w:lineRule="exact"/>
              <w:rPr>
                <w:rFonts w:asciiTheme="minorHAnsi" w:hAnsiTheme="minorHAnsi" w:cstheme="minorHAnsi"/>
                <w:b/>
                <w:bCs/>
                <w:sz w:val="16"/>
                <w:szCs w:val="16"/>
                <w:lang w:val="hr-HR"/>
              </w:rPr>
            </w:pPr>
          </w:p>
        </w:tc>
        <w:tc>
          <w:tcPr>
            <w:tcW w:w="500" w:type="pct"/>
          </w:tcPr>
          <w:p w:rsidR="00B65175" w:rsidRPr="001567C8" w:rsidRDefault="00B65175" w:rsidP="00B65175">
            <w:pPr>
              <w:pStyle w:val="TT"/>
              <w:spacing w:line="240" w:lineRule="exact"/>
              <w:rPr>
                <w:rFonts w:asciiTheme="minorHAnsi" w:hAnsiTheme="minorHAnsi" w:cstheme="minorHAnsi"/>
                <w:b/>
                <w:bCs/>
                <w:sz w:val="16"/>
                <w:szCs w:val="16"/>
                <w:lang w:val="hr-HR"/>
              </w:rPr>
            </w:pPr>
          </w:p>
        </w:tc>
        <w:tc>
          <w:tcPr>
            <w:tcW w:w="500" w:type="pct"/>
          </w:tcPr>
          <w:p w:rsidR="00B65175" w:rsidRPr="001567C8" w:rsidRDefault="00B65175" w:rsidP="00B65175">
            <w:pPr>
              <w:pStyle w:val="TT"/>
              <w:spacing w:line="240" w:lineRule="exact"/>
              <w:rPr>
                <w:rFonts w:asciiTheme="minorHAnsi" w:hAnsiTheme="minorHAnsi" w:cstheme="minorHAnsi"/>
                <w:b/>
                <w:bCs/>
                <w:sz w:val="16"/>
                <w:szCs w:val="16"/>
                <w:lang w:val="hr-HR"/>
              </w:rPr>
            </w:pPr>
          </w:p>
        </w:tc>
        <w:tc>
          <w:tcPr>
            <w:tcW w:w="572" w:type="pct"/>
          </w:tcPr>
          <w:p w:rsidR="00B65175" w:rsidRPr="001567C8" w:rsidRDefault="00B65175" w:rsidP="00B65175">
            <w:pPr>
              <w:pStyle w:val="TT"/>
              <w:spacing w:line="240" w:lineRule="exact"/>
              <w:rPr>
                <w:rFonts w:asciiTheme="minorHAnsi" w:hAnsiTheme="minorHAnsi" w:cstheme="minorHAnsi"/>
                <w:b/>
                <w:bCs/>
                <w:sz w:val="16"/>
                <w:szCs w:val="16"/>
                <w:lang w:val="hr-HR"/>
              </w:rPr>
            </w:pPr>
          </w:p>
        </w:tc>
        <w:tc>
          <w:tcPr>
            <w:tcW w:w="500" w:type="pct"/>
          </w:tcPr>
          <w:p w:rsidR="00B65175" w:rsidRPr="001567C8" w:rsidRDefault="00B65175" w:rsidP="00B65175">
            <w:pPr>
              <w:pStyle w:val="TT"/>
              <w:spacing w:line="240" w:lineRule="exact"/>
              <w:rPr>
                <w:rFonts w:asciiTheme="minorHAnsi" w:hAnsiTheme="minorHAnsi" w:cstheme="minorHAnsi"/>
                <w:b/>
                <w:bCs/>
                <w:sz w:val="16"/>
                <w:szCs w:val="16"/>
                <w:lang w:val="hr-HR"/>
              </w:rPr>
            </w:pPr>
          </w:p>
        </w:tc>
        <w:tc>
          <w:tcPr>
            <w:tcW w:w="500" w:type="pct"/>
          </w:tcPr>
          <w:p w:rsidR="00B65175" w:rsidRPr="001567C8" w:rsidRDefault="00B65175" w:rsidP="00B65175">
            <w:pPr>
              <w:pStyle w:val="TT"/>
              <w:spacing w:line="240" w:lineRule="exact"/>
              <w:rPr>
                <w:rFonts w:asciiTheme="minorHAnsi" w:hAnsiTheme="minorHAnsi" w:cstheme="minorHAnsi"/>
                <w:b/>
                <w:bCs/>
                <w:sz w:val="16"/>
                <w:szCs w:val="16"/>
                <w:lang w:val="hr-HR"/>
              </w:rPr>
            </w:pPr>
          </w:p>
        </w:tc>
        <w:tc>
          <w:tcPr>
            <w:tcW w:w="500" w:type="pct"/>
          </w:tcPr>
          <w:p w:rsidR="00B65175" w:rsidRPr="001567C8" w:rsidRDefault="00B65175" w:rsidP="00B65175">
            <w:pPr>
              <w:pStyle w:val="TT"/>
              <w:spacing w:line="240" w:lineRule="exact"/>
              <w:rPr>
                <w:rFonts w:asciiTheme="minorHAnsi" w:hAnsiTheme="minorHAnsi" w:cstheme="minorHAnsi"/>
                <w:b/>
                <w:bCs/>
                <w:sz w:val="16"/>
                <w:szCs w:val="16"/>
                <w:lang w:val="hr-HR"/>
              </w:rPr>
            </w:pPr>
          </w:p>
        </w:tc>
        <w:tc>
          <w:tcPr>
            <w:tcW w:w="479" w:type="pct"/>
          </w:tcPr>
          <w:p w:rsidR="00B65175" w:rsidRPr="001567C8" w:rsidRDefault="00B65175" w:rsidP="00B65175">
            <w:pPr>
              <w:pStyle w:val="TT"/>
              <w:spacing w:line="240" w:lineRule="exact"/>
              <w:rPr>
                <w:rFonts w:asciiTheme="minorHAnsi" w:hAnsiTheme="minorHAnsi" w:cstheme="minorHAnsi"/>
                <w:b/>
                <w:bCs/>
                <w:sz w:val="16"/>
                <w:szCs w:val="16"/>
                <w:lang w:val="hr-HR"/>
              </w:rPr>
            </w:pPr>
          </w:p>
        </w:tc>
      </w:tr>
      <w:tr w:rsidR="00B65175" w:rsidRPr="001567C8" w:rsidTr="003C6BA3">
        <w:trPr>
          <w:trHeight w:val="363"/>
          <w:jc w:val="center"/>
        </w:trPr>
        <w:tc>
          <w:tcPr>
            <w:tcW w:w="859" w:type="pct"/>
          </w:tcPr>
          <w:p w:rsidR="00B65175" w:rsidRPr="001567C8" w:rsidRDefault="00B65175" w:rsidP="00B65175">
            <w:pPr>
              <w:pStyle w:val="TT"/>
              <w:spacing w:line="240" w:lineRule="auto"/>
              <w:rPr>
                <w:rFonts w:asciiTheme="minorHAnsi" w:hAnsiTheme="minorHAnsi" w:cstheme="minorHAnsi"/>
                <w:sz w:val="16"/>
                <w:szCs w:val="16"/>
                <w:lang w:val="hr-HR"/>
              </w:rPr>
            </w:pPr>
            <w:r w:rsidRPr="001567C8">
              <w:rPr>
                <w:rFonts w:asciiTheme="minorHAnsi" w:hAnsiTheme="minorHAnsi" w:cstheme="minorHAnsi"/>
                <w:sz w:val="16"/>
                <w:szCs w:val="16"/>
                <w:lang w:val="hr-HR"/>
              </w:rPr>
              <w:t>Novčana sredstva i računi kod banaka</w:t>
            </w:r>
          </w:p>
        </w:tc>
        <w:tc>
          <w:tcPr>
            <w:tcW w:w="591"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1.401.130</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1.401.130</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r>
      <w:tr w:rsidR="00B65175" w:rsidRPr="001567C8" w:rsidTr="003C6BA3">
        <w:trPr>
          <w:trHeight w:val="363"/>
          <w:jc w:val="center"/>
        </w:trPr>
        <w:tc>
          <w:tcPr>
            <w:tcW w:w="859" w:type="pct"/>
          </w:tcPr>
          <w:p w:rsidR="00B65175" w:rsidRPr="001567C8" w:rsidRDefault="00B65175" w:rsidP="00B65175">
            <w:pPr>
              <w:pStyle w:val="TT"/>
              <w:spacing w:line="240" w:lineRule="auto"/>
              <w:rPr>
                <w:rFonts w:asciiTheme="minorHAnsi" w:hAnsiTheme="minorHAnsi" w:cstheme="minorHAnsi"/>
                <w:sz w:val="16"/>
                <w:szCs w:val="16"/>
                <w:lang w:val="hr-HR"/>
              </w:rPr>
            </w:pPr>
            <w:r w:rsidRPr="001567C8">
              <w:rPr>
                <w:rFonts w:asciiTheme="minorHAnsi" w:hAnsiTheme="minorHAnsi" w:cstheme="minorHAnsi"/>
                <w:sz w:val="16"/>
                <w:szCs w:val="16"/>
                <w:lang w:val="hr-HR"/>
              </w:rPr>
              <w:t>Depoziti kod drugih banaka</w:t>
            </w:r>
          </w:p>
        </w:tc>
        <w:tc>
          <w:tcPr>
            <w:tcW w:w="591"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29.138</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29.138</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r>
      <w:tr w:rsidR="00B65175" w:rsidRPr="001567C8" w:rsidTr="003C6BA3">
        <w:trPr>
          <w:trHeight w:val="295"/>
          <w:jc w:val="center"/>
        </w:trPr>
        <w:tc>
          <w:tcPr>
            <w:tcW w:w="859" w:type="pct"/>
            <w:vAlign w:val="center"/>
          </w:tcPr>
          <w:p w:rsidR="00B65175" w:rsidRPr="001567C8" w:rsidRDefault="00B65175" w:rsidP="00B65175">
            <w:pPr>
              <w:pStyle w:val="TT"/>
              <w:spacing w:line="240" w:lineRule="auto"/>
              <w:rPr>
                <w:rFonts w:asciiTheme="minorHAnsi" w:hAnsiTheme="minorHAnsi" w:cstheme="minorHAnsi"/>
                <w:sz w:val="16"/>
                <w:szCs w:val="16"/>
                <w:lang w:val="hr-HR"/>
              </w:rPr>
            </w:pPr>
            <w:r w:rsidRPr="001567C8">
              <w:rPr>
                <w:rFonts w:asciiTheme="minorHAnsi" w:hAnsiTheme="minorHAnsi" w:cstheme="minorHAnsi"/>
                <w:sz w:val="16"/>
                <w:szCs w:val="16"/>
                <w:lang w:val="hr-HR"/>
              </w:rPr>
              <w:t>Krediti financijskim institucijama</w:t>
            </w:r>
          </w:p>
        </w:tc>
        <w:tc>
          <w:tcPr>
            <w:tcW w:w="591"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10.624.635</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211.506</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10.836.141</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r>
      <w:tr w:rsidR="00B65175" w:rsidRPr="001567C8" w:rsidTr="003C6BA3">
        <w:trPr>
          <w:trHeight w:val="363"/>
          <w:jc w:val="center"/>
        </w:trPr>
        <w:tc>
          <w:tcPr>
            <w:tcW w:w="859" w:type="pct"/>
            <w:vAlign w:val="bottom"/>
          </w:tcPr>
          <w:p w:rsidR="00B65175" w:rsidRPr="001567C8" w:rsidRDefault="00B65175" w:rsidP="00B65175">
            <w:pPr>
              <w:pStyle w:val="TT"/>
              <w:spacing w:line="240" w:lineRule="auto"/>
              <w:rPr>
                <w:rFonts w:asciiTheme="minorHAnsi" w:hAnsiTheme="minorHAnsi" w:cstheme="minorHAnsi"/>
                <w:sz w:val="16"/>
                <w:szCs w:val="16"/>
                <w:lang w:val="hr-HR"/>
              </w:rPr>
            </w:pPr>
            <w:r w:rsidRPr="001567C8">
              <w:rPr>
                <w:rFonts w:asciiTheme="minorHAnsi" w:hAnsiTheme="minorHAnsi" w:cstheme="minorHAnsi"/>
                <w:sz w:val="16"/>
                <w:szCs w:val="16"/>
                <w:lang w:val="hr-HR"/>
              </w:rPr>
              <w:t>Krediti ostalim korisnicima</w:t>
            </w:r>
          </w:p>
        </w:tc>
        <w:tc>
          <w:tcPr>
            <w:tcW w:w="591"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10.990.700</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1.392.923</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12.383.623</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2.761.223</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50.706</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2.811.929</w:t>
            </w:r>
          </w:p>
        </w:tc>
      </w:tr>
      <w:tr w:rsidR="00B65175" w:rsidRPr="001567C8" w:rsidTr="003C6BA3">
        <w:trPr>
          <w:trHeight w:val="363"/>
          <w:jc w:val="center"/>
        </w:trPr>
        <w:tc>
          <w:tcPr>
            <w:tcW w:w="859" w:type="pct"/>
          </w:tcPr>
          <w:p w:rsidR="00B65175" w:rsidRPr="001567C8" w:rsidRDefault="00B65175" w:rsidP="00B65175">
            <w:pPr>
              <w:pStyle w:val="TT"/>
              <w:spacing w:line="240" w:lineRule="auto"/>
              <w:rPr>
                <w:rFonts w:asciiTheme="minorHAnsi" w:hAnsiTheme="minorHAnsi" w:cstheme="minorHAnsi"/>
                <w:sz w:val="16"/>
                <w:szCs w:val="16"/>
                <w:lang w:val="hr-HR"/>
              </w:rPr>
            </w:pPr>
            <w:r w:rsidRPr="001567C8">
              <w:rPr>
                <w:rFonts w:asciiTheme="minorHAnsi" w:hAnsiTheme="minorHAnsi" w:cstheme="minorHAnsi"/>
                <w:sz w:val="16"/>
                <w:szCs w:val="16"/>
                <w:lang w:val="hr-HR"/>
              </w:rPr>
              <w:t>Imovina raspoloživa za prodaju</w:t>
            </w:r>
          </w:p>
        </w:tc>
        <w:tc>
          <w:tcPr>
            <w:tcW w:w="591"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2.443.699</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2.443.699</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2.443.699</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2.443.699</w:t>
            </w:r>
          </w:p>
        </w:tc>
      </w:tr>
      <w:tr w:rsidR="00B65175" w:rsidRPr="001567C8" w:rsidTr="003C6BA3">
        <w:trPr>
          <w:trHeight w:val="295"/>
          <w:jc w:val="center"/>
        </w:trPr>
        <w:tc>
          <w:tcPr>
            <w:tcW w:w="859" w:type="pct"/>
            <w:vAlign w:val="bottom"/>
          </w:tcPr>
          <w:p w:rsidR="00B65175" w:rsidRPr="001567C8" w:rsidRDefault="00B65175" w:rsidP="00B65175">
            <w:pPr>
              <w:pStyle w:val="TT"/>
              <w:spacing w:line="240" w:lineRule="auto"/>
              <w:rPr>
                <w:rFonts w:asciiTheme="minorHAnsi" w:hAnsiTheme="minorHAnsi" w:cstheme="minorHAnsi"/>
                <w:sz w:val="16"/>
                <w:szCs w:val="16"/>
                <w:lang w:val="hr-HR"/>
              </w:rPr>
            </w:pPr>
            <w:r w:rsidRPr="001567C8">
              <w:rPr>
                <w:rFonts w:asciiTheme="minorHAnsi" w:hAnsiTheme="minorHAnsi" w:cstheme="minorHAnsi"/>
                <w:sz w:val="16"/>
                <w:szCs w:val="16"/>
                <w:lang w:val="hr-HR"/>
              </w:rPr>
              <w:t>Ostala imovina</w:t>
            </w:r>
          </w:p>
        </w:tc>
        <w:tc>
          <w:tcPr>
            <w:tcW w:w="591"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11.856</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426</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12.282</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9.518</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426</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9.944</w:t>
            </w:r>
          </w:p>
        </w:tc>
      </w:tr>
      <w:tr w:rsidR="00B65175" w:rsidRPr="001567C8" w:rsidTr="003C6BA3">
        <w:trPr>
          <w:trHeight w:val="321"/>
          <w:jc w:val="center"/>
        </w:trPr>
        <w:tc>
          <w:tcPr>
            <w:tcW w:w="859" w:type="pct"/>
            <w:vAlign w:val="center"/>
          </w:tcPr>
          <w:p w:rsidR="00B65175" w:rsidRPr="001567C8" w:rsidRDefault="00B65175">
            <w:pPr>
              <w:pStyle w:val="Tot"/>
              <w:spacing w:line="240" w:lineRule="exact"/>
              <w:rPr>
                <w:rFonts w:asciiTheme="minorHAnsi" w:hAnsiTheme="minorHAnsi" w:cstheme="minorHAnsi"/>
                <w:b/>
                <w:bCs/>
                <w:sz w:val="16"/>
                <w:szCs w:val="16"/>
                <w:lang w:val="hr-HR"/>
              </w:rPr>
            </w:pPr>
            <w:r w:rsidRPr="001567C8">
              <w:rPr>
                <w:rFonts w:asciiTheme="minorHAnsi" w:hAnsiTheme="minorHAnsi" w:cstheme="minorHAnsi"/>
                <w:b/>
                <w:bCs/>
                <w:sz w:val="16"/>
                <w:szCs w:val="16"/>
                <w:lang w:val="hr-HR"/>
              </w:rPr>
              <w:t>Ukupno</w:t>
            </w:r>
          </w:p>
        </w:tc>
        <w:tc>
          <w:tcPr>
            <w:tcW w:w="591"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25.501.158</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1.604.855</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w:t>
            </w:r>
          </w:p>
        </w:tc>
        <w:tc>
          <w:tcPr>
            <w:tcW w:w="572"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27.106.013</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5.214.440</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51.132</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w:t>
            </w:r>
          </w:p>
        </w:tc>
        <w:tc>
          <w:tcPr>
            <w:tcW w:w="479"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5.265.572</w:t>
            </w:r>
          </w:p>
        </w:tc>
      </w:tr>
      <w:tr w:rsidR="00B65175" w:rsidRPr="001567C8" w:rsidTr="003C6BA3">
        <w:trPr>
          <w:trHeight w:val="386"/>
          <w:jc w:val="center"/>
        </w:trPr>
        <w:tc>
          <w:tcPr>
            <w:tcW w:w="859" w:type="pct"/>
          </w:tcPr>
          <w:p w:rsidR="00B65175" w:rsidRPr="001567C8" w:rsidRDefault="00B65175" w:rsidP="00B65175">
            <w:pPr>
              <w:pStyle w:val="TT"/>
              <w:spacing w:line="200" w:lineRule="exact"/>
              <w:rPr>
                <w:rFonts w:asciiTheme="minorHAnsi" w:hAnsiTheme="minorHAnsi" w:cstheme="minorHAnsi"/>
                <w:b/>
                <w:bCs/>
                <w:sz w:val="16"/>
                <w:szCs w:val="16"/>
                <w:lang w:val="hr-HR"/>
              </w:rPr>
            </w:pPr>
            <w:r w:rsidRPr="001567C8">
              <w:rPr>
                <w:rFonts w:asciiTheme="minorHAnsi" w:hAnsiTheme="minorHAnsi" w:cstheme="minorHAnsi"/>
                <w:b/>
                <w:bCs/>
                <w:sz w:val="16"/>
                <w:szCs w:val="16"/>
                <w:lang w:val="hr-HR"/>
              </w:rPr>
              <w:t>Garancije i preuzete obveze</w:t>
            </w:r>
          </w:p>
        </w:tc>
        <w:tc>
          <w:tcPr>
            <w:tcW w:w="591" w:type="pct"/>
            <w:tcBorders>
              <w:top w:val="nil"/>
              <w:left w:val="nil"/>
              <w:bottom w:val="nil"/>
              <w:right w:val="nil"/>
            </w:tcBorders>
            <w:shd w:val="clear" w:color="auto" w:fill="auto"/>
            <w:vAlign w:val="bottom"/>
          </w:tcPr>
          <w:p w:rsidR="00B65175" w:rsidRPr="00CD3A2D" w:rsidRDefault="00B65175" w:rsidP="00B65175">
            <w:pPr>
              <w:tabs>
                <w:tab w:val="right" w:pos="1202"/>
              </w:tabs>
              <w:spacing w:line="301" w:lineRule="exact"/>
              <w:jc w:val="right"/>
              <w:outlineLvl w:val="0"/>
              <w:rPr>
                <w:rFonts w:asciiTheme="minorHAnsi" w:hAnsiTheme="minorHAnsi" w:cstheme="minorHAnsi"/>
                <w:b/>
                <w:bCs/>
                <w:sz w:val="16"/>
                <w:szCs w:val="16"/>
                <w:lang w:val="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301" w:lineRule="exact"/>
              <w:jc w:val="right"/>
              <w:outlineLvl w:val="0"/>
              <w:rPr>
                <w:rFonts w:asciiTheme="minorHAnsi" w:hAnsiTheme="minorHAnsi" w:cstheme="minorHAnsi"/>
                <w:b/>
                <w:bCs/>
                <w:sz w:val="16"/>
                <w:szCs w:val="16"/>
                <w:lang w:val="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301" w:lineRule="exact"/>
              <w:jc w:val="right"/>
              <w:outlineLvl w:val="0"/>
              <w:rPr>
                <w:rFonts w:asciiTheme="minorHAnsi" w:hAnsiTheme="minorHAnsi" w:cstheme="minorHAnsi"/>
                <w:b/>
                <w:bCs/>
                <w:sz w:val="16"/>
                <w:szCs w:val="16"/>
                <w:lang w:val="hr-HR"/>
              </w:rPr>
            </w:pPr>
          </w:p>
        </w:tc>
        <w:tc>
          <w:tcPr>
            <w:tcW w:w="572" w:type="pct"/>
            <w:tcBorders>
              <w:top w:val="nil"/>
              <w:left w:val="nil"/>
              <w:bottom w:val="nil"/>
              <w:right w:val="nil"/>
            </w:tcBorders>
            <w:shd w:val="clear" w:color="auto" w:fill="auto"/>
            <w:vAlign w:val="bottom"/>
          </w:tcPr>
          <w:p w:rsidR="00B65175" w:rsidRPr="00CD3A2D" w:rsidRDefault="00B65175" w:rsidP="00B65175">
            <w:pPr>
              <w:tabs>
                <w:tab w:val="right" w:pos="1202"/>
              </w:tabs>
              <w:spacing w:line="301" w:lineRule="exact"/>
              <w:jc w:val="right"/>
              <w:outlineLvl w:val="0"/>
              <w:rPr>
                <w:rFonts w:asciiTheme="minorHAnsi" w:hAnsiTheme="minorHAnsi" w:cstheme="minorHAnsi"/>
                <w:b/>
                <w:bCs/>
                <w:sz w:val="16"/>
                <w:szCs w:val="16"/>
                <w:lang w:val="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301" w:lineRule="exact"/>
              <w:jc w:val="right"/>
              <w:outlineLvl w:val="0"/>
              <w:rPr>
                <w:rFonts w:asciiTheme="minorHAnsi" w:hAnsiTheme="minorHAnsi" w:cstheme="minorHAnsi"/>
                <w:b/>
                <w:bCs/>
                <w:sz w:val="16"/>
                <w:szCs w:val="16"/>
                <w:lang w:val="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301" w:lineRule="exact"/>
              <w:jc w:val="right"/>
              <w:outlineLvl w:val="0"/>
              <w:rPr>
                <w:rFonts w:asciiTheme="minorHAnsi" w:hAnsiTheme="minorHAnsi" w:cstheme="minorHAnsi"/>
                <w:b/>
                <w:bCs/>
                <w:sz w:val="16"/>
                <w:szCs w:val="16"/>
                <w:lang w:val="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301" w:lineRule="exact"/>
              <w:jc w:val="right"/>
              <w:outlineLvl w:val="0"/>
              <w:rPr>
                <w:rFonts w:asciiTheme="minorHAnsi" w:hAnsiTheme="minorHAnsi" w:cstheme="minorHAnsi"/>
                <w:b/>
                <w:bCs/>
                <w:sz w:val="16"/>
                <w:szCs w:val="16"/>
                <w:lang w:val="hr-HR"/>
              </w:rPr>
            </w:pPr>
          </w:p>
        </w:tc>
        <w:tc>
          <w:tcPr>
            <w:tcW w:w="479" w:type="pct"/>
            <w:tcBorders>
              <w:top w:val="nil"/>
              <w:left w:val="nil"/>
              <w:bottom w:val="nil"/>
              <w:right w:val="nil"/>
            </w:tcBorders>
            <w:shd w:val="clear" w:color="auto" w:fill="auto"/>
            <w:vAlign w:val="bottom"/>
          </w:tcPr>
          <w:p w:rsidR="00B65175" w:rsidRPr="00CD3A2D" w:rsidRDefault="00B65175" w:rsidP="00B65175">
            <w:pPr>
              <w:tabs>
                <w:tab w:val="right" w:pos="1202"/>
              </w:tabs>
              <w:spacing w:line="301" w:lineRule="exact"/>
              <w:jc w:val="right"/>
              <w:outlineLvl w:val="0"/>
              <w:rPr>
                <w:rFonts w:asciiTheme="minorHAnsi" w:hAnsiTheme="minorHAnsi" w:cstheme="minorHAnsi"/>
                <w:b/>
                <w:bCs/>
                <w:sz w:val="16"/>
                <w:szCs w:val="16"/>
                <w:lang w:val="hr-HR"/>
              </w:rPr>
            </w:pPr>
          </w:p>
        </w:tc>
      </w:tr>
      <w:tr w:rsidR="00B65175" w:rsidRPr="001567C8" w:rsidTr="003C6BA3">
        <w:trPr>
          <w:trHeight w:val="396"/>
          <w:jc w:val="center"/>
        </w:trPr>
        <w:tc>
          <w:tcPr>
            <w:tcW w:w="859" w:type="pct"/>
          </w:tcPr>
          <w:p w:rsidR="00B65175" w:rsidRPr="001567C8" w:rsidRDefault="00B65175" w:rsidP="00B65175">
            <w:pPr>
              <w:pStyle w:val="TT"/>
              <w:spacing w:line="200" w:lineRule="exact"/>
              <w:rPr>
                <w:rFonts w:asciiTheme="minorHAnsi" w:hAnsiTheme="minorHAnsi" w:cstheme="minorHAnsi"/>
                <w:b/>
                <w:bCs/>
                <w:sz w:val="16"/>
                <w:szCs w:val="16"/>
                <w:lang w:val="hr-HR"/>
              </w:rPr>
            </w:pPr>
            <w:r w:rsidRPr="001567C8">
              <w:rPr>
                <w:rFonts w:asciiTheme="minorHAnsi" w:hAnsiTheme="minorHAnsi" w:cstheme="minorHAnsi"/>
                <w:sz w:val="16"/>
                <w:szCs w:val="16"/>
                <w:lang w:val="hr-HR"/>
              </w:rPr>
              <w:t>Izdane garancije u kunama</w:t>
            </w:r>
          </w:p>
        </w:tc>
        <w:tc>
          <w:tcPr>
            <w:tcW w:w="591"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33.993</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33.993</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1.254</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1.254</w:t>
            </w:r>
          </w:p>
        </w:tc>
      </w:tr>
      <w:tr w:rsidR="00B65175" w:rsidRPr="001567C8" w:rsidTr="003C6BA3">
        <w:trPr>
          <w:trHeight w:val="363"/>
          <w:jc w:val="center"/>
        </w:trPr>
        <w:tc>
          <w:tcPr>
            <w:tcW w:w="859" w:type="pct"/>
            <w:vAlign w:val="center"/>
          </w:tcPr>
          <w:p w:rsidR="00B65175" w:rsidRPr="001567C8" w:rsidRDefault="00B65175" w:rsidP="00B65175">
            <w:pPr>
              <w:pStyle w:val="TT"/>
              <w:spacing w:line="240" w:lineRule="auto"/>
              <w:rPr>
                <w:rFonts w:asciiTheme="minorHAnsi" w:hAnsiTheme="minorHAnsi" w:cstheme="minorHAnsi"/>
                <w:sz w:val="16"/>
                <w:szCs w:val="16"/>
                <w:lang w:val="hr-HR"/>
              </w:rPr>
            </w:pPr>
            <w:r w:rsidRPr="001567C8">
              <w:rPr>
                <w:rFonts w:asciiTheme="minorHAnsi" w:hAnsiTheme="minorHAnsi" w:cstheme="minorHAnsi"/>
                <w:sz w:val="16"/>
                <w:szCs w:val="16"/>
                <w:lang w:val="hr-HR"/>
              </w:rPr>
              <w:t>Izdane garancije u devizama</w:t>
            </w:r>
          </w:p>
        </w:tc>
        <w:tc>
          <w:tcPr>
            <w:tcW w:w="591"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2.425.975</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20.349</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2.446.324</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330.170</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330.170</w:t>
            </w:r>
          </w:p>
        </w:tc>
      </w:tr>
      <w:tr w:rsidR="00B65175" w:rsidRPr="001567C8" w:rsidTr="003C6BA3">
        <w:trPr>
          <w:trHeight w:val="295"/>
          <w:jc w:val="center"/>
        </w:trPr>
        <w:tc>
          <w:tcPr>
            <w:tcW w:w="859" w:type="pct"/>
            <w:vAlign w:val="center"/>
          </w:tcPr>
          <w:p w:rsidR="00B65175" w:rsidRPr="001567C8" w:rsidRDefault="00B65175" w:rsidP="00B65175">
            <w:pPr>
              <w:pStyle w:val="TT"/>
              <w:spacing w:line="240" w:lineRule="auto"/>
              <w:rPr>
                <w:rFonts w:asciiTheme="minorHAnsi" w:hAnsiTheme="minorHAnsi" w:cstheme="minorHAnsi"/>
                <w:sz w:val="16"/>
                <w:szCs w:val="16"/>
                <w:lang w:val="hr-HR"/>
              </w:rPr>
            </w:pPr>
            <w:r w:rsidRPr="001567C8">
              <w:rPr>
                <w:rFonts w:asciiTheme="minorHAnsi" w:hAnsiTheme="minorHAnsi" w:cstheme="minorHAnsi"/>
                <w:sz w:val="16"/>
                <w:szCs w:val="16"/>
                <w:lang w:val="hr-HR"/>
              </w:rPr>
              <w:t>Preuzete obveze po kreditima</w:t>
            </w:r>
          </w:p>
        </w:tc>
        <w:tc>
          <w:tcPr>
            <w:tcW w:w="591"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2.984.971</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1.827</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2.986.798</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443.036</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nil"/>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443.036</w:t>
            </w:r>
          </w:p>
        </w:tc>
      </w:tr>
      <w:tr w:rsidR="00B65175" w:rsidRPr="001567C8" w:rsidTr="003C6BA3">
        <w:trPr>
          <w:trHeight w:val="544"/>
          <w:jc w:val="center"/>
        </w:trPr>
        <w:tc>
          <w:tcPr>
            <w:tcW w:w="859" w:type="pct"/>
            <w:vAlign w:val="center"/>
          </w:tcPr>
          <w:p w:rsidR="00B65175" w:rsidRPr="001567C8" w:rsidRDefault="00B65175" w:rsidP="00B65175">
            <w:pPr>
              <w:pStyle w:val="TT"/>
              <w:spacing w:line="240" w:lineRule="auto"/>
              <w:rPr>
                <w:rFonts w:asciiTheme="minorHAnsi" w:hAnsiTheme="minorHAnsi" w:cstheme="minorHAnsi"/>
                <w:sz w:val="16"/>
                <w:szCs w:val="16"/>
                <w:lang w:val="hr-HR"/>
              </w:rPr>
            </w:pPr>
            <w:r w:rsidRPr="001567C8">
              <w:rPr>
                <w:rFonts w:asciiTheme="minorHAnsi" w:hAnsiTheme="minorHAnsi" w:cstheme="minorHAnsi"/>
                <w:sz w:val="16"/>
                <w:szCs w:val="16"/>
                <w:lang w:val="hr-HR"/>
              </w:rPr>
              <w:t>Ostale nespomenute neopozive potencijalne obveze</w:t>
            </w:r>
          </w:p>
        </w:tc>
        <w:tc>
          <w:tcPr>
            <w:tcW w:w="591"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335</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72"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335</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335</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500"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w:t>
            </w:r>
          </w:p>
        </w:tc>
        <w:tc>
          <w:tcPr>
            <w:tcW w:w="479" w:type="pct"/>
            <w:tcBorders>
              <w:top w:val="nil"/>
              <w:left w:val="nil"/>
              <w:bottom w:val="single" w:sz="8" w:space="0" w:color="auto"/>
              <w:right w:val="nil"/>
            </w:tcBorders>
            <w:shd w:val="clear" w:color="auto" w:fill="auto"/>
            <w:vAlign w:val="bottom"/>
          </w:tcPr>
          <w:p w:rsidR="00B65175" w:rsidRPr="00CD3A2D" w:rsidRDefault="00B65175" w:rsidP="00B65175">
            <w:pPr>
              <w:jc w:val="right"/>
              <w:rPr>
                <w:rFonts w:asciiTheme="minorHAnsi" w:hAnsiTheme="minorHAnsi" w:cstheme="minorHAnsi"/>
                <w:sz w:val="16"/>
                <w:szCs w:val="16"/>
                <w:lang w:val="hr-HR"/>
              </w:rPr>
            </w:pPr>
            <w:r w:rsidRPr="00CD3A2D">
              <w:rPr>
                <w:rFonts w:asciiTheme="minorHAnsi" w:hAnsiTheme="minorHAnsi" w:cstheme="minorHAnsi"/>
                <w:color w:val="000000"/>
                <w:sz w:val="16"/>
                <w:szCs w:val="16"/>
                <w:lang w:val="hr-HR"/>
              </w:rPr>
              <w:t>335</w:t>
            </w:r>
          </w:p>
        </w:tc>
      </w:tr>
      <w:tr w:rsidR="00B65175" w:rsidRPr="001567C8" w:rsidTr="003C6BA3">
        <w:trPr>
          <w:trHeight w:val="329"/>
          <w:jc w:val="center"/>
        </w:trPr>
        <w:tc>
          <w:tcPr>
            <w:tcW w:w="859" w:type="pct"/>
            <w:vAlign w:val="center"/>
          </w:tcPr>
          <w:p w:rsidR="00B65175" w:rsidRPr="001567C8" w:rsidRDefault="00B65175">
            <w:pPr>
              <w:pStyle w:val="Tot"/>
              <w:spacing w:line="240" w:lineRule="exact"/>
              <w:rPr>
                <w:rFonts w:asciiTheme="minorHAnsi" w:hAnsiTheme="minorHAnsi" w:cstheme="minorHAnsi"/>
                <w:b/>
                <w:bCs/>
                <w:sz w:val="16"/>
                <w:szCs w:val="16"/>
                <w:lang w:val="hr-HR"/>
              </w:rPr>
            </w:pPr>
            <w:r w:rsidRPr="001567C8">
              <w:rPr>
                <w:rFonts w:asciiTheme="minorHAnsi" w:hAnsiTheme="minorHAnsi" w:cstheme="minorHAnsi"/>
                <w:b/>
                <w:bCs/>
                <w:sz w:val="16"/>
                <w:szCs w:val="16"/>
                <w:lang w:val="hr-HR"/>
              </w:rPr>
              <w:t>Ukupno</w:t>
            </w:r>
          </w:p>
        </w:tc>
        <w:tc>
          <w:tcPr>
            <w:tcW w:w="591"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bCs/>
                <w:sz w:val="16"/>
                <w:szCs w:val="16"/>
                <w:lang w:val="hr-HR"/>
              </w:rPr>
            </w:pPr>
            <w:r w:rsidRPr="00CD3A2D">
              <w:rPr>
                <w:rFonts w:asciiTheme="minorHAnsi" w:hAnsiTheme="minorHAnsi" w:cstheme="minorHAnsi"/>
                <w:b/>
                <w:bCs/>
                <w:color w:val="000000"/>
                <w:sz w:val="16"/>
                <w:szCs w:val="16"/>
                <w:lang w:val="hr-HR"/>
              </w:rPr>
              <w:t>5.445.274</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bCs/>
                <w:sz w:val="16"/>
                <w:szCs w:val="16"/>
                <w:lang w:val="hr-HR"/>
              </w:rPr>
            </w:pPr>
            <w:r w:rsidRPr="00CD3A2D">
              <w:rPr>
                <w:rFonts w:asciiTheme="minorHAnsi" w:hAnsiTheme="minorHAnsi" w:cstheme="minorHAnsi"/>
                <w:b/>
                <w:bCs/>
                <w:color w:val="000000"/>
                <w:sz w:val="16"/>
                <w:szCs w:val="16"/>
                <w:lang w:val="hr-HR"/>
              </w:rPr>
              <w:t>22.176</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bCs/>
                <w:sz w:val="16"/>
                <w:szCs w:val="16"/>
                <w:lang w:val="hr-HR"/>
              </w:rPr>
            </w:pPr>
            <w:r w:rsidRPr="00CD3A2D">
              <w:rPr>
                <w:rFonts w:asciiTheme="minorHAnsi" w:hAnsiTheme="minorHAnsi" w:cstheme="minorHAnsi"/>
                <w:b/>
                <w:bCs/>
                <w:color w:val="000000"/>
                <w:sz w:val="16"/>
                <w:szCs w:val="16"/>
                <w:lang w:val="hr-HR"/>
              </w:rPr>
              <w:t>-</w:t>
            </w:r>
          </w:p>
        </w:tc>
        <w:tc>
          <w:tcPr>
            <w:tcW w:w="572"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bCs/>
                <w:sz w:val="16"/>
                <w:szCs w:val="16"/>
                <w:lang w:val="hr-HR"/>
              </w:rPr>
            </w:pPr>
            <w:r w:rsidRPr="00CD3A2D">
              <w:rPr>
                <w:rFonts w:asciiTheme="minorHAnsi" w:hAnsiTheme="minorHAnsi" w:cstheme="minorHAnsi"/>
                <w:b/>
                <w:bCs/>
                <w:color w:val="000000"/>
                <w:sz w:val="16"/>
                <w:szCs w:val="16"/>
                <w:lang w:val="hr-HR"/>
              </w:rPr>
              <w:t>5.467.450</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bCs/>
                <w:sz w:val="16"/>
                <w:szCs w:val="16"/>
                <w:lang w:val="hr-HR"/>
              </w:rPr>
            </w:pPr>
            <w:r w:rsidRPr="00CD3A2D">
              <w:rPr>
                <w:rFonts w:asciiTheme="minorHAnsi" w:hAnsiTheme="minorHAnsi" w:cstheme="minorHAnsi"/>
                <w:b/>
                <w:bCs/>
                <w:color w:val="000000"/>
                <w:sz w:val="16"/>
                <w:szCs w:val="16"/>
                <w:lang w:val="hr-HR"/>
              </w:rPr>
              <w:t>774.795</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bCs/>
                <w:sz w:val="16"/>
                <w:szCs w:val="16"/>
                <w:lang w:val="hr-HR"/>
              </w:rPr>
            </w:pPr>
            <w:r w:rsidRPr="00CD3A2D">
              <w:rPr>
                <w:rFonts w:asciiTheme="minorHAnsi" w:hAnsiTheme="minorHAnsi" w:cstheme="minorHAnsi"/>
                <w:b/>
                <w:bCs/>
                <w:color w:val="000000"/>
                <w:sz w:val="16"/>
                <w:szCs w:val="16"/>
                <w:lang w:val="hr-HR"/>
              </w:rPr>
              <w:t>-</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bCs/>
                <w:sz w:val="16"/>
                <w:szCs w:val="16"/>
                <w:lang w:val="hr-HR"/>
              </w:rPr>
            </w:pPr>
            <w:r w:rsidRPr="00CD3A2D">
              <w:rPr>
                <w:rFonts w:asciiTheme="minorHAnsi" w:hAnsiTheme="minorHAnsi" w:cstheme="minorHAnsi"/>
                <w:b/>
                <w:bCs/>
                <w:color w:val="000000"/>
                <w:sz w:val="16"/>
                <w:szCs w:val="16"/>
                <w:lang w:val="hr-HR"/>
              </w:rPr>
              <w:t>-</w:t>
            </w:r>
          </w:p>
        </w:tc>
        <w:tc>
          <w:tcPr>
            <w:tcW w:w="479"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bCs/>
                <w:sz w:val="16"/>
                <w:szCs w:val="16"/>
                <w:lang w:val="hr-HR"/>
              </w:rPr>
            </w:pPr>
            <w:r w:rsidRPr="00CD3A2D">
              <w:rPr>
                <w:rFonts w:asciiTheme="minorHAnsi" w:hAnsiTheme="minorHAnsi" w:cstheme="minorHAnsi"/>
                <w:b/>
                <w:bCs/>
                <w:color w:val="000000"/>
                <w:sz w:val="16"/>
                <w:szCs w:val="16"/>
                <w:lang w:val="hr-HR"/>
              </w:rPr>
              <w:t>774.795</w:t>
            </w:r>
          </w:p>
        </w:tc>
      </w:tr>
      <w:tr w:rsidR="00B65175" w:rsidRPr="001567C8" w:rsidTr="003C6BA3">
        <w:trPr>
          <w:trHeight w:val="37"/>
          <w:jc w:val="center"/>
        </w:trPr>
        <w:tc>
          <w:tcPr>
            <w:tcW w:w="859" w:type="pct"/>
            <w:vAlign w:val="bottom"/>
          </w:tcPr>
          <w:p w:rsidR="00B65175" w:rsidRPr="001567C8" w:rsidRDefault="00B65175" w:rsidP="00B65175">
            <w:pPr>
              <w:pStyle w:val="Tot"/>
              <w:spacing w:line="120" w:lineRule="auto"/>
              <w:jc w:val="center"/>
              <w:rPr>
                <w:rFonts w:asciiTheme="minorHAnsi" w:hAnsiTheme="minorHAnsi" w:cstheme="minorHAnsi"/>
                <w:b/>
                <w:bCs/>
                <w:sz w:val="16"/>
                <w:szCs w:val="16"/>
                <w:lang w:val="hr-HR"/>
              </w:rPr>
            </w:pPr>
          </w:p>
        </w:tc>
        <w:tc>
          <w:tcPr>
            <w:tcW w:w="591" w:type="pct"/>
            <w:tcBorders>
              <w:top w:val="nil"/>
              <w:left w:val="nil"/>
              <w:bottom w:val="nil"/>
              <w:right w:val="nil"/>
            </w:tcBorders>
            <w:shd w:val="clear" w:color="auto" w:fill="auto"/>
            <w:vAlign w:val="bottom"/>
          </w:tcPr>
          <w:p w:rsidR="00B65175" w:rsidRPr="00CD3A2D" w:rsidRDefault="00B65175" w:rsidP="00B65175">
            <w:pPr>
              <w:tabs>
                <w:tab w:val="right" w:pos="1202"/>
              </w:tabs>
              <w:spacing w:line="120" w:lineRule="auto"/>
              <w:jc w:val="right"/>
              <w:outlineLvl w:val="0"/>
              <w:rPr>
                <w:rFonts w:asciiTheme="minorHAnsi" w:hAnsiTheme="minorHAnsi" w:cstheme="minorHAnsi"/>
                <w:b/>
                <w:bCs/>
                <w:sz w:val="16"/>
                <w:szCs w:val="16"/>
                <w:lang w:val="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120" w:lineRule="auto"/>
              <w:jc w:val="right"/>
              <w:outlineLvl w:val="0"/>
              <w:rPr>
                <w:rFonts w:asciiTheme="minorHAnsi" w:hAnsiTheme="minorHAnsi" w:cstheme="minorHAnsi"/>
                <w:b/>
                <w:bCs/>
                <w:sz w:val="16"/>
                <w:szCs w:val="16"/>
                <w:lang w:val="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120" w:lineRule="auto"/>
              <w:jc w:val="right"/>
              <w:outlineLvl w:val="0"/>
              <w:rPr>
                <w:rFonts w:asciiTheme="minorHAnsi" w:hAnsiTheme="minorHAnsi" w:cstheme="minorHAnsi"/>
                <w:b/>
                <w:bCs/>
                <w:sz w:val="16"/>
                <w:szCs w:val="16"/>
                <w:lang w:val="hr-HR"/>
              </w:rPr>
            </w:pPr>
          </w:p>
        </w:tc>
        <w:tc>
          <w:tcPr>
            <w:tcW w:w="572" w:type="pct"/>
            <w:tcBorders>
              <w:top w:val="nil"/>
              <w:left w:val="nil"/>
              <w:bottom w:val="nil"/>
              <w:right w:val="nil"/>
            </w:tcBorders>
            <w:shd w:val="clear" w:color="auto" w:fill="auto"/>
            <w:vAlign w:val="bottom"/>
          </w:tcPr>
          <w:p w:rsidR="00B65175" w:rsidRPr="00CD3A2D" w:rsidRDefault="00B65175" w:rsidP="00B65175">
            <w:pPr>
              <w:tabs>
                <w:tab w:val="right" w:pos="1202"/>
              </w:tabs>
              <w:spacing w:line="120" w:lineRule="auto"/>
              <w:jc w:val="right"/>
              <w:outlineLvl w:val="0"/>
              <w:rPr>
                <w:rFonts w:asciiTheme="minorHAnsi" w:hAnsiTheme="minorHAnsi" w:cstheme="minorHAnsi"/>
                <w:b/>
                <w:bCs/>
                <w:sz w:val="16"/>
                <w:szCs w:val="16"/>
                <w:lang w:val="hr-HR" w:eastAsia="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120" w:lineRule="auto"/>
              <w:jc w:val="right"/>
              <w:outlineLvl w:val="0"/>
              <w:rPr>
                <w:rFonts w:asciiTheme="minorHAnsi" w:hAnsiTheme="minorHAnsi" w:cstheme="minorHAnsi"/>
                <w:b/>
                <w:bCs/>
                <w:sz w:val="16"/>
                <w:szCs w:val="16"/>
                <w:lang w:val="hr-HR" w:eastAsia="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120" w:lineRule="auto"/>
              <w:jc w:val="right"/>
              <w:outlineLvl w:val="0"/>
              <w:rPr>
                <w:rFonts w:asciiTheme="minorHAnsi" w:hAnsiTheme="minorHAnsi" w:cstheme="minorHAnsi"/>
                <w:b/>
                <w:bCs/>
                <w:sz w:val="16"/>
                <w:szCs w:val="16"/>
                <w:lang w:val="hr-HR" w:eastAsia="hr-HR"/>
              </w:rPr>
            </w:pPr>
          </w:p>
        </w:tc>
        <w:tc>
          <w:tcPr>
            <w:tcW w:w="500" w:type="pct"/>
            <w:tcBorders>
              <w:top w:val="nil"/>
              <w:left w:val="nil"/>
              <w:bottom w:val="nil"/>
              <w:right w:val="nil"/>
            </w:tcBorders>
            <w:shd w:val="clear" w:color="auto" w:fill="auto"/>
            <w:vAlign w:val="bottom"/>
          </w:tcPr>
          <w:p w:rsidR="00B65175" w:rsidRPr="00CD3A2D" w:rsidRDefault="00B65175" w:rsidP="00B65175">
            <w:pPr>
              <w:tabs>
                <w:tab w:val="right" w:pos="1202"/>
              </w:tabs>
              <w:spacing w:line="120" w:lineRule="auto"/>
              <w:jc w:val="right"/>
              <w:outlineLvl w:val="0"/>
              <w:rPr>
                <w:rFonts w:asciiTheme="minorHAnsi" w:hAnsiTheme="minorHAnsi" w:cstheme="minorHAnsi"/>
                <w:b/>
                <w:bCs/>
                <w:sz w:val="16"/>
                <w:szCs w:val="16"/>
                <w:lang w:val="hr-HR" w:eastAsia="hr-HR"/>
              </w:rPr>
            </w:pPr>
          </w:p>
        </w:tc>
        <w:tc>
          <w:tcPr>
            <w:tcW w:w="479" w:type="pct"/>
            <w:tcBorders>
              <w:top w:val="nil"/>
              <w:left w:val="nil"/>
              <w:bottom w:val="nil"/>
              <w:right w:val="nil"/>
            </w:tcBorders>
            <w:shd w:val="clear" w:color="auto" w:fill="auto"/>
            <w:vAlign w:val="bottom"/>
          </w:tcPr>
          <w:p w:rsidR="00B65175" w:rsidRPr="00CD3A2D" w:rsidRDefault="00B65175" w:rsidP="00B65175">
            <w:pPr>
              <w:tabs>
                <w:tab w:val="right" w:pos="1202"/>
              </w:tabs>
              <w:spacing w:line="120" w:lineRule="auto"/>
              <w:jc w:val="right"/>
              <w:outlineLvl w:val="0"/>
              <w:rPr>
                <w:rFonts w:asciiTheme="minorHAnsi" w:hAnsiTheme="minorHAnsi" w:cstheme="minorHAnsi"/>
                <w:b/>
                <w:bCs/>
                <w:sz w:val="16"/>
                <w:szCs w:val="16"/>
                <w:lang w:val="hr-HR"/>
              </w:rPr>
            </w:pPr>
          </w:p>
        </w:tc>
      </w:tr>
      <w:tr w:rsidR="00B65175" w:rsidRPr="001567C8" w:rsidTr="003C6BA3">
        <w:trPr>
          <w:trHeight w:val="441"/>
          <w:jc w:val="center"/>
        </w:trPr>
        <w:tc>
          <w:tcPr>
            <w:tcW w:w="859" w:type="pct"/>
            <w:vAlign w:val="center"/>
          </w:tcPr>
          <w:p w:rsidR="00B65175" w:rsidRPr="001567C8" w:rsidRDefault="00B65175" w:rsidP="00B65175">
            <w:pPr>
              <w:pStyle w:val="Tot"/>
              <w:spacing w:line="220" w:lineRule="exact"/>
              <w:rPr>
                <w:rFonts w:asciiTheme="minorHAnsi" w:hAnsiTheme="minorHAnsi" w:cstheme="minorHAnsi"/>
                <w:b/>
                <w:bCs/>
                <w:sz w:val="16"/>
                <w:szCs w:val="16"/>
                <w:lang w:val="hr-HR"/>
              </w:rPr>
            </w:pPr>
            <w:r w:rsidRPr="001567C8">
              <w:rPr>
                <w:rFonts w:asciiTheme="minorHAnsi" w:hAnsiTheme="minorHAnsi" w:cstheme="minorHAnsi"/>
                <w:b/>
                <w:bCs/>
                <w:sz w:val="16"/>
                <w:szCs w:val="16"/>
                <w:lang w:val="hr-HR"/>
              </w:rPr>
              <w:t>Ukupna izloženost kreditnom riziku</w:t>
            </w:r>
          </w:p>
        </w:tc>
        <w:tc>
          <w:tcPr>
            <w:tcW w:w="591"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30.946.432</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1.627.031</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w:t>
            </w:r>
          </w:p>
        </w:tc>
        <w:tc>
          <w:tcPr>
            <w:tcW w:w="572"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32.573.463</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5.989.235</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51.132</w:t>
            </w:r>
          </w:p>
        </w:tc>
        <w:tc>
          <w:tcPr>
            <w:tcW w:w="500"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w:t>
            </w:r>
          </w:p>
        </w:tc>
        <w:tc>
          <w:tcPr>
            <w:tcW w:w="479" w:type="pct"/>
            <w:tcBorders>
              <w:top w:val="nil"/>
              <w:left w:val="nil"/>
              <w:bottom w:val="single" w:sz="12" w:space="0" w:color="auto"/>
              <w:right w:val="nil"/>
            </w:tcBorders>
            <w:shd w:val="clear" w:color="auto" w:fill="auto"/>
            <w:vAlign w:val="bottom"/>
          </w:tcPr>
          <w:p w:rsidR="00B65175" w:rsidRPr="00CD3A2D" w:rsidRDefault="00B65175" w:rsidP="00B65175">
            <w:pPr>
              <w:jc w:val="right"/>
              <w:rPr>
                <w:rFonts w:asciiTheme="minorHAnsi" w:hAnsiTheme="minorHAnsi" w:cstheme="minorHAnsi"/>
                <w:b/>
                <w:sz w:val="16"/>
                <w:szCs w:val="16"/>
                <w:lang w:val="hr-HR"/>
              </w:rPr>
            </w:pPr>
            <w:r w:rsidRPr="00CD3A2D">
              <w:rPr>
                <w:rFonts w:asciiTheme="minorHAnsi" w:hAnsiTheme="minorHAnsi" w:cstheme="minorHAnsi"/>
                <w:b/>
                <w:bCs/>
                <w:color w:val="000000"/>
                <w:sz w:val="16"/>
                <w:szCs w:val="16"/>
                <w:lang w:val="hr-HR"/>
              </w:rPr>
              <w:t>6.040.367</w:t>
            </w:r>
          </w:p>
        </w:tc>
      </w:tr>
    </w:tbl>
    <w:p w:rsidR="00211700" w:rsidRPr="001567C8" w:rsidRDefault="00211700" w:rsidP="00211700">
      <w:pPr>
        <w:tabs>
          <w:tab w:val="left" w:pos="9180"/>
        </w:tabs>
        <w:ind w:right="-289"/>
        <w:jc w:val="both"/>
        <w:rPr>
          <w:rFonts w:asciiTheme="minorHAnsi" w:hAnsiTheme="minorHAnsi" w:cs="Arial"/>
          <w:bCs/>
          <w:sz w:val="22"/>
          <w:szCs w:val="22"/>
          <w:lang w:val="hr-HR"/>
        </w:rPr>
      </w:pPr>
    </w:p>
    <w:p w:rsidR="006403CD" w:rsidRPr="001567C8" w:rsidRDefault="006403CD" w:rsidP="006403CD">
      <w:pPr>
        <w:tabs>
          <w:tab w:val="left" w:pos="9180"/>
        </w:tabs>
        <w:ind w:right="-289"/>
        <w:jc w:val="both"/>
        <w:rPr>
          <w:rFonts w:asciiTheme="minorHAnsi" w:hAnsiTheme="minorHAnsi" w:cs="Arial"/>
          <w:bCs/>
          <w:sz w:val="22"/>
          <w:szCs w:val="22"/>
          <w:lang w:val="hr-HR"/>
        </w:rPr>
        <w:sectPr w:rsidR="006403CD" w:rsidRPr="001567C8" w:rsidSect="0077198A">
          <w:pgSz w:w="11907" w:h="16840" w:code="9"/>
          <w:pgMar w:top="1418" w:right="1134" w:bottom="1134" w:left="1418" w:header="851" w:footer="851" w:gutter="0"/>
          <w:cols w:space="720"/>
          <w:noEndnote/>
        </w:sectPr>
      </w:pPr>
      <w:r w:rsidRPr="001567C8">
        <w:rPr>
          <w:rFonts w:asciiTheme="minorHAnsi" w:hAnsiTheme="minorHAnsi" w:cs="Arial"/>
          <w:bCs/>
          <w:sz w:val="22"/>
          <w:szCs w:val="22"/>
          <w:lang w:val="hr-HR"/>
        </w:rPr>
        <w:t>U ukupnoj neto najvećoj izloženosti Grupe i Banke i</w:t>
      </w:r>
      <w:r w:rsidRPr="001567C8">
        <w:rPr>
          <w:rFonts w:asciiTheme="minorHAnsi" w:hAnsiTheme="minorHAnsi" w:cs="Arial"/>
          <w:sz w:val="22"/>
          <w:szCs w:val="22"/>
          <w:lang w:val="hr-HR"/>
        </w:rPr>
        <w:t>znos kredita ostalim korisnicima od 1.</w:t>
      </w:r>
      <w:r w:rsidR="00D82351" w:rsidRPr="001567C8">
        <w:rPr>
          <w:rFonts w:asciiTheme="minorHAnsi" w:hAnsiTheme="minorHAnsi" w:cs="Arial"/>
          <w:sz w:val="22"/>
          <w:szCs w:val="22"/>
          <w:lang w:val="hr-HR"/>
        </w:rPr>
        <w:t>521.624</w:t>
      </w:r>
      <w:r w:rsidRPr="001567C8">
        <w:rPr>
          <w:rFonts w:asciiTheme="minorHAnsi" w:hAnsiTheme="minorHAnsi" w:cs="Arial"/>
          <w:sz w:val="22"/>
          <w:szCs w:val="22"/>
          <w:lang w:val="hr-HR"/>
        </w:rPr>
        <w:t xml:space="preserve"> tisuća kuna nije pokriven uobičajenim instrumentima osiguranja, ali se odnosi na potraživanja i primljena sredstva od Republike Hrvatske u iznosu od 6</w:t>
      </w:r>
      <w:r w:rsidR="00D82351" w:rsidRPr="001567C8">
        <w:rPr>
          <w:rFonts w:asciiTheme="minorHAnsi" w:hAnsiTheme="minorHAnsi" w:cs="Arial"/>
          <w:sz w:val="22"/>
          <w:szCs w:val="22"/>
          <w:lang w:val="hr-HR"/>
        </w:rPr>
        <w:t xml:space="preserve">18.596 </w:t>
      </w:r>
      <w:r w:rsidRPr="001567C8">
        <w:rPr>
          <w:rFonts w:asciiTheme="minorHAnsi" w:hAnsiTheme="minorHAnsi" w:cs="Arial"/>
          <w:sz w:val="22"/>
          <w:szCs w:val="22"/>
          <w:lang w:val="hr-HR"/>
        </w:rPr>
        <w:t xml:space="preserve">tisuća kuna, jedinica lokalne i područne (regionalne) samouprave u iznosu od </w:t>
      </w:r>
      <w:r w:rsidR="00D82351" w:rsidRPr="001567C8">
        <w:rPr>
          <w:rFonts w:asciiTheme="minorHAnsi" w:hAnsiTheme="minorHAnsi" w:cs="Arial"/>
          <w:sz w:val="22"/>
          <w:szCs w:val="22"/>
          <w:lang w:val="hr-HR"/>
        </w:rPr>
        <w:t>510.573</w:t>
      </w:r>
      <w:r w:rsidRPr="001567C8">
        <w:rPr>
          <w:rFonts w:asciiTheme="minorHAnsi" w:hAnsiTheme="minorHAnsi" w:cs="Arial"/>
          <w:sz w:val="22"/>
          <w:szCs w:val="22"/>
          <w:lang w:val="hr-HR"/>
        </w:rPr>
        <w:t xml:space="preserve"> tisuća kuna, državnih trgovačkih društava za čije obveze Republika Hrvatska odgovara solidarno i neograničeno u iznosu od 24</w:t>
      </w:r>
      <w:r w:rsidR="00D82351" w:rsidRPr="001567C8">
        <w:rPr>
          <w:rFonts w:asciiTheme="minorHAnsi" w:hAnsiTheme="minorHAnsi" w:cs="Arial"/>
          <w:sz w:val="22"/>
          <w:szCs w:val="22"/>
          <w:lang w:val="hr-HR"/>
        </w:rPr>
        <w:t>0.099</w:t>
      </w:r>
      <w:r w:rsidRPr="001567C8">
        <w:rPr>
          <w:rFonts w:asciiTheme="minorHAnsi" w:hAnsiTheme="minorHAnsi" w:cs="Arial"/>
          <w:sz w:val="22"/>
          <w:szCs w:val="22"/>
          <w:lang w:val="hr-HR"/>
        </w:rPr>
        <w:t xml:space="preserve"> tisuća kuna. </w:t>
      </w:r>
      <w:r w:rsidRPr="001567C8">
        <w:rPr>
          <w:rFonts w:asciiTheme="minorHAnsi" w:hAnsiTheme="minorHAnsi" w:cs="Arial"/>
          <w:bCs/>
          <w:sz w:val="22"/>
          <w:szCs w:val="22"/>
          <w:lang w:val="hr-HR"/>
        </w:rPr>
        <w:t xml:space="preserve">Dodatno, iznos od </w:t>
      </w:r>
      <w:r w:rsidR="00D82351" w:rsidRPr="001567C8">
        <w:rPr>
          <w:rFonts w:asciiTheme="minorHAnsi" w:hAnsiTheme="minorHAnsi" w:cs="Arial"/>
          <w:bCs/>
          <w:sz w:val="22"/>
          <w:szCs w:val="22"/>
          <w:lang w:val="hr-HR"/>
        </w:rPr>
        <w:t>152.356</w:t>
      </w:r>
      <w:r w:rsidRPr="001567C8">
        <w:rPr>
          <w:rFonts w:asciiTheme="minorHAnsi" w:hAnsiTheme="minorHAnsi" w:cs="Arial"/>
          <w:bCs/>
          <w:sz w:val="22"/>
          <w:szCs w:val="22"/>
          <w:lang w:val="hr-HR"/>
        </w:rPr>
        <w:t xml:space="preserve"> tisuća kuna odnosi se na potraživanja od trgovačkog društva u većinskom državnom vlasništvu (kontrolni utjecaj).</w:t>
      </w:r>
    </w:p>
    <w:p w:rsidR="005F1E67" w:rsidRPr="001567C8" w:rsidRDefault="005F1E67" w:rsidP="005F1E67">
      <w:pPr>
        <w:pStyle w:val="T1"/>
        <w:spacing w:before="0" w:after="0" w:line="240" w:lineRule="auto"/>
        <w:rPr>
          <w:rFonts w:asciiTheme="minorHAnsi" w:hAnsiTheme="minorHAnsi" w:cs="Arial"/>
          <w:sz w:val="22"/>
          <w:szCs w:val="22"/>
          <w:lang w:val="hr-HR"/>
        </w:rPr>
      </w:pPr>
    </w:p>
    <w:p w:rsidR="005F1E67" w:rsidRPr="001567C8" w:rsidRDefault="005F1E67" w:rsidP="005F1E6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A35A84"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Upravljanje rizicima (nastavak)</w:t>
      </w:r>
    </w:p>
    <w:p w:rsidR="005F1E67" w:rsidRPr="001567C8" w:rsidRDefault="005F1E67" w:rsidP="005F1E67">
      <w:pPr>
        <w:pStyle w:val="T1"/>
        <w:spacing w:before="0" w:after="0" w:line="240" w:lineRule="auto"/>
        <w:rPr>
          <w:rFonts w:asciiTheme="minorHAnsi" w:hAnsiTheme="minorHAnsi" w:cs="Arial"/>
          <w:sz w:val="22"/>
          <w:szCs w:val="22"/>
          <w:lang w:val="hr-HR"/>
        </w:rPr>
      </w:pPr>
    </w:p>
    <w:p w:rsidR="005F1E67" w:rsidRPr="001567C8" w:rsidRDefault="005F1E67" w:rsidP="005F1E6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A35A84"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3</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Kreditni rizik (nastavak)</w:t>
      </w:r>
    </w:p>
    <w:p w:rsidR="005F1E67" w:rsidRPr="001567C8" w:rsidRDefault="005F1E67" w:rsidP="005F1E67">
      <w:pPr>
        <w:pStyle w:val="T1"/>
        <w:spacing w:before="0" w:after="0" w:line="240" w:lineRule="auto"/>
        <w:rPr>
          <w:rFonts w:asciiTheme="minorHAnsi" w:hAnsiTheme="minorHAnsi" w:cs="Arial"/>
          <w:sz w:val="22"/>
          <w:szCs w:val="22"/>
          <w:lang w:val="hr-HR"/>
        </w:rPr>
      </w:pPr>
    </w:p>
    <w:p w:rsidR="005F1E67" w:rsidRPr="001567C8" w:rsidRDefault="005F1E67" w:rsidP="005F1E67">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Kvaliteta kreditnog rizika prema vrsti financijske imovine (nastavak)</w:t>
      </w:r>
    </w:p>
    <w:p w:rsidR="00807ECE" w:rsidRPr="001567C8" w:rsidRDefault="00807ECE" w:rsidP="00211700">
      <w:pPr>
        <w:tabs>
          <w:tab w:val="left" w:pos="9180"/>
        </w:tabs>
        <w:ind w:right="-289"/>
        <w:jc w:val="both"/>
        <w:rPr>
          <w:rFonts w:asciiTheme="minorHAnsi" w:hAnsiTheme="minorHAnsi" w:cs="Arial"/>
          <w:sz w:val="22"/>
          <w:szCs w:val="22"/>
          <w:lang w:val="hr-HR"/>
        </w:rPr>
      </w:pPr>
    </w:p>
    <w:p w:rsidR="00C25848" w:rsidRPr="001567C8" w:rsidRDefault="00C25848" w:rsidP="00361B04">
      <w:pPr>
        <w:tabs>
          <w:tab w:val="left" w:pos="9180"/>
        </w:tabs>
        <w:jc w:val="both"/>
        <w:rPr>
          <w:rFonts w:asciiTheme="minorHAnsi" w:hAnsiTheme="minorHAnsi" w:cs="Arial"/>
          <w:sz w:val="22"/>
          <w:szCs w:val="22"/>
          <w:lang w:val="hr-HR"/>
        </w:rPr>
      </w:pPr>
      <w:r w:rsidRPr="001567C8">
        <w:rPr>
          <w:rFonts w:asciiTheme="minorHAnsi" w:hAnsiTheme="minorHAnsi" w:cs="Arial"/>
          <w:sz w:val="22"/>
          <w:szCs w:val="22"/>
          <w:lang w:val="hr-HR"/>
        </w:rPr>
        <w:t xml:space="preserve">Iznos imovine raspoložive za prodaju i imovine do dospijeća nije pokriven uobičajenim instrumentima, ali se odnosi na obveznice Republike Hrvatske i trezorske zapise Ministarstva financija u iznosu od </w:t>
      </w:r>
      <w:r w:rsidR="00867992" w:rsidRPr="001567C8">
        <w:rPr>
          <w:rFonts w:asciiTheme="minorHAnsi" w:hAnsiTheme="minorHAnsi" w:cs="Arial"/>
          <w:sz w:val="22"/>
          <w:szCs w:val="22"/>
          <w:lang w:val="hr-HR"/>
        </w:rPr>
        <w:t>2.4</w:t>
      </w:r>
      <w:r w:rsidR="00D82351" w:rsidRPr="001567C8">
        <w:rPr>
          <w:rFonts w:asciiTheme="minorHAnsi" w:hAnsiTheme="minorHAnsi" w:cs="Arial"/>
          <w:sz w:val="22"/>
          <w:szCs w:val="22"/>
          <w:lang w:val="hr-HR"/>
        </w:rPr>
        <w:t>83.310</w:t>
      </w:r>
      <w:r w:rsidR="00867992"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 xml:space="preserve"> tisuća kuna kod Grupe i </w:t>
      </w:r>
      <w:r w:rsidR="00867992" w:rsidRPr="001567C8">
        <w:rPr>
          <w:rFonts w:asciiTheme="minorHAnsi" w:hAnsiTheme="minorHAnsi" w:cs="Arial"/>
          <w:sz w:val="22"/>
          <w:szCs w:val="22"/>
          <w:lang w:val="hr-HR"/>
        </w:rPr>
        <w:t>2.</w:t>
      </w:r>
      <w:r w:rsidR="00D82351" w:rsidRPr="001567C8">
        <w:rPr>
          <w:rFonts w:asciiTheme="minorHAnsi" w:hAnsiTheme="minorHAnsi" w:cs="Arial"/>
          <w:sz w:val="22"/>
          <w:szCs w:val="22"/>
          <w:lang w:val="hr-HR"/>
        </w:rPr>
        <w:t>443.010</w:t>
      </w:r>
      <w:r w:rsidR="00867992"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tisuća kuna kod Banke.</w:t>
      </w:r>
    </w:p>
    <w:p w:rsidR="00C25848" w:rsidRPr="001567C8" w:rsidRDefault="00C25848" w:rsidP="00361B04">
      <w:pPr>
        <w:tabs>
          <w:tab w:val="left" w:pos="9180"/>
        </w:tabs>
        <w:jc w:val="both"/>
        <w:rPr>
          <w:rFonts w:asciiTheme="minorHAnsi" w:hAnsiTheme="minorHAnsi" w:cs="Arial"/>
          <w:sz w:val="22"/>
          <w:szCs w:val="22"/>
          <w:lang w:val="hr-HR"/>
        </w:rPr>
      </w:pPr>
    </w:p>
    <w:p w:rsidR="00C25848" w:rsidRPr="001567C8" w:rsidRDefault="00C25848" w:rsidP="00361B04">
      <w:pPr>
        <w:tabs>
          <w:tab w:val="left" w:pos="9180"/>
        </w:tabs>
        <w:jc w:val="both"/>
        <w:rPr>
          <w:rFonts w:asciiTheme="minorHAnsi" w:hAnsiTheme="minorHAnsi" w:cs="Arial"/>
          <w:sz w:val="22"/>
          <w:szCs w:val="22"/>
          <w:lang w:val="hr-HR"/>
        </w:rPr>
      </w:pPr>
      <w:r w:rsidRPr="001567C8">
        <w:rPr>
          <w:rFonts w:asciiTheme="minorHAnsi" w:hAnsiTheme="minorHAnsi" w:cs="Arial"/>
          <w:sz w:val="22"/>
          <w:szCs w:val="22"/>
          <w:lang w:val="hr-HR"/>
        </w:rPr>
        <w:t xml:space="preserve">Ostala imovina u iznosu od </w:t>
      </w:r>
      <w:r w:rsidR="00D82351" w:rsidRPr="001567C8">
        <w:rPr>
          <w:rFonts w:asciiTheme="minorHAnsi" w:hAnsiTheme="minorHAnsi" w:cs="Arial"/>
          <w:sz w:val="22"/>
          <w:szCs w:val="22"/>
          <w:lang w:val="hr-HR"/>
        </w:rPr>
        <w:t>1.034</w:t>
      </w:r>
      <w:r w:rsidRPr="001567C8">
        <w:rPr>
          <w:rFonts w:asciiTheme="minorHAnsi" w:hAnsiTheme="minorHAnsi" w:cs="Arial"/>
          <w:sz w:val="22"/>
          <w:szCs w:val="22"/>
          <w:lang w:val="hr-HR"/>
        </w:rPr>
        <w:t xml:space="preserve"> tisuća kuna nije pokrivena uobičajenim instrumentima osiguranja, ali se odnosi na potraživanja od Republike Hrvatske i republičkih fondova. </w:t>
      </w:r>
    </w:p>
    <w:p w:rsidR="00C25848" w:rsidRPr="001567C8" w:rsidRDefault="00C25848" w:rsidP="00361B04">
      <w:pPr>
        <w:tabs>
          <w:tab w:val="left" w:pos="9180"/>
        </w:tabs>
        <w:jc w:val="both"/>
        <w:rPr>
          <w:rFonts w:asciiTheme="minorHAnsi" w:hAnsiTheme="minorHAnsi" w:cs="Arial"/>
          <w:sz w:val="22"/>
          <w:szCs w:val="22"/>
          <w:lang w:val="hr-HR"/>
        </w:rPr>
      </w:pPr>
    </w:p>
    <w:p w:rsidR="002A11E0" w:rsidRPr="001567C8" w:rsidRDefault="002A11E0" w:rsidP="00361B04">
      <w:pPr>
        <w:tabs>
          <w:tab w:val="left" w:pos="9180"/>
        </w:tabs>
        <w:jc w:val="both"/>
        <w:rPr>
          <w:b/>
          <w:bCs/>
          <w:lang w:val="hr-HR"/>
        </w:rPr>
        <w:sectPr w:rsidR="002A11E0" w:rsidRPr="001567C8" w:rsidSect="0077198A">
          <w:type w:val="continuous"/>
          <w:pgSz w:w="11907" w:h="16840" w:code="9"/>
          <w:pgMar w:top="1418" w:right="1134" w:bottom="1134" w:left="1418" w:header="851" w:footer="851" w:gutter="0"/>
          <w:cols w:space="720"/>
          <w:noEndnote/>
        </w:sectPr>
      </w:pPr>
    </w:p>
    <w:p w:rsidR="002E255A" w:rsidRPr="001567C8" w:rsidRDefault="002E255A" w:rsidP="00416577">
      <w:pPr>
        <w:pStyle w:val="T1"/>
        <w:spacing w:before="0" w:after="0" w:line="240" w:lineRule="auto"/>
        <w:rPr>
          <w:rFonts w:asciiTheme="minorHAnsi" w:hAnsiTheme="minorHAnsi" w:cs="Arial"/>
          <w:sz w:val="22"/>
          <w:szCs w:val="22"/>
          <w:lang w:val="hr-HR"/>
        </w:rPr>
      </w:pPr>
    </w:p>
    <w:p w:rsidR="00344AFC" w:rsidRPr="001567C8" w:rsidRDefault="00CE2EA4" w:rsidP="006533F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A35A84" w:rsidRPr="001567C8">
        <w:rPr>
          <w:rFonts w:asciiTheme="minorHAnsi" w:hAnsiTheme="minorHAnsi" w:cs="Arial"/>
          <w:sz w:val="22"/>
          <w:szCs w:val="22"/>
          <w:lang w:val="hr-HR"/>
        </w:rPr>
        <w:t>6</w:t>
      </w:r>
      <w:r w:rsidR="00344AFC" w:rsidRPr="001567C8">
        <w:rPr>
          <w:rFonts w:asciiTheme="minorHAnsi" w:hAnsiTheme="minorHAnsi" w:cs="Arial"/>
          <w:sz w:val="22"/>
          <w:szCs w:val="22"/>
          <w:lang w:val="hr-HR"/>
        </w:rPr>
        <w:t>.</w:t>
      </w:r>
      <w:r w:rsidR="00344AFC" w:rsidRPr="001567C8">
        <w:rPr>
          <w:rFonts w:asciiTheme="minorHAnsi" w:hAnsiTheme="minorHAnsi" w:cs="Arial"/>
          <w:sz w:val="22"/>
          <w:szCs w:val="22"/>
          <w:lang w:val="hr-HR"/>
        </w:rPr>
        <w:tab/>
        <w:t>Upravljanje rizicima (nastavak)</w:t>
      </w:r>
    </w:p>
    <w:p w:rsidR="006533FB" w:rsidRPr="001567C8" w:rsidRDefault="006533FB" w:rsidP="006533FB">
      <w:pPr>
        <w:pStyle w:val="T1"/>
        <w:spacing w:before="0" w:after="0" w:line="240" w:lineRule="auto"/>
        <w:rPr>
          <w:rFonts w:asciiTheme="minorHAnsi" w:hAnsiTheme="minorHAnsi" w:cs="Arial"/>
          <w:sz w:val="22"/>
          <w:szCs w:val="22"/>
          <w:lang w:val="hr-HR"/>
        </w:rPr>
      </w:pPr>
    </w:p>
    <w:p w:rsidR="00344AFC" w:rsidRPr="001567C8" w:rsidRDefault="00CE2EA4" w:rsidP="006533F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A35A84" w:rsidRPr="001567C8">
        <w:rPr>
          <w:rFonts w:asciiTheme="minorHAnsi" w:hAnsiTheme="minorHAnsi" w:cs="Arial"/>
          <w:sz w:val="22"/>
          <w:szCs w:val="22"/>
          <w:lang w:val="hr-HR"/>
        </w:rPr>
        <w:t>6</w:t>
      </w:r>
      <w:r w:rsidR="00344AFC"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4</w:t>
      </w:r>
      <w:r w:rsidR="00344AFC" w:rsidRPr="001567C8">
        <w:rPr>
          <w:rFonts w:asciiTheme="minorHAnsi" w:hAnsiTheme="minorHAnsi" w:cs="Arial"/>
          <w:sz w:val="22"/>
          <w:szCs w:val="22"/>
          <w:lang w:val="hr-HR"/>
        </w:rPr>
        <w:t xml:space="preserve">. </w:t>
      </w:r>
      <w:r w:rsidR="00344AFC" w:rsidRPr="001567C8">
        <w:rPr>
          <w:rFonts w:asciiTheme="minorHAnsi" w:hAnsiTheme="minorHAnsi" w:cs="Arial"/>
          <w:sz w:val="22"/>
          <w:szCs w:val="22"/>
          <w:lang w:val="hr-HR"/>
        </w:rPr>
        <w:tab/>
        <w:t xml:space="preserve">Rizik likvidnosti </w:t>
      </w:r>
    </w:p>
    <w:p w:rsidR="006533FB" w:rsidRPr="001567C8" w:rsidRDefault="006533FB" w:rsidP="006533FB">
      <w:pPr>
        <w:tabs>
          <w:tab w:val="left" w:pos="-720"/>
        </w:tabs>
        <w:suppressAutoHyphens/>
        <w:jc w:val="both"/>
        <w:rPr>
          <w:rFonts w:asciiTheme="minorHAnsi" w:hAnsiTheme="minorHAnsi" w:cs="Arial"/>
          <w:sz w:val="22"/>
          <w:szCs w:val="22"/>
          <w:lang w:val="hr-HR"/>
        </w:rPr>
      </w:pPr>
    </w:p>
    <w:p w:rsidR="00B263A4" w:rsidRPr="001567C8" w:rsidRDefault="003F28F7" w:rsidP="00E266C9">
      <w:pPr>
        <w:tabs>
          <w:tab w:val="left" w:pos="-720"/>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 xml:space="preserve">Iznos ukupne </w:t>
      </w:r>
      <w:r w:rsidR="008D6072" w:rsidRPr="001567C8">
        <w:rPr>
          <w:rFonts w:asciiTheme="minorHAnsi" w:hAnsiTheme="minorHAnsi" w:cs="Arial"/>
          <w:sz w:val="22"/>
          <w:szCs w:val="22"/>
          <w:lang w:val="hr-HR"/>
        </w:rPr>
        <w:t>imovine</w:t>
      </w:r>
      <w:r w:rsidR="00C00CC9" w:rsidRPr="001567C8">
        <w:rPr>
          <w:rFonts w:asciiTheme="minorHAnsi" w:hAnsiTheme="minorHAnsi" w:cs="Arial"/>
          <w:sz w:val="22"/>
          <w:szCs w:val="22"/>
          <w:lang w:val="hr-HR"/>
        </w:rPr>
        <w:t>,</w:t>
      </w:r>
      <w:r w:rsidR="00336C25" w:rsidRPr="001567C8">
        <w:rPr>
          <w:rFonts w:asciiTheme="minorHAnsi" w:hAnsiTheme="minorHAnsi" w:cs="Arial"/>
          <w:sz w:val="22"/>
          <w:szCs w:val="22"/>
          <w:lang w:val="hr-HR"/>
        </w:rPr>
        <w:t xml:space="preserve"> </w:t>
      </w:r>
      <w:r w:rsidR="00530293" w:rsidRPr="001567C8">
        <w:rPr>
          <w:rFonts w:asciiTheme="minorHAnsi" w:hAnsiTheme="minorHAnsi" w:cs="Arial"/>
          <w:sz w:val="22"/>
          <w:szCs w:val="22"/>
          <w:lang w:val="hr-HR"/>
        </w:rPr>
        <w:t xml:space="preserve">ukupnih </w:t>
      </w:r>
      <w:r w:rsidR="008D6072" w:rsidRPr="001567C8">
        <w:rPr>
          <w:rFonts w:asciiTheme="minorHAnsi" w:hAnsiTheme="minorHAnsi" w:cs="Arial"/>
          <w:sz w:val="22"/>
          <w:szCs w:val="22"/>
          <w:lang w:val="hr-HR"/>
        </w:rPr>
        <w:t>obveza</w:t>
      </w:r>
      <w:r w:rsidR="00336C25" w:rsidRPr="001567C8">
        <w:rPr>
          <w:rFonts w:asciiTheme="minorHAnsi" w:hAnsiTheme="minorHAnsi" w:cs="Arial"/>
          <w:sz w:val="22"/>
          <w:szCs w:val="22"/>
          <w:lang w:val="hr-HR"/>
        </w:rPr>
        <w:t xml:space="preserve"> </w:t>
      </w:r>
      <w:r w:rsidR="00C00CC9" w:rsidRPr="001567C8">
        <w:rPr>
          <w:rFonts w:asciiTheme="minorHAnsi" w:hAnsiTheme="minorHAnsi" w:cs="Arial"/>
          <w:sz w:val="22"/>
          <w:szCs w:val="22"/>
          <w:lang w:val="hr-HR"/>
        </w:rPr>
        <w:t xml:space="preserve">i garancija i preuzetih obveza </w:t>
      </w:r>
      <w:r w:rsidR="00336C25" w:rsidRPr="001567C8">
        <w:rPr>
          <w:rFonts w:asciiTheme="minorHAnsi" w:hAnsiTheme="minorHAnsi" w:cs="Arial"/>
          <w:sz w:val="22"/>
          <w:szCs w:val="22"/>
          <w:lang w:val="hr-HR"/>
        </w:rPr>
        <w:t>na dan 31. prosinca 201</w:t>
      </w:r>
      <w:r w:rsidR="00A35A84" w:rsidRPr="001567C8">
        <w:rPr>
          <w:rFonts w:asciiTheme="minorHAnsi" w:hAnsiTheme="minorHAnsi" w:cs="Arial"/>
          <w:sz w:val="22"/>
          <w:szCs w:val="22"/>
          <w:lang w:val="hr-HR"/>
        </w:rPr>
        <w:t>8</w:t>
      </w:r>
      <w:r w:rsidR="00336C25" w:rsidRPr="001567C8">
        <w:rPr>
          <w:rFonts w:asciiTheme="minorHAnsi" w:hAnsiTheme="minorHAnsi" w:cs="Arial"/>
          <w:sz w:val="22"/>
          <w:szCs w:val="22"/>
          <w:lang w:val="hr-HR"/>
        </w:rPr>
        <w:t>. i 31. prosinca 201</w:t>
      </w:r>
      <w:r w:rsidR="00A35A84" w:rsidRPr="001567C8">
        <w:rPr>
          <w:rFonts w:asciiTheme="minorHAnsi" w:hAnsiTheme="minorHAnsi" w:cs="Arial"/>
          <w:sz w:val="22"/>
          <w:szCs w:val="22"/>
          <w:lang w:val="hr-HR"/>
        </w:rPr>
        <w:t>7</w:t>
      </w:r>
      <w:r w:rsidRPr="001567C8">
        <w:rPr>
          <w:rFonts w:asciiTheme="minorHAnsi" w:hAnsiTheme="minorHAnsi" w:cs="Arial"/>
          <w:sz w:val="22"/>
          <w:szCs w:val="22"/>
          <w:lang w:val="hr-HR"/>
        </w:rPr>
        <w:t xml:space="preserve">. godine analiziran je kroz preostalo razdoblje od dana </w:t>
      </w:r>
      <w:r w:rsidR="00C31537" w:rsidRPr="001567C8">
        <w:rPr>
          <w:rFonts w:asciiTheme="minorHAnsi" w:hAnsiTheme="minorHAnsi" w:cs="Arial"/>
          <w:sz w:val="22"/>
          <w:szCs w:val="22"/>
          <w:lang w:val="hr-HR"/>
        </w:rPr>
        <w:t>Izvještaja o financijskom položaju</w:t>
      </w:r>
      <w:r w:rsidRPr="001567C8">
        <w:rPr>
          <w:rFonts w:asciiTheme="minorHAnsi" w:hAnsiTheme="minorHAnsi" w:cs="Arial"/>
          <w:sz w:val="22"/>
          <w:szCs w:val="22"/>
          <w:lang w:val="hr-HR"/>
        </w:rPr>
        <w:t xml:space="preserve"> u odnosu na ugovoreni datum dospijeća kako slijedi:</w:t>
      </w:r>
    </w:p>
    <w:p w:rsidR="001B5C49" w:rsidRPr="001567C8" w:rsidRDefault="001B5C49" w:rsidP="006533FB">
      <w:pPr>
        <w:tabs>
          <w:tab w:val="left" w:pos="-720"/>
        </w:tabs>
        <w:suppressAutoHyphens/>
        <w:jc w:val="both"/>
        <w:rPr>
          <w:rFonts w:asciiTheme="minorHAnsi" w:hAnsiTheme="minorHAnsi" w:cs="Arial"/>
          <w:sz w:val="22"/>
          <w:szCs w:val="22"/>
          <w:lang w:val="hr-HR"/>
        </w:rPr>
      </w:pPr>
    </w:p>
    <w:tbl>
      <w:tblPr>
        <w:tblW w:w="5146" w:type="pct"/>
        <w:tblInd w:w="-142" w:type="dxa"/>
        <w:tblLayout w:type="fixed"/>
        <w:tblCellMar>
          <w:left w:w="120" w:type="dxa"/>
          <w:right w:w="120" w:type="dxa"/>
        </w:tblCellMar>
        <w:tblLook w:val="0000" w:firstRow="0" w:lastRow="0" w:firstColumn="0" w:lastColumn="0" w:noHBand="0" w:noVBand="0"/>
      </w:tblPr>
      <w:tblGrid>
        <w:gridCol w:w="3120"/>
        <w:gridCol w:w="1044"/>
        <w:gridCol w:w="1153"/>
        <w:gridCol w:w="1007"/>
        <w:gridCol w:w="1028"/>
        <w:gridCol w:w="1186"/>
        <w:gridCol w:w="1090"/>
      </w:tblGrid>
      <w:tr w:rsidR="00530293" w:rsidRPr="001567C8" w:rsidTr="003C6BA3">
        <w:trPr>
          <w:trHeight w:val="523"/>
        </w:trPr>
        <w:tc>
          <w:tcPr>
            <w:tcW w:w="1620" w:type="pct"/>
          </w:tcPr>
          <w:p w:rsidR="0074270D" w:rsidRPr="001567C8" w:rsidRDefault="0074270D">
            <w:pPr>
              <w:pStyle w:val="TH"/>
              <w:spacing w:line="220" w:lineRule="exact"/>
              <w:rPr>
                <w:rFonts w:asciiTheme="minorHAnsi" w:hAnsiTheme="minorHAnsi" w:cs="Arial"/>
                <w:sz w:val="18"/>
                <w:szCs w:val="18"/>
                <w:lang w:val="hr-HR"/>
              </w:rPr>
            </w:pPr>
            <w:r w:rsidRPr="001567C8">
              <w:rPr>
                <w:rFonts w:asciiTheme="minorHAnsi" w:hAnsiTheme="minorHAnsi" w:cs="Arial"/>
                <w:sz w:val="18"/>
                <w:szCs w:val="18"/>
                <w:lang w:val="hr-HR"/>
              </w:rPr>
              <w:t>Grupa</w:t>
            </w:r>
          </w:p>
          <w:p w:rsidR="0074270D" w:rsidRPr="001567C8" w:rsidRDefault="00AD2EF7">
            <w:pPr>
              <w:pStyle w:val="TH"/>
              <w:spacing w:line="220" w:lineRule="exact"/>
              <w:rPr>
                <w:rFonts w:asciiTheme="minorHAnsi" w:hAnsiTheme="minorHAnsi" w:cs="Arial"/>
                <w:sz w:val="18"/>
                <w:szCs w:val="18"/>
                <w:lang w:val="hr-HR"/>
              </w:rPr>
            </w:pPr>
            <w:r>
              <w:rPr>
                <w:rFonts w:asciiTheme="minorHAnsi" w:hAnsiTheme="minorHAnsi" w:cs="Arial"/>
                <w:sz w:val="18"/>
                <w:szCs w:val="18"/>
                <w:lang w:val="hr-HR"/>
              </w:rPr>
              <w:t>31. prosin</w:t>
            </w:r>
            <w:r w:rsidR="0073283D" w:rsidRPr="001567C8">
              <w:rPr>
                <w:rFonts w:asciiTheme="minorHAnsi" w:hAnsiTheme="minorHAnsi" w:cs="Arial"/>
                <w:sz w:val="18"/>
                <w:szCs w:val="18"/>
                <w:lang w:val="hr-HR"/>
              </w:rPr>
              <w:t>c</w:t>
            </w:r>
            <w:r>
              <w:rPr>
                <w:rFonts w:asciiTheme="minorHAnsi" w:hAnsiTheme="minorHAnsi" w:cs="Arial"/>
                <w:sz w:val="18"/>
                <w:szCs w:val="18"/>
                <w:lang w:val="hr-HR"/>
              </w:rPr>
              <w:t>a</w:t>
            </w:r>
            <w:r w:rsidR="0073283D" w:rsidRPr="001567C8">
              <w:rPr>
                <w:rFonts w:asciiTheme="minorHAnsi" w:hAnsiTheme="minorHAnsi" w:cs="Arial"/>
                <w:sz w:val="18"/>
                <w:szCs w:val="18"/>
                <w:lang w:val="hr-HR"/>
              </w:rPr>
              <w:t xml:space="preserve"> </w:t>
            </w:r>
            <w:r w:rsidR="0074270D" w:rsidRPr="001567C8">
              <w:rPr>
                <w:rFonts w:asciiTheme="minorHAnsi" w:hAnsiTheme="minorHAnsi" w:cs="Arial"/>
                <w:sz w:val="18"/>
                <w:szCs w:val="18"/>
                <w:lang w:val="hr-HR"/>
              </w:rPr>
              <w:t>20</w:t>
            </w:r>
            <w:r w:rsidR="00336C25" w:rsidRPr="001567C8">
              <w:rPr>
                <w:rFonts w:asciiTheme="minorHAnsi" w:hAnsiTheme="minorHAnsi" w:cs="Arial"/>
                <w:sz w:val="18"/>
                <w:szCs w:val="18"/>
                <w:lang w:val="hr-HR"/>
              </w:rPr>
              <w:t>1</w:t>
            </w:r>
            <w:r w:rsidR="00C1257D" w:rsidRPr="001567C8">
              <w:rPr>
                <w:rFonts w:asciiTheme="minorHAnsi" w:hAnsiTheme="minorHAnsi" w:cs="Arial"/>
                <w:sz w:val="18"/>
                <w:szCs w:val="18"/>
                <w:lang w:val="hr-HR"/>
              </w:rPr>
              <w:t>8</w:t>
            </w:r>
            <w:r w:rsidR="0074270D" w:rsidRPr="001567C8">
              <w:rPr>
                <w:rFonts w:asciiTheme="minorHAnsi" w:hAnsiTheme="minorHAnsi" w:cs="Arial"/>
                <w:sz w:val="18"/>
                <w:szCs w:val="18"/>
                <w:lang w:val="hr-HR"/>
              </w:rPr>
              <w:t>. godina</w:t>
            </w:r>
          </w:p>
        </w:tc>
        <w:tc>
          <w:tcPr>
            <w:tcW w:w="542" w:type="pct"/>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Do 1 mjesec</w:t>
            </w:r>
          </w:p>
        </w:tc>
        <w:tc>
          <w:tcPr>
            <w:tcW w:w="599" w:type="pct"/>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1 do 3 mjeseca</w:t>
            </w:r>
          </w:p>
        </w:tc>
        <w:tc>
          <w:tcPr>
            <w:tcW w:w="523" w:type="pct"/>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3 mj. do 1 godine</w:t>
            </w:r>
          </w:p>
        </w:tc>
        <w:tc>
          <w:tcPr>
            <w:tcW w:w="534" w:type="pct"/>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1 do 3 godina</w:t>
            </w:r>
          </w:p>
        </w:tc>
        <w:tc>
          <w:tcPr>
            <w:tcW w:w="616" w:type="pct"/>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Preko 3 godine</w:t>
            </w:r>
          </w:p>
        </w:tc>
        <w:tc>
          <w:tcPr>
            <w:tcW w:w="566" w:type="pct"/>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Ukupno</w:t>
            </w:r>
          </w:p>
        </w:tc>
      </w:tr>
      <w:tr w:rsidR="00530293" w:rsidRPr="001567C8" w:rsidTr="006533FB">
        <w:trPr>
          <w:trHeight w:val="184"/>
        </w:trPr>
        <w:tc>
          <w:tcPr>
            <w:tcW w:w="1620" w:type="pct"/>
          </w:tcPr>
          <w:p w:rsidR="0074270D" w:rsidRPr="001567C8" w:rsidRDefault="0074270D" w:rsidP="00A3252B">
            <w:pPr>
              <w:tabs>
                <w:tab w:val="left" w:pos="-720"/>
              </w:tabs>
              <w:suppressAutoHyphens/>
              <w:jc w:val="center"/>
              <w:rPr>
                <w:rFonts w:asciiTheme="minorHAnsi" w:hAnsiTheme="minorHAnsi" w:cs="Arial"/>
                <w:b/>
                <w:spacing w:val="-2"/>
                <w:sz w:val="18"/>
                <w:szCs w:val="18"/>
                <w:lang w:val="hr-HR"/>
              </w:rPr>
            </w:pPr>
          </w:p>
        </w:tc>
        <w:tc>
          <w:tcPr>
            <w:tcW w:w="542" w:type="pct"/>
            <w:vAlign w:val="bottom"/>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599" w:type="pct"/>
            <w:vAlign w:val="bottom"/>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523" w:type="pct"/>
            <w:vAlign w:val="bottom"/>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534" w:type="pct"/>
            <w:vAlign w:val="bottom"/>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616" w:type="pct"/>
            <w:vAlign w:val="bottom"/>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566" w:type="pct"/>
            <w:vAlign w:val="bottom"/>
          </w:tcPr>
          <w:p w:rsidR="0074270D" w:rsidRPr="001567C8" w:rsidRDefault="0074270D" w:rsidP="00A3252B">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r>
      <w:tr w:rsidR="00530293" w:rsidRPr="001567C8" w:rsidTr="003C6BA3">
        <w:trPr>
          <w:trHeight w:val="291"/>
        </w:trPr>
        <w:tc>
          <w:tcPr>
            <w:tcW w:w="1620" w:type="pct"/>
            <w:vAlign w:val="bottom"/>
          </w:tcPr>
          <w:p w:rsidR="0074270D" w:rsidRPr="001567C8" w:rsidRDefault="008D6072">
            <w:pPr>
              <w:pStyle w:val="TT"/>
              <w:spacing w:line="22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Imovina</w:t>
            </w:r>
          </w:p>
        </w:tc>
        <w:tc>
          <w:tcPr>
            <w:tcW w:w="542" w:type="pct"/>
            <w:vAlign w:val="bottom"/>
          </w:tcPr>
          <w:p w:rsidR="0074270D" w:rsidRPr="001567C8" w:rsidRDefault="0074270D" w:rsidP="006D102B">
            <w:pPr>
              <w:pStyle w:val="TT"/>
              <w:spacing w:line="220" w:lineRule="exact"/>
              <w:jc w:val="right"/>
              <w:rPr>
                <w:rFonts w:asciiTheme="minorHAnsi" w:hAnsiTheme="minorHAnsi" w:cs="Arial"/>
                <w:b/>
                <w:bCs/>
                <w:spacing w:val="-2"/>
                <w:sz w:val="18"/>
                <w:szCs w:val="18"/>
                <w:lang w:val="hr-HR"/>
              </w:rPr>
            </w:pPr>
          </w:p>
        </w:tc>
        <w:tc>
          <w:tcPr>
            <w:tcW w:w="599" w:type="pct"/>
            <w:vAlign w:val="bottom"/>
          </w:tcPr>
          <w:p w:rsidR="0074270D" w:rsidRPr="001567C8" w:rsidRDefault="0074270D">
            <w:pPr>
              <w:pStyle w:val="TT"/>
              <w:spacing w:line="220" w:lineRule="exact"/>
              <w:jc w:val="right"/>
              <w:rPr>
                <w:rFonts w:asciiTheme="minorHAnsi" w:hAnsiTheme="minorHAnsi" w:cs="Arial"/>
                <w:b/>
                <w:bCs/>
                <w:spacing w:val="-2"/>
                <w:sz w:val="18"/>
                <w:szCs w:val="18"/>
                <w:lang w:val="hr-HR"/>
              </w:rPr>
            </w:pPr>
          </w:p>
        </w:tc>
        <w:tc>
          <w:tcPr>
            <w:tcW w:w="523" w:type="pct"/>
            <w:vAlign w:val="bottom"/>
          </w:tcPr>
          <w:p w:rsidR="0074270D" w:rsidRPr="001567C8" w:rsidRDefault="0074270D">
            <w:pPr>
              <w:pStyle w:val="TT"/>
              <w:spacing w:line="220" w:lineRule="exact"/>
              <w:jc w:val="right"/>
              <w:rPr>
                <w:rFonts w:asciiTheme="minorHAnsi" w:hAnsiTheme="minorHAnsi" w:cs="Arial"/>
                <w:b/>
                <w:bCs/>
                <w:spacing w:val="-2"/>
                <w:sz w:val="18"/>
                <w:szCs w:val="18"/>
                <w:lang w:val="hr-HR"/>
              </w:rPr>
            </w:pPr>
          </w:p>
        </w:tc>
        <w:tc>
          <w:tcPr>
            <w:tcW w:w="534" w:type="pct"/>
            <w:vAlign w:val="bottom"/>
          </w:tcPr>
          <w:p w:rsidR="0074270D" w:rsidRPr="001567C8" w:rsidRDefault="0074270D">
            <w:pPr>
              <w:pStyle w:val="TT"/>
              <w:spacing w:line="220" w:lineRule="exact"/>
              <w:jc w:val="right"/>
              <w:rPr>
                <w:rFonts w:asciiTheme="minorHAnsi" w:hAnsiTheme="minorHAnsi" w:cs="Arial"/>
                <w:b/>
                <w:bCs/>
                <w:spacing w:val="-2"/>
                <w:sz w:val="18"/>
                <w:szCs w:val="18"/>
                <w:lang w:val="hr-HR"/>
              </w:rPr>
            </w:pPr>
          </w:p>
        </w:tc>
        <w:tc>
          <w:tcPr>
            <w:tcW w:w="616" w:type="pct"/>
            <w:vAlign w:val="bottom"/>
          </w:tcPr>
          <w:p w:rsidR="0074270D" w:rsidRPr="001567C8" w:rsidRDefault="0074270D">
            <w:pPr>
              <w:pStyle w:val="TT"/>
              <w:spacing w:line="220" w:lineRule="exact"/>
              <w:jc w:val="right"/>
              <w:rPr>
                <w:rFonts w:asciiTheme="minorHAnsi" w:hAnsiTheme="minorHAnsi" w:cs="Arial"/>
                <w:b/>
                <w:bCs/>
                <w:spacing w:val="-2"/>
                <w:sz w:val="18"/>
                <w:szCs w:val="18"/>
                <w:lang w:val="hr-HR"/>
              </w:rPr>
            </w:pPr>
          </w:p>
        </w:tc>
        <w:tc>
          <w:tcPr>
            <w:tcW w:w="566" w:type="pct"/>
            <w:vAlign w:val="bottom"/>
          </w:tcPr>
          <w:p w:rsidR="0074270D" w:rsidRPr="001567C8" w:rsidRDefault="0074270D">
            <w:pPr>
              <w:pStyle w:val="TT"/>
              <w:spacing w:line="220" w:lineRule="exact"/>
              <w:jc w:val="right"/>
              <w:rPr>
                <w:rFonts w:asciiTheme="minorHAnsi" w:hAnsiTheme="minorHAnsi" w:cs="Arial"/>
                <w:b/>
                <w:bCs/>
                <w:spacing w:val="-2"/>
                <w:sz w:val="18"/>
                <w:szCs w:val="18"/>
                <w:lang w:val="hr-HR"/>
              </w:rPr>
            </w:pPr>
          </w:p>
        </w:tc>
      </w:tr>
      <w:tr w:rsidR="00133ADF" w:rsidRPr="001567C8" w:rsidTr="003C6BA3">
        <w:trPr>
          <w:trHeight w:val="250"/>
        </w:trPr>
        <w:tc>
          <w:tcPr>
            <w:tcW w:w="1620" w:type="pct"/>
            <w:vAlign w:val="bottom"/>
          </w:tcPr>
          <w:p w:rsidR="00133ADF" w:rsidRPr="001567C8" w:rsidRDefault="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Novčana sredstva i računi kod banaka</w:t>
            </w:r>
          </w:p>
        </w:tc>
        <w:tc>
          <w:tcPr>
            <w:tcW w:w="542"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944.417</w:t>
            </w:r>
          </w:p>
        </w:tc>
        <w:tc>
          <w:tcPr>
            <w:tcW w:w="599"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23"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34"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616"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bCs/>
                <w:color w:val="000000"/>
                <w:sz w:val="18"/>
                <w:szCs w:val="18"/>
                <w:lang w:val="hr-HR"/>
              </w:rPr>
              <w:t>944.417</w:t>
            </w:r>
          </w:p>
        </w:tc>
      </w:tr>
      <w:tr w:rsidR="00133ADF" w:rsidRPr="001567C8" w:rsidTr="003C6BA3">
        <w:trPr>
          <w:trHeight w:val="250"/>
        </w:trPr>
        <w:tc>
          <w:tcPr>
            <w:tcW w:w="1620" w:type="pct"/>
            <w:vAlign w:val="bottom"/>
          </w:tcPr>
          <w:p w:rsidR="00133ADF" w:rsidRPr="001567C8" w:rsidRDefault="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Depoziti kod drugih banaka</w:t>
            </w:r>
          </w:p>
        </w:tc>
        <w:tc>
          <w:tcPr>
            <w:tcW w:w="542"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261.925</w:t>
            </w:r>
          </w:p>
        </w:tc>
        <w:tc>
          <w:tcPr>
            <w:tcW w:w="599"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23"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34"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616"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133ADF" w:rsidRPr="00CD3A2D" w:rsidRDefault="00A57318">
            <w:pPr>
              <w:jc w:val="right"/>
              <w:rPr>
                <w:rFonts w:ascii="Calibri" w:hAnsi="Calibri"/>
                <w:color w:val="000000"/>
                <w:sz w:val="18"/>
                <w:szCs w:val="18"/>
                <w:lang w:val="hr-HR"/>
              </w:rPr>
            </w:pPr>
            <w:r w:rsidRPr="00CD3A2D">
              <w:rPr>
                <w:rFonts w:ascii="Calibri" w:hAnsi="Calibri" w:cs="Calibri"/>
                <w:bCs/>
                <w:color w:val="000000"/>
                <w:sz w:val="18"/>
                <w:szCs w:val="18"/>
                <w:lang w:val="hr-HR"/>
              </w:rPr>
              <w:t>261.925</w:t>
            </w:r>
          </w:p>
        </w:tc>
      </w:tr>
      <w:tr w:rsidR="00133ADF" w:rsidRPr="001567C8" w:rsidTr="003C6BA3">
        <w:trPr>
          <w:trHeight w:val="250"/>
        </w:trPr>
        <w:tc>
          <w:tcPr>
            <w:tcW w:w="1620" w:type="pct"/>
            <w:vAlign w:val="bottom"/>
          </w:tcPr>
          <w:p w:rsidR="00133ADF" w:rsidRPr="001567C8" w:rsidRDefault="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Krediti financijska institucija*</w:t>
            </w:r>
          </w:p>
        </w:tc>
        <w:tc>
          <w:tcPr>
            <w:tcW w:w="542"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389.640</w:t>
            </w:r>
          </w:p>
        </w:tc>
        <w:tc>
          <w:tcPr>
            <w:tcW w:w="599"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693.932</w:t>
            </w:r>
          </w:p>
        </w:tc>
        <w:tc>
          <w:tcPr>
            <w:tcW w:w="523"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1.231.553</w:t>
            </w:r>
          </w:p>
        </w:tc>
        <w:tc>
          <w:tcPr>
            <w:tcW w:w="534"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2.718.573</w:t>
            </w:r>
          </w:p>
        </w:tc>
        <w:tc>
          <w:tcPr>
            <w:tcW w:w="616"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5.201.290</w:t>
            </w:r>
          </w:p>
        </w:tc>
        <w:tc>
          <w:tcPr>
            <w:tcW w:w="566"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bCs/>
                <w:color w:val="000000"/>
                <w:sz w:val="18"/>
                <w:szCs w:val="18"/>
                <w:lang w:val="hr-HR"/>
              </w:rPr>
              <w:t>10.234.988</w:t>
            </w:r>
          </w:p>
        </w:tc>
      </w:tr>
      <w:tr w:rsidR="00133ADF" w:rsidRPr="001567C8" w:rsidTr="003C6BA3">
        <w:trPr>
          <w:trHeight w:val="250"/>
        </w:trPr>
        <w:tc>
          <w:tcPr>
            <w:tcW w:w="1620" w:type="pct"/>
            <w:vAlign w:val="bottom"/>
          </w:tcPr>
          <w:p w:rsidR="00133ADF" w:rsidRPr="001567C8" w:rsidRDefault="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Krediti ostalim korisnicima</w:t>
            </w:r>
          </w:p>
        </w:tc>
        <w:tc>
          <w:tcPr>
            <w:tcW w:w="542"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2.096.151</w:t>
            </w:r>
          </w:p>
        </w:tc>
        <w:tc>
          <w:tcPr>
            <w:tcW w:w="599"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141.949</w:t>
            </w:r>
          </w:p>
        </w:tc>
        <w:tc>
          <w:tcPr>
            <w:tcW w:w="523"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792.913</w:t>
            </w:r>
          </w:p>
        </w:tc>
        <w:tc>
          <w:tcPr>
            <w:tcW w:w="534"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2.769.366</w:t>
            </w:r>
          </w:p>
        </w:tc>
        <w:tc>
          <w:tcPr>
            <w:tcW w:w="616"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color w:val="000000"/>
                <w:sz w:val="18"/>
                <w:szCs w:val="18"/>
                <w:lang w:val="hr-HR"/>
              </w:rPr>
              <w:t>6.710.307</w:t>
            </w:r>
          </w:p>
        </w:tc>
        <w:tc>
          <w:tcPr>
            <w:tcW w:w="566" w:type="pct"/>
            <w:tcBorders>
              <w:top w:val="nil"/>
              <w:left w:val="nil"/>
              <w:bottom w:val="nil"/>
              <w:right w:val="nil"/>
            </w:tcBorders>
            <w:shd w:val="clear" w:color="auto" w:fill="auto"/>
            <w:vAlign w:val="bottom"/>
          </w:tcPr>
          <w:p w:rsidR="00133ADF" w:rsidRPr="00CD3A2D" w:rsidRDefault="00133ADF">
            <w:pPr>
              <w:jc w:val="right"/>
              <w:rPr>
                <w:rFonts w:ascii="Calibri" w:hAnsi="Calibri"/>
                <w:color w:val="000000"/>
                <w:sz w:val="18"/>
                <w:szCs w:val="18"/>
                <w:lang w:val="hr-HR"/>
              </w:rPr>
            </w:pPr>
            <w:r w:rsidRPr="00CD3A2D">
              <w:rPr>
                <w:rFonts w:ascii="Calibri" w:hAnsi="Calibri" w:cs="Calibri"/>
                <w:bCs/>
                <w:color w:val="000000"/>
                <w:sz w:val="18"/>
                <w:szCs w:val="18"/>
                <w:lang w:val="hr-HR"/>
              </w:rPr>
              <w:t>12.510.686</w:t>
            </w:r>
          </w:p>
        </w:tc>
      </w:tr>
      <w:tr w:rsidR="00133ADF" w:rsidRPr="001567C8" w:rsidTr="00361B04">
        <w:trPr>
          <w:trHeight w:val="359"/>
        </w:trPr>
        <w:tc>
          <w:tcPr>
            <w:tcW w:w="1620" w:type="pct"/>
          </w:tcPr>
          <w:p w:rsidR="00133ADF" w:rsidRPr="001567C8" w:rsidRDefault="00133ADF" w:rsidP="00133ADF">
            <w:pPr>
              <w:pStyle w:val="TT"/>
              <w:spacing w:line="220" w:lineRule="exact"/>
              <w:rPr>
                <w:rFonts w:asciiTheme="minorHAnsi" w:hAnsiTheme="minorHAnsi" w:cs="Arial"/>
                <w:spacing w:val="-2"/>
                <w:sz w:val="18"/>
                <w:szCs w:val="18"/>
                <w:lang w:val="hr-HR"/>
              </w:rPr>
            </w:pPr>
            <w:r w:rsidRPr="001567C8">
              <w:rPr>
                <w:rFonts w:asciiTheme="minorHAnsi" w:hAnsiTheme="minorHAnsi" w:cs="Arial"/>
                <w:spacing w:val="-2"/>
                <w:sz w:val="18"/>
                <w:szCs w:val="18"/>
                <w:lang w:val="hr-HR"/>
              </w:rPr>
              <w:t xml:space="preserve">Financijska imovina po fer vrijednosti kroz </w:t>
            </w:r>
            <w:r w:rsidR="00316574" w:rsidRPr="001567C8">
              <w:rPr>
                <w:rFonts w:asciiTheme="minorHAnsi" w:hAnsiTheme="minorHAnsi" w:cs="Arial"/>
                <w:spacing w:val="-2"/>
                <w:sz w:val="18"/>
                <w:szCs w:val="18"/>
                <w:lang w:val="hr-HR"/>
              </w:rPr>
              <w:t>dobit ili gubitak</w:t>
            </w:r>
          </w:p>
        </w:tc>
        <w:tc>
          <w:tcPr>
            <w:tcW w:w="542"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334.221</w:t>
            </w:r>
          </w:p>
        </w:tc>
        <w:tc>
          <w:tcPr>
            <w:tcW w:w="599"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23"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34"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616"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2.045</w:t>
            </w:r>
          </w:p>
        </w:tc>
        <w:tc>
          <w:tcPr>
            <w:tcW w:w="566"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bCs/>
                <w:color w:val="000000"/>
                <w:sz w:val="18"/>
                <w:szCs w:val="18"/>
                <w:lang w:val="hr-HR"/>
              </w:rPr>
              <w:t>336.266</w:t>
            </w:r>
          </w:p>
        </w:tc>
      </w:tr>
      <w:tr w:rsidR="00133ADF" w:rsidRPr="001567C8" w:rsidTr="00361B04">
        <w:trPr>
          <w:trHeight w:val="175"/>
        </w:trPr>
        <w:tc>
          <w:tcPr>
            <w:tcW w:w="1620" w:type="pct"/>
          </w:tcPr>
          <w:p w:rsidR="00133ADF" w:rsidRPr="001567C8" w:rsidRDefault="00133ADF" w:rsidP="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Financijska imovina po fer vrijednosti kroz ostalu sveobuhvatnu dobit</w:t>
            </w:r>
          </w:p>
        </w:tc>
        <w:tc>
          <w:tcPr>
            <w:tcW w:w="542"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2.818.280</w:t>
            </w:r>
          </w:p>
        </w:tc>
        <w:tc>
          <w:tcPr>
            <w:tcW w:w="599"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11.167</w:t>
            </w:r>
          </w:p>
        </w:tc>
        <w:tc>
          <w:tcPr>
            <w:tcW w:w="523"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23</w:t>
            </w:r>
          </w:p>
        </w:tc>
        <w:tc>
          <w:tcPr>
            <w:tcW w:w="534"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616"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bCs/>
                <w:color w:val="000000"/>
                <w:sz w:val="18"/>
                <w:szCs w:val="18"/>
                <w:lang w:val="hr-HR"/>
              </w:rPr>
              <w:t>2.829.470</w:t>
            </w:r>
          </w:p>
        </w:tc>
      </w:tr>
      <w:tr w:rsidR="00133ADF" w:rsidRPr="001567C8" w:rsidTr="00361B04">
        <w:trPr>
          <w:trHeight w:val="184"/>
        </w:trPr>
        <w:tc>
          <w:tcPr>
            <w:tcW w:w="1620" w:type="pct"/>
          </w:tcPr>
          <w:p w:rsidR="00133ADF" w:rsidRPr="001567C8" w:rsidRDefault="00133ADF" w:rsidP="00133ADF">
            <w:pPr>
              <w:pStyle w:val="TT"/>
              <w:spacing w:line="220" w:lineRule="exact"/>
              <w:rPr>
                <w:rFonts w:asciiTheme="minorHAnsi" w:hAnsiTheme="minorHAnsi" w:cs="Arial"/>
                <w:spacing w:val="-2"/>
                <w:sz w:val="18"/>
                <w:szCs w:val="18"/>
                <w:lang w:val="hr-HR"/>
              </w:rPr>
            </w:pPr>
            <w:r w:rsidRPr="001567C8">
              <w:rPr>
                <w:rFonts w:asciiTheme="minorHAnsi" w:hAnsiTheme="minorHAnsi" w:cs="Arial"/>
                <w:spacing w:val="-2"/>
                <w:sz w:val="18"/>
                <w:szCs w:val="18"/>
                <w:lang w:val="hr-HR"/>
              </w:rPr>
              <w:t>Dužnički vrijednosni papiri po amortiziranom trošku</w:t>
            </w:r>
          </w:p>
        </w:tc>
        <w:tc>
          <w:tcPr>
            <w:tcW w:w="542"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99" w:type="pct"/>
            <w:tcBorders>
              <w:top w:val="nil"/>
              <w:left w:val="nil"/>
              <w:bottom w:val="nil"/>
              <w:right w:val="nil"/>
            </w:tcBorders>
            <w:shd w:val="clear" w:color="auto" w:fill="auto"/>
            <w:vAlign w:val="bottom"/>
          </w:tcPr>
          <w:p w:rsidR="00133ADF" w:rsidRPr="00CD3A2D" w:rsidRDefault="007F0686" w:rsidP="00133ADF">
            <w:pPr>
              <w:jc w:val="right"/>
              <w:rPr>
                <w:rFonts w:ascii="Calibri" w:hAnsi="Calibri"/>
                <w:color w:val="000000"/>
                <w:sz w:val="18"/>
                <w:szCs w:val="18"/>
                <w:lang w:val="hr-HR"/>
              </w:rPr>
            </w:pPr>
            <w:r w:rsidRPr="00CD3A2D">
              <w:rPr>
                <w:rFonts w:ascii="Calibri" w:hAnsi="Calibri" w:cs="Calibri"/>
                <w:color w:val="000000"/>
                <w:sz w:val="18"/>
                <w:szCs w:val="18"/>
                <w:lang w:val="hr-HR"/>
              </w:rPr>
              <w:t>9</w:t>
            </w:r>
          </w:p>
        </w:tc>
        <w:tc>
          <w:tcPr>
            <w:tcW w:w="523"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4</w:t>
            </w:r>
          </w:p>
        </w:tc>
        <w:tc>
          <w:tcPr>
            <w:tcW w:w="534"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616"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1.3</w:t>
            </w:r>
            <w:r w:rsidR="00125CF1" w:rsidRPr="00CD3A2D">
              <w:rPr>
                <w:rFonts w:ascii="Calibri" w:hAnsi="Calibri" w:cs="Calibri"/>
                <w:color w:val="000000"/>
                <w:sz w:val="18"/>
                <w:szCs w:val="18"/>
                <w:lang w:val="hr-HR"/>
              </w:rPr>
              <w:t>50</w:t>
            </w:r>
          </w:p>
        </w:tc>
        <w:tc>
          <w:tcPr>
            <w:tcW w:w="566" w:type="pct"/>
            <w:tcBorders>
              <w:top w:val="nil"/>
              <w:left w:val="nil"/>
              <w:bottom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bCs/>
                <w:color w:val="000000"/>
                <w:sz w:val="18"/>
                <w:szCs w:val="18"/>
                <w:lang w:val="hr-HR"/>
              </w:rPr>
              <w:t>1.363</w:t>
            </w:r>
          </w:p>
        </w:tc>
      </w:tr>
      <w:tr w:rsidR="00133ADF" w:rsidRPr="001567C8" w:rsidTr="003C6BA3">
        <w:trPr>
          <w:trHeight w:val="370"/>
        </w:trPr>
        <w:tc>
          <w:tcPr>
            <w:tcW w:w="1620" w:type="pct"/>
          </w:tcPr>
          <w:p w:rsidR="00133ADF" w:rsidRPr="001567C8" w:rsidRDefault="00133ADF" w:rsidP="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Nekretnine, postrojenja i oprema i nematerijalna imovina</w:t>
            </w:r>
          </w:p>
        </w:tc>
        <w:tc>
          <w:tcPr>
            <w:tcW w:w="542"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99"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23"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34"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616"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50.832</w:t>
            </w:r>
          </w:p>
        </w:tc>
        <w:tc>
          <w:tcPr>
            <w:tcW w:w="566"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bCs/>
                <w:color w:val="000000"/>
                <w:sz w:val="18"/>
                <w:szCs w:val="18"/>
                <w:lang w:val="hr-HR"/>
              </w:rPr>
              <w:t>50.832</w:t>
            </w:r>
          </w:p>
        </w:tc>
      </w:tr>
      <w:tr w:rsidR="00133ADF" w:rsidRPr="001567C8" w:rsidTr="003C6BA3">
        <w:trPr>
          <w:trHeight w:val="144"/>
        </w:trPr>
        <w:tc>
          <w:tcPr>
            <w:tcW w:w="1620" w:type="pct"/>
          </w:tcPr>
          <w:p w:rsidR="00133ADF" w:rsidRPr="001567C8" w:rsidRDefault="0051728E" w:rsidP="00133ADF">
            <w:pPr>
              <w:pStyle w:val="TT"/>
              <w:spacing w:line="220" w:lineRule="exact"/>
              <w:rPr>
                <w:rFonts w:asciiTheme="minorHAnsi" w:hAnsiTheme="minorHAnsi" w:cs="Arial"/>
                <w:sz w:val="18"/>
                <w:szCs w:val="18"/>
                <w:lang w:val="hr-HR"/>
              </w:rPr>
            </w:pPr>
            <w:r>
              <w:rPr>
                <w:rFonts w:asciiTheme="minorHAnsi" w:hAnsiTheme="minorHAnsi" w:cs="Arial"/>
                <w:spacing w:val="-2"/>
                <w:sz w:val="18"/>
                <w:szCs w:val="18"/>
                <w:lang w:val="hr-HR"/>
              </w:rPr>
              <w:t>Preuzeta imovina</w:t>
            </w:r>
          </w:p>
        </w:tc>
        <w:tc>
          <w:tcPr>
            <w:tcW w:w="542"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99"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23"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9.690</w:t>
            </w:r>
          </w:p>
        </w:tc>
        <w:tc>
          <w:tcPr>
            <w:tcW w:w="534"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2.666</w:t>
            </w:r>
          </w:p>
        </w:tc>
        <w:tc>
          <w:tcPr>
            <w:tcW w:w="616"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12.974</w:t>
            </w:r>
          </w:p>
        </w:tc>
        <w:tc>
          <w:tcPr>
            <w:tcW w:w="566" w:type="pct"/>
            <w:tcBorders>
              <w:top w:val="nil"/>
              <w:left w:val="nil"/>
              <w:right w:val="nil"/>
            </w:tcBorders>
            <w:shd w:val="clear" w:color="auto" w:fill="auto"/>
            <w:vAlign w:val="bottom"/>
          </w:tcPr>
          <w:p w:rsidR="00133ADF" w:rsidRPr="00CD3A2D" w:rsidRDefault="00133ADF" w:rsidP="00133ADF">
            <w:pPr>
              <w:jc w:val="right"/>
              <w:rPr>
                <w:rFonts w:ascii="Calibri" w:hAnsi="Calibri"/>
                <w:color w:val="000000"/>
                <w:sz w:val="18"/>
                <w:szCs w:val="18"/>
                <w:lang w:val="hr-HR"/>
              </w:rPr>
            </w:pPr>
            <w:r w:rsidRPr="00CD3A2D">
              <w:rPr>
                <w:rFonts w:ascii="Calibri" w:hAnsi="Calibri" w:cs="Calibri"/>
                <w:bCs/>
                <w:color w:val="000000"/>
                <w:sz w:val="18"/>
                <w:szCs w:val="18"/>
                <w:lang w:val="hr-HR"/>
              </w:rPr>
              <w:t>25.330</w:t>
            </w:r>
          </w:p>
        </w:tc>
      </w:tr>
      <w:tr w:rsidR="00133ADF" w:rsidRPr="001567C8" w:rsidTr="003C6BA3">
        <w:trPr>
          <w:trHeight w:val="175"/>
        </w:trPr>
        <w:tc>
          <w:tcPr>
            <w:tcW w:w="1620" w:type="pct"/>
          </w:tcPr>
          <w:p w:rsidR="00133ADF" w:rsidRPr="001567C8" w:rsidRDefault="00133ADF" w:rsidP="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Ostala imovina</w:t>
            </w:r>
          </w:p>
        </w:tc>
        <w:tc>
          <w:tcPr>
            <w:tcW w:w="542" w:type="pct"/>
            <w:tcBorders>
              <w:left w:val="nil"/>
              <w:bottom w:val="single" w:sz="8" w:space="0" w:color="auto"/>
              <w:right w:val="nil"/>
            </w:tcBorders>
            <w:shd w:val="clear" w:color="auto" w:fill="auto"/>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6.050</w:t>
            </w:r>
          </w:p>
        </w:tc>
        <w:tc>
          <w:tcPr>
            <w:tcW w:w="599" w:type="pct"/>
            <w:tcBorders>
              <w:left w:val="nil"/>
              <w:bottom w:val="single" w:sz="8" w:space="0" w:color="auto"/>
              <w:right w:val="nil"/>
            </w:tcBorders>
            <w:shd w:val="clear" w:color="auto" w:fill="auto"/>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8.294</w:t>
            </w:r>
          </w:p>
        </w:tc>
        <w:tc>
          <w:tcPr>
            <w:tcW w:w="523" w:type="pct"/>
            <w:tcBorders>
              <w:left w:val="nil"/>
              <w:bottom w:val="single" w:sz="8" w:space="0" w:color="auto"/>
              <w:right w:val="nil"/>
            </w:tcBorders>
            <w:shd w:val="clear" w:color="auto" w:fill="auto"/>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7.607</w:t>
            </w:r>
          </w:p>
        </w:tc>
        <w:tc>
          <w:tcPr>
            <w:tcW w:w="534" w:type="pct"/>
            <w:tcBorders>
              <w:left w:val="nil"/>
              <w:bottom w:val="single" w:sz="8" w:space="0" w:color="auto"/>
              <w:right w:val="nil"/>
            </w:tcBorders>
            <w:shd w:val="clear" w:color="auto" w:fill="auto"/>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1.753</w:t>
            </w:r>
          </w:p>
        </w:tc>
        <w:tc>
          <w:tcPr>
            <w:tcW w:w="616" w:type="pct"/>
            <w:tcBorders>
              <w:left w:val="nil"/>
              <w:bottom w:val="single" w:sz="8" w:space="0" w:color="auto"/>
              <w:right w:val="nil"/>
            </w:tcBorders>
            <w:shd w:val="clear" w:color="auto" w:fill="auto"/>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w:t>
            </w:r>
          </w:p>
        </w:tc>
        <w:tc>
          <w:tcPr>
            <w:tcW w:w="566" w:type="pct"/>
            <w:tcBorders>
              <w:left w:val="nil"/>
              <w:bottom w:val="nil"/>
              <w:right w:val="nil"/>
            </w:tcBorders>
            <w:shd w:val="clear" w:color="auto" w:fill="auto"/>
          </w:tcPr>
          <w:p w:rsidR="00133ADF" w:rsidRPr="00CD3A2D" w:rsidRDefault="00133ADF" w:rsidP="00133ADF">
            <w:pPr>
              <w:jc w:val="right"/>
              <w:rPr>
                <w:rFonts w:ascii="Calibri" w:hAnsi="Calibri"/>
                <w:color w:val="000000"/>
                <w:sz w:val="18"/>
                <w:szCs w:val="18"/>
                <w:lang w:val="hr-HR"/>
              </w:rPr>
            </w:pPr>
            <w:r w:rsidRPr="00CD3A2D">
              <w:rPr>
                <w:rFonts w:ascii="Calibri" w:hAnsi="Calibri" w:cs="Calibri"/>
                <w:color w:val="000000"/>
                <w:sz w:val="18"/>
                <w:szCs w:val="18"/>
                <w:lang w:val="hr-HR"/>
              </w:rPr>
              <w:t>23.704</w:t>
            </w:r>
          </w:p>
        </w:tc>
      </w:tr>
      <w:tr w:rsidR="00133ADF" w:rsidRPr="001567C8" w:rsidTr="003C6BA3">
        <w:trPr>
          <w:trHeight w:val="184"/>
        </w:trPr>
        <w:tc>
          <w:tcPr>
            <w:tcW w:w="1620" w:type="pct"/>
          </w:tcPr>
          <w:p w:rsidR="00133ADF" w:rsidRPr="001567C8" w:rsidRDefault="00133ADF" w:rsidP="00133ADF">
            <w:pPr>
              <w:pStyle w:val="Tot"/>
              <w:spacing w:line="22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Ukupna imovina </w:t>
            </w:r>
          </w:p>
        </w:tc>
        <w:tc>
          <w:tcPr>
            <w:tcW w:w="542" w:type="pct"/>
            <w:tcBorders>
              <w:top w:val="nil"/>
              <w:left w:val="nil"/>
              <w:bottom w:val="single" w:sz="8" w:space="0" w:color="auto"/>
              <w:right w:val="nil"/>
            </w:tcBorders>
            <w:shd w:val="clear" w:color="auto" w:fill="auto"/>
            <w:vAlign w:val="bottom"/>
          </w:tcPr>
          <w:p w:rsidR="00133ADF" w:rsidRPr="00CD3A2D" w:rsidRDefault="00133ADF"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6.850.684</w:t>
            </w:r>
          </w:p>
        </w:tc>
        <w:tc>
          <w:tcPr>
            <w:tcW w:w="599" w:type="pct"/>
            <w:tcBorders>
              <w:top w:val="nil"/>
              <w:left w:val="nil"/>
              <w:bottom w:val="single" w:sz="8" w:space="0" w:color="auto"/>
              <w:right w:val="nil"/>
            </w:tcBorders>
            <w:shd w:val="clear" w:color="auto" w:fill="auto"/>
            <w:vAlign w:val="bottom"/>
          </w:tcPr>
          <w:p w:rsidR="00133ADF" w:rsidRPr="00CD3A2D" w:rsidRDefault="00133ADF"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855.35</w:t>
            </w:r>
            <w:r w:rsidR="007F0686" w:rsidRPr="00CD3A2D">
              <w:rPr>
                <w:rFonts w:ascii="Calibri" w:hAnsi="Calibri" w:cs="Calibri"/>
                <w:b/>
                <w:bCs/>
                <w:color w:val="000000"/>
                <w:sz w:val="18"/>
                <w:szCs w:val="18"/>
                <w:lang w:val="hr-HR"/>
              </w:rPr>
              <w:t>1</w:t>
            </w:r>
          </w:p>
        </w:tc>
        <w:tc>
          <w:tcPr>
            <w:tcW w:w="523" w:type="pct"/>
            <w:tcBorders>
              <w:top w:val="nil"/>
              <w:left w:val="nil"/>
              <w:bottom w:val="single" w:sz="8" w:space="0" w:color="auto"/>
              <w:right w:val="nil"/>
            </w:tcBorders>
            <w:shd w:val="clear" w:color="auto" w:fill="auto"/>
            <w:vAlign w:val="bottom"/>
          </w:tcPr>
          <w:p w:rsidR="00133ADF" w:rsidRPr="00CD3A2D" w:rsidRDefault="00133ADF"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2.041.790</w:t>
            </w:r>
          </w:p>
        </w:tc>
        <w:tc>
          <w:tcPr>
            <w:tcW w:w="534" w:type="pct"/>
            <w:tcBorders>
              <w:top w:val="nil"/>
              <w:left w:val="nil"/>
              <w:bottom w:val="single" w:sz="8" w:space="0" w:color="auto"/>
              <w:right w:val="nil"/>
            </w:tcBorders>
            <w:shd w:val="clear" w:color="auto" w:fill="auto"/>
            <w:vAlign w:val="bottom"/>
          </w:tcPr>
          <w:p w:rsidR="00133ADF" w:rsidRPr="00CD3A2D" w:rsidRDefault="00133ADF"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5.492.358</w:t>
            </w:r>
          </w:p>
        </w:tc>
        <w:tc>
          <w:tcPr>
            <w:tcW w:w="616" w:type="pct"/>
            <w:tcBorders>
              <w:top w:val="nil"/>
              <w:left w:val="nil"/>
              <w:bottom w:val="single" w:sz="8" w:space="0" w:color="auto"/>
              <w:right w:val="nil"/>
            </w:tcBorders>
            <w:shd w:val="clear" w:color="auto" w:fill="auto"/>
            <w:vAlign w:val="bottom"/>
          </w:tcPr>
          <w:p w:rsidR="00133ADF" w:rsidRPr="00CD3A2D" w:rsidRDefault="00133ADF"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11.978.79</w:t>
            </w:r>
            <w:r w:rsidR="00125CF1" w:rsidRPr="00CD3A2D">
              <w:rPr>
                <w:rFonts w:ascii="Calibri" w:hAnsi="Calibri" w:cs="Calibri"/>
                <w:b/>
                <w:bCs/>
                <w:color w:val="000000"/>
                <w:sz w:val="18"/>
                <w:szCs w:val="18"/>
                <w:lang w:val="hr-HR"/>
              </w:rPr>
              <w:t>8</w:t>
            </w:r>
          </w:p>
        </w:tc>
        <w:tc>
          <w:tcPr>
            <w:tcW w:w="566" w:type="pct"/>
            <w:tcBorders>
              <w:top w:val="single" w:sz="8" w:space="0" w:color="auto"/>
              <w:left w:val="nil"/>
              <w:bottom w:val="single" w:sz="8" w:space="0" w:color="auto"/>
              <w:right w:val="nil"/>
            </w:tcBorders>
            <w:shd w:val="clear" w:color="auto" w:fill="auto"/>
            <w:vAlign w:val="bottom"/>
          </w:tcPr>
          <w:p w:rsidR="00133ADF" w:rsidRPr="00CD3A2D" w:rsidRDefault="00133ADF"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27.218.981</w:t>
            </w:r>
          </w:p>
        </w:tc>
      </w:tr>
      <w:tr w:rsidR="00A44D30" w:rsidRPr="001567C8" w:rsidTr="003C6BA3">
        <w:trPr>
          <w:trHeight w:val="269"/>
        </w:trPr>
        <w:tc>
          <w:tcPr>
            <w:tcW w:w="1620" w:type="pct"/>
          </w:tcPr>
          <w:p w:rsidR="00A44D30" w:rsidRPr="001567C8" w:rsidRDefault="00A44D30" w:rsidP="00A44D30">
            <w:pPr>
              <w:pStyle w:val="Thin"/>
              <w:spacing w:line="60" w:lineRule="exact"/>
              <w:rPr>
                <w:rFonts w:asciiTheme="minorHAnsi" w:hAnsiTheme="minorHAnsi" w:cs="Arial"/>
                <w:bCs/>
                <w:sz w:val="18"/>
                <w:szCs w:val="18"/>
                <w:lang w:val="hr-HR"/>
              </w:rPr>
            </w:pPr>
          </w:p>
        </w:tc>
        <w:tc>
          <w:tcPr>
            <w:tcW w:w="542" w:type="pct"/>
            <w:tcBorders>
              <w:top w:val="single" w:sz="12" w:space="0" w:color="auto"/>
            </w:tcBorders>
            <w:vAlign w:val="bottom"/>
          </w:tcPr>
          <w:p w:rsidR="00A44D30" w:rsidRPr="001567C8" w:rsidRDefault="00A44D30" w:rsidP="00A44D30">
            <w:pPr>
              <w:pStyle w:val="Thin"/>
              <w:spacing w:line="60" w:lineRule="exact"/>
              <w:jc w:val="right"/>
              <w:rPr>
                <w:rFonts w:asciiTheme="minorHAnsi" w:hAnsiTheme="minorHAnsi" w:cs="Arial"/>
                <w:bCs/>
                <w:sz w:val="18"/>
                <w:szCs w:val="18"/>
                <w:lang w:val="hr-HR"/>
              </w:rPr>
            </w:pPr>
          </w:p>
        </w:tc>
        <w:tc>
          <w:tcPr>
            <w:tcW w:w="599" w:type="pct"/>
            <w:tcBorders>
              <w:top w:val="single" w:sz="12" w:space="0" w:color="auto"/>
            </w:tcBorders>
            <w:vAlign w:val="bottom"/>
          </w:tcPr>
          <w:p w:rsidR="00A44D30" w:rsidRPr="001567C8" w:rsidRDefault="00A44D30" w:rsidP="00A44D30">
            <w:pPr>
              <w:pStyle w:val="Thin"/>
              <w:spacing w:line="60" w:lineRule="exact"/>
              <w:jc w:val="right"/>
              <w:rPr>
                <w:rFonts w:asciiTheme="minorHAnsi" w:hAnsiTheme="minorHAnsi" w:cs="Arial"/>
                <w:bCs/>
                <w:sz w:val="18"/>
                <w:szCs w:val="18"/>
                <w:lang w:val="hr-HR"/>
              </w:rPr>
            </w:pPr>
          </w:p>
        </w:tc>
        <w:tc>
          <w:tcPr>
            <w:tcW w:w="523" w:type="pct"/>
            <w:tcBorders>
              <w:top w:val="single" w:sz="12" w:space="0" w:color="auto"/>
            </w:tcBorders>
            <w:vAlign w:val="bottom"/>
          </w:tcPr>
          <w:p w:rsidR="00A44D30" w:rsidRPr="001567C8" w:rsidRDefault="00A44D30" w:rsidP="00A44D30">
            <w:pPr>
              <w:pStyle w:val="Thin"/>
              <w:spacing w:line="60" w:lineRule="exact"/>
              <w:jc w:val="right"/>
              <w:rPr>
                <w:rFonts w:asciiTheme="minorHAnsi" w:hAnsiTheme="minorHAnsi" w:cs="Arial"/>
                <w:bCs/>
                <w:sz w:val="18"/>
                <w:szCs w:val="18"/>
                <w:lang w:val="hr-HR"/>
              </w:rPr>
            </w:pPr>
          </w:p>
        </w:tc>
        <w:tc>
          <w:tcPr>
            <w:tcW w:w="534" w:type="pct"/>
            <w:tcBorders>
              <w:top w:val="single" w:sz="12" w:space="0" w:color="auto"/>
            </w:tcBorders>
            <w:vAlign w:val="bottom"/>
          </w:tcPr>
          <w:p w:rsidR="00A44D30" w:rsidRPr="001567C8" w:rsidRDefault="00A44D30" w:rsidP="00A44D30">
            <w:pPr>
              <w:pStyle w:val="Thin"/>
              <w:spacing w:line="60" w:lineRule="exact"/>
              <w:jc w:val="right"/>
              <w:rPr>
                <w:rFonts w:asciiTheme="minorHAnsi" w:hAnsiTheme="minorHAnsi" w:cs="Arial"/>
                <w:bCs/>
                <w:sz w:val="18"/>
                <w:szCs w:val="18"/>
                <w:lang w:val="hr-HR"/>
              </w:rPr>
            </w:pPr>
          </w:p>
        </w:tc>
        <w:tc>
          <w:tcPr>
            <w:tcW w:w="616" w:type="pct"/>
            <w:tcBorders>
              <w:top w:val="single" w:sz="12" w:space="0" w:color="auto"/>
            </w:tcBorders>
            <w:vAlign w:val="bottom"/>
          </w:tcPr>
          <w:p w:rsidR="00A44D30" w:rsidRPr="001567C8" w:rsidRDefault="00A44D30" w:rsidP="00A44D30">
            <w:pPr>
              <w:pStyle w:val="Thin"/>
              <w:spacing w:line="60" w:lineRule="exact"/>
              <w:jc w:val="right"/>
              <w:rPr>
                <w:rFonts w:asciiTheme="minorHAnsi" w:hAnsiTheme="minorHAnsi" w:cs="Arial"/>
                <w:bCs/>
                <w:sz w:val="18"/>
                <w:szCs w:val="18"/>
                <w:lang w:val="hr-HR"/>
              </w:rPr>
            </w:pPr>
          </w:p>
        </w:tc>
        <w:tc>
          <w:tcPr>
            <w:tcW w:w="566" w:type="pct"/>
            <w:tcBorders>
              <w:top w:val="single" w:sz="12" w:space="0" w:color="auto"/>
            </w:tcBorders>
            <w:vAlign w:val="bottom"/>
          </w:tcPr>
          <w:p w:rsidR="00A44D30" w:rsidRPr="001567C8" w:rsidRDefault="00A44D30" w:rsidP="00A44D30">
            <w:pPr>
              <w:pStyle w:val="Thin"/>
              <w:spacing w:line="60" w:lineRule="exact"/>
              <w:jc w:val="right"/>
              <w:rPr>
                <w:rFonts w:asciiTheme="minorHAnsi" w:hAnsiTheme="minorHAnsi" w:cs="Arial"/>
                <w:bCs/>
                <w:sz w:val="18"/>
                <w:szCs w:val="18"/>
                <w:lang w:val="hr-HR"/>
              </w:rPr>
            </w:pPr>
          </w:p>
        </w:tc>
      </w:tr>
      <w:tr w:rsidR="00A44D30" w:rsidRPr="001567C8" w:rsidTr="006533FB">
        <w:trPr>
          <w:trHeight w:val="184"/>
        </w:trPr>
        <w:tc>
          <w:tcPr>
            <w:tcW w:w="1620" w:type="pct"/>
          </w:tcPr>
          <w:p w:rsidR="00A44D30" w:rsidRPr="001567C8" w:rsidRDefault="00A44D30" w:rsidP="00A44D30">
            <w:pPr>
              <w:pStyle w:val="TT"/>
              <w:spacing w:line="22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Obveze</w:t>
            </w:r>
          </w:p>
        </w:tc>
        <w:tc>
          <w:tcPr>
            <w:tcW w:w="542" w:type="pct"/>
            <w:vAlign w:val="bottom"/>
          </w:tcPr>
          <w:p w:rsidR="00A44D30" w:rsidRPr="001567C8" w:rsidRDefault="00A44D30" w:rsidP="00A44D30">
            <w:pPr>
              <w:pStyle w:val="TT"/>
              <w:tabs>
                <w:tab w:val="clear" w:pos="1202"/>
              </w:tabs>
              <w:spacing w:line="220" w:lineRule="exact"/>
              <w:jc w:val="right"/>
              <w:rPr>
                <w:rFonts w:asciiTheme="minorHAnsi" w:hAnsiTheme="minorHAnsi" w:cs="Arial"/>
                <w:b/>
                <w:bCs/>
                <w:spacing w:val="-2"/>
                <w:sz w:val="18"/>
                <w:szCs w:val="18"/>
                <w:lang w:val="hr-HR"/>
              </w:rPr>
            </w:pPr>
          </w:p>
        </w:tc>
        <w:tc>
          <w:tcPr>
            <w:tcW w:w="599" w:type="pct"/>
            <w:vAlign w:val="bottom"/>
          </w:tcPr>
          <w:p w:rsidR="00A44D30" w:rsidRPr="001567C8" w:rsidRDefault="00A44D30" w:rsidP="00A44D30">
            <w:pPr>
              <w:pStyle w:val="TT"/>
              <w:tabs>
                <w:tab w:val="clear" w:pos="1202"/>
              </w:tabs>
              <w:spacing w:line="220" w:lineRule="exact"/>
              <w:jc w:val="right"/>
              <w:rPr>
                <w:rFonts w:asciiTheme="minorHAnsi" w:hAnsiTheme="minorHAnsi" w:cs="Arial"/>
                <w:b/>
                <w:bCs/>
                <w:spacing w:val="-2"/>
                <w:sz w:val="18"/>
                <w:szCs w:val="18"/>
                <w:lang w:val="hr-HR"/>
              </w:rPr>
            </w:pPr>
          </w:p>
        </w:tc>
        <w:tc>
          <w:tcPr>
            <w:tcW w:w="523" w:type="pct"/>
            <w:vAlign w:val="bottom"/>
          </w:tcPr>
          <w:p w:rsidR="00A44D30" w:rsidRPr="001567C8" w:rsidRDefault="00A44D30" w:rsidP="00A44D30">
            <w:pPr>
              <w:pStyle w:val="TT"/>
              <w:tabs>
                <w:tab w:val="clear" w:pos="1202"/>
              </w:tabs>
              <w:spacing w:line="220" w:lineRule="exact"/>
              <w:jc w:val="right"/>
              <w:rPr>
                <w:rFonts w:asciiTheme="minorHAnsi" w:hAnsiTheme="minorHAnsi" w:cs="Arial"/>
                <w:b/>
                <w:bCs/>
                <w:spacing w:val="-2"/>
                <w:sz w:val="18"/>
                <w:szCs w:val="18"/>
                <w:lang w:val="hr-HR"/>
              </w:rPr>
            </w:pPr>
          </w:p>
        </w:tc>
        <w:tc>
          <w:tcPr>
            <w:tcW w:w="534" w:type="pct"/>
            <w:vAlign w:val="bottom"/>
          </w:tcPr>
          <w:p w:rsidR="00A44D30" w:rsidRPr="001567C8" w:rsidRDefault="00A44D30" w:rsidP="00A44D30">
            <w:pPr>
              <w:pStyle w:val="TT"/>
              <w:tabs>
                <w:tab w:val="clear" w:pos="1202"/>
              </w:tabs>
              <w:spacing w:line="220" w:lineRule="exact"/>
              <w:jc w:val="right"/>
              <w:rPr>
                <w:rFonts w:asciiTheme="minorHAnsi" w:hAnsiTheme="minorHAnsi" w:cs="Arial"/>
                <w:b/>
                <w:bCs/>
                <w:spacing w:val="-2"/>
                <w:sz w:val="18"/>
                <w:szCs w:val="18"/>
                <w:lang w:val="hr-HR"/>
              </w:rPr>
            </w:pPr>
          </w:p>
        </w:tc>
        <w:tc>
          <w:tcPr>
            <w:tcW w:w="616" w:type="pct"/>
            <w:vAlign w:val="bottom"/>
          </w:tcPr>
          <w:p w:rsidR="00A44D30" w:rsidRPr="001567C8" w:rsidRDefault="00A44D30" w:rsidP="00A44D30">
            <w:pPr>
              <w:pStyle w:val="TT"/>
              <w:tabs>
                <w:tab w:val="clear" w:pos="1202"/>
              </w:tabs>
              <w:spacing w:line="220" w:lineRule="exact"/>
              <w:jc w:val="right"/>
              <w:rPr>
                <w:rFonts w:asciiTheme="minorHAnsi" w:hAnsiTheme="minorHAnsi" w:cs="Arial"/>
                <w:b/>
                <w:bCs/>
                <w:spacing w:val="-2"/>
                <w:sz w:val="18"/>
                <w:szCs w:val="18"/>
                <w:lang w:val="hr-HR"/>
              </w:rPr>
            </w:pPr>
          </w:p>
        </w:tc>
        <w:tc>
          <w:tcPr>
            <w:tcW w:w="566" w:type="pct"/>
            <w:vAlign w:val="bottom"/>
          </w:tcPr>
          <w:p w:rsidR="00A44D30" w:rsidRPr="001567C8" w:rsidRDefault="00A44D30" w:rsidP="00A44D30">
            <w:pPr>
              <w:pStyle w:val="TT"/>
              <w:tabs>
                <w:tab w:val="clear" w:pos="1202"/>
              </w:tabs>
              <w:spacing w:line="220" w:lineRule="exact"/>
              <w:jc w:val="right"/>
              <w:rPr>
                <w:rFonts w:asciiTheme="minorHAnsi" w:hAnsiTheme="minorHAnsi" w:cs="Arial"/>
                <w:b/>
                <w:bCs/>
                <w:sz w:val="18"/>
                <w:szCs w:val="18"/>
                <w:lang w:val="hr-HR"/>
              </w:rPr>
            </w:pPr>
          </w:p>
        </w:tc>
      </w:tr>
      <w:tr w:rsidR="00133ADF" w:rsidRPr="001567C8" w:rsidTr="003C6BA3">
        <w:trPr>
          <w:trHeight w:val="184"/>
        </w:trPr>
        <w:tc>
          <w:tcPr>
            <w:tcW w:w="1620" w:type="pct"/>
          </w:tcPr>
          <w:p w:rsidR="00133ADF" w:rsidRPr="001567C8" w:rsidRDefault="00133ADF" w:rsidP="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Obveze po depozitima</w:t>
            </w:r>
          </w:p>
        </w:tc>
        <w:tc>
          <w:tcPr>
            <w:tcW w:w="542"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229.704 </w:t>
            </w:r>
          </w:p>
        </w:tc>
        <w:tc>
          <w:tcPr>
            <w:tcW w:w="599"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6.579 </w:t>
            </w:r>
          </w:p>
        </w:tc>
        <w:tc>
          <w:tcPr>
            <w:tcW w:w="523"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177.736 </w:t>
            </w:r>
          </w:p>
        </w:tc>
        <w:tc>
          <w:tcPr>
            <w:tcW w:w="534"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757 </w:t>
            </w:r>
          </w:p>
        </w:tc>
        <w:tc>
          <w:tcPr>
            <w:tcW w:w="616"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14.320 </w:t>
            </w:r>
          </w:p>
        </w:tc>
        <w:tc>
          <w:tcPr>
            <w:tcW w:w="566"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429.096 </w:t>
            </w:r>
          </w:p>
        </w:tc>
      </w:tr>
      <w:tr w:rsidR="00031CC2" w:rsidRPr="001567C8" w:rsidTr="003C6BA3">
        <w:trPr>
          <w:trHeight w:val="175"/>
        </w:trPr>
        <w:tc>
          <w:tcPr>
            <w:tcW w:w="1620" w:type="pct"/>
          </w:tcPr>
          <w:p w:rsidR="00031CC2" w:rsidRPr="001567C8" w:rsidRDefault="00031CC2" w:rsidP="00031CC2">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Obveze po kreditima</w:t>
            </w:r>
          </w:p>
        </w:tc>
        <w:tc>
          <w:tcPr>
            <w:tcW w:w="542" w:type="pct"/>
            <w:tcBorders>
              <w:top w:val="nil"/>
              <w:left w:val="nil"/>
              <w:bottom w:val="nil"/>
              <w:right w:val="nil"/>
            </w:tcBorders>
            <w:shd w:val="clear" w:color="auto" w:fill="auto"/>
            <w:vAlign w:val="center"/>
          </w:tcPr>
          <w:p w:rsidR="00031CC2" w:rsidRPr="00CD3A2D" w:rsidRDefault="00031CC2" w:rsidP="00031CC2">
            <w:pPr>
              <w:jc w:val="right"/>
              <w:rPr>
                <w:rFonts w:asciiTheme="minorHAnsi" w:hAnsiTheme="minorHAnsi"/>
                <w:color w:val="000000"/>
                <w:sz w:val="18"/>
                <w:szCs w:val="18"/>
                <w:lang w:val="hr-HR"/>
              </w:rPr>
            </w:pPr>
            <w:r w:rsidRPr="00CD3A2D">
              <w:rPr>
                <w:rFonts w:ascii="Calibri" w:hAnsi="Calibri" w:cs="Calibri"/>
                <w:color w:val="000000"/>
                <w:sz w:val="18"/>
                <w:szCs w:val="18"/>
                <w:lang w:val="hr-HR"/>
              </w:rPr>
              <w:t>313.492</w:t>
            </w:r>
          </w:p>
        </w:tc>
        <w:tc>
          <w:tcPr>
            <w:tcW w:w="599" w:type="pct"/>
            <w:tcBorders>
              <w:top w:val="nil"/>
              <w:left w:val="nil"/>
              <w:bottom w:val="nil"/>
              <w:right w:val="nil"/>
            </w:tcBorders>
            <w:shd w:val="clear" w:color="auto" w:fill="auto"/>
            <w:vAlign w:val="center"/>
          </w:tcPr>
          <w:p w:rsidR="00031CC2" w:rsidRPr="00CD3A2D" w:rsidRDefault="00031CC2" w:rsidP="00031CC2">
            <w:pPr>
              <w:jc w:val="right"/>
              <w:rPr>
                <w:rFonts w:asciiTheme="minorHAnsi" w:hAnsiTheme="minorHAnsi"/>
                <w:color w:val="000000"/>
                <w:sz w:val="18"/>
                <w:szCs w:val="18"/>
                <w:lang w:val="hr-HR"/>
              </w:rPr>
            </w:pPr>
            <w:r w:rsidRPr="00CD3A2D">
              <w:rPr>
                <w:rFonts w:ascii="Calibri" w:hAnsi="Calibri" w:cs="Calibri"/>
                <w:color w:val="000000"/>
                <w:sz w:val="18"/>
                <w:szCs w:val="18"/>
                <w:lang w:val="hr-HR"/>
              </w:rPr>
              <w:t>461.196**</w:t>
            </w:r>
          </w:p>
        </w:tc>
        <w:tc>
          <w:tcPr>
            <w:tcW w:w="523" w:type="pct"/>
            <w:tcBorders>
              <w:top w:val="nil"/>
              <w:left w:val="nil"/>
              <w:bottom w:val="nil"/>
              <w:right w:val="nil"/>
            </w:tcBorders>
            <w:shd w:val="clear" w:color="auto" w:fill="auto"/>
            <w:vAlign w:val="center"/>
          </w:tcPr>
          <w:p w:rsidR="00031CC2" w:rsidRPr="00CD3A2D" w:rsidRDefault="00031CC2" w:rsidP="00031CC2">
            <w:pPr>
              <w:jc w:val="right"/>
              <w:rPr>
                <w:rFonts w:asciiTheme="minorHAnsi" w:hAnsiTheme="minorHAnsi"/>
                <w:color w:val="000000"/>
                <w:sz w:val="18"/>
                <w:szCs w:val="18"/>
                <w:lang w:val="hr-HR"/>
              </w:rPr>
            </w:pPr>
            <w:r w:rsidRPr="00CD3A2D">
              <w:rPr>
                <w:rFonts w:ascii="Calibri" w:hAnsi="Calibri" w:cs="Calibri"/>
                <w:color w:val="000000"/>
                <w:sz w:val="18"/>
                <w:szCs w:val="18"/>
                <w:lang w:val="hr-HR"/>
              </w:rPr>
              <w:t>1.454.492</w:t>
            </w:r>
          </w:p>
        </w:tc>
        <w:tc>
          <w:tcPr>
            <w:tcW w:w="534" w:type="pct"/>
            <w:tcBorders>
              <w:top w:val="nil"/>
              <w:left w:val="nil"/>
              <w:bottom w:val="nil"/>
              <w:right w:val="nil"/>
            </w:tcBorders>
            <w:shd w:val="clear" w:color="auto" w:fill="auto"/>
            <w:vAlign w:val="center"/>
          </w:tcPr>
          <w:p w:rsidR="00031CC2" w:rsidRPr="00CD3A2D" w:rsidRDefault="00031CC2" w:rsidP="00031CC2">
            <w:pPr>
              <w:jc w:val="right"/>
              <w:rPr>
                <w:rFonts w:asciiTheme="minorHAnsi" w:hAnsiTheme="minorHAnsi"/>
                <w:color w:val="000000"/>
                <w:sz w:val="18"/>
                <w:szCs w:val="18"/>
                <w:lang w:val="hr-HR"/>
              </w:rPr>
            </w:pPr>
            <w:r w:rsidRPr="00CD3A2D">
              <w:rPr>
                <w:rFonts w:ascii="Calibri" w:hAnsi="Calibri" w:cs="Calibri"/>
                <w:color w:val="000000"/>
                <w:sz w:val="18"/>
                <w:szCs w:val="18"/>
                <w:lang w:val="hr-HR"/>
              </w:rPr>
              <w:t>3.966.550</w:t>
            </w:r>
          </w:p>
        </w:tc>
        <w:tc>
          <w:tcPr>
            <w:tcW w:w="616" w:type="pct"/>
            <w:tcBorders>
              <w:top w:val="nil"/>
              <w:left w:val="nil"/>
              <w:bottom w:val="nil"/>
              <w:right w:val="nil"/>
            </w:tcBorders>
            <w:shd w:val="clear" w:color="auto" w:fill="auto"/>
            <w:vAlign w:val="center"/>
          </w:tcPr>
          <w:p w:rsidR="00031CC2" w:rsidRPr="00CD3A2D" w:rsidRDefault="00031CC2" w:rsidP="00031CC2">
            <w:pPr>
              <w:jc w:val="right"/>
              <w:rPr>
                <w:rFonts w:asciiTheme="minorHAnsi" w:hAnsiTheme="minorHAnsi"/>
                <w:color w:val="000000"/>
                <w:sz w:val="18"/>
                <w:szCs w:val="18"/>
                <w:lang w:val="hr-HR"/>
              </w:rPr>
            </w:pPr>
            <w:r w:rsidRPr="00CD3A2D">
              <w:rPr>
                <w:rFonts w:ascii="Calibri" w:hAnsi="Calibri" w:cs="Calibri"/>
                <w:color w:val="000000"/>
                <w:sz w:val="18"/>
                <w:szCs w:val="18"/>
                <w:lang w:val="hr-HR"/>
              </w:rPr>
              <w:t>8.682.257</w:t>
            </w:r>
          </w:p>
        </w:tc>
        <w:tc>
          <w:tcPr>
            <w:tcW w:w="566" w:type="pct"/>
            <w:tcBorders>
              <w:top w:val="nil"/>
              <w:left w:val="nil"/>
              <w:bottom w:val="nil"/>
              <w:right w:val="nil"/>
            </w:tcBorders>
            <w:shd w:val="clear" w:color="auto" w:fill="auto"/>
            <w:vAlign w:val="center"/>
          </w:tcPr>
          <w:p w:rsidR="00031CC2" w:rsidRPr="00CD3A2D" w:rsidRDefault="00031CC2" w:rsidP="00031CC2">
            <w:pPr>
              <w:jc w:val="right"/>
              <w:rPr>
                <w:rFonts w:asciiTheme="minorHAnsi" w:hAnsiTheme="minorHAnsi"/>
                <w:color w:val="000000"/>
                <w:sz w:val="18"/>
                <w:szCs w:val="18"/>
                <w:lang w:val="hr-HR"/>
              </w:rPr>
            </w:pPr>
            <w:r w:rsidRPr="00CD3A2D">
              <w:rPr>
                <w:rFonts w:ascii="Calibri" w:hAnsi="Calibri" w:cs="Calibri"/>
                <w:color w:val="000000"/>
                <w:sz w:val="18"/>
                <w:szCs w:val="18"/>
                <w:lang w:val="hr-HR"/>
              </w:rPr>
              <w:t>14.877.987</w:t>
            </w:r>
          </w:p>
        </w:tc>
      </w:tr>
      <w:tr w:rsidR="00133ADF" w:rsidRPr="001567C8" w:rsidTr="003C6BA3">
        <w:trPr>
          <w:trHeight w:val="359"/>
        </w:trPr>
        <w:tc>
          <w:tcPr>
            <w:tcW w:w="1620" w:type="pct"/>
          </w:tcPr>
          <w:p w:rsidR="00133ADF" w:rsidRPr="001567C8" w:rsidRDefault="00133ADF" w:rsidP="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Obveze za izdane dugoročne vrijednosne papire</w:t>
            </w:r>
          </w:p>
        </w:tc>
        <w:tc>
          <w:tcPr>
            <w:tcW w:w="542"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 </w:t>
            </w:r>
          </w:p>
        </w:tc>
        <w:tc>
          <w:tcPr>
            <w:tcW w:w="599"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43.347 </w:t>
            </w:r>
          </w:p>
        </w:tc>
        <w:tc>
          <w:tcPr>
            <w:tcW w:w="523"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 </w:t>
            </w:r>
          </w:p>
        </w:tc>
        <w:tc>
          <w:tcPr>
            <w:tcW w:w="534"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1.107.210 </w:t>
            </w:r>
          </w:p>
        </w:tc>
        <w:tc>
          <w:tcPr>
            <w:tcW w:w="616"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 </w:t>
            </w:r>
          </w:p>
        </w:tc>
        <w:tc>
          <w:tcPr>
            <w:tcW w:w="566"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1.150.557 </w:t>
            </w:r>
          </w:p>
        </w:tc>
      </w:tr>
      <w:tr w:rsidR="00133ADF" w:rsidRPr="001567C8" w:rsidTr="003C6BA3">
        <w:trPr>
          <w:trHeight w:val="175"/>
        </w:trPr>
        <w:tc>
          <w:tcPr>
            <w:tcW w:w="1620" w:type="pct"/>
          </w:tcPr>
          <w:p w:rsidR="00133ADF" w:rsidRPr="001567C8" w:rsidRDefault="00133ADF" w:rsidP="00133ADF">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Ostale obveze</w:t>
            </w:r>
          </w:p>
        </w:tc>
        <w:tc>
          <w:tcPr>
            <w:tcW w:w="542"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268.912 </w:t>
            </w:r>
          </w:p>
        </w:tc>
        <w:tc>
          <w:tcPr>
            <w:tcW w:w="599"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24.566 </w:t>
            </w:r>
          </w:p>
        </w:tc>
        <w:tc>
          <w:tcPr>
            <w:tcW w:w="523"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80.386 </w:t>
            </w:r>
          </w:p>
        </w:tc>
        <w:tc>
          <w:tcPr>
            <w:tcW w:w="534"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159.906 </w:t>
            </w:r>
          </w:p>
        </w:tc>
        <w:tc>
          <w:tcPr>
            <w:tcW w:w="616"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166.464 </w:t>
            </w:r>
          </w:p>
        </w:tc>
        <w:tc>
          <w:tcPr>
            <w:tcW w:w="566" w:type="pct"/>
            <w:tcBorders>
              <w:top w:val="nil"/>
              <w:left w:val="nil"/>
              <w:bottom w:val="nil"/>
              <w:right w:val="nil"/>
            </w:tcBorders>
            <w:shd w:val="clear" w:color="auto" w:fill="auto"/>
            <w:vAlign w:val="bottom"/>
          </w:tcPr>
          <w:p w:rsidR="00133ADF" w:rsidRPr="00CD3A2D" w:rsidRDefault="00133ADF" w:rsidP="00133ADF">
            <w:pPr>
              <w:jc w:val="right"/>
              <w:rPr>
                <w:rFonts w:asciiTheme="minorHAnsi" w:hAnsiTheme="minorHAnsi"/>
                <w:color w:val="000000"/>
                <w:sz w:val="18"/>
                <w:szCs w:val="18"/>
                <w:lang w:val="hr-HR"/>
              </w:rPr>
            </w:pPr>
            <w:r w:rsidRPr="00CD3A2D">
              <w:rPr>
                <w:rFonts w:asciiTheme="minorHAnsi" w:hAnsiTheme="minorHAnsi"/>
                <w:sz w:val="18"/>
                <w:szCs w:val="18"/>
                <w:lang w:val="hr-HR"/>
              </w:rPr>
              <w:t xml:space="preserve"> 700.234 </w:t>
            </w:r>
          </w:p>
        </w:tc>
      </w:tr>
      <w:tr w:rsidR="00133ADF" w:rsidRPr="001567C8" w:rsidTr="003C6BA3">
        <w:trPr>
          <w:trHeight w:val="175"/>
        </w:trPr>
        <w:tc>
          <w:tcPr>
            <w:tcW w:w="1620" w:type="pct"/>
          </w:tcPr>
          <w:p w:rsidR="00133ADF" w:rsidRPr="001567C8" w:rsidRDefault="00133ADF" w:rsidP="00133ADF">
            <w:pPr>
              <w:pStyle w:val="Tot"/>
              <w:spacing w:line="22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Ukupne obveze</w:t>
            </w:r>
          </w:p>
        </w:tc>
        <w:tc>
          <w:tcPr>
            <w:tcW w:w="542" w:type="pct"/>
            <w:tcBorders>
              <w:top w:val="single" w:sz="8" w:space="0" w:color="auto"/>
              <w:left w:val="nil"/>
              <w:bottom w:val="single" w:sz="8" w:space="0" w:color="auto"/>
              <w:right w:val="nil"/>
            </w:tcBorders>
            <w:shd w:val="clear" w:color="auto" w:fill="auto"/>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812.108 </w:t>
            </w:r>
          </w:p>
        </w:tc>
        <w:tc>
          <w:tcPr>
            <w:tcW w:w="599" w:type="pct"/>
            <w:tcBorders>
              <w:top w:val="single" w:sz="8" w:space="0" w:color="auto"/>
              <w:left w:val="nil"/>
              <w:bottom w:val="single" w:sz="8" w:space="0" w:color="auto"/>
              <w:right w:val="nil"/>
            </w:tcBorders>
            <w:shd w:val="clear" w:color="auto" w:fill="auto"/>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535.688 </w:t>
            </w:r>
          </w:p>
        </w:tc>
        <w:tc>
          <w:tcPr>
            <w:tcW w:w="523" w:type="pct"/>
            <w:tcBorders>
              <w:top w:val="single" w:sz="8" w:space="0" w:color="auto"/>
              <w:left w:val="nil"/>
              <w:bottom w:val="single" w:sz="8" w:space="0" w:color="auto"/>
              <w:right w:val="nil"/>
            </w:tcBorders>
            <w:shd w:val="clear" w:color="auto" w:fill="auto"/>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1.712.614 </w:t>
            </w:r>
          </w:p>
        </w:tc>
        <w:tc>
          <w:tcPr>
            <w:tcW w:w="534" w:type="pct"/>
            <w:tcBorders>
              <w:top w:val="single" w:sz="8" w:space="0" w:color="auto"/>
              <w:left w:val="nil"/>
              <w:bottom w:val="single" w:sz="8" w:space="0" w:color="auto"/>
              <w:right w:val="nil"/>
            </w:tcBorders>
            <w:shd w:val="clear" w:color="auto" w:fill="auto"/>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5.234.423 </w:t>
            </w:r>
          </w:p>
        </w:tc>
        <w:tc>
          <w:tcPr>
            <w:tcW w:w="616" w:type="pct"/>
            <w:tcBorders>
              <w:top w:val="single" w:sz="8" w:space="0" w:color="auto"/>
              <w:left w:val="nil"/>
              <w:bottom w:val="single" w:sz="8" w:space="0" w:color="auto"/>
              <w:right w:val="nil"/>
            </w:tcBorders>
            <w:shd w:val="clear" w:color="auto" w:fill="auto"/>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8.863.041 </w:t>
            </w:r>
          </w:p>
        </w:tc>
        <w:tc>
          <w:tcPr>
            <w:tcW w:w="566" w:type="pct"/>
            <w:tcBorders>
              <w:top w:val="single" w:sz="8" w:space="0" w:color="auto"/>
              <w:left w:val="nil"/>
              <w:bottom w:val="single" w:sz="8" w:space="0" w:color="auto"/>
              <w:right w:val="nil"/>
            </w:tcBorders>
            <w:shd w:val="clear" w:color="auto" w:fill="auto"/>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17.157.874 </w:t>
            </w:r>
          </w:p>
        </w:tc>
      </w:tr>
      <w:tr w:rsidR="00133ADF" w:rsidRPr="001567C8" w:rsidTr="00C1257D">
        <w:trPr>
          <w:trHeight w:val="261"/>
        </w:trPr>
        <w:tc>
          <w:tcPr>
            <w:tcW w:w="1620" w:type="pct"/>
            <w:vAlign w:val="bottom"/>
          </w:tcPr>
          <w:p w:rsidR="00133ADF" w:rsidRPr="001567C8" w:rsidRDefault="00133ADF" w:rsidP="00133ADF">
            <w:pPr>
              <w:pStyle w:val="Tot"/>
              <w:spacing w:line="220" w:lineRule="exact"/>
              <w:rPr>
                <w:rFonts w:asciiTheme="minorHAnsi" w:hAnsiTheme="minorHAnsi" w:cs="Arial"/>
                <w:b/>
                <w:bCs/>
                <w:spacing w:val="-2"/>
                <w:sz w:val="18"/>
                <w:szCs w:val="18"/>
                <w:lang w:val="hr-HR"/>
              </w:rPr>
            </w:pPr>
            <w:r w:rsidRPr="001567C8">
              <w:rPr>
                <w:rFonts w:ascii="Calibri" w:eastAsia="Calibri" w:hAnsi="Calibri" w:cs="Arial"/>
                <w:b/>
                <w:bCs/>
                <w:spacing w:val="-2"/>
                <w:sz w:val="18"/>
                <w:szCs w:val="18"/>
                <w:lang w:val="hr-HR"/>
              </w:rPr>
              <w:t>Likvidnosni jaz</w:t>
            </w:r>
          </w:p>
        </w:tc>
        <w:tc>
          <w:tcPr>
            <w:tcW w:w="542" w:type="pct"/>
            <w:tcBorders>
              <w:top w:val="single" w:sz="12" w:space="0" w:color="auto"/>
              <w:left w:val="nil"/>
              <w:bottom w:val="single" w:sz="12" w:space="0" w:color="auto"/>
              <w:right w:val="nil"/>
            </w:tcBorders>
            <w:shd w:val="clear" w:color="auto" w:fill="auto"/>
            <w:vAlign w:val="bottom"/>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6.038.576 </w:t>
            </w:r>
          </w:p>
        </w:tc>
        <w:tc>
          <w:tcPr>
            <w:tcW w:w="599" w:type="pct"/>
            <w:tcBorders>
              <w:top w:val="single" w:sz="12" w:space="0" w:color="auto"/>
              <w:left w:val="nil"/>
              <w:bottom w:val="single" w:sz="12" w:space="0" w:color="auto"/>
              <w:right w:val="nil"/>
            </w:tcBorders>
            <w:shd w:val="clear" w:color="auto" w:fill="auto"/>
            <w:vAlign w:val="bottom"/>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319.663 </w:t>
            </w:r>
          </w:p>
        </w:tc>
        <w:tc>
          <w:tcPr>
            <w:tcW w:w="523" w:type="pct"/>
            <w:tcBorders>
              <w:top w:val="single" w:sz="12" w:space="0" w:color="auto"/>
              <w:left w:val="nil"/>
              <w:bottom w:val="single" w:sz="12" w:space="0" w:color="auto"/>
              <w:right w:val="nil"/>
            </w:tcBorders>
            <w:shd w:val="clear" w:color="auto" w:fill="auto"/>
            <w:vAlign w:val="bottom"/>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329.176 </w:t>
            </w:r>
          </w:p>
        </w:tc>
        <w:tc>
          <w:tcPr>
            <w:tcW w:w="534" w:type="pct"/>
            <w:tcBorders>
              <w:top w:val="single" w:sz="12" w:space="0" w:color="auto"/>
              <w:left w:val="nil"/>
              <w:bottom w:val="single" w:sz="12" w:space="0" w:color="auto"/>
              <w:right w:val="nil"/>
            </w:tcBorders>
            <w:shd w:val="clear" w:color="auto" w:fill="auto"/>
            <w:vAlign w:val="bottom"/>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257.935 </w:t>
            </w:r>
          </w:p>
        </w:tc>
        <w:tc>
          <w:tcPr>
            <w:tcW w:w="616" w:type="pct"/>
            <w:tcBorders>
              <w:top w:val="single" w:sz="12" w:space="0" w:color="auto"/>
              <w:left w:val="nil"/>
              <w:bottom w:val="single" w:sz="12" w:space="0" w:color="auto"/>
              <w:right w:val="nil"/>
            </w:tcBorders>
            <w:shd w:val="clear" w:color="auto" w:fill="auto"/>
            <w:vAlign w:val="bottom"/>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3.115.757 </w:t>
            </w:r>
          </w:p>
        </w:tc>
        <w:tc>
          <w:tcPr>
            <w:tcW w:w="566" w:type="pct"/>
            <w:tcBorders>
              <w:top w:val="single" w:sz="12" w:space="0" w:color="auto"/>
              <w:left w:val="nil"/>
              <w:bottom w:val="single" w:sz="12" w:space="0" w:color="auto"/>
              <w:right w:val="nil"/>
            </w:tcBorders>
            <w:shd w:val="clear" w:color="auto" w:fill="auto"/>
            <w:vAlign w:val="bottom"/>
          </w:tcPr>
          <w:p w:rsidR="00133ADF" w:rsidRPr="00CD3A2D" w:rsidRDefault="00D01DD5" w:rsidP="00133ADF">
            <w:pPr>
              <w:jc w:val="right"/>
              <w:rPr>
                <w:rFonts w:ascii="Calibri" w:hAnsi="Calibri"/>
                <w:b/>
                <w:bCs/>
                <w:color w:val="000000"/>
                <w:sz w:val="18"/>
                <w:szCs w:val="18"/>
                <w:lang w:val="hr-HR"/>
              </w:rPr>
            </w:pPr>
            <w:r w:rsidRPr="00CD3A2D">
              <w:rPr>
                <w:rFonts w:ascii="Calibri" w:hAnsi="Calibri" w:cs="Calibri"/>
                <w:b/>
                <w:bCs/>
                <w:color w:val="000000"/>
                <w:sz w:val="18"/>
                <w:szCs w:val="18"/>
                <w:lang w:val="hr-HR"/>
              </w:rPr>
              <w:t xml:space="preserve">10.061.107 </w:t>
            </w:r>
          </w:p>
        </w:tc>
      </w:tr>
      <w:tr w:rsidR="00FF161B" w:rsidRPr="001567C8" w:rsidTr="003C6BA3">
        <w:trPr>
          <w:trHeight w:val="261"/>
        </w:trPr>
        <w:tc>
          <w:tcPr>
            <w:tcW w:w="1620" w:type="pct"/>
            <w:vAlign w:val="bottom"/>
          </w:tcPr>
          <w:p w:rsidR="00FF161B" w:rsidRPr="001567C8" w:rsidRDefault="00FF161B" w:rsidP="00133ADF">
            <w:pPr>
              <w:pStyle w:val="Tot"/>
              <w:spacing w:line="220" w:lineRule="exact"/>
              <w:rPr>
                <w:rFonts w:ascii="Calibri" w:eastAsia="Calibri" w:hAnsi="Calibri" w:cs="Arial"/>
                <w:b/>
                <w:bCs/>
                <w:spacing w:val="-2"/>
                <w:sz w:val="18"/>
                <w:szCs w:val="18"/>
                <w:lang w:val="hr-HR"/>
              </w:rPr>
            </w:pPr>
          </w:p>
        </w:tc>
        <w:tc>
          <w:tcPr>
            <w:tcW w:w="542" w:type="pct"/>
            <w:tcBorders>
              <w:top w:val="single" w:sz="12" w:space="0" w:color="auto"/>
              <w:left w:val="nil"/>
              <w:right w:val="nil"/>
            </w:tcBorders>
            <w:shd w:val="clear" w:color="auto" w:fill="auto"/>
            <w:vAlign w:val="bottom"/>
          </w:tcPr>
          <w:p w:rsidR="00FF161B" w:rsidRPr="00CD3A2D" w:rsidRDefault="00FF161B" w:rsidP="00133ADF">
            <w:pPr>
              <w:jc w:val="right"/>
              <w:rPr>
                <w:rFonts w:ascii="Calibri" w:hAnsi="Calibri" w:cs="Calibri"/>
                <w:b/>
                <w:bCs/>
                <w:color w:val="000000"/>
                <w:sz w:val="18"/>
                <w:szCs w:val="18"/>
                <w:lang w:val="hr-HR"/>
              </w:rPr>
            </w:pPr>
          </w:p>
        </w:tc>
        <w:tc>
          <w:tcPr>
            <w:tcW w:w="599" w:type="pct"/>
            <w:tcBorders>
              <w:top w:val="single" w:sz="12" w:space="0" w:color="auto"/>
              <w:left w:val="nil"/>
              <w:right w:val="nil"/>
            </w:tcBorders>
            <w:shd w:val="clear" w:color="auto" w:fill="auto"/>
            <w:vAlign w:val="bottom"/>
          </w:tcPr>
          <w:p w:rsidR="00FF161B" w:rsidRPr="00CD3A2D" w:rsidRDefault="00FF161B" w:rsidP="00133ADF">
            <w:pPr>
              <w:jc w:val="right"/>
              <w:rPr>
                <w:rFonts w:ascii="Calibri" w:hAnsi="Calibri" w:cs="Calibri"/>
                <w:b/>
                <w:bCs/>
                <w:color w:val="000000"/>
                <w:sz w:val="18"/>
                <w:szCs w:val="18"/>
                <w:lang w:val="hr-HR"/>
              </w:rPr>
            </w:pPr>
          </w:p>
        </w:tc>
        <w:tc>
          <w:tcPr>
            <w:tcW w:w="523" w:type="pct"/>
            <w:tcBorders>
              <w:top w:val="single" w:sz="12" w:space="0" w:color="auto"/>
              <w:left w:val="nil"/>
              <w:right w:val="nil"/>
            </w:tcBorders>
            <w:shd w:val="clear" w:color="auto" w:fill="auto"/>
            <w:vAlign w:val="bottom"/>
          </w:tcPr>
          <w:p w:rsidR="00FF161B" w:rsidRPr="00CD3A2D" w:rsidRDefault="00FF161B" w:rsidP="00133ADF">
            <w:pPr>
              <w:jc w:val="right"/>
              <w:rPr>
                <w:rFonts w:ascii="Calibri" w:hAnsi="Calibri" w:cs="Calibri"/>
                <w:b/>
                <w:bCs/>
                <w:color w:val="000000"/>
                <w:sz w:val="18"/>
                <w:szCs w:val="18"/>
                <w:lang w:val="hr-HR"/>
              </w:rPr>
            </w:pPr>
          </w:p>
        </w:tc>
        <w:tc>
          <w:tcPr>
            <w:tcW w:w="534" w:type="pct"/>
            <w:tcBorders>
              <w:top w:val="single" w:sz="12" w:space="0" w:color="auto"/>
              <w:left w:val="nil"/>
              <w:right w:val="nil"/>
            </w:tcBorders>
            <w:shd w:val="clear" w:color="auto" w:fill="auto"/>
            <w:vAlign w:val="bottom"/>
          </w:tcPr>
          <w:p w:rsidR="00FF161B" w:rsidRPr="00CD3A2D" w:rsidRDefault="00FF161B" w:rsidP="00133ADF">
            <w:pPr>
              <w:jc w:val="right"/>
              <w:rPr>
                <w:rFonts w:ascii="Calibri" w:hAnsi="Calibri" w:cs="Calibri"/>
                <w:b/>
                <w:bCs/>
                <w:color w:val="000000"/>
                <w:sz w:val="18"/>
                <w:szCs w:val="18"/>
                <w:lang w:val="hr-HR"/>
              </w:rPr>
            </w:pPr>
          </w:p>
        </w:tc>
        <w:tc>
          <w:tcPr>
            <w:tcW w:w="616" w:type="pct"/>
            <w:tcBorders>
              <w:top w:val="single" w:sz="12" w:space="0" w:color="auto"/>
              <w:left w:val="nil"/>
              <w:right w:val="nil"/>
            </w:tcBorders>
            <w:shd w:val="clear" w:color="auto" w:fill="auto"/>
            <w:vAlign w:val="bottom"/>
          </w:tcPr>
          <w:p w:rsidR="00FF161B" w:rsidRPr="00CD3A2D" w:rsidRDefault="00FF161B" w:rsidP="00133ADF">
            <w:pPr>
              <w:jc w:val="right"/>
              <w:rPr>
                <w:rFonts w:ascii="Calibri" w:hAnsi="Calibri" w:cs="Calibri"/>
                <w:b/>
                <w:bCs/>
                <w:color w:val="000000"/>
                <w:sz w:val="18"/>
                <w:szCs w:val="18"/>
                <w:lang w:val="hr-HR"/>
              </w:rPr>
            </w:pPr>
          </w:p>
        </w:tc>
        <w:tc>
          <w:tcPr>
            <w:tcW w:w="566" w:type="pct"/>
            <w:tcBorders>
              <w:top w:val="single" w:sz="12" w:space="0" w:color="auto"/>
              <w:left w:val="nil"/>
              <w:right w:val="nil"/>
            </w:tcBorders>
            <w:shd w:val="clear" w:color="auto" w:fill="auto"/>
            <w:vAlign w:val="bottom"/>
          </w:tcPr>
          <w:p w:rsidR="00FF161B" w:rsidRPr="00CD3A2D" w:rsidRDefault="00FF161B" w:rsidP="00133ADF">
            <w:pPr>
              <w:jc w:val="right"/>
              <w:rPr>
                <w:rFonts w:ascii="Calibri" w:hAnsi="Calibri" w:cs="Calibri"/>
                <w:b/>
                <w:bCs/>
                <w:color w:val="000000"/>
                <w:sz w:val="18"/>
                <w:szCs w:val="18"/>
                <w:lang w:val="hr-HR"/>
              </w:rPr>
            </w:pPr>
          </w:p>
        </w:tc>
      </w:tr>
      <w:tr w:rsidR="00FF161B" w:rsidRPr="001567C8" w:rsidTr="003C6BA3">
        <w:trPr>
          <w:trHeight w:val="261"/>
        </w:trPr>
        <w:tc>
          <w:tcPr>
            <w:tcW w:w="1620" w:type="pct"/>
            <w:tcBorders>
              <w:top w:val="nil"/>
              <w:left w:val="nil"/>
              <w:bottom w:val="nil"/>
              <w:right w:val="nil"/>
            </w:tcBorders>
            <w:shd w:val="clear" w:color="auto" w:fill="auto"/>
            <w:vAlign w:val="center"/>
          </w:tcPr>
          <w:p w:rsidR="00FF161B" w:rsidRPr="001567C8" w:rsidRDefault="00FF161B" w:rsidP="00FF161B">
            <w:pPr>
              <w:pStyle w:val="Tot"/>
              <w:spacing w:line="220" w:lineRule="exact"/>
              <w:rPr>
                <w:rFonts w:ascii="Calibri" w:eastAsia="Calibri" w:hAnsi="Calibri" w:cs="Arial"/>
                <w:b/>
                <w:bCs/>
                <w:spacing w:val="-2"/>
                <w:sz w:val="18"/>
                <w:szCs w:val="18"/>
                <w:lang w:val="hr-HR"/>
              </w:rPr>
            </w:pPr>
            <w:r w:rsidRPr="00CD3A2D">
              <w:rPr>
                <w:rFonts w:ascii="Calibri" w:hAnsi="Calibri" w:cs="Calibri"/>
                <w:b/>
                <w:bCs/>
                <w:color w:val="000000"/>
                <w:sz w:val="18"/>
                <w:szCs w:val="18"/>
                <w:lang w:val="hr-HR"/>
              </w:rPr>
              <w:t>Garancije i preuzete obveze</w:t>
            </w:r>
          </w:p>
        </w:tc>
        <w:tc>
          <w:tcPr>
            <w:tcW w:w="542" w:type="pct"/>
            <w:tcBorders>
              <w:top w:val="nil"/>
              <w:left w:val="nil"/>
              <w:bottom w:val="nil"/>
              <w:right w:val="nil"/>
            </w:tcBorders>
            <w:shd w:val="clear" w:color="auto" w:fill="auto"/>
            <w:vAlign w:val="bottom"/>
          </w:tcPr>
          <w:p w:rsidR="00FF161B" w:rsidRPr="00CD3A2D" w:rsidRDefault="00FF161B" w:rsidP="00FF161B">
            <w:pPr>
              <w:jc w:val="right"/>
              <w:rPr>
                <w:rFonts w:ascii="Calibri" w:hAnsi="Calibri" w:cs="Calibri"/>
                <w:b/>
                <w:bCs/>
                <w:color w:val="000000"/>
                <w:sz w:val="18"/>
                <w:szCs w:val="18"/>
                <w:lang w:val="hr-HR"/>
              </w:rPr>
            </w:pPr>
          </w:p>
        </w:tc>
        <w:tc>
          <w:tcPr>
            <w:tcW w:w="599" w:type="pct"/>
            <w:tcBorders>
              <w:top w:val="nil"/>
              <w:left w:val="nil"/>
              <w:bottom w:val="nil"/>
              <w:right w:val="nil"/>
            </w:tcBorders>
            <w:shd w:val="clear" w:color="auto" w:fill="auto"/>
            <w:vAlign w:val="bottom"/>
          </w:tcPr>
          <w:p w:rsidR="00FF161B" w:rsidRPr="00CD3A2D" w:rsidRDefault="00FF161B" w:rsidP="00FF161B">
            <w:pPr>
              <w:jc w:val="right"/>
              <w:rPr>
                <w:rFonts w:ascii="Calibri" w:hAnsi="Calibri" w:cs="Calibri"/>
                <w:b/>
                <w:bCs/>
                <w:color w:val="000000"/>
                <w:sz w:val="18"/>
                <w:szCs w:val="18"/>
                <w:lang w:val="hr-HR"/>
              </w:rPr>
            </w:pPr>
          </w:p>
        </w:tc>
        <w:tc>
          <w:tcPr>
            <w:tcW w:w="523" w:type="pct"/>
            <w:tcBorders>
              <w:top w:val="nil"/>
              <w:left w:val="nil"/>
              <w:bottom w:val="nil"/>
              <w:right w:val="nil"/>
            </w:tcBorders>
            <w:shd w:val="clear" w:color="auto" w:fill="auto"/>
            <w:vAlign w:val="bottom"/>
          </w:tcPr>
          <w:p w:rsidR="00FF161B" w:rsidRPr="00CD3A2D" w:rsidRDefault="00FF161B" w:rsidP="00FF161B">
            <w:pPr>
              <w:jc w:val="right"/>
              <w:rPr>
                <w:rFonts w:ascii="Calibri" w:hAnsi="Calibri" w:cs="Calibri"/>
                <w:b/>
                <w:bCs/>
                <w:color w:val="000000"/>
                <w:sz w:val="18"/>
                <w:szCs w:val="18"/>
                <w:lang w:val="hr-HR"/>
              </w:rPr>
            </w:pPr>
          </w:p>
        </w:tc>
        <w:tc>
          <w:tcPr>
            <w:tcW w:w="534" w:type="pct"/>
            <w:tcBorders>
              <w:top w:val="nil"/>
              <w:left w:val="nil"/>
              <w:bottom w:val="nil"/>
              <w:right w:val="nil"/>
            </w:tcBorders>
            <w:shd w:val="clear" w:color="auto" w:fill="auto"/>
            <w:vAlign w:val="bottom"/>
          </w:tcPr>
          <w:p w:rsidR="00FF161B" w:rsidRPr="00CD3A2D" w:rsidRDefault="00FF161B" w:rsidP="00FF161B">
            <w:pPr>
              <w:jc w:val="right"/>
              <w:rPr>
                <w:rFonts w:ascii="Calibri" w:hAnsi="Calibri" w:cs="Calibri"/>
                <w:b/>
                <w:bCs/>
                <w:color w:val="000000"/>
                <w:sz w:val="18"/>
                <w:szCs w:val="18"/>
                <w:lang w:val="hr-HR"/>
              </w:rPr>
            </w:pPr>
          </w:p>
        </w:tc>
        <w:tc>
          <w:tcPr>
            <w:tcW w:w="616" w:type="pct"/>
            <w:tcBorders>
              <w:top w:val="nil"/>
              <w:left w:val="nil"/>
              <w:bottom w:val="nil"/>
              <w:right w:val="nil"/>
            </w:tcBorders>
            <w:shd w:val="clear" w:color="auto" w:fill="auto"/>
            <w:vAlign w:val="bottom"/>
          </w:tcPr>
          <w:p w:rsidR="00FF161B" w:rsidRPr="00CD3A2D" w:rsidRDefault="00FF161B" w:rsidP="00FF161B">
            <w:pPr>
              <w:jc w:val="right"/>
              <w:rPr>
                <w:rFonts w:ascii="Calibri" w:hAnsi="Calibri" w:cs="Calibri"/>
                <w:b/>
                <w:bCs/>
                <w:color w:val="000000"/>
                <w:sz w:val="18"/>
                <w:szCs w:val="18"/>
                <w:lang w:val="hr-HR"/>
              </w:rPr>
            </w:pPr>
          </w:p>
        </w:tc>
        <w:tc>
          <w:tcPr>
            <w:tcW w:w="566" w:type="pct"/>
            <w:tcBorders>
              <w:top w:val="nil"/>
              <w:left w:val="nil"/>
              <w:bottom w:val="nil"/>
              <w:right w:val="nil"/>
            </w:tcBorders>
            <w:shd w:val="clear" w:color="auto" w:fill="auto"/>
            <w:vAlign w:val="bottom"/>
          </w:tcPr>
          <w:p w:rsidR="00FF161B" w:rsidRPr="00CD3A2D" w:rsidRDefault="00FF161B" w:rsidP="00FF161B">
            <w:pPr>
              <w:jc w:val="right"/>
              <w:rPr>
                <w:rFonts w:ascii="Calibri" w:hAnsi="Calibri" w:cs="Calibri"/>
                <w:b/>
                <w:bCs/>
                <w:color w:val="000000"/>
                <w:sz w:val="18"/>
                <w:szCs w:val="18"/>
                <w:lang w:val="hr-HR"/>
              </w:rPr>
            </w:pPr>
          </w:p>
        </w:tc>
      </w:tr>
      <w:tr w:rsidR="00173C60" w:rsidRPr="001567C8" w:rsidTr="00043BBB">
        <w:trPr>
          <w:trHeight w:val="261"/>
        </w:trPr>
        <w:tc>
          <w:tcPr>
            <w:tcW w:w="1620" w:type="pct"/>
            <w:tcBorders>
              <w:top w:val="nil"/>
              <w:left w:val="nil"/>
              <w:bottom w:val="nil"/>
              <w:right w:val="nil"/>
            </w:tcBorders>
            <w:shd w:val="clear" w:color="auto" w:fill="auto"/>
            <w:vAlign w:val="center"/>
          </w:tcPr>
          <w:p w:rsidR="00173C60" w:rsidRPr="001567C8" w:rsidRDefault="00173C60" w:rsidP="00173C60">
            <w:pPr>
              <w:pStyle w:val="Tot"/>
              <w:spacing w:line="220" w:lineRule="exact"/>
              <w:rPr>
                <w:rFonts w:ascii="Calibri" w:eastAsia="Calibri" w:hAnsi="Calibri" w:cs="Arial"/>
                <w:b/>
                <w:bCs/>
                <w:spacing w:val="-2"/>
                <w:sz w:val="18"/>
                <w:szCs w:val="18"/>
                <w:lang w:val="hr-HR"/>
              </w:rPr>
            </w:pPr>
            <w:r w:rsidRPr="00CD3A2D">
              <w:rPr>
                <w:rFonts w:ascii="Calibri" w:hAnsi="Calibri" w:cs="Calibri"/>
                <w:color w:val="000000"/>
                <w:sz w:val="18"/>
                <w:szCs w:val="18"/>
                <w:lang w:val="hr-HR"/>
              </w:rPr>
              <w:t>Izdane garancije u kunama</w:t>
            </w:r>
          </w:p>
        </w:tc>
        <w:tc>
          <w:tcPr>
            <w:tcW w:w="542" w:type="pct"/>
            <w:tcBorders>
              <w:top w:val="nil"/>
              <w:left w:val="nil"/>
              <w:bottom w:val="nil"/>
              <w:right w:val="nil"/>
            </w:tcBorders>
            <w:shd w:val="clear" w:color="auto" w:fill="auto"/>
            <w:vAlign w:val="center"/>
          </w:tcPr>
          <w:p w:rsidR="00173C60" w:rsidRPr="003327E4" w:rsidRDefault="00173C60" w:rsidP="00173C60">
            <w:pPr>
              <w:tabs>
                <w:tab w:val="right" w:pos="1202"/>
              </w:tabs>
              <w:spacing w:line="240" w:lineRule="exact"/>
              <w:jc w:val="right"/>
              <w:outlineLvl w:val="0"/>
              <w:rPr>
                <w:rFonts w:asciiTheme="minorHAnsi" w:eastAsia="Calibri" w:hAnsiTheme="minorHAnsi" w:cstheme="minorHAnsi"/>
                <w:spacing w:val="-2"/>
                <w:sz w:val="18"/>
                <w:szCs w:val="18"/>
                <w:lang w:val="hr-HR"/>
              </w:rPr>
            </w:pPr>
            <w:r w:rsidRPr="003327E4">
              <w:rPr>
                <w:rFonts w:asciiTheme="minorHAnsi" w:hAnsiTheme="minorHAnsi" w:cstheme="minorHAnsi"/>
                <w:spacing w:val="-2"/>
                <w:sz w:val="18"/>
                <w:szCs w:val="18"/>
              </w:rPr>
              <w:t>33</w:t>
            </w:r>
            <w:r>
              <w:rPr>
                <w:rFonts w:asciiTheme="minorHAnsi" w:hAnsiTheme="minorHAnsi" w:cstheme="minorHAnsi"/>
                <w:spacing w:val="-2"/>
                <w:sz w:val="18"/>
                <w:szCs w:val="18"/>
              </w:rPr>
              <w:t>.</w:t>
            </w:r>
            <w:r w:rsidRPr="003327E4">
              <w:rPr>
                <w:rFonts w:asciiTheme="minorHAnsi" w:hAnsiTheme="minorHAnsi" w:cstheme="minorHAnsi"/>
                <w:spacing w:val="-2"/>
                <w:sz w:val="18"/>
                <w:szCs w:val="18"/>
              </w:rPr>
              <w:t>576</w:t>
            </w:r>
          </w:p>
        </w:tc>
        <w:tc>
          <w:tcPr>
            <w:tcW w:w="599"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23"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34"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1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576</w:t>
            </w:r>
          </w:p>
        </w:tc>
      </w:tr>
      <w:tr w:rsidR="00173C60" w:rsidRPr="001567C8" w:rsidTr="00043BBB">
        <w:trPr>
          <w:trHeight w:val="261"/>
        </w:trPr>
        <w:tc>
          <w:tcPr>
            <w:tcW w:w="1620" w:type="pct"/>
            <w:tcBorders>
              <w:top w:val="nil"/>
              <w:left w:val="nil"/>
              <w:bottom w:val="nil"/>
              <w:right w:val="nil"/>
            </w:tcBorders>
            <w:shd w:val="clear" w:color="auto" w:fill="auto"/>
            <w:vAlign w:val="center"/>
          </w:tcPr>
          <w:p w:rsidR="00173C60" w:rsidRPr="001567C8" w:rsidRDefault="00173C60" w:rsidP="00173C60">
            <w:pPr>
              <w:pStyle w:val="Tot"/>
              <w:spacing w:line="220" w:lineRule="exact"/>
              <w:rPr>
                <w:rFonts w:ascii="Calibri" w:eastAsia="Calibri" w:hAnsi="Calibri" w:cs="Arial"/>
                <w:b/>
                <w:bCs/>
                <w:spacing w:val="-2"/>
                <w:sz w:val="18"/>
                <w:szCs w:val="18"/>
                <w:lang w:val="hr-HR"/>
              </w:rPr>
            </w:pPr>
            <w:r w:rsidRPr="00CD3A2D">
              <w:rPr>
                <w:rFonts w:ascii="Calibri" w:hAnsi="Calibri" w:cs="Calibri"/>
                <w:color w:val="000000"/>
                <w:sz w:val="18"/>
                <w:szCs w:val="18"/>
                <w:lang w:val="hr-HR"/>
              </w:rPr>
              <w:t>Izdane garancije u devizama</w:t>
            </w:r>
          </w:p>
        </w:tc>
        <w:tc>
          <w:tcPr>
            <w:tcW w:w="542" w:type="pct"/>
            <w:tcBorders>
              <w:top w:val="nil"/>
              <w:left w:val="nil"/>
              <w:bottom w:val="nil"/>
              <w:right w:val="nil"/>
            </w:tcBorders>
            <w:shd w:val="clear" w:color="auto" w:fill="auto"/>
            <w:vAlign w:val="center"/>
          </w:tcPr>
          <w:p w:rsidR="00173C60" w:rsidRPr="003327E4" w:rsidRDefault="00173C60" w:rsidP="00173C60">
            <w:pPr>
              <w:tabs>
                <w:tab w:val="right" w:pos="1202"/>
              </w:tabs>
              <w:spacing w:line="240" w:lineRule="exact"/>
              <w:jc w:val="right"/>
              <w:outlineLvl w:val="0"/>
              <w:rPr>
                <w:rFonts w:asciiTheme="minorHAnsi" w:eastAsia="Calibri" w:hAnsiTheme="minorHAnsi" w:cstheme="minorHAnsi"/>
                <w:spacing w:val="-2"/>
                <w:sz w:val="18"/>
                <w:szCs w:val="18"/>
                <w:lang w:val="hr-HR"/>
              </w:rPr>
            </w:pPr>
            <w:r w:rsidRPr="003327E4">
              <w:rPr>
                <w:rFonts w:asciiTheme="minorHAnsi" w:hAnsiTheme="minorHAnsi" w:cstheme="minorHAnsi"/>
                <w:spacing w:val="-2"/>
                <w:sz w:val="18"/>
                <w:szCs w:val="18"/>
              </w:rPr>
              <w:t>1</w:t>
            </w:r>
            <w:r>
              <w:rPr>
                <w:rFonts w:asciiTheme="minorHAnsi" w:hAnsiTheme="minorHAnsi" w:cstheme="minorHAnsi"/>
                <w:spacing w:val="-2"/>
                <w:sz w:val="18"/>
                <w:szCs w:val="18"/>
              </w:rPr>
              <w:t>.</w:t>
            </w:r>
            <w:r w:rsidRPr="003327E4">
              <w:rPr>
                <w:rFonts w:asciiTheme="minorHAnsi" w:hAnsiTheme="minorHAnsi" w:cstheme="minorHAnsi"/>
                <w:spacing w:val="-2"/>
                <w:sz w:val="18"/>
                <w:szCs w:val="18"/>
              </w:rPr>
              <w:t>822</w:t>
            </w:r>
            <w:r>
              <w:rPr>
                <w:rFonts w:asciiTheme="minorHAnsi" w:hAnsiTheme="minorHAnsi" w:cstheme="minorHAnsi"/>
                <w:spacing w:val="-2"/>
                <w:sz w:val="18"/>
                <w:szCs w:val="18"/>
              </w:rPr>
              <w:t>.</w:t>
            </w:r>
            <w:r w:rsidRPr="003327E4">
              <w:rPr>
                <w:rFonts w:asciiTheme="minorHAnsi" w:hAnsiTheme="minorHAnsi" w:cstheme="minorHAnsi"/>
                <w:spacing w:val="-2"/>
                <w:sz w:val="18"/>
                <w:szCs w:val="18"/>
              </w:rPr>
              <w:t>396</w:t>
            </w:r>
          </w:p>
        </w:tc>
        <w:tc>
          <w:tcPr>
            <w:tcW w:w="599"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23"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34"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1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822</w:t>
            </w:r>
            <w:r>
              <w:rPr>
                <w:rFonts w:asciiTheme="minorHAnsi" w:hAnsiTheme="minorHAnsi" w:cstheme="minorHAnsi"/>
                <w:spacing w:val="-2"/>
                <w:sz w:val="18"/>
                <w:szCs w:val="18"/>
              </w:rPr>
              <w:t>.</w:t>
            </w:r>
            <w:r w:rsidRPr="00B03E71">
              <w:rPr>
                <w:rFonts w:asciiTheme="minorHAnsi" w:hAnsiTheme="minorHAnsi" w:cstheme="minorHAnsi"/>
                <w:spacing w:val="-2"/>
                <w:sz w:val="18"/>
                <w:szCs w:val="18"/>
              </w:rPr>
              <w:t>396</w:t>
            </w:r>
          </w:p>
        </w:tc>
      </w:tr>
      <w:tr w:rsidR="00173C60" w:rsidRPr="001567C8" w:rsidTr="00043BBB">
        <w:trPr>
          <w:trHeight w:val="261"/>
        </w:trPr>
        <w:tc>
          <w:tcPr>
            <w:tcW w:w="1620" w:type="pct"/>
            <w:tcBorders>
              <w:top w:val="nil"/>
              <w:left w:val="nil"/>
              <w:bottom w:val="nil"/>
              <w:right w:val="nil"/>
            </w:tcBorders>
            <w:shd w:val="clear" w:color="auto" w:fill="auto"/>
            <w:vAlign w:val="center"/>
          </w:tcPr>
          <w:p w:rsidR="00173C60" w:rsidRPr="001567C8" w:rsidRDefault="00173C60" w:rsidP="00173C60">
            <w:pPr>
              <w:pStyle w:val="Tot"/>
              <w:spacing w:line="220" w:lineRule="exact"/>
              <w:rPr>
                <w:rFonts w:ascii="Calibri" w:eastAsia="Calibri" w:hAnsi="Calibri" w:cs="Arial"/>
                <w:b/>
                <w:bCs/>
                <w:spacing w:val="-2"/>
                <w:sz w:val="18"/>
                <w:szCs w:val="18"/>
                <w:lang w:val="hr-HR"/>
              </w:rPr>
            </w:pPr>
            <w:r w:rsidRPr="00CD3A2D">
              <w:rPr>
                <w:rFonts w:ascii="Calibri" w:hAnsi="Calibri" w:cs="Calibri"/>
                <w:color w:val="000000"/>
                <w:sz w:val="18"/>
                <w:szCs w:val="18"/>
                <w:lang w:val="hr-HR"/>
              </w:rPr>
              <w:t>Preuzete obveze po kreditima</w:t>
            </w:r>
          </w:p>
        </w:tc>
        <w:tc>
          <w:tcPr>
            <w:tcW w:w="542" w:type="pct"/>
            <w:tcBorders>
              <w:top w:val="nil"/>
              <w:left w:val="nil"/>
              <w:bottom w:val="nil"/>
              <w:right w:val="nil"/>
            </w:tcBorders>
            <w:shd w:val="clear" w:color="auto" w:fill="auto"/>
            <w:vAlign w:val="center"/>
          </w:tcPr>
          <w:p w:rsidR="00173C60" w:rsidRPr="003327E4" w:rsidRDefault="00173C60" w:rsidP="00173C60">
            <w:pPr>
              <w:tabs>
                <w:tab w:val="right" w:pos="1202"/>
              </w:tabs>
              <w:spacing w:line="240" w:lineRule="exact"/>
              <w:jc w:val="right"/>
              <w:outlineLvl w:val="0"/>
              <w:rPr>
                <w:rFonts w:asciiTheme="minorHAnsi" w:eastAsia="Calibri" w:hAnsiTheme="minorHAnsi" w:cstheme="minorHAnsi"/>
                <w:spacing w:val="-2"/>
                <w:sz w:val="18"/>
                <w:szCs w:val="18"/>
                <w:lang w:val="hr-HR"/>
              </w:rPr>
            </w:pPr>
            <w:r w:rsidRPr="003327E4">
              <w:rPr>
                <w:rFonts w:asciiTheme="minorHAnsi" w:hAnsiTheme="minorHAnsi" w:cstheme="minorHAnsi"/>
                <w:spacing w:val="-2"/>
                <w:sz w:val="18"/>
                <w:szCs w:val="18"/>
              </w:rPr>
              <w:t>3</w:t>
            </w:r>
            <w:r>
              <w:rPr>
                <w:rFonts w:asciiTheme="minorHAnsi" w:hAnsiTheme="minorHAnsi" w:cstheme="minorHAnsi"/>
                <w:spacing w:val="-2"/>
                <w:sz w:val="18"/>
                <w:szCs w:val="18"/>
              </w:rPr>
              <w:t>.</w:t>
            </w:r>
            <w:r w:rsidRPr="003327E4">
              <w:rPr>
                <w:rFonts w:asciiTheme="minorHAnsi" w:hAnsiTheme="minorHAnsi" w:cstheme="minorHAnsi"/>
                <w:spacing w:val="-2"/>
                <w:sz w:val="18"/>
                <w:szCs w:val="18"/>
              </w:rPr>
              <w:t>291</w:t>
            </w:r>
            <w:r>
              <w:rPr>
                <w:rFonts w:asciiTheme="minorHAnsi" w:hAnsiTheme="minorHAnsi" w:cstheme="minorHAnsi"/>
                <w:spacing w:val="-2"/>
                <w:sz w:val="18"/>
                <w:szCs w:val="18"/>
              </w:rPr>
              <w:t>.</w:t>
            </w:r>
            <w:r w:rsidRPr="003327E4">
              <w:rPr>
                <w:rFonts w:asciiTheme="minorHAnsi" w:hAnsiTheme="minorHAnsi" w:cstheme="minorHAnsi"/>
                <w:spacing w:val="-2"/>
                <w:sz w:val="18"/>
                <w:szCs w:val="18"/>
              </w:rPr>
              <w:t>032</w:t>
            </w:r>
          </w:p>
        </w:tc>
        <w:tc>
          <w:tcPr>
            <w:tcW w:w="599"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23"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34"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1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291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032</w:t>
            </w:r>
          </w:p>
        </w:tc>
      </w:tr>
      <w:tr w:rsidR="00173C60" w:rsidRPr="001567C8" w:rsidTr="00043BBB">
        <w:trPr>
          <w:trHeight w:val="261"/>
        </w:trPr>
        <w:tc>
          <w:tcPr>
            <w:tcW w:w="1620" w:type="pct"/>
            <w:tcBorders>
              <w:top w:val="nil"/>
              <w:left w:val="nil"/>
              <w:bottom w:val="nil"/>
              <w:right w:val="nil"/>
            </w:tcBorders>
            <w:shd w:val="clear" w:color="auto" w:fill="auto"/>
            <w:vAlign w:val="bottom"/>
          </w:tcPr>
          <w:p w:rsidR="00173C60" w:rsidRPr="00CD3A2D" w:rsidRDefault="00173C60" w:rsidP="00173C60">
            <w:pPr>
              <w:pStyle w:val="Tot"/>
              <w:spacing w:line="220" w:lineRule="exact"/>
              <w:rPr>
                <w:rFonts w:ascii="Calibri" w:hAnsi="Calibri" w:cs="Calibri"/>
                <w:color w:val="000000"/>
                <w:sz w:val="18"/>
                <w:szCs w:val="18"/>
                <w:lang w:val="hr-HR"/>
              </w:rPr>
            </w:pPr>
            <w:r w:rsidRPr="00CD3A2D">
              <w:rPr>
                <w:rFonts w:ascii="Calibri" w:hAnsi="Calibri" w:cs="Calibri"/>
                <w:color w:val="000000"/>
                <w:sz w:val="18"/>
                <w:szCs w:val="18"/>
                <w:lang w:val="hr-HR"/>
              </w:rPr>
              <w:t>Upisani a neuplaćeni kapital EIF-a</w:t>
            </w:r>
          </w:p>
        </w:tc>
        <w:tc>
          <w:tcPr>
            <w:tcW w:w="542" w:type="pct"/>
            <w:tcBorders>
              <w:top w:val="nil"/>
              <w:left w:val="nil"/>
              <w:bottom w:val="nil"/>
              <w:right w:val="nil"/>
            </w:tcBorders>
            <w:shd w:val="clear" w:color="auto" w:fill="auto"/>
            <w:vAlign w:val="bottom"/>
          </w:tcPr>
          <w:p w:rsidR="00173C60" w:rsidRPr="003327E4" w:rsidRDefault="00173C60" w:rsidP="00173C60">
            <w:pPr>
              <w:tabs>
                <w:tab w:val="right" w:pos="1202"/>
              </w:tabs>
              <w:spacing w:line="240" w:lineRule="exact"/>
              <w:jc w:val="right"/>
              <w:outlineLvl w:val="0"/>
              <w:rPr>
                <w:rFonts w:asciiTheme="minorHAnsi" w:eastAsia="Calibri" w:hAnsiTheme="minorHAnsi" w:cstheme="minorHAnsi"/>
                <w:spacing w:val="-2"/>
                <w:sz w:val="18"/>
                <w:szCs w:val="18"/>
                <w:lang w:val="hr-HR"/>
              </w:rPr>
            </w:pPr>
            <w:r w:rsidRPr="003327E4">
              <w:rPr>
                <w:rFonts w:asciiTheme="minorHAnsi" w:hAnsiTheme="minorHAnsi" w:cstheme="minorHAnsi"/>
                <w:sz w:val="18"/>
                <w:szCs w:val="18"/>
              </w:rPr>
              <w:t>47</w:t>
            </w:r>
            <w:r>
              <w:rPr>
                <w:rFonts w:asciiTheme="minorHAnsi" w:hAnsiTheme="minorHAnsi" w:cstheme="minorHAnsi"/>
                <w:sz w:val="18"/>
                <w:szCs w:val="18"/>
              </w:rPr>
              <w:t>.</w:t>
            </w:r>
            <w:r w:rsidRPr="003327E4">
              <w:rPr>
                <w:rFonts w:asciiTheme="minorHAnsi" w:hAnsiTheme="minorHAnsi" w:cstheme="minorHAnsi"/>
                <w:sz w:val="18"/>
                <w:szCs w:val="18"/>
              </w:rPr>
              <w:t>472</w:t>
            </w:r>
          </w:p>
        </w:tc>
        <w:tc>
          <w:tcPr>
            <w:tcW w:w="599"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23"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34"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1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47</w:t>
            </w:r>
            <w:r>
              <w:rPr>
                <w:rFonts w:asciiTheme="minorHAnsi" w:hAnsiTheme="minorHAnsi" w:cstheme="minorHAnsi"/>
                <w:sz w:val="18"/>
                <w:szCs w:val="18"/>
              </w:rPr>
              <w:t>.</w:t>
            </w:r>
            <w:r w:rsidRPr="00B03E71">
              <w:rPr>
                <w:rFonts w:asciiTheme="minorHAnsi" w:hAnsiTheme="minorHAnsi" w:cstheme="minorHAnsi"/>
                <w:sz w:val="18"/>
                <w:szCs w:val="18"/>
              </w:rPr>
              <w:t>472</w:t>
            </w:r>
          </w:p>
        </w:tc>
      </w:tr>
      <w:tr w:rsidR="00173C60" w:rsidRPr="001567C8" w:rsidTr="00043BBB">
        <w:trPr>
          <w:trHeight w:val="261"/>
        </w:trPr>
        <w:tc>
          <w:tcPr>
            <w:tcW w:w="1620" w:type="pct"/>
            <w:tcBorders>
              <w:top w:val="nil"/>
              <w:left w:val="nil"/>
              <w:bottom w:val="nil"/>
              <w:right w:val="nil"/>
            </w:tcBorders>
            <w:shd w:val="clear" w:color="auto" w:fill="auto"/>
            <w:vAlign w:val="bottom"/>
          </w:tcPr>
          <w:p w:rsidR="00173C60" w:rsidRPr="00CD3A2D" w:rsidRDefault="00173C60" w:rsidP="00173C60">
            <w:pPr>
              <w:pStyle w:val="Tot"/>
              <w:spacing w:line="220" w:lineRule="exact"/>
              <w:rPr>
                <w:rFonts w:ascii="Calibri" w:hAnsi="Calibri" w:cs="Calibri"/>
                <w:color w:val="000000"/>
                <w:sz w:val="18"/>
                <w:szCs w:val="18"/>
                <w:lang w:val="hr-HR"/>
              </w:rPr>
            </w:pPr>
            <w:r w:rsidRPr="00CD3A2D">
              <w:rPr>
                <w:rFonts w:ascii="Calibri" w:hAnsi="Calibri" w:cs="Calibri"/>
                <w:color w:val="000000"/>
                <w:sz w:val="18"/>
                <w:szCs w:val="18"/>
                <w:lang w:val="hr-HR"/>
              </w:rPr>
              <w:t>Ostale nespomenute neopozive potencijalne obveze</w:t>
            </w:r>
          </w:p>
        </w:tc>
        <w:tc>
          <w:tcPr>
            <w:tcW w:w="542" w:type="pct"/>
            <w:tcBorders>
              <w:top w:val="nil"/>
              <w:left w:val="nil"/>
              <w:bottom w:val="nil"/>
              <w:right w:val="nil"/>
            </w:tcBorders>
            <w:shd w:val="clear" w:color="auto" w:fill="auto"/>
            <w:vAlign w:val="bottom"/>
          </w:tcPr>
          <w:p w:rsidR="00173C60" w:rsidRPr="003327E4" w:rsidRDefault="00173C60" w:rsidP="00173C60">
            <w:pPr>
              <w:tabs>
                <w:tab w:val="right" w:pos="1202"/>
              </w:tabs>
              <w:spacing w:line="240" w:lineRule="exact"/>
              <w:jc w:val="right"/>
              <w:outlineLvl w:val="0"/>
              <w:rPr>
                <w:rFonts w:asciiTheme="minorHAnsi" w:eastAsia="Calibri" w:hAnsiTheme="minorHAnsi" w:cstheme="minorHAnsi"/>
                <w:spacing w:val="-2"/>
                <w:sz w:val="18"/>
                <w:szCs w:val="18"/>
                <w:lang w:val="hr-HR"/>
              </w:rPr>
            </w:pPr>
            <w:r w:rsidRPr="003327E4">
              <w:rPr>
                <w:rFonts w:asciiTheme="minorHAnsi" w:hAnsiTheme="minorHAnsi" w:cstheme="minorHAnsi"/>
                <w:sz w:val="18"/>
                <w:szCs w:val="18"/>
              </w:rPr>
              <w:t>93</w:t>
            </w:r>
          </w:p>
        </w:tc>
        <w:tc>
          <w:tcPr>
            <w:tcW w:w="599"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23"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34"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1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93</w:t>
            </w:r>
          </w:p>
        </w:tc>
      </w:tr>
      <w:tr w:rsidR="001C1341" w:rsidRPr="001567C8" w:rsidTr="00043BBB">
        <w:trPr>
          <w:trHeight w:val="261"/>
        </w:trPr>
        <w:tc>
          <w:tcPr>
            <w:tcW w:w="1620" w:type="pct"/>
            <w:tcBorders>
              <w:top w:val="nil"/>
              <w:left w:val="nil"/>
              <w:bottom w:val="nil"/>
              <w:right w:val="nil"/>
            </w:tcBorders>
            <w:shd w:val="clear" w:color="auto" w:fill="auto"/>
            <w:vAlign w:val="center"/>
          </w:tcPr>
          <w:p w:rsidR="001C1341" w:rsidRPr="001567C8" w:rsidRDefault="001C1341" w:rsidP="001C1341">
            <w:pPr>
              <w:pStyle w:val="Tot"/>
              <w:spacing w:line="220" w:lineRule="exact"/>
              <w:rPr>
                <w:rFonts w:ascii="Calibri" w:eastAsia="Calibri" w:hAnsi="Calibri" w:cs="Arial"/>
                <w:b/>
                <w:bCs/>
                <w:spacing w:val="-2"/>
                <w:sz w:val="18"/>
                <w:szCs w:val="18"/>
                <w:lang w:val="hr-HR"/>
              </w:rPr>
            </w:pPr>
            <w:r w:rsidRPr="00CD3A2D">
              <w:rPr>
                <w:rFonts w:ascii="Calibri" w:hAnsi="Calibri" w:cs="Calibri"/>
                <w:b/>
                <w:bCs/>
                <w:color w:val="000000"/>
                <w:sz w:val="18"/>
                <w:szCs w:val="18"/>
                <w:lang w:val="hr-HR"/>
              </w:rPr>
              <w:t>Ukupne garancije i preuzete obveze</w:t>
            </w:r>
          </w:p>
        </w:tc>
        <w:tc>
          <w:tcPr>
            <w:tcW w:w="542" w:type="pct"/>
            <w:tcBorders>
              <w:top w:val="single" w:sz="4" w:space="0" w:color="auto"/>
              <w:left w:val="nil"/>
              <w:bottom w:val="single" w:sz="12" w:space="0" w:color="auto"/>
              <w:right w:val="nil"/>
            </w:tcBorders>
            <w:shd w:val="clear" w:color="auto" w:fill="auto"/>
            <w:vAlign w:val="bottom"/>
          </w:tcPr>
          <w:p w:rsidR="001C1341" w:rsidRPr="00CD3A2D" w:rsidRDefault="001C1341" w:rsidP="001C1341">
            <w:pPr>
              <w:tabs>
                <w:tab w:val="right" w:pos="1202"/>
              </w:tabs>
              <w:jc w:val="right"/>
              <w:outlineLvl w:val="0"/>
              <w:rPr>
                <w:rFonts w:ascii="Calibri" w:hAnsi="Calibri" w:cs="Calibri"/>
                <w:b/>
                <w:sz w:val="18"/>
                <w:szCs w:val="18"/>
                <w:lang w:val="hr-HR"/>
              </w:rPr>
            </w:pPr>
            <w:r w:rsidRPr="00CD3A2D">
              <w:rPr>
                <w:rFonts w:ascii="Calibri" w:hAnsi="Calibri" w:cs="Calibri"/>
                <w:b/>
                <w:bCs/>
                <w:color w:val="000000"/>
                <w:sz w:val="18"/>
                <w:szCs w:val="18"/>
                <w:lang w:val="hr-HR"/>
              </w:rPr>
              <w:t>5</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194</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569</w:t>
            </w:r>
          </w:p>
        </w:tc>
        <w:tc>
          <w:tcPr>
            <w:tcW w:w="599" w:type="pct"/>
            <w:tcBorders>
              <w:top w:val="single" w:sz="4" w:space="0" w:color="auto"/>
              <w:left w:val="nil"/>
              <w:bottom w:val="single" w:sz="12" w:space="0" w:color="auto"/>
              <w:right w:val="nil"/>
            </w:tcBorders>
            <w:shd w:val="clear" w:color="auto" w:fill="auto"/>
          </w:tcPr>
          <w:p w:rsidR="001C1341" w:rsidRDefault="001C1341" w:rsidP="001C1341">
            <w:pPr>
              <w:jc w:val="right"/>
            </w:pPr>
            <w:r w:rsidRPr="007C7F7F">
              <w:rPr>
                <w:rFonts w:ascii="Calibri" w:hAnsi="Calibri" w:cs="Calibri"/>
                <w:color w:val="000000"/>
                <w:sz w:val="18"/>
                <w:szCs w:val="18"/>
                <w:lang w:val="hr-HR"/>
              </w:rPr>
              <w:t>-</w:t>
            </w:r>
          </w:p>
        </w:tc>
        <w:tc>
          <w:tcPr>
            <w:tcW w:w="523" w:type="pct"/>
            <w:tcBorders>
              <w:top w:val="single" w:sz="4" w:space="0" w:color="auto"/>
              <w:left w:val="nil"/>
              <w:bottom w:val="single" w:sz="12" w:space="0" w:color="auto"/>
              <w:right w:val="nil"/>
            </w:tcBorders>
            <w:shd w:val="clear" w:color="auto" w:fill="auto"/>
          </w:tcPr>
          <w:p w:rsidR="001C1341" w:rsidRDefault="001C1341" w:rsidP="001C1341">
            <w:pPr>
              <w:jc w:val="right"/>
            </w:pPr>
            <w:r w:rsidRPr="007C7F7F">
              <w:rPr>
                <w:rFonts w:ascii="Calibri" w:hAnsi="Calibri" w:cs="Calibri"/>
                <w:color w:val="000000"/>
                <w:sz w:val="18"/>
                <w:szCs w:val="18"/>
                <w:lang w:val="hr-HR"/>
              </w:rPr>
              <w:t>-</w:t>
            </w:r>
          </w:p>
        </w:tc>
        <w:tc>
          <w:tcPr>
            <w:tcW w:w="534" w:type="pct"/>
            <w:tcBorders>
              <w:top w:val="single" w:sz="4" w:space="0" w:color="auto"/>
              <w:left w:val="nil"/>
              <w:bottom w:val="single" w:sz="12" w:space="0" w:color="auto"/>
              <w:right w:val="nil"/>
            </w:tcBorders>
            <w:shd w:val="clear" w:color="auto" w:fill="auto"/>
          </w:tcPr>
          <w:p w:rsidR="001C1341" w:rsidRDefault="001C1341" w:rsidP="001C1341">
            <w:pPr>
              <w:jc w:val="right"/>
            </w:pPr>
            <w:r w:rsidRPr="007C7F7F">
              <w:rPr>
                <w:rFonts w:ascii="Calibri" w:hAnsi="Calibri" w:cs="Calibri"/>
                <w:color w:val="000000"/>
                <w:sz w:val="18"/>
                <w:szCs w:val="18"/>
                <w:lang w:val="hr-HR"/>
              </w:rPr>
              <w:t>-</w:t>
            </w:r>
          </w:p>
        </w:tc>
        <w:tc>
          <w:tcPr>
            <w:tcW w:w="616" w:type="pct"/>
            <w:tcBorders>
              <w:top w:val="single" w:sz="4" w:space="0" w:color="auto"/>
              <w:left w:val="nil"/>
              <w:bottom w:val="single" w:sz="12" w:space="0" w:color="auto"/>
              <w:right w:val="nil"/>
            </w:tcBorders>
            <w:shd w:val="clear" w:color="auto" w:fill="auto"/>
          </w:tcPr>
          <w:p w:rsidR="001C1341" w:rsidRDefault="001C1341" w:rsidP="001C1341">
            <w:pPr>
              <w:jc w:val="right"/>
            </w:pPr>
            <w:r w:rsidRPr="007C7F7F">
              <w:rPr>
                <w:rFonts w:ascii="Calibri" w:hAnsi="Calibri" w:cs="Calibri"/>
                <w:color w:val="000000"/>
                <w:sz w:val="18"/>
                <w:szCs w:val="18"/>
                <w:lang w:val="hr-HR"/>
              </w:rPr>
              <w:t>-</w:t>
            </w:r>
          </w:p>
        </w:tc>
        <w:tc>
          <w:tcPr>
            <w:tcW w:w="566" w:type="pct"/>
            <w:tcBorders>
              <w:top w:val="single" w:sz="4" w:space="0" w:color="auto"/>
              <w:left w:val="nil"/>
              <w:bottom w:val="single" w:sz="12" w:space="0" w:color="auto"/>
              <w:right w:val="nil"/>
            </w:tcBorders>
            <w:shd w:val="clear" w:color="auto" w:fill="auto"/>
            <w:vAlign w:val="bottom"/>
          </w:tcPr>
          <w:p w:rsidR="001C1341" w:rsidRPr="00CD3A2D" w:rsidRDefault="001C1341" w:rsidP="001C1341">
            <w:pPr>
              <w:tabs>
                <w:tab w:val="right" w:pos="1202"/>
              </w:tabs>
              <w:jc w:val="right"/>
              <w:outlineLvl w:val="0"/>
              <w:rPr>
                <w:rFonts w:ascii="Calibri" w:hAnsi="Calibri" w:cs="Calibri"/>
                <w:b/>
                <w:sz w:val="18"/>
                <w:szCs w:val="18"/>
                <w:lang w:val="hr-HR"/>
              </w:rPr>
            </w:pPr>
            <w:r w:rsidRPr="00CD3A2D">
              <w:rPr>
                <w:rFonts w:ascii="Calibri" w:hAnsi="Calibri" w:cs="Calibri"/>
                <w:b/>
                <w:bCs/>
                <w:color w:val="000000"/>
                <w:sz w:val="18"/>
                <w:szCs w:val="18"/>
                <w:lang w:val="hr-HR"/>
              </w:rPr>
              <w:t>5</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194</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569</w:t>
            </w:r>
          </w:p>
        </w:tc>
      </w:tr>
    </w:tbl>
    <w:p w:rsidR="006533FB" w:rsidRPr="001567C8" w:rsidRDefault="006533FB" w:rsidP="006533FB">
      <w:pPr>
        <w:pStyle w:val="accountingpolicytitle"/>
        <w:rPr>
          <w:rFonts w:asciiTheme="minorHAnsi" w:hAnsiTheme="minorHAnsi" w:cs="Arial"/>
          <w:b w:val="0"/>
          <w:bCs/>
          <w:sz w:val="20"/>
          <w:lang w:val="hr-HR"/>
        </w:rPr>
      </w:pPr>
    </w:p>
    <w:p w:rsidR="00505F94" w:rsidRPr="001567C8" w:rsidRDefault="003F5BF6" w:rsidP="006533FB">
      <w:pPr>
        <w:pStyle w:val="accountingpolicytitle"/>
        <w:rPr>
          <w:rFonts w:asciiTheme="minorHAnsi" w:hAnsiTheme="minorHAnsi"/>
          <w:b w:val="0"/>
          <w:i/>
          <w:sz w:val="20"/>
          <w:lang w:val="hr-HR"/>
        </w:rPr>
      </w:pPr>
      <w:r w:rsidRPr="001567C8">
        <w:rPr>
          <w:rFonts w:asciiTheme="minorHAnsi" w:hAnsiTheme="minorHAnsi" w:cs="Arial"/>
          <w:b w:val="0"/>
          <w:bCs/>
          <w:sz w:val="20"/>
          <w:lang w:val="hr-HR"/>
        </w:rPr>
        <w:t>Stavke s neodređenim dospijećem iskazane su u razdoblju preko 3 godine.</w:t>
      </w:r>
      <w:r w:rsidR="00505F94" w:rsidRPr="001567C8">
        <w:rPr>
          <w:rFonts w:asciiTheme="minorHAnsi" w:hAnsiTheme="minorHAnsi"/>
          <w:b w:val="0"/>
          <w:i/>
          <w:sz w:val="20"/>
          <w:lang w:val="hr-HR"/>
        </w:rPr>
        <w:t xml:space="preserve"> </w:t>
      </w:r>
    </w:p>
    <w:p w:rsidR="006533FB" w:rsidRPr="001567C8" w:rsidRDefault="006533FB" w:rsidP="006533FB">
      <w:pPr>
        <w:pStyle w:val="accountingpolicytitle"/>
        <w:ind w:right="141"/>
        <w:rPr>
          <w:rFonts w:asciiTheme="minorHAnsi" w:hAnsiTheme="minorHAnsi"/>
          <w:b w:val="0"/>
          <w:i/>
          <w:sz w:val="20"/>
          <w:lang w:val="hr-HR"/>
        </w:rPr>
      </w:pPr>
    </w:p>
    <w:p w:rsidR="00AD2AC2" w:rsidRPr="00CD3A2D" w:rsidRDefault="00AD2AC2" w:rsidP="00AD2AC2">
      <w:pPr>
        <w:pStyle w:val="T1"/>
        <w:spacing w:before="0" w:after="0" w:line="240" w:lineRule="auto"/>
        <w:ind w:right="-1"/>
        <w:rPr>
          <w:lang w:val="hr-HR"/>
        </w:rPr>
      </w:pPr>
      <w:r w:rsidRPr="001567C8">
        <w:rPr>
          <w:rFonts w:asciiTheme="minorHAnsi" w:hAnsiTheme="minorHAnsi"/>
          <w:b w:val="0"/>
          <w:i/>
          <w:sz w:val="20"/>
          <w:lang w:val="hr-HR"/>
        </w:rPr>
        <w:t>*</w:t>
      </w:r>
      <w:r w:rsidRPr="00CD3A2D">
        <w:rPr>
          <w:lang w:val="hr-HR"/>
        </w:rPr>
        <w:t xml:space="preserve"> </w:t>
      </w:r>
      <w:r w:rsidRPr="001567C8">
        <w:rPr>
          <w:rFonts w:asciiTheme="minorHAnsi" w:hAnsiTheme="minorHAnsi"/>
          <w:b w:val="0"/>
          <w:i/>
          <w:sz w:val="20"/>
          <w:lang w:val="hr-HR"/>
        </w:rPr>
        <w:t>Potraživanje u iznosu od 691.269 tisuća kuna odnosi se na obrnute repo poslove. Kako je dio iznosa potraživanja produžen nakon datuma Izvještaja o financijskom položaju njegovo dospijeće iskazano je u razdoblju od 1 do 3 mjeseca u iznosu od 222.527 tisuća kuna.</w:t>
      </w:r>
    </w:p>
    <w:p w:rsidR="00AD2AC2" w:rsidRPr="001567C8" w:rsidRDefault="00AD2AC2" w:rsidP="00AD2AC2">
      <w:pPr>
        <w:jc w:val="both"/>
        <w:rPr>
          <w:rFonts w:ascii="Calibri" w:eastAsia="Calibri" w:hAnsi="Calibri"/>
          <w:sz w:val="20"/>
          <w:szCs w:val="20"/>
          <w:lang w:val="hr-HR"/>
        </w:rPr>
      </w:pPr>
      <w:r w:rsidRPr="001567C8">
        <w:rPr>
          <w:rFonts w:ascii="Calibri" w:eastAsia="Calibri" w:hAnsi="Calibri"/>
          <w:bCs/>
          <w:i/>
          <w:sz w:val="20"/>
          <w:szCs w:val="20"/>
          <w:lang w:val="hr-HR"/>
        </w:rPr>
        <w:t xml:space="preserve">** Obračunata nedospjela kamata po kreditima raspoređena je u kategoriji od 1 do 3 mjeseci. </w:t>
      </w:r>
    </w:p>
    <w:p w:rsidR="007B1C4F" w:rsidRPr="001567C8" w:rsidRDefault="007B1C4F" w:rsidP="003F6A9F">
      <w:pPr>
        <w:pStyle w:val="accountingpolicytitle"/>
        <w:spacing w:line="240" w:lineRule="exact"/>
        <w:rPr>
          <w:rFonts w:asciiTheme="minorHAnsi" w:hAnsiTheme="minorHAnsi"/>
          <w:b w:val="0"/>
          <w:i/>
          <w:sz w:val="22"/>
          <w:szCs w:val="22"/>
          <w:lang w:val="hr-HR"/>
        </w:rPr>
      </w:pPr>
    </w:p>
    <w:p w:rsidR="00505F94" w:rsidRPr="001567C8" w:rsidRDefault="00505F94" w:rsidP="00D7642E">
      <w:pPr>
        <w:pStyle w:val="T1"/>
        <w:spacing w:before="120" w:after="0"/>
        <w:ind w:right="-289"/>
        <w:rPr>
          <w:rFonts w:asciiTheme="minorHAnsi" w:hAnsiTheme="minorHAnsi"/>
          <w:b w:val="0"/>
          <w:i/>
          <w:sz w:val="22"/>
          <w:szCs w:val="22"/>
          <w:lang w:val="hr-HR"/>
        </w:rPr>
        <w:sectPr w:rsidR="00505F94" w:rsidRPr="001567C8" w:rsidSect="0077198A">
          <w:pgSz w:w="11907" w:h="16840" w:code="9"/>
          <w:pgMar w:top="1418" w:right="1134" w:bottom="1134" w:left="1418" w:header="851" w:footer="851" w:gutter="0"/>
          <w:cols w:space="720"/>
          <w:noEndnote/>
        </w:sectPr>
      </w:pPr>
    </w:p>
    <w:p w:rsidR="006533FB" w:rsidRPr="001567C8" w:rsidRDefault="006533FB" w:rsidP="006533FB">
      <w:pPr>
        <w:pStyle w:val="T1"/>
        <w:spacing w:before="0" w:after="0" w:line="240" w:lineRule="auto"/>
        <w:rPr>
          <w:rFonts w:asciiTheme="minorHAnsi" w:hAnsiTheme="minorHAnsi" w:cs="Arial"/>
          <w:sz w:val="22"/>
          <w:szCs w:val="22"/>
          <w:lang w:val="hr-HR"/>
        </w:rPr>
      </w:pPr>
    </w:p>
    <w:p w:rsidR="003F5BF6" w:rsidRPr="001567C8" w:rsidRDefault="003F5BF6" w:rsidP="006533F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0F75B2"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Upravljanje rizicima (nastavak)</w:t>
      </w:r>
    </w:p>
    <w:p w:rsidR="006533FB" w:rsidRPr="001567C8" w:rsidRDefault="006533FB" w:rsidP="006533FB">
      <w:pPr>
        <w:pStyle w:val="T1"/>
        <w:spacing w:before="0" w:after="0" w:line="240" w:lineRule="auto"/>
        <w:rPr>
          <w:rFonts w:asciiTheme="minorHAnsi" w:hAnsiTheme="minorHAnsi" w:cs="Arial"/>
          <w:sz w:val="22"/>
          <w:szCs w:val="22"/>
          <w:lang w:val="hr-HR"/>
        </w:rPr>
      </w:pPr>
    </w:p>
    <w:p w:rsidR="003F5BF6" w:rsidRPr="001567C8" w:rsidRDefault="003F5BF6" w:rsidP="006533F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0F75B2"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4</w:t>
      </w:r>
      <w:r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ab/>
        <w:t>Rizik likvidnosti (nastavak)</w:t>
      </w:r>
    </w:p>
    <w:p w:rsidR="006533FB" w:rsidRPr="001567C8" w:rsidRDefault="006533FB" w:rsidP="006533FB">
      <w:pPr>
        <w:pStyle w:val="T1"/>
        <w:spacing w:before="0" w:after="0" w:line="240" w:lineRule="auto"/>
        <w:rPr>
          <w:rFonts w:asciiTheme="minorHAnsi" w:hAnsiTheme="minorHAnsi" w:cs="Arial"/>
          <w:sz w:val="22"/>
          <w:szCs w:val="22"/>
          <w:lang w:val="hr-HR"/>
        </w:rPr>
      </w:pPr>
    </w:p>
    <w:tbl>
      <w:tblPr>
        <w:tblW w:w="5146" w:type="pct"/>
        <w:tblInd w:w="-142" w:type="dxa"/>
        <w:tblLayout w:type="fixed"/>
        <w:tblCellMar>
          <w:left w:w="120" w:type="dxa"/>
          <w:right w:w="120" w:type="dxa"/>
        </w:tblCellMar>
        <w:tblLook w:val="0000" w:firstRow="0" w:lastRow="0" w:firstColumn="0" w:lastColumn="0" w:noHBand="0" w:noVBand="0"/>
      </w:tblPr>
      <w:tblGrid>
        <w:gridCol w:w="3071"/>
        <w:gridCol w:w="1068"/>
        <w:gridCol w:w="1068"/>
        <w:gridCol w:w="1070"/>
        <w:gridCol w:w="1068"/>
        <w:gridCol w:w="1068"/>
        <w:gridCol w:w="1070"/>
      </w:tblGrid>
      <w:tr w:rsidR="00A35A84" w:rsidRPr="001567C8" w:rsidTr="00442721">
        <w:trPr>
          <w:trHeight w:val="607"/>
        </w:trPr>
        <w:tc>
          <w:tcPr>
            <w:tcW w:w="1619" w:type="pct"/>
          </w:tcPr>
          <w:p w:rsidR="00A35A84" w:rsidRPr="001567C8" w:rsidRDefault="00A35A84">
            <w:pPr>
              <w:pStyle w:val="TH"/>
              <w:spacing w:line="220" w:lineRule="exact"/>
              <w:rPr>
                <w:rFonts w:asciiTheme="minorHAnsi" w:hAnsiTheme="minorHAnsi" w:cs="Arial"/>
                <w:sz w:val="18"/>
                <w:szCs w:val="18"/>
                <w:lang w:val="hr-HR"/>
              </w:rPr>
            </w:pPr>
            <w:r w:rsidRPr="001567C8">
              <w:rPr>
                <w:rFonts w:asciiTheme="minorHAnsi" w:hAnsiTheme="minorHAnsi" w:cs="Arial"/>
                <w:sz w:val="18"/>
                <w:szCs w:val="18"/>
                <w:lang w:val="hr-HR"/>
              </w:rPr>
              <w:t>Grupa</w:t>
            </w:r>
          </w:p>
          <w:p w:rsidR="00A35A84" w:rsidRPr="001567C8" w:rsidRDefault="00AD2EF7">
            <w:pPr>
              <w:pStyle w:val="TH"/>
              <w:spacing w:line="220" w:lineRule="exact"/>
              <w:rPr>
                <w:rFonts w:asciiTheme="minorHAnsi" w:hAnsiTheme="minorHAnsi" w:cs="Arial"/>
                <w:sz w:val="18"/>
                <w:szCs w:val="18"/>
                <w:lang w:val="hr-HR"/>
              </w:rPr>
            </w:pPr>
            <w:r>
              <w:rPr>
                <w:rFonts w:asciiTheme="minorHAnsi" w:hAnsiTheme="minorHAnsi" w:cs="Arial"/>
                <w:sz w:val="18"/>
                <w:szCs w:val="18"/>
                <w:lang w:val="hr-HR"/>
              </w:rPr>
              <w:t>31. prosin</w:t>
            </w:r>
            <w:r w:rsidR="0073283D" w:rsidRPr="001567C8">
              <w:rPr>
                <w:rFonts w:asciiTheme="minorHAnsi" w:hAnsiTheme="minorHAnsi" w:cs="Arial"/>
                <w:sz w:val="18"/>
                <w:szCs w:val="18"/>
                <w:lang w:val="hr-HR"/>
              </w:rPr>
              <w:t>c</w:t>
            </w:r>
            <w:r>
              <w:rPr>
                <w:rFonts w:asciiTheme="minorHAnsi" w:hAnsiTheme="minorHAnsi" w:cs="Arial"/>
                <w:sz w:val="18"/>
                <w:szCs w:val="18"/>
                <w:lang w:val="hr-HR"/>
              </w:rPr>
              <w:t>a</w:t>
            </w:r>
            <w:r w:rsidR="0073283D" w:rsidRPr="001567C8">
              <w:rPr>
                <w:rFonts w:asciiTheme="minorHAnsi" w:hAnsiTheme="minorHAnsi" w:cs="Arial"/>
                <w:sz w:val="18"/>
                <w:szCs w:val="18"/>
                <w:lang w:val="hr-HR"/>
              </w:rPr>
              <w:t xml:space="preserve"> </w:t>
            </w:r>
            <w:r w:rsidR="00A35A84" w:rsidRPr="001567C8">
              <w:rPr>
                <w:rFonts w:asciiTheme="minorHAnsi" w:hAnsiTheme="minorHAnsi" w:cs="Arial"/>
                <w:sz w:val="18"/>
                <w:szCs w:val="18"/>
                <w:lang w:val="hr-HR"/>
              </w:rPr>
              <w:t>2017. godina</w:t>
            </w:r>
          </w:p>
        </w:tc>
        <w:tc>
          <w:tcPr>
            <w:tcW w:w="563" w:type="pct"/>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Do 1 mjesec</w:t>
            </w:r>
          </w:p>
        </w:tc>
        <w:tc>
          <w:tcPr>
            <w:tcW w:w="563" w:type="pct"/>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1 do 3 mjeseca</w:t>
            </w:r>
          </w:p>
        </w:tc>
        <w:tc>
          <w:tcPr>
            <w:tcW w:w="564" w:type="pct"/>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3 mj. do 1 godine</w:t>
            </w:r>
          </w:p>
        </w:tc>
        <w:tc>
          <w:tcPr>
            <w:tcW w:w="563" w:type="pct"/>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1 do 3 godina</w:t>
            </w:r>
          </w:p>
        </w:tc>
        <w:tc>
          <w:tcPr>
            <w:tcW w:w="563" w:type="pct"/>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Preko 3 godine</w:t>
            </w:r>
          </w:p>
        </w:tc>
        <w:tc>
          <w:tcPr>
            <w:tcW w:w="564" w:type="pct"/>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sz w:val="18"/>
                <w:szCs w:val="18"/>
                <w:lang w:val="hr-HR"/>
              </w:rPr>
              <w:t>Ukupno</w:t>
            </w:r>
          </w:p>
        </w:tc>
      </w:tr>
      <w:tr w:rsidR="00A35A84" w:rsidRPr="001567C8" w:rsidTr="00442721">
        <w:trPr>
          <w:trHeight w:val="184"/>
        </w:trPr>
        <w:tc>
          <w:tcPr>
            <w:tcW w:w="1619" w:type="pct"/>
          </w:tcPr>
          <w:p w:rsidR="00A35A84" w:rsidRPr="001567C8" w:rsidRDefault="00A35A84" w:rsidP="00F0295E">
            <w:pPr>
              <w:tabs>
                <w:tab w:val="left" w:pos="-720"/>
              </w:tabs>
              <w:suppressAutoHyphens/>
              <w:jc w:val="center"/>
              <w:rPr>
                <w:rFonts w:asciiTheme="minorHAnsi" w:hAnsiTheme="minorHAnsi" w:cs="Arial"/>
                <w:b/>
                <w:spacing w:val="-2"/>
                <w:sz w:val="18"/>
                <w:szCs w:val="18"/>
                <w:lang w:val="hr-HR"/>
              </w:rPr>
            </w:pPr>
          </w:p>
        </w:tc>
        <w:tc>
          <w:tcPr>
            <w:tcW w:w="563" w:type="pct"/>
            <w:vAlign w:val="bottom"/>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563" w:type="pct"/>
            <w:vAlign w:val="bottom"/>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564" w:type="pct"/>
            <w:vAlign w:val="bottom"/>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563" w:type="pct"/>
            <w:vAlign w:val="bottom"/>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563" w:type="pct"/>
            <w:vAlign w:val="bottom"/>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c>
          <w:tcPr>
            <w:tcW w:w="564" w:type="pct"/>
            <w:vAlign w:val="bottom"/>
          </w:tcPr>
          <w:p w:rsidR="00A35A84" w:rsidRPr="001567C8" w:rsidRDefault="00A35A84" w:rsidP="00F0295E">
            <w:pPr>
              <w:pStyle w:val="TH"/>
              <w:spacing w:line="220" w:lineRule="exact"/>
              <w:jc w:val="right"/>
              <w:rPr>
                <w:rFonts w:asciiTheme="minorHAnsi" w:hAnsiTheme="minorHAnsi" w:cs="Arial"/>
                <w:sz w:val="18"/>
                <w:szCs w:val="18"/>
                <w:lang w:val="hr-HR"/>
              </w:rPr>
            </w:pPr>
            <w:r w:rsidRPr="001567C8">
              <w:rPr>
                <w:rFonts w:asciiTheme="minorHAnsi" w:hAnsiTheme="minorHAnsi" w:cs="Arial"/>
                <w:bCs/>
                <w:sz w:val="18"/>
                <w:szCs w:val="18"/>
                <w:lang w:val="hr-HR"/>
              </w:rPr>
              <w:t>000 kuna</w:t>
            </w:r>
          </w:p>
        </w:tc>
      </w:tr>
      <w:tr w:rsidR="00A35A84" w:rsidRPr="001567C8" w:rsidTr="00442721">
        <w:trPr>
          <w:trHeight w:val="233"/>
        </w:trPr>
        <w:tc>
          <w:tcPr>
            <w:tcW w:w="1619" w:type="pct"/>
          </w:tcPr>
          <w:p w:rsidR="00A35A84" w:rsidRPr="001567C8" w:rsidRDefault="00A35A84" w:rsidP="00F0295E">
            <w:pPr>
              <w:pStyle w:val="TT"/>
              <w:spacing w:line="22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Imovina</w:t>
            </w:r>
          </w:p>
        </w:tc>
        <w:tc>
          <w:tcPr>
            <w:tcW w:w="563" w:type="pct"/>
            <w:vAlign w:val="bottom"/>
          </w:tcPr>
          <w:p w:rsidR="00A35A84" w:rsidRPr="001567C8" w:rsidRDefault="00A35A84" w:rsidP="00F0295E">
            <w:pPr>
              <w:pStyle w:val="TT"/>
              <w:spacing w:line="220" w:lineRule="exact"/>
              <w:jc w:val="right"/>
              <w:rPr>
                <w:rFonts w:asciiTheme="minorHAnsi" w:hAnsiTheme="minorHAnsi" w:cs="Arial"/>
                <w:b/>
                <w:bCs/>
                <w:spacing w:val="-2"/>
                <w:sz w:val="18"/>
                <w:szCs w:val="18"/>
                <w:lang w:val="hr-HR"/>
              </w:rPr>
            </w:pPr>
          </w:p>
        </w:tc>
        <w:tc>
          <w:tcPr>
            <w:tcW w:w="563" w:type="pct"/>
            <w:vAlign w:val="bottom"/>
          </w:tcPr>
          <w:p w:rsidR="00A35A84" w:rsidRPr="001567C8" w:rsidRDefault="00A35A84" w:rsidP="00F0295E">
            <w:pPr>
              <w:pStyle w:val="TT"/>
              <w:spacing w:line="220" w:lineRule="exact"/>
              <w:jc w:val="right"/>
              <w:rPr>
                <w:rFonts w:asciiTheme="minorHAnsi" w:hAnsiTheme="minorHAnsi" w:cs="Arial"/>
                <w:b/>
                <w:bCs/>
                <w:spacing w:val="-2"/>
                <w:sz w:val="18"/>
                <w:szCs w:val="18"/>
                <w:lang w:val="hr-HR"/>
              </w:rPr>
            </w:pPr>
          </w:p>
        </w:tc>
        <w:tc>
          <w:tcPr>
            <w:tcW w:w="564" w:type="pct"/>
            <w:vAlign w:val="bottom"/>
          </w:tcPr>
          <w:p w:rsidR="00A35A84" w:rsidRPr="001567C8" w:rsidRDefault="00A35A84" w:rsidP="00F0295E">
            <w:pPr>
              <w:pStyle w:val="TT"/>
              <w:spacing w:line="220" w:lineRule="exact"/>
              <w:jc w:val="right"/>
              <w:rPr>
                <w:rFonts w:asciiTheme="minorHAnsi" w:hAnsiTheme="minorHAnsi" w:cs="Arial"/>
                <w:b/>
                <w:bCs/>
                <w:spacing w:val="-2"/>
                <w:sz w:val="18"/>
                <w:szCs w:val="18"/>
                <w:lang w:val="hr-HR"/>
              </w:rPr>
            </w:pPr>
          </w:p>
        </w:tc>
        <w:tc>
          <w:tcPr>
            <w:tcW w:w="563" w:type="pct"/>
            <w:vAlign w:val="bottom"/>
          </w:tcPr>
          <w:p w:rsidR="00A35A84" w:rsidRPr="001567C8" w:rsidRDefault="00A35A84" w:rsidP="00F0295E">
            <w:pPr>
              <w:pStyle w:val="TT"/>
              <w:spacing w:line="220" w:lineRule="exact"/>
              <w:jc w:val="right"/>
              <w:rPr>
                <w:rFonts w:asciiTheme="minorHAnsi" w:hAnsiTheme="minorHAnsi" w:cs="Arial"/>
                <w:b/>
                <w:bCs/>
                <w:spacing w:val="-2"/>
                <w:sz w:val="18"/>
                <w:szCs w:val="18"/>
                <w:lang w:val="hr-HR"/>
              </w:rPr>
            </w:pPr>
          </w:p>
        </w:tc>
        <w:tc>
          <w:tcPr>
            <w:tcW w:w="563" w:type="pct"/>
            <w:vAlign w:val="bottom"/>
          </w:tcPr>
          <w:p w:rsidR="00A35A84" w:rsidRPr="001567C8" w:rsidRDefault="00A35A84" w:rsidP="00F0295E">
            <w:pPr>
              <w:pStyle w:val="TT"/>
              <w:spacing w:line="220" w:lineRule="exact"/>
              <w:jc w:val="right"/>
              <w:rPr>
                <w:rFonts w:asciiTheme="minorHAnsi" w:hAnsiTheme="minorHAnsi" w:cs="Arial"/>
                <w:b/>
                <w:bCs/>
                <w:spacing w:val="-2"/>
                <w:sz w:val="18"/>
                <w:szCs w:val="18"/>
                <w:lang w:val="hr-HR"/>
              </w:rPr>
            </w:pPr>
          </w:p>
        </w:tc>
        <w:tc>
          <w:tcPr>
            <w:tcW w:w="564" w:type="pct"/>
            <w:vAlign w:val="bottom"/>
          </w:tcPr>
          <w:p w:rsidR="00A35A84" w:rsidRPr="001567C8" w:rsidRDefault="00A35A84" w:rsidP="00F0295E">
            <w:pPr>
              <w:pStyle w:val="TT"/>
              <w:spacing w:line="220" w:lineRule="exact"/>
              <w:jc w:val="right"/>
              <w:rPr>
                <w:rFonts w:asciiTheme="minorHAnsi" w:hAnsiTheme="minorHAnsi" w:cs="Arial"/>
                <w:b/>
                <w:bCs/>
                <w:spacing w:val="-2"/>
                <w:sz w:val="18"/>
                <w:szCs w:val="18"/>
                <w:lang w:val="hr-HR"/>
              </w:rPr>
            </w:pPr>
          </w:p>
        </w:tc>
      </w:tr>
      <w:tr w:rsidR="00A35A84" w:rsidRPr="001567C8" w:rsidTr="00442721">
        <w:trPr>
          <w:trHeight w:val="249"/>
        </w:trPr>
        <w:tc>
          <w:tcPr>
            <w:tcW w:w="1619" w:type="pct"/>
            <w:vAlign w:val="bottom"/>
          </w:tcPr>
          <w:p w:rsidR="00A35A84" w:rsidRPr="001567C8" w:rsidRDefault="00A35A84">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Novčana sredstva i računi kod banaka</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1.403.680</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1.403.680</w:t>
            </w:r>
          </w:p>
        </w:tc>
      </w:tr>
      <w:tr w:rsidR="00A35A84" w:rsidRPr="001567C8" w:rsidTr="00442721">
        <w:trPr>
          <w:trHeight w:val="249"/>
        </w:trPr>
        <w:tc>
          <w:tcPr>
            <w:tcW w:w="1619" w:type="pct"/>
            <w:vAlign w:val="bottom"/>
          </w:tcPr>
          <w:p w:rsidR="00A35A84" w:rsidRPr="001567C8" w:rsidRDefault="00A35A84">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Depoziti kod drugih banaka</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29.138</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29.138</w:t>
            </w:r>
          </w:p>
        </w:tc>
      </w:tr>
      <w:tr w:rsidR="00A35A84" w:rsidRPr="001567C8" w:rsidTr="00442721">
        <w:trPr>
          <w:trHeight w:val="249"/>
        </w:trPr>
        <w:tc>
          <w:tcPr>
            <w:tcW w:w="1619" w:type="pct"/>
            <w:vAlign w:val="bottom"/>
          </w:tcPr>
          <w:p w:rsidR="00A35A84" w:rsidRPr="001567C8" w:rsidRDefault="00A35A84">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Krediti financijska institucija*</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499.790</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411.937</w:t>
            </w:r>
          </w:p>
        </w:tc>
        <w:tc>
          <w:tcPr>
            <w:tcW w:w="564"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1.369.798</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2.888.174</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5.666.442</w:t>
            </w:r>
          </w:p>
        </w:tc>
        <w:tc>
          <w:tcPr>
            <w:tcW w:w="564"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10.836.141</w:t>
            </w:r>
          </w:p>
        </w:tc>
      </w:tr>
      <w:tr w:rsidR="00A35A84" w:rsidRPr="001567C8" w:rsidTr="00442721">
        <w:trPr>
          <w:trHeight w:val="249"/>
        </w:trPr>
        <w:tc>
          <w:tcPr>
            <w:tcW w:w="1619" w:type="pct"/>
            <w:vAlign w:val="bottom"/>
          </w:tcPr>
          <w:p w:rsidR="00A35A84" w:rsidRPr="001567C8" w:rsidRDefault="00A35A84">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Krediti ostalim korisnicima</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2.048.659</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396.509</w:t>
            </w:r>
          </w:p>
        </w:tc>
        <w:tc>
          <w:tcPr>
            <w:tcW w:w="564"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885.769</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2.116.638</w:t>
            </w:r>
          </w:p>
        </w:tc>
        <w:tc>
          <w:tcPr>
            <w:tcW w:w="563"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6.936.048</w:t>
            </w:r>
          </w:p>
        </w:tc>
        <w:tc>
          <w:tcPr>
            <w:tcW w:w="564" w:type="pct"/>
            <w:tcBorders>
              <w:top w:val="nil"/>
              <w:left w:val="nil"/>
              <w:bottom w:val="nil"/>
              <w:right w:val="nil"/>
            </w:tcBorders>
            <w:shd w:val="clear" w:color="auto" w:fill="auto"/>
            <w:vAlign w:val="bottom"/>
          </w:tcPr>
          <w:p w:rsidR="00A35A84" w:rsidRPr="00CD3A2D" w:rsidRDefault="00A35A84">
            <w:pPr>
              <w:jc w:val="right"/>
              <w:rPr>
                <w:rFonts w:ascii="Calibri" w:hAnsi="Calibri"/>
                <w:color w:val="000000"/>
                <w:sz w:val="18"/>
                <w:szCs w:val="18"/>
                <w:lang w:val="hr-HR"/>
              </w:rPr>
            </w:pPr>
            <w:r w:rsidRPr="00CD3A2D">
              <w:rPr>
                <w:rFonts w:ascii="Calibri" w:hAnsi="Calibri"/>
                <w:color w:val="000000"/>
                <w:sz w:val="18"/>
                <w:szCs w:val="18"/>
                <w:lang w:val="hr-HR"/>
              </w:rPr>
              <w:t>12.383.623</w:t>
            </w:r>
          </w:p>
        </w:tc>
      </w:tr>
      <w:tr w:rsidR="00A35A84" w:rsidRPr="001567C8" w:rsidTr="00442721">
        <w:trPr>
          <w:trHeight w:val="359"/>
        </w:trPr>
        <w:tc>
          <w:tcPr>
            <w:tcW w:w="1619" w:type="pct"/>
          </w:tcPr>
          <w:p w:rsidR="00A35A84" w:rsidRPr="001567C8" w:rsidRDefault="00A35A84" w:rsidP="00F0295E">
            <w:pPr>
              <w:pStyle w:val="TT"/>
              <w:spacing w:line="220" w:lineRule="exact"/>
              <w:rPr>
                <w:rFonts w:asciiTheme="minorHAnsi" w:hAnsiTheme="minorHAnsi" w:cs="Arial"/>
                <w:spacing w:val="-2"/>
                <w:sz w:val="18"/>
                <w:szCs w:val="18"/>
                <w:lang w:val="hr-HR"/>
              </w:rPr>
            </w:pPr>
            <w:r w:rsidRPr="001567C8">
              <w:rPr>
                <w:rFonts w:asciiTheme="minorHAnsi" w:hAnsiTheme="minorHAnsi" w:cs="Arial"/>
                <w:spacing w:val="-2"/>
                <w:sz w:val="18"/>
                <w:szCs w:val="18"/>
                <w:lang w:val="hr-HR"/>
              </w:rPr>
              <w:t xml:space="preserve">Financijska imovina po fer vrijednosti kroz </w:t>
            </w:r>
            <w:r w:rsidR="00316574" w:rsidRPr="001567C8">
              <w:rPr>
                <w:rFonts w:asciiTheme="minorHAnsi" w:hAnsiTheme="minorHAnsi" w:cs="Arial"/>
                <w:spacing w:val="-2"/>
                <w:sz w:val="18"/>
                <w:szCs w:val="18"/>
                <w:lang w:val="hr-HR"/>
              </w:rPr>
              <w:t>dobit ili gubitak</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291</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291</w:t>
            </w:r>
          </w:p>
        </w:tc>
      </w:tr>
      <w:tr w:rsidR="00A35A84" w:rsidRPr="001567C8" w:rsidTr="00442721">
        <w:trPr>
          <w:trHeight w:val="175"/>
        </w:trPr>
        <w:tc>
          <w:tcPr>
            <w:tcW w:w="1619" w:type="pct"/>
          </w:tcPr>
          <w:p w:rsidR="00A35A84" w:rsidRPr="001567C8" w:rsidRDefault="00A35A84" w:rsidP="00F0295E">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Imovina raspoloživa za prodaju</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3.308.009</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13.532</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23</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3.321.564</w:t>
            </w:r>
          </w:p>
        </w:tc>
      </w:tr>
      <w:tr w:rsidR="00A35A84" w:rsidRPr="001567C8" w:rsidTr="00442721">
        <w:trPr>
          <w:trHeight w:val="184"/>
        </w:trPr>
        <w:tc>
          <w:tcPr>
            <w:tcW w:w="1619" w:type="pct"/>
          </w:tcPr>
          <w:p w:rsidR="00A35A84" w:rsidRPr="001567C8" w:rsidRDefault="00A35A84" w:rsidP="00F0295E">
            <w:pPr>
              <w:pStyle w:val="TT"/>
              <w:spacing w:line="220" w:lineRule="exact"/>
              <w:rPr>
                <w:rFonts w:asciiTheme="minorHAnsi" w:hAnsiTheme="minorHAnsi" w:cs="Arial"/>
                <w:spacing w:val="-2"/>
                <w:sz w:val="18"/>
                <w:szCs w:val="18"/>
                <w:lang w:val="hr-HR"/>
              </w:rPr>
            </w:pPr>
            <w:r w:rsidRPr="001567C8">
              <w:rPr>
                <w:rFonts w:asciiTheme="minorHAnsi" w:hAnsiTheme="minorHAnsi" w:cs="Arial"/>
                <w:spacing w:val="-2"/>
                <w:sz w:val="18"/>
                <w:szCs w:val="18"/>
                <w:lang w:val="hr-HR"/>
              </w:rPr>
              <w:t>Imovina koja se drži do dospijeća</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9</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5</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1.385</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1.399</w:t>
            </w:r>
          </w:p>
        </w:tc>
      </w:tr>
      <w:tr w:rsidR="00A35A84" w:rsidRPr="001567C8" w:rsidTr="00442721">
        <w:trPr>
          <w:trHeight w:val="175"/>
        </w:trPr>
        <w:tc>
          <w:tcPr>
            <w:tcW w:w="1619" w:type="pct"/>
          </w:tcPr>
          <w:p w:rsidR="00A35A84" w:rsidRPr="001567C8" w:rsidRDefault="00A35A84" w:rsidP="00F0295E">
            <w:pPr>
              <w:pStyle w:val="TT"/>
              <w:spacing w:line="220" w:lineRule="exact"/>
              <w:rPr>
                <w:rFonts w:asciiTheme="minorHAnsi" w:hAnsiTheme="minorHAnsi" w:cs="Arial"/>
                <w:spacing w:val="-2"/>
                <w:sz w:val="18"/>
                <w:szCs w:val="18"/>
                <w:lang w:val="hr-HR"/>
              </w:rPr>
            </w:pPr>
            <w:r w:rsidRPr="001567C8">
              <w:rPr>
                <w:rFonts w:asciiTheme="minorHAnsi" w:hAnsiTheme="minorHAnsi" w:cs="Arial"/>
                <w:spacing w:val="-2"/>
                <w:sz w:val="18"/>
                <w:szCs w:val="18"/>
                <w:lang w:val="hr-HR"/>
              </w:rPr>
              <w:t>Ulaganja u pridružena društva</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r>
      <w:tr w:rsidR="00A35A84" w:rsidRPr="001567C8" w:rsidTr="00442721">
        <w:trPr>
          <w:trHeight w:val="370"/>
        </w:trPr>
        <w:tc>
          <w:tcPr>
            <w:tcW w:w="1619" w:type="pct"/>
          </w:tcPr>
          <w:p w:rsidR="00A35A84" w:rsidRPr="001567C8" w:rsidRDefault="00A35A84" w:rsidP="00F0295E">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Nekretnine, postrojenja i oprema i nematerijalna imovina</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53.557</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53.557</w:t>
            </w:r>
          </w:p>
        </w:tc>
      </w:tr>
      <w:tr w:rsidR="00A35A84" w:rsidRPr="001567C8" w:rsidTr="00442721">
        <w:trPr>
          <w:trHeight w:val="144"/>
        </w:trPr>
        <w:tc>
          <w:tcPr>
            <w:tcW w:w="1619" w:type="pct"/>
          </w:tcPr>
          <w:p w:rsidR="00A35A84" w:rsidRPr="001567C8" w:rsidRDefault="0051728E" w:rsidP="00F0295E">
            <w:pPr>
              <w:pStyle w:val="TT"/>
              <w:spacing w:line="220" w:lineRule="exact"/>
              <w:rPr>
                <w:rFonts w:asciiTheme="minorHAnsi" w:hAnsiTheme="minorHAnsi" w:cs="Arial"/>
                <w:sz w:val="18"/>
                <w:szCs w:val="18"/>
                <w:lang w:val="hr-HR"/>
              </w:rPr>
            </w:pPr>
            <w:r w:rsidRPr="0051728E">
              <w:rPr>
                <w:rFonts w:asciiTheme="minorHAnsi" w:hAnsiTheme="minorHAnsi" w:cs="Arial"/>
                <w:spacing w:val="-2"/>
                <w:sz w:val="18"/>
                <w:szCs w:val="18"/>
                <w:lang w:val="hr-HR"/>
              </w:rPr>
              <w:t>Preuzeta imovina</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1.932</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2.827</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11.938</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16.697</w:t>
            </w:r>
          </w:p>
        </w:tc>
      </w:tr>
      <w:tr w:rsidR="00A35A84" w:rsidRPr="001567C8" w:rsidTr="00442721">
        <w:trPr>
          <w:trHeight w:val="175"/>
        </w:trPr>
        <w:tc>
          <w:tcPr>
            <w:tcW w:w="1619" w:type="pct"/>
          </w:tcPr>
          <w:p w:rsidR="00A35A84" w:rsidRPr="001567C8" w:rsidRDefault="00A35A84" w:rsidP="00F0295E">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Ostala imovina</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18.904</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7.543</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1.397</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497</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1.130</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29.471</w:t>
            </w:r>
          </w:p>
        </w:tc>
      </w:tr>
      <w:tr w:rsidR="00A35A84" w:rsidRPr="001567C8" w:rsidTr="00442721">
        <w:trPr>
          <w:trHeight w:val="161"/>
        </w:trPr>
        <w:tc>
          <w:tcPr>
            <w:tcW w:w="1619" w:type="pct"/>
            <w:vAlign w:val="center"/>
          </w:tcPr>
          <w:p w:rsidR="00A35A84" w:rsidRPr="001567C8" w:rsidRDefault="00A35A84">
            <w:pPr>
              <w:pStyle w:val="Tot"/>
              <w:spacing w:line="22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Ukupna imovina </w:t>
            </w:r>
          </w:p>
        </w:tc>
        <w:tc>
          <w:tcPr>
            <w:tcW w:w="563" w:type="pct"/>
            <w:tcBorders>
              <w:top w:val="single" w:sz="8"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7.308.471</w:t>
            </w:r>
          </w:p>
        </w:tc>
        <w:tc>
          <w:tcPr>
            <w:tcW w:w="563" w:type="pct"/>
            <w:tcBorders>
              <w:top w:val="single" w:sz="8"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829.530</w:t>
            </w:r>
          </w:p>
        </w:tc>
        <w:tc>
          <w:tcPr>
            <w:tcW w:w="564" w:type="pct"/>
            <w:tcBorders>
              <w:top w:val="single" w:sz="8"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2.258.924</w:t>
            </w:r>
          </w:p>
        </w:tc>
        <w:tc>
          <w:tcPr>
            <w:tcW w:w="563" w:type="pct"/>
            <w:tcBorders>
              <w:top w:val="single" w:sz="8"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5.008.136</w:t>
            </w:r>
          </w:p>
        </w:tc>
        <w:tc>
          <w:tcPr>
            <w:tcW w:w="563" w:type="pct"/>
            <w:tcBorders>
              <w:top w:val="single" w:sz="8"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12.670.500</w:t>
            </w:r>
          </w:p>
        </w:tc>
        <w:tc>
          <w:tcPr>
            <w:tcW w:w="564" w:type="pct"/>
            <w:tcBorders>
              <w:top w:val="single" w:sz="8"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28.075.561</w:t>
            </w:r>
          </w:p>
        </w:tc>
      </w:tr>
      <w:tr w:rsidR="00A35A84" w:rsidRPr="001567C8" w:rsidTr="00442721">
        <w:tblPrEx>
          <w:tblCellMar>
            <w:left w:w="108" w:type="dxa"/>
            <w:right w:w="108" w:type="dxa"/>
          </w:tblCellMar>
        </w:tblPrEx>
        <w:trPr>
          <w:trHeight w:val="211"/>
        </w:trPr>
        <w:tc>
          <w:tcPr>
            <w:tcW w:w="1619" w:type="pct"/>
          </w:tcPr>
          <w:p w:rsidR="00A35A84" w:rsidRPr="001567C8" w:rsidRDefault="00A35A84" w:rsidP="00F0295E">
            <w:pPr>
              <w:pStyle w:val="Thin"/>
              <w:spacing w:line="60" w:lineRule="exact"/>
              <w:rPr>
                <w:rFonts w:asciiTheme="minorHAnsi" w:hAnsiTheme="minorHAnsi" w:cs="Arial"/>
                <w:bCs/>
                <w:sz w:val="18"/>
                <w:szCs w:val="18"/>
                <w:lang w:val="hr-HR"/>
              </w:rPr>
            </w:pPr>
          </w:p>
        </w:tc>
        <w:tc>
          <w:tcPr>
            <w:tcW w:w="563" w:type="pct"/>
            <w:tcBorders>
              <w:top w:val="single" w:sz="12" w:space="0" w:color="auto"/>
            </w:tcBorders>
            <w:vAlign w:val="bottom"/>
          </w:tcPr>
          <w:p w:rsidR="00A35A84" w:rsidRPr="001567C8" w:rsidRDefault="00A35A84" w:rsidP="00F0295E">
            <w:pPr>
              <w:pStyle w:val="Thin"/>
              <w:spacing w:line="60" w:lineRule="exact"/>
              <w:jc w:val="right"/>
              <w:rPr>
                <w:rFonts w:asciiTheme="minorHAnsi" w:hAnsiTheme="minorHAnsi" w:cs="Arial"/>
                <w:bCs/>
                <w:sz w:val="18"/>
                <w:szCs w:val="18"/>
                <w:lang w:val="hr-HR"/>
              </w:rPr>
            </w:pPr>
          </w:p>
        </w:tc>
        <w:tc>
          <w:tcPr>
            <w:tcW w:w="563" w:type="pct"/>
            <w:tcBorders>
              <w:top w:val="single" w:sz="12" w:space="0" w:color="auto"/>
            </w:tcBorders>
            <w:vAlign w:val="bottom"/>
          </w:tcPr>
          <w:p w:rsidR="00A35A84" w:rsidRPr="001567C8" w:rsidRDefault="00A35A84" w:rsidP="00F0295E">
            <w:pPr>
              <w:pStyle w:val="Thin"/>
              <w:spacing w:line="60" w:lineRule="exact"/>
              <w:jc w:val="right"/>
              <w:rPr>
                <w:rFonts w:asciiTheme="minorHAnsi" w:hAnsiTheme="minorHAnsi" w:cs="Arial"/>
                <w:bCs/>
                <w:sz w:val="18"/>
                <w:szCs w:val="18"/>
                <w:lang w:val="hr-HR"/>
              </w:rPr>
            </w:pPr>
          </w:p>
        </w:tc>
        <w:tc>
          <w:tcPr>
            <w:tcW w:w="564" w:type="pct"/>
            <w:tcBorders>
              <w:top w:val="single" w:sz="12" w:space="0" w:color="auto"/>
            </w:tcBorders>
            <w:vAlign w:val="bottom"/>
          </w:tcPr>
          <w:p w:rsidR="00A35A84" w:rsidRPr="001567C8" w:rsidRDefault="00A35A84" w:rsidP="00F0295E">
            <w:pPr>
              <w:pStyle w:val="Thin"/>
              <w:spacing w:line="60" w:lineRule="exact"/>
              <w:jc w:val="right"/>
              <w:rPr>
                <w:rFonts w:asciiTheme="minorHAnsi" w:hAnsiTheme="minorHAnsi" w:cs="Arial"/>
                <w:bCs/>
                <w:sz w:val="18"/>
                <w:szCs w:val="18"/>
                <w:lang w:val="hr-HR"/>
              </w:rPr>
            </w:pPr>
          </w:p>
        </w:tc>
        <w:tc>
          <w:tcPr>
            <w:tcW w:w="563" w:type="pct"/>
            <w:tcBorders>
              <w:top w:val="single" w:sz="12" w:space="0" w:color="auto"/>
            </w:tcBorders>
            <w:vAlign w:val="bottom"/>
          </w:tcPr>
          <w:p w:rsidR="00A35A84" w:rsidRPr="001567C8" w:rsidRDefault="00A35A84" w:rsidP="00F0295E">
            <w:pPr>
              <w:pStyle w:val="Thin"/>
              <w:spacing w:line="60" w:lineRule="exact"/>
              <w:jc w:val="right"/>
              <w:rPr>
                <w:rFonts w:asciiTheme="minorHAnsi" w:hAnsiTheme="minorHAnsi" w:cs="Arial"/>
                <w:bCs/>
                <w:sz w:val="18"/>
                <w:szCs w:val="18"/>
                <w:lang w:val="hr-HR"/>
              </w:rPr>
            </w:pPr>
          </w:p>
        </w:tc>
        <w:tc>
          <w:tcPr>
            <w:tcW w:w="563" w:type="pct"/>
            <w:tcBorders>
              <w:top w:val="single" w:sz="12" w:space="0" w:color="auto"/>
            </w:tcBorders>
            <w:vAlign w:val="bottom"/>
          </w:tcPr>
          <w:p w:rsidR="00A35A84" w:rsidRPr="001567C8" w:rsidRDefault="00A35A84" w:rsidP="00F0295E">
            <w:pPr>
              <w:pStyle w:val="Thin"/>
              <w:spacing w:line="60" w:lineRule="exact"/>
              <w:jc w:val="right"/>
              <w:rPr>
                <w:rFonts w:asciiTheme="minorHAnsi" w:hAnsiTheme="minorHAnsi" w:cs="Arial"/>
                <w:bCs/>
                <w:sz w:val="18"/>
                <w:szCs w:val="18"/>
                <w:lang w:val="hr-HR"/>
              </w:rPr>
            </w:pPr>
          </w:p>
        </w:tc>
        <w:tc>
          <w:tcPr>
            <w:tcW w:w="564" w:type="pct"/>
            <w:tcBorders>
              <w:top w:val="single" w:sz="12" w:space="0" w:color="auto"/>
            </w:tcBorders>
            <w:vAlign w:val="bottom"/>
          </w:tcPr>
          <w:p w:rsidR="00A35A84" w:rsidRPr="001567C8" w:rsidRDefault="00A35A84" w:rsidP="00F0295E">
            <w:pPr>
              <w:pStyle w:val="Thin"/>
              <w:spacing w:line="60" w:lineRule="exact"/>
              <w:jc w:val="right"/>
              <w:rPr>
                <w:rFonts w:asciiTheme="minorHAnsi" w:hAnsiTheme="minorHAnsi" w:cs="Arial"/>
                <w:bCs/>
                <w:sz w:val="18"/>
                <w:szCs w:val="18"/>
                <w:lang w:val="hr-HR"/>
              </w:rPr>
            </w:pPr>
          </w:p>
        </w:tc>
      </w:tr>
      <w:tr w:rsidR="00A35A84" w:rsidRPr="001567C8" w:rsidTr="00442721">
        <w:trPr>
          <w:trHeight w:val="184"/>
        </w:trPr>
        <w:tc>
          <w:tcPr>
            <w:tcW w:w="1619" w:type="pct"/>
          </w:tcPr>
          <w:p w:rsidR="00A35A84" w:rsidRPr="001567C8" w:rsidRDefault="00A35A84" w:rsidP="00F0295E">
            <w:pPr>
              <w:pStyle w:val="TT"/>
              <w:spacing w:line="22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Obveze</w:t>
            </w:r>
          </w:p>
        </w:tc>
        <w:tc>
          <w:tcPr>
            <w:tcW w:w="563" w:type="pct"/>
            <w:vAlign w:val="bottom"/>
          </w:tcPr>
          <w:p w:rsidR="00A35A84" w:rsidRPr="001567C8" w:rsidRDefault="00A35A84" w:rsidP="00F0295E">
            <w:pPr>
              <w:pStyle w:val="TT"/>
              <w:tabs>
                <w:tab w:val="clear" w:pos="1202"/>
              </w:tabs>
              <w:spacing w:line="220" w:lineRule="exact"/>
              <w:jc w:val="right"/>
              <w:rPr>
                <w:rFonts w:asciiTheme="minorHAnsi" w:hAnsiTheme="minorHAnsi" w:cs="Arial"/>
                <w:b/>
                <w:bCs/>
                <w:spacing w:val="-2"/>
                <w:sz w:val="18"/>
                <w:szCs w:val="18"/>
                <w:lang w:val="hr-HR"/>
              </w:rPr>
            </w:pPr>
          </w:p>
        </w:tc>
        <w:tc>
          <w:tcPr>
            <w:tcW w:w="563" w:type="pct"/>
            <w:vAlign w:val="bottom"/>
          </w:tcPr>
          <w:p w:rsidR="00A35A84" w:rsidRPr="001567C8" w:rsidRDefault="00A35A84" w:rsidP="00F0295E">
            <w:pPr>
              <w:pStyle w:val="TT"/>
              <w:tabs>
                <w:tab w:val="clear" w:pos="1202"/>
              </w:tabs>
              <w:spacing w:line="220" w:lineRule="exact"/>
              <w:jc w:val="right"/>
              <w:rPr>
                <w:rFonts w:asciiTheme="minorHAnsi" w:hAnsiTheme="minorHAnsi" w:cs="Arial"/>
                <w:b/>
                <w:bCs/>
                <w:spacing w:val="-2"/>
                <w:sz w:val="18"/>
                <w:szCs w:val="18"/>
                <w:lang w:val="hr-HR"/>
              </w:rPr>
            </w:pPr>
          </w:p>
        </w:tc>
        <w:tc>
          <w:tcPr>
            <w:tcW w:w="564" w:type="pct"/>
            <w:vAlign w:val="bottom"/>
          </w:tcPr>
          <w:p w:rsidR="00A35A84" w:rsidRPr="001567C8" w:rsidRDefault="00A35A84" w:rsidP="00F0295E">
            <w:pPr>
              <w:pStyle w:val="TT"/>
              <w:tabs>
                <w:tab w:val="clear" w:pos="1202"/>
              </w:tabs>
              <w:spacing w:line="220" w:lineRule="exact"/>
              <w:jc w:val="right"/>
              <w:rPr>
                <w:rFonts w:asciiTheme="minorHAnsi" w:hAnsiTheme="minorHAnsi" w:cs="Arial"/>
                <w:b/>
                <w:bCs/>
                <w:spacing w:val="-2"/>
                <w:sz w:val="18"/>
                <w:szCs w:val="18"/>
                <w:lang w:val="hr-HR"/>
              </w:rPr>
            </w:pPr>
          </w:p>
        </w:tc>
        <w:tc>
          <w:tcPr>
            <w:tcW w:w="563" w:type="pct"/>
            <w:vAlign w:val="bottom"/>
          </w:tcPr>
          <w:p w:rsidR="00A35A84" w:rsidRPr="001567C8" w:rsidRDefault="00A35A84" w:rsidP="00F0295E">
            <w:pPr>
              <w:pStyle w:val="TT"/>
              <w:tabs>
                <w:tab w:val="clear" w:pos="1202"/>
              </w:tabs>
              <w:spacing w:line="220" w:lineRule="exact"/>
              <w:jc w:val="right"/>
              <w:rPr>
                <w:rFonts w:asciiTheme="minorHAnsi" w:hAnsiTheme="minorHAnsi" w:cs="Arial"/>
                <w:b/>
                <w:bCs/>
                <w:spacing w:val="-2"/>
                <w:sz w:val="18"/>
                <w:szCs w:val="18"/>
                <w:lang w:val="hr-HR"/>
              </w:rPr>
            </w:pPr>
          </w:p>
        </w:tc>
        <w:tc>
          <w:tcPr>
            <w:tcW w:w="563" w:type="pct"/>
            <w:vAlign w:val="bottom"/>
          </w:tcPr>
          <w:p w:rsidR="00A35A84" w:rsidRPr="001567C8" w:rsidRDefault="00A35A84" w:rsidP="00F0295E">
            <w:pPr>
              <w:pStyle w:val="TT"/>
              <w:tabs>
                <w:tab w:val="clear" w:pos="1202"/>
              </w:tabs>
              <w:spacing w:line="220" w:lineRule="exact"/>
              <w:jc w:val="right"/>
              <w:rPr>
                <w:rFonts w:asciiTheme="minorHAnsi" w:hAnsiTheme="minorHAnsi" w:cs="Arial"/>
                <w:b/>
                <w:bCs/>
                <w:spacing w:val="-2"/>
                <w:sz w:val="18"/>
                <w:szCs w:val="18"/>
                <w:lang w:val="hr-HR"/>
              </w:rPr>
            </w:pPr>
          </w:p>
        </w:tc>
        <w:tc>
          <w:tcPr>
            <w:tcW w:w="564" w:type="pct"/>
            <w:vAlign w:val="bottom"/>
          </w:tcPr>
          <w:p w:rsidR="00A35A84" w:rsidRPr="001567C8" w:rsidRDefault="00A35A84" w:rsidP="00F0295E">
            <w:pPr>
              <w:pStyle w:val="TT"/>
              <w:tabs>
                <w:tab w:val="clear" w:pos="1202"/>
              </w:tabs>
              <w:spacing w:line="220" w:lineRule="exact"/>
              <w:jc w:val="right"/>
              <w:rPr>
                <w:rFonts w:asciiTheme="minorHAnsi" w:hAnsiTheme="minorHAnsi" w:cs="Arial"/>
                <w:b/>
                <w:bCs/>
                <w:sz w:val="18"/>
                <w:szCs w:val="18"/>
                <w:lang w:val="hr-HR"/>
              </w:rPr>
            </w:pPr>
          </w:p>
        </w:tc>
      </w:tr>
      <w:tr w:rsidR="00A35A84" w:rsidRPr="001567C8" w:rsidTr="00442721">
        <w:trPr>
          <w:trHeight w:val="184"/>
        </w:trPr>
        <w:tc>
          <w:tcPr>
            <w:tcW w:w="1619" w:type="pct"/>
          </w:tcPr>
          <w:p w:rsidR="00A35A84" w:rsidRPr="001567C8" w:rsidRDefault="00A35A84" w:rsidP="00F0295E">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Obveze po depozitima</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251.822</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187</w:t>
            </w:r>
          </w:p>
        </w:tc>
        <w:tc>
          <w:tcPr>
            <w:tcW w:w="564"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171.291</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211.134</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10.307</w:t>
            </w:r>
          </w:p>
        </w:tc>
        <w:tc>
          <w:tcPr>
            <w:tcW w:w="564"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644.741</w:t>
            </w:r>
          </w:p>
        </w:tc>
      </w:tr>
      <w:tr w:rsidR="00A35A84" w:rsidRPr="001567C8" w:rsidTr="00442721">
        <w:trPr>
          <w:trHeight w:val="175"/>
        </w:trPr>
        <w:tc>
          <w:tcPr>
            <w:tcW w:w="1619" w:type="pct"/>
          </w:tcPr>
          <w:p w:rsidR="00A35A84" w:rsidRPr="001567C8" w:rsidRDefault="00A35A84" w:rsidP="00F0295E">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Obveze po kreditima</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168.310</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307.151</w:t>
            </w:r>
            <w:r w:rsidR="0045769E"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1.155.999</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3.853.447</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9.902.974</w:t>
            </w:r>
          </w:p>
        </w:tc>
        <w:tc>
          <w:tcPr>
            <w:tcW w:w="564"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15.387.881</w:t>
            </w:r>
          </w:p>
        </w:tc>
      </w:tr>
      <w:tr w:rsidR="00A35A84" w:rsidRPr="001567C8" w:rsidTr="00442721">
        <w:trPr>
          <w:trHeight w:val="359"/>
        </w:trPr>
        <w:tc>
          <w:tcPr>
            <w:tcW w:w="1619" w:type="pct"/>
          </w:tcPr>
          <w:p w:rsidR="00A35A84" w:rsidRPr="001567C8" w:rsidRDefault="00A35A84" w:rsidP="00F0295E">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Obveze za izdane dugoročne vrijednosne papire</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43.909</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1.117.790</w:t>
            </w:r>
          </w:p>
        </w:tc>
        <w:tc>
          <w:tcPr>
            <w:tcW w:w="563"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w:t>
            </w:r>
          </w:p>
        </w:tc>
        <w:tc>
          <w:tcPr>
            <w:tcW w:w="564" w:type="pct"/>
            <w:tcBorders>
              <w:top w:val="nil"/>
              <w:left w:val="nil"/>
              <w:bottom w:val="nil"/>
              <w:right w:val="nil"/>
            </w:tcBorders>
            <w:shd w:val="clear" w:color="auto" w:fill="auto"/>
            <w:vAlign w:val="bottom"/>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1.161.699</w:t>
            </w:r>
          </w:p>
        </w:tc>
      </w:tr>
      <w:tr w:rsidR="00A35A84" w:rsidRPr="001567C8" w:rsidTr="00442721">
        <w:trPr>
          <w:trHeight w:val="175"/>
        </w:trPr>
        <w:tc>
          <w:tcPr>
            <w:tcW w:w="1619" w:type="pct"/>
          </w:tcPr>
          <w:p w:rsidR="00A35A84" w:rsidRPr="001567C8" w:rsidRDefault="00A35A84" w:rsidP="00F0295E">
            <w:pPr>
              <w:pStyle w:val="TT"/>
              <w:spacing w:line="220" w:lineRule="exact"/>
              <w:rPr>
                <w:rFonts w:asciiTheme="minorHAnsi" w:hAnsiTheme="minorHAnsi" w:cs="Arial"/>
                <w:sz w:val="18"/>
                <w:szCs w:val="18"/>
                <w:lang w:val="hr-HR"/>
              </w:rPr>
            </w:pPr>
            <w:r w:rsidRPr="001567C8">
              <w:rPr>
                <w:rFonts w:asciiTheme="minorHAnsi" w:hAnsiTheme="minorHAnsi" w:cs="Arial"/>
                <w:spacing w:val="-2"/>
                <w:sz w:val="18"/>
                <w:szCs w:val="18"/>
                <w:lang w:val="hr-HR"/>
              </w:rPr>
              <w:t>Ostale obveze</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186.306</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22.257</w:t>
            </w:r>
          </w:p>
        </w:tc>
        <w:tc>
          <w:tcPr>
            <w:tcW w:w="564"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81.485</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152.731</w:t>
            </w:r>
          </w:p>
        </w:tc>
        <w:tc>
          <w:tcPr>
            <w:tcW w:w="563"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162.674</w:t>
            </w:r>
          </w:p>
        </w:tc>
        <w:tc>
          <w:tcPr>
            <w:tcW w:w="564" w:type="pct"/>
            <w:tcBorders>
              <w:top w:val="nil"/>
              <w:left w:val="nil"/>
              <w:bottom w:val="nil"/>
              <w:right w:val="nil"/>
            </w:tcBorders>
            <w:shd w:val="clear" w:color="auto" w:fill="auto"/>
          </w:tcPr>
          <w:p w:rsidR="00A35A84" w:rsidRPr="00CD3A2D" w:rsidRDefault="00A35A84" w:rsidP="00F0295E">
            <w:pPr>
              <w:jc w:val="right"/>
              <w:rPr>
                <w:rFonts w:ascii="Calibri" w:hAnsi="Calibri"/>
                <w:color w:val="000000"/>
                <w:sz w:val="18"/>
                <w:szCs w:val="18"/>
                <w:lang w:val="hr-HR"/>
              </w:rPr>
            </w:pPr>
            <w:r w:rsidRPr="00CD3A2D">
              <w:rPr>
                <w:rFonts w:ascii="Calibri" w:hAnsi="Calibri"/>
                <w:color w:val="000000"/>
                <w:sz w:val="18"/>
                <w:szCs w:val="18"/>
                <w:lang w:val="hr-HR"/>
              </w:rPr>
              <w:t>605.453</w:t>
            </w:r>
          </w:p>
        </w:tc>
      </w:tr>
      <w:tr w:rsidR="00A35A84" w:rsidRPr="001567C8" w:rsidTr="00442721">
        <w:trPr>
          <w:trHeight w:val="175"/>
        </w:trPr>
        <w:tc>
          <w:tcPr>
            <w:tcW w:w="1619" w:type="pct"/>
            <w:vAlign w:val="center"/>
          </w:tcPr>
          <w:p w:rsidR="00A35A84" w:rsidRPr="001567C8" w:rsidRDefault="00A35A84">
            <w:pPr>
              <w:pStyle w:val="Tot"/>
              <w:spacing w:line="220" w:lineRule="exact"/>
              <w:rPr>
                <w:rFonts w:asciiTheme="minorHAnsi" w:hAnsiTheme="minorHAnsi" w:cs="Arial"/>
                <w:b/>
                <w:bCs/>
                <w:sz w:val="18"/>
                <w:szCs w:val="18"/>
                <w:lang w:val="hr-HR"/>
              </w:rPr>
            </w:pPr>
            <w:r w:rsidRPr="001567C8">
              <w:rPr>
                <w:rFonts w:asciiTheme="minorHAnsi" w:hAnsiTheme="minorHAnsi" w:cs="Arial"/>
                <w:b/>
                <w:bCs/>
                <w:sz w:val="18"/>
                <w:szCs w:val="18"/>
                <w:lang w:val="hr-HR"/>
              </w:rPr>
              <w:t>Ukupne obveze</w:t>
            </w:r>
          </w:p>
        </w:tc>
        <w:tc>
          <w:tcPr>
            <w:tcW w:w="563" w:type="pct"/>
            <w:tcBorders>
              <w:top w:val="single" w:sz="4"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606.438</w:t>
            </w:r>
          </w:p>
        </w:tc>
        <w:tc>
          <w:tcPr>
            <w:tcW w:w="563" w:type="pct"/>
            <w:tcBorders>
              <w:top w:val="single" w:sz="4"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373.504</w:t>
            </w:r>
          </w:p>
        </w:tc>
        <w:tc>
          <w:tcPr>
            <w:tcW w:w="564" w:type="pct"/>
            <w:tcBorders>
              <w:top w:val="single" w:sz="4"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1.408.775</w:t>
            </w:r>
          </w:p>
        </w:tc>
        <w:tc>
          <w:tcPr>
            <w:tcW w:w="563" w:type="pct"/>
            <w:tcBorders>
              <w:top w:val="single" w:sz="4"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5.335.102</w:t>
            </w:r>
          </w:p>
        </w:tc>
        <w:tc>
          <w:tcPr>
            <w:tcW w:w="563" w:type="pct"/>
            <w:tcBorders>
              <w:top w:val="single" w:sz="4"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10.075.955</w:t>
            </w:r>
          </w:p>
        </w:tc>
        <w:tc>
          <w:tcPr>
            <w:tcW w:w="564" w:type="pct"/>
            <w:tcBorders>
              <w:top w:val="single" w:sz="4" w:space="0" w:color="auto"/>
              <w:left w:val="nil"/>
              <w:bottom w:val="single" w:sz="12" w:space="0" w:color="auto"/>
              <w:right w:val="nil"/>
            </w:tcBorders>
            <w:shd w:val="clear" w:color="auto" w:fill="auto"/>
            <w:vAlign w:val="center"/>
          </w:tcPr>
          <w:p w:rsidR="00A35A84" w:rsidRPr="00CD3A2D" w:rsidRDefault="00A35A84">
            <w:pPr>
              <w:jc w:val="right"/>
              <w:rPr>
                <w:rFonts w:ascii="Calibri" w:hAnsi="Calibri"/>
                <w:b/>
                <w:bCs/>
                <w:color w:val="000000"/>
                <w:sz w:val="18"/>
                <w:szCs w:val="18"/>
                <w:lang w:val="hr-HR"/>
              </w:rPr>
            </w:pPr>
            <w:r w:rsidRPr="00CD3A2D">
              <w:rPr>
                <w:rFonts w:ascii="Calibri" w:hAnsi="Calibri"/>
                <w:b/>
                <w:bCs/>
                <w:color w:val="000000"/>
                <w:sz w:val="18"/>
                <w:szCs w:val="18"/>
                <w:lang w:val="hr-HR"/>
              </w:rPr>
              <w:t>17.799.774</w:t>
            </w:r>
          </w:p>
        </w:tc>
      </w:tr>
      <w:tr w:rsidR="0045769E" w:rsidRPr="001567C8" w:rsidTr="00442721">
        <w:trPr>
          <w:trHeight w:val="287"/>
        </w:trPr>
        <w:tc>
          <w:tcPr>
            <w:tcW w:w="1619" w:type="pct"/>
            <w:vAlign w:val="bottom"/>
          </w:tcPr>
          <w:p w:rsidR="0045769E" w:rsidRPr="001567C8" w:rsidRDefault="0045769E">
            <w:pPr>
              <w:pStyle w:val="Tot"/>
              <w:spacing w:line="220" w:lineRule="exact"/>
              <w:rPr>
                <w:rFonts w:asciiTheme="minorHAnsi" w:hAnsiTheme="minorHAnsi" w:cs="Arial"/>
                <w:b/>
                <w:bCs/>
                <w:spacing w:val="-2"/>
                <w:sz w:val="18"/>
                <w:szCs w:val="18"/>
                <w:lang w:val="hr-HR"/>
              </w:rPr>
            </w:pPr>
            <w:r w:rsidRPr="001567C8">
              <w:rPr>
                <w:rFonts w:asciiTheme="minorHAnsi" w:hAnsiTheme="minorHAnsi" w:cs="Arial"/>
                <w:b/>
                <w:bCs/>
                <w:spacing w:val="-2"/>
                <w:sz w:val="18"/>
                <w:szCs w:val="18"/>
                <w:lang w:val="hr-HR"/>
              </w:rPr>
              <w:t>Likvidnosni jaz</w:t>
            </w:r>
          </w:p>
        </w:tc>
        <w:tc>
          <w:tcPr>
            <w:tcW w:w="563" w:type="pct"/>
            <w:tcBorders>
              <w:top w:val="single" w:sz="12" w:space="0" w:color="auto"/>
              <w:left w:val="nil"/>
              <w:bottom w:val="single" w:sz="12" w:space="0" w:color="auto"/>
              <w:right w:val="nil"/>
            </w:tcBorders>
            <w:shd w:val="clear" w:color="auto" w:fill="auto"/>
            <w:vAlign w:val="bottom"/>
          </w:tcPr>
          <w:p w:rsidR="0045769E" w:rsidRPr="00CD3A2D" w:rsidRDefault="0045769E">
            <w:pPr>
              <w:jc w:val="right"/>
              <w:rPr>
                <w:rFonts w:ascii="Calibri" w:hAnsi="Calibri"/>
                <w:b/>
                <w:bCs/>
                <w:color w:val="000000"/>
                <w:sz w:val="18"/>
                <w:szCs w:val="18"/>
                <w:lang w:val="hr-HR"/>
              </w:rPr>
            </w:pPr>
            <w:r w:rsidRPr="00CD3A2D">
              <w:rPr>
                <w:rFonts w:ascii="Calibri" w:hAnsi="Calibri"/>
                <w:b/>
                <w:bCs/>
                <w:color w:val="000000"/>
                <w:sz w:val="18"/>
                <w:szCs w:val="18"/>
                <w:lang w:val="hr-HR"/>
              </w:rPr>
              <w:t>6.702.033</w:t>
            </w:r>
          </w:p>
        </w:tc>
        <w:tc>
          <w:tcPr>
            <w:tcW w:w="563" w:type="pct"/>
            <w:tcBorders>
              <w:top w:val="single" w:sz="12" w:space="0" w:color="auto"/>
              <w:left w:val="nil"/>
              <w:bottom w:val="single" w:sz="12" w:space="0" w:color="auto"/>
              <w:right w:val="nil"/>
            </w:tcBorders>
            <w:shd w:val="clear" w:color="auto" w:fill="auto"/>
            <w:vAlign w:val="bottom"/>
          </w:tcPr>
          <w:p w:rsidR="0045769E" w:rsidRPr="00CD3A2D" w:rsidRDefault="0045769E">
            <w:pPr>
              <w:jc w:val="right"/>
              <w:rPr>
                <w:rFonts w:ascii="Calibri" w:hAnsi="Calibri"/>
                <w:b/>
                <w:bCs/>
                <w:color w:val="000000"/>
                <w:sz w:val="18"/>
                <w:szCs w:val="18"/>
                <w:lang w:val="hr-HR"/>
              </w:rPr>
            </w:pPr>
            <w:r w:rsidRPr="00CD3A2D">
              <w:rPr>
                <w:rFonts w:ascii="Calibri" w:hAnsi="Calibri"/>
                <w:b/>
                <w:bCs/>
                <w:color w:val="000000"/>
                <w:sz w:val="18"/>
                <w:szCs w:val="18"/>
                <w:lang w:val="hr-HR"/>
              </w:rPr>
              <w:t>456.026</w:t>
            </w:r>
          </w:p>
        </w:tc>
        <w:tc>
          <w:tcPr>
            <w:tcW w:w="564" w:type="pct"/>
            <w:tcBorders>
              <w:top w:val="single" w:sz="12" w:space="0" w:color="auto"/>
              <w:left w:val="nil"/>
              <w:bottom w:val="single" w:sz="12" w:space="0" w:color="auto"/>
              <w:right w:val="nil"/>
            </w:tcBorders>
            <w:shd w:val="clear" w:color="auto" w:fill="auto"/>
            <w:vAlign w:val="bottom"/>
          </w:tcPr>
          <w:p w:rsidR="0045769E" w:rsidRPr="00CD3A2D" w:rsidRDefault="0045769E">
            <w:pPr>
              <w:jc w:val="right"/>
              <w:rPr>
                <w:rFonts w:ascii="Calibri" w:hAnsi="Calibri"/>
                <w:b/>
                <w:bCs/>
                <w:color w:val="000000"/>
                <w:sz w:val="18"/>
                <w:szCs w:val="18"/>
                <w:lang w:val="hr-HR"/>
              </w:rPr>
            </w:pPr>
            <w:r w:rsidRPr="00CD3A2D">
              <w:rPr>
                <w:rFonts w:ascii="Calibri" w:hAnsi="Calibri"/>
                <w:b/>
                <w:bCs/>
                <w:color w:val="000000"/>
                <w:sz w:val="18"/>
                <w:szCs w:val="18"/>
                <w:lang w:val="hr-HR"/>
              </w:rPr>
              <w:t>850.149</w:t>
            </w:r>
          </w:p>
        </w:tc>
        <w:tc>
          <w:tcPr>
            <w:tcW w:w="563" w:type="pct"/>
            <w:tcBorders>
              <w:top w:val="single" w:sz="12" w:space="0" w:color="auto"/>
              <w:left w:val="nil"/>
              <w:bottom w:val="single" w:sz="12" w:space="0" w:color="auto"/>
              <w:right w:val="nil"/>
            </w:tcBorders>
            <w:shd w:val="clear" w:color="auto" w:fill="auto"/>
            <w:vAlign w:val="bottom"/>
          </w:tcPr>
          <w:p w:rsidR="0045769E" w:rsidRPr="00CD3A2D" w:rsidRDefault="0045769E">
            <w:pPr>
              <w:jc w:val="right"/>
              <w:rPr>
                <w:rFonts w:ascii="Calibri" w:hAnsi="Calibri"/>
                <w:b/>
                <w:bCs/>
                <w:color w:val="000000"/>
                <w:sz w:val="18"/>
                <w:szCs w:val="18"/>
                <w:lang w:val="hr-HR"/>
              </w:rPr>
            </w:pPr>
            <w:r w:rsidRPr="00CD3A2D">
              <w:rPr>
                <w:rFonts w:ascii="Calibri" w:hAnsi="Calibri"/>
                <w:b/>
                <w:bCs/>
                <w:color w:val="000000"/>
                <w:sz w:val="18"/>
                <w:szCs w:val="18"/>
                <w:lang w:val="hr-HR"/>
              </w:rPr>
              <w:t>(326.966)</w:t>
            </w:r>
          </w:p>
        </w:tc>
        <w:tc>
          <w:tcPr>
            <w:tcW w:w="563" w:type="pct"/>
            <w:tcBorders>
              <w:top w:val="single" w:sz="12" w:space="0" w:color="auto"/>
              <w:left w:val="nil"/>
              <w:bottom w:val="single" w:sz="12" w:space="0" w:color="auto"/>
              <w:right w:val="nil"/>
            </w:tcBorders>
            <w:shd w:val="clear" w:color="auto" w:fill="auto"/>
            <w:vAlign w:val="bottom"/>
          </w:tcPr>
          <w:p w:rsidR="0045769E" w:rsidRPr="00CD3A2D" w:rsidRDefault="0045769E">
            <w:pPr>
              <w:jc w:val="right"/>
              <w:rPr>
                <w:rFonts w:ascii="Calibri" w:hAnsi="Calibri"/>
                <w:b/>
                <w:bCs/>
                <w:color w:val="000000"/>
                <w:sz w:val="18"/>
                <w:szCs w:val="18"/>
                <w:lang w:val="hr-HR"/>
              </w:rPr>
            </w:pPr>
            <w:r w:rsidRPr="00CD3A2D">
              <w:rPr>
                <w:rFonts w:ascii="Calibri" w:hAnsi="Calibri"/>
                <w:b/>
                <w:bCs/>
                <w:color w:val="000000"/>
                <w:sz w:val="18"/>
                <w:szCs w:val="18"/>
                <w:lang w:val="hr-HR"/>
              </w:rPr>
              <w:t>2.594.545</w:t>
            </w:r>
          </w:p>
        </w:tc>
        <w:tc>
          <w:tcPr>
            <w:tcW w:w="564" w:type="pct"/>
            <w:tcBorders>
              <w:top w:val="single" w:sz="12" w:space="0" w:color="auto"/>
              <w:left w:val="nil"/>
              <w:bottom w:val="single" w:sz="12" w:space="0" w:color="auto"/>
              <w:right w:val="nil"/>
            </w:tcBorders>
            <w:shd w:val="clear" w:color="auto" w:fill="auto"/>
            <w:vAlign w:val="bottom"/>
          </w:tcPr>
          <w:p w:rsidR="0045769E" w:rsidRPr="00CD3A2D" w:rsidRDefault="0045769E">
            <w:pPr>
              <w:jc w:val="right"/>
              <w:rPr>
                <w:rFonts w:ascii="Calibri" w:hAnsi="Calibri"/>
                <w:b/>
                <w:bCs/>
                <w:color w:val="000000"/>
                <w:sz w:val="18"/>
                <w:szCs w:val="18"/>
                <w:lang w:val="hr-HR"/>
              </w:rPr>
            </w:pPr>
            <w:r w:rsidRPr="00CD3A2D">
              <w:rPr>
                <w:rFonts w:ascii="Calibri" w:hAnsi="Calibri"/>
                <w:b/>
                <w:bCs/>
                <w:color w:val="000000"/>
                <w:sz w:val="18"/>
                <w:szCs w:val="18"/>
                <w:lang w:val="hr-HR"/>
              </w:rPr>
              <w:t>10.275.787</w:t>
            </w:r>
          </w:p>
        </w:tc>
      </w:tr>
      <w:tr w:rsidR="00FF161B" w:rsidRPr="001567C8" w:rsidTr="00442721">
        <w:trPr>
          <w:trHeight w:val="287"/>
        </w:trPr>
        <w:tc>
          <w:tcPr>
            <w:tcW w:w="1619" w:type="pct"/>
            <w:vAlign w:val="bottom"/>
          </w:tcPr>
          <w:p w:rsidR="00FF161B" w:rsidRPr="001567C8" w:rsidRDefault="00FF161B" w:rsidP="0045769E">
            <w:pPr>
              <w:pStyle w:val="Tot"/>
              <w:spacing w:line="220" w:lineRule="exact"/>
              <w:rPr>
                <w:rFonts w:asciiTheme="minorHAnsi" w:hAnsiTheme="minorHAnsi" w:cs="Arial"/>
                <w:b/>
                <w:bCs/>
                <w:spacing w:val="-2"/>
                <w:sz w:val="18"/>
                <w:szCs w:val="18"/>
                <w:lang w:val="hr-HR"/>
              </w:rPr>
            </w:pPr>
          </w:p>
        </w:tc>
        <w:tc>
          <w:tcPr>
            <w:tcW w:w="563" w:type="pct"/>
            <w:tcBorders>
              <w:left w:val="nil"/>
              <w:right w:val="nil"/>
            </w:tcBorders>
            <w:shd w:val="clear" w:color="auto" w:fill="auto"/>
            <w:vAlign w:val="bottom"/>
          </w:tcPr>
          <w:p w:rsidR="00FF161B" w:rsidRPr="00CD3A2D" w:rsidRDefault="00FF161B" w:rsidP="0045769E">
            <w:pPr>
              <w:jc w:val="right"/>
              <w:rPr>
                <w:rFonts w:ascii="Calibri" w:hAnsi="Calibri"/>
                <w:b/>
                <w:bCs/>
                <w:color w:val="000000"/>
                <w:sz w:val="18"/>
                <w:szCs w:val="18"/>
                <w:lang w:val="hr-HR"/>
              </w:rPr>
            </w:pPr>
          </w:p>
        </w:tc>
        <w:tc>
          <w:tcPr>
            <w:tcW w:w="563" w:type="pct"/>
            <w:tcBorders>
              <w:left w:val="nil"/>
              <w:right w:val="nil"/>
            </w:tcBorders>
            <w:shd w:val="clear" w:color="auto" w:fill="auto"/>
            <w:vAlign w:val="bottom"/>
          </w:tcPr>
          <w:p w:rsidR="00FF161B" w:rsidRPr="00CD3A2D" w:rsidRDefault="00FF161B" w:rsidP="0045769E">
            <w:pPr>
              <w:jc w:val="right"/>
              <w:rPr>
                <w:rFonts w:ascii="Calibri" w:hAnsi="Calibri"/>
                <w:b/>
                <w:bCs/>
                <w:color w:val="000000"/>
                <w:sz w:val="18"/>
                <w:szCs w:val="18"/>
                <w:lang w:val="hr-HR"/>
              </w:rPr>
            </w:pPr>
          </w:p>
        </w:tc>
        <w:tc>
          <w:tcPr>
            <w:tcW w:w="564" w:type="pct"/>
            <w:tcBorders>
              <w:left w:val="nil"/>
              <w:right w:val="nil"/>
            </w:tcBorders>
            <w:shd w:val="clear" w:color="auto" w:fill="auto"/>
            <w:vAlign w:val="bottom"/>
          </w:tcPr>
          <w:p w:rsidR="00FF161B" w:rsidRPr="00CD3A2D" w:rsidRDefault="00FF161B" w:rsidP="0045769E">
            <w:pPr>
              <w:jc w:val="right"/>
              <w:rPr>
                <w:rFonts w:ascii="Calibri" w:hAnsi="Calibri"/>
                <w:b/>
                <w:bCs/>
                <w:color w:val="000000"/>
                <w:sz w:val="18"/>
                <w:szCs w:val="18"/>
                <w:lang w:val="hr-HR"/>
              </w:rPr>
            </w:pPr>
          </w:p>
        </w:tc>
        <w:tc>
          <w:tcPr>
            <w:tcW w:w="563" w:type="pct"/>
            <w:tcBorders>
              <w:left w:val="nil"/>
              <w:right w:val="nil"/>
            </w:tcBorders>
            <w:shd w:val="clear" w:color="auto" w:fill="auto"/>
            <w:vAlign w:val="bottom"/>
          </w:tcPr>
          <w:p w:rsidR="00FF161B" w:rsidRPr="00CD3A2D" w:rsidRDefault="00FF161B" w:rsidP="0045769E">
            <w:pPr>
              <w:jc w:val="right"/>
              <w:rPr>
                <w:rFonts w:ascii="Calibri" w:hAnsi="Calibri"/>
                <w:b/>
                <w:bCs/>
                <w:color w:val="000000"/>
                <w:sz w:val="18"/>
                <w:szCs w:val="18"/>
                <w:lang w:val="hr-HR"/>
              </w:rPr>
            </w:pPr>
          </w:p>
        </w:tc>
        <w:tc>
          <w:tcPr>
            <w:tcW w:w="563" w:type="pct"/>
            <w:tcBorders>
              <w:left w:val="nil"/>
              <w:right w:val="nil"/>
            </w:tcBorders>
            <w:shd w:val="clear" w:color="auto" w:fill="auto"/>
            <w:vAlign w:val="bottom"/>
          </w:tcPr>
          <w:p w:rsidR="00FF161B" w:rsidRPr="00CD3A2D" w:rsidRDefault="00FF161B" w:rsidP="0045769E">
            <w:pPr>
              <w:jc w:val="right"/>
              <w:rPr>
                <w:rFonts w:ascii="Calibri" w:hAnsi="Calibri"/>
                <w:b/>
                <w:bCs/>
                <w:color w:val="000000"/>
                <w:sz w:val="18"/>
                <w:szCs w:val="18"/>
                <w:lang w:val="hr-HR"/>
              </w:rPr>
            </w:pPr>
          </w:p>
        </w:tc>
        <w:tc>
          <w:tcPr>
            <w:tcW w:w="564" w:type="pct"/>
            <w:tcBorders>
              <w:left w:val="nil"/>
              <w:right w:val="nil"/>
            </w:tcBorders>
            <w:shd w:val="clear" w:color="auto" w:fill="auto"/>
            <w:vAlign w:val="bottom"/>
          </w:tcPr>
          <w:p w:rsidR="00FF161B" w:rsidRPr="00CD3A2D" w:rsidRDefault="00FF161B" w:rsidP="0045769E">
            <w:pPr>
              <w:jc w:val="right"/>
              <w:rPr>
                <w:rFonts w:ascii="Calibri" w:hAnsi="Calibri"/>
                <w:b/>
                <w:bCs/>
                <w:color w:val="000000"/>
                <w:sz w:val="18"/>
                <w:szCs w:val="18"/>
                <w:lang w:val="hr-HR"/>
              </w:rPr>
            </w:pPr>
          </w:p>
        </w:tc>
      </w:tr>
      <w:tr w:rsidR="0017610D" w:rsidRPr="001567C8" w:rsidTr="00442721">
        <w:trPr>
          <w:trHeight w:val="272"/>
        </w:trPr>
        <w:tc>
          <w:tcPr>
            <w:tcW w:w="1619" w:type="pct"/>
            <w:tcBorders>
              <w:top w:val="nil"/>
              <w:left w:val="nil"/>
              <w:bottom w:val="nil"/>
              <w:right w:val="nil"/>
            </w:tcBorders>
            <w:shd w:val="clear" w:color="auto" w:fill="auto"/>
            <w:vAlign w:val="bottom"/>
          </w:tcPr>
          <w:p w:rsidR="00FF161B" w:rsidRPr="001567C8" w:rsidRDefault="00FF161B">
            <w:pPr>
              <w:pStyle w:val="Tot"/>
              <w:spacing w:line="220" w:lineRule="exact"/>
              <w:rPr>
                <w:rFonts w:asciiTheme="minorHAnsi" w:hAnsiTheme="minorHAnsi" w:cs="Arial"/>
                <w:b/>
                <w:bCs/>
                <w:spacing w:val="-2"/>
                <w:sz w:val="18"/>
                <w:szCs w:val="18"/>
                <w:lang w:val="hr-HR"/>
              </w:rPr>
            </w:pPr>
            <w:r w:rsidRPr="00CD3A2D">
              <w:rPr>
                <w:rFonts w:ascii="Calibri" w:hAnsi="Calibri" w:cs="Calibri"/>
                <w:b/>
                <w:bCs/>
                <w:color w:val="000000"/>
                <w:sz w:val="18"/>
                <w:szCs w:val="18"/>
                <w:lang w:val="hr-HR"/>
              </w:rPr>
              <w:t>Garancije i preuzete obveze</w:t>
            </w:r>
          </w:p>
        </w:tc>
        <w:tc>
          <w:tcPr>
            <w:tcW w:w="563" w:type="pct"/>
            <w:tcBorders>
              <w:top w:val="nil"/>
              <w:left w:val="nil"/>
              <w:bottom w:val="nil"/>
              <w:right w:val="nil"/>
            </w:tcBorders>
            <w:shd w:val="clear" w:color="auto" w:fill="auto"/>
            <w:vAlign w:val="bottom"/>
          </w:tcPr>
          <w:p w:rsidR="00FF161B" w:rsidRPr="00CD3A2D" w:rsidRDefault="00FF161B">
            <w:pPr>
              <w:jc w:val="right"/>
              <w:rPr>
                <w:rFonts w:ascii="Calibri" w:hAnsi="Calibri"/>
                <w:b/>
                <w:bCs/>
                <w:color w:val="000000"/>
                <w:sz w:val="18"/>
                <w:szCs w:val="18"/>
                <w:lang w:val="hr-HR"/>
              </w:rPr>
            </w:pPr>
          </w:p>
        </w:tc>
        <w:tc>
          <w:tcPr>
            <w:tcW w:w="563" w:type="pct"/>
            <w:tcBorders>
              <w:top w:val="nil"/>
              <w:left w:val="nil"/>
              <w:bottom w:val="nil"/>
              <w:right w:val="nil"/>
            </w:tcBorders>
            <w:shd w:val="clear" w:color="auto" w:fill="auto"/>
            <w:vAlign w:val="bottom"/>
          </w:tcPr>
          <w:p w:rsidR="00FF161B" w:rsidRPr="00CD3A2D" w:rsidRDefault="00FF161B">
            <w:pPr>
              <w:jc w:val="right"/>
              <w:rPr>
                <w:rFonts w:ascii="Calibri" w:hAnsi="Calibri"/>
                <w:b/>
                <w:bCs/>
                <w:color w:val="000000"/>
                <w:sz w:val="18"/>
                <w:szCs w:val="18"/>
                <w:lang w:val="hr-HR"/>
              </w:rPr>
            </w:pPr>
          </w:p>
        </w:tc>
        <w:tc>
          <w:tcPr>
            <w:tcW w:w="564" w:type="pct"/>
            <w:tcBorders>
              <w:top w:val="nil"/>
              <w:left w:val="nil"/>
              <w:bottom w:val="nil"/>
              <w:right w:val="nil"/>
            </w:tcBorders>
            <w:shd w:val="clear" w:color="auto" w:fill="auto"/>
            <w:vAlign w:val="bottom"/>
          </w:tcPr>
          <w:p w:rsidR="00FF161B" w:rsidRPr="00CD3A2D" w:rsidRDefault="00FF161B">
            <w:pPr>
              <w:jc w:val="right"/>
              <w:rPr>
                <w:rFonts w:ascii="Calibri" w:hAnsi="Calibri"/>
                <w:b/>
                <w:bCs/>
                <w:color w:val="000000"/>
                <w:sz w:val="18"/>
                <w:szCs w:val="18"/>
                <w:lang w:val="hr-HR"/>
              </w:rPr>
            </w:pPr>
          </w:p>
        </w:tc>
        <w:tc>
          <w:tcPr>
            <w:tcW w:w="563" w:type="pct"/>
            <w:tcBorders>
              <w:top w:val="nil"/>
              <w:left w:val="nil"/>
              <w:bottom w:val="nil"/>
              <w:right w:val="nil"/>
            </w:tcBorders>
            <w:shd w:val="clear" w:color="auto" w:fill="auto"/>
            <w:vAlign w:val="bottom"/>
          </w:tcPr>
          <w:p w:rsidR="00FF161B" w:rsidRPr="00CD3A2D" w:rsidRDefault="00FF161B">
            <w:pPr>
              <w:jc w:val="right"/>
              <w:rPr>
                <w:rFonts w:ascii="Calibri" w:hAnsi="Calibri"/>
                <w:b/>
                <w:bCs/>
                <w:color w:val="000000"/>
                <w:sz w:val="18"/>
                <w:szCs w:val="18"/>
                <w:lang w:val="hr-HR"/>
              </w:rPr>
            </w:pPr>
          </w:p>
        </w:tc>
        <w:tc>
          <w:tcPr>
            <w:tcW w:w="563" w:type="pct"/>
            <w:tcBorders>
              <w:top w:val="nil"/>
              <w:left w:val="nil"/>
              <w:bottom w:val="nil"/>
              <w:right w:val="nil"/>
            </w:tcBorders>
            <w:shd w:val="clear" w:color="auto" w:fill="auto"/>
            <w:vAlign w:val="bottom"/>
          </w:tcPr>
          <w:p w:rsidR="00FF161B" w:rsidRPr="00CD3A2D" w:rsidRDefault="00FF161B">
            <w:pPr>
              <w:jc w:val="right"/>
              <w:rPr>
                <w:rFonts w:ascii="Calibri" w:hAnsi="Calibri"/>
                <w:b/>
                <w:bCs/>
                <w:color w:val="000000"/>
                <w:sz w:val="18"/>
                <w:szCs w:val="18"/>
                <w:lang w:val="hr-HR"/>
              </w:rPr>
            </w:pPr>
          </w:p>
        </w:tc>
        <w:tc>
          <w:tcPr>
            <w:tcW w:w="564" w:type="pct"/>
            <w:tcBorders>
              <w:top w:val="nil"/>
              <w:left w:val="nil"/>
              <w:bottom w:val="nil"/>
              <w:right w:val="nil"/>
            </w:tcBorders>
            <w:shd w:val="clear" w:color="auto" w:fill="auto"/>
            <w:vAlign w:val="bottom"/>
          </w:tcPr>
          <w:p w:rsidR="00FF161B" w:rsidRPr="00CD3A2D" w:rsidRDefault="00FF161B">
            <w:pPr>
              <w:jc w:val="right"/>
              <w:rPr>
                <w:rFonts w:ascii="Calibri" w:hAnsi="Calibri"/>
                <w:b/>
                <w:bCs/>
                <w:color w:val="000000"/>
                <w:sz w:val="18"/>
                <w:szCs w:val="18"/>
                <w:lang w:val="hr-HR"/>
              </w:rPr>
            </w:pPr>
          </w:p>
        </w:tc>
      </w:tr>
      <w:tr w:rsidR="001C1341" w:rsidRPr="001567C8" w:rsidTr="00043BBB">
        <w:trPr>
          <w:trHeight w:val="272"/>
        </w:trPr>
        <w:tc>
          <w:tcPr>
            <w:tcW w:w="1619" w:type="pct"/>
            <w:tcBorders>
              <w:top w:val="nil"/>
              <w:left w:val="nil"/>
              <w:bottom w:val="nil"/>
              <w:right w:val="nil"/>
            </w:tcBorders>
            <w:shd w:val="clear" w:color="auto" w:fill="auto"/>
            <w:vAlign w:val="bottom"/>
          </w:tcPr>
          <w:p w:rsidR="001C1341" w:rsidRPr="001567C8" w:rsidRDefault="001C1341" w:rsidP="001C1341">
            <w:pPr>
              <w:pStyle w:val="Tot"/>
              <w:spacing w:line="220" w:lineRule="exact"/>
              <w:rPr>
                <w:rFonts w:asciiTheme="minorHAnsi" w:hAnsiTheme="minorHAnsi" w:cs="Arial"/>
                <w:b/>
                <w:bCs/>
                <w:spacing w:val="-2"/>
                <w:sz w:val="18"/>
                <w:szCs w:val="18"/>
                <w:lang w:val="hr-HR"/>
              </w:rPr>
            </w:pPr>
            <w:r w:rsidRPr="00CD3A2D">
              <w:rPr>
                <w:rFonts w:ascii="Calibri" w:hAnsi="Calibri" w:cs="Calibri"/>
                <w:color w:val="000000"/>
                <w:sz w:val="18"/>
                <w:szCs w:val="18"/>
                <w:lang w:val="hr-HR"/>
              </w:rPr>
              <w:t>Izdane garancije u kunama</w:t>
            </w:r>
          </w:p>
        </w:tc>
        <w:tc>
          <w:tcPr>
            <w:tcW w:w="563"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33</w:t>
            </w:r>
            <w:r w:rsidR="00173C60">
              <w:rPr>
                <w:rFonts w:ascii="Calibri" w:hAnsi="Calibri"/>
                <w:bCs/>
                <w:color w:val="000000"/>
                <w:sz w:val="18"/>
                <w:szCs w:val="18"/>
                <w:lang w:val="hr-HR"/>
              </w:rPr>
              <w:t>.</w:t>
            </w:r>
            <w:r w:rsidRPr="00CD3A2D">
              <w:rPr>
                <w:rFonts w:ascii="Calibri" w:hAnsi="Calibri"/>
                <w:bCs/>
                <w:color w:val="000000"/>
                <w:sz w:val="18"/>
                <w:szCs w:val="18"/>
                <w:lang w:val="hr-HR"/>
              </w:rPr>
              <w:t>993</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33</w:t>
            </w:r>
            <w:r w:rsidR="00173C60">
              <w:rPr>
                <w:rFonts w:ascii="Calibri" w:hAnsi="Calibri"/>
                <w:bCs/>
                <w:color w:val="000000"/>
                <w:sz w:val="18"/>
                <w:szCs w:val="18"/>
                <w:lang w:val="hr-HR"/>
              </w:rPr>
              <w:t>.</w:t>
            </w:r>
            <w:r w:rsidRPr="00CD3A2D">
              <w:rPr>
                <w:rFonts w:ascii="Calibri" w:hAnsi="Calibri"/>
                <w:bCs/>
                <w:color w:val="000000"/>
                <w:sz w:val="18"/>
                <w:szCs w:val="18"/>
                <w:lang w:val="hr-HR"/>
              </w:rPr>
              <w:t>993</w:t>
            </w:r>
          </w:p>
        </w:tc>
      </w:tr>
      <w:tr w:rsidR="001C1341" w:rsidRPr="001567C8" w:rsidTr="00043BBB">
        <w:trPr>
          <w:trHeight w:val="272"/>
        </w:trPr>
        <w:tc>
          <w:tcPr>
            <w:tcW w:w="1619" w:type="pct"/>
            <w:tcBorders>
              <w:top w:val="nil"/>
              <w:left w:val="nil"/>
              <w:bottom w:val="nil"/>
              <w:right w:val="nil"/>
            </w:tcBorders>
            <w:shd w:val="clear" w:color="auto" w:fill="auto"/>
            <w:vAlign w:val="bottom"/>
          </w:tcPr>
          <w:p w:rsidR="001C1341" w:rsidRPr="001567C8" w:rsidRDefault="001C1341" w:rsidP="001C1341">
            <w:pPr>
              <w:pStyle w:val="Tot"/>
              <w:spacing w:line="220" w:lineRule="exact"/>
              <w:rPr>
                <w:rFonts w:asciiTheme="minorHAnsi" w:hAnsiTheme="minorHAnsi" w:cs="Arial"/>
                <w:b/>
                <w:bCs/>
                <w:spacing w:val="-2"/>
                <w:sz w:val="18"/>
                <w:szCs w:val="18"/>
                <w:lang w:val="hr-HR"/>
              </w:rPr>
            </w:pPr>
            <w:r w:rsidRPr="00CD3A2D">
              <w:rPr>
                <w:rFonts w:ascii="Calibri" w:hAnsi="Calibri" w:cs="Calibri"/>
                <w:color w:val="000000"/>
                <w:sz w:val="18"/>
                <w:szCs w:val="18"/>
                <w:lang w:val="hr-HR"/>
              </w:rPr>
              <w:t>Izdane garancije u devizama</w:t>
            </w:r>
          </w:p>
        </w:tc>
        <w:tc>
          <w:tcPr>
            <w:tcW w:w="563"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446</w:t>
            </w:r>
            <w:r w:rsidR="00173C60">
              <w:rPr>
                <w:rFonts w:ascii="Calibri" w:hAnsi="Calibri"/>
                <w:bCs/>
                <w:color w:val="000000"/>
                <w:sz w:val="18"/>
                <w:szCs w:val="18"/>
                <w:lang w:val="hr-HR"/>
              </w:rPr>
              <w:t>.</w:t>
            </w:r>
            <w:r w:rsidRPr="00CD3A2D">
              <w:rPr>
                <w:rFonts w:ascii="Calibri" w:hAnsi="Calibri"/>
                <w:bCs/>
                <w:color w:val="000000"/>
                <w:sz w:val="18"/>
                <w:szCs w:val="18"/>
                <w:lang w:val="hr-HR"/>
              </w:rPr>
              <w:t>324</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446</w:t>
            </w:r>
            <w:r w:rsidR="00173C60">
              <w:rPr>
                <w:rFonts w:ascii="Calibri" w:hAnsi="Calibri"/>
                <w:bCs/>
                <w:color w:val="000000"/>
                <w:sz w:val="18"/>
                <w:szCs w:val="18"/>
                <w:lang w:val="hr-HR"/>
              </w:rPr>
              <w:t>.</w:t>
            </w:r>
            <w:r w:rsidRPr="00CD3A2D">
              <w:rPr>
                <w:rFonts w:ascii="Calibri" w:hAnsi="Calibri"/>
                <w:bCs/>
                <w:color w:val="000000"/>
                <w:sz w:val="18"/>
                <w:szCs w:val="18"/>
                <w:lang w:val="hr-HR"/>
              </w:rPr>
              <w:t>324</w:t>
            </w:r>
          </w:p>
        </w:tc>
      </w:tr>
      <w:tr w:rsidR="001C1341" w:rsidRPr="001567C8" w:rsidTr="00043BBB">
        <w:trPr>
          <w:trHeight w:val="272"/>
        </w:trPr>
        <w:tc>
          <w:tcPr>
            <w:tcW w:w="1619" w:type="pct"/>
            <w:tcBorders>
              <w:top w:val="nil"/>
              <w:left w:val="nil"/>
              <w:bottom w:val="nil"/>
              <w:right w:val="nil"/>
            </w:tcBorders>
            <w:shd w:val="clear" w:color="auto" w:fill="auto"/>
            <w:vAlign w:val="bottom"/>
          </w:tcPr>
          <w:p w:rsidR="001C1341" w:rsidRPr="001567C8" w:rsidRDefault="001C1341" w:rsidP="001C1341">
            <w:pPr>
              <w:pStyle w:val="Tot"/>
              <w:spacing w:line="220" w:lineRule="exact"/>
              <w:rPr>
                <w:rFonts w:asciiTheme="minorHAnsi" w:hAnsiTheme="minorHAnsi" w:cs="Arial"/>
                <w:b/>
                <w:bCs/>
                <w:spacing w:val="-2"/>
                <w:sz w:val="18"/>
                <w:szCs w:val="18"/>
                <w:lang w:val="hr-HR"/>
              </w:rPr>
            </w:pPr>
            <w:r w:rsidRPr="00CD3A2D">
              <w:rPr>
                <w:rFonts w:ascii="Calibri" w:hAnsi="Calibri" w:cs="Calibri"/>
                <w:color w:val="000000"/>
                <w:sz w:val="18"/>
                <w:szCs w:val="18"/>
                <w:lang w:val="hr-HR"/>
              </w:rPr>
              <w:t>Preuzete obveze po kreditima</w:t>
            </w:r>
          </w:p>
        </w:tc>
        <w:tc>
          <w:tcPr>
            <w:tcW w:w="563"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986</w:t>
            </w:r>
            <w:r w:rsidR="00173C60">
              <w:rPr>
                <w:rFonts w:ascii="Calibri" w:hAnsi="Calibri"/>
                <w:bCs/>
                <w:color w:val="000000"/>
                <w:sz w:val="18"/>
                <w:szCs w:val="18"/>
                <w:lang w:val="hr-HR"/>
              </w:rPr>
              <w:t>.</w:t>
            </w:r>
            <w:r w:rsidRPr="00CD3A2D">
              <w:rPr>
                <w:rFonts w:ascii="Calibri" w:hAnsi="Calibri"/>
                <w:bCs/>
                <w:color w:val="000000"/>
                <w:sz w:val="18"/>
                <w:szCs w:val="18"/>
                <w:lang w:val="hr-HR"/>
              </w:rPr>
              <w:t>798</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986</w:t>
            </w:r>
            <w:r w:rsidR="00173C60">
              <w:rPr>
                <w:rFonts w:ascii="Calibri" w:hAnsi="Calibri"/>
                <w:bCs/>
                <w:color w:val="000000"/>
                <w:sz w:val="18"/>
                <w:szCs w:val="18"/>
                <w:lang w:val="hr-HR"/>
              </w:rPr>
              <w:t>.</w:t>
            </w:r>
            <w:r w:rsidRPr="00CD3A2D">
              <w:rPr>
                <w:rFonts w:ascii="Calibri" w:hAnsi="Calibri"/>
                <w:bCs/>
                <w:color w:val="000000"/>
                <w:sz w:val="18"/>
                <w:szCs w:val="18"/>
                <w:lang w:val="hr-HR"/>
              </w:rPr>
              <w:t>798</w:t>
            </w:r>
          </w:p>
        </w:tc>
      </w:tr>
      <w:tr w:rsidR="001C1341" w:rsidRPr="001567C8" w:rsidTr="00043BBB">
        <w:trPr>
          <w:trHeight w:val="272"/>
        </w:trPr>
        <w:tc>
          <w:tcPr>
            <w:tcW w:w="1619" w:type="pct"/>
            <w:tcBorders>
              <w:top w:val="nil"/>
              <w:left w:val="nil"/>
              <w:bottom w:val="nil"/>
              <w:right w:val="nil"/>
            </w:tcBorders>
            <w:shd w:val="clear" w:color="auto" w:fill="auto"/>
            <w:vAlign w:val="bottom"/>
          </w:tcPr>
          <w:p w:rsidR="001C1341" w:rsidRPr="00CD3A2D" w:rsidRDefault="001C1341" w:rsidP="001C1341">
            <w:pPr>
              <w:pStyle w:val="Tot"/>
              <w:spacing w:line="220" w:lineRule="exact"/>
              <w:rPr>
                <w:rFonts w:ascii="Calibri" w:hAnsi="Calibri" w:cs="Calibri"/>
                <w:color w:val="000000"/>
                <w:sz w:val="18"/>
                <w:szCs w:val="18"/>
                <w:lang w:val="hr-HR"/>
              </w:rPr>
            </w:pPr>
            <w:r w:rsidRPr="00CD3A2D">
              <w:rPr>
                <w:rFonts w:ascii="Calibri" w:hAnsi="Calibri" w:cs="Calibri"/>
                <w:color w:val="000000"/>
                <w:sz w:val="18"/>
                <w:szCs w:val="18"/>
                <w:lang w:val="hr-HR"/>
              </w:rPr>
              <w:t>Upisani a neuplaćeni kapital EIF-a</w:t>
            </w:r>
          </w:p>
        </w:tc>
        <w:tc>
          <w:tcPr>
            <w:tcW w:w="563"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48</w:t>
            </w:r>
            <w:r w:rsidR="00173C60">
              <w:rPr>
                <w:rFonts w:ascii="Calibri" w:hAnsi="Calibri" w:cs="Calibri"/>
                <w:color w:val="000000"/>
                <w:sz w:val="18"/>
                <w:szCs w:val="18"/>
                <w:lang w:val="hr-HR"/>
              </w:rPr>
              <w:t>.</w:t>
            </w:r>
            <w:r w:rsidRPr="00CD3A2D">
              <w:rPr>
                <w:rFonts w:ascii="Calibri" w:hAnsi="Calibri" w:cs="Calibri"/>
                <w:color w:val="000000"/>
                <w:sz w:val="18"/>
                <w:szCs w:val="18"/>
                <w:lang w:val="hr-HR"/>
              </w:rPr>
              <w:t>088</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48</w:t>
            </w:r>
            <w:r w:rsidR="00173C60">
              <w:rPr>
                <w:rFonts w:ascii="Calibri" w:hAnsi="Calibri" w:cs="Calibri"/>
                <w:color w:val="000000"/>
                <w:sz w:val="18"/>
                <w:szCs w:val="18"/>
                <w:lang w:val="hr-HR"/>
              </w:rPr>
              <w:t>.</w:t>
            </w:r>
            <w:r w:rsidRPr="00CD3A2D">
              <w:rPr>
                <w:rFonts w:ascii="Calibri" w:hAnsi="Calibri" w:cs="Calibri"/>
                <w:color w:val="000000"/>
                <w:sz w:val="18"/>
                <w:szCs w:val="18"/>
                <w:lang w:val="hr-HR"/>
              </w:rPr>
              <w:t>088</w:t>
            </w:r>
          </w:p>
        </w:tc>
      </w:tr>
      <w:tr w:rsidR="001C1341" w:rsidRPr="001567C8" w:rsidTr="00043BBB">
        <w:trPr>
          <w:trHeight w:val="272"/>
        </w:trPr>
        <w:tc>
          <w:tcPr>
            <w:tcW w:w="1619" w:type="pct"/>
            <w:tcBorders>
              <w:top w:val="nil"/>
              <w:left w:val="nil"/>
              <w:bottom w:val="nil"/>
              <w:right w:val="nil"/>
            </w:tcBorders>
            <w:shd w:val="clear" w:color="auto" w:fill="auto"/>
            <w:vAlign w:val="bottom"/>
          </w:tcPr>
          <w:p w:rsidR="001C1341" w:rsidRPr="00CD3A2D" w:rsidRDefault="001C1341" w:rsidP="001C1341">
            <w:pPr>
              <w:pStyle w:val="Tot"/>
              <w:spacing w:line="220" w:lineRule="exact"/>
              <w:rPr>
                <w:rFonts w:ascii="Calibri" w:hAnsi="Calibri" w:cs="Calibri"/>
                <w:color w:val="000000"/>
                <w:sz w:val="18"/>
                <w:szCs w:val="18"/>
                <w:lang w:val="hr-HR"/>
              </w:rPr>
            </w:pPr>
            <w:r w:rsidRPr="00CD3A2D">
              <w:rPr>
                <w:rFonts w:ascii="Calibri" w:hAnsi="Calibri" w:cs="Calibri"/>
                <w:color w:val="000000"/>
                <w:sz w:val="18"/>
                <w:szCs w:val="18"/>
                <w:lang w:val="hr-HR"/>
              </w:rPr>
              <w:t>Ostale nespomenute neopozive potencijalne obveze</w:t>
            </w:r>
          </w:p>
        </w:tc>
        <w:tc>
          <w:tcPr>
            <w:tcW w:w="563"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335</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335</w:t>
            </w:r>
          </w:p>
        </w:tc>
      </w:tr>
      <w:tr w:rsidR="001C1341" w:rsidRPr="001567C8" w:rsidTr="00043BBB">
        <w:trPr>
          <w:trHeight w:val="272"/>
        </w:trPr>
        <w:tc>
          <w:tcPr>
            <w:tcW w:w="1619" w:type="pct"/>
            <w:tcBorders>
              <w:top w:val="nil"/>
              <w:left w:val="nil"/>
              <w:bottom w:val="nil"/>
              <w:right w:val="nil"/>
            </w:tcBorders>
            <w:shd w:val="clear" w:color="auto" w:fill="auto"/>
            <w:vAlign w:val="bottom"/>
          </w:tcPr>
          <w:p w:rsidR="001C1341" w:rsidRPr="001567C8" w:rsidRDefault="001C1341" w:rsidP="001C1341">
            <w:pPr>
              <w:pStyle w:val="Tot"/>
              <w:spacing w:line="220" w:lineRule="exact"/>
              <w:rPr>
                <w:rFonts w:asciiTheme="minorHAnsi" w:hAnsiTheme="minorHAnsi" w:cs="Arial"/>
                <w:b/>
                <w:bCs/>
                <w:spacing w:val="-2"/>
                <w:sz w:val="18"/>
                <w:szCs w:val="18"/>
                <w:lang w:val="hr-HR"/>
              </w:rPr>
            </w:pPr>
            <w:r w:rsidRPr="00CD3A2D">
              <w:rPr>
                <w:rFonts w:ascii="Calibri" w:hAnsi="Calibri" w:cs="Calibri"/>
                <w:b/>
                <w:bCs/>
                <w:color w:val="000000"/>
                <w:sz w:val="18"/>
                <w:szCs w:val="18"/>
                <w:lang w:val="hr-HR"/>
              </w:rPr>
              <w:t>Ukupne garancije i preuzete obveze</w:t>
            </w:r>
          </w:p>
        </w:tc>
        <w:tc>
          <w:tcPr>
            <w:tcW w:w="563" w:type="pct"/>
            <w:tcBorders>
              <w:top w:val="single" w:sz="4" w:space="0" w:color="auto"/>
              <w:left w:val="nil"/>
              <w:bottom w:val="single" w:sz="12" w:space="0" w:color="auto"/>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
                <w:bCs/>
                <w:color w:val="000000"/>
                <w:sz w:val="18"/>
                <w:szCs w:val="18"/>
                <w:lang w:val="hr-HR"/>
              </w:rPr>
              <w:t>5</w:t>
            </w:r>
            <w:r w:rsidR="00173C60">
              <w:rPr>
                <w:rFonts w:ascii="Calibri" w:hAnsi="Calibri"/>
                <w:b/>
                <w:bCs/>
                <w:color w:val="000000"/>
                <w:sz w:val="18"/>
                <w:szCs w:val="18"/>
                <w:lang w:val="hr-HR"/>
              </w:rPr>
              <w:t>.</w:t>
            </w:r>
            <w:r w:rsidRPr="00CD3A2D">
              <w:rPr>
                <w:rFonts w:ascii="Calibri" w:hAnsi="Calibri"/>
                <w:b/>
                <w:bCs/>
                <w:color w:val="000000"/>
                <w:sz w:val="18"/>
                <w:szCs w:val="18"/>
                <w:lang w:val="hr-HR"/>
              </w:rPr>
              <w:t>515</w:t>
            </w:r>
            <w:r w:rsidR="00173C60">
              <w:rPr>
                <w:rFonts w:ascii="Calibri" w:hAnsi="Calibri"/>
                <w:b/>
                <w:bCs/>
                <w:color w:val="000000"/>
                <w:sz w:val="18"/>
                <w:szCs w:val="18"/>
                <w:lang w:val="hr-HR"/>
              </w:rPr>
              <w:t>.</w:t>
            </w:r>
            <w:r w:rsidRPr="00CD3A2D">
              <w:rPr>
                <w:rFonts w:ascii="Calibri" w:hAnsi="Calibri"/>
                <w:b/>
                <w:bCs/>
                <w:color w:val="000000"/>
                <w:sz w:val="18"/>
                <w:szCs w:val="18"/>
                <w:lang w:val="hr-HR"/>
              </w:rPr>
              <w:t>538</w:t>
            </w:r>
          </w:p>
        </w:tc>
        <w:tc>
          <w:tcPr>
            <w:tcW w:w="563" w:type="pct"/>
            <w:tcBorders>
              <w:top w:val="single" w:sz="4" w:space="0" w:color="auto"/>
              <w:left w:val="nil"/>
              <w:bottom w:val="single" w:sz="12" w:space="0" w:color="auto"/>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single" w:sz="4" w:space="0" w:color="auto"/>
              <w:left w:val="nil"/>
              <w:bottom w:val="single" w:sz="12" w:space="0" w:color="auto"/>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single" w:sz="4" w:space="0" w:color="auto"/>
              <w:left w:val="nil"/>
              <w:bottom w:val="single" w:sz="12" w:space="0" w:color="auto"/>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3" w:type="pct"/>
            <w:tcBorders>
              <w:top w:val="single" w:sz="4" w:space="0" w:color="auto"/>
              <w:left w:val="nil"/>
              <w:bottom w:val="single" w:sz="12" w:space="0" w:color="auto"/>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64" w:type="pct"/>
            <w:tcBorders>
              <w:top w:val="single" w:sz="4" w:space="0" w:color="auto"/>
              <w:left w:val="nil"/>
              <w:bottom w:val="single" w:sz="12" w:space="0" w:color="auto"/>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
                <w:bCs/>
                <w:color w:val="000000"/>
                <w:sz w:val="18"/>
                <w:szCs w:val="18"/>
                <w:lang w:val="hr-HR"/>
              </w:rPr>
              <w:t>5</w:t>
            </w:r>
            <w:r w:rsidR="00173C60">
              <w:rPr>
                <w:rFonts w:ascii="Calibri" w:hAnsi="Calibri"/>
                <w:b/>
                <w:bCs/>
                <w:color w:val="000000"/>
                <w:sz w:val="18"/>
                <w:szCs w:val="18"/>
                <w:lang w:val="hr-HR"/>
              </w:rPr>
              <w:t>.</w:t>
            </w:r>
            <w:r w:rsidRPr="00CD3A2D">
              <w:rPr>
                <w:rFonts w:ascii="Calibri" w:hAnsi="Calibri"/>
                <w:b/>
                <w:bCs/>
                <w:color w:val="000000"/>
                <w:sz w:val="18"/>
                <w:szCs w:val="18"/>
                <w:lang w:val="hr-HR"/>
              </w:rPr>
              <w:t>515</w:t>
            </w:r>
            <w:r w:rsidR="00173C60">
              <w:rPr>
                <w:rFonts w:ascii="Calibri" w:hAnsi="Calibri"/>
                <w:b/>
                <w:bCs/>
                <w:color w:val="000000"/>
                <w:sz w:val="18"/>
                <w:szCs w:val="18"/>
                <w:lang w:val="hr-HR"/>
              </w:rPr>
              <w:t>.</w:t>
            </w:r>
            <w:r w:rsidRPr="00CD3A2D">
              <w:rPr>
                <w:rFonts w:ascii="Calibri" w:hAnsi="Calibri"/>
                <w:b/>
                <w:bCs/>
                <w:color w:val="000000"/>
                <w:sz w:val="18"/>
                <w:szCs w:val="18"/>
                <w:lang w:val="hr-HR"/>
              </w:rPr>
              <w:t>538</w:t>
            </w:r>
          </w:p>
        </w:tc>
      </w:tr>
    </w:tbl>
    <w:p w:rsidR="005A46E9" w:rsidRPr="001567C8" w:rsidRDefault="005A46E9" w:rsidP="006533FB">
      <w:pPr>
        <w:pStyle w:val="T1"/>
        <w:spacing w:before="0" w:after="0" w:line="240" w:lineRule="auto"/>
        <w:rPr>
          <w:rFonts w:asciiTheme="minorHAnsi" w:hAnsiTheme="minorHAnsi" w:cs="Arial"/>
          <w:sz w:val="22"/>
          <w:szCs w:val="22"/>
          <w:lang w:val="hr-HR"/>
        </w:rPr>
      </w:pPr>
    </w:p>
    <w:p w:rsidR="008825F1" w:rsidRPr="001567C8" w:rsidRDefault="008825F1" w:rsidP="006533FB">
      <w:pPr>
        <w:pStyle w:val="accountingpolicytitle"/>
        <w:rPr>
          <w:rFonts w:asciiTheme="minorHAnsi" w:hAnsiTheme="minorHAnsi" w:cs="Arial"/>
          <w:b w:val="0"/>
          <w:bCs/>
          <w:sz w:val="20"/>
          <w:lang w:val="hr-HR"/>
        </w:rPr>
      </w:pPr>
      <w:r w:rsidRPr="001567C8">
        <w:rPr>
          <w:rFonts w:asciiTheme="minorHAnsi" w:hAnsiTheme="minorHAnsi" w:cs="Arial"/>
          <w:b w:val="0"/>
          <w:bCs/>
          <w:sz w:val="20"/>
          <w:lang w:val="hr-HR"/>
        </w:rPr>
        <w:t>Stavke s neodređenim dospijećem iskazane su u razdoblju preko 3 godine.</w:t>
      </w:r>
    </w:p>
    <w:p w:rsidR="006533FB" w:rsidRPr="001567C8" w:rsidRDefault="006533FB" w:rsidP="006533FB">
      <w:pPr>
        <w:pStyle w:val="accountingpolicytitle"/>
        <w:rPr>
          <w:rFonts w:asciiTheme="minorHAnsi" w:hAnsiTheme="minorHAnsi" w:cs="Arial"/>
          <w:b w:val="0"/>
          <w:bCs/>
          <w:sz w:val="20"/>
          <w:lang w:val="hr-HR"/>
        </w:rPr>
      </w:pPr>
    </w:p>
    <w:p w:rsidR="00BE43DC" w:rsidRPr="001567C8" w:rsidRDefault="00BE43DC" w:rsidP="00BE43DC">
      <w:pPr>
        <w:pStyle w:val="accountingpolicytitle"/>
        <w:ind w:right="141"/>
        <w:rPr>
          <w:rFonts w:asciiTheme="minorHAnsi" w:hAnsiTheme="minorHAnsi"/>
          <w:b w:val="0"/>
          <w:i/>
          <w:sz w:val="20"/>
          <w:lang w:val="hr-HR"/>
        </w:rPr>
      </w:pPr>
      <w:r w:rsidRPr="001567C8">
        <w:rPr>
          <w:rFonts w:asciiTheme="minorHAnsi" w:hAnsiTheme="minorHAnsi"/>
          <w:b w:val="0"/>
          <w:i/>
          <w:sz w:val="20"/>
          <w:lang w:val="hr-HR"/>
        </w:rPr>
        <w:t>*</w:t>
      </w:r>
      <w:r w:rsidR="0045769E" w:rsidRPr="001567C8">
        <w:rPr>
          <w:rFonts w:asciiTheme="minorHAnsi" w:hAnsiTheme="minorHAnsi"/>
          <w:b w:val="0"/>
          <w:i/>
          <w:sz w:val="20"/>
          <w:lang w:val="hr-HR"/>
        </w:rPr>
        <w:t xml:space="preserve"> </w:t>
      </w:r>
      <w:r w:rsidR="00A35A84" w:rsidRPr="001567C8">
        <w:rPr>
          <w:rFonts w:asciiTheme="minorHAnsi" w:hAnsiTheme="minorHAnsi"/>
          <w:b w:val="0"/>
          <w:i/>
          <w:sz w:val="20"/>
          <w:lang w:val="hr-HR"/>
        </w:rPr>
        <w:t>Potraživanje u iznosu od 236.400 tisuća kuna odnosi se na obrnute repo poslove. Kako je dio iznosa potraživanja produžen nakon datuma Izvještaja o financijskom položaju njegovo dospijeće iskazano je u razdoblju od 3 mjeseca do 1 godine u iznosu od 150.000 tisuća kuna</w:t>
      </w:r>
      <w:r w:rsidRPr="001567C8">
        <w:rPr>
          <w:rFonts w:asciiTheme="minorHAnsi" w:hAnsiTheme="minorHAnsi"/>
          <w:b w:val="0"/>
          <w:i/>
          <w:sz w:val="20"/>
          <w:lang w:val="hr-HR"/>
        </w:rPr>
        <w:t xml:space="preserve">. </w:t>
      </w:r>
    </w:p>
    <w:p w:rsidR="00A35A84" w:rsidRPr="001567C8" w:rsidRDefault="00A35A84" w:rsidP="00BE43DC">
      <w:pPr>
        <w:pStyle w:val="accountingpolicytitle"/>
        <w:ind w:right="141"/>
        <w:rPr>
          <w:rFonts w:asciiTheme="minorHAnsi" w:hAnsiTheme="minorHAnsi"/>
          <w:b w:val="0"/>
          <w:i/>
          <w:sz w:val="20"/>
          <w:lang w:val="hr-HR"/>
        </w:rPr>
      </w:pPr>
      <w:r w:rsidRPr="001567C8">
        <w:rPr>
          <w:rFonts w:asciiTheme="minorHAnsi" w:hAnsiTheme="minorHAnsi"/>
          <w:b w:val="0"/>
          <w:i/>
          <w:sz w:val="20"/>
          <w:lang w:val="hr-HR"/>
        </w:rPr>
        <w:t>*</w:t>
      </w:r>
      <w:r w:rsidR="0045769E" w:rsidRPr="001567C8">
        <w:rPr>
          <w:rFonts w:asciiTheme="minorHAnsi" w:hAnsiTheme="minorHAnsi"/>
          <w:b w:val="0"/>
          <w:i/>
          <w:sz w:val="20"/>
          <w:lang w:val="hr-HR"/>
        </w:rPr>
        <w:t>* Obračunata nedospjela kamata po kreditima raspoređena je u kategoriji od 1 do 3 mjeseci.</w:t>
      </w:r>
    </w:p>
    <w:p w:rsidR="0014698E" w:rsidRPr="001567C8" w:rsidRDefault="0014698E" w:rsidP="006533FB">
      <w:pPr>
        <w:pStyle w:val="accountingpolicytitle"/>
        <w:ind w:right="-142"/>
        <w:rPr>
          <w:rFonts w:asciiTheme="minorHAnsi" w:hAnsiTheme="minorHAnsi"/>
          <w:b w:val="0"/>
          <w:i/>
          <w:sz w:val="20"/>
          <w:lang w:val="hr-HR"/>
        </w:rPr>
        <w:sectPr w:rsidR="0014698E" w:rsidRPr="001567C8" w:rsidSect="0077198A">
          <w:pgSz w:w="11907" w:h="16840" w:code="9"/>
          <w:pgMar w:top="1418" w:right="1275" w:bottom="1134" w:left="1418" w:header="851" w:footer="851" w:gutter="0"/>
          <w:cols w:space="720"/>
          <w:noEndnote/>
        </w:sectPr>
      </w:pPr>
    </w:p>
    <w:p w:rsidR="005B3463" w:rsidRPr="001567C8" w:rsidRDefault="005B3463" w:rsidP="00C4703D">
      <w:pPr>
        <w:pStyle w:val="T1"/>
        <w:spacing w:before="0" w:after="0" w:line="240" w:lineRule="auto"/>
        <w:rPr>
          <w:rFonts w:asciiTheme="minorHAnsi" w:hAnsiTheme="minorHAnsi" w:cs="Arial"/>
          <w:sz w:val="22"/>
          <w:szCs w:val="22"/>
          <w:lang w:val="hr-HR"/>
        </w:rPr>
      </w:pPr>
    </w:p>
    <w:p w:rsidR="00C204AA" w:rsidRPr="001567C8" w:rsidRDefault="00283175" w:rsidP="006533F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0F75B2" w:rsidRPr="001567C8">
        <w:rPr>
          <w:rFonts w:asciiTheme="minorHAnsi" w:hAnsiTheme="minorHAnsi" w:cs="Arial"/>
          <w:sz w:val="22"/>
          <w:szCs w:val="22"/>
          <w:lang w:val="hr-HR"/>
        </w:rPr>
        <w:t>6</w:t>
      </w:r>
      <w:r w:rsidR="00C204AA" w:rsidRPr="001567C8">
        <w:rPr>
          <w:rFonts w:asciiTheme="minorHAnsi" w:hAnsiTheme="minorHAnsi" w:cs="Arial"/>
          <w:sz w:val="22"/>
          <w:szCs w:val="22"/>
          <w:lang w:val="hr-HR"/>
        </w:rPr>
        <w:t>.</w:t>
      </w:r>
      <w:r w:rsidR="00C204AA" w:rsidRPr="001567C8">
        <w:rPr>
          <w:rFonts w:asciiTheme="minorHAnsi" w:hAnsiTheme="minorHAnsi" w:cs="Arial"/>
          <w:sz w:val="22"/>
          <w:szCs w:val="22"/>
          <w:lang w:val="hr-HR"/>
        </w:rPr>
        <w:tab/>
        <w:t>Upravljanje rizicima (nastavak)</w:t>
      </w:r>
    </w:p>
    <w:p w:rsidR="006533FB" w:rsidRPr="00CD3A2D" w:rsidRDefault="006533FB" w:rsidP="006533FB">
      <w:pPr>
        <w:pStyle w:val="T1"/>
        <w:spacing w:before="0" w:after="0" w:line="240" w:lineRule="auto"/>
        <w:rPr>
          <w:rFonts w:asciiTheme="minorHAnsi" w:hAnsiTheme="minorHAnsi" w:cs="Arial"/>
          <w:sz w:val="18"/>
          <w:szCs w:val="18"/>
          <w:lang w:val="hr-HR"/>
        </w:rPr>
      </w:pPr>
    </w:p>
    <w:p w:rsidR="00096E9B" w:rsidRPr="001567C8" w:rsidRDefault="00283175" w:rsidP="006533F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0F75B2" w:rsidRPr="001567C8">
        <w:rPr>
          <w:rFonts w:asciiTheme="minorHAnsi" w:hAnsiTheme="minorHAnsi" w:cs="Arial"/>
          <w:sz w:val="22"/>
          <w:szCs w:val="22"/>
          <w:lang w:val="hr-HR"/>
        </w:rPr>
        <w:t>6</w:t>
      </w:r>
      <w:r w:rsidR="00C204AA"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4</w:t>
      </w:r>
      <w:r w:rsidR="00C204AA" w:rsidRPr="001567C8">
        <w:rPr>
          <w:rFonts w:asciiTheme="minorHAnsi" w:hAnsiTheme="minorHAnsi" w:cs="Arial"/>
          <w:sz w:val="22"/>
          <w:szCs w:val="22"/>
          <w:lang w:val="hr-HR"/>
        </w:rPr>
        <w:t xml:space="preserve">. </w:t>
      </w:r>
      <w:r w:rsidR="00C204AA" w:rsidRPr="001567C8">
        <w:rPr>
          <w:rFonts w:asciiTheme="minorHAnsi" w:hAnsiTheme="minorHAnsi" w:cs="Arial"/>
          <w:sz w:val="22"/>
          <w:szCs w:val="22"/>
          <w:lang w:val="hr-HR"/>
        </w:rPr>
        <w:tab/>
        <w:t>Rizik likvidnosti (nastavak)</w:t>
      </w:r>
    </w:p>
    <w:p w:rsidR="006533FB" w:rsidRPr="001567C8" w:rsidRDefault="006533FB" w:rsidP="006533FB">
      <w:pPr>
        <w:tabs>
          <w:tab w:val="left" w:pos="-720"/>
        </w:tabs>
        <w:suppressAutoHyphens/>
        <w:jc w:val="both"/>
        <w:rPr>
          <w:rFonts w:asciiTheme="minorHAnsi" w:hAnsiTheme="minorHAnsi" w:cs="Arial"/>
          <w:sz w:val="22"/>
          <w:szCs w:val="22"/>
          <w:lang w:val="hr-HR"/>
        </w:rPr>
      </w:pPr>
    </w:p>
    <w:p w:rsidR="00336C25" w:rsidRPr="001567C8" w:rsidRDefault="00C204AA" w:rsidP="00B263A4">
      <w:pPr>
        <w:tabs>
          <w:tab w:val="left" w:pos="-720"/>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 xml:space="preserve">Iznos ukupne </w:t>
      </w:r>
      <w:r w:rsidR="008D6072" w:rsidRPr="001567C8">
        <w:rPr>
          <w:rFonts w:asciiTheme="minorHAnsi" w:hAnsiTheme="minorHAnsi" w:cs="Arial"/>
          <w:sz w:val="22"/>
          <w:szCs w:val="22"/>
          <w:lang w:val="hr-HR"/>
        </w:rPr>
        <w:t>imovine</w:t>
      </w:r>
      <w:r w:rsidR="00C00CC9" w:rsidRPr="001567C8">
        <w:rPr>
          <w:rFonts w:asciiTheme="minorHAnsi" w:hAnsiTheme="minorHAnsi" w:cs="Arial"/>
          <w:sz w:val="22"/>
          <w:szCs w:val="22"/>
          <w:lang w:val="hr-HR"/>
        </w:rPr>
        <w:t>,</w:t>
      </w:r>
      <w:r w:rsidRPr="001567C8">
        <w:rPr>
          <w:rFonts w:asciiTheme="minorHAnsi" w:hAnsiTheme="minorHAnsi" w:cs="Arial"/>
          <w:sz w:val="22"/>
          <w:szCs w:val="22"/>
          <w:lang w:val="hr-HR"/>
        </w:rPr>
        <w:t xml:space="preserve"> </w:t>
      </w:r>
      <w:r w:rsidR="00045F0A" w:rsidRPr="001567C8">
        <w:rPr>
          <w:rFonts w:asciiTheme="minorHAnsi" w:hAnsiTheme="minorHAnsi" w:cs="Arial"/>
          <w:sz w:val="22"/>
          <w:szCs w:val="22"/>
          <w:lang w:val="hr-HR"/>
        </w:rPr>
        <w:t xml:space="preserve">ukupnih </w:t>
      </w:r>
      <w:r w:rsidR="008D6072" w:rsidRPr="001567C8">
        <w:rPr>
          <w:rFonts w:asciiTheme="minorHAnsi" w:hAnsiTheme="minorHAnsi" w:cs="Arial"/>
          <w:sz w:val="22"/>
          <w:szCs w:val="22"/>
          <w:lang w:val="hr-HR"/>
        </w:rPr>
        <w:t>obveza</w:t>
      </w:r>
      <w:r w:rsidR="00C14073" w:rsidRPr="001567C8">
        <w:rPr>
          <w:rFonts w:asciiTheme="minorHAnsi" w:hAnsiTheme="minorHAnsi" w:cs="Arial"/>
          <w:sz w:val="22"/>
          <w:szCs w:val="22"/>
          <w:lang w:val="hr-HR"/>
        </w:rPr>
        <w:t xml:space="preserve"> </w:t>
      </w:r>
      <w:r w:rsidR="00C00CC9" w:rsidRPr="001567C8">
        <w:rPr>
          <w:rFonts w:asciiTheme="minorHAnsi" w:hAnsiTheme="minorHAnsi" w:cs="Arial"/>
          <w:sz w:val="22"/>
          <w:szCs w:val="22"/>
          <w:lang w:val="hr-HR"/>
        </w:rPr>
        <w:t xml:space="preserve">i garancija i preuzetih obveza </w:t>
      </w:r>
      <w:r w:rsidRPr="001567C8">
        <w:rPr>
          <w:rFonts w:asciiTheme="minorHAnsi" w:hAnsiTheme="minorHAnsi" w:cs="Arial"/>
          <w:sz w:val="22"/>
          <w:szCs w:val="22"/>
          <w:lang w:val="hr-HR"/>
        </w:rPr>
        <w:t xml:space="preserve">na dan </w:t>
      </w:r>
      <w:r w:rsidR="008770A1" w:rsidRPr="001567C8">
        <w:rPr>
          <w:rFonts w:asciiTheme="minorHAnsi" w:hAnsiTheme="minorHAnsi" w:cs="Arial"/>
          <w:sz w:val="22"/>
          <w:szCs w:val="22"/>
          <w:lang w:val="hr-HR"/>
        </w:rPr>
        <w:t>31. prosinca 201</w:t>
      </w:r>
      <w:r w:rsidR="00C1257D" w:rsidRPr="001567C8">
        <w:rPr>
          <w:rFonts w:asciiTheme="minorHAnsi" w:hAnsiTheme="minorHAnsi" w:cs="Arial"/>
          <w:sz w:val="22"/>
          <w:szCs w:val="22"/>
          <w:lang w:val="hr-HR"/>
        </w:rPr>
        <w:t>8</w:t>
      </w:r>
      <w:r w:rsidR="008770A1" w:rsidRPr="001567C8">
        <w:rPr>
          <w:rFonts w:asciiTheme="minorHAnsi" w:hAnsiTheme="minorHAnsi" w:cs="Arial"/>
          <w:sz w:val="22"/>
          <w:szCs w:val="22"/>
          <w:lang w:val="hr-HR"/>
        </w:rPr>
        <w:t>. i 31. prosinca 201</w:t>
      </w:r>
      <w:r w:rsidR="00C1257D" w:rsidRPr="001567C8">
        <w:rPr>
          <w:rFonts w:asciiTheme="minorHAnsi" w:hAnsiTheme="minorHAnsi" w:cs="Arial"/>
          <w:sz w:val="22"/>
          <w:szCs w:val="22"/>
          <w:lang w:val="hr-HR"/>
        </w:rPr>
        <w:t>7</w:t>
      </w:r>
      <w:r w:rsidRPr="001567C8">
        <w:rPr>
          <w:rFonts w:asciiTheme="minorHAnsi" w:hAnsiTheme="minorHAnsi" w:cs="Arial"/>
          <w:sz w:val="22"/>
          <w:szCs w:val="22"/>
          <w:lang w:val="hr-HR"/>
        </w:rPr>
        <w:t xml:space="preserve">. godine analiziran je kroz preostalo razdoblje od dana </w:t>
      </w:r>
      <w:r w:rsidR="006716CB" w:rsidRPr="001567C8">
        <w:rPr>
          <w:rFonts w:asciiTheme="minorHAnsi" w:hAnsiTheme="minorHAnsi" w:cs="Arial"/>
          <w:sz w:val="22"/>
          <w:szCs w:val="22"/>
          <w:lang w:val="hr-HR"/>
        </w:rPr>
        <w:t>Izvještaja o financijskom položaju</w:t>
      </w:r>
      <w:r w:rsidRPr="001567C8">
        <w:rPr>
          <w:rFonts w:asciiTheme="minorHAnsi" w:hAnsiTheme="minorHAnsi" w:cs="Arial"/>
          <w:sz w:val="22"/>
          <w:szCs w:val="22"/>
          <w:lang w:val="hr-HR"/>
        </w:rPr>
        <w:t xml:space="preserve"> u odnosu na ugovoreni datum dospijeća kako slijedi:</w:t>
      </w:r>
    </w:p>
    <w:p w:rsidR="001B5C49" w:rsidRPr="00CD3A2D" w:rsidRDefault="001B5C49" w:rsidP="00B263A4">
      <w:pPr>
        <w:tabs>
          <w:tab w:val="left" w:pos="-720"/>
        </w:tabs>
        <w:suppressAutoHyphens/>
        <w:jc w:val="both"/>
        <w:rPr>
          <w:rFonts w:asciiTheme="minorHAnsi" w:hAnsiTheme="minorHAnsi" w:cs="Arial"/>
          <w:sz w:val="18"/>
          <w:szCs w:val="18"/>
          <w:lang w:val="hr-HR"/>
        </w:rPr>
      </w:pPr>
    </w:p>
    <w:tbl>
      <w:tblPr>
        <w:tblW w:w="5385" w:type="pct"/>
        <w:tblInd w:w="-142" w:type="dxa"/>
        <w:tblLayout w:type="fixed"/>
        <w:tblCellMar>
          <w:left w:w="120" w:type="dxa"/>
          <w:right w:w="120" w:type="dxa"/>
        </w:tblCellMar>
        <w:tblLook w:val="0000" w:firstRow="0" w:lastRow="0" w:firstColumn="0" w:lastColumn="0" w:noHBand="0" w:noVBand="0"/>
      </w:tblPr>
      <w:tblGrid>
        <w:gridCol w:w="3019"/>
        <w:gridCol w:w="1095"/>
        <w:gridCol w:w="1175"/>
        <w:gridCol w:w="1135"/>
        <w:gridCol w:w="1131"/>
        <w:gridCol w:w="1274"/>
        <w:gridCol w:w="1094"/>
      </w:tblGrid>
      <w:tr w:rsidR="00DC6A16" w:rsidRPr="001567C8" w:rsidTr="003C6BA3">
        <w:trPr>
          <w:trHeight w:val="665"/>
        </w:trPr>
        <w:tc>
          <w:tcPr>
            <w:tcW w:w="1521" w:type="pct"/>
          </w:tcPr>
          <w:p w:rsidR="00DC6A16" w:rsidRPr="00CD3A2D" w:rsidRDefault="00DC6A16">
            <w:pPr>
              <w:tabs>
                <w:tab w:val="right" w:pos="1202"/>
              </w:tabs>
              <w:spacing w:line="240" w:lineRule="exact"/>
              <w:outlineLvl w:val="0"/>
              <w:rPr>
                <w:rFonts w:ascii="Calibri" w:hAnsi="Calibri" w:cs="Arial"/>
                <w:b/>
                <w:sz w:val="18"/>
                <w:szCs w:val="18"/>
                <w:lang w:val="hr-HR"/>
              </w:rPr>
            </w:pPr>
            <w:r w:rsidRPr="00CD3A2D">
              <w:rPr>
                <w:rFonts w:ascii="Calibri" w:hAnsi="Calibri" w:cs="Arial"/>
                <w:b/>
                <w:sz w:val="18"/>
                <w:szCs w:val="18"/>
                <w:lang w:val="hr-HR"/>
              </w:rPr>
              <w:t>Banka</w:t>
            </w:r>
          </w:p>
          <w:p w:rsidR="00DC6A16" w:rsidRPr="00CD3A2D" w:rsidRDefault="00AD2EF7">
            <w:pPr>
              <w:tabs>
                <w:tab w:val="right" w:pos="1202"/>
              </w:tabs>
              <w:spacing w:line="240" w:lineRule="exact"/>
              <w:outlineLvl w:val="0"/>
              <w:rPr>
                <w:rFonts w:ascii="Calibri" w:hAnsi="Calibri" w:cs="Arial"/>
                <w:b/>
                <w:sz w:val="18"/>
                <w:szCs w:val="18"/>
                <w:lang w:val="hr-HR"/>
              </w:rPr>
            </w:pPr>
            <w:r>
              <w:rPr>
                <w:rFonts w:ascii="Calibri" w:hAnsi="Calibri" w:cs="Arial"/>
                <w:b/>
                <w:sz w:val="18"/>
                <w:szCs w:val="18"/>
                <w:lang w:val="hr-HR"/>
              </w:rPr>
              <w:t>31. prosin</w:t>
            </w:r>
            <w:r w:rsidR="0073283D" w:rsidRPr="00CD3A2D">
              <w:rPr>
                <w:rFonts w:ascii="Calibri" w:hAnsi="Calibri" w:cs="Arial"/>
                <w:b/>
                <w:sz w:val="18"/>
                <w:szCs w:val="18"/>
                <w:lang w:val="hr-HR"/>
              </w:rPr>
              <w:t>c</w:t>
            </w:r>
            <w:r>
              <w:rPr>
                <w:rFonts w:ascii="Calibri" w:hAnsi="Calibri" w:cs="Arial"/>
                <w:b/>
                <w:sz w:val="18"/>
                <w:szCs w:val="18"/>
                <w:lang w:val="hr-HR"/>
              </w:rPr>
              <w:t>a</w:t>
            </w:r>
            <w:r w:rsidR="0073283D" w:rsidRPr="00CD3A2D">
              <w:rPr>
                <w:rFonts w:ascii="Calibri" w:hAnsi="Calibri" w:cs="Arial"/>
                <w:b/>
                <w:sz w:val="18"/>
                <w:szCs w:val="18"/>
                <w:lang w:val="hr-HR"/>
              </w:rPr>
              <w:t xml:space="preserve"> </w:t>
            </w:r>
            <w:r w:rsidR="00DC6A16" w:rsidRPr="00CD3A2D">
              <w:rPr>
                <w:rFonts w:ascii="Calibri" w:hAnsi="Calibri" w:cs="Arial"/>
                <w:b/>
                <w:sz w:val="18"/>
                <w:szCs w:val="18"/>
                <w:lang w:val="hr-HR"/>
              </w:rPr>
              <w:t xml:space="preserve">2018. </w:t>
            </w:r>
            <w:r w:rsidR="007C5023" w:rsidRPr="00CD3A2D">
              <w:rPr>
                <w:rFonts w:ascii="Calibri" w:hAnsi="Calibri" w:cs="Arial"/>
                <w:b/>
                <w:sz w:val="18"/>
                <w:szCs w:val="18"/>
                <w:lang w:val="hr-HR"/>
              </w:rPr>
              <w:t xml:space="preserve"> godina</w:t>
            </w:r>
          </w:p>
        </w:tc>
        <w:tc>
          <w:tcPr>
            <w:tcW w:w="552" w:type="pct"/>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sz w:val="18"/>
                <w:szCs w:val="18"/>
                <w:lang w:val="hr-HR"/>
              </w:rPr>
              <w:t>Do 1 mjesec</w:t>
            </w:r>
          </w:p>
        </w:tc>
        <w:tc>
          <w:tcPr>
            <w:tcW w:w="592" w:type="pct"/>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sz w:val="18"/>
                <w:szCs w:val="18"/>
                <w:lang w:val="hr-HR"/>
              </w:rPr>
              <w:t>1 do 3 mjeseca</w:t>
            </w:r>
          </w:p>
        </w:tc>
        <w:tc>
          <w:tcPr>
            <w:tcW w:w="572" w:type="pct"/>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sz w:val="18"/>
                <w:szCs w:val="18"/>
                <w:lang w:val="hr-HR"/>
              </w:rPr>
              <w:t>3 mj. do 1 godine</w:t>
            </w:r>
          </w:p>
        </w:tc>
        <w:tc>
          <w:tcPr>
            <w:tcW w:w="570" w:type="pct"/>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sz w:val="18"/>
                <w:szCs w:val="18"/>
                <w:lang w:val="hr-HR"/>
              </w:rPr>
              <w:t>1 do 3 godina</w:t>
            </w:r>
          </w:p>
        </w:tc>
        <w:tc>
          <w:tcPr>
            <w:tcW w:w="642" w:type="pct"/>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sz w:val="18"/>
                <w:szCs w:val="18"/>
                <w:lang w:val="hr-HR"/>
              </w:rPr>
              <w:t>Preko 3 godine</w:t>
            </w:r>
          </w:p>
        </w:tc>
        <w:tc>
          <w:tcPr>
            <w:tcW w:w="551" w:type="pct"/>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sz w:val="18"/>
                <w:szCs w:val="18"/>
                <w:lang w:val="hr-HR"/>
              </w:rPr>
              <w:t>Ukupno</w:t>
            </w:r>
          </w:p>
        </w:tc>
      </w:tr>
      <w:tr w:rsidR="00DC6A16" w:rsidRPr="001567C8" w:rsidTr="00DC6A16">
        <w:trPr>
          <w:trHeight w:val="158"/>
        </w:trPr>
        <w:tc>
          <w:tcPr>
            <w:tcW w:w="1521" w:type="pct"/>
          </w:tcPr>
          <w:p w:rsidR="00DC6A16" w:rsidRPr="00CD3A2D" w:rsidRDefault="00DC6A16" w:rsidP="00DC6A16">
            <w:pPr>
              <w:tabs>
                <w:tab w:val="left" w:pos="-720"/>
              </w:tabs>
              <w:suppressAutoHyphens/>
              <w:spacing w:line="240" w:lineRule="exact"/>
              <w:jc w:val="center"/>
              <w:rPr>
                <w:rFonts w:ascii="Calibri" w:hAnsi="Calibri" w:cs="Arial"/>
                <w:b/>
                <w:spacing w:val="-2"/>
                <w:sz w:val="18"/>
                <w:szCs w:val="18"/>
                <w:lang w:val="hr-HR"/>
              </w:rPr>
            </w:pPr>
          </w:p>
        </w:tc>
        <w:tc>
          <w:tcPr>
            <w:tcW w:w="552" w:type="pct"/>
            <w:vAlign w:val="bottom"/>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bCs/>
                <w:sz w:val="18"/>
                <w:szCs w:val="18"/>
                <w:lang w:val="hr-HR"/>
              </w:rPr>
              <w:t>000 kuna</w:t>
            </w:r>
          </w:p>
        </w:tc>
        <w:tc>
          <w:tcPr>
            <w:tcW w:w="592" w:type="pct"/>
            <w:vAlign w:val="bottom"/>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bCs/>
                <w:sz w:val="18"/>
                <w:szCs w:val="18"/>
                <w:lang w:val="hr-HR"/>
              </w:rPr>
              <w:t>000 kuna</w:t>
            </w:r>
          </w:p>
        </w:tc>
        <w:tc>
          <w:tcPr>
            <w:tcW w:w="572" w:type="pct"/>
            <w:vAlign w:val="bottom"/>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bCs/>
                <w:sz w:val="18"/>
                <w:szCs w:val="18"/>
                <w:lang w:val="hr-HR"/>
              </w:rPr>
              <w:t>000 kuna</w:t>
            </w:r>
          </w:p>
        </w:tc>
        <w:tc>
          <w:tcPr>
            <w:tcW w:w="570" w:type="pct"/>
            <w:vAlign w:val="bottom"/>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bCs/>
                <w:sz w:val="18"/>
                <w:szCs w:val="18"/>
                <w:lang w:val="hr-HR"/>
              </w:rPr>
              <w:t>000 kuna</w:t>
            </w:r>
          </w:p>
        </w:tc>
        <w:tc>
          <w:tcPr>
            <w:tcW w:w="642" w:type="pct"/>
            <w:vAlign w:val="bottom"/>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bCs/>
                <w:sz w:val="18"/>
                <w:szCs w:val="18"/>
                <w:lang w:val="hr-HR"/>
              </w:rPr>
              <w:t>000 kuna</w:t>
            </w:r>
          </w:p>
        </w:tc>
        <w:tc>
          <w:tcPr>
            <w:tcW w:w="551" w:type="pct"/>
            <w:vAlign w:val="bottom"/>
          </w:tcPr>
          <w:p w:rsidR="00DC6A16" w:rsidRPr="00CD3A2D" w:rsidRDefault="00DC6A16" w:rsidP="00DC6A16">
            <w:pPr>
              <w:tabs>
                <w:tab w:val="right" w:pos="1202"/>
              </w:tabs>
              <w:spacing w:line="240" w:lineRule="exact"/>
              <w:jc w:val="right"/>
              <w:outlineLvl w:val="0"/>
              <w:rPr>
                <w:rFonts w:ascii="Calibri" w:hAnsi="Calibri" w:cs="Arial"/>
                <w:b/>
                <w:sz w:val="18"/>
                <w:szCs w:val="18"/>
                <w:lang w:val="hr-HR"/>
              </w:rPr>
            </w:pPr>
            <w:r w:rsidRPr="00CD3A2D">
              <w:rPr>
                <w:rFonts w:ascii="Calibri" w:hAnsi="Calibri" w:cs="Arial"/>
                <w:b/>
                <w:bCs/>
                <w:sz w:val="18"/>
                <w:szCs w:val="18"/>
                <w:lang w:val="hr-HR"/>
              </w:rPr>
              <w:t>000 kuna</w:t>
            </w:r>
          </w:p>
        </w:tc>
      </w:tr>
      <w:tr w:rsidR="00DC6A16" w:rsidRPr="001567C8" w:rsidTr="00DC6A16">
        <w:trPr>
          <w:trHeight w:val="150"/>
        </w:trPr>
        <w:tc>
          <w:tcPr>
            <w:tcW w:w="1521" w:type="pct"/>
          </w:tcPr>
          <w:p w:rsidR="00DC6A16" w:rsidRPr="00CD3A2D" w:rsidRDefault="00DC6A16" w:rsidP="00DC6A16">
            <w:pPr>
              <w:tabs>
                <w:tab w:val="right" w:pos="1202"/>
              </w:tabs>
              <w:spacing w:line="240" w:lineRule="exact"/>
              <w:outlineLvl w:val="0"/>
              <w:rPr>
                <w:rFonts w:ascii="Calibri" w:hAnsi="Calibri" w:cs="Arial"/>
                <w:b/>
                <w:bCs/>
                <w:sz w:val="18"/>
                <w:szCs w:val="18"/>
                <w:lang w:val="hr-HR"/>
              </w:rPr>
            </w:pPr>
            <w:r w:rsidRPr="00CD3A2D">
              <w:rPr>
                <w:rFonts w:ascii="Calibri" w:hAnsi="Calibri" w:cs="Arial"/>
                <w:b/>
                <w:bCs/>
                <w:sz w:val="18"/>
                <w:szCs w:val="18"/>
                <w:lang w:val="hr-HR"/>
              </w:rPr>
              <w:t>Imovina</w:t>
            </w:r>
          </w:p>
        </w:tc>
        <w:tc>
          <w:tcPr>
            <w:tcW w:w="552" w:type="pct"/>
            <w:vAlign w:val="bottom"/>
          </w:tcPr>
          <w:p w:rsidR="00DC6A16" w:rsidRPr="00CD3A2D" w:rsidRDefault="00DC6A16" w:rsidP="00DC6A16">
            <w:pPr>
              <w:tabs>
                <w:tab w:val="right" w:pos="1202"/>
              </w:tabs>
              <w:spacing w:line="240" w:lineRule="exact"/>
              <w:jc w:val="right"/>
              <w:outlineLvl w:val="0"/>
              <w:rPr>
                <w:rFonts w:ascii="Calibri" w:hAnsi="Calibri" w:cs="Arial"/>
                <w:b/>
                <w:bCs/>
                <w:spacing w:val="-2"/>
                <w:sz w:val="18"/>
                <w:szCs w:val="18"/>
                <w:lang w:val="hr-HR"/>
              </w:rPr>
            </w:pPr>
          </w:p>
        </w:tc>
        <w:tc>
          <w:tcPr>
            <w:tcW w:w="592" w:type="pct"/>
            <w:vAlign w:val="bottom"/>
          </w:tcPr>
          <w:p w:rsidR="00DC6A16" w:rsidRPr="00CD3A2D" w:rsidRDefault="00DC6A16" w:rsidP="00DC6A16">
            <w:pPr>
              <w:tabs>
                <w:tab w:val="right" w:pos="1202"/>
              </w:tabs>
              <w:spacing w:line="240" w:lineRule="exact"/>
              <w:jc w:val="right"/>
              <w:outlineLvl w:val="0"/>
              <w:rPr>
                <w:rFonts w:ascii="Calibri" w:hAnsi="Calibri" w:cs="Arial"/>
                <w:b/>
                <w:bCs/>
                <w:spacing w:val="-2"/>
                <w:sz w:val="18"/>
                <w:szCs w:val="18"/>
                <w:lang w:val="hr-HR"/>
              </w:rPr>
            </w:pPr>
          </w:p>
        </w:tc>
        <w:tc>
          <w:tcPr>
            <w:tcW w:w="572" w:type="pct"/>
            <w:vAlign w:val="bottom"/>
          </w:tcPr>
          <w:p w:rsidR="00DC6A16" w:rsidRPr="00CD3A2D" w:rsidRDefault="00DC6A16" w:rsidP="00DC6A16">
            <w:pPr>
              <w:tabs>
                <w:tab w:val="right" w:pos="1202"/>
              </w:tabs>
              <w:spacing w:line="240" w:lineRule="exact"/>
              <w:jc w:val="right"/>
              <w:outlineLvl w:val="0"/>
              <w:rPr>
                <w:rFonts w:ascii="Calibri" w:hAnsi="Calibri" w:cs="Arial"/>
                <w:b/>
                <w:bCs/>
                <w:spacing w:val="-2"/>
                <w:sz w:val="18"/>
                <w:szCs w:val="18"/>
                <w:lang w:val="hr-HR"/>
              </w:rPr>
            </w:pPr>
          </w:p>
        </w:tc>
        <w:tc>
          <w:tcPr>
            <w:tcW w:w="570" w:type="pct"/>
            <w:vAlign w:val="bottom"/>
          </w:tcPr>
          <w:p w:rsidR="00DC6A16" w:rsidRPr="00CD3A2D" w:rsidRDefault="00DC6A16" w:rsidP="00DC6A16">
            <w:pPr>
              <w:tabs>
                <w:tab w:val="right" w:pos="1202"/>
              </w:tabs>
              <w:spacing w:line="240" w:lineRule="exact"/>
              <w:jc w:val="right"/>
              <w:outlineLvl w:val="0"/>
              <w:rPr>
                <w:rFonts w:ascii="Calibri" w:hAnsi="Calibri" w:cs="Arial"/>
                <w:b/>
                <w:bCs/>
                <w:spacing w:val="-2"/>
                <w:sz w:val="18"/>
                <w:szCs w:val="18"/>
                <w:lang w:val="hr-HR"/>
              </w:rPr>
            </w:pPr>
          </w:p>
        </w:tc>
        <w:tc>
          <w:tcPr>
            <w:tcW w:w="642" w:type="pct"/>
            <w:vAlign w:val="bottom"/>
          </w:tcPr>
          <w:p w:rsidR="00DC6A16" w:rsidRPr="00CD3A2D" w:rsidRDefault="00DC6A16" w:rsidP="00DC6A16">
            <w:pPr>
              <w:tabs>
                <w:tab w:val="right" w:pos="1202"/>
              </w:tabs>
              <w:spacing w:line="240" w:lineRule="exact"/>
              <w:jc w:val="right"/>
              <w:outlineLvl w:val="0"/>
              <w:rPr>
                <w:rFonts w:ascii="Calibri" w:hAnsi="Calibri" w:cs="Arial"/>
                <w:b/>
                <w:bCs/>
                <w:spacing w:val="-2"/>
                <w:sz w:val="18"/>
                <w:szCs w:val="18"/>
                <w:lang w:val="hr-HR"/>
              </w:rPr>
            </w:pPr>
          </w:p>
        </w:tc>
        <w:tc>
          <w:tcPr>
            <w:tcW w:w="551" w:type="pct"/>
            <w:vAlign w:val="bottom"/>
          </w:tcPr>
          <w:p w:rsidR="00DC6A16" w:rsidRPr="00CD3A2D" w:rsidRDefault="00DC6A16" w:rsidP="00DC6A16">
            <w:pPr>
              <w:tabs>
                <w:tab w:val="right" w:pos="1202"/>
              </w:tabs>
              <w:spacing w:line="240" w:lineRule="exact"/>
              <w:jc w:val="right"/>
              <w:outlineLvl w:val="0"/>
              <w:rPr>
                <w:rFonts w:ascii="Calibri" w:hAnsi="Calibri" w:cs="Arial"/>
                <w:b/>
                <w:bCs/>
                <w:spacing w:val="-2"/>
                <w:sz w:val="18"/>
                <w:szCs w:val="18"/>
                <w:lang w:val="hr-HR"/>
              </w:rPr>
            </w:pPr>
          </w:p>
        </w:tc>
      </w:tr>
      <w:tr w:rsidR="00DC6A16" w:rsidRPr="001567C8" w:rsidTr="003C6BA3">
        <w:trPr>
          <w:trHeight w:val="270"/>
        </w:trPr>
        <w:tc>
          <w:tcPr>
            <w:tcW w:w="1521" w:type="pct"/>
            <w:vAlign w:val="bottom"/>
          </w:tcPr>
          <w:p w:rsidR="00DC6A16" w:rsidRPr="00CD3A2D" w:rsidRDefault="00DC6A16" w:rsidP="00DC6A16">
            <w:pPr>
              <w:tabs>
                <w:tab w:val="right" w:pos="1202"/>
              </w:tabs>
              <w:spacing w:line="240" w:lineRule="exact"/>
              <w:outlineLvl w:val="0"/>
              <w:rPr>
                <w:rFonts w:ascii="Calibri" w:hAnsi="Calibri" w:cs="Arial"/>
                <w:sz w:val="18"/>
                <w:szCs w:val="18"/>
                <w:lang w:val="hr-HR"/>
              </w:rPr>
            </w:pPr>
            <w:r w:rsidRPr="00CD3A2D">
              <w:rPr>
                <w:rFonts w:ascii="Calibri" w:hAnsi="Calibri" w:cs="Arial"/>
                <w:spacing w:val="-2"/>
                <w:sz w:val="18"/>
                <w:szCs w:val="18"/>
                <w:lang w:val="hr-HR"/>
              </w:rPr>
              <w:t>Novčana sredstva i računi kod banaka</w:t>
            </w:r>
          </w:p>
        </w:tc>
        <w:tc>
          <w:tcPr>
            <w:tcW w:w="55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941.071</w:t>
            </w:r>
          </w:p>
        </w:tc>
        <w:tc>
          <w:tcPr>
            <w:tcW w:w="59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0"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64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51"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941.071</w:t>
            </w:r>
          </w:p>
        </w:tc>
      </w:tr>
      <w:tr w:rsidR="00DC6A16" w:rsidRPr="001567C8" w:rsidTr="003C6BA3">
        <w:trPr>
          <w:trHeight w:val="270"/>
        </w:trPr>
        <w:tc>
          <w:tcPr>
            <w:tcW w:w="1521" w:type="pct"/>
            <w:vAlign w:val="bottom"/>
          </w:tcPr>
          <w:p w:rsidR="00DC6A16" w:rsidRPr="00CD3A2D" w:rsidRDefault="00DC6A16" w:rsidP="00DC6A16">
            <w:pPr>
              <w:tabs>
                <w:tab w:val="right" w:pos="1202"/>
              </w:tabs>
              <w:spacing w:line="240" w:lineRule="exact"/>
              <w:outlineLvl w:val="0"/>
              <w:rPr>
                <w:rFonts w:ascii="Calibri" w:hAnsi="Calibri" w:cs="Arial"/>
                <w:sz w:val="18"/>
                <w:szCs w:val="18"/>
                <w:lang w:val="hr-HR"/>
              </w:rPr>
            </w:pPr>
            <w:r w:rsidRPr="00CD3A2D">
              <w:rPr>
                <w:rFonts w:ascii="Calibri" w:hAnsi="Calibri" w:cs="Arial"/>
                <w:spacing w:val="-2"/>
                <w:sz w:val="18"/>
                <w:szCs w:val="18"/>
                <w:lang w:val="hr-HR"/>
              </w:rPr>
              <w:t>Depoziti kod drugih banaka</w:t>
            </w:r>
          </w:p>
        </w:tc>
        <w:tc>
          <w:tcPr>
            <w:tcW w:w="55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261.925</w:t>
            </w:r>
          </w:p>
        </w:tc>
        <w:tc>
          <w:tcPr>
            <w:tcW w:w="59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0"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64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51"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 xml:space="preserve">261.925 </w:t>
            </w:r>
          </w:p>
        </w:tc>
      </w:tr>
      <w:tr w:rsidR="00DC6A16" w:rsidRPr="001567C8" w:rsidTr="003C6BA3">
        <w:trPr>
          <w:trHeight w:val="270"/>
        </w:trPr>
        <w:tc>
          <w:tcPr>
            <w:tcW w:w="1521" w:type="pct"/>
            <w:vAlign w:val="bottom"/>
          </w:tcPr>
          <w:p w:rsidR="00DC6A16" w:rsidRPr="00CD3A2D" w:rsidRDefault="00DC6A16" w:rsidP="00DC6A16">
            <w:pPr>
              <w:tabs>
                <w:tab w:val="right" w:pos="1202"/>
              </w:tabs>
              <w:spacing w:line="240" w:lineRule="exact"/>
              <w:outlineLvl w:val="0"/>
              <w:rPr>
                <w:rFonts w:ascii="Calibri" w:hAnsi="Calibri" w:cs="Arial"/>
                <w:spacing w:val="-2"/>
                <w:sz w:val="18"/>
                <w:szCs w:val="18"/>
                <w:lang w:val="hr-HR"/>
              </w:rPr>
            </w:pPr>
            <w:r w:rsidRPr="00CD3A2D">
              <w:rPr>
                <w:rFonts w:ascii="Calibri" w:hAnsi="Calibri" w:cs="Arial"/>
                <w:spacing w:val="-2"/>
                <w:sz w:val="18"/>
                <w:szCs w:val="18"/>
                <w:lang w:val="hr-HR"/>
              </w:rPr>
              <w:t>Krediti financijskim institucijama*</w:t>
            </w:r>
          </w:p>
        </w:tc>
        <w:tc>
          <w:tcPr>
            <w:tcW w:w="55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389.640</w:t>
            </w:r>
          </w:p>
        </w:tc>
        <w:tc>
          <w:tcPr>
            <w:tcW w:w="59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693.932</w:t>
            </w:r>
          </w:p>
        </w:tc>
        <w:tc>
          <w:tcPr>
            <w:tcW w:w="57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1.231.553</w:t>
            </w:r>
          </w:p>
        </w:tc>
        <w:tc>
          <w:tcPr>
            <w:tcW w:w="570"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2.718.573</w:t>
            </w:r>
          </w:p>
        </w:tc>
        <w:tc>
          <w:tcPr>
            <w:tcW w:w="64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5.201.290</w:t>
            </w:r>
          </w:p>
        </w:tc>
        <w:tc>
          <w:tcPr>
            <w:tcW w:w="551"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10.234.988</w:t>
            </w:r>
          </w:p>
        </w:tc>
      </w:tr>
      <w:tr w:rsidR="00DC6A16" w:rsidRPr="001567C8" w:rsidTr="003C6BA3">
        <w:trPr>
          <w:trHeight w:val="270"/>
        </w:trPr>
        <w:tc>
          <w:tcPr>
            <w:tcW w:w="1521" w:type="pct"/>
            <w:vAlign w:val="bottom"/>
          </w:tcPr>
          <w:p w:rsidR="00DC6A16" w:rsidRPr="00CD3A2D" w:rsidRDefault="00DC6A16" w:rsidP="00DC6A16">
            <w:pPr>
              <w:tabs>
                <w:tab w:val="right" w:pos="1202"/>
              </w:tabs>
              <w:spacing w:line="240" w:lineRule="exact"/>
              <w:outlineLvl w:val="0"/>
              <w:rPr>
                <w:rFonts w:ascii="Calibri" w:hAnsi="Calibri" w:cs="Arial"/>
                <w:spacing w:val="-2"/>
                <w:sz w:val="18"/>
                <w:szCs w:val="18"/>
                <w:lang w:val="hr-HR"/>
              </w:rPr>
            </w:pPr>
            <w:r w:rsidRPr="00CD3A2D">
              <w:rPr>
                <w:rFonts w:ascii="Calibri" w:hAnsi="Calibri" w:cs="Arial"/>
                <w:spacing w:val="-2"/>
                <w:sz w:val="18"/>
                <w:szCs w:val="18"/>
                <w:lang w:val="hr-HR"/>
              </w:rPr>
              <w:t>Krediti ostalim korisnicima</w:t>
            </w:r>
          </w:p>
        </w:tc>
        <w:tc>
          <w:tcPr>
            <w:tcW w:w="55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2.096.151</w:t>
            </w:r>
          </w:p>
        </w:tc>
        <w:tc>
          <w:tcPr>
            <w:tcW w:w="59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141.949</w:t>
            </w:r>
          </w:p>
        </w:tc>
        <w:tc>
          <w:tcPr>
            <w:tcW w:w="57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792.913</w:t>
            </w:r>
          </w:p>
        </w:tc>
        <w:tc>
          <w:tcPr>
            <w:tcW w:w="570"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2.769.366</w:t>
            </w:r>
          </w:p>
        </w:tc>
        <w:tc>
          <w:tcPr>
            <w:tcW w:w="64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6.710.307</w:t>
            </w:r>
          </w:p>
        </w:tc>
        <w:tc>
          <w:tcPr>
            <w:tcW w:w="551"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12.510.686</w:t>
            </w:r>
          </w:p>
        </w:tc>
      </w:tr>
      <w:tr w:rsidR="00DC6A16" w:rsidRPr="001567C8" w:rsidTr="00DC6A16">
        <w:trPr>
          <w:trHeight w:val="150"/>
        </w:trPr>
        <w:tc>
          <w:tcPr>
            <w:tcW w:w="1521" w:type="pct"/>
            <w:vAlign w:val="bottom"/>
          </w:tcPr>
          <w:p w:rsidR="00DC6A16" w:rsidRPr="00CD3A2D" w:rsidRDefault="00DC6A16" w:rsidP="00DC6A16">
            <w:pPr>
              <w:tabs>
                <w:tab w:val="right" w:pos="1202"/>
              </w:tabs>
              <w:spacing w:line="240" w:lineRule="exact"/>
              <w:outlineLvl w:val="0"/>
              <w:rPr>
                <w:rFonts w:ascii="Calibri" w:hAnsi="Calibri" w:cs="Arial"/>
                <w:spacing w:val="-2"/>
                <w:sz w:val="18"/>
                <w:szCs w:val="18"/>
                <w:lang w:val="hr-HR"/>
              </w:rPr>
            </w:pPr>
            <w:r w:rsidRPr="00CD3A2D">
              <w:rPr>
                <w:rFonts w:ascii="Calibri" w:hAnsi="Calibri"/>
                <w:sz w:val="18"/>
                <w:szCs w:val="18"/>
                <w:lang w:val="hr-HR"/>
              </w:rPr>
              <w:t xml:space="preserve">Financijska imovina po fer vrijednosti kroz </w:t>
            </w:r>
            <w:r w:rsidR="00316574" w:rsidRPr="00CD3A2D">
              <w:rPr>
                <w:rFonts w:ascii="Calibri" w:hAnsi="Calibri"/>
                <w:sz w:val="18"/>
                <w:szCs w:val="18"/>
                <w:lang w:val="hr-HR"/>
              </w:rPr>
              <w:t>dobit ili gubitak</w:t>
            </w:r>
          </w:p>
        </w:tc>
        <w:tc>
          <w:tcPr>
            <w:tcW w:w="55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328.758</w:t>
            </w:r>
          </w:p>
        </w:tc>
        <w:tc>
          <w:tcPr>
            <w:tcW w:w="59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0"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64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2.045</w:t>
            </w:r>
          </w:p>
        </w:tc>
        <w:tc>
          <w:tcPr>
            <w:tcW w:w="551"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330.803</w:t>
            </w:r>
          </w:p>
        </w:tc>
      </w:tr>
      <w:tr w:rsidR="00DC6A16" w:rsidRPr="001567C8" w:rsidTr="00DC6A16">
        <w:trPr>
          <w:trHeight w:val="150"/>
        </w:trPr>
        <w:tc>
          <w:tcPr>
            <w:tcW w:w="1521" w:type="pct"/>
            <w:vAlign w:val="bottom"/>
          </w:tcPr>
          <w:p w:rsidR="00DC6A16" w:rsidRPr="00CD3A2D" w:rsidRDefault="00DC6A16" w:rsidP="00DC6A16">
            <w:pPr>
              <w:tabs>
                <w:tab w:val="right" w:pos="1202"/>
              </w:tabs>
              <w:spacing w:line="240" w:lineRule="exact"/>
              <w:outlineLvl w:val="0"/>
              <w:rPr>
                <w:rFonts w:ascii="Calibri" w:hAnsi="Calibri" w:cs="Arial"/>
                <w:spacing w:val="-2"/>
                <w:sz w:val="18"/>
                <w:szCs w:val="18"/>
                <w:lang w:val="hr-HR"/>
              </w:rPr>
            </w:pPr>
            <w:r w:rsidRPr="00CD3A2D">
              <w:rPr>
                <w:rFonts w:ascii="Calibri" w:hAnsi="Calibri"/>
                <w:sz w:val="18"/>
                <w:szCs w:val="18"/>
                <w:lang w:val="hr-HR"/>
              </w:rPr>
              <w:t>Financijska imovina po fer vrijednosti kroz ostalu sveobuhvatnu dobit</w:t>
            </w:r>
          </w:p>
        </w:tc>
        <w:tc>
          <w:tcPr>
            <w:tcW w:w="55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2.781.000</w:t>
            </w:r>
          </w:p>
        </w:tc>
        <w:tc>
          <w:tcPr>
            <w:tcW w:w="59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11.072</w:t>
            </w:r>
          </w:p>
        </w:tc>
        <w:tc>
          <w:tcPr>
            <w:tcW w:w="57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0"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64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51"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2.792.072</w:t>
            </w:r>
          </w:p>
        </w:tc>
      </w:tr>
      <w:tr w:rsidR="00DC6A16" w:rsidRPr="001567C8" w:rsidTr="00DC6A16">
        <w:trPr>
          <w:trHeight w:val="150"/>
        </w:trPr>
        <w:tc>
          <w:tcPr>
            <w:tcW w:w="1521" w:type="pct"/>
            <w:vAlign w:val="bottom"/>
          </w:tcPr>
          <w:p w:rsidR="00DC6A16" w:rsidRPr="00CD3A2D" w:rsidRDefault="00DC6A16" w:rsidP="00DC6A16">
            <w:pPr>
              <w:tabs>
                <w:tab w:val="right" w:pos="1202"/>
              </w:tabs>
              <w:spacing w:line="240" w:lineRule="exact"/>
              <w:outlineLvl w:val="0"/>
              <w:rPr>
                <w:rFonts w:ascii="Calibri" w:hAnsi="Calibri" w:cs="Arial"/>
                <w:spacing w:val="-2"/>
                <w:sz w:val="18"/>
                <w:szCs w:val="18"/>
                <w:lang w:val="hr-HR"/>
              </w:rPr>
            </w:pPr>
            <w:r w:rsidRPr="00CD3A2D">
              <w:rPr>
                <w:rFonts w:ascii="Calibri" w:hAnsi="Calibri" w:cs="Arial"/>
                <w:spacing w:val="-2"/>
                <w:sz w:val="18"/>
                <w:szCs w:val="18"/>
                <w:lang w:val="hr-HR"/>
              </w:rPr>
              <w:t>Ulaganja u ovisna društva</w:t>
            </w:r>
          </w:p>
        </w:tc>
        <w:tc>
          <w:tcPr>
            <w:tcW w:w="55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9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0"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64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36.124</w:t>
            </w:r>
          </w:p>
        </w:tc>
        <w:tc>
          <w:tcPr>
            <w:tcW w:w="551"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36.124</w:t>
            </w:r>
          </w:p>
        </w:tc>
      </w:tr>
      <w:tr w:rsidR="00DC6A16" w:rsidRPr="001567C8" w:rsidTr="00DC6A16">
        <w:trPr>
          <w:trHeight w:val="303"/>
        </w:trPr>
        <w:tc>
          <w:tcPr>
            <w:tcW w:w="1521" w:type="pct"/>
            <w:vAlign w:val="bottom"/>
          </w:tcPr>
          <w:p w:rsidR="00DC6A16" w:rsidRPr="00CD3A2D" w:rsidRDefault="00DC6A16" w:rsidP="00DC6A16">
            <w:pPr>
              <w:tabs>
                <w:tab w:val="right" w:pos="1202"/>
              </w:tabs>
              <w:spacing w:line="240" w:lineRule="exact"/>
              <w:outlineLvl w:val="0"/>
              <w:rPr>
                <w:rFonts w:ascii="Calibri" w:hAnsi="Calibri" w:cs="Arial"/>
                <w:sz w:val="18"/>
                <w:szCs w:val="18"/>
                <w:lang w:val="hr-HR"/>
              </w:rPr>
            </w:pPr>
            <w:r w:rsidRPr="00CD3A2D">
              <w:rPr>
                <w:rFonts w:ascii="Calibri" w:hAnsi="Calibri" w:cs="Arial"/>
                <w:spacing w:val="-2"/>
                <w:sz w:val="18"/>
                <w:szCs w:val="18"/>
                <w:lang w:val="hr-HR"/>
              </w:rPr>
              <w:t>Nekretnine, postrojenja i oprema i nematerijalna imovina</w:t>
            </w:r>
          </w:p>
        </w:tc>
        <w:tc>
          <w:tcPr>
            <w:tcW w:w="55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9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0"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64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50.764</w:t>
            </w:r>
          </w:p>
        </w:tc>
        <w:tc>
          <w:tcPr>
            <w:tcW w:w="551"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50.764</w:t>
            </w:r>
          </w:p>
        </w:tc>
      </w:tr>
      <w:tr w:rsidR="00DC6A16" w:rsidRPr="001567C8" w:rsidTr="00DC6A16">
        <w:trPr>
          <w:trHeight w:val="139"/>
        </w:trPr>
        <w:tc>
          <w:tcPr>
            <w:tcW w:w="1521" w:type="pct"/>
            <w:vAlign w:val="bottom"/>
          </w:tcPr>
          <w:p w:rsidR="00DC6A16" w:rsidRPr="00CD3A2D" w:rsidRDefault="0051728E" w:rsidP="00DC6A16">
            <w:pPr>
              <w:tabs>
                <w:tab w:val="right" w:pos="1202"/>
              </w:tabs>
              <w:spacing w:line="240" w:lineRule="exact"/>
              <w:outlineLvl w:val="0"/>
              <w:rPr>
                <w:rFonts w:ascii="Calibri" w:hAnsi="Calibri" w:cs="Arial"/>
                <w:sz w:val="18"/>
                <w:szCs w:val="18"/>
                <w:lang w:val="hr-HR"/>
              </w:rPr>
            </w:pPr>
            <w:r w:rsidRPr="0051728E">
              <w:rPr>
                <w:rFonts w:ascii="Calibri" w:hAnsi="Calibri" w:cs="Arial"/>
                <w:spacing w:val="-2"/>
                <w:sz w:val="18"/>
                <w:szCs w:val="18"/>
                <w:lang w:val="hr-HR"/>
              </w:rPr>
              <w:t>Preuzeta imovina</w:t>
            </w:r>
          </w:p>
        </w:tc>
        <w:tc>
          <w:tcPr>
            <w:tcW w:w="55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9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9.690</w:t>
            </w:r>
          </w:p>
        </w:tc>
        <w:tc>
          <w:tcPr>
            <w:tcW w:w="570"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2.666</w:t>
            </w:r>
          </w:p>
        </w:tc>
        <w:tc>
          <w:tcPr>
            <w:tcW w:w="642"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12.974</w:t>
            </w:r>
          </w:p>
        </w:tc>
        <w:tc>
          <w:tcPr>
            <w:tcW w:w="551" w:type="pct"/>
            <w:tcBorders>
              <w:top w:val="nil"/>
              <w:left w:val="nil"/>
              <w:bottom w:val="nil"/>
              <w:right w:val="nil"/>
            </w:tcBorders>
            <w:shd w:val="clear" w:color="auto" w:fill="auto"/>
            <w:vAlign w:val="bottom"/>
          </w:tcPr>
          <w:p w:rsidR="00DC6A16" w:rsidRPr="00CD3A2D" w:rsidRDefault="00DC6A16" w:rsidP="00DC6A16">
            <w:pPr>
              <w:jc w:val="right"/>
              <w:rPr>
                <w:rFonts w:ascii="Calibri" w:hAnsi="Calibri" w:cs="Calibri"/>
                <w:sz w:val="18"/>
                <w:szCs w:val="18"/>
                <w:lang w:val="hr-HR"/>
              </w:rPr>
            </w:pPr>
            <w:r w:rsidRPr="00CD3A2D">
              <w:rPr>
                <w:rFonts w:ascii="Calibri" w:hAnsi="Calibri" w:cs="Calibri"/>
                <w:sz w:val="18"/>
                <w:szCs w:val="18"/>
                <w:lang w:val="hr-HR"/>
              </w:rPr>
              <w:t>25.330</w:t>
            </w:r>
          </w:p>
        </w:tc>
      </w:tr>
      <w:tr w:rsidR="00DC6A16" w:rsidRPr="001567C8" w:rsidTr="00DC6A16">
        <w:trPr>
          <w:trHeight w:val="150"/>
        </w:trPr>
        <w:tc>
          <w:tcPr>
            <w:tcW w:w="1521" w:type="pct"/>
            <w:vAlign w:val="bottom"/>
          </w:tcPr>
          <w:p w:rsidR="00DC6A16" w:rsidRPr="00CD3A2D" w:rsidRDefault="00DC6A16" w:rsidP="00DC6A16">
            <w:pPr>
              <w:tabs>
                <w:tab w:val="right" w:pos="1202"/>
              </w:tabs>
              <w:spacing w:line="240" w:lineRule="exact"/>
              <w:outlineLvl w:val="0"/>
              <w:rPr>
                <w:rFonts w:ascii="Calibri" w:hAnsi="Calibri" w:cs="Arial"/>
                <w:sz w:val="18"/>
                <w:szCs w:val="18"/>
                <w:lang w:val="hr-HR"/>
              </w:rPr>
            </w:pPr>
            <w:r w:rsidRPr="00CD3A2D">
              <w:rPr>
                <w:rFonts w:ascii="Calibri" w:hAnsi="Calibri" w:cs="Arial"/>
                <w:spacing w:val="-2"/>
                <w:sz w:val="18"/>
                <w:szCs w:val="18"/>
                <w:lang w:val="hr-HR"/>
              </w:rPr>
              <w:t>Ostala imovina</w:t>
            </w:r>
          </w:p>
        </w:tc>
        <w:tc>
          <w:tcPr>
            <w:tcW w:w="552" w:type="pct"/>
            <w:tcBorders>
              <w:top w:val="nil"/>
              <w:left w:val="nil"/>
              <w:bottom w:val="single" w:sz="8" w:space="0" w:color="auto"/>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4.856</w:t>
            </w:r>
          </w:p>
        </w:tc>
        <w:tc>
          <w:tcPr>
            <w:tcW w:w="592" w:type="pct"/>
            <w:tcBorders>
              <w:top w:val="nil"/>
              <w:left w:val="nil"/>
              <w:bottom w:val="single" w:sz="8" w:space="0" w:color="auto"/>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970</w:t>
            </w:r>
          </w:p>
        </w:tc>
        <w:tc>
          <w:tcPr>
            <w:tcW w:w="572" w:type="pct"/>
            <w:tcBorders>
              <w:top w:val="nil"/>
              <w:left w:val="nil"/>
              <w:bottom w:val="single" w:sz="8" w:space="0" w:color="auto"/>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7.585</w:t>
            </w:r>
          </w:p>
        </w:tc>
        <w:tc>
          <w:tcPr>
            <w:tcW w:w="570" w:type="pct"/>
            <w:tcBorders>
              <w:top w:val="nil"/>
              <w:left w:val="nil"/>
              <w:bottom w:val="single" w:sz="8" w:space="0" w:color="auto"/>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1.753</w:t>
            </w:r>
          </w:p>
        </w:tc>
        <w:tc>
          <w:tcPr>
            <w:tcW w:w="642" w:type="pct"/>
            <w:tcBorders>
              <w:top w:val="nil"/>
              <w:left w:val="nil"/>
              <w:bottom w:val="single" w:sz="8" w:space="0" w:color="auto"/>
              <w:right w:val="nil"/>
            </w:tcBorders>
            <w:shd w:val="clear" w:color="auto" w:fill="auto"/>
            <w:vAlign w:val="bottom"/>
          </w:tcPr>
          <w:p w:rsidR="00DC6A16" w:rsidRPr="00CD3A2D" w:rsidRDefault="00DC6A16" w:rsidP="00DC6A16">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51" w:type="pct"/>
            <w:tcBorders>
              <w:top w:val="nil"/>
              <w:left w:val="nil"/>
              <w:bottom w:val="single" w:sz="8" w:space="0" w:color="auto"/>
              <w:right w:val="nil"/>
            </w:tcBorders>
            <w:shd w:val="clear" w:color="auto" w:fill="auto"/>
            <w:vAlign w:val="bottom"/>
          </w:tcPr>
          <w:p w:rsidR="00DC6A16" w:rsidRPr="00CD3A2D" w:rsidRDefault="00DC6A16" w:rsidP="00DC6A16">
            <w:pPr>
              <w:jc w:val="right"/>
              <w:rPr>
                <w:rFonts w:ascii="Calibri" w:hAnsi="Calibri" w:cs="Calibri"/>
                <w:sz w:val="18"/>
                <w:szCs w:val="18"/>
                <w:lang w:val="hr-HR"/>
              </w:rPr>
            </w:pPr>
            <w:r w:rsidRPr="00CD3A2D">
              <w:rPr>
                <w:rFonts w:ascii="Calibri" w:hAnsi="Calibri" w:cs="Calibri"/>
                <w:sz w:val="18"/>
                <w:szCs w:val="18"/>
                <w:lang w:val="hr-HR"/>
              </w:rPr>
              <w:t>15.164</w:t>
            </w:r>
          </w:p>
        </w:tc>
      </w:tr>
      <w:tr w:rsidR="00DC6A16" w:rsidRPr="001567C8" w:rsidTr="00DC6A16">
        <w:trPr>
          <w:trHeight w:val="150"/>
        </w:trPr>
        <w:tc>
          <w:tcPr>
            <w:tcW w:w="1521" w:type="pct"/>
          </w:tcPr>
          <w:p w:rsidR="00DC6A16" w:rsidRPr="00CD3A2D" w:rsidRDefault="00DC6A16" w:rsidP="00DC6A16">
            <w:pPr>
              <w:tabs>
                <w:tab w:val="right" w:pos="1202"/>
              </w:tabs>
              <w:spacing w:line="240" w:lineRule="exact"/>
              <w:outlineLvl w:val="0"/>
              <w:rPr>
                <w:rFonts w:ascii="Calibri" w:hAnsi="Calibri" w:cs="Arial"/>
                <w:b/>
                <w:bCs/>
                <w:sz w:val="18"/>
                <w:szCs w:val="18"/>
                <w:lang w:val="hr-HR"/>
              </w:rPr>
            </w:pPr>
            <w:r w:rsidRPr="00CD3A2D">
              <w:rPr>
                <w:rFonts w:ascii="Calibri" w:hAnsi="Calibri" w:cs="Arial"/>
                <w:b/>
                <w:bCs/>
                <w:sz w:val="18"/>
                <w:szCs w:val="18"/>
                <w:lang w:val="hr-HR"/>
              </w:rPr>
              <w:t>Ukupna imovina</w:t>
            </w:r>
          </w:p>
        </w:tc>
        <w:tc>
          <w:tcPr>
            <w:tcW w:w="552" w:type="pct"/>
            <w:tcBorders>
              <w:top w:val="nil"/>
              <w:left w:val="nil"/>
              <w:bottom w:val="single" w:sz="8" w:space="0" w:color="auto"/>
              <w:right w:val="nil"/>
            </w:tcBorders>
            <w:shd w:val="clear" w:color="auto" w:fill="auto"/>
            <w:vAlign w:val="center"/>
          </w:tcPr>
          <w:p w:rsidR="00DC6A16" w:rsidRPr="00CD3A2D" w:rsidRDefault="00DC6A16" w:rsidP="00DC6A16">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6.803.401</w:t>
            </w:r>
          </w:p>
        </w:tc>
        <w:tc>
          <w:tcPr>
            <w:tcW w:w="592" w:type="pct"/>
            <w:tcBorders>
              <w:top w:val="nil"/>
              <w:left w:val="nil"/>
              <w:bottom w:val="single" w:sz="8" w:space="0" w:color="auto"/>
              <w:right w:val="nil"/>
            </w:tcBorders>
            <w:shd w:val="clear" w:color="auto" w:fill="auto"/>
            <w:vAlign w:val="center"/>
          </w:tcPr>
          <w:p w:rsidR="00DC6A16" w:rsidRPr="00CD3A2D" w:rsidRDefault="00DC6A16" w:rsidP="00DC6A16">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847.923</w:t>
            </w:r>
          </w:p>
        </w:tc>
        <w:tc>
          <w:tcPr>
            <w:tcW w:w="572" w:type="pct"/>
            <w:tcBorders>
              <w:top w:val="nil"/>
              <w:left w:val="nil"/>
              <w:bottom w:val="single" w:sz="8" w:space="0" w:color="auto"/>
              <w:right w:val="nil"/>
            </w:tcBorders>
            <w:shd w:val="clear" w:color="auto" w:fill="auto"/>
            <w:vAlign w:val="center"/>
          </w:tcPr>
          <w:p w:rsidR="00DC6A16" w:rsidRPr="00CD3A2D" w:rsidRDefault="00DC6A16" w:rsidP="00DC6A16">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2.041.741</w:t>
            </w:r>
          </w:p>
        </w:tc>
        <w:tc>
          <w:tcPr>
            <w:tcW w:w="570" w:type="pct"/>
            <w:tcBorders>
              <w:top w:val="nil"/>
              <w:left w:val="nil"/>
              <w:bottom w:val="single" w:sz="8" w:space="0" w:color="auto"/>
              <w:right w:val="nil"/>
            </w:tcBorders>
            <w:shd w:val="clear" w:color="auto" w:fill="auto"/>
            <w:vAlign w:val="center"/>
          </w:tcPr>
          <w:p w:rsidR="00DC6A16" w:rsidRPr="00CD3A2D" w:rsidRDefault="00DC6A16" w:rsidP="00DC6A16">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5.492.358</w:t>
            </w:r>
          </w:p>
        </w:tc>
        <w:tc>
          <w:tcPr>
            <w:tcW w:w="642" w:type="pct"/>
            <w:tcBorders>
              <w:top w:val="nil"/>
              <w:left w:val="nil"/>
              <w:bottom w:val="single" w:sz="8" w:space="0" w:color="auto"/>
              <w:right w:val="nil"/>
            </w:tcBorders>
            <w:shd w:val="clear" w:color="auto" w:fill="auto"/>
            <w:vAlign w:val="center"/>
          </w:tcPr>
          <w:p w:rsidR="00DC6A16" w:rsidRPr="00CD3A2D" w:rsidRDefault="00DC6A16" w:rsidP="00DC6A16">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12.013.504</w:t>
            </w:r>
          </w:p>
        </w:tc>
        <w:tc>
          <w:tcPr>
            <w:tcW w:w="551" w:type="pct"/>
            <w:tcBorders>
              <w:top w:val="nil"/>
              <w:left w:val="nil"/>
              <w:bottom w:val="single" w:sz="8" w:space="0" w:color="auto"/>
              <w:right w:val="nil"/>
            </w:tcBorders>
            <w:shd w:val="clear" w:color="auto" w:fill="auto"/>
            <w:vAlign w:val="center"/>
          </w:tcPr>
          <w:p w:rsidR="00DC6A16" w:rsidRPr="00CD3A2D" w:rsidRDefault="00DC6A16" w:rsidP="00DC6A16">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27.198.927</w:t>
            </w:r>
          </w:p>
        </w:tc>
      </w:tr>
      <w:tr w:rsidR="00DC6A16" w:rsidRPr="001567C8" w:rsidTr="00CD3A2D">
        <w:trPr>
          <w:trHeight w:hRule="exact" w:val="221"/>
        </w:trPr>
        <w:tc>
          <w:tcPr>
            <w:tcW w:w="1521" w:type="pct"/>
            <w:vAlign w:val="bottom"/>
          </w:tcPr>
          <w:p w:rsidR="00DC6A16" w:rsidRPr="00CD3A2D" w:rsidRDefault="00DC6A16" w:rsidP="00DC6A16">
            <w:pPr>
              <w:keepNext/>
              <w:keepLines/>
              <w:tabs>
                <w:tab w:val="decimal" w:pos="1202"/>
              </w:tabs>
              <w:spacing w:line="140" w:lineRule="exact"/>
              <w:rPr>
                <w:rFonts w:ascii="Calibri" w:hAnsi="Calibri" w:cs="Arial"/>
                <w:b/>
                <w:bCs/>
                <w:position w:val="4"/>
                <w:sz w:val="18"/>
                <w:szCs w:val="18"/>
                <w:lang w:val="hr-HR"/>
              </w:rPr>
            </w:pPr>
          </w:p>
        </w:tc>
        <w:tc>
          <w:tcPr>
            <w:tcW w:w="552" w:type="pct"/>
            <w:tcBorders>
              <w:top w:val="single" w:sz="12" w:space="0" w:color="auto"/>
            </w:tcBorders>
            <w:vAlign w:val="bottom"/>
          </w:tcPr>
          <w:p w:rsidR="00DC6A16" w:rsidRPr="00CD3A2D" w:rsidRDefault="00DC6A16" w:rsidP="00DC6A16">
            <w:pPr>
              <w:keepNext/>
              <w:keepLines/>
              <w:tabs>
                <w:tab w:val="decimal" w:pos="1202"/>
              </w:tabs>
              <w:spacing w:line="140" w:lineRule="exact"/>
              <w:jc w:val="right"/>
              <w:rPr>
                <w:rFonts w:ascii="Calibri" w:hAnsi="Calibri" w:cs="Arial"/>
                <w:b/>
                <w:bCs/>
                <w:position w:val="4"/>
                <w:sz w:val="18"/>
                <w:szCs w:val="18"/>
                <w:lang w:val="hr-HR"/>
              </w:rPr>
            </w:pPr>
          </w:p>
        </w:tc>
        <w:tc>
          <w:tcPr>
            <w:tcW w:w="592" w:type="pct"/>
            <w:tcBorders>
              <w:top w:val="single" w:sz="12" w:space="0" w:color="auto"/>
            </w:tcBorders>
            <w:vAlign w:val="bottom"/>
          </w:tcPr>
          <w:p w:rsidR="00DC6A16" w:rsidRPr="00CD3A2D" w:rsidRDefault="00DC6A16" w:rsidP="00DC6A16">
            <w:pPr>
              <w:keepNext/>
              <w:keepLines/>
              <w:tabs>
                <w:tab w:val="decimal" w:pos="1202"/>
              </w:tabs>
              <w:spacing w:line="140" w:lineRule="exact"/>
              <w:jc w:val="right"/>
              <w:rPr>
                <w:rFonts w:ascii="Calibri" w:hAnsi="Calibri" w:cs="Arial"/>
                <w:b/>
                <w:bCs/>
                <w:position w:val="4"/>
                <w:sz w:val="18"/>
                <w:szCs w:val="18"/>
                <w:lang w:val="hr-HR"/>
              </w:rPr>
            </w:pPr>
          </w:p>
        </w:tc>
        <w:tc>
          <w:tcPr>
            <w:tcW w:w="572" w:type="pct"/>
            <w:tcBorders>
              <w:top w:val="single" w:sz="12" w:space="0" w:color="auto"/>
            </w:tcBorders>
            <w:vAlign w:val="bottom"/>
          </w:tcPr>
          <w:p w:rsidR="00DC6A16" w:rsidRPr="00CD3A2D" w:rsidRDefault="00DC6A16" w:rsidP="00DC6A16">
            <w:pPr>
              <w:keepNext/>
              <w:keepLines/>
              <w:tabs>
                <w:tab w:val="decimal" w:pos="1202"/>
              </w:tabs>
              <w:spacing w:line="140" w:lineRule="exact"/>
              <w:jc w:val="right"/>
              <w:rPr>
                <w:rFonts w:ascii="Calibri" w:hAnsi="Calibri" w:cs="Arial"/>
                <w:b/>
                <w:bCs/>
                <w:position w:val="4"/>
                <w:sz w:val="18"/>
                <w:szCs w:val="18"/>
                <w:lang w:val="hr-HR"/>
              </w:rPr>
            </w:pPr>
          </w:p>
        </w:tc>
        <w:tc>
          <w:tcPr>
            <w:tcW w:w="570" w:type="pct"/>
            <w:tcBorders>
              <w:top w:val="single" w:sz="12" w:space="0" w:color="auto"/>
            </w:tcBorders>
            <w:vAlign w:val="bottom"/>
          </w:tcPr>
          <w:p w:rsidR="00DC6A16" w:rsidRPr="00CD3A2D" w:rsidRDefault="00DC6A16" w:rsidP="00DC6A16">
            <w:pPr>
              <w:keepNext/>
              <w:keepLines/>
              <w:tabs>
                <w:tab w:val="decimal" w:pos="1202"/>
              </w:tabs>
              <w:spacing w:line="140" w:lineRule="exact"/>
              <w:jc w:val="right"/>
              <w:rPr>
                <w:rFonts w:ascii="Calibri" w:hAnsi="Calibri" w:cs="Arial"/>
                <w:b/>
                <w:bCs/>
                <w:position w:val="4"/>
                <w:sz w:val="18"/>
                <w:szCs w:val="18"/>
                <w:lang w:val="hr-HR"/>
              </w:rPr>
            </w:pPr>
          </w:p>
        </w:tc>
        <w:tc>
          <w:tcPr>
            <w:tcW w:w="642" w:type="pct"/>
            <w:tcBorders>
              <w:top w:val="single" w:sz="12" w:space="0" w:color="auto"/>
            </w:tcBorders>
            <w:vAlign w:val="bottom"/>
          </w:tcPr>
          <w:p w:rsidR="00DC6A16" w:rsidRPr="00CD3A2D" w:rsidRDefault="00DC6A16" w:rsidP="00DC6A16">
            <w:pPr>
              <w:keepNext/>
              <w:keepLines/>
              <w:tabs>
                <w:tab w:val="decimal" w:pos="1202"/>
              </w:tabs>
              <w:spacing w:line="140" w:lineRule="exact"/>
              <w:jc w:val="right"/>
              <w:rPr>
                <w:rFonts w:ascii="Calibri" w:hAnsi="Calibri" w:cs="Arial"/>
                <w:b/>
                <w:bCs/>
                <w:position w:val="4"/>
                <w:sz w:val="18"/>
                <w:szCs w:val="18"/>
                <w:lang w:val="hr-HR"/>
              </w:rPr>
            </w:pPr>
          </w:p>
        </w:tc>
        <w:tc>
          <w:tcPr>
            <w:tcW w:w="551" w:type="pct"/>
            <w:tcBorders>
              <w:top w:val="single" w:sz="12" w:space="0" w:color="auto"/>
            </w:tcBorders>
            <w:vAlign w:val="bottom"/>
          </w:tcPr>
          <w:p w:rsidR="00DC6A16" w:rsidRPr="00CD3A2D" w:rsidRDefault="00DC6A16" w:rsidP="00DC6A16">
            <w:pPr>
              <w:keepNext/>
              <w:keepLines/>
              <w:tabs>
                <w:tab w:val="decimal" w:pos="1202"/>
              </w:tabs>
              <w:spacing w:line="140" w:lineRule="exact"/>
              <w:jc w:val="right"/>
              <w:rPr>
                <w:rFonts w:ascii="Calibri" w:hAnsi="Calibri" w:cs="Arial"/>
                <w:b/>
                <w:bCs/>
                <w:position w:val="4"/>
                <w:sz w:val="18"/>
                <w:szCs w:val="18"/>
                <w:lang w:val="hr-HR"/>
              </w:rPr>
            </w:pPr>
          </w:p>
        </w:tc>
      </w:tr>
      <w:tr w:rsidR="00DC6A16" w:rsidRPr="001567C8" w:rsidTr="003C6BA3">
        <w:trPr>
          <w:trHeight w:val="150"/>
        </w:trPr>
        <w:tc>
          <w:tcPr>
            <w:tcW w:w="1521" w:type="pct"/>
            <w:vAlign w:val="bottom"/>
          </w:tcPr>
          <w:p w:rsidR="00DC6A16" w:rsidRPr="00CD3A2D" w:rsidRDefault="00DC6A16" w:rsidP="003C6BA3">
            <w:pPr>
              <w:tabs>
                <w:tab w:val="right" w:pos="1202"/>
              </w:tabs>
              <w:spacing w:line="240" w:lineRule="exact"/>
              <w:outlineLvl w:val="0"/>
              <w:rPr>
                <w:rFonts w:ascii="Calibri" w:hAnsi="Calibri" w:cs="Arial"/>
                <w:b/>
                <w:bCs/>
                <w:sz w:val="18"/>
                <w:szCs w:val="18"/>
                <w:lang w:val="hr-HR"/>
              </w:rPr>
            </w:pPr>
            <w:r w:rsidRPr="00CD3A2D">
              <w:rPr>
                <w:rFonts w:ascii="Calibri" w:hAnsi="Calibri" w:cs="Arial"/>
                <w:b/>
                <w:bCs/>
                <w:sz w:val="18"/>
                <w:szCs w:val="18"/>
                <w:lang w:val="hr-HR"/>
              </w:rPr>
              <w:t>Obveze</w:t>
            </w:r>
          </w:p>
        </w:tc>
        <w:tc>
          <w:tcPr>
            <w:tcW w:w="552" w:type="pct"/>
            <w:vAlign w:val="bottom"/>
          </w:tcPr>
          <w:p w:rsidR="00DC6A16" w:rsidRPr="00CD3A2D" w:rsidRDefault="00DC6A16" w:rsidP="00DC6A16">
            <w:pPr>
              <w:spacing w:line="240" w:lineRule="exact"/>
              <w:jc w:val="right"/>
              <w:outlineLvl w:val="0"/>
              <w:rPr>
                <w:rFonts w:ascii="Calibri" w:hAnsi="Calibri" w:cs="Arial"/>
                <w:spacing w:val="-2"/>
                <w:sz w:val="18"/>
                <w:szCs w:val="18"/>
                <w:lang w:val="hr-HR"/>
              </w:rPr>
            </w:pPr>
          </w:p>
        </w:tc>
        <w:tc>
          <w:tcPr>
            <w:tcW w:w="592" w:type="pct"/>
            <w:vAlign w:val="bottom"/>
          </w:tcPr>
          <w:p w:rsidR="00DC6A16" w:rsidRPr="00CD3A2D" w:rsidRDefault="00DC6A16" w:rsidP="00DC6A16">
            <w:pPr>
              <w:spacing w:line="240" w:lineRule="exact"/>
              <w:jc w:val="right"/>
              <w:outlineLvl w:val="0"/>
              <w:rPr>
                <w:rFonts w:ascii="Calibri" w:hAnsi="Calibri" w:cs="Arial"/>
                <w:spacing w:val="-2"/>
                <w:sz w:val="18"/>
                <w:szCs w:val="18"/>
                <w:lang w:val="hr-HR"/>
              </w:rPr>
            </w:pPr>
          </w:p>
        </w:tc>
        <w:tc>
          <w:tcPr>
            <w:tcW w:w="572" w:type="pct"/>
            <w:vAlign w:val="bottom"/>
          </w:tcPr>
          <w:p w:rsidR="00DC6A16" w:rsidRPr="00CD3A2D" w:rsidRDefault="00DC6A16" w:rsidP="00DC6A16">
            <w:pPr>
              <w:spacing w:line="240" w:lineRule="exact"/>
              <w:jc w:val="right"/>
              <w:outlineLvl w:val="0"/>
              <w:rPr>
                <w:rFonts w:ascii="Calibri" w:hAnsi="Calibri" w:cs="Arial"/>
                <w:spacing w:val="-2"/>
                <w:sz w:val="18"/>
                <w:szCs w:val="18"/>
                <w:lang w:val="hr-HR"/>
              </w:rPr>
            </w:pPr>
          </w:p>
        </w:tc>
        <w:tc>
          <w:tcPr>
            <w:tcW w:w="570" w:type="pct"/>
            <w:vAlign w:val="bottom"/>
          </w:tcPr>
          <w:p w:rsidR="00DC6A16" w:rsidRPr="00CD3A2D" w:rsidRDefault="00DC6A16" w:rsidP="00DC6A16">
            <w:pPr>
              <w:spacing w:line="240" w:lineRule="exact"/>
              <w:jc w:val="right"/>
              <w:outlineLvl w:val="0"/>
              <w:rPr>
                <w:rFonts w:ascii="Calibri" w:hAnsi="Calibri" w:cs="Arial"/>
                <w:spacing w:val="-2"/>
                <w:sz w:val="18"/>
                <w:szCs w:val="18"/>
                <w:lang w:val="hr-HR"/>
              </w:rPr>
            </w:pPr>
          </w:p>
        </w:tc>
        <w:tc>
          <w:tcPr>
            <w:tcW w:w="642" w:type="pct"/>
            <w:vAlign w:val="bottom"/>
          </w:tcPr>
          <w:p w:rsidR="00DC6A16" w:rsidRPr="00CD3A2D" w:rsidRDefault="00DC6A16" w:rsidP="00DC6A16">
            <w:pPr>
              <w:spacing w:line="240" w:lineRule="exact"/>
              <w:jc w:val="right"/>
              <w:outlineLvl w:val="0"/>
              <w:rPr>
                <w:rFonts w:ascii="Calibri" w:hAnsi="Calibri" w:cs="Arial"/>
                <w:spacing w:val="-2"/>
                <w:sz w:val="18"/>
                <w:szCs w:val="18"/>
                <w:lang w:val="hr-HR"/>
              </w:rPr>
            </w:pPr>
          </w:p>
        </w:tc>
        <w:tc>
          <w:tcPr>
            <w:tcW w:w="551" w:type="pct"/>
            <w:vAlign w:val="bottom"/>
          </w:tcPr>
          <w:p w:rsidR="00DC6A16" w:rsidRPr="00CD3A2D" w:rsidRDefault="00DC6A16" w:rsidP="00DC6A16">
            <w:pPr>
              <w:spacing w:line="240" w:lineRule="exact"/>
              <w:jc w:val="right"/>
              <w:outlineLvl w:val="0"/>
              <w:rPr>
                <w:rFonts w:ascii="Calibri" w:hAnsi="Calibri" w:cs="Arial"/>
                <w:spacing w:val="-2"/>
                <w:sz w:val="18"/>
                <w:szCs w:val="18"/>
                <w:lang w:val="hr-HR"/>
              </w:rPr>
            </w:pPr>
          </w:p>
        </w:tc>
      </w:tr>
      <w:tr w:rsidR="00E00765" w:rsidRPr="001567C8" w:rsidTr="00DC6A16">
        <w:trPr>
          <w:trHeight w:val="158"/>
        </w:trPr>
        <w:tc>
          <w:tcPr>
            <w:tcW w:w="1521" w:type="pct"/>
            <w:vAlign w:val="bottom"/>
          </w:tcPr>
          <w:p w:rsidR="00E00765" w:rsidRPr="00CD3A2D" w:rsidRDefault="00E00765" w:rsidP="00E00765">
            <w:pPr>
              <w:tabs>
                <w:tab w:val="right" w:pos="1202"/>
              </w:tabs>
              <w:spacing w:line="240" w:lineRule="exact"/>
              <w:outlineLvl w:val="0"/>
              <w:rPr>
                <w:rFonts w:ascii="Calibri" w:hAnsi="Calibri" w:cs="Arial"/>
                <w:sz w:val="18"/>
                <w:szCs w:val="18"/>
                <w:lang w:val="hr-HR"/>
              </w:rPr>
            </w:pPr>
            <w:r w:rsidRPr="00CD3A2D">
              <w:rPr>
                <w:rFonts w:ascii="Calibri" w:hAnsi="Calibri" w:cs="Arial"/>
                <w:spacing w:val="-2"/>
                <w:sz w:val="18"/>
                <w:szCs w:val="18"/>
                <w:lang w:val="hr-HR"/>
              </w:rPr>
              <w:t>Obveze po depozitima</w:t>
            </w:r>
          </w:p>
        </w:tc>
        <w:tc>
          <w:tcPr>
            <w:tcW w:w="55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229.704</w:t>
            </w:r>
          </w:p>
        </w:tc>
        <w:tc>
          <w:tcPr>
            <w:tcW w:w="59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6.579</w:t>
            </w:r>
          </w:p>
        </w:tc>
        <w:tc>
          <w:tcPr>
            <w:tcW w:w="57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177.736</w:t>
            </w:r>
          </w:p>
        </w:tc>
        <w:tc>
          <w:tcPr>
            <w:tcW w:w="570"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757</w:t>
            </w:r>
          </w:p>
        </w:tc>
        <w:tc>
          <w:tcPr>
            <w:tcW w:w="64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14.320</w:t>
            </w:r>
          </w:p>
        </w:tc>
        <w:tc>
          <w:tcPr>
            <w:tcW w:w="551"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429.096</w:t>
            </w:r>
          </w:p>
        </w:tc>
      </w:tr>
      <w:tr w:rsidR="00E00765" w:rsidRPr="001567C8" w:rsidTr="00DC6A16">
        <w:trPr>
          <w:trHeight w:val="150"/>
        </w:trPr>
        <w:tc>
          <w:tcPr>
            <w:tcW w:w="1521" w:type="pct"/>
            <w:vAlign w:val="bottom"/>
          </w:tcPr>
          <w:p w:rsidR="00E00765" w:rsidRPr="00CD3A2D" w:rsidRDefault="00E00765" w:rsidP="00E00765">
            <w:pPr>
              <w:tabs>
                <w:tab w:val="right" w:pos="1202"/>
              </w:tabs>
              <w:spacing w:line="240" w:lineRule="exact"/>
              <w:outlineLvl w:val="0"/>
              <w:rPr>
                <w:rFonts w:ascii="Calibri" w:hAnsi="Calibri" w:cs="Arial"/>
                <w:sz w:val="18"/>
                <w:szCs w:val="18"/>
                <w:lang w:val="hr-HR"/>
              </w:rPr>
            </w:pPr>
            <w:r w:rsidRPr="00CD3A2D">
              <w:rPr>
                <w:rFonts w:ascii="Calibri" w:hAnsi="Calibri" w:cs="Arial"/>
                <w:spacing w:val="-2"/>
                <w:sz w:val="18"/>
                <w:szCs w:val="18"/>
                <w:lang w:val="hr-HR"/>
              </w:rPr>
              <w:t>Obveze po kreditima</w:t>
            </w:r>
          </w:p>
        </w:tc>
        <w:tc>
          <w:tcPr>
            <w:tcW w:w="55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313.492</w:t>
            </w:r>
          </w:p>
        </w:tc>
        <w:tc>
          <w:tcPr>
            <w:tcW w:w="59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461.196**</w:t>
            </w:r>
          </w:p>
        </w:tc>
        <w:tc>
          <w:tcPr>
            <w:tcW w:w="57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1.454.492</w:t>
            </w:r>
          </w:p>
        </w:tc>
        <w:tc>
          <w:tcPr>
            <w:tcW w:w="570"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3.966.550</w:t>
            </w:r>
          </w:p>
        </w:tc>
        <w:tc>
          <w:tcPr>
            <w:tcW w:w="64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8.682.257</w:t>
            </w:r>
          </w:p>
        </w:tc>
        <w:tc>
          <w:tcPr>
            <w:tcW w:w="551"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14.877.987</w:t>
            </w:r>
          </w:p>
        </w:tc>
      </w:tr>
      <w:tr w:rsidR="00E00765" w:rsidRPr="001567C8" w:rsidTr="003C6BA3">
        <w:trPr>
          <w:trHeight w:val="303"/>
        </w:trPr>
        <w:tc>
          <w:tcPr>
            <w:tcW w:w="1521" w:type="pct"/>
            <w:vAlign w:val="bottom"/>
          </w:tcPr>
          <w:p w:rsidR="00E00765" w:rsidRPr="00CD3A2D" w:rsidRDefault="00E00765" w:rsidP="00E00765">
            <w:pPr>
              <w:tabs>
                <w:tab w:val="right" w:pos="1202"/>
              </w:tabs>
              <w:spacing w:line="240" w:lineRule="exact"/>
              <w:outlineLvl w:val="0"/>
              <w:rPr>
                <w:rFonts w:ascii="Calibri" w:hAnsi="Calibri" w:cs="Arial"/>
                <w:sz w:val="18"/>
                <w:szCs w:val="18"/>
                <w:lang w:val="hr-HR"/>
              </w:rPr>
            </w:pPr>
            <w:r w:rsidRPr="00CD3A2D">
              <w:rPr>
                <w:rFonts w:ascii="Calibri" w:hAnsi="Calibri" w:cs="Arial"/>
                <w:spacing w:val="-2"/>
                <w:sz w:val="18"/>
                <w:szCs w:val="18"/>
                <w:lang w:val="hr-HR"/>
              </w:rPr>
              <w:t>Obveze za izdane dugoročne vrijednosne papire</w:t>
            </w:r>
          </w:p>
        </w:tc>
        <w:tc>
          <w:tcPr>
            <w:tcW w:w="55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9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43.347</w:t>
            </w:r>
          </w:p>
        </w:tc>
        <w:tc>
          <w:tcPr>
            <w:tcW w:w="57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70"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1.107.210</w:t>
            </w:r>
          </w:p>
        </w:tc>
        <w:tc>
          <w:tcPr>
            <w:tcW w:w="64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w:t>
            </w:r>
          </w:p>
        </w:tc>
        <w:tc>
          <w:tcPr>
            <w:tcW w:w="551"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1.150.557</w:t>
            </w:r>
          </w:p>
        </w:tc>
      </w:tr>
      <w:tr w:rsidR="00E00765" w:rsidRPr="001567C8" w:rsidTr="00DC6A16">
        <w:trPr>
          <w:trHeight w:val="142"/>
        </w:trPr>
        <w:tc>
          <w:tcPr>
            <w:tcW w:w="1521" w:type="pct"/>
            <w:vAlign w:val="bottom"/>
          </w:tcPr>
          <w:p w:rsidR="00E00765" w:rsidRPr="00CD3A2D" w:rsidRDefault="00E00765" w:rsidP="00E00765">
            <w:pPr>
              <w:tabs>
                <w:tab w:val="right" w:pos="1202"/>
              </w:tabs>
              <w:spacing w:line="240" w:lineRule="exact"/>
              <w:outlineLvl w:val="0"/>
              <w:rPr>
                <w:rFonts w:ascii="Calibri" w:hAnsi="Calibri" w:cs="Arial"/>
                <w:sz w:val="18"/>
                <w:szCs w:val="18"/>
                <w:lang w:val="hr-HR"/>
              </w:rPr>
            </w:pPr>
            <w:r w:rsidRPr="00CD3A2D">
              <w:rPr>
                <w:rFonts w:ascii="Calibri" w:hAnsi="Calibri" w:cs="Arial"/>
                <w:spacing w:val="-2"/>
                <w:sz w:val="18"/>
                <w:szCs w:val="18"/>
                <w:lang w:val="hr-HR"/>
              </w:rPr>
              <w:t>Ostale obveze</w:t>
            </w:r>
          </w:p>
        </w:tc>
        <w:tc>
          <w:tcPr>
            <w:tcW w:w="55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268.222</w:t>
            </w:r>
          </w:p>
        </w:tc>
        <w:tc>
          <w:tcPr>
            <w:tcW w:w="59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22.039</w:t>
            </w:r>
          </w:p>
        </w:tc>
        <w:tc>
          <w:tcPr>
            <w:tcW w:w="57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75.893</w:t>
            </w:r>
          </w:p>
        </w:tc>
        <w:tc>
          <w:tcPr>
            <w:tcW w:w="570"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152.199</w:t>
            </w:r>
          </w:p>
        </w:tc>
        <w:tc>
          <w:tcPr>
            <w:tcW w:w="642"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168.922</w:t>
            </w:r>
          </w:p>
        </w:tc>
        <w:tc>
          <w:tcPr>
            <w:tcW w:w="551" w:type="pct"/>
            <w:tcBorders>
              <w:top w:val="nil"/>
              <w:left w:val="nil"/>
              <w:bottom w:val="nil"/>
              <w:right w:val="nil"/>
            </w:tcBorders>
            <w:shd w:val="clear" w:color="auto" w:fill="auto"/>
            <w:vAlign w:val="center"/>
          </w:tcPr>
          <w:p w:rsidR="00E00765" w:rsidRPr="00CD3A2D" w:rsidRDefault="00E00765" w:rsidP="00E00765">
            <w:pPr>
              <w:jc w:val="right"/>
              <w:rPr>
                <w:rFonts w:ascii="Calibri" w:hAnsi="Calibri" w:cs="Calibri"/>
                <w:color w:val="000000"/>
                <w:sz w:val="18"/>
                <w:szCs w:val="18"/>
                <w:lang w:val="hr-HR"/>
              </w:rPr>
            </w:pPr>
            <w:r w:rsidRPr="00CD3A2D">
              <w:rPr>
                <w:rFonts w:ascii="Calibri" w:hAnsi="Calibri" w:cs="Calibri"/>
                <w:color w:val="000000"/>
                <w:sz w:val="18"/>
                <w:szCs w:val="18"/>
                <w:lang w:val="hr-HR"/>
              </w:rPr>
              <w:t>687.275</w:t>
            </w:r>
          </w:p>
        </w:tc>
      </w:tr>
      <w:tr w:rsidR="00E00765" w:rsidRPr="001567C8" w:rsidTr="003C6BA3">
        <w:trPr>
          <w:trHeight w:val="150"/>
        </w:trPr>
        <w:tc>
          <w:tcPr>
            <w:tcW w:w="1521" w:type="pct"/>
          </w:tcPr>
          <w:p w:rsidR="00E00765" w:rsidRPr="00CD3A2D" w:rsidRDefault="00E00765" w:rsidP="00E00765">
            <w:pPr>
              <w:tabs>
                <w:tab w:val="right" w:pos="1202"/>
              </w:tabs>
              <w:spacing w:line="240" w:lineRule="exact"/>
              <w:outlineLvl w:val="0"/>
              <w:rPr>
                <w:rFonts w:ascii="Calibri" w:hAnsi="Calibri" w:cs="Arial"/>
                <w:b/>
                <w:bCs/>
                <w:sz w:val="18"/>
                <w:szCs w:val="18"/>
                <w:lang w:val="hr-HR"/>
              </w:rPr>
            </w:pPr>
            <w:r w:rsidRPr="00CD3A2D">
              <w:rPr>
                <w:rFonts w:ascii="Calibri" w:hAnsi="Calibri" w:cs="Arial"/>
                <w:b/>
                <w:bCs/>
                <w:sz w:val="18"/>
                <w:szCs w:val="18"/>
                <w:lang w:val="hr-HR"/>
              </w:rPr>
              <w:t>Ukupne obveze</w:t>
            </w:r>
          </w:p>
        </w:tc>
        <w:tc>
          <w:tcPr>
            <w:tcW w:w="552" w:type="pct"/>
            <w:tcBorders>
              <w:top w:val="single" w:sz="8" w:space="0" w:color="auto"/>
              <w:left w:val="nil"/>
              <w:bottom w:val="single" w:sz="8" w:space="0" w:color="auto"/>
              <w:right w:val="nil"/>
            </w:tcBorders>
            <w:shd w:val="clear" w:color="auto" w:fill="auto"/>
            <w:vAlign w:val="center"/>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811.418</w:t>
            </w:r>
          </w:p>
        </w:tc>
        <w:tc>
          <w:tcPr>
            <w:tcW w:w="592" w:type="pct"/>
            <w:tcBorders>
              <w:top w:val="single" w:sz="8" w:space="0" w:color="auto"/>
              <w:left w:val="nil"/>
              <w:bottom w:val="single" w:sz="8" w:space="0" w:color="auto"/>
              <w:right w:val="nil"/>
            </w:tcBorders>
            <w:shd w:val="clear" w:color="auto" w:fill="auto"/>
            <w:vAlign w:val="center"/>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533.161</w:t>
            </w:r>
          </w:p>
        </w:tc>
        <w:tc>
          <w:tcPr>
            <w:tcW w:w="572" w:type="pct"/>
            <w:tcBorders>
              <w:top w:val="single" w:sz="8" w:space="0" w:color="auto"/>
              <w:left w:val="nil"/>
              <w:bottom w:val="single" w:sz="8" w:space="0" w:color="auto"/>
              <w:right w:val="nil"/>
            </w:tcBorders>
            <w:shd w:val="clear" w:color="auto" w:fill="auto"/>
            <w:vAlign w:val="center"/>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1.708.121</w:t>
            </w:r>
          </w:p>
        </w:tc>
        <w:tc>
          <w:tcPr>
            <w:tcW w:w="570" w:type="pct"/>
            <w:tcBorders>
              <w:top w:val="single" w:sz="8" w:space="0" w:color="auto"/>
              <w:left w:val="nil"/>
              <w:bottom w:val="single" w:sz="8" w:space="0" w:color="auto"/>
              <w:right w:val="nil"/>
            </w:tcBorders>
            <w:shd w:val="clear" w:color="auto" w:fill="auto"/>
            <w:vAlign w:val="center"/>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5.226.716</w:t>
            </w:r>
          </w:p>
        </w:tc>
        <w:tc>
          <w:tcPr>
            <w:tcW w:w="642" w:type="pct"/>
            <w:tcBorders>
              <w:top w:val="single" w:sz="8" w:space="0" w:color="auto"/>
              <w:left w:val="nil"/>
              <w:bottom w:val="single" w:sz="8" w:space="0" w:color="auto"/>
              <w:right w:val="nil"/>
            </w:tcBorders>
            <w:shd w:val="clear" w:color="auto" w:fill="auto"/>
            <w:vAlign w:val="center"/>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8.865.499</w:t>
            </w:r>
          </w:p>
        </w:tc>
        <w:tc>
          <w:tcPr>
            <w:tcW w:w="551" w:type="pct"/>
            <w:tcBorders>
              <w:top w:val="single" w:sz="8" w:space="0" w:color="auto"/>
              <w:left w:val="nil"/>
              <w:bottom w:val="single" w:sz="8" w:space="0" w:color="auto"/>
              <w:right w:val="nil"/>
            </w:tcBorders>
            <w:shd w:val="clear" w:color="auto" w:fill="auto"/>
            <w:vAlign w:val="center"/>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17.144.915</w:t>
            </w:r>
          </w:p>
        </w:tc>
      </w:tr>
      <w:tr w:rsidR="00E00765" w:rsidRPr="001567C8" w:rsidTr="003C6BA3">
        <w:trPr>
          <w:trHeight w:val="74"/>
        </w:trPr>
        <w:tc>
          <w:tcPr>
            <w:tcW w:w="1521" w:type="pct"/>
          </w:tcPr>
          <w:p w:rsidR="00E00765" w:rsidRPr="00CD3A2D" w:rsidRDefault="00E00765" w:rsidP="00E00765">
            <w:pPr>
              <w:tabs>
                <w:tab w:val="right" w:pos="1202"/>
              </w:tabs>
              <w:spacing w:line="240" w:lineRule="exact"/>
              <w:outlineLvl w:val="0"/>
              <w:rPr>
                <w:rFonts w:ascii="Calibri" w:hAnsi="Calibri" w:cs="Arial"/>
                <w:b/>
                <w:bCs/>
                <w:spacing w:val="-2"/>
                <w:sz w:val="18"/>
                <w:szCs w:val="18"/>
                <w:lang w:val="hr-HR"/>
              </w:rPr>
            </w:pPr>
            <w:r w:rsidRPr="00CD3A2D">
              <w:rPr>
                <w:rFonts w:ascii="Calibri" w:hAnsi="Calibri" w:cs="Arial"/>
                <w:b/>
                <w:bCs/>
                <w:spacing w:val="-2"/>
                <w:sz w:val="18"/>
                <w:szCs w:val="18"/>
                <w:lang w:val="hr-HR"/>
              </w:rPr>
              <w:t>Likvidnosni jaz</w:t>
            </w:r>
          </w:p>
        </w:tc>
        <w:tc>
          <w:tcPr>
            <w:tcW w:w="552" w:type="pct"/>
            <w:tcBorders>
              <w:left w:val="nil"/>
              <w:bottom w:val="single" w:sz="12" w:space="0" w:color="auto"/>
              <w:right w:val="nil"/>
            </w:tcBorders>
            <w:shd w:val="clear" w:color="auto" w:fill="auto"/>
            <w:vAlign w:val="bottom"/>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5.991.983</w:t>
            </w:r>
          </w:p>
        </w:tc>
        <w:tc>
          <w:tcPr>
            <w:tcW w:w="592" w:type="pct"/>
            <w:tcBorders>
              <w:left w:val="nil"/>
              <w:bottom w:val="single" w:sz="12" w:space="0" w:color="auto"/>
              <w:right w:val="nil"/>
            </w:tcBorders>
            <w:shd w:val="clear" w:color="auto" w:fill="auto"/>
            <w:vAlign w:val="bottom"/>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314.762</w:t>
            </w:r>
          </w:p>
        </w:tc>
        <w:tc>
          <w:tcPr>
            <w:tcW w:w="572" w:type="pct"/>
            <w:tcBorders>
              <w:left w:val="nil"/>
              <w:bottom w:val="single" w:sz="12" w:space="0" w:color="auto"/>
              <w:right w:val="nil"/>
            </w:tcBorders>
            <w:shd w:val="clear" w:color="auto" w:fill="auto"/>
            <w:vAlign w:val="bottom"/>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333.620</w:t>
            </w:r>
          </w:p>
        </w:tc>
        <w:tc>
          <w:tcPr>
            <w:tcW w:w="570" w:type="pct"/>
            <w:tcBorders>
              <w:left w:val="nil"/>
              <w:bottom w:val="single" w:sz="12" w:space="0" w:color="auto"/>
              <w:right w:val="nil"/>
            </w:tcBorders>
            <w:shd w:val="clear" w:color="auto" w:fill="auto"/>
            <w:vAlign w:val="bottom"/>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265.642</w:t>
            </w:r>
          </w:p>
        </w:tc>
        <w:tc>
          <w:tcPr>
            <w:tcW w:w="642" w:type="pct"/>
            <w:tcBorders>
              <w:left w:val="nil"/>
              <w:bottom w:val="single" w:sz="12" w:space="0" w:color="auto"/>
              <w:right w:val="nil"/>
            </w:tcBorders>
            <w:shd w:val="clear" w:color="auto" w:fill="auto"/>
            <w:vAlign w:val="bottom"/>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3.148.005</w:t>
            </w:r>
          </w:p>
        </w:tc>
        <w:tc>
          <w:tcPr>
            <w:tcW w:w="551" w:type="pct"/>
            <w:tcBorders>
              <w:left w:val="nil"/>
              <w:bottom w:val="single" w:sz="12" w:space="0" w:color="auto"/>
              <w:right w:val="nil"/>
            </w:tcBorders>
            <w:shd w:val="clear" w:color="auto" w:fill="auto"/>
            <w:vAlign w:val="bottom"/>
          </w:tcPr>
          <w:p w:rsidR="00E00765" w:rsidRPr="00CD3A2D" w:rsidRDefault="00E00765" w:rsidP="00E00765">
            <w:pPr>
              <w:jc w:val="right"/>
              <w:rPr>
                <w:rFonts w:ascii="Calibri" w:hAnsi="Calibri" w:cs="Calibri"/>
                <w:b/>
                <w:bCs/>
                <w:color w:val="000000"/>
                <w:sz w:val="18"/>
                <w:szCs w:val="18"/>
                <w:lang w:val="hr-HR"/>
              </w:rPr>
            </w:pPr>
            <w:r w:rsidRPr="00CD3A2D">
              <w:rPr>
                <w:rFonts w:ascii="Calibri" w:hAnsi="Calibri" w:cs="Calibri"/>
                <w:b/>
                <w:bCs/>
                <w:color w:val="000000"/>
                <w:sz w:val="18"/>
                <w:szCs w:val="18"/>
                <w:lang w:val="hr-HR"/>
              </w:rPr>
              <w:t>10.054.012</w:t>
            </w:r>
          </w:p>
        </w:tc>
      </w:tr>
      <w:tr w:rsidR="00E00765" w:rsidRPr="001567C8" w:rsidTr="00CD3A2D">
        <w:trPr>
          <w:trHeight w:hRule="exact" w:val="227"/>
        </w:trPr>
        <w:tc>
          <w:tcPr>
            <w:tcW w:w="1521" w:type="pct"/>
            <w:vAlign w:val="bottom"/>
          </w:tcPr>
          <w:p w:rsidR="00E00765" w:rsidRPr="00CD3A2D" w:rsidRDefault="00E00765" w:rsidP="00E00765">
            <w:pPr>
              <w:tabs>
                <w:tab w:val="right" w:pos="1202"/>
              </w:tabs>
              <w:spacing w:line="240" w:lineRule="exact"/>
              <w:outlineLvl w:val="0"/>
              <w:rPr>
                <w:rFonts w:ascii="Calibri" w:hAnsi="Calibri" w:cs="Arial"/>
                <w:b/>
                <w:bCs/>
                <w:spacing w:val="-2"/>
                <w:sz w:val="18"/>
                <w:szCs w:val="18"/>
                <w:lang w:val="hr-HR"/>
              </w:rPr>
            </w:pPr>
          </w:p>
        </w:tc>
        <w:tc>
          <w:tcPr>
            <w:tcW w:w="552" w:type="pct"/>
            <w:tcBorders>
              <w:top w:val="single" w:sz="12" w:space="0" w:color="auto"/>
              <w:left w:val="nil"/>
              <w:right w:val="nil"/>
            </w:tcBorders>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592" w:type="pct"/>
            <w:tcBorders>
              <w:top w:val="single" w:sz="12" w:space="0" w:color="auto"/>
              <w:left w:val="nil"/>
              <w:right w:val="nil"/>
            </w:tcBorders>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572" w:type="pct"/>
            <w:tcBorders>
              <w:top w:val="single" w:sz="12" w:space="0" w:color="auto"/>
              <w:left w:val="nil"/>
              <w:right w:val="nil"/>
            </w:tcBorders>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570" w:type="pct"/>
            <w:tcBorders>
              <w:top w:val="single" w:sz="12" w:space="0" w:color="auto"/>
              <w:left w:val="nil"/>
              <w:right w:val="nil"/>
            </w:tcBorders>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642" w:type="pct"/>
            <w:tcBorders>
              <w:top w:val="single" w:sz="12" w:space="0" w:color="auto"/>
              <w:left w:val="nil"/>
              <w:right w:val="nil"/>
            </w:tcBorders>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551" w:type="pct"/>
            <w:tcBorders>
              <w:top w:val="single" w:sz="12" w:space="0" w:color="auto"/>
              <w:left w:val="nil"/>
              <w:right w:val="nil"/>
            </w:tcBorders>
            <w:vAlign w:val="bottom"/>
          </w:tcPr>
          <w:p w:rsidR="00E00765" w:rsidRPr="00CD3A2D" w:rsidRDefault="00E00765" w:rsidP="00E00765">
            <w:pPr>
              <w:spacing w:line="240" w:lineRule="exact"/>
              <w:jc w:val="right"/>
              <w:outlineLvl w:val="0"/>
              <w:rPr>
                <w:rFonts w:ascii="Calibri" w:hAnsi="Calibri" w:cs="Arial"/>
                <w:b/>
                <w:sz w:val="18"/>
                <w:szCs w:val="18"/>
                <w:lang w:val="hr-HR"/>
              </w:rPr>
            </w:pPr>
          </w:p>
        </w:tc>
      </w:tr>
      <w:tr w:rsidR="00E00765" w:rsidRPr="001567C8" w:rsidTr="003C6BA3">
        <w:trPr>
          <w:trHeight w:hRule="exact" w:val="281"/>
        </w:trPr>
        <w:tc>
          <w:tcPr>
            <w:tcW w:w="1521" w:type="pct"/>
            <w:tcBorders>
              <w:top w:val="nil"/>
              <w:left w:val="nil"/>
              <w:bottom w:val="nil"/>
              <w:right w:val="nil"/>
            </w:tcBorders>
            <w:shd w:val="clear" w:color="auto" w:fill="auto"/>
            <w:vAlign w:val="center"/>
          </w:tcPr>
          <w:p w:rsidR="00E00765" w:rsidRPr="00CD3A2D" w:rsidRDefault="00E00765" w:rsidP="00E00765">
            <w:pPr>
              <w:tabs>
                <w:tab w:val="right" w:pos="1202"/>
              </w:tabs>
              <w:spacing w:line="240" w:lineRule="exact"/>
              <w:outlineLvl w:val="0"/>
              <w:rPr>
                <w:rFonts w:ascii="Calibri" w:hAnsi="Calibri" w:cs="Arial"/>
                <w:b/>
                <w:bCs/>
                <w:spacing w:val="-2"/>
                <w:sz w:val="18"/>
                <w:szCs w:val="18"/>
                <w:lang w:val="hr-HR"/>
              </w:rPr>
            </w:pPr>
            <w:r w:rsidRPr="00CD3A2D">
              <w:rPr>
                <w:rFonts w:ascii="Calibri" w:hAnsi="Calibri" w:cs="Calibri"/>
                <w:b/>
                <w:bCs/>
                <w:color w:val="000000"/>
                <w:sz w:val="18"/>
                <w:szCs w:val="18"/>
                <w:lang w:val="hr-HR"/>
              </w:rPr>
              <w:t>Garancije i preuzete obveze</w:t>
            </w:r>
          </w:p>
        </w:tc>
        <w:tc>
          <w:tcPr>
            <w:tcW w:w="552" w:type="pct"/>
            <w:tcBorders>
              <w:top w:val="nil"/>
              <w:left w:val="nil"/>
              <w:bottom w:val="nil"/>
              <w:right w:val="nil"/>
            </w:tcBorders>
            <w:shd w:val="clear" w:color="auto" w:fill="auto"/>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592" w:type="pct"/>
            <w:tcBorders>
              <w:top w:val="nil"/>
              <w:left w:val="nil"/>
              <w:bottom w:val="nil"/>
              <w:right w:val="nil"/>
            </w:tcBorders>
            <w:shd w:val="clear" w:color="auto" w:fill="auto"/>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572" w:type="pct"/>
            <w:tcBorders>
              <w:top w:val="nil"/>
              <w:left w:val="nil"/>
              <w:bottom w:val="nil"/>
              <w:right w:val="nil"/>
            </w:tcBorders>
            <w:shd w:val="clear" w:color="auto" w:fill="auto"/>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570" w:type="pct"/>
            <w:tcBorders>
              <w:top w:val="nil"/>
              <w:left w:val="nil"/>
              <w:bottom w:val="nil"/>
              <w:right w:val="nil"/>
            </w:tcBorders>
            <w:shd w:val="clear" w:color="auto" w:fill="auto"/>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642" w:type="pct"/>
            <w:tcBorders>
              <w:top w:val="nil"/>
              <w:left w:val="nil"/>
              <w:bottom w:val="nil"/>
              <w:right w:val="nil"/>
            </w:tcBorders>
            <w:shd w:val="clear" w:color="auto" w:fill="auto"/>
            <w:vAlign w:val="bottom"/>
          </w:tcPr>
          <w:p w:rsidR="00E00765" w:rsidRPr="00CD3A2D" w:rsidRDefault="00E00765" w:rsidP="00E00765">
            <w:pPr>
              <w:spacing w:line="240" w:lineRule="exact"/>
              <w:jc w:val="right"/>
              <w:outlineLvl w:val="0"/>
              <w:rPr>
                <w:rFonts w:ascii="Calibri" w:hAnsi="Calibri" w:cs="Arial"/>
                <w:b/>
                <w:sz w:val="18"/>
                <w:szCs w:val="18"/>
                <w:lang w:val="hr-HR"/>
              </w:rPr>
            </w:pPr>
          </w:p>
        </w:tc>
        <w:tc>
          <w:tcPr>
            <w:tcW w:w="551" w:type="pct"/>
            <w:tcBorders>
              <w:top w:val="nil"/>
              <w:left w:val="nil"/>
              <w:bottom w:val="nil"/>
              <w:right w:val="nil"/>
            </w:tcBorders>
            <w:shd w:val="clear" w:color="auto" w:fill="auto"/>
            <w:vAlign w:val="bottom"/>
          </w:tcPr>
          <w:p w:rsidR="00E00765" w:rsidRPr="00CD3A2D" w:rsidRDefault="00E00765" w:rsidP="00E00765">
            <w:pPr>
              <w:spacing w:line="240" w:lineRule="exact"/>
              <w:jc w:val="right"/>
              <w:outlineLvl w:val="0"/>
              <w:rPr>
                <w:rFonts w:ascii="Calibri" w:hAnsi="Calibri" w:cs="Arial"/>
                <w:b/>
                <w:sz w:val="18"/>
                <w:szCs w:val="18"/>
                <w:lang w:val="hr-HR"/>
              </w:rPr>
            </w:pPr>
          </w:p>
        </w:tc>
      </w:tr>
      <w:tr w:rsidR="00173C60" w:rsidRPr="001567C8" w:rsidTr="00043BBB">
        <w:trPr>
          <w:trHeight w:hRule="exact" w:val="281"/>
        </w:trPr>
        <w:tc>
          <w:tcPr>
            <w:tcW w:w="1521"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outlineLvl w:val="0"/>
              <w:rPr>
                <w:rFonts w:ascii="Calibri" w:hAnsi="Calibri" w:cs="Arial"/>
                <w:b/>
                <w:bCs/>
                <w:spacing w:val="-2"/>
                <w:sz w:val="18"/>
                <w:szCs w:val="18"/>
                <w:lang w:val="hr-HR"/>
              </w:rPr>
            </w:pPr>
            <w:r w:rsidRPr="00CD3A2D">
              <w:rPr>
                <w:rFonts w:ascii="Calibri" w:hAnsi="Calibri" w:cs="Calibri"/>
                <w:color w:val="000000"/>
                <w:sz w:val="18"/>
                <w:szCs w:val="18"/>
                <w:lang w:val="hr-HR"/>
              </w:rPr>
              <w:t>Izdane garancije u kunama</w:t>
            </w:r>
          </w:p>
        </w:tc>
        <w:tc>
          <w:tcPr>
            <w:tcW w:w="552"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576</w:t>
            </w:r>
          </w:p>
        </w:tc>
        <w:tc>
          <w:tcPr>
            <w:tcW w:w="59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0"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4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1"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576</w:t>
            </w:r>
          </w:p>
        </w:tc>
      </w:tr>
      <w:tr w:rsidR="00173C60" w:rsidRPr="001567C8" w:rsidTr="00043BBB">
        <w:trPr>
          <w:trHeight w:hRule="exact" w:val="281"/>
        </w:trPr>
        <w:tc>
          <w:tcPr>
            <w:tcW w:w="1521"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outlineLvl w:val="0"/>
              <w:rPr>
                <w:rFonts w:ascii="Calibri" w:hAnsi="Calibri" w:cs="Arial"/>
                <w:b/>
                <w:bCs/>
                <w:spacing w:val="-2"/>
                <w:sz w:val="18"/>
                <w:szCs w:val="18"/>
                <w:lang w:val="hr-HR"/>
              </w:rPr>
            </w:pPr>
            <w:r w:rsidRPr="00CD3A2D">
              <w:rPr>
                <w:rFonts w:ascii="Calibri" w:hAnsi="Calibri" w:cs="Calibri"/>
                <w:color w:val="000000"/>
                <w:sz w:val="18"/>
                <w:szCs w:val="18"/>
                <w:lang w:val="hr-HR"/>
              </w:rPr>
              <w:t>Izdane garancije u devizama</w:t>
            </w:r>
          </w:p>
        </w:tc>
        <w:tc>
          <w:tcPr>
            <w:tcW w:w="552"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822</w:t>
            </w:r>
            <w:r>
              <w:rPr>
                <w:rFonts w:asciiTheme="minorHAnsi" w:hAnsiTheme="minorHAnsi" w:cstheme="minorHAnsi"/>
                <w:spacing w:val="-2"/>
                <w:sz w:val="18"/>
                <w:szCs w:val="18"/>
              </w:rPr>
              <w:t>.</w:t>
            </w:r>
            <w:r w:rsidRPr="00B03E71">
              <w:rPr>
                <w:rFonts w:asciiTheme="minorHAnsi" w:hAnsiTheme="minorHAnsi" w:cstheme="minorHAnsi"/>
                <w:spacing w:val="-2"/>
                <w:sz w:val="18"/>
                <w:szCs w:val="18"/>
              </w:rPr>
              <w:t>396</w:t>
            </w:r>
          </w:p>
        </w:tc>
        <w:tc>
          <w:tcPr>
            <w:tcW w:w="59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0"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4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1"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822</w:t>
            </w:r>
            <w:r>
              <w:rPr>
                <w:rFonts w:asciiTheme="minorHAnsi" w:hAnsiTheme="minorHAnsi" w:cstheme="minorHAnsi"/>
                <w:spacing w:val="-2"/>
                <w:sz w:val="18"/>
                <w:szCs w:val="18"/>
              </w:rPr>
              <w:t>.</w:t>
            </w:r>
            <w:r w:rsidRPr="00B03E71">
              <w:rPr>
                <w:rFonts w:asciiTheme="minorHAnsi" w:hAnsiTheme="minorHAnsi" w:cstheme="minorHAnsi"/>
                <w:spacing w:val="-2"/>
                <w:sz w:val="18"/>
                <w:szCs w:val="18"/>
              </w:rPr>
              <w:t>396</w:t>
            </w:r>
          </w:p>
        </w:tc>
      </w:tr>
      <w:tr w:rsidR="00173C60" w:rsidRPr="001567C8" w:rsidTr="00043BBB">
        <w:trPr>
          <w:trHeight w:hRule="exact" w:val="281"/>
        </w:trPr>
        <w:tc>
          <w:tcPr>
            <w:tcW w:w="1521"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outlineLvl w:val="0"/>
              <w:rPr>
                <w:rFonts w:ascii="Calibri" w:hAnsi="Calibri" w:cs="Arial"/>
                <w:b/>
                <w:bCs/>
                <w:spacing w:val="-2"/>
                <w:sz w:val="18"/>
                <w:szCs w:val="18"/>
                <w:lang w:val="hr-HR"/>
              </w:rPr>
            </w:pPr>
            <w:r w:rsidRPr="00CD3A2D">
              <w:rPr>
                <w:rFonts w:ascii="Calibri" w:hAnsi="Calibri" w:cs="Calibri"/>
                <w:color w:val="000000"/>
                <w:sz w:val="18"/>
                <w:szCs w:val="18"/>
                <w:lang w:val="hr-HR"/>
              </w:rPr>
              <w:t>Preuzete obveze po kreditima</w:t>
            </w:r>
          </w:p>
        </w:tc>
        <w:tc>
          <w:tcPr>
            <w:tcW w:w="552"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291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032</w:t>
            </w:r>
          </w:p>
        </w:tc>
        <w:tc>
          <w:tcPr>
            <w:tcW w:w="59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0"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4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1"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291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032</w:t>
            </w:r>
          </w:p>
        </w:tc>
      </w:tr>
      <w:tr w:rsidR="00173C60" w:rsidRPr="001567C8" w:rsidTr="00043BBB">
        <w:trPr>
          <w:trHeight w:hRule="exact" w:val="281"/>
        </w:trPr>
        <w:tc>
          <w:tcPr>
            <w:tcW w:w="1521"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outlineLvl w:val="0"/>
              <w:rPr>
                <w:rFonts w:ascii="Calibri" w:hAnsi="Calibri" w:cs="Calibri"/>
                <w:color w:val="000000"/>
                <w:sz w:val="18"/>
                <w:szCs w:val="18"/>
                <w:lang w:val="hr-HR"/>
              </w:rPr>
            </w:pPr>
            <w:r w:rsidRPr="00CD3A2D">
              <w:rPr>
                <w:rFonts w:ascii="Calibri" w:hAnsi="Calibri" w:cs="Calibri"/>
                <w:color w:val="000000"/>
                <w:sz w:val="18"/>
                <w:szCs w:val="18"/>
                <w:lang w:val="hr-HR"/>
              </w:rPr>
              <w:t>Upisani a neuplaćeni kapital EIF-a</w:t>
            </w:r>
          </w:p>
        </w:tc>
        <w:tc>
          <w:tcPr>
            <w:tcW w:w="552"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47</w:t>
            </w:r>
            <w:r>
              <w:rPr>
                <w:rFonts w:asciiTheme="minorHAnsi" w:hAnsiTheme="minorHAnsi" w:cstheme="minorHAnsi"/>
                <w:sz w:val="18"/>
                <w:szCs w:val="18"/>
              </w:rPr>
              <w:t>.</w:t>
            </w:r>
            <w:r w:rsidRPr="00B03E71">
              <w:rPr>
                <w:rFonts w:asciiTheme="minorHAnsi" w:hAnsiTheme="minorHAnsi" w:cstheme="minorHAnsi"/>
                <w:sz w:val="18"/>
                <w:szCs w:val="18"/>
              </w:rPr>
              <w:t>472</w:t>
            </w:r>
          </w:p>
        </w:tc>
        <w:tc>
          <w:tcPr>
            <w:tcW w:w="59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0"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4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1"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47</w:t>
            </w:r>
            <w:r>
              <w:rPr>
                <w:rFonts w:asciiTheme="minorHAnsi" w:hAnsiTheme="minorHAnsi" w:cstheme="minorHAnsi"/>
                <w:sz w:val="18"/>
                <w:szCs w:val="18"/>
              </w:rPr>
              <w:t>.</w:t>
            </w:r>
            <w:r w:rsidRPr="00B03E71">
              <w:rPr>
                <w:rFonts w:asciiTheme="minorHAnsi" w:hAnsiTheme="minorHAnsi" w:cstheme="minorHAnsi"/>
                <w:sz w:val="18"/>
                <w:szCs w:val="18"/>
              </w:rPr>
              <w:t>472</w:t>
            </w:r>
          </w:p>
        </w:tc>
      </w:tr>
      <w:tr w:rsidR="00173C60" w:rsidRPr="001567C8" w:rsidTr="00043BBB">
        <w:trPr>
          <w:trHeight w:hRule="exact" w:val="281"/>
        </w:trPr>
        <w:tc>
          <w:tcPr>
            <w:tcW w:w="1521"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outlineLvl w:val="0"/>
              <w:rPr>
                <w:rFonts w:ascii="Calibri" w:hAnsi="Calibri" w:cs="Calibri"/>
                <w:color w:val="000000"/>
                <w:sz w:val="18"/>
                <w:szCs w:val="18"/>
                <w:lang w:val="hr-HR"/>
              </w:rPr>
            </w:pPr>
            <w:r w:rsidRPr="00CD3A2D">
              <w:rPr>
                <w:rFonts w:ascii="Calibri" w:hAnsi="Calibri" w:cs="Calibri"/>
                <w:color w:val="000000"/>
                <w:sz w:val="18"/>
                <w:szCs w:val="18"/>
                <w:lang w:val="hr-HR"/>
              </w:rPr>
              <w:t>Ostale nespomenute neopozive potencijalne obveze</w:t>
            </w:r>
          </w:p>
        </w:tc>
        <w:tc>
          <w:tcPr>
            <w:tcW w:w="552"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93</w:t>
            </w:r>
          </w:p>
        </w:tc>
        <w:tc>
          <w:tcPr>
            <w:tcW w:w="59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70"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42"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1"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93</w:t>
            </w:r>
          </w:p>
        </w:tc>
      </w:tr>
      <w:tr w:rsidR="001C1341" w:rsidRPr="001567C8" w:rsidTr="00043BBB">
        <w:trPr>
          <w:trHeight w:hRule="exact" w:val="281"/>
        </w:trPr>
        <w:tc>
          <w:tcPr>
            <w:tcW w:w="1521" w:type="pct"/>
            <w:tcBorders>
              <w:top w:val="nil"/>
              <w:left w:val="nil"/>
              <w:bottom w:val="nil"/>
              <w:right w:val="nil"/>
            </w:tcBorders>
            <w:shd w:val="clear" w:color="auto" w:fill="auto"/>
            <w:vAlign w:val="center"/>
          </w:tcPr>
          <w:p w:rsidR="001C1341" w:rsidRPr="00CD3A2D" w:rsidRDefault="001C1341" w:rsidP="001C1341">
            <w:pPr>
              <w:tabs>
                <w:tab w:val="right" w:pos="1202"/>
              </w:tabs>
              <w:spacing w:line="240" w:lineRule="exact"/>
              <w:outlineLvl w:val="0"/>
              <w:rPr>
                <w:rFonts w:ascii="Calibri" w:hAnsi="Calibri" w:cs="Arial"/>
                <w:b/>
                <w:bCs/>
                <w:spacing w:val="-2"/>
                <w:sz w:val="18"/>
                <w:szCs w:val="18"/>
                <w:lang w:val="hr-HR"/>
              </w:rPr>
            </w:pPr>
            <w:r w:rsidRPr="00CD3A2D">
              <w:rPr>
                <w:rFonts w:ascii="Calibri" w:hAnsi="Calibri" w:cs="Calibri"/>
                <w:b/>
                <w:bCs/>
                <w:color w:val="000000"/>
                <w:sz w:val="18"/>
                <w:szCs w:val="18"/>
                <w:lang w:val="hr-HR"/>
              </w:rPr>
              <w:t>Ukupne garancije i preuzete obveze</w:t>
            </w:r>
          </w:p>
        </w:tc>
        <w:tc>
          <w:tcPr>
            <w:tcW w:w="552" w:type="pct"/>
            <w:tcBorders>
              <w:top w:val="single" w:sz="4" w:space="0" w:color="auto"/>
              <w:left w:val="nil"/>
              <w:bottom w:val="single" w:sz="12" w:space="0" w:color="auto"/>
              <w:right w:val="nil"/>
            </w:tcBorders>
            <w:shd w:val="clear" w:color="auto" w:fill="auto"/>
            <w:vAlign w:val="bottom"/>
          </w:tcPr>
          <w:p w:rsidR="001C1341" w:rsidRPr="00CD3A2D" w:rsidRDefault="001C1341" w:rsidP="001C1341">
            <w:pPr>
              <w:tabs>
                <w:tab w:val="right" w:pos="1202"/>
              </w:tabs>
              <w:jc w:val="right"/>
              <w:outlineLvl w:val="0"/>
              <w:rPr>
                <w:rFonts w:ascii="Calibri" w:hAnsi="Calibri" w:cs="Calibri"/>
                <w:b/>
                <w:sz w:val="18"/>
                <w:szCs w:val="18"/>
                <w:lang w:val="hr-HR"/>
              </w:rPr>
            </w:pPr>
            <w:r w:rsidRPr="00CD3A2D">
              <w:rPr>
                <w:rFonts w:ascii="Calibri" w:hAnsi="Calibri" w:cs="Calibri"/>
                <w:b/>
                <w:bCs/>
                <w:color w:val="000000"/>
                <w:sz w:val="18"/>
                <w:szCs w:val="18"/>
                <w:lang w:val="hr-HR"/>
              </w:rPr>
              <w:t>5</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194</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569</w:t>
            </w:r>
          </w:p>
        </w:tc>
        <w:tc>
          <w:tcPr>
            <w:tcW w:w="592" w:type="pct"/>
            <w:tcBorders>
              <w:top w:val="single" w:sz="4" w:space="0" w:color="auto"/>
              <w:left w:val="nil"/>
              <w:bottom w:val="single" w:sz="12" w:space="0" w:color="auto"/>
              <w:right w:val="nil"/>
            </w:tcBorders>
            <w:shd w:val="clear" w:color="auto" w:fill="auto"/>
          </w:tcPr>
          <w:p w:rsidR="001C1341" w:rsidRDefault="001C1341" w:rsidP="001C1341">
            <w:pPr>
              <w:jc w:val="right"/>
            </w:pPr>
            <w:r w:rsidRPr="007C7F7F">
              <w:rPr>
                <w:rFonts w:ascii="Calibri" w:hAnsi="Calibri" w:cs="Calibri"/>
                <w:color w:val="000000"/>
                <w:sz w:val="18"/>
                <w:szCs w:val="18"/>
                <w:lang w:val="hr-HR"/>
              </w:rPr>
              <w:t>-</w:t>
            </w:r>
          </w:p>
        </w:tc>
        <w:tc>
          <w:tcPr>
            <w:tcW w:w="572" w:type="pct"/>
            <w:tcBorders>
              <w:top w:val="single" w:sz="4" w:space="0" w:color="auto"/>
              <w:left w:val="nil"/>
              <w:bottom w:val="single" w:sz="12" w:space="0" w:color="auto"/>
              <w:right w:val="nil"/>
            </w:tcBorders>
            <w:shd w:val="clear" w:color="auto" w:fill="auto"/>
          </w:tcPr>
          <w:p w:rsidR="001C1341" w:rsidRDefault="001C1341" w:rsidP="001C1341">
            <w:pPr>
              <w:jc w:val="right"/>
            </w:pPr>
            <w:r w:rsidRPr="007C7F7F">
              <w:rPr>
                <w:rFonts w:ascii="Calibri" w:hAnsi="Calibri" w:cs="Calibri"/>
                <w:color w:val="000000"/>
                <w:sz w:val="18"/>
                <w:szCs w:val="18"/>
                <w:lang w:val="hr-HR"/>
              </w:rPr>
              <w:t>-</w:t>
            </w:r>
          </w:p>
        </w:tc>
        <w:tc>
          <w:tcPr>
            <w:tcW w:w="570" w:type="pct"/>
            <w:tcBorders>
              <w:top w:val="single" w:sz="4" w:space="0" w:color="auto"/>
              <w:left w:val="nil"/>
              <w:bottom w:val="single" w:sz="12" w:space="0" w:color="auto"/>
              <w:right w:val="nil"/>
            </w:tcBorders>
            <w:shd w:val="clear" w:color="auto" w:fill="auto"/>
          </w:tcPr>
          <w:p w:rsidR="001C1341" w:rsidRDefault="001C1341" w:rsidP="001C1341">
            <w:pPr>
              <w:jc w:val="right"/>
            </w:pPr>
            <w:r w:rsidRPr="007C7F7F">
              <w:rPr>
                <w:rFonts w:ascii="Calibri" w:hAnsi="Calibri" w:cs="Calibri"/>
                <w:color w:val="000000"/>
                <w:sz w:val="18"/>
                <w:szCs w:val="18"/>
                <w:lang w:val="hr-HR"/>
              </w:rPr>
              <w:t>-</w:t>
            </w:r>
          </w:p>
        </w:tc>
        <w:tc>
          <w:tcPr>
            <w:tcW w:w="642" w:type="pct"/>
            <w:tcBorders>
              <w:top w:val="single" w:sz="4" w:space="0" w:color="auto"/>
              <w:left w:val="nil"/>
              <w:bottom w:val="single" w:sz="12" w:space="0" w:color="auto"/>
              <w:right w:val="nil"/>
            </w:tcBorders>
            <w:shd w:val="clear" w:color="auto" w:fill="auto"/>
          </w:tcPr>
          <w:p w:rsidR="001C1341" w:rsidRDefault="001C1341" w:rsidP="001C1341">
            <w:pPr>
              <w:jc w:val="right"/>
            </w:pPr>
            <w:r w:rsidRPr="007C7F7F">
              <w:rPr>
                <w:rFonts w:ascii="Calibri" w:hAnsi="Calibri" w:cs="Calibri"/>
                <w:color w:val="000000"/>
                <w:sz w:val="18"/>
                <w:szCs w:val="18"/>
                <w:lang w:val="hr-HR"/>
              </w:rPr>
              <w:t>-</w:t>
            </w:r>
          </w:p>
        </w:tc>
        <w:tc>
          <w:tcPr>
            <w:tcW w:w="551" w:type="pct"/>
            <w:tcBorders>
              <w:top w:val="single" w:sz="4" w:space="0" w:color="auto"/>
              <w:left w:val="nil"/>
              <w:bottom w:val="single" w:sz="12" w:space="0" w:color="auto"/>
              <w:right w:val="nil"/>
            </w:tcBorders>
            <w:shd w:val="clear" w:color="auto" w:fill="auto"/>
            <w:vAlign w:val="bottom"/>
          </w:tcPr>
          <w:p w:rsidR="001C1341" w:rsidRPr="00CD3A2D" w:rsidRDefault="001C1341" w:rsidP="001C1341">
            <w:pPr>
              <w:tabs>
                <w:tab w:val="right" w:pos="1202"/>
              </w:tabs>
              <w:jc w:val="right"/>
              <w:outlineLvl w:val="0"/>
              <w:rPr>
                <w:rFonts w:ascii="Calibri" w:hAnsi="Calibri" w:cs="Calibri"/>
                <w:b/>
                <w:sz w:val="18"/>
                <w:szCs w:val="18"/>
                <w:lang w:val="hr-HR"/>
              </w:rPr>
            </w:pPr>
            <w:r w:rsidRPr="00CD3A2D">
              <w:rPr>
                <w:rFonts w:ascii="Calibri" w:hAnsi="Calibri" w:cs="Calibri"/>
                <w:b/>
                <w:bCs/>
                <w:color w:val="000000"/>
                <w:sz w:val="18"/>
                <w:szCs w:val="18"/>
                <w:lang w:val="hr-HR"/>
              </w:rPr>
              <w:t>5</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194</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569</w:t>
            </w:r>
          </w:p>
        </w:tc>
      </w:tr>
    </w:tbl>
    <w:p w:rsidR="00104704" w:rsidRPr="001567C8" w:rsidRDefault="00104704" w:rsidP="00104704">
      <w:pPr>
        <w:pStyle w:val="accountingpolicytitle"/>
        <w:rPr>
          <w:rFonts w:asciiTheme="minorHAnsi" w:hAnsiTheme="minorHAnsi" w:cs="Arial"/>
          <w:b w:val="0"/>
          <w:sz w:val="20"/>
          <w:lang w:val="hr-HR"/>
        </w:rPr>
      </w:pPr>
    </w:p>
    <w:p w:rsidR="00045F0A" w:rsidRPr="001567C8" w:rsidRDefault="00DD1904" w:rsidP="00104704">
      <w:pPr>
        <w:pStyle w:val="accountingpolicytitle"/>
        <w:rPr>
          <w:rFonts w:asciiTheme="minorHAnsi" w:hAnsiTheme="minorHAnsi" w:cs="Arial"/>
          <w:b w:val="0"/>
          <w:sz w:val="20"/>
          <w:lang w:val="hr-HR"/>
        </w:rPr>
      </w:pPr>
      <w:r w:rsidRPr="001567C8">
        <w:rPr>
          <w:rFonts w:asciiTheme="minorHAnsi" w:hAnsiTheme="minorHAnsi" w:cs="Arial"/>
          <w:b w:val="0"/>
          <w:sz w:val="20"/>
          <w:lang w:val="hr-HR"/>
        </w:rPr>
        <w:t>Stavke s neodređenim dospijećem iskazane su u razdoblju preko 3 godine.</w:t>
      </w:r>
    </w:p>
    <w:p w:rsidR="00104704" w:rsidRPr="001567C8" w:rsidRDefault="00104704" w:rsidP="00104704">
      <w:pPr>
        <w:pStyle w:val="accountingpolicytitle"/>
        <w:rPr>
          <w:rFonts w:asciiTheme="minorHAnsi" w:hAnsiTheme="minorHAnsi" w:cs="Arial"/>
          <w:b w:val="0"/>
          <w:bCs/>
          <w:sz w:val="20"/>
          <w:lang w:val="hr-HR"/>
        </w:rPr>
      </w:pPr>
    </w:p>
    <w:p w:rsidR="008770A1" w:rsidRPr="00CD3A2D" w:rsidRDefault="00104704" w:rsidP="003C6BA3">
      <w:pPr>
        <w:pStyle w:val="T1"/>
        <w:spacing w:before="0" w:after="0" w:line="240" w:lineRule="auto"/>
        <w:ind w:right="-1"/>
        <w:rPr>
          <w:lang w:val="hr-HR"/>
        </w:rPr>
      </w:pPr>
      <w:r w:rsidRPr="001567C8">
        <w:rPr>
          <w:rFonts w:asciiTheme="minorHAnsi" w:hAnsiTheme="minorHAnsi"/>
          <w:b w:val="0"/>
          <w:i/>
          <w:sz w:val="20"/>
          <w:lang w:val="hr-HR"/>
        </w:rPr>
        <w:t>*</w:t>
      </w:r>
      <w:r w:rsidR="00A44D30" w:rsidRPr="00CD3A2D">
        <w:rPr>
          <w:lang w:val="hr-HR"/>
        </w:rPr>
        <w:t xml:space="preserve"> </w:t>
      </w:r>
      <w:r w:rsidR="00A44D30" w:rsidRPr="001567C8">
        <w:rPr>
          <w:rFonts w:asciiTheme="minorHAnsi" w:hAnsiTheme="minorHAnsi"/>
          <w:b w:val="0"/>
          <w:i/>
          <w:sz w:val="20"/>
          <w:lang w:val="hr-HR"/>
        </w:rPr>
        <w:t xml:space="preserve">Potraživanje u iznosu od </w:t>
      </w:r>
      <w:r w:rsidR="00DC6A16" w:rsidRPr="001567C8">
        <w:rPr>
          <w:rFonts w:asciiTheme="minorHAnsi" w:hAnsiTheme="minorHAnsi"/>
          <w:b w:val="0"/>
          <w:i/>
          <w:sz w:val="20"/>
          <w:lang w:val="hr-HR"/>
        </w:rPr>
        <w:t xml:space="preserve">691.269 </w:t>
      </w:r>
      <w:r w:rsidR="00A44D30" w:rsidRPr="001567C8">
        <w:rPr>
          <w:rFonts w:asciiTheme="minorHAnsi" w:hAnsiTheme="minorHAnsi"/>
          <w:b w:val="0"/>
          <w:i/>
          <w:sz w:val="20"/>
          <w:lang w:val="hr-HR"/>
        </w:rPr>
        <w:t xml:space="preserve">tisuća kuna odnosi se na obrnute repo poslove. Kako je dio iznosa potraživanja produžen nakon datuma Izvještaja o financijskom položaju njegovo dospijeće iskazano je u razdoblju od </w:t>
      </w:r>
      <w:r w:rsidR="00AD2AC2" w:rsidRPr="001567C8">
        <w:rPr>
          <w:rFonts w:asciiTheme="minorHAnsi" w:hAnsiTheme="minorHAnsi"/>
          <w:b w:val="0"/>
          <w:i/>
          <w:sz w:val="20"/>
          <w:lang w:val="hr-HR"/>
        </w:rPr>
        <w:t>1 do 3 mjeseca</w:t>
      </w:r>
      <w:r w:rsidR="00A44D30" w:rsidRPr="001567C8">
        <w:rPr>
          <w:rFonts w:asciiTheme="minorHAnsi" w:hAnsiTheme="minorHAnsi"/>
          <w:b w:val="0"/>
          <w:i/>
          <w:sz w:val="20"/>
          <w:lang w:val="hr-HR"/>
        </w:rPr>
        <w:t xml:space="preserve"> u iznosu od </w:t>
      </w:r>
      <w:r w:rsidR="00AD2AC2" w:rsidRPr="001567C8">
        <w:rPr>
          <w:rFonts w:asciiTheme="minorHAnsi" w:hAnsiTheme="minorHAnsi"/>
          <w:b w:val="0"/>
          <w:i/>
          <w:sz w:val="20"/>
          <w:lang w:val="hr-HR"/>
        </w:rPr>
        <w:t>222.527</w:t>
      </w:r>
      <w:r w:rsidR="00A44D30" w:rsidRPr="001567C8">
        <w:rPr>
          <w:rFonts w:asciiTheme="minorHAnsi" w:hAnsiTheme="minorHAnsi"/>
          <w:b w:val="0"/>
          <w:i/>
          <w:sz w:val="20"/>
          <w:lang w:val="hr-HR"/>
        </w:rPr>
        <w:t xml:space="preserve"> tisuća kuna.</w:t>
      </w:r>
    </w:p>
    <w:p w:rsidR="00AD2AC2" w:rsidRPr="001567C8" w:rsidRDefault="00AD2AC2" w:rsidP="00AD2AC2">
      <w:pPr>
        <w:jc w:val="both"/>
        <w:rPr>
          <w:rFonts w:ascii="Calibri" w:eastAsia="Calibri" w:hAnsi="Calibri"/>
          <w:sz w:val="20"/>
          <w:szCs w:val="20"/>
          <w:lang w:val="hr-HR"/>
        </w:rPr>
      </w:pPr>
      <w:r w:rsidRPr="001567C8">
        <w:rPr>
          <w:rFonts w:ascii="Calibri" w:eastAsia="Calibri" w:hAnsi="Calibri"/>
          <w:bCs/>
          <w:i/>
          <w:sz w:val="20"/>
          <w:szCs w:val="20"/>
          <w:lang w:val="hr-HR"/>
        </w:rPr>
        <w:t xml:space="preserve">** Obračunata nedospjela kamata po kreditima raspoređena je u kategoriji od 1 do 3 mjeseci. </w:t>
      </w:r>
    </w:p>
    <w:p w:rsidR="00E3322A" w:rsidRPr="001567C8" w:rsidRDefault="00E3322A" w:rsidP="00104704">
      <w:pPr>
        <w:ind w:right="-1"/>
        <w:rPr>
          <w:rFonts w:asciiTheme="minorHAnsi" w:hAnsiTheme="minorHAnsi" w:cs="Arial"/>
          <w:sz w:val="20"/>
          <w:szCs w:val="20"/>
          <w:lang w:val="hr-HR"/>
        </w:rPr>
        <w:sectPr w:rsidR="00E3322A" w:rsidRPr="001567C8" w:rsidSect="0077198A">
          <w:pgSz w:w="11907" w:h="16840" w:code="9"/>
          <w:pgMar w:top="1418" w:right="1275" w:bottom="1134" w:left="1418" w:header="851" w:footer="851" w:gutter="0"/>
          <w:cols w:space="720"/>
          <w:noEndnote/>
        </w:sectPr>
      </w:pPr>
    </w:p>
    <w:p w:rsidR="00104704" w:rsidRPr="001567C8" w:rsidRDefault="00104704" w:rsidP="00104704">
      <w:pPr>
        <w:pStyle w:val="T1"/>
        <w:spacing w:before="0" w:after="0" w:line="240" w:lineRule="auto"/>
        <w:rPr>
          <w:rFonts w:asciiTheme="minorHAnsi" w:hAnsiTheme="minorHAnsi" w:cs="Arial"/>
          <w:sz w:val="22"/>
          <w:szCs w:val="22"/>
          <w:lang w:val="hr-HR"/>
        </w:rPr>
      </w:pPr>
    </w:p>
    <w:p w:rsidR="00C204AA" w:rsidRPr="001567C8" w:rsidRDefault="00283175" w:rsidP="00104704">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F75285" w:rsidRPr="001567C8">
        <w:rPr>
          <w:rFonts w:asciiTheme="minorHAnsi" w:hAnsiTheme="minorHAnsi" w:cs="Arial"/>
          <w:sz w:val="22"/>
          <w:szCs w:val="22"/>
          <w:lang w:val="hr-HR"/>
        </w:rPr>
        <w:t>6</w:t>
      </w:r>
      <w:r w:rsidR="00C204AA" w:rsidRPr="001567C8">
        <w:rPr>
          <w:rFonts w:asciiTheme="minorHAnsi" w:hAnsiTheme="minorHAnsi" w:cs="Arial"/>
          <w:sz w:val="22"/>
          <w:szCs w:val="22"/>
          <w:lang w:val="hr-HR"/>
        </w:rPr>
        <w:t>.</w:t>
      </w:r>
      <w:r w:rsidR="00C204AA" w:rsidRPr="001567C8">
        <w:rPr>
          <w:rFonts w:asciiTheme="minorHAnsi" w:hAnsiTheme="minorHAnsi" w:cs="Arial"/>
          <w:sz w:val="22"/>
          <w:szCs w:val="22"/>
          <w:lang w:val="hr-HR"/>
        </w:rPr>
        <w:tab/>
        <w:t>Upravljanje rizicima (nastavak)</w:t>
      </w:r>
    </w:p>
    <w:p w:rsidR="00104704" w:rsidRPr="001567C8" w:rsidRDefault="00104704" w:rsidP="00104704">
      <w:pPr>
        <w:pStyle w:val="T1"/>
        <w:spacing w:before="0" w:after="0" w:line="240" w:lineRule="auto"/>
        <w:rPr>
          <w:rFonts w:asciiTheme="minorHAnsi" w:hAnsiTheme="minorHAnsi" w:cs="Arial"/>
          <w:sz w:val="22"/>
          <w:szCs w:val="22"/>
          <w:lang w:val="hr-HR"/>
        </w:rPr>
      </w:pPr>
    </w:p>
    <w:p w:rsidR="00C204AA" w:rsidRPr="001567C8" w:rsidRDefault="00283175" w:rsidP="00104704">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F75285" w:rsidRPr="001567C8">
        <w:rPr>
          <w:rFonts w:asciiTheme="minorHAnsi" w:hAnsiTheme="minorHAnsi" w:cs="Arial"/>
          <w:sz w:val="22"/>
          <w:szCs w:val="22"/>
          <w:lang w:val="hr-HR"/>
        </w:rPr>
        <w:t>6</w:t>
      </w:r>
      <w:r w:rsidR="00C204AA"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4</w:t>
      </w:r>
      <w:r w:rsidR="00C204AA" w:rsidRPr="001567C8">
        <w:rPr>
          <w:rFonts w:asciiTheme="minorHAnsi" w:hAnsiTheme="minorHAnsi" w:cs="Arial"/>
          <w:sz w:val="22"/>
          <w:szCs w:val="22"/>
          <w:lang w:val="hr-HR"/>
        </w:rPr>
        <w:t xml:space="preserve">. </w:t>
      </w:r>
      <w:r w:rsidR="00C204AA" w:rsidRPr="001567C8">
        <w:rPr>
          <w:rFonts w:asciiTheme="minorHAnsi" w:hAnsiTheme="minorHAnsi" w:cs="Arial"/>
          <w:sz w:val="22"/>
          <w:szCs w:val="22"/>
          <w:lang w:val="hr-HR"/>
        </w:rPr>
        <w:tab/>
        <w:t>Rizik likvidnosti (nastavak)</w:t>
      </w:r>
    </w:p>
    <w:p w:rsidR="00BE0054" w:rsidRPr="001567C8" w:rsidRDefault="00BE0054" w:rsidP="00104704">
      <w:pPr>
        <w:pStyle w:val="T1"/>
        <w:spacing w:before="0" w:after="0" w:line="240" w:lineRule="auto"/>
        <w:rPr>
          <w:rFonts w:asciiTheme="minorHAnsi" w:hAnsiTheme="minorHAnsi" w:cs="Arial"/>
          <w:sz w:val="22"/>
          <w:szCs w:val="22"/>
          <w:lang w:val="hr-HR"/>
        </w:rPr>
      </w:pPr>
    </w:p>
    <w:tbl>
      <w:tblPr>
        <w:tblW w:w="5220" w:type="pct"/>
        <w:tblInd w:w="-142" w:type="dxa"/>
        <w:tblLayout w:type="fixed"/>
        <w:tblCellMar>
          <w:left w:w="120" w:type="dxa"/>
          <w:right w:w="120" w:type="dxa"/>
        </w:tblCellMar>
        <w:tblLook w:val="0000" w:firstRow="0" w:lastRow="0" w:firstColumn="0" w:lastColumn="0" w:noHBand="0" w:noVBand="0"/>
      </w:tblPr>
      <w:tblGrid>
        <w:gridCol w:w="3178"/>
        <w:gridCol w:w="1020"/>
        <w:gridCol w:w="1049"/>
        <w:gridCol w:w="1049"/>
        <w:gridCol w:w="1147"/>
        <w:gridCol w:w="1158"/>
        <w:gridCol w:w="1166"/>
      </w:tblGrid>
      <w:tr w:rsidR="000F75B2" w:rsidRPr="001567C8" w:rsidTr="003C6BA3">
        <w:trPr>
          <w:trHeight w:val="607"/>
        </w:trPr>
        <w:tc>
          <w:tcPr>
            <w:tcW w:w="1627" w:type="pct"/>
          </w:tcPr>
          <w:p w:rsidR="000F75B2" w:rsidRPr="001567C8" w:rsidRDefault="000F75B2">
            <w:pPr>
              <w:tabs>
                <w:tab w:val="right" w:pos="1202"/>
              </w:tabs>
              <w:spacing w:line="240" w:lineRule="exact"/>
              <w:outlineLvl w:val="0"/>
              <w:rPr>
                <w:rFonts w:ascii="Calibri" w:eastAsia="Calibri" w:hAnsi="Calibri" w:cs="Arial"/>
                <w:b/>
                <w:sz w:val="18"/>
                <w:szCs w:val="18"/>
                <w:lang w:val="hr-HR"/>
              </w:rPr>
            </w:pPr>
            <w:r w:rsidRPr="001567C8">
              <w:rPr>
                <w:rFonts w:ascii="Calibri" w:eastAsia="Calibri" w:hAnsi="Calibri" w:cs="Arial"/>
                <w:b/>
                <w:sz w:val="18"/>
                <w:szCs w:val="18"/>
                <w:lang w:val="hr-HR"/>
              </w:rPr>
              <w:t>Banka</w:t>
            </w:r>
          </w:p>
          <w:p w:rsidR="000F75B2" w:rsidRPr="001567C8" w:rsidRDefault="00AD2EF7">
            <w:pPr>
              <w:tabs>
                <w:tab w:val="right" w:pos="1202"/>
              </w:tabs>
              <w:spacing w:line="240" w:lineRule="exact"/>
              <w:outlineLvl w:val="0"/>
              <w:rPr>
                <w:rFonts w:ascii="Calibri" w:eastAsia="Calibri" w:hAnsi="Calibri" w:cs="Arial"/>
                <w:b/>
                <w:sz w:val="18"/>
                <w:szCs w:val="18"/>
                <w:lang w:val="hr-HR"/>
              </w:rPr>
            </w:pPr>
            <w:r>
              <w:rPr>
                <w:rFonts w:ascii="Calibri" w:eastAsia="Calibri" w:hAnsi="Calibri" w:cs="Arial"/>
                <w:b/>
                <w:sz w:val="18"/>
                <w:szCs w:val="18"/>
                <w:lang w:val="hr-HR"/>
              </w:rPr>
              <w:t>31. prosin</w:t>
            </w:r>
            <w:r w:rsidR="0073283D" w:rsidRPr="001567C8">
              <w:rPr>
                <w:rFonts w:ascii="Calibri" w:eastAsia="Calibri" w:hAnsi="Calibri" w:cs="Arial"/>
                <w:b/>
                <w:sz w:val="18"/>
                <w:szCs w:val="18"/>
                <w:lang w:val="hr-HR"/>
              </w:rPr>
              <w:t>c</w:t>
            </w:r>
            <w:r>
              <w:rPr>
                <w:rFonts w:ascii="Calibri" w:eastAsia="Calibri" w:hAnsi="Calibri" w:cs="Arial"/>
                <w:b/>
                <w:sz w:val="18"/>
                <w:szCs w:val="18"/>
                <w:lang w:val="hr-HR"/>
              </w:rPr>
              <w:t>a</w:t>
            </w:r>
            <w:r w:rsidR="0073283D" w:rsidRPr="001567C8">
              <w:rPr>
                <w:rFonts w:ascii="Calibri" w:eastAsia="Calibri" w:hAnsi="Calibri" w:cs="Arial"/>
                <w:b/>
                <w:sz w:val="18"/>
                <w:szCs w:val="18"/>
                <w:lang w:val="hr-HR"/>
              </w:rPr>
              <w:t xml:space="preserve"> </w:t>
            </w:r>
            <w:r w:rsidR="000F75B2" w:rsidRPr="001567C8">
              <w:rPr>
                <w:rFonts w:ascii="Calibri" w:eastAsia="Calibri" w:hAnsi="Calibri" w:cs="Arial"/>
                <w:b/>
                <w:sz w:val="18"/>
                <w:szCs w:val="18"/>
                <w:lang w:val="hr-HR"/>
              </w:rPr>
              <w:t>2017.</w:t>
            </w:r>
            <w:r w:rsidR="007C5023" w:rsidRPr="001567C8">
              <w:rPr>
                <w:rFonts w:ascii="Calibri" w:eastAsia="Calibri" w:hAnsi="Calibri" w:cs="Arial"/>
                <w:b/>
                <w:sz w:val="18"/>
                <w:szCs w:val="18"/>
                <w:lang w:val="hr-HR"/>
              </w:rPr>
              <w:t xml:space="preserve"> godina</w:t>
            </w:r>
          </w:p>
        </w:tc>
        <w:tc>
          <w:tcPr>
            <w:tcW w:w="522" w:type="pct"/>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Do 1 mjesec</w:t>
            </w:r>
          </w:p>
        </w:tc>
        <w:tc>
          <w:tcPr>
            <w:tcW w:w="537" w:type="pct"/>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1 do 3 mjeseca</w:t>
            </w:r>
          </w:p>
        </w:tc>
        <w:tc>
          <w:tcPr>
            <w:tcW w:w="537" w:type="pct"/>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3 mj. do 1 godine</w:t>
            </w:r>
          </w:p>
        </w:tc>
        <w:tc>
          <w:tcPr>
            <w:tcW w:w="587" w:type="pct"/>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1 do 3 godina</w:t>
            </w:r>
          </w:p>
        </w:tc>
        <w:tc>
          <w:tcPr>
            <w:tcW w:w="593" w:type="pct"/>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Preko 3 godine</w:t>
            </w:r>
          </w:p>
        </w:tc>
        <w:tc>
          <w:tcPr>
            <w:tcW w:w="597" w:type="pct"/>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Ukupno</w:t>
            </w:r>
          </w:p>
        </w:tc>
      </w:tr>
      <w:tr w:rsidR="000F75B2" w:rsidRPr="001567C8" w:rsidTr="00F0295E">
        <w:trPr>
          <w:trHeight w:val="158"/>
        </w:trPr>
        <w:tc>
          <w:tcPr>
            <w:tcW w:w="1627" w:type="pct"/>
          </w:tcPr>
          <w:p w:rsidR="000F75B2" w:rsidRPr="001567C8" w:rsidRDefault="000F75B2" w:rsidP="000F75B2">
            <w:pPr>
              <w:tabs>
                <w:tab w:val="left" w:pos="-720"/>
              </w:tabs>
              <w:suppressAutoHyphens/>
              <w:spacing w:line="240" w:lineRule="exact"/>
              <w:jc w:val="center"/>
              <w:rPr>
                <w:rFonts w:ascii="Calibri" w:eastAsia="Calibri" w:hAnsi="Calibri" w:cs="Arial"/>
                <w:b/>
                <w:spacing w:val="-2"/>
                <w:sz w:val="18"/>
                <w:szCs w:val="18"/>
                <w:lang w:val="hr-HR"/>
              </w:rPr>
            </w:pPr>
          </w:p>
        </w:tc>
        <w:tc>
          <w:tcPr>
            <w:tcW w:w="522"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bCs/>
                <w:sz w:val="18"/>
                <w:szCs w:val="18"/>
                <w:lang w:val="hr-HR"/>
              </w:rPr>
              <w:t>000 kuna</w:t>
            </w:r>
          </w:p>
        </w:tc>
        <w:tc>
          <w:tcPr>
            <w:tcW w:w="537"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bCs/>
                <w:sz w:val="18"/>
                <w:szCs w:val="18"/>
                <w:lang w:val="hr-HR"/>
              </w:rPr>
              <w:t>000 kuna</w:t>
            </w:r>
          </w:p>
        </w:tc>
        <w:tc>
          <w:tcPr>
            <w:tcW w:w="537"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bCs/>
                <w:sz w:val="18"/>
                <w:szCs w:val="18"/>
                <w:lang w:val="hr-HR"/>
              </w:rPr>
              <w:t>000 kuna</w:t>
            </w:r>
          </w:p>
        </w:tc>
        <w:tc>
          <w:tcPr>
            <w:tcW w:w="587"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bCs/>
                <w:sz w:val="18"/>
                <w:szCs w:val="18"/>
                <w:lang w:val="hr-HR"/>
              </w:rPr>
              <w:t>000 kuna</w:t>
            </w:r>
          </w:p>
        </w:tc>
        <w:tc>
          <w:tcPr>
            <w:tcW w:w="593"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bCs/>
                <w:sz w:val="18"/>
                <w:szCs w:val="18"/>
                <w:lang w:val="hr-HR"/>
              </w:rPr>
              <w:t>000 kuna</w:t>
            </w:r>
          </w:p>
        </w:tc>
        <w:tc>
          <w:tcPr>
            <w:tcW w:w="597"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sz w:val="18"/>
                <w:szCs w:val="18"/>
                <w:lang w:val="hr-HR"/>
              </w:rPr>
            </w:pPr>
            <w:r w:rsidRPr="001567C8">
              <w:rPr>
                <w:rFonts w:ascii="Calibri" w:eastAsia="Calibri" w:hAnsi="Calibri" w:cs="Arial"/>
                <w:b/>
                <w:bCs/>
                <w:sz w:val="18"/>
                <w:szCs w:val="18"/>
                <w:lang w:val="hr-HR"/>
              </w:rPr>
              <w:t>000 kuna</w:t>
            </w:r>
          </w:p>
        </w:tc>
      </w:tr>
      <w:tr w:rsidR="000F75B2" w:rsidRPr="001567C8" w:rsidTr="00F0295E">
        <w:trPr>
          <w:trHeight w:val="150"/>
        </w:trPr>
        <w:tc>
          <w:tcPr>
            <w:tcW w:w="1627" w:type="pct"/>
          </w:tcPr>
          <w:p w:rsidR="000F75B2" w:rsidRPr="001567C8" w:rsidRDefault="000F75B2" w:rsidP="000F75B2">
            <w:pPr>
              <w:tabs>
                <w:tab w:val="right" w:pos="1202"/>
              </w:tabs>
              <w:spacing w:line="240" w:lineRule="exact"/>
              <w:outlineLvl w:val="0"/>
              <w:rPr>
                <w:rFonts w:ascii="Calibri" w:eastAsia="Calibri" w:hAnsi="Calibri" w:cs="Arial"/>
                <w:b/>
                <w:bCs/>
                <w:sz w:val="18"/>
                <w:szCs w:val="18"/>
                <w:lang w:val="hr-HR"/>
              </w:rPr>
            </w:pPr>
            <w:r w:rsidRPr="001567C8">
              <w:rPr>
                <w:rFonts w:ascii="Calibri" w:eastAsia="Calibri" w:hAnsi="Calibri" w:cs="Arial"/>
                <w:b/>
                <w:bCs/>
                <w:sz w:val="18"/>
                <w:szCs w:val="18"/>
                <w:lang w:val="hr-HR"/>
              </w:rPr>
              <w:t>Imovina</w:t>
            </w:r>
          </w:p>
        </w:tc>
        <w:tc>
          <w:tcPr>
            <w:tcW w:w="522"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bCs/>
                <w:spacing w:val="-2"/>
                <w:sz w:val="18"/>
                <w:szCs w:val="18"/>
                <w:lang w:val="hr-HR"/>
              </w:rPr>
            </w:pPr>
          </w:p>
        </w:tc>
        <w:tc>
          <w:tcPr>
            <w:tcW w:w="537"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bCs/>
                <w:spacing w:val="-2"/>
                <w:sz w:val="18"/>
                <w:szCs w:val="18"/>
                <w:lang w:val="hr-HR"/>
              </w:rPr>
            </w:pPr>
          </w:p>
        </w:tc>
        <w:tc>
          <w:tcPr>
            <w:tcW w:w="537"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bCs/>
                <w:spacing w:val="-2"/>
                <w:sz w:val="18"/>
                <w:szCs w:val="18"/>
                <w:lang w:val="hr-HR"/>
              </w:rPr>
            </w:pPr>
          </w:p>
        </w:tc>
        <w:tc>
          <w:tcPr>
            <w:tcW w:w="587"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bCs/>
                <w:spacing w:val="-2"/>
                <w:sz w:val="18"/>
                <w:szCs w:val="18"/>
                <w:lang w:val="hr-HR"/>
              </w:rPr>
            </w:pPr>
          </w:p>
        </w:tc>
        <w:tc>
          <w:tcPr>
            <w:tcW w:w="593"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bCs/>
                <w:spacing w:val="-2"/>
                <w:sz w:val="18"/>
                <w:szCs w:val="18"/>
                <w:lang w:val="hr-HR"/>
              </w:rPr>
            </w:pPr>
          </w:p>
        </w:tc>
        <w:tc>
          <w:tcPr>
            <w:tcW w:w="597" w:type="pct"/>
            <w:vAlign w:val="bottom"/>
          </w:tcPr>
          <w:p w:rsidR="000F75B2" w:rsidRPr="001567C8" w:rsidRDefault="000F75B2" w:rsidP="000F75B2">
            <w:pPr>
              <w:tabs>
                <w:tab w:val="right" w:pos="1202"/>
              </w:tabs>
              <w:spacing w:line="240" w:lineRule="exact"/>
              <w:jc w:val="right"/>
              <w:outlineLvl w:val="0"/>
              <w:rPr>
                <w:rFonts w:ascii="Calibri" w:eastAsia="Calibri" w:hAnsi="Calibri" w:cs="Arial"/>
                <w:b/>
                <w:bCs/>
                <w:spacing w:val="-2"/>
                <w:sz w:val="18"/>
                <w:szCs w:val="18"/>
                <w:lang w:val="hr-HR"/>
              </w:rPr>
            </w:pPr>
          </w:p>
        </w:tc>
      </w:tr>
      <w:tr w:rsidR="000F75B2" w:rsidRPr="001567C8" w:rsidTr="003C6BA3">
        <w:trPr>
          <w:trHeight w:val="265"/>
        </w:trPr>
        <w:tc>
          <w:tcPr>
            <w:tcW w:w="1627" w:type="pct"/>
            <w:vAlign w:val="bottom"/>
          </w:tcPr>
          <w:p w:rsidR="000F75B2" w:rsidRPr="001567C8" w:rsidRDefault="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Novčana sredstva i računi kod banaka</w:t>
            </w:r>
          </w:p>
        </w:tc>
        <w:tc>
          <w:tcPr>
            <w:tcW w:w="522"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1.401.146</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8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93"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9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1.401.146</w:t>
            </w:r>
          </w:p>
        </w:tc>
      </w:tr>
      <w:tr w:rsidR="000F75B2" w:rsidRPr="001567C8" w:rsidTr="003C6BA3">
        <w:trPr>
          <w:trHeight w:val="265"/>
        </w:trPr>
        <w:tc>
          <w:tcPr>
            <w:tcW w:w="1627" w:type="pct"/>
            <w:vAlign w:val="bottom"/>
          </w:tcPr>
          <w:p w:rsidR="000F75B2" w:rsidRPr="001567C8" w:rsidRDefault="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Depoziti kod drugih banaka</w:t>
            </w:r>
          </w:p>
        </w:tc>
        <w:tc>
          <w:tcPr>
            <w:tcW w:w="522"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29.138</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8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93"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9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29.138</w:t>
            </w:r>
          </w:p>
        </w:tc>
      </w:tr>
      <w:tr w:rsidR="000F75B2" w:rsidRPr="001567C8" w:rsidTr="003C6BA3">
        <w:trPr>
          <w:trHeight w:val="265"/>
        </w:trPr>
        <w:tc>
          <w:tcPr>
            <w:tcW w:w="1627" w:type="pct"/>
            <w:vAlign w:val="bottom"/>
          </w:tcPr>
          <w:p w:rsidR="000F75B2" w:rsidRPr="001567C8" w:rsidRDefault="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Krediti financijskim institucijama*</w:t>
            </w:r>
          </w:p>
        </w:tc>
        <w:tc>
          <w:tcPr>
            <w:tcW w:w="522"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499.790</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411.937</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1.369.798</w:t>
            </w:r>
          </w:p>
        </w:tc>
        <w:tc>
          <w:tcPr>
            <w:tcW w:w="58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2.888.174</w:t>
            </w:r>
          </w:p>
        </w:tc>
        <w:tc>
          <w:tcPr>
            <w:tcW w:w="593"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5.666.442</w:t>
            </w:r>
          </w:p>
        </w:tc>
        <w:tc>
          <w:tcPr>
            <w:tcW w:w="59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10.836.141</w:t>
            </w:r>
          </w:p>
        </w:tc>
      </w:tr>
      <w:tr w:rsidR="000F75B2" w:rsidRPr="001567C8" w:rsidTr="003C6BA3">
        <w:trPr>
          <w:trHeight w:val="265"/>
        </w:trPr>
        <w:tc>
          <w:tcPr>
            <w:tcW w:w="1627" w:type="pct"/>
            <w:vAlign w:val="bottom"/>
          </w:tcPr>
          <w:p w:rsidR="000F75B2" w:rsidRPr="001567C8" w:rsidRDefault="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Krediti ostalim korisnicima</w:t>
            </w:r>
          </w:p>
        </w:tc>
        <w:tc>
          <w:tcPr>
            <w:tcW w:w="522"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2.048.659</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396.509</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885.769</w:t>
            </w:r>
          </w:p>
        </w:tc>
        <w:tc>
          <w:tcPr>
            <w:tcW w:w="58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2.116.638</w:t>
            </w:r>
          </w:p>
        </w:tc>
        <w:tc>
          <w:tcPr>
            <w:tcW w:w="593"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6.936.048</w:t>
            </w:r>
          </w:p>
        </w:tc>
        <w:tc>
          <w:tcPr>
            <w:tcW w:w="59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12.383.623</w:t>
            </w:r>
          </w:p>
        </w:tc>
      </w:tr>
      <w:tr w:rsidR="000F75B2" w:rsidRPr="001567C8" w:rsidTr="003C6BA3">
        <w:trPr>
          <w:trHeight w:val="265"/>
        </w:trPr>
        <w:tc>
          <w:tcPr>
            <w:tcW w:w="1627" w:type="pct"/>
            <w:vAlign w:val="bottom"/>
          </w:tcPr>
          <w:p w:rsidR="000F75B2" w:rsidRPr="001567C8" w:rsidRDefault="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Imovina raspoloživa za prodaju</w:t>
            </w:r>
          </w:p>
        </w:tc>
        <w:tc>
          <w:tcPr>
            <w:tcW w:w="522"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3.263.758</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13.436</w:t>
            </w:r>
          </w:p>
        </w:tc>
        <w:tc>
          <w:tcPr>
            <w:tcW w:w="53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8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93"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97" w:type="pct"/>
            <w:tcBorders>
              <w:top w:val="nil"/>
              <w:left w:val="nil"/>
              <w:bottom w:val="nil"/>
              <w:right w:val="nil"/>
            </w:tcBorders>
            <w:shd w:val="clear" w:color="auto" w:fill="auto"/>
            <w:vAlign w:val="bottom"/>
          </w:tcPr>
          <w:p w:rsidR="000F75B2" w:rsidRPr="001567C8" w:rsidRDefault="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3.277.194</w:t>
            </w:r>
          </w:p>
        </w:tc>
      </w:tr>
      <w:tr w:rsidR="000F75B2" w:rsidRPr="001567C8" w:rsidTr="00F0295E">
        <w:trPr>
          <w:trHeight w:val="150"/>
        </w:trPr>
        <w:tc>
          <w:tcPr>
            <w:tcW w:w="1627" w:type="pct"/>
          </w:tcPr>
          <w:p w:rsidR="000F75B2" w:rsidRPr="001567C8" w:rsidRDefault="000F75B2" w:rsidP="000F75B2">
            <w:pPr>
              <w:tabs>
                <w:tab w:val="right" w:pos="1202"/>
              </w:tabs>
              <w:spacing w:line="240" w:lineRule="exact"/>
              <w:outlineLvl w:val="0"/>
              <w:rPr>
                <w:rFonts w:ascii="Calibri" w:eastAsia="Calibri" w:hAnsi="Calibri" w:cs="Arial"/>
                <w:spacing w:val="-2"/>
                <w:sz w:val="18"/>
                <w:szCs w:val="18"/>
                <w:lang w:val="hr-HR"/>
              </w:rPr>
            </w:pPr>
            <w:r w:rsidRPr="001567C8">
              <w:rPr>
                <w:rFonts w:ascii="Calibri" w:eastAsia="Calibri" w:hAnsi="Calibri" w:cs="Arial"/>
                <w:spacing w:val="-2"/>
                <w:sz w:val="18"/>
                <w:szCs w:val="18"/>
                <w:lang w:val="hr-HR"/>
              </w:rPr>
              <w:t>Ulaganja u ovisna društva</w:t>
            </w:r>
          </w:p>
        </w:tc>
        <w:tc>
          <w:tcPr>
            <w:tcW w:w="522"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8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93"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36.124</w:t>
            </w:r>
          </w:p>
        </w:tc>
        <w:tc>
          <w:tcPr>
            <w:tcW w:w="59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36.124</w:t>
            </w:r>
          </w:p>
        </w:tc>
      </w:tr>
      <w:tr w:rsidR="000F75B2" w:rsidRPr="001567C8" w:rsidTr="00F0295E">
        <w:trPr>
          <w:trHeight w:val="303"/>
        </w:trPr>
        <w:tc>
          <w:tcPr>
            <w:tcW w:w="1627" w:type="pct"/>
          </w:tcPr>
          <w:p w:rsidR="000F75B2" w:rsidRPr="001567C8" w:rsidRDefault="000F75B2" w:rsidP="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Nekretnine, postrojenja i oprema i nematerijalna imovina</w:t>
            </w:r>
          </w:p>
        </w:tc>
        <w:tc>
          <w:tcPr>
            <w:tcW w:w="522"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8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93"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53.514</w:t>
            </w:r>
          </w:p>
        </w:tc>
        <w:tc>
          <w:tcPr>
            <w:tcW w:w="59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53.514</w:t>
            </w:r>
          </w:p>
        </w:tc>
      </w:tr>
      <w:tr w:rsidR="000F75B2" w:rsidRPr="001567C8" w:rsidTr="00F0295E">
        <w:trPr>
          <w:trHeight w:val="139"/>
        </w:trPr>
        <w:tc>
          <w:tcPr>
            <w:tcW w:w="1627" w:type="pct"/>
          </w:tcPr>
          <w:p w:rsidR="000F75B2" w:rsidRPr="001567C8" w:rsidRDefault="0051728E" w:rsidP="000F75B2">
            <w:pPr>
              <w:tabs>
                <w:tab w:val="right" w:pos="1202"/>
              </w:tabs>
              <w:spacing w:line="240" w:lineRule="exact"/>
              <w:outlineLvl w:val="0"/>
              <w:rPr>
                <w:rFonts w:ascii="Calibri" w:eastAsia="Calibri" w:hAnsi="Calibri" w:cs="Arial"/>
                <w:sz w:val="18"/>
                <w:szCs w:val="18"/>
                <w:lang w:val="hr-HR"/>
              </w:rPr>
            </w:pPr>
            <w:r w:rsidRPr="0051728E">
              <w:rPr>
                <w:rFonts w:ascii="Calibri" w:eastAsia="Calibri" w:hAnsi="Calibri" w:cs="Arial"/>
                <w:spacing w:val="-2"/>
                <w:sz w:val="18"/>
                <w:szCs w:val="18"/>
                <w:lang w:val="hr-HR"/>
              </w:rPr>
              <w:t>Preuzeta imovina</w:t>
            </w:r>
          </w:p>
        </w:tc>
        <w:tc>
          <w:tcPr>
            <w:tcW w:w="522"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1.932</w:t>
            </w:r>
          </w:p>
        </w:tc>
        <w:tc>
          <w:tcPr>
            <w:tcW w:w="58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2.827</w:t>
            </w:r>
          </w:p>
        </w:tc>
        <w:tc>
          <w:tcPr>
            <w:tcW w:w="593"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11.938</w:t>
            </w:r>
          </w:p>
        </w:tc>
        <w:tc>
          <w:tcPr>
            <w:tcW w:w="59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16.697</w:t>
            </w:r>
          </w:p>
        </w:tc>
      </w:tr>
      <w:tr w:rsidR="000F75B2" w:rsidRPr="001567C8" w:rsidTr="00F0295E">
        <w:trPr>
          <w:trHeight w:val="150"/>
        </w:trPr>
        <w:tc>
          <w:tcPr>
            <w:tcW w:w="1627" w:type="pct"/>
          </w:tcPr>
          <w:p w:rsidR="000F75B2" w:rsidRPr="001567C8" w:rsidRDefault="000F75B2" w:rsidP="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Ostala imovina</w:t>
            </w:r>
          </w:p>
        </w:tc>
        <w:tc>
          <w:tcPr>
            <w:tcW w:w="522"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17.831</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1.648</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1.350</w:t>
            </w:r>
          </w:p>
        </w:tc>
        <w:tc>
          <w:tcPr>
            <w:tcW w:w="58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497</w:t>
            </w:r>
          </w:p>
        </w:tc>
        <w:tc>
          <w:tcPr>
            <w:tcW w:w="593"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900</w:t>
            </w:r>
          </w:p>
        </w:tc>
        <w:tc>
          <w:tcPr>
            <w:tcW w:w="59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22.226</w:t>
            </w:r>
          </w:p>
        </w:tc>
      </w:tr>
      <w:tr w:rsidR="000F75B2" w:rsidRPr="001567C8" w:rsidTr="00F0295E">
        <w:trPr>
          <w:trHeight w:hRule="exact" w:val="340"/>
        </w:trPr>
        <w:tc>
          <w:tcPr>
            <w:tcW w:w="1627" w:type="pct"/>
            <w:vAlign w:val="bottom"/>
          </w:tcPr>
          <w:p w:rsidR="000F75B2" w:rsidRPr="001567C8" w:rsidRDefault="000F75B2" w:rsidP="000F75B2">
            <w:pPr>
              <w:tabs>
                <w:tab w:val="right" w:pos="1202"/>
              </w:tabs>
              <w:spacing w:line="240" w:lineRule="exact"/>
              <w:outlineLvl w:val="0"/>
              <w:rPr>
                <w:rFonts w:ascii="Calibri" w:eastAsia="Calibri" w:hAnsi="Calibri" w:cs="Arial"/>
                <w:b/>
                <w:bCs/>
                <w:sz w:val="18"/>
                <w:szCs w:val="18"/>
                <w:lang w:val="hr-HR"/>
              </w:rPr>
            </w:pPr>
            <w:r w:rsidRPr="001567C8">
              <w:rPr>
                <w:rFonts w:ascii="Calibri" w:eastAsia="Calibri" w:hAnsi="Calibri" w:cs="Arial"/>
                <w:b/>
                <w:bCs/>
                <w:sz w:val="18"/>
                <w:szCs w:val="18"/>
                <w:lang w:val="hr-HR"/>
              </w:rPr>
              <w:t>Ukupna imovina</w:t>
            </w:r>
          </w:p>
        </w:tc>
        <w:tc>
          <w:tcPr>
            <w:tcW w:w="522" w:type="pct"/>
            <w:tcBorders>
              <w:top w:val="single" w:sz="8"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7.260.322</w:t>
            </w:r>
          </w:p>
        </w:tc>
        <w:tc>
          <w:tcPr>
            <w:tcW w:w="537" w:type="pct"/>
            <w:tcBorders>
              <w:top w:val="single" w:sz="8"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823.530</w:t>
            </w:r>
          </w:p>
        </w:tc>
        <w:tc>
          <w:tcPr>
            <w:tcW w:w="537" w:type="pct"/>
            <w:tcBorders>
              <w:top w:val="single" w:sz="8"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2.258.849</w:t>
            </w:r>
          </w:p>
        </w:tc>
        <w:tc>
          <w:tcPr>
            <w:tcW w:w="587" w:type="pct"/>
            <w:tcBorders>
              <w:top w:val="single" w:sz="8"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5.008.136</w:t>
            </w:r>
          </w:p>
        </w:tc>
        <w:tc>
          <w:tcPr>
            <w:tcW w:w="593" w:type="pct"/>
            <w:tcBorders>
              <w:top w:val="single" w:sz="8"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12.704.966</w:t>
            </w:r>
          </w:p>
        </w:tc>
        <w:tc>
          <w:tcPr>
            <w:tcW w:w="597" w:type="pct"/>
            <w:tcBorders>
              <w:top w:val="single" w:sz="8"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28.055.803</w:t>
            </w:r>
          </w:p>
        </w:tc>
      </w:tr>
      <w:tr w:rsidR="000F75B2" w:rsidRPr="001567C8" w:rsidTr="00F0295E">
        <w:tblPrEx>
          <w:tblCellMar>
            <w:left w:w="108" w:type="dxa"/>
            <w:right w:w="108" w:type="dxa"/>
          </w:tblCellMar>
        </w:tblPrEx>
        <w:trPr>
          <w:trHeight w:val="21"/>
        </w:trPr>
        <w:tc>
          <w:tcPr>
            <w:tcW w:w="1627" w:type="pct"/>
          </w:tcPr>
          <w:p w:rsidR="000F75B2" w:rsidRPr="001567C8" w:rsidRDefault="000F75B2" w:rsidP="000F75B2">
            <w:pPr>
              <w:keepNext/>
              <w:keepLines/>
              <w:tabs>
                <w:tab w:val="decimal" w:pos="1202"/>
              </w:tabs>
              <w:spacing w:line="140" w:lineRule="exact"/>
              <w:rPr>
                <w:rFonts w:ascii="Calibri" w:eastAsia="Calibri" w:hAnsi="Calibri" w:cs="Arial"/>
                <w:b/>
                <w:bCs/>
                <w:position w:val="4"/>
                <w:sz w:val="18"/>
                <w:szCs w:val="18"/>
                <w:lang w:val="hr-HR"/>
              </w:rPr>
            </w:pPr>
          </w:p>
        </w:tc>
        <w:tc>
          <w:tcPr>
            <w:tcW w:w="522" w:type="pct"/>
            <w:tcBorders>
              <w:top w:val="single" w:sz="12" w:space="0" w:color="auto"/>
            </w:tcBorders>
            <w:vAlign w:val="bottom"/>
          </w:tcPr>
          <w:p w:rsidR="000F75B2" w:rsidRPr="001567C8" w:rsidRDefault="000F75B2" w:rsidP="000F75B2">
            <w:pPr>
              <w:keepNext/>
              <w:keepLines/>
              <w:tabs>
                <w:tab w:val="decimal" w:pos="1202"/>
              </w:tabs>
              <w:spacing w:line="140" w:lineRule="exact"/>
              <w:jc w:val="right"/>
              <w:rPr>
                <w:rFonts w:ascii="Calibri" w:eastAsia="Calibri" w:hAnsi="Calibri" w:cs="Arial"/>
                <w:b/>
                <w:bCs/>
                <w:position w:val="4"/>
                <w:sz w:val="18"/>
                <w:szCs w:val="18"/>
                <w:lang w:val="hr-HR"/>
              </w:rPr>
            </w:pPr>
          </w:p>
        </w:tc>
        <w:tc>
          <w:tcPr>
            <w:tcW w:w="537" w:type="pct"/>
            <w:tcBorders>
              <w:top w:val="single" w:sz="12" w:space="0" w:color="auto"/>
            </w:tcBorders>
            <w:vAlign w:val="bottom"/>
          </w:tcPr>
          <w:p w:rsidR="000F75B2" w:rsidRPr="001567C8" w:rsidRDefault="000F75B2" w:rsidP="000F75B2">
            <w:pPr>
              <w:keepNext/>
              <w:keepLines/>
              <w:tabs>
                <w:tab w:val="decimal" w:pos="1202"/>
              </w:tabs>
              <w:spacing w:line="140" w:lineRule="exact"/>
              <w:jc w:val="right"/>
              <w:rPr>
                <w:rFonts w:ascii="Calibri" w:eastAsia="Calibri" w:hAnsi="Calibri" w:cs="Arial"/>
                <w:b/>
                <w:bCs/>
                <w:position w:val="4"/>
                <w:sz w:val="18"/>
                <w:szCs w:val="18"/>
                <w:lang w:val="hr-HR"/>
              </w:rPr>
            </w:pPr>
          </w:p>
        </w:tc>
        <w:tc>
          <w:tcPr>
            <w:tcW w:w="537" w:type="pct"/>
            <w:tcBorders>
              <w:top w:val="single" w:sz="12" w:space="0" w:color="auto"/>
            </w:tcBorders>
            <w:vAlign w:val="bottom"/>
          </w:tcPr>
          <w:p w:rsidR="000F75B2" w:rsidRPr="001567C8" w:rsidRDefault="000F75B2" w:rsidP="000F75B2">
            <w:pPr>
              <w:keepNext/>
              <w:keepLines/>
              <w:tabs>
                <w:tab w:val="decimal" w:pos="1202"/>
              </w:tabs>
              <w:spacing w:line="140" w:lineRule="exact"/>
              <w:jc w:val="right"/>
              <w:rPr>
                <w:rFonts w:ascii="Calibri" w:eastAsia="Calibri" w:hAnsi="Calibri" w:cs="Arial"/>
                <w:b/>
                <w:bCs/>
                <w:position w:val="4"/>
                <w:sz w:val="18"/>
                <w:szCs w:val="18"/>
                <w:lang w:val="hr-HR"/>
              </w:rPr>
            </w:pPr>
          </w:p>
        </w:tc>
        <w:tc>
          <w:tcPr>
            <w:tcW w:w="587" w:type="pct"/>
            <w:tcBorders>
              <w:top w:val="single" w:sz="12" w:space="0" w:color="auto"/>
            </w:tcBorders>
            <w:vAlign w:val="bottom"/>
          </w:tcPr>
          <w:p w:rsidR="000F75B2" w:rsidRPr="001567C8" w:rsidRDefault="000F75B2" w:rsidP="000F75B2">
            <w:pPr>
              <w:keepNext/>
              <w:keepLines/>
              <w:tabs>
                <w:tab w:val="decimal" w:pos="1202"/>
              </w:tabs>
              <w:spacing w:line="140" w:lineRule="exact"/>
              <w:jc w:val="right"/>
              <w:rPr>
                <w:rFonts w:ascii="Calibri" w:eastAsia="Calibri" w:hAnsi="Calibri" w:cs="Arial"/>
                <w:b/>
                <w:bCs/>
                <w:position w:val="4"/>
                <w:sz w:val="18"/>
                <w:szCs w:val="18"/>
                <w:lang w:val="hr-HR"/>
              </w:rPr>
            </w:pPr>
          </w:p>
        </w:tc>
        <w:tc>
          <w:tcPr>
            <w:tcW w:w="593" w:type="pct"/>
            <w:tcBorders>
              <w:top w:val="single" w:sz="12" w:space="0" w:color="auto"/>
            </w:tcBorders>
            <w:vAlign w:val="bottom"/>
          </w:tcPr>
          <w:p w:rsidR="000F75B2" w:rsidRPr="001567C8" w:rsidRDefault="000F75B2" w:rsidP="000F75B2">
            <w:pPr>
              <w:keepNext/>
              <w:keepLines/>
              <w:tabs>
                <w:tab w:val="decimal" w:pos="1202"/>
              </w:tabs>
              <w:spacing w:line="140" w:lineRule="exact"/>
              <w:jc w:val="right"/>
              <w:rPr>
                <w:rFonts w:ascii="Calibri" w:eastAsia="Calibri" w:hAnsi="Calibri" w:cs="Arial"/>
                <w:b/>
                <w:bCs/>
                <w:position w:val="4"/>
                <w:sz w:val="18"/>
                <w:szCs w:val="18"/>
                <w:lang w:val="hr-HR"/>
              </w:rPr>
            </w:pPr>
          </w:p>
        </w:tc>
        <w:tc>
          <w:tcPr>
            <w:tcW w:w="597" w:type="pct"/>
            <w:tcBorders>
              <w:top w:val="single" w:sz="12" w:space="0" w:color="auto"/>
            </w:tcBorders>
            <w:vAlign w:val="bottom"/>
          </w:tcPr>
          <w:p w:rsidR="000F75B2" w:rsidRPr="001567C8" w:rsidRDefault="000F75B2" w:rsidP="000F75B2">
            <w:pPr>
              <w:keepNext/>
              <w:keepLines/>
              <w:tabs>
                <w:tab w:val="decimal" w:pos="1202"/>
              </w:tabs>
              <w:spacing w:line="140" w:lineRule="exact"/>
              <w:jc w:val="right"/>
              <w:rPr>
                <w:rFonts w:ascii="Calibri" w:eastAsia="Calibri" w:hAnsi="Calibri" w:cs="Arial"/>
                <w:b/>
                <w:bCs/>
                <w:position w:val="4"/>
                <w:sz w:val="18"/>
                <w:szCs w:val="18"/>
                <w:lang w:val="hr-HR"/>
              </w:rPr>
            </w:pPr>
          </w:p>
        </w:tc>
      </w:tr>
      <w:tr w:rsidR="000F75B2" w:rsidRPr="001567C8" w:rsidTr="003C6BA3">
        <w:trPr>
          <w:trHeight w:val="150"/>
        </w:trPr>
        <w:tc>
          <w:tcPr>
            <w:tcW w:w="1627" w:type="pct"/>
            <w:vAlign w:val="center"/>
          </w:tcPr>
          <w:p w:rsidR="000F75B2" w:rsidRPr="001567C8" w:rsidRDefault="000F75B2" w:rsidP="003C6BA3">
            <w:pPr>
              <w:tabs>
                <w:tab w:val="right" w:pos="1202"/>
              </w:tabs>
              <w:spacing w:line="240" w:lineRule="exact"/>
              <w:outlineLvl w:val="0"/>
              <w:rPr>
                <w:rFonts w:ascii="Calibri" w:eastAsia="Calibri" w:hAnsi="Calibri" w:cs="Arial"/>
                <w:b/>
                <w:bCs/>
                <w:sz w:val="18"/>
                <w:szCs w:val="18"/>
                <w:lang w:val="hr-HR"/>
              </w:rPr>
            </w:pPr>
            <w:r w:rsidRPr="001567C8">
              <w:rPr>
                <w:rFonts w:ascii="Calibri" w:eastAsia="Calibri" w:hAnsi="Calibri" w:cs="Arial"/>
                <w:b/>
                <w:bCs/>
                <w:sz w:val="18"/>
                <w:szCs w:val="18"/>
                <w:lang w:val="hr-HR"/>
              </w:rPr>
              <w:t>Obveze</w:t>
            </w:r>
          </w:p>
        </w:tc>
        <w:tc>
          <w:tcPr>
            <w:tcW w:w="522" w:type="pct"/>
            <w:vAlign w:val="bottom"/>
          </w:tcPr>
          <w:p w:rsidR="000F75B2" w:rsidRPr="001567C8" w:rsidRDefault="000F75B2" w:rsidP="000F75B2">
            <w:pPr>
              <w:spacing w:line="240" w:lineRule="exact"/>
              <w:jc w:val="right"/>
              <w:outlineLvl w:val="0"/>
              <w:rPr>
                <w:rFonts w:ascii="Calibri" w:eastAsia="Calibri" w:hAnsi="Calibri" w:cs="Arial"/>
                <w:spacing w:val="-2"/>
                <w:sz w:val="18"/>
                <w:szCs w:val="18"/>
                <w:lang w:val="hr-HR"/>
              </w:rPr>
            </w:pPr>
          </w:p>
        </w:tc>
        <w:tc>
          <w:tcPr>
            <w:tcW w:w="537" w:type="pct"/>
            <w:vAlign w:val="bottom"/>
          </w:tcPr>
          <w:p w:rsidR="000F75B2" w:rsidRPr="001567C8" w:rsidRDefault="000F75B2" w:rsidP="000F75B2">
            <w:pPr>
              <w:spacing w:line="240" w:lineRule="exact"/>
              <w:jc w:val="right"/>
              <w:outlineLvl w:val="0"/>
              <w:rPr>
                <w:rFonts w:ascii="Calibri" w:eastAsia="Calibri" w:hAnsi="Calibri" w:cs="Arial"/>
                <w:spacing w:val="-2"/>
                <w:sz w:val="18"/>
                <w:szCs w:val="18"/>
                <w:lang w:val="hr-HR"/>
              </w:rPr>
            </w:pPr>
          </w:p>
        </w:tc>
        <w:tc>
          <w:tcPr>
            <w:tcW w:w="537" w:type="pct"/>
            <w:vAlign w:val="bottom"/>
          </w:tcPr>
          <w:p w:rsidR="000F75B2" w:rsidRPr="001567C8" w:rsidRDefault="000F75B2" w:rsidP="000F75B2">
            <w:pPr>
              <w:spacing w:line="240" w:lineRule="exact"/>
              <w:jc w:val="right"/>
              <w:outlineLvl w:val="0"/>
              <w:rPr>
                <w:rFonts w:ascii="Calibri" w:eastAsia="Calibri" w:hAnsi="Calibri" w:cs="Arial"/>
                <w:spacing w:val="-2"/>
                <w:sz w:val="18"/>
                <w:szCs w:val="18"/>
                <w:lang w:val="hr-HR"/>
              </w:rPr>
            </w:pPr>
          </w:p>
        </w:tc>
        <w:tc>
          <w:tcPr>
            <w:tcW w:w="587" w:type="pct"/>
            <w:vAlign w:val="bottom"/>
          </w:tcPr>
          <w:p w:rsidR="000F75B2" w:rsidRPr="001567C8" w:rsidRDefault="000F75B2" w:rsidP="000F75B2">
            <w:pPr>
              <w:spacing w:line="240" w:lineRule="exact"/>
              <w:jc w:val="right"/>
              <w:outlineLvl w:val="0"/>
              <w:rPr>
                <w:rFonts w:ascii="Calibri" w:eastAsia="Calibri" w:hAnsi="Calibri" w:cs="Arial"/>
                <w:spacing w:val="-2"/>
                <w:sz w:val="18"/>
                <w:szCs w:val="18"/>
                <w:lang w:val="hr-HR"/>
              </w:rPr>
            </w:pPr>
          </w:p>
        </w:tc>
        <w:tc>
          <w:tcPr>
            <w:tcW w:w="593" w:type="pct"/>
            <w:vAlign w:val="bottom"/>
          </w:tcPr>
          <w:p w:rsidR="000F75B2" w:rsidRPr="001567C8" w:rsidRDefault="000F75B2" w:rsidP="000F75B2">
            <w:pPr>
              <w:spacing w:line="240" w:lineRule="exact"/>
              <w:jc w:val="right"/>
              <w:outlineLvl w:val="0"/>
              <w:rPr>
                <w:rFonts w:ascii="Calibri" w:eastAsia="Calibri" w:hAnsi="Calibri" w:cs="Arial"/>
                <w:spacing w:val="-2"/>
                <w:sz w:val="18"/>
                <w:szCs w:val="18"/>
                <w:lang w:val="hr-HR"/>
              </w:rPr>
            </w:pPr>
          </w:p>
        </w:tc>
        <w:tc>
          <w:tcPr>
            <w:tcW w:w="597" w:type="pct"/>
            <w:vAlign w:val="bottom"/>
          </w:tcPr>
          <w:p w:rsidR="000F75B2" w:rsidRPr="001567C8" w:rsidRDefault="000F75B2" w:rsidP="000F75B2">
            <w:pPr>
              <w:spacing w:line="240" w:lineRule="exact"/>
              <w:jc w:val="right"/>
              <w:outlineLvl w:val="0"/>
              <w:rPr>
                <w:rFonts w:ascii="Calibri" w:eastAsia="Calibri" w:hAnsi="Calibri" w:cs="Arial"/>
                <w:spacing w:val="-2"/>
                <w:sz w:val="18"/>
                <w:szCs w:val="18"/>
                <w:lang w:val="hr-HR"/>
              </w:rPr>
            </w:pPr>
          </w:p>
        </w:tc>
      </w:tr>
      <w:tr w:rsidR="000F75B2" w:rsidRPr="001567C8" w:rsidTr="00F0295E">
        <w:trPr>
          <w:trHeight w:val="158"/>
        </w:trPr>
        <w:tc>
          <w:tcPr>
            <w:tcW w:w="1627" w:type="pct"/>
          </w:tcPr>
          <w:p w:rsidR="000F75B2" w:rsidRPr="001567C8" w:rsidRDefault="000F75B2" w:rsidP="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Obveze po depozitima</w:t>
            </w:r>
          </w:p>
        </w:tc>
        <w:tc>
          <w:tcPr>
            <w:tcW w:w="522"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251.822</w:t>
            </w:r>
          </w:p>
        </w:tc>
        <w:tc>
          <w:tcPr>
            <w:tcW w:w="53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187</w:t>
            </w:r>
          </w:p>
        </w:tc>
        <w:tc>
          <w:tcPr>
            <w:tcW w:w="53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171.291</w:t>
            </w:r>
          </w:p>
        </w:tc>
        <w:tc>
          <w:tcPr>
            <w:tcW w:w="58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211.134</w:t>
            </w:r>
          </w:p>
        </w:tc>
        <w:tc>
          <w:tcPr>
            <w:tcW w:w="593"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10.307</w:t>
            </w:r>
          </w:p>
        </w:tc>
        <w:tc>
          <w:tcPr>
            <w:tcW w:w="59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644.741</w:t>
            </w:r>
          </w:p>
        </w:tc>
      </w:tr>
      <w:tr w:rsidR="000F75B2" w:rsidRPr="001567C8" w:rsidTr="00F0295E">
        <w:trPr>
          <w:trHeight w:val="150"/>
        </w:trPr>
        <w:tc>
          <w:tcPr>
            <w:tcW w:w="1627" w:type="pct"/>
          </w:tcPr>
          <w:p w:rsidR="000F75B2" w:rsidRPr="001567C8" w:rsidRDefault="000F75B2" w:rsidP="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Obveze po kreditima</w:t>
            </w:r>
          </w:p>
        </w:tc>
        <w:tc>
          <w:tcPr>
            <w:tcW w:w="522"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168.310</w:t>
            </w:r>
          </w:p>
        </w:tc>
        <w:tc>
          <w:tcPr>
            <w:tcW w:w="53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307.151**</w:t>
            </w:r>
          </w:p>
        </w:tc>
        <w:tc>
          <w:tcPr>
            <w:tcW w:w="53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1.155.999</w:t>
            </w:r>
          </w:p>
        </w:tc>
        <w:tc>
          <w:tcPr>
            <w:tcW w:w="58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3.853.447</w:t>
            </w:r>
          </w:p>
        </w:tc>
        <w:tc>
          <w:tcPr>
            <w:tcW w:w="593"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9.902.974</w:t>
            </w:r>
          </w:p>
        </w:tc>
        <w:tc>
          <w:tcPr>
            <w:tcW w:w="59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15.387.881</w:t>
            </w:r>
          </w:p>
        </w:tc>
      </w:tr>
      <w:tr w:rsidR="000F75B2" w:rsidRPr="001567C8" w:rsidTr="00F0295E">
        <w:trPr>
          <w:trHeight w:val="303"/>
        </w:trPr>
        <w:tc>
          <w:tcPr>
            <w:tcW w:w="1627" w:type="pct"/>
          </w:tcPr>
          <w:p w:rsidR="000F75B2" w:rsidRPr="001567C8" w:rsidRDefault="000F75B2" w:rsidP="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Obveze za izdane dugoročne vrijednosne papire</w:t>
            </w:r>
          </w:p>
        </w:tc>
        <w:tc>
          <w:tcPr>
            <w:tcW w:w="522"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43.909</w:t>
            </w:r>
          </w:p>
        </w:tc>
        <w:tc>
          <w:tcPr>
            <w:tcW w:w="53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8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1.117.790</w:t>
            </w:r>
          </w:p>
        </w:tc>
        <w:tc>
          <w:tcPr>
            <w:tcW w:w="593"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w:t>
            </w:r>
          </w:p>
        </w:tc>
        <w:tc>
          <w:tcPr>
            <w:tcW w:w="597" w:type="pct"/>
            <w:tcBorders>
              <w:top w:val="nil"/>
              <w:left w:val="nil"/>
              <w:bottom w:val="nil"/>
              <w:right w:val="nil"/>
            </w:tcBorders>
            <w:shd w:val="clear" w:color="auto" w:fill="auto"/>
            <w:vAlign w:val="bottom"/>
          </w:tcPr>
          <w:p w:rsidR="000F75B2" w:rsidRPr="001567C8" w:rsidRDefault="000F75B2" w:rsidP="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1.161.699</w:t>
            </w:r>
          </w:p>
        </w:tc>
      </w:tr>
      <w:tr w:rsidR="000F75B2" w:rsidRPr="001567C8" w:rsidTr="00F0295E">
        <w:trPr>
          <w:trHeight w:val="142"/>
        </w:trPr>
        <w:tc>
          <w:tcPr>
            <w:tcW w:w="1627" w:type="pct"/>
          </w:tcPr>
          <w:p w:rsidR="000F75B2" w:rsidRPr="001567C8" w:rsidRDefault="000F75B2" w:rsidP="000F75B2">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pacing w:val="-2"/>
                <w:sz w:val="18"/>
                <w:szCs w:val="18"/>
                <w:lang w:val="hr-HR"/>
              </w:rPr>
              <w:t>Ostale obveze</w:t>
            </w:r>
          </w:p>
        </w:tc>
        <w:tc>
          <w:tcPr>
            <w:tcW w:w="522"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185.299</w:t>
            </w:r>
          </w:p>
        </w:tc>
        <w:tc>
          <w:tcPr>
            <w:tcW w:w="53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21.082</w:t>
            </w:r>
          </w:p>
        </w:tc>
        <w:tc>
          <w:tcPr>
            <w:tcW w:w="53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76.872</w:t>
            </w:r>
          </w:p>
        </w:tc>
        <w:tc>
          <w:tcPr>
            <w:tcW w:w="58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144.072</w:t>
            </w:r>
          </w:p>
        </w:tc>
        <w:tc>
          <w:tcPr>
            <w:tcW w:w="593"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color w:val="000000"/>
                <w:sz w:val="18"/>
                <w:szCs w:val="18"/>
                <w:lang w:val="hr-HR"/>
              </w:rPr>
            </w:pPr>
            <w:r w:rsidRPr="001567C8">
              <w:rPr>
                <w:rFonts w:ascii="Calibri" w:eastAsia="Calibri" w:hAnsi="Calibri"/>
                <w:color w:val="000000"/>
                <w:sz w:val="18"/>
                <w:szCs w:val="18"/>
                <w:lang w:val="hr-HR"/>
              </w:rPr>
              <w:t>165.326</w:t>
            </w:r>
          </w:p>
        </w:tc>
        <w:tc>
          <w:tcPr>
            <w:tcW w:w="597" w:type="pct"/>
            <w:tcBorders>
              <w:top w:val="nil"/>
              <w:left w:val="nil"/>
              <w:bottom w:val="nil"/>
              <w:right w:val="nil"/>
            </w:tcBorders>
            <w:shd w:val="clear" w:color="auto" w:fill="auto"/>
          </w:tcPr>
          <w:p w:rsidR="000F75B2" w:rsidRPr="001567C8" w:rsidRDefault="000F75B2" w:rsidP="000F75B2">
            <w:pPr>
              <w:jc w:val="right"/>
              <w:rPr>
                <w:rFonts w:ascii="Calibri" w:eastAsia="Calibri" w:hAnsi="Calibri"/>
                <w:bCs/>
                <w:color w:val="000000"/>
                <w:sz w:val="18"/>
                <w:szCs w:val="18"/>
                <w:lang w:val="hr-HR"/>
              </w:rPr>
            </w:pPr>
            <w:r w:rsidRPr="001567C8">
              <w:rPr>
                <w:rFonts w:ascii="Calibri" w:eastAsia="Calibri" w:hAnsi="Calibri"/>
                <w:color w:val="000000"/>
                <w:sz w:val="18"/>
                <w:szCs w:val="18"/>
                <w:lang w:val="hr-HR"/>
              </w:rPr>
              <w:t>592.651</w:t>
            </w:r>
          </w:p>
        </w:tc>
      </w:tr>
      <w:tr w:rsidR="000F75B2" w:rsidRPr="001567C8" w:rsidTr="00F0295E">
        <w:trPr>
          <w:trHeight w:val="150"/>
        </w:trPr>
        <w:tc>
          <w:tcPr>
            <w:tcW w:w="1627" w:type="pct"/>
          </w:tcPr>
          <w:p w:rsidR="000F75B2" w:rsidRPr="001567C8" w:rsidRDefault="000F75B2" w:rsidP="000F75B2">
            <w:pPr>
              <w:tabs>
                <w:tab w:val="right" w:pos="1202"/>
              </w:tabs>
              <w:spacing w:line="240" w:lineRule="exact"/>
              <w:outlineLvl w:val="0"/>
              <w:rPr>
                <w:rFonts w:ascii="Calibri" w:eastAsia="Calibri" w:hAnsi="Calibri" w:cs="Arial"/>
                <w:b/>
                <w:bCs/>
                <w:sz w:val="18"/>
                <w:szCs w:val="18"/>
                <w:lang w:val="hr-HR"/>
              </w:rPr>
            </w:pPr>
            <w:r w:rsidRPr="001567C8">
              <w:rPr>
                <w:rFonts w:ascii="Calibri" w:eastAsia="Calibri" w:hAnsi="Calibri" w:cs="Arial"/>
                <w:b/>
                <w:bCs/>
                <w:sz w:val="18"/>
                <w:szCs w:val="18"/>
                <w:lang w:val="hr-HR"/>
              </w:rPr>
              <w:t>Ukupne obveze</w:t>
            </w:r>
          </w:p>
        </w:tc>
        <w:tc>
          <w:tcPr>
            <w:tcW w:w="522" w:type="pct"/>
            <w:tcBorders>
              <w:top w:val="single" w:sz="4" w:space="0" w:color="auto"/>
              <w:left w:val="nil"/>
              <w:bottom w:val="single" w:sz="8"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605.431</w:t>
            </w:r>
          </w:p>
        </w:tc>
        <w:tc>
          <w:tcPr>
            <w:tcW w:w="537" w:type="pct"/>
            <w:tcBorders>
              <w:top w:val="single" w:sz="4" w:space="0" w:color="auto"/>
              <w:left w:val="nil"/>
              <w:bottom w:val="single" w:sz="8"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372.329</w:t>
            </w:r>
          </w:p>
        </w:tc>
        <w:tc>
          <w:tcPr>
            <w:tcW w:w="537" w:type="pct"/>
            <w:tcBorders>
              <w:top w:val="single" w:sz="4" w:space="0" w:color="auto"/>
              <w:left w:val="nil"/>
              <w:bottom w:val="single" w:sz="8"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1.404.162</w:t>
            </w:r>
          </w:p>
        </w:tc>
        <w:tc>
          <w:tcPr>
            <w:tcW w:w="587" w:type="pct"/>
            <w:tcBorders>
              <w:top w:val="single" w:sz="4" w:space="0" w:color="auto"/>
              <w:left w:val="nil"/>
              <w:bottom w:val="single" w:sz="8"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5.326.443</w:t>
            </w:r>
          </w:p>
        </w:tc>
        <w:tc>
          <w:tcPr>
            <w:tcW w:w="593" w:type="pct"/>
            <w:tcBorders>
              <w:top w:val="single" w:sz="4" w:space="0" w:color="auto"/>
              <w:left w:val="nil"/>
              <w:bottom w:val="single" w:sz="8"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10.078.607</w:t>
            </w:r>
          </w:p>
        </w:tc>
        <w:tc>
          <w:tcPr>
            <w:tcW w:w="597" w:type="pct"/>
            <w:tcBorders>
              <w:top w:val="single" w:sz="4" w:space="0" w:color="auto"/>
              <w:left w:val="nil"/>
              <w:bottom w:val="single" w:sz="8"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17.786.972</w:t>
            </w:r>
          </w:p>
        </w:tc>
      </w:tr>
      <w:tr w:rsidR="000F75B2" w:rsidRPr="001567C8" w:rsidTr="003C6BA3">
        <w:trPr>
          <w:trHeight w:val="259"/>
        </w:trPr>
        <w:tc>
          <w:tcPr>
            <w:tcW w:w="1627" w:type="pct"/>
            <w:vAlign w:val="bottom"/>
          </w:tcPr>
          <w:p w:rsidR="000F75B2" w:rsidRPr="001567C8" w:rsidRDefault="000F75B2">
            <w:pPr>
              <w:tabs>
                <w:tab w:val="right" w:pos="1202"/>
              </w:tabs>
              <w:spacing w:line="240" w:lineRule="exact"/>
              <w:outlineLvl w:val="0"/>
              <w:rPr>
                <w:rFonts w:ascii="Calibri" w:eastAsia="Calibri" w:hAnsi="Calibri" w:cs="Arial"/>
                <w:b/>
                <w:bCs/>
                <w:spacing w:val="-2"/>
                <w:sz w:val="18"/>
                <w:szCs w:val="18"/>
                <w:lang w:val="hr-HR"/>
              </w:rPr>
            </w:pPr>
            <w:r w:rsidRPr="001567C8">
              <w:rPr>
                <w:rFonts w:ascii="Calibri" w:eastAsia="Calibri" w:hAnsi="Calibri" w:cs="Arial"/>
                <w:b/>
                <w:bCs/>
                <w:spacing w:val="-2"/>
                <w:sz w:val="18"/>
                <w:szCs w:val="18"/>
                <w:lang w:val="hr-HR"/>
              </w:rPr>
              <w:t>Likvidnosni jaz</w:t>
            </w:r>
          </w:p>
        </w:tc>
        <w:tc>
          <w:tcPr>
            <w:tcW w:w="522" w:type="pct"/>
            <w:tcBorders>
              <w:top w:val="single" w:sz="12"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6.654.891</w:t>
            </w:r>
          </w:p>
        </w:tc>
        <w:tc>
          <w:tcPr>
            <w:tcW w:w="537" w:type="pct"/>
            <w:tcBorders>
              <w:top w:val="single" w:sz="12"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451.201</w:t>
            </w:r>
          </w:p>
        </w:tc>
        <w:tc>
          <w:tcPr>
            <w:tcW w:w="537" w:type="pct"/>
            <w:tcBorders>
              <w:top w:val="single" w:sz="12"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854.687</w:t>
            </w:r>
          </w:p>
        </w:tc>
        <w:tc>
          <w:tcPr>
            <w:tcW w:w="587" w:type="pct"/>
            <w:tcBorders>
              <w:top w:val="single" w:sz="12"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(318.307)</w:t>
            </w:r>
          </w:p>
        </w:tc>
        <w:tc>
          <w:tcPr>
            <w:tcW w:w="593" w:type="pct"/>
            <w:tcBorders>
              <w:top w:val="single" w:sz="12"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highlight w:val="yellow"/>
                <w:lang w:val="hr-HR"/>
              </w:rPr>
            </w:pPr>
            <w:r w:rsidRPr="001567C8">
              <w:rPr>
                <w:rFonts w:ascii="Calibri" w:eastAsia="Calibri" w:hAnsi="Calibri"/>
                <w:b/>
                <w:bCs/>
                <w:color w:val="000000"/>
                <w:sz w:val="18"/>
                <w:szCs w:val="18"/>
                <w:lang w:val="hr-HR"/>
              </w:rPr>
              <w:t>2.626.359</w:t>
            </w:r>
          </w:p>
        </w:tc>
        <w:tc>
          <w:tcPr>
            <w:tcW w:w="597" w:type="pct"/>
            <w:tcBorders>
              <w:top w:val="single" w:sz="12" w:space="0" w:color="auto"/>
              <w:left w:val="nil"/>
              <w:bottom w:val="single" w:sz="12" w:space="0" w:color="auto"/>
              <w:right w:val="nil"/>
            </w:tcBorders>
            <w:shd w:val="clear" w:color="auto" w:fill="auto"/>
            <w:vAlign w:val="bottom"/>
          </w:tcPr>
          <w:p w:rsidR="000F75B2" w:rsidRPr="001567C8" w:rsidRDefault="000F75B2" w:rsidP="000F75B2">
            <w:pPr>
              <w:jc w:val="right"/>
              <w:rPr>
                <w:rFonts w:ascii="Calibri" w:eastAsia="Calibri" w:hAnsi="Calibri"/>
                <w:b/>
                <w:bCs/>
                <w:color w:val="000000"/>
                <w:sz w:val="18"/>
                <w:szCs w:val="18"/>
                <w:lang w:val="hr-HR"/>
              </w:rPr>
            </w:pPr>
            <w:r w:rsidRPr="001567C8">
              <w:rPr>
                <w:rFonts w:ascii="Calibri" w:eastAsia="Calibri" w:hAnsi="Calibri"/>
                <w:b/>
                <w:bCs/>
                <w:color w:val="000000"/>
                <w:sz w:val="18"/>
                <w:szCs w:val="18"/>
                <w:lang w:val="hr-HR"/>
              </w:rPr>
              <w:t>10.268.831</w:t>
            </w:r>
          </w:p>
        </w:tc>
      </w:tr>
      <w:tr w:rsidR="0017610D" w:rsidRPr="001567C8" w:rsidTr="003C6BA3">
        <w:trPr>
          <w:trHeight w:val="238"/>
        </w:trPr>
        <w:tc>
          <w:tcPr>
            <w:tcW w:w="1627" w:type="pct"/>
          </w:tcPr>
          <w:p w:rsidR="0017610D" w:rsidRPr="001567C8" w:rsidRDefault="0017610D" w:rsidP="000F75B2">
            <w:pPr>
              <w:tabs>
                <w:tab w:val="right" w:pos="1202"/>
              </w:tabs>
              <w:spacing w:line="240" w:lineRule="exact"/>
              <w:outlineLvl w:val="0"/>
              <w:rPr>
                <w:rFonts w:ascii="Calibri" w:eastAsia="Calibri" w:hAnsi="Calibri" w:cs="Arial"/>
                <w:b/>
                <w:bCs/>
                <w:spacing w:val="-2"/>
                <w:sz w:val="18"/>
                <w:szCs w:val="18"/>
                <w:lang w:val="hr-HR"/>
              </w:rPr>
            </w:pPr>
          </w:p>
        </w:tc>
        <w:tc>
          <w:tcPr>
            <w:tcW w:w="522" w:type="pct"/>
            <w:tcBorders>
              <w:top w:val="single" w:sz="12" w:space="0" w:color="auto"/>
              <w:left w:val="nil"/>
              <w:right w:val="nil"/>
            </w:tcBorders>
            <w:shd w:val="clear" w:color="auto" w:fill="auto"/>
            <w:vAlign w:val="bottom"/>
          </w:tcPr>
          <w:p w:rsidR="0017610D" w:rsidRPr="001567C8" w:rsidRDefault="0017610D" w:rsidP="000F75B2">
            <w:pPr>
              <w:jc w:val="right"/>
              <w:rPr>
                <w:rFonts w:ascii="Calibri" w:eastAsia="Calibri" w:hAnsi="Calibri"/>
                <w:b/>
                <w:bCs/>
                <w:color w:val="000000"/>
                <w:sz w:val="18"/>
                <w:szCs w:val="18"/>
                <w:lang w:val="hr-HR"/>
              </w:rPr>
            </w:pPr>
          </w:p>
        </w:tc>
        <w:tc>
          <w:tcPr>
            <w:tcW w:w="537" w:type="pct"/>
            <w:tcBorders>
              <w:top w:val="single" w:sz="12" w:space="0" w:color="auto"/>
              <w:left w:val="nil"/>
              <w:right w:val="nil"/>
            </w:tcBorders>
            <w:shd w:val="clear" w:color="auto" w:fill="auto"/>
            <w:vAlign w:val="bottom"/>
          </w:tcPr>
          <w:p w:rsidR="0017610D" w:rsidRPr="001567C8" w:rsidRDefault="0017610D" w:rsidP="000F75B2">
            <w:pPr>
              <w:jc w:val="right"/>
              <w:rPr>
                <w:rFonts w:ascii="Calibri" w:eastAsia="Calibri" w:hAnsi="Calibri"/>
                <w:b/>
                <w:bCs/>
                <w:color w:val="000000"/>
                <w:sz w:val="18"/>
                <w:szCs w:val="18"/>
                <w:lang w:val="hr-HR"/>
              </w:rPr>
            </w:pPr>
          </w:p>
        </w:tc>
        <w:tc>
          <w:tcPr>
            <w:tcW w:w="537" w:type="pct"/>
            <w:tcBorders>
              <w:top w:val="single" w:sz="12" w:space="0" w:color="auto"/>
              <w:left w:val="nil"/>
              <w:right w:val="nil"/>
            </w:tcBorders>
            <w:shd w:val="clear" w:color="auto" w:fill="auto"/>
            <w:vAlign w:val="bottom"/>
          </w:tcPr>
          <w:p w:rsidR="0017610D" w:rsidRPr="001567C8" w:rsidRDefault="0017610D" w:rsidP="000F75B2">
            <w:pPr>
              <w:jc w:val="right"/>
              <w:rPr>
                <w:rFonts w:ascii="Calibri" w:eastAsia="Calibri" w:hAnsi="Calibri"/>
                <w:b/>
                <w:bCs/>
                <w:color w:val="000000"/>
                <w:sz w:val="18"/>
                <w:szCs w:val="18"/>
                <w:lang w:val="hr-HR"/>
              </w:rPr>
            </w:pPr>
          </w:p>
        </w:tc>
        <w:tc>
          <w:tcPr>
            <w:tcW w:w="587" w:type="pct"/>
            <w:tcBorders>
              <w:top w:val="single" w:sz="12" w:space="0" w:color="auto"/>
              <w:left w:val="nil"/>
              <w:right w:val="nil"/>
            </w:tcBorders>
            <w:shd w:val="clear" w:color="auto" w:fill="auto"/>
            <w:vAlign w:val="bottom"/>
          </w:tcPr>
          <w:p w:rsidR="0017610D" w:rsidRPr="001567C8" w:rsidRDefault="0017610D" w:rsidP="000F75B2">
            <w:pPr>
              <w:jc w:val="right"/>
              <w:rPr>
                <w:rFonts w:ascii="Calibri" w:eastAsia="Calibri" w:hAnsi="Calibri"/>
                <w:b/>
                <w:bCs/>
                <w:color w:val="000000"/>
                <w:sz w:val="18"/>
                <w:szCs w:val="18"/>
                <w:lang w:val="hr-HR"/>
              </w:rPr>
            </w:pPr>
          </w:p>
        </w:tc>
        <w:tc>
          <w:tcPr>
            <w:tcW w:w="593" w:type="pct"/>
            <w:tcBorders>
              <w:top w:val="single" w:sz="12" w:space="0" w:color="auto"/>
              <w:left w:val="nil"/>
              <w:right w:val="nil"/>
            </w:tcBorders>
            <w:shd w:val="clear" w:color="auto" w:fill="auto"/>
            <w:vAlign w:val="bottom"/>
          </w:tcPr>
          <w:p w:rsidR="0017610D" w:rsidRPr="001567C8" w:rsidRDefault="0017610D" w:rsidP="000F75B2">
            <w:pPr>
              <w:jc w:val="right"/>
              <w:rPr>
                <w:rFonts w:ascii="Calibri" w:eastAsia="Calibri" w:hAnsi="Calibri"/>
                <w:b/>
                <w:bCs/>
                <w:color w:val="000000"/>
                <w:sz w:val="18"/>
                <w:szCs w:val="18"/>
                <w:lang w:val="hr-HR"/>
              </w:rPr>
            </w:pPr>
          </w:p>
        </w:tc>
        <w:tc>
          <w:tcPr>
            <w:tcW w:w="597" w:type="pct"/>
            <w:tcBorders>
              <w:top w:val="single" w:sz="12" w:space="0" w:color="auto"/>
              <w:left w:val="nil"/>
              <w:right w:val="nil"/>
            </w:tcBorders>
            <w:shd w:val="clear" w:color="auto" w:fill="auto"/>
            <w:vAlign w:val="bottom"/>
          </w:tcPr>
          <w:p w:rsidR="0017610D" w:rsidRPr="001567C8" w:rsidRDefault="0017610D" w:rsidP="000F75B2">
            <w:pPr>
              <w:jc w:val="right"/>
              <w:rPr>
                <w:rFonts w:ascii="Calibri" w:eastAsia="Calibri" w:hAnsi="Calibri"/>
                <w:b/>
                <w:bCs/>
                <w:color w:val="000000"/>
                <w:sz w:val="18"/>
                <w:szCs w:val="18"/>
                <w:lang w:val="hr-HR"/>
              </w:rPr>
            </w:pPr>
          </w:p>
        </w:tc>
      </w:tr>
      <w:tr w:rsidR="0017610D" w:rsidRPr="001567C8" w:rsidTr="003C6BA3">
        <w:trPr>
          <w:trHeight w:val="231"/>
        </w:trPr>
        <w:tc>
          <w:tcPr>
            <w:tcW w:w="1627" w:type="pct"/>
            <w:tcBorders>
              <w:top w:val="nil"/>
              <w:left w:val="nil"/>
              <w:bottom w:val="nil"/>
              <w:right w:val="nil"/>
            </w:tcBorders>
            <w:shd w:val="clear" w:color="auto" w:fill="auto"/>
            <w:vAlign w:val="bottom"/>
          </w:tcPr>
          <w:p w:rsidR="0017610D" w:rsidRPr="001567C8" w:rsidRDefault="0017610D" w:rsidP="0017610D">
            <w:pPr>
              <w:tabs>
                <w:tab w:val="right" w:pos="1202"/>
              </w:tabs>
              <w:spacing w:line="240" w:lineRule="exact"/>
              <w:outlineLvl w:val="0"/>
              <w:rPr>
                <w:rFonts w:ascii="Calibri" w:eastAsia="Calibri" w:hAnsi="Calibri" w:cs="Arial"/>
                <w:b/>
                <w:bCs/>
                <w:spacing w:val="-2"/>
                <w:sz w:val="18"/>
                <w:szCs w:val="18"/>
                <w:lang w:val="hr-HR"/>
              </w:rPr>
            </w:pPr>
            <w:r w:rsidRPr="00CD3A2D">
              <w:rPr>
                <w:rFonts w:ascii="Calibri" w:hAnsi="Calibri" w:cs="Calibri"/>
                <w:b/>
                <w:bCs/>
                <w:color w:val="000000"/>
                <w:sz w:val="18"/>
                <w:szCs w:val="18"/>
                <w:lang w:val="hr-HR"/>
              </w:rPr>
              <w:t>Garancije i preuzete obveze</w:t>
            </w:r>
          </w:p>
        </w:tc>
        <w:tc>
          <w:tcPr>
            <w:tcW w:w="522" w:type="pct"/>
            <w:tcBorders>
              <w:top w:val="nil"/>
              <w:left w:val="nil"/>
              <w:bottom w:val="nil"/>
              <w:right w:val="nil"/>
            </w:tcBorders>
            <w:shd w:val="clear" w:color="auto" w:fill="auto"/>
            <w:vAlign w:val="bottom"/>
          </w:tcPr>
          <w:p w:rsidR="0017610D" w:rsidRPr="001567C8" w:rsidRDefault="0017610D" w:rsidP="0017610D">
            <w:pPr>
              <w:jc w:val="right"/>
              <w:rPr>
                <w:rFonts w:ascii="Calibri" w:eastAsia="Calibri" w:hAnsi="Calibri"/>
                <w:b/>
                <w:bCs/>
                <w:color w:val="000000"/>
                <w:sz w:val="18"/>
                <w:szCs w:val="18"/>
                <w:lang w:val="hr-HR"/>
              </w:rPr>
            </w:pPr>
          </w:p>
        </w:tc>
        <w:tc>
          <w:tcPr>
            <w:tcW w:w="537" w:type="pct"/>
            <w:tcBorders>
              <w:top w:val="nil"/>
              <w:left w:val="nil"/>
              <w:bottom w:val="nil"/>
              <w:right w:val="nil"/>
            </w:tcBorders>
            <w:shd w:val="clear" w:color="auto" w:fill="auto"/>
            <w:vAlign w:val="bottom"/>
          </w:tcPr>
          <w:p w:rsidR="0017610D" w:rsidRPr="001567C8" w:rsidRDefault="0017610D" w:rsidP="0017610D">
            <w:pPr>
              <w:jc w:val="right"/>
              <w:rPr>
                <w:rFonts w:ascii="Calibri" w:eastAsia="Calibri" w:hAnsi="Calibri"/>
                <w:b/>
                <w:bCs/>
                <w:color w:val="000000"/>
                <w:sz w:val="18"/>
                <w:szCs w:val="18"/>
                <w:lang w:val="hr-HR"/>
              </w:rPr>
            </w:pPr>
          </w:p>
        </w:tc>
        <w:tc>
          <w:tcPr>
            <w:tcW w:w="537" w:type="pct"/>
            <w:tcBorders>
              <w:top w:val="nil"/>
              <w:left w:val="nil"/>
              <w:bottom w:val="nil"/>
              <w:right w:val="nil"/>
            </w:tcBorders>
            <w:shd w:val="clear" w:color="auto" w:fill="auto"/>
            <w:vAlign w:val="bottom"/>
          </w:tcPr>
          <w:p w:rsidR="0017610D" w:rsidRPr="001567C8" w:rsidRDefault="0017610D" w:rsidP="0017610D">
            <w:pPr>
              <w:jc w:val="right"/>
              <w:rPr>
                <w:rFonts w:ascii="Calibri" w:eastAsia="Calibri" w:hAnsi="Calibri"/>
                <w:b/>
                <w:bCs/>
                <w:color w:val="000000"/>
                <w:sz w:val="18"/>
                <w:szCs w:val="18"/>
                <w:lang w:val="hr-HR"/>
              </w:rPr>
            </w:pPr>
          </w:p>
        </w:tc>
        <w:tc>
          <w:tcPr>
            <w:tcW w:w="587" w:type="pct"/>
            <w:tcBorders>
              <w:top w:val="nil"/>
              <w:left w:val="nil"/>
              <w:bottom w:val="nil"/>
              <w:right w:val="nil"/>
            </w:tcBorders>
            <w:shd w:val="clear" w:color="auto" w:fill="auto"/>
            <w:vAlign w:val="bottom"/>
          </w:tcPr>
          <w:p w:rsidR="0017610D" w:rsidRPr="001567C8" w:rsidRDefault="0017610D" w:rsidP="0017610D">
            <w:pPr>
              <w:jc w:val="right"/>
              <w:rPr>
                <w:rFonts w:ascii="Calibri" w:eastAsia="Calibri" w:hAnsi="Calibri"/>
                <w:b/>
                <w:bCs/>
                <w:color w:val="000000"/>
                <w:sz w:val="18"/>
                <w:szCs w:val="18"/>
                <w:lang w:val="hr-HR"/>
              </w:rPr>
            </w:pPr>
          </w:p>
        </w:tc>
        <w:tc>
          <w:tcPr>
            <w:tcW w:w="593" w:type="pct"/>
            <w:tcBorders>
              <w:top w:val="nil"/>
              <w:left w:val="nil"/>
              <w:bottom w:val="nil"/>
              <w:right w:val="nil"/>
            </w:tcBorders>
            <w:shd w:val="clear" w:color="auto" w:fill="auto"/>
            <w:vAlign w:val="bottom"/>
          </w:tcPr>
          <w:p w:rsidR="0017610D" w:rsidRPr="001567C8" w:rsidRDefault="0017610D" w:rsidP="0017610D">
            <w:pPr>
              <w:jc w:val="right"/>
              <w:rPr>
                <w:rFonts w:ascii="Calibri" w:eastAsia="Calibri" w:hAnsi="Calibri"/>
                <w:b/>
                <w:bCs/>
                <w:color w:val="000000"/>
                <w:sz w:val="18"/>
                <w:szCs w:val="18"/>
                <w:lang w:val="hr-HR"/>
              </w:rPr>
            </w:pPr>
          </w:p>
        </w:tc>
        <w:tc>
          <w:tcPr>
            <w:tcW w:w="597" w:type="pct"/>
            <w:tcBorders>
              <w:top w:val="nil"/>
              <w:left w:val="nil"/>
              <w:bottom w:val="nil"/>
              <w:right w:val="nil"/>
            </w:tcBorders>
            <w:shd w:val="clear" w:color="auto" w:fill="auto"/>
            <w:vAlign w:val="bottom"/>
          </w:tcPr>
          <w:p w:rsidR="0017610D" w:rsidRPr="001567C8" w:rsidRDefault="0017610D" w:rsidP="0017610D">
            <w:pPr>
              <w:jc w:val="right"/>
              <w:rPr>
                <w:rFonts w:ascii="Calibri" w:eastAsia="Calibri" w:hAnsi="Calibri"/>
                <w:b/>
                <w:bCs/>
                <w:color w:val="000000"/>
                <w:sz w:val="18"/>
                <w:szCs w:val="18"/>
                <w:lang w:val="hr-HR"/>
              </w:rPr>
            </w:pPr>
          </w:p>
        </w:tc>
      </w:tr>
      <w:tr w:rsidR="001C1341" w:rsidRPr="001567C8" w:rsidTr="00043BBB">
        <w:trPr>
          <w:trHeight w:val="290"/>
        </w:trPr>
        <w:tc>
          <w:tcPr>
            <w:tcW w:w="1627" w:type="pct"/>
            <w:tcBorders>
              <w:top w:val="nil"/>
              <w:left w:val="nil"/>
              <w:bottom w:val="nil"/>
              <w:right w:val="nil"/>
            </w:tcBorders>
            <w:shd w:val="clear" w:color="auto" w:fill="auto"/>
            <w:vAlign w:val="bottom"/>
          </w:tcPr>
          <w:p w:rsidR="001C1341" w:rsidRPr="001567C8" w:rsidRDefault="001C1341" w:rsidP="001C1341">
            <w:pPr>
              <w:tabs>
                <w:tab w:val="right" w:pos="1202"/>
              </w:tabs>
              <w:spacing w:line="240" w:lineRule="exact"/>
              <w:outlineLvl w:val="0"/>
              <w:rPr>
                <w:rFonts w:ascii="Calibri" w:eastAsia="Calibri" w:hAnsi="Calibri" w:cs="Arial"/>
                <w:b/>
                <w:bCs/>
                <w:spacing w:val="-2"/>
                <w:sz w:val="18"/>
                <w:szCs w:val="18"/>
                <w:lang w:val="hr-HR"/>
              </w:rPr>
            </w:pPr>
            <w:r w:rsidRPr="00CD3A2D">
              <w:rPr>
                <w:rFonts w:ascii="Calibri" w:hAnsi="Calibri" w:cs="Calibri"/>
                <w:color w:val="000000"/>
                <w:sz w:val="18"/>
                <w:szCs w:val="18"/>
                <w:lang w:val="hr-HR"/>
              </w:rPr>
              <w:t>Izdane garancije u kunama</w:t>
            </w:r>
          </w:p>
        </w:tc>
        <w:tc>
          <w:tcPr>
            <w:tcW w:w="522"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33</w:t>
            </w:r>
            <w:r w:rsidR="00173C60">
              <w:rPr>
                <w:rFonts w:ascii="Calibri" w:hAnsi="Calibri"/>
                <w:bCs/>
                <w:color w:val="000000"/>
                <w:sz w:val="18"/>
                <w:szCs w:val="18"/>
                <w:lang w:val="hr-HR"/>
              </w:rPr>
              <w:t>.</w:t>
            </w:r>
            <w:r w:rsidRPr="00CD3A2D">
              <w:rPr>
                <w:rFonts w:ascii="Calibri" w:hAnsi="Calibri"/>
                <w:bCs/>
                <w:color w:val="000000"/>
                <w:sz w:val="18"/>
                <w:szCs w:val="18"/>
                <w:lang w:val="hr-HR"/>
              </w:rPr>
              <w:t>993</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8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7"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33</w:t>
            </w:r>
            <w:r w:rsidR="00173C60">
              <w:rPr>
                <w:rFonts w:ascii="Calibri" w:hAnsi="Calibri"/>
                <w:bCs/>
                <w:color w:val="000000"/>
                <w:sz w:val="18"/>
                <w:szCs w:val="18"/>
                <w:lang w:val="hr-HR"/>
              </w:rPr>
              <w:t>.</w:t>
            </w:r>
            <w:r w:rsidRPr="00CD3A2D">
              <w:rPr>
                <w:rFonts w:ascii="Calibri" w:hAnsi="Calibri"/>
                <w:bCs/>
                <w:color w:val="000000"/>
                <w:sz w:val="18"/>
                <w:szCs w:val="18"/>
                <w:lang w:val="hr-HR"/>
              </w:rPr>
              <w:t>993</w:t>
            </w:r>
          </w:p>
        </w:tc>
      </w:tr>
      <w:tr w:rsidR="001C1341" w:rsidRPr="001567C8" w:rsidTr="00043BBB">
        <w:trPr>
          <w:trHeight w:val="290"/>
        </w:trPr>
        <w:tc>
          <w:tcPr>
            <w:tcW w:w="1627" w:type="pct"/>
            <w:tcBorders>
              <w:top w:val="nil"/>
              <w:left w:val="nil"/>
              <w:bottom w:val="nil"/>
              <w:right w:val="nil"/>
            </w:tcBorders>
            <w:shd w:val="clear" w:color="auto" w:fill="auto"/>
            <w:vAlign w:val="bottom"/>
          </w:tcPr>
          <w:p w:rsidR="001C1341" w:rsidRPr="001567C8" w:rsidRDefault="001C1341" w:rsidP="001C1341">
            <w:pPr>
              <w:tabs>
                <w:tab w:val="right" w:pos="1202"/>
              </w:tabs>
              <w:spacing w:line="240" w:lineRule="exact"/>
              <w:outlineLvl w:val="0"/>
              <w:rPr>
                <w:rFonts w:ascii="Calibri" w:eastAsia="Calibri" w:hAnsi="Calibri" w:cs="Arial"/>
                <w:b/>
                <w:bCs/>
                <w:spacing w:val="-2"/>
                <w:sz w:val="18"/>
                <w:szCs w:val="18"/>
                <w:lang w:val="hr-HR"/>
              </w:rPr>
            </w:pPr>
            <w:r w:rsidRPr="00CD3A2D">
              <w:rPr>
                <w:rFonts w:ascii="Calibri" w:hAnsi="Calibri" w:cs="Calibri"/>
                <w:color w:val="000000"/>
                <w:sz w:val="18"/>
                <w:szCs w:val="18"/>
                <w:lang w:val="hr-HR"/>
              </w:rPr>
              <w:t>Izdane garancije u devizama</w:t>
            </w:r>
          </w:p>
        </w:tc>
        <w:tc>
          <w:tcPr>
            <w:tcW w:w="522"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446</w:t>
            </w:r>
            <w:r w:rsidR="00173C60">
              <w:rPr>
                <w:rFonts w:ascii="Calibri" w:hAnsi="Calibri"/>
                <w:bCs/>
                <w:color w:val="000000"/>
                <w:sz w:val="18"/>
                <w:szCs w:val="18"/>
                <w:lang w:val="hr-HR"/>
              </w:rPr>
              <w:t>.</w:t>
            </w:r>
            <w:r w:rsidRPr="00CD3A2D">
              <w:rPr>
                <w:rFonts w:ascii="Calibri" w:hAnsi="Calibri"/>
                <w:bCs/>
                <w:color w:val="000000"/>
                <w:sz w:val="18"/>
                <w:szCs w:val="18"/>
                <w:lang w:val="hr-HR"/>
              </w:rPr>
              <w:t>324</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8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7"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446</w:t>
            </w:r>
            <w:r w:rsidR="00173C60">
              <w:rPr>
                <w:rFonts w:ascii="Calibri" w:hAnsi="Calibri"/>
                <w:bCs/>
                <w:color w:val="000000"/>
                <w:sz w:val="18"/>
                <w:szCs w:val="18"/>
                <w:lang w:val="hr-HR"/>
              </w:rPr>
              <w:t>.</w:t>
            </w:r>
            <w:r w:rsidRPr="00CD3A2D">
              <w:rPr>
                <w:rFonts w:ascii="Calibri" w:hAnsi="Calibri"/>
                <w:bCs/>
                <w:color w:val="000000"/>
                <w:sz w:val="18"/>
                <w:szCs w:val="18"/>
                <w:lang w:val="hr-HR"/>
              </w:rPr>
              <w:t>324</w:t>
            </w:r>
          </w:p>
        </w:tc>
      </w:tr>
      <w:tr w:rsidR="001C1341" w:rsidRPr="001567C8" w:rsidTr="00043BBB">
        <w:trPr>
          <w:trHeight w:val="290"/>
        </w:trPr>
        <w:tc>
          <w:tcPr>
            <w:tcW w:w="1627" w:type="pct"/>
            <w:tcBorders>
              <w:top w:val="nil"/>
              <w:left w:val="nil"/>
              <w:bottom w:val="nil"/>
              <w:right w:val="nil"/>
            </w:tcBorders>
            <w:shd w:val="clear" w:color="auto" w:fill="auto"/>
            <w:vAlign w:val="bottom"/>
          </w:tcPr>
          <w:p w:rsidR="001C1341" w:rsidRPr="001567C8" w:rsidRDefault="001C1341" w:rsidP="001C1341">
            <w:pPr>
              <w:tabs>
                <w:tab w:val="right" w:pos="1202"/>
              </w:tabs>
              <w:spacing w:line="240" w:lineRule="exact"/>
              <w:outlineLvl w:val="0"/>
              <w:rPr>
                <w:rFonts w:ascii="Calibri" w:eastAsia="Calibri" w:hAnsi="Calibri" w:cs="Arial"/>
                <w:b/>
                <w:bCs/>
                <w:spacing w:val="-2"/>
                <w:sz w:val="18"/>
                <w:szCs w:val="18"/>
                <w:lang w:val="hr-HR"/>
              </w:rPr>
            </w:pPr>
            <w:r w:rsidRPr="00CD3A2D">
              <w:rPr>
                <w:rFonts w:ascii="Calibri" w:hAnsi="Calibri" w:cs="Calibri"/>
                <w:color w:val="000000"/>
                <w:sz w:val="18"/>
                <w:szCs w:val="18"/>
                <w:lang w:val="hr-HR"/>
              </w:rPr>
              <w:t>Preuzete obveze po kreditima</w:t>
            </w:r>
          </w:p>
        </w:tc>
        <w:tc>
          <w:tcPr>
            <w:tcW w:w="522"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986</w:t>
            </w:r>
            <w:r w:rsidR="00173C60">
              <w:rPr>
                <w:rFonts w:ascii="Calibri" w:hAnsi="Calibri"/>
                <w:bCs/>
                <w:color w:val="000000"/>
                <w:sz w:val="18"/>
                <w:szCs w:val="18"/>
                <w:lang w:val="hr-HR"/>
              </w:rPr>
              <w:t>.</w:t>
            </w:r>
            <w:r w:rsidRPr="00CD3A2D">
              <w:rPr>
                <w:rFonts w:ascii="Calibri" w:hAnsi="Calibri"/>
                <w:bCs/>
                <w:color w:val="000000"/>
                <w:sz w:val="18"/>
                <w:szCs w:val="18"/>
                <w:lang w:val="hr-HR"/>
              </w:rPr>
              <w:t>798</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8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7"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986</w:t>
            </w:r>
            <w:r w:rsidR="00173C60">
              <w:rPr>
                <w:rFonts w:ascii="Calibri" w:hAnsi="Calibri"/>
                <w:bCs/>
                <w:color w:val="000000"/>
                <w:sz w:val="18"/>
                <w:szCs w:val="18"/>
                <w:lang w:val="hr-HR"/>
              </w:rPr>
              <w:t>.</w:t>
            </w:r>
            <w:r w:rsidRPr="00CD3A2D">
              <w:rPr>
                <w:rFonts w:ascii="Calibri" w:hAnsi="Calibri"/>
                <w:bCs/>
                <w:color w:val="000000"/>
                <w:sz w:val="18"/>
                <w:szCs w:val="18"/>
                <w:lang w:val="hr-HR"/>
              </w:rPr>
              <w:t>798</w:t>
            </w:r>
          </w:p>
        </w:tc>
      </w:tr>
      <w:tr w:rsidR="001C1341" w:rsidRPr="001567C8" w:rsidTr="00043BBB">
        <w:trPr>
          <w:trHeight w:val="290"/>
        </w:trPr>
        <w:tc>
          <w:tcPr>
            <w:tcW w:w="1627" w:type="pct"/>
            <w:tcBorders>
              <w:top w:val="nil"/>
              <w:left w:val="nil"/>
              <w:bottom w:val="nil"/>
              <w:right w:val="nil"/>
            </w:tcBorders>
            <w:shd w:val="clear" w:color="auto" w:fill="auto"/>
            <w:vAlign w:val="bottom"/>
          </w:tcPr>
          <w:p w:rsidR="001C1341" w:rsidRPr="00CD3A2D" w:rsidRDefault="001C1341" w:rsidP="001C1341">
            <w:pPr>
              <w:tabs>
                <w:tab w:val="right" w:pos="1202"/>
              </w:tabs>
              <w:spacing w:line="240" w:lineRule="exact"/>
              <w:outlineLvl w:val="0"/>
              <w:rPr>
                <w:rFonts w:ascii="Calibri" w:hAnsi="Calibri" w:cs="Calibri"/>
                <w:color w:val="000000"/>
                <w:sz w:val="18"/>
                <w:szCs w:val="18"/>
                <w:lang w:val="hr-HR"/>
              </w:rPr>
            </w:pPr>
            <w:r w:rsidRPr="00CD3A2D">
              <w:rPr>
                <w:rFonts w:ascii="Calibri" w:hAnsi="Calibri" w:cs="Calibri"/>
                <w:color w:val="000000"/>
                <w:sz w:val="18"/>
                <w:szCs w:val="18"/>
                <w:lang w:val="hr-HR"/>
              </w:rPr>
              <w:t>Upisani a neuplaćeni kapital EIF-a</w:t>
            </w:r>
          </w:p>
        </w:tc>
        <w:tc>
          <w:tcPr>
            <w:tcW w:w="522"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48</w:t>
            </w:r>
            <w:r w:rsidR="00173C60">
              <w:rPr>
                <w:rFonts w:ascii="Calibri" w:hAnsi="Calibri" w:cs="Calibri"/>
                <w:color w:val="000000"/>
                <w:sz w:val="18"/>
                <w:szCs w:val="18"/>
                <w:lang w:val="hr-HR"/>
              </w:rPr>
              <w:t>.</w:t>
            </w:r>
            <w:r w:rsidRPr="00CD3A2D">
              <w:rPr>
                <w:rFonts w:ascii="Calibri" w:hAnsi="Calibri" w:cs="Calibri"/>
                <w:color w:val="000000"/>
                <w:sz w:val="18"/>
                <w:szCs w:val="18"/>
                <w:lang w:val="hr-HR"/>
              </w:rPr>
              <w:t>088</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8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7"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48</w:t>
            </w:r>
            <w:r w:rsidR="00173C60">
              <w:rPr>
                <w:rFonts w:ascii="Calibri" w:hAnsi="Calibri" w:cs="Calibri"/>
                <w:color w:val="000000"/>
                <w:sz w:val="18"/>
                <w:szCs w:val="18"/>
                <w:lang w:val="hr-HR"/>
              </w:rPr>
              <w:t>.</w:t>
            </w:r>
            <w:r w:rsidRPr="00CD3A2D">
              <w:rPr>
                <w:rFonts w:ascii="Calibri" w:hAnsi="Calibri" w:cs="Calibri"/>
                <w:color w:val="000000"/>
                <w:sz w:val="18"/>
                <w:szCs w:val="18"/>
                <w:lang w:val="hr-HR"/>
              </w:rPr>
              <w:t>088</w:t>
            </w:r>
          </w:p>
        </w:tc>
      </w:tr>
      <w:tr w:rsidR="001C1341" w:rsidRPr="001567C8" w:rsidTr="00043BBB">
        <w:trPr>
          <w:trHeight w:val="290"/>
        </w:trPr>
        <w:tc>
          <w:tcPr>
            <w:tcW w:w="1627" w:type="pct"/>
            <w:tcBorders>
              <w:top w:val="nil"/>
              <w:left w:val="nil"/>
              <w:bottom w:val="nil"/>
              <w:right w:val="nil"/>
            </w:tcBorders>
            <w:shd w:val="clear" w:color="auto" w:fill="auto"/>
            <w:vAlign w:val="bottom"/>
          </w:tcPr>
          <w:p w:rsidR="001C1341" w:rsidRPr="00CD3A2D" w:rsidRDefault="001C1341" w:rsidP="001C1341">
            <w:pPr>
              <w:tabs>
                <w:tab w:val="right" w:pos="1202"/>
              </w:tabs>
              <w:spacing w:line="240" w:lineRule="exact"/>
              <w:outlineLvl w:val="0"/>
              <w:rPr>
                <w:rFonts w:ascii="Calibri" w:hAnsi="Calibri" w:cs="Calibri"/>
                <w:color w:val="000000"/>
                <w:sz w:val="18"/>
                <w:szCs w:val="18"/>
                <w:lang w:val="hr-HR"/>
              </w:rPr>
            </w:pPr>
            <w:r w:rsidRPr="00CD3A2D">
              <w:rPr>
                <w:rFonts w:ascii="Calibri" w:hAnsi="Calibri" w:cs="Calibri"/>
                <w:color w:val="000000"/>
                <w:sz w:val="18"/>
                <w:szCs w:val="18"/>
                <w:lang w:val="hr-HR"/>
              </w:rPr>
              <w:t>Ostale nespomenute neopozive potencijalne obveze</w:t>
            </w:r>
          </w:p>
        </w:tc>
        <w:tc>
          <w:tcPr>
            <w:tcW w:w="522"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335</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3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87"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3" w:type="pct"/>
            <w:tcBorders>
              <w:top w:val="nil"/>
              <w:left w:val="nil"/>
              <w:bottom w:val="nil"/>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7" w:type="pct"/>
            <w:tcBorders>
              <w:top w:val="nil"/>
              <w:left w:val="nil"/>
              <w:bottom w:val="nil"/>
              <w:right w:val="nil"/>
            </w:tcBorders>
            <w:shd w:val="clear" w:color="auto" w:fill="auto"/>
            <w:vAlign w:val="bottom"/>
          </w:tcPr>
          <w:p w:rsidR="001C1341" w:rsidRPr="00CD3A2D" w:rsidRDefault="001C1341" w:rsidP="001C1341">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335</w:t>
            </w:r>
          </w:p>
        </w:tc>
      </w:tr>
      <w:tr w:rsidR="001C1341" w:rsidRPr="001567C8" w:rsidTr="00043BBB">
        <w:trPr>
          <w:trHeight w:val="290"/>
        </w:trPr>
        <w:tc>
          <w:tcPr>
            <w:tcW w:w="1627" w:type="pct"/>
            <w:tcBorders>
              <w:top w:val="nil"/>
              <w:left w:val="nil"/>
              <w:bottom w:val="nil"/>
              <w:right w:val="nil"/>
            </w:tcBorders>
            <w:shd w:val="clear" w:color="auto" w:fill="auto"/>
            <w:vAlign w:val="bottom"/>
          </w:tcPr>
          <w:p w:rsidR="001C1341" w:rsidRPr="001567C8" w:rsidRDefault="001C1341" w:rsidP="001C1341">
            <w:pPr>
              <w:tabs>
                <w:tab w:val="right" w:pos="1202"/>
              </w:tabs>
              <w:spacing w:line="240" w:lineRule="exact"/>
              <w:outlineLvl w:val="0"/>
              <w:rPr>
                <w:rFonts w:ascii="Calibri" w:eastAsia="Calibri" w:hAnsi="Calibri" w:cs="Arial"/>
                <w:b/>
                <w:bCs/>
                <w:spacing w:val="-2"/>
                <w:sz w:val="18"/>
                <w:szCs w:val="18"/>
                <w:lang w:val="hr-HR"/>
              </w:rPr>
            </w:pPr>
            <w:r w:rsidRPr="00CD3A2D">
              <w:rPr>
                <w:rFonts w:ascii="Calibri" w:hAnsi="Calibri" w:cs="Calibri"/>
                <w:b/>
                <w:bCs/>
                <w:color w:val="000000"/>
                <w:sz w:val="18"/>
                <w:szCs w:val="18"/>
                <w:lang w:val="hr-HR"/>
              </w:rPr>
              <w:t>Ukupne garancije i preuzete obveze</w:t>
            </w:r>
          </w:p>
        </w:tc>
        <w:tc>
          <w:tcPr>
            <w:tcW w:w="522" w:type="pct"/>
            <w:tcBorders>
              <w:top w:val="single" w:sz="4" w:space="0" w:color="auto"/>
              <w:left w:val="nil"/>
              <w:bottom w:val="single" w:sz="12" w:space="0" w:color="auto"/>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
                <w:bCs/>
                <w:color w:val="000000"/>
                <w:sz w:val="18"/>
                <w:szCs w:val="18"/>
                <w:lang w:val="hr-HR"/>
              </w:rPr>
              <w:t>5</w:t>
            </w:r>
            <w:r w:rsidR="00173C60">
              <w:rPr>
                <w:rFonts w:ascii="Calibri" w:hAnsi="Calibri"/>
                <w:b/>
                <w:bCs/>
                <w:color w:val="000000"/>
                <w:sz w:val="18"/>
                <w:szCs w:val="18"/>
                <w:lang w:val="hr-HR"/>
              </w:rPr>
              <w:t>.</w:t>
            </w:r>
            <w:r w:rsidRPr="00CD3A2D">
              <w:rPr>
                <w:rFonts w:ascii="Calibri" w:hAnsi="Calibri"/>
                <w:b/>
                <w:bCs/>
                <w:color w:val="000000"/>
                <w:sz w:val="18"/>
                <w:szCs w:val="18"/>
                <w:lang w:val="hr-HR"/>
              </w:rPr>
              <w:t>515</w:t>
            </w:r>
            <w:r w:rsidR="00173C60">
              <w:rPr>
                <w:rFonts w:ascii="Calibri" w:hAnsi="Calibri"/>
                <w:b/>
                <w:bCs/>
                <w:color w:val="000000"/>
                <w:sz w:val="18"/>
                <w:szCs w:val="18"/>
                <w:lang w:val="hr-HR"/>
              </w:rPr>
              <w:t>.</w:t>
            </w:r>
            <w:r w:rsidRPr="00CD3A2D">
              <w:rPr>
                <w:rFonts w:ascii="Calibri" w:hAnsi="Calibri"/>
                <w:b/>
                <w:bCs/>
                <w:color w:val="000000"/>
                <w:sz w:val="18"/>
                <w:szCs w:val="18"/>
                <w:lang w:val="hr-HR"/>
              </w:rPr>
              <w:t>538</w:t>
            </w:r>
          </w:p>
        </w:tc>
        <w:tc>
          <w:tcPr>
            <w:tcW w:w="537" w:type="pct"/>
            <w:tcBorders>
              <w:top w:val="single" w:sz="4" w:space="0" w:color="auto"/>
              <w:left w:val="nil"/>
              <w:bottom w:val="single" w:sz="12" w:space="0" w:color="auto"/>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37" w:type="pct"/>
            <w:tcBorders>
              <w:top w:val="single" w:sz="4" w:space="0" w:color="auto"/>
              <w:left w:val="nil"/>
              <w:bottom w:val="single" w:sz="12" w:space="0" w:color="auto"/>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87" w:type="pct"/>
            <w:tcBorders>
              <w:top w:val="single" w:sz="4" w:space="0" w:color="auto"/>
              <w:left w:val="nil"/>
              <w:bottom w:val="single" w:sz="12" w:space="0" w:color="auto"/>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3" w:type="pct"/>
            <w:tcBorders>
              <w:top w:val="single" w:sz="4" w:space="0" w:color="auto"/>
              <w:left w:val="nil"/>
              <w:bottom w:val="single" w:sz="12" w:space="0" w:color="auto"/>
              <w:right w:val="nil"/>
            </w:tcBorders>
            <w:shd w:val="clear" w:color="auto" w:fill="auto"/>
          </w:tcPr>
          <w:p w:rsidR="001C1341" w:rsidRDefault="001C1341" w:rsidP="001C1341">
            <w:pPr>
              <w:jc w:val="right"/>
            </w:pPr>
            <w:r w:rsidRPr="00251FE7">
              <w:rPr>
                <w:rFonts w:ascii="Calibri" w:hAnsi="Calibri" w:cs="Calibri"/>
                <w:color w:val="000000"/>
                <w:sz w:val="18"/>
                <w:szCs w:val="18"/>
                <w:lang w:val="hr-HR"/>
              </w:rPr>
              <w:t>-</w:t>
            </w:r>
          </w:p>
        </w:tc>
        <w:tc>
          <w:tcPr>
            <w:tcW w:w="597" w:type="pct"/>
            <w:tcBorders>
              <w:top w:val="single" w:sz="4" w:space="0" w:color="auto"/>
              <w:left w:val="nil"/>
              <w:bottom w:val="single" w:sz="12" w:space="0" w:color="auto"/>
              <w:right w:val="nil"/>
            </w:tcBorders>
            <w:shd w:val="clear" w:color="auto" w:fill="auto"/>
            <w:vAlign w:val="bottom"/>
          </w:tcPr>
          <w:p w:rsidR="001C1341" w:rsidRPr="00CD3A2D" w:rsidRDefault="001C1341" w:rsidP="001C1341">
            <w:pPr>
              <w:tabs>
                <w:tab w:val="right" w:pos="1202"/>
              </w:tabs>
              <w:jc w:val="right"/>
              <w:outlineLvl w:val="0"/>
              <w:rPr>
                <w:rFonts w:asciiTheme="minorHAnsi" w:hAnsiTheme="minorHAnsi" w:cs="Arial"/>
                <w:b/>
                <w:bCs/>
                <w:color w:val="000000"/>
                <w:sz w:val="18"/>
                <w:szCs w:val="18"/>
                <w:lang w:val="hr-HR"/>
              </w:rPr>
            </w:pPr>
            <w:r w:rsidRPr="00CD3A2D">
              <w:rPr>
                <w:rFonts w:ascii="Calibri" w:hAnsi="Calibri"/>
                <w:b/>
                <w:bCs/>
                <w:color w:val="000000"/>
                <w:sz w:val="18"/>
                <w:szCs w:val="18"/>
                <w:lang w:val="hr-HR"/>
              </w:rPr>
              <w:t>5</w:t>
            </w:r>
            <w:r w:rsidR="00173C60">
              <w:rPr>
                <w:rFonts w:ascii="Calibri" w:hAnsi="Calibri"/>
                <w:b/>
                <w:bCs/>
                <w:color w:val="000000"/>
                <w:sz w:val="18"/>
                <w:szCs w:val="18"/>
                <w:lang w:val="hr-HR"/>
              </w:rPr>
              <w:t>.</w:t>
            </w:r>
            <w:r w:rsidRPr="00CD3A2D">
              <w:rPr>
                <w:rFonts w:ascii="Calibri" w:hAnsi="Calibri"/>
                <w:b/>
                <w:bCs/>
                <w:color w:val="000000"/>
                <w:sz w:val="18"/>
                <w:szCs w:val="18"/>
                <w:lang w:val="hr-HR"/>
              </w:rPr>
              <w:t>515</w:t>
            </w:r>
            <w:r w:rsidR="00173C60">
              <w:rPr>
                <w:rFonts w:ascii="Calibri" w:hAnsi="Calibri"/>
                <w:b/>
                <w:bCs/>
                <w:color w:val="000000"/>
                <w:sz w:val="18"/>
                <w:szCs w:val="18"/>
                <w:lang w:val="hr-HR"/>
              </w:rPr>
              <w:t>.</w:t>
            </w:r>
            <w:r w:rsidRPr="00CD3A2D">
              <w:rPr>
                <w:rFonts w:ascii="Calibri" w:hAnsi="Calibri"/>
                <w:b/>
                <w:bCs/>
                <w:color w:val="000000"/>
                <w:sz w:val="18"/>
                <w:szCs w:val="18"/>
                <w:lang w:val="hr-HR"/>
              </w:rPr>
              <w:t>538</w:t>
            </w:r>
          </w:p>
        </w:tc>
      </w:tr>
    </w:tbl>
    <w:p w:rsidR="00DB591E" w:rsidRPr="001567C8" w:rsidRDefault="00DB591E" w:rsidP="00B263A4">
      <w:pPr>
        <w:pStyle w:val="T1"/>
        <w:spacing w:before="0" w:after="0" w:line="240" w:lineRule="auto"/>
        <w:rPr>
          <w:rFonts w:asciiTheme="minorHAnsi" w:hAnsiTheme="minorHAnsi" w:cs="Arial"/>
          <w:sz w:val="22"/>
          <w:szCs w:val="22"/>
          <w:lang w:val="hr-HR"/>
        </w:rPr>
      </w:pPr>
    </w:p>
    <w:p w:rsidR="008825F1" w:rsidRPr="001567C8" w:rsidRDefault="008825F1" w:rsidP="00104704">
      <w:pPr>
        <w:pStyle w:val="accountingpolicytitle"/>
        <w:rPr>
          <w:rFonts w:asciiTheme="minorHAnsi" w:hAnsiTheme="minorHAnsi" w:cs="Arial"/>
          <w:b w:val="0"/>
          <w:bCs/>
          <w:sz w:val="20"/>
          <w:lang w:val="hr-HR"/>
        </w:rPr>
      </w:pPr>
      <w:r w:rsidRPr="001567C8">
        <w:rPr>
          <w:rFonts w:asciiTheme="minorHAnsi" w:hAnsiTheme="minorHAnsi" w:cs="Arial"/>
          <w:b w:val="0"/>
          <w:bCs/>
          <w:sz w:val="20"/>
          <w:lang w:val="hr-HR"/>
        </w:rPr>
        <w:t>Stavke s neodređenim dospijećem iskazane su u razdoblju preko 3 godine.</w:t>
      </w:r>
    </w:p>
    <w:p w:rsidR="00104704" w:rsidRPr="001567C8" w:rsidRDefault="00104704" w:rsidP="00104704">
      <w:pPr>
        <w:pStyle w:val="accountingpolicytitle"/>
        <w:rPr>
          <w:rFonts w:asciiTheme="minorHAnsi" w:hAnsiTheme="minorHAnsi" w:cs="Arial"/>
          <w:b w:val="0"/>
          <w:bCs/>
          <w:sz w:val="20"/>
          <w:lang w:val="hr-HR"/>
        </w:rPr>
      </w:pPr>
    </w:p>
    <w:p w:rsidR="000F75B2" w:rsidRPr="001567C8" w:rsidRDefault="000F75B2" w:rsidP="000F75B2">
      <w:pPr>
        <w:keepNext/>
        <w:ind w:right="-1"/>
        <w:jc w:val="both"/>
        <w:rPr>
          <w:rFonts w:ascii="Calibri" w:hAnsi="Calibri"/>
          <w:bCs/>
          <w:i/>
          <w:sz w:val="20"/>
          <w:szCs w:val="20"/>
          <w:lang w:val="hr-HR"/>
        </w:rPr>
      </w:pPr>
      <w:r w:rsidRPr="001567C8">
        <w:rPr>
          <w:rFonts w:ascii="Calibri" w:hAnsi="Calibri"/>
          <w:bCs/>
          <w:i/>
          <w:sz w:val="20"/>
          <w:szCs w:val="20"/>
          <w:lang w:val="hr-HR"/>
        </w:rPr>
        <w:t>*</w:t>
      </w:r>
      <w:r w:rsidRPr="001567C8">
        <w:rPr>
          <w:rFonts w:ascii="Arial" w:hAnsi="Arial"/>
          <w:b/>
          <w:bCs/>
          <w:sz w:val="20"/>
          <w:szCs w:val="20"/>
          <w:lang w:val="hr-HR"/>
        </w:rPr>
        <w:t xml:space="preserve"> </w:t>
      </w:r>
      <w:r w:rsidRPr="001567C8">
        <w:rPr>
          <w:rFonts w:ascii="Calibri" w:hAnsi="Calibri"/>
          <w:bCs/>
          <w:i/>
          <w:sz w:val="20"/>
          <w:szCs w:val="20"/>
          <w:lang w:val="hr-HR"/>
        </w:rPr>
        <w:t>Potraživanje u iznosu od 236.400 tisuća kuna odnosi se na obrnute repo poslove. Kako je dio iznosa potraživanja produžen nakon datuma Izvještaja o financijskom položaju njegovo dospijeće iskazano je u razdoblju od 3 mjeseca do 1 godine u iznosu od 150.000 tisuća kuna.</w:t>
      </w:r>
    </w:p>
    <w:p w:rsidR="000F75B2" w:rsidRPr="001567C8" w:rsidRDefault="000F75B2" w:rsidP="000F75B2">
      <w:pPr>
        <w:jc w:val="both"/>
        <w:rPr>
          <w:rFonts w:ascii="Calibri" w:eastAsia="Calibri" w:hAnsi="Calibri"/>
          <w:sz w:val="20"/>
          <w:szCs w:val="20"/>
          <w:lang w:val="hr-HR"/>
        </w:rPr>
      </w:pPr>
      <w:r w:rsidRPr="001567C8">
        <w:rPr>
          <w:rFonts w:ascii="Calibri" w:eastAsia="Calibri" w:hAnsi="Calibri"/>
          <w:bCs/>
          <w:i/>
          <w:sz w:val="20"/>
          <w:szCs w:val="20"/>
          <w:lang w:val="hr-HR"/>
        </w:rPr>
        <w:t xml:space="preserve">** Obračunata nedospjela kamata po kreditima raspoređena je u kategoriji od 1 do 3 mjeseci. </w:t>
      </w:r>
    </w:p>
    <w:p w:rsidR="000F75B2" w:rsidRPr="001567C8" w:rsidRDefault="000F75B2" w:rsidP="00104704">
      <w:pPr>
        <w:pStyle w:val="T1"/>
        <w:spacing w:before="0" w:after="0" w:line="240" w:lineRule="auto"/>
        <w:rPr>
          <w:rFonts w:asciiTheme="minorHAnsi" w:hAnsiTheme="minorHAnsi" w:cs="Arial"/>
          <w:sz w:val="22"/>
          <w:szCs w:val="22"/>
          <w:lang w:val="hr-HR"/>
        </w:rPr>
        <w:sectPr w:rsidR="000F75B2" w:rsidRPr="001567C8" w:rsidSect="0077198A">
          <w:pgSz w:w="11907" w:h="16840" w:code="9"/>
          <w:pgMar w:top="1418" w:right="1134" w:bottom="1134" w:left="1418" w:header="851" w:footer="851" w:gutter="0"/>
          <w:cols w:space="720"/>
          <w:noEndnote/>
        </w:sectPr>
      </w:pPr>
    </w:p>
    <w:p w:rsidR="00104704" w:rsidRPr="001567C8" w:rsidRDefault="00104704" w:rsidP="00104704">
      <w:pPr>
        <w:pStyle w:val="T1"/>
        <w:spacing w:before="0" w:after="0" w:line="240" w:lineRule="auto"/>
        <w:rPr>
          <w:rFonts w:asciiTheme="minorHAnsi" w:hAnsiTheme="minorHAnsi" w:cs="Arial"/>
          <w:sz w:val="22"/>
          <w:szCs w:val="22"/>
          <w:lang w:val="hr-HR"/>
        </w:rPr>
      </w:pPr>
    </w:p>
    <w:p w:rsidR="00344AFC" w:rsidRPr="001567C8" w:rsidRDefault="00283175" w:rsidP="00104704">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F75285" w:rsidRPr="001567C8">
        <w:rPr>
          <w:rFonts w:asciiTheme="minorHAnsi" w:hAnsiTheme="minorHAnsi" w:cs="Arial"/>
          <w:sz w:val="22"/>
          <w:szCs w:val="22"/>
          <w:lang w:val="hr-HR"/>
        </w:rPr>
        <w:t>6</w:t>
      </w:r>
      <w:r w:rsidR="00344AFC" w:rsidRPr="001567C8">
        <w:rPr>
          <w:rFonts w:asciiTheme="minorHAnsi" w:hAnsiTheme="minorHAnsi" w:cs="Arial"/>
          <w:sz w:val="22"/>
          <w:szCs w:val="22"/>
          <w:lang w:val="hr-HR"/>
        </w:rPr>
        <w:t>.</w:t>
      </w:r>
      <w:r w:rsidR="00344AFC" w:rsidRPr="001567C8">
        <w:rPr>
          <w:rFonts w:asciiTheme="minorHAnsi" w:hAnsiTheme="minorHAnsi" w:cs="Arial"/>
          <w:sz w:val="22"/>
          <w:szCs w:val="22"/>
          <w:lang w:val="hr-HR"/>
        </w:rPr>
        <w:tab/>
        <w:t>Upravljanje rizicima (nastavak)</w:t>
      </w:r>
    </w:p>
    <w:p w:rsidR="00104704" w:rsidRPr="001567C8" w:rsidRDefault="00104704" w:rsidP="00104704">
      <w:pPr>
        <w:pStyle w:val="T1"/>
        <w:spacing w:before="0" w:after="0" w:line="240" w:lineRule="auto"/>
        <w:rPr>
          <w:rFonts w:asciiTheme="minorHAnsi" w:hAnsiTheme="minorHAnsi" w:cs="Arial"/>
          <w:sz w:val="22"/>
          <w:szCs w:val="22"/>
          <w:lang w:val="hr-HR"/>
        </w:rPr>
      </w:pPr>
    </w:p>
    <w:p w:rsidR="00344AFC" w:rsidRPr="001567C8" w:rsidRDefault="00283175" w:rsidP="00104704">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F75285" w:rsidRPr="001567C8">
        <w:rPr>
          <w:rFonts w:asciiTheme="minorHAnsi" w:hAnsiTheme="minorHAnsi" w:cs="Arial"/>
          <w:sz w:val="22"/>
          <w:szCs w:val="22"/>
          <w:lang w:val="hr-HR"/>
        </w:rPr>
        <w:t>6</w:t>
      </w:r>
      <w:r w:rsidR="00344AFC"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4</w:t>
      </w:r>
      <w:r w:rsidR="00344AFC" w:rsidRPr="001567C8">
        <w:rPr>
          <w:rFonts w:asciiTheme="minorHAnsi" w:hAnsiTheme="minorHAnsi" w:cs="Arial"/>
          <w:sz w:val="22"/>
          <w:szCs w:val="22"/>
          <w:lang w:val="hr-HR"/>
        </w:rPr>
        <w:t xml:space="preserve">. </w:t>
      </w:r>
      <w:r w:rsidR="00344AFC" w:rsidRPr="001567C8">
        <w:rPr>
          <w:rFonts w:asciiTheme="minorHAnsi" w:hAnsiTheme="minorHAnsi" w:cs="Arial"/>
          <w:sz w:val="22"/>
          <w:szCs w:val="22"/>
          <w:lang w:val="hr-HR"/>
        </w:rPr>
        <w:tab/>
        <w:t>Rizik likvidnosti (nastavak)</w:t>
      </w:r>
    </w:p>
    <w:p w:rsidR="00104704" w:rsidRPr="001567C8" w:rsidRDefault="00104704" w:rsidP="00104704">
      <w:pPr>
        <w:pStyle w:val="T1"/>
        <w:spacing w:before="0" w:after="0" w:line="240" w:lineRule="auto"/>
        <w:rPr>
          <w:rFonts w:asciiTheme="minorHAnsi" w:hAnsiTheme="minorHAnsi" w:cs="Arial"/>
          <w:b w:val="0"/>
          <w:sz w:val="22"/>
          <w:szCs w:val="22"/>
          <w:lang w:val="hr-HR"/>
        </w:rPr>
      </w:pPr>
    </w:p>
    <w:p w:rsidR="00C00CC9" w:rsidRPr="001567C8" w:rsidRDefault="00940FEB" w:rsidP="00104704">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Tabel</w:t>
      </w:r>
      <w:r w:rsidR="004442AB" w:rsidRPr="001567C8">
        <w:rPr>
          <w:rFonts w:asciiTheme="minorHAnsi" w:hAnsiTheme="minorHAnsi" w:cs="Arial"/>
          <w:b w:val="0"/>
          <w:sz w:val="22"/>
          <w:szCs w:val="22"/>
          <w:lang w:val="hr-HR"/>
        </w:rPr>
        <w:t>a u nastavku prikazuje preostalo</w:t>
      </w:r>
      <w:r w:rsidRPr="001567C8">
        <w:rPr>
          <w:rFonts w:asciiTheme="minorHAnsi" w:hAnsiTheme="minorHAnsi" w:cs="Arial"/>
          <w:b w:val="0"/>
          <w:sz w:val="22"/>
          <w:szCs w:val="22"/>
          <w:lang w:val="hr-HR"/>
        </w:rPr>
        <w:t xml:space="preserve"> ugovorno dos</w:t>
      </w:r>
      <w:r w:rsidR="00F65829" w:rsidRPr="001567C8">
        <w:rPr>
          <w:rFonts w:asciiTheme="minorHAnsi" w:hAnsiTheme="minorHAnsi" w:cs="Arial"/>
          <w:b w:val="0"/>
          <w:sz w:val="22"/>
          <w:szCs w:val="22"/>
          <w:lang w:val="hr-HR"/>
        </w:rPr>
        <w:t xml:space="preserve">pijeće financijskih obveza </w:t>
      </w:r>
      <w:r w:rsidR="00C00CC9" w:rsidRPr="001567C8">
        <w:rPr>
          <w:rFonts w:asciiTheme="minorHAnsi" w:hAnsiTheme="minorHAnsi" w:cs="Arial"/>
          <w:b w:val="0"/>
          <w:sz w:val="22"/>
          <w:szCs w:val="22"/>
          <w:lang w:val="hr-HR"/>
        </w:rPr>
        <w:t xml:space="preserve">i garancija i preuzetih obveza </w:t>
      </w:r>
      <w:r w:rsidR="00F65829" w:rsidRPr="001567C8">
        <w:rPr>
          <w:rFonts w:asciiTheme="minorHAnsi" w:hAnsiTheme="minorHAnsi" w:cs="Arial"/>
          <w:b w:val="0"/>
          <w:sz w:val="22"/>
          <w:szCs w:val="22"/>
          <w:lang w:val="hr-HR"/>
        </w:rPr>
        <w:t>Grupe</w:t>
      </w:r>
      <w:r w:rsidRPr="001567C8">
        <w:rPr>
          <w:rFonts w:asciiTheme="minorHAnsi" w:hAnsiTheme="minorHAnsi" w:cs="Arial"/>
          <w:b w:val="0"/>
          <w:sz w:val="22"/>
          <w:szCs w:val="22"/>
          <w:lang w:val="hr-HR"/>
        </w:rPr>
        <w:t xml:space="preserve"> u nediskontiranim iznosima:</w:t>
      </w:r>
    </w:p>
    <w:p w:rsidR="00DB591E" w:rsidRPr="001567C8" w:rsidRDefault="00DB591E" w:rsidP="00DB591E">
      <w:pPr>
        <w:pStyle w:val="T1"/>
        <w:spacing w:before="0" w:after="0" w:line="240" w:lineRule="auto"/>
        <w:rPr>
          <w:rFonts w:asciiTheme="minorHAnsi" w:hAnsiTheme="minorHAnsi" w:cs="Arial"/>
          <w:b w:val="0"/>
          <w:sz w:val="22"/>
          <w:szCs w:val="22"/>
          <w:lang w:val="hr-HR"/>
        </w:rPr>
      </w:pPr>
    </w:p>
    <w:tbl>
      <w:tblPr>
        <w:tblW w:w="5375" w:type="pct"/>
        <w:tblInd w:w="-567" w:type="dxa"/>
        <w:tblLayout w:type="fixed"/>
        <w:tblCellMar>
          <w:left w:w="120" w:type="dxa"/>
          <w:right w:w="120" w:type="dxa"/>
        </w:tblCellMar>
        <w:tblLook w:val="0000" w:firstRow="0" w:lastRow="0" w:firstColumn="0" w:lastColumn="0" w:noHBand="0" w:noVBand="0"/>
      </w:tblPr>
      <w:tblGrid>
        <w:gridCol w:w="3215"/>
        <w:gridCol w:w="1119"/>
        <w:gridCol w:w="1116"/>
        <w:gridCol w:w="1118"/>
        <w:gridCol w:w="1118"/>
        <w:gridCol w:w="1118"/>
        <w:gridCol w:w="1253"/>
      </w:tblGrid>
      <w:tr w:rsidR="0065159E" w:rsidRPr="001567C8" w:rsidTr="003C6BA3">
        <w:trPr>
          <w:trHeight w:val="482"/>
        </w:trPr>
        <w:tc>
          <w:tcPr>
            <w:tcW w:w="1598" w:type="pct"/>
          </w:tcPr>
          <w:p w:rsidR="00F10EA3" w:rsidRPr="00CD3A2D" w:rsidRDefault="00F10EA3">
            <w:pPr>
              <w:tabs>
                <w:tab w:val="right" w:pos="1202"/>
              </w:tabs>
              <w:spacing w:line="240" w:lineRule="atLeast"/>
              <w:outlineLvl w:val="0"/>
              <w:rPr>
                <w:rFonts w:asciiTheme="minorHAnsi" w:hAnsiTheme="minorHAnsi" w:cs="Arial"/>
                <w:b/>
                <w:sz w:val="18"/>
                <w:szCs w:val="18"/>
                <w:lang w:val="hr-HR"/>
              </w:rPr>
            </w:pPr>
            <w:r w:rsidRPr="00CD3A2D">
              <w:rPr>
                <w:rFonts w:asciiTheme="minorHAnsi" w:hAnsiTheme="minorHAnsi" w:cs="Arial"/>
                <w:b/>
                <w:sz w:val="18"/>
                <w:szCs w:val="18"/>
                <w:lang w:val="hr-HR"/>
              </w:rPr>
              <w:t>Grupa</w:t>
            </w:r>
          </w:p>
          <w:p w:rsidR="00F10EA3" w:rsidRPr="00CD3A2D" w:rsidRDefault="00AD2EF7">
            <w:pPr>
              <w:tabs>
                <w:tab w:val="right" w:pos="1202"/>
              </w:tabs>
              <w:spacing w:line="240" w:lineRule="atLeast"/>
              <w:outlineLvl w:val="0"/>
              <w:rPr>
                <w:rFonts w:asciiTheme="minorHAnsi" w:hAnsiTheme="minorHAnsi" w:cs="Arial"/>
                <w:b/>
                <w:sz w:val="18"/>
                <w:szCs w:val="18"/>
                <w:lang w:val="hr-HR"/>
              </w:rPr>
            </w:pPr>
            <w:r>
              <w:rPr>
                <w:rFonts w:asciiTheme="minorHAnsi" w:hAnsiTheme="minorHAnsi" w:cs="Arial"/>
                <w:b/>
                <w:sz w:val="18"/>
                <w:szCs w:val="18"/>
                <w:lang w:val="hr-HR"/>
              </w:rPr>
              <w:t>31. prosin</w:t>
            </w:r>
            <w:r w:rsidR="0073283D" w:rsidRPr="00CD3A2D">
              <w:rPr>
                <w:rFonts w:asciiTheme="minorHAnsi" w:hAnsiTheme="minorHAnsi" w:cs="Arial"/>
                <w:b/>
                <w:sz w:val="18"/>
                <w:szCs w:val="18"/>
                <w:lang w:val="hr-HR"/>
              </w:rPr>
              <w:t>c</w:t>
            </w:r>
            <w:r>
              <w:rPr>
                <w:rFonts w:asciiTheme="minorHAnsi" w:hAnsiTheme="minorHAnsi" w:cs="Arial"/>
                <w:b/>
                <w:sz w:val="18"/>
                <w:szCs w:val="18"/>
                <w:lang w:val="hr-HR"/>
              </w:rPr>
              <w:t>a</w:t>
            </w:r>
            <w:r w:rsidR="0073283D" w:rsidRPr="00CD3A2D">
              <w:rPr>
                <w:rFonts w:asciiTheme="minorHAnsi" w:hAnsiTheme="minorHAnsi" w:cs="Arial"/>
                <w:b/>
                <w:sz w:val="18"/>
                <w:szCs w:val="18"/>
                <w:lang w:val="hr-HR"/>
              </w:rPr>
              <w:t xml:space="preserve"> </w:t>
            </w:r>
            <w:r w:rsidR="008770A1" w:rsidRPr="00CD3A2D">
              <w:rPr>
                <w:rFonts w:asciiTheme="minorHAnsi" w:hAnsiTheme="minorHAnsi" w:cs="Arial"/>
                <w:b/>
                <w:sz w:val="18"/>
                <w:szCs w:val="18"/>
                <w:lang w:val="hr-HR"/>
              </w:rPr>
              <w:t>201</w:t>
            </w:r>
            <w:r w:rsidR="00AD2AC2" w:rsidRPr="00CD3A2D">
              <w:rPr>
                <w:rFonts w:asciiTheme="minorHAnsi" w:hAnsiTheme="minorHAnsi" w:cs="Arial"/>
                <w:b/>
                <w:sz w:val="18"/>
                <w:szCs w:val="18"/>
                <w:lang w:val="hr-HR"/>
              </w:rPr>
              <w:t>8</w:t>
            </w:r>
            <w:r w:rsidR="00F10EA3" w:rsidRPr="00CD3A2D">
              <w:rPr>
                <w:rFonts w:asciiTheme="minorHAnsi" w:hAnsiTheme="minorHAnsi" w:cs="Arial"/>
                <w:b/>
                <w:sz w:val="18"/>
                <w:szCs w:val="18"/>
                <w:lang w:val="hr-HR"/>
              </w:rPr>
              <w:t>. godina</w:t>
            </w:r>
          </w:p>
        </w:tc>
        <w:tc>
          <w:tcPr>
            <w:tcW w:w="556"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Do 1 mjesec</w:t>
            </w:r>
          </w:p>
        </w:tc>
        <w:tc>
          <w:tcPr>
            <w:tcW w:w="555"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1 do 3 mjeseca</w:t>
            </w:r>
          </w:p>
        </w:tc>
        <w:tc>
          <w:tcPr>
            <w:tcW w:w="556"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3 mj. do 1 godine</w:t>
            </w:r>
          </w:p>
        </w:tc>
        <w:tc>
          <w:tcPr>
            <w:tcW w:w="556"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1 do 3 godina</w:t>
            </w:r>
          </w:p>
        </w:tc>
        <w:tc>
          <w:tcPr>
            <w:tcW w:w="556"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Preko 3 godine</w:t>
            </w:r>
          </w:p>
        </w:tc>
        <w:tc>
          <w:tcPr>
            <w:tcW w:w="623"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Ukupno</w:t>
            </w:r>
          </w:p>
        </w:tc>
      </w:tr>
      <w:tr w:rsidR="0065159E" w:rsidRPr="001567C8" w:rsidTr="003C6BA3">
        <w:trPr>
          <w:trHeight w:val="241"/>
        </w:trPr>
        <w:tc>
          <w:tcPr>
            <w:tcW w:w="1598" w:type="pct"/>
            <w:vAlign w:val="bottom"/>
          </w:tcPr>
          <w:p w:rsidR="00F10EA3" w:rsidRPr="00CD3A2D" w:rsidRDefault="00F10EA3" w:rsidP="00A66A89">
            <w:pPr>
              <w:tabs>
                <w:tab w:val="left" w:pos="-720"/>
              </w:tabs>
              <w:suppressAutoHyphens/>
              <w:jc w:val="center"/>
              <w:rPr>
                <w:rFonts w:asciiTheme="minorHAnsi" w:hAnsiTheme="minorHAnsi" w:cs="Arial"/>
                <w:b/>
                <w:spacing w:val="-2"/>
                <w:sz w:val="18"/>
                <w:szCs w:val="18"/>
                <w:lang w:val="hr-HR"/>
              </w:rPr>
            </w:pPr>
          </w:p>
        </w:tc>
        <w:tc>
          <w:tcPr>
            <w:tcW w:w="556"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55"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56"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56"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56"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623"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r>
      <w:tr w:rsidR="0065159E" w:rsidRPr="001567C8" w:rsidTr="00CD3A2D">
        <w:trPr>
          <w:trHeight w:hRule="exact" w:val="284"/>
        </w:trPr>
        <w:tc>
          <w:tcPr>
            <w:tcW w:w="1598" w:type="pct"/>
            <w:vAlign w:val="bottom"/>
          </w:tcPr>
          <w:p w:rsidR="00F10EA3" w:rsidRPr="00CD3A2D" w:rsidRDefault="00F10EA3" w:rsidP="00A66A89">
            <w:pPr>
              <w:tabs>
                <w:tab w:val="right" w:pos="1202"/>
              </w:tabs>
              <w:spacing w:line="301" w:lineRule="exact"/>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Financijske obveze</w:t>
            </w:r>
          </w:p>
        </w:tc>
        <w:tc>
          <w:tcPr>
            <w:tcW w:w="556" w:type="pct"/>
            <w:vAlign w:val="bottom"/>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555" w:type="pct"/>
            <w:vAlign w:val="bottom"/>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556" w:type="pct"/>
            <w:vAlign w:val="bottom"/>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556" w:type="pct"/>
            <w:vAlign w:val="bottom"/>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556" w:type="pct"/>
            <w:vAlign w:val="bottom"/>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623" w:type="pct"/>
            <w:vAlign w:val="bottom"/>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r>
      <w:tr w:rsidR="005711A8" w:rsidRPr="001567C8" w:rsidTr="00CD3A2D">
        <w:trPr>
          <w:trHeight w:hRule="exact" w:val="227"/>
        </w:trPr>
        <w:tc>
          <w:tcPr>
            <w:tcW w:w="1598" w:type="pct"/>
            <w:vAlign w:val="bottom"/>
          </w:tcPr>
          <w:p w:rsidR="00684952" w:rsidRPr="00CD3A2D" w:rsidRDefault="00684952" w:rsidP="003C6BA3">
            <w:pPr>
              <w:tabs>
                <w:tab w:val="right" w:pos="1202"/>
              </w:tabs>
              <w:spacing w:line="240" w:lineRule="exac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Obveze po depozitima</w:t>
            </w:r>
          </w:p>
        </w:tc>
        <w:tc>
          <w:tcPr>
            <w:tcW w:w="556" w:type="pct"/>
            <w:tcBorders>
              <w:top w:val="nil"/>
              <w:left w:val="nil"/>
              <w:bottom w:val="nil"/>
              <w:right w:val="nil"/>
            </w:tcBorders>
            <w:shd w:val="clear" w:color="auto" w:fill="auto"/>
            <w:vAlign w:val="center"/>
          </w:tcPr>
          <w:p w:rsidR="00684952" w:rsidRPr="00CD3A2D" w:rsidRDefault="00684952"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229.704</w:t>
            </w:r>
          </w:p>
        </w:tc>
        <w:tc>
          <w:tcPr>
            <w:tcW w:w="555" w:type="pct"/>
            <w:tcBorders>
              <w:top w:val="nil"/>
              <w:left w:val="nil"/>
              <w:bottom w:val="nil"/>
              <w:right w:val="nil"/>
            </w:tcBorders>
            <w:shd w:val="clear" w:color="auto" w:fill="auto"/>
            <w:vAlign w:val="center"/>
          </w:tcPr>
          <w:p w:rsidR="00684952" w:rsidRPr="00CD3A2D" w:rsidRDefault="00684952"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6.5</w:t>
            </w:r>
            <w:r w:rsidR="009C322E" w:rsidRPr="00CD3A2D">
              <w:rPr>
                <w:rFonts w:ascii="Calibri" w:eastAsia="Calibri" w:hAnsi="Calibri" w:cs="Arial"/>
                <w:spacing w:val="-2"/>
                <w:sz w:val="18"/>
                <w:szCs w:val="18"/>
                <w:lang w:val="hr-HR"/>
              </w:rPr>
              <w:t>79</w:t>
            </w:r>
          </w:p>
        </w:tc>
        <w:tc>
          <w:tcPr>
            <w:tcW w:w="556" w:type="pct"/>
            <w:tcBorders>
              <w:top w:val="nil"/>
              <w:left w:val="nil"/>
              <w:bottom w:val="nil"/>
              <w:right w:val="nil"/>
            </w:tcBorders>
            <w:shd w:val="clear" w:color="auto" w:fill="auto"/>
            <w:vAlign w:val="center"/>
          </w:tcPr>
          <w:p w:rsidR="00684952" w:rsidRPr="00CD3A2D" w:rsidRDefault="00684952"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177.736</w:t>
            </w:r>
          </w:p>
        </w:tc>
        <w:tc>
          <w:tcPr>
            <w:tcW w:w="556" w:type="pct"/>
            <w:tcBorders>
              <w:top w:val="nil"/>
              <w:left w:val="nil"/>
              <w:bottom w:val="nil"/>
              <w:right w:val="nil"/>
            </w:tcBorders>
            <w:shd w:val="clear" w:color="auto" w:fill="auto"/>
            <w:vAlign w:val="center"/>
          </w:tcPr>
          <w:p w:rsidR="00684952" w:rsidRPr="00CD3A2D" w:rsidRDefault="00684952"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757</w:t>
            </w:r>
          </w:p>
        </w:tc>
        <w:tc>
          <w:tcPr>
            <w:tcW w:w="556" w:type="pct"/>
            <w:tcBorders>
              <w:top w:val="nil"/>
              <w:left w:val="nil"/>
              <w:bottom w:val="nil"/>
              <w:right w:val="nil"/>
            </w:tcBorders>
            <w:shd w:val="clear" w:color="auto" w:fill="auto"/>
            <w:vAlign w:val="center"/>
          </w:tcPr>
          <w:p w:rsidR="00684952" w:rsidRPr="00CD3A2D" w:rsidRDefault="00684952"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14.320</w:t>
            </w:r>
          </w:p>
        </w:tc>
        <w:tc>
          <w:tcPr>
            <w:tcW w:w="623" w:type="pct"/>
            <w:tcBorders>
              <w:top w:val="nil"/>
              <w:left w:val="nil"/>
              <w:bottom w:val="nil"/>
              <w:right w:val="nil"/>
            </w:tcBorders>
            <w:shd w:val="clear" w:color="auto" w:fill="auto"/>
            <w:vAlign w:val="center"/>
          </w:tcPr>
          <w:p w:rsidR="00684952" w:rsidRPr="00CD3A2D" w:rsidRDefault="00684952"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429.096</w:t>
            </w:r>
          </w:p>
        </w:tc>
      </w:tr>
      <w:tr w:rsidR="00C57196" w:rsidRPr="001567C8" w:rsidTr="00CD3A2D">
        <w:trPr>
          <w:trHeight w:hRule="exact" w:val="227"/>
        </w:trPr>
        <w:tc>
          <w:tcPr>
            <w:tcW w:w="1598" w:type="pct"/>
            <w:vAlign w:val="bottom"/>
          </w:tcPr>
          <w:p w:rsidR="00C57196" w:rsidRPr="00CD3A2D" w:rsidRDefault="00C57196" w:rsidP="003C6BA3">
            <w:pPr>
              <w:tabs>
                <w:tab w:val="right" w:pos="1202"/>
              </w:tabs>
              <w:spacing w:line="240" w:lineRule="exac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Obveze po kreditima</w:t>
            </w:r>
          </w:p>
        </w:tc>
        <w:tc>
          <w:tcPr>
            <w:tcW w:w="556" w:type="pct"/>
            <w:tcBorders>
              <w:top w:val="nil"/>
              <w:left w:val="nil"/>
              <w:bottom w:val="nil"/>
              <w:right w:val="nil"/>
            </w:tcBorders>
            <w:shd w:val="clear" w:color="auto" w:fill="auto"/>
            <w:vAlign w:val="bottom"/>
          </w:tcPr>
          <w:p w:rsidR="00C57196" w:rsidRPr="00CD3A2D" w:rsidRDefault="00C57196"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hAnsi="Calibri" w:cs="Calibri"/>
                <w:sz w:val="18"/>
                <w:szCs w:val="18"/>
                <w:lang w:val="hr-HR"/>
              </w:rPr>
              <w:t>338.464</w:t>
            </w:r>
          </w:p>
        </w:tc>
        <w:tc>
          <w:tcPr>
            <w:tcW w:w="555" w:type="pct"/>
            <w:tcBorders>
              <w:top w:val="nil"/>
              <w:left w:val="nil"/>
              <w:bottom w:val="nil"/>
              <w:right w:val="nil"/>
            </w:tcBorders>
            <w:shd w:val="clear" w:color="auto" w:fill="auto"/>
            <w:vAlign w:val="bottom"/>
          </w:tcPr>
          <w:p w:rsidR="00C57196" w:rsidRPr="00CD3A2D" w:rsidRDefault="00C57196"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hAnsi="Calibri" w:cs="Calibri"/>
                <w:sz w:val="18"/>
                <w:szCs w:val="18"/>
                <w:lang w:val="hr-HR"/>
              </w:rPr>
              <w:t>438.773</w:t>
            </w:r>
          </w:p>
        </w:tc>
        <w:tc>
          <w:tcPr>
            <w:tcW w:w="556" w:type="pct"/>
            <w:tcBorders>
              <w:top w:val="nil"/>
              <w:left w:val="nil"/>
              <w:bottom w:val="nil"/>
              <w:right w:val="nil"/>
            </w:tcBorders>
            <w:shd w:val="clear" w:color="auto" w:fill="auto"/>
            <w:vAlign w:val="bottom"/>
          </w:tcPr>
          <w:p w:rsidR="00C57196" w:rsidRPr="00CD3A2D" w:rsidRDefault="00C57196"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hAnsi="Calibri" w:cs="Calibri"/>
                <w:sz w:val="18"/>
                <w:szCs w:val="18"/>
                <w:lang w:val="hr-HR"/>
              </w:rPr>
              <w:t>1.647.005</w:t>
            </w:r>
          </w:p>
        </w:tc>
        <w:tc>
          <w:tcPr>
            <w:tcW w:w="556" w:type="pct"/>
            <w:tcBorders>
              <w:top w:val="nil"/>
              <w:left w:val="nil"/>
              <w:bottom w:val="nil"/>
              <w:right w:val="nil"/>
            </w:tcBorders>
            <w:shd w:val="clear" w:color="auto" w:fill="auto"/>
            <w:vAlign w:val="bottom"/>
          </w:tcPr>
          <w:p w:rsidR="00C57196" w:rsidRPr="00CD3A2D" w:rsidRDefault="00C57196"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hAnsi="Calibri" w:cs="Calibri"/>
                <w:sz w:val="18"/>
                <w:szCs w:val="18"/>
                <w:lang w:val="hr-HR"/>
              </w:rPr>
              <w:t>4.387.915</w:t>
            </w:r>
          </w:p>
        </w:tc>
        <w:tc>
          <w:tcPr>
            <w:tcW w:w="556" w:type="pct"/>
            <w:tcBorders>
              <w:top w:val="nil"/>
              <w:left w:val="nil"/>
              <w:bottom w:val="nil"/>
              <w:right w:val="nil"/>
            </w:tcBorders>
            <w:shd w:val="clear" w:color="auto" w:fill="auto"/>
            <w:vAlign w:val="bottom"/>
          </w:tcPr>
          <w:p w:rsidR="00C57196" w:rsidRPr="00CD3A2D" w:rsidRDefault="00C57196"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hAnsi="Calibri" w:cs="Calibri"/>
                <w:sz w:val="18"/>
                <w:szCs w:val="18"/>
                <w:lang w:val="hr-HR"/>
              </w:rPr>
              <w:t>9.457.974</w:t>
            </w:r>
          </w:p>
        </w:tc>
        <w:tc>
          <w:tcPr>
            <w:tcW w:w="623" w:type="pct"/>
            <w:tcBorders>
              <w:top w:val="nil"/>
              <w:left w:val="nil"/>
              <w:bottom w:val="nil"/>
              <w:right w:val="nil"/>
            </w:tcBorders>
            <w:shd w:val="clear" w:color="auto" w:fill="auto"/>
            <w:vAlign w:val="bottom"/>
          </w:tcPr>
          <w:p w:rsidR="00C57196" w:rsidRPr="00CD3A2D" w:rsidRDefault="00C57196"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hAnsi="Calibri" w:cs="Calibri"/>
                <w:sz w:val="18"/>
                <w:szCs w:val="18"/>
                <w:lang w:val="hr-HR"/>
              </w:rPr>
              <w:t>16.270.131</w:t>
            </w:r>
          </w:p>
        </w:tc>
      </w:tr>
      <w:tr w:rsidR="0005030C" w:rsidRPr="001567C8" w:rsidTr="00CD3A2D">
        <w:trPr>
          <w:trHeight w:val="482"/>
        </w:trPr>
        <w:tc>
          <w:tcPr>
            <w:tcW w:w="1598" w:type="pct"/>
            <w:vAlign w:val="bottom"/>
          </w:tcPr>
          <w:p w:rsidR="00684952" w:rsidRPr="00CD3A2D" w:rsidRDefault="00684952">
            <w:pPr>
              <w:tabs>
                <w:tab w:val="right" w:pos="1202"/>
              </w:tabs>
              <w:spacing w:line="301" w:lineRule="exact"/>
              <w:outlineLvl w:val="0"/>
              <w:rPr>
                <w:rFonts w:asciiTheme="minorHAnsi" w:hAnsiTheme="minorHAnsi" w:cs="Arial"/>
                <w:spacing w:val="-2"/>
                <w:sz w:val="18"/>
                <w:szCs w:val="18"/>
                <w:lang w:val="hr-HR"/>
              </w:rPr>
            </w:pPr>
            <w:r w:rsidRPr="00CD3A2D">
              <w:rPr>
                <w:rFonts w:asciiTheme="minorHAnsi" w:hAnsiTheme="minorHAnsi" w:cs="Arial"/>
                <w:spacing w:val="-2"/>
                <w:sz w:val="18"/>
                <w:szCs w:val="18"/>
                <w:lang w:val="hr-HR"/>
              </w:rPr>
              <w:t>Obveze za izdane dugoročne vrijednosne papire</w:t>
            </w:r>
          </w:p>
        </w:tc>
        <w:tc>
          <w:tcPr>
            <w:tcW w:w="556" w:type="pct"/>
            <w:tcBorders>
              <w:top w:val="nil"/>
              <w:left w:val="nil"/>
              <w:right w:val="nil"/>
            </w:tcBorders>
            <w:shd w:val="clear" w:color="auto" w:fill="auto"/>
            <w:vAlign w:val="bottom"/>
          </w:tcPr>
          <w:p w:rsidR="00684952" w:rsidRPr="00CD3A2D" w:rsidRDefault="00684952" w:rsidP="003C6BA3">
            <w:pPr>
              <w:tabs>
                <w:tab w:val="right" w:pos="1202"/>
              </w:tabs>
              <w:spacing w:line="301" w:lineRule="exact"/>
              <w:jc w:val="right"/>
              <w:outlineLvl w:val="0"/>
              <w:rPr>
                <w:rFonts w:asciiTheme="minorHAnsi" w:hAnsiTheme="minorHAnsi" w:cs="Arial"/>
                <w:spacing w:val="-2"/>
                <w:sz w:val="18"/>
                <w:szCs w:val="18"/>
                <w:lang w:val="hr-HR"/>
              </w:rPr>
            </w:pPr>
            <w:r w:rsidRPr="00CD3A2D">
              <w:rPr>
                <w:rFonts w:asciiTheme="minorHAnsi" w:hAnsiTheme="minorHAnsi" w:cs="Arial"/>
                <w:spacing w:val="-2"/>
                <w:sz w:val="18"/>
                <w:szCs w:val="18"/>
                <w:lang w:val="hr-HR"/>
              </w:rPr>
              <w:t>-</w:t>
            </w:r>
          </w:p>
        </w:tc>
        <w:tc>
          <w:tcPr>
            <w:tcW w:w="555" w:type="pct"/>
            <w:tcBorders>
              <w:top w:val="nil"/>
              <w:left w:val="nil"/>
              <w:right w:val="nil"/>
            </w:tcBorders>
            <w:shd w:val="clear" w:color="auto" w:fill="auto"/>
            <w:vAlign w:val="bottom"/>
          </w:tcPr>
          <w:p w:rsidR="00684952" w:rsidRPr="00CD3A2D" w:rsidRDefault="00684952" w:rsidP="003C6BA3">
            <w:pPr>
              <w:tabs>
                <w:tab w:val="right" w:pos="1202"/>
              </w:tabs>
              <w:spacing w:line="301" w:lineRule="exact"/>
              <w:jc w:val="right"/>
              <w:outlineLvl w:val="0"/>
              <w:rPr>
                <w:rFonts w:asciiTheme="minorHAnsi" w:hAnsiTheme="minorHAnsi" w:cs="Arial"/>
                <w:spacing w:val="-2"/>
                <w:sz w:val="18"/>
                <w:szCs w:val="18"/>
                <w:lang w:val="hr-HR"/>
              </w:rPr>
            </w:pPr>
            <w:r w:rsidRPr="00CD3A2D">
              <w:rPr>
                <w:rFonts w:asciiTheme="minorHAnsi" w:hAnsiTheme="minorHAnsi" w:cs="Arial"/>
                <w:spacing w:val="-2"/>
                <w:sz w:val="18"/>
                <w:szCs w:val="18"/>
                <w:lang w:val="hr-HR"/>
              </w:rPr>
              <w:t>-</w:t>
            </w:r>
          </w:p>
        </w:tc>
        <w:tc>
          <w:tcPr>
            <w:tcW w:w="556" w:type="pct"/>
            <w:tcBorders>
              <w:top w:val="nil"/>
              <w:left w:val="nil"/>
              <w:right w:val="nil"/>
            </w:tcBorders>
            <w:shd w:val="clear" w:color="auto" w:fill="auto"/>
            <w:vAlign w:val="bottom"/>
          </w:tcPr>
          <w:p w:rsidR="00684952" w:rsidRPr="00CD3A2D" w:rsidRDefault="00684952" w:rsidP="003C6BA3">
            <w:pPr>
              <w:tabs>
                <w:tab w:val="right" w:pos="1202"/>
              </w:tabs>
              <w:spacing w:line="301" w:lineRule="exact"/>
              <w:jc w:val="right"/>
              <w:outlineLvl w:val="0"/>
              <w:rPr>
                <w:rFonts w:asciiTheme="minorHAnsi" w:hAnsiTheme="minorHAnsi" w:cs="Arial"/>
                <w:spacing w:val="-2"/>
                <w:sz w:val="18"/>
                <w:szCs w:val="18"/>
                <w:lang w:val="hr-HR"/>
              </w:rPr>
            </w:pPr>
            <w:r w:rsidRPr="00CD3A2D">
              <w:rPr>
                <w:rFonts w:asciiTheme="minorHAnsi" w:hAnsiTheme="minorHAnsi" w:cs="Arial"/>
                <w:spacing w:val="-2"/>
                <w:sz w:val="18"/>
                <w:szCs w:val="18"/>
                <w:lang w:val="hr-HR"/>
              </w:rPr>
              <w:t>66.758</w:t>
            </w:r>
          </w:p>
        </w:tc>
        <w:tc>
          <w:tcPr>
            <w:tcW w:w="556" w:type="pct"/>
            <w:tcBorders>
              <w:top w:val="nil"/>
              <w:left w:val="nil"/>
              <w:right w:val="nil"/>
            </w:tcBorders>
            <w:shd w:val="clear" w:color="auto" w:fill="auto"/>
            <w:vAlign w:val="bottom"/>
          </w:tcPr>
          <w:p w:rsidR="00684952" w:rsidRPr="00CD3A2D" w:rsidRDefault="00684952" w:rsidP="003C6BA3">
            <w:pPr>
              <w:tabs>
                <w:tab w:val="right" w:pos="1202"/>
              </w:tabs>
              <w:spacing w:line="301" w:lineRule="exact"/>
              <w:jc w:val="right"/>
              <w:outlineLvl w:val="0"/>
              <w:rPr>
                <w:rFonts w:asciiTheme="minorHAnsi" w:hAnsiTheme="minorHAnsi" w:cs="Arial"/>
                <w:spacing w:val="-2"/>
                <w:sz w:val="18"/>
                <w:szCs w:val="18"/>
                <w:lang w:val="hr-HR"/>
              </w:rPr>
            </w:pPr>
            <w:r w:rsidRPr="00CD3A2D">
              <w:rPr>
                <w:rFonts w:asciiTheme="minorHAnsi" w:hAnsiTheme="minorHAnsi" w:cs="Arial"/>
                <w:spacing w:val="-2"/>
                <w:sz w:val="18"/>
                <w:szCs w:val="18"/>
                <w:lang w:val="hr-HR"/>
              </w:rPr>
              <w:t>1.173.968</w:t>
            </w:r>
          </w:p>
        </w:tc>
        <w:tc>
          <w:tcPr>
            <w:tcW w:w="556" w:type="pct"/>
            <w:tcBorders>
              <w:top w:val="nil"/>
              <w:left w:val="nil"/>
              <w:right w:val="nil"/>
            </w:tcBorders>
            <w:shd w:val="clear" w:color="auto" w:fill="auto"/>
            <w:vAlign w:val="bottom"/>
          </w:tcPr>
          <w:p w:rsidR="00684952" w:rsidRPr="00CD3A2D" w:rsidRDefault="00684952" w:rsidP="003C6BA3">
            <w:pPr>
              <w:tabs>
                <w:tab w:val="right" w:pos="1202"/>
              </w:tabs>
              <w:spacing w:line="301" w:lineRule="exact"/>
              <w:jc w:val="right"/>
              <w:outlineLvl w:val="0"/>
              <w:rPr>
                <w:rFonts w:asciiTheme="minorHAnsi" w:hAnsiTheme="minorHAnsi" w:cs="Arial"/>
                <w:spacing w:val="-2"/>
                <w:sz w:val="18"/>
                <w:szCs w:val="18"/>
                <w:lang w:val="hr-HR"/>
              </w:rPr>
            </w:pPr>
            <w:r w:rsidRPr="00CD3A2D">
              <w:rPr>
                <w:rFonts w:asciiTheme="minorHAnsi" w:hAnsiTheme="minorHAnsi" w:cs="Arial"/>
                <w:spacing w:val="-2"/>
                <w:sz w:val="18"/>
                <w:szCs w:val="18"/>
                <w:lang w:val="hr-HR"/>
              </w:rPr>
              <w:t>-</w:t>
            </w:r>
          </w:p>
        </w:tc>
        <w:tc>
          <w:tcPr>
            <w:tcW w:w="623" w:type="pct"/>
            <w:tcBorders>
              <w:top w:val="nil"/>
              <w:left w:val="nil"/>
              <w:right w:val="nil"/>
            </w:tcBorders>
            <w:shd w:val="clear" w:color="auto" w:fill="auto"/>
            <w:vAlign w:val="bottom"/>
          </w:tcPr>
          <w:p w:rsidR="00684952" w:rsidRPr="00CD3A2D" w:rsidRDefault="00684952" w:rsidP="003C6BA3">
            <w:pPr>
              <w:tabs>
                <w:tab w:val="right" w:pos="1202"/>
              </w:tabs>
              <w:spacing w:line="301" w:lineRule="exact"/>
              <w:jc w:val="right"/>
              <w:outlineLvl w:val="0"/>
              <w:rPr>
                <w:rFonts w:asciiTheme="minorHAnsi" w:hAnsiTheme="minorHAnsi" w:cs="Arial"/>
                <w:spacing w:val="-2"/>
                <w:sz w:val="18"/>
                <w:szCs w:val="18"/>
                <w:lang w:val="hr-HR"/>
              </w:rPr>
            </w:pPr>
            <w:r w:rsidRPr="00CD3A2D">
              <w:rPr>
                <w:rFonts w:asciiTheme="minorHAnsi" w:hAnsiTheme="minorHAnsi" w:cs="Arial"/>
                <w:spacing w:val="-2"/>
                <w:sz w:val="18"/>
                <w:szCs w:val="18"/>
                <w:lang w:val="hr-HR"/>
              </w:rPr>
              <w:t>1.240.726</w:t>
            </w:r>
          </w:p>
        </w:tc>
      </w:tr>
      <w:tr w:rsidR="005711A8" w:rsidRPr="001567C8" w:rsidTr="00CD3A2D">
        <w:trPr>
          <w:trHeight w:hRule="exact" w:val="227"/>
        </w:trPr>
        <w:tc>
          <w:tcPr>
            <w:tcW w:w="1598" w:type="pct"/>
            <w:vAlign w:val="bottom"/>
          </w:tcPr>
          <w:p w:rsidR="007B13F5" w:rsidRPr="00CD3A2D" w:rsidRDefault="007B13F5" w:rsidP="003C6BA3">
            <w:pPr>
              <w:tabs>
                <w:tab w:val="right" w:pos="1202"/>
              </w:tabs>
              <w:spacing w:line="240" w:lineRule="exac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Ostale obveze</w:t>
            </w:r>
          </w:p>
        </w:tc>
        <w:tc>
          <w:tcPr>
            <w:tcW w:w="556" w:type="pct"/>
            <w:tcBorders>
              <w:top w:val="nil"/>
              <w:left w:val="nil"/>
              <w:bottom w:val="single" w:sz="4" w:space="0" w:color="auto"/>
              <w:right w:val="nil"/>
            </w:tcBorders>
            <w:shd w:val="clear" w:color="auto" w:fill="auto"/>
            <w:vAlign w:val="bottom"/>
          </w:tcPr>
          <w:p w:rsidR="007B13F5" w:rsidRPr="00CD3A2D" w:rsidRDefault="007B13F5"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268.912</w:t>
            </w:r>
          </w:p>
        </w:tc>
        <w:tc>
          <w:tcPr>
            <w:tcW w:w="555" w:type="pct"/>
            <w:tcBorders>
              <w:top w:val="nil"/>
              <w:left w:val="nil"/>
              <w:bottom w:val="single" w:sz="4" w:space="0" w:color="auto"/>
              <w:right w:val="nil"/>
            </w:tcBorders>
            <w:shd w:val="clear" w:color="auto" w:fill="auto"/>
            <w:vAlign w:val="bottom"/>
          </w:tcPr>
          <w:p w:rsidR="007B13F5" w:rsidRPr="00CD3A2D" w:rsidRDefault="007B13F5"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24.566</w:t>
            </w:r>
          </w:p>
        </w:tc>
        <w:tc>
          <w:tcPr>
            <w:tcW w:w="556" w:type="pct"/>
            <w:tcBorders>
              <w:top w:val="nil"/>
              <w:left w:val="nil"/>
              <w:bottom w:val="single" w:sz="4" w:space="0" w:color="auto"/>
              <w:right w:val="nil"/>
            </w:tcBorders>
            <w:shd w:val="clear" w:color="auto" w:fill="auto"/>
            <w:vAlign w:val="bottom"/>
          </w:tcPr>
          <w:p w:rsidR="007B13F5" w:rsidRPr="00CD3A2D" w:rsidRDefault="007B13F5"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80.386</w:t>
            </w:r>
          </w:p>
        </w:tc>
        <w:tc>
          <w:tcPr>
            <w:tcW w:w="556" w:type="pct"/>
            <w:tcBorders>
              <w:top w:val="nil"/>
              <w:left w:val="nil"/>
              <w:bottom w:val="single" w:sz="4" w:space="0" w:color="auto"/>
              <w:right w:val="nil"/>
            </w:tcBorders>
            <w:shd w:val="clear" w:color="auto" w:fill="auto"/>
            <w:vAlign w:val="bottom"/>
          </w:tcPr>
          <w:p w:rsidR="007B13F5" w:rsidRPr="00CD3A2D" w:rsidRDefault="007B13F5"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159.906</w:t>
            </w:r>
          </w:p>
        </w:tc>
        <w:tc>
          <w:tcPr>
            <w:tcW w:w="556" w:type="pct"/>
            <w:tcBorders>
              <w:top w:val="nil"/>
              <w:left w:val="nil"/>
              <w:bottom w:val="single" w:sz="4" w:space="0" w:color="auto"/>
              <w:right w:val="nil"/>
            </w:tcBorders>
            <w:shd w:val="clear" w:color="auto" w:fill="auto"/>
            <w:vAlign w:val="bottom"/>
          </w:tcPr>
          <w:p w:rsidR="007B13F5" w:rsidRPr="00CD3A2D" w:rsidRDefault="007B13F5"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166.464</w:t>
            </w:r>
          </w:p>
        </w:tc>
        <w:tc>
          <w:tcPr>
            <w:tcW w:w="623" w:type="pct"/>
            <w:tcBorders>
              <w:top w:val="nil"/>
              <w:left w:val="nil"/>
              <w:bottom w:val="single" w:sz="4" w:space="0" w:color="auto"/>
              <w:right w:val="nil"/>
            </w:tcBorders>
            <w:shd w:val="clear" w:color="auto" w:fill="auto"/>
            <w:vAlign w:val="bottom"/>
          </w:tcPr>
          <w:p w:rsidR="007B13F5" w:rsidRPr="00CD3A2D" w:rsidRDefault="007B13F5" w:rsidP="003C6BA3">
            <w:pPr>
              <w:tabs>
                <w:tab w:val="right" w:pos="1202"/>
              </w:tabs>
              <w:spacing w:line="240" w:lineRule="exact"/>
              <w:jc w:val="righ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700.234</w:t>
            </w:r>
          </w:p>
        </w:tc>
      </w:tr>
      <w:tr w:rsidR="00C57196" w:rsidRPr="001567C8" w:rsidTr="00CD3A2D">
        <w:trPr>
          <w:trHeight w:hRule="exact" w:val="284"/>
        </w:trPr>
        <w:tc>
          <w:tcPr>
            <w:tcW w:w="1598" w:type="pct"/>
            <w:vAlign w:val="bottom"/>
          </w:tcPr>
          <w:p w:rsidR="00C57196" w:rsidRPr="00CD3A2D" w:rsidRDefault="00C57196" w:rsidP="00CD3A2D">
            <w:pPr>
              <w:tabs>
                <w:tab w:val="right" w:pos="1202"/>
              </w:tabs>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Ukupno</w:t>
            </w:r>
          </w:p>
        </w:tc>
        <w:tc>
          <w:tcPr>
            <w:tcW w:w="556" w:type="pct"/>
            <w:tcBorders>
              <w:top w:val="single" w:sz="4" w:space="0" w:color="auto"/>
              <w:left w:val="nil"/>
              <w:bottom w:val="single" w:sz="12" w:space="0" w:color="auto"/>
              <w:right w:val="nil"/>
            </w:tcBorders>
            <w:shd w:val="clear" w:color="auto" w:fill="auto"/>
            <w:vAlign w:val="center"/>
          </w:tcPr>
          <w:p w:rsidR="00C57196" w:rsidRPr="00CD3A2D" w:rsidRDefault="00C57196" w:rsidP="00CD3A2D">
            <w:pPr>
              <w:tabs>
                <w:tab w:val="right" w:pos="1202"/>
              </w:tabs>
              <w:jc w:val="right"/>
              <w:outlineLvl w:val="0"/>
              <w:rPr>
                <w:rFonts w:asciiTheme="minorHAnsi" w:hAnsiTheme="minorHAnsi" w:cs="Arial"/>
                <w:b/>
                <w:sz w:val="18"/>
                <w:szCs w:val="18"/>
                <w:lang w:val="hr-HR"/>
              </w:rPr>
            </w:pPr>
            <w:r w:rsidRPr="00CD3A2D">
              <w:rPr>
                <w:rFonts w:ascii="Calibri" w:hAnsi="Calibri" w:cs="Calibri"/>
                <w:b/>
                <w:sz w:val="18"/>
                <w:szCs w:val="18"/>
                <w:lang w:val="hr-HR"/>
              </w:rPr>
              <w:t>837.080</w:t>
            </w:r>
          </w:p>
        </w:tc>
        <w:tc>
          <w:tcPr>
            <w:tcW w:w="555" w:type="pct"/>
            <w:tcBorders>
              <w:top w:val="single" w:sz="4" w:space="0" w:color="auto"/>
              <w:left w:val="nil"/>
              <w:bottom w:val="single" w:sz="12" w:space="0" w:color="auto"/>
              <w:right w:val="nil"/>
            </w:tcBorders>
            <w:shd w:val="clear" w:color="auto" w:fill="auto"/>
            <w:vAlign w:val="center"/>
          </w:tcPr>
          <w:p w:rsidR="00C57196" w:rsidRPr="00CD3A2D" w:rsidRDefault="00C57196" w:rsidP="00CD3A2D">
            <w:pPr>
              <w:tabs>
                <w:tab w:val="right" w:pos="1202"/>
              </w:tabs>
              <w:jc w:val="right"/>
              <w:outlineLvl w:val="0"/>
              <w:rPr>
                <w:rFonts w:asciiTheme="minorHAnsi" w:hAnsiTheme="minorHAnsi" w:cs="Arial"/>
                <w:b/>
                <w:sz w:val="18"/>
                <w:szCs w:val="18"/>
                <w:lang w:val="hr-HR"/>
              </w:rPr>
            </w:pPr>
            <w:r w:rsidRPr="00CD3A2D">
              <w:rPr>
                <w:rFonts w:ascii="Calibri" w:hAnsi="Calibri" w:cs="Calibri"/>
                <w:b/>
                <w:sz w:val="18"/>
                <w:szCs w:val="18"/>
                <w:lang w:val="hr-HR"/>
              </w:rPr>
              <w:t>469.918</w:t>
            </w:r>
          </w:p>
        </w:tc>
        <w:tc>
          <w:tcPr>
            <w:tcW w:w="556" w:type="pct"/>
            <w:tcBorders>
              <w:top w:val="single" w:sz="4" w:space="0" w:color="auto"/>
              <w:left w:val="nil"/>
              <w:bottom w:val="single" w:sz="12" w:space="0" w:color="auto"/>
              <w:right w:val="nil"/>
            </w:tcBorders>
            <w:shd w:val="clear" w:color="auto" w:fill="auto"/>
            <w:vAlign w:val="center"/>
          </w:tcPr>
          <w:p w:rsidR="00C57196" w:rsidRPr="00CD3A2D" w:rsidRDefault="00C57196" w:rsidP="00CD3A2D">
            <w:pPr>
              <w:tabs>
                <w:tab w:val="right" w:pos="1202"/>
              </w:tabs>
              <w:jc w:val="right"/>
              <w:outlineLvl w:val="0"/>
              <w:rPr>
                <w:rFonts w:asciiTheme="minorHAnsi" w:hAnsiTheme="minorHAnsi" w:cs="Arial"/>
                <w:b/>
                <w:sz w:val="18"/>
                <w:szCs w:val="18"/>
                <w:lang w:val="hr-HR"/>
              </w:rPr>
            </w:pPr>
            <w:r w:rsidRPr="00CD3A2D">
              <w:rPr>
                <w:rFonts w:ascii="Calibri" w:hAnsi="Calibri" w:cs="Calibri"/>
                <w:b/>
                <w:sz w:val="18"/>
                <w:szCs w:val="18"/>
                <w:lang w:val="hr-HR"/>
              </w:rPr>
              <w:t>1.971.885</w:t>
            </w:r>
          </w:p>
        </w:tc>
        <w:tc>
          <w:tcPr>
            <w:tcW w:w="556" w:type="pct"/>
            <w:tcBorders>
              <w:top w:val="single" w:sz="4" w:space="0" w:color="auto"/>
              <w:left w:val="nil"/>
              <w:bottom w:val="single" w:sz="12" w:space="0" w:color="auto"/>
              <w:right w:val="nil"/>
            </w:tcBorders>
            <w:shd w:val="clear" w:color="auto" w:fill="auto"/>
            <w:vAlign w:val="center"/>
          </w:tcPr>
          <w:p w:rsidR="00C57196" w:rsidRPr="00CD3A2D" w:rsidRDefault="00C57196" w:rsidP="00CD3A2D">
            <w:pPr>
              <w:tabs>
                <w:tab w:val="right" w:pos="1202"/>
              </w:tabs>
              <w:jc w:val="right"/>
              <w:outlineLvl w:val="0"/>
              <w:rPr>
                <w:rFonts w:asciiTheme="minorHAnsi" w:hAnsiTheme="minorHAnsi" w:cs="Arial"/>
                <w:b/>
                <w:sz w:val="18"/>
                <w:szCs w:val="18"/>
                <w:lang w:val="hr-HR"/>
              </w:rPr>
            </w:pPr>
            <w:r w:rsidRPr="00CD3A2D">
              <w:rPr>
                <w:rFonts w:ascii="Calibri" w:hAnsi="Calibri" w:cs="Calibri"/>
                <w:b/>
                <w:sz w:val="18"/>
                <w:szCs w:val="18"/>
                <w:lang w:val="hr-HR"/>
              </w:rPr>
              <w:t>5.722.546</w:t>
            </w:r>
          </w:p>
        </w:tc>
        <w:tc>
          <w:tcPr>
            <w:tcW w:w="556" w:type="pct"/>
            <w:tcBorders>
              <w:top w:val="single" w:sz="4" w:space="0" w:color="auto"/>
              <w:left w:val="nil"/>
              <w:bottom w:val="single" w:sz="12" w:space="0" w:color="auto"/>
              <w:right w:val="nil"/>
            </w:tcBorders>
            <w:shd w:val="clear" w:color="auto" w:fill="auto"/>
            <w:vAlign w:val="center"/>
          </w:tcPr>
          <w:p w:rsidR="00C57196" w:rsidRPr="00CD3A2D" w:rsidRDefault="00C57196" w:rsidP="00CD3A2D">
            <w:pPr>
              <w:tabs>
                <w:tab w:val="right" w:pos="1202"/>
              </w:tabs>
              <w:jc w:val="right"/>
              <w:outlineLvl w:val="0"/>
              <w:rPr>
                <w:rFonts w:asciiTheme="minorHAnsi" w:hAnsiTheme="minorHAnsi" w:cs="Arial"/>
                <w:b/>
                <w:sz w:val="18"/>
                <w:szCs w:val="18"/>
                <w:lang w:val="hr-HR"/>
              </w:rPr>
            </w:pPr>
            <w:r w:rsidRPr="00CD3A2D">
              <w:rPr>
                <w:rFonts w:ascii="Calibri" w:hAnsi="Calibri" w:cs="Calibri"/>
                <w:b/>
                <w:sz w:val="18"/>
                <w:szCs w:val="18"/>
                <w:lang w:val="hr-HR"/>
              </w:rPr>
              <w:t>9.638.758</w:t>
            </w:r>
          </w:p>
        </w:tc>
        <w:tc>
          <w:tcPr>
            <w:tcW w:w="623" w:type="pct"/>
            <w:tcBorders>
              <w:top w:val="single" w:sz="4" w:space="0" w:color="auto"/>
              <w:left w:val="nil"/>
              <w:bottom w:val="single" w:sz="12" w:space="0" w:color="auto"/>
              <w:right w:val="nil"/>
            </w:tcBorders>
            <w:shd w:val="clear" w:color="auto" w:fill="auto"/>
            <w:vAlign w:val="center"/>
          </w:tcPr>
          <w:p w:rsidR="00C57196" w:rsidRPr="00CD3A2D" w:rsidRDefault="00C57196" w:rsidP="00CD3A2D">
            <w:pPr>
              <w:tabs>
                <w:tab w:val="right" w:pos="1202"/>
              </w:tabs>
              <w:jc w:val="right"/>
              <w:outlineLvl w:val="0"/>
              <w:rPr>
                <w:rFonts w:asciiTheme="minorHAnsi" w:hAnsiTheme="minorHAnsi" w:cs="Arial"/>
                <w:b/>
                <w:sz w:val="18"/>
                <w:szCs w:val="18"/>
                <w:lang w:val="hr-HR"/>
              </w:rPr>
            </w:pPr>
            <w:r w:rsidRPr="00CD3A2D">
              <w:rPr>
                <w:rFonts w:ascii="Calibri" w:hAnsi="Calibri" w:cs="Calibri"/>
                <w:b/>
                <w:sz w:val="18"/>
                <w:szCs w:val="18"/>
                <w:lang w:val="hr-HR"/>
              </w:rPr>
              <w:t>18.640.187</w:t>
            </w:r>
          </w:p>
        </w:tc>
      </w:tr>
      <w:tr w:rsidR="0065159E" w:rsidRPr="001567C8" w:rsidTr="00CD3A2D">
        <w:trPr>
          <w:trHeight w:hRule="exact" w:val="113"/>
        </w:trPr>
        <w:tc>
          <w:tcPr>
            <w:tcW w:w="1598" w:type="pct"/>
            <w:vAlign w:val="bottom"/>
          </w:tcPr>
          <w:p w:rsidR="0065159E" w:rsidRPr="00CD3A2D" w:rsidRDefault="0065159E" w:rsidP="003C6BA3">
            <w:pPr>
              <w:tabs>
                <w:tab w:val="right" w:pos="1202"/>
              </w:tabs>
              <w:spacing w:line="301" w:lineRule="exact"/>
              <w:outlineLvl w:val="0"/>
              <w:rPr>
                <w:rFonts w:asciiTheme="minorHAnsi" w:hAnsiTheme="minorHAnsi" w:cs="Arial"/>
                <w:b/>
                <w:bCs/>
                <w:sz w:val="18"/>
                <w:szCs w:val="18"/>
                <w:lang w:val="hr-HR"/>
              </w:rPr>
            </w:pPr>
          </w:p>
        </w:tc>
        <w:tc>
          <w:tcPr>
            <w:tcW w:w="556" w:type="pct"/>
            <w:tcBorders>
              <w:top w:val="nil"/>
              <w:left w:val="nil"/>
              <w:right w:val="nil"/>
            </w:tcBorders>
            <w:shd w:val="clear" w:color="auto" w:fill="auto"/>
            <w:vAlign w:val="center"/>
          </w:tcPr>
          <w:p w:rsidR="0065159E" w:rsidRPr="00CD3A2D" w:rsidRDefault="0065159E" w:rsidP="003C6BA3">
            <w:pPr>
              <w:tabs>
                <w:tab w:val="right" w:pos="1202"/>
              </w:tabs>
              <w:spacing w:line="301" w:lineRule="exact"/>
              <w:outlineLvl w:val="0"/>
              <w:rPr>
                <w:rFonts w:asciiTheme="minorHAnsi" w:hAnsiTheme="minorHAnsi" w:cs="Arial"/>
                <w:b/>
                <w:bCs/>
                <w:sz w:val="18"/>
                <w:szCs w:val="18"/>
                <w:lang w:val="hr-HR"/>
              </w:rPr>
            </w:pPr>
          </w:p>
        </w:tc>
        <w:tc>
          <w:tcPr>
            <w:tcW w:w="555" w:type="pct"/>
            <w:tcBorders>
              <w:top w:val="nil"/>
              <w:left w:val="nil"/>
              <w:right w:val="nil"/>
            </w:tcBorders>
            <w:shd w:val="clear" w:color="auto" w:fill="auto"/>
            <w:vAlign w:val="center"/>
          </w:tcPr>
          <w:p w:rsidR="0065159E" w:rsidRPr="00CD3A2D" w:rsidRDefault="0065159E" w:rsidP="003C6BA3">
            <w:pPr>
              <w:tabs>
                <w:tab w:val="right" w:pos="1202"/>
              </w:tabs>
              <w:spacing w:line="301" w:lineRule="exact"/>
              <w:outlineLvl w:val="0"/>
              <w:rPr>
                <w:rFonts w:asciiTheme="minorHAnsi" w:hAnsiTheme="minorHAnsi" w:cs="Arial"/>
                <w:b/>
                <w:bCs/>
                <w:sz w:val="18"/>
                <w:szCs w:val="18"/>
                <w:lang w:val="hr-HR"/>
              </w:rPr>
            </w:pPr>
          </w:p>
        </w:tc>
        <w:tc>
          <w:tcPr>
            <w:tcW w:w="556" w:type="pct"/>
            <w:tcBorders>
              <w:top w:val="nil"/>
              <w:left w:val="nil"/>
              <w:right w:val="nil"/>
            </w:tcBorders>
            <w:shd w:val="clear" w:color="auto" w:fill="auto"/>
            <w:vAlign w:val="center"/>
          </w:tcPr>
          <w:p w:rsidR="0065159E" w:rsidRPr="00CD3A2D" w:rsidRDefault="0065159E" w:rsidP="003C6BA3">
            <w:pPr>
              <w:tabs>
                <w:tab w:val="right" w:pos="1202"/>
              </w:tabs>
              <w:spacing w:line="301" w:lineRule="exact"/>
              <w:outlineLvl w:val="0"/>
              <w:rPr>
                <w:rFonts w:asciiTheme="minorHAnsi" w:hAnsiTheme="minorHAnsi" w:cs="Arial"/>
                <w:b/>
                <w:bCs/>
                <w:sz w:val="18"/>
                <w:szCs w:val="18"/>
                <w:lang w:val="hr-HR"/>
              </w:rPr>
            </w:pPr>
          </w:p>
        </w:tc>
        <w:tc>
          <w:tcPr>
            <w:tcW w:w="556" w:type="pct"/>
            <w:tcBorders>
              <w:top w:val="nil"/>
              <w:left w:val="nil"/>
              <w:right w:val="nil"/>
            </w:tcBorders>
            <w:shd w:val="clear" w:color="auto" w:fill="auto"/>
            <w:vAlign w:val="center"/>
          </w:tcPr>
          <w:p w:rsidR="0065159E" w:rsidRPr="00CD3A2D" w:rsidRDefault="0065159E" w:rsidP="003C6BA3">
            <w:pPr>
              <w:tabs>
                <w:tab w:val="right" w:pos="1202"/>
              </w:tabs>
              <w:spacing w:line="301" w:lineRule="exact"/>
              <w:outlineLvl w:val="0"/>
              <w:rPr>
                <w:rFonts w:asciiTheme="minorHAnsi" w:hAnsiTheme="minorHAnsi" w:cs="Arial"/>
                <w:b/>
                <w:bCs/>
                <w:sz w:val="18"/>
                <w:szCs w:val="18"/>
                <w:lang w:val="hr-HR"/>
              </w:rPr>
            </w:pPr>
          </w:p>
        </w:tc>
        <w:tc>
          <w:tcPr>
            <w:tcW w:w="556" w:type="pct"/>
            <w:tcBorders>
              <w:top w:val="nil"/>
              <w:left w:val="nil"/>
              <w:right w:val="nil"/>
            </w:tcBorders>
            <w:shd w:val="clear" w:color="auto" w:fill="auto"/>
            <w:vAlign w:val="center"/>
          </w:tcPr>
          <w:p w:rsidR="0065159E" w:rsidRPr="00CD3A2D" w:rsidRDefault="0065159E" w:rsidP="003C6BA3">
            <w:pPr>
              <w:tabs>
                <w:tab w:val="right" w:pos="1202"/>
              </w:tabs>
              <w:spacing w:line="301" w:lineRule="exact"/>
              <w:outlineLvl w:val="0"/>
              <w:rPr>
                <w:rFonts w:asciiTheme="minorHAnsi" w:hAnsiTheme="minorHAnsi" w:cs="Arial"/>
                <w:b/>
                <w:bCs/>
                <w:sz w:val="18"/>
                <w:szCs w:val="18"/>
                <w:lang w:val="hr-HR"/>
              </w:rPr>
            </w:pPr>
          </w:p>
        </w:tc>
        <w:tc>
          <w:tcPr>
            <w:tcW w:w="623" w:type="pct"/>
            <w:tcBorders>
              <w:top w:val="nil"/>
              <w:left w:val="nil"/>
              <w:right w:val="nil"/>
            </w:tcBorders>
            <w:shd w:val="clear" w:color="auto" w:fill="auto"/>
            <w:vAlign w:val="center"/>
          </w:tcPr>
          <w:p w:rsidR="0065159E" w:rsidRPr="00CD3A2D" w:rsidRDefault="0065159E" w:rsidP="003C6BA3">
            <w:pPr>
              <w:tabs>
                <w:tab w:val="right" w:pos="1202"/>
              </w:tabs>
              <w:spacing w:line="301" w:lineRule="exact"/>
              <w:outlineLvl w:val="0"/>
              <w:rPr>
                <w:rFonts w:asciiTheme="minorHAnsi" w:hAnsiTheme="minorHAnsi" w:cs="Arial"/>
                <w:b/>
                <w:bCs/>
                <w:sz w:val="18"/>
                <w:szCs w:val="18"/>
                <w:lang w:val="hr-HR"/>
              </w:rPr>
            </w:pPr>
          </w:p>
        </w:tc>
      </w:tr>
      <w:tr w:rsidR="0065159E" w:rsidRPr="001567C8" w:rsidTr="003C6BA3">
        <w:trPr>
          <w:trHeight w:val="340"/>
        </w:trPr>
        <w:tc>
          <w:tcPr>
            <w:tcW w:w="1598" w:type="pct"/>
            <w:tcBorders>
              <w:top w:val="nil"/>
              <w:left w:val="nil"/>
              <w:bottom w:val="nil"/>
              <w:right w:val="nil"/>
            </w:tcBorders>
            <w:shd w:val="clear" w:color="auto" w:fill="auto"/>
          </w:tcPr>
          <w:p w:rsidR="0065159E" w:rsidRPr="00CD3A2D" w:rsidRDefault="0065159E" w:rsidP="003C6BA3">
            <w:pPr>
              <w:tabs>
                <w:tab w:val="right" w:pos="1202"/>
              </w:tabs>
              <w:spacing w:line="301" w:lineRule="exact"/>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Garancije i preuzete obveze</w:t>
            </w:r>
          </w:p>
        </w:tc>
        <w:tc>
          <w:tcPr>
            <w:tcW w:w="556"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Calibri" w:hAnsi="Calibri" w:cs="Calibri"/>
                <w:b/>
                <w:sz w:val="18"/>
                <w:szCs w:val="18"/>
                <w:lang w:val="hr-HR"/>
              </w:rPr>
            </w:pPr>
          </w:p>
        </w:tc>
        <w:tc>
          <w:tcPr>
            <w:tcW w:w="555"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Calibri" w:hAnsi="Calibri" w:cs="Calibri"/>
                <w:b/>
                <w:sz w:val="18"/>
                <w:szCs w:val="18"/>
                <w:lang w:val="hr-HR"/>
              </w:rPr>
            </w:pPr>
          </w:p>
        </w:tc>
        <w:tc>
          <w:tcPr>
            <w:tcW w:w="556"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Calibri" w:hAnsi="Calibri" w:cs="Calibri"/>
                <w:b/>
                <w:sz w:val="18"/>
                <w:szCs w:val="18"/>
                <w:lang w:val="hr-HR"/>
              </w:rPr>
            </w:pPr>
          </w:p>
        </w:tc>
        <w:tc>
          <w:tcPr>
            <w:tcW w:w="556"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Calibri" w:hAnsi="Calibri" w:cs="Calibri"/>
                <w:b/>
                <w:sz w:val="18"/>
                <w:szCs w:val="18"/>
                <w:lang w:val="hr-HR"/>
              </w:rPr>
            </w:pPr>
          </w:p>
        </w:tc>
        <w:tc>
          <w:tcPr>
            <w:tcW w:w="556"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Calibri" w:hAnsi="Calibri" w:cs="Calibri"/>
                <w:b/>
                <w:sz w:val="18"/>
                <w:szCs w:val="18"/>
                <w:lang w:val="hr-HR"/>
              </w:rPr>
            </w:pPr>
          </w:p>
        </w:tc>
        <w:tc>
          <w:tcPr>
            <w:tcW w:w="623"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Calibri" w:hAnsi="Calibri" w:cs="Calibri"/>
                <w:b/>
                <w:sz w:val="18"/>
                <w:szCs w:val="18"/>
                <w:lang w:val="hr-HR"/>
              </w:rPr>
            </w:pPr>
          </w:p>
        </w:tc>
      </w:tr>
      <w:tr w:rsidR="00173C60" w:rsidRPr="001567C8" w:rsidTr="00043BBB">
        <w:trPr>
          <w:trHeight w:hRule="exact" w:val="227"/>
        </w:trPr>
        <w:tc>
          <w:tcPr>
            <w:tcW w:w="1598"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Izdane garancije u kunama</w:t>
            </w:r>
          </w:p>
        </w:tc>
        <w:tc>
          <w:tcPr>
            <w:tcW w:w="556"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576</w:t>
            </w:r>
          </w:p>
        </w:tc>
        <w:tc>
          <w:tcPr>
            <w:tcW w:w="555"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23"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576</w:t>
            </w:r>
          </w:p>
        </w:tc>
      </w:tr>
      <w:tr w:rsidR="00173C60" w:rsidRPr="001567C8" w:rsidTr="00043BBB">
        <w:trPr>
          <w:trHeight w:hRule="exact" w:val="227"/>
        </w:trPr>
        <w:tc>
          <w:tcPr>
            <w:tcW w:w="1598"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Izdane garancije u devizama</w:t>
            </w:r>
          </w:p>
        </w:tc>
        <w:tc>
          <w:tcPr>
            <w:tcW w:w="556"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822</w:t>
            </w:r>
            <w:r>
              <w:rPr>
                <w:rFonts w:asciiTheme="minorHAnsi" w:hAnsiTheme="minorHAnsi" w:cstheme="minorHAnsi"/>
                <w:spacing w:val="-2"/>
                <w:sz w:val="18"/>
                <w:szCs w:val="18"/>
              </w:rPr>
              <w:t>.</w:t>
            </w:r>
            <w:r w:rsidRPr="00B03E71">
              <w:rPr>
                <w:rFonts w:asciiTheme="minorHAnsi" w:hAnsiTheme="minorHAnsi" w:cstheme="minorHAnsi"/>
                <w:spacing w:val="-2"/>
                <w:sz w:val="18"/>
                <w:szCs w:val="18"/>
              </w:rPr>
              <w:t>396</w:t>
            </w:r>
          </w:p>
        </w:tc>
        <w:tc>
          <w:tcPr>
            <w:tcW w:w="555"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23"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822</w:t>
            </w:r>
            <w:r>
              <w:rPr>
                <w:rFonts w:asciiTheme="minorHAnsi" w:hAnsiTheme="minorHAnsi" w:cstheme="minorHAnsi"/>
                <w:spacing w:val="-2"/>
                <w:sz w:val="18"/>
                <w:szCs w:val="18"/>
              </w:rPr>
              <w:t>.</w:t>
            </w:r>
            <w:r w:rsidRPr="00B03E71">
              <w:rPr>
                <w:rFonts w:asciiTheme="minorHAnsi" w:hAnsiTheme="minorHAnsi" w:cstheme="minorHAnsi"/>
                <w:spacing w:val="-2"/>
                <w:sz w:val="18"/>
                <w:szCs w:val="18"/>
              </w:rPr>
              <w:t>396</w:t>
            </w:r>
          </w:p>
        </w:tc>
      </w:tr>
      <w:tr w:rsidR="00173C60" w:rsidRPr="001567C8" w:rsidTr="00043BBB">
        <w:trPr>
          <w:trHeight w:hRule="exact" w:val="227"/>
        </w:trPr>
        <w:tc>
          <w:tcPr>
            <w:tcW w:w="1598"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Preuzete obveze po kreditima</w:t>
            </w:r>
          </w:p>
        </w:tc>
        <w:tc>
          <w:tcPr>
            <w:tcW w:w="556"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291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032</w:t>
            </w:r>
          </w:p>
        </w:tc>
        <w:tc>
          <w:tcPr>
            <w:tcW w:w="555"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23"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w:t>
            </w:r>
            <w:r>
              <w:rPr>
                <w:rFonts w:asciiTheme="minorHAnsi" w:hAnsiTheme="minorHAnsi" w:cstheme="minorHAnsi"/>
                <w:spacing w:val="-2"/>
                <w:sz w:val="18"/>
                <w:szCs w:val="18"/>
              </w:rPr>
              <w:t>.</w:t>
            </w:r>
            <w:r w:rsidRPr="00B03E71">
              <w:rPr>
                <w:rFonts w:asciiTheme="minorHAnsi" w:hAnsiTheme="minorHAnsi" w:cstheme="minorHAnsi"/>
                <w:spacing w:val="-2"/>
                <w:sz w:val="18"/>
                <w:szCs w:val="18"/>
              </w:rPr>
              <w:t>291</w:t>
            </w:r>
            <w:r>
              <w:rPr>
                <w:rFonts w:asciiTheme="minorHAnsi" w:hAnsiTheme="minorHAnsi" w:cstheme="minorHAnsi"/>
                <w:spacing w:val="-2"/>
                <w:sz w:val="18"/>
                <w:szCs w:val="18"/>
              </w:rPr>
              <w:t>.</w:t>
            </w:r>
            <w:r w:rsidRPr="00B03E71">
              <w:rPr>
                <w:rFonts w:asciiTheme="minorHAnsi" w:hAnsiTheme="minorHAnsi" w:cstheme="minorHAnsi"/>
                <w:spacing w:val="-2"/>
                <w:sz w:val="18"/>
                <w:szCs w:val="18"/>
              </w:rPr>
              <w:t>032</w:t>
            </w:r>
          </w:p>
        </w:tc>
      </w:tr>
      <w:tr w:rsidR="00173C60" w:rsidRPr="001567C8" w:rsidTr="00043BBB">
        <w:trPr>
          <w:trHeight w:hRule="exact" w:val="227"/>
        </w:trPr>
        <w:tc>
          <w:tcPr>
            <w:tcW w:w="1598"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Upisani a neuplaćeni kapital EIF-a</w:t>
            </w:r>
          </w:p>
        </w:tc>
        <w:tc>
          <w:tcPr>
            <w:tcW w:w="556"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47</w:t>
            </w:r>
            <w:r>
              <w:rPr>
                <w:rFonts w:asciiTheme="minorHAnsi" w:hAnsiTheme="minorHAnsi" w:cstheme="minorHAnsi"/>
                <w:sz w:val="18"/>
                <w:szCs w:val="18"/>
              </w:rPr>
              <w:t>.</w:t>
            </w:r>
            <w:r w:rsidRPr="00B03E71">
              <w:rPr>
                <w:rFonts w:asciiTheme="minorHAnsi" w:hAnsiTheme="minorHAnsi" w:cstheme="minorHAnsi"/>
                <w:sz w:val="18"/>
                <w:szCs w:val="18"/>
              </w:rPr>
              <w:t>472</w:t>
            </w:r>
          </w:p>
        </w:tc>
        <w:tc>
          <w:tcPr>
            <w:tcW w:w="555"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23"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47</w:t>
            </w:r>
            <w:r>
              <w:rPr>
                <w:rFonts w:asciiTheme="minorHAnsi" w:hAnsiTheme="minorHAnsi" w:cstheme="minorHAnsi"/>
                <w:sz w:val="18"/>
                <w:szCs w:val="18"/>
              </w:rPr>
              <w:t>.</w:t>
            </w:r>
            <w:r w:rsidRPr="00B03E71">
              <w:rPr>
                <w:rFonts w:asciiTheme="minorHAnsi" w:hAnsiTheme="minorHAnsi" w:cstheme="minorHAnsi"/>
                <w:sz w:val="18"/>
                <w:szCs w:val="18"/>
              </w:rPr>
              <w:t>472</w:t>
            </w:r>
          </w:p>
        </w:tc>
      </w:tr>
      <w:tr w:rsidR="00173C60" w:rsidRPr="001567C8" w:rsidTr="00043BBB">
        <w:trPr>
          <w:trHeight w:val="306"/>
        </w:trPr>
        <w:tc>
          <w:tcPr>
            <w:tcW w:w="1598"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Ostale nespomenute neopozive potencijalne obveze</w:t>
            </w:r>
          </w:p>
        </w:tc>
        <w:tc>
          <w:tcPr>
            <w:tcW w:w="556"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93</w:t>
            </w:r>
          </w:p>
        </w:tc>
        <w:tc>
          <w:tcPr>
            <w:tcW w:w="555"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56"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623"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93</w:t>
            </w:r>
          </w:p>
        </w:tc>
      </w:tr>
      <w:tr w:rsidR="007D6988" w:rsidRPr="001567C8" w:rsidTr="00043BBB">
        <w:trPr>
          <w:trHeight w:hRule="exact" w:val="284"/>
        </w:trPr>
        <w:tc>
          <w:tcPr>
            <w:tcW w:w="1598" w:type="pct"/>
            <w:tcBorders>
              <w:top w:val="nil"/>
              <w:left w:val="nil"/>
              <w:bottom w:val="nil"/>
              <w:right w:val="nil"/>
            </w:tcBorders>
            <w:shd w:val="clear" w:color="auto" w:fill="auto"/>
            <w:vAlign w:val="center"/>
          </w:tcPr>
          <w:p w:rsidR="007D6988" w:rsidRPr="00CD3A2D" w:rsidRDefault="007D6988" w:rsidP="007D6988">
            <w:pPr>
              <w:tabs>
                <w:tab w:val="right" w:pos="1202"/>
              </w:tabs>
              <w:outlineLvl w:val="0"/>
              <w:rPr>
                <w:rFonts w:asciiTheme="minorHAnsi" w:hAnsiTheme="minorHAnsi" w:cs="Arial"/>
                <w:b/>
                <w:bCs/>
                <w:sz w:val="18"/>
                <w:szCs w:val="18"/>
                <w:lang w:val="hr-HR"/>
              </w:rPr>
            </w:pPr>
            <w:r w:rsidRPr="00CD3A2D">
              <w:rPr>
                <w:rFonts w:ascii="Calibri" w:hAnsi="Calibri" w:cs="Calibri"/>
                <w:b/>
                <w:bCs/>
                <w:color w:val="000000"/>
                <w:sz w:val="18"/>
                <w:szCs w:val="18"/>
                <w:lang w:val="hr-HR"/>
              </w:rPr>
              <w:t>Ukupne garancije i preuzete obveze</w:t>
            </w:r>
          </w:p>
        </w:tc>
        <w:tc>
          <w:tcPr>
            <w:tcW w:w="556" w:type="pct"/>
            <w:tcBorders>
              <w:top w:val="single" w:sz="4" w:space="0" w:color="auto"/>
              <w:left w:val="nil"/>
              <w:bottom w:val="single" w:sz="12" w:space="0" w:color="auto"/>
              <w:right w:val="nil"/>
            </w:tcBorders>
            <w:shd w:val="clear" w:color="auto" w:fill="auto"/>
            <w:vAlign w:val="bottom"/>
          </w:tcPr>
          <w:p w:rsidR="007D6988" w:rsidRPr="00CD3A2D" w:rsidRDefault="007D6988" w:rsidP="007D6988">
            <w:pPr>
              <w:tabs>
                <w:tab w:val="right" w:pos="1202"/>
              </w:tabs>
              <w:jc w:val="right"/>
              <w:outlineLvl w:val="0"/>
              <w:rPr>
                <w:rFonts w:ascii="Calibri" w:hAnsi="Calibri" w:cs="Calibri"/>
                <w:b/>
                <w:sz w:val="18"/>
                <w:szCs w:val="18"/>
                <w:lang w:val="hr-HR"/>
              </w:rPr>
            </w:pPr>
            <w:r w:rsidRPr="00CD3A2D">
              <w:rPr>
                <w:rFonts w:ascii="Calibri" w:hAnsi="Calibri" w:cs="Calibri"/>
                <w:b/>
                <w:bCs/>
                <w:color w:val="000000"/>
                <w:sz w:val="18"/>
                <w:szCs w:val="18"/>
                <w:lang w:val="hr-HR"/>
              </w:rPr>
              <w:t>5</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194</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569</w:t>
            </w:r>
          </w:p>
        </w:tc>
        <w:tc>
          <w:tcPr>
            <w:tcW w:w="555" w:type="pct"/>
            <w:tcBorders>
              <w:top w:val="single" w:sz="4" w:space="0" w:color="auto"/>
              <w:left w:val="nil"/>
              <w:bottom w:val="single" w:sz="12" w:space="0" w:color="auto"/>
              <w:right w:val="nil"/>
            </w:tcBorders>
            <w:shd w:val="clear" w:color="auto" w:fill="auto"/>
          </w:tcPr>
          <w:p w:rsidR="007D6988" w:rsidRDefault="007D6988" w:rsidP="007D6988">
            <w:pPr>
              <w:jc w:val="right"/>
            </w:pPr>
            <w:r w:rsidRPr="007C7F7F">
              <w:rPr>
                <w:rFonts w:ascii="Calibri" w:hAnsi="Calibri" w:cs="Calibri"/>
                <w:color w:val="000000"/>
                <w:sz w:val="18"/>
                <w:szCs w:val="18"/>
                <w:lang w:val="hr-HR"/>
              </w:rPr>
              <w:t>-</w:t>
            </w:r>
          </w:p>
        </w:tc>
        <w:tc>
          <w:tcPr>
            <w:tcW w:w="556" w:type="pct"/>
            <w:tcBorders>
              <w:top w:val="single" w:sz="4" w:space="0" w:color="auto"/>
              <w:left w:val="nil"/>
              <w:bottom w:val="single" w:sz="12" w:space="0" w:color="auto"/>
              <w:right w:val="nil"/>
            </w:tcBorders>
            <w:shd w:val="clear" w:color="auto" w:fill="auto"/>
          </w:tcPr>
          <w:p w:rsidR="007D6988" w:rsidRDefault="007D6988" w:rsidP="007D6988">
            <w:pPr>
              <w:jc w:val="right"/>
            </w:pPr>
            <w:r w:rsidRPr="007C7F7F">
              <w:rPr>
                <w:rFonts w:ascii="Calibri" w:hAnsi="Calibri" w:cs="Calibri"/>
                <w:color w:val="000000"/>
                <w:sz w:val="18"/>
                <w:szCs w:val="18"/>
                <w:lang w:val="hr-HR"/>
              </w:rPr>
              <w:t>-</w:t>
            </w:r>
          </w:p>
        </w:tc>
        <w:tc>
          <w:tcPr>
            <w:tcW w:w="556" w:type="pct"/>
            <w:tcBorders>
              <w:top w:val="single" w:sz="4" w:space="0" w:color="auto"/>
              <w:left w:val="nil"/>
              <w:bottom w:val="single" w:sz="12" w:space="0" w:color="auto"/>
              <w:right w:val="nil"/>
            </w:tcBorders>
            <w:shd w:val="clear" w:color="auto" w:fill="auto"/>
          </w:tcPr>
          <w:p w:rsidR="007D6988" w:rsidRDefault="007D6988" w:rsidP="007D6988">
            <w:pPr>
              <w:jc w:val="right"/>
            </w:pPr>
            <w:r w:rsidRPr="007C7F7F">
              <w:rPr>
                <w:rFonts w:ascii="Calibri" w:hAnsi="Calibri" w:cs="Calibri"/>
                <w:color w:val="000000"/>
                <w:sz w:val="18"/>
                <w:szCs w:val="18"/>
                <w:lang w:val="hr-HR"/>
              </w:rPr>
              <w:t>-</w:t>
            </w:r>
          </w:p>
        </w:tc>
        <w:tc>
          <w:tcPr>
            <w:tcW w:w="556" w:type="pct"/>
            <w:tcBorders>
              <w:top w:val="single" w:sz="4" w:space="0" w:color="auto"/>
              <w:left w:val="nil"/>
              <w:bottom w:val="single" w:sz="12" w:space="0" w:color="auto"/>
              <w:right w:val="nil"/>
            </w:tcBorders>
            <w:shd w:val="clear" w:color="auto" w:fill="auto"/>
          </w:tcPr>
          <w:p w:rsidR="007D6988" w:rsidRDefault="007D6988" w:rsidP="007D6988">
            <w:pPr>
              <w:jc w:val="right"/>
            </w:pPr>
            <w:r w:rsidRPr="007C7F7F">
              <w:rPr>
                <w:rFonts w:ascii="Calibri" w:hAnsi="Calibri" w:cs="Calibri"/>
                <w:color w:val="000000"/>
                <w:sz w:val="18"/>
                <w:szCs w:val="18"/>
                <w:lang w:val="hr-HR"/>
              </w:rPr>
              <w:t>-</w:t>
            </w:r>
          </w:p>
        </w:tc>
        <w:tc>
          <w:tcPr>
            <w:tcW w:w="623" w:type="pct"/>
            <w:tcBorders>
              <w:top w:val="single" w:sz="4" w:space="0" w:color="auto"/>
              <w:left w:val="nil"/>
              <w:bottom w:val="single" w:sz="12" w:space="0" w:color="auto"/>
              <w:right w:val="nil"/>
            </w:tcBorders>
            <w:shd w:val="clear" w:color="auto" w:fill="auto"/>
            <w:vAlign w:val="bottom"/>
          </w:tcPr>
          <w:p w:rsidR="007D6988" w:rsidRPr="00CD3A2D" w:rsidRDefault="007D6988" w:rsidP="007D6988">
            <w:pPr>
              <w:tabs>
                <w:tab w:val="right" w:pos="1202"/>
              </w:tabs>
              <w:jc w:val="right"/>
              <w:outlineLvl w:val="0"/>
              <w:rPr>
                <w:rFonts w:ascii="Calibri" w:hAnsi="Calibri" w:cs="Calibri"/>
                <w:b/>
                <w:sz w:val="18"/>
                <w:szCs w:val="18"/>
                <w:lang w:val="hr-HR"/>
              </w:rPr>
            </w:pPr>
            <w:r w:rsidRPr="00CD3A2D">
              <w:rPr>
                <w:rFonts w:ascii="Calibri" w:hAnsi="Calibri" w:cs="Calibri"/>
                <w:b/>
                <w:bCs/>
                <w:color w:val="000000"/>
                <w:sz w:val="18"/>
                <w:szCs w:val="18"/>
                <w:lang w:val="hr-HR"/>
              </w:rPr>
              <w:t>5</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194</w:t>
            </w:r>
            <w:r w:rsidR="00173C60">
              <w:rPr>
                <w:rFonts w:ascii="Calibri" w:hAnsi="Calibri" w:cs="Calibri"/>
                <w:b/>
                <w:bCs/>
                <w:color w:val="000000"/>
                <w:sz w:val="18"/>
                <w:szCs w:val="18"/>
                <w:lang w:val="hr-HR"/>
              </w:rPr>
              <w:t>.</w:t>
            </w:r>
            <w:r w:rsidRPr="00CD3A2D">
              <w:rPr>
                <w:rFonts w:ascii="Calibri" w:hAnsi="Calibri" w:cs="Calibri"/>
                <w:b/>
                <w:bCs/>
                <w:color w:val="000000"/>
                <w:sz w:val="18"/>
                <w:szCs w:val="18"/>
                <w:lang w:val="hr-HR"/>
              </w:rPr>
              <w:t>569</w:t>
            </w:r>
          </w:p>
        </w:tc>
      </w:tr>
    </w:tbl>
    <w:p w:rsidR="00A3252B" w:rsidRPr="001567C8" w:rsidRDefault="00A3252B" w:rsidP="00104704">
      <w:pPr>
        <w:pStyle w:val="T1"/>
        <w:spacing w:before="0" w:after="0" w:line="240" w:lineRule="auto"/>
        <w:rPr>
          <w:rFonts w:asciiTheme="minorHAnsi" w:hAnsiTheme="minorHAnsi" w:cs="Arial"/>
          <w:b w:val="0"/>
          <w:sz w:val="22"/>
          <w:szCs w:val="22"/>
          <w:lang w:val="hr-HR"/>
        </w:rPr>
      </w:pPr>
    </w:p>
    <w:p w:rsidR="00104704" w:rsidRPr="001567C8" w:rsidRDefault="00104704" w:rsidP="00104704">
      <w:pPr>
        <w:pStyle w:val="T1"/>
        <w:spacing w:before="0" w:after="0" w:line="240" w:lineRule="auto"/>
        <w:rPr>
          <w:rFonts w:asciiTheme="minorHAnsi" w:hAnsiTheme="minorHAnsi" w:cs="Arial"/>
          <w:b w:val="0"/>
          <w:sz w:val="22"/>
          <w:szCs w:val="22"/>
          <w:lang w:val="hr-HR"/>
        </w:rPr>
      </w:pPr>
    </w:p>
    <w:tbl>
      <w:tblPr>
        <w:tblW w:w="5379" w:type="pct"/>
        <w:tblInd w:w="-567" w:type="dxa"/>
        <w:tblLayout w:type="fixed"/>
        <w:tblCellMar>
          <w:left w:w="120" w:type="dxa"/>
          <w:right w:w="120" w:type="dxa"/>
        </w:tblCellMar>
        <w:tblLook w:val="0000" w:firstRow="0" w:lastRow="0" w:firstColumn="0" w:lastColumn="0" w:noHBand="0" w:noVBand="0"/>
      </w:tblPr>
      <w:tblGrid>
        <w:gridCol w:w="3270"/>
        <w:gridCol w:w="1135"/>
        <w:gridCol w:w="1133"/>
        <w:gridCol w:w="1133"/>
        <w:gridCol w:w="1133"/>
        <w:gridCol w:w="1133"/>
        <w:gridCol w:w="1127"/>
      </w:tblGrid>
      <w:tr w:rsidR="0065159E" w:rsidRPr="001567C8" w:rsidTr="007D6988">
        <w:trPr>
          <w:trHeight w:val="531"/>
        </w:trPr>
        <w:tc>
          <w:tcPr>
            <w:tcW w:w="1624" w:type="pct"/>
          </w:tcPr>
          <w:p w:rsidR="00104704" w:rsidRPr="00CD3A2D" w:rsidRDefault="00104704">
            <w:pPr>
              <w:tabs>
                <w:tab w:val="right" w:pos="1202"/>
              </w:tabs>
              <w:spacing w:line="240" w:lineRule="atLeast"/>
              <w:outlineLvl w:val="0"/>
              <w:rPr>
                <w:rFonts w:asciiTheme="minorHAnsi" w:hAnsiTheme="minorHAnsi" w:cs="Arial"/>
                <w:b/>
                <w:sz w:val="18"/>
                <w:szCs w:val="18"/>
                <w:lang w:val="hr-HR"/>
              </w:rPr>
            </w:pPr>
            <w:r w:rsidRPr="00CD3A2D">
              <w:rPr>
                <w:rFonts w:asciiTheme="minorHAnsi" w:hAnsiTheme="minorHAnsi" w:cs="Arial"/>
                <w:b/>
                <w:sz w:val="18"/>
                <w:szCs w:val="18"/>
                <w:lang w:val="hr-HR"/>
              </w:rPr>
              <w:t>Grupa</w:t>
            </w:r>
          </w:p>
          <w:p w:rsidR="00104704" w:rsidRPr="00CD3A2D" w:rsidRDefault="00AD2EF7">
            <w:pPr>
              <w:tabs>
                <w:tab w:val="right" w:pos="1202"/>
              </w:tabs>
              <w:spacing w:line="240" w:lineRule="atLeast"/>
              <w:outlineLvl w:val="0"/>
              <w:rPr>
                <w:rFonts w:asciiTheme="minorHAnsi" w:hAnsiTheme="minorHAnsi" w:cs="Arial"/>
                <w:b/>
                <w:sz w:val="18"/>
                <w:szCs w:val="18"/>
                <w:lang w:val="hr-HR"/>
              </w:rPr>
            </w:pPr>
            <w:r>
              <w:rPr>
                <w:rFonts w:asciiTheme="minorHAnsi" w:hAnsiTheme="minorHAnsi" w:cs="Arial"/>
                <w:b/>
                <w:sz w:val="18"/>
                <w:szCs w:val="18"/>
                <w:lang w:val="hr-HR"/>
              </w:rPr>
              <w:t>31. prosin</w:t>
            </w:r>
            <w:r w:rsidR="0073283D" w:rsidRPr="00CD3A2D">
              <w:rPr>
                <w:rFonts w:asciiTheme="minorHAnsi" w:hAnsiTheme="minorHAnsi" w:cs="Arial"/>
                <w:b/>
                <w:sz w:val="18"/>
                <w:szCs w:val="18"/>
                <w:lang w:val="hr-HR"/>
              </w:rPr>
              <w:t>c</w:t>
            </w:r>
            <w:r>
              <w:rPr>
                <w:rFonts w:asciiTheme="minorHAnsi" w:hAnsiTheme="minorHAnsi" w:cs="Arial"/>
                <w:b/>
                <w:sz w:val="18"/>
                <w:szCs w:val="18"/>
                <w:lang w:val="hr-HR"/>
              </w:rPr>
              <w:t>a</w:t>
            </w:r>
            <w:r w:rsidR="0073283D" w:rsidRPr="00CD3A2D">
              <w:rPr>
                <w:rFonts w:asciiTheme="minorHAnsi" w:hAnsiTheme="minorHAnsi" w:cs="Arial"/>
                <w:b/>
                <w:sz w:val="18"/>
                <w:szCs w:val="18"/>
                <w:lang w:val="hr-HR"/>
              </w:rPr>
              <w:t xml:space="preserve"> </w:t>
            </w:r>
            <w:r w:rsidR="00104704" w:rsidRPr="00CD3A2D">
              <w:rPr>
                <w:rFonts w:asciiTheme="minorHAnsi" w:hAnsiTheme="minorHAnsi" w:cs="Arial"/>
                <w:b/>
                <w:sz w:val="18"/>
                <w:szCs w:val="18"/>
                <w:lang w:val="hr-HR"/>
              </w:rPr>
              <w:t>201</w:t>
            </w:r>
            <w:r w:rsidR="00AD2AC2" w:rsidRPr="00CD3A2D">
              <w:rPr>
                <w:rFonts w:asciiTheme="minorHAnsi" w:hAnsiTheme="minorHAnsi" w:cs="Arial"/>
                <w:b/>
                <w:sz w:val="18"/>
                <w:szCs w:val="18"/>
                <w:lang w:val="hr-HR"/>
              </w:rPr>
              <w:t>7</w:t>
            </w:r>
            <w:r w:rsidR="00104704" w:rsidRPr="00CD3A2D">
              <w:rPr>
                <w:rFonts w:asciiTheme="minorHAnsi" w:hAnsiTheme="minorHAnsi" w:cs="Arial"/>
                <w:b/>
                <w:sz w:val="18"/>
                <w:szCs w:val="18"/>
                <w:lang w:val="hr-HR"/>
              </w:rPr>
              <w:t>. godina</w:t>
            </w:r>
          </w:p>
        </w:tc>
        <w:tc>
          <w:tcPr>
            <w:tcW w:w="564"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Do 1 mjesec</w:t>
            </w:r>
          </w:p>
        </w:tc>
        <w:tc>
          <w:tcPr>
            <w:tcW w:w="563"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1 do 3 mjeseca</w:t>
            </w:r>
          </w:p>
        </w:tc>
        <w:tc>
          <w:tcPr>
            <w:tcW w:w="563"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3 mj. do 1 godine</w:t>
            </w:r>
          </w:p>
        </w:tc>
        <w:tc>
          <w:tcPr>
            <w:tcW w:w="563"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1 do 3 godina</w:t>
            </w:r>
          </w:p>
        </w:tc>
        <w:tc>
          <w:tcPr>
            <w:tcW w:w="563"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Preko 3 godine</w:t>
            </w:r>
          </w:p>
        </w:tc>
        <w:tc>
          <w:tcPr>
            <w:tcW w:w="561"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Ukupno</w:t>
            </w:r>
          </w:p>
        </w:tc>
      </w:tr>
      <w:tr w:rsidR="0065159E" w:rsidRPr="001567C8" w:rsidTr="007D6988">
        <w:trPr>
          <w:trHeight w:val="266"/>
        </w:trPr>
        <w:tc>
          <w:tcPr>
            <w:tcW w:w="1624" w:type="pct"/>
            <w:vAlign w:val="bottom"/>
          </w:tcPr>
          <w:p w:rsidR="00104704" w:rsidRPr="00CD3A2D" w:rsidRDefault="00104704" w:rsidP="00104704">
            <w:pPr>
              <w:tabs>
                <w:tab w:val="left" w:pos="-720"/>
              </w:tabs>
              <w:suppressAutoHyphens/>
              <w:jc w:val="center"/>
              <w:rPr>
                <w:rFonts w:asciiTheme="minorHAnsi" w:hAnsiTheme="minorHAnsi" w:cs="Arial"/>
                <w:b/>
                <w:spacing w:val="-2"/>
                <w:sz w:val="18"/>
                <w:szCs w:val="18"/>
                <w:lang w:val="hr-HR"/>
              </w:rPr>
            </w:pPr>
          </w:p>
        </w:tc>
        <w:tc>
          <w:tcPr>
            <w:tcW w:w="564"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3"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3"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3"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3"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1" w:type="pct"/>
          </w:tcPr>
          <w:p w:rsidR="00104704" w:rsidRPr="00CD3A2D" w:rsidRDefault="00104704" w:rsidP="00104704">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r>
      <w:tr w:rsidR="0065159E" w:rsidRPr="001567C8" w:rsidTr="007D6988">
        <w:trPr>
          <w:trHeight w:hRule="exact" w:val="227"/>
        </w:trPr>
        <w:tc>
          <w:tcPr>
            <w:tcW w:w="1624" w:type="pct"/>
            <w:vAlign w:val="bottom"/>
          </w:tcPr>
          <w:p w:rsidR="00104704" w:rsidRPr="00CD3A2D" w:rsidRDefault="00104704" w:rsidP="00CD3A2D">
            <w:pPr>
              <w:tabs>
                <w:tab w:val="right" w:pos="1202"/>
              </w:tabs>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Financijske obveze</w:t>
            </w:r>
          </w:p>
        </w:tc>
        <w:tc>
          <w:tcPr>
            <w:tcW w:w="564" w:type="pct"/>
          </w:tcPr>
          <w:p w:rsidR="00104704" w:rsidRPr="00CD3A2D" w:rsidRDefault="00104704" w:rsidP="00CD3A2D">
            <w:pPr>
              <w:tabs>
                <w:tab w:val="right" w:pos="1202"/>
                <w:tab w:val="center" w:pos="4153"/>
                <w:tab w:val="right" w:pos="8306"/>
              </w:tabs>
              <w:jc w:val="right"/>
              <w:outlineLvl w:val="0"/>
              <w:rPr>
                <w:rFonts w:asciiTheme="minorHAnsi" w:hAnsiTheme="minorHAnsi" w:cs="Arial"/>
                <w:sz w:val="18"/>
                <w:szCs w:val="18"/>
                <w:lang w:val="hr-HR"/>
              </w:rPr>
            </w:pPr>
          </w:p>
        </w:tc>
        <w:tc>
          <w:tcPr>
            <w:tcW w:w="563" w:type="pct"/>
          </w:tcPr>
          <w:p w:rsidR="00104704" w:rsidRPr="00CD3A2D" w:rsidRDefault="00104704" w:rsidP="00CD3A2D">
            <w:pPr>
              <w:tabs>
                <w:tab w:val="right" w:pos="1202"/>
                <w:tab w:val="center" w:pos="4153"/>
                <w:tab w:val="right" w:pos="8306"/>
              </w:tabs>
              <w:jc w:val="right"/>
              <w:outlineLvl w:val="0"/>
              <w:rPr>
                <w:rFonts w:asciiTheme="minorHAnsi" w:hAnsiTheme="minorHAnsi" w:cs="Arial"/>
                <w:sz w:val="18"/>
                <w:szCs w:val="18"/>
                <w:lang w:val="hr-HR"/>
              </w:rPr>
            </w:pPr>
          </w:p>
        </w:tc>
        <w:tc>
          <w:tcPr>
            <w:tcW w:w="563" w:type="pct"/>
          </w:tcPr>
          <w:p w:rsidR="00104704" w:rsidRPr="00CD3A2D" w:rsidRDefault="00104704" w:rsidP="00CD3A2D">
            <w:pPr>
              <w:tabs>
                <w:tab w:val="right" w:pos="1202"/>
                <w:tab w:val="center" w:pos="4153"/>
                <w:tab w:val="right" w:pos="8306"/>
              </w:tabs>
              <w:jc w:val="right"/>
              <w:outlineLvl w:val="0"/>
              <w:rPr>
                <w:rFonts w:asciiTheme="minorHAnsi" w:hAnsiTheme="minorHAnsi" w:cs="Arial"/>
                <w:sz w:val="18"/>
                <w:szCs w:val="18"/>
                <w:lang w:val="hr-HR"/>
              </w:rPr>
            </w:pPr>
          </w:p>
        </w:tc>
        <w:tc>
          <w:tcPr>
            <w:tcW w:w="563" w:type="pct"/>
          </w:tcPr>
          <w:p w:rsidR="00104704" w:rsidRPr="00CD3A2D" w:rsidRDefault="00104704" w:rsidP="00CD3A2D">
            <w:pPr>
              <w:tabs>
                <w:tab w:val="right" w:pos="1202"/>
                <w:tab w:val="center" w:pos="4153"/>
                <w:tab w:val="right" w:pos="8306"/>
              </w:tabs>
              <w:jc w:val="right"/>
              <w:outlineLvl w:val="0"/>
              <w:rPr>
                <w:rFonts w:asciiTheme="minorHAnsi" w:hAnsiTheme="minorHAnsi" w:cs="Arial"/>
                <w:sz w:val="18"/>
                <w:szCs w:val="18"/>
                <w:lang w:val="hr-HR"/>
              </w:rPr>
            </w:pPr>
          </w:p>
        </w:tc>
        <w:tc>
          <w:tcPr>
            <w:tcW w:w="563" w:type="pct"/>
          </w:tcPr>
          <w:p w:rsidR="00104704" w:rsidRPr="00CD3A2D" w:rsidRDefault="00104704" w:rsidP="00CD3A2D">
            <w:pPr>
              <w:tabs>
                <w:tab w:val="right" w:pos="1202"/>
                <w:tab w:val="center" w:pos="4153"/>
                <w:tab w:val="right" w:pos="8306"/>
              </w:tabs>
              <w:jc w:val="right"/>
              <w:outlineLvl w:val="0"/>
              <w:rPr>
                <w:rFonts w:asciiTheme="minorHAnsi" w:hAnsiTheme="minorHAnsi" w:cs="Arial"/>
                <w:sz w:val="18"/>
                <w:szCs w:val="18"/>
                <w:lang w:val="hr-HR"/>
              </w:rPr>
            </w:pPr>
          </w:p>
        </w:tc>
        <w:tc>
          <w:tcPr>
            <w:tcW w:w="561" w:type="pct"/>
          </w:tcPr>
          <w:p w:rsidR="00104704" w:rsidRPr="00CD3A2D" w:rsidRDefault="00104704" w:rsidP="00CD3A2D">
            <w:pPr>
              <w:tabs>
                <w:tab w:val="right" w:pos="1202"/>
                <w:tab w:val="center" w:pos="4153"/>
                <w:tab w:val="right" w:pos="8306"/>
              </w:tabs>
              <w:jc w:val="right"/>
              <w:outlineLvl w:val="0"/>
              <w:rPr>
                <w:rFonts w:asciiTheme="minorHAnsi" w:hAnsiTheme="minorHAnsi" w:cs="Arial"/>
                <w:sz w:val="18"/>
                <w:szCs w:val="18"/>
                <w:lang w:val="hr-HR"/>
              </w:rPr>
            </w:pPr>
          </w:p>
        </w:tc>
      </w:tr>
      <w:tr w:rsidR="0065159E" w:rsidRPr="001567C8" w:rsidTr="007D6988">
        <w:trPr>
          <w:trHeight w:hRule="exact" w:val="227"/>
        </w:trPr>
        <w:tc>
          <w:tcPr>
            <w:tcW w:w="1624" w:type="pct"/>
            <w:vAlign w:val="bottom"/>
          </w:tcPr>
          <w:p w:rsidR="00AD2AC2" w:rsidRPr="00CD3A2D" w:rsidRDefault="00AD2AC2" w:rsidP="00CD3A2D">
            <w:pPr>
              <w:tabs>
                <w:tab w:val="right" w:pos="1202"/>
              </w:tabs>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Obveze po depozitima</w:t>
            </w:r>
          </w:p>
        </w:tc>
        <w:tc>
          <w:tcPr>
            <w:tcW w:w="564"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251.822</w:t>
            </w:r>
          </w:p>
        </w:tc>
        <w:tc>
          <w:tcPr>
            <w:tcW w:w="563"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187</w:t>
            </w:r>
          </w:p>
        </w:tc>
        <w:tc>
          <w:tcPr>
            <w:tcW w:w="563"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171.291</w:t>
            </w:r>
          </w:p>
        </w:tc>
        <w:tc>
          <w:tcPr>
            <w:tcW w:w="563"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211.134</w:t>
            </w:r>
          </w:p>
        </w:tc>
        <w:tc>
          <w:tcPr>
            <w:tcW w:w="563"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10.307</w:t>
            </w:r>
          </w:p>
        </w:tc>
        <w:tc>
          <w:tcPr>
            <w:tcW w:w="561"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644.741</w:t>
            </w:r>
          </w:p>
        </w:tc>
      </w:tr>
      <w:tr w:rsidR="0065159E" w:rsidRPr="001567C8" w:rsidTr="007D6988">
        <w:trPr>
          <w:trHeight w:hRule="exact" w:val="227"/>
        </w:trPr>
        <w:tc>
          <w:tcPr>
            <w:tcW w:w="1624" w:type="pct"/>
            <w:vAlign w:val="bottom"/>
          </w:tcPr>
          <w:p w:rsidR="00AD2AC2" w:rsidRPr="00CD3A2D" w:rsidRDefault="00AD2AC2" w:rsidP="00CD3A2D">
            <w:pPr>
              <w:tabs>
                <w:tab w:val="right" w:pos="1202"/>
              </w:tabs>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Obveze po kreditima</w:t>
            </w:r>
          </w:p>
        </w:tc>
        <w:tc>
          <w:tcPr>
            <w:tcW w:w="564"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197.142</w:t>
            </w:r>
          </w:p>
        </w:tc>
        <w:tc>
          <w:tcPr>
            <w:tcW w:w="563"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283.160</w:t>
            </w:r>
          </w:p>
        </w:tc>
        <w:tc>
          <w:tcPr>
            <w:tcW w:w="563"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1.358.672</w:t>
            </w:r>
          </w:p>
        </w:tc>
        <w:tc>
          <w:tcPr>
            <w:tcW w:w="563"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4.292.634</w:t>
            </w:r>
          </w:p>
        </w:tc>
        <w:tc>
          <w:tcPr>
            <w:tcW w:w="563"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10.758.724</w:t>
            </w:r>
          </w:p>
        </w:tc>
        <w:tc>
          <w:tcPr>
            <w:tcW w:w="561" w:type="pct"/>
            <w:tcBorders>
              <w:top w:val="nil"/>
              <w:left w:val="nil"/>
              <w:bottom w:val="nil"/>
              <w:right w:val="nil"/>
            </w:tcBorders>
            <w:shd w:val="clear" w:color="auto" w:fill="auto"/>
            <w:vAlign w:val="bottom"/>
          </w:tcPr>
          <w:p w:rsidR="00AD2AC2" w:rsidRPr="00CD3A2D" w:rsidRDefault="00AD2AC2" w:rsidP="00CD3A2D">
            <w:pPr>
              <w:keepNext/>
              <w:keepLines/>
              <w:tabs>
                <w:tab w:val="decimal" w:pos="1202"/>
                <w:tab w:val="center" w:pos="4153"/>
                <w:tab w:val="right" w:pos="8306"/>
              </w:tabs>
              <w:jc w:val="right"/>
              <w:rPr>
                <w:rFonts w:asciiTheme="minorHAnsi" w:hAnsiTheme="minorHAnsi" w:cs="Arial"/>
                <w:position w:val="4"/>
                <w:sz w:val="18"/>
                <w:szCs w:val="18"/>
                <w:lang w:val="hr-HR"/>
              </w:rPr>
            </w:pPr>
            <w:r w:rsidRPr="00CD3A2D">
              <w:rPr>
                <w:rFonts w:asciiTheme="minorHAnsi" w:hAnsiTheme="minorHAnsi"/>
                <w:sz w:val="18"/>
                <w:szCs w:val="18"/>
                <w:lang w:val="hr-HR"/>
              </w:rPr>
              <w:t>16.890.332</w:t>
            </w:r>
          </w:p>
        </w:tc>
      </w:tr>
      <w:tr w:rsidR="0065159E" w:rsidRPr="001567C8" w:rsidTr="007D6988">
        <w:trPr>
          <w:trHeight w:val="531"/>
        </w:trPr>
        <w:tc>
          <w:tcPr>
            <w:tcW w:w="1624" w:type="pct"/>
            <w:vAlign w:val="bottom"/>
          </w:tcPr>
          <w:p w:rsidR="00AD2AC2" w:rsidRPr="00CD3A2D" w:rsidRDefault="00AD2AC2" w:rsidP="00AD2AC2">
            <w:pPr>
              <w:tabs>
                <w:tab w:val="right" w:pos="1202"/>
              </w:tabs>
              <w:spacing w:line="301" w:lineRule="exact"/>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Obveze za izdane dugoročne vrijednosne papire</w:t>
            </w:r>
          </w:p>
        </w:tc>
        <w:tc>
          <w:tcPr>
            <w:tcW w:w="564"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sz w:val="18"/>
                <w:szCs w:val="18"/>
                <w:lang w:val="hr-HR"/>
              </w:rPr>
              <w:t>-</w:t>
            </w:r>
          </w:p>
        </w:tc>
        <w:tc>
          <w:tcPr>
            <w:tcW w:w="563"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sz w:val="18"/>
                <w:szCs w:val="18"/>
                <w:lang w:val="hr-HR"/>
              </w:rPr>
              <w:t>-</w:t>
            </w:r>
          </w:p>
        </w:tc>
        <w:tc>
          <w:tcPr>
            <w:tcW w:w="563"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sz w:val="18"/>
                <w:szCs w:val="18"/>
                <w:lang w:val="hr-HR"/>
              </w:rPr>
              <w:t>67.623</w:t>
            </w:r>
          </w:p>
        </w:tc>
        <w:tc>
          <w:tcPr>
            <w:tcW w:w="563"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sz w:val="18"/>
                <w:szCs w:val="18"/>
                <w:lang w:val="hr-HR"/>
              </w:rPr>
              <w:t>1.253.036</w:t>
            </w:r>
          </w:p>
        </w:tc>
        <w:tc>
          <w:tcPr>
            <w:tcW w:w="563"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sz w:val="18"/>
                <w:szCs w:val="18"/>
                <w:lang w:val="hr-HR"/>
              </w:rPr>
              <w:t>-</w:t>
            </w:r>
          </w:p>
        </w:tc>
        <w:tc>
          <w:tcPr>
            <w:tcW w:w="561"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sz w:val="18"/>
                <w:szCs w:val="18"/>
                <w:lang w:val="hr-HR"/>
              </w:rPr>
              <w:t>1.320.659</w:t>
            </w:r>
          </w:p>
        </w:tc>
      </w:tr>
      <w:tr w:rsidR="0065159E" w:rsidRPr="001567C8" w:rsidTr="007D6988">
        <w:trPr>
          <w:trHeight w:hRule="exact" w:val="227"/>
        </w:trPr>
        <w:tc>
          <w:tcPr>
            <w:tcW w:w="1624" w:type="pct"/>
            <w:vAlign w:val="bottom"/>
          </w:tcPr>
          <w:p w:rsidR="00AD2AC2" w:rsidRPr="00CD3A2D" w:rsidRDefault="00AD2AC2" w:rsidP="00CD3A2D">
            <w:pPr>
              <w:tabs>
                <w:tab w:val="right" w:pos="1202"/>
              </w:tabs>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Ostale obveze</w:t>
            </w:r>
          </w:p>
        </w:tc>
        <w:tc>
          <w:tcPr>
            <w:tcW w:w="564" w:type="pct"/>
            <w:tcBorders>
              <w:top w:val="nil"/>
              <w:left w:val="nil"/>
              <w:right w:val="nil"/>
            </w:tcBorders>
            <w:shd w:val="clear" w:color="auto" w:fill="auto"/>
            <w:vAlign w:val="bottom"/>
          </w:tcPr>
          <w:p w:rsidR="00AD2AC2" w:rsidRPr="00CD3A2D" w:rsidRDefault="00AD2AC2" w:rsidP="00CD3A2D">
            <w:pPr>
              <w:tabs>
                <w:tab w:val="right" w:pos="1202"/>
                <w:tab w:val="center" w:pos="4153"/>
                <w:tab w:val="right" w:pos="8306"/>
              </w:tabs>
              <w:jc w:val="right"/>
              <w:outlineLvl w:val="0"/>
              <w:rPr>
                <w:rFonts w:asciiTheme="minorHAnsi" w:hAnsiTheme="minorHAnsi" w:cs="Arial"/>
                <w:sz w:val="18"/>
                <w:szCs w:val="18"/>
                <w:lang w:val="hr-HR"/>
              </w:rPr>
            </w:pPr>
            <w:r w:rsidRPr="00CD3A2D">
              <w:rPr>
                <w:rFonts w:asciiTheme="minorHAnsi" w:hAnsiTheme="minorHAnsi"/>
                <w:sz w:val="18"/>
                <w:szCs w:val="18"/>
                <w:lang w:val="hr-HR"/>
              </w:rPr>
              <w:t>186.306</w:t>
            </w:r>
          </w:p>
        </w:tc>
        <w:tc>
          <w:tcPr>
            <w:tcW w:w="563" w:type="pct"/>
            <w:tcBorders>
              <w:top w:val="nil"/>
              <w:left w:val="nil"/>
              <w:right w:val="nil"/>
            </w:tcBorders>
            <w:shd w:val="clear" w:color="auto" w:fill="auto"/>
            <w:vAlign w:val="bottom"/>
          </w:tcPr>
          <w:p w:rsidR="00AD2AC2" w:rsidRPr="00CD3A2D" w:rsidRDefault="00AD2AC2" w:rsidP="00CD3A2D">
            <w:pPr>
              <w:tabs>
                <w:tab w:val="right" w:pos="1202"/>
                <w:tab w:val="center" w:pos="4153"/>
                <w:tab w:val="right" w:pos="8306"/>
              </w:tabs>
              <w:jc w:val="right"/>
              <w:outlineLvl w:val="0"/>
              <w:rPr>
                <w:rFonts w:asciiTheme="minorHAnsi" w:hAnsiTheme="minorHAnsi" w:cs="Arial"/>
                <w:sz w:val="18"/>
                <w:szCs w:val="18"/>
                <w:lang w:val="hr-HR"/>
              </w:rPr>
            </w:pPr>
            <w:r w:rsidRPr="00CD3A2D">
              <w:rPr>
                <w:rFonts w:asciiTheme="minorHAnsi" w:hAnsiTheme="minorHAnsi"/>
                <w:sz w:val="18"/>
                <w:szCs w:val="18"/>
                <w:lang w:val="hr-HR"/>
              </w:rPr>
              <w:t>22.257</w:t>
            </w:r>
          </w:p>
        </w:tc>
        <w:tc>
          <w:tcPr>
            <w:tcW w:w="563" w:type="pct"/>
            <w:tcBorders>
              <w:top w:val="nil"/>
              <w:left w:val="nil"/>
              <w:right w:val="nil"/>
            </w:tcBorders>
            <w:shd w:val="clear" w:color="auto" w:fill="auto"/>
            <w:vAlign w:val="bottom"/>
          </w:tcPr>
          <w:p w:rsidR="00AD2AC2" w:rsidRPr="00CD3A2D" w:rsidRDefault="00AD2AC2" w:rsidP="00CD3A2D">
            <w:pPr>
              <w:tabs>
                <w:tab w:val="right" w:pos="1202"/>
                <w:tab w:val="center" w:pos="4153"/>
                <w:tab w:val="right" w:pos="8306"/>
              </w:tabs>
              <w:jc w:val="right"/>
              <w:outlineLvl w:val="0"/>
              <w:rPr>
                <w:rFonts w:asciiTheme="minorHAnsi" w:hAnsiTheme="minorHAnsi" w:cs="Arial"/>
                <w:sz w:val="18"/>
                <w:szCs w:val="18"/>
                <w:lang w:val="hr-HR"/>
              </w:rPr>
            </w:pPr>
            <w:r w:rsidRPr="00CD3A2D">
              <w:rPr>
                <w:rFonts w:asciiTheme="minorHAnsi" w:hAnsiTheme="minorHAnsi"/>
                <w:sz w:val="18"/>
                <w:szCs w:val="18"/>
                <w:lang w:val="hr-HR"/>
              </w:rPr>
              <w:t>81.485</w:t>
            </w:r>
          </w:p>
        </w:tc>
        <w:tc>
          <w:tcPr>
            <w:tcW w:w="563" w:type="pct"/>
            <w:tcBorders>
              <w:top w:val="nil"/>
              <w:left w:val="nil"/>
              <w:right w:val="nil"/>
            </w:tcBorders>
            <w:shd w:val="clear" w:color="auto" w:fill="auto"/>
            <w:vAlign w:val="bottom"/>
          </w:tcPr>
          <w:p w:rsidR="00AD2AC2" w:rsidRPr="00CD3A2D" w:rsidRDefault="00AD2AC2" w:rsidP="00CD3A2D">
            <w:pPr>
              <w:tabs>
                <w:tab w:val="right" w:pos="1202"/>
                <w:tab w:val="center" w:pos="4153"/>
                <w:tab w:val="right" w:pos="8306"/>
              </w:tabs>
              <w:jc w:val="right"/>
              <w:outlineLvl w:val="0"/>
              <w:rPr>
                <w:rFonts w:asciiTheme="minorHAnsi" w:hAnsiTheme="minorHAnsi" w:cs="Arial"/>
                <w:sz w:val="18"/>
                <w:szCs w:val="18"/>
                <w:lang w:val="hr-HR"/>
              </w:rPr>
            </w:pPr>
            <w:r w:rsidRPr="00CD3A2D">
              <w:rPr>
                <w:rFonts w:asciiTheme="minorHAnsi" w:hAnsiTheme="minorHAnsi"/>
                <w:sz w:val="18"/>
                <w:szCs w:val="18"/>
                <w:lang w:val="hr-HR"/>
              </w:rPr>
              <w:t>152.731</w:t>
            </w:r>
          </w:p>
        </w:tc>
        <w:tc>
          <w:tcPr>
            <w:tcW w:w="563" w:type="pct"/>
            <w:tcBorders>
              <w:top w:val="nil"/>
              <w:left w:val="nil"/>
              <w:right w:val="nil"/>
            </w:tcBorders>
            <w:shd w:val="clear" w:color="auto" w:fill="auto"/>
            <w:vAlign w:val="bottom"/>
          </w:tcPr>
          <w:p w:rsidR="00AD2AC2" w:rsidRPr="00CD3A2D" w:rsidRDefault="00AD2AC2" w:rsidP="00CD3A2D">
            <w:pPr>
              <w:tabs>
                <w:tab w:val="right" w:pos="1202"/>
                <w:tab w:val="center" w:pos="4153"/>
                <w:tab w:val="right" w:pos="8306"/>
              </w:tabs>
              <w:jc w:val="right"/>
              <w:outlineLvl w:val="0"/>
              <w:rPr>
                <w:rFonts w:asciiTheme="minorHAnsi" w:hAnsiTheme="minorHAnsi" w:cs="Arial"/>
                <w:sz w:val="18"/>
                <w:szCs w:val="18"/>
                <w:lang w:val="hr-HR"/>
              </w:rPr>
            </w:pPr>
            <w:r w:rsidRPr="00CD3A2D">
              <w:rPr>
                <w:rFonts w:asciiTheme="minorHAnsi" w:hAnsiTheme="minorHAnsi"/>
                <w:sz w:val="18"/>
                <w:szCs w:val="18"/>
                <w:lang w:val="hr-HR"/>
              </w:rPr>
              <w:t>162.674</w:t>
            </w:r>
          </w:p>
        </w:tc>
        <w:tc>
          <w:tcPr>
            <w:tcW w:w="561" w:type="pct"/>
            <w:tcBorders>
              <w:top w:val="nil"/>
              <w:left w:val="nil"/>
              <w:right w:val="nil"/>
            </w:tcBorders>
            <w:shd w:val="clear" w:color="auto" w:fill="auto"/>
            <w:vAlign w:val="bottom"/>
          </w:tcPr>
          <w:p w:rsidR="00AD2AC2" w:rsidRPr="00CD3A2D" w:rsidRDefault="00AD2AC2" w:rsidP="00CD3A2D">
            <w:pPr>
              <w:tabs>
                <w:tab w:val="right" w:pos="1202"/>
                <w:tab w:val="center" w:pos="4153"/>
                <w:tab w:val="right" w:pos="8306"/>
              </w:tabs>
              <w:jc w:val="right"/>
              <w:outlineLvl w:val="0"/>
              <w:rPr>
                <w:rFonts w:asciiTheme="minorHAnsi" w:hAnsiTheme="minorHAnsi" w:cs="Arial"/>
                <w:sz w:val="18"/>
                <w:szCs w:val="18"/>
                <w:lang w:val="hr-HR"/>
              </w:rPr>
            </w:pPr>
            <w:r w:rsidRPr="00CD3A2D">
              <w:rPr>
                <w:rFonts w:asciiTheme="minorHAnsi" w:hAnsiTheme="minorHAnsi"/>
                <w:sz w:val="18"/>
                <w:szCs w:val="18"/>
                <w:lang w:val="hr-HR"/>
              </w:rPr>
              <w:t>605.453</w:t>
            </w:r>
          </w:p>
        </w:tc>
      </w:tr>
      <w:tr w:rsidR="0065159E" w:rsidRPr="001567C8" w:rsidTr="007D6988">
        <w:trPr>
          <w:trHeight w:hRule="exact" w:val="284"/>
        </w:trPr>
        <w:tc>
          <w:tcPr>
            <w:tcW w:w="1624" w:type="pct"/>
            <w:vAlign w:val="bottom"/>
          </w:tcPr>
          <w:p w:rsidR="00AD2AC2" w:rsidRPr="00CD3A2D" w:rsidRDefault="00AD2AC2" w:rsidP="00CD3A2D">
            <w:pPr>
              <w:tabs>
                <w:tab w:val="right" w:pos="1202"/>
              </w:tabs>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Ukupno</w:t>
            </w:r>
          </w:p>
        </w:tc>
        <w:tc>
          <w:tcPr>
            <w:tcW w:w="564" w:type="pct"/>
            <w:tcBorders>
              <w:top w:val="single" w:sz="4" w:space="0" w:color="auto"/>
              <w:left w:val="nil"/>
              <w:bottom w:val="single" w:sz="12" w:space="0" w:color="auto"/>
              <w:right w:val="nil"/>
            </w:tcBorders>
            <w:shd w:val="clear" w:color="auto" w:fill="auto"/>
            <w:vAlign w:val="center"/>
          </w:tcPr>
          <w:p w:rsidR="00AD2AC2" w:rsidRPr="00CD3A2D" w:rsidRDefault="00AD2AC2" w:rsidP="00CD3A2D">
            <w:pPr>
              <w:tabs>
                <w:tab w:val="right" w:pos="1202"/>
              </w:tabs>
              <w:jc w:val="right"/>
              <w:outlineLvl w:val="0"/>
              <w:rPr>
                <w:rFonts w:asciiTheme="minorHAnsi" w:hAnsiTheme="minorHAnsi"/>
                <w:b/>
                <w:bCs/>
                <w:sz w:val="18"/>
                <w:szCs w:val="18"/>
                <w:lang w:val="hr-HR"/>
              </w:rPr>
            </w:pPr>
            <w:r w:rsidRPr="00CD3A2D">
              <w:rPr>
                <w:rFonts w:asciiTheme="minorHAnsi" w:hAnsiTheme="minorHAnsi" w:cs="Arial"/>
                <w:b/>
                <w:sz w:val="18"/>
                <w:szCs w:val="18"/>
                <w:lang w:val="hr-HR"/>
              </w:rPr>
              <w:t>635.270</w:t>
            </w:r>
          </w:p>
        </w:tc>
        <w:tc>
          <w:tcPr>
            <w:tcW w:w="563" w:type="pct"/>
            <w:tcBorders>
              <w:top w:val="single" w:sz="4" w:space="0" w:color="auto"/>
              <w:left w:val="nil"/>
              <w:bottom w:val="single" w:sz="12" w:space="0" w:color="auto"/>
              <w:right w:val="nil"/>
            </w:tcBorders>
            <w:shd w:val="clear" w:color="auto" w:fill="auto"/>
            <w:vAlign w:val="center"/>
          </w:tcPr>
          <w:p w:rsidR="00AD2AC2" w:rsidRPr="00CD3A2D" w:rsidRDefault="00AD2AC2" w:rsidP="00CD3A2D">
            <w:pPr>
              <w:tabs>
                <w:tab w:val="right" w:pos="1202"/>
              </w:tabs>
              <w:jc w:val="right"/>
              <w:outlineLvl w:val="0"/>
              <w:rPr>
                <w:rFonts w:asciiTheme="minorHAnsi" w:hAnsiTheme="minorHAnsi"/>
                <w:b/>
                <w:bCs/>
                <w:sz w:val="18"/>
                <w:szCs w:val="18"/>
                <w:lang w:val="hr-HR"/>
              </w:rPr>
            </w:pPr>
            <w:r w:rsidRPr="00CD3A2D">
              <w:rPr>
                <w:rFonts w:asciiTheme="minorHAnsi" w:hAnsiTheme="minorHAnsi" w:cs="Arial"/>
                <w:b/>
                <w:sz w:val="18"/>
                <w:szCs w:val="18"/>
                <w:lang w:val="hr-HR"/>
              </w:rPr>
              <w:t>305.604</w:t>
            </w:r>
          </w:p>
        </w:tc>
        <w:tc>
          <w:tcPr>
            <w:tcW w:w="563" w:type="pct"/>
            <w:tcBorders>
              <w:top w:val="single" w:sz="4" w:space="0" w:color="auto"/>
              <w:left w:val="nil"/>
              <w:bottom w:val="single" w:sz="12" w:space="0" w:color="auto"/>
              <w:right w:val="nil"/>
            </w:tcBorders>
            <w:shd w:val="clear" w:color="auto" w:fill="auto"/>
            <w:vAlign w:val="center"/>
          </w:tcPr>
          <w:p w:rsidR="00AD2AC2" w:rsidRPr="00CD3A2D" w:rsidRDefault="00AD2AC2" w:rsidP="00CD3A2D">
            <w:pPr>
              <w:tabs>
                <w:tab w:val="right" w:pos="1202"/>
              </w:tabs>
              <w:jc w:val="right"/>
              <w:outlineLvl w:val="0"/>
              <w:rPr>
                <w:rFonts w:asciiTheme="minorHAnsi" w:hAnsiTheme="minorHAnsi"/>
                <w:b/>
                <w:bCs/>
                <w:sz w:val="18"/>
                <w:szCs w:val="18"/>
                <w:lang w:val="hr-HR"/>
              </w:rPr>
            </w:pPr>
            <w:r w:rsidRPr="00CD3A2D">
              <w:rPr>
                <w:rFonts w:asciiTheme="minorHAnsi" w:hAnsiTheme="minorHAnsi" w:cs="Arial"/>
                <w:b/>
                <w:sz w:val="18"/>
                <w:szCs w:val="18"/>
                <w:lang w:val="hr-HR"/>
              </w:rPr>
              <w:t>1.679.071</w:t>
            </w:r>
          </w:p>
        </w:tc>
        <w:tc>
          <w:tcPr>
            <w:tcW w:w="563" w:type="pct"/>
            <w:tcBorders>
              <w:top w:val="single" w:sz="4" w:space="0" w:color="auto"/>
              <w:left w:val="nil"/>
              <w:bottom w:val="single" w:sz="12" w:space="0" w:color="auto"/>
              <w:right w:val="nil"/>
            </w:tcBorders>
            <w:shd w:val="clear" w:color="auto" w:fill="auto"/>
            <w:vAlign w:val="center"/>
          </w:tcPr>
          <w:p w:rsidR="00AD2AC2" w:rsidRPr="00CD3A2D" w:rsidRDefault="00AD2AC2" w:rsidP="00CD3A2D">
            <w:pPr>
              <w:tabs>
                <w:tab w:val="right" w:pos="1202"/>
              </w:tabs>
              <w:jc w:val="right"/>
              <w:outlineLvl w:val="0"/>
              <w:rPr>
                <w:rFonts w:asciiTheme="minorHAnsi" w:hAnsiTheme="minorHAnsi"/>
                <w:b/>
                <w:bCs/>
                <w:sz w:val="18"/>
                <w:szCs w:val="18"/>
                <w:lang w:val="hr-HR"/>
              </w:rPr>
            </w:pPr>
            <w:r w:rsidRPr="00CD3A2D">
              <w:rPr>
                <w:rFonts w:asciiTheme="minorHAnsi" w:hAnsiTheme="minorHAnsi" w:cs="Arial"/>
                <w:b/>
                <w:sz w:val="18"/>
                <w:szCs w:val="18"/>
                <w:lang w:val="hr-HR"/>
              </w:rPr>
              <w:t>5.909.535</w:t>
            </w:r>
          </w:p>
        </w:tc>
        <w:tc>
          <w:tcPr>
            <w:tcW w:w="563" w:type="pct"/>
            <w:tcBorders>
              <w:top w:val="single" w:sz="4" w:space="0" w:color="auto"/>
              <w:left w:val="nil"/>
              <w:bottom w:val="single" w:sz="12" w:space="0" w:color="auto"/>
              <w:right w:val="nil"/>
            </w:tcBorders>
            <w:shd w:val="clear" w:color="auto" w:fill="auto"/>
            <w:vAlign w:val="center"/>
          </w:tcPr>
          <w:p w:rsidR="00AD2AC2" w:rsidRPr="00CD3A2D" w:rsidRDefault="00AD2AC2" w:rsidP="00CD3A2D">
            <w:pPr>
              <w:tabs>
                <w:tab w:val="right" w:pos="1202"/>
              </w:tabs>
              <w:jc w:val="right"/>
              <w:outlineLvl w:val="0"/>
              <w:rPr>
                <w:rFonts w:asciiTheme="minorHAnsi" w:hAnsiTheme="minorHAnsi"/>
                <w:b/>
                <w:bCs/>
                <w:sz w:val="18"/>
                <w:szCs w:val="18"/>
                <w:lang w:val="hr-HR"/>
              </w:rPr>
            </w:pPr>
            <w:r w:rsidRPr="00CD3A2D">
              <w:rPr>
                <w:rFonts w:asciiTheme="minorHAnsi" w:hAnsiTheme="minorHAnsi" w:cs="Arial"/>
                <w:b/>
                <w:sz w:val="18"/>
                <w:szCs w:val="18"/>
                <w:lang w:val="hr-HR"/>
              </w:rPr>
              <w:t>10.931.705</w:t>
            </w:r>
          </w:p>
        </w:tc>
        <w:tc>
          <w:tcPr>
            <w:tcW w:w="561" w:type="pct"/>
            <w:tcBorders>
              <w:top w:val="single" w:sz="4" w:space="0" w:color="auto"/>
              <w:left w:val="nil"/>
              <w:bottom w:val="single" w:sz="12" w:space="0" w:color="auto"/>
              <w:right w:val="nil"/>
            </w:tcBorders>
            <w:shd w:val="clear" w:color="auto" w:fill="auto"/>
            <w:vAlign w:val="center"/>
          </w:tcPr>
          <w:p w:rsidR="00AD2AC2" w:rsidRPr="00CD3A2D" w:rsidRDefault="00AD2AC2" w:rsidP="00CD3A2D">
            <w:pPr>
              <w:tabs>
                <w:tab w:val="right" w:pos="1202"/>
              </w:tabs>
              <w:jc w:val="right"/>
              <w:outlineLvl w:val="0"/>
              <w:rPr>
                <w:rFonts w:asciiTheme="minorHAnsi" w:hAnsiTheme="minorHAnsi"/>
                <w:b/>
                <w:bCs/>
                <w:sz w:val="18"/>
                <w:szCs w:val="18"/>
                <w:lang w:val="hr-HR"/>
              </w:rPr>
            </w:pPr>
            <w:r w:rsidRPr="00CD3A2D">
              <w:rPr>
                <w:rFonts w:asciiTheme="minorHAnsi" w:hAnsiTheme="minorHAnsi" w:cs="Arial"/>
                <w:b/>
                <w:sz w:val="18"/>
                <w:szCs w:val="18"/>
                <w:lang w:val="hr-HR"/>
              </w:rPr>
              <w:t>19.461.185</w:t>
            </w:r>
          </w:p>
        </w:tc>
      </w:tr>
      <w:tr w:rsidR="005711A8" w:rsidRPr="001567C8" w:rsidTr="007D6988">
        <w:trPr>
          <w:trHeight w:hRule="exact" w:val="113"/>
        </w:trPr>
        <w:tc>
          <w:tcPr>
            <w:tcW w:w="1624" w:type="pct"/>
            <w:vAlign w:val="bottom"/>
          </w:tcPr>
          <w:p w:rsidR="005711A8" w:rsidRPr="00CD3A2D" w:rsidRDefault="005711A8" w:rsidP="003C6BA3">
            <w:pPr>
              <w:tabs>
                <w:tab w:val="right" w:pos="1202"/>
              </w:tabs>
              <w:spacing w:line="301" w:lineRule="exact"/>
              <w:outlineLvl w:val="0"/>
              <w:rPr>
                <w:rFonts w:asciiTheme="minorHAnsi" w:hAnsiTheme="minorHAnsi" w:cs="Arial"/>
                <w:b/>
                <w:bCs/>
                <w:sz w:val="18"/>
                <w:szCs w:val="18"/>
                <w:lang w:val="hr-HR"/>
              </w:rPr>
            </w:pPr>
          </w:p>
        </w:tc>
        <w:tc>
          <w:tcPr>
            <w:tcW w:w="564" w:type="pct"/>
            <w:tcBorders>
              <w:top w:val="single" w:sz="4" w:space="0" w:color="auto"/>
              <w:left w:val="nil"/>
              <w:right w:val="nil"/>
            </w:tcBorders>
            <w:shd w:val="clear" w:color="auto" w:fill="auto"/>
            <w:vAlign w:val="center"/>
          </w:tcPr>
          <w:p w:rsidR="005711A8" w:rsidRPr="00CD3A2D" w:rsidRDefault="005711A8" w:rsidP="003C6BA3">
            <w:pPr>
              <w:tabs>
                <w:tab w:val="right" w:pos="1202"/>
              </w:tabs>
              <w:spacing w:line="301" w:lineRule="exact"/>
              <w:outlineLvl w:val="0"/>
              <w:rPr>
                <w:rFonts w:asciiTheme="minorHAnsi" w:hAnsiTheme="minorHAnsi" w:cs="Arial"/>
                <w:b/>
                <w:bCs/>
                <w:sz w:val="18"/>
                <w:szCs w:val="18"/>
                <w:lang w:val="hr-HR"/>
              </w:rPr>
            </w:pPr>
          </w:p>
        </w:tc>
        <w:tc>
          <w:tcPr>
            <w:tcW w:w="563" w:type="pct"/>
            <w:tcBorders>
              <w:top w:val="single" w:sz="4" w:space="0" w:color="auto"/>
              <w:left w:val="nil"/>
              <w:right w:val="nil"/>
            </w:tcBorders>
            <w:shd w:val="clear" w:color="auto" w:fill="auto"/>
            <w:vAlign w:val="center"/>
          </w:tcPr>
          <w:p w:rsidR="005711A8" w:rsidRPr="00CD3A2D" w:rsidRDefault="005711A8" w:rsidP="003C6BA3">
            <w:pPr>
              <w:tabs>
                <w:tab w:val="right" w:pos="1202"/>
              </w:tabs>
              <w:spacing w:line="301" w:lineRule="exact"/>
              <w:outlineLvl w:val="0"/>
              <w:rPr>
                <w:rFonts w:asciiTheme="minorHAnsi" w:hAnsiTheme="minorHAnsi" w:cs="Arial"/>
                <w:b/>
                <w:bCs/>
                <w:sz w:val="18"/>
                <w:szCs w:val="18"/>
                <w:lang w:val="hr-HR"/>
              </w:rPr>
            </w:pPr>
          </w:p>
        </w:tc>
        <w:tc>
          <w:tcPr>
            <w:tcW w:w="563" w:type="pct"/>
            <w:tcBorders>
              <w:top w:val="single" w:sz="4" w:space="0" w:color="auto"/>
              <w:left w:val="nil"/>
              <w:right w:val="nil"/>
            </w:tcBorders>
            <w:shd w:val="clear" w:color="auto" w:fill="auto"/>
            <w:vAlign w:val="center"/>
          </w:tcPr>
          <w:p w:rsidR="005711A8" w:rsidRPr="00CD3A2D" w:rsidRDefault="005711A8" w:rsidP="003C6BA3">
            <w:pPr>
              <w:tabs>
                <w:tab w:val="right" w:pos="1202"/>
              </w:tabs>
              <w:spacing w:line="301" w:lineRule="exact"/>
              <w:outlineLvl w:val="0"/>
              <w:rPr>
                <w:rFonts w:asciiTheme="minorHAnsi" w:hAnsiTheme="minorHAnsi" w:cs="Arial"/>
                <w:b/>
                <w:bCs/>
                <w:sz w:val="18"/>
                <w:szCs w:val="18"/>
                <w:lang w:val="hr-HR"/>
              </w:rPr>
            </w:pPr>
          </w:p>
        </w:tc>
        <w:tc>
          <w:tcPr>
            <w:tcW w:w="563" w:type="pct"/>
            <w:tcBorders>
              <w:top w:val="single" w:sz="4" w:space="0" w:color="auto"/>
              <w:left w:val="nil"/>
              <w:right w:val="nil"/>
            </w:tcBorders>
            <w:shd w:val="clear" w:color="auto" w:fill="auto"/>
            <w:vAlign w:val="center"/>
          </w:tcPr>
          <w:p w:rsidR="005711A8" w:rsidRPr="00CD3A2D" w:rsidRDefault="005711A8" w:rsidP="003C6BA3">
            <w:pPr>
              <w:tabs>
                <w:tab w:val="right" w:pos="1202"/>
              </w:tabs>
              <w:spacing w:line="301" w:lineRule="exact"/>
              <w:outlineLvl w:val="0"/>
              <w:rPr>
                <w:rFonts w:asciiTheme="minorHAnsi" w:hAnsiTheme="minorHAnsi" w:cs="Arial"/>
                <w:b/>
                <w:bCs/>
                <w:sz w:val="18"/>
                <w:szCs w:val="18"/>
                <w:lang w:val="hr-HR"/>
              </w:rPr>
            </w:pPr>
          </w:p>
        </w:tc>
        <w:tc>
          <w:tcPr>
            <w:tcW w:w="563" w:type="pct"/>
            <w:tcBorders>
              <w:top w:val="single" w:sz="4" w:space="0" w:color="auto"/>
              <w:left w:val="nil"/>
              <w:right w:val="nil"/>
            </w:tcBorders>
            <w:shd w:val="clear" w:color="auto" w:fill="auto"/>
            <w:vAlign w:val="center"/>
          </w:tcPr>
          <w:p w:rsidR="005711A8" w:rsidRPr="00CD3A2D" w:rsidRDefault="005711A8" w:rsidP="003C6BA3">
            <w:pPr>
              <w:tabs>
                <w:tab w:val="right" w:pos="1202"/>
              </w:tabs>
              <w:spacing w:line="301" w:lineRule="exact"/>
              <w:outlineLvl w:val="0"/>
              <w:rPr>
                <w:rFonts w:asciiTheme="minorHAnsi" w:hAnsiTheme="minorHAnsi" w:cs="Arial"/>
                <w:b/>
                <w:bCs/>
                <w:sz w:val="18"/>
                <w:szCs w:val="18"/>
                <w:lang w:val="hr-HR"/>
              </w:rPr>
            </w:pPr>
          </w:p>
        </w:tc>
        <w:tc>
          <w:tcPr>
            <w:tcW w:w="561" w:type="pct"/>
            <w:tcBorders>
              <w:top w:val="single" w:sz="4" w:space="0" w:color="auto"/>
              <w:left w:val="nil"/>
              <w:right w:val="nil"/>
            </w:tcBorders>
            <w:shd w:val="clear" w:color="auto" w:fill="auto"/>
            <w:vAlign w:val="center"/>
          </w:tcPr>
          <w:p w:rsidR="005711A8" w:rsidRPr="00CD3A2D" w:rsidRDefault="005711A8" w:rsidP="003C6BA3">
            <w:pPr>
              <w:tabs>
                <w:tab w:val="right" w:pos="1202"/>
              </w:tabs>
              <w:spacing w:line="301" w:lineRule="exact"/>
              <w:outlineLvl w:val="0"/>
              <w:rPr>
                <w:rFonts w:asciiTheme="minorHAnsi" w:hAnsiTheme="minorHAnsi" w:cs="Arial"/>
                <w:b/>
                <w:bCs/>
                <w:sz w:val="18"/>
                <w:szCs w:val="18"/>
                <w:lang w:val="hr-HR"/>
              </w:rPr>
            </w:pPr>
          </w:p>
        </w:tc>
      </w:tr>
      <w:tr w:rsidR="0065159E" w:rsidRPr="001567C8" w:rsidTr="007D6988">
        <w:trPr>
          <w:trHeight w:val="266"/>
        </w:trPr>
        <w:tc>
          <w:tcPr>
            <w:tcW w:w="1624" w:type="pct"/>
            <w:tcBorders>
              <w:top w:val="nil"/>
              <w:left w:val="nil"/>
              <w:bottom w:val="nil"/>
              <w:right w:val="nil"/>
            </w:tcBorders>
            <w:shd w:val="clear" w:color="auto" w:fill="auto"/>
            <w:vAlign w:val="bottom"/>
          </w:tcPr>
          <w:p w:rsidR="0065159E" w:rsidRPr="00CD3A2D" w:rsidRDefault="0065159E">
            <w:pPr>
              <w:tabs>
                <w:tab w:val="right" w:pos="1202"/>
              </w:tabs>
              <w:spacing w:line="340" w:lineRule="exact"/>
              <w:outlineLvl w:val="0"/>
              <w:rPr>
                <w:rFonts w:asciiTheme="minorHAnsi" w:hAnsiTheme="minorHAnsi" w:cs="Arial"/>
                <w:b/>
                <w:bCs/>
                <w:sz w:val="18"/>
                <w:szCs w:val="18"/>
                <w:lang w:val="hr-HR"/>
              </w:rPr>
            </w:pPr>
            <w:r w:rsidRPr="00CD3A2D">
              <w:rPr>
                <w:rFonts w:ascii="Calibri" w:hAnsi="Calibri" w:cs="Calibri"/>
                <w:b/>
                <w:bCs/>
                <w:color w:val="000000"/>
                <w:sz w:val="18"/>
                <w:szCs w:val="18"/>
                <w:lang w:val="hr-HR"/>
              </w:rPr>
              <w:t>Garancije i preuzete obveze</w:t>
            </w:r>
          </w:p>
        </w:tc>
        <w:tc>
          <w:tcPr>
            <w:tcW w:w="564"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Theme="minorHAnsi" w:hAnsiTheme="minorHAnsi" w:cs="Arial"/>
                <w:b/>
                <w:sz w:val="18"/>
                <w:szCs w:val="18"/>
                <w:lang w:val="hr-HR"/>
              </w:rPr>
            </w:pPr>
          </w:p>
        </w:tc>
        <w:tc>
          <w:tcPr>
            <w:tcW w:w="563"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Theme="minorHAnsi" w:hAnsiTheme="minorHAnsi" w:cs="Arial"/>
                <w:b/>
                <w:sz w:val="18"/>
                <w:szCs w:val="18"/>
                <w:lang w:val="hr-HR"/>
              </w:rPr>
            </w:pPr>
          </w:p>
        </w:tc>
        <w:tc>
          <w:tcPr>
            <w:tcW w:w="563"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Theme="minorHAnsi" w:hAnsiTheme="minorHAnsi" w:cs="Arial"/>
                <w:b/>
                <w:sz w:val="18"/>
                <w:szCs w:val="18"/>
                <w:lang w:val="hr-HR"/>
              </w:rPr>
            </w:pPr>
          </w:p>
        </w:tc>
        <w:tc>
          <w:tcPr>
            <w:tcW w:w="563"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Theme="minorHAnsi" w:hAnsiTheme="minorHAnsi" w:cs="Arial"/>
                <w:b/>
                <w:sz w:val="18"/>
                <w:szCs w:val="18"/>
                <w:lang w:val="hr-HR"/>
              </w:rPr>
            </w:pPr>
          </w:p>
        </w:tc>
        <w:tc>
          <w:tcPr>
            <w:tcW w:w="563"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Theme="minorHAnsi" w:hAnsiTheme="minorHAnsi" w:cs="Arial"/>
                <w:b/>
                <w:sz w:val="18"/>
                <w:szCs w:val="18"/>
                <w:lang w:val="hr-HR"/>
              </w:rPr>
            </w:pPr>
          </w:p>
        </w:tc>
        <w:tc>
          <w:tcPr>
            <w:tcW w:w="561" w:type="pct"/>
            <w:tcBorders>
              <w:top w:val="nil"/>
              <w:left w:val="nil"/>
              <w:bottom w:val="nil"/>
              <w:right w:val="nil"/>
            </w:tcBorders>
            <w:shd w:val="clear" w:color="auto" w:fill="auto"/>
            <w:vAlign w:val="bottom"/>
          </w:tcPr>
          <w:p w:rsidR="0065159E" w:rsidRPr="00CD3A2D" w:rsidRDefault="0065159E" w:rsidP="0065159E">
            <w:pPr>
              <w:tabs>
                <w:tab w:val="right" w:pos="1202"/>
              </w:tabs>
              <w:spacing w:line="340" w:lineRule="exact"/>
              <w:jc w:val="right"/>
              <w:outlineLvl w:val="0"/>
              <w:rPr>
                <w:rFonts w:asciiTheme="minorHAnsi" w:hAnsiTheme="minorHAnsi" w:cs="Arial"/>
                <w:b/>
                <w:sz w:val="18"/>
                <w:szCs w:val="18"/>
                <w:lang w:val="hr-HR"/>
              </w:rPr>
            </w:pPr>
          </w:p>
        </w:tc>
      </w:tr>
      <w:tr w:rsidR="007D6988" w:rsidRPr="001567C8" w:rsidTr="007D6988">
        <w:trPr>
          <w:trHeight w:hRule="exact" w:val="227"/>
        </w:trPr>
        <w:tc>
          <w:tcPr>
            <w:tcW w:w="1624" w:type="pct"/>
            <w:tcBorders>
              <w:top w:val="nil"/>
              <w:left w:val="nil"/>
              <w:bottom w:val="nil"/>
              <w:right w:val="nil"/>
            </w:tcBorders>
            <w:shd w:val="clear" w:color="auto" w:fill="auto"/>
            <w:vAlign w:val="bottom"/>
          </w:tcPr>
          <w:p w:rsidR="007D6988" w:rsidRPr="00CD3A2D" w:rsidRDefault="007D6988" w:rsidP="007D6988">
            <w:pPr>
              <w:tabs>
                <w:tab w:val="right" w:pos="1202"/>
              </w:tabs>
              <w:spacing w:line="240" w:lineRule="exac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Izdane garancije u kunama</w:t>
            </w:r>
          </w:p>
        </w:tc>
        <w:tc>
          <w:tcPr>
            <w:tcW w:w="564"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33</w:t>
            </w:r>
            <w:r w:rsidR="00173C60">
              <w:rPr>
                <w:rFonts w:ascii="Calibri" w:hAnsi="Calibri"/>
                <w:bCs/>
                <w:color w:val="000000"/>
                <w:sz w:val="18"/>
                <w:szCs w:val="18"/>
                <w:lang w:val="hr-HR"/>
              </w:rPr>
              <w:t>.</w:t>
            </w:r>
            <w:r w:rsidRPr="00CD3A2D">
              <w:rPr>
                <w:rFonts w:ascii="Calibri" w:hAnsi="Calibri"/>
                <w:bCs/>
                <w:color w:val="000000"/>
                <w:sz w:val="18"/>
                <w:szCs w:val="18"/>
                <w:lang w:val="hr-HR"/>
              </w:rPr>
              <w:t>993</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1"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33</w:t>
            </w:r>
            <w:r w:rsidR="00173C60">
              <w:rPr>
                <w:rFonts w:ascii="Calibri" w:hAnsi="Calibri"/>
                <w:bCs/>
                <w:color w:val="000000"/>
                <w:sz w:val="18"/>
                <w:szCs w:val="18"/>
                <w:lang w:val="hr-HR"/>
              </w:rPr>
              <w:t>.</w:t>
            </w:r>
            <w:r w:rsidRPr="00CD3A2D">
              <w:rPr>
                <w:rFonts w:ascii="Calibri" w:hAnsi="Calibri"/>
                <w:bCs/>
                <w:color w:val="000000"/>
                <w:sz w:val="18"/>
                <w:szCs w:val="18"/>
                <w:lang w:val="hr-HR"/>
              </w:rPr>
              <w:t>993</w:t>
            </w:r>
          </w:p>
        </w:tc>
      </w:tr>
      <w:tr w:rsidR="007D6988" w:rsidRPr="001567C8" w:rsidTr="007D6988">
        <w:trPr>
          <w:trHeight w:hRule="exact" w:val="227"/>
        </w:trPr>
        <w:tc>
          <w:tcPr>
            <w:tcW w:w="1624" w:type="pct"/>
            <w:tcBorders>
              <w:top w:val="nil"/>
              <w:left w:val="nil"/>
              <w:bottom w:val="nil"/>
              <w:right w:val="nil"/>
            </w:tcBorders>
            <w:shd w:val="clear" w:color="auto" w:fill="auto"/>
            <w:vAlign w:val="bottom"/>
          </w:tcPr>
          <w:p w:rsidR="007D6988" w:rsidRPr="00CD3A2D" w:rsidRDefault="007D6988" w:rsidP="007D6988">
            <w:pPr>
              <w:tabs>
                <w:tab w:val="right" w:pos="1202"/>
              </w:tabs>
              <w:spacing w:line="240" w:lineRule="exac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Izdane garancije u devizama</w:t>
            </w:r>
          </w:p>
        </w:tc>
        <w:tc>
          <w:tcPr>
            <w:tcW w:w="564"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446</w:t>
            </w:r>
            <w:r w:rsidR="00173C60">
              <w:rPr>
                <w:rFonts w:ascii="Calibri" w:hAnsi="Calibri"/>
                <w:bCs/>
                <w:color w:val="000000"/>
                <w:sz w:val="18"/>
                <w:szCs w:val="18"/>
                <w:lang w:val="hr-HR"/>
              </w:rPr>
              <w:t>.</w:t>
            </w:r>
            <w:r w:rsidRPr="00CD3A2D">
              <w:rPr>
                <w:rFonts w:ascii="Calibri" w:hAnsi="Calibri"/>
                <w:bCs/>
                <w:color w:val="000000"/>
                <w:sz w:val="18"/>
                <w:szCs w:val="18"/>
                <w:lang w:val="hr-HR"/>
              </w:rPr>
              <w:t>324</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1"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446</w:t>
            </w:r>
            <w:r w:rsidR="00173C60">
              <w:rPr>
                <w:rFonts w:ascii="Calibri" w:hAnsi="Calibri"/>
                <w:bCs/>
                <w:color w:val="000000"/>
                <w:sz w:val="18"/>
                <w:szCs w:val="18"/>
                <w:lang w:val="hr-HR"/>
              </w:rPr>
              <w:t>.</w:t>
            </w:r>
            <w:r w:rsidRPr="00CD3A2D">
              <w:rPr>
                <w:rFonts w:ascii="Calibri" w:hAnsi="Calibri"/>
                <w:bCs/>
                <w:color w:val="000000"/>
                <w:sz w:val="18"/>
                <w:szCs w:val="18"/>
                <w:lang w:val="hr-HR"/>
              </w:rPr>
              <w:t>324</w:t>
            </w:r>
          </w:p>
        </w:tc>
      </w:tr>
      <w:tr w:rsidR="007D6988" w:rsidRPr="001567C8" w:rsidTr="007D6988">
        <w:trPr>
          <w:trHeight w:hRule="exact" w:val="227"/>
        </w:trPr>
        <w:tc>
          <w:tcPr>
            <w:tcW w:w="1624" w:type="pct"/>
            <w:tcBorders>
              <w:top w:val="nil"/>
              <w:left w:val="nil"/>
              <w:bottom w:val="nil"/>
              <w:right w:val="nil"/>
            </w:tcBorders>
            <w:shd w:val="clear" w:color="auto" w:fill="auto"/>
            <w:vAlign w:val="bottom"/>
          </w:tcPr>
          <w:p w:rsidR="007D6988" w:rsidRPr="00CD3A2D" w:rsidRDefault="007D6988" w:rsidP="007D6988">
            <w:pPr>
              <w:tabs>
                <w:tab w:val="right" w:pos="1202"/>
              </w:tabs>
              <w:spacing w:line="240" w:lineRule="exact"/>
              <w:outlineLvl w:val="0"/>
              <w:rPr>
                <w:rFonts w:ascii="Calibri" w:eastAsia="Calibri" w:hAnsi="Calibri" w:cs="Arial"/>
                <w:spacing w:val="-2"/>
                <w:sz w:val="18"/>
                <w:szCs w:val="18"/>
                <w:lang w:val="hr-HR"/>
              </w:rPr>
            </w:pPr>
            <w:r w:rsidRPr="00CD3A2D">
              <w:rPr>
                <w:rFonts w:ascii="Calibri" w:eastAsia="Calibri" w:hAnsi="Calibri" w:cs="Arial"/>
                <w:spacing w:val="-2"/>
                <w:sz w:val="18"/>
                <w:szCs w:val="18"/>
                <w:lang w:val="hr-HR"/>
              </w:rPr>
              <w:t>Preuzete obveze po kreditima</w:t>
            </w:r>
          </w:p>
        </w:tc>
        <w:tc>
          <w:tcPr>
            <w:tcW w:w="564"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986</w:t>
            </w:r>
            <w:r w:rsidR="00173C60">
              <w:rPr>
                <w:rFonts w:ascii="Calibri" w:hAnsi="Calibri"/>
                <w:bCs/>
                <w:color w:val="000000"/>
                <w:sz w:val="18"/>
                <w:szCs w:val="18"/>
                <w:lang w:val="hr-HR"/>
              </w:rPr>
              <w:t>.</w:t>
            </w:r>
            <w:r w:rsidRPr="00CD3A2D">
              <w:rPr>
                <w:rFonts w:ascii="Calibri" w:hAnsi="Calibri"/>
                <w:bCs/>
                <w:color w:val="000000"/>
                <w:sz w:val="18"/>
                <w:szCs w:val="18"/>
                <w:lang w:val="hr-HR"/>
              </w:rPr>
              <w:t>798</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1"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173C60">
              <w:rPr>
                <w:rFonts w:ascii="Calibri" w:hAnsi="Calibri"/>
                <w:bCs/>
                <w:color w:val="000000"/>
                <w:sz w:val="18"/>
                <w:szCs w:val="18"/>
                <w:lang w:val="hr-HR"/>
              </w:rPr>
              <w:t>.</w:t>
            </w:r>
            <w:r w:rsidRPr="00CD3A2D">
              <w:rPr>
                <w:rFonts w:ascii="Calibri" w:hAnsi="Calibri"/>
                <w:bCs/>
                <w:color w:val="000000"/>
                <w:sz w:val="18"/>
                <w:szCs w:val="18"/>
                <w:lang w:val="hr-HR"/>
              </w:rPr>
              <w:t>986</w:t>
            </w:r>
            <w:r w:rsidR="00173C60">
              <w:rPr>
                <w:rFonts w:ascii="Calibri" w:hAnsi="Calibri"/>
                <w:bCs/>
                <w:color w:val="000000"/>
                <w:sz w:val="18"/>
                <w:szCs w:val="18"/>
                <w:lang w:val="hr-HR"/>
              </w:rPr>
              <w:t>.</w:t>
            </w:r>
            <w:r w:rsidRPr="00CD3A2D">
              <w:rPr>
                <w:rFonts w:ascii="Calibri" w:hAnsi="Calibri"/>
                <w:bCs/>
                <w:color w:val="000000"/>
                <w:sz w:val="18"/>
                <w:szCs w:val="18"/>
                <w:lang w:val="hr-HR"/>
              </w:rPr>
              <w:t>798</w:t>
            </w:r>
          </w:p>
        </w:tc>
      </w:tr>
      <w:tr w:rsidR="007D6988" w:rsidRPr="001567C8" w:rsidTr="007D6988">
        <w:trPr>
          <w:trHeight w:hRule="exact" w:val="227"/>
        </w:trPr>
        <w:tc>
          <w:tcPr>
            <w:tcW w:w="1624" w:type="pct"/>
            <w:tcBorders>
              <w:top w:val="nil"/>
              <w:left w:val="nil"/>
              <w:bottom w:val="nil"/>
              <w:right w:val="nil"/>
            </w:tcBorders>
            <w:shd w:val="clear" w:color="auto" w:fill="auto"/>
            <w:vAlign w:val="bottom"/>
          </w:tcPr>
          <w:p w:rsidR="007D6988" w:rsidRPr="001567C8" w:rsidRDefault="007D6988" w:rsidP="007D6988">
            <w:pPr>
              <w:tabs>
                <w:tab w:val="right" w:pos="1202"/>
              </w:tabs>
              <w:spacing w:line="240" w:lineRule="exac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Upisani a neuplaćeni kapital EIF-a</w:t>
            </w:r>
          </w:p>
        </w:tc>
        <w:tc>
          <w:tcPr>
            <w:tcW w:w="564"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48</w:t>
            </w:r>
            <w:r w:rsidR="00173C60">
              <w:rPr>
                <w:rFonts w:ascii="Calibri" w:hAnsi="Calibri" w:cs="Calibri"/>
                <w:color w:val="000000"/>
                <w:sz w:val="18"/>
                <w:szCs w:val="18"/>
                <w:lang w:val="hr-HR"/>
              </w:rPr>
              <w:t>.</w:t>
            </w:r>
            <w:r w:rsidRPr="00CD3A2D">
              <w:rPr>
                <w:rFonts w:ascii="Calibri" w:hAnsi="Calibri" w:cs="Calibri"/>
                <w:color w:val="000000"/>
                <w:sz w:val="18"/>
                <w:szCs w:val="18"/>
                <w:lang w:val="hr-HR"/>
              </w:rPr>
              <w:t>088</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1"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48</w:t>
            </w:r>
            <w:r w:rsidR="00173C60">
              <w:rPr>
                <w:rFonts w:ascii="Calibri" w:hAnsi="Calibri" w:cs="Calibri"/>
                <w:color w:val="000000"/>
                <w:sz w:val="18"/>
                <w:szCs w:val="18"/>
                <w:lang w:val="hr-HR"/>
              </w:rPr>
              <w:t>.</w:t>
            </w:r>
            <w:r w:rsidRPr="00CD3A2D">
              <w:rPr>
                <w:rFonts w:ascii="Calibri" w:hAnsi="Calibri" w:cs="Calibri"/>
                <w:color w:val="000000"/>
                <w:sz w:val="18"/>
                <w:szCs w:val="18"/>
                <w:lang w:val="hr-HR"/>
              </w:rPr>
              <w:t>088</w:t>
            </w:r>
          </w:p>
        </w:tc>
      </w:tr>
      <w:tr w:rsidR="007D6988" w:rsidRPr="001567C8" w:rsidTr="007D6988">
        <w:trPr>
          <w:trHeight w:hRule="exact" w:val="227"/>
        </w:trPr>
        <w:tc>
          <w:tcPr>
            <w:tcW w:w="1624" w:type="pct"/>
            <w:tcBorders>
              <w:top w:val="nil"/>
              <w:left w:val="nil"/>
              <w:bottom w:val="nil"/>
              <w:right w:val="nil"/>
            </w:tcBorders>
            <w:shd w:val="clear" w:color="auto" w:fill="auto"/>
            <w:vAlign w:val="bottom"/>
          </w:tcPr>
          <w:p w:rsidR="007D6988" w:rsidRPr="001567C8" w:rsidRDefault="007D6988" w:rsidP="007D6988">
            <w:pPr>
              <w:tabs>
                <w:tab w:val="right" w:pos="1202"/>
              </w:tabs>
              <w:spacing w:line="240" w:lineRule="exac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Ostale nespomenute neopozive potencijalne obveze</w:t>
            </w:r>
          </w:p>
        </w:tc>
        <w:tc>
          <w:tcPr>
            <w:tcW w:w="564"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335</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nil"/>
              <w:left w:val="nil"/>
              <w:bottom w:val="nil"/>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1" w:type="pct"/>
            <w:tcBorders>
              <w:top w:val="nil"/>
              <w:left w:val="nil"/>
              <w:bottom w:val="nil"/>
              <w:right w:val="nil"/>
            </w:tcBorders>
            <w:shd w:val="clear" w:color="auto" w:fill="auto"/>
            <w:vAlign w:val="bottom"/>
          </w:tcPr>
          <w:p w:rsidR="007D6988" w:rsidRPr="00CD3A2D" w:rsidRDefault="007D6988" w:rsidP="007D6988">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335</w:t>
            </w:r>
          </w:p>
        </w:tc>
      </w:tr>
      <w:tr w:rsidR="007D6988" w:rsidRPr="001567C8" w:rsidTr="007D6988">
        <w:trPr>
          <w:trHeight w:hRule="exact" w:val="284"/>
        </w:trPr>
        <w:tc>
          <w:tcPr>
            <w:tcW w:w="1624" w:type="pct"/>
            <w:vAlign w:val="bottom"/>
          </w:tcPr>
          <w:p w:rsidR="007D6988" w:rsidRPr="00CD3A2D" w:rsidRDefault="007D6988" w:rsidP="007D6988">
            <w:pPr>
              <w:tabs>
                <w:tab w:val="right" w:pos="1202"/>
              </w:tabs>
              <w:outlineLvl w:val="0"/>
              <w:rPr>
                <w:rFonts w:asciiTheme="minorHAnsi" w:hAnsiTheme="minorHAnsi" w:cs="Arial"/>
                <w:b/>
                <w:bCs/>
                <w:sz w:val="18"/>
                <w:szCs w:val="18"/>
                <w:lang w:val="hr-HR"/>
              </w:rPr>
            </w:pPr>
            <w:r w:rsidRPr="00CD3A2D">
              <w:rPr>
                <w:rFonts w:ascii="Calibri" w:hAnsi="Calibri" w:cs="Calibri"/>
                <w:b/>
                <w:bCs/>
                <w:color w:val="000000"/>
                <w:sz w:val="18"/>
                <w:szCs w:val="18"/>
                <w:lang w:val="hr-HR"/>
              </w:rPr>
              <w:t>Ukupne garancije i preuzete obveze</w:t>
            </w:r>
          </w:p>
        </w:tc>
        <w:tc>
          <w:tcPr>
            <w:tcW w:w="564" w:type="pct"/>
            <w:tcBorders>
              <w:top w:val="single" w:sz="4" w:space="0" w:color="auto"/>
              <w:left w:val="nil"/>
              <w:bottom w:val="single" w:sz="12" w:space="0" w:color="auto"/>
              <w:right w:val="nil"/>
            </w:tcBorders>
            <w:shd w:val="clear" w:color="auto" w:fill="auto"/>
            <w:vAlign w:val="bottom"/>
          </w:tcPr>
          <w:p w:rsidR="007D6988" w:rsidRPr="00CD3A2D" w:rsidRDefault="007D6988" w:rsidP="007D6988">
            <w:pPr>
              <w:tabs>
                <w:tab w:val="right" w:pos="1202"/>
              </w:tabs>
              <w:jc w:val="right"/>
              <w:outlineLvl w:val="0"/>
              <w:rPr>
                <w:rFonts w:asciiTheme="minorHAnsi" w:hAnsiTheme="minorHAnsi" w:cs="Arial"/>
                <w:b/>
                <w:bCs/>
                <w:color w:val="000000"/>
                <w:sz w:val="18"/>
                <w:szCs w:val="18"/>
                <w:lang w:val="hr-HR"/>
              </w:rPr>
            </w:pPr>
            <w:r w:rsidRPr="00CD3A2D">
              <w:rPr>
                <w:rFonts w:ascii="Calibri" w:hAnsi="Calibri"/>
                <w:b/>
                <w:bCs/>
                <w:color w:val="000000"/>
                <w:sz w:val="18"/>
                <w:szCs w:val="18"/>
                <w:lang w:val="hr-HR"/>
              </w:rPr>
              <w:t>5</w:t>
            </w:r>
            <w:r w:rsidR="00173C60">
              <w:rPr>
                <w:rFonts w:ascii="Calibri" w:hAnsi="Calibri"/>
                <w:b/>
                <w:bCs/>
                <w:color w:val="000000"/>
                <w:sz w:val="18"/>
                <w:szCs w:val="18"/>
                <w:lang w:val="hr-HR"/>
              </w:rPr>
              <w:t>.</w:t>
            </w:r>
            <w:r w:rsidRPr="00CD3A2D">
              <w:rPr>
                <w:rFonts w:ascii="Calibri" w:hAnsi="Calibri"/>
                <w:b/>
                <w:bCs/>
                <w:color w:val="000000"/>
                <w:sz w:val="18"/>
                <w:szCs w:val="18"/>
                <w:lang w:val="hr-HR"/>
              </w:rPr>
              <w:t>515</w:t>
            </w:r>
            <w:r w:rsidR="00173C60">
              <w:rPr>
                <w:rFonts w:ascii="Calibri" w:hAnsi="Calibri"/>
                <w:b/>
                <w:bCs/>
                <w:color w:val="000000"/>
                <w:sz w:val="18"/>
                <w:szCs w:val="18"/>
                <w:lang w:val="hr-HR"/>
              </w:rPr>
              <w:t>.</w:t>
            </w:r>
            <w:r w:rsidRPr="00CD3A2D">
              <w:rPr>
                <w:rFonts w:ascii="Calibri" w:hAnsi="Calibri"/>
                <w:b/>
                <w:bCs/>
                <w:color w:val="000000"/>
                <w:sz w:val="18"/>
                <w:szCs w:val="18"/>
                <w:lang w:val="hr-HR"/>
              </w:rPr>
              <w:t>538</w:t>
            </w:r>
          </w:p>
        </w:tc>
        <w:tc>
          <w:tcPr>
            <w:tcW w:w="563" w:type="pct"/>
            <w:tcBorders>
              <w:top w:val="single" w:sz="4" w:space="0" w:color="auto"/>
              <w:left w:val="nil"/>
              <w:bottom w:val="single" w:sz="12" w:space="0" w:color="auto"/>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single" w:sz="4" w:space="0" w:color="auto"/>
              <w:left w:val="nil"/>
              <w:bottom w:val="single" w:sz="12" w:space="0" w:color="auto"/>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single" w:sz="4" w:space="0" w:color="auto"/>
              <w:left w:val="nil"/>
              <w:bottom w:val="single" w:sz="12" w:space="0" w:color="auto"/>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3" w:type="pct"/>
            <w:tcBorders>
              <w:top w:val="single" w:sz="4" w:space="0" w:color="auto"/>
              <w:left w:val="nil"/>
              <w:bottom w:val="single" w:sz="12" w:space="0" w:color="auto"/>
              <w:right w:val="nil"/>
            </w:tcBorders>
            <w:shd w:val="clear" w:color="auto" w:fill="auto"/>
          </w:tcPr>
          <w:p w:rsidR="007D6988" w:rsidRDefault="007D6988" w:rsidP="007D6988">
            <w:pPr>
              <w:jc w:val="right"/>
            </w:pPr>
            <w:r w:rsidRPr="00251FE7">
              <w:rPr>
                <w:rFonts w:ascii="Calibri" w:hAnsi="Calibri" w:cs="Calibri"/>
                <w:color w:val="000000"/>
                <w:sz w:val="18"/>
                <w:szCs w:val="18"/>
                <w:lang w:val="hr-HR"/>
              </w:rPr>
              <w:t>-</w:t>
            </w:r>
          </w:p>
        </w:tc>
        <w:tc>
          <w:tcPr>
            <w:tcW w:w="561" w:type="pct"/>
            <w:tcBorders>
              <w:top w:val="single" w:sz="4" w:space="0" w:color="auto"/>
              <w:left w:val="nil"/>
              <w:bottom w:val="single" w:sz="12" w:space="0" w:color="auto"/>
              <w:right w:val="nil"/>
            </w:tcBorders>
            <w:shd w:val="clear" w:color="auto" w:fill="auto"/>
            <w:vAlign w:val="bottom"/>
          </w:tcPr>
          <w:p w:rsidR="007D6988" w:rsidRPr="00CD3A2D" w:rsidRDefault="007D6988" w:rsidP="007D6988">
            <w:pPr>
              <w:tabs>
                <w:tab w:val="right" w:pos="1202"/>
              </w:tabs>
              <w:jc w:val="right"/>
              <w:outlineLvl w:val="0"/>
              <w:rPr>
                <w:rFonts w:asciiTheme="minorHAnsi" w:hAnsiTheme="minorHAnsi" w:cs="Arial"/>
                <w:b/>
                <w:bCs/>
                <w:color w:val="000000"/>
                <w:sz w:val="18"/>
                <w:szCs w:val="18"/>
                <w:lang w:val="hr-HR"/>
              </w:rPr>
            </w:pPr>
            <w:r w:rsidRPr="00CD3A2D">
              <w:rPr>
                <w:rFonts w:ascii="Calibri" w:hAnsi="Calibri"/>
                <w:b/>
                <w:bCs/>
                <w:color w:val="000000"/>
                <w:sz w:val="18"/>
                <w:szCs w:val="18"/>
                <w:lang w:val="hr-HR"/>
              </w:rPr>
              <w:t>5</w:t>
            </w:r>
            <w:r w:rsidR="00173C60">
              <w:rPr>
                <w:rFonts w:ascii="Calibri" w:hAnsi="Calibri"/>
                <w:b/>
                <w:bCs/>
                <w:color w:val="000000"/>
                <w:sz w:val="18"/>
                <w:szCs w:val="18"/>
                <w:lang w:val="hr-HR"/>
              </w:rPr>
              <w:t>.</w:t>
            </w:r>
            <w:r w:rsidRPr="00CD3A2D">
              <w:rPr>
                <w:rFonts w:ascii="Calibri" w:hAnsi="Calibri"/>
                <w:b/>
                <w:bCs/>
                <w:color w:val="000000"/>
                <w:sz w:val="18"/>
                <w:szCs w:val="18"/>
                <w:lang w:val="hr-HR"/>
              </w:rPr>
              <w:t>515</w:t>
            </w:r>
            <w:r w:rsidR="00173C60">
              <w:rPr>
                <w:rFonts w:ascii="Calibri" w:hAnsi="Calibri"/>
                <w:b/>
                <w:bCs/>
                <w:color w:val="000000"/>
                <w:sz w:val="18"/>
                <w:szCs w:val="18"/>
                <w:lang w:val="hr-HR"/>
              </w:rPr>
              <w:t>.</w:t>
            </w:r>
            <w:r w:rsidRPr="00CD3A2D">
              <w:rPr>
                <w:rFonts w:ascii="Calibri" w:hAnsi="Calibri"/>
                <w:b/>
                <w:bCs/>
                <w:color w:val="000000"/>
                <w:sz w:val="18"/>
                <w:szCs w:val="18"/>
                <w:lang w:val="hr-HR"/>
              </w:rPr>
              <w:t>538</w:t>
            </w:r>
          </w:p>
        </w:tc>
      </w:tr>
    </w:tbl>
    <w:p w:rsidR="004442AB" w:rsidRPr="001567C8" w:rsidRDefault="004442AB" w:rsidP="00940FEB">
      <w:pPr>
        <w:pStyle w:val="Header"/>
        <w:tabs>
          <w:tab w:val="right" w:pos="1202"/>
        </w:tabs>
        <w:spacing w:line="301" w:lineRule="exact"/>
        <w:outlineLvl w:val="0"/>
        <w:rPr>
          <w:rFonts w:asciiTheme="minorHAnsi" w:hAnsiTheme="minorHAnsi" w:cs="Arial"/>
          <w:i w:val="0"/>
          <w:sz w:val="22"/>
          <w:szCs w:val="22"/>
          <w:lang w:val="hr-HR"/>
        </w:rPr>
      </w:pPr>
    </w:p>
    <w:p w:rsidR="004442AB" w:rsidRPr="001567C8" w:rsidRDefault="004442AB" w:rsidP="00940FEB">
      <w:pPr>
        <w:pStyle w:val="Header"/>
        <w:tabs>
          <w:tab w:val="right" w:pos="1202"/>
        </w:tabs>
        <w:spacing w:line="301" w:lineRule="exact"/>
        <w:outlineLvl w:val="0"/>
        <w:rPr>
          <w:rFonts w:asciiTheme="minorHAnsi" w:hAnsiTheme="minorHAnsi" w:cs="Arial"/>
          <w:i w:val="0"/>
          <w:sz w:val="22"/>
          <w:szCs w:val="22"/>
          <w:lang w:val="hr-HR"/>
        </w:rPr>
        <w:sectPr w:rsidR="004442AB" w:rsidRPr="001567C8" w:rsidSect="0077198A">
          <w:pgSz w:w="11907" w:h="16840" w:code="9"/>
          <w:pgMar w:top="1418" w:right="1134" w:bottom="1134" w:left="1418" w:header="851" w:footer="851" w:gutter="0"/>
          <w:cols w:space="720"/>
          <w:noEndnote/>
        </w:sectPr>
      </w:pPr>
    </w:p>
    <w:p w:rsidR="00B857DB" w:rsidRPr="001567C8" w:rsidRDefault="00B857DB" w:rsidP="00B857DB">
      <w:pPr>
        <w:pStyle w:val="T1"/>
        <w:spacing w:before="0" w:after="0" w:line="240" w:lineRule="auto"/>
        <w:rPr>
          <w:rFonts w:asciiTheme="minorHAnsi" w:hAnsiTheme="minorHAnsi" w:cs="Arial"/>
          <w:sz w:val="22"/>
          <w:szCs w:val="22"/>
          <w:lang w:val="hr-HR"/>
        </w:rPr>
      </w:pPr>
    </w:p>
    <w:p w:rsidR="00DF0731" w:rsidRPr="001567C8" w:rsidRDefault="00674AD9" w:rsidP="00B857D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F75285" w:rsidRPr="001567C8">
        <w:rPr>
          <w:rFonts w:asciiTheme="minorHAnsi" w:hAnsiTheme="minorHAnsi" w:cs="Arial"/>
          <w:sz w:val="22"/>
          <w:szCs w:val="22"/>
          <w:lang w:val="hr-HR"/>
        </w:rPr>
        <w:t>6</w:t>
      </w:r>
      <w:r w:rsidR="00DF0731" w:rsidRPr="001567C8">
        <w:rPr>
          <w:rFonts w:asciiTheme="minorHAnsi" w:hAnsiTheme="minorHAnsi" w:cs="Arial"/>
          <w:sz w:val="22"/>
          <w:szCs w:val="22"/>
          <w:lang w:val="hr-HR"/>
        </w:rPr>
        <w:t>.</w:t>
      </w:r>
      <w:r w:rsidR="00DF0731" w:rsidRPr="001567C8">
        <w:rPr>
          <w:rFonts w:asciiTheme="minorHAnsi" w:hAnsiTheme="minorHAnsi" w:cs="Arial"/>
          <w:sz w:val="22"/>
          <w:szCs w:val="22"/>
          <w:lang w:val="hr-HR"/>
        </w:rPr>
        <w:tab/>
        <w:t>Upravljanje rizicima (nastavak)</w:t>
      </w:r>
    </w:p>
    <w:p w:rsidR="00B857DB" w:rsidRPr="001567C8" w:rsidRDefault="00B857DB" w:rsidP="00B857DB">
      <w:pPr>
        <w:pStyle w:val="T1"/>
        <w:spacing w:before="0" w:after="0" w:line="240" w:lineRule="auto"/>
        <w:rPr>
          <w:rFonts w:asciiTheme="minorHAnsi" w:hAnsiTheme="minorHAnsi" w:cs="Arial"/>
          <w:sz w:val="22"/>
          <w:szCs w:val="22"/>
          <w:lang w:val="hr-HR"/>
        </w:rPr>
      </w:pPr>
    </w:p>
    <w:p w:rsidR="00DF0731" w:rsidRPr="001567C8" w:rsidRDefault="00674AD9" w:rsidP="00B857D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F75285" w:rsidRPr="001567C8">
        <w:rPr>
          <w:rFonts w:asciiTheme="minorHAnsi" w:hAnsiTheme="minorHAnsi" w:cs="Arial"/>
          <w:sz w:val="22"/>
          <w:szCs w:val="22"/>
          <w:lang w:val="hr-HR"/>
        </w:rPr>
        <w:t>6</w:t>
      </w:r>
      <w:r w:rsidR="00DF0731"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4</w:t>
      </w:r>
      <w:r w:rsidR="00DF0731" w:rsidRPr="001567C8">
        <w:rPr>
          <w:rFonts w:asciiTheme="minorHAnsi" w:hAnsiTheme="minorHAnsi" w:cs="Arial"/>
          <w:sz w:val="22"/>
          <w:szCs w:val="22"/>
          <w:lang w:val="hr-HR"/>
        </w:rPr>
        <w:t xml:space="preserve">. </w:t>
      </w:r>
      <w:r w:rsidR="00DF0731" w:rsidRPr="001567C8">
        <w:rPr>
          <w:rFonts w:asciiTheme="minorHAnsi" w:hAnsiTheme="minorHAnsi" w:cs="Arial"/>
          <w:sz w:val="22"/>
          <w:szCs w:val="22"/>
          <w:lang w:val="hr-HR"/>
        </w:rPr>
        <w:tab/>
        <w:t>Rizik likvidnosti (nastavak)</w:t>
      </w:r>
    </w:p>
    <w:p w:rsidR="00B857DB" w:rsidRPr="001567C8" w:rsidRDefault="00B857DB" w:rsidP="00B857DB">
      <w:pPr>
        <w:pStyle w:val="T1"/>
        <w:spacing w:before="0" w:after="0" w:line="240" w:lineRule="auto"/>
        <w:rPr>
          <w:rFonts w:asciiTheme="minorHAnsi" w:hAnsiTheme="minorHAnsi" w:cs="Arial"/>
          <w:b w:val="0"/>
          <w:sz w:val="22"/>
          <w:szCs w:val="22"/>
          <w:lang w:val="hr-HR"/>
        </w:rPr>
      </w:pPr>
    </w:p>
    <w:p w:rsidR="00DF0731" w:rsidRPr="001567C8" w:rsidRDefault="00DF0731" w:rsidP="00B857DB">
      <w:pPr>
        <w:pStyle w:val="T1"/>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Tabela u nastavku prikazuje preostalo ugovorno dospijeće financijskih obveza </w:t>
      </w:r>
      <w:r w:rsidR="00F71B89" w:rsidRPr="001567C8">
        <w:rPr>
          <w:rFonts w:asciiTheme="minorHAnsi" w:hAnsiTheme="minorHAnsi" w:cs="Arial"/>
          <w:b w:val="0"/>
          <w:sz w:val="22"/>
          <w:szCs w:val="22"/>
          <w:lang w:val="hr-HR"/>
        </w:rPr>
        <w:t xml:space="preserve">i garancija i preuzetih obveza </w:t>
      </w:r>
      <w:r w:rsidRPr="001567C8">
        <w:rPr>
          <w:rFonts w:asciiTheme="minorHAnsi" w:hAnsiTheme="minorHAnsi" w:cs="Arial"/>
          <w:b w:val="0"/>
          <w:sz w:val="22"/>
          <w:szCs w:val="22"/>
          <w:lang w:val="hr-HR"/>
        </w:rPr>
        <w:t>Banke u nediskontiranim iznosima:</w:t>
      </w:r>
    </w:p>
    <w:p w:rsidR="00DB591E" w:rsidRPr="00CD3A2D" w:rsidRDefault="00DB591E" w:rsidP="00DB591E">
      <w:pPr>
        <w:pStyle w:val="T1"/>
        <w:spacing w:before="0" w:after="0" w:line="240" w:lineRule="auto"/>
        <w:rPr>
          <w:rFonts w:asciiTheme="minorHAnsi" w:hAnsiTheme="minorHAnsi" w:cs="Arial"/>
          <w:b w:val="0"/>
          <w:sz w:val="18"/>
          <w:szCs w:val="18"/>
          <w:lang w:val="hr-HR"/>
        </w:rPr>
      </w:pPr>
    </w:p>
    <w:tbl>
      <w:tblPr>
        <w:tblW w:w="5352" w:type="pct"/>
        <w:tblInd w:w="-284" w:type="dxa"/>
        <w:tblLayout w:type="fixed"/>
        <w:tblCellMar>
          <w:left w:w="120" w:type="dxa"/>
          <w:right w:w="120" w:type="dxa"/>
        </w:tblCellMar>
        <w:tblLook w:val="0000" w:firstRow="0" w:lastRow="0" w:firstColumn="0" w:lastColumn="0" w:noHBand="0" w:noVBand="0"/>
      </w:tblPr>
      <w:tblGrid>
        <w:gridCol w:w="3118"/>
        <w:gridCol w:w="1078"/>
        <w:gridCol w:w="1164"/>
        <w:gridCol w:w="1164"/>
        <w:gridCol w:w="1164"/>
        <w:gridCol w:w="1164"/>
        <w:gridCol w:w="1162"/>
      </w:tblGrid>
      <w:tr w:rsidR="00C57196" w:rsidRPr="001567C8" w:rsidTr="003C6BA3">
        <w:trPr>
          <w:trHeight w:val="520"/>
        </w:trPr>
        <w:tc>
          <w:tcPr>
            <w:tcW w:w="1557" w:type="pct"/>
          </w:tcPr>
          <w:p w:rsidR="00F10EA3" w:rsidRPr="00CD3A2D" w:rsidRDefault="00F10EA3">
            <w:pPr>
              <w:tabs>
                <w:tab w:val="right" w:pos="1202"/>
              </w:tabs>
              <w:spacing w:line="240" w:lineRule="atLeast"/>
              <w:outlineLvl w:val="0"/>
              <w:rPr>
                <w:rFonts w:asciiTheme="minorHAnsi" w:hAnsiTheme="minorHAnsi" w:cs="Arial"/>
                <w:b/>
                <w:sz w:val="18"/>
                <w:szCs w:val="18"/>
                <w:lang w:val="hr-HR"/>
              </w:rPr>
            </w:pPr>
            <w:r w:rsidRPr="00CD3A2D">
              <w:rPr>
                <w:rFonts w:asciiTheme="minorHAnsi" w:hAnsiTheme="minorHAnsi" w:cs="Arial"/>
                <w:b/>
                <w:sz w:val="18"/>
                <w:szCs w:val="18"/>
                <w:lang w:val="hr-HR"/>
              </w:rPr>
              <w:t>Banka</w:t>
            </w:r>
          </w:p>
          <w:p w:rsidR="00F10EA3" w:rsidRPr="00CD3A2D" w:rsidRDefault="00AD2EF7">
            <w:pPr>
              <w:tabs>
                <w:tab w:val="right" w:pos="1202"/>
              </w:tabs>
              <w:spacing w:line="240" w:lineRule="atLeast"/>
              <w:outlineLvl w:val="0"/>
              <w:rPr>
                <w:rFonts w:asciiTheme="minorHAnsi" w:hAnsiTheme="minorHAnsi" w:cs="Arial"/>
                <w:b/>
                <w:sz w:val="18"/>
                <w:szCs w:val="18"/>
                <w:lang w:val="hr-HR"/>
              </w:rPr>
            </w:pPr>
            <w:r>
              <w:rPr>
                <w:rFonts w:asciiTheme="minorHAnsi" w:hAnsiTheme="minorHAnsi" w:cs="Arial"/>
                <w:b/>
                <w:sz w:val="18"/>
                <w:szCs w:val="18"/>
                <w:lang w:val="hr-HR"/>
              </w:rPr>
              <w:t>31. prosin</w:t>
            </w:r>
            <w:r w:rsidR="0073283D" w:rsidRPr="00CD3A2D">
              <w:rPr>
                <w:rFonts w:asciiTheme="minorHAnsi" w:hAnsiTheme="minorHAnsi" w:cs="Arial"/>
                <w:b/>
                <w:sz w:val="18"/>
                <w:szCs w:val="18"/>
                <w:lang w:val="hr-HR"/>
              </w:rPr>
              <w:t>c</w:t>
            </w:r>
            <w:r>
              <w:rPr>
                <w:rFonts w:asciiTheme="minorHAnsi" w:hAnsiTheme="minorHAnsi" w:cs="Arial"/>
                <w:b/>
                <w:sz w:val="18"/>
                <w:szCs w:val="18"/>
                <w:lang w:val="hr-HR"/>
              </w:rPr>
              <w:t>a</w:t>
            </w:r>
            <w:r w:rsidR="0073283D" w:rsidRPr="00CD3A2D">
              <w:rPr>
                <w:rFonts w:asciiTheme="minorHAnsi" w:hAnsiTheme="minorHAnsi" w:cs="Arial"/>
                <w:b/>
                <w:sz w:val="18"/>
                <w:szCs w:val="18"/>
                <w:lang w:val="hr-HR"/>
              </w:rPr>
              <w:t xml:space="preserve"> </w:t>
            </w:r>
            <w:r w:rsidR="008770A1" w:rsidRPr="00CD3A2D">
              <w:rPr>
                <w:rFonts w:asciiTheme="minorHAnsi" w:hAnsiTheme="minorHAnsi" w:cs="Arial"/>
                <w:b/>
                <w:sz w:val="18"/>
                <w:szCs w:val="18"/>
                <w:lang w:val="hr-HR"/>
              </w:rPr>
              <w:t>201</w:t>
            </w:r>
            <w:r w:rsidR="00AD2AC2" w:rsidRPr="00CD3A2D">
              <w:rPr>
                <w:rFonts w:asciiTheme="minorHAnsi" w:hAnsiTheme="minorHAnsi" w:cs="Arial"/>
                <w:b/>
                <w:sz w:val="18"/>
                <w:szCs w:val="18"/>
                <w:lang w:val="hr-HR"/>
              </w:rPr>
              <w:t>8</w:t>
            </w:r>
            <w:r w:rsidR="00F10EA3" w:rsidRPr="00CD3A2D">
              <w:rPr>
                <w:rFonts w:asciiTheme="minorHAnsi" w:hAnsiTheme="minorHAnsi" w:cs="Arial"/>
                <w:b/>
                <w:sz w:val="18"/>
                <w:szCs w:val="18"/>
                <w:lang w:val="hr-HR"/>
              </w:rPr>
              <w:t>. godina</w:t>
            </w:r>
          </w:p>
        </w:tc>
        <w:tc>
          <w:tcPr>
            <w:tcW w:w="538"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Do 1 mjesec</w:t>
            </w:r>
          </w:p>
        </w:tc>
        <w:tc>
          <w:tcPr>
            <w:tcW w:w="581"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1 do 3 mjeseca</w:t>
            </w:r>
          </w:p>
        </w:tc>
        <w:tc>
          <w:tcPr>
            <w:tcW w:w="581"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3 mj. do 1 godine</w:t>
            </w:r>
          </w:p>
        </w:tc>
        <w:tc>
          <w:tcPr>
            <w:tcW w:w="581"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1 do 3 godina</w:t>
            </w:r>
          </w:p>
        </w:tc>
        <w:tc>
          <w:tcPr>
            <w:tcW w:w="581"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Preko 3 godine</w:t>
            </w:r>
          </w:p>
        </w:tc>
        <w:tc>
          <w:tcPr>
            <w:tcW w:w="580"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Ukupno</w:t>
            </w:r>
          </w:p>
        </w:tc>
      </w:tr>
      <w:tr w:rsidR="00C57196" w:rsidRPr="001567C8" w:rsidTr="003C6BA3">
        <w:trPr>
          <w:trHeight w:val="260"/>
        </w:trPr>
        <w:tc>
          <w:tcPr>
            <w:tcW w:w="1557" w:type="pct"/>
            <w:vAlign w:val="bottom"/>
          </w:tcPr>
          <w:p w:rsidR="00F10EA3" w:rsidRPr="00CD3A2D" w:rsidRDefault="00F10EA3" w:rsidP="00A66A89">
            <w:pPr>
              <w:tabs>
                <w:tab w:val="left" w:pos="-720"/>
              </w:tabs>
              <w:suppressAutoHyphens/>
              <w:jc w:val="center"/>
              <w:rPr>
                <w:rFonts w:asciiTheme="minorHAnsi" w:hAnsiTheme="minorHAnsi" w:cs="Arial"/>
                <w:b/>
                <w:spacing w:val="-2"/>
                <w:sz w:val="18"/>
                <w:szCs w:val="18"/>
                <w:lang w:val="hr-HR"/>
              </w:rPr>
            </w:pPr>
          </w:p>
        </w:tc>
        <w:tc>
          <w:tcPr>
            <w:tcW w:w="538"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81"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81"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81"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81"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80" w:type="pct"/>
          </w:tcPr>
          <w:p w:rsidR="00F10EA3" w:rsidRPr="00CD3A2D" w:rsidRDefault="00F10EA3" w:rsidP="00A66A89">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r>
      <w:tr w:rsidR="00C57196" w:rsidRPr="001567C8" w:rsidTr="00CD3A2D">
        <w:trPr>
          <w:trHeight w:hRule="exact" w:val="227"/>
        </w:trPr>
        <w:tc>
          <w:tcPr>
            <w:tcW w:w="1557" w:type="pct"/>
            <w:vAlign w:val="bottom"/>
          </w:tcPr>
          <w:p w:rsidR="00F10EA3" w:rsidRPr="00CD3A2D" w:rsidRDefault="00F10EA3" w:rsidP="00CD3A2D">
            <w:pPr>
              <w:tabs>
                <w:tab w:val="right" w:pos="1202"/>
              </w:tabs>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Financijske obveze</w:t>
            </w:r>
          </w:p>
        </w:tc>
        <w:tc>
          <w:tcPr>
            <w:tcW w:w="538" w:type="pct"/>
          </w:tcPr>
          <w:p w:rsidR="00F10EA3" w:rsidRPr="00CD3A2D" w:rsidRDefault="00F10EA3" w:rsidP="00CD3A2D">
            <w:pPr>
              <w:tabs>
                <w:tab w:val="right" w:pos="1202"/>
                <w:tab w:val="center" w:pos="4153"/>
                <w:tab w:val="right" w:pos="8306"/>
              </w:tabs>
              <w:jc w:val="right"/>
              <w:outlineLvl w:val="0"/>
              <w:rPr>
                <w:rFonts w:asciiTheme="minorHAnsi" w:hAnsiTheme="minorHAnsi" w:cs="Arial"/>
                <w:sz w:val="18"/>
                <w:szCs w:val="18"/>
                <w:lang w:val="hr-HR"/>
              </w:rPr>
            </w:pPr>
          </w:p>
        </w:tc>
        <w:tc>
          <w:tcPr>
            <w:tcW w:w="581" w:type="pct"/>
          </w:tcPr>
          <w:p w:rsidR="00F10EA3" w:rsidRPr="00CD3A2D" w:rsidRDefault="00F10EA3" w:rsidP="00CD3A2D">
            <w:pPr>
              <w:tabs>
                <w:tab w:val="right" w:pos="1202"/>
                <w:tab w:val="center" w:pos="4153"/>
                <w:tab w:val="right" w:pos="8306"/>
              </w:tabs>
              <w:jc w:val="right"/>
              <w:outlineLvl w:val="0"/>
              <w:rPr>
                <w:rFonts w:asciiTheme="minorHAnsi" w:hAnsiTheme="minorHAnsi" w:cs="Arial"/>
                <w:sz w:val="18"/>
                <w:szCs w:val="18"/>
                <w:lang w:val="hr-HR"/>
              </w:rPr>
            </w:pPr>
          </w:p>
        </w:tc>
        <w:tc>
          <w:tcPr>
            <w:tcW w:w="581" w:type="pct"/>
          </w:tcPr>
          <w:p w:rsidR="00F10EA3" w:rsidRPr="00CD3A2D" w:rsidRDefault="00F10EA3" w:rsidP="00CD3A2D">
            <w:pPr>
              <w:tabs>
                <w:tab w:val="right" w:pos="1202"/>
                <w:tab w:val="center" w:pos="4153"/>
                <w:tab w:val="right" w:pos="8306"/>
              </w:tabs>
              <w:jc w:val="right"/>
              <w:outlineLvl w:val="0"/>
              <w:rPr>
                <w:rFonts w:asciiTheme="minorHAnsi" w:hAnsiTheme="minorHAnsi" w:cs="Arial"/>
                <w:sz w:val="18"/>
                <w:szCs w:val="18"/>
                <w:lang w:val="hr-HR"/>
              </w:rPr>
            </w:pPr>
          </w:p>
        </w:tc>
        <w:tc>
          <w:tcPr>
            <w:tcW w:w="581" w:type="pct"/>
          </w:tcPr>
          <w:p w:rsidR="00F10EA3" w:rsidRPr="00CD3A2D" w:rsidRDefault="00F10EA3" w:rsidP="00CD3A2D">
            <w:pPr>
              <w:tabs>
                <w:tab w:val="right" w:pos="1202"/>
                <w:tab w:val="center" w:pos="4153"/>
                <w:tab w:val="right" w:pos="8306"/>
              </w:tabs>
              <w:jc w:val="right"/>
              <w:outlineLvl w:val="0"/>
              <w:rPr>
                <w:rFonts w:asciiTheme="minorHAnsi" w:hAnsiTheme="minorHAnsi" w:cs="Arial"/>
                <w:sz w:val="18"/>
                <w:szCs w:val="18"/>
                <w:lang w:val="hr-HR"/>
              </w:rPr>
            </w:pPr>
          </w:p>
        </w:tc>
        <w:tc>
          <w:tcPr>
            <w:tcW w:w="581" w:type="pct"/>
          </w:tcPr>
          <w:p w:rsidR="00F10EA3" w:rsidRPr="00CD3A2D" w:rsidRDefault="00F10EA3" w:rsidP="00CD3A2D">
            <w:pPr>
              <w:tabs>
                <w:tab w:val="right" w:pos="1202"/>
                <w:tab w:val="center" w:pos="4153"/>
                <w:tab w:val="right" w:pos="8306"/>
              </w:tabs>
              <w:jc w:val="right"/>
              <w:outlineLvl w:val="0"/>
              <w:rPr>
                <w:rFonts w:asciiTheme="minorHAnsi" w:hAnsiTheme="minorHAnsi" w:cs="Arial"/>
                <w:sz w:val="18"/>
                <w:szCs w:val="18"/>
                <w:lang w:val="hr-HR"/>
              </w:rPr>
            </w:pPr>
          </w:p>
        </w:tc>
        <w:tc>
          <w:tcPr>
            <w:tcW w:w="580" w:type="pct"/>
          </w:tcPr>
          <w:p w:rsidR="00F10EA3" w:rsidRPr="00CD3A2D" w:rsidRDefault="00F10EA3" w:rsidP="00CD3A2D">
            <w:pPr>
              <w:tabs>
                <w:tab w:val="right" w:pos="1202"/>
                <w:tab w:val="center" w:pos="4153"/>
                <w:tab w:val="right" w:pos="8306"/>
              </w:tabs>
              <w:jc w:val="right"/>
              <w:outlineLvl w:val="0"/>
              <w:rPr>
                <w:rFonts w:asciiTheme="minorHAnsi" w:hAnsiTheme="minorHAnsi" w:cs="Arial"/>
                <w:sz w:val="18"/>
                <w:szCs w:val="18"/>
                <w:lang w:val="hr-HR"/>
              </w:rPr>
            </w:pPr>
          </w:p>
        </w:tc>
      </w:tr>
      <w:tr w:rsidR="00C57196" w:rsidRPr="001567C8" w:rsidTr="00CD3A2D">
        <w:trPr>
          <w:trHeight w:hRule="exact" w:val="227"/>
        </w:trPr>
        <w:tc>
          <w:tcPr>
            <w:tcW w:w="1557" w:type="pct"/>
            <w:vAlign w:val="bottom"/>
          </w:tcPr>
          <w:p w:rsidR="00AD2AC2" w:rsidRPr="00CD3A2D" w:rsidRDefault="00AD2AC2" w:rsidP="00CD3A2D">
            <w:pPr>
              <w:tabs>
                <w:tab w:val="right" w:pos="1202"/>
              </w:tabs>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Obveze po depozitima</w:t>
            </w:r>
          </w:p>
        </w:tc>
        <w:tc>
          <w:tcPr>
            <w:tcW w:w="538" w:type="pct"/>
            <w:tcBorders>
              <w:top w:val="nil"/>
              <w:left w:val="nil"/>
              <w:bottom w:val="nil"/>
              <w:right w:val="nil"/>
            </w:tcBorders>
            <w:shd w:val="clear" w:color="auto" w:fill="auto"/>
          </w:tcPr>
          <w:p w:rsidR="00AD2AC2" w:rsidRPr="00CD3A2D" w:rsidRDefault="00AD2AC2"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229.704</w:t>
            </w:r>
          </w:p>
        </w:tc>
        <w:tc>
          <w:tcPr>
            <w:tcW w:w="581" w:type="pct"/>
            <w:tcBorders>
              <w:top w:val="nil"/>
              <w:left w:val="nil"/>
              <w:bottom w:val="nil"/>
              <w:right w:val="nil"/>
            </w:tcBorders>
            <w:shd w:val="clear" w:color="auto" w:fill="auto"/>
          </w:tcPr>
          <w:p w:rsidR="00AD2AC2" w:rsidRPr="00CD3A2D" w:rsidRDefault="00AD2AC2"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6.5</w:t>
            </w:r>
            <w:r w:rsidR="009C322E" w:rsidRPr="00CD3A2D">
              <w:rPr>
                <w:rFonts w:asciiTheme="minorHAnsi" w:hAnsiTheme="minorHAnsi" w:cstheme="minorHAnsi"/>
                <w:sz w:val="18"/>
                <w:szCs w:val="18"/>
                <w:lang w:val="hr-HR"/>
              </w:rPr>
              <w:t>79</w:t>
            </w:r>
          </w:p>
        </w:tc>
        <w:tc>
          <w:tcPr>
            <w:tcW w:w="581" w:type="pct"/>
            <w:tcBorders>
              <w:top w:val="nil"/>
              <w:left w:val="nil"/>
              <w:bottom w:val="nil"/>
              <w:right w:val="nil"/>
            </w:tcBorders>
            <w:shd w:val="clear" w:color="auto" w:fill="auto"/>
          </w:tcPr>
          <w:p w:rsidR="00AD2AC2" w:rsidRPr="00CD3A2D" w:rsidRDefault="00AD2AC2"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177.736</w:t>
            </w:r>
          </w:p>
        </w:tc>
        <w:tc>
          <w:tcPr>
            <w:tcW w:w="581" w:type="pct"/>
            <w:tcBorders>
              <w:top w:val="nil"/>
              <w:left w:val="nil"/>
              <w:bottom w:val="nil"/>
              <w:right w:val="nil"/>
            </w:tcBorders>
            <w:shd w:val="clear" w:color="auto" w:fill="auto"/>
          </w:tcPr>
          <w:p w:rsidR="00AD2AC2" w:rsidRPr="00CD3A2D" w:rsidRDefault="00AD2AC2"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757</w:t>
            </w:r>
          </w:p>
        </w:tc>
        <w:tc>
          <w:tcPr>
            <w:tcW w:w="581" w:type="pct"/>
            <w:tcBorders>
              <w:top w:val="nil"/>
              <w:left w:val="nil"/>
              <w:bottom w:val="nil"/>
              <w:right w:val="nil"/>
            </w:tcBorders>
            <w:shd w:val="clear" w:color="auto" w:fill="auto"/>
          </w:tcPr>
          <w:p w:rsidR="00AD2AC2" w:rsidRPr="00CD3A2D" w:rsidRDefault="00AD2AC2"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14.320</w:t>
            </w:r>
          </w:p>
        </w:tc>
        <w:tc>
          <w:tcPr>
            <w:tcW w:w="580" w:type="pct"/>
            <w:tcBorders>
              <w:top w:val="nil"/>
              <w:left w:val="nil"/>
              <w:bottom w:val="nil"/>
              <w:right w:val="nil"/>
            </w:tcBorders>
            <w:shd w:val="clear" w:color="auto" w:fill="auto"/>
          </w:tcPr>
          <w:p w:rsidR="00AD2AC2" w:rsidRPr="00CD3A2D" w:rsidRDefault="00AD2AC2"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429.096</w:t>
            </w:r>
          </w:p>
        </w:tc>
      </w:tr>
      <w:tr w:rsidR="00C57196" w:rsidRPr="001567C8" w:rsidTr="00CD3A2D">
        <w:trPr>
          <w:trHeight w:hRule="exact" w:val="227"/>
        </w:trPr>
        <w:tc>
          <w:tcPr>
            <w:tcW w:w="1557" w:type="pct"/>
            <w:vAlign w:val="bottom"/>
          </w:tcPr>
          <w:p w:rsidR="00C57196" w:rsidRPr="00CD3A2D" w:rsidRDefault="00C57196" w:rsidP="00CD3A2D">
            <w:pPr>
              <w:tabs>
                <w:tab w:val="right" w:pos="1202"/>
              </w:tabs>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Obveze po kreditima</w:t>
            </w:r>
          </w:p>
        </w:tc>
        <w:tc>
          <w:tcPr>
            <w:tcW w:w="538" w:type="pct"/>
            <w:tcBorders>
              <w:top w:val="nil"/>
              <w:left w:val="nil"/>
              <w:bottom w:val="nil"/>
              <w:right w:val="nil"/>
            </w:tcBorders>
            <w:shd w:val="clear" w:color="auto" w:fill="auto"/>
            <w:vAlign w:val="bottom"/>
          </w:tcPr>
          <w:p w:rsidR="00C57196" w:rsidRPr="00CD3A2D" w:rsidRDefault="00C57196"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Calibri" w:hAnsi="Calibri" w:cs="Calibri"/>
                <w:sz w:val="18"/>
                <w:szCs w:val="18"/>
                <w:lang w:val="hr-HR"/>
              </w:rPr>
              <w:t>338.464</w:t>
            </w:r>
          </w:p>
        </w:tc>
        <w:tc>
          <w:tcPr>
            <w:tcW w:w="581" w:type="pct"/>
            <w:tcBorders>
              <w:top w:val="nil"/>
              <w:left w:val="nil"/>
              <w:bottom w:val="nil"/>
              <w:right w:val="nil"/>
            </w:tcBorders>
            <w:shd w:val="clear" w:color="auto" w:fill="auto"/>
            <w:vAlign w:val="bottom"/>
          </w:tcPr>
          <w:p w:rsidR="00C57196" w:rsidRPr="00CD3A2D" w:rsidRDefault="00C57196"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Calibri" w:hAnsi="Calibri" w:cs="Calibri"/>
                <w:sz w:val="18"/>
                <w:szCs w:val="18"/>
                <w:lang w:val="hr-HR"/>
              </w:rPr>
              <w:t>438.773</w:t>
            </w:r>
          </w:p>
        </w:tc>
        <w:tc>
          <w:tcPr>
            <w:tcW w:w="581" w:type="pct"/>
            <w:tcBorders>
              <w:top w:val="nil"/>
              <w:left w:val="nil"/>
              <w:bottom w:val="nil"/>
              <w:right w:val="nil"/>
            </w:tcBorders>
            <w:shd w:val="clear" w:color="auto" w:fill="auto"/>
            <w:vAlign w:val="bottom"/>
          </w:tcPr>
          <w:p w:rsidR="00C57196" w:rsidRPr="00CD3A2D" w:rsidRDefault="00C57196"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Calibri" w:hAnsi="Calibri" w:cs="Calibri"/>
                <w:sz w:val="18"/>
                <w:szCs w:val="18"/>
                <w:lang w:val="hr-HR"/>
              </w:rPr>
              <w:t>1.647.005</w:t>
            </w:r>
          </w:p>
        </w:tc>
        <w:tc>
          <w:tcPr>
            <w:tcW w:w="581" w:type="pct"/>
            <w:tcBorders>
              <w:top w:val="nil"/>
              <w:left w:val="nil"/>
              <w:bottom w:val="nil"/>
              <w:right w:val="nil"/>
            </w:tcBorders>
            <w:shd w:val="clear" w:color="auto" w:fill="auto"/>
            <w:vAlign w:val="bottom"/>
          </w:tcPr>
          <w:p w:rsidR="00C57196" w:rsidRPr="00CD3A2D" w:rsidRDefault="00C57196"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Calibri" w:hAnsi="Calibri" w:cs="Calibri"/>
                <w:sz w:val="18"/>
                <w:szCs w:val="18"/>
                <w:lang w:val="hr-HR"/>
              </w:rPr>
              <w:t>4.387.915</w:t>
            </w:r>
          </w:p>
        </w:tc>
        <w:tc>
          <w:tcPr>
            <w:tcW w:w="581" w:type="pct"/>
            <w:tcBorders>
              <w:top w:val="nil"/>
              <w:left w:val="nil"/>
              <w:bottom w:val="nil"/>
              <w:right w:val="nil"/>
            </w:tcBorders>
            <w:shd w:val="clear" w:color="auto" w:fill="auto"/>
            <w:vAlign w:val="bottom"/>
          </w:tcPr>
          <w:p w:rsidR="00C57196" w:rsidRPr="00CD3A2D" w:rsidRDefault="00C57196"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Calibri" w:hAnsi="Calibri" w:cs="Calibri"/>
                <w:sz w:val="18"/>
                <w:szCs w:val="18"/>
                <w:lang w:val="hr-HR"/>
              </w:rPr>
              <w:t>9.457.974</w:t>
            </w:r>
          </w:p>
        </w:tc>
        <w:tc>
          <w:tcPr>
            <w:tcW w:w="580" w:type="pct"/>
            <w:tcBorders>
              <w:top w:val="nil"/>
              <w:left w:val="nil"/>
              <w:bottom w:val="nil"/>
              <w:right w:val="nil"/>
            </w:tcBorders>
            <w:shd w:val="clear" w:color="auto" w:fill="auto"/>
            <w:vAlign w:val="bottom"/>
          </w:tcPr>
          <w:p w:rsidR="00C57196" w:rsidRPr="00CD3A2D" w:rsidRDefault="00C57196" w:rsidP="00CD3A2D">
            <w:pPr>
              <w:keepNext/>
              <w:keepLines/>
              <w:tabs>
                <w:tab w:val="decimal" w:pos="1202"/>
                <w:tab w:val="center" w:pos="4153"/>
                <w:tab w:val="right" w:pos="8306"/>
              </w:tabs>
              <w:jc w:val="right"/>
              <w:rPr>
                <w:rFonts w:asciiTheme="minorHAnsi" w:hAnsiTheme="minorHAnsi" w:cstheme="minorHAnsi"/>
                <w:position w:val="4"/>
                <w:sz w:val="18"/>
                <w:szCs w:val="18"/>
                <w:lang w:val="hr-HR"/>
              </w:rPr>
            </w:pPr>
            <w:r w:rsidRPr="00CD3A2D">
              <w:rPr>
                <w:rFonts w:ascii="Calibri" w:hAnsi="Calibri" w:cs="Calibri"/>
                <w:sz w:val="18"/>
                <w:szCs w:val="18"/>
                <w:lang w:val="hr-HR"/>
              </w:rPr>
              <w:t>16.270.131</w:t>
            </w:r>
          </w:p>
        </w:tc>
      </w:tr>
      <w:tr w:rsidR="00C57196" w:rsidRPr="001567C8" w:rsidTr="00CD3A2D">
        <w:trPr>
          <w:trHeight w:val="404"/>
        </w:trPr>
        <w:tc>
          <w:tcPr>
            <w:tcW w:w="1557" w:type="pct"/>
            <w:vAlign w:val="bottom"/>
          </w:tcPr>
          <w:p w:rsidR="00AD2AC2" w:rsidRPr="00CD3A2D" w:rsidRDefault="00AD2AC2" w:rsidP="00AD2AC2">
            <w:pPr>
              <w:tabs>
                <w:tab w:val="right" w:pos="1202"/>
              </w:tabs>
              <w:spacing w:line="301" w:lineRule="exact"/>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Obveze za izdane dugoročne vrijednosne papire</w:t>
            </w:r>
          </w:p>
        </w:tc>
        <w:tc>
          <w:tcPr>
            <w:tcW w:w="538"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w:t>
            </w:r>
          </w:p>
        </w:tc>
        <w:tc>
          <w:tcPr>
            <w:tcW w:w="581"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w:t>
            </w:r>
          </w:p>
        </w:tc>
        <w:tc>
          <w:tcPr>
            <w:tcW w:w="581"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66.758</w:t>
            </w:r>
          </w:p>
        </w:tc>
        <w:tc>
          <w:tcPr>
            <w:tcW w:w="581"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1.173.968</w:t>
            </w:r>
          </w:p>
        </w:tc>
        <w:tc>
          <w:tcPr>
            <w:tcW w:w="581"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w:t>
            </w:r>
          </w:p>
        </w:tc>
        <w:tc>
          <w:tcPr>
            <w:tcW w:w="580"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theme="minorHAnsi"/>
                <w:position w:val="4"/>
                <w:sz w:val="18"/>
                <w:szCs w:val="18"/>
                <w:lang w:val="hr-HR"/>
              </w:rPr>
            </w:pPr>
            <w:r w:rsidRPr="00CD3A2D">
              <w:rPr>
                <w:rFonts w:asciiTheme="minorHAnsi" w:hAnsiTheme="minorHAnsi" w:cstheme="minorHAnsi"/>
                <w:sz w:val="18"/>
                <w:szCs w:val="18"/>
                <w:lang w:val="hr-HR"/>
              </w:rPr>
              <w:t>1.240.726</w:t>
            </w:r>
          </w:p>
        </w:tc>
      </w:tr>
      <w:tr w:rsidR="00C57196" w:rsidRPr="001567C8" w:rsidTr="00CD3A2D">
        <w:trPr>
          <w:trHeight w:hRule="exact" w:val="227"/>
        </w:trPr>
        <w:tc>
          <w:tcPr>
            <w:tcW w:w="1557" w:type="pct"/>
            <w:vAlign w:val="bottom"/>
          </w:tcPr>
          <w:p w:rsidR="00AD2AC2" w:rsidRPr="00CD3A2D" w:rsidRDefault="00AD2AC2" w:rsidP="00CD3A2D">
            <w:pPr>
              <w:tabs>
                <w:tab w:val="right" w:pos="1202"/>
              </w:tabs>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Ostale obveze</w:t>
            </w:r>
          </w:p>
        </w:tc>
        <w:tc>
          <w:tcPr>
            <w:tcW w:w="538" w:type="pct"/>
            <w:tcBorders>
              <w:top w:val="nil"/>
              <w:left w:val="nil"/>
              <w:bottom w:val="single" w:sz="4" w:space="0" w:color="auto"/>
              <w:right w:val="nil"/>
            </w:tcBorders>
            <w:shd w:val="clear" w:color="auto" w:fill="auto"/>
          </w:tcPr>
          <w:p w:rsidR="00AD2AC2" w:rsidRPr="00CD3A2D" w:rsidRDefault="00AD2AC2" w:rsidP="00CD3A2D">
            <w:pPr>
              <w:tabs>
                <w:tab w:val="right" w:pos="1202"/>
                <w:tab w:val="center" w:pos="4153"/>
                <w:tab w:val="right" w:pos="8306"/>
              </w:tabs>
              <w:jc w:val="right"/>
              <w:outlineLvl w:val="0"/>
              <w:rPr>
                <w:rFonts w:asciiTheme="minorHAnsi" w:hAnsiTheme="minorHAnsi" w:cstheme="minorHAnsi"/>
                <w:sz w:val="18"/>
                <w:szCs w:val="18"/>
                <w:lang w:val="hr-HR"/>
              </w:rPr>
            </w:pPr>
            <w:r w:rsidRPr="00CD3A2D">
              <w:rPr>
                <w:rFonts w:asciiTheme="minorHAnsi" w:hAnsiTheme="minorHAnsi" w:cstheme="minorHAnsi"/>
                <w:sz w:val="18"/>
                <w:szCs w:val="18"/>
                <w:lang w:val="hr-HR"/>
              </w:rPr>
              <w:t>268.222</w:t>
            </w:r>
          </w:p>
        </w:tc>
        <w:tc>
          <w:tcPr>
            <w:tcW w:w="581" w:type="pct"/>
            <w:tcBorders>
              <w:top w:val="nil"/>
              <w:left w:val="nil"/>
              <w:bottom w:val="single" w:sz="4" w:space="0" w:color="auto"/>
              <w:right w:val="nil"/>
            </w:tcBorders>
            <w:shd w:val="clear" w:color="auto" w:fill="auto"/>
          </w:tcPr>
          <w:p w:rsidR="00AD2AC2" w:rsidRPr="00CD3A2D" w:rsidRDefault="00AD2AC2" w:rsidP="00CD3A2D">
            <w:pPr>
              <w:tabs>
                <w:tab w:val="right" w:pos="1202"/>
                <w:tab w:val="center" w:pos="4153"/>
                <w:tab w:val="right" w:pos="8306"/>
              </w:tabs>
              <w:jc w:val="right"/>
              <w:outlineLvl w:val="0"/>
              <w:rPr>
                <w:rFonts w:asciiTheme="minorHAnsi" w:hAnsiTheme="minorHAnsi" w:cstheme="minorHAnsi"/>
                <w:sz w:val="18"/>
                <w:szCs w:val="18"/>
                <w:lang w:val="hr-HR"/>
              </w:rPr>
            </w:pPr>
            <w:r w:rsidRPr="00CD3A2D">
              <w:rPr>
                <w:rFonts w:asciiTheme="minorHAnsi" w:hAnsiTheme="minorHAnsi" w:cstheme="minorHAnsi"/>
                <w:sz w:val="18"/>
                <w:szCs w:val="18"/>
                <w:lang w:val="hr-HR"/>
              </w:rPr>
              <w:t>22.039</w:t>
            </w:r>
          </w:p>
        </w:tc>
        <w:tc>
          <w:tcPr>
            <w:tcW w:w="581" w:type="pct"/>
            <w:tcBorders>
              <w:top w:val="nil"/>
              <w:left w:val="nil"/>
              <w:bottom w:val="single" w:sz="4" w:space="0" w:color="auto"/>
              <w:right w:val="nil"/>
            </w:tcBorders>
            <w:shd w:val="clear" w:color="auto" w:fill="auto"/>
          </w:tcPr>
          <w:p w:rsidR="00AD2AC2" w:rsidRPr="00CD3A2D" w:rsidRDefault="00AD2AC2" w:rsidP="00CD3A2D">
            <w:pPr>
              <w:tabs>
                <w:tab w:val="right" w:pos="1202"/>
                <w:tab w:val="center" w:pos="4153"/>
                <w:tab w:val="right" w:pos="8306"/>
              </w:tabs>
              <w:jc w:val="right"/>
              <w:outlineLvl w:val="0"/>
              <w:rPr>
                <w:rFonts w:asciiTheme="minorHAnsi" w:hAnsiTheme="minorHAnsi" w:cstheme="minorHAnsi"/>
                <w:sz w:val="18"/>
                <w:szCs w:val="18"/>
                <w:lang w:val="hr-HR"/>
              </w:rPr>
            </w:pPr>
            <w:r w:rsidRPr="00CD3A2D">
              <w:rPr>
                <w:rFonts w:asciiTheme="minorHAnsi" w:hAnsiTheme="minorHAnsi" w:cstheme="minorHAnsi"/>
                <w:sz w:val="18"/>
                <w:szCs w:val="18"/>
                <w:lang w:val="hr-HR"/>
              </w:rPr>
              <w:t>75.893</w:t>
            </w:r>
          </w:p>
        </w:tc>
        <w:tc>
          <w:tcPr>
            <w:tcW w:w="581" w:type="pct"/>
            <w:tcBorders>
              <w:top w:val="nil"/>
              <w:left w:val="nil"/>
              <w:bottom w:val="single" w:sz="4" w:space="0" w:color="auto"/>
              <w:right w:val="nil"/>
            </w:tcBorders>
            <w:shd w:val="clear" w:color="auto" w:fill="auto"/>
          </w:tcPr>
          <w:p w:rsidR="00AD2AC2" w:rsidRPr="00CD3A2D" w:rsidRDefault="00AD2AC2" w:rsidP="00CD3A2D">
            <w:pPr>
              <w:tabs>
                <w:tab w:val="right" w:pos="1202"/>
                <w:tab w:val="center" w:pos="4153"/>
                <w:tab w:val="right" w:pos="8306"/>
              </w:tabs>
              <w:jc w:val="right"/>
              <w:outlineLvl w:val="0"/>
              <w:rPr>
                <w:rFonts w:asciiTheme="minorHAnsi" w:hAnsiTheme="minorHAnsi" w:cstheme="minorHAnsi"/>
                <w:sz w:val="18"/>
                <w:szCs w:val="18"/>
                <w:lang w:val="hr-HR"/>
              </w:rPr>
            </w:pPr>
            <w:r w:rsidRPr="00CD3A2D">
              <w:rPr>
                <w:rFonts w:asciiTheme="minorHAnsi" w:hAnsiTheme="minorHAnsi" w:cstheme="minorHAnsi"/>
                <w:sz w:val="18"/>
                <w:szCs w:val="18"/>
                <w:lang w:val="hr-HR"/>
              </w:rPr>
              <w:t>152.</w:t>
            </w:r>
            <w:r w:rsidR="00C85C11" w:rsidRPr="00CD3A2D">
              <w:rPr>
                <w:rFonts w:asciiTheme="minorHAnsi" w:hAnsiTheme="minorHAnsi" w:cstheme="minorHAnsi"/>
                <w:sz w:val="18"/>
                <w:szCs w:val="18"/>
                <w:lang w:val="hr-HR"/>
              </w:rPr>
              <w:t>199</w:t>
            </w:r>
          </w:p>
        </w:tc>
        <w:tc>
          <w:tcPr>
            <w:tcW w:w="581" w:type="pct"/>
            <w:tcBorders>
              <w:top w:val="nil"/>
              <w:left w:val="nil"/>
              <w:bottom w:val="single" w:sz="4" w:space="0" w:color="auto"/>
              <w:right w:val="nil"/>
            </w:tcBorders>
            <w:shd w:val="clear" w:color="auto" w:fill="auto"/>
          </w:tcPr>
          <w:p w:rsidR="00AD2AC2" w:rsidRPr="00CD3A2D" w:rsidRDefault="00AD2AC2" w:rsidP="00CD3A2D">
            <w:pPr>
              <w:tabs>
                <w:tab w:val="right" w:pos="1202"/>
                <w:tab w:val="center" w:pos="4153"/>
                <w:tab w:val="right" w:pos="8306"/>
              </w:tabs>
              <w:jc w:val="right"/>
              <w:outlineLvl w:val="0"/>
              <w:rPr>
                <w:rFonts w:asciiTheme="minorHAnsi" w:hAnsiTheme="minorHAnsi" w:cstheme="minorHAnsi"/>
                <w:sz w:val="18"/>
                <w:szCs w:val="18"/>
                <w:lang w:val="hr-HR"/>
              </w:rPr>
            </w:pPr>
            <w:r w:rsidRPr="00CD3A2D">
              <w:rPr>
                <w:rFonts w:asciiTheme="minorHAnsi" w:hAnsiTheme="minorHAnsi" w:cstheme="minorHAnsi"/>
                <w:sz w:val="18"/>
                <w:szCs w:val="18"/>
                <w:lang w:val="hr-HR"/>
              </w:rPr>
              <w:t>168.922</w:t>
            </w:r>
          </w:p>
        </w:tc>
        <w:tc>
          <w:tcPr>
            <w:tcW w:w="580" w:type="pct"/>
            <w:tcBorders>
              <w:top w:val="nil"/>
              <w:left w:val="nil"/>
              <w:bottom w:val="single" w:sz="4" w:space="0" w:color="auto"/>
              <w:right w:val="nil"/>
            </w:tcBorders>
            <w:shd w:val="clear" w:color="auto" w:fill="auto"/>
          </w:tcPr>
          <w:p w:rsidR="00AD2AC2" w:rsidRPr="00CD3A2D" w:rsidRDefault="00AD2AC2" w:rsidP="00CD3A2D">
            <w:pPr>
              <w:tabs>
                <w:tab w:val="right" w:pos="1202"/>
                <w:tab w:val="center" w:pos="4153"/>
                <w:tab w:val="right" w:pos="8306"/>
              </w:tabs>
              <w:jc w:val="right"/>
              <w:outlineLvl w:val="0"/>
              <w:rPr>
                <w:rFonts w:asciiTheme="minorHAnsi" w:hAnsiTheme="minorHAnsi" w:cstheme="minorHAnsi"/>
                <w:sz w:val="18"/>
                <w:szCs w:val="18"/>
                <w:lang w:val="hr-HR"/>
              </w:rPr>
            </w:pPr>
            <w:r w:rsidRPr="00CD3A2D">
              <w:rPr>
                <w:rFonts w:asciiTheme="minorHAnsi" w:hAnsiTheme="minorHAnsi" w:cstheme="minorHAnsi"/>
                <w:sz w:val="18"/>
                <w:szCs w:val="18"/>
                <w:lang w:val="hr-HR"/>
              </w:rPr>
              <w:t>687.27</w:t>
            </w:r>
            <w:r w:rsidR="00C85C11" w:rsidRPr="00CD3A2D">
              <w:rPr>
                <w:rFonts w:asciiTheme="minorHAnsi" w:hAnsiTheme="minorHAnsi" w:cstheme="minorHAnsi"/>
                <w:sz w:val="18"/>
                <w:szCs w:val="18"/>
                <w:lang w:val="hr-HR"/>
              </w:rPr>
              <w:t>5</w:t>
            </w:r>
          </w:p>
        </w:tc>
      </w:tr>
      <w:tr w:rsidR="00860781" w:rsidRPr="001567C8" w:rsidTr="00CD3A2D">
        <w:trPr>
          <w:trHeight w:hRule="exact" w:val="284"/>
        </w:trPr>
        <w:tc>
          <w:tcPr>
            <w:tcW w:w="1557" w:type="pct"/>
            <w:vAlign w:val="bottom"/>
          </w:tcPr>
          <w:p w:rsidR="00C57196" w:rsidRPr="00CD3A2D" w:rsidRDefault="00C57196" w:rsidP="00CD3A2D">
            <w:pPr>
              <w:tabs>
                <w:tab w:val="right" w:pos="1202"/>
              </w:tabs>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Ukupno</w:t>
            </w:r>
          </w:p>
        </w:tc>
        <w:tc>
          <w:tcPr>
            <w:tcW w:w="538" w:type="pct"/>
            <w:tcBorders>
              <w:top w:val="single" w:sz="4" w:space="0" w:color="auto"/>
              <w:left w:val="nil"/>
              <w:bottom w:val="single" w:sz="12" w:space="0" w:color="auto"/>
              <w:right w:val="nil"/>
            </w:tcBorders>
            <w:vAlign w:val="bottom"/>
          </w:tcPr>
          <w:p w:rsidR="00C57196" w:rsidRPr="00CD3A2D" w:rsidRDefault="00C57196" w:rsidP="00CD3A2D">
            <w:pPr>
              <w:tabs>
                <w:tab w:val="right" w:pos="1202"/>
              </w:tabs>
              <w:jc w:val="right"/>
              <w:outlineLvl w:val="0"/>
              <w:rPr>
                <w:rFonts w:asciiTheme="minorHAnsi" w:hAnsiTheme="minorHAnsi" w:cstheme="minorHAnsi"/>
                <w:b/>
                <w:bCs/>
                <w:sz w:val="18"/>
                <w:szCs w:val="18"/>
                <w:lang w:val="hr-HR"/>
              </w:rPr>
            </w:pPr>
            <w:r w:rsidRPr="00CD3A2D">
              <w:rPr>
                <w:rFonts w:ascii="Calibri" w:hAnsi="Calibri" w:cs="Arial"/>
                <w:b/>
                <w:bCs/>
                <w:color w:val="000000"/>
                <w:sz w:val="18"/>
                <w:szCs w:val="18"/>
                <w:lang w:val="hr-HR"/>
              </w:rPr>
              <w:t>836.390</w:t>
            </w:r>
          </w:p>
        </w:tc>
        <w:tc>
          <w:tcPr>
            <w:tcW w:w="581" w:type="pct"/>
            <w:tcBorders>
              <w:top w:val="single" w:sz="4" w:space="0" w:color="auto"/>
              <w:left w:val="nil"/>
              <w:bottom w:val="single" w:sz="12" w:space="0" w:color="auto"/>
              <w:right w:val="nil"/>
            </w:tcBorders>
            <w:vAlign w:val="bottom"/>
          </w:tcPr>
          <w:p w:rsidR="00C57196" w:rsidRPr="00CD3A2D" w:rsidRDefault="00C57196" w:rsidP="00CD3A2D">
            <w:pPr>
              <w:tabs>
                <w:tab w:val="right" w:pos="1202"/>
              </w:tabs>
              <w:jc w:val="right"/>
              <w:outlineLvl w:val="0"/>
              <w:rPr>
                <w:rFonts w:asciiTheme="minorHAnsi" w:hAnsiTheme="minorHAnsi" w:cstheme="minorHAnsi"/>
                <w:b/>
                <w:bCs/>
                <w:sz w:val="18"/>
                <w:szCs w:val="18"/>
                <w:lang w:val="hr-HR"/>
              </w:rPr>
            </w:pPr>
            <w:r w:rsidRPr="00CD3A2D">
              <w:rPr>
                <w:rFonts w:ascii="Calibri" w:hAnsi="Calibri" w:cs="Arial"/>
                <w:b/>
                <w:bCs/>
                <w:color w:val="000000"/>
                <w:sz w:val="18"/>
                <w:szCs w:val="18"/>
                <w:lang w:val="hr-HR"/>
              </w:rPr>
              <w:t>467.391</w:t>
            </w:r>
          </w:p>
        </w:tc>
        <w:tc>
          <w:tcPr>
            <w:tcW w:w="581" w:type="pct"/>
            <w:tcBorders>
              <w:top w:val="single" w:sz="4" w:space="0" w:color="auto"/>
              <w:left w:val="nil"/>
              <w:bottom w:val="single" w:sz="12" w:space="0" w:color="auto"/>
              <w:right w:val="nil"/>
            </w:tcBorders>
            <w:vAlign w:val="bottom"/>
          </w:tcPr>
          <w:p w:rsidR="00C57196" w:rsidRPr="00CD3A2D" w:rsidRDefault="00C57196" w:rsidP="00CD3A2D">
            <w:pPr>
              <w:tabs>
                <w:tab w:val="right" w:pos="1202"/>
              </w:tabs>
              <w:jc w:val="right"/>
              <w:outlineLvl w:val="0"/>
              <w:rPr>
                <w:rFonts w:asciiTheme="minorHAnsi" w:hAnsiTheme="minorHAnsi" w:cstheme="minorHAnsi"/>
                <w:b/>
                <w:bCs/>
                <w:sz w:val="18"/>
                <w:szCs w:val="18"/>
                <w:lang w:val="hr-HR"/>
              </w:rPr>
            </w:pPr>
            <w:r w:rsidRPr="00CD3A2D">
              <w:rPr>
                <w:rFonts w:ascii="Calibri" w:hAnsi="Calibri" w:cs="Arial"/>
                <w:b/>
                <w:bCs/>
                <w:color w:val="000000"/>
                <w:sz w:val="18"/>
                <w:szCs w:val="18"/>
                <w:lang w:val="hr-HR"/>
              </w:rPr>
              <w:t>1.967.392</w:t>
            </w:r>
          </w:p>
        </w:tc>
        <w:tc>
          <w:tcPr>
            <w:tcW w:w="581" w:type="pct"/>
            <w:tcBorders>
              <w:top w:val="single" w:sz="4" w:space="0" w:color="auto"/>
              <w:left w:val="nil"/>
              <w:bottom w:val="single" w:sz="12" w:space="0" w:color="auto"/>
              <w:right w:val="nil"/>
            </w:tcBorders>
            <w:vAlign w:val="bottom"/>
          </w:tcPr>
          <w:p w:rsidR="00C57196" w:rsidRPr="00CD3A2D" w:rsidRDefault="00C57196" w:rsidP="00CD3A2D">
            <w:pPr>
              <w:tabs>
                <w:tab w:val="right" w:pos="1202"/>
              </w:tabs>
              <w:jc w:val="right"/>
              <w:outlineLvl w:val="0"/>
              <w:rPr>
                <w:rFonts w:asciiTheme="minorHAnsi" w:hAnsiTheme="minorHAnsi" w:cstheme="minorHAnsi"/>
                <w:b/>
                <w:bCs/>
                <w:sz w:val="18"/>
                <w:szCs w:val="18"/>
                <w:lang w:val="hr-HR"/>
              </w:rPr>
            </w:pPr>
            <w:r w:rsidRPr="00CD3A2D">
              <w:rPr>
                <w:rFonts w:ascii="Calibri" w:hAnsi="Calibri" w:cs="Arial"/>
                <w:b/>
                <w:bCs/>
                <w:color w:val="000000"/>
                <w:sz w:val="18"/>
                <w:szCs w:val="18"/>
                <w:lang w:val="hr-HR"/>
              </w:rPr>
              <w:t>5.714.839</w:t>
            </w:r>
          </w:p>
        </w:tc>
        <w:tc>
          <w:tcPr>
            <w:tcW w:w="581" w:type="pct"/>
            <w:tcBorders>
              <w:top w:val="single" w:sz="4" w:space="0" w:color="auto"/>
              <w:left w:val="nil"/>
              <w:bottom w:val="single" w:sz="12" w:space="0" w:color="auto"/>
              <w:right w:val="nil"/>
            </w:tcBorders>
            <w:vAlign w:val="bottom"/>
          </w:tcPr>
          <w:p w:rsidR="00C57196" w:rsidRPr="00CD3A2D" w:rsidRDefault="00C57196" w:rsidP="00CD3A2D">
            <w:pPr>
              <w:tabs>
                <w:tab w:val="right" w:pos="1202"/>
              </w:tabs>
              <w:jc w:val="right"/>
              <w:outlineLvl w:val="0"/>
              <w:rPr>
                <w:rFonts w:asciiTheme="minorHAnsi" w:hAnsiTheme="minorHAnsi" w:cstheme="minorHAnsi"/>
                <w:b/>
                <w:bCs/>
                <w:sz w:val="18"/>
                <w:szCs w:val="18"/>
                <w:lang w:val="hr-HR"/>
              </w:rPr>
            </w:pPr>
            <w:r w:rsidRPr="00CD3A2D">
              <w:rPr>
                <w:rFonts w:ascii="Calibri" w:hAnsi="Calibri" w:cs="Arial"/>
                <w:b/>
                <w:bCs/>
                <w:color w:val="000000"/>
                <w:sz w:val="18"/>
                <w:szCs w:val="18"/>
                <w:lang w:val="hr-HR"/>
              </w:rPr>
              <w:t>9.641.216</w:t>
            </w:r>
          </w:p>
        </w:tc>
        <w:tc>
          <w:tcPr>
            <w:tcW w:w="580" w:type="pct"/>
            <w:tcBorders>
              <w:top w:val="single" w:sz="4" w:space="0" w:color="auto"/>
              <w:left w:val="nil"/>
              <w:bottom w:val="single" w:sz="12" w:space="0" w:color="auto"/>
              <w:right w:val="nil"/>
            </w:tcBorders>
            <w:vAlign w:val="bottom"/>
          </w:tcPr>
          <w:p w:rsidR="00C57196" w:rsidRPr="00CD3A2D" w:rsidRDefault="00C57196" w:rsidP="00CD3A2D">
            <w:pPr>
              <w:tabs>
                <w:tab w:val="right" w:pos="1202"/>
              </w:tabs>
              <w:jc w:val="right"/>
              <w:outlineLvl w:val="0"/>
              <w:rPr>
                <w:rFonts w:asciiTheme="minorHAnsi" w:hAnsiTheme="minorHAnsi" w:cstheme="minorHAnsi"/>
                <w:b/>
                <w:bCs/>
                <w:sz w:val="18"/>
                <w:szCs w:val="18"/>
                <w:lang w:val="hr-HR"/>
              </w:rPr>
            </w:pPr>
            <w:r w:rsidRPr="00CD3A2D">
              <w:rPr>
                <w:rFonts w:ascii="Calibri" w:hAnsi="Calibri" w:cs="Arial"/>
                <w:b/>
                <w:bCs/>
                <w:color w:val="000000"/>
                <w:sz w:val="18"/>
                <w:szCs w:val="18"/>
                <w:lang w:val="hr-HR"/>
              </w:rPr>
              <w:t>18.627.228</w:t>
            </w:r>
          </w:p>
        </w:tc>
      </w:tr>
      <w:tr w:rsidR="00C57196" w:rsidRPr="001567C8" w:rsidTr="003C6BA3">
        <w:trPr>
          <w:trHeight w:hRule="exact" w:val="295"/>
        </w:trPr>
        <w:tc>
          <w:tcPr>
            <w:tcW w:w="1557" w:type="pct"/>
            <w:vAlign w:val="bottom"/>
          </w:tcPr>
          <w:p w:rsidR="005711A8" w:rsidRPr="00CD3A2D" w:rsidRDefault="005711A8" w:rsidP="005711A8">
            <w:pPr>
              <w:tabs>
                <w:tab w:val="right" w:pos="1202"/>
              </w:tabs>
              <w:spacing w:line="340" w:lineRule="exact"/>
              <w:outlineLvl w:val="0"/>
              <w:rPr>
                <w:rFonts w:asciiTheme="minorHAnsi" w:hAnsiTheme="minorHAnsi" w:cs="Arial"/>
                <w:b/>
                <w:bCs/>
                <w:sz w:val="18"/>
                <w:szCs w:val="18"/>
                <w:lang w:val="hr-HR"/>
              </w:rPr>
            </w:pPr>
          </w:p>
        </w:tc>
        <w:tc>
          <w:tcPr>
            <w:tcW w:w="538" w:type="pct"/>
            <w:tcBorders>
              <w:top w:val="nil"/>
              <w:left w:val="nil"/>
              <w:right w:val="nil"/>
            </w:tcBorders>
            <w:shd w:val="clear" w:color="auto" w:fill="auto"/>
            <w:vAlign w:val="center"/>
          </w:tcPr>
          <w:p w:rsidR="005711A8" w:rsidRPr="00CD3A2D" w:rsidRDefault="005711A8" w:rsidP="005711A8">
            <w:pPr>
              <w:tabs>
                <w:tab w:val="right" w:pos="1202"/>
              </w:tabs>
              <w:spacing w:line="340" w:lineRule="exact"/>
              <w:jc w:val="right"/>
              <w:outlineLvl w:val="0"/>
              <w:rPr>
                <w:rFonts w:asciiTheme="minorHAnsi" w:hAnsiTheme="minorHAnsi" w:cstheme="minorHAnsi"/>
                <w:b/>
                <w:sz w:val="18"/>
                <w:szCs w:val="18"/>
                <w:lang w:val="hr-HR"/>
              </w:rPr>
            </w:pPr>
          </w:p>
        </w:tc>
        <w:tc>
          <w:tcPr>
            <w:tcW w:w="581" w:type="pct"/>
            <w:tcBorders>
              <w:top w:val="nil"/>
              <w:left w:val="nil"/>
              <w:right w:val="nil"/>
            </w:tcBorders>
            <w:shd w:val="clear" w:color="auto" w:fill="auto"/>
            <w:vAlign w:val="center"/>
          </w:tcPr>
          <w:p w:rsidR="005711A8" w:rsidRPr="00CD3A2D" w:rsidRDefault="005711A8" w:rsidP="005711A8">
            <w:pPr>
              <w:tabs>
                <w:tab w:val="right" w:pos="1202"/>
              </w:tabs>
              <w:spacing w:line="340" w:lineRule="exact"/>
              <w:jc w:val="right"/>
              <w:outlineLvl w:val="0"/>
              <w:rPr>
                <w:rFonts w:asciiTheme="minorHAnsi" w:hAnsiTheme="minorHAnsi" w:cstheme="minorHAnsi"/>
                <w:b/>
                <w:sz w:val="18"/>
                <w:szCs w:val="18"/>
                <w:lang w:val="hr-HR"/>
              </w:rPr>
            </w:pPr>
          </w:p>
        </w:tc>
        <w:tc>
          <w:tcPr>
            <w:tcW w:w="581" w:type="pct"/>
            <w:tcBorders>
              <w:top w:val="nil"/>
              <w:left w:val="nil"/>
              <w:right w:val="nil"/>
            </w:tcBorders>
            <w:shd w:val="clear" w:color="auto" w:fill="auto"/>
            <w:vAlign w:val="center"/>
          </w:tcPr>
          <w:p w:rsidR="005711A8" w:rsidRPr="00CD3A2D" w:rsidRDefault="005711A8" w:rsidP="005711A8">
            <w:pPr>
              <w:tabs>
                <w:tab w:val="right" w:pos="1202"/>
              </w:tabs>
              <w:spacing w:line="340" w:lineRule="exact"/>
              <w:jc w:val="right"/>
              <w:outlineLvl w:val="0"/>
              <w:rPr>
                <w:rFonts w:asciiTheme="minorHAnsi" w:hAnsiTheme="minorHAnsi" w:cstheme="minorHAnsi"/>
                <w:b/>
                <w:sz w:val="18"/>
                <w:szCs w:val="18"/>
                <w:lang w:val="hr-HR"/>
              </w:rPr>
            </w:pPr>
          </w:p>
        </w:tc>
        <w:tc>
          <w:tcPr>
            <w:tcW w:w="581" w:type="pct"/>
            <w:tcBorders>
              <w:top w:val="nil"/>
              <w:left w:val="nil"/>
              <w:right w:val="nil"/>
            </w:tcBorders>
            <w:shd w:val="clear" w:color="auto" w:fill="auto"/>
            <w:vAlign w:val="center"/>
          </w:tcPr>
          <w:p w:rsidR="005711A8" w:rsidRPr="00CD3A2D" w:rsidRDefault="005711A8" w:rsidP="005711A8">
            <w:pPr>
              <w:tabs>
                <w:tab w:val="right" w:pos="1202"/>
              </w:tabs>
              <w:spacing w:line="340" w:lineRule="exact"/>
              <w:jc w:val="right"/>
              <w:outlineLvl w:val="0"/>
              <w:rPr>
                <w:rFonts w:asciiTheme="minorHAnsi" w:hAnsiTheme="minorHAnsi" w:cstheme="minorHAnsi"/>
                <w:b/>
                <w:sz w:val="18"/>
                <w:szCs w:val="18"/>
                <w:lang w:val="hr-HR"/>
              </w:rPr>
            </w:pPr>
          </w:p>
        </w:tc>
        <w:tc>
          <w:tcPr>
            <w:tcW w:w="581" w:type="pct"/>
            <w:tcBorders>
              <w:top w:val="nil"/>
              <w:left w:val="nil"/>
              <w:right w:val="nil"/>
            </w:tcBorders>
            <w:shd w:val="clear" w:color="auto" w:fill="auto"/>
            <w:vAlign w:val="center"/>
          </w:tcPr>
          <w:p w:rsidR="005711A8" w:rsidRPr="00CD3A2D" w:rsidRDefault="005711A8" w:rsidP="005711A8">
            <w:pPr>
              <w:tabs>
                <w:tab w:val="right" w:pos="1202"/>
              </w:tabs>
              <w:spacing w:line="340" w:lineRule="exact"/>
              <w:jc w:val="right"/>
              <w:outlineLvl w:val="0"/>
              <w:rPr>
                <w:rFonts w:asciiTheme="minorHAnsi" w:hAnsiTheme="minorHAnsi" w:cstheme="minorHAnsi"/>
                <w:b/>
                <w:sz w:val="18"/>
                <w:szCs w:val="18"/>
                <w:lang w:val="hr-HR"/>
              </w:rPr>
            </w:pPr>
          </w:p>
        </w:tc>
        <w:tc>
          <w:tcPr>
            <w:tcW w:w="580" w:type="pct"/>
            <w:tcBorders>
              <w:top w:val="nil"/>
              <w:left w:val="nil"/>
              <w:right w:val="nil"/>
            </w:tcBorders>
            <w:shd w:val="clear" w:color="auto" w:fill="auto"/>
            <w:vAlign w:val="center"/>
          </w:tcPr>
          <w:p w:rsidR="005711A8" w:rsidRPr="00CD3A2D" w:rsidRDefault="005711A8" w:rsidP="005711A8">
            <w:pPr>
              <w:tabs>
                <w:tab w:val="right" w:pos="1202"/>
              </w:tabs>
              <w:spacing w:line="340" w:lineRule="exact"/>
              <w:jc w:val="right"/>
              <w:outlineLvl w:val="0"/>
              <w:rPr>
                <w:rFonts w:asciiTheme="minorHAnsi" w:hAnsiTheme="minorHAnsi" w:cstheme="minorHAnsi"/>
                <w:b/>
                <w:sz w:val="18"/>
                <w:szCs w:val="18"/>
                <w:lang w:val="hr-HR"/>
              </w:rPr>
            </w:pPr>
          </w:p>
        </w:tc>
      </w:tr>
      <w:tr w:rsidR="00C57196" w:rsidRPr="001567C8" w:rsidTr="00CD3A2D">
        <w:trPr>
          <w:trHeight w:hRule="exact" w:val="227"/>
        </w:trPr>
        <w:tc>
          <w:tcPr>
            <w:tcW w:w="1557" w:type="pct"/>
            <w:tcBorders>
              <w:top w:val="nil"/>
              <w:left w:val="nil"/>
              <w:bottom w:val="nil"/>
              <w:right w:val="nil"/>
            </w:tcBorders>
            <w:shd w:val="clear" w:color="auto" w:fill="auto"/>
          </w:tcPr>
          <w:p w:rsidR="005711A8" w:rsidRPr="00CD3A2D" w:rsidRDefault="005711A8" w:rsidP="00CD3A2D">
            <w:pPr>
              <w:tabs>
                <w:tab w:val="right" w:pos="1202"/>
              </w:tabs>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Garancije i preuzete obveze</w:t>
            </w:r>
          </w:p>
        </w:tc>
        <w:tc>
          <w:tcPr>
            <w:tcW w:w="538"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theme="minorHAnsi"/>
                <w:b/>
                <w:sz w:val="18"/>
                <w:szCs w:val="18"/>
                <w:lang w:val="hr-HR"/>
              </w:rPr>
            </w:pPr>
          </w:p>
        </w:tc>
        <w:tc>
          <w:tcPr>
            <w:tcW w:w="581"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theme="minorHAnsi"/>
                <w:b/>
                <w:sz w:val="18"/>
                <w:szCs w:val="18"/>
                <w:lang w:val="hr-HR"/>
              </w:rPr>
            </w:pPr>
          </w:p>
        </w:tc>
        <w:tc>
          <w:tcPr>
            <w:tcW w:w="581"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theme="minorHAnsi"/>
                <w:b/>
                <w:sz w:val="18"/>
                <w:szCs w:val="18"/>
                <w:lang w:val="hr-HR"/>
              </w:rPr>
            </w:pPr>
          </w:p>
        </w:tc>
        <w:tc>
          <w:tcPr>
            <w:tcW w:w="581"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theme="minorHAnsi"/>
                <w:b/>
                <w:sz w:val="18"/>
                <w:szCs w:val="18"/>
                <w:lang w:val="hr-HR"/>
              </w:rPr>
            </w:pPr>
          </w:p>
        </w:tc>
        <w:tc>
          <w:tcPr>
            <w:tcW w:w="581"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theme="minorHAnsi"/>
                <w:b/>
                <w:sz w:val="18"/>
                <w:szCs w:val="18"/>
                <w:lang w:val="hr-HR"/>
              </w:rPr>
            </w:pPr>
          </w:p>
        </w:tc>
        <w:tc>
          <w:tcPr>
            <w:tcW w:w="580"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theme="minorHAnsi"/>
                <w:b/>
                <w:sz w:val="18"/>
                <w:szCs w:val="18"/>
                <w:lang w:val="hr-HR"/>
              </w:rPr>
            </w:pPr>
          </w:p>
        </w:tc>
      </w:tr>
      <w:tr w:rsidR="00173C60" w:rsidRPr="001567C8" w:rsidTr="00043BBB">
        <w:trPr>
          <w:trHeight w:hRule="exact" w:val="227"/>
        </w:trPr>
        <w:tc>
          <w:tcPr>
            <w:tcW w:w="1557" w:type="pct"/>
            <w:tcBorders>
              <w:top w:val="nil"/>
              <w:left w:val="nil"/>
              <w:bottom w:val="nil"/>
              <w:right w:val="nil"/>
            </w:tcBorders>
            <w:shd w:val="clear" w:color="auto" w:fill="auto"/>
            <w:vAlign w:val="center"/>
          </w:tcPr>
          <w:p w:rsidR="00173C60" w:rsidRPr="00CD3A2D" w:rsidRDefault="00173C60" w:rsidP="00173C60">
            <w:pPr>
              <w:tabs>
                <w:tab w:val="right" w:pos="1202"/>
              </w:tabs>
              <w:outlineLvl w:val="0"/>
              <w:rPr>
                <w:rFonts w:asciiTheme="minorHAnsi" w:hAnsiTheme="minorHAnsi" w:cs="Arial"/>
                <w:b/>
                <w:bCs/>
                <w:sz w:val="18"/>
                <w:szCs w:val="18"/>
                <w:lang w:val="hr-HR"/>
              </w:rPr>
            </w:pPr>
            <w:r w:rsidRPr="00CD3A2D">
              <w:rPr>
                <w:rFonts w:ascii="Calibri" w:eastAsia="Calibri" w:hAnsi="Calibri" w:cs="Arial"/>
                <w:spacing w:val="-2"/>
                <w:sz w:val="18"/>
                <w:szCs w:val="18"/>
                <w:lang w:val="hr-HR"/>
              </w:rPr>
              <w:t>Izdane garancije u kunama</w:t>
            </w:r>
          </w:p>
        </w:tc>
        <w:tc>
          <w:tcPr>
            <w:tcW w:w="538"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33,576</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0"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33,576</w:t>
            </w:r>
          </w:p>
        </w:tc>
      </w:tr>
      <w:tr w:rsidR="00173C60" w:rsidRPr="001567C8" w:rsidTr="00043BBB">
        <w:trPr>
          <w:trHeight w:hRule="exact" w:val="227"/>
        </w:trPr>
        <w:tc>
          <w:tcPr>
            <w:tcW w:w="1557" w:type="pct"/>
            <w:tcBorders>
              <w:top w:val="nil"/>
              <w:left w:val="nil"/>
              <w:bottom w:val="nil"/>
              <w:right w:val="nil"/>
            </w:tcBorders>
            <w:shd w:val="clear" w:color="auto" w:fill="auto"/>
            <w:vAlign w:val="center"/>
          </w:tcPr>
          <w:p w:rsidR="00173C60" w:rsidRPr="00CD3A2D" w:rsidRDefault="00173C60" w:rsidP="00173C60">
            <w:pPr>
              <w:tabs>
                <w:tab w:val="right" w:pos="1202"/>
              </w:tabs>
              <w:outlineLvl w:val="0"/>
              <w:rPr>
                <w:rFonts w:asciiTheme="minorHAnsi" w:hAnsiTheme="minorHAnsi" w:cs="Arial"/>
                <w:b/>
                <w:bCs/>
                <w:sz w:val="18"/>
                <w:szCs w:val="18"/>
                <w:lang w:val="hr-HR"/>
              </w:rPr>
            </w:pPr>
            <w:r w:rsidRPr="00CD3A2D">
              <w:rPr>
                <w:rFonts w:ascii="Calibri" w:eastAsia="Calibri" w:hAnsi="Calibri" w:cs="Arial"/>
                <w:spacing w:val="-2"/>
                <w:sz w:val="18"/>
                <w:szCs w:val="18"/>
                <w:lang w:val="hr-HR"/>
              </w:rPr>
              <w:t>Izdane garancije u devizama</w:t>
            </w:r>
          </w:p>
        </w:tc>
        <w:tc>
          <w:tcPr>
            <w:tcW w:w="538"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1,822,396</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0"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1,822,396</w:t>
            </w:r>
          </w:p>
        </w:tc>
      </w:tr>
      <w:tr w:rsidR="00173C60" w:rsidRPr="001567C8" w:rsidTr="00043BBB">
        <w:trPr>
          <w:trHeight w:hRule="exact" w:val="227"/>
        </w:trPr>
        <w:tc>
          <w:tcPr>
            <w:tcW w:w="1557" w:type="pct"/>
            <w:tcBorders>
              <w:top w:val="nil"/>
              <w:left w:val="nil"/>
              <w:bottom w:val="nil"/>
              <w:right w:val="nil"/>
            </w:tcBorders>
            <w:shd w:val="clear" w:color="auto" w:fill="auto"/>
            <w:vAlign w:val="center"/>
          </w:tcPr>
          <w:p w:rsidR="00173C60" w:rsidRPr="00CD3A2D" w:rsidRDefault="00173C60" w:rsidP="00173C60">
            <w:pPr>
              <w:tabs>
                <w:tab w:val="right" w:pos="1202"/>
              </w:tabs>
              <w:outlineLvl w:val="0"/>
              <w:rPr>
                <w:rFonts w:asciiTheme="minorHAnsi" w:hAnsiTheme="minorHAnsi" w:cs="Arial"/>
                <w:b/>
                <w:bCs/>
                <w:sz w:val="18"/>
                <w:szCs w:val="18"/>
                <w:lang w:val="hr-HR"/>
              </w:rPr>
            </w:pPr>
            <w:r w:rsidRPr="00CD3A2D">
              <w:rPr>
                <w:rFonts w:ascii="Calibri" w:eastAsia="Calibri" w:hAnsi="Calibri" w:cs="Arial"/>
                <w:spacing w:val="-2"/>
                <w:sz w:val="18"/>
                <w:szCs w:val="18"/>
                <w:lang w:val="hr-HR"/>
              </w:rPr>
              <w:t>Preuzete obveze po kreditima</w:t>
            </w:r>
          </w:p>
        </w:tc>
        <w:tc>
          <w:tcPr>
            <w:tcW w:w="538"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3,291,032</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0" w:type="pct"/>
            <w:tcBorders>
              <w:top w:val="nil"/>
              <w:left w:val="nil"/>
              <w:bottom w:val="nil"/>
              <w:right w:val="nil"/>
            </w:tcBorders>
            <w:shd w:val="clear" w:color="auto" w:fill="auto"/>
            <w:vAlign w:val="center"/>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pacing w:val="-2"/>
                <w:sz w:val="18"/>
                <w:szCs w:val="18"/>
              </w:rPr>
              <w:t>3,291,032</w:t>
            </w:r>
          </w:p>
        </w:tc>
      </w:tr>
      <w:tr w:rsidR="00173C60" w:rsidRPr="001567C8" w:rsidTr="00043BBB">
        <w:trPr>
          <w:trHeight w:hRule="exact" w:val="227"/>
        </w:trPr>
        <w:tc>
          <w:tcPr>
            <w:tcW w:w="1557" w:type="pct"/>
            <w:tcBorders>
              <w:top w:val="nil"/>
              <w:left w:val="nil"/>
              <w:bottom w:val="nil"/>
              <w:right w:val="nil"/>
            </w:tcBorders>
            <w:shd w:val="clear" w:color="auto" w:fill="auto"/>
            <w:vAlign w:val="bottom"/>
          </w:tcPr>
          <w:p w:rsidR="00173C60" w:rsidRPr="00CD3A2D" w:rsidRDefault="00173C60" w:rsidP="00173C60">
            <w:pPr>
              <w:tabs>
                <w:tab w:val="right" w:pos="1202"/>
              </w:tabs>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Upisani a neuplaćeni kapital EIF-a</w:t>
            </w:r>
          </w:p>
        </w:tc>
        <w:tc>
          <w:tcPr>
            <w:tcW w:w="538"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47,472</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0"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47,472</w:t>
            </w:r>
          </w:p>
        </w:tc>
      </w:tr>
      <w:tr w:rsidR="00173C60" w:rsidRPr="001567C8" w:rsidTr="00043BBB">
        <w:trPr>
          <w:trHeight w:hRule="exact" w:val="510"/>
        </w:trPr>
        <w:tc>
          <w:tcPr>
            <w:tcW w:w="1557" w:type="pct"/>
            <w:tcBorders>
              <w:top w:val="nil"/>
              <w:left w:val="nil"/>
              <w:bottom w:val="nil"/>
              <w:right w:val="nil"/>
            </w:tcBorders>
            <w:shd w:val="clear" w:color="auto" w:fill="auto"/>
            <w:vAlign w:val="bottom"/>
          </w:tcPr>
          <w:p w:rsidR="00173C60" w:rsidRPr="00CD3A2D" w:rsidRDefault="00173C60" w:rsidP="00173C60">
            <w:pPr>
              <w:tabs>
                <w:tab w:val="right" w:pos="1202"/>
              </w:tabs>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Ostale nespomenute neopozive potencijalne obveze</w:t>
            </w:r>
          </w:p>
        </w:tc>
        <w:tc>
          <w:tcPr>
            <w:tcW w:w="538"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93</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1" w:type="pct"/>
            <w:tcBorders>
              <w:top w:val="nil"/>
              <w:left w:val="nil"/>
              <w:bottom w:val="nil"/>
              <w:right w:val="nil"/>
            </w:tcBorders>
            <w:shd w:val="clear" w:color="auto" w:fill="auto"/>
          </w:tcPr>
          <w:p w:rsidR="00173C60" w:rsidRDefault="00173C60" w:rsidP="00173C60">
            <w:pPr>
              <w:jc w:val="right"/>
            </w:pPr>
            <w:r w:rsidRPr="007C7F7F">
              <w:rPr>
                <w:rFonts w:ascii="Calibri" w:hAnsi="Calibri" w:cs="Calibri"/>
                <w:color w:val="000000"/>
                <w:sz w:val="18"/>
                <w:szCs w:val="18"/>
                <w:lang w:val="hr-HR"/>
              </w:rPr>
              <w:t>-</w:t>
            </w:r>
          </w:p>
        </w:tc>
        <w:tc>
          <w:tcPr>
            <w:tcW w:w="580" w:type="pct"/>
            <w:tcBorders>
              <w:top w:val="nil"/>
              <w:left w:val="nil"/>
              <w:bottom w:val="nil"/>
              <w:right w:val="nil"/>
            </w:tcBorders>
            <w:shd w:val="clear" w:color="auto" w:fill="auto"/>
            <w:vAlign w:val="bottom"/>
          </w:tcPr>
          <w:p w:rsidR="00173C60" w:rsidRPr="00CD3A2D" w:rsidRDefault="00173C60" w:rsidP="00173C60">
            <w:pPr>
              <w:tabs>
                <w:tab w:val="right" w:pos="1202"/>
              </w:tabs>
              <w:spacing w:line="240" w:lineRule="exact"/>
              <w:jc w:val="right"/>
              <w:outlineLvl w:val="0"/>
              <w:rPr>
                <w:rFonts w:ascii="Calibri" w:eastAsia="Calibri" w:hAnsi="Calibri" w:cs="Arial"/>
                <w:spacing w:val="-2"/>
                <w:sz w:val="18"/>
                <w:szCs w:val="18"/>
                <w:lang w:val="hr-HR"/>
              </w:rPr>
            </w:pPr>
            <w:r w:rsidRPr="00B03E71">
              <w:rPr>
                <w:rFonts w:asciiTheme="minorHAnsi" w:hAnsiTheme="minorHAnsi" w:cstheme="minorHAnsi"/>
                <w:sz w:val="18"/>
                <w:szCs w:val="18"/>
              </w:rPr>
              <w:t>93</w:t>
            </w:r>
          </w:p>
        </w:tc>
      </w:tr>
      <w:tr w:rsidR="007D6988" w:rsidRPr="001567C8" w:rsidTr="00043BBB">
        <w:trPr>
          <w:trHeight w:hRule="exact" w:val="284"/>
        </w:trPr>
        <w:tc>
          <w:tcPr>
            <w:tcW w:w="1557" w:type="pct"/>
            <w:tcBorders>
              <w:top w:val="nil"/>
              <w:left w:val="nil"/>
              <w:bottom w:val="nil"/>
              <w:right w:val="nil"/>
            </w:tcBorders>
            <w:shd w:val="clear" w:color="auto" w:fill="auto"/>
            <w:vAlign w:val="center"/>
          </w:tcPr>
          <w:p w:rsidR="007D6988" w:rsidRPr="00CD3A2D" w:rsidRDefault="007D6988" w:rsidP="007D6988">
            <w:pPr>
              <w:tabs>
                <w:tab w:val="right" w:pos="1202"/>
              </w:tabs>
              <w:outlineLvl w:val="0"/>
              <w:rPr>
                <w:rFonts w:ascii="Calibri" w:eastAsia="Calibri" w:hAnsi="Calibri" w:cs="Arial"/>
                <w:spacing w:val="-2"/>
                <w:sz w:val="18"/>
                <w:szCs w:val="18"/>
                <w:lang w:val="hr-HR"/>
              </w:rPr>
            </w:pPr>
            <w:r w:rsidRPr="00CD3A2D">
              <w:rPr>
                <w:rFonts w:ascii="Calibri" w:hAnsi="Calibri" w:cs="Calibri"/>
                <w:b/>
                <w:bCs/>
                <w:color w:val="000000"/>
                <w:sz w:val="18"/>
                <w:szCs w:val="18"/>
                <w:lang w:val="hr-HR"/>
              </w:rPr>
              <w:t>Ukupne garancije i preuzete obveze</w:t>
            </w:r>
          </w:p>
        </w:tc>
        <w:tc>
          <w:tcPr>
            <w:tcW w:w="538" w:type="pct"/>
            <w:tcBorders>
              <w:top w:val="single" w:sz="4" w:space="0" w:color="auto"/>
              <w:left w:val="nil"/>
              <w:bottom w:val="single" w:sz="12" w:space="0" w:color="auto"/>
              <w:right w:val="nil"/>
            </w:tcBorders>
            <w:shd w:val="clear" w:color="auto" w:fill="auto"/>
            <w:vAlign w:val="bottom"/>
          </w:tcPr>
          <w:p w:rsidR="007D6988" w:rsidRPr="00CD3A2D" w:rsidRDefault="007D6988" w:rsidP="007D6988">
            <w:pPr>
              <w:tabs>
                <w:tab w:val="right" w:pos="1202"/>
              </w:tabs>
              <w:jc w:val="right"/>
              <w:outlineLvl w:val="0"/>
              <w:rPr>
                <w:rFonts w:ascii="Calibri" w:hAnsi="Calibri" w:cs="Calibri"/>
                <w:b/>
                <w:sz w:val="18"/>
                <w:szCs w:val="18"/>
                <w:lang w:val="hr-HR"/>
              </w:rPr>
            </w:pPr>
            <w:r w:rsidRPr="00CD3A2D">
              <w:rPr>
                <w:rFonts w:ascii="Calibri" w:hAnsi="Calibri" w:cs="Calibri"/>
                <w:b/>
                <w:bCs/>
                <w:color w:val="000000"/>
                <w:sz w:val="18"/>
                <w:szCs w:val="18"/>
                <w:lang w:val="hr-HR"/>
              </w:rPr>
              <w:t>5</w:t>
            </w:r>
            <w:r>
              <w:rPr>
                <w:rFonts w:ascii="Calibri" w:hAnsi="Calibri" w:cs="Calibri"/>
                <w:b/>
                <w:bCs/>
                <w:color w:val="000000"/>
                <w:sz w:val="18"/>
                <w:szCs w:val="18"/>
                <w:lang w:val="hr-HR"/>
              </w:rPr>
              <w:t>,</w:t>
            </w:r>
            <w:r w:rsidRPr="00CD3A2D">
              <w:rPr>
                <w:rFonts w:ascii="Calibri" w:hAnsi="Calibri" w:cs="Calibri"/>
                <w:b/>
                <w:bCs/>
                <w:color w:val="000000"/>
                <w:sz w:val="18"/>
                <w:szCs w:val="18"/>
                <w:lang w:val="hr-HR"/>
              </w:rPr>
              <w:t>194</w:t>
            </w:r>
            <w:r>
              <w:rPr>
                <w:rFonts w:ascii="Calibri" w:hAnsi="Calibri" w:cs="Calibri"/>
                <w:b/>
                <w:bCs/>
                <w:color w:val="000000"/>
                <w:sz w:val="18"/>
                <w:szCs w:val="18"/>
                <w:lang w:val="hr-HR"/>
              </w:rPr>
              <w:t>,</w:t>
            </w:r>
            <w:r w:rsidRPr="00CD3A2D">
              <w:rPr>
                <w:rFonts w:ascii="Calibri" w:hAnsi="Calibri" w:cs="Calibri"/>
                <w:b/>
                <w:bCs/>
                <w:color w:val="000000"/>
                <w:sz w:val="18"/>
                <w:szCs w:val="18"/>
                <w:lang w:val="hr-HR"/>
              </w:rPr>
              <w:t>569</w:t>
            </w:r>
          </w:p>
        </w:tc>
        <w:tc>
          <w:tcPr>
            <w:tcW w:w="581" w:type="pct"/>
            <w:tcBorders>
              <w:top w:val="single" w:sz="4" w:space="0" w:color="auto"/>
              <w:left w:val="nil"/>
              <w:bottom w:val="single" w:sz="12" w:space="0" w:color="auto"/>
              <w:right w:val="nil"/>
            </w:tcBorders>
            <w:shd w:val="clear" w:color="auto" w:fill="auto"/>
          </w:tcPr>
          <w:p w:rsidR="007D6988" w:rsidRDefault="007D6988" w:rsidP="007D6988">
            <w:pPr>
              <w:jc w:val="right"/>
            </w:pPr>
            <w:r w:rsidRPr="007C7F7F">
              <w:rPr>
                <w:rFonts w:ascii="Calibri" w:hAnsi="Calibri" w:cs="Calibri"/>
                <w:color w:val="000000"/>
                <w:sz w:val="18"/>
                <w:szCs w:val="18"/>
                <w:lang w:val="hr-HR"/>
              </w:rPr>
              <w:t>-</w:t>
            </w:r>
          </w:p>
        </w:tc>
        <w:tc>
          <w:tcPr>
            <w:tcW w:w="581" w:type="pct"/>
            <w:tcBorders>
              <w:top w:val="single" w:sz="4" w:space="0" w:color="auto"/>
              <w:left w:val="nil"/>
              <w:bottom w:val="single" w:sz="12" w:space="0" w:color="auto"/>
              <w:right w:val="nil"/>
            </w:tcBorders>
            <w:shd w:val="clear" w:color="auto" w:fill="auto"/>
          </w:tcPr>
          <w:p w:rsidR="007D6988" w:rsidRDefault="007D6988" w:rsidP="007D6988">
            <w:pPr>
              <w:jc w:val="right"/>
            </w:pPr>
            <w:r w:rsidRPr="007C7F7F">
              <w:rPr>
                <w:rFonts w:ascii="Calibri" w:hAnsi="Calibri" w:cs="Calibri"/>
                <w:color w:val="000000"/>
                <w:sz w:val="18"/>
                <w:szCs w:val="18"/>
                <w:lang w:val="hr-HR"/>
              </w:rPr>
              <w:t>-</w:t>
            </w:r>
          </w:p>
        </w:tc>
        <w:tc>
          <w:tcPr>
            <w:tcW w:w="581" w:type="pct"/>
            <w:tcBorders>
              <w:top w:val="single" w:sz="4" w:space="0" w:color="auto"/>
              <w:left w:val="nil"/>
              <w:bottom w:val="single" w:sz="12" w:space="0" w:color="auto"/>
              <w:right w:val="nil"/>
            </w:tcBorders>
            <w:shd w:val="clear" w:color="auto" w:fill="auto"/>
          </w:tcPr>
          <w:p w:rsidR="007D6988" w:rsidRDefault="007D6988" w:rsidP="007D6988">
            <w:pPr>
              <w:jc w:val="right"/>
            </w:pPr>
            <w:r w:rsidRPr="007C7F7F">
              <w:rPr>
                <w:rFonts w:ascii="Calibri" w:hAnsi="Calibri" w:cs="Calibri"/>
                <w:color w:val="000000"/>
                <w:sz w:val="18"/>
                <w:szCs w:val="18"/>
                <w:lang w:val="hr-HR"/>
              </w:rPr>
              <w:t>-</w:t>
            </w:r>
          </w:p>
        </w:tc>
        <w:tc>
          <w:tcPr>
            <w:tcW w:w="581" w:type="pct"/>
            <w:tcBorders>
              <w:top w:val="single" w:sz="4" w:space="0" w:color="auto"/>
              <w:left w:val="nil"/>
              <w:bottom w:val="single" w:sz="12" w:space="0" w:color="auto"/>
              <w:right w:val="nil"/>
            </w:tcBorders>
            <w:shd w:val="clear" w:color="auto" w:fill="auto"/>
          </w:tcPr>
          <w:p w:rsidR="007D6988" w:rsidRDefault="007D6988" w:rsidP="007D6988">
            <w:pPr>
              <w:jc w:val="right"/>
            </w:pPr>
            <w:r w:rsidRPr="007C7F7F">
              <w:rPr>
                <w:rFonts w:ascii="Calibri" w:hAnsi="Calibri" w:cs="Calibri"/>
                <w:color w:val="000000"/>
                <w:sz w:val="18"/>
                <w:szCs w:val="18"/>
                <w:lang w:val="hr-HR"/>
              </w:rPr>
              <w:t>-</w:t>
            </w:r>
          </w:p>
        </w:tc>
        <w:tc>
          <w:tcPr>
            <w:tcW w:w="580" w:type="pct"/>
            <w:tcBorders>
              <w:top w:val="single" w:sz="4" w:space="0" w:color="auto"/>
              <w:left w:val="nil"/>
              <w:bottom w:val="single" w:sz="12" w:space="0" w:color="auto"/>
              <w:right w:val="nil"/>
            </w:tcBorders>
            <w:shd w:val="clear" w:color="auto" w:fill="auto"/>
            <w:vAlign w:val="bottom"/>
          </w:tcPr>
          <w:p w:rsidR="007D6988" w:rsidRPr="00CD3A2D" w:rsidRDefault="007D6988" w:rsidP="007D6988">
            <w:pPr>
              <w:tabs>
                <w:tab w:val="right" w:pos="1202"/>
              </w:tabs>
              <w:jc w:val="right"/>
              <w:outlineLvl w:val="0"/>
              <w:rPr>
                <w:rFonts w:ascii="Calibri" w:hAnsi="Calibri" w:cs="Calibri"/>
                <w:b/>
                <w:sz w:val="18"/>
                <w:szCs w:val="18"/>
                <w:lang w:val="hr-HR"/>
              </w:rPr>
            </w:pPr>
            <w:r w:rsidRPr="00CD3A2D">
              <w:rPr>
                <w:rFonts w:ascii="Calibri" w:hAnsi="Calibri" w:cs="Calibri"/>
                <w:b/>
                <w:bCs/>
                <w:color w:val="000000"/>
                <w:sz w:val="18"/>
                <w:szCs w:val="18"/>
                <w:lang w:val="hr-HR"/>
              </w:rPr>
              <w:t>5</w:t>
            </w:r>
            <w:r>
              <w:rPr>
                <w:rFonts w:ascii="Calibri" w:hAnsi="Calibri" w:cs="Calibri"/>
                <w:b/>
                <w:bCs/>
                <w:color w:val="000000"/>
                <w:sz w:val="18"/>
                <w:szCs w:val="18"/>
                <w:lang w:val="hr-HR"/>
              </w:rPr>
              <w:t>,</w:t>
            </w:r>
            <w:r w:rsidRPr="00CD3A2D">
              <w:rPr>
                <w:rFonts w:ascii="Calibri" w:hAnsi="Calibri" w:cs="Calibri"/>
                <w:b/>
                <w:bCs/>
                <w:color w:val="000000"/>
                <w:sz w:val="18"/>
                <w:szCs w:val="18"/>
                <w:lang w:val="hr-HR"/>
              </w:rPr>
              <w:t>194</w:t>
            </w:r>
            <w:r>
              <w:rPr>
                <w:rFonts w:ascii="Calibri" w:hAnsi="Calibri" w:cs="Calibri"/>
                <w:b/>
                <w:bCs/>
                <w:color w:val="000000"/>
                <w:sz w:val="18"/>
                <w:szCs w:val="18"/>
                <w:lang w:val="hr-HR"/>
              </w:rPr>
              <w:t>,</w:t>
            </w:r>
            <w:r w:rsidRPr="00CD3A2D">
              <w:rPr>
                <w:rFonts w:ascii="Calibri" w:hAnsi="Calibri" w:cs="Calibri"/>
                <w:b/>
                <w:bCs/>
                <w:color w:val="000000"/>
                <w:sz w:val="18"/>
                <w:szCs w:val="18"/>
                <w:lang w:val="hr-HR"/>
              </w:rPr>
              <w:t>569</w:t>
            </w:r>
          </w:p>
        </w:tc>
      </w:tr>
    </w:tbl>
    <w:p w:rsidR="00DF0731" w:rsidRPr="00CD3A2D" w:rsidRDefault="00DF0731" w:rsidP="00B857DB">
      <w:pPr>
        <w:pStyle w:val="T1"/>
        <w:keepNext w:val="0"/>
        <w:spacing w:before="0" w:after="0" w:line="240" w:lineRule="auto"/>
        <w:rPr>
          <w:rFonts w:asciiTheme="minorHAnsi" w:hAnsiTheme="minorHAnsi" w:cs="Arial"/>
          <w:sz w:val="18"/>
          <w:szCs w:val="18"/>
          <w:lang w:val="hr-HR"/>
        </w:rPr>
      </w:pPr>
    </w:p>
    <w:p w:rsidR="00655EB6" w:rsidRPr="00CD3A2D" w:rsidRDefault="00655EB6" w:rsidP="00B857DB">
      <w:pPr>
        <w:pStyle w:val="T1"/>
        <w:keepNext w:val="0"/>
        <w:spacing w:before="0" w:after="0" w:line="240" w:lineRule="auto"/>
        <w:rPr>
          <w:rFonts w:asciiTheme="minorHAnsi" w:hAnsiTheme="minorHAnsi" w:cs="Arial"/>
          <w:sz w:val="18"/>
          <w:szCs w:val="18"/>
          <w:lang w:val="hr-HR"/>
        </w:rPr>
      </w:pPr>
    </w:p>
    <w:tbl>
      <w:tblPr>
        <w:tblW w:w="5345" w:type="pct"/>
        <w:tblInd w:w="-284" w:type="dxa"/>
        <w:tblLayout w:type="fixed"/>
        <w:tblCellMar>
          <w:left w:w="120" w:type="dxa"/>
          <w:right w:w="120" w:type="dxa"/>
        </w:tblCellMar>
        <w:tblLook w:val="0000" w:firstRow="0" w:lastRow="0" w:firstColumn="0" w:lastColumn="0" w:noHBand="0" w:noVBand="0"/>
      </w:tblPr>
      <w:tblGrid>
        <w:gridCol w:w="3178"/>
        <w:gridCol w:w="1138"/>
        <w:gridCol w:w="1138"/>
        <w:gridCol w:w="1138"/>
        <w:gridCol w:w="1138"/>
        <w:gridCol w:w="1138"/>
        <w:gridCol w:w="1132"/>
      </w:tblGrid>
      <w:tr w:rsidR="00B857DB" w:rsidRPr="001567C8" w:rsidTr="00AA7D69">
        <w:trPr>
          <w:trHeight w:val="511"/>
        </w:trPr>
        <w:tc>
          <w:tcPr>
            <w:tcW w:w="1589" w:type="pct"/>
          </w:tcPr>
          <w:p w:rsidR="00B857DB" w:rsidRPr="00CD3A2D" w:rsidRDefault="00B857DB">
            <w:pPr>
              <w:tabs>
                <w:tab w:val="right" w:pos="1202"/>
              </w:tabs>
              <w:spacing w:line="240" w:lineRule="atLeast"/>
              <w:outlineLvl w:val="0"/>
              <w:rPr>
                <w:rFonts w:asciiTheme="minorHAnsi" w:hAnsiTheme="minorHAnsi" w:cs="Arial"/>
                <w:b/>
                <w:sz w:val="18"/>
                <w:szCs w:val="18"/>
                <w:lang w:val="hr-HR"/>
              </w:rPr>
            </w:pPr>
            <w:r w:rsidRPr="00CD3A2D">
              <w:rPr>
                <w:rFonts w:asciiTheme="minorHAnsi" w:hAnsiTheme="minorHAnsi" w:cs="Arial"/>
                <w:b/>
                <w:sz w:val="18"/>
                <w:szCs w:val="18"/>
                <w:lang w:val="hr-HR"/>
              </w:rPr>
              <w:t>Banka</w:t>
            </w:r>
          </w:p>
          <w:p w:rsidR="00B857DB" w:rsidRPr="00CD3A2D" w:rsidRDefault="00AD2EF7">
            <w:pPr>
              <w:tabs>
                <w:tab w:val="right" w:pos="1202"/>
              </w:tabs>
              <w:spacing w:line="240" w:lineRule="atLeast"/>
              <w:outlineLvl w:val="0"/>
              <w:rPr>
                <w:rFonts w:asciiTheme="minorHAnsi" w:hAnsiTheme="minorHAnsi" w:cs="Arial"/>
                <w:b/>
                <w:sz w:val="18"/>
                <w:szCs w:val="18"/>
                <w:lang w:val="hr-HR"/>
              </w:rPr>
            </w:pPr>
            <w:r>
              <w:rPr>
                <w:rFonts w:asciiTheme="minorHAnsi" w:hAnsiTheme="minorHAnsi" w:cs="Arial"/>
                <w:b/>
                <w:sz w:val="18"/>
                <w:szCs w:val="18"/>
                <w:lang w:val="hr-HR"/>
              </w:rPr>
              <w:t>31. prosin</w:t>
            </w:r>
            <w:r w:rsidR="0073283D" w:rsidRPr="00CD3A2D">
              <w:rPr>
                <w:rFonts w:asciiTheme="minorHAnsi" w:hAnsiTheme="minorHAnsi" w:cs="Arial"/>
                <w:b/>
                <w:sz w:val="18"/>
                <w:szCs w:val="18"/>
                <w:lang w:val="hr-HR"/>
              </w:rPr>
              <w:t>c</w:t>
            </w:r>
            <w:r>
              <w:rPr>
                <w:rFonts w:asciiTheme="minorHAnsi" w:hAnsiTheme="minorHAnsi" w:cs="Arial"/>
                <w:b/>
                <w:sz w:val="18"/>
                <w:szCs w:val="18"/>
                <w:lang w:val="hr-HR"/>
              </w:rPr>
              <w:t>a</w:t>
            </w:r>
            <w:r w:rsidR="0073283D" w:rsidRPr="00CD3A2D">
              <w:rPr>
                <w:rFonts w:asciiTheme="minorHAnsi" w:hAnsiTheme="minorHAnsi" w:cs="Arial"/>
                <w:b/>
                <w:sz w:val="18"/>
                <w:szCs w:val="18"/>
                <w:lang w:val="hr-HR"/>
              </w:rPr>
              <w:t xml:space="preserve"> </w:t>
            </w:r>
            <w:r w:rsidR="00B857DB" w:rsidRPr="00CD3A2D">
              <w:rPr>
                <w:rFonts w:asciiTheme="minorHAnsi" w:hAnsiTheme="minorHAnsi" w:cs="Arial"/>
                <w:b/>
                <w:sz w:val="18"/>
                <w:szCs w:val="18"/>
                <w:lang w:val="hr-HR"/>
              </w:rPr>
              <w:t>201</w:t>
            </w:r>
            <w:r w:rsidR="00AD2AC2" w:rsidRPr="00CD3A2D">
              <w:rPr>
                <w:rFonts w:asciiTheme="minorHAnsi" w:hAnsiTheme="minorHAnsi" w:cs="Arial"/>
                <w:b/>
                <w:sz w:val="18"/>
                <w:szCs w:val="18"/>
                <w:lang w:val="hr-HR"/>
              </w:rPr>
              <w:t>7</w:t>
            </w:r>
            <w:r w:rsidR="00B857DB" w:rsidRPr="00CD3A2D">
              <w:rPr>
                <w:rFonts w:asciiTheme="minorHAnsi" w:hAnsiTheme="minorHAnsi" w:cs="Arial"/>
                <w:b/>
                <w:sz w:val="18"/>
                <w:szCs w:val="18"/>
                <w:lang w:val="hr-HR"/>
              </w:rPr>
              <w:t>. godina</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Do 1 mjesec</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1 do 3 mjeseca</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3 mj. do 1 godine</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1 do 3 godina</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Preko 3 godine</w:t>
            </w:r>
          </w:p>
        </w:tc>
        <w:tc>
          <w:tcPr>
            <w:tcW w:w="566"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Ukupno</w:t>
            </w:r>
          </w:p>
        </w:tc>
      </w:tr>
      <w:tr w:rsidR="00B857DB" w:rsidRPr="001567C8" w:rsidTr="00AA7D69">
        <w:trPr>
          <w:trHeight w:val="256"/>
        </w:trPr>
        <w:tc>
          <w:tcPr>
            <w:tcW w:w="1589" w:type="pct"/>
            <w:vAlign w:val="bottom"/>
          </w:tcPr>
          <w:p w:rsidR="00B857DB" w:rsidRPr="00CD3A2D" w:rsidRDefault="00B857DB" w:rsidP="004D7A06">
            <w:pPr>
              <w:tabs>
                <w:tab w:val="left" w:pos="-720"/>
              </w:tabs>
              <w:suppressAutoHyphens/>
              <w:jc w:val="center"/>
              <w:rPr>
                <w:rFonts w:asciiTheme="minorHAnsi" w:hAnsiTheme="minorHAnsi" w:cs="Arial"/>
                <w:b/>
                <w:spacing w:val="-2"/>
                <w:sz w:val="18"/>
                <w:szCs w:val="18"/>
                <w:lang w:val="hr-HR"/>
              </w:rPr>
            </w:pP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c>
          <w:tcPr>
            <w:tcW w:w="566"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b/>
                <w:sz w:val="18"/>
                <w:szCs w:val="18"/>
                <w:lang w:val="hr-HR"/>
              </w:rPr>
            </w:pPr>
            <w:r w:rsidRPr="00CD3A2D">
              <w:rPr>
                <w:rFonts w:asciiTheme="minorHAnsi" w:hAnsiTheme="minorHAnsi" w:cs="Arial"/>
                <w:b/>
                <w:sz w:val="18"/>
                <w:szCs w:val="18"/>
                <w:lang w:val="hr-HR"/>
              </w:rPr>
              <w:t>000 kuna</w:t>
            </w:r>
          </w:p>
        </w:tc>
      </w:tr>
      <w:tr w:rsidR="00B857DB" w:rsidRPr="001567C8" w:rsidTr="00AA7D69">
        <w:trPr>
          <w:trHeight w:val="256"/>
        </w:trPr>
        <w:tc>
          <w:tcPr>
            <w:tcW w:w="1589" w:type="pct"/>
            <w:vAlign w:val="bottom"/>
          </w:tcPr>
          <w:p w:rsidR="00B857DB" w:rsidRPr="00CD3A2D" w:rsidRDefault="00B857DB" w:rsidP="004D7A06">
            <w:pPr>
              <w:tabs>
                <w:tab w:val="right" w:pos="1202"/>
              </w:tabs>
              <w:spacing w:line="301" w:lineRule="exact"/>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Financijske obveze</w:t>
            </w: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569"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c>
          <w:tcPr>
            <w:tcW w:w="566" w:type="pct"/>
          </w:tcPr>
          <w:p w:rsidR="00B857DB" w:rsidRPr="00CD3A2D" w:rsidRDefault="00B857DB" w:rsidP="004D7A06">
            <w:pPr>
              <w:tabs>
                <w:tab w:val="right" w:pos="1202"/>
                <w:tab w:val="center" w:pos="4153"/>
                <w:tab w:val="right" w:pos="8306"/>
              </w:tabs>
              <w:spacing w:line="301" w:lineRule="exact"/>
              <w:jc w:val="right"/>
              <w:outlineLvl w:val="0"/>
              <w:rPr>
                <w:rFonts w:asciiTheme="minorHAnsi" w:hAnsiTheme="minorHAnsi" w:cs="Arial"/>
                <w:sz w:val="18"/>
                <w:szCs w:val="18"/>
                <w:lang w:val="hr-HR"/>
              </w:rPr>
            </w:pPr>
          </w:p>
        </w:tc>
      </w:tr>
      <w:tr w:rsidR="00AD2AC2" w:rsidRPr="001567C8" w:rsidTr="00AA7D69">
        <w:trPr>
          <w:trHeight w:val="256"/>
        </w:trPr>
        <w:tc>
          <w:tcPr>
            <w:tcW w:w="1589" w:type="pct"/>
            <w:vAlign w:val="bottom"/>
          </w:tcPr>
          <w:p w:rsidR="00AD2AC2" w:rsidRPr="00CD3A2D" w:rsidRDefault="00AD2AC2" w:rsidP="00AD2AC2">
            <w:pPr>
              <w:tabs>
                <w:tab w:val="right" w:pos="1202"/>
              </w:tabs>
              <w:spacing w:line="301" w:lineRule="exact"/>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Obveze po depozitima</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251.822</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187</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171.291</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211.134</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10.307</w:t>
            </w:r>
          </w:p>
        </w:tc>
        <w:tc>
          <w:tcPr>
            <w:tcW w:w="566"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644.741</w:t>
            </w:r>
          </w:p>
        </w:tc>
      </w:tr>
      <w:tr w:rsidR="00AD2AC2" w:rsidRPr="001567C8" w:rsidTr="00AA7D69">
        <w:trPr>
          <w:trHeight w:val="241"/>
        </w:trPr>
        <w:tc>
          <w:tcPr>
            <w:tcW w:w="1589" w:type="pct"/>
            <w:vAlign w:val="bottom"/>
          </w:tcPr>
          <w:p w:rsidR="00AD2AC2" w:rsidRPr="00CD3A2D" w:rsidRDefault="00AD2AC2" w:rsidP="00AD2AC2">
            <w:pPr>
              <w:tabs>
                <w:tab w:val="right" w:pos="1202"/>
              </w:tabs>
              <w:spacing w:line="301" w:lineRule="exact"/>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Obveze po kreditima</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197.142</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283.160</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1.358.672</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4.292.634</w:t>
            </w:r>
          </w:p>
        </w:tc>
        <w:tc>
          <w:tcPr>
            <w:tcW w:w="569"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10.758.724</w:t>
            </w:r>
          </w:p>
        </w:tc>
        <w:tc>
          <w:tcPr>
            <w:tcW w:w="566" w:type="pct"/>
            <w:tcBorders>
              <w:top w:val="nil"/>
              <w:left w:val="nil"/>
              <w:bottom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16.890.332</w:t>
            </w:r>
          </w:p>
        </w:tc>
      </w:tr>
      <w:tr w:rsidR="00AD2AC2" w:rsidRPr="001567C8" w:rsidTr="00AA7D69">
        <w:trPr>
          <w:trHeight w:val="511"/>
        </w:trPr>
        <w:tc>
          <w:tcPr>
            <w:tcW w:w="1589" w:type="pct"/>
            <w:vAlign w:val="bottom"/>
          </w:tcPr>
          <w:p w:rsidR="00AD2AC2" w:rsidRPr="00CD3A2D" w:rsidRDefault="00AD2AC2" w:rsidP="00AD2AC2">
            <w:pPr>
              <w:tabs>
                <w:tab w:val="right" w:pos="1202"/>
              </w:tabs>
              <w:spacing w:line="301" w:lineRule="exact"/>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Obveze za izdane dugoročne vrijednosne papire</w:t>
            </w:r>
          </w:p>
        </w:tc>
        <w:tc>
          <w:tcPr>
            <w:tcW w:w="569"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w:t>
            </w:r>
          </w:p>
        </w:tc>
        <w:tc>
          <w:tcPr>
            <w:tcW w:w="569"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w:t>
            </w:r>
          </w:p>
        </w:tc>
        <w:tc>
          <w:tcPr>
            <w:tcW w:w="569"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67.623</w:t>
            </w:r>
          </w:p>
        </w:tc>
        <w:tc>
          <w:tcPr>
            <w:tcW w:w="569"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1.253.036</w:t>
            </w:r>
          </w:p>
        </w:tc>
        <w:tc>
          <w:tcPr>
            <w:tcW w:w="569"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w:t>
            </w:r>
          </w:p>
        </w:tc>
        <w:tc>
          <w:tcPr>
            <w:tcW w:w="566" w:type="pct"/>
            <w:tcBorders>
              <w:top w:val="nil"/>
              <w:left w:val="nil"/>
              <w:right w:val="nil"/>
            </w:tcBorders>
            <w:shd w:val="clear" w:color="auto" w:fill="auto"/>
            <w:vAlign w:val="bottom"/>
          </w:tcPr>
          <w:p w:rsidR="00AD2AC2" w:rsidRPr="00CD3A2D" w:rsidRDefault="00AD2AC2" w:rsidP="00AD2AC2">
            <w:pPr>
              <w:keepNext/>
              <w:keepLines/>
              <w:tabs>
                <w:tab w:val="decimal" w:pos="1202"/>
                <w:tab w:val="center" w:pos="4153"/>
                <w:tab w:val="right" w:pos="8306"/>
              </w:tabs>
              <w:spacing w:line="301" w:lineRule="exact"/>
              <w:jc w:val="right"/>
              <w:rPr>
                <w:rFonts w:asciiTheme="minorHAnsi" w:hAnsiTheme="minorHAnsi" w:cs="Arial"/>
                <w:position w:val="4"/>
                <w:sz w:val="18"/>
                <w:szCs w:val="18"/>
                <w:lang w:val="hr-HR"/>
              </w:rPr>
            </w:pPr>
            <w:r w:rsidRPr="00CD3A2D">
              <w:rPr>
                <w:rFonts w:asciiTheme="minorHAnsi" w:hAnsiTheme="minorHAnsi" w:cs="Arial"/>
                <w:sz w:val="18"/>
                <w:szCs w:val="18"/>
                <w:lang w:val="hr-HR"/>
              </w:rPr>
              <w:t>1.320.659</w:t>
            </w:r>
          </w:p>
        </w:tc>
      </w:tr>
      <w:tr w:rsidR="00AD2AC2" w:rsidRPr="001567C8" w:rsidTr="00AA7D69">
        <w:trPr>
          <w:trHeight w:val="256"/>
        </w:trPr>
        <w:tc>
          <w:tcPr>
            <w:tcW w:w="1589" w:type="pct"/>
            <w:vAlign w:val="bottom"/>
          </w:tcPr>
          <w:p w:rsidR="00AD2AC2" w:rsidRPr="00CD3A2D" w:rsidRDefault="00AD2AC2" w:rsidP="00AD2AC2">
            <w:pPr>
              <w:tabs>
                <w:tab w:val="right" w:pos="1202"/>
              </w:tabs>
              <w:spacing w:line="301" w:lineRule="exact"/>
              <w:outlineLvl w:val="0"/>
              <w:rPr>
                <w:rFonts w:asciiTheme="minorHAnsi" w:hAnsiTheme="minorHAnsi" w:cs="Arial"/>
                <w:sz w:val="18"/>
                <w:szCs w:val="18"/>
                <w:lang w:val="hr-HR"/>
              </w:rPr>
            </w:pPr>
            <w:r w:rsidRPr="00CD3A2D">
              <w:rPr>
                <w:rFonts w:asciiTheme="minorHAnsi" w:hAnsiTheme="minorHAnsi" w:cs="Arial"/>
                <w:spacing w:val="-2"/>
                <w:sz w:val="18"/>
                <w:szCs w:val="18"/>
                <w:lang w:val="hr-HR"/>
              </w:rPr>
              <w:t>Ostale obveze</w:t>
            </w:r>
          </w:p>
        </w:tc>
        <w:tc>
          <w:tcPr>
            <w:tcW w:w="569" w:type="pct"/>
            <w:tcBorders>
              <w:top w:val="nil"/>
              <w:left w:val="nil"/>
              <w:right w:val="nil"/>
            </w:tcBorders>
            <w:shd w:val="clear" w:color="auto" w:fill="auto"/>
            <w:vAlign w:val="bottom"/>
          </w:tcPr>
          <w:p w:rsidR="00AD2AC2" w:rsidRPr="00CD3A2D" w:rsidRDefault="00AD2AC2" w:rsidP="00AD2AC2">
            <w:pPr>
              <w:tabs>
                <w:tab w:val="right" w:pos="1202"/>
                <w:tab w:val="center" w:pos="4153"/>
                <w:tab w:val="right" w:pos="8306"/>
              </w:tabs>
              <w:spacing w:line="301" w:lineRule="exact"/>
              <w:jc w:val="right"/>
              <w:outlineLvl w:val="0"/>
              <w:rPr>
                <w:rFonts w:asciiTheme="minorHAnsi" w:hAnsiTheme="minorHAnsi" w:cs="Arial"/>
                <w:sz w:val="18"/>
                <w:szCs w:val="18"/>
                <w:lang w:val="hr-HR"/>
              </w:rPr>
            </w:pPr>
            <w:r w:rsidRPr="00CD3A2D">
              <w:rPr>
                <w:rFonts w:asciiTheme="minorHAnsi" w:hAnsiTheme="minorHAnsi" w:cs="Arial"/>
                <w:sz w:val="18"/>
                <w:szCs w:val="18"/>
                <w:lang w:val="hr-HR"/>
              </w:rPr>
              <w:t>185.299</w:t>
            </w:r>
          </w:p>
        </w:tc>
        <w:tc>
          <w:tcPr>
            <w:tcW w:w="569" w:type="pct"/>
            <w:tcBorders>
              <w:top w:val="nil"/>
              <w:left w:val="nil"/>
              <w:right w:val="nil"/>
            </w:tcBorders>
            <w:shd w:val="clear" w:color="auto" w:fill="auto"/>
            <w:vAlign w:val="bottom"/>
          </w:tcPr>
          <w:p w:rsidR="00AD2AC2" w:rsidRPr="00CD3A2D" w:rsidRDefault="00AD2AC2" w:rsidP="00AD2AC2">
            <w:pPr>
              <w:tabs>
                <w:tab w:val="right" w:pos="1202"/>
                <w:tab w:val="center" w:pos="4153"/>
                <w:tab w:val="right" w:pos="8306"/>
              </w:tabs>
              <w:spacing w:line="301" w:lineRule="exact"/>
              <w:jc w:val="right"/>
              <w:outlineLvl w:val="0"/>
              <w:rPr>
                <w:rFonts w:asciiTheme="minorHAnsi" w:hAnsiTheme="minorHAnsi" w:cs="Arial"/>
                <w:sz w:val="18"/>
                <w:szCs w:val="18"/>
                <w:lang w:val="hr-HR"/>
              </w:rPr>
            </w:pPr>
            <w:r w:rsidRPr="00CD3A2D">
              <w:rPr>
                <w:rFonts w:asciiTheme="minorHAnsi" w:hAnsiTheme="minorHAnsi" w:cs="Arial"/>
                <w:sz w:val="18"/>
                <w:szCs w:val="18"/>
                <w:lang w:val="hr-HR"/>
              </w:rPr>
              <w:t>21.082</w:t>
            </w:r>
          </w:p>
        </w:tc>
        <w:tc>
          <w:tcPr>
            <w:tcW w:w="569" w:type="pct"/>
            <w:tcBorders>
              <w:top w:val="nil"/>
              <w:left w:val="nil"/>
              <w:right w:val="nil"/>
            </w:tcBorders>
            <w:shd w:val="clear" w:color="auto" w:fill="auto"/>
            <w:vAlign w:val="bottom"/>
          </w:tcPr>
          <w:p w:rsidR="00AD2AC2" w:rsidRPr="00CD3A2D" w:rsidRDefault="00AD2AC2" w:rsidP="00AD2AC2">
            <w:pPr>
              <w:tabs>
                <w:tab w:val="right" w:pos="1202"/>
                <w:tab w:val="center" w:pos="4153"/>
                <w:tab w:val="right" w:pos="8306"/>
              </w:tabs>
              <w:spacing w:line="301" w:lineRule="exact"/>
              <w:jc w:val="right"/>
              <w:outlineLvl w:val="0"/>
              <w:rPr>
                <w:rFonts w:asciiTheme="minorHAnsi" w:hAnsiTheme="minorHAnsi" w:cs="Arial"/>
                <w:sz w:val="18"/>
                <w:szCs w:val="18"/>
                <w:lang w:val="hr-HR"/>
              </w:rPr>
            </w:pPr>
            <w:r w:rsidRPr="00CD3A2D">
              <w:rPr>
                <w:rFonts w:asciiTheme="minorHAnsi" w:hAnsiTheme="minorHAnsi" w:cs="Arial"/>
                <w:sz w:val="18"/>
                <w:szCs w:val="18"/>
                <w:lang w:val="hr-HR"/>
              </w:rPr>
              <w:t>76.872</w:t>
            </w:r>
          </w:p>
        </w:tc>
        <w:tc>
          <w:tcPr>
            <w:tcW w:w="569" w:type="pct"/>
            <w:tcBorders>
              <w:top w:val="nil"/>
              <w:left w:val="nil"/>
              <w:right w:val="nil"/>
            </w:tcBorders>
            <w:shd w:val="clear" w:color="auto" w:fill="auto"/>
            <w:vAlign w:val="bottom"/>
          </w:tcPr>
          <w:p w:rsidR="00AD2AC2" w:rsidRPr="00CD3A2D" w:rsidRDefault="00AD2AC2" w:rsidP="00AD2AC2">
            <w:pPr>
              <w:tabs>
                <w:tab w:val="right" w:pos="1202"/>
                <w:tab w:val="center" w:pos="4153"/>
                <w:tab w:val="right" w:pos="8306"/>
              </w:tabs>
              <w:spacing w:line="301" w:lineRule="exact"/>
              <w:jc w:val="right"/>
              <w:outlineLvl w:val="0"/>
              <w:rPr>
                <w:rFonts w:asciiTheme="minorHAnsi" w:hAnsiTheme="minorHAnsi" w:cs="Arial"/>
                <w:sz w:val="18"/>
                <w:szCs w:val="18"/>
                <w:lang w:val="hr-HR"/>
              </w:rPr>
            </w:pPr>
            <w:r w:rsidRPr="00CD3A2D">
              <w:rPr>
                <w:rFonts w:asciiTheme="minorHAnsi" w:hAnsiTheme="minorHAnsi" w:cs="Arial"/>
                <w:sz w:val="18"/>
                <w:szCs w:val="18"/>
                <w:lang w:val="hr-HR"/>
              </w:rPr>
              <w:t>144.072</w:t>
            </w:r>
          </w:p>
        </w:tc>
        <w:tc>
          <w:tcPr>
            <w:tcW w:w="569" w:type="pct"/>
            <w:tcBorders>
              <w:top w:val="nil"/>
              <w:left w:val="nil"/>
              <w:right w:val="nil"/>
            </w:tcBorders>
            <w:shd w:val="clear" w:color="auto" w:fill="auto"/>
            <w:vAlign w:val="bottom"/>
          </w:tcPr>
          <w:p w:rsidR="00AD2AC2" w:rsidRPr="00CD3A2D" w:rsidRDefault="00AD2AC2" w:rsidP="00AD2AC2">
            <w:pPr>
              <w:tabs>
                <w:tab w:val="right" w:pos="1202"/>
                <w:tab w:val="center" w:pos="4153"/>
                <w:tab w:val="right" w:pos="8306"/>
              </w:tabs>
              <w:spacing w:line="301" w:lineRule="exact"/>
              <w:jc w:val="right"/>
              <w:outlineLvl w:val="0"/>
              <w:rPr>
                <w:rFonts w:asciiTheme="minorHAnsi" w:hAnsiTheme="minorHAnsi" w:cs="Arial"/>
                <w:sz w:val="18"/>
                <w:szCs w:val="18"/>
                <w:lang w:val="hr-HR"/>
              </w:rPr>
            </w:pPr>
            <w:r w:rsidRPr="00CD3A2D">
              <w:rPr>
                <w:rFonts w:asciiTheme="minorHAnsi" w:hAnsiTheme="minorHAnsi" w:cs="Arial"/>
                <w:sz w:val="18"/>
                <w:szCs w:val="18"/>
                <w:lang w:val="hr-HR"/>
              </w:rPr>
              <w:t>165.326</w:t>
            </w:r>
          </w:p>
        </w:tc>
        <w:tc>
          <w:tcPr>
            <w:tcW w:w="566" w:type="pct"/>
            <w:tcBorders>
              <w:top w:val="nil"/>
              <w:left w:val="nil"/>
              <w:right w:val="nil"/>
            </w:tcBorders>
            <w:shd w:val="clear" w:color="auto" w:fill="auto"/>
            <w:vAlign w:val="bottom"/>
          </w:tcPr>
          <w:p w:rsidR="00AD2AC2" w:rsidRPr="00CD3A2D" w:rsidRDefault="00AD2AC2" w:rsidP="00AD2AC2">
            <w:pPr>
              <w:tabs>
                <w:tab w:val="right" w:pos="1202"/>
                <w:tab w:val="center" w:pos="4153"/>
                <w:tab w:val="right" w:pos="8306"/>
              </w:tabs>
              <w:spacing w:line="301" w:lineRule="exact"/>
              <w:jc w:val="right"/>
              <w:outlineLvl w:val="0"/>
              <w:rPr>
                <w:rFonts w:asciiTheme="minorHAnsi" w:hAnsiTheme="minorHAnsi" w:cs="Arial"/>
                <w:sz w:val="18"/>
                <w:szCs w:val="18"/>
                <w:lang w:val="hr-HR"/>
              </w:rPr>
            </w:pPr>
            <w:r w:rsidRPr="00CD3A2D">
              <w:rPr>
                <w:rFonts w:asciiTheme="minorHAnsi" w:hAnsiTheme="minorHAnsi" w:cs="Arial"/>
                <w:sz w:val="18"/>
                <w:szCs w:val="18"/>
                <w:lang w:val="hr-HR"/>
              </w:rPr>
              <w:t>592.651</w:t>
            </w:r>
          </w:p>
        </w:tc>
      </w:tr>
      <w:tr w:rsidR="00AD2AC2" w:rsidRPr="001567C8" w:rsidTr="00AA7D69">
        <w:trPr>
          <w:trHeight w:val="243"/>
        </w:trPr>
        <w:tc>
          <w:tcPr>
            <w:tcW w:w="1589" w:type="pct"/>
            <w:vAlign w:val="bottom"/>
          </w:tcPr>
          <w:p w:rsidR="00AD2AC2" w:rsidRPr="00CD3A2D" w:rsidRDefault="00AD2AC2" w:rsidP="00AD2AC2">
            <w:pPr>
              <w:tabs>
                <w:tab w:val="right" w:pos="1202"/>
              </w:tabs>
              <w:spacing w:line="340" w:lineRule="exact"/>
              <w:outlineLvl w:val="0"/>
              <w:rPr>
                <w:rFonts w:asciiTheme="minorHAnsi" w:hAnsiTheme="minorHAnsi" w:cs="Arial"/>
                <w:b/>
                <w:bCs/>
                <w:sz w:val="18"/>
                <w:szCs w:val="18"/>
                <w:lang w:val="hr-HR"/>
              </w:rPr>
            </w:pPr>
            <w:r w:rsidRPr="00CD3A2D">
              <w:rPr>
                <w:rFonts w:asciiTheme="minorHAnsi" w:hAnsiTheme="minorHAnsi" w:cs="Arial"/>
                <w:b/>
                <w:bCs/>
                <w:sz w:val="18"/>
                <w:szCs w:val="18"/>
                <w:lang w:val="hr-HR"/>
              </w:rPr>
              <w:t>Ukupno</w:t>
            </w:r>
          </w:p>
        </w:tc>
        <w:tc>
          <w:tcPr>
            <w:tcW w:w="569" w:type="pct"/>
            <w:tcBorders>
              <w:top w:val="single" w:sz="4" w:space="0" w:color="auto"/>
              <w:left w:val="nil"/>
              <w:bottom w:val="single" w:sz="12" w:space="0" w:color="auto"/>
              <w:right w:val="nil"/>
            </w:tcBorders>
            <w:shd w:val="clear" w:color="auto" w:fill="auto"/>
            <w:vAlign w:val="center"/>
          </w:tcPr>
          <w:p w:rsidR="00AD2AC2" w:rsidRPr="00CD3A2D" w:rsidRDefault="00AD2AC2" w:rsidP="00AD2AC2">
            <w:pPr>
              <w:tabs>
                <w:tab w:val="right" w:pos="1202"/>
              </w:tabs>
              <w:spacing w:line="340" w:lineRule="exact"/>
              <w:jc w:val="right"/>
              <w:outlineLvl w:val="0"/>
              <w:rPr>
                <w:rFonts w:asciiTheme="minorHAnsi" w:hAnsiTheme="minorHAnsi"/>
                <w:b/>
                <w:bCs/>
                <w:sz w:val="18"/>
                <w:szCs w:val="18"/>
                <w:lang w:val="hr-HR"/>
              </w:rPr>
            </w:pPr>
            <w:r w:rsidRPr="00CD3A2D">
              <w:rPr>
                <w:rFonts w:asciiTheme="minorHAnsi" w:hAnsiTheme="minorHAnsi" w:cs="Arial"/>
                <w:b/>
                <w:bCs/>
                <w:color w:val="000000"/>
                <w:sz w:val="18"/>
                <w:szCs w:val="18"/>
                <w:lang w:val="hr-HR"/>
              </w:rPr>
              <w:t>634.263</w:t>
            </w:r>
          </w:p>
        </w:tc>
        <w:tc>
          <w:tcPr>
            <w:tcW w:w="569" w:type="pct"/>
            <w:tcBorders>
              <w:top w:val="single" w:sz="4" w:space="0" w:color="auto"/>
              <w:left w:val="nil"/>
              <w:bottom w:val="single" w:sz="12" w:space="0" w:color="auto"/>
              <w:right w:val="nil"/>
            </w:tcBorders>
            <w:shd w:val="clear" w:color="auto" w:fill="auto"/>
            <w:vAlign w:val="center"/>
          </w:tcPr>
          <w:p w:rsidR="00AD2AC2" w:rsidRPr="00CD3A2D" w:rsidRDefault="00AD2AC2" w:rsidP="00AD2AC2">
            <w:pPr>
              <w:tabs>
                <w:tab w:val="right" w:pos="1202"/>
              </w:tabs>
              <w:spacing w:line="340" w:lineRule="exact"/>
              <w:jc w:val="right"/>
              <w:outlineLvl w:val="0"/>
              <w:rPr>
                <w:rFonts w:asciiTheme="minorHAnsi" w:hAnsiTheme="minorHAnsi"/>
                <w:b/>
                <w:bCs/>
                <w:sz w:val="18"/>
                <w:szCs w:val="18"/>
                <w:lang w:val="hr-HR"/>
              </w:rPr>
            </w:pPr>
            <w:r w:rsidRPr="00CD3A2D">
              <w:rPr>
                <w:rFonts w:asciiTheme="minorHAnsi" w:hAnsiTheme="minorHAnsi" w:cs="Arial"/>
                <w:b/>
                <w:bCs/>
                <w:color w:val="000000"/>
                <w:sz w:val="18"/>
                <w:szCs w:val="18"/>
                <w:lang w:val="hr-HR"/>
              </w:rPr>
              <w:t>304.429</w:t>
            </w:r>
          </w:p>
        </w:tc>
        <w:tc>
          <w:tcPr>
            <w:tcW w:w="569" w:type="pct"/>
            <w:tcBorders>
              <w:top w:val="single" w:sz="4" w:space="0" w:color="auto"/>
              <w:left w:val="nil"/>
              <w:bottom w:val="single" w:sz="12" w:space="0" w:color="auto"/>
              <w:right w:val="nil"/>
            </w:tcBorders>
            <w:shd w:val="clear" w:color="auto" w:fill="auto"/>
            <w:vAlign w:val="center"/>
          </w:tcPr>
          <w:p w:rsidR="00AD2AC2" w:rsidRPr="00CD3A2D" w:rsidRDefault="00AD2AC2" w:rsidP="00AD2AC2">
            <w:pPr>
              <w:tabs>
                <w:tab w:val="right" w:pos="1202"/>
              </w:tabs>
              <w:spacing w:line="340" w:lineRule="exact"/>
              <w:jc w:val="right"/>
              <w:outlineLvl w:val="0"/>
              <w:rPr>
                <w:rFonts w:asciiTheme="minorHAnsi" w:hAnsiTheme="minorHAnsi"/>
                <w:b/>
                <w:bCs/>
                <w:sz w:val="18"/>
                <w:szCs w:val="18"/>
                <w:lang w:val="hr-HR"/>
              </w:rPr>
            </w:pPr>
            <w:r w:rsidRPr="00CD3A2D">
              <w:rPr>
                <w:rFonts w:asciiTheme="minorHAnsi" w:hAnsiTheme="minorHAnsi" w:cs="Arial"/>
                <w:b/>
                <w:bCs/>
                <w:color w:val="000000"/>
                <w:sz w:val="18"/>
                <w:szCs w:val="18"/>
                <w:lang w:val="hr-HR"/>
              </w:rPr>
              <w:t>1.674.458</w:t>
            </w:r>
          </w:p>
        </w:tc>
        <w:tc>
          <w:tcPr>
            <w:tcW w:w="569" w:type="pct"/>
            <w:tcBorders>
              <w:top w:val="single" w:sz="4" w:space="0" w:color="auto"/>
              <w:left w:val="nil"/>
              <w:bottom w:val="single" w:sz="12" w:space="0" w:color="auto"/>
              <w:right w:val="nil"/>
            </w:tcBorders>
            <w:shd w:val="clear" w:color="auto" w:fill="auto"/>
            <w:vAlign w:val="center"/>
          </w:tcPr>
          <w:p w:rsidR="00AD2AC2" w:rsidRPr="00CD3A2D" w:rsidRDefault="00AD2AC2" w:rsidP="00AD2AC2">
            <w:pPr>
              <w:tabs>
                <w:tab w:val="right" w:pos="1202"/>
              </w:tabs>
              <w:spacing w:line="340" w:lineRule="exact"/>
              <w:jc w:val="right"/>
              <w:outlineLvl w:val="0"/>
              <w:rPr>
                <w:rFonts w:asciiTheme="minorHAnsi" w:hAnsiTheme="minorHAnsi"/>
                <w:b/>
                <w:bCs/>
                <w:sz w:val="18"/>
                <w:szCs w:val="18"/>
                <w:lang w:val="hr-HR"/>
              </w:rPr>
            </w:pPr>
            <w:r w:rsidRPr="00CD3A2D">
              <w:rPr>
                <w:rFonts w:asciiTheme="minorHAnsi" w:hAnsiTheme="minorHAnsi" w:cs="Arial"/>
                <w:b/>
                <w:bCs/>
                <w:color w:val="000000"/>
                <w:sz w:val="18"/>
                <w:szCs w:val="18"/>
                <w:lang w:val="hr-HR"/>
              </w:rPr>
              <w:t>5.900.876</w:t>
            </w:r>
          </w:p>
        </w:tc>
        <w:tc>
          <w:tcPr>
            <w:tcW w:w="569" w:type="pct"/>
            <w:tcBorders>
              <w:top w:val="single" w:sz="4" w:space="0" w:color="auto"/>
              <w:left w:val="nil"/>
              <w:bottom w:val="single" w:sz="12" w:space="0" w:color="auto"/>
              <w:right w:val="nil"/>
            </w:tcBorders>
            <w:shd w:val="clear" w:color="auto" w:fill="auto"/>
            <w:vAlign w:val="center"/>
          </w:tcPr>
          <w:p w:rsidR="00AD2AC2" w:rsidRPr="00CD3A2D" w:rsidRDefault="00AD2AC2" w:rsidP="00AD2AC2">
            <w:pPr>
              <w:tabs>
                <w:tab w:val="right" w:pos="1202"/>
              </w:tabs>
              <w:spacing w:line="340" w:lineRule="exact"/>
              <w:jc w:val="right"/>
              <w:outlineLvl w:val="0"/>
              <w:rPr>
                <w:rFonts w:asciiTheme="minorHAnsi" w:hAnsiTheme="minorHAnsi"/>
                <w:b/>
                <w:bCs/>
                <w:sz w:val="18"/>
                <w:szCs w:val="18"/>
                <w:lang w:val="hr-HR"/>
              </w:rPr>
            </w:pPr>
            <w:r w:rsidRPr="00CD3A2D">
              <w:rPr>
                <w:rFonts w:asciiTheme="minorHAnsi" w:hAnsiTheme="minorHAnsi" w:cs="Arial"/>
                <w:b/>
                <w:bCs/>
                <w:color w:val="000000"/>
                <w:sz w:val="18"/>
                <w:szCs w:val="18"/>
                <w:lang w:val="hr-HR"/>
              </w:rPr>
              <w:t>10.934.357</w:t>
            </w:r>
          </w:p>
        </w:tc>
        <w:tc>
          <w:tcPr>
            <w:tcW w:w="566" w:type="pct"/>
            <w:tcBorders>
              <w:top w:val="single" w:sz="4" w:space="0" w:color="auto"/>
              <w:left w:val="nil"/>
              <w:bottom w:val="single" w:sz="12" w:space="0" w:color="auto"/>
              <w:right w:val="nil"/>
            </w:tcBorders>
            <w:shd w:val="clear" w:color="auto" w:fill="auto"/>
            <w:vAlign w:val="center"/>
          </w:tcPr>
          <w:p w:rsidR="00AD2AC2" w:rsidRPr="00CD3A2D" w:rsidRDefault="00AD2AC2" w:rsidP="00AD2AC2">
            <w:pPr>
              <w:tabs>
                <w:tab w:val="right" w:pos="1202"/>
              </w:tabs>
              <w:spacing w:line="340" w:lineRule="exact"/>
              <w:jc w:val="right"/>
              <w:outlineLvl w:val="0"/>
              <w:rPr>
                <w:rFonts w:asciiTheme="minorHAnsi" w:hAnsiTheme="minorHAnsi"/>
                <w:b/>
                <w:bCs/>
                <w:sz w:val="18"/>
                <w:szCs w:val="18"/>
                <w:lang w:val="hr-HR"/>
              </w:rPr>
            </w:pPr>
            <w:r w:rsidRPr="00CD3A2D">
              <w:rPr>
                <w:rFonts w:asciiTheme="minorHAnsi" w:hAnsiTheme="minorHAnsi" w:cs="Arial"/>
                <w:b/>
                <w:bCs/>
                <w:color w:val="000000"/>
                <w:sz w:val="18"/>
                <w:szCs w:val="18"/>
                <w:lang w:val="hr-HR"/>
              </w:rPr>
              <w:t>19.448.383</w:t>
            </w:r>
          </w:p>
        </w:tc>
      </w:tr>
      <w:tr w:rsidR="00C00CC9" w:rsidRPr="001567C8" w:rsidTr="00CD3A2D">
        <w:trPr>
          <w:trHeight w:hRule="exact" w:val="113"/>
        </w:trPr>
        <w:tc>
          <w:tcPr>
            <w:tcW w:w="1589" w:type="pct"/>
            <w:vAlign w:val="bottom"/>
          </w:tcPr>
          <w:p w:rsidR="00C00CC9" w:rsidRPr="00CD3A2D" w:rsidRDefault="00C00CC9" w:rsidP="00AD2AC2">
            <w:pPr>
              <w:tabs>
                <w:tab w:val="right" w:pos="1202"/>
              </w:tabs>
              <w:spacing w:line="340" w:lineRule="exact"/>
              <w:outlineLvl w:val="0"/>
              <w:rPr>
                <w:rFonts w:asciiTheme="minorHAnsi" w:hAnsiTheme="minorHAnsi" w:cs="Arial"/>
                <w:b/>
                <w:bCs/>
                <w:sz w:val="18"/>
                <w:szCs w:val="18"/>
                <w:lang w:val="hr-HR"/>
              </w:rPr>
            </w:pPr>
          </w:p>
        </w:tc>
        <w:tc>
          <w:tcPr>
            <w:tcW w:w="569" w:type="pct"/>
            <w:tcBorders>
              <w:top w:val="single" w:sz="4" w:space="0" w:color="auto"/>
              <w:left w:val="nil"/>
              <w:right w:val="nil"/>
            </w:tcBorders>
            <w:shd w:val="clear" w:color="auto" w:fill="auto"/>
            <w:vAlign w:val="center"/>
          </w:tcPr>
          <w:p w:rsidR="00C00CC9" w:rsidRPr="00CD3A2D" w:rsidRDefault="00C00CC9" w:rsidP="00AD2AC2">
            <w:pPr>
              <w:tabs>
                <w:tab w:val="right" w:pos="1202"/>
              </w:tabs>
              <w:spacing w:line="340" w:lineRule="exact"/>
              <w:jc w:val="right"/>
              <w:outlineLvl w:val="0"/>
              <w:rPr>
                <w:rFonts w:asciiTheme="minorHAnsi" w:hAnsiTheme="minorHAnsi" w:cs="Arial"/>
                <w:b/>
                <w:bCs/>
                <w:color w:val="000000"/>
                <w:sz w:val="18"/>
                <w:szCs w:val="18"/>
                <w:lang w:val="hr-HR"/>
              </w:rPr>
            </w:pPr>
          </w:p>
        </w:tc>
        <w:tc>
          <w:tcPr>
            <w:tcW w:w="569" w:type="pct"/>
            <w:tcBorders>
              <w:top w:val="single" w:sz="4" w:space="0" w:color="auto"/>
              <w:left w:val="nil"/>
              <w:right w:val="nil"/>
            </w:tcBorders>
            <w:shd w:val="clear" w:color="auto" w:fill="auto"/>
            <w:vAlign w:val="center"/>
          </w:tcPr>
          <w:p w:rsidR="00C00CC9" w:rsidRPr="00CD3A2D" w:rsidRDefault="00C00CC9" w:rsidP="00AD2AC2">
            <w:pPr>
              <w:tabs>
                <w:tab w:val="right" w:pos="1202"/>
              </w:tabs>
              <w:spacing w:line="340" w:lineRule="exact"/>
              <w:jc w:val="right"/>
              <w:outlineLvl w:val="0"/>
              <w:rPr>
                <w:rFonts w:asciiTheme="minorHAnsi" w:hAnsiTheme="minorHAnsi" w:cs="Arial"/>
                <w:b/>
                <w:bCs/>
                <w:color w:val="000000"/>
                <w:sz w:val="18"/>
                <w:szCs w:val="18"/>
                <w:lang w:val="hr-HR"/>
              </w:rPr>
            </w:pPr>
          </w:p>
        </w:tc>
        <w:tc>
          <w:tcPr>
            <w:tcW w:w="569" w:type="pct"/>
            <w:tcBorders>
              <w:top w:val="single" w:sz="4" w:space="0" w:color="auto"/>
              <w:left w:val="nil"/>
              <w:right w:val="nil"/>
            </w:tcBorders>
            <w:shd w:val="clear" w:color="auto" w:fill="auto"/>
            <w:vAlign w:val="center"/>
          </w:tcPr>
          <w:p w:rsidR="00C00CC9" w:rsidRPr="00CD3A2D" w:rsidRDefault="00C00CC9" w:rsidP="00AD2AC2">
            <w:pPr>
              <w:tabs>
                <w:tab w:val="right" w:pos="1202"/>
              </w:tabs>
              <w:spacing w:line="340" w:lineRule="exact"/>
              <w:jc w:val="right"/>
              <w:outlineLvl w:val="0"/>
              <w:rPr>
                <w:rFonts w:asciiTheme="minorHAnsi" w:hAnsiTheme="minorHAnsi" w:cs="Arial"/>
                <w:b/>
                <w:bCs/>
                <w:color w:val="000000"/>
                <w:sz w:val="18"/>
                <w:szCs w:val="18"/>
                <w:lang w:val="hr-HR"/>
              </w:rPr>
            </w:pPr>
          </w:p>
        </w:tc>
        <w:tc>
          <w:tcPr>
            <w:tcW w:w="569" w:type="pct"/>
            <w:tcBorders>
              <w:top w:val="single" w:sz="4" w:space="0" w:color="auto"/>
              <w:left w:val="nil"/>
              <w:right w:val="nil"/>
            </w:tcBorders>
            <w:shd w:val="clear" w:color="auto" w:fill="auto"/>
            <w:vAlign w:val="center"/>
          </w:tcPr>
          <w:p w:rsidR="00C00CC9" w:rsidRPr="00CD3A2D" w:rsidRDefault="00C00CC9" w:rsidP="00AD2AC2">
            <w:pPr>
              <w:tabs>
                <w:tab w:val="right" w:pos="1202"/>
              </w:tabs>
              <w:spacing w:line="340" w:lineRule="exact"/>
              <w:jc w:val="right"/>
              <w:outlineLvl w:val="0"/>
              <w:rPr>
                <w:rFonts w:asciiTheme="minorHAnsi" w:hAnsiTheme="minorHAnsi" w:cs="Arial"/>
                <w:b/>
                <w:bCs/>
                <w:color w:val="000000"/>
                <w:sz w:val="18"/>
                <w:szCs w:val="18"/>
                <w:lang w:val="hr-HR"/>
              </w:rPr>
            </w:pPr>
          </w:p>
        </w:tc>
        <w:tc>
          <w:tcPr>
            <w:tcW w:w="569" w:type="pct"/>
            <w:tcBorders>
              <w:top w:val="single" w:sz="4" w:space="0" w:color="auto"/>
              <w:left w:val="nil"/>
              <w:right w:val="nil"/>
            </w:tcBorders>
            <w:shd w:val="clear" w:color="auto" w:fill="auto"/>
            <w:vAlign w:val="center"/>
          </w:tcPr>
          <w:p w:rsidR="00C00CC9" w:rsidRPr="00CD3A2D" w:rsidRDefault="00C00CC9" w:rsidP="00AD2AC2">
            <w:pPr>
              <w:tabs>
                <w:tab w:val="right" w:pos="1202"/>
              </w:tabs>
              <w:spacing w:line="340" w:lineRule="exact"/>
              <w:jc w:val="right"/>
              <w:outlineLvl w:val="0"/>
              <w:rPr>
                <w:rFonts w:asciiTheme="minorHAnsi" w:hAnsiTheme="minorHAnsi" w:cs="Arial"/>
                <w:b/>
                <w:bCs/>
                <w:color w:val="000000"/>
                <w:sz w:val="18"/>
                <w:szCs w:val="18"/>
                <w:lang w:val="hr-HR"/>
              </w:rPr>
            </w:pPr>
          </w:p>
        </w:tc>
        <w:tc>
          <w:tcPr>
            <w:tcW w:w="566" w:type="pct"/>
            <w:tcBorders>
              <w:top w:val="single" w:sz="4" w:space="0" w:color="auto"/>
              <w:left w:val="nil"/>
              <w:right w:val="nil"/>
            </w:tcBorders>
            <w:shd w:val="clear" w:color="auto" w:fill="auto"/>
            <w:vAlign w:val="center"/>
          </w:tcPr>
          <w:p w:rsidR="00C00CC9" w:rsidRPr="00CD3A2D" w:rsidRDefault="00C00CC9" w:rsidP="00AD2AC2">
            <w:pPr>
              <w:tabs>
                <w:tab w:val="right" w:pos="1202"/>
              </w:tabs>
              <w:spacing w:line="340" w:lineRule="exact"/>
              <w:jc w:val="right"/>
              <w:outlineLvl w:val="0"/>
              <w:rPr>
                <w:rFonts w:asciiTheme="minorHAnsi" w:hAnsiTheme="minorHAnsi" w:cs="Arial"/>
                <w:b/>
                <w:bCs/>
                <w:color w:val="000000"/>
                <w:sz w:val="18"/>
                <w:szCs w:val="18"/>
                <w:lang w:val="hr-HR"/>
              </w:rPr>
            </w:pPr>
          </w:p>
        </w:tc>
      </w:tr>
      <w:tr w:rsidR="005711A8" w:rsidRPr="001567C8" w:rsidTr="00CD3A2D">
        <w:trPr>
          <w:trHeight w:hRule="exact" w:val="227"/>
        </w:trPr>
        <w:tc>
          <w:tcPr>
            <w:tcW w:w="1589" w:type="pct"/>
            <w:tcBorders>
              <w:top w:val="nil"/>
              <w:left w:val="nil"/>
              <w:bottom w:val="nil"/>
              <w:right w:val="nil"/>
            </w:tcBorders>
            <w:shd w:val="clear" w:color="auto" w:fill="auto"/>
            <w:vAlign w:val="bottom"/>
          </w:tcPr>
          <w:p w:rsidR="005711A8" w:rsidRPr="00CD3A2D" w:rsidRDefault="005711A8" w:rsidP="00CD3A2D">
            <w:pPr>
              <w:tabs>
                <w:tab w:val="right" w:pos="1202"/>
              </w:tabs>
              <w:outlineLvl w:val="0"/>
              <w:rPr>
                <w:rFonts w:asciiTheme="minorHAnsi" w:hAnsiTheme="minorHAnsi" w:cs="Arial"/>
                <w:b/>
                <w:bCs/>
                <w:sz w:val="18"/>
                <w:szCs w:val="18"/>
                <w:lang w:val="hr-HR"/>
              </w:rPr>
            </w:pPr>
            <w:r w:rsidRPr="00CD3A2D">
              <w:rPr>
                <w:rFonts w:ascii="Calibri" w:hAnsi="Calibri" w:cs="Calibri"/>
                <w:b/>
                <w:bCs/>
                <w:color w:val="000000"/>
                <w:sz w:val="18"/>
                <w:szCs w:val="18"/>
                <w:lang w:val="hr-HR"/>
              </w:rPr>
              <w:t>Garancije i preuzete obveze</w:t>
            </w:r>
          </w:p>
        </w:tc>
        <w:tc>
          <w:tcPr>
            <w:tcW w:w="569"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Arial"/>
                <w:b/>
                <w:bCs/>
                <w:color w:val="000000"/>
                <w:sz w:val="18"/>
                <w:szCs w:val="18"/>
                <w:lang w:val="hr-HR"/>
              </w:rPr>
            </w:pPr>
          </w:p>
        </w:tc>
        <w:tc>
          <w:tcPr>
            <w:tcW w:w="569"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Arial"/>
                <w:b/>
                <w:bCs/>
                <w:color w:val="000000"/>
                <w:sz w:val="18"/>
                <w:szCs w:val="18"/>
                <w:lang w:val="hr-HR"/>
              </w:rPr>
            </w:pPr>
          </w:p>
        </w:tc>
        <w:tc>
          <w:tcPr>
            <w:tcW w:w="569"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Arial"/>
                <w:b/>
                <w:bCs/>
                <w:color w:val="000000"/>
                <w:sz w:val="18"/>
                <w:szCs w:val="18"/>
                <w:lang w:val="hr-HR"/>
              </w:rPr>
            </w:pPr>
          </w:p>
        </w:tc>
        <w:tc>
          <w:tcPr>
            <w:tcW w:w="569"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Arial"/>
                <w:b/>
                <w:bCs/>
                <w:color w:val="000000"/>
                <w:sz w:val="18"/>
                <w:szCs w:val="18"/>
                <w:lang w:val="hr-HR"/>
              </w:rPr>
            </w:pPr>
          </w:p>
        </w:tc>
        <w:tc>
          <w:tcPr>
            <w:tcW w:w="569"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Arial"/>
                <w:b/>
                <w:bCs/>
                <w:color w:val="000000"/>
                <w:sz w:val="18"/>
                <w:szCs w:val="18"/>
                <w:lang w:val="hr-HR"/>
              </w:rPr>
            </w:pPr>
          </w:p>
        </w:tc>
        <w:tc>
          <w:tcPr>
            <w:tcW w:w="566" w:type="pct"/>
            <w:tcBorders>
              <w:top w:val="nil"/>
              <w:left w:val="nil"/>
              <w:bottom w:val="nil"/>
              <w:right w:val="nil"/>
            </w:tcBorders>
            <w:shd w:val="clear" w:color="auto" w:fill="auto"/>
            <w:vAlign w:val="bottom"/>
          </w:tcPr>
          <w:p w:rsidR="005711A8" w:rsidRPr="00CD3A2D" w:rsidRDefault="005711A8" w:rsidP="00CD3A2D">
            <w:pPr>
              <w:tabs>
                <w:tab w:val="right" w:pos="1202"/>
              </w:tabs>
              <w:jc w:val="right"/>
              <w:outlineLvl w:val="0"/>
              <w:rPr>
                <w:rFonts w:asciiTheme="minorHAnsi" w:hAnsiTheme="minorHAnsi" w:cs="Arial"/>
                <w:b/>
                <w:bCs/>
                <w:color w:val="000000"/>
                <w:sz w:val="18"/>
                <w:szCs w:val="18"/>
                <w:lang w:val="hr-HR"/>
              </w:rPr>
            </w:pPr>
          </w:p>
        </w:tc>
      </w:tr>
      <w:tr w:rsidR="00E07F44" w:rsidRPr="001567C8" w:rsidTr="00043BBB">
        <w:trPr>
          <w:trHeight w:hRule="exact" w:val="227"/>
        </w:trPr>
        <w:tc>
          <w:tcPr>
            <w:tcW w:w="1589" w:type="pct"/>
            <w:tcBorders>
              <w:top w:val="nil"/>
              <w:left w:val="nil"/>
              <w:bottom w:val="nil"/>
              <w:right w:val="nil"/>
            </w:tcBorders>
            <w:shd w:val="clear" w:color="auto" w:fill="auto"/>
            <w:vAlign w:val="bottom"/>
          </w:tcPr>
          <w:p w:rsidR="00E07F44" w:rsidRPr="00CD3A2D" w:rsidRDefault="00E07F44" w:rsidP="00E07F44">
            <w:pPr>
              <w:tabs>
                <w:tab w:val="right" w:pos="1202"/>
              </w:tabs>
              <w:outlineLvl w:val="0"/>
              <w:rPr>
                <w:rFonts w:asciiTheme="minorHAnsi" w:hAnsiTheme="minorHAnsi" w:cs="Arial"/>
                <w:b/>
                <w:bCs/>
                <w:sz w:val="18"/>
                <w:szCs w:val="18"/>
                <w:lang w:val="hr-HR"/>
              </w:rPr>
            </w:pPr>
            <w:r w:rsidRPr="00CD3A2D">
              <w:rPr>
                <w:rFonts w:ascii="Calibri" w:eastAsia="Calibri" w:hAnsi="Calibri" w:cs="Arial"/>
                <w:spacing w:val="-2"/>
                <w:sz w:val="18"/>
                <w:szCs w:val="18"/>
                <w:lang w:val="hr-HR"/>
              </w:rPr>
              <w:t>Izdane garancije u kunama</w:t>
            </w:r>
          </w:p>
        </w:tc>
        <w:tc>
          <w:tcPr>
            <w:tcW w:w="569"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33</w:t>
            </w:r>
            <w:r w:rsidR="007D6988">
              <w:rPr>
                <w:rFonts w:ascii="Calibri" w:hAnsi="Calibri"/>
                <w:bCs/>
                <w:color w:val="000000"/>
                <w:sz w:val="18"/>
                <w:szCs w:val="18"/>
                <w:lang w:val="hr-HR"/>
              </w:rPr>
              <w:t>,</w:t>
            </w:r>
            <w:r w:rsidRPr="00CD3A2D">
              <w:rPr>
                <w:rFonts w:ascii="Calibri" w:hAnsi="Calibri"/>
                <w:bCs/>
                <w:color w:val="000000"/>
                <w:sz w:val="18"/>
                <w:szCs w:val="18"/>
                <w:lang w:val="hr-HR"/>
              </w:rPr>
              <w:t>993</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33</w:t>
            </w:r>
            <w:r w:rsidR="007D6988">
              <w:rPr>
                <w:rFonts w:ascii="Calibri" w:hAnsi="Calibri"/>
                <w:bCs/>
                <w:color w:val="000000"/>
                <w:sz w:val="18"/>
                <w:szCs w:val="18"/>
                <w:lang w:val="hr-HR"/>
              </w:rPr>
              <w:t>,</w:t>
            </w:r>
            <w:r w:rsidRPr="00CD3A2D">
              <w:rPr>
                <w:rFonts w:ascii="Calibri" w:hAnsi="Calibri"/>
                <w:bCs/>
                <w:color w:val="000000"/>
                <w:sz w:val="18"/>
                <w:szCs w:val="18"/>
                <w:lang w:val="hr-HR"/>
              </w:rPr>
              <w:t>993</w:t>
            </w:r>
          </w:p>
        </w:tc>
      </w:tr>
      <w:tr w:rsidR="00E07F44" w:rsidRPr="001567C8" w:rsidTr="00043BBB">
        <w:trPr>
          <w:trHeight w:hRule="exact" w:val="227"/>
        </w:trPr>
        <w:tc>
          <w:tcPr>
            <w:tcW w:w="1589" w:type="pct"/>
            <w:tcBorders>
              <w:top w:val="nil"/>
              <w:left w:val="nil"/>
              <w:bottom w:val="nil"/>
              <w:right w:val="nil"/>
            </w:tcBorders>
            <w:shd w:val="clear" w:color="auto" w:fill="auto"/>
            <w:vAlign w:val="bottom"/>
          </w:tcPr>
          <w:p w:rsidR="00E07F44" w:rsidRPr="00CD3A2D" w:rsidRDefault="00E07F44" w:rsidP="00E07F44">
            <w:pPr>
              <w:tabs>
                <w:tab w:val="right" w:pos="1202"/>
              </w:tabs>
              <w:outlineLvl w:val="0"/>
              <w:rPr>
                <w:rFonts w:asciiTheme="minorHAnsi" w:hAnsiTheme="minorHAnsi" w:cs="Arial"/>
                <w:b/>
                <w:bCs/>
                <w:sz w:val="18"/>
                <w:szCs w:val="18"/>
                <w:lang w:val="hr-HR"/>
              </w:rPr>
            </w:pPr>
            <w:r w:rsidRPr="00CD3A2D">
              <w:rPr>
                <w:rFonts w:ascii="Calibri" w:eastAsia="Calibri" w:hAnsi="Calibri" w:cs="Arial"/>
                <w:spacing w:val="-2"/>
                <w:sz w:val="18"/>
                <w:szCs w:val="18"/>
                <w:lang w:val="hr-HR"/>
              </w:rPr>
              <w:t>Izdane garancije u devizama</w:t>
            </w:r>
          </w:p>
        </w:tc>
        <w:tc>
          <w:tcPr>
            <w:tcW w:w="569"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7D6988">
              <w:rPr>
                <w:rFonts w:ascii="Calibri" w:hAnsi="Calibri"/>
                <w:bCs/>
                <w:color w:val="000000"/>
                <w:sz w:val="18"/>
                <w:szCs w:val="18"/>
                <w:lang w:val="hr-HR"/>
              </w:rPr>
              <w:t>,</w:t>
            </w:r>
            <w:r w:rsidRPr="00CD3A2D">
              <w:rPr>
                <w:rFonts w:ascii="Calibri" w:hAnsi="Calibri"/>
                <w:bCs/>
                <w:color w:val="000000"/>
                <w:sz w:val="18"/>
                <w:szCs w:val="18"/>
                <w:lang w:val="hr-HR"/>
              </w:rPr>
              <w:t>446</w:t>
            </w:r>
            <w:r w:rsidR="007D6988">
              <w:rPr>
                <w:rFonts w:ascii="Calibri" w:hAnsi="Calibri"/>
                <w:bCs/>
                <w:color w:val="000000"/>
                <w:sz w:val="18"/>
                <w:szCs w:val="18"/>
                <w:lang w:val="hr-HR"/>
              </w:rPr>
              <w:t>,</w:t>
            </w:r>
            <w:r w:rsidRPr="00CD3A2D">
              <w:rPr>
                <w:rFonts w:ascii="Calibri" w:hAnsi="Calibri"/>
                <w:bCs/>
                <w:color w:val="000000"/>
                <w:sz w:val="18"/>
                <w:szCs w:val="18"/>
                <w:lang w:val="hr-HR"/>
              </w:rPr>
              <w:t>324</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7D6988">
              <w:rPr>
                <w:rFonts w:ascii="Calibri" w:hAnsi="Calibri"/>
                <w:bCs/>
                <w:color w:val="000000"/>
                <w:sz w:val="18"/>
                <w:szCs w:val="18"/>
                <w:lang w:val="hr-HR"/>
              </w:rPr>
              <w:t>,</w:t>
            </w:r>
            <w:r w:rsidRPr="00CD3A2D">
              <w:rPr>
                <w:rFonts w:ascii="Calibri" w:hAnsi="Calibri"/>
                <w:bCs/>
                <w:color w:val="000000"/>
                <w:sz w:val="18"/>
                <w:szCs w:val="18"/>
                <w:lang w:val="hr-HR"/>
              </w:rPr>
              <w:t>446</w:t>
            </w:r>
            <w:r w:rsidR="007D6988">
              <w:rPr>
                <w:rFonts w:ascii="Calibri" w:hAnsi="Calibri"/>
                <w:bCs/>
                <w:color w:val="000000"/>
                <w:sz w:val="18"/>
                <w:szCs w:val="18"/>
                <w:lang w:val="hr-HR"/>
              </w:rPr>
              <w:t>,</w:t>
            </w:r>
            <w:r w:rsidRPr="00CD3A2D">
              <w:rPr>
                <w:rFonts w:ascii="Calibri" w:hAnsi="Calibri"/>
                <w:bCs/>
                <w:color w:val="000000"/>
                <w:sz w:val="18"/>
                <w:szCs w:val="18"/>
                <w:lang w:val="hr-HR"/>
              </w:rPr>
              <w:t>324</w:t>
            </w:r>
          </w:p>
        </w:tc>
      </w:tr>
      <w:tr w:rsidR="00E07F44" w:rsidRPr="001567C8" w:rsidTr="00043BBB">
        <w:trPr>
          <w:trHeight w:hRule="exact" w:val="227"/>
        </w:trPr>
        <w:tc>
          <w:tcPr>
            <w:tcW w:w="1589" w:type="pct"/>
            <w:tcBorders>
              <w:top w:val="nil"/>
              <w:left w:val="nil"/>
              <w:bottom w:val="nil"/>
              <w:right w:val="nil"/>
            </w:tcBorders>
            <w:shd w:val="clear" w:color="auto" w:fill="auto"/>
            <w:vAlign w:val="bottom"/>
          </w:tcPr>
          <w:p w:rsidR="00E07F44" w:rsidRPr="00CD3A2D" w:rsidRDefault="00E07F44" w:rsidP="00E07F44">
            <w:pPr>
              <w:tabs>
                <w:tab w:val="right" w:pos="1202"/>
              </w:tabs>
              <w:outlineLvl w:val="0"/>
              <w:rPr>
                <w:rFonts w:asciiTheme="minorHAnsi" w:hAnsiTheme="minorHAnsi" w:cs="Arial"/>
                <w:b/>
                <w:bCs/>
                <w:sz w:val="18"/>
                <w:szCs w:val="18"/>
                <w:lang w:val="hr-HR"/>
              </w:rPr>
            </w:pPr>
            <w:r w:rsidRPr="00CD3A2D">
              <w:rPr>
                <w:rFonts w:ascii="Calibri" w:eastAsia="Calibri" w:hAnsi="Calibri" w:cs="Arial"/>
                <w:spacing w:val="-2"/>
                <w:sz w:val="18"/>
                <w:szCs w:val="18"/>
                <w:lang w:val="hr-HR"/>
              </w:rPr>
              <w:t>Preuzete obveze po kreditima</w:t>
            </w:r>
          </w:p>
        </w:tc>
        <w:tc>
          <w:tcPr>
            <w:tcW w:w="569"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7D6988">
              <w:rPr>
                <w:rFonts w:ascii="Calibri" w:hAnsi="Calibri"/>
                <w:bCs/>
                <w:color w:val="000000"/>
                <w:sz w:val="18"/>
                <w:szCs w:val="18"/>
                <w:lang w:val="hr-HR"/>
              </w:rPr>
              <w:t>,</w:t>
            </w:r>
            <w:r w:rsidRPr="00CD3A2D">
              <w:rPr>
                <w:rFonts w:ascii="Calibri" w:hAnsi="Calibri"/>
                <w:bCs/>
                <w:color w:val="000000"/>
                <w:sz w:val="18"/>
                <w:szCs w:val="18"/>
                <w:lang w:val="hr-HR"/>
              </w:rPr>
              <w:t>986</w:t>
            </w:r>
            <w:r w:rsidR="007D6988">
              <w:rPr>
                <w:rFonts w:ascii="Calibri" w:hAnsi="Calibri"/>
                <w:bCs/>
                <w:color w:val="000000"/>
                <w:sz w:val="18"/>
                <w:szCs w:val="18"/>
                <w:lang w:val="hr-HR"/>
              </w:rPr>
              <w:t>,</w:t>
            </w:r>
            <w:r w:rsidRPr="00CD3A2D">
              <w:rPr>
                <w:rFonts w:ascii="Calibri" w:hAnsi="Calibri"/>
                <w:bCs/>
                <w:color w:val="000000"/>
                <w:sz w:val="18"/>
                <w:szCs w:val="18"/>
                <w:lang w:val="hr-HR"/>
              </w:rPr>
              <w:t>798</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Theme="minorHAnsi" w:hAnsiTheme="minorHAnsi" w:cs="Arial"/>
                <w:b/>
                <w:bCs/>
                <w:color w:val="000000"/>
                <w:sz w:val="18"/>
                <w:szCs w:val="18"/>
                <w:lang w:val="hr-HR"/>
              </w:rPr>
            </w:pPr>
            <w:r w:rsidRPr="00CD3A2D">
              <w:rPr>
                <w:rFonts w:ascii="Calibri" w:hAnsi="Calibri"/>
                <w:bCs/>
                <w:color w:val="000000"/>
                <w:sz w:val="18"/>
                <w:szCs w:val="18"/>
                <w:lang w:val="hr-HR"/>
              </w:rPr>
              <w:t>2</w:t>
            </w:r>
            <w:r w:rsidR="007D6988">
              <w:rPr>
                <w:rFonts w:ascii="Calibri" w:hAnsi="Calibri"/>
                <w:bCs/>
                <w:color w:val="000000"/>
                <w:sz w:val="18"/>
                <w:szCs w:val="18"/>
                <w:lang w:val="hr-HR"/>
              </w:rPr>
              <w:t>,</w:t>
            </w:r>
            <w:r w:rsidRPr="00CD3A2D">
              <w:rPr>
                <w:rFonts w:ascii="Calibri" w:hAnsi="Calibri"/>
                <w:bCs/>
                <w:color w:val="000000"/>
                <w:sz w:val="18"/>
                <w:szCs w:val="18"/>
                <w:lang w:val="hr-HR"/>
              </w:rPr>
              <w:t>986</w:t>
            </w:r>
            <w:r w:rsidR="007D6988">
              <w:rPr>
                <w:rFonts w:ascii="Calibri" w:hAnsi="Calibri"/>
                <w:bCs/>
                <w:color w:val="000000"/>
                <w:sz w:val="18"/>
                <w:szCs w:val="18"/>
                <w:lang w:val="hr-HR"/>
              </w:rPr>
              <w:t>,</w:t>
            </w:r>
            <w:r w:rsidRPr="00CD3A2D">
              <w:rPr>
                <w:rFonts w:ascii="Calibri" w:hAnsi="Calibri"/>
                <w:bCs/>
                <w:color w:val="000000"/>
                <w:sz w:val="18"/>
                <w:szCs w:val="18"/>
                <w:lang w:val="hr-HR"/>
              </w:rPr>
              <w:t>798</w:t>
            </w:r>
          </w:p>
        </w:tc>
      </w:tr>
      <w:tr w:rsidR="00E07F44" w:rsidRPr="001567C8" w:rsidTr="00043BBB">
        <w:trPr>
          <w:trHeight w:hRule="exact" w:val="227"/>
        </w:trPr>
        <w:tc>
          <w:tcPr>
            <w:tcW w:w="1589" w:type="pct"/>
            <w:tcBorders>
              <w:top w:val="nil"/>
              <w:left w:val="nil"/>
              <w:bottom w:val="nil"/>
              <w:right w:val="nil"/>
            </w:tcBorders>
            <w:shd w:val="clear" w:color="auto" w:fill="auto"/>
            <w:vAlign w:val="bottom"/>
          </w:tcPr>
          <w:p w:rsidR="00E07F44" w:rsidRPr="00CD3A2D" w:rsidRDefault="00E07F44" w:rsidP="00E07F44">
            <w:pPr>
              <w:tabs>
                <w:tab w:val="right" w:pos="1202"/>
              </w:tabs>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Upisani a neuplaćeni kapital EIF-a</w:t>
            </w:r>
          </w:p>
        </w:tc>
        <w:tc>
          <w:tcPr>
            <w:tcW w:w="569"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48</w:t>
            </w:r>
            <w:r w:rsidR="007D6988">
              <w:rPr>
                <w:rFonts w:ascii="Calibri" w:hAnsi="Calibri" w:cs="Calibri"/>
                <w:color w:val="000000"/>
                <w:sz w:val="18"/>
                <w:szCs w:val="18"/>
                <w:lang w:val="hr-HR"/>
              </w:rPr>
              <w:t>,</w:t>
            </w:r>
            <w:r w:rsidRPr="00CD3A2D">
              <w:rPr>
                <w:rFonts w:ascii="Calibri" w:hAnsi="Calibri" w:cs="Calibri"/>
                <w:color w:val="000000"/>
                <w:sz w:val="18"/>
                <w:szCs w:val="18"/>
                <w:lang w:val="hr-HR"/>
              </w:rPr>
              <w:t>088</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48</w:t>
            </w:r>
            <w:r w:rsidR="007D6988">
              <w:rPr>
                <w:rFonts w:ascii="Calibri" w:hAnsi="Calibri" w:cs="Calibri"/>
                <w:color w:val="000000"/>
                <w:sz w:val="18"/>
                <w:szCs w:val="18"/>
                <w:lang w:val="hr-HR"/>
              </w:rPr>
              <w:t>,</w:t>
            </w:r>
            <w:r w:rsidRPr="00CD3A2D">
              <w:rPr>
                <w:rFonts w:ascii="Calibri" w:hAnsi="Calibri" w:cs="Calibri"/>
                <w:color w:val="000000"/>
                <w:sz w:val="18"/>
                <w:szCs w:val="18"/>
                <w:lang w:val="hr-HR"/>
              </w:rPr>
              <w:t>088</w:t>
            </w:r>
          </w:p>
        </w:tc>
      </w:tr>
      <w:tr w:rsidR="00E07F44" w:rsidRPr="001567C8" w:rsidTr="00043BBB">
        <w:trPr>
          <w:trHeight w:hRule="exact" w:val="510"/>
        </w:trPr>
        <w:tc>
          <w:tcPr>
            <w:tcW w:w="1589" w:type="pct"/>
            <w:tcBorders>
              <w:top w:val="nil"/>
              <w:left w:val="nil"/>
              <w:bottom w:val="nil"/>
              <w:right w:val="nil"/>
            </w:tcBorders>
            <w:shd w:val="clear" w:color="auto" w:fill="auto"/>
            <w:vAlign w:val="bottom"/>
          </w:tcPr>
          <w:p w:rsidR="00E07F44" w:rsidRPr="00CD3A2D" w:rsidRDefault="00E07F44" w:rsidP="00E07F44">
            <w:pPr>
              <w:tabs>
                <w:tab w:val="right" w:pos="1202"/>
              </w:tabs>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Ostale nespomenute neopozive potencijalne obveze</w:t>
            </w:r>
          </w:p>
        </w:tc>
        <w:tc>
          <w:tcPr>
            <w:tcW w:w="569"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335</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nil"/>
              <w:left w:val="nil"/>
              <w:bottom w:val="nil"/>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6" w:type="pct"/>
            <w:tcBorders>
              <w:top w:val="nil"/>
              <w:left w:val="nil"/>
              <w:bottom w:val="nil"/>
              <w:right w:val="nil"/>
            </w:tcBorders>
            <w:shd w:val="clear" w:color="auto" w:fill="auto"/>
            <w:vAlign w:val="bottom"/>
          </w:tcPr>
          <w:p w:rsidR="00E07F44" w:rsidRPr="00CD3A2D" w:rsidRDefault="00E07F44" w:rsidP="00E07F44">
            <w:pPr>
              <w:tabs>
                <w:tab w:val="right" w:pos="1202"/>
              </w:tabs>
              <w:jc w:val="right"/>
              <w:outlineLvl w:val="0"/>
              <w:rPr>
                <w:rFonts w:ascii="Calibri" w:eastAsia="Calibri" w:hAnsi="Calibri" w:cs="Arial"/>
                <w:spacing w:val="-2"/>
                <w:sz w:val="18"/>
                <w:szCs w:val="18"/>
                <w:lang w:val="hr-HR"/>
              </w:rPr>
            </w:pPr>
            <w:r w:rsidRPr="00CD3A2D">
              <w:rPr>
                <w:rFonts w:ascii="Calibri" w:hAnsi="Calibri" w:cs="Calibri"/>
                <w:color w:val="000000"/>
                <w:sz w:val="18"/>
                <w:szCs w:val="18"/>
                <w:lang w:val="hr-HR"/>
              </w:rPr>
              <w:t>335</w:t>
            </w:r>
          </w:p>
        </w:tc>
      </w:tr>
      <w:tr w:rsidR="00E07F44" w:rsidRPr="001567C8" w:rsidTr="00043BBB">
        <w:trPr>
          <w:trHeight w:hRule="exact" w:val="284"/>
        </w:trPr>
        <w:tc>
          <w:tcPr>
            <w:tcW w:w="1589" w:type="pct"/>
            <w:vAlign w:val="bottom"/>
          </w:tcPr>
          <w:p w:rsidR="00E07F44" w:rsidRPr="00CD3A2D" w:rsidRDefault="00E07F44" w:rsidP="00E07F44">
            <w:pPr>
              <w:tabs>
                <w:tab w:val="right" w:pos="1202"/>
              </w:tabs>
              <w:outlineLvl w:val="0"/>
              <w:rPr>
                <w:rFonts w:asciiTheme="minorHAnsi" w:hAnsiTheme="minorHAnsi" w:cs="Arial"/>
                <w:b/>
                <w:bCs/>
                <w:sz w:val="18"/>
                <w:szCs w:val="18"/>
                <w:lang w:val="hr-HR"/>
              </w:rPr>
            </w:pPr>
            <w:r w:rsidRPr="00CD3A2D">
              <w:rPr>
                <w:rFonts w:ascii="Calibri" w:hAnsi="Calibri" w:cs="Calibri"/>
                <w:b/>
                <w:bCs/>
                <w:color w:val="000000"/>
                <w:sz w:val="18"/>
                <w:szCs w:val="18"/>
                <w:lang w:val="hr-HR"/>
              </w:rPr>
              <w:t>Ukupne garancije i preuzete obveze</w:t>
            </w:r>
          </w:p>
        </w:tc>
        <w:tc>
          <w:tcPr>
            <w:tcW w:w="569" w:type="pct"/>
            <w:tcBorders>
              <w:top w:val="single" w:sz="4" w:space="0" w:color="auto"/>
              <w:left w:val="nil"/>
              <w:bottom w:val="single" w:sz="12" w:space="0" w:color="auto"/>
              <w:right w:val="nil"/>
            </w:tcBorders>
            <w:shd w:val="clear" w:color="auto" w:fill="auto"/>
            <w:vAlign w:val="bottom"/>
          </w:tcPr>
          <w:p w:rsidR="00E07F44" w:rsidRPr="00CD3A2D" w:rsidRDefault="00E07F44" w:rsidP="00E07F44">
            <w:pPr>
              <w:tabs>
                <w:tab w:val="right" w:pos="1202"/>
              </w:tabs>
              <w:jc w:val="right"/>
              <w:outlineLvl w:val="0"/>
              <w:rPr>
                <w:rFonts w:asciiTheme="minorHAnsi" w:hAnsiTheme="minorHAnsi" w:cs="Arial"/>
                <w:b/>
                <w:bCs/>
                <w:color w:val="000000"/>
                <w:sz w:val="18"/>
                <w:szCs w:val="18"/>
                <w:lang w:val="hr-HR"/>
              </w:rPr>
            </w:pPr>
            <w:r w:rsidRPr="00CD3A2D">
              <w:rPr>
                <w:rFonts w:ascii="Calibri" w:hAnsi="Calibri"/>
                <w:b/>
                <w:bCs/>
                <w:color w:val="000000"/>
                <w:sz w:val="18"/>
                <w:szCs w:val="18"/>
                <w:lang w:val="hr-HR"/>
              </w:rPr>
              <w:t>5</w:t>
            </w:r>
            <w:r w:rsidR="007D6988">
              <w:rPr>
                <w:rFonts w:ascii="Calibri" w:hAnsi="Calibri"/>
                <w:b/>
                <w:bCs/>
                <w:color w:val="000000"/>
                <w:sz w:val="18"/>
                <w:szCs w:val="18"/>
                <w:lang w:val="hr-HR"/>
              </w:rPr>
              <w:t>,</w:t>
            </w:r>
            <w:r w:rsidRPr="00CD3A2D">
              <w:rPr>
                <w:rFonts w:ascii="Calibri" w:hAnsi="Calibri"/>
                <w:b/>
                <w:bCs/>
                <w:color w:val="000000"/>
                <w:sz w:val="18"/>
                <w:szCs w:val="18"/>
                <w:lang w:val="hr-HR"/>
              </w:rPr>
              <w:t>515</w:t>
            </w:r>
            <w:r w:rsidR="007D6988">
              <w:rPr>
                <w:rFonts w:ascii="Calibri" w:hAnsi="Calibri"/>
                <w:b/>
                <w:bCs/>
                <w:color w:val="000000"/>
                <w:sz w:val="18"/>
                <w:szCs w:val="18"/>
                <w:lang w:val="hr-HR"/>
              </w:rPr>
              <w:t>,</w:t>
            </w:r>
            <w:r w:rsidRPr="00CD3A2D">
              <w:rPr>
                <w:rFonts w:ascii="Calibri" w:hAnsi="Calibri"/>
                <w:b/>
                <w:bCs/>
                <w:color w:val="000000"/>
                <w:sz w:val="18"/>
                <w:szCs w:val="18"/>
                <w:lang w:val="hr-HR"/>
              </w:rPr>
              <w:t>538</w:t>
            </w:r>
          </w:p>
        </w:tc>
        <w:tc>
          <w:tcPr>
            <w:tcW w:w="569" w:type="pct"/>
            <w:tcBorders>
              <w:top w:val="single" w:sz="4" w:space="0" w:color="auto"/>
              <w:left w:val="nil"/>
              <w:bottom w:val="single" w:sz="12" w:space="0" w:color="auto"/>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single" w:sz="4" w:space="0" w:color="auto"/>
              <w:left w:val="nil"/>
              <w:bottom w:val="single" w:sz="12" w:space="0" w:color="auto"/>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single" w:sz="4" w:space="0" w:color="auto"/>
              <w:left w:val="nil"/>
              <w:bottom w:val="single" w:sz="12" w:space="0" w:color="auto"/>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9" w:type="pct"/>
            <w:tcBorders>
              <w:top w:val="single" w:sz="4" w:space="0" w:color="auto"/>
              <w:left w:val="nil"/>
              <w:bottom w:val="single" w:sz="12" w:space="0" w:color="auto"/>
              <w:right w:val="nil"/>
            </w:tcBorders>
            <w:shd w:val="clear" w:color="auto" w:fill="auto"/>
          </w:tcPr>
          <w:p w:rsidR="00E07F44" w:rsidRDefault="00E07F44" w:rsidP="00E07F44">
            <w:pPr>
              <w:jc w:val="right"/>
            </w:pPr>
            <w:r w:rsidRPr="00251FE7">
              <w:rPr>
                <w:rFonts w:ascii="Calibri" w:hAnsi="Calibri" w:cs="Calibri"/>
                <w:color w:val="000000"/>
                <w:sz w:val="18"/>
                <w:szCs w:val="18"/>
                <w:lang w:val="hr-HR"/>
              </w:rPr>
              <w:t>-</w:t>
            </w:r>
          </w:p>
        </w:tc>
        <w:tc>
          <w:tcPr>
            <w:tcW w:w="566" w:type="pct"/>
            <w:tcBorders>
              <w:top w:val="single" w:sz="4" w:space="0" w:color="auto"/>
              <w:left w:val="nil"/>
              <w:bottom w:val="single" w:sz="12" w:space="0" w:color="auto"/>
              <w:right w:val="nil"/>
            </w:tcBorders>
            <w:shd w:val="clear" w:color="auto" w:fill="auto"/>
            <w:vAlign w:val="bottom"/>
          </w:tcPr>
          <w:p w:rsidR="00E07F44" w:rsidRPr="00CD3A2D" w:rsidRDefault="00E07F44" w:rsidP="00E07F44">
            <w:pPr>
              <w:tabs>
                <w:tab w:val="right" w:pos="1202"/>
              </w:tabs>
              <w:jc w:val="right"/>
              <w:outlineLvl w:val="0"/>
              <w:rPr>
                <w:rFonts w:asciiTheme="minorHAnsi" w:hAnsiTheme="minorHAnsi" w:cs="Arial"/>
                <w:b/>
                <w:bCs/>
                <w:color w:val="000000"/>
                <w:sz w:val="18"/>
                <w:szCs w:val="18"/>
                <w:lang w:val="hr-HR"/>
              </w:rPr>
            </w:pPr>
            <w:r w:rsidRPr="00CD3A2D">
              <w:rPr>
                <w:rFonts w:ascii="Calibri" w:hAnsi="Calibri"/>
                <w:b/>
                <w:bCs/>
                <w:color w:val="000000"/>
                <w:sz w:val="18"/>
                <w:szCs w:val="18"/>
                <w:lang w:val="hr-HR"/>
              </w:rPr>
              <w:t>5</w:t>
            </w:r>
            <w:r w:rsidR="007D6988">
              <w:rPr>
                <w:rFonts w:ascii="Calibri" w:hAnsi="Calibri"/>
                <w:b/>
                <w:bCs/>
                <w:color w:val="000000"/>
                <w:sz w:val="18"/>
                <w:szCs w:val="18"/>
                <w:lang w:val="hr-HR"/>
              </w:rPr>
              <w:t>,</w:t>
            </w:r>
            <w:r w:rsidRPr="00CD3A2D">
              <w:rPr>
                <w:rFonts w:ascii="Calibri" w:hAnsi="Calibri"/>
                <w:b/>
                <w:bCs/>
                <w:color w:val="000000"/>
                <w:sz w:val="18"/>
                <w:szCs w:val="18"/>
                <w:lang w:val="hr-HR"/>
              </w:rPr>
              <w:t>515</w:t>
            </w:r>
            <w:r w:rsidR="007D6988">
              <w:rPr>
                <w:rFonts w:ascii="Calibri" w:hAnsi="Calibri"/>
                <w:b/>
                <w:bCs/>
                <w:color w:val="000000"/>
                <w:sz w:val="18"/>
                <w:szCs w:val="18"/>
                <w:lang w:val="hr-HR"/>
              </w:rPr>
              <w:t>,</w:t>
            </w:r>
            <w:r w:rsidRPr="00CD3A2D">
              <w:rPr>
                <w:rFonts w:ascii="Calibri" w:hAnsi="Calibri"/>
                <w:b/>
                <w:bCs/>
                <w:color w:val="000000"/>
                <w:sz w:val="18"/>
                <w:szCs w:val="18"/>
                <w:lang w:val="hr-HR"/>
              </w:rPr>
              <w:t>538</w:t>
            </w:r>
          </w:p>
        </w:tc>
      </w:tr>
    </w:tbl>
    <w:p w:rsidR="00DF0731" w:rsidRPr="001567C8" w:rsidRDefault="00DF0731" w:rsidP="00E95B1A">
      <w:pPr>
        <w:pStyle w:val="T1"/>
        <w:keepNext w:val="0"/>
        <w:rPr>
          <w:rFonts w:asciiTheme="minorHAnsi" w:hAnsiTheme="minorHAnsi" w:cs="Arial"/>
          <w:sz w:val="22"/>
          <w:szCs w:val="22"/>
          <w:lang w:val="hr-HR"/>
        </w:rPr>
      </w:pPr>
    </w:p>
    <w:p w:rsidR="00CA79E4" w:rsidRPr="001567C8" w:rsidRDefault="00CA79E4" w:rsidP="00E95B1A">
      <w:pPr>
        <w:pStyle w:val="T1"/>
        <w:keepNext w:val="0"/>
        <w:rPr>
          <w:rFonts w:asciiTheme="minorHAnsi" w:hAnsiTheme="minorHAnsi" w:cs="Arial"/>
          <w:sz w:val="22"/>
          <w:szCs w:val="22"/>
          <w:lang w:val="hr-HR"/>
        </w:rPr>
        <w:sectPr w:rsidR="00CA79E4" w:rsidRPr="001567C8" w:rsidSect="0077198A">
          <w:pgSz w:w="11907" w:h="16840" w:code="9"/>
          <w:pgMar w:top="1418" w:right="1134" w:bottom="1134" w:left="1418" w:header="851" w:footer="851" w:gutter="0"/>
          <w:cols w:space="720"/>
          <w:noEndnote/>
        </w:sectPr>
      </w:pPr>
    </w:p>
    <w:p w:rsidR="00B857DB" w:rsidRPr="001567C8" w:rsidRDefault="00B857DB" w:rsidP="00B857DB">
      <w:pPr>
        <w:pStyle w:val="T1"/>
        <w:tabs>
          <w:tab w:val="left" w:pos="709"/>
          <w:tab w:val="left" w:pos="851"/>
        </w:tabs>
        <w:spacing w:before="0" w:after="0" w:line="240" w:lineRule="auto"/>
        <w:rPr>
          <w:rFonts w:asciiTheme="minorHAnsi" w:hAnsiTheme="minorHAnsi" w:cs="Arial"/>
          <w:sz w:val="22"/>
          <w:szCs w:val="22"/>
          <w:lang w:val="hr-HR"/>
        </w:rPr>
      </w:pPr>
    </w:p>
    <w:p w:rsidR="004442AB" w:rsidRPr="001567C8" w:rsidRDefault="00674AD9" w:rsidP="00B857DB">
      <w:pPr>
        <w:pStyle w:val="T1"/>
        <w:tabs>
          <w:tab w:val="left" w:pos="709"/>
          <w:tab w:val="left" w:pos="851"/>
        </w:tabs>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F75285" w:rsidRPr="001567C8">
        <w:rPr>
          <w:rFonts w:asciiTheme="minorHAnsi" w:hAnsiTheme="minorHAnsi" w:cs="Arial"/>
          <w:sz w:val="22"/>
          <w:szCs w:val="22"/>
          <w:lang w:val="hr-HR"/>
        </w:rPr>
        <w:t>6</w:t>
      </w:r>
      <w:r w:rsidR="004442AB" w:rsidRPr="001567C8">
        <w:rPr>
          <w:rFonts w:asciiTheme="minorHAnsi" w:hAnsiTheme="minorHAnsi" w:cs="Arial"/>
          <w:sz w:val="22"/>
          <w:szCs w:val="22"/>
          <w:lang w:val="hr-HR"/>
        </w:rPr>
        <w:t>.</w:t>
      </w:r>
      <w:r w:rsidR="00F87908" w:rsidRPr="001567C8">
        <w:rPr>
          <w:rFonts w:asciiTheme="minorHAnsi" w:hAnsiTheme="minorHAnsi" w:cs="Arial"/>
          <w:sz w:val="22"/>
          <w:szCs w:val="22"/>
          <w:lang w:val="hr-HR"/>
        </w:rPr>
        <w:t xml:space="preserve">     </w:t>
      </w:r>
      <w:r w:rsidR="0030564D" w:rsidRPr="001567C8">
        <w:rPr>
          <w:rFonts w:asciiTheme="minorHAnsi" w:hAnsiTheme="minorHAnsi" w:cs="Arial"/>
          <w:sz w:val="22"/>
          <w:szCs w:val="22"/>
          <w:lang w:val="hr-HR"/>
        </w:rPr>
        <w:t xml:space="preserve">   </w:t>
      </w:r>
      <w:r w:rsidR="004442AB" w:rsidRPr="001567C8">
        <w:rPr>
          <w:rFonts w:asciiTheme="minorHAnsi" w:hAnsiTheme="minorHAnsi" w:cs="Arial"/>
          <w:sz w:val="22"/>
          <w:szCs w:val="22"/>
          <w:lang w:val="hr-HR"/>
        </w:rPr>
        <w:t>Upravljanje rizicima (nastavak)</w:t>
      </w:r>
    </w:p>
    <w:p w:rsidR="00B857DB" w:rsidRPr="001567C8" w:rsidRDefault="00B857DB" w:rsidP="00B857DB">
      <w:pPr>
        <w:pStyle w:val="T1"/>
        <w:spacing w:before="0" w:after="0" w:line="240" w:lineRule="auto"/>
        <w:rPr>
          <w:rFonts w:asciiTheme="minorHAnsi" w:hAnsiTheme="minorHAnsi" w:cs="Arial"/>
          <w:sz w:val="22"/>
          <w:szCs w:val="22"/>
          <w:lang w:val="hr-HR"/>
        </w:rPr>
      </w:pPr>
    </w:p>
    <w:p w:rsidR="00B36A45" w:rsidRPr="001567C8" w:rsidRDefault="00674AD9" w:rsidP="00B857DB">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w:t>
      </w:r>
      <w:r w:rsidR="00F75285" w:rsidRPr="001567C8">
        <w:rPr>
          <w:rFonts w:asciiTheme="minorHAnsi" w:hAnsiTheme="minorHAnsi" w:cs="Arial"/>
          <w:sz w:val="22"/>
          <w:szCs w:val="22"/>
          <w:lang w:val="hr-HR"/>
        </w:rPr>
        <w:t>6</w:t>
      </w:r>
      <w:r w:rsidR="00B36A45"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B36A45" w:rsidRPr="001567C8">
        <w:rPr>
          <w:rFonts w:asciiTheme="minorHAnsi" w:hAnsiTheme="minorHAnsi" w:cs="Arial"/>
          <w:sz w:val="22"/>
          <w:szCs w:val="22"/>
          <w:lang w:val="hr-HR"/>
        </w:rPr>
        <w:t xml:space="preserve">. </w:t>
      </w:r>
      <w:r w:rsidR="00BC12E7" w:rsidRPr="001567C8">
        <w:rPr>
          <w:rFonts w:asciiTheme="minorHAnsi" w:hAnsiTheme="minorHAnsi" w:cs="Arial"/>
          <w:sz w:val="22"/>
          <w:szCs w:val="22"/>
          <w:lang w:val="hr-HR"/>
        </w:rPr>
        <w:t xml:space="preserve"> </w:t>
      </w:r>
      <w:r w:rsidR="0030564D" w:rsidRPr="001567C8">
        <w:rPr>
          <w:rFonts w:asciiTheme="minorHAnsi" w:hAnsiTheme="minorHAnsi" w:cs="Arial"/>
          <w:sz w:val="22"/>
          <w:szCs w:val="22"/>
          <w:lang w:val="hr-HR"/>
        </w:rPr>
        <w:t xml:space="preserve">   </w:t>
      </w:r>
      <w:r w:rsidR="00B36A45" w:rsidRPr="001567C8">
        <w:rPr>
          <w:rFonts w:asciiTheme="minorHAnsi" w:hAnsiTheme="minorHAnsi" w:cs="Arial"/>
          <w:sz w:val="22"/>
          <w:szCs w:val="22"/>
          <w:lang w:val="hr-HR"/>
        </w:rPr>
        <w:t>Tržišni rizici</w:t>
      </w:r>
    </w:p>
    <w:p w:rsidR="00B857DB" w:rsidRPr="001567C8" w:rsidRDefault="00B857DB" w:rsidP="00E75FCF">
      <w:pPr>
        <w:keepNext/>
        <w:jc w:val="both"/>
        <w:rPr>
          <w:rFonts w:asciiTheme="minorHAnsi" w:hAnsiTheme="minorHAnsi" w:cs="Arial"/>
          <w:sz w:val="22"/>
          <w:szCs w:val="22"/>
          <w:lang w:val="hr-HR"/>
        </w:rPr>
      </w:pPr>
    </w:p>
    <w:p w:rsidR="00B36A45" w:rsidRPr="001567C8" w:rsidRDefault="00B36A45" w:rsidP="00E75FCF">
      <w:pPr>
        <w:keepNext/>
        <w:jc w:val="both"/>
        <w:rPr>
          <w:rFonts w:asciiTheme="minorHAnsi" w:hAnsiTheme="minorHAnsi" w:cs="Arial"/>
          <w:sz w:val="22"/>
          <w:szCs w:val="22"/>
          <w:lang w:val="hr-HR"/>
        </w:rPr>
      </w:pPr>
      <w:r w:rsidRPr="001567C8">
        <w:rPr>
          <w:rFonts w:asciiTheme="minorHAnsi" w:hAnsiTheme="minorHAnsi" w:cs="Arial"/>
          <w:sz w:val="22"/>
          <w:szCs w:val="22"/>
          <w:lang w:val="hr-HR"/>
        </w:rPr>
        <w:t xml:space="preserve">Upravljanje tržišnim rizicima </w:t>
      </w:r>
      <w:r w:rsidR="00D123F6" w:rsidRPr="001567C8">
        <w:rPr>
          <w:rFonts w:asciiTheme="minorHAnsi" w:hAnsiTheme="minorHAnsi" w:cs="Arial"/>
          <w:sz w:val="22"/>
          <w:szCs w:val="22"/>
          <w:lang w:val="hr-HR"/>
        </w:rPr>
        <w:t xml:space="preserve">u Banci </w:t>
      </w:r>
      <w:r w:rsidRPr="001567C8">
        <w:rPr>
          <w:rFonts w:asciiTheme="minorHAnsi" w:hAnsiTheme="minorHAnsi" w:cs="Arial"/>
          <w:sz w:val="22"/>
          <w:szCs w:val="22"/>
          <w:lang w:val="hr-HR"/>
        </w:rPr>
        <w:t xml:space="preserve">podrazumijeva svođenje kamatnog rizika i valutnog rizika na najmanju mjeru. </w:t>
      </w:r>
    </w:p>
    <w:p w:rsidR="00B857DB" w:rsidRPr="001567C8" w:rsidRDefault="00B857DB" w:rsidP="00E75FCF">
      <w:pPr>
        <w:tabs>
          <w:tab w:val="left" w:pos="-720"/>
          <w:tab w:val="left" w:pos="709"/>
        </w:tabs>
        <w:suppressAutoHyphens/>
        <w:rPr>
          <w:rFonts w:asciiTheme="minorHAnsi" w:hAnsiTheme="minorHAnsi" w:cs="Arial"/>
          <w:b/>
          <w:spacing w:val="-3"/>
          <w:sz w:val="22"/>
          <w:szCs w:val="22"/>
          <w:lang w:val="hr-HR"/>
        </w:rPr>
      </w:pPr>
    </w:p>
    <w:p w:rsidR="00B36A45" w:rsidRPr="001567C8" w:rsidRDefault="00674AD9" w:rsidP="00381EC6">
      <w:pPr>
        <w:tabs>
          <w:tab w:val="left" w:pos="-720"/>
          <w:tab w:val="left" w:pos="709"/>
        </w:tabs>
        <w:suppressAutoHyphens/>
        <w:rPr>
          <w:rFonts w:asciiTheme="minorHAnsi" w:hAnsiTheme="minorHAnsi" w:cs="Arial"/>
          <w:b/>
          <w:spacing w:val="-3"/>
          <w:sz w:val="22"/>
          <w:szCs w:val="22"/>
          <w:lang w:val="hr-HR"/>
        </w:rPr>
      </w:pPr>
      <w:r w:rsidRPr="001567C8">
        <w:rPr>
          <w:rFonts w:asciiTheme="minorHAnsi" w:hAnsiTheme="minorHAnsi" w:cs="Arial"/>
          <w:b/>
          <w:spacing w:val="-3"/>
          <w:sz w:val="22"/>
          <w:szCs w:val="22"/>
          <w:lang w:val="hr-HR"/>
        </w:rPr>
        <w:t>3</w:t>
      </w:r>
      <w:r w:rsidR="00BC68BE" w:rsidRPr="001567C8">
        <w:rPr>
          <w:rFonts w:asciiTheme="minorHAnsi" w:hAnsiTheme="minorHAnsi" w:cs="Arial"/>
          <w:b/>
          <w:spacing w:val="-3"/>
          <w:sz w:val="22"/>
          <w:szCs w:val="22"/>
          <w:lang w:val="hr-HR"/>
        </w:rPr>
        <w:t xml:space="preserve">6.5.1.  </w:t>
      </w:r>
      <w:r w:rsidR="00B36A45" w:rsidRPr="001567C8">
        <w:rPr>
          <w:rFonts w:asciiTheme="minorHAnsi" w:hAnsiTheme="minorHAnsi" w:cs="Arial"/>
          <w:b/>
          <w:spacing w:val="-3"/>
          <w:sz w:val="22"/>
          <w:szCs w:val="22"/>
          <w:lang w:val="hr-HR"/>
        </w:rPr>
        <w:t>Kamatni rizik</w:t>
      </w:r>
      <w:r w:rsidR="00BC68BE" w:rsidRPr="001567C8">
        <w:rPr>
          <w:rFonts w:asciiTheme="minorHAnsi" w:hAnsiTheme="minorHAnsi" w:cs="Arial"/>
          <w:b/>
          <w:spacing w:val="-3"/>
          <w:sz w:val="22"/>
          <w:szCs w:val="22"/>
          <w:lang w:val="hr-HR"/>
        </w:rPr>
        <w:t xml:space="preserve"> u knjizi banke</w:t>
      </w:r>
    </w:p>
    <w:p w:rsidR="00BC68BE" w:rsidRPr="001567C8" w:rsidRDefault="00BC68BE" w:rsidP="00E75FCF">
      <w:pPr>
        <w:tabs>
          <w:tab w:val="left" w:pos="-720"/>
          <w:tab w:val="left" w:pos="709"/>
        </w:tabs>
        <w:suppressAutoHyphens/>
        <w:rPr>
          <w:rFonts w:asciiTheme="minorHAnsi" w:hAnsiTheme="minorHAnsi" w:cs="Arial"/>
          <w:b/>
          <w:spacing w:val="-3"/>
          <w:sz w:val="22"/>
          <w:szCs w:val="22"/>
          <w:lang w:val="hr-HR"/>
        </w:rPr>
      </w:pPr>
    </w:p>
    <w:p w:rsidR="00847A0A" w:rsidRPr="001567C8" w:rsidRDefault="00847A0A" w:rsidP="00E75FCF">
      <w:pPr>
        <w:jc w:val="both"/>
        <w:rPr>
          <w:rFonts w:asciiTheme="minorHAnsi" w:hAnsiTheme="minorHAnsi" w:cs="Arial"/>
          <w:iCs/>
          <w:sz w:val="22"/>
          <w:szCs w:val="22"/>
          <w:lang w:val="hr-HR"/>
        </w:rPr>
      </w:pPr>
      <w:r w:rsidRPr="001567C8">
        <w:rPr>
          <w:rFonts w:asciiTheme="minorHAnsi" w:hAnsiTheme="minorHAnsi" w:cs="Arial"/>
          <w:iCs/>
          <w:sz w:val="22"/>
          <w:szCs w:val="22"/>
          <w:lang w:val="hr-HR"/>
        </w:rPr>
        <w:t>Tabele u nastav</w:t>
      </w:r>
      <w:r w:rsidR="00D37D6B" w:rsidRPr="001567C8">
        <w:rPr>
          <w:rFonts w:asciiTheme="minorHAnsi" w:hAnsiTheme="minorHAnsi" w:cs="Arial"/>
          <w:iCs/>
          <w:sz w:val="22"/>
          <w:szCs w:val="22"/>
          <w:lang w:val="hr-HR"/>
        </w:rPr>
        <w:t>ku prikazuju osjetljivost Grupe</w:t>
      </w:r>
      <w:r w:rsidRPr="001567C8">
        <w:rPr>
          <w:rFonts w:asciiTheme="minorHAnsi" w:hAnsiTheme="minorHAnsi" w:cs="Arial"/>
          <w:iCs/>
          <w:sz w:val="22"/>
          <w:szCs w:val="22"/>
          <w:lang w:val="hr-HR"/>
        </w:rPr>
        <w:t xml:space="preserve"> na rizik kamatnih stopa na dan 31. prosinca </w:t>
      </w:r>
      <w:r w:rsidR="00F75285" w:rsidRPr="001567C8">
        <w:rPr>
          <w:rFonts w:asciiTheme="minorHAnsi" w:hAnsiTheme="minorHAnsi" w:cs="Arial"/>
          <w:iCs/>
          <w:sz w:val="22"/>
          <w:szCs w:val="22"/>
          <w:lang w:val="hr-HR"/>
        </w:rPr>
        <w:t>2018</w:t>
      </w:r>
      <w:r w:rsidRPr="001567C8">
        <w:rPr>
          <w:rFonts w:asciiTheme="minorHAnsi" w:hAnsiTheme="minorHAnsi" w:cs="Arial"/>
          <w:iCs/>
          <w:sz w:val="22"/>
          <w:szCs w:val="22"/>
          <w:lang w:val="hr-HR"/>
        </w:rPr>
        <w:t xml:space="preserve">. i </w:t>
      </w:r>
      <w:r w:rsidR="00985E9F" w:rsidRPr="001567C8">
        <w:rPr>
          <w:rFonts w:asciiTheme="minorHAnsi" w:hAnsiTheme="minorHAnsi" w:cs="Arial"/>
          <w:iCs/>
          <w:sz w:val="22"/>
          <w:szCs w:val="22"/>
          <w:lang w:val="hr-HR"/>
        </w:rPr>
        <w:t xml:space="preserve">31. prosinca </w:t>
      </w:r>
      <w:r w:rsidR="00DB591E" w:rsidRPr="001567C8">
        <w:rPr>
          <w:rFonts w:asciiTheme="minorHAnsi" w:hAnsiTheme="minorHAnsi" w:cs="Arial"/>
          <w:iCs/>
          <w:sz w:val="22"/>
          <w:szCs w:val="22"/>
          <w:lang w:val="hr-HR"/>
        </w:rPr>
        <w:t>201</w:t>
      </w:r>
      <w:r w:rsidR="00F75285" w:rsidRPr="001567C8">
        <w:rPr>
          <w:rFonts w:asciiTheme="minorHAnsi" w:hAnsiTheme="minorHAnsi" w:cs="Arial"/>
          <w:iCs/>
          <w:sz w:val="22"/>
          <w:szCs w:val="22"/>
          <w:lang w:val="hr-HR"/>
        </w:rPr>
        <w:t>7</w:t>
      </w:r>
      <w:r w:rsidRPr="001567C8">
        <w:rPr>
          <w:rFonts w:asciiTheme="minorHAnsi" w:hAnsiTheme="minorHAnsi" w:cs="Arial"/>
          <w:iCs/>
          <w:sz w:val="22"/>
          <w:szCs w:val="22"/>
          <w:lang w:val="hr-HR"/>
        </w:rPr>
        <w:t>. godine na temelju poznatih datuma promjene cijena imovine i obveza na koje se primjenjuju promjenjive i fiksne kamatne stope. Razdoblja promjena kamatnih stopa određena su na osnovi preostale ročnosti i ugovornog razdoblja promjena kamatnih stopa, ovisno o tome što je kraće.</w:t>
      </w:r>
    </w:p>
    <w:p w:rsidR="00B857DB" w:rsidRPr="001567C8" w:rsidRDefault="00B857DB" w:rsidP="00E75FCF">
      <w:pPr>
        <w:jc w:val="both"/>
        <w:rPr>
          <w:rFonts w:asciiTheme="minorHAnsi" w:hAnsiTheme="minorHAnsi" w:cs="Arial"/>
          <w:iCs/>
          <w:sz w:val="22"/>
          <w:szCs w:val="22"/>
          <w:lang w:val="hr-HR"/>
        </w:rPr>
      </w:pPr>
    </w:p>
    <w:p w:rsidR="00847A0A" w:rsidRPr="001567C8" w:rsidRDefault="00847A0A" w:rsidP="00E75FCF">
      <w:pPr>
        <w:jc w:val="both"/>
        <w:rPr>
          <w:rFonts w:asciiTheme="minorHAnsi" w:hAnsiTheme="minorHAnsi" w:cs="Arial"/>
          <w:iCs/>
          <w:sz w:val="22"/>
          <w:szCs w:val="22"/>
          <w:lang w:val="hr-HR"/>
        </w:rPr>
      </w:pPr>
      <w:r w:rsidRPr="001567C8">
        <w:rPr>
          <w:rFonts w:asciiTheme="minorHAnsi" w:hAnsiTheme="minorHAnsi" w:cs="Arial"/>
          <w:iCs/>
          <w:sz w:val="22"/>
          <w:szCs w:val="22"/>
          <w:lang w:val="hr-HR"/>
        </w:rPr>
        <w:t xml:space="preserve">Imovina i obveze na koje se ne primjenjuje kamatna stopa svrstani su u okviru kategorije </w:t>
      </w:r>
      <w:r w:rsidRPr="001567C8">
        <w:rPr>
          <w:rFonts w:asciiTheme="minorHAnsi" w:hAnsiTheme="minorHAnsi" w:cs="Arial"/>
          <w:sz w:val="22"/>
          <w:szCs w:val="22"/>
          <w:lang w:val="hr-HR"/>
        </w:rPr>
        <w:t>‘</w:t>
      </w:r>
      <w:r w:rsidRPr="001567C8">
        <w:rPr>
          <w:rFonts w:asciiTheme="minorHAnsi" w:hAnsiTheme="minorHAnsi" w:cs="Arial"/>
          <w:iCs/>
          <w:sz w:val="22"/>
          <w:szCs w:val="22"/>
          <w:lang w:val="hr-HR"/>
        </w:rPr>
        <w:t>Beskamatno</w:t>
      </w:r>
      <w:r w:rsidRPr="001567C8">
        <w:rPr>
          <w:rFonts w:asciiTheme="minorHAnsi" w:hAnsiTheme="minorHAnsi" w:cs="Arial"/>
          <w:sz w:val="22"/>
          <w:szCs w:val="22"/>
          <w:lang w:val="hr-HR"/>
        </w:rPr>
        <w:t>‘</w:t>
      </w:r>
      <w:r w:rsidRPr="001567C8">
        <w:rPr>
          <w:rFonts w:asciiTheme="minorHAnsi" w:hAnsiTheme="minorHAnsi" w:cs="Arial"/>
          <w:iCs/>
          <w:sz w:val="22"/>
          <w:szCs w:val="22"/>
          <w:lang w:val="hr-HR"/>
        </w:rPr>
        <w:t>.</w:t>
      </w:r>
    </w:p>
    <w:p w:rsidR="00847A0A" w:rsidRPr="001567C8" w:rsidRDefault="00847A0A" w:rsidP="00E75FCF">
      <w:pPr>
        <w:tabs>
          <w:tab w:val="left" w:pos="-720"/>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Tabele u nastavku prikazuju procjenu o iz</w:t>
      </w:r>
      <w:r w:rsidR="00D37D6B" w:rsidRPr="001567C8">
        <w:rPr>
          <w:rFonts w:asciiTheme="minorHAnsi" w:hAnsiTheme="minorHAnsi" w:cs="Arial"/>
          <w:sz w:val="22"/>
          <w:szCs w:val="22"/>
          <w:lang w:val="hr-HR"/>
        </w:rPr>
        <w:t>loženosti kamatnom riziku Grupe</w:t>
      </w:r>
      <w:r w:rsidRPr="001567C8">
        <w:rPr>
          <w:rFonts w:asciiTheme="minorHAnsi" w:hAnsiTheme="minorHAnsi" w:cs="Arial"/>
          <w:sz w:val="22"/>
          <w:szCs w:val="22"/>
          <w:lang w:val="hr-HR"/>
        </w:rPr>
        <w:t xml:space="preserve"> na dan 31. prosinca </w:t>
      </w:r>
      <w:r w:rsidR="004F77B6" w:rsidRPr="001567C8">
        <w:rPr>
          <w:rFonts w:asciiTheme="minorHAnsi" w:hAnsiTheme="minorHAnsi" w:cs="Arial"/>
          <w:sz w:val="22"/>
          <w:szCs w:val="22"/>
          <w:lang w:val="hr-HR"/>
        </w:rPr>
        <w:t>201</w:t>
      </w:r>
      <w:r w:rsidR="00F75285" w:rsidRPr="001567C8">
        <w:rPr>
          <w:rFonts w:asciiTheme="minorHAnsi" w:hAnsiTheme="minorHAnsi" w:cs="Arial"/>
          <w:sz w:val="22"/>
          <w:szCs w:val="22"/>
          <w:lang w:val="hr-HR"/>
        </w:rPr>
        <w:t>8</w:t>
      </w:r>
      <w:r w:rsidRPr="001567C8">
        <w:rPr>
          <w:rFonts w:asciiTheme="minorHAnsi" w:hAnsiTheme="minorHAnsi" w:cs="Arial"/>
          <w:sz w:val="22"/>
          <w:szCs w:val="22"/>
          <w:lang w:val="hr-HR"/>
        </w:rPr>
        <w:t xml:space="preserve">. i </w:t>
      </w:r>
      <w:r w:rsidR="004F77B6" w:rsidRPr="001567C8">
        <w:rPr>
          <w:rFonts w:asciiTheme="minorHAnsi" w:hAnsiTheme="minorHAnsi" w:cs="Arial"/>
          <w:sz w:val="22"/>
          <w:szCs w:val="22"/>
          <w:lang w:val="hr-HR"/>
        </w:rPr>
        <w:t>201</w:t>
      </w:r>
      <w:r w:rsidR="00F75285" w:rsidRPr="001567C8">
        <w:rPr>
          <w:rFonts w:asciiTheme="minorHAnsi" w:hAnsiTheme="minorHAnsi" w:cs="Arial"/>
          <w:sz w:val="22"/>
          <w:szCs w:val="22"/>
          <w:lang w:val="hr-HR"/>
        </w:rPr>
        <w:t>7</w:t>
      </w:r>
      <w:r w:rsidRPr="001567C8">
        <w:rPr>
          <w:rFonts w:asciiTheme="minorHAnsi" w:hAnsiTheme="minorHAnsi" w:cs="Arial"/>
          <w:sz w:val="22"/>
          <w:szCs w:val="22"/>
          <w:lang w:val="hr-HR"/>
        </w:rPr>
        <w:t xml:space="preserve">. godine te nisu nužno indikativne za poziciju u drugom razdoblju. </w:t>
      </w:r>
    </w:p>
    <w:p w:rsidR="00F6743B" w:rsidRPr="001567C8" w:rsidRDefault="00F6743B" w:rsidP="00E75FCF">
      <w:pPr>
        <w:tabs>
          <w:tab w:val="left" w:pos="-720"/>
        </w:tabs>
        <w:suppressAutoHyphens/>
        <w:ind w:right="-5"/>
        <w:jc w:val="both"/>
        <w:rPr>
          <w:rFonts w:asciiTheme="minorHAnsi" w:hAnsiTheme="minorHAnsi" w:cs="Arial"/>
          <w:sz w:val="22"/>
          <w:szCs w:val="22"/>
          <w:lang w:val="hr-HR"/>
        </w:rPr>
      </w:pPr>
    </w:p>
    <w:tbl>
      <w:tblPr>
        <w:tblW w:w="5662" w:type="pct"/>
        <w:tblInd w:w="-851" w:type="dxa"/>
        <w:tblLayout w:type="fixed"/>
        <w:tblCellMar>
          <w:left w:w="120" w:type="dxa"/>
          <w:right w:w="120" w:type="dxa"/>
        </w:tblCellMar>
        <w:tblLook w:val="0000" w:firstRow="0" w:lastRow="0" w:firstColumn="0" w:lastColumn="0" w:noHBand="0" w:noVBand="0"/>
      </w:tblPr>
      <w:tblGrid>
        <w:gridCol w:w="2412"/>
        <w:gridCol w:w="1022"/>
        <w:gridCol w:w="1024"/>
        <w:gridCol w:w="1023"/>
        <w:gridCol w:w="1023"/>
        <w:gridCol w:w="1021"/>
        <w:gridCol w:w="1023"/>
        <w:gridCol w:w="1023"/>
        <w:gridCol w:w="1023"/>
      </w:tblGrid>
      <w:tr w:rsidR="00870D2A" w:rsidRPr="001567C8" w:rsidTr="00870D2A">
        <w:trPr>
          <w:trHeight w:val="533"/>
        </w:trPr>
        <w:tc>
          <w:tcPr>
            <w:tcW w:w="1138" w:type="pct"/>
          </w:tcPr>
          <w:p w:rsidR="00870D2A" w:rsidRPr="001567C8" w:rsidRDefault="00870D2A" w:rsidP="00870D2A">
            <w:pPr>
              <w:tabs>
                <w:tab w:val="right" w:pos="1202"/>
              </w:tabs>
              <w:spacing w:line="240" w:lineRule="atLeast"/>
              <w:outlineLvl w:val="0"/>
              <w:rPr>
                <w:rFonts w:ascii="Calibri" w:eastAsia="Calibri" w:hAnsi="Calibri" w:cs="Arial"/>
                <w:b/>
                <w:sz w:val="16"/>
                <w:szCs w:val="16"/>
                <w:lang w:val="hr-HR"/>
              </w:rPr>
            </w:pPr>
            <w:r w:rsidRPr="001567C8">
              <w:rPr>
                <w:rFonts w:ascii="Calibri" w:eastAsia="Calibri" w:hAnsi="Calibri" w:cs="Arial"/>
                <w:b/>
                <w:sz w:val="16"/>
                <w:szCs w:val="16"/>
                <w:lang w:val="hr-HR"/>
              </w:rPr>
              <w:t>Grupa</w:t>
            </w:r>
          </w:p>
          <w:p w:rsidR="00870D2A" w:rsidRPr="001567C8" w:rsidRDefault="00AD2EF7" w:rsidP="00870D2A">
            <w:pPr>
              <w:tabs>
                <w:tab w:val="right" w:pos="1202"/>
              </w:tabs>
              <w:spacing w:line="240" w:lineRule="atLeast"/>
              <w:outlineLvl w:val="0"/>
              <w:rPr>
                <w:rFonts w:ascii="Calibri" w:eastAsia="Calibri" w:hAnsi="Calibri" w:cs="Arial"/>
                <w:b/>
                <w:sz w:val="16"/>
                <w:szCs w:val="16"/>
                <w:lang w:val="hr-HR"/>
              </w:rPr>
            </w:pPr>
            <w:r>
              <w:rPr>
                <w:rFonts w:ascii="Calibri" w:eastAsia="Calibri" w:hAnsi="Calibri" w:cs="Arial"/>
                <w:b/>
                <w:sz w:val="16"/>
                <w:szCs w:val="16"/>
                <w:lang w:val="hr-HR"/>
              </w:rPr>
              <w:t>31. prosin</w:t>
            </w:r>
            <w:r w:rsidR="00870D2A" w:rsidRPr="001567C8">
              <w:rPr>
                <w:rFonts w:ascii="Calibri" w:eastAsia="Calibri" w:hAnsi="Calibri" w:cs="Arial"/>
                <w:b/>
                <w:sz w:val="16"/>
                <w:szCs w:val="16"/>
                <w:lang w:val="hr-HR"/>
              </w:rPr>
              <w:t>c</w:t>
            </w:r>
            <w:r>
              <w:rPr>
                <w:rFonts w:ascii="Calibri" w:eastAsia="Calibri" w:hAnsi="Calibri" w:cs="Arial"/>
                <w:b/>
                <w:sz w:val="16"/>
                <w:szCs w:val="16"/>
                <w:lang w:val="hr-HR"/>
              </w:rPr>
              <w:t>a</w:t>
            </w:r>
            <w:r w:rsidR="00870D2A" w:rsidRPr="001567C8">
              <w:rPr>
                <w:rFonts w:ascii="Calibri" w:eastAsia="Calibri" w:hAnsi="Calibri" w:cs="Arial"/>
                <w:b/>
                <w:sz w:val="16"/>
                <w:szCs w:val="16"/>
                <w:lang w:val="hr-HR"/>
              </w:rPr>
              <w:t xml:space="preserve"> 2018. godina</w:t>
            </w:r>
          </w:p>
        </w:tc>
        <w:tc>
          <w:tcPr>
            <w:tcW w:w="482"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Do 1 mjesec</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1 do 3 mjeseca</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3 mj. do 1 godine</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1 do 3 godina</w:t>
            </w:r>
          </w:p>
        </w:tc>
        <w:tc>
          <w:tcPr>
            <w:tcW w:w="482"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Preko 3 godine</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Beska-matno</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Ukupno</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Fiksna kamatna stopa</w:t>
            </w:r>
          </w:p>
        </w:tc>
      </w:tr>
      <w:tr w:rsidR="00870D2A" w:rsidRPr="001567C8" w:rsidTr="00870D2A">
        <w:trPr>
          <w:trHeight w:val="258"/>
        </w:trPr>
        <w:tc>
          <w:tcPr>
            <w:tcW w:w="1138" w:type="pct"/>
            <w:vAlign w:val="bottom"/>
          </w:tcPr>
          <w:p w:rsidR="00870D2A" w:rsidRPr="001567C8" w:rsidRDefault="00870D2A" w:rsidP="00870D2A">
            <w:pPr>
              <w:tabs>
                <w:tab w:val="right" w:pos="1202"/>
              </w:tabs>
              <w:spacing w:line="240" w:lineRule="atLeast"/>
              <w:outlineLvl w:val="0"/>
              <w:rPr>
                <w:rFonts w:ascii="Calibri" w:eastAsia="Calibri" w:hAnsi="Calibri" w:cs="Arial"/>
                <w:b/>
                <w:sz w:val="16"/>
                <w:szCs w:val="16"/>
                <w:lang w:val="hr-HR"/>
              </w:rPr>
            </w:pPr>
          </w:p>
        </w:tc>
        <w:tc>
          <w:tcPr>
            <w:tcW w:w="482"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82"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83"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r>
      <w:tr w:rsidR="00870D2A" w:rsidRPr="001567C8" w:rsidTr="00870D2A">
        <w:trPr>
          <w:trHeight w:val="227"/>
        </w:trPr>
        <w:tc>
          <w:tcPr>
            <w:tcW w:w="1138" w:type="pct"/>
            <w:vAlign w:val="bottom"/>
          </w:tcPr>
          <w:p w:rsidR="00870D2A" w:rsidRPr="001567C8" w:rsidRDefault="00870D2A" w:rsidP="00870D2A">
            <w:pPr>
              <w:tabs>
                <w:tab w:val="left" w:pos="-720"/>
              </w:tabs>
              <w:suppressAutoHyphens/>
              <w:rPr>
                <w:rFonts w:ascii="Calibri" w:eastAsia="Calibri" w:hAnsi="Calibri" w:cs="Arial"/>
                <w:b/>
                <w:sz w:val="16"/>
                <w:szCs w:val="16"/>
                <w:lang w:val="hr-HR"/>
              </w:rPr>
            </w:pPr>
            <w:r w:rsidRPr="001567C8">
              <w:rPr>
                <w:rFonts w:ascii="Calibri" w:eastAsia="Calibri" w:hAnsi="Calibri" w:cs="Arial"/>
                <w:b/>
                <w:sz w:val="16"/>
                <w:szCs w:val="16"/>
                <w:lang w:val="hr-HR"/>
              </w:rPr>
              <w:t>Imovina</w:t>
            </w:r>
          </w:p>
        </w:tc>
        <w:tc>
          <w:tcPr>
            <w:tcW w:w="482"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83"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83"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83"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82"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83" w:type="pct"/>
          </w:tcPr>
          <w:p w:rsidR="00870D2A" w:rsidRPr="001567C8" w:rsidRDefault="00870D2A" w:rsidP="00870D2A">
            <w:pPr>
              <w:tabs>
                <w:tab w:val="left" w:pos="-720"/>
              </w:tabs>
              <w:suppressAutoHyphens/>
              <w:spacing w:line="360" w:lineRule="auto"/>
              <w:jc w:val="right"/>
              <w:rPr>
                <w:rFonts w:ascii="Calibri" w:eastAsia="Calibri" w:hAnsi="Calibri" w:cs="Arial"/>
                <w:sz w:val="16"/>
                <w:szCs w:val="16"/>
                <w:lang w:val="hr-HR"/>
              </w:rPr>
            </w:pPr>
          </w:p>
        </w:tc>
        <w:tc>
          <w:tcPr>
            <w:tcW w:w="483"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83"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r>
      <w:tr w:rsidR="00870D2A" w:rsidRPr="001567C8" w:rsidTr="00870D2A">
        <w:trPr>
          <w:trHeight w:val="217"/>
        </w:trPr>
        <w:tc>
          <w:tcPr>
            <w:tcW w:w="1138"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Novčana sredstva i računi kod banaka</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24.290</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920.127</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944.417</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24.290</w:t>
            </w:r>
          </w:p>
        </w:tc>
      </w:tr>
      <w:tr w:rsidR="00870D2A" w:rsidRPr="001567C8" w:rsidTr="00870D2A">
        <w:trPr>
          <w:trHeight w:val="206"/>
        </w:trPr>
        <w:tc>
          <w:tcPr>
            <w:tcW w:w="1138"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Depoziti kod drugih banaka</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261.922</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3</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261.925</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261.922</w:t>
            </w:r>
          </w:p>
        </w:tc>
      </w:tr>
      <w:tr w:rsidR="00870D2A" w:rsidRPr="001567C8" w:rsidTr="00870D2A">
        <w:trPr>
          <w:trHeight w:val="164"/>
        </w:trPr>
        <w:tc>
          <w:tcPr>
            <w:tcW w:w="1138"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Krediti financijskim institucijama</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383.417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956.301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1.193.348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2.624.259 </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5.070.629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7.034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10.234.988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9.922.017 </w:t>
            </w:r>
          </w:p>
        </w:tc>
      </w:tr>
      <w:tr w:rsidR="00870D2A" w:rsidRPr="001567C8" w:rsidTr="00870D2A">
        <w:trPr>
          <w:trHeight w:val="92"/>
        </w:trPr>
        <w:tc>
          <w:tcPr>
            <w:tcW w:w="1138"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Krediti ostalim korisnicima</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2.273.725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465.131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712.572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2.476.258 </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6.491.188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91.812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12.510.686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11.699.344 </w:t>
            </w:r>
          </w:p>
        </w:tc>
      </w:tr>
      <w:tr w:rsidR="00870D2A" w:rsidRPr="001567C8" w:rsidTr="00870D2A">
        <w:trPr>
          <w:trHeight w:val="170"/>
        </w:trPr>
        <w:tc>
          <w:tcPr>
            <w:tcW w:w="1138"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Financijska imovina po fer vrijednosti kroz dobit ili gubitak</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2.045</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334.221</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336.266</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2.045</w:t>
            </w:r>
          </w:p>
        </w:tc>
      </w:tr>
      <w:tr w:rsidR="00870D2A" w:rsidRPr="001567C8" w:rsidTr="00870D2A">
        <w:trPr>
          <w:trHeight w:val="163"/>
        </w:trPr>
        <w:tc>
          <w:tcPr>
            <w:tcW w:w="1138"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Financijska imovina po fer vrijednosti kroz ostalu sveobuhvatnu dobit</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2.792.223</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37.247</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2.829.470</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2.792.223</w:t>
            </w:r>
          </w:p>
        </w:tc>
      </w:tr>
      <w:tr w:rsidR="00870D2A" w:rsidRPr="001567C8" w:rsidTr="00870D2A">
        <w:trPr>
          <w:trHeight w:val="262"/>
        </w:trPr>
        <w:tc>
          <w:tcPr>
            <w:tcW w:w="1138"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Dužnički vrijednosni papiri po amortiziranom trošku</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2"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1.350</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13</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1.363</w:t>
            </w:r>
          </w:p>
        </w:tc>
        <w:tc>
          <w:tcPr>
            <w:tcW w:w="483"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1.350</w:t>
            </w:r>
          </w:p>
        </w:tc>
      </w:tr>
      <w:tr w:rsidR="00870D2A" w:rsidRPr="001567C8" w:rsidTr="00870D2A">
        <w:trPr>
          <w:trHeight w:val="206"/>
        </w:trPr>
        <w:tc>
          <w:tcPr>
            <w:tcW w:w="1138"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Ostala imovina</w:t>
            </w:r>
          </w:p>
        </w:tc>
        <w:tc>
          <w:tcPr>
            <w:tcW w:w="482"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2"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c>
          <w:tcPr>
            <w:tcW w:w="483"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23.704</w:t>
            </w:r>
          </w:p>
        </w:tc>
        <w:tc>
          <w:tcPr>
            <w:tcW w:w="483"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23.704</w:t>
            </w:r>
          </w:p>
        </w:tc>
        <w:tc>
          <w:tcPr>
            <w:tcW w:w="483"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Calibri"/>
                <w:sz w:val="16"/>
                <w:szCs w:val="16"/>
                <w:lang w:val="hr-HR"/>
              </w:rPr>
              <w:t>-</w:t>
            </w:r>
          </w:p>
        </w:tc>
      </w:tr>
      <w:tr w:rsidR="00870D2A" w:rsidRPr="001567C8" w:rsidTr="00870D2A">
        <w:trPr>
          <w:trHeight w:hRule="exact" w:val="308"/>
        </w:trPr>
        <w:tc>
          <w:tcPr>
            <w:tcW w:w="1138"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b/>
                <w:bCs/>
                <w:sz w:val="16"/>
                <w:szCs w:val="16"/>
                <w:lang w:val="hr-HR"/>
              </w:rPr>
              <w:t xml:space="preserve">Ukupna imovina </w:t>
            </w:r>
          </w:p>
        </w:tc>
        <w:tc>
          <w:tcPr>
            <w:tcW w:w="482" w:type="pct"/>
            <w:tcBorders>
              <w:top w:val="nil"/>
              <w:left w:val="nil"/>
              <w:bottom w:val="single" w:sz="8" w:space="0" w:color="auto"/>
              <w:right w:val="nil"/>
            </w:tcBorders>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 5.735.577 </w:t>
            </w:r>
          </w:p>
        </w:tc>
        <w:tc>
          <w:tcPr>
            <w:tcW w:w="483" w:type="pct"/>
            <w:tcBorders>
              <w:top w:val="nil"/>
              <w:left w:val="nil"/>
              <w:bottom w:val="single" w:sz="8" w:space="0" w:color="auto"/>
              <w:right w:val="nil"/>
            </w:tcBorders>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 1.421.432 </w:t>
            </w:r>
          </w:p>
        </w:tc>
        <w:tc>
          <w:tcPr>
            <w:tcW w:w="483" w:type="pct"/>
            <w:tcBorders>
              <w:top w:val="nil"/>
              <w:left w:val="nil"/>
              <w:bottom w:val="single" w:sz="8" w:space="0" w:color="auto"/>
              <w:right w:val="nil"/>
            </w:tcBorders>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 1.905.920 </w:t>
            </w:r>
          </w:p>
        </w:tc>
        <w:tc>
          <w:tcPr>
            <w:tcW w:w="483" w:type="pct"/>
            <w:tcBorders>
              <w:top w:val="nil"/>
              <w:left w:val="nil"/>
              <w:bottom w:val="single" w:sz="8" w:space="0" w:color="auto"/>
              <w:right w:val="nil"/>
            </w:tcBorders>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 5.100.517 </w:t>
            </w:r>
          </w:p>
        </w:tc>
        <w:tc>
          <w:tcPr>
            <w:tcW w:w="482" w:type="pct"/>
            <w:tcBorders>
              <w:top w:val="nil"/>
              <w:left w:val="nil"/>
              <w:bottom w:val="single" w:sz="8" w:space="0" w:color="auto"/>
              <w:right w:val="nil"/>
            </w:tcBorders>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 11.565.212 </w:t>
            </w:r>
          </w:p>
        </w:tc>
        <w:tc>
          <w:tcPr>
            <w:tcW w:w="483" w:type="pct"/>
            <w:tcBorders>
              <w:top w:val="nil"/>
              <w:left w:val="nil"/>
              <w:bottom w:val="single" w:sz="8" w:space="0" w:color="auto"/>
              <w:right w:val="nil"/>
            </w:tcBorders>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1.414.161 </w:t>
            </w:r>
          </w:p>
        </w:tc>
        <w:tc>
          <w:tcPr>
            <w:tcW w:w="483" w:type="pct"/>
            <w:tcBorders>
              <w:top w:val="nil"/>
              <w:left w:val="nil"/>
              <w:bottom w:val="single" w:sz="8" w:space="0" w:color="auto"/>
              <w:right w:val="nil"/>
            </w:tcBorders>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 27.142.819 </w:t>
            </w:r>
          </w:p>
        </w:tc>
        <w:tc>
          <w:tcPr>
            <w:tcW w:w="483" w:type="pct"/>
            <w:tcBorders>
              <w:top w:val="nil"/>
              <w:left w:val="nil"/>
              <w:bottom w:val="single" w:sz="8" w:space="0" w:color="auto"/>
              <w:right w:val="nil"/>
            </w:tcBorders>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 24.703.191 </w:t>
            </w:r>
          </w:p>
        </w:tc>
      </w:tr>
      <w:tr w:rsidR="00870D2A" w:rsidRPr="001567C8" w:rsidTr="00870D2A">
        <w:trPr>
          <w:trHeight w:hRule="exact" w:val="187"/>
        </w:trPr>
        <w:tc>
          <w:tcPr>
            <w:tcW w:w="1138"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p>
        </w:tc>
        <w:tc>
          <w:tcPr>
            <w:tcW w:w="482"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2"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r>
      <w:tr w:rsidR="00870D2A" w:rsidRPr="001567C8" w:rsidTr="00870D2A">
        <w:trPr>
          <w:trHeight w:hRule="exact" w:val="235"/>
        </w:trPr>
        <w:tc>
          <w:tcPr>
            <w:tcW w:w="1138" w:type="pct"/>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b/>
                <w:bCs/>
                <w:sz w:val="16"/>
                <w:szCs w:val="16"/>
                <w:lang w:val="hr-HR"/>
              </w:rPr>
              <w:t>Obveze</w:t>
            </w:r>
          </w:p>
        </w:tc>
        <w:tc>
          <w:tcPr>
            <w:tcW w:w="482"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2"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83"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r>
      <w:tr w:rsidR="00870D2A" w:rsidRPr="001567C8" w:rsidTr="00870D2A">
        <w:trPr>
          <w:trHeight w:hRule="exact" w:val="262"/>
        </w:trPr>
        <w:tc>
          <w:tcPr>
            <w:tcW w:w="1138"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spacing w:val="-2"/>
                <w:sz w:val="16"/>
                <w:szCs w:val="16"/>
                <w:lang w:val="hr-HR"/>
              </w:rPr>
              <w:t>Obveze po depozitima</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148.351</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280.745</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429.096</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r>
      <w:tr w:rsidR="00870D2A" w:rsidRPr="001567C8" w:rsidTr="00870D2A">
        <w:trPr>
          <w:trHeight w:hRule="exact" w:val="254"/>
        </w:trPr>
        <w:tc>
          <w:tcPr>
            <w:tcW w:w="1138"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spacing w:val="-2"/>
                <w:sz w:val="16"/>
                <w:szCs w:val="16"/>
                <w:lang w:val="hr-HR"/>
              </w:rPr>
              <w:t>Obveze po kreditima</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313.492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559.016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1.441.392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3.931.617 </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8.577.456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55.014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14.877.987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14.665.772 </w:t>
            </w:r>
          </w:p>
        </w:tc>
      </w:tr>
      <w:tr w:rsidR="00870D2A" w:rsidRPr="001567C8" w:rsidTr="00870D2A">
        <w:trPr>
          <w:trHeight w:hRule="exact" w:val="533"/>
        </w:trPr>
        <w:tc>
          <w:tcPr>
            <w:tcW w:w="1138"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spacing w:val="-2"/>
                <w:sz w:val="16"/>
                <w:szCs w:val="16"/>
                <w:lang w:val="hr-HR"/>
              </w:rPr>
              <w:t>Obveze za izdane dugoročne vrijednosne papire</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1.107.210 </w:t>
            </w:r>
          </w:p>
        </w:tc>
        <w:tc>
          <w:tcPr>
            <w:tcW w:w="482"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43.347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1.150.557 </w:t>
            </w:r>
          </w:p>
        </w:tc>
        <w:tc>
          <w:tcPr>
            <w:tcW w:w="483"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1.107.210 </w:t>
            </w:r>
          </w:p>
        </w:tc>
      </w:tr>
      <w:tr w:rsidR="00870D2A" w:rsidRPr="001567C8" w:rsidTr="00870D2A">
        <w:trPr>
          <w:trHeight w:hRule="exact" w:val="251"/>
        </w:trPr>
        <w:tc>
          <w:tcPr>
            <w:tcW w:w="1138"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spacing w:val="-2"/>
                <w:sz w:val="16"/>
                <w:szCs w:val="16"/>
                <w:lang w:val="hr-HR"/>
              </w:rPr>
              <w:t>Ostale obveze</w:t>
            </w:r>
          </w:p>
        </w:tc>
        <w:tc>
          <w:tcPr>
            <w:tcW w:w="482" w:type="pct"/>
            <w:tcBorders>
              <w:top w:val="nil"/>
              <w:left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2" w:type="pct"/>
            <w:tcBorders>
              <w:top w:val="nil"/>
              <w:left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83" w:type="pct"/>
            <w:tcBorders>
              <w:top w:val="nil"/>
              <w:left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700.234</w:t>
            </w:r>
          </w:p>
        </w:tc>
        <w:tc>
          <w:tcPr>
            <w:tcW w:w="483" w:type="pct"/>
            <w:tcBorders>
              <w:top w:val="nil"/>
              <w:left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700.234</w:t>
            </w:r>
          </w:p>
        </w:tc>
        <w:tc>
          <w:tcPr>
            <w:tcW w:w="483" w:type="pct"/>
            <w:tcBorders>
              <w:top w:val="nil"/>
              <w:left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r>
      <w:tr w:rsidR="00870D2A" w:rsidRPr="001567C8" w:rsidTr="00870D2A">
        <w:trPr>
          <w:trHeight w:hRule="exact" w:val="281"/>
        </w:trPr>
        <w:tc>
          <w:tcPr>
            <w:tcW w:w="1138"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b/>
                <w:bCs/>
                <w:sz w:val="16"/>
                <w:szCs w:val="16"/>
                <w:lang w:val="hr-HR"/>
              </w:rPr>
              <w:t>Ukupne obveze</w:t>
            </w:r>
          </w:p>
        </w:tc>
        <w:tc>
          <w:tcPr>
            <w:tcW w:w="482" w:type="pct"/>
            <w:tcBorders>
              <w:top w:val="single" w:sz="8" w:space="0" w:color="auto"/>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461.843</w:t>
            </w:r>
          </w:p>
        </w:tc>
        <w:tc>
          <w:tcPr>
            <w:tcW w:w="483" w:type="pct"/>
            <w:tcBorders>
              <w:top w:val="single" w:sz="8" w:space="0" w:color="auto"/>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559.016</w:t>
            </w:r>
          </w:p>
        </w:tc>
        <w:tc>
          <w:tcPr>
            <w:tcW w:w="483" w:type="pct"/>
            <w:tcBorders>
              <w:top w:val="single" w:sz="8" w:space="0" w:color="auto"/>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1.441.392</w:t>
            </w:r>
          </w:p>
        </w:tc>
        <w:tc>
          <w:tcPr>
            <w:tcW w:w="483" w:type="pct"/>
            <w:tcBorders>
              <w:top w:val="single" w:sz="8" w:space="0" w:color="auto"/>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5.038.827</w:t>
            </w:r>
          </w:p>
        </w:tc>
        <w:tc>
          <w:tcPr>
            <w:tcW w:w="482" w:type="pct"/>
            <w:tcBorders>
              <w:top w:val="single" w:sz="8" w:space="0" w:color="auto"/>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8.577.456</w:t>
            </w:r>
          </w:p>
        </w:tc>
        <w:tc>
          <w:tcPr>
            <w:tcW w:w="483" w:type="pct"/>
            <w:tcBorders>
              <w:top w:val="single" w:sz="8" w:space="0" w:color="auto"/>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1.079.340</w:t>
            </w:r>
          </w:p>
        </w:tc>
        <w:tc>
          <w:tcPr>
            <w:tcW w:w="483" w:type="pct"/>
            <w:tcBorders>
              <w:top w:val="single" w:sz="8" w:space="0" w:color="auto"/>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17.157.874</w:t>
            </w:r>
          </w:p>
        </w:tc>
        <w:tc>
          <w:tcPr>
            <w:tcW w:w="483" w:type="pct"/>
            <w:tcBorders>
              <w:top w:val="single" w:sz="8" w:space="0" w:color="auto"/>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15.772.982</w:t>
            </w:r>
          </w:p>
        </w:tc>
      </w:tr>
      <w:tr w:rsidR="00870D2A" w:rsidRPr="001567C8" w:rsidTr="00870D2A">
        <w:trPr>
          <w:trHeight w:hRule="exact" w:val="285"/>
        </w:trPr>
        <w:tc>
          <w:tcPr>
            <w:tcW w:w="1138"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b/>
                <w:bCs/>
                <w:spacing w:val="-2"/>
                <w:sz w:val="16"/>
                <w:szCs w:val="16"/>
                <w:lang w:val="hr-HR"/>
              </w:rPr>
              <w:t>Kamatni jaz</w:t>
            </w:r>
          </w:p>
        </w:tc>
        <w:tc>
          <w:tcPr>
            <w:tcW w:w="482" w:type="pct"/>
            <w:tcBorders>
              <w:top w:val="nil"/>
              <w:left w:val="nil"/>
              <w:bottom w:val="single" w:sz="12" w:space="0" w:color="auto"/>
              <w:right w:val="nil"/>
            </w:tcBorders>
            <w:shd w:val="clear" w:color="auto" w:fill="auto"/>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5.273.734 </w:t>
            </w:r>
          </w:p>
        </w:tc>
        <w:tc>
          <w:tcPr>
            <w:tcW w:w="483" w:type="pct"/>
            <w:tcBorders>
              <w:top w:val="nil"/>
              <w:left w:val="nil"/>
              <w:bottom w:val="single" w:sz="12" w:space="0" w:color="auto"/>
              <w:right w:val="nil"/>
            </w:tcBorders>
            <w:shd w:val="clear" w:color="auto" w:fill="auto"/>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 862.416 </w:t>
            </w:r>
          </w:p>
        </w:tc>
        <w:tc>
          <w:tcPr>
            <w:tcW w:w="483" w:type="pct"/>
            <w:tcBorders>
              <w:top w:val="nil"/>
              <w:left w:val="nil"/>
              <w:bottom w:val="single" w:sz="12" w:space="0" w:color="auto"/>
              <w:right w:val="nil"/>
            </w:tcBorders>
            <w:shd w:val="clear" w:color="auto" w:fill="auto"/>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464.528 </w:t>
            </w:r>
          </w:p>
        </w:tc>
        <w:tc>
          <w:tcPr>
            <w:tcW w:w="483" w:type="pct"/>
            <w:tcBorders>
              <w:top w:val="nil"/>
              <w:left w:val="nil"/>
              <w:bottom w:val="single" w:sz="12" w:space="0" w:color="auto"/>
              <w:right w:val="nil"/>
            </w:tcBorders>
            <w:shd w:val="clear" w:color="auto" w:fill="auto"/>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61.690 </w:t>
            </w:r>
          </w:p>
        </w:tc>
        <w:tc>
          <w:tcPr>
            <w:tcW w:w="482" w:type="pct"/>
            <w:tcBorders>
              <w:top w:val="nil"/>
              <w:left w:val="nil"/>
              <w:bottom w:val="single" w:sz="12" w:space="0" w:color="auto"/>
              <w:right w:val="nil"/>
            </w:tcBorders>
            <w:shd w:val="clear" w:color="auto" w:fill="auto"/>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2.987.756 </w:t>
            </w:r>
          </w:p>
        </w:tc>
        <w:tc>
          <w:tcPr>
            <w:tcW w:w="483" w:type="pct"/>
            <w:tcBorders>
              <w:top w:val="nil"/>
              <w:left w:val="nil"/>
              <w:bottom w:val="single" w:sz="12" w:space="0" w:color="auto"/>
              <w:right w:val="nil"/>
            </w:tcBorders>
            <w:shd w:val="clear" w:color="auto" w:fill="auto"/>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 334.821 </w:t>
            </w:r>
          </w:p>
        </w:tc>
        <w:tc>
          <w:tcPr>
            <w:tcW w:w="483" w:type="pct"/>
            <w:tcBorders>
              <w:top w:val="nil"/>
              <w:left w:val="nil"/>
              <w:bottom w:val="single" w:sz="12" w:space="0" w:color="auto"/>
              <w:right w:val="nil"/>
            </w:tcBorders>
            <w:shd w:val="clear" w:color="auto" w:fill="auto"/>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 xml:space="preserve">9.984.945 </w:t>
            </w:r>
          </w:p>
        </w:tc>
        <w:tc>
          <w:tcPr>
            <w:tcW w:w="483" w:type="pct"/>
            <w:tcBorders>
              <w:top w:val="nil"/>
              <w:left w:val="nil"/>
              <w:bottom w:val="single" w:sz="12" w:space="0" w:color="auto"/>
              <w:right w:val="nil"/>
            </w:tcBorders>
            <w:shd w:val="clear" w:color="auto" w:fill="auto"/>
            <w:vAlign w:val="center"/>
          </w:tcPr>
          <w:p w:rsidR="00870D2A" w:rsidRPr="00CD3A2D" w:rsidRDefault="00870D2A" w:rsidP="00870D2A">
            <w:pPr>
              <w:jc w:val="right"/>
              <w:rPr>
                <w:rFonts w:ascii="Calibri" w:hAnsi="Calibri" w:cs="Arial"/>
                <w:b/>
                <w:sz w:val="16"/>
                <w:szCs w:val="16"/>
                <w:lang w:val="hr-HR"/>
              </w:rPr>
            </w:pPr>
            <w:r w:rsidRPr="00CD3A2D">
              <w:rPr>
                <w:rFonts w:ascii="Calibri" w:hAnsi="Calibri" w:cs="Arial"/>
                <w:b/>
                <w:sz w:val="16"/>
                <w:szCs w:val="16"/>
                <w:lang w:val="hr-HR"/>
              </w:rPr>
              <w:t>8.930.209</w:t>
            </w:r>
          </w:p>
        </w:tc>
      </w:tr>
    </w:tbl>
    <w:p w:rsidR="00B130F7" w:rsidRPr="001567C8" w:rsidRDefault="00B130F7" w:rsidP="00847A0A">
      <w:pPr>
        <w:tabs>
          <w:tab w:val="left" w:pos="-720"/>
        </w:tabs>
        <w:suppressAutoHyphens/>
        <w:spacing w:line="360" w:lineRule="auto"/>
        <w:ind w:right="-5"/>
        <w:jc w:val="both"/>
        <w:rPr>
          <w:rFonts w:asciiTheme="minorHAnsi" w:hAnsiTheme="minorHAnsi" w:cs="Arial"/>
          <w:sz w:val="22"/>
          <w:szCs w:val="22"/>
          <w:lang w:val="hr-HR"/>
        </w:rPr>
        <w:sectPr w:rsidR="00B130F7" w:rsidRPr="001567C8" w:rsidSect="0077198A">
          <w:pgSz w:w="11907" w:h="16840" w:code="9"/>
          <w:pgMar w:top="1418" w:right="1134" w:bottom="1134" w:left="1418" w:header="851" w:footer="851" w:gutter="0"/>
          <w:cols w:space="720"/>
          <w:noEndnote/>
        </w:sectPr>
      </w:pPr>
    </w:p>
    <w:p w:rsidR="004D7A06" w:rsidRPr="001567C8" w:rsidRDefault="004D7A06" w:rsidP="00847DC9">
      <w:pPr>
        <w:pStyle w:val="T1"/>
        <w:spacing w:before="0" w:after="0" w:line="240" w:lineRule="auto"/>
        <w:rPr>
          <w:rFonts w:asciiTheme="minorHAnsi" w:hAnsiTheme="minorHAnsi" w:cs="Arial"/>
          <w:sz w:val="22"/>
          <w:szCs w:val="22"/>
          <w:lang w:val="hr-HR"/>
        </w:rPr>
      </w:pPr>
    </w:p>
    <w:p w:rsidR="00A31ED5" w:rsidRPr="001567C8" w:rsidRDefault="00BC12E7" w:rsidP="004D7A06">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847DC9" w:rsidRPr="001567C8">
        <w:rPr>
          <w:rFonts w:asciiTheme="minorHAnsi" w:hAnsiTheme="minorHAnsi" w:cs="Arial"/>
          <w:sz w:val="22"/>
          <w:szCs w:val="22"/>
          <w:lang w:val="hr-HR"/>
        </w:rPr>
        <w:t>6</w:t>
      </w:r>
      <w:r w:rsidRPr="001567C8">
        <w:rPr>
          <w:rFonts w:asciiTheme="minorHAnsi" w:hAnsiTheme="minorHAnsi" w:cs="Arial"/>
          <w:sz w:val="22"/>
          <w:szCs w:val="22"/>
          <w:lang w:val="hr-HR"/>
        </w:rPr>
        <w:t xml:space="preserve">.        </w:t>
      </w:r>
      <w:r w:rsidR="00A31ED5" w:rsidRPr="001567C8">
        <w:rPr>
          <w:rFonts w:asciiTheme="minorHAnsi" w:hAnsiTheme="minorHAnsi" w:cs="Arial"/>
          <w:sz w:val="22"/>
          <w:szCs w:val="22"/>
          <w:lang w:val="hr-HR"/>
        </w:rPr>
        <w:t>Upravljanje rizicima (nastavak)</w:t>
      </w:r>
    </w:p>
    <w:p w:rsidR="004D7A06" w:rsidRPr="001567C8" w:rsidRDefault="004D7A06" w:rsidP="004D7A06">
      <w:pPr>
        <w:pStyle w:val="T1"/>
        <w:spacing w:before="0" w:after="0" w:line="240" w:lineRule="auto"/>
        <w:ind w:left="709" w:hanging="709"/>
        <w:rPr>
          <w:rFonts w:asciiTheme="minorHAnsi" w:hAnsiTheme="minorHAnsi" w:cs="Arial"/>
          <w:sz w:val="22"/>
          <w:szCs w:val="22"/>
          <w:lang w:val="hr-HR"/>
        </w:rPr>
      </w:pPr>
    </w:p>
    <w:p w:rsidR="00A31ED5" w:rsidRPr="001567C8" w:rsidRDefault="00A31ED5" w:rsidP="004D7A06">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847DC9"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Pr="001567C8">
        <w:rPr>
          <w:rFonts w:asciiTheme="minorHAnsi" w:hAnsiTheme="minorHAnsi" w:cs="Arial"/>
          <w:sz w:val="22"/>
          <w:szCs w:val="22"/>
          <w:lang w:val="hr-HR"/>
        </w:rPr>
        <w:t xml:space="preserve">. </w:t>
      </w:r>
      <w:r w:rsidR="00BC12E7"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Tržišni rizik (nastavak)</w:t>
      </w:r>
    </w:p>
    <w:p w:rsidR="004D7A06" w:rsidRPr="001567C8" w:rsidRDefault="004D7A06" w:rsidP="004D7A06">
      <w:pPr>
        <w:pStyle w:val="T1"/>
        <w:spacing w:before="0" w:after="0" w:line="240" w:lineRule="auto"/>
        <w:ind w:left="709" w:hanging="709"/>
        <w:rPr>
          <w:rFonts w:asciiTheme="minorHAnsi" w:hAnsiTheme="minorHAnsi" w:cs="Arial"/>
          <w:sz w:val="22"/>
          <w:szCs w:val="22"/>
          <w:lang w:val="hr-HR"/>
        </w:rPr>
      </w:pPr>
    </w:p>
    <w:p w:rsidR="00A31ED5" w:rsidRPr="001567C8" w:rsidRDefault="00A31ED5" w:rsidP="004D7A06">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847DC9"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Pr="001567C8">
        <w:rPr>
          <w:rFonts w:asciiTheme="minorHAnsi" w:hAnsiTheme="minorHAnsi" w:cs="Arial"/>
          <w:sz w:val="22"/>
          <w:szCs w:val="22"/>
          <w:lang w:val="hr-HR"/>
        </w:rPr>
        <w:t xml:space="preserve">.1. </w:t>
      </w:r>
      <w:r w:rsidR="00BC12E7"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 xml:space="preserve">Kamatni rizik </w:t>
      </w:r>
      <w:r w:rsidR="00BC68BE" w:rsidRPr="001567C8">
        <w:rPr>
          <w:rFonts w:asciiTheme="minorHAnsi" w:hAnsiTheme="minorHAnsi" w:cs="Arial"/>
          <w:sz w:val="22"/>
          <w:szCs w:val="22"/>
          <w:lang w:val="hr-HR"/>
        </w:rPr>
        <w:t xml:space="preserve">u knjizi banke </w:t>
      </w:r>
      <w:r w:rsidRPr="001567C8">
        <w:rPr>
          <w:rFonts w:asciiTheme="minorHAnsi" w:hAnsiTheme="minorHAnsi" w:cs="Arial"/>
          <w:sz w:val="22"/>
          <w:szCs w:val="22"/>
          <w:lang w:val="hr-HR"/>
        </w:rPr>
        <w:t>(nastavak)</w:t>
      </w:r>
    </w:p>
    <w:p w:rsidR="007E6529" w:rsidRPr="001567C8" w:rsidRDefault="007E6529" w:rsidP="003F28F7">
      <w:pPr>
        <w:tabs>
          <w:tab w:val="left" w:pos="-720"/>
        </w:tabs>
        <w:suppressAutoHyphens/>
        <w:spacing w:line="360" w:lineRule="auto"/>
        <w:ind w:right="-5"/>
        <w:jc w:val="both"/>
        <w:rPr>
          <w:rFonts w:asciiTheme="minorHAnsi" w:hAnsiTheme="minorHAnsi" w:cs="Arial"/>
          <w:sz w:val="22"/>
          <w:szCs w:val="22"/>
          <w:lang w:val="hr-HR"/>
        </w:rPr>
      </w:pPr>
    </w:p>
    <w:tbl>
      <w:tblPr>
        <w:tblW w:w="5683" w:type="pct"/>
        <w:tblInd w:w="-851" w:type="dxa"/>
        <w:tblLayout w:type="fixed"/>
        <w:tblCellMar>
          <w:left w:w="120" w:type="dxa"/>
          <w:right w:w="120" w:type="dxa"/>
        </w:tblCellMar>
        <w:tblLook w:val="0000" w:firstRow="0" w:lastRow="0" w:firstColumn="0" w:lastColumn="0" w:noHBand="0" w:noVBand="0"/>
      </w:tblPr>
      <w:tblGrid>
        <w:gridCol w:w="2413"/>
        <w:gridCol w:w="991"/>
        <w:gridCol w:w="993"/>
        <w:gridCol w:w="1133"/>
        <w:gridCol w:w="993"/>
        <w:gridCol w:w="993"/>
        <w:gridCol w:w="993"/>
        <w:gridCol w:w="1133"/>
        <w:gridCol w:w="991"/>
      </w:tblGrid>
      <w:tr w:rsidR="00870D2A" w:rsidRPr="001567C8" w:rsidTr="00CD3A2D">
        <w:trPr>
          <w:trHeight w:val="639"/>
        </w:trPr>
        <w:tc>
          <w:tcPr>
            <w:tcW w:w="1134" w:type="pct"/>
          </w:tcPr>
          <w:p w:rsidR="00870D2A" w:rsidRPr="001567C8" w:rsidRDefault="00870D2A" w:rsidP="00870D2A">
            <w:pPr>
              <w:tabs>
                <w:tab w:val="left" w:pos="-720"/>
              </w:tabs>
              <w:suppressAutoHyphens/>
              <w:spacing w:line="280" w:lineRule="exact"/>
              <w:rPr>
                <w:rFonts w:ascii="Calibri" w:eastAsia="Calibri" w:hAnsi="Calibri" w:cs="Arial"/>
                <w:b/>
                <w:sz w:val="16"/>
                <w:szCs w:val="16"/>
                <w:lang w:val="hr-HR"/>
              </w:rPr>
            </w:pPr>
            <w:r w:rsidRPr="001567C8">
              <w:rPr>
                <w:rFonts w:ascii="Calibri" w:eastAsia="Calibri" w:hAnsi="Calibri" w:cs="Arial"/>
                <w:b/>
                <w:sz w:val="16"/>
                <w:szCs w:val="16"/>
                <w:lang w:val="hr-HR"/>
              </w:rPr>
              <w:t>Grupa</w:t>
            </w:r>
          </w:p>
          <w:p w:rsidR="00870D2A" w:rsidRPr="001567C8" w:rsidRDefault="00AD2EF7" w:rsidP="00870D2A">
            <w:pPr>
              <w:tabs>
                <w:tab w:val="left" w:pos="-720"/>
              </w:tabs>
              <w:suppressAutoHyphens/>
              <w:spacing w:line="280" w:lineRule="exact"/>
              <w:rPr>
                <w:rFonts w:ascii="Calibri" w:eastAsia="Calibri" w:hAnsi="Calibri" w:cs="Arial"/>
                <w:b/>
                <w:sz w:val="16"/>
                <w:szCs w:val="16"/>
                <w:lang w:val="hr-HR"/>
              </w:rPr>
            </w:pPr>
            <w:r>
              <w:rPr>
                <w:rFonts w:ascii="Calibri" w:eastAsia="Calibri" w:hAnsi="Calibri" w:cs="Arial"/>
                <w:b/>
                <w:sz w:val="16"/>
                <w:szCs w:val="16"/>
                <w:lang w:val="hr-HR"/>
              </w:rPr>
              <w:t>31. prosin</w:t>
            </w:r>
            <w:r w:rsidR="00870D2A" w:rsidRPr="001567C8">
              <w:rPr>
                <w:rFonts w:ascii="Calibri" w:eastAsia="Calibri" w:hAnsi="Calibri" w:cs="Arial"/>
                <w:b/>
                <w:sz w:val="16"/>
                <w:szCs w:val="16"/>
                <w:lang w:val="hr-HR"/>
              </w:rPr>
              <w:t>c</w:t>
            </w:r>
            <w:r>
              <w:rPr>
                <w:rFonts w:ascii="Calibri" w:eastAsia="Calibri" w:hAnsi="Calibri" w:cs="Arial"/>
                <w:b/>
                <w:sz w:val="16"/>
                <w:szCs w:val="16"/>
                <w:lang w:val="hr-HR"/>
              </w:rPr>
              <w:t>a</w:t>
            </w:r>
            <w:r w:rsidR="00870D2A" w:rsidRPr="001567C8">
              <w:rPr>
                <w:rFonts w:ascii="Calibri" w:eastAsia="Calibri" w:hAnsi="Calibri" w:cs="Arial"/>
                <w:b/>
                <w:sz w:val="16"/>
                <w:szCs w:val="16"/>
                <w:lang w:val="hr-HR"/>
              </w:rPr>
              <w:t xml:space="preserve"> 2017. godina</w:t>
            </w:r>
          </w:p>
        </w:tc>
        <w:tc>
          <w:tcPr>
            <w:tcW w:w="466"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Do 1 mjesec</w:t>
            </w: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1 do 3 mjeseca</w:t>
            </w:r>
          </w:p>
        </w:tc>
        <w:tc>
          <w:tcPr>
            <w:tcW w:w="533"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3 mj. do 1 godine</w:t>
            </w: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1 do 3 godina</w:t>
            </w: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Preko 3 godine</w:t>
            </w: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Beska-matno</w:t>
            </w:r>
          </w:p>
        </w:tc>
        <w:tc>
          <w:tcPr>
            <w:tcW w:w="533"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Ukupno</w:t>
            </w:r>
          </w:p>
        </w:tc>
        <w:tc>
          <w:tcPr>
            <w:tcW w:w="466"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Fiksna kamatna stopa</w:t>
            </w:r>
          </w:p>
        </w:tc>
      </w:tr>
      <w:tr w:rsidR="00870D2A" w:rsidRPr="001567C8" w:rsidTr="00CD3A2D">
        <w:trPr>
          <w:trHeight w:val="129"/>
        </w:trPr>
        <w:tc>
          <w:tcPr>
            <w:tcW w:w="1134" w:type="pct"/>
          </w:tcPr>
          <w:p w:rsidR="00870D2A" w:rsidRPr="001567C8" w:rsidRDefault="00870D2A" w:rsidP="00870D2A">
            <w:pPr>
              <w:tabs>
                <w:tab w:val="left" w:pos="-720"/>
              </w:tabs>
              <w:suppressAutoHyphens/>
              <w:spacing w:line="280" w:lineRule="exact"/>
              <w:rPr>
                <w:rFonts w:ascii="Calibri" w:eastAsia="Calibri" w:hAnsi="Calibri" w:cs="Arial"/>
                <w:b/>
                <w:sz w:val="16"/>
                <w:szCs w:val="16"/>
                <w:lang w:val="hr-HR"/>
              </w:rPr>
            </w:pPr>
          </w:p>
        </w:tc>
        <w:tc>
          <w:tcPr>
            <w:tcW w:w="466"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533"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533" w:type="pct"/>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66"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r>
      <w:tr w:rsidR="00870D2A" w:rsidRPr="001567C8" w:rsidTr="00CD3A2D">
        <w:trPr>
          <w:trHeight w:val="263"/>
        </w:trPr>
        <w:tc>
          <w:tcPr>
            <w:tcW w:w="1134" w:type="pct"/>
            <w:vAlign w:val="bottom"/>
          </w:tcPr>
          <w:p w:rsidR="00870D2A" w:rsidRPr="001567C8" w:rsidRDefault="00870D2A" w:rsidP="00870D2A">
            <w:pPr>
              <w:tabs>
                <w:tab w:val="left" w:pos="-720"/>
              </w:tabs>
              <w:suppressAutoHyphens/>
              <w:spacing w:line="280" w:lineRule="exact"/>
              <w:rPr>
                <w:rFonts w:ascii="Calibri" w:eastAsia="Calibri" w:hAnsi="Calibri" w:cs="Arial"/>
                <w:b/>
                <w:sz w:val="16"/>
                <w:szCs w:val="16"/>
                <w:lang w:val="hr-HR"/>
              </w:rPr>
            </w:pPr>
            <w:r w:rsidRPr="001567C8">
              <w:rPr>
                <w:rFonts w:ascii="Calibri" w:eastAsia="Calibri" w:hAnsi="Calibri" w:cs="Arial"/>
                <w:b/>
                <w:sz w:val="16"/>
                <w:szCs w:val="16"/>
                <w:lang w:val="hr-HR"/>
              </w:rPr>
              <w:t>Imovina</w:t>
            </w:r>
          </w:p>
        </w:tc>
        <w:tc>
          <w:tcPr>
            <w:tcW w:w="466" w:type="pct"/>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p>
        </w:tc>
        <w:tc>
          <w:tcPr>
            <w:tcW w:w="533" w:type="pct"/>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p>
        </w:tc>
        <w:tc>
          <w:tcPr>
            <w:tcW w:w="467" w:type="pct"/>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p>
        </w:tc>
        <w:tc>
          <w:tcPr>
            <w:tcW w:w="533" w:type="pct"/>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p>
        </w:tc>
        <w:tc>
          <w:tcPr>
            <w:tcW w:w="466" w:type="pct"/>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p>
        </w:tc>
      </w:tr>
      <w:tr w:rsidR="00870D2A" w:rsidRPr="001567C8" w:rsidTr="00CD3A2D">
        <w:trPr>
          <w:trHeight w:val="293"/>
        </w:trPr>
        <w:tc>
          <w:tcPr>
            <w:tcW w:w="1134" w:type="pct"/>
            <w:vAlign w:val="bottom"/>
          </w:tcPr>
          <w:p w:rsidR="00870D2A" w:rsidRPr="001567C8" w:rsidRDefault="00870D2A" w:rsidP="00870D2A">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Novčana sredstva i računi kod banaka</w:t>
            </w:r>
          </w:p>
        </w:tc>
        <w:tc>
          <w:tcPr>
            <w:tcW w:w="466"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2.534</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533"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1.401.146</w:t>
            </w:r>
          </w:p>
        </w:tc>
        <w:tc>
          <w:tcPr>
            <w:tcW w:w="533"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1.403.680</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2.534</w:t>
            </w:r>
          </w:p>
        </w:tc>
      </w:tr>
      <w:tr w:rsidR="00870D2A" w:rsidRPr="001567C8" w:rsidTr="00CD3A2D">
        <w:trPr>
          <w:trHeight w:val="263"/>
        </w:trPr>
        <w:tc>
          <w:tcPr>
            <w:tcW w:w="1134" w:type="pct"/>
            <w:vAlign w:val="bottom"/>
          </w:tcPr>
          <w:p w:rsidR="00870D2A" w:rsidRPr="001567C8" w:rsidRDefault="00870D2A" w:rsidP="00870D2A">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Depoziti kod drugih banaka</w:t>
            </w:r>
          </w:p>
        </w:tc>
        <w:tc>
          <w:tcPr>
            <w:tcW w:w="466"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29.114</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24</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29.138</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29.114</w:t>
            </w:r>
          </w:p>
        </w:tc>
      </w:tr>
      <w:tr w:rsidR="00870D2A" w:rsidRPr="001567C8" w:rsidTr="00CD3A2D">
        <w:trPr>
          <w:trHeight w:val="263"/>
        </w:trPr>
        <w:tc>
          <w:tcPr>
            <w:tcW w:w="1134" w:type="pct"/>
            <w:vAlign w:val="bottom"/>
          </w:tcPr>
          <w:p w:rsidR="00870D2A" w:rsidRPr="001567C8" w:rsidRDefault="00870D2A" w:rsidP="00870D2A">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Krediti financijskim institucijama</w:t>
            </w:r>
          </w:p>
        </w:tc>
        <w:tc>
          <w:tcPr>
            <w:tcW w:w="466"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474.348</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733.865</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1.345.038</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2.759.113</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5.496.436</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27.341</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10.836.141</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10.417.751</w:t>
            </w:r>
          </w:p>
        </w:tc>
      </w:tr>
      <w:tr w:rsidR="00870D2A" w:rsidRPr="001567C8" w:rsidTr="00CD3A2D">
        <w:trPr>
          <w:trHeight w:val="251"/>
        </w:trPr>
        <w:tc>
          <w:tcPr>
            <w:tcW w:w="1134" w:type="pct"/>
            <w:vAlign w:val="bottom"/>
          </w:tcPr>
          <w:p w:rsidR="00870D2A" w:rsidRPr="001567C8" w:rsidRDefault="00870D2A" w:rsidP="00870D2A">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Krediti ostalim korisnicima</w:t>
            </w:r>
          </w:p>
        </w:tc>
        <w:tc>
          <w:tcPr>
            <w:tcW w:w="466"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2.104.487</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745.415</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927.758</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1.848.681</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6.689.547</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67.735</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12.383.623</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11.426.307</w:t>
            </w:r>
          </w:p>
        </w:tc>
      </w:tr>
      <w:tr w:rsidR="00870D2A" w:rsidRPr="001567C8" w:rsidTr="00CD3A2D">
        <w:trPr>
          <w:trHeight w:val="263"/>
        </w:trPr>
        <w:tc>
          <w:tcPr>
            <w:tcW w:w="1134" w:type="pct"/>
            <w:vAlign w:val="bottom"/>
          </w:tcPr>
          <w:p w:rsidR="00870D2A" w:rsidRPr="001567C8" w:rsidRDefault="00870D2A" w:rsidP="00870D2A">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Financijska imovina po fer vrijednosti kroz dobit ili gubitak</w:t>
            </w:r>
          </w:p>
        </w:tc>
        <w:tc>
          <w:tcPr>
            <w:tcW w:w="466"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533"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291</w:t>
            </w:r>
          </w:p>
        </w:tc>
        <w:tc>
          <w:tcPr>
            <w:tcW w:w="533"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291</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r>
      <w:tr w:rsidR="00870D2A" w:rsidRPr="001567C8" w:rsidTr="00CD3A2D">
        <w:trPr>
          <w:trHeight w:val="263"/>
        </w:trPr>
        <w:tc>
          <w:tcPr>
            <w:tcW w:w="1134" w:type="pct"/>
            <w:vAlign w:val="bottom"/>
          </w:tcPr>
          <w:p w:rsidR="00870D2A" w:rsidRPr="001567C8" w:rsidRDefault="00870D2A" w:rsidP="00870D2A">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Imovina raspoloživa za prodaju</w:t>
            </w:r>
          </w:p>
        </w:tc>
        <w:tc>
          <w:tcPr>
            <w:tcW w:w="466"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2.473.578</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847.986</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3.321.564</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2.473.578</w:t>
            </w:r>
          </w:p>
        </w:tc>
      </w:tr>
      <w:tr w:rsidR="00870D2A" w:rsidRPr="001567C8" w:rsidTr="00CD3A2D">
        <w:trPr>
          <w:trHeight w:val="251"/>
        </w:trPr>
        <w:tc>
          <w:tcPr>
            <w:tcW w:w="1134" w:type="pct"/>
            <w:vAlign w:val="bottom"/>
          </w:tcPr>
          <w:p w:rsidR="00870D2A" w:rsidRPr="001567C8" w:rsidRDefault="00870D2A" w:rsidP="00870D2A">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Imovina koja se drži do dospijeća</w:t>
            </w:r>
          </w:p>
        </w:tc>
        <w:tc>
          <w:tcPr>
            <w:tcW w:w="466"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1.385</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14</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1.399</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1.385</w:t>
            </w:r>
          </w:p>
        </w:tc>
      </w:tr>
      <w:tr w:rsidR="00870D2A" w:rsidRPr="001567C8" w:rsidTr="00CD3A2D">
        <w:trPr>
          <w:trHeight w:val="263"/>
        </w:trPr>
        <w:tc>
          <w:tcPr>
            <w:tcW w:w="1134" w:type="pct"/>
            <w:vAlign w:val="bottom"/>
          </w:tcPr>
          <w:p w:rsidR="00870D2A" w:rsidRPr="001567C8" w:rsidRDefault="00870D2A" w:rsidP="00870D2A">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Ostala imovina</w:t>
            </w:r>
          </w:p>
        </w:tc>
        <w:tc>
          <w:tcPr>
            <w:tcW w:w="466" w:type="pct"/>
            <w:tcBorders>
              <w:top w:val="nil"/>
              <w:left w:val="nil"/>
              <w:bottom w:val="single" w:sz="4" w:space="0" w:color="auto"/>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single" w:sz="4" w:space="0" w:color="auto"/>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533" w:type="pct"/>
            <w:tcBorders>
              <w:top w:val="nil"/>
              <w:left w:val="nil"/>
              <w:bottom w:val="single" w:sz="4" w:space="0" w:color="auto"/>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single" w:sz="4" w:space="0" w:color="auto"/>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single" w:sz="4" w:space="0" w:color="auto"/>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single" w:sz="4" w:space="0" w:color="auto"/>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29.471</w:t>
            </w:r>
          </w:p>
        </w:tc>
        <w:tc>
          <w:tcPr>
            <w:tcW w:w="533" w:type="pct"/>
            <w:tcBorders>
              <w:top w:val="nil"/>
              <w:left w:val="nil"/>
              <w:bottom w:val="single" w:sz="4" w:space="0" w:color="auto"/>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29.471</w:t>
            </w:r>
          </w:p>
        </w:tc>
        <w:tc>
          <w:tcPr>
            <w:tcW w:w="466" w:type="pct"/>
            <w:tcBorders>
              <w:top w:val="nil"/>
              <w:left w:val="nil"/>
              <w:bottom w:val="single" w:sz="4" w:space="0" w:color="auto"/>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r>
      <w:tr w:rsidR="00870D2A" w:rsidRPr="001567C8" w:rsidTr="00CD3A2D">
        <w:trPr>
          <w:trHeight w:hRule="exact" w:val="298"/>
        </w:trPr>
        <w:tc>
          <w:tcPr>
            <w:tcW w:w="1134" w:type="pct"/>
            <w:vAlign w:val="center"/>
          </w:tcPr>
          <w:p w:rsidR="00870D2A" w:rsidRPr="001567C8" w:rsidRDefault="00870D2A" w:rsidP="00870D2A">
            <w:pPr>
              <w:tabs>
                <w:tab w:val="right" w:pos="1202"/>
              </w:tabs>
              <w:spacing w:line="320" w:lineRule="exact"/>
              <w:outlineLvl w:val="0"/>
              <w:rPr>
                <w:rFonts w:ascii="Calibri" w:hAnsi="Calibri" w:cs="Arial"/>
                <w:b/>
                <w:bCs/>
                <w:sz w:val="16"/>
                <w:szCs w:val="16"/>
                <w:lang w:val="hr-HR"/>
              </w:rPr>
            </w:pPr>
            <w:r w:rsidRPr="001567C8">
              <w:rPr>
                <w:rFonts w:ascii="Calibri" w:hAnsi="Calibri" w:cs="Arial"/>
                <w:b/>
                <w:bCs/>
                <w:sz w:val="16"/>
                <w:szCs w:val="16"/>
                <w:lang w:val="hr-HR"/>
              </w:rPr>
              <w:t xml:space="preserve">Ukupna imovina </w:t>
            </w:r>
          </w:p>
        </w:tc>
        <w:tc>
          <w:tcPr>
            <w:tcW w:w="466" w:type="pct"/>
            <w:tcBorders>
              <w:top w:val="nil"/>
              <w:left w:val="nil"/>
              <w:bottom w:val="single" w:sz="8" w:space="0" w:color="auto"/>
              <w:right w:val="nil"/>
            </w:tcBorders>
            <w:shd w:val="clear" w:color="auto" w:fill="auto"/>
            <w:vAlign w:val="bottom"/>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5.084.061</w:t>
            </w:r>
          </w:p>
        </w:tc>
        <w:tc>
          <w:tcPr>
            <w:tcW w:w="467" w:type="pct"/>
            <w:tcBorders>
              <w:top w:val="nil"/>
              <w:left w:val="nil"/>
              <w:bottom w:val="single" w:sz="8" w:space="0" w:color="auto"/>
              <w:right w:val="nil"/>
            </w:tcBorders>
            <w:shd w:val="clear" w:color="auto" w:fill="auto"/>
            <w:vAlign w:val="bottom"/>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1.479.280</w:t>
            </w:r>
          </w:p>
        </w:tc>
        <w:tc>
          <w:tcPr>
            <w:tcW w:w="533" w:type="pct"/>
            <w:tcBorders>
              <w:top w:val="nil"/>
              <w:left w:val="nil"/>
              <w:bottom w:val="single" w:sz="8" w:space="0" w:color="auto"/>
              <w:right w:val="nil"/>
            </w:tcBorders>
            <w:shd w:val="clear" w:color="auto" w:fill="auto"/>
            <w:vAlign w:val="bottom"/>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2.272.796</w:t>
            </w:r>
          </w:p>
        </w:tc>
        <w:tc>
          <w:tcPr>
            <w:tcW w:w="467" w:type="pct"/>
            <w:tcBorders>
              <w:top w:val="nil"/>
              <w:left w:val="nil"/>
              <w:bottom w:val="single" w:sz="8" w:space="0" w:color="auto"/>
              <w:right w:val="nil"/>
            </w:tcBorders>
            <w:shd w:val="clear" w:color="auto" w:fill="auto"/>
            <w:vAlign w:val="bottom"/>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4.607.794</w:t>
            </w:r>
          </w:p>
        </w:tc>
        <w:tc>
          <w:tcPr>
            <w:tcW w:w="467" w:type="pct"/>
            <w:tcBorders>
              <w:top w:val="nil"/>
              <w:left w:val="nil"/>
              <w:bottom w:val="single" w:sz="8" w:space="0" w:color="auto"/>
              <w:right w:val="nil"/>
            </w:tcBorders>
            <w:shd w:val="clear" w:color="auto" w:fill="auto"/>
            <w:vAlign w:val="bottom"/>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12.187.368</w:t>
            </w:r>
          </w:p>
        </w:tc>
        <w:tc>
          <w:tcPr>
            <w:tcW w:w="467" w:type="pct"/>
            <w:tcBorders>
              <w:top w:val="nil"/>
              <w:left w:val="nil"/>
              <w:bottom w:val="single" w:sz="8" w:space="0" w:color="auto"/>
              <w:right w:val="nil"/>
            </w:tcBorders>
            <w:shd w:val="clear" w:color="auto" w:fill="auto"/>
            <w:vAlign w:val="bottom"/>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2.374.008</w:t>
            </w:r>
          </w:p>
        </w:tc>
        <w:tc>
          <w:tcPr>
            <w:tcW w:w="533" w:type="pct"/>
            <w:tcBorders>
              <w:top w:val="nil"/>
              <w:left w:val="nil"/>
              <w:bottom w:val="single" w:sz="8" w:space="0" w:color="auto"/>
              <w:right w:val="nil"/>
            </w:tcBorders>
            <w:shd w:val="clear" w:color="auto" w:fill="auto"/>
            <w:vAlign w:val="bottom"/>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28.005.307</w:t>
            </w:r>
          </w:p>
        </w:tc>
        <w:tc>
          <w:tcPr>
            <w:tcW w:w="466" w:type="pct"/>
            <w:tcBorders>
              <w:top w:val="nil"/>
              <w:left w:val="nil"/>
              <w:bottom w:val="single" w:sz="8" w:space="0" w:color="auto"/>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24.350.669</w:t>
            </w:r>
          </w:p>
        </w:tc>
      </w:tr>
      <w:tr w:rsidR="00870D2A" w:rsidRPr="001567C8" w:rsidTr="00CD3A2D">
        <w:tblPrEx>
          <w:tblLook w:val="04A0" w:firstRow="1" w:lastRow="0" w:firstColumn="1" w:lastColumn="0" w:noHBand="0" w:noVBand="1"/>
        </w:tblPrEx>
        <w:trPr>
          <w:trHeight w:val="249"/>
        </w:trPr>
        <w:tc>
          <w:tcPr>
            <w:tcW w:w="1134" w:type="pct"/>
            <w:hideMark/>
          </w:tcPr>
          <w:p w:rsidR="00870D2A" w:rsidRPr="001567C8" w:rsidRDefault="00870D2A" w:rsidP="00870D2A">
            <w:pPr>
              <w:tabs>
                <w:tab w:val="right" w:pos="1202"/>
              </w:tabs>
              <w:spacing w:line="280" w:lineRule="exact"/>
              <w:outlineLvl w:val="0"/>
              <w:rPr>
                <w:rFonts w:ascii="Calibri" w:hAnsi="Calibri" w:cs="Arial"/>
                <w:b/>
                <w:bCs/>
                <w:sz w:val="16"/>
                <w:szCs w:val="16"/>
                <w:lang w:val="hr-HR"/>
              </w:rPr>
            </w:pPr>
            <w:r w:rsidRPr="001567C8">
              <w:rPr>
                <w:rFonts w:ascii="Calibri" w:hAnsi="Calibri" w:cs="Arial"/>
                <w:b/>
                <w:bCs/>
                <w:sz w:val="16"/>
                <w:szCs w:val="16"/>
                <w:lang w:val="hr-HR"/>
              </w:rPr>
              <w:t>Obveze</w:t>
            </w:r>
          </w:p>
        </w:tc>
        <w:tc>
          <w:tcPr>
            <w:tcW w:w="466" w:type="pct"/>
            <w:tcBorders>
              <w:top w:val="single" w:sz="12" w:space="0" w:color="auto"/>
            </w:tcBorders>
            <w:vAlign w:val="bottom"/>
          </w:tcPr>
          <w:p w:rsidR="00870D2A" w:rsidRPr="001567C8" w:rsidRDefault="00870D2A" w:rsidP="00870D2A">
            <w:pPr>
              <w:tabs>
                <w:tab w:val="right" w:pos="1202"/>
              </w:tabs>
              <w:spacing w:line="280" w:lineRule="exact"/>
              <w:jc w:val="right"/>
              <w:outlineLvl w:val="0"/>
              <w:rPr>
                <w:rFonts w:ascii="Calibri" w:hAnsi="Calibri" w:cs="Arial"/>
                <w:spacing w:val="-2"/>
                <w:sz w:val="16"/>
                <w:szCs w:val="16"/>
                <w:lang w:val="hr-HR"/>
              </w:rPr>
            </w:pPr>
          </w:p>
        </w:tc>
        <w:tc>
          <w:tcPr>
            <w:tcW w:w="467" w:type="pct"/>
            <w:tcBorders>
              <w:top w:val="single" w:sz="12" w:space="0" w:color="auto"/>
            </w:tcBorders>
            <w:vAlign w:val="bottom"/>
          </w:tcPr>
          <w:p w:rsidR="00870D2A" w:rsidRPr="001567C8" w:rsidRDefault="00870D2A" w:rsidP="00870D2A">
            <w:pPr>
              <w:tabs>
                <w:tab w:val="right" w:pos="1202"/>
              </w:tabs>
              <w:spacing w:line="280" w:lineRule="exact"/>
              <w:jc w:val="right"/>
              <w:outlineLvl w:val="0"/>
              <w:rPr>
                <w:rFonts w:ascii="Calibri" w:hAnsi="Calibri" w:cs="Arial"/>
                <w:spacing w:val="-2"/>
                <w:sz w:val="16"/>
                <w:szCs w:val="16"/>
                <w:lang w:val="hr-HR"/>
              </w:rPr>
            </w:pPr>
          </w:p>
        </w:tc>
        <w:tc>
          <w:tcPr>
            <w:tcW w:w="533" w:type="pct"/>
            <w:tcBorders>
              <w:top w:val="single" w:sz="12" w:space="0" w:color="auto"/>
            </w:tcBorders>
            <w:vAlign w:val="bottom"/>
          </w:tcPr>
          <w:p w:rsidR="00870D2A" w:rsidRPr="001567C8" w:rsidRDefault="00870D2A" w:rsidP="00870D2A">
            <w:pPr>
              <w:tabs>
                <w:tab w:val="right" w:pos="1202"/>
              </w:tabs>
              <w:spacing w:line="280" w:lineRule="exact"/>
              <w:jc w:val="right"/>
              <w:outlineLvl w:val="0"/>
              <w:rPr>
                <w:rFonts w:ascii="Calibri" w:hAnsi="Calibri" w:cs="Arial"/>
                <w:spacing w:val="-2"/>
                <w:sz w:val="16"/>
                <w:szCs w:val="16"/>
                <w:lang w:val="hr-HR"/>
              </w:rPr>
            </w:pPr>
          </w:p>
        </w:tc>
        <w:tc>
          <w:tcPr>
            <w:tcW w:w="467" w:type="pct"/>
            <w:tcBorders>
              <w:top w:val="single" w:sz="12" w:space="0" w:color="auto"/>
            </w:tcBorders>
            <w:vAlign w:val="bottom"/>
          </w:tcPr>
          <w:p w:rsidR="00870D2A" w:rsidRPr="001567C8" w:rsidRDefault="00870D2A" w:rsidP="00870D2A">
            <w:pPr>
              <w:tabs>
                <w:tab w:val="right" w:pos="1202"/>
              </w:tabs>
              <w:spacing w:line="280" w:lineRule="exact"/>
              <w:jc w:val="right"/>
              <w:outlineLvl w:val="0"/>
              <w:rPr>
                <w:rFonts w:ascii="Calibri" w:hAnsi="Calibri" w:cs="Arial"/>
                <w:spacing w:val="-2"/>
                <w:sz w:val="16"/>
                <w:szCs w:val="16"/>
                <w:lang w:val="hr-HR"/>
              </w:rPr>
            </w:pPr>
          </w:p>
        </w:tc>
        <w:tc>
          <w:tcPr>
            <w:tcW w:w="467" w:type="pct"/>
            <w:tcBorders>
              <w:top w:val="single" w:sz="12" w:space="0" w:color="auto"/>
            </w:tcBorders>
            <w:vAlign w:val="bottom"/>
          </w:tcPr>
          <w:p w:rsidR="00870D2A" w:rsidRPr="001567C8" w:rsidRDefault="00870D2A" w:rsidP="00870D2A">
            <w:pPr>
              <w:tabs>
                <w:tab w:val="right" w:pos="1202"/>
              </w:tabs>
              <w:spacing w:line="280" w:lineRule="exact"/>
              <w:jc w:val="right"/>
              <w:outlineLvl w:val="0"/>
              <w:rPr>
                <w:rFonts w:ascii="Calibri" w:hAnsi="Calibri" w:cs="Arial"/>
                <w:spacing w:val="-2"/>
                <w:sz w:val="16"/>
                <w:szCs w:val="16"/>
                <w:lang w:val="hr-HR"/>
              </w:rPr>
            </w:pPr>
          </w:p>
        </w:tc>
        <w:tc>
          <w:tcPr>
            <w:tcW w:w="467" w:type="pct"/>
            <w:tcBorders>
              <w:top w:val="single" w:sz="12" w:space="0" w:color="auto"/>
            </w:tcBorders>
            <w:vAlign w:val="bottom"/>
          </w:tcPr>
          <w:p w:rsidR="00870D2A" w:rsidRPr="001567C8" w:rsidRDefault="00870D2A" w:rsidP="00870D2A">
            <w:pPr>
              <w:tabs>
                <w:tab w:val="right" w:pos="1202"/>
              </w:tabs>
              <w:spacing w:line="280" w:lineRule="exact"/>
              <w:jc w:val="right"/>
              <w:outlineLvl w:val="0"/>
              <w:rPr>
                <w:rFonts w:ascii="Calibri" w:hAnsi="Calibri" w:cs="Arial"/>
                <w:b/>
                <w:sz w:val="16"/>
                <w:szCs w:val="16"/>
                <w:lang w:val="hr-HR"/>
              </w:rPr>
            </w:pPr>
          </w:p>
        </w:tc>
        <w:tc>
          <w:tcPr>
            <w:tcW w:w="533" w:type="pct"/>
            <w:tcBorders>
              <w:top w:val="single" w:sz="12" w:space="0" w:color="auto"/>
            </w:tcBorders>
            <w:vAlign w:val="bottom"/>
          </w:tcPr>
          <w:p w:rsidR="00870D2A" w:rsidRPr="001567C8" w:rsidRDefault="00870D2A" w:rsidP="00870D2A">
            <w:pPr>
              <w:tabs>
                <w:tab w:val="right" w:pos="1202"/>
              </w:tabs>
              <w:spacing w:line="280" w:lineRule="exact"/>
              <w:jc w:val="right"/>
              <w:outlineLvl w:val="0"/>
              <w:rPr>
                <w:rFonts w:ascii="Calibri" w:hAnsi="Calibri" w:cs="Arial"/>
                <w:sz w:val="16"/>
                <w:szCs w:val="16"/>
                <w:lang w:val="hr-HR"/>
              </w:rPr>
            </w:pPr>
          </w:p>
        </w:tc>
        <w:tc>
          <w:tcPr>
            <w:tcW w:w="466" w:type="pct"/>
            <w:tcBorders>
              <w:top w:val="single" w:sz="12" w:space="0" w:color="auto"/>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p>
        </w:tc>
      </w:tr>
      <w:tr w:rsidR="00870D2A" w:rsidRPr="001567C8" w:rsidTr="00CD3A2D">
        <w:tblPrEx>
          <w:tblLook w:val="04A0" w:firstRow="1" w:lastRow="0" w:firstColumn="1" w:lastColumn="0" w:noHBand="0" w:noVBand="1"/>
        </w:tblPrEx>
        <w:trPr>
          <w:trHeight w:val="249"/>
        </w:trPr>
        <w:tc>
          <w:tcPr>
            <w:tcW w:w="1134" w:type="pct"/>
            <w:hideMark/>
          </w:tcPr>
          <w:p w:rsidR="00870D2A" w:rsidRPr="001567C8" w:rsidRDefault="00870D2A" w:rsidP="00870D2A">
            <w:pPr>
              <w:tabs>
                <w:tab w:val="right" w:pos="1202"/>
              </w:tabs>
              <w:spacing w:line="280" w:lineRule="exact"/>
              <w:outlineLvl w:val="0"/>
              <w:rPr>
                <w:rFonts w:ascii="Calibri" w:hAnsi="Calibri" w:cs="Arial"/>
                <w:sz w:val="16"/>
                <w:szCs w:val="16"/>
                <w:lang w:val="hr-HR"/>
              </w:rPr>
            </w:pPr>
            <w:r w:rsidRPr="001567C8">
              <w:rPr>
                <w:rFonts w:ascii="Calibri" w:hAnsi="Calibri" w:cs="Arial"/>
                <w:spacing w:val="-2"/>
                <w:sz w:val="16"/>
                <w:szCs w:val="16"/>
                <w:lang w:val="hr-HR"/>
              </w:rPr>
              <w:t>Obveze po depozitima</w:t>
            </w:r>
          </w:p>
        </w:tc>
        <w:tc>
          <w:tcPr>
            <w:tcW w:w="466"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150.273</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169.057</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169.057</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156.354</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644.741</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r>
      <w:tr w:rsidR="00870D2A" w:rsidRPr="001567C8" w:rsidTr="00CD3A2D">
        <w:tblPrEx>
          <w:tblLook w:val="04A0" w:firstRow="1" w:lastRow="0" w:firstColumn="1" w:lastColumn="0" w:noHBand="0" w:noVBand="1"/>
        </w:tblPrEx>
        <w:trPr>
          <w:trHeight w:val="261"/>
        </w:trPr>
        <w:tc>
          <w:tcPr>
            <w:tcW w:w="1134" w:type="pct"/>
            <w:vAlign w:val="center"/>
            <w:hideMark/>
          </w:tcPr>
          <w:p w:rsidR="00870D2A" w:rsidRPr="001567C8" w:rsidRDefault="00870D2A" w:rsidP="00870D2A">
            <w:pPr>
              <w:tabs>
                <w:tab w:val="right" w:pos="1202"/>
              </w:tabs>
              <w:spacing w:line="280" w:lineRule="exact"/>
              <w:outlineLvl w:val="0"/>
              <w:rPr>
                <w:rFonts w:ascii="Calibri" w:hAnsi="Calibri" w:cs="Arial"/>
                <w:sz w:val="16"/>
                <w:szCs w:val="16"/>
                <w:lang w:val="hr-HR"/>
              </w:rPr>
            </w:pPr>
            <w:r w:rsidRPr="001567C8">
              <w:rPr>
                <w:rFonts w:ascii="Calibri" w:hAnsi="Calibri" w:cs="Arial"/>
                <w:spacing w:val="-2"/>
                <w:sz w:val="16"/>
                <w:szCs w:val="16"/>
                <w:lang w:val="hr-HR"/>
              </w:rPr>
              <w:t>Obveze po kreditima</w:t>
            </w:r>
          </w:p>
        </w:tc>
        <w:tc>
          <w:tcPr>
            <w:tcW w:w="466"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168.310</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243.414</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1.155.999</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3.853.447</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9.902.974</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63.737</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15.387.881</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15.323.205</w:t>
            </w:r>
          </w:p>
        </w:tc>
      </w:tr>
      <w:tr w:rsidR="00870D2A" w:rsidRPr="001567C8" w:rsidTr="00CD3A2D">
        <w:tblPrEx>
          <w:tblLook w:val="04A0" w:firstRow="1" w:lastRow="0" w:firstColumn="1" w:lastColumn="0" w:noHBand="0" w:noVBand="1"/>
        </w:tblPrEx>
        <w:trPr>
          <w:trHeight w:val="511"/>
        </w:trPr>
        <w:tc>
          <w:tcPr>
            <w:tcW w:w="1134" w:type="pct"/>
            <w:hideMark/>
          </w:tcPr>
          <w:p w:rsidR="00870D2A" w:rsidRPr="001567C8" w:rsidRDefault="00870D2A" w:rsidP="00870D2A">
            <w:pPr>
              <w:tabs>
                <w:tab w:val="right" w:pos="1202"/>
              </w:tabs>
              <w:spacing w:line="280" w:lineRule="exact"/>
              <w:outlineLvl w:val="0"/>
              <w:rPr>
                <w:rFonts w:ascii="Calibri" w:hAnsi="Calibri" w:cs="Arial"/>
                <w:sz w:val="16"/>
                <w:szCs w:val="16"/>
                <w:lang w:val="hr-HR"/>
              </w:rPr>
            </w:pPr>
            <w:r w:rsidRPr="001567C8">
              <w:rPr>
                <w:rFonts w:ascii="Calibri" w:hAnsi="Calibri" w:cs="Arial"/>
                <w:spacing w:val="-2"/>
                <w:sz w:val="16"/>
                <w:szCs w:val="16"/>
                <w:lang w:val="hr-HR"/>
              </w:rPr>
              <w:t>Obveze za izdane dugoročne vrijednosne papire</w:t>
            </w:r>
          </w:p>
        </w:tc>
        <w:tc>
          <w:tcPr>
            <w:tcW w:w="466"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533"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1.117.790</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67"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43.909</w:t>
            </w:r>
          </w:p>
        </w:tc>
        <w:tc>
          <w:tcPr>
            <w:tcW w:w="533" w:type="pct"/>
            <w:tcBorders>
              <w:top w:val="nil"/>
              <w:left w:val="nil"/>
              <w:bottom w:val="nil"/>
              <w:right w:val="nil"/>
            </w:tcBorders>
            <w:shd w:val="clear" w:color="auto" w:fill="auto"/>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1.161.699</w:t>
            </w:r>
          </w:p>
        </w:tc>
        <w:tc>
          <w:tcPr>
            <w:tcW w:w="466" w:type="pct"/>
            <w:tcBorders>
              <w:top w:val="nil"/>
              <w:left w:val="nil"/>
              <w:bottom w:val="nil"/>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1.117.790</w:t>
            </w:r>
          </w:p>
        </w:tc>
      </w:tr>
      <w:tr w:rsidR="00870D2A" w:rsidRPr="001567C8" w:rsidTr="00CD3A2D">
        <w:tblPrEx>
          <w:tblLook w:val="04A0" w:firstRow="1" w:lastRow="0" w:firstColumn="1" w:lastColumn="0" w:noHBand="0" w:noVBand="1"/>
        </w:tblPrEx>
        <w:trPr>
          <w:trHeight w:val="249"/>
        </w:trPr>
        <w:tc>
          <w:tcPr>
            <w:tcW w:w="1134" w:type="pct"/>
            <w:hideMark/>
          </w:tcPr>
          <w:p w:rsidR="00870D2A" w:rsidRPr="001567C8" w:rsidRDefault="00870D2A" w:rsidP="00870D2A">
            <w:pPr>
              <w:tabs>
                <w:tab w:val="right" w:pos="1202"/>
              </w:tabs>
              <w:spacing w:line="280" w:lineRule="exact"/>
              <w:outlineLvl w:val="0"/>
              <w:rPr>
                <w:rFonts w:ascii="Calibri" w:hAnsi="Calibri" w:cs="Arial"/>
                <w:sz w:val="16"/>
                <w:szCs w:val="16"/>
                <w:lang w:val="hr-HR"/>
              </w:rPr>
            </w:pPr>
            <w:r w:rsidRPr="001567C8">
              <w:rPr>
                <w:rFonts w:ascii="Calibri" w:hAnsi="Calibri" w:cs="Arial"/>
                <w:spacing w:val="-2"/>
                <w:sz w:val="16"/>
                <w:szCs w:val="16"/>
                <w:lang w:val="hr-HR"/>
              </w:rPr>
              <w:t>Ostale obveze</w:t>
            </w:r>
          </w:p>
        </w:tc>
        <w:tc>
          <w:tcPr>
            <w:tcW w:w="466"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533"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nil"/>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 xml:space="preserve"> - </w:t>
            </w:r>
          </w:p>
        </w:tc>
        <w:tc>
          <w:tcPr>
            <w:tcW w:w="467" w:type="pct"/>
            <w:tcBorders>
              <w:top w:val="nil"/>
              <w:left w:val="nil"/>
              <w:bottom w:val="single" w:sz="4" w:space="0" w:color="auto"/>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605.453</w:t>
            </w:r>
          </w:p>
        </w:tc>
        <w:tc>
          <w:tcPr>
            <w:tcW w:w="533" w:type="pct"/>
            <w:tcBorders>
              <w:top w:val="nil"/>
              <w:left w:val="nil"/>
              <w:bottom w:val="single" w:sz="4" w:space="0" w:color="auto"/>
              <w:right w:val="nil"/>
            </w:tcBorders>
            <w:shd w:val="clear" w:color="auto" w:fill="auto"/>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605.453</w:t>
            </w:r>
          </w:p>
        </w:tc>
        <w:tc>
          <w:tcPr>
            <w:tcW w:w="466" w:type="pct"/>
            <w:tcBorders>
              <w:top w:val="nil"/>
              <w:left w:val="nil"/>
              <w:bottom w:val="single" w:sz="4" w:space="0" w:color="auto"/>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r>
      <w:tr w:rsidR="00870D2A" w:rsidRPr="001567C8" w:rsidTr="00CD3A2D">
        <w:tblPrEx>
          <w:tblLook w:val="04A0" w:firstRow="1" w:lastRow="0" w:firstColumn="1" w:lastColumn="0" w:noHBand="0" w:noVBand="1"/>
        </w:tblPrEx>
        <w:trPr>
          <w:trHeight w:val="231"/>
        </w:trPr>
        <w:tc>
          <w:tcPr>
            <w:tcW w:w="1134" w:type="pct"/>
            <w:vAlign w:val="center"/>
            <w:hideMark/>
          </w:tcPr>
          <w:p w:rsidR="00870D2A" w:rsidRPr="001567C8" w:rsidRDefault="00870D2A" w:rsidP="00870D2A">
            <w:pPr>
              <w:tabs>
                <w:tab w:val="right" w:pos="2880"/>
              </w:tabs>
              <w:spacing w:line="280" w:lineRule="exact"/>
              <w:outlineLvl w:val="0"/>
              <w:rPr>
                <w:rFonts w:ascii="Calibri" w:hAnsi="Calibri" w:cs="Arial"/>
                <w:b/>
                <w:bCs/>
                <w:sz w:val="16"/>
                <w:szCs w:val="16"/>
                <w:lang w:val="hr-HR"/>
              </w:rPr>
            </w:pPr>
            <w:r w:rsidRPr="001567C8">
              <w:rPr>
                <w:rFonts w:ascii="Calibri" w:hAnsi="Calibri" w:cs="Arial"/>
                <w:b/>
                <w:bCs/>
                <w:sz w:val="16"/>
                <w:szCs w:val="16"/>
                <w:lang w:val="hr-HR"/>
              </w:rPr>
              <w:t>Ukupne obveze</w:t>
            </w:r>
            <w:r w:rsidRPr="001567C8">
              <w:rPr>
                <w:rFonts w:ascii="Calibri" w:hAnsi="Calibri" w:cs="Arial"/>
                <w:b/>
                <w:bCs/>
                <w:sz w:val="16"/>
                <w:szCs w:val="16"/>
                <w:lang w:val="hr-HR"/>
              </w:rPr>
              <w:tab/>
            </w:r>
          </w:p>
        </w:tc>
        <w:tc>
          <w:tcPr>
            <w:tcW w:w="466" w:type="pct"/>
            <w:tcBorders>
              <w:top w:val="single" w:sz="8" w:space="0" w:color="auto"/>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318.583</w:t>
            </w:r>
          </w:p>
        </w:tc>
        <w:tc>
          <w:tcPr>
            <w:tcW w:w="467" w:type="pct"/>
            <w:tcBorders>
              <w:top w:val="single" w:sz="8" w:space="0" w:color="auto"/>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243.414</w:t>
            </w:r>
          </w:p>
        </w:tc>
        <w:tc>
          <w:tcPr>
            <w:tcW w:w="533" w:type="pct"/>
            <w:tcBorders>
              <w:top w:val="single" w:sz="8" w:space="0" w:color="auto"/>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1.325.056</w:t>
            </w:r>
          </w:p>
        </w:tc>
        <w:tc>
          <w:tcPr>
            <w:tcW w:w="467" w:type="pct"/>
            <w:tcBorders>
              <w:top w:val="single" w:sz="8" w:space="0" w:color="auto"/>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5.140.294</w:t>
            </w:r>
          </w:p>
        </w:tc>
        <w:tc>
          <w:tcPr>
            <w:tcW w:w="467" w:type="pct"/>
            <w:tcBorders>
              <w:top w:val="single" w:sz="8" w:space="0" w:color="auto"/>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9.902.974</w:t>
            </w:r>
          </w:p>
        </w:tc>
        <w:tc>
          <w:tcPr>
            <w:tcW w:w="467" w:type="pct"/>
            <w:tcBorders>
              <w:top w:val="single" w:sz="8" w:space="0" w:color="auto"/>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869.453</w:t>
            </w:r>
          </w:p>
        </w:tc>
        <w:tc>
          <w:tcPr>
            <w:tcW w:w="533" w:type="pct"/>
            <w:tcBorders>
              <w:top w:val="single" w:sz="8" w:space="0" w:color="auto"/>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17.799.774</w:t>
            </w:r>
          </w:p>
        </w:tc>
        <w:tc>
          <w:tcPr>
            <w:tcW w:w="466" w:type="pct"/>
            <w:tcBorders>
              <w:top w:val="single" w:sz="8" w:space="0" w:color="auto"/>
              <w:left w:val="nil"/>
              <w:bottom w:val="single" w:sz="12" w:space="0" w:color="auto"/>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16.440.995</w:t>
            </w:r>
          </w:p>
        </w:tc>
      </w:tr>
      <w:tr w:rsidR="00870D2A" w:rsidRPr="001567C8" w:rsidTr="00CD3A2D">
        <w:tblPrEx>
          <w:tblLook w:val="04A0" w:firstRow="1" w:lastRow="0" w:firstColumn="1" w:lastColumn="0" w:noHBand="0" w:noVBand="1"/>
        </w:tblPrEx>
        <w:trPr>
          <w:trHeight w:hRule="exact" w:val="348"/>
        </w:trPr>
        <w:tc>
          <w:tcPr>
            <w:tcW w:w="1134" w:type="pct"/>
            <w:vAlign w:val="center"/>
            <w:hideMark/>
          </w:tcPr>
          <w:p w:rsidR="00870D2A" w:rsidRPr="001567C8" w:rsidRDefault="00870D2A" w:rsidP="00870D2A">
            <w:pPr>
              <w:tabs>
                <w:tab w:val="right" w:pos="1202"/>
              </w:tabs>
              <w:spacing w:line="280" w:lineRule="exact"/>
              <w:outlineLvl w:val="0"/>
              <w:rPr>
                <w:rFonts w:ascii="Calibri" w:hAnsi="Calibri" w:cs="Arial"/>
                <w:b/>
                <w:bCs/>
                <w:spacing w:val="-2"/>
                <w:sz w:val="16"/>
                <w:szCs w:val="16"/>
                <w:lang w:val="hr-HR"/>
              </w:rPr>
            </w:pPr>
            <w:r w:rsidRPr="001567C8">
              <w:rPr>
                <w:rFonts w:ascii="Calibri" w:hAnsi="Calibri" w:cs="Arial"/>
                <w:b/>
                <w:bCs/>
                <w:spacing w:val="-2"/>
                <w:sz w:val="16"/>
                <w:szCs w:val="16"/>
                <w:lang w:val="hr-HR"/>
              </w:rPr>
              <w:t>Kamatni jaz</w:t>
            </w:r>
          </w:p>
        </w:tc>
        <w:tc>
          <w:tcPr>
            <w:tcW w:w="466" w:type="pct"/>
            <w:tcBorders>
              <w:top w:val="nil"/>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4.765.478</w:t>
            </w:r>
          </w:p>
        </w:tc>
        <w:tc>
          <w:tcPr>
            <w:tcW w:w="467" w:type="pct"/>
            <w:tcBorders>
              <w:top w:val="nil"/>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1.235.866</w:t>
            </w:r>
          </w:p>
        </w:tc>
        <w:tc>
          <w:tcPr>
            <w:tcW w:w="533" w:type="pct"/>
            <w:tcBorders>
              <w:top w:val="nil"/>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947.740</w:t>
            </w:r>
          </w:p>
        </w:tc>
        <w:tc>
          <w:tcPr>
            <w:tcW w:w="467" w:type="pct"/>
            <w:tcBorders>
              <w:top w:val="nil"/>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(532.500)</w:t>
            </w:r>
          </w:p>
        </w:tc>
        <w:tc>
          <w:tcPr>
            <w:tcW w:w="467" w:type="pct"/>
            <w:tcBorders>
              <w:top w:val="nil"/>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2.284.394</w:t>
            </w:r>
          </w:p>
        </w:tc>
        <w:tc>
          <w:tcPr>
            <w:tcW w:w="467" w:type="pct"/>
            <w:tcBorders>
              <w:top w:val="nil"/>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1.504.555</w:t>
            </w:r>
          </w:p>
        </w:tc>
        <w:tc>
          <w:tcPr>
            <w:tcW w:w="533" w:type="pct"/>
            <w:tcBorders>
              <w:top w:val="nil"/>
              <w:left w:val="nil"/>
              <w:bottom w:val="single" w:sz="12" w:space="0" w:color="auto"/>
              <w:right w:val="nil"/>
            </w:tcBorders>
            <w:shd w:val="clear" w:color="auto" w:fill="auto"/>
            <w:vAlign w:val="center"/>
          </w:tcPr>
          <w:p w:rsidR="00870D2A" w:rsidRPr="001567C8" w:rsidRDefault="00870D2A" w:rsidP="00870D2A">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10.205.533</w:t>
            </w:r>
          </w:p>
        </w:tc>
        <w:tc>
          <w:tcPr>
            <w:tcW w:w="466" w:type="pct"/>
            <w:tcBorders>
              <w:top w:val="nil"/>
              <w:left w:val="nil"/>
              <w:bottom w:val="single" w:sz="12" w:space="0" w:color="auto"/>
              <w:right w:val="nil"/>
            </w:tcBorders>
            <w:vAlign w:val="bottom"/>
          </w:tcPr>
          <w:p w:rsidR="00870D2A" w:rsidRPr="001567C8" w:rsidRDefault="00870D2A" w:rsidP="00870D2A">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7.909.674</w:t>
            </w:r>
          </w:p>
        </w:tc>
      </w:tr>
    </w:tbl>
    <w:p w:rsidR="00870D2A" w:rsidRPr="001567C8" w:rsidRDefault="00870D2A" w:rsidP="003F28F7">
      <w:pPr>
        <w:tabs>
          <w:tab w:val="left" w:pos="-720"/>
        </w:tabs>
        <w:suppressAutoHyphens/>
        <w:spacing w:line="360" w:lineRule="auto"/>
        <w:ind w:right="-5"/>
        <w:jc w:val="both"/>
        <w:rPr>
          <w:rFonts w:asciiTheme="minorHAnsi" w:hAnsiTheme="minorHAnsi" w:cs="Arial"/>
          <w:sz w:val="22"/>
          <w:szCs w:val="22"/>
          <w:lang w:val="hr-HR"/>
        </w:rPr>
      </w:pPr>
    </w:p>
    <w:p w:rsidR="00870D2A" w:rsidRPr="001567C8" w:rsidRDefault="00870D2A" w:rsidP="003F28F7">
      <w:pPr>
        <w:tabs>
          <w:tab w:val="left" w:pos="-720"/>
        </w:tabs>
        <w:suppressAutoHyphens/>
        <w:spacing w:line="360" w:lineRule="auto"/>
        <w:ind w:right="-5"/>
        <w:jc w:val="both"/>
        <w:rPr>
          <w:rFonts w:asciiTheme="minorHAnsi" w:hAnsiTheme="minorHAnsi" w:cs="Arial"/>
          <w:sz w:val="22"/>
          <w:szCs w:val="22"/>
          <w:lang w:val="hr-HR"/>
        </w:rPr>
      </w:pPr>
    </w:p>
    <w:p w:rsidR="00F75285" w:rsidRPr="001567C8" w:rsidRDefault="00F75285" w:rsidP="003F28F7">
      <w:pPr>
        <w:tabs>
          <w:tab w:val="left" w:pos="-720"/>
        </w:tabs>
        <w:suppressAutoHyphens/>
        <w:spacing w:line="360" w:lineRule="auto"/>
        <w:ind w:right="-5"/>
        <w:jc w:val="both"/>
        <w:rPr>
          <w:rFonts w:asciiTheme="minorHAnsi" w:hAnsiTheme="minorHAnsi" w:cs="Arial"/>
          <w:sz w:val="22"/>
          <w:szCs w:val="22"/>
          <w:lang w:val="hr-HR"/>
        </w:rPr>
        <w:sectPr w:rsidR="00F75285" w:rsidRPr="001567C8" w:rsidSect="0077198A">
          <w:pgSz w:w="11907" w:h="16840" w:code="9"/>
          <w:pgMar w:top="1418" w:right="1134" w:bottom="1134" w:left="1418" w:header="851" w:footer="851" w:gutter="0"/>
          <w:cols w:space="720"/>
          <w:noEndnote/>
        </w:sectPr>
      </w:pPr>
    </w:p>
    <w:p w:rsidR="00A81BD8" w:rsidRPr="001567C8" w:rsidRDefault="00A81BD8" w:rsidP="00D13FB3">
      <w:pPr>
        <w:tabs>
          <w:tab w:val="left" w:pos="-720"/>
        </w:tabs>
        <w:suppressAutoHyphens/>
        <w:rPr>
          <w:rFonts w:asciiTheme="minorHAnsi" w:hAnsiTheme="minorHAnsi" w:cs="Arial"/>
          <w:b/>
          <w:spacing w:val="-3"/>
          <w:sz w:val="22"/>
          <w:szCs w:val="22"/>
          <w:lang w:val="hr-HR"/>
        </w:rPr>
      </w:pPr>
    </w:p>
    <w:p w:rsidR="002D2122" w:rsidRPr="001567C8" w:rsidRDefault="002D2122" w:rsidP="00D13FB3">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847DC9" w:rsidRPr="001567C8">
        <w:rPr>
          <w:rFonts w:asciiTheme="minorHAnsi" w:hAnsiTheme="minorHAnsi" w:cs="Arial"/>
          <w:sz w:val="22"/>
          <w:szCs w:val="22"/>
          <w:lang w:val="hr-HR"/>
        </w:rPr>
        <w:t>6</w:t>
      </w:r>
      <w:r w:rsidRPr="001567C8">
        <w:rPr>
          <w:rFonts w:asciiTheme="minorHAnsi" w:hAnsiTheme="minorHAnsi" w:cs="Arial"/>
          <w:sz w:val="22"/>
          <w:szCs w:val="22"/>
          <w:lang w:val="hr-HR"/>
        </w:rPr>
        <w:t>.        Upravljanje rizicima (nastavak)</w:t>
      </w:r>
    </w:p>
    <w:p w:rsidR="00D13FB3" w:rsidRPr="001567C8" w:rsidRDefault="00D13FB3" w:rsidP="00D13FB3">
      <w:pPr>
        <w:pStyle w:val="T1"/>
        <w:spacing w:before="0" w:after="0" w:line="240" w:lineRule="auto"/>
        <w:ind w:left="709" w:hanging="709"/>
        <w:rPr>
          <w:rFonts w:asciiTheme="minorHAnsi" w:hAnsiTheme="minorHAnsi" w:cs="Arial"/>
          <w:sz w:val="22"/>
          <w:szCs w:val="22"/>
          <w:lang w:val="hr-HR"/>
        </w:rPr>
      </w:pPr>
    </w:p>
    <w:p w:rsidR="002D2122" w:rsidRPr="001567C8" w:rsidRDefault="002D2122" w:rsidP="00D13FB3">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847DC9"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Pr="001567C8">
        <w:rPr>
          <w:rFonts w:asciiTheme="minorHAnsi" w:hAnsiTheme="minorHAnsi" w:cs="Arial"/>
          <w:sz w:val="22"/>
          <w:szCs w:val="22"/>
          <w:lang w:val="hr-HR"/>
        </w:rPr>
        <w:t>.     Tržišni rizik (nastavak)</w:t>
      </w:r>
    </w:p>
    <w:p w:rsidR="00D13FB3" w:rsidRPr="001567C8" w:rsidRDefault="00D13FB3" w:rsidP="00D13FB3">
      <w:pPr>
        <w:pStyle w:val="T1"/>
        <w:spacing w:before="0" w:after="0" w:line="240" w:lineRule="auto"/>
        <w:ind w:left="709" w:hanging="709"/>
        <w:rPr>
          <w:rFonts w:asciiTheme="minorHAnsi" w:hAnsiTheme="minorHAnsi" w:cs="Arial"/>
          <w:sz w:val="22"/>
          <w:szCs w:val="22"/>
          <w:lang w:val="hr-HR"/>
        </w:rPr>
      </w:pPr>
    </w:p>
    <w:p w:rsidR="002D2122" w:rsidRPr="001567C8" w:rsidRDefault="002D2122" w:rsidP="00D13FB3">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847DC9"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Pr="001567C8">
        <w:rPr>
          <w:rFonts w:asciiTheme="minorHAnsi" w:hAnsiTheme="minorHAnsi" w:cs="Arial"/>
          <w:sz w:val="22"/>
          <w:szCs w:val="22"/>
          <w:lang w:val="hr-HR"/>
        </w:rPr>
        <w:t xml:space="preserve">.1.  Kamatni rizik </w:t>
      </w:r>
      <w:r w:rsidR="00BC68BE" w:rsidRPr="001567C8">
        <w:rPr>
          <w:rFonts w:asciiTheme="minorHAnsi" w:hAnsiTheme="minorHAnsi" w:cs="Arial"/>
          <w:sz w:val="22"/>
          <w:szCs w:val="22"/>
          <w:lang w:val="hr-HR"/>
        </w:rPr>
        <w:t xml:space="preserve">u knjizi banke </w:t>
      </w:r>
      <w:r w:rsidRPr="001567C8">
        <w:rPr>
          <w:rFonts w:asciiTheme="minorHAnsi" w:hAnsiTheme="minorHAnsi" w:cs="Arial"/>
          <w:sz w:val="22"/>
          <w:szCs w:val="22"/>
          <w:lang w:val="hr-HR"/>
        </w:rPr>
        <w:t>(nastavak)</w:t>
      </w:r>
    </w:p>
    <w:p w:rsidR="00D13FB3" w:rsidRPr="001567C8" w:rsidRDefault="00D13FB3" w:rsidP="00D13FB3">
      <w:pPr>
        <w:ind w:right="-6"/>
        <w:jc w:val="both"/>
        <w:rPr>
          <w:rFonts w:asciiTheme="minorHAnsi" w:hAnsiTheme="minorHAnsi" w:cs="Arial"/>
          <w:iCs/>
          <w:sz w:val="22"/>
          <w:szCs w:val="22"/>
          <w:lang w:val="hr-HR"/>
        </w:rPr>
      </w:pPr>
    </w:p>
    <w:p w:rsidR="00D37D6B" w:rsidRPr="001567C8" w:rsidRDefault="00D37D6B" w:rsidP="00361B04">
      <w:pPr>
        <w:jc w:val="both"/>
        <w:rPr>
          <w:rFonts w:asciiTheme="minorHAnsi" w:hAnsiTheme="minorHAnsi" w:cs="Arial"/>
          <w:iCs/>
          <w:sz w:val="22"/>
          <w:szCs w:val="22"/>
          <w:lang w:val="hr-HR"/>
        </w:rPr>
      </w:pPr>
      <w:r w:rsidRPr="001567C8">
        <w:rPr>
          <w:rFonts w:asciiTheme="minorHAnsi" w:hAnsiTheme="minorHAnsi" w:cs="Arial"/>
          <w:iCs/>
          <w:sz w:val="22"/>
          <w:szCs w:val="22"/>
          <w:lang w:val="hr-HR"/>
        </w:rPr>
        <w:t>Tabele u nastavku prikazuju osjetljivost HBOR-a na rizik kamatni</w:t>
      </w:r>
      <w:r w:rsidR="002D2122" w:rsidRPr="001567C8">
        <w:rPr>
          <w:rFonts w:asciiTheme="minorHAnsi" w:hAnsiTheme="minorHAnsi" w:cs="Arial"/>
          <w:iCs/>
          <w:sz w:val="22"/>
          <w:szCs w:val="22"/>
          <w:lang w:val="hr-HR"/>
        </w:rPr>
        <w:t>h stopa na dan 31. prosinca 201</w:t>
      </w:r>
      <w:r w:rsidR="00847DC9" w:rsidRPr="001567C8">
        <w:rPr>
          <w:rFonts w:asciiTheme="minorHAnsi" w:hAnsiTheme="minorHAnsi" w:cs="Arial"/>
          <w:iCs/>
          <w:sz w:val="22"/>
          <w:szCs w:val="22"/>
          <w:lang w:val="hr-HR"/>
        </w:rPr>
        <w:t>8</w:t>
      </w:r>
      <w:r w:rsidR="00050C04" w:rsidRPr="001567C8">
        <w:rPr>
          <w:rFonts w:asciiTheme="minorHAnsi" w:hAnsiTheme="minorHAnsi" w:cs="Arial"/>
          <w:iCs/>
          <w:sz w:val="22"/>
          <w:szCs w:val="22"/>
          <w:lang w:val="hr-HR"/>
        </w:rPr>
        <w:t>. i 201</w:t>
      </w:r>
      <w:r w:rsidR="00847DC9" w:rsidRPr="001567C8">
        <w:rPr>
          <w:rFonts w:asciiTheme="minorHAnsi" w:hAnsiTheme="minorHAnsi" w:cs="Arial"/>
          <w:iCs/>
          <w:sz w:val="22"/>
          <w:szCs w:val="22"/>
          <w:lang w:val="hr-HR"/>
        </w:rPr>
        <w:t>7</w:t>
      </w:r>
      <w:r w:rsidRPr="001567C8">
        <w:rPr>
          <w:rFonts w:asciiTheme="minorHAnsi" w:hAnsiTheme="minorHAnsi" w:cs="Arial"/>
          <w:iCs/>
          <w:sz w:val="22"/>
          <w:szCs w:val="22"/>
          <w:lang w:val="hr-HR"/>
        </w:rPr>
        <w:t>. godine na temelju poznatih datuma promjene cijena imovine i obveza na koje se primjenjuju promjenjive i fiksne kamatne stope. Razdoblja promjena kamatnih stopa određena su na osnovi preostale ročnosti i ugovornog razdoblja promjena kamatnih stopa, ovisno o tome što je kraće.</w:t>
      </w:r>
    </w:p>
    <w:p w:rsidR="00D13FB3" w:rsidRPr="001567C8" w:rsidRDefault="00D13FB3" w:rsidP="00361B04">
      <w:pPr>
        <w:jc w:val="both"/>
        <w:rPr>
          <w:rFonts w:asciiTheme="minorHAnsi" w:hAnsiTheme="minorHAnsi" w:cs="Arial"/>
          <w:iCs/>
          <w:sz w:val="22"/>
          <w:szCs w:val="22"/>
          <w:lang w:val="hr-HR"/>
        </w:rPr>
      </w:pPr>
    </w:p>
    <w:p w:rsidR="00D37D6B" w:rsidRPr="001567C8" w:rsidRDefault="00D37D6B" w:rsidP="00361B04">
      <w:pPr>
        <w:jc w:val="both"/>
        <w:rPr>
          <w:rFonts w:asciiTheme="minorHAnsi" w:hAnsiTheme="minorHAnsi" w:cs="Arial"/>
          <w:iCs/>
          <w:sz w:val="22"/>
          <w:szCs w:val="22"/>
          <w:lang w:val="hr-HR"/>
        </w:rPr>
      </w:pPr>
      <w:r w:rsidRPr="001567C8">
        <w:rPr>
          <w:rFonts w:asciiTheme="minorHAnsi" w:hAnsiTheme="minorHAnsi" w:cs="Arial"/>
          <w:iCs/>
          <w:sz w:val="22"/>
          <w:szCs w:val="22"/>
          <w:lang w:val="hr-HR"/>
        </w:rPr>
        <w:t xml:space="preserve">Imovina i obveze na koje se ne primjenjuje kamatna stopa svrstani su u okviru kategorije </w:t>
      </w:r>
      <w:r w:rsidRPr="001567C8">
        <w:rPr>
          <w:rFonts w:asciiTheme="minorHAnsi" w:hAnsiTheme="minorHAnsi" w:cs="Arial"/>
          <w:sz w:val="22"/>
          <w:szCs w:val="22"/>
          <w:lang w:val="hr-HR"/>
        </w:rPr>
        <w:t>‘</w:t>
      </w:r>
      <w:r w:rsidRPr="001567C8">
        <w:rPr>
          <w:rFonts w:asciiTheme="minorHAnsi" w:hAnsiTheme="minorHAnsi" w:cs="Arial"/>
          <w:iCs/>
          <w:sz w:val="22"/>
          <w:szCs w:val="22"/>
          <w:lang w:val="hr-HR"/>
        </w:rPr>
        <w:t>Beskamatno</w:t>
      </w:r>
      <w:r w:rsidRPr="001567C8">
        <w:rPr>
          <w:rFonts w:asciiTheme="minorHAnsi" w:hAnsiTheme="minorHAnsi" w:cs="Arial"/>
          <w:sz w:val="22"/>
          <w:szCs w:val="22"/>
          <w:lang w:val="hr-HR"/>
        </w:rPr>
        <w:t>‘</w:t>
      </w:r>
      <w:r w:rsidRPr="001567C8">
        <w:rPr>
          <w:rFonts w:asciiTheme="minorHAnsi" w:hAnsiTheme="minorHAnsi" w:cs="Arial"/>
          <w:iCs/>
          <w:sz w:val="22"/>
          <w:szCs w:val="22"/>
          <w:lang w:val="hr-HR"/>
        </w:rPr>
        <w:t>.</w:t>
      </w:r>
    </w:p>
    <w:p w:rsidR="00D37D6B" w:rsidRPr="001567C8" w:rsidRDefault="00D37D6B" w:rsidP="00361B04">
      <w:pPr>
        <w:tabs>
          <w:tab w:val="left" w:pos="-720"/>
        </w:tabs>
        <w:suppressAutoHyphens/>
        <w:jc w:val="both"/>
        <w:rPr>
          <w:rFonts w:asciiTheme="minorHAnsi" w:hAnsiTheme="minorHAnsi" w:cs="Arial"/>
          <w:sz w:val="22"/>
          <w:szCs w:val="22"/>
          <w:lang w:val="hr-HR"/>
        </w:rPr>
      </w:pPr>
      <w:r w:rsidRPr="001567C8">
        <w:rPr>
          <w:rFonts w:asciiTheme="minorHAnsi" w:hAnsiTheme="minorHAnsi" w:cs="Arial"/>
          <w:sz w:val="22"/>
          <w:szCs w:val="22"/>
          <w:lang w:val="hr-HR"/>
        </w:rPr>
        <w:t>Tabele u nastavku prikazuju procjenu o izloženosti kamatnom riziku</w:t>
      </w:r>
      <w:r w:rsidR="002D2122" w:rsidRPr="001567C8">
        <w:rPr>
          <w:rFonts w:asciiTheme="minorHAnsi" w:hAnsiTheme="minorHAnsi" w:cs="Arial"/>
          <w:sz w:val="22"/>
          <w:szCs w:val="22"/>
          <w:lang w:val="hr-HR"/>
        </w:rPr>
        <w:t xml:space="preserve"> HBOR-a na dan 31. prosinca 201</w:t>
      </w:r>
      <w:r w:rsidR="00847DC9" w:rsidRPr="001567C8">
        <w:rPr>
          <w:rFonts w:asciiTheme="minorHAnsi" w:hAnsiTheme="minorHAnsi" w:cs="Arial"/>
          <w:sz w:val="22"/>
          <w:szCs w:val="22"/>
          <w:lang w:val="hr-HR"/>
        </w:rPr>
        <w:t>8</w:t>
      </w:r>
      <w:r w:rsidR="002D2122" w:rsidRPr="001567C8">
        <w:rPr>
          <w:rFonts w:asciiTheme="minorHAnsi" w:hAnsiTheme="minorHAnsi" w:cs="Arial"/>
          <w:sz w:val="22"/>
          <w:szCs w:val="22"/>
          <w:lang w:val="hr-HR"/>
        </w:rPr>
        <w:t>. i 201</w:t>
      </w:r>
      <w:r w:rsidR="00847DC9" w:rsidRPr="001567C8">
        <w:rPr>
          <w:rFonts w:asciiTheme="minorHAnsi" w:hAnsiTheme="minorHAnsi" w:cs="Arial"/>
          <w:sz w:val="22"/>
          <w:szCs w:val="22"/>
          <w:lang w:val="hr-HR"/>
        </w:rPr>
        <w:t>7</w:t>
      </w:r>
      <w:r w:rsidRPr="001567C8">
        <w:rPr>
          <w:rFonts w:asciiTheme="minorHAnsi" w:hAnsiTheme="minorHAnsi" w:cs="Arial"/>
          <w:sz w:val="22"/>
          <w:szCs w:val="22"/>
          <w:lang w:val="hr-HR"/>
        </w:rPr>
        <w:t xml:space="preserve">. godine te nisu nužno indikativne za poziciju u drugom razdoblju. </w:t>
      </w:r>
    </w:p>
    <w:p w:rsidR="00847DC9" w:rsidRPr="001567C8" w:rsidRDefault="00847DC9" w:rsidP="00361B04">
      <w:pPr>
        <w:tabs>
          <w:tab w:val="left" w:pos="-720"/>
        </w:tabs>
        <w:suppressAutoHyphens/>
        <w:jc w:val="both"/>
        <w:rPr>
          <w:rFonts w:asciiTheme="minorHAnsi" w:hAnsiTheme="minorHAnsi" w:cs="Arial"/>
          <w:sz w:val="22"/>
          <w:szCs w:val="22"/>
          <w:lang w:val="hr-HR"/>
        </w:rPr>
      </w:pPr>
    </w:p>
    <w:tbl>
      <w:tblPr>
        <w:tblW w:w="5510" w:type="pct"/>
        <w:tblInd w:w="-567" w:type="dxa"/>
        <w:tblLayout w:type="fixed"/>
        <w:tblCellMar>
          <w:left w:w="120" w:type="dxa"/>
          <w:right w:w="120" w:type="dxa"/>
        </w:tblCellMar>
        <w:tblLook w:val="0000" w:firstRow="0" w:lastRow="0" w:firstColumn="0" w:lastColumn="0" w:noHBand="0" w:noVBand="0"/>
      </w:tblPr>
      <w:tblGrid>
        <w:gridCol w:w="2407"/>
        <w:gridCol w:w="988"/>
        <w:gridCol w:w="988"/>
        <w:gridCol w:w="988"/>
        <w:gridCol w:w="988"/>
        <w:gridCol w:w="988"/>
        <w:gridCol w:w="988"/>
        <w:gridCol w:w="988"/>
        <w:gridCol w:w="986"/>
      </w:tblGrid>
      <w:tr w:rsidR="00870D2A" w:rsidRPr="001567C8" w:rsidTr="00870D2A">
        <w:trPr>
          <w:trHeight w:val="635"/>
        </w:trPr>
        <w:tc>
          <w:tcPr>
            <w:tcW w:w="1167" w:type="pct"/>
            <w:vAlign w:val="bottom"/>
          </w:tcPr>
          <w:p w:rsidR="00870D2A" w:rsidRPr="001567C8" w:rsidRDefault="00870D2A" w:rsidP="00870D2A">
            <w:pPr>
              <w:tabs>
                <w:tab w:val="right" w:pos="1202"/>
              </w:tabs>
              <w:spacing w:line="240" w:lineRule="atLeast"/>
              <w:outlineLvl w:val="0"/>
              <w:rPr>
                <w:rFonts w:ascii="Calibri" w:eastAsia="Calibri" w:hAnsi="Calibri" w:cs="Arial"/>
                <w:b/>
                <w:sz w:val="16"/>
                <w:szCs w:val="16"/>
                <w:lang w:val="hr-HR"/>
              </w:rPr>
            </w:pPr>
            <w:r w:rsidRPr="001567C8">
              <w:rPr>
                <w:rFonts w:ascii="Calibri" w:eastAsia="Calibri" w:hAnsi="Calibri" w:cs="Arial"/>
                <w:b/>
                <w:sz w:val="16"/>
                <w:szCs w:val="16"/>
                <w:lang w:val="hr-HR"/>
              </w:rPr>
              <w:t>Banka</w:t>
            </w:r>
          </w:p>
          <w:p w:rsidR="00870D2A" w:rsidRPr="001567C8" w:rsidRDefault="00870D2A" w:rsidP="00870D2A">
            <w:pPr>
              <w:tabs>
                <w:tab w:val="right" w:pos="1202"/>
              </w:tabs>
              <w:spacing w:line="240" w:lineRule="atLeast"/>
              <w:outlineLvl w:val="0"/>
              <w:rPr>
                <w:rFonts w:ascii="Calibri" w:eastAsia="Calibri" w:hAnsi="Calibri" w:cs="Arial"/>
                <w:b/>
                <w:sz w:val="16"/>
                <w:szCs w:val="16"/>
                <w:lang w:val="hr-HR"/>
              </w:rPr>
            </w:pPr>
          </w:p>
          <w:p w:rsidR="00870D2A" w:rsidRPr="001567C8" w:rsidRDefault="00AD2EF7" w:rsidP="00870D2A">
            <w:pPr>
              <w:tabs>
                <w:tab w:val="right" w:pos="1202"/>
              </w:tabs>
              <w:spacing w:line="240" w:lineRule="atLeast"/>
              <w:outlineLvl w:val="0"/>
              <w:rPr>
                <w:rFonts w:ascii="Calibri" w:eastAsia="Calibri" w:hAnsi="Calibri" w:cs="Arial"/>
                <w:b/>
                <w:sz w:val="16"/>
                <w:szCs w:val="16"/>
                <w:lang w:val="hr-HR"/>
              </w:rPr>
            </w:pPr>
            <w:r>
              <w:rPr>
                <w:rFonts w:ascii="Calibri" w:eastAsia="Calibri" w:hAnsi="Calibri" w:cs="Arial"/>
                <w:b/>
                <w:sz w:val="16"/>
                <w:szCs w:val="16"/>
                <w:lang w:val="hr-HR"/>
              </w:rPr>
              <w:t>31. prosin</w:t>
            </w:r>
            <w:r w:rsidR="00870D2A" w:rsidRPr="001567C8">
              <w:rPr>
                <w:rFonts w:ascii="Calibri" w:eastAsia="Calibri" w:hAnsi="Calibri" w:cs="Arial"/>
                <w:b/>
                <w:sz w:val="16"/>
                <w:szCs w:val="16"/>
                <w:lang w:val="hr-HR"/>
              </w:rPr>
              <w:t>c</w:t>
            </w:r>
            <w:r>
              <w:rPr>
                <w:rFonts w:ascii="Calibri" w:eastAsia="Calibri" w:hAnsi="Calibri" w:cs="Arial"/>
                <w:b/>
                <w:sz w:val="16"/>
                <w:szCs w:val="16"/>
                <w:lang w:val="hr-HR"/>
              </w:rPr>
              <w:t>a</w:t>
            </w:r>
            <w:r w:rsidR="00870D2A" w:rsidRPr="001567C8">
              <w:rPr>
                <w:rFonts w:ascii="Calibri" w:eastAsia="Calibri" w:hAnsi="Calibri" w:cs="Arial"/>
                <w:b/>
                <w:sz w:val="16"/>
                <w:szCs w:val="16"/>
                <w:lang w:val="hr-HR"/>
              </w:rPr>
              <w:t xml:space="preserve"> 2018.  godina</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Do 1 mjesec</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1 do 3 mjeseca</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3 mj. do 1 godine</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1 do 3 godina</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Preko 3 godine</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Beska-matno</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Ukupno</w:t>
            </w:r>
          </w:p>
        </w:tc>
        <w:tc>
          <w:tcPr>
            <w:tcW w:w="478"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Fiksna kamatna stopa</w:t>
            </w:r>
          </w:p>
        </w:tc>
      </w:tr>
      <w:tr w:rsidR="00870D2A" w:rsidRPr="001567C8" w:rsidTr="00870D2A">
        <w:trPr>
          <w:trHeight w:val="258"/>
        </w:trPr>
        <w:tc>
          <w:tcPr>
            <w:tcW w:w="1167" w:type="pct"/>
            <w:vAlign w:val="bottom"/>
          </w:tcPr>
          <w:p w:rsidR="00870D2A" w:rsidRPr="001567C8" w:rsidRDefault="00870D2A" w:rsidP="00870D2A">
            <w:pPr>
              <w:tabs>
                <w:tab w:val="right" w:pos="1202"/>
              </w:tabs>
              <w:spacing w:line="240" w:lineRule="atLeast"/>
              <w:outlineLvl w:val="0"/>
              <w:rPr>
                <w:rFonts w:ascii="Calibri" w:eastAsia="Calibri" w:hAnsi="Calibri" w:cs="Arial"/>
                <w:b/>
                <w:sz w:val="16"/>
                <w:szCs w:val="16"/>
                <w:lang w:val="hr-HR"/>
              </w:rPr>
            </w:pP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79"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c>
          <w:tcPr>
            <w:tcW w:w="478" w:type="pct"/>
          </w:tcPr>
          <w:p w:rsidR="00870D2A" w:rsidRPr="001567C8" w:rsidRDefault="00870D2A" w:rsidP="00870D2A">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r>
      <w:tr w:rsidR="00870D2A" w:rsidRPr="001567C8" w:rsidTr="00870D2A">
        <w:trPr>
          <w:trHeight w:val="227"/>
        </w:trPr>
        <w:tc>
          <w:tcPr>
            <w:tcW w:w="1167" w:type="pct"/>
            <w:vAlign w:val="bottom"/>
          </w:tcPr>
          <w:p w:rsidR="00870D2A" w:rsidRPr="001567C8" w:rsidRDefault="00870D2A" w:rsidP="00870D2A">
            <w:pPr>
              <w:tabs>
                <w:tab w:val="left" w:pos="-720"/>
              </w:tabs>
              <w:suppressAutoHyphens/>
              <w:rPr>
                <w:rFonts w:ascii="Calibri" w:eastAsia="Calibri" w:hAnsi="Calibri" w:cs="Arial"/>
                <w:b/>
                <w:sz w:val="16"/>
                <w:szCs w:val="16"/>
                <w:lang w:val="hr-HR"/>
              </w:rPr>
            </w:pPr>
            <w:r w:rsidRPr="001567C8">
              <w:rPr>
                <w:rFonts w:ascii="Calibri" w:eastAsia="Calibri" w:hAnsi="Calibri" w:cs="Arial"/>
                <w:b/>
                <w:sz w:val="16"/>
                <w:szCs w:val="16"/>
                <w:lang w:val="hr-HR"/>
              </w:rPr>
              <w:t>Imovina</w:t>
            </w:r>
          </w:p>
        </w:tc>
        <w:tc>
          <w:tcPr>
            <w:tcW w:w="479"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79"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79"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79"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79"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79" w:type="pct"/>
          </w:tcPr>
          <w:p w:rsidR="00870D2A" w:rsidRPr="001567C8" w:rsidRDefault="00870D2A" w:rsidP="00870D2A">
            <w:pPr>
              <w:tabs>
                <w:tab w:val="left" w:pos="-720"/>
              </w:tabs>
              <w:suppressAutoHyphens/>
              <w:spacing w:line="360" w:lineRule="auto"/>
              <w:jc w:val="right"/>
              <w:rPr>
                <w:rFonts w:ascii="Calibri" w:eastAsia="Calibri" w:hAnsi="Calibri" w:cs="Arial"/>
                <w:sz w:val="16"/>
                <w:szCs w:val="16"/>
                <w:lang w:val="hr-HR"/>
              </w:rPr>
            </w:pPr>
          </w:p>
        </w:tc>
        <w:tc>
          <w:tcPr>
            <w:tcW w:w="479"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c>
          <w:tcPr>
            <w:tcW w:w="478" w:type="pct"/>
          </w:tcPr>
          <w:p w:rsidR="00870D2A" w:rsidRPr="001567C8" w:rsidRDefault="00870D2A" w:rsidP="00870D2A">
            <w:pPr>
              <w:tabs>
                <w:tab w:val="left" w:pos="-720"/>
              </w:tabs>
              <w:suppressAutoHyphens/>
              <w:jc w:val="right"/>
              <w:rPr>
                <w:rFonts w:ascii="Calibri" w:eastAsia="Calibri" w:hAnsi="Calibri" w:cs="Arial"/>
                <w:sz w:val="16"/>
                <w:szCs w:val="16"/>
                <w:lang w:val="hr-HR"/>
              </w:rPr>
            </w:pPr>
          </w:p>
        </w:tc>
      </w:tr>
      <w:tr w:rsidR="00870D2A" w:rsidRPr="001567C8" w:rsidTr="00870D2A">
        <w:trPr>
          <w:trHeight w:val="217"/>
        </w:trPr>
        <w:tc>
          <w:tcPr>
            <w:tcW w:w="1167"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Novčana sredstva i računi kod banaka</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20.944</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920.127</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941.071</w:t>
            </w:r>
          </w:p>
        </w:tc>
        <w:tc>
          <w:tcPr>
            <w:tcW w:w="478"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20.944</w:t>
            </w:r>
          </w:p>
        </w:tc>
      </w:tr>
      <w:tr w:rsidR="00870D2A" w:rsidRPr="001567C8" w:rsidTr="00870D2A">
        <w:trPr>
          <w:trHeight w:val="206"/>
        </w:trPr>
        <w:tc>
          <w:tcPr>
            <w:tcW w:w="1167"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Depoziti kod drugih banaka</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261.922</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3</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261.925</w:t>
            </w:r>
          </w:p>
        </w:tc>
        <w:tc>
          <w:tcPr>
            <w:tcW w:w="478"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261.922</w:t>
            </w:r>
          </w:p>
        </w:tc>
      </w:tr>
      <w:tr w:rsidR="00870D2A" w:rsidRPr="001567C8" w:rsidTr="00870D2A">
        <w:trPr>
          <w:trHeight w:val="164"/>
        </w:trPr>
        <w:tc>
          <w:tcPr>
            <w:tcW w:w="1167"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Krediti financijskim institucijama</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383.417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956.301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1.193.348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2.624.259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5.070.629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7.034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10.234.988 </w:t>
            </w:r>
          </w:p>
        </w:tc>
        <w:tc>
          <w:tcPr>
            <w:tcW w:w="478"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9.922.017 </w:t>
            </w:r>
          </w:p>
        </w:tc>
      </w:tr>
      <w:tr w:rsidR="00870D2A" w:rsidRPr="001567C8" w:rsidTr="00870D2A">
        <w:trPr>
          <w:trHeight w:val="92"/>
        </w:trPr>
        <w:tc>
          <w:tcPr>
            <w:tcW w:w="1167"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Krediti ostalim korisnicima</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2.273.725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465.131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712.572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2.476.258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6.491.188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 91.812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12.510.686 </w:t>
            </w:r>
          </w:p>
        </w:tc>
        <w:tc>
          <w:tcPr>
            <w:tcW w:w="478" w:type="pct"/>
            <w:tcBorders>
              <w:top w:val="nil"/>
              <w:left w:val="nil"/>
              <w:bottom w:val="nil"/>
              <w:right w:val="nil"/>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 xml:space="preserve">11.699.344 </w:t>
            </w:r>
          </w:p>
        </w:tc>
      </w:tr>
      <w:tr w:rsidR="00870D2A" w:rsidRPr="001567C8" w:rsidTr="00870D2A">
        <w:trPr>
          <w:trHeight w:val="170"/>
        </w:trPr>
        <w:tc>
          <w:tcPr>
            <w:tcW w:w="1167"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Financijska imovina po fer vrijednosti kroz dobit ili gubitak</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2.045</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328.758</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330.803</w:t>
            </w:r>
          </w:p>
        </w:tc>
        <w:tc>
          <w:tcPr>
            <w:tcW w:w="478"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2.045</w:t>
            </w:r>
          </w:p>
        </w:tc>
      </w:tr>
      <w:tr w:rsidR="00870D2A" w:rsidRPr="001567C8" w:rsidTr="00870D2A">
        <w:trPr>
          <w:trHeight w:val="163"/>
        </w:trPr>
        <w:tc>
          <w:tcPr>
            <w:tcW w:w="1167"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Financijska imovina po fer vrijednosti kroz ostalu sveobuhvatnu dobit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2.755.291</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36.781</w:t>
            </w:r>
          </w:p>
        </w:tc>
        <w:tc>
          <w:tcPr>
            <w:tcW w:w="479"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2.792.072</w:t>
            </w:r>
          </w:p>
        </w:tc>
        <w:tc>
          <w:tcPr>
            <w:tcW w:w="478" w:type="pct"/>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2.755.291</w:t>
            </w:r>
          </w:p>
        </w:tc>
      </w:tr>
      <w:tr w:rsidR="00870D2A" w:rsidRPr="001567C8" w:rsidTr="00870D2A">
        <w:trPr>
          <w:trHeight w:val="206"/>
        </w:trPr>
        <w:tc>
          <w:tcPr>
            <w:tcW w:w="1167" w:type="pct"/>
            <w:vAlign w:val="bottom"/>
          </w:tcPr>
          <w:p w:rsidR="00870D2A" w:rsidRPr="001567C8" w:rsidRDefault="00870D2A" w:rsidP="00870D2A">
            <w:pPr>
              <w:tabs>
                <w:tab w:val="left" w:pos="-720"/>
              </w:tabs>
              <w:suppressAutoHyphens/>
              <w:spacing w:line="240" w:lineRule="exact"/>
              <w:rPr>
                <w:rFonts w:ascii="Calibri" w:eastAsia="Calibri" w:hAnsi="Calibri" w:cs="Arial"/>
                <w:sz w:val="16"/>
                <w:szCs w:val="16"/>
                <w:lang w:val="hr-HR"/>
              </w:rPr>
            </w:pPr>
            <w:r w:rsidRPr="001567C8">
              <w:rPr>
                <w:rFonts w:ascii="Calibri" w:eastAsia="Calibri" w:hAnsi="Calibri" w:cs="Arial"/>
                <w:sz w:val="16"/>
                <w:szCs w:val="16"/>
                <w:lang w:val="hr-HR"/>
              </w:rPr>
              <w:t>Ostala imovina</w:t>
            </w:r>
          </w:p>
        </w:tc>
        <w:tc>
          <w:tcPr>
            <w:tcW w:w="479"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c>
          <w:tcPr>
            <w:tcW w:w="479"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15.164</w:t>
            </w:r>
          </w:p>
        </w:tc>
        <w:tc>
          <w:tcPr>
            <w:tcW w:w="479"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15.164</w:t>
            </w:r>
          </w:p>
        </w:tc>
        <w:tc>
          <w:tcPr>
            <w:tcW w:w="478" w:type="pct"/>
            <w:tcBorders>
              <w:bottom w:val="single" w:sz="4" w:space="0" w:color="auto"/>
            </w:tcBorders>
            <w:vAlign w:val="bottom"/>
          </w:tcPr>
          <w:p w:rsidR="00870D2A" w:rsidRPr="001567C8" w:rsidRDefault="00870D2A" w:rsidP="00870D2A">
            <w:pPr>
              <w:jc w:val="right"/>
              <w:rPr>
                <w:rFonts w:ascii="Calibri" w:eastAsia="Calibri" w:hAnsi="Calibri" w:cs="Calibri"/>
                <w:sz w:val="16"/>
                <w:szCs w:val="16"/>
                <w:lang w:val="hr-HR"/>
              </w:rPr>
            </w:pPr>
            <w:r w:rsidRPr="00CD3A2D">
              <w:rPr>
                <w:rFonts w:ascii="Calibri" w:hAnsi="Calibri" w:cs="Arial"/>
                <w:sz w:val="16"/>
                <w:szCs w:val="16"/>
                <w:lang w:val="hr-HR"/>
              </w:rPr>
              <w:t>-</w:t>
            </w:r>
          </w:p>
        </w:tc>
      </w:tr>
      <w:tr w:rsidR="00870D2A" w:rsidRPr="001567C8" w:rsidTr="00870D2A">
        <w:trPr>
          <w:trHeight w:hRule="exact" w:val="308"/>
        </w:trPr>
        <w:tc>
          <w:tcPr>
            <w:tcW w:w="1167" w:type="pct"/>
            <w:vAlign w:val="center"/>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b/>
                <w:bCs/>
                <w:sz w:val="16"/>
                <w:szCs w:val="16"/>
                <w:lang w:val="hr-HR"/>
              </w:rPr>
              <w:t xml:space="preserve">Ukupna imovina </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5.695.299 </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1.421.432 </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1.905.920 </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5.100.517 </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11.563.862 </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1.399.679</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27.086.709</w:t>
            </w:r>
          </w:p>
        </w:tc>
        <w:tc>
          <w:tcPr>
            <w:tcW w:w="478"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24.661.563</w:t>
            </w:r>
          </w:p>
        </w:tc>
      </w:tr>
      <w:tr w:rsidR="00870D2A" w:rsidRPr="001567C8" w:rsidTr="00870D2A">
        <w:trPr>
          <w:trHeight w:hRule="exact" w:val="187"/>
        </w:trPr>
        <w:tc>
          <w:tcPr>
            <w:tcW w:w="1167"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p>
        </w:tc>
        <w:tc>
          <w:tcPr>
            <w:tcW w:w="479"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8" w:type="pct"/>
            <w:tcBorders>
              <w:top w:val="single" w:sz="12" w:space="0" w:color="auto"/>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r>
      <w:tr w:rsidR="00870D2A" w:rsidRPr="001567C8" w:rsidTr="00870D2A">
        <w:trPr>
          <w:trHeight w:hRule="exact" w:val="235"/>
        </w:trPr>
        <w:tc>
          <w:tcPr>
            <w:tcW w:w="1167" w:type="pct"/>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b/>
                <w:bCs/>
                <w:sz w:val="16"/>
                <w:szCs w:val="16"/>
                <w:lang w:val="hr-HR"/>
              </w:rPr>
              <w:t>Obveze</w:t>
            </w:r>
          </w:p>
        </w:tc>
        <w:tc>
          <w:tcPr>
            <w:tcW w:w="479"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9"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c>
          <w:tcPr>
            <w:tcW w:w="478" w:type="pct"/>
            <w:tcBorders>
              <w:left w:val="nil"/>
              <w:right w:val="nil"/>
            </w:tcBorders>
            <w:vAlign w:val="bottom"/>
          </w:tcPr>
          <w:p w:rsidR="00870D2A" w:rsidRPr="001567C8" w:rsidRDefault="00870D2A" w:rsidP="00870D2A">
            <w:pPr>
              <w:jc w:val="right"/>
              <w:rPr>
                <w:rFonts w:ascii="Calibri" w:eastAsia="Calibri" w:hAnsi="Calibri" w:cs="Arial"/>
                <w:b/>
                <w:sz w:val="16"/>
                <w:szCs w:val="16"/>
                <w:lang w:val="hr-HR"/>
              </w:rPr>
            </w:pPr>
          </w:p>
        </w:tc>
      </w:tr>
      <w:tr w:rsidR="00870D2A" w:rsidRPr="001567C8" w:rsidTr="00870D2A">
        <w:trPr>
          <w:trHeight w:hRule="exact" w:val="262"/>
        </w:trPr>
        <w:tc>
          <w:tcPr>
            <w:tcW w:w="1167"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spacing w:val="-2"/>
                <w:sz w:val="16"/>
                <w:szCs w:val="16"/>
                <w:lang w:val="hr-HR"/>
              </w:rPr>
              <w:t>Obveze po depozitima</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148.351</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280.745</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429.096</w:t>
            </w:r>
          </w:p>
        </w:tc>
        <w:tc>
          <w:tcPr>
            <w:tcW w:w="478"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r>
      <w:tr w:rsidR="00870D2A" w:rsidRPr="001567C8" w:rsidTr="00870D2A">
        <w:trPr>
          <w:trHeight w:hRule="exact" w:val="254"/>
        </w:trPr>
        <w:tc>
          <w:tcPr>
            <w:tcW w:w="1167"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spacing w:val="-2"/>
                <w:sz w:val="16"/>
                <w:szCs w:val="16"/>
                <w:lang w:val="hr-HR"/>
              </w:rPr>
              <w:t>Obveze po kreditima</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313.492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559.016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1.441.392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3.931.617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8.577.456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55.014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14.877.987 </w:t>
            </w:r>
          </w:p>
        </w:tc>
        <w:tc>
          <w:tcPr>
            <w:tcW w:w="478"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14.665.772 </w:t>
            </w:r>
          </w:p>
        </w:tc>
      </w:tr>
      <w:tr w:rsidR="00870D2A" w:rsidRPr="001567C8" w:rsidTr="00870D2A">
        <w:trPr>
          <w:trHeight w:hRule="exact" w:val="533"/>
        </w:trPr>
        <w:tc>
          <w:tcPr>
            <w:tcW w:w="1167"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spacing w:val="-2"/>
                <w:sz w:val="16"/>
                <w:szCs w:val="16"/>
                <w:lang w:val="hr-HR"/>
              </w:rPr>
              <w:t>Obveze za izdane dugoročne vrijednosne papire</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1.107.210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43.347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1.150.557 </w:t>
            </w:r>
          </w:p>
        </w:tc>
        <w:tc>
          <w:tcPr>
            <w:tcW w:w="478"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1.107.210 </w:t>
            </w:r>
          </w:p>
        </w:tc>
      </w:tr>
      <w:tr w:rsidR="00870D2A" w:rsidRPr="001567C8" w:rsidTr="00870D2A">
        <w:trPr>
          <w:trHeight w:hRule="exact" w:val="251"/>
        </w:trPr>
        <w:tc>
          <w:tcPr>
            <w:tcW w:w="1167" w:type="pct"/>
            <w:vAlign w:val="bottom"/>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spacing w:val="-2"/>
                <w:sz w:val="16"/>
                <w:szCs w:val="16"/>
                <w:lang w:val="hr-HR"/>
              </w:rPr>
              <w:t>Ostale obveze</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687.275 </w:t>
            </w:r>
          </w:p>
        </w:tc>
        <w:tc>
          <w:tcPr>
            <w:tcW w:w="479"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687.275 </w:t>
            </w:r>
          </w:p>
        </w:tc>
        <w:tc>
          <w:tcPr>
            <w:tcW w:w="478" w:type="pct"/>
            <w:tcBorders>
              <w:top w:val="nil"/>
              <w:left w:val="nil"/>
              <w:bottom w:val="nil"/>
              <w:right w:val="nil"/>
            </w:tcBorders>
            <w:vAlign w:val="bottom"/>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sz w:val="16"/>
                <w:szCs w:val="16"/>
                <w:lang w:val="hr-HR"/>
              </w:rPr>
              <w:t xml:space="preserve">- </w:t>
            </w:r>
          </w:p>
        </w:tc>
      </w:tr>
      <w:tr w:rsidR="00870D2A" w:rsidRPr="001567C8" w:rsidTr="00870D2A">
        <w:trPr>
          <w:trHeight w:hRule="exact" w:val="281"/>
        </w:trPr>
        <w:tc>
          <w:tcPr>
            <w:tcW w:w="1167" w:type="pct"/>
            <w:vAlign w:val="center"/>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b/>
                <w:bCs/>
                <w:sz w:val="16"/>
                <w:szCs w:val="16"/>
                <w:lang w:val="hr-HR"/>
              </w:rPr>
              <w:t>Ukupne obveze</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b/>
                <w:bCs/>
                <w:color w:val="000000"/>
                <w:sz w:val="16"/>
                <w:szCs w:val="16"/>
                <w:lang w:val="hr-HR"/>
              </w:rPr>
              <w:t>461.843</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b/>
                <w:bCs/>
                <w:color w:val="000000"/>
                <w:sz w:val="16"/>
                <w:szCs w:val="16"/>
                <w:lang w:val="hr-HR"/>
              </w:rPr>
              <w:t>559.016</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b/>
                <w:bCs/>
                <w:color w:val="000000"/>
                <w:sz w:val="16"/>
                <w:szCs w:val="16"/>
                <w:lang w:val="hr-HR"/>
              </w:rPr>
              <w:t>1.441.392</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b/>
                <w:bCs/>
                <w:color w:val="000000"/>
                <w:sz w:val="16"/>
                <w:szCs w:val="16"/>
                <w:lang w:val="hr-HR"/>
              </w:rPr>
              <w:t>5.038.827</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b/>
                <w:bCs/>
                <w:color w:val="000000"/>
                <w:sz w:val="16"/>
                <w:szCs w:val="16"/>
                <w:lang w:val="hr-HR"/>
              </w:rPr>
              <w:t>8.577.456</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b/>
                <w:bCs/>
                <w:color w:val="000000"/>
                <w:sz w:val="16"/>
                <w:szCs w:val="16"/>
                <w:lang w:val="hr-HR"/>
              </w:rPr>
              <w:t>1.066.381</w:t>
            </w:r>
          </w:p>
        </w:tc>
        <w:tc>
          <w:tcPr>
            <w:tcW w:w="479"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Calibri"/>
                <w:b/>
                <w:bCs/>
                <w:color w:val="000000"/>
                <w:sz w:val="16"/>
                <w:szCs w:val="16"/>
                <w:lang w:val="hr-HR"/>
              </w:rPr>
              <w:t>17.144.915</w:t>
            </w:r>
          </w:p>
        </w:tc>
        <w:tc>
          <w:tcPr>
            <w:tcW w:w="478" w:type="pct"/>
            <w:tcBorders>
              <w:top w:val="single" w:sz="4" w:space="0" w:color="auto"/>
              <w:left w:val="nil"/>
              <w:bottom w:val="single" w:sz="8"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1567C8">
              <w:rPr>
                <w:rFonts w:ascii="Calibri" w:eastAsia="Calibri" w:hAnsi="Calibri" w:cs="Arial"/>
                <w:b/>
                <w:sz w:val="16"/>
                <w:szCs w:val="16"/>
                <w:lang w:val="hr-HR"/>
              </w:rPr>
              <w:t>15.772.982</w:t>
            </w:r>
          </w:p>
        </w:tc>
      </w:tr>
      <w:tr w:rsidR="00870D2A" w:rsidRPr="001567C8" w:rsidTr="00870D2A">
        <w:trPr>
          <w:trHeight w:hRule="exact" w:val="353"/>
        </w:trPr>
        <w:tc>
          <w:tcPr>
            <w:tcW w:w="1167" w:type="pct"/>
            <w:vAlign w:val="center"/>
          </w:tcPr>
          <w:p w:rsidR="00870D2A" w:rsidRPr="001567C8" w:rsidRDefault="00870D2A" w:rsidP="00870D2A">
            <w:pPr>
              <w:tabs>
                <w:tab w:val="right" w:pos="1202"/>
              </w:tabs>
              <w:spacing w:line="240" w:lineRule="exact"/>
              <w:outlineLvl w:val="0"/>
              <w:rPr>
                <w:rFonts w:ascii="Calibri" w:eastAsia="Calibri" w:hAnsi="Calibri" w:cs="Arial"/>
                <w:b/>
                <w:bCs/>
                <w:sz w:val="16"/>
                <w:szCs w:val="16"/>
                <w:lang w:val="hr-HR"/>
              </w:rPr>
            </w:pPr>
            <w:r w:rsidRPr="001567C8">
              <w:rPr>
                <w:rFonts w:ascii="Calibri" w:eastAsia="Calibri" w:hAnsi="Calibri" w:cs="Arial"/>
                <w:b/>
                <w:bCs/>
                <w:spacing w:val="-2"/>
                <w:sz w:val="16"/>
                <w:szCs w:val="16"/>
                <w:lang w:val="hr-HR"/>
              </w:rPr>
              <w:t>Kamatni jaz</w:t>
            </w:r>
          </w:p>
        </w:tc>
        <w:tc>
          <w:tcPr>
            <w:tcW w:w="479" w:type="pct"/>
            <w:tcBorders>
              <w:top w:val="nil"/>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5.233.456 </w:t>
            </w:r>
          </w:p>
        </w:tc>
        <w:tc>
          <w:tcPr>
            <w:tcW w:w="479" w:type="pct"/>
            <w:tcBorders>
              <w:top w:val="nil"/>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 862.416 </w:t>
            </w:r>
          </w:p>
        </w:tc>
        <w:tc>
          <w:tcPr>
            <w:tcW w:w="479" w:type="pct"/>
            <w:tcBorders>
              <w:top w:val="nil"/>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 464.528 </w:t>
            </w:r>
          </w:p>
        </w:tc>
        <w:tc>
          <w:tcPr>
            <w:tcW w:w="479" w:type="pct"/>
            <w:tcBorders>
              <w:top w:val="nil"/>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 61.690 </w:t>
            </w:r>
          </w:p>
        </w:tc>
        <w:tc>
          <w:tcPr>
            <w:tcW w:w="479" w:type="pct"/>
            <w:tcBorders>
              <w:top w:val="nil"/>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 xml:space="preserve">2.986.406 </w:t>
            </w:r>
          </w:p>
        </w:tc>
        <w:tc>
          <w:tcPr>
            <w:tcW w:w="479" w:type="pct"/>
            <w:tcBorders>
              <w:top w:val="nil"/>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333.298</w:t>
            </w:r>
          </w:p>
        </w:tc>
        <w:tc>
          <w:tcPr>
            <w:tcW w:w="479" w:type="pct"/>
            <w:tcBorders>
              <w:top w:val="nil"/>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CD3A2D">
              <w:rPr>
                <w:rFonts w:ascii="Calibri" w:hAnsi="Calibri" w:cs="Arial"/>
                <w:b/>
                <w:sz w:val="16"/>
                <w:szCs w:val="16"/>
                <w:lang w:val="hr-HR"/>
              </w:rPr>
              <w:t>9.941.794</w:t>
            </w:r>
          </w:p>
        </w:tc>
        <w:tc>
          <w:tcPr>
            <w:tcW w:w="478" w:type="pct"/>
            <w:tcBorders>
              <w:top w:val="nil"/>
              <w:left w:val="nil"/>
              <w:bottom w:val="single" w:sz="12" w:space="0" w:color="auto"/>
              <w:right w:val="nil"/>
            </w:tcBorders>
            <w:vAlign w:val="center"/>
          </w:tcPr>
          <w:p w:rsidR="00870D2A" w:rsidRPr="001567C8" w:rsidRDefault="00870D2A" w:rsidP="00870D2A">
            <w:pPr>
              <w:jc w:val="right"/>
              <w:rPr>
                <w:rFonts w:ascii="Calibri" w:eastAsia="Calibri" w:hAnsi="Calibri" w:cs="Arial"/>
                <w:b/>
                <w:sz w:val="16"/>
                <w:szCs w:val="16"/>
                <w:lang w:val="hr-HR"/>
              </w:rPr>
            </w:pPr>
            <w:r w:rsidRPr="001567C8">
              <w:rPr>
                <w:rFonts w:ascii="Calibri" w:eastAsia="Calibri" w:hAnsi="Calibri" w:cs="Arial"/>
                <w:b/>
                <w:sz w:val="16"/>
                <w:szCs w:val="16"/>
                <w:lang w:val="hr-HR"/>
              </w:rPr>
              <w:t>8.888.581</w:t>
            </w:r>
          </w:p>
        </w:tc>
      </w:tr>
    </w:tbl>
    <w:p w:rsidR="00F6743B" w:rsidRPr="001567C8" w:rsidRDefault="00F6743B" w:rsidP="00361B04">
      <w:pPr>
        <w:tabs>
          <w:tab w:val="left" w:pos="-720"/>
        </w:tabs>
        <w:suppressAutoHyphens/>
        <w:jc w:val="both"/>
        <w:rPr>
          <w:rFonts w:asciiTheme="minorHAnsi" w:hAnsiTheme="minorHAnsi" w:cs="Arial"/>
          <w:sz w:val="22"/>
          <w:szCs w:val="22"/>
          <w:lang w:val="hr-HR"/>
        </w:rPr>
      </w:pPr>
    </w:p>
    <w:p w:rsidR="00A31ED5" w:rsidRPr="001567C8" w:rsidRDefault="00A31ED5" w:rsidP="00D37D6B">
      <w:pPr>
        <w:tabs>
          <w:tab w:val="left" w:pos="-720"/>
        </w:tabs>
        <w:suppressAutoHyphens/>
        <w:spacing w:line="360" w:lineRule="auto"/>
        <w:ind w:right="-5"/>
        <w:jc w:val="both"/>
        <w:rPr>
          <w:rFonts w:asciiTheme="minorHAnsi" w:hAnsiTheme="minorHAnsi" w:cs="Arial"/>
          <w:sz w:val="22"/>
          <w:szCs w:val="22"/>
          <w:lang w:val="hr-HR"/>
        </w:rPr>
      </w:pPr>
    </w:p>
    <w:p w:rsidR="001322F7" w:rsidRPr="001567C8" w:rsidRDefault="001322F7" w:rsidP="00D37D6B">
      <w:pPr>
        <w:tabs>
          <w:tab w:val="left" w:pos="-720"/>
        </w:tabs>
        <w:suppressAutoHyphens/>
        <w:spacing w:line="360" w:lineRule="auto"/>
        <w:ind w:right="-5"/>
        <w:jc w:val="both"/>
        <w:rPr>
          <w:rFonts w:asciiTheme="minorHAnsi" w:hAnsiTheme="minorHAnsi" w:cs="Arial"/>
          <w:sz w:val="22"/>
          <w:szCs w:val="22"/>
          <w:lang w:val="hr-HR"/>
        </w:rPr>
        <w:sectPr w:rsidR="001322F7" w:rsidRPr="001567C8" w:rsidSect="0077198A">
          <w:pgSz w:w="11907" w:h="16840" w:code="9"/>
          <w:pgMar w:top="1418" w:right="1134" w:bottom="1134" w:left="1418" w:header="851" w:footer="851" w:gutter="0"/>
          <w:cols w:space="720"/>
          <w:noEndnote/>
        </w:sectPr>
      </w:pPr>
    </w:p>
    <w:p w:rsidR="00A31ED5" w:rsidRPr="001567C8" w:rsidRDefault="00A31ED5" w:rsidP="006F2AD4">
      <w:pPr>
        <w:pStyle w:val="T1"/>
        <w:spacing w:before="120" w:after="0" w:line="300" w:lineRule="exact"/>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847DC9"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Pr="001567C8">
        <w:rPr>
          <w:rFonts w:asciiTheme="minorHAnsi" w:hAnsiTheme="minorHAnsi" w:cs="Arial"/>
          <w:sz w:val="22"/>
          <w:szCs w:val="22"/>
          <w:lang w:val="hr-HR"/>
        </w:rPr>
        <w:tab/>
        <w:t>Upravljanje rizicima (nastavak)</w:t>
      </w:r>
    </w:p>
    <w:p w:rsidR="00A31ED5" w:rsidRPr="001567C8" w:rsidRDefault="00A31ED5" w:rsidP="006F2AD4">
      <w:pPr>
        <w:pStyle w:val="T1"/>
        <w:spacing w:before="120" w:after="0" w:line="300" w:lineRule="exact"/>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847DC9"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Pr="001567C8">
        <w:rPr>
          <w:rFonts w:asciiTheme="minorHAnsi" w:hAnsiTheme="minorHAnsi" w:cs="Arial"/>
          <w:sz w:val="22"/>
          <w:szCs w:val="22"/>
          <w:lang w:val="hr-HR"/>
        </w:rPr>
        <w:t xml:space="preserve">. </w:t>
      </w:r>
      <w:r w:rsidR="00286984"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Tržišni rizik (nastavak)</w:t>
      </w:r>
    </w:p>
    <w:p w:rsidR="00A31ED5" w:rsidRPr="001567C8" w:rsidRDefault="00A31ED5" w:rsidP="005633A9">
      <w:pPr>
        <w:pStyle w:val="T1"/>
        <w:spacing w:before="120" w:line="300" w:lineRule="exact"/>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847DC9" w:rsidRPr="001567C8">
        <w:rPr>
          <w:rFonts w:asciiTheme="minorHAnsi" w:hAnsiTheme="minorHAnsi" w:cs="Arial"/>
          <w:sz w:val="22"/>
          <w:szCs w:val="22"/>
          <w:lang w:val="hr-HR"/>
        </w:rPr>
        <w:t>6</w:t>
      </w:r>
      <w:r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Pr="001567C8">
        <w:rPr>
          <w:rFonts w:asciiTheme="minorHAnsi" w:hAnsiTheme="minorHAnsi" w:cs="Arial"/>
          <w:sz w:val="22"/>
          <w:szCs w:val="22"/>
          <w:lang w:val="hr-HR"/>
        </w:rPr>
        <w:t xml:space="preserve">.1. </w:t>
      </w:r>
      <w:r w:rsidR="00286984"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 xml:space="preserve">Kamatni rizik </w:t>
      </w:r>
      <w:r w:rsidR="00BC68BE" w:rsidRPr="001567C8">
        <w:rPr>
          <w:rFonts w:asciiTheme="minorHAnsi" w:hAnsiTheme="minorHAnsi" w:cs="Arial"/>
          <w:sz w:val="22"/>
          <w:szCs w:val="22"/>
          <w:lang w:val="hr-HR"/>
        </w:rPr>
        <w:t xml:space="preserve">u knjizi banke </w:t>
      </w:r>
      <w:r w:rsidRPr="001567C8">
        <w:rPr>
          <w:rFonts w:asciiTheme="minorHAnsi" w:hAnsiTheme="minorHAnsi" w:cs="Arial"/>
          <w:sz w:val="22"/>
          <w:szCs w:val="22"/>
          <w:lang w:val="hr-HR"/>
        </w:rPr>
        <w:t>(nastavak)</w:t>
      </w:r>
    </w:p>
    <w:p w:rsidR="001322F7" w:rsidRPr="001567C8" w:rsidRDefault="001322F7" w:rsidP="00A31ED5">
      <w:pPr>
        <w:tabs>
          <w:tab w:val="left" w:pos="-720"/>
        </w:tabs>
        <w:suppressAutoHyphens/>
        <w:rPr>
          <w:rFonts w:asciiTheme="minorHAnsi" w:hAnsiTheme="minorHAnsi" w:cs="Arial"/>
          <w:b/>
          <w:spacing w:val="-3"/>
          <w:sz w:val="22"/>
          <w:szCs w:val="22"/>
          <w:lang w:val="hr-HR"/>
        </w:rPr>
      </w:pPr>
    </w:p>
    <w:tbl>
      <w:tblPr>
        <w:tblW w:w="5686" w:type="pct"/>
        <w:tblInd w:w="-426" w:type="dxa"/>
        <w:tblLayout w:type="fixed"/>
        <w:tblCellMar>
          <w:left w:w="120" w:type="dxa"/>
          <w:right w:w="120" w:type="dxa"/>
        </w:tblCellMar>
        <w:tblLook w:val="0000" w:firstRow="0" w:lastRow="0" w:firstColumn="0" w:lastColumn="0" w:noHBand="0" w:noVBand="0"/>
      </w:tblPr>
      <w:tblGrid>
        <w:gridCol w:w="2551"/>
        <w:gridCol w:w="1011"/>
        <w:gridCol w:w="1011"/>
        <w:gridCol w:w="1011"/>
        <w:gridCol w:w="1011"/>
        <w:gridCol w:w="1011"/>
        <w:gridCol w:w="1011"/>
        <w:gridCol w:w="1011"/>
        <w:gridCol w:w="1011"/>
      </w:tblGrid>
      <w:tr w:rsidR="00657D4D" w:rsidRPr="001567C8" w:rsidTr="00657D4D">
        <w:trPr>
          <w:trHeight w:val="581"/>
        </w:trPr>
        <w:tc>
          <w:tcPr>
            <w:tcW w:w="1199" w:type="pct"/>
          </w:tcPr>
          <w:p w:rsidR="00657D4D" w:rsidRPr="001567C8" w:rsidRDefault="00657D4D" w:rsidP="00442721">
            <w:pPr>
              <w:tabs>
                <w:tab w:val="left" w:pos="-720"/>
              </w:tabs>
              <w:suppressAutoHyphens/>
              <w:spacing w:line="280" w:lineRule="exact"/>
              <w:ind w:right="-6"/>
              <w:rPr>
                <w:rFonts w:ascii="Calibri" w:eastAsia="Calibri" w:hAnsi="Calibri" w:cs="Arial"/>
                <w:b/>
                <w:sz w:val="16"/>
                <w:szCs w:val="16"/>
                <w:lang w:val="hr-HR"/>
              </w:rPr>
            </w:pPr>
            <w:r w:rsidRPr="001567C8">
              <w:rPr>
                <w:rFonts w:ascii="Calibri" w:eastAsia="Calibri" w:hAnsi="Calibri" w:cs="Arial"/>
                <w:b/>
                <w:sz w:val="16"/>
                <w:szCs w:val="16"/>
                <w:lang w:val="hr-HR"/>
              </w:rPr>
              <w:t>Banka</w:t>
            </w:r>
          </w:p>
          <w:p w:rsidR="00657D4D" w:rsidRPr="001567C8" w:rsidRDefault="00AD2EF7" w:rsidP="00442721">
            <w:pPr>
              <w:tabs>
                <w:tab w:val="left" w:pos="-720"/>
              </w:tabs>
              <w:suppressAutoHyphens/>
              <w:spacing w:line="280" w:lineRule="exact"/>
              <w:ind w:right="-6"/>
              <w:rPr>
                <w:rFonts w:ascii="Calibri" w:eastAsia="Calibri" w:hAnsi="Calibri" w:cs="Arial"/>
                <w:b/>
                <w:sz w:val="16"/>
                <w:szCs w:val="16"/>
                <w:lang w:val="hr-HR"/>
              </w:rPr>
            </w:pPr>
            <w:r>
              <w:rPr>
                <w:rFonts w:ascii="Calibri" w:eastAsia="Calibri" w:hAnsi="Calibri" w:cs="Arial"/>
                <w:b/>
                <w:sz w:val="16"/>
                <w:szCs w:val="16"/>
                <w:lang w:val="hr-HR"/>
              </w:rPr>
              <w:t>31. prosin</w:t>
            </w:r>
            <w:r w:rsidR="00657D4D" w:rsidRPr="001567C8">
              <w:rPr>
                <w:rFonts w:ascii="Calibri" w:eastAsia="Calibri" w:hAnsi="Calibri" w:cs="Arial"/>
                <w:b/>
                <w:sz w:val="16"/>
                <w:szCs w:val="16"/>
                <w:lang w:val="hr-HR"/>
              </w:rPr>
              <w:t>c</w:t>
            </w:r>
            <w:r>
              <w:rPr>
                <w:rFonts w:ascii="Calibri" w:eastAsia="Calibri" w:hAnsi="Calibri" w:cs="Arial"/>
                <w:b/>
                <w:sz w:val="16"/>
                <w:szCs w:val="16"/>
                <w:lang w:val="hr-HR"/>
              </w:rPr>
              <w:t>a</w:t>
            </w:r>
            <w:r w:rsidR="00657D4D" w:rsidRPr="001567C8">
              <w:rPr>
                <w:rFonts w:ascii="Calibri" w:eastAsia="Calibri" w:hAnsi="Calibri" w:cs="Arial"/>
                <w:b/>
                <w:sz w:val="16"/>
                <w:szCs w:val="16"/>
                <w:lang w:val="hr-HR"/>
              </w:rPr>
              <w:t xml:space="preserve"> 2017.  godina</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Arial"/>
                <w:b/>
                <w:sz w:val="16"/>
                <w:szCs w:val="16"/>
                <w:lang w:val="hr-HR"/>
              </w:rPr>
              <w:t>Do 1 mjesec</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Arial"/>
                <w:b/>
                <w:sz w:val="16"/>
                <w:szCs w:val="16"/>
                <w:lang w:val="hr-HR"/>
              </w:rPr>
              <w:t>1 do 3 mjeseca</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Arial"/>
                <w:b/>
                <w:sz w:val="16"/>
                <w:szCs w:val="16"/>
                <w:lang w:val="hr-HR"/>
              </w:rPr>
              <w:t>3 mj. do 1 godine</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Arial"/>
                <w:b/>
                <w:sz w:val="16"/>
                <w:szCs w:val="16"/>
                <w:lang w:val="hr-HR"/>
              </w:rPr>
              <w:t>1 do 3 godina</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Arial"/>
                <w:b/>
                <w:sz w:val="16"/>
                <w:szCs w:val="16"/>
                <w:lang w:val="hr-HR"/>
              </w:rPr>
              <w:t>Preko 3 godine</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Arial"/>
                <w:b/>
                <w:sz w:val="16"/>
                <w:szCs w:val="16"/>
                <w:lang w:val="hr-HR"/>
              </w:rPr>
              <w:t>Beska-matno</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Arial"/>
                <w:b/>
                <w:sz w:val="16"/>
                <w:szCs w:val="16"/>
                <w:lang w:val="hr-HR"/>
              </w:rPr>
              <w:t>Ukupno</w:t>
            </w:r>
          </w:p>
        </w:tc>
        <w:tc>
          <w:tcPr>
            <w:tcW w:w="475" w:type="pct"/>
          </w:tcPr>
          <w:p w:rsidR="00657D4D" w:rsidRPr="001567C8" w:rsidRDefault="00657D4D" w:rsidP="00442721">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Fiksna kamatna stopa</w:t>
            </w:r>
          </w:p>
        </w:tc>
      </w:tr>
      <w:tr w:rsidR="00657D4D" w:rsidRPr="001567C8" w:rsidTr="00657D4D">
        <w:trPr>
          <w:trHeight w:hRule="exact" w:val="266"/>
        </w:trPr>
        <w:tc>
          <w:tcPr>
            <w:tcW w:w="1199" w:type="pct"/>
          </w:tcPr>
          <w:p w:rsidR="00657D4D" w:rsidRPr="001567C8" w:rsidRDefault="00657D4D" w:rsidP="00442721">
            <w:pPr>
              <w:tabs>
                <w:tab w:val="left" w:pos="-720"/>
              </w:tabs>
              <w:suppressAutoHyphens/>
              <w:spacing w:line="280" w:lineRule="exact"/>
              <w:ind w:right="-6"/>
              <w:rPr>
                <w:rFonts w:ascii="Calibri" w:eastAsia="Calibri" w:hAnsi="Calibri" w:cs="Arial"/>
                <w:b/>
                <w:sz w:val="16"/>
                <w:szCs w:val="16"/>
                <w:lang w:val="hr-HR"/>
              </w:rPr>
            </w:pP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Calibri"/>
                <w:b/>
                <w:sz w:val="16"/>
                <w:szCs w:val="16"/>
                <w:lang w:val="hr-HR"/>
              </w:rPr>
              <w:t>000 kuna</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Calibri"/>
                <w:b/>
                <w:sz w:val="16"/>
                <w:szCs w:val="16"/>
                <w:lang w:val="hr-HR"/>
              </w:rPr>
              <w:t>000 kuna</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Calibri"/>
                <w:b/>
                <w:sz w:val="16"/>
                <w:szCs w:val="16"/>
                <w:lang w:val="hr-HR"/>
              </w:rPr>
              <w:t>000 kuna</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Calibri"/>
                <w:b/>
                <w:sz w:val="16"/>
                <w:szCs w:val="16"/>
                <w:lang w:val="hr-HR"/>
              </w:rPr>
              <w:t>000 kuna</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Calibri"/>
                <w:b/>
                <w:sz w:val="16"/>
                <w:szCs w:val="16"/>
                <w:lang w:val="hr-HR"/>
              </w:rPr>
              <w:t>000 kuna</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Calibri"/>
                <w:b/>
                <w:sz w:val="16"/>
                <w:szCs w:val="16"/>
                <w:lang w:val="hr-HR"/>
              </w:rPr>
              <w:t>000 kuna</w:t>
            </w:r>
          </w:p>
        </w:tc>
        <w:tc>
          <w:tcPr>
            <w:tcW w:w="475" w:type="pct"/>
          </w:tcPr>
          <w:p w:rsidR="00657D4D" w:rsidRPr="001567C8" w:rsidRDefault="00657D4D" w:rsidP="00442721">
            <w:pPr>
              <w:tabs>
                <w:tab w:val="left" w:pos="-720"/>
              </w:tabs>
              <w:suppressAutoHyphens/>
              <w:spacing w:line="280" w:lineRule="exact"/>
              <w:ind w:right="-6"/>
              <w:jc w:val="right"/>
              <w:rPr>
                <w:rFonts w:ascii="Calibri" w:eastAsia="Calibri" w:hAnsi="Calibri" w:cs="Arial"/>
                <w:b/>
                <w:sz w:val="16"/>
                <w:szCs w:val="16"/>
                <w:lang w:val="hr-HR"/>
              </w:rPr>
            </w:pPr>
            <w:r w:rsidRPr="001567C8">
              <w:rPr>
                <w:rFonts w:ascii="Calibri" w:eastAsia="Calibri" w:hAnsi="Calibri" w:cs="Calibri"/>
                <w:b/>
                <w:sz w:val="16"/>
                <w:szCs w:val="16"/>
                <w:lang w:val="hr-HR"/>
              </w:rPr>
              <w:t>000 kuna</w:t>
            </w:r>
          </w:p>
        </w:tc>
        <w:tc>
          <w:tcPr>
            <w:tcW w:w="475" w:type="pct"/>
          </w:tcPr>
          <w:p w:rsidR="00657D4D" w:rsidRPr="001567C8" w:rsidRDefault="00657D4D" w:rsidP="00442721">
            <w:pPr>
              <w:tabs>
                <w:tab w:val="right" w:pos="1202"/>
              </w:tabs>
              <w:spacing w:line="240" w:lineRule="atLeast"/>
              <w:jc w:val="right"/>
              <w:outlineLvl w:val="0"/>
              <w:rPr>
                <w:rFonts w:ascii="Calibri" w:eastAsia="Calibri" w:hAnsi="Calibri" w:cs="Arial"/>
                <w:b/>
                <w:sz w:val="16"/>
                <w:szCs w:val="16"/>
                <w:lang w:val="hr-HR"/>
              </w:rPr>
            </w:pPr>
            <w:r w:rsidRPr="001567C8">
              <w:rPr>
                <w:rFonts w:ascii="Calibri" w:eastAsia="Calibri" w:hAnsi="Calibri" w:cs="Arial"/>
                <w:b/>
                <w:sz w:val="16"/>
                <w:szCs w:val="16"/>
                <w:lang w:val="hr-HR"/>
              </w:rPr>
              <w:t>000 kuna</w:t>
            </w:r>
          </w:p>
        </w:tc>
      </w:tr>
      <w:tr w:rsidR="00657D4D" w:rsidRPr="001567C8" w:rsidTr="00657D4D">
        <w:trPr>
          <w:trHeight w:val="285"/>
        </w:trPr>
        <w:tc>
          <w:tcPr>
            <w:tcW w:w="1199" w:type="pct"/>
            <w:vAlign w:val="bottom"/>
          </w:tcPr>
          <w:p w:rsidR="00657D4D" w:rsidRPr="001567C8" w:rsidRDefault="00657D4D" w:rsidP="00442721">
            <w:pPr>
              <w:tabs>
                <w:tab w:val="left" w:pos="-720"/>
              </w:tabs>
              <w:suppressAutoHyphens/>
              <w:spacing w:line="280" w:lineRule="exact"/>
              <w:ind w:right="-5"/>
              <w:rPr>
                <w:rFonts w:ascii="Calibri" w:eastAsia="Calibri" w:hAnsi="Calibri" w:cs="Arial"/>
                <w:b/>
                <w:sz w:val="16"/>
                <w:szCs w:val="16"/>
                <w:lang w:val="hr-HR"/>
              </w:rPr>
            </w:pPr>
            <w:r w:rsidRPr="001567C8">
              <w:rPr>
                <w:rFonts w:ascii="Calibri" w:eastAsia="Calibri" w:hAnsi="Calibri" w:cs="Arial"/>
                <w:b/>
                <w:sz w:val="16"/>
                <w:szCs w:val="16"/>
                <w:lang w:val="hr-HR"/>
              </w:rPr>
              <w:t>Imovina</w:t>
            </w:r>
          </w:p>
        </w:tc>
        <w:tc>
          <w:tcPr>
            <w:tcW w:w="475" w:type="pct"/>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p>
        </w:tc>
        <w:tc>
          <w:tcPr>
            <w:tcW w:w="475" w:type="pct"/>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p>
        </w:tc>
        <w:tc>
          <w:tcPr>
            <w:tcW w:w="475" w:type="pct"/>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p>
        </w:tc>
        <w:tc>
          <w:tcPr>
            <w:tcW w:w="475" w:type="pct"/>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p>
        </w:tc>
        <w:tc>
          <w:tcPr>
            <w:tcW w:w="475" w:type="pct"/>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p>
        </w:tc>
        <w:tc>
          <w:tcPr>
            <w:tcW w:w="475" w:type="pct"/>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p>
        </w:tc>
        <w:tc>
          <w:tcPr>
            <w:tcW w:w="475" w:type="pct"/>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p>
        </w:tc>
        <w:tc>
          <w:tcPr>
            <w:tcW w:w="475" w:type="pct"/>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p>
        </w:tc>
      </w:tr>
      <w:tr w:rsidR="00657D4D" w:rsidRPr="001567C8" w:rsidTr="00657D4D">
        <w:trPr>
          <w:trHeight w:val="284"/>
        </w:trPr>
        <w:tc>
          <w:tcPr>
            <w:tcW w:w="1199" w:type="pct"/>
            <w:vAlign w:val="bottom"/>
          </w:tcPr>
          <w:p w:rsidR="00657D4D" w:rsidRPr="001567C8" w:rsidRDefault="00657D4D" w:rsidP="00442721">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Novčana sredstva i računi kod banaka</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1.401.146</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1.401.146</w:t>
            </w:r>
          </w:p>
        </w:tc>
        <w:tc>
          <w:tcPr>
            <w:tcW w:w="475" w:type="pct"/>
            <w:tcBorders>
              <w:top w:val="nil"/>
              <w:left w:val="nil"/>
              <w:bottom w:val="nil"/>
              <w:right w:val="nil"/>
            </w:tcBorders>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r>
      <w:tr w:rsidR="00657D4D" w:rsidRPr="001567C8" w:rsidTr="00657D4D">
        <w:trPr>
          <w:trHeight w:val="285"/>
        </w:trPr>
        <w:tc>
          <w:tcPr>
            <w:tcW w:w="1199" w:type="pct"/>
            <w:vAlign w:val="bottom"/>
          </w:tcPr>
          <w:p w:rsidR="00657D4D" w:rsidRPr="001567C8" w:rsidRDefault="00657D4D" w:rsidP="00442721">
            <w:pPr>
              <w:tabs>
                <w:tab w:val="left" w:pos="-720"/>
              </w:tabs>
              <w:suppressAutoHyphens/>
              <w:spacing w:line="280" w:lineRule="exact"/>
              <w:rPr>
                <w:rFonts w:ascii="Calibri" w:eastAsia="Calibri" w:hAnsi="Calibri" w:cs="Arial"/>
                <w:sz w:val="16"/>
                <w:szCs w:val="16"/>
                <w:lang w:val="hr-HR"/>
              </w:rPr>
            </w:pPr>
            <w:r w:rsidRPr="001567C8">
              <w:rPr>
                <w:rFonts w:ascii="Calibri" w:eastAsia="Calibri" w:hAnsi="Calibri" w:cs="Arial"/>
                <w:sz w:val="16"/>
                <w:szCs w:val="16"/>
                <w:lang w:val="hr-HR"/>
              </w:rPr>
              <w:t>Depoziti kod drugih banaka</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29.114</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24</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29.138</w:t>
            </w:r>
          </w:p>
        </w:tc>
        <w:tc>
          <w:tcPr>
            <w:tcW w:w="475" w:type="pct"/>
            <w:tcBorders>
              <w:top w:val="nil"/>
              <w:left w:val="nil"/>
              <w:bottom w:val="nil"/>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29.114</w:t>
            </w:r>
          </w:p>
        </w:tc>
      </w:tr>
      <w:tr w:rsidR="00657D4D" w:rsidRPr="001567C8" w:rsidTr="00657D4D">
        <w:trPr>
          <w:trHeight w:val="252"/>
        </w:trPr>
        <w:tc>
          <w:tcPr>
            <w:tcW w:w="1199" w:type="pct"/>
            <w:vAlign w:val="bottom"/>
          </w:tcPr>
          <w:p w:rsidR="00657D4D" w:rsidRPr="001567C8" w:rsidRDefault="00657D4D" w:rsidP="00442721">
            <w:pPr>
              <w:tabs>
                <w:tab w:val="left" w:pos="-720"/>
              </w:tabs>
              <w:suppressAutoHyphens/>
              <w:spacing w:line="280" w:lineRule="exact"/>
              <w:ind w:right="-5"/>
              <w:rPr>
                <w:rFonts w:ascii="Calibri" w:eastAsia="Calibri" w:hAnsi="Calibri" w:cs="Arial"/>
                <w:sz w:val="16"/>
                <w:szCs w:val="16"/>
                <w:lang w:val="hr-HR"/>
              </w:rPr>
            </w:pPr>
            <w:r w:rsidRPr="001567C8">
              <w:rPr>
                <w:rFonts w:ascii="Calibri" w:eastAsia="Calibri" w:hAnsi="Calibri" w:cs="Arial"/>
                <w:sz w:val="16"/>
                <w:szCs w:val="16"/>
                <w:lang w:val="hr-HR"/>
              </w:rPr>
              <w:t>Krediti financijskim institucijama</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474.348</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733.865</w:t>
            </w:r>
          </w:p>
        </w:tc>
        <w:tc>
          <w:tcPr>
            <w:tcW w:w="475" w:type="pct"/>
            <w:tcBorders>
              <w:top w:val="nil"/>
              <w:left w:val="nil"/>
              <w:bottom w:val="nil"/>
              <w:right w:val="nil"/>
            </w:tcBorders>
            <w:shd w:val="clear" w:color="auto" w:fill="auto"/>
            <w:vAlign w:val="center"/>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1.345.038</w:t>
            </w:r>
          </w:p>
        </w:tc>
        <w:tc>
          <w:tcPr>
            <w:tcW w:w="475" w:type="pct"/>
            <w:tcBorders>
              <w:top w:val="nil"/>
              <w:left w:val="nil"/>
              <w:bottom w:val="nil"/>
              <w:right w:val="nil"/>
            </w:tcBorders>
            <w:shd w:val="clear" w:color="auto" w:fill="auto"/>
            <w:vAlign w:val="center"/>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2.759.113</w:t>
            </w:r>
          </w:p>
        </w:tc>
        <w:tc>
          <w:tcPr>
            <w:tcW w:w="475" w:type="pct"/>
            <w:tcBorders>
              <w:top w:val="nil"/>
              <w:left w:val="nil"/>
              <w:bottom w:val="nil"/>
              <w:right w:val="nil"/>
            </w:tcBorders>
            <w:shd w:val="clear" w:color="auto" w:fill="auto"/>
            <w:vAlign w:val="center"/>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5.496.436</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27.341</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10.836.141</w:t>
            </w:r>
          </w:p>
        </w:tc>
        <w:tc>
          <w:tcPr>
            <w:tcW w:w="475" w:type="pct"/>
            <w:tcBorders>
              <w:top w:val="nil"/>
              <w:left w:val="nil"/>
              <w:bottom w:val="nil"/>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10.417.751</w:t>
            </w:r>
          </w:p>
        </w:tc>
      </w:tr>
      <w:tr w:rsidR="00657D4D" w:rsidRPr="001567C8" w:rsidTr="00657D4D">
        <w:trPr>
          <w:trHeight w:val="272"/>
        </w:trPr>
        <w:tc>
          <w:tcPr>
            <w:tcW w:w="1199" w:type="pct"/>
            <w:vAlign w:val="bottom"/>
          </w:tcPr>
          <w:p w:rsidR="00657D4D" w:rsidRPr="001567C8" w:rsidRDefault="00657D4D" w:rsidP="00442721">
            <w:pPr>
              <w:tabs>
                <w:tab w:val="left" w:pos="-720"/>
              </w:tabs>
              <w:suppressAutoHyphens/>
              <w:spacing w:line="280" w:lineRule="exact"/>
              <w:ind w:right="-5"/>
              <w:rPr>
                <w:rFonts w:ascii="Calibri" w:eastAsia="Calibri" w:hAnsi="Calibri" w:cs="Arial"/>
                <w:sz w:val="16"/>
                <w:szCs w:val="16"/>
                <w:lang w:val="hr-HR"/>
              </w:rPr>
            </w:pPr>
            <w:r w:rsidRPr="001567C8">
              <w:rPr>
                <w:rFonts w:ascii="Calibri" w:eastAsia="Calibri" w:hAnsi="Calibri" w:cs="Arial"/>
                <w:sz w:val="16"/>
                <w:szCs w:val="16"/>
                <w:lang w:val="hr-HR"/>
              </w:rPr>
              <w:t>Krediti ostalim korisnicima</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2.104.487</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745.415</w:t>
            </w:r>
          </w:p>
        </w:tc>
        <w:tc>
          <w:tcPr>
            <w:tcW w:w="475" w:type="pct"/>
            <w:tcBorders>
              <w:top w:val="nil"/>
              <w:left w:val="nil"/>
              <w:bottom w:val="nil"/>
              <w:right w:val="nil"/>
            </w:tcBorders>
            <w:shd w:val="clear" w:color="auto" w:fill="auto"/>
            <w:vAlign w:val="center"/>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927.758</w:t>
            </w:r>
          </w:p>
        </w:tc>
        <w:tc>
          <w:tcPr>
            <w:tcW w:w="475" w:type="pct"/>
            <w:tcBorders>
              <w:top w:val="nil"/>
              <w:left w:val="nil"/>
              <w:bottom w:val="nil"/>
              <w:right w:val="nil"/>
            </w:tcBorders>
            <w:shd w:val="clear" w:color="auto" w:fill="auto"/>
            <w:vAlign w:val="center"/>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1.848.681</w:t>
            </w:r>
          </w:p>
        </w:tc>
        <w:tc>
          <w:tcPr>
            <w:tcW w:w="475" w:type="pct"/>
            <w:tcBorders>
              <w:top w:val="nil"/>
              <w:left w:val="nil"/>
              <w:bottom w:val="nil"/>
              <w:right w:val="nil"/>
            </w:tcBorders>
            <w:shd w:val="clear" w:color="auto" w:fill="auto"/>
            <w:vAlign w:val="center"/>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6.689.547</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67.735</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12.383.623</w:t>
            </w:r>
          </w:p>
        </w:tc>
        <w:tc>
          <w:tcPr>
            <w:tcW w:w="475" w:type="pct"/>
            <w:tcBorders>
              <w:top w:val="nil"/>
              <w:left w:val="nil"/>
              <w:bottom w:val="nil"/>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11.426.307</w:t>
            </w:r>
          </w:p>
        </w:tc>
      </w:tr>
      <w:tr w:rsidR="00657D4D" w:rsidRPr="001567C8" w:rsidTr="00657D4D">
        <w:trPr>
          <w:trHeight w:val="285"/>
        </w:trPr>
        <w:tc>
          <w:tcPr>
            <w:tcW w:w="1199" w:type="pct"/>
            <w:vAlign w:val="bottom"/>
          </w:tcPr>
          <w:p w:rsidR="00657D4D" w:rsidRPr="001567C8" w:rsidRDefault="00657D4D" w:rsidP="00442721">
            <w:pPr>
              <w:tabs>
                <w:tab w:val="left" w:pos="-720"/>
              </w:tabs>
              <w:suppressAutoHyphens/>
              <w:spacing w:line="280" w:lineRule="exact"/>
              <w:ind w:right="-5"/>
              <w:rPr>
                <w:rFonts w:ascii="Calibri" w:eastAsia="Calibri" w:hAnsi="Calibri" w:cs="Arial"/>
                <w:sz w:val="16"/>
                <w:szCs w:val="16"/>
                <w:lang w:val="hr-HR"/>
              </w:rPr>
            </w:pPr>
            <w:r w:rsidRPr="001567C8">
              <w:rPr>
                <w:rFonts w:ascii="Calibri" w:eastAsia="Calibri" w:hAnsi="Calibri" w:cs="Arial"/>
                <w:sz w:val="16"/>
                <w:szCs w:val="16"/>
                <w:lang w:val="hr-HR"/>
              </w:rPr>
              <w:t>Imovina raspoloživa za prodaju</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2.430.262</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846.932</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3.277.194</w:t>
            </w:r>
          </w:p>
        </w:tc>
        <w:tc>
          <w:tcPr>
            <w:tcW w:w="475" w:type="pct"/>
            <w:tcBorders>
              <w:top w:val="nil"/>
              <w:left w:val="nil"/>
              <w:bottom w:val="nil"/>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2.430.262</w:t>
            </w:r>
          </w:p>
        </w:tc>
      </w:tr>
      <w:tr w:rsidR="00657D4D" w:rsidRPr="001567C8" w:rsidTr="00657D4D">
        <w:trPr>
          <w:trHeight w:val="285"/>
        </w:trPr>
        <w:tc>
          <w:tcPr>
            <w:tcW w:w="1199" w:type="pct"/>
            <w:vAlign w:val="bottom"/>
          </w:tcPr>
          <w:p w:rsidR="00657D4D" w:rsidRPr="001567C8" w:rsidRDefault="00657D4D" w:rsidP="00442721">
            <w:pPr>
              <w:tabs>
                <w:tab w:val="left" w:pos="-720"/>
              </w:tabs>
              <w:suppressAutoHyphens/>
              <w:spacing w:line="280" w:lineRule="exact"/>
              <w:ind w:right="-5"/>
              <w:rPr>
                <w:rFonts w:ascii="Calibri" w:eastAsia="Calibri" w:hAnsi="Calibri" w:cs="Arial"/>
                <w:sz w:val="16"/>
                <w:szCs w:val="16"/>
                <w:lang w:val="hr-HR"/>
              </w:rPr>
            </w:pPr>
            <w:r w:rsidRPr="001567C8">
              <w:rPr>
                <w:rFonts w:ascii="Calibri" w:eastAsia="Calibri" w:hAnsi="Calibri" w:cs="Arial"/>
                <w:sz w:val="16"/>
                <w:szCs w:val="16"/>
                <w:lang w:val="hr-HR"/>
              </w:rPr>
              <w:t>Ostala imovina</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22.226</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22.226</w:t>
            </w:r>
          </w:p>
        </w:tc>
        <w:tc>
          <w:tcPr>
            <w:tcW w:w="475" w:type="pct"/>
            <w:tcBorders>
              <w:top w:val="nil"/>
              <w:left w:val="nil"/>
              <w:bottom w:val="nil"/>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r>
      <w:tr w:rsidR="00657D4D" w:rsidRPr="001567C8" w:rsidTr="00657D4D">
        <w:trPr>
          <w:trHeight w:val="19"/>
        </w:trPr>
        <w:tc>
          <w:tcPr>
            <w:tcW w:w="1199" w:type="pct"/>
            <w:vAlign w:val="bottom"/>
          </w:tcPr>
          <w:p w:rsidR="00657D4D" w:rsidRPr="001567C8" w:rsidRDefault="00657D4D" w:rsidP="00442721">
            <w:pPr>
              <w:tabs>
                <w:tab w:val="right" w:pos="1202"/>
              </w:tabs>
              <w:spacing w:line="320" w:lineRule="exact"/>
              <w:outlineLvl w:val="0"/>
              <w:rPr>
                <w:rFonts w:ascii="Calibri" w:hAnsi="Calibri" w:cs="Arial"/>
                <w:b/>
                <w:bCs/>
                <w:sz w:val="16"/>
                <w:szCs w:val="16"/>
                <w:lang w:val="hr-HR"/>
              </w:rPr>
            </w:pPr>
            <w:r w:rsidRPr="001567C8">
              <w:rPr>
                <w:rFonts w:ascii="Calibri" w:hAnsi="Calibri" w:cs="Arial"/>
                <w:b/>
                <w:bCs/>
                <w:sz w:val="16"/>
                <w:szCs w:val="16"/>
                <w:lang w:val="hr-HR"/>
              </w:rPr>
              <w:t>Ukupna imovina</w:t>
            </w:r>
          </w:p>
        </w:tc>
        <w:tc>
          <w:tcPr>
            <w:tcW w:w="475" w:type="pct"/>
            <w:tcBorders>
              <w:top w:val="single" w:sz="4" w:space="0" w:color="auto"/>
              <w:left w:val="nil"/>
              <w:bottom w:val="single" w:sz="8" w:space="0" w:color="auto"/>
              <w:right w:val="nil"/>
            </w:tcBorders>
            <w:shd w:val="clear" w:color="auto" w:fill="auto"/>
            <w:vAlign w:val="center"/>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5.038.211</w:t>
            </w:r>
          </w:p>
        </w:tc>
        <w:tc>
          <w:tcPr>
            <w:tcW w:w="475" w:type="pct"/>
            <w:tcBorders>
              <w:top w:val="single" w:sz="4" w:space="0" w:color="auto"/>
              <w:left w:val="nil"/>
              <w:bottom w:val="single" w:sz="8" w:space="0" w:color="auto"/>
              <w:right w:val="nil"/>
            </w:tcBorders>
            <w:shd w:val="clear" w:color="auto" w:fill="auto"/>
            <w:vAlign w:val="center"/>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1.479.280</w:t>
            </w:r>
          </w:p>
        </w:tc>
        <w:tc>
          <w:tcPr>
            <w:tcW w:w="475" w:type="pct"/>
            <w:tcBorders>
              <w:top w:val="single" w:sz="4" w:space="0" w:color="auto"/>
              <w:left w:val="nil"/>
              <w:bottom w:val="single" w:sz="8" w:space="0" w:color="auto"/>
              <w:right w:val="nil"/>
            </w:tcBorders>
            <w:shd w:val="clear" w:color="auto" w:fill="auto"/>
            <w:vAlign w:val="center"/>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2.272.796</w:t>
            </w:r>
          </w:p>
        </w:tc>
        <w:tc>
          <w:tcPr>
            <w:tcW w:w="475" w:type="pct"/>
            <w:tcBorders>
              <w:top w:val="single" w:sz="4" w:space="0" w:color="auto"/>
              <w:left w:val="nil"/>
              <w:bottom w:val="single" w:sz="8" w:space="0" w:color="auto"/>
              <w:right w:val="nil"/>
            </w:tcBorders>
            <w:shd w:val="clear" w:color="auto" w:fill="auto"/>
            <w:vAlign w:val="center"/>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4.607.794</w:t>
            </w:r>
          </w:p>
        </w:tc>
        <w:tc>
          <w:tcPr>
            <w:tcW w:w="475" w:type="pct"/>
            <w:tcBorders>
              <w:top w:val="single" w:sz="4" w:space="0" w:color="auto"/>
              <w:left w:val="nil"/>
              <w:bottom w:val="single" w:sz="8" w:space="0" w:color="auto"/>
              <w:right w:val="nil"/>
            </w:tcBorders>
            <w:shd w:val="clear" w:color="auto" w:fill="auto"/>
            <w:vAlign w:val="center"/>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12.185.983</w:t>
            </w:r>
          </w:p>
        </w:tc>
        <w:tc>
          <w:tcPr>
            <w:tcW w:w="475" w:type="pct"/>
            <w:tcBorders>
              <w:top w:val="single" w:sz="4" w:space="0" w:color="auto"/>
              <w:left w:val="nil"/>
              <w:bottom w:val="single" w:sz="8" w:space="0" w:color="auto"/>
              <w:right w:val="nil"/>
            </w:tcBorders>
            <w:shd w:val="clear" w:color="auto" w:fill="auto"/>
            <w:vAlign w:val="center"/>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2.365.404</w:t>
            </w:r>
          </w:p>
        </w:tc>
        <w:tc>
          <w:tcPr>
            <w:tcW w:w="475" w:type="pct"/>
            <w:tcBorders>
              <w:top w:val="single" w:sz="4" w:space="0" w:color="auto"/>
              <w:left w:val="nil"/>
              <w:bottom w:val="single" w:sz="8" w:space="0" w:color="auto"/>
              <w:right w:val="nil"/>
            </w:tcBorders>
            <w:shd w:val="clear" w:color="auto" w:fill="auto"/>
            <w:vAlign w:val="center"/>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27.949.468</w:t>
            </w:r>
          </w:p>
        </w:tc>
        <w:tc>
          <w:tcPr>
            <w:tcW w:w="475" w:type="pct"/>
            <w:tcBorders>
              <w:top w:val="single" w:sz="4" w:space="0" w:color="auto"/>
              <w:left w:val="nil"/>
              <w:bottom w:val="single" w:sz="8" w:space="0" w:color="auto"/>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24.303.434</w:t>
            </w:r>
          </w:p>
        </w:tc>
      </w:tr>
      <w:tr w:rsidR="00657D4D" w:rsidRPr="001567C8" w:rsidTr="00657D4D">
        <w:trPr>
          <w:trHeight w:hRule="exact" w:val="140"/>
        </w:trPr>
        <w:tc>
          <w:tcPr>
            <w:tcW w:w="1199" w:type="pct"/>
            <w:vAlign w:val="bottom"/>
          </w:tcPr>
          <w:p w:rsidR="00657D4D" w:rsidRPr="001567C8" w:rsidRDefault="00657D4D" w:rsidP="00442721">
            <w:pPr>
              <w:tabs>
                <w:tab w:val="left" w:pos="-720"/>
              </w:tabs>
              <w:suppressAutoHyphens/>
              <w:spacing w:line="280" w:lineRule="exact"/>
              <w:ind w:right="-6"/>
              <w:jc w:val="both"/>
              <w:rPr>
                <w:rFonts w:ascii="Calibri" w:eastAsia="Calibri" w:hAnsi="Calibri" w:cs="Arial"/>
                <w:sz w:val="16"/>
                <w:szCs w:val="16"/>
                <w:lang w:val="hr-HR"/>
              </w:rPr>
            </w:pPr>
          </w:p>
        </w:tc>
        <w:tc>
          <w:tcPr>
            <w:tcW w:w="475" w:type="pct"/>
            <w:tcBorders>
              <w:top w:val="single" w:sz="12" w:space="0" w:color="auto"/>
            </w:tcBorders>
            <w:vAlign w:val="bottom"/>
          </w:tcPr>
          <w:p w:rsidR="00657D4D" w:rsidRPr="001567C8" w:rsidRDefault="00657D4D" w:rsidP="00442721">
            <w:pPr>
              <w:tabs>
                <w:tab w:val="left" w:pos="-720"/>
              </w:tabs>
              <w:suppressAutoHyphens/>
              <w:spacing w:line="280" w:lineRule="exact"/>
              <w:ind w:right="-6"/>
              <w:jc w:val="right"/>
              <w:rPr>
                <w:rFonts w:ascii="Calibri" w:eastAsia="Calibri" w:hAnsi="Calibri" w:cs="Arial"/>
                <w:sz w:val="16"/>
                <w:szCs w:val="16"/>
                <w:lang w:val="hr-HR"/>
              </w:rPr>
            </w:pPr>
          </w:p>
        </w:tc>
        <w:tc>
          <w:tcPr>
            <w:tcW w:w="475" w:type="pct"/>
            <w:tcBorders>
              <w:top w:val="single" w:sz="12" w:space="0" w:color="auto"/>
            </w:tcBorders>
            <w:vAlign w:val="bottom"/>
          </w:tcPr>
          <w:p w:rsidR="00657D4D" w:rsidRPr="001567C8" w:rsidRDefault="00657D4D" w:rsidP="00442721">
            <w:pPr>
              <w:tabs>
                <w:tab w:val="left" w:pos="-720"/>
              </w:tabs>
              <w:suppressAutoHyphens/>
              <w:spacing w:line="280" w:lineRule="exact"/>
              <w:ind w:right="-6"/>
              <w:jc w:val="right"/>
              <w:rPr>
                <w:rFonts w:ascii="Calibri" w:eastAsia="Calibri" w:hAnsi="Calibri" w:cs="Arial"/>
                <w:sz w:val="16"/>
                <w:szCs w:val="16"/>
                <w:lang w:val="hr-HR"/>
              </w:rPr>
            </w:pPr>
          </w:p>
        </w:tc>
        <w:tc>
          <w:tcPr>
            <w:tcW w:w="475" w:type="pct"/>
            <w:tcBorders>
              <w:top w:val="single" w:sz="12" w:space="0" w:color="auto"/>
            </w:tcBorders>
            <w:vAlign w:val="bottom"/>
          </w:tcPr>
          <w:p w:rsidR="00657D4D" w:rsidRPr="001567C8" w:rsidRDefault="00657D4D" w:rsidP="00442721">
            <w:pPr>
              <w:tabs>
                <w:tab w:val="left" w:pos="-720"/>
              </w:tabs>
              <w:suppressAutoHyphens/>
              <w:spacing w:line="280" w:lineRule="exact"/>
              <w:ind w:right="-6"/>
              <w:jc w:val="right"/>
              <w:rPr>
                <w:rFonts w:ascii="Calibri" w:eastAsia="Calibri" w:hAnsi="Calibri" w:cs="Arial"/>
                <w:sz w:val="16"/>
                <w:szCs w:val="16"/>
                <w:lang w:val="hr-HR"/>
              </w:rPr>
            </w:pPr>
          </w:p>
        </w:tc>
        <w:tc>
          <w:tcPr>
            <w:tcW w:w="475" w:type="pct"/>
            <w:tcBorders>
              <w:top w:val="single" w:sz="12" w:space="0" w:color="auto"/>
            </w:tcBorders>
            <w:vAlign w:val="bottom"/>
          </w:tcPr>
          <w:p w:rsidR="00657D4D" w:rsidRPr="001567C8" w:rsidRDefault="00657D4D" w:rsidP="00442721">
            <w:pPr>
              <w:tabs>
                <w:tab w:val="left" w:pos="-720"/>
              </w:tabs>
              <w:suppressAutoHyphens/>
              <w:spacing w:line="280" w:lineRule="exact"/>
              <w:ind w:right="-6"/>
              <w:jc w:val="right"/>
              <w:rPr>
                <w:rFonts w:ascii="Calibri" w:eastAsia="Calibri" w:hAnsi="Calibri" w:cs="Arial"/>
                <w:sz w:val="16"/>
                <w:szCs w:val="16"/>
                <w:lang w:val="hr-HR"/>
              </w:rPr>
            </w:pPr>
          </w:p>
        </w:tc>
        <w:tc>
          <w:tcPr>
            <w:tcW w:w="475" w:type="pct"/>
            <w:tcBorders>
              <w:top w:val="single" w:sz="12" w:space="0" w:color="auto"/>
            </w:tcBorders>
            <w:vAlign w:val="bottom"/>
          </w:tcPr>
          <w:p w:rsidR="00657D4D" w:rsidRPr="001567C8" w:rsidRDefault="00657D4D" w:rsidP="00442721">
            <w:pPr>
              <w:tabs>
                <w:tab w:val="left" w:pos="-720"/>
              </w:tabs>
              <w:suppressAutoHyphens/>
              <w:spacing w:line="280" w:lineRule="exact"/>
              <w:ind w:right="-6"/>
              <w:jc w:val="right"/>
              <w:rPr>
                <w:rFonts w:ascii="Calibri" w:eastAsia="Calibri" w:hAnsi="Calibri" w:cs="Arial"/>
                <w:sz w:val="16"/>
                <w:szCs w:val="16"/>
                <w:lang w:val="hr-HR"/>
              </w:rPr>
            </w:pPr>
          </w:p>
        </w:tc>
        <w:tc>
          <w:tcPr>
            <w:tcW w:w="475" w:type="pct"/>
            <w:tcBorders>
              <w:top w:val="single" w:sz="12" w:space="0" w:color="auto"/>
            </w:tcBorders>
            <w:vAlign w:val="bottom"/>
          </w:tcPr>
          <w:p w:rsidR="00657D4D" w:rsidRPr="001567C8" w:rsidRDefault="00657D4D" w:rsidP="00442721">
            <w:pPr>
              <w:tabs>
                <w:tab w:val="left" w:pos="-720"/>
              </w:tabs>
              <w:suppressAutoHyphens/>
              <w:spacing w:line="280" w:lineRule="exact"/>
              <w:ind w:right="-6"/>
              <w:jc w:val="right"/>
              <w:rPr>
                <w:rFonts w:ascii="Calibri" w:eastAsia="Calibri" w:hAnsi="Calibri" w:cs="Arial"/>
                <w:sz w:val="16"/>
                <w:szCs w:val="16"/>
                <w:lang w:val="hr-HR"/>
              </w:rPr>
            </w:pPr>
          </w:p>
        </w:tc>
        <w:tc>
          <w:tcPr>
            <w:tcW w:w="475" w:type="pct"/>
            <w:tcBorders>
              <w:top w:val="single" w:sz="12" w:space="0" w:color="auto"/>
            </w:tcBorders>
            <w:vAlign w:val="bottom"/>
          </w:tcPr>
          <w:p w:rsidR="00657D4D" w:rsidRPr="001567C8" w:rsidRDefault="00657D4D" w:rsidP="00442721">
            <w:pPr>
              <w:tabs>
                <w:tab w:val="left" w:pos="-720"/>
              </w:tabs>
              <w:suppressAutoHyphens/>
              <w:spacing w:line="280" w:lineRule="exact"/>
              <w:ind w:right="-6"/>
              <w:jc w:val="right"/>
              <w:rPr>
                <w:rFonts w:ascii="Calibri" w:eastAsia="Calibri" w:hAnsi="Calibri" w:cs="Arial"/>
                <w:sz w:val="16"/>
                <w:szCs w:val="16"/>
                <w:lang w:val="hr-HR"/>
              </w:rPr>
            </w:pPr>
          </w:p>
        </w:tc>
        <w:tc>
          <w:tcPr>
            <w:tcW w:w="475" w:type="pct"/>
            <w:tcBorders>
              <w:top w:val="single" w:sz="12" w:space="0" w:color="auto"/>
            </w:tcBorders>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p>
        </w:tc>
      </w:tr>
      <w:tr w:rsidR="00657D4D" w:rsidRPr="001567C8" w:rsidTr="00657D4D">
        <w:tblPrEx>
          <w:tblLook w:val="04A0" w:firstRow="1" w:lastRow="0" w:firstColumn="1" w:lastColumn="0" w:noHBand="0" w:noVBand="1"/>
        </w:tblPrEx>
        <w:trPr>
          <w:trHeight w:val="270"/>
        </w:trPr>
        <w:tc>
          <w:tcPr>
            <w:tcW w:w="1199" w:type="pct"/>
            <w:hideMark/>
          </w:tcPr>
          <w:p w:rsidR="00657D4D" w:rsidRPr="001567C8" w:rsidRDefault="00657D4D" w:rsidP="00442721">
            <w:pPr>
              <w:tabs>
                <w:tab w:val="right" w:pos="1202"/>
              </w:tabs>
              <w:spacing w:line="280" w:lineRule="exact"/>
              <w:outlineLvl w:val="0"/>
              <w:rPr>
                <w:rFonts w:ascii="Calibri" w:hAnsi="Calibri" w:cs="Arial"/>
                <w:b/>
                <w:bCs/>
                <w:sz w:val="16"/>
                <w:szCs w:val="16"/>
                <w:lang w:val="hr-HR"/>
              </w:rPr>
            </w:pPr>
            <w:r w:rsidRPr="001567C8">
              <w:rPr>
                <w:rFonts w:ascii="Calibri" w:hAnsi="Calibri" w:cs="Arial"/>
                <w:b/>
                <w:bCs/>
                <w:sz w:val="16"/>
                <w:szCs w:val="16"/>
                <w:lang w:val="hr-HR"/>
              </w:rPr>
              <w:t>Obveze</w:t>
            </w:r>
          </w:p>
        </w:tc>
        <w:tc>
          <w:tcPr>
            <w:tcW w:w="475" w:type="pct"/>
            <w:vAlign w:val="bottom"/>
          </w:tcPr>
          <w:p w:rsidR="00657D4D" w:rsidRPr="001567C8" w:rsidRDefault="00657D4D" w:rsidP="00442721">
            <w:pPr>
              <w:tabs>
                <w:tab w:val="right" w:pos="1202"/>
              </w:tabs>
              <w:spacing w:line="280" w:lineRule="exact"/>
              <w:jc w:val="right"/>
              <w:outlineLvl w:val="0"/>
              <w:rPr>
                <w:rFonts w:ascii="Calibri" w:hAnsi="Calibri" w:cs="Arial"/>
                <w:spacing w:val="-2"/>
                <w:sz w:val="16"/>
                <w:szCs w:val="16"/>
                <w:lang w:val="hr-HR"/>
              </w:rPr>
            </w:pPr>
          </w:p>
        </w:tc>
        <w:tc>
          <w:tcPr>
            <w:tcW w:w="475" w:type="pct"/>
            <w:vAlign w:val="bottom"/>
          </w:tcPr>
          <w:p w:rsidR="00657D4D" w:rsidRPr="001567C8" w:rsidRDefault="00657D4D" w:rsidP="00442721">
            <w:pPr>
              <w:tabs>
                <w:tab w:val="right" w:pos="1202"/>
              </w:tabs>
              <w:spacing w:line="280" w:lineRule="exact"/>
              <w:jc w:val="right"/>
              <w:outlineLvl w:val="0"/>
              <w:rPr>
                <w:rFonts w:ascii="Calibri" w:hAnsi="Calibri" w:cs="Arial"/>
                <w:spacing w:val="-2"/>
                <w:sz w:val="16"/>
                <w:szCs w:val="16"/>
                <w:lang w:val="hr-HR"/>
              </w:rPr>
            </w:pPr>
          </w:p>
        </w:tc>
        <w:tc>
          <w:tcPr>
            <w:tcW w:w="475" w:type="pct"/>
            <w:vAlign w:val="bottom"/>
          </w:tcPr>
          <w:p w:rsidR="00657D4D" w:rsidRPr="001567C8" w:rsidRDefault="00657D4D" w:rsidP="00442721">
            <w:pPr>
              <w:tabs>
                <w:tab w:val="right" w:pos="1202"/>
              </w:tabs>
              <w:spacing w:line="280" w:lineRule="exact"/>
              <w:jc w:val="right"/>
              <w:outlineLvl w:val="0"/>
              <w:rPr>
                <w:rFonts w:ascii="Calibri" w:hAnsi="Calibri" w:cs="Arial"/>
                <w:spacing w:val="-2"/>
                <w:sz w:val="16"/>
                <w:szCs w:val="16"/>
                <w:lang w:val="hr-HR"/>
              </w:rPr>
            </w:pPr>
          </w:p>
        </w:tc>
        <w:tc>
          <w:tcPr>
            <w:tcW w:w="475" w:type="pct"/>
            <w:vAlign w:val="bottom"/>
          </w:tcPr>
          <w:p w:rsidR="00657D4D" w:rsidRPr="001567C8" w:rsidRDefault="00657D4D" w:rsidP="00442721">
            <w:pPr>
              <w:tabs>
                <w:tab w:val="right" w:pos="1202"/>
              </w:tabs>
              <w:spacing w:line="280" w:lineRule="exact"/>
              <w:jc w:val="right"/>
              <w:outlineLvl w:val="0"/>
              <w:rPr>
                <w:rFonts w:ascii="Calibri" w:hAnsi="Calibri" w:cs="Arial"/>
                <w:spacing w:val="-2"/>
                <w:sz w:val="16"/>
                <w:szCs w:val="16"/>
                <w:lang w:val="hr-HR"/>
              </w:rPr>
            </w:pPr>
          </w:p>
        </w:tc>
        <w:tc>
          <w:tcPr>
            <w:tcW w:w="475" w:type="pct"/>
            <w:vAlign w:val="bottom"/>
          </w:tcPr>
          <w:p w:rsidR="00657D4D" w:rsidRPr="001567C8" w:rsidRDefault="00657D4D" w:rsidP="00442721">
            <w:pPr>
              <w:tabs>
                <w:tab w:val="right" w:pos="1202"/>
              </w:tabs>
              <w:spacing w:line="280" w:lineRule="exact"/>
              <w:jc w:val="right"/>
              <w:outlineLvl w:val="0"/>
              <w:rPr>
                <w:rFonts w:ascii="Calibri" w:hAnsi="Calibri" w:cs="Arial"/>
                <w:spacing w:val="-2"/>
                <w:sz w:val="16"/>
                <w:szCs w:val="16"/>
                <w:lang w:val="hr-HR"/>
              </w:rPr>
            </w:pPr>
          </w:p>
        </w:tc>
        <w:tc>
          <w:tcPr>
            <w:tcW w:w="475" w:type="pct"/>
            <w:vAlign w:val="bottom"/>
          </w:tcPr>
          <w:p w:rsidR="00657D4D" w:rsidRPr="001567C8" w:rsidRDefault="00657D4D" w:rsidP="00442721">
            <w:pPr>
              <w:tabs>
                <w:tab w:val="right" w:pos="1202"/>
              </w:tabs>
              <w:spacing w:line="280" w:lineRule="exact"/>
              <w:jc w:val="right"/>
              <w:outlineLvl w:val="0"/>
              <w:rPr>
                <w:rFonts w:ascii="Calibri" w:hAnsi="Calibri" w:cs="Arial"/>
                <w:b/>
                <w:sz w:val="16"/>
                <w:szCs w:val="16"/>
                <w:lang w:val="hr-HR"/>
              </w:rPr>
            </w:pPr>
          </w:p>
        </w:tc>
        <w:tc>
          <w:tcPr>
            <w:tcW w:w="475" w:type="pct"/>
            <w:vAlign w:val="bottom"/>
          </w:tcPr>
          <w:p w:rsidR="00657D4D" w:rsidRPr="001567C8" w:rsidRDefault="00657D4D" w:rsidP="00442721">
            <w:pPr>
              <w:tabs>
                <w:tab w:val="right" w:pos="1202"/>
              </w:tabs>
              <w:spacing w:line="280" w:lineRule="exact"/>
              <w:jc w:val="right"/>
              <w:outlineLvl w:val="0"/>
              <w:rPr>
                <w:rFonts w:ascii="Calibri" w:hAnsi="Calibri" w:cs="Arial"/>
                <w:sz w:val="16"/>
                <w:szCs w:val="16"/>
                <w:lang w:val="hr-HR"/>
              </w:rPr>
            </w:pPr>
          </w:p>
        </w:tc>
        <w:tc>
          <w:tcPr>
            <w:tcW w:w="475" w:type="pct"/>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p>
        </w:tc>
      </w:tr>
      <w:tr w:rsidR="00657D4D" w:rsidRPr="001567C8" w:rsidTr="00657D4D">
        <w:tblPrEx>
          <w:tblLook w:val="04A0" w:firstRow="1" w:lastRow="0" w:firstColumn="1" w:lastColumn="0" w:noHBand="0" w:noVBand="1"/>
        </w:tblPrEx>
        <w:trPr>
          <w:trHeight w:val="270"/>
        </w:trPr>
        <w:tc>
          <w:tcPr>
            <w:tcW w:w="1199" w:type="pct"/>
            <w:hideMark/>
          </w:tcPr>
          <w:p w:rsidR="00657D4D" w:rsidRPr="001567C8" w:rsidRDefault="00657D4D" w:rsidP="00442721">
            <w:pPr>
              <w:tabs>
                <w:tab w:val="right" w:pos="1202"/>
              </w:tabs>
              <w:spacing w:line="280" w:lineRule="exact"/>
              <w:outlineLvl w:val="0"/>
              <w:rPr>
                <w:rFonts w:ascii="Calibri" w:hAnsi="Calibri" w:cs="Arial"/>
                <w:sz w:val="16"/>
                <w:szCs w:val="16"/>
                <w:lang w:val="hr-HR"/>
              </w:rPr>
            </w:pPr>
            <w:r w:rsidRPr="001567C8">
              <w:rPr>
                <w:rFonts w:ascii="Calibri" w:hAnsi="Calibri" w:cs="Arial"/>
                <w:spacing w:val="-2"/>
                <w:sz w:val="16"/>
                <w:szCs w:val="16"/>
                <w:lang w:val="hr-HR"/>
              </w:rPr>
              <w:t>Obveze po depozitima</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150.273</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169.057</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169.057</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156.354</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644.741</w:t>
            </w:r>
          </w:p>
        </w:tc>
        <w:tc>
          <w:tcPr>
            <w:tcW w:w="475" w:type="pct"/>
            <w:tcBorders>
              <w:top w:val="nil"/>
              <w:left w:val="nil"/>
              <w:bottom w:val="nil"/>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r>
      <w:tr w:rsidR="00657D4D" w:rsidRPr="001567C8" w:rsidTr="00657D4D">
        <w:tblPrEx>
          <w:tblLook w:val="04A0" w:firstRow="1" w:lastRow="0" w:firstColumn="1" w:lastColumn="0" w:noHBand="0" w:noVBand="1"/>
        </w:tblPrEx>
        <w:trPr>
          <w:trHeight w:val="284"/>
        </w:trPr>
        <w:tc>
          <w:tcPr>
            <w:tcW w:w="1199" w:type="pct"/>
            <w:hideMark/>
          </w:tcPr>
          <w:p w:rsidR="00657D4D" w:rsidRPr="001567C8" w:rsidRDefault="00657D4D" w:rsidP="00442721">
            <w:pPr>
              <w:tabs>
                <w:tab w:val="right" w:pos="1202"/>
              </w:tabs>
              <w:spacing w:line="280" w:lineRule="exact"/>
              <w:outlineLvl w:val="0"/>
              <w:rPr>
                <w:rFonts w:ascii="Calibri" w:hAnsi="Calibri" w:cs="Arial"/>
                <w:sz w:val="16"/>
                <w:szCs w:val="16"/>
                <w:lang w:val="hr-HR"/>
              </w:rPr>
            </w:pPr>
            <w:r w:rsidRPr="001567C8">
              <w:rPr>
                <w:rFonts w:ascii="Calibri" w:hAnsi="Calibri" w:cs="Arial"/>
                <w:spacing w:val="-2"/>
                <w:sz w:val="16"/>
                <w:szCs w:val="16"/>
                <w:lang w:val="hr-HR"/>
              </w:rPr>
              <w:t>Obveze po kreditima</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168.310</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243.414</w:t>
            </w:r>
          </w:p>
        </w:tc>
        <w:tc>
          <w:tcPr>
            <w:tcW w:w="475" w:type="pct"/>
            <w:tcBorders>
              <w:top w:val="nil"/>
              <w:left w:val="nil"/>
              <w:bottom w:val="nil"/>
              <w:right w:val="nil"/>
            </w:tcBorders>
            <w:shd w:val="clear" w:color="auto" w:fill="auto"/>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1.155.999</w:t>
            </w:r>
          </w:p>
        </w:tc>
        <w:tc>
          <w:tcPr>
            <w:tcW w:w="475" w:type="pct"/>
            <w:tcBorders>
              <w:top w:val="nil"/>
              <w:left w:val="nil"/>
              <w:bottom w:val="nil"/>
              <w:right w:val="nil"/>
            </w:tcBorders>
            <w:shd w:val="clear" w:color="auto" w:fill="auto"/>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3.853.447</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9.902.974</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63.737</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15.387.881</w:t>
            </w:r>
          </w:p>
        </w:tc>
        <w:tc>
          <w:tcPr>
            <w:tcW w:w="475" w:type="pct"/>
            <w:tcBorders>
              <w:top w:val="nil"/>
              <w:left w:val="nil"/>
              <w:bottom w:val="nil"/>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15.323.205</w:t>
            </w:r>
          </w:p>
        </w:tc>
      </w:tr>
      <w:tr w:rsidR="00657D4D" w:rsidRPr="001567C8" w:rsidTr="00657D4D">
        <w:tblPrEx>
          <w:tblLook w:val="04A0" w:firstRow="1" w:lastRow="0" w:firstColumn="1" w:lastColumn="0" w:noHBand="0" w:noVBand="1"/>
        </w:tblPrEx>
        <w:trPr>
          <w:trHeight w:val="554"/>
        </w:trPr>
        <w:tc>
          <w:tcPr>
            <w:tcW w:w="1199" w:type="pct"/>
            <w:hideMark/>
          </w:tcPr>
          <w:p w:rsidR="00657D4D" w:rsidRPr="001567C8" w:rsidRDefault="00657D4D" w:rsidP="00442721">
            <w:pPr>
              <w:tabs>
                <w:tab w:val="right" w:pos="1202"/>
              </w:tabs>
              <w:spacing w:line="280" w:lineRule="exact"/>
              <w:outlineLvl w:val="0"/>
              <w:rPr>
                <w:rFonts w:ascii="Calibri" w:hAnsi="Calibri" w:cs="Arial"/>
                <w:sz w:val="16"/>
                <w:szCs w:val="16"/>
                <w:lang w:val="hr-HR"/>
              </w:rPr>
            </w:pPr>
            <w:r w:rsidRPr="001567C8">
              <w:rPr>
                <w:rFonts w:ascii="Calibri" w:hAnsi="Calibri" w:cs="Arial"/>
                <w:spacing w:val="-2"/>
                <w:sz w:val="16"/>
                <w:szCs w:val="16"/>
                <w:lang w:val="hr-HR"/>
              </w:rPr>
              <w:t>Obveze za izdane dugoročne vrijednosne papire</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1.117.790</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43.909</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1.161.699</w:t>
            </w:r>
          </w:p>
        </w:tc>
        <w:tc>
          <w:tcPr>
            <w:tcW w:w="475" w:type="pct"/>
            <w:tcBorders>
              <w:top w:val="nil"/>
              <w:left w:val="nil"/>
              <w:bottom w:val="nil"/>
              <w:right w:val="nil"/>
            </w:tcBorders>
            <w:vAlign w:val="bottom"/>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1.117.790</w:t>
            </w:r>
          </w:p>
        </w:tc>
      </w:tr>
      <w:tr w:rsidR="00657D4D" w:rsidRPr="001567C8" w:rsidTr="00657D4D">
        <w:tblPrEx>
          <w:tblLook w:val="04A0" w:firstRow="1" w:lastRow="0" w:firstColumn="1" w:lastColumn="0" w:noHBand="0" w:noVBand="1"/>
        </w:tblPrEx>
        <w:trPr>
          <w:trHeight w:val="270"/>
        </w:trPr>
        <w:tc>
          <w:tcPr>
            <w:tcW w:w="1199" w:type="pct"/>
            <w:hideMark/>
          </w:tcPr>
          <w:p w:rsidR="00657D4D" w:rsidRPr="001567C8" w:rsidRDefault="00657D4D" w:rsidP="00442721">
            <w:pPr>
              <w:tabs>
                <w:tab w:val="right" w:pos="1202"/>
              </w:tabs>
              <w:spacing w:line="280" w:lineRule="exact"/>
              <w:outlineLvl w:val="0"/>
              <w:rPr>
                <w:rFonts w:ascii="Calibri" w:hAnsi="Calibri" w:cs="Arial"/>
                <w:sz w:val="16"/>
                <w:szCs w:val="16"/>
                <w:lang w:val="hr-HR"/>
              </w:rPr>
            </w:pPr>
            <w:r w:rsidRPr="001567C8">
              <w:rPr>
                <w:rFonts w:ascii="Calibri" w:hAnsi="Calibri" w:cs="Arial"/>
                <w:spacing w:val="-2"/>
                <w:sz w:val="16"/>
                <w:szCs w:val="16"/>
                <w:lang w:val="hr-HR"/>
              </w:rPr>
              <w:t>Ostale obveze</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nil"/>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w:t>
            </w:r>
          </w:p>
        </w:tc>
        <w:tc>
          <w:tcPr>
            <w:tcW w:w="475" w:type="pct"/>
            <w:tcBorders>
              <w:top w:val="nil"/>
              <w:left w:val="nil"/>
              <w:bottom w:val="single" w:sz="4" w:space="0" w:color="auto"/>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592.651</w:t>
            </w:r>
          </w:p>
        </w:tc>
        <w:tc>
          <w:tcPr>
            <w:tcW w:w="475" w:type="pct"/>
            <w:tcBorders>
              <w:top w:val="nil"/>
              <w:left w:val="nil"/>
              <w:bottom w:val="single" w:sz="4" w:space="0" w:color="auto"/>
              <w:right w:val="nil"/>
            </w:tcBorders>
            <w:shd w:val="clear" w:color="auto" w:fill="auto"/>
            <w:vAlign w:val="bottom"/>
          </w:tcPr>
          <w:p w:rsidR="00657D4D" w:rsidRPr="001567C8" w:rsidRDefault="00657D4D" w:rsidP="00442721">
            <w:pPr>
              <w:tabs>
                <w:tab w:val="left" w:pos="-720"/>
              </w:tabs>
              <w:suppressAutoHyphens/>
              <w:spacing w:line="280" w:lineRule="exact"/>
              <w:ind w:right="-5"/>
              <w:jc w:val="right"/>
              <w:rPr>
                <w:rFonts w:ascii="Calibri" w:eastAsia="Calibri" w:hAnsi="Calibri" w:cs="Arial"/>
                <w:sz w:val="16"/>
                <w:szCs w:val="16"/>
                <w:lang w:val="hr-HR"/>
              </w:rPr>
            </w:pPr>
            <w:r w:rsidRPr="001567C8">
              <w:rPr>
                <w:rFonts w:ascii="Calibri" w:eastAsia="Calibri" w:hAnsi="Calibri" w:cs="Arial"/>
                <w:sz w:val="16"/>
                <w:szCs w:val="16"/>
                <w:lang w:val="hr-HR"/>
              </w:rPr>
              <w:t>592.651</w:t>
            </w:r>
          </w:p>
        </w:tc>
        <w:tc>
          <w:tcPr>
            <w:tcW w:w="475" w:type="pct"/>
            <w:tcBorders>
              <w:top w:val="nil"/>
              <w:left w:val="nil"/>
              <w:bottom w:val="single" w:sz="4" w:space="0" w:color="auto"/>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sz w:val="16"/>
                <w:szCs w:val="16"/>
                <w:lang w:val="hr-HR"/>
              </w:rPr>
            </w:pPr>
            <w:r w:rsidRPr="001567C8">
              <w:rPr>
                <w:rFonts w:ascii="Calibri" w:eastAsia="Calibri" w:hAnsi="Calibri" w:cs="Arial"/>
                <w:sz w:val="16"/>
                <w:szCs w:val="16"/>
                <w:lang w:val="hr-HR"/>
              </w:rPr>
              <w:t>-</w:t>
            </w:r>
          </w:p>
        </w:tc>
      </w:tr>
      <w:tr w:rsidR="00657D4D" w:rsidRPr="001567C8" w:rsidTr="00657D4D">
        <w:tblPrEx>
          <w:tblLook w:val="04A0" w:firstRow="1" w:lastRow="0" w:firstColumn="1" w:lastColumn="0" w:noHBand="0" w:noVBand="1"/>
        </w:tblPrEx>
        <w:trPr>
          <w:trHeight w:val="251"/>
        </w:trPr>
        <w:tc>
          <w:tcPr>
            <w:tcW w:w="1199" w:type="pct"/>
            <w:hideMark/>
          </w:tcPr>
          <w:p w:rsidR="00657D4D" w:rsidRPr="001567C8" w:rsidRDefault="00657D4D" w:rsidP="00442721">
            <w:pPr>
              <w:tabs>
                <w:tab w:val="right" w:pos="1202"/>
              </w:tabs>
              <w:spacing w:line="280" w:lineRule="exact"/>
              <w:outlineLvl w:val="0"/>
              <w:rPr>
                <w:rFonts w:ascii="Calibri" w:hAnsi="Calibri" w:cs="Arial"/>
                <w:b/>
                <w:bCs/>
                <w:sz w:val="16"/>
                <w:szCs w:val="16"/>
                <w:lang w:val="hr-HR"/>
              </w:rPr>
            </w:pPr>
            <w:r w:rsidRPr="001567C8">
              <w:rPr>
                <w:rFonts w:ascii="Calibri" w:hAnsi="Calibri" w:cs="Arial"/>
                <w:b/>
                <w:bCs/>
                <w:sz w:val="16"/>
                <w:szCs w:val="16"/>
                <w:lang w:val="hr-HR"/>
              </w:rPr>
              <w:t>Ukupne obveze</w:t>
            </w:r>
          </w:p>
        </w:tc>
        <w:tc>
          <w:tcPr>
            <w:tcW w:w="475" w:type="pct"/>
            <w:tcBorders>
              <w:top w:val="single" w:sz="8" w:space="0" w:color="auto"/>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318.583</w:t>
            </w:r>
          </w:p>
        </w:tc>
        <w:tc>
          <w:tcPr>
            <w:tcW w:w="475" w:type="pct"/>
            <w:tcBorders>
              <w:top w:val="single" w:sz="8" w:space="0" w:color="auto"/>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243.414</w:t>
            </w:r>
          </w:p>
        </w:tc>
        <w:tc>
          <w:tcPr>
            <w:tcW w:w="475" w:type="pct"/>
            <w:tcBorders>
              <w:top w:val="single" w:sz="8" w:space="0" w:color="auto"/>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1.325.056</w:t>
            </w:r>
          </w:p>
        </w:tc>
        <w:tc>
          <w:tcPr>
            <w:tcW w:w="475" w:type="pct"/>
            <w:tcBorders>
              <w:top w:val="single" w:sz="8" w:space="0" w:color="auto"/>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5.140.294</w:t>
            </w:r>
          </w:p>
        </w:tc>
        <w:tc>
          <w:tcPr>
            <w:tcW w:w="475" w:type="pct"/>
            <w:tcBorders>
              <w:top w:val="single" w:sz="8" w:space="0" w:color="auto"/>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9.902.974</w:t>
            </w:r>
          </w:p>
        </w:tc>
        <w:tc>
          <w:tcPr>
            <w:tcW w:w="475" w:type="pct"/>
            <w:tcBorders>
              <w:top w:val="single" w:sz="8" w:space="0" w:color="auto"/>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856.651</w:t>
            </w:r>
          </w:p>
        </w:tc>
        <w:tc>
          <w:tcPr>
            <w:tcW w:w="475" w:type="pct"/>
            <w:tcBorders>
              <w:top w:val="single" w:sz="8" w:space="0" w:color="auto"/>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17.786.972</w:t>
            </w:r>
          </w:p>
        </w:tc>
        <w:tc>
          <w:tcPr>
            <w:tcW w:w="475" w:type="pct"/>
            <w:tcBorders>
              <w:top w:val="single" w:sz="8" w:space="0" w:color="auto"/>
              <w:left w:val="nil"/>
              <w:bottom w:val="single" w:sz="12" w:space="0" w:color="auto"/>
              <w:right w:val="nil"/>
            </w:tcBorders>
          </w:tcPr>
          <w:p w:rsidR="00657D4D" w:rsidRPr="001567C8" w:rsidRDefault="00657D4D" w:rsidP="00442721">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16.440.995</w:t>
            </w:r>
          </w:p>
        </w:tc>
      </w:tr>
      <w:tr w:rsidR="00657D4D" w:rsidRPr="001567C8" w:rsidTr="00657D4D">
        <w:trPr>
          <w:trHeight w:val="336"/>
        </w:trPr>
        <w:tc>
          <w:tcPr>
            <w:tcW w:w="1199" w:type="pct"/>
            <w:vAlign w:val="bottom"/>
            <w:hideMark/>
          </w:tcPr>
          <w:p w:rsidR="00657D4D" w:rsidRPr="001567C8" w:rsidRDefault="00657D4D" w:rsidP="00442721">
            <w:pPr>
              <w:tabs>
                <w:tab w:val="right" w:pos="1202"/>
              </w:tabs>
              <w:spacing w:line="280" w:lineRule="exact"/>
              <w:outlineLvl w:val="0"/>
              <w:rPr>
                <w:rFonts w:ascii="Calibri" w:hAnsi="Calibri" w:cs="Arial"/>
                <w:b/>
                <w:bCs/>
                <w:spacing w:val="-2"/>
                <w:sz w:val="16"/>
                <w:szCs w:val="16"/>
                <w:lang w:val="hr-HR"/>
              </w:rPr>
            </w:pPr>
            <w:r w:rsidRPr="001567C8">
              <w:rPr>
                <w:rFonts w:ascii="Calibri" w:hAnsi="Calibri" w:cs="Arial"/>
                <w:b/>
                <w:bCs/>
                <w:spacing w:val="-2"/>
                <w:sz w:val="16"/>
                <w:szCs w:val="16"/>
                <w:lang w:val="hr-HR"/>
              </w:rPr>
              <w:t xml:space="preserve">Kamatni jaz </w:t>
            </w:r>
          </w:p>
        </w:tc>
        <w:tc>
          <w:tcPr>
            <w:tcW w:w="475" w:type="pct"/>
            <w:tcBorders>
              <w:top w:val="nil"/>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4.719.628</w:t>
            </w:r>
          </w:p>
        </w:tc>
        <w:tc>
          <w:tcPr>
            <w:tcW w:w="475" w:type="pct"/>
            <w:tcBorders>
              <w:top w:val="nil"/>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1.235.866</w:t>
            </w:r>
          </w:p>
        </w:tc>
        <w:tc>
          <w:tcPr>
            <w:tcW w:w="475" w:type="pct"/>
            <w:tcBorders>
              <w:top w:val="nil"/>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947.740</w:t>
            </w:r>
          </w:p>
        </w:tc>
        <w:tc>
          <w:tcPr>
            <w:tcW w:w="475" w:type="pct"/>
            <w:tcBorders>
              <w:top w:val="nil"/>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(532.500)</w:t>
            </w:r>
          </w:p>
        </w:tc>
        <w:tc>
          <w:tcPr>
            <w:tcW w:w="475" w:type="pct"/>
            <w:tcBorders>
              <w:top w:val="nil"/>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2.283.009</w:t>
            </w:r>
          </w:p>
        </w:tc>
        <w:tc>
          <w:tcPr>
            <w:tcW w:w="475" w:type="pct"/>
            <w:tcBorders>
              <w:top w:val="nil"/>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1.508.753</w:t>
            </w:r>
          </w:p>
        </w:tc>
        <w:tc>
          <w:tcPr>
            <w:tcW w:w="475" w:type="pct"/>
            <w:tcBorders>
              <w:top w:val="nil"/>
              <w:left w:val="nil"/>
              <w:bottom w:val="single" w:sz="12" w:space="0" w:color="auto"/>
              <w:right w:val="nil"/>
            </w:tcBorders>
            <w:shd w:val="clear" w:color="auto" w:fill="auto"/>
            <w:vAlign w:val="bottom"/>
          </w:tcPr>
          <w:p w:rsidR="00657D4D" w:rsidRPr="001567C8" w:rsidRDefault="00657D4D" w:rsidP="00442721">
            <w:pPr>
              <w:spacing w:line="240" w:lineRule="exact"/>
              <w:jc w:val="right"/>
              <w:rPr>
                <w:rFonts w:ascii="Calibri" w:hAnsi="Calibri" w:cs="Arial"/>
                <w:b/>
                <w:bCs/>
                <w:color w:val="000000"/>
                <w:sz w:val="16"/>
                <w:szCs w:val="16"/>
                <w:lang w:val="hr-HR"/>
              </w:rPr>
            </w:pPr>
            <w:r w:rsidRPr="001567C8">
              <w:rPr>
                <w:rFonts w:ascii="Calibri" w:hAnsi="Calibri" w:cs="Arial"/>
                <w:b/>
                <w:bCs/>
                <w:color w:val="000000"/>
                <w:sz w:val="16"/>
                <w:szCs w:val="16"/>
                <w:lang w:val="hr-HR"/>
              </w:rPr>
              <w:t>10.162.496</w:t>
            </w:r>
          </w:p>
        </w:tc>
        <w:tc>
          <w:tcPr>
            <w:tcW w:w="475" w:type="pct"/>
            <w:tcBorders>
              <w:top w:val="nil"/>
              <w:left w:val="nil"/>
              <w:bottom w:val="single" w:sz="12" w:space="0" w:color="auto"/>
              <w:right w:val="nil"/>
            </w:tcBorders>
            <w:vAlign w:val="bottom"/>
          </w:tcPr>
          <w:p w:rsidR="00657D4D" w:rsidRPr="001567C8" w:rsidRDefault="00657D4D" w:rsidP="00442721">
            <w:pPr>
              <w:tabs>
                <w:tab w:val="left" w:pos="-720"/>
              </w:tabs>
              <w:suppressAutoHyphens/>
              <w:spacing w:line="280" w:lineRule="exact"/>
              <w:jc w:val="right"/>
              <w:rPr>
                <w:rFonts w:ascii="Calibri" w:eastAsia="Calibri" w:hAnsi="Calibri" w:cs="Arial"/>
                <w:b/>
                <w:sz w:val="16"/>
                <w:szCs w:val="16"/>
                <w:lang w:val="hr-HR"/>
              </w:rPr>
            </w:pPr>
            <w:r w:rsidRPr="001567C8">
              <w:rPr>
                <w:rFonts w:ascii="Calibri" w:eastAsia="Calibri" w:hAnsi="Calibri" w:cs="Arial"/>
                <w:b/>
                <w:sz w:val="16"/>
                <w:szCs w:val="16"/>
                <w:lang w:val="hr-HR"/>
              </w:rPr>
              <w:t>7.862.439</w:t>
            </w:r>
          </w:p>
        </w:tc>
      </w:tr>
    </w:tbl>
    <w:p w:rsidR="00A31ED5" w:rsidRPr="001567C8" w:rsidRDefault="00A31ED5" w:rsidP="00D37D6B">
      <w:pPr>
        <w:tabs>
          <w:tab w:val="left" w:pos="-720"/>
        </w:tabs>
        <w:suppressAutoHyphens/>
        <w:spacing w:line="360" w:lineRule="auto"/>
        <w:ind w:right="-5"/>
        <w:jc w:val="both"/>
        <w:rPr>
          <w:rFonts w:asciiTheme="minorHAnsi" w:hAnsiTheme="minorHAnsi" w:cs="Arial"/>
          <w:sz w:val="22"/>
          <w:szCs w:val="22"/>
          <w:lang w:val="hr-HR"/>
        </w:rPr>
      </w:pPr>
    </w:p>
    <w:p w:rsidR="00A31ED5" w:rsidRPr="001567C8" w:rsidRDefault="00A31ED5" w:rsidP="00D37D6B">
      <w:pPr>
        <w:tabs>
          <w:tab w:val="left" w:pos="-720"/>
        </w:tabs>
        <w:suppressAutoHyphens/>
        <w:spacing w:line="360" w:lineRule="auto"/>
        <w:ind w:right="-5"/>
        <w:jc w:val="both"/>
        <w:rPr>
          <w:rFonts w:asciiTheme="minorHAnsi" w:hAnsiTheme="minorHAnsi" w:cs="Arial"/>
          <w:sz w:val="22"/>
          <w:szCs w:val="22"/>
          <w:lang w:val="hr-HR"/>
        </w:rPr>
      </w:pPr>
    </w:p>
    <w:p w:rsidR="001322F7" w:rsidRPr="001567C8" w:rsidRDefault="001322F7" w:rsidP="00D37D6B">
      <w:pPr>
        <w:tabs>
          <w:tab w:val="left" w:pos="-720"/>
        </w:tabs>
        <w:suppressAutoHyphens/>
        <w:spacing w:line="360" w:lineRule="auto"/>
        <w:ind w:right="-5"/>
        <w:jc w:val="both"/>
        <w:rPr>
          <w:rFonts w:asciiTheme="minorHAnsi" w:hAnsiTheme="minorHAnsi" w:cs="Arial"/>
          <w:sz w:val="22"/>
          <w:szCs w:val="22"/>
          <w:lang w:val="hr-HR"/>
        </w:rPr>
        <w:sectPr w:rsidR="001322F7" w:rsidRPr="001567C8" w:rsidSect="0077198A">
          <w:pgSz w:w="11907" w:h="16840" w:code="9"/>
          <w:pgMar w:top="1418" w:right="1134" w:bottom="1134" w:left="1418" w:header="851" w:footer="851" w:gutter="0"/>
          <w:cols w:space="720"/>
          <w:noEndnote/>
        </w:sectPr>
      </w:pPr>
    </w:p>
    <w:p w:rsidR="00D13FB3" w:rsidRPr="001567C8" w:rsidRDefault="00D13FB3" w:rsidP="00D13FB3">
      <w:pPr>
        <w:pStyle w:val="T1"/>
        <w:spacing w:before="0" w:after="0" w:line="240" w:lineRule="auto"/>
        <w:ind w:left="709" w:hanging="709"/>
        <w:rPr>
          <w:rFonts w:asciiTheme="minorHAnsi" w:hAnsiTheme="minorHAnsi" w:cs="Arial"/>
          <w:sz w:val="22"/>
          <w:szCs w:val="22"/>
          <w:lang w:val="hr-HR"/>
        </w:rPr>
      </w:pPr>
    </w:p>
    <w:p w:rsidR="00DB16A7" w:rsidRPr="001567C8" w:rsidRDefault="00DF5433" w:rsidP="003C6BA3">
      <w:pPr>
        <w:pStyle w:val="T1"/>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36</w:t>
      </w:r>
      <w:r w:rsidR="00DB16A7" w:rsidRPr="001567C8">
        <w:rPr>
          <w:rFonts w:asciiTheme="minorHAnsi" w:hAnsiTheme="minorHAnsi" w:cs="Arial"/>
          <w:sz w:val="22"/>
          <w:szCs w:val="22"/>
          <w:lang w:val="hr-HR"/>
        </w:rPr>
        <w:t>. Upravljanje rizicima (nastavak)</w:t>
      </w:r>
    </w:p>
    <w:p w:rsidR="00142CFB" w:rsidRPr="001567C8" w:rsidRDefault="00142CFB" w:rsidP="00142CFB">
      <w:pPr>
        <w:pStyle w:val="T1"/>
        <w:spacing w:before="0" w:after="0" w:line="240" w:lineRule="auto"/>
        <w:rPr>
          <w:rFonts w:asciiTheme="minorHAnsi" w:hAnsiTheme="minorHAnsi" w:cs="Arial"/>
          <w:sz w:val="22"/>
          <w:szCs w:val="22"/>
          <w:lang w:val="hr-HR"/>
        </w:rPr>
      </w:pPr>
    </w:p>
    <w:p w:rsidR="00DB16A7" w:rsidRPr="001567C8" w:rsidRDefault="00DF5433" w:rsidP="00142CFB">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DB16A7"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DB16A7" w:rsidRPr="001567C8">
        <w:rPr>
          <w:rFonts w:asciiTheme="minorHAnsi" w:hAnsiTheme="minorHAnsi" w:cs="Arial"/>
          <w:sz w:val="22"/>
          <w:szCs w:val="22"/>
          <w:lang w:val="hr-HR"/>
        </w:rPr>
        <w:t>.     Tržišni rizik (nastavak)</w:t>
      </w:r>
    </w:p>
    <w:p w:rsidR="00142CFB" w:rsidRPr="001567C8" w:rsidRDefault="00142CFB" w:rsidP="00142CFB">
      <w:pPr>
        <w:pStyle w:val="T1"/>
        <w:spacing w:before="0" w:after="0" w:line="240" w:lineRule="auto"/>
        <w:ind w:left="709" w:hanging="709"/>
        <w:rPr>
          <w:rFonts w:asciiTheme="minorHAnsi" w:hAnsiTheme="minorHAnsi" w:cs="Arial"/>
          <w:sz w:val="22"/>
          <w:szCs w:val="22"/>
          <w:lang w:val="hr-HR"/>
        </w:rPr>
      </w:pPr>
    </w:p>
    <w:p w:rsidR="00DB16A7" w:rsidRPr="001567C8" w:rsidRDefault="00DF5433" w:rsidP="00142CFB">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DB16A7"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DB16A7" w:rsidRPr="001567C8">
        <w:rPr>
          <w:rFonts w:asciiTheme="minorHAnsi" w:hAnsiTheme="minorHAnsi" w:cs="Arial"/>
          <w:sz w:val="22"/>
          <w:szCs w:val="22"/>
          <w:lang w:val="hr-HR"/>
        </w:rPr>
        <w:t xml:space="preserve">.1.  Kamatni rizik </w:t>
      </w:r>
      <w:r w:rsidR="00BC68BE" w:rsidRPr="001567C8">
        <w:rPr>
          <w:rFonts w:asciiTheme="minorHAnsi" w:hAnsiTheme="minorHAnsi" w:cs="Arial"/>
          <w:sz w:val="22"/>
          <w:szCs w:val="22"/>
          <w:lang w:val="hr-HR"/>
        </w:rPr>
        <w:t xml:space="preserve">u knjizi banke </w:t>
      </w:r>
      <w:r w:rsidR="00DB16A7" w:rsidRPr="001567C8">
        <w:rPr>
          <w:rFonts w:asciiTheme="minorHAnsi" w:hAnsiTheme="minorHAnsi" w:cs="Arial"/>
          <w:sz w:val="22"/>
          <w:szCs w:val="22"/>
          <w:lang w:val="hr-HR"/>
        </w:rPr>
        <w:t>(nastavak)</w:t>
      </w:r>
    </w:p>
    <w:p w:rsidR="00142CFB" w:rsidRPr="001567C8" w:rsidRDefault="00142CFB" w:rsidP="00142CFB">
      <w:pPr>
        <w:tabs>
          <w:tab w:val="left" w:pos="-720"/>
        </w:tabs>
        <w:suppressAutoHyphens/>
        <w:ind w:right="-6"/>
        <w:jc w:val="both"/>
        <w:rPr>
          <w:rFonts w:asciiTheme="minorHAnsi" w:hAnsiTheme="minorHAnsi" w:cs="Arial"/>
          <w:sz w:val="22"/>
          <w:szCs w:val="22"/>
          <w:lang w:val="hr-HR"/>
        </w:rPr>
      </w:pPr>
    </w:p>
    <w:p w:rsidR="00DB16A7" w:rsidRPr="001567C8" w:rsidRDefault="00DB16A7" w:rsidP="00142CFB">
      <w:pPr>
        <w:tabs>
          <w:tab w:val="left" w:pos="-720"/>
        </w:tabs>
        <w:suppressAutoHyphens/>
        <w:ind w:right="-6"/>
        <w:jc w:val="both"/>
        <w:rPr>
          <w:rFonts w:asciiTheme="minorHAnsi" w:hAnsiTheme="minorHAnsi" w:cs="Arial"/>
          <w:sz w:val="22"/>
          <w:szCs w:val="22"/>
          <w:lang w:val="hr-HR"/>
        </w:rPr>
      </w:pPr>
      <w:r w:rsidRPr="001567C8">
        <w:rPr>
          <w:rFonts w:asciiTheme="minorHAnsi" w:hAnsiTheme="minorHAnsi" w:cs="Arial"/>
          <w:sz w:val="22"/>
          <w:szCs w:val="22"/>
          <w:lang w:val="hr-HR"/>
        </w:rPr>
        <w:t>Iznos ukupne imovine i ukupnih obveza  prema mogućnosti promjene kamatnih stopa (fiksna i varijabilna):</w:t>
      </w:r>
    </w:p>
    <w:p w:rsidR="00DB16A7" w:rsidRPr="001567C8" w:rsidRDefault="00DB16A7" w:rsidP="001979EB">
      <w:pPr>
        <w:tabs>
          <w:tab w:val="left" w:pos="-720"/>
        </w:tabs>
        <w:suppressAutoHyphens/>
        <w:spacing w:line="300" w:lineRule="exact"/>
        <w:ind w:right="-6"/>
        <w:jc w:val="both"/>
        <w:rPr>
          <w:rFonts w:asciiTheme="minorHAnsi" w:hAnsiTheme="minorHAnsi" w:cs="Arial"/>
          <w:sz w:val="22"/>
          <w:szCs w:val="22"/>
          <w:lang w:val="hr-HR"/>
        </w:rPr>
      </w:pPr>
    </w:p>
    <w:tbl>
      <w:tblPr>
        <w:tblW w:w="5000" w:type="pct"/>
        <w:tblInd w:w="-142" w:type="dxa"/>
        <w:tblLayout w:type="fixed"/>
        <w:tblCellMar>
          <w:left w:w="120" w:type="dxa"/>
          <w:right w:w="120" w:type="dxa"/>
        </w:tblCellMar>
        <w:tblLook w:val="0000" w:firstRow="0" w:lastRow="0" w:firstColumn="0" w:lastColumn="0" w:noHBand="0" w:noVBand="0"/>
      </w:tblPr>
      <w:tblGrid>
        <w:gridCol w:w="3451"/>
        <w:gridCol w:w="1476"/>
        <w:gridCol w:w="1476"/>
        <w:gridCol w:w="1476"/>
        <w:gridCol w:w="1476"/>
      </w:tblGrid>
      <w:tr w:rsidR="00DB16A7" w:rsidRPr="001567C8" w:rsidTr="00B36312">
        <w:trPr>
          <w:trHeight w:val="239"/>
        </w:trPr>
        <w:tc>
          <w:tcPr>
            <w:tcW w:w="1844" w:type="pct"/>
            <w:shd w:val="clear" w:color="auto" w:fill="auto"/>
            <w:vAlign w:val="bottom"/>
          </w:tcPr>
          <w:p w:rsidR="00DB16A7" w:rsidRPr="001567C8" w:rsidRDefault="00DB16A7" w:rsidP="000E3FCE">
            <w:pPr>
              <w:tabs>
                <w:tab w:val="left" w:pos="-720"/>
              </w:tabs>
              <w:suppressAutoHyphens/>
              <w:spacing w:line="360" w:lineRule="auto"/>
              <w:ind w:right="-5"/>
              <w:jc w:val="both"/>
              <w:rPr>
                <w:rFonts w:asciiTheme="minorHAnsi" w:hAnsiTheme="minorHAnsi" w:cs="Arial"/>
                <w:b/>
                <w:sz w:val="20"/>
                <w:szCs w:val="20"/>
                <w:lang w:val="hr-HR"/>
              </w:rPr>
            </w:pPr>
          </w:p>
        </w:tc>
        <w:tc>
          <w:tcPr>
            <w:tcW w:w="1578" w:type="pct"/>
            <w:gridSpan w:val="2"/>
            <w:shd w:val="clear" w:color="auto" w:fill="auto"/>
            <w:vAlign w:val="bottom"/>
          </w:tcPr>
          <w:p w:rsidR="00DB16A7" w:rsidRPr="001567C8" w:rsidRDefault="00DB16A7" w:rsidP="001979EB">
            <w:pPr>
              <w:pStyle w:val="TH"/>
              <w:jc w:val="right"/>
              <w:rPr>
                <w:rFonts w:asciiTheme="minorHAnsi" w:hAnsiTheme="minorHAnsi" w:cs="Arial"/>
                <w:sz w:val="20"/>
                <w:lang w:val="hr-HR"/>
              </w:rPr>
            </w:pPr>
            <w:r w:rsidRPr="001567C8">
              <w:rPr>
                <w:rFonts w:asciiTheme="minorHAnsi" w:hAnsiTheme="minorHAnsi" w:cs="Arial"/>
                <w:sz w:val="20"/>
                <w:lang w:val="hr-HR"/>
              </w:rPr>
              <w:t>Grupa</w:t>
            </w:r>
          </w:p>
        </w:tc>
        <w:tc>
          <w:tcPr>
            <w:tcW w:w="1578" w:type="pct"/>
            <w:gridSpan w:val="2"/>
            <w:shd w:val="clear" w:color="auto" w:fill="auto"/>
            <w:vAlign w:val="bottom"/>
          </w:tcPr>
          <w:p w:rsidR="00DB16A7" w:rsidRPr="001567C8" w:rsidRDefault="00DB16A7" w:rsidP="001979EB">
            <w:pPr>
              <w:pStyle w:val="TH"/>
              <w:jc w:val="right"/>
              <w:rPr>
                <w:rFonts w:asciiTheme="minorHAnsi" w:hAnsiTheme="minorHAnsi" w:cs="Arial"/>
                <w:sz w:val="20"/>
                <w:lang w:val="hr-HR"/>
              </w:rPr>
            </w:pPr>
            <w:r w:rsidRPr="001567C8">
              <w:rPr>
                <w:rFonts w:asciiTheme="minorHAnsi" w:hAnsiTheme="minorHAnsi" w:cs="Arial"/>
                <w:sz w:val="20"/>
                <w:lang w:val="hr-HR"/>
              </w:rPr>
              <w:t>Banka</w:t>
            </w:r>
          </w:p>
        </w:tc>
      </w:tr>
      <w:tr w:rsidR="00867CAC" w:rsidRPr="001567C8" w:rsidTr="00B36312">
        <w:trPr>
          <w:trHeight w:val="211"/>
        </w:trPr>
        <w:tc>
          <w:tcPr>
            <w:tcW w:w="1844" w:type="pct"/>
            <w:shd w:val="clear" w:color="auto" w:fill="auto"/>
            <w:vAlign w:val="bottom"/>
          </w:tcPr>
          <w:p w:rsidR="00867CAC" w:rsidRPr="001567C8" w:rsidRDefault="00867CAC" w:rsidP="00867CAC">
            <w:pPr>
              <w:tabs>
                <w:tab w:val="left" w:pos="-720"/>
              </w:tabs>
              <w:suppressAutoHyphens/>
              <w:spacing w:line="360" w:lineRule="auto"/>
              <w:ind w:right="-5"/>
              <w:jc w:val="both"/>
              <w:rPr>
                <w:rFonts w:asciiTheme="minorHAnsi" w:hAnsiTheme="minorHAnsi" w:cs="Arial"/>
                <w:b/>
                <w:sz w:val="20"/>
                <w:szCs w:val="20"/>
                <w:lang w:val="hr-HR"/>
              </w:rPr>
            </w:pPr>
          </w:p>
        </w:tc>
        <w:tc>
          <w:tcPr>
            <w:tcW w:w="789" w:type="pct"/>
            <w:shd w:val="clear" w:color="auto" w:fill="auto"/>
            <w:vAlign w:val="bottom"/>
          </w:tcPr>
          <w:p w:rsidR="00867CAC" w:rsidRPr="001567C8" w:rsidRDefault="00AD2EF7" w:rsidP="00867CAC">
            <w:pPr>
              <w:pStyle w:val="TH"/>
              <w:jc w:val="right"/>
              <w:rPr>
                <w:rFonts w:asciiTheme="minorHAnsi" w:hAnsiTheme="minorHAnsi" w:cs="Arial"/>
                <w:sz w:val="20"/>
                <w:lang w:val="hr-HR"/>
              </w:rPr>
            </w:pPr>
            <w:r>
              <w:rPr>
                <w:rFonts w:asciiTheme="minorHAnsi" w:hAnsiTheme="minorHAnsi" w:cs="Arial"/>
                <w:sz w:val="20"/>
                <w:lang w:val="hr-HR"/>
              </w:rPr>
              <w:t>31. prosin</w:t>
            </w:r>
            <w:r w:rsidR="0073283D" w:rsidRPr="001567C8">
              <w:rPr>
                <w:rFonts w:asciiTheme="minorHAnsi" w:hAnsiTheme="minorHAnsi" w:cs="Arial"/>
                <w:sz w:val="20"/>
                <w:lang w:val="hr-HR"/>
              </w:rPr>
              <w:t>c</w:t>
            </w:r>
            <w:r>
              <w:rPr>
                <w:rFonts w:asciiTheme="minorHAnsi" w:hAnsiTheme="minorHAnsi" w:cs="Arial"/>
                <w:sz w:val="20"/>
                <w:lang w:val="hr-HR"/>
              </w:rPr>
              <w:t>a</w:t>
            </w:r>
            <w:r w:rsidR="0073283D" w:rsidRPr="001567C8">
              <w:rPr>
                <w:rFonts w:asciiTheme="minorHAnsi" w:hAnsiTheme="minorHAnsi" w:cs="Arial"/>
                <w:sz w:val="20"/>
                <w:lang w:val="hr-HR"/>
              </w:rPr>
              <w:t xml:space="preserve"> </w:t>
            </w:r>
            <w:r w:rsidR="00867CAC" w:rsidRPr="001567C8">
              <w:rPr>
                <w:rFonts w:asciiTheme="minorHAnsi" w:hAnsiTheme="minorHAnsi" w:cs="Arial"/>
                <w:sz w:val="20"/>
                <w:lang w:val="hr-HR"/>
              </w:rPr>
              <w:t>201</w:t>
            </w:r>
            <w:r w:rsidR="00985E9F" w:rsidRPr="001567C8">
              <w:rPr>
                <w:rFonts w:asciiTheme="minorHAnsi" w:hAnsiTheme="minorHAnsi" w:cs="Arial"/>
                <w:sz w:val="20"/>
                <w:lang w:val="hr-HR"/>
              </w:rPr>
              <w:t>8</w:t>
            </w:r>
            <w:r w:rsidR="00867CAC" w:rsidRPr="001567C8">
              <w:rPr>
                <w:rFonts w:asciiTheme="minorHAnsi" w:hAnsiTheme="minorHAnsi" w:cs="Arial"/>
                <w:sz w:val="20"/>
                <w:lang w:val="hr-HR"/>
              </w:rPr>
              <w:t>.</w:t>
            </w:r>
          </w:p>
        </w:tc>
        <w:tc>
          <w:tcPr>
            <w:tcW w:w="789" w:type="pct"/>
            <w:shd w:val="clear" w:color="auto" w:fill="auto"/>
            <w:vAlign w:val="bottom"/>
          </w:tcPr>
          <w:p w:rsidR="00867CAC" w:rsidRPr="001567C8" w:rsidRDefault="00AD2EF7" w:rsidP="00867CAC">
            <w:pPr>
              <w:pStyle w:val="TH"/>
              <w:jc w:val="right"/>
              <w:rPr>
                <w:rFonts w:asciiTheme="minorHAnsi" w:hAnsiTheme="minorHAnsi" w:cs="Arial"/>
                <w:sz w:val="20"/>
                <w:lang w:val="hr-HR"/>
              </w:rPr>
            </w:pPr>
            <w:r>
              <w:rPr>
                <w:rFonts w:asciiTheme="minorHAnsi" w:hAnsiTheme="minorHAnsi" w:cs="Arial"/>
                <w:sz w:val="20"/>
                <w:lang w:val="hr-HR"/>
              </w:rPr>
              <w:t>31.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867CAC" w:rsidRPr="001567C8">
              <w:rPr>
                <w:rFonts w:asciiTheme="minorHAnsi" w:hAnsiTheme="minorHAnsi" w:cs="Arial"/>
                <w:sz w:val="20"/>
                <w:lang w:val="hr-HR"/>
              </w:rPr>
              <w:t>201</w:t>
            </w:r>
            <w:r w:rsidR="00985E9F" w:rsidRPr="001567C8">
              <w:rPr>
                <w:rFonts w:asciiTheme="minorHAnsi" w:hAnsiTheme="minorHAnsi" w:cs="Arial"/>
                <w:sz w:val="20"/>
                <w:lang w:val="hr-HR"/>
              </w:rPr>
              <w:t>7</w:t>
            </w:r>
            <w:r w:rsidR="00867CAC" w:rsidRPr="001567C8">
              <w:rPr>
                <w:rFonts w:asciiTheme="minorHAnsi" w:hAnsiTheme="minorHAnsi" w:cs="Arial"/>
                <w:sz w:val="20"/>
                <w:lang w:val="hr-HR"/>
              </w:rPr>
              <w:t>.</w:t>
            </w:r>
          </w:p>
        </w:tc>
        <w:tc>
          <w:tcPr>
            <w:tcW w:w="789" w:type="pct"/>
            <w:shd w:val="clear" w:color="auto" w:fill="auto"/>
            <w:vAlign w:val="bottom"/>
          </w:tcPr>
          <w:p w:rsidR="00867CAC" w:rsidRPr="001567C8" w:rsidRDefault="00AD2EF7" w:rsidP="00867CAC">
            <w:pPr>
              <w:pStyle w:val="TH"/>
              <w:jc w:val="right"/>
              <w:rPr>
                <w:rFonts w:asciiTheme="minorHAnsi" w:hAnsiTheme="minorHAnsi" w:cs="Arial"/>
                <w:sz w:val="20"/>
                <w:lang w:val="hr-HR"/>
              </w:rPr>
            </w:pPr>
            <w:r>
              <w:rPr>
                <w:rFonts w:asciiTheme="minorHAnsi" w:hAnsiTheme="minorHAnsi" w:cs="Arial"/>
                <w:sz w:val="20"/>
                <w:lang w:val="hr-HR"/>
              </w:rPr>
              <w:t>31.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867CAC" w:rsidRPr="001567C8">
              <w:rPr>
                <w:rFonts w:asciiTheme="minorHAnsi" w:hAnsiTheme="minorHAnsi" w:cs="Arial"/>
                <w:sz w:val="20"/>
                <w:lang w:val="hr-HR"/>
              </w:rPr>
              <w:t>201</w:t>
            </w:r>
            <w:r w:rsidR="00985E9F" w:rsidRPr="001567C8">
              <w:rPr>
                <w:rFonts w:asciiTheme="minorHAnsi" w:hAnsiTheme="minorHAnsi" w:cs="Arial"/>
                <w:sz w:val="20"/>
                <w:lang w:val="hr-HR"/>
              </w:rPr>
              <w:t>8</w:t>
            </w:r>
            <w:r w:rsidR="00867CAC" w:rsidRPr="001567C8">
              <w:rPr>
                <w:rFonts w:asciiTheme="minorHAnsi" w:hAnsiTheme="minorHAnsi" w:cs="Arial"/>
                <w:sz w:val="20"/>
                <w:lang w:val="hr-HR"/>
              </w:rPr>
              <w:t>.</w:t>
            </w:r>
          </w:p>
        </w:tc>
        <w:tc>
          <w:tcPr>
            <w:tcW w:w="789" w:type="pct"/>
            <w:shd w:val="clear" w:color="auto" w:fill="auto"/>
            <w:vAlign w:val="bottom"/>
          </w:tcPr>
          <w:p w:rsidR="00867CAC" w:rsidRPr="001567C8" w:rsidRDefault="00AD2EF7" w:rsidP="00867CAC">
            <w:pPr>
              <w:pStyle w:val="TH"/>
              <w:jc w:val="right"/>
              <w:rPr>
                <w:rFonts w:asciiTheme="minorHAnsi" w:hAnsiTheme="minorHAnsi" w:cs="Arial"/>
                <w:sz w:val="20"/>
                <w:lang w:val="hr-HR"/>
              </w:rPr>
            </w:pPr>
            <w:r>
              <w:rPr>
                <w:rFonts w:asciiTheme="minorHAnsi" w:hAnsiTheme="minorHAnsi" w:cs="Arial"/>
                <w:sz w:val="20"/>
                <w:lang w:val="hr-HR"/>
              </w:rPr>
              <w:t>31.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DE0751" w:rsidRPr="001567C8">
              <w:rPr>
                <w:rFonts w:asciiTheme="minorHAnsi" w:hAnsiTheme="minorHAnsi" w:cs="Arial"/>
                <w:sz w:val="20"/>
                <w:lang w:val="hr-HR"/>
              </w:rPr>
              <w:t>2017</w:t>
            </w:r>
            <w:r w:rsidR="00867CAC" w:rsidRPr="001567C8">
              <w:rPr>
                <w:rFonts w:asciiTheme="minorHAnsi" w:hAnsiTheme="minorHAnsi" w:cs="Arial"/>
                <w:sz w:val="20"/>
                <w:lang w:val="hr-HR"/>
              </w:rPr>
              <w:t>.</w:t>
            </w:r>
          </w:p>
        </w:tc>
      </w:tr>
      <w:tr w:rsidR="00867CAC" w:rsidRPr="001567C8" w:rsidTr="00B36312">
        <w:trPr>
          <w:trHeight w:val="249"/>
        </w:trPr>
        <w:tc>
          <w:tcPr>
            <w:tcW w:w="1844" w:type="pct"/>
            <w:shd w:val="clear" w:color="auto" w:fill="auto"/>
            <w:vAlign w:val="bottom"/>
          </w:tcPr>
          <w:p w:rsidR="00867CAC" w:rsidRPr="001567C8" w:rsidRDefault="00867CAC" w:rsidP="00867CAC">
            <w:pPr>
              <w:tabs>
                <w:tab w:val="left" w:pos="-720"/>
              </w:tabs>
              <w:suppressAutoHyphens/>
              <w:spacing w:line="360" w:lineRule="auto"/>
              <w:ind w:right="-5"/>
              <w:jc w:val="both"/>
              <w:rPr>
                <w:rFonts w:asciiTheme="minorHAnsi" w:hAnsiTheme="minorHAnsi" w:cs="Arial"/>
                <w:sz w:val="20"/>
                <w:szCs w:val="20"/>
                <w:lang w:val="hr-HR"/>
              </w:rPr>
            </w:pPr>
          </w:p>
        </w:tc>
        <w:tc>
          <w:tcPr>
            <w:tcW w:w="789" w:type="pct"/>
            <w:shd w:val="clear" w:color="auto" w:fill="auto"/>
            <w:vAlign w:val="bottom"/>
          </w:tcPr>
          <w:p w:rsidR="00867CAC" w:rsidRPr="001567C8" w:rsidRDefault="00867CAC" w:rsidP="00867CAC">
            <w:pPr>
              <w:pStyle w:val="TH"/>
              <w:jc w:val="right"/>
              <w:rPr>
                <w:rFonts w:asciiTheme="minorHAnsi" w:hAnsiTheme="minorHAnsi" w:cs="Arial"/>
                <w:sz w:val="20"/>
                <w:lang w:val="hr-HR"/>
              </w:rPr>
            </w:pPr>
            <w:r w:rsidRPr="001567C8">
              <w:rPr>
                <w:rFonts w:asciiTheme="minorHAnsi" w:hAnsiTheme="minorHAnsi" w:cs="Arial"/>
                <w:sz w:val="20"/>
                <w:lang w:val="hr-HR"/>
              </w:rPr>
              <w:t>000 kuna</w:t>
            </w:r>
          </w:p>
        </w:tc>
        <w:tc>
          <w:tcPr>
            <w:tcW w:w="789" w:type="pct"/>
            <w:shd w:val="clear" w:color="auto" w:fill="auto"/>
            <w:vAlign w:val="bottom"/>
          </w:tcPr>
          <w:p w:rsidR="00867CAC" w:rsidRPr="001567C8" w:rsidRDefault="00867CAC" w:rsidP="00867CAC">
            <w:pPr>
              <w:pStyle w:val="TH"/>
              <w:jc w:val="right"/>
              <w:rPr>
                <w:rFonts w:asciiTheme="minorHAnsi" w:hAnsiTheme="minorHAnsi" w:cs="Arial"/>
                <w:sz w:val="20"/>
                <w:lang w:val="hr-HR"/>
              </w:rPr>
            </w:pPr>
            <w:r w:rsidRPr="001567C8">
              <w:rPr>
                <w:rFonts w:asciiTheme="minorHAnsi" w:hAnsiTheme="minorHAnsi" w:cs="Arial"/>
                <w:sz w:val="20"/>
                <w:lang w:val="hr-HR"/>
              </w:rPr>
              <w:t>000 kuna</w:t>
            </w:r>
          </w:p>
        </w:tc>
        <w:tc>
          <w:tcPr>
            <w:tcW w:w="789" w:type="pct"/>
            <w:shd w:val="clear" w:color="auto" w:fill="auto"/>
            <w:vAlign w:val="bottom"/>
          </w:tcPr>
          <w:p w:rsidR="00867CAC" w:rsidRPr="001567C8" w:rsidRDefault="00867CAC" w:rsidP="00867CAC">
            <w:pPr>
              <w:pStyle w:val="TH"/>
              <w:jc w:val="right"/>
              <w:rPr>
                <w:rFonts w:asciiTheme="minorHAnsi" w:hAnsiTheme="minorHAnsi" w:cs="Arial"/>
                <w:sz w:val="20"/>
                <w:lang w:val="hr-HR"/>
              </w:rPr>
            </w:pPr>
            <w:r w:rsidRPr="001567C8">
              <w:rPr>
                <w:rFonts w:asciiTheme="minorHAnsi" w:hAnsiTheme="minorHAnsi" w:cs="Arial"/>
                <w:sz w:val="20"/>
                <w:lang w:val="hr-HR"/>
              </w:rPr>
              <w:t>000 kuna</w:t>
            </w:r>
          </w:p>
        </w:tc>
        <w:tc>
          <w:tcPr>
            <w:tcW w:w="789" w:type="pct"/>
            <w:shd w:val="clear" w:color="auto" w:fill="auto"/>
            <w:vAlign w:val="bottom"/>
          </w:tcPr>
          <w:p w:rsidR="00867CAC" w:rsidRPr="001567C8" w:rsidRDefault="00867CAC" w:rsidP="00867CAC">
            <w:pPr>
              <w:pStyle w:val="TH"/>
              <w:jc w:val="right"/>
              <w:rPr>
                <w:rFonts w:asciiTheme="minorHAnsi" w:hAnsiTheme="minorHAnsi" w:cs="Arial"/>
                <w:sz w:val="20"/>
                <w:lang w:val="hr-HR"/>
              </w:rPr>
            </w:pPr>
            <w:r w:rsidRPr="001567C8">
              <w:rPr>
                <w:rFonts w:asciiTheme="minorHAnsi" w:hAnsiTheme="minorHAnsi" w:cs="Arial"/>
                <w:sz w:val="20"/>
                <w:lang w:val="hr-HR"/>
              </w:rPr>
              <w:t>000 kuna</w:t>
            </w:r>
          </w:p>
        </w:tc>
      </w:tr>
      <w:tr w:rsidR="00867CAC" w:rsidRPr="001567C8" w:rsidTr="00B36312">
        <w:trPr>
          <w:trHeight w:hRule="exact" w:val="284"/>
        </w:trPr>
        <w:tc>
          <w:tcPr>
            <w:tcW w:w="1844" w:type="pct"/>
            <w:shd w:val="clear" w:color="auto" w:fill="auto"/>
            <w:vAlign w:val="bottom"/>
          </w:tcPr>
          <w:p w:rsidR="00867CAC" w:rsidRPr="001567C8" w:rsidRDefault="00867CAC" w:rsidP="00867CAC">
            <w:pPr>
              <w:tabs>
                <w:tab w:val="left" w:pos="-720"/>
              </w:tabs>
              <w:suppressAutoHyphens/>
              <w:ind w:right="-5"/>
              <w:rPr>
                <w:rFonts w:asciiTheme="minorHAnsi" w:hAnsiTheme="minorHAnsi" w:cs="Arial"/>
                <w:b/>
                <w:sz w:val="20"/>
                <w:szCs w:val="20"/>
                <w:lang w:val="hr-HR"/>
              </w:rPr>
            </w:pPr>
            <w:r w:rsidRPr="001567C8">
              <w:rPr>
                <w:rFonts w:asciiTheme="minorHAnsi" w:hAnsiTheme="minorHAnsi" w:cs="Arial"/>
                <w:b/>
                <w:sz w:val="20"/>
                <w:szCs w:val="20"/>
                <w:lang w:val="hr-HR"/>
              </w:rPr>
              <w:t>Imovina</w:t>
            </w:r>
          </w:p>
        </w:tc>
        <w:tc>
          <w:tcPr>
            <w:tcW w:w="789" w:type="pct"/>
            <w:shd w:val="clear" w:color="auto" w:fill="auto"/>
            <w:vAlign w:val="bottom"/>
          </w:tcPr>
          <w:p w:rsidR="00867CAC" w:rsidRPr="001567C8" w:rsidRDefault="00867CAC" w:rsidP="00867CAC">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867CAC" w:rsidRPr="001567C8" w:rsidRDefault="00867CAC" w:rsidP="00867CAC">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867CAC" w:rsidRPr="001567C8" w:rsidRDefault="00867CAC" w:rsidP="00867CAC">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867CAC" w:rsidRPr="001567C8" w:rsidRDefault="00867CAC" w:rsidP="00867CAC">
            <w:pPr>
              <w:tabs>
                <w:tab w:val="left" w:pos="-720"/>
              </w:tabs>
              <w:suppressAutoHyphens/>
              <w:ind w:right="-5"/>
              <w:jc w:val="right"/>
              <w:rPr>
                <w:rFonts w:asciiTheme="minorHAnsi" w:hAnsiTheme="minorHAnsi" w:cs="Arial"/>
                <w:sz w:val="20"/>
                <w:szCs w:val="20"/>
                <w:lang w:val="hr-HR"/>
              </w:rPr>
            </w:pPr>
          </w:p>
        </w:tc>
      </w:tr>
      <w:tr w:rsidR="00867CAC" w:rsidRPr="001567C8" w:rsidTr="00447AB8">
        <w:trPr>
          <w:trHeight w:hRule="exact" w:val="345"/>
        </w:trPr>
        <w:tc>
          <w:tcPr>
            <w:tcW w:w="1844" w:type="pct"/>
            <w:shd w:val="clear" w:color="auto" w:fill="auto"/>
            <w:vAlign w:val="bottom"/>
          </w:tcPr>
          <w:p w:rsidR="00867CAC" w:rsidRPr="001567C8" w:rsidRDefault="00867CAC" w:rsidP="00867CAC">
            <w:pPr>
              <w:tabs>
                <w:tab w:val="left" w:pos="-720"/>
              </w:tabs>
              <w:suppressAutoHyphens/>
              <w:ind w:right="-5"/>
              <w:rPr>
                <w:rFonts w:asciiTheme="minorHAnsi" w:hAnsiTheme="minorHAnsi" w:cs="Arial"/>
                <w:b/>
                <w:sz w:val="20"/>
                <w:szCs w:val="20"/>
                <w:lang w:val="hr-HR"/>
              </w:rPr>
            </w:pPr>
          </w:p>
        </w:tc>
        <w:tc>
          <w:tcPr>
            <w:tcW w:w="789" w:type="pct"/>
            <w:shd w:val="clear" w:color="auto" w:fill="auto"/>
            <w:vAlign w:val="bottom"/>
          </w:tcPr>
          <w:p w:rsidR="00867CAC" w:rsidRPr="001567C8" w:rsidRDefault="00867CAC" w:rsidP="00867CAC">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867CAC" w:rsidRPr="001567C8" w:rsidRDefault="00867CAC" w:rsidP="00867CAC">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867CAC" w:rsidRPr="001567C8" w:rsidRDefault="00867CAC" w:rsidP="00867CAC">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867CAC" w:rsidRPr="001567C8" w:rsidRDefault="00867CAC" w:rsidP="00867CAC">
            <w:pPr>
              <w:tabs>
                <w:tab w:val="left" w:pos="-720"/>
              </w:tabs>
              <w:suppressAutoHyphens/>
              <w:ind w:right="-5"/>
              <w:jc w:val="right"/>
              <w:rPr>
                <w:rFonts w:asciiTheme="minorHAnsi" w:hAnsiTheme="minorHAnsi" w:cs="Arial"/>
                <w:sz w:val="20"/>
                <w:szCs w:val="20"/>
                <w:lang w:val="hr-HR"/>
              </w:rPr>
            </w:pPr>
          </w:p>
        </w:tc>
      </w:tr>
      <w:tr w:rsidR="007E29BC" w:rsidRPr="001567C8" w:rsidTr="003C6BA3">
        <w:trPr>
          <w:trHeight w:hRule="exact" w:val="284"/>
        </w:trPr>
        <w:tc>
          <w:tcPr>
            <w:tcW w:w="1844" w:type="pct"/>
            <w:shd w:val="clear" w:color="auto" w:fill="auto"/>
            <w:vAlign w:val="bottom"/>
          </w:tcPr>
          <w:p w:rsidR="007E29BC" w:rsidRPr="001567C8" w:rsidRDefault="007E29BC" w:rsidP="007E29BC">
            <w:pPr>
              <w:tabs>
                <w:tab w:val="left" w:pos="-720"/>
              </w:tabs>
              <w:suppressAutoHyphens/>
              <w:ind w:right="-5"/>
              <w:rPr>
                <w:rFonts w:asciiTheme="minorHAnsi" w:hAnsiTheme="minorHAnsi" w:cs="Arial"/>
                <w:sz w:val="20"/>
                <w:szCs w:val="20"/>
                <w:lang w:val="hr-HR"/>
              </w:rPr>
            </w:pPr>
            <w:r w:rsidRPr="001567C8">
              <w:rPr>
                <w:rFonts w:asciiTheme="minorHAnsi" w:hAnsiTheme="minorHAnsi" w:cs="Arial"/>
                <w:sz w:val="20"/>
                <w:szCs w:val="20"/>
                <w:lang w:val="hr-HR"/>
              </w:rPr>
              <w:t>Imovina uz fiksnu kamatnu stopu</w:t>
            </w:r>
          </w:p>
        </w:tc>
        <w:tc>
          <w:tcPr>
            <w:tcW w:w="789" w:type="pct"/>
            <w:tcBorders>
              <w:top w:val="nil"/>
              <w:left w:val="nil"/>
              <w:bottom w:val="nil"/>
              <w:right w:val="nil"/>
            </w:tcBorders>
            <w:shd w:val="clear" w:color="auto" w:fill="auto"/>
            <w:vAlign w:val="bottom"/>
          </w:tcPr>
          <w:p w:rsidR="007E29BC" w:rsidRPr="001567C8" w:rsidRDefault="007E29BC" w:rsidP="00DF5433">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24.</w:t>
            </w:r>
            <w:r w:rsidR="000C0BBE" w:rsidRPr="00CD3A2D">
              <w:rPr>
                <w:rFonts w:ascii="Calibri" w:hAnsi="Calibri" w:cs="Arial"/>
                <w:sz w:val="20"/>
                <w:szCs w:val="20"/>
                <w:lang w:val="hr-HR"/>
              </w:rPr>
              <w:t>703.191</w:t>
            </w:r>
          </w:p>
        </w:tc>
        <w:tc>
          <w:tcPr>
            <w:tcW w:w="789" w:type="pct"/>
            <w:tcBorders>
              <w:top w:val="nil"/>
              <w:left w:val="nil"/>
              <w:bottom w:val="nil"/>
              <w:right w:val="nil"/>
            </w:tcBorders>
            <w:shd w:val="clear" w:color="auto" w:fill="auto"/>
            <w:vAlign w:val="bottom"/>
          </w:tcPr>
          <w:p w:rsidR="007E29BC" w:rsidRPr="001567C8" w:rsidRDefault="007E29BC" w:rsidP="0002177D">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24.35</w:t>
            </w:r>
            <w:r w:rsidR="00553B23" w:rsidRPr="001567C8">
              <w:rPr>
                <w:rFonts w:asciiTheme="minorHAnsi" w:hAnsiTheme="minorHAnsi" w:cs="Arial"/>
                <w:sz w:val="20"/>
                <w:szCs w:val="20"/>
                <w:lang w:val="hr-HR"/>
              </w:rPr>
              <w:t>0</w:t>
            </w:r>
            <w:r w:rsidRPr="001567C8">
              <w:rPr>
                <w:rFonts w:asciiTheme="minorHAnsi" w:hAnsiTheme="minorHAnsi" w:cs="Arial"/>
                <w:sz w:val="20"/>
                <w:szCs w:val="20"/>
                <w:lang w:val="hr-HR"/>
              </w:rPr>
              <w:t>.</w:t>
            </w:r>
            <w:r w:rsidR="00553B23" w:rsidRPr="001567C8">
              <w:rPr>
                <w:rFonts w:asciiTheme="minorHAnsi" w:hAnsiTheme="minorHAnsi" w:cs="Arial"/>
                <w:sz w:val="20"/>
                <w:szCs w:val="20"/>
                <w:lang w:val="hr-HR"/>
              </w:rPr>
              <w:t>669</w:t>
            </w:r>
          </w:p>
        </w:tc>
        <w:tc>
          <w:tcPr>
            <w:tcW w:w="789" w:type="pct"/>
            <w:tcBorders>
              <w:top w:val="nil"/>
              <w:left w:val="nil"/>
              <w:bottom w:val="nil"/>
              <w:right w:val="nil"/>
            </w:tcBorders>
            <w:shd w:val="clear" w:color="auto" w:fill="auto"/>
            <w:vAlign w:val="bottom"/>
          </w:tcPr>
          <w:p w:rsidR="007E29BC" w:rsidRPr="001567C8" w:rsidRDefault="007E29BC" w:rsidP="00213DD6">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24.661.563</w:t>
            </w:r>
          </w:p>
        </w:tc>
        <w:tc>
          <w:tcPr>
            <w:tcW w:w="789" w:type="pct"/>
            <w:tcBorders>
              <w:top w:val="nil"/>
              <w:left w:val="nil"/>
              <w:bottom w:val="nil"/>
              <w:right w:val="nil"/>
            </w:tcBorders>
            <w:shd w:val="clear" w:color="auto" w:fill="auto"/>
            <w:vAlign w:val="bottom"/>
          </w:tcPr>
          <w:p w:rsidR="007E29BC" w:rsidRPr="001567C8" w:rsidRDefault="007E29BC" w:rsidP="00B35D15">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24.3</w:t>
            </w:r>
            <w:r w:rsidR="00553B23" w:rsidRPr="001567C8">
              <w:rPr>
                <w:rFonts w:asciiTheme="minorHAnsi" w:hAnsiTheme="minorHAnsi" w:cs="Arial"/>
                <w:sz w:val="20"/>
                <w:szCs w:val="20"/>
                <w:lang w:val="hr-HR"/>
              </w:rPr>
              <w:t>03.434</w:t>
            </w:r>
          </w:p>
        </w:tc>
      </w:tr>
      <w:tr w:rsidR="007E29BC" w:rsidRPr="001567C8" w:rsidTr="003C6BA3">
        <w:trPr>
          <w:trHeight w:hRule="exact" w:val="284"/>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sz w:val="20"/>
                <w:szCs w:val="20"/>
                <w:lang w:val="hr-HR"/>
              </w:rPr>
            </w:pPr>
            <w:r w:rsidRPr="001567C8">
              <w:rPr>
                <w:rFonts w:asciiTheme="minorHAnsi" w:hAnsiTheme="minorHAnsi" w:cs="Arial"/>
                <w:sz w:val="20"/>
                <w:szCs w:val="20"/>
                <w:lang w:val="hr-HR"/>
              </w:rPr>
              <w:t>Imovina uz varijabilnu kamatnu stopu</w:t>
            </w:r>
          </w:p>
        </w:tc>
        <w:tc>
          <w:tcPr>
            <w:tcW w:w="789" w:type="pct"/>
            <w:tcBorders>
              <w:top w:val="nil"/>
              <w:left w:val="nil"/>
              <w:bottom w:val="nil"/>
              <w:right w:val="nil"/>
            </w:tcBorders>
            <w:shd w:val="clear" w:color="auto" w:fill="auto"/>
            <w:vAlign w:val="bottom"/>
          </w:tcPr>
          <w:p w:rsidR="007E29BC" w:rsidRPr="001567C8" w:rsidRDefault="007E29BC" w:rsidP="00DF5433">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1.</w:t>
            </w:r>
            <w:r w:rsidR="000C0BBE" w:rsidRPr="00CD3A2D">
              <w:rPr>
                <w:rFonts w:ascii="Calibri" w:hAnsi="Calibri" w:cs="Arial"/>
                <w:sz w:val="20"/>
                <w:szCs w:val="20"/>
                <w:lang w:val="hr-HR"/>
              </w:rPr>
              <w:t>025</w:t>
            </w:r>
            <w:r w:rsidRPr="00CD3A2D">
              <w:rPr>
                <w:rFonts w:ascii="Calibri" w:hAnsi="Calibri" w:cs="Arial"/>
                <w:sz w:val="20"/>
                <w:szCs w:val="20"/>
                <w:lang w:val="hr-HR"/>
              </w:rPr>
              <w:t>.</w:t>
            </w:r>
            <w:r w:rsidR="000C0BBE" w:rsidRPr="00CD3A2D">
              <w:rPr>
                <w:rFonts w:ascii="Calibri" w:hAnsi="Calibri" w:cs="Arial"/>
                <w:sz w:val="20"/>
                <w:szCs w:val="20"/>
                <w:lang w:val="hr-HR"/>
              </w:rPr>
              <w:t>467</w:t>
            </w:r>
          </w:p>
        </w:tc>
        <w:tc>
          <w:tcPr>
            <w:tcW w:w="789" w:type="pct"/>
            <w:tcBorders>
              <w:top w:val="nil"/>
              <w:left w:val="nil"/>
              <w:bottom w:val="nil"/>
              <w:right w:val="nil"/>
            </w:tcBorders>
            <w:shd w:val="clear" w:color="auto" w:fill="auto"/>
            <w:vAlign w:val="bottom"/>
          </w:tcPr>
          <w:p w:rsidR="007E29BC" w:rsidRPr="001567C8" w:rsidRDefault="007E29BC" w:rsidP="0002177D">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1.2</w:t>
            </w:r>
            <w:r w:rsidR="00553B23" w:rsidRPr="001567C8">
              <w:rPr>
                <w:rFonts w:asciiTheme="minorHAnsi" w:hAnsiTheme="minorHAnsi" w:cs="Arial"/>
                <w:sz w:val="20"/>
                <w:szCs w:val="20"/>
                <w:lang w:val="hr-HR"/>
              </w:rPr>
              <w:t>80.630</w:t>
            </w:r>
          </w:p>
        </w:tc>
        <w:tc>
          <w:tcPr>
            <w:tcW w:w="789" w:type="pct"/>
            <w:tcBorders>
              <w:top w:val="nil"/>
              <w:left w:val="nil"/>
              <w:bottom w:val="nil"/>
              <w:right w:val="nil"/>
            </w:tcBorders>
            <w:shd w:val="clear" w:color="auto" w:fill="auto"/>
            <w:vAlign w:val="bottom"/>
          </w:tcPr>
          <w:p w:rsidR="007E29BC" w:rsidRPr="001567C8" w:rsidRDefault="0053143D" w:rsidP="00213DD6">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1.025.467</w:t>
            </w:r>
          </w:p>
        </w:tc>
        <w:tc>
          <w:tcPr>
            <w:tcW w:w="789" w:type="pct"/>
            <w:tcBorders>
              <w:top w:val="nil"/>
              <w:left w:val="nil"/>
              <w:bottom w:val="nil"/>
              <w:right w:val="nil"/>
            </w:tcBorders>
            <w:shd w:val="clear" w:color="auto" w:fill="auto"/>
            <w:vAlign w:val="bottom"/>
          </w:tcPr>
          <w:p w:rsidR="007E29BC" w:rsidRPr="001567C8" w:rsidRDefault="00553B23" w:rsidP="00B35D15">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1.280.630</w:t>
            </w:r>
          </w:p>
        </w:tc>
      </w:tr>
      <w:tr w:rsidR="007E29BC" w:rsidRPr="001567C8" w:rsidTr="003C6BA3">
        <w:trPr>
          <w:trHeight w:hRule="exact" w:val="284"/>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sz w:val="20"/>
                <w:szCs w:val="20"/>
                <w:lang w:val="hr-HR"/>
              </w:rPr>
            </w:pPr>
            <w:r w:rsidRPr="001567C8">
              <w:rPr>
                <w:rFonts w:asciiTheme="minorHAnsi" w:hAnsiTheme="minorHAnsi" w:cs="Arial"/>
                <w:sz w:val="20"/>
                <w:szCs w:val="20"/>
                <w:lang w:val="hr-HR"/>
              </w:rPr>
              <w:t>Beskamatno</w:t>
            </w:r>
          </w:p>
        </w:tc>
        <w:tc>
          <w:tcPr>
            <w:tcW w:w="789" w:type="pct"/>
            <w:tcBorders>
              <w:top w:val="nil"/>
              <w:left w:val="nil"/>
              <w:bottom w:val="single" w:sz="4" w:space="0" w:color="auto"/>
              <w:right w:val="nil"/>
            </w:tcBorders>
            <w:shd w:val="clear" w:color="auto" w:fill="auto"/>
            <w:vAlign w:val="bottom"/>
          </w:tcPr>
          <w:p w:rsidR="007E29BC" w:rsidRPr="001567C8" w:rsidRDefault="0053143D" w:rsidP="00DF5433">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1.414.161</w:t>
            </w:r>
          </w:p>
        </w:tc>
        <w:tc>
          <w:tcPr>
            <w:tcW w:w="789" w:type="pct"/>
            <w:tcBorders>
              <w:top w:val="nil"/>
              <w:left w:val="nil"/>
              <w:bottom w:val="single" w:sz="4" w:space="0" w:color="auto"/>
              <w:right w:val="nil"/>
            </w:tcBorders>
            <w:shd w:val="clear" w:color="auto" w:fill="auto"/>
            <w:vAlign w:val="bottom"/>
          </w:tcPr>
          <w:p w:rsidR="007E29BC" w:rsidRPr="001567C8" w:rsidRDefault="00F53F82" w:rsidP="0002177D">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2.374.0</w:t>
            </w:r>
            <w:r w:rsidR="0063441C" w:rsidRPr="001567C8">
              <w:rPr>
                <w:rFonts w:asciiTheme="minorHAnsi" w:hAnsiTheme="minorHAnsi" w:cs="Arial"/>
                <w:sz w:val="20"/>
                <w:szCs w:val="20"/>
                <w:lang w:val="hr-HR"/>
              </w:rPr>
              <w:t>08</w:t>
            </w:r>
          </w:p>
        </w:tc>
        <w:tc>
          <w:tcPr>
            <w:tcW w:w="789" w:type="pct"/>
            <w:tcBorders>
              <w:top w:val="nil"/>
              <w:left w:val="nil"/>
              <w:bottom w:val="single" w:sz="4" w:space="0" w:color="auto"/>
              <w:right w:val="nil"/>
            </w:tcBorders>
            <w:shd w:val="clear" w:color="auto" w:fill="auto"/>
            <w:vAlign w:val="bottom"/>
          </w:tcPr>
          <w:p w:rsidR="007E29BC" w:rsidRPr="001567C8" w:rsidRDefault="0053143D" w:rsidP="00213DD6">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1</w:t>
            </w:r>
            <w:r w:rsidR="00553B23" w:rsidRPr="00CD3A2D">
              <w:rPr>
                <w:rFonts w:ascii="Calibri" w:hAnsi="Calibri" w:cs="Arial"/>
                <w:sz w:val="20"/>
                <w:szCs w:val="20"/>
                <w:lang w:val="hr-HR"/>
              </w:rPr>
              <w:t>.399.679</w:t>
            </w:r>
          </w:p>
        </w:tc>
        <w:tc>
          <w:tcPr>
            <w:tcW w:w="789" w:type="pct"/>
            <w:tcBorders>
              <w:top w:val="nil"/>
              <w:left w:val="nil"/>
              <w:bottom w:val="single" w:sz="4" w:space="0" w:color="auto"/>
              <w:right w:val="nil"/>
            </w:tcBorders>
            <w:shd w:val="clear" w:color="auto" w:fill="auto"/>
            <w:vAlign w:val="bottom"/>
          </w:tcPr>
          <w:p w:rsidR="007E29BC" w:rsidRPr="001567C8" w:rsidRDefault="00F53F82" w:rsidP="00B35D15">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2</w:t>
            </w:r>
            <w:r w:rsidR="00672F0B">
              <w:rPr>
                <w:rFonts w:asciiTheme="minorHAnsi" w:hAnsiTheme="minorHAnsi" w:cs="Arial"/>
                <w:sz w:val="20"/>
                <w:szCs w:val="20"/>
                <w:lang w:val="hr-HR"/>
              </w:rPr>
              <w:t>.</w:t>
            </w:r>
            <w:r w:rsidR="00553B23" w:rsidRPr="001567C8">
              <w:rPr>
                <w:rFonts w:asciiTheme="minorHAnsi" w:hAnsiTheme="minorHAnsi" w:cs="Arial"/>
                <w:sz w:val="20"/>
                <w:szCs w:val="20"/>
                <w:lang w:val="hr-HR"/>
              </w:rPr>
              <w:t>365.404</w:t>
            </w:r>
          </w:p>
        </w:tc>
      </w:tr>
      <w:tr w:rsidR="007E29BC" w:rsidRPr="001567C8" w:rsidTr="003C6BA3">
        <w:trPr>
          <w:trHeight w:hRule="exact" w:val="382"/>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sz w:val="20"/>
                <w:szCs w:val="20"/>
                <w:lang w:val="hr-HR"/>
              </w:rPr>
            </w:pPr>
            <w:r w:rsidRPr="001567C8">
              <w:rPr>
                <w:rFonts w:asciiTheme="minorHAnsi" w:hAnsiTheme="minorHAnsi" w:cs="Arial"/>
                <w:b/>
                <w:sz w:val="20"/>
                <w:szCs w:val="20"/>
                <w:lang w:val="hr-HR"/>
              </w:rPr>
              <w:t>Ukupna imovina</w:t>
            </w:r>
          </w:p>
        </w:tc>
        <w:tc>
          <w:tcPr>
            <w:tcW w:w="789" w:type="pct"/>
            <w:tcBorders>
              <w:top w:val="single" w:sz="4" w:space="0" w:color="auto"/>
              <w:left w:val="nil"/>
              <w:bottom w:val="single" w:sz="12" w:space="0" w:color="auto"/>
              <w:right w:val="nil"/>
            </w:tcBorders>
            <w:shd w:val="clear" w:color="auto" w:fill="auto"/>
            <w:vAlign w:val="bottom"/>
          </w:tcPr>
          <w:p w:rsidR="007E29BC" w:rsidRPr="001567C8" w:rsidRDefault="0053143D" w:rsidP="00DF5433">
            <w:pPr>
              <w:tabs>
                <w:tab w:val="left" w:pos="-720"/>
              </w:tabs>
              <w:suppressAutoHyphens/>
              <w:ind w:right="-5"/>
              <w:jc w:val="right"/>
              <w:rPr>
                <w:rFonts w:asciiTheme="minorHAnsi" w:hAnsiTheme="minorHAnsi" w:cs="Arial"/>
                <w:b/>
                <w:sz w:val="20"/>
                <w:szCs w:val="20"/>
                <w:lang w:val="hr-HR"/>
              </w:rPr>
            </w:pPr>
            <w:r w:rsidRPr="00CD3A2D">
              <w:rPr>
                <w:rFonts w:ascii="Calibri" w:hAnsi="Calibri" w:cs="Arial"/>
                <w:b/>
                <w:sz w:val="20"/>
                <w:szCs w:val="20"/>
                <w:lang w:val="hr-HR"/>
              </w:rPr>
              <w:t>27.142.819</w:t>
            </w:r>
          </w:p>
        </w:tc>
        <w:tc>
          <w:tcPr>
            <w:tcW w:w="789" w:type="pct"/>
            <w:tcBorders>
              <w:top w:val="single" w:sz="4" w:space="0" w:color="auto"/>
              <w:left w:val="nil"/>
              <w:bottom w:val="single" w:sz="12" w:space="0" w:color="auto"/>
              <w:right w:val="nil"/>
            </w:tcBorders>
            <w:shd w:val="clear" w:color="auto" w:fill="auto"/>
            <w:vAlign w:val="bottom"/>
          </w:tcPr>
          <w:p w:rsidR="007E29BC" w:rsidRPr="001567C8" w:rsidRDefault="00F53F82" w:rsidP="0002177D">
            <w:pPr>
              <w:tabs>
                <w:tab w:val="left" w:pos="-720"/>
              </w:tabs>
              <w:suppressAutoHyphens/>
              <w:ind w:right="-5"/>
              <w:jc w:val="right"/>
              <w:rPr>
                <w:rFonts w:asciiTheme="minorHAnsi" w:hAnsiTheme="minorHAnsi" w:cs="Arial"/>
                <w:b/>
                <w:sz w:val="20"/>
                <w:szCs w:val="20"/>
                <w:lang w:val="hr-HR"/>
              </w:rPr>
            </w:pPr>
            <w:r w:rsidRPr="001567C8">
              <w:rPr>
                <w:rFonts w:asciiTheme="minorHAnsi" w:hAnsiTheme="minorHAnsi" w:cs="Arial"/>
                <w:b/>
                <w:sz w:val="20"/>
                <w:szCs w:val="20"/>
                <w:lang w:val="hr-HR"/>
              </w:rPr>
              <w:t>28.005.30</w:t>
            </w:r>
            <w:r w:rsidR="0063441C" w:rsidRPr="001567C8">
              <w:rPr>
                <w:rFonts w:asciiTheme="minorHAnsi" w:hAnsiTheme="minorHAnsi" w:cs="Arial"/>
                <w:b/>
                <w:sz w:val="20"/>
                <w:szCs w:val="20"/>
                <w:lang w:val="hr-HR"/>
              </w:rPr>
              <w:t>7</w:t>
            </w:r>
          </w:p>
        </w:tc>
        <w:tc>
          <w:tcPr>
            <w:tcW w:w="789" w:type="pct"/>
            <w:tcBorders>
              <w:top w:val="single" w:sz="4" w:space="0" w:color="auto"/>
              <w:left w:val="nil"/>
              <w:bottom w:val="single" w:sz="12" w:space="0" w:color="auto"/>
              <w:right w:val="nil"/>
            </w:tcBorders>
            <w:shd w:val="clear" w:color="auto" w:fill="auto"/>
            <w:vAlign w:val="bottom"/>
          </w:tcPr>
          <w:p w:rsidR="007E29BC" w:rsidRPr="001567C8" w:rsidRDefault="0053143D" w:rsidP="00213DD6">
            <w:pPr>
              <w:tabs>
                <w:tab w:val="left" w:pos="-720"/>
              </w:tabs>
              <w:suppressAutoHyphens/>
              <w:ind w:right="-5"/>
              <w:jc w:val="right"/>
              <w:rPr>
                <w:rFonts w:asciiTheme="minorHAnsi" w:hAnsiTheme="minorHAnsi" w:cs="Arial"/>
                <w:b/>
                <w:sz w:val="20"/>
                <w:szCs w:val="20"/>
                <w:lang w:val="hr-HR"/>
              </w:rPr>
            </w:pPr>
            <w:r w:rsidRPr="00CD3A2D">
              <w:rPr>
                <w:rFonts w:ascii="Calibri" w:hAnsi="Calibri" w:cs="Arial"/>
                <w:b/>
                <w:sz w:val="20"/>
                <w:szCs w:val="20"/>
                <w:lang w:val="hr-HR"/>
              </w:rPr>
              <w:t>27.</w:t>
            </w:r>
            <w:r w:rsidR="00553B23" w:rsidRPr="00CD3A2D">
              <w:rPr>
                <w:rFonts w:ascii="Calibri" w:hAnsi="Calibri" w:cs="Arial"/>
                <w:b/>
                <w:sz w:val="20"/>
                <w:szCs w:val="20"/>
                <w:lang w:val="hr-HR"/>
              </w:rPr>
              <w:t>086.709</w:t>
            </w:r>
          </w:p>
        </w:tc>
        <w:tc>
          <w:tcPr>
            <w:tcW w:w="789" w:type="pct"/>
            <w:tcBorders>
              <w:top w:val="single" w:sz="4" w:space="0" w:color="auto"/>
              <w:left w:val="nil"/>
              <w:bottom w:val="single" w:sz="12" w:space="0" w:color="auto"/>
              <w:right w:val="nil"/>
            </w:tcBorders>
            <w:shd w:val="clear" w:color="auto" w:fill="auto"/>
            <w:vAlign w:val="bottom"/>
          </w:tcPr>
          <w:p w:rsidR="007E29BC" w:rsidRPr="001567C8" w:rsidRDefault="00F53F82" w:rsidP="00B35D15">
            <w:pPr>
              <w:tabs>
                <w:tab w:val="left" w:pos="-720"/>
              </w:tabs>
              <w:suppressAutoHyphens/>
              <w:ind w:right="-5"/>
              <w:jc w:val="right"/>
              <w:rPr>
                <w:rFonts w:asciiTheme="minorHAnsi" w:hAnsiTheme="minorHAnsi" w:cs="Arial"/>
                <w:b/>
                <w:sz w:val="20"/>
                <w:szCs w:val="20"/>
                <w:lang w:val="hr-HR"/>
              </w:rPr>
            </w:pPr>
            <w:r w:rsidRPr="001567C8">
              <w:rPr>
                <w:rFonts w:asciiTheme="minorHAnsi" w:hAnsiTheme="minorHAnsi" w:cs="Arial"/>
                <w:b/>
                <w:sz w:val="20"/>
                <w:szCs w:val="20"/>
                <w:lang w:val="hr-HR"/>
              </w:rPr>
              <w:t>27.9</w:t>
            </w:r>
            <w:r w:rsidR="00553B23" w:rsidRPr="001567C8">
              <w:rPr>
                <w:rFonts w:asciiTheme="minorHAnsi" w:hAnsiTheme="minorHAnsi" w:cs="Arial"/>
                <w:b/>
                <w:sz w:val="20"/>
                <w:szCs w:val="20"/>
                <w:lang w:val="hr-HR"/>
              </w:rPr>
              <w:t>49.468</w:t>
            </w:r>
          </w:p>
        </w:tc>
      </w:tr>
      <w:tr w:rsidR="007E29BC" w:rsidRPr="001567C8" w:rsidTr="003C6BA3">
        <w:trPr>
          <w:trHeight w:hRule="exact" w:val="382"/>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b/>
                <w:sz w:val="20"/>
                <w:szCs w:val="20"/>
                <w:lang w:val="hr-HR"/>
              </w:rPr>
            </w:pPr>
          </w:p>
        </w:tc>
        <w:tc>
          <w:tcPr>
            <w:tcW w:w="789" w:type="pct"/>
            <w:tcBorders>
              <w:top w:val="single" w:sz="12" w:space="0" w:color="auto"/>
            </w:tcBorders>
            <w:shd w:val="clear" w:color="auto" w:fill="auto"/>
            <w:vAlign w:val="bottom"/>
          </w:tcPr>
          <w:p w:rsidR="007E29BC" w:rsidRPr="001567C8" w:rsidRDefault="007E29BC" w:rsidP="00DF5433">
            <w:pPr>
              <w:tabs>
                <w:tab w:val="left" w:pos="-720"/>
              </w:tabs>
              <w:suppressAutoHyphens/>
              <w:ind w:right="-5"/>
              <w:jc w:val="right"/>
              <w:rPr>
                <w:rFonts w:asciiTheme="minorHAnsi" w:hAnsiTheme="minorHAnsi" w:cs="Arial"/>
                <w:sz w:val="20"/>
                <w:szCs w:val="20"/>
                <w:lang w:val="hr-HR"/>
              </w:rPr>
            </w:pPr>
          </w:p>
        </w:tc>
        <w:tc>
          <w:tcPr>
            <w:tcW w:w="789" w:type="pct"/>
            <w:tcBorders>
              <w:top w:val="single" w:sz="12" w:space="0" w:color="auto"/>
            </w:tcBorders>
            <w:shd w:val="clear" w:color="auto" w:fill="auto"/>
            <w:vAlign w:val="bottom"/>
          </w:tcPr>
          <w:p w:rsidR="007E29BC" w:rsidRPr="001567C8" w:rsidRDefault="007E29BC" w:rsidP="0002177D">
            <w:pPr>
              <w:tabs>
                <w:tab w:val="left" w:pos="-720"/>
              </w:tabs>
              <w:suppressAutoHyphens/>
              <w:ind w:right="-5"/>
              <w:jc w:val="right"/>
              <w:rPr>
                <w:rFonts w:asciiTheme="minorHAnsi" w:hAnsiTheme="minorHAnsi" w:cs="Arial"/>
                <w:b/>
                <w:sz w:val="20"/>
                <w:szCs w:val="20"/>
                <w:lang w:val="hr-HR"/>
              </w:rPr>
            </w:pPr>
          </w:p>
        </w:tc>
        <w:tc>
          <w:tcPr>
            <w:tcW w:w="789" w:type="pct"/>
            <w:tcBorders>
              <w:top w:val="single" w:sz="12" w:space="0" w:color="auto"/>
            </w:tcBorders>
            <w:shd w:val="clear" w:color="auto" w:fill="auto"/>
            <w:vAlign w:val="bottom"/>
          </w:tcPr>
          <w:p w:rsidR="007E29BC" w:rsidRPr="001567C8" w:rsidRDefault="007E29BC" w:rsidP="00213DD6">
            <w:pPr>
              <w:tabs>
                <w:tab w:val="left" w:pos="-720"/>
              </w:tabs>
              <w:suppressAutoHyphens/>
              <w:ind w:right="-5"/>
              <w:jc w:val="right"/>
              <w:rPr>
                <w:rFonts w:asciiTheme="minorHAnsi" w:hAnsiTheme="minorHAnsi" w:cs="Arial"/>
                <w:b/>
                <w:sz w:val="20"/>
                <w:szCs w:val="20"/>
                <w:lang w:val="hr-HR"/>
              </w:rPr>
            </w:pPr>
          </w:p>
        </w:tc>
        <w:tc>
          <w:tcPr>
            <w:tcW w:w="789" w:type="pct"/>
            <w:tcBorders>
              <w:top w:val="single" w:sz="12" w:space="0" w:color="auto"/>
            </w:tcBorders>
            <w:shd w:val="clear" w:color="auto" w:fill="auto"/>
            <w:vAlign w:val="bottom"/>
          </w:tcPr>
          <w:p w:rsidR="007E29BC" w:rsidRPr="001567C8" w:rsidRDefault="007E29BC" w:rsidP="00B35D15">
            <w:pPr>
              <w:tabs>
                <w:tab w:val="left" w:pos="-720"/>
              </w:tabs>
              <w:suppressAutoHyphens/>
              <w:ind w:right="-5"/>
              <w:jc w:val="right"/>
              <w:rPr>
                <w:rFonts w:asciiTheme="minorHAnsi" w:hAnsiTheme="minorHAnsi" w:cs="Arial"/>
                <w:b/>
                <w:sz w:val="20"/>
                <w:szCs w:val="20"/>
                <w:lang w:val="hr-HR"/>
              </w:rPr>
            </w:pPr>
          </w:p>
        </w:tc>
      </w:tr>
      <w:tr w:rsidR="007E29BC" w:rsidRPr="001567C8" w:rsidTr="003C6BA3">
        <w:trPr>
          <w:trHeight w:hRule="exact" w:val="284"/>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sz w:val="20"/>
                <w:szCs w:val="20"/>
                <w:lang w:val="hr-HR"/>
              </w:rPr>
            </w:pPr>
            <w:r w:rsidRPr="001567C8">
              <w:rPr>
                <w:rFonts w:asciiTheme="minorHAnsi" w:hAnsiTheme="minorHAnsi" w:cs="Arial"/>
                <w:b/>
                <w:sz w:val="20"/>
                <w:szCs w:val="20"/>
                <w:lang w:val="hr-HR"/>
              </w:rPr>
              <w:t>Obveze</w:t>
            </w:r>
          </w:p>
        </w:tc>
        <w:tc>
          <w:tcPr>
            <w:tcW w:w="789" w:type="pct"/>
            <w:shd w:val="clear" w:color="auto" w:fill="auto"/>
            <w:vAlign w:val="bottom"/>
          </w:tcPr>
          <w:p w:rsidR="007E29BC" w:rsidRPr="001567C8" w:rsidRDefault="007E29BC" w:rsidP="00DF5433">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7E29BC" w:rsidRPr="001567C8" w:rsidRDefault="007E29BC" w:rsidP="0002177D">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7E29BC" w:rsidRPr="001567C8" w:rsidRDefault="007E29BC" w:rsidP="00213DD6">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7E29BC" w:rsidRPr="001567C8" w:rsidRDefault="007E29BC" w:rsidP="00B35D15">
            <w:pPr>
              <w:tabs>
                <w:tab w:val="left" w:pos="-720"/>
              </w:tabs>
              <w:suppressAutoHyphens/>
              <w:ind w:right="-5"/>
              <w:jc w:val="right"/>
              <w:rPr>
                <w:rFonts w:asciiTheme="minorHAnsi" w:hAnsiTheme="minorHAnsi" w:cs="Arial"/>
                <w:sz w:val="20"/>
                <w:szCs w:val="20"/>
                <w:lang w:val="hr-HR"/>
              </w:rPr>
            </w:pPr>
          </w:p>
        </w:tc>
      </w:tr>
      <w:tr w:rsidR="007E29BC" w:rsidRPr="001567C8" w:rsidTr="003C6BA3">
        <w:trPr>
          <w:trHeight w:hRule="exact" w:val="284"/>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b/>
                <w:sz w:val="20"/>
                <w:szCs w:val="20"/>
                <w:lang w:val="hr-HR"/>
              </w:rPr>
            </w:pPr>
          </w:p>
        </w:tc>
        <w:tc>
          <w:tcPr>
            <w:tcW w:w="789" w:type="pct"/>
            <w:shd w:val="clear" w:color="auto" w:fill="auto"/>
            <w:vAlign w:val="bottom"/>
          </w:tcPr>
          <w:p w:rsidR="007E29BC" w:rsidRPr="001567C8" w:rsidRDefault="007E29BC" w:rsidP="00DF5433">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7E29BC" w:rsidRPr="001567C8" w:rsidRDefault="007E29BC" w:rsidP="0002177D">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7E29BC" w:rsidRPr="001567C8" w:rsidRDefault="007E29BC" w:rsidP="00213DD6">
            <w:pPr>
              <w:tabs>
                <w:tab w:val="left" w:pos="-720"/>
              </w:tabs>
              <w:suppressAutoHyphens/>
              <w:ind w:right="-5"/>
              <w:jc w:val="right"/>
              <w:rPr>
                <w:rFonts w:asciiTheme="minorHAnsi" w:hAnsiTheme="minorHAnsi" w:cs="Arial"/>
                <w:sz w:val="20"/>
                <w:szCs w:val="20"/>
                <w:lang w:val="hr-HR"/>
              </w:rPr>
            </w:pPr>
          </w:p>
        </w:tc>
        <w:tc>
          <w:tcPr>
            <w:tcW w:w="789" w:type="pct"/>
            <w:shd w:val="clear" w:color="auto" w:fill="auto"/>
            <w:vAlign w:val="bottom"/>
          </w:tcPr>
          <w:p w:rsidR="007E29BC" w:rsidRPr="001567C8" w:rsidRDefault="007E29BC" w:rsidP="00B35D15">
            <w:pPr>
              <w:tabs>
                <w:tab w:val="left" w:pos="-720"/>
              </w:tabs>
              <w:suppressAutoHyphens/>
              <w:ind w:right="-5"/>
              <w:jc w:val="right"/>
              <w:rPr>
                <w:rFonts w:asciiTheme="minorHAnsi" w:hAnsiTheme="minorHAnsi" w:cs="Arial"/>
                <w:sz w:val="20"/>
                <w:szCs w:val="20"/>
                <w:lang w:val="hr-HR"/>
              </w:rPr>
            </w:pPr>
          </w:p>
        </w:tc>
      </w:tr>
      <w:tr w:rsidR="007E29BC" w:rsidRPr="001567C8" w:rsidTr="003C6BA3">
        <w:trPr>
          <w:trHeight w:hRule="exact" w:val="284"/>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b/>
                <w:sz w:val="20"/>
                <w:szCs w:val="20"/>
                <w:lang w:val="hr-HR"/>
              </w:rPr>
            </w:pPr>
            <w:r w:rsidRPr="001567C8">
              <w:rPr>
                <w:rFonts w:asciiTheme="minorHAnsi" w:hAnsiTheme="minorHAnsi" w:cs="Arial"/>
                <w:sz w:val="20"/>
                <w:szCs w:val="20"/>
                <w:lang w:val="hr-HR"/>
              </w:rPr>
              <w:t>Obveze uz fiksnu kamatnu stopu</w:t>
            </w:r>
          </w:p>
        </w:tc>
        <w:tc>
          <w:tcPr>
            <w:tcW w:w="789" w:type="pct"/>
            <w:tcBorders>
              <w:top w:val="nil"/>
              <w:left w:val="nil"/>
              <w:bottom w:val="nil"/>
              <w:right w:val="nil"/>
            </w:tcBorders>
            <w:shd w:val="clear" w:color="auto" w:fill="auto"/>
            <w:vAlign w:val="bottom"/>
          </w:tcPr>
          <w:p w:rsidR="007E29BC" w:rsidRPr="001567C8" w:rsidRDefault="007E29BC" w:rsidP="00DF5433">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15.</w:t>
            </w:r>
            <w:r w:rsidR="009D6EFA" w:rsidRPr="00CD3A2D">
              <w:rPr>
                <w:rFonts w:ascii="Calibri" w:hAnsi="Calibri" w:cs="Arial"/>
                <w:sz w:val="20"/>
                <w:szCs w:val="20"/>
                <w:lang w:val="hr-HR"/>
              </w:rPr>
              <w:t>772.982</w:t>
            </w:r>
          </w:p>
        </w:tc>
        <w:tc>
          <w:tcPr>
            <w:tcW w:w="789" w:type="pct"/>
            <w:tcBorders>
              <w:top w:val="nil"/>
              <w:left w:val="nil"/>
              <w:bottom w:val="nil"/>
              <w:right w:val="nil"/>
            </w:tcBorders>
            <w:shd w:val="clear" w:color="auto" w:fill="auto"/>
            <w:vAlign w:val="bottom"/>
          </w:tcPr>
          <w:p w:rsidR="007E29BC" w:rsidRPr="001567C8" w:rsidRDefault="007E29BC" w:rsidP="0002177D">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16.440.995</w:t>
            </w:r>
          </w:p>
        </w:tc>
        <w:tc>
          <w:tcPr>
            <w:tcW w:w="789" w:type="pct"/>
            <w:tcBorders>
              <w:top w:val="nil"/>
              <w:left w:val="nil"/>
              <w:bottom w:val="nil"/>
              <w:right w:val="nil"/>
            </w:tcBorders>
            <w:shd w:val="clear" w:color="auto" w:fill="auto"/>
            <w:vAlign w:val="bottom"/>
          </w:tcPr>
          <w:p w:rsidR="007E29BC" w:rsidRPr="001567C8" w:rsidRDefault="007E29BC" w:rsidP="00213DD6">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15.772.982</w:t>
            </w:r>
          </w:p>
        </w:tc>
        <w:tc>
          <w:tcPr>
            <w:tcW w:w="789" w:type="pct"/>
            <w:tcBorders>
              <w:top w:val="nil"/>
              <w:left w:val="nil"/>
              <w:bottom w:val="nil"/>
              <w:right w:val="nil"/>
            </w:tcBorders>
            <w:shd w:val="clear" w:color="auto" w:fill="auto"/>
            <w:vAlign w:val="bottom"/>
          </w:tcPr>
          <w:p w:rsidR="007E29BC" w:rsidRPr="001567C8" w:rsidRDefault="007E29BC" w:rsidP="00B35D15">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16.440.995</w:t>
            </w:r>
          </w:p>
        </w:tc>
      </w:tr>
      <w:tr w:rsidR="007E29BC" w:rsidRPr="001567C8" w:rsidTr="003C6BA3">
        <w:trPr>
          <w:trHeight w:hRule="exact" w:val="284"/>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sz w:val="20"/>
                <w:szCs w:val="20"/>
                <w:lang w:val="hr-HR"/>
              </w:rPr>
            </w:pPr>
            <w:r w:rsidRPr="001567C8">
              <w:rPr>
                <w:rFonts w:asciiTheme="minorHAnsi" w:hAnsiTheme="minorHAnsi" w:cs="Arial"/>
                <w:sz w:val="20"/>
                <w:szCs w:val="20"/>
                <w:lang w:val="hr-HR"/>
              </w:rPr>
              <w:t>Obveze uz varijabilnu kamatnu stopu</w:t>
            </w:r>
          </w:p>
        </w:tc>
        <w:tc>
          <w:tcPr>
            <w:tcW w:w="789" w:type="pct"/>
            <w:tcBorders>
              <w:top w:val="nil"/>
              <w:left w:val="nil"/>
              <w:bottom w:val="nil"/>
              <w:right w:val="nil"/>
            </w:tcBorders>
            <w:shd w:val="clear" w:color="auto" w:fill="auto"/>
            <w:vAlign w:val="bottom"/>
          </w:tcPr>
          <w:p w:rsidR="007E29BC" w:rsidRPr="001567C8" w:rsidRDefault="009D6EFA" w:rsidP="00DF5433">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305.552</w:t>
            </w:r>
          </w:p>
        </w:tc>
        <w:tc>
          <w:tcPr>
            <w:tcW w:w="789" w:type="pct"/>
            <w:tcBorders>
              <w:top w:val="nil"/>
              <w:left w:val="nil"/>
              <w:bottom w:val="nil"/>
              <w:right w:val="nil"/>
            </w:tcBorders>
            <w:shd w:val="clear" w:color="auto" w:fill="auto"/>
            <w:vAlign w:val="bottom"/>
          </w:tcPr>
          <w:p w:rsidR="007E29BC" w:rsidRPr="001567C8" w:rsidRDefault="007E29BC" w:rsidP="0002177D">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489.326</w:t>
            </w:r>
          </w:p>
        </w:tc>
        <w:tc>
          <w:tcPr>
            <w:tcW w:w="789" w:type="pct"/>
            <w:tcBorders>
              <w:top w:val="nil"/>
              <w:left w:val="nil"/>
              <w:bottom w:val="nil"/>
              <w:right w:val="nil"/>
            </w:tcBorders>
            <w:shd w:val="clear" w:color="auto" w:fill="auto"/>
            <w:vAlign w:val="bottom"/>
          </w:tcPr>
          <w:p w:rsidR="007E29BC" w:rsidRPr="001567C8" w:rsidRDefault="007E29BC" w:rsidP="00213DD6">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305.552</w:t>
            </w:r>
          </w:p>
        </w:tc>
        <w:tc>
          <w:tcPr>
            <w:tcW w:w="789" w:type="pct"/>
            <w:tcBorders>
              <w:top w:val="nil"/>
              <w:left w:val="nil"/>
              <w:bottom w:val="nil"/>
              <w:right w:val="nil"/>
            </w:tcBorders>
            <w:shd w:val="clear" w:color="auto" w:fill="auto"/>
            <w:vAlign w:val="bottom"/>
          </w:tcPr>
          <w:p w:rsidR="007E29BC" w:rsidRPr="001567C8" w:rsidRDefault="007E29BC" w:rsidP="00B35D15">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489.326</w:t>
            </w:r>
          </w:p>
        </w:tc>
      </w:tr>
      <w:tr w:rsidR="007E29BC" w:rsidRPr="001567C8" w:rsidTr="003C6BA3">
        <w:trPr>
          <w:trHeight w:hRule="exact" w:val="284"/>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sz w:val="20"/>
                <w:szCs w:val="20"/>
                <w:lang w:val="hr-HR"/>
              </w:rPr>
            </w:pPr>
            <w:r w:rsidRPr="001567C8">
              <w:rPr>
                <w:rFonts w:asciiTheme="minorHAnsi" w:hAnsiTheme="minorHAnsi" w:cs="Arial"/>
                <w:sz w:val="20"/>
                <w:szCs w:val="20"/>
                <w:lang w:val="hr-HR"/>
              </w:rPr>
              <w:t>Beskamatno</w:t>
            </w:r>
          </w:p>
        </w:tc>
        <w:tc>
          <w:tcPr>
            <w:tcW w:w="789" w:type="pct"/>
            <w:tcBorders>
              <w:top w:val="nil"/>
              <w:left w:val="nil"/>
              <w:bottom w:val="single" w:sz="4" w:space="0" w:color="auto"/>
              <w:right w:val="nil"/>
            </w:tcBorders>
            <w:shd w:val="clear" w:color="auto" w:fill="auto"/>
            <w:vAlign w:val="bottom"/>
          </w:tcPr>
          <w:p w:rsidR="007E29BC" w:rsidRPr="001567C8" w:rsidRDefault="007E29BC" w:rsidP="00DF5433">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1.079.340</w:t>
            </w:r>
          </w:p>
        </w:tc>
        <w:tc>
          <w:tcPr>
            <w:tcW w:w="789" w:type="pct"/>
            <w:tcBorders>
              <w:top w:val="nil"/>
              <w:left w:val="nil"/>
              <w:bottom w:val="single" w:sz="4" w:space="0" w:color="auto"/>
              <w:right w:val="nil"/>
            </w:tcBorders>
            <w:shd w:val="clear" w:color="auto" w:fill="auto"/>
            <w:vAlign w:val="bottom"/>
          </w:tcPr>
          <w:p w:rsidR="007E29BC" w:rsidRPr="001567C8" w:rsidRDefault="008E59CB" w:rsidP="0002177D">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869.453</w:t>
            </w:r>
          </w:p>
        </w:tc>
        <w:tc>
          <w:tcPr>
            <w:tcW w:w="789" w:type="pct"/>
            <w:tcBorders>
              <w:top w:val="nil"/>
              <w:left w:val="nil"/>
              <w:bottom w:val="single" w:sz="4" w:space="0" w:color="auto"/>
              <w:right w:val="nil"/>
            </w:tcBorders>
            <w:shd w:val="clear" w:color="auto" w:fill="auto"/>
            <w:vAlign w:val="bottom"/>
          </w:tcPr>
          <w:p w:rsidR="007E29BC" w:rsidRPr="001567C8" w:rsidRDefault="007E29BC" w:rsidP="00213DD6">
            <w:pPr>
              <w:tabs>
                <w:tab w:val="left" w:pos="-720"/>
              </w:tabs>
              <w:suppressAutoHyphens/>
              <w:ind w:right="-5"/>
              <w:jc w:val="right"/>
              <w:rPr>
                <w:rFonts w:asciiTheme="minorHAnsi" w:hAnsiTheme="minorHAnsi" w:cs="Arial"/>
                <w:sz w:val="20"/>
                <w:szCs w:val="20"/>
                <w:lang w:val="hr-HR"/>
              </w:rPr>
            </w:pPr>
            <w:r w:rsidRPr="00CD3A2D">
              <w:rPr>
                <w:rFonts w:ascii="Calibri" w:hAnsi="Calibri" w:cs="Arial"/>
                <w:sz w:val="20"/>
                <w:szCs w:val="20"/>
                <w:lang w:val="hr-HR"/>
              </w:rPr>
              <w:t>1.066.38</w:t>
            </w:r>
            <w:r w:rsidR="0053143D" w:rsidRPr="00CD3A2D">
              <w:rPr>
                <w:rFonts w:ascii="Calibri" w:hAnsi="Calibri" w:cs="Arial"/>
                <w:sz w:val="20"/>
                <w:szCs w:val="20"/>
                <w:lang w:val="hr-HR"/>
              </w:rPr>
              <w:t>1</w:t>
            </w:r>
          </w:p>
        </w:tc>
        <w:tc>
          <w:tcPr>
            <w:tcW w:w="789" w:type="pct"/>
            <w:tcBorders>
              <w:top w:val="nil"/>
              <w:left w:val="nil"/>
              <w:bottom w:val="single" w:sz="4" w:space="0" w:color="auto"/>
              <w:right w:val="nil"/>
            </w:tcBorders>
            <w:shd w:val="clear" w:color="auto" w:fill="auto"/>
            <w:vAlign w:val="bottom"/>
          </w:tcPr>
          <w:p w:rsidR="007E29BC" w:rsidRPr="001567C8" w:rsidRDefault="008E59CB" w:rsidP="00B35D15">
            <w:pPr>
              <w:tabs>
                <w:tab w:val="left" w:pos="-720"/>
              </w:tabs>
              <w:suppressAutoHyphens/>
              <w:ind w:right="-5"/>
              <w:jc w:val="right"/>
              <w:rPr>
                <w:rFonts w:asciiTheme="minorHAnsi" w:hAnsiTheme="minorHAnsi" w:cs="Arial"/>
                <w:sz w:val="20"/>
                <w:szCs w:val="20"/>
                <w:lang w:val="hr-HR"/>
              </w:rPr>
            </w:pPr>
            <w:r w:rsidRPr="001567C8">
              <w:rPr>
                <w:rFonts w:asciiTheme="minorHAnsi" w:hAnsiTheme="minorHAnsi" w:cs="Arial"/>
                <w:sz w:val="20"/>
                <w:szCs w:val="20"/>
                <w:lang w:val="hr-HR"/>
              </w:rPr>
              <w:t>856.651</w:t>
            </w:r>
          </w:p>
        </w:tc>
      </w:tr>
      <w:tr w:rsidR="007E29BC" w:rsidRPr="001567C8" w:rsidTr="003C6BA3">
        <w:trPr>
          <w:trHeight w:hRule="exact" w:val="397"/>
        </w:trPr>
        <w:tc>
          <w:tcPr>
            <w:tcW w:w="1844" w:type="pct"/>
            <w:shd w:val="clear" w:color="auto" w:fill="auto"/>
            <w:vAlign w:val="bottom"/>
          </w:tcPr>
          <w:p w:rsidR="007E29BC" w:rsidRPr="001567C8" w:rsidRDefault="007E29BC" w:rsidP="007E29BC">
            <w:pPr>
              <w:tabs>
                <w:tab w:val="left" w:pos="-720"/>
              </w:tabs>
              <w:suppressAutoHyphens/>
              <w:spacing w:line="240" w:lineRule="exact"/>
              <w:ind w:right="-6"/>
              <w:rPr>
                <w:rFonts w:asciiTheme="minorHAnsi" w:hAnsiTheme="minorHAnsi" w:cs="Arial"/>
                <w:sz w:val="20"/>
                <w:szCs w:val="20"/>
                <w:lang w:val="hr-HR"/>
              </w:rPr>
            </w:pPr>
            <w:r w:rsidRPr="001567C8">
              <w:rPr>
                <w:rFonts w:asciiTheme="minorHAnsi" w:hAnsiTheme="minorHAnsi" w:cs="Arial"/>
                <w:b/>
                <w:sz w:val="20"/>
                <w:szCs w:val="20"/>
                <w:lang w:val="hr-HR"/>
              </w:rPr>
              <w:t>Ukupne obveze</w:t>
            </w:r>
          </w:p>
        </w:tc>
        <w:tc>
          <w:tcPr>
            <w:tcW w:w="789" w:type="pct"/>
            <w:tcBorders>
              <w:top w:val="single" w:sz="4" w:space="0" w:color="auto"/>
              <w:left w:val="nil"/>
              <w:bottom w:val="single" w:sz="12" w:space="0" w:color="auto"/>
              <w:right w:val="nil"/>
            </w:tcBorders>
            <w:shd w:val="clear" w:color="auto" w:fill="auto"/>
            <w:vAlign w:val="bottom"/>
          </w:tcPr>
          <w:p w:rsidR="007E29BC" w:rsidRPr="00CD3A2D" w:rsidRDefault="007E29BC" w:rsidP="00DF5433">
            <w:pPr>
              <w:tabs>
                <w:tab w:val="left" w:pos="-720"/>
              </w:tabs>
              <w:suppressAutoHyphens/>
              <w:ind w:right="-5"/>
              <w:jc w:val="right"/>
              <w:rPr>
                <w:rFonts w:ascii="Calibri" w:hAnsi="Calibri" w:cs="Arial"/>
                <w:b/>
                <w:sz w:val="20"/>
                <w:szCs w:val="20"/>
                <w:lang w:val="hr-HR"/>
              </w:rPr>
            </w:pPr>
            <w:r w:rsidRPr="00CD3A2D">
              <w:rPr>
                <w:rFonts w:ascii="Calibri" w:hAnsi="Calibri" w:cs="Arial"/>
                <w:b/>
                <w:sz w:val="20"/>
                <w:szCs w:val="20"/>
                <w:lang w:val="hr-HR"/>
              </w:rPr>
              <w:t>17.157.874</w:t>
            </w:r>
          </w:p>
        </w:tc>
        <w:tc>
          <w:tcPr>
            <w:tcW w:w="789" w:type="pct"/>
            <w:tcBorders>
              <w:top w:val="single" w:sz="4" w:space="0" w:color="auto"/>
              <w:left w:val="nil"/>
              <w:bottom w:val="single" w:sz="12" w:space="0" w:color="auto"/>
              <w:right w:val="nil"/>
            </w:tcBorders>
            <w:shd w:val="clear" w:color="auto" w:fill="auto"/>
            <w:vAlign w:val="bottom"/>
          </w:tcPr>
          <w:p w:rsidR="007E29BC" w:rsidRPr="00CD3A2D" w:rsidRDefault="008E59CB" w:rsidP="0002177D">
            <w:pPr>
              <w:tabs>
                <w:tab w:val="left" w:pos="-720"/>
              </w:tabs>
              <w:suppressAutoHyphens/>
              <w:ind w:right="-5"/>
              <w:jc w:val="right"/>
              <w:rPr>
                <w:rFonts w:ascii="Calibri" w:hAnsi="Calibri" w:cs="Arial"/>
                <w:b/>
                <w:sz w:val="20"/>
                <w:szCs w:val="20"/>
                <w:lang w:val="hr-HR"/>
              </w:rPr>
            </w:pPr>
            <w:r w:rsidRPr="00CD3A2D">
              <w:rPr>
                <w:rFonts w:ascii="Calibri" w:hAnsi="Calibri" w:cs="Arial"/>
                <w:b/>
                <w:sz w:val="20"/>
                <w:szCs w:val="20"/>
                <w:lang w:val="hr-HR"/>
              </w:rPr>
              <w:t>17.799.774</w:t>
            </w:r>
          </w:p>
        </w:tc>
        <w:tc>
          <w:tcPr>
            <w:tcW w:w="789" w:type="pct"/>
            <w:tcBorders>
              <w:top w:val="single" w:sz="4" w:space="0" w:color="auto"/>
              <w:left w:val="nil"/>
              <w:bottom w:val="single" w:sz="12" w:space="0" w:color="auto"/>
              <w:right w:val="nil"/>
            </w:tcBorders>
            <w:shd w:val="clear" w:color="auto" w:fill="auto"/>
            <w:vAlign w:val="bottom"/>
          </w:tcPr>
          <w:p w:rsidR="007E29BC" w:rsidRPr="00CD3A2D" w:rsidRDefault="007E29BC" w:rsidP="00213DD6">
            <w:pPr>
              <w:tabs>
                <w:tab w:val="left" w:pos="-720"/>
              </w:tabs>
              <w:suppressAutoHyphens/>
              <w:ind w:right="-5"/>
              <w:jc w:val="right"/>
              <w:rPr>
                <w:rFonts w:ascii="Calibri" w:hAnsi="Calibri" w:cs="Arial"/>
                <w:b/>
                <w:sz w:val="20"/>
                <w:szCs w:val="20"/>
                <w:lang w:val="hr-HR"/>
              </w:rPr>
            </w:pPr>
            <w:r w:rsidRPr="00CD3A2D">
              <w:rPr>
                <w:rFonts w:ascii="Calibri" w:hAnsi="Calibri" w:cs="Arial"/>
                <w:b/>
                <w:sz w:val="20"/>
                <w:szCs w:val="20"/>
                <w:lang w:val="hr-HR"/>
              </w:rPr>
              <w:t>17.144.91</w:t>
            </w:r>
            <w:r w:rsidR="0053143D" w:rsidRPr="00CD3A2D">
              <w:rPr>
                <w:rFonts w:ascii="Calibri" w:hAnsi="Calibri" w:cs="Arial"/>
                <w:b/>
                <w:sz w:val="20"/>
                <w:szCs w:val="20"/>
                <w:lang w:val="hr-HR"/>
              </w:rPr>
              <w:t>5</w:t>
            </w:r>
          </w:p>
        </w:tc>
        <w:tc>
          <w:tcPr>
            <w:tcW w:w="789" w:type="pct"/>
            <w:tcBorders>
              <w:top w:val="single" w:sz="4" w:space="0" w:color="auto"/>
              <w:left w:val="nil"/>
              <w:bottom w:val="single" w:sz="12" w:space="0" w:color="auto"/>
              <w:right w:val="nil"/>
            </w:tcBorders>
            <w:shd w:val="clear" w:color="auto" w:fill="auto"/>
            <w:vAlign w:val="bottom"/>
          </w:tcPr>
          <w:p w:rsidR="007E29BC" w:rsidRPr="00CD3A2D" w:rsidRDefault="008E59CB">
            <w:pPr>
              <w:tabs>
                <w:tab w:val="left" w:pos="-720"/>
              </w:tabs>
              <w:suppressAutoHyphens/>
              <w:ind w:right="-5"/>
              <w:jc w:val="right"/>
              <w:rPr>
                <w:rFonts w:ascii="Calibri" w:hAnsi="Calibri" w:cs="Arial"/>
                <w:b/>
                <w:sz w:val="20"/>
                <w:szCs w:val="20"/>
                <w:lang w:val="hr-HR"/>
              </w:rPr>
            </w:pPr>
            <w:r w:rsidRPr="00CD3A2D">
              <w:rPr>
                <w:rFonts w:ascii="Calibri" w:hAnsi="Calibri" w:cs="Arial"/>
                <w:b/>
                <w:sz w:val="20"/>
                <w:szCs w:val="20"/>
                <w:lang w:val="hr-HR"/>
              </w:rPr>
              <w:t>17.786.972</w:t>
            </w:r>
          </w:p>
        </w:tc>
      </w:tr>
    </w:tbl>
    <w:p w:rsidR="00D37D6B" w:rsidRPr="001567C8" w:rsidRDefault="00D37D6B" w:rsidP="00085C3C">
      <w:pPr>
        <w:pStyle w:val="T1"/>
        <w:spacing w:after="0" w:line="240" w:lineRule="auto"/>
        <w:rPr>
          <w:rFonts w:asciiTheme="minorHAnsi" w:hAnsiTheme="minorHAnsi" w:cs="Arial"/>
          <w:sz w:val="22"/>
          <w:szCs w:val="22"/>
          <w:lang w:val="hr-HR"/>
        </w:rPr>
      </w:pPr>
    </w:p>
    <w:p w:rsidR="007C0A5A" w:rsidRPr="001567C8" w:rsidRDefault="007C0A5A" w:rsidP="00085C3C">
      <w:pPr>
        <w:pStyle w:val="T1"/>
        <w:spacing w:after="0" w:line="240" w:lineRule="auto"/>
        <w:rPr>
          <w:rFonts w:asciiTheme="minorHAnsi" w:hAnsiTheme="minorHAnsi" w:cs="Arial"/>
          <w:sz w:val="22"/>
          <w:szCs w:val="22"/>
          <w:lang w:val="hr-HR"/>
        </w:rPr>
      </w:pPr>
    </w:p>
    <w:p w:rsidR="007C0A5A" w:rsidRPr="001567C8" w:rsidRDefault="007C0A5A" w:rsidP="00085C3C">
      <w:pPr>
        <w:pStyle w:val="T1"/>
        <w:spacing w:after="0" w:line="240" w:lineRule="auto"/>
        <w:rPr>
          <w:rFonts w:asciiTheme="minorHAnsi" w:hAnsiTheme="minorHAnsi" w:cs="Arial"/>
          <w:sz w:val="22"/>
          <w:szCs w:val="22"/>
          <w:lang w:val="hr-HR"/>
        </w:rPr>
      </w:pPr>
    </w:p>
    <w:p w:rsidR="00256A4B" w:rsidRPr="001567C8" w:rsidRDefault="00256A4B" w:rsidP="00085C3C">
      <w:pPr>
        <w:pStyle w:val="T1"/>
        <w:spacing w:after="0" w:line="240" w:lineRule="auto"/>
        <w:rPr>
          <w:rFonts w:asciiTheme="minorHAnsi" w:hAnsiTheme="minorHAnsi" w:cs="Arial"/>
          <w:sz w:val="22"/>
          <w:szCs w:val="22"/>
          <w:lang w:val="hr-HR"/>
        </w:rPr>
      </w:pPr>
    </w:p>
    <w:p w:rsidR="007C0A5A" w:rsidRPr="001567C8" w:rsidRDefault="007C0A5A" w:rsidP="00085C3C">
      <w:pPr>
        <w:pStyle w:val="T1"/>
        <w:spacing w:after="0" w:line="240" w:lineRule="auto"/>
        <w:rPr>
          <w:rFonts w:asciiTheme="minorHAnsi" w:hAnsiTheme="minorHAnsi" w:cs="Arial"/>
          <w:sz w:val="22"/>
          <w:szCs w:val="22"/>
          <w:lang w:val="hr-HR"/>
        </w:rPr>
      </w:pPr>
    </w:p>
    <w:p w:rsidR="007C0A5A" w:rsidRPr="001567C8" w:rsidRDefault="007C0A5A" w:rsidP="00085C3C">
      <w:pPr>
        <w:pStyle w:val="T1"/>
        <w:spacing w:after="0" w:line="240" w:lineRule="auto"/>
        <w:rPr>
          <w:rFonts w:asciiTheme="minorHAnsi" w:hAnsiTheme="minorHAnsi" w:cs="Arial"/>
          <w:sz w:val="22"/>
          <w:szCs w:val="22"/>
          <w:lang w:val="hr-HR"/>
        </w:rPr>
        <w:sectPr w:rsidR="007C0A5A" w:rsidRPr="001567C8" w:rsidSect="0077198A">
          <w:pgSz w:w="11907" w:h="16840" w:code="9"/>
          <w:pgMar w:top="1418" w:right="1134" w:bottom="1134" w:left="1418" w:header="851" w:footer="851" w:gutter="0"/>
          <w:cols w:space="720"/>
          <w:noEndnote/>
        </w:sectPr>
      </w:pPr>
    </w:p>
    <w:p w:rsidR="00142CFB" w:rsidRPr="001567C8" w:rsidRDefault="00142CFB" w:rsidP="00142CFB">
      <w:pPr>
        <w:pStyle w:val="T1"/>
        <w:spacing w:before="0" w:after="0" w:line="240" w:lineRule="auto"/>
        <w:ind w:left="709" w:hanging="709"/>
        <w:rPr>
          <w:rFonts w:asciiTheme="minorHAnsi" w:hAnsiTheme="minorHAnsi" w:cs="Arial"/>
          <w:sz w:val="22"/>
          <w:szCs w:val="22"/>
          <w:lang w:val="hr-HR"/>
        </w:rPr>
      </w:pPr>
    </w:p>
    <w:p w:rsidR="0041036C" w:rsidRPr="001567C8" w:rsidRDefault="00DF5433" w:rsidP="00142CFB">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F21AC7" w:rsidRPr="001567C8">
        <w:rPr>
          <w:rFonts w:asciiTheme="minorHAnsi" w:hAnsiTheme="minorHAnsi" w:cs="Arial"/>
          <w:sz w:val="22"/>
          <w:szCs w:val="22"/>
          <w:lang w:val="hr-HR"/>
        </w:rPr>
        <w:t xml:space="preserve">.        </w:t>
      </w:r>
      <w:r w:rsidR="0041036C" w:rsidRPr="001567C8">
        <w:rPr>
          <w:rFonts w:asciiTheme="minorHAnsi" w:hAnsiTheme="minorHAnsi" w:cs="Arial"/>
          <w:sz w:val="22"/>
          <w:szCs w:val="22"/>
          <w:lang w:val="hr-HR"/>
        </w:rPr>
        <w:t>Upravljanje rizicima (nastavak)</w:t>
      </w:r>
    </w:p>
    <w:p w:rsidR="00142CFB" w:rsidRPr="001567C8" w:rsidRDefault="00142CFB" w:rsidP="00142CFB">
      <w:pPr>
        <w:pStyle w:val="T1"/>
        <w:spacing w:before="0" w:after="0" w:line="240" w:lineRule="auto"/>
        <w:ind w:left="709" w:hanging="709"/>
        <w:rPr>
          <w:rFonts w:asciiTheme="minorHAnsi" w:hAnsiTheme="minorHAnsi" w:cs="Arial"/>
          <w:sz w:val="22"/>
          <w:szCs w:val="22"/>
          <w:lang w:val="hr-HR"/>
        </w:rPr>
      </w:pPr>
    </w:p>
    <w:p w:rsidR="0041036C" w:rsidRPr="001567C8" w:rsidRDefault="00674AD9" w:rsidP="00142CFB">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DF5433" w:rsidRPr="001567C8">
        <w:rPr>
          <w:rFonts w:asciiTheme="minorHAnsi" w:hAnsiTheme="minorHAnsi" w:cs="Arial"/>
          <w:sz w:val="22"/>
          <w:szCs w:val="22"/>
          <w:lang w:val="hr-HR"/>
        </w:rPr>
        <w:t>6</w:t>
      </w:r>
      <w:r w:rsidR="0041036C"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41036C" w:rsidRPr="001567C8">
        <w:rPr>
          <w:rFonts w:asciiTheme="minorHAnsi" w:hAnsiTheme="minorHAnsi" w:cs="Arial"/>
          <w:sz w:val="22"/>
          <w:szCs w:val="22"/>
          <w:lang w:val="hr-HR"/>
        </w:rPr>
        <w:t xml:space="preserve">. </w:t>
      </w:r>
      <w:r w:rsidR="00F21AC7" w:rsidRPr="001567C8">
        <w:rPr>
          <w:rFonts w:asciiTheme="minorHAnsi" w:hAnsiTheme="minorHAnsi" w:cs="Arial"/>
          <w:sz w:val="22"/>
          <w:szCs w:val="22"/>
          <w:lang w:val="hr-HR"/>
        </w:rPr>
        <w:t xml:space="preserve">    </w:t>
      </w:r>
      <w:r w:rsidR="0041036C" w:rsidRPr="001567C8">
        <w:rPr>
          <w:rFonts w:asciiTheme="minorHAnsi" w:hAnsiTheme="minorHAnsi" w:cs="Arial"/>
          <w:sz w:val="22"/>
          <w:szCs w:val="22"/>
          <w:lang w:val="hr-HR"/>
        </w:rPr>
        <w:t>Tržišni rizik (nastavak)</w:t>
      </w:r>
    </w:p>
    <w:p w:rsidR="00142CFB" w:rsidRPr="001567C8" w:rsidRDefault="00142CFB" w:rsidP="00142CFB">
      <w:pPr>
        <w:pStyle w:val="T1"/>
        <w:spacing w:before="0" w:after="0" w:line="240" w:lineRule="auto"/>
        <w:ind w:left="709" w:hanging="709"/>
        <w:rPr>
          <w:rFonts w:asciiTheme="minorHAnsi" w:hAnsiTheme="minorHAnsi" w:cs="Arial"/>
          <w:sz w:val="22"/>
          <w:szCs w:val="22"/>
          <w:lang w:val="hr-HR"/>
        </w:rPr>
      </w:pPr>
    </w:p>
    <w:p w:rsidR="0041036C" w:rsidRPr="001567C8" w:rsidRDefault="00674AD9" w:rsidP="00142CFB">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DF5433" w:rsidRPr="001567C8">
        <w:rPr>
          <w:rFonts w:asciiTheme="minorHAnsi" w:hAnsiTheme="minorHAnsi" w:cs="Arial"/>
          <w:sz w:val="22"/>
          <w:szCs w:val="22"/>
          <w:lang w:val="hr-HR"/>
        </w:rPr>
        <w:t>6</w:t>
      </w:r>
      <w:r w:rsidR="0041036C"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41036C" w:rsidRPr="001567C8">
        <w:rPr>
          <w:rFonts w:asciiTheme="minorHAnsi" w:hAnsiTheme="minorHAnsi" w:cs="Arial"/>
          <w:sz w:val="22"/>
          <w:szCs w:val="22"/>
          <w:lang w:val="hr-HR"/>
        </w:rPr>
        <w:t xml:space="preserve">.1. </w:t>
      </w:r>
      <w:r w:rsidR="00F21AC7" w:rsidRPr="001567C8">
        <w:rPr>
          <w:rFonts w:asciiTheme="minorHAnsi" w:hAnsiTheme="minorHAnsi" w:cs="Arial"/>
          <w:sz w:val="22"/>
          <w:szCs w:val="22"/>
          <w:lang w:val="hr-HR"/>
        </w:rPr>
        <w:t xml:space="preserve"> </w:t>
      </w:r>
      <w:r w:rsidR="0041036C" w:rsidRPr="001567C8">
        <w:rPr>
          <w:rFonts w:asciiTheme="minorHAnsi" w:hAnsiTheme="minorHAnsi" w:cs="Arial"/>
          <w:sz w:val="22"/>
          <w:szCs w:val="22"/>
          <w:lang w:val="hr-HR"/>
        </w:rPr>
        <w:t xml:space="preserve">Kamatni rizik </w:t>
      </w:r>
      <w:r w:rsidR="00BC68BE" w:rsidRPr="001567C8">
        <w:rPr>
          <w:rFonts w:asciiTheme="minorHAnsi" w:hAnsiTheme="minorHAnsi" w:cs="Arial"/>
          <w:sz w:val="22"/>
          <w:szCs w:val="22"/>
          <w:lang w:val="hr-HR"/>
        </w:rPr>
        <w:t xml:space="preserve">u knjizi banke </w:t>
      </w:r>
      <w:r w:rsidR="0041036C" w:rsidRPr="001567C8">
        <w:rPr>
          <w:rFonts w:asciiTheme="minorHAnsi" w:hAnsiTheme="minorHAnsi" w:cs="Arial"/>
          <w:sz w:val="22"/>
          <w:szCs w:val="22"/>
          <w:lang w:val="hr-HR"/>
        </w:rPr>
        <w:t>(nastavak)</w:t>
      </w:r>
    </w:p>
    <w:p w:rsidR="00142CFB" w:rsidRPr="001567C8" w:rsidRDefault="00142CFB" w:rsidP="00142CFB">
      <w:pPr>
        <w:jc w:val="both"/>
        <w:rPr>
          <w:rFonts w:asciiTheme="minorHAnsi" w:hAnsiTheme="minorHAnsi" w:cs="Arial"/>
          <w:b/>
          <w:bCs/>
          <w:sz w:val="22"/>
          <w:szCs w:val="22"/>
          <w:lang w:val="hr-HR"/>
        </w:rPr>
      </w:pPr>
    </w:p>
    <w:p w:rsidR="00B36A45" w:rsidRPr="001567C8" w:rsidRDefault="008006C5" w:rsidP="00142CFB">
      <w:pPr>
        <w:jc w:val="both"/>
        <w:rPr>
          <w:rFonts w:asciiTheme="minorHAnsi" w:hAnsiTheme="minorHAnsi" w:cs="Arial"/>
          <w:b/>
          <w:bCs/>
          <w:sz w:val="22"/>
          <w:szCs w:val="22"/>
          <w:lang w:val="hr-HR"/>
        </w:rPr>
      </w:pPr>
      <w:r w:rsidRPr="001567C8">
        <w:rPr>
          <w:rFonts w:asciiTheme="minorHAnsi" w:hAnsiTheme="minorHAnsi" w:cs="Arial"/>
          <w:b/>
          <w:bCs/>
          <w:sz w:val="22"/>
          <w:szCs w:val="22"/>
          <w:lang w:val="hr-HR"/>
        </w:rPr>
        <w:t>An</w:t>
      </w:r>
      <w:r w:rsidR="00733FD4" w:rsidRPr="001567C8">
        <w:rPr>
          <w:rFonts w:asciiTheme="minorHAnsi" w:hAnsiTheme="minorHAnsi" w:cs="Arial"/>
          <w:b/>
          <w:bCs/>
          <w:sz w:val="22"/>
          <w:szCs w:val="22"/>
          <w:lang w:val="hr-HR"/>
        </w:rPr>
        <w:t>aliza osjetljivosti</w:t>
      </w:r>
    </w:p>
    <w:p w:rsidR="00142CFB" w:rsidRPr="001567C8" w:rsidRDefault="00142CFB" w:rsidP="00142CFB">
      <w:pPr>
        <w:keepNext/>
        <w:jc w:val="both"/>
        <w:rPr>
          <w:rFonts w:asciiTheme="minorHAnsi" w:hAnsiTheme="minorHAnsi" w:cs="Arial"/>
          <w:sz w:val="22"/>
          <w:szCs w:val="22"/>
          <w:lang w:val="hr-HR"/>
        </w:rPr>
      </w:pPr>
    </w:p>
    <w:p w:rsidR="00B36A45" w:rsidRPr="001567C8" w:rsidRDefault="00B36A45" w:rsidP="00E266C9">
      <w:pPr>
        <w:keepNext/>
        <w:jc w:val="both"/>
        <w:rPr>
          <w:rFonts w:asciiTheme="minorHAnsi" w:hAnsiTheme="minorHAnsi" w:cs="Arial"/>
          <w:sz w:val="22"/>
          <w:szCs w:val="22"/>
          <w:lang w:val="hr-HR"/>
        </w:rPr>
      </w:pPr>
      <w:r w:rsidRPr="001567C8">
        <w:rPr>
          <w:rFonts w:asciiTheme="minorHAnsi" w:hAnsiTheme="minorHAnsi" w:cs="Arial"/>
          <w:sz w:val="22"/>
          <w:szCs w:val="22"/>
          <w:lang w:val="hr-HR"/>
        </w:rPr>
        <w:t>Postavke korištene u izradi analize osjetljivosti za kamatni rizik vezane su uz</w:t>
      </w:r>
      <w:r w:rsidR="0097276E" w:rsidRPr="001567C8">
        <w:rPr>
          <w:rFonts w:asciiTheme="minorHAnsi" w:hAnsiTheme="minorHAnsi" w:cs="Arial"/>
          <w:sz w:val="22"/>
          <w:szCs w:val="22"/>
          <w:lang w:val="hr-HR"/>
        </w:rPr>
        <w:t xml:space="preserve"> moguće</w:t>
      </w:r>
      <w:r w:rsidRPr="001567C8">
        <w:rPr>
          <w:rFonts w:asciiTheme="minorHAnsi" w:hAnsiTheme="minorHAnsi" w:cs="Arial"/>
          <w:sz w:val="22"/>
          <w:szCs w:val="22"/>
          <w:lang w:val="hr-HR"/>
        </w:rPr>
        <w:t xml:space="preserve"> promjene</w:t>
      </w:r>
      <w:r w:rsidR="000217AC" w:rsidRPr="001567C8">
        <w:rPr>
          <w:rFonts w:asciiTheme="minorHAnsi" w:hAnsiTheme="minorHAnsi" w:cs="Arial"/>
          <w:sz w:val="22"/>
          <w:szCs w:val="22"/>
          <w:lang w:val="hr-HR"/>
        </w:rPr>
        <w:t xml:space="preserve"> </w:t>
      </w:r>
      <w:r w:rsidRPr="001567C8">
        <w:rPr>
          <w:rFonts w:asciiTheme="minorHAnsi" w:hAnsiTheme="minorHAnsi" w:cs="Arial"/>
          <w:sz w:val="22"/>
          <w:szCs w:val="22"/>
          <w:lang w:val="hr-HR"/>
        </w:rPr>
        <w:t>referentnih kamatnih stopa radi procjene hipotetskog utjecaja na dobit HBOR-a.</w:t>
      </w:r>
    </w:p>
    <w:p w:rsidR="00142CFB" w:rsidRPr="001567C8" w:rsidRDefault="00142CFB" w:rsidP="001D233C">
      <w:pPr>
        <w:keepNext/>
        <w:jc w:val="both"/>
        <w:rPr>
          <w:rFonts w:asciiTheme="minorHAnsi" w:hAnsiTheme="minorHAnsi" w:cs="Arial"/>
          <w:sz w:val="22"/>
          <w:szCs w:val="22"/>
          <w:lang w:val="hr-HR"/>
        </w:rPr>
      </w:pPr>
    </w:p>
    <w:p w:rsidR="00B36A45" w:rsidRPr="001567C8" w:rsidRDefault="00B36A45" w:rsidP="00014EE0">
      <w:pPr>
        <w:keepNext/>
        <w:jc w:val="both"/>
        <w:rPr>
          <w:rFonts w:asciiTheme="minorHAnsi" w:hAnsiTheme="minorHAnsi" w:cs="Arial"/>
          <w:sz w:val="22"/>
          <w:szCs w:val="22"/>
          <w:lang w:val="hr-HR"/>
        </w:rPr>
      </w:pPr>
      <w:r w:rsidRPr="001567C8">
        <w:rPr>
          <w:rFonts w:asciiTheme="minorHAnsi" w:hAnsiTheme="minorHAnsi" w:cs="Arial"/>
          <w:sz w:val="22"/>
          <w:szCs w:val="22"/>
          <w:lang w:val="hr-HR"/>
        </w:rPr>
        <w:t>Primjenom metode standard</w:t>
      </w:r>
      <w:r w:rsidR="00B85B07" w:rsidRPr="001567C8">
        <w:rPr>
          <w:rFonts w:asciiTheme="minorHAnsi" w:hAnsiTheme="minorHAnsi" w:cs="Arial"/>
          <w:sz w:val="22"/>
          <w:szCs w:val="22"/>
          <w:lang w:val="hr-HR"/>
        </w:rPr>
        <w:t>n</w:t>
      </w:r>
      <w:r w:rsidRPr="001567C8">
        <w:rPr>
          <w:rFonts w:asciiTheme="minorHAnsi" w:hAnsiTheme="minorHAnsi" w:cs="Arial"/>
          <w:sz w:val="22"/>
          <w:szCs w:val="22"/>
          <w:lang w:val="hr-HR"/>
        </w:rPr>
        <w:t>e devijacije na dnevne promjene referentn</w:t>
      </w:r>
      <w:r w:rsidR="000217AC" w:rsidRPr="001567C8">
        <w:rPr>
          <w:rFonts w:asciiTheme="minorHAnsi" w:hAnsiTheme="minorHAnsi" w:cs="Arial"/>
          <w:sz w:val="22"/>
          <w:szCs w:val="22"/>
          <w:lang w:val="hr-HR"/>
        </w:rPr>
        <w:t>ih</w:t>
      </w:r>
      <w:r w:rsidRPr="001567C8">
        <w:rPr>
          <w:rFonts w:asciiTheme="minorHAnsi" w:hAnsiTheme="minorHAnsi" w:cs="Arial"/>
          <w:sz w:val="22"/>
          <w:szCs w:val="22"/>
          <w:lang w:val="hr-HR"/>
        </w:rPr>
        <w:t xml:space="preserve"> kamatn</w:t>
      </w:r>
      <w:r w:rsidR="000217AC" w:rsidRPr="001567C8">
        <w:rPr>
          <w:rFonts w:asciiTheme="minorHAnsi" w:hAnsiTheme="minorHAnsi" w:cs="Arial"/>
          <w:sz w:val="22"/>
          <w:szCs w:val="22"/>
          <w:lang w:val="hr-HR"/>
        </w:rPr>
        <w:t>ih</w:t>
      </w:r>
      <w:r w:rsidRPr="001567C8">
        <w:rPr>
          <w:rFonts w:asciiTheme="minorHAnsi" w:hAnsiTheme="minorHAnsi" w:cs="Arial"/>
          <w:sz w:val="22"/>
          <w:szCs w:val="22"/>
          <w:lang w:val="hr-HR"/>
        </w:rPr>
        <w:t xml:space="preserve"> stop</w:t>
      </w:r>
      <w:r w:rsidR="000217AC" w:rsidRPr="001567C8">
        <w:rPr>
          <w:rFonts w:asciiTheme="minorHAnsi" w:hAnsiTheme="minorHAnsi" w:cs="Arial"/>
          <w:sz w:val="22"/>
          <w:szCs w:val="22"/>
          <w:lang w:val="hr-HR"/>
        </w:rPr>
        <w:t>a</w:t>
      </w:r>
      <w:r w:rsidRPr="001567C8">
        <w:rPr>
          <w:rFonts w:asciiTheme="minorHAnsi" w:hAnsiTheme="minorHAnsi" w:cs="Arial"/>
          <w:sz w:val="22"/>
          <w:szCs w:val="22"/>
          <w:lang w:val="hr-HR"/>
        </w:rPr>
        <w:t xml:space="preserve"> vezan</w:t>
      </w:r>
      <w:r w:rsidR="000217AC" w:rsidRPr="001567C8">
        <w:rPr>
          <w:rFonts w:asciiTheme="minorHAnsi" w:hAnsiTheme="minorHAnsi" w:cs="Arial"/>
          <w:sz w:val="22"/>
          <w:szCs w:val="22"/>
          <w:lang w:val="hr-HR"/>
        </w:rPr>
        <w:t>ih</w:t>
      </w:r>
      <w:r w:rsidRPr="001567C8">
        <w:rPr>
          <w:rFonts w:asciiTheme="minorHAnsi" w:hAnsiTheme="minorHAnsi" w:cs="Arial"/>
          <w:sz w:val="22"/>
          <w:szCs w:val="22"/>
          <w:lang w:val="hr-HR"/>
        </w:rPr>
        <w:t xml:space="preserve"> uz EUR</w:t>
      </w:r>
      <w:r w:rsidR="00D75A53" w:rsidRPr="001567C8">
        <w:rPr>
          <w:rFonts w:asciiTheme="minorHAnsi" w:hAnsiTheme="minorHAnsi"/>
          <w:sz w:val="22"/>
          <w:szCs w:val="22"/>
          <w:lang w:val="hr-HR"/>
        </w:rPr>
        <w:t xml:space="preserve"> </w:t>
      </w:r>
      <w:r w:rsidR="00D75A53" w:rsidRPr="001567C8">
        <w:rPr>
          <w:rFonts w:asciiTheme="minorHAnsi" w:hAnsiTheme="minorHAnsi" w:cs="Arial"/>
          <w:sz w:val="22"/>
          <w:szCs w:val="22"/>
          <w:lang w:val="hr-HR"/>
        </w:rPr>
        <w:t>i USD</w:t>
      </w:r>
      <w:r w:rsidRPr="001567C8">
        <w:rPr>
          <w:rFonts w:asciiTheme="minorHAnsi" w:hAnsiTheme="minorHAnsi" w:cs="Arial"/>
          <w:sz w:val="22"/>
          <w:szCs w:val="22"/>
          <w:lang w:val="hr-HR"/>
        </w:rPr>
        <w:t xml:space="preserve"> utvrđena je volatilnost</w:t>
      </w:r>
      <w:r w:rsidR="000217AC" w:rsidRPr="001567C8">
        <w:rPr>
          <w:rFonts w:asciiTheme="minorHAnsi" w:hAnsiTheme="minorHAnsi" w:cs="Arial"/>
          <w:sz w:val="22"/>
          <w:szCs w:val="22"/>
          <w:lang w:val="hr-HR"/>
        </w:rPr>
        <w:t xml:space="preserve"> navedenih stopa u</w:t>
      </w:r>
      <w:r w:rsidRPr="001567C8">
        <w:rPr>
          <w:rFonts w:asciiTheme="minorHAnsi" w:hAnsiTheme="minorHAnsi" w:cs="Arial"/>
          <w:sz w:val="22"/>
          <w:szCs w:val="22"/>
          <w:lang w:val="hr-HR"/>
        </w:rPr>
        <w:t xml:space="preserve"> </w:t>
      </w:r>
      <w:r w:rsidR="007E29BC" w:rsidRPr="001567C8">
        <w:rPr>
          <w:rFonts w:asciiTheme="minorHAnsi" w:hAnsiTheme="minorHAnsi" w:cs="Arial"/>
          <w:sz w:val="22"/>
          <w:szCs w:val="22"/>
          <w:lang w:val="hr-HR"/>
        </w:rPr>
        <w:t>2018</w:t>
      </w:r>
      <w:r w:rsidRPr="001567C8">
        <w:rPr>
          <w:rFonts w:asciiTheme="minorHAnsi" w:hAnsiTheme="minorHAnsi" w:cs="Arial"/>
          <w:sz w:val="22"/>
          <w:szCs w:val="22"/>
          <w:lang w:val="hr-HR"/>
        </w:rPr>
        <w:t>. godin</w:t>
      </w:r>
      <w:r w:rsidR="000217AC" w:rsidRPr="001567C8">
        <w:rPr>
          <w:rFonts w:asciiTheme="minorHAnsi" w:hAnsiTheme="minorHAnsi" w:cs="Arial"/>
          <w:sz w:val="22"/>
          <w:szCs w:val="22"/>
          <w:lang w:val="hr-HR"/>
        </w:rPr>
        <w:t>i. Temeljem ovih volatilnosti utvrđene su veličine mogućih promjena referentnih kamatnih stopa vezanih uz EUR</w:t>
      </w:r>
      <w:r w:rsidR="00D75A53" w:rsidRPr="001567C8">
        <w:rPr>
          <w:rFonts w:asciiTheme="minorHAnsi" w:hAnsiTheme="minorHAnsi"/>
          <w:sz w:val="22"/>
          <w:szCs w:val="22"/>
          <w:lang w:val="hr-HR"/>
        </w:rPr>
        <w:t xml:space="preserve"> </w:t>
      </w:r>
      <w:r w:rsidR="00D75A53" w:rsidRPr="001567C8">
        <w:rPr>
          <w:rFonts w:asciiTheme="minorHAnsi" w:hAnsiTheme="minorHAnsi" w:cs="Arial"/>
          <w:sz w:val="22"/>
          <w:szCs w:val="22"/>
          <w:lang w:val="hr-HR"/>
        </w:rPr>
        <w:t>i USD</w:t>
      </w:r>
      <w:r w:rsidR="000217AC" w:rsidRPr="001567C8">
        <w:rPr>
          <w:rFonts w:asciiTheme="minorHAnsi" w:hAnsiTheme="minorHAnsi" w:cs="Arial"/>
          <w:sz w:val="22"/>
          <w:szCs w:val="22"/>
          <w:lang w:val="hr-HR"/>
        </w:rPr>
        <w:t xml:space="preserve"> koje su primijenjene u analizi osjetljivosti.</w:t>
      </w:r>
    </w:p>
    <w:p w:rsidR="00142CFB" w:rsidRPr="001567C8" w:rsidRDefault="00142CFB">
      <w:pPr>
        <w:keepNext/>
        <w:jc w:val="both"/>
        <w:rPr>
          <w:rFonts w:asciiTheme="minorHAnsi" w:hAnsiTheme="minorHAnsi" w:cs="Arial"/>
          <w:bCs/>
          <w:sz w:val="22"/>
          <w:szCs w:val="22"/>
          <w:lang w:val="hr-HR"/>
        </w:rPr>
      </w:pPr>
    </w:p>
    <w:p w:rsidR="00B36A45" w:rsidRPr="001567C8" w:rsidRDefault="00B36A45">
      <w:pPr>
        <w:keepNext/>
        <w:jc w:val="both"/>
        <w:rPr>
          <w:rFonts w:asciiTheme="minorHAnsi" w:hAnsiTheme="minorHAnsi" w:cs="Arial"/>
          <w:bCs/>
          <w:sz w:val="22"/>
          <w:szCs w:val="22"/>
          <w:lang w:val="hr-HR"/>
        </w:rPr>
      </w:pPr>
      <w:r w:rsidRPr="001567C8">
        <w:rPr>
          <w:rFonts w:asciiTheme="minorHAnsi" w:hAnsiTheme="minorHAnsi" w:cs="Arial"/>
          <w:bCs/>
          <w:sz w:val="22"/>
          <w:szCs w:val="22"/>
          <w:lang w:val="hr-HR"/>
        </w:rPr>
        <w:t>Analiza prikazuje osjetljivost na razumno očekivane promjene bazičnih bodova promjenjivih kamatnih stopa. Sve ostale varijable ostaju nepromijenjene.</w:t>
      </w:r>
    </w:p>
    <w:p w:rsidR="007E29BC" w:rsidRPr="001567C8" w:rsidRDefault="007E29BC">
      <w:pPr>
        <w:keepNext/>
        <w:jc w:val="both"/>
        <w:rPr>
          <w:rFonts w:asciiTheme="minorHAnsi" w:hAnsiTheme="minorHAnsi" w:cs="Arial"/>
          <w:bCs/>
          <w:sz w:val="22"/>
          <w:szCs w:val="22"/>
          <w:lang w:val="hr-HR"/>
        </w:rPr>
      </w:pPr>
    </w:p>
    <w:p w:rsidR="00B36A45" w:rsidRPr="001567C8" w:rsidRDefault="00B36A45">
      <w:pPr>
        <w:keepNext/>
        <w:jc w:val="both"/>
        <w:rPr>
          <w:rFonts w:asciiTheme="minorHAnsi" w:hAnsiTheme="minorHAnsi" w:cs="Arial"/>
          <w:bCs/>
          <w:sz w:val="22"/>
          <w:szCs w:val="22"/>
          <w:lang w:val="hr-HR"/>
        </w:rPr>
      </w:pPr>
      <w:r w:rsidRPr="001567C8">
        <w:rPr>
          <w:rFonts w:asciiTheme="minorHAnsi" w:hAnsiTheme="minorHAnsi" w:cs="Arial"/>
          <w:bCs/>
          <w:sz w:val="22"/>
          <w:szCs w:val="22"/>
          <w:lang w:val="hr-HR"/>
        </w:rPr>
        <w:t xml:space="preserve">Osjetljivost dobiti je pod utjecajem pretpostavljenih promjena u kamatnim stopama u razdoblju od godine dana, bazirano na kamatonosnoj </w:t>
      </w:r>
      <w:r w:rsidR="008D6072" w:rsidRPr="001567C8">
        <w:rPr>
          <w:rFonts w:asciiTheme="minorHAnsi" w:hAnsiTheme="minorHAnsi" w:cs="Arial"/>
          <w:bCs/>
          <w:sz w:val="22"/>
          <w:szCs w:val="22"/>
          <w:lang w:val="hr-HR"/>
        </w:rPr>
        <w:t xml:space="preserve">imovini </w:t>
      </w:r>
      <w:r w:rsidRPr="001567C8">
        <w:rPr>
          <w:rFonts w:asciiTheme="minorHAnsi" w:hAnsiTheme="minorHAnsi" w:cs="Arial"/>
          <w:bCs/>
          <w:sz w:val="22"/>
          <w:szCs w:val="22"/>
          <w:lang w:val="hr-HR"/>
        </w:rPr>
        <w:t xml:space="preserve">i </w:t>
      </w:r>
      <w:r w:rsidR="008D6072" w:rsidRPr="001567C8">
        <w:rPr>
          <w:rFonts w:asciiTheme="minorHAnsi" w:hAnsiTheme="minorHAnsi" w:cs="Arial"/>
          <w:bCs/>
          <w:sz w:val="22"/>
          <w:szCs w:val="22"/>
          <w:lang w:val="hr-HR"/>
        </w:rPr>
        <w:t>obvezama</w:t>
      </w:r>
      <w:r w:rsidRPr="001567C8">
        <w:rPr>
          <w:rFonts w:asciiTheme="minorHAnsi" w:hAnsiTheme="minorHAnsi" w:cs="Arial"/>
          <w:bCs/>
          <w:sz w:val="22"/>
          <w:szCs w:val="22"/>
          <w:lang w:val="hr-HR"/>
        </w:rPr>
        <w:t xml:space="preserve"> uz promjenjivu kamatnu stopu.</w:t>
      </w:r>
    </w:p>
    <w:p w:rsidR="00142CFB" w:rsidRPr="001567C8" w:rsidRDefault="00142CFB" w:rsidP="00142CFB">
      <w:pPr>
        <w:keepNext/>
        <w:jc w:val="both"/>
        <w:rPr>
          <w:rFonts w:asciiTheme="minorHAnsi" w:hAnsiTheme="minorHAnsi" w:cs="Arial"/>
          <w:bCs/>
          <w:sz w:val="22"/>
          <w:szCs w:val="22"/>
          <w:lang w:val="hr-HR"/>
        </w:rPr>
      </w:pPr>
    </w:p>
    <w:tbl>
      <w:tblPr>
        <w:tblW w:w="5002" w:type="pct"/>
        <w:jc w:val="center"/>
        <w:tblLook w:val="01E0" w:firstRow="1" w:lastRow="1" w:firstColumn="1" w:lastColumn="1" w:noHBand="0" w:noVBand="0"/>
      </w:tblPr>
      <w:tblGrid>
        <w:gridCol w:w="2411"/>
        <w:gridCol w:w="1735"/>
        <w:gridCol w:w="1739"/>
        <w:gridCol w:w="1739"/>
        <w:gridCol w:w="1735"/>
      </w:tblGrid>
      <w:tr w:rsidR="00867CAC" w:rsidRPr="001567C8" w:rsidTr="00867CAC">
        <w:trPr>
          <w:trHeight w:hRule="exact" w:val="814"/>
          <w:jc w:val="center"/>
        </w:trPr>
        <w:tc>
          <w:tcPr>
            <w:tcW w:w="1288" w:type="pct"/>
            <w:shd w:val="clear" w:color="auto" w:fill="auto"/>
          </w:tcPr>
          <w:p w:rsidR="00867CAC" w:rsidRPr="001567C8" w:rsidRDefault="00867CAC" w:rsidP="00867CAC">
            <w:pPr>
              <w:spacing w:before="240" w:after="120" w:line="360" w:lineRule="auto"/>
              <w:rPr>
                <w:rFonts w:ascii="Calibri" w:hAnsi="Calibri" w:cs="Arial"/>
                <w:bCs/>
                <w:sz w:val="20"/>
                <w:szCs w:val="20"/>
                <w:lang w:val="hr-HR"/>
              </w:rPr>
            </w:pPr>
            <w:r w:rsidRPr="001567C8">
              <w:rPr>
                <w:rFonts w:ascii="Calibri" w:hAnsi="Calibri" w:cs="Arial"/>
                <w:b/>
                <w:bCs/>
                <w:sz w:val="20"/>
                <w:szCs w:val="20"/>
                <w:lang w:val="hr-HR"/>
              </w:rPr>
              <w:t>Valuta</w:t>
            </w:r>
          </w:p>
        </w:tc>
        <w:tc>
          <w:tcPr>
            <w:tcW w:w="927" w:type="pct"/>
            <w:shd w:val="clear" w:color="auto" w:fill="auto"/>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 xml:space="preserve">Povećanje bazičnih bodova </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201</w:t>
            </w:r>
            <w:r w:rsidR="00DF5433" w:rsidRPr="001567C8">
              <w:rPr>
                <w:rFonts w:ascii="Calibri" w:hAnsi="Calibri" w:cs="Arial"/>
                <w:b/>
                <w:bCs/>
                <w:sz w:val="20"/>
                <w:szCs w:val="20"/>
                <w:lang w:val="hr-HR"/>
              </w:rPr>
              <w:t>8</w:t>
            </w:r>
            <w:r w:rsidRPr="001567C8">
              <w:rPr>
                <w:rFonts w:ascii="Calibri" w:hAnsi="Calibri" w:cs="Arial"/>
                <w:b/>
                <w:bCs/>
                <w:sz w:val="20"/>
                <w:szCs w:val="20"/>
                <w:lang w:val="hr-HR"/>
              </w:rPr>
              <w:t>.</w:t>
            </w:r>
          </w:p>
        </w:tc>
        <w:tc>
          <w:tcPr>
            <w:tcW w:w="929" w:type="pct"/>
            <w:shd w:val="clear" w:color="auto" w:fill="auto"/>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 xml:space="preserve">Utjecaj </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na dobit</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201</w:t>
            </w:r>
            <w:r w:rsidR="00DF5433" w:rsidRPr="001567C8">
              <w:rPr>
                <w:rFonts w:ascii="Calibri" w:hAnsi="Calibri" w:cs="Arial"/>
                <w:b/>
                <w:bCs/>
                <w:sz w:val="20"/>
                <w:szCs w:val="20"/>
                <w:lang w:val="hr-HR"/>
              </w:rPr>
              <w:t>8</w:t>
            </w:r>
            <w:r w:rsidRPr="001567C8">
              <w:rPr>
                <w:rFonts w:ascii="Calibri" w:hAnsi="Calibri" w:cs="Arial"/>
                <w:b/>
                <w:bCs/>
                <w:sz w:val="20"/>
                <w:szCs w:val="20"/>
                <w:lang w:val="hr-HR"/>
              </w:rPr>
              <w:t>.</w:t>
            </w:r>
          </w:p>
        </w:tc>
        <w:tc>
          <w:tcPr>
            <w:tcW w:w="929" w:type="pct"/>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 xml:space="preserve">Povećanje bazičnih bodova </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201</w:t>
            </w:r>
            <w:r w:rsidR="007E29BC" w:rsidRPr="001567C8">
              <w:rPr>
                <w:rFonts w:ascii="Calibri" w:hAnsi="Calibri" w:cs="Arial"/>
                <w:b/>
                <w:bCs/>
                <w:sz w:val="20"/>
                <w:szCs w:val="20"/>
                <w:lang w:val="hr-HR"/>
              </w:rPr>
              <w:t>7</w:t>
            </w:r>
            <w:r w:rsidRPr="001567C8">
              <w:rPr>
                <w:rFonts w:ascii="Calibri" w:hAnsi="Calibri" w:cs="Arial"/>
                <w:b/>
                <w:bCs/>
                <w:sz w:val="20"/>
                <w:szCs w:val="20"/>
                <w:lang w:val="hr-HR"/>
              </w:rPr>
              <w:t>.</w:t>
            </w:r>
          </w:p>
        </w:tc>
        <w:tc>
          <w:tcPr>
            <w:tcW w:w="927" w:type="pct"/>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 xml:space="preserve">Utjecaj </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na dobit</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201</w:t>
            </w:r>
            <w:r w:rsidR="007E29BC" w:rsidRPr="001567C8">
              <w:rPr>
                <w:rFonts w:ascii="Calibri" w:hAnsi="Calibri" w:cs="Arial"/>
                <w:b/>
                <w:bCs/>
                <w:sz w:val="20"/>
                <w:szCs w:val="20"/>
                <w:lang w:val="hr-HR"/>
              </w:rPr>
              <w:t>7</w:t>
            </w:r>
            <w:r w:rsidRPr="001567C8">
              <w:rPr>
                <w:rFonts w:ascii="Calibri" w:hAnsi="Calibri" w:cs="Arial"/>
                <w:b/>
                <w:bCs/>
                <w:sz w:val="20"/>
                <w:szCs w:val="20"/>
                <w:lang w:val="hr-HR"/>
              </w:rPr>
              <w:t>.</w:t>
            </w:r>
          </w:p>
        </w:tc>
      </w:tr>
      <w:tr w:rsidR="00867CAC" w:rsidRPr="001567C8" w:rsidTr="00867CAC">
        <w:trPr>
          <w:trHeight w:hRule="exact" w:val="331"/>
          <w:jc w:val="center"/>
        </w:trPr>
        <w:tc>
          <w:tcPr>
            <w:tcW w:w="1288" w:type="pct"/>
            <w:shd w:val="clear" w:color="auto" w:fill="auto"/>
          </w:tcPr>
          <w:p w:rsidR="00867CAC" w:rsidRPr="001567C8" w:rsidRDefault="00867CAC" w:rsidP="00867CAC">
            <w:pPr>
              <w:spacing w:before="240" w:after="120" w:line="360" w:lineRule="auto"/>
              <w:jc w:val="both"/>
              <w:rPr>
                <w:rFonts w:ascii="Calibri" w:hAnsi="Calibri" w:cs="Arial"/>
                <w:bCs/>
                <w:sz w:val="20"/>
                <w:szCs w:val="20"/>
                <w:lang w:val="hr-HR"/>
              </w:rPr>
            </w:pPr>
          </w:p>
        </w:tc>
        <w:tc>
          <w:tcPr>
            <w:tcW w:w="927" w:type="pct"/>
            <w:shd w:val="clear" w:color="auto" w:fill="auto"/>
            <w:vAlign w:val="center"/>
          </w:tcPr>
          <w:p w:rsidR="00867CAC" w:rsidRPr="001567C8" w:rsidRDefault="00867CAC" w:rsidP="00867CAC">
            <w:pPr>
              <w:spacing w:line="0" w:lineRule="atLeast"/>
              <w:jc w:val="right"/>
              <w:rPr>
                <w:rFonts w:ascii="Calibri" w:hAnsi="Calibri" w:cs="Arial"/>
                <w:b/>
                <w:bCs/>
                <w:sz w:val="20"/>
                <w:szCs w:val="20"/>
                <w:lang w:val="hr-HR"/>
              </w:rPr>
            </w:pPr>
          </w:p>
        </w:tc>
        <w:tc>
          <w:tcPr>
            <w:tcW w:w="929" w:type="pct"/>
            <w:shd w:val="clear" w:color="auto" w:fill="auto"/>
            <w:vAlign w:val="center"/>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sz w:val="20"/>
                <w:szCs w:val="20"/>
                <w:lang w:val="hr-HR"/>
              </w:rPr>
              <w:t>000 kuna</w:t>
            </w:r>
          </w:p>
        </w:tc>
        <w:tc>
          <w:tcPr>
            <w:tcW w:w="929" w:type="pct"/>
            <w:vAlign w:val="center"/>
          </w:tcPr>
          <w:p w:rsidR="00867CAC" w:rsidRPr="001567C8" w:rsidRDefault="00867CAC" w:rsidP="00867CAC">
            <w:pPr>
              <w:spacing w:line="0" w:lineRule="atLeast"/>
              <w:jc w:val="right"/>
              <w:rPr>
                <w:rFonts w:ascii="Calibri" w:hAnsi="Calibri" w:cs="Arial"/>
                <w:b/>
                <w:bCs/>
                <w:sz w:val="20"/>
                <w:szCs w:val="20"/>
                <w:lang w:val="hr-HR"/>
              </w:rPr>
            </w:pPr>
          </w:p>
        </w:tc>
        <w:tc>
          <w:tcPr>
            <w:tcW w:w="927" w:type="pct"/>
            <w:vAlign w:val="center"/>
          </w:tcPr>
          <w:p w:rsidR="00867CAC" w:rsidRPr="001567C8" w:rsidRDefault="00867CAC" w:rsidP="00867CAC">
            <w:pPr>
              <w:spacing w:line="0" w:lineRule="atLeast"/>
              <w:jc w:val="right"/>
              <w:rPr>
                <w:rFonts w:ascii="Calibri" w:hAnsi="Calibri" w:cs="Arial"/>
                <w:b/>
                <w:sz w:val="20"/>
                <w:szCs w:val="20"/>
                <w:lang w:val="hr-HR"/>
              </w:rPr>
            </w:pPr>
            <w:r w:rsidRPr="001567C8">
              <w:rPr>
                <w:rFonts w:ascii="Calibri" w:hAnsi="Calibri" w:cs="Arial"/>
                <w:b/>
                <w:sz w:val="20"/>
                <w:szCs w:val="20"/>
                <w:lang w:val="hr-HR"/>
              </w:rPr>
              <w:t>000 kuna</w:t>
            </w:r>
          </w:p>
        </w:tc>
      </w:tr>
      <w:tr w:rsidR="00867CAC" w:rsidRPr="001567C8" w:rsidTr="00867CAC">
        <w:trPr>
          <w:trHeight w:hRule="exact" w:val="113"/>
          <w:jc w:val="center"/>
        </w:trPr>
        <w:tc>
          <w:tcPr>
            <w:tcW w:w="1288" w:type="pct"/>
            <w:shd w:val="clear" w:color="auto" w:fill="auto"/>
          </w:tcPr>
          <w:p w:rsidR="00867CAC" w:rsidRPr="001567C8" w:rsidRDefault="00867CAC" w:rsidP="00867CAC">
            <w:pPr>
              <w:spacing w:before="240" w:after="120" w:line="360" w:lineRule="auto"/>
              <w:jc w:val="both"/>
              <w:rPr>
                <w:rFonts w:ascii="Calibri" w:hAnsi="Calibri" w:cs="Arial"/>
                <w:bCs/>
                <w:sz w:val="20"/>
                <w:szCs w:val="20"/>
                <w:lang w:val="hr-HR"/>
              </w:rPr>
            </w:pPr>
          </w:p>
        </w:tc>
        <w:tc>
          <w:tcPr>
            <w:tcW w:w="927" w:type="pct"/>
            <w:shd w:val="clear" w:color="auto" w:fill="auto"/>
            <w:vAlign w:val="center"/>
          </w:tcPr>
          <w:p w:rsidR="00867CAC" w:rsidRPr="001567C8" w:rsidRDefault="00867CAC" w:rsidP="00867CAC">
            <w:pPr>
              <w:spacing w:line="0" w:lineRule="atLeast"/>
              <w:jc w:val="right"/>
              <w:rPr>
                <w:rFonts w:ascii="Calibri" w:hAnsi="Calibri" w:cs="Arial"/>
                <w:b/>
                <w:bCs/>
                <w:sz w:val="20"/>
                <w:szCs w:val="20"/>
                <w:lang w:val="hr-HR"/>
              </w:rPr>
            </w:pPr>
          </w:p>
        </w:tc>
        <w:tc>
          <w:tcPr>
            <w:tcW w:w="929" w:type="pct"/>
            <w:shd w:val="clear" w:color="auto" w:fill="auto"/>
            <w:vAlign w:val="center"/>
          </w:tcPr>
          <w:p w:rsidR="00867CAC" w:rsidRPr="001567C8" w:rsidRDefault="00867CAC" w:rsidP="00867CAC">
            <w:pPr>
              <w:spacing w:line="0" w:lineRule="atLeast"/>
              <w:jc w:val="right"/>
              <w:rPr>
                <w:rFonts w:ascii="Calibri" w:hAnsi="Calibri" w:cs="Arial"/>
                <w:b/>
                <w:sz w:val="20"/>
                <w:szCs w:val="20"/>
                <w:lang w:val="hr-HR"/>
              </w:rPr>
            </w:pPr>
          </w:p>
        </w:tc>
        <w:tc>
          <w:tcPr>
            <w:tcW w:w="929" w:type="pct"/>
            <w:vAlign w:val="center"/>
          </w:tcPr>
          <w:p w:rsidR="00867CAC" w:rsidRPr="001567C8" w:rsidRDefault="00867CAC" w:rsidP="00867CAC">
            <w:pPr>
              <w:spacing w:line="0" w:lineRule="atLeast"/>
              <w:jc w:val="right"/>
              <w:rPr>
                <w:rFonts w:ascii="Calibri" w:hAnsi="Calibri" w:cs="Arial"/>
                <w:b/>
                <w:bCs/>
                <w:sz w:val="20"/>
                <w:szCs w:val="20"/>
                <w:lang w:val="hr-HR"/>
              </w:rPr>
            </w:pPr>
          </w:p>
        </w:tc>
        <w:tc>
          <w:tcPr>
            <w:tcW w:w="927" w:type="pct"/>
            <w:vAlign w:val="center"/>
          </w:tcPr>
          <w:p w:rsidR="00867CAC" w:rsidRPr="001567C8" w:rsidRDefault="00867CAC" w:rsidP="00867CAC">
            <w:pPr>
              <w:spacing w:line="0" w:lineRule="atLeast"/>
              <w:jc w:val="right"/>
              <w:rPr>
                <w:rFonts w:ascii="Calibri" w:hAnsi="Calibri" w:cs="Arial"/>
                <w:b/>
                <w:sz w:val="20"/>
                <w:szCs w:val="20"/>
                <w:lang w:val="hr-HR"/>
              </w:rPr>
            </w:pPr>
          </w:p>
        </w:tc>
      </w:tr>
      <w:tr w:rsidR="00C86CF5" w:rsidRPr="001567C8" w:rsidTr="003C6BA3">
        <w:trPr>
          <w:trHeight w:hRule="exact" w:val="284"/>
          <w:jc w:val="center"/>
        </w:trPr>
        <w:tc>
          <w:tcPr>
            <w:tcW w:w="1288" w:type="pct"/>
            <w:shd w:val="clear" w:color="auto" w:fill="auto"/>
            <w:vAlign w:val="center"/>
          </w:tcPr>
          <w:p w:rsidR="00C86CF5" w:rsidRPr="001567C8" w:rsidRDefault="00C86CF5" w:rsidP="00C86CF5">
            <w:pPr>
              <w:spacing w:line="360" w:lineRule="auto"/>
              <w:jc w:val="both"/>
              <w:rPr>
                <w:rFonts w:ascii="Calibri" w:hAnsi="Calibri" w:cs="Arial"/>
                <w:bCs/>
                <w:sz w:val="20"/>
                <w:szCs w:val="20"/>
                <w:lang w:val="hr-HR"/>
              </w:rPr>
            </w:pPr>
            <w:r w:rsidRPr="001567C8">
              <w:rPr>
                <w:rFonts w:ascii="Calibri" w:hAnsi="Calibri" w:cs="Arial"/>
                <w:bCs/>
                <w:sz w:val="20"/>
                <w:szCs w:val="20"/>
                <w:lang w:val="hr-HR"/>
              </w:rPr>
              <w:t xml:space="preserve">EUR      </w:t>
            </w:r>
          </w:p>
        </w:tc>
        <w:tc>
          <w:tcPr>
            <w:tcW w:w="927" w:type="pct"/>
            <w:shd w:val="clear" w:color="auto" w:fill="auto"/>
            <w:vAlign w:val="center"/>
          </w:tcPr>
          <w:p w:rsidR="00C86CF5" w:rsidRPr="001567C8" w:rsidRDefault="00C86CF5" w:rsidP="00C86CF5">
            <w:pPr>
              <w:spacing w:line="360" w:lineRule="auto"/>
              <w:jc w:val="right"/>
              <w:rPr>
                <w:rFonts w:asciiTheme="minorHAnsi" w:hAnsiTheme="minorHAnsi" w:cs="Arial"/>
                <w:bCs/>
                <w:sz w:val="20"/>
                <w:szCs w:val="20"/>
                <w:lang w:val="hr-HR"/>
              </w:rPr>
            </w:pPr>
            <w:r w:rsidRPr="00CD3A2D">
              <w:rPr>
                <w:rFonts w:asciiTheme="minorHAnsi" w:hAnsiTheme="minorHAnsi" w:cs="Arial"/>
                <w:bCs/>
                <w:sz w:val="20"/>
                <w:szCs w:val="20"/>
                <w:lang w:val="hr-HR"/>
              </w:rPr>
              <w:t>+1</w:t>
            </w:r>
          </w:p>
        </w:tc>
        <w:tc>
          <w:tcPr>
            <w:tcW w:w="929" w:type="pct"/>
            <w:shd w:val="clear" w:color="auto" w:fill="auto"/>
            <w:vAlign w:val="center"/>
          </w:tcPr>
          <w:p w:rsidR="00C86CF5" w:rsidRPr="001567C8" w:rsidRDefault="00C86CF5" w:rsidP="00C86CF5">
            <w:pPr>
              <w:spacing w:line="360" w:lineRule="auto"/>
              <w:jc w:val="right"/>
              <w:rPr>
                <w:rFonts w:asciiTheme="minorHAnsi" w:hAnsiTheme="minorHAnsi" w:cs="Arial"/>
                <w:bCs/>
                <w:sz w:val="20"/>
                <w:szCs w:val="20"/>
                <w:lang w:val="hr-HR"/>
              </w:rPr>
            </w:pPr>
            <w:r w:rsidRPr="00CD3A2D">
              <w:rPr>
                <w:rFonts w:asciiTheme="minorHAnsi" w:hAnsiTheme="minorHAnsi" w:cs="Arial"/>
                <w:bCs/>
                <w:sz w:val="20"/>
                <w:szCs w:val="20"/>
                <w:lang w:val="hr-HR"/>
              </w:rPr>
              <w:t>40</w:t>
            </w:r>
          </w:p>
        </w:tc>
        <w:tc>
          <w:tcPr>
            <w:tcW w:w="929" w:type="pct"/>
            <w:shd w:val="clear" w:color="auto" w:fill="auto"/>
            <w:vAlign w:val="center"/>
          </w:tcPr>
          <w:p w:rsidR="00C86CF5" w:rsidRPr="001567C8" w:rsidRDefault="00C86CF5" w:rsidP="00C86CF5">
            <w:pPr>
              <w:spacing w:line="360" w:lineRule="auto"/>
              <w:jc w:val="right"/>
              <w:rPr>
                <w:rFonts w:ascii="Calibri" w:hAnsi="Calibri"/>
                <w:bCs/>
                <w:sz w:val="20"/>
                <w:szCs w:val="20"/>
                <w:lang w:val="hr-HR"/>
              </w:rPr>
            </w:pPr>
            <w:r w:rsidRPr="001567C8">
              <w:rPr>
                <w:rFonts w:ascii="Calibri" w:hAnsi="Calibri" w:cs="Arial"/>
                <w:bCs/>
                <w:sz w:val="20"/>
                <w:szCs w:val="20"/>
                <w:lang w:val="hr-HR"/>
              </w:rPr>
              <w:t>+1</w:t>
            </w:r>
          </w:p>
        </w:tc>
        <w:tc>
          <w:tcPr>
            <w:tcW w:w="927" w:type="pct"/>
            <w:shd w:val="clear" w:color="auto" w:fill="auto"/>
            <w:vAlign w:val="center"/>
          </w:tcPr>
          <w:p w:rsidR="00C86CF5" w:rsidRPr="001567C8" w:rsidRDefault="00C86CF5" w:rsidP="00C86CF5">
            <w:pPr>
              <w:spacing w:line="360" w:lineRule="auto"/>
              <w:jc w:val="right"/>
              <w:rPr>
                <w:rFonts w:ascii="Calibri" w:hAnsi="Calibri"/>
                <w:bCs/>
                <w:sz w:val="20"/>
                <w:szCs w:val="20"/>
                <w:lang w:val="hr-HR"/>
              </w:rPr>
            </w:pPr>
            <w:r w:rsidRPr="001567C8">
              <w:rPr>
                <w:rFonts w:ascii="Calibri" w:hAnsi="Calibri" w:cs="Arial"/>
                <w:bCs/>
                <w:sz w:val="20"/>
                <w:szCs w:val="20"/>
                <w:lang w:val="hr-HR"/>
              </w:rPr>
              <w:t>93</w:t>
            </w:r>
          </w:p>
        </w:tc>
      </w:tr>
      <w:tr w:rsidR="00C86CF5" w:rsidRPr="001567C8" w:rsidTr="003C6BA3">
        <w:trPr>
          <w:trHeight w:hRule="exact" w:val="284"/>
          <w:jc w:val="center"/>
        </w:trPr>
        <w:tc>
          <w:tcPr>
            <w:tcW w:w="1288" w:type="pct"/>
            <w:shd w:val="clear" w:color="auto" w:fill="auto"/>
            <w:vAlign w:val="center"/>
          </w:tcPr>
          <w:p w:rsidR="00C86CF5" w:rsidRPr="001567C8" w:rsidRDefault="00C86CF5" w:rsidP="00C86CF5">
            <w:pPr>
              <w:spacing w:line="360" w:lineRule="auto"/>
              <w:jc w:val="both"/>
              <w:rPr>
                <w:rFonts w:ascii="Calibri" w:hAnsi="Calibri" w:cs="Arial"/>
                <w:bCs/>
                <w:sz w:val="20"/>
                <w:szCs w:val="20"/>
                <w:lang w:val="hr-HR"/>
              </w:rPr>
            </w:pPr>
            <w:r w:rsidRPr="001567C8">
              <w:rPr>
                <w:rFonts w:ascii="Calibri" w:hAnsi="Calibri" w:cs="Arial"/>
                <w:bCs/>
                <w:sz w:val="20"/>
                <w:szCs w:val="20"/>
                <w:lang w:val="hr-HR"/>
              </w:rPr>
              <w:t>USD</w:t>
            </w:r>
          </w:p>
        </w:tc>
        <w:tc>
          <w:tcPr>
            <w:tcW w:w="927" w:type="pct"/>
            <w:shd w:val="clear" w:color="auto" w:fill="auto"/>
            <w:vAlign w:val="center"/>
          </w:tcPr>
          <w:p w:rsidR="00C86CF5" w:rsidRPr="001567C8" w:rsidRDefault="00C86CF5" w:rsidP="00C86CF5">
            <w:pPr>
              <w:spacing w:line="360" w:lineRule="auto"/>
              <w:jc w:val="right"/>
              <w:rPr>
                <w:rFonts w:asciiTheme="minorHAnsi" w:hAnsiTheme="minorHAnsi" w:cs="Arial"/>
                <w:bCs/>
                <w:sz w:val="20"/>
                <w:szCs w:val="20"/>
                <w:lang w:val="hr-HR"/>
              </w:rPr>
            </w:pPr>
            <w:r w:rsidRPr="00CD3A2D">
              <w:rPr>
                <w:rFonts w:asciiTheme="minorHAnsi" w:hAnsiTheme="minorHAnsi" w:cs="Arial"/>
                <w:bCs/>
                <w:sz w:val="20"/>
                <w:szCs w:val="20"/>
                <w:lang w:val="hr-HR"/>
              </w:rPr>
              <w:t>+17</w:t>
            </w:r>
          </w:p>
        </w:tc>
        <w:tc>
          <w:tcPr>
            <w:tcW w:w="929" w:type="pct"/>
            <w:shd w:val="clear" w:color="auto" w:fill="auto"/>
            <w:vAlign w:val="center"/>
          </w:tcPr>
          <w:p w:rsidR="00C86CF5" w:rsidRPr="001567C8" w:rsidRDefault="00C86CF5" w:rsidP="00C86CF5">
            <w:pPr>
              <w:spacing w:line="360" w:lineRule="auto"/>
              <w:jc w:val="right"/>
              <w:rPr>
                <w:rFonts w:asciiTheme="minorHAnsi" w:hAnsiTheme="minorHAnsi" w:cs="Arial"/>
                <w:bCs/>
                <w:sz w:val="20"/>
                <w:szCs w:val="20"/>
                <w:lang w:val="hr-HR"/>
              </w:rPr>
            </w:pPr>
            <w:r w:rsidRPr="00CD3A2D">
              <w:rPr>
                <w:rFonts w:asciiTheme="minorHAnsi" w:hAnsiTheme="minorHAnsi" w:cs="Arial"/>
                <w:bCs/>
                <w:sz w:val="20"/>
                <w:szCs w:val="20"/>
                <w:lang w:val="hr-HR"/>
              </w:rPr>
              <w:t>599</w:t>
            </w:r>
          </w:p>
        </w:tc>
        <w:tc>
          <w:tcPr>
            <w:tcW w:w="929" w:type="pct"/>
            <w:shd w:val="clear" w:color="auto" w:fill="auto"/>
            <w:vAlign w:val="center"/>
          </w:tcPr>
          <w:p w:rsidR="00C86CF5" w:rsidRPr="001567C8" w:rsidRDefault="00C86CF5" w:rsidP="00C86CF5">
            <w:pPr>
              <w:spacing w:line="360" w:lineRule="auto"/>
              <w:jc w:val="right"/>
              <w:rPr>
                <w:rFonts w:ascii="Calibri" w:hAnsi="Calibri"/>
                <w:bCs/>
                <w:sz w:val="20"/>
                <w:szCs w:val="20"/>
                <w:lang w:val="hr-HR"/>
              </w:rPr>
            </w:pPr>
            <w:r w:rsidRPr="001567C8">
              <w:rPr>
                <w:rFonts w:ascii="Calibri" w:hAnsi="Calibri" w:cs="Arial"/>
                <w:bCs/>
                <w:sz w:val="20"/>
                <w:szCs w:val="20"/>
                <w:lang w:val="hr-HR"/>
              </w:rPr>
              <w:t>+10</w:t>
            </w:r>
          </w:p>
        </w:tc>
        <w:tc>
          <w:tcPr>
            <w:tcW w:w="927" w:type="pct"/>
            <w:shd w:val="clear" w:color="auto" w:fill="auto"/>
            <w:vAlign w:val="center"/>
          </w:tcPr>
          <w:p w:rsidR="00C86CF5" w:rsidRPr="001567C8" w:rsidRDefault="00C86CF5" w:rsidP="00C86CF5">
            <w:pPr>
              <w:spacing w:line="360" w:lineRule="auto"/>
              <w:jc w:val="right"/>
              <w:rPr>
                <w:rFonts w:ascii="Calibri" w:hAnsi="Calibri"/>
                <w:bCs/>
                <w:sz w:val="20"/>
                <w:szCs w:val="20"/>
                <w:lang w:val="hr-HR"/>
              </w:rPr>
            </w:pPr>
            <w:r w:rsidRPr="001567C8">
              <w:rPr>
                <w:rFonts w:ascii="Calibri" w:hAnsi="Calibri" w:cs="Arial"/>
                <w:bCs/>
                <w:sz w:val="20"/>
                <w:szCs w:val="20"/>
                <w:lang w:val="hr-HR"/>
              </w:rPr>
              <w:t>349</w:t>
            </w:r>
          </w:p>
        </w:tc>
      </w:tr>
      <w:tr w:rsidR="00867CAC" w:rsidRPr="001567C8" w:rsidTr="00867CAC">
        <w:trPr>
          <w:trHeight w:hRule="exact" w:val="284"/>
          <w:jc w:val="center"/>
        </w:trPr>
        <w:tc>
          <w:tcPr>
            <w:tcW w:w="1288" w:type="pct"/>
            <w:shd w:val="clear" w:color="auto" w:fill="auto"/>
            <w:vAlign w:val="center"/>
          </w:tcPr>
          <w:p w:rsidR="00867CAC" w:rsidRPr="001567C8" w:rsidRDefault="00867CAC" w:rsidP="00867CAC">
            <w:pPr>
              <w:spacing w:line="360" w:lineRule="auto"/>
              <w:jc w:val="both"/>
              <w:rPr>
                <w:rFonts w:ascii="Calibri" w:hAnsi="Calibri" w:cs="Arial"/>
                <w:bCs/>
                <w:sz w:val="20"/>
                <w:szCs w:val="20"/>
                <w:lang w:val="hr-HR"/>
              </w:rPr>
            </w:pPr>
          </w:p>
        </w:tc>
        <w:tc>
          <w:tcPr>
            <w:tcW w:w="927" w:type="pct"/>
            <w:shd w:val="clear" w:color="auto" w:fill="auto"/>
            <w:vAlign w:val="center"/>
          </w:tcPr>
          <w:p w:rsidR="00867CAC" w:rsidRPr="001567C8" w:rsidRDefault="00867CAC" w:rsidP="00867CAC">
            <w:pPr>
              <w:spacing w:line="360" w:lineRule="auto"/>
              <w:jc w:val="right"/>
              <w:rPr>
                <w:rFonts w:ascii="Calibri" w:hAnsi="Calibri" w:cs="Arial"/>
                <w:bCs/>
                <w:sz w:val="20"/>
                <w:szCs w:val="20"/>
                <w:lang w:val="hr-HR"/>
              </w:rPr>
            </w:pPr>
          </w:p>
        </w:tc>
        <w:tc>
          <w:tcPr>
            <w:tcW w:w="929" w:type="pct"/>
            <w:shd w:val="clear" w:color="auto" w:fill="auto"/>
            <w:vAlign w:val="center"/>
          </w:tcPr>
          <w:p w:rsidR="00867CAC" w:rsidRPr="001567C8" w:rsidRDefault="00867CAC" w:rsidP="00867CAC">
            <w:pPr>
              <w:spacing w:line="360" w:lineRule="auto"/>
              <w:jc w:val="right"/>
              <w:rPr>
                <w:rFonts w:ascii="Calibri" w:hAnsi="Calibri" w:cs="Arial"/>
                <w:bCs/>
                <w:sz w:val="20"/>
                <w:szCs w:val="20"/>
                <w:lang w:val="hr-HR"/>
              </w:rPr>
            </w:pPr>
          </w:p>
        </w:tc>
        <w:tc>
          <w:tcPr>
            <w:tcW w:w="929" w:type="pct"/>
            <w:vAlign w:val="center"/>
          </w:tcPr>
          <w:p w:rsidR="00867CAC" w:rsidRPr="001567C8" w:rsidRDefault="00867CAC" w:rsidP="00867CAC">
            <w:pPr>
              <w:spacing w:line="360" w:lineRule="auto"/>
              <w:jc w:val="right"/>
              <w:rPr>
                <w:rFonts w:ascii="Calibri" w:hAnsi="Calibri" w:cs="Arial"/>
                <w:bCs/>
                <w:sz w:val="20"/>
                <w:szCs w:val="20"/>
                <w:lang w:val="hr-HR"/>
              </w:rPr>
            </w:pPr>
          </w:p>
        </w:tc>
        <w:tc>
          <w:tcPr>
            <w:tcW w:w="927" w:type="pct"/>
            <w:vAlign w:val="center"/>
          </w:tcPr>
          <w:p w:rsidR="00867CAC" w:rsidRPr="001567C8" w:rsidRDefault="00867CAC" w:rsidP="00867CAC">
            <w:pPr>
              <w:spacing w:line="360" w:lineRule="auto"/>
              <w:jc w:val="right"/>
              <w:rPr>
                <w:rFonts w:ascii="Calibri" w:hAnsi="Calibri" w:cs="Arial"/>
                <w:bCs/>
                <w:sz w:val="20"/>
                <w:szCs w:val="20"/>
                <w:lang w:val="hr-HR"/>
              </w:rPr>
            </w:pPr>
          </w:p>
        </w:tc>
      </w:tr>
      <w:tr w:rsidR="00867CAC" w:rsidRPr="001567C8" w:rsidTr="00867CAC">
        <w:trPr>
          <w:trHeight w:hRule="exact" w:val="830"/>
          <w:jc w:val="center"/>
        </w:trPr>
        <w:tc>
          <w:tcPr>
            <w:tcW w:w="1288" w:type="pct"/>
            <w:shd w:val="clear" w:color="auto" w:fill="auto"/>
            <w:vAlign w:val="center"/>
          </w:tcPr>
          <w:p w:rsidR="00867CAC" w:rsidRPr="001567C8" w:rsidRDefault="00867CAC" w:rsidP="00867CAC">
            <w:pPr>
              <w:spacing w:before="240" w:after="120" w:line="360" w:lineRule="auto"/>
              <w:rPr>
                <w:rFonts w:ascii="Calibri" w:hAnsi="Calibri" w:cs="Arial"/>
                <w:b/>
                <w:bCs/>
                <w:sz w:val="20"/>
                <w:szCs w:val="20"/>
                <w:lang w:val="hr-HR"/>
              </w:rPr>
            </w:pPr>
            <w:r w:rsidRPr="001567C8">
              <w:rPr>
                <w:rFonts w:ascii="Calibri" w:hAnsi="Calibri" w:cs="Arial"/>
                <w:b/>
                <w:bCs/>
                <w:sz w:val="20"/>
                <w:szCs w:val="20"/>
                <w:lang w:val="hr-HR"/>
              </w:rPr>
              <w:t>Valuta</w:t>
            </w:r>
          </w:p>
        </w:tc>
        <w:tc>
          <w:tcPr>
            <w:tcW w:w="927" w:type="pct"/>
            <w:shd w:val="clear" w:color="auto" w:fill="auto"/>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 xml:space="preserve">Smanjenje bazičnih bodova </w:t>
            </w:r>
          </w:p>
          <w:p w:rsidR="00867CAC" w:rsidRPr="001567C8" w:rsidRDefault="00867CAC" w:rsidP="00867CAC">
            <w:pPr>
              <w:spacing w:line="360" w:lineRule="auto"/>
              <w:jc w:val="right"/>
              <w:rPr>
                <w:rFonts w:ascii="Calibri" w:hAnsi="Calibri" w:cs="Arial"/>
                <w:b/>
                <w:bCs/>
                <w:sz w:val="20"/>
                <w:szCs w:val="20"/>
                <w:lang w:val="hr-HR"/>
              </w:rPr>
            </w:pPr>
            <w:r w:rsidRPr="001567C8">
              <w:rPr>
                <w:rFonts w:ascii="Calibri" w:hAnsi="Calibri" w:cs="Arial"/>
                <w:b/>
                <w:bCs/>
                <w:sz w:val="20"/>
                <w:szCs w:val="20"/>
                <w:lang w:val="hr-HR"/>
              </w:rPr>
              <w:t>201</w:t>
            </w:r>
            <w:r w:rsidR="00DF5433" w:rsidRPr="001567C8">
              <w:rPr>
                <w:rFonts w:ascii="Calibri" w:hAnsi="Calibri" w:cs="Arial"/>
                <w:b/>
                <w:bCs/>
                <w:sz w:val="20"/>
                <w:szCs w:val="20"/>
                <w:lang w:val="hr-HR"/>
              </w:rPr>
              <w:t>8</w:t>
            </w:r>
            <w:r w:rsidRPr="001567C8">
              <w:rPr>
                <w:rFonts w:ascii="Calibri" w:hAnsi="Calibri" w:cs="Arial"/>
                <w:b/>
                <w:bCs/>
                <w:sz w:val="20"/>
                <w:szCs w:val="20"/>
                <w:lang w:val="hr-HR"/>
              </w:rPr>
              <w:t>.</w:t>
            </w:r>
          </w:p>
        </w:tc>
        <w:tc>
          <w:tcPr>
            <w:tcW w:w="929" w:type="pct"/>
            <w:shd w:val="clear" w:color="auto" w:fill="auto"/>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 xml:space="preserve">Utjecaj </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na dobit</w:t>
            </w:r>
          </w:p>
          <w:p w:rsidR="00867CAC" w:rsidRPr="001567C8" w:rsidRDefault="00DF5433" w:rsidP="00867CAC">
            <w:pPr>
              <w:spacing w:line="360" w:lineRule="auto"/>
              <w:jc w:val="right"/>
              <w:rPr>
                <w:rFonts w:ascii="Calibri" w:hAnsi="Calibri" w:cs="Arial"/>
                <w:b/>
                <w:bCs/>
                <w:sz w:val="20"/>
                <w:szCs w:val="20"/>
                <w:lang w:val="hr-HR"/>
              </w:rPr>
            </w:pPr>
            <w:r w:rsidRPr="001567C8">
              <w:rPr>
                <w:rFonts w:ascii="Calibri" w:hAnsi="Calibri" w:cs="Arial"/>
                <w:b/>
                <w:bCs/>
                <w:sz w:val="20"/>
                <w:szCs w:val="20"/>
                <w:lang w:val="hr-HR"/>
              </w:rPr>
              <w:t>2018</w:t>
            </w:r>
            <w:r w:rsidR="00867CAC" w:rsidRPr="001567C8">
              <w:rPr>
                <w:rFonts w:ascii="Calibri" w:hAnsi="Calibri" w:cs="Arial"/>
                <w:b/>
                <w:bCs/>
                <w:sz w:val="20"/>
                <w:szCs w:val="20"/>
                <w:lang w:val="hr-HR"/>
              </w:rPr>
              <w:t>.</w:t>
            </w:r>
          </w:p>
        </w:tc>
        <w:tc>
          <w:tcPr>
            <w:tcW w:w="929" w:type="pct"/>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 xml:space="preserve">Smanjenje bazičnih bodova </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201</w:t>
            </w:r>
            <w:r w:rsidR="007E29BC" w:rsidRPr="001567C8">
              <w:rPr>
                <w:rFonts w:ascii="Calibri" w:hAnsi="Calibri" w:cs="Arial"/>
                <w:b/>
                <w:bCs/>
                <w:sz w:val="20"/>
                <w:szCs w:val="20"/>
                <w:lang w:val="hr-HR"/>
              </w:rPr>
              <w:t>7</w:t>
            </w:r>
            <w:r w:rsidRPr="001567C8">
              <w:rPr>
                <w:rFonts w:ascii="Calibri" w:hAnsi="Calibri" w:cs="Arial"/>
                <w:b/>
                <w:bCs/>
                <w:sz w:val="20"/>
                <w:szCs w:val="20"/>
                <w:lang w:val="hr-HR"/>
              </w:rPr>
              <w:t>.</w:t>
            </w:r>
          </w:p>
        </w:tc>
        <w:tc>
          <w:tcPr>
            <w:tcW w:w="927" w:type="pct"/>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 xml:space="preserve">Utjecaj </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na dobit</w:t>
            </w:r>
          </w:p>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bCs/>
                <w:sz w:val="20"/>
                <w:szCs w:val="20"/>
                <w:lang w:val="hr-HR"/>
              </w:rPr>
              <w:t>201</w:t>
            </w:r>
            <w:r w:rsidR="00DF5433" w:rsidRPr="001567C8">
              <w:rPr>
                <w:rFonts w:ascii="Calibri" w:hAnsi="Calibri" w:cs="Arial"/>
                <w:b/>
                <w:bCs/>
                <w:sz w:val="20"/>
                <w:szCs w:val="20"/>
                <w:lang w:val="hr-HR"/>
              </w:rPr>
              <w:t>7</w:t>
            </w:r>
            <w:r w:rsidRPr="001567C8">
              <w:rPr>
                <w:rFonts w:ascii="Calibri" w:hAnsi="Calibri" w:cs="Arial"/>
                <w:b/>
                <w:bCs/>
                <w:sz w:val="20"/>
                <w:szCs w:val="20"/>
                <w:lang w:val="hr-HR"/>
              </w:rPr>
              <w:t>.</w:t>
            </w:r>
          </w:p>
        </w:tc>
      </w:tr>
      <w:tr w:rsidR="00867CAC" w:rsidRPr="001567C8" w:rsidTr="00867CAC">
        <w:trPr>
          <w:trHeight w:hRule="exact" w:val="279"/>
          <w:jc w:val="center"/>
        </w:trPr>
        <w:tc>
          <w:tcPr>
            <w:tcW w:w="1288" w:type="pct"/>
            <w:shd w:val="clear" w:color="auto" w:fill="auto"/>
            <w:vAlign w:val="bottom"/>
          </w:tcPr>
          <w:p w:rsidR="00867CAC" w:rsidRPr="001567C8" w:rsidRDefault="00867CAC" w:rsidP="00867CAC">
            <w:pPr>
              <w:spacing w:line="360" w:lineRule="auto"/>
              <w:jc w:val="both"/>
              <w:rPr>
                <w:rFonts w:ascii="Calibri" w:hAnsi="Calibri" w:cs="Arial"/>
                <w:b/>
                <w:bCs/>
                <w:sz w:val="20"/>
                <w:szCs w:val="20"/>
                <w:lang w:val="hr-HR"/>
              </w:rPr>
            </w:pPr>
          </w:p>
        </w:tc>
        <w:tc>
          <w:tcPr>
            <w:tcW w:w="927" w:type="pct"/>
            <w:shd w:val="clear" w:color="auto" w:fill="auto"/>
            <w:vAlign w:val="center"/>
          </w:tcPr>
          <w:p w:rsidR="00867CAC" w:rsidRPr="001567C8" w:rsidRDefault="00867CAC" w:rsidP="00867CAC">
            <w:pPr>
              <w:spacing w:line="0" w:lineRule="atLeast"/>
              <w:jc w:val="right"/>
              <w:rPr>
                <w:rFonts w:ascii="Calibri" w:hAnsi="Calibri" w:cs="Arial"/>
                <w:b/>
                <w:bCs/>
                <w:sz w:val="20"/>
                <w:szCs w:val="20"/>
                <w:lang w:val="hr-HR"/>
              </w:rPr>
            </w:pPr>
          </w:p>
        </w:tc>
        <w:tc>
          <w:tcPr>
            <w:tcW w:w="929" w:type="pct"/>
            <w:shd w:val="clear" w:color="auto" w:fill="auto"/>
            <w:vAlign w:val="center"/>
          </w:tcPr>
          <w:p w:rsidR="00867CAC" w:rsidRPr="001567C8" w:rsidRDefault="00867CAC" w:rsidP="00867CAC">
            <w:pPr>
              <w:spacing w:line="0" w:lineRule="atLeast"/>
              <w:jc w:val="right"/>
              <w:rPr>
                <w:rFonts w:ascii="Calibri" w:hAnsi="Calibri" w:cs="Arial"/>
                <w:b/>
                <w:bCs/>
                <w:sz w:val="20"/>
                <w:szCs w:val="20"/>
                <w:lang w:val="hr-HR"/>
              </w:rPr>
            </w:pPr>
            <w:r w:rsidRPr="001567C8">
              <w:rPr>
                <w:rFonts w:ascii="Calibri" w:hAnsi="Calibri" w:cs="Arial"/>
                <w:b/>
                <w:sz w:val="20"/>
                <w:szCs w:val="20"/>
                <w:lang w:val="hr-HR"/>
              </w:rPr>
              <w:t>000 kuna</w:t>
            </w:r>
          </w:p>
        </w:tc>
        <w:tc>
          <w:tcPr>
            <w:tcW w:w="929" w:type="pct"/>
            <w:vAlign w:val="center"/>
          </w:tcPr>
          <w:p w:rsidR="00867CAC" w:rsidRPr="001567C8" w:rsidRDefault="00867CAC" w:rsidP="00867CAC">
            <w:pPr>
              <w:spacing w:line="0" w:lineRule="atLeast"/>
              <w:jc w:val="right"/>
              <w:rPr>
                <w:rFonts w:ascii="Calibri" w:hAnsi="Calibri" w:cs="Arial"/>
                <w:b/>
                <w:bCs/>
                <w:sz w:val="20"/>
                <w:szCs w:val="20"/>
                <w:lang w:val="hr-HR"/>
              </w:rPr>
            </w:pPr>
          </w:p>
        </w:tc>
        <w:tc>
          <w:tcPr>
            <w:tcW w:w="927" w:type="pct"/>
            <w:vAlign w:val="center"/>
          </w:tcPr>
          <w:p w:rsidR="00867CAC" w:rsidRPr="001567C8" w:rsidRDefault="00867CAC" w:rsidP="00867CAC">
            <w:pPr>
              <w:spacing w:line="0" w:lineRule="atLeast"/>
              <w:jc w:val="right"/>
              <w:rPr>
                <w:rFonts w:ascii="Calibri" w:hAnsi="Calibri" w:cs="Arial"/>
                <w:b/>
                <w:sz w:val="20"/>
                <w:szCs w:val="20"/>
                <w:lang w:val="hr-HR"/>
              </w:rPr>
            </w:pPr>
            <w:r w:rsidRPr="001567C8">
              <w:rPr>
                <w:rFonts w:ascii="Calibri" w:hAnsi="Calibri" w:cs="Arial"/>
                <w:b/>
                <w:sz w:val="20"/>
                <w:szCs w:val="20"/>
                <w:lang w:val="hr-HR"/>
              </w:rPr>
              <w:t>000 kuna</w:t>
            </w:r>
          </w:p>
        </w:tc>
      </w:tr>
      <w:tr w:rsidR="00867CAC" w:rsidRPr="001567C8" w:rsidTr="00867CAC">
        <w:trPr>
          <w:trHeight w:hRule="exact" w:val="113"/>
          <w:jc w:val="center"/>
        </w:trPr>
        <w:tc>
          <w:tcPr>
            <w:tcW w:w="1288" w:type="pct"/>
            <w:shd w:val="clear" w:color="auto" w:fill="auto"/>
            <w:vAlign w:val="center"/>
          </w:tcPr>
          <w:p w:rsidR="00867CAC" w:rsidRPr="001567C8" w:rsidRDefault="00867CAC" w:rsidP="00867CAC">
            <w:pPr>
              <w:spacing w:line="360" w:lineRule="auto"/>
              <w:jc w:val="both"/>
              <w:rPr>
                <w:rFonts w:ascii="Calibri" w:hAnsi="Calibri" w:cs="Arial"/>
                <w:bCs/>
                <w:sz w:val="20"/>
                <w:szCs w:val="20"/>
                <w:lang w:val="hr-HR"/>
              </w:rPr>
            </w:pPr>
          </w:p>
        </w:tc>
        <w:tc>
          <w:tcPr>
            <w:tcW w:w="927" w:type="pct"/>
            <w:shd w:val="clear" w:color="auto" w:fill="auto"/>
            <w:vAlign w:val="center"/>
          </w:tcPr>
          <w:p w:rsidR="00867CAC" w:rsidRPr="001567C8" w:rsidRDefault="00867CAC" w:rsidP="00867CAC">
            <w:pPr>
              <w:spacing w:line="360" w:lineRule="auto"/>
              <w:jc w:val="right"/>
              <w:rPr>
                <w:rFonts w:ascii="Calibri" w:hAnsi="Calibri" w:cs="Arial"/>
                <w:bCs/>
                <w:sz w:val="20"/>
                <w:szCs w:val="20"/>
                <w:lang w:val="hr-HR"/>
              </w:rPr>
            </w:pPr>
          </w:p>
        </w:tc>
        <w:tc>
          <w:tcPr>
            <w:tcW w:w="929" w:type="pct"/>
            <w:shd w:val="clear" w:color="auto" w:fill="auto"/>
            <w:vAlign w:val="center"/>
          </w:tcPr>
          <w:p w:rsidR="00867CAC" w:rsidRPr="001567C8" w:rsidRDefault="00867CAC" w:rsidP="00867CAC">
            <w:pPr>
              <w:spacing w:line="360" w:lineRule="auto"/>
              <w:jc w:val="right"/>
              <w:rPr>
                <w:rFonts w:ascii="Calibri" w:hAnsi="Calibri" w:cs="Arial"/>
                <w:bCs/>
                <w:sz w:val="20"/>
                <w:szCs w:val="20"/>
                <w:lang w:val="hr-HR"/>
              </w:rPr>
            </w:pPr>
          </w:p>
        </w:tc>
        <w:tc>
          <w:tcPr>
            <w:tcW w:w="929" w:type="pct"/>
            <w:vAlign w:val="center"/>
          </w:tcPr>
          <w:p w:rsidR="00867CAC" w:rsidRPr="001567C8" w:rsidRDefault="00867CAC" w:rsidP="00867CAC">
            <w:pPr>
              <w:spacing w:line="360" w:lineRule="auto"/>
              <w:jc w:val="right"/>
              <w:rPr>
                <w:rFonts w:ascii="Calibri" w:hAnsi="Calibri" w:cs="Arial"/>
                <w:bCs/>
                <w:sz w:val="20"/>
                <w:szCs w:val="20"/>
                <w:lang w:val="hr-HR"/>
              </w:rPr>
            </w:pPr>
          </w:p>
        </w:tc>
        <w:tc>
          <w:tcPr>
            <w:tcW w:w="927" w:type="pct"/>
            <w:vAlign w:val="center"/>
          </w:tcPr>
          <w:p w:rsidR="00867CAC" w:rsidRPr="001567C8" w:rsidRDefault="00867CAC" w:rsidP="00867CAC">
            <w:pPr>
              <w:spacing w:line="360" w:lineRule="auto"/>
              <w:jc w:val="right"/>
              <w:rPr>
                <w:rFonts w:ascii="Calibri" w:hAnsi="Calibri" w:cs="Arial"/>
                <w:bCs/>
                <w:sz w:val="20"/>
                <w:szCs w:val="20"/>
                <w:lang w:val="hr-HR"/>
              </w:rPr>
            </w:pPr>
          </w:p>
        </w:tc>
      </w:tr>
      <w:tr w:rsidR="00C86CF5" w:rsidRPr="001567C8" w:rsidTr="003C6BA3">
        <w:trPr>
          <w:trHeight w:hRule="exact" w:val="284"/>
          <w:jc w:val="center"/>
        </w:trPr>
        <w:tc>
          <w:tcPr>
            <w:tcW w:w="1288" w:type="pct"/>
            <w:shd w:val="clear" w:color="auto" w:fill="auto"/>
            <w:vAlign w:val="center"/>
          </w:tcPr>
          <w:p w:rsidR="00C86CF5" w:rsidRPr="001567C8" w:rsidRDefault="00C86CF5" w:rsidP="00C86CF5">
            <w:pPr>
              <w:spacing w:line="360" w:lineRule="auto"/>
              <w:jc w:val="both"/>
              <w:rPr>
                <w:rFonts w:ascii="Calibri" w:hAnsi="Calibri" w:cs="Arial"/>
                <w:bCs/>
                <w:sz w:val="20"/>
                <w:szCs w:val="20"/>
                <w:lang w:val="hr-HR"/>
              </w:rPr>
            </w:pPr>
            <w:r w:rsidRPr="001567C8">
              <w:rPr>
                <w:rFonts w:ascii="Calibri" w:hAnsi="Calibri" w:cs="Arial"/>
                <w:bCs/>
                <w:sz w:val="20"/>
                <w:szCs w:val="20"/>
                <w:lang w:val="hr-HR"/>
              </w:rPr>
              <w:t>EUR</w:t>
            </w:r>
          </w:p>
        </w:tc>
        <w:tc>
          <w:tcPr>
            <w:tcW w:w="927" w:type="pct"/>
            <w:shd w:val="clear" w:color="auto" w:fill="auto"/>
            <w:vAlign w:val="center"/>
          </w:tcPr>
          <w:p w:rsidR="00C86CF5" w:rsidRPr="001567C8" w:rsidRDefault="00C86CF5" w:rsidP="00C86CF5">
            <w:pPr>
              <w:spacing w:line="360" w:lineRule="auto"/>
              <w:jc w:val="right"/>
              <w:rPr>
                <w:rFonts w:asciiTheme="minorHAnsi" w:hAnsiTheme="minorHAnsi" w:cs="Arial"/>
                <w:bCs/>
                <w:sz w:val="20"/>
                <w:szCs w:val="20"/>
                <w:lang w:val="hr-HR"/>
              </w:rPr>
            </w:pPr>
            <w:r w:rsidRPr="00CD3A2D">
              <w:rPr>
                <w:rFonts w:asciiTheme="minorHAnsi" w:hAnsiTheme="minorHAnsi" w:cs="Arial"/>
                <w:bCs/>
                <w:sz w:val="20"/>
                <w:szCs w:val="20"/>
                <w:lang w:val="hr-HR"/>
              </w:rPr>
              <w:t>-1</w:t>
            </w:r>
          </w:p>
        </w:tc>
        <w:tc>
          <w:tcPr>
            <w:tcW w:w="929" w:type="pct"/>
            <w:shd w:val="clear" w:color="auto" w:fill="auto"/>
            <w:vAlign w:val="center"/>
          </w:tcPr>
          <w:p w:rsidR="00C86CF5" w:rsidRPr="001567C8" w:rsidRDefault="00C86CF5" w:rsidP="00C86CF5">
            <w:pPr>
              <w:spacing w:line="360" w:lineRule="auto"/>
              <w:jc w:val="right"/>
              <w:rPr>
                <w:rFonts w:asciiTheme="minorHAnsi" w:hAnsiTheme="minorHAnsi" w:cs="Arial"/>
                <w:bCs/>
                <w:sz w:val="20"/>
                <w:szCs w:val="20"/>
                <w:lang w:val="hr-HR"/>
              </w:rPr>
            </w:pPr>
            <w:r w:rsidRPr="00CD3A2D">
              <w:rPr>
                <w:rFonts w:asciiTheme="minorHAnsi" w:hAnsiTheme="minorHAnsi" w:cs="Arial"/>
                <w:bCs/>
                <w:sz w:val="20"/>
                <w:szCs w:val="20"/>
                <w:lang w:val="hr-HR"/>
              </w:rPr>
              <w:t>(40)</w:t>
            </w:r>
          </w:p>
        </w:tc>
        <w:tc>
          <w:tcPr>
            <w:tcW w:w="929" w:type="pct"/>
            <w:shd w:val="clear" w:color="auto" w:fill="auto"/>
            <w:vAlign w:val="center"/>
          </w:tcPr>
          <w:p w:rsidR="00C86CF5" w:rsidRPr="001567C8" w:rsidRDefault="00C86CF5" w:rsidP="00C86CF5">
            <w:pPr>
              <w:spacing w:line="360" w:lineRule="auto"/>
              <w:jc w:val="right"/>
              <w:rPr>
                <w:rFonts w:ascii="Calibri" w:hAnsi="Calibri"/>
                <w:bCs/>
                <w:sz w:val="20"/>
                <w:szCs w:val="20"/>
                <w:lang w:val="hr-HR"/>
              </w:rPr>
            </w:pPr>
            <w:r w:rsidRPr="001567C8">
              <w:rPr>
                <w:rFonts w:ascii="Calibri" w:hAnsi="Calibri" w:cs="Arial"/>
                <w:bCs/>
                <w:sz w:val="20"/>
                <w:szCs w:val="20"/>
                <w:lang w:val="hr-HR"/>
              </w:rPr>
              <w:t>-1</w:t>
            </w:r>
          </w:p>
        </w:tc>
        <w:tc>
          <w:tcPr>
            <w:tcW w:w="927" w:type="pct"/>
            <w:shd w:val="clear" w:color="auto" w:fill="auto"/>
            <w:vAlign w:val="center"/>
          </w:tcPr>
          <w:p w:rsidR="00C86CF5" w:rsidRPr="001567C8" w:rsidRDefault="00C86CF5" w:rsidP="00C86CF5">
            <w:pPr>
              <w:spacing w:line="360" w:lineRule="auto"/>
              <w:jc w:val="right"/>
              <w:rPr>
                <w:rFonts w:ascii="Calibri" w:hAnsi="Calibri"/>
                <w:bCs/>
                <w:sz w:val="20"/>
                <w:szCs w:val="20"/>
                <w:lang w:val="hr-HR"/>
              </w:rPr>
            </w:pPr>
            <w:r w:rsidRPr="001567C8">
              <w:rPr>
                <w:rFonts w:ascii="Calibri" w:hAnsi="Calibri" w:cs="Arial"/>
                <w:bCs/>
                <w:sz w:val="20"/>
                <w:szCs w:val="20"/>
                <w:lang w:val="hr-HR"/>
              </w:rPr>
              <w:t>(93)</w:t>
            </w:r>
          </w:p>
        </w:tc>
      </w:tr>
      <w:tr w:rsidR="00C86CF5" w:rsidRPr="001567C8" w:rsidTr="003C6BA3">
        <w:trPr>
          <w:trHeight w:hRule="exact" w:val="284"/>
          <w:jc w:val="center"/>
        </w:trPr>
        <w:tc>
          <w:tcPr>
            <w:tcW w:w="1288" w:type="pct"/>
            <w:shd w:val="clear" w:color="auto" w:fill="auto"/>
            <w:vAlign w:val="center"/>
          </w:tcPr>
          <w:p w:rsidR="00C86CF5" w:rsidRPr="001567C8" w:rsidRDefault="00C86CF5" w:rsidP="00C86CF5">
            <w:pPr>
              <w:spacing w:line="360" w:lineRule="auto"/>
              <w:jc w:val="both"/>
              <w:rPr>
                <w:rFonts w:ascii="Calibri" w:hAnsi="Calibri" w:cs="Arial"/>
                <w:bCs/>
                <w:sz w:val="20"/>
                <w:szCs w:val="20"/>
                <w:lang w:val="hr-HR"/>
              </w:rPr>
            </w:pPr>
            <w:r w:rsidRPr="001567C8">
              <w:rPr>
                <w:rFonts w:ascii="Calibri" w:hAnsi="Calibri" w:cs="Arial"/>
                <w:bCs/>
                <w:sz w:val="20"/>
                <w:szCs w:val="20"/>
                <w:lang w:val="hr-HR"/>
              </w:rPr>
              <w:t>USD</w:t>
            </w:r>
          </w:p>
        </w:tc>
        <w:tc>
          <w:tcPr>
            <w:tcW w:w="927" w:type="pct"/>
            <w:shd w:val="clear" w:color="auto" w:fill="auto"/>
            <w:vAlign w:val="center"/>
          </w:tcPr>
          <w:p w:rsidR="00C86CF5" w:rsidRPr="001567C8" w:rsidRDefault="00C86CF5" w:rsidP="00C86CF5">
            <w:pPr>
              <w:spacing w:line="360" w:lineRule="auto"/>
              <w:jc w:val="right"/>
              <w:rPr>
                <w:rFonts w:asciiTheme="minorHAnsi" w:hAnsiTheme="minorHAnsi" w:cs="Arial"/>
                <w:bCs/>
                <w:sz w:val="20"/>
                <w:szCs w:val="20"/>
                <w:lang w:val="hr-HR"/>
              </w:rPr>
            </w:pPr>
            <w:r w:rsidRPr="00CD3A2D">
              <w:rPr>
                <w:rFonts w:asciiTheme="minorHAnsi" w:hAnsiTheme="minorHAnsi" w:cs="Arial"/>
                <w:bCs/>
                <w:sz w:val="20"/>
                <w:szCs w:val="20"/>
                <w:lang w:val="hr-HR"/>
              </w:rPr>
              <w:t>-17</w:t>
            </w:r>
          </w:p>
        </w:tc>
        <w:tc>
          <w:tcPr>
            <w:tcW w:w="929" w:type="pct"/>
            <w:shd w:val="clear" w:color="auto" w:fill="auto"/>
            <w:vAlign w:val="center"/>
          </w:tcPr>
          <w:p w:rsidR="00C86CF5" w:rsidRPr="001567C8" w:rsidRDefault="00C86CF5" w:rsidP="00C86CF5">
            <w:pPr>
              <w:spacing w:line="360" w:lineRule="auto"/>
              <w:jc w:val="right"/>
              <w:rPr>
                <w:rFonts w:asciiTheme="minorHAnsi" w:hAnsiTheme="minorHAnsi" w:cs="Arial"/>
                <w:bCs/>
                <w:sz w:val="20"/>
                <w:szCs w:val="20"/>
                <w:lang w:val="hr-HR"/>
              </w:rPr>
            </w:pPr>
            <w:r w:rsidRPr="00CD3A2D">
              <w:rPr>
                <w:rFonts w:asciiTheme="minorHAnsi" w:hAnsiTheme="minorHAnsi" w:cs="Arial"/>
                <w:bCs/>
                <w:sz w:val="20"/>
                <w:szCs w:val="20"/>
                <w:lang w:val="hr-HR"/>
              </w:rPr>
              <w:t>(599)</w:t>
            </w:r>
          </w:p>
        </w:tc>
        <w:tc>
          <w:tcPr>
            <w:tcW w:w="929" w:type="pct"/>
            <w:shd w:val="clear" w:color="auto" w:fill="auto"/>
            <w:vAlign w:val="center"/>
          </w:tcPr>
          <w:p w:rsidR="00C86CF5" w:rsidRPr="001567C8" w:rsidRDefault="00C86CF5" w:rsidP="00C86CF5">
            <w:pPr>
              <w:spacing w:line="360" w:lineRule="auto"/>
              <w:jc w:val="right"/>
              <w:rPr>
                <w:rFonts w:ascii="Calibri" w:hAnsi="Calibri"/>
                <w:bCs/>
                <w:sz w:val="20"/>
                <w:szCs w:val="20"/>
                <w:lang w:val="hr-HR"/>
              </w:rPr>
            </w:pPr>
            <w:r w:rsidRPr="001567C8">
              <w:rPr>
                <w:rFonts w:ascii="Calibri" w:hAnsi="Calibri" w:cs="Arial"/>
                <w:bCs/>
                <w:sz w:val="20"/>
                <w:szCs w:val="20"/>
                <w:lang w:val="hr-HR"/>
              </w:rPr>
              <w:t>-10</w:t>
            </w:r>
          </w:p>
        </w:tc>
        <w:tc>
          <w:tcPr>
            <w:tcW w:w="927" w:type="pct"/>
            <w:shd w:val="clear" w:color="auto" w:fill="auto"/>
            <w:vAlign w:val="center"/>
          </w:tcPr>
          <w:p w:rsidR="00C86CF5" w:rsidRPr="001567C8" w:rsidRDefault="00C86CF5" w:rsidP="00C86CF5">
            <w:pPr>
              <w:spacing w:line="360" w:lineRule="auto"/>
              <w:jc w:val="right"/>
              <w:rPr>
                <w:rFonts w:ascii="Calibri" w:hAnsi="Calibri"/>
                <w:bCs/>
                <w:sz w:val="20"/>
                <w:szCs w:val="20"/>
                <w:lang w:val="hr-HR"/>
              </w:rPr>
            </w:pPr>
            <w:r w:rsidRPr="001567C8">
              <w:rPr>
                <w:rFonts w:ascii="Calibri" w:hAnsi="Calibri" w:cs="Arial"/>
                <w:bCs/>
                <w:sz w:val="20"/>
                <w:szCs w:val="20"/>
                <w:lang w:val="hr-HR"/>
              </w:rPr>
              <w:t>(349)</w:t>
            </w:r>
          </w:p>
        </w:tc>
      </w:tr>
    </w:tbl>
    <w:p w:rsidR="002B0028" w:rsidRPr="001567C8" w:rsidRDefault="002B0028" w:rsidP="00142CFB">
      <w:pPr>
        <w:keepNext/>
        <w:jc w:val="both"/>
        <w:rPr>
          <w:rFonts w:asciiTheme="minorHAnsi" w:hAnsiTheme="minorHAnsi" w:cs="Arial"/>
          <w:bCs/>
          <w:sz w:val="22"/>
          <w:szCs w:val="22"/>
          <w:lang w:val="hr-HR"/>
        </w:rPr>
        <w:sectPr w:rsidR="002B0028" w:rsidRPr="001567C8" w:rsidSect="0077198A">
          <w:pgSz w:w="11907" w:h="16840" w:code="9"/>
          <w:pgMar w:top="1418" w:right="1134" w:bottom="1134" w:left="1418" w:header="851" w:footer="851" w:gutter="0"/>
          <w:cols w:space="720"/>
          <w:noEndnote/>
        </w:sectPr>
      </w:pPr>
    </w:p>
    <w:p w:rsidR="00142CFB" w:rsidRPr="001567C8" w:rsidRDefault="00142CFB" w:rsidP="002B0028">
      <w:pPr>
        <w:pStyle w:val="T1"/>
        <w:spacing w:before="0" w:after="0" w:line="240" w:lineRule="auto"/>
        <w:rPr>
          <w:rFonts w:asciiTheme="minorHAnsi" w:hAnsiTheme="minorHAnsi" w:cs="Arial"/>
          <w:sz w:val="22"/>
          <w:szCs w:val="22"/>
          <w:lang w:val="hr-HR"/>
        </w:rPr>
      </w:pPr>
    </w:p>
    <w:p w:rsidR="00AD159E" w:rsidRPr="001567C8" w:rsidRDefault="009B7EFC" w:rsidP="00142CFB">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F21AC7" w:rsidRPr="001567C8">
        <w:rPr>
          <w:rFonts w:asciiTheme="minorHAnsi" w:hAnsiTheme="minorHAnsi" w:cs="Arial"/>
          <w:sz w:val="22"/>
          <w:szCs w:val="22"/>
          <w:lang w:val="hr-HR"/>
        </w:rPr>
        <w:t xml:space="preserve">.        </w:t>
      </w:r>
      <w:r w:rsidR="00AD159E" w:rsidRPr="001567C8">
        <w:rPr>
          <w:rFonts w:asciiTheme="minorHAnsi" w:hAnsiTheme="minorHAnsi" w:cs="Arial"/>
          <w:sz w:val="22"/>
          <w:szCs w:val="22"/>
          <w:lang w:val="hr-HR"/>
        </w:rPr>
        <w:t>Upravljanje rizicima (nastavak)</w:t>
      </w:r>
    </w:p>
    <w:p w:rsidR="00142CFB" w:rsidRPr="001567C8" w:rsidRDefault="00142CFB" w:rsidP="00142CFB">
      <w:pPr>
        <w:pStyle w:val="T1"/>
        <w:spacing w:before="0" w:after="0" w:line="240" w:lineRule="auto"/>
        <w:ind w:left="709" w:hanging="709"/>
        <w:rPr>
          <w:rFonts w:asciiTheme="minorHAnsi" w:hAnsiTheme="minorHAnsi" w:cs="Arial"/>
          <w:sz w:val="22"/>
          <w:szCs w:val="22"/>
          <w:lang w:val="hr-HR"/>
        </w:rPr>
      </w:pPr>
    </w:p>
    <w:p w:rsidR="00AD159E" w:rsidRPr="001567C8" w:rsidRDefault="009B7EFC" w:rsidP="00142CFB">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AD159E"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AD159E" w:rsidRPr="001567C8">
        <w:rPr>
          <w:rFonts w:asciiTheme="minorHAnsi" w:hAnsiTheme="minorHAnsi" w:cs="Arial"/>
          <w:sz w:val="22"/>
          <w:szCs w:val="22"/>
          <w:lang w:val="hr-HR"/>
        </w:rPr>
        <w:t xml:space="preserve">. </w:t>
      </w:r>
      <w:r w:rsidR="00F21AC7" w:rsidRPr="001567C8">
        <w:rPr>
          <w:rFonts w:asciiTheme="minorHAnsi" w:hAnsiTheme="minorHAnsi" w:cs="Arial"/>
          <w:sz w:val="22"/>
          <w:szCs w:val="22"/>
          <w:lang w:val="hr-HR"/>
        </w:rPr>
        <w:t xml:space="preserve">    </w:t>
      </w:r>
      <w:r w:rsidR="00AD159E" w:rsidRPr="001567C8">
        <w:rPr>
          <w:rFonts w:asciiTheme="minorHAnsi" w:hAnsiTheme="minorHAnsi" w:cs="Arial"/>
          <w:sz w:val="22"/>
          <w:szCs w:val="22"/>
          <w:lang w:val="hr-HR"/>
        </w:rPr>
        <w:t>Tržišni rizik (nastavak)</w:t>
      </w:r>
    </w:p>
    <w:p w:rsidR="00142CFB" w:rsidRPr="001567C8" w:rsidRDefault="00142CFB" w:rsidP="00142CFB">
      <w:pPr>
        <w:pStyle w:val="T1"/>
        <w:spacing w:before="0" w:after="0" w:line="240" w:lineRule="auto"/>
        <w:ind w:left="709" w:hanging="709"/>
        <w:rPr>
          <w:rFonts w:asciiTheme="minorHAnsi" w:hAnsiTheme="minorHAnsi" w:cs="Arial"/>
          <w:sz w:val="22"/>
          <w:szCs w:val="22"/>
          <w:lang w:val="hr-HR"/>
        </w:rPr>
      </w:pPr>
    </w:p>
    <w:p w:rsidR="00B36A45" w:rsidRPr="001567C8" w:rsidRDefault="009B7EFC" w:rsidP="00142CFB">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B36A45"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B36A45" w:rsidRPr="001567C8">
        <w:rPr>
          <w:rFonts w:asciiTheme="minorHAnsi" w:hAnsiTheme="minorHAnsi" w:cs="Arial"/>
          <w:sz w:val="22"/>
          <w:szCs w:val="22"/>
          <w:lang w:val="hr-HR"/>
        </w:rPr>
        <w:t xml:space="preserve">.2. </w:t>
      </w:r>
      <w:r w:rsidR="00F21AC7" w:rsidRPr="001567C8">
        <w:rPr>
          <w:rFonts w:asciiTheme="minorHAnsi" w:hAnsiTheme="minorHAnsi" w:cs="Arial"/>
          <w:sz w:val="22"/>
          <w:szCs w:val="22"/>
          <w:lang w:val="hr-HR"/>
        </w:rPr>
        <w:t xml:space="preserve"> </w:t>
      </w:r>
      <w:r w:rsidR="00B36A45" w:rsidRPr="001567C8">
        <w:rPr>
          <w:rFonts w:asciiTheme="minorHAnsi" w:hAnsiTheme="minorHAnsi" w:cs="Arial"/>
          <w:sz w:val="22"/>
          <w:szCs w:val="22"/>
          <w:lang w:val="hr-HR"/>
        </w:rPr>
        <w:t>Valutni rizik</w:t>
      </w:r>
    </w:p>
    <w:p w:rsidR="00142CFB" w:rsidRPr="001567C8" w:rsidRDefault="00142CFB" w:rsidP="00142CFB">
      <w:pPr>
        <w:jc w:val="both"/>
        <w:rPr>
          <w:rFonts w:asciiTheme="minorHAnsi" w:hAnsiTheme="minorHAnsi" w:cs="Arial"/>
          <w:sz w:val="22"/>
          <w:szCs w:val="22"/>
          <w:lang w:val="hr-HR"/>
        </w:rPr>
      </w:pPr>
    </w:p>
    <w:p w:rsidR="006D0890" w:rsidRPr="001567C8" w:rsidRDefault="006D0890" w:rsidP="00142CFB">
      <w:pPr>
        <w:pStyle w:val="T1"/>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Iznos ukupne </w:t>
      </w:r>
      <w:r w:rsidR="008D6072" w:rsidRPr="001567C8">
        <w:rPr>
          <w:rFonts w:asciiTheme="minorHAnsi" w:hAnsiTheme="minorHAnsi" w:cs="Arial"/>
          <w:b w:val="0"/>
          <w:bCs w:val="0"/>
          <w:sz w:val="22"/>
          <w:szCs w:val="22"/>
          <w:lang w:val="hr-HR"/>
        </w:rPr>
        <w:t>imovine</w:t>
      </w:r>
      <w:r w:rsidRPr="001567C8">
        <w:rPr>
          <w:rFonts w:asciiTheme="minorHAnsi" w:hAnsiTheme="minorHAnsi" w:cs="Arial"/>
          <w:b w:val="0"/>
          <w:bCs w:val="0"/>
          <w:sz w:val="22"/>
          <w:szCs w:val="22"/>
          <w:lang w:val="hr-HR"/>
        </w:rPr>
        <w:t xml:space="preserve"> i</w:t>
      </w:r>
      <w:r w:rsidR="00343F46" w:rsidRPr="001567C8">
        <w:rPr>
          <w:rFonts w:asciiTheme="minorHAnsi" w:hAnsiTheme="minorHAnsi" w:cs="Arial"/>
          <w:b w:val="0"/>
          <w:bCs w:val="0"/>
          <w:sz w:val="22"/>
          <w:szCs w:val="22"/>
          <w:lang w:val="hr-HR"/>
        </w:rPr>
        <w:t xml:space="preserve"> </w:t>
      </w:r>
      <w:r w:rsidR="00AC737A" w:rsidRPr="001567C8">
        <w:rPr>
          <w:rFonts w:asciiTheme="minorHAnsi" w:hAnsiTheme="minorHAnsi" w:cs="Arial"/>
          <w:b w:val="0"/>
          <w:bCs w:val="0"/>
          <w:sz w:val="22"/>
          <w:szCs w:val="22"/>
          <w:lang w:val="hr-HR"/>
        </w:rPr>
        <w:t xml:space="preserve">ukupnih </w:t>
      </w:r>
      <w:r w:rsidR="008D6072" w:rsidRPr="001567C8">
        <w:rPr>
          <w:rFonts w:asciiTheme="minorHAnsi" w:hAnsiTheme="minorHAnsi" w:cs="Arial"/>
          <w:b w:val="0"/>
          <w:bCs w:val="0"/>
          <w:sz w:val="22"/>
          <w:szCs w:val="22"/>
          <w:lang w:val="hr-HR"/>
        </w:rPr>
        <w:t>obveza</w:t>
      </w:r>
      <w:r w:rsidR="00AC737A" w:rsidRPr="001567C8">
        <w:rPr>
          <w:rFonts w:asciiTheme="minorHAnsi" w:hAnsiTheme="minorHAnsi" w:cs="Arial"/>
          <w:b w:val="0"/>
          <w:bCs w:val="0"/>
          <w:sz w:val="22"/>
          <w:szCs w:val="22"/>
          <w:lang w:val="hr-HR"/>
        </w:rPr>
        <w:t xml:space="preserve"> </w:t>
      </w:r>
      <w:r w:rsidR="00343F46" w:rsidRPr="001567C8">
        <w:rPr>
          <w:rFonts w:asciiTheme="minorHAnsi" w:hAnsiTheme="minorHAnsi" w:cs="Arial"/>
          <w:b w:val="0"/>
          <w:bCs w:val="0"/>
          <w:sz w:val="22"/>
          <w:szCs w:val="22"/>
          <w:lang w:val="hr-HR"/>
        </w:rPr>
        <w:t xml:space="preserve">na dan 31. prosinca </w:t>
      </w:r>
      <w:r w:rsidR="00F21AC7" w:rsidRPr="001567C8">
        <w:rPr>
          <w:rFonts w:asciiTheme="minorHAnsi" w:hAnsiTheme="minorHAnsi" w:cs="Arial"/>
          <w:b w:val="0"/>
          <w:bCs w:val="0"/>
          <w:sz w:val="22"/>
          <w:szCs w:val="22"/>
          <w:lang w:val="hr-HR"/>
        </w:rPr>
        <w:t>201</w:t>
      </w:r>
      <w:r w:rsidR="00DF5433" w:rsidRPr="001567C8">
        <w:rPr>
          <w:rFonts w:asciiTheme="minorHAnsi" w:hAnsiTheme="minorHAnsi" w:cs="Arial"/>
          <w:b w:val="0"/>
          <w:bCs w:val="0"/>
          <w:sz w:val="22"/>
          <w:szCs w:val="22"/>
          <w:lang w:val="hr-HR"/>
        </w:rPr>
        <w:t>8</w:t>
      </w:r>
      <w:r w:rsidRPr="001567C8">
        <w:rPr>
          <w:rFonts w:asciiTheme="minorHAnsi" w:hAnsiTheme="minorHAnsi" w:cs="Arial"/>
          <w:b w:val="0"/>
          <w:bCs w:val="0"/>
          <w:sz w:val="22"/>
          <w:szCs w:val="22"/>
          <w:lang w:val="hr-HR"/>
        </w:rPr>
        <w:t xml:space="preserve">. </w:t>
      </w:r>
      <w:r w:rsidR="00343F46" w:rsidRPr="001567C8">
        <w:rPr>
          <w:rFonts w:asciiTheme="minorHAnsi" w:hAnsiTheme="minorHAnsi" w:cs="Arial"/>
          <w:b w:val="0"/>
          <w:bCs w:val="0"/>
          <w:sz w:val="22"/>
          <w:szCs w:val="22"/>
          <w:lang w:val="hr-HR"/>
        </w:rPr>
        <w:t xml:space="preserve">i 31. prosinca </w:t>
      </w:r>
      <w:r w:rsidR="00F21AC7" w:rsidRPr="001567C8">
        <w:rPr>
          <w:rFonts w:asciiTheme="minorHAnsi" w:hAnsiTheme="minorHAnsi" w:cs="Arial"/>
          <w:b w:val="0"/>
          <w:bCs w:val="0"/>
          <w:sz w:val="22"/>
          <w:szCs w:val="22"/>
          <w:lang w:val="hr-HR"/>
        </w:rPr>
        <w:t>201</w:t>
      </w:r>
      <w:r w:rsidR="00DF5433" w:rsidRPr="001567C8">
        <w:rPr>
          <w:rFonts w:asciiTheme="minorHAnsi" w:hAnsiTheme="minorHAnsi" w:cs="Arial"/>
          <w:b w:val="0"/>
          <w:bCs w:val="0"/>
          <w:sz w:val="22"/>
          <w:szCs w:val="22"/>
          <w:lang w:val="hr-HR"/>
        </w:rPr>
        <w:t>7</w:t>
      </w:r>
      <w:r w:rsidRPr="001567C8">
        <w:rPr>
          <w:rFonts w:asciiTheme="minorHAnsi" w:hAnsiTheme="minorHAnsi" w:cs="Arial"/>
          <w:b w:val="0"/>
          <w:bCs w:val="0"/>
          <w:sz w:val="22"/>
          <w:szCs w:val="22"/>
          <w:lang w:val="hr-HR"/>
        </w:rPr>
        <w:t>. godine u kunama i devizama</w:t>
      </w:r>
      <w:r w:rsidR="009B0C05" w:rsidRPr="001567C8">
        <w:rPr>
          <w:rFonts w:asciiTheme="minorHAnsi" w:hAnsiTheme="minorHAnsi" w:cs="Arial"/>
          <w:b w:val="0"/>
          <w:bCs w:val="0"/>
          <w:sz w:val="22"/>
          <w:szCs w:val="22"/>
          <w:lang w:val="hr-HR"/>
        </w:rPr>
        <w:t>:</w:t>
      </w:r>
    </w:p>
    <w:p w:rsidR="00867CAC" w:rsidRPr="001567C8" w:rsidRDefault="00867CAC" w:rsidP="00142CFB">
      <w:pPr>
        <w:pStyle w:val="T1"/>
        <w:spacing w:before="0" w:after="0" w:line="240" w:lineRule="auto"/>
        <w:rPr>
          <w:rFonts w:asciiTheme="minorHAnsi" w:hAnsiTheme="minorHAnsi" w:cs="Arial"/>
          <w:b w:val="0"/>
          <w:bCs w:val="0"/>
          <w:sz w:val="22"/>
          <w:szCs w:val="22"/>
          <w:lang w:val="hr-HR"/>
        </w:rPr>
      </w:pPr>
    </w:p>
    <w:tbl>
      <w:tblPr>
        <w:tblW w:w="5204" w:type="pct"/>
        <w:tblLayout w:type="fixed"/>
        <w:tblCellMar>
          <w:left w:w="10" w:type="dxa"/>
          <w:right w:w="10" w:type="dxa"/>
        </w:tblCellMar>
        <w:tblLook w:val="0000" w:firstRow="0" w:lastRow="0" w:firstColumn="0" w:lastColumn="0" w:noHBand="0" w:noVBand="0"/>
      </w:tblPr>
      <w:tblGrid>
        <w:gridCol w:w="2842"/>
        <w:gridCol w:w="1010"/>
        <w:gridCol w:w="1149"/>
        <w:gridCol w:w="1162"/>
        <w:gridCol w:w="1137"/>
        <w:gridCol w:w="1206"/>
        <w:gridCol w:w="1231"/>
      </w:tblGrid>
      <w:tr w:rsidR="00DF5433" w:rsidRPr="001567C8" w:rsidTr="00DF5433">
        <w:trPr>
          <w:trHeight w:val="421"/>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20" w:lineRule="exact"/>
              <w:outlineLvl w:val="0"/>
              <w:rPr>
                <w:rFonts w:ascii="Calibri" w:eastAsia="Calibri" w:hAnsi="Calibri" w:cs="Arial"/>
                <w:b/>
                <w:sz w:val="18"/>
                <w:szCs w:val="18"/>
                <w:lang w:val="hr-HR"/>
              </w:rPr>
            </w:pPr>
            <w:r w:rsidRPr="001567C8">
              <w:rPr>
                <w:rFonts w:ascii="Calibri" w:eastAsia="Calibri" w:hAnsi="Calibri" w:cs="Arial"/>
                <w:b/>
                <w:sz w:val="18"/>
                <w:szCs w:val="18"/>
                <w:lang w:val="hr-HR"/>
              </w:rPr>
              <w:t>Grupa</w:t>
            </w:r>
          </w:p>
          <w:p w:rsidR="007C5023" w:rsidRPr="001567C8" w:rsidRDefault="007C5023" w:rsidP="00DF5433">
            <w:pPr>
              <w:tabs>
                <w:tab w:val="right" w:pos="1202"/>
              </w:tabs>
              <w:spacing w:line="220" w:lineRule="exact"/>
              <w:outlineLvl w:val="0"/>
              <w:rPr>
                <w:rFonts w:ascii="Calibri" w:eastAsia="Calibri" w:hAnsi="Calibri" w:cs="Arial"/>
                <w:b/>
                <w:sz w:val="18"/>
                <w:szCs w:val="18"/>
                <w:lang w:val="hr-HR"/>
              </w:rPr>
            </w:pPr>
          </w:p>
          <w:p w:rsidR="00DF5433" w:rsidRPr="001567C8" w:rsidRDefault="00AD2EF7" w:rsidP="00DF5433">
            <w:pPr>
              <w:tabs>
                <w:tab w:val="right" w:pos="1202"/>
              </w:tabs>
              <w:spacing w:line="220" w:lineRule="exact"/>
              <w:outlineLvl w:val="0"/>
              <w:rPr>
                <w:rFonts w:ascii="Calibri" w:eastAsia="Calibri" w:hAnsi="Calibri" w:cs="Arial"/>
                <w:b/>
                <w:sz w:val="18"/>
                <w:szCs w:val="18"/>
                <w:lang w:val="hr-HR"/>
              </w:rPr>
            </w:pPr>
            <w:r>
              <w:rPr>
                <w:rFonts w:ascii="Calibri" w:eastAsia="Calibri" w:hAnsi="Calibri" w:cs="Arial"/>
                <w:b/>
                <w:sz w:val="18"/>
                <w:szCs w:val="18"/>
                <w:lang w:val="hr-HR"/>
              </w:rPr>
              <w:t>31. prosin</w:t>
            </w:r>
            <w:r w:rsidR="0073283D" w:rsidRPr="001567C8">
              <w:rPr>
                <w:rFonts w:ascii="Calibri" w:eastAsia="Calibri" w:hAnsi="Calibri" w:cs="Arial"/>
                <w:b/>
                <w:sz w:val="18"/>
                <w:szCs w:val="18"/>
                <w:lang w:val="hr-HR"/>
              </w:rPr>
              <w:t>c</w:t>
            </w:r>
            <w:r>
              <w:rPr>
                <w:rFonts w:ascii="Calibri" w:eastAsia="Calibri" w:hAnsi="Calibri" w:cs="Arial"/>
                <w:b/>
                <w:sz w:val="18"/>
                <w:szCs w:val="18"/>
                <w:lang w:val="hr-HR"/>
              </w:rPr>
              <w:t>a</w:t>
            </w:r>
            <w:r w:rsidR="0073283D" w:rsidRPr="001567C8">
              <w:rPr>
                <w:rFonts w:ascii="Calibri" w:eastAsia="Calibri" w:hAnsi="Calibri" w:cs="Arial"/>
                <w:b/>
                <w:sz w:val="18"/>
                <w:szCs w:val="18"/>
                <w:lang w:val="hr-HR"/>
              </w:rPr>
              <w:t xml:space="preserve"> </w:t>
            </w:r>
            <w:r w:rsidR="00DF5433" w:rsidRPr="001567C8">
              <w:rPr>
                <w:rFonts w:ascii="Calibri" w:eastAsia="Calibri" w:hAnsi="Calibri" w:cs="Arial"/>
                <w:b/>
                <w:sz w:val="18"/>
                <w:szCs w:val="18"/>
                <w:lang w:val="hr-HR"/>
              </w:rPr>
              <w:t>2018.</w:t>
            </w:r>
            <w:r w:rsidR="007C5023" w:rsidRPr="001567C8">
              <w:rPr>
                <w:rFonts w:ascii="Calibri" w:eastAsia="Calibri" w:hAnsi="Calibri" w:cs="Arial"/>
                <w:b/>
                <w:sz w:val="18"/>
                <w:szCs w:val="18"/>
                <w:lang w:val="hr-HR"/>
              </w:rPr>
              <w:t xml:space="preserve"> godina</w:t>
            </w:r>
          </w:p>
        </w:tc>
        <w:tc>
          <w:tcPr>
            <w:tcW w:w="1010"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USD</w:t>
            </w:r>
          </w:p>
        </w:tc>
        <w:tc>
          <w:tcPr>
            <w:tcW w:w="1149"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 xml:space="preserve">EUR </w:t>
            </w:r>
          </w:p>
        </w:tc>
        <w:tc>
          <w:tcPr>
            <w:tcW w:w="1162"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Ostale valute</w:t>
            </w:r>
          </w:p>
        </w:tc>
        <w:tc>
          <w:tcPr>
            <w:tcW w:w="1137"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Ukupno strane valute</w:t>
            </w:r>
          </w:p>
        </w:tc>
        <w:tc>
          <w:tcPr>
            <w:tcW w:w="1206"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Kune</w:t>
            </w:r>
          </w:p>
        </w:tc>
        <w:tc>
          <w:tcPr>
            <w:tcW w:w="1231"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Ukupno</w:t>
            </w:r>
          </w:p>
        </w:tc>
      </w:tr>
      <w:tr w:rsidR="00DF5433" w:rsidRPr="001567C8" w:rsidTr="00DF5433">
        <w:trPr>
          <w:trHeight w:hRule="exact" w:val="276"/>
        </w:trPr>
        <w:tc>
          <w:tcPr>
            <w:tcW w:w="2842" w:type="dxa"/>
            <w:tcMar>
              <w:top w:w="0" w:type="dxa"/>
              <w:left w:w="120" w:type="dxa"/>
              <w:bottom w:w="0" w:type="dxa"/>
              <w:right w:w="120" w:type="dxa"/>
            </w:tcMar>
          </w:tcPr>
          <w:p w:rsidR="00DF5433" w:rsidRPr="001567C8" w:rsidRDefault="00DF5433" w:rsidP="00DF5433">
            <w:pPr>
              <w:tabs>
                <w:tab w:val="right" w:pos="1202"/>
              </w:tabs>
              <w:spacing w:line="220" w:lineRule="exact"/>
              <w:outlineLvl w:val="0"/>
              <w:rPr>
                <w:rFonts w:ascii="Calibri" w:eastAsia="Calibri" w:hAnsi="Calibri" w:cs="Arial"/>
                <w:b/>
                <w:sz w:val="18"/>
                <w:szCs w:val="18"/>
                <w:lang w:val="hr-HR"/>
              </w:rPr>
            </w:pPr>
          </w:p>
        </w:tc>
        <w:tc>
          <w:tcPr>
            <w:tcW w:w="1010"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000 kuna</w:t>
            </w:r>
          </w:p>
        </w:tc>
        <w:tc>
          <w:tcPr>
            <w:tcW w:w="1149"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000 kuna</w:t>
            </w:r>
          </w:p>
        </w:tc>
        <w:tc>
          <w:tcPr>
            <w:tcW w:w="1162"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000 kuna</w:t>
            </w:r>
          </w:p>
        </w:tc>
        <w:tc>
          <w:tcPr>
            <w:tcW w:w="1137"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000 kuna</w:t>
            </w:r>
          </w:p>
        </w:tc>
        <w:tc>
          <w:tcPr>
            <w:tcW w:w="1206"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000 kuna</w:t>
            </w:r>
          </w:p>
        </w:tc>
        <w:tc>
          <w:tcPr>
            <w:tcW w:w="1231" w:type="dxa"/>
            <w:tcMar>
              <w:top w:w="0" w:type="dxa"/>
              <w:left w:w="120" w:type="dxa"/>
              <w:bottom w:w="0" w:type="dxa"/>
              <w:right w:w="120" w:type="dxa"/>
            </w:tcMar>
          </w:tcPr>
          <w:p w:rsidR="00DF5433" w:rsidRPr="001567C8" w:rsidRDefault="00DF5433" w:rsidP="00DF5433">
            <w:pPr>
              <w:tabs>
                <w:tab w:val="right" w:pos="1202"/>
              </w:tabs>
              <w:spacing w:line="220" w:lineRule="exact"/>
              <w:jc w:val="right"/>
              <w:outlineLvl w:val="0"/>
              <w:rPr>
                <w:rFonts w:ascii="Calibri" w:eastAsia="Calibri" w:hAnsi="Calibri" w:cs="Arial"/>
                <w:b/>
                <w:sz w:val="18"/>
                <w:szCs w:val="18"/>
                <w:lang w:val="hr-HR"/>
              </w:rPr>
            </w:pPr>
            <w:r w:rsidRPr="001567C8">
              <w:rPr>
                <w:rFonts w:ascii="Calibri" w:eastAsia="Calibri" w:hAnsi="Calibri" w:cs="Arial"/>
                <w:b/>
                <w:sz w:val="18"/>
                <w:szCs w:val="18"/>
                <w:lang w:val="hr-HR"/>
              </w:rPr>
              <w:t>000 kuna</w:t>
            </w:r>
          </w:p>
        </w:tc>
      </w:tr>
      <w:tr w:rsidR="00DF5433" w:rsidRPr="001567C8" w:rsidTr="00DF5433">
        <w:trPr>
          <w:trHeight w:val="243"/>
        </w:trPr>
        <w:tc>
          <w:tcPr>
            <w:tcW w:w="2842" w:type="dxa"/>
            <w:tcMar>
              <w:top w:w="0" w:type="dxa"/>
              <w:left w:w="120" w:type="dxa"/>
              <w:bottom w:w="0" w:type="dxa"/>
              <w:right w:w="120" w:type="dxa"/>
            </w:tcMar>
          </w:tcPr>
          <w:p w:rsidR="00DF5433" w:rsidRPr="001567C8" w:rsidRDefault="00DF5433" w:rsidP="00DF5433">
            <w:pPr>
              <w:tabs>
                <w:tab w:val="right" w:pos="1202"/>
              </w:tabs>
              <w:spacing w:line="240" w:lineRule="exact"/>
              <w:outlineLvl w:val="0"/>
              <w:rPr>
                <w:rFonts w:ascii="Calibri" w:eastAsia="Calibri" w:hAnsi="Calibri" w:cs="Arial"/>
                <w:b/>
                <w:sz w:val="18"/>
                <w:szCs w:val="18"/>
                <w:lang w:val="hr-HR"/>
              </w:rPr>
            </w:pPr>
            <w:r w:rsidRPr="001567C8">
              <w:rPr>
                <w:rFonts w:ascii="Calibri" w:eastAsia="Calibri" w:hAnsi="Calibri" w:cs="Arial"/>
                <w:b/>
                <w:sz w:val="18"/>
                <w:szCs w:val="18"/>
                <w:lang w:val="hr-HR"/>
              </w:rPr>
              <w:t>Imovina</w:t>
            </w:r>
          </w:p>
        </w:tc>
        <w:tc>
          <w:tcPr>
            <w:tcW w:w="1010" w:type="dxa"/>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p>
        </w:tc>
        <w:tc>
          <w:tcPr>
            <w:tcW w:w="1149" w:type="dxa"/>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p>
        </w:tc>
        <w:tc>
          <w:tcPr>
            <w:tcW w:w="1162" w:type="dxa"/>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p>
        </w:tc>
        <w:tc>
          <w:tcPr>
            <w:tcW w:w="1137" w:type="dxa"/>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p>
        </w:tc>
        <w:tc>
          <w:tcPr>
            <w:tcW w:w="1206" w:type="dxa"/>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p>
        </w:tc>
        <w:tc>
          <w:tcPr>
            <w:tcW w:w="1231" w:type="dxa"/>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p>
        </w:tc>
      </w:tr>
      <w:tr w:rsidR="00DF5433" w:rsidRPr="001567C8" w:rsidTr="003C6BA3">
        <w:trPr>
          <w:trHeight w:val="181"/>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Arial" w:eastAsia="Calibri" w:hAnsi="Arial"/>
                <w:sz w:val="18"/>
                <w:szCs w:val="18"/>
                <w:lang w:val="hr-HR"/>
              </w:rPr>
            </w:pPr>
            <w:r w:rsidRPr="001567C8">
              <w:rPr>
                <w:rFonts w:ascii="Calibri" w:eastAsia="Calibri" w:hAnsi="Calibri" w:cs="Arial"/>
                <w:spacing w:val="-2"/>
                <w:sz w:val="18"/>
                <w:szCs w:val="18"/>
                <w:lang w:val="hr-HR"/>
              </w:rPr>
              <w:t>Novčana sredstva i računi kod banaka</w:t>
            </w:r>
          </w:p>
        </w:tc>
        <w:tc>
          <w:tcPr>
            <w:tcW w:w="1010" w:type="dxa"/>
            <w:tcBorders>
              <w:top w:val="nil"/>
              <w:left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4.824</w:t>
            </w:r>
          </w:p>
        </w:tc>
        <w:tc>
          <w:tcPr>
            <w:tcW w:w="1149" w:type="dxa"/>
            <w:tcBorders>
              <w:top w:val="nil"/>
              <w:left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15.188</w:t>
            </w:r>
          </w:p>
        </w:tc>
        <w:tc>
          <w:tcPr>
            <w:tcW w:w="1162" w:type="dxa"/>
            <w:tcBorders>
              <w:top w:val="nil"/>
              <w:left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1.391</w:t>
            </w:r>
          </w:p>
        </w:tc>
        <w:tc>
          <w:tcPr>
            <w:tcW w:w="1137" w:type="dxa"/>
            <w:tcBorders>
              <w:top w:val="nil"/>
              <w:left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21.403</w:t>
            </w:r>
          </w:p>
        </w:tc>
        <w:tc>
          <w:tcPr>
            <w:tcW w:w="1206" w:type="dxa"/>
            <w:tcBorders>
              <w:top w:val="nil"/>
              <w:left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923.014</w:t>
            </w:r>
          </w:p>
        </w:tc>
        <w:tc>
          <w:tcPr>
            <w:tcW w:w="1231" w:type="dxa"/>
            <w:tcBorders>
              <w:top w:val="nil"/>
              <w:lef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944.417</w:t>
            </w:r>
          </w:p>
        </w:tc>
      </w:tr>
      <w:tr w:rsidR="00DF5433" w:rsidRPr="001567C8" w:rsidTr="00DF5433">
        <w:trPr>
          <w:trHeight w:val="243"/>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Arial" w:eastAsia="Calibri" w:hAnsi="Arial"/>
                <w:sz w:val="18"/>
                <w:szCs w:val="18"/>
                <w:lang w:val="hr-HR"/>
              </w:rPr>
            </w:pPr>
            <w:r w:rsidRPr="001567C8">
              <w:rPr>
                <w:rFonts w:ascii="Calibri" w:eastAsia="Calibri" w:hAnsi="Calibri" w:cs="Arial"/>
                <w:spacing w:val="-2"/>
                <w:sz w:val="18"/>
                <w:szCs w:val="18"/>
                <w:lang w:val="hr-HR"/>
              </w:rPr>
              <w:t>Depoziti kod drugih banaka</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40.545</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221.380</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261.925</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261.925</w:t>
            </w:r>
          </w:p>
        </w:tc>
      </w:tr>
      <w:tr w:rsidR="00DF5433" w:rsidRPr="001567C8" w:rsidTr="00DF5433">
        <w:trPr>
          <w:trHeight w:val="119"/>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spacing w:val="-2"/>
                <w:sz w:val="18"/>
                <w:szCs w:val="18"/>
                <w:lang w:val="hr-HR"/>
              </w:rPr>
            </w:pPr>
            <w:r w:rsidRPr="001567C8">
              <w:rPr>
                <w:rFonts w:ascii="Calibri" w:eastAsia="Calibri" w:hAnsi="Calibri" w:cs="Arial"/>
                <w:spacing w:val="-2"/>
                <w:sz w:val="18"/>
                <w:szCs w:val="18"/>
                <w:lang w:val="hr-HR"/>
              </w:rPr>
              <w:t>Krediti financijskim institucijama</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5.784.740</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5.784.740</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4.450.248</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10.234.988</w:t>
            </w:r>
          </w:p>
        </w:tc>
      </w:tr>
      <w:tr w:rsidR="00DF5433" w:rsidRPr="001567C8" w:rsidTr="00DF5433">
        <w:trPr>
          <w:trHeight w:val="71"/>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spacing w:val="-2"/>
                <w:sz w:val="18"/>
                <w:szCs w:val="18"/>
                <w:lang w:val="hr-HR"/>
              </w:rPr>
            </w:pPr>
            <w:r w:rsidRPr="001567C8">
              <w:rPr>
                <w:rFonts w:ascii="Calibri" w:eastAsia="Calibri" w:hAnsi="Calibri" w:cs="Arial"/>
                <w:spacing w:val="-2"/>
                <w:sz w:val="18"/>
                <w:szCs w:val="18"/>
                <w:lang w:val="hr-HR"/>
              </w:rPr>
              <w:t>Krediti ostalim korisnicima</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635.501</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7.866.575</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8.502.076</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4.008.610</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12.510.686</w:t>
            </w:r>
          </w:p>
        </w:tc>
      </w:tr>
      <w:tr w:rsidR="00DF5433" w:rsidRPr="001567C8" w:rsidTr="00DF5433">
        <w:trPr>
          <w:trHeight w:val="227"/>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spacing w:val="-2"/>
                <w:sz w:val="18"/>
                <w:szCs w:val="18"/>
                <w:lang w:val="hr-HR"/>
              </w:rPr>
            </w:pPr>
            <w:r w:rsidRPr="001567C8">
              <w:rPr>
                <w:rFonts w:ascii="Calibri" w:eastAsia="Calibri" w:hAnsi="Calibri"/>
                <w:sz w:val="18"/>
                <w:szCs w:val="18"/>
                <w:lang w:val="hr-HR"/>
              </w:rPr>
              <w:t xml:space="preserve">Financijska imovina po fer vrijednosti kroz </w:t>
            </w:r>
            <w:r w:rsidR="008A2CC2" w:rsidRPr="001567C8">
              <w:rPr>
                <w:rFonts w:ascii="Calibri" w:eastAsia="Calibri" w:hAnsi="Calibri"/>
                <w:sz w:val="18"/>
                <w:szCs w:val="18"/>
                <w:lang w:val="hr-HR"/>
              </w:rPr>
              <w:t>dobit ili gubitak</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50.119</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50.119</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286.147</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336.266</w:t>
            </w:r>
          </w:p>
        </w:tc>
      </w:tr>
      <w:tr w:rsidR="00DF5433" w:rsidRPr="001567C8" w:rsidTr="00DF5433">
        <w:trPr>
          <w:trHeight w:val="243"/>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sz w:val="18"/>
                <w:szCs w:val="18"/>
                <w:lang w:val="hr-HR"/>
              </w:rPr>
              <w:t>Financijska imovina po fer vrijednosti kroz ostalu sveobuhvatnu dobit</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619.962</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619.962</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2.209.508</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2.829.470</w:t>
            </w:r>
          </w:p>
        </w:tc>
      </w:tr>
      <w:tr w:rsidR="00DF5433" w:rsidRPr="001567C8" w:rsidTr="00DF5433">
        <w:trPr>
          <w:trHeight w:val="227"/>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spacing w:val="-2"/>
                <w:sz w:val="18"/>
                <w:szCs w:val="18"/>
                <w:lang w:val="hr-HR"/>
              </w:rPr>
            </w:pPr>
            <w:r w:rsidRPr="001567C8">
              <w:rPr>
                <w:rFonts w:ascii="Calibri" w:eastAsia="Calibri" w:hAnsi="Calibri"/>
                <w:sz w:val="18"/>
                <w:szCs w:val="18"/>
                <w:lang w:val="hr-HR"/>
              </w:rPr>
              <w:t>Dužnički vrijednosni papiri po amortiziranom trošku</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1.363</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1.363</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1.363</w:t>
            </w:r>
          </w:p>
        </w:tc>
      </w:tr>
      <w:tr w:rsidR="00DF5433" w:rsidRPr="001567C8" w:rsidTr="00DF5433">
        <w:trPr>
          <w:trHeight w:val="472"/>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Arial" w:eastAsia="Calibri" w:hAnsi="Arial"/>
                <w:sz w:val="18"/>
                <w:szCs w:val="18"/>
                <w:lang w:val="hr-HR"/>
              </w:rPr>
            </w:pPr>
            <w:r w:rsidRPr="001567C8">
              <w:rPr>
                <w:rFonts w:ascii="Calibri" w:eastAsia="Calibri" w:hAnsi="Calibri" w:cs="Arial"/>
                <w:spacing w:val="-2"/>
                <w:sz w:val="18"/>
                <w:szCs w:val="18"/>
                <w:lang w:val="hr-HR"/>
              </w:rPr>
              <w:t>Nekretnine, postrojenja i oprema i nematerijalna imovina</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50.832</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50.832</w:t>
            </w:r>
          </w:p>
        </w:tc>
      </w:tr>
      <w:tr w:rsidR="00DF5433" w:rsidRPr="001567C8" w:rsidTr="0051728E">
        <w:trPr>
          <w:trHeight w:val="237"/>
        </w:trPr>
        <w:tc>
          <w:tcPr>
            <w:tcW w:w="2842" w:type="dxa"/>
            <w:tcMar>
              <w:top w:w="0" w:type="dxa"/>
              <w:left w:w="120" w:type="dxa"/>
              <w:bottom w:w="0" w:type="dxa"/>
              <w:right w:w="120" w:type="dxa"/>
            </w:tcMar>
            <w:vAlign w:val="bottom"/>
          </w:tcPr>
          <w:p w:rsidR="00DF5433" w:rsidRPr="001567C8" w:rsidRDefault="0051728E" w:rsidP="00DF5433">
            <w:pPr>
              <w:tabs>
                <w:tab w:val="right" w:pos="1202"/>
              </w:tabs>
              <w:spacing w:line="240" w:lineRule="exact"/>
              <w:outlineLvl w:val="0"/>
              <w:rPr>
                <w:rFonts w:ascii="Arial" w:eastAsia="Calibri" w:hAnsi="Arial"/>
                <w:sz w:val="18"/>
                <w:szCs w:val="18"/>
                <w:lang w:val="hr-HR"/>
              </w:rPr>
            </w:pPr>
            <w:r w:rsidRPr="0051728E">
              <w:rPr>
                <w:rFonts w:ascii="Calibri" w:eastAsia="Calibri" w:hAnsi="Calibri" w:cs="Arial"/>
                <w:spacing w:val="-2"/>
                <w:sz w:val="18"/>
                <w:szCs w:val="18"/>
                <w:lang w:val="hr-HR"/>
              </w:rPr>
              <w:t>Preuzeta imovina</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25.330</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25.330</w:t>
            </w:r>
          </w:p>
        </w:tc>
      </w:tr>
      <w:tr w:rsidR="00DF5433" w:rsidRPr="001567C8" w:rsidTr="00DF5433">
        <w:trPr>
          <w:trHeight w:val="227"/>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Arial" w:eastAsia="Calibri" w:hAnsi="Arial"/>
                <w:sz w:val="18"/>
                <w:szCs w:val="18"/>
                <w:lang w:val="hr-HR"/>
              </w:rPr>
            </w:pPr>
            <w:r w:rsidRPr="001567C8">
              <w:rPr>
                <w:rFonts w:ascii="Calibri" w:eastAsia="Calibri" w:hAnsi="Calibri" w:cs="Arial"/>
                <w:spacing w:val="-2"/>
                <w:sz w:val="18"/>
                <w:szCs w:val="18"/>
                <w:lang w:val="hr-HR"/>
              </w:rPr>
              <w:t>Ostala imovina</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7.395</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7.395</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16.309</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23.704</w:t>
            </w:r>
          </w:p>
        </w:tc>
      </w:tr>
      <w:tr w:rsidR="00DF5433" w:rsidRPr="001567C8" w:rsidTr="00DF5433">
        <w:trPr>
          <w:trHeight w:val="289"/>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b/>
                <w:bCs/>
                <w:sz w:val="18"/>
                <w:szCs w:val="18"/>
                <w:lang w:val="hr-HR"/>
              </w:rPr>
            </w:pPr>
            <w:r w:rsidRPr="001567C8">
              <w:rPr>
                <w:rFonts w:ascii="Calibri" w:eastAsia="Calibri" w:hAnsi="Calibri" w:cs="Arial"/>
                <w:b/>
                <w:bCs/>
                <w:sz w:val="18"/>
                <w:szCs w:val="18"/>
                <w:lang w:val="hr-HR"/>
              </w:rPr>
              <w:t xml:space="preserve">Ukupna imovina </w:t>
            </w:r>
          </w:p>
        </w:tc>
        <w:tc>
          <w:tcPr>
            <w:tcW w:w="1010" w:type="dxa"/>
            <w:tcBorders>
              <w:top w:val="single" w:sz="4" w:space="0" w:color="000000"/>
              <w:bottom w:val="single" w:sz="8"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680.870</w:t>
            </w:r>
          </w:p>
        </w:tc>
        <w:tc>
          <w:tcPr>
            <w:tcW w:w="1149" w:type="dxa"/>
            <w:tcBorders>
              <w:top w:val="single" w:sz="4" w:space="0" w:color="000000"/>
              <w:bottom w:val="single" w:sz="8"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14.566.722</w:t>
            </w:r>
          </w:p>
        </w:tc>
        <w:tc>
          <w:tcPr>
            <w:tcW w:w="1162" w:type="dxa"/>
            <w:tcBorders>
              <w:top w:val="single" w:sz="4" w:space="0" w:color="000000"/>
              <w:bottom w:val="single" w:sz="8"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1.391</w:t>
            </w:r>
          </w:p>
        </w:tc>
        <w:tc>
          <w:tcPr>
            <w:tcW w:w="1137" w:type="dxa"/>
            <w:tcBorders>
              <w:top w:val="single" w:sz="4" w:space="0" w:color="000000"/>
              <w:bottom w:val="single" w:sz="8"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15.248.983</w:t>
            </w:r>
          </w:p>
        </w:tc>
        <w:tc>
          <w:tcPr>
            <w:tcW w:w="1206" w:type="dxa"/>
            <w:tcBorders>
              <w:top w:val="single" w:sz="4" w:space="0" w:color="000000"/>
              <w:bottom w:val="single" w:sz="8"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11.969.998</w:t>
            </w:r>
            <w:r w:rsidR="00A41581" w:rsidRPr="00CD3A2D">
              <w:rPr>
                <w:rFonts w:ascii="Calibri" w:hAnsi="Calibri"/>
                <w:b/>
                <w:bCs/>
                <w:sz w:val="18"/>
                <w:szCs w:val="18"/>
                <w:lang w:val="hr-HR"/>
              </w:rPr>
              <w:t>*</w:t>
            </w:r>
          </w:p>
        </w:tc>
        <w:tc>
          <w:tcPr>
            <w:tcW w:w="1231" w:type="dxa"/>
            <w:tcBorders>
              <w:top w:val="single" w:sz="4" w:space="0" w:color="000000"/>
              <w:bottom w:val="single" w:sz="8"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27.218.981</w:t>
            </w:r>
          </w:p>
        </w:tc>
      </w:tr>
      <w:tr w:rsidR="00DF5433" w:rsidRPr="001567C8" w:rsidTr="00DF5433">
        <w:trPr>
          <w:trHeight w:val="227"/>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b/>
                <w:bCs/>
                <w:sz w:val="18"/>
                <w:szCs w:val="18"/>
                <w:lang w:val="hr-HR"/>
              </w:rPr>
            </w:pPr>
            <w:r w:rsidRPr="001567C8">
              <w:rPr>
                <w:rFonts w:ascii="Calibri" w:eastAsia="Calibri" w:hAnsi="Calibri" w:cs="Arial"/>
                <w:b/>
                <w:bCs/>
                <w:sz w:val="18"/>
                <w:szCs w:val="18"/>
                <w:lang w:val="hr-HR"/>
              </w:rPr>
              <w:t>Obveze</w:t>
            </w:r>
          </w:p>
        </w:tc>
        <w:tc>
          <w:tcPr>
            <w:tcW w:w="1010" w:type="dxa"/>
            <w:tcBorders>
              <w:top w:val="single" w:sz="12" w:space="0" w:color="000000"/>
            </w:tcBorders>
            <w:tcMar>
              <w:top w:w="0" w:type="dxa"/>
              <w:left w:w="120" w:type="dxa"/>
              <w:bottom w:w="0" w:type="dxa"/>
              <w:right w:w="120" w:type="dxa"/>
            </w:tcMar>
            <w:vAlign w:val="bottom"/>
          </w:tcPr>
          <w:p w:rsidR="00DF5433" w:rsidRPr="001567C8" w:rsidRDefault="00DF5433" w:rsidP="00DF5433">
            <w:pPr>
              <w:spacing w:line="240" w:lineRule="exact"/>
              <w:ind w:left="-123"/>
              <w:jc w:val="right"/>
              <w:rPr>
                <w:rFonts w:ascii="Calibri" w:hAnsi="Calibri"/>
                <w:spacing w:val="-2"/>
                <w:sz w:val="18"/>
                <w:szCs w:val="18"/>
                <w:lang w:val="hr-HR"/>
              </w:rPr>
            </w:pPr>
          </w:p>
        </w:tc>
        <w:tc>
          <w:tcPr>
            <w:tcW w:w="1149" w:type="dxa"/>
            <w:tcBorders>
              <w:top w:val="single" w:sz="12"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hAnsi="Calibri"/>
                <w:spacing w:val="-2"/>
                <w:sz w:val="18"/>
                <w:szCs w:val="18"/>
                <w:lang w:val="hr-HR"/>
              </w:rPr>
            </w:pPr>
          </w:p>
        </w:tc>
        <w:tc>
          <w:tcPr>
            <w:tcW w:w="1162" w:type="dxa"/>
            <w:tcBorders>
              <w:top w:val="single" w:sz="12"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hAnsi="Calibri"/>
                <w:spacing w:val="-2"/>
                <w:sz w:val="18"/>
                <w:szCs w:val="18"/>
                <w:lang w:val="hr-HR"/>
              </w:rPr>
            </w:pPr>
          </w:p>
        </w:tc>
        <w:tc>
          <w:tcPr>
            <w:tcW w:w="1137" w:type="dxa"/>
            <w:tcBorders>
              <w:top w:val="single" w:sz="12"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hAnsi="Calibri"/>
                <w:spacing w:val="-2"/>
                <w:sz w:val="18"/>
                <w:szCs w:val="18"/>
                <w:lang w:val="hr-HR"/>
              </w:rPr>
            </w:pPr>
          </w:p>
        </w:tc>
        <w:tc>
          <w:tcPr>
            <w:tcW w:w="1206" w:type="dxa"/>
            <w:tcBorders>
              <w:top w:val="single" w:sz="12"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hAnsi="Calibri"/>
                <w:spacing w:val="-2"/>
                <w:sz w:val="18"/>
                <w:szCs w:val="18"/>
                <w:lang w:val="hr-HR"/>
              </w:rPr>
            </w:pPr>
          </w:p>
        </w:tc>
        <w:tc>
          <w:tcPr>
            <w:tcW w:w="1231" w:type="dxa"/>
            <w:tcBorders>
              <w:top w:val="single" w:sz="12" w:space="0" w:color="000000"/>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hAnsi="Calibri"/>
                <w:b/>
                <w:sz w:val="18"/>
                <w:szCs w:val="18"/>
                <w:lang w:val="hr-HR"/>
              </w:rPr>
            </w:pPr>
          </w:p>
        </w:tc>
      </w:tr>
      <w:tr w:rsidR="00DF5433" w:rsidRPr="001567C8" w:rsidTr="003C6BA3">
        <w:trPr>
          <w:trHeight w:val="243"/>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z w:val="18"/>
                <w:szCs w:val="18"/>
                <w:lang w:val="hr-HR"/>
              </w:rPr>
              <w:t>Obveze po depozitima</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20.526 </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161.858 </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80 </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182.464 </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246.632 </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429.096</w:t>
            </w:r>
          </w:p>
        </w:tc>
      </w:tr>
      <w:tr w:rsidR="00DF5433" w:rsidRPr="001567C8" w:rsidTr="003C6BA3">
        <w:trPr>
          <w:trHeight w:val="180"/>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z w:val="18"/>
                <w:szCs w:val="18"/>
                <w:lang w:val="hr-HR"/>
              </w:rPr>
              <w:t>Obveze po kreditima</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688.500 </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14.189.487 </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14.877.987 </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14.877.987</w:t>
            </w:r>
          </w:p>
        </w:tc>
      </w:tr>
      <w:tr w:rsidR="00DF5433" w:rsidRPr="001567C8" w:rsidTr="003C6BA3">
        <w:trPr>
          <w:trHeight w:val="472"/>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z w:val="18"/>
                <w:szCs w:val="18"/>
                <w:lang w:val="hr-HR"/>
              </w:rPr>
              <w:t>Obveze za izdane dugoročne vrijednosne papire</w:t>
            </w:r>
          </w:p>
        </w:tc>
        <w:tc>
          <w:tcPr>
            <w:tcW w:w="1010"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149"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1.150.557 </w:t>
            </w:r>
          </w:p>
        </w:tc>
        <w:tc>
          <w:tcPr>
            <w:tcW w:w="1162"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137"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1.150.557 </w:t>
            </w:r>
          </w:p>
        </w:tc>
        <w:tc>
          <w:tcPr>
            <w:tcW w:w="1206" w:type="dxa"/>
            <w:tcBorders>
              <w:top w:val="nil"/>
              <w:left w:val="nil"/>
              <w:bottom w:val="nil"/>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 xml:space="preserve"> - </w:t>
            </w:r>
          </w:p>
        </w:tc>
        <w:tc>
          <w:tcPr>
            <w:tcW w:w="1231" w:type="dxa"/>
            <w:tcBorders>
              <w:top w:val="nil"/>
              <w:left w:val="nil"/>
              <w:bottom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1.150.557</w:t>
            </w:r>
          </w:p>
        </w:tc>
      </w:tr>
      <w:tr w:rsidR="00DF5433" w:rsidRPr="001567C8" w:rsidTr="003C6BA3">
        <w:trPr>
          <w:trHeight w:val="141"/>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sz w:val="18"/>
                <w:szCs w:val="18"/>
                <w:lang w:val="hr-HR"/>
              </w:rPr>
            </w:pPr>
            <w:r w:rsidRPr="001567C8">
              <w:rPr>
                <w:rFonts w:ascii="Calibri" w:eastAsia="Calibri" w:hAnsi="Calibri" w:cs="Arial"/>
                <w:sz w:val="18"/>
                <w:szCs w:val="18"/>
                <w:lang w:val="hr-HR"/>
              </w:rPr>
              <w:t>Ostale obveze</w:t>
            </w:r>
          </w:p>
        </w:tc>
        <w:tc>
          <w:tcPr>
            <w:tcW w:w="1010" w:type="dxa"/>
            <w:tcBorders>
              <w:top w:val="nil"/>
              <w:left w:val="nil"/>
              <w:bottom w:val="single" w:sz="4"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58.575</w:t>
            </w:r>
          </w:p>
        </w:tc>
        <w:tc>
          <w:tcPr>
            <w:tcW w:w="1149" w:type="dxa"/>
            <w:tcBorders>
              <w:top w:val="nil"/>
              <w:left w:val="nil"/>
              <w:bottom w:val="single" w:sz="4"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126.288</w:t>
            </w:r>
          </w:p>
        </w:tc>
        <w:tc>
          <w:tcPr>
            <w:tcW w:w="1162" w:type="dxa"/>
            <w:tcBorders>
              <w:top w:val="nil"/>
              <w:left w:val="nil"/>
              <w:bottom w:val="single" w:sz="4"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302</w:t>
            </w:r>
          </w:p>
        </w:tc>
        <w:tc>
          <w:tcPr>
            <w:tcW w:w="1137" w:type="dxa"/>
            <w:tcBorders>
              <w:top w:val="nil"/>
              <w:left w:val="nil"/>
              <w:bottom w:val="single" w:sz="4"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185.165</w:t>
            </w:r>
          </w:p>
        </w:tc>
        <w:tc>
          <w:tcPr>
            <w:tcW w:w="1206" w:type="dxa"/>
            <w:tcBorders>
              <w:top w:val="nil"/>
              <w:left w:val="nil"/>
              <w:bottom w:val="single" w:sz="4"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515.069</w:t>
            </w:r>
          </w:p>
        </w:tc>
        <w:tc>
          <w:tcPr>
            <w:tcW w:w="1231" w:type="dxa"/>
            <w:tcBorders>
              <w:top w:val="nil"/>
              <w:left w:val="nil"/>
              <w:bottom w:val="single" w:sz="4" w:space="0" w:color="auto"/>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sz w:val="18"/>
                <w:szCs w:val="18"/>
                <w:lang w:val="hr-HR"/>
              </w:rPr>
            </w:pPr>
            <w:r w:rsidRPr="00CD3A2D">
              <w:rPr>
                <w:rFonts w:ascii="Calibri" w:hAnsi="Calibri"/>
                <w:sz w:val="18"/>
                <w:szCs w:val="18"/>
                <w:lang w:val="hr-HR"/>
              </w:rPr>
              <w:t>700.234</w:t>
            </w:r>
          </w:p>
        </w:tc>
      </w:tr>
      <w:tr w:rsidR="00DF5433" w:rsidRPr="001567C8" w:rsidTr="00DF5433">
        <w:trPr>
          <w:trHeight w:val="314"/>
        </w:trPr>
        <w:tc>
          <w:tcPr>
            <w:tcW w:w="2842" w:type="dxa"/>
            <w:tcMar>
              <w:top w:w="0" w:type="dxa"/>
              <w:left w:w="120" w:type="dxa"/>
              <w:bottom w:w="0" w:type="dxa"/>
              <w:right w:w="120" w:type="dxa"/>
            </w:tcMar>
            <w:vAlign w:val="bottom"/>
          </w:tcPr>
          <w:p w:rsidR="00DF5433" w:rsidRPr="001567C8" w:rsidRDefault="00DF5433" w:rsidP="00DF5433">
            <w:pPr>
              <w:tabs>
                <w:tab w:val="right" w:pos="1202"/>
              </w:tabs>
              <w:spacing w:line="240" w:lineRule="exact"/>
              <w:outlineLvl w:val="0"/>
              <w:rPr>
                <w:rFonts w:ascii="Calibri" w:eastAsia="Calibri" w:hAnsi="Calibri" w:cs="Arial"/>
                <w:b/>
                <w:bCs/>
                <w:sz w:val="18"/>
                <w:szCs w:val="18"/>
                <w:lang w:val="hr-HR"/>
              </w:rPr>
            </w:pPr>
            <w:r w:rsidRPr="001567C8">
              <w:rPr>
                <w:rFonts w:ascii="Calibri" w:eastAsia="Calibri" w:hAnsi="Calibri" w:cs="Arial"/>
                <w:b/>
                <w:bCs/>
                <w:sz w:val="18"/>
                <w:szCs w:val="18"/>
                <w:lang w:val="hr-HR"/>
              </w:rPr>
              <w:t>Ukupna obveze</w:t>
            </w:r>
          </w:p>
        </w:tc>
        <w:tc>
          <w:tcPr>
            <w:tcW w:w="1010" w:type="dxa"/>
            <w:tcBorders>
              <w:top w:val="single" w:sz="4" w:space="0" w:color="auto"/>
              <w:left w:val="nil"/>
              <w:bottom w:val="single" w:sz="12"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767.601</w:t>
            </w:r>
          </w:p>
        </w:tc>
        <w:tc>
          <w:tcPr>
            <w:tcW w:w="1149" w:type="dxa"/>
            <w:tcBorders>
              <w:top w:val="single" w:sz="4" w:space="0" w:color="auto"/>
              <w:left w:val="nil"/>
              <w:bottom w:val="single" w:sz="12"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15.628.190</w:t>
            </w:r>
          </w:p>
        </w:tc>
        <w:tc>
          <w:tcPr>
            <w:tcW w:w="1162" w:type="dxa"/>
            <w:tcBorders>
              <w:top w:val="single" w:sz="4" w:space="0" w:color="auto"/>
              <w:left w:val="nil"/>
              <w:bottom w:val="single" w:sz="12"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382</w:t>
            </w:r>
          </w:p>
        </w:tc>
        <w:tc>
          <w:tcPr>
            <w:tcW w:w="1137" w:type="dxa"/>
            <w:tcBorders>
              <w:top w:val="single" w:sz="4" w:space="0" w:color="auto"/>
              <w:left w:val="nil"/>
              <w:bottom w:val="single" w:sz="12"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16.396.173</w:t>
            </w:r>
          </w:p>
        </w:tc>
        <w:tc>
          <w:tcPr>
            <w:tcW w:w="1206" w:type="dxa"/>
            <w:tcBorders>
              <w:top w:val="single" w:sz="4" w:space="0" w:color="auto"/>
              <w:left w:val="nil"/>
              <w:bottom w:val="single" w:sz="12" w:space="0" w:color="auto"/>
              <w:right w:val="nil"/>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761.701</w:t>
            </w:r>
          </w:p>
        </w:tc>
        <w:tc>
          <w:tcPr>
            <w:tcW w:w="1231" w:type="dxa"/>
            <w:tcBorders>
              <w:top w:val="single" w:sz="4" w:space="0" w:color="auto"/>
              <w:left w:val="nil"/>
              <w:bottom w:val="single" w:sz="12" w:space="0" w:color="auto"/>
            </w:tcBorders>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17.157.874</w:t>
            </w:r>
          </w:p>
        </w:tc>
      </w:tr>
      <w:tr w:rsidR="00DF5433" w:rsidRPr="001567C8" w:rsidTr="00DF5433">
        <w:trPr>
          <w:trHeight w:val="456"/>
        </w:trPr>
        <w:tc>
          <w:tcPr>
            <w:tcW w:w="2842" w:type="dxa"/>
            <w:tcMar>
              <w:top w:w="0" w:type="dxa"/>
              <w:left w:w="120" w:type="dxa"/>
              <w:bottom w:w="0" w:type="dxa"/>
              <w:right w:w="120" w:type="dxa"/>
            </w:tcMar>
            <w:vAlign w:val="bottom"/>
          </w:tcPr>
          <w:p w:rsidR="00DF5433" w:rsidRPr="001567C8" w:rsidRDefault="00DF5433" w:rsidP="00DF5433">
            <w:pPr>
              <w:spacing w:line="240" w:lineRule="exact"/>
              <w:rPr>
                <w:rFonts w:ascii="Calibri" w:hAnsi="Calibri"/>
                <w:b/>
                <w:bCs/>
                <w:sz w:val="18"/>
                <w:szCs w:val="18"/>
                <w:lang w:val="hr-HR"/>
              </w:rPr>
            </w:pPr>
            <w:r w:rsidRPr="001567C8">
              <w:rPr>
                <w:rFonts w:ascii="Calibri" w:hAnsi="Calibri"/>
                <w:b/>
                <w:bCs/>
                <w:sz w:val="18"/>
                <w:szCs w:val="18"/>
                <w:lang w:val="hr-HR"/>
              </w:rPr>
              <w:t>Valutni jaz</w:t>
            </w:r>
          </w:p>
        </w:tc>
        <w:tc>
          <w:tcPr>
            <w:tcW w:w="1010"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(86.731)</w:t>
            </w:r>
          </w:p>
        </w:tc>
        <w:tc>
          <w:tcPr>
            <w:tcW w:w="1149"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(1.061.468)</w:t>
            </w:r>
          </w:p>
        </w:tc>
        <w:tc>
          <w:tcPr>
            <w:tcW w:w="1162"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1.009</w:t>
            </w:r>
          </w:p>
        </w:tc>
        <w:tc>
          <w:tcPr>
            <w:tcW w:w="1137"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(1.147.190)</w:t>
            </w:r>
          </w:p>
        </w:tc>
        <w:tc>
          <w:tcPr>
            <w:tcW w:w="1206"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11.208.297</w:t>
            </w:r>
          </w:p>
        </w:tc>
        <w:tc>
          <w:tcPr>
            <w:tcW w:w="1231" w:type="dxa"/>
            <w:tcBorders>
              <w:top w:val="single" w:sz="12" w:space="0" w:color="auto"/>
              <w:left w:val="nil"/>
              <w:bottom w:val="single" w:sz="12" w:space="0" w:color="auto"/>
            </w:tcBorders>
            <w:shd w:val="clear" w:color="000000" w:fill="auto"/>
            <w:tcMar>
              <w:top w:w="0" w:type="dxa"/>
              <w:left w:w="120" w:type="dxa"/>
              <w:bottom w:w="0" w:type="dxa"/>
              <w:right w:w="120" w:type="dxa"/>
            </w:tcMar>
            <w:vAlign w:val="bottom"/>
          </w:tcPr>
          <w:p w:rsidR="00DF5433" w:rsidRPr="001567C8" w:rsidRDefault="00DF5433" w:rsidP="00DF5433">
            <w:pPr>
              <w:spacing w:line="240" w:lineRule="exact"/>
              <w:jc w:val="right"/>
              <w:rPr>
                <w:rFonts w:ascii="Calibri" w:eastAsia="Arial Unicode MS" w:hAnsi="Calibri"/>
                <w:b/>
                <w:bCs/>
                <w:sz w:val="18"/>
                <w:szCs w:val="18"/>
                <w:lang w:val="hr-HR"/>
              </w:rPr>
            </w:pPr>
            <w:r w:rsidRPr="00CD3A2D">
              <w:rPr>
                <w:rFonts w:ascii="Calibri" w:hAnsi="Calibri"/>
                <w:b/>
                <w:bCs/>
                <w:sz w:val="18"/>
                <w:szCs w:val="18"/>
                <w:lang w:val="hr-HR"/>
              </w:rPr>
              <w:t>10.061.107</w:t>
            </w:r>
          </w:p>
        </w:tc>
      </w:tr>
    </w:tbl>
    <w:p w:rsidR="00142CFB" w:rsidRPr="001567C8" w:rsidRDefault="00142CFB" w:rsidP="00142CFB">
      <w:pPr>
        <w:pStyle w:val="TT"/>
        <w:spacing w:line="240" w:lineRule="auto"/>
        <w:rPr>
          <w:rFonts w:asciiTheme="minorHAnsi" w:hAnsiTheme="minorHAnsi"/>
          <w:i/>
          <w:sz w:val="20"/>
          <w:lang w:val="hr-HR"/>
        </w:rPr>
      </w:pPr>
    </w:p>
    <w:p w:rsidR="00213DD6" w:rsidRPr="001567C8" w:rsidRDefault="00213DD6" w:rsidP="00142CFB">
      <w:pPr>
        <w:pStyle w:val="TT"/>
        <w:spacing w:line="240" w:lineRule="auto"/>
        <w:rPr>
          <w:rFonts w:asciiTheme="minorHAnsi" w:hAnsiTheme="minorHAnsi"/>
          <w:i/>
          <w:sz w:val="20"/>
          <w:lang w:val="hr-HR"/>
        </w:rPr>
      </w:pPr>
    </w:p>
    <w:p w:rsidR="00597E6E" w:rsidRPr="001567C8" w:rsidRDefault="006448BB" w:rsidP="00142CFB">
      <w:pPr>
        <w:pStyle w:val="TT"/>
        <w:spacing w:line="240" w:lineRule="auto"/>
        <w:jc w:val="both"/>
        <w:rPr>
          <w:rFonts w:asciiTheme="minorHAnsi" w:hAnsiTheme="minorHAnsi"/>
          <w:i/>
          <w:sz w:val="20"/>
          <w:lang w:val="hr-HR"/>
        </w:rPr>
      </w:pPr>
      <w:r w:rsidRPr="001567C8">
        <w:rPr>
          <w:rFonts w:asciiTheme="minorHAnsi" w:hAnsiTheme="minorHAnsi"/>
          <w:i/>
          <w:sz w:val="20"/>
          <w:lang w:val="hr-HR"/>
        </w:rPr>
        <w:t xml:space="preserve">*Iznosi vezani uz jednosmjernu </w:t>
      </w:r>
      <w:r w:rsidR="00F21AC7" w:rsidRPr="001567C8">
        <w:rPr>
          <w:rFonts w:asciiTheme="minorHAnsi" w:hAnsiTheme="minorHAnsi"/>
          <w:i/>
          <w:sz w:val="20"/>
          <w:lang w:val="hr-HR"/>
        </w:rPr>
        <w:t>valutnu klauzulu iznose</w:t>
      </w:r>
      <w:r w:rsidR="00DF5433" w:rsidRPr="001567C8">
        <w:rPr>
          <w:rFonts w:asciiTheme="minorHAnsi" w:hAnsiTheme="minorHAnsi"/>
          <w:i/>
          <w:sz w:val="20"/>
          <w:lang w:val="hr-HR"/>
        </w:rPr>
        <w:t xml:space="preserve"> 90.776 </w:t>
      </w:r>
      <w:r w:rsidRPr="001567C8">
        <w:rPr>
          <w:rFonts w:asciiTheme="minorHAnsi" w:hAnsiTheme="minorHAnsi"/>
          <w:i/>
          <w:sz w:val="20"/>
          <w:lang w:val="hr-HR"/>
        </w:rPr>
        <w:t>tisuća kuna.</w:t>
      </w:r>
      <w:r w:rsidR="00597E6E" w:rsidRPr="001567C8" w:rsidDel="00597E6E">
        <w:rPr>
          <w:rFonts w:asciiTheme="minorHAnsi" w:hAnsiTheme="minorHAnsi"/>
          <w:i/>
          <w:sz w:val="20"/>
          <w:lang w:val="hr-HR"/>
        </w:rPr>
        <w:t xml:space="preserve"> </w:t>
      </w:r>
    </w:p>
    <w:p w:rsidR="00DF5433" w:rsidRPr="001567C8" w:rsidRDefault="00DF5433" w:rsidP="00FD645D">
      <w:pPr>
        <w:pStyle w:val="T1"/>
        <w:spacing w:before="0" w:after="0" w:line="240" w:lineRule="auto"/>
        <w:ind w:left="709" w:hanging="709"/>
        <w:rPr>
          <w:rFonts w:asciiTheme="minorHAnsi" w:hAnsiTheme="minorHAnsi" w:cs="Arial"/>
          <w:sz w:val="22"/>
          <w:szCs w:val="22"/>
          <w:lang w:val="hr-HR"/>
        </w:rPr>
        <w:sectPr w:rsidR="00DF5433" w:rsidRPr="001567C8" w:rsidSect="0077198A">
          <w:pgSz w:w="11907" w:h="16840" w:code="9"/>
          <w:pgMar w:top="1418" w:right="1134" w:bottom="1134" w:left="1418" w:header="851" w:footer="851" w:gutter="0"/>
          <w:cols w:space="720"/>
          <w:noEndnote/>
        </w:sectPr>
      </w:pP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p w:rsidR="00282D92" w:rsidRPr="001567C8" w:rsidRDefault="00213DD6" w:rsidP="00FD645D">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282D92" w:rsidRPr="001567C8">
        <w:rPr>
          <w:rFonts w:asciiTheme="minorHAnsi" w:hAnsiTheme="minorHAnsi" w:cs="Arial"/>
          <w:sz w:val="22"/>
          <w:szCs w:val="22"/>
          <w:lang w:val="hr-HR"/>
        </w:rPr>
        <w:t>.        Upravljanje rizicima (nastavak)</w:t>
      </w: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p w:rsidR="00282D92" w:rsidRPr="001567C8" w:rsidRDefault="00213DD6" w:rsidP="00FD645D">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282D92"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282D92" w:rsidRPr="001567C8">
        <w:rPr>
          <w:rFonts w:asciiTheme="minorHAnsi" w:hAnsiTheme="minorHAnsi" w:cs="Arial"/>
          <w:sz w:val="22"/>
          <w:szCs w:val="22"/>
          <w:lang w:val="hr-HR"/>
        </w:rPr>
        <w:t>.     Tržišni rizik (nastavak)</w:t>
      </w: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p w:rsidR="00282D92" w:rsidRPr="001567C8" w:rsidRDefault="00213DD6" w:rsidP="00FD645D">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282D92"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282D92" w:rsidRPr="001567C8">
        <w:rPr>
          <w:rFonts w:asciiTheme="minorHAnsi" w:hAnsiTheme="minorHAnsi" w:cs="Arial"/>
          <w:sz w:val="22"/>
          <w:szCs w:val="22"/>
          <w:lang w:val="hr-HR"/>
        </w:rPr>
        <w:t>.2.  Valutni rizik (nastavak)</w:t>
      </w: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tbl>
      <w:tblPr>
        <w:tblW w:w="5163" w:type="pct"/>
        <w:tblInd w:w="-142" w:type="dxa"/>
        <w:tblLayout w:type="fixed"/>
        <w:tblCellMar>
          <w:left w:w="120" w:type="dxa"/>
          <w:right w:w="120" w:type="dxa"/>
        </w:tblCellMar>
        <w:tblLook w:val="0000" w:firstRow="0" w:lastRow="0" w:firstColumn="0" w:lastColumn="0" w:noHBand="0" w:noVBand="0"/>
      </w:tblPr>
      <w:tblGrid>
        <w:gridCol w:w="2706"/>
        <w:gridCol w:w="1182"/>
        <w:gridCol w:w="1184"/>
        <w:gridCol w:w="1041"/>
        <w:gridCol w:w="1134"/>
        <w:gridCol w:w="1275"/>
        <w:gridCol w:w="1138"/>
      </w:tblGrid>
      <w:tr w:rsidR="00DF5433" w:rsidRPr="001567C8" w:rsidTr="003C6BA3">
        <w:trPr>
          <w:trHeight w:val="568"/>
        </w:trPr>
        <w:tc>
          <w:tcPr>
            <w:tcW w:w="1400" w:type="pct"/>
            <w:vAlign w:val="bottom"/>
          </w:tcPr>
          <w:p w:rsidR="00DF5433" w:rsidRPr="001567C8" w:rsidRDefault="00DF5433" w:rsidP="00DF5433">
            <w:pPr>
              <w:tabs>
                <w:tab w:val="right" w:pos="1202"/>
              </w:tabs>
              <w:spacing w:line="220" w:lineRule="exact"/>
              <w:outlineLvl w:val="0"/>
              <w:rPr>
                <w:rFonts w:ascii="Calibri" w:hAnsi="Calibri" w:cs="Arial"/>
                <w:b/>
                <w:sz w:val="18"/>
                <w:szCs w:val="18"/>
                <w:lang w:val="hr-HR"/>
              </w:rPr>
            </w:pPr>
            <w:r w:rsidRPr="001567C8">
              <w:rPr>
                <w:rFonts w:ascii="Calibri" w:hAnsi="Calibri" w:cs="Arial"/>
                <w:b/>
                <w:sz w:val="18"/>
                <w:szCs w:val="18"/>
                <w:lang w:val="hr-HR"/>
              </w:rPr>
              <w:t>Grupa</w:t>
            </w:r>
          </w:p>
          <w:p w:rsidR="00DF5433" w:rsidRPr="001567C8" w:rsidRDefault="00DF5433" w:rsidP="00DF5433">
            <w:pPr>
              <w:tabs>
                <w:tab w:val="right" w:pos="1202"/>
              </w:tabs>
              <w:spacing w:line="220" w:lineRule="exact"/>
              <w:outlineLvl w:val="0"/>
              <w:rPr>
                <w:rFonts w:ascii="Calibri" w:hAnsi="Calibri" w:cs="Arial"/>
                <w:b/>
                <w:sz w:val="18"/>
                <w:szCs w:val="18"/>
                <w:lang w:val="hr-HR"/>
              </w:rPr>
            </w:pPr>
          </w:p>
          <w:p w:rsidR="00DF5433" w:rsidRPr="001567C8" w:rsidRDefault="00AD2EF7" w:rsidP="00DF5433">
            <w:pPr>
              <w:tabs>
                <w:tab w:val="right" w:pos="1202"/>
              </w:tabs>
              <w:spacing w:line="220" w:lineRule="exact"/>
              <w:outlineLvl w:val="0"/>
              <w:rPr>
                <w:rFonts w:ascii="Calibri" w:hAnsi="Calibri" w:cs="Arial"/>
                <w:b/>
                <w:sz w:val="18"/>
                <w:szCs w:val="18"/>
                <w:lang w:val="hr-HR"/>
              </w:rPr>
            </w:pPr>
            <w:r>
              <w:rPr>
                <w:rFonts w:ascii="Calibri" w:hAnsi="Calibri" w:cs="Arial"/>
                <w:b/>
                <w:sz w:val="18"/>
                <w:szCs w:val="18"/>
                <w:lang w:val="hr-HR"/>
              </w:rPr>
              <w:t>31. prosin</w:t>
            </w:r>
            <w:r w:rsidR="0073283D" w:rsidRPr="001567C8">
              <w:rPr>
                <w:rFonts w:ascii="Calibri" w:hAnsi="Calibri" w:cs="Arial"/>
                <w:b/>
                <w:sz w:val="18"/>
                <w:szCs w:val="18"/>
                <w:lang w:val="hr-HR"/>
              </w:rPr>
              <w:t>c</w:t>
            </w:r>
            <w:r>
              <w:rPr>
                <w:rFonts w:ascii="Calibri" w:hAnsi="Calibri" w:cs="Arial"/>
                <w:b/>
                <w:sz w:val="18"/>
                <w:szCs w:val="18"/>
                <w:lang w:val="hr-HR"/>
              </w:rPr>
              <w:t>a</w:t>
            </w:r>
            <w:r w:rsidR="0073283D" w:rsidRPr="001567C8">
              <w:rPr>
                <w:rFonts w:ascii="Calibri" w:hAnsi="Calibri" w:cs="Arial"/>
                <w:b/>
                <w:sz w:val="18"/>
                <w:szCs w:val="18"/>
                <w:lang w:val="hr-HR"/>
              </w:rPr>
              <w:t xml:space="preserve"> </w:t>
            </w:r>
            <w:r w:rsidR="00DF5433" w:rsidRPr="001567C8">
              <w:rPr>
                <w:rFonts w:ascii="Calibri" w:hAnsi="Calibri" w:cs="Arial"/>
                <w:b/>
                <w:sz w:val="18"/>
                <w:szCs w:val="18"/>
                <w:lang w:val="hr-HR"/>
              </w:rPr>
              <w:t>2017.</w:t>
            </w:r>
            <w:r w:rsidR="007C5023" w:rsidRPr="001567C8">
              <w:rPr>
                <w:rFonts w:ascii="Calibri" w:hAnsi="Calibri" w:cs="Arial"/>
                <w:b/>
                <w:sz w:val="18"/>
                <w:szCs w:val="18"/>
                <w:lang w:val="hr-HR"/>
              </w:rPr>
              <w:t xml:space="preserve"> godina</w:t>
            </w:r>
          </w:p>
        </w:tc>
        <w:tc>
          <w:tcPr>
            <w:tcW w:w="612" w:type="pct"/>
          </w:tcPr>
          <w:p w:rsidR="00DF5433" w:rsidRPr="001567C8" w:rsidRDefault="00DF5433" w:rsidP="00DF5433">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USD</w:t>
            </w:r>
          </w:p>
        </w:tc>
        <w:tc>
          <w:tcPr>
            <w:tcW w:w="613" w:type="pct"/>
          </w:tcPr>
          <w:p w:rsidR="00DF5433" w:rsidRPr="001567C8" w:rsidRDefault="00DF5433" w:rsidP="00DF5433">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 xml:space="preserve">EUR </w:t>
            </w:r>
          </w:p>
        </w:tc>
        <w:tc>
          <w:tcPr>
            <w:tcW w:w="539" w:type="pct"/>
          </w:tcPr>
          <w:p w:rsidR="00DF5433" w:rsidRPr="001567C8" w:rsidRDefault="00DF5433" w:rsidP="00DF5433">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Ostale valute</w:t>
            </w:r>
          </w:p>
        </w:tc>
        <w:tc>
          <w:tcPr>
            <w:tcW w:w="587" w:type="pct"/>
          </w:tcPr>
          <w:p w:rsidR="00DF5433" w:rsidRPr="001567C8" w:rsidRDefault="00DF5433" w:rsidP="00DF5433">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Ukupno strane valute</w:t>
            </w:r>
          </w:p>
        </w:tc>
        <w:tc>
          <w:tcPr>
            <w:tcW w:w="660" w:type="pct"/>
          </w:tcPr>
          <w:p w:rsidR="00DF5433" w:rsidRPr="001567C8" w:rsidRDefault="00DF5433" w:rsidP="00DF5433">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Kune</w:t>
            </w:r>
          </w:p>
        </w:tc>
        <w:tc>
          <w:tcPr>
            <w:tcW w:w="589" w:type="pct"/>
          </w:tcPr>
          <w:p w:rsidR="00DF5433" w:rsidRPr="001567C8" w:rsidRDefault="00DF5433" w:rsidP="00DF5433">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Ukupno</w:t>
            </w:r>
          </w:p>
        </w:tc>
      </w:tr>
      <w:tr w:rsidR="00DF5433" w:rsidRPr="001567C8" w:rsidTr="003C6BA3">
        <w:trPr>
          <w:trHeight w:val="367"/>
        </w:trPr>
        <w:tc>
          <w:tcPr>
            <w:tcW w:w="1400" w:type="pct"/>
          </w:tcPr>
          <w:p w:rsidR="00DF5433" w:rsidRPr="001567C8" w:rsidRDefault="00DF5433" w:rsidP="00DF5433">
            <w:pPr>
              <w:spacing w:after="120"/>
              <w:ind w:left="283"/>
              <w:rPr>
                <w:rFonts w:ascii="Calibri" w:eastAsia="Calibri" w:hAnsi="Calibri" w:cs="Arial"/>
                <w:sz w:val="18"/>
                <w:szCs w:val="18"/>
                <w:lang w:val="hr-HR"/>
              </w:rPr>
            </w:pPr>
          </w:p>
        </w:tc>
        <w:tc>
          <w:tcPr>
            <w:tcW w:w="612" w:type="pct"/>
            <w:vAlign w:val="bottom"/>
          </w:tcPr>
          <w:p w:rsidR="00DF5433" w:rsidRPr="001567C8" w:rsidRDefault="00DF5433" w:rsidP="00DF5433">
            <w:pPr>
              <w:tabs>
                <w:tab w:val="right" w:pos="1202"/>
              </w:tabs>
              <w:spacing w:line="220" w:lineRule="exact"/>
              <w:jc w:val="right"/>
              <w:outlineLvl w:val="0"/>
              <w:rPr>
                <w:rFonts w:ascii="Calibri" w:hAnsi="Calibri" w:cs="Arial"/>
                <w:b/>
                <w:bCs/>
                <w:spacing w:val="-2"/>
                <w:sz w:val="18"/>
                <w:szCs w:val="18"/>
                <w:lang w:val="hr-HR"/>
              </w:rPr>
            </w:pPr>
            <w:r w:rsidRPr="001567C8">
              <w:rPr>
                <w:rFonts w:ascii="Calibri" w:hAnsi="Calibri" w:cs="Arial"/>
                <w:b/>
                <w:bCs/>
                <w:sz w:val="18"/>
                <w:szCs w:val="18"/>
                <w:lang w:val="hr-HR"/>
              </w:rPr>
              <w:t>000 kuna</w:t>
            </w:r>
          </w:p>
        </w:tc>
        <w:tc>
          <w:tcPr>
            <w:tcW w:w="613" w:type="pct"/>
            <w:vAlign w:val="bottom"/>
          </w:tcPr>
          <w:p w:rsidR="00DF5433" w:rsidRPr="001567C8" w:rsidRDefault="00DF5433" w:rsidP="00DF5433">
            <w:pPr>
              <w:tabs>
                <w:tab w:val="right" w:pos="1202"/>
              </w:tabs>
              <w:spacing w:line="220" w:lineRule="exact"/>
              <w:jc w:val="right"/>
              <w:outlineLvl w:val="0"/>
              <w:rPr>
                <w:rFonts w:ascii="Calibri" w:hAnsi="Calibri" w:cs="Arial"/>
                <w:b/>
                <w:bCs/>
                <w:spacing w:val="-2"/>
                <w:sz w:val="18"/>
                <w:szCs w:val="18"/>
                <w:lang w:val="hr-HR"/>
              </w:rPr>
            </w:pPr>
            <w:r w:rsidRPr="001567C8">
              <w:rPr>
                <w:rFonts w:ascii="Calibri" w:hAnsi="Calibri" w:cs="Arial"/>
                <w:b/>
                <w:bCs/>
                <w:sz w:val="18"/>
                <w:szCs w:val="18"/>
                <w:lang w:val="hr-HR"/>
              </w:rPr>
              <w:t>000 kuna</w:t>
            </w:r>
          </w:p>
        </w:tc>
        <w:tc>
          <w:tcPr>
            <w:tcW w:w="539" w:type="pct"/>
            <w:vAlign w:val="bottom"/>
          </w:tcPr>
          <w:p w:rsidR="00DF5433" w:rsidRPr="001567C8" w:rsidRDefault="00DF5433" w:rsidP="00DF5433">
            <w:pPr>
              <w:tabs>
                <w:tab w:val="right" w:pos="1202"/>
              </w:tabs>
              <w:spacing w:line="220" w:lineRule="exact"/>
              <w:jc w:val="right"/>
              <w:outlineLvl w:val="0"/>
              <w:rPr>
                <w:rFonts w:ascii="Calibri" w:hAnsi="Calibri" w:cs="Arial"/>
                <w:b/>
                <w:bCs/>
                <w:spacing w:val="-2"/>
                <w:sz w:val="18"/>
                <w:szCs w:val="18"/>
                <w:lang w:val="hr-HR"/>
              </w:rPr>
            </w:pPr>
            <w:r w:rsidRPr="001567C8">
              <w:rPr>
                <w:rFonts w:ascii="Calibri" w:hAnsi="Calibri" w:cs="Arial"/>
                <w:b/>
                <w:bCs/>
                <w:sz w:val="18"/>
                <w:szCs w:val="18"/>
                <w:lang w:val="hr-HR"/>
              </w:rPr>
              <w:t>000 kuna</w:t>
            </w:r>
          </w:p>
        </w:tc>
        <w:tc>
          <w:tcPr>
            <w:tcW w:w="587" w:type="pct"/>
            <w:vAlign w:val="bottom"/>
          </w:tcPr>
          <w:p w:rsidR="00DF5433" w:rsidRPr="001567C8" w:rsidRDefault="00DF5433" w:rsidP="00DF5433">
            <w:pPr>
              <w:tabs>
                <w:tab w:val="right" w:pos="1202"/>
              </w:tabs>
              <w:spacing w:line="220" w:lineRule="exact"/>
              <w:jc w:val="right"/>
              <w:outlineLvl w:val="0"/>
              <w:rPr>
                <w:rFonts w:ascii="Calibri" w:hAnsi="Calibri" w:cs="Arial"/>
                <w:b/>
                <w:bCs/>
                <w:spacing w:val="-2"/>
                <w:sz w:val="18"/>
                <w:szCs w:val="18"/>
                <w:lang w:val="hr-HR"/>
              </w:rPr>
            </w:pPr>
            <w:r w:rsidRPr="001567C8">
              <w:rPr>
                <w:rFonts w:ascii="Calibri" w:hAnsi="Calibri" w:cs="Arial"/>
                <w:b/>
                <w:bCs/>
                <w:sz w:val="18"/>
                <w:szCs w:val="18"/>
                <w:lang w:val="hr-HR"/>
              </w:rPr>
              <w:t>000 kuna</w:t>
            </w:r>
          </w:p>
        </w:tc>
        <w:tc>
          <w:tcPr>
            <w:tcW w:w="660" w:type="pct"/>
            <w:vAlign w:val="bottom"/>
          </w:tcPr>
          <w:p w:rsidR="00DF5433" w:rsidRPr="001567C8" w:rsidRDefault="00DF5433" w:rsidP="00DF5433">
            <w:pPr>
              <w:tabs>
                <w:tab w:val="right" w:pos="1202"/>
              </w:tabs>
              <w:spacing w:line="220" w:lineRule="exact"/>
              <w:jc w:val="right"/>
              <w:outlineLvl w:val="0"/>
              <w:rPr>
                <w:rFonts w:ascii="Calibri" w:hAnsi="Calibri" w:cs="Arial"/>
                <w:b/>
                <w:bCs/>
                <w:spacing w:val="-2"/>
                <w:sz w:val="18"/>
                <w:szCs w:val="18"/>
                <w:lang w:val="hr-HR"/>
              </w:rPr>
            </w:pPr>
            <w:r w:rsidRPr="001567C8">
              <w:rPr>
                <w:rFonts w:ascii="Calibri" w:hAnsi="Calibri" w:cs="Arial"/>
                <w:b/>
                <w:bCs/>
                <w:sz w:val="18"/>
                <w:szCs w:val="18"/>
                <w:lang w:val="hr-HR"/>
              </w:rPr>
              <w:t>000 kuna</w:t>
            </w:r>
          </w:p>
        </w:tc>
        <w:tc>
          <w:tcPr>
            <w:tcW w:w="589" w:type="pct"/>
            <w:vAlign w:val="bottom"/>
          </w:tcPr>
          <w:p w:rsidR="00DF5433" w:rsidRPr="001567C8" w:rsidRDefault="00DF5433" w:rsidP="00DF5433">
            <w:pPr>
              <w:tabs>
                <w:tab w:val="right" w:pos="1202"/>
              </w:tabs>
              <w:spacing w:line="220" w:lineRule="exact"/>
              <w:jc w:val="right"/>
              <w:outlineLvl w:val="0"/>
              <w:rPr>
                <w:rFonts w:ascii="Calibri" w:hAnsi="Calibri" w:cs="Arial"/>
                <w:b/>
                <w:bCs/>
                <w:spacing w:val="-2"/>
                <w:sz w:val="18"/>
                <w:szCs w:val="18"/>
                <w:lang w:val="hr-HR"/>
              </w:rPr>
            </w:pPr>
            <w:r w:rsidRPr="001567C8">
              <w:rPr>
                <w:rFonts w:ascii="Calibri" w:hAnsi="Calibri" w:cs="Arial"/>
                <w:b/>
                <w:bCs/>
                <w:sz w:val="18"/>
                <w:szCs w:val="18"/>
                <w:lang w:val="hr-HR"/>
              </w:rPr>
              <w:t>000 kuna</w:t>
            </w:r>
          </w:p>
        </w:tc>
      </w:tr>
      <w:tr w:rsidR="00DF5433" w:rsidRPr="001567C8" w:rsidTr="003C6BA3">
        <w:trPr>
          <w:trHeight w:val="232"/>
        </w:trPr>
        <w:tc>
          <w:tcPr>
            <w:tcW w:w="1400" w:type="pct"/>
          </w:tcPr>
          <w:p w:rsidR="00DF5433" w:rsidRPr="001567C8" w:rsidRDefault="00DF5433" w:rsidP="00DF5433">
            <w:pPr>
              <w:tabs>
                <w:tab w:val="right" w:pos="1202"/>
              </w:tabs>
              <w:spacing w:line="220" w:lineRule="exact"/>
              <w:outlineLvl w:val="0"/>
              <w:rPr>
                <w:rFonts w:ascii="Calibri" w:hAnsi="Calibri" w:cs="Arial"/>
                <w:b/>
                <w:sz w:val="18"/>
                <w:szCs w:val="18"/>
                <w:lang w:val="hr-HR"/>
              </w:rPr>
            </w:pPr>
            <w:r w:rsidRPr="001567C8">
              <w:rPr>
                <w:rFonts w:ascii="Calibri" w:hAnsi="Calibri" w:cs="Arial"/>
                <w:b/>
                <w:sz w:val="18"/>
                <w:szCs w:val="18"/>
                <w:lang w:val="hr-HR"/>
              </w:rPr>
              <w:t>Imovina</w:t>
            </w:r>
          </w:p>
        </w:tc>
        <w:tc>
          <w:tcPr>
            <w:tcW w:w="612" w:type="pct"/>
            <w:vAlign w:val="bottom"/>
          </w:tcPr>
          <w:p w:rsidR="00DF5433" w:rsidRPr="001567C8" w:rsidRDefault="00DF5433" w:rsidP="00DF5433">
            <w:pPr>
              <w:jc w:val="right"/>
              <w:rPr>
                <w:rFonts w:ascii="Calibri" w:eastAsia="Arial Unicode MS" w:hAnsi="Calibri" w:cs="Arial"/>
                <w:sz w:val="18"/>
                <w:szCs w:val="18"/>
                <w:lang w:val="hr-HR"/>
              </w:rPr>
            </w:pPr>
          </w:p>
        </w:tc>
        <w:tc>
          <w:tcPr>
            <w:tcW w:w="613" w:type="pct"/>
            <w:vAlign w:val="bottom"/>
          </w:tcPr>
          <w:p w:rsidR="00DF5433" w:rsidRPr="001567C8" w:rsidRDefault="00DF5433" w:rsidP="00DF5433">
            <w:pPr>
              <w:jc w:val="right"/>
              <w:rPr>
                <w:rFonts w:ascii="Calibri" w:eastAsia="Arial Unicode MS" w:hAnsi="Calibri" w:cs="Arial"/>
                <w:sz w:val="18"/>
                <w:szCs w:val="18"/>
                <w:lang w:val="hr-HR"/>
              </w:rPr>
            </w:pPr>
          </w:p>
        </w:tc>
        <w:tc>
          <w:tcPr>
            <w:tcW w:w="539" w:type="pct"/>
            <w:vAlign w:val="bottom"/>
          </w:tcPr>
          <w:p w:rsidR="00DF5433" w:rsidRPr="001567C8" w:rsidRDefault="00DF5433" w:rsidP="00DF5433">
            <w:pPr>
              <w:jc w:val="right"/>
              <w:rPr>
                <w:rFonts w:ascii="Calibri" w:eastAsia="Arial Unicode MS" w:hAnsi="Calibri" w:cs="Arial"/>
                <w:sz w:val="18"/>
                <w:szCs w:val="18"/>
                <w:lang w:val="hr-HR"/>
              </w:rPr>
            </w:pPr>
          </w:p>
        </w:tc>
        <w:tc>
          <w:tcPr>
            <w:tcW w:w="587" w:type="pct"/>
            <w:vAlign w:val="bottom"/>
          </w:tcPr>
          <w:p w:rsidR="00DF5433" w:rsidRPr="001567C8" w:rsidRDefault="00DF5433" w:rsidP="00DF5433">
            <w:pPr>
              <w:jc w:val="right"/>
              <w:rPr>
                <w:rFonts w:ascii="Calibri" w:eastAsia="Arial Unicode MS" w:hAnsi="Calibri" w:cs="Arial"/>
                <w:sz w:val="18"/>
                <w:szCs w:val="18"/>
                <w:lang w:val="hr-HR"/>
              </w:rPr>
            </w:pPr>
          </w:p>
        </w:tc>
        <w:tc>
          <w:tcPr>
            <w:tcW w:w="660" w:type="pct"/>
            <w:vAlign w:val="bottom"/>
          </w:tcPr>
          <w:p w:rsidR="00DF5433" w:rsidRPr="001567C8" w:rsidRDefault="00DF5433" w:rsidP="00DF5433">
            <w:pPr>
              <w:jc w:val="right"/>
              <w:rPr>
                <w:rFonts w:ascii="Calibri" w:eastAsia="Arial Unicode MS" w:hAnsi="Calibri" w:cs="Arial"/>
                <w:sz w:val="18"/>
                <w:szCs w:val="18"/>
                <w:lang w:val="hr-HR"/>
              </w:rPr>
            </w:pPr>
          </w:p>
        </w:tc>
        <w:tc>
          <w:tcPr>
            <w:tcW w:w="589" w:type="pct"/>
            <w:vAlign w:val="bottom"/>
          </w:tcPr>
          <w:p w:rsidR="00DF5433" w:rsidRPr="001567C8" w:rsidRDefault="00DF5433" w:rsidP="00DF5433">
            <w:pPr>
              <w:jc w:val="right"/>
              <w:rPr>
                <w:rFonts w:ascii="Calibri" w:eastAsia="Arial Unicode MS" w:hAnsi="Calibri" w:cs="Arial"/>
                <w:sz w:val="18"/>
                <w:szCs w:val="18"/>
                <w:lang w:val="hr-HR"/>
              </w:rPr>
            </w:pPr>
          </w:p>
        </w:tc>
      </w:tr>
      <w:tr w:rsidR="00DF5433" w:rsidRPr="001567C8" w:rsidTr="003C6BA3">
        <w:trPr>
          <w:trHeight w:val="464"/>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pacing w:val="-2"/>
                <w:sz w:val="18"/>
                <w:szCs w:val="18"/>
                <w:lang w:val="hr-HR"/>
              </w:rPr>
              <w:t>Novčana sredstva i računi kod banaka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239</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82.947</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1.424</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84.610</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1.319.070</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1.403.680</w:t>
            </w:r>
          </w:p>
        </w:tc>
      </w:tr>
      <w:tr w:rsidR="00DF5433" w:rsidRPr="001567C8" w:rsidTr="003C6BA3">
        <w:trPr>
          <w:trHeight w:val="232"/>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pacing w:val="-2"/>
                <w:sz w:val="18"/>
                <w:szCs w:val="18"/>
                <w:lang w:val="hr-HR"/>
              </w:rPr>
              <w:t>Depoziti kod drugih banaka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29.115</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23</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29.138</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29.138</w:t>
            </w:r>
          </w:p>
        </w:tc>
      </w:tr>
      <w:tr w:rsidR="00DF5433" w:rsidRPr="001567C8" w:rsidTr="003C6BA3">
        <w:trPr>
          <w:trHeight w:val="232"/>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pacing w:val="-2"/>
                <w:sz w:val="18"/>
                <w:szCs w:val="18"/>
                <w:lang w:val="hr-HR"/>
              </w:rPr>
              <w:t>Krediti financijskim institucijama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6.075.420</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6.075.420</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4.760.721</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10.836.141</w:t>
            </w:r>
          </w:p>
        </w:tc>
      </w:tr>
      <w:tr w:rsidR="00DF5433" w:rsidRPr="001567C8" w:rsidTr="003C6BA3">
        <w:trPr>
          <w:trHeight w:val="232"/>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pacing w:val="-2"/>
                <w:sz w:val="18"/>
                <w:szCs w:val="18"/>
                <w:lang w:val="hr-HR"/>
              </w:rPr>
              <w:t>Krediti ostalim korisnicima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429.298</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9.092.613</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9.521.911</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2.861.712</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12.383.623</w:t>
            </w:r>
          </w:p>
        </w:tc>
      </w:tr>
      <w:tr w:rsidR="00DF5433" w:rsidRPr="001567C8" w:rsidTr="003C6BA3">
        <w:trPr>
          <w:trHeight w:val="493"/>
        </w:trPr>
        <w:tc>
          <w:tcPr>
            <w:tcW w:w="1400" w:type="pct"/>
            <w:vAlign w:val="bottom"/>
          </w:tcPr>
          <w:p w:rsidR="00DF5433" w:rsidRPr="001567C8" w:rsidRDefault="00DF5433" w:rsidP="006C28B0">
            <w:pPr>
              <w:tabs>
                <w:tab w:val="right" w:pos="1202"/>
              </w:tabs>
              <w:spacing w:line="220" w:lineRule="exact"/>
              <w:outlineLvl w:val="0"/>
              <w:rPr>
                <w:rFonts w:ascii="Calibri" w:hAnsi="Calibri" w:cs="Arial"/>
                <w:spacing w:val="-2"/>
                <w:sz w:val="18"/>
                <w:szCs w:val="18"/>
                <w:lang w:val="hr-HR"/>
              </w:rPr>
            </w:pPr>
            <w:r w:rsidRPr="001567C8">
              <w:rPr>
                <w:rFonts w:ascii="Calibri" w:hAnsi="Calibri" w:cs="Arial"/>
                <w:spacing w:val="-2"/>
                <w:sz w:val="18"/>
                <w:szCs w:val="18"/>
                <w:lang w:val="hr-HR"/>
              </w:rPr>
              <w:t xml:space="preserve">Financijska imovina po fer vrijednosti kroz </w:t>
            </w:r>
            <w:r w:rsidR="008A2CC2" w:rsidRPr="001567C8">
              <w:rPr>
                <w:rFonts w:ascii="Calibri" w:hAnsi="Calibri" w:cs="Arial"/>
                <w:spacing w:val="-2"/>
                <w:sz w:val="18"/>
                <w:szCs w:val="18"/>
                <w:lang w:val="hr-HR"/>
              </w:rPr>
              <w:t>dobit ili gubitak</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291</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291</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291</w:t>
            </w:r>
          </w:p>
        </w:tc>
      </w:tr>
      <w:tr w:rsidR="00DF5433" w:rsidRPr="001567C8" w:rsidTr="003C6BA3">
        <w:trPr>
          <w:trHeight w:val="232"/>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pacing w:val="-2"/>
                <w:sz w:val="18"/>
                <w:szCs w:val="18"/>
                <w:lang w:val="hr-HR"/>
              </w:rPr>
              <w:t>Imovina raspoloživa za prodaju</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735.821</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735.821</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2.585.743</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3.321.564</w:t>
            </w:r>
          </w:p>
        </w:tc>
      </w:tr>
      <w:tr w:rsidR="00DF5433" w:rsidRPr="001567C8" w:rsidTr="003C6BA3">
        <w:trPr>
          <w:trHeight w:val="232"/>
        </w:trPr>
        <w:tc>
          <w:tcPr>
            <w:tcW w:w="1400" w:type="pct"/>
            <w:vAlign w:val="bottom"/>
          </w:tcPr>
          <w:p w:rsidR="00DF5433" w:rsidRPr="001567C8" w:rsidRDefault="00DF5433" w:rsidP="006C28B0">
            <w:pPr>
              <w:tabs>
                <w:tab w:val="right" w:pos="1202"/>
              </w:tabs>
              <w:spacing w:line="220" w:lineRule="exact"/>
              <w:outlineLvl w:val="0"/>
              <w:rPr>
                <w:rFonts w:ascii="Calibri" w:hAnsi="Calibri" w:cs="Arial"/>
                <w:spacing w:val="-2"/>
                <w:sz w:val="18"/>
                <w:szCs w:val="18"/>
                <w:lang w:val="hr-HR"/>
              </w:rPr>
            </w:pPr>
            <w:r w:rsidRPr="001567C8">
              <w:rPr>
                <w:rFonts w:ascii="Calibri" w:hAnsi="Calibri" w:cs="Arial"/>
                <w:spacing w:val="-2"/>
                <w:sz w:val="18"/>
                <w:szCs w:val="18"/>
                <w:lang w:val="hr-HR"/>
              </w:rPr>
              <w:t>Imovina koja se drži do dospijeća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1.399</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1.399</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1.399</w:t>
            </w:r>
          </w:p>
        </w:tc>
      </w:tr>
      <w:tr w:rsidR="00DF5433" w:rsidRPr="001567C8" w:rsidTr="003C6BA3">
        <w:trPr>
          <w:trHeight w:val="464"/>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pacing w:val="-2"/>
                <w:sz w:val="18"/>
                <w:szCs w:val="18"/>
                <w:lang w:val="hr-HR"/>
              </w:rPr>
              <w:t>Nekretnine, postrojenja i oprema i nematerijalna imovina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53.557</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53.557</w:t>
            </w:r>
          </w:p>
        </w:tc>
      </w:tr>
      <w:tr w:rsidR="00DF5433" w:rsidRPr="001567C8" w:rsidTr="0051728E">
        <w:trPr>
          <w:trHeight w:val="201"/>
        </w:trPr>
        <w:tc>
          <w:tcPr>
            <w:tcW w:w="1400" w:type="pct"/>
            <w:vAlign w:val="bottom"/>
          </w:tcPr>
          <w:p w:rsidR="00DF5433" w:rsidRPr="001567C8" w:rsidRDefault="0051728E" w:rsidP="006C28B0">
            <w:pPr>
              <w:tabs>
                <w:tab w:val="right" w:pos="1202"/>
              </w:tabs>
              <w:spacing w:line="220" w:lineRule="exact"/>
              <w:outlineLvl w:val="0"/>
              <w:rPr>
                <w:rFonts w:ascii="Calibri" w:hAnsi="Calibri" w:cs="Arial"/>
                <w:sz w:val="18"/>
                <w:szCs w:val="18"/>
                <w:lang w:val="hr-HR"/>
              </w:rPr>
            </w:pPr>
            <w:r w:rsidRPr="0051728E">
              <w:rPr>
                <w:rFonts w:ascii="Calibri" w:hAnsi="Calibri" w:cs="Arial"/>
                <w:spacing w:val="-2"/>
                <w:sz w:val="18"/>
                <w:szCs w:val="18"/>
                <w:lang w:val="hr-HR"/>
              </w:rPr>
              <w:t>Preuzeta imovina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16.697</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16.697</w:t>
            </w:r>
          </w:p>
        </w:tc>
      </w:tr>
      <w:tr w:rsidR="00DF5433" w:rsidRPr="001567C8" w:rsidTr="003C6BA3">
        <w:trPr>
          <w:trHeight w:val="232"/>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pacing w:val="-2"/>
                <w:sz w:val="18"/>
                <w:szCs w:val="18"/>
                <w:lang w:val="hr-HR"/>
              </w:rPr>
              <w:t>Ostala imovina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6.308</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6.308</w:t>
            </w:r>
          </w:p>
        </w:tc>
        <w:tc>
          <w:tcPr>
            <w:tcW w:w="660" w:type="pct"/>
            <w:tcBorders>
              <w:top w:val="nil"/>
              <w:left w:val="nil"/>
              <w:bottom w:val="single" w:sz="2" w:space="0" w:color="auto"/>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23.163</w:t>
            </w:r>
          </w:p>
        </w:tc>
        <w:tc>
          <w:tcPr>
            <w:tcW w:w="589" w:type="pct"/>
            <w:tcBorders>
              <w:top w:val="nil"/>
              <w:left w:val="nil"/>
              <w:bottom w:val="single" w:sz="2" w:space="0" w:color="auto"/>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29.471</w:t>
            </w:r>
          </w:p>
        </w:tc>
      </w:tr>
      <w:tr w:rsidR="00DF5433" w:rsidRPr="001567C8" w:rsidTr="003C6BA3">
        <w:trPr>
          <w:trHeight w:hRule="exact" w:val="360"/>
        </w:trPr>
        <w:tc>
          <w:tcPr>
            <w:tcW w:w="1400" w:type="pct"/>
            <w:vAlign w:val="bottom"/>
          </w:tcPr>
          <w:p w:rsidR="00DF5433" w:rsidRPr="001567C8" w:rsidRDefault="00DF5433" w:rsidP="006C28B0">
            <w:pPr>
              <w:tabs>
                <w:tab w:val="right" w:pos="1202"/>
              </w:tabs>
              <w:spacing w:line="220" w:lineRule="exact"/>
              <w:outlineLvl w:val="0"/>
              <w:rPr>
                <w:rFonts w:ascii="Calibri" w:hAnsi="Calibri" w:cs="Arial"/>
                <w:b/>
                <w:bCs/>
                <w:sz w:val="18"/>
                <w:szCs w:val="18"/>
                <w:lang w:val="hr-HR"/>
              </w:rPr>
            </w:pPr>
            <w:r w:rsidRPr="001567C8">
              <w:rPr>
                <w:rFonts w:ascii="Calibri" w:hAnsi="Calibri" w:cs="Arial"/>
                <w:b/>
                <w:bCs/>
                <w:sz w:val="18"/>
                <w:szCs w:val="18"/>
                <w:lang w:val="hr-HR"/>
              </w:rPr>
              <w:t xml:space="preserve">Ukupna imovina </w:t>
            </w:r>
          </w:p>
        </w:tc>
        <w:tc>
          <w:tcPr>
            <w:tcW w:w="612"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458.652</w:t>
            </w:r>
          </w:p>
        </w:tc>
        <w:tc>
          <w:tcPr>
            <w:tcW w:w="613"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15.994.822</w:t>
            </w:r>
          </w:p>
        </w:tc>
        <w:tc>
          <w:tcPr>
            <w:tcW w:w="539"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1.424</w:t>
            </w:r>
          </w:p>
        </w:tc>
        <w:tc>
          <w:tcPr>
            <w:tcW w:w="587"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16.454.898</w:t>
            </w:r>
          </w:p>
        </w:tc>
        <w:tc>
          <w:tcPr>
            <w:tcW w:w="660"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11.620.663*</w:t>
            </w:r>
          </w:p>
        </w:tc>
        <w:tc>
          <w:tcPr>
            <w:tcW w:w="589" w:type="pct"/>
            <w:tcBorders>
              <w:top w:val="single" w:sz="2" w:space="0" w:color="auto"/>
              <w:left w:val="nil"/>
              <w:bottom w:val="single" w:sz="12" w:space="0" w:color="auto"/>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28.075.561</w:t>
            </w:r>
          </w:p>
        </w:tc>
      </w:tr>
      <w:tr w:rsidR="00DF5433" w:rsidRPr="001567C8" w:rsidTr="003C6BA3">
        <w:trPr>
          <w:trHeight w:hRule="exact" w:val="119"/>
        </w:trPr>
        <w:tc>
          <w:tcPr>
            <w:tcW w:w="1400" w:type="pct"/>
            <w:vAlign w:val="bottom"/>
          </w:tcPr>
          <w:p w:rsidR="00DF5433" w:rsidRPr="001567C8" w:rsidRDefault="00DF5433" w:rsidP="006C28B0">
            <w:pPr>
              <w:keepNext/>
              <w:keepLines/>
              <w:tabs>
                <w:tab w:val="decimal" w:pos="1202"/>
              </w:tabs>
              <w:spacing w:line="220" w:lineRule="exact"/>
              <w:rPr>
                <w:rFonts w:ascii="Calibri" w:hAnsi="Calibri" w:cs="Arial"/>
                <w:b/>
                <w:position w:val="4"/>
                <w:sz w:val="18"/>
                <w:szCs w:val="18"/>
                <w:u w:val="thick"/>
                <w:lang w:val="hr-HR"/>
              </w:rPr>
            </w:pPr>
          </w:p>
        </w:tc>
        <w:tc>
          <w:tcPr>
            <w:tcW w:w="612" w:type="pct"/>
            <w:tcBorders>
              <w:top w:val="single" w:sz="12" w:space="0" w:color="auto"/>
            </w:tcBorders>
            <w:vAlign w:val="bottom"/>
          </w:tcPr>
          <w:p w:rsidR="00DF5433" w:rsidRPr="001567C8" w:rsidRDefault="00DF5433" w:rsidP="006C28B0">
            <w:pPr>
              <w:keepNext/>
              <w:keepLines/>
              <w:spacing w:line="220" w:lineRule="exact"/>
              <w:jc w:val="right"/>
              <w:rPr>
                <w:rFonts w:ascii="Calibri" w:hAnsi="Calibri" w:cs="Arial"/>
                <w:b/>
                <w:position w:val="4"/>
                <w:sz w:val="18"/>
                <w:szCs w:val="18"/>
                <w:u w:val="thick"/>
                <w:lang w:val="hr-HR"/>
              </w:rPr>
            </w:pPr>
          </w:p>
        </w:tc>
        <w:tc>
          <w:tcPr>
            <w:tcW w:w="613" w:type="pct"/>
            <w:tcBorders>
              <w:top w:val="single" w:sz="12" w:space="0" w:color="auto"/>
            </w:tcBorders>
            <w:vAlign w:val="bottom"/>
          </w:tcPr>
          <w:p w:rsidR="00DF5433" w:rsidRPr="001567C8" w:rsidRDefault="00DF5433" w:rsidP="006C28B0">
            <w:pPr>
              <w:keepNext/>
              <w:keepLines/>
              <w:spacing w:line="220" w:lineRule="exact"/>
              <w:jc w:val="right"/>
              <w:rPr>
                <w:rFonts w:ascii="Calibri" w:hAnsi="Calibri" w:cs="Arial"/>
                <w:b/>
                <w:position w:val="4"/>
                <w:sz w:val="18"/>
                <w:szCs w:val="18"/>
                <w:u w:val="thick"/>
                <w:lang w:val="hr-HR"/>
              </w:rPr>
            </w:pPr>
          </w:p>
        </w:tc>
        <w:tc>
          <w:tcPr>
            <w:tcW w:w="539" w:type="pct"/>
            <w:tcBorders>
              <w:top w:val="single" w:sz="12" w:space="0" w:color="auto"/>
            </w:tcBorders>
            <w:vAlign w:val="bottom"/>
          </w:tcPr>
          <w:p w:rsidR="00DF5433" w:rsidRPr="001567C8" w:rsidRDefault="00DF5433" w:rsidP="006C28B0">
            <w:pPr>
              <w:keepNext/>
              <w:keepLines/>
              <w:spacing w:line="220" w:lineRule="exact"/>
              <w:jc w:val="right"/>
              <w:rPr>
                <w:rFonts w:ascii="Calibri" w:hAnsi="Calibri" w:cs="Arial"/>
                <w:b/>
                <w:position w:val="4"/>
                <w:sz w:val="18"/>
                <w:szCs w:val="18"/>
                <w:u w:val="thick"/>
                <w:lang w:val="hr-HR"/>
              </w:rPr>
            </w:pPr>
          </w:p>
        </w:tc>
        <w:tc>
          <w:tcPr>
            <w:tcW w:w="587" w:type="pct"/>
            <w:tcBorders>
              <w:top w:val="single" w:sz="12" w:space="0" w:color="auto"/>
            </w:tcBorders>
            <w:vAlign w:val="bottom"/>
          </w:tcPr>
          <w:p w:rsidR="00DF5433" w:rsidRPr="001567C8" w:rsidRDefault="00DF5433" w:rsidP="006C28B0">
            <w:pPr>
              <w:keepNext/>
              <w:keepLines/>
              <w:spacing w:line="220" w:lineRule="exact"/>
              <w:jc w:val="right"/>
              <w:rPr>
                <w:rFonts w:ascii="Calibri" w:hAnsi="Calibri" w:cs="Arial"/>
                <w:b/>
                <w:position w:val="4"/>
                <w:sz w:val="18"/>
                <w:szCs w:val="18"/>
                <w:u w:val="thick"/>
                <w:lang w:val="hr-HR"/>
              </w:rPr>
            </w:pPr>
          </w:p>
        </w:tc>
        <w:tc>
          <w:tcPr>
            <w:tcW w:w="660" w:type="pct"/>
            <w:tcBorders>
              <w:top w:val="single" w:sz="12" w:space="0" w:color="auto"/>
            </w:tcBorders>
            <w:vAlign w:val="bottom"/>
          </w:tcPr>
          <w:p w:rsidR="00DF5433" w:rsidRPr="001567C8" w:rsidRDefault="00DF5433" w:rsidP="006C28B0">
            <w:pPr>
              <w:keepNext/>
              <w:keepLines/>
              <w:spacing w:line="220" w:lineRule="exact"/>
              <w:jc w:val="right"/>
              <w:rPr>
                <w:rFonts w:ascii="Calibri" w:hAnsi="Calibri" w:cs="Arial"/>
                <w:b/>
                <w:position w:val="4"/>
                <w:sz w:val="18"/>
                <w:szCs w:val="18"/>
                <w:u w:val="thick"/>
                <w:lang w:val="hr-HR"/>
              </w:rPr>
            </w:pPr>
          </w:p>
        </w:tc>
        <w:tc>
          <w:tcPr>
            <w:tcW w:w="589" w:type="pct"/>
            <w:tcBorders>
              <w:top w:val="single" w:sz="12" w:space="0" w:color="auto"/>
            </w:tcBorders>
            <w:vAlign w:val="bottom"/>
          </w:tcPr>
          <w:p w:rsidR="00DF5433" w:rsidRPr="001567C8" w:rsidRDefault="00DF5433" w:rsidP="006C28B0">
            <w:pPr>
              <w:keepNext/>
              <w:keepLines/>
              <w:spacing w:line="220" w:lineRule="exact"/>
              <w:jc w:val="right"/>
              <w:rPr>
                <w:rFonts w:ascii="Calibri" w:hAnsi="Calibri" w:cs="Arial"/>
                <w:b/>
                <w:position w:val="4"/>
                <w:sz w:val="18"/>
                <w:szCs w:val="18"/>
                <w:u w:val="thick"/>
                <w:lang w:val="hr-HR"/>
              </w:rPr>
            </w:pPr>
          </w:p>
        </w:tc>
      </w:tr>
      <w:tr w:rsidR="00DF5433" w:rsidRPr="001567C8" w:rsidTr="003C6BA3">
        <w:trPr>
          <w:trHeight w:val="232"/>
        </w:trPr>
        <w:tc>
          <w:tcPr>
            <w:tcW w:w="1400" w:type="pct"/>
            <w:vAlign w:val="bottom"/>
          </w:tcPr>
          <w:p w:rsidR="00DF5433" w:rsidRPr="001567C8" w:rsidRDefault="00DF5433" w:rsidP="006C28B0">
            <w:pPr>
              <w:tabs>
                <w:tab w:val="right" w:pos="1202"/>
              </w:tabs>
              <w:spacing w:line="220" w:lineRule="exact"/>
              <w:outlineLvl w:val="0"/>
              <w:rPr>
                <w:rFonts w:ascii="Calibri" w:hAnsi="Calibri" w:cs="Arial"/>
                <w:b/>
                <w:bCs/>
                <w:sz w:val="18"/>
                <w:szCs w:val="18"/>
                <w:lang w:val="hr-HR"/>
              </w:rPr>
            </w:pPr>
            <w:r w:rsidRPr="001567C8">
              <w:rPr>
                <w:rFonts w:ascii="Calibri" w:hAnsi="Calibri" w:cs="Arial"/>
                <w:b/>
                <w:bCs/>
                <w:sz w:val="18"/>
                <w:szCs w:val="18"/>
                <w:lang w:val="hr-HR"/>
              </w:rPr>
              <w:t>Obveze</w:t>
            </w:r>
          </w:p>
        </w:tc>
        <w:tc>
          <w:tcPr>
            <w:tcW w:w="612" w:type="pct"/>
            <w:vAlign w:val="bottom"/>
          </w:tcPr>
          <w:p w:rsidR="00DF5433" w:rsidRPr="001567C8" w:rsidRDefault="00DF5433" w:rsidP="006C28B0">
            <w:pPr>
              <w:suppressAutoHyphens/>
              <w:ind w:left="-123"/>
              <w:jc w:val="right"/>
              <w:rPr>
                <w:rFonts w:ascii="Calibri" w:eastAsia="Calibri" w:hAnsi="Calibri" w:cs="Arial"/>
                <w:spacing w:val="-2"/>
                <w:sz w:val="18"/>
                <w:szCs w:val="18"/>
                <w:lang w:val="hr-HR"/>
              </w:rPr>
            </w:pPr>
          </w:p>
        </w:tc>
        <w:tc>
          <w:tcPr>
            <w:tcW w:w="613" w:type="pct"/>
            <w:vAlign w:val="bottom"/>
          </w:tcPr>
          <w:p w:rsidR="00DF5433" w:rsidRPr="001567C8" w:rsidRDefault="00DF5433" w:rsidP="006C28B0">
            <w:pPr>
              <w:suppressAutoHyphens/>
              <w:jc w:val="right"/>
              <w:rPr>
                <w:rFonts w:ascii="Calibri" w:eastAsia="Calibri" w:hAnsi="Calibri" w:cs="Arial"/>
                <w:spacing w:val="-2"/>
                <w:sz w:val="18"/>
                <w:szCs w:val="18"/>
                <w:lang w:val="hr-HR"/>
              </w:rPr>
            </w:pPr>
          </w:p>
        </w:tc>
        <w:tc>
          <w:tcPr>
            <w:tcW w:w="539" w:type="pct"/>
            <w:vAlign w:val="bottom"/>
          </w:tcPr>
          <w:p w:rsidR="00DF5433" w:rsidRPr="001567C8" w:rsidRDefault="00DF5433" w:rsidP="006C28B0">
            <w:pPr>
              <w:suppressAutoHyphens/>
              <w:jc w:val="right"/>
              <w:rPr>
                <w:rFonts w:ascii="Calibri" w:eastAsia="Calibri" w:hAnsi="Calibri" w:cs="Arial"/>
                <w:spacing w:val="-2"/>
                <w:sz w:val="18"/>
                <w:szCs w:val="18"/>
                <w:lang w:val="hr-HR"/>
              </w:rPr>
            </w:pPr>
          </w:p>
        </w:tc>
        <w:tc>
          <w:tcPr>
            <w:tcW w:w="587" w:type="pct"/>
            <w:vAlign w:val="bottom"/>
          </w:tcPr>
          <w:p w:rsidR="00DF5433" w:rsidRPr="001567C8" w:rsidRDefault="00DF5433" w:rsidP="006C28B0">
            <w:pPr>
              <w:suppressAutoHyphens/>
              <w:jc w:val="right"/>
              <w:rPr>
                <w:rFonts w:ascii="Calibri" w:eastAsia="Calibri" w:hAnsi="Calibri" w:cs="Arial"/>
                <w:spacing w:val="-2"/>
                <w:sz w:val="18"/>
                <w:szCs w:val="18"/>
                <w:lang w:val="hr-HR"/>
              </w:rPr>
            </w:pPr>
          </w:p>
        </w:tc>
        <w:tc>
          <w:tcPr>
            <w:tcW w:w="660" w:type="pct"/>
            <w:vAlign w:val="bottom"/>
          </w:tcPr>
          <w:p w:rsidR="00DF5433" w:rsidRPr="001567C8" w:rsidRDefault="00DF5433" w:rsidP="006C28B0">
            <w:pPr>
              <w:suppressAutoHyphens/>
              <w:jc w:val="right"/>
              <w:rPr>
                <w:rFonts w:ascii="Calibri" w:eastAsia="Calibri" w:hAnsi="Calibri" w:cs="Arial"/>
                <w:spacing w:val="-2"/>
                <w:sz w:val="18"/>
                <w:szCs w:val="18"/>
                <w:lang w:val="hr-HR"/>
              </w:rPr>
            </w:pPr>
          </w:p>
        </w:tc>
        <w:tc>
          <w:tcPr>
            <w:tcW w:w="589" w:type="pct"/>
            <w:vAlign w:val="bottom"/>
          </w:tcPr>
          <w:p w:rsidR="00DF5433" w:rsidRPr="001567C8" w:rsidRDefault="00DF5433" w:rsidP="006C28B0">
            <w:pPr>
              <w:jc w:val="right"/>
              <w:rPr>
                <w:rFonts w:ascii="Calibri" w:eastAsia="Calibri" w:hAnsi="Calibri" w:cs="Arial"/>
                <w:b/>
                <w:sz w:val="18"/>
                <w:szCs w:val="18"/>
                <w:lang w:val="hr-HR"/>
              </w:rPr>
            </w:pPr>
          </w:p>
        </w:tc>
      </w:tr>
      <w:tr w:rsidR="00DF5433" w:rsidRPr="001567C8" w:rsidTr="003C6BA3">
        <w:trPr>
          <w:trHeight w:val="244"/>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z w:val="18"/>
                <w:szCs w:val="18"/>
                <w:lang w:val="hr-HR"/>
              </w:rPr>
              <w:t>Obveze po depozitima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20.112</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527.668</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77</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547.857</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96.884</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644.741</w:t>
            </w:r>
          </w:p>
        </w:tc>
      </w:tr>
      <w:tr w:rsidR="00DF5433" w:rsidRPr="001567C8" w:rsidTr="003C6BA3">
        <w:trPr>
          <w:trHeight w:val="232"/>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z w:val="18"/>
                <w:szCs w:val="18"/>
                <w:lang w:val="hr-HR"/>
              </w:rPr>
              <w:t>Obveze po kreditima</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410.011</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14.977.870</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15.387.881</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15.387.881</w:t>
            </w:r>
          </w:p>
        </w:tc>
      </w:tr>
      <w:tr w:rsidR="00DF5433" w:rsidRPr="001567C8" w:rsidTr="003C6BA3">
        <w:trPr>
          <w:trHeight w:val="464"/>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z w:val="18"/>
                <w:szCs w:val="18"/>
                <w:lang w:val="hr-HR"/>
              </w:rPr>
              <w:t>Obveze za izdane dugoročne vrijednosne papire</w:t>
            </w:r>
          </w:p>
        </w:tc>
        <w:tc>
          <w:tcPr>
            <w:tcW w:w="612"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613"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1.161.699</w:t>
            </w:r>
          </w:p>
        </w:tc>
        <w:tc>
          <w:tcPr>
            <w:tcW w:w="539"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7"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1.161.699</w:t>
            </w:r>
          </w:p>
        </w:tc>
        <w:tc>
          <w:tcPr>
            <w:tcW w:w="660" w:type="pct"/>
            <w:tcBorders>
              <w:top w:val="nil"/>
              <w:left w:val="nil"/>
              <w:bottom w:val="nil"/>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w:t>
            </w:r>
          </w:p>
        </w:tc>
        <w:tc>
          <w:tcPr>
            <w:tcW w:w="589" w:type="pct"/>
            <w:tcBorders>
              <w:top w:val="nil"/>
              <w:left w:val="nil"/>
              <w:bottom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1.161.699</w:t>
            </w:r>
          </w:p>
        </w:tc>
      </w:tr>
      <w:tr w:rsidR="00DF5433" w:rsidRPr="001567C8" w:rsidTr="003C6BA3">
        <w:trPr>
          <w:trHeight w:val="153"/>
        </w:trPr>
        <w:tc>
          <w:tcPr>
            <w:tcW w:w="1400" w:type="pct"/>
            <w:vAlign w:val="bottom"/>
          </w:tcPr>
          <w:p w:rsidR="00DF5433" w:rsidRPr="001567C8" w:rsidRDefault="00DF5433" w:rsidP="006C28B0">
            <w:pPr>
              <w:tabs>
                <w:tab w:val="right" w:pos="1202"/>
              </w:tabs>
              <w:spacing w:line="220" w:lineRule="exact"/>
              <w:outlineLvl w:val="0"/>
              <w:rPr>
                <w:rFonts w:ascii="Calibri" w:hAnsi="Calibri" w:cs="Arial"/>
                <w:sz w:val="18"/>
                <w:szCs w:val="18"/>
                <w:lang w:val="hr-HR"/>
              </w:rPr>
            </w:pPr>
            <w:r w:rsidRPr="001567C8">
              <w:rPr>
                <w:rFonts w:ascii="Calibri" w:hAnsi="Calibri" w:cs="Arial"/>
                <w:sz w:val="18"/>
                <w:szCs w:val="18"/>
                <w:lang w:val="hr-HR"/>
              </w:rPr>
              <w:t>Ostale obveze</w:t>
            </w:r>
          </w:p>
        </w:tc>
        <w:tc>
          <w:tcPr>
            <w:tcW w:w="612" w:type="pct"/>
            <w:tcBorders>
              <w:top w:val="nil"/>
              <w:left w:val="nil"/>
              <w:bottom w:val="single" w:sz="2" w:space="0" w:color="auto"/>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3.291</w:t>
            </w:r>
          </w:p>
        </w:tc>
        <w:tc>
          <w:tcPr>
            <w:tcW w:w="613" w:type="pct"/>
            <w:tcBorders>
              <w:top w:val="nil"/>
              <w:left w:val="nil"/>
              <w:bottom w:val="single" w:sz="2" w:space="0" w:color="auto"/>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18.222</w:t>
            </w:r>
          </w:p>
        </w:tc>
        <w:tc>
          <w:tcPr>
            <w:tcW w:w="539" w:type="pct"/>
            <w:tcBorders>
              <w:top w:val="nil"/>
              <w:left w:val="nil"/>
              <w:bottom w:val="single" w:sz="2" w:space="0" w:color="auto"/>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2.665</w:t>
            </w:r>
          </w:p>
        </w:tc>
        <w:tc>
          <w:tcPr>
            <w:tcW w:w="587" w:type="pct"/>
            <w:tcBorders>
              <w:top w:val="nil"/>
              <w:left w:val="nil"/>
              <w:bottom w:val="single" w:sz="2" w:space="0" w:color="auto"/>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24.178</w:t>
            </w:r>
          </w:p>
        </w:tc>
        <w:tc>
          <w:tcPr>
            <w:tcW w:w="660" w:type="pct"/>
            <w:tcBorders>
              <w:top w:val="nil"/>
              <w:left w:val="nil"/>
              <w:bottom w:val="single" w:sz="2" w:space="0" w:color="auto"/>
              <w:right w:val="nil"/>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581.275</w:t>
            </w:r>
          </w:p>
        </w:tc>
        <w:tc>
          <w:tcPr>
            <w:tcW w:w="589" w:type="pct"/>
            <w:tcBorders>
              <w:top w:val="nil"/>
              <w:left w:val="nil"/>
              <w:bottom w:val="single" w:sz="2" w:space="0" w:color="auto"/>
            </w:tcBorders>
            <w:shd w:val="clear" w:color="auto" w:fill="auto"/>
            <w:vAlign w:val="bottom"/>
          </w:tcPr>
          <w:p w:rsidR="00DF5433" w:rsidRPr="001567C8" w:rsidRDefault="00DF5433" w:rsidP="006C28B0">
            <w:pPr>
              <w:jc w:val="right"/>
              <w:rPr>
                <w:rFonts w:ascii="Calibri" w:eastAsia="Arial Unicode MS" w:hAnsi="Calibri" w:cs="Arial"/>
                <w:sz w:val="18"/>
                <w:szCs w:val="18"/>
                <w:lang w:val="hr-HR"/>
              </w:rPr>
            </w:pPr>
            <w:r w:rsidRPr="001567C8">
              <w:rPr>
                <w:rFonts w:ascii="Calibri" w:eastAsia="Arial Unicode MS" w:hAnsi="Calibri" w:cs="Arial"/>
                <w:sz w:val="18"/>
                <w:szCs w:val="18"/>
                <w:lang w:val="hr-HR"/>
              </w:rPr>
              <w:t>605.453</w:t>
            </w:r>
          </w:p>
        </w:tc>
      </w:tr>
      <w:tr w:rsidR="00DF5433" w:rsidRPr="001567C8" w:rsidTr="003C6BA3">
        <w:trPr>
          <w:trHeight w:hRule="exact" w:val="360"/>
        </w:trPr>
        <w:tc>
          <w:tcPr>
            <w:tcW w:w="1400" w:type="pct"/>
            <w:vAlign w:val="bottom"/>
          </w:tcPr>
          <w:p w:rsidR="00DF5433" w:rsidRPr="001567C8" w:rsidRDefault="00DF5433" w:rsidP="006C28B0">
            <w:pPr>
              <w:tabs>
                <w:tab w:val="right" w:pos="1202"/>
              </w:tabs>
              <w:spacing w:line="220" w:lineRule="exact"/>
              <w:outlineLvl w:val="0"/>
              <w:rPr>
                <w:rFonts w:ascii="Calibri" w:hAnsi="Calibri" w:cs="Arial"/>
                <w:b/>
                <w:bCs/>
                <w:sz w:val="18"/>
                <w:szCs w:val="18"/>
                <w:lang w:val="hr-HR"/>
              </w:rPr>
            </w:pPr>
            <w:r w:rsidRPr="001567C8">
              <w:rPr>
                <w:rFonts w:ascii="Calibri" w:hAnsi="Calibri" w:cs="Arial"/>
                <w:b/>
                <w:bCs/>
                <w:sz w:val="18"/>
                <w:szCs w:val="18"/>
                <w:lang w:val="hr-HR"/>
              </w:rPr>
              <w:t>Ukupne obveze</w:t>
            </w:r>
          </w:p>
        </w:tc>
        <w:tc>
          <w:tcPr>
            <w:tcW w:w="612"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433.414</w:t>
            </w:r>
          </w:p>
        </w:tc>
        <w:tc>
          <w:tcPr>
            <w:tcW w:w="613"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16.685.459</w:t>
            </w:r>
          </w:p>
        </w:tc>
        <w:tc>
          <w:tcPr>
            <w:tcW w:w="539"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2.742</w:t>
            </w:r>
          </w:p>
        </w:tc>
        <w:tc>
          <w:tcPr>
            <w:tcW w:w="587"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17.121.615</w:t>
            </w:r>
          </w:p>
        </w:tc>
        <w:tc>
          <w:tcPr>
            <w:tcW w:w="660" w:type="pct"/>
            <w:tcBorders>
              <w:top w:val="single" w:sz="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678.159</w:t>
            </w:r>
          </w:p>
        </w:tc>
        <w:tc>
          <w:tcPr>
            <w:tcW w:w="589" w:type="pct"/>
            <w:tcBorders>
              <w:top w:val="single" w:sz="2" w:space="0" w:color="auto"/>
              <w:left w:val="nil"/>
              <w:bottom w:val="single" w:sz="12" w:space="0" w:color="auto"/>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17.799.774</w:t>
            </w:r>
          </w:p>
        </w:tc>
      </w:tr>
      <w:tr w:rsidR="00DF5433" w:rsidRPr="001567C8" w:rsidTr="003C6BA3">
        <w:trPr>
          <w:trHeight w:hRule="exact" w:val="481"/>
        </w:trPr>
        <w:tc>
          <w:tcPr>
            <w:tcW w:w="1400" w:type="pct"/>
            <w:vAlign w:val="bottom"/>
          </w:tcPr>
          <w:p w:rsidR="00DF5433" w:rsidRPr="001567C8" w:rsidRDefault="00DF5433" w:rsidP="006C28B0">
            <w:pPr>
              <w:rPr>
                <w:rFonts w:ascii="Calibri" w:eastAsia="Calibri" w:hAnsi="Calibri" w:cs="Arial"/>
                <w:b/>
                <w:bCs/>
                <w:sz w:val="18"/>
                <w:szCs w:val="18"/>
                <w:lang w:val="hr-HR"/>
              </w:rPr>
            </w:pPr>
            <w:r w:rsidRPr="001567C8">
              <w:rPr>
                <w:rFonts w:ascii="Calibri" w:eastAsia="Calibri" w:hAnsi="Calibri" w:cs="Arial"/>
                <w:b/>
                <w:bCs/>
                <w:sz w:val="18"/>
                <w:szCs w:val="18"/>
                <w:lang w:val="hr-HR"/>
              </w:rPr>
              <w:t>Valutni jaz</w:t>
            </w:r>
          </w:p>
        </w:tc>
        <w:tc>
          <w:tcPr>
            <w:tcW w:w="612" w:type="pct"/>
            <w:tcBorders>
              <w:top w:val="single" w:sz="1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25.238</w:t>
            </w:r>
          </w:p>
        </w:tc>
        <w:tc>
          <w:tcPr>
            <w:tcW w:w="613" w:type="pct"/>
            <w:tcBorders>
              <w:top w:val="single" w:sz="1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 xml:space="preserve"> (690.637)</w:t>
            </w:r>
          </w:p>
        </w:tc>
        <w:tc>
          <w:tcPr>
            <w:tcW w:w="539" w:type="pct"/>
            <w:tcBorders>
              <w:top w:val="single" w:sz="1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 xml:space="preserve"> (1.318)**</w:t>
            </w:r>
          </w:p>
        </w:tc>
        <w:tc>
          <w:tcPr>
            <w:tcW w:w="587" w:type="pct"/>
            <w:tcBorders>
              <w:top w:val="single" w:sz="1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 xml:space="preserve"> (666.717)</w:t>
            </w:r>
          </w:p>
        </w:tc>
        <w:tc>
          <w:tcPr>
            <w:tcW w:w="660" w:type="pct"/>
            <w:tcBorders>
              <w:top w:val="single" w:sz="12" w:space="0" w:color="auto"/>
              <w:left w:val="nil"/>
              <w:bottom w:val="single" w:sz="12" w:space="0" w:color="auto"/>
              <w:right w:val="nil"/>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10.942.504</w:t>
            </w:r>
          </w:p>
        </w:tc>
        <w:tc>
          <w:tcPr>
            <w:tcW w:w="589" w:type="pct"/>
            <w:tcBorders>
              <w:top w:val="single" w:sz="12" w:space="0" w:color="auto"/>
              <w:left w:val="nil"/>
              <w:bottom w:val="single" w:sz="12" w:space="0" w:color="auto"/>
            </w:tcBorders>
            <w:shd w:val="clear" w:color="auto" w:fill="auto"/>
            <w:vAlign w:val="bottom"/>
          </w:tcPr>
          <w:p w:rsidR="00DF5433" w:rsidRPr="001567C8" w:rsidRDefault="00DF5433" w:rsidP="006C28B0">
            <w:pPr>
              <w:jc w:val="right"/>
              <w:rPr>
                <w:rFonts w:ascii="Calibri" w:eastAsia="Arial Unicode MS" w:hAnsi="Calibri" w:cs="Arial"/>
                <w:b/>
                <w:bCs/>
                <w:sz w:val="18"/>
                <w:szCs w:val="18"/>
                <w:lang w:val="hr-HR"/>
              </w:rPr>
            </w:pPr>
            <w:r w:rsidRPr="001567C8">
              <w:rPr>
                <w:rFonts w:ascii="Calibri" w:eastAsia="Arial Unicode MS" w:hAnsi="Calibri" w:cs="Arial"/>
                <w:b/>
                <w:bCs/>
                <w:sz w:val="18"/>
                <w:szCs w:val="18"/>
                <w:lang w:val="hr-HR"/>
              </w:rPr>
              <w:t>10.275.787</w:t>
            </w:r>
          </w:p>
        </w:tc>
      </w:tr>
    </w:tbl>
    <w:p w:rsidR="00867CAC" w:rsidRPr="001567C8" w:rsidRDefault="00867CAC" w:rsidP="00867CAC">
      <w:pPr>
        <w:pStyle w:val="TT"/>
        <w:spacing w:line="240" w:lineRule="auto"/>
        <w:rPr>
          <w:rFonts w:asciiTheme="minorHAnsi" w:hAnsiTheme="minorHAnsi"/>
          <w:i/>
          <w:sz w:val="20"/>
          <w:lang w:val="hr-HR"/>
        </w:rPr>
      </w:pPr>
    </w:p>
    <w:p w:rsidR="00213DD6" w:rsidRPr="001567C8" w:rsidRDefault="00213DD6" w:rsidP="00867CAC">
      <w:pPr>
        <w:pStyle w:val="TT"/>
        <w:spacing w:line="240" w:lineRule="auto"/>
        <w:rPr>
          <w:rFonts w:asciiTheme="minorHAnsi" w:hAnsiTheme="minorHAnsi"/>
          <w:i/>
          <w:sz w:val="20"/>
          <w:lang w:val="hr-HR"/>
        </w:rPr>
      </w:pPr>
    </w:p>
    <w:p w:rsidR="00DF5433" w:rsidRPr="001567C8" w:rsidRDefault="00867CAC" w:rsidP="00DF5433">
      <w:pPr>
        <w:rPr>
          <w:rFonts w:ascii="Calibri" w:eastAsia="Calibri" w:hAnsi="Calibri"/>
          <w:i/>
          <w:sz w:val="20"/>
          <w:szCs w:val="20"/>
          <w:lang w:val="hr-HR"/>
        </w:rPr>
      </w:pPr>
      <w:r w:rsidRPr="001567C8">
        <w:rPr>
          <w:rFonts w:asciiTheme="minorHAnsi" w:hAnsiTheme="minorHAnsi"/>
          <w:i/>
          <w:sz w:val="20"/>
          <w:lang w:val="hr-HR"/>
        </w:rPr>
        <w:t>*</w:t>
      </w:r>
      <w:r w:rsidR="00DF5433" w:rsidRPr="001567C8">
        <w:rPr>
          <w:rFonts w:ascii="Calibri" w:eastAsia="Calibri" w:hAnsi="Calibri"/>
          <w:i/>
          <w:sz w:val="20"/>
          <w:szCs w:val="20"/>
          <w:lang w:val="hr-HR"/>
        </w:rPr>
        <w:t xml:space="preserve"> Iznosi vezani uz jednosmjernu valutnu klauzulu iznose 157.325 tisuća kuna.</w:t>
      </w:r>
      <w:r w:rsidR="00DF5433" w:rsidRPr="001567C8" w:rsidDel="00597E6E">
        <w:rPr>
          <w:rFonts w:ascii="Calibri" w:eastAsia="Calibri" w:hAnsi="Calibri"/>
          <w:i/>
          <w:sz w:val="20"/>
          <w:szCs w:val="20"/>
          <w:lang w:val="hr-HR"/>
        </w:rPr>
        <w:t xml:space="preserve"> </w:t>
      </w:r>
    </w:p>
    <w:p w:rsidR="00FD645D" w:rsidRPr="001567C8" w:rsidRDefault="00867CAC" w:rsidP="00FD645D">
      <w:pPr>
        <w:pStyle w:val="TT"/>
        <w:spacing w:line="240" w:lineRule="auto"/>
        <w:jc w:val="both"/>
        <w:rPr>
          <w:rFonts w:asciiTheme="minorHAnsi" w:hAnsiTheme="minorHAnsi"/>
          <w:i/>
          <w:sz w:val="20"/>
          <w:lang w:val="hr-HR"/>
        </w:rPr>
        <w:sectPr w:rsidR="00FD645D" w:rsidRPr="001567C8" w:rsidSect="0077198A">
          <w:pgSz w:w="11907" w:h="16840" w:code="9"/>
          <w:pgMar w:top="1418" w:right="1134" w:bottom="1134" w:left="1418" w:header="851" w:footer="851" w:gutter="0"/>
          <w:cols w:space="720"/>
          <w:noEndnote/>
        </w:sectPr>
      </w:pPr>
      <w:r w:rsidRPr="001567C8">
        <w:rPr>
          <w:rFonts w:asciiTheme="minorHAnsi" w:hAnsiTheme="minorHAnsi"/>
          <w:i/>
          <w:sz w:val="20"/>
          <w:lang w:val="hr-HR"/>
        </w:rPr>
        <w:t>**</w:t>
      </w:r>
      <w:r w:rsidR="00DF5433" w:rsidRPr="001567C8">
        <w:rPr>
          <w:rFonts w:asciiTheme="minorHAnsi" w:hAnsiTheme="minorHAnsi"/>
          <w:i/>
          <w:sz w:val="20"/>
          <w:lang w:val="hr-HR"/>
        </w:rPr>
        <w:t xml:space="preserve"> </w:t>
      </w:r>
      <w:r w:rsidRPr="001567C8">
        <w:rPr>
          <w:rFonts w:asciiTheme="minorHAnsi" w:hAnsiTheme="minorHAnsi"/>
          <w:i/>
          <w:sz w:val="20"/>
          <w:lang w:val="hr-HR"/>
        </w:rPr>
        <w:t>Iskazani jaz rezultat je obavljenih rezerviranja po izdanim deviznim garancijama u ostalim devizama koja se iskazuju na poziciji „Ostale obveze“.</w:t>
      </w:r>
    </w:p>
    <w:p w:rsidR="0017496E" w:rsidRPr="001567C8" w:rsidRDefault="00213DD6" w:rsidP="00DC6688">
      <w:pPr>
        <w:pStyle w:val="T1"/>
        <w:spacing w:line="300" w:lineRule="exact"/>
        <w:ind w:left="709" w:hanging="709"/>
        <w:rPr>
          <w:rFonts w:asciiTheme="minorHAnsi" w:hAnsiTheme="minorHAnsi" w:cs="Arial"/>
          <w:sz w:val="22"/>
          <w:szCs w:val="22"/>
          <w:lang w:val="hr-HR"/>
        </w:rPr>
      </w:pPr>
      <w:r w:rsidRPr="001567C8">
        <w:rPr>
          <w:rFonts w:asciiTheme="minorHAnsi" w:hAnsiTheme="minorHAnsi" w:cs="Arial"/>
          <w:sz w:val="22"/>
          <w:szCs w:val="22"/>
          <w:lang w:val="hr-HR"/>
        </w:rPr>
        <w:t>36</w:t>
      </w:r>
      <w:r w:rsidR="0017496E" w:rsidRPr="001567C8">
        <w:rPr>
          <w:rFonts w:asciiTheme="minorHAnsi" w:hAnsiTheme="minorHAnsi" w:cs="Arial"/>
          <w:sz w:val="22"/>
          <w:szCs w:val="22"/>
          <w:lang w:val="hr-HR"/>
        </w:rPr>
        <w:t>.</w:t>
      </w:r>
      <w:r w:rsidR="00282D92" w:rsidRPr="001567C8">
        <w:rPr>
          <w:rFonts w:asciiTheme="minorHAnsi" w:hAnsiTheme="minorHAnsi" w:cs="Arial"/>
          <w:sz w:val="22"/>
          <w:szCs w:val="22"/>
          <w:lang w:val="hr-HR"/>
        </w:rPr>
        <w:t xml:space="preserve">        </w:t>
      </w:r>
      <w:r w:rsidR="0017496E" w:rsidRPr="001567C8">
        <w:rPr>
          <w:rFonts w:asciiTheme="minorHAnsi" w:hAnsiTheme="minorHAnsi" w:cs="Arial"/>
          <w:sz w:val="22"/>
          <w:szCs w:val="22"/>
          <w:lang w:val="hr-HR"/>
        </w:rPr>
        <w:t>Upravljanje rizicima (nastavak)</w:t>
      </w:r>
    </w:p>
    <w:p w:rsidR="0017496E" w:rsidRPr="001567C8" w:rsidRDefault="00674AD9" w:rsidP="00DC6688">
      <w:pPr>
        <w:pStyle w:val="T1"/>
        <w:spacing w:before="120" w:line="300" w:lineRule="exact"/>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213DD6" w:rsidRPr="001567C8">
        <w:rPr>
          <w:rFonts w:asciiTheme="minorHAnsi" w:hAnsiTheme="minorHAnsi" w:cs="Arial"/>
          <w:sz w:val="22"/>
          <w:szCs w:val="22"/>
          <w:lang w:val="hr-HR"/>
        </w:rPr>
        <w:t>6</w:t>
      </w:r>
      <w:r w:rsidR="0017496E"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17496E" w:rsidRPr="001567C8">
        <w:rPr>
          <w:rFonts w:asciiTheme="minorHAnsi" w:hAnsiTheme="minorHAnsi" w:cs="Arial"/>
          <w:sz w:val="22"/>
          <w:szCs w:val="22"/>
          <w:lang w:val="hr-HR"/>
        </w:rPr>
        <w:t xml:space="preserve">. </w:t>
      </w:r>
      <w:r w:rsidR="00282D92" w:rsidRPr="001567C8">
        <w:rPr>
          <w:rFonts w:asciiTheme="minorHAnsi" w:hAnsiTheme="minorHAnsi" w:cs="Arial"/>
          <w:sz w:val="22"/>
          <w:szCs w:val="22"/>
          <w:lang w:val="hr-HR"/>
        </w:rPr>
        <w:t xml:space="preserve">    </w:t>
      </w:r>
      <w:r w:rsidR="0017496E" w:rsidRPr="001567C8">
        <w:rPr>
          <w:rFonts w:asciiTheme="minorHAnsi" w:hAnsiTheme="minorHAnsi" w:cs="Arial"/>
          <w:sz w:val="22"/>
          <w:szCs w:val="22"/>
          <w:lang w:val="hr-HR"/>
        </w:rPr>
        <w:t>Tržišni rizik (nastavak)</w:t>
      </w:r>
    </w:p>
    <w:p w:rsidR="0017496E" w:rsidRPr="001567C8" w:rsidRDefault="00674AD9" w:rsidP="00DC6688">
      <w:pPr>
        <w:pStyle w:val="T1"/>
        <w:spacing w:before="120" w:line="300" w:lineRule="exact"/>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213DD6" w:rsidRPr="001567C8">
        <w:rPr>
          <w:rFonts w:asciiTheme="minorHAnsi" w:hAnsiTheme="minorHAnsi" w:cs="Arial"/>
          <w:sz w:val="22"/>
          <w:szCs w:val="22"/>
          <w:lang w:val="hr-HR"/>
        </w:rPr>
        <w:t>6</w:t>
      </w:r>
      <w:r w:rsidR="0017496E"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17496E" w:rsidRPr="001567C8">
        <w:rPr>
          <w:rFonts w:asciiTheme="minorHAnsi" w:hAnsiTheme="minorHAnsi" w:cs="Arial"/>
          <w:sz w:val="22"/>
          <w:szCs w:val="22"/>
          <w:lang w:val="hr-HR"/>
        </w:rPr>
        <w:t xml:space="preserve">.2. </w:t>
      </w:r>
      <w:r w:rsidR="00282D92" w:rsidRPr="001567C8">
        <w:rPr>
          <w:rFonts w:asciiTheme="minorHAnsi" w:hAnsiTheme="minorHAnsi" w:cs="Arial"/>
          <w:sz w:val="22"/>
          <w:szCs w:val="22"/>
          <w:lang w:val="hr-HR"/>
        </w:rPr>
        <w:t xml:space="preserve"> </w:t>
      </w:r>
      <w:r w:rsidR="0017496E" w:rsidRPr="001567C8">
        <w:rPr>
          <w:rFonts w:asciiTheme="minorHAnsi" w:hAnsiTheme="minorHAnsi" w:cs="Arial"/>
          <w:sz w:val="22"/>
          <w:szCs w:val="22"/>
          <w:lang w:val="hr-HR"/>
        </w:rPr>
        <w:t>Valutni rizik (nastavak)</w:t>
      </w:r>
    </w:p>
    <w:p w:rsidR="00940A24" w:rsidRPr="001567C8" w:rsidRDefault="0017496E" w:rsidP="00DC6688">
      <w:pPr>
        <w:pStyle w:val="T1"/>
        <w:spacing w:before="120" w:after="0" w:line="300" w:lineRule="exact"/>
        <w:rPr>
          <w:rFonts w:asciiTheme="minorHAnsi" w:hAnsiTheme="minorHAnsi" w:cs="Arial"/>
          <w:b w:val="0"/>
          <w:sz w:val="22"/>
          <w:szCs w:val="22"/>
          <w:lang w:val="hr-HR"/>
        </w:rPr>
      </w:pPr>
      <w:r w:rsidRPr="001567C8">
        <w:rPr>
          <w:rFonts w:asciiTheme="minorHAnsi" w:hAnsiTheme="minorHAnsi" w:cs="Arial"/>
          <w:b w:val="0"/>
          <w:sz w:val="22"/>
          <w:szCs w:val="22"/>
          <w:lang w:val="hr-HR"/>
        </w:rPr>
        <w:t xml:space="preserve">Iznos ukupne </w:t>
      </w:r>
      <w:r w:rsidR="008D6072" w:rsidRPr="001567C8">
        <w:rPr>
          <w:rFonts w:asciiTheme="minorHAnsi" w:hAnsiTheme="minorHAnsi" w:cs="Arial"/>
          <w:b w:val="0"/>
          <w:sz w:val="22"/>
          <w:szCs w:val="22"/>
          <w:lang w:val="hr-HR"/>
        </w:rPr>
        <w:t>imovine</w:t>
      </w:r>
      <w:r w:rsidRPr="001567C8">
        <w:rPr>
          <w:rFonts w:asciiTheme="minorHAnsi" w:hAnsiTheme="minorHAnsi" w:cs="Arial"/>
          <w:b w:val="0"/>
          <w:sz w:val="22"/>
          <w:szCs w:val="22"/>
          <w:lang w:val="hr-HR"/>
        </w:rPr>
        <w:t xml:space="preserve"> i </w:t>
      </w:r>
      <w:r w:rsidR="00AC737A" w:rsidRPr="001567C8">
        <w:rPr>
          <w:rFonts w:asciiTheme="minorHAnsi" w:hAnsiTheme="minorHAnsi" w:cs="Arial"/>
          <w:b w:val="0"/>
          <w:sz w:val="22"/>
          <w:szCs w:val="22"/>
          <w:lang w:val="hr-HR"/>
        </w:rPr>
        <w:t xml:space="preserve">ukupnih </w:t>
      </w:r>
      <w:r w:rsidR="008D6072" w:rsidRPr="001567C8">
        <w:rPr>
          <w:rFonts w:asciiTheme="minorHAnsi" w:hAnsiTheme="minorHAnsi" w:cs="Arial"/>
          <w:b w:val="0"/>
          <w:sz w:val="22"/>
          <w:szCs w:val="22"/>
          <w:lang w:val="hr-HR"/>
        </w:rPr>
        <w:t>obveza</w:t>
      </w:r>
      <w:r w:rsidR="00282D92" w:rsidRPr="001567C8">
        <w:rPr>
          <w:rFonts w:asciiTheme="minorHAnsi" w:hAnsiTheme="minorHAnsi" w:cs="Arial"/>
          <w:b w:val="0"/>
          <w:sz w:val="22"/>
          <w:szCs w:val="22"/>
          <w:lang w:val="hr-HR"/>
        </w:rPr>
        <w:t xml:space="preserve"> na dan 31. prosinca </w:t>
      </w:r>
      <w:r w:rsidR="006F3062" w:rsidRPr="001567C8">
        <w:rPr>
          <w:rFonts w:asciiTheme="minorHAnsi" w:hAnsiTheme="minorHAnsi" w:cs="Arial"/>
          <w:b w:val="0"/>
          <w:sz w:val="22"/>
          <w:szCs w:val="22"/>
          <w:lang w:val="hr-HR"/>
        </w:rPr>
        <w:t>201</w:t>
      </w:r>
      <w:r w:rsidR="0002177D" w:rsidRPr="001567C8">
        <w:rPr>
          <w:rFonts w:asciiTheme="minorHAnsi" w:hAnsiTheme="minorHAnsi" w:cs="Arial"/>
          <w:b w:val="0"/>
          <w:sz w:val="22"/>
          <w:szCs w:val="22"/>
          <w:lang w:val="hr-HR"/>
        </w:rPr>
        <w:t>8</w:t>
      </w:r>
      <w:r w:rsidRPr="001567C8">
        <w:rPr>
          <w:rFonts w:asciiTheme="minorHAnsi" w:hAnsiTheme="minorHAnsi" w:cs="Arial"/>
          <w:b w:val="0"/>
          <w:sz w:val="22"/>
          <w:szCs w:val="22"/>
          <w:lang w:val="hr-HR"/>
        </w:rPr>
        <w:t>.</w:t>
      </w:r>
      <w:r w:rsidR="009B2B05" w:rsidRPr="001567C8">
        <w:rPr>
          <w:rFonts w:asciiTheme="minorHAnsi" w:hAnsiTheme="minorHAnsi" w:cs="Arial"/>
          <w:b w:val="0"/>
          <w:sz w:val="22"/>
          <w:szCs w:val="22"/>
          <w:lang w:val="hr-HR"/>
        </w:rPr>
        <w:t xml:space="preserve"> i 31. prosinca </w:t>
      </w:r>
      <w:r w:rsidR="006F3062" w:rsidRPr="001567C8">
        <w:rPr>
          <w:rFonts w:asciiTheme="minorHAnsi" w:hAnsiTheme="minorHAnsi" w:cs="Arial"/>
          <w:b w:val="0"/>
          <w:sz w:val="22"/>
          <w:szCs w:val="22"/>
          <w:lang w:val="hr-HR"/>
        </w:rPr>
        <w:t>201</w:t>
      </w:r>
      <w:r w:rsidR="0002177D" w:rsidRPr="001567C8">
        <w:rPr>
          <w:rFonts w:asciiTheme="minorHAnsi" w:hAnsiTheme="minorHAnsi" w:cs="Arial"/>
          <w:b w:val="0"/>
          <w:sz w:val="22"/>
          <w:szCs w:val="22"/>
          <w:lang w:val="hr-HR"/>
        </w:rPr>
        <w:t>7</w:t>
      </w:r>
      <w:r w:rsidRPr="001567C8">
        <w:rPr>
          <w:rFonts w:asciiTheme="minorHAnsi" w:hAnsiTheme="minorHAnsi" w:cs="Arial"/>
          <w:b w:val="0"/>
          <w:sz w:val="22"/>
          <w:szCs w:val="22"/>
          <w:lang w:val="hr-HR"/>
        </w:rPr>
        <w:t>. godine u</w:t>
      </w:r>
      <w:r w:rsidR="003119F2">
        <w:rPr>
          <w:rFonts w:asciiTheme="minorHAnsi" w:hAnsiTheme="minorHAnsi" w:cs="Arial"/>
          <w:b w:val="0"/>
          <w:sz w:val="22"/>
          <w:szCs w:val="22"/>
          <w:lang w:val="hr-HR"/>
        </w:rPr>
        <w:t xml:space="preserve"> </w:t>
      </w:r>
      <w:r w:rsidRPr="001567C8">
        <w:rPr>
          <w:rFonts w:asciiTheme="minorHAnsi" w:hAnsiTheme="minorHAnsi" w:cs="Arial"/>
          <w:b w:val="0"/>
          <w:sz w:val="22"/>
          <w:szCs w:val="22"/>
          <w:lang w:val="hr-HR"/>
        </w:rPr>
        <w:t>kunama i devizama</w:t>
      </w:r>
      <w:r w:rsidR="000640BE" w:rsidRPr="001567C8">
        <w:rPr>
          <w:rFonts w:asciiTheme="minorHAnsi" w:hAnsiTheme="minorHAnsi" w:cs="Arial"/>
          <w:b w:val="0"/>
          <w:sz w:val="22"/>
          <w:szCs w:val="22"/>
          <w:lang w:val="hr-HR"/>
        </w:rPr>
        <w:t>:</w:t>
      </w:r>
    </w:p>
    <w:p w:rsidR="006F3062" w:rsidRPr="001567C8" w:rsidRDefault="006F3062" w:rsidP="003C6BA3">
      <w:pPr>
        <w:tabs>
          <w:tab w:val="right" w:pos="1202"/>
        </w:tabs>
        <w:spacing w:line="240" w:lineRule="exact"/>
        <w:outlineLvl w:val="0"/>
        <w:rPr>
          <w:rFonts w:ascii="Calibri" w:hAnsi="Calibri" w:cs="Arial"/>
          <w:b/>
          <w:bCs/>
          <w:sz w:val="18"/>
          <w:szCs w:val="18"/>
          <w:lang w:val="hr-HR"/>
        </w:rPr>
      </w:pPr>
    </w:p>
    <w:tbl>
      <w:tblPr>
        <w:tblpPr w:leftFromText="180" w:rightFromText="180" w:vertAnchor="page" w:horzAnchor="margin" w:tblpY="4742"/>
        <w:tblW w:w="5167" w:type="pct"/>
        <w:tblLayout w:type="fixed"/>
        <w:tblCellMar>
          <w:left w:w="120" w:type="dxa"/>
          <w:right w:w="120" w:type="dxa"/>
        </w:tblCellMar>
        <w:tblLook w:val="0000" w:firstRow="0" w:lastRow="0" w:firstColumn="0" w:lastColumn="0" w:noHBand="0" w:noVBand="0"/>
      </w:tblPr>
      <w:tblGrid>
        <w:gridCol w:w="3030"/>
        <w:gridCol w:w="973"/>
        <w:gridCol w:w="1108"/>
        <w:gridCol w:w="1119"/>
        <w:gridCol w:w="1096"/>
        <w:gridCol w:w="1264"/>
        <w:gridCol w:w="1077"/>
      </w:tblGrid>
      <w:tr w:rsidR="0002177D" w:rsidRPr="001567C8" w:rsidTr="003C6BA3">
        <w:trPr>
          <w:trHeight w:val="399"/>
        </w:trPr>
        <w:tc>
          <w:tcPr>
            <w:tcW w:w="1567" w:type="pct"/>
            <w:vAlign w:val="bottom"/>
          </w:tcPr>
          <w:p w:rsidR="0002177D" w:rsidRPr="001567C8" w:rsidRDefault="0002177D" w:rsidP="00940A24">
            <w:pPr>
              <w:tabs>
                <w:tab w:val="right" w:pos="1202"/>
              </w:tabs>
              <w:spacing w:line="220" w:lineRule="exact"/>
              <w:outlineLvl w:val="0"/>
              <w:rPr>
                <w:rFonts w:ascii="Calibri" w:hAnsi="Calibri" w:cs="Arial"/>
                <w:b/>
                <w:sz w:val="18"/>
                <w:szCs w:val="18"/>
                <w:lang w:val="hr-HR"/>
              </w:rPr>
            </w:pPr>
            <w:r w:rsidRPr="001567C8">
              <w:rPr>
                <w:rFonts w:ascii="Calibri" w:hAnsi="Calibri" w:cs="Arial"/>
                <w:b/>
                <w:sz w:val="18"/>
                <w:szCs w:val="18"/>
                <w:lang w:val="hr-HR"/>
              </w:rPr>
              <w:t>Banka</w:t>
            </w:r>
          </w:p>
          <w:p w:rsidR="0002177D" w:rsidRPr="001567C8" w:rsidRDefault="0002177D" w:rsidP="00940A24">
            <w:pPr>
              <w:tabs>
                <w:tab w:val="right" w:pos="1202"/>
              </w:tabs>
              <w:spacing w:line="220" w:lineRule="exact"/>
              <w:outlineLvl w:val="0"/>
              <w:rPr>
                <w:rFonts w:ascii="Calibri" w:hAnsi="Calibri" w:cs="Arial"/>
                <w:b/>
                <w:sz w:val="18"/>
                <w:szCs w:val="18"/>
                <w:lang w:val="hr-HR"/>
              </w:rPr>
            </w:pPr>
          </w:p>
          <w:p w:rsidR="0002177D" w:rsidRPr="001567C8" w:rsidRDefault="00AD2EF7" w:rsidP="00940A24">
            <w:pPr>
              <w:tabs>
                <w:tab w:val="right" w:pos="1202"/>
              </w:tabs>
              <w:spacing w:line="220" w:lineRule="exact"/>
              <w:outlineLvl w:val="0"/>
              <w:rPr>
                <w:rFonts w:ascii="Calibri" w:hAnsi="Calibri" w:cs="Arial"/>
                <w:b/>
                <w:sz w:val="18"/>
                <w:szCs w:val="18"/>
                <w:lang w:val="hr-HR"/>
              </w:rPr>
            </w:pPr>
            <w:r>
              <w:rPr>
                <w:rFonts w:ascii="Calibri" w:hAnsi="Calibri" w:cs="Arial"/>
                <w:b/>
                <w:sz w:val="18"/>
                <w:szCs w:val="18"/>
                <w:lang w:val="hr-HR"/>
              </w:rPr>
              <w:t>31. prosin</w:t>
            </w:r>
            <w:r w:rsidR="0073283D" w:rsidRPr="001567C8">
              <w:rPr>
                <w:rFonts w:ascii="Calibri" w:hAnsi="Calibri" w:cs="Arial"/>
                <w:b/>
                <w:sz w:val="18"/>
                <w:szCs w:val="18"/>
                <w:lang w:val="hr-HR"/>
              </w:rPr>
              <w:t>c</w:t>
            </w:r>
            <w:r>
              <w:rPr>
                <w:rFonts w:ascii="Calibri" w:hAnsi="Calibri" w:cs="Arial"/>
                <w:b/>
                <w:sz w:val="18"/>
                <w:szCs w:val="18"/>
                <w:lang w:val="hr-HR"/>
              </w:rPr>
              <w:t>a</w:t>
            </w:r>
            <w:r w:rsidR="0073283D" w:rsidRPr="001567C8">
              <w:rPr>
                <w:rFonts w:ascii="Calibri" w:hAnsi="Calibri" w:cs="Arial"/>
                <w:b/>
                <w:sz w:val="18"/>
                <w:szCs w:val="18"/>
                <w:lang w:val="hr-HR"/>
              </w:rPr>
              <w:t xml:space="preserve"> </w:t>
            </w:r>
            <w:r w:rsidR="0002177D" w:rsidRPr="001567C8">
              <w:rPr>
                <w:rFonts w:ascii="Calibri" w:hAnsi="Calibri" w:cs="Arial"/>
                <w:b/>
                <w:sz w:val="18"/>
                <w:szCs w:val="18"/>
                <w:lang w:val="hr-HR"/>
              </w:rPr>
              <w:t>2018.</w:t>
            </w:r>
            <w:r w:rsidR="007C5023" w:rsidRPr="001567C8">
              <w:rPr>
                <w:rFonts w:ascii="Calibri" w:hAnsi="Calibri" w:cs="Arial"/>
                <w:b/>
                <w:sz w:val="18"/>
                <w:szCs w:val="18"/>
                <w:lang w:val="hr-HR"/>
              </w:rPr>
              <w:t xml:space="preserve"> godina</w:t>
            </w:r>
          </w:p>
        </w:tc>
        <w:tc>
          <w:tcPr>
            <w:tcW w:w="503"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USD</w:t>
            </w:r>
          </w:p>
        </w:tc>
        <w:tc>
          <w:tcPr>
            <w:tcW w:w="573"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 xml:space="preserve">EUR </w:t>
            </w:r>
          </w:p>
        </w:tc>
        <w:tc>
          <w:tcPr>
            <w:tcW w:w="579"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Ostale valute</w:t>
            </w:r>
          </w:p>
        </w:tc>
        <w:tc>
          <w:tcPr>
            <w:tcW w:w="567"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Ukupno strane valute</w:t>
            </w:r>
          </w:p>
        </w:tc>
        <w:tc>
          <w:tcPr>
            <w:tcW w:w="654"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Kune</w:t>
            </w:r>
          </w:p>
        </w:tc>
        <w:tc>
          <w:tcPr>
            <w:tcW w:w="557"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Ukupno</w:t>
            </w:r>
          </w:p>
        </w:tc>
      </w:tr>
      <w:tr w:rsidR="0002177D" w:rsidRPr="001567C8" w:rsidTr="003C6BA3">
        <w:trPr>
          <w:trHeight w:hRule="exact" w:val="211"/>
        </w:trPr>
        <w:tc>
          <w:tcPr>
            <w:tcW w:w="1567" w:type="pct"/>
          </w:tcPr>
          <w:p w:rsidR="0002177D" w:rsidRPr="001567C8" w:rsidRDefault="0002177D" w:rsidP="00940A24">
            <w:pPr>
              <w:tabs>
                <w:tab w:val="right" w:pos="1202"/>
              </w:tabs>
              <w:spacing w:line="220" w:lineRule="exact"/>
              <w:outlineLvl w:val="0"/>
              <w:rPr>
                <w:rFonts w:ascii="Calibri" w:hAnsi="Calibri" w:cs="Arial"/>
                <w:b/>
                <w:sz w:val="18"/>
                <w:szCs w:val="18"/>
                <w:lang w:val="hr-HR"/>
              </w:rPr>
            </w:pPr>
          </w:p>
        </w:tc>
        <w:tc>
          <w:tcPr>
            <w:tcW w:w="503"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000 kuna</w:t>
            </w:r>
          </w:p>
        </w:tc>
        <w:tc>
          <w:tcPr>
            <w:tcW w:w="573"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000 kuna</w:t>
            </w:r>
          </w:p>
        </w:tc>
        <w:tc>
          <w:tcPr>
            <w:tcW w:w="579"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000 kuna</w:t>
            </w:r>
          </w:p>
        </w:tc>
        <w:tc>
          <w:tcPr>
            <w:tcW w:w="567"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000 kuna</w:t>
            </w:r>
          </w:p>
        </w:tc>
        <w:tc>
          <w:tcPr>
            <w:tcW w:w="654"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000 kuna</w:t>
            </w:r>
          </w:p>
        </w:tc>
        <w:tc>
          <w:tcPr>
            <w:tcW w:w="557" w:type="pct"/>
          </w:tcPr>
          <w:p w:rsidR="0002177D" w:rsidRPr="001567C8" w:rsidRDefault="0002177D" w:rsidP="00940A24">
            <w:pPr>
              <w:tabs>
                <w:tab w:val="right" w:pos="1202"/>
              </w:tabs>
              <w:spacing w:line="220" w:lineRule="exact"/>
              <w:jc w:val="right"/>
              <w:outlineLvl w:val="0"/>
              <w:rPr>
                <w:rFonts w:ascii="Calibri" w:hAnsi="Calibri" w:cs="Arial"/>
                <w:b/>
                <w:sz w:val="18"/>
                <w:szCs w:val="18"/>
                <w:lang w:val="hr-HR"/>
              </w:rPr>
            </w:pPr>
            <w:r w:rsidRPr="001567C8">
              <w:rPr>
                <w:rFonts w:ascii="Calibri" w:hAnsi="Calibri" w:cs="Arial"/>
                <w:b/>
                <w:sz w:val="18"/>
                <w:szCs w:val="18"/>
                <w:lang w:val="hr-HR"/>
              </w:rPr>
              <w:t>000 kuna</w:t>
            </w:r>
          </w:p>
        </w:tc>
      </w:tr>
      <w:tr w:rsidR="0002177D" w:rsidRPr="001567C8" w:rsidTr="003C6BA3">
        <w:trPr>
          <w:trHeight w:val="261"/>
        </w:trPr>
        <w:tc>
          <w:tcPr>
            <w:tcW w:w="1567" w:type="pct"/>
          </w:tcPr>
          <w:p w:rsidR="0002177D" w:rsidRPr="001567C8" w:rsidRDefault="0002177D" w:rsidP="00940A24">
            <w:pPr>
              <w:tabs>
                <w:tab w:val="right" w:pos="1202"/>
              </w:tabs>
              <w:spacing w:line="240" w:lineRule="exact"/>
              <w:outlineLvl w:val="0"/>
              <w:rPr>
                <w:rFonts w:ascii="Calibri" w:hAnsi="Calibri" w:cs="Arial"/>
                <w:b/>
                <w:bCs/>
                <w:sz w:val="18"/>
                <w:szCs w:val="18"/>
                <w:lang w:val="hr-HR"/>
              </w:rPr>
            </w:pPr>
            <w:r w:rsidRPr="001567C8">
              <w:rPr>
                <w:rFonts w:ascii="Calibri" w:hAnsi="Calibri" w:cs="Arial"/>
                <w:b/>
                <w:bCs/>
                <w:sz w:val="18"/>
                <w:szCs w:val="18"/>
                <w:lang w:val="hr-HR"/>
              </w:rPr>
              <w:t>Imovina</w:t>
            </w:r>
          </w:p>
        </w:tc>
        <w:tc>
          <w:tcPr>
            <w:tcW w:w="503" w:type="pct"/>
            <w:vAlign w:val="bottom"/>
          </w:tcPr>
          <w:p w:rsidR="0002177D" w:rsidRPr="001567C8" w:rsidRDefault="0002177D" w:rsidP="003C6BA3">
            <w:pPr>
              <w:tabs>
                <w:tab w:val="right" w:pos="1202"/>
              </w:tabs>
              <w:spacing w:line="240" w:lineRule="exact"/>
              <w:outlineLvl w:val="0"/>
              <w:rPr>
                <w:rFonts w:ascii="Calibri" w:hAnsi="Calibri" w:cs="Arial"/>
                <w:b/>
                <w:bCs/>
                <w:sz w:val="18"/>
                <w:szCs w:val="18"/>
                <w:lang w:val="hr-HR"/>
              </w:rPr>
            </w:pPr>
          </w:p>
        </w:tc>
        <w:tc>
          <w:tcPr>
            <w:tcW w:w="573" w:type="pct"/>
            <w:vAlign w:val="bottom"/>
          </w:tcPr>
          <w:p w:rsidR="0002177D" w:rsidRPr="001567C8" w:rsidRDefault="0002177D" w:rsidP="003C6BA3">
            <w:pPr>
              <w:tabs>
                <w:tab w:val="right" w:pos="1202"/>
              </w:tabs>
              <w:spacing w:line="240" w:lineRule="exact"/>
              <w:outlineLvl w:val="0"/>
              <w:rPr>
                <w:rFonts w:ascii="Calibri" w:hAnsi="Calibri" w:cs="Arial"/>
                <w:b/>
                <w:bCs/>
                <w:sz w:val="18"/>
                <w:szCs w:val="18"/>
                <w:lang w:val="hr-HR"/>
              </w:rPr>
            </w:pPr>
          </w:p>
        </w:tc>
        <w:tc>
          <w:tcPr>
            <w:tcW w:w="579" w:type="pct"/>
            <w:vAlign w:val="bottom"/>
          </w:tcPr>
          <w:p w:rsidR="0002177D" w:rsidRPr="001567C8" w:rsidRDefault="0002177D" w:rsidP="003C6BA3">
            <w:pPr>
              <w:tabs>
                <w:tab w:val="right" w:pos="1202"/>
              </w:tabs>
              <w:spacing w:line="240" w:lineRule="exact"/>
              <w:outlineLvl w:val="0"/>
              <w:rPr>
                <w:rFonts w:ascii="Calibri" w:hAnsi="Calibri" w:cs="Arial"/>
                <w:b/>
                <w:bCs/>
                <w:sz w:val="18"/>
                <w:szCs w:val="18"/>
                <w:lang w:val="hr-HR"/>
              </w:rPr>
            </w:pPr>
          </w:p>
        </w:tc>
        <w:tc>
          <w:tcPr>
            <w:tcW w:w="567" w:type="pct"/>
            <w:vAlign w:val="bottom"/>
          </w:tcPr>
          <w:p w:rsidR="0002177D" w:rsidRPr="001567C8" w:rsidRDefault="0002177D" w:rsidP="003C6BA3">
            <w:pPr>
              <w:tabs>
                <w:tab w:val="right" w:pos="1202"/>
              </w:tabs>
              <w:spacing w:line="240" w:lineRule="exact"/>
              <w:outlineLvl w:val="0"/>
              <w:rPr>
                <w:rFonts w:ascii="Calibri" w:hAnsi="Calibri" w:cs="Arial"/>
                <w:b/>
                <w:bCs/>
                <w:sz w:val="18"/>
                <w:szCs w:val="18"/>
                <w:lang w:val="hr-HR"/>
              </w:rPr>
            </w:pPr>
          </w:p>
        </w:tc>
        <w:tc>
          <w:tcPr>
            <w:tcW w:w="654" w:type="pct"/>
            <w:vAlign w:val="bottom"/>
          </w:tcPr>
          <w:p w:rsidR="0002177D" w:rsidRPr="001567C8" w:rsidRDefault="0002177D" w:rsidP="003C6BA3">
            <w:pPr>
              <w:tabs>
                <w:tab w:val="right" w:pos="1202"/>
              </w:tabs>
              <w:spacing w:line="240" w:lineRule="exact"/>
              <w:outlineLvl w:val="0"/>
              <w:rPr>
                <w:rFonts w:ascii="Calibri" w:hAnsi="Calibri" w:cs="Arial"/>
                <w:b/>
                <w:bCs/>
                <w:sz w:val="18"/>
                <w:szCs w:val="18"/>
                <w:lang w:val="hr-HR"/>
              </w:rPr>
            </w:pPr>
          </w:p>
        </w:tc>
        <w:tc>
          <w:tcPr>
            <w:tcW w:w="557" w:type="pct"/>
            <w:vAlign w:val="bottom"/>
          </w:tcPr>
          <w:p w:rsidR="0002177D" w:rsidRPr="001567C8" w:rsidRDefault="0002177D" w:rsidP="003C6BA3">
            <w:pPr>
              <w:tabs>
                <w:tab w:val="right" w:pos="1202"/>
              </w:tabs>
              <w:spacing w:line="240" w:lineRule="exact"/>
              <w:outlineLvl w:val="0"/>
              <w:rPr>
                <w:rFonts w:ascii="Calibri" w:hAnsi="Calibri" w:cs="Arial"/>
                <w:b/>
                <w:bCs/>
                <w:sz w:val="18"/>
                <w:szCs w:val="18"/>
                <w:lang w:val="hr-HR"/>
              </w:rPr>
            </w:pP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pacing w:val="-2"/>
                <w:sz w:val="18"/>
                <w:szCs w:val="18"/>
                <w:lang w:val="hr-HR"/>
              </w:rPr>
              <w:t>Novčana sredstva i računi kod banaka</w:t>
            </w:r>
          </w:p>
        </w:tc>
        <w:tc>
          <w:tcPr>
            <w:tcW w:w="503" w:type="pct"/>
            <w:tcBorders>
              <w:top w:val="nil"/>
              <w:left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4.824 </w:t>
            </w:r>
          </w:p>
        </w:tc>
        <w:tc>
          <w:tcPr>
            <w:tcW w:w="573" w:type="pct"/>
            <w:tcBorders>
              <w:top w:val="nil"/>
              <w:left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15.188 </w:t>
            </w:r>
          </w:p>
        </w:tc>
        <w:tc>
          <w:tcPr>
            <w:tcW w:w="579" w:type="pct"/>
            <w:tcBorders>
              <w:top w:val="nil"/>
              <w:left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1.391 </w:t>
            </w:r>
          </w:p>
        </w:tc>
        <w:tc>
          <w:tcPr>
            <w:tcW w:w="567" w:type="pct"/>
            <w:tcBorders>
              <w:top w:val="nil"/>
              <w:left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21.403 </w:t>
            </w:r>
          </w:p>
        </w:tc>
        <w:tc>
          <w:tcPr>
            <w:tcW w:w="654" w:type="pct"/>
            <w:tcBorders>
              <w:top w:val="nil"/>
              <w:left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919.668</w:t>
            </w:r>
          </w:p>
        </w:tc>
        <w:tc>
          <w:tcPr>
            <w:tcW w:w="557" w:type="pct"/>
            <w:tcBorders>
              <w:top w:val="nil"/>
              <w:lef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941.071</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pacing w:val="-2"/>
                <w:sz w:val="18"/>
                <w:szCs w:val="18"/>
                <w:lang w:val="hr-HR"/>
              </w:rPr>
              <w:t>Depoziti kod drugih banaka</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40.545 </w:t>
            </w:r>
          </w:p>
        </w:tc>
        <w:tc>
          <w:tcPr>
            <w:tcW w:w="57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221.380 </w:t>
            </w:r>
          </w:p>
        </w:tc>
        <w:tc>
          <w:tcPr>
            <w:tcW w:w="579"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261.925 </w:t>
            </w:r>
          </w:p>
        </w:tc>
        <w:tc>
          <w:tcPr>
            <w:tcW w:w="654"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57" w:type="pct"/>
            <w:tcBorders>
              <w:top w:val="nil"/>
              <w:left w:val="nil"/>
              <w:bottom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261.925</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pacing w:val="-2"/>
                <w:sz w:val="18"/>
                <w:szCs w:val="18"/>
                <w:lang w:val="hr-HR"/>
              </w:rPr>
              <w:t>Krediti financijskim institucijama</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5.784.740 </w:t>
            </w:r>
          </w:p>
        </w:tc>
        <w:tc>
          <w:tcPr>
            <w:tcW w:w="579"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5.784.740 </w:t>
            </w:r>
          </w:p>
        </w:tc>
        <w:tc>
          <w:tcPr>
            <w:tcW w:w="654"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4.450.248</w:t>
            </w:r>
          </w:p>
        </w:tc>
        <w:tc>
          <w:tcPr>
            <w:tcW w:w="557" w:type="pct"/>
            <w:tcBorders>
              <w:top w:val="nil"/>
              <w:left w:val="nil"/>
              <w:bottom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10.234.988</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pacing w:val="-2"/>
                <w:sz w:val="18"/>
                <w:szCs w:val="18"/>
                <w:lang w:val="hr-HR"/>
              </w:rPr>
              <w:t>Krediti ostalim korisnicima</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635.501 </w:t>
            </w:r>
          </w:p>
        </w:tc>
        <w:tc>
          <w:tcPr>
            <w:tcW w:w="57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7.866.575 </w:t>
            </w:r>
          </w:p>
        </w:tc>
        <w:tc>
          <w:tcPr>
            <w:tcW w:w="579"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8.502.076 </w:t>
            </w:r>
          </w:p>
        </w:tc>
        <w:tc>
          <w:tcPr>
            <w:tcW w:w="654"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4.008.610</w:t>
            </w:r>
          </w:p>
        </w:tc>
        <w:tc>
          <w:tcPr>
            <w:tcW w:w="557" w:type="pct"/>
            <w:tcBorders>
              <w:top w:val="nil"/>
              <w:left w:val="nil"/>
              <w:bottom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12.510.686</w:t>
            </w:r>
          </w:p>
        </w:tc>
      </w:tr>
      <w:tr w:rsidR="009B7EFC" w:rsidRPr="001567C8" w:rsidTr="003C6BA3">
        <w:trPr>
          <w:trHeight w:hRule="exact" w:val="574"/>
        </w:trPr>
        <w:tc>
          <w:tcPr>
            <w:tcW w:w="1567" w:type="pct"/>
            <w:vAlign w:val="bottom"/>
          </w:tcPr>
          <w:p w:rsidR="0002177D" w:rsidRPr="001567C8" w:rsidRDefault="0002177D" w:rsidP="003C6BA3">
            <w:pPr>
              <w:tabs>
                <w:tab w:val="right" w:pos="1202"/>
              </w:tabs>
              <w:spacing w:line="240" w:lineRule="exact"/>
              <w:outlineLvl w:val="0"/>
              <w:rPr>
                <w:rFonts w:ascii="Calibri" w:hAnsi="Calibri" w:cs="Arial"/>
                <w:spacing w:val="-2"/>
                <w:sz w:val="18"/>
                <w:szCs w:val="18"/>
                <w:lang w:val="hr-HR"/>
              </w:rPr>
            </w:pPr>
            <w:r w:rsidRPr="001567C8">
              <w:rPr>
                <w:rFonts w:ascii="Calibri" w:hAnsi="Calibri"/>
                <w:sz w:val="18"/>
                <w:szCs w:val="18"/>
                <w:lang w:val="hr-HR"/>
              </w:rPr>
              <w:t xml:space="preserve">Financijska imovina po fer vrijednosti kroz </w:t>
            </w:r>
            <w:r w:rsidR="008A2CC2" w:rsidRPr="001567C8">
              <w:rPr>
                <w:rFonts w:ascii="Calibri" w:hAnsi="Calibri"/>
                <w:sz w:val="18"/>
                <w:szCs w:val="18"/>
                <w:lang w:val="hr-HR"/>
              </w:rPr>
              <w:t>dobit ili gubitak</w:t>
            </w:r>
          </w:p>
        </w:tc>
        <w:tc>
          <w:tcPr>
            <w:tcW w:w="503"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3"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46.807 </w:t>
            </w:r>
          </w:p>
        </w:tc>
        <w:tc>
          <w:tcPr>
            <w:tcW w:w="579"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46.807 </w:t>
            </w:r>
          </w:p>
        </w:tc>
        <w:tc>
          <w:tcPr>
            <w:tcW w:w="654"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283.996</w:t>
            </w:r>
          </w:p>
        </w:tc>
        <w:tc>
          <w:tcPr>
            <w:tcW w:w="557" w:type="pct"/>
            <w:tcBorders>
              <w:top w:val="nil"/>
              <w:left w:val="nil"/>
              <w:bottom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330.803</w:t>
            </w:r>
          </w:p>
        </w:tc>
      </w:tr>
      <w:tr w:rsidR="00940A24" w:rsidRPr="001567C8" w:rsidTr="003C6BA3">
        <w:trPr>
          <w:trHeight w:hRule="exact" w:val="568"/>
        </w:trPr>
        <w:tc>
          <w:tcPr>
            <w:tcW w:w="1567" w:type="pct"/>
            <w:vAlign w:val="bottom"/>
          </w:tcPr>
          <w:p w:rsidR="0002177D" w:rsidRPr="001567C8" w:rsidRDefault="0002177D" w:rsidP="003C6BA3">
            <w:pPr>
              <w:tabs>
                <w:tab w:val="right" w:pos="1202"/>
              </w:tabs>
              <w:spacing w:line="240" w:lineRule="exact"/>
              <w:outlineLvl w:val="0"/>
              <w:rPr>
                <w:rFonts w:ascii="Calibri" w:hAnsi="Calibri" w:cs="Arial"/>
                <w:spacing w:val="-2"/>
                <w:sz w:val="18"/>
                <w:szCs w:val="18"/>
                <w:lang w:val="hr-HR"/>
              </w:rPr>
            </w:pPr>
            <w:r w:rsidRPr="001567C8">
              <w:rPr>
                <w:rFonts w:ascii="Calibri" w:hAnsi="Calibri"/>
                <w:sz w:val="18"/>
                <w:szCs w:val="18"/>
                <w:lang w:val="hr-HR"/>
              </w:rPr>
              <w:t>Financijska imovina po fer vrijednosti kroz ostalu sveobuhvatnu dobit</w:t>
            </w:r>
          </w:p>
        </w:tc>
        <w:tc>
          <w:tcPr>
            <w:tcW w:w="503"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3"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611.072 </w:t>
            </w:r>
          </w:p>
        </w:tc>
        <w:tc>
          <w:tcPr>
            <w:tcW w:w="579"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611.072 </w:t>
            </w:r>
          </w:p>
        </w:tc>
        <w:tc>
          <w:tcPr>
            <w:tcW w:w="654"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2.181.000</w:t>
            </w:r>
          </w:p>
        </w:tc>
        <w:tc>
          <w:tcPr>
            <w:tcW w:w="557" w:type="pct"/>
            <w:tcBorders>
              <w:top w:val="nil"/>
              <w:left w:val="nil"/>
              <w:bottom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2.792.072</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pacing w:val="-2"/>
                <w:sz w:val="18"/>
                <w:szCs w:val="18"/>
                <w:lang w:val="hr-HR"/>
              </w:rPr>
            </w:pPr>
            <w:r w:rsidRPr="001567C8">
              <w:rPr>
                <w:rFonts w:ascii="Calibri" w:hAnsi="Calibri" w:cs="Arial"/>
                <w:spacing w:val="-2"/>
                <w:sz w:val="18"/>
                <w:szCs w:val="18"/>
                <w:lang w:val="hr-HR"/>
              </w:rPr>
              <w:t>Ulaganja u ovisna društva</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9"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654"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36.124</w:t>
            </w:r>
          </w:p>
        </w:tc>
        <w:tc>
          <w:tcPr>
            <w:tcW w:w="557" w:type="pct"/>
            <w:tcBorders>
              <w:top w:val="nil"/>
              <w:left w:val="nil"/>
              <w:bottom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36.124</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pacing w:val="-2"/>
                <w:sz w:val="18"/>
                <w:szCs w:val="18"/>
                <w:lang w:val="hr-HR"/>
              </w:rPr>
              <w:t>Nekretnine, postrojenja i oprema i nematerijalna imovina</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9"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654"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50.764</w:t>
            </w:r>
          </w:p>
        </w:tc>
        <w:tc>
          <w:tcPr>
            <w:tcW w:w="557" w:type="pct"/>
            <w:tcBorders>
              <w:top w:val="nil"/>
              <w:left w:val="nil"/>
              <w:bottom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50.764</w:t>
            </w:r>
          </w:p>
        </w:tc>
      </w:tr>
      <w:tr w:rsidR="0002177D" w:rsidRPr="001567C8" w:rsidTr="0051728E">
        <w:trPr>
          <w:trHeight w:hRule="exact" w:val="296"/>
        </w:trPr>
        <w:tc>
          <w:tcPr>
            <w:tcW w:w="1567" w:type="pct"/>
            <w:vAlign w:val="bottom"/>
          </w:tcPr>
          <w:p w:rsidR="0002177D" w:rsidRPr="001567C8" w:rsidRDefault="0051728E" w:rsidP="006C28B0">
            <w:pPr>
              <w:tabs>
                <w:tab w:val="right" w:pos="1202"/>
              </w:tabs>
              <w:spacing w:line="240" w:lineRule="exact"/>
              <w:outlineLvl w:val="0"/>
              <w:rPr>
                <w:rFonts w:ascii="Calibri" w:hAnsi="Calibri" w:cs="Arial"/>
                <w:sz w:val="18"/>
                <w:szCs w:val="18"/>
                <w:lang w:val="hr-HR"/>
              </w:rPr>
            </w:pPr>
            <w:r w:rsidRPr="0051728E">
              <w:rPr>
                <w:rFonts w:ascii="Calibri" w:hAnsi="Calibri" w:cs="Arial"/>
                <w:spacing w:val="-2"/>
                <w:sz w:val="18"/>
                <w:szCs w:val="18"/>
                <w:lang w:val="hr-HR"/>
              </w:rPr>
              <w:t>Preuzeta imovina</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9"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654"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25.330</w:t>
            </w:r>
          </w:p>
        </w:tc>
        <w:tc>
          <w:tcPr>
            <w:tcW w:w="557" w:type="pct"/>
            <w:tcBorders>
              <w:top w:val="nil"/>
              <w:left w:val="nil"/>
              <w:bottom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25.330</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pacing w:val="-2"/>
                <w:sz w:val="18"/>
                <w:szCs w:val="18"/>
                <w:lang w:val="hr-HR"/>
              </w:rPr>
              <w:t>Ostala imovina</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110 </w:t>
            </w:r>
          </w:p>
        </w:tc>
        <w:tc>
          <w:tcPr>
            <w:tcW w:w="579"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110</w:t>
            </w:r>
          </w:p>
        </w:tc>
        <w:tc>
          <w:tcPr>
            <w:tcW w:w="654"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15.054</w:t>
            </w:r>
          </w:p>
        </w:tc>
        <w:tc>
          <w:tcPr>
            <w:tcW w:w="557" w:type="pct"/>
            <w:tcBorders>
              <w:top w:val="nil"/>
              <w:left w:val="nil"/>
              <w:bottom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15.164</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b/>
                <w:bCs/>
                <w:sz w:val="18"/>
                <w:szCs w:val="18"/>
                <w:lang w:val="hr-HR"/>
              </w:rPr>
            </w:pPr>
            <w:r w:rsidRPr="001567C8">
              <w:rPr>
                <w:rFonts w:ascii="Calibri" w:hAnsi="Calibri" w:cs="Arial"/>
                <w:b/>
                <w:bCs/>
                <w:sz w:val="18"/>
                <w:szCs w:val="18"/>
                <w:lang w:val="hr-HR"/>
              </w:rPr>
              <w:t>Ukupna imovina</w:t>
            </w:r>
          </w:p>
        </w:tc>
        <w:tc>
          <w:tcPr>
            <w:tcW w:w="503" w:type="pct"/>
            <w:tcBorders>
              <w:top w:val="single" w:sz="4" w:space="0" w:color="000000"/>
              <w:bottom w:val="single" w:sz="8" w:space="0" w:color="000000"/>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 xml:space="preserve"> 680.870 </w:t>
            </w:r>
          </w:p>
        </w:tc>
        <w:tc>
          <w:tcPr>
            <w:tcW w:w="573" w:type="pct"/>
            <w:tcBorders>
              <w:top w:val="single" w:sz="4" w:space="0" w:color="000000"/>
              <w:bottom w:val="single" w:sz="8" w:space="0" w:color="000000"/>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14.545.872</w:t>
            </w:r>
          </w:p>
        </w:tc>
        <w:tc>
          <w:tcPr>
            <w:tcW w:w="579" w:type="pct"/>
            <w:tcBorders>
              <w:top w:val="single" w:sz="4" w:space="0" w:color="000000"/>
              <w:bottom w:val="single" w:sz="8" w:space="0" w:color="000000"/>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 xml:space="preserve"> 1.391 </w:t>
            </w:r>
          </w:p>
        </w:tc>
        <w:tc>
          <w:tcPr>
            <w:tcW w:w="567" w:type="pct"/>
            <w:tcBorders>
              <w:top w:val="single" w:sz="4" w:space="0" w:color="000000"/>
              <w:bottom w:val="single" w:sz="8" w:space="0" w:color="000000"/>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15.228.133</w:t>
            </w:r>
          </w:p>
        </w:tc>
        <w:tc>
          <w:tcPr>
            <w:tcW w:w="654" w:type="pct"/>
            <w:tcBorders>
              <w:top w:val="single" w:sz="4" w:space="0" w:color="000000"/>
              <w:bottom w:val="single" w:sz="8" w:space="0" w:color="000000"/>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11.970.794*</w:t>
            </w:r>
          </w:p>
        </w:tc>
        <w:tc>
          <w:tcPr>
            <w:tcW w:w="557" w:type="pct"/>
            <w:tcBorders>
              <w:top w:val="single" w:sz="4" w:space="0" w:color="000000"/>
              <w:bottom w:val="single" w:sz="8" w:space="0" w:color="000000"/>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27.198.927</w:t>
            </w:r>
          </w:p>
        </w:tc>
      </w:tr>
      <w:tr w:rsidR="0002177D" w:rsidRPr="001567C8" w:rsidTr="003C6BA3">
        <w:trPr>
          <w:trHeight w:val="247"/>
        </w:trPr>
        <w:tc>
          <w:tcPr>
            <w:tcW w:w="1567" w:type="pct"/>
            <w:vAlign w:val="bottom"/>
          </w:tcPr>
          <w:p w:rsidR="0002177D" w:rsidRPr="001567C8" w:rsidRDefault="0002177D" w:rsidP="006C28B0">
            <w:pPr>
              <w:tabs>
                <w:tab w:val="right" w:pos="1202"/>
              </w:tabs>
              <w:spacing w:line="240" w:lineRule="exact"/>
              <w:outlineLvl w:val="0"/>
              <w:rPr>
                <w:rFonts w:ascii="Calibri" w:hAnsi="Calibri" w:cs="Arial"/>
                <w:b/>
                <w:bCs/>
                <w:sz w:val="18"/>
                <w:szCs w:val="18"/>
                <w:lang w:val="hr-HR"/>
              </w:rPr>
            </w:pPr>
            <w:r w:rsidRPr="001567C8">
              <w:rPr>
                <w:rFonts w:ascii="Calibri" w:hAnsi="Calibri" w:cs="Arial"/>
                <w:b/>
                <w:bCs/>
                <w:sz w:val="18"/>
                <w:szCs w:val="18"/>
                <w:lang w:val="hr-HR"/>
              </w:rPr>
              <w:t>Obveze</w:t>
            </w:r>
          </w:p>
        </w:tc>
        <w:tc>
          <w:tcPr>
            <w:tcW w:w="503" w:type="pct"/>
            <w:tcBorders>
              <w:top w:val="single" w:sz="12" w:space="0" w:color="000000"/>
            </w:tcBorders>
            <w:vAlign w:val="bottom"/>
          </w:tcPr>
          <w:p w:rsidR="0002177D" w:rsidRPr="001567C8" w:rsidRDefault="0002177D" w:rsidP="006C28B0">
            <w:pPr>
              <w:spacing w:line="240" w:lineRule="exact"/>
              <w:ind w:left="-123"/>
              <w:jc w:val="right"/>
              <w:rPr>
                <w:rFonts w:ascii="Calibri" w:hAnsi="Calibri"/>
                <w:spacing w:val="-2"/>
                <w:sz w:val="18"/>
                <w:szCs w:val="18"/>
                <w:lang w:val="hr-HR"/>
              </w:rPr>
            </w:pPr>
          </w:p>
        </w:tc>
        <w:tc>
          <w:tcPr>
            <w:tcW w:w="573" w:type="pct"/>
            <w:tcBorders>
              <w:top w:val="single" w:sz="12" w:space="0" w:color="000000"/>
            </w:tcBorders>
            <w:vAlign w:val="bottom"/>
          </w:tcPr>
          <w:p w:rsidR="0002177D" w:rsidRPr="001567C8" w:rsidRDefault="0002177D" w:rsidP="006C28B0">
            <w:pPr>
              <w:spacing w:line="240" w:lineRule="exact"/>
              <w:jc w:val="right"/>
              <w:rPr>
                <w:rFonts w:ascii="Calibri" w:hAnsi="Calibri"/>
                <w:spacing w:val="-2"/>
                <w:sz w:val="18"/>
                <w:szCs w:val="18"/>
                <w:lang w:val="hr-HR"/>
              </w:rPr>
            </w:pPr>
          </w:p>
        </w:tc>
        <w:tc>
          <w:tcPr>
            <w:tcW w:w="579" w:type="pct"/>
            <w:tcBorders>
              <w:top w:val="single" w:sz="12" w:space="0" w:color="000000"/>
            </w:tcBorders>
            <w:vAlign w:val="bottom"/>
          </w:tcPr>
          <w:p w:rsidR="0002177D" w:rsidRPr="001567C8" w:rsidRDefault="0002177D" w:rsidP="006C28B0">
            <w:pPr>
              <w:spacing w:line="240" w:lineRule="exact"/>
              <w:jc w:val="right"/>
              <w:rPr>
                <w:rFonts w:ascii="Calibri" w:hAnsi="Calibri"/>
                <w:spacing w:val="-2"/>
                <w:sz w:val="18"/>
                <w:szCs w:val="18"/>
                <w:lang w:val="hr-HR"/>
              </w:rPr>
            </w:pPr>
          </w:p>
        </w:tc>
        <w:tc>
          <w:tcPr>
            <w:tcW w:w="567" w:type="pct"/>
            <w:tcBorders>
              <w:top w:val="single" w:sz="12" w:space="0" w:color="000000"/>
            </w:tcBorders>
            <w:vAlign w:val="bottom"/>
          </w:tcPr>
          <w:p w:rsidR="0002177D" w:rsidRPr="001567C8" w:rsidRDefault="0002177D" w:rsidP="006C28B0">
            <w:pPr>
              <w:spacing w:line="240" w:lineRule="exact"/>
              <w:jc w:val="right"/>
              <w:rPr>
                <w:rFonts w:ascii="Calibri" w:hAnsi="Calibri"/>
                <w:spacing w:val="-2"/>
                <w:sz w:val="18"/>
                <w:szCs w:val="18"/>
                <w:lang w:val="hr-HR"/>
              </w:rPr>
            </w:pPr>
          </w:p>
        </w:tc>
        <w:tc>
          <w:tcPr>
            <w:tcW w:w="654" w:type="pct"/>
            <w:tcBorders>
              <w:top w:val="single" w:sz="12" w:space="0" w:color="000000"/>
            </w:tcBorders>
            <w:vAlign w:val="bottom"/>
          </w:tcPr>
          <w:p w:rsidR="0002177D" w:rsidRPr="001567C8" w:rsidRDefault="0002177D" w:rsidP="006C28B0">
            <w:pPr>
              <w:spacing w:line="240" w:lineRule="exact"/>
              <w:jc w:val="right"/>
              <w:rPr>
                <w:rFonts w:ascii="Calibri" w:hAnsi="Calibri"/>
                <w:spacing w:val="-2"/>
                <w:sz w:val="18"/>
                <w:szCs w:val="18"/>
                <w:lang w:val="hr-HR"/>
              </w:rPr>
            </w:pPr>
          </w:p>
        </w:tc>
        <w:tc>
          <w:tcPr>
            <w:tcW w:w="557" w:type="pct"/>
            <w:tcBorders>
              <w:top w:val="single" w:sz="12" w:space="0" w:color="000000"/>
            </w:tcBorders>
            <w:vAlign w:val="bottom"/>
          </w:tcPr>
          <w:p w:rsidR="0002177D" w:rsidRPr="001567C8" w:rsidRDefault="0002177D" w:rsidP="006C28B0">
            <w:pPr>
              <w:spacing w:line="240" w:lineRule="exact"/>
              <w:jc w:val="right"/>
              <w:rPr>
                <w:rFonts w:ascii="Calibri" w:hAnsi="Calibri"/>
                <w:b/>
                <w:sz w:val="18"/>
                <w:szCs w:val="18"/>
                <w:lang w:val="hr-HR"/>
              </w:rPr>
            </w:pP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z w:val="18"/>
                <w:szCs w:val="18"/>
                <w:lang w:val="hr-HR"/>
              </w:rPr>
              <w:t>Obveze po depozitima</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20.526 </w:t>
            </w:r>
          </w:p>
        </w:tc>
        <w:tc>
          <w:tcPr>
            <w:tcW w:w="573"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161.858</w:t>
            </w:r>
          </w:p>
        </w:tc>
        <w:tc>
          <w:tcPr>
            <w:tcW w:w="579"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80 </w:t>
            </w:r>
          </w:p>
        </w:tc>
        <w:tc>
          <w:tcPr>
            <w:tcW w:w="567"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182.464 </w:t>
            </w:r>
          </w:p>
        </w:tc>
        <w:tc>
          <w:tcPr>
            <w:tcW w:w="654" w:type="pct"/>
            <w:tcBorders>
              <w:top w:val="nil"/>
              <w:left w:val="nil"/>
              <w:bottom w:val="nil"/>
              <w:right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 xml:space="preserve"> 246.632 </w:t>
            </w:r>
          </w:p>
        </w:tc>
        <w:tc>
          <w:tcPr>
            <w:tcW w:w="557" w:type="pct"/>
            <w:tcBorders>
              <w:top w:val="nil"/>
              <w:left w:val="nil"/>
              <w:bottom w:val="nil"/>
            </w:tcBorders>
            <w:vAlign w:val="bottom"/>
          </w:tcPr>
          <w:p w:rsidR="0002177D" w:rsidRPr="001567C8" w:rsidRDefault="0002177D" w:rsidP="003C6BA3">
            <w:pPr>
              <w:spacing w:line="240" w:lineRule="exact"/>
              <w:jc w:val="right"/>
              <w:rPr>
                <w:rFonts w:ascii="Calibri" w:hAnsi="Calibri"/>
                <w:sz w:val="18"/>
                <w:szCs w:val="18"/>
                <w:lang w:val="hr-HR"/>
              </w:rPr>
            </w:pPr>
            <w:r w:rsidRPr="001567C8">
              <w:rPr>
                <w:rFonts w:ascii="Calibri" w:hAnsi="Calibri"/>
                <w:sz w:val="18"/>
                <w:szCs w:val="18"/>
                <w:lang w:val="hr-HR"/>
              </w:rPr>
              <w:t>429.096</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z w:val="18"/>
                <w:szCs w:val="18"/>
                <w:lang w:val="hr-HR"/>
              </w:rPr>
              <w:t>Obveze po kreditima</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688.500 </w:t>
            </w:r>
          </w:p>
        </w:tc>
        <w:tc>
          <w:tcPr>
            <w:tcW w:w="57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14.189.487 </w:t>
            </w:r>
          </w:p>
        </w:tc>
        <w:tc>
          <w:tcPr>
            <w:tcW w:w="579"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3C6BA3">
            <w:pPr>
              <w:spacing w:line="240" w:lineRule="exact"/>
              <w:jc w:val="center"/>
              <w:rPr>
                <w:rFonts w:ascii="Calibri" w:hAnsi="Calibri"/>
                <w:sz w:val="18"/>
                <w:szCs w:val="18"/>
                <w:lang w:val="hr-HR"/>
              </w:rPr>
            </w:pPr>
            <w:r w:rsidRPr="001567C8">
              <w:rPr>
                <w:rFonts w:ascii="Calibri" w:hAnsi="Calibri"/>
                <w:sz w:val="18"/>
                <w:szCs w:val="18"/>
                <w:lang w:val="hr-HR"/>
              </w:rPr>
              <w:t xml:space="preserve">14.877.987 </w:t>
            </w:r>
          </w:p>
        </w:tc>
        <w:tc>
          <w:tcPr>
            <w:tcW w:w="654"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57" w:type="pct"/>
            <w:tcBorders>
              <w:top w:val="nil"/>
              <w:left w:val="nil"/>
              <w:bottom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14.877.987</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z w:val="18"/>
                <w:szCs w:val="18"/>
                <w:lang w:val="hr-HR"/>
              </w:rPr>
              <w:t>Obveze za izdane dugoročne vrijednosne papire</w:t>
            </w:r>
          </w:p>
        </w:tc>
        <w:tc>
          <w:tcPr>
            <w:tcW w:w="50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73"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1.150.557 </w:t>
            </w:r>
          </w:p>
        </w:tc>
        <w:tc>
          <w:tcPr>
            <w:tcW w:w="579"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67"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1.150.557 </w:t>
            </w:r>
          </w:p>
        </w:tc>
        <w:tc>
          <w:tcPr>
            <w:tcW w:w="654" w:type="pct"/>
            <w:tcBorders>
              <w:top w:val="nil"/>
              <w:left w:val="nil"/>
              <w:bottom w:val="nil"/>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 </w:t>
            </w:r>
          </w:p>
        </w:tc>
        <w:tc>
          <w:tcPr>
            <w:tcW w:w="557" w:type="pct"/>
            <w:tcBorders>
              <w:top w:val="nil"/>
              <w:left w:val="nil"/>
              <w:bottom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1.150.557</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sz w:val="18"/>
                <w:szCs w:val="18"/>
                <w:lang w:val="hr-HR"/>
              </w:rPr>
            </w:pPr>
            <w:r w:rsidRPr="001567C8">
              <w:rPr>
                <w:rFonts w:ascii="Calibri" w:hAnsi="Calibri" w:cs="Arial"/>
                <w:sz w:val="18"/>
                <w:szCs w:val="18"/>
                <w:lang w:val="hr-HR"/>
              </w:rPr>
              <w:t>Ostale obveze</w:t>
            </w:r>
          </w:p>
        </w:tc>
        <w:tc>
          <w:tcPr>
            <w:tcW w:w="503" w:type="pct"/>
            <w:tcBorders>
              <w:top w:val="nil"/>
              <w:left w:val="nil"/>
              <w:bottom w:val="single" w:sz="4" w:space="0" w:color="auto"/>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58.379 </w:t>
            </w:r>
          </w:p>
        </w:tc>
        <w:tc>
          <w:tcPr>
            <w:tcW w:w="573" w:type="pct"/>
            <w:tcBorders>
              <w:top w:val="nil"/>
              <w:left w:val="nil"/>
              <w:bottom w:val="single" w:sz="4" w:space="0" w:color="auto"/>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118.213 </w:t>
            </w:r>
          </w:p>
        </w:tc>
        <w:tc>
          <w:tcPr>
            <w:tcW w:w="579" w:type="pct"/>
            <w:tcBorders>
              <w:top w:val="nil"/>
              <w:left w:val="nil"/>
              <w:bottom w:val="single" w:sz="4" w:space="0" w:color="auto"/>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268 </w:t>
            </w:r>
          </w:p>
        </w:tc>
        <w:tc>
          <w:tcPr>
            <w:tcW w:w="567" w:type="pct"/>
            <w:tcBorders>
              <w:top w:val="nil"/>
              <w:left w:val="nil"/>
              <w:bottom w:val="single" w:sz="4" w:space="0" w:color="auto"/>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176.860 </w:t>
            </w:r>
          </w:p>
        </w:tc>
        <w:tc>
          <w:tcPr>
            <w:tcW w:w="654" w:type="pct"/>
            <w:tcBorders>
              <w:top w:val="nil"/>
              <w:left w:val="nil"/>
              <w:bottom w:val="single" w:sz="4" w:space="0" w:color="auto"/>
              <w:right w:val="nil"/>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 xml:space="preserve"> 510.415 </w:t>
            </w:r>
          </w:p>
        </w:tc>
        <w:tc>
          <w:tcPr>
            <w:tcW w:w="557" w:type="pct"/>
            <w:tcBorders>
              <w:top w:val="nil"/>
              <w:left w:val="nil"/>
              <w:bottom w:val="single" w:sz="4" w:space="0" w:color="auto"/>
            </w:tcBorders>
            <w:vAlign w:val="bottom"/>
          </w:tcPr>
          <w:p w:rsidR="0002177D" w:rsidRPr="001567C8" w:rsidRDefault="0002177D" w:rsidP="006C28B0">
            <w:pPr>
              <w:spacing w:line="240" w:lineRule="exact"/>
              <w:jc w:val="right"/>
              <w:rPr>
                <w:rFonts w:ascii="Calibri" w:hAnsi="Calibri"/>
                <w:sz w:val="18"/>
                <w:szCs w:val="18"/>
                <w:lang w:val="hr-HR"/>
              </w:rPr>
            </w:pPr>
            <w:r w:rsidRPr="001567C8">
              <w:rPr>
                <w:rFonts w:ascii="Calibri" w:hAnsi="Calibri"/>
                <w:sz w:val="18"/>
                <w:szCs w:val="18"/>
                <w:lang w:val="hr-HR"/>
              </w:rPr>
              <w:t>687.275</w:t>
            </w:r>
          </w:p>
        </w:tc>
      </w:tr>
      <w:tr w:rsidR="0002177D" w:rsidRPr="001567C8" w:rsidTr="003C6BA3">
        <w:trPr>
          <w:trHeight w:hRule="exact" w:val="282"/>
        </w:trPr>
        <w:tc>
          <w:tcPr>
            <w:tcW w:w="1567" w:type="pct"/>
            <w:vAlign w:val="bottom"/>
          </w:tcPr>
          <w:p w:rsidR="0002177D" w:rsidRPr="001567C8" w:rsidRDefault="0002177D" w:rsidP="006C28B0">
            <w:pPr>
              <w:tabs>
                <w:tab w:val="right" w:pos="1202"/>
              </w:tabs>
              <w:spacing w:line="240" w:lineRule="exact"/>
              <w:outlineLvl w:val="0"/>
              <w:rPr>
                <w:rFonts w:ascii="Calibri" w:hAnsi="Calibri" w:cs="Arial"/>
                <w:b/>
                <w:bCs/>
                <w:sz w:val="18"/>
                <w:szCs w:val="18"/>
                <w:lang w:val="hr-HR"/>
              </w:rPr>
            </w:pPr>
            <w:r w:rsidRPr="001567C8">
              <w:rPr>
                <w:rFonts w:ascii="Calibri" w:hAnsi="Calibri" w:cs="Arial"/>
                <w:b/>
                <w:bCs/>
                <w:sz w:val="18"/>
                <w:szCs w:val="18"/>
                <w:lang w:val="hr-HR"/>
              </w:rPr>
              <w:t>Ukupn</w:t>
            </w:r>
            <w:r w:rsidR="00B81041" w:rsidRPr="001567C8">
              <w:rPr>
                <w:rFonts w:ascii="Calibri" w:hAnsi="Calibri" w:cs="Arial"/>
                <w:b/>
                <w:bCs/>
                <w:sz w:val="18"/>
                <w:szCs w:val="18"/>
                <w:lang w:val="hr-HR"/>
              </w:rPr>
              <w:t>e</w:t>
            </w:r>
            <w:r w:rsidRPr="001567C8">
              <w:rPr>
                <w:rFonts w:ascii="Calibri" w:hAnsi="Calibri" w:cs="Arial"/>
                <w:b/>
                <w:bCs/>
                <w:sz w:val="18"/>
                <w:szCs w:val="18"/>
                <w:lang w:val="hr-HR"/>
              </w:rPr>
              <w:t xml:space="preserve"> obveze</w:t>
            </w:r>
          </w:p>
        </w:tc>
        <w:tc>
          <w:tcPr>
            <w:tcW w:w="503" w:type="pct"/>
            <w:tcBorders>
              <w:top w:val="single" w:sz="4" w:space="0" w:color="auto"/>
              <w:left w:val="nil"/>
              <w:bottom w:val="single" w:sz="12" w:space="0" w:color="auto"/>
              <w:right w:val="nil"/>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767.405</w:t>
            </w:r>
          </w:p>
        </w:tc>
        <w:tc>
          <w:tcPr>
            <w:tcW w:w="573" w:type="pct"/>
            <w:tcBorders>
              <w:top w:val="single" w:sz="4" w:space="0" w:color="auto"/>
              <w:left w:val="nil"/>
              <w:bottom w:val="single" w:sz="12" w:space="0" w:color="auto"/>
              <w:right w:val="nil"/>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15.620.115</w:t>
            </w:r>
          </w:p>
        </w:tc>
        <w:tc>
          <w:tcPr>
            <w:tcW w:w="579" w:type="pct"/>
            <w:tcBorders>
              <w:top w:val="single" w:sz="4" w:space="0" w:color="auto"/>
              <w:left w:val="nil"/>
              <w:bottom w:val="single" w:sz="12" w:space="0" w:color="auto"/>
              <w:right w:val="nil"/>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348</w:t>
            </w:r>
          </w:p>
        </w:tc>
        <w:tc>
          <w:tcPr>
            <w:tcW w:w="567" w:type="pct"/>
            <w:tcBorders>
              <w:top w:val="single" w:sz="4" w:space="0" w:color="auto"/>
              <w:left w:val="nil"/>
              <w:bottom w:val="single" w:sz="12" w:space="0" w:color="auto"/>
              <w:right w:val="nil"/>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16.387.868</w:t>
            </w:r>
          </w:p>
        </w:tc>
        <w:tc>
          <w:tcPr>
            <w:tcW w:w="654" w:type="pct"/>
            <w:tcBorders>
              <w:top w:val="single" w:sz="4" w:space="0" w:color="auto"/>
              <w:left w:val="nil"/>
              <w:bottom w:val="single" w:sz="12" w:space="0" w:color="auto"/>
              <w:right w:val="nil"/>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757.047</w:t>
            </w:r>
          </w:p>
        </w:tc>
        <w:tc>
          <w:tcPr>
            <w:tcW w:w="557" w:type="pct"/>
            <w:tcBorders>
              <w:top w:val="single" w:sz="4" w:space="0" w:color="auto"/>
              <w:left w:val="nil"/>
              <w:bottom w:val="single" w:sz="12" w:space="0" w:color="auto"/>
            </w:tcBorders>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17.144.915</w:t>
            </w:r>
          </w:p>
        </w:tc>
      </w:tr>
      <w:tr w:rsidR="0002177D" w:rsidRPr="001567C8" w:rsidTr="003C6BA3">
        <w:trPr>
          <w:trHeight w:hRule="exact" w:val="417"/>
        </w:trPr>
        <w:tc>
          <w:tcPr>
            <w:tcW w:w="1567" w:type="pct"/>
            <w:vAlign w:val="bottom"/>
          </w:tcPr>
          <w:p w:rsidR="0002177D" w:rsidRPr="00CD3A2D" w:rsidRDefault="0002177D" w:rsidP="006C28B0">
            <w:pPr>
              <w:tabs>
                <w:tab w:val="right" w:pos="1202"/>
              </w:tabs>
              <w:spacing w:line="240" w:lineRule="exact"/>
              <w:outlineLvl w:val="0"/>
              <w:rPr>
                <w:rFonts w:ascii="Arial" w:hAnsi="Arial" w:cs="Arial"/>
                <w:b/>
                <w:bCs/>
                <w:sz w:val="18"/>
                <w:szCs w:val="18"/>
                <w:lang w:val="hr-HR"/>
              </w:rPr>
            </w:pPr>
            <w:r w:rsidRPr="001567C8">
              <w:rPr>
                <w:rFonts w:ascii="Calibri" w:hAnsi="Calibri" w:cs="Arial"/>
                <w:b/>
                <w:bCs/>
                <w:sz w:val="18"/>
                <w:szCs w:val="18"/>
                <w:lang w:val="hr-HR"/>
              </w:rPr>
              <w:t>Valutni jaz</w:t>
            </w:r>
          </w:p>
        </w:tc>
        <w:tc>
          <w:tcPr>
            <w:tcW w:w="503" w:type="pct"/>
            <w:tcBorders>
              <w:top w:val="single" w:sz="12" w:space="0" w:color="auto"/>
              <w:left w:val="nil"/>
              <w:bottom w:val="single" w:sz="12" w:space="0" w:color="auto"/>
              <w:right w:val="nil"/>
            </w:tcBorders>
            <w:shd w:val="clear" w:color="000000" w:fill="auto"/>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 xml:space="preserve"> (86.535)</w:t>
            </w:r>
          </w:p>
        </w:tc>
        <w:tc>
          <w:tcPr>
            <w:tcW w:w="573" w:type="pct"/>
            <w:tcBorders>
              <w:top w:val="single" w:sz="12" w:space="0" w:color="auto"/>
              <w:left w:val="nil"/>
              <w:bottom w:val="single" w:sz="12" w:space="0" w:color="auto"/>
              <w:right w:val="nil"/>
            </w:tcBorders>
            <w:shd w:val="clear" w:color="000000" w:fill="auto"/>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(1.074.243)</w:t>
            </w:r>
          </w:p>
        </w:tc>
        <w:tc>
          <w:tcPr>
            <w:tcW w:w="579" w:type="pct"/>
            <w:tcBorders>
              <w:top w:val="single" w:sz="12" w:space="0" w:color="auto"/>
              <w:left w:val="nil"/>
              <w:bottom w:val="single" w:sz="12" w:space="0" w:color="auto"/>
              <w:right w:val="nil"/>
            </w:tcBorders>
            <w:shd w:val="clear" w:color="000000" w:fill="auto"/>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 xml:space="preserve"> 1.043 </w:t>
            </w:r>
          </w:p>
        </w:tc>
        <w:tc>
          <w:tcPr>
            <w:tcW w:w="567" w:type="pct"/>
            <w:tcBorders>
              <w:top w:val="single" w:sz="12" w:space="0" w:color="auto"/>
              <w:left w:val="nil"/>
              <w:bottom w:val="single" w:sz="12" w:space="0" w:color="auto"/>
              <w:right w:val="nil"/>
            </w:tcBorders>
            <w:shd w:val="clear" w:color="000000" w:fill="auto"/>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(1.159.735)</w:t>
            </w:r>
          </w:p>
        </w:tc>
        <w:tc>
          <w:tcPr>
            <w:tcW w:w="654" w:type="pct"/>
            <w:tcBorders>
              <w:top w:val="single" w:sz="12" w:space="0" w:color="auto"/>
              <w:left w:val="nil"/>
              <w:bottom w:val="single" w:sz="12" w:space="0" w:color="auto"/>
              <w:right w:val="nil"/>
            </w:tcBorders>
            <w:shd w:val="clear" w:color="000000" w:fill="auto"/>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 xml:space="preserve"> 11.213.747 </w:t>
            </w:r>
          </w:p>
        </w:tc>
        <w:tc>
          <w:tcPr>
            <w:tcW w:w="557" w:type="pct"/>
            <w:tcBorders>
              <w:top w:val="single" w:sz="12" w:space="0" w:color="auto"/>
              <w:left w:val="nil"/>
              <w:bottom w:val="single" w:sz="12" w:space="0" w:color="auto"/>
            </w:tcBorders>
            <w:shd w:val="clear" w:color="000000" w:fill="auto"/>
            <w:vAlign w:val="bottom"/>
          </w:tcPr>
          <w:p w:rsidR="0002177D" w:rsidRPr="00CD3A2D" w:rsidRDefault="0002177D" w:rsidP="003C6BA3">
            <w:pPr>
              <w:spacing w:line="240" w:lineRule="exact"/>
              <w:jc w:val="right"/>
              <w:rPr>
                <w:rFonts w:ascii="Calibri" w:hAnsi="Calibri"/>
                <w:b/>
                <w:bCs/>
                <w:sz w:val="18"/>
                <w:szCs w:val="18"/>
                <w:lang w:val="hr-HR"/>
              </w:rPr>
            </w:pPr>
            <w:r w:rsidRPr="00CD3A2D">
              <w:rPr>
                <w:rFonts w:ascii="Calibri" w:hAnsi="Calibri"/>
                <w:b/>
                <w:bCs/>
                <w:sz w:val="18"/>
                <w:szCs w:val="18"/>
                <w:lang w:val="hr-HR"/>
              </w:rPr>
              <w:t xml:space="preserve">10.054.012 </w:t>
            </w:r>
          </w:p>
        </w:tc>
      </w:tr>
    </w:tbl>
    <w:p w:rsidR="00A071AF" w:rsidRPr="001567C8" w:rsidRDefault="00A071AF" w:rsidP="00FD645D">
      <w:pPr>
        <w:pStyle w:val="TT"/>
        <w:spacing w:line="240" w:lineRule="auto"/>
        <w:jc w:val="both"/>
        <w:rPr>
          <w:rFonts w:asciiTheme="minorHAnsi" w:hAnsiTheme="minorHAnsi"/>
          <w:i/>
          <w:sz w:val="20"/>
          <w:lang w:val="hr-HR"/>
        </w:rPr>
      </w:pPr>
    </w:p>
    <w:p w:rsidR="00940A24" w:rsidRPr="001567C8" w:rsidRDefault="00940A24" w:rsidP="00FD645D">
      <w:pPr>
        <w:pStyle w:val="TT"/>
        <w:spacing w:line="240" w:lineRule="auto"/>
        <w:jc w:val="both"/>
        <w:rPr>
          <w:rFonts w:asciiTheme="minorHAnsi" w:hAnsiTheme="minorHAnsi"/>
          <w:i/>
          <w:sz w:val="20"/>
          <w:lang w:val="hr-HR"/>
        </w:rPr>
      </w:pPr>
    </w:p>
    <w:p w:rsidR="006448BB" w:rsidRPr="001567C8" w:rsidRDefault="006448BB" w:rsidP="00FD645D">
      <w:pPr>
        <w:pStyle w:val="TT"/>
        <w:spacing w:line="240" w:lineRule="auto"/>
        <w:jc w:val="both"/>
        <w:rPr>
          <w:rFonts w:asciiTheme="minorHAnsi" w:hAnsiTheme="minorHAnsi"/>
          <w:i/>
          <w:sz w:val="20"/>
          <w:lang w:val="hr-HR"/>
        </w:rPr>
      </w:pPr>
      <w:r w:rsidRPr="001567C8">
        <w:rPr>
          <w:rFonts w:asciiTheme="minorHAnsi" w:hAnsiTheme="minorHAnsi"/>
          <w:i/>
          <w:sz w:val="20"/>
          <w:lang w:val="hr-HR"/>
        </w:rPr>
        <w:t>*Iznosi vezani uz jednos</w:t>
      </w:r>
      <w:r w:rsidR="00903C86" w:rsidRPr="001567C8">
        <w:rPr>
          <w:rFonts w:asciiTheme="minorHAnsi" w:hAnsiTheme="minorHAnsi"/>
          <w:i/>
          <w:sz w:val="20"/>
          <w:lang w:val="hr-HR"/>
        </w:rPr>
        <w:t xml:space="preserve">mjernu valutnu klauzulu iznose </w:t>
      </w:r>
      <w:r w:rsidR="009B7EFC" w:rsidRPr="001567C8">
        <w:rPr>
          <w:rFonts w:asciiTheme="minorHAnsi" w:hAnsiTheme="minorHAnsi"/>
          <w:i/>
          <w:sz w:val="20"/>
          <w:lang w:val="hr-HR"/>
        </w:rPr>
        <w:t xml:space="preserve">90.776 </w:t>
      </w:r>
      <w:r w:rsidRPr="001567C8">
        <w:rPr>
          <w:rFonts w:asciiTheme="minorHAnsi" w:hAnsiTheme="minorHAnsi"/>
          <w:i/>
          <w:sz w:val="20"/>
          <w:lang w:val="hr-HR"/>
        </w:rPr>
        <w:t>tisuća kuna.</w:t>
      </w:r>
    </w:p>
    <w:p w:rsidR="00363369" w:rsidRPr="001567C8" w:rsidRDefault="00363369" w:rsidP="00FD645D">
      <w:pPr>
        <w:pStyle w:val="TT"/>
        <w:spacing w:line="240" w:lineRule="auto"/>
        <w:jc w:val="both"/>
        <w:rPr>
          <w:rFonts w:asciiTheme="minorHAnsi" w:hAnsiTheme="minorHAnsi"/>
          <w:i/>
          <w:sz w:val="20"/>
          <w:lang w:val="hr-HR"/>
        </w:rPr>
        <w:sectPr w:rsidR="00363369" w:rsidRPr="001567C8" w:rsidSect="0077198A">
          <w:pgSz w:w="11907" w:h="16840" w:code="9"/>
          <w:pgMar w:top="1418" w:right="1134" w:bottom="1134" w:left="1418" w:header="851" w:footer="851" w:gutter="0"/>
          <w:cols w:space="720"/>
          <w:noEndnote/>
        </w:sectPr>
      </w:pP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p w:rsidR="00AF1589" w:rsidRPr="001567C8" w:rsidRDefault="00674AD9" w:rsidP="00FD645D">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213DD6" w:rsidRPr="001567C8">
        <w:rPr>
          <w:rFonts w:asciiTheme="minorHAnsi" w:hAnsiTheme="minorHAnsi" w:cs="Arial"/>
          <w:sz w:val="22"/>
          <w:szCs w:val="22"/>
          <w:lang w:val="hr-HR"/>
        </w:rPr>
        <w:t>6</w:t>
      </w:r>
      <w:r w:rsidR="00282D92" w:rsidRPr="001567C8">
        <w:rPr>
          <w:rFonts w:asciiTheme="minorHAnsi" w:hAnsiTheme="minorHAnsi" w:cs="Arial"/>
          <w:sz w:val="22"/>
          <w:szCs w:val="22"/>
          <w:lang w:val="hr-HR"/>
        </w:rPr>
        <w:t xml:space="preserve">.        </w:t>
      </w:r>
      <w:r w:rsidR="00AF1589" w:rsidRPr="001567C8">
        <w:rPr>
          <w:rFonts w:asciiTheme="minorHAnsi" w:hAnsiTheme="minorHAnsi" w:cs="Arial"/>
          <w:sz w:val="22"/>
          <w:szCs w:val="22"/>
          <w:lang w:val="hr-HR"/>
        </w:rPr>
        <w:t>Upravljanje rizicima (nastavak)</w:t>
      </w: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p w:rsidR="00AF1589" w:rsidRPr="001567C8" w:rsidRDefault="00674AD9" w:rsidP="00FD645D">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213DD6" w:rsidRPr="001567C8">
        <w:rPr>
          <w:rFonts w:asciiTheme="minorHAnsi" w:hAnsiTheme="minorHAnsi" w:cs="Arial"/>
          <w:sz w:val="22"/>
          <w:szCs w:val="22"/>
          <w:lang w:val="hr-HR"/>
        </w:rPr>
        <w:t>6</w:t>
      </w:r>
      <w:r w:rsidR="00AF1589"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AF1589" w:rsidRPr="001567C8">
        <w:rPr>
          <w:rFonts w:asciiTheme="minorHAnsi" w:hAnsiTheme="minorHAnsi" w:cs="Arial"/>
          <w:sz w:val="22"/>
          <w:szCs w:val="22"/>
          <w:lang w:val="hr-HR"/>
        </w:rPr>
        <w:t xml:space="preserve">. </w:t>
      </w:r>
      <w:r w:rsidR="00282D92" w:rsidRPr="001567C8">
        <w:rPr>
          <w:rFonts w:asciiTheme="minorHAnsi" w:hAnsiTheme="minorHAnsi" w:cs="Arial"/>
          <w:sz w:val="22"/>
          <w:szCs w:val="22"/>
          <w:lang w:val="hr-HR"/>
        </w:rPr>
        <w:t xml:space="preserve">    </w:t>
      </w:r>
      <w:r w:rsidR="00AF1589" w:rsidRPr="001567C8">
        <w:rPr>
          <w:rFonts w:asciiTheme="minorHAnsi" w:hAnsiTheme="minorHAnsi" w:cs="Arial"/>
          <w:sz w:val="22"/>
          <w:szCs w:val="22"/>
          <w:lang w:val="hr-HR"/>
        </w:rPr>
        <w:t>Tržišni rizik (nastavak)</w:t>
      </w: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p w:rsidR="00AF1589" w:rsidRPr="001567C8" w:rsidRDefault="00674AD9" w:rsidP="00FD645D">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213DD6" w:rsidRPr="001567C8">
        <w:rPr>
          <w:rFonts w:asciiTheme="minorHAnsi" w:hAnsiTheme="minorHAnsi" w:cs="Arial"/>
          <w:sz w:val="22"/>
          <w:szCs w:val="22"/>
          <w:lang w:val="hr-HR"/>
        </w:rPr>
        <w:t>6</w:t>
      </w:r>
      <w:r w:rsidR="00AF1589"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AF1589" w:rsidRPr="001567C8">
        <w:rPr>
          <w:rFonts w:asciiTheme="minorHAnsi" w:hAnsiTheme="minorHAnsi" w:cs="Arial"/>
          <w:sz w:val="22"/>
          <w:szCs w:val="22"/>
          <w:lang w:val="hr-HR"/>
        </w:rPr>
        <w:t xml:space="preserve">.2. </w:t>
      </w:r>
      <w:r w:rsidR="00282D92" w:rsidRPr="001567C8">
        <w:rPr>
          <w:rFonts w:asciiTheme="minorHAnsi" w:hAnsiTheme="minorHAnsi" w:cs="Arial"/>
          <w:sz w:val="22"/>
          <w:szCs w:val="22"/>
          <w:lang w:val="hr-HR"/>
        </w:rPr>
        <w:t xml:space="preserve"> </w:t>
      </w:r>
      <w:r w:rsidR="00AF1589" w:rsidRPr="001567C8">
        <w:rPr>
          <w:rFonts w:asciiTheme="minorHAnsi" w:hAnsiTheme="minorHAnsi" w:cs="Arial"/>
          <w:sz w:val="22"/>
          <w:szCs w:val="22"/>
          <w:lang w:val="hr-HR"/>
        </w:rPr>
        <w:t>Valutni rizik (nastavak)</w:t>
      </w:r>
    </w:p>
    <w:p w:rsidR="00AF1589" w:rsidRPr="001567C8" w:rsidRDefault="00AF1589" w:rsidP="00903C86">
      <w:pPr>
        <w:pStyle w:val="T1"/>
        <w:spacing w:before="0" w:after="0" w:line="240" w:lineRule="auto"/>
        <w:rPr>
          <w:rFonts w:asciiTheme="minorHAnsi" w:hAnsiTheme="minorHAnsi" w:cs="Arial"/>
          <w:b w:val="0"/>
          <w:bCs w:val="0"/>
          <w:sz w:val="22"/>
          <w:szCs w:val="22"/>
          <w:lang w:val="hr-HR"/>
        </w:rPr>
      </w:pPr>
    </w:p>
    <w:tbl>
      <w:tblPr>
        <w:tblW w:w="5098" w:type="pct"/>
        <w:tblInd w:w="-284" w:type="dxa"/>
        <w:tblLayout w:type="fixed"/>
        <w:tblCellMar>
          <w:left w:w="120" w:type="dxa"/>
          <w:right w:w="120" w:type="dxa"/>
        </w:tblCellMar>
        <w:tblLook w:val="0000" w:firstRow="0" w:lastRow="0" w:firstColumn="0" w:lastColumn="0" w:noHBand="0" w:noVBand="0"/>
      </w:tblPr>
      <w:tblGrid>
        <w:gridCol w:w="2966"/>
        <w:gridCol w:w="965"/>
        <w:gridCol w:w="1116"/>
        <w:gridCol w:w="1089"/>
        <w:gridCol w:w="1091"/>
        <w:gridCol w:w="1227"/>
        <w:gridCol w:w="1084"/>
      </w:tblGrid>
      <w:tr w:rsidR="0002177D" w:rsidRPr="001567C8" w:rsidTr="0002177D">
        <w:trPr>
          <w:trHeight w:val="113"/>
        </w:trPr>
        <w:tc>
          <w:tcPr>
            <w:tcW w:w="1555" w:type="pct"/>
            <w:vAlign w:val="bottom"/>
          </w:tcPr>
          <w:p w:rsidR="0002177D" w:rsidRPr="001567C8" w:rsidRDefault="0002177D" w:rsidP="0002177D">
            <w:pPr>
              <w:tabs>
                <w:tab w:val="right" w:pos="1202"/>
              </w:tabs>
              <w:spacing w:line="240" w:lineRule="exact"/>
              <w:outlineLvl w:val="0"/>
              <w:rPr>
                <w:rFonts w:ascii="Calibri" w:hAnsi="Calibri" w:cs="Arial"/>
                <w:b/>
                <w:sz w:val="17"/>
                <w:szCs w:val="17"/>
                <w:lang w:val="hr-HR"/>
              </w:rPr>
            </w:pPr>
            <w:r w:rsidRPr="001567C8">
              <w:rPr>
                <w:rFonts w:ascii="Calibri" w:hAnsi="Calibri" w:cs="Arial"/>
                <w:b/>
                <w:sz w:val="17"/>
                <w:szCs w:val="17"/>
                <w:lang w:val="hr-HR"/>
              </w:rPr>
              <w:t>Banka</w:t>
            </w:r>
          </w:p>
          <w:p w:rsidR="0002177D" w:rsidRPr="001567C8" w:rsidRDefault="0002177D" w:rsidP="0002177D">
            <w:pPr>
              <w:tabs>
                <w:tab w:val="right" w:pos="1202"/>
              </w:tabs>
              <w:spacing w:line="240" w:lineRule="exact"/>
              <w:outlineLvl w:val="0"/>
              <w:rPr>
                <w:rFonts w:ascii="Calibri" w:hAnsi="Calibri" w:cs="Arial"/>
                <w:b/>
                <w:sz w:val="17"/>
                <w:szCs w:val="17"/>
                <w:lang w:val="hr-HR"/>
              </w:rPr>
            </w:pPr>
          </w:p>
          <w:p w:rsidR="0002177D" w:rsidRPr="001567C8" w:rsidRDefault="00AD2EF7" w:rsidP="0002177D">
            <w:pPr>
              <w:tabs>
                <w:tab w:val="right" w:pos="1202"/>
              </w:tabs>
              <w:spacing w:line="240" w:lineRule="exact"/>
              <w:outlineLvl w:val="0"/>
              <w:rPr>
                <w:rFonts w:ascii="Calibri" w:hAnsi="Calibri" w:cs="Arial"/>
                <w:b/>
                <w:sz w:val="17"/>
                <w:szCs w:val="17"/>
                <w:lang w:val="hr-HR"/>
              </w:rPr>
            </w:pPr>
            <w:r>
              <w:rPr>
                <w:rFonts w:ascii="Calibri" w:hAnsi="Calibri" w:cs="Arial"/>
                <w:b/>
                <w:sz w:val="17"/>
                <w:szCs w:val="17"/>
                <w:lang w:val="hr-HR"/>
              </w:rPr>
              <w:t>31. prosin</w:t>
            </w:r>
            <w:r w:rsidR="0073283D" w:rsidRPr="001567C8">
              <w:rPr>
                <w:rFonts w:ascii="Calibri" w:hAnsi="Calibri" w:cs="Arial"/>
                <w:b/>
                <w:sz w:val="17"/>
                <w:szCs w:val="17"/>
                <w:lang w:val="hr-HR"/>
              </w:rPr>
              <w:t>c</w:t>
            </w:r>
            <w:r>
              <w:rPr>
                <w:rFonts w:ascii="Calibri" w:hAnsi="Calibri" w:cs="Arial"/>
                <w:b/>
                <w:sz w:val="17"/>
                <w:szCs w:val="17"/>
                <w:lang w:val="hr-HR"/>
              </w:rPr>
              <w:t>a</w:t>
            </w:r>
            <w:r w:rsidR="0073283D" w:rsidRPr="001567C8">
              <w:rPr>
                <w:rFonts w:ascii="Calibri" w:hAnsi="Calibri" w:cs="Arial"/>
                <w:b/>
                <w:sz w:val="17"/>
                <w:szCs w:val="17"/>
                <w:lang w:val="hr-HR"/>
              </w:rPr>
              <w:t xml:space="preserve"> </w:t>
            </w:r>
            <w:r w:rsidR="0002177D" w:rsidRPr="001567C8">
              <w:rPr>
                <w:rFonts w:ascii="Calibri" w:hAnsi="Calibri" w:cs="Arial"/>
                <w:b/>
                <w:sz w:val="17"/>
                <w:szCs w:val="17"/>
                <w:lang w:val="hr-HR"/>
              </w:rPr>
              <w:t xml:space="preserve">2017. </w:t>
            </w:r>
            <w:r w:rsidR="007C5023" w:rsidRPr="001567C8">
              <w:rPr>
                <w:rFonts w:ascii="Calibri" w:hAnsi="Calibri" w:cs="Arial"/>
                <w:b/>
                <w:sz w:val="17"/>
                <w:szCs w:val="17"/>
                <w:lang w:val="hr-HR"/>
              </w:rPr>
              <w:t xml:space="preserve"> godina</w:t>
            </w:r>
          </w:p>
        </w:tc>
        <w:tc>
          <w:tcPr>
            <w:tcW w:w="506" w:type="pct"/>
          </w:tcPr>
          <w:p w:rsidR="0002177D" w:rsidRPr="001567C8" w:rsidRDefault="0002177D" w:rsidP="0002177D">
            <w:pPr>
              <w:tabs>
                <w:tab w:val="right" w:pos="1202"/>
              </w:tabs>
              <w:spacing w:line="240" w:lineRule="exact"/>
              <w:jc w:val="right"/>
              <w:outlineLvl w:val="0"/>
              <w:rPr>
                <w:rFonts w:ascii="Calibri" w:hAnsi="Calibri" w:cs="Arial"/>
                <w:b/>
                <w:sz w:val="17"/>
                <w:szCs w:val="17"/>
                <w:lang w:val="hr-HR"/>
              </w:rPr>
            </w:pPr>
            <w:r w:rsidRPr="001567C8">
              <w:rPr>
                <w:rFonts w:ascii="Calibri" w:hAnsi="Calibri" w:cs="Arial"/>
                <w:b/>
                <w:sz w:val="17"/>
                <w:szCs w:val="17"/>
                <w:lang w:val="hr-HR"/>
              </w:rPr>
              <w:t>USD</w:t>
            </w:r>
          </w:p>
        </w:tc>
        <w:tc>
          <w:tcPr>
            <w:tcW w:w="585" w:type="pct"/>
          </w:tcPr>
          <w:p w:rsidR="0002177D" w:rsidRPr="001567C8" w:rsidRDefault="0002177D" w:rsidP="0002177D">
            <w:pPr>
              <w:tabs>
                <w:tab w:val="right" w:pos="1202"/>
              </w:tabs>
              <w:spacing w:line="240" w:lineRule="exact"/>
              <w:jc w:val="right"/>
              <w:outlineLvl w:val="0"/>
              <w:rPr>
                <w:rFonts w:ascii="Calibri" w:hAnsi="Calibri" w:cs="Arial"/>
                <w:b/>
                <w:sz w:val="17"/>
                <w:szCs w:val="17"/>
                <w:lang w:val="hr-HR"/>
              </w:rPr>
            </w:pPr>
            <w:r w:rsidRPr="001567C8">
              <w:rPr>
                <w:rFonts w:ascii="Calibri" w:hAnsi="Calibri" w:cs="Arial"/>
                <w:b/>
                <w:sz w:val="17"/>
                <w:szCs w:val="17"/>
                <w:lang w:val="hr-HR"/>
              </w:rPr>
              <w:t xml:space="preserve">EUR </w:t>
            </w:r>
          </w:p>
        </w:tc>
        <w:tc>
          <w:tcPr>
            <w:tcW w:w="571" w:type="pct"/>
          </w:tcPr>
          <w:p w:rsidR="0002177D" w:rsidRPr="001567C8" w:rsidRDefault="0002177D" w:rsidP="0002177D">
            <w:pPr>
              <w:tabs>
                <w:tab w:val="right" w:pos="1202"/>
              </w:tabs>
              <w:spacing w:line="240" w:lineRule="exact"/>
              <w:jc w:val="right"/>
              <w:outlineLvl w:val="0"/>
              <w:rPr>
                <w:rFonts w:ascii="Calibri" w:hAnsi="Calibri" w:cs="Arial"/>
                <w:b/>
                <w:sz w:val="17"/>
                <w:szCs w:val="17"/>
                <w:lang w:val="hr-HR"/>
              </w:rPr>
            </w:pPr>
            <w:r w:rsidRPr="001567C8">
              <w:rPr>
                <w:rFonts w:ascii="Calibri" w:hAnsi="Calibri" w:cs="Arial"/>
                <w:b/>
                <w:sz w:val="17"/>
                <w:szCs w:val="17"/>
                <w:lang w:val="hr-HR"/>
              </w:rPr>
              <w:t>Ostale valute</w:t>
            </w:r>
          </w:p>
        </w:tc>
        <w:tc>
          <w:tcPr>
            <w:tcW w:w="572" w:type="pct"/>
          </w:tcPr>
          <w:p w:rsidR="0002177D" w:rsidRPr="001567C8" w:rsidRDefault="0002177D" w:rsidP="0002177D">
            <w:pPr>
              <w:tabs>
                <w:tab w:val="right" w:pos="1202"/>
              </w:tabs>
              <w:spacing w:line="240" w:lineRule="exact"/>
              <w:jc w:val="right"/>
              <w:outlineLvl w:val="0"/>
              <w:rPr>
                <w:rFonts w:ascii="Calibri" w:hAnsi="Calibri" w:cs="Arial"/>
                <w:b/>
                <w:sz w:val="17"/>
                <w:szCs w:val="17"/>
                <w:lang w:val="hr-HR"/>
              </w:rPr>
            </w:pPr>
            <w:r w:rsidRPr="001567C8">
              <w:rPr>
                <w:rFonts w:ascii="Calibri" w:hAnsi="Calibri" w:cs="Arial"/>
                <w:b/>
                <w:sz w:val="17"/>
                <w:szCs w:val="17"/>
                <w:lang w:val="hr-HR"/>
              </w:rPr>
              <w:t>Ukupno strane valute</w:t>
            </w:r>
          </w:p>
        </w:tc>
        <w:tc>
          <w:tcPr>
            <w:tcW w:w="643" w:type="pct"/>
          </w:tcPr>
          <w:p w:rsidR="0002177D" w:rsidRPr="001567C8" w:rsidRDefault="0002177D" w:rsidP="0002177D">
            <w:pPr>
              <w:tabs>
                <w:tab w:val="right" w:pos="1202"/>
              </w:tabs>
              <w:spacing w:line="240" w:lineRule="exact"/>
              <w:jc w:val="right"/>
              <w:outlineLvl w:val="0"/>
              <w:rPr>
                <w:rFonts w:ascii="Calibri" w:hAnsi="Calibri" w:cs="Arial"/>
                <w:b/>
                <w:sz w:val="17"/>
                <w:szCs w:val="17"/>
                <w:lang w:val="hr-HR"/>
              </w:rPr>
            </w:pPr>
            <w:r w:rsidRPr="001567C8">
              <w:rPr>
                <w:rFonts w:ascii="Calibri" w:hAnsi="Calibri" w:cs="Arial"/>
                <w:b/>
                <w:sz w:val="17"/>
                <w:szCs w:val="17"/>
                <w:lang w:val="hr-HR"/>
              </w:rPr>
              <w:t>Kune</w:t>
            </w:r>
          </w:p>
        </w:tc>
        <w:tc>
          <w:tcPr>
            <w:tcW w:w="568" w:type="pct"/>
          </w:tcPr>
          <w:p w:rsidR="0002177D" w:rsidRPr="001567C8" w:rsidRDefault="0002177D" w:rsidP="0002177D">
            <w:pPr>
              <w:tabs>
                <w:tab w:val="right" w:pos="1202"/>
              </w:tabs>
              <w:spacing w:line="240" w:lineRule="exact"/>
              <w:jc w:val="right"/>
              <w:outlineLvl w:val="0"/>
              <w:rPr>
                <w:rFonts w:ascii="Calibri" w:hAnsi="Calibri" w:cs="Arial"/>
                <w:b/>
                <w:sz w:val="17"/>
                <w:szCs w:val="17"/>
                <w:lang w:val="hr-HR"/>
              </w:rPr>
            </w:pPr>
            <w:r w:rsidRPr="001567C8">
              <w:rPr>
                <w:rFonts w:ascii="Calibri" w:hAnsi="Calibri" w:cs="Arial"/>
                <w:b/>
                <w:sz w:val="17"/>
                <w:szCs w:val="17"/>
                <w:lang w:val="hr-HR"/>
              </w:rPr>
              <w:t>Ukupno</w:t>
            </w:r>
          </w:p>
        </w:tc>
      </w:tr>
      <w:tr w:rsidR="0002177D" w:rsidRPr="001567C8" w:rsidTr="0002177D">
        <w:trPr>
          <w:trHeight w:hRule="exact" w:val="208"/>
        </w:trPr>
        <w:tc>
          <w:tcPr>
            <w:tcW w:w="1555" w:type="pct"/>
          </w:tcPr>
          <w:p w:rsidR="0002177D" w:rsidRPr="001567C8" w:rsidRDefault="0002177D" w:rsidP="0002177D">
            <w:pPr>
              <w:spacing w:after="120" w:line="240" w:lineRule="exact"/>
              <w:ind w:left="283"/>
              <w:rPr>
                <w:rFonts w:ascii="Calibri" w:hAnsi="Calibri" w:cs="Arial"/>
                <w:sz w:val="17"/>
                <w:szCs w:val="17"/>
                <w:lang w:val="hr-HR"/>
              </w:rPr>
            </w:pPr>
          </w:p>
        </w:tc>
        <w:tc>
          <w:tcPr>
            <w:tcW w:w="506" w:type="pct"/>
            <w:vAlign w:val="bottom"/>
          </w:tcPr>
          <w:p w:rsidR="0002177D" w:rsidRPr="001567C8" w:rsidRDefault="0002177D" w:rsidP="0002177D">
            <w:pPr>
              <w:tabs>
                <w:tab w:val="right" w:pos="1202"/>
              </w:tabs>
              <w:spacing w:line="240" w:lineRule="exact"/>
              <w:jc w:val="right"/>
              <w:outlineLvl w:val="0"/>
              <w:rPr>
                <w:rFonts w:ascii="Calibri" w:hAnsi="Calibri" w:cs="Arial"/>
                <w:b/>
                <w:bCs/>
                <w:spacing w:val="-2"/>
                <w:sz w:val="17"/>
                <w:szCs w:val="17"/>
                <w:lang w:val="hr-HR"/>
              </w:rPr>
            </w:pPr>
            <w:r w:rsidRPr="001567C8">
              <w:rPr>
                <w:rFonts w:ascii="Calibri" w:hAnsi="Calibri" w:cs="Arial"/>
                <w:b/>
                <w:bCs/>
                <w:sz w:val="17"/>
                <w:szCs w:val="17"/>
                <w:lang w:val="hr-HR"/>
              </w:rPr>
              <w:t>000 kuna</w:t>
            </w:r>
          </w:p>
        </w:tc>
        <w:tc>
          <w:tcPr>
            <w:tcW w:w="585" w:type="pct"/>
            <w:vAlign w:val="bottom"/>
          </w:tcPr>
          <w:p w:rsidR="0002177D" w:rsidRPr="001567C8" w:rsidRDefault="0002177D" w:rsidP="0002177D">
            <w:pPr>
              <w:tabs>
                <w:tab w:val="right" w:pos="1202"/>
              </w:tabs>
              <w:spacing w:line="240" w:lineRule="exact"/>
              <w:jc w:val="right"/>
              <w:outlineLvl w:val="0"/>
              <w:rPr>
                <w:rFonts w:ascii="Calibri" w:hAnsi="Calibri" w:cs="Arial"/>
                <w:b/>
                <w:bCs/>
                <w:spacing w:val="-2"/>
                <w:sz w:val="17"/>
                <w:szCs w:val="17"/>
                <w:lang w:val="hr-HR"/>
              </w:rPr>
            </w:pPr>
            <w:r w:rsidRPr="001567C8">
              <w:rPr>
                <w:rFonts w:ascii="Calibri" w:hAnsi="Calibri" w:cs="Arial"/>
                <w:b/>
                <w:bCs/>
                <w:sz w:val="17"/>
                <w:szCs w:val="17"/>
                <w:lang w:val="hr-HR"/>
              </w:rPr>
              <w:t>000 kuna</w:t>
            </w:r>
          </w:p>
        </w:tc>
        <w:tc>
          <w:tcPr>
            <w:tcW w:w="571" w:type="pct"/>
            <w:vAlign w:val="bottom"/>
          </w:tcPr>
          <w:p w:rsidR="0002177D" w:rsidRPr="001567C8" w:rsidRDefault="0002177D" w:rsidP="0002177D">
            <w:pPr>
              <w:tabs>
                <w:tab w:val="right" w:pos="1202"/>
              </w:tabs>
              <w:spacing w:line="240" w:lineRule="exact"/>
              <w:jc w:val="right"/>
              <w:outlineLvl w:val="0"/>
              <w:rPr>
                <w:rFonts w:ascii="Calibri" w:hAnsi="Calibri" w:cs="Arial"/>
                <w:b/>
                <w:bCs/>
                <w:spacing w:val="-2"/>
                <w:sz w:val="17"/>
                <w:szCs w:val="17"/>
                <w:lang w:val="hr-HR"/>
              </w:rPr>
            </w:pPr>
            <w:r w:rsidRPr="001567C8">
              <w:rPr>
                <w:rFonts w:ascii="Calibri" w:hAnsi="Calibri" w:cs="Arial"/>
                <w:b/>
                <w:bCs/>
                <w:sz w:val="17"/>
                <w:szCs w:val="17"/>
                <w:lang w:val="hr-HR"/>
              </w:rPr>
              <w:t>000 kuna</w:t>
            </w:r>
          </w:p>
        </w:tc>
        <w:tc>
          <w:tcPr>
            <w:tcW w:w="572" w:type="pct"/>
            <w:vAlign w:val="bottom"/>
          </w:tcPr>
          <w:p w:rsidR="0002177D" w:rsidRPr="001567C8" w:rsidRDefault="0002177D" w:rsidP="0002177D">
            <w:pPr>
              <w:tabs>
                <w:tab w:val="right" w:pos="1202"/>
              </w:tabs>
              <w:spacing w:line="240" w:lineRule="exact"/>
              <w:jc w:val="right"/>
              <w:outlineLvl w:val="0"/>
              <w:rPr>
                <w:rFonts w:ascii="Calibri" w:hAnsi="Calibri" w:cs="Arial"/>
                <w:b/>
                <w:bCs/>
                <w:spacing w:val="-2"/>
                <w:sz w:val="17"/>
                <w:szCs w:val="17"/>
                <w:lang w:val="hr-HR"/>
              </w:rPr>
            </w:pPr>
            <w:r w:rsidRPr="001567C8">
              <w:rPr>
                <w:rFonts w:ascii="Calibri" w:hAnsi="Calibri" w:cs="Arial"/>
                <w:b/>
                <w:bCs/>
                <w:sz w:val="17"/>
                <w:szCs w:val="17"/>
                <w:lang w:val="hr-HR"/>
              </w:rPr>
              <w:t>000 kuna</w:t>
            </w:r>
          </w:p>
        </w:tc>
        <w:tc>
          <w:tcPr>
            <w:tcW w:w="643" w:type="pct"/>
            <w:vAlign w:val="bottom"/>
          </w:tcPr>
          <w:p w:rsidR="0002177D" w:rsidRPr="001567C8" w:rsidRDefault="0002177D" w:rsidP="0002177D">
            <w:pPr>
              <w:tabs>
                <w:tab w:val="right" w:pos="1202"/>
              </w:tabs>
              <w:spacing w:line="240" w:lineRule="exact"/>
              <w:jc w:val="right"/>
              <w:outlineLvl w:val="0"/>
              <w:rPr>
                <w:rFonts w:ascii="Calibri" w:hAnsi="Calibri" w:cs="Arial"/>
                <w:b/>
                <w:bCs/>
                <w:spacing w:val="-2"/>
                <w:sz w:val="17"/>
                <w:szCs w:val="17"/>
                <w:lang w:val="hr-HR"/>
              </w:rPr>
            </w:pPr>
            <w:r w:rsidRPr="001567C8">
              <w:rPr>
                <w:rFonts w:ascii="Calibri" w:hAnsi="Calibri" w:cs="Arial"/>
                <w:b/>
                <w:bCs/>
                <w:sz w:val="17"/>
                <w:szCs w:val="17"/>
                <w:lang w:val="hr-HR"/>
              </w:rPr>
              <w:t>000 kuna</w:t>
            </w:r>
          </w:p>
        </w:tc>
        <w:tc>
          <w:tcPr>
            <w:tcW w:w="568" w:type="pct"/>
            <w:vAlign w:val="bottom"/>
          </w:tcPr>
          <w:p w:rsidR="0002177D" w:rsidRPr="001567C8" w:rsidRDefault="0002177D" w:rsidP="0002177D">
            <w:pPr>
              <w:tabs>
                <w:tab w:val="right" w:pos="1202"/>
              </w:tabs>
              <w:spacing w:line="240" w:lineRule="exact"/>
              <w:jc w:val="right"/>
              <w:outlineLvl w:val="0"/>
              <w:rPr>
                <w:rFonts w:ascii="Calibri" w:hAnsi="Calibri" w:cs="Arial"/>
                <w:b/>
                <w:bCs/>
                <w:spacing w:val="-2"/>
                <w:sz w:val="17"/>
                <w:szCs w:val="17"/>
                <w:lang w:val="hr-HR"/>
              </w:rPr>
            </w:pPr>
            <w:r w:rsidRPr="001567C8">
              <w:rPr>
                <w:rFonts w:ascii="Calibri" w:hAnsi="Calibri" w:cs="Arial"/>
                <w:b/>
                <w:bCs/>
                <w:sz w:val="17"/>
                <w:szCs w:val="17"/>
                <w:lang w:val="hr-HR"/>
              </w:rPr>
              <w:t>000 kuna</w:t>
            </w:r>
          </w:p>
        </w:tc>
      </w:tr>
      <w:tr w:rsidR="0002177D" w:rsidRPr="001567C8" w:rsidTr="0002177D">
        <w:trPr>
          <w:trHeight w:val="36"/>
        </w:trPr>
        <w:tc>
          <w:tcPr>
            <w:tcW w:w="1555" w:type="pct"/>
          </w:tcPr>
          <w:p w:rsidR="0002177D" w:rsidRPr="001567C8" w:rsidRDefault="0002177D" w:rsidP="0002177D">
            <w:pPr>
              <w:pStyle w:val="TH"/>
              <w:spacing w:line="240" w:lineRule="exact"/>
              <w:rPr>
                <w:rFonts w:asciiTheme="minorHAnsi" w:hAnsiTheme="minorHAnsi" w:cs="Arial"/>
                <w:sz w:val="17"/>
                <w:szCs w:val="17"/>
                <w:lang w:val="hr-HR"/>
              </w:rPr>
            </w:pPr>
            <w:r w:rsidRPr="001567C8">
              <w:rPr>
                <w:rFonts w:asciiTheme="minorHAnsi" w:hAnsiTheme="minorHAnsi" w:cs="Arial"/>
                <w:sz w:val="17"/>
                <w:szCs w:val="17"/>
                <w:lang w:val="hr-HR"/>
              </w:rPr>
              <w:t>Imovina</w:t>
            </w:r>
          </w:p>
        </w:tc>
        <w:tc>
          <w:tcPr>
            <w:tcW w:w="506"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585"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571"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572"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643"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568"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r>
      <w:tr w:rsidR="0002177D" w:rsidRPr="001567C8" w:rsidTr="00940A24">
        <w:trPr>
          <w:trHeight w:val="35"/>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pacing w:val="-2"/>
                <w:sz w:val="17"/>
                <w:szCs w:val="17"/>
                <w:lang w:val="hr-HR"/>
              </w:rPr>
              <w:t>Novčana sredstva i računi kod banaka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239</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82.947</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1.424</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84.610</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1.316.536</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1.401.146</w:t>
            </w:r>
          </w:p>
        </w:tc>
      </w:tr>
      <w:tr w:rsidR="0002177D" w:rsidRPr="001567C8" w:rsidTr="00940A24">
        <w:trPr>
          <w:trHeight w:val="36"/>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pacing w:val="-2"/>
                <w:sz w:val="17"/>
                <w:szCs w:val="17"/>
                <w:lang w:val="hr-HR"/>
              </w:rPr>
              <w:t>Depoziti kod drugih banaka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29.115</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23</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29.138</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29.138</w:t>
            </w:r>
          </w:p>
        </w:tc>
      </w:tr>
      <w:tr w:rsidR="0002177D" w:rsidRPr="001567C8" w:rsidTr="00940A24">
        <w:trPr>
          <w:trHeight w:val="36"/>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pacing w:val="-2"/>
                <w:sz w:val="17"/>
                <w:szCs w:val="17"/>
                <w:lang w:val="hr-HR"/>
              </w:rPr>
              <w:t>Krediti financijskim institucijama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6.075.420</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6.075.420</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4.760.721</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10.836.141</w:t>
            </w:r>
          </w:p>
        </w:tc>
      </w:tr>
      <w:tr w:rsidR="0002177D" w:rsidRPr="001567C8" w:rsidTr="00940A24">
        <w:trPr>
          <w:trHeight w:val="34"/>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pacing w:val="-2"/>
                <w:sz w:val="17"/>
                <w:szCs w:val="17"/>
                <w:lang w:val="hr-HR"/>
              </w:rPr>
              <w:t>Krediti ostalim korisnicima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429.298</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9.092.613</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9.521.911</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2.861.712</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12.383.623</w:t>
            </w:r>
          </w:p>
        </w:tc>
      </w:tr>
      <w:tr w:rsidR="0002177D" w:rsidRPr="001567C8" w:rsidTr="00940A24">
        <w:trPr>
          <w:trHeight w:val="36"/>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pacing w:val="-2"/>
                <w:sz w:val="17"/>
                <w:szCs w:val="17"/>
                <w:lang w:val="hr-HR"/>
              </w:rPr>
              <w:t>Imovina raspoloživa za prodaju</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724.243</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724.243</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2.552.951</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3.277.194</w:t>
            </w:r>
          </w:p>
        </w:tc>
      </w:tr>
      <w:tr w:rsidR="0002177D" w:rsidRPr="001567C8" w:rsidTr="00940A24">
        <w:trPr>
          <w:trHeight w:val="36"/>
        </w:trPr>
        <w:tc>
          <w:tcPr>
            <w:tcW w:w="1555" w:type="pct"/>
            <w:vAlign w:val="bottom"/>
          </w:tcPr>
          <w:p w:rsidR="0002177D" w:rsidRPr="001567C8" w:rsidRDefault="0002177D" w:rsidP="00940A24">
            <w:pPr>
              <w:tabs>
                <w:tab w:val="right" w:pos="1202"/>
              </w:tabs>
              <w:spacing w:line="240" w:lineRule="exact"/>
              <w:outlineLvl w:val="0"/>
              <w:rPr>
                <w:rFonts w:ascii="Calibri" w:hAnsi="Calibri" w:cs="Arial"/>
                <w:spacing w:val="-2"/>
                <w:sz w:val="17"/>
                <w:szCs w:val="17"/>
                <w:lang w:val="hr-HR"/>
              </w:rPr>
            </w:pPr>
            <w:r w:rsidRPr="001567C8">
              <w:rPr>
                <w:rFonts w:ascii="Calibri" w:hAnsi="Calibri" w:cs="Arial"/>
                <w:spacing w:val="-2"/>
                <w:sz w:val="17"/>
                <w:szCs w:val="17"/>
                <w:lang w:val="hr-HR"/>
              </w:rPr>
              <w:t>Ulaganja u ovisna društva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36.124</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36.124</w:t>
            </w:r>
          </w:p>
        </w:tc>
      </w:tr>
      <w:tr w:rsidR="0002177D" w:rsidRPr="001567C8" w:rsidTr="00940A24">
        <w:trPr>
          <w:trHeight w:val="75"/>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pacing w:val="-2"/>
                <w:sz w:val="17"/>
                <w:szCs w:val="17"/>
                <w:lang w:val="hr-HR"/>
              </w:rPr>
              <w:t>Nekretnine, postrojenja i oprema i nematerijalna imovina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53.514</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53.514</w:t>
            </w:r>
          </w:p>
        </w:tc>
      </w:tr>
      <w:tr w:rsidR="0002177D" w:rsidRPr="001567C8" w:rsidTr="00940A24">
        <w:trPr>
          <w:trHeight w:val="36"/>
        </w:trPr>
        <w:tc>
          <w:tcPr>
            <w:tcW w:w="1555" w:type="pct"/>
            <w:vAlign w:val="bottom"/>
          </w:tcPr>
          <w:p w:rsidR="0002177D" w:rsidRPr="001567C8" w:rsidRDefault="0051728E" w:rsidP="00940A24">
            <w:pPr>
              <w:tabs>
                <w:tab w:val="right" w:pos="1202"/>
              </w:tabs>
              <w:spacing w:line="240" w:lineRule="exact"/>
              <w:outlineLvl w:val="0"/>
              <w:rPr>
                <w:rFonts w:ascii="Calibri" w:hAnsi="Calibri" w:cs="Arial"/>
                <w:sz w:val="17"/>
                <w:szCs w:val="17"/>
                <w:lang w:val="hr-HR"/>
              </w:rPr>
            </w:pPr>
            <w:r w:rsidRPr="0051728E">
              <w:rPr>
                <w:rFonts w:ascii="Calibri" w:hAnsi="Calibri" w:cs="Arial"/>
                <w:spacing w:val="-2"/>
                <w:sz w:val="17"/>
                <w:szCs w:val="17"/>
                <w:lang w:val="hr-HR"/>
              </w:rPr>
              <w:t>Preuzeta imovina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16.697</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16.697</w:t>
            </w:r>
          </w:p>
        </w:tc>
      </w:tr>
      <w:tr w:rsidR="0002177D" w:rsidRPr="001567C8" w:rsidTr="00940A24">
        <w:trPr>
          <w:trHeight w:val="36"/>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pacing w:val="-2"/>
                <w:sz w:val="17"/>
                <w:szCs w:val="17"/>
                <w:lang w:val="hr-HR"/>
              </w:rPr>
              <w:t>Ostala imovina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488</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488</w:t>
            </w:r>
          </w:p>
        </w:tc>
        <w:tc>
          <w:tcPr>
            <w:tcW w:w="643" w:type="pct"/>
            <w:tcBorders>
              <w:top w:val="nil"/>
              <w:left w:val="nil"/>
              <w:bottom w:val="single" w:sz="2" w:space="0" w:color="auto"/>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21.738</w:t>
            </w:r>
          </w:p>
        </w:tc>
        <w:tc>
          <w:tcPr>
            <w:tcW w:w="568" w:type="pct"/>
            <w:tcBorders>
              <w:top w:val="nil"/>
              <w:left w:val="nil"/>
              <w:bottom w:val="single" w:sz="2" w:space="0" w:color="auto"/>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22.226</w:t>
            </w:r>
          </w:p>
        </w:tc>
      </w:tr>
      <w:tr w:rsidR="0002177D" w:rsidRPr="001567C8" w:rsidTr="00940A24">
        <w:trPr>
          <w:trHeight w:val="308"/>
        </w:trPr>
        <w:tc>
          <w:tcPr>
            <w:tcW w:w="1555" w:type="pct"/>
            <w:vAlign w:val="bottom"/>
          </w:tcPr>
          <w:p w:rsidR="0002177D" w:rsidRPr="001567C8" w:rsidRDefault="0002177D" w:rsidP="00940A24">
            <w:pPr>
              <w:tabs>
                <w:tab w:val="right" w:pos="1202"/>
              </w:tabs>
              <w:spacing w:line="240" w:lineRule="exact"/>
              <w:outlineLvl w:val="0"/>
              <w:rPr>
                <w:rFonts w:ascii="Calibri" w:hAnsi="Calibri" w:cs="Arial"/>
                <w:b/>
                <w:bCs/>
                <w:sz w:val="17"/>
                <w:szCs w:val="17"/>
                <w:lang w:val="hr-HR"/>
              </w:rPr>
            </w:pPr>
            <w:r w:rsidRPr="001567C8">
              <w:rPr>
                <w:rFonts w:ascii="Calibri" w:hAnsi="Calibri" w:cs="Arial"/>
                <w:b/>
                <w:bCs/>
                <w:sz w:val="17"/>
                <w:szCs w:val="17"/>
                <w:lang w:val="hr-HR"/>
              </w:rPr>
              <w:t xml:space="preserve">Ukupna imovina </w:t>
            </w:r>
          </w:p>
        </w:tc>
        <w:tc>
          <w:tcPr>
            <w:tcW w:w="506" w:type="pct"/>
            <w:tcBorders>
              <w:top w:val="single" w:sz="2" w:space="0" w:color="auto"/>
              <w:left w:val="nil"/>
              <w:bottom w:val="single" w:sz="12" w:space="0" w:color="auto"/>
              <w:right w:val="nil"/>
            </w:tcBorders>
            <w:vAlign w:val="center"/>
          </w:tcPr>
          <w:p w:rsidR="0002177D" w:rsidRPr="001567C8" w:rsidRDefault="0002177D" w:rsidP="00940A24">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458.652</w:t>
            </w:r>
          </w:p>
        </w:tc>
        <w:tc>
          <w:tcPr>
            <w:tcW w:w="585" w:type="pct"/>
            <w:tcBorders>
              <w:top w:val="single" w:sz="2" w:space="0" w:color="auto"/>
              <w:left w:val="nil"/>
              <w:bottom w:val="single" w:sz="12" w:space="0" w:color="auto"/>
              <w:right w:val="nil"/>
            </w:tcBorders>
            <w:vAlign w:val="center"/>
          </w:tcPr>
          <w:p w:rsidR="0002177D" w:rsidRPr="001567C8" w:rsidRDefault="0002177D" w:rsidP="00940A24">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15.975.734</w:t>
            </w:r>
          </w:p>
        </w:tc>
        <w:tc>
          <w:tcPr>
            <w:tcW w:w="571" w:type="pct"/>
            <w:tcBorders>
              <w:top w:val="single" w:sz="2" w:space="0" w:color="auto"/>
              <w:left w:val="nil"/>
              <w:bottom w:val="single" w:sz="12" w:space="0" w:color="auto"/>
              <w:right w:val="nil"/>
            </w:tcBorders>
            <w:vAlign w:val="center"/>
          </w:tcPr>
          <w:p w:rsidR="0002177D" w:rsidRPr="001567C8" w:rsidRDefault="0002177D" w:rsidP="00940A24">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1.424</w:t>
            </w:r>
          </w:p>
        </w:tc>
        <w:tc>
          <w:tcPr>
            <w:tcW w:w="572" w:type="pct"/>
            <w:tcBorders>
              <w:top w:val="single" w:sz="2" w:space="0" w:color="auto"/>
              <w:left w:val="nil"/>
              <w:bottom w:val="single" w:sz="12" w:space="0" w:color="auto"/>
              <w:right w:val="nil"/>
            </w:tcBorders>
            <w:vAlign w:val="center"/>
          </w:tcPr>
          <w:p w:rsidR="0002177D" w:rsidRPr="001567C8" w:rsidRDefault="0002177D" w:rsidP="00940A24">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16.435.810</w:t>
            </w:r>
          </w:p>
        </w:tc>
        <w:tc>
          <w:tcPr>
            <w:tcW w:w="643" w:type="pct"/>
            <w:tcBorders>
              <w:top w:val="single" w:sz="2" w:space="0" w:color="auto"/>
              <w:left w:val="nil"/>
              <w:bottom w:val="single" w:sz="12" w:space="0" w:color="auto"/>
              <w:right w:val="nil"/>
            </w:tcBorders>
            <w:vAlign w:val="center"/>
          </w:tcPr>
          <w:p w:rsidR="0002177D" w:rsidRPr="001567C8" w:rsidRDefault="0002177D" w:rsidP="00940A24">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11.619.993*</w:t>
            </w:r>
          </w:p>
        </w:tc>
        <w:tc>
          <w:tcPr>
            <w:tcW w:w="568" w:type="pct"/>
            <w:tcBorders>
              <w:top w:val="single" w:sz="2" w:space="0" w:color="auto"/>
              <w:left w:val="nil"/>
              <w:bottom w:val="single" w:sz="12" w:space="0" w:color="auto"/>
            </w:tcBorders>
            <w:vAlign w:val="center"/>
          </w:tcPr>
          <w:p w:rsidR="0002177D" w:rsidRPr="001567C8" w:rsidRDefault="0002177D" w:rsidP="00940A24">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28.055.803</w:t>
            </w:r>
          </w:p>
        </w:tc>
      </w:tr>
      <w:tr w:rsidR="0002177D" w:rsidRPr="001567C8" w:rsidTr="00940A24">
        <w:trPr>
          <w:trHeight w:val="245"/>
        </w:trPr>
        <w:tc>
          <w:tcPr>
            <w:tcW w:w="1555" w:type="pct"/>
            <w:vAlign w:val="bottom"/>
          </w:tcPr>
          <w:p w:rsidR="0002177D" w:rsidRPr="001567C8" w:rsidRDefault="0002177D" w:rsidP="00940A24">
            <w:pPr>
              <w:pStyle w:val="TH"/>
              <w:spacing w:line="240" w:lineRule="exact"/>
              <w:rPr>
                <w:rFonts w:asciiTheme="minorHAnsi" w:hAnsiTheme="minorHAnsi" w:cs="Arial"/>
                <w:sz w:val="17"/>
                <w:szCs w:val="17"/>
                <w:lang w:val="hr-HR"/>
              </w:rPr>
            </w:pPr>
            <w:r w:rsidRPr="001567C8">
              <w:rPr>
                <w:rFonts w:asciiTheme="minorHAnsi" w:hAnsiTheme="minorHAnsi" w:cs="Arial"/>
                <w:sz w:val="17"/>
                <w:szCs w:val="17"/>
                <w:lang w:val="hr-HR"/>
              </w:rPr>
              <w:t>Obveze</w:t>
            </w:r>
          </w:p>
        </w:tc>
        <w:tc>
          <w:tcPr>
            <w:tcW w:w="506"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585"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571"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572"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643"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c>
          <w:tcPr>
            <w:tcW w:w="568" w:type="pct"/>
            <w:vAlign w:val="bottom"/>
          </w:tcPr>
          <w:p w:rsidR="0002177D" w:rsidRPr="001567C8" w:rsidRDefault="0002177D" w:rsidP="0002177D">
            <w:pPr>
              <w:pStyle w:val="TH"/>
              <w:spacing w:line="240" w:lineRule="exact"/>
              <w:rPr>
                <w:rFonts w:asciiTheme="minorHAnsi" w:hAnsiTheme="minorHAnsi" w:cs="Arial"/>
                <w:sz w:val="17"/>
                <w:szCs w:val="17"/>
                <w:lang w:val="hr-HR"/>
              </w:rPr>
            </w:pPr>
          </w:p>
        </w:tc>
      </w:tr>
      <w:tr w:rsidR="0002177D" w:rsidRPr="001567C8" w:rsidTr="00940A24">
        <w:trPr>
          <w:trHeight w:val="36"/>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z w:val="17"/>
                <w:szCs w:val="17"/>
                <w:lang w:val="hr-HR"/>
              </w:rPr>
              <w:t>Obveze po depozitima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20.112</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527.668</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77</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547.857</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96.884</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644.741</w:t>
            </w:r>
          </w:p>
        </w:tc>
      </w:tr>
      <w:tr w:rsidR="0002177D" w:rsidRPr="001567C8" w:rsidTr="00940A24">
        <w:trPr>
          <w:trHeight w:val="36"/>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z w:val="17"/>
                <w:szCs w:val="17"/>
                <w:lang w:val="hr-HR"/>
              </w:rPr>
              <w:t>Obveze po kreditima</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410.011</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14.977.870</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15.387.881</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15.387.881</w:t>
            </w:r>
          </w:p>
        </w:tc>
      </w:tr>
      <w:tr w:rsidR="0002177D" w:rsidRPr="001567C8" w:rsidTr="00940A24">
        <w:trPr>
          <w:trHeight w:val="75"/>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z w:val="17"/>
                <w:szCs w:val="17"/>
                <w:lang w:val="hr-HR"/>
              </w:rPr>
              <w:t>Obveze za izdane dugoročne vrijednosne papire</w:t>
            </w:r>
          </w:p>
        </w:tc>
        <w:tc>
          <w:tcPr>
            <w:tcW w:w="506"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85"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1.161.699</w:t>
            </w:r>
          </w:p>
        </w:tc>
        <w:tc>
          <w:tcPr>
            <w:tcW w:w="571"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72"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1.161.699</w:t>
            </w:r>
          </w:p>
        </w:tc>
        <w:tc>
          <w:tcPr>
            <w:tcW w:w="643" w:type="pct"/>
            <w:tcBorders>
              <w:top w:val="nil"/>
              <w:left w:val="nil"/>
              <w:bottom w:val="nil"/>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w:t>
            </w:r>
          </w:p>
        </w:tc>
        <w:tc>
          <w:tcPr>
            <w:tcW w:w="568" w:type="pct"/>
            <w:tcBorders>
              <w:top w:val="nil"/>
              <w:left w:val="nil"/>
              <w:bottom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1.161.699</w:t>
            </w:r>
          </w:p>
        </w:tc>
      </w:tr>
      <w:tr w:rsidR="0002177D" w:rsidRPr="001567C8" w:rsidTr="00940A24">
        <w:trPr>
          <w:trHeight w:val="26"/>
        </w:trPr>
        <w:tc>
          <w:tcPr>
            <w:tcW w:w="1555" w:type="pct"/>
            <w:vAlign w:val="bottom"/>
          </w:tcPr>
          <w:p w:rsidR="0002177D" w:rsidRPr="001567C8" w:rsidRDefault="0002177D" w:rsidP="00940A24">
            <w:pPr>
              <w:tabs>
                <w:tab w:val="right" w:pos="1202"/>
              </w:tabs>
              <w:spacing w:line="240" w:lineRule="exact"/>
              <w:outlineLvl w:val="0"/>
              <w:rPr>
                <w:rFonts w:ascii="Calibri" w:hAnsi="Calibri" w:cs="Arial"/>
                <w:sz w:val="17"/>
                <w:szCs w:val="17"/>
                <w:lang w:val="hr-HR"/>
              </w:rPr>
            </w:pPr>
            <w:r w:rsidRPr="001567C8">
              <w:rPr>
                <w:rFonts w:ascii="Calibri" w:hAnsi="Calibri" w:cs="Arial"/>
                <w:sz w:val="17"/>
                <w:szCs w:val="17"/>
                <w:lang w:val="hr-HR"/>
              </w:rPr>
              <w:t>Ostale obveze</w:t>
            </w:r>
          </w:p>
        </w:tc>
        <w:tc>
          <w:tcPr>
            <w:tcW w:w="506" w:type="pct"/>
            <w:tcBorders>
              <w:top w:val="nil"/>
              <w:left w:val="nil"/>
              <w:bottom w:val="single" w:sz="2" w:space="0" w:color="auto"/>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3.054</w:t>
            </w:r>
          </w:p>
        </w:tc>
        <w:tc>
          <w:tcPr>
            <w:tcW w:w="585" w:type="pct"/>
            <w:tcBorders>
              <w:top w:val="nil"/>
              <w:left w:val="nil"/>
              <w:bottom w:val="single" w:sz="2" w:space="0" w:color="auto"/>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10.696</w:t>
            </w:r>
          </w:p>
        </w:tc>
        <w:tc>
          <w:tcPr>
            <w:tcW w:w="571" w:type="pct"/>
            <w:tcBorders>
              <w:top w:val="nil"/>
              <w:left w:val="nil"/>
              <w:bottom w:val="single" w:sz="2" w:space="0" w:color="auto"/>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2.611</w:t>
            </w:r>
          </w:p>
        </w:tc>
        <w:tc>
          <w:tcPr>
            <w:tcW w:w="572" w:type="pct"/>
            <w:tcBorders>
              <w:top w:val="nil"/>
              <w:left w:val="nil"/>
              <w:bottom w:val="single" w:sz="2" w:space="0" w:color="auto"/>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16.361</w:t>
            </w:r>
          </w:p>
        </w:tc>
        <w:tc>
          <w:tcPr>
            <w:tcW w:w="643" w:type="pct"/>
            <w:tcBorders>
              <w:top w:val="nil"/>
              <w:left w:val="nil"/>
              <w:bottom w:val="single" w:sz="2" w:space="0" w:color="auto"/>
              <w:right w:val="nil"/>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576.290</w:t>
            </w:r>
          </w:p>
        </w:tc>
        <w:tc>
          <w:tcPr>
            <w:tcW w:w="568" w:type="pct"/>
            <w:tcBorders>
              <w:top w:val="nil"/>
              <w:left w:val="nil"/>
              <w:bottom w:val="single" w:sz="2" w:space="0" w:color="auto"/>
            </w:tcBorders>
            <w:vAlign w:val="bottom"/>
          </w:tcPr>
          <w:p w:rsidR="0002177D" w:rsidRPr="001567C8" w:rsidRDefault="0002177D" w:rsidP="0002177D">
            <w:pPr>
              <w:spacing w:line="240" w:lineRule="exact"/>
              <w:jc w:val="right"/>
              <w:rPr>
                <w:rFonts w:ascii="Calibri" w:hAnsi="Calibri"/>
                <w:sz w:val="18"/>
                <w:szCs w:val="18"/>
                <w:lang w:val="hr-HR"/>
              </w:rPr>
            </w:pPr>
            <w:r w:rsidRPr="001567C8">
              <w:rPr>
                <w:rFonts w:ascii="Calibri" w:hAnsi="Calibri"/>
                <w:sz w:val="18"/>
                <w:szCs w:val="18"/>
                <w:lang w:val="hr-HR"/>
              </w:rPr>
              <w:t>592.651</w:t>
            </w:r>
          </w:p>
        </w:tc>
      </w:tr>
      <w:tr w:rsidR="0002177D" w:rsidRPr="001567C8" w:rsidTr="00940A24">
        <w:trPr>
          <w:trHeight w:val="36"/>
        </w:trPr>
        <w:tc>
          <w:tcPr>
            <w:tcW w:w="1555" w:type="pct"/>
            <w:vAlign w:val="bottom"/>
          </w:tcPr>
          <w:p w:rsidR="0002177D" w:rsidRPr="001567C8" w:rsidRDefault="0002177D" w:rsidP="00940A24">
            <w:pPr>
              <w:tabs>
                <w:tab w:val="right" w:pos="1202"/>
              </w:tabs>
              <w:spacing w:line="240" w:lineRule="exact"/>
              <w:outlineLvl w:val="0"/>
              <w:rPr>
                <w:rFonts w:ascii="Calibri" w:hAnsi="Calibri" w:cs="Arial"/>
                <w:b/>
                <w:bCs/>
                <w:sz w:val="17"/>
                <w:szCs w:val="17"/>
                <w:lang w:val="hr-HR"/>
              </w:rPr>
            </w:pPr>
            <w:r w:rsidRPr="001567C8">
              <w:rPr>
                <w:rFonts w:ascii="Calibri" w:hAnsi="Calibri" w:cs="Arial"/>
                <w:b/>
                <w:bCs/>
                <w:sz w:val="17"/>
                <w:szCs w:val="17"/>
                <w:lang w:val="hr-HR"/>
              </w:rPr>
              <w:t>Ukupne obveze</w:t>
            </w:r>
          </w:p>
        </w:tc>
        <w:tc>
          <w:tcPr>
            <w:tcW w:w="506" w:type="pct"/>
            <w:tcBorders>
              <w:top w:val="single" w:sz="2" w:space="0" w:color="auto"/>
              <w:left w:val="nil"/>
              <w:bottom w:val="single" w:sz="12" w:space="0" w:color="auto"/>
              <w:right w:val="nil"/>
            </w:tcBorders>
            <w:vAlign w:val="bottom"/>
          </w:tcPr>
          <w:p w:rsidR="0002177D" w:rsidRPr="001567C8" w:rsidRDefault="0002177D" w:rsidP="0002177D">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433.177</w:t>
            </w:r>
          </w:p>
        </w:tc>
        <w:tc>
          <w:tcPr>
            <w:tcW w:w="585" w:type="pct"/>
            <w:tcBorders>
              <w:top w:val="single" w:sz="2" w:space="0" w:color="auto"/>
              <w:left w:val="nil"/>
              <w:bottom w:val="single" w:sz="12" w:space="0" w:color="auto"/>
              <w:right w:val="nil"/>
            </w:tcBorders>
            <w:vAlign w:val="bottom"/>
          </w:tcPr>
          <w:p w:rsidR="0002177D" w:rsidRPr="001567C8" w:rsidRDefault="0002177D" w:rsidP="0002177D">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16.677.933</w:t>
            </w:r>
          </w:p>
        </w:tc>
        <w:tc>
          <w:tcPr>
            <w:tcW w:w="571" w:type="pct"/>
            <w:tcBorders>
              <w:top w:val="single" w:sz="2" w:space="0" w:color="auto"/>
              <w:left w:val="nil"/>
              <w:bottom w:val="single" w:sz="12" w:space="0" w:color="auto"/>
              <w:right w:val="nil"/>
            </w:tcBorders>
            <w:vAlign w:val="bottom"/>
          </w:tcPr>
          <w:p w:rsidR="0002177D" w:rsidRPr="001567C8" w:rsidRDefault="0002177D" w:rsidP="0002177D">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2.688</w:t>
            </w:r>
          </w:p>
        </w:tc>
        <w:tc>
          <w:tcPr>
            <w:tcW w:w="572" w:type="pct"/>
            <w:tcBorders>
              <w:top w:val="single" w:sz="2" w:space="0" w:color="auto"/>
              <w:left w:val="nil"/>
              <w:bottom w:val="single" w:sz="12" w:space="0" w:color="auto"/>
              <w:right w:val="nil"/>
            </w:tcBorders>
            <w:vAlign w:val="bottom"/>
          </w:tcPr>
          <w:p w:rsidR="0002177D" w:rsidRPr="001567C8" w:rsidRDefault="0002177D" w:rsidP="0002177D">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17.113.798</w:t>
            </w:r>
          </w:p>
        </w:tc>
        <w:tc>
          <w:tcPr>
            <w:tcW w:w="643" w:type="pct"/>
            <w:tcBorders>
              <w:top w:val="single" w:sz="2" w:space="0" w:color="auto"/>
              <w:left w:val="nil"/>
              <w:bottom w:val="single" w:sz="12" w:space="0" w:color="auto"/>
              <w:right w:val="nil"/>
            </w:tcBorders>
            <w:vAlign w:val="bottom"/>
          </w:tcPr>
          <w:p w:rsidR="0002177D" w:rsidRPr="001567C8" w:rsidRDefault="0002177D" w:rsidP="0002177D">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673.174</w:t>
            </w:r>
          </w:p>
        </w:tc>
        <w:tc>
          <w:tcPr>
            <w:tcW w:w="568" w:type="pct"/>
            <w:tcBorders>
              <w:top w:val="single" w:sz="2" w:space="0" w:color="auto"/>
              <w:left w:val="nil"/>
              <w:bottom w:val="single" w:sz="12" w:space="0" w:color="auto"/>
            </w:tcBorders>
            <w:vAlign w:val="bottom"/>
          </w:tcPr>
          <w:p w:rsidR="0002177D" w:rsidRPr="001567C8" w:rsidRDefault="0002177D" w:rsidP="0002177D">
            <w:pPr>
              <w:spacing w:line="300" w:lineRule="atLeast"/>
              <w:jc w:val="right"/>
              <w:rPr>
                <w:rFonts w:asciiTheme="minorHAnsi" w:eastAsia="Arial Unicode MS" w:hAnsiTheme="minorHAnsi" w:cs="Arial"/>
                <w:b/>
                <w:bCs/>
                <w:sz w:val="17"/>
                <w:szCs w:val="17"/>
                <w:lang w:val="hr-HR"/>
              </w:rPr>
            </w:pPr>
            <w:r w:rsidRPr="001567C8">
              <w:rPr>
                <w:rFonts w:asciiTheme="minorHAnsi" w:eastAsia="Arial Unicode MS" w:hAnsiTheme="minorHAnsi" w:cs="Arial"/>
                <w:b/>
                <w:bCs/>
                <w:sz w:val="17"/>
                <w:szCs w:val="17"/>
                <w:lang w:val="hr-HR"/>
              </w:rPr>
              <w:t>17.786.972</w:t>
            </w:r>
          </w:p>
        </w:tc>
      </w:tr>
      <w:tr w:rsidR="0002177D" w:rsidRPr="001567C8" w:rsidTr="00940A24">
        <w:trPr>
          <w:trHeight w:val="325"/>
        </w:trPr>
        <w:tc>
          <w:tcPr>
            <w:tcW w:w="1555" w:type="pct"/>
            <w:vAlign w:val="bottom"/>
          </w:tcPr>
          <w:p w:rsidR="0002177D" w:rsidRPr="001567C8" w:rsidRDefault="0002177D" w:rsidP="00940A24">
            <w:pPr>
              <w:pStyle w:val="TH"/>
              <w:spacing w:line="240" w:lineRule="exact"/>
              <w:rPr>
                <w:rFonts w:asciiTheme="minorHAnsi" w:hAnsiTheme="minorHAnsi" w:cs="Arial"/>
                <w:sz w:val="17"/>
                <w:szCs w:val="17"/>
                <w:lang w:val="hr-HR"/>
              </w:rPr>
            </w:pPr>
            <w:r w:rsidRPr="001567C8">
              <w:rPr>
                <w:rFonts w:asciiTheme="minorHAnsi" w:hAnsiTheme="minorHAnsi" w:cs="Arial"/>
                <w:sz w:val="17"/>
                <w:szCs w:val="17"/>
                <w:lang w:val="hr-HR"/>
              </w:rPr>
              <w:t>Valutni jaz</w:t>
            </w:r>
          </w:p>
        </w:tc>
        <w:tc>
          <w:tcPr>
            <w:tcW w:w="506" w:type="pct"/>
            <w:tcBorders>
              <w:top w:val="single" w:sz="12" w:space="0" w:color="auto"/>
              <w:left w:val="nil"/>
              <w:bottom w:val="single" w:sz="12" w:space="0" w:color="auto"/>
              <w:right w:val="nil"/>
            </w:tcBorders>
            <w:vAlign w:val="bottom"/>
          </w:tcPr>
          <w:p w:rsidR="0002177D" w:rsidRPr="001567C8" w:rsidRDefault="0002177D" w:rsidP="0002177D">
            <w:pPr>
              <w:pStyle w:val="TH"/>
              <w:spacing w:line="240" w:lineRule="exact"/>
              <w:jc w:val="right"/>
              <w:rPr>
                <w:rFonts w:asciiTheme="minorHAnsi" w:hAnsiTheme="minorHAnsi" w:cs="Arial"/>
                <w:sz w:val="17"/>
                <w:szCs w:val="17"/>
                <w:lang w:val="hr-HR"/>
              </w:rPr>
            </w:pPr>
            <w:r w:rsidRPr="001567C8">
              <w:rPr>
                <w:rFonts w:asciiTheme="minorHAnsi" w:hAnsiTheme="minorHAnsi" w:cs="Arial"/>
                <w:sz w:val="17"/>
                <w:szCs w:val="17"/>
                <w:lang w:val="hr-HR"/>
              </w:rPr>
              <w:t xml:space="preserve"> 25.475 </w:t>
            </w:r>
          </w:p>
        </w:tc>
        <w:tc>
          <w:tcPr>
            <w:tcW w:w="585" w:type="pct"/>
            <w:tcBorders>
              <w:top w:val="single" w:sz="12" w:space="0" w:color="auto"/>
              <w:left w:val="nil"/>
              <w:bottom w:val="single" w:sz="12" w:space="0" w:color="auto"/>
              <w:right w:val="nil"/>
            </w:tcBorders>
            <w:vAlign w:val="bottom"/>
          </w:tcPr>
          <w:p w:rsidR="0002177D" w:rsidRPr="001567C8" w:rsidRDefault="0002177D" w:rsidP="0002177D">
            <w:pPr>
              <w:pStyle w:val="TH"/>
              <w:spacing w:line="240" w:lineRule="exact"/>
              <w:jc w:val="right"/>
              <w:rPr>
                <w:rFonts w:asciiTheme="minorHAnsi" w:hAnsiTheme="minorHAnsi" w:cs="Arial"/>
                <w:sz w:val="17"/>
                <w:szCs w:val="17"/>
                <w:lang w:val="hr-HR"/>
              </w:rPr>
            </w:pPr>
            <w:r w:rsidRPr="001567C8">
              <w:rPr>
                <w:rFonts w:asciiTheme="minorHAnsi" w:hAnsiTheme="minorHAnsi" w:cs="Arial"/>
                <w:sz w:val="17"/>
                <w:szCs w:val="17"/>
                <w:lang w:val="hr-HR"/>
              </w:rPr>
              <w:t xml:space="preserve"> (702.199)</w:t>
            </w:r>
          </w:p>
        </w:tc>
        <w:tc>
          <w:tcPr>
            <w:tcW w:w="571" w:type="pct"/>
            <w:tcBorders>
              <w:top w:val="single" w:sz="12" w:space="0" w:color="auto"/>
              <w:left w:val="nil"/>
              <w:bottom w:val="single" w:sz="12" w:space="0" w:color="auto"/>
              <w:right w:val="nil"/>
            </w:tcBorders>
            <w:vAlign w:val="bottom"/>
          </w:tcPr>
          <w:p w:rsidR="0002177D" w:rsidRPr="001567C8" w:rsidRDefault="0002177D" w:rsidP="0002177D">
            <w:pPr>
              <w:pStyle w:val="TH"/>
              <w:spacing w:line="240" w:lineRule="exact"/>
              <w:jc w:val="right"/>
              <w:rPr>
                <w:rFonts w:asciiTheme="minorHAnsi" w:hAnsiTheme="minorHAnsi" w:cs="Arial"/>
                <w:sz w:val="17"/>
                <w:szCs w:val="17"/>
                <w:lang w:val="hr-HR"/>
              </w:rPr>
            </w:pPr>
            <w:r w:rsidRPr="001567C8">
              <w:rPr>
                <w:rFonts w:asciiTheme="minorHAnsi" w:hAnsiTheme="minorHAnsi" w:cs="Arial"/>
                <w:sz w:val="17"/>
                <w:szCs w:val="17"/>
                <w:lang w:val="hr-HR"/>
              </w:rPr>
              <w:t xml:space="preserve"> (1.264)**</w:t>
            </w:r>
          </w:p>
        </w:tc>
        <w:tc>
          <w:tcPr>
            <w:tcW w:w="572" w:type="pct"/>
            <w:tcBorders>
              <w:top w:val="single" w:sz="12" w:space="0" w:color="auto"/>
              <w:left w:val="nil"/>
              <w:bottom w:val="single" w:sz="12" w:space="0" w:color="auto"/>
              <w:right w:val="nil"/>
            </w:tcBorders>
            <w:vAlign w:val="bottom"/>
          </w:tcPr>
          <w:p w:rsidR="0002177D" w:rsidRPr="001567C8" w:rsidRDefault="0002177D" w:rsidP="0002177D">
            <w:pPr>
              <w:pStyle w:val="TH"/>
              <w:spacing w:line="240" w:lineRule="exact"/>
              <w:jc w:val="right"/>
              <w:rPr>
                <w:rFonts w:asciiTheme="minorHAnsi" w:hAnsiTheme="minorHAnsi" w:cs="Arial"/>
                <w:sz w:val="17"/>
                <w:szCs w:val="17"/>
                <w:lang w:val="hr-HR"/>
              </w:rPr>
            </w:pPr>
            <w:r w:rsidRPr="001567C8">
              <w:rPr>
                <w:rFonts w:asciiTheme="minorHAnsi" w:hAnsiTheme="minorHAnsi" w:cs="Arial"/>
                <w:sz w:val="17"/>
                <w:szCs w:val="17"/>
                <w:lang w:val="hr-HR"/>
              </w:rPr>
              <w:t xml:space="preserve"> (677.988)</w:t>
            </w:r>
          </w:p>
        </w:tc>
        <w:tc>
          <w:tcPr>
            <w:tcW w:w="643" w:type="pct"/>
            <w:tcBorders>
              <w:top w:val="single" w:sz="12" w:space="0" w:color="auto"/>
              <w:left w:val="nil"/>
              <w:bottom w:val="single" w:sz="12" w:space="0" w:color="auto"/>
              <w:right w:val="nil"/>
            </w:tcBorders>
            <w:vAlign w:val="bottom"/>
          </w:tcPr>
          <w:p w:rsidR="0002177D" w:rsidRPr="001567C8" w:rsidRDefault="0002177D" w:rsidP="0002177D">
            <w:pPr>
              <w:pStyle w:val="TH"/>
              <w:spacing w:line="240" w:lineRule="exact"/>
              <w:jc w:val="right"/>
              <w:rPr>
                <w:rFonts w:asciiTheme="minorHAnsi" w:hAnsiTheme="minorHAnsi" w:cs="Arial"/>
                <w:sz w:val="17"/>
                <w:szCs w:val="17"/>
                <w:lang w:val="hr-HR"/>
              </w:rPr>
            </w:pPr>
            <w:r w:rsidRPr="001567C8">
              <w:rPr>
                <w:rFonts w:asciiTheme="minorHAnsi" w:hAnsiTheme="minorHAnsi" w:cs="Arial"/>
                <w:sz w:val="17"/>
                <w:szCs w:val="17"/>
                <w:lang w:val="hr-HR"/>
              </w:rPr>
              <w:t>10.946.819</w:t>
            </w:r>
          </w:p>
        </w:tc>
        <w:tc>
          <w:tcPr>
            <w:tcW w:w="568" w:type="pct"/>
            <w:tcBorders>
              <w:top w:val="single" w:sz="12" w:space="0" w:color="auto"/>
              <w:left w:val="nil"/>
              <w:bottom w:val="single" w:sz="12" w:space="0" w:color="auto"/>
              <w:right w:val="nil"/>
            </w:tcBorders>
            <w:vAlign w:val="bottom"/>
          </w:tcPr>
          <w:p w:rsidR="0002177D" w:rsidRPr="001567C8" w:rsidRDefault="0002177D" w:rsidP="0002177D">
            <w:pPr>
              <w:pStyle w:val="TH"/>
              <w:spacing w:line="240" w:lineRule="exact"/>
              <w:jc w:val="right"/>
              <w:rPr>
                <w:rFonts w:asciiTheme="minorHAnsi" w:hAnsiTheme="minorHAnsi" w:cs="Arial"/>
                <w:sz w:val="17"/>
                <w:szCs w:val="17"/>
                <w:lang w:val="hr-HR"/>
              </w:rPr>
            </w:pPr>
            <w:r w:rsidRPr="001567C8">
              <w:rPr>
                <w:rFonts w:asciiTheme="minorHAnsi" w:hAnsiTheme="minorHAnsi" w:cs="Arial"/>
                <w:sz w:val="17"/>
                <w:szCs w:val="17"/>
                <w:lang w:val="hr-HR"/>
              </w:rPr>
              <w:t>10.268.831</w:t>
            </w:r>
          </w:p>
        </w:tc>
      </w:tr>
    </w:tbl>
    <w:p w:rsidR="00FD645D" w:rsidRPr="001567C8" w:rsidRDefault="00FD645D" w:rsidP="00FD645D">
      <w:pPr>
        <w:pStyle w:val="TT"/>
        <w:spacing w:line="240" w:lineRule="auto"/>
        <w:jc w:val="both"/>
        <w:rPr>
          <w:rFonts w:asciiTheme="minorHAnsi" w:hAnsiTheme="minorHAnsi"/>
          <w:i/>
          <w:sz w:val="20"/>
          <w:lang w:val="hr-HR"/>
        </w:rPr>
      </w:pPr>
    </w:p>
    <w:p w:rsidR="0002177D" w:rsidRPr="001567C8" w:rsidRDefault="0002177D" w:rsidP="0002177D">
      <w:pPr>
        <w:rPr>
          <w:rFonts w:ascii="Calibri" w:hAnsi="Calibri"/>
          <w:i/>
          <w:sz w:val="20"/>
          <w:szCs w:val="20"/>
          <w:lang w:val="hr-HR" w:eastAsia="hr-HR"/>
        </w:rPr>
      </w:pPr>
      <w:r w:rsidRPr="001567C8">
        <w:rPr>
          <w:rFonts w:ascii="Calibri" w:hAnsi="Calibri"/>
          <w:i/>
          <w:sz w:val="20"/>
          <w:szCs w:val="20"/>
          <w:lang w:val="hr-HR" w:eastAsia="hr-HR"/>
        </w:rPr>
        <w:t>*Iznosi vezani uz jednosmjernu valutnu klauzulu iznose 157.325 tisuća kuna.</w:t>
      </w:r>
    </w:p>
    <w:p w:rsidR="0002177D" w:rsidRPr="001567C8" w:rsidRDefault="0002177D" w:rsidP="0002177D">
      <w:pPr>
        <w:rPr>
          <w:rFonts w:ascii="Calibri" w:hAnsi="Calibri" w:cs="Arial"/>
          <w:i/>
          <w:sz w:val="20"/>
          <w:szCs w:val="20"/>
          <w:lang w:val="hr-HR" w:eastAsia="hr-HR"/>
        </w:rPr>
      </w:pPr>
      <w:r w:rsidRPr="001567C8">
        <w:rPr>
          <w:rFonts w:ascii="Calibri" w:hAnsi="Calibri"/>
          <w:i/>
          <w:sz w:val="20"/>
          <w:szCs w:val="20"/>
          <w:lang w:val="hr-HR" w:eastAsia="hr-HR"/>
        </w:rPr>
        <w:t>**Iskazani jaz rezultat je obavljenih rezerviranja po izdanim deviznim garancijama u ostalim devizama koja se iskazuju na poziciji „Ostale obveze“.</w:t>
      </w:r>
    </w:p>
    <w:p w:rsidR="00FD645D" w:rsidRPr="001567C8" w:rsidRDefault="00FD645D" w:rsidP="00FD645D">
      <w:pPr>
        <w:pStyle w:val="TT"/>
        <w:spacing w:line="240" w:lineRule="auto"/>
        <w:jc w:val="both"/>
        <w:rPr>
          <w:rFonts w:asciiTheme="minorHAnsi" w:hAnsiTheme="minorHAnsi"/>
          <w:i/>
          <w:sz w:val="20"/>
          <w:lang w:val="hr-HR"/>
        </w:rPr>
        <w:sectPr w:rsidR="00FD645D" w:rsidRPr="001567C8" w:rsidSect="0077198A">
          <w:pgSz w:w="11907" w:h="16840" w:code="9"/>
          <w:pgMar w:top="1418" w:right="1134" w:bottom="1134" w:left="1418" w:header="851" w:footer="851" w:gutter="0"/>
          <w:cols w:space="720"/>
          <w:noEndnote/>
        </w:sectPr>
      </w:pP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p w:rsidR="00B72C44" w:rsidRPr="001567C8" w:rsidRDefault="00674AD9" w:rsidP="00FD645D">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DF6947" w:rsidRPr="001567C8">
        <w:rPr>
          <w:rFonts w:asciiTheme="minorHAnsi" w:hAnsiTheme="minorHAnsi" w:cs="Arial"/>
          <w:sz w:val="22"/>
          <w:szCs w:val="22"/>
          <w:lang w:val="hr-HR"/>
        </w:rPr>
        <w:t>6</w:t>
      </w:r>
      <w:r w:rsidR="00D42EE1" w:rsidRPr="001567C8">
        <w:rPr>
          <w:rFonts w:asciiTheme="minorHAnsi" w:hAnsiTheme="minorHAnsi" w:cs="Arial"/>
          <w:sz w:val="22"/>
          <w:szCs w:val="22"/>
          <w:lang w:val="hr-HR"/>
        </w:rPr>
        <w:t xml:space="preserve">.        </w:t>
      </w:r>
      <w:r w:rsidR="00B72C44" w:rsidRPr="001567C8">
        <w:rPr>
          <w:rFonts w:asciiTheme="minorHAnsi" w:hAnsiTheme="minorHAnsi" w:cs="Arial"/>
          <w:sz w:val="22"/>
          <w:szCs w:val="22"/>
          <w:lang w:val="hr-HR"/>
        </w:rPr>
        <w:t>Upravljanje rizicima (nastavak)</w:t>
      </w: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p w:rsidR="00B72C44" w:rsidRPr="001567C8" w:rsidRDefault="00674AD9" w:rsidP="00FD645D">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DF6947" w:rsidRPr="001567C8">
        <w:rPr>
          <w:rFonts w:asciiTheme="minorHAnsi" w:hAnsiTheme="minorHAnsi" w:cs="Arial"/>
          <w:sz w:val="22"/>
          <w:szCs w:val="22"/>
          <w:lang w:val="hr-HR"/>
        </w:rPr>
        <w:t>6</w:t>
      </w:r>
      <w:r w:rsidR="00B72C44"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B72C44" w:rsidRPr="001567C8">
        <w:rPr>
          <w:rFonts w:asciiTheme="minorHAnsi" w:hAnsiTheme="minorHAnsi" w:cs="Arial"/>
          <w:sz w:val="22"/>
          <w:szCs w:val="22"/>
          <w:lang w:val="hr-HR"/>
        </w:rPr>
        <w:t xml:space="preserve">. </w:t>
      </w:r>
      <w:r w:rsidR="00D42EE1" w:rsidRPr="001567C8">
        <w:rPr>
          <w:rFonts w:asciiTheme="minorHAnsi" w:hAnsiTheme="minorHAnsi" w:cs="Arial"/>
          <w:sz w:val="22"/>
          <w:szCs w:val="22"/>
          <w:lang w:val="hr-HR"/>
        </w:rPr>
        <w:t xml:space="preserve">    </w:t>
      </w:r>
      <w:r w:rsidR="00B72C44" w:rsidRPr="001567C8">
        <w:rPr>
          <w:rFonts w:asciiTheme="minorHAnsi" w:hAnsiTheme="minorHAnsi" w:cs="Arial"/>
          <w:sz w:val="22"/>
          <w:szCs w:val="22"/>
          <w:lang w:val="hr-HR"/>
        </w:rPr>
        <w:t>Tržišni rizik (nastavak)</w:t>
      </w:r>
    </w:p>
    <w:p w:rsidR="00FD645D" w:rsidRPr="001567C8" w:rsidRDefault="00FD645D" w:rsidP="00FD645D">
      <w:pPr>
        <w:pStyle w:val="T1"/>
        <w:spacing w:before="0" w:after="0" w:line="240" w:lineRule="auto"/>
        <w:ind w:left="709" w:hanging="709"/>
        <w:rPr>
          <w:rFonts w:asciiTheme="minorHAnsi" w:hAnsiTheme="minorHAnsi" w:cs="Arial"/>
          <w:sz w:val="22"/>
          <w:szCs w:val="22"/>
          <w:lang w:val="hr-HR"/>
        </w:rPr>
      </w:pPr>
    </w:p>
    <w:p w:rsidR="00B72C44" w:rsidRPr="001567C8" w:rsidRDefault="00674AD9" w:rsidP="00FD645D">
      <w:pPr>
        <w:pStyle w:val="T1"/>
        <w:spacing w:before="0" w:after="0" w:line="240" w:lineRule="auto"/>
        <w:ind w:left="709" w:hanging="709"/>
        <w:rPr>
          <w:rFonts w:asciiTheme="minorHAnsi" w:hAnsiTheme="minorHAnsi" w:cs="Arial"/>
          <w:sz w:val="22"/>
          <w:szCs w:val="22"/>
          <w:lang w:val="hr-HR"/>
        </w:rPr>
      </w:pPr>
      <w:r w:rsidRPr="001567C8">
        <w:rPr>
          <w:rFonts w:asciiTheme="minorHAnsi" w:hAnsiTheme="minorHAnsi" w:cs="Arial"/>
          <w:sz w:val="22"/>
          <w:szCs w:val="22"/>
          <w:lang w:val="hr-HR"/>
        </w:rPr>
        <w:t>3</w:t>
      </w:r>
      <w:r w:rsidR="00DF6947" w:rsidRPr="001567C8">
        <w:rPr>
          <w:rFonts w:asciiTheme="minorHAnsi" w:hAnsiTheme="minorHAnsi" w:cs="Arial"/>
          <w:sz w:val="22"/>
          <w:szCs w:val="22"/>
          <w:lang w:val="hr-HR"/>
        </w:rPr>
        <w:t>6</w:t>
      </w:r>
      <w:r w:rsidR="00B72C44" w:rsidRPr="001567C8">
        <w:rPr>
          <w:rFonts w:asciiTheme="minorHAnsi" w:hAnsiTheme="minorHAnsi" w:cs="Arial"/>
          <w:sz w:val="22"/>
          <w:szCs w:val="22"/>
          <w:lang w:val="hr-HR"/>
        </w:rPr>
        <w:t>.</w:t>
      </w:r>
      <w:r w:rsidR="003900A3" w:rsidRPr="001567C8">
        <w:rPr>
          <w:rFonts w:asciiTheme="minorHAnsi" w:hAnsiTheme="minorHAnsi" w:cs="Arial"/>
          <w:sz w:val="22"/>
          <w:szCs w:val="22"/>
          <w:lang w:val="hr-HR"/>
        </w:rPr>
        <w:t>5</w:t>
      </w:r>
      <w:r w:rsidR="00B72C44" w:rsidRPr="001567C8">
        <w:rPr>
          <w:rFonts w:asciiTheme="minorHAnsi" w:hAnsiTheme="minorHAnsi" w:cs="Arial"/>
          <w:sz w:val="22"/>
          <w:szCs w:val="22"/>
          <w:lang w:val="hr-HR"/>
        </w:rPr>
        <w:t xml:space="preserve">.2. </w:t>
      </w:r>
      <w:r w:rsidR="00D42EE1" w:rsidRPr="001567C8">
        <w:rPr>
          <w:rFonts w:asciiTheme="minorHAnsi" w:hAnsiTheme="minorHAnsi" w:cs="Arial"/>
          <w:sz w:val="22"/>
          <w:szCs w:val="22"/>
          <w:lang w:val="hr-HR"/>
        </w:rPr>
        <w:t xml:space="preserve"> </w:t>
      </w:r>
      <w:r w:rsidR="00B72C44" w:rsidRPr="001567C8">
        <w:rPr>
          <w:rFonts w:asciiTheme="minorHAnsi" w:hAnsiTheme="minorHAnsi" w:cs="Arial"/>
          <w:sz w:val="22"/>
          <w:szCs w:val="22"/>
          <w:lang w:val="hr-HR"/>
        </w:rPr>
        <w:t>Valutni rizik (nastavak)</w:t>
      </w:r>
    </w:p>
    <w:p w:rsidR="00FD645D" w:rsidRPr="001567C8" w:rsidRDefault="00FD645D" w:rsidP="00FD645D">
      <w:pPr>
        <w:pStyle w:val="T1"/>
        <w:keepNext w:val="0"/>
        <w:spacing w:before="0" w:after="0" w:line="240" w:lineRule="auto"/>
        <w:rPr>
          <w:rFonts w:asciiTheme="minorHAnsi" w:hAnsiTheme="minorHAnsi" w:cs="Arial"/>
          <w:sz w:val="22"/>
          <w:szCs w:val="22"/>
          <w:lang w:val="hr-HR"/>
        </w:rPr>
      </w:pPr>
    </w:p>
    <w:p w:rsidR="00C63D62" w:rsidRPr="001567C8" w:rsidRDefault="00C63D62" w:rsidP="00FD645D">
      <w:pPr>
        <w:pStyle w:val="T1"/>
        <w:keepNext w:val="0"/>
        <w:spacing w:before="0" w:after="0" w:line="240" w:lineRule="auto"/>
        <w:rPr>
          <w:rFonts w:asciiTheme="minorHAnsi" w:hAnsiTheme="minorHAnsi" w:cs="Arial"/>
          <w:sz w:val="22"/>
          <w:szCs w:val="22"/>
          <w:lang w:val="hr-HR"/>
        </w:rPr>
      </w:pPr>
      <w:r w:rsidRPr="001567C8">
        <w:rPr>
          <w:rFonts w:asciiTheme="minorHAnsi" w:hAnsiTheme="minorHAnsi" w:cs="Arial"/>
          <w:sz w:val="22"/>
          <w:szCs w:val="22"/>
          <w:lang w:val="hr-HR"/>
        </w:rPr>
        <w:t>Analiza osjetljivosti</w:t>
      </w:r>
    </w:p>
    <w:p w:rsidR="00FD645D" w:rsidRPr="001567C8" w:rsidRDefault="00FD645D" w:rsidP="00FD645D">
      <w:pPr>
        <w:pStyle w:val="T1"/>
        <w:keepNext w:val="0"/>
        <w:spacing w:before="0" w:after="0" w:line="240" w:lineRule="auto"/>
        <w:rPr>
          <w:rFonts w:asciiTheme="minorHAnsi" w:hAnsiTheme="minorHAnsi" w:cs="Arial"/>
          <w:sz w:val="22"/>
          <w:szCs w:val="22"/>
          <w:lang w:val="hr-HR"/>
        </w:rPr>
      </w:pPr>
    </w:p>
    <w:p w:rsidR="00B36A45" w:rsidRPr="001567C8" w:rsidRDefault="00B36A45" w:rsidP="00E266C9">
      <w:pPr>
        <w:jc w:val="both"/>
        <w:rPr>
          <w:rFonts w:asciiTheme="minorHAnsi" w:hAnsiTheme="minorHAnsi" w:cs="Arial"/>
          <w:bCs/>
          <w:sz w:val="22"/>
          <w:szCs w:val="22"/>
          <w:lang w:val="hr-HR"/>
        </w:rPr>
      </w:pPr>
      <w:r w:rsidRPr="001567C8">
        <w:rPr>
          <w:rFonts w:asciiTheme="minorHAnsi" w:hAnsiTheme="minorHAnsi" w:cs="Arial"/>
          <w:bCs/>
          <w:sz w:val="22"/>
          <w:szCs w:val="22"/>
          <w:lang w:val="hr-HR"/>
        </w:rPr>
        <w:t>Analiza osjetljivosti</w:t>
      </w:r>
      <w:r w:rsidR="00EF44A3" w:rsidRPr="001567C8">
        <w:rPr>
          <w:rFonts w:asciiTheme="minorHAnsi" w:hAnsiTheme="minorHAnsi" w:cs="Arial"/>
          <w:bCs/>
          <w:sz w:val="22"/>
          <w:szCs w:val="22"/>
          <w:lang w:val="hr-HR"/>
        </w:rPr>
        <w:t xml:space="preserve"> ukupne imovine i ukupnih obveza Banke na promjene deviznih tečajeva provodi se za one strane valute koje na izvještajni datum predstavljaju značajn</w:t>
      </w:r>
      <w:r w:rsidR="00D75A53" w:rsidRPr="001567C8">
        <w:rPr>
          <w:rFonts w:asciiTheme="minorHAnsi" w:hAnsiTheme="minorHAnsi" w:cs="Arial"/>
          <w:bCs/>
          <w:sz w:val="22"/>
          <w:szCs w:val="22"/>
          <w:lang w:val="hr-HR"/>
        </w:rPr>
        <w:t>u</w:t>
      </w:r>
      <w:r w:rsidR="00EF44A3" w:rsidRPr="001567C8">
        <w:rPr>
          <w:rFonts w:asciiTheme="minorHAnsi" w:hAnsiTheme="minorHAnsi" w:cs="Arial"/>
          <w:bCs/>
          <w:sz w:val="22"/>
          <w:szCs w:val="22"/>
          <w:lang w:val="hr-HR"/>
        </w:rPr>
        <w:t xml:space="preserve"> valutu Banke.</w:t>
      </w:r>
      <w:r w:rsidRPr="001567C8">
        <w:rPr>
          <w:rFonts w:asciiTheme="minorHAnsi" w:hAnsiTheme="minorHAnsi" w:cs="Arial"/>
          <w:bCs/>
          <w:sz w:val="22"/>
          <w:szCs w:val="22"/>
          <w:lang w:val="hr-HR"/>
        </w:rPr>
        <w:t xml:space="preserve"> </w:t>
      </w:r>
    </w:p>
    <w:p w:rsidR="00FD645D" w:rsidRPr="001567C8" w:rsidRDefault="00FD645D" w:rsidP="001D233C">
      <w:pPr>
        <w:jc w:val="both"/>
        <w:rPr>
          <w:rFonts w:asciiTheme="minorHAnsi" w:hAnsiTheme="minorHAnsi" w:cs="Arial"/>
          <w:bCs/>
          <w:sz w:val="22"/>
          <w:szCs w:val="22"/>
          <w:lang w:val="hr-HR"/>
        </w:rPr>
      </w:pPr>
    </w:p>
    <w:p w:rsidR="00B36A45" w:rsidRPr="001567C8" w:rsidRDefault="004005FF" w:rsidP="009E2748">
      <w:pPr>
        <w:keepNext/>
        <w:jc w:val="both"/>
        <w:rPr>
          <w:rFonts w:asciiTheme="minorHAnsi" w:hAnsiTheme="minorHAnsi" w:cs="Arial"/>
          <w:bCs/>
          <w:sz w:val="22"/>
          <w:szCs w:val="22"/>
          <w:lang w:val="hr-HR"/>
        </w:rPr>
      </w:pPr>
      <w:r w:rsidRPr="001567C8">
        <w:rPr>
          <w:rFonts w:asciiTheme="minorHAnsi" w:hAnsiTheme="minorHAnsi" w:cs="Arial"/>
          <w:bCs/>
          <w:sz w:val="22"/>
          <w:szCs w:val="22"/>
          <w:lang w:val="hr-HR"/>
        </w:rPr>
        <w:t>U</w:t>
      </w:r>
      <w:r w:rsidR="00B36A45" w:rsidRPr="001567C8">
        <w:rPr>
          <w:rFonts w:asciiTheme="minorHAnsi" w:hAnsiTheme="minorHAnsi" w:cs="Arial"/>
          <w:bCs/>
          <w:sz w:val="22"/>
          <w:szCs w:val="22"/>
          <w:lang w:val="hr-HR"/>
        </w:rPr>
        <w:t xml:space="preserve"> analizi osjetljivosti za valutni rizik</w:t>
      </w:r>
      <w:r w:rsidRPr="001567C8">
        <w:rPr>
          <w:rFonts w:asciiTheme="minorHAnsi" w:hAnsiTheme="minorHAnsi" w:cs="Arial"/>
          <w:bCs/>
          <w:sz w:val="22"/>
          <w:szCs w:val="22"/>
          <w:lang w:val="hr-HR"/>
        </w:rPr>
        <w:t xml:space="preserve"> primijenjena je pretpostavka razumno moguće</w:t>
      </w:r>
      <w:r w:rsidR="00B36A45" w:rsidRPr="001567C8">
        <w:rPr>
          <w:rFonts w:asciiTheme="minorHAnsi" w:hAnsiTheme="minorHAnsi" w:cs="Arial"/>
          <w:bCs/>
          <w:sz w:val="22"/>
          <w:szCs w:val="22"/>
          <w:lang w:val="hr-HR"/>
        </w:rPr>
        <w:t xml:space="preserve"> promjene tečaja </w:t>
      </w:r>
      <w:r w:rsidRPr="001567C8">
        <w:rPr>
          <w:rFonts w:asciiTheme="minorHAnsi" w:hAnsiTheme="minorHAnsi" w:cs="Arial"/>
          <w:bCs/>
          <w:sz w:val="22"/>
          <w:szCs w:val="22"/>
          <w:lang w:val="hr-HR"/>
        </w:rPr>
        <w:t xml:space="preserve">EUR u odnosu na kunu, uz ostale varijable stabilne, </w:t>
      </w:r>
      <w:r w:rsidR="00B36A45" w:rsidRPr="001567C8">
        <w:rPr>
          <w:rFonts w:asciiTheme="minorHAnsi" w:hAnsiTheme="minorHAnsi" w:cs="Arial"/>
          <w:bCs/>
          <w:sz w:val="22"/>
          <w:szCs w:val="22"/>
          <w:lang w:val="hr-HR"/>
        </w:rPr>
        <w:t xml:space="preserve">radi procjene hipotetskog utjecaja na dobit HBOR-a na </w:t>
      </w:r>
      <w:r w:rsidR="000C2DB4" w:rsidRPr="001567C8">
        <w:rPr>
          <w:rFonts w:asciiTheme="minorHAnsi" w:hAnsiTheme="minorHAnsi" w:cs="Arial"/>
          <w:bCs/>
          <w:sz w:val="22"/>
          <w:szCs w:val="22"/>
          <w:lang w:val="hr-HR"/>
        </w:rPr>
        <w:t xml:space="preserve">dan </w:t>
      </w:r>
      <w:r w:rsidRPr="001567C8">
        <w:rPr>
          <w:rFonts w:asciiTheme="minorHAnsi" w:hAnsiTheme="minorHAnsi" w:cs="Arial"/>
          <w:bCs/>
          <w:sz w:val="22"/>
          <w:szCs w:val="22"/>
          <w:lang w:val="hr-HR"/>
        </w:rPr>
        <w:t>31.</w:t>
      </w:r>
      <w:r w:rsidR="000C2DB4" w:rsidRPr="001567C8">
        <w:rPr>
          <w:rFonts w:asciiTheme="minorHAnsi" w:hAnsiTheme="minorHAnsi" w:cs="Arial"/>
          <w:bCs/>
          <w:sz w:val="22"/>
          <w:szCs w:val="22"/>
          <w:lang w:val="hr-HR"/>
        </w:rPr>
        <w:t xml:space="preserve"> prosinca </w:t>
      </w:r>
      <w:r w:rsidR="00213DD6" w:rsidRPr="001567C8">
        <w:rPr>
          <w:rFonts w:asciiTheme="minorHAnsi" w:hAnsiTheme="minorHAnsi" w:cs="Arial"/>
          <w:bCs/>
          <w:sz w:val="22"/>
          <w:szCs w:val="22"/>
          <w:lang w:val="hr-HR"/>
        </w:rPr>
        <w:t>2018</w:t>
      </w:r>
      <w:r w:rsidRPr="001567C8">
        <w:rPr>
          <w:rFonts w:asciiTheme="minorHAnsi" w:hAnsiTheme="minorHAnsi" w:cs="Arial"/>
          <w:bCs/>
          <w:sz w:val="22"/>
          <w:szCs w:val="22"/>
          <w:lang w:val="hr-HR"/>
        </w:rPr>
        <w:t>. godine</w:t>
      </w:r>
      <w:r w:rsidR="00B36A45" w:rsidRPr="001567C8">
        <w:rPr>
          <w:rFonts w:asciiTheme="minorHAnsi" w:hAnsiTheme="minorHAnsi" w:cs="Arial"/>
          <w:bCs/>
          <w:sz w:val="22"/>
          <w:szCs w:val="22"/>
          <w:lang w:val="hr-HR"/>
        </w:rPr>
        <w:t xml:space="preserve">. </w:t>
      </w:r>
    </w:p>
    <w:p w:rsidR="00FD645D" w:rsidRPr="001567C8" w:rsidRDefault="00FD645D">
      <w:pPr>
        <w:keepNext/>
        <w:jc w:val="both"/>
        <w:rPr>
          <w:rFonts w:asciiTheme="minorHAnsi" w:hAnsiTheme="minorHAnsi" w:cs="Arial"/>
          <w:bCs/>
          <w:sz w:val="22"/>
          <w:szCs w:val="22"/>
          <w:lang w:val="hr-HR"/>
        </w:rPr>
      </w:pPr>
    </w:p>
    <w:p w:rsidR="00B36A45" w:rsidRPr="001567C8" w:rsidRDefault="00B36A45">
      <w:pPr>
        <w:keepNext/>
        <w:jc w:val="both"/>
        <w:rPr>
          <w:rFonts w:asciiTheme="minorHAnsi" w:hAnsiTheme="minorHAnsi" w:cs="Arial"/>
          <w:sz w:val="22"/>
          <w:szCs w:val="22"/>
          <w:lang w:val="hr-HR"/>
        </w:rPr>
      </w:pPr>
      <w:r w:rsidRPr="001567C8">
        <w:rPr>
          <w:rFonts w:asciiTheme="minorHAnsi" w:hAnsiTheme="minorHAnsi" w:cs="Arial"/>
          <w:bCs/>
          <w:sz w:val="22"/>
          <w:szCs w:val="22"/>
          <w:lang w:val="hr-HR"/>
        </w:rPr>
        <w:t xml:space="preserve">Primjenom metode standardne </w:t>
      </w:r>
      <w:r w:rsidRPr="001567C8">
        <w:rPr>
          <w:rFonts w:asciiTheme="minorHAnsi" w:hAnsiTheme="minorHAnsi" w:cs="Arial"/>
          <w:sz w:val="22"/>
          <w:szCs w:val="22"/>
          <w:lang w:val="hr-HR"/>
        </w:rPr>
        <w:t xml:space="preserve">devijacije na promjene tečaja EUR/HRK utvrđena je volatilnost </w:t>
      </w:r>
      <w:r w:rsidR="004005FF" w:rsidRPr="001567C8">
        <w:rPr>
          <w:rFonts w:asciiTheme="minorHAnsi" w:hAnsiTheme="minorHAnsi" w:cs="Arial"/>
          <w:sz w:val="22"/>
          <w:szCs w:val="22"/>
          <w:lang w:val="hr-HR"/>
        </w:rPr>
        <w:t xml:space="preserve">tečaja EUR/HRK </w:t>
      </w:r>
      <w:r w:rsidRPr="001567C8">
        <w:rPr>
          <w:rFonts w:asciiTheme="minorHAnsi" w:hAnsiTheme="minorHAnsi" w:cs="Arial"/>
          <w:sz w:val="22"/>
          <w:szCs w:val="22"/>
          <w:lang w:val="hr-HR"/>
        </w:rPr>
        <w:t xml:space="preserve">koja </w:t>
      </w:r>
      <w:r w:rsidR="004005FF" w:rsidRPr="001567C8">
        <w:rPr>
          <w:rFonts w:asciiTheme="minorHAnsi" w:hAnsiTheme="minorHAnsi" w:cs="Arial"/>
          <w:sz w:val="22"/>
          <w:szCs w:val="22"/>
          <w:lang w:val="hr-HR"/>
        </w:rPr>
        <w:t>je u</w:t>
      </w:r>
      <w:r w:rsidRPr="001567C8">
        <w:rPr>
          <w:rFonts w:asciiTheme="minorHAnsi" w:hAnsiTheme="minorHAnsi" w:cs="Arial"/>
          <w:sz w:val="22"/>
          <w:szCs w:val="22"/>
          <w:lang w:val="hr-HR"/>
        </w:rPr>
        <w:t xml:space="preserve"> </w:t>
      </w:r>
      <w:r w:rsidR="00213DD6" w:rsidRPr="001567C8">
        <w:rPr>
          <w:rFonts w:asciiTheme="minorHAnsi" w:hAnsiTheme="minorHAnsi" w:cs="Arial"/>
          <w:sz w:val="22"/>
          <w:szCs w:val="22"/>
          <w:lang w:val="hr-HR"/>
        </w:rPr>
        <w:t xml:space="preserve">razdoblju od prethodnih 12 mjeseci iznosila </w:t>
      </w:r>
      <w:r w:rsidR="000D531F" w:rsidRPr="001567C8">
        <w:rPr>
          <w:rFonts w:asciiTheme="minorHAnsi" w:hAnsiTheme="minorHAnsi" w:cs="Arial"/>
          <w:sz w:val="22"/>
          <w:szCs w:val="22"/>
          <w:lang w:val="hr-HR"/>
        </w:rPr>
        <w:t>1,97</w:t>
      </w:r>
      <w:r w:rsidR="00213DD6" w:rsidRPr="001567C8">
        <w:rPr>
          <w:rFonts w:asciiTheme="minorHAnsi" w:hAnsiTheme="minorHAnsi" w:cs="Arial"/>
          <w:sz w:val="22"/>
          <w:szCs w:val="22"/>
          <w:lang w:val="hr-HR"/>
        </w:rPr>
        <w:t>%</w:t>
      </w:r>
      <w:r w:rsidRPr="001567C8">
        <w:rPr>
          <w:rFonts w:asciiTheme="minorHAnsi" w:hAnsiTheme="minorHAnsi" w:cs="Arial"/>
          <w:sz w:val="22"/>
          <w:szCs w:val="22"/>
          <w:lang w:val="hr-HR"/>
        </w:rPr>
        <w:t xml:space="preserve"> </w:t>
      </w:r>
      <w:r w:rsidR="00AC0319" w:rsidRPr="001567C8">
        <w:rPr>
          <w:rFonts w:asciiTheme="minorHAnsi" w:hAnsiTheme="minorHAnsi" w:cs="Arial"/>
          <w:sz w:val="22"/>
          <w:szCs w:val="22"/>
          <w:lang w:val="hr-HR"/>
        </w:rPr>
        <w:t>(2017.:1,56%).</w:t>
      </w:r>
    </w:p>
    <w:p w:rsidR="00FD645D" w:rsidRPr="001567C8" w:rsidRDefault="00FD645D">
      <w:pPr>
        <w:keepNext/>
        <w:jc w:val="both"/>
        <w:rPr>
          <w:rFonts w:asciiTheme="minorHAnsi" w:hAnsiTheme="minorHAnsi" w:cs="Arial"/>
          <w:sz w:val="22"/>
          <w:szCs w:val="22"/>
          <w:lang w:val="hr-HR"/>
        </w:rPr>
      </w:pPr>
    </w:p>
    <w:p w:rsidR="00B36A45" w:rsidRPr="001567C8" w:rsidRDefault="00000E9B">
      <w:pPr>
        <w:jc w:val="both"/>
        <w:rPr>
          <w:rFonts w:asciiTheme="minorHAnsi" w:hAnsiTheme="minorHAnsi" w:cs="Arial"/>
          <w:bCs/>
          <w:sz w:val="22"/>
          <w:szCs w:val="22"/>
          <w:lang w:val="hr-HR"/>
        </w:rPr>
      </w:pPr>
      <w:r w:rsidRPr="001567C8">
        <w:rPr>
          <w:rFonts w:asciiTheme="minorHAnsi" w:hAnsiTheme="minorHAnsi" w:cs="Arial"/>
          <w:bCs/>
          <w:sz w:val="22"/>
          <w:szCs w:val="22"/>
          <w:lang w:val="hr-HR"/>
        </w:rPr>
        <w:t xml:space="preserve">U nastavku se </w:t>
      </w:r>
      <w:r w:rsidR="00EF44A3" w:rsidRPr="001567C8">
        <w:rPr>
          <w:rFonts w:asciiTheme="minorHAnsi" w:hAnsiTheme="minorHAnsi" w:cs="Arial"/>
          <w:bCs/>
          <w:sz w:val="22"/>
          <w:szCs w:val="22"/>
          <w:lang w:val="hr-HR"/>
        </w:rPr>
        <w:t>iskazuje</w:t>
      </w:r>
      <w:r w:rsidRPr="001567C8">
        <w:rPr>
          <w:rFonts w:asciiTheme="minorHAnsi" w:hAnsiTheme="minorHAnsi" w:cs="Arial"/>
          <w:bCs/>
          <w:sz w:val="22"/>
          <w:szCs w:val="22"/>
          <w:lang w:val="hr-HR"/>
        </w:rPr>
        <w:t xml:space="preserve"> utjecaj pretpostavljene promjene tečaja EUR/HRK, po stavkama </w:t>
      </w:r>
      <w:r w:rsidR="00E71691" w:rsidRPr="001567C8">
        <w:rPr>
          <w:rFonts w:asciiTheme="minorHAnsi" w:hAnsiTheme="minorHAnsi" w:cs="Arial"/>
          <w:bCs/>
          <w:sz w:val="22"/>
          <w:szCs w:val="22"/>
          <w:lang w:val="hr-HR"/>
        </w:rPr>
        <w:t xml:space="preserve">ukupne </w:t>
      </w:r>
      <w:r w:rsidR="008D6072" w:rsidRPr="001567C8">
        <w:rPr>
          <w:rFonts w:asciiTheme="minorHAnsi" w:hAnsiTheme="minorHAnsi" w:cs="Arial"/>
          <w:bCs/>
          <w:sz w:val="22"/>
          <w:szCs w:val="22"/>
          <w:lang w:val="hr-HR"/>
        </w:rPr>
        <w:t>imovine</w:t>
      </w:r>
      <w:r w:rsidRPr="001567C8">
        <w:rPr>
          <w:rFonts w:asciiTheme="minorHAnsi" w:hAnsiTheme="minorHAnsi" w:cs="Arial"/>
          <w:bCs/>
          <w:sz w:val="22"/>
          <w:szCs w:val="22"/>
          <w:lang w:val="hr-HR"/>
        </w:rPr>
        <w:t xml:space="preserve"> i</w:t>
      </w:r>
      <w:r w:rsidR="008D6072" w:rsidRPr="001567C8">
        <w:rPr>
          <w:rFonts w:asciiTheme="minorHAnsi" w:hAnsiTheme="minorHAnsi" w:cs="Arial"/>
          <w:bCs/>
          <w:sz w:val="22"/>
          <w:szCs w:val="22"/>
          <w:lang w:val="hr-HR"/>
        </w:rPr>
        <w:t xml:space="preserve"> </w:t>
      </w:r>
      <w:r w:rsidR="00E71691" w:rsidRPr="001567C8">
        <w:rPr>
          <w:rFonts w:asciiTheme="minorHAnsi" w:hAnsiTheme="minorHAnsi" w:cs="Arial"/>
          <w:bCs/>
          <w:sz w:val="22"/>
          <w:szCs w:val="22"/>
          <w:lang w:val="hr-HR"/>
        </w:rPr>
        <w:t xml:space="preserve">ukupnih </w:t>
      </w:r>
      <w:r w:rsidR="008D6072" w:rsidRPr="001567C8">
        <w:rPr>
          <w:rFonts w:asciiTheme="minorHAnsi" w:hAnsiTheme="minorHAnsi" w:cs="Arial"/>
          <w:bCs/>
          <w:sz w:val="22"/>
          <w:szCs w:val="22"/>
          <w:lang w:val="hr-HR"/>
        </w:rPr>
        <w:t>obveza</w:t>
      </w:r>
      <w:r w:rsidR="00E71691" w:rsidRPr="001567C8">
        <w:rPr>
          <w:rFonts w:asciiTheme="minorHAnsi" w:hAnsiTheme="minorHAnsi" w:cs="Arial"/>
          <w:bCs/>
          <w:sz w:val="22"/>
          <w:szCs w:val="22"/>
          <w:lang w:val="hr-HR"/>
        </w:rPr>
        <w:t xml:space="preserve"> </w:t>
      </w:r>
      <w:r w:rsidRPr="001567C8">
        <w:rPr>
          <w:rFonts w:asciiTheme="minorHAnsi" w:hAnsiTheme="minorHAnsi" w:cs="Arial"/>
          <w:bCs/>
          <w:sz w:val="22"/>
          <w:szCs w:val="22"/>
          <w:lang w:val="hr-HR"/>
        </w:rPr>
        <w:t>denominiranim ili vezanim uz EUR,</w:t>
      </w:r>
      <w:r w:rsidRPr="001567C8" w:rsidDel="007E1CF7">
        <w:rPr>
          <w:rFonts w:asciiTheme="minorHAnsi" w:hAnsiTheme="minorHAnsi" w:cs="Arial"/>
          <w:bCs/>
          <w:sz w:val="22"/>
          <w:szCs w:val="22"/>
          <w:lang w:val="hr-HR"/>
        </w:rPr>
        <w:t xml:space="preserve"> </w:t>
      </w:r>
      <w:r w:rsidRPr="001567C8">
        <w:rPr>
          <w:rFonts w:asciiTheme="minorHAnsi" w:hAnsiTheme="minorHAnsi" w:cs="Arial"/>
          <w:bCs/>
          <w:sz w:val="22"/>
          <w:szCs w:val="22"/>
          <w:lang w:val="hr-HR"/>
        </w:rPr>
        <w:t>na dobit HBOR-a.</w:t>
      </w:r>
    </w:p>
    <w:p w:rsidR="00FD645D" w:rsidRPr="001567C8" w:rsidRDefault="00FD645D" w:rsidP="00FD645D">
      <w:pPr>
        <w:jc w:val="both"/>
        <w:rPr>
          <w:rFonts w:asciiTheme="minorHAnsi" w:hAnsiTheme="minorHAnsi" w:cs="Arial"/>
          <w:bCs/>
          <w:sz w:val="22"/>
          <w:szCs w:val="22"/>
          <w:lang w:val="hr-HR"/>
        </w:rPr>
      </w:pPr>
    </w:p>
    <w:tbl>
      <w:tblPr>
        <w:tblW w:w="5000" w:type="pct"/>
        <w:jc w:val="center"/>
        <w:tblLook w:val="01E0" w:firstRow="1" w:lastRow="1" w:firstColumn="1" w:lastColumn="1" w:noHBand="0" w:noVBand="0"/>
      </w:tblPr>
      <w:tblGrid>
        <w:gridCol w:w="1845"/>
        <w:gridCol w:w="1877"/>
        <w:gridCol w:w="1878"/>
        <w:gridCol w:w="1878"/>
        <w:gridCol w:w="1877"/>
      </w:tblGrid>
      <w:tr w:rsidR="00FD645D" w:rsidRPr="001567C8" w:rsidTr="007F685A">
        <w:trPr>
          <w:trHeight w:hRule="exact" w:val="546"/>
          <w:jc w:val="center"/>
        </w:trPr>
        <w:tc>
          <w:tcPr>
            <w:tcW w:w="986" w:type="pct"/>
          </w:tcPr>
          <w:p w:rsidR="00FD645D" w:rsidRPr="001567C8" w:rsidRDefault="00FD645D" w:rsidP="00FD645D">
            <w:pPr>
              <w:spacing w:before="240" w:after="120" w:line="360" w:lineRule="auto"/>
              <w:rPr>
                <w:rFonts w:ascii="Calibri" w:hAnsi="Calibri" w:cs="Arial"/>
                <w:b/>
                <w:bCs/>
                <w:sz w:val="20"/>
                <w:szCs w:val="20"/>
                <w:lang w:val="hr-HR"/>
              </w:rPr>
            </w:pPr>
            <w:r w:rsidRPr="001567C8">
              <w:rPr>
                <w:rFonts w:ascii="Calibri" w:hAnsi="Calibri" w:cs="Arial"/>
                <w:b/>
                <w:bCs/>
                <w:sz w:val="20"/>
                <w:szCs w:val="20"/>
                <w:lang w:val="hr-HR"/>
              </w:rPr>
              <w:t>Valuta</w:t>
            </w:r>
          </w:p>
        </w:tc>
        <w:tc>
          <w:tcPr>
            <w:tcW w:w="1003" w:type="pct"/>
          </w:tcPr>
          <w:p w:rsidR="00FD645D" w:rsidRPr="001567C8" w:rsidRDefault="00FD645D" w:rsidP="002B0028">
            <w:pPr>
              <w:jc w:val="right"/>
              <w:rPr>
                <w:rFonts w:ascii="Calibri" w:hAnsi="Calibri" w:cs="Arial"/>
                <w:b/>
                <w:bCs/>
                <w:sz w:val="20"/>
                <w:szCs w:val="20"/>
                <w:lang w:val="hr-HR"/>
              </w:rPr>
            </w:pPr>
            <w:r w:rsidRPr="001567C8">
              <w:rPr>
                <w:rFonts w:ascii="Calibri" w:hAnsi="Calibri" w:cs="Arial"/>
                <w:b/>
                <w:bCs/>
                <w:sz w:val="20"/>
                <w:szCs w:val="20"/>
                <w:lang w:val="hr-HR"/>
              </w:rPr>
              <w:t xml:space="preserve">Promjene tečaja valute u </w:t>
            </w:r>
            <w:r w:rsidR="00213DD6" w:rsidRPr="001567C8">
              <w:rPr>
                <w:rFonts w:ascii="Calibri" w:hAnsi="Calibri" w:cs="Arial"/>
                <w:b/>
                <w:bCs/>
                <w:sz w:val="20"/>
                <w:szCs w:val="20"/>
                <w:lang w:val="hr-HR"/>
              </w:rPr>
              <w:t>2018</w:t>
            </w:r>
            <w:r w:rsidRPr="001567C8">
              <w:rPr>
                <w:rFonts w:ascii="Calibri" w:hAnsi="Calibri" w:cs="Arial"/>
                <w:b/>
                <w:bCs/>
                <w:sz w:val="20"/>
                <w:szCs w:val="20"/>
                <w:lang w:val="hr-HR"/>
              </w:rPr>
              <w:t>.</w:t>
            </w:r>
          </w:p>
        </w:tc>
        <w:tc>
          <w:tcPr>
            <w:tcW w:w="1004" w:type="pct"/>
          </w:tcPr>
          <w:p w:rsidR="00FD645D" w:rsidRPr="001567C8" w:rsidRDefault="00FD645D" w:rsidP="002B0028">
            <w:pPr>
              <w:jc w:val="right"/>
              <w:rPr>
                <w:rFonts w:ascii="Calibri" w:hAnsi="Calibri" w:cs="Arial"/>
                <w:b/>
                <w:bCs/>
                <w:sz w:val="20"/>
                <w:szCs w:val="20"/>
                <w:lang w:val="hr-HR"/>
              </w:rPr>
            </w:pPr>
            <w:r w:rsidRPr="001567C8">
              <w:rPr>
                <w:rFonts w:ascii="Calibri" w:hAnsi="Calibri" w:cs="Arial"/>
                <w:b/>
                <w:bCs/>
                <w:sz w:val="20"/>
                <w:szCs w:val="20"/>
                <w:lang w:val="hr-HR"/>
              </w:rPr>
              <w:t>Utjecaj na dobit</w:t>
            </w:r>
            <w:r w:rsidR="002B0028" w:rsidRPr="001567C8">
              <w:rPr>
                <w:rFonts w:ascii="Calibri" w:hAnsi="Calibri" w:cs="Arial"/>
                <w:b/>
                <w:bCs/>
                <w:sz w:val="20"/>
                <w:szCs w:val="20"/>
                <w:lang w:val="hr-HR"/>
              </w:rPr>
              <w:t xml:space="preserve"> </w:t>
            </w:r>
            <w:r w:rsidR="00213DD6" w:rsidRPr="001567C8">
              <w:rPr>
                <w:rFonts w:ascii="Calibri" w:hAnsi="Calibri" w:cs="Arial"/>
                <w:b/>
                <w:bCs/>
                <w:sz w:val="20"/>
                <w:szCs w:val="20"/>
                <w:lang w:val="hr-HR"/>
              </w:rPr>
              <w:t>2018</w:t>
            </w:r>
            <w:r w:rsidRPr="001567C8">
              <w:rPr>
                <w:rFonts w:ascii="Calibri" w:hAnsi="Calibri" w:cs="Arial"/>
                <w:b/>
                <w:bCs/>
                <w:sz w:val="20"/>
                <w:szCs w:val="20"/>
                <w:lang w:val="hr-HR"/>
              </w:rPr>
              <w:t>.</w:t>
            </w:r>
          </w:p>
        </w:tc>
        <w:tc>
          <w:tcPr>
            <w:tcW w:w="1004" w:type="pct"/>
          </w:tcPr>
          <w:p w:rsidR="00FD645D" w:rsidRPr="001567C8" w:rsidRDefault="00FD645D" w:rsidP="002B0028">
            <w:pPr>
              <w:jc w:val="right"/>
              <w:rPr>
                <w:rFonts w:ascii="Calibri" w:hAnsi="Calibri" w:cs="Arial"/>
                <w:b/>
                <w:bCs/>
                <w:sz w:val="20"/>
                <w:szCs w:val="20"/>
                <w:lang w:val="hr-HR"/>
              </w:rPr>
            </w:pPr>
            <w:r w:rsidRPr="001567C8">
              <w:rPr>
                <w:rFonts w:ascii="Calibri" w:hAnsi="Calibri" w:cs="Arial"/>
                <w:b/>
                <w:bCs/>
                <w:sz w:val="20"/>
                <w:szCs w:val="20"/>
                <w:lang w:val="hr-HR"/>
              </w:rPr>
              <w:t>P</w:t>
            </w:r>
            <w:r w:rsidR="002B0028" w:rsidRPr="001567C8">
              <w:rPr>
                <w:rFonts w:ascii="Calibri" w:hAnsi="Calibri" w:cs="Arial"/>
                <w:b/>
                <w:bCs/>
                <w:sz w:val="20"/>
                <w:szCs w:val="20"/>
                <w:lang w:val="hr-HR"/>
              </w:rPr>
              <w:t xml:space="preserve">romjene tečaja valute u </w:t>
            </w:r>
            <w:r w:rsidR="00213DD6" w:rsidRPr="001567C8">
              <w:rPr>
                <w:rFonts w:ascii="Calibri" w:hAnsi="Calibri" w:cs="Arial"/>
                <w:b/>
                <w:bCs/>
                <w:sz w:val="20"/>
                <w:szCs w:val="20"/>
                <w:lang w:val="hr-HR"/>
              </w:rPr>
              <w:t>2017</w:t>
            </w:r>
            <w:r w:rsidRPr="001567C8">
              <w:rPr>
                <w:rFonts w:ascii="Calibri" w:hAnsi="Calibri" w:cs="Arial"/>
                <w:b/>
                <w:bCs/>
                <w:sz w:val="20"/>
                <w:szCs w:val="20"/>
                <w:lang w:val="hr-HR"/>
              </w:rPr>
              <w:t>.</w:t>
            </w:r>
          </w:p>
        </w:tc>
        <w:tc>
          <w:tcPr>
            <w:tcW w:w="1003" w:type="pct"/>
          </w:tcPr>
          <w:p w:rsidR="00FD645D" w:rsidRPr="001567C8" w:rsidRDefault="00FD645D" w:rsidP="002B0028">
            <w:pPr>
              <w:jc w:val="right"/>
              <w:rPr>
                <w:rFonts w:ascii="Calibri" w:hAnsi="Calibri" w:cs="Arial"/>
                <w:b/>
                <w:bCs/>
                <w:sz w:val="20"/>
                <w:szCs w:val="20"/>
                <w:lang w:val="hr-HR"/>
              </w:rPr>
            </w:pPr>
            <w:r w:rsidRPr="001567C8">
              <w:rPr>
                <w:rFonts w:ascii="Calibri" w:hAnsi="Calibri" w:cs="Arial"/>
                <w:b/>
                <w:bCs/>
                <w:sz w:val="20"/>
                <w:szCs w:val="20"/>
                <w:lang w:val="hr-HR"/>
              </w:rPr>
              <w:t>Utjecaj na dobit</w:t>
            </w:r>
          </w:p>
          <w:p w:rsidR="00FD645D" w:rsidRPr="001567C8" w:rsidRDefault="00213DD6" w:rsidP="00FD645D">
            <w:pPr>
              <w:jc w:val="right"/>
              <w:rPr>
                <w:rFonts w:ascii="Calibri" w:hAnsi="Calibri" w:cs="Arial"/>
                <w:b/>
                <w:bCs/>
                <w:sz w:val="20"/>
                <w:szCs w:val="20"/>
                <w:lang w:val="hr-HR"/>
              </w:rPr>
            </w:pPr>
            <w:r w:rsidRPr="001567C8">
              <w:rPr>
                <w:rFonts w:ascii="Calibri" w:hAnsi="Calibri" w:cs="Arial"/>
                <w:b/>
                <w:bCs/>
                <w:sz w:val="20"/>
                <w:szCs w:val="20"/>
                <w:lang w:val="hr-HR"/>
              </w:rPr>
              <w:t>2017</w:t>
            </w:r>
            <w:r w:rsidR="00FD645D" w:rsidRPr="001567C8">
              <w:rPr>
                <w:rFonts w:ascii="Calibri" w:hAnsi="Calibri" w:cs="Arial"/>
                <w:b/>
                <w:bCs/>
                <w:sz w:val="20"/>
                <w:szCs w:val="20"/>
                <w:lang w:val="hr-HR"/>
              </w:rPr>
              <w:t>.</w:t>
            </w:r>
          </w:p>
        </w:tc>
      </w:tr>
      <w:tr w:rsidR="00FD645D" w:rsidRPr="001567C8" w:rsidTr="007F685A">
        <w:trPr>
          <w:trHeight w:hRule="exact" w:val="221"/>
          <w:jc w:val="center"/>
        </w:trPr>
        <w:tc>
          <w:tcPr>
            <w:tcW w:w="986" w:type="pct"/>
          </w:tcPr>
          <w:p w:rsidR="00FD645D" w:rsidRPr="001567C8" w:rsidRDefault="00FD645D" w:rsidP="00FD645D">
            <w:pPr>
              <w:spacing w:line="360" w:lineRule="auto"/>
              <w:jc w:val="both"/>
              <w:rPr>
                <w:rFonts w:ascii="Calibri" w:hAnsi="Calibri" w:cs="Arial"/>
                <w:bCs/>
                <w:sz w:val="20"/>
                <w:szCs w:val="20"/>
                <w:lang w:val="hr-HR"/>
              </w:rPr>
            </w:pPr>
          </w:p>
        </w:tc>
        <w:tc>
          <w:tcPr>
            <w:tcW w:w="1003" w:type="pct"/>
          </w:tcPr>
          <w:p w:rsidR="00FD645D" w:rsidRPr="001567C8" w:rsidRDefault="00FD645D" w:rsidP="00FD645D">
            <w:pPr>
              <w:spacing w:line="360" w:lineRule="auto"/>
              <w:jc w:val="right"/>
              <w:rPr>
                <w:rFonts w:ascii="Calibri" w:hAnsi="Calibri" w:cs="Arial"/>
                <w:b/>
                <w:bCs/>
                <w:sz w:val="20"/>
                <w:szCs w:val="20"/>
                <w:lang w:val="hr-HR"/>
              </w:rPr>
            </w:pPr>
            <w:r w:rsidRPr="001567C8">
              <w:rPr>
                <w:rFonts w:ascii="Calibri" w:hAnsi="Calibri" w:cs="Arial"/>
                <w:b/>
                <w:bCs/>
                <w:sz w:val="20"/>
                <w:szCs w:val="20"/>
                <w:lang w:val="hr-HR"/>
              </w:rPr>
              <w:t>%</w:t>
            </w:r>
          </w:p>
        </w:tc>
        <w:tc>
          <w:tcPr>
            <w:tcW w:w="1004" w:type="pct"/>
            <w:vAlign w:val="center"/>
          </w:tcPr>
          <w:p w:rsidR="00FD645D" w:rsidRPr="001567C8" w:rsidRDefault="00FD645D" w:rsidP="00FD645D">
            <w:pPr>
              <w:spacing w:line="360" w:lineRule="auto"/>
              <w:jc w:val="right"/>
              <w:rPr>
                <w:rFonts w:ascii="Calibri" w:hAnsi="Calibri" w:cs="Arial"/>
                <w:b/>
                <w:bCs/>
                <w:sz w:val="20"/>
                <w:szCs w:val="20"/>
                <w:lang w:val="hr-HR"/>
              </w:rPr>
            </w:pPr>
            <w:r w:rsidRPr="001567C8">
              <w:rPr>
                <w:rFonts w:ascii="Calibri" w:hAnsi="Calibri" w:cs="Arial"/>
                <w:b/>
                <w:sz w:val="20"/>
                <w:szCs w:val="20"/>
                <w:lang w:val="hr-HR"/>
              </w:rPr>
              <w:t>000 kuna</w:t>
            </w:r>
          </w:p>
        </w:tc>
        <w:tc>
          <w:tcPr>
            <w:tcW w:w="1004" w:type="pct"/>
          </w:tcPr>
          <w:p w:rsidR="00FD645D" w:rsidRPr="001567C8" w:rsidRDefault="00FD645D" w:rsidP="00FD645D">
            <w:pPr>
              <w:spacing w:line="360" w:lineRule="auto"/>
              <w:jc w:val="right"/>
              <w:rPr>
                <w:rFonts w:ascii="Calibri" w:hAnsi="Calibri" w:cs="Arial"/>
                <w:b/>
                <w:bCs/>
                <w:sz w:val="20"/>
                <w:szCs w:val="20"/>
                <w:lang w:val="hr-HR"/>
              </w:rPr>
            </w:pPr>
            <w:r w:rsidRPr="001567C8">
              <w:rPr>
                <w:rFonts w:ascii="Calibri" w:hAnsi="Calibri" w:cs="Arial"/>
                <w:b/>
                <w:bCs/>
                <w:sz w:val="20"/>
                <w:szCs w:val="20"/>
                <w:lang w:val="hr-HR"/>
              </w:rPr>
              <w:t>%</w:t>
            </w:r>
          </w:p>
        </w:tc>
        <w:tc>
          <w:tcPr>
            <w:tcW w:w="1003" w:type="pct"/>
            <w:vAlign w:val="center"/>
          </w:tcPr>
          <w:p w:rsidR="00FD645D" w:rsidRPr="001567C8" w:rsidRDefault="00FD645D" w:rsidP="00FD645D">
            <w:pPr>
              <w:spacing w:line="360" w:lineRule="auto"/>
              <w:jc w:val="right"/>
              <w:rPr>
                <w:rFonts w:ascii="Calibri" w:hAnsi="Calibri" w:cs="Arial"/>
                <w:b/>
                <w:bCs/>
                <w:sz w:val="20"/>
                <w:szCs w:val="20"/>
                <w:lang w:val="hr-HR"/>
              </w:rPr>
            </w:pPr>
            <w:r w:rsidRPr="001567C8">
              <w:rPr>
                <w:rFonts w:ascii="Calibri" w:hAnsi="Calibri" w:cs="Arial"/>
                <w:b/>
                <w:sz w:val="20"/>
                <w:szCs w:val="20"/>
                <w:lang w:val="hr-HR"/>
              </w:rPr>
              <w:t>000 kuna</w:t>
            </w:r>
          </w:p>
        </w:tc>
      </w:tr>
      <w:tr w:rsidR="00FD645D" w:rsidRPr="001567C8" w:rsidTr="007F685A">
        <w:trPr>
          <w:trHeight w:hRule="exact" w:val="175"/>
          <w:jc w:val="center"/>
        </w:trPr>
        <w:tc>
          <w:tcPr>
            <w:tcW w:w="986" w:type="pct"/>
          </w:tcPr>
          <w:p w:rsidR="00FD645D" w:rsidRPr="001567C8" w:rsidRDefault="00FD645D" w:rsidP="00FD645D">
            <w:pPr>
              <w:spacing w:line="360" w:lineRule="auto"/>
              <w:jc w:val="both"/>
              <w:rPr>
                <w:rFonts w:ascii="Calibri" w:hAnsi="Calibri" w:cs="Arial"/>
                <w:bCs/>
                <w:sz w:val="20"/>
                <w:szCs w:val="20"/>
                <w:lang w:val="hr-HR"/>
              </w:rPr>
            </w:pPr>
          </w:p>
        </w:tc>
        <w:tc>
          <w:tcPr>
            <w:tcW w:w="1003" w:type="pct"/>
          </w:tcPr>
          <w:p w:rsidR="00FD645D" w:rsidRPr="001567C8" w:rsidRDefault="00FD645D" w:rsidP="00FD645D">
            <w:pPr>
              <w:spacing w:line="360" w:lineRule="auto"/>
              <w:jc w:val="center"/>
              <w:rPr>
                <w:rFonts w:ascii="Calibri" w:hAnsi="Calibri" w:cs="Arial"/>
                <w:bCs/>
                <w:sz w:val="20"/>
                <w:szCs w:val="20"/>
                <w:lang w:val="hr-HR"/>
              </w:rPr>
            </w:pPr>
          </w:p>
        </w:tc>
        <w:tc>
          <w:tcPr>
            <w:tcW w:w="1004" w:type="pct"/>
            <w:vAlign w:val="center"/>
          </w:tcPr>
          <w:p w:rsidR="00FD645D" w:rsidRPr="001567C8" w:rsidRDefault="00FD645D" w:rsidP="00FD645D">
            <w:pPr>
              <w:spacing w:line="360" w:lineRule="auto"/>
              <w:jc w:val="right"/>
              <w:rPr>
                <w:rFonts w:ascii="Calibri" w:hAnsi="Calibri" w:cs="Arial"/>
                <w:b/>
                <w:sz w:val="20"/>
                <w:szCs w:val="20"/>
                <w:lang w:val="hr-HR"/>
              </w:rPr>
            </w:pPr>
          </w:p>
        </w:tc>
        <w:tc>
          <w:tcPr>
            <w:tcW w:w="1004" w:type="pct"/>
          </w:tcPr>
          <w:p w:rsidR="00FD645D" w:rsidRPr="001567C8" w:rsidRDefault="00FD645D" w:rsidP="00FD645D">
            <w:pPr>
              <w:spacing w:line="360" w:lineRule="auto"/>
              <w:jc w:val="right"/>
              <w:rPr>
                <w:rFonts w:ascii="Calibri" w:hAnsi="Calibri" w:cs="Arial"/>
                <w:bCs/>
                <w:sz w:val="20"/>
                <w:szCs w:val="20"/>
                <w:lang w:val="hr-HR"/>
              </w:rPr>
            </w:pPr>
          </w:p>
        </w:tc>
        <w:tc>
          <w:tcPr>
            <w:tcW w:w="1003" w:type="pct"/>
            <w:vAlign w:val="center"/>
          </w:tcPr>
          <w:p w:rsidR="00FD645D" w:rsidRPr="001567C8" w:rsidRDefault="00FD645D" w:rsidP="00FD645D">
            <w:pPr>
              <w:spacing w:line="360" w:lineRule="auto"/>
              <w:jc w:val="right"/>
              <w:rPr>
                <w:rFonts w:ascii="Calibri" w:hAnsi="Calibri" w:cs="Arial"/>
                <w:b/>
                <w:sz w:val="20"/>
                <w:szCs w:val="20"/>
                <w:lang w:val="hr-HR"/>
              </w:rPr>
            </w:pPr>
          </w:p>
        </w:tc>
      </w:tr>
      <w:tr w:rsidR="000D531F" w:rsidRPr="001567C8" w:rsidTr="003C6BA3">
        <w:trPr>
          <w:trHeight w:hRule="exact" w:val="284"/>
          <w:jc w:val="center"/>
        </w:trPr>
        <w:tc>
          <w:tcPr>
            <w:tcW w:w="986" w:type="pct"/>
            <w:vAlign w:val="center"/>
          </w:tcPr>
          <w:p w:rsidR="000D531F" w:rsidRPr="001567C8" w:rsidRDefault="000D531F" w:rsidP="000D531F">
            <w:pPr>
              <w:spacing w:line="360" w:lineRule="auto"/>
              <w:jc w:val="both"/>
              <w:rPr>
                <w:rFonts w:ascii="Calibri" w:hAnsi="Calibri" w:cs="Arial"/>
                <w:bCs/>
                <w:sz w:val="20"/>
                <w:szCs w:val="20"/>
                <w:lang w:val="hr-HR"/>
              </w:rPr>
            </w:pPr>
            <w:r w:rsidRPr="001567C8">
              <w:rPr>
                <w:rFonts w:ascii="Calibri" w:hAnsi="Calibri" w:cs="Arial"/>
                <w:bCs/>
                <w:sz w:val="20"/>
                <w:szCs w:val="20"/>
                <w:lang w:val="hr-HR"/>
              </w:rPr>
              <w:t>EUR</w:t>
            </w:r>
          </w:p>
        </w:tc>
        <w:tc>
          <w:tcPr>
            <w:tcW w:w="1003"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r w:rsidRPr="00CD3A2D">
              <w:rPr>
                <w:rFonts w:asciiTheme="minorHAnsi" w:hAnsiTheme="minorHAnsi" w:cs="Arial"/>
                <w:b w:val="0"/>
                <w:sz w:val="20"/>
                <w:lang w:val="hr-HR"/>
              </w:rPr>
              <w:t>+1,97</w:t>
            </w:r>
          </w:p>
        </w:tc>
        <w:tc>
          <w:tcPr>
            <w:tcW w:w="1004"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r w:rsidRPr="00CD3A2D">
              <w:rPr>
                <w:rFonts w:asciiTheme="minorHAnsi" w:hAnsiTheme="minorHAnsi" w:cs="Arial"/>
                <w:b w:val="0"/>
                <w:sz w:val="20"/>
                <w:lang w:val="hr-HR"/>
              </w:rPr>
              <w:t>(14.207)</w:t>
            </w:r>
          </w:p>
        </w:tc>
        <w:tc>
          <w:tcPr>
            <w:tcW w:w="1004"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r w:rsidRPr="001567C8">
              <w:rPr>
                <w:rFonts w:asciiTheme="minorHAnsi" w:hAnsiTheme="minorHAnsi" w:cs="Arial"/>
                <w:b w:val="0"/>
                <w:sz w:val="20"/>
                <w:lang w:val="hr-HR"/>
              </w:rPr>
              <w:t>+1,</w:t>
            </w:r>
            <w:r w:rsidR="00C86CF5" w:rsidRPr="001567C8">
              <w:rPr>
                <w:rFonts w:asciiTheme="minorHAnsi" w:hAnsiTheme="minorHAnsi" w:cs="Arial"/>
                <w:b w:val="0"/>
                <w:sz w:val="20"/>
                <w:lang w:val="hr-HR"/>
              </w:rPr>
              <w:t>56</w:t>
            </w:r>
            <w:r w:rsidRPr="001567C8">
              <w:rPr>
                <w:rFonts w:asciiTheme="minorHAnsi" w:hAnsiTheme="minorHAnsi" w:cs="Arial"/>
                <w:b w:val="0"/>
                <w:sz w:val="20"/>
                <w:lang w:val="hr-HR"/>
              </w:rPr>
              <w:t>%</w:t>
            </w:r>
          </w:p>
        </w:tc>
        <w:tc>
          <w:tcPr>
            <w:tcW w:w="1003"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r w:rsidRPr="001567C8">
              <w:rPr>
                <w:rFonts w:asciiTheme="minorHAnsi" w:hAnsiTheme="minorHAnsi" w:cs="Arial"/>
                <w:b w:val="0"/>
                <w:sz w:val="20"/>
                <w:lang w:val="hr-HR"/>
              </w:rPr>
              <w:t>(190)</w:t>
            </w:r>
          </w:p>
        </w:tc>
      </w:tr>
      <w:tr w:rsidR="000D531F" w:rsidRPr="001567C8" w:rsidTr="003C6BA3">
        <w:trPr>
          <w:trHeight w:hRule="exact" w:val="103"/>
          <w:jc w:val="center"/>
        </w:trPr>
        <w:tc>
          <w:tcPr>
            <w:tcW w:w="986" w:type="pct"/>
            <w:vAlign w:val="center"/>
          </w:tcPr>
          <w:p w:rsidR="000D531F" w:rsidRPr="001567C8" w:rsidRDefault="000D531F" w:rsidP="000D531F">
            <w:pPr>
              <w:spacing w:line="360" w:lineRule="auto"/>
              <w:jc w:val="both"/>
              <w:rPr>
                <w:rFonts w:ascii="Calibri" w:hAnsi="Calibri" w:cs="Arial"/>
                <w:bCs/>
                <w:sz w:val="20"/>
                <w:szCs w:val="20"/>
                <w:lang w:val="hr-HR"/>
              </w:rPr>
            </w:pPr>
          </w:p>
        </w:tc>
        <w:tc>
          <w:tcPr>
            <w:tcW w:w="1003" w:type="pct"/>
            <w:vAlign w:val="center"/>
          </w:tcPr>
          <w:p w:rsidR="000D531F" w:rsidRPr="001567C8" w:rsidRDefault="000D531F">
            <w:pPr>
              <w:spacing w:line="360" w:lineRule="auto"/>
              <w:jc w:val="right"/>
              <w:rPr>
                <w:rFonts w:asciiTheme="minorHAnsi" w:hAnsiTheme="minorHAnsi" w:cs="Arial"/>
                <w:bCs/>
                <w:sz w:val="20"/>
                <w:szCs w:val="20"/>
                <w:lang w:val="hr-HR"/>
              </w:rPr>
            </w:pPr>
          </w:p>
        </w:tc>
        <w:tc>
          <w:tcPr>
            <w:tcW w:w="1004" w:type="pct"/>
            <w:vAlign w:val="center"/>
          </w:tcPr>
          <w:p w:rsidR="000D531F" w:rsidRPr="001567C8" w:rsidRDefault="000D531F">
            <w:pPr>
              <w:spacing w:line="360" w:lineRule="auto"/>
              <w:jc w:val="right"/>
              <w:rPr>
                <w:rFonts w:asciiTheme="minorHAnsi" w:hAnsiTheme="minorHAnsi" w:cs="Arial"/>
                <w:bCs/>
                <w:sz w:val="20"/>
                <w:szCs w:val="20"/>
                <w:lang w:val="hr-HR"/>
              </w:rPr>
            </w:pPr>
          </w:p>
        </w:tc>
        <w:tc>
          <w:tcPr>
            <w:tcW w:w="1004"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p>
        </w:tc>
        <w:tc>
          <w:tcPr>
            <w:tcW w:w="1003"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p>
        </w:tc>
      </w:tr>
      <w:tr w:rsidR="000D531F" w:rsidRPr="001567C8" w:rsidTr="003C6BA3">
        <w:trPr>
          <w:trHeight w:hRule="exact" w:val="284"/>
          <w:jc w:val="center"/>
        </w:trPr>
        <w:tc>
          <w:tcPr>
            <w:tcW w:w="986" w:type="pct"/>
            <w:vAlign w:val="center"/>
          </w:tcPr>
          <w:p w:rsidR="000D531F" w:rsidRPr="001567C8" w:rsidRDefault="000D531F" w:rsidP="000D531F">
            <w:pPr>
              <w:spacing w:line="360" w:lineRule="auto"/>
              <w:jc w:val="both"/>
              <w:rPr>
                <w:rFonts w:ascii="Calibri" w:hAnsi="Calibri" w:cs="Arial"/>
                <w:bCs/>
                <w:sz w:val="20"/>
                <w:szCs w:val="20"/>
                <w:lang w:val="hr-HR"/>
              </w:rPr>
            </w:pPr>
            <w:r w:rsidRPr="001567C8">
              <w:rPr>
                <w:rFonts w:ascii="Calibri" w:hAnsi="Calibri" w:cs="Arial"/>
                <w:bCs/>
                <w:sz w:val="20"/>
                <w:szCs w:val="20"/>
                <w:lang w:val="hr-HR"/>
              </w:rPr>
              <w:t>EUR</w:t>
            </w:r>
          </w:p>
        </w:tc>
        <w:tc>
          <w:tcPr>
            <w:tcW w:w="1003"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r w:rsidRPr="00CD3A2D">
              <w:rPr>
                <w:rFonts w:asciiTheme="minorHAnsi" w:hAnsiTheme="minorHAnsi" w:cs="Arial"/>
                <w:b w:val="0"/>
                <w:sz w:val="20"/>
                <w:lang w:val="hr-HR"/>
              </w:rPr>
              <w:t>-1,97</w:t>
            </w:r>
          </w:p>
        </w:tc>
        <w:tc>
          <w:tcPr>
            <w:tcW w:w="1004"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r w:rsidRPr="00CD3A2D">
              <w:rPr>
                <w:rFonts w:asciiTheme="minorHAnsi" w:hAnsiTheme="minorHAnsi" w:cs="Arial"/>
                <w:b w:val="0"/>
                <w:sz w:val="20"/>
                <w:lang w:val="hr-HR"/>
              </w:rPr>
              <w:t>15.217</w:t>
            </w:r>
          </w:p>
        </w:tc>
        <w:tc>
          <w:tcPr>
            <w:tcW w:w="1004"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r w:rsidRPr="001567C8">
              <w:rPr>
                <w:rFonts w:asciiTheme="minorHAnsi" w:hAnsiTheme="minorHAnsi" w:cs="Arial"/>
                <w:b w:val="0"/>
                <w:sz w:val="20"/>
                <w:lang w:val="hr-HR"/>
              </w:rPr>
              <w:t>-1,</w:t>
            </w:r>
            <w:r w:rsidR="00C86CF5" w:rsidRPr="001567C8">
              <w:rPr>
                <w:rFonts w:asciiTheme="minorHAnsi" w:hAnsiTheme="minorHAnsi" w:cs="Arial"/>
                <w:b w:val="0"/>
                <w:sz w:val="20"/>
                <w:lang w:val="hr-HR"/>
              </w:rPr>
              <w:t>5</w:t>
            </w:r>
            <w:r w:rsidRPr="001567C8">
              <w:rPr>
                <w:rFonts w:asciiTheme="minorHAnsi" w:hAnsiTheme="minorHAnsi" w:cs="Arial"/>
                <w:b w:val="0"/>
                <w:sz w:val="20"/>
                <w:lang w:val="hr-HR"/>
              </w:rPr>
              <w:t>6%</w:t>
            </w:r>
          </w:p>
        </w:tc>
        <w:tc>
          <w:tcPr>
            <w:tcW w:w="1003" w:type="pct"/>
            <w:vAlign w:val="center"/>
          </w:tcPr>
          <w:p w:rsidR="000D531F" w:rsidRPr="001567C8" w:rsidRDefault="000D531F">
            <w:pPr>
              <w:pStyle w:val="T1"/>
              <w:keepNext w:val="0"/>
              <w:spacing w:before="0" w:after="0" w:line="240" w:lineRule="auto"/>
              <w:jc w:val="right"/>
              <w:rPr>
                <w:rFonts w:asciiTheme="minorHAnsi" w:hAnsiTheme="minorHAnsi" w:cs="Arial"/>
                <w:b w:val="0"/>
                <w:sz w:val="20"/>
                <w:lang w:val="hr-HR"/>
              </w:rPr>
            </w:pPr>
            <w:r w:rsidRPr="001567C8">
              <w:rPr>
                <w:rFonts w:asciiTheme="minorHAnsi" w:hAnsiTheme="minorHAnsi" w:cs="Arial"/>
                <w:b w:val="0"/>
                <w:sz w:val="20"/>
                <w:lang w:val="hr-HR"/>
              </w:rPr>
              <w:t>1.697</w:t>
            </w:r>
          </w:p>
        </w:tc>
      </w:tr>
    </w:tbl>
    <w:p w:rsidR="00FD645D" w:rsidRPr="001567C8" w:rsidRDefault="00FD645D" w:rsidP="00FD645D">
      <w:pPr>
        <w:jc w:val="both"/>
        <w:rPr>
          <w:rFonts w:asciiTheme="minorHAnsi" w:hAnsiTheme="minorHAnsi" w:cs="Arial"/>
          <w:b/>
          <w:sz w:val="22"/>
          <w:szCs w:val="22"/>
          <w:lang w:val="hr-HR"/>
        </w:rPr>
      </w:pPr>
    </w:p>
    <w:p w:rsidR="002B0028" w:rsidRPr="001567C8" w:rsidRDefault="002B0028" w:rsidP="00FD645D">
      <w:pPr>
        <w:jc w:val="both"/>
        <w:rPr>
          <w:rFonts w:asciiTheme="minorHAnsi" w:hAnsiTheme="minorHAnsi" w:cs="Arial"/>
          <w:b/>
          <w:sz w:val="22"/>
          <w:szCs w:val="22"/>
          <w:lang w:val="hr-HR"/>
        </w:rPr>
      </w:pPr>
    </w:p>
    <w:p w:rsidR="00D75A53" w:rsidRPr="001567C8" w:rsidRDefault="00D75A53">
      <w:pPr>
        <w:widowControl w:val="0"/>
        <w:jc w:val="both"/>
        <w:rPr>
          <w:rFonts w:asciiTheme="minorHAnsi" w:hAnsiTheme="minorHAnsi" w:cs="Arial"/>
          <w:sz w:val="22"/>
          <w:szCs w:val="22"/>
          <w:lang w:val="hr-HR"/>
        </w:rPr>
      </w:pPr>
    </w:p>
    <w:p w:rsidR="00FD645D" w:rsidRPr="001567C8" w:rsidRDefault="00FD645D">
      <w:pPr>
        <w:widowControl w:val="0"/>
        <w:jc w:val="both"/>
        <w:rPr>
          <w:rFonts w:asciiTheme="minorHAnsi" w:hAnsiTheme="minorHAnsi" w:cs="Arial"/>
          <w:sz w:val="22"/>
          <w:szCs w:val="22"/>
          <w:lang w:val="hr-HR"/>
        </w:rPr>
      </w:pPr>
    </w:p>
    <w:p w:rsidR="00363369" w:rsidRPr="001567C8" w:rsidRDefault="00363369">
      <w:pPr>
        <w:jc w:val="both"/>
        <w:rPr>
          <w:rFonts w:asciiTheme="minorHAnsi" w:hAnsiTheme="minorHAnsi" w:cs="Arial"/>
          <w:b/>
          <w:sz w:val="22"/>
          <w:szCs w:val="22"/>
          <w:lang w:val="hr-HR"/>
        </w:rPr>
        <w:sectPr w:rsidR="00363369" w:rsidRPr="001567C8" w:rsidSect="0077198A">
          <w:pgSz w:w="11907" w:h="16840" w:code="9"/>
          <w:pgMar w:top="1418" w:right="1134" w:bottom="1134" w:left="1418" w:header="851" w:footer="851" w:gutter="0"/>
          <w:cols w:space="720"/>
          <w:noEndnote/>
        </w:sectPr>
      </w:pPr>
    </w:p>
    <w:p w:rsidR="002B0028" w:rsidRPr="003327E4" w:rsidRDefault="002B0028" w:rsidP="002B0028">
      <w:pPr>
        <w:pStyle w:val="T1"/>
        <w:spacing w:before="0" w:after="0" w:line="240" w:lineRule="auto"/>
        <w:ind w:left="709" w:hanging="709"/>
        <w:rPr>
          <w:rFonts w:asciiTheme="minorHAnsi" w:hAnsiTheme="minorHAnsi" w:cs="Arial"/>
          <w:sz w:val="16"/>
          <w:szCs w:val="16"/>
          <w:lang w:val="hr-HR"/>
        </w:rPr>
      </w:pPr>
    </w:p>
    <w:p w:rsidR="006F5FD6" w:rsidRPr="001567C8" w:rsidRDefault="00674AD9" w:rsidP="002B0028">
      <w:pPr>
        <w:pStyle w:val="T1"/>
        <w:spacing w:before="0" w:after="0" w:line="240" w:lineRule="auto"/>
        <w:ind w:left="709" w:hanging="709"/>
        <w:rPr>
          <w:rFonts w:asciiTheme="minorHAnsi" w:hAnsiTheme="minorHAnsi" w:cs="Arial"/>
          <w:spacing w:val="-3"/>
          <w:sz w:val="22"/>
          <w:szCs w:val="22"/>
          <w:lang w:val="hr-HR"/>
        </w:rPr>
      </w:pPr>
      <w:r w:rsidRPr="001567C8">
        <w:rPr>
          <w:rFonts w:asciiTheme="minorHAnsi" w:hAnsiTheme="minorHAnsi" w:cs="Arial"/>
          <w:spacing w:val="-3"/>
          <w:sz w:val="22"/>
          <w:szCs w:val="22"/>
          <w:lang w:val="hr-HR"/>
        </w:rPr>
        <w:t>3</w:t>
      </w:r>
      <w:r w:rsidR="00DF6947" w:rsidRPr="001567C8">
        <w:rPr>
          <w:rFonts w:asciiTheme="minorHAnsi" w:hAnsiTheme="minorHAnsi" w:cs="Arial"/>
          <w:spacing w:val="-3"/>
          <w:sz w:val="22"/>
          <w:szCs w:val="22"/>
          <w:lang w:val="hr-HR"/>
        </w:rPr>
        <w:t>7</w:t>
      </w:r>
      <w:r w:rsidR="006F5FD6" w:rsidRPr="001567C8">
        <w:rPr>
          <w:rFonts w:asciiTheme="minorHAnsi" w:hAnsiTheme="minorHAnsi" w:cs="Arial"/>
          <w:spacing w:val="-3"/>
          <w:sz w:val="22"/>
          <w:szCs w:val="22"/>
          <w:lang w:val="hr-HR"/>
        </w:rPr>
        <w:t xml:space="preserve">. </w:t>
      </w:r>
      <w:r w:rsidR="006F5FD6" w:rsidRPr="001567C8">
        <w:rPr>
          <w:rFonts w:asciiTheme="minorHAnsi" w:hAnsiTheme="minorHAnsi" w:cs="Arial"/>
          <w:spacing w:val="-3"/>
          <w:sz w:val="22"/>
          <w:szCs w:val="22"/>
          <w:lang w:val="hr-HR"/>
        </w:rPr>
        <w:tab/>
      </w:r>
      <w:r w:rsidR="007534B0" w:rsidRPr="001567C8">
        <w:rPr>
          <w:rFonts w:asciiTheme="minorHAnsi" w:hAnsiTheme="minorHAnsi" w:cs="Arial"/>
          <w:spacing w:val="-3"/>
          <w:sz w:val="22"/>
          <w:szCs w:val="22"/>
          <w:lang w:val="hr-HR"/>
        </w:rPr>
        <w:t>Fer</w:t>
      </w:r>
      <w:r w:rsidR="006F5FD6" w:rsidRPr="001567C8">
        <w:rPr>
          <w:rFonts w:asciiTheme="minorHAnsi" w:hAnsiTheme="minorHAnsi" w:cs="Arial"/>
          <w:spacing w:val="-3"/>
          <w:sz w:val="22"/>
          <w:szCs w:val="22"/>
          <w:lang w:val="hr-HR"/>
        </w:rPr>
        <w:t xml:space="preserve"> vrijednost financijsk</w:t>
      </w:r>
      <w:r w:rsidR="00942978" w:rsidRPr="001567C8">
        <w:rPr>
          <w:rFonts w:asciiTheme="minorHAnsi" w:hAnsiTheme="minorHAnsi" w:cs="Arial"/>
          <w:spacing w:val="-3"/>
          <w:sz w:val="22"/>
          <w:szCs w:val="22"/>
          <w:lang w:val="hr-HR"/>
        </w:rPr>
        <w:t>e imovine i financijskih obveza</w:t>
      </w:r>
    </w:p>
    <w:p w:rsidR="002B0028" w:rsidRPr="003327E4" w:rsidRDefault="002B0028" w:rsidP="002B0028">
      <w:pPr>
        <w:pStyle w:val="T1"/>
        <w:spacing w:before="0" w:after="0" w:line="240" w:lineRule="auto"/>
        <w:ind w:left="709" w:hanging="709"/>
        <w:rPr>
          <w:rFonts w:asciiTheme="minorHAnsi" w:hAnsiTheme="minorHAnsi" w:cs="Arial"/>
          <w:b w:val="0"/>
          <w:spacing w:val="-3"/>
          <w:sz w:val="16"/>
          <w:szCs w:val="16"/>
          <w:lang w:val="hr-HR"/>
        </w:rPr>
      </w:pPr>
    </w:p>
    <w:p w:rsidR="00942978" w:rsidRPr="001567C8" w:rsidRDefault="00942978" w:rsidP="002B0028">
      <w:pPr>
        <w:pStyle w:val="T1"/>
        <w:spacing w:before="0" w:after="0" w:line="240" w:lineRule="auto"/>
        <w:ind w:left="709" w:hanging="709"/>
        <w:rPr>
          <w:rFonts w:asciiTheme="minorHAnsi" w:hAnsiTheme="minorHAnsi" w:cs="Arial"/>
          <w:b w:val="0"/>
          <w:spacing w:val="-3"/>
          <w:sz w:val="22"/>
          <w:szCs w:val="22"/>
          <w:lang w:val="hr-HR"/>
        </w:rPr>
      </w:pPr>
      <w:r w:rsidRPr="001567C8">
        <w:rPr>
          <w:rFonts w:asciiTheme="minorHAnsi" w:hAnsiTheme="minorHAnsi" w:cs="Arial"/>
          <w:b w:val="0"/>
          <w:spacing w:val="-3"/>
          <w:sz w:val="22"/>
          <w:szCs w:val="22"/>
          <w:lang w:val="hr-HR"/>
        </w:rPr>
        <w:t xml:space="preserve">Računovodstvena politika mjerenja fer vrijednosti opisana je u </w:t>
      </w:r>
      <w:r w:rsidR="00150CA8" w:rsidRPr="001567C8">
        <w:rPr>
          <w:rFonts w:asciiTheme="minorHAnsi" w:hAnsiTheme="minorHAnsi" w:cs="Arial"/>
          <w:b w:val="0"/>
          <w:spacing w:val="-3"/>
          <w:sz w:val="22"/>
          <w:szCs w:val="22"/>
          <w:lang w:val="hr-HR"/>
        </w:rPr>
        <w:t>b</w:t>
      </w:r>
      <w:r w:rsidRPr="001567C8">
        <w:rPr>
          <w:rFonts w:asciiTheme="minorHAnsi" w:hAnsiTheme="minorHAnsi" w:cs="Arial"/>
          <w:b w:val="0"/>
          <w:spacing w:val="-3"/>
          <w:sz w:val="22"/>
          <w:szCs w:val="22"/>
          <w:lang w:val="hr-HR"/>
        </w:rPr>
        <w:t xml:space="preserve">ilješci </w:t>
      </w:r>
      <w:r w:rsidR="00B35D15" w:rsidRPr="001567C8">
        <w:rPr>
          <w:rFonts w:asciiTheme="minorHAnsi" w:hAnsiTheme="minorHAnsi" w:cs="Arial"/>
          <w:b w:val="0"/>
          <w:spacing w:val="-3"/>
          <w:sz w:val="22"/>
          <w:szCs w:val="22"/>
          <w:lang w:val="hr-HR"/>
        </w:rPr>
        <w:t>4.</w:t>
      </w:r>
      <w:r w:rsidRPr="001567C8">
        <w:rPr>
          <w:rFonts w:asciiTheme="minorHAnsi" w:hAnsiTheme="minorHAnsi" w:cs="Arial"/>
          <w:b w:val="0"/>
          <w:spacing w:val="-3"/>
          <w:sz w:val="22"/>
          <w:szCs w:val="22"/>
          <w:lang w:val="hr-HR"/>
        </w:rPr>
        <w:t>2</w:t>
      </w:r>
      <w:r w:rsidR="00EF641B" w:rsidRPr="001567C8">
        <w:rPr>
          <w:rFonts w:asciiTheme="minorHAnsi" w:hAnsiTheme="minorHAnsi" w:cs="Arial"/>
          <w:b w:val="0"/>
          <w:spacing w:val="-3"/>
          <w:sz w:val="22"/>
          <w:szCs w:val="22"/>
          <w:lang w:val="hr-HR"/>
        </w:rPr>
        <w:t>.</w:t>
      </w:r>
    </w:p>
    <w:p w:rsidR="002B0028" w:rsidRPr="003327E4" w:rsidRDefault="002B0028" w:rsidP="002B0028">
      <w:pPr>
        <w:pStyle w:val="T1"/>
        <w:spacing w:before="0" w:after="0" w:line="240" w:lineRule="auto"/>
        <w:ind w:left="709" w:hanging="709"/>
        <w:rPr>
          <w:rFonts w:asciiTheme="minorHAnsi" w:hAnsiTheme="minorHAnsi" w:cs="Arial"/>
          <w:spacing w:val="-3"/>
          <w:sz w:val="16"/>
          <w:szCs w:val="16"/>
          <w:lang w:val="hr-HR"/>
        </w:rPr>
      </w:pPr>
    </w:p>
    <w:p w:rsidR="006F5FD6" w:rsidRPr="001567C8" w:rsidRDefault="00674AD9" w:rsidP="002B0028">
      <w:pPr>
        <w:pStyle w:val="T1"/>
        <w:spacing w:before="0" w:after="0" w:line="240" w:lineRule="auto"/>
        <w:ind w:left="709" w:hanging="709"/>
        <w:rPr>
          <w:rFonts w:asciiTheme="minorHAnsi" w:hAnsiTheme="minorHAnsi" w:cs="Arial"/>
          <w:spacing w:val="-3"/>
          <w:sz w:val="22"/>
          <w:szCs w:val="22"/>
          <w:lang w:val="hr-HR"/>
        </w:rPr>
      </w:pPr>
      <w:r w:rsidRPr="001567C8">
        <w:rPr>
          <w:rFonts w:asciiTheme="minorHAnsi" w:hAnsiTheme="minorHAnsi" w:cs="Arial"/>
          <w:spacing w:val="-3"/>
          <w:sz w:val="22"/>
          <w:szCs w:val="22"/>
          <w:lang w:val="hr-HR"/>
        </w:rPr>
        <w:t>3</w:t>
      </w:r>
      <w:r w:rsidR="00DF6947" w:rsidRPr="001567C8">
        <w:rPr>
          <w:rFonts w:asciiTheme="minorHAnsi" w:hAnsiTheme="minorHAnsi" w:cs="Arial"/>
          <w:spacing w:val="-3"/>
          <w:sz w:val="22"/>
          <w:szCs w:val="22"/>
          <w:lang w:val="hr-HR"/>
        </w:rPr>
        <w:t>7</w:t>
      </w:r>
      <w:r w:rsidR="006F5FD6" w:rsidRPr="001567C8">
        <w:rPr>
          <w:rFonts w:asciiTheme="minorHAnsi" w:hAnsiTheme="minorHAnsi" w:cs="Arial"/>
          <w:spacing w:val="-3"/>
          <w:sz w:val="22"/>
          <w:szCs w:val="22"/>
          <w:lang w:val="hr-HR"/>
        </w:rPr>
        <w:t xml:space="preserve">.1. </w:t>
      </w:r>
      <w:r w:rsidR="006F5FD6" w:rsidRPr="001567C8">
        <w:rPr>
          <w:rFonts w:asciiTheme="minorHAnsi" w:hAnsiTheme="minorHAnsi" w:cs="Arial"/>
          <w:spacing w:val="-3"/>
          <w:sz w:val="22"/>
          <w:szCs w:val="22"/>
          <w:lang w:val="hr-HR"/>
        </w:rPr>
        <w:tab/>
      </w:r>
      <w:r w:rsidR="007534B0" w:rsidRPr="001567C8">
        <w:rPr>
          <w:rFonts w:asciiTheme="minorHAnsi" w:hAnsiTheme="minorHAnsi" w:cs="Arial"/>
          <w:spacing w:val="-3"/>
          <w:sz w:val="22"/>
          <w:szCs w:val="22"/>
          <w:lang w:val="hr-HR"/>
        </w:rPr>
        <w:t>Fer</w:t>
      </w:r>
      <w:r w:rsidR="006F5FD6" w:rsidRPr="001567C8">
        <w:rPr>
          <w:rFonts w:asciiTheme="minorHAnsi" w:hAnsiTheme="minorHAnsi" w:cs="Arial"/>
          <w:spacing w:val="-3"/>
          <w:sz w:val="22"/>
          <w:szCs w:val="22"/>
          <w:lang w:val="hr-HR"/>
        </w:rPr>
        <w:t xml:space="preserve"> vrijednost financijsk</w:t>
      </w:r>
      <w:r w:rsidR="0055634D" w:rsidRPr="001567C8">
        <w:rPr>
          <w:rFonts w:asciiTheme="minorHAnsi" w:hAnsiTheme="minorHAnsi" w:cs="Arial"/>
          <w:spacing w:val="-3"/>
          <w:sz w:val="22"/>
          <w:szCs w:val="22"/>
          <w:lang w:val="hr-HR"/>
        </w:rPr>
        <w:t>e imovine i financijskih obveza</w:t>
      </w:r>
      <w:r w:rsidR="006F5FD6" w:rsidRPr="001567C8">
        <w:rPr>
          <w:rFonts w:asciiTheme="minorHAnsi" w:hAnsiTheme="minorHAnsi" w:cs="Arial"/>
          <w:spacing w:val="-3"/>
          <w:sz w:val="22"/>
          <w:szCs w:val="22"/>
          <w:lang w:val="hr-HR"/>
        </w:rPr>
        <w:t xml:space="preserve"> koji s</w:t>
      </w:r>
      <w:r w:rsidR="00B35D15" w:rsidRPr="001567C8">
        <w:rPr>
          <w:rFonts w:asciiTheme="minorHAnsi" w:hAnsiTheme="minorHAnsi" w:cs="Arial"/>
          <w:spacing w:val="-3"/>
          <w:sz w:val="22"/>
          <w:szCs w:val="22"/>
          <w:lang w:val="hr-HR"/>
        </w:rPr>
        <w:t>e</w:t>
      </w:r>
      <w:r w:rsidR="006F5FD6" w:rsidRPr="001567C8">
        <w:rPr>
          <w:rFonts w:asciiTheme="minorHAnsi" w:hAnsiTheme="minorHAnsi" w:cs="Arial"/>
          <w:spacing w:val="-3"/>
          <w:sz w:val="22"/>
          <w:szCs w:val="22"/>
          <w:lang w:val="hr-HR"/>
        </w:rPr>
        <w:t xml:space="preserve"> </w:t>
      </w:r>
      <w:r w:rsidR="00B35D15" w:rsidRPr="001567C8">
        <w:rPr>
          <w:rFonts w:asciiTheme="minorHAnsi" w:hAnsiTheme="minorHAnsi" w:cs="Arial"/>
          <w:spacing w:val="-3"/>
          <w:sz w:val="22"/>
          <w:szCs w:val="22"/>
          <w:lang w:val="hr-HR"/>
        </w:rPr>
        <w:t>vode po</w:t>
      </w:r>
      <w:r w:rsidR="006F5FD6" w:rsidRPr="001567C8">
        <w:rPr>
          <w:rFonts w:asciiTheme="minorHAnsi" w:hAnsiTheme="minorHAnsi" w:cs="Arial"/>
          <w:spacing w:val="-3"/>
          <w:sz w:val="22"/>
          <w:szCs w:val="22"/>
          <w:lang w:val="hr-HR"/>
        </w:rPr>
        <w:t xml:space="preserve"> </w:t>
      </w:r>
      <w:r w:rsidR="007534B0" w:rsidRPr="001567C8">
        <w:rPr>
          <w:rFonts w:asciiTheme="minorHAnsi" w:hAnsiTheme="minorHAnsi" w:cs="Arial"/>
          <w:spacing w:val="-3"/>
          <w:sz w:val="22"/>
          <w:szCs w:val="22"/>
          <w:lang w:val="hr-HR"/>
        </w:rPr>
        <w:t>fer</w:t>
      </w:r>
      <w:r w:rsidR="006F5FD6" w:rsidRPr="001567C8">
        <w:rPr>
          <w:rFonts w:asciiTheme="minorHAnsi" w:hAnsiTheme="minorHAnsi" w:cs="Arial"/>
          <w:spacing w:val="-3"/>
          <w:sz w:val="22"/>
          <w:szCs w:val="22"/>
          <w:lang w:val="hr-HR"/>
        </w:rPr>
        <w:t xml:space="preserve"> vrijednost</w:t>
      </w:r>
      <w:r w:rsidR="000B54A1" w:rsidRPr="001567C8">
        <w:rPr>
          <w:rFonts w:asciiTheme="minorHAnsi" w:hAnsiTheme="minorHAnsi" w:cs="Arial"/>
          <w:spacing w:val="-3"/>
          <w:sz w:val="22"/>
          <w:szCs w:val="22"/>
          <w:lang w:val="hr-HR"/>
        </w:rPr>
        <w:t>i</w:t>
      </w:r>
      <w:r w:rsidR="006F5FD6" w:rsidRPr="001567C8">
        <w:rPr>
          <w:rFonts w:asciiTheme="minorHAnsi" w:hAnsiTheme="minorHAnsi" w:cs="Arial"/>
          <w:spacing w:val="-3"/>
          <w:sz w:val="22"/>
          <w:szCs w:val="22"/>
          <w:lang w:val="hr-HR"/>
        </w:rPr>
        <w:t xml:space="preserve"> </w:t>
      </w:r>
    </w:p>
    <w:p w:rsidR="002B0028" w:rsidRPr="001567C8" w:rsidRDefault="002B0028" w:rsidP="002B0028">
      <w:pPr>
        <w:pStyle w:val="T1"/>
        <w:spacing w:before="0" w:after="0" w:line="240" w:lineRule="auto"/>
        <w:rPr>
          <w:rFonts w:asciiTheme="minorHAnsi" w:hAnsiTheme="minorHAnsi" w:cs="Arial"/>
          <w:b w:val="0"/>
          <w:bCs w:val="0"/>
          <w:spacing w:val="-3"/>
          <w:sz w:val="22"/>
          <w:szCs w:val="22"/>
          <w:lang w:val="hr-HR"/>
        </w:rPr>
      </w:pPr>
    </w:p>
    <w:p w:rsidR="00B35D15" w:rsidRPr="001567C8" w:rsidRDefault="00B35D15" w:rsidP="002B0028">
      <w:pPr>
        <w:pStyle w:val="T1"/>
        <w:spacing w:before="0" w:after="0" w:line="240" w:lineRule="auto"/>
        <w:rPr>
          <w:rFonts w:asciiTheme="minorHAnsi" w:hAnsiTheme="minorHAnsi" w:cs="Arial"/>
          <w:b w:val="0"/>
          <w:bCs w:val="0"/>
          <w:spacing w:val="-3"/>
          <w:sz w:val="22"/>
          <w:szCs w:val="22"/>
          <w:lang w:val="hr-HR"/>
        </w:rPr>
      </w:pPr>
      <w:r w:rsidRPr="001567C8">
        <w:rPr>
          <w:rFonts w:asciiTheme="minorHAnsi" w:hAnsiTheme="minorHAnsi" w:cs="Arial"/>
          <w:b w:val="0"/>
          <w:bCs w:val="0"/>
          <w:spacing w:val="-3"/>
          <w:sz w:val="22"/>
          <w:szCs w:val="22"/>
          <w:lang w:val="hr-HR"/>
        </w:rPr>
        <w:t>U nastavku je dan prikaz financijske imovine po fer vrijednosti po razinama temeljem MSFI 9 klasifikacije.</w:t>
      </w:r>
    </w:p>
    <w:tbl>
      <w:tblPr>
        <w:tblW w:w="5100" w:type="pct"/>
        <w:jc w:val="center"/>
        <w:tblLayout w:type="fixed"/>
        <w:tblCellMar>
          <w:left w:w="122" w:type="dxa"/>
          <w:right w:w="122" w:type="dxa"/>
        </w:tblCellMar>
        <w:tblLook w:val="0000" w:firstRow="0" w:lastRow="0" w:firstColumn="0" w:lastColumn="0" w:noHBand="0" w:noVBand="0"/>
      </w:tblPr>
      <w:tblGrid>
        <w:gridCol w:w="6096"/>
        <w:gridCol w:w="1061"/>
        <w:gridCol w:w="1229"/>
        <w:gridCol w:w="1156"/>
      </w:tblGrid>
      <w:tr w:rsidR="00B35D15" w:rsidRPr="001567C8" w:rsidTr="00B35D15">
        <w:trPr>
          <w:trHeight w:val="292"/>
          <w:jc w:val="center"/>
        </w:trPr>
        <w:tc>
          <w:tcPr>
            <w:tcW w:w="3194" w:type="pct"/>
            <w:shd w:val="clear" w:color="auto" w:fill="auto"/>
          </w:tcPr>
          <w:p w:rsidR="00B35D15" w:rsidRPr="001567C8" w:rsidRDefault="00B35D15" w:rsidP="00B35D15">
            <w:pPr>
              <w:tabs>
                <w:tab w:val="right" w:pos="1202"/>
              </w:tabs>
              <w:outlineLvl w:val="0"/>
              <w:rPr>
                <w:rFonts w:ascii="Calibri" w:hAnsi="Calibri" w:cs="Arial"/>
                <w:sz w:val="17"/>
                <w:szCs w:val="17"/>
                <w:lang w:val="hr-HR"/>
              </w:rPr>
            </w:pPr>
            <w:r w:rsidRPr="001567C8">
              <w:rPr>
                <w:rFonts w:ascii="Calibri" w:hAnsi="Calibri" w:cs="Arial"/>
                <w:b/>
                <w:sz w:val="17"/>
                <w:szCs w:val="17"/>
                <w:lang w:val="hr-HR"/>
              </w:rPr>
              <w:t>Grupa</w:t>
            </w:r>
          </w:p>
        </w:tc>
        <w:tc>
          <w:tcPr>
            <w:tcW w:w="1806" w:type="pct"/>
            <w:gridSpan w:val="3"/>
          </w:tcPr>
          <w:p w:rsidR="00B35D15" w:rsidRPr="001567C8" w:rsidRDefault="00AD2EF7" w:rsidP="00B35D15">
            <w:pPr>
              <w:tabs>
                <w:tab w:val="right" w:pos="1202"/>
              </w:tabs>
              <w:jc w:val="right"/>
              <w:outlineLvl w:val="0"/>
              <w:rPr>
                <w:rFonts w:ascii="Calibri" w:hAnsi="Calibri" w:cs="Arial"/>
                <w:b/>
                <w:bCs/>
                <w:sz w:val="17"/>
                <w:szCs w:val="17"/>
                <w:lang w:val="hr-HR"/>
              </w:rPr>
            </w:pPr>
            <w:r>
              <w:rPr>
                <w:rFonts w:ascii="Calibri" w:hAnsi="Calibri" w:cs="Arial"/>
                <w:b/>
                <w:bCs/>
                <w:sz w:val="17"/>
                <w:szCs w:val="17"/>
                <w:lang w:val="hr-HR"/>
              </w:rPr>
              <w:t>31. prosin</w:t>
            </w:r>
            <w:r w:rsidR="0073283D" w:rsidRPr="001567C8">
              <w:rPr>
                <w:rFonts w:ascii="Calibri" w:hAnsi="Calibri" w:cs="Arial"/>
                <w:b/>
                <w:bCs/>
                <w:sz w:val="17"/>
                <w:szCs w:val="17"/>
                <w:lang w:val="hr-HR"/>
              </w:rPr>
              <w:t>c</w:t>
            </w:r>
            <w:r>
              <w:rPr>
                <w:rFonts w:ascii="Calibri" w:hAnsi="Calibri" w:cs="Arial"/>
                <w:b/>
                <w:bCs/>
                <w:sz w:val="17"/>
                <w:szCs w:val="17"/>
                <w:lang w:val="hr-HR"/>
              </w:rPr>
              <w:t>a</w:t>
            </w:r>
            <w:r w:rsidR="0073283D" w:rsidRPr="001567C8">
              <w:rPr>
                <w:rFonts w:ascii="Calibri" w:hAnsi="Calibri" w:cs="Arial"/>
                <w:b/>
                <w:bCs/>
                <w:sz w:val="17"/>
                <w:szCs w:val="17"/>
                <w:lang w:val="hr-HR"/>
              </w:rPr>
              <w:t xml:space="preserve"> </w:t>
            </w:r>
            <w:r w:rsidR="00B35D15" w:rsidRPr="001567C8">
              <w:rPr>
                <w:rFonts w:ascii="Calibri" w:hAnsi="Calibri" w:cs="Arial"/>
                <w:b/>
                <w:bCs/>
                <w:sz w:val="17"/>
                <w:szCs w:val="17"/>
                <w:lang w:val="hr-HR"/>
              </w:rPr>
              <w:t>2018.</w:t>
            </w:r>
            <w:r w:rsidR="007C5023" w:rsidRPr="001567C8">
              <w:rPr>
                <w:rFonts w:ascii="Calibri" w:hAnsi="Calibri" w:cs="Arial"/>
                <w:b/>
                <w:bCs/>
                <w:sz w:val="17"/>
                <w:szCs w:val="17"/>
                <w:lang w:val="hr-HR"/>
              </w:rPr>
              <w:t xml:space="preserve"> godina</w:t>
            </w:r>
          </w:p>
        </w:tc>
      </w:tr>
      <w:tr w:rsidR="00B35D15" w:rsidRPr="001567C8" w:rsidTr="00B35D15">
        <w:trPr>
          <w:trHeight w:val="292"/>
          <w:jc w:val="center"/>
        </w:trPr>
        <w:tc>
          <w:tcPr>
            <w:tcW w:w="3194" w:type="pct"/>
            <w:shd w:val="clear" w:color="auto" w:fill="auto"/>
            <w:vAlign w:val="bottom"/>
          </w:tcPr>
          <w:p w:rsidR="00B35D15" w:rsidRPr="001567C8" w:rsidRDefault="00B35D15" w:rsidP="00B35D15">
            <w:pPr>
              <w:tabs>
                <w:tab w:val="right" w:pos="1202"/>
              </w:tabs>
              <w:ind w:left="-482"/>
              <w:outlineLvl w:val="0"/>
              <w:rPr>
                <w:rFonts w:ascii="Calibri" w:hAnsi="Calibri" w:cs="Arial"/>
                <w:spacing w:val="-2"/>
                <w:sz w:val="17"/>
                <w:szCs w:val="17"/>
                <w:lang w:val="hr-HR"/>
              </w:rPr>
            </w:pPr>
          </w:p>
        </w:tc>
        <w:tc>
          <w:tcPr>
            <w:tcW w:w="556" w:type="pct"/>
            <w:shd w:val="clear" w:color="auto" w:fill="auto"/>
            <w:vAlign w:val="bottom"/>
          </w:tcPr>
          <w:p w:rsidR="00B35D15" w:rsidRPr="001567C8" w:rsidRDefault="00B35D15" w:rsidP="00B35D15">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Razina 1</w:t>
            </w:r>
          </w:p>
        </w:tc>
        <w:tc>
          <w:tcPr>
            <w:tcW w:w="644" w:type="pct"/>
            <w:shd w:val="clear" w:color="auto" w:fill="auto"/>
            <w:vAlign w:val="bottom"/>
          </w:tcPr>
          <w:p w:rsidR="00B35D15" w:rsidRPr="001567C8" w:rsidRDefault="00B35D15" w:rsidP="00B35D15">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Razina 2</w:t>
            </w:r>
          </w:p>
        </w:tc>
        <w:tc>
          <w:tcPr>
            <w:tcW w:w="606" w:type="pct"/>
            <w:shd w:val="clear" w:color="auto" w:fill="auto"/>
            <w:vAlign w:val="bottom"/>
          </w:tcPr>
          <w:p w:rsidR="00B35D15" w:rsidRPr="001567C8" w:rsidRDefault="00B35D15" w:rsidP="00B35D15">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Razina 3</w:t>
            </w:r>
          </w:p>
        </w:tc>
      </w:tr>
      <w:tr w:rsidR="00B35D15" w:rsidRPr="001567C8" w:rsidTr="00B35D15">
        <w:trPr>
          <w:trHeight w:hRule="exact" w:val="213"/>
          <w:jc w:val="center"/>
        </w:trPr>
        <w:tc>
          <w:tcPr>
            <w:tcW w:w="3194" w:type="pct"/>
            <w:shd w:val="clear" w:color="auto" w:fill="auto"/>
            <w:vAlign w:val="bottom"/>
          </w:tcPr>
          <w:p w:rsidR="00B35D15" w:rsidRPr="001567C8" w:rsidRDefault="00B35D15" w:rsidP="00B35D15">
            <w:pPr>
              <w:tabs>
                <w:tab w:val="right" w:pos="1202"/>
              </w:tabs>
              <w:outlineLvl w:val="0"/>
              <w:rPr>
                <w:rFonts w:ascii="Calibri" w:hAnsi="Calibri" w:cs="Arial"/>
                <w:spacing w:val="-2"/>
                <w:sz w:val="17"/>
                <w:szCs w:val="17"/>
                <w:lang w:val="hr-HR"/>
              </w:rPr>
            </w:pPr>
          </w:p>
        </w:tc>
        <w:tc>
          <w:tcPr>
            <w:tcW w:w="556" w:type="pct"/>
            <w:shd w:val="clear" w:color="auto" w:fill="auto"/>
            <w:vAlign w:val="bottom"/>
          </w:tcPr>
          <w:p w:rsidR="00B35D15" w:rsidRPr="001567C8" w:rsidRDefault="00B35D15" w:rsidP="00B35D15">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000 kuna</w:t>
            </w:r>
          </w:p>
        </w:tc>
        <w:tc>
          <w:tcPr>
            <w:tcW w:w="644" w:type="pct"/>
            <w:shd w:val="clear" w:color="auto" w:fill="auto"/>
            <w:vAlign w:val="bottom"/>
          </w:tcPr>
          <w:p w:rsidR="00B35D15" w:rsidRPr="001567C8" w:rsidRDefault="00B35D15" w:rsidP="00B35D15">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000 kuna</w:t>
            </w:r>
          </w:p>
        </w:tc>
        <w:tc>
          <w:tcPr>
            <w:tcW w:w="606" w:type="pct"/>
            <w:shd w:val="clear" w:color="auto" w:fill="auto"/>
            <w:vAlign w:val="bottom"/>
          </w:tcPr>
          <w:p w:rsidR="00B35D15" w:rsidRPr="001567C8" w:rsidRDefault="00B35D15" w:rsidP="00B35D15">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000 kuna</w:t>
            </w:r>
          </w:p>
        </w:tc>
      </w:tr>
      <w:tr w:rsidR="00B35D15" w:rsidRPr="001567C8" w:rsidTr="00B35D15">
        <w:trPr>
          <w:trHeight w:hRule="exact" w:val="319"/>
          <w:jc w:val="center"/>
        </w:trPr>
        <w:tc>
          <w:tcPr>
            <w:tcW w:w="3194" w:type="pct"/>
            <w:vAlign w:val="bottom"/>
          </w:tcPr>
          <w:p w:rsidR="00B35D15" w:rsidRPr="001567C8" w:rsidRDefault="00B35D15" w:rsidP="00B35D15">
            <w:pPr>
              <w:tabs>
                <w:tab w:val="right" w:pos="1202"/>
              </w:tabs>
              <w:outlineLvl w:val="0"/>
              <w:rPr>
                <w:rFonts w:ascii="Calibri" w:hAnsi="Calibri" w:cs="Arial"/>
                <w:spacing w:val="-2"/>
                <w:sz w:val="17"/>
                <w:szCs w:val="17"/>
                <w:lang w:val="hr-HR"/>
              </w:rPr>
            </w:pPr>
            <w:r w:rsidRPr="001567C8">
              <w:rPr>
                <w:rFonts w:ascii="Calibri" w:hAnsi="Calibri" w:cs="Arial"/>
                <w:b/>
                <w:sz w:val="17"/>
                <w:szCs w:val="17"/>
                <w:lang w:val="hr-HR"/>
              </w:rPr>
              <w:t xml:space="preserve">Financijska imovina po fer vrijednosti kroz </w:t>
            </w:r>
            <w:r w:rsidR="008A2CC2" w:rsidRPr="001567C8">
              <w:rPr>
                <w:rFonts w:ascii="Calibri" w:hAnsi="Calibri" w:cs="Arial"/>
                <w:b/>
                <w:sz w:val="17"/>
                <w:szCs w:val="17"/>
                <w:lang w:val="hr-HR"/>
              </w:rPr>
              <w:t>dobit ili gubitak</w:t>
            </w:r>
            <w:r w:rsidRPr="001567C8">
              <w:rPr>
                <w:rFonts w:ascii="Calibri" w:hAnsi="Calibri" w:cs="Arial"/>
                <w:b/>
                <w:sz w:val="17"/>
                <w:szCs w:val="17"/>
                <w:lang w:val="hr-HR"/>
              </w:rPr>
              <w:t>:</w:t>
            </w:r>
          </w:p>
        </w:tc>
        <w:tc>
          <w:tcPr>
            <w:tcW w:w="556" w:type="pct"/>
            <w:vAlign w:val="bottom"/>
          </w:tcPr>
          <w:p w:rsidR="00B35D15" w:rsidRPr="001567C8" w:rsidRDefault="00B35D15" w:rsidP="00B35D15">
            <w:pPr>
              <w:tabs>
                <w:tab w:val="right" w:pos="1202"/>
              </w:tabs>
              <w:jc w:val="right"/>
              <w:outlineLvl w:val="0"/>
              <w:rPr>
                <w:rFonts w:ascii="Calibri" w:hAnsi="Calibri" w:cs="Arial"/>
                <w:b/>
                <w:spacing w:val="-2"/>
                <w:sz w:val="17"/>
                <w:szCs w:val="17"/>
                <w:lang w:val="hr-HR"/>
              </w:rPr>
            </w:pPr>
          </w:p>
        </w:tc>
        <w:tc>
          <w:tcPr>
            <w:tcW w:w="644" w:type="pct"/>
            <w:vAlign w:val="bottom"/>
          </w:tcPr>
          <w:p w:rsidR="00B35D15" w:rsidRPr="001567C8" w:rsidRDefault="00B35D15" w:rsidP="00B35D15">
            <w:pPr>
              <w:tabs>
                <w:tab w:val="right" w:pos="1202"/>
              </w:tabs>
              <w:jc w:val="right"/>
              <w:outlineLvl w:val="0"/>
              <w:rPr>
                <w:rFonts w:ascii="Calibri" w:hAnsi="Calibri" w:cs="Arial"/>
                <w:b/>
                <w:spacing w:val="-2"/>
                <w:sz w:val="17"/>
                <w:szCs w:val="17"/>
                <w:lang w:val="hr-HR"/>
              </w:rPr>
            </w:pPr>
          </w:p>
        </w:tc>
        <w:tc>
          <w:tcPr>
            <w:tcW w:w="606" w:type="pct"/>
            <w:vAlign w:val="bottom"/>
          </w:tcPr>
          <w:p w:rsidR="00B35D15" w:rsidRPr="001567C8" w:rsidRDefault="00B35D15" w:rsidP="00B35D15">
            <w:pPr>
              <w:tabs>
                <w:tab w:val="right" w:pos="1202"/>
              </w:tabs>
              <w:jc w:val="right"/>
              <w:outlineLvl w:val="0"/>
              <w:rPr>
                <w:rFonts w:ascii="Calibri" w:hAnsi="Calibri" w:cs="Arial"/>
                <w:b/>
                <w:spacing w:val="-2"/>
                <w:sz w:val="17"/>
                <w:szCs w:val="17"/>
                <w:lang w:val="hr-HR"/>
              </w:rPr>
            </w:pPr>
          </w:p>
        </w:tc>
      </w:tr>
      <w:tr w:rsidR="00B35D15" w:rsidRPr="001567C8" w:rsidTr="00B35D15">
        <w:trPr>
          <w:trHeight w:hRule="exact" w:val="266"/>
          <w:jc w:val="center"/>
        </w:trPr>
        <w:tc>
          <w:tcPr>
            <w:tcW w:w="3194" w:type="pct"/>
            <w:vAlign w:val="bottom"/>
          </w:tcPr>
          <w:p w:rsidR="00B35D15" w:rsidRPr="001567C8" w:rsidRDefault="00B35D15" w:rsidP="00B35D15">
            <w:pPr>
              <w:tabs>
                <w:tab w:val="right" w:pos="1202"/>
              </w:tabs>
              <w:outlineLvl w:val="0"/>
              <w:rPr>
                <w:rFonts w:ascii="Calibri" w:hAnsi="Calibri" w:cs="Arial"/>
                <w:b/>
                <w:i/>
                <w:sz w:val="17"/>
                <w:szCs w:val="17"/>
                <w:lang w:val="hr-HR"/>
              </w:rPr>
            </w:pPr>
            <w:r w:rsidRPr="001567C8">
              <w:rPr>
                <w:rFonts w:ascii="Calibri" w:hAnsi="Calibri" w:cs="Arial"/>
                <w:b/>
                <w:i/>
                <w:sz w:val="17"/>
                <w:szCs w:val="17"/>
                <w:lang w:val="hr-HR"/>
              </w:rPr>
              <w:t xml:space="preserve">Krediti po fer vrijednosti kroz </w:t>
            </w:r>
            <w:r w:rsidR="008A2CC2" w:rsidRPr="001567C8">
              <w:rPr>
                <w:rFonts w:ascii="Calibri" w:hAnsi="Calibri" w:cs="Arial"/>
                <w:b/>
                <w:i/>
                <w:sz w:val="17"/>
                <w:szCs w:val="17"/>
                <w:lang w:val="hr-HR"/>
              </w:rPr>
              <w:t>dobit ili gubitak</w:t>
            </w:r>
            <w:r w:rsidRPr="001567C8">
              <w:rPr>
                <w:rFonts w:ascii="Calibri" w:hAnsi="Calibri" w:cs="Arial"/>
                <w:b/>
                <w:i/>
                <w:sz w:val="17"/>
                <w:szCs w:val="17"/>
                <w:lang w:val="hr-HR"/>
              </w:rPr>
              <w:t>:</w:t>
            </w:r>
          </w:p>
        </w:tc>
        <w:tc>
          <w:tcPr>
            <w:tcW w:w="556" w:type="pct"/>
            <w:tcBorders>
              <w:top w:val="nil"/>
              <w:left w:val="nil"/>
              <w:right w:val="nil"/>
            </w:tcBorders>
            <w:shd w:val="clear" w:color="auto" w:fill="auto"/>
            <w:vAlign w:val="bottom"/>
          </w:tcPr>
          <w:p w:rsidR="00B35D15" w:rsidRPr="001567C8" w:rsidRDefault="00B35D15" w:rsidP="00B35D15">
            <w:pPr>
              <w:tabs>
                <w:tab w:val="right" w:pos="1202"/>
              </w:tabs>
              <w:jc w:val="right"/>
              <w:outlineLvl w:val="0"/>
              <w:rPr>
                <w:rFonts w:ascii="Calibri" w:hAnsi="Calibri" w:cs="Arial"/>
                <w:sz w:val="17"/>
                <w:szCs w:val="17"/>
                <w:lang w:val="hr-HR"/>
              </w:rPr>
            </w:pPr>
          </w:p>
        </w:tc>
        <w:tc>
          <w:tcPr>
            <w:tcW w:w="644" w:type="pct"/>
            <w:tcBorders>
              <w:top w:val="nil"/>
              <w:left w:val="nil"/>
              <w:right w:val="nil"/>
            </w:tcBorders>
            <w:shd w:val="clear" w:color="auto" w:fill="auto"/>
            <w:vAlign w:val="bottom"/>
          </w:tcPr>
          <w:p w:rsidR="00B35D15" w:rsidRPr="001567C8" w:rsidRDefault="00B35D15" w:rsidP="00B35D15">
            <w:pPr>
              <w:tabs>
                <w:tab w:val="right" w:pos="1202"/>
              </w:tabs>
              <w:jc w:val="right"/>
              <w:outlineLvl w:val="0"/>
              <w:rPr>
                <w:rFonts w:ascii="Calibri" w:hAnsi="Calibri" w:cs="Arial"/>
                <w:sz w:val="17"/>
                <w:szCs w:val="17"/>
                <w:lang w:val="hr-HR"/>
              </w:rPr>
            </w:pPr>
          </w:p>
        </w:tc>
        <w:tc>
          <w:tcPr>
            <w:tcW w:w="606" w:type="pct"/>
            <w:tcBorders>
              <w:top w:val="nil"/>
              <w:left w:val="nil"/>
              <w:right w:val="nil"/>
            </w:tcBorders>
            <w:shd w:val="clear" w:color="auto" w:fill="auto"/>
            <w:vAlign w:val="bottom"/>
          </w:tcPr>
          <w:p w:rsidR="00B35D15" w:rsidRPr="001567C8" w:rsidRDefault="00B35D15" w:rsidP="00B35D15">
            <w:pPr>
              <w:tabs>
                <w:tab w:val="right" w:pos="1202"/>
              </w:tabs>
              <w:jc w:val="right"/>
              <w:outlineLvl w:val="0"/>
              <w:rPr>
                <w:rFonts w:ascii="Calibri" w:hAnsi="Calibri" w:cs="Arial"/>
                <w:sz w:val="17"/>
                <w:szCs w:val="17"/>
                <w:lang w:val="hr-HR"/>
              </w:rPr>
            </w:pPr>
          </w:p>
        </w:tc>
      </w:tr>
      <w:tr w:rsidR="006C28B0" w:rsidRPr="001567C8" w:rsidTr="003C6BA3">
        <w:trPr>
          <w:trHeight w:val="266"/>
          <w:jc w:val="center"/>
        </w:trPr>
        <w:tc>
          <w:tcPr>
            <w:tcW w:w="3194" w:type="pct"/>
            <w:vAlign w:val="bottom"/>
          </w:tcPr>
          <w:p w:rsidR="006C28B0" w:rsidRPr="001567C8" w:rsidRDefault="006C28B0" w:rsidP="006C28B0">
            <w:pPr>
              <w:tabs>
                <w:tab w:val="right" w:pos="1202"/>
              </w:tabs>
              <w:outlineLvl w:val="0"/>
              <w:rPr>
                <w:rFonts w:ascii="Calibri" w:hAnsi="Calibri" w:cs="Arial"/>
                <w:sz w:val="17"/>
                <w:szCs w:val="17"/>
                <w:lang w:val="hr-HR"/>
              </w:rPr>
            </w:pPr>
            <w:r w:rsidRPr="001567C8">
              <w:rPr>
                <w:rFonts w:ascii="Calibri" w:hAnsi="Calibri" w:cs="Arial"/>
                <w:sz w:val="17"/>
                <w:szCs w:val="17"/>
                <w:lang w:val="hr-HR"/>
              </w:rPr>
              <w:t>Mezzanine krediti</w:t>
            </w:r>
          </w:p>
        </w:tc>
        <w:tc>
          <w:tcPr>
            <w:tcW w:w="556" w:type="pct"/>
            <w:tcBorders>
              <w:top w:val="nil"/>
              <w:left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c>
          <w:tcPr>
            <w:tcW w:w="644" w:type="pct"/>
            <w:tcBorders>
              <w:top w:val="nil"/>
              <w:left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c>
          <w:tcPr>
            <w:tcW w:w="606" w:type="pct"/>
            <w:tcBorders>
              <w:top w:val="nil"/>
              <w:left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2.045</w:t>
            </w:r>
          </w:p>
        </w:tc>
      </w:tr>
      <w:tr w:rsidR="00B35D15" w:rsidRPr="001567C8" w:rsidTr="003C6BA3">
        <w:trPr>
          <w:trHeight w:hRule="exact" w:val="266"/>
          <w:jc w:val="center"/>
        </w:trPr>
        <w:tc>
          <w:tcPr>
            <w:tcW w:w="3194" w:type="pct"/>
            <w:vAlign w:val="bottom"/>
          </w:tcPr>
          <w:p w:rsidR="00B35D15" w:rsidRPr="001567C8" w:rsidRDefault="00B35D15" w:rsidP="00B35D15">
            <w:pPr>
              <w:tabs>
                <w:tab w:val="right" w:pos="1202"/>
              </w:tabs>
              <w:outlineLvl w:val="0"/>
              <w:rPr>
                <w:rFonts w:ascii="Calibri" w:hAnsi="Calibri" w:cs="Arial"/>
                <w:b/>
                <w:i/>
                <w:sz w:val="17"/>
                <w:szCs w:val="17"/>
                <w:lang w:val="hr-HR"/>
              </w:rPr>
            </w:pPr>
            <w:r w:rsidRPr="001567C8">
              <w:rPr>
                <w:rFonts w:ascii="Calibri" w:hAnsi="Calibri" w:cs="Arial"/>
                <w:b/>
                <w:i/>
                <w:sz w:val="17"/>
                <w:szCs w:val="17"/>
                <w:lang w:val="hr-HR"/>
              </w:rPr>
              <w:t>Ulaganja u investicijske fondove:</w:t>
            </w:r>
          </w:p>
        </w:tc>
        <w:tc>
          <w:tcPr>
            <w:tcW w:w="556" w:type="pct"/>
            <w:tcBorders>
              <w:top w:val="nil"/>
              <w:left w:val="nil"/>
              <w:right w:val="nil"/>
            </w:tcBorders>
            <w:shd w:val="clear" w:color="auto" w:fill="auto"/>
            <w:vAlign w:val="bottom"/>
          </w:tcPr>
          <w:p w:rsidR="00B35D15" w:rsidRPr="001567C8" w:rsidRDefault="00B35D15" w:rsidP="006C28B0">
            <w:pPr>
              <w:tabs>
                <w:tab w:val="right" w:pos="1202"/>
              </w:tabs>
              <w:jc w:val="right"/>
              <w:outlineLvl w:val="0"/>
              <w:rPr>
                <w:rFonts w:asciiTheme="minorHAnsi" w:hAnsiTheme="minorHAnsi" w:cs="Arial"/>
                <w:sz w:val="17"/>
                <w:szCs w:val="17"/>
                <w:lang w:val="hr-HR"/>
              </w:rPr>
            </w:pPr>
          </w:p>
        </w:tc>
        <w:tc>
          <w:tcPr>
            <w:tcW w:w="644" w:type="pct"/>
            <w:tcBorders>
              <w:top w:val="nil"/>
              <w:left w:val="nil"/>
              <w:right w:val="nil"/>
            </w:tcBorders>
            <w:shd w:val="clear" w:color="auto" w:fill="auto"/>
            <w:vAlign w:val="bottom"/>
          </w:tcPr>
          <w:p w:rsidR="00B35D15" w:rsidRPr="001567C8" w:rsidRDefault="00B35D15" w:rsidP="006C28B0">
            <w:pPr>
              <w:tabs>
                <w:tab w:val="right" w:pos="1202"/>
              </w:tabs>
              <w:jc w:val="right"/>
              <w:outlineLvl w:val="0"/>
              <w:rPr>
                <w:rFonts w:asciiTheme="minorHAnsi" w:hAnsiTheme="minorHAnsi" w:cs="Arial"/>
                <w:sz w:val="17"/>
                <w:szCs w:val="17"/>
                <w:lang w:val="hr-HR"/>
              </w:rPr>
            </w:pPr>
          </w:p>
        </w:tc>
        <w:tc>
          <w:tcPr>
            <w:tcW w:w="606" w:type="pct"/>
            <w:tcBorders>
              <w:top w:val="nil"/>
              <w:left w:val="nil"/>
              <w:right w:val="nil"/>
            </w:tcBorders>
            <w:shd w:val="clear" w:color="auto" w:fill="auto"/>
            <w:vAlign w:val="bottom"/>
          </w:tcPr>
          <w:p w:rsidR="00B35D15" w:rsidRPr="001567C8" w:rsidRDefault="00B35D15" w:rsidP="006C28B0">
            <w:pPr>
              <w:tabs>
                <w:tab w:val="right" w:pos="1202"/>
              </w:tabs>
              <w:jc w:val="right"/>
              <w:outlineLvl w:val="0"/>
              <w:rPr>
                <w:rFonts w:asciiTheme="minorHAnsi" w:hAnsiTheme="minorHAnsi" w:cs="Arial"/>
                <w:sz w:val="17"/>
                <w:szCs w:val="17"/>
                <w:lang w:val="hr-HR"/>
              </w:rPr>
            </w:pPr>
          </w:p>
        </w:tc>
      </w:tr>
      <w:tr w:rsidR="006C28B0" w:rsidRPr="001567C8" w:rsidTr="003C6BA3">
        <w:trPr>
          <w:trHeight w:val="227"/>
          <w:jc w:val="center"/>
        </w:trPr>
        <w:tc>
          <w:tcPr>
            <w:tcW w:w="3194" w:type="pct"/>
            <w:vAlign w:val="bottom"/>
          </w:tcPr>
          <w:p w:rsidR="006C28B0" w:rsidRPr="001567C8" w:rsidRDefault="006C28B0" w:rsidP="006C28B0">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 xml:space="preserve">Udjeli u investicijskim fondovima po fer vrijednosti kroz </w:t>
            </w:r>
            <w:r w:rsidR="008A2CC2" w:rsidRPr="001567C8">
              <w:rPr>
                <w:rFonts w:ascii="Calibri" w:hAnsi="Calibri" w:cs="Arial"/>
                <w:spacing w:val="-2"/>
                <w:sz w:val="17"/>
                <w:szCs w:val="17"/>
                <w:lang w:val="hr-HR"/>
              </w:rPr>
              <w:t>dobit ili gubitak</w:t>
            </w:r>
          </w:p>
        </w:tc>
        <w:tc>
          <w:tcPr>
            <w:tcW w:w="556" w:type="pct"/>
            <w:tcBorders>
              <w:top w:val="nil"/>
              <w:left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pacing w:val="-2"/>
                <w:sz w:val="17"/>
                <w:szCs w:val="17"/>
                <w:lang w:val="hr-HR"/>
              </w:rPr>
            </w:pPr>
            <w:r w:rsidRPr="00CD3A2D">
              <w:rPr>
                <w:rFonts w:asciiTheme="minorHAnsi" w:hAnsiTheme="minorHAnsi"/>
                <w:sz w:val="17"/>
                <w:szCs w:val="17"/>
                <w:lang w:val="hr-HR"/>
              </w:rPr>
              <w:t>334.060</w:t>
            </w:r>
          </w:p>
        </w:tc>
        <w:tc>
          <w:tcPr>
            <w:tcW w:w="644" w:type="pct"/>
            <w:tcBorders>
              <w:top w:val="nil"/>
              <w:left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pacing w:val="-2"/>
                <w:sz w:val="17"/>
                <w:szCs w:val="17"/>
                <w:lang w:val="hr-HR"/>
              </w:rPr>
            </w:pPr>
            <w:r w:rsidRPr="00CD3A2D">
              <w:rPr>
                <w:rFonts w:asciiTheme="minorHAnsi" w:hAnsiTheme="minorHAnsi"/>
                <w:sz w:val="17"/>
                <w:szCs w:val="17"/>
                <w:lang w:val="hr-HR"/>
              </w:rPr>
              <w:t>-</w:t>
            </w:r>
          </w:p>
        </w:tc>
        <w:tc>
          <w:tcPr>
            <w:tcW w:w="606" w:type="pct"/>
            <w:tcBorders>
              <w:top w:val="nil"/>
              <w:left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pacing w:val="-2"/>
                <w:sz w:val="17"/>
                <w:szCs w:val="17"/>
                <w:lang w:val="hr-HR"/>
              </w:rPr>
            </w:pPr>
            <w:r w:rsidRPr="00CD3A2D">
              <w:rPr>
                <w:rFonts w:asciiTheme="minorHAnsi" w:hAnsiTheme="minorHAnsi"/>
                <w:sz w:val="17"/>
                <w:szCs w:val="17"/>
                <w:lang w:val="hr-HR"/>
              </w:rPr>
              <w:t>-</w:t>
            </w:r>
          </w:p>
        </w:tc>
      </w:tr>
      <w:tr w:rsidR="00B35D15" w:rsidRPr="001567C8" w:rsidTr="00B35D15">
        <w:trPr>
          <w:trHeight w:val="203"/>
          <w:jc w:val="center"/>
        </w:trPr>
        <w:tc>
          <w:tcPr>
            <w:tcW w:w="3194" w:type="pct"/>
            <w:vAlign w:val="bottom"/>
          </w:tcPr>
          <w:p w:rsidR="00B35D15" w:rsidRPr="001567C8" w:rsidRDefault="00B35D15" w:rsidP="00B35D15">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Vlasnički vrijednosni papiri:</w:t>
            </w:r>
          </w:p>
          <w:p w:rsidR="00B35D15" w:rsidRPr="001567C8" w:rsidRDefault="00B35D15" w:rsidP="00B35D15">
            <w:pPr>
              <w:tabs>
                <w:tab w:val="right" w:pos="1202"/>
              </w:tabs>
              <w:outlineLvl w:val="0"/>
              <w:rPr>
                <w:rFonts w:ascii="Calibri" w:hAnsi="Calibri" w:cs="Arial"/>
                <w:b/>
                <w:i/>
                <w:spacing w:val="-2"/>
                <w:sz w:val="17"/>
                <w:szCs w:val="17"/>
                <w:lang w:val="hr-HR"/>
              </w:rPr>
            </w:pPr>
            <w:r w:rsidRPr="001567C8">
              <w:rPr>
                <w:rFonts w:ascii="Calibri" w:hAnsi="Calibri" w:cs="Arial"/>
                <w:b/>
                <w:i/>
                <w:spacing w:val="-2"/>
                <w:sz w:val="17"/>
                <w:szCs w:val="17"/>
                <w:lang w:val="hr-HR"/>
              </w:rPr>
              <w:t>Vlasnički vrijednosni papiri koji kotiraju:</w:t>
            </w:r>
          </w:p>
          <w:p w:rsidR="00B35D15" w:rsidRPr="001567C8" w:rsidRDefault="00B35D15" w:rsidP="00B35D15">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trgovačkih društava</w:t>
            </w:r>
          </w:p>
        </w:tc>
        <w:tc>
          <w:tcPr>
            <w:tcW w:w="556" w:type="pct"/>
            <w:tcBorders>
              <w:top w:val="nil"/>
              <w:left w:val="nil"/>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644" w:type="pct"/>
            <w:tcBorders>
              <w:top w:val="nil"/>
              <w:left w:val="nil"/>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606" w:type="pct"/>
            <w:tcBorders>
              <w:top w:val="nil"/>
              <w:left w:val="nil"/>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B35D15" w:rsidRPr="001567C8" w:rsidTr="00B35D15">
        <w:trPr>
          <w:trHeight w:val="203"/>
          <w:jc w:val="center"/>
        </w:trPr>
        <w:tc>
          <w:tcPr>
            <w:tcW w:w="3194" w:type="pct"/>
            <w:vAlign w:val="bottom"/>
          </w:tcPr>
          <w:p w:rsidR="00B35D15" w:rsidRPr="001567C8" w:rsidRDefault="00B35D15" w:rsidP="00B35D15">
            <w:pPr>
              <w:tabs>
                <w:tab w:val="right" w:pos="1202"/>
              </w:tabs>
              <w:outlineLvl w:val="0"/>
              <w:rPr>
                <w:rFonts w:ascii="Calibri" w:hAnsi="Calibri" w:cs="Arial"/>
                <w:sz w:val="17"/>
                <w:szCs w:val="17"/>
                <w:lang w:val="hr-HR"/>
              </w:rPr>
            </w:pPr>
            <w:r w:rsidRPr="001567C8">
              <w:rPr>
                <w:rFonts w:ascii="Calibri" w:hAnsi="Calibri" w:cs="Arial"/>
                <w:b/>
                <w:i/>
                <w:spacing w:val="-2"/>
                <w:sz w:val="17"/>
                <w:szCs w:val="17"/>
                <w:lang w:val="hr-HR"/>
              </w:rPr>
              <w:t>Vlasnički vrijednosni papiri koji ne kotiraju:</w:t>
            </w:r>
          </w:p>
        </w:tc>
        <w:tc>
          <w:tcPr>
            <w:tcW w:w="556" w:type="pct"/>
            <w:tcBorders>
              <w:left w:val="nil"/>
              <w:right w:val="nil"/>
            </w:tcBorders>
            <w:shd w:val="clear" w:color="auto" w:fill="auto"/>
            <w:vAlign w:val="bottom"/>
          </w:tcPr>
          <w:p w:rsidR="00B35D15" w:rsidRPr="001567C8" w:rsidRDefault="00B35D15" w:rsidP="00B35D15">
            <w:pPr>
              <w:tabs>
                <w:tab w:val="right" w:pos="1202"/>
              </w:tabs>
              <w:jc w:val="right"/>
              <w:outlineLvl w:val="0"/>
              <w:rPr>
                <w:rFonts w:ascii="Calibri" w:hAnsi="Calibri" w:cs="Arial"/>
                <w:sz w:val="17"/>
                <w:szCs w:val="17"/>
                <w:lang w:val="hr-HR"/>
              </w:rPr>
            </w:pPr>
          </w:p>
        </w:tc>
        <w:tc>
          <w:tcPr>
            <w:tcW w:w="644" w:type="pct"/>
            <w:tcBorders>
              <w:top w:val="nil"/>
              <w:left w:val="nil"/>
              <w:right w:val="nil"/>
            </w:tcBorders>
            <w:shd w:val="clear" w:color="auto" w:fill="auto"/>
            <w:vAlign w:val="bottom"/>
          </w:tcPr>
          <w:p w:rsidR="00B35D15" w:rsidRPr="001567C8" w:rsidRDefault="00B35D15" w:rsidP="00B35D15">
            <w:pPr>
              <w:tabs>
                <w:tab w:val="right" w:pos="1202"/>
              </w:tabs>
              <w:jc w:val="right"/>
              <w:outlineLvl w:val="0"/>
              <w:rPr>
                <w:rFonts w:ascii="Calibri" w:hAnsi="Calibri" w:cs="Arial"/>
                <w:sz w:val="17"/>
                <w:szCs w:val="17"/>
                <w:lang w:val="hr-HR"/>
              </w:rPr>
            </w:pPr>
          </w:p>
        </w:tc>
        <w:tc>
          <w:tcPr>
            <w:tcW w:w="606" w:type="pct"/>
            <w:tcBorders>
              <w:top w:val="nil"/>
              <w:left w:val="nil"/>
              <w:right w:val="nil"/>
            </w:tcBorders>
            <w:shd w:val="clear" w:color="auto" w:fill="auto"/>
            <w:vAlign w:val="bottom"/>
          </w:tcPr>
          <w:p w:rsidR="00B35D15" w:rsidRPr="001567C8" w:rsidRDefault="00B35D15" w:rsidP="00B35D15">
            <w:pPr>
              <w:tabs>
                <w:tab w:val="right" w:pos="1202"/>
              </w:tabs>
              <w:jc w:val="right"/>
              <w:outlineLvl w:val="0"/>
              <w:rPr>
                <w:rFonts w:ascii="Calibri" w:hAnsi="Calibri" w:cs="Arial"/>
                <w:sz w:val="17"/>
                <w:szCs w:val="17"/>
                <w:lang w:val="hr-HR"/>
              </w:rPr>
            </w:pPr>
          </w:p>
        </w:tc>
      </w:tr>
      <w:tr w:rsidR="00B35D15" w:rsidRPr="001567C8" w:rsidTr="00B35D15">
        <w:trPr>
          <w:trHeight w:hRule="exact" w:val="266"/>
          <w:jc w:val="center"/>
        </w:trPr>
        <w:tc>
          <w:tcPr>
            <w:tcW w:w="3194" w:type="pct"/>
            <w:vAlign w:val="bottom"/>
          </w:tcPr>
          <w:p w:rsidR="00B35D15" w:rsidRPr="001567C8" w:rsidRDefault="00B35D15" w:rsidP="00B35D15">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Dionice trgovačkih društava</w:t>
            </w:r>
          </w:p>
        </w:tc>
        <w:tc>
          <w:tcPr>
            <w:tcW w:w="556" w:type="pct"/>
            <w:tcBorders>
              <w:left w:val="nil"/>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644" w:type="pct"/>
            <w:tcBorders>
              <w:top w:val="nil"/>
              <w:left w:val="nil"/>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606" w:type="pct"/>
            <w:tcBorders>
              <w:top w:val="nil"/>
              <w:left w:val="nil"/>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B35D15" w:rsidRPr="001567C8" w:rsidTr="00B35D15">
        <w:trPr>
          <w:trHeight w:hRule="exact" w:val="266"/>
          <w:jc w:val="center"/>
        </w:trPr>
        <w:tc>
          <w:tcPr>
            <w:tcW w:w="3194" w:type="pct"/>
            <w:vAlign w:val="bottom"/>
          </w:tcPr>
          <w:p w:rsidR="00B35D15" w:rsidRPr="001567C8" w:rsidRDefault="00B35D15" w:rsidP="00B35D15">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financijskih institucija</w:t>
            </w:r>
          </w:p>
        </w:tc>
        <w:tc>
          <w:tcPr>
            <w:tcW w:w="556" w:type="pct"/>
            <w:tcBorders>
              <w:top w:val="nil"/>
              <w:left w:val="nil"/>
              <w:bottom w:val="single" w:sz="4" w:space="0" w:color="auto"/>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644" w:type="pct"/>
            <w:tcBorders>
              <w:top w:val="nil"/>
              <w:left w:val="nil"/>
              <w:bottom w:val="single" w:sz="4" w:space="0" w:color="auto"/>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161</w:t>
            </w:r>
          </w:p>
        </w:tc>
        <w:tc>
          <w:tcPr>
            <w:tcW w:w="606" w:type="pct"/>
            <w:tcBorders>
              <w:top w:val="nil"/>
              <w:left w:val="nil"/>
              <w:bottom w:val="single" w:sz="4" w:space="0" w:color="auto"/>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B35D15" w:rsidRPr="001567C8" w:rsidTr="003C6BA3">
        <w:trPr>
          <w:trHeight w:hRule="exact" w:val="268"/>
          <w:jc w:val="center"/>
        </w:trPr>
        <w:tc>
          <w:tcPr>
            <w:tcW w:w="3194" w:type="pct"/>
            <w:vAlign w:val="bottom"/>
          </w:tcPr>
          <w:p w:rsidR="00B35D15" w:rsidRPr="001567C8" w:rsidRDefault="00B35D15" w:rsidP="00B35D15">
            <w:pPr>
              <w:tabs>
                <w:tab w:val="right" w:pos="1202"/>
              </w:tabs>
              <w:outlineLvl w:val="0"/>
              <w:rPr>
                <w:rFonts w:ascii="Calibri" w:hAnsi="Calibri" w:cs="Arial"/>
                <w:sz w:val="17"/>
                <w:szCs w:val="17"/>
                <w:lang w:val="hr-HR"/>
              </w:rPr>
            </w:pPr>
            <w:r w:rsidRPr="001567C8">
              <w:rPr>
                <w:rFonts w:ascii="Calibri" w:hAnsi="Calibri" w:cs="Arial"/>
                <w:b/>
                <w:sz w:val="17"/>
                <w:szCs w:val="17"/>
                <w:lang w:val="hr-HR"/>
              </w:rPr>
              <w:t>Ukupno financijska imovina po fer vrijednosti kroz dobit i</w:t>
            </w:r>
            <w:r w:rsidR="008A2CC2" w:rsidRPr="001567C8">
              <w:rPr>
                <w:rFonts w:ascii="Calibri" w:hAnsi="Calibri" w:cs="Arial"/>
                <w:b/>
                <w:sz w:val="17"/>
                <w:szCs w:val="17"/>
                <w:lang w:val="hr-HR"/>
              </w:rPr>
              <w:t>li</w:t>
            </w:r>
            <w:r w:rsidRPr="001567C8">
              <w:rPr>
                <w:rFonts w:ascii="Calibri" w:hAnsi="Calibri" w:cs="Arial"/>
                <w:b/>
                <w:sz w:val="17"/>
                <w:szCs w:val="17"/>
                <w:lang w:val="hr-HR"/>
              </w:rPr>
              <w:t xml:space="preserve"> gubit</w:t>
            </w:r>
            <w:r w:rsidR="008A2CC2" w:rsidRPr="001567C8">
              <w:rPr>
                <w:rFonts w:ascii="Calibri" w:hAnsi="Calibri" w:cs="Arial"/>
                <w:b/>
                <w:sz w:val="17"/>
                <w:szCs w:val="17"/>
                <w:lang w:val="hr-HR"/>
              </w:rPr>
              <w:t>a</w:t>
            </w:r>
            <w:r w:rsidR="007822B2" w:rsidRPr="001567C8">
              <w:rPr>
                <w:rFonts w:ascii="Calibri" w:hAnsi="Calibri" w:cs="Arial"/>
                <w:b/>
                <w:sz w:val="17"/>
                <w:szCs w:val="17"/>
                <w:lang w:val="hr-HR"/>
              </w:rPr>
              <w:t>k</w:t>
            </w:r>
          </w:p>
        </w:tc>
        <w:tc>
          <w:tcPr>
            <w:tcW w:w="556" w:type="pct"/>
            <w:tcBorders>
              <w:top w:val="single" w:sz="4" w:space="0" w:color="auto"/>
              <w:left w:val="nil"/>
              <w:bottom w:val="single" w:sz="12" w:space="0" w:color="auto"/>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b/>
                <w:sz w:val="17"/>
                <w:szCs w:val="17"/>
                <w:lang w:val="hr-HR"/>
              </w:rPr>
            </w:pPr>
            <w:r w:rsidRPr="001567C8">
              <w:rPr>
                <w:rFonts w:ascii="Calibri" w:hAnsi="Calibri" w:cs="Arial"/>
                <w:b/>
                <w:sz w:val="17"/>
                <w:szCs w:val="17"/>
                <w:lang w:val="hr-HR"/>
              </w:rPr>
              <w:t>334.060</w:t>
            </w:r>
          </w:p>
        </w:tc>
        <w:tc>
          <w:tcPr>
            <w:tcW w:w="644" w:type="pct"/>
            <w:tcBorders>
              <w:top w:val="single" w:sz="4" w:space="0" w:color="auto"/>
              <w:left w:val="nil"/>
              <w:bottom w:val="single" w:sz="12" w:space="0" w:color="auto"/>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b/>
                <w:sz w:val="17"/>
                <w:szCs w:val="17"/>
                <w:lang w:val="hr-HR"/>
              </w:rPr>
            </w:pPr>
            <w:r w:rsidRPr="001567C8">
              <w:rPr>
                <w:rFonts w:ascii="Calibri" w:hAnsi="Calibri" w:cs="Arial"/>
                <w:b/>
                <w:sz w:val="17"/>
                <w:szCs w:val="17"/>
                <w:lang w:val="hr-HR"/>
              </w:rPr>
              <w:t>161</w:t>
            </w:r>
          </w:p>
        </w:tc>
        <w:tc>
          <w:tcPr>
            <w:tcW w:w="606" w:type="pct"/>
            <w:tcBorders>
              <w:top w:val="single" w:sz="4" w:space="0" w:color="auto"/>
              <w:left w:val="nil"/>
              <w:bottom w:val="single" w:sz="12" w:space="0" w:color="auto"/>
              <w:right w:val="nil"/>
            </w:tcBorders>
            <w:shd w:val="clear" w:color="auto" w:fill="auto"/>
            <w:vAlign w:val="bottom"/>
          </w:tcPr>
          <w:p w:rsidR="00B35D15" w:rsidRPr="001567C8" w:rsidRDefault="006C28B0" w:rsidP="00B35D15">
            <w:pPr>
              <w:tabs>
                <w:tab w:val="right" w:pos="1202"/>
              </w:tabs>
              <w:jc w:val="right"/>
              <w:outlineLvl w:val="0"/>
              <w:rPr>
                <w:rFonts w:ascii="Calibri" w:hAnsi="Calibri" w:cs="Arial"/>
                <w:b/>
                <w:sz w:val="17"/>
                <w:szCs w:val="17"/>
                <w:lang w:val="hr-HR"/>
              </w:rPr>
            </w:pPr>
            <w:r w:rsidRPr="001567C8">
              <w:rPr>
                <w:rFonts w:ascii="Calibri" w:hAnsi="Calibri" w:cs="Arial"/>
                <w:b/>
                <w:sz w:val="17"/>
                <w:szCs w:val="17"/>
                <w:lang w:val="hr-HR"/>
              </w:rPr>
              <w:t>2.045</w:t>
            </w:r>
          </w:p>
        </w:tc>
      </w:tr>
      <w:tr w:rsidR="00B35D15" w:rsidRPr="001567C8" w:rsidTr="003C6BA3">
        <w:trPr>
          <w:trHeight w:hRule="exact" w:val="447"/>
          <w:jc w:val="center"/>
        </w:trPr>
        <w:tc>
          <w:tcPr>
            <w:tcW w:w="3194" w:type="pct"/>
            <w:shd w:val="clear" w:color="auto" w:fill="auto"/>
            <w:vAlign w:val="bottom"/>
          </w:tcPr>
          <w:p w:rsidR="00B35D15" w:rsidRPr="001567C8" w:rsidRDefault="00B35D15" w:rsidP="00B35D15">
            <w:pPr>
              <w:tabs>
                <w:tab w:val="right" w:pos="1202"/>
              </w:tabs>
              <w:outlineLvl w:val="0"/>
              <w:rPr>
                <w:rFonts w:ascii="Calibri" w:hAnsi="Calibri" w:cs="Arial"/>
                <w:b/>
                <w:spacing w:val="-2"/>
                <w:sz w:val="17"/>
                <w:szCs w:val="17"/>
                <w:lang w:val="hr-HR"/>
              </w:rPr>
            </w:pPr>
            <w:r w:rsidRPr="001567C8">
              <w:rPr>
                <w:rFonts w:ascii="Calibri" w:hAnsi="Calibri" w:cs="Arial"/>
                <w:b/>
                <w:spacing w:val="-2"/>
                <w:sz w:val="17"/>
                <w:szCs w:val="17"/>
                <w:lang w:val="hr-HR"/>
              </w:rPr>
              <w:t>Financijska imovina po fer vrijednosti kroz ostalu sveobuhvatnu dobit:</w:t>
            </w:r>
          </w:p>
        </w:tc>
        <w:tc>
          <w:tcPr>
            <w:tcW w:w="556" w:type="pct"/>
            <w:vAlign w:val="bottom"/>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c>
          <w:tcPr>
            <w:tcW w:w="644" w:type="pct"/>
            <w:vAlign w:val="bottom"/>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c>
          <w:tcPr>
            <w:tcW w:w="606" w:type="pct"/>
            <w:vAlign w:val="bottom"/>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r>
      <w:tr w:rsidR="00B35D15" w:rsidRPr="001567C8" w:rsidTr="00B35D15">
        <w:trPr>
          <w:trHeight w:val="273"/>
          <w:jc w:val="center"/>
        </w:trPr>
        <w:tc>
          <w:tcPr>
            <w:tcW w:w="3194" w:type="pct"/>
            <w:shd w:val="clear" w:color="auto" w:fill="auto"/>
            <w:vAlign w:val="bottom"/>
          </w:tcPr>
          <w:p w:rsidR="00B35D15" w:rsidRPr="001567C8" w:rsidRDefault="00B35D15" w:rsidP="00B35D15">
            <w:pPr>
              <w:tabs>
                <w:tab w:val="right" w:pos="1202"/>
              </w:tabs>
              <w:outlineLvl w:val="0"/>
              <w:rPr>
                <w:rFonts w:ascii="Calibri" w:hAnsi="Calibri" w:cs="Arial"/>
                <w:b/>
                <w:spacing w:val="-2"/>
                <w:sz w:val="17"/>
                <w:szCs w:val="17"/>
                <w:lang w:val="hr-HR"/>
              </w:rPr>
            </w:pPr>
            <w:r w:rsidRPr="001567C8">
              <w:rPr>
                <w:rFonts w:ascii="Calibri" w:hAnsi="Calibri" w:cs="Arial"/>
                <w:b/>
                <w:spacing w:val="-2"/>
                <w:sz w:val="17"/>
                <w:szCs w:val="17"/>
                <w:lang w:val="hr-HR"/>
              </w:rPr>
              <w:t>Dužnički vrijednosni papiri:</w:t>
            </w:r>
          </w:p>
        </w:tc>
        <w:tc>
          <w:tcPr>
            <w:tcW w:w="556" w:type="pct"/>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c>
          <w:tcPr>
            <w:tcW w:w="644" w:type="pct"/>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c>
          <w:tcPr>
            <w:tcW w:w="606" w:type="pct"/>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r>
      <w:tr w:rsidR="00B35D15" w:rsidRPr="001567C8" w:rsidTr="00B35D15">
        <w:trPr>
          <w:trHeight w:val="273"/>
          <w:jc w:val="center"/>
        </w:trPr>
        <w:tc>
          <w:tcPr>
            <w:tcW w:w="3194" w:type="pct"/>
            <w:shd w:val="clear" w:color="auto" w:fill="auto"/>
            <w:vAlign w:val="bottom"/>
          </w:tcPr>
          <w:p w:rsidR="00B35D15" w:rsidRPr="001567C8" w:rsidRDefault="00B35D15" w:rsidP="00B35D15">
            <w:pPr>
              <w:tabs>
                <w:tab w:val="right" w:pos="1202"/>
              </w:tabs>
              <w:outlineLvl w:val="0"/>
              <w:rPr>
                <w:rFonts w:ascii="Calibri" w:hAnsi="Calibri" w:cs="Arial"/>
                <w:b/>
                <w:i/>
                <w:spacing w:val="-2"/>
                <w:sz w:val="17"/>
                <w:szCs w:val="17"/>
                <w:lang w:val="hr-HR"/>
              </w:rPr>
            </w:pPr>
            <w:r w:rsidRPr="001567C8">
              <w:rPr>
                <w:rFonts w:ascii="Calibri" w:hAnsi="Calibri" w:cs="Arial"/>
                <w:b/>
                <w:i/>
                <w:spacing w:val="-2"/>
                <w:sz w:val="17"/>
                <w:szCs w:val="17"/>
                <w:lang w:val="hr-HR"/>
              </w:rPr>
              <w:t>Dužnički vrijednosni papiri koji kotiraju:</w:t>
            </w:r>
          </w:p>
        </w:tc>
        <w:tc>
          <w:tcPr>
            <w:tcW w:w="556" w:type="pct"/>
            <w:vAlign w:val="bottom"/>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c>
          <w:tcPr>
            <w:tcW w:w="644" w:type="pct"/>
            <w:vAlign w:val="bottom"/>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c>
          <w:tcPr>
            <w:tcW w:w="606" w:type="pct"/>
            <w:vAlign w:val="bottom"/>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r>
      <w:tr w:rsidR="006C28B0" w:rsidRPr="001567C8" w:rsidTr="003C6BA3">
        <w:trPr>
          <w:trHeight w:hRule="exact" w:val="266"/>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Obveznice Republike Hrvatske</w:t>
            </w:r>
          </w:p>
        </w:tc>
        <w:tc>
          <w:tcPr>
            <w:tcW w:w="55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1.124.611</w:t>
            </w:r>
          </w:p>
        </w:tc>
        <w:tc>
          <w:tcPr>
            <w:tcW w:w="644"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c>
          <w:tcPr>
            <w:tcW w:w="60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r>
      <w:tr w:rsidR="006C28B0" w:rsidRPr="001567C8" w:rsidTr="003C6BA3">
        <w:trPr>
          <w:trHeight w:hRule="exact" w:val="266"/>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Obveznice trgovačkih društava</w:t>
            </w:r>
          </w:p>
        </w:tc>
        <w:tc>
          <w:tcPr>
            <w:tcW w:w="55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770</w:t>
            </w:r>
          </w:p>
        </w:tc>
        <w:tc>
          <w:tcPr>
            <w:tcW w:w="644"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eastAsia="Calibri" w:hAnsiTheme="minorHAnsi" w:cs="Arial"/>
                <w:sz w:val="17"/>
                <w:szCs w:val="17"/>
                <w:lang w:val="hr-HR"/>
              </w:rPr>
            </w:pPr>
            <w:r w:rsidRPr="001567C8">
              <w:rPr>
                <w:rFonts w:asciiTheme="minorHAnsi" w:eastAsia="Calibri" w:hAnsiTheme="minorHAnsi" w:cs="Arial"/>
                <w:sz w:val="17"/>
                <w:szCs w:val="17"/>
                <w:lang w:val="hr-HR"/>
              </w:rPr>
              <w:t>-</w:t>
            </w:r>
          </w:p>
        </w:tc>
        <w:tc>
          <w:tcPr>
            <w:tcW w:w="60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eastAsia="Calibri" w:hAnsiTheme="minorHAnsi" w:cs="Arial"/>
                <w:sz w:val="17"/>
                <w:szCs w:val="17"/>
                <w:lang w:val="hr-HR"/>
              </w:rPr>
            </w:pPr>
            <w:r w:rsidRPr="001567C8">
              <w:rPr>
                <w:rFonts w:asciiTheme="minorHAnsi" w:eastAsia="Calibri" w:hAnsiTheme="minorHAnsi" w:cs="Arial"/>
                <w:sz w:val="17"/>
                <w:szCs w:val="17"/>
                <w:lang w:val="hr-HR"/>
              </w:rPr>
              <w:t>-</w:t>
            </w:r>
          </w:p>
        </w:tc>
      </w:tr>
      <w:tr w:rsidR="006C28B0" w:rsidRPr="001567C8" w:rsidTr="003C6BA3">
        <w:trPr>
          <w:trHeight w:hRule="exact" w:val="266"/>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Trezorski zapisi Ministarstva financija</w:t>
            </w:r>
          </w:p>
        </w:tc>
        <w:tc>
          <w:tcPr>
            <w:tcW w:w="55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1.666.299</w:t>
            </w:r>
          </w:p>
        </w:tc>
        <w:tc>
          <w:tcPr>
            <w:tcW w:w="644"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c>
          <w:tcPr>
            <w:tcW w:w="60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r>
      <w:tr w:rsidR="006C28B0" w:rsidRPr="001567C8" w:rsidTr="003C6BA3">
        <w:trPr>
          <w:trHeight w:hRule="exact" w:val="266"/>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 xml:space="preserve">Obračunata kamata </w:t>
            </w:r>
          </w:p>
        </w:tc>
        <w:tc>
          <w:tcPr>
            <w:tcW w:w="55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11.313</w:t>
            </w:r>
          </w:p>
        </w:tc>
        <w:tc>
          <w:tcPr>
            <w:tcW w:w="644"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c>
          <w:tcPr>
            <w:tcW w:w="60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r>
      <w:tr w:rsidR="00B35D15" w:rsidRPr="001567C8" w:rsidTr="003C6BA3">
        <w:trPr>
          <w:trHeight w:hRule="exact" w:val="266"/>
          <w:jc w:val="center"/>
        </w:trPr>
        <w:tc>
          <w:tcPr>
            <w:tcW w:w="3194" w:type="pct"/>
            <w:shd w:val="clear" w:color="auto" w:fill="auto"/>
            <w:vAlign w:val="bottom"/>
          </w:tcPr>
          <w:p w:rsidR="00B35D15" w:rsidRPr="001567C8" w:rsidRDefault="00B35D15" w:rsidP="00B35D15">
            <w:pPr>
              <w:tabs>
                <w:tab w:val="right" w:pos="1202"/>
              </w:tabs>
              <w:outlineLvl w:val="0"/>
              <w:rPr>
                <w:rFonts w:ascii="Calibri" w:hAnsi="Calibri" w:cs="Arial"/>
                <w:b/>
                <w:i/>
                <w:spacing w:val="-2"/>
                <w:sz w:val="17"/>
                <w:szCs w:val="17"/>
                <w:lang w:val="hr-HR"/>
              </w:rPr>
            </w:pPr>
            <w:r w:rsidRPr="001567C8">
              <w:rPr>
                <w:rFonts w:ascii="Calibri" w:hAnsi="Calibri" w:cs="Arial"/>
                <w:b/>
                <w:i/>
                <w:spacing w:val="-2"/>
                <w:sz w:val="17"/>
                <w:szCs w:val="17"/>
                <w:lang w:val="hr-HR"/>
              </w:rPr>
              <w:t>Dužnički vrijednosni papiri koji ne kotiraju:</w:t>
            </w:r>
          </w:p>
        </w:tc>
        <w:tc>
          <w:tcPr>
            <w:tcW w:w="556" w:type="pct"/>
            <w:tcBorders>
              <w:top w:val="nil"/>
              <w:left w:val="nil"/>
              <w:bottom w:val="nil"/>
              <w:right w:val="nil"/>
            </w:tcBorders>
            <w:shd w:val="clear" w:color="auto" w:fill="auto"/>
            <w:vAlign w:val="bottom"/>
          </w:tcPr>
          <w:p w:rsidR="00B35D15" w:rsidRPr="001567C8" w:rsidRDefault="00B35D15" w:rsidP="006C28B0">
            <w:pPr>
              <w:tabs>
                <w:tab w:val="right" w:pos="1202"/>
              </w:tabs>
              <w:jc w:val="right"/>
              <w:outlineLvl w:val="0"/>
              <w:rPr>
                <w:rFonts w:asciiTheme="minorHAnsi" w:hAnsiTheme="minorHAnsi" w:cs="Arial"/>
                <w:sz w:val="17"/>
                <w:szCs w:val="17"/>
                <w:lang w:val="hr-HR"/>
              </w:rPr>
            </w:pPr>
          </w:p>
        </w:tc>
        <w:tc>
          <w:tcPr>
            <w:tcW w:w="644" w:type="pct"/>
            <w:tcBorders>
              <w:top w:val="nil"/>
              <w:left w:val="nil"/>
              <w:bottom w:val="nil"/>
              <w:right w:val="nil"/>
            </w:tcBorders>
            <w:shd w:val="clear" w:color="auto" w:fill="auto"/>
            <w:vAlign w:val="bottom"/>
          </w:tcPr>
          <w:p w:rsidR="00B35D15" w:rsidRPr="001567C8" w:rsidRDefault="00B35D15" w:rsidP="006C28B0">
            <w:pPr>
              <w:tabs>
                <w:tab w:val="right" w:pos="1202"/>
              </w:tabs>
              <w:jc w:val="right"/>
              <w:outlineLvl w:val="0"/>
              <w:rPr>
                <w:rFonts w:asciiTheme="minorHAnsi" w:hAnsiTheme="minorHAnsi" w:cs="Arial"/>
                <w:spacing w:val="-2"/>
                <w:sz w:val="17"/>
                <w:szCs w:val="17"/>
                <w:lang w:val="hr-HR"/>
              </w:rPr>
            </w:pPr>
          </w:p>
        </w:tc>
        <w:tc>
          <w:tcPr>
            <w:tcW w:w="606" w:type="pct"/>
            <w:tcBorders>
              <w:top w:val="nil"/>
              <w:left w:val="nil"/>
              <w:bottom w:val="nil"/>
              <w:right w:val="nil"/>
            </w:tcBorders>
            <w:shd w:val="clear" w:color="auto" w:fill="auto"/>
            <w:vAlign w:val="bottom"/>
          </w:tcPr>
          <w:p w:rsidR="00B35D15" w:rsidRPr="001567C8" w:rsidRDefault="00B35D15" w:rsidP="006C28B0">
            <w:pPr>
              <w:tabs>
                <w:tab w:val="right" w:pos="1202"/>
              </w:tabs>
              <w:jc w:val="right"/>
              <w:outlineLvl w:val="0"/>
              <w:rPr>
                <w:rFonts w:asciiTheme="minorHAnsi" w:hAnsiTheme="minorHAnsi" w:cs="Arial"/>
                <w:spacing w:val="-2"/>
                <w:sz w:val="17"/>
                <w:szCs w:val="17"/>
                <w:lang w:val="hr-HR"/>
              </w:rPr>
            </w:pPr>
          </w:p>
        </w:tc>
      </w:tr>
      <w:tr w:rsidR="006C28B0" w:rsidRPr="001567C8" w:rsidTr="003C6BA3">
        <w:trPr>
          <w:trHeight w:hRule="exact" w:val="266"/>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 xml:space="preserve">Obveznice trgovačkih društava </w:t>
            </w:r>
          </w:p>
        </w:tc>
        <w:tc>
          <w:tcPr>
            <w:tcW w:w="55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c>
          <w:tcPr>
            <w:tcW w:w="644"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c>
          <w:tcPr>
            <w:tcW w:w="60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pacing w:val="-2"/>
                <w:sz w:val="17"/>
                <w:szCs w:val="17"/>
                <w:lang w:val="hr-HR"/>
              </w:rPr>
            </w:pPr>
            <w:r w:rsidRPr="00CD3A2D">
              <w:rPr>
                <w:rFonts w:asciiTheme="minorHAnsi" w:hAnsiTheme="minorHAnsi"/>
                <w:sz w:val="17"/>
                <w:szCs w:val="17"/>
                <w:lang w:val="hr-HR"/>
              </w:rPr>
              <w:t>535</w:t>
            </w:r>
          </w:p>
        </w:tc>
      </w:tr>
      <w:tr w:rsidR="006C28B0" w:rsidRPr="001567C8" w:rsidTr="003C6BA3">
        <w:trPr>
          <w:trHeight w:hRule="exact" w:val="266"/>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Obračunata kamata</w:t>
            </w:r>
          </w:p>
        </w:tc>
        <w:tc>
          <w:tcPr>
            <w:tcW w:w="55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c>
          <w:tcPr>
            <w:tcW w:w="644"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1567C8">
              <w:rPr>
                <w:rFonts w:asciiTheme="minorHAnsi" w:hAnsiTheme="minorHAnsi" w:cs="Arial"/>
                <w:sz w:val="17"/>
                <w:szCs w:val="17"/>
                <w:lang w:val="hr-HR"/>
              </w:rPr>
              <w:t>-</w:t>
            </w:r>
          </w:p>
        </w:tc>
        <w:tc>
          <w:tcPr>
            <w:tcW w:w="606" w:type="pct"/>
            <w:tcBorders>
              <w:top w:val="nil"/>
              <w:left w:val="nil"/>
              <w:bottom w:val="single" w:sz="4"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pacing w:val="-2"/>
                <w:sz w:val="17"/>
                <w:szCs w:val="17"/>
                <w:lang w:val="hr-HR"/>
              </w:rPr>
            </w:pPr>
            <w:r w:rsidRPr="00CD3A2D">
              <w:rPr>
                <w:rFonts w:asciiTheme="minorHAnsi" w:hAnsiTheme="minorHAnsi"/>
                <w:sz w:val="17"/>
                <w:szCs w:val="17"/>
                <w:lang w:val="hr-HR"/>
              </w:rPr>
              <w:t>233</w:t>
            </w:r>
          </w:p>
        </w:tc>
      </w:tr>
      <w:tr w:rsidR="006C28B0" w:rsidRPr="001567C8" w:rsidTr="003C6BA3">
        <w:trPr>
          <w:trHeight w:val="273"/>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b/>
                <w:spacing w:val="-2"/>
                <w:sz w:val="17"/>
                <w:szCs w:val="17"/>
                <w:lang w:val="hr-HR"/>
              </w:rPr>
            </w:pPr>
            <w:r w:rsidRPr="001567C8">
              <w:rPr>
                <w:rFonts w:ascii="Calibri" w:hAnsi="Calibri" w:cs="Arial"/>
                <w:b/>
                <w:spacing w:val="-2"/>
                <w:sz w:val="17"/>
                <w:szCs w:val="17"/>
                <w:lang w:val="hr-HR"/>
              </w:rPr>
              <w:t>Ukupno dužnički vrijednosni papiri</w:t>
            </w:r>
          </w:p>
        </w:tc>
        <w:tc>
          <w:tcPr>
            <w:tcW w:w="556" w:type="pct"/>
            <w:tcBorders>
              <w:top w:val="single" w:sz="4" w:space="0" w:color="auto"/>
              <w:left w:val="nil"/>
              <w:bottom w:val="single" w:sz="12"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b/>
                <w:spacing w:val="-2"/>
                <w:sz w:val="17"/>
                <w:szCs w:val="17"/>
                <w:lang w:val="hr-HR" w:eastAsia="hr-HR"/>
              </w:rPr>
            </w:pPr>
            <w:r w:rsidRPr="00CD3A2D">
              <w:rPr>
                <w:rFonts w:asciiTheme="minorHAnsi" w:hAnsiTheme="minorHAnsi"/>
                <w:b/>
                <w:sz w:val="17"/>
                <w:szCs w:val="17"/>
                <w:lang w:val="hr-HR"/>
              </w:rPr>
              <w:t>2.802.993</w:t>
            </w:r>
          </w:p>
        </w:tc>
        <w:tc>
          <w:tcPr>
            <w:tcW w:w="644" w:type="pct"/>
            <w:tcBorders>
              <w:top w:val="single" w:sz="4" w:space="0" w:color="auto"/>
              <w:left w:val="nil"/>
              <w:bottom w:val="single" w:sz="12"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b/>
                <w:spacing w:val="-2"/>
                <w:sz w:val="17"/>
                <w:szCs w:val="17"/>
                <w:lang w:val="hr-HR" w:eastAsia="hr-HR"/>
              </w:rPr>
            </w:pPr>
            <w:r w:rsidRPr="00CD3A2D">
              <w:rPr>
                <w:rFonts w:asciiTheme="minorHAnsi" w:hAnsiTheme="minorHAnsi"/>
                <w:b/>
                <w:sz w:val="17"/>
                <w:szCs w:val="17"/>
                <w:lang w:val="hr-HR"/>
              </w:rPr>
              <w:t>-</w:t>
            </w:r>
          </w:p>
        </w:tc>
        <w:tc>
          <w:tcPr>
            <w:tcW w:w="606" w:type="pct"/>
            <w:tcBorders>
              <w:top w:val="single" w:sz="4" w:space="0" w:color="auto"/>
              <w:left w:val="nil"/>
              <w:bottom w:val="single" w:sz="12"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b/>
                <w:spacing w:val="-2"/>
                <w:sz w:val="17"/>
                <w:szCs w:val="17"/>
                <w:lang w:val="hr-HR" w:eastAsia="hr-HR"/>
              </w:rPr>
            </w:pPr>
            <w:r w:rsidRPr="00CD3A2D">
              <w:rPr>
                <w:rFonts w:asciiTheme="minorHAnsi" w:hAnsiTheme="minorHAnsi"/>
                <w:b/>
                <w:sz w:val="17"/>
                <w:szCs w:val="17"/>
                <w:lang w:val="hr-HR"/>
              </w:rPr>
              <w:t>768</w:t>
            </w:r>
          </w:p>
        </w:tc>
      </w:tr>
      <w:tr w:rsidR="00B35D15" w:rsidRPr="001567C8" w:rsidTr="00B35D15">
        <w:trPr>
          <w:trHeight w:hRule="exact" w:val="271"/>
          <w:jc w:val="center"/>
        </w:trPr>
        <w:tc>
          <w:tcPr>
            <w:tcW w:w="3194" w:type="pct"/>
            <w:shd w:val="clear" w:color="auto" w:fill="auto"/>
            <w:vAlign w:val="bottom"/>
          </w:tcPr>
          <w:p w:rsidR="00B35D15" w:rsidRPr="001567C8" w:rsidRDefault="00B35D15" w:rsidP="00B35D15">
            <w:pPr>
              <w:tabs>
                <w:tab w:val="right" w:pos="1202"/>
              </w:tabs>
              <w:outlineLvl w:val="0"/>
              <w:rPr>
                <w:rFonts w:ascii="Calibri" w:hAnsi="Calibri" w:cs="Arial"/>
                <w:b/>
                <w:i/>
                <w:spacing w:val="-2"/>
                <w:sz w:val="17"/>
                <w:szCs w:val="17"/>
                <w:lang w:val="hr-HR"/>
              </w:rPr>
            </w:pPr>
            <w:r w:rsidRPr="001567C8">
              <w:rPr>
                <w:rFonts w:ascii="Calibri" w:hAnsi="Calibri" w:cs="Arial"/>
                <w:b/>
                <w:i/>
                <w:spacing w:val="-2"/>
                <w:sz w:val="17"/>
                <w:szCs w:val="17"/>
                <w:lang w:val="hr-HR"/>
              </w:rPr>
              <w:t>Vlasnički vrijednosni papiri koji ne kotiraju:</w:t>
            </w:r>
          </w:p>
        </w:tc>
        <w:tc>
          <w:tcPr>
            <w:tcW w:w="556" w:type="pct"/>
            <w:tcBorders>
              <w:top w:val="single" w:sz="12" w:space="0" w:color="auto"/>
            </w:tcBorders>
            <w:vAlign w:val="bottom"/>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c>
          <w:tcPr>
            <w:tcW w:w="644" w:type="pct"/>
            <w:tcBorders>
              <w:top w:val="single" w:sz="12" w:space="0" w:color="auto"/>
            </w:tcBorders>
            <w:vAlign w:val="bottom"/>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c>
          <w:tcPr>
            <w:tcW w:w="606" w:type="pct"/>
            <w:tcBorders>
              <w:top w:val="single" w:sz="12" w:space="0" w:color="auto"/>
            </w:tcBorders>
            <w:vAlign w:val="bottom"/>
          </w:tcPr>
          <w:p w:rsidR="00B35D15" w:rsidRPr="001567C8" w:rsidDel="00561A80" w:rsidRDefault="00B35D15" w:rsidP="00B35D15">
            <w:pPr>
              <w:tabs>
                <w:tab w:val="right" w:pos="1202"/>
              </w:tabs>
              <w:jc w:val="right"/>
              <w:outlineLvl w:val="0"/>
              <w:rPr>
                <w:rFonts w:ascii="Calibri" w:hAnsi="Calibri" w:cs="Arial"/>
                <w:spacing w:val="-2"/>
                <w:sz w:val="17"/>
                <w:szCs w:val="17"/>
                <w:lang w:val="hr-HR"/>
              </w:rPr>
            </w:pPr>
          </w:p>
        </w:tc>
      </w:tr>
      <w:tr w:rsidR="006C28B0" w:rsidRPr="001567C8" w:rsidTr="003C6BA3">
        <w:trPr>
          <w:trHeight w:hRule="exact" w:val="266"/>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inozemnih pravnih osoba</w:t>
            </w:r>
          </w:p>
        </w:tc>
        <w:tc>
          <w:tcPr>
            <w:tcW w:w="55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c>
          <w:tcPr>
            <w:tcW w:w="644"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38</w:t>
            </w:r>
          </w:p>
        </w:tc>
        <w:tc>
          <w:tcPr>
            <w:tcW w:w="60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r>
      <w:tr w:rsidR="006C28B0" w:rsidRPr="001567C8" w:rsidTr="003C6BA3">
        <w:trPr>
          <w:trHeight w:hRule="exact" w:val="266"/>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inozemnih financijskih institucija – EIF</w:t>
            </w:r>
          </w:p>
        </w:tc>
        <w:tc>
          <w:tcPr>
            <w:tcW w:w="55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c>
          <w:tcPr>
            <w:tcW w:w="644"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25.671</w:t>
            </w:r>
          </w:p>
        </w:tc>
        <w:tc>
          <w:tcPr>
            <w:tcW w:w="606" w:type="pct"/>
            <w:tcBorders>
              <w:top w:val="nil"/>
              <w:left w:val="nil"/>
              <w:bottom w:val="nil"/>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r>
      <w:tr w:rsidR="006C28B0" w:rsidRPr="001567C8" w:rsidTr="003C6BA3">
        <w:trPr>
          <w:trHeight w:hRule="exact" w:val="259"/>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Ukupno vlasnički vrijednosni papiri</w:t>
            </w:r>
          </w:p>
        </w:tc>
        <w:tc>
          <w:tcPr>
            <w:tcW w:w="556" w:type="pct"/>
            <w:tcBorders>
              <w:top w:val="single" w:sz="4" w:space="0" w:color="auto"/>
              <w:left w:val="nil"/>
              <w:bottom w:val="single" w:sz="8"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w:t>
            </w:r>
          </w:p>
        </w:tc>
        <w:tc>
          <w:tcPr>
            <w:tcW w:w="644" w:type="pct"/>
            <w:tcBorders>
              <w:top w:val="single" w:sz="4" w:space="0" w:color="auto"/>
              <w:left w:val="nil"/>
              <w:bottom w:val="single" w:sz="8"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25.709</w:t>
            </w:r>
          </w:p>
        </w:tc>
        <w:tc>
          <w:tcPr>
            <w:tcW w:w="606" w:type="pct"/>
            <w:tcBorders>
              <w:top w:val="single" w:sz="4" w:space="0" w:color="auto"/>
              <w:left w:val="nil"/>
              <w:bottom w:val="single" w:sz="8"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w:t>
            </w:r>
          </w:p>
        </w:tc>
      </w:tr>
      <w:tr w:rsidR="006C28B0" w:rsidRPr="001567C8" w:rsidTr="003C6BA3">
        <w:trPr>
          <w:trHeight w:hRule="exact" w:val="311"/>
          <w:jc w:val="center"/>
        </w:trPr>
        <w:tc>
          <w:tcPr>
            <w:tcW w:w="3194" w:type="pct"/>
            <w:shd w:val="clear" w:color="auto" w:fill="auto"/>
            <w:vAlign w:val="bottom"/>
          </w:tcPr>
          <w:p w:rsidR="006C28B0" w:rsidRPr="001567C8" w:rsidRDefault="006C28B0" w:rsidP="006C28B0">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Ukupno imovina po fer vrijednosti kroz ostalu sveobuhvatnu dobit</w:t>
            </w:r>
          </w:p>
        </w:tc>
        <w:tc>
          <w:tcPr>
            <w:tcW w:w="556" w:type="pct"/>
            <w:tcBorders>
              <w:top w:val="single" w:sz="12" w:space="0" w:color="auto"/>
              <w:left w:val="nil"/>
              <w:bottom w:val="single" w:sz="12"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2.802.993</w:t>
            </w:r>
          </w:p>
        </w:tc>
        <w:tc>
          <w:tcPr>
            <w:tcW w:w="644" w:type="pct"/>
            <w:tcBorders>
              <w:top w:val="single" w:sz="12" w:space="0" w:color="auto"/>
              <w:left w:val="nil"/>
              <w:bottom w:val="single" w:sz="12"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25.709</w:t>
            </w:r>
          </w:p>
        </w:tc>
        <w:tc>
          <w:tcPr>
            <w:tcW w:w="606" w:type="pct"/>
            <w:tcBorders>
              <w:top w:val="single" w:sz="12" w:space="0" w:color="auto"/>
              <w:left w:val="nil"/>
              <w:bottom w:val="single" w:sz="12" w:space="0" w:color="auto"/>
              <w:right w:val="nil"/>
            </w:tcBorders>
            <w:shd w:val="clear" w:color="auto" w:fill="auto"/>
            <w:vAlign w:val="bottom"/>
          </w:tcPr>
          <w:p w:rsidR="006C28B0" w:rsidRPr="001567C8" w:rsidRDefault="006C28B0" w:rsidP="006C28B0">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768</w:t>
            </w:r>
          </w:p>
        </w:tc>
      </w:tr>
    </w:tbl>
    <w:p w:rsidR="0025397E" w:rsidRPr="001736AF" w:rsidRDefault="0025397E" w:rsidP="00FD6CAC">
      <w:pPr>
        <w:pStyle w:val="T1"/>
        <w:spacing w:before="0" w:after="0" w:line="240" w:lineRule="auto"/>
        <w:rPr>
          <w:rFonts w:asciiTheme="minorHAnsi" w:hAnsiTheme="minorHAnsi" w:cs="Arial"/>
          <w:b w:val="0"/>
          <w:bCs w:val="0"/>
          <w:spacing w:val="-3"/>
          <w:sz w:val="22"/>
          <w:szCs w:val="22"/>
          <w:lang w:val="hr-HR"/>
        </w:rPr>
      </w:pPr>
    </w:p>
    <w:p w:rsidR="00623AD9" w:rsidRPr="003327E4" w:rsidRDefault="001C74CF" w:rsidP="00623AD9">
      <w:pPr>
        <w:jc w:val="both"/>
        <w:rPr>
          <w:rFonts w:ascii="Calibri" w:eastAsia="Calibri" w:hAnsi="Calibri" w:cs="FrutigerLTCom-Light"/>
          <w:sz w:val="22"/>
          <w:szCs w:val="22"/>
          <w:lang w:val="hr-HR"/>
        </w:rPr>
      </w:pPr>
      <w:r w:rsidRPr="003327E4">
        <w:rPr>
          <w:rFonts w:ascii="Calibri" w:eastAsia="Calibri" w:hAnsi="Calibri" w:cs="FrutigerLTCom-Light"/>
          <w:sz w:val="22"/>
          <w:szCs w:val="22"/>
          <w:lang w:val="hr-HR"/>
        </w:rPr>
        <w:t xml:space="preserve">Trezorski zapisi Ministarstva financija prikazani su na razini 1 hijerarhije fer vrijednosti s obzirom da su kreditne institucije u zemlji počele kotirati cijene na Bloombergu te se kao tehnika vrednovanja </w:t>
      </w:r>
      <w:r w:rsidR="003119F2" w:rsidRPr="003327E4">
        <w:rPr>
          <w:rFonts w:ascii="Calibri" w:eastAsia="Calibri" w:hAnsi="Calibri" w:cs="FrutigerLTCom-Light"/>
          <w:sz w:val="22"/>
          <w:szCs w:val="22"/>
          <w:lang w:val="hr-HR"/>
        </w:rPr>
        <w:t>primjenjuje</w:t>
      </w:r>
      <w:r w:rsidRPr="003327E4">
        <w:rPr>
          <w:rFonts w:ascii="Calibri" w:eastAsia="Calibri" w:hAnsi="Calibri" w:cs="FrutigerLTCom-Light"/>
          <w:sz w:val="22"/>
          <w:szCs w:val="22"/>
          <w:lang w:val="hr-HR"/>
        </w:rPr>
        <w:t xml:space="preserve"> cijena kotirana na tržištu.</w:t>
      </w:r>
    </w:p>
    <w:p w:rsidR="00B35D15" w:rsidRPr="003327E4" w:rsidRDefault="00B35D15" w:rsidP="00623AD9">
      <w:pPr>
        <w:jc w:val="both"/>
        <w:rPr>
          <w:rFonts w:ascii="Calibri" w:eastAsia="Calibri" w:hAnsi="Calibri"/>
          <w:sz w:val="22"/>
          <w:szCs w:val="22"/>
          <w:highlight w:val="yellow"/>
          <w:lang w:val="hr-HR" w:eastAsia="zh-CN"/>
        </w:rPr>
      </w:pPr>
    </w:p>
    <w:p w:rsidR="006D096E" w:rsidRPr="003327E4" w:rsidRDefault="00623AD9" w:rsidP="00623AD9">
      <w:pPr>
        <w:jc w:val="both"/>
        <w:rPr>
          <w:rFonts w:ascii="Calibri" w:hAnsi="Calibri" w:cs="Arial"/>
          <w:sz w:val="22"/>
          <w:szCs w:val="22"/>
          <w:lang w:val="hr-HR" w:eastAsia="hr-HR"/>
        </w:rPr>
      </w:pPr>
      <w:r w:rsidRPr="003327E4">
        <w:rPr>
          <w:rFonts w:ascii="Calibri" w:eastAsia="Calibri" w:hAnsi="Calibri" w:cs="FrutigerLTCom-Light"/>
          <w:sz w:val="22"/>
          <w:szCs w:val="22"/>
          <w:lang w:val="hr-HR"/>
        </w:rPr>
        <w:t xml:space="preserve">Dužnički vrijednosni papiri – obveznice trgovačkih društava prikazane su na razini 3 hijerarhije fer vrijednosti. Pri vrednovanju je korištena metoda diskontiranih novčanih tijekova </w:t>
      </w:r>
      <w:r w:rsidRPr="003327E4">
        <w:rPr>
          <w:rFonts w:ascii="Calibri" w:hAnsi="Calibri" w:cs="Arial"/>
          <w:sz w:val="22"/>
          <w:szCs w:val="22"/>
          <w:lang w:val="hr-HR" w:eastAsia="hr-HR"/>
        </w:rPr>
        <w:t>temeljem tržišnih kamatnih stopa, spreada temeljem internog kreditnog rejtinga i interno definiranog spreada vezanog uz likvidnost vrijednosnog papira.</w:t>
      </w:r>
    </w:p>
    <w:p w:rsidR="008B2790" w:rsidRPr="003327E4" w:rsidRDefault="008B2790" w:rsidP="00B35D15">
      <w:pPr>
        <w:keepNext/>
        <w:tabs>
          <w:tab w:val="left" w:pos="567"/>
        </w:tabs>
        <w:jc w:val="both"/>
        <w:rPr>
          <w:rFonts w:ascii="Calibri" w:hAnsi="Calibri" w:cs="Arial"/>
          <w:sz w:val="22"/>
          <w:szCs w:val="22"/>
          <w:lang w:val="hr-HR" w:eastAsia="hr-HR"/>
        </w:rPr>
      </w:pPr>
    </w:p>
    <w:p w:rsidR="00B35D15" w:rsidRPr="003327E4" w:rsidRDefault="002561B0" w:rsidP="00B35D15">
      <w:pPr>
        <w:keepNext/>
        <w:tabs>
          <w:tab w:val="left" w:pos="567"/>
        </w:tabs>
        <w:jc w:val="both"/>
        <w:rPr>
          <w:rFonts w:ascii="Calibri" w:hAnsi="Calibri" w:cs="Arial"/>
          <w:sz w:val="22"/>
          <w:szCs w:val="22"/>
          <w:lang w:val="hr-HR" w:eastAsia="hr-HR"/>
        </w:rPr>
      </w:pPr>
      <w:r w:rsidRPr="003327E4">
        <w:rPr>
          <w:rFonts w:ascii="Calibri" w:hAnsi="Calibri" w:cs="Arial"/>
          <w:sz w:val="22"/>
          <w:szCs w:val="22"/>
          <w:lang w:val="hr-HR" w:eastAsia="hr-HR"/>
        </w:rPr>
        <w:t>U izvještajnom razdoblju nije bilo transfera između razina.</w:t>
      </w:r>
    </w:p>
    <w:p w:rsidR="006D096E" w:rsidRPr="001567C8" w:rsidRDefault="006D096E" w:rsidP="00FD6CAC">
      <w:pPr>
        <w:jc w:val="both"/>
        <w:rPr>
          <w:rFonts w:ascii="Calibri" w:eastAsia="Calibri" w:hAnsi="Calibri"/>
          <w:sz w:val="22"/>
          <w:szCs w:val="22"/>
          <w:lang w:val="hr-HR" w:eastAsia="zh-CN"/>
        </w:rPr>
        <w:sectPr w:rsidR="006D096E" w:rsidRPr="001567C8" w:rsidSect="0077198A">
          <w:pgSz w:w="11907" w:h="16840" w:code="9"/>
          <w:pgMar w:top="1418" w:right="1134" w:bottom="1134" w:left="1418" w:header="851" w:footer="851" w:gutter="0"/>
          <w:cols w:space="720"/>
          <w:noEndnote/>
        </w:sectPr>
      </w:pPr>
    </w:p>
    <w:p w:rsidR="00FD6CAC" w:rsidRPr="001567C8" w:rsidRDefault="00FD6CAC" w:rsidP="001E4F65">
      <w:pPr>
        <w:keepNext/>
        <w:tabs>
          <w:tab w:val="left" w:pos="567"/>
        </w:tabs>
        <w:jc w:val="both"/>
        <w:rPr>
          <w:rFonts w:ascii="Calibri" w:hAnsi="Calibri" w:cs="Arial"/>
          <w:spacing w:val="-3"/>
          <w:sz w:val="20"/>
          <w:szCs w:val="20"/>
          <w:lang w:val="hr-HR"/>
        </w:rPr>
      </w:pPr>
    </w:p>
    <w:p w:rsidR="0078021F" w:rsidRPr="001567C8" w:rsidRDefault="0078021F" w:rsidP="001E4F65">
      <w:pPr>
        <w:pStyle w:val="T1"/>
        <w:spacing w:before="0" w:after="0" w:line="240" w:lineRule="auto"/>
        <w:ind w:left="709" w:hanging="709"/>
        <w:rPr>
          <w:rFonts w:asciiTheme="minorHAnsi" w:hAnsiTheme="minorHAnsi" w:cs="Arial"/>
          <w:spacing w:val="-3"/>
          <w:sz w:val="22"/>
          <w:szCs w:val="22"/>
          <w:lang w:val="hr-HR"/>
        </w:rPr>
      </w:pPr>
      <w:r w:rsidRPr="001567C8">
        <w:rPr>
          <w:rFonts w:asciiTheme="minorHAnsi" w:hAnsiTheme="minorHAnsi" w:cs="Arial"/>
          <w:spacing w:val="-3"/>
          <w:sz w:val="22"/>
          <w:szCs w:val="22"/>
          <w:lang w:val="hr-HR"/>
        </w:rPr>
        <w:t>3</w:t>
      </w:r>
      <w:r w:rsidR="00DF6947" w:rsidRPr="001567C8">
        <w:rPr>
          <w:rFonts w:asciiTheme="minorHAnsi" w:hAnsiTheme="minorHAnsi" w:cs="Arial"/>
          <w:spacing w:val="-3"/>
          <w:sz w:val="22"/>
          <w:szCs w:val="22"/>
          <w:lang w:val="hr-HR"/>
        </w:rPr>
        <w:t>7</w:t>
      </w:r>
      <w:r w:rsidRPr="001567C8">
        <w:rPr>
          <w:rFonts w:asciiTheme="minorHAnsi" w:hAnsiTheme="minorHAnsi" w:cs="Arial"/>
          <w:spacing w:val="-3"/>
          <w:sz w:val="22"/>
          <w:szCs w:val="22"/>
          <w:lang w:val="hr-HR"/>
        </w:rPr>
        <w:t xml:space="preserve">. </w:t>
      </w:r>
      <w:r w:rsidRPr="001567C8">
        <w:rPr>
          <w:rFonts w:asciiTheme="minorHAnsi" w:hAnsiTheme="minorHAnsi" w:cs="Arial"/>
          <w:spacing w:val="-3"/>
          <w:sz w:val="22"/>
          <w:szCs w:val="22"/>
          <w:lang w:val="hr-HR"/>
        </w:rPr>
        <w:tab/>
      </w:r>
      <w:r w:rsidR="0055634D" w:rsidRPr="001567C8">
        <w:rPr>
          <w:rFonts w:asciiTheme="minorHAnsi" w:hAnsiTheme="minorHAnsi" w:cs="Arial"/>
          <w:spacing w:val="-3"/>
          <w:sz w:val="22"/>
          <w:szCs w:val="22"/>
          <w:lang w:val="hr-HR"/>
        </w:rPr>
        <w:t>Fer vrijednost financijske imovine i financijskih obveza</w:t>
      </w:r>
      <w:r w:rsidR="0055634D" w:rsidRPr="001567C8" w:rsidDel="0055634D">
        <w:rPr>
          <w:rFonts w:asciiTheme="minorHAnsi" w:hAnsiTheme="minorHAnsi" w:cs="Arial"/>
          <w:spacing w:val="-3"/>
          <w:sz w:val="22"/>
          <w:szCs w:val="22"/>
          <w:lang w:val="hr-HR"/>
        </w:rPr>
        <w:t xml:space="preserve"> </w:t>
      </w:r>
      <w:r w:rsidRPr="001567C8">
        <w:rPr>
          <w:rFonts w:asciiTheme="minorHAnsi" w:hAnsiTheme="minorHAnsi" w:cs="Arial"/>
          <w:spacing w:val="-3"/>
          <w:sz w:val="22"/>
          <w:szCs w:val="22"/>
          <w:lang w:val="hr-HR"/>
        </w:rPr>
        <w:t>(nastavak)</w:t>
      </w:r>
    </w:p>
    <w:p w:rsidR="001E4F65" w:rsidRPr="001567C8" w:rsidRDefault="001E4F65" w:rsidP="001E4F65">
      <w:pPr>
        <w:pStyle w:val="T1"/>
        <w:spacing w:before="0" w:after="0" w:line="240" w:lineRule="auto"/>
        <w:ind w:left="709" w:hanging="709"/>
        <w:rPr>
          <w:rFonts w:asciiTheme="minorHAnsi" w:hAnsiTheme="minorHAnsi" w:cs="Arial"/>
          <w:spacing w:val="-3"/>
          <w:sz w:val="22"/>
          <w:szCs w:val="22"/>
          <w:lang w:val="hr-HR"/>
        </w:rPr>
      </w:pPr>
    </w:p>
    <w:p w:rsidR="00FD6CAC" w:rsidRPr="001567C8" w:rsidRDefault="00FD6CAC" w:rsidP="001E4F65">
      <w:pPr>
        <w:pStyle w:val="T1"/>
        <w:spacing w:before="0" w:after="0" w:line="240" w:lineRule="auto"/>
        <w:ind w:left="709" w:hanging="709"/>
        <w:rPr>
          <w:rFonts w:asciiTheme="minorHAnsi" w:hAnsiTheme="minorHAnsi" w:cs="Arial"/>
          <w:spacing w:val="-3"/>
          <w:sz w:val="22"/>
          <w:szCs w:val="22"/>
          <w:lang w:val="hr-HR"/>
        </w:rPr>
      </w:pPr>
      <w:r w:rsidRPr="001567C8">
        <w:rPr>
          <w:rFonts w:asciiTheme="minorHAnsi" w:hAnsiTheme="minorHAnsi" w:cs="Arial"/>
          <w:spacing w:val="-3"/>
          <w:sz w:val="22"/>
          <w:szCs w:val="22"/>
          <w:lang w:val="hr-HR"/>
        </w:rPr>
        <w:t>3</w:t>
      </w:r>
      <w:r w:rsidR="00DF6947" w:rsidRPr="001567C8">
        <w:rPr>
          <w:rFonts w:asciiTheme="minorHAnsi" w:hAnsiTheme="minorHAnsi" w:cs="Arial"/>
          <w:spacing w:val="-3"/>
          <w:sz w:val="22"/>
          <w:szCs w:val="22"/>
          <w:lang w:val="hr-HR"/>
        </w:rPr>
        <w:t>7</w:t>
      </w:r>
      <w:r w:rsidRPr="001567C8">
        <w:rPr>
          <w:rFonts w:asciiTheme="minorHAnsi" w:hAnsiTheme="minorHAnsi" w:cs="Arial"/>
          <w:spacing w:val="-3"/>
          <w:sz w:val="22"/>
          <w:szCs w:val="22"/>
          <w:lang w:val="hr-HR"/>
        </w:rPr>
        <w:t xml:space="preserve">.1. </w:t>
      </w:r>
      <w:r w:rsidRPr="001567C8">
        <w:rPr>
          <w:rFonts w:asciiTheme="minorHAnsi" w:hAnsiTheme="minorHAnsi" w:cs="Arial"/>
          <w:spacing w:val="-3"/>
          <w:sz w:val="22"/>
          <w:szCs w:val="22"/>
          <w:lang w:val="hr-HR"/>
        </w:rPr>
        <w:tab/>
        <w:t>Fer vrijednost financijske imovine i financijskih obveza k</w:t>
      </w:r>
      <w:r w:rsidR="003E2763" w:rsidRPr="001567C8">
        <w:rPr>
          <w:rFonts w:asciiTheme="minorHAnsi" w:hAnsiTheme="minorHAnsi" w:cs="Arial"/>
          <w:spacing w:val="-3"/>
          <w:sz w:val="22"/>
          <w:szCs w:val="22"/>
          <w:lang w:val="hr-HR"/>
        </w:rPr>
        <w:t>oji se vode po fer vrijednost</w:t>
      </w:r>
      <w:r w:rsidR="000B54A1" w:rsidRPr="001567C8">
        <w:rPr>
          <w:rFonts w:asciiTheme="minorHAnsi" w:hAnsiTheme="minorHAnsi" w:cs="Arial"/>
          <w:spacing w:val="-3"/>
          <w:sz w:val="22"/>
          <w:szCs w:val="22"/>
          <w:lang w:val="hr-HR"/>
        </w:rPr>
        <w:t>i</w:t>
      </w:r>
      <w:r w:rsidR="001E4F65" w:rsidRPr="001567C8">
        <w:rPr>
          <w:rFonts w:asciiTheme="minorHAnsi" w:hAnsiTheme="minorHAnsi" w:cs="Arial"/>
          <w:spacing w:val="-3"/>
          <w:sz w:val="22"/>
          <w:szCs w:val="22"/>
          <w:lang w:val="hr-HR"/>
        </w:rPr>
        <w:t xml:space="preserve"> (nastavak)</w:t>
      </w:r>
    </w:p>
    <w:p w:rsidR="00DF6947" w:rsidRPr="001567C8" w:rsidRDefault="00DF6947" w:rsidP="001E4F65">
      <w:pPr>
        <w:pStyle w:val="T1"/>
        <w:spacing w:before="0" w:after="0" w:line="240" w:lineRule="auto"/>
        <w:ind w:left="709" w:hanging="709"/>
        <w:rPr>
          <w:rFonts w:asciiTheme="minorHAnsi" w:hAnsiTheme="minorHAnsi" w:cs="Arial"/>
          <w:spacing w:val="-3"/>
          <w:sz w:val="22"/>
          <w:szCs w:val="22"/>
          <w:lang w:val="hr-HR"/>
        </w:rPr>
      </w:pPr>
    </w:p>
    <w:p w:rsidR="00623AD9" w:rsidRPr="001567C8" w:rsidRDefault="00DF6947" w:rsidP="00623AD9">
      <w:pPr>
        <w:pStyle w:val="T1"/>
        <w:keepNext w:val="0"/>
        <w:spacing w:before="0" w:after="0" w:line="240" w:lineRule="auto"/>
        <w:rPr>
          <w:rFonts w:ascii="Calibri" w:eastAsia="Calibri" w:hAnsi="Calibri" w:cs="FrutigerLTCom-Light"/>
          <w:b w:val="0"/>
          <w:bCs w:val="0"/>
          <w:sz w:val="22"/>
          <w:szCs w:val="22"/>
          <w:lang w:val="hr-HR"/>
        </w:rPr>
      </w:pPr>
      <w:r w:rsidRPr="001567C8">
        <w:rPr>
          <w:rFonts w:ascii="Calibri" w:eastAsia="Calibri" w:hAnsi="Calibri" w:cs="FrutigerLTCom-Light"/>
          <w:b w:val="0"/>
          <w:bCs w:val="0"/>
          <w:sz w:val="22"/>
          <w:szCs w:val="22"/>
          <w:lang w:val="hr-HR"/>
        </w:rPr>
        <w:t>U nastavku se daje pregled rasporeda financijske imovine po fer vrijednosti na dan 31. prosinca 2017. godine sukladno MRS-u 39, koja se prema MSFI-ju 9 prerasporedila u Financijsku imovinu po fer vrijednosti kroz ostalu sveobuhvatnu dobit i Financijsku imovinu po fer vrijednosti kroz</w:t>
      </w:r>
      <w:r w:rsidR="008A2CC2" w:rsidRPr="001567C8">
        <w:rPr>
          <w:rFonts w:ascii="Calibri" w:eastAsia="Calibri" w:hAnsi="Calibri" w:cs="FrutigerLTCom-Light"/>
          <w:b w:val="0"/>
          <w:bCs w:val="0"/>
          <w:sz w:val="22"/>
          <w:szCs w:val="22"/>
          <w:lang w:val="hr-HR"/>
        </w:rPr>
        <w:t xml:space="preserve"> dobit ili gubitak:</w:t>
      </w:r>
    </w:p>
    <w:p w:rsidR="00DF6947" w:rsidRPr="001567C8" w:rsidRDefault="00DF6947" w:rsidP="00623AD9">
      <w:pPr>
        <w:pStyle w:val="T1"/>
        <w:keepNext w:val="0"/>
        <w:spacing w:before="0" w:after="0" w:line="240" w:lineRule="auto"/>
        <w:rPr>
          <w:rFonts w:ascii="Calibri" w:eastAsia="Calibri" w:hAnsi="Calibri" w:cs="FrutigerLTCom-Light"/>
          <w:b w:val="0"/>
          <w:bCs w:val="0"/>
          <w:sz w:val="22"/>
          <w:szCs w:val="22"/>
          <w:lang w:val="hr-HR"/>
        </w:rPr>
      </w:pPr>
    </w:p>
    <w:tbl>
      <w:tblPr>
        <w:tblW w:w="5000" w:type="pct"/>
        <w:jc w:val="center"/>
        <w:tblCellMar>
          <w:left w:w="122" w:type="dxa"/>
          <w:right w:w="122" w:type="dxa"/>
        </w:tblCellMar>
        <w:tblLook w:val="0000" w:firstRow="0" w:lastRow="0" w:firstColumn="0" w:lastColumn="0" w:noHBand="0" w:noVBand="0"/>
      </w:tblPr>
      <w:tblGrid>
        <w:gridCol w:w="4995"/>
        <w:gridCol w:w="1452"/>
        <w:gridCol w:w="1452"/>
        <w:gridCol w:w="1456"/>
      </w:tblGrid>
      <w:tr w:rsidR="00DF6947" w:rsidRPr="001567C8" w:rsidTr="00DF6947">
        <w:trPr>
          <w:trHeight w:val="149"/>
          <w:jc w:val="center"/>
        </w:trPr>
        <w:tc>
          <w:tcPr>
            <w:tcW w:w="2670" w:type="pct"/>
          </w:tcPr>
          <w:p w:rsidR="00DF6947" w:rsidRPr="001567C8" w:rsidRDefault="00DF6947" w:rsidP="00DF6947">
            <w:pPr>
              <w:tabs>
                <w:tab w:val="right" w:pos="1202"/>
              </w:tabs>
              <w:spacing w:line="301" w:lineRule="exact"/>
              <w:outlineLvl w:val="0"/>
              <w:rPr>
                <w:rFonts w:ascii="Calibri" w:hAnsi="Calibri" w:cs="Arial"/>
                <w:sz w:val="17"/>
                <w:szCs w:val="17"/>
                <w:lang w:val="hr-HR"/>
              </w:rPr>
            </w:pPr>
            <w:r w:rsidRPr="001567C8">
              <w:rPr>
                <w:rFonts w:ascii="Calibri" w:hAnsi="Calibri" w:cs="Arial"/>
                <w:b/>
                <w:sz w:val="17"/>
                <w:szCs w:val="17"/>
                <w:lang w:val="hr-HR"/>
              </w:rPr>
              <w:t>Grupa</w:t>
            </w:r>
          </w:p>
        </w:tc>
        <w:tc>
          <w:tcPr>
            <w:tcW w:w="2330" w:type="pct"/>
            <w:gridSpan w:val="3"/>
          </w:tcPr>
          <w:p w:rsidR="00DF6947" w:rsidRPr="001567C8" w:rsidRDefault="00AD2EF7" w:rsidP="00DF6947">
            <w:pPr>
              <w:tabs>
                <w:tab w:val="right" w:pos="1202"/>
              </w:tabs>
              <w:spacing w:line="301" w:lineRule="exact"/>
              <w:jc w:val="right"/>
              <w:outlineLvl w:val="0"/>
              <w:rPr>
                <w:rFonts w:ascii="Calibri" w:hAnsi="Calibri" w:cs="Arial"/>
                <w:b/>
                <w:bCs/>
                <w:sz w:val="17"/>
                <w:szCs w:val="17"/>
                <w:lang w:val="hr-HR"/>
              </w:rPr>
            </w:pPr>
            <w:r>
              <w:rPr>
                <w:rFonts w:ascii="Calibri" w:hAnsi="Calibri" w:cs="Arial"/>
                <w:b/>
                <w:bCs/>
                <w:sz w:val="17"/>
                <w:szCs w:val="17"/>
                <w:lang w:val="hr-HR"/>
              </w:rPr>
              <w:t>31. prosin</w:t>
            </w:r>
            <w:r w:rsidR="0073283D" w:rsidRPr="001567C8">
              <w:rPr>
                <w:rFonts w:ascii="Calibri" w:hAnsi="Calibri" w:cs="Arial"/>
                <w:b/>
                <w:bCs/>
                <w:sz w:val="17"/>
                <w:szCs w:val="17"/>
                <w:lang w:val="hr-HR"/>
              </w:rPr>
              <w:t>c</w:t>
            </w:r>
            <w:r>
              <w:rPr>
                <w:rFonts w:ascii="Calibri" w:hAnsi="Calibri" w:cs="Arial"/>
                <w:b/>
                <w:bCs/>
                <w:sz w:val="17"/>
                <w:szCs w:val="17"/>
                <w:lang w:val="hr-HR"/>
              </w:rPr>
              <w:t>a</w:t>
            </w:r>
            <w:r w:rsidR="0073283D" w:rsidRPr="001567C8">
              <w:rPr>
                <w:rFonts w:ascii="Calibri" w:hAnsi="Calibri" w:cs="Arial"/>
                <w:b/>
                <w:bCs/>
                <w:sz w:val="17"/>
                <w:szCs w:val="17"/>
                <w:lang w:val="hr-HR"/>
              </w:rPr>
              <w:t xml:space="preserve"> </w:t>
            </w:r>
            <w:r w:rsidR="00DF6947" w:rsidRPr="001567C8">
              <w:rPr>
                <w:rFonts w:ascii="Calibri" w:hAnsi="Calibri" w:cs="Arial"/>
                <w:b/>
                <w:bCs/>
                <w:sz w:val="17"/>
                <w:szCs w:val="17"/>
                <w:lang w:val="hr-HR"/>
              </w:rPr>
              <w:t>2017.</w:t>
            </w:r>
            <w:r w:rsidR="007C5023" w:rsidRPr="001567C8">
              <w:rPr>
                <w:rFonts w:ascii="Calibri" w:hAnsi="Calibri" w:cs="Arial"/>
                <w:b/>
                <w:bCs/>
                <w:sz w:val="17"/>
                <w:szCs w:val="17"/>
                <w:lang w:val="hr-HR"/>
              </w:rPr>
              <w:t xml:space="preserve"> godina</w:t>
            </w:r>
          </w:p>
        </w:tc>
      </w:tr>
      <w:tr w:rsidR="00DF6947" w:rsidRPr="001567C8" w:rsidTr="00DF6947">
        <w:trPr>
          <w:trHeight w:val="139"/>
          <w:jc w:val="center"/>
        </w:trPr>
        <w:tc>
          <w:tcPr>
            <w:tcW w:w="2670" w:type="pct"/>
            <w:vAlign w:val="bottom"/>
          </w:tcPr>
          <w:p w:rsidR="00DF6947" w:rsidRPr="001567C8" w:rsidRDefault="00DF6947" w:rsidP="00DF6947">
            <w:pPr>
              <w:tabs>
                <w:tab w:val="right" w:pos="1202"/>
              </w:tabs>
              <w:spacing w:line="301" w:lineRule="exact"/>
              <w:outlineLvl w:val="0"/>
              <w:rPr>
                <w:rFonts w:ascii="Calibri" w:hAnsi="Calibri" w:cs="Arial"/>
                <w:spacing w:val="-2"/>
                <w:sz w:val="17"/>
                <w:szCs w:val="17"/>
                <w:lang w:val="hr-HR"/>
              </w:rPr>
            </w:pPr>
          </w:p>
        </w:tc>
        <w:tc>
          <w:tcPr>
            <w:tcW w:w="776" w:type="pct"/>
            <w:vAlign w:val="bottom"/>
          </w:tcPr>
          <w:p w:rsidR="00DF6947" w:rsidRPr="001567C8" w:rsidRDefault="00DF6947" w:rsidP="00DF6947">
            <w:pPr>
              <w:tabs>
                <w:tab w:val="right" w:pos="1202"/>
              </w:tabs>
              <w:spacing w:line="301" w:lineRule="exact"/>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Razina 1</w:t>
            </w:r>
          </w:p>
        </w:tc>
        <w:tc>
          <w:tcPr>
            <w:tcW w:w="776" w:type="pct"/>
            <w:vAlign w:val="bottom"/>
          </w:tcPr>
          <w:p w:rsidR="00DF6947" w:rsidRPr="001567C8" w:rsidRDefault="00DF6947" w:rsidP="00DF6947">
            <w:pPr>
              <w:tabs>
                <w:tab w:val="right" w:pos="1202"/>
              </w:tabs>
              <w:spacing w:line="301" w:lineRule="exact"/>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Razina 2</w:t>
            </w:r>
          </w:p>
        </w:tc>
        <w:tc>
          <w:tcPr>
            <w:tcW w:w="778" w:type="pct"/>
            <w:vAlign w:val="bottom"/>
          </w:tcPr>
          <w:p w:rsidR="00DF6947" w:rsidRPr="001567C8" w:rsidRDefault="00DF6947" w:rsidP="00DF6947">
            <w:pPr>
              <w:tabs>
                <w:tab w:val="right" w:pos="1202"/>
              </w:tabs>
              <w:spacing w:line="301" w:lineRule="exact"/>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Razina 3</w:t>
            </w:r>
          </w:p>
        </w:tc>
      </w:tr>
      <w:tr w:rsidR="00DF6947" w:rsidRPr="001567C8" w:rsidTr="00DF6947">
        <w:trPr>
          <w:trHeight w:hRule="exact" w:val="265"/>
          <w:jc w:val="center"/>
        </w:trPr>
        <w:tc>
          <w:tcPr>
            <w:tcW w:w="2670" w:type="pct"/>
          </w:tcPr>
          <w:p w:rsidR="00DF6947" w:rsidRPr="001567C8" w:rsidRDefault="00DF6947" w:rsidP="00DF6947">
            <w:pPr>
              <w:tabs>
                <w:tab w:val="right" w:pos="1202"/>
              </w:tabs>
              <w:spacing w:line="301" w:lineRule="exact"/>
              <w:outlineLvl w:val="0"/>
              <w:rPr>
                <w:rFonts w:ascii="Calibri" w:hAnsi="Calibri" w:cs="Arial"/>
                <w:spacing w:val="-2"/>
                <w:sz w:val="17"/>
                <w:szCs w:val="17"/>
                <w:lang w:val="hr-HR"/>
              </w:rPr>
            </w:pPr>
          </w:p>
        </w:tc>
        <w:tc>
          <w:tcPr>
            <w:tcW w:w="776" w:type="pct"/>
            <w:vAlign w:val="center"/>
          </w:tcPr>
          <w:p w:rsidR="00DF6947" w:rsidRPr="001567C8" w:rsidRDefault="00DF6947" w:rsidP="00DF6947">
            <w:pPr>
              <w:tabs>
                <w:tab w:val="right" w:pos="1202"/>
              </w:tabs>
              <w:spacing w:line="301" w:lineRule="exact"/>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000 kuna</w:t>
            </w:r>
          </w:p>
        </w:tc>
        <w:tc>
          <w:tcPr>
            <w:tcW w:w="776" w:type="pct"/>
            <w:vAlign w:val="center"/>
          </w:tcPr>
          <w:p w:rsidR="00DF6947" w:rsidRPr="001567C8" w:rsidRDefault="00DF6947" w:rsidP="00DF6947">
            <w:pPr>
              <w:tabs>
                <w:tab w:val="right" w:pos="1202"/>
              </w:tabs>
              <w:spacing w:line="301" w:lineRule="exact"/>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000 kuna</w:t>
            </w:r>
          </w:p>
        </w:tc>
        <w:tc>
          <w:tcPr>
            <w:tcW w:w="778" w:type="pct"/>
            <w:vAlign w:val="center"/>
          </w:tcPr>
          <w:p w:rsidR="00DF6947" w:rsidRPr="001567C8" w:rsidRDefault="00DF6947" w:rsidP="00DF6947">
            <w:pPr>
              <w:tabs>
                <w:tab w:val="right" w:pos="1202"/>
              </w:tabs>
              <w:spacing w:line="301" w:lineRule="exact"/>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000 kuna</w:t>
            </w:r>
          </w:p>
        </w:tc>
      </w:tr>
      <w:tr w:rsidR="00DF6947" w:rsidRPr="001567C8" w:rsidTr="003C6BA3">
        <w:trPr>
          <w:trHeight w:val="237"/>
          <w:jc w:val="center"/>
        </w:trPr>
        <w:tc>
          <w:tcPr>
            <w:tcW w:w="2670" w:type="pct"/>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b/>
                <w:sz w:val="17"/>
                <w:szCs w:val="17"/>
                <w:lang w:val="hr-HR"/>
              </w:rPr>
              <w:t xml:space="preserve">Financijska imovina po fer vrijednosti kroz </w:t>
            </w:r>
            <w:r w:rsidR="008A2CC2" w:rsidRPr="001567C8">
              <w:rPr>
                <w:rFonts w:ascii="Calibri" w:hAnsi="Calibri" w:cs="Arial"/>
                <w:b/>
                <w:sz w:val="17"/>
                <w:szCs w:val="17"/>
                <w:lang w:val="hr-HR"/>
              </w:rPr>
              <w:t>dobit ili gubitak</w:t>
            </w:r>
            <w:r w:rsidRPr="001567C8">
              <w:rPr>
                <w:rFonts w:ascii="Calibri" w:hAnsi="Calibri" w:cs="Arial"/>
                <w:b/>
                <w:sz w:val="17"/>
                <w:szCs w:val="17"/>
                <w:lang w:val="hr-HR"/>
              </w:rPr>
              <w:t>:</w:t>
            </w:r>
          </w:p>
        </w:tc>
        <w:tc>
          <w:tcPr>
            <w:tcW w:w="776" w:type="pct"/>
            <w:vAlign w:val="bottom"/>
          </w:tcPr>
          <w:p w:rsidR="00DF6947" w:rsidRPr="001567C8" w:rsidRDefault="00DF6947" w:rsidP="00DF6947">
            <w:pPr>
              <w:tabs>
                <w:tab w:val="right" w:pos="1202"/>
              </w:tabs>
              <w:jc w:val="right"/>
              <w:outlineLvl w:val="0"/>
              <w:rPr>
                <w:rFonts w:ascii="Calibri" w:hAnsi="Calibri" w:cs="Arial"/>
                <w:b/>
                <w:spacing w:val="-2"/>
                <w:sz w:val="17"/>
                <w:szCs w:val="17"/>
                <w:lang w:val="hr-HR"/>
              </w:rPr>
            </w:pPr>
          </w:p>
        </w:tc>
        <w:tc>
          <w:tcPr>
            <w:tcW w:w="776" w:type="pct"/>
            <w:vAlign w:val="bottom"/>
          </w:tcPr>
          <w:p w:rsidR="00DF6947" w:rsidRPr="001567C8" w:rsidRDefault="00DF6947" w:rsidP="00DF6947">
            <w:pPr>
              <w:tabs>
                <w:tab w:val="right" w:pos="1202"/>
              </w:tabs>
              <w:jc w:val="right"/>
              <w:outlineLvl w:val="0"/>
              <w:rPr>
                <w:rFonts w:ascii="Calibri" w:hAnsi="Calibri" w:cs="Arial"/>
                <w:b/>
                <w:spacing w:val="-2"/>
                <w:sz w:val="17"/>
                <w:szCs w:val="17"/>
                <w:lang w:val="hr-HR"/>
              </w:rPr>
            </w:pPr>
          </w:p>
        </w:tc>
        <w:tc>
          <w:tcPr>
            <w:tcW w:w="778" w:type="pct"/>
            <w:vAlign w:val="bottom"/>
          </w:tcPr>
          <w:p w:rsidR="00DF6947" w:rsidRPr="001567C8" w:rsidRDefault="00DF6947" w:rsidP="00DF6947">
            <w:pPr>
              <w:tabs>
                <w:tab w:val="right" w:pos="1202"/>
              </w:tabs>
              <w:jc w:val="right"/>
              <w:outlineLvl w:val="0"/>
              <w:rPr>
                <w:rFonts w:ascii="Calibri" w:hAnsi="Calibri" w:cs="Arial"/>
                <w:b/>
                <w:spacing w:val="-2"/>
                <w:sz w:val="17"/>
                <w:szCs w:val="17"/>
                <w:lang w:val="hr-HR"/>
              </w:rPr>
            </w:pP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b/>
                <w:i/>
                <w:sz w:val="17"/>
                <w:szCs w:val="17"/>
                <w:lang w:val="hr-HR"/>
              </w:rPr>
            </w:pPr>
            <w:r w:rsidRPr="001567C8">
              <w:rPr>
                <w:rFonts w:ascii="Calibri" w:hAnsi="Calibri" w:cs="Arial"/>
                <w:sz w:val="17"/>
                <w:szCs w:val="17"/>
                <w:lang w:val="hr-HR"/>
              </w:rPr>
              <w:t>Ulaganja u investicijske fondove</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eastAsia="Calibri" w:hAnsi="Calibri" w:cs="Arial"/>
                <w:sz w:val="17"/>
                <w:szCs w:val="17"/>
                <w:lang w:val="hr-HR"/>
              </w:rPr>
              <w:t>291</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eastAsia="Calibri" w:hAnsi="Calibri" w:cs="Arial"/>
                <w:sz w:val="17"/>
                <w:szCs w:val="17"/>
                <w:lang w:val="hr-HR"/>
              </w:rPr>
              <w:t>-</w:t>
            </w:r>
          </w:p>
        </w:tc>
        <w:tc>
          <w:tcPr>
            <w:tcW w:w="778"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eastAsia="Calibri" w:hAnsi="Calibri" w:cs="Arial"/>
                <w:sz w:val="17"/>
                <w:szCs w:val="17"/>
                <w:lang w:val="hr-HR"/>
              </w:rPr>
              <w:t>-</w:t>
            </w:r>
          </w:p>
        </w:tc>
      </w:tr>
      <w:tr w:rsidR="00DF6947" w:rsidRPr="001567C8" w:rsidTr="003C6BA3">
        <w:trPr>
          <w:trHeight w:val="277"/>
          <w:jc w:val="center"/>
        </w:trPr>
        <w:tc>
          <w:tcPr>
            <w:tcW w:w="2670" w:type="pct"/>
            <w:vAlign w:val="bottom"/>
          </w:tcPr>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b/>
                <w:sz w:val="17"/>
                <w:szCs w:val="17"/>
                <w:lang w:val="hr-HR"/>
              </w:rPr>
              <w:t xml:space="preserve">Ukupno financijska imovina po fer vrijednosti kroz </w:t>
            </w:r>
            <w:r w:rsidR="008A2CC2" w:rsidRPr="001567C8">
              <w:rPr>
                <w:rFonts w:ascii="Calibri" w:hAnsi="Calibri" w:cs="Arial"/>
                <w:b/>
                <w:sz w:val="17"/>
                <w:szCs w:val="17"/>
                <w:lang w:val="hr-HR"/>
              </w:rPr>
              <w:t>dobit ili gubitak</w:t>
            </w:r>
          </w:p>
        </w:tc>
        <w:tc>
          <w:tcPr>
            <w:tcW w:w="776"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cs="Arial"/>
                <w:b/>
                <w:sz w:val="17"/>
                <w:szCs w:val="17"/>
                <w:lang w:val="hr-HR"/>
              </w:rPr>
              <w:t>291</w:t>
            </w:r>
          </w:p>
        </w:tc>
        <w:tc>
          <w:tcPr>
            <w:tcW w:w="776"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cs="Arial"/>
                <w:b/>
                <w:sz w:val="17"/>
                <w:szCs w:val="17"/>
                <w:lang w:val="hr-HR"/>
              </w:rPr>
              <w:t>-</w:t>
            </w:r>
          </w:p>
        </w:tc>
        <w:tc>
          <w:tcPr>
            <w:tcW w:w="778"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cs="Arial"/>
                <w:b/>
                <w:sz w:val="17"/>
                <w:szCs w:val="17"/>
                <w:lang w:val="hr-HR"/>
              </w:rPr>
              <w:t>-</w:t>
            </w:r>
          </w:p>
        </w:tc>
      </w:tr>
      <w:tr w:rsidR="00DF6947" w:rsidRPr="001567C8" w:rsidTr="00DF6947">
        <w:trPr>
          <w:trHeight w:hRule="exact" w:val="340"/>
          <w:jc w:val="center"/>
        </w:trPr>
        <w:tc>
          <w:tcPr>
            <w:tcW w:w="2670" w:type="pct"/>
            <w:vAlign w:val="bottom"/>
          </w:tcPr>
          <w:p w:rsidR="00DF6947" w:rsidRPr="001567C8" w:rsidRDefault="00DF6947" w:rsidP="00DF6947">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Imovina raspoloživa za prodaju:</w:t>
            </w:r>
          </w:p>
        </w:tc>
        <w:tc>
          <w:tcPr>
            <w:tcW w:w="776" w:type="pct"/>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6" w:type="pct"/>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8" w:type="pct"/>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Dužnički vrijednosni papiri:</w:t>
            </w:r>
          </w:p>
        </w:tc>
        <w:tc>
          <w:tcPr>
            <w:tcW w:w="776" w:type="pct"/>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6" w:type="pct"/>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8" w:type="pct"/>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b/>
                <w:i/>
                <w:spacing w:val="-2"/>
                <w:sz w:val="17"/>
                <w:szCs w:val="17"/>
                <w:lang w:val="hr-HR"/>
              </w:rPr>
            </w:pPr>
            <w:r w:rsidRPr="001567C8">
              <w:rPr>
                <w:rFonts w:ascii="Calibri" w:hAnsi="Calibri" w:cs="Arial"/>
                <w:b/>
                <w:i/>
                <w:spacing w:val="-2"/>
                <w:sz w:val="17"/>
                <w:szCs w:val="17"/>
                <w:lang w:val="hr-HR"/>
              </w:rPr>
              <w:t>Dužnički vrijednosni papiri koji kotiraju:</w:t>
            </w:r>
          </w:p>
        </w:tc>
        <w:tc>
          <w:tcPr>
            <w:tcW w:w="776" w:type="pct"/>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6" w:type="pct"/>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8" w:type="pct"/>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Obveznice Republike Hrvatske</w:t>
            </w:r>
          </w:p>
        </w:tc>
        <w:tc>
          <w:tcPr>
            <w:tcW w:w="776"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olor w:val="000000"/>
                <w:sz w:val="17"/>
                <w:szCs w:val="17"/>
                <w:lang w:val="hr-HR"/>
              </w:rPr>
              <w:t>884.763</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c>
          <w:tcPr>
            <w:tcW w:w="778"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Obveznice financijskih institucija</w:t>
            </w:r>
          </w:p>
        </w:tc>
        <w:tc>
          <w:tcPr>
            <w:tcW w:w="776"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olor w:val="000000"/>
                <w:sz w:val="17"/>
                <w:szCs w:val="17"/>
                <w:lang w:val="hr-HR"/>
              </w:rPr>
              <w:t>-</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c>
          <w:tcPr>
            <w:tcW w:w="778"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Obveznice trgovačkih društava</w:t>
            </w:r>
          </w:p>
        </w:tc>
        <w:tc>
          <w:tcPr>
            <w:tcW w:w="776"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olor w:val="000000"/>
                <w:sz w:val="17"/>
                <w:szCs w:val="17"/>
                <w:lang w:val="hr-HR"/>
              </w:rPr>
              <w:t>770</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c>
          <w:tcPr>
            <w:tcW w:w="778"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Trezorski zapisi Ministarstva financija</w:t>
            </w:r>
          </w:p>
        </w:tc>
        <w:tc>
          <w:tcPr>
            <w:tcW w:w="776"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olor w:val="000000"/>
                <w:sz w:val="17"/>
                <w:szCs w:val="17"/>
                <w:lang w:val="hr-HR"/>
              </w:rPr>
              <w:t>1.583.313</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c>
          <w:tcPr>
            <w:tcW w:w="778"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 xml:space="preserve">Obračunata kamata </w:t>
            </w:r>
          </w:p>
        </w:tc>
        <w:tc>
          <w:tcPr>
            <w:tcW w:w="776"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olor w:val="000000"/>
                <w:sz w:val="17"/>
                <w:szCs w:val="17"/>
                <w:lang w:val="hr-HR"/>
              </w:rPr>
              <w:t>13.836</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c>
          <w:tcPr>
            <w:tcW w:w="778"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r>
      <w:tr w:rsidR="00DF6947" w:rsidRPr="001567C8" w:rsidTr="00DF6947">
        <w:trPr>
          <w:trHeight w:hRule="exact" w:val="284"/>
          <w:jc w:val="center"/>
        </w:trPr>
        <w:tc>
          <w:tcPr>
            <w:tcW w:w="2670" w:type="pct"/>
            <w:tcBorders>
              <w:top w:val="nil"/>
              <w:left w:val="nil"/>
              <w:bottom w:val="nil"/>
              <w:right w:val="nil"/>
            </w:tcBorders>
            <w:shd w:val="clear" w:color="auto" w:fill="auto"/>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eastAsia="Calibri" w:hAnsi="Calibri"/>
                <w:b/>
                <w:bCs/>
                <w:i/>
                <w:iCs/>
                <w:color w:val="000000"/>
                <w:sz w:val="17"/>
                <w:szCs w:val="17"/>
                <w:lang w:val="hr-HR"/>
              </w:rPr>
              <w:t>Dužnički vrijednosni papiri koji ne kotiraju:</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p>
        </w:tc>
        <w:tc>
          <w:tcPr>
            <w:tcW w:w="778"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DF6947">
        <w:trPr>
          <w:trHeight w:hRule="exact" w:val="284"/>
          <w:jc w:val="center"/>
        </w:trPr>
        <w:tc>
          <w:tcPr>
            <w:tcW w:w="2670" w:type="pct"/>
            <w:tcBorders>
              <w:top w:val="nil"/>
              <w:left w:val="nil"/>
              <w:bottom w:val="nil"/>
              <w:right w:val="nil"/>
            </w:tcBorders>
            <w:shd w:val="clear" w:color="auto" w:fill="auto"/>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eastAsia="Calibri" w:hAnsi="Calibri"/>
                <w:color w:val="000000"/>
                <w:sz w:val="17"/>
                <w:szCs w:val="17"/>
                <w:lang w:val="hr-HR"/>
              </w:rPr>
              <w:t xml:space="preserve">Obveznice trgovačkih društava </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olor w:val="000000"/>
                <w:sz w:val="17"/>
                <w:szCs w:val="17"/>
                <w:lang w:val="hr-HR"/>
              </w:rPr>
              <w:t>-</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c>
          <w:tcPr>
            <w:tcW w:w="778"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olor w:val="000000"/>
                <w:sz w:val="17"/>
                <w:szCs w:val="17"/>
                <w:lang w:val="hr-HR"/>
              </w:rPr>
              <w:t>522</w:t>
            </w:r>
          </w:p>
        </w:tc>
      </w:tr>
      <w:tr w:rsidR="00DF6947" w:rsidRPr="001567C8" w:rsidTr="00DF6947">
        <w:trPr>
          <w:trHeight w:hRule="exact" w:val="284"/>
          <w:jc w:val="center"/>
        </w:trPr>
        <w:tc>
          <w:tcPr>
            <w:tcW w:w="2670" w:type="pct"/>
            <w:tcBorders>
              <w:top w:val="nil"/>
              <w:left w:val="nil"/>
              <w:bottom w:val="nil"/>
              <w:right w:val="nil"/>
            </w:tcBorders>
            <w:shd w:val="clear" w:color="auto" w:fill="auto"/>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eastAsia="Calibri" w:hAnsi="Calibri"/>
                <w:color w:val="000000"/>
                <w:sz w:val="17"/>
                <w:szCs w:val="17"/>
                <w:lang w:val="hr-HR"/>
              </w:rPr>
              <w:t>Obračunata kamata</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olor w:val="000000"/>
                <w:sz w:val="17"/>
                <w:szCs w:val="17"/>
                <w:lang w:val="hr-HR"/>
              </w:rPr>
              <w:t>-</w:t>
            </w:r>
          </w:p>
        </w:tc>
        <w:tc>
          <w:tcPr>
            <w:tcW w:w="776"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c>
          <w:tcPr>
            <w:tcW w:w="778"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olor w:val="000000"/>
                <w:sz w:val="17"/>
                <w:szCs w:val="17"/>
                <w:lang w:val="hr-HR"/>
              </w:rPr>
              <w:t>167</w:t>
            </w:r>
          </w:p>
        </w:tc>
      </w:tr>
      <w:tr w:rsidR="00DF6947" w:rsidRPr="001567C8" w:rsidTr="00DF6947">
        <w:trPr>
          <w:trHeight w:hRule="exact" w:val="340"/>
          <w:jc w:val="center"/>
        </w:trPr>
        <w:tc>
          <w:tcPr>
            <w:tcW w:w="2670" w:type="pct"/>
            <w:vAlign w:val="bottom"/>
          </w:tcPr>
          <w:p w:rsidR="00DF6947" w:rsidRPr="001567C8" w:rsidRDefault="00DF6947" w:rsidP="00DF6947">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Ukupno dužnički vrijednosni papiri</w:t>
            </w:r>
          </w:p>
        </w:tc>
        <w:tc>
          <w:tcPr>
            <w:tcW w:w="776"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2.482.682</w:t>
            </w:r>
          </w:p>
        </w:tc>
        <w:tc>
          <w:tcPr>
            <w:tcW w:w="776"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w:t>
            </w:r>
          </w:p>
        </w:tc>
        <w:tc>
          <w:tcPr>
            <w:tcW w:w="778"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689</w:t>
            </w:r>
          </w:p>
        </w:tc>
      </w:tr>
      <w:tr w:rsidR="00DF6947" w:rsidRPr="001567C8" w:rsidTr="00DF6947">
        <w:trPr>
          <w:trHeight w:hRule="exact" w:val="340"/>
          <w:jc w:val="center"/>
        </w:trPr>
        <w:tc>
          <w:tcPr>
            <w:tcW w:w="2670" w:type="pct"/>
            <w:vAlign w:val="bottom"/>
          </w:tcPr>
          <w:p w:rsidR="00DF6947" w:rsidRPr="001567C8" w:rsidRDefault="00DF6947" w:rsidP="00DF6947">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Vlasnički vrijednosni papiri:</w:t>
            </w:r>
          </w:p>
        </w:tc>
        <w:tc>
          <w:tcPr>
            <w:tcW w:w="776" w:type="pct"/>
            <w:tcBorders>
              <w:top w:val="single" w:sz="12"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6" w:type="pct"/>
            <w:tcBorders>
              <w:top w:val="single" w:sz="12"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8" w:type="pct"/>
            <w:tcBorders>
              <w:top w:val="single" w:sz="12"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DF6947">
        <w:trPr>
          <w:trHeight w:hRule="exact" w:val="340"/>
          <w:jc w:val="center"/>
        </w:trPr>
        <w:tc>
          <w:tcPr>
            <w:tcW w:w="2670" w:type="pct"/>
            <w:vAlign w:val="bottom"/>
          </w:tcPr>
          <w:p w:rsidR="00DF6947" w:rsidRPr="001567C8" w:rsidRDefault="00DF6947" w:rsidP="00DF6947">
            <w:pPr>
              <w:tabs>
                <w:tab w:val="right" w:pos="1202"/>
              </w:tabs>
              <w:outlineLvl w:val="0"/>
              <w:rPr>
                <w:rFonts w:ascii="Calibri" w:hAnsi="Calibri" w:cs="Arial"/>
                <w:b/>
                <w:i/>
                <w:spacing w:val="-2"/>
                <w:sz w:val="17"/>
                <w:szCs w:val="17"/>
                <w:lang w:val="hr-HR"/>
              </w:rPr>
            </w:pPr>
            <w:r w:rsidRPr="001567C8">
              <w:rPr>
                <w:rFonts w:ascii="Calibri" w:eastAsia="Calibri" w:hAnsi="Calibri"/>
                <w:b/>
                <w:i/>
                <w:sz w:val="17"/>
                <w:szCs w:val="17"/>
                <w:lang w:val="hr-HR"/>
              </w:rPr>
              <w:t>Vlasnički vrijednosni papiri koji kotiraju:</w:t>
            </w:r>
          </w:p>
        </w:tc>
        <w:tc>
          <w:tcPr>
            <w:tcW w:w="776" w:type="pct"/>
            <w:tcBorders>
              <w:bottom w:val="single" w:sz="4"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6" w:type="pct"/>
            <w:tcBorders>
              <w:bottom w:val="single" w:sz="4"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8" w:type="pct"/>
            <w:tcBorders>
              <w:bottom w:val="single" w:sz="4"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b/>
                <w:i/>
                <w:spacing w:val="-2"/>
                <w:sz w:val="17"/>
                <w:szCs w:val="17"/>
                <w:lang w:val="hr-HR"/>
              </w:rPr>
            </w:pPr>
            <w:r w:rsidRPr="001567C8">
              <w:rPr>
                <w:rFonts w:ascii="Calibri" w:eastAsia="Calibri" w:hAnsi="Calibri"/>
                <w:sz w:val="17"/>
                <w:szCs w:val="17"/>
                <w:lang w:val="hr-HR"/>
              </w:rPr>
              <w:t>Dionice trgovačkih društava</w:t>
            </w:r>
          </w:p>
        </w:tc>
        <w:tc>
          <w:tcPr>
            <w:tcW w:w="776" w:type="pct"/>
            <w:tcBorders>
              <w:top w:val="single" w:sz="4" w:space="0" w:color="auto"/>
              <w:bottom w:val="single" w:sz="4"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18.951</w:t>
            </w:r>
          </w:p>
        </w:tc>
        <w:tc>
          <w:tcPr>
            <w:tcW w:w="776" w:type="pct"/>
            <w:tcBorders>
              <w:top w:val="single" w:sz="4" w:space="0" w:color="auto"/>
              <w:bottom w:val="single" w:sz="4"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c>
          <w:tcPr>
            <w:tcW w:w="778" w:type="pct"/>
            <w:tcBorders>
              <w:top w:val="single" w:sz="4" w:space="0" w:color="auto"/>
              <w:bottom w:val="single" w:sz="4"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r w:rsidRPr="001567C8">
              <w:rPr>
                <w:rFonts w:ascii="Calibri" w:eastAsia="Calibri" w:hAnsi="Calibri" w:cs="Arial"/>
                <w:spacing w:val="-2"/>
                <w:sz w:val="17"/>
                <w:szCs w:val="17"/>
                <w:lang w:val="hr-HR"/>
              </w:rPr>
              <w:t>-</w:t>
            </w: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eastAsia="Calibri" w:hAnsi="Calibri"/>
                <w:b/>
                <w:i/>
                <w:sz w:val="17"/>
                <w:szCs w:val="17"/>
                <w:lang w:val="hr-HR"/>
              </w:rPr>
            </w:pPr>
            <w:r w:rsidRPr="001567C8">
              <w:rPr>
                <w:rFonts w:ascii="Calibri" w:eastAsia="Calibri" w:hAnsi="Calibri"/>
                <w:b/>
                <w:i/>
                <w:sz w:val="17"/>
                <w:szCs w:val="17"/>
                <w:lang w:val="hr-HR"/>
              </w:rPr>
              <w:t>Vlasnički vrijednosni papiri koji ne kotiraju:</w:t>
            </w:r>
          </w:p>
        </w:tc>
        <w:tc>
          <w:tcPr>
            <w:tcW w:w="776" w:type="pct"/>
            <w:tcBorders>
              <w:top w:val="single" w:sz="4"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6" w:type="pct"/>
            <w:tcBorders>
              <w:top w:val="single" w:sz="4"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778" w:type="pct"/>
            <w:tcBorders>
              <w:top w:val="single" w:sz="4"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inozemnih pravnih osoba</w:t>
            </w:r>
          </w:p>
        </w:tc>
        <w:tc>
          <w:tcPr>
            <w:tcW w:w="776" w:type="pct"/>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776"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eastAsia="Calibri" w:hAnsi="Calibri"/>
                <w:color w:val="000000"/>
                <w:sz w:val="17"/>
                <w:szCs w:val="17"/>
                <w:lang w:val="hr-HR"/>
              </w:rPr>
              <w:t>35</w:t>
            </w:r>
          </w:p>
        </w:tc>
        <w:tc>
          <w:tcPr>
            <w:tcW w:w="778" w:type="pct"/>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sz w:val="17"/>
                <w:szCs w:val="17"/>
                <w:lang w:val="hr-HR"/>
              </w:rPr>
              <w:t xml:space="preserve">Dionice financijskih institucija </w:t>
            </w:r>
          </w:p>
        </w:tc>
        <w:tc>
          <w:tcPr>
            <w:tcW w:w="776" w:type="pct"/>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776"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eastAsia="Calibri" w:hAnsi="Calibri"/>
                <w:color w:val="000000"/>
                <w:sz w:val="17"/>
                <w:szCs w:val="17"/>
                <w:lang w:val="hr-HR"/>
              </w:rPr>
              <w:t>161</w:t>
            </w:r>
          </w:p>
        </w:tc>
        <w:tc>
          <w:tcPr>
            <w:tcW w:w="778" w:type="pct"/>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inozemnih financijskih institucija – EIF</w:t>
            </w:r>
          </w:p>
        </w:tc>
        <w:tc>
          <w:tcPr>
            <w:tcW w:w="776" w:type="pct"/>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776"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eastAsia="Calibri" w:hAnsi="Calibri"/>
                <w:color w:val="000000"/>
                <w:sz w:val="17"/>
                <w:szCs w:val="17"/>
                <w:lang w:val="hr-HR"/>
              </w:rPr>
              <w:t>25.427</w:t>
            </w:r>
          </w:p>
        </w:tc>
        <w:tc>
          <w:tcPr>
            <w:tcW w:w="778" w:type="pct"/>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Dionice trgovačkih društava</w:t>
            </w:r>
          </w:p>
        </w:tc>
        <w:tc>
          <w:tcPr>
            <w:tcW w:w="776" w:type="pct"/>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776" w:type="pct"/>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778" w:type="pct"/>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DF6947" w:rsidRPr="001567C8" w:rsidTr="00DF6947">
        <w:trPr>
          <w:trHeight w:hRule="exact" w:val="340"/>
          <w:jc w:val="center"/>
        </w:trPr>
        <w:tc>
          <w:tcPr>
            <w:tcW w:w="2670" w:type="pct"/>
            <w:vAlign w:val="bottom"/>
          </w:tcPr>
          <w:p w:rsidR="00DF6947" w:rsidRPr="001567C8" w:rsidRDefault="00DF6947" w:rsidP="00DF6947">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Ukupno vlasnički vrijednosni papiri</w:t>
            </w:r>
          </w:p>
        </w:tc>
        <w:tc>
          <w:tcPr>
            <w:tcW w:w="776"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cs="Arial"/>
                <w:b/>
                <w:sz w:val="17"/>
                <w:szCs w:val="17"/>
                <w:lang w:val="hr-HR"/>
              </w:rPr>
              <w:t>18.951</w:t>
            </w:r>
          </w:p>
        </w:tc>
        <w:tc>
          <w:tcPr>
            <w:tcW w:w="776"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cs="Arial"/>
                <w:b/>
                <w:sz w:val="17"/>
                <w:szCs w:val="17"/>
                <w:lang w:val="hr-HR"/>
              </w:rPr>
              <w:t>25.623</w:t>
            </w:r>
          </w:p>
        </w:tc>
        <w:tc>
          <w:tcPr>
            <w:tcW w:w="778"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cs="Arial"/>
                <w:b/>
                <w:sz w:val="17"/>
                <w:szCs w:val="17"/>
                <w:lang w:val="hr-HR"/>
              </w:rPr>
              <w:t>-</w:t>
            </w:r>
          </w:p>
        </w:tc>
      </w:tr>
      <w:tr w:rsidR="00DF6947" w:rsidRPr="001567C8" w:rsidTr="00DF6947">
        <w:trPr>
          <w:trHeight w:hRule="exact" w:val="340"/>
          <w:jc w:val="center"/>
        </w:trPr>
        <w:tc>
          <w:tcPr>
            <w:tcW w:w="2670" w:type="pct"/>
            <w:vAlign w:val="bottom"/>
          </w:tcPr>
          <w:p w:rsidR="00DF6947" w:rsidRPr="001567C8" w:rsidRDefault="00DF6947" w:rsidP="00DF6947">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Ulaganja u investicijske fondove:</w:t>
            </w:r>
          </w:p>
        </w:tc>
        <w:tc>
          <w:tcPr>
            <w:tcW w:w="776" w:type="pct"/>
            <w:tcBorders>
              <w:top w:val="single" w:sz="12" w:space="0" w:color="auto"/>
            </w:tcBorders>
            <w:vAlign w:val="bottom"/>
          </w:tcPr>
          <w:p w:rsidR="00DF6947" w:rsidRPr="001567C8" w:rsidRDefault="00DF6947" w:rsidP="00DF6947">
            <w:pPr>
              <w:tabs>
                <w:tab w:val="right" w:pos="1202"/>
              </w:tabs>
              <w:jc w:val="right"/>
              <w:outlineLvl w:val="0"/>
              <w:rPr>
                <w:rFonts w:ascii="Calibri" w:hAnsi="Calibri" w:cs="Arial"/>
                <w:b/>
                <w:sz w:val="17"/>
                <w:szCs w:val="17"/>
                <w:lang w:val="hr-HR"/>
              </w:rPr>
            </w:pPr>
          </w:p>
        </w:tc>
        <w:tc>
          <w:tcPr>
            <w:tcW w:w="776" w:type="pct"/>
            <w:tcBorders>
              <w:top w:val="single" w:sz="12" w:space="0" w:color="auto"/>
            </w:tcBorders>
            <w:vAlign w:val="bottom"/>
          </w:tcPr>
          <w:p w:rsidR="00DF6947" w:rsidRPr="001567C8" w:rsidRDefault="00DF6947" w:rsidP="00DF6947">
            <w:pPr>
              <w:tabs>
                <w:tab w:val="right" w:pos="1202"/>
              </w:tabs>
              <w:jc w:val="right"/>
              <w:outlineLvl w:val="0"/>
              <w:rPr>
                <w:rFonts w:ascii="Calibri" w:hAnsi="Calibri" w:cs="Arial"/>
                <w:b/>
                <w:sz w:val="17"/>
                <w:szCs w:val="17"/>
                <w:lang w:val="hr-HR"/>
              </w:rPr>
            </w:pPr>
          </w:p>
        </w:tc>
        <w:tc>
          <w:tcPr>
            <w:tcW w:w="778" w:type="pct"/>
            <w:tcBorders>
              <w:top w:val="single" w:sz="12" w:space="0" w:color="auto"/>
            </w:tcBorders>
            <w:vAlign w:val="bottom"/>
          </w:tcPr>
          <w:p w:rsidR="00DF6947" w:rsidRPr="001567C8" w:rsidRDefault="00DF6947" w:rsidP="00DF6947">
            <w:pPr>
              <w:tabs>
                <w:tab w:val="right" w:pos="1202"/>
              </w:tabs>
              <w:jc w:val="right"/>
              <w:outlineLvl w:val="0"/>
              <w:rPr>
                <w:rFonts w:ascii="Calibri" w:hAnsi="Calibri" w:cs="Arial"/>
                <w:b/>
                <w:sz w:val="17"/>
                <w:szCs w:val="17"/>
                <w:lang w:val="hr-HR"/>
              </w:rPr>
            </w:pPr>
          </w:p>
        </w:tc>
      </w:tr>
      <w:tr w:rsidR="00DF6947" w:rsidRPr="001567C8" w:rsidTr="00DF6947">
        <w:trPr>
          <w:trHeight w:hRule="exact" w:val="284"/>
          <w:jc w:val="center"/>
        </w:trPr>
        <w:tc>
          <w:tcPr>
            <w:tcW w:w="2670" w:type="pct"/>
            <w:vAlign w:val="bottom"/>
          </w:tcPr>
          <w:p w:rsidR="00DF6947" w:rsidRPr="001567C8" w:rsidRDefault="00DF6947" w:rsidP="00DF6947">
            <w:pPr>
              <w:tabs>
                <w:tab w:val="right" w:pos="1202"/>
              </w:tabs>
              <w:outlineLvl w:val="0"/>
              <w:rPr>
                <w:rFonts w:ascii="Calibri" w:hAnsi="Calibri" w:cs="Arial"/>
                <w:b/>
                <w:i/>
                <w:sz w:val="17"/>
                <w:szCs w:val="17"/>
                <w:lang w:val="hr-HR"/>
              </w:rPr>
            </w:pPr>
            <w:r w:rsidRPr="001567C8">
              <w:rPr>
                <w:rFonts w:ascii="Calibri" w:hAnsi="Calibri" w:cs="Arial"/>
                <w:sz w:val="17"/>
                <w:szCs w:val="17"/>
                <w:lang w:val="hr-HR"/>
              </w:rPr>
              <w:t>Udjeli  raspoređeni u imovinu raspoloživu za prodaju</w:t>
            </w:r>
          </w:p>
        </w:tc>
        <w:tc>
          <w:tcPr>
            <w:tcW w:w="776" w:type="pct"/>
            <w:tcBorders>
              <w:top w:val="nil"/>
              <w:left w:val="nil"/>
              <w:bottom w:val="single" w:sz="4"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eastAsia="Calibri" w:hAnsi="Calibri" w:cs="Arial"/>
                <w:sz w:val="17"/>
                <w:szCs w:val="17"/>
                <w:lang w:val="hr-HR"/>
              </w:rPr>
              <w:t>793.619</w:t>
            </w:r>
          </w:p>
        </w:tc>
        <w:tc>
          <w:tcPr>
            <w:tcW w:w="776" w:type="pct"/>
            <w:tcBorders>
              <w:top w:val="nil"/>
              <w:left w:val="nil"/>
              <w:bottom w:val="single" w:sz="4"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eastAsia="Calibri" w:hAnsi="Calibri" w:cs="Arial"/>
                <w:sz w:val="17"/>
                <w:szCs w:val="17"/>
                <w:lang w:val="hr-HR"/>
              </w:rPr>
              <w:t>-</w:t>
            </w:r>
          </w:p>
        </w:tc>
        <w:tc>
          <w:tcPr>
            <w:tcW w:w="778" w:type="pct"/>
            <w:tcBorders>
              <w:top w:val="nil"/>
              <w:left w:val="nil"/>
              <w:bottom w:val="single" w:sz="4"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r w:rsidRPr="001567C8">
              <w:rPr>
                <w:rFonts w:ascii="Calibri" w:eastAsia="Calibri" w:hAnsi="Calibri" w:cs="Arial"/>
                <w:sz w:val="17"/>
                <w:szCs w:val="17"/>
                <w:lang w:val="hr-HR"/>
              </w:rPr>
              <w:t>-</w:t>
            </w:r>
          </w:p>
        </w:tc>
      </w:tr>
      <w:tr w:rsidR="00DF6947" w:rsidRPr="001567C8" w:rsidTr="00DF6947">
        <w:trPr>
          <w:trHeight w:hRule="exact" w:val="340"/>
          <w:jc w:val="center"/>
        </w:trPr>
        <w:tc>
          <w:tcPr>
            <w:tcW w:w="2670" w:type="pct"/>
            <w:vAlign w:val="bottom"/>
          </w:tcPr>
          <w:p w:rsidR="00DF6947" w:rsidRPr="001567C8" w:rsidRDefault="00DF6947" w:rsidP="00DF6947">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Ukupno ulaganja u investicijske fondove</w:t>
            </w:r>
          </w:p>
        </w:tc>
        <w:tc>
          <w:tcPr>
            <w:tcW w:w="776" w:type="pct"/>
            <w:tcBorders>
              <w:top w:val="single" w:sz="4" w:space="0" w:color="auto"/>
              <w:left w:val="nil"/>
              <w:bottom w:val="single" w:sz="12"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b/>
                <w:bCs/>
                <w:color w:val="000000"/>
                <w:sz w:val="17"/>
                <w:szCs w:val="17"/>
                <w:lang w:val="hr-HR"/>
              </w:rPr>
              <w:t>793.619</w:t>
            </w:r>
          </w:p>
        </w:tc>
        <w:tc>
          <w:tcPr>
            <w:tcW w:w="776" w:type="pct"/>
            <w:tcBorders>
              <w:top w:val="single" w:sz="4" w:space="0" w:color="auto"/>
              <w:left w:val="nil"/>
              <w:bottom w:val="single" w:sz="12"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b/>
                <w:bCs/>
                <w:color w:val="000000"/>
                <w:sz w:val="17"/>
                <w:szCs w:val="17"/>
                <w:lang w:val="hr-HR"/>
              </w:rPr>
              <w:t>-</w:t>
            </w:r>
          </w:p>
        </w:tc>
        <w:tc>
          <w:tcPr>
            <w:tcW w:w="778" w:type="pct"/>
            <w:tcBorders>
              <w:top w:val="single" w:sz="4" w:space="0" w:color="auto"/>
              <w:left w:val="nil"/>
              <w:bottom w:val="single" w:sz="12"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b/>
                <w:bCs/>
                <w:color w:val="000000"/>
                <w:sz w:val="17"/>
                <w:szCs w:val="17"/>
                <w:lang w:val="hr-HR"/>
              </w:rPr>
              <w:t>-</w:t>
            </w:r>
          </w:p>
        </w:tc>
      </w:tr>
      <w:tr w:rsidR="00DF6947" w:rsidRPr="001567C8" w:rsidTr="00DF6947">
        <w:trPr>
          <w:trHeight w:hRule="exact" w:val="340"/>
          <w:jc w:val="center"/>
        </w:trPr>
        <w:tc>
          <w:tcPr>
            <w:tcW w:w="2670" w:type="pct"/>
            <w:vAlign w:val="bottom"/>
          </w:tcPr>
          <w:p w:rsidR="00DF6947" w:rsidRPr="001567C8" w:rsidRDefault="00DF6947" w:rsidP="00DF6947">
            <w:pPr>
              <w:tabs>
                <w:tab w:val="right" w:pos="1202"/>
              </w:tabs>
              <w:outlineLvl w:val="0"/>
              <w:rPr>
                <w:rFonts w:ascii="Calibri" w:hAnsi="Calibri" w:cs="Arial"/>
                <w:b/>
                <w:i/>
                <w:sz w:val="17"/>
                <w:szCs w:val="17"/>
                <w:lang w:val="hr-HR"/>
              </w:rPr>
            </w:pPr>
            <w:r w:rsidRPr="001567C8">
              <w:rPr>
                <w:rFonts w:ascii="Calibri" w:hAnsi="Calibri" w:cs="Arial"/>
                <w:b/>
                <w:sz w:val="17"/>
                <w:szCs w:val="17"/>
                <w:lang w:val="hr-HR"/>
              </w:rPr>
              <w:t>Ukupno imovina raspoloživa za prodaju</w:t>
            </w:r>
          </w:p>
        </w:tc>
        <w:tc>
          <w:tcPr>
            <w:tcW w:w="776"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b/>
                <w:bCs/>
                <w:color w:val="000000"/>
                <w:sz w:val="17"/>
                <w:szCs w:val="17"/>
                <w:lang w:val="hr-HR"/>
              </w:rPr>
              <w:t>3.295.252</w:t>
            </w:r>
          </w:p>
        </w:tc>
        <w:tc>
          <w:tcPr>
            <w:tcW w:w="776"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b/>
                <w:bCs/>
                <w:color w:val="000000"/>
                <w:sz w:val="17"/>
                <w:szCs w:val="17"/>
                <w:lang w:val="hr-HR"/>
              </w:rPr>
              <w:t>25.623</w:t>
            </w:r>
          </w:p>
        </w:tc>
        <w:tc>
          <w:tcPr>
            <w:tcW w:w="778"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b/>
                <w:sz w:val="17"/>
                <w:szCs w:val="17"/>
                <w:lang w:val="hr-HR"/>
              </w:rPr>
            </w:pPr>
            <w:r w:rsidRPr="001567C8">
              <w:rPr>
                <w:rFonts w:ascii="Calibri" w:eastAsia="Calibri" w:hAnsi="Calibri"/>
                <w:b/>
                <w:bCs/>
                <w:color w:val="000000"/>
                <w:sz w:val="17"/>
                <w:szCs w:val="17"/>
                <w:lang w:val="hr-HR"/>
              </w:rPr>
              <w:t>689</w:t>
            </w:r>
          </w:p>
        </w:tc>
      </w:tr>
      <w:tr w:rsidR="00DF6947" w:rsidRPr="001567C8" w:rsidTr="00DF6947">
        <w:trPr>
          <w:trHeight w:hRule="exact" w:val="102"/>
          <w:jc w:val="center"/>
        </w:trPr>
        <w:tc>
          <w:tcPr>
            <w:tcW w:w="2670" w:type="pct"/>
            <w:vAlign w:val="bottom"/>
          </w:tcPr>
          <w:p w:rsidR="00DF6947" w:rsidRPr="001567C8" w:rsidRDefault="00DF6947" w:rsidP="00DF6947">
            <w:pPr>
              <w:keepNext/>
              <w:keepLines/>
              <w:tabs>
                <w:tab w:val="decimal" w:pos="1202"/>
              </w:tabs>
              <w:spacing w:line="140" w:lineRule="exact"/>
              <w:rPr>
                <w:rFonts w:ascii="Calibri" w:hAnsi="Calibri" w:cs="Arial"/>
                <w:bCs/>
                <w:position w:val="4"/>
                <w:sz w:val="17"/>
                <w:szCs w:val="17"/>
                <w:lang w:val="hr-HR"/>
              </w:rPr>
            </w:pPr>
          </w:p>
        </w:tc>
        <w:tc>
          <w:tcPr>
            <w:tcW w:w="776" w:type="pct"/>
            <w:tcBorders>
              <w:top w:val="single" w:sz="12" w:space="0" w:color="auto"/>
            </w:tcBorders>
          </w:tcPr>
          <w:p w:rsidR="00DF6947" w:rsidRPr="001567C8" w:rsidRDefault="00DF6947" w:rsidP="00DF6947">
            <w:pPr>
              <w:keepNext/>
              <w:keepLines/>
              <w:tabs>
                <w:tab w:val="decimal" w:pos="1202"/>
              </w:tabs>
              <w:spacing w:line="140" w:lineRule="exact"/>
              <w:rPr>
                <w:rFonts w:ascii="Calibri" w:hAnsi="Calibri" w:cs="Arial"/>
                <w:bCs/>
                <w:position w:val="4"/>
                <w:sz w:val="17"/>
                <w:szCs w:val="17"/>
                <w:lang w:val="hr-HR"/>
              </w:rPr>
            </w:pPr>
          </w:p>
        </w:tc>
        <w:tc>
          <w:tcPr>
            <w:tcW w:w="776" w:type="pct"/>
            <w:tcBorders>
              <w:top w:val="single" w:sz="12" w:space="0" w:color="auto"/>
            </w:tcBorders>
          </w:tcPr>
          <w:p w:rsidR="00DF6947" w:rsidRPr="001567C8" w:rsidRDefault="00DF6947" w:rsidP="00DF6947">
            <w:pPr>
              <w:keepNext/>
              <w:keepLines/>
              <w:tabs>
                <w:tab w:val="decimal" w:pos="1202"/>
              </w:tabs>
              <w:spacing w:line="140" w:lineRule="exact"/>
              <w:rPr>
                <w:rFonts w:ascii="Calibri" w:hAnsi="Calibri" w:cs="Arial"/>
                <w:bCs/>
                <w:position w:val="4"/>
                <w:sz w:val="17"/>
                <w:szCs w:val="17"/>
                <w:lang w:val="hr-HR"/>
              </w:rPr>
            </w:pPr>
          </w:p>
        </w:tc>
        <w:tc>
          <w:tcPr>
            <w:tcW w:w="778" w:type="pct"/>
            <w:tcBorders>
              <w:top w:val="single" w:sz="12" w:space="0" w:color="auto"/>
            </w:tcBorders>
          </w:tcPr>
          <w:p w:rsidR="00DF6947" w:rsidRPr="001567C8" w:rsidRDefault="00DF6947" w:rsidP="00DF6947">
            <w:pPr>
              <w:keepNext/>
              <w:keepLines/>
              <w:tabs>
                <w:tab w:val="decimal" w:pos="1202"/>
              </w:tabs>
              <w:spacing w:line="140" w:lineRule="exact"/>
              <w:rPr>
                <w:rFonts w:ascii="Calibri" w:hAnsi="Calibri" w:cs="Arial"/>
                <w:bCs/>
                <w:position w:val="4"/>
                <w:sz w:val="17"/>
                <w:szCs w:val="17"/>
                <w:lang w:val="hr-HR"/>
              </w:rPr>
            </w:pPr>
          </w:p>
        </w:tc>
      </w:tr>
    </w:tbl>
    <w:p w:rsidR="0078021F" w:rsidRPr="001567C8" w:rsidRDefault="0078021F" w:rsidP="00623AD9">
      <w:pPr>
        <w:pStyle w:val="T1"/>
        <w:spacing w:before="0" w:after="0" w:line="240" w:lineRule="auto"/>
        <w:rPr>
          <w:rFonts w:asciiTheme="minorHAnsi" w:hAnsiTheme="minorHAnsi" w:cs="Arial"/>
          <w:spacing w:val="-3"/>
          <w:sz w:val="22"/>
          <w:szCs w:val="22"/>
          <w:lang w:val="hr-HR"/>
        </w:rPr>
      </w:pPr>
    </w:p>
    <w:p w:rsidR="00CB00C4" w:rsidRPr="001567C8" w:rsidRDefault="00CB00C4" w:rsidP="00CB00C4">
      <w:pPr>
        <w:jc w:val="both"/>
        <w:rPr>
          <w:rFonts w:ascii="Calibri" w:eastAsia="Calibri" w:hAnsi="Calibri" w:cs="FrutigerLTCom-Light"/>
          <w:sz w:val="20"/>
          <w:szCs w:val="20"/>
          <w:lang w:val="hr-HR"/>
        </w:rPr>
      </w:pPr>
    </w:p>
    <w:p w:rsidR="00CB00C4" w:rsidRPr="001567C8" w:rsidRDefault="00CB00C4">
      <w:pPr>
        <w:jc w:val="both"/>
        <w:rPr>
          <w:rFonts w:ascii="Calibri" w:eastAsia="Calibri" w:hAnsi="Calibri"/>
          <w:sz w:val="20"/>
          <w:szCs w:val="20"/>
          <w:highlight w:val="yellow"/>
          <w:lang w:val="hr-HR" w:eastAsia="zh-CN"/>
        </w:rPr>
      </w:pPr>
    </w:p>
    <w:p w:rsidR="003544FC" w:rsidRPr="001567C8" w:rsidRDefault="003544FC" w:rsidP="00C4703D">
      <w:pPr>
        <w:pStyle w:val="T1"/>
        <w:spacing w:before="120" w:line="300" w:lineRule="exact"/>
        <w:rPr>
          <w:rFonts w:asciiTheme="minorHAnsi" w:hAnsiTheme="minorHAnsi" w:cs="Arial"/>
          <w:b w:val="0"/>
          <w:bCs w:val="0"/>
          <w:spacing w:val="-3"/>
          <w:sz w:val="22"/>
          <w:szCs w:val="22"/>
          <w:lang w:val="hr-HR"/>
        </w:rPr>
        <w:sectPr w:rsidR="003544FC" w:rsidRPr="001567C8" w:rsidSect="0077198A">
          <w:pgSz w:w="11907" w:h="16840" w:code="9"/>
          <w:pgMar w:top="1418" w:right="1134" w:bottom="1134" w:left="1418" w:header="851" w:footer="851" w:gutter="0"/>
          <w:cols w:space="720"/>
          <w:noEndnote/>
        </w:sectPr>
      </w:pPr>
    </w:p>
    <w:p w:rsidR="00CB00C4" w:rsidRPr="001567C8" w:rsidRDefault="00CB00C4" w:rsidP="00CB00C4">
      <w:pPr>
        <w:pStyle w:val="T1"/>
        <w:spacing w:before="0" w:after="0" w:line="240" w:lineRule="auto"/>
        <w:ind w:left="709" w:hanging="709"/>
        <w:rPr>
          <w:rFonts w:asciiTheme="minorHAnsi" w:hAnsiTheme="minorHAnsi" w:cs="Arial"/>
          <w:spacing w:val="-3"/>
          <w:sz w:val="22"/>
          <w:szCs w:val="22"/>
          <w:lang w:val="hr-HR"/>
        </w:rPr>
      </w:pPr>
    </w:p>
    <w:p w:rsidR="00DF6947" w:rsidRPr="001567C8" w:rsidRDefault="00DF6947" w:rsidP="00DF6947">
      <w:pPr>
        <w:keepNext/>
        <w:ind w:left="708" w:hanging="708"/>
        <w:jc w:val="both"/>
        <w:rPr>
          <w:rFonts w:ascii="Calibri" w:hAnsi="Calibri" w:cs="Arial"/>
          <w:b/>
          <w:bCs/>
          <w:spacing w:val="-3"/>
          <w:sz w:val="22"/>
          <w:szCs w:val="22"/>
          <w:lang w:val="hr-HR"/>
        </w:rPr>
      </w:pPr>
      <w:r w:rsidRPr="001567C8">
        <w:rPr>
          <w:rFonts w:ascii="Calibri" w:hAnsi="Calibri" w:cs="Arial"/>
          <w:b/>
          <w:bCs/>
          <w:spacing w:val="-3"/>
          <w:sz w:val="22"/>
          <w:szCs w:val="22"/>
          <w:lang w:val="hr-HR"/>
        </w:rPr>
        <w:t xml:space="preserve">37. </w:t>
      </w:r>
      <w:r w:rsidRPr="001567C8">
        <w:rPr>
          <w:rFonts w:ascii="Calibri" w:hAnsi="Calibri" w:cs="Arial"/>
          <w:b/>
          <w:bCs/>
          <w:spacing w:val="-3"/>
          <w:sz w:val="22"/>
          <w:szCs w:val="22"/>
          <w:lang w:val="hr-HR"/>
        </w:rPr>
        <w:tab/>
        <w:t>Fer vrijednost financijske imovine i financijskih obveza (nastavak)</w:t>
      </w:r>
    </w:p>
    <w:p w:rsidR="00DF6947" w:rsidRPr="001567C8" w:rsidRDefault="00DF6947" w:rsidP="00DF6947">
      <w:pPr>
        <w:keepNext/>
        <w:ind w:left="567" w:hanging="567"/>
        <w:jc w:val="both"/>
        <w:rPr>
          <w:rFonts w:ascii="Calibri" w:hAnsi="Calibri" w:cs="Arial"/>
          <w:b/>
          <w:bCs/>
          <w:spacing w:val="-3"/>
          <w:sz w:val="16"/>
          <w:szCs w:val="22"/>
          <w:lang w:val="hr-HR"/>
        </w:rPr>
      </w:pPr>
    </w:p>
    <w:p w:rsidR="00DF6947" w:rsidRPr="001567C8" w:rsidRDefault="00DF6947" w:rsidP="00DF6947">
      <w:pPr>
        <w:keepNext/>
        <w:ind w:left="708" w:hanging="708"/>
        <w:jc w:val="both"/>
        <w:rPr>
          <w:rFonts w:ascii="Calibri" w:hAnsi="Calibri" w:cs="Arial"/>
          <w:b/>
          <w:bCs/>
          <w:spacing w:val="-3"/>
          <w:sz w:val="22"/>
          <w:szCs w:val="22"/>
          <w:lang w:val="hr-HR"/>
        </w:rPr>
      </w:pPr>
      <w:r w:rsidRPr="001567C8">
        <w:rPr>
          <w:rFonts w:ascii="Calibri" w:hAnsi="Calibri" w:cs="Arial"/>
          <w:b/>
          <w:bCs/>
          <w:spacing w:val="-3"/>
          <w:sz w:val="22"/>
          <w:szCs w:val="22"/>
          <w:lang w:val="hr-HR"/>
        </w:rPr>
        <w:t>37.1.</w:t>
      </w:r>
      <w:r w:rsidRPr="001567C8">
        <w:rPr>
          <w:rFonts w:ascii="Calibri" w:hAnsi="Calibri" w:cs="Arial"/>
          <w:b/>
          <w:bCs/>
          <w:spacing w:val="-3"/>
          <w:sz w:val="22"/>
          <w:szCs w:val="22"/>
          <w:lang w:val="hr-HR"/>
        </w:rPr>
        <w:tab/>
        <w:t xml:space="preserve">Fer vrijednost financijske imovine i financijskih obveza koji se vode po fer vrijednosti (nastavak) </w:t>
      </w:r>
    </w:p>
    <w:p w:rsidR="00DF6947" w:rsidRPr="001567C8" w:rsidRDefault="00DF6947" w:rsidP="00DF6947">
      <w:pPr>
        <w:keepNext/>
        <w:ind w:left="708" w:hanging="708"/>
        <w:jc w:val="both"/>
        <w:rPr>
          <w:rFonts w:ascii="Calibri" w:hAnsi="Calibri" w:cs="Arial"/>
          <w:b/>
          <w:bCs/>
          <w:spacing w:val="-3"/>
          <w:sz w:val="22"/>
          <w:szCs w:val="22"/>
          <w:lang w:val="hr-HR"/>
        </w:rPr>
      </w:pPr>
    </w:p>
    <w:tbl>
      <w:tblPr>
        <w:tblW w:w="9356" w:type="dxa"/>
        <w:jc w:val="center"/>
        <w:tblLayout w:type="fixed"/>
        <w:tblCellMar>
          <w:left w:w="122" w:type="dxa"/>
          <w:right w:w="122" w:type="dxa"/>
        </w:tblCellMar>
        <w:tblLook w:val="0000" w:firstRow="0" w:lastRow="0" w:firstColumn="0" w:lastColumn="0" w:noHBand="0" w:noVBand="0"/>
      </w:tblPr>
      <w:tblGrid>
        <w:gridCol w:w="5104"/>
        <w:gridCol w:w="1417"/>
        <w:gridCol w:w="1418"/>
        <w:gridCol w:w="1417"/>
      </w:tblGrid>
      <w:tr w:rsidR="00DF6947" w:rsidRPr="001567C8" w:rsidTr="003C6BA3">
        <w:trPr>
          <w:trHeight w:val="311"/>
          <w:jc w:val="center"/>
        </w:trPr>
        <w:tc>
          <w:tcPr>
            <w:tcW w:w="5104" w:type="dxa"/>
            <w:shd w:val="clear" w:color="auto" w:fill="auto"/>
          </w:tcPr>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b/>
                <w:sz w:val="17"/>
                <w:szCs w:val="17"/>
                <w:lang w:val="hr-HR"/>
              </w:rPr>
              <w:t>Banka</w:t>
            </w:r>
          </w:p>
        </w:tc>
        <w:tc>
          <w:tcPr>
            <w:tcW w:w="4252" w:type="dxa"/>
            <w:gridSpan w:val="3"/>
          </w:tcPr>
          <w:p w:rsidR="00DF6947" w:rsidRPr="001567C8" w:rsidRDefault="00AD2EF7" w:rsidP="00DF6947">
            <w:pPr>
              <w:tabs>
                <w:tab w:val="right" w:pos="1202"/>
              </w:tabs>
              <w:jc w:val="right"/>
              <w:outlineLvl w:val="0"/>
              <w:rPr>
                <w:rFonts w:ascii="Calibri" w:hAnsi="Calibri" w:cs="Arial"/>
                <w:b/>
                <w:bCs/>
                <w:sz w:val="17"/>
                <w:szCs w:val="17"/>
                <w:lang w:val="hr-HR"/>
              </w:rPr>
            </w:pPr>
            <w:r>
              <w:rPr>
                <w:rFonts w:ascii="Calibri" w:hAnsi="Calibri" w:cs="Arial"/>
                <w:b/>
                <w:bCs/>
                <w:sz w:val="17"/>
                <w:szCs w:val="17"/>
                <w:lang w:val="hr-HR"/>
              </w:rPr>
              <w:t>31. prosin</w:t>
            </w:r>
            <w:r w:rsidR="0073283D" w:rsidRPr="001567C8">
              <w:rPr>
                <w:rFonts w:ascii="Calibri" w:hAnsi="Calibri" w:cs="Arial"/>
                <w:b/>
                <w:bCs/>
                <w:sz w:val="17"/>
                <w:szCs w:val="17"/>
                <w:lang w:val="hr-HR"/>
              </w:rPr>
              <w:t>c</w:t>
            </w:r>
            <w:r>
              <w:rPr>
                <w:rFonts w:ascii="Calibri" w:hAnsi="Calibri" w:cs="Arial"/>
                <w:b/>
                <w:bCs/>
                <w:sz w:val="17"/>
                <w:szCs w:val="17"/>
                <w:lang w:val="hr-HR"/>
              </w:rPr>
              <w:t>a</w:t>
            </w:r>
            <w:r w:rsidR="0073283D" w:rsidRPr="001567C8">
              <w:rPr>
                <w:rFonts w:ascii="Calibri" w:hAnsi="Calibri" w:cs="Arial"/>
                <w:b/>
                <w:bCs/>
                <w:sz w:val="17"/>
                <w:szCs w:val="17"/>
                <w:lang w:val="hr-HR"/>
              </w:rPr>
              <w:t xml:space="preserve"> </w:t>
            </w:r>
            <w:r w:rsidR="00DF6947" w:rsidRPr="001567C8">
              <w:rPr>
                <w:rFonts w:ascii="Calibri" w:hAnsi="Calibri" w:cs="Arial"/>
                <w:b/>
                <w:bCs/>
                <w:sz w:val="17"/>
                <w:szCs w:val="17"/>
                <w:lang w:val="hr-HR"/>
              </w:rPr>
              <w:t>2018.</w:t>
            </w:r>
            <w:r w:rsidR="007C5023" w:rsidRPr="001567C8">
              <w:rPr>
                <w:rFonts w:ascii="Calibri" w:hAnsi="Calibri" w:cs="Arial"/>
                <w:b/>
                <w:bCs/>
                <w:sz w:val="17"/>
                <w:szCs w:val="17"/>
                <w:lang w:val="hr-HR"/>
              </w:rPr>
              <w:t xml:space="preserve"> godina</w:t>
            </w:r>
          </w:p>
        </w:tc>
      </w:tr>
      <w:tr w:rsidR="00DF6947" w:rsidRPr="001567C8" w:rsidTr="003C6BA3">
        <w:trPr>
          <w:trHeight w:val="311"/>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spacing w:val="-2"/>
                <w:sz w:val="17"/>
                <w:szCs w:val="17"/>
                <w:lang w:val="hr-HR"/>
              </w:rPr>
            </w:pPr>
          </w:p>
        </w:tc>
        <w:tc>
          <w:tcPr>
            <w:tcW w:w="1417" w:type="dxa"/>
            <w:shd w:val="clear" w:color="auto" w:fill="auto"/>
            <w:vAlign w:val="bottom"/>
          </w:tcPr>
          <w:p w:rsidR="00DF6947" w:rsidRPr="001567C8" w:rsidRDefault="00DF6947" w:rsidP="00DF6947">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Razina 1</w:t>
            </w:r>
          </w:p>
        </w:tc>
        <w:tc>
          <w:tcPr>
            <w:tcW w:w="1418" w:type="dxa"/>
            <w:shd w:val="clear" w:color="auto" w:fill="auto"/>
            <w:vAlign w:val="bottom"/>
          </w:tcPr>
          <w:p w:rsidR="00DF6947" w:rsidRPr="001567C8" w:rsidRDefault="00DF6947" w:rsidP="00DF6947">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Razina 2</w:t>
            </w:r>
          </w:p>
        </w:tc>
        <w:tc>
          <w:tcPr>
            <w:tcW w:w="1417" w:type="dxa"/>
            <w:shd w:val="clear" w:color="auto" w:fill="auto"/>
            <w:vAlign w:val="bottom"/>
          </w:tcPr>
          <w:p w:rsidR="00DF6947" w:rsidRPr="001567C8" w:rsidRDefault="00DF6947" w:rsidP="00DF6947">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Razina 3</w:t>
            </w:r>
          </w:p>
        </w:tc>
      </w:tr>
      <w:tr w:rsidR="00DF6947" w:rsidRPr="001567C8" w:rsidTr="003C6BA3">
        <w:trPr>
          <w:trHeight w:val="311"/>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spacing w:val="-2"/>
                <w:sz w:val="17"/>
                <w:szCs w:val="17"/>
                <w:lang w:val="hr-HR"/>
              </w:rPr>
            </w:pPr>
          </w:p>
        </w:tc>
        <w:tc>
          <w:tcPr>
            <w:tcW w:w="1417" w:type="dxa"/>
            <w:shd w:val="clear" w:color="auto" w:fill="auto"/>
            <w:vAlign w:val="center"/>
          </w:tcPr>
          <w:p w:rsidR="00DF6947" w:rsidRPr="001567C8" w:rsidRDefault="00DF6947" w:rsidP="00DF6947">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000 kuna</w:t>
            </w:r>
          </w:p>
        </w:tc>
        <w:tc>
          <w:tcPr>
            <w:tcW w:w="1418" w:type="dxa"/>
            <w:shd w:val="clear" w:color="auto" w:fill="auto"/>
            <w:vAlign w:val="center"/>
          </w:tcPr>
          <w:p w:rsidR="00DF6947" w:rsidRPr="001567C8" w:rsidRDefault="00DF6947" w:rsidP="00DF6947">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000 kuna</w:t>
            </w:r>
          </w:p>
        </w:tc>
        <w:tc>
          <w:tcPr>
            <w:tcW w:w="1417" w:type="dxa"/>
            <w:shd w:val="clear" w:color="auto" w:fill="auto"/>
            <w:vAlign w:val="center"/>
          </w:tcPr>
          <w:p w:rsidR="00DF6947" w:rsidRPr="001567C8" w:rsidRDefault="00DF6947" w:rsidP="00DF6947">
            <w:pPr>
              <w:tabs>
                <w:tab w:val="right" w:pos="1202"/>
              </w:tabs>
              <w:jc w:val="right"/>
              <w:outlineLvl w:val="0"/>
              <w:rPr>
                <w:rFonts w:ascii="Calibri" w:hAnsi="Calibri" w:cs="Arial"/>
                <w:b/>
                <w:spacing w:val="-2"/>
                <w:sz w:val="17"/>
                <w:szCs w:val="17"/>
                <w:lang w:val="hr-HR"/>
              </w:rPr>
            </w:pPr>
            <w:r w:rsidRPr="001567C8">
              <w:rPr>
                <w:rFonts w:ascii="Calibri" w:hAnsi="Calibri" w:cs="Arial"/>
                <w:b/>
                <w:spacing w:val="-2"/>
                <w:sz w:val="17"/>
                <w:szCs w:val="17"/>
                <w:lang w:val="hr-HR"/>
              </w:rPr>
              <w:t>000 kuna</w:t>
            </w:r>
          </w:p>
        </w:tc>
      </w:tr>
      <w:tr w:rsidR="00DF6947" w:rsidRPr="001567C8" w:rsidTr="003C6BA3">
        <w:trPr>
          <w:trHeight w:val="306"/>
          <w:jc w:val="center"/>
        </w:trPr>
        <w:tc>
          <w:tcPr>
            <w:tcW w:w="5104" w:type="dxa"/>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b/>
                <w:sz w:val="17"/>
                <w:szCs w:val="17"/>
                <w:lang w:val="hr-HR"/>
              </w:rPr>
              <w:t xml:space="preserve">Financijska imovina po fer vrijednosti kroz </w:t>
            </w:r>
            <w:r w:rsidR="008A2CC2" w:rsidRPr="001567C8">
              <w:rPr>
                <w:rFonts w:ascii="Calibri" w:hAnsi="Calibri" w:cs="Arial"/>
                <w:b/>
                <w:sz w:val="17"/>
                <w:szCs w:val="17"/>
                <w:lang w:val="hr-HR"/>
              </w:rPr>
              <w:t>dobit ili gubitak</w:t>
            </w:r>
            <w:r w:rsidRPr="001567C8">
              <w:rPr>
                <w:rFonts w:ascii="Calibri" w:hAnsi="Calibri" w:cs="Arial"/>
                <w:b/>
                <w:sz w:val="17"/>
                <w:szCs w:val="17"/>
                <w:lang w:val="hr-HR"/>
              </w:rPr>
              <w:t>:</w:t>
            </w:r>
          </w:p>
        </w:tc>
        <w:tc>
          <w:tcPr>
            <w:tcW w:w="1417" w:type="dxa"/>
            <w:vAlign w:val="bottom"/>
          </w:tcPr>
          <w:p w:rsidR="00DF6947" w:rsidRPr="001567C8" w:rsidRDefault="00DF6947" w:rsidP="00DF6947">
            <w:pPr>
              <w:tabs>
                <w:tab w:val="right" w:pos="1202"/>
              </w:tabs>
              <w:jc w:val="right"/>
              <w:outlineLvl w:val="0"/>
              <w:rPr>
                <w:rFonts w:ascii="Calibri" w:hAnsi="Calibri" w:cs="Arial"/>
                <w:b/>
                <w:spacing w:val="-2"/>
                <w:sz w:val="17"/>
                <w:szCs w:val="17"/>
                <w:lang w:val="hr-HR"/>
              </w:rPr>
            </w:pPr>
          </w:p>
        </w:tc>
        <w:tc>
          <w:tcPr>
            <w:tcW w:w="1418" w:type="dxa"/>
            <w:vAlign w:val="bottom"/>
          </w:tcPr>
          <w:p w:rsidR="00DF6947" w:rsidRPr="001567C8" w:rsidRDefault="00DF6947" w:rsidP="00DF6947">
            <w:pPr>
              <w:tabs>
                <w:tab w:val="right" w:pos="1202"/>
              </w:tabs>
              <w:jc w:val="right"/>
              <w:outlineLvl w:val="0"/>
              <w:rPr>
                <w:rFonts w:ascii="Calibri" w:hAnsi="Calibri" w:cs="Arial"/>
                <w:b/>
                <w:spacing w:val="-2"/>
                <w:sz w:val="17"/>
                <w:szCs w:val="17"/>
                <w:lang w:val="hr-HR"/>
              </w:rPr>
            </w:pPr>
          </w:p>
        </w:tc>
        <w:tc>
          <w:tcPr>
            <w:tcW w:w="1417" w:type="dxa"/>
            <w:vAlign w:val="bottom"/>
          </w:tcPr>
          <w:p w:rsidR="00DF6947" w:rsidRPr="001567C8" w:rsidRDefault="00DF6947" w:rsidP="00DF6947">
            <w:pPr>
              <w:tabs>
                <w:tab w:val="right" w:pos="1202"/>
              </w:tabs>
              <w:jc w:val="right"/>
              <w:outlineLvl w:val="0"/>
              <w:rPr>
                <w:rFonts w:ascii="Calibri" w:hAnsi="Calibri" w:cs="Arial"/>
                <w:b/>
                <w:spacing w:val="-2"/>
                <w:sz w:val="17"/>
                <w:szCs w:val="17"/>
                <w:lang w:val="hr-HR"/>
              </w:rPr>
            </w:pPr>
          </w:p>
        </w:tc>
      </w:tr>
      <w:tr w:rsidR="000B54A1" w:rsidRPr="001567C8" w:rsidTr="00CD3A2D">
        <w:trPr>
          <w:trHeight w:hRule="exact" w:val="266"/>
          <w:jc w:val="center"/>
        </w:trPr>
        <w:tc>
          <w:tcPr>
            <w:tcW w:w="5104" w:type="dxa"/>
            <w:vAlign w:val="bottom"/>
          </w:tcPr>
          <w:p w:rsidR="000B54A1" w:rsidRPr="001567C8" w:rsidRDefault="000B54A1" w:rsidP="000B54A1">
            <w:pPr>
              <w:tabs>
                <w:tab w:val="right" w:pos="1202"/>
              </w:tabs>
              <w:outlineLvl w:val="0"/>
              <w:rPr>
                <w:rFonts w:ascii="Calibri" w:hAnsi="Calibri" w:cs="Arial"/>
                <w:b/>
                <w:i/>
                <w:sz w:val="17"/>
                <w:szCs w:val="17"/>
                <w:lang w:val="hr-HR"/>
              </w:rPr>
            </w:pPr>
            <w:r w:rsidRPr="001567C8">
              <w:rPr>
                <w:rFonts w:ascii="Calibri" w:hAnsi="Calibri" w:cs="Arial"/>
                <w:b/>
                <w:i/>
                <w:sz w:val="17"/>
                <w:szCs w:val="17"/>
                <w:lang w:val="hr-HR"/>
              </w:rPr>
              <w:t>Krediti po fer vrijednosti kroz dobit ili gubitak:</w:t>
            </w:r>
          </w:p>
        </w:tc>
        <w:tc>
          <w:tcPr>
            <w:tcW w:w="1417" w:type="dxa"/>
            <w:tcBorders>
              <w:top w:val="nil"/>
              <w:left w:val="nil"/>
              <w:right w:val="nil"/>
            </w:tcBorders>
            <w:shd w:val="clear" w:color="auto" w:fill="auto"/>
            <w:vAlign w:val="bottom"/>
          </w:tcPr>
          <w:p w:rsidR="000B54A1" w:rsidRPr="001567C8" w:rsidRDefault="000B54A1" w:rsidP="000B54A1">
            <w:pPr>
              <w:tabs>
                <w:tab w:val="right" w:pos="1202"/>
              </w:tabs>
              <w:jc w:val="right"/>
              <w:outlineLvl w:val="0"/>
              <w:rPr>
                <w:rFonts w:ascii="Calibri" w:hAnsi="Calibri" w:cs="Arial"/>
                <w:sz w:val="17"/>
                <w:szCs w:val="17"/>
                <w:lang w:val="hr-HR"/>
              </w:rPr>
            </w:pPr>
          </w:p>
        </w:tc>
        <w:tc>
          <w:tcPr>
            <w:tcW w:w="1418" w:type="dxa"/>
            <w:tcBorders>
              <w:top w:val="nil"/>
              <w:left w:val="nil"/>
              <w:right w:val="nil"/>
            </w:tcBorders>
            <w:shd w:val="clear" w:color="auto" w:fill="auto"/>
            <w:vAlign w:val="bottom"/>
          </w:tcPr>
          <w:p w:rsidR="000B54A1" w:rsidRPr="001567C8" w:rsidRDefault="000B54A1" w:rsidP="000B54A1">
            <w:pPr>
              <w:tabs>
                <w:tab w:val="right" w:pos="1202"/>
              </w:tabs>
              <w:jc w:val="right"/>
              <w:outlineLvl w:val="0"/>
              <w:rPr>
                <w:rFonts w:ascii="Calibri" w:hAnsi="Calibri" w:cs="Arial"/>
                <w:sz w:val="17"/>
                <w:szCs w:val="17"/>
                <w:lang w:val="hr-HR"/>
              </w:rPr>
            </w:pPr>
          </w:p>
        </w:tc>
        <w:tc>
          <w:tcPr>
            <w:tcW w:w="1417" w:type="dxa"/>
            <w:tcBorders>
              <w:top w:val="nil"/>
              <w:left w:val="nil"/>
              <w:right w:val="nil"/>
            </w:tcBorders>
            <w:shd w:val="clear" w:color="auto" w:fill="auto"/>
            <w:vAlign w:val="bottom"/>
          </w:tcPr>
          <w:p w:rsidR="000B54A1" w:rsidRPr="001567C8" w:rsidRDefault="000B54A1" w:rsidP="000B54A1">
            <w:pPr>
              <w:tabs>
                <w:tab w:val="right" w:pos="1202"/>
              </w:tabs>
              <w:jc w:val="right"/>
              <w:outlineLvl w:val="0"/>
              <w:rPr>
                <w:rFonts w:ascii="Calibri" w:hAnsi="Calibri" w:cs="Arial"/>
                <w:sz w:val="17"/>
                <w:szCs w:val="17"/>
                <w:lang w:val="hr-HR"/>
              </w:rPr>
            </w:pPr>
          </w:p>
        </w:tc>
      </w:tr>
      <w:tr w:rsidR="00DF6947" w:rsidRPr="001567C8" w:rsidTr="003C6BA3">
        <w:trPr>
          <w:trHeight w:hRule="exact" w:val="284"/>
          <w:jc w:val="center"/>
        </w:trPr>
        <w:tc>
          <w:tcPr>
            <w:tcW w:w="5104" w:type="dxa"/>
            <w:vAlign w:val="bottom"/>
          </w:tcPr>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sz w:val="17"/>
                <w:szCs w:val="17"/>
                <w:lang w:val="hr-HR"/>
              </w:rPr>
              <w:t>Mezzanine krediti</w:t>
            </w:r>
          </w:p>
        </w:tc>
        <w:tc>
          <w:tcPr>
            <w:tcW w:w="1417" w:type="dxa"/>
            <w:tcBorders>
              <w:top w:val="nil"/>
              <w:left w:val="nil"/>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8" w:type="dxa"/>
            <w:tcBorders>
              <w:top w:val="nil"/>
              <w:left w:val="nil"/>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7" w:type="dxa"/>
            <w:tcBorders>
              <w:top w:val="nil"/>
              <w:left w:val="nil"/>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2.045</w:t>
            </w:r>
          </w:p>
        </w:tc>
      </w:tr>
      <w:tr w:rsidR="00DF6947" w:rsidRPr="001567C8" w:rsidTr="003C6BA3">
        <w:trPr>
          <w:trHeight w:hRule="exact" w:val="340"/>
          <w:jc w:val="center"/>
        </w:trPr>
        <w:tc>
          <w:tcPr>
            <w:tcW w:w="5104" w:type="dxa"/>
            <w:vAlign w:val="bottom"/>
          </w:tcPr>
          <w:p w:rsidR="00DF6947" w:rsidRPr="001567C8" w:rsidRDefault="00DF6947" w:rsidP="00DF6947">
            <w:pPr>
              <w:tabs>
                <w:tab w:val="right" w:pos="1202"/>
              </w:tabs>
              <w:outlineLvl w:val="0"/>
              <w:rPr>
                <w:rFonts w:ascii="Calibri" w:hAnsi="Calibri" w:cs="Arial"/>
                <w:b/>
                <w:i/>
                <w:sz w:val="17"/>
                <w:szCs w:val="17"/>
                <w:lang w:val="hr-HR"/>
              </w:rPr>
            </w:pPr>
            <w:r w:rsidRPr="001567C8">
              <w:rPr>
                <w:rFonts w:ascii="Calibri" w:hAnsi="Calibri" w:cs="Arial"/>
                <w:b/>
                <w:i/>
                <w:sz w:val="17"/>
                <w:szCs w:val="17"/>
                <w:lang w:val="hr-HR"/>
              </w:rPr>
              <w:t>Ulaganja u investicijske fondove:</w:t>
            </w:r>
          </w:p>
        </w:tc>
        <w:tc>
          <w:tcPr>
            <w:tcW w:w="1417" w:type="dxa"/>
            <w:tcBorders>
              <w:top w:val="nil"/>
              <w:left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p>
        </w:tc>
        <w:tc>
          <w:tcPr>
            <w:tcW w:w="1418" w:type="dxa"/>
            <w:tcBorders>
              <w:top w:val="nil"/>
              <w:left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p>
        </w:tc>
        <w:tc>
          <w:tcPr>
            <w:tcW w:w="1417" w:type="dxa"/>
            <w:tcBorders>
              <w:top w:val="nil"/>
              <w:left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p>
        </w:tc>
      </w:tr>
      <w:tr w:rsidR="00DF6947" w:rsidRPr="001567C8" w:rsidTr="003C6BA3">
        <w:trPr>
          <w:trHeight w:hRule="exact" w:val="511"/>
          <w:jc w:val="center"/>
        </w:trPr>
        <w:tc>
          <w:tcPr>
            <w:tcW w:w="5104" w:type="dxa"/>
            <w:vAlign w:val="center"/>
          </w:tcPr>
          <w:p w:rsidR="00DF6947" w:rsidRPr="001567C8" w:rsidRDefault="00DF6947">
            <w:pPr>
              <w:tabs>
                <w:tab w:val="right" w:pos="1202"/>
              </w:tabs>
              <w:outlineLvl w:val="0"/>
              <w:rPr>
                <w:rFonts w:ascii="Calibri" w:hAnsi="Calibri" w:cs="Arial"/>
                <w:b/>
                <w:i/>
                <w:sz w:val="17"/>
                <w:szCs w:val="17"/>
                <w:lang w:val="hr-HR"/>
              </w:rPr>
            </w:pPr>
            <w:r w:rsidRPr="001567C8">
              <w:rPr>
                <w:rFonts w:ascii="Calibri" w:hAnsi="Calibri" w:cs="Arial"/>
                <w:sz w:val="17"/>
                <w:szCs w:val="17"/>
                <w:lang w:val="hr-HR"/>
              </w:rPr>
              <w:t>Udjeli u investicijskim fondovima po</w:t>
            </w:r>
            <w:r w:rsidR="008A2CC2" w:rsidRPr="00CD3A2D">
              <w:rPr>
                <w:lang w:val="hr-HR"/>
              </w:rPr>
              <w:t xml:space="preserve"> </w:t>
            </w:r>
            <w:r w:rsidR="008A2CC2" w:rsidRPr="001567C8">
              <w:rPr>
                <w:rFonts w:ascii="Calibri" w:hAnsi="Calibri" w:cs="Arial"/>
                <w:sz w:val="17"/>
                <w:szCs w:val="17"/>
                <w:lang w:val="hr-HR"/>
              </w:rPr>
              <w:t>fer vrijednosti kroz dobit ili gubitak</w:t>
            </w:r>
          </w:p>
        </w:tc>
        <w:tc>
          <w:tcPr>
            <w:tcW w:w="1417" w:type="dxa"/>
            <w:tcBorders>
              <w:top w:val="nil"/>
              <w:left w:val="nil"/>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328.597</w:t>
            </w:r>
          </w:p>
        </w:tc>
        <w:tc>
          <w:tcPr>
            <w:tcW w:w="1418" w:type="dxa"/>
            <w:tcBorders>
              <w:top w:val="nil"/>
              <w:left w:val="nil"/>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7" w:type="dxa"/>
            <w:tcBorders>
              <w:top w:val="nil"/>
              <w:left w:val="nil"/>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DF6947" w:rsidRPr="001567C8" w:rsidTr="003C6BA3">
        <w:trPr>
          <w:trHeight w:val="216"/>
          <w:jc w:val="center"/>
        </w:trPr>
        <w:tc>
          <w:tcPr>
            <w:tcW w:w="5104" w:type="dxa"/>
            <w:vAlign w:val="bottom"/>
          </w:tcPr>
          <w:p w:rsidR="00DF6947" w:rsidRPr="001567C8" w:rsidRDefault="00DF6947" w:rsidP="00DF6947">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Vlasnički vrijednosni papiri:</w:t>
            </w:r>
          </w:p>
          <w:p w:rsidR="00DF6947" w:rsidRPr="001567C8" w:rsidRDefault="00DF6947" w:rsidP="00DF6947">
            <w:pPr>
              <w:tabs>
                <w:tab w:val="right" w:pos="1202"/>
              </w:tabs>
              <w:outlineLvl w:val="0"/>
              <w:rPr>
                <w:rFonts w:ascii="Calibri" w:hAnsi="Calibri" w:cs="Arial"/>
                <w:b/>
                <w:i/>
                <w:spacing w:val="-2"/>
                <w:sz w:val="17"/>
                <w:szCs w:val="17"/>
                <w:lang w:val="hr-HR"/>
              </w:rPr>
            </w:pPr>
            <w:r w:rsidRPr="001567C8">
              <w:rPr>
                <w:rFonts w:ascii="Calibri" w:hAnsi="Calibri" w:cs="Arial"/>
                <w:b/>
                <w:i/>
                <w:spacing w:val="-2"/>
                <w:sz w:val="17"/>
                <w:szCs w:val="17"/>
                <w:lang w:val="hr-HR"/>
              </w:rPr>
              <w:t>Vlasnički vrijednosni papiri koji kotiraju:</w:t>
            </w:r>
          </w:p>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trgovačkih društava</w:t>
            </w:r>
          </w:p>
        </w:tc>
        <w:tc>
          <w:tcPr>
            <w:tcW w:w="1417" w:type="dxa"/>
            <w:tcBorders>
              <w:top w:val="nil"/>
              <w:left w:val="nil"/>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8" w:type="dxa"/>
            <w:tcBorders>
              <w:top w:val="nil"/>
              <w:left w:val="nil"/>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7" w:type="dxa"/>
            <w:tcBorders>
              <w:top w:val="nil"/>
              <w:left w:val="nil"/>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DF6947" w:rsidRPr="001567C8" w:rsidTr="003C6BA3">
        <w:trPr>
          <w:trHeight w:val="216"/>
          <w:jc w:val="center"/>
        </w:trPr>
        <w:tc>
          <w:tcPr>
            <w:tcW w:w="5104" w:type="dxa"/>
            <w:vAlign w:val="bottom"/>
          </w:tcPr>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b/>
                <w:i/>
                <w:spacing w:val="-2"/>
                <w:sz w:val="17"/>
                <w:szCs w:val="17"/>
                <w:lang w:val="hr-HR"/>
              </w:rPr>
              <w:t>Vlasnički vrijednosni papiri koji ne kotiraju:</w:t>
            </w:r>
          </w:p>
        </w:tc>
        <w:tc>
          <w:tcPr>
            <w:tcW w:w="1417" w:type="dxa"/>
            <w:tcBorders>
              <w:left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p>
        </w:tc>
        <w:tc>
          <w:tcPr>
            <w:tcW w:w="1418" w:type="dxa"/>
            <w:tcBorders>
              <w:top w:val="nil"/>
              <w:left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p>
        </w:tc>
        <w:tc>
          <w:tcPr>
            <w:tcW w:w="1417" w:type="dxa"/>
            <w:tcBorders>
              <w:top w:val="nil"/>
              <w:left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p>
        </w:tc>
      </w:tr>
      <w:tr w:rsidR="00DF6947" w:rsidRPr="001567C8" w:rsidTr="003C6BA3">
        <w:trPr>
          <w:trHeight w:hRule="exact" w:val="284"/>
          <w:jc w:val="center"/>
        </w:trPr>
        <w:tc>
          <w:tcPr>
            <w:tcW w:w="5104" w:type="dxa"/>
            <w:vAlign w:val="bottom"/>
          </w:tcPr>
          <w:p w:rsidR="00DF6947" w:rsidRPr="001567C8" w:rsidRDefault="00DF6947" w:rsidP="00DF6947">
            <w:pPr>
              <w:tabs>
                <w:tab w:val="right" w:pos="1202"/>
              </w:tabs>
              <w:outlineLvl w:val="0"/>
              <w:rPr>
                <w:rFonts w:ascii="Calibri" w:hAnsi="Calibri" w:cs="Arial"/>
                <w:b/>
                <w:i/>
                <w:spacing w:val="-2"/>
                <w:sz w:val="17"/>
                <w:szCs w:val="17"/>
                <w:lang w:val="hr-HR"/>
              </w:rPr>
            </w:pPr>
            <w:r w:rsidRPr="001567C8">
              <w:rPr>
                <w:rFonts w:ascii="Calibri" w:hAnsi="Calibri" w:cs="Arial"/>
                <w:sz w:val="17"/>
                <w:szCs w:val="17"/>
                <w:lang w:val="hr-HR"/>
              </w:rPr>
              <w:t>Dionice trgovačkih društava</w:t>
            </w:r>
          </w:p>
        </w:tc>
        <w:tc>
          <w:tcPr>
            <w:tcW w:w="1417" w:type="dxa"/>
            <w:tcBorders>
              <w:left w:val="nil"/>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8" w:type="dxa"/>
            <w:tcBorders>
              <w:top w:val="nil"/>
              <w:left w:val="nil"/>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7" w:type="dxa"/>
            <w:tcBorders>
              <w:top w:val="nil"/>
              <w:left w:val="nil"/>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DF6947" w:rsidRPr="001567C8" w:rsidTr="003C6BA3">
        <w:trPr>
          <w:trHeight w:hRule="exact" w:val="284"/>
          <w:jc w:val="center"/>
        </w:trPr>
        <w:tc>
          <w:tcPr>
            <w:tcW w:w="5104" w:type="dxa"/>
            <w:vAlign w:val="bottom"/>
          </w:tcPr>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financijskih institucija</w:t>
            </w:r>
          </w:p>
        </w:tc>
        <w:tc>
          <w:tcPr>
            <w:tcW w:w="1417" w:type="dxa"/>
            <w:tcBorders>
              <w:top w:val="nil"/>
              <w:left w:val="nil"/>
              <w:bottom w:val="single" w:sz="4" w:space="0" w:color="auto"/>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8" w:type="dxa"/>
            <w:tcBorders>
              <w:top w:val="nil"/>
              <w:left w:val="nil"/>
              <w:bottom w:val="single" w:sz="4" w:space="0" w:color="auto"/>
              <w:right w:val="nil"/>
            </w:tcBorders>
            <w:shd w:val="clear" w:color="auto" w:fill="auto"/>
            <w:vAlign w:val="bottom"/>
          </w:tcPr>
          <w:p w:rsidR="00DF6947" w:rsidRPr="001567C8" w:rsidRDefault="006C28B0"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161</w:t>
            </w:r>
          </w:p>
        </w:tc>
        <w:tc>
          <w:tcPr>
            <w:tcW w:w="1417" w:type="dxa"/>
            <w:tcBorders>
              <w:top w:val="nil"/>
              <w:left w:val="nil"/>
              <w:bottom w:val="single" w:sz="4" w:space="0" w:color="auto"/>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DF6947" w:rsidRPr="001567C8" w:rsidTr="003C6BA3">
        <w:trPr>
          <w:trHeight w:val="273"/>
          <w:jc w:val="center"/>
        </w:trPr>
        <w:tc>
          <w:tcPr>
            <w:tcW w:w="5104" w:type="dxa"/>
            <w:vAlign w:val="bottom"/>
          </w:tcPr>
          <w:p w:rsidR="00DF6947" w:rsidRPr="001567C8" w:rsidRDefault="00DF6947" w:rsidP="00DF6947">
            <w:pPr>
              <w:tabs>
                <w:tab w:val="right" w:pos="1202"/>
              </w:tabs>
              <w:outlineLvl w:val="0"/>
              <w:rPr>
                <w:rFonts w:ascii="Calibri" w:hAnsi="Calibri" w:cs="Arial"/>
                <w:sz w:val="17"/>
                <w:szCs w:val="17"/>
                <w:lang w:val="hr-HR"/>
              </w:rPr>
            </w:pPr>
            <w:r w:rsidRPr="001567C8">
              <w:rPr>
                <w:rFonts w:ascii="Calibri" w:hAnsi="Calibri" w:cs="Arial"/>
                <w:b/>
                <w:sz w:val="17"/>
                <w:szCs w:val="17"/>
                <w:lang w:val="hr-HR"/>
              </w:rPr>
              <w:t>Ukupno financijska imovina po fer vrijednosti kroz dobit i</w:t>
            </w:r>
            <w:r w:rsidR="008A2CC2" w:rsidRPr="001567C8">
              <w:rPr>
                <w:rFonts w:ascii="Calibri" w:hAnsi="Calibri" w:cs="Arial"/>
                <w:b/>
                <w:sz w:val="17"/>
                <w:szCs w:val="17"/>
                <w:lang w:val="hr-HR"/>
              </w:rPr>
              <w:t>li</w:t>
            </w:r>
            <w:r w:rsidRPr="001567C8">
              <w:rPr>
                <w:rFonts w:ascii="Calibri" w:hAnsi="Calibri" w:cs="Arial"/>
                <w:b/>
                <w:sz w:val="17"/>
                <w:szCs w:val="17"/>
                <w:lang w:val="hr-HR"/>
              </w:rPr>
              <w:t xml:space="preserve"> gubit</w:t>
            </w:r>
            <w:r w:rsidR="008A2CC2" w:rsidRPr="001567C8">
              <w:rPr>
                <w:rFonts w:ascii="Calibri" w:hAnsi="Calibri" w:cs="Arial"/>
                <w:b/>
                <w:sz w:val="17"/>
                <w:szCs w:val="17"/>
                <w:lang w:val="hr-HR"/>
              </w:rPr>
              <w:t>ak</w:t>
            </w:r>
          </w:p>
        </w:tc>
        <w:tc>
          <w:tcPr>
            <w:tcW w:w="1417" w:type="dxa"/>
            <w:tcBorders>
              <w:top w:val="single" w:sz="4" w:space="0" w:color="auto"/>
              <w:left w:val="nil"/>
              <w:bottom w:val="single" w:sz="12" w:space="0" w:color="auto"/>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b/>
                <w:sz w:val="17"/>
                <w:szCs w:val="17"/>
                <w:lang w:val="hr-HR"/>
              </w:rPr>
            </w:pPr>
            <w:r w:rsidRPr="001567C8">
              <w:rPr>
                <w:rFonts w:ascii="Calibri" w:hAnsi="Calibri" w:cs="Arial"/>
                <w:b/>
                <w:sz w:val="17"/>
                <w:szCs w:val="17"/>
                <w:lang w:val="hr-HR"/>
              </w:rPr>
              <w:t>328.597</w:t>
            </w:r>
          </w:p>
        </w:tc>
        <w:tc>
          <w:tcPr>
            <w:tcW w:w="1418" w:type="dxa"/>
            <w:tcBorders>
              <w:top w:val="single" w:sz="4" w:space="0" w:color="auto"/>
              <w:left w:val="nil"/>
              <w:bottom w:val="single" w:sz="12" w:space="0" w:color="auto"/>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b/>
                <w:sz w:val="17"/>
                <w:szCs w:val="17"/>
                <w:lang w:val="hr-HR"/>
              </w:rPr>
            </w:pPr>
            <w:r w:rsidRPr="001567C8">
              <w:rPr>
                <w:rFonts w:ascii="Calibri" w:hAnsi="Calibri" w:cs="Arial"/>
                <w:b/>
                <w:sz w:val="17"/>
                <w:szCs w:val="17"/>
                <w:lang w:val="hr-HR"/>
              </w:rPr>
              <w:t>161</w:t>
            </w:r>
          </w:p>
        </w:tc>
        <w:tc>
          <w:tcPr>
            <w:tcW w:w="1417" w:type="dxa"/>
            <w:tcBorders>
              <w:top w:val="single" w:sz="4" w:space="0" w:color="auto"/>
              <w:left w:val="nil"/>
              <w:bottom w:val="single" w:sz="12" w:space="0" w:color="auto"/>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b/>
                <w:sz w:val="17"/>
                <w:szCs w:val="17"/>
                <w:lang w:val="hr-HR"/>
              </w:rPr>
            </w:pPr>
            <w:r w:rsidRPr="001567C8">
              <w:rPr>
                <w:rFonts w:ascii="Calibri" w:hAnsi="Calibri" w:cs="Arial"/>
                <w:b/>
                <w:sz w:val="17"/>
                <w:szCs w:val="17"/>
                <w:lang w:val="hr-HR"/>
              </w:rPr>
              <w:t>2.045</w:t>
            </w:r>
          </w:p>
        </w:tc>
      </w:tr>
      <w:tr w:rsidR="00DF6947" w:rsidRPr="001567C8" w:rsidTr="003C6BA3">
        <w:trPr>
          <w:trHeight w:val="441"/>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b/>
                <w:spacing w:val="-2"/>
                <w:sz w:val="17"/>
                <w:szCs w:val="17"/>
                <w:lang w:val="hr-HR"/>
              </w:rPr>
            </w:pPr>
            <w:r w:rsidRPr="001567C8">
              <w:rPr>
                <w:rFonts w:ascii="Calibri" w:hAnsi="Calibri" w:cs="Arial"/>
                <w:b/>
                <w:spacing w:val="-2"/>
                <w:sz w:val="17"/>
                <w:szCs w:val="17"/>
                <w:lang w:val="hr-HR"/>
              </w:rPr>
              <w:t>Financijska imovina po fer vrijednosti kroz ostalu sveobuhvatnu dobit:</w:t>
            </w:r>
          </w:p>
        </w:tc>
        <w:tc>
          <w:tcPr>
            <w:tcW w:w="1417" w:type="dxa"/>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1418" w:type="dxa"/>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1417" w:type="dxa"/>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3C6BA3">
        <w:trPr>
          <w:trHeight w:val="291"/>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b/>
                <w:spacing w:val="-2"/>
                <w:sz w:val="17"/>
                <w:szCs w:val="17"/>
                <w:lang w:val="hr-HR"/>
              </w:rPr>
            </w:pPr>
            <w:r w:rsidRPr="001567C8">
              <w:rPr>
                <w:rFonts w:ascii="Calibri" w:hAnsi="Calibri" w:cs="Arial"/>
                <w:b/>
                <w:spacing w:val="-2"/>
                <w:sz w:val="17"/>
                <w:szCs w:val="17"/>
                <w:lang w:val="hr-HR"/>
              </w:rPr>
              <w:t>Dužnički vrijednosni papiri:</w:t>
            </w:r>
          </w:p>
        </w:tc>
        <w:tc>
          <w:tcPr>
            <w:tcW w:w="1417" w:type="dxa"/>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1418" w:type="dxa"/>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1417" w:type="dxa"/>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3C6BA3">
        <w:trPr>
          <w:trHeight w:val="291"/>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b/>
                <w:i/>
                <w:spacing w:val="-2"/>
                <w:sz w:val="17"/>
                <w:szCs w:val="17"/>
                <w:lang w:val="hr-HR"/>
              </w:rPr>
            </w:pPr>
            <w:r w:rsidRPr="001567C8">
              <w:rPr>
                <w:rFonts w:ascii="Calibri" w:hAnsi="Calibri" w:cs="Arial"/>
                <w:b/>
                <w:i/>
                <w:spacing w:val="-2"/>
                <w:sz w:val="17"/>
                <w:szCs w:val="17"/>
                <w:lang w:val="hr-HR"/>
              </w:rPr>
              <w:t>Dužnički vrijednosni papiri koji kotiraju:</w:t>
            </w:r>
          </w:p>
        </w:tc>
        <w:tc>
          <w:tcPr>
            <w:tcW w:w="1417" w:type="dxa"/>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1418" w:type="dxa"/>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1417" w:type="dxa"/>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EF1003" w:rsidRPr="001567C8" w:rsidTr="003C6BA3">
        <w:trPr>
          <w:trHeight w:hRule="exact" w:val="284"/>
          <w:jc w:val="center"/>
        </w:trPr>
        <w:tc>
          <w:tcPr>
            <w:tcW w:w="5104" w:type="dxa"/>
            <w:shd w:val="clear" w:color="auto" w:fill="auto"/>
            <w:vAlign w:val="bottom"/>
          </w:tcPr>
          <w:p w:rsidR="00EF1003" w:rsidRPr="001567C8" w:rsidRDefault="00EF1003" w:rsidP="00EF1003">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Obveznice Republike Hrvatske</w:t>
            </w:r>
          </w:p>
        </w:tc>
        <w:tc>
          <w:tcPr>
            <w:tcW w:w="1417" w:type="dxa"/>
            <w:tcBorders>
              <w:top w:val="nil"/>
              <w:left w:val="nil"/>
              <w:bottom w:val="nil"/>
              <w:right w:val="nil"/>
            </w:tcBorders>
            <w:shd w:val="clear" w:color="auto" w:fill="auto"/>
            <w:vAlign w:val="bottom"/>
          </w:tcPr>
          <w:p w:rsidR="00EF1003" w:rsidRPr="00CD3A2D" w:rsidRDefault="00D95C8A" w:rsidP="00EF1003">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1.088.457</w:t>
            </w:r>
          </w:p>
        </w:tc>
        <w:tc>
          <w:tcPr>
            <w:tcW w:w="1418"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7"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EF1003" w:rsidRPr="001567C8" w:rsidTr="003C6BA3">
        <w:trPr>
          <w:trHeight w:hRule="exact" w:val="284"/>
          <w:jc w:val="center"/>
        </w:trPr>
        <w:tc>
          <w:tcPr>
            <w:tcW w:w="5104" w:type="dxa"/>
            <w:shd w:val="clear" w:color="auto" w:fill="auto"/>
            <w:vAlign w:val="bottom"/>
          </w:tcPr>
          <w:p w:rsidR="00EF1003" w:rsidRPr="001567C8" w:rsidRDefault="00EF1003" w:rsidP="00EF1003">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Trezorski zapisi Ministarstva financija</w:t>
            </w:r>
          </w:p>
        </w:tc>
        <w:tc>
          <w:tcPr>
            <w:tcW w:w="1417" w:type="dxa"/>
            <w:tcBorders>
              <w:top w:val="nil"/>
              <w:left w:val="nil"/>
              <w:bottom w:val="nil"/>
              <w:right w:val="nil"/>
            </w:tcBorders>
            <w:shd w:val="clear" w:color="auto" w:fill="auto"/>
            <w:vAlign w:val="bottom"/>
          </w:tcPr>
          <w:p w:rsidR="00EF1003" w:rsidRPr="00CD3A2D" w:rsidRDefault="00EF1003" w:rsidP="00EF1003">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1.666.299</w:t>
            </w:r>
          </w:p>
        </w:tc>
        <w:tc>
          <w:tcPr>
            <w:tcW w:w="1418"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7"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EF1003" w:rsidRPr="001567C8" w:rsidTr="003C6BA3">
        <w:trPr>
          <w:trHeight w:hRule="exact" w:val="284"/>
          <w:jc w:val="center"/>
        </w:trPr>
        <w:tc>
          <w:tcPr>
            <w:tcW w:w="5104" w:type="dxa"/>
            <w:shd w:val="clear" w:color="auto" w:fill="auto"/>
            <w:vAlign w:val="bottom"/>
          </w:tcPr>
          <w:p w:rsidR="00EF1003" w:rsidRPr="001567C8" w:rsidRDefault="00EF1003" w:rsidP="00EF1003">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 xml:space="preserve">Obračunana kamata </w:t>
            </w:r>
          </w:p>
        </w:tc>
        <w:tc>
          <w:tcPr>
            <w:tcW w:w="1417" w:type="dxa"/>
            <w:tcBorders>
              <w:top w:val="nil"/>
              <w:left w:val="nil"/>
              <w:bottom w:val="nil"/>
              <w:right w:val="nil"/>
            </w:tcBorders>
            <w:shd w:val="clear" w:color="auto" w:fill="auto"/>
            <w:vAlign w:val="bottom"/>
          </w:tcPr>
          <w:p w:rsidR="00EF1003" w:rsidRPr="00CD3A2D" w:rsidRDefault="00D95C8A" w:rsidP="00EF1003">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10.839</w:t>
            </w:r>
          </w:p>
        </w:tc>
        <w:tc>
          <w:tcPr>
            <w:tcW w:w="1418"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7"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r>
      <w:tr w:rsidR="00DF6947" w:rsidRPr="001567C8" w:rsidTr="003C6BA3">
        <w:trPr>
          <w:trHeight w:val="291"/>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b/>
                <w:i/>
                <w:spacing w:val="-2"/>
                <w:sz w:val="17"/>
                <w:szCs w:val="17"/>
                <w:lang w:val="hr-HR"/>
              </w:rPr>
            </w:pPr>
            <w:r w:rsidRPr="001567C8">
              <w:rPr>
                <w:rFonts w:ascii="Calibri" w:hAnsi="Calibri" w:cs="Arial"/>
                <w:b/>
                <w:i/>
                <w:spacing w:val="-2"/>
                <w:sz w:val="17"/>
                <w:szCs w:val="17"/>
                <w:lang w:val="hr-HR"/>
              </w:rPr>
              <w:t>Dužnički vrijednosni papiri koji ne kotiraju:</w:t>
            </w:r>
          </w:p>
        </w:tc>
        <w:tc>
          <w:tcPr>
            <w:tcW w:w="1417" w:type="dxa"/>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z w:val="17"/>
                <w:szCs w:val="17"/>
                <w:lang w:val="hr-HR"/>
              </w:rPr>
            </w:pPr>
          </w:p>
        </w:tc>
        <w:tc>
          <w:tcPr>
            <w:tcW w:w="1418" w:type="dxa"/>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p>
        </w:tc>
        <w:tc>
          <w:tcPr>
            <w:tcW w:w="1417" w:type="dxa"/>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hAnsi="Calibri" w:cs="Arial"/>
                <w:spacing w:val="-2"/>
                <w:sz w:val="17"/>
                <w:szCs w:val="17"/>
                <w:lang w:val="hr-HR"/>
              </w:rPr>
            </w:pPr>
          </w:p>
        </w:tc>
      </w:tr>
      <w:tr w:rsidR="00DF6947" w:rsidRPr="001567C8" w:rsidTr="003C6BA3">
        <w:trPr>
          <w:trHeight w:hRule="exact" w:val="284"/>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 xml:space="preserve">Obveznice trgovačkih društava </w:t>
            </w:r>
          </w:p>
        </w:tc>
        <w:tc>
          <w:tcPr>
            <w:tcW w:w="1417" w:type="dxa"/>
            <w:tcBorders>
              <w:top w:val="nil"/>
              <w:left w:val="nil"/>
              <w:bottom w:val="nil"/>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8" w:type="dxa"/>
            <w:tcBorders>
              <w:top w:val="nil"/>
              <w:left w:val="nil"/>
              <w:bottom w:val="nil"/>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7" w:type="dxa"/>
            <w:tcBorders>
              <w:top w:val="nil"/>
              <w:left w:val="nil"/>
              <w:bottom w:val="nil"/>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pacing w:val="-2"/>
                <w:sz w:val="17"/>
                <w:szCs w:val="17"/>
                <w:lang w:val="hr-HR"/>
              </w:rPr>
            </w:pPr>
            <w:r w:rsidRPr="001567C8">
              <w:rPr>
                <w:rFonts w:ascii="Calibri" w:hAnsi="Calibri" w:cs="Arial"/>
                <w:spacing w:val="-2"/>
                <w:sz w:val="17"/>
                <w:szCs w:val="17"/>
                <w:lang w:val="hr-HR"/>
              </w:rPr>
              <w:t>535</w:t>
            </w:r>
          </w:p>
        </w:tc>
      </w:tr>
      <w:tr w:rsidR="00DF6947" w:rsidRPr="001567C8" w:rsidTr="003C6BA3">
        <w:trPr>
          <w:trHeight w:hRule="exact" w:val="284"/>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spacing w:val="-2"/>
                <w:sz w:val="17"/>
                <w:szCs w:val="17"/>
                <w:lang w:val="hr-HR"/>
              </w:rPr>
            </w:pPr>
            <w:r w:rsidRPr="001567C8">
              <w:rPr>
                <w:rFonts w:ascii="Calibri" w:hAnsi="Calibri" w:cs="Arial"/>
                <w:spacing w:val="-2"/>
                <w:sz w:val="17"/>
                <w:szCs w:val="17"/>
                <w:lang w:val="hr-HR"/>
              </w:rPr>
              <w:t>Obračunata kamata</w:t>
            </w:r>
          </w:p>
        </w:tc>
        <w:tc>
          <w:tcPr>
            <w:tcW w:w="1417" w:type="dxa"/>
            <w:tcBorders>
              <w:top w:val="nil"/>
              <w:left w:val="nil"/>
              <w:bottom w:val="nil"/>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8" w:type="dxa"/>
            <w:tcBorders>
              <w:top w:val="nil"/>
              <w:left w:val="nil"/>
              <w:bottom w:val="nil"/>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z w:val="17"/>
                <w:szCs w:val="17"/>
                <w:lang w:val="hr-HR"/>
              </w:rPr>
            </w:pPr>
            <w:r w:rsidRPr="001567C8">
              <w:rPr>
                <w:rFonts w:ascii="Calibri" w:hAnsi="Calibri" w:cs="Arial"/>
                <w:sz w:val="17"/>
                <w:szCs w:val="17"/>
                <w:lang w:val="hr-HR"/>
              </w:rPr>
              <w:t>-</w:t>
            </w:r>
          </w:p>
        </w:tc>
        <w:tc>
          <w:tcPr>
            <w:tcW w:w="1417" w:type="dxa"/>
            <w:tcBorders>
              <w:top w:val="nil"/>
              <w:left w:val="nil"/>
              <w:bottom w:val="single" w:sz="4" w:space="0" w:color="auto"/>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spacing w:val="-2"/>
                <w:sz w:val="17"/>
                <w:szCs w:val="17"/>
                <w:lang w:val="hr-HR"/>
              </w:rPr>
            </w:pPr>
            <w:r w:rsidRPr="001567C8">
              <w:rPr>
                <w:rFonts w:ascii="Calibri" w:hAnsi="Calibri" w:cs="Arial"/>
                <w:spacing w:val="-2"/>
                <w:sz w:val="17"/>
                <w:szCs w:val="17"/>
                <w:lang w:val="hr-HR"/>
              </w:rPr>
              <w:t>233</w:t>
            </w:r>
          </w:p>
        </w:tc>
      </w:tr>
      <w:tr w:rsidR="00DF6947" w:rsidRPr="001567C8" w:rsidTr="003C6BA3">
        <w:trPr>
          <w:trHeight w:hRule="exact" w:val="340"/>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b/>
                <w:spacing w:val="-2"/>
                <w:sz w:val="17"/>
                <w:szCs w:val="17"/>
                <w:lang w:val="hr-HR"/>
              </w:rPr>
            </w:pPr>
            <w:r w:rsidRPr="001567C8">
              <w:rPr>
                <w:rFonts w:ascii="Calibri" w:hAnsi="Calibri" w:cs="Arial"/>
                <w:b/>
                <w:spacing w:val="-2"/>
                <w:sz w:val="17"/>
                <w:szCs w:val="17"/>
                <w:lang w:val="hr-HR"/>
              </w:rPr>
              <w:t>Ukupno dužnički vrijednosni papiri</w:t>
            </w:r>
          </w:p>
        </w:tc>
        <w:tc>
          <w:tcPr>
            <w:tcW w:w="1417" w:type="dxa"/>
            <w:tcBorders>
              <w:top w:val="single" w:sz="4" w:space="0" w:color="auto"/>
              <w:left w:val="nil"/>
              <w:bottom w:val="single" w:sz="12" w:space="0" w:color="auto"/>
              <w:right w:val="nil"/>
            </w:tcBorders>
            <w:shd w:val="clear" w:color="auto" w:fill="auto"/>
            <w:vAlign w:val="bottom"/>
          </w:tcPr>
          <w:p w:rsidR="00DF6947" w:rsidRPr="001567C8" w:rsidRDefault="00D95C8A" w:rsidP="00DF6947">
            <w:pPr>
              <w:tabs>
                <w:tab w:val="right" w:pos="1202"/>
              </w:tabs>
              <w:jc w:val="right"/>
              <w:outlineLvl w:val="0"/>
              <w:rPr>
                <w:rFonts w:ascii="Calibri" w:hAnsi="Calibri" w:cs="Arial"/>
                <w:b/>
                <w:noProof/>
                <w:spacing w:val="-2"/>
                <w:sz w:val="17"/>
                <w:szCs w:val="17"/>
                <w:lang w:val="hr-HR" w:eastAsia="hr-HR"/>
              </w:rPr>
            </w:pPr>
            <w:r w:rsidRPr="001567C8">
              <w:rPr>
                <w:rFonts w:ascii="Calibri" w:hAnsi="Calibri" w:cs="Arial"/>
                <w:b/>
                <w:noProof/>
                <w:spacing w:val="-2"/>
                <w:sz w:val="17"/>
                <w:szCs w:val="17"/>
                <w:lang w:val="hr-HR" w:eastAsia="hr-HR"/>
              </w:rPr>
              <w:t>2.765.595</w:t>
            </w:r>
          </w:p>
        </w:tc>
        <w:tc>
          <w:tcPr>
            <w:tcW w:w="1418" w:type="dxa"/>
            <w:tcBorders>
              <w:top w:val="single" w:sz="4" w:space="0" w:color="auto"/>
              <w:left w:val="nil"/>
              <w:bottom w:val="single" w:sz="12" w:space="0" w:color="auto"/>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noProof/>
                <w:spacing w:val="-2"/>
                <w:sz w:val="17"/>
                <w:szCs w:val="17"/>
                <w:lang w:val="hr-HR" w:eastAsia="hr-HR"/>
              </w:rPr>
            </w:pPr>
            <w:r w:rsidRPr="001567C8">
              <w:rPr>
                <w:rFonts w:ascii="Calibri" w:hAnsi="Calibri" w:cs="Arial"/>
                <w:noProof/>
                <w:spacing w:val="-2"/>
                <w:sz w:val="17"/>
                <w:szCs w:val="17"/>
                <w:lang w:val="hr-HR" w:eastAsia="hr-HR"/>
              </w:rPr>
              <w:t>-</w:t>
            </w:r>
          </w:p>
        </w:tc>
        <w:tc>
          <w:tcPr>
            <w:tcW w:w="1417" w:type="dxa"/>
            <w:tcBorders>
              <w:top w:val="single" w:sz="4" w:space="0" w:color="auto"/>
              <w:left w:val="nil"/>
              <w:bottom w:val="single" w:sz="12" w:space="0" w:color="auto"/>
              <w:right w:val="nil"/>
            </w:tcBorders>
            <w:shd w:val="clear" w:color="auto" w:fill="auto"/>
            <w:vAlign w:val="bottom"/>
          </w:tcPr>
          <w:p w:rsidR="00DF6947" w:rsidRPr="001567C8" w:rsidRDefault="00EF1003" w:rsidP="00DF6947">
            <w:pPr>
              <w:tabs>
                <w:tab w:val="right" w:pos="1202"/>
              </w:tabs>
              <w:jc w:val="right"/>
              <w:outlineLvl w:val="0"/>
              <w:rPr>
                <w:rFonts w:ascii="Calibri" w:hAnsi="Calibri" w:cs="Arial"/>
                <w:b/>
                <w:noProof/>
                <w:spacing w:val="-2"/>
                <w:sz w:val="17"/>
                <w:szCs w:val="17"/>
                <w:lang w:val="hr-HR" w:eastAsia="hr-HR"/>
              </w:rPr>
            </w:pPr>
            <w:r w:rsidRPr="001567C8">
              <w:rPr>
                <w:rFonts w:ascii="Calibri" w:hAnsi="Calibri" w:cs="Arial"/>
                <w:b/>
                <w:noProof/>
                <w:spacing w:val="-2"/>
                <w:sz w:val="17"/>
                <w:szCs w:val="17"/>
                <w:lang w:val="hr-HR" w:eastAsia="hr-HR"/>
              </w:rPr>
              <w:t>768</w:t>
            </w:r>
          </w:p>
        </w:tc>
      </w:tr>
      <w:tr w:rsidR="00DF6947" w:rsidRPr="001567C8" w:rsidTr="003C6BA3">
        <w:trPr>
          <w:trHeight w:hRule="exact" w:val="340"/>
          <w:jc w:val="center"/>
        </w:trPr>
        <w:tc>
          <w:tcPr>
            <w:tcW w:w="5104" w:type="dxa"/>
            <w:shd w:val="clear" w:color="auto" w:fill="auto"/>
            <w:vAlign w:val="bottom"/>
          </w:tcPr>
          <w:p w:rsidR="00DF6947" w:rsidRPr="001567C8" w:rsidRDefault="00DF6947" w:rsidP="00DF6947">
            <w:pPr>
              <w:tabs>
                <w:tab w:val="right" w:pos="1202"/>
              </w:tabs>
              <w:outlineLvl w:val="0"/>
              <w:rPr>
                <w:rFonts w:ascii="Calibri" w:hAnsi="Calibri" w:cs="Arial"/>
                <w:b/>
                <w:i/>
                <w:spacing w:val="-2"/>
                <w:sz w:val="17"/>
                <w:szCs w:val="17"/>
                <w:lang w:val="hr-HR"/>
              </w:rPr>
            </w:pPr>
            <w:r w:rsidRPr="001567C8">
              <w:rPr>
                <w:rFonts w:ascii="Calibri" w:hAnsi="Calibri" w:cs="Arial"/>
                <w:b/>
                <w:i/>
                <w:spacing w:val="-2"/>
                <w:sz w:val="17"/>
                <w:szCs w:val="17"/>
                <w:lang w:val="hr-HR"/>
              </w:rPr>
              <w:t>Vlasnički vrijednosni papiri koji ne kotiraju:</w:t>
            </w:r>
          </w:p>
        </w:tc>
        <w:tc>
          <w:tcPr>
            <w:tcW w:w="1417" w:type="dxa"/>
            <w:tcBorders>
              <w:top w:val="single" w:sz="12"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1418" w:type="dxa"/>
            <w:tcBorders>
              <w:top w:val="single" w:sz="12"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c>
          <w:tcPr>
            <w:tcW w:w="1417" w:type="dxa"/>
            <w:tcBorders>
              <w:top w:val="single" w:sz="12" w:space="0" w:color="auto"/>
            </w:tcBorders>
            <w:vAlign w:val="bottom"/>
          </w:tcPr>
          <w:p w:rsidR="00DF6947" w:rsidRPr="001567C8" w:rsidDel="00561A80" w:rsidRDefault="00DF6947" w:rsidP="00DF6947">
            <w:pPr>
              <w:tabs>
                <w:tab w:val="right" w:pos="1202"/>
              </w:tabs>
              <w:jc w:val="right"/>
              <w:outlineLvl w:val="0"/>
              <w:rPr>
                <w:rFonts w:ascii="Calibri" w:hAnsi="Calibri" w:cs="Arial"/>
                <w:spacing w:val="-2"/>
                <w:sz w:val="17"/>
                <w:szCs w:val="17"/>
                <w:lang w:val="hr-HR"/>
              </w:rPr>
            </w:pPr>
          </w:p>
        </w:tc>
      </w:tr>
      <w:tr w:rsidR="00EF1003" w:rsidRPr="001567C8" w:rsidTr="003C6BA3">
        <w:trPr>
          <w:trHeight w:hRule="exact" w:val="284"/>
          <w:jc w:val="center"/>
        </w:trPr>
        <w:tc>
          <w:tcPr>
            <w:tcW w:w="5104" w:type="dxa"/>
            <w:shd w:val="clear" w:color="auto" w:fill="auto"/>
            <w:vAlign w:val="bottom"/>
          </w:tcPr>
          <w:p w:rsidR="00EF1003" w:rsidRPr="001567C8" w:rsidRDefault="00EF1003" w:rsidP="00EF1003">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inozemnih pravnih osoba</w:t>
            </w:r>
          </w:p>
        </w:tc>
        <w:tc>
          <w:tcPr>
            <w:tcW w:w="1417"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c>
          <w:tcPr>
            <w:tcW w:w="1418"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38</w:t>
            </w:r>
          </w:p>
        </w:tc>
        <w:tc>
          <w:tcPr>
            <w:tcW w:w="1417"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r>
      <w:tr w:rsidR="00EF1003" w:rsidRPr="001567C8" w:rsidTr="003C6BA3">
        <w:trPr>
          <w:trHeight w:hRule="exact" w:val="284"/>
          <w:jc w:val="center"/>
        </w:trPr>
        <w:tc>
          <w:tcPr>
            <w:tcW w:w="5104" w:type="dxa"/>
            <w:shd w:val="clear" w:color="auto" w:fill="auto"/>
            <w:vAlign w:val="bottom"/>
          </w:tcPr>
          <w:p w:rsidR="00EF1003" w:rsidRPr="001567C8" w:rsidRDefault="00EF1003" w:rsidP="00EF1003">
            <w:pPr>
              <w:tabs>
                <w:tab w:val="right" w:pos="1202"/>
              </w:tabs>
              <w:outlineLvl w:val="0"/>
              <w:rPr>
                <w:rFonts w:ascii="Calibri" w:hAnsi="Calibri" w:cs="Arial"/>
                <w:sz w:val="17"/>
                <w:szCs w:val="17"/>
                <w:lang w:val="hr-HR"/>
              </w:rPr>
            </w:pPr>
            <w:r w:rsidRPr="001567C8">
              <w:rPr>
                <w:rFonts w:ascii="Calibri" w:hAnsi="Calibri" w:cs="Arial"/>
                <w:sz w:val="17"/>
                <w:szCs w:val="17"/>
                <w:lang w:val="hr-HR"/>
              </w:rPr>
              <w:t>Dionice inozemnih financijskih institucija – EIF</w:t>
            </w:r>
          </w:p>
        </w:tc>
        <w:tc>
          <w:tcPr>
            <w:tcW w:w="1417"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c>
          <w:tcPr>
            <w:tcW w:w="1418"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25.671</w:t>
            </w:r>
          </w:p>
        </w:tc>
        <w:tc>
          <w:tcPr>
            <w:tcW w:w="1417" w:type="dxa"/>
            <w:tcBorders>
              <w:top w:val="nil"/>
              <w:left w:val="nil"/>
              <w:bottom w:val="nil"/>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sz w:val="17"/>
                <w:szCs w:val="17"/>
                <w:lang w:val="hr-HR"/>
              </w:rPr>
            </w:pPr>
            <w:r w:rsidRPr="00CD3A2D">
              <w:rPr>
                <w:rFonts w:asciiTheme="minorHAnsi" w:hAnsiTheme="minorHAnsi"/>
                <w:sz w:val="17"/>
                <w:szCs w:val="17"/>
                <w:lang w:val="hr-HR"/>
              </w:rPr>
              <w:t>-</w:t>
            </w:r>
          </w:p>
        </w:tc>
      </w:tr>
      <w:tr w:rsidR="00EF1003" w:rsidRPr="001567C8" w:rsidTr="003C6BA3">
        <w:trPr>
          <w:trHeight w:hRule="exact" w:val="340"/>
          <w:jc w:val="center"/>
        </w:trPr>
        <w:tc>
          <w:tcPr>
            <w:tcW w:w="5104" w:type="dxa"/>
            <w:shd w:val="clear" w:color="auto" w:fill="auto"/>
            <w:vAlign w:val="bottom"/>
          </w:tcPr>
          <w:p w:rsidR="00EF1003" w:rsidRPr="001567C8" w:rsidRDefault="00EF1003" w:rsidP="00EF1003">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Ukupno vlasnički vrijednosni papiri</w:t>
            </w:r>
          </w:p>
        </w:tc>
        <w:tc>
          <w:tcPr>
            <w:tcW w:w="1417" w:type="dxa"/>
            <w:tcBorders>
              <w:top w:val="single" w:sz="4" w:space="0" w:color="auto"/>
              <w:left w:val="nil"/>
              <w:bottom w:val="single" w:sz="8" w:space="0" w:color="auto"/>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w:t>
            </w:r>
          </w:p>
        </w:tc>
        <w:tc>
          <w:tcPr>
            <w:tcW w:w="1418" w:type="dxa"/>
            <w:tcBorders>
              <w:top w:val="single" w:sz="4" w:space="0" w:color="auto"/>
              <w:left w:val="nil"/>
              <w:bottom w:val="single" w:sz="8" w:space="0" w:color="auto"/>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25.709</w:t>
            </w:r>
          </w:p>
        </w:tc>
        <w:tc>
          <w:tcPr>
            <w:tcW w:w="1417" w:type="dxa"/>
            <w:tcBorders>
              <w:top w:val="single" w:sz="4" w:space="0" w:color="auto"/>
              <w:left w:val="nil"/>
              <w:bottom w:val="single" w:sz="8" w:space="0" w:color="auto"/>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w:t>
            </w:r>
          </w:p>
        </w:tc>
      </w:tr>
      <w:tr w:rsidR="00EF1003" w:rsidRPr="001567C8" w:rsidTr="003C6BA3">
        <w:trPr>
          <w:trHeight w:hRule="exact" w:val="340"/>
          <w:jc w:val="center"/>
        </w:trPr>
        <w:tc>
          <w:tcPr>
            <w:tcW w:w="5104" w:type="dxa"/>
            <w:shd w:val="clear" w:color="auto" w:fill="auto"/>
            <w:vAlign w:val="bottom"/>
          </w:tcPr>
          <w:p w:rsidR="00EF1003" w:rsidRPr="001567C8" w:rsidRDefault="00EF1003" w:rsidP="00EF1003">
            <w:pPr>
              <w:tabs>
                <w:tab w:val="right" w:pos="1202"/>
              </w:tabs>
              <w:outlineLvl w:val="0"/>
              <w:rPr>
                <w:rFonts w:ascii="Calibri" w:hAnsi="Calibri" w:cs="Arial"/>
                <w:b/>
                <w:sz w:val="17"/>
                <w:szCs w:val="17"/>
                <w:lang w:val="hr-HR"/>
              </w:rPr>
            </w:pPr>
            <w:r w:rsidRPr="001567C8">
              <w:rPr>
                <w:rFonts w:ascii="Calibri" w:hAnsi="Calibri" w:cs="Arial"/>
                <w:b/>
                <w:sz w:val="17"/>
                <w:szCs w:val="17"/>
                <w:lang w:val="hr-HR"/>
              </w:rPr>
              <w:t>Ukupno imovina po fer vrijednosti kroz ostalu sveobuhvatnu dobit</w:t>
            </w:r>
          </w:p>
        </w:tc>
        <w:tc>
          <w:tcPr>
            <w:tcW w:w="1417" w:type="dxa"/>
            <w:tcBorders>
              <w:top w:val="single" w:sz="12" w:space="0" w:color="auto"/>
              <w:left w:val="nil"/>
              <w:bottom w:val="single" w:sz="12" w:space="0" w:color="auto"/>
              <w:right w:val="nil"/>
            </w:tcBorders>
            <w:shd w:val="clear" w:color="auto" w:fill="auto"/>
            <w:vAlign w:val="bottom"/>
          </w:tcPr>
          <w:p w:rsidR="00EF1003" w:rsidRPr="001567C8" w:rsidRDefault="00D95C8A" w:rsidP="00EF1003">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2.765.595</w:t>
            </w:r>
          </w:p>
        </w:tc>
        <w:tc>
          <w:tcPr>
            <w:tcW w:w="1418" w:type="dxa"/>
            <w:tcBorders>
              <w:top w:val="single" w:sz="12" w:space="0" w:color="auto"/>
              <w:left w:val="nil"/>
              <w:bottom w:val="single" w:sz="12" w:space="0" w:color="auto"/>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25.709</w:t>
            </w:r>
          </w:p>
        </w:tc>
        <w:tc>
          <w:tcPr>
            <w:tcW w:w="1417" w:type="dxa"/>
            <w:tcBorders>
              <w:top w:val="single" w:sz="12" w:space="0" w:color="auto"/>
              <w:left w:val="nil"/>
              <w:bottom w:val="single" w:sz="12" w:space="0" w:color="auto"/>
              <w:right w:val="nil"/>
            </w:tcBorders>
            <w:shd w:val="clear" w:color="auto" w:fill="auto"/>
            <w:vAlign w:val="bottom"/>
          </w:tcPr>
          <w:p w:rsidR="00EF1003" w:rsidRPr="001567C8" w:rsidRDefault="00EF1003" w:rsidP="00EF1003">
            <w:pPr>
              <w:tabs>
                <w:tab w:val="right" w:pos="1202"/>
              </w:tabs>
              <w:jc w:val="right"/>
              <w:outlineLvl w:val="0"/>
              <w:rPr>
                <w:rFonts w:asciiTheme="minorHAnsi" w:hAnsiTheme="minorHAnsi" w:cs="Arial"/>
                <w:b/>
                <w:sz w:val="17"/>
                <w:szCs w:val="17"/>
                <w:lang w:val="hr-HR"/>
              </w:rPr>
            </w:pPr>
            <w:r w:rsidRPr="00CD3A2D">
              <w:rPr>
                <w:rFonts w:asciiTheme="minorHAnsi" w:hAnsiTheme="minorHAnsi"/>
                <w:b/>
                <w:sz w:val="17"/>
                <w:szCs w:val="17"/>
                <w:lang w:val="hr-HR"/>
              </w:rPr>
              <w:t>768</w:t>
            </w:r>
          </w:p>
        </w:tc>
      </w:tr>
    </w:tbl>
    <w:p w:rsidR="00DF6947" w:rsidRPr="001567C8" w:rsidRDefault="00DF6947" w:rsidP="00DF6947">
      <w:pPr>
        <w:keepNext/>
        <w:ind w:left="567" w:hanging="567"/>
        <w:jc w:val="both"/>
        <w:rPr>
          <w:rFonts w:ascii="Calibri" w:hAnsi="Calibri" w:cs="Arial"/>
          <w:b/>
          <w:bCs/>
          <w:spacing w:val="-3"/>
          <w:sz w:val="22"/>
          <w:szCs w:val="22"/>
          <w:lang w:val="hr-HR"/>
        </w:rPr>
      </w:pPr>
    </w:p>
    <w:p w:rsidR="00DF6947" w:rsidRPr="001567C8" w:rsidRDefault="00DF6947" w:rsidP="00DF6947">
      <w:pPr>
        <w:keepNext/>
        <w:ind w:left="567" w:hanging="567"/>
        <w:jc w:val="both"/>
        <w:rPr>
          <w:rFonts w:ascii="Calibri" w:hAnsi="Calibri" w:cs="Arial"/>
          <w:b/>
          <w:bCs/>
          <w:spacing w:val="-3"/>
          <w:sz w:val="22"/>
          <w:szCs w:val="22"/>
          <w:lang w:val="hr-HR"/>
        </w:rPr>
      </w:pPr>
    </w:p>
    <w:p w:rsidR="00946C6C" w:rsidRPr="001567C8" w:rsidRDefault="00946C6C" w:rsidP="00946C6C">
      <w:pPr>
        <w:pStyle w:val="T1"/>
        <w:spacing w:before="120" w:line="300" w:lineRule="exact"/>
        <w:rPr>
          <w:rFonts w:asciiTheme="minorHAnsi" w:hAnsiTheme="minorHAnsi" w:cs="Arial"/>
          <w:b w:val="0"/>
          <w:bCs w:val="0"/>
          <w:spacing w:val="-3"/>
          <w:sz w:val="22"/>
          <w:szCs w:val="22"/>
          <w:lang w:val="hr-HR"/>
        </w:rPr>
        <w:sectPr w:rsidR="00946C6C" w:rsidRPr="001567C8" w:rsidSect="0077198A">
          <w:pgSz w:w="11907" w:h="16840" w:code="9"/>
          <w:pgMar w:top="1418" w:right="1134" w:bottom="1134" w:left="1418" w:header="851" w:footer="851" w:gutter="0"/>
          <w:cols w:space="720"/>
          <w:noEndnote/>
        </w:sectPr>
      </w:pPr>
    </w:p>
    <w:p w:rsidR="00DF6947" w:rsidRPr="001567C8" w:rsidRDefault="00DF6947" w:rsidP="00DF6947">
      <w:pPr>
        <w:jc w:val="both"/>
        <w:rPr>
          <w:rFonts w:ascii="Calibri" w:hAnsi="Calibri" w:cs="Arial"/>
          <w:b/>
          <w:bCs/>
          <w:spacing w:val="-3"/>
          <w:sz w:val="18"/>
          <w:szCs w:val="18"/>
          <w:lang w:val="hr-HR"/>
        </w:rPr>
      </w:pPr>
    </w:p>
    <w:p w:rsidR="00DF6947" w:rsidRPr="001567C8" w:rsidRDefault="00DF6947" w:rsidP="00DF6947">
      <w:pPr>
        <w:keepNext/>
        <w:tabs>
          <w:tab w:val="left" w:pos="567"/>
        </w:tabs>
        <w:jc w:val="both"/>
        <w:rPr>
          <w:rFonts w:ascii="Calibri" w:hAnsi="Calibri" w:cs="Arial"/>
          <w:b/>
          <w:bCs/>
          <w:spacing w:val="-3"/>
          <w:sz w:val="22"/>
          <w:szCs w:val="22"/>
          <w:lang w:val="hr-HR"/>
        </w:rPr>
      </w:pPr>
      <w:r w:rsidRPr="001567C8">
        <w:rPr>
          <w:rFonts w:ascii="Calibri" w:hAnsi="Calibri" w:cs="Arial"/>
          <w:b/>
          <w:bCs/>
          <w:spacing w:val="-3"/>
          <w:sz w:val="22"/>
          <w:szCs w:val="22"/>
          <w:lang w:val="hr-HR"/>
        </w:rPr>
        <w:t xml:space="preserve">37. </w:t>
      </w:r>
      <w:r w:rsidRPr="001567C8">
        <w:rPr>
          <w:rFonts w:ascii="Calibri" w:hAnsi="Calibri" w:cs="Arial"/>
          <w:b/>
          <w:bCs/>
          <w:spacing w:val="-3"/>
          <w:sz w:val="22"/>
          <w:szCs w:val="22"/>
          <w:lang w:val="hr-HR"/>
        </w:rPr>
        <w:tab/>
        <w:t>Fer vrijednost financijske imovine i financijskih obveza (nastavak)</w:t>
      </w:r>
    </w:p>
    <w:p w:rsidR="00DF6947" w:rsidRPr="001567C8" w:rsidRDefault="00DF6947" w:rsidP="00DF6947">
      <w:pPr>
        <w:keepNext/>
        <w:ind w:left="567" w:hanging="567"/>
        <w:jc w:val="both"/>
        <w:rPr>
          <w:rFonts w:ascii="Calibri" w:hAnsi="Calibri" w:cs="Arial"/>
          <w:b/>
          <w:bCs/>
          <w:spacing w:val="-3"/>
          <w:sz w:val="22"/>
          <w:szCs w:val="22"/>
          <w:lang w:val="hr-HR"/>
        </w:rPr>
      </w:pPr>
    </w:p>
    <w:p w:rsidR="00DF6947" w:rsidRPr="001567C8" w:rsidRDefault="00DF6947" w:rsidP="003C6BA3">
      <w:pPr>
        <w:keepNext/>
        <w:ind w:left="708" w:hanging="708"/>
        <w:jc w:val="both"/>
        <w:rPr>
          <w:rFonts w:ascii="Calibri" w:hAnsi="Calibri" w:cs="Arial"/>
          <w:b/>
          <w:bCs/>
          <w:spacing w:val="-3"/>
          <w:sz w:val="22"/>
          <w:szCs w:val="22"/>
          <w:lang w:val="hr-HR"/>
        </w:rPr>
      </w:pPr>
      <w:r w:rsidRPr="001567C8">
        <w:rPr>
          <w:rFonts w:ascii="Calibri" w:hAnsi="Calibri" w:cs="Arial"/>
          <w:b/>
          <w:bCs/>
          <w:spacing w:val="-3"/>
          <w:sz w:val="22"/>
          <w:szCs w:val="22"/>
          <w:lang w:val="hr-HR"/>
        </w:rPr>
        <w:t>37.1.</w:t>
      </w:r>
      <w:r w:rsidRPr="001567C8">
        <w:rPr>
          <w:rFonts w:ascii="Calibri" w:hAnsi="Calibri" w:cs="Arial"/>
          <w:b/>
          <w:bCs/>
          <w:spacing w:val="-3"/>
          <w:sz w:val="22"/>
          <w:szCs w:val="22"/>
          <w:lang w:val="hr-HR"/>
        </w:rPr>
        <w:tab/>
        <w:t xml:space="preserve">Fer vrijednost financijske imovine i financijskih obveza koji se vode po fer vrijednosti (nastavak) </w:t>
      </w:r>
    </w:p>
    <w:p w:rsidR="00DF6947" w:rsidRPr="001567C8" w:rsidRDefault="00DF6947" w:rsidP="003C6BA3">
      <w:pPr>
        <w:keepNext/>
        <w:jc w:val="both"/>
        <w:rPr>
          <w:rFonts w:ascii="Calibri" w:hAnsi="Calibri" w:cs="Arial"/>
          <w:b/>
          <w:bCs/>
          <w:spacing w:val="-3"/>
          <w:sz w:val="22"/>
          <w:szCs w:val="22"/>
          <w:lang w:val="hr-HR"/>
        </w:rPr>
      </w:pPr>
    </w:p>
    <w:tbl>
      <w:tblPr>
        <w:tblW w:w="5000" w:type="pct"/>
        <w:tblCellMar>
          <w:left w:w="122" w:type="dxa"/>
          <w:right w:w="122" w:type="dxa"/>
        </w:tblCellMar>
        <w:tblLook w:val="0000" w:firstRow="0" w:lastRow="0" w:firstColumn="0" w:lastColumn="0" w:noHBand="0" w:noVBand="0"/>
      </w:tblPr>
      <w:tblGrid>
        <w:gridCol w:w="4999"/>
        <w:gridCol w:w="1585"/>
        <w:gridCol w:w="1386"/>
        <w:gridCol w:w="1385"/>
      </w:tblGrid>
      <w:tr w:rsidR="00DF6947" w:rsidRPr="001567C8" w:rsidTr="00DF6947">
        <w:trPr>
          <w:trHeight w:val="143"/>
        </w:trPr>
        <w:tc>
          <w:tcPr>
            <w:tcW w:w="2672" w:type="pct"/>
            <w:shd w:val="clear" w:color="auto" w:fill="auto"/>
          </w:tcPr>
          <w:p w:rsidR="00DF6947" w:rsidRPr="001567C8" w:rsidRDefault="00DF6947" w:rsidP="00DF6947">
            <w:pPr>
              <w:tabs>
                <w:tab w:val="right" w:pos="1202"/>
              </w:tabs>
              <w:outlineLvl w:val="0"/>
              <w:rPr>
                <w:rFonts w:ascii="Calibri" w:eastAsia="Calibri" w:hAnsi="Calibri" w:cs="Arial"/>
                <w:sz w:val="17"/>
                <w:szCs w:val="17"/>
                <w:lang w:val="hr-HR"/>
              </w:rPr>
            </w:pPr>
            <w:r w:rsidRPr="001567C8">
              <w:rPr>
                <w:rFonts w:ascii="Calibri" w:eastAsia="Calibri" w:hAnsi="Calibri" w:cs="Arial"/>
                <w:b/>
                <w:sz w:val="17"/>
                <w:szCs w:val="17"/>
                <w:lang w:val="hr-HR"/>
              </w:rPr>
              <w:t>Banka</w:t>
            </w:r>
          </w:p>
        </w:tc>
        <w:tc>
          <w:tcPr>
            <w:tcW w:w="2328" w:type="pct"/>
            <w:gridSpan w:val="3"/>
          </w:tcPr>
          <w:p w:rsidR="00DF6947" w:rsidRPr="001567C8" w:rsidRDefault="00AD2EF7" w:rsidP="00DF6947">
            <w:pPr>
              <w:tabs>
                <w:tab w:val="right" w:pos="1202"/>
              </w:tabs>
              <w:jc w:val="right"/>
              <w:outlineLvl w:val="0"/>
              <w:rPr>
                <w:rFonts w:ascii="Calibri" w:eastAsia="Calibri" w:hAnsi="Calibri" w:cs="Arial"/>
                <w:b/>
                <w:bCs/>
                <w:sz w:val="17"/>
                <w:szCs w:val="17"/>
                <w:lang w:val="hr-HR"/>
              </w:rPr>
            </w:pPr>
            <w:r>
              <w:rPr>
                <w:rFonts w:ascii="Calibri" w:hAnsi="Calibri" w:cs="Arial"/>
                <w:b/>
                <w:bCs/>
                <w:sz w:val="17"/>
                <w:szCs w:val="17"/>
                <w:lang w:val="hr-HR"/>
              </w:rPr>
              <w:t>31. prosin</w:t>
            </w:r>
            <w:r w:rsidR="0073283D" w:rsidRPr="001567C8">
              <w:rPr>
                <w:rFonts w:ascii="Calibri" w:hAnsi="Calibri" w:cs="Arial"/>
                <w:b/>
                <w:bCs/>
                <w:sz w:val="17"/>
                <w:szCs w:val="17"/>
                <w:lang w:val="hr-HR"/>
              </w:rPr>
              <w:t>c</w:t>
            </w:r>
            <w:r>
              <w:rPr>
                <w:rFonts w:ascii="Calibri" w:hAnsi="Calibri" w:cs="Arial"/>
                <w:b/>
                <w:bCs/>
                <w:sz w:val="17"/>
                <w:szCs w:val="17"/>
                <w:lang w:val="hr-HR"/>
              </w:rPr>
              <w:t>a</w:t>
            </w:r>
            <w:r w:rsidR="0073283D" w:rsidRPr="001567C8">
              <w:rPr>
                <w:rFonts w:ascii="Calibri" w:hAnsi="Calibri" w:cs="Arial"/>
                <w:b/>
                <w:bCs/>
                <w:sz w:val="17"/>
                <w:szCs w:val="17"/>
                <w:lang w:val="hr-HR"/>
              </w:rPr>
              <w:t xml:space="preserve"> </w:t>
            </w:r>
            <w:r w:rsidR="00DF6947" w:rsidRPr="001567C8">
              <w:rPr>
                <w:rFonts w:ascii="Calibri" w:hAnsi="Calibri" w:cs="Arial"/>
                <w:b/>
                <w:bCs/>
                <w:sz w:val="17"/>
                <w:szCs w:val="17"/>
                <w:lang w:val="hr-HR"/>
              </w:rPr>
              <w:t>2017.</w:t>
            </w:r>
            <w:r w:rsidR="007C5023" w:rsidRPr="001567C8">
              <w:rPr>
                <w:rFonts w:ascii="Calibri" w:hAnsi="Calibri" w:cs="Arial"/>
                <w:b/>
                <w:bCs/>
                <w:sz w:val="17"/>
                <w:szCs w:val="17"/>
                <w:lang w:val="hr-HR"/>
              </w:rPr>
              <w:t xml:space="preserve"> godina</w:t>
            </w:r>
          </w:p>
        </w:tc>
      </w:tr>
      <w:tr w:rsidR="00DF6947" w:rsidRPr="001567C8" w:rsidTr="00DF6947">
        <w:trPr>
          <w:trHeight w:val="311"/>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pacing w:val="-2"/>
                <w:sz w:val="17"/>
                <w:szCs w:val="17"/>
                <w:lang w:val="hr-HR"/>
              </w:rPr>
            </w:pPr>
          </w:p>
        </w:tc>
        <w:tc>
          <w:tcPr>
            <w:tcW w:w="847" w:type="pct"/>
            <w:shd w:val="clear" w:color="auto" w:fill="auto"/>
            <w:vAlign w:val="bottom"/>
          </w:tcPr>
          <w:p w:rsidR="00DF6947" w:rsidRPr="001567C8" w:rsidRDefault="00DF6947" w:rsidP="00DF6947">
            <w:pPr>
              <w:tabs>
                <w:tab w:val="right" w:pos="1202"/>
              </w:tabs>
              <w:jc w:val="right"/>
              <w:outlineLvl w:val="0"/>
              <w:rPr>
                <w:rFonts w:ascii="Calibri" w:eastAsia="Calibri" w:hAnsi="Calibri" w:cs="Arial"/>
                <w:b/>
                <w:spacing w:val="-2"/>
                <w:sz w:val="17"/>
                <w:szCs w:val="17"/>
                <w:lang w:val="hr-HR"/>
              </w:rPr>
            </w:pPr>
            <w:r w:rsidRPr="001567C8">
              <w:rPr>
                <w:rFonts w:ascii="Calibri" w:eastAsia="Calibri" w:hAnsi="Calibri" w:cs="Arial"/>
                <w:b/>
                <w:spacing w:val="-2"/>
                <w:sz w:val="17"/>
                <w:szCs w:val="17"/>
                <w:lang w:val="hr-HR"/>
              </w:rPr>
              <w:t>Razina 1</w:t>
            </w:r>
          </w:p>
        </w:tc>
        <w:tc>
          <w:tcPr>
            <w:tcW w:w="741" w:type="pct"/>
            <w:shd w:val="clear" w:color="auto" w:fill="auto"/>
            <w:vAlign w:val="bottom"/>
          </w:tcPr>
          <w:p w:rsidR="00DF6947" w:rsidRPr="001567C8" w:rsidRDefault="00DF6947" w:rsidP="00DF6947">
            <w:pPr>
              <w:tabs>
                <w:tab w:val="right" w:pos="1202"/>
              </w:tabs>
              <w:jc w:val="right"/>
              <w:outlineLvl w:val="0"/>
              <w:rPr>
                <w:rFonts w:ascii="Calibri" w:eastAsia="Calibri" w:hAnsi="Calibri" w:cs="Arial"/>
                <w:b/>
                <w:spacing w:val="-2"/>
                <w:sz w:val="17"/>
                <w:szCs w:val="17"/>
                <w:lang w:val="hr-HR"/>
              </w:rPr>
            </w:pPr>
            <w:r w:rsidRPr="001567C8">
              <w:rPr>
                <w:rFonts w:ascii="Calibri" w:eastAsia="Calibri" w:hAnsi="Calibri" w:cs="Arial"/>
                <w:b/>
                <w:spacing w:val="-2"/>
                <w:sz w:val="17"/>
                <w:szCs w:val="17"/>
                <w:lang w:val="hr-HR"/>
              </w:rPr>
              <w:t>Razina 2</w:t>
            </w:r>
          </w:p>
        </w:tc>
        <w:tc>
          <w:tcPr>
            <w:tcW w:w="741" w:type="pct"/>
            <w:shd w:val="clear" w:color="auto" w:fill="auto"/>
            <w:vAlign w:val="bottom"/>
          </w:tcPr>
          <w:p w:rsidR="00DF6947" w:rsidRPr="001567C8" w:rsidRDefault="00DF6947" w:rsidP="00DF6947">
            <w:pPr>
              <w:tabs>
                <w:tab w:val="right" w:pos="1202"/>
              </w:tabs>
              <w:jc w:val="right"/>
              <w:outlineLvl w:val="0"/>
              <w:rPr>
                <w:rFonts w:ascii="Calibri" w:eastAsia="Calibri" w:hAnsi="Calibri" w:cs="Arial"/>
                <w:b/>
                <w:spacing w:val="-2"/>
                <w:sz w:val="17"/>
                <w:szCs w:val="17"/>
                <w:lang w:val="hr-HR"/>
              </w:rPr>
            </w:pPr>
            <w:r w:rsidRPr="001567C8">
              <w:rPr>
                <w:rFonts w:ascii="Calibri" w:eastAsia="Calibri" w:hAnsi="Calibri" w:cs="Arial"/>
                <w:b/>
                <w:spacing w:val="-2"/>
                <w:sz w:val="17"/>
                <w:szCs w:val="17"/>
                <w:lang w:val="hr-HR"/>
              </w:rPr>
              <w:t>Razina 3</w:t>
            </w:r>
          </w:p>
        </w:tc>
      </w:tr>
      <w:tr w:rsidR="00DF6947" w:rsidRPr="001567C8" w:rsidTr="00DF6947">
        <w:trPr>
          <w:trHeight w:val="291"/>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spacing w:val="-2"/>
                <w:sz w:val="17"/>
                <w:szCs w:val="17"/>
                <w:lang w:val="hr-HR"/>
              </w:rPr>
            </w:pPr>
            <w:r w:rsidRPr="001567C8">
              <w:rPr>
                <w:rFonts w:ascii="Calibri" w:eastAsia="Calibri" w:hAnsi="Calibri" w:cs="Arial"/>
                <w:b/>
                <w:spacing w:val="-2"/>
                <w:sz w:val="17"/>
                <w:szCs w:val="17"/>
                <w:lang w:val="hr-HR"/>
              </w:rPr>
              <w:t>Imovina raspoloživa za prodaju:</w:t>
            </w:r>
          </w:p>
        </w:tc>
        <w:tc>
          <w:tcPr>
            <w:tcW w:w="847" w:type="pct"/>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c>
          <w:tcPr>
            <w:tcW w:w="741" w:type="pct"/>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c>
          <w:tcPr>
            <w:tcW w:w="741" w:type="pct"/>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r>
      <w:tr w:rsidR="00DF6947" w:rsidRPr="001567C8" w:rsidTr="00DF6947">
        <w:trPr>
          <w:trHeight w:val="291"/>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spacing w:val="-2"/>
                <w:sz w:val="17"/>
                <w:szCs w:val="17"/>
                <w:lang w:val="hr-HR"/>
              </w:rPr>
            </w:pPr>
            <w:r w:rsidRPr="001567C8">
              <w:rPr>
                <w:rFonts w:ascii="Calibri" w:eastAsia="Calibri" w:hAnsi="Calibri" w:cs="Arial"/>
                <w:b/>
                <w:spacing w:val="-2"/>
                <w:sz w:val="17"/>
                <w:szCs w:val="17"/>
                <w:lang w:val="hr-HR"/>
              </w:rPr>
              <w:t>Dužnički vrijednosni papiri:</w:t>
            </w:r>
          </w:p>
        </w:tc>
        <w:tc>
          <w:tcPr>
            <w:tcW w:w="847" w:type="pct"/>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c>
          <w:tcPr>
            <w:tcW w:w="741" w:type="pct"/>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c>
          <w:tcPr>
            <w:tcW w:w="741" w:type="pct"/>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r>
      <w:tr w:rsidR="00DF6947" w:rsidRPr="001567C8" w:rsidTr="00DF6947">
        <w:trPr>
          <w:trHeight w:val="291"/>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i/>
                <w:spacing w:val="-2"/>
                <w:sz w:val="17"/>
                <w:szCs w:val="17"/>
                <w:lang w:val="hr-HR"/>
              </w:rPr>
            </w:pPr>
            <w:r w:rsidRPr="001567C8">
              <w:rPr>
                <w:rFonts w:ascii="Calibri" w:eastAsia="Calibri" w:hAnsi="Calibri" w:cs="Arial"/>
                <w:b/>
                <w:i/>
                <w:spacing w:val="-2"/>
                <w:sz w:val="17"/>
                <w:szCs w:val="17"/>
                <w:lang w:val="hr-HR"/>
              </w:rPr>
              <w:t>Dužnički vrijednosni papiri koji kotiraju:</w:t>
            </w:r>
          </w:p>
        </w:tc>
        <w:tc>
          <w:tcPr>
            <w:tcW w:w="847" w:type="pct"/>
            <w:vAlign w:val="bottom"/>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c>
          <w:tcPr>
            <w:tcW w:w="741" w:type="pct"/>
            <w:vAlign w:val="bottom"/>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c>
          <w:tcPr>
            <w:tcW w:w="741" w:type="pct"/>
            <w:vAlign w:val="bottom"/>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r>
      <w:tr w:rsidR="00DF6947" w:rsidRPr="001567C8" w:rsidTr="00DF6947">
        <w:trPr>
          <w:trHeight w:hRule="exact" w:val="284"/>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Obveznice Republike Hrvatske</w:t>
            </w:r>
          </w:p>
        </w:tc>
        <w:tc>
          <w:tcPr>
            <w:tcW w:w="847"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846.428</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w:t>
            </w:r>
          </w:p>
        </w:tc>
      </w:tr>
      <w:tr w:rsidR="00DF6947" w:rsidRPr="001567C8" w:rsidTr="00DF6947">
        <w:trPr>
          <w:trHeight w:hRule="exact" w:val="284"/>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Trezorski zapisi Ministarstva financija</w:t>
            </w:r>
          </w:p>
        </w:tc>
        <w:tc>
          <w:tcPr>
            <w:tcW w:w="847"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1.583.313</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w:t>
            </w:r>
          </w:p>
        </w:tc>
      </w:tr>
      <w:tr w:rsidR="00DF6947" w:rsidRPr="001567C8" w:rsidTr="00DF6947">
        <w:trPr>
          <w:trHeight w:hRule="exact" w:val="284"/>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 xml:space="preserve">Obračunana kamata </w:t>
            </w:r>
          </w:p>
        </w:tc>
        <w:tc>
          <w:tcPr>
            <w:tcW w:w="847"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13.269</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w:t>
            </w:r>
          </w:p>
        </w:tc>
      </w:tr>
      <w:tr w:rsidR="00DF6947" w:rsidRPr="001567C8" w:rsidTr="00DF6947">
        <w:trPr>
          <w:trHeight w:hRule="exact" w:val="340"/>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i/>
                <w:spacing w:val="-2"/>
                <w:sz w:val="17"/>
                <w:szCs w:val="17"/>
                <w:lang w:val="hr-HR"/>
              </w:rPr>
            </w:pPr>
            <w:r w:rsidRPr="001567C8">
              <w:rPr>
                <w:rFonts w:ascii="Calibri" w:eastAsia="Calibri" w:hAnsi="Calibri" w:cs="Arial"/>
                <w:b/>
                <w:i/>
                <w:spacing w:val="-2"/>
                <w:sz w:val="17"/>
                <w:szCs w:val="17"/>
                <w:lang w:val="hr-HR"/>
              </w:rPr>
              <w:t>Dužnički vrijednosni papiri koji ne kotiraju:</w:t>
            </w:r>
          </w:p>
        </w:tc>
        <w:tc>
          <w:tcPr>
            <w:tcW w:w="847"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p>
        </w:tc>
      </w:tr>
      <w:tr w:rsidR="00DF6947" w:rsidRPr="001567C8" w:rsidTr="00DF6947">
        <w:trPr>
          <w:trHeight w:hRule="exact" w:val="284"/>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 xml:space="preserve">Obveznice trgovačkih društava </w:t>
            </w:r>
          </w:p>
        </w:tc>
        <w:tc>
          <w:tcPr>
            <w:tcW w:w="847"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c>
          <w:tcPr>
            <w:tcW w:w="741"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w:t>
            </w:r>
          </w:p>
        </w:tc>
        <w:tc>
          <w:tcPr>
            <w:tcW w:w="741" w:type="pct"/>
            <w:tcBorders>
              <w:top w:val="nil"/>
              <w:left w:val="nil"/>
              <w:bottom w:val="nil"/>
              <w:right w:val="nil"/>
            </w:tcBorders>
            <w:shd w:val="clear" w:color="auto" w:fill="auto"/>
            <w:vAlign w:val="center"/>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522</w:t>
            </w:r>
          </w:p>
        </w:tc>
      </w:tr>
      <w:tr w:rsidR="00DF6947" w:rsidRPr="001567C8" w:rsidTr="00DF6947">
        <w:trPr>
          <w:trHeight w:hRule="exact" w:val="284"/>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Obračunata kamata</w:t>
            </w:r>
          </w:p>
        </w:tc>
        <w:tc>
          <w:tcPr>
            <w:tcW w:w="847" w:type="pct"/>
            <w:tcBorders>
              <w:top w:val="nil"/>
              <w:left w:val="nil"/>
              <w:bottom w:val="single" w:sz="4" w:space="0" w:color="auto"/>
              <w:right w:val="nil"/>
            </w:tcBorders>
            <w:shd w:val="clear" w:color="auto" w:fill="auto"/>
            <w:vAlign w:val="center"/>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c>
          <w:tcPr>
            <w:tcW w:w="741" w:type="pct"/>
            <w:tcBorders>
              <w:top w:val="nil"/>
              <w:left w:val="nil"/>
              <w:bottom w:val="single" w:sz="4" w:space="0" w:color="auto"/>
              <w:right w:val="nil"/>
            </w:tcBorders>
            <w:shd w:val="clear" w:color="auto" w:fill="auto"/>
            <w:vAlign w:val="center"/>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w:t>
            </w:r>
          </w:p>
        </w:tc>
        <w:tc>
          <w:tcPr>
            <w:tcW w:w="741" w:type="pct"/>
            <w:tcBorders>
              <w:top w:val="nil"/>
              <w:left w:val="nil"/>
              <w:bottom w:val="single" w:sz="4" w:space="0" w:color="auto"/>
              <w:right w:val="nil"/>
            </w:tcBorders>
            <w:shd w:val="clear" w:color="auto" w:fill="auto"/>
            <w:vAlign w:val="center"/>
          </w:tcPr>
          <w:p w:rsidR="00DF6947" w:rsidRPr="001567C8" w:rsidRDefault="00DF6947" w:rsidP="00DF6947">
            <w:pPr>
              <w:tabs>
                <w:tab w:val="right" w:pos="1202"/>
              </w:tabs>
              <w:jc w:val="right"/>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167</w:t>
            </w:r>
          </w:p>
        </w:tc>
      </w:tr>
      <w:tr w:rsidR="00DF6947" w:rsidRPr="001567C8" w:rsidTr="00DF6947">
        <w:trPr>
          <w:trHeight w:hRule="exact" w:val="340"/>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spacing w:val="-2"/>
                <w:sz w:val="17"/>
                <w:szCs w:val="17"/>
                <w:lang w:val="hr-HR"/>
              </w:rPr>
            </w:pPr>
            <w:r w:rsidRPr="001567C8">
              <w:rPr>
                <w:rFonts w:ascii="Calibri" w:eastAsia="Calibri" w:hAnsi="Calibri" w:cs="Arial"/>
                <w:b/>
                <w:spacing w:val="-2"/>
                <w:sz w:val="17"/>
                <w:szCs w:val="17"/>
                <w:lang w:val="hr-HR"/>
              </w:rPr>
              <w:t>Ukupno dužnički vrijednosni papiri</w:t>
            </w:r>
          </w:p>
        </w:tc>
        <w:tc>
          <w:tcPr>
            <w:tcW w:w="847"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pacing w:val="-2"/>
                <w:sz w:val="17"/>
                <w:szCs w:val="17"/>
                <w:lang w:val="hr-HR" w:eastAsia="hr-HR"/>
              </w:rPr>
            </w:pPr>
            <w:r w:rsidRPr="001567C8">
              <w:rPr>
                <w:rFonts w:ascii="Calibri" w:eastAsia="Calibri" w:hAnsi="Calibri"/>
                <w:b/>
                <w:bCs/>
                <w:color w:val="000000"/>
                <w:sz w:val="17"/>
                <w:szCs w:val="17"/>
                <w:lang w:val="hr-HR"/>
              </w:rPr>
              <w:t>2.443.010</w:t>
            </w:r>
          </w:p>
        </w:tc>
        <w:tc>
          <w:tcPr>
            <w:tcW w:w="741"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pacing w:val="-2"/>
                <w:sz w:val="17"/>
                <w:szCs w:val="17"/>
                <w:lang w:val="hr-HR" w:eastAsia="hr-HR"/>
              </w:rPr>
            </w:pPr>
            <w:r w:rsidRPr="001567C8">
              <w:rPr>
                <w:rFonts w:ascii="Calibri" w:eastAsia="Calibri" w:hAnsi="Calibri"/>
                <w:b/>
                <w:bCs/>
                <w:color w:val="000000"/>
                <w:sz w:val="17"/>
                <w:szCs w:val="17"/>
                <w:lang w:val="hr-HR"/>
              </w:rPr>
              <w:t>-</w:t>
            </w:r>
          </w:p>
        </w:tc>
        <w:tc>
          <w:tcPr>
            <w:tcW w:w="741"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pacing w:val="-2"/>
                <w:sz w:val="17"/>
                <w:szCs w:val="17"/>
                <w:lang w:val="hr-HR" w:eastAsia="hr-HR"/>
              </w:rPr>
            </w:pPr>
            <w:r w:rsidRPr="001567C8">
              <w:rPr>
                <w:rFonts w:ascii="Calibri" w:eastAsia="Calibri" w:hAnsi="Calibri"/>
                <w:b/>
                <w:bCs/>
                <w:color w:val="000000"/>
                <w:sz w:val="17"/>
                <w:szCs w:val="17"/>
                <w:lang w:val="hr-HR"/>
              </w:rPr>
              <w:t>689</w:t>
            </w:r>
          </w:p>
        </w:tc>
      </w:tr>
      <w:tr w:rsidR="00DF6947" w:rsidRPr="001567C8" w:rsidTr="00DF6947">
        <w:trPr>
          <w:trHeight w:hRule="exact" w:val="340"/>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spacing w:val="-2"/>
                <w:sz w:val="17"/>
                <w:szCs w:val="17"/>
                <w:lang w:val="hr-HR"/>
              </w:rPr>
            </w:pPr>
            <w:r w:rsidRPr="001567C8">
              <w:rPr>
                <w:rFonts w:ascii="Calibri" w:eastAsia="Calibri" w:hAnsi="Calibri"/>
                <w:b/>
                <w:sz w:val="17"/>
                <w:szCs w:val="17"/>
                <w:lang w:val="hr-HR"/>
              </w:rPr>
              <w:t>Vlasnički vrijednosni papiri:</w:t>
            </w:r>
          </w:p>
        </w:tc>
        <w:tc>
          <w:tcPr>
            <w:tcW w:w="847" w:type="pct"/>
            <w:tcBorders>
              <w:top w:val="single" w:sz="12" w:space="0" w:color="auto"/>
              <w:left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sz w:val="17"/>
                <w:szCs w:val="17"/>
                <w:lang w:val="hr-HR"/>
              </w:rPr>
            </w:pPr>
          </w:p>
        </w:tc>
        <w:tc>
          <w:tcPr>
            <w:tcW w:w="741" w:type="pct"/>
            <w:tcBorders>
              <w:top w:val="single" w:sz="12" w:space="0" w:color="auto"/>
              <w:left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sz w:val="17"/>
                <w:szCs w:val="17"/>
                <w:lang w:val="hr-HR"/>
              </w:rPr>
            </w:pPr>
          </w:p>
        </w:tc>
        <w:tc>
          <w:tcPr>
            <w:tcW w:w="741" w:type="pct"/>
            <w:tcBorders>
              <w:top w:val="single" w:sz="12" w:space="0" w:color="auto"/>
              <w:left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sz w:val="17"/>
                <w:szCs w:val="17"/>
                <w:lang w:val="hr-HR"/>
              </w:rPr>
            </w:pPr>
          </w:p>
        </w:tc>
      </w:tr>
      <w:tr w:rsidR="00DF6947" w:rsidRPr="001567C8" w:rsidTr="00DF6947">
        <w:trPr>
          <w:trHeight w:hRule="exact" w:val="340"/>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i/>
                <w:spacing w:val="-2"/>
                <w:sz w:val="17"/>
                <w:szCs w:val="17"/>
                <w:lang w:val="hr-HR"/>
              </w:rPr>
            </w:pPr>
            <w:r w:rsidRPr="001567C8">
              <w:rPr>
                <w:rFonts w:ascii="Calibri" w:eastAsia="Calibri" w:hAnsi="Calibri"/>
                <w:b/>
                <w:i/>
                <w:sz w:val="17"/>
                <w:szCs w:val="17"/>
                <w:lang w:val="hr-HR"/>
              </w:rPr>
              <w:t>Vlasnički vrijednosni papiri koji kotiraju:</w:t>
            </w:r>
          </w:p>
        </w:tc>
        <w:tc>
          <w:tcPr>
            <w:tcW w:w="847" w:type="pct"/>
            <w:tcBorders>
              <w:left w:val="nil"/>
              <w:bottom w:val="single" w:sz="4"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sz w:val="17"/>
                <w:szCs w:val="17"/>
                <w:lang w:val="hr-HR"/>
              </w:rPr>
            </w:pPr>
          </w:p>
        </w:tc>
        <w:tc>
          <w:tcPr>
            <w:tcW w:w="741" w:type="pct"/>
            <w:tcBorders>
              <w:left w:val="nil"/>
              <w:bottom w:val="single" w:sz="4"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sz w:val="17"/>
                <w:szCs w:val="17"/>
                <w:lang w:val="hr-HR"/>
              </w:rPr>
            </w:pPr>
          </w:p>
        </w:tc>
        <w:tc>
          <w:tcPr>
            <w:tcW w:w="741" w:type="pct"/>
            <w:tcBorders>
              <w:left w:val="nil"/>
              <w:bottom w:val="single" w:sz="4"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sz w:val="17"/>
                <w:szCs w:val="17"/>
                <w:lang w:val="hr-HR"/>
              </w:rPr>
            </w:pPr>
          </w:p>
        </w:tc>
      </w:tr>
      <w:tr w:rsidR="00DF6947" w:rsidRPr="001567C8" w:rsidTr="00DF6947">
        <w:trPr>
          <w:trHeight w:hRule="exact" w:val="284"/>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spacing w:val="-2"/>
                <w:sz w:val="17"/>
                <w:szCs w:val="17"/>
                <w:lang w:val="hr-HR"/>
              </w:rPr>
            </w:pPr>
            <w:r w:rsidRPr="001567C8">
              <w:rPr>
                <w:rFonts w:ascii="Calibri" w:eastAsia="Calibri" w:hAnsi="Calibri"/>
                <w:sz w:val="17"/>
                <w:szCs w:val="17"/>
                <w:lang w:val="hr-HR"/>
              </w:rPr>
              <w:t>Dionice trgovačkih društava</w:t>
            </w:r>
          </w:p>
        </w:tc>
        <w:tc>
          <w:tcPr>
            <w:tcW w:w="847" w:type="pct"/>
            <w:tcBorders>
              <w:top w:val="single" w:sz="4" w:space="0" w:color="auto"/>
              <w:left w:val="nil"/>
              <w:bottom w:val="single" w:sz="4"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sz w:val="17"/>
                <w:szCs w:val="17"/>
                <w:lang w:val="hr-HR"/>
              </w:rPr>
            </w:pPr>
            <w:r w:rsidRPr="001567C8">
              <w:rPr>
                <w:rFonts w:ascii="Calibri" w:eastAsia="Calibri" w:hAnsi="Calibri"/>
                <w:sz w:val="17"/>
                <w:szCs w:val="17"/>
                <w:lang w:val="hr-HR"/>
              </w:rPr>
              <w:t>18.951</w:t>
            </w:r>
          </w:p>
        </w:tc>
        <w:tc>
          <w:tcPr>
            <w:tcW w:w="741" w:type="pct"/>
            <w:tcBorders>
              <w:top w:val="single" w:sz="4" w:space="0" w:color="auto"/>
              <w:left w:val="nil"/>
              <w:bottom w:val="single" w:sz="4"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sz w:val="17"/>
                <w:szCs w:val="17"/>
                <w:lang w:val="hr-HR"/>
              </w:rPr>
            </w:pPr>
            <w:r w:rsidRPr="001567C8">
              <w:rPr>
                <w:rFonts w:ascii="Calibri" w:eastAsia="Calibri" w:hAnsi="Calibri"/>
                <w:sz w:val="17"/>
                <w:szCs w:val="17"/>
                <w:lang w:val="hr-HR"/>
              </w:rPr>
              <w:t>-</w:t>
            </w:r>
          </w:p>
        </w:tc>
        <w:tc>
          <w:tcPr>
            <w:tcW w:w="741" w:type="pct"/>
            <w:tcBorders>
              <w:top w:val="single" w:sz="4" w:space="0" w:color="auto"/>
              <w:left w:val="nil"/>
              <w:bottom w:val="single" w:sz="4"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sz w:val="17"/>
                <w:szCs w:val="17"/>
                <w:lang w:val="hr-HR"/>
              </w:rPr>
            </w:pPr>
            <w:r w:rsidRPr="001567C8">
              <w:rPr>
                <w:rFonts w:ascii="Calibri" w:eastAsia="Calibri" w:hAnsi="Calibri"/>
                <w:sz w:val="17"/>
                <w:szCs w:val="17"/>
                <w:lang w:val="hr-HR"/>
              </w:rPr>
              <w:t>-</w:t>
            </w:r>
          </w:p>
        </w:tc>
      </w:tr>
      <w:tr w:rsidR="00DF6947" w:rsidRPr="001567C8" w:rsidTr="00DF6947">
        <w:trPr>
          <w:trHeight w:hRule="exact" w:val="340"/>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i/>
                <w:spacing w:val="-2"/>
                <w:sz w:val="17"/>
                <w:szCs w:val="17"/>
                <w:lang w:val="hr-HR"/>
              </w:rPr>
            </w:pPr>
            <w:r w:rsidRPr="001567C8">
              <w:rPr>
                <w:rFonts w:ascii="Calibri" w:eastAsia="Calibri" w:hAnsi="Calibri" w:cs="Arial"/>
                <w:b/>
                <w:i/>
                <w:spacing w:val="-2"/>
                <w:sz w:val="17"/>
                <w:szCs w:val="17"/>
                <w:lang w:val="hr-HR"/>
              </w:rPr>
              <w:t>Vlasnički vrijednosni papiri koji ne kotiraju:</w:t>
            </w:r>
          </w:p>
        </w:tc>
        <w:tc>
          <w:tcPr>
            <w:tcW w:w="847" w:type="pct"/>
            <w:tcBorders>
              <w:top w:val="single" w:sz="4" w:space="0" w:color="auto"/>
            </w:tcBorders>
            <w:vAlign w:val="bottom"/>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c>
          <w:tcPr>
            <w:tcW w:w="741" w:type="pct"/>
            <w:tcBorders>
              <w:top w:val="single" w:sz="4" w:space="0" w:color="auto"/>
            </w:tcBorders>
            <w:vAlign w:val="bottom"/>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c>
          <w:tcPr>
            <w:tcW w:w="741" w:type="pct"/>
            <w:tcBorders>
              <w:top w:val="single" w:sz="4" w:space="0" w:color="auto"/>
            </w:tcBorders>
            <w:vAlign w:val="bottom"/>
          </w:tcPr>
          <w:p w:rsidR="00DF6947" w:rsidRPr="001567C8" w:rsidDel="00561A80" w:rsidRDefault="00DF6947" w:rsidP="00DF6947">
            <w:pPr>
              <w:tabs>
                <w:tab w:val="right" w:pos="1202"/>
              </w:tabs>
              <w:jc w:val="right"/>
              <w:outlineLvl w:val="0"/>
              <w:rPr>
                <w:rFonts w:ascii="Calibri" w:eastAsia="Calibri" w:hAnsi="Calibri" w:cs="Arial"/>
                <w:spacing w:val="-2"/>
                <w:sz w:val="17"/>
                <w:szCs w:val="17"/>
                <w:lang w:val="hr-HR"/>
              </w:rPr>
            </w:pPr>
          </w:p>
        </w:tc>
      </w:tr>
      <w:tr w:rsidR="00DF6947" w:rsidRPr="001567C8" w:rsidTr="00DF6947">
        <w:trPr>
          <w:trHeight w:val="291"/>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z w:val="17"/>
                <w:szCs w:val="17"/>
                <w:lang w:val="hr-HR"/>
              </w:rPr>
            </w:pPr>
            <w:r w:rsidRPr="001567C8">
              <w:rPr>
                <w:rFonts w:ascii="Calibri" w:eastAsia="Calibri" w:hAnsi="Calibri" w:cs="Arial"/>
                <w:sz w:val="17"/>
                <w:szCs w:val="17"/>
                <w:lang w:val="hr-HR"/>
              </w:rPr>
              <w:t>Dionice inozemnih pravnih osoba</w:t>
            </w:r>
          </w:p>
        </w:tc>
        <w:tc>
          <w:tcPr>
            <w:tcW w:w="847"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olor w:val="000000"/>
                <w:sz w:val="17"/>
                <w:szCs w:val="17"/>
                <w:lang w:val="hr-HR"/>
              </w:rPr>
              <w:t>35</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r>
      <w:tr w:rsidR="00DF6947" w:rsidRPr="001567C8" w:rsidTr="00DF6947">
        <w:trPr>
          <w:trHeight w:val="291"/>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z w:val="17"/>
                <w:szCs w:val="17"/>
                <w:lang w:val="hr-HR"/>
              </w:rPr>
            </w:pPr>
            <w:r w:rsidRPr="001567C8">
              <w:rPr>
                <w:rFonts w:ascii="Calibri" w:eastAsia="Calibri" w:hAnsi="Calibri" w:cs="Arial"/>
                <w:sz w:val="17"/>
                <w:szCs w:val="17"/>
                <w:lang w:val="hr-HR"/>
              </w:rPr>
              <w:t xml:space="preserve">Dionice financijskih institucija </w:t>
            </w:r>
          </w:p>
        </w:tc>
        <w:tc>
          <w:tcPr>
            <w:tcW w:w="847"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olor w:val="000000"/>
                <w:sz w:val="17"/>
                <w:szCs w:val="17"/>
                <w:lang w:val="hr-HR"/>
              </w:rPr>
              <w:t>161</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r>
      <w:tr w:rsidR="00DF6947" w:rsidRPr="001567C8" w:rsidTr="00DF6947">
        <w:trPr>
          <w:trHeight w:val="291"/>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z w:val="17"/>
                <w:szCs w:val="17"/>
                <w:lang w:val="hr-HR"/>
              </w:rPr>
            </w:pPr>
            <w:r w:rsidRPr="001567C8">
              <w:rPr>
                <w:rFonts w:ascii="Calibri" w:eastAsia="Calibri" w:hAnsi="Calibri" w:cs="Arial"/>
                <w:sz w:val="17"/>
                <w:szCs w:val="17"/>
                <w:lang w:val="hr-HR"/>
              </w:rPr>
              <w:t>Dionice inozemnih financijskih institucija – EIF</w:t>
            </w:r>
          </w:p>
        </w:tc>
        <w:tc>
          <w:tcPr>
            <w:tcW w:w="847"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olor w:val="000000"/>
                <w:sz w:val="17"/>
                <w:szCs w:val="17"/>
                <w:lang w:val="hr-HR"/>
              </w:rPr>
              <w:t>25.427</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r>
      <w:tr w:rsidR="00DF6947" w:rsidRPr="001567C8" w:rsidTr="00DF6947">
        <w:trPr>
          <w:trHeight w:val="291"/>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spacing w:val="-2"/>
                <w:sz w:val="17"/>
                <w:szCs w:val="17"/>
                <w:lang w:val="hr-HR"/>
              </w:rPr>
            </w:pPr>
            <w:r w:rsidRPr="001567C8">
              <w:rPr>
                <w:rFonts w:ascii="Calibri" w:eastAsia="Calibri" w:hAnsi="Calibri" w:cs="Arial"/>
                <w:spacing w:val="-2"/>
                <w:sz w:val="17"/>
                <w:szCs w:val="17"/>
                <w:lang w:val="hr-HR"/>
              </w:rPr>
              <w:t>Dionice trgovačkih društava</w:t>
            </w:r>
          </w:p>
        </w:tc>
        <w:tc>
          <w:tcPr>
            <w:tcW w:w="847"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c>
          <w:tcPr>
            <w:tcW w:w="741" w:type="pct"/>
            <w:tcBorders>
              <w:top w:val="nil"/>
              <w:left w:val="nil"/>
              <w:bottom w:val="nil"/>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r>
      <w:tr w:rsidR="00DF6947" w:rsidRPr="001567C8" w:rsidTr="00DF6947">
        <w:trPr>
          <w:trHeight w:hRule="exact" w:val="340"/>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sz w:val="17"/>
                <w:szCs w:val="17"/>
                <w:lang w:val="hr-HR"/>
              </w:rPr>
            </w:pPr>
            <w:r w:rsidRPr="001567C8">
              <w:rPr>
                <w:rFonts w:ascii="Calibri" w:eastAsia="Calibri" w:hAnsi="Calibri" w:cs="Arial"/>
                <w:b/>
                <w:sz w:val="17"/>
                <w:szCs w:val="17"/>
                <w:lang w:val="hr-HR"/>
              </w:rPr>
              <w:t>Ukupno vlasnički vrijednosni papiri</w:t>
            </w:r>
          </w:p>
        </w:tc>
        <w:tc>
          <w:tcPr>
            <w:tcW w:w="847"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18.951</w:t>
            </w:r>
          </w:p>
        </w:tc>
        <w:tc>
          <w:tcPr>
            <w:tcW w:w="741"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25.623</w:t>
            </w:r>
          </w:p>
        </w:tc>
        <w:tc>
          <w:tcPr>
            <w:tcW w:w="741" w:type="pct"/>
            <w:tcBorders>
              <w:top w:val="single" w:sz="4" w:space="0" w:color="auto"/>
              <w:left w:val="nil"/>
              <w:bottom w:val="single" w:sz="8"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w:t>
            </w:r>
          </w:p>
        </w:tc>
      </w:tr>
      <w:tr w:rsidR="00DF6947" w:rsidRPr="001567C8" w:rsidTr="00DF6947">
        <w:trPr>
          <w:trHeight w:hRule="exact" w:val="340"/>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sz w:val="17"/>
                <w:szCs w:val="17"/>
                <w:lang w:val="hr-HR"/>
              </w:rPr>
            </w:pPr>
            <w:r w:rsidRPr="001567C8">
              <w:rPr>
                <w:rFonts w:ascii="Calibri" w:eastAsia="Calibri" w:hAnsi="Calibri" w:cs="Arial"/>
                <w:b/>
                <w:sz w:val="17"/>
                <w:szCs w:val="17"/>
                <w:lang w:val="hr-HR"/>
              </w:rPr>
              <w:t>Ulaganja u investicijske fondove:</w:t>
            </w:r>
          </w:p>
        </w:tc>
        <w:tc>
          <w:tcPr>
            <w:tcW w:w="847" w:type="pct"/>
            <w:tcBorders>
              <w:top w:val="single" w:sz="12" w:space="0" w:color="auto"/>
            </w:tcBorders>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p>
        </w:tc>
        <w:tc>
          <w:tcPr>
            <w:tcW w:w="741" w:type="pct"/>
            <w:tcBorders>
              <w:top w:val="single" w:sz="12" w:space="0" w:color="auto"/>
            </w:tcBorders>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p>
        </w:tc>
        <w:tc>
          <w:tcPr>
            <w:tcW w:w="741" w:type="pct"/>
            <w:tcBorders>
              <w:top w:val="single" w:sz="12" w:space="0" w:color="auto"/>
            </w:tcBorders>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p>
        </w:tc>
      </w:tr>
      <w:tr w:rsidR="00DF6947" w:rsidRPr="001567C8" w:rsidTr="00DF6947">
        <w:trPr>
          <w:trHeight w:hRule="exact" w:val="284"/>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i/>
                <w:sz w:val="17"/>
                <w:szCs w:val="17"/>
                <w:lang w:val="hr-HR"/>
              </w:rPr>
            </w:pPr>
            <w:r w:rsidRPr="001567C8">
              <w:rPr>
                <w:rFonts w:ascii="Calibri" w:eastAsia="Calibri" w:hAnsi="Calibri" w:cs="Arial"/>
                <w:sz w:val="17"/>
                <w:szCs w:val="17"/>
                <w:lang w:val="hr-HR"/>
              </w:rPr>
              <w:t>Udjeli  raspoređeni u imovinu raspoloživu za prodaju</w:t>
            </w:r>
          </w:p>
        </w:tc>
        <w:tc>
          <w:tcPr>
            <w:tcW w:w="847" w:type="pct"/>
            <w:tcBorders>
              <w:bottom w:val="single" w:sz="4" w:space="0" w:color="auto"/>
            </w:tcBorders>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788.921</w:t>
            </w:r>
          </w:p>
        </w:tc>
        <w:tc>
          <w:tcPr>
            <w:tcW w:w="741" w:type="pct"/>
            <w:tcBorders>
              <w:bottom w:val="single" w:sz="4" w:space="0" w:color="auto"/>
            </w:tcBorders>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c>
          <w:tcPr>
            <w:tcW w:w="741" w:type="pct"/>
            <w:tcBorders>
              <w:bottom w:val="single" w:sz="4" w:space="0" w:color="auto"/>
            </w:tcBorders>
            <w:vAlign w:val="bottom"/>
          </w:tcPr>
          <w:p w:rsidR="00DF6947" w:rsidRPr="001567C8" w:rsidRDefault="00DF6947" w:rsidP="00DF6947">
            <w:pPr>
              <w:tabs>
                <w:tab w:val="right" w:pos="1202"/>
              </w:tabs>
              <w:jc w:val="right"/>
              <w:outlineLvl w:val="0"/>
              <w:rPr>
                <w:rFonts w:ascii="Calibri" w:eastAsia="Calibri" w:hAnsi="Calibri" w:cs="Arial"/>
                <w:sz w:val="17"/>
                <w:szCs w:val="17"/>
                <w:lang w:val="hr-HR"/>
              </w:rPr>
            </w:pPr>
            <w:r w:rsidRPr="001567C8">
              <w:rPr>
                <w:rFonts w:ascii="Calibri" w:eastAsia="Calibri" w:hAnsi="Calibri" w:cs="Arial"/>
                <w:sz w:val="17"/>
                <w:szCs w:val="17"/>
                <w:lang w:val="hr-HR"/>
              </w:rPr>
              <w:t>-</w:t>
            </w:r>
          </w:p>
        </w:tc>
      </w:tr>
      <w:tr w:rsidR="00DF6947" w:rsidRPr="001567C8" w:rsidTr="00DF6947">
        <w:trPr>
          <w:trHeight w:hRule="exact" w:val="340"/>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sz w:val="17"/>
                <w:szCs w:val="17"/>
                <w:lang w:val="hr-HR"/>
              </w:rPr>
            </w:pPr>
            <w:r w:rsidRPr="001567C8">
              <w:rPr>
                <w:rFonts w:ascii="Calibri" w:eastAsia="Calibri" w:hAnsi="Calibri" w:cs="Arial"/>
                <w:b/>
                <w:sz w:val="17"/>
                <w:szCs w:val="17"/>
                <w:lang w:val="hr-HR"/>
              </w:rPr>
              <w:t>Ukupno ulaganja u investicijske fondove</w:t>
            </w:r>
          </w:p>
        </w:tc>
        <w:tc>
          <w:tcPr>
            <w:tcW w:w="847" w:type="pct"/>
            <w:tcBorders>
              <w:top w:val="single" w:sz="4" w:space="0" w:color="auto"/>
              <w:left w:val="nil"/>
              <w:bottom w:val="single" w:sz="12"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788.921</w:t>
            </w:r>
          </w:p>
        </w:tc>
        <w:tc>
          <w:tcPr>
            <w:tcW w:w="741" w:type="pct"/>
            <w:tcBorders>
              <w:top w:val="single" w:sz="4" w:space="0" w:color="auto"/>
              <w:left w:val="nil"/>
              <w:bottom w:val="single" w:sz="12"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w:t>
            </w:r>
          </w:p>
        </w:tc>
        <w:tc>
          <w:tcPr>
            <w:tcW w:w="741" w:type="pct"/>
            <w:tcBorders>
              <w:top w:val="single" w:sz="4" w:space="0" w:color="auto"/>
              <w:left w:val="nil"/>
              <w:bottom w:val="single" w:sz="12"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w:t>
            </w:r>
          </w:p>
        </w:tc>
      </w:tr>
      <w:tr w:rsidR="00DF6947" w:rsidRPr="001567C8" w:rsidTr="00DF6947">
        <w:trPr>
          <w:trHeight w:hRule="exact" w:val="340"/>
        </w:trPr>
        <w:tc>
          <w:tcPr>
            <w:tcW w:w="2672" w:type="pct"/>
            <w:shd w:val="clear" w:color="auto" w:fill="auto"/>
            <w:vAlign w:val="bottom"/>
          </w:tcPr>
          <w:p w:rsidR="00DF6947" w:rsidRPr="001567C8" w:rsidRDefault="00DF6947" w:rsidP="00DF6947">
            <w:pPr>
              <w:tabs>
                <w:tab w:val="right" w:pos="1202"/>
              </w:tabs>
              <w:outlineLvl w:val="0"/>
              <w:rPr>
                <w:rFonts w:ascii="Calibri" w:eastAsia="Calibri" w:hAnsi="Calibri" w:cs="Arial"/>
                <w:b/>
                <w:sz w:val="17"/>
                <w:szCs w:val="17"/>
                <w:lang w:val="hr-HR"/>
              </w:rPr>
            </w:pPr>
            <w:r w:rsidRPr="001567C8">
              <w:rPr>
                <w:rFonts w:ascii="Calibri" w:eastAsia="Calibri" w:hAnsi="Calibri" w:cs="Arial"/>
                <w:b/>
                <w:sz w:val="17"/>
                <w:szCs w:val="17"/>
                <w:lang w:val="hr-HR"/>
              </w:rPr>
              <w:t>Ukupno imovina raspoloživa za prodaju</w:t>
            </w:r>
          </w:p>
        </w:tc>
        <w:tc>
          <w:tcPr>
            <w:tcW w:w="847" w:type="pct"/>
            <w:tcBorders>
              <w:top w:val="single" w:sz="12" w:space="0" w:color="auto"/>
              <w:left w:val="nil"/>
              <w:bottom w:val="single" w:sz="12"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3.250.882</w:t>
            </w:r>
          </w:p>
        </w:tc>
        <w:tc>
          <w:tcPr>
            <w:tcW w:w="741" w:type="pct"/>
            <w:tcBorders>
              <w:top w:val="single" w:sz="12" w:space="0" w:color="auto"/>
              <w:left w:val="nil"/>
              <w:bottom w:val="single" w:sz="12"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25.623</w:t>
            </w:r>
          </w:p>
        </w:tc>
        <w:tc>
          <w:tcPr>
            <w:tcW w:w="741" w:type="pct"/>
            <w:tcBorders>
              <w:top w:val="single" w:sz="12" w:space="0" w:color="auto"/>
              <w:left w:val="nil"/>
              <w:bottom w:val="single" w:sz="12" w:space="0" w:color="auto"/>
              <w:right w:val="nil"/>
            </w:tcBorders>
            <w:shd w:val="clear" w:color="auto" w:fill="auto"/>
            <w:vAlign w:val="bottom"/>
          </w:tcPr>
          <w:p w:rsidR="00DF6947" w:rsidRPr="001567C8" w:rsidRDefault="00DF6947" w:rsidP="00DF6947">
            <w:pPr>
              <w:tabs>
                <w:tab w:val="right" w:pos="1202"/>
              </w:tabs>
              <w:jc w:val="right"/>
              <w:outlineLvl w:val="0"/>
              <w:rPr>
                <w:rFonts w:ascii="Calibri" w:eastAsia="Calibri" w:hAnsi="Calibri" w:cs="Arial"/>
                <w:b/>
                <w:sz w:val="17"/>
                <w:szCs w:val="17"/>
                <w:lang w:val="hr-HR"/>
              </w:rPr>
            </w:pPr>
            <w:r w:rsidRPr="001567C8">
              <w:rPr>
                <w:rFonts w:ascii="Calibri" w:eastAsia="Calibri" w:hAnsi="Calibri" w:cs="Arial"/>
                <w:b/>
                <w:sz w:val="17"/>
                <w:szCs w:val="17"/>
                <w:lang w:val="hr-HR"/>
              </w:rPr>
              <w:t>689</w:t>
            </w:r>
          </w:p>
        </w:tc>
      </w:tr>
    </w:tbl>
    <w:p w:rsidR="00DF6947" w:rsidRPr="001567C8" w:rsidRDefault="00DF6947" w:rsidP="00DF6947">
      <w:pPr>
        <w:keepNext/>
        <w:tabs>
          <w:tab w:val="left" w:pos="567"/>
        </w:tabs>
        <w:jc w:val="both"/>
        <w:rPr>
          <w:rFonts w:ascii="Calibri" w:hAnsi="Calibri" w:cs="Arial"/>
          <w:b/>
          <w:bCs/>
          <w:spacing w:val="-3"/>
          <w:sz w:val="22"/>
          <w:szCs w:val="22"/>
          <w:lang w:val="hr-HR"/>
        </w:rPr>
      </w:pPr>
    </w:p>
    <w:p w:rsidR="00946C6C" w:rsidRPr="001567C8" w:rsidRDefault="00946C6C" w:rsidP="00946C6C">
      <w:pPr>
        <w:pStyle w:val="T1"/>
        <w:spacing w:before="120" w:line="300" w:lineRule="exact"/>
        <w:rPr>
          <w:rFonts w:asciiTheme="minorHAnsi" w:hAnsiTheme="minorHAnsi" w:cs="Arial"/>
          <w:b w:val="0"/>
          <w:bCs w:val="0"/>
          <w:spacing w:val="-3"/>
          <w:sz w:val="22"/>
          <w:szCs w:val="22"/>
          <w:lang w:val="hr-HR"/>
        </w:rPr>
        <w:sectPr w:rsidR="00946C6C" w:rsidRPr="001567C8" w:rsidSect="0077198A">
          <w:pgSz w:w="11907" w:h="16840" w:code="9"/>
          <w:pgMar w:top="1418" w:right="1134" w:bottom="1134" w:left="1418" w:header="851" w:footer="851" w:gutter="0"/>
          <w:cols w:space="720"/>
          <w:noEndnote/>
        </w:sectPr>
      </w:pPr>
    </w:p>
    <w:p w:rsidR="00DF6947" w:rsidRPr="001567C8" w:rsidRDefault="00DF6947" w:rsidP="00CB00C4">
      <w:pPr>
        <w:pStyle w:val="T1"/>
        <w:spacing w:before="0" w:after="0" w:line="240" w:lineRule="auto"/>
        <w:ind w:left="709" w:hanging="709"/>
        <w:rPr>
          <w:rFonts w:asciiTheme="minorHAnsi" w:hAnsiTheme="minorHAnsi" w:cs="Arial"/>
          <w:spacing w:val="-3"/>
          <w:sz w:val="22"/>
          <w:szCs w:val="22"/>
          <w:lang w:val="hr-HR"/>
        </w:rPr>
      </w:pPr>
    </w:p>
    <w:p w:rsidR="00086AB9" w:rsidRPr="001567C8" w:rsidRDefault="00086AB9" w:rsidP="00086AB9">
      <w:pPr>
        <w:keepNext/>
        <w:tabs>
          <w:tab w:val="left" w:pos="567"/>
        </w:tabs>
        <w:jc w:val="both"/>
        <w:rPr>
          <w:rFonts w:ascii="Calibri" w:hAnsi="Calibri" w:cs="Arial"/>
          <w:b/>
          <w:bCs/>
          <w:spacing w:val="-3"/>
          <w:sz w:val="22"/>
          <w:szCs w:val="22"/>
          <w:lang w:val="hr-HR"/>
        </w:rPr>
      </w:pPr>
      <w:r w:rsidRPr="001567C8">
        <w:rPr>
          <w:rFonts w:ascii="Calibri" w:hAnsi="Calibri" w:cs="Arial"/>
          <w:b/>
          <w:bCs/>
          <w:spacing w:val="-3"/>
          <w:sz w:val="22"/>
          <w:szCs w:val="22"/>
          <w:lang w:val="hr-HR"/>
        </w:rPr>
        <w:t xml:space="preserve">37. </w:t>
      </w:r>
      <w:r w:rsidRPr="001567C8">
        <w:rPr>
          <w:rFonts w:ascii="Calibri" w:hAnsi="Calibri" w:cs="Arial"/>
          <w:b/>
          <w:bCs/>
          <w:spacing w:val="-3"/>
          <w:sz w:val="22"/>
          <w:szCs w:val="22"/>
          <w:lang w:val="hr-HR"/>
        </w:rPr>
        <w:tab/>
        <w:t>Fer vrijednost financijske imovine i financijskih obveza (nastavak)</w:t>
      </w:r>
    </w:p>
    <w:p w:rsidR="00086AB9" w:rsidRPr="001567C8" w:rsidRDefault="00086AB9" w:rsidP="00086AB9">
      <w:pPr>
        <w:rPr>
          <w:rFonts w:ascii="Calibri" w:eastAsia="Calibri" w:hAnsi="Calibri" w:cs="Calibri"/>
          <w:b/>
          <w:sz w:val="22"/>
          <w:szCs w:val="22"/>
          <w:lang w:val="hr-HR"/>
        </w:rPr>
      </w:pPr>
    </w:p>
    <w:p w:rsidR="00086AB9" w:rsidRPr="001567C8" w:rsidRDefault="00086AB9" w:rsidP="00086AB9">
      <w:pPr>
        <w:keepNext/>
        <w:ind w:left="708" w:hanging="708"/>
        <w:jc w:val="both"/>
        <w:rPr>
          <w:rFonts w:ascii="Calibri" w:hAnsi="Calibri" w:cs="Arial"/>
          <w:b/>
          <w:bCs/>
          <w:spacing w:val="-3"/>
          <w:sz w:val="22"/>
          <w:szCs w:val="22"/>
          <w:lang w:val="hr-HR"/>
        </w:rPr>
      </w:pPr>
      <w:r w:rsidRPr="001567C8">
        <w:rPr>
          <w:rFonts w:ascii="Calibri" w:hAnsi="Calibri" w:cs="Arial"/>
          <w:b/>
          <w:bCs/>
          <w:spacing w:val="-3"/>
          <w:sz w:val="22"/>
          <w:szCs w:val="22"/>
          <w:lang w:val="hr-HR"/>
        </w:rPr>
        <w:t>37.1.</w:t>
      </w:r>
      <w:r w:rsidRPr="001567C8">
        <w:rPr>
          <w:rFonts w:ascii="Calibri" w:hAnsi="Calibri" w:cs="Arial"/>
          <w:b/>
          <w:bCs/>
          <w:spacing w:val="-3"/>
          <w:sz w:val="22"/>
          <w:szCs w:val="22"/>
          <w:lang w:val="hr-HR"/>
        </w:rPr>
        <w:tab/>
        <w:t xml:space="preserve">Fer vrijednost financijske imovine i financijskih obveza koji se vode po fer vrijednosti (nastavak) </w:t>
      </w:r>
    </w:p>
    <w:p w:rsidR="00086AB9" w:rsidRPr="001567C8" w:rsidRDefault="00086AB9" w:rsidP="00086AB9">
      <w:pPr>
        <w:rPr>
          <w:rFonts w:ascii="Calibri" w:eastAsia="Calibri" w:hAnsi="Calibri" w:cs="Calibri"/>
          <w:b/>
          <w:sz w:val="22"/>
          <w:szCs w:val="22"/>
          <w:lang w:val="hr-HR"/>
        </w:rPr>
      </w:pPr>
    </w:p>
    <w:p w:rsidR="00086AB9" w:rsidRPr="001567C8" w:rsidRDefault="00086AB9" w:rsidP="00086AB9">
      <w:pPr>
        <w:rPr>
          <w:rFonts w:ascii="Calibri" w:eastAsia="Calibri" w:hAnsi="Calibri" w:cs="Calibri"/>
          <w:b/>
          <w:sz w:val="22"/>
          <w:szCs w:val="22"/>
          <w:lang w:val="hr-HR"/>
        </w:rPr>
      </w:pPr>
      <w:r w:rsidRPr="001567C8">
        <w:rPr>
          <w:rFonts w:ascii="Calibri" w:eastAsia="Calibri" w:hAnsi="Calibri" w:cs="Calibri"/>
          <w:b/>
          <w:sz w:val="22"/>
          <w:szCs w:val="22"/>
          <w:lang w:val="hr-HR"/>
        </w:rPr>
        <w:t xml:space="preserve">37.1.1. </w:t>
      </w:r>
      <w:r w:rsidRPr="001567C8">
        <w:rPr>
          <w:rFonts w:ascii="Calibri" w:eastAsia="Calibri" w:hAnsi="Calibri" w:cs="Calibri"/>
          <w:b/>
          <w:sz w:val="22"/>
          <w:szCs w:val="22"/>
          <w:lang w:val="hr-HR"/>
        </w:rPr>
        <w:tab/>
        <w:t>Razina 3 - fer vrijednosti</w:t>
      </w:r>
    </w:p>
    <w:p w:rsidR="00086AB9" w:rsidRPr="001567C8" w:rsidRDefault="00086AB9" w:rsidP="00086AB9">
      <w:pPr>
        <w:rPr>
          <w:rFonts w:ascii="Calibri" w:eastAsia="Calibri" w:hAnsi="Calibri" w:cs="Calibri"/>
          <w:sz w:val="22"/>
          <w:szCs w:val="22"/>
          <w:lang w:val="hr-HR"/>
        </w:rPr>
      </w:pPr>
    </w:p>
    <w:p w:rsidR="00D606D9" w:rsidRPr="001567C8" w:rsidRDefault="00D606D9" w:rsidP="00D606D9">
      <w:pPr>
        <w:rPr>
          <w:rFonts w:ascii="Calibri" w:eastAsia="Calibri" w:hAnsi="Calibri" w:cs="Calibri"/>
          <w:b/>
          <w:i/>
          <w:sz w:val="22"/>
          <w:szCs w:val="22"/>
          <w:lang w:val="hr-HR"/>
        </w:rPr>
      </w:pPr>
      <w:r w:rsidRPr="001567C8">
        <w:rPr>
          <w:rFonts w:ascii="Calibri" w:eastAsia="Calibri" w:hAnsi="Calibri" w:cs="Calibri"/>
          <w:b/>
          <w:i/>
          <w:sz w:val="22"/>
          <w:szCs w:val="22"/>
          <w:lang w:val="hr-HR"/>
        </w:rPr>
        <w:t>a)  Mezzanine krediti</w:t>
      </w:r>
    </w:p>
    <w:p w:rsidR="00D606D9" w:rsidRPr="001567C8" w:rsidRDefault="00D606D9" w:rsidP="00D606D9">
      <w:pPr>
        <w:rPr>
          <w:rFonts w:ascii="Calibri" w:eastAsia="Calibri" w:hAnsi="Calibri" w:cs="Calibri"/>
          <w:b/>
          <w:i/>
          <w:sz w:val="22"/>
          <w:szCs w:val="22"/>
          <w:lang w:val="hr-HR"/>
        </w:rPr>
      </w:pPr>
    </w:p>
    <w:p w:rsidR="00D606D9" w:rsidRPr="001567C8" w:rsidRDefault="00D606D9" w:rsidP="00D606D9">
      <w:pPr>
        <w:jc w:val="both"/>
        <w:rPr>
          <w:rFonts w:ascii="Calibri" w:eastAsia="Calibri" w:hAnsi="Calibri" w:cs="Calibri"/>
          <w:sz w:val="22"/>
          <w:szCs w:val="22"/>
          <w:lang w:val="hr-HR"/>
        </w:rPr>
      </w:pPr>
      <w:r w:rsidRPr="001567C8">
        <w:rPr>
          <w:rFonts w:ascii="Calibri" w:eastAsia="Calibri" w:hAnsi="Calibri" w:cs="Calibri"/>
          <w:sz w:val="22"/>
          <w:szCs w:val="22"/>
          <w:lang w:val="hr-HR"/>
        </w:rPr>
        <w:t>Za procjenu fer vrijednosti mezzanine kredita koristi se metoda diskontiranja očekivanih budućih novčanih tijekova.</w:t>
      </w:r>
    </w:p>
    <w:p w:rsidR="00D606D9" w:rsidRPr="001567C8" w:rsidRDefault="00D606D9" w:rsidP="00D606D9">
      <w:pPr>
        <w:jc w:val="both"/>
        <w:rPr>
          <w:rFonts w:ascii="Calibri" w:eastAsia="Calibri" w:hAnsi="Calibri" w:cs="Calibri"/>
          <w:sz w:val="22"/>
          <w:szCs w:val="22"/>
          <w:lang w:val="hr-HR"/>
        </w:rPr>
      </w:pPr>
      <w:r w:rsidRPr="001567C8">
        <w:rPr>
          <w:rFonts w:ascii="Calibri" w:eastAsia="Calibri" w:hAnsi="Calibri" w:cs="Calibri"/>
          <w:sz w:val="22"/>
          <w:szCs w:val="22"/>
          <w:lang w:val="hr-HR"/>
        </w:rPr>
        <w:t>Mezzanine kreditni plasmani zbog svojih ugovornih karakteristika ne prolaze na SPPI testu. Karakteristike zbog kojih mezzanine krediti ne prolaze SPPI test su sljedeće:</w:t>
      </w:r>
    </w:p>
    <w:p w:rsidR="00D606D9" w:rsidRPr="001567C8" w:rsidRDefault="00D606D9" w:rsidP="00D606D9">
      <w:pPr>
        <w:jc w:val="both"/>
        <w:rPr>
          <w:rFonts w:ascii="Calibri" w:eastAsia="Calibri" w:hAnsi="Calibri" w:cs="Calibri"/>
          <w:sz w:val="22"/>
          <w:szCs w:val="22"/>
          <w:lang w:val="hr-HR"/>
        </w:rPr>
      </w:pPr>
    </w:p>
    <w:p w:rsidR="00D606D9" w:rsidRPr="001567C8" w:rsidRDefault="00D606D9" w:rsidP="002B5EA8">
      <w:pPr>
        <w:pStyle w:val="ListParagraph"/>
        <w:numPr>
          <w:ilvl w:val="0"/>
          <w:numId w:val="37"/>
        </w:numPr>
        <w:jc w:val="both"/>
        <w:rPr>
          <w:rFonts w:ascii="Calibri" w:eastAsia="Calibri" w:hAnsi="Calibri" w:cs="Calibri"/>
          <w:sz w:val="22"/>
          <w:szCs w:val="22"/>
          <w:lang w:val="hr-HR"/>
        </w:rPr>
      </w:pPr>
      <w:r w:rsidRPr="001567C8">
        <w:rPr>
          <w:rFonts w:ascii="Calibri" w:eastAsia="Calibri" w:hAnsi="Calibri" w:cs="Calibri"/>
          <w:sz w:val="22"/>
          <w:szCs w:val="22"/>
          <w:lang w:val="hr-HR"/>
        </w:rPr>
        <w:t>u slučaju ostvarenja ugovorom definiranih pokazatelja poslovanja (omjer neto duga i iznosa EBITDA) tijekom unaprijed određenog razdoblja vjerovnici imaju mogućnost, ali ne i obvezu, konverzije mezzanine kredita u „senior dug“</w:t>
      </w:r>
      <w:r w:rsidR="00B81041" w:rsidRPr="001567C8">
        <w:rPr>
          <w:rFonts w:ascii="Calibri" w:eastAsia="Calibri" w:hAnsi="Calibri" w:cs="Calibri"/>
          <w:sz w:val="22"/>
          <w:szCs w:val="22"/>
          <w:lang w:val="hr-HR"/>
        </w:rPr>
        <w:t>,</w:t>
      </w:r>
    </w:p>
    <w:p w:rsidR="00D606D9" w:rsidRPr="001567C8" w:rsidRDefault="00D606D9" w:rsidP="002B5EA8">
      <w:pPr>
        <w:pStyle w:val="ListParagraph"/>
        <w:numPr>
          <w:ilvl w:val="0"/>
          <w:numId w:val="37"/>
        </w:numPr>
        <w:jc w:val="both"/>
        <w:rPr>
          <w:rFonts w:ascii="Calibri" w:eastAsia="Calibri" w:hAnsi="Calibri" w:cs="Calibri"/>
          <w:sz w:val="22"/>
          <w:szCs w:val="22"/>
          <w:lang w:val="hr-HR"/>
        </w:rPr>
      </w:pPr>
      <w:r w:rsidRPr="001567C8">
        <w:rPr>
          <w:rFonts w:ascii="Calibri" w:eastAsia="Calibri" w:hAnsi="Calibri" w:cs="Calibri"/>
          <w:sz w:val="22"/>
          <w:szCs w:val="22"/>
          <w:lang w:val="hr-HR"/>
        </w:rPr>
        <w:t>po konačnom dospijeću mezzanine kredita, vjerovnici imaju mogućnost, ali ne i obvezu, konverzije kredita u temeljni kapital dužnika i</w:t>
      </w:r>
    </w:p>
    <w:p w:rsidR="00D606D9" w:rsidRPr="001567C8" w:rsidRDefault="00D606D9" w:rsidP="002B5EA8">
      <w:pPr>
        <w:pStyle w:val="ListParagraph"/>
        <w:numPr>
          <w:ilvl w:val="0"/>
          <w:numId w:val="37"/>
        </w:numPr>
        <w:jc w:val="both"/>
        <w:rPr>
          <w:rFonts w:ascii="Calibri" w:eastAsia="Calibri" w:hAnsi="Calibri" w:cs="Calibri"/>
          <w:sz w:val="22"/>
          <w:szCs w:val="22"/>
          <w:lang w:val="hr-HR"/>
        </w:rPr>
      </w:pPr>
      <w:r w:rsidRPr="001567C8">
        <w:rPr>
          <w:rFonts w:ascii="Calibri" w:eastAsia="Calibri" w:hAnsi="Calibri" w:cs="Calibri"/>
          <w:sz w:val="22"/>
          <w:szCs w:val="22"/>
          <w:lang w:val="hr-HR"/>
        </w:rPr>
        <w:t>dužnik ima mogućnost, ali ne i obvezu, prijevremeno otplatiti kredit uz diskont.</w:t>
      </w:r>
    </w:p>
    <w:p w:rsidR="00D606D9" w:rsidRPr="001567C8" w:rsidRDefault="00D606D9" w:rsidP="00D606D9">
      <w:pPr>
        <w:jc w:val="both"/>
        <w:rPr>
          <w:rFonts w:ascii="Calibri" w:eastAsia="Calibri" w:hAnsi="Calibri" w:cs="Calibri"/>
          <w:b/>
          <w:i/>
          <w:sz w:val="22"/>
          <w:szCs w:val="22"/>
          <w:lang w:val="hr-HR"/>
        </w:rPr>
      </w:pPr>
    </w:p>
    <w:p w:rsidR="00D606D9" w:rsidRPr="001567C8" w:rsidRDefault="00D606D9" w:rsidP="00D606D9">
      <w:pPr>
        <w:jc w:val="both"/>
        <w:rPr>
          <w:rFonts w:ascii="Calibri" w:eastAsia="Calibri" w:hAnsi="Calibri" w:cs="Calibri"/>
          <w:sz w:val="22"/>
          <w:szCs w:val="22"/>
          <w:lang w:val="hr-HR"/>
        </w:rPr>
      </w:pPr>
      <w:r w:rsidRPr="001567C8">
        <w:rPr>
          <w:rFonts w:ascii="Calibri" w:eastAsia="Calibri" w:hAnsi="Calibri" w:cs="Calibri"/>
          <w:sz w:val="22"/>
          <w:szCs w:val="22"/>
          <w:lang w:val="hr-HR"/>
        </w:rPr>
        <w:t>Zbog navedenih karakteristika mezzanine kredita procjena fer vrijednosti ovih kredita obavljena je uz uvažavanje načela opreznosti, prema kojem se prihodi priznaju samo onda kad su stvarno nastali, a rashodi i onda kada su mogući, uz pretpostavku nastavka redovnog poslovanja dužnika u budućnosti. Navedeno predstavlja situaciju u kojoj bi Grupa po konačnom dospijeću mezzanine kredita svoja potraživanja konvertirala u temeljni kapital dužnika.</w:t>
      </w:r>
    </w:p>
    <w:p w:rsidR="00D606D9" w:rsidRPr="001567C8" w:rsidRDefault="00D606D9" w:rsidP="00D606D9">
      <w:pPr>
        <w:jc w:val="both"/>
        <w:rPr>
          <w:rFonts w:ascii="Calibri" w:eastAsia="Calibri" w:hAnsi="Calibri" w:cs="Calibri"/>
          <w:sz w:val="22"/>
          <w:szCs w:val="22"/>
          <w:lang w:val="hr-HR"/>
        </w:rPr>
      </w:pPr>
    </w:p>
    <w:p w:rsidR="00D606D9" w:rsidRPr="001567C8" w:rsidRDefault="00D606D9" w:rsidP="00D606D9">
      <w:pPr>
        <w:jc w:val="both"/>
        <w:rPr>
          <w:rFonts w:ascii="Calibri" w:eastAsia="Calibri" w:hAnsi="Calibri" w:cs="Calibri"/>
          <w:sz w:val="22"/>
          <w:szCs w:val="22"/>
          <w:lang w:val="hr-HR"/>
        </w:rPr>
      </w:pPr>
      <w:r w:rsidRPr="001567C8">
        <w:rPr>
          <w:rFonts w:ascii="Calibri" w:eastAsia="Calibri" w:hAnsi="Calibri" w:cs="Calibri"/>
          <w:sz w:val="22"/>
          <w:szCs w:val="22"/>
          <w:lang w:val="hr-HR"/>
        </w:rPr>
        <w:t>Dana 28.12.2018. godine tržišna cijena redovnih dionica dužnika koje bi Banka mogla upisati iznosila je 7.222 tisuća kuna uz pretpostavku da su u tržišnu cijenu dionica uključena sva tržišna očekivanja vezana uz buduće poslovanje izdavatelja. Obzirom da HBOR navedene redovne dionice može upisati tek 30. travnja 2030. godine, iznos tržišne vrijednosti je sveden na sadašnju vrijednost primjenom odgovarajuće diskontne stope te sadašnja vrijednost ovih dionica u očekivanom vlasništvu HBOR-a iznosi 2.045 tisuća kuna, što predstavlja fer vrijednost mezzanine kredita na dan 31. prosinca 2018. godine.</w:t>
      </w:r>
    </w:p>
    <w:p w:rsidR="00D606D9" w:rsidRPr="001567C8" w:rsidRDefault="00D606D9" w:rsidP="00086AB9">
      <w:pPr>
        <w:rPr>
          <w:rFonts w:ascii="Calibri" w:eastAsia="Calibri" w:hAnsi="Calibri" w:cs="Calibri"/>
          <w:sz w:val="22"/>
          <w:szCs w:val="22"/>
          <w:lang w:val="hr-HR"/>
        </w:rPr>
      </w:pPr>
    </w:p>
    <w:p w:rsidR="00086AB9" w:rsidRPr="001567C8" w:rsidRDefault="00D606D9" w:rsidP="003C6BA3">
      <w:pPr>
        <w:tabs>
          <w:tab w:val="left" w:pos="284"/>
        </w:tabs>
        <w:rPr>
          <w:rFonts w:ascii="Calibri" w:eastAsia="Calibri" w:hAnsi="Calibri" w:cs="Calibri"/>
          <w:b/>
          <w:i/>
          <w:sz w:val="22"/>
          <w:szCs w:val="22"/>
          <w:lang w:val="hr-HR"/>
        </w:rPr>
      </w:pPr>
      <w:r w:rsidRPr="001567C8">
        <w:rPr>
          <w:rFonts w:ascii="Calibri" w:eastAsia="Calibri" w:hAnsi="Calibri" w:cs="Calibri"/>
          <w:b/>
          <w:i/>
          <w:sz w:val="22"/>
          <w:szCs w:val="22"/>
          <w:lang w:val="hr-HR"/>
        </w:rPr>
        <w:t>b</w:t>
      </w:r>
      <w:r w:rsidR="00086AB9" w:rsidRPr="001567C8">
        <w:rPr>
          <w:rFonts w:ascii="Calibri" w:eastAsia="Calibri" w:hAnsi="Calibri" w:cs="Calibri"/>
          <w:b/>
          <w:i/>
          <w:sz w:val="22"/>
          <w:szCs w:val="22"/>
          <w:lang w:val="hr-HR"/>
        </w:rPr>
        <w:t xml:space="preserve">) </w:t>
      </w:r>
      <w:r w:rsidR="00086AB9" w:rsidRPr="001567C8">
        <w:rPr>
          <w:rFonts w:ascii="Calibri" w:eastAsia="Calibri" w:hAnsi="Calibri" w:cs="Calibri"/>
          <w:b/>
          <w:i/>
          <w:sz w:val="22"/>
          <w:szCs w:val="22"/>
          <w:lang w:val="hr-HR"/>
        </w:rPr>
        <w:tab/>
      </w:r>
      <w:r w:rsidR="001D6226" w:rsidRPr="001567C8">
        <w:rPr>
          <w:rFonts w:ascii="Calibri" w:eastAsia="Calibri" w:hAnsi="Calibri" w:cs="Calibri"/>
          <w:b/>
          <w:i/>
          <w:sz w:val="22"/>
          <w:szCs w:val="22"/>
          <w:lang w:val="hr-HR"/>
        </w:rPr>
        <w:t>K</w:t>
      </w:r>
      <w:r w:rsidR="00086AB9" w:rsidRPr="001567C8">
        <w:rPr>
          <w:rFonts w:ascii="Calibri" w:eastAsia="Calibri" w:hAnsi="Calibri" w:cs="Calibri"/>
          <w:b/>
          <w:i/>
          <w:sz w:val="22"/>
          <w:szCs w:val="22"/>
          <w:lang w:val="hr-HR"/>
        </w:rPr>
        <w:t>orporativn</w:t>
      </w:r>
      <w:r w:rsidR="001D6226" w:rsidRPr="001567C8">
        <w:rPr>
          <w:rFonts w:ascii="Calibri" w:eastAsia="Calibri" w:hAnsi="Calibri" w:cs="Calibri"/>
          <w:b/>
          <w:i/>
          <w:sz w:val="22"/>
          <w:szCs w:val="22"/>
          <w:lang w:val="hr-HR"/>
        </w:rPr>
        <w:t>e</w:t>
      </w:r>
      <w:r w:rsidR="00086AB9" w:rsidRPr="001567C8">
        <w:rPr>
          <w:rFonts w:ascii="Calibri" w:eastAsia="Calibri" w:hAnsi="Calibri" w:cs="Calibri"/>
          <w:b/>
          <w:i/>
          <w:sz w:val="22"/>
          <w:szCs w:val="22"/>
          <w:lang w:val="hr-HR"/>
        </w:rPr>
        <w:t xml:space="preserve"> obveznic</w:t>
      </w:r>
      <w:r w:rsidR="001D6226" w:rsidRPr="001567C8">
        <w:rPr>
          <w:rFonts w:ascii="Calibri" w:eastAsia="Calibri" w:hAnsi="Calibri" w:cs="Calibri"/>
          <w:b/>
          <w:i/>
          <w:sz w:val="22"/>
          <w:szCs w:val="22"/>
          <w:lang w:val="hr-HR"/>
        </w:rPr>
        <w:t>e</w:t>
      </w:r>
      <w:r w:rsidR="00086AB9" w:rsidRPr="001567C8">
        <w:rPr>
          <w:rFonts w:ascii="Calibri" w:eastAsia="Calibri" w:hAnsi="Calibri" w:cs="Calibri"/>
          <w:b/>
          <w:i/>
          <w:sz w:val="22"/>
          <w:szCs w:val="22"/>
          <w:lang w:val="hr-HR"/>
        </w:rPr>
        <w:t xml:space="preserve"> koje su raspoređene u razinu 3</w:t>
      </w:r>
    </w:p>
    <w:p w:rsidR="00D606D9" w:rsidRPr="001567C8" w:rsidRDefault="00D606D9" w:rsidP="00086AB9">
      <w:pPr>
        <w:rPr>
          <w:rFonts w:ascii="Calibri" w:eastAsia="Calibri" w:hAnsi="Calibri" w:cs="Calibri"/>
          <w:b/>
          <w:i/>
          <w:sz w:val="22"/>
          <w:szCs w:val="22"/>
          <w:lang w:val="hr-HR"/>
        </w:rPr>
      </w:pPr>
    </w:p>
    <w:p w:rsidR="00D606D9" w:rsidRPr="001567C8" w:rsidRDefault="00D606D9" w:rsidP="00086AB9">
      <w:pPr>
        <w:rPr>
          <w:rFonts w:ascii="Calibri" w:eastAsia="Calibri" w:hAnsi="Calibri" w:cs="Calibri"/>
          <w:i/>
          <w:sz w:val="22"/>
          <w:szCs w:val="22"/>
          <w:lang w:val="hr-HR"/>
        </w:rPr>
      </w:pPr>
      <w:r w:rsidRPr="001567C8">
        <w:rPr>
          <w:rFonts w:ascii="Calibri" w:eastAsia="Calibri" w:hAnsi="Calibri" w:cs="Calibri"/>
          <w:i/>
          <w:sz w:val="22"/>
          <w:szCs w:val="22"/>
          <w:lang w:val="hr-HR"/>
        </w:rPr>
        <w:t>(i) Tehnike vrednovanja i značajni ulazni podaci koji nisu vidljivi</w:t>
      </w:r>
    </w:p>
    <w:p w:rsidR="00086AB9" w:rsidRPr="001567C8" w:rsidRDefault="00086AB9" w:rsidP="00086AB9">
      <w:pPr>
        <w:jc w:val="both"/>
        <w:rPr>
          <w:rFonts w:ascii="Calibri" w:eastAsia="Calibri" w:hAnsi="Calibri" w:cs="Calibri"/>
          <w:b/>
          <w:i/>
          <w:sz w:val="22"/>
          <w:szCs w:val="22"/>
          <w:lang w:val="hr-HR"/>
        </w:rPr>
      </w:pPr>
    </w:p>
    <w:p w:rsidR="00086AB9" w:rsidRPr="001567C8" w:rsidRDefault="00086AB9" w:rsidP="00086AB9">
      <w:pPr>
        <w:jc w:val="both"/>
        <w:rPr>
          <w:rFonts w:ascii="Calibri" w:eastAsia="Calibri" w:hAnsi="Calibri"/>
          <w:sz w:val="22"/>
          <w:szCs w:val="22"/>
          <w:lang w:val="hr-HR"/>
        </w:rPr>
      </w:pPr>
      <w:r w:rsidRPr="001567C8">
        <w:rPr>
          <w:rFonts w:ascii="Calibri" w:eastAsia="Calibri" w:hAnsi="Calibri"/>
          <w:sz w:val="22"/>
          <w:szCs w:val="22"/>
          <w:lang w:val="hr-HR"/>
        </w:rPr>
        <w:t xml:space="preserve">Za procjenu fer vrijednosti nelikvidnih korporativnih obveznica u portfelju HBOR-a koristi se metoda diskontiranog novčanog tijeka obveznice.  Fer vrijednost obveznica je sadašnja vrijednost svih budućih novčanih tijekova obveznica izračunata primjenom diskontne stope definirane kao prinos na nerizična ulaganja uvećan za premiju specifičnog kreditnog rizika za promatranu obveznicu i premiju rizika likvidnosti obveznice. </w:t>
      </w:r>
    </w:p>
    <w:p w:rsidR="00086AB9" w:rsidRPr="001567C8" w:rsidRDefault="00086AB9" w:rsidP="00086AB9">
      <w:pPr>
        <w:jc w:val="both"/>
        <w:rPr>
          <w:rFonts w:ascii="Calibri" w:eastAsia="Calibri" w:hAnsi="Calibri"/>
          <w:sz w:val="22"/>
          <w:szCs w:val="22"/>
          <w:lang w:val="hr-HR"/>
        </w:rPr>
      </w:pPr>
    </w:p>
    <w:p w:rsidR="00086AB9" w:rsidRPr="001567C8" w:rsidRDefault="00086AB9" w:rsidP="00086AB9">
      <w:pPr>
        <w:jc w:val="both"/>
        <w:rPr>
          <w:rFonts w:ascii="Calibri" w:eastAsia="Calibri" w:hAnsi="Calibri"/>
          <w:sz w:val="22"/>
          <w:szCs w:val="22"/>
          <w:lang w:val="hr-HR"/>
        </w:rPr>
      </w:pPr>
      <w:r w:rsidRPr="001567C8">
        <w:rPr>
          <w:rFonts w:ascii="Calibri" w:eastAsia="Calibri" w:hAnsi="Calibri"/>
          <w:sz w:val="22"/>
          <w:szCs w:val="22"/>
          <w:lang w:val="hr-HR"/>
        </w:rPr>
        <w:t>Visina diskontne stope na nerizična ulaganja izračunava se kao linearno interpolirani/ekstrapolirani prinos obveznica Republike Hrvatske istog trajanja (duracije) i iste devize kao vrednovane obveznice. Izvor informacija o prinosima na obveznice Republike Hrvatske je informacijski sustav Bloomberg.</w:t>
      </w:r>
    </w:p>
    <w:p w:rsidR="00D606D9" w:rsidRPr="001567C8" w:rsidRDefault="00D606D9" w:rsidP="00086AB9">
      <w:pPr>
        <w:jc w:val="both"/>
        <w:rPr>
          <w:rFonts w:ascii="Calibri" w:eastAsia="Calibri" w:hAnsi="Calibri"/>
          <w:sz w:val="22"/>
          <w:szCs w:val="22"/>
          <w:lang w:val="hr-HR"/>
        </w:rPr>
        <w:sectPr w:rsidR="00D606D9" w:rsidRPr="001567C8" w:rsidSect="0077198A">
          <w:pgSz w:w="11907" w:h="16840" w:code="9"/>
          <w:pgMar w:top="1418" w:right="1134" w:bottom="1134" w:left="1418" w:header="851" w:footer="851" w:gutter="0"/>
          <w:cols w:space="720"/>
          <w:noEndnote/>
        </w:sectPr>
      </w:pPr>
    </w:p>
    <w:p w:rsidR="00086AB9" w:rsidRPr="001567C8" w:rsidRDefault="00086AB9" w:rsidP="00086AB9">
      <w:pPr>
        <w:jc w:val="both"/>
        <w:rPr>
          <w:rFonts w:ascii="Calibri" w:eastAsia="Calibri" w:hAnsi="Calibri"/>
          <w:sz w:val="22"/>
          <w:szCs w:val="22"/>
          <w:lang w:val="hr-HR"/>
        </w:rPr>
      </w:pPr>
    </w:p>
    <w:p w:rsidR="00D606D9" w:rsidRPr="001567C8" w:rsidRDefault="00D606D9" w:rsidP="00D606D9">
      <w:pPr>
        <w:keepNext/>
        <w:tabs>
          <w:tab w:val="left" w:pos="567"/>
        </w:tabs>
        <w:jc w:val="both"/>
        <w:rPr>
          <w:rFonts w:ascii="Calibri" w:hAnsi="Calibri" w:cs="Arial"/>
          <w:b/>
          <w:bCs/>
          <w:spacing w:val="-3"/>
          <w:sz w:val="22"/>
          <w:szCs w:val="22"/>
          <w:lang w:val="hr-HR"/>
        </w:rPr>
      </w:pPr>
      <w:r w:rsidRPr="001567C8">
        <w:rPr>
          <w:rFonts w:ascii="Calibri" w:hAnsi="Calibri" w:cs="Arial"/>
          <w:b/>
          <w:bCs/>
          <w:spacing w:val="-3"/>
          <w:sz w:val="22"/>
          <w:szCs w:val="22"/>
          <w:lang w:val="hr-HR"/>
        </w:rPr>
        <w:t xml:space="preserve">37. </w:t>
      </w:r>
      <w:r w:rsidRPr="001567C8">
        <w:rPr>
          <w:rFonts w:ascii="Calibri" w:hAnsi="Calibri" w:cs="Arial"/>
          <w:b/>
          <w:bCs/>
          <w:spacing w:val="-3"/>
          <w:sz w:val="22"/>
          <w:szCs w:val="22"/>
          <w:lang w:val="hr-HR"/>
        </w:rPr>
        <w:tab/>
        <w:t>Fer vrijednost financijske imovine i financijskih obveza (nastavak)</w:t>
      </w:r>
    </w:p>
    <w:p w:rsidR="00D606D9" w:rsidRPr="001567C8" w:rsidRDefault="00D606D9" w:rsidP="00D606D9">
      <w:pPr>
        <w:keepNext/>
        <w:ind w:left="1428"/>
        <w:contextualSpacing/>
        <w:jc w:val="both"/>
        <w:rPr>
          <w:rFonts w:ascii="Calibri" w:hAnsi="Calibri" w:cs="Arial"/>
          <w:b/>
          <w:bCs/>
          <w:spacing w:val="-3"/>
          <w:sz w:val="22"/>
          <w:szCs w:val="22"/>
          <w:lang w:val="hr-HR"/>
        </w:rPr>
      </w:pPr>
    </w:p>
    <w:p w:rsidR="00D606D9" w:rsidRPr="001567C8" w:rsidRDefault="00D606D9" w:rsidP="00D606D9">
      <w:pPr>
        <w:keepNext/>
        <w:ind w:left="567" w:hanging="567"/>
        <w:jc w:val="both"/>
        <w:rPr>
          <w:rFonts w:ascii="Calibri" w:hAnsi="Calibri" w:cs="Arial"/>
          <w:b/>
          <w:bCs/>
          <w:spacing w:val="-3"/>
          <w:sz w:val="22"/>
          <w:szCs w:val="22"/>
          <w:lang w:val="hr-HR"/>
        </w:rPr>
      </w:pPr>
      <w:r w:rsidRPr="001567C8">
        <w:rPr>
          <w:rFonts w:ascii="Calibri" w:hAnsi="Calibri" w:cs="Arial"/>
          <w:b/>
          <w:bCs/>
          <w:spacing w:val="-3"/>
          <w:sz w:val="22"/>
          <w:szCs w:val="22"/>
          <w:lang w:val="hr-HR"/>
        </w:rPr>
        <w:t>37.1.</w:t>
      </w:r>
      <w:r w:rsidRPr="001567C8">
        <w:rPr>
          <w:rFonts w:ascii="Calibri" w:hAnsi="Calibri" w:cs="Arial"/>
          <w:b/>
          <w:bCs/>
          <w:spacing w:val="-3"/>
          <w:sz w:val="22"/>
          <w:szCs w:val="22"/>
          <w:lang w:val="hr-HR"/>
        </w:rPr>
        <w:tab/>
        <w:t xml:space="preserve">Fer vrijednost financijske imovine i financijskih obveza koji se vode po fer vrijednosti (nastavak) </w:t>
      </w:r>
    </w:p>
    <w:p w:rsidR="00D606D9" w:rsidRPr="001567C8" w:rsidRDefault="00D606D9" w:rsidP="00D606D9">
      <w:pPr>
        <w:keepNext/>
        <w:tabs>
          <w:tab w:val="left" w:pos="567"/>
        </w:tabs>
        <w:ind w:left="1428"/>
        <w:contextualSpacing/>
        <w:jc w:val="both"/>
        <w:rPr>
          <w:rFonts w:ascii="Calibri" w:hAnsi="Calibri" w:cs="Arial"/>
          <w:b/>
          <w:bCs/>
          <w:spacing w:val="-3"/>
          <w:sz w:val="22"/>
          <w:szCs w:val="22"/>
          <w:lang w:val="hr-HR"/>
        </w:rPr>
      </w:pPr>
    </w:p>
    <w:p w:rsidR="00D606D9" w:rsidRPr="001567C8" w:rsidRDefault="00D606D9" w:rsidP="00D606D9">
      <w:pPr>
        <w:rPr>
          <w:rFonts w:ascii="Calibri" w:eastAsia="Calibri" w:hAnsi="Calibri" w:cs="Calibri"/>
          <w:b/>
          <w:sz w:val="22"/>
          <w:szCs w:val="22"/>
          <w:lang w:val="hr-HR"/>
        </w:rPr>
      </w:pPr>
      <w:r w:rsidRPr="001567C8">
        <w:rPr>
          <w:rFonts w:ascii="Calibri" w:eastAsia="Calibri" w:hAnsi="Calibri" w:cs="Calibri"/>
          <w:b/>
          <w:sz w:val="22"/>
          <w:szCs w:val="22"/>
          <w:lang w:val="hr-HR"/>
        </w:rPr>
        <w:t xml:space="preserve">37.1.1. </w:t>
      </w:r>
      <w:r w:rsidRPr="001567C8">
        <w:rPr>
          <w:rFonts w:ascii="Calibri" w:eastAsia="Calibri" w:hAnsi="Calibri" w:cs="Calibri"/>
          <w:b/>
          <w:sz w:val="22"/>
          <w:szCs w:val="22"/>
          <w:lang w:val="hr-HR"/>
        </w:rPr>
        <w:tab/>
        <w:t>Razina 3 - fer vrijednosti (nastavak)</w:t>
      </w:r>
    </w:p>
    <w:p w:rsidR="00D606D9" w:rsidRPr="001567C8" w:rsidRDefault="00D606D9" w:rsidP="00D606D9">
      <w:pPr>
        <w:rPr>
          <w:rFonts w:ascii="Calibri" w:eastAsia="Calibri" w:hAnsi="Calibri" w:cs="Calibri"/>
          <w:b/>
          <w:i/>
          <w:sz w:val="22"/>
          <w:szCs w:val="22"/>
          <w:lang w:val="hr-HR"/>
        </w:rPr>
      </w:pPr>
    </w:p>
    <w:p w:rsidR="00D606D9" w:rsidRPr="001567C8" w:rsidRDefault="00D606D9" w:rsidP="003C6BA3">
      <w:pPr>
        <w:tabs>
          <w:tab w:val="left" w:pos="284"/>
        </w:tabs>
        <w:rPr>
          <w:rFonts w:ascii="Calibri" w:eastAsia="Calibri" w:hAnsi="Calibri" w:cs="Calibri"/>
          <w:b/>
          <w:i/>
          <w:sz w:val="22"/>
          <w:szCs w:val="22"/>
          <w:lang w:val="hr-HR"/>
        </w:rPr>
      </w:pPr>
      <w:r w:rsidRPr="001567C8">
        <w:rPr>
          <w:rFonts w:ascii="Calibri" w:eastAsia="Calibri" w:hAnsi="Calibri" w:cs="Calibri"/>
          <w:b/>
          <w:i/>
          <w:sz w:val="22"/>
          <w:szCs w:val="22"/>
          <w:lang w:val="hr-HR"/>
        </w:rPr>
        <w:t xml:space="preserve">b) </w:t>
      </w:r>
      <w:r w:rsidRPr="001567C8">
        <w:rPr>
          <w:rFonts w:ascii="Calibri" w:eastAsia="Calibri" w:hAnsi="Calibri" w:cs="Calibri"/>
          <w:b/>
          <w:i/>
          <w:sz w:val="22"/>
          <w:szCs w:val="22"/>
          <w:lang w:val="hr-HR"/>
        </w:rPr>
        <w:tab/>
      </w:r>
      <w:r w:rsidR="00934D85" w:rsidRPr="001567C8">
        <w:rPr>
          <w:rFonts w:ascii="Calibri" w:eastAsia="Calibri" w:hAnsi="Calibri" w:cs="Calibri"/>
          <w:b/>
          <w:i/>
          <w:sz w:val="22"/>
          <w:szCs w:val="22"/>
          <w:lang w:val="hr-HR"/>
        </w:rPr>
        <w:t>K</w:t>
      </w:r>
      <w:r w:rsidRPr="001567C8">
        <w:rPr>
          <w:rFonts w:ascii="Calibri" w:eastAsia="Calibri" w:hAnsi="Calibri" w:cs="Calibri"/>
          <w:b/>
          <w:i/>
          <w:sz w:val="22"/>
          <w:szCs w:val="22"/>
          <w:lang w:val="hr-HR"/>
        </w:rPr>
        <w:t>orporativ</w:t>
      </w:r>
      <w:r w:rsidR="00934D85" w:rsidRPr="001567C8">
        <w:rPr>
          <w:rFonts w:ascii="Calibri" w:eastAsia="Calibri" w:hAnsi="Calibri" w:cs="Calibri"/>
          <w:b/>
          <w:i/>
          <w:sz w:val="22"/>
          <w:szCs w:val="22"/>
          <w:lang w:val="hr-HR"/>
        </w:rPr>
        <w:t>ne</w:t>
      </w:r>
      <w:r w:rsidRPr="001567C8">
        <w:rPr>
          <w:rFonts w:ascii="Calibri" w:eastAsia="Calibri" w:hAnsi="Calibri" w:cs="Calibri"/>
          <w:b/>
          <w:i/>
          <w:sz w:val="22"/>
          <w:szCs w:val="22"/>
          <w:lang w:val="hr-HR"/>
        </w:rPr>
        <w:t xml:space="preserve"> obveznic</w:t>
      </w:r>
      <w:r w:rsidR="00934D85" w:rsidRPr="001567C8">
        <w:rPr>
          <w:rFonts w:ascii="Calibri" w:eastAsia="Calibri" w:hAnsi="Calibri" w:cs="Calibri"/>
          <w:b/>
          <w:i/>
          <w:sz w:val="22"/>
          <w:szCs w:val="22"/>
          <w:lang w:val="hr-HR"/>
        </w:rPr>
        <w:t>e</w:t>
      </w:r>
      <w:r w:rsidRPr="001567C8">
        <w:rPr>
          <w:rFonts w:ascii="Calibri" w:eastAsia="Calibri" w:hAnsi="Calibri" w:cs="Calibri"/>
          <w:b/>
          <w:i/>
          <w:sz w:val="22"/>
          <w:szCs w:val="22"/>
          <w:lang w:val="hr-HR"/>
        </w:rPr>
        <w:t xml:space="preserve"> koje su raspoređene u razinu 3 (nastavak)</w:t>
      </w:r>
    </w:p>
    <w:p w:rsidR="00D606D9" w:rsidRPr="001567C8" w:rsidRDefault="00D606D9" w:rsidP="00D606D9">
      <w:pPr>
        <w:rPr>
          <w:rFonts w:ascii="Calibri" w:eastAsia="Calibri" w:hAnsi="Calibri" w:cs="Calibri"/>
          <w:b/>
          <w:i/>
          <w:sz w:val="22"/>
          <w:szCs w:val="22"/>
          <w:lang w:val="hr-HR"/>
        </w:rPr>
      </w:pPr>
    </w:p>
    <w:p w:rsidR="00D606D9" w:rsidRPr="001567C8" w:rsidRDefault="00D606D9" w:rsidP="00D606D9">
      <w:pPr>
        <w:rPr>
          <w:rFonts w:ascii="Calibri" w:eastAsia="Calibri" w:hAnsi="Calibri" w:cs="Calibri"/>
          <w:i/>
          <w:sz w:val="22"/>
          <w:szCs w:val="22"/>
          <w:lang w:val="hr-HR"/>
        </w:rPr>
      </w:pPr>
      <w:r w:rsidRPr="001567C8">
        <w:rPr>
          <w:rFonts w:ascii="Calibri" w:eastAsia="Calibri" w:hAnsi="Calibri" w:cs="Calibri"/>
          <w:i/>
          <w:sz w:val="22"/>
          <w:szCs w:val="22"/>
          <w:lang w:val="hr-HR"/>
        </w:rPr>
        <w:t>(i) Tehnike vrednovanja i značajni ulazni podaci koji nisu vidljivi (nastavak)</w:t>
      </w:r>
    </w:p>
    <w:p w:rsidR="00D606D9" w:rsidRPr="001567C8" w:rsidRDefault="00D606D9" w:rsidP="00086AB9">
      <w:pPr>
        <w:jc w:val="both"/>
        <w:rPr>
          <w:rFonts w:ascii="Calibri" w:eastAsia="Calibri" w:hAnsi="Calibri"/>
          <w:sz w:val="22"/>
          <w:szCs w:val="22"/>
          <w:lang w:val="hr-HR"/>
        </w:rPr>
      </w:pPr>
    </w:p>
    <w:p w:rsidR="00086AB9" w:rsidRPr="001567C8" w:rsidRDefault="00086AB9" w:rsidP="00086AB9">
      <w:pPr>
        <w:jc w:val="both"/>
        <w:rPr>
          <w:rFonts w:ascii="Calibri" w:eastAsia="Calibri" w:hAnsi="Calibri"/>
          <w:sz w:val="22"/>
          <w:szCs w:val="22"/>
          <w:lang w:val="hr-HR"/>
        </w:rPr>
      </w:pPr>
      <w:r w:rsidRPr="001567C8">
        <w:rPr>
          <w:rFonts w:ascii="Calibri" w:eastAsia="Calibri" w:hAnsi="Calibri"/>
          <w:sz w:val="22"/>
          <w:szCs w:val="22"/>
          <w:lang w:val="hr-HR"/>
        </w:rPr>
        <w:t xml:space="preserve">Premija iznosa specifičnog rizika za promatranu obveznicu ovisi o HBOR-ovom internom kreditnom rejtingu  izdavatelja obveznice, odnosno ako je izdavatelj član poslovne grupacije, premija rizika ovisi o internom kreditnom rejtingu matičnog društva. </w:t>
      </w:r>
    </w:p>
    <w:p w:rsidR="00086AB9" w:rsidRPr="001567C8" w:rsidRDefault="00086AB9" w:rsidP="00086AB9">
      <w:pPr>
        <w:ind w:left="708"/>
        <w:rPr>
          <w:rFonts w:ascii="Calibri" w:eastAsia="Calibri" w:hAnsi="Calibri" w:cs="Calibri"/>
          <w:b/>
          <w:i/>
          <w:sz w:val="22"/>
          <w:szCs w:val="22"/>
          <w:lang w:val="hr-HR"/>
        </w:rPr>
      </w:pPr>
      <w:r w:rsidRPr="001567C8">
        <w:rPr>
          <w:rFonts w:ascii="Calibri" w:eastAsia="Calibri" w:hAnsi="Calibri"/>
          <w:sz w:val="22"/>
          <w:szCs w:val="22"/>
          <w:lang w:val="hr-HR"/>
        </w:rPr>
        <w:t> </w:t>
      </w:r>
    </w:p>
    <w:p w:rsidR="00086AB9" w:rsidRPr="001567C8" w:rsidRDefault="001D6226" w:rsidP="00086AB9">
      <w:pPr>
        <w:keepNext/>
        <w:tabs>
          <w:tab w:val="left" w:pos="567"/>
        </w:tabs>
        <w:jc w:val="both"/>
        <w:rPr>
          <w:rFonts w:ascii="Calibri" w:hAnsi="Calibri"/>
          <w:bCs/>
          <w:i/>
          <w:sz w:val="22"/>
          <w:szCs w:val="22"/>
          <w:lang w:val="hr-HR"/>
        </w:rPr>
      </w:pPr>
      <w:r w:rsidRPr="001567C8">
        <w:rPr>
          <w:rFonts w:ascii="Calibri" w:hAnsi="Calibri" w:cs="Arial"/>
          <w:bCs/>
          <w:i/>
          <w:spacing w:val="-3"/>
          <w:sz w:val="22"/>
          <w:szCs w:val="22"/>
          <w:lang w:val="hr-HR"/>
        </w:rPr>
        <w:t>ii</w:t>
      </w:r>
      <w:r w:rsidR="00086AB9" w:rsidRPr="001567C8">
        <w:rPr>
          <w:rFonts w:ascii="Calibri" w:hAnsi="Calibri" w:cs="Arial"/>
          <w:bCs/>
          <w:i/>
          <w:spacing w:val="-3"/>
          <w:sz w:val="22"/>
          <w:szCs w:val="22"/>
          <w:lang w:val="hr-HR"/>
        </w:rPr>
        <w:t xml:space="preserve">) Analiza senzitivnosti korporativne obveznice </w:t>
      </w:r>
      <w:r w:rsidR="00086AB9" w:rsidRPr="001567C8">
        <w:rPr>
          <w:rFonts w:ascii="Calibri" w:hAnsi="Calibri"/>
          <w:bCs/>
          <w:i/>
          <w:sz w:val="22"/>
          <w:szCs w:val="22"/>
          <w:lang w:val="hr-HR"/>
        </w:rPr>
        <w:t xml:space="preserve">s iskazanim potencijalnim učinkom na dobit/gubitak na dan </w:t>
      </w:r>
      <w:r w:rsidR="00D606D9" w:rsidRPr="001567C8">
        <w:rPr>
          <w:rFonts w:ascii="Calibri" w:hAnsi="Calibri"/>
          <w:bCs/>
          <w:i/>
          <w:sz w:val="22"/>
          <w:szCs w:val="22"/>
          <w:lang w:val="hr-HR"/>
        </w:rPr>
        <w:t>31.</w:t>
      </w:r>
      <w:r w:rsidR="000C2DB4" w:rsidRPr="001567C8">
        <w:rPr>
          <w:rFonts w:ascii="Calibri" w:hAnsi="Calibri"/>
          <w:bCs/>
          <w:i/>
          <w:sz w:val="22"/>
          <w:szCs w:val="22"/>
          <w:lang w:val="hr-HR"/>
        </w:rPr>
        <w:t xml:space="preserve"> prosinca </w:t>
      </w:r>
      <w:r w:rsidR="00D606D9" w:rsidRPr="001567C8">
        <w:rPr>
          <w:rFonts w:ascii="Calibri" w:hAnsi="Calibri"/>
          <w:bCs/>
          <w:i/>
          <w:sz w:val="22"/>
          <w:szCs w:val="22"/>
          <w:lang w:val="hr-HR"/>
        </w:rPr>
        <w:t>2018. godine</w:t>
      </w:r>
      <w:r w:rsidR="00086AB9" w:rsidRPr="001567C8">
        <w:rPr>
          <w:rFonts w:ascii="Calibri" w:hAnsi="Calibri"/>
          <w:bCs/>
          <w:i/>
          <w:sz w:val="22"/>
          <w:szCs w:val="22"/>
          <w:lang w:val="hr-HR"/>
        </w:rPr>
        <w:t xml:space="preserve">, uz pretpostavku promjene diskontirane stope </w:t>
      </w:r>
      <w:r w:rsidR="006A4906" w:rsidRPr="001567C8">
        <w:rPr>
          <w:rFonts w:ascii="Calibri" w:hAnsi="Calibri"/>
          <w:bCs/>
          <w:i/>
          <w:sz w:val="22"/>
          <w:szCs w:val="22"/>
          <w:lang w:val="hr-HR"/>
        </w:rPr>
        <w:t xml:space="preserve">(prinosa) </w:t>
      </w:r>
      <w:r w:rsidR="00086AB9" w:rsidRPr="001567C8">
        <w:rPr>
          <w:rFonts w:ascii="Calibri" w:hAnsi="Calibri"/>
          <w:bCs/>
          <w:i/>
          <w:sz w:val="22"/>
          <w:szCs w:val="22"/>
          <w:lang w:val="hr-HR"/>
        </w:rPr>
        <w:t>za 2% i za 10%</w:t>
      </w:r>
    </w:p>
    <w:p w:rsidR="00086AB9" w:rsidRPr="001567C8" w:rsidRDefault="00086AB9" w:rsidP="00086AB9">
      <w:pPr>
        <w:jc w:val="both"/>
        <w:rPr>
          <w:rFonts w:ascii="Calibri" w:eastAsia="Calibri" w:hAnsi="Calibri"/>
          <w:i/>
          <w:sz w:val="22"/>
          <w:szCs w:val="22"/>
          <w:lang w:val="hr-HR"/>
        </w:rPr>
      </w:pPr>
    </w:p>
    <w:p w:rsidR="00086AB9" w:rsidRPr="001567C8" w:rsidRDefault="00086AB9" w:rsidP="00086AB9">
      <w:pPr>
        <w:jc w:val="both"/>
        <w:rPr>
          <w:rFonts w:ascii="Calibri" w:eastAsia="Calibri" w:hAnsi="Calibri"/>
          <w:sz w:val="22"/>
          <w:szCs w:val="22"/>
          <w:lang w:val="hr-HR"/>
        </w:rPr>
      </w:pPr>
      <w:r w:rsidRPr="001567C8">
        <w:rPr>
          <w:rFonts w:ascii="Calibri" w:eastAsia="Calibri" w:hAnsi="Calibri"/>
          <w:sz w:val="22"/>
          <w:szCs w:val="22"/>
          <w:lang w:val="hr-HR"/>
        </w:rPr>
        <w:t xml:space="preserve">Pod pretpostavkom da se tržišne kamatne stope promjene za 2% u odnosu na važeće na dan </w:t>
      </w:r>
      <w:r w:rsidR="006A4906" w:rsidRPr="001567C8">
        <w:rPr>
          <w:rFonts w:ascii="Calibri" w:eastAsia="Calibri" w:hAnsi="Calibri"/>
          <w:sz w:val="22"/>
          <w:szCs w:val="22"/>
          <w:lang w:val="hr-HR"/>
        </w:rPr>
        <w:t>31.</w:t>
      </w:r>
      <w:r w:rsidR="000C2DB4" w:rsidRPr="001567C8">
        <w:rPr>
          <w:rFonts w:ascii="Calibri" w:eastAsia="Calibri" w:hAnsi="Calibri"/>
          <w:sz w:val="22"/>
          <w:szCs w:val="22"/>
          <w:lang w:val="hr-HR"/>
        </w:rPr>
        <w:t xml:space="preserve"> prosinca </w:t>
      </w:r>
      <w:r w:rsidR="006A4906" w:rsidRPr="001567C8">
        <w:rPr>
          <w:rFonts w:ascii="Calibri" w:eastAsia="Calibri" w:hAnsi="Calibri"/>
          <w:sz w:val="22"/>
          <w:szCs w:val="22"/>
          <w:lang w:val="hr-HR"/>
        </w:rPr>
        <w:t>2018</w:t>
      </w:r>
      <w:r w:rsidRPr="001567C8">
        <w:rPr>
          <w:rFonts w:ascii="Calibri" w:eastAsia="Calibri" w:hAnsi="Calibri"/>
          <w:sz w:val="22"/>
          <w:szCs w:val="22"/>
          <w:lang w:val="hr-HR"/>
        </w:rPr>
        <w:t>. godine, efekti bi bili sljedeći:</w:t>
      </w:r>
    </w:p>
    <w:p w:rsidR="00086AB9" w:rsidRPr="001567C8" w:rsidRDefault="00086AB9" w:rsidP="002B5EA8">
      <w:pPr>
        <w:numPr>
          <w:ilvl w:val="0"/>
          <w:numId w:val="35"/>
        </w:numPr>
        <w:jc w:val="both"/>
        <w:rPr>
          <w:rFonts w:ascii="Calibri" w:hAnsi="Calibri"/>
          <w:sz w:val="22"/>
          <w:szCs w:val="22"/>
          <w:lang w:val="hr-HR"/>
        </w:rPr>
      </w:pPr>
      <w:r w:rsidRPr="001567C8">
        <w:rPr>
          <w:rFonts w:ascii="Calibri" w:hAnsi="Calibri"/>
          <w:sz w:val="22"/>
          <w:szCs w:val="22"/>
          <w:lang w:val="hr-HR"/>
        </w:rPr>
        <w:t>U slučaju smanjenja tržišnih prinosa na nerizična ulaganja (linearno interpolirani/ekstrapolirani prinos obveznica Republike Hrvatske istog trajanja/duracije i iste devize kao predmetna obveznica) za 2%, diskontna stopa bi iznosila 12,</w:t>
      </w:r>
      <w:r w:rsidR="006A4906" w:rsidRPr="001567C8">
        <w:rPr>
          <w:rFonts w:ascii="Calibri" w:hAnsi="Calibri"/>
          <w:sz w:val="22"/>
          <w:szCs w:val="22"/>
          <w:lang w:val="hr-HR"/>
        </w:rPr>
        <w:t>24</w:t>
      </w:r>
      <w:r w:rsidRPr="001567C8">
        <w:rPr>
          <w:rFonts w:ascii="Calibri" w:hAnsi="Calibri"/>
          <w:sz w:val="22"/>
          <w:szCs w:val="22"/>
          <w:lang w:val="hr-HR"/>
        </w:rPr>
        <w:t>%, cijena obveznica bi bila 36,</w:t>
      </w:r>
      <w:r w:rsidR="006A4906" w:rsidRPr="001567C8">
        <w:rPr>
          <w:rFonts w:ascii="Calibri" w:hAnsi="Calibri"/>
          <w:sz w:val="22"/>
          <w:szCs w:val="22"/>
          <w:lang w:val="hr-HR"/>
        </w:rPr>
        <w:t>62</w:t>
      </w:r>
      <w:r w:rsidRPr="001567C8">
        <w:rPr>
          <w:rFonts w:ascii="Calibri" w:hAnsi="Calibri"/>
          <w:sz w:val="22"/>
          <w:szCs w:val="22"/>
          <w:lang w:val="hr-HR"/>
        </w:rPr>
        <w:t xml:space="preserve">%, što bi rezultiralo povećanjem ostvarene dobiti HBOR-a za </w:t>
      </w:r>
      <w:r w:rsidR="006A4906" w:rsidRPr="001567C8">
        <w:rPr>
          <w:rFonts w:ascii="Calibri" w:hAnsi="Calibri"/>
          <w:sz w:val="22"/>
          <w:szCs w:val="22"/>
          <w:lang w:val="hr-HR"/>
        </w:rPr>
        <w:t xml:space="preserve">16,72 </w:t>
      </w:r>
      <w:r w:rsidRPr="001567C8">
        <w:rPr>
          <w:rFonts w:ascii="Calibri" w:hAnsi="Calibri"/>
          <w:sz w:val="22"/>
          <w:szCs w:val="22"/>
          <w:lang w:val="hr-HR"/>
        </w:rPr>
        <w:t>tisuća kuna.</w:t>
      </w:r>
    </w:p>
    <w:p w:rsidR="00086AB9" w:rsidRPr="001567C8" w:rsidRDefault="00086AB9" w:rsidP="002B5EA8">
      <w:pPr>
        <w:numPr>
          <w:ilvl w:val="0"/>
          <w:numId w:val="35"/>
        </w:numPr>
        <w:contextualSpacing/>
        <w:jc w:val="both"/>
        <w:rPr>
          <w:rFonts w:ascii="Calibri" w:hAnsi="Calibri"/>
          <w:sz w:val="22"/>
          <w:szCs w:val="22"/>
          <w:lang w:val="hr-HR"/>
        </w:rPr>
      </w:pPr>
      <w:r w:rsidRPr="001567C8">
        <w:rPr>
          <w:rFonts w:ascii="Calibri" w:hAnsi="Calibri"/>
          <w:sz w:val="22"/>
          <w:szCs w:val="22"/>
          <w:lang w:val="hr-HR"/>
        </w:rPr>
        <w:t>U slučaju povećanja tržišnih prinosa na nerizična ulaganja (linearno interpolirani/ekstrapolirani prinos obveznica Republike Hrvatske istog trajanja/duracije i iste devize kao korporativne obveznice) za 2%, diskontna stopa bi iznosila 16</w:t>
      </w:r>
      <w:r w:rsidR="006A4906" w:rsidRPr="001567C8">
        <w:rPr>
          <w:rFonts w:ascii="Calibri" w:hAnsi="Calibri"/>
          <w:sz w:val="22"/>
          <w:szCs w:val="22"/>
          <w:lang w:val="hr-HR"/>
        </w:rPr>
        <w:t>,24</w:t>
      </w:r>
      <w:r w:rsidRPr="001567C8">
        <w:rPr>
          <w:rFonts w:ascii="Calibri" w:hAnsi="Calibri"/>
          <w:sz w:val="22"/>
          <w:szCs w:val="22"/>
          <w:lang w:val="hr-HR"/>
        </w:rPr>
        <w:t>%, cijena obveznice bi bila 34,</w:t>
      </w:r>
      <w:r w:rsidR="006A4906" w:rsidRPr="001567C8">
        <w:rPr>
          <w:rFonts w:ascii="Calibri" w:hAnsi="Calibri"/>
          <w:sz w:val="22"/>
          <w:szCs w:val="22"/>
          <w:lang w:val="hr-HR"/>
        </w:rPr>
        <w:t>46</w:t>
      </w:r>
      <w:r w:rsidRPr="001567C8">
        <w:rPr>
          <w:rFonts w:ascii="Calibri" w:hAnsi="Calibri"/>
          <w:sz w:val="22"/>
          <w:szCs w:val="22"/>
          <w:lang w:val="hr-HR"/>
        </w:rPr>
        <w:t xml:space="preserve">%, što bi rezultiralo smanjenjem ostvarene dobiti HBOR-a za </w:t>
      </w:r>
      <w:r w:rsidR="006A4906" w:rsidRPr="001567C8">
        <w:rPr>
          <w:rFonts w:ascii="Calibri" w:hAnsi="Calibri"/>
          <w:sz w:val="22"/>
          <w:szCs w:val="22"/>
          <w:lang w:val="hr-HR"/>
        </w:rPr>
        <w:t>15,82</w:t>
      </w:r>
      <w:r w:rsidRPr="001567C8">
        <w:rPr>
          <w:rFonts w:ascii="Calibri" w:hAnsi="Calibri"/>
          <w:sz w:val="22"/>
          <w:szCs w:val="22"/>
          <w:lang w:val="hr-HR"/>
        </w:rPr>
        <w:t xml:space="preserve"> tisuća kuna.</w:t>
      </w:r>
    </w:p>
    <w:p w:rsidR="00086AB9" w:rsidRPr="001567C8" w:rsidRDefault="00086AB9" w:rsidP="00086AB9">
      <w:pPr>
        <w:ind w:left="720"/>
        <w:rPr>
          <w:rFonts w:ascii="Calibri" w:eastAsia="Calibri" w:hAnsi="Calibri"/>
          <w:sz w:val="22"/>
          <w:szCs w:val="22"/>
          <w:lang w:val="hr-HR"/>
        </w:rPr>
      </w:pPr>
    </w:p>
    <w:p w:rsidR="00086AB9" w:rsidRPr="001567C8" w:rsidRDefault="00086AB9" w:rsidP="003C6BA3">
      <w:pPr>
        <w:jc w:val="both"/>
        <w:rPr>
          <w:rFonts w:ascii="Calibri" w:eastAsia="Calibri" w:hAnsi="Calibri"/>
          <w:sz w:val="22"/>
          <w:szCs w:val="22"/>
          <w:lang w:val="hr-HR"/>
        </w:rPr>
      </w:pPr>
      <w:r w:rsidRPr="001567C8">
        <w:rPr>
          <w:rFonts w:ascii="Calibri" w:eastAsia="Calibri" w:hAnsi="Calibri"/>
          <w:sz w:val="22"/>
          <w:szCs w:val="22"/>
          <w:lang w:val="hr-HR"/>
        </w:rPr>
        <w:t xml:space="preserve">Kao osnova za promjenu tržišne kamatne stope od 2% u odnosu na važeće tržišne uvjete dana </w:t>
      </w:r>
      <w:r w:rsidR="006A4906" w:rsidRPr="001567C8">
        <w:rPr>
          <w:rFonts w:ascii="Calibri" w:eastAsia="Calibri" w:hAnsi="Calibri"/>
          <w:sz w:val="22"/>
          <w:szCs w:val="22"/>
          <w:lang w:val="hr-HR"/>
        </w:rPr>
        <w:t>31.</w:t>
      </w:r>
      <w:r w:rsidR="000C2DB4" w:rsidRPr="001567C8">
        <w:rPr>
          <w:rFonts w:ascii="Calibri" w:eastAsia="Calibri" w:hAnsi="Calibri"/>
          <w:sz w:val="22"/>
          <w:szCs w:val="22"/>
          <w:lang w:val="hr-HR"/>
        </w:rPr>
        <w:t xml:space="preserve"> prosinca </w:t>
      </w:r>
      <w:r w:rsidRPr="001567C8">
        <w:rPr>
          <w:rFonts w:ascii="Calibri" w:eastAsia="Calibri" w:hAnsi="Calibri"/>
          <w:sz w:val="22"/>
          <w:szCs w:val="22"/>
          <w:lang w:val="hr-HR"/>
        </w:rPr>
        <w:t>2018. godine korištena je  definirana promjena kamatnih stopa iz „Odluke o upravljanju kamatnim rizikom u knjizi banke“, a koja se koristi za izračun standardnog kamatnog šoka. „Standardni kamatni šok jest paralelni pozitivan i negativan pomak kamatnih stopa na referentnoj krivulji prinosa za 200 baznih bodova, primjenjujući donju granicu stope od 0%, osim u slučajevima u kojima je ostvariva negativna kamatna stopa.“</w:t>
      </w:r>
    </w:p>
    <w:p w:rsidR="00086AB9" w:rsidRPr="001567C8" w:rsidRDefault="00086AB9" w:rsidP="00086AB9">
      <w:pPr>
        <w:jc w:val="both"/>
        <w:rPr>
          <w:rFonts w:ascii="Calibri" w:eastAsia="Calibri" w:hAnsi="Calibri"/>
          <w:sz w:val="22"/>
          <w:szCs w:val="22"/>
          <w:lang w:val="hr-HR"/>
        </w:rPr>
      </w:pPr>
    </w:p>
    <w:p w:rsidR="00086AB9" w:rsidRPr="001567C8" w:rsidRDefault="00086AB9" w:rsidP="00086AB9">
      <w:pPr>
        <w:jc w:val="both"/>
        <w:rPr>
          <w:rFonts w:ascii="Calibri" w:eastAsia="Calibri" w:hAnsi="Calibri"/>
          <w:sz w:val="22"/>
          <w:szCs w:val="22"/>
          <w:lang w:val="hr-HR"/>
        </w:rPr>
      </w:pPr>
      <w:r w:rsidRPr="001567C8">
        <w:rPr>
          <w:rFonts w:ascii="Calibri" w:eastAsia="Calibri" w:hAnsi="Calibri"/>
          <w:sz w:val="22"/>
          <w:szCs w:val="22"/>
          <w:lang w:val="hr-HR"/>
        </w:rPr>
        <w:t>U slučaju smanjenja očekivanih novčanih tijekova po korporativnoj obveznici za 10%, ostvarena dobit HBOR-a bi se smanjila za 53,</w:t>
      </w:r>
      <w:r w:rsidR="006A4906" w:rsidRPr="001567C8">
        <w:rPr>
          <w:rFonts w:ascii="Calibri" w:eastAsia="Calibri" w:hAnsi="Calibri"/>
          <w:sz w:val="22"/>
          <w:szCs w:val="22"/>
          <w:lang w:val="hr-HR"/>
        </w:rPr>
        <w:t>49</w:t>
      </w:r>
      <w:r w:rsidRPr="001567C8">
        <w:rPr>
          <w:rFonts w:ascii="Calibri" w:eastAsia="Calibri" w:hAnsi="Calibri"/>
          <w:sz w:val="22"/>
          <w:szCs w:val="22"/>
          <w:lang w:val="hr-HR"/>
        </w:rPr>
        <w:t xml:space="preserve"> tisuća kuna.</w:t>
      </w:r>
    </w:p>
    <w:p w:rsidR="006A4906" w:rsidRPr="001567C8" w:rsidRDefault="006A4906" w:rsidP="00086AB9">
      <w:pPr>
        <w:jc w:val="both"/>
        <w:rPr>
          <w:rFonts w:ascii="Calibri" w:eastAsia="Calibri" w:hAnsi="Calibri"/>
          <w:sz w:val="22"/>
          <w:szCs w:val="22"/>
          <w:lang w:val="hr-HR"/>
        </w:rPr>
        <w:sectPr w:rsidR="006A4906" w:rsidRPr="001567C8" w:rsidSect="0077198A">
          <w:pgSz w:w="11907" w:h="16840" w:code="9"/>
          <w:pgMar w:top="1418" w:right="1134" w:bottom="1134" w:left="1418" w:header="851" w:footer="851" w:gutter="0"/>
          <w:cols w:space="720"/>
          <w:noEndnote/>
        </w:sectPr>
      </w:pPr>
    </w:p>
    <w:p w:rsidR="006A4906" w:rsidRPr="001567C8" w:rsidRDefault="006A4906" w:rsidP="00086AB9">
      <w:pPr>
        <w:jc w:val="both"/>
        <w:rPr>
          <w:rFonts w:ascii="Calibri" w:eastAsia="Calibri" w:hAnsi="Calibri"/>
          <w:sz w:val="22"/>
          <w:szCs w:val="22"/>
          <w:lang w:val="hr-HR"/>
        </w:rPr>
      </w:pPr>
    </w:p>
    <w:p w:rsidR="00086AB9" w:rsidRPr="001567C8" w:rsidRDefault="00086AB9" w:rsidP="00086AB9">
      <w:pPr>
        <w:keepNext/>
        <w:tabs>
          <w:tab w:val="left" w:pos="567"/>
        </w:tabs>
        <w:jc w:val="both"/>
        <w:rPr>
          <w:rFonts w:ascii="Calibri" w:hAnsi="Calibri" w:cs="Arial"/>
          <w:b/>
          <w:bCs/>
          <w:spacing w:val="-3"/>
          <w:sz w:val="22"/>
          <w:szCs w:val="22"/>
          <w:lang w:val="hr-HR"/>
        </w:rPr>
      </w:pPr>
      <w:r w:rsidRPr="001567C8">
        <w:rPr>
          <w:rFonts w:ascii="Calibri" w:hAnsi="Calibri" w:cs="Arial"/>
          <w:b/>
          <w:bCs/>
          <w:spacing w:val="-3"/>
          <w:sz w:val="22"/>
          <w:szCs w:val="22"/>
          <w:lang w:val="hr-HR"/>
        </w:rPr>
        <w:t xml:space="preserve">37. </w:t>
      </w:r>
      <w:r w:rsidRPr="001567C8">
        <w:rPr>
          <w:rFonts w:ascii="Calibri" w:hAnsi="Calibri" w:cs="Arial"/>
          <w:b/>
          <w:bCs/>
          <w:spacing w:val="-3"/>
          <w:sz w:val="22"/>
          <w:szCs w:val="22"/>
          <w:lang w:val="hr-HR"/>
        </w:rPr>
        <w:tab/>
        <w:t>Fer vrijednost financijske imovine i financijskih obveza (nastavak)</w:t>
      </w:r>
    </w:p>
    <w:p w:rsidR="00086AB9" w:rsidRPr="001567C8" w:rsidRDefault="00086AB9" w:rsidP="00086AB9">
      <w:pPr>
        <w:keepNext/>
        <w:ind w:left="1428"/>
        <w:contextualSpacing/>
        <w:jc w:val="both"/>
        <w:rPr>
          <w:rFonts w:ascii="Calibri" w:hAnsi="Calibri" w:cs="Arial"/>
          <w:b/>
          <w:bCs/>
          <w:spacing w:val="-3"/>
          <w:sz w:val="22"/>
          <w:szCs w:val="22"/>
          <w:lang w:val="hr-HR"/>
        </w:rPr>
      </w:pPr>
    </w:p>
    <w:p w:rsidR="00086AB9" w:rsidRPr="001567C8" w:rsidRDefault="00086AB9" w:rsidP="003C6BA3">
      <w:pPr>
        <w:keepNext/>
        <w:ind w:left="567" w:hanging="567"/>
        <w:jc w:val="both"/>
        <w:rPr>
          <w:rFonts w:ascii="Calibri" w:hAnsi="Calibri" w:cs="Arial"/>
          <w:b/>
          <w:bCs/>
          <w:spacing w:val="-3"/>
          <w:sz w:val="22"/>
          <w:szCs w:val="22"/>
          <w:lang w:val="hr-HR"/>
        </w:rPr>
      </w:pPr>
      <w:r w:rsidRPr="001567C8">
        <w:rPr>
          <w:rFonts w:ascii="Calibri" w:hAnsi="Calibri" w:cs="Arial"/>
          <w:b/>
          <w:bCs/>
          <w:spacing w:val="-3"/>
          <w:sz w:val="22"/>
          <w:szCs w:val="22"/>
          <w:lang w:val="hr-HR"/>
        </w:rPr>
        <w:t>37.1.</w:t>
      </w:r>
      <w:r w:rsidRPr="001567C8">
        <w:rPr>
          <w:rFonts w:ascii="Calibri" w:hAnsi="Calibri" w:cs="Arial"/>
          <w:b/>
          <w:bCs/>
          <w:spacing w:val="-3"/>
          <w:sz w:val="22"/>
          <w:szCs w:val="22"/>
          <w:lang w:val="hr-HR"/>
        </w:rPr>
        <w:tab/>
        <w:t xml:space="preserve">Fer vrijednost financijske imovine i financijskih obveza koji se vode po fer vrijednosti (nastavak) </w:t>
      </w:r>
    </w:p>
    <w:p w:rsidR="00086AB9" w:rsidRPr="001567C8" w:rsidRDefault="00086AB9" w:rsidP="00086AB9">
      <w:pPr>
        <w:keepNext/>
        <w:tabs>
          <w:tab w:val="left" w:pos="567"/>
        </w:tabs>
        <w:ind w:left="1428"/>
        <w:contextualSpacing/>
        <w:jc w:val="both"/>
        <w:rPr>
          <w:rFonts w:ascii="Calibri" w:hAnsi="Calibri" w:cs="Arial"/>
          <w:b/>
          <w:bCs/>
          <w:spacing w:val="-3"/>
          <w:sz w:val="22"/>
          <w:szCs w:val="22"/>
          <w:lang w:val="hr-HR"/>
        </w:rPr>
      </w:pPr>
    </w:p>
    <w:p w:rsidR="00086AB9" w:rsidRPr="001567C8" w:rsidRDefault="00086AB9" w:rsidP="00086AB9">
      <w:pPr>
        <w:rPr>
          <w:rFonts w:ascii="Calibri" w:eastAsia="Calibri" w:hAnsi="Calibri" w:cs="Calibri"/>
          <w:b/>
          <w:sz w:val="22"/>
          <w:szCs w:val="22"/>
          <w:lang w:val="hr-HR"/>
        </w:rPr>
      </w:pPr>
      <w:r w:rsidRPr="001567C8">
        <w:rPr>
          <w:rFonts w:ascii="Calibri" w:eastAsia="Calibri" w:hAnsi="Calibri" w:cs="Calibri"/>
          <w:b/>
          <w:sz w:val="22"/>
          <w:szCs w:val="22"/>
          <w:lang w:val="hr-HR"/>
        </w:rPr>
        <w:t xml:space="preserve">37.1.1. </w:t>
      </w:r>
      <w:r w:rsidRPr="001567C8">
        <w:rPr>
          <w:rFonts w:ascii="Calibri" w:eastAsia="Calibri" w:hAnsi="Calibri" w:cs="Calibri"/>
          <w:b/>
          <w:sz w:val="22"/>
          <w:szCs w:val="22"/>
          <w:lang w:val="hr-HR"/>
        </w:rPr>
        <w:tab/>
        <w:t>Razina 3 - fer vrijednosti (nastavak)</w:t>
      </w:r>
    </w:p>
    <w:p w:rsidR="00086AB9" w:rsidRPr="001567C8" w:rsidRDefault="00086AB9" w:rsidP="00086AB9">
      <w:pPr>
        <w:ind w:left="1428"/>
        <w:contextualSpacing/>
        <w:rPr>
          <w:rFonts w:ascii="Calibri" w:eastAsia="Calibri" w:hAnsi="Calibri" w:cs="Calibri"/>
          <w:sz w:val="22"/>
          <w:szCs w:val="22"/>
          <w:lang w:val="hr-HR"/>
        </w:rPr>
      </w:pPr>
    </w:p>
    <w:p w:rsidR="00086AB9" w:rsidRPr="001567C8" w:rsidRDefault="00086AB9" w:rsidP="003C6BA3">
      <w:pPr>
        <w:tabs>
          <w:tab w:val="left" w:pos="284"/>
        </w:tabs>
        <w:rPr>
          <w:rFonts w:ascii="Calibri" w:eastAsia="Calibri" w:hAnsi="Calibri" w:cs="Calibri"/>
          <w:b/>
          <w:i/>
          <w:sz w:val="22"/>
          <w:szCs w:val="22"/>
          <w:lang w:val="hr-HR"/>
        </w:rPr>
      </w:pPr>
      <w:r w:rsidRPr="001567C8">
        <w:rPr>
          <w:rFonts w:ascii="Calibri" w:eastAsia="Calibri" w:hAnsi="Calibri" w:cs="Calibri"/>
          <w:b/>
          <w:i/>
          <w:sz w:val="22"/>
          <w:szCs w:val="22"/>
          <w:lang w:val="hr-HR"/>
        </w:rPr>
        <w:t xml:space="preserve">c) </w:t>
      </w:r>
      <w:r w:rsidRPr="001567C8">
        <w:rPr>
          <w:rFonts w:ascii="Calibri" w:eastAsia="Calibri" w:hAnsi="Calibri" w:cs="Calibri"/>
          <w:b/>
          <w:i/>
          <w:sz w:val="22"/>
          <w:szCs w:val="22"/>
          <w:lang w:val="hr-HR"/>
        </w:rPr>
        <w:tab/>
        <w:t>Usklađivanje fer vrijednosti Razine 3</w:t>
      </w:r>
      <w:r w:rsidR="00B57831" w:rsidRPr="001567C8">
        <w:rPr>
          <w:rFonts w:ascii="Calibri" w:eastAsia="Calibri" w:hAnsi="Calibri" w:cs="Calibri"/>
          <w:b/>
          <w:i/>
          <w:sz w:val="22"/>
          <w:szCs w:val="22"/>
          <w:lang w:val="hr-HR"/>
        </w:rPr>
        <w:t>*</w:t>
      </w:r>
      <w:r w:rsidRPr="001567C8">
        <w:rPr>
          <w:rFonts w:ascii="Calibri" w:eastAsia="Calibri" w:hAnsi="Calibri" w:cs="Calibri"/>
          <w:b/>
          <w:i/>
          <w:sz w:val="22"/>
          <w:szCs w:val="22"/>
          <w:lang w:val="hr-HR"/>
        </w:rPr>
        <w:t xml:space="preserve">: </w:t>
      </w:r>
    </w:p>
    <w:p w:rsidR="00086AB9" w:rsidRPr="001567C8" w:rsidRDefault="00086AB9" w:rsidP="00086AB9">
      <w:pPr>
        <w:rPr>
          <w:rFonts w:ascii="Calibri" w:eastAsia="Calibri" w:hAnsi="Calibri" w:cs="Calibri"/>
          <w:sz w:val="22"/>
          <w:szCs w:val="22"/>
          <w:lang w:val="hr-HR"/>
        </w:rPr>
      </w:pPr>
    </w:p>
    <w:p w:rsidR="00934D85" w:rsidRPr="001567C8" w:rsidRDefault="00934D85" w:rsidP="002B5EA8">
      <w:pPr>
        <w:pStyle w:val="ListParagraph"/>
        <w:numPr>
          <w:ilvl w:val="0"/>
          <w:numId w:val="38"/>
        </w:numPr>
        <w:ind w:left="284" w:hanging="284"/>
        <w:jc w:val="both"/>
        <w:rPr>
          <w:rFonts w:ascii="Calibri" w:eastAsia="Calibri" w:hAnsi="Calibri" w:cs="Calibri"/>
          <w:sz w:val="22"/>
          <w:szCs w:val="22"/>
          <w:lang w:val="hr-HR"/>
        </w:rPr>
      </w:pPr>
      <w:r w:rsidRPr="001567C8">
        <w:rPr>
          <w:rFonts w:ascii="Calibri" w:eastAsia="Calibri" w:hAnsi="Calibri" w:cs="Calibri"/>
          <w:sz w:val="22"/>
          <w:szCs w:val="22"/>
          <w:lang w:val="hr-HR"/>
        </w:rPr>
        <w:t>Fer vrijednosti financijske imovine razine 3 koja je nakon početnog priznavanja svedena na fer vrijednost – mezzanin krediti:</w:t>
      </w:r>
    </w:p>
    <w:p w:rsidR="00934D85" w:rsidRPr="001567C8" w:rsidRDefault="00934D85" w:rsidP="003C6BA3">
      <w:pPr>
        <w:rPr>
          <w:rFonts w:ascii="Calibri" w:eastAsia="Calibri" w:hAnsi="Calibri" w:cs="Calibri"/>
          <w:sz w:val="22"/>
          <w:szCs w:val="22"/>
          <w:lang w:val="hr-HR"/>
        </w:rPr>
      </w:pPr>
    </w:p>
    <w:tbl>
      <w:tblPr>
        <w:tblW w:w="5000" w:type="pct"/>
        <w:jc w:val="center"/>
        <w:tblCellMar>
          <w:left w:w="122" w:type="dxa"/>
          <w:right w:w="122" w:type="dxa"/>
        </w:tblCellMar>
        <w:tblLook w:val="04A0" w:firstRow="1" w:lastRow="0" w:firstColumn="1" w:lastColumn="0" w:noHBand="0" w:noVBand="1"/>
      </w:tblPr>
      <w:tblGrid>
        <w:gridCol w:w="3425"/>
        <w:gridCol w:w="1606"/>
        <w:gridCol w:w="1534"/>
        <w:gridCol w:w="1396"/>
        <w:gridCol w:w="1394"/>
      </w:tblGrid>
      <w:tr w:rsidR="00934D85" w:rsidRPr="001567C8" w:rsidTr="00DC62D8">
        <w:trPr>
          <w:trHeight w:hRule="exact" w:val="275"/>
          <w:jc w:val="center"/>
        </w:trPr>
        <w:tc>
          <w:tcPr>
            <w:tcW w:w="1830" w:type="pct"/>
          </w:tcPr>
          <w:p w:rsidR="00934D85" w:rsidRPr="001567C8" w:rsidRDefault="00934D85" w:rsidP="00DC62D8">
            <w:pPr>
              <w:spacing w:after="160" w:line="256" w:lineRule="auto"/>
              <w:rPr>
                <w:rFonts w:ascii="Calibri" w:hAnsi="Calibri" w:cs="Arial"/>
                <w:b/>
                <w:spacing w:val="-2"/>
                <w:sz w:val="20"/>
                <w:szCs w:val="20"/>
                <w:lang w:val="hr-HR"/>
              </w:rPr>
            </w:pPr>
          </w:p>
        </w:tc>
        <w:tc>
          <w:tcPr>
            <w:tcW w:w="1678" w:type="pct"/>
            <w:gridSpan w:val="2"/>
            <w:vAlign w:val="center"/>
            <w:hideMark/>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Grupa</w:t>
            </w:r>
          </w:p>
        </w:tc>
        <w:tc>
          <w:tcPr>
            <w:tcW w:w="746" w:type="pct"/>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p>
        </w:tc>
        <w:tc>
          <w:tcPr>
            <w:tcW w:w="745" w:type="pct"/>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Banka</w:t>
            </w:r>
          </w:p>
        </w:tc>
      </w:tr>
      <w:tr w:rsidR="00934D85" w:rsidRPr="001567C8" w:rsidTr="00DC62D8">
        <w:trPr>
          <w:trHeight w:hRule="exact" w:val="253"/>
          <w:jc w:val="center"/>
        </w:trPr>
        <w:tc>
          <w:tcPr>
            <w:tcW w:w="1830" w:type="pct"/>
          </w:tcPr>
          <w:p w:rsidR="00934D85" w:rsidRPr="001567C8" w:rsidRDefault="00934D85" w:rsidP="00DC62D8">
            <w:pPr>
              <w:tabs>
                <w:tab w:val="right" w:pos="1202"/>
              </w:tabs>
              <w:spacing w:line="260" w:lineRule="exact"/>
              <w:outlineLvl w:val="0"/>
              <w:rPr>
                <w:rFonts w:ascii="Calibri" w:hAnsi="Calibri" w:cs="Arial"/>
                <w:b/>
                <w:spacing w:val="-2"/>
                <w:sz w:val="20"/>
                <w:szCs w:val="20"/>
                <w:lang w:val="hr-HR"/>
              </w:rPr>
            </w:pPr>
          </w:p>
        </w:tc>
        <w:tc>
          <w:tcPr>
            <w:tcW w:w="858" w:type="pct"/>
            <w:vAlign w:val="center"/>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2018.</w:t>
            </w:r>
          </w:p>
        </w:tc>
        <w:tc>
          <w:tcPr>
            <w:tcW w:w="820" w:type="pct"/>
            <w:vAlign w:val="center"/>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2017.</w:t>
            </w:r>
          </w:p>
        </w:tc>
        <w:tc>
          <w:tcPr>
            <w:tcW w:w="746" w:type="pct"/>
            <w:vAlign w:val="center"/>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2018.</w:t>
            </w:r>
          </w:p>
        </w:tc>
        <w:tc>
          <w:tcPr>
            <w:tcW w:w="745" w:type="pct"/>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2017.</w:t>
            </w:r>
          </w:p>
        </w:tc>
      </w:tr>
      <w:tr w:rsidR="00934D85" w:rsidRPr="001567C8" w:rsidTr="00DC62D8">
        <w:trPr>
          <w:trHeight w:hRule="exact" w:val="227"/>
          <w:jc w:val="center"/>
        </w:trPr>
        <w:tc>
          <w:tcPr>
            <w:tcW w:w="1830" w:type="pct"/>
          </w:tcPr>
          <w:p w:rsidR="00934D85" w:rsidRPr="001567C8" w:rsidRDefault="00934D85" w:rsidP="00DC62D8">
            <w:pPr>
              <w:tabs>
                <w:tab w:val="right" w:pos="1202"/>
              </w:tabs>
              <w:spacing w:line="260" w:lineRule="exact"/>
              <w:outlineLvl w:val="0"/>
              <w:rPr>
                <w:rFonts w:ascii="Calibri" w:hAnsi="Calibri" w:cs="Arial"/>
                <w:b/>
                <w:spacing w:val="-2"/>
                <w:sz w:val="20"/>
                <w:szCs w:val="20"/>
                <w:lang w:val="hr-HR"/>
              </w:rPr>
            </w:pPr>
          </w:p>
        </w:tc>
        <w:tc>
          <w:tcPr>
            <w:tcW w:w="858" w:type="pct"/>
            <w:hideMark/>
          </w:tcPr>
          <w:p w:rsidR="00934D85" w:rsidRPr="001567C8" w:rsidRDefault="00934D85" w:rsidP="00DC62D8">
            <w:pPr>
              <w:tabs>
                <w:tab w:val="right" w:pos="1202"/>
              </w:tabs>
              <w:spacing w:line="260" w:lineRule="exact"/>
              <w:jc w:val="right"/>
              <w:outlineLvl w:val="0"/>
              <w:rPr>
                <w:rFonts w:ascii="Calibri" w:hAnsi="Calibri" w:cs="Arial"/>
                <w:sz w:val="20"/>
                <w:szCs w:val="20"/>
                <w:lang w:val="hr-HR"/>
              </w:rPr>
            </w:pPr>
            <w:r w:rsidRPr="001567C8">
              <w:rPr>
                <w:rFonts w:ascii="Calibri" w:hAnsi="Calibri" w:cs="Arial"/>
                <w:b/>
                <w:sz w:val="20"/>
                <w:szCs w:val="20"/>
                <w:lang w:val="hr-HR"/>
              </w:rPr>
              <w:t>000 kuna</w:t>
            </w:r>
          </w:p>
        </w:tc>
        <w:tc>
          <w:tcPr>
            <w:tcW w:w="820" w:type="pct"/>
            <w:hideMark/>
          </w:tcPr>
          <w:p w:rsidR="00934D85" w:rsidRPr="001567C8" w:rsidRDefault="00934D85" w:rsidP="00DC62D8">
            <w:pPr>
              <w:tabs>
                <w:tab w:val="right" w:pos="1202"/>
              </w:tabs>
              <w:spacing w:line="260" w:lineRule="exact"/>
              <w:jc w:val="right"/>
              <w:outlineLvl w:val="0"/>
              <w:rPr>
                <w:rFonts w:ascii="Calibri" w:hAnsi="Calibri" w:cs="Arial"/>
                <w:sz w:val="20"/>
                <w:szCs w:val="20"/>
                <w:lang w:val="hr-HR"/>
              </w:rPr>
            </w:pPr>
            <w:r w:rsidRPr="001567C8">
              <w:rPr>
                <w:rFonts w:ascii="Calibri" w:hAnsi="Calibri" w:cs="Arial"/>
                <w:b/>
                <w:sz w:val="20"/>
                <w:szCs w:val="20"/>
                <w:lang w:val="hr-HR"/>
              </w:rPr>
              <w:t>000 kuna</w:t>
            </w:r>
          </w:p>
        </w:tc>
        <w:tc>
          <w:tcPr>
            <w:tcW w:w="746" w:type="pct"/>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000 kuna</w:t>
            </w:r>
          </w:p>
        </w:tc>
        <w:tc>
          <w:tcPr>
            <w:tcW w:w="745" w:type="pct"/>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000 kuna</w:t>
            </w:r>
          </w:p>
        </w:tc>
      </w:tr>
      <w:tr w:rsidR="00934D85" w:rsidRPr="001567C8" w:rsidTr="00DC62D8">
        <w:trPr>
          <w:trHeight w:hRule="exact" w:val="284"/>
          <w:jc w:val="center"/>
        </w:trPr>
        <w:tc>
          <w:tcPr>
            <w:tcW w:w="1830" w:type="pct"/>
          </w:tcPr>
          <w:p w:rsidR="00934D85" w:rsidRPr="001567C8" w:rsidRDefault="00934D85" w:rsidP="00DC62D8">
            <w:pPr>
              <w:tabs>
                <w:tab w:val="right" w:pos="1202"/>
              </w:tabs>
              <w:spacing w:line="260" w:lineRule="exact"/>
              <w:outlineLvl w:val="0"/>
              <w:rPr>
                <w:rFonts w:ascii="Calibri" w:hAnsi="Calibri" w:cs="Arial"/>
                <w:b/>
                <w:i/>
                <w:spacing w:val="-2"/>
                <w:sz w:val="20"/>
                <w:szCs w:val="20"/>
                <w:lang w:val="hr-HR"/>
              </w:rPr>
            </w:pPr>
          </w:p>
        </w:tc>
        <w:tc>
          <w:tcPr>
            <w:tcW w:w="858" w:type="pct"/>
            <w:vAlign w:val="center"/>
          </w:tcPr>
          <w:p w:rsidR="00934D85" w:rsidRPr="001567C8" w:rsidRDefault="00934D85" w:rsidP="00DC62D8">
            <w:pPr>
              <w:tabs>
                <w:tab w:val="right" w:pos="1202"/>
              </w:tabs>
              <w:spacing w:line="260" w:lineRule="exact"/>
              <w:jc w:val="right"/>
              <w:outlineLvl w:val="0"/>
              <w:rPr>
                <w:rFonts w:ascii="Calibri" w:hAnsi="Calibri" w:cs="Arial"/>
                <w:sz w:val="20"/>
                <w:szCs w:val="20"/>
                <w:lang w:val="hr-HR"/>
              </w:rPr>
            </w:pPr>
          </w:p>
        </w:tc>
        <w:tc>
          <w:tcPr>
            <w:tcW w:w="820" w:type="pct"/>
            <w:vAlign w:val="center"/>
          </w:tcPr>
          <w:p w:rsidR="00934D85" w:rsidRPr="001567C8" w:rsidRDefault="00934D85" w:rsidP="00DC62D8">
            <w:pPr>
              <w:tabs>
                <w:tab w:val="right" w:pos="1202"/>
              </w:tabs>
              <w:spacing w:line="260" w:lineRule="exact"/>
              <w:jc w:val="right"/>
              <w:outlineLvl w:val="0"/>
              <w:rPr>
                <w:rFonts w:ascii="Calibri" w:hAnsi="Calibri" w:cs="Arial"/>
                <w:sz w:val="20"/>
                <w:szCs w:val="20"/>
                <w:lang w:val="hr-HR"/>
              </w:rPr>
            </w:pPr>
          </w:p>
        </w:tc>
        <w:tc>
          <w:tcPr>
            <w:tcW w:w="746" w:type="pct"/>
          </w:tcPr>
          <w:p w:rsidR="00934D85" w:rsidRPr="001567C8" w:rsidRDefault="00934D85" w:rsidP="00DC62D8">
            <w:pPr>
              <w:tabs>
                <w:tab w:val="right" w:pos="1202"/>
              </w:tabs>
              <w:spacing w:line="260" w:lineRule="exact"/>
              <w:jc w:val="right"/>
              <w:outlineLvl w:val="0"/>
              <w:rPr>
                <w:rFonts w:ascii="Calibri" w:hAnsi="Calibri" w:cs="Arial"/>
                <w:sz w:val="20"/>
                <w:szCs w:val="20"/>
                <w:lang w:val="hr-HR"/>
              </w:rPr>
            </w:pPr>
          </w:p>
        </w:tc>
        <w:tc>
          <w:tcPr>
            <w:tcW w:w="745" w:type="pct"/>
          </w:tcPr>
          <w:p w:rsidR="00934D85" w:rsidRPr="001567C8" w:rsidRDefault="00934D85" w:rsidP="00DC62D8">
            <w:pPr>
              <w:tabs>
                <w:tab w:val="right" w:pos="1202"/>
              </w:tabs>
              <w:spacing w:line="260" w:lineRule="exact"/>
              <w:jc w:val="right"/>
              <w:outlineLvl w:val="0"/>
              <w:rPr>
                <w:rFonts w:ascii="Calibri" w:hAnsi="Calibri" w:cs="Arial"/>
                <w:sz w:val="20"/>
                <w:szCs w:val="20"/>
                <w:lang w:val="hr-HR"/>
              </w:rPr>
            </w:pPr>
          </w:p>
        </w:tc>
      </w:tr>
      <w:tr w:rsidR="00934D85" w:rsidRPr="001567C8" w:rsidTr="00DC62D8">
        <w:trPr>
          <w:trHeight w:hRule="exact" w:val="284"/>
          <w:jc w:val="center"/>
        </w:trPr>
        <w:tc>
          <w:tcPr>
            <w:tcW w:w="1830" w:type="pct"/>
            <w:vAlign w:val="bottom"/>
            <w:hideMark/>
          </w:tcPr>
          <w:p w:rsidR="00934D85" w:rsidRPr="001567C8" w:rsidRDefault="00934D85" w:rsidP="00DC62D8">
            <w:pPr>
              <w:spacing w:line="256" w:lineRule="auto"/>
              <w:rPr>
                <w:rFonts w:ascii="Calibri" w:eastAsia="Calibri" w:hAnsi="Calibri" w:cs="Calibri"/>
                <w:b/>
                <w:bCs/>
                <w:sz w:val="20"/>
                <w:szCs w:val="20"/>
                <w:lang w:val="hr-HR"/>
              </w:rPr>
            </w:pPr>
            <w:r w:rsidRPr="001567C8">
              <w:rPr>
                <w:rFonts w:ascii="Calibri" w:eastAsia="Calibri" w:hAnsi="Calibri" w:cs="Calibri"/>
                <w:b/>
                <w:bCs/>
                <w:sz w:val="20"/>
                <w:szCs w:val="20"/>
                <w:lang w:val="hr-HR"/>
              </w:rPr>
              <w:t xml:space="preserve">Stanje 1. siječnja </w:t>
            </w:r>
          </w:p>
        </w:tc>
        <w:tc>
          <w:tcPr>
            <w:tcW w:w="858" w:type="pct"/>
            <w:tcBorders>
              <w:top w:val="nil"/>
              <w:left w:val="nil"/>
              <w:bottom w:val="single" w:sz="2" w:space="0" w:color="auto"/>
              <w:right w:val="nil"/>
            </w:tcBorders>
            <w:vAlign w:val="bottom"/>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4.016</w:t>
            </w:r>
          </w:p>
        </w:tc>
        <w:tc>
          <w:tcPr>
            <w:tcW w:w="820" w:type="pct"/>
            <w:tcBorders>
              <w:top w:val="nil"/>
              <w:left w:val="nil"/>
              <w:bottom w:val="single" w:sz="2" w:space="0" w:color="auto"/>
              <w:right w:val="nil"/>
            </w:tcBorders>
            <w:vAlign w:val="bottom"/>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n/p</w:t>
            </w:r>
          </w:p>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p>
        </w:tc>
        <w:tc>
          <w:tcPr>
            <w:tcW w:w="746" w:type="pct"/>
            <w:tcBorders>
              <w:top w:val="nil"/>
              <w:left w:val="nil"/>
              <w:bottom w:val="single" w:sz="2" w:space="0" w:color="auto"/>
              <w:right w:val="nil"/>
            </w:tcBorders>
            <w:vAlign w:val="bottom"/>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4.016</w:t>
            </w:r>
          </w:p>
        </w:tc>
        <w:tc>
          <w:tcPr>
            <w:tcW w:w="745" w:type="pct"/>
            <w:tcBorders>
              <w:top w:val="nil"/>
              <w:left w:val="nil"/>
              <w:bottom w:val="single" w:sz="2" w:space="0" w:color="auto"/>
              <w:right w:val="nil"/>
            </w:tcBorders>
            <w:vAlign w:val="bottom"/>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n/p</w:t>
            </w:r>
          </w:p>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p>
        </w:tc>
      </w:tr>
      <w:tr w:rsidR="00934D85" w:rsidRPr="001567C8" w:rsidTr="00DC62D8">
        <w:trPr>
          <w:trHeight w:hRule="exact" w:val="516"/>
          <w:jc w:val="center"/>
        </w:trPr>
        <w:tc>
          <w:tcPr>
            <w:tcW w:w="1830" w:type="pct"/>
            <w:vAlign w:val="bottom"/>
            <w:hideMark/>
          </w:tcPr>
          <w:p w:rsidR="00934D85" w:rsidRPr="001567C8" w:rsidRDefault="00934D85" w:rsidP="00DC62D8">
            <w:pPr>
              <w:spacing w:line="256" w:lineRule="auto"/>
              <w:rPr>
                <w:rFonts w:ascii="Calibri" w:eastAsia="Calibri" w:hAnsi="Calibri" w:cs="Calibri"/>
                <w:sz w:val="20"/>
                <w:szCs w:val="20"/>
                <w:lang w:val="hr-HR"/>
              </w:rPr>
            </w:pPr>
            <w:r w:rsidRPr="001567C8">
              <w:rPr>
                <w:rFonts w:ascii="Calibri" w:eastAsia="Calibri" w:hAnsi="Calibri" w:cs="Calibri"/>
                <w:sz w:val="20"/>
                <w:szCs w:val="20"/>
                <w:lang w:val="hr-HR"/>
              </w:rPr>
              <w:t>Smanjenje fer vrijednosti kroz račun dobiti i gubitka</w:t>
            </w:r>
          </w:p>
        </w:tc>
        <w:tc>
          <w:tcPr>
            <w:tcW w:w="858" w:type="pct"/>
            <w:tcBorders>
              <w:top w:val="nil"/>
              <w:left w:val="nil"/>
              <w:bottom w:val="single" w:sz="8" w:space="0" w:color="auto"/>
              <w:right w:val="nil"/>
            </w:tcBorders>
            <w:shd w:val="clear" w:color="auto" w:fill="auto"/>
            <w:vAlign w:val="bottom"/>
          </w:tcPr>
          <w:p w:rsidR="00934D85" w:rsidRPr="001567C8" w:rsidRDefault="00934D85" w:rsidP="00DC62D8">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(1.97</w:t>
            </w:r>
            <w:r w:rsidR="005A047E" w:rsidRPr="00CD3A2D">
              <w:rPr>
                <w:rFonts w:asciiTheme="minorHAnsi" w:hAnsiTheme="minorHAnsi"/>
                <w:sz w:val="20"/>
                <w:szCs w:val="20"/>
                <w:lang w:val="hr-HR"/>
              </w:rPr>
              <w:t>1</w:t>
            </w:r>
            <w:r w:rsidRPr="00CD3A2D">
              <w:rPr>
                <w:rFonts w:asciiTheme="minorHAnsi" w:hAnsiTheme="minorHAnsi"/>
                <w:sz w:val="20"/>
                <w:szCs w:val="20"/>
                <w:lang w:val="hr-HR"/>
              </w:rPr>
              <w:t>)</w:t>
            </w:r>
          </w:p>
        </w:tc>
        <w:tc>
          <w:tcPr>
            <w:tcW w:w="820" w:type="pct"/>
            <w:tcBorders>
              <w:top w:val="nil"/>
              <w:left w:val="nil"/>
              <w:bottom w:val="single" w:sz="8" w:space="0" w:color="auto"/>
              <w:right w:val="nil"/>
            </w:tcBorders>
            <w:shd w:val="clear" w:color="auto" w:fill="auto"/>
            <w:vAlign w:val="bottom"/>
          </w:tcPr>
          <w:p w:rsidR="00934D85" w:rsidRPr="001567C8" w:rsidRDefault="00934D85" w:rsidP="00DC62D8">
            <w:pPr>
              <w:tabs>
                <w:tab w:val="right" w:pos="1202"/>
              </w:tabs>
              <w:spacing w:line="260" w:lineRule="exact"/>
              <w:jc w:val="right"/>
              <w:outlineLvl w:val="0"/>
              <w:rPr>
                <w:rFonts w:ascii="Calibri" w:hAnsi="Calibri" w:cs="Arial"/>
                <w:sz w:val="20"/>
                <w:szCs w:val="20"/>
                <w:lang w:val="hr-HR"/>
              </w:rPr>
            </w:pPr>
            <w:r w:rsidRPr="001567C8">
              <w:rPr>
                <w:rFonts w:ascii="Calibri" w:hAnsi="Calibri" w:cs="Arial"/>
                <w:sz w:val="20"/>
                <w:szCs w:val="20"/>
                <w:lang w:val="hr-HR"/>
              </w:rPr>
              <w:t>n/p</w:t>
            </w:r>
          </w:p>
        </w:tc>
        <w:tc>
          <w:tcPr>
            <w:tcW w:w="746" w:type="pct"/>
            <w:tcBorders>
              <w:top w:val="nil"/>
              <w:left w:val="nil"/>
              <w:bottom w:val="single" w:sz="8" w:space="0" w:color="auto"/>
              <w:right w:val="nil"/>
            </w:tcBorders>
            <w:shd w:val="clear" w:color="auto" w:fill="auto"/>
            <w:vAlign w:val="bottom"/>
          </w:tcPr>
          <w:p w:rsidR="00934D85" w:rsidRPr="001567C8" w:rsidRDefault="00934D85" w:rsidP="00DC62D8">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(1.97</w:t>
            </w:r>
            <w:r w:rsidR="005A047E" w:rsidRPr="00CD3A2D">
              <w:rPr>
                <w:rFonts w:asciiTheme="minorHAnsi" w:hAnsiTheme="minorHAnsi"/>
                <w:sz w:val="20"/>
                <w:szCs w:val="20"/>
                <w:lang w:val="hr-HR"/>
              </w:rPr>
              <w:t>1</w:t>
            </w:r>
            <w:r w:rsidRPr="00CD3A2D">
              <w:rPr>
                <w:rFonts w:asciiTheme="minorHAnsi" w:hAnsiTheme="minorHAnsi"/>
                <w:sz w:val="20"/>
                <w:szCs w:val="20"/>
                <w:lang w:val="hr-HR"/>
              </w:rPr>
              <w:t>)</w:t>
            </w:r>
          </w:p>
        </w:tc>
        <w:tc>
          <w:tcPr>
            <w:tcW w:w="745" w:type="pct"/>
            <w:tcBorders>
              <w:top w:val="nil"/>
              <w:left w:val="nil"/>
              <w:bottom w:val="single" w:sz="8" w:space="0" w:color="auto"/>
              <w:right w:val="nil"/>
            </w:tcBorders>
            <w:shd w:val="clear" w:color="auto" w:fill="auto"/>
            <w:vAlign w:val="bottom"/>
          </w:tcPr>
          <w:p w:rsidR="00934D85" w:rsidRPr="001567C8" w:rsidRDefault="00934D85" w:rsidP="00DC62D8">
            <w:pPr>
              <w:tabs>
                <w:tab w:val="right" w:pos="1202"/>
              </w:tabs>
              <w:spacing w:line="260" w:lineRule="exact"/>
              <w:jc w:val="right"/>
              <w:outlineLvl w:val="0"/>
              <w:rPr>
                <w:rFonts w:ascii="Calibri" w:hAnsi="Calibri" w:cs="Arial"/>
                <w:sz w:val="20"/>
                <w:szCs w:val="20"/>
                <w:lang w:val="hr-HR"/>
              </w:rPr>
            </w:pPr>
            <w:r w:rsidRPr="001567C8">
              <w:rPr>
                <w:rFonts w:ascii="Calibri" w:hAnsi="Calibri" w:cs="Arial"/>
                <w:sz w:val="20"/>
                <w:szCs w:val="20"/>
                <w:lang w:val="hr-HR"/>
              </w:rPr>
              <w:t>n/p</w:t>
            </w:r>
          </w:p>
        </w:tc>
      </w:tr>
      <w:tr w:rsidR="00934D85" w:rsidRPr="001567C8" w:rsidTr="00DC62D8">
        <w:trPr>
          <w:trHeight w:hRule="exact" w:val="437"/>
          <w:jc w:val="center"/>
        </w:trPr>
        <w:tc>
          <w:tcPr>
            <w:tcW w:w="1830" w:type="pct"/>
            <w:vAlign w:val="bottom"/>
          </w:tcPr>
          <w:p w:rsidR="00934D85" w:rsidRPr="001567C8" w:rsidRDefault="00934D85" w:rsidP="00DC62D8">
            <w:pPr>
              <w:rPr>
                <w:rFonts w:ascii="Calibri" w:eastAsia="Calibri" w:hAnsi="Calibri" w:cs="Calibri"/>
                <w:b/>
                <w:bCs/>
                <w:sz w:val="20"/>
                <w:szCs w:val="20"/>
                <w:lang w:val="hr-HR"/>
              </w:rPr>
            </w:pPr>
            <w:r w:rsidRPr="001567C8">
              <w:rPr>
                <w:rFonts w:ascii="Calibri" w:eastAsia="Calibri" w:hAnsi="Calibri" w:cs="Calibri"/>
                <w:b/>
                <w:bCs/>
                <w:sz w:val="20"/>
                <w:szCs w:val="20"/>
                <w:lang w:val="hr-HR"/>
              </w:rPr>
              <w:t>Stanje 31. prosinca</w:t>
            </w:r>
          </w:p>
        </w:tc>
        <w:tc>
          <w:tcPr>
            <w:tcW w:w="858" w:type="pct"/>
            <w:tcBorders>
              <w:top w:val="single" w:sz="8" w:space="0" w:color="000000"/>
              <w:left w:val="nil"/>
              <w:bottom w:val="single" w:sz="12" w:space="0" w:color="auto"/>
              <w:right w:val="nil"/>
            </w:tcBorders>
            <w:shd w:val="clear" w:color="auto" w:fill="auto"/>
            <w:vAlign w:val="bottom"/>
          </w:tcPr>
          <w:p w:rsidR="00934D85" w:rsidRPr="001567C8" w:rsidRDefault="00934D85" w:rsidP="00DC62D8">
            <w:pPr>
              <w:tabs>
                <w:tab w:val="right" w:pos="1202"/>
              </w:tabs>
              <w:jc w:val="right"/>
              <w:outlineLvl w:val="0"/>
              <w:rPr>
                <w:rFonts w:asciiTheme="minorHAnsi" w:hAnsiTheme="minorHAnsi" w:cs="Arial"/>
                <w:b/>
                <w:sz w:val="20"/>
                <w:szCs w:val="20"/>
                <w:lang w:val="hr-HR"/>
              </w:rPr>
            </w:pPr>
            <w:r w:rsidRPr="00CD3A2D">
              <w:rPr>
                <w:rFonts w:asciiTheme="minorHAnsi" w:hAnsiTheme="minorHAnsi"/>
                <w:b/>
                <w:sz w:val="20"/>
                <w:szCs w:val="20"/>
                <w:lang w:val="hr-HR"/>
              </w:rPr>
              <w:t>2.04</w:t>
            </w:r>
            <w:r w:rsidR="005A047E" w:rsidRPr="00CD3A2D">
              <w:rPr>
                <w:rFonts w:asciiTheme="minorHAnsi" w:hAnsiTheme="minorHAnsi"/>
                <w:b/>
                <w:sz w:val="20"/>
                <w:szCs w:val="20"/>
                <w:lang w:val="hr-HR"/>
              </w:rPr>
              <w:t>5</w:t>
            </w:r>
          </w:p>
        </w:tc>
        <w:tc>
          <w:tcPr>
            <w:tcW w:w="820" w:type="pct"/>
            <w:tcBorders>
              <w:top w:val="single" w:sz="8" w:space="0" w:color="000000"/>
              <w:left w:val="nil"/>
              <w:bottom w:val="single" w:sz="12" w:space="0" w:color="auto"/>
              <w:right w:val="nil"/>
            </w:tcBorders>
            <w:shd w:val="clear" w:color="auto" w:fill="auto"/>
            <w:vAlign w:val="bottom"/>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n/p</w:t>
            </w:r>
          </w:p>
        </w:tc>
        <w:tc>
          <w:tcPr>
            <w:tcW w:w="746" w:type="pct"/>
            <w:tcBorders>
              <w:top w:val="single" w:sz="8" w:space="0" w:color="000000"/>
              <w:left w:val="nil"/>
              <w:bottom w:val="single" w:sz="12" w:space="0" w:color="auto"/>
              <w:right w:val="nil"/>
            </w:tcBorders>
            <w:shd w:val="clear" w:color="auto" w:fill="auto"/>
            <w:vAlign w:val="bottom"/>
          </w:tcPr>
          <w:p w:rsidR="00934D85" w:rsidRPr="001567C8" w:rsidRDefault="00934D85" w:rsidP="00DC62D8">
            <w:pPr>
              <w:tabs>
                <w:tab w:val="right" w:pos="1202"/>
              </w:tabs>
              <w:jc w:val="right"/>
              <w:outlineLvl w:val="0"/>
              <w:rPr>
                <w:rFonts w:asciiTheme="minorHAnsi" w:hAnsiTheme="minorHAnsi" w:cs="Arial"/>
                <w:b/>
                <w:sz w:val="20"/>
                <w:szCs w:val="20"/>
                <w:lang w:val="hr-HR"/>
              </w:rPr>
            </w:pPr>
            <w:r w:rsidRPr="00CD3A2D">
              <w:rPr>
                <w:rFonts w:asciiTheme="minorHAnsi" w:hAnsiTheme="minorHAnsi"/>
                <w:b/>
                <w:sz w:val="20"/>
                <w:szCs w:val="20"/>
                <w:lang w:val="hr-HR"/>
              </w:rPr>
              <w:t>2.04</w:t>
            </w:r>
            <w:r w:rsidR="005A047E" w:rsidRPr="00CD3A2D">
              <w:rPr>
                <w:rFonts w:asciiTheme="minorHAnsi" w:hAnsiTheme="minorHAnsi"/>
                <w:b/>
                <w:sz w:val="20"/>
                <w:szCs w:val="20"/>
                <w:lang w:val="hr-HR"/>
              </w:rPr>
              <w:t>5</w:t>
            </w:r>
          </w:p>
        </w:tc>
        <w:tc>
          <w:tcPr>
            <w:tcW w:w="745" w:type="pct"/>
            <w:tcBorders>
              <w:top w:val="single" w:sz="8" w:space="0" w:color="000000"/>
              <w:left w:val="nil"/>
              <w:bottom w:val="single" w:sz="12" w:space="0" w:color="auto"/>
              <w:right w:val="nil"/>
            </w:tcBorders>
            <w:shd w:val="clear" w:color="auto" w:fill="auto"/>
            <w:vAlign w:val="bottom"/>
          </w:tcPr>
          <w:p w:rsidR="00934D85" w:rsidRPr="001567C8" w:rsidRDefault="00934D85" w:rsidP="00DC62D8">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n/p</w:t>
            </w:r>
          </w:p>
        </w:tc>
      </w:tr>
    </w:tbl>
    <w:p w:rsidR="00934D85" w:rsidRPr="001567C8" w:rsidRDefault="00934D85" w:rsidP="00934D85">
      <w:pPr>
        <w:pStyle w:val="ListParagraph"/>
        <w:ind w:left="284"/>
        <w:rPr>
          <w:rFonts w:ascii="Calibri" w:eastAsia="Calibri" w:hAnsi="Calibri" w:cs="Calibri"/>
          <w:sz w:val="22"/>
          <w:szCs w:val="22"/>
          <w:lang w:val="hr-HR"/>
        </w:rPr>
      </w:pPr>
    </w:p>
    <w:p w:rsidR="00934D85" w:rsidRPr="001567C8" w:rsidRDefault="00934D85" w:rsidP="00934D85">
      <w:pPr>
        <w:pStyle w:val="ListParagraph"/>
        <w:ind w:left="284"/>
        <w:rPr>
          <w:rFonts w:ascii="Calibri" w:eastAsia="Calibri" w:hAnsi="Calibri" w:cs="Calibri"/>
          <w:sz w:val="22"/>
          <w:szCs w:val="22"/>
          <w:lang w:val="hr-HR"/>
        </w:rPr>
      </w:pPr>
    </w:p>
    <w:p w:rsidR="00934D85" w:rsidRPr="001567C8" w:rsidRDefault="00934D85">
      <w:pPr>
        <w:rPr>
          <w:rFonts w:ascii="Calibri" w:eastAsia="Calibri" w:hAnsi="Calibri" w:cs="Calibri"/>
          <w:sz w:val="22"/>
          <w:szCs w:val="22"/>
          <w:lang w:val="hr-HR"/>
        </w:rPr>
      </w:pPr>
    </w:p>
    <w:p w:rsidR="00086AB9" w:rsidRPr="001567C8" w:rsidRDefault="00086AB9" w:rsidP="002B5EA8">
      <w:pPr>
        <w:pStyle w:val="ListParagraph"/>
        <w:numPr>
          <w:ilvl w:val="2"/>
          <w:numId w:val="20"/>
        </w:numPr>
        <w:ind w:left="284" w:hanging="284"/>
        <w:jc w:val="both"/>
        <w:rPr>
          <w:rFonts w:ascii="Calibri" w:eastAsia="Calibri" w:hAnsi="Calibri" w:cs="Arial"/>
          <w:color w:val="222222"/>
          <w:sz w:val="22"/>
          <w:szCs w:val="22"/>
          <w:lang w:val="hr-HR"/>
        </w:rPr>
      </w:pPr>
      <w:r w:rsidRPr="001567C8">
        <w:rPr>
          <w:rFonts w:ascii="Calibri" w:eastAsia="Calibri" w:hAnsi="Calibri" w:cs="Arial"/>
          <w:color w:val="222222"/>
          <w:sz w:val="22"/>
          <w:szCs w:val="22"/>
          <w:lang w:val="hr-HR"/>
        </w:rPr>
        <w:t>Fer vrijednost financijske imovine razine 3 koja je nakon početnog priznavanja svedena na fer vrijednost – dužnički vrijednosni papiri koji ne kotiraju:</w:t>
      </w:r>
    </w:p>
    <w:p w:rsidR="00086AB9" w:rsidRPr="001567C8" w:rsidRDefault="00086AB9" w:rsidP="00086AB9">
      <w:pPr>
        <w:rPr>
          <w:rFonts w:ascii="Calibri" w:eastAsia="Calibri" w:hAnsi="Calibri" w:cs="Arial"/>
          <w:color w:val="222222"/>
          <w:sz w:val="22"/>
          <w:szCs w:val="22"/>
          <w:lang w:val="hr-HR"/>
        </w:rPr>
      </w:pPr>
    </w:p>
    <w:tbl>
      <w:tblPr>
        <w:tblW w:w="5000" w:type="pct"/>
        <w:jc w:val="center"/>
        <w:tblCellMar>
          <w:left w:w="122" w:type="dxa"/>
          <w:right w:w="122" w:type="dxa"/>
        </w:tblCellMar>
        <w:tblLook w:val="04A0" w:firstRow="1" w:lastRow="0" w:firstColumn="1" w:lastColumn="0" w:noHBand="0" w:noVBand="1"/>
      </w:tblPr>
      <w:tblGrid>
        <w:gridCol w:w="3426"/>
        <w:gridCol w:w="1605"/>
        <w:gridCol w:w="1534"/>
        <w:gridCol w:w="1396"/>
        <w:gridCol w:w="1394"/>
      </w:tblGrid>
      <w:tr w:rsidR="00086AB9" w:rsidRPr="001567C8" w:rsidTr="002221AF">
        <w:trPr>
          <w:trHeight w:hRule="exact" w:val="275"/>
          <w:jc w:val="center"/>
        </w:trPr>
        <w:tc>
          <w:tcPr>
            <w:tcW w:w="1831" w:type="pct"/>
          </w:tcPr>
          <w:p w:rsidR="00086AB9" w:rsidRPr="001567C8" w:rsidRDefault="00086AB9" w:rsidP="00086AB9">
            <w:pPr>
              <w:spacing w:after="160" w:line="256" w:lineRule="auto"/>
              <w:rPr>
                <w:rFonts w:ascii="Calibri" w:hAnsi="Calibri" w:cs="Arial"/>
                <w:b/>
                <w:spacing w:val="-2"/>
                <w:sz w:val="20"/>
                <w:szCs w:val="20"/>
                <w:lang w:val="hr-HR"/>
              </w:rPr>
            </w:pPr>
          </w:p>
        </w:tc>
        <w:tc>
          <w:tcPr>
            <w:tcW w:w="1678" w:type="pct"/>
            <w:gridSpan w:val="2"/>
            <w:vAlign w:val="center"/>
            <w:hideMark/>
          </w:tcPr>
          <w:p w:rsidR="00086AB9" w:rsidRPr="001567C8" w:rsidRDefault="00086AB9"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Grupa</w:t>
            </w:r>
          </w:p>
        </w:tc>
        <w:tc>
          <w:tcPr>
            <w:tcW w:w="746" w:type="pct"/>
          </w:tcPr>
          <w:p w:rsidR="00086AB9" w:rsidRPr="001567C8" w:rsidRDefault="00086AB9" w:rsidP="00086AB9">
            <w:pPr>
              <w:tabs>
                <w:tab w:val="right" w:pos="1202"/>
              </w:tabs>
              <w:spacing w:line="260" w:lineRule="exact"/>
              <w:jc w:val="right"/>
              <w:outlineLvl w:val="0"/>
              <w:rPr>
                <w:rFonts w:ascii="Calibri" w:hAnsi="Calibri" w:cs="Arial"/>
                <w:b/>
                <w:sz w:val="20"/>
                <w:szCs w:val="20"/>
                <w:lang w:val="hr-HR"/>
              </w:rPr>
            </w:pPr>
          </w:p>
        </w:tc>
        <w:tc>
          <w:tcPr>
            <w:tcW w:w="745" w:type="pct"/>
          </w:tcPr>
          <w:p w:rsidR="00086AB9" w:rsidRPr="001567C8" w:rsidRDefault="00086AB9"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Banka</w:t>
            </w:r>
          </w:p>
        </w:tc>
      </w:tr>
      <w:tr w:rsidR="00086AB9" w:rsidRPr="001567C8" w:rsidTr="002221AF">
        <w:trPr>
          <w:trHeight w:hRule="exact" w:val="253"/>
          <w:jc w:val="center"/>
        </w:trPr>
        <w:tc>
          <w:tcPr>
            <w:tcW w:w="1831" w:type="pct"/>
          </w:tcPr>
          <w:p w:rsidR="00086AB9" w:rsidRPr="001567C8" w:rsidRDefault="00086AB9" w:rsidP="00086AB9">
            <w:pPr>
              <w:tabs>
                <w:tab w:val="right" w:pos="1202"/>
              </w:tabs>
              <w:spacing w:line="260" w:lineRule="exact"/>
              <w:outlineLvl w:val="0"/>
              <w:rPr>
                <w:rFonts w:ascii="Calibri" w:hAnsi="Calibri" w:cs="Arial"/>
                <w:b/>
                <w:spacing w:val="-2"/>
                <w:sz w:val="20"/>
                <w:szCs w:val="20"/>
                <w:lang w:val="hr-HR"/>
              </w:rPr>
            </w:pPr>
          </w:p>
        </w:tc>
        <w:tc>
          <w:tcPr>
            <w:tcW w:w="858" w:type="pct"/>
            <w:vAlign w:val="center"/>
          </w:tcPr>
          <w:p w:rsidR="00086AB9" w:rsidRPr="001567C8" w:rsidRDefault="00086AB9"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2018.</w:t>
            </w:r>
          </w:p>
        </w:tc>
        <w:tc>
          <w:tcPr>
            <w:tcW w:w="820" w:type="pct"/>
            <w:vAlign w:val="center"/>
          </w:tcPr>
          <w:p w:rsidR="00086AB9" w:rsidRPr="001567C8" w:rsidRDefault="00086AB9"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2017.</w:t>
            </w:r>
          </w:p>
        </w:tc>
        <w:tc>
          <w:tcPr>
            <w:tcW w:w="746" w:type="pct"/>
            <w:vAlign w:val="center"/>
          </w:tcPr>
          <w:p w:rsidR="00086AB9" w:rsidRPr="001567C8" w:rsidRDefault="00086AB9"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2018.</w:t>
            </w:r>
          </w:p>
        </w:tc>
        <w:tc>
          <w:tcPr>
            <w:tcW w:w="745" w:type="pct"/>
          </w:tcPr>
          <w:p w:rsidR="00086AB9" w:rsidRPr="001567C8" w:rsidRDefault="00086AB9"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2017.</w:t>
            </w:r>
          </w:p>
        </w:tc>
      </w:tr>
      <w:tr w:rsidR="00086AB9" w:rsidRPr="001567C8" w:rsidTr="002221AF">
        <w:trPr>
          <w:trHeight w:hRule="exact" w:val="227"/>
          <w:jc w:val="center"/>
        </w:trPr>
        <w:tc>
          <w:tcPr>
            <w:tcW w:w="1831" w:type="pct"/>
          </w:tcPr>
          <w:p w:rsidR="00086AB9" w:rsidRPr="001567C8" w:rsidRDefault="00086AB9" w:rsidP="00086AB9">
            <w:pPr>
              <w:tabs>
                <w:tab w:val="right" w:pos="1202"/>
              </w:tabs>
              <w:spacing w:line="260" w:lineRule="exact"/>
              <w:outlineLvl w:val="0"/>
              <w:rPr>
                <w:rFonts w:ascii="Calibri" w:hAnsi="Calibri" w:cs="Arial"/>
                <w:b/>
                <w:spacing w:val="-2"/>
                <w:sz w:val="20"/>
                <w:szCs w:val="20"/>
                <w:lang w:val="hr-HR"/>
              </w:rPr>
            </w:pPr>
          </w:p>
        </w:tc>
        <w:tc>
          <w:tcPr>
            <w:tcW w:w="858" w:type="pct"/>
            <w:hideMark/>
          </w:tcPr>
          <w:p w:rsidR="00086AB9" w:rsidRPr="001567C8" w:rsidRDefault="00086AB9" w:rsidP="00086AB9">
            <w:pPr>
              <w:tabs>
                <w:tab w:val="right" w:pos="1202"/>
              </w:tabs>
              <w:spacing w:line="260" w:lineRule="exact"/>
              <w:jc w:val="right"/>
              <w:outlineLvl w:val="0"/>
              <w:rPr>
                <w:rFonts w:ascii="Calibri" w:hAnsi="Calibri" w:cs="Arial"/>
                <w:sz w:val="20"/>
                <w:szCs w:val="20"/>
                <w:lang w:val="hr-HR"/>
              </w:rPr>
            </w:pPr>
            <w:r w:rsidRPr="001567C8">
              <w:rPr>
                <w:rFonts w:ascii="Calibri" w:hAnsi="Calibri" w:cs="Arial"/>
                <w:b/>
                <w:sz w:val="20"/>
                <w:szCs w:val="20"/>
                <w:lang w:val="hr-HR"/>
              </w:rPr>
              <w:t>000 kuna</w:t>
            </w:r>
          </w:p>
        </w:tc>
        <w:tc>
          <w:tcPr>
            <w:tcW w:w="820" w:type="pct"/>
            <w:hideMark/>
          </w:tcPr>
          <w:p w:rsidR="00086AB9" w:rsidRPr="001567C8" w:rsidRDefault="00086AB9" w:rsidP="00086AB9">
            <w:pPr>
              <w:tabs>
                <w:tab w:val="right" w:pos="1202"/>
              </w:tabs>
              <w:spacing w:line="260" w:lineRule="exact"/>
              <w:jc w:val="right"/>
              <w:outlineLvl w:val="0"/>
              <w:rPr>
                <w:rFonts w:ascii="Calibri" w:hAnsi="Calibri" w:cs="Arial"/>
                <w:sz w:val="20"/>
                <w:szCs w:val="20"/>
                <w:lang w:val="hr-HR"/>
              </w:rPr>
            </w:pPr>
            <w:r w:rsidRPr="001567C8">
              <w:rPr>
                <w:rFonts w:ascii="Calibri" w:hAnsi="Calibri" w:cs="Arial"/>
                <w:b/>
                <w:sz w:val="20"/>
                <w:szCs w:val="20"/>
                <w:lang w:val="hr-HR"/>
              </w:rPr>
              <w:t>000 kuna</w:t>
            </w:r>
          </w:p>
        </w:tc>
        <w:tc>
          <w:tcPr>
            <w:tcW w:w="746" w:type="pct"/>
          </w:tcPr>
          <w:p w:rsidR="00086AB9" w:rsidRPr="001567C8" w:rsidRDefault="00086AB9"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000 kuna</w:t>
            </w:r>
          </w:p>
        </w:tc>
        <w:tc>
          <w:tcPr>
            <w:tcW w:w="745" w:type="pct"/>
          </w:tcPr>
          <w:p w:rsidR="00086AB9" w:rsidRPr="001567C8" w:rsidRDefault="00086AB9"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000 kuna</w:t>
            </w:r>
          </w:p>
        </w:tc>
      </w:tr>
      <w:tr w:rsidR="00086AB9" w:rsidRPr="001567C8" w:rsidTr="002221AF">
        <w:trPr>
          <w:trHeight w:hRule="exact" w:val="284"/>
          <w:jc w:val="center"/>
        </w:trPr>
        <w:tc>
          <w:tcPr>
            <w:tcW w:w="1831" w:type="pct"/>
          </w:tcPr>
          <w:p w:rsidR="00086AB9" w:rsidRPr="001567C8" w:rsidRDefault="00086AB9" w:rsidP="00086AB9">
            <w:pPr>
              <w:tabs>
                <w:tab w:val="right" w:pos="1202"/>
              </w:tabs>
              <w:spacing w:line="260" w:lineRule="exact"/>
              <w:outlineLvl w:val="0"/>
              <w:rPr>
                <w:rFonts w:ascii="Calibri" w:hAnsi="Calibri" w:cs="Arial"/>
                <w:b/>
                <w:i/>
                <w:spacing w:val="-2"/>
                <w:sz w:val="20"/>
                <w:szCs w:val="20"/>
                <w:lang w:val="hr-HR"/>
              </w:rPr>
            </w:pPr>
          </w:p>
        </w:tc>
        <w:tc>
          <w:tcPr>
            <w:tcW w:w="858" w:type="pct"/>
            <w:vAlign w:val="center"/>
          </w:tcPr>
          <w:p w:rsidR="00086AB9" w:rsidRPr="001567C8" w:rsidRDefault="00086AB9" w:rsidP="00086AB9">
            <w:pPr>
              <w:tabs>
                <w:tab w:val="right" w:pos="1202"/>
              </w:tabs>
              <w:spacing w:line="260" w:lineRule="exact"/>
              <w:jc w:val="right"/>
              <w:outlineLvl w:val="0"/>
              <w:rPr>
                <w:rFonts w:ascii="Calibri" w:hAnsi="Calibri" w:cs="Arial"/>
                <w:sz w:val="20"/>
                <w:szCs w:val="20"/>
                <w:lang w:val="hr-HR"/>
              </w:rPr>
            </w:pPr>
          </w:p>
        </w:tc>
        <w:tc>
          <w:tcPr>
            <w:tcW w:w="820" w:type="pct"/>
            <w:vAlign w:val="center"/>
          </w:tcPr>
          <w:p w:rsidR="00086AB9" w:rsidRPr="001567C8" w:rsidRDefault="00086AB9" w:rsidP="00086AB9">
            <w:pPr>
              <w:tabs>
                <w:tab w:val="right" w:pos="1202"/>
              </w:tabs>
              <w:spacing w:line="260" w:lineRule="exact"/>
              <w:jc w:val="right"/>
              <w:outlineLvl w:val="0"/>
              <w:rPr>
                <w:rFonts w:ascii="Calibri" w:hAnsi="Calibri" w:cs="Arial"/>
                <w:sz w:val="20"/>
                <w:szCs w:val="20"/>
                <w:lang w:val="hr-HR"/>
              </w:rPr>
            </w:pPr>
          </w:p>
        </w:tc>
        <w:tc>
          <w:tcPr>
            <w:tcW w:w="746" w:type="pct"/>
          </w:tcPr>
          <w:p w:rsidR="00086AB9" w:rsidRPr="001567C8" w:rsidRDefault="00086AB9" w:rsidP="00086AB9">
            <w:pPr>
              <w:tabs>
                <w:tab w:val="right" w:pos="1202"/>
              </w:tabs>
              <w:spacing w:line="260" w:lineRule="exact"/>
              <w:jc w:val="right"/>
              <w:outlineLvl w:val="0"/>
              <w:rPr>
                <w:rFonts w:ascii="Calibri" w:hAnsi="Calibri" w:cs="Arial"/>
                <w:sz w:val="20"/>
                <w:szCs w:val="20"/>
                <w:lang w:val="hr-HR"/>
              </w:rPr>
            </w:pPr>
          </w:p>
        </w:tc>
        <w:tc>
          <w:tcPr>
            <w:tcW w:w="745" w:type="pct"/>
          </w:tcPr>
          <w:p w:rsidR="00086AB9" w:rsidRPr="001567C8" w:rsidRDefault="00086AB9" w:rsidP="00086AB9">
            <w:pPr>
              <w:tabs>
                <w:tab w:val="right" w:pos="1202"/>
              </w:tabs>
              <w:spacing w:line="260" w:lineRule="exact"/>
              <w:jc w:val="right"/>
              <w:outlineLvl w:val="0"/>
              <w:rPr>
                <w:rFonts w:ascii="Calibri" w:hAnsi="Calibri" w:cs="Arial"/>
                <w:sz w:val="20"/>
                <w:szCs w:val="20"/>
                <w:lang w:val="hr-HR"/>
              </w:rPr>
            </w:pPr>
          </w:p>
        </w:tc>
      </w:tr>
      <w:tr w:rsidR="00086AB9" w:rsidRPr="001567C8" w:rsidTr="002221AF">
        <w:trPr>
          <w:trHeight w:hRule="exact" w:val="284"/>
          <w:jc w:val="center"/>
        </w:trPr>
        <w:tc>
          <w:tcPr>
            <w:tcW w:w="1831" w:type="pct"/>
            <w:vAlign w:val="bottom"/>
            <w:hideMark/>
          </w:tcPr>
          <w:p w:rsidR="00086AB9" w:rsidRPr="001567C8" w:rsidRDefault="00086AB9" w:rsidP="00086AB9">
            <w:pPr>
              <w:spacing w:line="256" w:lineRule="auto"/>
              <w:rPr>
                <w:rFonts w:ascii="Calibri" w:eastAsia="Calibri" w:hAnsi="Calibri" w:cs="Calibri"/>
                <w:b/>
                <w:bCs/>
                <w:sz w:val="20"/>
                <w:szCs w:val="20"/>
                <w:lang w:val="hr-HR"/>
              </w:rPr>
            </w:pPr>
            <w:r w:rsidRPr="001567C8">
              <w:rPr>
                <w:rFonts w:ascii="Calibri" w:eastAsia="Calibri" w:hAnsi="Calibri" w:cs="Calibri"/>
                <w:b/>
                <w:bCs/>
                <w:sz w:val="20"/>
                <w:szCs w:val="20"/>
                <w:lang w:val="hr-HR"/>
              </w:rPr>
              <w:t xml:space="preserve">Stanje 1. siječnja </w:t>
            </w:r>
          </w:p>
        </w:tc>
        <w:tc>
          <w:tcPr>
            <w:tcW w:w="858" w:type="pct"/>
            <w:tcBorders>
              <w:top w:val="nil"/>
              <w:left w:val="nil"/>
              <w:bottom w:val="single" w:sz="2" w:space="0" w:color="auto"/>
              <w:right w:val="nil"/>
            </w:tcBorders>
            <w:vAlign w:val="bottom"/>
          </w:tcPr>
          <w:p w:rsidR="00086AB9" w:rsidRPr="001567C8" w:rsidRDefault="00EF1003"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689</w:t>
            </w:r>
          </w:p>
        </w:tc>
        <w:tc>
          <w:tcPr>
            <w:tcW w:w="820" w:type="pct"/>
            <w:tcBorders>
              <w:top w:val="nil"/>
              <w:left w:val="nil"/>
              <w:bottom w:val="single" w:sz="2" w:space="0" w:color="auto"/>
              <w:right w:val="nil"/>
            </w:tcBorders>
          </w:tcPr>
          <w:p w:rsidR="00086AB9" w:rsidRPr="001567C8" w:rsidRDefault="00EF1003"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601</w:t>
            </w:r>
          </w:p>
        </w:tc>
        <w:tc>
          <w:tcPr>
            <w:tcW w:w="746" w:type="pct"/>
            <w:tcBorders>
              <w:top w:val="nil"/>
              <w:left w:val="nil"/>
              <w:bottom w:val="single" w:sz="2" w:space="0" w:color="auto"/>
              <w:right w:val="nil"/>
            </w:tcBorders>
            <w:vAlign w:val="bottom"/>
          </w:tcPr>
          <w:p w:rsidR="00086AB9" w:rsidRPr="001567C8" w:rsidRDefault="00EF1003"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689</w:t>
            </w:r>
          </w:p>
        </w:tc>
        <w:tc>
          <w:tcPr>
            <w:tcW w:w="745" w:type="pct"/>
            <w:tcBorders>
              <w:top w:val="nil"/>
              <w:left w:val="nil"/>
              <w:bottom w:val="single" w:sz="2" w:space="0" w:color="auto"/>
              <w:right w:val="nil"/>
            </w:tcBorders>
          </w:tcPr>
          <w:p w:rsidR="00086AB9" w:rsidRPr="001567C8" w:rsidRDefault="00EF1003" w:rsidP="00086AB9">
            <w:pPr>
              <w:tabs>
                <w:tab w:val="right" w:pos="1202"/>
              </w:tabs>
              <w:spacing w:line="260" w:lineRule="exact"/>
              <w:jc w:val="right"/>
              <w:outlineLvl w:val="0"/>
              <w:rPr>
                <w:rFonts w:ascii="Calibri" w:hAnsi="Calibri" w:cs="Arial"/>
                <w:b/>
                <w:sz w:val="20"/>
                <w:szCs w:val="20"/>
                <w:lang w:val="hr-HR"/>
              </w:rPr>
            </w:pPr>
            <w:r w:rsidRPr="001567C8">
              <w:rPr>
                <w:rFonts w:ascii="Calibri" w:hAnsi="Calibri" w:cs="Arial"/>
                <w:b/>
                <w:sz w:val="20"/>
                <w:szCs w:val="20"/>
                <w:lang w:val="hr-HR"/>
              </w:rPr>
              <w:t>601</w:t>
            </w:r>
          </w:p>
          <w:p w:rsidR="00EF1003" w:rsidRPr="001567C8" w:rsidRDefault="00EF1003" w:rsidP="00086AB9">
            <w:pPr>
              <w:tabs>
                <w:tab w:val="right" w:pos="1202"/>
              </w:tabs>
              <w:spacing w:line="260" w:lineRule="exact"/>
              <w:jc w:val="right"/>
              <w:outlineLvl w:val="0"/>
              <w:rPr>
                <w:rFonts w:ascii="Calibri" w:hAnsi="Calibri" w:cs="Arial"/>
                <w:b/>
                <w:sz w:val="20"/>
                <w:szCs w:val="20"/>
                <w:lang w:val="hr-HR"/>
              </w:rPr>
            </w:pPr>
          </w:p>
        </w:tc>
      </w:tr>
      <w:tr w:rsidR="00D95C8A" w:rsidRPr="001567C8" w:rsidTr="003C6BA3">
        <w:trPr>
          <w:trHeight w:hRule="exact" w:val="516"/>
          <w:jc w:val="center"/>
        </w:trPr>
        <w:tc>
          <w:tcPr>
            <w:tcW w:w="1831" w:type="pct"/>
            <w:vAlign w:val="bottom"/>
            <w:hideMark/>
          </w:tcPr>
          <w:p w:rsidR="00D95C8A" w:rsidRPr="001567C8" w:rsidRDefault="00D95C8A" w:rsidP="00D95C8A">
            <w:pPr>
              <w:spacing w:line="256" w:lineRule="auto"/>
              <w:rPr>
                <w:rFonts w:ascii="Calibri" w:eastAsia="Calibri" w:hAnsi="Calibri" w:cs="Calibri"/>
                <w:sz w:val="20"/>
                <w:szCs w:val="20"/>
                <w:lang w:val="hr-HR"/>
              </w:rPr>
            </w:pPr>
            <w:r w:rsidRPr="001567C8">
              <w:rPr>
                <w:rFonts w:ascii="Calibri" w:eastAsia="Calibri" w:hAnsi="Calibri" w:cs="Calibri"/>
                <w:sz w:val="20"/>
                <w:szCs w:val="20"/>
                <w:lang w:val="hr-HR"/>
              </w:rPr>
              <w:t>Povećanje fer vrijednosti kroz ostalu sveobuhvatnu dobit</w:t>
            </w:r>
          </w:p>
        </w:tc>
        <w:tc>
          <w:tcPr>
            <w:tcW w:w="858" w:type="pct"/>
            <w:tcBorders>
              <w:top w:val="nil"/>
              <w:left w:val="nil"/>
              <w:bottom w:val="single" w:sz="8" w:space="0" w:color="auto"/>
              <w:right w:val="nil"/>
            </w:tcBorders>
            <w:shd w:val="clear" w:color="auto" w:fill="auto"/>
            <w:vAlign w:val="bottom"/>
          </w:tcPr>
          <w:p w:rsidR="00D95C8A" w:rsidRPr="001567C8" w:rsidRDefault="00D95C8A" w:rsidP="00D95C8A">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33</w:t>
            </w:r>
          </w:p>
        </w:tc>
        <w:tc>
          <w:tcPr>
            <w:tcW w:w="820" w:type="pct"/>
            <w:tcBorders>
              <w:top w:val="nil"/>
              <w:left w:val="nil"/>
              <w:bottom w:val="single" w:sz="8" w:space="0" w:color="auto"/>
              <w:right w:val="nil"/>
            </w:tcBorders>
            <w:shd w:val="clear" w:color="auto" w:fill="auto"/>
            <w:vAlign w:val="bottom"/>
          </w:tcPr>
          <w:p w:rsidR="00D95C8A" w:rsidRPr="001567C8" w:rsidRDefault="00D95C8A" w:rsidP="00D95C8A">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29</w:t>
            </w:r>
          </w:p>
        </w:tc>
        <w:tc>
          <w:tcPr>
            <w:tcW w:w="746" w:type="pct"/>
            <w:tcBorders>
              <w:top w:val="nil"/>
              <w:left w:val="nil"/>
              <w:bottom w:val="single" w:sz="8" w:space="0" w:color="auto"/>
              <w:right w:val="nil"/>
            </w:tcBorders>
            <w:shd w:val="clear" w:color="auto" w:fill="auto"/>
            <w:vAlign w:val="bottom"/>
          </w:tcPr>
          <w:p w:rsidR="00D95C8A" w:rsidRPr="001567C8" w:rsidRDefault="00D95C8A" w:rsidP="00D95C8A">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33</w:t>
            </w:r>
          </w:p>
        </w:tc>
        <w:tc>
          <w:tcPr>
            <w:tcW w:w="745" w:type="pct"/>
            <w:tcBorders>
              <w:top w:val="nil"/>
              <w:left w:val="nil"/>
              <w:bottom w:val="single" w:sz="8" w:space="0" w:color="auto"/>
              <w:right w:val="nil"/>
            </w:tcBorders>
            <w:shd w:val="clear" w:color="auto" w:fill="auto"/>
            <w:vAlign w:val="bottom"/>
          </w:tcPr>
          <w:p w:rsidR="00D95C8A" w:rsidRPr="001567C8" w:rsidRDefault="00D95C8A" w:rsidP="00D95C8A">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29</w:t>
            </w:r>
          </w:p>
        </w:tc>
      </w:tr>
      <w:tr w:rsidR="00D95C8A" w:rsidRPr="001567C8" w:rsidTr="003C6BA3">
        <w:trPr>
          <w:trHeight w:hRule="exact" w:val="340"/>
          <w:jc w:val="center"/>
        </w:trPr>
        <w:tc>
          <w:tcPr>
            <w:tcW w:w="1831" w:type="pct"/>
            <w:vAlign w:val="bottom"/>
          </w:tcPr>
          <w:p w:rsidR="00D95C8A" w:rsidRPr="001567C8" w:rsidRDefault="00D95C8A" w:rsidP="00D95C8A">
            <w:pPr>
              <w:spacing w:line="256" w:lineRule="auto"/>
              <w:rPr>
                <w:rFonts w:ascii="Calibri" w:eastAsia="Calibri" w:hAnsi="Calibri" w:cs="Calibri"/>
                <w:sz w:val="20"/>
                <w:szCs w:val="20"/>
                <w:lang w:val="hr-HR"/>
              </w:rPr>
            </w:pPr>
            <w:r w:rsidRPr="001567C8">
              <w:rPr>
                <w:rFonts w:ascii="Calibri" w:eastAsia="Calibri" w:hAnsi="Calibri" w:cs="Calibri"/>
                <w:sz w:val="20"/>
                <w:szCs w:val="20"/>
                <w:lang w:val="hr-HR"/>
              </w:rPr>
              <w:t>Neto tečajne razlike</w:t>
            </w:r>
          </w:p>
        </w:tc>
        <w:tc>
          <w:tcPr>
            <w:tcW w:w="858" w:type="pct"/>
            <w:tcBorders>
              <w:top w:val="nil"/>
              <w:left w:val="nil"/>
              <w:bottom w:val="nil"/>
              <w:right w:val="nil"/>
            </w:tcBorders>
            <w:shd w:val="clear" w:color="auto" w:fill="auto"/>
            <w:vAlign w:val="bottom"/>
          </w:tcPr>
          <w:p w:rsidR="00D95C8A" w:rsidRPr="001567C8" w:rsidRDefault="00D95C8A" w:rsidP="00D95C8A">
            <w:pPr>
              <w:tabs>
                <w:tab w:val="right" w:pos="1202"/>
              </w:tabs>
              <w:jc w:val="right"/>
              <w:outlineLvl w:val="0"/>
              <w:rPr>
                <w:rFonts w:asciiTheme="minorHAnsi" w:hAnsiTheme="minorHAnsi" w:cs="Arial"/>
                <w:sz w:val="20"/>
                <w:szCs w:val="20"/>
                <w:lang w:val="hr-HR"/>
              </w:rPr>
            </w:pPr>
            <w:r w:rsidRPr="00CD3A2D">
              <w:rPr>
                <w:rFonts w:asciiTheme="minorHAnsi" w:hAnsiTheme="minorHAnsi"/>
                <w:sz w:val="20"/>
                <w:szCs w:val="20"/>
                <w:lang w:val="hr-HR"/>
              </w:rPr>
              <w:t xml:space="preserve"> (20)</w:t>
            </w:r>
          </w:p>
        </w:tc>
        <w:tc>
          <w:tcPr>
            <w:tcW w:w="820" w:type="pct"/>
            <w:tcBorders>
              <w:top w:val="nil"/>
              <w:left w:val="nil"/>
              <w:bottom w:val="nil"/>
              <w:right w:val="nil"/>
            </w:tcBorders>
            <w:shd w:val="clear" w:color="auto" w:fill="auto"/>
            <w:vAlign w:val="bottom"/>
          </w:tcPr>
          <w:p w:rsidR="00D95C8A" w:rsidRPr="001567C8" w:rsidRDefault="00D95C8A" w:rsidP="00D95C8A">
            <w:pPr>
              <w:tabs>
                <w:tab w:val="right" w:pos="1202"/>
              </w:tabs>
              <w:jc w:val="right"/>
              <w:outlineLvl w:val="0"/>
              <w:rPr>
                <w:rFonts w:asciiTheme="minorHAnsi" w:hAnsiTheme="minorHAnsi" w:cs="Arial"/>
                <w:sz w:val="20"/>
                <w:szCs w:val="20"/>
                <w:lang w:val="hr-HR"/>
              </w:rPr>
            </w:pPr>
            <w:r w:rsidRPr="00CD3A2D">
              <w:rPr>
                <w:rFonts w:asciiTheme="minorHAnsi" w:hAnsiTheme="minorHAnsi"/>
                <w:sz w:val="20"/>
                <w:szCs w:val="20"/>
                <w:lang w:val="hr-HR"/>
              </w:rPr>
              <w:t xml:space="preserve"> (9)</w:t>
            </w:r>
          </w:p>
        </w:tc>
        <w:tc>
          <w:tcPr>
            <w:tcW w:w="746" w:type="pct"/>
            <w:tcBorders>
              <w:top w:val="nil"/>
              <w:left w:val="nil"/>
              <w:bottom w:val="nil"/>
              <w:right w:val="nil"/>
            </w:tcBorders>
            <w:shd w:val="clear" w:color="auto" w:fill="auto"/>
            <w:vAlign w:val="bottom"/>
          </w:tcPr>
          <w:p w:rsidR="00D95C8A" w:rsidRPr="001567C8" w:rsidRDefault="00D95C8A" w:rsidP="00D95C8A">
            <w:pPr>
              <w:tabs>
                <w:tab w:val="right" w:pos="1202"/>
              </w:tabs>
              <w:jc w:val="right"/>
              <w:outlineLvl w:val="0"/>
              <w:rPr>
                <w:rFonts w:asciiTheme="minorHAnsi" w:hAnsiTheme="minorHAnsi" w:cs="Arial"/>
                <w:sz w:val="20"/>
                <w:szCs w:val="20"/>
                <w:lang w:val="hr-HR"/>
              </w:rPr>
            </w:pPr>
            <w:r w:rsidRPr="00CD3A2D">
              <w:rPr>
                <w:rFonts w:asciiTheme="minorHAnsi" w:hAnsiTheme="minorHAnsi"/>
                <w:sz w:val="20"/>
                <w:szCs w:val="20"/>
                <w:lang w:val="hr-HR"/>
              </w:rPr>
              <w:t xml:space="preserve"> (20)</w:t>
            </w:r>
          </w:p>
        </w:tc>
        <w:tc>
          <w:tcPr>
            <w:tcW w:w="745" w:type="pct"/>
            <w:tcBorders>
              <w:top w:val="nil"/>
              <w:left w:val="nil"/>
              <w:bottom w:val="nil"/>
              <w:right w:val="nil"/>
            </w:tcBorders>
            <w:shd w:val="clear" w:color="auto" w:fill="auto"/>
            <w:vAlign w:val="bottom"/>
          </w:tcPr>
          <w:p w:rsidR="00D95C8A" w:rsidRPr="001567C8" w:rsidRDefault="00D95C8A" w:rsidP="00D95C8A">
            <w:pPr>
              <w:tabs>
                <w:tab w:val="right" w:pos="1202"/>
              </w:tabs>
              <w:jc w:val="right"/>
              <w:outlineLvl w:val="0"/>
              <w:rPr>
                <w:rFonts w:asciiTheme="minorHAnsi" w:hAnsiTheme="minorHAnsi" w:cs="Arial"/>
                <w:sz w:val="20"/>
                <w:szCs w:val="20"/>
                <w:lang w:val="hr-HR"/>
              </w:rPr>
            </w:pPr>
            <w:r w:rsidRPr="00CD3A2D">
              <w:rPr>
                <w:rFonts w:asciiTheme="minorHAnsi" w:hAnsiTheme="minorHAnsi"/>
                <w:sz w:val="20"/>
                <w:szCs w:val="20"/>
                <w:lang w:val="hr-HR"/>
              </w:rPr>
              <w:t xml:space="preserve"> (9)</w:t>
            </w:r>
          </w:p>
        </w:tc>
      </w:tr>
      <w:tr w:rsidR="00D95C8A" w:rsidRPr="001567C8" w:rsidTr="003C6BA3">
        <w:trPr>
          <w:trHeight w:hRule="exact" w:val="340"/>
          <w:jc w:val="center"/>
        </w:trPr>
        <w:tc>
          <w:tcPr>
            <w:tcW w:w="1831" w:type="pct"/>
            <w:vAlign w:val="bottom"/>
          </w:tcPr>
          <w:p w:rsidR="00D95C8A" w:rsidRPr="001567C8" w:rsidRDefault="00D95C8A" w:rsidP="00D95C8A">
            <w:pPr>
              <w:spacing w:line="256" w:lineRule="auto"/>
              <w:rPr>
                <w:rFonts w:ascii="Calibri" w:eastAsia="Calibri" w:hAnsi="Calibri" w:cs="Calibri"/>
                <w:sz w:val="20"/>
                <w:szCs w:val="20"/>
                <w:lang w:val="hr-HR"/>
              </w:rPr>
            </w:pPr>
            <w:r w:rsidRPr="001567C8">
              <w:rPr>
                <w:rFonts w:ascii="Calibri" w:eastAsia="Calibri" w:hAnsi="Calibri" w:cs="Calibri"/>
                <w:sz w:val="20"/>
                <w:szCs w:val="20"/>
                <w:lang w:val="hr-HR"/>
              </w:rPr>
              <w:t>Obračunane kamate</w:t>
            </w:r>
          </w:p>
        </w:tc>
        <w:tc>
          <w:tcPr>
            <w:tcW w:w="858" w:type="pct"/>
            <w:tcBorders>
              <w:top w:val="single" w:sz="8" w:space="0" w:color="auto"/>
              <w:left w:val="nil"/>
              <w:bottom w:val="single" w:sz="8" w:space="0" w:color="000000"/>
              <w:right w:val="nil"/>
            </w:tcBorders>
            <w:shd w:val="clear" w:color="auto" w:fill="auto"/>
            <w:vAlign w:val="bottom"/>
          </w:tcPr>
          <w:p w:rsidR="00D95C8A" w:rsidRPr="001567C8" w:rsidRDefault="00D95C8A" w:rsidP="00D95C8A">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66</w:t>
            </w:r>
          </w:p>
        </w:tc>
        <w:tc>
          <w:tcPr>
            <w:tcW w:w="820" w:type="pct"/>
            <w:tcBorders>
              <w:top w:val="single" w:sz="8" w:space="0" w:color="auto"/>
              <w:left w:val="nil"/>
              <w:bottom w:val="single" w:sz="8" w:space="0" w:color="000000"/>
              <w:right w:val="nil"/>
            </w:tcBorders>
            <w:shd w:val="clear" w:color="auto" w:fill="auto"/>
            <w:vAlign w:val="bottom"/>
          </w:tcPr>
          <w:p w:rsidR="00D95C8A" w:rsidRPr="001567C8" w:rsidRDefault="00D95C8A" w:rsidP="00D95C8A">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68</w:t>
            </w:r>
          </w:p>
        </w:tc>
        <w:tc>
          <w:tcPr>
            <w:tcW w:w="746" w:type="pct"/>
            <w:tcBorders>
              <w:top w:val="single" w:sz="8" w:space="0" w:color="auto"/>
              <w:left w:val="nil"/>
              <w:bottom w:val="single" w:sz="8" w:space="0" w:color="000000"/>
              <w:right w:val="nil"/>
            </w:tcBorders>
            <w:shd w:val="clear" w:color="auto" w:fill="auto"/>
            <w:vAlign w:val="bottom"/>
          </w:tcPr>
          <w:p w:rsidR="00D95C8A" w:rsidRPr="001567C8" w:rsidRDefault="00D95C8A" w:rsidP="00D95C8A">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66</w:t>
            </w:r>
          </w:p>
        </w:tc>
        <w:tc>
          <w:tcPr>
            <w:tcW w:w="745" w:type="pct"/>
            <w:tcBorders>
              <w:top w:val="single" w:sz="8" w:space="0" w:color="auto"/>
              <w:left w:val="nil"/>
              <w:bottom w:val="single" w:sz="8" w:space="0" w:color="000000"/>
              <w:right w:val="nil"/>
            </w:tcBorders>
            <w:shd w:val="clear" w:color="auto" w:fill="auto"/>
            <w:vAlign w:val="bottom"/>
          </w:tcPr>
          <w:p w:rsidR="00D95C8A" w:rsidRPr="001567C8" w:rsidRDefault="00D95C8A" w:rsidP="00D95C8A">
            <w:pPr>
              <w:tabs>
                <w:tab w:val="right" w:pos="1202"/>
              </w:tabs>
              <w:spacing w:line="260" w:lineRule="exact"/>
              <w:jc w:val="right"/>
              <w:outlineLvl w:val="0"/>
              <w:rPr>
                <w:rFonts w:asciiTheme="minorHAnsi" w:hAnsiTheme="minorHAnsi" w:cs="Arial"/>
                <w:sz w:val="20"/>
                <w:szCs w:val="20"/>
                <w:lang w:val="hr-HR"/>
              </w:rPr>
            </w:pPr>
            <w:r w:rsidRPr="00CD3A2D">
              <w:rPr>
                <w:rFonts w:asciiTheme="minorHAnsi" w:hAnsiTheme="minorHAnsi"/>
                <w:sz w:val="20"/>
                <w:szCs w:val="20"/>
                <w:lang w:val="hr-HR"/>
              </w:rPr>
              <w:t>68</w:t>
            </w:r>
          </w:p>
        </w:tc>
      </w:tr>
      <w:tr w:rsidR="00D95C8A" w:rsidRPr="001567C8" w:rsidTr="003C6BA3">
        <w:trPr>
          <w:trHeight w:hRule="exact" w:val="437"/>
          <w:jc w:val="center"/>
        </w:trPr>
        <w:tc>
          <w:tcPr>
            <w:tcW w:w="1831" w:type="pct"/>
            <w:vAlign w:val="bottom"/>
          </w:tcPr>
          <w:p w:rsidR="00D95C8A" w:rsidRPr="001567C8" w:rsidRDefault="00D95C8A" w:rsidP="00D95C8A">
            <w:pPr>
              <w:rPr>
                <w:rFonts w:ascii="Calibri" w:eastAsia="Calibri" w:hAnsi="Calibri" w:cs="Calibri"/>
                <w:b/>
                <w:bCs/>
                <w:sz w:val="20"/>
                <w:szCs w:val="20"/>
                <w:lang w:val="hr-HR"/>
              </w:rPr>
            </w:pPr>
            <w:r w:rsidRPr="001567C8">
              <w:rPr>
                <w:rFonts w:ascii="Calibri" w:eastAsia="Calibri" w:hAnsi="Calibri" w:cs="Calibri"/>
                <w:b/>
                <w:bCs/>
                <w:sz w:val="20"/>
                <w:szCs w:val="20"/>
                <w:lang w:val="hr-HR"/>
              </w:rPr>
              <w:t>Stanje 31. prosinc</w:t>
            </w:r>
            <w:r w:rsidR="00F55E1F">
              <w:rPr>
                <w:rFonts w:ascii="Calibri" w:eastAsia="Calibri" w:hAnsi="Calibri" w:cs="Calibri"/>
                <w:b/>
                <w:bCs/>
                <w:sz w:val="20"/>
                <w:szCs w:val="20"/>
                <w:lang w:val="hr-HR"/>
              </w:rPr>
              <w:t>a</w:t>
            </w:r>
            <w:r w:rsidRPr="001567C8">
              <w:rPr>
                <w:rFonts w:ascii="Calibri" w:eastAsia="Calibri" w:hAnsi="Calibri" w:cs="Calibri"/>
                <w:b/>
                <w:bCs/>
                <w:sz w:val="20"/>
                <w:szCs w:val="20"/>
                <w:lang w:val="hr-HR"/>
              </w:rPr>
              <w:t xml:space="preserve"> </w:t>
            </w:r>
          </w:p>
        </w:tc>
        <w:tc>
          <w:tcPr>
            <w:tcW w:w="858" w:type="pct"/>
            <w:tcBorders>
              <w:top w:val="single" w:sz="8" w:space="0" w:color="000000"/>
              <w:left w:val="nil"/>
              <w:bottom w:val="single" w:sz="12" w:space="0" w:color="auto"/>
              <w:right w:val="nil"/>
            </w:tcBorders>
            <w:shd w:val="clear" w:color="auto" w:fill="auto"/>
            <w:vAlign w:val="bottom"/>
          </w:tcPr>
          <w:p w:rsidR="00D95C8A" w:rsidRPr="001567C8" w:rsidRDefault="00D95C8A" w:rsidP="00D95C8A">
            <w:pPr>
              <w:tabs>
                <w:tab w:val="right" w:pos="1202"/>
              </w:tabs>
              <w:jc w:val="right"/>
              <w:outlineLvl w:val="0"/>
              <w:rPr>
                <w:rFonts w:asciiTheme="minorHAnsi" w:hAnsiTheme="minorHAnsi" w:cs="Arial"/>
                <w:b/>
                <w:sz w:val="20"/>
                <w:szCs w:val="20"/>
                <w:lang w:val="hr-HR"/>
              </w:rPr>
            </w:pPr>
            <w:r w:rsidRPr="00CD3A2D">
              <w:rPr>
                <w:rFonts w:asciiTheme="minorHAnsi" w:hAnsiTheme="minorHAnsi"/>
                <w:b/>
                <w:sz w:val="20"/>
                <w:szCs w:val="20"/>
                <w:lang w:val="hr-HR"/>
              </w:rPr>
              <w:t>768</w:t>
            </w:r>
          </w:p>
        </w:tc>
        <w:tc>
          <w:tcPr>
            <w:tcW w:w="820" w:type="pct"/>
            <w:tcBorders>
              <w:top w:val="single" w:sz="8" w:space="0" w:color="000000"/>
              <w:left w:val="nil"/>
              <w:bottom w:val="single" w:sz="12" w:space="0" w:color="auto"/>
              <w:right w:val="nil"/>
            </w:tcBorders>
            <w:shd w:val="clear" w:color="auto" w:fill="auto"/>
            <w:vAlign w:val="bottom"/>
          </w:tcPr>
          <w:p w:rsidR="00D95C8A" w:rsidRPr="001567C8" w:rsidRDefault="00D95C8A" w:rsidP="00D95C8A">
            <w:pPr>
              <w:tabs>
                <w:tab w:val="right" w:pos="1202"/>
              </w:tabs>
              <w:jc w:val="right"/>
              <w:outlineLvl w:val="0"/>
              <w:rPr>
                <w:rFonts w:asciiTheme="minorHAnsi" w:hAnsiTheme="minorHAnsi" w:cs="Arial"/>
                <w:b/>
                <w:sz w:val="20"/>
                <w:szCs w:val="20"/>
                <w:lang w:val="hr-HR"/>
              </w:rPr>
            </w:pPr>
            <w:r w:rsidRPr="00CD3A2D">
              <w:rPr>
                <w:rFonts w:asciiTheme="minorHAnsi" w:hAnsiTheme="minorHAnsi"/>
                <w:b/>
                <w:sz w:val="20"/>
                <w:szCs w:val="20"/>
                <w:lang w:val="hr-HR"/>
              </w:rPr>
              <w:t>689</w:t>
            </w:r>
          </w:p>
        </w:tc>
        <w:tc>
          <w:tcPr>
            <w:tcW w:w="746" w:type="pct"/>
            <w:tcBorders>
              <w:top w:val="single" w:sz="8" w:space="0" w:color="000000"/>
              <w:left w:val="nil"/>
              <w:bottom w:val="single" w:sz="12" w:space="0" w:color="auto"/>
              <w:right w:val="nil"/>
            </w:tcBorders>
            <w:shd w:val="clear" w:color="auto" w:fill="auto"/>
            <w:vAlign w:val="bottom"/>
          </w:tcPr>
          <w:p w:rsidR="00D95C8A" w:rsidRPr="001567C8" w:rsidRDefault="00D95C8A" w:rsidP="00D95C8A">
            <w:pPr>
              <w:tabs>
                <w:tab w:val="right" w:pos="1202"/>
              </w:tabs>
              <w:jc w:val="right"/>
              <w:outlineLvl w:val="0"/>
              <w:rPr>
                <w:rFonts w:asciiTheme="minorHAnsi" w:hAnsiTheme="minorHAnsi" w:cs="Arial"/>
                <w:b/>
                <w:sz w:val="20"/>
                <w:szCs w:val="20"/>
                <w:lang w:val="hr-HR"/>
              </w:rPr>
            </w:pPr>
            <w:r w:rsidRPr="00CD3A2D">
              <w:rPr>
                <w:rFonts w:asciiTheme="minorHAnsi" w:hAnsiTheme="minorHAnsi"/>
                <w:b/>
                <w:sz w:val="20"/>
                <w:szCs w:val="20"/>
                <w:lang w:val="hr-HR"/>
              </w:rPr>
              <w:t>768</w:t>
            </w:r>
          </w:p>
        </w:tc>
        <w:tc>
          <w:tcPr>
            <w:tcW w:w="745" w:type="pct"/>
            <w:tcBorders>
              <w:top w:val="single" w:sz="8" w:space="0" w:color="000000"/>
              <w:left w:val="nil"/>
              <w:bottom w:val="single" w:sz="12" w:space="0" w:color="auto"/>
              <w:right w:val="nil"/>
            </w:tcBorders>
            <w:shd w:val="clear" w:color="auto" w:fill="auto"/>
            <w:vAlign w:val="bottom"/>
          </w:tcPr>
          <w:p w:rsidR="00D95C8A" w:rsidRPr="001567C8" w:rsidRDefault="00D95C8A" w:rsidP="00D95C8A">
            <w:pPr>
              <w:tabs>
                <w:tab w:val="right" w:pos="1202"/>
              </w:tabs>
              <w:jc w:val="right"/>
              <w:outlineLvl w:val="0"/>
              <w:rPr>
                <w:rFonts w:asciiTheme="minorHAnsi" w:hAnsiTheme="minorHAnsi" w:cs="Arial"/>
                <w:b/>
                <w:sz w:val="20"/>
                <w:szCs w:val="20"/>
                <w:lang w:val="hr-HR"/>
              </w:rPr>
            </w:pPr>
            <w:r w:rsidRPr="00CD3A2D">
              <w:rPr>
                <w:rFonts w:asciiTheme="minorHAnsi" w:hAnsiTheme="minorHAnsi"/>
                <w:b/>
                <w:sz w:val="20"/>
                <w:szCs w:val="20"/>
                <w:lang w:val="hr-HR"/>
              </w:rPr>
              <w:t>689</w:t>
            </w:r>
          </w:p>
        </w:tc>
      </w:tr>
    </w:tbl>
    <w:p w:rsidR="00086AB9" w:rsidRPr="001567C8" w:rsidRDefault="00086AB9" w:rsidP="00086AB9">
      <w:pPr>
        <w:rPr>
          <w:rFonts w:ascii="Calibri" w:eastAsia="Calibri" w:hAnsi="Calibri" w:cs="Calibri"/>
          <w:sz w:val="22"/>
          <w:szCs w:val="22"/>
          <w:lang w:val="hr-HR"/>
        </w:rPr>
      </w:pPr>
    </w:p>
    <w:p w:rsidR="00B57831" w:rsidRPr="001567C8" w:rsidRDefault="00B57831" w:rsidP="00086AB9">
      <w:pPr>
        <w:jc w:val="both"/>
        <w:rPr>
          <w:rFonts w:ascii="Calibri" w:eastAsia="Calibri" w:hAnsi="Calibri" w:cs="Calibri"/>
          <w:i/>
          <w:sz w:val="20"/>
          <w:szCs w:val="20"/>
          <w:lang w:val="hr-HR"/>
        </w:rPr>
      </w:pPr>
    </w:p>
    <w:p w:rsidR="00086AB9" w:rsidRPr="001567C8" w:rsidRDefault="00086AB9" w:rsidP="00086AB9">
      <w:pPr>
        <w:jc w:val="both"/>
        <w:rPr>
          <w:rFonts w:ascii="Calibri" w:eastAsia="Calibri" w:hAnsi="Calibri" w:cs="Calibri"/>
          <w:i/>
          <w:sz w:val="20"/>
          <w:szCs w:val="20"/>
          <w:lang w:val="hr-HR"/>
        </w:rPr>
      </w:pPr>
      <w:r w:rsidRPr="001567C8">
        <w:rPr>
          <w:rFonts w:ascii="Calibri" w:eastAsia="Calibri" w:hAnsi="Calibri" w:cs="Calibri"/>
          <w:i/>
          <w:sz w:val="20"/>
          <w:szCs w:val="20"/>
          <w:lang w:val="hr-HR"/>
        </w:rPr>
        <w:t xml:space="preserve">* </w:t>
      </w:r>
      <w:r w:rsidR="006A4906" w:rsidRPr="001567C8">
        <w:rPr>
          <w:rFonts w:ascii="Calibri" w:eastAsia="Calibri" w:hAnsi="Calibri" w:cs="Calibri"/>
          <w:i/>
          <w:sz w:val="20"/>
          <w:szCs w:val="20"/>
          <w:lang w:val="hr-HR"/>
        </w:rPr>
        <w:t xml:space="preserve">Mezzanine krediti su do 1. siječnja 2018. godine iskazani kao Krediti ostalim korisnicima, a dužnički vrijednosni papiri - obveznice trgovačkih društava kao Imovina raspoloživa za prodaju u skladu s MRS-om 39. Od 1. siječnja 2018. godine, sukladno MSFI-ju 9, mezzanine krediti iskazani su kao Financijska imovina po fer vrijednosti kroz dobiti </w:t>
      </w:r>
      <w:r w:rsidR="00752A1A" w:rsidRPr="001567C8">
        <w:rPr>
          <w:rFonts w:ascii="Calibri" w:eastAsia="Calibri" w:hAnsi="Calibri" w:cs="Calibri"/>
          <w:i/>
          <w:sz w:val="20"/>
          <w:szCs w:val="20"/>
          <w:lang w:val="hr-HR"/>
        </w:rPr>
        <w:t>il</w:t>
      </w:r>
      <w:r w:rsidR="006A4906" w:rsidRPr="001567C8">
        <w:rPr>
          <w:rFonts w:ascii="Calibri" w:eastAsia="Calibri" w:hAnsi="Calibri" w:cs="Calibri"/>
          <w:i/>
          <w:sz w:val="20"/>
          <w:szCs w:val="20"/>
          <w:lang w:val="hr-HR"/>
        </w:rPr>
        <w:t>i gubit</w:t>
      </w:r>
      <w:r w:rsidR="00752A1A" w:rsidRPr="001567C8">
        <w:rPr>
          <w:rFonts w:ascii="Calibri" w:eastAsia="Calibri" w:hAnsi="Calibri" w:cs="Calibri"/>
          <w:i/>
          <w:sz w:val="20"/>
          <w:szCs w:val="20"/>
          <w:lang w:val="hr-HR"/>
        </w:rPr>
        <w:t>ak</w:t>
      </w:r>
      <w:r w:rsidR="006A4906" w:rsidRPr="001567C8">
        <w:rPr>
          <w:rFonts w:ascii="Calibri" w:eastAsia="Calibri" w:hAnsi="Calibri" w:cs="Calibri"/>
          <w:i/>
          <w:sz w:val="20"/>
          <w:szCs w:val="20"/>
          <w:lang w:val="hr-HR"/>
        </w:rPr>
        <w:t>, a dužnički vrijednosni papiri kao financijska imovina po fer vrijednosti kroz ostalu sveobuhvatnu dobit.</w:t>
      </w:r>
    </w:p>
    <w:p w:rsidR="006A4906" w:rsidRPr="001567C8" w:rsidRDefault="006A4906" w:rsidP="00086AB9">
      <w:pPr>
        <w:jc w:val="both"/>
        <w:rPr>
          <w:rFonts w:ascii="Calibri" w:eastAsia="Calibri" w:hAnsi="Calibri" w:cs="Calibri"/>
          <w:i/>
          <w:sz w:val="20"/>
          <w:szCs w:val="20"/>
          <w:lang w:val="hr-HR"/>
        </w:rPr>
      </w:pPr>
    </w:p>
    <w:p w:rsidR="006A4906" w:rsidRPr="001567C8" w:rsidRDefault="006A4906" w:rsidP="00086AB9">
      <w:pPr>
        <w:jc w:val="both"/>
        <w:rPr>
          <w:rFonts w:ascii="Calibri" w:eastAsia="Calibri" w:hAnsi="Calibri" w:cs="Calibri"/>
          <w:i/>
          <w:sz w:val="20"/>
          <w:szCs w:val="20"/>
          <w:lang w:val="hr-HR"/>
        </w:rPr>
      </w:pPr>
    </w:p>
    <w:p w:rsidR="006A4906" w:rsidRPr="001567C8" w:rsidRDefault="006A4906" w:rsidP="00086AB9">
      <w:pPr>
        <w:jc w:val="both"/>
        <w:rPr>
          <w:rFonts w:ascii="Calibri" w:eastAsia="Calibri" w:hAnsi="Calibri" w:cs="Calibri"/>
          <w:i/>
          <w:sz w:val="20"/>
          <w:szCs w:val="20"/>
          <w:lang w:val="hr-HR"/>
        </w:rPr>
      </w:pPr>
    </w:p>
    <w:p w:rsidR="006A4906" w:rsidRPr="001567C8" w:rsidRDefault="006A4906" w:rsidP="00086AB9">
      <w:pPr>
        <w:jc w:val="both"/>
        <w:rPr>
          <w:rFonts w:ascii="Calibri" w:eastAsia="Calibri" w:hAnsi="Calibri" w:cs="Calibri"/>
          <w:i/>
          <w:sz w:val="20"/>
          <w:szCs w:val="20"/>
          <w:lang w:val="hr-HR"/>
        </w:rPr>
        <w:sectPr w:rsidR="006A4906" w:rsidRPr="001567C8" w:rsidSect="0077198A">
          <w:pgSz w:w="11907" w:h="16840" w:code="9"/>
          <w:pgMar w:top="1418" w:right="1134" w:bottom="1134" w:left="1418" w:header="851" w:footer="851" w:gutter="0"/>
          <w:cols w:space="720"/>
          <w:noEndnote/>
        </w:sectPr>
      </w:pPr>
    </w:p>
    <w:p w:rsidR="007C1600" w:rsidRPr="001567C8" w:rsidRDefault="007C1600" w:rsidP="00CB00C4">
      <w:pPr>
        <w:pStyle w:val="T1"/>
        <w:spacing w:before="0" w:after="0" w:line="240" w:lineRule="auto"/>
        <w:ind w:left="709" w:hanging="709"/>
        <w:rPr>
          <w:rFonts w:asciiTheme="minorHAnsi" w:hAnsiTheme="minorHAnsi" w:cs="Arial"/>
          <w:spacing w:val="-3"/>
          <w:sz w:val="22"/>
          <w:szCs w:val="22"/>
          <w:lang w:val="hr-HR"/>
        </w:rPr>
      </w:pPr>
    </w:p>
    <w:p w:rsidR="007C1600" w:rsidRPr="001567C8" w:rsidRDefault="007C1600" w:rsidP="007C1600">
      <w:pPr>
        <w:keepNext/>
        <w:tabs>
          <w:tab w:val="left" w:pos="567"/>
        </w:tabs>
        <w:jc w:val="both"/>
        <w:rPr>
          <w:rFonts w:ascii="Calibri" w:hAnsi="Calibri" w:cs="Arial"/>
          <w:b/>
          <w:bCs/>
          <w:spacing w:val="-3"/>
          <w:sz w:val="22"/>
          <w:szCs w:val="22"/>
          <w:lang w:val="hr-HR"/>
        </w:rPr>
      </w:pPr>
      <w:r w:rsidRPr="001567C8">
        <w:rPr>
          <w:rFonts w:ascii="Calibri" w:hAnsi="Calibri" w:cs="Arial"/>
          <w:b/>
          <w:bCs/>
          <w:spacing w:val="-3"/>
          <w:sz w:val="22"/>
          <w:szCs w:val="22"/>
          <w:lang w:val="hr-HR"/>
        </w:rPr>
        <w:t xml:space="preserve">37. </w:t>
      </w:r>
      <w:r w:rsidRPr="001567C8">
        <w:rPr>
          <w:rFonts w:ascii="Calibri" w:hAnsi="Calibri" w:cs="Arial"/>
          <w:b/>
          <w:bCs/>
          <w:spacing w:val="-3"/>
          <w:sz w:val="22"/>
          <w:szCs w:val="22"/>
          <w:lang w:val="hr-HR"/>
        </w:rPr>
        <w:tab/>
        <w:t>Fer vrijednost financijske imovine i financijskih obveza (nastavak)</w:t>
      </w:r>
    </w:p>
    <w:p w:rsidR="007C1600" w:rsidRPr="001567C8" w:rsidRDefault="007C1600">
      <w:pPr>
        <w:pStyle w:val="T1"/>
        <w:keepNext w:val="0"/>
        <w:spacing w:before="0" w:after="0" w:line="240" w:lineRule="auto"/>
        <w:rPr>
          <w:rFonts w:ascii="Calibri" w:eastAsia="Calibri" w:hAnsi="Calibri" w:cs="FrutigerLTCom-Light"/>
          <w:b w:val="0"/>
          <w:bCs w:val="0"/>
          <w:sz w:val="22"/>
          <w:szCs w:val="22"/>
          <w:lang w:val="hr-HR"/>
        </w:rPr>
      </w:pPr>
    </w:p>
    <w:p w:rsidR="007C1600" w:rsidRPr="00CD3A2D" w:rsidRDefault="007C1600" w:rsidP="007C1600">
      <w:pPr>
        <w:pStyle w:val="T1"/>
        <w:spacing w:before="0" w:after="0" w:line="240" w:lineRule="auto"/>
        <w:ind w:left="709" w:hanging="709"/>
        <w:rPr>
          <w:rFonts w:asciiTheme="minorHAnsi" w:hAnsiTheme="minorHAnsi" w:cs="Arial"/>
          <w:spacing w:val="-3"/>
          <w:sz w:val="22"/>
          <w:szCs w:val="22"/>
          <w:lang w:val="hr-HR"/>
        </w:rPr>
      </w:pPr>
      <w:r w:rsidRPr="00CD3A2D">
        <w:rPr>
          <w:rFonts w:asciiTheme="minorHAnsi" w:hAnsiTheme="minorHAnsi" w:cs="Arial"/>
          <w:spacing w:val="-3"/>
          <w:sz w:val="22"/>
          <w:szCs w:val="22"/>
          <w:lang w:val="hr-HR"/>
        </w:rPr>
        <w:t xml:space="preserve">37.1.2 </w:t>
      </w:r>
      <w:r w:rsidRPr="00CD3A2D">
        <w:rPr>
          <w:rFonts w:asciiTheme="minorHAnsi" w:hAnsiTheme="minorHAnsi" w:cs="Arial"/>
          <w:spacing w:val="-3"/>
          <w:sz w:val="22"/>
          <w:szCs w:val="22"/>
          <w:lang w:val="hr-HR"/>
        </w:rPr>
        <w:tab/>
        <w:t>Financijski instrumenti koji se ne vode po fer vrijednosti</w:t>
      </w:r>
    </w:p>
    <w:p w:rsidR="007C1600" w:rsidRPr="00CD3A2D" w:rsidRDefault="007C1600" w:rsidP="003C6BA3">
      <w:pPr>
        <w:pStyle w:val="T1"/>
        <w:spacing w:before="0" w:after="0" w:line="240" w:lineRule="auto"/>
        <w:ind w:left="709" w:hanging="709"/>
        <w:rPr>
          <w:rFonts w:asciiTheme="minorHAnsi" w:hAnsiTheme="minorHAnsi" w:cs="Arial"/>
          <w:spacing w:val="-3"/>
          <w:sz w:val="22"/>
          <w:szCs w:val="22"/>
          <w:lang w:val="hr-HR"/>
        </w:rPr>
      </w:pPr>
    </w:p>
    <w:p w:rsidR="00E50F2B" w:rsidRPr="001567C8" w:rsidRDefault="007C1600" w:rsidP="003C6BA3">
      <w:pPr>
        <w:pStyle w:val="T1"/>
        <w:spacing w:before="0" w:after="0" w:line="240" w:lineRule="auto"/>
        <w:rPr>
          <w:rFonts w:asciiTheme="minorHAnsi" w:hAnsiTheme="minorHAnsi" w:cs="Arial"/>
          <w:b w:val="0"/>
          <w:spacing w:val="-3"/>
          <w:sz w:val="22"/>
          <w:szCs w:val="22"/>
          <w:lang w:val="hr-HR"/>
        </w:rPr>
      </w:pPr>
      <w:r w:rsidRPr="00CD3A2D">
        <w:rPr>
          <w:rFonts w:asciiTheme="minorHAnsi" w:hAnsiTheme="minorHAnsi" w:cs="Arial"/>
          <w:b w:val="0"/>
          <w:bCs w:val="0"/>
          <w:spacing w:val="-3"/>
          <w:sz w:val="22"/>
          <w:szCs w:val="22"/>
          <w:lang w:val="hr-HR"/>
        </w:rPr>
        <w:t xml:space="preserve">Sljedeća tablica prikazuje fer vrijednosti financijskih instrumenata koji se ne </w:t>
      </w:r>
      <w:r w:rsidRPr="00CD3A2D">
        <w:rPr>
          <w:rFonts w:asciiTheme="minorHAnsi" w:hAnsiTheme="minorHAnsi" w:cs="Arial"/>
          <w:b w:val="0"/>
          <w:spacing w:val="-3"/>
          <w:sz w:val="22"/>
          <w:szCs w:val="22"/>
          <w:lang w:val="hr-HR"/>
        </w:rPr>
        <w:t xml:space="preserve">vode </w:t>
      </w:r>
      <w:r w:rsidRPr="00CD3A2D">
        <w:rPr>
          <w:rFonts w:asciiTheme="minorHAnsi" w:hAnsiTheme="minorHAnsi" w:cs="Arial"/>
          <w:b w:val="0"/>
          <w:bCs w:val="0"/>
          <w:spacing w:val="-3"/>
          <w:sz w:val="22"/>
          <w:szCs w:val="22"/>
          <w:lang w:val="hr-HR"/>
        </w:rPr>
        <w:t xml:space="preserve">po fer vrijednosti </w:t>
      </w:r>
      <w:r w:rsidR="000B4639" w:rsidRPr="00CD3A2D">
        <w:rPr>
          <w:rFonts w:asciiTheme="minorHAnsi" w:hAnsiTheme="minorHAnsi" w:cs="Arial"/>
          <w:b w:val="0"/>
          <w:spacing w:val="-3"/>
          <w:sz w:val="22"/>
          <w:szCs w:val="22"/>
          <w:lang w:val="hr-HR"/>
        </w:rPr>
        <w:t>i</w:t>
      </w:r>
      <w:r w:rsidRPr="00CD3A2D">
        <w:rPr>
          <w:rFonts w:asciiTheme="minorHAnsi" w:hAnsiTheme="minorHAnsi" w:cs="Arial"/>
          <w:b w:val="0"/>
          <w:spacing w:val="-3"/>
          <w:sz w:val="22"/>
          <w:szCs w:val="22"/>
          <w:lang w:val="hr-HR"/>
        </w:rPr>
        <w:t xml:space="preserve"> </w:t>
      </w:r>
      <w:r w:rsidRPr="00CD3A2D">
        <w:rPr>
          <w:rFonts w:asciiTheme="minorHAnsi" w:hAnsiTheme="minorHAnsi" w:cs="Arial"/>
          <w:b w:val="0"/>
          <w:bCs w:val="0"/>
          <w:spacing w:val="-3"/>
          <w:sz w:val="22"/>
          <w:szCs w:val="22"/>
          <w:lang w:val="hr-HR"/>
        </w:rPr>
        <w:t>analizira</w:t>
      </w:r>
      <w:r w:rsidRPr="00CD3A2D">
        <w:rPr>
          <w:rFonts w:asciiTheme="minorHAnsi" w:hAnsiTheme="minorHAnsi" w:cs="Arial"/>
          <w:b w:val="0"/>
          <w:spacing w:val="-3"/>
          <w:sz w:val="22"/>
          <w:szCs w:val="22"/>
          <w:lang w:val="hr-HR"/>
        </w:rPr>
        <w:t xml:space="preserve"> </w:t>
      </w:r>
      <w:r w:rsidRPr="00CD3A2D">
        <w:rPr>
          <w:rFonts w:asciiTheme="minorHAnsi" w:hAnsiTheme="minorHAnsi" w:cs="Arial"/>
          <w:b w:val="0"/>
          <w:bCs w:val="0"/>
          <w:spacing w:val="-3"/>
          <w:sz w:val="22"/>
          <w:szCs w:val="22"/>
          <w:lang w:val="hr-HR"/>
        </w:rPr>
        <w:t xml:space="preserve">ih </w:t>
      </w:r>
      <w:r w:rsidR="004E6739" w:rsidRPr="00CD3A2D">
        <w:rPr>
          <w:rFonts w:asciiTheme="minorHAnsi" w:hAnsiTheme="minorHAnsi" w:cs="Arial"/>
          <w:b w:val="0"/>
          <w:spacing w:val="-3"/>
          <w:sz w:val="22"/>
          <w:szCs w:val="22"/>
          <w:lang w:val="hr-HR"/>
        </w:rPr>
        <w:t xml:space="preserve"> </w:t>
      </w:r>
      <w:r w:rsidRPr="00CD3A2D">
        <w:rPr>
          <w:rFonts w:asciiTheme="minorHAnsi" w:hAnsiTheme="minorHAnsi" w:cs="Arial"/>
          <w:b w:val="0"/>
          <w:bCs w:val="0"/>
          <w:spacing w:val="-3"/>
          <w:sz w:val="22"/>
          <w:szCs w:val="22"/>
          <w:lang w:val="hr-HR"/>
        </w:rPr>
        <w:t xml:space="preserve">po razinama u hijerarhiji fer vrijednosti u koju je </w:t>
      </w:r>
      <w:r w:rsidR="004E6739" w:rsidRPr="00CD3A2D">
        <w:rPr>
          <w:rFonts w:asciiTheme="minorHAnsi" w:hAnsiTheme="minorHAnsi" w:cs="Arial"/>
          <w:b w:val="0"/>
          <w:spacing w:val="-3"/>
          <w:sz w:val="22"/>
          <w:szCs w:val="22"/>
          <w:lang w:val="hr-HR"/>
        </w:rPr>
        <w:t>kategorizira</w:t>
      </w:r>
      <w:r w:rsidRPr="00CD3A2D">
        <w:rPr>
          <w:rFonts w:asciiTheme="minorHAnsi" w:hAnsiTheme="minorHAnsi" w:cs="Arial"/>
          <w:b w:val="0"/>
          <w:bCs w:val="0"/>
          <w:spacing w:val="-3"/>
          <w:sz w:val="22"/>
          <w:szCs w:val="22"/>
          <w:lang w:val="hr-HR"/>
        </w:rPr>
        <w:t xml:space="preserve"> svako mjerenje fer vrijednosti.</w:t>
      </w:r>
    </w:p>
    <w:tbl>
      <w:tblPr>
        <w:tblpPr w:leftFromText="181" w:rightFromText="181" w:vertAnchor="text" w:horzAnchor="margin" w:tblpX="-284" w:tblpY="360"/>
        <w:tblW w:w="9928" w:type="dxa"/>
        <w:tblLayout w:type="fixed"/>
        <w:tblLook w:val="0000" w:firstRow="0" w:lastRow="0" w:firstColumn="0" w:lastColumn="0" w:noHBand="0" w:noVBand="0"/>
      </w:tblPr>
      <w:tblGrid>
        <w:gridCol w:w="3402"/>
        <w:gridCol w:w="1205"/>
        <w:gridCol w:w="1205"/>
        <w:gridCol w:w="1205"/>
        <w:gridCol w:w="1205"/>
        <w:gridCol w:w="1706"/>
      </w:tblGrid>
      <w:tr w:rsidR="00E50F2B" w:rsidRPr="001567C8" w:rsidTr="00964345">
        <w:trPr>
          <w:trHeight w:val="289"/>
        </w:trPr>
        <w:tc>
          <w:tcPr>
            <w:tcW w:w="3402" w:type="dxa"/>
            <w:vAlign w:val="bottom"/>
          </w:tcPr>
          <w:p w:rsidR="00E50F2B" w:rsidRPr="00CD3A2D" w:rsidRDefault="00E50F2B" w:rsidP="00964345">
            <w:pPr>
              <w:rPr>
                <w:rFonts w:ascii="Calibri" w:hAnsi="Calibri" w:cs="Arial"/>
                <w:b/>
                <w:sz w:val="20"/>
                <w:szCs w:val="20"/>
                <w:lang w:val="hr-HR"/>
              </w:rPr>
            </w:pPr>
            <w:r w:rsidRPr="00CD3A2D">
              <w:rPr>
                <w:rFonts w:ascii="Calibri" w:hAnsi="Calibri" w:cs="Arial"/>
                <w:b/>
                <w:sz w:val="20"/>
                <w:szCs w:val="20"/>
                <w:lang w:val="hr-HR"/>
              </w:rPr>
              <w:t>Grupa</w:t>
            </w:r>
          </w:p>
          <w:p w:rsidR="00E50F2B" w:rsidRPr="00CD3A2D" w:rsidRDefault="00E50F2B" w:rsidP="00964345">
            <w:pPr>
              <w:rPr>
                <w:rFonts w:ascii="Calibri" w:hAnsi="Calibri" w:cs="Arial"/>
                <w:b/>
                <w:sz w:val="20"/>
                <w:szCs w:val="20"/>
                <w:lang w:val="hr-HR"/>
              </w:rPr>
            </w:pPr>
          </w:p>
          <w:p w:rsidR="00E50F2B" w:rsidRPr="00CD3A2D" w:rsidRDefault="00AD2EF7" w:rsidP="00964345">
            <w:pPr>
              <w:rPr>
                <w:rFonts w:ascii="Calibri" w:hAnsi="Calibri" w:cs="Arial"/>
                <w:b/>
                <w:sz w:val="20"/>
                <w:szCs w:val="20"/>
                <w:lang w:val="hr-HR"/>
              </w:rPr>
            </w:pPr>
            <w:r>
              <w:rPr>
                <w:rFonts w:ascii="Calibri" w:hAnsi="Calibri" w:cs="Arial"/>
                <w:b/>
                <w:sz w:val="20"/>
                <w:szCs w:val="20"/>
                <w:lang w:val="hr-HR"/>
              </w:rPr>
              <w:t>31. prosin</w:t>
            </w:r>
            <w:r w:rsidR="00E50F2B" w:rsidRPr="00CD3A2D">
              <w:rPr>
                <w:rFonts w:ascii="Calibri" w:hAnsi="Calibri" w:cs="Arial"/>
                <w:b/>
                <w:sz w:val="20"/>
                <w:szCs w:val="20"/>
                <w:lang w:val="hr-HR"/>
              </w:rPr>
              <w:t>c</w:t>
            </w:r>
            <w:r>
              <w:rPr>
                <w:rFonts w:ascii="Calibri" w:hAnsi="Calibri" w:cs="Arial"/>
                <w:b/>
                <w:sz w:val="20"/>
                <w:szCs w:val="20"/>
                <w:lang w:val="hr-HR"/>
              </w:rPr>
              <w:t>a</w:t>
            </w:r>
            <w:r w:rsidR="00E50F2B" w:rsidRPr="00CD3A2D">
              <w:rPr>
                <w:rFonts w:ascii="Calibri" w:hAnsi="Calibri" w:cs="Arial"/>
                <w:b/>
                <w:sz w:val="20"/>
                <w:szCs w:val="20"/>
                <w:lang w:val="hr-HR"/>
              </w:rPr>
              <w:t xml:space="preserve"> 2018. godina</w:t>
            </w:r>
          </w:p>
        </w:tc>
        <w:tc>
          <w:tcPr>
            <w:tcW w:w="1205" w:type="dxa"/>
            <w:shd w:val="clear" w:color="auto" w:fill="auto"/>
            <w:vAlign w:val="center"/>
          </w:tcPr>
          <w:p w:rsidR="00E50F2B" w:rsidRPr="00CD3A2D" w:rsidRDefault="00E50F2B" w:rsidP="00964345">
            <w:pPr>
              <w:jc w:val="right"/>
              <w:rPr>
                <w:rFonts w:ascii="Calibri" w:hAnsi="Calibri" w:cs="Arial"/>
                <w:b/>
                <w:sz w:val="20"/>
                <w:szCs w:val="20"/>
                <w:lang w:val="hr-HR"/>
              </w:rPr>
            </w:pPr>
            <w:r w:rsidRPr="00CD3A2D">
              <w:rPr>
                <w:rFonts w:ascii="Calibri" w:eastAsia="Calibri" w:hAnsi="Calibri" w:cs="Arial"/>
                <w:b/>
                <w:spacing w:val="-2"/>
                <w:sz w:val="20"/>
                <w:szCs w:val="20"/>
                <w:lang w:val="hr-HR"/>
              </w:rPr>
              <w:t>Razina 1</w:t>
            </w:r>
          </w:p>
        </w:tc>
        <w:tc>
          <w:tcPr>
            <w:tcW w:w="1205" w:type="dxa"/>
            <w:shd w:val="clear" w:color="auto" w:fill="auto"/>
            <w:vAlign w:val="center"/>
          </w:tcPr>
          <w:p w:rsidR="00E50F2B" w:rsidRPr="00CD3A2D" w:rsidRDefault="00E50F2B" w:rsidP="00964345">
            <w:pPr>
              <w:jc w:val="right"/>
              <w:rPr>
                <w:rFonts w:ascii="Calibri" w:hAnsi="Calibri" w:cs="Arial"/>
                <w:b/>
                <w:sz w:val="20"/>
                <w:szCs w:val="20"/>
                <w:lang w:val="hr-HR"/>
              </w:rPr>
            </w:pPr>
            <w:r w:rsidRPr="00CD3A2D">
              <w:rPr>
                <w:rFonts w:ascii="Calibri" w:eastAsia="Calibri" w:hAnsi="Calibri" w:cs="Arial"/>
                <w:b/>
                <w:spacing w:val="-2"/>
                <w:sz w:val="20"/>
                <w:szCs w:val="20"/>
                <w:lang w:val="hr-HR"/>
              </w:rPr>
              <w:t>Razina 2</w:t>
            </w:r>
          </w:p>
        </w:tc>
        <w:tc>
          <w:tcPr>
            <w:tcW w:w="1205" w:type="dxa"/>
            <w:shd w:val="clear" w:color="auto" w:fill="auto"/>
            <w:vAlign w:val="center"/>
          </w:tcPr>
          <w:p w:rsidR="00E50F2B" w:rsidRPr="00CD3A2D" w:rsidRDefault="00E50F2B" w:rsidP="00964345">
            <w:pPr>
              <w:jc w:val="right"/>
              <w:rPr>
                <w:rFonts w:ascii="Calibri" w:hAnsi="Calibri" w:cs="Arial"/>
                <w:b/>
                <w:sz w:val="20"/>
                <w:szCs w:val="20"/>
                <w:lang w:val="hr-HR"/>
              </w:rPr>
            </w:pPr>
            <w:r w:rsidRPr="00CD3A2D">
              <w:rPr>
                <w:rFonts w:ascii="Calibri" w:eastAsia="Calibri" w:hAnsi="Calibri" w:cs="Arial"/>
                <w:b/>
                <w:spacing w:val="-2"/>
                <w:sz w:val="20"/>
                <w:szCs w:val="20"/>
                <w:lang w:val="hr-HR"/>
              </w:rPr>
              <w:t>Razina 3</w:t>
            </w:r>
          </w:p>
        </w:tc>
        <w:tc>
          <w:tcPr>
            <w:tcW w:w="1205" w:type="dxa"/>
            <w:vAlign w:val="center"/>
          </w:tcPr>
          <w:p w:rsidR="00E50F2B" w:rsidRPr="00CD3A2D" w:rsidRDefault="00E50F2B" w:rsidP="00964345">
            <w:pPr>
              <w:jc w:val="right"/>
              <w:rPr>
                <w:rFonts w:ascii="Calibri" w:hAnsi="Calibri" w:cs="Arial"/>
                <w:b/>
                <w:sz w:val="20"/>
                <w:szCs w:val="20"/>
                <w:lang w:val="hr-HR"/>
              </w:rPr>
            </w:pPr>
            <w:r w:rsidRPr="00CD3A2D">
              <w:rPr>
                <w:rFonts w:ascii="Calibri" w:hAnsi="Calibri" w:cs="Arial"/>
                <w:b/>
                <w:sz w:val="20"/>
                <w:szCs w:val="20"/>
                <w:lang w:val="hr-HR"/>
              </w:rPr>
              <w:t>Fer vrijednost</w:t>
            </w:r>
          </w:p>
        </w:tc>
        <w:tc>
          <w:tcPr>
            <w:tcW w:w="1706" w:type="dxa"/>
            <w:vAlign w:val="center"/>
          </w:tcPr>
          <w:p w:rsidR="00E50F2B" w:rsidRPr="00CD3A2D" w:rsidRDefault="00E50F2B" w:rsidP="00964345">
            <w:pPr>
              <w:jc w:val="right"/>
              <w:rPr>
                <w:rFonts w:ascii="Calibri" w:hAnsi="Calibri" w:cs="Arial"/>
                <w:b/>
                <w:sz w:val="20"/>
                <w:szCs w:val="20"/>
                <w:lang w:val="hr-HR"/>
              </w:rPr>
            </w:pPr>
            <w:r w:rsidRPr="00CD3A2D">
              <w:rPr>
                <w:rFonts w:ascii="Calibri" w:hAnsi="Calibri" w:cs="Arial"/>
                <w:b/>
                <w:sz w:val="20"/>
                <w:szCs w:val="20"/>
                <w:lang w:val="hr-HR"/>
              </w:rPr>
              <w:t>Knjigovodstvena vrijednost</w:t>
            </w:r>
          </w:p>
        </w:tc>
      </w:tr>
      <w:tr w:rsidR="00E50F2B" w:rsidRPr="001567C8" w:rsidTr="00964345">
        <w:trPr>
          <w:trHeight w:hRule="exact" w:val="271"/>
        </w:trPr>
        <w:tc>
          <w:tcPr>
            <w:tcW w:w="3402" w:type="dxa"/>
            <w:vAlign w:val="bottom"/>
          </w:tcPr>
          <w:p w:rsidR="00E50F2B" w:rsidRPr="00CD3A2D" w:rsidRDefault="00E50F2B" w:rsidP="00964345">
            <w:pPr>
              <w:rPr>
                <w:rFonts w:ascii="Calibri" w:hAnsi="Calibri" w:cs="Arial"/>
                <w:sz w:val="20"/>
                <w:szCs w:val="20"/>
                <w:lang w:val="hr-HR"/>
              </w:rPr>
            </w:pPr>
          </w:p>
        </w:tc>
        <w:tc>
          <w:tcPr>
            <w:tcW w:w="1205" w:type="dxa"/>
            <w:vAlign w:val="center"/>
          </w:tcPr>
          <w:p w:rsidR="00E50F2B" w:rsidRPr="00CD3A2D" w:rsidRDefault="00E50F2B" w:rsidP="00964345">
            <w:pPr>
              <w:jc w:val="right"/>
              <w:rPr>
                <w:rFonts w:ascii="Calibri" w:hAnsi="Calibri" w:cs="Arial"/>
                <w:b/>
                <w:sz w:val="20"/>
                <w:szCs w:val="20"/>
                <w:lang w:val="hr-HR"/>
              </w:rPr>
            </w:pPr>
            <w:r w:rsidRPr="00CD3A2D">
              <w:rPr>
                <w:rFonts w:ascii="Calibri" w:hAnsi="Calibri" w:cs="Arial"/>
                <w:b/>
                <w:sz w:val="20"/>
                <w:szCs w:val="20"/>
                <w:lang w:val="hr-HR"/>
              </w:rPr>
              <w:t>000 kuna</w:t>
            </w:r>
          </w:p>
        </w:tc>
        <w:tc>
          <w:tcPr>
            <w:tcW w:w="1205" w:type="dxa"/>
            <w:vAlign w:val="center"/>
          </w:tcPr>
          <w:p w:rsidR="00E50F2B" w:rsidRPr="00CD3A2D" w:rsidRDefault="00E50F2B" w:rsidP="00964345">
            <w:pPr>
              <w:jc w:val="right"/>
              <w:rPr>
                <w:rFonts w:ascii="Calibri" w:hAnsi="Calibri" w:cs="Arial"/>
                <w:b/>
                <w:sz w:val="20"/>
                <w:szCs w:val="20"/>
                <w:lang w:val="hr-HR"/>
              </w:rPr>
            </w:pPr>
            <w:r w:rsidRPr="00CD3A2D">
              <w:rPr>
                <w:rFonts w:ascii="Calibri" w:hAnsi="Calibri" w:cs="Arial"/>
                <w:b/>
                <w:sz w:val="20"/>
                <w:szCs w:val="20"/>
                <w:lang w:val="hr-HR"/>
              </w:rPr>
              <w:t>000 kuna</w:t>
            </w:r>
          </w:p>
        </w:tc>
        <w:tc>
          <w:tcPr>
            <w:tcW w:w="1205" w:type="dxa"/>
            <w:vAlign w:val="center"/>
          </w:tcPr>
          <w:p w:rsidR="00E50F2B" w:rsidRPr="00CD3A2D" w:rsidRDefault="00E50F2B" w:rsidP="00964345">
            <w:pPr>
              <w:jc w:val="right"/>
              <w:rPr>
                <w:rFonts w:ascii="Calibri" w:hAnsi="Calibri" w:cs="Arial"/>
                <w:b/>
                <w:sz w:val="20"/>
                <w:szCs w:val="20"/>
                <w:lang w:val="hr-HR"/>
              </w:rPr>
            </w:pPr>
            <w:r w:rsidRPr="00CD3A2D">
              <w:rPr>
                <w:rFonts w:ascii="Calibri" w:hAnsi="Calibri" w:cs="Arial"/>
                <w:b/>
                <w:sz w:val="20"/>
                <w:szCs w:val="20"/>
                <w:lang w:val="hr-HR"/>
              </w:rPr>
              <w:t>000 kuna</w:t>
            </w:r>
          </w:p>
        </w:tc>
        <w:tc>
          <w:tcPr>
            <w:tcW w:w="1205" w:type="dxa"/>
            <w:vAlign w:val="center"/>
          </w:tcPr>
          <w:p w:rsidR="00E50F2B" w:rsidRPr="00CD3A2D" w:rsidRDefault="00E50F2B" w:rsidP="00964345">
            <w:pPr>
              <w:jc w:val="right"/>
              <w:rPr>
                <w:rFonts w:ascii="Calibri" w:hAnsi="Calibri" w:cs="Arial"/>
                <w:b/>
                <w:sz w:val="20"/>
                <w:szCs w:val="20"/>
                <w:lang w:val="hr-HR"/>
              </w:rPr>
            </w:pPr>
            <w:r w:rsidRPr="00CD3A2D">
              <w:rPr>
                <w:rFonts w:ascii="Calibri" w:hAnsi="Calibri" w:cs="Arial"/>
                <w:b/>
                <w:sz w:val="20"/>
                <w:szCs w:val="20"/>
                <w:lang w:val="hr-HR"/>
              </w:rPr>
              <w:t>000 kuna</w:t>
            </w:r>
          </w:p>
        </w:tc>
        <w:tc>
          <w:tcPr>
            <w:tcW w:w="1706" w:type="dxa"/>
            <w:vAlign w:val="center"/>
          </w:tcPr>
          <w:p w:rsidR="00E50F2B" w:rsidRPr="00CD3A2D" w:rsidRDefault="00E50F2B" w:rsidP="00964345">
            <w:pPr>
              <w:jc w:val="right"/>
              <w:rPr>
                <w:rFonts w:ascii="Calibri" w:hAnsi="Calibri" w:cs="Arial"/>
                <w:b/>
                <w:sz w:val="20"/>
                <w:szCs w:val="20"/>
                <w:lang w:val="hr-HR"/>
              </w:rPr>
            </w:pPr>
            <w:r w:rsidRPr="00CD3A2D">
              <w:rPr>
                <w:rFonts w:ascii="Calibri" w:hAnsi="Calibri" w:cs="Arial"/>
                <w:b/>
                <w:sz w:val="20"/>
                <w:szCs w:val="20"/>
                <w:lang w:val="hr-HR"/>
              </w:rPr>
              <w:t>000 kuna</w:t>
            </w:r>
          </w:p>
        </w:tc>
      </w:tr>
      <w:tr w:rsidR="00E50F2B" w:rsidRPr="001567C8" w:rsidTr="00964345">
        <w:trPr>
          <w:trHeight w:hRule="exact" w:val="162"/>
        </w:trPr>
        <w:tc>
          <w:tcPr>
            <w:tcW w:w="3402" w:type="dxa"/>
            <w:vAlign w:val="bottom"/>
          </w:tcPr>
          <w:p w:rsidR="00E50F2B" w:rsidRPr="00CD3A2D" w:rsidRDefault="00E50F2B" w:rsidP="00964345">
            <w:pPr>
              <w:rPr>
                <w:rFonts w:ascii="Calibri" w:hAnsi="Calibri" w:cs="Arial"/>
                <w:sz w:val="20"/>
                <w:szCs w:val="20"/>
                <w:lang w:val="hr-HR"/>
              </w:rPr>
            </w:pPr>
          </w:p>
        </w:tc>
        <w:tc>
          <w:tcPr>
            <w:tcW w:w="1205" w:type="dxa"/>
            <w:vAlign w:val="center"/>
          </w:tcPr>
          <w:p w:rsidR="00E50F2B" w:rsidRPr="00CD3A2D" w:rsidRDefault="00E50F2B" w:rsidP="00964345">
            <w:pPr>
              <w:jc w:val="right"/>
              <w:rPr>
                <w:rFonts w:ascii="Calibri" w:hAnsi="Calibri" w:cs="Arial"/>
                <w:b/>
                <w:sz w:val="20"/>
                <w:szCs w:val="20"/>
                <w:lang w:val="hr-HR"/>
              </w:rPr>
            </w:pPr>
          </w:p>
        </w:tc>
        <w:tc>
          <w:tcPr>
            <w:tcW w:w="1205" w:type="dxa"/>
            <w:vAlign w:val="center"/>
          </w:tcPr>
          <w:p w:rsidR="00E50F2B" w:rsidRPr="00CD3A2D" w:rsidRDefault="00E50F2B" w:rsidP="00964345">
            <w:pPr>
              <w:jc w:val="right"/>
              <w:rPr>
                <w:rFonts w:ascii="Calibri" w:hAnsi="Calibri" w:cs="Arial"/>
                <w:b/>
                <w:sz w:val="20"/>
                <w:szCs w:val="20"/>
                <w:lang w:val="hr-HR"/>
              </w:rPr>
            </w:pPr>
          </w:p>
        </w:tc>
        <w:tc>
          <w:tcPr>
            <w:tcW w:w="1205" w:type="dxa"/>
            <w:vAlign w:val="center"/>
          </w:tcPr>
          <w:p w:rsidR="00E50F2B" w:rsidRPr="00CD3A2D" w:rsidRDefault="00E50F2B" w:rsidP="00964345">
            <w:pPr>
              <w:jc w:val="right"/>
              <w:rPr>
                <w:rFonts w:ascii="Calibri" w:hAnsi="Calibri" w:cs="Arial"/>
                <w:b/>
                <w:sz w:val="20"/>
                <w:szCs w:val="20"/>
                <w:lang w:val="hr-HR"/>
              </w:rPr>
            </w:pPr>
          </w:p>
        </w:tc>
        <w:tc>
          <w:tcPr>
            <w:tcW w:w="1205" w:type="dxa"/>
            <w:vAlign w:val="center"/>
          </w:tcPr>
          <w:p w:rsidR="00E50F2B" w:rsidRPr="00CD3A2D" w:rsidRDefault="00E50F2B" w:rsidP="00964345">
            <w:pPr>
              <w:jc w:val="right"/>
              <w:rPr>
                <w:rFonts w:ascii="Calibri" w:hAnsi="Calibri" w:cs="Arial"/>
                <w:b/>
                <w:sz w:val="20"/>
                <w:szCs w:val="20"/>
                <w:lang w:val="hr-HR"/>
              </w:rPr>
            </w:pPr>
          </w:p>
        </w:tc>
        <w:tc>
          <w:tcPr>
            <w:tcW w:w="1706" w:type="dxa"/>
            <w:vAlign w:val="center"/>
          </w:tcPr>
          <w:p w:rsidR="00E50F2B" w:rsidRPr="00CD3A2D" w:rsidRDefault="00E50F2B" w:rsidP="00964345">
            <w:pPr>
              <w:jc w:val="right"/>
              <w:rPr>
                <w:rFonts w:ascii="Calibri" w:hAnsi="Calibri" w:cs="Arial"/>
                <w:b/>
                <w:sz w:val="20"/>
                <w:szCs w:val="20"/>
                <w:lang w:val="hr-HR"/>
              </w:rPr>
            </w:pPr>
          </w:p>
        </w:tc>
      </w:tr>
      <w:tr w:rsidR="00E50F2B" w:rsidRPr="001567C8" w:rsidTr="00964345">
        <w:trPr>
          <w:trHeight w:val="297"/>
        </w:trPr>
        <w:tc>
          <w:tcPr>
            <w:tcW w:w="3402" w:type="dxa"/>
            <w:vAlign w:val="bottom"/>
          </w:tcPr>
          <w:p w:rsidR="00E50F2B" w:rsidRPr="00CD3A2D" w:rsidRDefault="00E50F2B" w:rsidP="00964345">
            <w:pPr>
              <w:tabs>
                <w:tab w:val="right" w:pos="1202"/>
              </w:tabs>
              <w:outlineLvl w:val="0"/>
              <w:rPr>
                <w:rFonts w:ascii="Calibri" w:hAnsi="Calibri" w:cs="Arial"/>
                <w:b/>
                <w:bCs/>
                <w:sz w:val="20"/>
                <w:szCs w:val="20"/>
                <w:lang w:val="hr-HR"/>
              </w:rPr>
            </w:pPr>
            <w:r w:rsidRPr="00CD3A2D">
              <w:rPr>
                <w:rFonts w:ascii="Calibri" w:eastAsia="Calibri" w:hAnsi="Calibri" w:cs="Arial"/>
                <w:b/>
                <w:bCs/>
                <w:sz w:val="20"/>
                <w:szCs w:val="20"/>
                <w:lang w:val="hr-HR"/>
              </w:rPr>
              <w:t>Imovina</w:t>
            </w:r>
          </w:p>
        </w:tc>
        <w:tc>
          <w:tcPr>
            <w:tcW w:w="1205" w:type="dxa"/>
            <w:vAlign w:val="center"/>
          </w:tcPr>
          <w:p w:rsidR="00E50F2B" w:rsidRPr="00CD3A2D" w:rsidRDefault="00E50F2B" w:rsidP="00964345">
            <w:pPr>
              <w:tabs>
                <w:tab w:val="right" w:pos="1202"/>
              </w:tabs>
              <w:jc w:val="right"/>
              <w:outlineLvl w:val="0"/>
              <w:rPr>
                <w:rFonts w:ascii="Calibri" w:hAnsi="Calibri" w:cs="Arial"/>
                <w:b/>
                <w:bCs/>
                <w:sz w:val="20"/>
                <w:szCs w:val="20"/>
                <w:lang w:val="hr-HR"/>
              </w:rPr>
            </w:pPr>
          </w:p>
        </w:tc>
        <w:tc>
          <w:tcPr>
            <w:tcW w:w="1205" w:type="dxa"/>
            <w:vAlign w:val="center"/>
          </w:tcPr>
          <w:p w:rsidR="00E50F2B" w:rsidRPr="00CD3A2D" w:rsidRDefault="00E50F2B" w:rsidP="00964345">
            <w:pPr>
              <w:tabs>
                <w:tab w:val="right" w:pos="1202"/>
              </w:tabs>
              <w:jc w:val="right"/>
              <w:outlineLvl w:val="0"/>
              <w:rPr>
                <w:rFonts w:ascii="Calibri" w:hAnsi="Calibri" w:cs="Arial"/>
                <w:b/>
                <w:bCs/>
                <w:sz w:val="20"/>
                <w:szCs w:val="20"/>
                <w:lang w:val="hr-HR"/>
              </w:rPr>
            </w:pPr>
          </w:p>
        </w:tc>
        <w:tc>
          <w:tcPr>
            <w:tcW w:w="1205" w:type="dxa"/>
            <w:vAlign w:val="center"/>
          </w:tcPr>
          <w:p w:rsidR="00E50F2B" w:rsidRPr="00CD3A2D" w:rsidRDefault="00E50F2B" w:rsidP="00964345">
            <w:pPr>
              <w:tabs>
                <w:tab w:val="right" w:pos="1202"/>
              </w:tabs>
              <w:jc w:val="right"/>
              <w:outlineLvl w:val="0"/>
              <w:rPr>
                <w:rFonts w:ascii="Calibri" w:hAnsi="Calibri" w:cs="Arial"/>
                <w:b/>
                <w:bCs/>
                <w:sz w:val="20"/>
                <w:szCs w:val="20"/>
                <w:lang w:val="hr-HR"/>
              </w:rPr>
            </w:pPr>
          </w:p>
        </w:tc>
        <w:tc>
          <w:tcPr>
            <w:tcW w:w="1205" w:type="dxa"/>
            <w:vAlign w:val="center"/>
          </w:tcPr>
          <w:p w:rsidR="00E50F2B" w:rsidRPr="00CD3A2D" w:rsidRDefault="00E50F2B" w:rsidP="00964345">
            <w:pPr>
              <w:tabs>
                <w:tab w:val="right" w:pos="1202"/>
              </w:tabs>
              <w:jc w:val="right"/>
              <w:outlineLvl w:val="0"/>
              <w:rPr>
                <w:rFonts w:ascii="Calibri" w:hAnsi="Calibri" w:cs="Arial"/>
                <w:b/>
                <w:bCs/>
                <w:sz w:val="20"/>
                <w:szCs w:val="20"/>
                <w:lang w:val="hr-HR"/>
              </w:rPr>
            </w:pPr>
          </w:p>
        </w:tc>
        <w:tc>
          <w:tcPr>
            <w:tcW w:w="1706" w:type="dxa"/>
            <w:vAlign w:val="center"/>
          </w:tcPr>
          <w:p w:rsidR="00E50F2B" w:rsidRPr="00CD3A2D" w:rsidRDefault="00E50F2B" w:rsidP="00964345">
            <w:pPr>
              <w:tabs>
                <w:tab w:val="right" w:pos="1202"/>
              </w:tabs>
              <w:jc w:val="right"/>
              <w:outlineLvl w:val="0"/>
              <w:rPr>
                <w:rFonts w:ascii="Calibri" w:hAnsi="Calibri" w:cs="Arial"/>
                <w:b/>
                <w:bCs/>
                <w:sz w:val="20"/>
                <w:szCs w:val="20"/>
                <w:lang w:val="hr-HR"/>
              </w:rPr>
            </w:pPr>
          </w:p>
        </w:tc>
      </w:tr>
      <w:tr w:rsidR="005D569B" w:rsidRPr="001567C8" w:rsidTr="00964345">
        <w:trPr>
          <w:trHeight w:val="297"/>
        </w:trPr>
        <w:tc>
          <w:tcPr>
            <w:tcW w:w="3402" w:type="dxa"/>
            <w:vAlign w:val="bottom"/>
          </w:tcPr>
          <w:p w:rsidR="005D569B" w:rsidRPr="00CD3A2D" w:rsidRDefault="005D569B" w:rsidP="005D569B">
            <w:pPr>
              <w:tabs>
                <w:tab w:val="right" w:pos="1202"/>
              </w:tabs>
              <w:outlineLvl w:val="0"/>
              <w:rPr>
                <w:rFonts w:ascii="Calibri" w:hAnsi="Calibri" w:cs="Arial"/>
                <w:sz w:val="20"/>
                <w:szCs w:val="20"/>
                <w:lang w:val="hr-HR"/>
              </w:rPr>
            </w:pPr>
            <w:r w:rsidRPr="00CD3A2D">
              <w:rPr>
                <w:rFonts w:ascii="Calibri" w:eastAsia="Calibri" w:hAnsi="Calibri" w:cs="Arial"/>
                <w:sz w:val="20"/>
                <w:szCs w:val="20"/>
                <w:lang w:val="hr-HR"/>
              </w:rPr>
              <w:t>Novčana sredstva i računi kod banaka</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944.417</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944.417</w:t>
            </w:r>
          </w:p>
        </w:tc>
        <w:tc>
          <w:tcPr>
            <w:tcW w:w="1706" w:type="dxa"/>
            <w:tcBorders>
              <w:top w:val="nil"/>
              <w:left w:val="nil"/>
              <w:bottom w:val="nil"/>
              <w:right w:val="nil"/>
            </w:tcBorders>
            <w:shd w:val="clear" w:color="auto" w:fill="auto"/>
          </w:tcPr>
          <w:p w:rsidR="005D569B" w:rsidRPr="00CD3A2D" w:rsidRDefault="005D569B" w:rsidP="005D569B">
            <w:pPr>
              <w:tabs>
                <w:tab w:val="right" w:pos="1202"/>
              </w:tabs>
              <w:spacing w:line="301" w:lineRule="exact"/>
              <w:jc w:val="right"/>
              <w:outlineLvl w:val="0"/>
              <w:rPr>
                <w:rFonts w:ascii="Calibri" w:hAnsi="Calibri" w:cs="Calibri"/>
                <w:snapToGrid w:val="0"/>
                <w:sz w:val="20"/>
                <w:szCs w:val="20"/>
                <w:lang w:val="hr-HR"/>
              </w:rPr>
            </w:pPr>
            <w:r w:rsidRPr="00CD3A2D">
              <w:rPr>
                <w:rFonts w:ascii="Calibri" w:hAnsi="Calibri" w:cs="Calibri"/>
                <w:sz w:val="20"/>
                <w:szCs w:val="20"/>
                <w:lang w:val="hr-HR"/>
              </w:rPr>
              <w:t xml:space="preserve"> 944.417 </w:t>
            </w:r>
          </w:p>
        </w:tc>
      </w:tr>
      <w:tr w:rsidR="005D569B" w:rsidRPr="001567C8" w:rsidTr="00964345">
        <w:trPr>
          <w:trHeight w:val="297"/>
        </w:trPr>
        <w:tc>
          <w:tcPr>
            <w:tcW w:w="3402" w:type="dxa"/>
            <w:vAlign w:val="bottom"/>
          </w:tcPr>
          <w:p w:rsidR="005D569B" w:rsidRPr="00CD3A2D" w:rsidRDefault="005D569B" w:rsidP="005D569B">
            <w:pPr>
              <w:tabs>
                <w:tab w:val="right" w:pos="1202"/>
              </w:tabs>
              <w:outlineLvl w:val="0"/>
              <w:rPr>
                <w:rFonts w:ascii="Calibri" w:hAnsi="Calibri" w:cs="Arial"/>
                <w:sz w:val="20"/>
                <w:szCs w:val="20"/>
                <w:lang w:val="hr-HR"/>
              </w:rPr>
            </w:pPr>
            <w:r w:rsidRPr="00CD3A2D">
              <w:rPr>
                <w:rFonts w:ascii="Calibri" w:eastAsia="Calibri" w:hAnsi="Calibri" w:cs="Arial"/>
                <w:sz w:val="20"/>
                <w:szCs w:val="20"/>
                <w:lang w:val="hr-HR"/>
              </w:rPr>
              <w:t>Depoziti kod drugih banaka</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261.925</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261.925</w:t>
            </w:r>
          </w:p>
        </w:tc>
        <w:tc>
          <w:tcPr>
            <w:tcW w:w="1706" w:type="dxa"/>
            <w:tcBorders>
              <w:top w:val="nil"/>
              <w:left w:val="nil"/>
              <w:bottom w:val="nil"/>
              <w:right w:val="nil"/>
            </w:tcBorders>
            <w:shd w:val="clear" w:color="auto" w:fill="auto"/>
          </w:tcPr>
          <w:p w:rsidR="005D569B" w:rsidRPr="00CD3A2D" w:rsidRDefault="005D569B" w:rsidP="005D569B">
            <w:pPr>
              <w:tabs>
                <w:tab w:val="right" w:pos="1202"/>
              </w:tabs>
              <w:spacing w:line="301" w:lineRule="exact"/>
              <w:jc w:val="right"/>
              <w:outlineLvl w:val="0"/>
              <w:rPr>
                <w:rFonts w:ascii="Calibri" w:hAnsi="Calibri" w:cs="Calibri"/>
                <w:snapToGrid w:val="0"/>
                <w:sz w:val="20"/>
                <w:szCs w:val="20"/>
                <w:lang w:val="hr-HR"/>
              </w:rPr>
            </w:pPr>
            <w:r w:rsidRPr="00CD3A2D">
              <w:rPr>
                <w:rFonts w:ascii="Calibri" w:hAnsi="Calibri" w:cs="Calibri"/>
                <w:sz w:val="20"/>
                <w:szCs w:val="20"/>
                <w:lang w:val="hr-HR"/>
              </w:rPr>
              <w:t xml:space="preserve"> 261.925 </w:t>
            </w:r>
          </w:p>
        </w:tc>
      </w:tr>
      <w:tr w:rsidR="005D569B" w:rsidRPr="001567C8" w:rsidTr="00964345">
        <w:trPr>
          <w:trHeight w:val="307"/>
        </w:trPr>
        <w:tc>
          <w:tcPr>
            <w:tcW w:w="3402" w:type="dxa"/>
            <w:vAlign w:val="bottom"/>
          </w:tcPr>
          <w:p w:rsidR="005D569B" w:rsidRPr="00CD3A2D" w:rsidRDefault="005D569B" w:rsidP="005D569B">
            <w:pPr>
              <w:tabs>
                <w:tab w:val="right" w:pos="1202"/>
              </w:tabs>
              <w:outlineLvl w:val="0"/>
              <w:rPr>
                <w:rFonts w:ascii="Calibri" w:hAnsi="Calibri" w:cs="Arial"/>
                <w:sz w:val="20"/>
                <w:szCs w:val="20"/>
                <w:lang w:val="hr-HR"/>
              </w:rPr>
            </w:pPr>
            <w:r w:rsidRPr="00CD3A2D">
              <w:rPr>
                <w:rFonts w:ascii="Calibri" w:hAnsi="Calibri"/>
                <w:sz w:val="20"/>
                <w:szCs w:val="20"/>
                <w:lang w:val="hr-HR"/>
              </w:rPr>
              <w:t>Krediti financijskim institucijama</w:t>
            </w:r>
          </w:p>
        </w:tc>
        <w:tc>
          <w:tcPr>
            <w:tcW w:w="1205" w:type="dxa"/>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9.487.169 </w:t>
            </w:r>
          </w:p>
        </w:tc>
        <w:tc>
          <w:tcPr>
            <w:tcW w:w="1205" w:type="dxa"/>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9.487.169 </w:t>
            </w:r>
          </w:p>
        </w:tc>
        <w:tc>
          <w:tcPr>
            <w:tcW w:w="1706" w:type="dxa"/>
            <w:tcBorders>
              <w:top w:val="nil"/>
              <w:left w:val="nil"/>
              <w:bottom w:val="nil"/>
              <w:right w:val="nil"/>
            </w:tcBorders>
            <w:shd w:val="clear" w:color="auto" w:fill="auto"/>
          </w:tcPr>
          <w:p w:rsidR="005D569B" w:rsidRPr="00CD3A2D" w:rsidRDefault="005D569B" w:rsidP="005D569B">
            <w:pPr>
              <w:tabs>
                <w:tab w:val="right" w:pos="1202"/>
              </w:tabs>
              <w:spacing w:line="301" w:lineRule="exact"/>
              <w:jc w:val="right"/>
              <w:outlineLvl w:val="0"/>
              <w:rPr>
                <w:rFonts w:ascii="Calibri" w:hAnsi="Calibri" w:cs="Calibri"/>
                <w:snapToGrid w:val="0"/>
                <w:sz w:val="20"/>
                <w:szCs w:val="20"/>
                <w:lang w:val="hr-HR"/>
              </w:rPr>
            </w:pPr>
            <w:r w:rsidRPr="00CD3A2D">
              <w:rPr>
                <w:rFonts w:ascii="Calibri" w:hAnsi="Calibri" w:cs="Calibri"/>
                <w:sz w:val="20"/>
                <w:szCs w:val="20"/>
                <w:lang w:val="hr-HR"/>
              </w:rPr>
              <w:t xml:space="preserve"> 10.234.988 </w:t>
            </w:r>
          </w:p>
        </w:tc>
      </w:tr>
      <w:tr w:rsidR="005D569B" w:rsidRPr="001567C8" w:rsidTr="00964345">
        <w:trPr>
          <w:trHeight w:val="297"/>
        </w:trPr>
        <w:tc>
          <w:tcPr>
            <w:tcW w:w="3402" w:type="dxa"/>
            <w:vAlign w:val="bottom"/>
          </w:tcPr>
          <w:p w:rsidR="005D569B" w:rsidRPr="00CD3A2D" w:rsidRDefault="005D569B" w:rsidP="005D569B">
            <w:pPr>
              <w:tabs>
                <w:tab w:val="right" w:pos="1202"/>
              </w:tabs>
              <w:outlineLvl w:val="0"/>
              <w:rPr>
                <w:rFonts w:ascii="Calibri" w:hAnsi="Calibri" w:cs="Arial"/>
                <w:sz w:val="20"/>
                <w:szCs w:val="20"/>
                <w:lang w:val="hr-HR"/>
              </w:rPr>
            </w:pPr>
            <w:r w:rsidRPr="00CD3A2D">
              <w:rPr>
                <w:rFonts w:ascii="Calibri" w:hAnsi="Calibri"/>
                <w:sz w:val="20"/>
                <w:szCs w:val="20"/>
                <w:lang w:val="hr-HR"/>
              </w:rPr>
              <w:t>Krediti ostalim korisnicima</w:t>
            </w:r>
          </w:p>
        </w:tc>
        <w:tc>
          <w:tcPr>
            <w:tcW w:w="1205" w:type="dxa"/>
            <w:tcBorders>
              <w:bottom w:val="single" w:sz="4" w:space="0" w:color="auto"/>
            </w:tcBorders>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Borders>
              <w:bottom w:val="single" w:sz="4" w:space="0" w:color="auto"/>
            </w:tcBorders>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Borders>
              <w:bottom w:val="single" w:sz="4" w:space="0" w:color="auto"/>
            </w:tcBorders>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15.768.096 </w:t>
            </w:r>
          </w:p>
        </w:tc>
        <w:tc>
          <w:tcPr>
            <w:tcW w:w="1205" w:type="dxa"/>
            <w:tcBorders>
              <w:bottom w:val="single" w:sz="4" w:space="0" w:color="auto"/>
            </w:tcBorders>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15.768.096 </w:t>
            </w:r>
          </w:p>
        </w:tc>
        <w:tc>
          <w:tcPr>
            <w:tcW w:w="1706" w:type="dxa"/>
            <w:tcBorders>
              <w:top w:val="nil"/>
              <w:left w:val="nil"/>
              <w:bottom w:val="single" w:sz="4" w:space="0" w:color="auto"/>
              <w:right w:val="nil"/>
            </w:tcBorders>
            <w:shd w:val="clear" w:color="auto" w:fill="auto"/>
          </w:tcPr>
          <w:p w:rsidR="005D569B" w:rsidRPr="00CD3A2D" w:rsidRDefault="005D569B" w:rsidP="005D569B">
            <w:pPr>
              <w:tabs>
                <w:tab w:val="right" w:pos="1202"/>
              </w:tabs>
              <w:spacing w:line="301" w:lineRule="exact"/>
              <w:jc w:val="right"/>
              <w:outlineLvl w:val="0"/>
              <w:rPr>
                <w:rFonts w:ascii="Calibri" w:hAnsi="Calibri" w:cs="Calibri"/>
                <w:spacing w:val="-2"/>
                <w:sz w:val="20"/>
                <w:szCs w:val="20"/>
                <w:lang w:val="hr-HR"/>
              </w:rPr>
            </w:pPr>
            <w:r w:rsidRPr="00CD3A2D">
              <w:rPr>
                <w:rFonts w:ascii="Calibri" w:hAnsi="Calibri" w:cs="Calibri"/>
                <w:sz w:val="20"/>
                <w:szCs w:val="20"/>
                <w:lang w:val="hr-HR"/>
              </w:rPr>
              <w:t xml:space="preserve"> 12.510.686 </w:t>
            </w:r>
          </w:p>
        </w:tc>
      </w:tr>
      <w:tr w:rsidR="005D569B" w:rsidRPr="001567C8" w:rsidTr="00964345">
        <w:trPr>
          <w:trHeight w:val="297"/>
        </w:trPr>
        <w:tc>
          <w:tcPr>
            <w:tcW w:w="3402" w:type="dxa"/>
            <w:vAlign w:val="bottom"/>
          </w:tcPr>
          <w:p w:rsidR="005D569B" w:rsidRPr="00CD3A2D" w:rsidRDefault="005D569B" w:rsidP="005D569B">
            <w:pPr>
              <w:tabs>
                <w:tab w:val="right" w:pos="1202"/>
              </w:tabs>
              <w:outlineLvl w:val="0"/>
              <w:rPr>
                <w:rFonts w:ascii="Calibri" w:hAnsi="Calibri"/>
                <w:sz w:val="20"/>
                <w:szCs w:val="20"/>
                <w:lang w:val="hr-HR"/>
              </w:rPr>
            </w:pPr>
          </w:p>
        </w:tc>
        <w:tc>
          <w:tcPr>
            <w:tcW w:w="1205" w:type="dxa"/>
            <w:tcBorders>
              <w:top w:val="single" w:sz="4" w:space="0" w:color="auto"/>
            </w:tcBorders>
          </w:tcPr>
          <w:p w:rsidR="005D569B" w:rsidRPr="00CD3A2D" w:rsidRDefault="005D569B" w:rsidP="005D569B">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944.417</w:t>
            </w:r>
          </w:p>
        </w:tc>
        <w:tc>
          <w:tcPr>
            <w:tcW w:w="1205" w:type="dxa"/>
            <w:tcBorders>
              <w:top w:val="single" w:sz="4" w:space="0" w:color="auto"/>
            </w:tcBorders>
          </w:tcPr>
          <w:p w:rsidR="005D569B" w:rsidRPr="00CD3A2D" w:rsidRDefault="005D569B" w:rsidP="005D569B">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 xml:space="preserve"> 261.925 </w:t>
            </w:r>
          </w:p>
        </w:tc>
        <w:tc>
          <w:tcPr>
            <w:tcW w:w="1205" w:type="dxa"/>
            <w:tcBorders>
              <w:top w:val="single" w:sz="4" w:space="0" w:color="auto"/>
            </w:tcBorders>
          </w:tcPr>
          <w:p w:rsidR="005D569B" w:rsidRPr="00CD3A2D" w:rsidRDefault="005D569B" w:rsidP="005D569B">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 xml:space="preserve"> 25.255.265 </w:t>
            </w:r>
          </w:p>
        </w:tc>
        <w:tc>
          <w:tcPr>
            <w:tcW w:w="1205" w:type="dxa"/>
            <w:tcBorders>
              <w:top w:val="single" w:sz="4" w:space="0" w:color="auto"/>
            </w:tcBorders>
          </w:tcPr>
          <w:p w:rsidR="005D569B" w:rsidRPr="00CD3A2D" w:rsidRDefault="005D569B" w:rsidP="005D569B">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 xml:space="preserve"> 26.461.607 </w:t>
            </w:r>
          </w:p>
        </w:tc>
        <w:tc>
          <w:tcPr>
            <w:tcW w:w="1706" w:type="dxa"/>
            <w:tcBorders>
              <w:top w:val="single" w:sz="4" w:space="0" w:color="auto"/>
              <w:left w:val="nil"/>
              <w:bottom w:val="nil"/>
              <w:right w:val="nil"/>
            </w:tcBorders>
            <w:shd w:val="clear" w:color="auto" w:fill="auto"/>
          </w:tcPr>
          <w:p w:rsidR="005D569B" w:rsidRPr="00CD3A2D" w:rsidRDefault="005D569B" w:rsidP="005D569B">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23.952.016</w:t>
            </w:r>
          </w:p>
        </w:tc>
      </w:tr>
      <w:tr w:rsidR="005D569B" w:rsidRPr="001567C8" w:rsidTr="00964345">
        <w:trPr>
          <w:trHeight w:hRule="exact" w:val="104"/>
        </w:trPr>
        <w:tc>
          <w:tcPr>
            <w:tcW w:w="3402" w:type="dxa"/>
            <w:vAlign w:val="bottom"/>
          </w:tcPr>
          <w:p w:rsidR="005D569B" w:rsidRPr="00CD3A2D" w:rsidRDefault="005D569B" w:rsidP="005D569B">
            <w:pPr>
              <w:keepNext/>
              <w:keepLines/>
              <w:tabs>
                <w:tab w:val="decimal" w:pos="1202"/>
              </w:tabs>
              <w:rPr>
                <w:rFonts w:ascii="Calibri" w:hAnsi="Calibri" w:cs="Arial"/>
                <w:b/>
                <w:position w:val="4"/>
                <w:sz w:val="20"/>
                <w:szCs w:val="20"/>
                <w:u w:val="thick"/>
                <w:lang w:val="hr-HR"/>
              </w:rPr>
            </w:pPr>
          </w:p>
        </w:tc>
        <w:tc>
          <w:tcPr>
            <w:tcW w:w="1205" w:type="dxa"/>
            <w:tcBorders>
              <w:top w:val="single" w:sz="12" w:space="0" w:color="auto"/>
            </w:tcBorders>
            <w:vAlign w:val="bottom"/>
          </w:tcPr>
          <w:p w:rsidR="005D569B" w:rsidRPr="00CD3A2D" w:rsidRDefault="005D569B" w:rsidP="005D569B">
            <w:pPr>
              <w:keepNext/>
              <w:keepLines/>
              <w:tabs>
                <w:tab w:val="decimal" w:pos="1060"/>
              </w:tabs>
              <w:jc w:val="right"/>
              <w:rPr>
                <w:rFonts w:ascii="Calibri" w:hAnsi="Calibri" w:cs="Arial"/>
                <w:b/>
                <w:position w:val="4"/>
                <w:sz w:val="20"/>
                <w:szCs w:val="20"/>
                <w:u w:val="thick"/>
                <w:lang w:val="hr-HR"/>
              </w:rPr>
            </w:pPr>
          </w:p>
        </w:tc>
        <w:tc>
          <w:tcPr>
            <w:tcW w:w="1205" w:type="dxa"/>
            <w:tcBorders>
              <w:top w:val="single" w:sz="12" w:space="0" w:color="auto"/>
            </w:tcBorders>
            <w:vAlign w:val="bottom"/>
          </w:tcPr>
          <w:p w:rsidR="005D569B" w:rsidRPr="00CD3A2D" w:rsidRDefault="005D569B" w:rsidP="005D569B">
            <w:pPr>
              <w:keepNext/>
              <w:keepLines/>
              <w:tabs>
                <w:tab w:val="decimal" w:pos="1060"/>
              </w:tabs>
              <w:jc w:val="right"/>
              <w:rPr>
                <w:rFonts w:ascii="Calibri" w:hAnsi="Calibri" w:cs="Arial"/>
                <w:b/>
                <w:position w:val="4"/>
                <w:sz w:val="20"/>
                <w:szCs w:val="20"/>
                <w:u w:val="thick"/>
                <w:lang w:val="hr-HR"/>
              </w:rPr>
            </w:pPr>
          </w:p>
        </w:tc>
        <w:tc>
          <w:tcPr>
            <w:tcW w:w="1205" w:type="dxa"/>
            <w:tcBorders>
              <w:top w:val="single" w:sz="12" w:space="0" w:color="auto"/>
            </w:tcBorders>
            <w:vAlign w:val="bottom"/>
          </w:tcPr>
          <w:p w:rsidR="005D569B" w:rsidRPr="00CD3A2D" w:rsidRDefault="005D569B" w:rsidP="005D569B">
            <w:pPr>
              <w:keepNext/>
              <w:keepLines/>
              <w:tabs>
                <w:tab w:val="decimal" w:pos="1060"/>
              </w:tabs>
              <w:jc w:val="right"/>
              <w:rPr>
                <w:rFonts w:ascii="Calibri" w:hAnsi="Calibri" w:cs="Arial"/>
                <w:b/>
                <w:position w:val="4"/>
                <w:sz w:val="20"/>
                <w:szCs w:val="20"/>
                <w:u w:val="thick"/>
                <w:lang w:val="hr-HR"/>
              </w:rPr>
            </w:pPr>
          </w:p>
        </w:tc>
        <w:tc>
          <w:tcPr>
            <w:tcW w:w="1205" w:type="dxa"/>
            <w:tcBorders>
              <w:top w:val="single" w:sz="12" w:space="0" w:color="auto"/>
            </w:tcBorders>
            <w:vAlign w:val="bottom"/>
          </w:tcPr>
          <w:p w:rsidR="005D569B" w:rsidRPr="00CD3A2D" w:rsidRDefault="005D569B" w:rsidP="005D569B">
            <w:pPr>
              <w:keepNext/>
              <w:keepLines/>
              <w:tabs>
                <w:tab w:val="decimal" w:pos="1060"/>
              </w:tabs>
              <w:jc w:val="right"/>
              <w:rPr>
                <w:rFonts w:ascii="Calibri" w:hAnsi="Calibri" w:cs="Arial"/>
                <w:b/>
                <w:position w:val="4"/>
                <w:sz w:val="20"/>
                <w:szCs w:val="20"/>
                <w:u w:val="thick"/>
                <w:lang w:val="hr-HR"/>
              </w:rPr>
            </w:pPr>
          </w:p>
        </w:tc>
        <w:tc>
          <w:tcPr>
            <w:tcW w:w="1706" w:type="dxa"/>
            <w:tcBorders>
              <w:top w:val="single" w:sz="12" w:space="0" w:color="auto"/>
            </w:tcBorders>
            <w:vAlign w:val="bottom"/>
          </w:tcPr>
          <w:p w:rsidR="005D569B" w:rsidRPr="00CD3A2D" w:rsidRDefault="005D569B" w:rsidP="005D569B">
            <w:pPr>
              <w:keepNext/>
              <w:keepLines/>
              <w:tabs>
                <w:tab w:val="decimal" w:pos="1060"/>
              </w:tabs>
              <w:jc w:val="right"/>
              <w:rPr>
                <w:rFonts w:ascii="Calibri" w:hAnsi="Calibri" w:cs="Arial"/>
                <w:b/>
                <w:position w:val="4"/>
                <w:sz w:val="20"/>
                <w:szCs w:val="20"/>
                <w:u w:val="thick"/>
                <w:lang w:val="hr-HR"/>
              </w:rPr>
            </w:pPr>
          </w:p>
        </w:tc>
      </w:tr>
      <w:tr w:rsidR="005D569B" w:rsidRPr="001567C8" w:rsidTr="00964345">
        <w:trPr>
          <w:trHeight w:val="307"/>
        </w:trPr>
        <w:tc>
          <w:tcPr>
            <w:tcW w:w="3402" w:type="dxa"/>
            <w:vAlign w:val="bottom"/>
          </w:tcPr>
          <w:p w:rsidR="005D569B" w:rsidRPr="00CD3A2D" w:rsidRDefault="005D569B" w:rsidP="005D569B">
            <w:pPr>
              <w:tabs>
                <w:tab w:val="right" w:pos="1202"/>
              </w:tabs>
              <w:outlineLvl w:val="0"/>
              <w:rPr>
                <w:rFonts w:ascii="Calibri" w:hAnsi="Calibri" w:cs="Arial"/>
                <w:b/>
                <w:bCs/>
                <w:sz w:val="20"/>
                <w:szCs w:val="20"/>
                <w:lang w:val="hr-HR"/>
              </w:rPr>
            </w:pPr>
            <w:r w:rsidRPr="00CD3A2D">
              <w:rPr>
                <w:rFonts w:ascii="Calibri" w:eastAsia="Calibri" w:hAnsi="Calibri" w:cs="Arial"/>
                <w:b/>
                <w:bCs/>
                <w:sz w:val="20"/>
                <w:szCs w:val="20"/>
                <w:lang w:val="hr-HR"/>
              </w:rPr>
              <w:t>Obveze</w:t>
            </w:r>
          </w:p>
        </w:tc>
        <w:tc>
          <w:tcPr>
            <w:tcW w:w="1205" w:type="dxa"/>
            <w:vAlign w:val="bottom"/>
          </w:tcPr>
          <w:p w:rsidR="005D569B" w:rsidRPr="00CD3A2D" w:rsidRDefault="005D569B" w:rsidP="005D569B">
            <w:pPr>
              <w:tabs>
                <w:tab w:val="right" w:pos="1202"/>
              </w:tabs>
              <w:jc w:val="right"/>
              <w:outlineLvl w:val="0"/>
              <w:rPr>
                <w:rFonts w:ascii="Calibri" w:hAnsi="Calibri" w:cs="Arial"/>
                <w:b/>
                <w:bCs/>
                <w:sz w:val="20"/>
                <w:szCs w:val="20"/>
                <w:lang w:val="hr-HR"/>
              </w:rPr>
            </w:pPr>
          </w:p>
        </w:tc>
        <w:tc>
          <w:tcPr>
            <w:tcW w:w="1205" w:type="dxa"/>
            <w:vAlign w:val="bottom"/>
          </w:tcPr>
          <w:p w:rsidR="005D569B" w:rsidRPr="00CD3A2D" w:rsidRDefault="005D569B" w:rsidP="005D569B">
            <w:pPr>
              <w:tabs>
                <w:tab w:val="right" w:pos="1202"/>
              </w:tabs>
              <w:jc w:val="right"/>
              <w:outlineLvl w:val="0"/>
              <w:rPr>
                <w:rFonts w:ascii="Calibri" w:hAnsi="Calibri" w:cs="Arial"/>
                <w:b/>
                <w:bCs/>
                <w:sz w:val="20"/>
                <w:szCs w:val="20"/>
                <w:lang w:val="hr-HR"/>
              </w:rPr>
            </w:pPr>
          </w:p>
        </w:tc>
        <w:tc>
          <w:tcPr>
            <w:tcW w:w="1205" w:type="dxa"/>
            <w:vAlign w:val="bottom"/>
          </w:tcPr>
          <w:p w:rsidR="005D569B" w:rsidRPr="00CD3A2D" w:rsidRDefault="005D569B" w:rsidP="005D569B">
            <w:pPr>
              <w:tabs>
                <w:tab w:val="right" w:pos="1202"/>
              </w:tabs>
              <w:jc w:val="right"/>
              <w:outlineLvl w:val="0"/>
              <w:rPr>
                <w:rFonts w:ascii="Calibri" w:hAnsi="Calibri" w:cs="Arial"/>
                <w:b/>
                <w:bCs/>
                <w:sz w:val="20"/>
                <w:szCs w:val="20"/>
                <w:lang w:val="hr-HR"/>
              </w:rPr>
            </w:pPr>
          </w:p>
        </w:tc>
        <w:tc>
          <w:tcPr>
            <w:tcW w:w="1205" w:type="dxa"/>
            <w:vAlign w:val="bottom"/>
          </w:tcPr>
          <w:p w:rsidR="005D569B" w:rsidRPr="00CD3A2D" w:rsidRDefault="005D569B" w:rsidP="005D569B">
            <w:pPr>
              <w:tabs>
                <w:tab w:val="right" w:pos="1202"/>
              </w:tabs>
              <w:jc w:val="right"/>
              <w:outlineLvl w:val="0"/>
              <w:rPr>
                <w:rFonts w:ascii="Calibri" w:hAnsi="Calibri" w:cs="Arial"/>
                <w:b/>
                <w:bCs/>
                <w:sz w:val="20"/>
                <w:szCs w:val="20"/>
                <w:lang w:val="hr-HR"/>
              </w:rPr>
            </w:pPr>
          </w:p>
        </w:tc>
        <w:tc>
          <w:tcPr>
            <w:tcW w:w="1706" w:type="dxa"/>
            <w:vAlign w:val="bottom"/>
          </w:tcPr>
          <w:p w:rsidR="005D569B" w:rsidRPr="00CD3A2D" w:rsidRDefault="005D569B" w:rsidP="005D569B">
            <w:pPr>
              <w:tabs>
                <w:tab w:val="right" w:pos="1202"/>
              </w:tabs>
              <w:jc w:val="right"/>
              <w:outlineLvl w:val="0"/>
              <w:rPr>
                <w:rFonts w:ascii="Calibri" w:hAnsi="Calibri" w:cs="Arial"/>
                <w:b/>
                <w:bCs/>
                <w:sz w:val="20"/>
                <w:szCs w:val="20"/>
                <w:lang w:val="hr-HR"/>
              </w:rPr>
            </w:pPr>
          </w:p>
        </w:tc>
      </w:tr>
      <w:tr w:rsidR="005D569B" w:rsidRPr="001567C8" w:rsidTr="00964345">
        <w:trPr>
          <w:trHeight w:val="297"/>
        </w:trPr>
        <w:tc>
          <w:tcPr>
            <w:tcW w:w="3402" w:type="dxa"/>
            <w:tcBorders>
              <w:top w:val="nil"/>
              <w:left w:val="nil"/>
              <w:bottom w:val="nil"/>
              <w:right w:val="nil"/>
            </w:tcBorders>
            <w:shd w:val="clear" w:color="auto" w:fill="auto"/>
            <w:vAlign w:val="bottom"/>
          </w:tcPr>
          <w:p w:rsidR="005D569B" w:rsidRPr="00CD3A2D" w:rsidRDefault="005D569B" w:rsidP="005D569B">
            <w:pPr>
              <w:tabs>
                <w:tab w:val="right" w:pos="1202"/>
              </w:tabs>
              <w:outlineLvl w:val="0"/>
              <w:rPr>
                <w:rFonts w:ascii="Calibri" w:hAnsi="Calibri" w:cs="Arial"/>
                <w:sz w:val="20"/>
                <w:szCs w:val="20"/>
                <w:lang w:val="hr-HR"/>
              </w:rPr>
            </w:pPr>
            <w:r w:rsidRPr="00CD3A2D">
              <w:rPr>
                <w:rFonts w:ascii="Calibri" w:hAnsi="Calibri"/>
                <w:color w:val="000000"/>
                <w:sz w:val="20"/>
                <w:szCs w:val="20"/>
                <w:lang w:val="hr-HR"/>
              </w:rPr>
              <w:t>Obveze po depozitima</w:t>
            </w:r>
          </w:p>
        </w:tc>
        <w:tc>
          <w:tcPr>
            <w:tcW w:w="1205" w:type="dxa"/>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429.096 </w:t>
            </w:r>
          </w:p>
        </w:tc>
        <w:tc>
          <w:tcPr>
            <w:tcW w:w="1205" w:type="dxa"/>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429.096 </w:t>
            </w:r>
          </w:p>
        </w:tc>
        <w:tc>
          <w:tcPr>
            <w:tcW w:w="1706" w:type="dxa"/>
            <w:tcBorders>
              <w:top w:val="nil"/>
              <w:left w:val="nil"/>
              <w:bottom w:val="nil"/>
              <w:right w:val="nil"/>
            </w:tcBorders>
            <w:shd w:val="clear" w:color="auto" w:fill="auto"/>
          </w:tcPr>
          <w:p w:rsidR="005D569B" w:rsidRPr="00CD3A2D" w:rsidRDefault="005D569B" w:rsidP="005D569B">
            <w:pPr>
              <w:tabs>
                <w:tab w:val="right" w:pos="1202"/>
              </w:tabs>
              <w:spacing w:line="301" w:lineRule="exact"/>
              <w:jc w:val="right"/>
              <w:outlineLvl w:val="0"/>
              <w:rPr>
                <w:rFonts w:ascii="Calibri" w:hAnsi="Calibri" w:cs="Calibri"/>
                <w:sz w:val="20"/>
                <w:szCs w:val="20"/>
                <w:lang w:val="hr-HR"/>
              </w:rPr>
            </w:pPr>
            <w:r w:rsidRPr="00CD3A2D">
              <w:rPr>
                <w:rFonts w:ascii="Calibri" w:hAnsi="Calibri" w:cs="Calibri"/>
                <w:sz w:val="20"/>
                <w:szCs w:val="20"/>
                <w:lang w:val="hr-HR"/>
              </w:rPr>
              <w:t xml:space="preserve"> 429.096 </w:t>
            </w:r>
          </w:p>
        </w:tc>
      </w:tr>
      <w:tr w:rsidR="005D569B" w:rsidRPr="001567C8" w:rsidTr="00964345">
        <w:trPr>
          <w:trHeight w:val="297"/>
        </w:trPr>
        <w:tc>
          <w:tcPr>
            <w:tcW w:w="3402" w:type="dxa"/>
            <w:tcBorders>
              <w:top w:val="nil"/>
              <w:left w:val="nil"/>
              <w:bottom w:val="nil"/>
              <w:right w:val="nil"/>
            </w:tcBorders>
            <w:shd w:val="clear" w:color="auto" w:fill="auto"/>
            <w:vAlign w:val="bottom"/>
          </w:tcPr>
          <w:p w:rsidR="005D569B" w:rsidRPr="00CD3A2D" w:rsidRDefault="005D569B" w:rsidP="005D569B">
            <w:pPr>
              <w:tabs>
                <w:tab w:val="right" w:pos="1202"/>
              </w:tabs>
              <w:outlineLvl w:val="0"/>
              <w:rPr>
                <w:rFonts w:ascii="Calibri" w:hAnsi="Calibri" w:cs="Arial"/>
                <w:sz w:val="20"/>
                <w:szCs w:val="20"/>
                <w:lang w:val="hr-HR"/>
              </w:rPr>
            </w:pPr>
            <w:r w:rsidRPr="00CD3A2D">
              <w:rPr>
                <w:rFonts w:ascii="Calibri" w:hAnsi="Calibri"/>
                <w:color w:val="000000"/>
                <w:sz w:val="20"/>
                <w:szCs w:val="20"/>
                <w:lang w:val="hr-HR"/>
              </w:rPr>
              <w:t>Obveze po kreditima</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15.454.821</w:t>
            </w:r>
          </w:p>
        </w:tc>
        <w:tc>
          <w:tcPr>
            <w:tcW w:w="1205" w:type="dxa"/>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15.454.821</w:t>
            </w:r>
          </w:p>
        </w:tc>
        <w:tc>
          <w:tcPr>
            <w:tcW w:w="1706" w:type="dxa"/>
            <w:tcBorders>
              <w:top w:val="nil"/>
              <w:left w:val="nil"/>
              <w:bottom w:val="nil"/>
              <w:right w:val="nil"/>
            </w:tcBorders>
            <w:shd w:val="clear" w:color="auto" w:fill="auto"/>
          </w:tcPr>
          <w:p w:rsidR="005D569B" w:rsidRPr="00CD3A2D" w:rsidRDefault="005D569B" w:rsidP="005D569B">
            <w:pPr>
              <w:tabs>
                <w:tab w:val="right" w:pos="1202"/>
              </w:tabs>
              <w:spacing w:line="301" w:lineRule="exact"/>
              <w:jc w:val="right"/>
              <w:outlineLvl w:val="0"/>
              <w:rPr>
                <w:rFonts w:ascii="Calibri" w:hAnsi="Calibri" w:cs="Calibri"/>
                <w:sz w:val="20"/>
                <w:szCs w:val="20"/>
                <w:lang w:val="hr-HR"/>
              </w:rPr>
            </w:pPr>
            <w:r w:rsidRPr="00CD3A2D">
              <w:rPr>
                <w:rFonts w:ascii="Calibri" w:hAnsi="Calibri" w:cs="Calibri"/>
                <w:sz w:val="20"/>
                <w:szCs w:val="20"/>
                <w:lang w:val="hr-HR"/>
              </w:rPr>
              <w:t xml:space="preserve"> 14.877.987 </w:t>
            </w:r>
          </w:p>
        </w:tc>
      </w:tr>
      <w:tr w:rsidR="005D569B" w:rsidRPr="001567C8" w:rsidTr="00964345">
        <w:trPr>
          <w:trHeight w:val="297"/>
        </w:trPr>
        <w:tc>
          <w:tcPr>
            <w:tcW w:w="3402" w:type="dxa"/>
            <w:tcBorders>
              <w:top w:val="nil"/>
              <w:left w:val="nil"/>
              <w:bottom w:val="nil"/>
              <w:right w:val="nil"/>
            </w:tcBorders>
            <w:shd w:val="clear" w:color="auto" w:fill="auto"/>
            <w:vAlign w:val="bottom"/>
          </w:tcPr>
          <w:p w:rsidR="005D569B" w:rsidRPr="00CD3A2D" w:rsidRDefault="005D569B" w:rsidP="005D569B">
            <w:pPr>
              <w:tabs>
                <w:tab w:val="right" w:pos="1202"/>
              </w:tabs>
              <w:outlineLvl w:val="0"/>
              <w:rPr>
                <w:rFonts w:ascii="Calibri" w:hAnsi="Calibri" w:cs="Arial"/>
                <w:sz w:val="20"/>
                <w:szCs w:val="20"/>
                <w:lang w:val="hr-HR"/>
              </w:rPr>
            </w:pPr>
            <w:r w:rsidRPr="00CD3A2D">
              <w:rPr>
                <w:rFonts w:ascii="Calibri" w:hAnsi="Calibri"/>
                <w:color w:val="000000"/>
                <w:sz w:val="20"/>
                <w:szCs w:val="20"/>
                <w:lang w:val="hr-HR"/>
              </w:rPr>
              <w:t>Obveze za izdane dugoročne vrijednosne papire</w:t>
            </w:r>
          </w:p>
        </w:tc>
        <w:tc>
          <w:tcPr>
            <w:tcW w:w="1205" w:type="dxa"/>
            <w:tcBorders>
              <w:bottom w:val="single" w:sz="4" w:space="0" w:color="auto"/>
            </w:tcBorders>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w:t>
            </w:r>
          </w:p>
        </w:tc>
        <w:tc>
          <w:tcPr>
            <w:tcW w:w="1205" w:type="dxa"/>
            <w:tcBorders>
              <w:bottom w:val="single" w:sz="4" w:space="0" w:color="auto"/>
            </w:tcBorders>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1.190.721  </w:t>
            </w:r>
          </w:p>
        </w:tc>
        <w:tc>
          <w:tcPr>
            <w:tcW w:w="1205" w:type="dxa"/>
            <w:tcBorders>
              <w:bottom w:val="single" w:sz="4" w:space="0" w:color="auto"/>
            </w:tcBorders>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Borders>
              <w:bottom w:val="single" w:sz="4" w:space="0" w:color="auto"/>
            </w:tcBorders>
            <w:vAlign w:val="bottom"/>
          </w:tcPr>
          <w:p w:rsidR="005D569B" w:rsidRPr="00CD3A2D" w:rsidRDefault="005D569B" w:rsidP="005D569B">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1.190.721 </w:t>
            </w:r>
          </w:p>
        </w:tc>
        <w:tc>
          <w:tcPr>
            <w:tcW w:w="1706" w:type="dxa"/>
            <w:tcBorders>
              <w:top w:val="nil"/>
              <w:left w:val="nil"/>
              <w:bottom w:val="single" w:sz="4" w:space="0" w:color="auto"/>
              <w:right w:val="nil"/>
            </w:tcBorders>
            <w:shd w:val="clear" w:color="auto" w:fill="auto"/>
            <w:vAlign w:val="bottom"/>
          </w:tcPr>
          <w:p w:rsidR="005D569B" w:rsidRPr="00CD3A2D" w:rsidRDefault="005D569B" w:rsidP="005D569B">
            <w:pPr>
              <w:tabs>
                <w:tab w:val="right" w:pos="1202"/>
              </w:tabs>
              <w:spacing w:line="301" w:lineRule="exact"/>
              <w:jc w:val="right"/>
              <w:outlineLvl w:val="0"/>
              <w:rPr>
                <w:rFonts w:ascii="Calibri" w:hAnsi="Calibri" w:cs="Calibri"/>
                <w:sz w:val="20"/>
                <w:szCs w:val="20"/>
                <w:lang w:val="hr-HR"/>
              </w:rPr>
            </w:pPr>
            <w:r w:rsidRPr="00CD3A2D">
              <w:rPr>
                <w:rFonts w:ascii="Calibri" w:hAnsi="Calibri" w:cs="Calibri"/>
                <w:sz w:val="20"/>
                <w:szCs w:val="20"/>
                <w:lang w:val="hr-HR"/>
              </w:rPr>
              <w:t xml:space="preserve"> 1.150.557 </w:t>
            </w:r>
          </w:p>
        </w:tc>
      </w:tr>
      <w:tr w:rsidR="005D569B" w:rsidRPr="001567C8" w:rsidTr="00964345">
        <w:trPr>
          <w:trHeight w:val="297"/>
        </w:trPr>
        <w:tc>
          <w:tcPr>
            <w:tcW w:w="3402" w:type="dxa"/>
            <w:tcBorders>
              <w:top w:val="nil"/>
              <w:left w:val="nil"/>
              <w:bottom w:val="nil"/>
              <w:right w:val="nil"/>
            </w:tcBorders>
            <w:shd w:val="clear" w:color="auto" w:fill="auto"/>
            <w:vAlign w:val="bottom"/>
          </w:tcPr>
          <w:p w:rsidR="005D569B" w:rsidRPr="00CD3A2D" w:rsidRDefault="005D569B" w:rsidP="005D569B">
            <w:pPr>
              <w:tabs>
                <w:tab w:val="right" w:pos="1202"/>
              </w:tabs>
              <w:outlineLvl w:val="0"/>
              <w:rPr>
                <w:rFonts w:ascii="Calibri" w:hAnsi="Calibri"/>
                <w:color w:val="000000"/>
                <w:sz w:val="20"/>
                <w:szCs w:val="20"/>
                <w:lang w:val="hr-HR"/>
              </w:rPr>
            </w:pPr>
          </w:p>
        </w:tc>
        <w:tc>
          <w:tcPr>
            <w:tcW w:w="1205" w:type="dxa"/>
            <w:tcBorders>
              <w:top w:val="single" w:sz="4" w:space="0" w:color="auto"/>
              <w:bottom w:val="single" w:sz="12" w:space="0" w:color="auto"/>
            </w:tcBorders>
            <w:vAlign w:val="bottom"/>
          </w:tcPr>
          <w:p w:rsidR="005D569B" w:rsidRPr="00CD3A2D" w:rsidRDefault="005D569B" w:rsidP="005D569B">
            <w:pPr>
              <w:tabs>
                <w:tab w:val="right" w:pos="1202"/>
              </w:tabs>
              <w:spacing w:line="301" w:lineRule="exact"/>
              <w:jc w:val="right"/>
              <w:outlineLvl w:val="0"/>
              <w:rPr>
                <w:rFonts w:ascii="Calibri" w:hAnsi="Calibri" w:cs="Calibri"/>
                <w:b/>
                <w:color w:val="000000"/>
                <w:sz w:val="20"/>
                <w:szCs w:val="20"/>
                <w:lang w:val="hr-HR"/>
              </w:rPr>
            </w:pPr>
            <w:r w:rsidRPr="00CD3A2D">
              <w:rPr>
                <w:rFonts w:ascii="Calibri" w:hAnsi="Calibri" w:cs="Calibri"/>
                <w:b/>
                <w:color w:val="000000"/>
                <w:sz w:val="20"/>
                <w:szCs w:val="20"/>
                <w:lang w:val="hr-HR"/>
              </w:rPr>
              <w:t>-</w:t>
            </w:r>
          </w:p>
        </w:tc>
        <w:tc>
          <w:tcPr>
            <w:tcW w:w="1205" w:type="dxa"/>
            <w:tcBorders>
              <w:top w:val="single" w:sz="4" w:space="0" w:color="auto"/>
              <w:bottom w:val="single" w:sz="12" w:space="0" w:color="auto"/>
            </w:tcBorders>
            <w:vAlign w:val="bottom"/>
          </w:tcPr>
          <w:p w:rsidR="005D569B" w:rsidRPr="00CD3A2D" w:rsidRDefault="005D569B" w:rsidP="005D569B">
            <w:pPr>
              <w:tabs>
                <w:tab w:val="right" w:pos="1202"/>
              </w:tabs>
              <w:spacing w:line="301" w:lineRule="exact"/>
              <w:jc w:val="right"/>
              <w:outlineLvl w:val="0"/>
              <w:rPr>
                <w:rFonts w:ascii="Calibri" w:hAnsi="Calibri" w:cs="Calibri"/>
                <w:b/>
                <w:color w:val="000000"/>
                <w:sz w:val="20"/>
                <w:szCs w:val="20"/>
                <w:lang w:val="hr-HR"/>
              </w:rPr>
            </w:pPr>
            <w:r w:rsidRPr="00CD3A2D">
              <w:rPr>
                <w:rFonts w:ascii="Calibri" w:hAnsi="Calibri" w:cs="Calibri"/>
                <w:b/>
                <w:color w:val="000000"/>
                <w:sz w:val="20"/>
                <w:szCs w:val="20"/>
                <w:lang w:val="hr-HR"/>
              </w:rPr>
              <w:t>1.619.817</w:t>
            </w:r>
          </w:p>
        </w:tc>
        <w:tc>
          <w:tcPr>
            <w:tcW w:w="1205" w:type="dxa"/>
            <w:tcBorders>
              <w:top w:val="single" w:sz="4" w:space="0" w:color="auto"/>
              <w:bottom w:val="single" w:sz="12" w:space="0" w:color="auto"/>
            </w:tcBorders>
            <w:vAlign w:val="bottom"/>
          </w:tcPr>
          <w:p w:rsidR="005D569B" w:rsidRPr="00CD3A2D" w:rsidRDefault="005D569B" w:rsidP="005D569B">
            <w:pPr>
              <w:tabs>
                <w:tab w:val="right" w:pos="1202"/>
              </w:tabs>
              <w:spacing w:line="301" w:lineRule="exact"/>
              <w:jc w:val="right"/>
              <w:outlineLvl w:val="0"/>
              <w:rPr>
                <w:rFonts w:ascii="Calibri" w:hAnsi="Calibri" w:cs="Calibri"/>
                <w:b/>
                <w:color w:val="000000"/>
                <w:sz w:val="20"/>
                <w:szCs w:val="20"/>
                <w:lang w:val="hr-HR"/>
              </w:rPr>
            </w:pPr>
            <w:r w:rsidRPr="00CD3A2D">
              <w:rPr>
                <w:rFonts w:ascii="Calibri" w:hAnsi="Calibri" w:cs="Calibri"/>
                <w:b/>
                <w:color w:val="000000"/>
                <w:sz w:val="20"/>
                <w:szCs w:val="20"/>
                <w:lang w:val="hr-HR"/>
              </w:rPr>
              <w:t>15.454.821</w:t>
            </w:r>
          </w:p>
        </w:tc>
        <w:tc>
          <w:tcPr>
            <w:tcW w:w="1205" w:type="dxa"/>
            <w:tcBorders>
              <w:top w:val="single" w:sz="4" w:space="0" w:color="auto"/>
              <w:bottom w:val="single" w:sz="12" w:space="0" w:color="auto"/>
            </w:tcBorders>
            <w:vAlign w:val="bottom"/>
          </w:tcPr>
          <w:p w:rsidR="005D569B" w:rsidRPr="00CD3A2D" w:rsidRDefault="005D569B" w:rsidP="005D569B">
            <w:pPr>
              <w:tabs>
                <w:tab w:val="right" w:pos="1202"/>
              </w:tabs>
              <w:spacing w:line="301" w:lineRule="exact"/>
              <w:jc w:val="right"/>
              <w:outlineLvl w:val="0"/>
              <w:rPr>
                <w:rFonts w:ascii="Calibri" w:hAnsi="Calibri" w:cs="Calibri"/>
                <w:b/>
                <w:color w:val="000000"/>
                <w:sz w:val="20"/>
                <w:szCs w:val="20"/>
                <w:lang w:val="hr-HR"/>
              </w:rPr>
            </w:pPr>
            <w:r w:rsidRPr="00CD3A2D">
              <w:rPr>
                <w:rFonts w:ascii="Calibri" w:hAnsi="Calibri" w:cs="Calibri"/>
                <w:b/>
                <w:color w:val="000000"/>
                <w:sz w:val="20"/>
                <w:szCs w:val="20"/>
                <w:lang w:val="hr-HR"/>
              </w:rPr>
              <w:t>17.074.638</w:t>
            </w:r>
          </w:p>
        </w:tc>
        <w:tc>
          <w:tcPr>
            <w:tcW w:w="1706" w:type="dxa"/>
            <w:tcBorders>
              <w:top w:val="single" w:sz="4" w:space="0" w:color="auto"/>
              <w:left w:val="nil"/>
              <w:bottom w:val="single" w:sz="12" w:space="0" w:color="auto"/>
              <w:right w:val="nil"/>
            </w:tcBorders>
            <w:shd w:val="clear" w:color="auto" w:fill="auto"/>
          </w:tcPr>
          <w:p w:rsidR="005D569B" w:rsidRPr="00CD3A2D" w:rsidRDefault="005D569B" w:rsidP="005D569B">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16.457.640</w:t>
            </w:r>
          </w:p>
        </w:tc>
      </w:tr>
    </w:tbl>
    <w:p w:rsidR="00E50F2B" w:rsidRPr="001567C8" w:rsidRDefault="00E50F2B" w:rsidP="00964345">
      <w:pPr>
        <w:pStyle w:val="T1"/>
        <w:keepNext w:val="0"/>
        <w:spacing w:before="0" w:after="0" w:line="240" w:lineRule="auto"/>
        <w:rPr>
          <w:rFonts w:asciiTheme="minorHAnsi" w:hAnsiTheme="minorHAnsi" w:cs="Arial"/>
          <w:b w:val="0"/>
          <w:spacing w:val="-3"/>
          <w:sz w:val="16"/>
          <w:szCs w:val="16"/>
          <w:lang w:val="hr-HR"/>
        </w:rPr>
      </w:pPr>
    </w:p>
    <w:p w:rsidR="00457CAD" w:rsidRPr="001567C8" w:rsidRDefault="00457CAD" w:rsidP="00964345">
      <w:pPr>
        <w:pStyle w:val="T1"/>
        <w:keepNext w:val="0"/>
        <w:spacing w:before="0" w:after="0" w:line="240" w:lineRule="auto"/>
        <w:rPr>
          <w:rFonts w:asciiTheme="minorHAnsi" w:hAnsiTheme="minorHAnsi" w:cs="Arial"/>
          <w:b w:val="0"/>
          <w:spacing w:val="-3"/>
          <w:sz w:val="16"/>
          <w:szCs w:val="16"/>
          <w:lang w:val="hr-HR"/>
        </w:rPr>
      </w:pPr>
    </w:p>
    <w:p w:rsidR="00457CAD" w:rsidRPr="001567C8" w:rsidRDefault="00457CAD" w:rsidP="00964345">
      <w:pPr>
        <w:pStyle w:val="T1"/>
        <w:keepNext w:val="0"/>
        <w:spacing w:before="0" w:after="0" w:line="240" w:lineRule="auto"/>
        <w:rPr>
          <w:rFonts w:asciiTheme="minorHAnsi" w:hAnsiTheme="minorHAnsi" w:cs="Arial"/>
          <w:b w:val="0"/>
          <w:spacing w:val="-3"/>
          <w:sz w:val="16"/>
          <w:szCs w:val="16"/>
          <w:lang w:val="hr-HR"/>
        </w:rPr>
      </w:pPr>
    </w:p>
    <w:tbl>
      <w:tblPr>
        <w:tblpPr w:leftFromText="181" w:rightFromText="181" w:vertAnchor="text" w:horzAnchor="margin" w:tblpX="-284" w:tblpY="360"/>
        <w:tblW w:w="9928" w:type="dxa"/>
        <w:tblLayout w:type="fixed"/>
        <w:tblLook w:val="0000" w:firstRow="0" w:lastRow="0" w:firstColumn="0" w:lastColumn="0" w:noHBand="0" w:noVBand="0"/>
      </w:tblPr>
      <w:tblGrid>
        <w:gridCol w:w="3402"/>
        <w:gridCol w:w="1205"/>
        <w:gridCol w:w="1205"/>
        <w:gridCol w:w="1205"/>
        <w:gridCol w:w="1205"/>
        <w:gridCol w:w="1706"/>
      </w:tblGrid>
      <w:tr w:rsidR="000C1A40" w:rsidRPr="001567C8" w:rsidTr="006A0D4C">
        <w:trPr>
          <w:trHeight w:val="289"/>
        </w:trPr>
        <w:tc>
          <w:tcPr>
            <w:tcW w:w="3402" w:type="dxa"/>
            <w:vAlign w:val="bottom"/>
          </w:tcPr>
          <w:p w:rsidR="000C1A40" w:rsidRPr="00CD3A2D" w:rsidRDefault="00AD2EF7" w:rsidP="006A0D4C">
            <w:pPr>
              <w:rPr>
                <w:rFonts w:ascii="Calibri" w:hAnsi="Calibri" w:cs="Arial"/>
                <w:b/>
                <w:sz w:val="20"/>
                <w:szCs w:val="20"/>
                <w:lang w:val="hr-HR"/>
              </w:rPr>
            </w:pPr>
            <w:bookmarkStart w:id="83" w:name="_Hlk3901121"/>
            <w:r>
              <w:rPr>
                <w:rFonts w:ascii="Calibri" w:hAnsi="Calibri" w:cs="Arial"/>
                <w:b/>
                <w:sz w:val="20"/>
                <w:szCs w:val="20"/>
                <w:lang w:val="hr-HR"/>
              </w:rPr>
              <w:t>31. prosin</w:t>
            </w:r>
            <w:r w:rsidR="000C1A40" w:rsidRPr="00CD3A2D">
              <w:rPr>
                <w:rFonts w:ascii="Calibri" w:hAnsi="Calibri" w:cs="Arial"/>
                <w:b/>
                <w:sz w:val="20"/>
                <w:szCs w:val="20"/>
                <w:lang w:val="hr-HR"/>
              </w:rPr>
              <w:t>c</w:t>
            </w:r>
            <w:r>
              <w:rPr>
                <w:rFonts w:ascii="Calibri" w:hAnsi="Calibri" w:cs="Arial"/>
                <w:b/>
                <w:sz w:val="20"/>
                <w:szCs w:val="20"/>
                <w:lang w:val="hr-HR"/>
              </w:rPr>
              <w:t>a</w:t>
            </w:r>
            <w:r w:rsidR="000C1A40" w:rsidRPr="00CD3A2D">
              <w:rPr>
                <w:rFonts w:ascii="Calibri" w:hAnsi="Calibri" w:cs="Arial"/>
                <w:b/>
                <w:sz w:val="20"/>
                <w:szCs w:val="20"/>
                <w:lang w:val="hr-HR"/>
              </w:rPr>
              <w:t xml:space="preserve"> 2017. godina</w:t>
            </w:r>
          </w:p>
        </w:tc>
        <w:tc>
          <w:tcPr>
            <w:tcW w:w="1205" w:type="dxa"/>
            <w:shd w:val="clear" w:color="auto" w:fill="auto"/>
            <w:vAlign w:val="center"/>
          </w:tcPr>
          <w:p w:rsidR="000C1A40" w:rsidRPr="00CD3A2D" w:rsidRDefault="000C1A40" w:rsidP="006A0D4C">
            <w:pPr>
              <w:jc w:val="right"/>
              <w:rPr>
                <w:rFonts w:ascii="Calibri" w:hAnsi="Calibri" w:cs="Arial"/>
                <w:b/>
                <w:sz w:val="20"/>
                <w:szCs w:val="20"/>
                <w:lang w:val="hr-HR"/>
              </w:rPr>
            </w:pPr>
            <w:r w:rsidRPr="00CD3A2D">
              <w:rPr>
                <w:rFonts w:ascii="Calibri" w:eastAsia="Calibri" w:hAnsi="Calibri" w:cs="Arial"/>
                <w:b/>
                <w:spacing w:val="-2"/>
                <w:sz w:val="20"/>
                <w:szCs w:val="20"/>
                <w:lang w:val="hr-HR"/>
              </w:rPr>
              <w:t>Razina 1</w:t>
            </w:r>
          </w:p>
        </w:tc>
        <w:tc>
          <w:tcPr>
            <w:tcW w:w="1205" w:type="dxa"/>
            <w:shd w:val="clear" w:color="auto" w:fill="auto"/>
            <w:vAlign w:val="center"/>
          </w:tcPr>
          <w:p w:rsidR="000C1A40" w:rsidRPr="00CD3A2D" w:rsidRDefault="000C1A40" w:rsidP="006A0D4C">
            <w:pPr>
              <w:jc w:val="right"/>
              <w:rPr>
                <w:rFonts w:ascii="Calibri" w:hAnsi="Calibri" w:cs="Arial"/>
                <w:b/>
                <w:sz w:val="20"/>
                <w:szCs w:val="20"/>
                <w:lang w:val="hr-HR"/>
              </w:rPr>
            </w:pPr>
            <w:r w:rsidRPr="00CD3A2D">
              <w:rPr>
                <w:rFonts w:ascii="Calibri" w:eastAsia="Calibri" w:hAnsi="Calibri" w:cs="Arial"/>
                <w:b/>
                <w:spacing w:val="-2"/>
                <w:sz w:val="20"/>
                <w:szCs w:val="20"/>
                <w:lang w:val="hr-HR"/>
              </w:rPr>
              <w:t>Razina 2</w:t>
            </w:r>
          </w:p>
        </w:tc>
        <w:tc>
          <w:tcPr>
            <w:tcW w:w="1205" w:type="dxa"/>
            <w:shd w:val="clear" w:color="auto" w:fill="auto"/>
            <w:vAlign w:val="center"/>
          </w:tcPr>
          <w:p w:rsidR="000C1A40" w:rsidRPr="00CD3A2D" w:rsidRDefault="000C1A40" w:rsidP="006A0D4C">
            <w:pPr>
              <w:jc w:val="right"/>
              <w:rPr>
                <w:rFonts w:ascii="Calibri" w:hAnsi="Calibri" w:cs="Arial"/>
                <w:b/>
                <w:sz w:val="20"/>
                <w:szCs w:val="20"/>
                <w:lang w:val="hr-HR"/>
              </w:rPr>
            </w:pPr>
            <w:r w:rsidRPr="00CD3A2D">
              <w:rPr>
                <w:rFonts w:ascii="Calibri" w:eastAsia="Calibri" w:hAnsi="Calibri" w:cs="Arial"/>
                <w:b/>
                <w:spacing w:val="-2"/>
                <w:sz w:val="20"/>
                <w:szCs w:val="20"/>
                <w:lang w:val="hr-HR"/>
              </w:rPr>
              <w:t>Razina 3</w:t>
            </w:r>
          </w:p>
        </w:tc>
        <w:tc>
          <w:tcPr>
            <w:tcW w:w="1205" w:type="dxa"/>
            <w:vAlign w:val="center"/>
          </w:tcPr>
          <w:p w:rsidR="000C1A40" w:rsidRPr="00CD3A2D" w:rsidRDefault="000C1A40" w:rsidP="006A0D4C">
            <w:pPr>
              <w:jc w:val="right"/>
              <w:rPr>
                <w:rFonts w:ascii="Calibri" w:hAnsi="Calibri" w:cs="Arial"/>
                <w:b/>
                <w:sz w:val="20"/>
                <w:szCs w:val="20"/>
                <w:lang w:val="hr-HR"/>
              </w:rPr>
            </w:pPr>
            <w:r w:rsidRPr="00CD3A2D">
              <w:rPr>
                <w:rFonts w:ascii="Calibri" w:hAnsi="Calibri" w:cs="Arial"/>
                <w:b/>
                <w:sz w:val="20"/>
                <w:szCs w:val="20"/>
                <w:lang w:val="hr-HR"/>
              </w:rPr>
              <w:t>Fer vrijednost</w:t>
            </w:r>
          </w:p>
        </w:tc>
        <w:tc>
          <w:tcPr>
            <w:tcW w:w="1706" w:type="dxa"/>
            <w:vAlign w:val="center"/>
          </w:tcPr>
          <w:p w:rsidR="000C1A40" w:rsidRPr="00CD3A2D" w:rsidRDefault="000C1A40" w:rsidP="006A0D4C">
            <w:pPr>
              <w:jc w:val="right"/>
              <w:rPr>
                <w:rFonts w:ascii="Calibri" w:hAnsi="Calibri" w:cs="Arial"/>
                <w:b/>
                <w:sz w:val="20"/>
                <w:szCs w:val="20"/>
                <w:lang w:val="hr-HR"/>
              </w:rPr>
            </w:pPr>
            <w:r w:rsidRPr="00CD3A2D">
              <w:rPr>
                <w:rFonts w:ascii="Calibri" w:hAnsi="Calibri" w:cs="Arial"/>
                <w:b/>
                <w:sz w:val="20"/>
                <w:szCs w:val="20"/>
                <w:lang w:val="hr-HR"/>
              </w:rPr>
              <w:t>Knjigovodstvena vrijednost</w:t>
            </w:r>
          </w:p>
        </w:tc>
      </w:tr>
      <w:tr w:rsidR="000C1A40" w:rsidRPr="001567C8" w:rsidTr="006A0D4C">
        <w:trPr>
          <w:trHeight w:hRule="exact" w:val="271"/>
        </w:trPr>
        <w:tc>
          <w:tcPr>
            <w:tcW w:w="3402" w:type="dxa"/>
            <w:vAlign w:val="bottom"/>
          </w:tcPr>
          <w:p w:rsidR="000C1A40" w:rsidRPr="00CD3A2D" w:rsidRDefault="000C1A40" w:rsidP="006A0D4C">
            <w:pPr>
              <w:rPr>
                <w:rFonts w:ascii="Calibri" w:hAnsi="Calibri" w:cs="Arial"/>
                <w:sz w:val="20"/>
                <w:szCs w:val="20"/>
                <w:lang w:val="hr-HR"/>
              </w:rPr>
            </w:pPr>
          </w:p>
        </w:tc>
        <w:tc>
          <w:tcPr>
            <w:tcW w:w="1205" w:type="dxa"/>
            <w:vAlign w:val="center"/>
          </w:tcPr>
          <w:p w:rsidR="000C1A40" w:rsidRPr="00CD3A2D" w:rsidRDefault="000C1A40" w:rsidP="006A0D4C">
            <w:pPr>
              <w:jc w:val="right"/>
              <w:rPr>
                <w:rFonts w:ascii="Calibri" w:hAnsi="Calibri" w:cs="Arial"/>
                <w:b/>
                <w:sz w:val="20"/>
                <w:szCs w:val="20"/>
                <w:lang w:val="hr-HR"/>
              </w:rPr>
            </w:pPr>
            <w:r w:rsidRPr="00CD3A2D">
              <w:rPr>
                <w:rFonts w:ascii="Calibri" w:hAnsi="Calibri" w:cs="Arial"/>
                <w:b/>
                <w:sz w:val="20"/>
                <w:szCs w:val="20"/>
                <w:lang w:val="hr-HR"/>
              </w:rPr>
              <w:t>000 kuna</w:t>
            </w:r>
          </w:p>
        </w:tc>
        <w:tc>
          <w:tcPr>
            <w:tcW w:w="1205" w:type="dxa"/>
            <w:vAlign w:val="center"/>
          </w:tcPr>
          <w:p w:rsidR="000C1A40" w:rsidRPr="00CD3A2D" w:rsidRDefault="000C1A40" w:rsidP="006A0D4C">
            <w:pPr>
              <w:jc w:val="right"/>
              <w:rPr>
                <w:rFonts w:ascii="Calibri" w:hAnsi="Calibri" w:cs="Arial"/>
                <w:b/>
                <w:sz w:val="20"/>
                <w:szCs w:val="20"/>
                <w:lang w:val="hr-HR"/>
              </w:rPr>
            </w:pPr>
            <w:r w:rsidRPr="00CD3A2D">
              <w:rPr>
                <w:rFonts w:ascii="Calibri" w:hAnsi="Calibri" w:cs="Arial"/>
                <w:b/>
                <w:sz w:val="20"/>
                <w:szCs w:val="20"/>
                <w:lang w:val="hr-HR"/>
              </w:rPr>
              <w:t>000 kuna</w:t>
            </w:r>
          </w:p>
        </w:tc>
        <w:tc>
          <w:tcPr>
            <w:tcW w:w="1205" w:type="dxa"/>
            <w:vAlign w:val="center"/>
          </w:tcPr>
          <w:p w:rsidR="000C1A40" w:rsidRPr="00CD3A2D" w:rsidRDefault="000C1A40" w:rsidP="006A0D4C">
            <w:pPr>
              <w:jc w:val="right"/>
              <w:rPr>
                <w:rFonts w:ascii="Calibri" w:hAnsi="Calibri" w:cs="Arial"/>
                <w:b/>
                <w:sz w:val="20"/>
                <w:szCs w:val="20"/>
                <w:lang w:val="hr-HR"/>
              </w:rPr>
            </w:pPr>
            <w:r w:rsidRPr="00CD3A2D">
              <w:rPr>
                <w:rFonts w:ascii="Calibri" w:hAnsi="Calibri" w:cs="Arial"/>
                <w:b/>
                <w:sz w:val="20"/>
                <w:szCs w:val="20"/>
                <w:lang w:val="hr-HR"/>
              </w:rPr>
              <w:t>000 kuna</w:t>
            </w:r>
          </w:p>
        </w:tc>
        <w:tc>
          <w:tcPr>
            <w:tcW w:w="1205" w:type="dxa"/>
            <w:vAlign w:val="center"/>
          </w:tcPr>
          <w:p w:rsidR="000C1A40" w:rsidRPr="00CD3A2D" w:rsidRDefault="000C1A40" w:rsidP="006A0D4C">
            <w:pPr>
              <w:jc w:val="right"/>
              <w:rPr>
                <w:rFonts w:ascii="Calibri" w:hAnsi="Calibri" w:cs="Arial"/>
                <w:b/>
                <w:sz w:val="20"/>
                <w:szCs w:val="20"/>
                <w:lang w:val="hr-HR"/>
              </w:rPr>
            </w:pPr>
            <w:r w:rsidRPr="00CD3A2D">
              <w:rPr>
                <w:rFonts w:ascii="Calibri" w:hAnsi="Calibri" w:cs="Arial"/>
                <w:b/>
                <w:sz w:val="20"/>
                <w:szCs w:val="20"/>
                <w:lang w:val="hr-HR"/>
              </w:rPr>
              <w:t>000 kuna</w:t>
            </w:r>
          </w:p>
        </w:tc>
        <w:tc>
          <w:tcPr>
            <w:tcW w:w="1706" w:type="dxa"/>
            <w:vAlign w:val="center"/>
          </w:tcPr>
          <w:p w:rsidR="000C1A40" w:rsidRPr="00CD3A2D" w:rsidRDefault="000C1A40" w:rsidP="006A0D4C">
            <w:pPr>
              <w:jc w:val="right"/>
              <w:rPr>
                <w:rFonts w:ascii="Calibri" w:hAnsi="Calibri" w:cs="Arial"/>
                <w:b/>
                <w:sz w:val="20"/>
                <w:szCs w:val="20"/>
                <w:lang w:val="hr-HR"/>
              </w:rPr>
            </w:pPr>
            <w:r w:rsidRPr="00CD3A2D">
              <w:rPr>
                <w:rFonts w:ascii="Calibri" w:hAnsi="Calibri" w:cs="Arial"/>
                <w:b/>
                <w:sz w:val="20"/>
                <w:szCs w:val="20"/>
                <w:lang w:val="hr-HR"/>
              </w:rPr>
              <w:t>000 kuna</w:t>
            </w:r>
          </w:p>
        </w:tc>
      </w:tr>
      <w:tr w:rsidR="000C1A40" w:rsidRPr="001567C8" w:rsidTr="006A0D4C">
        <w:trPr>
          <w:trHeight w:hRule="exact" w:val="162"/>
        </w:trPr>
        <w:tc>
          <w:tcPr>
            <w:tcW w:w="3402" w:type="dxa"/>
            <w:vAlign w:val="bottom"/>
          </w:tcPr>
          <w:p w:rsidR="000C1A40" w:rsidRPr="00CD3A2D" w:rsidRDefault="000C1A40" w:rsidP="006A0D4C">
            <w:pPr>
              <w:rPr>
                <w:rFonts w:ascii="Calibri" w:hAnsi="Calibri" w:cs="Arial"/>
                <w:sz w:val="20"/>
                <w:szCs w:val="20"/>
                <w:lang w:val="hr-HR"/>
              </w:rPr>
            </w:pPr>
          </w:p>
        </w:tc>
        <w:tc>
          <w:tcPr>
            <w:tcW w:w="1205" w:type="dxa"/>
            <w:vAlign w:val="center"/>
          </w:tcPr>
          <w:p w:rsidR="000C1A40" w:rsidRPr="00CD3A2D" w:rsidRDefault="000C1A40" w:rsidP="006A0D4C">
            <w:pPr>
              <w:jc w:val="right"/>
              <w:rPr>
                <w:rFonts w:ascii="Calibri" w:hAnsi="Calibri" w:cs="Arial"/>
                <w:b/>
                <w:sz w:val="20"/>
                <w:szCs w:val="20"/>
                <w:lang w:val="hr-HR"/>
              </w:rPr>
            </w:pPr>
          </w:p>
        </w:tc>
        <w:tc>
          <w:tcPr>
            <w:tcW w:w="1205" w:type="dxa"/>
            <w:vAlign w:val="center"/>
          </w:tcPr>
          <w:p w:rsidR="000C1A40" w:rsidRPr="00CD3A2D" w:rsidRDefault="000C1A40" w:rsidP="006A0D4C">
            <w:pPr>
              <w:jc w:val="right"/>
              <w:rPr>
                <w:rFonts w:ascii="Calibri" w:hAnsi="Calibri" w:cs="Arial"/>
                <w:b/>
                <w:sz w:val="20"/>
                <w:szCs w:val="20"/>
                <w:lang w:val="hr-HR"/>
              </w:rPr>
            </w:pPr>
          </w:p>
        </w:tc>
        <w:tc>
          <w:tcPr>
            <w:tcW w:w="1205" w:type="dxa"/>
            <w:vAlign w:val="center"/>
          </w:tcPr>
          <w:p w:rsidR="000C1A40" w:rsidRPr="00CD3A2D" w:rsidRDefault="000C1A40" w:rsidP="006A0D4C">
            <w:pPr>
              <w:jc w:val="right"/>
              <w:rPr>
                <w:rFonts w:ascii="Calibri" w:hAnsi="Calibri" w:cs="Arial"/>
                <w:b/>
                <w:sz w:val="20"/>
                <w:szCs w:val="20"/>
                <w:lang w:val="hr-HR"/>
              </w:rPr>
            </w:pPr>
          </w:p>
        </w:tc>
        <w:tc>
          <w:tcPr>
            <w:tcW w:w="1205" w:type="dxa"/>
            <w:vAlign w:val="center"/>
          </w:tcPr>
          <w:p w:rsidR="000C1A40" w:rsidRPr="00CD3A2D" w:rsidRDefault="000C1A40" w:rsidP="006A0D4C">
            <w:pPr>
              <w:jc w:val="right"/>
              <w:rPr>
                <w:rFonts w:ascii="Calibri" w:hAnsi="Calibri" w:cs="Arial"/>
                <w:b/>
                <w:sz w:val="20"/>
                <w:szCs w:val="20"/>
                <w:lang w:val="hr-HR"/>
              </w:rPr>
            </w:pPr>
          </w:p>
        </w:tc>
        <w:tc>
          <w:tcPr>
            <w:tcW w:w="1706" w:type="dxa"/>
            <w:vAlign w:val="center"/>
          </w:tcPr>
          <w:p w:rsidR="000C1A40" w:rsidRPr="00CD3A2D" w:rsidRDefault="000C1A40" w:rsidP="006A0D4C">
            <w:pPr>
              <w:jc w:val="right"/>
              <w:rPr>
                <w:rFonts w:ascii="Calibri" w:hAnsi="Calibri" w:cs="Arial"/>
                <w:b/>
                <w:sz w:val="20"/>
                <w:szCs w:val="20"/>
                <w:lang w:val="hr-HR"/>
              </w:rPr>
            </w:pPr>
          </w:p>
        </w:tc>
      </w:tr>
      <w:tr w:rsidR="000C1A40" w:rsidRPr="001567C8" w:rsidTr="006A0D4C">
        <w:trPr>
          <w:trHeight w:val="297"/>
        </w:trPr>
        <w:tc>
          <w:tcPr>
            <w:tcW w:w="3402" w:type="dxa"/>
            <w:vAlign w:val="bottom"/>
          </w:tcPr>
          <w:p w:rsidR="000C1A40" w:rsidRPr="00CD3A2D" w:rsidRDefault="000C1A40" w:rsidP="006A0D4C">
            <w:pPr>
              <w:tabs>
                <w:tab w:val="right" w:pos="1202"/>
              </w:tabs>
              <w:outlineLvl w:val="0"/>
              <w:rPr>
                <w:rFonts w:ascii="Calibri" w:hAnsi="Calibri" w:cs="Arial"/>
                <w:b/>
                <w:bCs/>
                <w:sz w:val="20"/>
                <w:szCs w:val="20"/>
                <w:lang w:val="hr-HR"/>
              </w:rPr>
            </w:pPr>
            <w:r w:rsidRPr="00CD3A2D">
              <w:rPr>
                <w:rFonts w:ascii="Calibri" w:eastAsia="Calibri" w:hAnsi="Calibri" w:cs="Arial"/>
                <w:b/>
                <w:bCs/>
                <w:sz w:val="20"/>
                <w:szCs w:val="20"/>
                <w:lang w:val="hr-HR"/>
              </w:rPr>
              <w:t>Imovina</w:t>
            </w:r>
          </w:p>
        </w:tc>
        <w:tc>
          <w:tcPr>
            <w:tcW w:w="1205" w:type="dxa"/>
            <w:vAlign w:val="center"/>
          </w:tcPr>
          <w:p w:rsidR="000C1A40" w:rsidRPr="00CD3A2D" w:rsidRDefault="000C1A40" w:rsidP="006A0D4C">
            <w:pPr>
              <w:tabs>
                <w:tab w:val="right" w:pos="1202"/>
              </w:tabs>
              <w:jc w:val="right"/>
              <w:outlineLvl w:val="0"/>
              <w:rPr>
                <w:rFonts w:ascii="Calibri" w:hAnsi="Calibri" w:cs="Arial"/>
                <w:b/>
                <w:bCs/>
                <w:sz w:val="20"/>
                <w:szCs w:val="20"/>
                <w:lang w:val="hr-HR"/>
              </w:rPr>
            </w:pPr>
          </w:p>
        </w:tc>
        <w:tc>
          <w:tcPr>
            <w:tcW w:w="1205" w:type="dxa"/>
            <w:vAlign w:val="center"/>
          </w:tcPr>
          <w:p w:rsidR="000C1A40" w:rsidRPr="00CD3A2D" w:rsidRDefault="000C1A40" w:rsidP="006A0D4C">
            <w:pPr>
              <w:tabs>
                <w:tab w:val="right" w:pos="1202"/>
              </w:tabs>
              <w:jc w:val="right"/>
              <w:outlineLvl w:val="0"/>
              <w:rPr>
                <w:rFonts w:ascii="Calibri" w:hAnsi="Calibri" w:cs="Arial"/>
                <w:b/>
                <w:bCs/>
                <w:sz w:val="20"/>
                <w:szCs w:val="20"/>
                <w:lang w:val="hr-HR"/>
              </w:rPr>
            </w:pPr>
          </w:p>
        </w:tc>
        <w:tc>
          <w:tcPr>
            <w:tcW w:w="1205" w:type="dxa"/>
            <w:vAlign w:val="center"/>
          </w:tcPr>
          <w:p w:rsidR="000C1A40" w:rsidRPr="00CD3A2D" w:rsidRDefault="000C1A40" w:rsidP="006A0D4C">
            <w:pPr>
              <w:tabs>
                <w:tab w:val="right" w:pos="1202"/>
              </w:tabs>
              <w:jc w:val="right"/>
              <w:outlineLvl w:val="0"/>
              <w:rPr>
                <w:rFonts w:ascii="Calibri" w:hAnsi="Calibri" w:cs="Arial"/>
                <w:b/>
                <w:bCs/>
                <w:sz w:val="20"/>
                <w:szCs w:val="20"/>
                <w:lang w:val="hr-HR"/>
              </w:rPr>
            </w:pPr>
          </w:p>
        </w:tc>
        <w:tc>
          <w:tcPr>
            <w:tcW w:w="1205" w:type="dxa"/>
            <w:vAlign w:val="center"/>
          </w:tcPr>
          <w:p w:rsidR="000C1A40" w:rsidRPr="00CD3A2D" w:rsidRDefault="000C1A40" w:rsidP="006A0D4C">
            <w:pPr>
              <w:tabs>
                <w:tab w:val="right" w:pos="1202"/>
              </w:tabs>
              <w:jc w:val="right"/>
              <w:outlineLvl w:val="0"/>
              <w:rPr>
                <w:rFonts w:ascii="Calibri" w:hAnsi="Calibri" w:cs="Arial"/>
                <w:b/>
                <w:bCs/>
                <w:sz w:val="20"/>
                <w:szCs w:val="20"/>
                <w:lang w:val="hr-HR"/>
              </w:rPr>
            </w:pPr>
          </w:p>
        </w:tc>
        <w:tc>
          <w:tcPr>
            <w:tcW w:w="1706" w:type="dxa"/>
            <w:vAlign w:val="center"/>
          </w:tcPr>
          <w:p w:rsidR="000C1A40" w:rsidRPr="00CD3A2D" w:rsidRDefault="000C1A40" w:rsidP="006A0D4C">
            <w:pPr>
              <w:tabs>
                <w:tab w:val="right" w:pos="1202"/>
              </w:tabs>
              <w:jc w:val="right"/>
              <w:outlineLvl w:val="0"/>
              <w:rPr>
                <w:rFonts w:ascii="Calibri" w:hAnsi="Calibri" w:cs="Arial"/>
                <w:b/>
                <w:bCs/>
                <w:sz w:val="20"/>
                <w:szCs w:val="20"/>
                <w:lang w:val="hr-HR"/>
              </w:rPr>
            </w:pPr>
          </w:p>
        </w:tc>
      </w:tr>
      <w:tr w:rsidR="000C1A40" w:rsidRPr="001567C8" w:rsidTr="006A0D4C">
        <w:trPr>
          <w:trHeight w:val="297"/>
        </w:trPr>
        <w:tc>
          <w:tcPr>
            <w:tcW w:w="3402" w:type="dxa"/>
            <w:vAlign w:val="bottom"/>
          </w:tcPr>
          <w:p w:rsidR="000C1A40" w:rsidRPr="00CD3A2D" w:rsidRDefault="000C1A40" w:rsidP="006A0D4C">
            <w:pPr>
              <w:tabs>
                <w:tab w:val="right" w:pos="1202"/>
              </w:tabs>
              <w:outlineLvl w:val="0"/>
              <w:rPr>
                <w:rFonts w:ascii="Calibri" w:hAnsi="Calibri" w:cs="Arial"/>
                <w:sz w:val="20"/>
                <w:szCs w:val="20"/>
                <w:lang w:val="hr-HR"/>
              </w:rPr>
            </w:pPr>
            <w:r w:rsidRPr="00CD3A2D">
              <w:rPr>
                <w:rFonts w:ascii="Calibri" w:eastAsia="Calibri" w:hAnsi="Calibri" w:cs="Arial"/>
                <w:sz w:val="20"/>
                <w:szCs w:val="20"/>
                <w:lang w:val="hr-HR"/>
              </w:rPr>
              <w:t>Novčana sredstva i računi kod banaka</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1.403.680</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1.403.680</w:t>
            </w:r>
          </w:p>
        </w:tc>
        <w:tc>
          <w:tcPr>
            <w:tcW w:w="1706" w:type="dxa"/>
            <w:tcBorders>
              <w:top w:val="nil"/>
              <w:left w:val="nil"/>
              <w:bottom w:val="nil"/>
              <w:right w:val="nil"/>
            </w:tcBorders>
            <w:shd w:val="clear" w:color="auto" w:fill="auto"/>
            <w:vAlign w:val="bottom"/>
          </w:tcPr>
          <w:p w:rsidR="000C1A40" w:rsidRPr="00CD3A2D" w:rsidRDefault="000C1A40" w:rsidP="006A0D4C">
            <w:pPr>
              <w:tabs>
                <w:tab w:val="right" w:pos="1202"/>
              </w:tabs>
              <w:spacing w:line="301" w:lineRule="exact"/>
              <w:jc w:val="right"/>
              <w:outlineLvl w:val="0"/>
              <w:rPr>
                <w:rFonts w:ascii="Calibri" w:hAnsi="Calibri" w:cs="Arial"/>
                <w:snapToGrid w:val="0"/>
                <w:sz w:val="20"/>
                <w:szCs w:val="20"/>
                <w:lang w:val="hr-HR"/>
              </w:rPr>
            </w:pPr>
            <w:r w:rsidRPr="00CD3A2D">
              <w:rPr>
                <w:rFonts w:ascii="Calibri" w:hAnsi="Calibri" w:cs="Arial"/>
                <w:snapToGrid w:val="0"/>
                <w:sz w:val="20"/>
                <w:szCs w:val="20"/>
                <w:lang w:val="hr-HR"/>
              </w:rPr>
              <w:t>1.403.680</w:t>
            </w:r>
          </w:p>
        </w:tc>
      </w:tr>
      <w:tr w:rsidR="000C1A40" w:rsidRPr="001567C8" w:rsidTr="006A0D4C">
        <w:trPr>
          <w:trHeight w:val="297"/>
        </w:trPr>
        <w:tc>
          <w:tcPr>
            <w:tcW w:w="3402" w:type="dxa"/>
            <w:vAlign w:val="bottom"/>
          </w:tcPr>
          <w:p w:rsidR="000C1A40" w:rsidRPr="00CD3A2D" w:rsidRDefault="000C1A40" w:rsidP="006A0D4C">
            <w:pPr>
              <w:tabs>
                <w:tab w:val="right" w:pos="1202"/>
              </w:tabs>
              <w:outlineLvl w:val="0"/>
              <w:rPr>
                <w:rFonts w:ascii="Calibri" w:hAnsi="Calibri" w:cs="Arial"/>
                <w:sz w:val="20"/>
                <w:szCs w:val="20"/>
                <w:lang w:val="hr-HR"/>
              </w:rPr>
            </w:pPr>
            <w:r w:rsidRPr="00CD3A2D">
              <w:rPr>
                <w:rFonts w:ascii="Calibri" w:eastAsia="Calibri" w:hAnsi="Calibri" w:cs="Arial"/>
                <w:sz w:val="20"/>
                <w:szCs w:val="20"/>
                <w:lang w:val="hr-HR"/>
              </w:rPr>
              <w:t>Depoziti kod drugih banaka</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29.138</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29.138</w:t>
            </w:r>
          </w:p>
        </w:tc>
        <w:tc>
          <w:tcPr>
            <w:tcW w:w="1706" w:type="dxa"/>
            <w:tcBorders>
              <w:top w:val="nil"/>
              <w:left w:val="nil"/>
              <w:bottom w:val="nil"/>
              <w:right w:val="nil"/>
            </w:tcBorders>
            <w:shd w:val="clear" w:color="auto" w:fill="auto"/>
            <w:vAlign w:val="bottom"/>
          </w:tcPr>
          <w:p w:rsidR="000C1A40" w:rsidRPr="00CD3A2D" w:rsidRDefault="000C1A40" w:rsidP="006A0D4C">
            <w:pPr>
              <w:tabs>
                <w:tab w:val="right" w:pos="1202"/>
              </w:tabs>
              <w:spacing w:line="301" w:lineRule="exact"/>
              <w:jc w:val="right"/>
              <w:outlineLvl w:val="0"/>
              <w:rPr>
                <w:rFonts w:ascii="Calibri" w:hAnsi="Calibri" w:cs="Arial"/>
                <w:snapToGrid w:val="0"/>
                <w:sz w:val="20"/>
                <w:szCs w:val="20"/>
                <w:lang w:val="hr-HR"/>
              </w:rPr>
            </w:pPr>
            <w:r w:rsidRPr="00CD3A2D">
              <w:rPr>
                <w:rFonts w:ascii="Calibri" w:hAnsi="Calibri" w:cs="Arial"/>
                <w:snapToGrid w:val="0"/>
                <w:sz w:val="20"/>
                <w:szCs w:val="20"/>
                <w:lang w:val="hr-HR"/>
              </w:rPr>
              <w:t>29.138</w:t>
            </w:r>
          </w:p>
        </w:tc>
      </w:tr>
      <w:tr w:rsidR="000C1A40" w:rsidRPr="001567C8" w:rsidTr="006A0D4C">
        <w:trPr>
          <w:trHeight w:val="307"/>
        </w:trPr>
        <w:tc>
          <w:tcPr>
            <w:tcW w:w="3402" w:type="dxa"/>
            <w:vAlign w:val="bottom"/>
          </w:tcPr>
          <w:p w:rsidR="000C1A40" w:rsidRPr="00CD3A2D" w:rsidRDefault="000C1A40" w:rsidP="006A0D4C">
            <w:pPr>
              <w:tabs>
                <w:tab w:val="right" w:pos="1202"/>
              </w:tabs>
              <w:outlineLvl w:val="0"/>
              <w:rPr>
                <w:rFonts w:ascii="Calibri" w:hAnsi="Calibri" w:cs="Arial"/>
                <w:sz w:val="20"/>
                <w:szCs w:val="20"/>
                <w:lang w:val="hr-HR"/>
              </w:rPr>
            </w:pPr>
            <w:r w:rsidRPr="00CD3A2D">
              <w:rPr>
                <w:rFonts w:ascii="Calibri" w:hAnsi="Calibri"/>
                <w:sz w:val="20"/>
                <w:szCs w:val="20"/>
                <w:lang w:val="hr-HR"/>
              </w:rPr>
              <w:t>Krediti financijskim institucijama</w:t>
            </w:r>
          </w:p>
        </w:tc>
        <w:tc>
          <w:tcPr>
            <w:tcW w:w="1205" w:type="dxa"/>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10.756.286 </w:t>
            </w:r>
          </w:p>
        </w:tc>
        <w:tc>
          <w:tcPr>
            <w:tcW w:w="1205" w:type="dxa"/>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10.756.286 </w:t>
            </w:r>
          </w:p>
        </w:tc>
        <w:tc>
          <w:tcPr>
            <w:tcW w:w="1706" w:type="dxa"/>
            <w:tcBorders>
              <w:top w:val="nil"/>
              <w:left w:val="nil"/>
              <w:bottom w:val="nil"/>
              <w:right w:val="nil"/>
            </w:tcBorders>
            <w:shd w:val="clear" w:color="auto" w:fill="auto"/>
          </w:tcPr>
          <w:p w:rsidR="000C1A40" w:rsidRPr="00CD3A2D" w:rsidRDefault="000C1A40" w:rsidP="006A0D4C">
            <w:pPr>
              <w:tabs>
                <w:tab w:val="right" w:pos="1202"/>
              </w:tabs>
              <w:spacing w:line="301" w:lineRule="exact"/>
              <w:jc w:val="right"/>
              <w:outlineLvl w:val="0"/>
              <w:rPr>
                <w:rFonts w:ascii="Calibri" w:hAnsi="Calibri" w:cs="Calibri"/>
                <w:snapToGrid w:val="0"/>
                <w:sz w:val="20"/>
                <w:szCs w:val="20"/>
                <w:lang w:val="hr-HR"/>
              </w:rPr>
            </w:pPr>
            <w:r w:rsidRPr="00CD3A2D">
              <w:rPr>
                <w:rFonts w:ascii="Calibri" w:hAnsi="Calibri" w:cs="Calibri"/>
                <w:sz w:val="20"/>
                <w:szCs w:val="20"/>
                <w:lang w:val="hr-HR"/>
              </w:rPr>
              <w:t xml:space="preserve"> 10.836.141 </w:t>
            </w:r>
          </w:p>
        </w:tc>
      </w:tr>
      <w:tr w:rsidR="000C1A40" w:rsidRPr="001567C8" w:rsidTr="006A0D4C">
        <w:trPr>
          <w:trHeight w:val="297"/>
        </w:trPr>
        <w:tc>
          <w:tcPr>
            <w:tcW w:w="3402" w:type="dxa"/>
            <w:vAlign w:val="bottom"/>
          </w:tcPr>
          <w:p w:rsidR="000C1A40" w:rsidRPr="00CD3A2D" w:rsidRDefault="000C1A40" w:rsidP="006A0D4C">
            <w:pPr>
              <w:tabs>
                <w:tab w:val="right" w:pos="1202"/>
              </w:tabs>
              <w:outlineLvl w:val="0"/>
              <w:rPr>
                <w:rFonts w:ascii="Calibri" w:hAnsi="Calibri" w:cs="Arial"/>
                <w:sz w:val="20"/>
                <w:szCs w:val="20"/>
                <w:lang w:val="hr-HR"/>
              </w:rPr>
            </w:pPr>
            <w:r w:rsidRPr="00CD3A2D">
              <w:rPr>
                <w:rFonts w:ascii="Calibri" w:hAnsi="Calibri"/>
                <w:sz w:val="20"/>
                <w:szCs w:val="20"/>
                <w:lang w:val="hr-HR"/>
              </w:rPr>
              <w:t>Krediti ostalim korisnicima</w:t>
            </w:r>
          </w:p>
        </w:tc>
        <w:tc>
          <w:tcPr>
            <w:tcW w:w="1205" w:type="dxa"/>
            <w:tcBorders>
              <w:bottom w:val="single" w:sz="4" w:space="0" w:color="auto"/>
            </w:tcBorders>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Borders>
              <w:bottom w:val="single" w:sz="4" w:space="0" w:color="auto"/>
            </w:tcBorders>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Borders>
              <w:bottom w:val="single" w:sz="4" w:space="0" w:color="auto"/>
            </w:tcBorders>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15.225.827 </w:t>
            </w:r>
          </w:p>
        </w:tc>
        <w:tc>
          <w:tcPr>
            <w:tcW w:w="1205" w:type="dxa"/>
            <w:tcBorders>
              <w:bottom w:val="single" w:sz="4" w:space="0" w:color="auto"/>
            </w:tcBorders>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15.225.827 </w:t>
            </w:r>
          </w:p>
        </w:tc>
        <w:tc>
          <w:tcPr>
            <w:tcW w:w="1706" w:type="dxa"/>
            <w:tcBorders>
              <w:top w:val="nil"/>
              <w:left w:val="nil"/>
              <w:bottom w:val="single" w:sz="4" w:space="0" w:color="auto"/>
              <w:right w:val="nil"/>
            </w:tcBorders>
            <w:shd w:val="clear" w:color="auto" w:fill="auto"/>
          </w:tcPr>
          <w:p w:rsidR="000C1A40" w:rsidRPr="00CD3A2D" w:rsidRDefault="000C1A40" w:rsidP="006A0D4C">
            <w:pPr>
              <w:tabs>
                <w:tab w:val="right" w:pos="1202"/>
              </w:tabs>
              <w:spacing w:line="301" w:lineRule="exact"/>
              <w:jc w:val="right"/>
              <w:outlineLvl w:val="0"/>
              <w:rPr>
                <w:rFonts w:ascii="Calibri" w:hAnsi="Calibri" w:cs="Calibri"/>
                <w:spacing w:val="-2"/>
                <w:sz w:val="20"/>
                <w:szCs w:val="20"/>
                <w:lang w:val="hr-HR"/>
              </w:rPr>
            </w:pPr>
            <w:r w:rsidRPr="00CD3A2D">
              <w:rPr>
                <w:rFonts w:ascii="Calibri" w:hAnsi="Calibri" w:cs="Calibri"/>
                <w:sz w:val="20"/>
                <w:szCs w:val="20"/>
                <w:lang w:val="hr-HR"/>
              </w:rPr>
              <w:t xml:space="preserve"> 12.383.623 </w:t>
            </w:r>
          </w:p>
        </w:tc>
      </w:tr>
      <w:tr w:rsidR="000C1A40" w:rsidRPr="001567C8" w:rsidTr="006A0D4C">
        <w:trPr>
          <w:trHeight w:val="297"/>
        </w:trPr>
        <w:tc>
          <w:tcPr>
            <w:tcW w:w="3402" w:type="dxa"/>
            <w:vAlign w:val="bottom"/>
          </w:tcPr>
          <w:p w:rsidR="000C1A40" w:rsidRPr="00CD3A2D" w:rsidRDefault="000C1A40" w:rsidP="006A0D4C">
            <w:pPr>
              <w:tabs>
                <w:tab w:val="right" w:pos="1202"/>
              </w:tabs>
              <w:outlineLvl w:val="0"/>
              <w:rPr>
                <w:rFonts w:ascii="Calibri" w:hAnsi="Calibri"/>
                <w:sz w:val="20"/>
                <w:szCs w:val="20"/>
                <w:lang w:val="hr-HR"/>
              </w:rPr>
            </w:pPr>
          </w:p>
        </w:tc>
        <w:tc>
          <w:tcPr>
            <w:tcW w:w="1205" w:type="dxa"/>
            <w:tcBorders>
              <w:top w:val="single" w:sz="4" w:space="0" w:color="auto"/>
            </w:tcBorders>
          </w:tcPr>
          <w:p w:rsidR="000C1A40" w:rsidRPr="00CD3A2D" w:rsidRDefault="000C1A40" w:rsidP="006A0D4C">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 xml:space="preserve"> 1.403.680 </w:t>
            </w:r>
          </w:p>
        </w:tc>
        <w:tc>
          <w:tcPr>
            <w:tcW w:w="1205" w:type="dxa"/>
            <w:tcBorders>
              <w:top w:val="single" w:sz="4" w:space="0" w:color="auto"/>
            </w:tcBorders>
          </w:tcPr>
          <w:p w:rsidR="000C1A40" w:rsidRPr="00CD3A2D" w:rsidRDefault="000C1A40" w:rsidP="006A0D4C">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 xml:space="preserve"> 29.138 </w:t>
            </w:r>
          </w:p>
        </w:tc>
        <w:tc>
          <w:tcPr>
            <w:tcW w:w="1205" w:type="dxa"/>
            <w:tcBorders>
              <w:top w:val="single" w:sz="4" w:space="0" w:color="auto"/>
            </w:tcBorders>
          </w:tcPr>
          <w:p w:rsidR="000C1A40" w:rsidRPr="00CD3A2D" w:rsidRDefault="000C1A40" w:rsidP="006A0D4C">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25.982.113</w:t>
            </w:r>
          </w:p>
        </w:tc>
        <w:tc>
          <w:tcPr>
            <w:tcW w:w="1205" w:type="dxa"/>
            <w:tcBorders>
              <w:top w:val="single" w:sz="4" w:space="0" w:color="auto"/>
            </w:tcBorders>
          </w:tcPr>
          <w:p w:rsidR="000C1A40" w:rsidRPr="00CD3A2D" w:rsidRDefault="000C1A40" w:rsidP="006A0D4C">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27.414.931</w:t>
            </w:r>
          </w:p>
        </w:tc>
        <w:tc>
          <w:tcPr>
            <w:tcW w:w="1706" w:type="dxa"/>
            <w:tcBorders>
              <w:top w:val="single" w:sz="4" w:space="0" w:color="auto"/>
              <w:left w:val="nil"/>
              <w:bottom w:val="nil"/>
              <w:right w:val="nil"/>
            </w:tcBorders>
            <w:shd w:val="clear" w:color="auto" w:fill="auto"/>
          </w:tcPr>
          <w:p w:rsidR="000C1A40" w:rsidRPr="00CD3A2D" w:rsidRDefault="000C1A40" w:rsidP="006A0D4C">
            <w:pPr>
              <w:tabs>
                <w:tab w:val="right" w:pos="1202"/>
              </w:tabs>
              <w:spacing w:line="301" w:lineRule="exact"/>
              <w:jc w:val="right"/>
              <w:outlineLvl w:val="0"/>
              <w:rPr>
                <w:rFonts w:ascii="Calibri" w:hAnsi="Calibri" w:cs="Calibri"/>
                <w:b/>
                <w:sz w:val="20"/>
                <w:szCs w:val="20"/>
                <w:lang w:val="hr-HR"/>
              </w:rPr>
            </w:pPr>
            <w:r w:rsidRPr="00CD3A2D">
              <w:rPr>
                <w:rFonts w:ascii="Calibri" w:hAnsi="Calibri" w:cs="Calibri"/>
                <w:b/>
                <w:sz w:val="20"/>
                <w:szCs w:val="20"/>
                <w:lang w:val="hr-HR"/>
              </w:rPr>
              <w:t>24.652.582</w:t>
            </w:r>
          </w:p>
        </w:tc>
      </w:tr>
      <w:tr w:rsidR="000C1A40" w:rsidRPr="001567C8" w:rsidTr="006A0D4C">
        <w:trPr>
          <w:trHeight w:hRule="exact" w:val="160"/>
        </w:trPr>
        <w:tc>
          <w:tcPr>
            <w:tcW w:w="3402" w:type="dxa"/>
            <w:vAlign w:val="bottom"/>
          </w:tcPr>
          <w:p w:rsidR="000C1A40" w:rsidRPr="00CD3A2D" w:rsidRDefault="000C1A40" w:rsidP="006A0D4C">
            <w:pPr>
              <w:keepNext/>
              <w:keepLines/>
              <w:tabs>
                <w:tab w:val="decimal" w:pos="1202"/>
              </w:tabs>
              <w:rPr>
                <w:rFonts w:ascii="Calibri" w:hAnsi="Calibri" w:cs="Arial"/>
                <w:b/>
                <w:position w:val="4"/>
                <w:sz w:val="20"/>
                <w:szCs w:val="20"/>
                <w:u w:val="thick"/>
                <w:lang w:val="hr-HR"/>
              </w:rPr>
            </w:pPr>
          </w:p>
        </w:tc>
        <w:tc>
          <w:tcPr>
            <w:tcW w:w="1205" w:type="dxa"/>
            <w:tcBorders>
              <w:top w:val="single" w:sz="12" w:space="0" w:color="auto"/>
            </w:tcBorders>
            <w:vAlign w:val="bottom"/>
          </w:tcPr>
          <w:p w:rsidR="000C1A40" w:rsidRPr="00CD3A2D" w:rsidRDefault="000C1A40" w:rsidP="006A0D4C">
            <w:pPr>
              <w:keepNext/>
              <w:keepLines/>
              <w:tabs>
                <w:tab w:val="decimal" w:pos="1060"/>
              </w:tabs>
              <w:jc w:val="right"/>
              <w:rPr>
                <w:rFonts w:ascii="Calibri" w:hAnsi="Calibri" w:cs="Arial"/>
                <w:b/>
                <w:position w:val="4"/>
                <w:sz w:val="20"/>
                <w:szCs w:val="20"/>
                <w:u w:val="thick"/>
                <w:lang w:val="hr-HR"/>
              </w:rPr>
            </w:pPr>
          </w:p>
        </w:tc>
        <w:tc>
          <w:tcPr>
            <w:tcW w:w="1205" w:type="dxa"/>
            <w:tcBorders>
              <w:top w:val="single" w:sz="12" w:space="0" w:color="auto"/>
            </w:tcBorders>
            <w:vAlign w:val="bottom"/>
          </w:tcPr>
          <w:p w:rsidR="000C1A40" w:rsidRPr="00CD3A2D" w:rsidRDefault="000C1A40" w:rsidP="006A0D4C">
            <w:pPr>
              <w:keepNext/>
              <w:keepLines/>
              <w:tabs>
                <w:tab w:val="decimal" w:pos="1060"/>
              </w:tabs>
              <w:jc w:val="right"/>
              <w:rPr>
                <w:rFonts w:ascii="Calibri" w:hAnsi="Calibri" w:cs="Arial"/>
                <w:b/>
                <w:position w:val="4"/>
                <w:sz w:val="20"/>
                <w:szCs w:val="20"/>
                <w:u w:val="thick"/>
                <w:lang w:val="hr-HR"/>
              </w:rPr>
            </w:pPr>
          </w:p>
        </w:tc>
        <w:tc>
          <w:tcPr>
            <w:tcW w:w="1205" w:type="dxa"/>
            <w:tcBorders>
              <w:top w:val="single" w:sz="12" w:space="0" w:color="auto"/>
            </w:tcBorders>
            <w:vAlign w:val="bottom"/>
          </w:tcPr>
          <w:p w:rsidR="000C1A40" w:rsidRPr="00CD3A2D" w:rsidRDefault="000C1A40" w:rsidP="006A0D4C">
            <w:pPr>
              <w:keepNext/>
              <w:keepLines/>
              <w:tabs>
                <w:tab w:val="decimal" w:pos="1060"/>
              </w:tabs>
              <w:jc w:val="right"/>
              <w:rPr>
                <w:rFonts w:ascii="Calibri" w:hAnsi="Calibri" w:cs="Arial"/>
                <w:b/>
                <w:position w:val="4"/>
                <w:sz w:val="20"/>
                <w:szCs w:val="20"/>
                <w:u w:val="thick"/>
                <w:lang w:val="hr-HR"/>
              </w:rPr>
            </w:pPr>
          </w:p>
        </w:tc>
        <w:tc>
          <w:tcPr>
            <w:tcW w:w="1205" w:type="dxa"/>
            <w:tcBorders>
              <w:top w:val="single" w:sz="12" w:space="0" w:color="auto"/>
            </w:tcBorders>
            <w:vAlign w:val="bottom"/>
          </w:tcPr>
          <w:p w:rsidR="000C1A40" w:rsidRPr="00CD3A2D" w:rsidRDefault="000C1A40" w:rsidP="006A0D4C">
            <w:pPr>
              <w:keepNext/>
              <w:keepLines/>
              <w:tabs>
                <w:tab w:val="decimal" w:pos="1060"/>
              </w:tabs>
              <w:jc w:val="right"/>
              <w:rPr>
                <w:rFonts w:ascii="Calibri" w:hAnsi="Calibri" w:cs="Arial"/>
                <w:b/>
                <w:position w:val="4"/>
                <w:sz w:val="20"/>
                <w:szCs w:val="20"/>
                <w:u w:val="thick"/>
                <w:lang w:val="hr-HR"/>
              </w:rPr>
            </w:pPr>
          </w:p>
        </w:tc>
        <w:tc>
          <w:tcPr>
            <w:tcW w:w="1706" w:type="dxa"/>
            <w:tcBorders>
              <w:top w:val="single" w:sz="12" w:space="0" w:color="auto"/>
            </w:tcBorders>
            <w:vAlign w:val="bottom"/>
          </w:tcPr>
          <w:p w:rsidR="000C1A40" w:rsidRPr="00CD3A2D" w:rsidRDefault="000C1A40" w:rsidP="006A0D4C">
            <w:pPr>
              <w:keepNext/>
              <w:keepLines/>
              <w:tabs>
                <w:tab w:val="decimal" w:pos="1060"/>
              </w:tabs>
              <w:jc w:val="right"/>
              <w:rPr>
                <w:rFonts w:ascii="Calibri" w:hAnsi="Calibri" w:cs="Arial"/>
                <w:b/>
                <w:position w:val="4"/>
                <w:sz w:val="20"/>
                <w:szCs w:val="20"/>
                <w:u w:val="thick"/>
                <w:lang w:val="hr-HR"/>
              </w:rPr>
            </w:pPr>
          </w:p>
        </w:tc>
      </w:tr>
      <w:tr w:rsidR="000C1A40" w:rsidRPr="001567C8" w:rsidTr="006A0D4C">
        <w:trPr>
          <w:trHeight w:val="307"/>
        </w:trPr>
        <w:tc>
          <w:tcPr>
            <w:tcW w:w="3402" w:type="dxa"/>
            <w:vAlign w:val="bottom"/>
          </w:tcPr>
          <w:p w:rsidR="000C1A40" w:rsidRPr="00CD3A2D" w:rsidRDefault="000C1A40" w:rsidP="006A0D4C">
            <w:pPr>
              <w:tabs>
                <w:tab w:val="right" w:pos="1202"/>
              </w:tabs>
              <w:outlineLvl w:val="0"/>
              <w:rPr>
                <w:rFonts w:ascii="Calibri" w:hAnsi="Calibri" w:cs="Arial"/>
                <w:b/>
                <w:bCs/>
                <w:sz w:val="20"/>
                <w:szCs w:val="20"/>
                <w:lang w:val="hr-HR"/>
              </w:rPr>
            </w:pPr>
            <w:r w:rsidRPr="00CD3A2D">
              <w:rPr>
                <w:rFonts w:ascii="Calibri" w:eastAsia="Calibri" w:hAnsi="Calibri" w:cs="Arial"/>
                <w:b/>
                <w:bCs/>
                <w:sz w:val="20"/>
                <w:szCs w:val="20"/>
                <w:lang w:val="hr-HR"/>
              </w:rPr>
              <w:t>Obveze</w:t>
            </w:r>
          </w:p>
        </w:tc>
        <w:tc>
          <w:tcPr>
            <w:tcW w:w="1205" w:type="dxa"/>
            <w:vAlign w:val="bottom"/>
          </w:tcPr>
          <w:p w:rsidR="000C1A40" w:rsidRPr="00CD3A2D" w:rsidRDefault="000C1A40" w:rsidP="006A0D4C">
            <w:pPr>
              <w:tabs>
                <w:tab w:val="right" w:pos="1202"/>
              </w:tabs>
              <w:jc w:val="right"/>
              <w:outlineLvl w:val="0"/>
              <w:rPr>
                <w:rFonts w:ascii="Calibri" w:hAnsi="Calibri" w:cs="Arial"/>
                <w:b/>
                <w:bCs/>
                <w:sz w:val="20"/>
                <w:szCs w:val="20"/>
                <w:lang w:val="hr-HR"/>
              </w:rPr>
            </w:pPr>
          </w:p>
        </w:tc>
        <w:tc>
          <w:tcPr>
            <w:tcW w:w="1205" w:type="dxa"/>
            <w:vAlign w:val="bottom"/>
          </w:tcPr>
          <w:p w:rsidR="000C1A40" w:rsidRPr="00CD3A2D" w:rsidRDefault="000C1A40" w:rsidP="006A0D4C">
            <w:pPr>
              <w:tabs>
                <w:tab w:val="right" w:pos="1202"/>
              </w:tabs>
              <w:jc w:val="right"/>
              <w:outlineLvl w:val="0"/>
              <w:rPr>
                <w:rFonts w:ascii="Calibri" w:hAnsi="Calibri" w:cs="Arial"/>
                <w:b/>
                <w:bCs/>
                <w:sz w:val="20"/>
                <w:szCs w:val="20"/>
                <w:lang w:val="hr-HR"/>
              </w:rPr>
            </w:pPr>
          </w:p>
        </w:tc>
        <w:tc>
          <w:tcPr>
            <w:tcW w:w="1205" w:type="dxa"/>
            <w:vAlign w:val="bottom"/>
          </w:tcPr>
          <w:p w:rsidR="000C1A40" w:rsidRPr="00CD3A2D" w:rsidRDefault="000C1A40" w:rsidP="006A0D4C">
            <w:pPr>
              <w:tabs>
                <w:tab w:val="right" w:pos="1202"/>
              </w:tabs>
              <w:jc w:val="right"/>
              <w:outlineLvl w:val="0"/>
              <w:rPr>
                <w:rFonts w:ascii="Calibri" w:hAnsi="Calibri" w:cs="Arial"/>
                <w:b/>
                <w:bCs/>
                <w:sz w:val="20"/>
                <w:szCs w:val="20"/>
                <w:lang w:val="hr-HR"/>
              </w:rPr>
            </w:pPr>
          </w:p>
        </w:tc>
        <w:tc>
          <w:tcPr>
            <w:tcW w:w="1205" w:type="dxa"/>
            <w:vAlign w:val="bottom"/>
          </w:tcPr>
          <w:p w:rsidR="000C1A40" w:rsidRPr="00CD3A2D" w:rsidRDefault="000C1A40" w:rsidP="006A0D4C">
            <w:pPr>
              <w:tabs>
                <w:tab w:val="right" w:pos="1202"/>
              </w:tabs>
              <w:jc w:val="right"/>
              <w:outlineLvl w:val="0"/>
              <w:rPr>
                <w:rFonts w:ascii="Calibri" w:hAnsi="Calibri" w:cs="Arial"/>
                <w:b/>
                <w:bCs/>
                <w:sz w:val="20"/>
                <w:szCs w:val="20"/>
                <w:lang w:val="hr-HR"/>
              </w:rPr>
            </w:pPr>
          </w:p>
        </w:tc>
        <w:tc>
          <w:tcPr>
            <w:tcW w:w="1706" w:type="dxa"/>
            <w:vAlign w:val="bottom"/>
          </w:tcPr>
          <w:p w:rsidR="000C1A40" w:rsidRPr="00CD3A2D" w:rsidRDefault="000C1A40" w:rsidP="006A0D4C">
            <w:pPr>
              <w:tabs>
                <w:tab w:val="right" w:pos="1202"/>
              </w:tabs>
              <w:jc w:val="right"/>
              <w:outlineLvl w:val="0"/>
              <w:rPr>
                <w:rFonts w:ascii="Calibri" w:hAnsi="Calibri" w:cs="Arial"/>
                <w:b/>
                <w:bCs/>
                <w:sz w:val="20"/>
                <w:szCs w:val="20"/>
                <w:lang w:val="hr-HR"/>
              </w:rPr>
            </w:pPr>
          </w:p>
        </w:tc>
      </w:tr>
      <w:tr w:rsidR="000C1A40" w:rsidRPr="001567C8" w:rsidTr="006A0D4C">
        <w:trPr>
          <w:trHeight w:val="297"/>
        </w:trPr>
        <w:tc>
          <w:tcPr>
            <w:tcW w:w="3402" w:type="dxa"/>
            <w:tcBorders>
              <w:top w:val="nil"/>
              <w:left w:val="nil"/>
              <w:bottom w:val="nil"/>
              <w:right w:val="nil"/>
            </w:tcBorders>
            <w:shd w:val="clear" w:color="auto" w:fill="auto"/>
            <w:vAlign w:val="bottom"/>
          </w:tcPr>
          <w:p w:rsidR="000C1A40" w:rsidRPr="00CD3A2D" w:rsidRDefault="000C1A40" w:rsidP="006A0D4C">
            <w:pPr>
              <w:tabs>
                <w:tab w:val="right" w:pos="1202"/>
              </w:tabs>
              <w:outlineLvl w:val="0"/>
              <w:rPr>
                <w:rFonts w:ascii="Calibri" w:hAnsi="Calibri" w:cs="Arial"/>
                <w:sz w:val="20"/>
                <w:szCs w:val="20"/>
                <w:lang w:val="hr-HR"/>
              </w:rPr>
            </w:pPr>
            <w:r w:rsidRPr="00CD3A2D">
              <w:rPr>
                <w:rFonts w:ascii="Calibri" w:hAnsi="Calibri"/>
                <w:color w:val="000000"/>
                <w:sz w:val="20"/>
                <w:szCs w:val="20"/>
                <w:lang w:val="hr-HR"/>
              </w:rPr>
              <w:t>Obveze po depozitima</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644.741 </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644.741 </w:t>
            </w:r>
          </w:p>
        </w:tc>
        <w:tc>
          <w:tcPr>
            <w:tcW w:w="1706" w:type="dxa"/>
            <w:tcBorders>
              <w:top w:val="nil"/>
              <w:left w:val="nil"/>
              <w:bottom w:val="nil"/>
              <w:right w:val="nil"/>
            </w:tcBorders>
            <w:shd w:val="clear" w:color="auto" w:fill="auto"/>
            <w:vAlign w:val="bottom"/>
          </w:tcPr>
          <w:p w:rsidR="000C1A40" w:rsidRPr="00CD3A2D" w:rsidRDefault="000C1A40" w:rsidP="006A0D4C">
            <w:pPr>
              <w:tabs>
                <w:tab w:val="right" w:pos="1202"/>
              </w:tabs>
              <w:spacing w:line="301" w:lineRule="exact"/>
              <w:jc w:val="right"/>
              <w:outlineLvl w:val="0"/>
              <w:rPr>
                <w:rFonts w:ascii="Calibri" w:hAnsi="Calibri" w:cs="Arial"/>
                <w:sz w:val="20"/>
                <w:szCs w:val="20"/>
                <w:lang w:val="hr-HR"/>
              </w:rPr>
            </w:pPr>
            <w:r w:rsidRPr="00CD3A2D">
              <w:rPr>
                <w:rFonts w:ascii="Calibri" w:hAnsi="Calibri" w:cs="Arial"/>
                <w:sz w:val="20"/>
                <w:szCs w:val="20"/>
                <w:lang w:val="hr-HR"/>
              </w:rPr>
              <w:t>644.741</w:t>
            </w:r>
          </w:p>
        </w:tc>
      </w:tr>
      <w:tr w:rsidR="000C1A40" w:rsidRPr="001567C8" w:rsidTr="006A0D4C">
        <w:trPr>
          <w:trHeight w:val="297"/>
        </w:trPr>
        <w:tc>
          <w:tcPr>
            <w:tcW w:w="3402" w:type="dxa"/>
            <w:tcBorders>
              <w:top w:val="nil"/>
              <w:left w:val="nil"/>
              <w:bottom w:val="nil"/>
              <w:right w:val="nil"/>
            </w:tcBorders>
            <w:shd w:val="clear" w:color="auto" w:fill="auto"/>
            <w:vAlign w:val="bottom"/>
          </w:tcPr>
          <w:p w:rsidR="000C1A40" w:rsidRPr="00CD3A2D" w:rsidRDefault="000C1A40" w:rsidP="006A0D4C">
            <w:pPr>
              <w:tabs>
                <w:tab w:val="right" w:pos="1202"/>
              </w:tabs>
              <w:outlineLvl w:val="0"/>
              <w:rPr>
                <w:rFonts w:ascii="Calibri" w:hAnsi="Calibri" w:cs="Arial"/>
                <w:sz w:val="20"/>
                <w:szCs w:val="20"/>
                <w:lang w:val="hr-HR"/>
              </w:rPr>
            </w:pPr>
            <w:r w:rsidRPr="00CD3A2D">
              <w:rPr>
                <w:rFonts w:ascii="Calibri" w:hAnsi="Calibri"/>
                <w:color w:val="000000"/>
                <w:sz w:val="20"/>
                <w:szCs w:val="20"/>
                <w:lang w:val="hr-HR"/>
              </w:rPr>
              <w:t>Obveze po kreditima</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14.030.305</w:t>
            </w:r>
          </w:p>
        </w:tc>
        <w:tc>
          <w:tcPr>
            <w:tcW w:w="1205" w:type="dxa"/>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color w:val="000000"/>
                <w:sz w:val="20"/>
                <w:szCs w:val="20"/>
                <w:lang w:val="hr-HR"/>
              </w:rPr>
              <w:t>14.030.305</w:t>
            </w:r>
          </w:p>
        </w:tc>
        <w:tc>
          <w:tcPr>
            <w:tcW w:w="1706" w:type="dxa"/>
            <w:tcBorders>
              <w:top w:val="nil"/>
              <w:left w:val="nil"/>
              <w:bottom w:val="nil"/>
              <w:right w:val="nil"/>
            </w:tcBorders>
            <w:shd w:val="clear" w:color="auto" w:fill="auto"/>
            <w:vAlign w:val="bottom"/>
          </w:tcPr>
          <w:p w:rsidR="000C1A40" w:rsidRPr="00CD3A2D" w:rsidRDefault="000C1A40" w:rsidP="006A0D4C">
            <w:pPr>
              <w:tabs>
                <w:tab w:val="right" w:pos="1202"/>
              </w:tabs>
              <w:spacing w:line="301" w:lineRule="exact"/>
              <w:jc w:val="right"/>
              <w:outlineLvl w:val="0"/>
              <w:rPr>
                <w:rFonts w:ascii="Calibri" w:hAnsi="Calibri" w:cs="Arial"/>
                <w:sz w:val="20"/>
                <w:szCs w:val="20"/>
                <w:lang w:val="hr-HR"/>
              </w:rPr>
            </w:pPr>
            <w:r w:rsidRPr="00CD3A2D">
              <w:rPr>
                <w:rFonts w:ascii="Calibri" w:hAnsi="Calibri" w:cs="Arial"/>
                <w:sz w:val="20"/>
                <w:szCs w:val="20"/>
                <w:lang w:val="hr-HR"/>
              </w:rPr>
              <w:t>15.387.881</w:t>
            </w:r>
          </w:p>
        </w:tc>
      </w:tr>
      <w:tr w:rsidR="000C1A40" w:rsidRPr="001567C8" w:rsidTr="006A0D4C">
        <w:trPr>
          <w:trHeight w:val="297"/>
        </w:trPr>
        <w:tc>
          <w:tcPr>
            <w:tcW w:w="3402" w:type="dxa"/>
            <w:tcBorders>
              <w:top w:val="nil"/>
              <w:left w:val="nil"/>
              <w:bottom w:val="nil"/>
              <w:right w:val="nil"/>
            </w:tcBorders>
            <w:shd w:val="clear" w:color="auto" w:fill="auto"/>
            <w:vAlign w:val="bottom"/>
          </w:tcPr>
          <w:p w:rsidR="000C1A40" w:rsidRPr="00CD3A2D" w:rsidRDefault="000C1A40" w:rsidP="006A0D4C">
            <w:pPr>
              <w:tabs>
                <w:tab w:val="right" w:pos="1202"/>
              </w:tabs>
              <w:outlineLvl w:val="0"/>
              <w:rPr>
                <w:rFonts w:ascii="Calibri" w:hAnsi="Calibri" w:cs="Arial"/>
                <w:sz w:val="20"/>
                <w:szCs w:val="20"/>
                <w:lang w:val="hr-HR"/>
              </w:rPr>
            </w:pPr>
            <w:r w:rsidRPr="00CD3A2D">
              <w:rPr>
                <w:rFonts w:ascii="Calibri" w:hAnsi="Calibri"/>
                <w:color w:val="000000"/>
                <w:sz w:val="20"/>
                <w:szCs w:val="20"/>
                <w:lang w:val="hr-HR"/>
              </w:rPr>
              <w:t>Obveze za izdane dugoročne vrijednosne papire</w:t>
            </w:r>
          </w:p>
        </w:tc>
        <w:tc>
          <w:tcPr>
            <w:tcW w:w="1205" w:type="dxa"/>
            <w:tcBorders>
              <w:bottom w:val="single" w:sz="4" w:space="0" w:color="auto"/>
            </w:tcBorders>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w:t>
            </w:r>
          </w:p>
        </w:tc>
        <w:tc>
          <w:tcPr>
            <w:tcW w:w="1205" w:type="dxa"/>
            <w:tcBorders>
              <w:bottom w:val="single" w:sz="4" w:space="0" w:color="auto"/>
            </w:tcBorders>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1.255.316   </w:t>
            </w:r>
          </w:p>
        </w:tc>
        <w:tc>
          <w:tcPr>
            <w:tcW w:w="1205" w:type="dxa"/>
            <w:tcBorders>
              <w:bottom w:val="single" w:sz="4" w:space="0" w:color="auto"/>
            </w:tcBorders>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 </w:t>
            </w:r>
          </w:p>
        </w:tc>
        <w:tc>
          <w:tcPr>
            <w:tcW w:w="1205" w:type="dxa"/>
            <w:tcBorders>
              <w:bottom w:val="single" w:sz="4" w:space="0" w:color="auto"/>
            </w:tcBorders>
            <w:vAlign w:val="bottom"/>
          </w:tcPr>
          <w:p w:rsidR="000C1A40" w:rsidRPr="00CD3A2D" w:rsidRDefault="000C1A40" w:rsidP="006A0D4C">
            <w:pPr>
              <w:tabs>
                <w:tab w:val="right" w:pos="1202"/>
              </w:tabs>
              <w:spacing w:line="301" w:lineRule="exact"/>
              <w:jc w:val="right"/>
              <w:outlineLvl w:val="0"/>
              <w:rPr>
                <w:rFonts w:ascii="Calibri" w:hAnsi="Calibri" w:cs="Calibri"/>
                <w:color w:val="000000"/>
                <w:sz w:val="20"/>
                <w:szCs w:val="20"/>
                <w:lang w:val="hr-HR"/>
              </w:rPr>
            </w:pPr>
            <w:r w:rsidRPr="00CD3A2D">
              <w:rPr>
                <w:rFonts w:ascii="Calibri" w:hAnsi="Calibri" w:cs="Calibri"/>
                <w:sz w:val="20"/>
                <w:szCs w:val="20"/>
                <w:lang w:val="hr-HR"/>
              </w:rPr>
              <w:t xml:space="preserve"> 1.255.316 </w:t>
            </w:r>
          </w:p>
        </w:tc>
        <w:tc>
          <w:tcPr>
            <w:tcW w:w="1706" w:type="dxa"/>
            <w:tcBorders>
              <w:top w:val="nil"/>
              <w:left w:val="nil"/>
              <w:bottom w:val="single" w:sz="4" w:space="0" w:color="auto"/>
              <w:right w:val="nil"/>
            </w:tcBorders>
            <w:shd w:val="clear" w:color="auto" w:fill="auto"/>
            <w:vAlign w:val="bottom"/>
          </w:tcPr>
          <w:p w:rsidR="000C1A40" w:rsidRPr="00CD3A2D" w:rsidRDefault="000C1A40" w:rsidP="006A0D4C">
            <w:pPr>
              <w:tabs>
                <w:tab w:val="right" w:pos="1202"/>
              </w:tabs>
              <w:spacing w:line="301" w:lineRule="exact"/>
              <w:jc w:val="right"/>
              <w:outlineLvl w:val="0"/>
              <w:rPr>
                <w:rFonts w:ascii="Calibri" w:hAnsi="Calibri" w:cs="Arial"/>
                <w:sz w:val="20"/>
                <w:szCs w:val="20"/>
                <w:lang w:val="hr-HR"/>
              </w:rPr>
            </w:pPr>
            <w:r w:rsidRPr="00CD3A2D">
              <w:rPr>
                <w:rFonts w:ascii="Calibri" w:hAnsi="Calibri" w:cs="Arial"/>
                <w:sz w:val="20"/>
                <w:szCs w:val="20"/>
                <w:lang w:val="hr-HR"/>
              </w:rPr>
              <w:t>1.161.699</w:t>
            </w:r>
          </w:p>
        </w:tc>
      </w:tr>
      <w:tr w:rsidR="000C1A40" w:rsidRPr="001567C8" w:rsidTr="006A0D4C">
        <w:trPr>
          <w:trHeight w:val="297"/>
        </w:trPr>
        <w:tc>
          <w:tcPr>
            <w:tcW w:w="3402" w:type="dxa"/>
            <w:tcBorders>
              <w:top w:val="nil"/>
              <w:left w:val="nil"/>
              <w:bottom w:val="nil"/>
              <w:right w:val="nil"/>
            </w:tcBorders>
            <w:shd w:val="clear" w:color="auto" w:fill="auto"/>
            <w:vAlign w:val="bottom"/>
          </w:tcPr>
          <w:p w:rsidR="000C1A40" w:rsidRPr="00CD3A2D" w:rsidRDefault="000C1A40" w:rsidP="006A0D4C">
            <w:pPr>
              <w:tabs>
                <w:tab w:val="right" w:pos="1202"/>
              </w:tabs>
              <w:outlineLvl w:val="0"/>
              <w:rPr>
                <w:rFonts w:ascii="Calibri" w:hAnsi="Calibri"/>
                <w:color w:val="000000"/>
                <w:sz w:val="20"/>
                <w:szCs w:val="20"/>
                <w:lang w:val="hr-HR"/>
              </w:rPr>
            </w:pPr>
          </w:p>
        </w:tc>
        <w:tc>
          <w:tcPr>
            <w:tcW w:w="1205" w:type="dxa"/>
            <w:tcBorders>
              <w:top w:val="single" w:sz="4" w:space="0" w:color="auto"/>
              <w:bottom w:val="single" w:sz="12" w:space="0" w:color="auto"/>
            </w:tcBorders>
            <w:vAlign w:val="bottom"/>
          </w:tcPr>
          <w:p w:rsidR="000C1A40" w:rsidRPr="00CD3A2D" w:rsidRDefault="000C1A40" w:rsidP="006A0D4C">
            <w:pPr>
              <w:tabs>
                <w:tab w:val="right" w:pos="1202"/>
              </w:tabs>
              <w:spacing w:line="301" w:lineRule="exact"/>
              <w:jc w:val="right"/>
              <w:outlineLvl w:val="0"/>
              <w:rPr>
                <w:rFonts w:ascii="Calibri" w:hAnsi="Calibri" w:cs="Calibri"/>
                <w:b/>
                <w:color w:val="000000"/>
                <w:sz w:val="20"/>
                <w:szCs w:val="20"/>
                <w:lang w:val="hr-HR"/>
              </w:rPr>
            </w:pPr>
            <w:r w:rsidRPr="00CD3A2D">
              <w:rPr>
                <w:rFonts w:ascii="Calibri" w:hAnsi="Calibri" w:cs="Calibri"/>
                <w:b/>
                <w:color w:val="000000"/>
                <w:sz w:val="20"/>
                <w:szCs w:val="20"/>
                <w:lang w:val="hr-HR"/>
              </w:rPr>
              <w:t>-</w:t>
            </w:r>
          </w:p>
        </w:tc>
        <w:tc>
          <w:tcPr>
            <w:tcW w:w="1205" w:type="dxa"/>
            <w:tcBorders>
              <w:top w:val="single" w:sz="4" w:space="0" w:color="auto"/>
              <w:bottom w:val="single" w:sz="12" w:space="0" w:color="auto"/>
            </w:tcBorders>
            <w:vAlign w:val="bottom"/>
          </w:tcPr>
          <w:p w:rsidR="000C1A40" w:rsidRPr="00CD3A2D" w:rsidRDefault="000C1A40" w:rsidP="006A0D4C">
            <w:pPr>
              <w:tabs>
                <w:tab w:val="right" w:pos="1202"/>
              </w:tabs>
              <w:spacing w:line="301" w:lineRule="exact"/>
              <w:jc w:val="right"/>
              <w:outlineLvl w:val="0"/>
              <w:rPr>
                <w:rFonts w:ascii="Calibri" w:hAnsi="Calibri" w:cs="Calibri"/>
                <w:b/>
                <w:color w:val="000000"/>
                <w:sz w:val="20"/>
                <w:szCs w:val="20"/>
                <w:lang w:val="hr-HR"/>
              </w:rPr>
            </w:pPr>
            <w:r w:rsidRPr="00CD3A2D">
              <w:rPr>
                <w:rFonts w:ascii="Calibri" w:hAnsi="Calibri" w:cs="Calibri"/>
                <w:b/>
                <w:color w:val="000000"/>
                <w:sz w:val="20"/>
                <w:szCs w:val="20"/>
                <w:lang w:val="hr-HR"/>
              </w:rPr>
              <w:t>1.900.057</w:t>
            </w:r>
          </w:p>
        </w:tc>
        <w:tc>
          <w:tcPr>
            <w:tcW w:w="1205" w:type="dxa"/>
            <w:tcBorders>
              <w:top w:val="single" w:sz="4" w:space="0" w:color="auto"/>
              <w:bottom w:val="single" w:sz="12" w:space="0" w:color="auto"/>
            </w:tcBorders>
            <w:vAlign w:val="bottom"/>
          </w:tcPr>
          <w:p w:rsidR="000C1A40" w:rsidRPr="00CD3A2D" w:rsidRDefault="000C1A40" w:rsidP="006A0D4C">
            <w:pPr>
              <w:tabs>
                <w:tab w:val="right" w:pos="1202"/>
              </w:tabs>
              <w:spacing w:line="301" w:lineRule="exact"/>
              <w:jc w:val="right"/>
              <w:outlineLvl w:val="0"/>
              <w:rPr>
                <w:rFonts w:ascii="Calibri" w:hAnsi="Calibri" w:cs="Calibri"/>
                <w:b/>
                <w:color w:val="000000"/>
                <w:sz w:val="20"/>
                <w:szCs w:val="20"/>
                <w:lang w:val="hr-HR"/>
              </w:rPr>
            </w:pPr>
            <w:r w:rsidRPr="00CD3A2D">
              <w:rPr>
                <w:rFonts w:ascii="Calibri" w:hAnsi="Calibri" w:cs="Calibri"/>
                <w:b/>
                <w:color w:val="000000"/>
                <w:sz w:val="20"/>
                <w:szCs w:val="20"/>
                <w:lang w:val="hr-HR"/>
              </w:rPr>
              <w:t>14.030.305</w:t>
            </w:r>
          </w:p>
        </w:tc>
        <w:tc>
          <w:tcPr>
            <w:tcW w:w="1205" w:type="dxa"/>
            <w:tcBorders>
              <w:top w:val="single" w:sz="4" w:space="0" w:color="auto"/>
              <w:bottom w:val="single" w:sz="12" w:space="0" w:color="auto"/>
            </w:tcBorders>
            <w:vAlign w:val="bottom"/>
          </w:tcPr>
          <w:p w:rsidR="000C1A40" w:rsidRPr="00CD3A2D" w:rsidRDefault="000C1A40" w:rsidP="006A0D4C">
            <w:pPr>
              <w:tabs>
                <w:tab w:val="right" w:pos="1202"/>
              </w:tabs>
              <w:spacing w:line="301" w:lineRule="exact"/>
              <w:jc w:val="right"/>
              <w:outlineLvl w:val="0"/>
              <w:rPr>
                <w:rFonts w:ascii="Calibri" w:hAnsi="Calibri" w:cs="Calibri"/>
                <w:b/>
                <w:color w:val="000000"/>
                <w:sz w:val="20"/>
                <w:szCs w:val="20"/>
                <w:lang w:val="hr-HR"/>
              </w:rPr>
            </w:pPr>
            <w:r w:rsidRPr="00CD3A2D">
              <w:rPr>
                <w:rFonts w:ascii="Calibri" w:hAnsi="Calibri" w:cs="Calibri"/>
                <w:b/>
                <w:color w:val="000000"/>
                <w:sz w:val="20"/>
                <w:szCs w:val="20"/>
                <w:lang w:val="hr-HR"/>
              </w:rPr>
              <w:t>15.930.362</w:t>
            </w:r>
          </w:p>
        </w:tc>
        <w:tc>
          <w:tcPr>
            <w:tcW w:w="1706" w:type="dxa"/>
            <w:tcBorders>
              <w:top w:val="single" w:sz="4" w:space="0" w:color="auto"/>
              <w:left w:val="nil"/>
              <w:bottom w:val="single" w:sz="12" w:space="0" w:color="auto"/>
              <w:right w:val="nil"/>
            </w:tcBorders>
            <w:shd w:val="clear" w:color="auto" w:fill="auto"/>
            <w:vAlign w:val="bottom"/>
          </w:tcPr>
          <w:p w:rsidR="000C1A40" w:rsidRPr="00CD3A2D" w:rsidRDefault="000C1A40" w:rsidP="006A0D4C">
            <w:pPr>
              <w:tabs>
                <w:tab w:val="right" w:pos="1202"/>
              </w:tabs>
              <w:spacing w:line="301" w:lineRule="exact"/>
              <w:jc w:val="right"/>
              <w:outlineLvl w:val="0"/>
              <w:rPr>
                <w:rFonts w:ascii="Calibri" w:hAnsi="Calibri" w:cs="Arial"/>
                <w:b/>
                <w:sz w:val="20"/>
                <w:szCs w:val="20"/>
                <w:lang w:val="hr-HR"/>
              </w:rPr>
            </w:pPr>
            <w:r w:rsidRPr="00CD3A2D">
              <w:rPr>
                <w:rFonts w:ascii="Calibri" w:hAnsi="Calibri" w:cs="Arial"/>
                <w:b/>
                <w:sz w:val="20"/>
                <w:szCs w:val="20"/>
                <w:lang w:val="hr-HR"/>
              </w:rPr>
              <w:t>17.194.321</w:t>
            </w:r>
          </w:p>
        </w:tc>
      </w:tr>
    </w:tbl>
    <w:bookmarkEnd w:id="83"/>
    <w:p w:rsidR="005D569B" w:rsidRPr="00CD3A2D" w:rsidRDefault="005D569B" w:rsidP="005D569B">
      <w:pPr>
        <w:rPr>
          <w:rFonts w:ascii="Calibri" w:hAnsi="Calibri" w:cs="Arial"/>
          <w:b/>
          <w:sz w:val="20"/>
          <w:szCs w:val="20"/>
          <w:lang w:val="hr-HR"/>
        </w:rPr>
      </w:pPr>
      <w:r w:rsidRPr="00CD3A2D">
        <w:rPr>
          <w:rFonts w:ascii="Calibri" w:hAnsi="Calibri" w:cs="Arial"/>
          <w:b/>
          <w:sz w:val="20"/>
          <w:szCs w:val="20"/>
          <w:lang w:val="hr-HR"/>
        </w:rPr>
        <w:t>Grupa</w:t>
      </w:r>
    </w:p>
    <w:p w:rsidR="000C1A40" w:rsidRPr="001567C8" w:rsidRDefault="000C1A40" w:rsidP="00964345">
      <w:pPr>
        <w:pStyle w:val="T1"/>
        <w:keepNext w:val="0"/>
        <w:spacing w:before="0" w:after="0" w:line="240" w:lineRule="auto"/>
        <w:rPr>
          <w:rFonts w:asciiTheme="minorHAnsi" w:hAnsiTheme="minorHAnsi" w:cs="Arial"/>
          <w:b w:val="0"/>
          <w:spacing w:val="-3"/>
          <w:sz w:val="16"/>
          <w:szCs w:val="16"/>
          <w:lang w:val="hr-HR"/>
        </w:rPr>
      </w:pPr>
    </w:p>
    <w:p w:rsidR="000C1A40" w:rsidRPr="001567C8" w:rsidRDefault="000C1A40" w:rsidP="00964345">
      <w:pPr>
        <w:pStyle w:val="T1"/>
        <w:keepNext w:val="0"/>
        <w:spacing w:before="0" w:after="0" w:line="240" w:lineRule="auto"/>
        <w:rPr>
          <w:rFonts w:asciiTheme="minorHAnsi" w:hAnsiTheme="minorHAnsi" w:cs="Arial"/>
          <w:b w:val="0"/>
          <w:spacing w:val="-3"/>
          <w:sz w:val="16"/>
          <w:szCs w:val="16"/>
          <w:lang w:val="hr-HR"/>
        </w:rPr>
      </w:pPr>
    </w:p>
    <w:p w:rsidR="000C1A40" w:rsidRPr="001567C8" w:rsidRDefault="000C1A40" w:rsidP="00964345">
      <w:pPr>
        <w:pStyle w:val="T1"/>
        <w:keepNext w:val="0"/>
        <w:spacing w:before="0" w:after="0" w:line="240" w:lineRule="auto"/>
        <w:rPr>
          <w:rFonts w:asciiTheme="minorHAnsi" w:hAnsiTheme="minorHAnsi" w:cs="Arial"/>
          <w:b w:val="0"/>
          <w:spacing w:val="-3"/>
          <w:sz w:val="16"/>
          <w:szCs w:val="16"/>
          <w:lang w:val="hr-HR"/>
        </w:rPr>
        <w:sectPr w:rsidR="000C1A40" w:rsidRPr="001567C8" w:rsidSect="0077198A">
          <w:pgSz w:w="11907" w:h="16840" w:code="9"/>
          <w:pgMar w:top="1418" w:right="1134" w:bottom="1134" w:left="1418" w:header="851" w:footer="851" w:gutter="0"/>
          <w:cols w:space="720"/>
          <w:noEndnote/>
        </w:sectPr>
      </w:pPr>
    </w:p>
    <w:p w:rsidR="000C1A40" w:rsidRPr="001567C8" w:rsidRDefault="000C1A40" w:rsidP="00964345">
      <w:pPr>
        <w:pStyle w:val="T1"/>
        <w:keepNext w:val="0"/>
        <w:spacing w:before="0" w:after="0" w:line="240" w:lineRule="auto"/>
        <w:rPr>
          <w:rFonts w:asciiTheme="minorHAnsi" w:hAnsiTheme="minorHAnsi" w:cs="Arial"/>
          <w:b w:val="0"/>
          <w:spacing w:val="-3"/>
          <w:sz w:val="16"/>
          <w:szCs w:val="16"/>
          <w:lang w:val="hr-HR"/>
        </w:rPr>
      </w:pPr>
    </w:p>
    <w:p w:rsidR="000C1A40" w:rsidRPr="001567C8" w:rsidRDefault="000C1A40" w:rsidP="00964345">
      <w:pPr>
        <w:pStyle w:val="T1"/>
        <w:keepNext w:val="0"/>
        <w:spacing w:before="0" w:after="0" w:line="240" w:lineRule="auto"/>
        <w:rPr>
          <w:rFonts w:asciiTheme="minorHAnsi" w:hAnsiTheme="minorHAnsi" w:cs="Arial"/>
          <w:b w:val="0"/>
          <w:spacing w:val="-3"/>
          <w:sz w:val="16"/>
          <w:szCs w:val="16"/>
          <w:lang w:val="hr-HR"/>
        </w:rPr>
      </w:pPr>
    </w:p>
    <w:p w:rsidR="000C1A40" w:rsidRPr="001567C8" w:rsidRDefault="000C1A40" w:rsidP="000C1A40">
      <w:pPr>
        <w:keepNext/>
        <w:tabs>
          <w:tab w:val="left" w:pos="567"/>
        </w:tabs>
        <w:jc w:val="both"/>
        <w:rPr>
          <w:rFonts w:ascii="Calibri" w:hAnsi="Calibri" w:cs="Arial"/>
          <w:b/>
          <w:bCs/>
          <w:spacing w:val="-3"/>
          <w:sz w:val="22"/>
          <w:szCs w:val="22"/>
          <w:lang w:val="hr-HR"/>
        </w:rPr>
      </w:pPr>
      <w:r w:rsidRPr="001567C8">
        <w:rPr>
          <w:rFonts w:ascii="Calibri" w:hAnsi="Calibri" w:cs="Arial"/>
          <w:b/>
          <w:bCs/>
          <w:spacing w:val="-3"/>
          <w:sz w:val="22"/>
          <w:szCs w:val="22"/>
          <w:lang w:val="hr-HR"/>
        </w:rPr>
        <w:t xml:space="preserve">37. </w:t>
      </w:r>
      <w:r w:rsidRPr="001567C8">
        <w:rPr>
          <w:rFonts w:ascii="Calibri" w:hAnsi="Calibri" w:cs="Arial"/>
          <w:b/>
          <w:bCs/>
          <w:spacing w:val="-3"/>
          <w:sz w:val="22"/>
          <w:szCs w:val="22"/>
          <w:lang w:val="hr-HR"/>
        </w:rPr>
        <w:tab/>
        <w:t>Fer vrijednost financijske imovine i financijskih obveza (nastavak)</w:t>
      </w:r>
    </w:p>
    <w:p w:rsidR="000C1A40" w:rsidRPr="001567C8" w:rsidRDefault="000C1A40" w:rsidP="000C1A40">
      <w:pPr>
        <w:pStyle w:val="T1"/>
        <w:keepNext w:val="0"/>
        <w:spacing w:before="0" w:after="0" w:line="240" w:lineRule="auto"/>
        <w:rPr>
          <w:rFonts w:ascii="Calibri" w:eastAsia="Calibri" w:hAnsi="Calibri" w:cs="FrutigerLTCom-Light"/>
          <w:b w:val="0"/>
          <w:bCs w:val="0"/>
          <w:sz w:val="22"/>
          <w:szCs w:val="22"/>
          <w:lang w:val="hr-HR"/>
        </w:rPr>
      </w:pPr>
    </w:p>
    <w:p w:rsidR="000C1A40" w:rsidRPr="00CD3A2D" w:rsidRDefault="000C1A40" w:rsidP="000C1A40">
      <w:pPr>
        <w:pStyle w:val="T1"/>
        <w:spacing w:before="0" w:after="0" w:line="240" w:lineRule="auto"/>
        <w:ind w:left="709" w:hanging="709"/>
        <w:rPr>
          <w:rFonts w:asciiTheme="minorHAnsi" w:hAnsiTheme="minorHAnsi" w:cs="Arial"/>
          <w:spacing w:val="-3"/>
          <w:sz w:val="22"/>
          <w:szCs w:val="22"/>
          <w:lang w:val="hr-HR"/>
        </w:rPr>
      </w:pPr>
      <w:r w:rsidRPr="00CD3A2D">
        <w:rPr>
          <w:rFonts w:asciiTheme="minorHAnsi" w:hAnsiTheme="minorHAnsi" w:cs="Arial"/>
          <w:spacing w:val="-3"/>
          <w:sz w:val="22"/>
          <w:szCs w:val="22"/>
          <w:lang w:val="hr-HR"/>
        </w:rPr>
        <w:t xml:space="preserve">37.1.2 </w:t>
      </w:r>
      <w:r w:rsidRPr="00CD3A2D">
        <w:rPr>
          <w:rFonts w:asciiTheme="minorHAnsi" w:hAnsiTheme="minorHAnsi" w:cs="Arial"/>
          <w:spacing w:val="-3"/>
          <w:sz w:val="22"/>
          <w:szCs w:val="22"/>
          <w:lang w:val="hr-HR"/>
        </w:rPr>
        <w:tab/>
        <w:t>Financijski instrumenti koji se ne vode po fer vrijednosti (nastavak)</w:t>
      </w:r>
    </w:p>
    <w:p w:rsidR="000C1A40" w:rsidRPr="001567C8" w:rsidRDefault="000C1A40" w:rsidP="00964345">
      <w:pPr>
        <w:pStyle w:val="T1"/>
        <w:keepNext w:val="0"/>
        <w:spacing w:before="0" w:after="0" w:line="240" w:lineRule="auto"/>
        <w:rPr>
          <w:rFonts w:asciiTheme="minorHAnsi" w:hAnsiTheme="minorHAnsi" w:cs="Arial"/>
          <w:b w:val="0"/>
          <w:spacing w:val="-3"/>
          <w:sz w:val="16"/>
          <w:szCs w:val="16"/>
          <w:lang w:val="hr-HR"/>
        </w:rPr>
      </w:pPr>
    </w:p>
    <w:tbl>
      <w:tblPr>
        <w:tblpPr w:leftFromText="181" w:rightFromText="181" w:vertAnchor="text" w:horzAnchor="margin" w:tblpX="-284" w:tblpY="360"/>
        <w:tblW w:w="9928" w:type="dxa"/>
        <w:tblLayout w:type="fixed"/>
        <w:tblLook w:val="0000" w:firstRow="0" w:lastRow="0" w:firstColumn="0" w:lastColumn="0" w:noHBand="0" w:noVBand="0"/>
      </w:tblPr>
      <w:tblGrid>
        <w:gridCol w:w="3402"/>
        <w:gridCol w:w="1205"/>
        <w:gridCol w:w="1205"/>
        <w:gridCol w:w="1205"/>
        <w:gridCol w:w="1205"/>
        <w:gridCol w:w="1706"/>
      </w:tblGrid>
      <w:tr w:rsidR="000B4639" w:rsidRPr="001567C8" w:rsidTr="003C6BA3">
        <w:trPr>
          <w:trHeight w:val="289"/>
        </w:trPr>
        <w:tc>
          <w:tcPr>
            <w:tcW w:w="3402" w:type="dxa"/>
            <w:vAlign w:val="bottom"/>
          </w:tcPr>
          <w:p w:rsidR="000C1A40" w:rsidRPr="00CD3A2D" w:rsidRDefault="000C1A40" w:rsidP="00964345">
            <w:pPr>
              <w:rPr>
                <w:rFonts w:asciiTheme="minorHAnsi" w:hAnsiTheme="minorHAnsi" w:cs="Arial"/>
                <w:b/>
                <w:sz w:val="20"/>
                <w:szCs w:val="20"/>
                <w:lang w:val="hr-HR"/>
              </w:rPr>
            </w:pPr>
            <w:r w:rsidRPr="00CD3A2D">
              <w:rPr>
                <w:rFonts w:asciiTheme="minorHAnsi" w:hAnsiTheme="minorHAnsi" w:cs="Arial"/>
                <w:b/>
                <w:sz w:val="20"/>
                <w:szCs w:val="20"/>
                <w:lang w:val="hr-HR"/>
              </w:rPr>
              <w:t>Banka</w:t>
            </w:r>
          </w:p>
          <w:p w:rsidR="000C1A40" w:rsidRPr="00CD3A2D" w:rsidRDefault="000C1A40" w:rsidP="00964345">
            <w:pPr>
              <w:rPr>
                <w:rFonts w:asciiTheme="minorHAnsi" w:hAnsiTheme="minorHAnsi" w:cs="Arial"/>
                <w:b/>
                <w:sz w:val="20"/>
                <w:szCs w:val="20"/>
                <w:lang w:val="hr-HR"/>
              </w:rPr>
            </w:pPr>
          </w:p>
          <w:p w:rsidR="000B4639" w:rsidRPr="00CD3A2D" w:rsidRDefault="00AD2EF7" w:rsidP="00D23500">
            <w:pPr>
              <w:rPr>
                <w:rFonts w:asciiTheme="minorHAnsi" w:hAnsiTheme="minorHAnsi" w:cs="Arial"/>
                <w:b/>
                <w:sz w:val="20"/>
                <w:szCs w:val="20"/>
                <w:lang w:val="hr-HR"/>
              </w:rPr>
            </w:pPr>
            <w:r>
              <w:rPr>
                <w:rFonts w:asciiTheme="minorHAnsi" w:hAnsiTheme="minorHAnsi" w:cs="Arial"/>
                <w:b/>
                <w:sz w:val="20"/>
                <w:szCs w:val="20"/>
                <w:lang w:val="hr-HR"/>
              </w:rPr>
              <w:t>31. prosin</w:t>
            </w:r>
            <w:r w:rsidR="0073283D" w:rsidRPr="00CD3A2D">
              <w:rPr>
                <w:rFonts w:asciiTheme="minorHAnsi" w:hAnsiTheme="minorHAnsi" w:cs="Arial"/>
                <w:b/>
                <w:sz w:val="20"/>
                <w:szCs w:val="20"/>
                <w:lang w:val="hr-HR"/>
              </w:rPr>
              <w:t>c</w:t>
            </w:r>
            <w:r>
              <w:rPr>
                <w:rFonts w:asciiTheme="minorHAnsi" w:hAnsiTheme="minorHAnsi" w:cs="Arial"/>
                <w:b/>
                <w:sz w:val="20"/>
                <w:szCs w:val="20"/>
                <w:lang w:val="hr-HR"/>
              </w:rPr>
              <w:t>a</w:t>
            </w:r>
            <w:r w:rsidR="0073283D" w:rsidRPr="00CD3A2D">
              <w:rPr>
                <w:rFonts w:asciiTheme="minorHAnsi" w:hAnsiTheme="minorHAnsi" w:cs="Arial"/>
                <w:b/>
                <w:sz w:val="20"/>
                <w:szCs w:val="20"/>
                <w:lang w:val="hr-HR"/>
              </w:rPr>
              <w:t xml:space="preserve"> </w:t>
            </w:r>
            <w:r w:rsidR="000B4639" w:rsidRPr="00CD3A2D">
              <w:rPr>
                <w:rFonts w:asciiTheme="minorHAnsi" w:hAnsiTheme="minorHAnsi" w:cs="Arial"/>
                <w:b/>
                <w:sz w:val="20"/>
                <w:szCs w:val="20"/>
                <w:lang w:val="hr-HR"/>
              </w:rPr>
              <w:t>2018. godina</w:t>
            </w:r>
          </w:p>
        </w:tc>
        <w:tc>
          <w:tcPr>
            <w:tcW w:w="1205" w:type="dxa"/>
            <w:shd w:val="clear" w:color="auto" w:fill="auto"/>
            <w:vAlign w:val="center"/>
          </w:tcPr>
          <w:p w:rsidR="000B4639" w:rsidRPr="00CD3A2D" w:rsidRDefault="000B4639" w:rsidP="00D23500">
            <w:pPr>
              <w:jc w:val="right"/>
              <w:rPr>
                <w:rFonts w:asciiTheme="minorHAnsi" w:hAnsiTheme="minorHAnsi" w:cs="Arial"/>
                <w:b/>
                <w:sz w:val="20"/>
                <w:szCs w:val="20"/>
                <w:lang w:val="hr-HR"/>
              </w:rPr>
            </w:pPr>
            <w:r w:rsidRPr="001567C8">
              <w:rPr>
                <w:rFonts w:asciiTheme="minorHAnsi" w:eastAsia="Calibri" w:hAnsiTheme="minorHAnsi" w:cs="Arial"/>
                <w:b/>
                <w:spacing w:val="-2"/>
                <w:sz w:val="20"/>
                <w:szCs w:val="20"/>
                <w:lang w:val="hr-HR"/>
              </w:rPr>
              <w:t>Razina 1</w:t>
            </w:r>
          </w:p>
        </w:tc>
        <w:tc>
          <w:tcPr>
            <w:tcW w:w="1205" w:type="dxa"/>
            <w:shd w:val="clear" w:color="auto" w:fill="auto"/>
            <w:vAlign w:val="center"/>
          </w:tcPr>
          <w:p w:rsidR="000B4639" w:rsidRPr="00CD3A2D" w:rsidRDefault="000B4639" w:rsidP="00384142">
            <w:pPr>
              <w:jc w:val="right"/>
              <w:rPr>
                <w:rFonts w:asciiTheme="minorHAnsi" w:hAnsiTheme="minorHAnsi" w:cs="Arial"/>
                <w:b/>
                <w:sz w:val="20"/>
                <w:szCs w:val="20"/>
                <w:lang w:val="hr-HR"/>
              </w:rPr>
            </w:pPr>
            <w:r w:rsidRPr="001567C8">
              <w:rPr>
                <w:rFonts w:asciiTheme="minorHAnsi" w:eastAsia="Calibri" w:hAnsiTheme="minorHAnsi" w:cs="Arial"/>
                <w:b/>
                <w:spacing w:val="-2"/>
                <w:sz w:val="20"/>
                <w:szCs w:val="20"/>
                <w:lang w:val="hr-HR"/>
              </w:rPr>
              <w:t>Razina 2</w:t>
            </w:r>
          </w:p>
        </w:tc>
        <w:tc>
          <w:tcPr>
            <w:tcW w:w="1205" w:type="dxa"/>
            <w:shd w:val="clear" w:color="auto" w:fill="auto"/>
            <w:vAlign w:val="center"/>
          </w:tcPr>
          <w:p w:rsidR="000B4639" w:rsidRPr="00CD3A2D" w:rsidRDefault="000B4639" w:rsidP="00384142">
            <w:pPr>
              <w:jc w:val="right"/>
              <w:rPr>
                <w:rFonts w:asciiTheme="minorHAnsi" w:hAnsiTheme="minorHAnsi" w:cs="Arial"/>
                <w:b/>
                <w:sz w:val="20"/>
                <w:szCs w:val="20"/>
                <w:lang w:val="hr-HR"/>
              </w:rPr>
            </w:pPr>
            <w:r w:rsidRPr="001567C8">
              <w:rPr>
                <w:rFonts w:asciiTheme="minorHAnsi" w:eastAsia="Calibri" w:hAnsiTheme="minorHAnsi" w:cs="Arial"/>
                <w:b/>
                <w:spacing w:val="-2"/>
                <w:sz w:val="20"/>
                <w:szCs w:val="20"/>
                <w:lang w:val="hr-HR"/>
              </w:rPr>
              <w:t>Razina 3</w:t>
            </w:r>
          </w:p>
        </w:tc>
        <w:tc>
          <w:tcPr>
            <w:tcW w:w="1205" w:type="dxa"/>
            <w:vAlign w:val="center"/>
          </w:tcPr>
          <w:p w:rsidR="000B4639" w:rsidRPr="00CD3A2D" w:rsidRDefault="000B4639" w:rsidP="00442721">
            <w:pPr>
              <w:jc w:val="right"/>
              <w:rPr>
                <w:rFonts w:asciiTheme="minorHAnsi" w:hAnsiTheme="minorHAnsi" w:cs="Arial"/>
                <w:b/>
                <w:sz w:val="20"/>
                <w:szCs w:val="20"/>
                <w:lang w:val="hr-HR"/>
              </w:rPr>
            </w:pPr>
            <w:r w:rsidRPr="00CD3A2D">
              <w:rPr>
                <w:rFonts w:asciiTheme="minorHAnsi" w:hAnsiTheme="minorHAnsi" w:cs="Arial"/>
                <w:b/>
                <w:sz w:val="20"/>
                <w:szCs w:val="20"/>
                <w:lang w:val="hr-HR"/>
              </w:rPr>
              <w:t>Fer vrijednost</w:t>
            </w:r>
          </w:p>
        </w:tc>
        <w:tc>
          <w:tcPr>
            <w:tcW w:w="1706" w:type="dxa"/>
            <w:vAlign w:val="center"/>
          </w:tcPr>
          <w:p w:rsidR="000B4639" w:rsidRPr="00CD3A2D" w:rsidRDefault="000B4639" w:rsidP="00CD3A2D">
            <w:pPr>
              <w:jc w:val="right"/>
              <w:rPr>
                <w:rFonts w:asciiTheme="minorHAnsi" w:hAnsiTheme="minorHAnsi" w:cs="Arial"/>
                <w:b/>
                <w:sz w:val="20"/>
                <w:szCs w:val="20"/>
                <w:lang w:val="hr-HR"/>
              </w:rPr>
            </w:pPr>
            <w:r w:rsidRPr="00CD3A2D">
              <w:rPr>
                <w:rFonts w:asciiTheme="minorHAnsi" w:hAnsiTheme="minorHAnsi" w:cs="Arial"/>
                <w:b/>
                <w:sz w:val="20"/>
                <w:szCs w:val="20"/>
                <w:lang w:val="hr-HR"/>
              </w:rPr>
              <w:t>Knjigovodstvena vrijednost</w:t>
            </w:r>
          </w:p>
        </w:tc>
      </w:tr>
      <w:tr w:rsidR="002F6E35" w:rsidRPr="001567C8" w:rsidTr="003C6BA3">
        <w:trPr>
          <w:trHeight w:hRule="exact" w:val="271"/>
        </w:trPr>
        <w:tc>
          <w:tcPr>
            <w:tcW w:w="3402" w:type="dxa"/>
            <w:vAlign w:val="bottom"/>
          </w:tcPr>
          <w:p w:rsidR="002F6E35" w:rsidRPr="00CD3A2D" w:rsidRDefault="002F6E35" w:rsidP="00D23500">
            <w:pPr>
              <w:rPr>
                <w:rFonts w:asciiTheme="minorHAnsi" w:hAnsiTheme="minorHAnsi" w:cs="Arial"/>
                <w:sz w:val="20"/>
                <w:szCs w:val="20"/>
                <w:lang w:val="hr-HR"/>
              </w:rPr>
            </w:pPr>
          </w:p>
        </w:tc>
        <w:tc>
          <w:tcPr>
            <w:tcW w:w="1205" w:type="dxa"/>
            <w:vAlign w:val="center"/>
          </w:tcPr>
          <w:p w:rsidR="002F6E35" w:rsidRPr="00CD3A2D" w:rsidRDefault="002F6E35" w:rsidP="00D23500">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c>
          <w:tcPr>
            <w:tcW w:w="1205" w:type="dxa"/>
            <w:vAlign w:val="center"/>
          </w:tcPr>
          <w:p w:rsidR="002F6E35" w:rsidRPr="00CD3A2D" w:rsidRDefault="002F6E35" w:rsidP="00384142">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c>
          <w:tcPr>
            <w:tcW w:w="1205" w:type="dxa"/>
            <w:vAlign w:val="center"/>
          </w:tcPr>
          <w:p w:rsidR="002F6E35" w:rsidRPr="00CD3A2D" w:rsidRDefault="002F6E35" w:rsidP="00384142">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c>
          <w:tcPr>
            <w:tcW w:w="1205" w:type="dxa"/>
            <w:vAlign w:val="center"/>
          </w:tcPr>
          <w:p w:rsidR="002F6E35" w:rsidRPr="00CD3A2D" w:rsidRDefault="002F6E35" w:rsidP="00442721">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c>
          <w:tcPr>
            <w:tcW w:w="1706" w:type="dxa"/>
            <w:vAlign w:val="center"/>
          </w:tcPr>
          <w:p w:rsidR="002F6E35" w:rsidRPr="00CD3A2D" w:rsidRDefault="002F6E35" w:rsidP="00CD3A2D">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r>
      <w:tr w:rsidR="000B4639" w:rsidRPr="001567C8" w:rsidTr="003C6BA3">
        <w:trPr>
          <w:trHeight w:hRule="exact" w:val="162"/>
        </w:trPr>
        <w:tc>
          <w:tcPr>
            <w:tcW w:w="3402" w:type="dxa"/>
            <w:vAlign w:val="bottom"/>
          </w:tcPr>
          <w:p w:rsidR="000B4639" w:rsidRPr="00CD3A2D" w:rsidRDefault="000B4639" w:rsidP="00D23500">
            <w:pPr>
              <w:rPr>
                <w:rFonts w:asciiTheme="minorHAnsi" w:hAnsiTheme="minorHAnsi" w:cs="Arial"/>
                <w:sz w:val="20"/>
                <w:szCs w:val="20"/>
                <w:lang w:val="hr-HR"/>
              </w:rPr>
            </w:pPr>
          </w:p>
        </w:tc>
        <w:tc>
          <w:tcPr>
            <w:tcW w:w="1205" w:type="dxa"/>
            <w:vAlign w:val="center"/>
          </w:tcPr>
          <w:p w:rsidR="000B4639" w:rsidRPr="00CD3A2D" w:rsidRDefault="000B4639" w:rsidP="00D23500">
            <w:pPr>
              <w:jc w:val="right"/>
              <w:rPr>
                <w:rFonts w:asciiTheme="minorHAnsi" w:hAnsiTheme="minorHAnsi" w:cs="Arial"/>
                <w:b/>
                <w:sz w:val="20"/>
                <w:szCs w:val="20"/>
                <w:lang w:val="hr-HR"/>
              </w:rPr>
            </w:pPr>
          </w:p>
        </w:tc>
        <w:tc>
          <w:tcPr>
            <w:tcW w:w="1205" w:type="dxa"/>
            <w:vAlign w:val="center"/>
          </w:tcPr>
          <w:p w:rsidR="000B4639" w:rsidRPr="00CD3A2D" w:rsidRDefault="000B4639" w:rsidP="00384142">
            <w:pPr>
              <w:jc w:val="right"/>
              <w:rPr>
                <w:rFonts w:asciiTheme="minorHAnsi" w:hAnsiTheme="minorHAnsi" w:cs="Arial"/>
                <w:b/>
                <w:sz w:val="20"/>
                <w:szCs w:val="20"/>
                <w:lang w:val="hr-HR"/>
              </w:rPr>
            </w:pPr>
          </w:p>
        </w:tc>
        <w:tc>
          <w:tcPr>
            <w:tcW w:w="1205" w:type="dxa"/>
            <w:vAlign w:val="center"/>
          </w:tcPr>
          <w:p w:rsidR="000B4639" w:rsidRPr="00CD3A2D" w:rsidRDefault="000B4639" w:rsidP="00384142">
            <w:pPr>
              <w:jc w:val="right"/>
              <w:rPr>
                <w:rFonts w:asciiTheme="minorHAnsi" w:hAnsiTheme="minorHAnsi" w:cs="Arial"/>
                <w:b/>
                <w:sz w:val="20"/>
                <w:szCs w:val="20"/>
                <w:lang w:val="hr-HR"/>
              </w:rPr>
            </w:pPr>
          </w:p>
        </w:tc>
        <w:tc>
          <w:tcPr>
            <w:tcW w:w="1205" w:type="dxa"/>
            <w:vAlign w:val="center"/>
          </w:tcPr>
          <w:p w:rsidR="000B4639" w:rsidRPr="00CD3A2D" w:rsidRDefault="000B4639" w:rsidP="00442721">
            <w:pPr>
              <w:jc w:val="right"/>
              <w:rPr>
                <w:rFonts w:asciiTheme="minorHAnsi" w:hAnsiTheme="minorHAnsi" w:cs="Arial"/>
                <w:b/>
                <w:sz w:val="20"/>
                <w:szCs w:val="20"/>
                <w:lang w:val="hr-HR"/>
              </w:rPr>
            </w:pPr>
          </w:p>
        </w:tc>
        <w:tc>
          <w:tcPr>
            <w:tcW w:w="1706" w:type="dxa"/>
            <w:vAlign w:val="center"/>
          </w:tcPr>
          <w:p w:rsidR="000B4639" w:rsidRPr="00CD3A2D" w:rsidRDefault="000B4639" w:rsidP="00CD3A2D">
            <w:pPr>
              <w:jc w:val="right"/>
              <w:rPr>
                <w:rFonts w:asciiTheme="minorHAnsi" w:hAnsiTheme="minorHAnsi" w:cs="Arial"/>
                <w:b/>
                <w:sz w:val="20"/>
                <w:szCs w:val="20"/>
                <w:lang w:val="hr-HR"/>
              </w:rPr>
            </w:pPr>
          </w:p>
        </w:tc>
      </w:tr>
      <w:tr w:rsidR="000B4639" w:rsidRPr="001567C8" w:rsidTr="003C6BA3">
        <w:trPr>
          <w:trHeight w:val="297"/>
        </w:trPr>
        <w:tc>
          <w:tcPr>
            <w:tcW w:w="3402" w:type="dxa"/>
            <w:vAlign w:val="bottom"/>
          </w:tcPr>
          <w:p w:rsidR="000B4639" w:rsidRPr="00CD3A2D" w:rsidRDefault="000B4639" w:rsidP="00D23500">
            <w:pPr>
              <w:tabs>
                <w:tab w:val="right" w:pos="1202"/>
              </w:tabs>
              <w:outlineLvl w:val="0"/>
              <w:rPr>
                <w:rFonts w:asciiTheme="minorHAnsi" w:hAnsiTheme="minorHAnsi" w:cs="Arial"/>
                <w:b/>
                <w:bCs/>
                <w:sz w:val="20"/>
                <w:szCs w:val="20"/>
                <w:lang w:val="hr-HR"/>
              </w:rPr>
            </w:pPr>
            <w:r w:rsidRPr="00CD3A2D">
              <w:rPr>
                <w:rFonts w:asciiTheme="minorHAnsi" w:eastAsia="Calibri" w:hAnsiTheme="minorHAnsi" w:cs="Arial"/>
                <w:b/>
                <w:bCs/>
                <w:sz w:val="20"/>
                <w:szCs w:val="20"/>
                <w:lang w:val="hr-HR"/>
              </w:rPr>
              <w:t>Imovina</w:t>
            </w:r>
          </w:p>
        </w:tc>
        <w:tc>
          <w:tcPr>
            <w:tcW w:w="1205" w:type="dxa"/>
            <w:vAlign w:val="center"/>
          </w:tcPr>
          <w:p w:rsidR="000B4639" w:rsidRPr="00CD3A2D" w:rsidRDefault="000B4639" w:rsidP="00D23500">
            <w:pPr>
              <w:tabs>
                <w:tab w:val="right" w:pos="1202"/>
              </w:tabs>
              <w:jc w:val="right"/>
              <w:outlineLvl w:val="0"/>
              <w:rPr>
                <w:rFonts w:asciiTheme="minorHAnsi" w:hAnsiTheme="minorHAnsi" w:cs="Arial"/>
                <w:b/>
                <w:bCs/>
                <w:sz w:val="20"/>
                <w:szCs w:val="20"/>
                <w:lang w:val="hr-HR"/>
              </w:rPr>
            </w:pPr>
          </w:p>
        </w:tc>
        <w:tc>
          <w:tcPr>
            <w:tcW w:w="1205" w:type="dxa"/>
            <w:vAlign w:val="center"/>
          </w:tcPr>
          <w:p w:rsidR="000B4639" w:rsidRPr="00CD3A2D" w:rsidRDefault="000B4639" w:rsidP="00384142">
            <w:pPr>
              <w:tabs>
                <w:tab w:val="right" w:pos="1202"/>
              </w:tabs>
              <w:jc w:val="right"/>
              <w:outlineLvl w:val="0"/>
              <w:rPr>
                <w:rFonts w:asciiTheme="minorHAnsi" w:hAnsiTheme="minorHAnsi" w:cs="Arial"/>
                <w:b/>
                <w:bCs/>
                <w:sz w:val="20"/>
                <w:szCs w:val="20"/>
                <w:lang w:val="hr-HR"/>
              </w:rPr>
            </w:pPr>
          </w:p>
        </w:tc>
        <w:tc>
          <w:tcPr>
            <w:tcW w:w="1205" w:type="dxa"/>
            <w:vAlign w:val="center"/>
          </w:tcPr>
          <w:p w:rsidR="000B4639" w:rsidRPr="00CD3A2D" w:rsidRDefault="000B4639" w:rsidP="00384142">
            <w:pPr>
              <w:tabs>
                <w:tab w:val="right" w:pos="1202"/>
              </w:tabs>
              <w:jc w:val="right"/>
              <w:outlineLvl w:val="0"/>
              <w:rPr>
                <w:rFonts w:asciiTheme="minorHAnsi" w:hAnsiTheme="minorHAnsi" w:cs="Arial"/>
                <w:b/>
                <w:bCs/>
                <w:sz w:val="20"/>
                <w:szCs w:val="20"/>
                <w:lang w:val="hr-HR"/>
              </w:rPr>
            </w:pPr>
          </w:p>
        </w:tc>
        <w:tc>
          <w:tcPr>
            <w:tcW w:w="1205" w:type="dxa"/>
            <w:vAlign w:val="center"/>
          </w:tcPr>
          <w:p w:rsidR="000B4639" w:rsidRPr="00CD3A2D" w:rsidRDefault="000B4639" w:rsidP="00442721">
            <w:pPr>
              <w:tabs>
                <w:tab w:val="right" w:pos="1202"/>
              </w:tabs>
              <w:jc w:val="right"/>
              <w:outlineLvl w:val="0"/>
              <w:rPr>
                <w:rFonts w:asciiTheme="minorHAnsi" w:hAnsiTheme="minorHAnsi" w:cs="Arial"/>
                <w:b/>
                <w:bCs/>
                <w:sz w:val="20"/>
                <w:szCs w:val="20"/>
                <w:lang w:val="hr-HR"/>
              </w:rPr>
            </w:pPr>
          </w:p>
        </w:tc>
        <w:tc>
          <w:tcPr>
            <w:tcW w:w="1706" w:type="dxa"/>
            <w:vAlign w:val="center"/>
          </w:tcPr>
          <w:p w:rsidR="000B4639" w:rsidRPr="00CD3A2D" w:rsidRDefault="000B4639" w:rsidP="00CD3A2D">
            <w:pPr>
              <w:tabs>
                <w:tab w:val="right" w:pos="1202"/>
              </w:tabs>
              <w:jc w:val="right"/>
              <w:outlineLvl w:val="0"/>
              <w:rPr>
                <w:rFonts w:asciiTheme="minorHAnsi" w:hAnsiTheme="minorHAnsi" w:cs="Arial"/>
                <w:b/>
                <w:bCs/>
                <w:sz w:val="20"/>
                <w:szCs w:val="20"/>
                <w:lang w:val="hr-HR"/>
              </w:rPr>
            </w:pPr>
          </w:p>
        </w:tc>
      </w:tr>
      <w:tr w:rsidR="00B73929" w:rsidRPr="001567C8" w:rsidTr="003C6BA3">
        <w:trPr>
          <w:trHeight w:val="297"/>
        </w:trPr>
        <w:tc>
          <w:tcPr>
            <w:tcW w:w="3402" w:type="dxa"/>
            <w:vAlign w:val="bottom"/>
          </w:tcPr>
          <w:p w:rsidR="00B73929" w:rsidRPr="00CD3A2D" w:rsidRDefault="00B73929" w:rsidP="00D23500">
            <w:pPr>
              <w:tabs>
                <w:tab w:val="right" w:pos="1202"/>
              </w:tabs>
              <w:outlineLvl w:val="0"/>
              <w:rPr>
                <w:rFonts w:asciiTheme="minorHAnsi" w:hAnsiTheme="minorHAnsi" w:cs="Arial"/>
                <w:sz w:val="20"/>
                <w:szCs w:val="20"/>
                <w:lang w:val="hr-HR"/>
              </w:rPr>
            </w:pPr>
            <w:r w:rsidRPr="00CD3A2D">
              <w:rPr>
                <w:rFonts w:asciiTheme="minorHAnsi" w:eastAsia="Calibri" w:hAnsiTheme="minorHAnsi" w:cs="Arial"/>
                <w:sz w:val="20"/>
                <w:szCs w:val="20"/>
                <w:lang w:val="hr-HR"/>
              </w:rPr>
              <w:t>Novčana sredstva i računi kod banaka</w:t>
            </w:r>
          </w:p>
        </w:tc>
        <w:tc>
          <w:tcPr>
            <w:tcW w:w="1205" w:type="dxa"/>
            <w:vAlign w:val="bottom"/>
          </w:tcPr>
          <w:p w:rsidR="00B73929" w:rsidRPr="00CD3A2D" w:rsidRDefault="007D6C48" w:rsidP="00D23500">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941.071</w:t>
            </w:r>
          </w:p>
        </w:tc>
        <w:tc>
          <w:tcPr>
            <w:tcW w:w="1205" w:type="dxa"/>
            <w:vAlign w:val="bottom"/>
          </w:tcPr>
          <w:p w:rsidR="00B73929" w:rsidRPr="00CD3A2D" w:rsidRDefault="007D6C48"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w:t>
            </w:r>
          </w:p>
        </w:tc>
        <w:tc>
          <w:tcPr>
            <w:tcW w:w="1205" w:type="dxa"/>
            <w:vAlign w:val="bottom"/>
          </w:tcPr>
          <w:p w:rsidR="00B73929" w:rsidRPr="00CD3A2D" w:rsidRDefault="007D6C48"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w:t>
            </w:r>
          </w:p>
        </w:tc>
        <w:tc>
          <w:tcPr>
            <w:tcW w:w="1205" w:type="dxa"/>
            <w:vAlign w:val="bottom"/>
          </w:tcPr>
          <w:p w:rsidR="00B73929" w:rsidRPr="00CD3A2D" w:rsidRDefault="00247F92" w:rsidP="00442721">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941.071</w:t>
            </w:r>
          </w:p>
        </w:tc>
        <w:tc>
          <w:tcPr>
            <w:tcW w:w="1706" w:type="dxa"/>
            <w:tcBorders>
              <w:top w:val="nil"/>
              <w:left w:val="nil"/>
              <w:bottom w:val="nil"/>
              <w:right w:val="nil"/>
            </w:tcBorders>
            <w:shd w:val="clear" w:color="auto" w:fill="auto"/>
          </w:tcPr>
          <w:p w:rsidR="00B73929" w:rsidRPr="00CD3A2D" w:rsidRDefault="00B73929" w:rsidP="00CD3A2D">
            <w:pPr>
              <w:tabs>
                <w:tab w:val="right" w:pos="1202"/>
              </w:tabs>
              <w:spacing w:line="301" w:lineRule="exact"/>
              <w:jc w:val="right"/>
              <w:outlineLvl w:val="0"/>
              <w:rPr>
                <w:rFonts w:asciiTheme="minorHAnsi" w:hAnsiTheme="minorHAnsi" w:cstheme="minorHAnsi"/>
                <w:snapToGrid w:val="0"/>
                <w:sz w:val="20"/>
                <w:szCs w:val="20"/>
                <w:lang w:val="hr-HR"/>
              </w:rPr>
            </w:pPr>
            <w:r w:rsidRPr="00CD3A2D">
              <w:rPr>
                <w:rFonts w:asciiTheme="minorHAnsi" w:hAnsiTheme="minorHAnsi" w:cstheme="minorHAnsi"/>
                <w:sz w:val="20"/>
                <w:szCs w:val="20"/>
                <w:lang w:val="hr-HR"/>
              </w:rPr>
              <w:t xml:space="preserve"> 941.071 </w:t>
            </w:r>
          </w:p>
        </w:tc>
      </w:tr>
      <w:tr w:rsidR="00B73929" w:rsidRPr="001567C8" w:rsidTr="003C6BA3">
        <w:trPr>
          <w:trHeight w:val="297"/>
        </w:trPr>
        <w:tc>
          <w:tcPr>
            <w:tcW w:w="3402" w:type="dxa"/>
            <w:vAlign w:val="bottom"/>
          </w:tcPr>
          <w:p w:rsidR="00B73929" w:rsidRPr="00CD3A2D" w:rsidRDefault="00B73929" w:rsidP="00D23500">
            <w:pPr>
              <w:tabs>
                <w:tab w:val="right" w:pos="1202"/>
              </w:tabs>
              <w:outlineLvl w:val="0"/>
              <w:rPr>
                <w:rFonts w:asciiTheme="minorHAnsi" w:hAnsiTheme="minorHAnsi" w:cs="Arial"/>
                <w:sz w:val="20"/>
                <w:szCs w:val="20"/>
                <w:lang w:val="hr-HR"/>
              </w:rPr>
            </w:pPr>
            <w:r w:rsidRPr="00CD3A2D">
              <w:rPr>
                <w:rFonts w:asciiTheme="minorHAnsi" w:eastAsia="Calibri" w:hAnsiTheme="minorHAnsi" w:cs="Arial"/>
                <w:sz w:val="20"/>
                <w:szCs w:val="20"/>
                <w:lang w:val="hr-HR"/>
              </w:rPr>
              <w:t>Depoziti kod drugih banaka</w:t>
            </w:r>
          </w:p>
        </w:tc>
        <w:tc>
          <w:tcPr>
            <w:tcW w:w="1205" w:type="dxa"/>
            <w:vAlign w:val="bottom"/>
          </w:tcPr>
          <w:p w:rsidR="00B73929" w:rsidRPr="00CD3A2D" w:rsidRDefault="007D6C48" w:rsidP="00D23500">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w:t>
            </w:r>
          </w:p>
        </w:tc>
        <w:tc>
          <w:tcPr>
            <w:tcW w:w="1205" w:type="dxa"/>
            <w:vAlign w:val="bottom"/>
          </w:tcPr>
          <w:p w:rsidR="00B73929" w:rsidRPr="00CD3A2D" w:rsidRDefault="007D6C48"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261.925</w:t>
            </w:r>
          </w:p>
        </w:tc>
        <w:tc>
          <w:tcPr>
            <w:tcW w:w="1205" w:type="dxa"/>
            <w:vAlign w:val="bottom"/>
          </w:tcPr>
          <w:p w:rsidR="00B73929" w:rsidRPr="00CD3A2D" w:rsidRDefault="007D6C48"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w:t>
            </w:r>
          </w:p>
        </w:tc>
        <w:tc>
          <w:tcPr>
            <w:tcW w:w="1205" w:type="dxa"/>
            <w:vAlign w:val="bottom"/>
          </w:tcPr>
          <w:p w:rsidR="00B73929" w:rsidRPr="00CD3A2D" w:rsidRDefault="00247F92" w:rsidP="00442721">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261.925</w:t>
            </w:r>
          </w:p>
        </w:tc>
        <w:tc>
          <w:tcPr>
            <w:tcW w:w="1706" w:type="dxa"/>
            <w:tcBorders>
              <w:top w:val="nil"/>
              <w:left w:val="nil"/>
              <w:bottom w:val="nil"/>
              <w:right w:val="nil"/>
            </w:tcBorders>
            <w:shd w:val="clear" w:color="auto" w:fill="auto"/>
          </w:tcPr>
          <w:p w:rsidR="00B73929" w:rsidRPr="00CD3A2D" w:rsidRDefault="00B73929" w:rsidP="00CD3A2D">
            <w:pPr>
              <w:tabs>
                <w:tab w:val="right" w:pos="1202"/>
              </w:tabs>
              <w:spacing w:line="301" w:lineRule="exact"/>
              <w:jc w:val="right"/>
              <w:outlineLvl w:val="0"/>
              <w:rPr>
                <w:rFonts w:asciiTheme="minorHAnsi" w:hAnsiTheme="minorHAnsi" w:cstheme="minorHAnsi"/>
                <w:snapToGrid w:val="0"/>
                <w:sz w:val="20"/>
                <w:szCs w:val="20"/>
                <w:lang w:val="hr-HR"/>
              </w:rPr>
            </w:pPr>
            <w:r w:rsidRPr="00CD3A2D">
              <w:rPr>
                <w:rFonts w:asciiTheme="minorHAnsi" w:hAnsiTheme="minorHAnsi" w:cstheme="minorHAnsi"/>
                <w:sz w:val="20"/>
                <w:szCs w:val="20"/>
                <w:lang w:val="hr-HR"/>
              </w:rPr>
              <w:t xml:space="preserve"> 261.925 </w:t>
            </w:r>
          </w:p>
        </w:tc>
      </w:tr>
      <w:tr w:rsidR="00BC3AF6" w:rsidRPr="001567C8" w:rsidTr="003C6BA3">
        <w:trPr>
          <w:trHeight w:val="307"/>
        </w:trPr>
        <w:tc>
          <w:tcPr>
            <w:tcW w:w="3402" w:type="dxa"/>
            <w:vAlign w:val="bottom"/>
          </w:tcPr>
          <w:p w:rsidR="00BC3AF6" w:rsidRPr="00CD3A2D" w:rsidRDefault="00BC3AF6" w:rsidP="00D23500">
            <w:pPr>
              <w:tabs>
                <w:tab w:val="right" w:pos="1202"/>
              </w:tabs>
              <w:outlineLvl w:val="0"/>
              <w:rPr>
                <w:rFonts w:asciiTheme="minorHAnsi" w:hAnsiTheme="minorHAnsi" w:cs="Arial"/>
                <w:sz w:val="20"/>
                <w:szCs w:val="20"/>
                <w:lang w:val="hr-HR"/>
              </w:rPr>
            </w:pPr>
            <w:r w:rsidRPr="00CD3A2D">
              <w:rPr>
                <w:rFonts w:asciiTheme="minorHAnsi" w:hAnsiTheme="minorHAnsi"/>
                <w:sz w:val="20"/>
                <w:szCs w:val="20"/>
                <w:lang w:val="hr-HR"/>
              </w:rPr>
              <w:t>Krediti financijskim institucijama</w:t>
            </w:r>
          </w:p>
        </w:tc>
        <w:tc>
          <w:tcPr>
            <w:tcW w:w="1205" w:type="dxa"/>
          </w:tcPr>
          <w:p w:rsidR="00BC3AF6" w:rsidRPr="00CD3A2D" w:rsidRDefault="00BC3AF6" w:rsidP="00D23500">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Pr>
          <w:p w:rsidR="00BC3AF6" w:rsidRPr="00CD3A2D" w:rsidRDefault="00BC3AF6"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Pr>
          <w:p w:rsidR="00BC3AF6" w:rsidRPr="00CD3A2D" w:rsidRDefault="00BC3AF6"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9.487.169 </w:t>
            </w:r>
          </w:p>
        </w:tc>
        <w:tc>
          <w:tcPr>
            <w:tcW w:w="1205" w:type="dxa"/>
          </w:tcPr>
          <w:p w:rsidR="00BC3AF6" w:rsidRPr="00CD3A2D" w:rsidRDefault="00BC3AF6" w:rsidP="00442721">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9.487.169 </w:t>
            </w:r>
          </w:p>
        </w:tc>
        <w:tc>
          <w:tcPr>
            <w:tcW w:w="1706" w:type="dxa"/>
            <w:tcBorders>
              <w:top w:val="nil"/>
              <w:left w:val="nil"/>
              <w:bottom w:val="nil"/>
              <w:right w:val="nil"/>
            </w:tcBorders>
            <w:shd w:val="clear" w:color="auto" w:fill="auto"/>
          </w:tcPr>
          <w:p w:rsidR="00BC3AF6" w:rsidRPr="00CD3A2D" w:rsidRDefault="00BC3AF6" w:rsidP="00CD3A2D">
            <w:pPr>
              <w:tabs>
                <w:tab w:val="right" w:pos="1202"/>
              </w:tabs>
              <w:spacing w:line="301" w:lineRule="exact"/>
              <w:jc w:val="right"/>
              <w:outlineLvl w:val="0"/>
              <w:rPr>
                <w:rFonts w:asciiTheme="minorHAnsi" w:hAnsiTheme="minorHAnsi" w:cstheme="minorHAnsi"/>
                <w:snapToGrid w:val="0"/>
                <w:sz w:val="20"/>
                <w:szCs w:val="20"/>
                <w:lang w:val="hr-HR"/>
              </w:rPr>
            </w:pPr>
            <w:r w:rsidRPr="00CD3A2D">
              <w:rPr>
                <w:rFonts w:asciiTheme="minorHAnsi" w:hAnsiTheme="minorHAnsi" w:cstheme="minorHAnsi"/>
                <w:sz w:val="20"/>
                <w:szCs w:val="20"/>
                <w:lang w:val="hr-HR"/>
              </w:rPr>
              <w:t xml:space="preserve"> 10.234.988 </w:t>
            </w:r>
          </w:p>
        </w:tc>
      </w:tr>
      <w:tr w:rsidR="00BC3AF6" w:rsidRPr="001567C8" w:rsidTr="003C6BA3">
        <w:trPr>
          <w:trHeight w:val="297"/>
        </w:trPr>
        <w:tc>
          <w:tcPr>
            <w:tcW w:w="3402" w:type="dxa"/>
            <w:vAlign w:val="bottom"/>
          </w:tcPr>
          <w:p w:rsidR="00BC3AF6" w:rsidRPr="00CD3A2D" w:rsidRDefault="00BC3AF6" w:rsidP="00D23500">
            <w:pPr>
              <w:tabs>
                <w:tab w:val="right" w:pos="1202"/>
              </w:tabs>
              <w:outlineLvl w:val="0"/>
              <w:rPr>
                <w:rFonts w:asciiTheme="minorHAnsi" w:hAnsiTheme="minorHAnsi" w:cs="Arial"/>
                <w:sz w:val="20"/>
                <w:szCs w:val="20"/>
                <w:lang w:val="hr-HR"/>
              </w:rPr>
            </w:pPr>
            <w:r w:rsidRPr="00CD3A2D">
              <w:rPr>
                <w:rFonts w:asciiTheme="minorHAnsi" w:hAnsiTheme="minorHAnsi"/>
                <w:sz w:val="20"/>
                <w:szCs w:val="20"/>
                <w:lang w:val="hr-HR"/>
              </w:rPr>
              <w:t>Krediti ostalim korisnicima</w:t>
            </w:r>
          </w:p>
        </w:tc>
        <w:tc>
          <w:tcPr>
            <w:tcW w:w="1205" w:type="dxa"/>
            <w:tcBorders>
              <w:bottom w:val="single" w:sz="4" w:space="0" w:color="auto"/>
            </w:tcBorders>
          </w:tcPr>
          <w:p w:rsidR="00BC3AF6" w:rsidRPr="00CD3A2D" w:rsidRDefault="00BC3AF6" w:rsidP="00D23500">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Borders>
              <w:bottom w:val="single" w:sz="4" w:space="0" w:color="auto"/>
            </w:tcBorders>
          </w:tcPr>
          <w:p w:rsidR="00BC3AF6" w:rsidRPr="00CD3A2D" w:rsidRDefault="00BC3AF6"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Borders>
              <w:bottom w:val="single" w:sz="4" w:space="0" w:color="auto"/>
            </w:tcBorders>
          </w:tcPr>
          <w:p w:rsidR="00BC3AF6" w:rsidRPr="00CD3A2D" w:rsidRDefault="00BC3AF6"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15.768.096 </w:t>
            </w:r>
          </w:p>
        </w:tc>
        <w:tc>
          <w:tcPr>
            <w:tcW w:w="1205" w:type="dxa"/>
            <w:tcBorders>
              <w:bottom w:val="single" w:sz="4" w:space="0" w:color="auto"/>
            </w:tcBorders>
          </w:tcPr>
          <w:p w:rsidR="00BC3AF6" w:rsidRPr="00CD3A2D" w:rsidRDefault="00BC3AF6" w:rsidP="00442721">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15.768.096 </w:t>
            </w:r>
          </w:p>
        </w:tc>
        <w:tc>
          <w:tcPr>
            <w:tcW w:w="1706" w:type="dxa"/>
            <w:tcBorders>
              <w:top w:val="nil"/>
              <w:left w:val="nil"/>
              <w:bottom w:val="single" w:sz="4" w:space="0" w:color="auto"/>
              <w:right w:val="nil"/>
            </w:tcBorders>
            <w:shd w:val="clear" w:color="auto" w:fill="auto"/>
          </w:tcPr>
          <w:p w:rsidR="00BC3AF6" w:rsidRPr="00CD3A2D" w:rsidRDefault="00BC3AF6" w:rsidP="00CD3A2D">
            <w:pPr>
              <w:tabs>
                <w:tab w:val="right" w:pos="1202"/>
              </w:tabs>
              <w:spacing w:line="301" w:lineRule="exact"/>
              <w:jc w:val="right"/>
              <w:outlineLvl w:val="0"/>
              <w:rPr>
                <w:rFonts w:asciiTheme="minorHAnsi" w:hAnsiTheme="minorHAnsi" w:cstheme="minorHAnsi"/>
                <w:spacing w:val="-2"/>
                <w:sz w:val="20"/>
                <w:szCs w:val="20"/>
                <w:lang w:val="hr-HR"/>
              </w:rPr>
            </w:pPr>
            <w:r w:rsidRPr="00CD3A2D">
              <w:rPr>
                <w:rFonts w:asciiTheme="minorHAnsi" w:hAnsiTheme="minorHAnsi" w:cstheme="minorHAnsi"/>
                <w:sz w:val="20"/>
                <w:szCs w:val="20"/>
                <w:lang w:val="hr-HR"/>
              </w:rPr>
              <w:t xml:space="preserve"> 12.510.686 </w:t>
            </w:r>
          </w:p>
        </w:tc>
      </w:tr>
      <w:tr w:rsidR="007D6C48" w:rsidRPr="001567C8" w:rsidTr="003C6BA3">
        <w:trPr>
          <w:trHeight w:val="297"/>
        </w:trPr>
        <w:tc>
          <w:tcPr>
            <w:tcW w:w="3402" w:type="dxa"/>
            <w:vAlign w:val="bottom"/>
          </w:tcPr>
          <w:p w:rsidR="007D6C48" w:rsidRPr="00CD3A2D" w:rsidRDefault="007D6C48" w:rsidP="00D23500">
            <w:pPr>
              <w:tabs>
                <w:tab w:val="right" w:pos="1202"/>
              </w:tabs>
              <w:outlineLvl w:val="0"/>
              <w:rPr>
                <w:rFonts w:asciiTheme="minorHAnsi" w:hAnsiTheme="minorHAnsi"/>
                <w:sz w:val="20"/>
                <w:szCs w:val="20"/>
                <w:lang w:val="hr-HR"/>
              </w:rPr>
            </w:pPr>
          </w:p>
        </w:tc>
        <w:tc>
          <w:tcPr>
            <w:tcW w:w="1205" w:type="dxa"/>
            <w:tcBorders>
              <w:top w:val="single" w:sz="4" w:space="0" w:color="auto"/>
            </w:tcBorders>
          </w:tcPr>
          <w:p w:rsidR="007D6C48" w:rsidRPr="00CD3A2D" w:rsidRDefault="007D6C48" w:rsidP="00D23500">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941.071</w:t>
            </w:r>
          </w:p>
        </w:tc>
        <w:tc>
          <w:tcPr>
            <w:tcW w:w="1205" w:type="dxa"/>
            <w:tcBorders>
              <w:top w:val="single" w:sz="4" w:space="0" w:color="auto"/>
            </w:tcBorders>
          </w:tcPr>
          <w:p w:rsidR="007D6C48" w:rsidRPr="00CD3A2D" w:rsidRDefault="007D6C48" w:rsidP="00384142">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 xml:space="preserve"> 261.925 </w:t>
            </w:r>
          </w:p>
        </w:tc>
        <w:tc>
          <w:tcPr>
            <w:tcW w:w="1205" w:type="dxa"/>
            <w:tcBorders>
              <w:top w:val="single" w:sz="4" w:space="0" w:color="auto"/>
            </w:tcBorders>
          </w:tcPr>
          <w:p w:rsidR="007D6C48" w:rsidRPr="00CD3A2D" w:rsidRDefault="007D6C48" w:rsidP="00384142">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 xml:space="preserve"> 25.255.265 </w:t>
            </w:r>
          </w:p>
        </w:tc>
        <w:tc>
          <w:tcPr>
            <w:tcW w:w="1205" w:type="dxa"/>
            <w:tcBorders>
              <w:top w:val="single" w:sz="4" w:space="0" w:color="auto"/>
            </w:tcBorders>
          </w:tcPr>
          <w:p w:rsidR="007D6C48" w:rsidRPr="00CD3A2D" w:rsidRDefault="007D6C48" w:rsidP="00442721">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 xml:space="preserve"> 26.458.261 </w:t>
            </w:r>
          </w:p>
        </w:tc>
        <w:tc>
          <w:tcPr>
            <w:tcW w:w="1706" w:type="dxa"/>
            <w:tcBorders>
              <w:top w:val="single" w:sz="4" w:space="0" w:color="auto"/>
              <w:left w:val="nil"/>
              <w:bottom w:val="nil"/>
              <w:right w:val="nil"/>
            </w:tcBorders>
            <w:shd w:val="clear" w:color="auto" w:fill="auto"/>
          </w:tcPr>
          <w:p w:rsidR="007D6C48" w:rsidRPr="00CD3A2D" w:rsidRDefault="007D6C48" w:rsidP="00CD3A2D">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23.948.670</w:t>
            </w:r>
          </w:p>
        </w:tc>
      </w:tr>
      <w:tr w:rsidR="000B4639" w:rsidRPr="001567C8" w:rsidTr="003C6BA3">
        <w:trPr>
          <w:trHeight w:hRule="exact" w:val="104"/>
        </w:trPr>
        <w:tc>
          <w:tcPr>
            <w:tcW w:w="3402" w:type="dxa"/>
            <w:vAlign w:val="bottom"/>
          </w:tcPr>
          <w:p w:rsidR="000B4639" w:rsidRPr="00CD3A2D" w:rsidRDefault="000B4639" w:rsidP="00CD3A2D">
            <w:pPr>
              <w:keepLines/>
              <w:tabs>
                <w:tab w:val="decimal" w:pos="1202"/>
              </w:tabs>
              <w:rPr>
                <w:rFonts w:asciiTheme="minorHAnsi" w:hAnsiTheme="minorHAnsi" w:cs="Arial"/>
                <w:b/>
                <w:position w:val="4"/>
                <w:sz w:val="20"/>
                <w:szCs w:val="20"/>
                <w:u w:val="thick"/>
                <w:lang w:val="hr-HR"/>
              </w:rPr>
            </w:pPr>
          </w:p>
        </w:tc>
        <w:tc>
          <w:tcPr>
            <w:tcW w:w="1205" w:type="dxa"/>
            <w:tcBorders>
              <w:top w:val="single" w:sz="12" w:space="0" w:color="auto"/>
            </w:tcBorders>
            <w:vAlign w:val="bottom"/>
          </w:tcPr>
          <w:p w:rsidR="000B4639" w:rsidRPr="00CD3A2D" w:rsidRDefault="000B4639" w:rsidP="00CD3A2D">
            <w:pPr>
              <w:keepLines/>
              <w:tabs>
                <w:tab w:val="decimal" w:pos="1060"/>
              </w:tabs>
              <w:jc w:val="right"/>
              <w:rPr>
                <w:rFonts w:asciiTheme="minorHAnsi" w:hAnsiTheme="minorHAnsi" w:cs="Arial"/>
                <w:b/>
                <w:position w:val="4"/>
                <w:sz w:val="20"/>
                <w:szCs w:val="20"/>
                <w:u w:val="thick"/>
                <w:lang w:val="hr-HR"/>
              </w:rPr>
            </w:pPr>
          </w:p>
        </w:tc>
        <w:tc>
          <w:tcPr>
            <w:tcW w:w="1205" w:type="dxa"/>
            <w:tcBorders>
              <w:top w:val="single" w:sz="12" w:space="0" w:color="auto"/>
            </w:tcBorders>
            <w:vAlign w:val="bottom"/>
          </w:tcPr>
          <w:p w:rsidR="000B4639" w:rsidRPr="00CD3A2D" w:rsidRDefault="000B4639" w:rsidP="00CD3A2D">
            <w:pPr>
              <w:keepLines/>
              <w:tabs>
                <w:tab w:val="decimal" w:pos="1060"/>
              </w:tabs>
              <w:jc w:val="right"/>
              <w:rPr>
                <w:rFonts w:asciiTheme="minorHAnsi" w:hAnsiTheme="minorHAnsi" w:cs="Arial"/>
                <w:b/>
                <w:position w:val="4"/>
                <w:sz w:val="20"/>
                <w:szCs w:val="20"/>
                <w:u w:val="thick"/>
                <w:lang w:val="hr-HR"/>
              </w:rPr>
            </w:pPr>
          </w:p>
        </w:tc>
        <w:tc>
          <w:tcPr>
            <w:tcW w:w="1205" w:type="dxa"/>
            <w:tcBorders>
              <w:top w:val="single" w:sz="12" w:space="0" w:color="auto"/>
            </w:tcBorders>
            <w:vAlign w:val="bottom"/>
          </w:tcPr>
          <w:p w:rsidR="000B4639" w:rsidRPr="00CD3A2D" w:rsidRDefault="000B4639" w:rsidP="00CD3A2D">
            <w:pPr>
              <w:keepLines/>
              <w:tabs>
                <w:tab w:val="decimal" w:pos="1060"/>
              </w:tabs>
              <w:jc w:val="right"/>
              <w:rPr>
                <w:rFonts w:asciiTheme="minorHAnsi" w:hAnsiTheme="minorHAnsi" w:cs="Arial"/>
                <w:b/>
                <w:position w:val="4"/>
                <w:sz w:val="20"/>
                <w:szCs w:val="20"/>
                <w:u w:val="thick"/>
                <w:lang w:val="hr-HR"/>
              </w:rPr>
            </w:pPr>
          </w:p>
        </w:tc>
        <w:tc>
          <w:tcPr>
            <w:tcW w:w="1205" w:type="dxa"/>
            <w:tcBorders>
              <w:top w:val="single" w:sz="12" w:space="0" w:color="auto"/>
            </w:tcBorders>
            <w:vAlign w:val="bottom"/>
          </w:tcPr>
          <w:p w:rsidR="000B4639" w:rsidRPr="00CD3A2D" w:rsidRDefault="000B4639" w:rsidP="00CD3A2D">
            <w:pPr>
              <w:keepLines/>
              <w:tabs>
                <w:tab w:val="decimal" w:pos="1060"/>
              </w:tabs>
              <w:jc w:val="right"/>
              <w:rPr>
                <w:rFonts w:asciiTheme="minorHAnsi" w:hAnsiTheme="minorHAnsi" w:cs="Arial"/>
                <w:b/>
                <w:position w:val="4"/>
                <w:sz w:val="20"/>
                <w:szCs w:val="20"/>
                <w:u w:val="thick"/>
                <w:lang w:val="hr-HR"/>
              </w:rPr>
            </w:pPr>
          </w:p>
        </w:tc>
        <w:tc>
          <w:tcPr>
            <w:tcW w:w="1706" w:type="dxa"/>
            <w:tcBorders>
              <w:top w:val="single" w:sz="12" w:space="0" w:color="auto"/>
            </w:tcBorders>
            <w:vAlign w:val="bottom"/>
          </w:tcPr>
          <w:p w:rsidR="000B4639" w:rsidRPr="00CD3A2D" w:rsidRDefault="000B4639" w:rsidP="00CD3A2D">
            <w:pPr>
              <w:keepLines/>
              <w:tabs>
                <w:tab w:val="decimal" w:pos="1060"/>
              </w:tabs>
              <w:jc w:val="right"/>
              <w:rPr>
                <w:rFonts w:asciiTheme="minorHAnsi" w:hAnsiTheme="minorHAnsi" w:cs="Arial"/>
                <w:b/>
                <w:position w:val="4"/>
                <w:sz w:val="20"/>
                <w:szCs w:val="20"/>
                <w:u w:val="thick"/>
                <w:lang w:val="hr-HR"/>
              </w:rPr>
            </w:pPr>
          </w:p>
        </w:tc>
      </w:tr>
      <w:tr w:rsidR="000B4639" w:rsidRPr="001567C8" w:rsidTr="003C6BA3">
        <w:trPr>
          <w:trHeight w:val="307"/>
        </w:trPr>
        <w:tc>
          <w:tcPr>
            <w:tcW w:w="3402" w:type="dxa"/>
            <w:vAlign w:val="bottom"/>
          </w:tcPr>
          <w:p w:rsidR="000B4639" w:rsidRPr="00CD3A2D" w:rsidRDefault="000B4639" w:rsidP="00D23500">
            <w:pPr>
              <w:tabs>
                <w:tab w:val="right" w:pos="1202"/>
              </w:tabs>
              <w:outlineLvl w:val="0"/>
              <w:rPr>
                <w:rFonts w:asciiTheme="minorHAnsi" w:hAnsiTheme="minorHAnsi" w:cs="Arial"/>
                <w:b/>
                <w:bCs/>
                <w:sz w:val="20"/>
                <w:szCs w:val="20"/>
                <w:lang w:val="hr-HR"/>
              </w:rPr>
            </w:pPr>
            <w:r w:rsidRPr="00CD3A2D">
              <w:rPr>
                <w:rFonts w:asciiTheme="minorHAnsi" w:eastAsia="Calibri" w:hAnsiTheme="minorHAnsi" w:cs="Arial"/>
                <w:b/>
                <w:bCs/>
                <w:sz w:val="20"/>
                <w:szCs w:val="20"/>
                <w:lang w:val="hr-HR"/>
              </w:rPr>
              <w:t>Obveze</w:t>
            </w:r>
          </w:p>
        </w:tc>
        <w:tc>
          <w:tcPr>
            <w:tcW w:w="1205" w:type="dxa"/>
            <w:vAlign w:val="bottom"/>
          </w:tcPr>
          <w:p w:rsidR="000B4639" w:rsidRPr="00CD3A2D" w:rsidRDefault="000B4639" w:rsidP="00D23500">
            <w:pPr>
              <w:tabs>
                <w:tab w:val="right" w:pos="1202"/>
              </w:tabs>
              <w:jc w:val="right"/>
              <w:outlineLvl w:val="0"/>
              <w:rPr>
                <w:rFonts w:asciiTheme="minorHAnsi" w:hAnsiTheme="minorHAnsi" w:cs="Arial"/>
                <w:b/>
                <w:bCs/>
                <w:sz w:val="20"/>
                <w:szCs w:val="20"/>
                <w:lang w:val="hr-HR"/>
              </w:rPr>
            </w:pPr>
          </w:p>
        </w:tc>
        <w:tc>
          <w:tcPr>
            <w:tcW w:w="1205" w:type="dxa"/>
            <w:vAlign w:val="bottom"/>
          </w:tcPr>
          <w:p w:rsidR="000B4639" w:rsidRPr="00CD3A2D" w:rsidRDefault="000B4639" w:rsidP="00384142">
            <w:pPr>
              <w:tabs>
                <w:tab w:val="right" w:pos="1202"/>
              </w:tabs>
              <w:jc w:val="right"/>
              <w:outlineLvl w:val="0"/>
              <w:rPr>
                <w:rFonts w:asciiTheme="minorHAnsi" w:hAnsiTheme="minorHAnsi" w:cs="Arial"/>
                <w:b/>
                <w:bCs/>
                <w:sz w:val="20"/>
                <w:szCs w:val="20"/>
                <w:lang w:val="hr-HR"/>
              </w:rPr>
            </w:pPr>
          </w:p>
        </w:tc>
        <w:tc>
          <w:tcPr>
            <w:tcW w:w="1205" w:type="dxa"/>
            <w:vAlign w:val="bottom"/>
          </w:tcPr>
          <w:p w:rsidR="000B4639" w:rsidRPr="00CD3A2D" w:rsidRDefault="000B4639" w:rsidP="00384142">
            <w:pPr>
              <w:tabs>
                <w:tab w:val="right" w:pos="1202"/>
              </w:tabs>
              <w:jc w:val="right"/>
              <w:outlineLvl w:val="0"/>
              <w:rPr>
                <w:rFonts w:asciiTheme="minorHAnsi" w:hAnsiTheme="minorHAnsi" w:cs="Arial"/>
                <w:b/>
                <w:bCs/>
                <w:sz w:val="20"/>
                <w:szCs w:val="20"/>
                <w:lang w:val="hr-HR"/>
              </w:rPr>
            </w:pPr>
          </w:p>
        </w:tc>
        <w:tc>
          <w:tcPr>
            <w:tcW w:w="1205" w:type="dxa"/>
            <w:vAlign w:val="bottom"/>
          </w:tcPr>
          <w:p w:rsidR="000B4639" w:rsidRPr="00CD3A2D" w:rsidRDefault="000B4639" w:rsidP="00442721">
            <w:pPr>
              <w:tabs>
                <w:tab w:val="right" w:pos="1202"/>
              </w:tabs>
              <w:jc w:val="right"/>
              <w:outlineLvl w:val="0"/>
              <w:rPr>
                <w:rFonts w:asciiTheme="minorHAnsi" w:hAnsiTheme="minorHAnsi" w:cs="Arial"/>
                <w:b/>
                <w:bCs/>
                <w:sz w:val="20"/>
                <w:szCs w:val="20"/>
                <w:lang w:val="hr-HR"/>
              </w:rPr>
            </w:pPr>
          </w:p>
        </w:tc>
        <w:tc>
          <w:tcPr>
            <w:tcW w:w="1706" w:type="dxa"/>
            <w:vAlign w:val="bottom"/>
          </w:tcPr>
          <w:p w:rsidR="000B4639" w:rsidRPr="00CD3A2D" w:rsidRDefault="000B4639" w:rsidP="00CD3A2D">
            <w:pPr>
              <w:tabs>
                <w:tab w:val="right" w:pos="1202"/>
              </w:tabs>
              <w:jc w:val="right"/>
              <w:outlineLvl w:val="0"/>
              <w:rPr>
                <w:rFonts w:asciiTheme="minorHAnsi" w:hAnsiTheme="minorHAnsi" w:cs="Arial"/>
                <w:b/>
                <w:bCs/>
                <w:sz w:val="20"/>
                <w:szCs w:val="20"/>
                <w:lang w:val="hr-HR"/>
              </w:rPr>
            </w:pPr>
          </w:p>
        </w:tc>
      </w:tr>
      <w:tr w:rsidR="007D6C48" w:rsidRPr="001567C8" w:rsidTr="003C6BA3">
        <w:trPr>
          <w:trHeight w:val="297"/>
        </w:trPr>
        <w:tc>
          <w:tcPr>
            <w:tcW w:w="3402" w:type="dxa"/>
            <w:tcBorders>
              <w:top w:val="nil"/>
              <w:left w:val="nil"/>
              <w:bottom w:val="nil"/>
              <w:right w:val="nil"/>
            </w:tcBorders>
            <w:shd w:val="clear" w:color="auto" w:fill="auto"/>
            <w:vAlign w:val="bottom"/>
          </w:tcPr>
          <w:p w:rsidR="007D6C48" w:rsidRPr="00CD3A2D" w:rsidRDefault="007D6C48" w:rsidP="00D23500">
            <w:pPr>
              <w:tabs>
                <w:tab w:val="right" w:pos="1202"/>
              </w:tabs>
              <w:outlineLvl w:val="0"/>
              <w:rPr>
                <w:rFonts w:asciiTheme="minorHAnsi" w:hAnsiTheme="minorHAnsi" w:cs="Arial"/>
                <w:sz w:val="20"/>
                <w:szCs w:val="20"/>
                <w:lang w:val="hr-HR"/>
              </w:rPr>
            </w:pPr>
            <w:r w:rsidRPr="00CD3A2D">
              <w:rPr>
                <w:rFonts w:asciiTheme="minorHAnsi" w:hAnsiTheme="minorHAnsi"/>
                <w:color w:val="000000"/>
                <w:sz w:val="20"/>
                <w:szCs w:val="20"/>
                <w:lang w:val="hr-HR"/>
              </w:rPr>
              <w:t>Obveze po depozitima</w:t>
            </w:r>
          </w:p>
        </w:tc>
        <w:tc>
          <w:tcPr>
            <w:tcW w:w="1205" w:type="dxa"/>
          </w:tcPr>
          <w:p w:rsidR="007D6C48" w:rsidRPr="00CD3A2D" w:rsidRDefault="007D6C48" w:rsidP="00D23500">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Pr>
          <w:p w:rsidR="007D6C48" w:rsidRPr="00CD3A2D" w:rsidRDefault="007D6C48"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429.096 </w:t>
            </w:r>
          </w:p>
        </w:tc>
        <w:tc>
          <w:tcPr>
            <w:tcW w:w="1205" w:type="dxa"/>
          </w:tcPr>
          <w:p w:rsidR="007D6C48" w:rsidRPr="00CD3A2D" w:rsidRDefault="007D6C48"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Pr>
          <w:p w:rsidR="007D6C48" w:rsidRPr="00CD3A2D" w:rsidRDefault="007D6C48" w:rsidP="00442721">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429.096 </w:t>
            </w:r>
          </w:p>
        </w:tc>
        <w:tc>
          <w:tcPr>
            <w:tcW w:w="1706" w:type="dxa"/>
            <w:tcBorders>
              <w:top w:val="nil"/>
              <w:left w:val="nil"/>
              <w:bottom w:val="nil"/>
              <w:right w:val="nil"/>
            </w:tcBorders>
            <w:shd w:val="clear" w:color="auto" w:fill="auto"/>
          </w:tcPr>
          <w:p w:rsidR="007D6C48" w:rsidRPr="00CD3A2D" w:rsidRDefault="007D6C48" w:rsidP="00CD3A2D">
            <w:pPr>
              <w:tabs>
                <w:tab w:val="right" w:pos="1202"/>
              </w:tabs>
              <w:spacing w:line="301" w:lineRule="exact"/>
              <w:jc w:val="right"/>
              <w:outlineLvl w:val="0"/>
              <w:rPr>
                <w:rFonts w:asciiTheme="minorHAnsi" w:hAnsiTheme="minorHAnsi" w:cstheme="minorHAnsi"/>
                <w:sz w:val="20"/>
                <w:szCs w:val="20"/>
                <w:lang w:val="hr-HR"/>
              </w:rPr>
            </w:pPr>
            <w:r w:rsidRPr="00CD3A2D">
              <w:rPr>
                <w:rFonts w:asciiTheme="minorHAnsi" w:hAnsiTheme="minorHAnsi" w:cstheme="minorHAnsi"/>
                <w:sz w:val="20"/>
                <w:szCs w:val="20"/>
                <w:lang w:val="hr-HR"/>
              </w:rPr>
              <w:t xml:space="preserve"> 429.096 </w:t>
            </w:r>
          </w:p>
        </w:tc>
      </w:tr>
      <w:tr w:rsidR="00B73929" w:rsidRPr="001567C8" w:rsidTr="003C6BA3">
        <w:trPr>
          <w:trHeight w:val="297"/>
        </w:trPr>
        <w:tc>
          <w:tcPr>
            <w:tcW w:w="3402" w:type="dxa"/>
            <w:tcBorders>
              <w:top w:val="nil"/>
              <w:left w:val="nil"/>
              <w:bottom w:val="nil"/>
              <w:right w:val="nil"/>
            </w:tcBorders>
            <w:shd w:val="clear" w:color="auto" w:fill="auto"/>
            <w:vAlign w:val="bottom"/>
          </w:tcPr>
          <w:p w:rsidR="00B73929" w:rsidRPr="00CD3A2D" w:rsidRDefault="00B73929" w:rsidP="00D23500">
            <w:pPr>
              <w:tabs>
                <w:tab w:val="right" w:pos="1202"/>
              </w:tabs>
              <w:outlineLvl w:val="0"/>
              <w:rPr>
                <w:rFonts w:asciiTheme="minorHAnsi" w:hAnsiTheme="minorHAnsi" w:cs="Arial"/>
                <w:sz w:val="20"/>
                <w:szCs w:val="20"/>
                <w:lang w:val="hr-HR"/>
              </w:rPr>
            </w:pPr>
            <w:r w:rsidRPr="00CD3A2D">
              <w:rPr>
                <w:rFonts w:asciiTheme="minorHAnsi" w:hAnsiTheme="minorHAnsi"/>
                <w:color w:val="000000"/>
                <w:sz w:val="20"/>
                <w:szCs w:val="20"/>
                <w:lang w:val="hr-HR"/>
              </w:rPr>
              <w:t>Obveze po kreditima</w:t>
            </w:r>
          </w:p>
        </w:tc>
        <w:tc>
          <w:tcPr>
            <w:tcW w:w="1205" w:type="dxa"/>
            <w:vAlign w:val="bottom"/>
          </w:tcPr>
          <w:p w:rsidR="00B73929" w:rsidRPr="00CD3A2D" w:rsidRDefault="00616FC9" w:rsidP="00D23500">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w:t>
            </w:r>
          </w:p>
        </w:tc>
        <w:tc>
          <w:tcPr>
            <w:tcW w:w="1205" w:type="dxa"/>
            <w:vAlign w:val="bottom"/>
          </w:tcPr>
          <w:p w:rsidR="00B73929" w:rsidRPr="00CD3A2D" w:rsidRDefault="00616FC9"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w:t>
            </w:r>
          </w:p>
        </w:tc>
        <w:tc>
          <w:tcPr>
            <w:tcW w:w="1205" w:type="dxa"/>
            <w:vAlign w:val="bottom"/>
          </w:tcPr>
          <w:p w:rsidR="00B73929" w:rsidRPr="00CD3A2D" w:rsidRDefault="00616FC9"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15.454.821</w:t>
            </w:r>
          </w:p>
        </w:tc>
        <w:tc>
          <w:tcPr>
            <w:tcW w:w="1205" w:type="dxa"/>
            <w:vAlign w:val="bottom"/>
          </w:tcPr>
          <w:p w:rsidR="00B73929" w:rsidRPr="00CD3A2D" w:rsidRDefault="00616FC9" w:rsidP="00442721">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15.454.821</w:t>
            </w:r>
          </w:p>
        </w:tc>
        <w:tc>
          <w:tcPr>
            <w:tcW w:w="1706" w:type="dxa"/>
            <w:tcBorders>
              <w:top w:val="nil"/>
              <w:left w:val="nil"/>
              <w:bottom w:val="nil"/>
              <w:right w:val="nil"/>
            </w:tcBorders>
            <w:shd w:val="clear" w:color="auto" w:fill="auto"/>
          </w:tcPr>
          <w:p w:rsidR="00B73929" w:rsidRPr="00CD3A2D" w:rsidRDefault="00B73929" w:rsidP="00CD3A2D">
            <w:pPr>
              <w:tabs>
                <w:tab w:val="right" w:pos="1202"/>
              </w:tabs>
              <w:spacing w:line="301" w:lineRule="exact"/>
              <w:jc w:val="right"/>
              <w:outlineLvl w:val="0"/>
              <w:rPr>
                <w:rFonts w:asciiTheme="minorHAnsi" w:hAnsiTheme="minorHAnsi" w:cstheme="minorHAnsi"/>
                <w:sz w:val="20"/>
                <w:szCs w:val="20"/>
                <w:lang w:val="hr-HR"/>
              </w:rPr>
            </w:pPr>
            <w:r w:rsidRPr="00CD3A2D">
              <w:rPr>
                <w:rFonts w:asciiTheme="minorHAnsi" w:hAnsiTheme="minorHAnsi" w:cstheme="minorHAnsi"/>
                <w:sz w:val="20"/>
                <w:szCs w:val="20"/>
                <w:lang w:val="hr-HR"/>
              </w:rPr>
              <w:t xml:space="preserve"> 14.877.987 </w:t>
            </w:r>
          </w:p>
        </w:tc>
      </w:tr>
      <w:tr w:rsidR="007D6C48" w:rsidRPr="001567C8" w:rsidTr="003C6BA3">
        <w:trPr>
          <w:trHeight w:val="297"/>
        </w:trPr>
        <w:tc>
          <w:tcPr>
            <w:tcW w:w="3402" w:type="dxa"/>
            <w:tcBorders>
              <w:top w:val="nil"/>
              <w:left w:val="nil"/>
              <w:bottom w:val="nil"/>
              <w:right w:val="nil"/>
            </w:tcBorders>
            <w:shd w:val="clear" w:color="auto" w:fill="auto"/>
            <w:vAlign w:val="bottom"/>
          </w:tcPr>
          <w:p w:rsidR="007D6C48" w:rsidRPr="00CD3A2D" w:rsidRDefault="007D6C48" w:rsidP="00D23500">
            <w:pPr>
              <w:tabs>
                <w:tab w:val="right" w:pos="1202"/>
              </w:tabs>
              <w:outlineLvl w:val="0"/>
              <w:rPr>
                <w:rFonts w:asciiTheme="minorHAnsi" w:hAnsiTheme="minorHAnsi" w:cs="Arial"/>
                <w:sz w:val="20"/>
                <w:szCs w:val="20"/>
                <w:lang w:val="hr-HR"/>
              </w:rPr>
            </w:pPr>
            <w:r w:rsidRPr="00CD3A2D">
              <w:rPr>
                <w:rFonts w:asciiTheme="minorHAnsi" w:hAnsiTheme="minorHAnsi"/>
                <w:color w:val="000000"/>
                <w:sz w:val="20"/>
                <w:szCs w:val="20"/>
                <w:lang w:val="hr-HR"/>
              </w:rPr>
              <w:t>Obveze za izdane dugoročne vrijednosne papire</w:t>
            </w:r>
          </w:p>
        </w:tc>
        <w:tc>
          <w:tcPr>
            <w:tcW w:w="1205" w:type="dxa"/>
            <w:tcBorders>
              <w:bottom w:val="single" w:sz="4" w:space="0" w:color="auto"/>
            </w:tcBorders>
            <w:vAlign w:val="bottom"/>
          </w:tcPr>
          <w:p w:rsidR="007D6C48" w:rsidRPr="00CD3A2D" w:rsidRDefault="00B57831" w:rsidP="00D23500">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w:t>
            </w:r>
            <w:r w:rsidR="00A3349F" w:rsidRPr="00CD3A2D">
              <w:rPr>
                <w:rFonts w:asciiTheme="minorHAnsi" w:hAnsiTheme="minorHAnsi" w:cstheme="minorHAnsi"/>
                <w:sz w:val="20"/>
                <w:szCs w:val="20"/>
                <w:lang w:val="hr-HR"/>
              </w:rPr>
              <w:t xml:space="preserve"> </w:t>
            </w:r>
            <w:r w:rsidR="007D6C48" w:rsidRPr="00CD3A2D">
              <w:rPr>
                <w:rFonts w:asciiTheme="minorHAnsi" w:hAnsiTheme="minorHAnsi" w:cstheme="minorHAnsi"/>
                <w:sz w:val="20"/>
                <w:szCs w:val="20"/>
                <w:lang w:val="hr-HR"/>
              </w:rPr>
              <w:t xml:space="preserve"> </w:t>
            </w:r>
          </w:p>
        </w:tc>
        <w:tc>
          <w:tcPr>
            <w:tcW w:w="1205" w:type="dxa"/>
            <w:tcBorders>
              <w:bottom w:val="single" w:sz="4" w:space="0" w:color="auto"/>
            </w:tcBorders>
            <w:vAlign w:val="bottom"/>
          </w:tcPr>
          <w:p w:rsidR="007D6C48" w:rsidRPr="00CD3A2D" w:rsidRDefault="00B57831"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1.190.721  </w:t>
            </w:r>
          </w:p>
        </w:tc>
        <w:tc>
          <w:tcPr>
            <w:tcW w:w="1205" w:type="dxa"/>
            <w:tcBorders>
              <w:bottom w:val="single" w:sz="4" w:space="0" w:color="auto"/>
            </w:tcBorders>
            <w:vAlign w:val="bottom"/>
          </w:tcPr>
          <w:p w:rsidR="007D6C48" w:rsidRPr="00CD3A2D" w:rsidRDefault="007D6C48" w:rsidP="00384142">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Borders>
              <w:bottom w:val="single" w:sz="4" w:space="0" w:color="auto"/>
            </w:tcBorders>
            <w:vAlign w:val="bottom"/>
          </w:tcPr>
          <w:p w:rsidR="007D6C48" w:rsidRPr="00CD3A2D" w:rsidRDefault="007D6C48" w:rsidP="00442721">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1.190.721 </w:t>
            </w:r>
          </w:p>
        </w:tc>
        <w:tc>
          <w:tcPr>
            <w:tcW w:w="1706" w:type="dxa"/>
            <w:tcBorders>
              <w:top w:val="nil"/>
              <w:left w:val="nil"/>
              <w:bottom w:val="single" w:sz="4" w:space="0" w:color="auto"/>
              <w:right w:val="nil"/>
            </w:tcBorders>
            <w:shd w:val="clear" w:color="auto" w:fill="auto"/>
            <w:vAlign w:val="bottom"/>
          </w:tcPr>
          <w:p w:rsidR="007D6C48" w:rsidRPr="00CD3A2D" w:rsidRDefault="007D6C48" w:rsidP="00CD3A2D">
            <w:pPr>
              <w:tabs>
                <w:tab w:val="right" w:pos="1202"/>
              </w:tabs>
              <w:spacing w:line="301" w:lineRule="exact"/>
              <w:jc w:val="right"/>
              <w:outlineLvl w:val="0"/>
              <w:rPr>
                <w:rFonts w:asciiTheme="minorHAnsi" w:hAnsiTheme="minorHAnsi" w:cstheme="minorHAnsi"/>
                <w:sz w:val="20"/>
                <w:szCs w:val="20"/>
                <w:lang w:val="hr-HR"/>
              </w:rPr>
            </w:pPr>
            <w:r w:rsidRPr="00CD3A2D">
              <w:rPr>
                <w:rFonts w:asciiTheme="minorHAnsi" w:hAnsiTheme="minorHAnsi" w:cstheme="minorHAnsi"/>
                <w:sz w:val="20"/>
                <w:szCs w:val="20"/>
                <w:lang w:val="hr-HR"/>
              </w:rPr>
              <w:t xml:space="preserve"> 1.150.557 </w:t>
            </w:r>
          </w:p>
        </w:tc>
      </w:tr>
      <w:tr w:rsidR="00B73929" w:rsidRPr="001567C8" w:rsidTr="003C6BA3">
        <w:trPr>
          <w:trHeight w:val="297"/>
        </w:trPr>
        <w:tc>
          <w:tcPr>
            <w:tcW w:w="3402" w:type="dxa"/>
            <w:tcBorders>
              <w:top w:val="nil"/>
              <w:left w:val="nil"/>
              <w:bottom w:val="nil"/>
              <w:right w:val="nil"/>
            </w:tcBorders>
            <w:shd w:val="clear" w:color="auto" w:fill="auto"/>
            <w:vAlign w:val="bottom"/>
          </w:tcPr>
          <w:p w:rsidR="00B73929" w:rsidRPr="00CD3A2D" w:rsidRDefault="00B73929" w:rsidP="00D23500">
            <w:pPr>
              <w:tabs>
                <w:tab w:val="right" w:pos="1202"/>
              </w:tabs>
              <w:outlineLvl w:val="0"/>
              <w:rPr>
                <w:rFonts w:asciiTheme="minorHAnsi" w:hAnsiTheme="minorHAnsi"/>
                <w:color w:val="000000"/>
                <w:sz w:val="20"/>
                <w:szCs w:val="20"/>
                <w:lang w:val="hr-HR"/>
              </w:rPr>
            </w:pPr>
          </w:p>
        </w:tc>
        <w:tc>
          <w:tcPr>
            <w:tcW w:w="1205" w:type="dxa"/>
            <w:tcBorders>
              <w:top w:val="single" w:sz="4" w:space="0" w:color="auto"/>
              <w:bottom w:val="single" w:sz="12" w:space="0" w:color="auto"/>
            </w:tcBorders>
            <w:vAlign w:val="bottom"/>
          </w:tcPr>
          <w:p w:rsidR="00B73929" w:rsidRPr="00CD3A2D" w:rsidRDefault="00B57831" w:rsidP="00D23500">
            <w:pPr>
              <w:tabs>
                <w:tab w:val="right" w:pos="1202"/>
              </w:tabs>
              <w:spacing w:line="301" w:lineRule="exact"/>
              <w:jc w:val="right"/>
              <w:outlineLvl w:val="0"/>
              <w:rPr>
                <w:rFonts w:asciiTheme="minorHAnsi" w:hAnsiTheme="minorHAnsi" w:cs="Calibri"/>
                <w:b/>
                <w:color w:val="000000"/>
                <w:sz w:val="20"/>
                <w:szCs w:val="20"/>
                <w:lang w:val="hr-HR"/>
              </w:rPr>
            </w:pPr>
            <w:r w:rsidRPr="00CD3A2D">
              <w:rPr>
                <w:rFonts w:asciiTheme="minorHAnsi" w:hAnsiTheme="minorHAnsi" w:cs="Calibri"/>
                <w:b/>
                <w:color w:val="000000"/>
                <w:sz w:val="20"/>
                <w:szCs w:val="20"/>
                <w:lang w:val="hr-HR"/>
              </w:rPr>
              <w:t>-</w:t>
            </w:r>
          </w:p>
        </w:tc>
        <w:tc>
          <w:tcPr>
            <w:tcW w:w="1205" w:type="dxa"/>
            <w:tcBorders>
              <w:top w:val="single" w:sz="4" w:space="0" w:color="auto"/>
              <w:bottom w:val="single" w:sz="12" w:space="0" w:color="auto"/>
            </w:tcBorders>
            <w:vAlign w:val="bottom"/>
          </w:tcPr>
          <w:p w:rsidR="00B73929" w:rsidRPr="00CD3A2D" w:rsidRDefault="00B57831" w:rsidP="00384142">
            <w:pPr>
              <w:tabs>
                <w:tab w:val="right" w:pos="1202"/>
              </w:tabs>
              <w:spacing w:line="301" w:lineRule="exact"/>
              <w:jc w:val="right"/>
              <w:outlineLvl w:val="0"/>
              <w:rPr>
                <w:rFonts w:asciiTheme="minorHAnsi" w:hAnsiTheme="minorHAnsi" w:cs="Calibri"/>
                <w:b/>
                <w:color w:val="000000"/>
                <w:sz w:val="20"/>
                <w:szCs w:val="20"/>
                <w:lang w:val="hr-HR"/>
              </w:rPr>
            </w:pPr>
            <w:r w:rsidRPr="00CD3A2D">
              <w:rPr>
                <w:rFonts w:asciiTheme="minorHAnsi" w:hAnsiTheme="minorHAnsi" w:cs="Calibri"/>
                <w:b/>
                <w:color w:val="000000"/>
                <w:sz w:val="20"/>
                <w:szCs w:val="20"/>
                <w:lang w:val="hr-HR"/>
              </w:rPr>
              <w:t>1.619.817</w:t>
            </w:r>
          </w:p>
        </w:tc>
        <w:tc>
          <w:tcPr>
            <w:tcW w:w="1205" w:type="dxa"/>
            <w:tcBorders>
              <w:top w:val="single" w:sz="4" w:space="0" w:color="auto"/>
              <w:bottom w:val="single" w:sz="12" w:space="0" w:color="auto"/>
            </w:tcBorders>
            <w:vAlign w:val="bottom"/>
          </w:tcPr>
          <w:p w:rsidR="00B73929" w:rsidRPr="00CD3A2D" w:rsidRDefault="00BF2E71" w:rsidP="00384142">
            <w:pPr>
              <w:tabs>
                <w:tab w:val="right" w:pos="1202"/>
              </w:tabs>
              <w:spacing w:line="301" w:lineRule="exact"/>
              <w:jc w:val="right"/>
              <w:outlineLvl w:val="0"/>
              <w:rPr>
                <w:rFonts w:asciiTheme="minorHAnsi" w:hAnsiTheme="minorHAnsi" w:cs="Calibri"/>
                <w:b/>
                <w:color w:val="000000"/>
                <w:sz w:val="20"/>
                <w:szCs w:val="20"/>
                <w:lang w:val="hr-HR"/>
              </w:rPr>
            </w:pPr>
            <w:r w:rsidRPr="00CD3A2D">
              <w:rPr>
                <w:rFonts w:asciiTheme="minorHAnsi" w:hAnsiTheme="minorHAnsi" w:cs="Calibri"/>
                <w:b/>
                <w:color w:val="000000"/>
                <w:sz w:val="20"/>
                <w:szCs w:val="20"/>
                <w:lang w:val="hr-HR"/>
              </w:rPr>
              <w:t>15.454.821</w:t>
            </w:r>
          </w:p>
        </w:tc>
        <w:tc>
          <w:tcPr>
            <w:tcW w:w="1205" w:type="dxa"/>
            <w:tcBorders>
              <w:top w:val="single" w:sz="4" w:space="0" w:color="auto"/>
              <w:bottom w:val="single" w:sz="12" w:space="0" w:color="auto"/>
            </w:tcBorders>
            <w:vAlign w:val="bottom"/>
          </w:tcPr>
          <w:p w:rsidR="00B73929" w:rsidRPr="00CD3A2D" w:rsidRDefault="00BF2E71" w:rsidP="00442721">
            <w:pPr>
              <w:tabs>
                <w:tab w:val="right" w:pos="1202"/>
              </w:tabs>
              <w:spacing w:line="301" w:lineRule="exact"/>
              <w:jc w:val="right"/>
              <w:outlineLvl w:val="0"/>
              <w:rPr>
                <w:rFonts w:asciiTheme="minorHAnsi" w:hAnsiTheme="minorHAnsi" w:cs="Calibri"/>
                <w:b/>
                <w:color w:val="000000"/>
                <w:sz w:val="20"/>
                <w:szCs w:val="20"/>
                <w:lang w:val="hr-HR"/>
              </w:rPr>
            </w:pPr>
            <w:r w:rsidRPr="00CD3A2D">
              <w:rPr>
                <w:rFonts w:asciiTheme="minorHAnsi" w:hAnsiTheme="minorHAnsi" w:cs="Calibri"/>
                <w:b/>
                <w:color w:val="000000"/>
                <w:sz w:val="20"/>
                <w:szCs w:val="20"/>
                <w:lang w:val="hr-HR"/>
              </w:rPr>
              <w:t>17.074.638</w:t>
            </w:r>
          </w:p>
        </w:tc>
        <w:tc>
          <w:tcPr>
            <w:tcW w:w="1706" w:type="dxa"/>
            <w:tcBorders>
              <w:top w:val="single" w:sz="4" w:space="0" w:color="auto"/>
              <w:left w:val="nil"/>
              <w:bottom w:val="single" w:sz="12" w:space="0" w:color="auto"/>
              <w:right w:val="nil"/>
            </w:tcBorders>
            <w:shd w:val="clear" w:color="auto" w:fill="auto"/>
          </w:tcPr>
          <w:p w:rsidR="00B73929" w:rsidRPr="00CD3A2D" w:rsidRDefault="00B73929" w:rsidP="00CD3A2D">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16.457.640</w:t>
            </w:r>
          </w:p>
        </w:tc>
      </w:tr>
    </w:tbl>
    <w:p w:rsidR="00E50F2B" w:rsidRPr="001567C8" w:rsidRDefault="00E50F2B" w:rsidP="00964345">
      <w:pPr>
        <w:pStyle w:val="T1"/>
        <w:keepNext w:val="0"/>
        <w:spacing w:before="0" w:after="0" w:line="240" w:lineRule="auto"/>
        <w:rPr>
          <w:rFonts w:asciiTheme="minorHAnsi" w:hAnsiTheme="minorHAnsi" w:cs="Arial"/>
          <w:spacing w:val="-3"/>
          <w:sz w:val="22"/>
          <w:szCs w:val="22"/>
          <w:lang w:val="hr-HR"/>
        </w:rPr>
      </w:pPr>
    </w:p>
    <w:p w:rsidR="000B4639" w:rsidRPr="001567C8" w:rsidRDefault="000B4639" w:rsidP="003C6BA3">
      <w:pPr>
        <w:pStyle w:val="T1"/>
        <w:spacing w:before="0" w:after="0" w:line="240" w:lineRule="auto"/>
        <w:rPr>
          <w:rFonts w:asciiTheme="minorHAnsi" w:hAnsiTheme="minorHAnsi" w:cs="Arial"/>
          <w:spacing w:val="-3"/>
          <w:sz w:val="22"/>
          <w:szCs w:val="22"/>
          <w:lang w:val="hr-HR"/>
        </w:rPr>
      </w:pPr>
    </w:p>
    <w:tbl>
      <w:tblPr>
        <w:tblpPr w:leftFromText="181" w:rightFromText="181" w:vertAnchor="text" w:horzAnchor="margin" w:tblpX="-284" w:tblpY="360"/>
        <w:tblW w:w="9928" w:type="dxa"/>
        <w:tblLayout w:type="fixed"/>
        <w:tblLook w:val="0000" w:firstRow="0" w:lastRow="0" w:firstColumn="0" w:lastColumn="0" w:noHBand="0" w:noVBand="0"/>
      </w:tblPr>
      <w:tblGrid>
        <w:gridCol w:w="3402"/>
        <w:gridCol w:w="1205"/>
        <w:gridCol w:w="1205"/>
        <w:gridCol w:w="1205"/>
        <w:gridCol w:w="1205"/>
        <w:gridCol w:w="1706"/>
      </w:tblGrid>
      <w:tr w:rsidR="002F6E35" w:rsidRPr="001567C8" w:rsidTr="003C6BA3">
        <w:trPr>
          <w:trHeight w:val="289"/>
        </w:trPr>
        <w:tc>
          <w:tcPr>
            <w:tcW w:w="3402" w:type="dxa"/>
            <w:vAlign w:val="bottom"/>
          </w:tcPr>
          <w:p w:rsidR="000C1A40" w:rsidRPr="00CD3A2D" w:rsidRDefault="000C1A40" w:rsidP="00B73929">
            <w:pPr>
              <w:rPr>
                <w:rFonts w:asciiTheme="minorHAnsi" w:hAnsiTheme="minorHAnsi" w:cs="Arial"/>
                <w:b/>
                <w:sz w:val="20"/>
                <w:szCs w:val="20"/>
                <w:lang w:val="hr-HR"/>
              </w:rPr>
            </w:pPr>
            <w:r w:rsidRPr="00CD3A2D">
              <w:rPr>
                <w:rFonts w:asciiTheme="minorHAnsi" w:hAnsiTheme="minorHAnsi" w:cs="Arial"/>
                <w:b/>
                <w:sz w:val="20"/>
                <w:szCs w:val="20"/>
                <w:lang w:val="hr-HR"/>
              </w:rPr>
              <w:t>Banka</w:t>
            </w:r>
          </w:p>
          <w:p w:rsidR="000C1A40" w:rsidRPr="00CD3A2D" w:rsidRDefault="000C1A40" w:rsidP="00B73929">
            <w:pPr>
              <w:rPr>
                <w:rFonts w:asciiTheme="minorHAnsi" w:hAnsiTheme="minorHAnsi" w:cs="Arial"/>
                <w:b/>
                <w:sz w:val="20"/>
                <w:szCs w:val="20"/>
                <w:lang w:val="hr-HR"/>
              </w:rPr>
            </w:pPr>
          </w:p>
          <w:p w:rsidR="002F6E35" w:rsidRPr="00CD3A2D" w:rsidRDefault="00AD2EF7" w:rsidP="00B73929">
            <w:pPr>
              <w:rPr>
                <w:rFonts w:asciiTheme="minorHAnsi" w:hAnsiTheme="minorHAnsi" w:cs="Arial"/>
                <w:b/>
                <w:sz w:val="20"/>
                <w:szCs w:val="20"/>
                <w:lang w:val="hr-HR"/>
              </w:rPr>
            </w:pPr>
            <w:r>
              <w:rPr>
                <w:rFonts w:asciiTheme="minorHAnsi" w:hAnsiTheme="minorHAnsi" w:cs="Arial"/>
                <w:b/>
                <w:sz w:val="20"/>
                <w:szCs w:val="20"/>
                <w:lang w:val="hr-HR"/>
              </w:rPr>
              <w:t>31. prosin</w:t>
            </w:r>
            <w:r w:rsidR="0073283D" w:rsidRPr="00CD3A2D">
              <w:rPr>
                <w:rFonts w:asciiTheme="minorHAnsi" w:hAnsiTheme="minorHAnsi" w:cs="Arial"/>
                <w:b/>
                <w:sz w:val="20"/>
                <w:szCs w:val="20"/>
                <w:lang w:val="hr-HR"/>
              </w:rPr>
              <w:t>c</w:t>
            </w:r>
            <w:r>
              <w:rPr>
                <w:rFonts w:asciiTheme="minorHAnsi" w:hAnsiTheme="minorHAnsi" w:cs="Arial"/>
                <w:b/>
                <w:sz w:val="20"/>
                <w:szCs w:val="20"/>
                <w:lang w:val="hr-HR"/>
              </w:rPr>
              <w:t>a</w:t>
            </w:r>
            <w:r w:rsidR="0073283D" w:rsidRPr="00CD3A2D">
              <w:rPr>
                <w:rFonts w:asciiTheme="minorHAnsi" w:hAnsiTheme="minorHAnsi" w:cs="Arial"/>
                <w:b/>
                <w:sz w:val="20"/>
                <w:szCs w:val="20"/>
                <w:lang w:val="hr-HR"/>
              </w:rPr>
              <w:t xml:space="preserve"> </w:t>
            </w:r>
            <w:r w:rsidR="002F6E35" w:rsidRPr="00CD3A2D">
              <w:rPr>
                <w:rFonts w:asciiTheme="minorHAnsi" w:hAnsiTheme="minorHAnsi" w:cs="Arial"/>
                <w:b/>
                <w:sz w:val="20"/>
                <w:szCs w:val="20"/>
                <w:lang w:val="hr-HR"/>
              </w:rPr>
              <w:t>2017. godina</w:t>
            </w:r>
          </w:p>
        </w:tc>
        <w:tc>
          <w:tcPr>
            <w:tcW w:w="1205" w:type="dxa"/>
            <w:shd w:val="clear" w:color="auto" w:fill="auto"/>
            <w:vAlign w:val="center"/>
          </w:tcPr>
          <w:p w:rsidR="002F6E35" w:rsidRPr="00CD3A2D" w:rsidRDefault="002F6E35" w:rsidP="00B73929">
            <w:pPr>
              <w:jc w:val="right"/>
              <w:rPr>
                <w:rFonts w:asciiTheme="minorHAnsi" w:hAnsiTheme="minorHAnsi" w:cs="Arial"/>
                <w:b/>
                <w:sz w:val="20"/>
                <w:szCs w:val="20"/>
                <w:lang w:val="hr-HR"/>
              </w:rPr>
            </w:pPr>
            <w:r w:rsidRPr="001567C8">
              <w:rPr>
                <w:rFonts w:asciiTheme="minorHAnsi" w:eastAsia="Calibri" w:hAnsiTheme="minorHAnsi" w:cs="Arial"/>
                <w:b/>
                <w:spacing w:val="-2"/>
                <w:sz w:val="20"/>
                <w:szCs w:val="20"/>
                <w:lang w:val="hr-HR"/>
              </w:rPr>
              <w:t>Razina 1</w:t>
            </w:r>
          </w:p>
        </w:tc>
        <w:tc>
          <w:tcPr>
            <w:tcW w:w="1205" w:type="dxa"/>
            <w:shd w:val="clear" w:color="auto" w:fill="auto"/>
            <w:vAlign w:val="center"/>
          </w:tcPr>
          <w:p w:rsidR="002F6E35" w:rsidRPr="00CD3A2D" w:rsidRDefault="002F6E35" w:rsidP="00B73929">
            <w:pPr>
              <w:jc w:val="right"/>
              <w:rPr>
                <w:rFonts w:asciiTheme="minorHAnsi" w:hAnsiTheme="minorHAnsi" w:cs="Arial"/>
                <w:b/>
                <w:sz w:val="20"/>
                <w:szCs w:val="20"/>
                <w:lang w:val="hr-HR"/>
              </w:rPr>
            </w:pPr>
            <w:r w:rsidRPr="001567C8">
              <w:rPr>
                <w:rFonts w:asciiTheme="minorHAnsi" w:eastAsia="Calibri" w:hAnsiTheme="minorHAnsi" w:cs="Arial"/>
                <w:b/>
                <w:spacing w:val="-2"/>
                <w:sz w:val="20"/>
                <w:szCs w:val="20"/>
                <w:lang w:val="hr-HR"/>
              </w:rPr>
              <w:t>Razina 2</w:t>
            </w:r>
          </w:p>
        </w:tc>
        <w:tc>
          <w:tcPr>
            <w:tcW w:w="1205" w:type="dxa"/>
            <w:shd w:val="clear" w:color="auto" w:fill="auto"/>
            <w:vAlign w:val="center"/>
          </w:tcPr>
          <w:p w:rsidR="002F6E35" w:rsidRPr="00CD3A2D" w:rsidRDefault="002F6E35" w:rsidP="00B73929">
            <w:pPr>
              <w:jc w:val="right"/>
              <w:rPr>
                <w:rFonts w:asciiTheme="minorHAnsi" w:hAnsiTheme="minorHAnsi" w:cs="Arial"/>
                <w:b/>
                <w:sz w:val="20"/>
                <w:szCs w:val="20"/>
                <w:lang w:val="hr-HR"/>
              </w:rPr>
            </w:pPr>
            <w:r w:rsidRPr="001567C8">
              <w:rPr>
                <w:rFonts w:asciiTheme="minorHAnsi" w:eastAsia="Calibri" w:hAnsiTheme="minorHAnsi" w:cs="Arial"/>
                <w:b/>
                <w:spacing w:val="-2"/>
                <w:sz w:val="20"/>
                <w:szCs w:val="20"/>
                <w:lang w:val="hr-HR"/>
              </w:rPr>
              <w:t>Razina 3</w:t>
            </w:r>
          </w:p>
        </w:tc>
        <w:tc>
          <w:tcPr>
            <w:tcW w:w="1205" w:type="dxa"/>
            <w:vAlign w:val="center"/>
          </w:tcPr>
          <w:p w:rsidR="002F6E35" w:rsidRPr="00CD3A2D" w:rsidRDefault="002F6E35" w:rsidP="00B73929">
            <w:pPr>
              <w:jc w:val="right"/>
              <w:rPr>
                <w:rFonts w:asciiTheme="minorHAnsi" w:hAnsiTheme="minorHAnsi" w:cs="Arial"/>
                <w:b/>
                <w:sz w:val="20"/>
                <w:szCs w:val="20"/>
                <w:lang w:val="hr-HR"/>
              </w:rPr>
            </w:pPr>
            <w:r w:rsidRPr="00CD3A2D">
              <w:rPr>
                <w:rFonts w:asciiTheme="minorHAnsi" w:hAnsiTheme="minorHAnsi" w:cs="Arial"/>
                <w:b/>
                <w:sz w:val="20"/>
                <w:szCs w:val="20"/>
                <w:lang w:val="hr-HR"/>
              </w:rPr>
              <w:t>Fer vrijednost</w:t>
            </w:r>
          </w:p>
        </w:tc>
        <w:tc>
          <w:tcPr>
            <w:tcW w:w="1706" w:type="dxa"/>
            <w:vAlign w:val="center"/>
          </w:tcPr>
          <w:p w:rsidR="002F6E35" w:rsidRPr="00CD3A2D" w:rsidRDefault="002F6E35" w:rsidP="00B73929">
            <w:pPr>
              <w:jc w:val="right"/>
              <w:rPr>
                <w:rFonts w:asciiTheme="minorHAnsi" w:hAnsiTheme="minorHAnsi" w:cs="Arial"/>
                <w:b/>
                <w:sz w:val="20"/>
                <w:szCs w:val="20"/>
                <w:lang w:val="hr-HR"/>
              </w:rPr>
            </w:pPr>
            <w:r w:rsidRPr="00CD3A2D">
              <w:rPr>
                <w:rFonts w:asciiTheme="minorHAnsi" w:hAnsiTheme="minorHAnsi" w:cs="Arial"/>
                <w:b/>
                <w:sz w:val="20"/>
                <w:szCs w:val="20"/>
                <w:lang w:val="hr-HR"/>
              </w:rPr>
              <w:t>Knjigovodstvena vrijednost</w:t>
            </w:r>
          </w:p>
        </w:tc>
      </w:tr>
      <w:tr w:rsidR="002F6E35" w:rsidRPr="001567C8" w:rsidTr="003C6BA3">
        <w:trPr>
          <w:trHeight w:hRule="exact" w:val="271"/>
        </w:trPr>
        <w:tc>
          <w:tcPr>
            <w:tcW w:w="3402" w:type="dxa"/>
            <w:vAlign w:val="bottom"/>
          </w:tcPr>
          <w:p w:rsidR="002F6E35" w:rsidRPr="00CD3A2D" w:rsidRDefault="002F6E35" w:rsidP="00B73929">
            <w:pPr>
              <w:rPr>
                <w:rFonts w:asciiTheme="minorHAnsi" w:hAnsiTheme="minorHAnsi" w:cs="Arial"/>
                <w:sz w:val="20"/>
                <w:szCs w:val="20"/>
                <w:lang w:val="hr-HR"/>
              </w:rPr>
            </w:pPr>
          </w:p>
        </w:tc>
        <w:tc>
          <w:tcPr>
            <w:tcW w:w="1205" w:type="dxa"/>
            <w:vAlign w:val="center"/>
          </w:tcPr>
          <w:p w:rsidR="002F6E35" w:rsidRPr="00CD3A2D" w:rsidRDefault="002F6E35" w:rsidP="00B73929">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c>
          <w:tcPr>
            <w:tcW w:w="1205" w:type="dxa"/>
            <w:vAlign w:val="center"/>
          </w:tcPr>
          <w:p w:rsidR="002F6E35" w:rsidRPr="00CD3A2D" w:rsidRDefault="002F6E35" w:rsidP="00B73929">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c>
          <w:tcPr>
            <w:tcW w:w="1205" w:type="dxa"/>
            <w:vAlign w:val="center"/>
          </w:tcPr>
          <w:p w:rsidR="002F6E35" w:rsidRPr="00CD3A2D" w:rsidRDefault="002F6E35" w:rsidP="00B73929">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c>
          <w:tcPr>
            <w:tcW w:w="1205" w:type="dxa"/>
            <w:vAlign w:val="center"/>
          </w:tcPr>
          <w:p w:rsidR="002F6E35" w:rsidRPr="00CD3A2D" w:rsidRDefault="002F6E35" w:rsidP="00B73929">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c>
          <w:tcPr>
            <w:tcW w:w="1706" w:type="dxa"/>
            <w:vAlign w:val="center"/>
          </w:tcPr>
          <w:p w:rsidR="002F6E35" w:rsidRPr="00CD3A2D" w:rsidRDefault="002F6E35" w:rsidP="00B73929">
            <w:pPr>
              <w:jc w:val="right"/>
              <w:rPr>
                <w:rFonts w:asciiTheme="minorHAnsi" w:hAnsiTheme="minorHAnsi" w:cs="Arial"/>
                <w:b/>
                <w:sz w:val="20"/>
                <w:szCs w:val="20"/>
                <w:lang w:val="hr-HR"/>
              </w:rPr>
            </w:pPr>
            <w:r w:rsidRPr="00CD3A2D">
              <w:rPr>
                <w:rFonts w:asciiTheme="minorHAnsi" w:hAnsiTheme="minorHAnsi" w:cs="Arial"/>
                <w:b/>
                <w:sz w:val="20"/>
                <w:szCs w:val="20"/>
                <w:lang w:val="hr-HR"/>
              </w:rPr>
              <w:t>000 kuna</w:t>
            </w:r>
          </w:p>
        </w:tc>
      </w:tr>
      <w:tr w:rsidR="002F6E35" w:rsidRPr="001567C8" w:rsidTr="003C6BA3">
        <w:trPr>
          <w:trHeight w:hRule="exact" w:val="162"/>
        </w:trPr>
        <w:tc>
          <w:tcPr>
            <w:tcW w:w="3402" w:type="dxa"/>
            <w:vAlign w:val="bottom"/>
          </w:tcPr>
          <w:p w:rsidR="002F6E35" w:rsidRPr="00CD3A2D" w:rsidRDefault="002F6E35" w:rsidP="00B73929">
            <w:pPr>
              <w:rPr>
                <w:rFonts w:asciiTheme="minorHAnsi" w:hAnsiTheme="minorHAnsi" w:cs="Arial"/>
                <w:sz w:val="20"/>
                <w:szCs w:val="20"/>
                <w:lang w:val="hr-HR"/>
              </w:rPr>
            </w:pPr>
          </w:p>
        </w:tc>
        <w:tc>
          <w:tcPr>
            <w:tcW w:w="1205" w:type="dxa"/>
            <w:vAlign w:val="center"/>
          </w:tcPr>
          <w:p w:rsidR="002F6E35" w:rsidRPr="00CD3A2D" w:rsidRDefault="002F6E35" w:rsidP="00B73929">
            <w:pPr>
              <w:jc w:val="right"/>
              <w:rPr>
                <w:rFonts w:asciiTheme="minorHAnsi" w:hAnsiTheme="minorHAnsi" w:cs="Arial"/>
                <w:b/>
                <w:sz w:val="20"/>
                <w:szCs w:val="20"/>
                <w:lang w:val="hr-HR"/>
              </w:rPr>
            </w:pPr>
          </w:p>
        </w:tc>
        <w:tc>
          <w:tcPr>
            <w:tcW w:w="1205" w:type="dxa"/>
            <w:vAlign w:val="center"/>
          </w:tcPr>
          <w:p w:rsidR="002F6E35" w:rsidRPr="00CD3A2D" w:rsidRDefault="002F6E35" w:rsidP="00B73929">
            <w:pPr>
              <w:jc w:val="right"/>
              <w:rPr>
                <w:rFonts w:asciiTheme="minorHAnsi" w:hAnsiTheme="minorHAnsi" w:cs="Arial"/>
                <w:b/>
                <w:sz w:val="20"/>
                <w:szCs w:val="20"/>
                <w:lang w:val="hr-HR"/>
              </w:rPr>
            </w:pPr>
          </w:p>
        </w:tc>
        <w:tc>
          <w:tcPr>
            <w:tcW w:w="1205" w:type="dxa"/>
            <w:vAlign w:val="center"/>
          </w:tcPr>
          <w:p w:rsidR="002F6E35" w:rsidRPr="00CD3A2D" w:rsidRDefault="002F6E35" w:rsidP="00B73929">
            <w:pPr>
              <w:jc w:val="right"/>
              <w:rPr>
                <w:rFonts w:asciiTheme="minorHAnsi" w:hAnsiTheme="minorHAnsi" w:cs="Arial"/>
                <w:b/>
                <w:sz w:val="20"/>
                <w:szCs w:val="20"/>
                <w:lang w:val="hr-HR"/>
              </w:rPr>
            </w:pPr>
          </w:p>
        </w:tc>
        <w:tc>
          <w:tcPr>
            <w:tcW w:w="1205" w:type="dxa"/>
            <w:vAlign w:val="center"/>
          </w:tcPr>
          <w:p w:rsidR="002F6E35" w:rsidRPr="00CD3A2D" w:rsidRDefault="002F6E35" w:rsidP="00B73929">
            <w:pPr>
              <w:jc w:val="right"/>
              <w:rPr>
                <w:rFonts w:asciiTheme="minorHAnsi" w:hAnsiTheme="minorHAnsi" w:cs="Arial"/>
                <w:b/>
                <w:sz w:val="20"/>
                <w:szCs w:val="20"/>
                <w:lang w:val="hr-HR"/>
              </w:rPr>
            </w:pPr>
          </w:p>
        </w:tc>
        <w:tc>
          <w:tcPr>
            <w:tcW w:w="1706" w:type="dxa"/>
            <w:vAlign w:val="center"/>
          </w:tcPr>
          <w:p w:rsidR="002F6E35" w:rsidRPr="00CD3A2D" w:rsidRDefault="002F6E35" w:rsidP="00B73929">
            <w:pPr>
              <w:jc w:val="right"/>
              <w:rPr>
                <w:rFonts w:asciiTheme="minorHAnsi" w:hAnsiTheme="minorHAnsi" w:cs="Arial"/>
                <w:b/>
                <w:sz w:val="20"/>
                <w:szCs w:val="20"/>
                <w:lang w:val="hr-HR"/>
              </w:rPr>
            </w:pPr>
          </w:p>
        </w:tc>
      </w:tr>
      <w:tr w:rsidR="002F6E35" w:rsidRPr="001567C8" w:rsidTr="003C6BA3">
        <w:trPr>
          <w:trHeight w:val="297"/>
        </w:trPr>
        <w:tc>
          <w:tcPr>
            <w:tcW w:w="3402" w:type="dxa"/>
            <w:vAlign w:val="bottom"/>
          </w:tcPr>
          <w:p w:rsidR="002F6E35" w:rsidRPr="00CD3A2D" w:rsidRDefault="002F6E35" w:rsidP="00B73929">
            <w:pPr>
              <w:tabs>
                <w:tab w:val="right" w:pos="1202"/>
              </w:tabs>
              <w:outlineLvl w:val="0"/>
              <w:rPr>
                <w:rFonts w:asciiTheme="minorHAnsi" w:hAnsiTheme="minorHAnsi" w:cs="Arial"/>
                <w:b/>
                <w:bCs/>
                <w:sz w:val="20"/>
                <w:szCs w:val="20"/>
                <w:lang w:val="hr-HR"/>
              </w:rPr>
            </w:pPr>
            <w:r w:rsidRPr="00CD3A2D">
              <w:rPr>
                <w:rFonts w:asciiTheme="minorHAnsi" w:eastAsia="Calibri" w:hAnsiTheme="minorHAnsi" w:cs="Arial"/>
                <w:b/>
                <w:bCs/>
                <w:sz w:val="20"/>
                <w:szCs w:val="20"/>
                <w:lang w:val="hr-HR"/>
              </w:rPr>
              <w:t>Imovina</w:t>
            </w:r>
          </w:p>
        </w:tc>
        <w:tc>
          <w:tcPr>
            <w:tcW w:w="1205" w:type="dxa"/>
            <w:vAlign w:val="center"/>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c>
          <w:tcPr>
            <w:tcW w:w="1205" w:type="dxa"/>
            <w:vAlign w:val="center"/>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c>
          <w:tcPr>
            <w:tcW w:w="1205" w:type="dxa"/>
            <w:vAlign w:val="center"/>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c>
          <w:tcPr>
            <w:tcW w:w="1205" w:type="dxa"/>
            <w:vAlign w:val="center"/>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c>
          <w:tcPr>
            <w:tcW w:w="1706" w:type="dxa"/>
            <w:vAlign w:val="center"/>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r>
      <w:tr w:rsidR="002F6E35" w:rsidRPr="001567C8" w:rsidTr="003C6BA3">
        <w:trPr>
          <w:trHeight w:val="297"/>
        </w:trPr>
        <w:tc>
          <w:tcPr>
            <w:tcW w:w="3402" w:type="dxa"/>
            <w:vAlign w:val="bottom"/>
          </w:tcPr>
          <w:p w:rsidR="002F6E35" w:rsidRPr="00CD3A2D" w:rsidRDefault="002F6E35" w:rsidP="00B73929">
            <w:pPr>
              <w:tabs>
                <w:tab w:val="right" w:pos="1202"/>
              </w:tabs>
              <w:outlineLvl w:val="0"/>
              <w:rPr>
                <w:rFonts w:asciiTheme="minorHAnsi" w:hAnsiTheme="minorHAnsi" w:cs="Arial"/>
                <w:sz w:val="20"/>
                <w:szCs w:val="20"/>
                <w:lang w:val="hr-HR"/>
              </w:rPr>
            </w:pPr>
            <w:r w:rsidRPr="00CD3A2D">
              <w:rPr>
                <w:rFonts w:asciiTheme="minorHAnsi" w:eastAsia="Calibri" w:hAnsiTheme="minorHAnsi" w:cs="Arial"/>
                <w:sz w:val="20"/>
                <w:szCs w:val="20"/>
                <w:lang w:val="hr-HR"/>
              </w:rPr>
              <w:t>Novčana sredstva i računi kod banaka</w:t>
            </w:r>
          </w:p>
        </w:tc>
        <w:tc>
          <w:tcPr>
            <w:tcW w:w="1205" w:type="dxa"/>
            <w:vAlign w:val="bottom"/>
          </w:tcPr>
          <w:p w:rsidR="002F6E35" w:rsidRPr="00CD3A2D" w:rsidRDefault="007D6C48" w:rsidP="00B73929">
            <w:pPr>
              <w:tabs>
                <w:tab w:val="right" w:pos="1202"/>
              </w:tabs>
              <w:spacing w:line="301" w:lineRule="exact"/>
              <w:jc w:val="right"/>
              <w:outlineLvl w:val="0"/>
              <w:rPr>
                <w:rFonts w:asciiTheme="minorHAnsi" w:hAnsiTheme="minorHAnsi" w:cs="Calibri"/>
                <w:color w:val="000000"/>
                <w:sz w:val="20"/>
                <w:szCs w:val="20"/>
                <w:lang w:val="hr-HR"/>
              </w:rPr>
            </w:pPr>
            <w:r w:rsidRPr="00CD3A2D">
              <w:rPr>
                <w:rFonts w:asciiTheme="minorHAnsi" w:hAnsiTheme="minorHAnsi" w:cs="Calibri"/>
                <w:color w:val="000000"/>
                <w:sz w:val="20"/>
                <w:szCs w:val="20"/>
                <w:lang w:val="hr-HR"/>
              </w:rPr>
              <w:t>1.401.146</w:t>
            </w:r>
          </w:p>
        </w:tc>
        <w:tc>
          <w:tcPr>
            <w:tcW w:w="1205" w:type="dxa"/>
            <w:vAlign w:val="bottom"/>
          </w:tcPr>
          <w:p w:rsidR="002F6E35" w:rsidRPr="00CD3A2D" w:rsidRDefault="00716D22" w:rsidP="00B73929">
            <w:pPr>
              <w:tabs>
                <w:tab w:val="right" w:pos="1202"/>
              </w:tabs>
              <w:spacing w:line="301" w:lineRule="exact"/>
              <w:jc w:val="right"/>
              <w:outlineLvl w:val="0"/>
              <w:rPr>
                <w:rFonts w:asciiTheme="minorHAnsi" w:hAnsiTheme="minorHAnsi" w:cs="Calibri"/>
                <w:color w:val="000000"/>
                <w:sz w:val="20"/>
                <w:szCs w:val="20"/>
                <w:lang w:val="hr-HR"/>
              </w:rPr>
            </w:pPr>
            <w:r w:rsidRPr="00CD3A2D">
              <w:rPr>
                <w:rFonts w:asciiTheme="minorHAnsi" w:hAnsiTheme="minorHAnsi" w:cs="Calibri"/>
                <w:color w:val="000000"/>
                <w:sz w:val="20"/>
                <w:szCs w:val="20"/>
                <w:lang w:val="hr-HR"/>
              </w:rPr>
              <w:t>-</w:t>
            </w:r>
          </w:p>
        </w:tc>
        <w:tc>
          <w:tcPr>
            <w:tcW w:w="1205" w:type="dxa"/>
            <w:vAlign w:val="bottom"/>
          </w:tcPr>
          <w:p w:rsidR="002F6E35" w:rsidRPr="00CD3A2D" w:rsidRDefault="00716D22" w:rsidP="00B73929">
            <w:pPr>
              <w:tabs>
                <w:tab w:val="right" w:pos="1202"/>
              </w:tabs>
              <w:spacing w:line="301" w:lineRule="exact"/>
              <w:jc w:val="right"/>
              <w:outlineLvl w:val="0"/>
              <w:rPr>
                <w:rFonts w:asciiTheme="minorHAnsi" w:hAnsiTheme="minorHAnsi" w:cs="Calibri"/>
                <w:color w:val="000000"/>
                <w:sz w:val="20"/>
                <w:szCs w:val="20"/>
                <w:lang w:val="hr-HR"/>
              </w:rPr>
            </w:pPr>
            <w:r w:rsidRPr="00CD3A2D">
              <w:rPr>
                <w:rFonts w:asciiTheme="minorHAnsi" w:hAnsiTheme="minorHAnsi" w:cs="Calibri"/>
                <w:color w:val="000000"/>
                <w:sz w:val="20"/>
                <w:szCs w:val="20"/>
                <w:lang w:val="hr-HR"/>
              </w:rPr>
              <w:t>-</w:t>
            </w:r>
          </w:p>
        </w:tc>
        <w:tc>
          <w:tcPr>
            <w:tcW w:w="1205" w:type="dxa"/>
            <w:vAlign w:val="bottom"/>
          </w:tcPr>
          <w:p w:rsidR="002F6E35" w:rsidRPr="00CD3A2D" w:rsidRDefault="00247F92" w:rsidP="00B73929">
            <w:pPr>
              <w:tabs>
                <w:tab w:val="right" w:pos="1202"/>
              </w:tabs>
              <w:spacing w:line="301" w:lineRule="exact"/>
              <w:jc w:val="right"/>
              <w:outlineLvl w:val="0"/>
              <w:rPr>
                <w:rFonts w:asciiTheme="minorHAnsi" w:hAnsiTheme="minorHAnsi" w:cs="Calibri"/>
                <w:color w:val="000000"/>
                <w:sz w:val="20"/>
                <w:szCs w:val="20"/>
                <w:lang w:val="hr-HR"/>
              </w:rPr>
            </w:pPr>
            <w:r w:rsidRPr="00CD3A2D">
              <w:rPr>
                <w:rFonts w:asciiTheme="minorHAnsi" w:hAnsiTheme="minorHAnsi" w:cs="Calibri"/>
                <w:color w:val="000000"/>
                <w:sz w:val="20"/>
                <w:szCs w:val="20"/>
                <w:lang w:val="hr-HR"/>
              </w:rPr>
              <w:t>1.401.146</w:t>
            </w:r>
          </w:p>
        </w:tc>
        <w:tc>
          <w:tcPr>
            <w:tcW w:w="1706" w:type="dxa"/>
            <w:tcBorders>
              <w:top w:val="nil"/>
              <w:left w:val="nil"/>
              <w:bottom w:val="nil"/>
              <w:right w:val="nil"/>
            </w:tcBorders>
            <w:shd w:val="clear" w:color="auto" w:fill="auto"/>
            <w:vAlign w:val="bottom"/>
          </w:tcPr>
          <w:p w:rsidR="002F6E35" w:rsidRPr="00CD3A2D" w:rsidRDefault="00B73929" w:rsidP="00B73929">
            <w:pPr>
              <w:tabs>
                <w:tab w:val="right" w:pos="1202"/>
              </w:tabs>
              <w:spacing w:line="301" w:lineRule="exact"/>
              <w:jc w:val="right"/>
              <w:outlineLvl w:val="0"/>
              <w:rPr>
                <w:rFonts w:asciiTheme="minorHAnsi" w:hAnsiTheme="minorHAnsi" w:cs="Arial"/>
                <w:snapToGrid w:val="0"/>
                <w:sz w:val="20"/>
                <w:szCs w:val="20"/>
                <w:lang w:val="hr-HR"/>
              </w:rPr>
            </w:pPr>
            <w:r w:rsidRPr="00CD3A2D">
              <w:rPr>
                <w:rFonts w:asciiTheme="minorHAnsi" w:hAnsiTheme="minorHAnsi" w:cs="Arial"/>
                <w:snapToGrid w:val="0"/>
                <w:sz w:val="20"/>
                <w:szCs w:val="20"/>
                <w:lang w:val="hr-HR"/>
              </w:rPr>
              <w:t>1.401.146</w:t>
            </w:r>
          </w:p>
        </w:tc>
      </w:tr>
      <w:tr w:rsidR="002F6E35" w:rsidRPr="001567C8" w:rsidTr="003C6BA3">
        <w:trPr>
          <w:trHeight w:val="297"/>
        </w:trPr>
        <w:tc>
          <w:tcPr>
            <w:tcW w:w="3402" w:type="dxa"/>
            <w:vAlign w:val="bottom"/>
          </w:tcPr>
          <w:p w:rsidR="002F6E35" w:rsidRPr="00CD3A2D" w:rsidRDefault="002F6E35" w:rsidP="00B73929">
            <w:pPr>
              <w:tabs>
                <w:tab w:val="right" w:pos="1202"/>
              </w:tabs>
              <w:outlineLvl w:val="0"/>
              <w:rPr>
                <w:rFonts w:asciiTheme="minorHAnsi" w:hAnsiTheme="minorHAnsi" w:cs="Arial"/>
                <w:sz w:val="20"/>
                <w:szCs w:val="20"/>
                <w:lang w:val="hr-HR"/>
              </w:rPr>
            </w:pPr>
            <w:r w:rsidRPr="00CD3A2D">
              <w:rPr>
                <w:rFonts w:asciiTheme="minorHAnsi" w:eastAsia="Calibri" w:hAnsiTheme="minorHAnsi" w:cs="Arial"/>
                <w:sz w:val="20"/>
                <w:szCs w:val="20"/>
                <w:lang w:val="hr-HR"/>
              </w:rPr>
              <w:t>Depoziti kod drugih banaka</w:t>
            </w:r>
          </w:p>
        </w:tc>
        <w:tc>
          <w:tcPr>
            <w:tcW w:w="1205" w:type="dxa"/>
            <w:vAlign w:val="bottom"/>
          </w:tcPr>
          <w:p w:rsidR="002F6E35" w:rsidRPr="00CD3A2D" w:rsidRDefault="00716D22" w:rsidP="00B73929">
            <w:pPr>
              <w:tabs>
                <w:tab w:val="right" w:pos="1202"/>
              </w:tabs>
              <w:spacing w:line="301" w:lineRule="exact"/>
              <w:jc w:val="right"/>
              <w:outlineLvl w:val="0"/>
              <w:rPr>
                <w:rFonts w:asciiTheme="minorHAnsi" w:hAnsiTheme="minorHAnsi" w:cs="Calibri"/>
                <w:color w:val="000000"/>
                <w:sz w:val="20"/>
                <w:szCs w:val="20"/>
                <w:lang w:val="hr-HR"/>
              </w:rPr>
            </w:pPr>
            <w:r w:rsidRPr="00CD3A2D">
              <w:rPr>
                <w:rFonts w:asciiTheme="minorHAnsi" w:hAnsiTheme="minorHAnsi" w:cs="Calibri"/>
                <w:color w:val="000000"/>
                <w:sz w:val="20"/>
                <w:szCs w:val="20"/>
                <w:lang w:val="hr-HR"/>
              </w:rPr>
              <w:t>-</w:t>
            </w:r>
          </w:p>
        </w:tc>
        <w:tc>
          <w:tcPr>
            <w:tcW w:w="1205" w:type="dxa"/>
            <w:vAlign w:val="bottom"/>
          </w:tcPr>
          <w:p w:rsidR="002F6E35" w:rsidRPr="00CD3A2D" w:rsidRDefault="00716D22" w:rsidP="00B73929">
            <w:pPr>
              <w:tabs>
                <w:tab w:val="right" w:pos="1202"/>
              </w:tabs>
              <w:spacing w:line="301" w:lineRule="exact"/>
              <w:jc w:val="right"/>
              <w:outlineLvl w:val="0"/>
              <w:rPr>
                <w:rFonts w:asciiTheme="minorHAnsi" w:hAnsiTheme="minorHAnsi" w:cs="Calibri"/>
                <w:color w:val="000000"/>
                <w:sz w:val="20"/>
                <w:szCs w:val="20"/>
                <w:lang w:val="hr-HR"/>
              </w:rPr>
            </w:pPr>
            <w:r w:rsidRPr="00CD3A2D">
              <w:rPr>
                <w:rFonts w:asciiTheme="minorHAnsi" w:hAnsiTheme="minorHAnsi" w:cs="Calibri"/>
                <w:color w:val="000000"/>
                <w:sz w:val="20"/>
                <w:szCs w:val="20"/>
                <w:lang w:val="hr-HR"/>
              </w:rPr>
              <w:t>29.138</w:t>
            </w:r>
          </w:p>
        </w:tc>
        <w:tc>
          <w:tcPr>
            <w:tcW w:w="1205" w:type="dxa"/>
            <w:vAlign w:val="bottom"/>
          </w:tcPr>
          <w:p w:rsidR="002F6E35" w:rsidRPr="00CD3A2D" w:rsidRDefault="00716D22" w:rsidP="00B73929">
            <w:pPr>
              <w:tabs>
                <w:tab w:val="right" w:pos="1202"/>
              </w:tabs>
              <w:spacing w:line="301" w:lineRule="exact"/>
              <w:jc w:val="right"/>
              <w:outlineLvl w:val="0"/>
              <w:rPr>
                <w:rFonts w:asciiTheme="minorHAnsi" w:hAnsiTheme="minorHAnsi" w:cs="Calibri"/>
                <w:color w:val="000000"/>
                <w:sz w:val="20"/>
                <w:szCs w:val="20"/>
                <w:lang w:val="hr-HR"/>
              </w:rPr>
            </w:pPr>
            <w:r w:rsidRPr="00CD3A2D">
              <w:rPr>
                <w:rFonts w:asciiTheme="minorHAnsi" w:hAnsiTheme="minorHAnsi" w:cs="Calibri"/>
                <w:color w:val="000000"/>
                <w:sz w:val="20"/>
                <w:szCs w:val="20"/>
                <w:lang w:val="hr-HR"/>
              </w:rPr>
              <w:t>-</w:t>
            </w:r>
          </w:p>
        </w:tc>
        <w:tc>
          <w:tcPr>
            <w:tcW w:w="1205" w:type="dxa"/>
            <w:vAlign w:val="bottom"/>
          </w:tcPr>
          <w:p w:rsidR="002F6E35" w:rsidRPr="00CD3A2D" w:rsidRDefault="00247F92" w:rsidP="00B73929">
            <w:pPr>
              <w:tabs>
                <w:tab w:val="right" w:pos="1202"/>
              </w:tabs>
              <w:spacing w:line="301" w:lineRule="exact"/>
              <w:jc w:val="right"/>
              <w:outlineLvl w:val="0"/>
              <w:rPr>
                <w:rFonts w:asciiTheme="minorHAnsi" w:hAnsiTheme="minorHAnsi" w:cs="Calibri"/>
                <w:color w:val="000000"/>
                <w:sz w:val="20"/>
                <w:szCs w:val="20"/>
                <w:lang w:val="hr-HR"/>
              </w:rPr>
            </w:pPr>
            <w:r w:rsidRPr="00CD3A2D">
              <w:rPr>
                <w:rFonts w:asciiTheme="minorHAnsi" w:hAnsiTheme="minorHAnsi" w:cs="Calibri"/>
                <w:color w:val="000000"/>
                <w:sz w:val="20"/>
                <w:szCs w:val="20"/>
                <w:lang w:val="hr-HR"/>
              </w:rPr>
              <w:t>29.138</w:t>
            </w:r>
          </w:p>
        </w:tc>
        <w:tc>
          <w:tcPr>
            <w:tcW w:w="1706" w:type="dxa"/>
            <w:tcBorders>
              <w:top w:val="nil"/>
              <w:left w:val="nil"/>
              <w:bottom w:val="nil"/>
              <w:right w:val="nil"/>
            </w:tcBorders>
            <w:shd w:val="clear" w:color="auto" w:fill="auto"/>
            <w:vAlign w:val="bottom"/>
          </w:tcPr>
          <w:p w:rsidR="002F6E35" w:rsidRPr="00CD3A2D" w:rsidRDefault="00B73929" w:rsidP="00B73929">
            <w:pPr>
              <w:tabs>
                <w:tab w:val="right" w:pos="1202"/>
              </w:tabs>
              <w:spacing w:line="301" w:lineRule="exact"/>
              <w:jc w:val="right"/>
              <w:outlineLvl w:val="0"/>
              <w:rPr>
                <w:rFonts w:asciiTheme="minorHAnsi" w:hAnsiTheme="minorHAnsi" w:cs="Arial"/>
                <w:snapToGrid w:val="0"/>
                <w:sz w:val="20"/>
                <w:szCs w:val="20"/>
                <w:lang w:val="hr-HR"/>
              </w:rPr>
            </w:pPr>
            <w:r w:rsidRPr="00CD3A2D">
              <w:rPr>
                <w:rFonts w:asciiTheme="minorHAnsi" w:hAnsiTheme="minorHAnsi" w:cs="Arial"/>
                <w:snapToGrid w:val="0"/>
                <w:sz w:val="20"/>
                <w:szCs w:val="20"/>
                <w:lang w:val="hr-HR"/>
              </w:rPr>
              <w:t>29.138</w:t>
            </w:r>
          </w:p>
        </w:tc>
      </w:tr>
      <w:tr w:rsidR="00B73929" w:rsidRPr="001567C8" w:rsidTr="003C6BA3">
        <w:trPr>
          <w:trHeight w:val="307"/>
        </w:trPr>
        <w:tc>
          <w:tcPr>
            <w:tcW w:w="3402" w:type="dxa"/>
            <w:vAlign w:val="bottom"/>
          </w:tcPr>
          <w:p w:rsidR="00B73929" w:rsidRPr="00CD3A2D" w:rsidRDefault="00B73929" w:rsidP="00B73929">
            <w:pPr>
              <w:tabs>
                <w:tab w:val="right" w:pos="1202"/>
              </w:tabs>
              <w:outlineLvl w:val="0"/>
              <w:rPr>
                <w:rFonts w:asciiTheme="minorHAnsi" w:hAnsiTheme="minorHAnsi" w:cs="Arial"/>
                <w:sz w:val="20"/>
                <w:szCs w:val="20"/>
                <w:lang w:val="hr-HR"/>
              </w:rPr>
            </w:pPr>
            <w:r w:rsidRPr="00CD3A2D">
              <w:rPr>
                <w:rFonts w:asciiTheme="minorHAnsi" w:hAnsiTheme="minorHAnsi"/>
                <w:sz w:val="20"/>
                <w:szCs w:val="20"/>
                <w:lang w:val="hr-HR"/>
              </w:rPr>
              <w:t>Krediti financijskim institucijama</w:t>
            </w:r>
          </w:p>
        </w:tc>
        <w:tc>
          <w:tcPr>
            <w:tcW w:w="1205" w:type="dxa"/>
          </w:tcPr>
          <w:p w:rsidR="00B73929" w:rsidRPr="00CD3A2D" w:rsidRDefault="00B73929" w:rsidP="00B7392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Pr>
          <w:p w:rsidR="00B73929" w:rsidRPr="00CD3A2D" w:rsidRDefault="00B73929" w:rsidP="00B7392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Pr>
          <w:p w:rsidR="00B73929" w:rsidRPr="00CD3A2D" w:rsidRDefault="00B73929" w:rsidP="00B7392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10.756.286 </w:t>
            </w:r>
          </w:p>
        </w:tc>
        <w:tc>
          <w:tcPr>
            <w:tcW w:w="1205" w:type="dxa"/>
          </w:tcPr>
          <w:p w:rsidR="00B73929" w:rsidRPr="00CD3A2D" w:rsidRDefault="00B73929" w:rsidP="00B7392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10.756.286 </w:t>
            </w:r>
          </w:p>
        </w:tc>
        <w:tc>
          <w:tcPr>
            <w:tcW w:w="1706" w:type="dxa"/>
            <w:tcBorders>
              <w:top w:val="nil"/>
              <w:left w:val="nil"/>
              <w:bottom w:val="nil"/>
              <w:right w:val="nil"/>
            </w:tcBorders>
            <w:shd w:val="clear" w:color="auto" w:fill="auto"/>
          </w:tcPr>
          <w:p w:rsidR="00B73929" w:rsidRPr="00CD3A2D" w:rsidRDefault="00B73929" w:rsidP="00B73929">
            <w:pPr>
              <w:tabs>
                <w:tab w:val="right" w:pos="1202"/>
              </w:tabs>
              <w:spacing w:line="301" w:lineRule="exact"/>
              <w:jc w:val="right"/>
              <w:outlineLvl w:val="0"/>
              <w:rPr>
                <w:rFonts w:asciiTheme="minorHAnsi" w:hAnsiTheme="minorHAnsi" w:cstheme="minorHAnsi"/>
                <w:snapToGrid w:val="0"/>
                <w:sz w:val="20"/>
                <w:szCs w:val="20"/>
                <w:lang w:val="hr-HR"/>
              </w:rPr>
            </w:pPr>
            <w:r w:rsidRPr="00CD3A2D">
              <w:rPr>
                <w:rFonts w:asciiTheme="minorHAnsi" w:hAnsiTheme="minorHAnsi" w:cstheme="minorHAnsi"/>
                <w:sz w:val="20"/>
                <w:szCs w:val="20"/>
                <w:lang w:val="hr-HR"/>
              </w:rPr>
              <w:t xml:space="preserve"> 10.836.141 </w:t>
            </w:r>
          </w:p>
        </w:tc>
      </w:tr>
      <w:tr w:rsidR="00B73929" w:rsidRPr="001567C8" w:rsidTr="003C6BA3">
        <w:trPr>
          <w:trHeight w:val="297"/>
        </w:trPr>
        <w:tc>
          <w:tcPr>
            <w:tcW w:w="3402" w:type="dxa"/>
            <w:vAlign w:val="bottom"/>
          </w:tcPr>
          <w:p w:rsidR="00B73929" w:rsidRPr="00CD3A2D" w:rsidRDefault="00B73929" w:rsidP="00B73929">
            <w:pPr>
              <w:tabs>
                <w:tab w:val="right" w:pos="1202"/>
              </w:tabs>
              <w:outlineLvl w:val="0"/>
              <w:rPr>
                <w:rFonts w:asciiTheme="minorHAnsi" w:hAnsiTheme="minorHAnsi" w:cs="Arial"/>
                <w:sz w:val="20"/>
                <w:szCs w:val="20"/>
                <w:lang w:val="hr-HR"/>
              </w:rPr>
            </w:pPr>
            <w:r w:rsidRPr="00CD3A2D">
              <w:rPr>
                <w:rFonts w:asciiTheme="minorHAnsi" w:hAnsiTheme="minorHAnsi"/>
                <w:sz w:val="20"/>
                <w:szCs w:val="20"/>
                <w:lang w:val="hr-HR"/>
              </w:rPr>
              <w:t>Krediti ostalim korisnicima</w:t>
            </w:r>
          </w:p>
        </w:tc>
        <w:tc>
          <w:tcPr>
            <w:tcW w:w="1205" w:type="dxa"/>
            <w:tcBorders>
              <w:bottom w:val="single" w:sz="4" w:space="0" w:color="auto"/>
            </w:tcBorders>
          </w:tcPr>
          <w:p w:rsidR="00B73929" w:rsidRPr="00CD3A2D" w:rsidRDefault="00B73929" w:rsidP="00B7392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Borders>
              <w:bottom w:val="single" w:sz="4" w:space="0" w:color="auto"/>
            </w:tcBorders>
          </w:tcPr>
          <w:p w:rsidR="00B73929" w:rsidRPr="00CD3A2D" w:rsidRDefault="00B73929" w:rsidP="00B7392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Borders>
              <w:bottom w:val="single" w:sz="4" w:space="0" w:color="auto"/>
            </w:tcBorders>
          </w:tcPr>
          <w:p w:rsidR="00B73929" w:rsidRPr="00CD3A2D" w:rsidRDefault="00B73929" w:rsidP="00B7392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15.225.827 </w:t>
            </w:r>
          </w:p>
        </w:tc>
        <w:tc>
          <w:tcPr>
            <w:tcW w:w="1205" w:type="dxa"/>
            <w:tcBorders>
              <w:bottom w:val="single" w:sz="4" w:space="0" w:color="auto"/>
            </w:tcBorders>
          </w:tcPr>
          <w:p w:rsidR="00B73929" w:rsidRPr="00CD3A2D" w:rsidRDefault="00B73929" w:rsidP="00B7392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15.225.827 </w:t>
            </w:r>
          </w:p>
        </w:tc>
        <w:tc>
          <w:tcPr>
            <w:tcW w:w="1706" w:type="dxa"/>
            <w:tcBorders>
              <w:top w:val="nil"/>
              <w:left w:val="nil"/>
              <w:bottom w:val="single" w:sz="4" w:space="0" w:color="auto"/>
              <w:right w:val="nil"/>
            </w:tcBorders>
            <w:shd w:val="clear" w:color="auto" w:fill="auto"/>
          </w:tcPr>
          <w:p w:rsidR="00B73929" w:rsidRPr="00CD3A2D" w:rsidRDefault="00B73929" w:rsidP="00B73929">
            <w:pPr>
              <w:tabs>
                <w:tab w:val="right" w:pos="1202"/>
              </w:tabs>
              <w:spacing w:line="301" w:lineRule="exact"/>
              <w:jc w:val="right"/>
              <w:outlineLvl w:val="0"/>
              <w:rPr>
                <w:rFonts w:asciiTheme="minorHAnsi" w:hAnsiTheme="minorHAnsi" w:cstheme="minorHAnsi"/>
                <w:spacing w:val="-2"/>
                <w:sz w:val="20"/>
                <w:szCs w:val="20"/>
                <w:lang w:val="hr-HR"/>
              </w:rPr>
            </w:pPr>
            <w:r w:rsidRPr="00CD3A2D">
              <w:rPr>
                <w:rFonts w:asciiTheme="minorHAnsi" w:hAnsiTheme="minorHAnsi" w:cstheme="minorHAnsi"/>
                <w:sz w:val="20"/>
                <w:szCs w:val="20"/>
                <w:lang w:val="hr-HR"/>
              </w:rPr>
              <w:t xml:space="preserve"> 12.383.623 </w:t>
            </w:r>
          </w:p>
        </w:tc>
      </w:tr>
      <w:tr w:rsidR="00716D22" w:rsidRPr="001567C8" w:rsidTr="003C6BA3">
        <w:trPr>
          <w:trHeight w:val="297"/>
        </w:trPr>
        <w:tc>
          <w:tcPr>
            <w:tcW w:w="3402" w:type="dxa"/>
            <w:vAlign w:val="bottom"/>
          </w:tcPr>
          <w:p w:rsidR="00716D22" w:rsidRPr="00CD3A2D" w:rsidRDefault="00716D22" w:rsidP="00716D22">
            <w:pPr>
              <w:tabs>
                <w:tab w:val="right" w:pos="1202"/>
              </w:tabs>
              <w:outlineLvl w:val="0"/>
              <w:rPr>
                <w:rFonts w:asciiTheme="minorHAnsi" w:hAnsiTheme="minorHAnsi"/>
                <w:sz w:val="20"/>
                <w:szCs w:val="20"/>
                <w:lang w:val="hr-HR"/>
              </w:rPr>
            </w:pPr>
          </w:p>
        </w:tc>
        <w:tc>
          <w:tcPr>
            <w:tcW w:w="1205" w:type="dxa"/>
            <w:tcBorders>
              <w:top w:val="single" w:sz="4" w:space="0" w:color="auto"/>
            </w:tcBorders>
          </w:tcPr>
          <w:p w:rsidR="00716D22" w:rsidRPr="00CD3A2D" w:rsidRDefault="00716D22" w:rsidP="00716D22">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 xml:space="preserve"> 1.401.146 </w:t>
            </w:r>
          </w:p>
        </w:tc>
        <w:tc>
          <w:tcPr>
            <w:tcW w:w="1205" w:type="dxa"/>
            <w:tcBorders>
              <w:top w:val="single" w:sz="4" w:space="0" w:color="auto"/>
            </w:tcBorders>
          </w:tcPr>
          <w:p w:rsidR="00716D22" w:rsidRPr="00CD3A2D" w:rsidRDefault="00716D22" w:rsidP="00716D22">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 xml:space="preserve"> 29.138 </w:t>
            </w:r>
          </w:p>
        </w:tc>
        <w:tc>
          <w:tcPr>
            <w:tcW w:w="1205" w:type="dxa"/>
            <w:tcBorders>
              <w:top w:val="single" w:sz="4" w:space="0" w:color="auto"/>
            </w:tcBorders>
          </w:tcPr>
          <w:p w:rsidR="00716D22" w:rsidRPr="00CD3A2D" w:rsidRDefault="00716D22" w:rsidP="00716D22">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25.982.113</w:t>
            </w:r>
          </w:p>
        </w:tc>
        <w:tc>
          <w:tcPr>
            <w:tcW w:w="1205" w:type="dxa"/>
            <w:tcBorders>
              <w:top w:val="single" w:sz="4" w:space="0" w:color="auto"/>
            </w:tcBorders>
          </w:tcPr>
          <w:p w:rsidR="00716D22" w:rsidRPr="00CD3A2D" w:rsidRDefault="00716D22" w:rsidP="00716D22">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27.412.397</w:t>
            </w:r>
          </w:p>
        </w:tc>
        <w:tc>
          <w:tcPr>
            <w:tcW w:w="1706" w:type="dxa"/>
            <w:tcBorders>
              <w:top w:val="single" w:sz="4" w:space="0" w:color="auto"/>
              <w:left w:val="nil"/>
              <w:bottom w:val="nil"/>
              <w:right w:val="nil"/>
            </w:tcBorders>
            <w:shd w:val="clear" w:color="auto" w:fill="auto"/>
          </w:tcPr>
          <w:p w:rsidR="00716D22" w:rsidRPr="00CD3A2D" w:rsidRDefault="00716D22" w:rsidP="00716D22">
            <w:pPr>
              <w:tabs>
                <w:tab w:val="right" w:pos="1202"/>
              </w:tabs>
              <w:spacing w:line="301" w:lineRule="exact"/>
              <w:jc w:val="right"/>
              <w:outlineLvl w:val="0"/>
              <w:rPr>
                <w:rFonts w:asciiTheme="minorHAnsi" w:hAnsiTheme="minorHAnsi" w:cstheme="minorHAnsi"/>
                <w:b/>
                <w:sz w:val="20"/>
                <w:szCs w:val="20"/>
                <w:lang w:val="hr-HR"/>
              </w:rPr>
            </w:pPr>
            <w:r w:rsidRPr="00CD3A2D">
              <w:rPr>
                <w:rFonts w:asciiTheme="minorHAnsi" w:hAnsiTheme="minorHAnsi" w:cstheme="minorHAnsi"/>
                <w:b/>
                <w:sz w:val="20"/>
                <w:szCs w:val="20"/>
                <w:lang w:val="hr-HR"/>
              </w:rPr>
              <w:t>24.650.048</w:t>
            </w:r>
          </w:p>
        </w:tc>
      </w:tr>
      <w:tr w:rsidR="002F6E35" w:rsidRPr="001567C8" w:rsidTr="003C6BA3">
        <w:trPr>
          <w:trHeight w:hRule="exact" w:val="160"/>
        </w:trPr>
        <w:tc>
          <w:tcPr>
            <w:tcW w:w="3402" w:type="dxa"/>
            <w:vAlign w:val="bottom"/>
          </w:tcPr>
          <w:p w:rsidR="002F6E35" w:rsidRPr="00CD3A2D" w:rsidRDefault="002F6E35" w:rsidP="00B73929">
            <w:pPr>
              <w:keepNext/>
              <w:keepLines/>
              <w:tabs>
                <w:tab w:val="decimal" w:pos="1202"/>
              </w:tabs>
              <w:rPr>
                <w:rFonts w:asciiTheme="minorHAnsi" w:hAnsiTheme="minorHAnsi" w:cs="Arial"/>
                <w:b/>
                <w:position w:val="4"/>
                <w:sz w:val="20"/>
                <w:szCs w:val="20"/>
                <w:u w:val="thick"/>
                <w:lang w:val="hr-HR"/>
              </w:rPr>
            </w:pPr>
          </w:p>
        </w:tc>
        <w:tc>
          <w:tcPr>
            <w:tcW w:w="1205" w:type="dxa"/>
            <w:tcBorders>
              <w:top w:val="single" w:sz="12" w:space="0" w:color="auto"/>
            </w:tcBorders>
            <w:vAlign w:val="bottom"/>
          </w:tcPr>
          <w:p w:rsidR="002F6E35" w:rsidRPr="00CD3A2D" w:rsidRDefault="002F6E35" w:rsidP="00B73929">
            <w:pPr>
              <w:keepNext/>
              <w:keepLines/>
              <w:tabs>
                <w:tab w:val="decimal" w:pos="1060"/>
              </w:tabs>
              <w:jc w:val="right"/>
              <w:rPr>
                <w:rFonts w:asciiTheme="minorHAnsi" w:hAnsiTheme="minorHAnsi" w:cs="Arial"/>
                <w:b/>
                <w:position w:val="4"/>
                <w:sz w:val="20"/>
                <w:szCs w:val="20"/>
                <w:u w:val="thick"/>
                <w:lang w:val="hr-HR"/>
              </w:rPr>
            </w:pPr>
          </w:p>
        </w:tc>
        <w:tc>
          <w:tcPr>
            <w:tcW w:w="1205" w:type="dxa"/>
            <w:tcBorders>
              <w:top w:val="single" w:sz="12" w:space="0" w:color="auto"/>
            </w:tcBorders>
            <w:vAlign w:val="bottom"/>
          </w:tcPr>
          <w:p w:rsidR="002F6E35" w:rsidRPr="00CD3A2D" w:rsidRDefault="002F6E35" w:rsidP="00B73929">
            <w:pPr>
              <w:keepNext/>
              <w:keepLines/>
              <w:tabs>
                <w:tab w:val="decimal" w:pos="1060"/>
              </w:tabs>
              <w:jc w:val="right"/>
              <w:rPr>
                <w:rFonts w:asciiTheme="minorHAnsi" w:hAnsiTheme="minorHAnsi" w:cs="Arial"/>
                <w:b/>
                <w:position w:val="4"/>
                <w:sz w:val="20"/>
                <w:szCs w:val="20"/>
                <w:u w:val="thick"/>
                <w:lang w:val="hr-HR"/>
              </w:rPr>
            </w:pPr>
          </w:p>
        </w:tc>
        <w:tc>
          <w:tcPr>
            <w:tcW w:w="1205" w:type="dxa"/>
            <w:tcBorders>
              <w:top w:val="single" w:sz="12" w:space="0" w:color="auto"/>
            </w:tcBorders>
            <w:vAlign w:val="bottom"/>
          </w:tcPr>
          <w:p w:rsidR="002F6E35" w:rsidRPr="00CD3A2D" w:rsidRDefault="002F6E35" w:rsidP="00B73929">
            <w:pPr>
              <w:keepNext/>
              <w:keepLines/>
              <w:tabs>
                <w:tab w:val="decimal" w:pos="1060"/>
              </w:tabs>
              <w:jc w:val="right"/>
              <w:rPr>
                <w:rFonts w:asciiTheme="minorHAnsi" w:hAnsiTheme="minorHAnsi" w:cs="Arial"/>
                <w:b/>
                <w:position w:val="4"/>
                <w:sz w:val="20"/>
                <w:szCs w:val="20"/>
                <w:u w:val="thick"/>
                <w:lang w:val="hr-HR"/>
              </w:rPr>
            </w:pPr>
          </w:p>
        </w:tc>
        <w:tc>
          <w:tcPr>
            <w:tcW w:w="1205" w:type="dxa"/>
            <w:tcBorders>
              <w:top w:val="single" w:sz="12" w:space="0" w:color="auto"/>
            </w:tcBorders>
            <w:vAlign w:val="bottom"/>
          </w:tcPr>
          <w:p w:rsidR="002F6E35" w:rsidRPr="00CD3A2D" w:rsidRDefault="002F6E35" w:rsidP="00B73929">
            <w:pPr>
              <w:keepNext/>
              <w:keepLines/>
              <w:tabs>
                <w:tab w:val="decimal" w:pos="1060"/>
              </w:tabs>
              <w:jc w:val="right"/>
              <w:rPr>
                <w:rFonts w:asciiTheme="minorHAnsi" w:hAnsiTheme="minorHAnsi" w:cs="Arial"/>
                <w:b/>
                <w:position w:val="4"/>
                <w:sz w:val="20"/>
                <w:szCs w:val="20"/>
                <w:u w:val="thick"/>
                <w:lang w:val="hr-HR"/>
              </w:rPr>
            </w:pPr>
          </w:p>
        </w:tc>
        <w:tc>
          <w:tcPr>
            <w:tcW w:w="1706" w:type="dxa"/>
            <w:tcBorders>
              <w:top w:val="single" w:sz="12" w:space="0" w:color="auto"/>
            </w:tcBorders>
            <w:vAlign w:val="bottom"/>
          </w:tcPr>
          <w:p w:rsidR="002F6E35" w:rsidRPr="00CD3A2D" w:rsidRDefault="002F6E35" w:rsidP="00B73929">
            <w:pPr>
              <w:keepNext/>
              <w:keepLines/>
              <w:tabs>
                <w:tab w:val="decimal" w:pos="1060"/>
              </w:tabs>
              <w:jc w:val="right"/>
              <w:rPr>
                <w:rFonts w:asciiTheme="minorHAnsi" w:hAnsiTheme="minorHAnsi" w:cs="Arial"/>
                <w:b/>
                <w:position w:val="4"/>
                <w:sz w:val="20"/>
                <w:szCs w:val="20"/>
                <w:u w:val="thick"/>
                <w:lang w:val="hr-HR"/>
              </w:rPr>
            </w:pPr>
          </w:p>
        </w:tc>
      </w:tr>
      <w:tr w:rsidR="002F6E35" w:rsidRPr="001567C8" w:rsidTr="003C6BA3">
        <w:trPr>
          <w:trHeight w:val="307"/>
        </w:trPr>
        <w:tc>
          <w:tcPr>
            <w:tcW w:w="3402" w:type="dxa"/>
            <w:vAlign w:val="bottom"/>
          </w:tcPr>
          <w:p w:rsidR="002F6E35" w:rsidRPr="00CD3A2D" w:rsidRDefault="002F6E35" w:rsidP="00B73929">
            <w:pPr>
              <w:tabs>
                <w:tab w:val="right" w:pos="1202"/>
              </w:tabs>
              <w:outlineLvl w:val="0"/>
              <w:rPr>
                <w:rFonts w:asciiTheme="minorHAnsi" w:hAnsiTheme="minorHAnsi" w:cs="Arial"/>
                <w:b/>
                <w:bCs/>
                <w:sz w:val="20"/>
                <w:szCs w:val="20"/>
                <w:lang w:val="hr-HR"/>
              </w:rPr>
            </w:pPr>
            <w:r w:rsidRPr="00CD3A2D">
              <w:rPr>
                <w:rFonts w:asciiTheme="minorHAnsi" w:eastAsia="Calibri" w:hAnsiTheme="minorHAnsi" w:cs="Arial"/>
                <w:b/>
                <w:bCs/>
                <w:sz w:val="20"/>
                <w:szCs w:val="20"/>
                <w:lang w:val="hr-HR"/>
              </w:rPr>
              <w:t>Obveze</w:t>
            </w:r>
          </w:p>
        </w:tc>
        <w:tc>
          <w:tcPr>
            <w:tcW w:w="1205" w:type="dxa"/>
            <w:vAlign w:val="bottom"/>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c>
          <w:tcPr>
            <w:tcW w:w="1205" w:type="dxa"/>
            <w:vAlign w:val="bottom"/>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c>
          <w:tcPr>
            <w:tcW w:w="1205" w:type="dxa"/>
            <w:vAlign w:val="bottom"/>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c>
          <w:tcPr>
            <w:tcW w:w="1205" w:type="dxa"/>
            <w:vAlign w:val="bottom"/>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c>
          <w:tcPr>
            <w:tcW w:w="1706" w:type="dxa"/>
            <w:vAlign w:val="bottom"/>
          </w:tcPr>
          <w:p w:rsidR="002F6E35" w:rsidRPr="00CD3A2D" w:rsidRDefault="002F6E35" w:rsidP="00B73929">
            <w:pPr>
              <w:tabs>
                <w:tab w:val="right" w:pos="1202"/>
              </w:tabs>
              <w:jc w:val="right"/>
              <w:outlineLvl w:val="0"/>
              <w:rPr>
                <w:rFonts w:asciiTheme="minorHAnsi" w:hAnsiTheme="minorHAnsi" w:cs="Arial"/>
                <w:b/>
                <w:bCs/>
                <w:sz w:val="20"/>
                <w:szCs w:val="20"/>
                <w:lang w:val="hr-HR"/>
              </w:rPr>
            </w:pPr>
          </w:p>
        </w:tc>
      </w:tr>
      <w:tr w:rsidR="00716D22" w:rsidRPr="001567C8" w:rsidTr="003C6BA3">
        <w:trPr>
          <w:trHeight w:val="297"/>
        </w:trPr>
        <w:tc>
          <w:tcPr>
            <w:tcW w:w="3402" w:type="dxa"/>
            <w:tcBorders>
              <w:top w:val="nil"/>
              <w:left w:val="nil"/>
              <w:bottom w:val="nil"/>
              <w:right w:val="nil"/>
            </w:tcBorders>
            <w:shd w:val="clear" w:color="auto" w:fill="auto"/>
            <w:vAlign w:val="bottom"/>
          </w:tcPr>
          <w:p w:rsidR="00716D22" w:rsidRPr="00CD3A2D" w:rsidRDefault="00716D22" w:rsidP="00716D22">
            <w:pPr>
              <w:tabs>
                <w:tab w:val="right" w:pos="1202"/>
              </w:tabs>
              <w:outlineLvl w:val="0"/>
              <w:rPr>
                <w:rFonts w:asciiTheme="minorHAnsi" w:hAnsiTheme="minorHAnsi" w:cs="Arial"/>
                <w:sz w:val="20"/>
                <w:szCs w:val="20"/>
                <w:lang w:val="hr-HR"/>
              </w:rPr>
            </w:pPr>
            <w:r w:rsidRPr="00CD3A2D">
              <w:rPr>
                <w:rFonts w:asciiTheme="minorHAnsi" w:hAnsiTheme="minorHAnsi"/>
                <w:color w:val="000000"/>
                <w:sz w:val="20"/>
                <w:szCs w:val="20"/>
                <w:lang w:val="hr-HR"/>
              </w:rPr>
              <w:t>Obveze po depozitima</w:t>
            </w:r>
          </w:p>
        </w:tc>
        <w:tc>
          <w:tcPr>
            <w:tcW w:w="1205" w:type="dxa"/>
            <w:vAlign w:val="bottom"/>
          </w:tcPr>
          <w:p w:rsidR="00716D22" w:rsidRPr="00CD3A2D" w:rsidRDefault="00716D22" w:rsidP="00710EE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vAlign w:val="bottom"/>
          </w:tcPr>
          <w:p w:rsidR="00716D22" w:rsidRPr="00CD3A2D" w:rsidRDefault="00716D22" w:rsidP="003C6BA3">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644.741 </w:t>
            </w:r>
          </w:p>
        </w:tc>
        <w:tc>
          <w:tcPr>
            <w:tcW w:w="1205" w:type="dxa"/>
            <w:vAlign w:val="bottom"/>
          </w:tcPr>
          <w:p w:rsidR="00716D22" w:rsidRPr="00CD3A2D" w:rsidRDefault="00716D22" w:rsidP="003C6BA3">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vAlign w:val="bottom"/>
          </w:tcPr>
          <w:p w:rsidR="00716D22" w:rsidRPr="00CD3A2D" w:rsidRDefault="00716D22" w:rsidP="003C6BA3">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644.741 </w:t>
            </w:r>
          </w:p>
        </w:tc>
        <w:tc>
          <w:tcPr>
            <w:tcW w:w="1706" w:type="dxa"/>
            <w:tcBorders>
              <w:top w:val="nil"/>
              <w:left w:val="nil"/>
              <w:bottom w:val="nil"/>
              <w:right w:val="nil"/>
            </w:tcBorders>
            <w:shd w:val="clear" w:color="auto" w:fill="auto"/>
            <w:vAlign w:val="bottom"/>
          </w:tcPr>
          <w:p w:rsidR="00716D22" w:rsidRPr="00CD3A2D" w:rsidRDefault="00716D22" w:rsidP="00716D22">
            <w:pPr>
              <w:tabs>
                <w:tab w:val="right" w:pos="1202"/>
              </w:tabs>
              <w:spacing w:line="301" w:lineRule="exact"/>
              <w:jc w:val="right"/>
              <w:outlineLvl w:val="0"/>
              <w:rPr>
                <w:rFonts w:asciiTheme="minorHAnsi" w:hAnsiTheme="minorHAnsi" w:cs="Arial"/>
                <w:sz w:val="20"/>
                <w:szCs w:val="20"/>
                <w:lang w:val="hr-HR"/>
              </w:rPr>
            </w:pPr>
            <w:r w:rsidRPr="00CD3A2D">
              <w:rPr>
                <w:rFonts w:asciiTheme="minorHAnsi" w:hAnsiTheme="minorHAnsi" w:cs="Arial"/>
                <w:sz w:val="20"/>
                <w:szCs w:val="20"/>
                <w:lang w:val="hr-HR"/>
              </w:rPr>
              <w:t>644.741</w:t>
            </w:r>
          </w:p>
        </w:tc>
      </w:tr>
      <w:tr w:rsidR="002F6E35" w:rsidRPr="001567C8" w:rsidTr="003C6BA3">
        <w:trPr>
          <w:trHeight w:val="297"/>
        </w:trPr>
        <w:tc>
          <w:tcPr>
            <w:tcW w:w="3402" w:type="dxa"/>
            <w:tcBorders>
              <w:top w:val="nil"/>
              <w:left w:val="nil"/>
              <w:bottom w:val="nil"/>
              <w:right w:val="nil"/>
            </w:tcBorders>
            <w:shd w:val="clear" w:color="auto" w:fill="auto"/>
            <w:vAlign w:val="bottom"/>
          </w:tcPr>
          <w:p w:rsidR="002F6E35" w:rsidRPr="00CD3A2D" w:rsidRDefault="002F6E35" w:rsidP="00B73929">
            <w:pPr>
              <w:tabs>
                <w:tab w:val="right" w:pos="1202"/>
              </w:tabs>
              <w:outlineLvl w:val="0"/>
              <w:rPr>
                <w:rFonts w:asciiTheme="minorHAnsi" w:hAnsiTheme="minorHAnsi" w:cs="Arial"/>
                <w:sz w:val="20"/>
                <w:szCs w:val="20"/>
                <w:lang w:val="hr-HR"/>
              </w:rPr>
            </w:pPr>
            <w:r w:rsidRPr="00CD3A2D">
              <w:rPr>
                <w:rFonts w:asciiTheme="minorHAnsi" w:hAnsiTheme="minorHAnsi"/>
                <w:color w:val="000000"/>
                <w:sz w:val="20"/>
                <w:szCs w:val="20"/>
                <w:lang w:val="hr-HR"/>
              </w:rPr>
              <w:t>Obveze po kreditima</w:t>
            </w:r>
          </w:p>
        </w:tc>
        <w:tc>
          <w:tcPr>
            <w:tcW w:w="1205" w:type="dxa"/>
            <w:vAlign w:val="bottom"/>
          </w:tcPr>
          <w:p w:rsidR="002F6E35" w:rsidRPr="00CD3A2D" w:rsidRDefault="00A3349F" w:rsidP="00710EE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w:t>
            </w:r>
          </w:p>
        </w:tc>
        <w:tc>
          <w:tcPr>
            <w:tcW w:w="1205" w:type="dxa"/>
            <w:vAlign w:val="bottom"/>
          </w:tcPr>
          <w:p w:rsidR="002F6E35" w:rsidRPr="00CD3A2D" w:rsidRDefault="00A3349F" w:rsidP="003C6BA3">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w:t>
            </w:r>
          </w:p>
        </w:tc>
        <w:tc>
          <w:tcPr>
            <w:tcW w:w="1205" w:type="dxa"/>
            <w:vAlign w:val="bottom"/>
          </w:tcPr>
          <w:p w:rsidR="002F6E35" w:rsidRPr="00CD3A2D" w:rsidRDefault="00A3349F" w:rsidP="003C6BA3">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14.030.305</w:t>
            </w:r>
          </w:p>
        </w:tc>
        <w:tc>
          <w:tcPr>
            <w:tcW w:w="1205" w:type="dxa"/>
            <w:vAlign w:val="bottom"/>
          </w:tcPr>
          <w:p w:rsidR="002F6E35" w:rsidRPr="00CD3A2D" w:rsidRDefault="00A3349F" w:rsidP="003C6BA3">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color w:val="000000"/>
                <w:sz w:val="20"/>
                <w:szCs w:val="20"/>
                <w:lang w:val="hr-HR"/>
              </w:rPr>
              <w:t>14.030.305</w:t>
            </w:r>
          </w:p>
        </w:tc>
        <w:tc>
          <w:tcPr>
            <w:tcW w:w="1706" w:type="dxa"/>
            <w:tcBorders>
              <w:top w:val="nil"/>
              <w:left w:val="nil"/>
              <w:bottom w:val="nil"/>
              <w:right w:val="nil"/>
            </w:tcBorders>
            <w:shd w:val="clear" w:color="auto" w:fill="auto"/>
            <w:vAlign w:val="bottom"/>
          </w:tcPr>
          <w:p w:rsidR="002F6E35" w:rsidRPr="00CD3A2D" w:rsidRDefault="00B73929" w:rsidP="00B73929">
            <w:pPr>
              <w:tabs>
                <w:tab w:val="right" w:pos="1202"/>
              </w:tabs>
              <w:spacing w:line="301" w:lineRule="exact"/>
              <w:jc w:val="right"/>
              <w:outlineLvl w:val="0"/>
              <w:rPr>
                <w:rFonts w:asciiTheme="minorHAnsi" w:hAnsiTheme="minorHAnsi" w:cs="Arial"/>
                <w:sz w:val="20"/>
                <w:szCs w:val="20"/>
                <w:lang w:val="hr-HR"/>
              </w:rPr>
            </w:pPr>
            <w:r w:rsidRPr="00CD3A2D">
              <w:rPr>
                <w:rFonts w:asciiTheme="minorHAnsi" w:hAnsiTheme="minorHAnsi" w:cs="Arial"/>
                <w:sz w:val="20"/>
                <w:szCs w:val="20"/>
                <w:lang w:val="hr-HR"/>
              </w:rPr>
              <w:t>15.387.881</w:t>
            </w:r>
          </w:p>
        </w:tc>
      </w:tr>
      <w:tr w:rsidR="00716D22" w:rsidRPr="001567C8" w:rsidTr="003C6BA3">
        <w:trPr>
          <w:trHeight w:val="297"/>
        </w:trPr>
        <w:tc>
          <w:tcPr>
            <w:tcW w:w="3402" w:type="dxa"/>
            <w:tcBorders>
              <w:top w:val="nil"/>
              <w:left w:val="nil"/>
              <w:bottom w:val="nil"/>
              <w:right w:val="nil"/>
            </w:tcBorders>
            <w:shd w:val="clear" w:color="auto" w:fill="auto"/>
            <w:vAlign w:val="bottom"/>
          </w:tcPr>
          <w:p w:rsidR="00716D22" w:rsidRPr="00CD3A2D" w:rsidRDefault="00716D22" w:rsidP="00716D22">
            <w:pPr>
              <w:tabs>
                <w:tab w:val="right" w:pos="1202"/>
              </w:tabs>
              <w:outlineLvl w:val="0"/>
              <w:rPr>
                <w:rFonts w:asciiTheme="minorHAnsi" w:hAnsiTheme="minorHAnsi" w:cs="Arial"/>
                <w:sz w:val="20"/>
                <w:szCs w:val="20"/>
                <w:lang w:val="hr-HR"/>
              </w:rPr>
            </w:pPr>
            <w:r w:rsidRPr="00CD3A2D">
              <w:rPr>
                <w:rFonts w:asciiTheme="minorHAnsi" w:hAnsiTheme="minorHAnsi"/>
                <w:color w:val="000000"/>
                <w:sz w:val="20"/>
                <w:szCs w:val="20"/>
                <w:lang w:val="hr-HR"/>
              </w:rPr>
              <w:t>Obveze za izdane dugoročne vrijednosne papire</w:t>
            </w:r>
          </w:p>
        </w:tc>
        <w:tc>
          <w:tcPr>
            <w:tcW w:w="1205" w:type="dxa"/>
            <w:tcBorders>
              <w:bottom w:val="single" w:sz="4" w:space="0" w:color="auto"/>
            </w:tcBorders>
            <w:vAlign w:val="bottom"/>
          </w:tcPr>
          <w:p w:rsidR="00716D22" w:rsidRPr="00CD3A2D" w:rsidRDefault="00B57831" w:rsidP="00710EE9">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w:t>
            </w:r>
            <w:r w:rsidR="00A3349F" w:rsidRPr="00CD3A2D">
              <w:rPr>
                <w:rFonts w:asciiTheme="minorHAnsi" w:hAnsiTheme="minorHAnsi" w:cstheme="minorHAnsi"/>
                <w:sz w:val="20"/>
                <w:szCs w:val="20"/>
                <w:lang w:val="hr-HR"/>
              </w:rPr>
              <w:t xml:space="preserve"> </w:t>
            </w:r>
            <w:r w:rsidR="00716D22" w:rsidRPr="00CD3A2D">
              <w:rPr>
                <w:rFonts w:asciiTheme="minorHAnsi" w:hAnsiTheme="minorHAnsi" w:cstheme="minorHAnsi"/>
                <w:sz w:val="20"/>
                <w:szCs w:val="20"/>
                <w:lang w:val="hr-HR"/>
              </w:rPr>
              <w:t xml:space="preserve"> </w:t>
            </w:r>
          </w:p>
        </w:tc>
        <w:tc>
          <w:tcPr>
            <w:tcW w:w="1205" w:type="dxa"/>
            <w:tcBorders>
              <w:bottom w:val="single" w:sz="4" w:space="0" w:color="auto"/>
            </w:tcBorders>
            <w:vAlign w:val="bottom"/>
          </w:tcPr>
          <w:p w:rsidR="00716D22" w:rsidRPr="00CD3A2D" w:rsidRDefault="00B57831" w:rsidP="003C6BA3">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1.255.316  </w:t>
            </w:r>
            <w:r w:rsidR="00716D22" w:rsidRPr="00CD3A2D">
              <w:rPr>
                <w:rFonts w:asciiTheme="minorHAnsi" w:hAnsiTheme="minorHAnsi" w:cstheme="minorHAnsi"/>
                <w:sz w:val="20"/>
                <w:szCs w:val="20"/>
                <w:lang w:val="hr-HR"/>
              </w:rPr>
              <w:t xml:space="preserve"> </w:t>
            </w:r>
          </w:p>
        </w:tc>
        <w:tc>
          <w:tcPr>
            <w:tcW w:w="1205" w:type="dxa"/>
            <w:tcBorders>
              <w:bottom w:val="single" w:sz="4" w:space="0" w:color="auto"/>
            </w:tcBorders>
            <w:vAlign w:val="bottom"/>
          </w:tcPr>
          <w:p w:rsidR="00716D22" w:rsidRPr="00CD3A2D" w:rsidRDefault="00716D22" w:rsidP="003C6BA3">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 </w:t>
            </w:r>
          </w:p>
        </w:tc>
        <w:tc>
          <w:tcPr>
            <w:tcW w:w="1205" w:type="dxa"/>
            <w:tcBorders>
              <w:bottom w:val="single" w:sz="4" w:space="0" w:color="auto"/>
            </w:tcBorders>
            <w:vAlign w:val="bottom"/>
          </w:tcPr>
          <w:p w:rsidR="00716D22" w:rsidRPr="00CD3A2D" w:rsidRDefault="00716D22" w:rsidP="003C6BA3">
            <w:pPr>
              <w:tabs>
                <w:tab w:val="right" w:pos="1202"/>
              </w:tabs>
              <w:spacing w:line="301" w:lineRule="exact"/>
              <w:jc w:val="right"/>
              <w:outlineLvl w:val="0"/>
              <w:rPr>
                <w:rFonts w:asciiTheme="minorHAnsi" w:hAnsiTheme="minorHAnsi" w:cstheme="minorHAnsi"/>
                <w:color w:val="000000"/>
                <w:sz w:val="20"/>
                <w:szCs w:val="20"/>
                <w:lang w:val="hr-HR"/>
              </w:rPr>
            </w:pPr>
            <w:r w:rsidRPr="00CD3A2D">
              <w:rPr>
                <w:rFonts w:asciiTheme="minorHAnsi" w:hAnsiTheme="minorHAnsi" w:cstheme="minorHAnsi"/>
                <w:sz w:val="20"/>
                <w:szCs w:val="20"/>
                <w:lang w:val="hr-HR"/>
              </w:rPr>
              <w:t xml:space="preserve"> 1.255.316 </w:t>
            </w:r>
          </w:p>
        </w:tc>
        <w:tc>
          <w:tcPr>
            <w:tcW w:w="1706" w:type="dxa"/>
            <w:tcBorders>
              <w:top w:val="nil"/>
              <w:left w:val="nil"/>
              <w:bottom w:val="single" w:sz="4" w:space="0" w:color="auto"/>
              <w:right w:val="nil"/>
            </w:tcBorders>
            <w:shd w:val="clear" w:color="auto" w:fill="auto"/>
            <w:vAlign w:val="bottom"/>
          </w:tcPr>
          <w:p w:rsidR="00716D22" w:rsidRPr="00CD3A2D" w:rsidRDefault="00716D22" w:rsidP="00716D22">
            <w:pPr>
              <w:tabs>
                <w:tab w:val="right" w:pos="1202"/>
              </w:tabs>
              <w:spacing w:line="301" w:lineRule="exact"/>
              <w:jc w:val="right"/>
              <w:outlineLvl w:val="0"/>
              <w:rPr>
                <w:rFonts w:asciiTheme="minorHAnsi" w:hAnsiTheme="minorHAnsi" w:cs="Arial"/>
                <w:sz w:val="20"/>
                <w:szCs w:val="20"/>
                <w:lang w:val="hr-HR"/>
              </w:rPr>
            </w:pPr>
            <w:r w:rsidRPr="00CD3A2D">
              <w:rPr>
                <w:rFonts w:asciiTheme="minorHAnsi" w:hAnsiTheme="minorHAnsi" w:cs="Arial"/>
                <w:sz w:val="20"/>
                <w:szCs w:val="20"/>
                <w:lang w:val="hr-HR"/>
              </w:rPr>
              <w:t>1.161.699</w:t>
            </w:r>
          </w:p>
        </w:tc>
      </w:tr>
      <w:tr w:rsidR="00B73929" w:rsidRPr="001567C8" w:rsidTr="003C6BA3">
        <w:trPr>
          <w:trHeight w:val="297"/>
        </w:trPr>
        <w:tc>
          <w:tcPr>
            <w:tcW w:w="3402" w:type="dxa"/>
            <w:tcBorders>
              <w:top w:val="nil"/>
              <w:left w:val="nil"/>
              <w:bottom w:val="nil"/>
              <w:right w:val="nil"/>
            </w:tcBorders>
            <w:shd w:val="clear" w:color="auto" w:fill="auto"/>
            <w:vAlign w:val="bottom"/>
          </w:tcPr>
          <w:p w:rsidR="00B73929" w:rsidRPr="00CD3A2D" w:rsidRDefault="00B73929" w:rsidP="00B73929">
            <w:pPr>
              <w:tabs>
                <w:tab w:val="right" w:pos="1202"/>
              </w:tabs>
              <w:outlineLvl w:val="0"/>
              <w:rPr>
                <w:rFonts w:asciiTheme="minorHAnsi" w:hAnsiTheme="minorHAnsi"/>
                <w:color w:val="000000"/>
                <w:sz w:val="20"/>
                <w:szCs w:val="20"/>
                <w:lang w:val="hr-HR"/>
              </w:rPr>
            </w:pPr>
          </w:p>
        </w:tc>
        <w:tc>
          <w:tcPr>
            <w:tcW w:w="1205" w:type="dxa"/>
            <w:tcBorders>
              <w:top w:val="single" w:sz="4" w:space="0" w:color="auto"/>
              <w:bottom w:val="single" w:sz="12" w:space="0" w:color="auto"/>
            </w:tcBorders>
            <w:vAlign w:val="bottom"/>
          </w:tcPr>
          <w:p w:rsidR="00B73929" w:rsidRPr="00CD3A2D" w:rsidRDefault="00B57831" w:rsidP="00B73929">
            <w:pPr>
              <w:tabs>
                <w:tab w:val="right" w:pos="1202"/>
              </w:tabs>
              <w:spacing w:line="301" w:lineRule="exact"/>
              <w:jc w:val="right"/>
              <w:outlineLvl w:val="0"/>
              <w:rPr>
                <w:rFonts w:asciiTheme="minorHAnsi" w:hAnsiTheme="minorHAnsi" w:cs="Calibri"/>
                <w:b/>
                <w:color w:val="000000"/>
                <w:sz w:val="20"/>
                <w:szCs w:val="20"/>
                <w:lang w:val="hr-HR"/>
              </w:rPr>
            </w:pPr>
            <w:r w:rsidRPr="00CD3A2D">
              <w:rPr>
                <w:rFonts w:asciiTheme="minorHAnsi" w:hAnsiTheme="minorHAnsi" w:cs="Calibri"/>
                <w:b/>
                <w:color w:val="000000"/>
                <w:sz w:val="20"/>
                <w:szCs w:val="20"/>
                <w:lang w:val="hr-HR"/>
              </w:rPr>
              <w:t>-</w:t>
            </w:r>
          </w:p>
        </w:tc>
        <w:tc>
          <w:tcPr>
            <w:tcW w:w="1205" w:type="dxa"/>
            <w:tcBorders>
              <w:top w:val="single" w:sz="4" w:space="0" w:color="auto"/>
              <w:bottom w:val="single" w:sz="12" w:space="0" w:color="auto"/>
            </w:tcBorders>
            <w:vAlign w:val="bottom"/>
          </w:tcPr>
          <w:p w:rsidR="00B73929" w:rsidRPr="00CD3A2D" w:rsidRDefault="00B57831" w:rsidP="00B73929">
            <w:pPr>
              <w:tabs>
                <w:tab w:val="right" w:pos="1202"/>
              </w:tabs>
              <w:spacing w:line="301" w:lineRule="exact"/>
              <w:jc w:val="right"/>
              <w:outlineLvl w:val="0"/>
              <w:rPr>
                <w:rFonts w:asciiTheme="minorHAnsi" w:hAnsiTheme="minorHAnsi" w:cs="Calibri"/>
                <w:b/>
                <w:color w:val="000000"/>
                <w:sz w:val="20"/>
                <w:szCs w:val="20"/>
                <w:lang w:val="hr-HR"/>
              </w:rPr>
            </w:pPr>
            <w:r w:rsidRPr="00CD3A2D">
              <w:rPr>
                <w:rFonts w:asciiTheme="minorHAnsi" w:hAnsiTheme="minorHAnsi" w:cs="Calibri"/>
                <w:b/>
                <w:color w:val="000000"/>
                <w:sz w:val="20"/>
                <w:szCs w:val="20"/>
                <w:lang w:val="hr-HR"/>
              </w:rPr>
              <w:t>1.900.057</w:t>
            </w:r>
          </w:p>
        </w:tc>
        <w:tc>
          <w:tcPr>
            <w:tcW w:w="1205" w:type="dxa"/>
            <w:tcBorders>
              <w:top w:val="single" w:sz="4" w:space="0" w:color="auto"/>
              <w:bottom w:val="single" w:sz="12" w:space="0" w:color="auto"/>
            </w:tcBorders>
            <w:vAlign w:val="bottom"/>
          </w:tcPr>
          <w:p w:rsidR="00B73929" w:rsidRPr="00CD3A2D" w:rsidRDefault="00BF2E71" w:rsidP="00B73929">
            <w:pPr>
              <w:tabs>
                <w:tab w:val="right" w:pos="1202"/>
              </w:tabs>
              <w:spacing w:line="301" w:lineRule="exact"/>
              <w:jc w:val="right"/>
              <w:outlineLvl w:val="0"/>
              <w:rPr>
                <w:rFonts w:asciiTheme="minorHAnsi" w:hAnsiTheme="minorHAnsi" w:cs="Calibri"/>
                <w:b/>
                <w:color w:val="000000"/>
                <w:sz w:val="20"/>
                <w:szCs w:val="20"/>
                <w:lang w:val="hr-HR"/>
              </w:rPr>
            </w:pPr>
            <w:r w:rsidRPr="00CD3A2D">
              <w:rPr>
                <w:rFonts w:asciiTheme="minorHAnsi" w:hAnsiTheme="minorHAnsi" w:cs="Calibri"/>
                <w:b/>
                <w:color w:val="000000"/>
                <w:sz w:val="20"/>
                <w:szCs w:val="20"/>
                <w:lang w:val="hr-HR"/>
              </w:rPr>
              <w:t>14.030.305</w:t>
            </w:r>
          </w:p>
        </w:tc>
        <w:tc>
          <w:tcPr>
            <w:tcW w:w="1205" w:type="dxa"/>
            <w:tcBorders>
              <w:top w:val="single" w:sz="4" w:space="0" w:color="auto"/>
              <w:bottom w:val="single" w:sz="12" w:space="0" w:color="auto"/>
            </w:tcBorders>
            <w:vAlign w:val="bottom"/>
          </w:tcPr>
          <w:p w:rsidR="00B73929" w:rsidRPr="00CD3A2D" w:rsidRDefault="00BF2E71" w:rsidP="00B73929">
            <w:pPr>
              <w:tabs>
                <w:tab w:val="right" w:pos="1202"/>
              </w:tabs>
              <w:spacing w:line="301" w:lineRule="exact"/>
              <w:jc w:val="right"/>
              <w:outlineLvl w:val="0"/>
              <w:rPr>
                <w:rFonts w:asciiTheme="minorHAnsi" w:hAnsiTheme="minorHAnsi" w:cs="Calibri"/>
                <w:b/>
                <w:color w:val="000000"/>
                <w:sz w:val="20"/>
                <w:szCs w:val="20"/>
                <w:lang w:val="hr-HR"/>
              </w:rPr>
            </w:pPr>
            <w:r w:rsidRPr="00CD3A2D">
              <w:rPr>
                <w:rFonts w:asciiTheme="minorHAnsi" w:hAnsiTheme="minorHAnsi" w:cs="Calibri"/>
                <w:b/>
                <w:color w:val="000000"/>
                <w:sz w:val="20"/>
                <w:szCs w:val="20"/>
                <w:lang w:val="hr-HR"/>
              </w:rPr>
              <w:t>15.930.362</w:t>
            </w:r>
          </w:p>
        </w:tc>
        <w:tc>
          <w:tcPr>
            <w:tcW w:w="1706" w:type="dxa"/>
            <w:tcBorders>
              <w:top w:val="single" w:sz="4" w:space="0" w:color="auto"/>
              <w:left w:val="nil"/>
              <w:bottom w:val="single" w:sz="12" w:space="0" w:color="auto"/>
              <w:right w:val="nil"/>
            </w:tcBorders>
            <w:shd w:val="clear" w:color="auto" w:fill="auto"/>
            <w:vAlign w:val="bottom"/>
          </w:tcPr>
          <w:p w:rsidR="00B73929" w:rsidRPr="00CD3A2D" w:rsidRDefault="00B73929" w:rsidP="00B73929">
            <w:pPr>
              <w:tabs>
                <w:tab w:val="right" w:pos="1202"/>
              </w:tabs>
              <w:spacing w:line="301" w:lineRule="exact"/>
              <w:jc w:val="right"/>
              <w:outlineLvl w:val="0"/>
              <w:rPr>
                <w:rFonts w:asciiTheme="minorHAnsi" w:hAnsiTheme="minorHAnsi" w:cs="Arial"/>
                <w:b/>
                <w:sz w:val="20"/>
                <w:szCs w:val="20"/>
                <w:lang w:val="hr-HR"/>
              </w:rPr>
            </w:pPr>
            <w:r w:rsidRPr="00CD3A2D">
              <w:rPr>
                <w:rFonts w:asciiTheme="minorHAnsi" w:hAnsiTheme="minorHAnsi" w:cs="Arial"/>
                <w:b/>
                <w:sz w:val="20"/>
                <w:szCs w:val="20"/>
                <w:lang w:val="hr-HR"/>
              </w:rPr>
              <w:t>17.194.321</w:t>
            </w:r>
          </w:p>
        </w:tc>
      </w:tr>
    </w:tbl>
    <w:p w:rsidR="000B4639" w:rsidRPr="001567C8" w:rsidRDefault="000B4639" w:rsidP="00B73929">
      <w:pPr>
        <w:pStyle w:val="T1"/>
        <w:spacing w:before="0" w:after="0" w:line="240" w:lineRule="auto"/>
        <w:rPr>
          <w:rFonts w:asciiTheme="minorHAnsi" w:hAnsiTheme="minorHAnsi" w:cs="Arial"/>
          <w:bCs w:val="0"/>
          <w:spacing w:val="-3"/>
          <w:sz w:val="22"/>
          <w:szCs w:val="22"/>
          <w:lang w:val="hr-HR"/>
        </w:rPr>
      </w:pPr>
    </w:p>
    <w:p w:rsidR="00B73929" w:rsidRPr="001567C8" w:rsidRDefault="00B73929" w:rsidP="00B73929">
      <w:pPr>
        <w:pStyle w:val="T1"/>
        <w:spacing w:before="0" w:after="0" w:line="240" w:lineRule="auto"/>
        <w:rPr>
          <w:rFonts w:asciiTheme="minorHAnsi" w:hAnsiTheme="minorHAnsi" w:cs="Arial"/>
          <w:bCs w:val="0"/>
          <w:spacing w:val="-3"/>
          <w:sz w:val="22"/>
          <w:szCs w:val="22"/>
          <w:lang w:val="hr-HR"/>
        </w:rPr>
      </w:pPr>
    </w:p>
    <w:p w:rsidR="00B73929" w:rsidRPr="001567C8" w:rsidRDefault="00B73929" w:rsidP="003C6BA3">
      <w:pPr>
        <w:pStyle w:val="T1"/>
        <w:spacing w:before="0" w:after="0" w:line="240" w:lineRule="auto"/>
        <w:rPr>
          <w:rFonts w:asciiTheme="minorHAnsi" w:hAnsiTheme="minorHAnsi" w:cs="Arial"/>
          <w:bCs w:val="0"/>
          <w:spacing w:val="-3"/>
          <w:sz w:val="22"/>
          <w:szCs w:val="22"/>
          <w:lang w:val="hr-HR"/>
        </w:rPr>
        <w:sectPr w:rsidR="00B73929" w:rsidRPr="001567C8" w:rsidSect="0077198A">
          <w:pgSz w:w="11907" w:h="16840" w:code="9"/>
          <w:pgMar w:top="1418" w:right="1134" w:bottom="1134" w:left="1418" w:header="851" w:footer="851" w:gutter="0"/>
          <w:cols w:space="720"/>
          <w:noEndnote/>
        </w:sectPr>
      </w:pPr>
    </w:p>
    <w:p w:rsidR="00CB00C4" w:rsidRPr="001567C8" w:rsidRDefault="00CB00C4">
      <w:pPr>
        <w:pStyle w:val="T1"/>
        <w:spacing w:before="0" w:after="0" w:line="240" w:lineRule="auto"/>
        <w:ind w:left="709" w:hanging="709"/>
        <w:rPr>
          <w:rFonts w:asciiTheme="minorHAnsi" w:hAnsiTheme="minorHAnsi" w:cs="Arial"/>
          <w:bCs w:val="0"/>
          <w:spacing w:val="-3"/>
          <w:sz w:val="22"/>
          <w:szCs w:val="22"/>
          <w:lang w:val="hr-HR"/>
        </w:rPr>
      </w:pPr>
    </w:p>
    <w:p w:rsidR="00490360" w:rsidRPr="001567C8" w:rsidRDefault="00674AD9">
      <w:pPr>
        <w:jc w:val="both"/>
        <w:rPr>
          <w:rFonts w:asciiTheme="minorHAnsi" w:hAnsiTheme="minorHAnsi" w:cs="Arial"/>
          <w:b/>
          <w:sz w:val="22"/>
          <w:szCs w:val="22"/>
          <w:lang w:val="hr-HR"/>
        </w:rPr>
      </w:pPr>
      <w:r w:rsidRPr="001567C8">
        <w:rPr>
          <w:rFonts w:asciiTheme="minorHAnsi" w:hAnsiTheme="minorHAnsi" w:cs="Arial"/>
          <w:b/>
          <w:spacing w:val="-3"/>
          <w:sz w:val="22"/>
          <w:szCs w:val="22"/>
          <w:lang w:val="hr-HR"/>
        </w:rPr>
        <w:t>3</w:t>
      </w:r>
      <w:r w:rsidR="003A4807" w:rsidRPr="001567C8">
        <w:rPr>
          <w:rFonts w:asciiTheme="minorHAnsi" w:hAnsiTheme="minorHAnsi" w:cs="Arial"/>
          <w:b/>
          <w:spacing w:val="-3"/>
          <w:sz w:val="22"/>
          <w:szCs w:val="22"/>
          <w:lang w:val="hr-HR"/>
        </w:rPr>
        <w:t>8</w:t>
      </w:r>
      <w:r w:rsidR="00490360" w:rsidRPr="001567C8">
        <w:rPr>
          <w:rFonts w:asciiTheme="minorHAnsi" w:hAnsiTheme="minorHAnsi" w:cs="Arial"/>
          <w:b/>
          <w:spacing w:val="-3"/>
          <w:sz w:val="22"/>
          <w:szCs w:val="22"/>
          <w:lang w:val="hr-HR"/>
        </w:rPr>
        <w:t xml:space="preserve">. </w:t>
      </w:r>
      <w:r w:rsidR="00490360" w:rsidRPr="001567C8">
        <w:rPr>
          <w:rFonts w:asciiTheme="minorHAnsi" w:hAnsiTheme="minorHAnsi" w:cs="Arial"/>
          <w:b/>
          <w:spacing w:val="-3"/>
          <w:sz w:val="22"/>
          <w:szCs w:val="22"/>
          <w:lang w:val="hr-HR"/>
        </w:rPr>
        <w:tab/>
      </w:r>
      <w:r w:rsidR="00490360" w:rsidRPr="001567C8">
        <w:rPr>
          <w:rFonts w:asciiTheme="minorHAnsi" w:hAnsiTheme="minorHAnsi" w:cs="Arial"/>
          <w:b/>
          <w:sz w:val="22"/>
          <w:szCs w:val="22"/>
          <w:lang w:val="hr-HR"/>
        </w:rPr>
        <w:t>Izvještavanje po segmentima</w:t>
      </w:r>
    </w:p>
    <w:p w:rsidR="00CB00C4" w:rsidRPr="001567C8" w:rsidRDefault="00CB00C4" w:rsidP="00CB00C4">
      <w:pPr>
        <w:jc w:val="both"/>
        <w:rPr>
          <w:rFonts w:asciiTheme="minorHAnsi" w:hAnsiTheme="minorHAnsi" w:cs="Arial"/>
          <w:b/>
          <w:sz w:val="22"/>
          <w:szCs w:val="22"/>
          <w:lang w:val="hr-HR"/>
        </w:rPr>
      </w:pPr>
    </w:p>
    <w:p w:rsidR="00490360" w:rsidRPr="001567C8" w:rsidRDefault="00490360" w:rsidP="00CB00C4">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Osnovne informacije o segmentima su predstavljene u odnosu na poslovne segmente Grupe. </w:t>
      </w:r>
    </w:p>
    <w:p w:rsidR="00490360" w:rsidRPr="001567C8" w:rsidRDefault="00490360" w:rsidP="00CB00C4">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Kako Grupa ne raspoređuje administrativne troškove i </w:t>
      </w:r>
      <w:r w:rsidR="00902EE8" w:rsidRPr="001567C8">
        <w:rPr>
          <w:rFonts w:asciiTheme="minorHAnsi" w:hAnsiTheme="minorHAnsi" w:cs="Arial"/>
          <w:sz w:val="22"/>
          <w:szCs w:val="22"/>
          <w:lang w:val="hr-HR"/>
        </w:rPr>
        <w:t>kapital i rezerve</w:t>
      </w:r>
      <w:r w:rsidRPr="001567C8">
        <w:rPr>
          <w:rFonts w:asciiTheme="minorHAnsi" w:hAnsiTheme="minorHAnsi" w:cs="Arial"/>
          <w:sz w:val="22"/>
          <w:szCs w:val="22"/>
          <w:lang w:val="hr-HR"/>
        </w:rPr>
        <w:t xml:space="preserve"> po segmentima, nije prikazana profitabilnost segmenata.</w:t>
      </w:r>
    </w:p>
    <w:p w:rsidR="00CB00C4" w:rsidRPr="001567C8" w:rsidRDefault="00CB00C4" w:rsidP="00CB00C4">
      <w:pPr>
        <w:jc w:val="both"/>
        <w:rPr>
          <w:rFonts w:asciiTheme="minorHAnsi" w:hAnsiTheme="minorHAnsi" w:cs="Arial"/>
          <w:sz w:val="22"/>
          <w:szCs w:val="22"/>
          <w:lang w:val="hr-HR"/>
        </w:rPr>
      </w:pPr>
    </w:p>
    <w:p w:rsidR="00490360" w:rsidRPr="001567C8" w:rsidRDefault="00490360" w:rsidP="00CB00C4">
      <w:pPr>
        <w:jc w:val="both"/>
        <w:rPr>
          <w:rFonts w:asciiTheme="minorHAnsi" w:hAnsiTheme="minorHAnsi" w:cs="Arial"/>
          <w:sz w:val="22"/>
          <w:szCs w:val="22"/>
          <w:lang w:val="hr-HR"/>
        </w:rPr>
      </w:pPr>
      <w:r w:rsidRPr="001567C8">
        <w:rPr>
          <w:rFonts w:asciiTheme="minorHAnsi" w:hAnsiTheme="minorHAnsi" w:cs="Arial"/>
          <w:sz w:val="22"/>
          <w:szCs w:val="22"/>
          <w:lang w:val="hr-HR"/>
        </w:rPr>
        <w:t xml:space="preserve">Imovina i obveze po segmentima iskazani su neto, tj. bruto nakon umanjenja vrijednosti i rezerviranja, a prije uzimanja u obzir primljenih kolaterala.  </w:t>
      </w:r>
    </w:p>
    <w:p w:rsidR="00CB00C4" w:rsidRPr="001567C8" w:rsidRDefault="00CB00C4" w:rsidP="00CB00C4">
      <w:pPr>
        <w:jc w:val="both"/>
        <w:rPr>
          <w:rFonts w:asciiTheme="minorHAnsi" w:hAnsiTheme="minorHAnsi" w:cs="Arial"/>
          <w:sz w:val="22"/>
          <w:szCs w:val="22"/>
          <w:lang w:val="hr-HR"/>
        </w:rPr>
      </w:pPr>
    </w:p>
    <w:p w:rsidR="00490360" w:rsidRPr="001567C8" w:rsidRDefault="00490360" w:rsidP="00CB00C4">
      <w:pPr>
        <w:jc w:val="both"/>
        <w:rPr>
          <w:rFonts w:asciiTheme="minorHAnsi" w:hAnsiTheme="minorHAnsi" w:cs="Arial"/>
          <w:sz w:val="22"/>
          <w:szCs w:val="22"/>
          <w:lang w:val="hr-HR"/>
        </w:rPr>
      </w:pPr>
      <w:r w:rsidRPr="001567C8">
        <w:rPr>
          <w:rFonts w:asciiTheme="minorHAnsi" w:hAnsiTheme="minorHAnsi" w:cs="Arial"/>
          <w:sz w:val="22"/>
          <w:szCs w:val="22"/>
          <w:lang w:val="hr-HR"/>
        </w:rPr>
        <w:t>Poslovanje segmenata je organizacijski i upravljački odvojeno i svaki segment predstavlja cjelinu koja pruža različite proizvode i usluge i posluje na različitim tržištima.</w:t>
      </w:r>
    </w:p>
    <w:p w:rsidR="00CB00C4" w:rsidRPr="001567C8" w:rsidRDefault="00CB00C4" w:rsidP="00CB00C4">
      <w:pPr>
        <w:jc w:val="both"/>
        <w:rPr>
          <w:rFonts w:asciiTheme="minorHAnsi" w:hAnsiTheme="minorHAnsi" w:cs="Arial"/>
          <w:sz w:val="22"/>
          <w:szCs w:val="22"/>
          <w:lang w:val="hr-HR"/>
        </w:rPr>
      </w:pPr>
    </w:p>
    <w:p w:rsidR="00E41AD2" w:rsidRPr="001567C8" w:rsidRDefault="00E41AD2" w:rsidP="00CB00C4">
      <w:pPr>
        <w:jc w:val="both"/>
        <w:rPr>
          <w:rFonts w:asciiTheme="minorHAnsi" w:hAnsiTheme="minorHAnsi" w:cs="Arial"/>
          <w:b/>
          <w:sz w:val="22"/>
          <w:szCs w:val="22"/>
          <w:lang w:val="hr-HR"/>
        </w:rPr>
      </w:pPr>
      <w:r w:rsidRPr="001567C8">
        <w:rPr>
          <w:rFonts w:asciiTheme="minorHAnsi" w:hAnsiTheme="minorHAnsi" w:cs="Arial"/>
          <w:b/>
          <w:sz w:val="22"/>
          <w:szCs w:val="22"/>
          <w:lang w:val="hr-HR"/>
        </w:rPr>
        <w:t>Poslovni segmenti:</w:t>
      </w:r>
    </w:p>
    <w:p w:rsidR="00CB00C4" w:rsidRPr="001567C8" w:rsidRDefault="00CB00C4" w:rsidP="00CB00C4">
      <w:pPr>
        <w:jc w:val="both"/>
        <w:rPr>
          <w:rFonts w:asciiTheme="minorHAnsi" w:hAnsiTheme="minorHAnsi" w:cs="Arial"/>
          <w:b/>
          <w:sz w:val="22"/>
          <w:szCs w:val="22"/>
          <w:lang w:val="hr-HR"/>
        </w:rPr>
      </w:pPr>
    </w:p>
    <w:p w:rsidR="00E41AD2" w:rsidRPr="001567C8" w:rsidRDefault="00E41AD2" w:rsidP="00CB00C4">
      <w:pPr>
        <w:jc w:val="both"/>
        <w:rPr>
          <w:rFonts w:asciiTheme="minorHAnsi" w:hAnsiTheme="minorHAnsi" w:cs="Arial"/>
          <w:sz w:val="22"/>
          <w:szCs w:val="22"/>
          <w:lang w:val="hr-HR"/>
        </w:rPr>
      </w:pPr>
      <w:r w:rsidRPr="001567C8">
        <w:rPr>
          <w:rFonts w:asciiTheme="minorHAnsi" w:hAnsiTheme="minorHAnsi" w:cs="Arial"/>
          <w:sz w:val="22"/>
          <w:szCs w:val="22"/>
          <w:lang w:val="hr-HR"/>
        </w:rPr>
        <w:t>Grupa ima sljedeće poslovne segmente:</w:t>
      </w:r>
    </w:p>
    <w:tbl>
      <w:tblPr>
        <w:tblW w:w="0" w:type="auto"/>
        <w:tblLook w:val="01E0" w:firstRow="1" w:lastRow="1" w:firstColumn="1" w:lastColumn="1" w:noHBand="0" w:noVBand="0"/>
      </w:tblPr>
      <w:tblGrid>
        <w:gridCol w:w="3528"/>
        <w:gridCol w:w="236"/>
        <w:gridCol w:w="5524"/>
      </w:tblGrid>
      <w:tr w:rsidR="00E41AD2" w:rsidRPr="001567C8" w:rsidTr="00CB00C4">
        <w:trPr>
          <w:trHeight w:val="153"/>
        </w:trPr>
        <w:tc>
          <w:tcPr>
            <w:tcW w:w="3528" w:type="dxa"/>
            <w:shd w:val="clear" w:color="auto" w:fill="auto"/>
          </w:tcPr>
          <w:p w:rsidR="00E41AD2" w:rsidRPr="001567C8" w:rsidRDefault="00E41AD2" w:rsidP="00CB00C4">
            <w:pPr>
              <w:jc w:val="both"/>
              <w:rPr>
                <w:rFonts w:asciiTheme="minorHAnsi" w:hAnsiTheme="minorHAnsi" w:cs="Arial"/>
                <w:b/>
                <w:sz w:val="20"/>
                <w:szCs w:val="20"/>
                <w:lang w:val="hr-HR"/>
              </w:rPr>
            </w:pPr>
            <w:r w:rsidRPr="001567C8">
              <w:rPr>
                <w:rFonts w:asciiTheme="minorHAnsi" w:hAnsiTheme="minorHAnsi" w:cs="Arial"/>
                <w:b/>
                <w:sz w:val="20"/>
                <w:szCs w:val="20"/>
                <w:lang w:val="hr-HR"/>
              </w:rPr>
              <w:t>Segment:</w:t>
            </w:r>
          </w:p>
        </w:tc>
        <w:tc>
          <w:tcPr>
            <w:tcW w:w="236" w:type="dxa"/>
            <w:shd w:val="clear" w:color="auto" w:fill="auto"/>
          </w:tcPr>
          <w:p w:rsidR="00E41AD2" w:rsidRPr="001567C8" w:rsidRDefault="00E41AD2" w:rsidP="00CB00C4">
            <w:pPr>
              <w:jc w:val="both"/>
              <w:rPr>
                <w:rFonts w:asciiTheme="minorHAnsi" w:hAnsiTheme="minorHAnsi" w:cs="Arial"/>
                <w:b/>
                <w:sz w:val="20"/>
                <w:szCs w:val="20"/>
                <w:lang w:val="hr-HR"/>
              </w:rPr>
            </w:pPr>
          </w:p>
        </w:tc>
        <w:tc>
          <w:tcPr>
            <w:tcW w:w="5524" w:type="dxa"/>
            <w:shd w:val="clear" w:color="auto" w:fill="auto"/>
          </w:tcPr>
          <w:p w:rsidR="00E41AD2" w:rsidRPr="001567C8" w:rsidRDefault="00E41AD2" w:rsidP="00CB00C4">
            <w:pPr>
              <w:pStyle w:val="NormalWeb"/>
              <w:spacing w:before="0" w:beforeAutospacing="0" w:after="0" w:afterAutospacing="0"/>
              <w:jc w:val="both"/>
              <w:rPr>
                <w:rFonts w:asciiTheme="minorHAnsi" w:hAnsiTheme="minorHAnsi" w:cs="Arial"/>
                <w:b/>
                <w:sz w:val="20"/>
                <w:szCs w:val="20"/>
                <w:lang w:val="hr-HR"/>
              </w:rPr>
            </w:pPr>
            <w:r w:rsidRPr="001567C8">
              <w:rPr>
                <w:rFonts w:asciiTheme="minorHAnsi" w:hAnsiTheme="minorHAnsi" w:cs="Arial"/>
                <w:b/>
                <w:sz w:val="20"/>
                <w:szCs w:val="20"/>
                <w:lang w:val="hr-HR"/>
              </w:rPr>
              <w:t>Poslovne aktivnosti segmenta uključuju:</w:t>
            </w:r>
          </w:p>
        </w:tc>
      </w:tr>
      <w:tr w:rsidR="00E41AD2" w:rsidRPr="001567C8">
        <w:tc>
          <w:tcPr>
            <w:tcW w:w="3528" w:type="dxa"/>
            <w:shd w:val="clear" w:color="auto" w:fill="auto"/>
          </w:tcPr>
          <w:p w:rsidR="00E41AD2" w:rsidRPr="001567C8" w:rsidRDefault="00E41AD2" w:rsidP="00CB00C4">
            <w:pPr>
              <w:jc w:val="both"/>
              <w:rPr>
                <w:rFonts w:asciiTheme="minorHAnsi" w:hAnsiTheme="minorHAnsi" w:cs="Arial"/>
                <w:sz w:val="20"/>
                <w:szCs w:val="20"/>
                <w:lang w:val="hr-HR"/>
              </w:rPr>
            </w:pPr>
          </w:p>
        </w:tc>
        <w:tc>
          <w:tcPr>
            <w:tcW w:w="236" w:type="dxa"/>
            <w:shd w:val="clear" w:color="auto" w:fill="auto"/>
          </w:tcPr>
          <w:p w:rsidR="00E41AD2" w:rsidRPr="001567C8" w:rsidRDefault="00E41AD2" w:rsidP="00CB00C4">
            <w:pPr>
              <w:jc w:val="both"/>
              <w:rPr>
                <w:rFonts w:asciiTheme="minorHAnsi" w:hAnsiTheme="minorHAnsi" w:cs="Arial"/>
                <w:sz w:val="20"/>
                <w:szCs w:val="20"/>
                <w:lang w:val="hr-HR"/>
              </w:rPr>
            </w:pPr>
          </w:p>
        </w:tc>
        <w:tc>
          <w:tcPr>
            <w:tcW w:w="5524" w:type="dxa"/>
            <w:shd w:val="clear" w:color="auto" w:fill="auto"/>
          </w:tcPr>
          <w:p w:rsidR="00E41AD2" w:rsidRPr="001567C8" w:rsidRDefault="00E41AD2" w:rsidP="00CB00C4">
            <w:pPr>
              <w:pStyle w:val="NormalWeb"/>
              <w:spacing w:before="0" w:beforeAutospacing="0" w:after="0" w:afterAutospacing="0"/>
              <w:jc w:val="both"/>
              <w:rPr>
                <w:rFonts w:asciiTheme="minorHAnsi" w:hAnsiTheme="minorHAnsi" w:cs="Arial"/>
                <w:sz w:val="20"/>
                <w:szCs w:val="20"/>
                <w:lang w:val="hr-HR"/>
              </w:rPr>
            </w:pPr>
          </w:p>
        </w:tc>
      </w:tr>
      <w:tr w:rsidR="00E41AD2" w:rsidRPr="001567C8">
        <w:tc>
          <w:tcPr>
            <w:tcW w:w="3528" w:type="dxa"/>
            <w:shd w:val="clear" w:color="auto" w:fill="auto"/>
          </w:tcPr>
          <w:p w:rsidR="00E41AD2" w:rsidRPr="001567C8" w:rsidRDefault="00E41AD2" w:rsidP="00CB00C4">
            <w:pPr>
              <w:jc w:val="both"/>
              <w:rPr>
                <w:rFonts w:asciiTheme="minorHAnsi" w:hAnsiTheme="minorHAnsi" w:cs="Arial"/>
                <w:sz w:val="20"/>
                <w:szCs w:val="20"/>
                <w:lang w:val="hr-HR"/>
              </w:rPr>
            </w:pPr>
            <w:r w:rsidRPr="001567C8">
              <w:rPr>
                <w:rFonts w:asciiTheme="minorHAnsi" w:hAnsiTheme="minorHAnsi" w:cs="Arial"/>
                <w:sz w:val="20"/>
                <w:szCs w:val="20"/>
                <w:lang w:val="hr-HR"/>
              </w:rPr>
              <w:t>Bankarske aktivnosti</w:t>
            </w:r>
          </w:p>
        </w:tc>
        <w:tc>
          <w:tcPr>
            <w:tcW w:w="236" w:type="dxa"/>
            <w:shd w:val="clear" w:color="auto" w:fill="auto"/>
          </w:tcPr>
          <w:p w:rsidR="00E41AD2" w:rsidRPr="001567C8" w:rsidRDefault="00E41AD2" w:rsidP="00CB00C4">
            <w:pPr>
              <w:jc w:val="both"/>
              <w:rPr>
                <w:rFonts w:asciiTheme="minorHAnsi" w:hAnsiTheme="minorHAnsi" w:cs="Arial"/>
                <w:sz w:val="20"/>
                <w:szCs w:val="20"/>
                <w:lang w:val="hr-HR"/>
              </w:rPr>
            </w:pPr>
          </w:p>
        </w:tc>
        <w:tc>
          <w:tcPr>
            <w:tcW w:w="5524" w:type="dxa"/>
            <w:shd w:val="clear" w:color="auto" w:fill="auto"/>
          </w:tcPr>
          <w:p w:rsidR="00E41AD2" w:rsidRPr="001567C8" w:rsidRDefault="00E41AD2" w:rsidP="00CB00C4">
            <w:pPr>
              <w:pStyle w:val="NormalWeb"/>
              <w:spacing w:before="0" w:beforeAutospacing="0" w:after="0" w:afterAutospacing="0"/>
              <w:jc w:val="both"/>
              <w:rPr>
                <w:rFonts w:asciiTheme="minorHAnsi" w:hAnsiTheme="minorHAnsi" w:cs="Arial"/>
                <w:sz w:val="20"/>
                <w:szCs w:val="20"/>
                <w:lang w:val="hr-HR"/>
              </w:rPr>
            </w:pPr>
            <w:r w:rsidRPr="001567C8">
              <w:rPr>
                <w:rFonts w:asciiTheme="minorHAnsi" w:hAnsiTheme="minorHAnsi" w:cs="Arial"/>
                <w:sz w:val="20"/>
                <w:szCs w:val="20"/>
                <w:lang w:val="hr-HR"/>
              </w:rPr>
              <w:t xml:space="preserve">financiranje obnove i razvitka hrvatskoga gospodarstva, financiranje infrastrukture, poticanje izvoza, potporu razvitku malog i srednjeg poduzetništva, poticanje zaštite okoliša, kao i osiguranje izvoza hrvatskih roba i usluga od netržišnih rizika u ime i za račun Republike Hrvatske. </w:t>
            </w:r>
          </w:p>
        </w:tc>
      </w:tr>
      <w:tr w:rsidR="00E41AD2" w:rsidRPr="001567C8">
        <w:tc>
          <w:tcPr>
            <w:tcW w:w="3528" w:type="dxa"/>
            <w:shd w:val="clear" w:color="auto" w:fill="auto"/>
          </w:tcPr>
          <w:p w:rsidR="00E41AD2" w:rsidRPr="001567C8" w:rsidRDefault="00E41AD2" w:rsidP="00CB00C4">
            <w:pPr>
              <w:jc w:val="both"/>
              <w:rPr>
                <w:rFonts w:asciiTheme="minorHAnsi" w:hAnsiTheme="minorHAnsi" w:cs="Arial"/>
                <w:sz w:val="20"/>
                <w:szCs w:val="20"/>
                <w:lang w:val="hr-HR"/>
              </w:rPr>
            </w:pPr>
          </w:p>
        </w:tc>
        <w:tc>
          <w:tcPr>
            <w:tcW w:w="236" w:type="dxa"/>
            <w:shd w:val="clear" w:color="auto" w:fill="auto"/>
          </w:tcPr>
          <w:p w:rsidR="00E41AD2" w:rsidRPr="001567C8" w:rsidRDefault="00E41AD2" w:rsidP="00CB00C4">
            <w:pPr>
              <w:jc w:val="both"/>
              <w:rPr>
                <w:rFonts w:asciiTheme="minorHAnsi" w:hAnsiTheme="minorHAnsi" w:cs="Arial"/>
                <w:sz w:val="20"/>
                <w:szCs w:val="20"/>
                <w:lang w:val="hr-HR"/>
              </w:rPr>
            </w:pPr>
          </w:p>
        </w:tc>
        <w:tc>
          <w:tcPr>
            <w:tcW w:w="5524" w:type="dxa"/>
            <w:shd w:val="clear" w:color="auto" w:fill="auto"/>
          </w:tcPr>
          <w:p w:rsidR="00E41AD2" w:rsidRPr="001567C8" w:rsidRDefault="00E41AD2" w:rsidP="00CB00C4">
            <w:pPr>
              <w:jc w:val="both"/>
              <w:rPr>
                <w:rFonts w:asciiTheme="minorHAnsi" w:hAnsiTheme="minorHAnsi" w:cs="Arial"/>
                <w:sz w:val="20"/>
                <w:szCs w:val="20"/>
                <w:lang w:val="hr-HR"/>
              </w:rPr>
            </w:pPr>
          </w:p>
        </w:tc>
      </w:tr>
      <w:tr w:rsidR="00E41AD2" w:rsidRPr="001567C8">
        <w:tc>
          <w:tcPr>
            <w:tcW w:w="3528" w:type="dxa"/>
            <w:shd w:val="clear" w:color="auto" w:fill="auto"/>
          </w:tcPr>
          <w:p w:rsidR="00E41AD2" w:rsidRPr="001567C8" w:rsidRDefault="00E41AD2" w:rsidP="00CB00C4">
            <w:pPr>
              <w:jc w:val="both"/>
              <w:rPr>
                <w:rFonts w:asciiTheme="minorHAnsi" w:hAnsiTheme="minorHAnsi" w:cs="Arial"/>
                <w:sz w:val="20"/>
                <w:szCs w:val="20"/>
                <w:lang w:val="hr-HR"/>
              </w:rPr>
            </w:pPr>
            <w:r w:rsidRPr="001567C8">
              <w:rPr>
                <w:rFonts w:asciiTheme="minorHAnsi" w:hAnsiTheme="minorHAnsi" w:cs="Arial"/>
                <w:sz w:val="20"/>
                <w:szCs w:val="20"/>
                <w:lang w:val="hr-HR"/>
              </w:rPr>
              <w:t>Osiguravateljske aktivnosti</w:t>
            </w:r>
          </w:p>
        </w:tc>
        <w:tc>
          <w:tcPr>
            <w:tcW w:w="236" w:type="dxa"/>
            <w:shd w:val="clear" w:color="auto" w:fill="auto"/>
          </w:tcPr>
          <w:p w:rsidR="00E41AD2" w:rsidRPr="001567C8" w:rsidRDefault="00E41AD2" w:rsidP="00CB00C4">
            <w:pPr>
              <w:jc w:val="both"/>
              <w:rPr>
                <w:rFonts w:asciiTheme="minorHAnsi" w:hAnsiTheme="minorHAnsi" w:cs="Arial"/>
                <w:sz w:val="20"/>
                <w:szCs w:val="20"/>
                <w:lang w:val="hr-HR"/>
              </w:rPr>
            </w:pPr>
          </w:p>
        </w:tc>
        <w:tc>
          <w:tcPr>
            <w:tcW w:w="5524" w:type="dxa"/>
            <w:shd w:val="clear" w:color="auto" w:fill="auto"/>
          </w:tcPr>
          <w:p w:rsidR="00E41AD2" w:rsidRPr="001567C8" w:rsidRDefault="00E41AD2" w:rsidP="00CB00C4">
            <w:pPr>
              <w:jc w:val="both"/>
              <w:rPr>
                <w:rFonts w:asciiTheme="minorHAnsi" w:hAnsiTheme="minorHAnsi" w:cs="Arial"/>
                <w:sz w:val="20"/>
                <w:szCs w:val="20"/>
                <w:lang w:val="hr-HR"/>
              </w:rPr>
            </w:pPr>
            <w:r w:rsidRPr="001567C8">
              <w:rPr>
                <w:rFonts w:asciiTheme="minorHAnsi" w:hAnsiTheme="minorHAnsi" w:cs="Arial"/>
                <w:sz w:val="20"/>
                <w:szCs w:val="20"/>
                <w:lang w:val="hr-HR"/>
              </w:rPr>
              <w:t xml:space="preserve">osiguravanje inozemnih i domaćih kratkoročnih potraživanja poslovnih subjekata vezanih za isporuke roba i usluga </w:t>
            </w:r>
          </w:p>
        </w:tc>
      </w:tr>
      <w:tr w:rsidR="00E41AD2" w:rsidRPr="001567C8">
        <w:tc>
          <w:tcPr>
            <w:tcW w:w="3528" w:type="dxa"/>
            <w:shd w:val="clear" w:color="auto" w:fill="auto"/>
          </w:tcPr>
          <w:p w:rsidR="00E41AD2" w:rsidRPr="001567C8" w:rsidRDefault="00E41AD2" w:rsidP="00CB00C4">
            <w:pPr>
              <w:jc w:val="both"/>
              <w:rPr>
                <w:rFonts w:asciiTheme="minorHAnsi" w:hAnsiTheme="minorHAnsi" w:cs="Arial"/>
                <w:sz w:val="20"/>
                <w:szCs w:val="20"/>
                <w:lang w:val="hr-HR"/>
              </w:rPr>
            </w:pPr>
          </w:p>
        </w:tc>
        <w:tc>
          <w:tcPr>
            <w:tcW w:w="236" w:type="dxa"/>
            <w:shd w:val="clear" w:color="auto" w:fill="auto"/>
          </w:tcPr>
          <w:p w:rsidR="00E41AD2" w:rsidRPr="001567C8" w:rsidRDefault="00E41AD2" w:rsidP="00CB00C4">
            <w:pPr>
              <w:jc w:val="both"/>
              <w:rPr>
                <w:rFonts w:asciiTheme="minorHAnsi" w:hAnsiTheme="minorHAnsi" w:cs="Arial"/>
                <w:sz w:val="20"/>
                <w:szCs w:val="20"/>
                <w:lang w:val="hr-HR"/>
              </w:rPr>
            </w:pPr>
          </w:p>
        </w:tc>
        <w:tc>
          <w:tcPr>
            <w:tcW w:w="5524" w:type="dxa"/>
            <w:shd w:val="clear" w:color="auto" w:fill="auto"/>
          </w:tcPr>
          <w:p w:rsidR="00E41AD2" w:rsidRPr="001567C8" w:rsidRDefault="00E41AD2" w:rsidP="00CB00C4">
            <w:pPr>
              <w:jc w:val="both"/>
              <w:rPr>
                <w:rFonts w:asciiTheme="minorHAnsi" w:hAnsiTheme="minorHAnsi" w:cs="Arial"/>
                <w:sz w:val="20"/>
                <w:szCs w:val="20"/>
                <w:lang w:val="hr-HR"/>
              </w:rPr>
            </w:pPr>
          </w:p>
        </w:tc>
      </w:tr>
      <w:tr w:rsidR="00E41AD2" w:rsidRPr="001567C8">
        <w:tc>
          <w:tcPr>
            <w:tcW w:w="3528" w:type="dxa"/>
            <w:shd w:val="clear" w:color="auto" w:fill="auto"/>
          </w:tcPr>
          <w:p w:rsidR="00E41AD2" w:rsidRPr="001567C8" w:rsidRDefault="00E41AD2" w:rsidP="00CB00C4">
            <w:pPr>
              <w:jc w:val="both"/>
              <w:rPr>
                <w:rFonts w:asciiTheme="minorHAnsi" w:hAnsiTheme="minorHAnsi" w:cs="Arial"/>
                <w:sz w:val="20"/>
                <w:szCs w:val="20"/>
                <w:lang w:val="hr-HR"/>
              </w:rPr>
            </w:pPr>
            <w:r w:rsidRPr="001567C8">
              <w:rPr>
                <w:rFonts w:asciiTheme="minorHAnsi" w:hAnsiTheme="minorHAnsi" w:cs="Arial"/>
                <w:sz w:val="20"/>
                <w:szCs w:val="20"/>
                <w:lang w:val="hr-HR"/>
              </w:rPr>
              <w:t>Ostalo</w:t>
            </w:r>
          </w:p>
        </w:tc>
        <w:tc>
          <w:tcPr>
            <w:tcW w:w="236" w:type="dxa"/>
            <w:shd w:val="clear" w:color="auto" w:fill="auto"/>
          </w:tcPr>
          <w:p w:rsidR="00E41AD2" w:rsidRPr="001567C8" w:rsidRDefault="00E41AD2" w:rsidP="00CB00C4">
            <w:pPr>
              <w:jc w:val="both"/>
              <w:rPr>
                <w:rFonts w:asciiTheme="minorHAnsi" w:hAnsiTheme="minorHAnsi" w:cs="Arial"/>
                <w:sz w:val="20"/>
                <w:szCs w:val="20"/>
                <w:lang w:val="hr-HR"/>
              </w:rPr>
            </w:pPr>
          </w:p>
        </w:tc>
        <w:tc>
          <w:tcPr>
            <w:tcW w:w="5524" w:type="dxa"/>
            <w:shd w:val="clear" w:color="auto" w:fill="auto"/>
          </w:tcPr>
          <w:p w:rsidR="00E41AD2" w:rsidRPr="001567C8" w:rsidRDefault="00E41AD2" w:rsidP="00CB00C4">
            <w:pPr>
              <w:jc w:val="both"/>
              <w:rPr>
                <w:rFonts w:asciiTheme="minorHAnsi" w:hAnsiTheme="minorHAnsi" w:cs="Arial"/>
                <w:sz w:val="20"/>
                <w:szCs w:val="20"/>
                <w:lang w:val="hr-HR"/>
              </w:rPr>
            </w:pPr>
            <w:r w:rsidRPr="001567C8">
              <w:rPr>
                <w:rFonts w:asciiTheme="minorHAnsi" w:hAnsiTheme="minorHAnsi" w:cs="Arial"/>
                <w:sz w:val="20"/>
                <w:szCs w:val="20"/>
                <w:lang w:val="hr-HR"/>
              </w:rPr>
              <w:t>izrade analiza, procjena kreditnih rizika</w:t>
            </w:r>
            <w:r w:rsidR="009F7ACF" w:rsidRPr="001567C8">
              <w:rPr>
                <w:rFonts w:asciiTheme="minorHAnsi" w:hAnsiTheme="minorHAnsi" w:cs="Arial"/>
                <w:sz w:val="20"/>
                <w:szCs w:val="20"/>
                <w:lang w:val="hr-HR"/>
              </w:rPr>
              <w:t xml:space="preserve"> </w:t>
            </w:r>
            <w:r w:rsidRPr="001567C8">
              <w:rPr>
                <w:rFonts w:asciiTheme="minorHAnsi" w:hAnsiTheme="minorHAnsi" w:cs="Arial"/>
                <w:sz w:val="20"/>
                <w:szCs w:val="20"/>
                <w:lang w:val="hr-HR"/>
              </w:rPr>
              <w:t xml:space="preserve">i pružanje informacija o kreditnoj sposobnosti </w:t>
            </w:r>
          </w:p>
        </w:tc>
      </w:tr>
    </w:tbl>
    <w:p w:rsidR="00E41AD2" w:rsidRPr="001567C8" w:rsidRDefault="00E41AD2" w:rsidP="00353005">
      <w:pPr>
        <w:spacing w:before="120" w:line="300" w:lineRule="exact"/>
        <w:jc w:val="both"/>
        <w:rPr>
          <w:rFonts w:asciiTheme="minorHAnsi" w:hAnsiTheme="minorHAnsi" w:cs="Arial"/>
          <w:sz w:val="22"/>
          <w:szCs w:val="22"/>
          <w:lang w:val="hr-HR"/>
        </w:rPr>
      </w:pPr>
    </w:p>
    <w:p w:rsidR="00E41AD2" w:rsidRPr="001567C8" w:rsidRDefault="00E41AD2" w:rsidP="00E41AD2">
      <w:pPr>
        <w:spacing w:before="120" w:line="300" w:lineRule="exact"/>
        <w:jc w:val="both"/>
        <w:rPr>
          <w:rFonts w:asciiTheme="minorHAnsi" w:hAnsiTheme="minorHAnsi" w:cs="Arial"/>
          <w:sz w:val="22"/>
          <w:szCs w:val="22"/>
          <w:lang w:val="hr-HR"/>
        </w:rPr>
        <w:sectPr w:rsidR="00E41AD2" w:rsidRPr="001567C8" w:rsidSect="0077198A">
          <w:pgSz w:w="11907" w:h="16840" w:code="9"/>
          <w:pgMar w:top="1418" w:right="1134" w:bottom="1134" w:left="1418" w:header="851" w:footer="851" w:gutter="0"/>
          <w:cols w:space="720"/>
          <w:noEndnote/>
        </w:sectPr>
      </w:pPr>
    </w:p>
    <w:p w:rsidR="00CB00C4" w:rsidRPr="001567C8" w:rsidRDefault="00CB00C4" w:rsidP="00CB00C4">
      <w:pPr>
        <w:jc w:val="both"/>
        <w:rPr>
          <w:rFonts w:asciiTheme="minorHAnsi" w:hAnsiTheme="minorHAnsi" w:cs="Arial"/>
          <w:b/>
          <w:spacing w:val="-3"/>
          <w:sz w:val="22"/>
          <w:szCs w:val="22"/>
          <w:lang w:val="hr-HR"/>
        </w:rPr>
      </w:pPr>
    </w:p>
    <w:p w:rsidR="00E41AD2" w:rsidRPr="001567C8" w:rsidRDefault="00E41AD2" w:rsidP="00CB00C4">
      <w:pPr>
        <w:jc w:val="both"/>
        <w:rPr>
          <w:rFonts w:asciiTheme="minorHAnsi" w:hAnsiTheme="minorHAnsi" w:cs="Arial"/>
          <w:b/>
          <w:sz w:val="22"/>
          <w:szCs w:val="22"/>
          <w:lang w:val="hr-HR"/>
        </w:rPr>
      </w:pPr>
      <w:bookmarkStart w:id="84" w:name="_Hlk3804134"/>
      <w:r w:rsidRPr="001567C8">
        <w:rPr>
          <w:rFonts w:asciiTheme="minorHAnsi" w:hAnsiTheme="minorHAnsi" w:cs="Arial"/>
          <w:b/>
          <w:spacing w:val="-3"/>
          <w:sz w:val="22"/>
          <w:szCs w:val="22"/>
          <w:lang w:val="hr-HR"/>
        </w:rPr>
        <w:t>3</w:t>
      </w:r>
      <w:r w:rsidR="003A4807" w:rsidRPr="001567C8">
        <w:rPr>
          <w:rFonts w:asciiTheme="minorHAnsi" w:hAnsiTheme="minorHAnsi" w:cs="Arial"/>
          <w:b/>
          <w:spacing w:val="-3"/>
          <w:sz w:val="22"/>
          <w:szCs w:val="22"/>
          <w:lang w:val="hr-HR"/>
        </w:rPr>
        <w:t>8</w:t>
      </w:r>
      <w:r w:rsidRPr="001567C8">
        <w:rPr>
          <w:rFonts w:asciiTheme="minorHAnsi" w:hAnsiTheme="minorHAnsi" w:cs="Arial"/>
          <w:b/>
          <w:spacing w:val="-3"/>
          <w:sz w:val="22"/>
          <w:szCs w:val="22"/>
          <w:lang w:val="hr-HR"/>
        </w:rPr>
        <w:t xml:space="preserve">. </w:t>
      </w:r>
      <w:r w:rsidRPr="001567C8">
        <w:rPr>
          <w:rFonts w:asciiTheme="minorHAnsi" w:hAnsiTheme="minorHAnsi" w:cs="Arial"/>
          <w:b/>
          <w:spacing w:val="-3"/>
          <w:sz w:val="22"/>
          <w:szCs w:val="22"/>
          <w:lang w:val="hr-HR"/>
        </w:rPr>
        <w:tab/>
      </w:r>
      <w:r w:rsidRPr="001567C8">
        <w:rPr>
          <w:rFonts w:asciiTheme="minorHAnsi" w:hAnsiTheme="minorHAnsi" w:cs="Arial"/>
          <w:b/>
          <w:sz w:val="22"/>
          <w:szCs w:val="22"/>
          <w:lang w:val="hr-HR"/>
        </w:rPr>
        <w:t>Izvještavanje po segmentima (nastavak)</w:t>
      </w:r>
    </w:p>
    <w:p w:rsidR="00C51BA6" w:rsidRPr="001567C8" w:rsidRDefault="00C51BA6" w:rsidP="00E41AD2">
      <w:pPr>
        <w:spacing w:before="120" w:line="300" w:lineRule="exact"/>
        <w:jc w:val="both"/>
        <w:rPr>
          <w:rFonts w:asciiTheme="minorHAnsi" w:hAnsiTheme="minorHAnsi" w:cs="Arial"/>
          <w:b/>
          <w:sz w:val="22"/>
          <w:szCs w:val="22"/>
          <w:lang w:val="hr-HR"/>
        </w:rPr>
      </w:pPr>
    </w:p>
    <w:tbl>
      <w:tblPr>
        <w:tblpPr w:leftFromText="181" w:rightFromText="181" w:vertAnchor="text" w:horzAnchor="margin" w:tblpXSpec="center" w:tblpY="1"/>
        <w:tblW w:w="9923" w:type="dxa"/>
        <w:tblLayout w:type="fixed"/>
        <w:tblLook w:val="04A0" w:firstRow="1" w:lastRow="0" w:firstColumn="1" w:lastColumn="0" w:noHBand="0" w:noVBand="1"/>
      </w:tblPr>
      <w:tblGrid>
        <w:gridCol w:w="3261"/>
        <w:gridCol w:w="1134"/>
        <w:gridCol w:w="1667"/>
        <w:gridCol w:w="1168"/>
        <w:gridCol w:w="1559"/>
        <w:gridCol w:w="1134"/>
      </w:tblGrid>
      <w:tr w:rsidR="009A32BD" w:rsidRPr="001567C8" w:rsidTr="003C6BA3">
        <w:trPr>
          <w:trHeight w:val="300"/>
        </w:trPr>
        <w:tc>
          <w:tcPr>
            <w:tcW w:w="3261" w:type="dxa"/>
            <w:tcBorders>
              <w:top w:val="nil"/>
              <w:left w:val="nil"/>
              <w:right w:val="nil"/>
            </w:tcBorders>
            <w:shd w:val="clear" w:color="auto" w:fill="auto"/>
            <w:vAlign w:val="bottom"/>
          </w:tcPr>
          <w:p w:rsidR="00C51BA6" w:rsidRPr="001567C8" w:rsidRDefault="00C51BA6" w:rsidP="00C51BA6">
            <w:pPr>
              <w:spacing w:line="300" w:lineRule="exact"/>
              <w:rPr>
                <w:rFonts w:asciiTheme="minorHAnsi" w:hAnsiTheme="minorHAnsi" w:cs="Arial"/>
                <w:b/>
                <w:bCs/>
                <w:sz w:val="20"/>
                <w:szCs w:val="20"/>
                <w:lang w:val="hr-HR"/>
              </w:rPr>
            </w:pPr>
            <w:bookmarkStart w:id="85" w:name="_Hlk1989013"/>
          </w:p>
        </w:tc>
        <w:tc>
          <w:tcPr>
            <w:tcW w:w="1134" w:type="dxa"/>
            <w:tcBorders>
              <w:top w:val="nil"/>
              <w:left w:val="nil"/>
              <w:right w:val="nil"/>
            </w:tcBorders>
            <w:shd w:val="clear" w:color="auto" w:fill="auto"/>
            <w:noWrap/>
          </w:tcPr>
          <w:p w:rsidR="00C51BA6" w:rsidRPr="001567C8" w:rsidRDefault="00C51BA6" w:rsidP="00C51BA6">
            <w:pPr>
              <w:spacing w:line="300" w:lineRule="exact"/>
              <w:jc w:val="right"/>
              <w:rPr>
                <w:rFonts w:asciiTheme="minorHAnsi" w:hAnsiTheme="minorHAnsi" w:cs="Arial"/>
                <w:b/>
                <w:sz w:val="20"/>
                <w:szCs w:val="20"/>
                <w:lang w:val="hr-HR"/>
              </w:rPr>
            </w:pPr>
          </w:p>
        </w:tc>
        <w:tc>
          <w:tcPr>
            <w:tcW w:w="1667" w:type="dxa"/>
            <w:tcBorders>
              <w:top w:val="nil"/>
              <w:left w:val="nil"/>
              <w:right w:val="nil"/>
            </w:tcBorders>
            <w:shd w:val="clear" w:color="auto" w:fill="auto"/>
            <w:noWrap/>
            <w:vAlign w:val="bottom"/>
          </w:tcPr>
          <w:p w:rsidR="00C51BA6" w:rsidRPr="001567C8" w:rsidRDefault="00C51BA6" w:rsidP="00C51BA6">
            <w:pPr>
              <w:spacing w:line="300" w:lineRule="exact"/>
              <w:jc w:val="right"/>
              <w:rPr>
                <w:rFonts w:asciiTheme="minorHAnsi" w:hAnsiTheme="minorHAnsi" w:cs="Arial"/>
                <w:b/>
                <w:sz w:val="20"/>
                <w:szCs w:val="20"/>
                <w:lang w:val="hr-HR"/>
              </w:rPr>
            </w:pPr>
          </w:p>
        </w:tc>
        <w:tc>
          <w:tcPr>
            <w:tcW w:w="1168" w:type="dxa"/>
            <w:tcBorders>
              <w:top w:val="nil"/>
              <w:left w:val="nil"/>
              <w:right w:val="nil"/>
            </w:tcBorders>
            <w:shd w:val="clear" w:color="auto" w:fill="auto"/>
            <w:noWrap/>
            <w:vAlign w:val="bottom"/>
          </w:tcPr>
          <w:p w:rsidR="00C51BA6" w:rsidRPr="001567C8" w:rsidRDefault="00C51BA6" w:rsidP="00C51BA6">
            <w:pPr>
              <w:spacing w:line="300" w:lineRule="exact"/>
              <w:jc w:val="right"/>
              <w:rPr>
                <w:rFonts w:asciiTheme="minorHAnsi" w:hAnsiTheme="minorHAnsi" w:cs="Arial"/>
                <w:b/>
                <w:sz w:val="20"/>
                <w:szCs w:val="20"/>
                <w:lang w:val="hr-HR"/>
              </w:rPr>
            </w:pPr>
          </w:p>
        </w:tc>
        <w:tc>
          <w:tcPr>
            <w:tcW w:w="1559" w:type="dxa"/>
            <w:tcBorders>
              <w:top w:val="nil"/>
              <w:left w:val="nil"/>
              <w:right w:val="nil"/>
            </w:tcBorders>
            <w:shd w:val="clear" w:color="auto" w:fill="auto"/>
            <w:noWrap/>
            <w:vAlign w:val="bottom"/>
          </w:tcPr>
          <w:p w:rsidR="00C51BA6" w:rsidRPr="001567C8" w:rsidRDefault="00C51BA6" w:rsidP="00C51BA6">
            <w:pPr>
              <w:spacing w:line="300" w:lineRule="exact"/>
              <w:jc w:val="right"/>
              <w:rPr>
                <w:rFonts w:asciiTheme="minorHAnsi" w:hAnsiTheme="minorHAnsi" w:cs="Arial"/>
                <w:b/>
                <w:sz w:val="20"/>
                <w:szCs w:val="20"/>
                <w:lang w:val="hr-HR"/>
              </w:rPr>
            </w:pPr>
          </w:p>
        </w:tc>
        <w:tc>
          <w:tcPr>
            <w:tcW w:w="1134" w:type="dxa"/>
            <w:tcBorders>
              <w:top w:val="nil"/>
              <w:left w:val="nil"/>
              <w:right w:val="nil"/>
            </w:tcBorders>
            <w:shd w:val="clear" w:color="auto" w:fill="auto"/>
            <w:noWrap/>
            <w:vAlign w:val="bottom"/>
          </w:tcPr>
          <w:p w:rsidR="00C51BA6" w:rsidRPr="001567C8" w:rsidRDefault="00C51BA6" w:rsidP="00C51BA6">
            <w:pPr>
              <w:spacing w:line="300" w:lineRule="exact"/>
              <w:jc w:val="right"/>
              <w:rPr>
                <w:rFonts w:asciiTheme="minorHAnsi" w:hAnsiTheme="minorHAnsi" w:cs="Arial"/>
                <w:b/>
                <w:sz w:val="20"/>
                <w:szCs w:val="20"/>
                <w:lang w:val="hr-HR"/>
              </w:rPr>
            </w:pPr>
          </w:p>
        </w:tc>
      </w:tr>
      <w:tr w:rsidR="009A32BD" w:rsidRPr="001567C8" w:rsidTr="003C6BA3">
        <w:trPr>
          <w:trHeight w:val="600"/>
        </w:trPr>
        <w:tc>
          <w:tcPr>
            <w:tcW w:w="3261" w:type="dxa"/>
            <w:tcBorders>
              <w:left w:val="nil"/>
              <w:right w:val="nil"/>
            </w:tcBorders>
            <w:shd w:val="clear" w:color="auto" w:fill="auto"/>
          </w:tcPr>
          <w:p w:rsidR="00C51BA6" w:rsidRPr="001567C8" w:rsidRDefault="00EB0614" w:rsidP="002D751A">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201</w:t>
            </w:r>
            <w:r w:rsidR="00D95C8A" w:rsidRPr="001567C8">
              <w:rPr>
                <w:rFonts w:asciiTheme="minorHAnsi" w:hAnsiTheme="minorHAnsi" w:cs="Arial"/>
                <w:b/>
                <w:bCs/>
                <w:sz w:val="20"/>
                <w:szCs w:val="20"/>
                <w:lang w:val="hr-HR"/>
              </w:rPr>
              <w:t>8</w:t>
            </w:r>
            <w:r w:rsidR="00B7630E" w:rsidRPr="001567C8">
              <w:rPr>
                <w:rFonts w:asciiTheme="minorHAnsi" w:hAnsiTheme="minorHAnsi" w:cs="Arial"/>
                <w:b/>
                <w:bCs/>
                <w:sz w:val="20"/>
                <w:szCs w:val="20"/>
                <w:lang w:val="hr-HR"/>
              </w:rPr>
              <w:t>.</w:t>
            </w:r>
            <w:r w:rsidR="000478F3" w:rsidRPr="001567C8">
              <w:rPr>
                <w:rFonts w:asciiTheme="minorHAnsi" w:hAnsiTheme="minorHAnsi" w:cs="Arial"/>
                <w:b/>
                <w:bCs/>
                <w:sz w:val="20"/>
                <w:szCs w:val="20"/>
                <w:lang w:val="hr-HR"/>
              </w:rPr>
              <w:t xml:space="preserve"> godina</w:t>
            </w:r>
          </w:p>
        </w:tc>
        <w:tc>
          <w:tcPr>
            <w:tcW w:w="1134" w:type="dxa"/>
            <w:tcBorders>
              <w:left w:val="nil"/>
              <w:right w:val="nil"/>
            </w:tcBorders>
            <w:shd w:val="clear" w:color="auto" w:fill="auto"/>
          </w:tcPr>
          <w:p w:rsidR="00C51BA6" w:rsidRPr="001567C8" w:rsidRDefault="00C51BA6" w:rsidP="00C51BA6">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Bankarske aktivnosti</w:t>
            </w:r>
          </w:p>
        </w:tc>
        <w:tc>
          <w:tcPr>
            <w:tcW w:w="1667" w:type="dxa"/>
            <w:tcBorders>
              <w:left w:val="nil"/>
              <w:right w:val="nil"/>
            </w:tcBorders>
            <w:shd w:val="clear" w:color="auto" w:fill="auto"/>
          </w:tcPr>
          <w:p w:rsidR="00C51BA6" w:rsidRPr="001567C8" w:rsidRDefault="00C51BA6" w:rsidP="00C51BA6">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Osiguravateljske aktivnosti</w:t>
            </w:r>
          </w:p>
        </w:tc>
        <w:tc>
          <w:tcPr>
            <w:tcW w:w="1168" w:type="dxa"/>
            <w:tcBorders>
              <w:left w:val="nil"/>
              <w:right w:val="nil"/>
            </w:tcBorders>
            <w:shd w:val="clear" w:color="auto" w:fill="auto"/>
          </w:tcPr>
          <w:p w:rsidR="00C51BA6" w:rsidRPr="001567C8" w:rsidRDefault="00C51BA6" w:rsidP="00C51BA6">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Ostale aktivnosti</w:t>
            </w:r>
          </w:p>
        </w:tc>
        <w:tc>
          <w:tcPr>
            <w:tcW w:w="1559" w:type="dxa"/>
            <w:tcBorders>
              <w:left w:val="nil"/>
              <w:right w:val="nil"/>
            </w:tcBorders>
            <w:shd w:val="clear" w:color="auto" w:fill="auto"/>
          </w:tcPr>
          <w:p w:rsidR="00C51BA6" w:rsidRPr="001567C8" w:rsidRDefault="00C51BA6" w:rsidP="00C51BA6">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Neraspoređeno</w:t>
            </w:r>
          </w:p>
        </w:tc>
        <w:tc>
          <w:tcPr>
            <w:tcW w:w="1134" w:type="dxa"/>
            <w:tcBorders>
              <w:left w:val="nil"/>
              <w:right w:val="nil"/>
            </w:tcBorders>
            <w:shd w:val="clear" w:color="auto" w:fill="auto"/>
          </w:tcPr>
          <w:p w:rsidR="00C51BA6" w:rsidRPr="001567C8" w:rsidRDefault="00B7630E" w:rsidP="00C51BA6">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Ukupno</w:t>
            </w:r>
          </w:p>
        </w:tc>
      </w:tr>
      <w:tr w:rsidR="009A32BD" w:rsidRPr="001567C8" w:rsidTr="003C6BA3">
        <w:trPr>
          <w:trHeight w:val="234"/>
        </w:trPr>
        <w:tc>
          <w:tcPr>
            <w:tcW w:w="3261" w:type="dxa"/>
            <w:tcBorders>
              <w:left w:val="nil"/>
              <w:bottom w:val="nil"/>
              <w:right w:val="nil"/>
            </w:tcBorders>
            <w:shd w:val="clear" w:color="auto" w:fill="auto"/>
            <w:vAlign w:val="bottom"/>
          </w:tcPr>
          <w:p w:rsidR="00B7630E" w:rsidRPr="001567C8" w:rsidRDefault="00B7630E" w:rsidP="00EB0614">
            <w:pPr>
              <w:spacing w:line="300" w:lineRule="exact"/>
              <w:rPr>
                <w:rFonts w:asciiTheme="minorHAnsi" w:hAnsiTheme="minorHAnsi" w:cs="Arial"/>
                <w:b/>
                <w:bCs/>
                <w:sz w:val="20"/>
                <w:szCs w:val="20"/>
                <w:lang w:val="hr-HR"/>
              </w:rPr>
            </w:pPr>
          </w:p>
        </w:tc>
        <w:tc>
          <w:tcPr>
            <w:tcW w:w="1134" w:type="dxa"/>
            <w:tcBorders>
              <w:left w:val="nil"/>
              <w:bottom w:val="nil"/>
              <w:right w:val="nil"/>
            </w:tcBorders>
            <w:shd w:val="clear" w:color="auto" w:fill="auto"/>
            <w:noWrap/>
            <w:vAlign w:val="bottom"/>
          </w:tcPr>
          <w:p w:rsidR="00B7630E" w:rsidRPr="001567C8" w:rsidRDefault="00B7630E" w:rsidP="00EB0614">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c>
          <w:tcPr>
            <w:tcW w:w="1667" w:type="dxa"/>
            <w:tcBorders>
              <w:left w:val="nil"/>
              <w:bottom w:val="nil"/>
              <w:right w:val="nil"/>
            </w:tcBorders>
            <w:shd w:val="clear" w:color="auto" w:fill="auto"/>
            <w:noWrap/>
            <w:vAlign w:val="bottom"/>
          </w:tcPr>
          <w:p w:rsidR="00B7630E" w:rsidRPr="001567C8" w:rsidRDefault="00B7630E" w:rsidP="00EB0614">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c>
          <w:tcPr>
            <w:tcW w:w="1168" w:type="dxa"/>
            <w:tcBorders>
              <w:left w:val="nil"/>
              <w:bottom w:val="nil"/>
              <w:right w:val="nil"/>
            </w:tcBorders>
            <w:shd w:val="clear" w:color="auto" w:fill="auto"/>
            <w:noWrap/>
            <w:vAlign w:val="bottom"/>
          </w:tcPr>
          <w:p w:rsidR="00B7630E" w:rsidRPr="001567C8" w:rsidRDefault="00B7630E" w:rsidP="00EB0614">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c>
          <w:tcPr>
            <w:tcW w:w="1559" w:type="dxa"/>
            <w:tcBorders>
              <w:left w:val="nil"/>
              <w:bottom w:val="nil"/>
              <w:right w:val="nil"/>
            </w:tcBorders>
            <w:shd w:val="clear" w:color="auto" w:fill="auto"/>
            <w:noWrap/>
            <w:vAlign w:val="bottom"/>
          </w:tcPr>
          <w:p w:rsidR="00B7630E" w:rsidRPr="001567C8" w:rsidRDefault="00B7630E" w:rsidP="00EB0614">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c>
          <w:tcPr>
            <w:tcW w:w="1134" w:type="dxa"/>
            <w:tcBorders>
              <w:left w:val="nil"/>
              <w:bottom w:val="nil"/>
              <w:right w:val="nil"/>
            </w:tcBorders>
            <w:shd w:val="clear" w:color="auto" w:fill="auto"/>
            <w:noWrap/>
            <w:vAlign w:val="bottom"/>
          </w:tcPr>
          <w:p w:rsidR="00B7630E" w:rsidRPr="001567C8" w:rsidRDefault="00B7630E" w:rsidP="00EB0614">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r>
      <w:tr w:rsidR="009A32BD" w:rsidRPr="001567C8" w:rsidTr="003C6BA3">
        <w:trPr>
          <w:trHeight w:val="59"/>
        </w:trPr>
        <w:tc>
          <w:tcPr>
            <w:tcW w:w="3261" w:type="dxa"/>
            <w:tcBorders>
              <w:top w:val="nil"/>
              <w:left w:val="nil"/>
              <w:bottom w:val="nil"/>
              <w:right w:val="nil"/>
            </w:tcBorders>
            <w:shd w:val="clear" w:color="auto" w:fill="auto"/>
            <w:vAlign w:val="bottom"/>
          </w:tcPr>
          <w:p w:rsidR="00C51BA6" w:rsidRPr="001567C8" w:rsidRDefault="00C51BA6" w:rsidP="00C51BA6">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C51BA6" w:rsidRPr="001567C8" w:rsidRDefault="00C51BA6" w:rsidP="00C51BA6">
            <w:pPr>
              <w:spacing w:line="140" w:lineRule="exact"/>
              <w:rPr>
                <w:rFonts w:asciiTheme="minorHAnsi" w:hAnsiTheme="minorHAnsi" w:cs="Arial"/>
                <w:sz w:val="20"/>
                <w:szCs w:val="20"/>
                <w:lang w:val="hr-HR"/>
              </w:rPr>
            </w:pPr>
          </w:p>
        </w:tc>
        <w:tc>
          <w:tcPr>
            <w:tcW w:w="1667" w:type="dxa"/>
            <w:tcBorders>
              <w:top w:val="nil"/>
              <w:left w:val="nil"/>
              <w:bottom w:val="nil"/>
              <w:right w:val="nil"/>
            </w:tcBorders>
            <w:shd w:val="clear" w:color="auto" w:fill="auto"/>
            <w:noWrap/>
            <w:vAlign w:val="bottom"/>
          </w:tcPr>
          <w:p w:rsidR="00C51BA6" w:rsidRPr="001567C8" w:rsidRDefault="00C51BA6" w:rsidP="00C51BA6">
            <w:pPr>
              <w:spacing w:line="140" w:lineRule="exact"/>
              <w:rPr>
                <w:rFonts w:asciiTheme="minorHAnsi" w:hAnsiTheme="minorHAnsi" w:cs="Arial"/>
                <w:sz w:val="20"/>
                <w:szCs w:val="20"/>
                <w:lang w:val="hr-HR"/>
              </w:rPr>
            </w:pPr>
          </w:p>
        </w:tc>
        <w:tc>
          <w:tcPr>
            <w:tcW w:w="1168" w:type="dxa"/>
            <w:tcBorders>
              <w:top w:val="nil"/>
              <w:left w:val="nil"/>
              <w:bottom w:val="nil"/>
              <w:right w:val="nil"/>
            </w:tcBorders>
            <w:shd w:val="clear" w:color="auto" w:fill="auto"/>
            <w:noWrap/>
            <w:vAlign w:val="bottom"/>
          </w:tcPr>
          <w:p w:rsidR="00C51BA6" w:rsidRPr="001567C8" w:rsidRDefault="00C51BA6" w:rsidP="00C51BA6">
            <w:pPr>
              <w:spacing w:line="140" w:lineRule="exact"/>
              <w:rPr>
                <w:rFonts w:asciiTheme="minorHAnsi" w:hAnsiTheme="minorHAnsi" w:cs="Arial"/>
                <w:sz w:val="20"/>
                <w:szCs w:val="20"/>
                <w:lang w:val="hr-HR"/>
              </w:rPr>
            </w:pPr>
          </w:p>
        </w:tc>
        <w:tc>
          <w:tcPr>
            <w:tcW w:w="1559" w:type="dxa"/>
            <w:tcBorders>
              <w:top w:val="nil"/>
              <w:left w:val="nil"/>
              <w:bottom w:val="nil"/>
              <w:right w:val="nil"/>
            </w:tcBorders>
            <w:shd w:val="clear" w:color="auto" w:fill="auto"/>
            <w:noWrap/>
            <w:vAlign w:val="bottom"/>
          </w:tcPr>
          <w:p w:rsidR="00C51BA6" w:rsidRPr="001567C8" w:rsidRDefault="00C51BA6" w:rsidP="00C51BA6">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C51BA6" w:rsidRPr="001567C8" w:rsidRDefault="00C51BA6" w:rsidP="00C51BA6">
            <w:pPr>
              <w:spacing w:line="140" w:lineRule="exact"/>
              <w:rPr>
                <w:rFonts w:asciiTheme="minorHAnsi" w:hAnsiTheme="minorHAnsi" w:cs="Arial"/>
                <w:sz w:val="20"/>
                <w:szCs w:val="20"/>
                <w:lang w:val="hr-HR"/>
              </w:rPr>
            </w:pPr>
          </w:p>
        </w:tc>
      </w:tr>
      <w:tr w:rsidR="00510575" w:rsidRPr="001567C8" w:rsidTr="003C6BA3">
        <w:trPr>
          <w:trHeight w:val="300"/>
        </w:trPr>
        <w:tc>
          <w:tcPr>
            <w:tcW w:w="3261" w:type="dxa"/>
            <w:tcBorders>
              <w:top w:val="nil"/>
              <w:left w:val="nil"/>
              <w:bottom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Neto prihod od kamata</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375.642</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1.375</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377.017</w:t>
            </w:r>
          </w:p>
        </w:tc>
      </w:tr>
      <w:tr w:rsidR="00510575" w:rsidRPr="001567C8" w:rsidTr="003C6BA3">
        <w:trPr>
          <w:trHeight w:val="300"/>
        </w:trPr>
        <w:tc>
          <w:tcPr>
            <w:tcW w:w="3261" w:type="dxa"/>
            <w:tcBorders>
              <w:top w:val="nil"/>
              <w:left w:val="nil"/>
              <w:bottom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Neto prihod od naknada</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38.650</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1.281</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1.274</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41.205</w:t>
            </w:r>
          </w:p>
        </w:tc>
      </w:tr>
      <w:tr w:rsidR="00510575" w:rsidRPr="001567C8" w:rsidTr="003C6BA3">
        <w:trPr>
          <w:trHeight w:val="280"/>
        </w:trPr>
        <w:tc>
          <w:tcPr>
            <w:tcW w:w="3261" w:type="dxa"/>
            <w:tcBorders>
              <w:top w:val="nil"/>
              <w:left w:val="nil"/>
              <w:bottom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 xml:space="preserve">Neto prihodi od financijskih aktivnosti </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9.506</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(272</w:t>
            </w:r>
            <w:r w:rsidRPr="001567C8">
              <w:rPr>
                <w:rFonts w:asciiTheme="minorHAnsi" w:hAnsiTheme="minorHAnsi" w:cs="Arial"/>
                <w:sz w:val="20"/>
                <w:szCs w:val="20"/>
                <w:lang w:val="hr-HR"/>
              </w:rPr>
              <w:t>)</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9.234</w:t>
            </w:r>
            <w:r w:rsidRPr="001567C8" w:rsidDel="00D95C8A">
              <w:rPr>
                <w:rFonts w:asciiTheme="minorHAnsi" w:hAnsiTheme="minorHAnsi" w:cs="Arial"/>
                <w:sz w:val="20"/>
                <w:szCs w:val="20"/>
                <w:lang w:val="hr-HR"/>
              </w:rPr>
              <w:t xml:space="preserve"> </w:t>
            </w:r>
          </w:p>
        </w:tc>
      </w:tr>
      <w:tr w:rsidR="00AC77AB" w:rsidRPr="001567C8" w:rsidTr="003C6BA3">
        <w:trPr>
          <w:trHeight w:val="300"/>
        </w:trPr>
        <w:tc>
          <w:tcPr>
            <w:tcW w:w="3261" w:type="dxa"/>
            <w:tcBorders>
              <w:top w:val="nil"/>
              <w:left w:val="nil"/>
              <w:bottom w:val="nil"/>
              <w:right w:val="nil"/>
            </w:tcBorders>
            <w:shd w:val="clear" w:color="auto" w:fill="auto"/>
            <w:vAlign w:val="bottom"/>
          </w:tcPr>
          <w:p w:rsidR="00AC77AB" w:rsidRPr="001567C8" w:rsidRDefault="00AC77AB" w:rsidP="00AC77AB">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Neto zarađene premije</w:t>
            </w:r>
          </w:p>
        </w:tc>
        <w:tc>
          <w:tcPr>
            <w:tcW w:w="1134" w:type="dxa"/>
            <w:tcBorders>
              <w:top w:val="nil"/>
              <w:left w:val="nil"/>
              <w:bottom w:val="nil"/>
              <w:right w:val="nil"/>
            </w:tcBorders>
            <w:shd w:val="clear" w:color="auto" w:fill="auto"/>
            <w:noWrap/>
            <w:vAlign w:val="bottom"/>
          </w:tcPr>
          <w:p w:rsidR="00AC77AB"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667" w:type="dxa"/>
            <w:tcBorders>
              <w:top w:val="nil"/>
              <w:left w:val="nil"/>
              <w:bottom w:val="nil"/>
              <w:right w:val="nil"/>
            </w:tcBorders>
            <w:shd w:val="clear" w:color="auto" w:fill="auto"/>
            <w:noWrap/>
            <w:vAlign w:val="bottom"/>
          </w:tcPr>
          <w:p w:rsidR="00AC77AB"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6.417</w:t>
            </w:r>
          </w:p>
        </w:tc>
        <w:tc>
          <w:tcPr>
            <w:tcW w:w="1168" w:type="dxa"/>
            <w:tcBorders>
              <w:top w:val="nil"/>
              <w:left w:val="nil"/>
              <w:bottom w:val="nil"/>
              <w:right w:val="nil"/>
            </w:tcBorders>
            <w:shd w:val="clear" w:color="auto" w:fill="auto"/>
            <w:noWrap/>
            <w:vAlign w:val="bottom"/>
          </w:tcPr>
          <w:p w:rsidR="00AC77AB"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59" w:type="dxa"/>
            <w:tcBorders>
              <w:top w:val="nil"/>
              <w:left w:val="nil"/>
              <w:bottom w:val="nil"/>
              <w:right w:val="nil"/>
            </w:tcBorders>
            <w:shd w:val="clear" w:color="auto" w:fill="auto"/>
            <w:noWrap/>
            <w:vAlign w:val="bottom"/>
          </w:tcPr>
          <w:p w:rsidR="00AC77AB"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AC77AB"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6.417</w:t>
            </w:r>
          </w:p>
        </w:tc>
      </w:tr>
      <w:tr w:rsidR="00510575" w:rsidRPr="001567C8" w:rsidTr="003C6BA3">
        <w:trPr>
          <w:trHeight w:val="300"/>
        </w:trPr>
        <w:tc>
          <w:tcPr>
            <w:tcW w:w="3261" w:type="dxa"/>
            <w:tcBorders>
              <w:top w:val="nil"/>
              <w:left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Ostali prihodi</w:t>
            </w:r>
          </w:p>
        </w:tc>
        <w:tc>
          <w:tcPr>
            <w:tcW w:w="1134" w:type="dxa"/>
            <w:tcBorders>
              <w:top w:val="nil"/>
              <w:left w:val="nil"/>
              <w:bottom w:val="single" w:sz="2"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7.596</w:t>
            </w:r>
          </w:p>
        </w:tc>
        <w:tc>
          <w:tcPr>
            <w:tcW w:w="1667" w:type="dxa"/>
            <w:tcBorders>
              <w:top w:val="nil"/>
              <w:left w:val="nil"/>
              <w:bottom w:val="single" w:sz="2"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74</w:t>
            </w:r>
          </w:p>
        </w:tc>
        <w:tc>
          <w:tcPr>
            <w:tcW w:w="1168" w:type="dxa"/>
            <w:tcBorders>
              <w:top w:val="nil"/>
              <w:left w:val="nil"/>
              <w:bottom w:val="single" w:sz="2"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282</w:t>
            </w:r>
          </w:p>
        </w:tc>
        <w:tc>
          <w:tcPr>
            <w:tcW w:w="1559" w:type="dxa"/>
            <w:tcBorders>
              <w:top w:val="nil"/>
              <w:left w:val="nil"/>
              <w:bottom w:val="single" w:sz="2" w:space="0" w:color="auto"/>
              <w:right w:val="nil"/>
            </w:tcBorders>
            <w:shd w:val="clear" w:color="auto" w:fill="auto"/>
            <w:noWrap/>
            <w:vAlign w:val="bottom"/>
          </w:tcPr>
          <w:p w:rsidR="00510575" w:rsidRPr="001567C8" w:rsidRDefault="00C2433A"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r w:rsidR="00510575" w:rsidRPr="00CD3A2D">
              <w:rPr>
                <w:rFonts w:asciiTheme="minorHAnsi" w:hAnsiTheme="minorHAnsi"/>
                <w:sz w:val="20"/>
                <w:szCs w:val="20"/>
                <w:lang w:val="hr-HR"/>
              </w:rPr>
              <w:t>271</w:t>
            </w:r>
            <w:r w:rsidRPr="001567C8">
              <w:rPr>
                <w:rFonts w:asciiTheme="minorHAnsi" w:hAnsiTheme="minorHAnsi" w:cs="Arial"/>
                <w:sz w:val="20"/>
                <w:szCs w:val="20"/>
                <w:lang w:val="hr-HR"/>
              </w:rPr>
              <w:t>)</w:t>
            </w:r>
          </w:p>
        </w:tc>
        <w:tc>
          <w:tcPr>
            <w:tcW w:w="1134" w:type="dxa"/>
            <w:tcBorders>
              <w:top w:val="nil"/>
              <w:left w:val="nil"/>
              <w:bottom w:val="single" w:sz="2"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7.681</w:t>
            </w:r>
          </w:p>
        </w:tc>
      </w:tr>
      <w:tr w:rsidR="00510575" w:rsidRPr="001567C8" w:rsidTr="003C6BA3">
        <w:trPr>
          <w:trHeight w:val="300"/>
        </w:trPr>
        <w:tc>
          <w:tcPr>
            <w:tcW w:w="3261" w:type="dxa"/>
            <w:tcBorders>
              <w:left w:val="nil"/>
              <w:right w:val="nil"/>
            </w:tcBorders>
            <w:shd w:val="clear" w:color="auto" w:fill="auto"/>
            <w:vAlign w:val="bottom"/>
          </w:tcPr>
          <w:p w:rsidR="00510575" w:rsidRPr="001567C8" w:rsidRDefault="00510575"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Prihod iz poslovanja</w:t>
            </w:r>
          </w:p>
        </w:tc>
        <w:tc>
          <w:tcPr>
            <w:tcW w:w="1134" w:type="dxa"/>
            <w:tcBorders>
              <w:top w:val="single" w:sz="2"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431.394</w:t>
            </w:r>
          </w:p>
        </w:tc>
        <w:tc>
          <w:tcPr>
            <w:tcW w:w="1667" w:type="dxa"/>
            <w:tcBorders>
              <w:top w:val="single" w:sz="2"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8.875</w:t>
            </w:r>
          </w:p>
        </w:tc>
        <w:tc>
          <w:tcPr>
            <w:tcW w:w="1168" w:type="dxa"/>
            <w:tcBorders>
              <w:top w:val="single" w:sz="2"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1.556</w:t>
            </w:r>
          </w:p>
        </w:tc>
        <w:tc>
          <w:tcPr>
            <w:tcW w:w="1559" w:type="dxa"/>
            <w:tcBorders>
              <w:top w:val="single" w:sz="2" w:space="0" w:color="auto"/>
              <w:left w:val="nil"/>
              <w:bottom w:val="single" w:sz="8" w:space="0" w:color="auto"/>
              <w:right w:val="nil"/>
            </w:tcBorders>
            <w:shd w:val="clear" w:color="auto" w:fill="auto"/>
            <w:noWrap/>
            <w:vAlign w:val="bottom"/>
          </w:tcPr>
          <w:p w:rsidR="00510575" w:rsidRPr="001567C8" w:rsidRDefault="00C2433A"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w:t>
            </w:r>
            <w:r w:rsidR="00510575" w:rsidRPr="00CD3A2D">
              <w:rPr>
                <w:rFonts w:asciiTheme="minorHAnsi" w:hAnsiTheme="minorHAnsi"/>
                <w:b/>
                <w:sz w:val="20"/>
                <w:szCs w:val="20"/>
                <w:lang w:val="hr-HR"/>
              </w:rPr>
              <w:t>271</w:t>
            </w:r>
            <w:r w:rsidRPr="00CD3A2D">
              <w:rPr>
                <w:rFonts w:asciiTheme="minorHAnsi" w:hAnsiTheme="minorHAnsi"/>
                <w:b/>
                <w:sz w:val="20"/>
                <w:szCs w:val="20"/>
                <w:lang w:val="hr-HR"/>
              </w:rPr>
              <w:t>)</w:t>
            </w:r>
          </w:p>
        </w:tc>
        <w:tc>
          <w:tcPr>
            <w:tcW w:w="1134" w:type="dxa"/>
            <w:tcBorders>
              <w:top w:val="single" w:sz="2"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441.554</w:t>
            </w:r>
          </w:p>
        </w:tc>
      </w:tr>
      <w:tr w:rsidR="00AC77AB" w:rsidRPr="001567C8" w:rsidTr="003C6BA3">
        <w:trPr>
          <w:trHeight w:val="60"/>
        </w:trPr>
        <w:tc>
          <w:tcPr>
            <w:tcW w:w="3261" w:type="dxa"/>
            <w:tcBorders>
              <w:left w:val="nil"/>
              <w:bottom w:val="nil"/>
              <w:right w:val="nil"/>
            </w:tcBorders>
            <w:shd w:val="clear" w:color="auto" w:fill="auto"/>
            <w:vAlign w:val="bottom"/>
          </w:tcPr>
          <w:p w:rsidR="00AC77AB" w:rsidRPr="001567C8" w:rsidRDefault="00AC77AB" w:rsidP="00AC77AB">
            <w:pPr>
              <w:spacing w:line="140" w:lineRule="exact"/>
              <w:rPr>
                <w:rFonts w:asciiTheme="minorHAnsi" w:hAnsiTheme="minorHAnsi" w:cs="Arial"/>
                <w:sz w:val="20"/>
                <w:szCs w:val="20"/>
                <w:lang w:val="hr-HR"/>
              </w:rPr>
            </w:pPr>
          </w:p>
        </w:tc>
        <w:tc>
          <w:tcPr>
            <w:tcW w:w="1134" w:type="dxa"/>
            <w:tcBorders>
              <w:top w:val="single" w:sz="4" w:space="0" w:color="auto"/>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667" w:type="dxa"/>
            <w:tcBorders>
              <w:top w:val="single" w:sz="4" w:space="0" w:color="auto"/>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168" w:type="dxa"/>
            <w:tcBorders>
              <w:top w:val="single" w:sz="4" w:space="0" w:color="auto"/>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559" w:type="dxa"/>
            <w:tcBorders>
              <w:top w:val="single" w:sz="4" w:space="0" w:color="auto"/>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134" w:type="dxa"/>
            <w:tcBorders>
              <w:top w:val="single" w:sz="4" w:space="0" w:color="auto"/>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r>
      <w:tr w:rsidR="00510575" w:rsidRPr="001567C8" w:rsidTr="003C6BA3">
        <w:trPr>
          <w:trHeight w:val="300"/>
        </w:trPr>
        <w:tc>
          <w:tcPr>
            <w:tcW w:w="3261" w:type="dxa"/>
            <w:tcBorders>
              <w:top w:val="nil"/>
              <w:left w:val="nil"/>
              <w:bottom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Operativni troškovi</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(161.160</w:t>
            </w:r>
            <w:r w:rsidRPr="001567C8">
              <w:rPr>
                <w:rFonts w:asciiTheme="minorHAnsi" w:hAnsiTheme="minorHAnsi" w:cs="Arial"/>
                <w:sz w:val="20"/>
                <w:szCs w:val="20"/>
                <w:lang w:val="hr-HR"/>
              </w:rPr>
              <w:t>)</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(5.747)</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(1.268</w:t>
            </w:r>
            <w:r w:rsidRPr="001567C8">
              <w:rPr>
                <w:rFonts w:asciiTheme="minorHAnsi" w:hAnsiTheme="minorHAnsi" w:cs="Arial"/>
                <w:sz w:val="20"/>
                <w:szCs w:val="20"/>
                <w:lang w:val="hr-HR"/>
              </w:rPr>
              <w:t>)</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272</w:t>
            </w:r>
          </w:p>
        </w:tc>
        <w:tc>
          <w:tcPr>
            <w:tcW w:w="1134" w:type="dxa"/>
            <w:tcBorders>
              <w:top w:val="nil"/>
              <w:left w:val="nil"/>
              <w:bottom w:val="nil"/>
              <w:right w:val="nil"/>
            </w:tcBorders>
            <w:shd w:val="clear" w:color="auto" w:fill="auto"/>
            <w:noWrap/>
            <w:vAlign w:val="bottom"/>
          </w:tcPr>
          <w:p w:rsidR="00510575" w:rsidRPr="001567C8" w:rsidRDefault="00C2433A"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r w:rsidR="00510575" w:rsidRPr="00CD3A2D">
              <w:rPr>
                <w:rFonts w:asciiTheme="minorHAnsi" w:hAnsiTheme="minorHAnsi"/>
                <w:sz w:val="20"/>
                <w:szCs w:val="20"/>
                <w:lang w:val="hr-HR"/>
              </w:rPr>
              <w:t>167.903</w:t>
            </w:r>
            <w:r w:rsidRPr="001567C8">
              <w:rPr>
                <w:rFonts w:asciiTheme="minorHAnsi" w:hAnsiTheme="minorHAnsi" w:cs="Arial"/>
                <w:sz w:val="20"/>
                <w:szCs w:val="20"/>
                <w:lang w:val="hr-HR"/>
              </w:rPr>
              <w:t>)</w:t>
            </w:r>
          </w:p>
        </w:tc>
      </w:tr>
      <w:tr w:rsidR="00510575" w:rsidRPr="001567C8" w:rsidTr="003C6BA3">
        <w:trPr>
          <w:trHeight w:val="600"/>
        </w:trPr>
        <w:tc>
          <w:tcPr>
            <w:tcW w:w="3261" w:type="dxa"/>
            <w:tcBorders>
              <w:top w:val="nil"/>
              <w:left w:val="nil"/>
              <w:bottom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Gubitak od umanjenja vrijednosti i rezerviranja</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(65.906)</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(69</w:t>
            </w:r>
            <w:r w:rsidRPr="001567C8">
              <w:rPr>
                <w:rFonts w:asciiTheme="minorHAnsi" w:hAnsiTheme="minorHAnsi" w:cs="Arial"/>
                <w:sz w:val="20"/>
                <w:szCs w:val="20"/>
                <w:lang w:val="hr-HR"/>
              </w:rPr>
              <w:t>)</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84</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p>
        </w:tc>
        <w:tc>
          <w:tcPr>
            <w:tcW w:w="1134" w:type="dxa"/>
            <w:tcBorders>
              <w:top w:val="nil"/>
              <w:left w:val="nil"/>
              <w:bottom w:val="nil"/>
              <w:right w:val="nil"/>
            </w:tcBorders>
            <w:shd w:val="clear" w:color="auto" w:fill="auto"/>
            <w:noWrap/>
            <w:vAlign w:val="bottom"/>
          </w:tcPr>
          <w:p w:rsidR="00510575" w:rsidRPr="001567C8" w:rsidRDefault="00C2433A"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r w:rsidR="00510575" w:rsidRPr="00CD3A2D">
              <w:rPr>
                <w:rFonts w:asciiTheme="minorHAnsi" w:hAnsiTheme="minorHAnsi"/>
                <w:sz w:val="20"/>
                <w:szCs w:val="20"/>
                <w:lang w:val="hr-HR"/>
              </w:rPr>
              <w:t>65.891</w:t>
            </w:r>
            <w:r w:rsidRPr="00CD3A2D">
              <w:rPr>
                <w:rFonts w:asciiTheme="minorHAnsi" w:hAnsiTheme="minorHAnsi"/>
                <w:sz w:val="20"/>
                <w:szCs w:val="20"/>
                <w:lang w:val="hr-HR"/>
              </w:rPr>
              <w:t>)</w:t>
            </w:r>
          </w:p>
        </w:tc>
      </w:tr>
      <w:tr w:rsidR="00510575" w:rsidRPr="001567C8" w:rsidTr="003C6BA3">
        <w:trPr>
          <w:trHeight w:val="310"/>
        </w:trPr>
        <w:tc>
          <w:tcPr>
            <w:tcW w:w="3261" w:type="dxa"/>
            <w:tcBorders>
              <w:top w:val="nil"/>
              <w:left w:val="nil"/>
              <w:bottom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Izdaci za osigurane slučajeve</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(3.396)</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510575" w:rsidRPr="001567C8" w:rsidRDefault="00C2433A"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r w:rsidR="00510575" w:rsidRPr="00CD3A2D">
              <w:rPr>
                <w:rFonts w:asciiTheme="minorHAnsi" w:hAnsiTheme="minorHAnsi"/>
                <w:sz w:val="20"/>
                <w:szCs w:val="20"/>
                <w:lang w:val="hr-HR"/>
              </w:rPr>
              <w:t>3.396</w:t>
            </w:r>
            <w:r w:rsidRPr="001567C8">
              <w:rPr>
                <w:rFonts w:asciiTheme="minorHAnsi" w:hAnsiTheme="minorHAnsi" w:cs="Arial"/>
                <w:sz w:val="20"/>
                <w:szCs w:val="20"/>
                <w:lang w:val="hr-HR"/>
              </w:rPr>
              <w:t>)</w:t>
            </w:r>
          </w:p>
        </w:tc>
      </w:tr>
      <w:tr w:rsidR="00510575" w:rsidRPr="001567C8" w:rsidTr="003C6BA3">
        <w:trPr>
          <w:trHeight w:val="300"/>
        </w:trPr>
        <w:tc>
          <w:tcPr>
            <w:tcW w:w="3261" w:type="dxa"/>
            <w:tcBorders>
              <w:top w:val="nil"/>
              <w:left w:val="nil"/>
              <w:bottom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Neto promjena pričuva</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658</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658</w:t>
            </w:r>
          </w:p>
        </w:tc>
      </w:tr>
      <w:tr w:rsidR="00510575" w:rsidRPr="001567C8" w:rsidTr="003C6BA3">
        <w:trPr>
          <w:trHeight w:val="300"/>
        </w:trPr>
        <w:tc>
          <w:tcPr>
            <w:tcW w:w="3261" w:type="dxa"/>
            <w:tcBorders>
              <w:top w:val="nil"/>
              <w:left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Ostali rashodi</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p>
        </w:tc>
        <w:tc>
          <w:tcPr>
            <w:tcW w:w="1667" w:type="dxa"/>
            <w:tcBorders>
              <w:top w:val="nil"/>
              <w:left w:val="nil"/>
              <w:bottom w:val="nil"/>
              <w:right w:val="nil"/>
            </w:tcBorders>
            <w:shd w:val="clear" w:color="auto" w:fill="auto"/>
            <w:noWrap/>
            <w:vAlign w:val="bottom"/>
          </w:tcPr>
          <w:p w:rsidR="00510575" w:rsidRPr="001567C8" w:rsidRDefault="0017604D"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(259)</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510575" w:rsidRPr="001567C8" w:rsidRDefault="0017604D"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(259)</w:t>
            </w:r>
          </w:p>
        </w:tc>
      </w:tr>
      <w:tr w:rsidR="00510575" w:rsidRPr="001567C8" w:rsidTr="003C6BA3">
        <w:trPr>
          <w:trHeight w:val="300"/>
        </w:trPr>
        <w:tc>
          <w:tcPr>
            <w:tcW w:w="3261" w:type="dxa"/>
            <w:tcBorders>
              <w:left w:val="nil"/>
              <w:right w:val="nil"/>
            </w:tcBorders>
            <w:shd w:val="clear" w:color="auto" w:fill="auto"/>
            <w:vAlign w:val="bottom"/>
          </w:tcPr>
          <w:p w:rsidR="00510575" w:rsidRPr="001567C8" w:rsidRDefault="00510575"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Troškovi poslovanja</w:t>
            </w:r>
          </w:p>
        </w:tc>
        <w:tc>
          <w:tcPr>
            <w:tcW w:w="1134"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(227.066</w:t>
            </w:r>
            <w:r w:rsidRPr="001567C8">
              <w:rPr>
                <w:rFonts w:asciiTheme="minorHAnsi" w:hAnsiTheme="minorHAnsi" w:cs="Arial"/>
                <w:b/>
                <w:bCs/>
                <w:sz w:val="20"/>
                <w:szCs w:val="20"/>
                <w:lang w:val="hr-HR"/>
              </w:rPr>
              <w:t>)</w:t>
            </w:r>
          </w:p>
        </w:tc>
        <w:tc>
          <w:tcPr>
            <w:tcW w:w="1667"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(8.813</w:t>
            </w:r>
            <w:r w:rsidRPr="001567C8">
              <w:rPr>
                <w:rFonts w:asciiTheme="minorHAnsi" w:hAnsiTheme="minorHAnsi" w:cs="Arial"/>
                <w:b/>
                <w:bCs/>
                <w:sz w:val="20"/>
                <w:szCs w:val="20"/>
                <w:lang w:val="hr-HR"/>
              </w:rPr>
              <w:t>)</w:t>
            </w:r>
          </w:p>
        </w:tc>
        <w:tc>
          <w:tcPr>
            <w:tcW w:w="1168"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(1.184)</w:t>
            </w:r>
          </w:p>
        </w:tc>
        <w:tc>
          <w:tcPr>
            <w:tcW w:w="1559"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272</w:t>
            </w:r>
          </w:p>
        </w:tc>
        <w:tc>
          <w:tcPr>
            <w:tcW w:w="1134" w:type="dxa"/>
            <w:tcBorders>
              <w:top w:val="single" w:sz="4" w:space="0" w:color="auto"/>
              <w:left w:val="nil"/>
              <w:bottom w:val="single" w:sz="8" w:space="0" w:color="auto"/>
              <w:right w:val="nil"/>
            </w:tcBorders>
            <w:shd w:val="clear" w:color="auto" w:fill="auto"/>
            <w:noWrap/>
            <w:vAlign w:val="bottom"/>
          </w:tcPr>
          <w:p w:rsidR="00510575" w:rsidRPr="001567C8" w:rsidRDefault="00C2433A"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w:t>
            </w:r>
            <w:r w:rsidR="00510575" w:rsidRPr="00CD3A2D">
              <w:rPr>
                <w:rFonts w:asciiTheme="minorHAnsi" w:hAnsiTheme="minorHAnsi"/>
                <w:b/>
                <w:sz w:val="20"/>
                <w:szCs w:val="20"/>
                <w:lang w:val="hr-HR"/>
              </w:rPr>
              <w:t>236.791</w:t>
            </w:r>
            <w:r w:rsidRPr="00CD3A2D">
              <w:rPr>
                <w:rFonts w:asciiTheme="minorHAnsi" w:hAnsiTheme="minorHAnsi"/>
                <w:b/>
                <w:sz w:val="20"/>
                <w:szCs w:val="20"/>
                <w:lang w:val="hr-HR"/>
              </w:rPr>
              <w:t>)</w:t>
            </w:r>
          </w:p>
        </w:tc>
      </w:tr>
      <w:tr w:rsidR="00AC77AB" w:rsidRPr="001567C8" w:rsidTr="003C6BA3">
        <w:trPr>
          <w:trHeight w:val="174"/>
        </w:trPr>
        <w:tc>
          <w:tcPr>
            <w:tcW w:w="3261" w:type="dxa"/>
            <w:tcBorders>
              <w:left w:val="nil"/>
              <w:bottom w:val="nil"/>
              <w:right w:val="nil"/>
            </w:tcBorders>
            <w:shd w:val="clear" w:color="auto" w:fill="auto"/>
            <w:vAlign w:val="bottom"/>
          </w:tcPr>
          <w:p w:rsidR="00AC77AB" w:rsidRPr="001567C8" w:rsidRDefault="00AC77AB" w:rsidP="00AC77AB">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667"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168"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559"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r>
      <w:tr w:rsidR="00510575" w:rsidRPr="001567C8" w:rsidTr="003C6BA3">
        <w:trPr>
          <w:trHeight w:val="300"/>
        </w:trPr>
        <w:tc>
          <w:tcPr>
            <w:tcW w:w="3261" w:type="dxa"/>
            <w:tcBorders>
              <w:top w:val="nil"/>
              <w:left w:val="nil"/>
              <w:bottom w:val="nil"/>
              <w:right w:val="nil"/>
            </w:tcBorders>
            <w:shd w:val="clear" w:color="auto" w:fill="auto"/>
            <w:vAlign w:val="bottom"/>
          </w:tcPr>
          <w:p w:rsidR="00510575" w:rsidRPr="001567C8" w:rsidRDefault="00510575"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Dobit prije oporezivanja</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Cs/>
                <w:sz w:val="20"/>
                <w:szCs w:val="20"/>
                <w:lang w:val="hr-HR"/>
              </w:rPr>
            </w:pPr>
            <w:r w:rsidRPr="00CD3A2D">
              <w:rPr>
                <w:rFonts w:asciiTheme="minorHAnsi" w:hAnsiTheme="minorHAnsi"/>
                <w:sz w:val="20"/>
                <w:szCs w:val="20"/>
                <w:lang w:val="hr-HR"/>
              </w:rPr>
              <w:t>204.328</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Cs/>
                <w:sz w:val="20"/>
                <w:szCs w:val="20"/>
                <w:lang w:val="hr-HR"/>
              </w:rPr>
            </w:pPr>
            <w:r w:rsidRPr="00CD3A2D">
              <w:rPr>
                <w:rFonts w:asciiTheme="minorHAnsi" w:hAnsiTheme="minorHAnsi"/>
                <w:sz w:val="20"/>
                <w:szCs w:val="20"/>
                <w:lang w:val="hr-HR"/>
              </w:rPr>
              <w:t>62</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Cs/>
                <w:sz w:val="20"/>
                <w:szCs w:val="20"/>
                <w:lang w:val="hr-HR"/>
              </w:rPr>
            </w:pPr>
            <w:r w:rsidRPr="00CD3A2D">
              <w:rPr>
                <w:rFonts w:asciiTheme="minorHAnsi" w:hAnsiTheme="minorHAnsi"/>
                <w:sz w:val="20"/>
                <w:szCs w:val="20"/>
                <w:lang w:val="hr-HR"/>
              </w:rPr>
              <w:t>372</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Cs/>
                <w:sz w:val="20"/>
                <w:szCs w:val="20"/>
                <w:lang w:val="hr-HR"/>
              </w:rPr>
            </w:pPr>
            <w:r w:rsidRPr="00CD3A2D">
              <w:rPr>
                <w:rFonts w:asciiTheme="minorHAnsi" w:hAnsiTheme="minorHAnsi"/>
                <w:sz w:val="20"/>
                <w:szCs w:val="20"/>
                <w:lang w:val="hr-HR"/>
              </w:rPr>
              <w:t>1</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Cs/>
                <w:sz w:val="20"/>
                <w:szCs w:val="20"/>
                <w:lang w:val="hr-HR"/>
              </w:rPr>
            </w:pPr>
            <w:r w:rsidRPr="00CD3A2D">
              <w:rPr>
                <w:rFonts w:asciiTheme="minorHAnsi" w:hAnsiTheme="minorHAnsi"/>
                <w:sz w:val="20"/>
                <w:szCs w:val="20"/>
                <w:lang w:val="hr-HR"/>
              </w:rPr>
              <w:t>204.763</w:t>
            </w:r>
          </w:p>
        </w:tc>
      </w:tr>
      <w:tr w:rsidR="00510575" w:rsidRPr="001567C8" w:rsidTr="003C6BA3">
        <w:trPr>
          <w:trHeight w:val="300"/>
        </w:trPr>
        <w:tc>
          <w:tcPr>
            <w:tcW w:w="3261" w:type="dxa"/>
            <w:tcBorders>
              <w:top w:val="nil"/>
              <w:left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Porez na dobit</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bCs/>
                <w:sz w:val="20"/>
                <w:szCs w:val="20"/>
                <w:lang w:val="hr-HR"/>
              </w:rPr>
              <w:t>-</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(26</w:t>
            </w:r>
            <w:r w:rsidRPr="001567C8">
              <w:rPr>
                <w:rFonts w:asciiTheme="minorHAnsi" w:hAnsiTheme="minorHAnsi" w:cs="Arial"/>
                <w:bCs/>
                <w:sz w:val="20"/>
                <w:szCs w:val="20"/>
                <w:lang w:val="hr-HR"/>
              </w:rPr>
              <w:t>)</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1567C8">
              <w:rPr>
                <w:rFonts w:asciiTheme="minorHAnsi" w:hAnsiTheme="minorHAnsi" w:cs="Arial"/>
                <w:bCs/>
                <w:sz w:val="20"/>
                <w:szCs w:val="20"/>
                <w:lang w:val="hr-HR"/>
              </w:rPr>
              <w:t>-</w:t>
            </w:r>
          </w:p>
        </w:tc>
        <w:tc>
          <w:tcPr>
            <w:tcW w:w="1134" w:type="dxa"/>
            <w:tcBorders>
              <w:top w:val="nil"/>
              <w:left w:val="nil"/>
              <w:bottom w:val="nil"/>
              <w:right w:val="nil"/>
            </w:tcBorders>
            <w:shd w:val="clear" w:color="auto" w:fill="auto"/>
            <w:noWrap/>
            <w:vAlign w:val="bottom"/>
          </w:tcPr>
          <w:p w:rsidR="00510575" w:rsidRPr="001567C8" w:rsidRDefault="0017604D"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(26)</w:t>
            </w:r>
          </w:p>
        </w:tc>
      </w:tr>
      <w:tr w:rsidR="00510575" w:rsidRPr="001567C8" w:rsidTr="003C6BA3">
        <w:trPr>
          <w:trHeight w:val="315"/>
        </w:trPr>
        <w:tc>
          <w:tcPr>
            <w:tcW w:w="3261" w:type="dxa"/>
            <w:tcBorders>
              <w:left w:val="nil"/>
              <w:right w:val="nil"/>
            </w:tcBorders>
            <w:shd w:val="clear" w:color="auto" w:fill="auto"/>
            <w:vAlign w:val="bottom"/>
          </w:tcPr>
          <w:p w:rsidR="00510575" w:rsidRPr="001567C8" w:rsidRDefault="00510575"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Dobit za godinu</w:t>
            </w:r>
          </w:p>
        </w:tc>
        <w:tc>
          <w:tcPr>
            <w:tcW w:w="1134"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204.328</w:t>
            </w:r>
          </w:p>
        </w:tc>
        <w:tc>
          <w:tcPr>
            <w:tcW w:w="1667"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62</w:t>
            </w:r>
          </w:p>
        </w:tc>
        <w:tc>
          <w:tcPr>
            <w:tcW w:w="1168"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346</w:t>
            </w:r>
          </w:p>
        </w:tc>
        <w:tc>
          <w:tcPr>
            <w:tcW w:w="1559"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1</w:t>
            </w:r>
          </w:p>
        </w:tc>
        <w:tc>
          <w:tcPr>
            <w:tcW w:w="1134"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204.737</w:t>
            </w:r>
          </w:p>
        </w:tc>
      </w:tr>
      <w:tr w:rsidR="00AC77AB" w:rsidRPr="001567C8" w:rsidTr="003C6BA3">
        <w:trPr>
          <w:trHeight w:val="52"/>
        </w:trPr>
        <w:tc>
          <w:tcPr>
            <w:tcW w:w="3261" w:type="dxa"/>
            <w:tcBorders>
              <w:left w:val="nil"/>
              <w:bottom w:val="nil"/>
              <w:right w:val="nil"/>
            </w:tcBorders>
            <w:shd w:val="clear" w:color="auto" w:fill="auto"/>
            <w:vAlign w:val="bottom"/>
          </w:tcPr>
          <w:p w:rsidR="00AC77AB" w:rsidRPr="001567C8" w:rsidRDefault="00AC77AB" w:rsidP="00AC77AB">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667"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168"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559"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r>
      <w:tr w:rsidR="00510575" w:rsidRPr="001567C8" w:rsidTr="003C6BA3">
        <w:trPr>
          <w:trHeight w:val="300"/>
        </w:trPr>
        <w:tc>
          <w:tcPr>
            <w:tcW w:w="3261" w:type="dxa"/>
            <w:tcBorders>
              <w:top w:val="nil"/>
              <w:left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Imovina segmenta</w:t>
            </w:r>
          </w:p>
        </w:tc>
        <w:tc>
          <w:tcPr>
            <w:tcW w:w="1134" w:type="dxa"/>
            <w:tcBorders>
              <w:top w:val="nil"/>
              <w:left w:val="nil"/>
              <w:bottom w:val="single" w:sz="4"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27.198.927</w:t>
            </w:r>
          </w:p>
        </w:tc>
        <w:tc>
          <w:tcPr>
            <w:tcW w:w="1667" w:type="dxa"/>
            <w:tcBorders>
              <w:top w:val="nil"/>
              <w:left w:val="nil"/>
              <w:bottom w:val="single" w:sz="4"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55.340</w:t>
            </w:r>
          </w:p>
        </w:tc>
        <w:tc>
          <w:tcPr>
            <w:tcW w:w="1168" w:type="dxa"/>
            <w:tcBorders>
              <w:top w:val="nil"/>
              <w:left w:val="nil"/>
              <w:bottom w:val="single" w:sz="4"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1.363</w:t>
            </w:r>
          </w:p>
        </w:tc>
        <w:tc>
          <w:tcPr>
            <w:tcW w:w="1559" w:type="dxa"/>
            <w:tcBorders>
              <w:top w:val="nil"/>
              <w:left w:val="nil"/>
              <w:bottom w:val="single" w:sz="4" w:space="0" w:color="auto"/>
              <w:right w:val="nil"/>
            </w:tcBorders>
            <w:shd w:val="clear" w:color="auto" w:fill="auto"/>
            <w:noWrap/>
            <w:vAlign w:val="bottom"/>
          </w:tcPr>
          <w:p w:rsidR="00510575" w:rsidRPr="001567C8" w:rsidRDefault="00C2433A"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w:t>
            </w:r>
            <w:r w:rsidR="00510575" w:rsidRPr="00CD3A2D">
              <w:rPr>
                <w:rFonts w:asciiTheme="minorHAnsi" w:hAnsiTheme="minorHAnsi"/>
                <w:sz w:val="20"/>
                <w:szCs w:val="20"/>
                <w:lang w:val="hr-HR"/>
              </w:rPr>
              <w:t>36.649</w:t>
            </w:r>
            <w:r w:rsidRPr="00CD3A2D">
              <w:rPr>
                <w:rFonts w:asciiTheme="minorHAnsi" w:hAnsiTheme="minorHAnsi" w:cs="Arial"/>
                <w:sz w:val="20"/>
                <w:szCs w:val="20"/>
                <w:lang w:val="hr-HR"/>
              </w:rPr>
              <w:t>)</w:t>
            </w:r>
          </w:p>
        </w:tc>
        <w:tc>
          <w:tcPr>
            <w:tcW w:w="1134" w:type="dxa"/>
            <w:tcBorders>
              <w:top w:val="nil"/>
              <w:left w:val="nil"/>
              <w:bottom w:val="single" w:sz="4"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27.218.981</w:t>
            </w:r>
          </w:p>
        </w:tc>
      </w:tr>
      <w:tr w:rsidR="00510575" w:rsidRPr="001567C8" w:rsidTr="003C6BA3">
        <w:trPr>
          <w:trHeight w:val="315"/>
        </w:trPr>
        <w:tc>
          <w:tcPr>
            <w:tcW w:w="3261" w:type="dxa"/>
            <w:tcBorders>
              <w:left w:val="nil"/>
              <w:right w:val="nil"/>
            </w:tcBorders>
            <w:shd w:val="clear" w:color="auto" w:fill="auto"/>
            <w:vAlign w:val="bottom"/>
          </w:tcPr>
          <w:p w:rsidR="00510575" w:rsidRPr="001567C8" w:rsidRDefault="00510575"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Ukupna imovina</w:t>
            </w:r>
          </w:p>
        </w:tc>
        <w:tc>
          <w:tcPr>
            <w:tcW w:w="1134" w:type="dxa"/>
            <w:tcBorders>
              <w:top w:val="nil"/>
              <w:left w:val="nil"/>
              <w:bottom w:val="single" w:sz="4"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sz w:val="20"/>
                <w:szCs w:val="20"/>
                <w:lang w:val="hr-HR"/>
              </w:rPr>
            </w:pPr>
            <w:r w:rsidRPr="00CD3A2D">
              <w:rPr>
                <w:rFonts w:asciiTheme="minorHAnsi" w:hAnsiTheme="minorHAnsi"/>
                <w:b/>
                <w:sz w:val="20"/>
                <w:szCs w:val="20"/>
                <w:lang w:val="hr-HR"/>
              </w:rPr>
              <w:t>27.198.927</w:t>
            </w:r>
          </w:p>
        </w:tc>
        <w:tc>
          <w:tcPr>
            <w:tcW w:w="1667" w:type="dxa"/>
            <w:tcBorders>
              <w:top w:val="nil"/>
              <w:left w:val="nil"/>
              <w:bottom w:val="single" w:sz="4"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sz w:val="20"/>
                <w:szCs w:val="20"/>
                <w:lang w:val="hr-HR"/>
              </w:rPr>
            </w:pPr>
            <w:r w:rsidRPr="00CD3A2D">
              <w:rPr>
                <w:rFonts w:asciiTheme="minorHAnsi" w:hAnsiTheme="minorHAnsi"/>
                <w:b/>
                <w:sz w:val="20"/>
                <w:szCs w:val="20"/>
                <w:lang w:val="hr-HR"/>
              </w:rPr>
              <w:t>55.340</w:t>
            </w:r>
          </w:p>
        </w:tc>
        <w:tc>
          <w:tcPr>
            <w:tcW w:w="1168" w:type="dxa"/>
            <w:tcBorders>
              <w:top w:val="nil"/>
              <w:left w:val="nil"/>
              <w:bottom w:val="single" w:sz="4"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sz w:val="20"/>
                <w:szCs w:val="20"/>
                <w:lang w:val="hr-HR"/>
              </w:rPr>
            </w:pPr>
            <w:r w:rsidRPr="00CD3A2D">
              <w:rPr>
                <w:rFonts w:asciiTheme="minorHAnsi" w:hAnsiTheme="minorHAnsi"/>
                <w:b/>
                <w:sz w:val="20"/>
                <w:szCs w:val="20"/>
                <w:lang w:val="hr-HR"/>
              </w:rPr>
              <w:t>1.363</w:t>
            </w:r>
          </w:p>
        </w:tc>
        <w:tc>
          <w:tcPr>
            <w:tcW w:w="1559" w:type="dxa"/>
            <w:tcBorders>
              <w:top w:val="nil"/>
              <w:left w:val="nil"/>
              <w:bottom w:val="single" w:sz="4"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sz w:val="20"/>
                <w:szCs w:val="20"/>
                <w:lang w:val="hr-HR"/>
              </w:rPr>
            </w:pPr>
            <w:r w:rsidRPr="00CD3A2D">
              <w:rPr>
                <w:rFonts w:asciiTheme="minorHAnsi" w:hAnsiTheme="minorHAnsi"/>
                <w:b/>
                <w:sz w:val="20"/>
                <w:szCs w:val="20"/>
                <w:lang w:val="hr-HR"/>
              </w:rPr>
              <w:t>(36.649</w:t>
            </w:r>
            <w:r w:rsidRPr="00CD3A2D">
              <w:rPr>
                <w:rFonts w:asciiTheme="minorHAnsi" w:hAnsiTheme="minorHAnsi" w:cs="Arial"/>
                <w:b/>
                <w:sz w:val="20"/>
                <w:szCs w:val="20"/>
                <w:lang w:val="hr-HR"/>
              </w:rPr>
              <w:t>)</w:t>
            </w:r>
          </w:p>
        </w:tc>
        <w:tc>
          <w:tcPr>
            <w:tcW w:w="1134" w:type="dxa"/>
            <w:tcBorders>
              <w:top w:val="nil"/>
              <w:left w:val="nil"/>
              <w:bottom w:val="single" w:sz="4"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sz w:val="20"/>
                <w:szCs w:val="20"/>
                <w:lang w:val="hr-HR"/>
              </w:rPr>
            </w:pPr>
            <w:r w:rsidRPr="00CD3A2D">
              <w:rPr>
                <w:rFonts w:asciiTheme="minorHAnsi" w:hAnsiTheme="minorHAnsi"/>
                <w:b/>
                <w:sz w:val="20"/>
                <w:szCs w:val="20"/>
                <w:lang w:val="hr-HR"/>
              </w:rPr>
              <w:t>27.218.981</w:t>
            </w:r>
          </w:p>
        </w:tc>
      </w:tr>
      <w:tr w:rsidR="00AC77AB" w:rsidRPr="001567C8" w:rsidTr="003C6BA3">
        <w:trPr>
          <w:trHeight w:val="121"/>
        </w:trPr>
        <w:tc>
          <w:tcPr>
            <w:tcW w:w="3261" w:type="dxa"/>
            <w:tcBorders>
              <w:left w:val="nil"/>
              <w:bottom w:val="nil"/>
              <w:right w:val="nil"/>
            </w:tcBorders>
            <w:shd w:val="clear" w:color="auto" w:fill="auto"/>
            <w:vAlign w:val="bottom"/>
          </w:tcPr>
          <w:p w:rsidR="00AC77AB" w:rsidRPr="001567C8" w:rsidRDefault="00AC77AB" w:rsidP="00AC77AB">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667"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168"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559"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AC77AB" w:rsidRPr="001567C8" w:rsidRDefault="00AC77AB" w:rsidP="00EE5455">
            <w:pPr>
              <w:spacing w:line="140" w:lineRule="exact"/>
              <w:jc w:val="right"/>
              <w:rPr>
                <w:rFonts w:asciiTheme="minorHAnsi" w:hAnsiTheme="minorHAnsi" w:cs="Arial"/>
                <w:sz w:val="20"/>
                <w:szCs w:val="20"/>
                <w:lang w:val="hr-HR"/>
              </w:rPr>
            </w:pPr>
          </w:p>
        </w:tc>
      </w:tr>
      <w:tr w:rsidR="00510575" w:rsidRPr="001567C8" w:rsidTr="003C6BA3">
        <w:trPr>
          <w:trHeight w:val="300"/>
        </w:trPr>
        <w:tc>
          <w:tcPr>
            <w:tcW w:w="3261" w:type="dxa"/>
            <w:tcBorders>
              <w:top w:val="nil"/>
              <w:left w:val="nil"/>
              <w:bottom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Obveze segmenta</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17.144.915</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12.845</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137</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(23)</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17.157.874</w:t>
            </w:r>
          </w:p>
        </w:tc>
      </w:tr>
      <w:tr w:rsidR="00510575" w:rsidRPr="001567C8" w:rsidTr="003C6BA3">
        <w:trPr>
          <w:trHeight w:val="300"/>
        </w:trPr>
        <w:tc>
          <w:tcPr>
            <w:tcW w:w="3261" w:type="dxa"/>
            <w:tcBorders>
              <w:top w:val="nil"/>
              <w:left w:val="nil"/>
              <w:right w:val="nil"/>
            </w:tcBorders>
            <w:shd w:val="clear" w:color="auto" w:fill="auto"/>
            <w:vAlign w:val="bottom"/>
          </w:tcPr>
          <w:p w:rsidR="00510575" w:rsidRPr="001567C8" w:rsidRDefault="00510575"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Ukupn</w:t>
            </w:r>
            <w:r w:rsidR="0049467A" w:rsidRPr="001567C8">
              <w:rPr>
                <w:rFonts w:asciiTheme="minorHAnsi" w:hAnsiTheme="minorHAnsi" w:cs="Arial"/>
                <w:sz w:val="20"/>
                <w:szCs w:val="20"/>
                <w:lang w:val="hr-HR"/>
              </w:rPr>
              <w:t>i kapital i rezerve</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10.054.012</w:t>
            </w:r>
          </w:p>
        </w:tc>
        <w:tc>
          <w:tcPr>
            <w:tcW w:w="1667"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4.995</w:t>
            </w:r>
          </w:p>
        </w:tc>
        <w:tc>
          <w:tcPr>
            <w:tcW w:w="1168"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926</w:t>
            </w:r>
          </w:p>
        </w:tc>
        <w:tc>
          <w:tcPr>
            <w:tcW w:w="1559"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1.174</w:t>
            </w:r>
          </w:p>
        </w:tc>
        <w:tc>
          <w:tcPr>
            <w:tcW w:w="1134" w:type="dxa"/>
            <w:tcBorders>
              <w:top w:val="nil"/>
              <w:left w:val="nil"/>
              <w:bottom w:val="nil"/>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sz w:val="20"/>
                <w:szCs w:val="20"/>
                <w:lang w:val="hr-HR"/>
              </w:rPr>
            </w:pPr>
            <w:r w:rsidRPr="00CD3A2D">
              <w:rPr>
                <w:rFonts w:asciiTheme="minorHAnsi" w:hAnsiTheme="minorHAnsi"/>
                <w:sz w:val="20"/>
                <w:szCs w:val="20"/>
                <w:lang w:val="hr-HR"/>
              </w:rPr>
              <w:t>10.061.107</w:t>
            </w:r>
          </w:p>
        </w:tc>
      </w:tr>
      <w:tr w:rsidR="00510575" w:rsidRPr="001567C8" w:rsidTr="003C6BA3">
        <w:trPr>
          <w:trHeight w:val="315"/>
        </w:trPr>
        <w:tc>
          <w:tcPr>
            <w:tcW w:w="3261" w:type="dxa"/>
            <w:tcBorders>
              <w:left w:val="nil"/>
              <w:right w:val="nil"/>
            </w:tcBorders>
            <w:shd w:val="clear" w:color="auto" w:fill="auto"/>
            <w:vAlign w:val="bottom"/>
          </w:tcPr>
          <w:p w:rsidR="00510575" w:rsidRPr="001567C8" w:rsidRDefault="0049467A"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 xml:space="preserve">Ukupne </w:t>
            </w:r>
            <w:r w:rsidR="00510575" w:rsidRPr="001567C8">
              <w:rPr>
                <w:rFonts w:asciiTheme="minorHAnsi" w:hAnsiTheme="minorHAnsi" w:cs="Arial"/>
                <w:b/>
                <w:bCs/>
                <w:sz w:val="20"/>
                <w:szCs w:val="20"/>
                <w:lang w:val="hr-HR"/>
              </w:rPr>
              <w:t xml:space="preserve">obveze i </w:t>
            </w:r>
            <w:r w:rsidRPr="001567C8">
              <w:rPr>
                <w:rFonts w:asciiTheme="minorHAnsi" w:hAnsiTheme="minorHAnsi" w:cs="Arial"/>
                <w:b/>
                <w:bCs/>
                <w:sz w:val="20"/>
                <w:szCs w:val="20"/>
                <w:lang w:val="hr-HR"/>
              </w:rPr>
              <w:t>kapital i rezerve</w:t>
            </w:r>
          </w:p>
        </w:tc>
        <w:tc>
          <w:tcPr>
            <w:tcW w:w="1134"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27.198.927</w:t>
            </w:r>
          </w:p>
        </w:tc>
        <w:tc>
          <w:tcPr>
            <w:tcW w:w="1667"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17.840</w:t>
            </w:r>
          </w:p>
        </w:tc>
        <w:tc>
          <w:tcPr>
            <w:tcW w:w="1168"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1.063</w:t>
            </w:r>
          </w:p>
        </w:tc>
        <w:tc>
          <w:tcPr>
            <w:tcW w:w="1559"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1.151</w:t>
            </w:r>
          </w:p>
        </w:tc>
        <w:tc>
          <w:tcPr>
            <w:tcW w:w="1134" w:type="dxa"/>
            <w:tcBorders>
              <w:top w:val="single" w:sz="4" w:space="0" w:color="auto"/>
              <w:left w:val="nil"/>
              <w:bottom w:val="single" w:sz="8" w:space="0" w:color="auto"/>
              <w:right w:val="nil"/>
            </w:tcBorders>
            <w:shd w:val="clear" w:color="auto" w:fill="auto"/>
            <w:noWrap/>
            <w:vAlign w:val="bottom"/>
          </w:tcPr>
          <w:p w:rsidR="00510575" w:rsidRPr="001567C8" w:rsidRDefault="00510575" w:rsidP="00EE5455">
            <w:pPr>
              <w:spacing w:line="300" w:lineRule="exact"/>
              <w:jc w:val="right"/>
              <w:rPr>
                <w:rFonts w:asciiTheme="minorHAnsi" w:hAnsiTheme="minorHAnsi" w:cs="Arial"/>
                <w:b/>
                <w:bCs/>
                <w:sz w:val="20"/>
                <w:szCs w:val="20"/>
                <w:lang w:val="hr-HR"/>
              </w:rPr>
            </w:pPr>
            <w:r w:rsidRPr="00CD3A2D">
              <w:rPr>
                <w:rFonts w:asciiTheme="minorHAnsi" w:hAnsiTheme="minorHAnsi"/>
                <w:b/>
                <w:sz w:val="20"/>
                <w:szCs w:val="20"/>
                <w:lang w:val="hr-HR"/>
              </w:rPr>
              <w:t>27.218.981</w:t>
            </w:r>
          </w:p>
        </w:tc>
      </w:tr>
      <w:bookmarkEnd w:id="85"/>
    </w:tbl>
    <w:p w:rsidR="00C41D8C" w:rsidRPr="001567C8" w:rsidRDefault="00C41D8C" w:rsidP="00361B04">
      <w:pPr>
        <w:jc w:val="both"/>
        <w:rPr>
          <w:rFonts w:asciiTheme="minorHAnsi" w:hAnsiTheme="minorHAnsi" w:cs="Arial"/>
          <w:sz w:val="22"/>
          <w:szCs w:val="22"/>
          <w:lang w:val="hr-HR"/>
        </w:rPr>
      </w:pPr>
    </w:p>
    <w:p w:rsidR="00C41D8C" w:rsidRPr="001567C8" w:rsidRDefault="00C41D8C" w:rsidP="00361B04">
      <w:pPr>
        <w:jc w:val="both"/>
        <w:rPr>
          <w:rFonts w:asciiTheme="minorHAnsi" w:hAnsiTheme="minorHAnsi" w:cs="Arial"/>
          <w:sz w:val="22"/>
          <w:szCs w:val="22"/>
          <w:lang w:val="hr-HR"/>
        </w:rPr>
      </w:pPr>
    </w:p>
    <w:p w:rsidR="004532CA" w:rsidRPr="001567C8" w:rsidRDefault="00724E3F" w:rsidP="00361B04">
      <w:pPr>
        <w:jc w:val="both"/>
        <w:rPr>
          <w:rFonts w:asciiTheme="minorHAnsi" w:hAnsiTheme="minorHAnsi" w:cs="Arial"/>
          <w:sz w:val="22"/>
          <w:szCs w:val="22"/>
          <w:lang w:val="hr-HR"/>
        </w:rPr>
      </w:pPr>
      <w:r w:rsidRPr="001567C8">
        <w:rPr>
          <w:rFonts w:asciiTheme="minorHAnsi" w:hAnsiTheme="minorHAnsi" w:cs="Arial"/>
          <w:sz w:val="22"/>
          <w:szCs w:val="22"/>
          <w:lang w:val="hr-HR"/>
        </w:rPr>
        <w:t>Međusobni odnosi između članica Grupe iskazani su u koloni „Neraspoređeno“.</w:t>
      </w:r>
    </w:p>
    <w:p w:rsidR="00C41D8C" w:rsidRPr="001567C8" w:rsidRDefault="00C41D8C" w:rsidP="00361B04">
      <w:pPr>
        <w:jc w:val="both"/>
        <w:rPr>
          <w:rFonts w:asciiTheme="minorHAnsi" w:hAnsiTheme="minorHAnsi" w:cs="Arial"/>
          <w:sz w:val="22"/>
          <w:szCs w:val="22"/>
          <w:lang w:val="hr-HR"/>
        </w:rPr>
      </w:pPr>
    </w:p>
    <w:p w:rsidR="00C41D8C" w:rsidRPr="001567C8" w:rsidRDefault="00C41D8C" w:rsidP="00361B04">
      <w:pPr>
        <w:jc w:val="both"/>
        <w:rPr>
          <w:rFonts w:asciiTheme="minorHAnsi" w:hAnsiTheme="minorHAnsi" w:cs="Arial"/>
          <w:sz w:val="22"/>
          <w:szCs w:val="22"/>
          <w:lang w:val="hr-HR"/>
        </w:rPr>
      </w:pPr>
    </w:p>
    <w:p w:rsidR="003360D4" w:rsidRPr="001567C8" w:rsidRDefault="003360D4" w:rsidP="00361B04">
      <w:pPr>
        <w:jc w:val="both"/>
        <w:rPr>
          <w:rFonts w:asciiTheme="minorHAnsi" w:hAnsiTheme="minorHAnsi" w:cs="Arial"/>
          <w:sz w:val="22"/>
          <w:szCs w:val="22"/>
          <w:lang w:val="hr-HR"/>
        </w:rPr>
      </w:pPr>
      <w:r w:rsidRPr="001567C8">
        <w:rPr>
          <w:rFonts w:asciiTheme="minorHAnsi" w:hAnsiTheme="minorHAnsi" w:cs="Arial"/>
          <w:sz w:val="22"/>
          <w:szCs w:val="22"/>
          <w:lang w:val="hr-HR"/>
        </w:rPr>
        <w:t>Grupa se odredila za jednostavan pristup iskazivanja operativnih segmenata uvažavajući osnovni poslovni model svake članice Grupe kako je prethodno opisano u ovoj bilješci.</w:t>
      </w:r>
    </w:p>
    <w:bookmarkEnd w:id="84"/>
    <w:p w:rsidR="004532CA" w:rsidRPr="001567C8" w:rsidRDefault="004532CA" w:rsidP="00E41AD2">
      <w:pPr>
        <w:spacing w:before="120" w:line="300" w:lineRule="exact"/>
        <w:jc w:val="both"/>
        <w:rPr>
          <w:rFonts w:asciiTheme="minorHAnsi" w:hAnsiTheme="minorHAnsi" w:cs="Arial"/>
          <w:b/>
          <w:sz w:val="22"/>
          <w:szCs w:val="22"/>
          <w:lang w:val="hr-HR"/>
        </w:rPr>
      </w:pPr>
    </w:p>
    <w:p w:rsidR="00AF2EEB" w:rsidRPr="001567C8" w:rsidRDefault="00AF2EEB" w:rsidP="00E41AD2">
      <w:pPr>
        <w:spacing w:before="120" w:line="300" w:lineRule="exact"/>
        <w:jc w:val="both"/>
        <w:rPr>
          <w:rFonts w:asciiTheme="minorHAnsi" w:hAnsiTheme="minorHAnsi" w:cs="Arial"/>
          <w:b/>
          <w:sz w:val="22"/>
          <w:szCs w:val="22"/>
          <w:lang w:val="hr-HR"/>
        </w:rPr>
        <w:sectPr w:rsidR="00AF2EEB" w:rsidRPr="001567C8" w:rsidSect="0077198A">
          <w:pgSz w:w="11907" w:h="16840" w:code="9"/>
          <w:pgMar w:top="1418" w:right="1134" w:bottom="1134" w:left="1418" w:header="851" w:footer="851" w:gutter="0"/>
          <w:cols w:space="720"/>
          <w:noEndnote/>
        </w:sectPr>
      </w:pPr>
    </w:p>
    <w:p w:rsidR="006B4E35" w:rsidRPr="001567C8" w:rsidRDefault="006B4E35" w:rsidP="006B4E35">
      <w:pPr>
        <w:jc w:val="both"/>
        <w:rPr>
          <w:rFonts w:asciiTheme="minorHAnsi" w:hAnsiTheme="minorHAnsi" w:cs="Arial"/>
          <w:b/>
          <w:spacing w:val="-3"/>
          <w:sz w:val="22"/>
          <w:szCs w:val="22"/>
          <w:lang w:val="hr-HR"/>
        </w:rPr>
      </w:pPr>
    </w:p>
    <w:p w:rsidR="00CB00C4" w:rsidRPr="001567C8" w:rsidRDefault="004532CA" w:rsidP="006B4E35">
      <w:pPr>
        <w:jc w:val="both"/>
        <w:rPr>
          <w:rFonts w:asciiTheme="minorHAnsi" w:hAnsiTheme="minorHAnsi" w:cs="Arial"/>
          <w:b/>
          <w:sz w:val="22"/>
          <w:szCs w:val="22"/>
          <w:lang w:val="hr-HR"/>
        </w:rPr>
      </w:pPr>
      <w:r w:rsidRPr="001567C8">
        <w:rPr>
          <w:rFonts w:asciiTheme="minorHAnsi" w:hAnsiTheme="minorHAnsi" w:cs="Arial"/>
          <w:b/>
          <w:spacing w:val="-3"/>
          <w:sz w:val="22"/>
          <w:szCs w:val="22"/>
          <w:lang w:val="hr-HR"/>
        </w:rPr>
        <w:t>3</w:t>
      </w:r>
      <w:r w:rsidR="003A4807" w:rsidRPr="001567C8">
        <w:rPr>
          <w:rFonts w:asciiTheme="minorHAnsi" w:hAnsiTheme="minorHAnsi" w:cs="Arial"/>
          <w:b/>
          <w:spacing w:val="-3"/>
          <w:sz w:val="22"/>
          <w:szCs w:val="22"/>
          <w:lang w:val="hr-HR"/>
        </w:rPr>
        <w:t>8</w:t>
      </w:r>
      <w:r w:rsidRPr="001567C8">
        <w:rPr>
          <w:rFonts w:asciiTheme="minorHAnsi" w:hAnsiTheme="minorHAnsi" w:cs="Arial"/>
          <w:b/>
          <w:spacing w:val="-3"/>
          <w:sz w:val="22"/>
          <w:szCs w:val="22"/>
          <w:lang w:val="hr-HR"/>
        </w:rPr>
        <w:t xml:space="preserve">. </w:t>
      </w:r>
      <w:r w:rsidRPr="001567C8">
        <w:rPr>
          <w:rFonts w:asciiTheme="minorHAnsi" w:hAnsiTheme="minorHAnsi" w:cs="Arial"/>
          <w:b/>
          <w:spacing w:val="-3"/>
          <w:sz w:val="22"/>
          <w:szCs w:val="22"/>
          <w:lang w:val="hr-HR"/>
        </w:rPr>
        <w:tab/>
      </w:r>
      <w:r w:rsidRPr="001567C8">
        <w:rPr>
          <w:rFonts w:asciiTheme="minorHAnsi" w:hAnsiTheme="minorHAnsi" w:cs="Arial"/>
          <w:b/>
          <w:sz w:val="22"/>
          <w:szCs w:val="22"/>
          <w:lang w:val="hr-HR"/>
        </w:rPr>
        <w:t>Izvještavanje po segmentima (nastavak)</w:t>
      </w:r>
    </w:p>
    <w:p w:rsidR="006B4E35" w:rsidRPr="001567C8" w:rsidRDefault="006B4E35" w:rsidP="006B4E35">
      <w:pPr>
        <w:jc w:val="both"/>
        <w:rPr>
          <w:rFonts w:asciiTheme="minorHAnsi" w:hAnsiTheme="minorHAnsi" w:cs="Arial"/>
          <w:b/>
          <w:sz w:val="22"/>
          <w:szCs w:val="22"/>
          <w:lang w:val="hr-HR"/>
        </w:rPr>
      </w:pPr>
    </w:p>
    <w:tbl>
      <w:tblPr>
        <w:tblpPr w:leftFromText="181" w:rightFromText="181" w:vertAnchor="text" w:horzAnchor="margin" w:tblpXSpec="center" w:tblpY="1"/>
        <w:tblW w:w="9923" w:type="dxa"/>
        <w:tblLayout w:type="fixed"/>
        <w:tblLook w:val="04A0" w:firstRow="1" w:lastRow="0" w:firstColumn="1" w:lastColumn="0" w:noHBand="0" w:noVBand="1"/>
      </w:tblPr>
      <w:tblGrid>
        <w:gridCol w:w="3261"/>
        <w:gridCol w:w="1134"/>
        <w:gridCol w:w="1667"/>
        <w:gridCol w:w="1134"/>
        <w:gridCol w:w="1593"/>
        <w:gridCol w:w="1134"/>
      </w:tblGrid>
      <w:tr w:rsidR="00D95C8A" w:rsidRPr="001567C8" w:rsidTr="00510575">
        <w:trPr>
          <w:trHeight w:val="300"/>
        </w:trPr>
        <w:tc>
          <w:tcPr>
            <w:tcW w:w="3261" w:type="dxa"/>
            <w:tcBorders>
              <w:top w:val="nil"/>
              <w:left w:val="nil"/>
              <w:right w:val="nil"/>
            </w:tcBorders>
            <w:shd w:val="clear" w:color="auto" w:fill="auto"/>
            <w:vAlign w:val="bottom"/>
          </w:tcPr>
          <w:p w:rsidR="00D95C8A" w:rsidRPr="001567C8" w:rsidRDefault="00D95C8A" w:rsidP="00510575">
            <w:pPr>
              <w:spacing w:line="300" w:lineRule="exact"/>
              <w:rPr>
                <w:rFonts w:asciiTheme="minorHAnsi" w:hAnsiTheme="minorHAnsi" w:cs="Arial"/>
                <w:b/>
                <w:bCs/>
                <w:sz w:val="20"/>
                <w:szCs w:val="20"/>
                <w:lang w:val="hr-HR"/>
              </w:rPr>
            </w:pPr>
          </w:p>
        </w:tc>
        <w:tc>
          <w:tcPr>
            <w:tcW w:w="1134" w:type="dxa"/>
            <w:tcBorders>
              <w:top w:val="nil"/>
              <w:left w:val="nil"/>
              <w:right w:val="nil"/>
            </w:tcBorders>
            <w:shd w:val="clear" w:color="auto" w:fill="auto"/>
            <w:noWrap/>
          </w:tcPr>
          <w:p w:rsidR="00D95C8A" w:rsidRPr="001567C8" w:rsidRDefault="00D95C8A" w:rsidP="00510575">
            <w:pPr>
              <w:spacing w:line="300" w:lineRule="exact"/>
              <w:jc w:val="right"/>
              <w:rPr>
                <w:rFonts w:asciiTheme="minorHAnsi" w:hAnsiTheme="minorHAnsi" w:cs="Arial"/>
                <w:b/>
                <w:sz w:val="20"/>
                <w:szCs w:val="20"/>
                <w:lang w:val="hr-HR"/>
              </w:rPr>
            </w:pPr>
          </w:p>
        </w:tc>
        <w:tc>
          <w:tcPr>
            <w:tcW w:w="1667" w:type="dxa"/>
            <w:tcBorders>
              <w:top w:val="nil"/>
              <w:left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sz w:val="20"/>
                <w:szCs w:val="20"/>
                <w:lang w:val="hr-HR"/>
              </w:rPr>
            </w:pPr>
          </w:p>
        </w:tc>
        <w:tc>
          <w:tcPr>
            <w:tcW w:w="1134" w:type="dxa"/>
            <w:tcBorders>
              <w:top w:val="nil"/>
              <w:left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sz w:val="20"/>
                <w:szCs w:val="20"/>
                <w:lang w:val="hr-HR"/>
              </w:rPr>
            </w:pPr>
          </w:p>
        </w:tc>
        <w:tc>
          <w:tcPr>
            <w:tcW w:w="1593" w:type="dxa"/>
            <w:tcBorders>
              <w:top w:val="nil"/>
              <w:left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sz w:val="20"/>
                <w:szCs w:val="20"/>
                <w:lang w:val="hr-HR"/>
              </w:rPr>
            </w:pPr>
          </w:p>
        </w:tc>
        <w:tc>
          <w:tcPr>
            <w:tcW w:w="1134" w:type="dxa"/>
            <w:tcBorders>
              <w:top w:val="nil"/>
              <w:left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sz w:val="20"/>
                <w:szCs w:val="20"/>
                <w:lang w:val="hr-HR"/>
              </w:rPr>
            </w:pPr>
          </w:p>
        </w:tc>
      </w:tr>
      <w:tr w:rsidR="00D95C8A" w:rsidRPr="001567C8" w:rsidTr="00510575">
        <w:trPr>
          <w:trHeight w:val="600"/>
        </w:trPr>
        <w:tc>
          <w:tcPr>
            <w:tcW w:w="3261" w:type="dxa"/>
            <w:tcBorders>
              <w:left w:val="nil"/>
              <w:right w:val="nil"/>
            </w:tcBorders>
            <w:shd w:val="clear" w:color="auto" w:fill="auto"/>
          </w:tcPr>
          <w:p w:rsidR="00D95C8A" w:rsidRPr="001567C8" w:rsidRDefault="00D95C8A"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2017. godina</w:t>
            </w:r>
          </w:p>
        </w:tc>
        <w:tc>
          <w:tcPr>
            <w:tcW w:w="1134" w:type="dxa"/>
            <w:tcBorders>
              <w:left w:val="nil"/>
              <w:right w:val="nil"/>
            </w:tcBorders>
            <w:shd w:val="clear" w:color="auto" w:fill="auto"/>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Bankarske aktivnosti</w:t>
            </w:r>
          </w:p>
        </w:tc>
        <w:tc>
          <w:tcPr>
            <w:tcW w:w="1667" w:type="dxa"/>
            <w:tcBorders>
              <w:left w:val="nil"/>
              <w:right w:val="nil"/>
            </w:tcBorders>
            <w:shd w:val="clear" w:color="auto" w:fill="auto"/>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Osiguravateljske aktivnosti</w:t>
            </w:r>
          </w:p>
        </w:tc>
        <w:tc>
          <w:tcPr>
            <w:tcW w:w="1134" w:type="dxa"/>
            <w:tcBorders>
              <w:left w:val="nil"/>
              <w:right w:val="nil"/>
            </w:tcBorders>
            <w:shd w:val="clear" w:color="auto" w:fill="auto"/>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Ostale aktivnosti</w:t>
            </w:r>
          </w:p>
        </w:tc>
        <w:tc>
          <w:tcPr>
            <w:tcW w:w="1593" w:type="dxa"/>
            <w:tcBorders>
              <w:left w:val="nil"/>
              <w:right w:val="nil"/>
            </w:tcBorders>
            <w:shd w:val="clear" w:color="auto" w:fill="auto"/>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Neraspoređeno</w:t>
            </w:r>
          </w:p>
        </w:tc>
        <w:tc>
          <w:tcPr>
            <w:tcW w:w="1134" w:type="dxa"/>
            <w:tcBorders>
              <w:left w:val="nil"/>
              <w:right w:val="nil"/>
            </w:tcBorders>
            <w:shd w:val="clear" w:color="auto" w:fill="auto"/>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Ukupno</w:t>
            </w:r>
          </w:p>
        </w:tc>
      </w:tr>
      <w:tr w:rsidR="00D95C8A" w:rsidRPr="001567C8" w:rsidTr="00510575">
        <w:trPr>
          <w:trHeight w:val="234"/>
        </w:trPr>
        <w:tc>
          <w:tcPr>
            <w:tcW w:w="3261" w:type="dxa"/>
            <w:tcBorders>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b/>
                <w:bCs/>
                <w:sz w:val="20"/>
                <w:szCs w:val="20"/>
                <w:lang w:val="hr-HR"/>
              </w:rPr>
            </w:pPr>
          </w:p>
        </w:tc>
        <w:tc>
          <w:tcPr>
            <w:tcW w:w="1134" w:type="dxa"/>
            <w:tcBorders>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c>
          <w:tcPr>
            <w:tcW w:w="1667" w:type="dxa"/>
            <w:tcBorders>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c>
          <w:tcPr>
            <w:tcW w:w="1134" w:type="dxa"/>
            <w:tcBorders>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c>
          <w:tcPr>
            <w:tcW w:w="1593" w:type="dxa"/>
            <w:tcBorders>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c>
          <w:tcPr>
            <w:tcW w:w="1134" w:type="dxa"/>
            <w:tcBorders>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000 kuna</w:t>
            </w:r>
          </w:p>
        </w:tc>
      </w:tr>
      <w:tr w:rsidR="00D95C8A" w:rsidRPr="001567C8" w:rsidTr="00510575">
        <w:trPr>
          <w:trHeight w:val="59"/>
        </w:trPr>
        <w:tc>
          <w:tcPr>
            <w:tcW w:w="3261" w:type="dxa"/>
            <w:tcBorders>
              <w:top w:val="nil"/>
              <w:left w:val="nil"/>
              <w:bottom w:val="nil"/>
              <w:right w:val="nil"/>
            </w:tcBorders>
            <w:shd w:val="clear" w:color="auto" w:fill="auto"/>
            <w:vAlign w:val="bottom"/>
          </w:tcPr>
          <w:p w:rsidR="00D95C8A" w:rsidRPr="001567C8" w:rsidRDefault="00D95C8A" w:rsidP="00510575">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rPr>
                <w:rFonts w:asciiTheme="minorHAnsi" w:hAnsiTheme="minorHAnsi" w:cs="Arial"/>
                <w:sz w:val="20"/>
                <w:szCs w:val="20"/>
                <w:lang w:val="hr-HR"/>
              </w:rPr>
            </w:pP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rPr>
                <w:rFonts w:asciiTheme="minorHAnsi" w:hAnsiTheme="minorHAnsi" w:cs="Arial"/>
                <w:sz w:val="20"/>
                <w:szCs w:val="20"/>
                <w:lang w:val="hr-HR"/>
              </w:rPr>
            </w:pP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rPr>
                <w:rFonts w:asciiTheme="minorHAnsi" w:hAnsiTheme="minorHAnsi" w:cs="Arial"/>
                <w:sz w:val="20"/>
                <w:szCs w:val="20"/>
                <w:lang w:val="hr-HR"/>
              </w:rPr>
            </w:pPr>
          </w:p>
        </w:tc>
      </w:tr>
      <w:tr w:rsidR="00D95C8A" w:rsidRPr="001567C8" w:rsidTr="00510575">
        <w:trPr>
          <w:trHeight w:val="30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Neto prihod od kamata</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475.738</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1.627</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477.365</w:t>
            </w:r>
          </w:p>
        </w:tc>
      </w:tr>
      <w:tr w:rsidR="00D95C8A" w:rsidRPr="001567C8" w:rsidTr="00510575">
        <w:trPr>
          <w:trHeight w:val="30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Neto prihod od naknada</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42.395</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1.398</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1.188</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44.981</w:t>
            </w:r>
          </w:p>
        </w:tc>
      </w:tr>
      <w:tr w:rsidR="00D95C8A" w:rsidRPr="001567C8" w:rsidTr="00510575">
        <w:trPr>
          <w:trHeight w:val="28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 xml:space="preserve">Neto prihodi od financijskih aktivnosti </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(20.625)</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(96)</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5</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(20.716)</w:t>
            </w:r>
          </w:p>
        </w:tc>
      </w:tr>
      <w:tr w:rsidR="00D95C8A" w:rsidRPr="001567C8" w:rsidTr="00510575">
        <w:trPr>
          <w:trHeight w:val="30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Neto zarađene premije</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7.151</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7.151</w:t>
            </w:r>
          </w:p>
        </w:tc>
      </w:tr>
      <w:tr w:rsidR="00D95C8A" w:rsidRPr="001567C8" w:rsidTr="00510575">
        <w:trPr>
          <w:trHeight w:val="300"/>
        </w:trPr>
        <w:tc>
          <w:tcPr>
            <w:tcW w:w="3261" w:type="dxa"/>
            <w:tcBorders>
              <w:top w:val="nil"/>
              <w:left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Ostali prihodi</w:t>
            </w:r>
          </w:p>
        </w:tc>
        <w:tc>
          <w:tcPr>
            <w:tcW w:w="1134" w:type="dxa"/>
            <w:tcBorders>
              <w:top w:val="nil"/>
              <w:left w:val="nil"/>
              <w:bottom w:val="single" w:sz="2"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7.627</w:t>
            </w:r>
          </w:p>
        </w:tc>
        <w:tc>
          <w:tcPr>
            <w:tcW w:w="1667" w:type="dxa"/>
            <w:tcBorders>
              <w:top w:val="nil"/>
              <w:left w:val="nil"/>
              <w:bottom w:val="single" w:sz="2"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86</w:t>
            </w:r>
          </w:p>
        </w:tc>
        <w:tc>
          <w:tcPr>
            <w:tcW w:w="1134" w:type="dxa"/>
            <w:tcBorders>
              <w:top w:val="nil"/>
              <w:left w:val="nil"/>
              <w:bottom w:val="single" w:sz="2"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289</w:t>
            </w:r>
          </w:p>
        </w:tc>
        <w:tc>
          <w:tcPr>
            <w:tcW w:w="1593" w:type="dxa"/>
            <w:tcBorders>
              <w:top w:val="nil"/>
              <w:left w:val="nil"/>
              <w:bottom w:val="single" w:sz="2"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(293)</w:t>
            </w:r>
          </w:p>
        </w:tc>
        <w:tc>
          <w:tcPr>
            <w:tcW w:w="1134" w:type="dxa"/>
            <w:tcBorders>
              <w:top w:val="nil"/>
              <w:left w:val="nil"/>
              <w:bottom w:val="single" w:sz="2"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7.709</w:t>
            </w:r>
          </w:p>
        </w:tc>
      </w:tr>
      <w:tr w:rsidR="00D95C8A" w:rsidRPr="001567C8" w:rsidTr="00510575">
        <w:trPr>
          <w:trHeight w:val="300"/>
        </w:trPr>
        <w:tc>
          <w:tcPr>
            <w:tcW w:w="3261" w:type="dxa"/>
            <w:tcBorders>
              <w:left w:val="nil"/>
              <w:right w:val="nil"/>
            </w:tcBorders>
            <w:shd w:val="clear" w:color="auto" w:fill="auto"/>
            <w:vAlign w:val="bottom"/>
          </w:tcPr>
          <w:p w:rsidR="00D95C8A" w:rsidRPr="001567C8" w:rsidRDefault="00D95C8A"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Prihod iz poslovanja</w:t>
            </w:r>
          </w:p>
        </w:tc>
        <w:tc>
          <w:tcPr>
            <w:tcW w:w="1134" w:type="dxa"/>
            <w:tcBorders>
              <w:top w:val="single" w:sz="2"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505.135</w:t>
            </w:r>
          </w:p>
        </w:tc>
        <w:tc>
          <w:tcPr>
            <w:tcW w:w="1667" w:type="dxa"/>
            <w:tcBorders>
              <w:top w:val="single" w:sz="2"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10.166</w:t>
            </w:r>
          </w:p>
        </w:tc>
        <w:tc>
          <w:tcPr>
            <w:tcW w:w="1134" w:type="dxa"/>
            <w:tcBorders>
              <w:top w:val="single" w:sz="2"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1.482</w:t>
            </w:r>
          </w:p>
        </w:tc>
        <w:tc>
          <w:tcPr>
            <w:tcW w:w="1593" w:type="dxa"/>
            <w:tcBorders>
              <w:top w:val="single" w:sz="2"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(293)</w:t>
            </w:r>
          </w:p>
        </w:tc>
        <w:tc>
          <w:tcPr>
            <w:tcW w:w="1134" w:type="dxa"/>
            <w:tcBorders>
              <w:top w:val="single" w:sz="2"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516.490</w:t>
            </w:r>
          </w:p>
        </w:tc>
      </w:tr>
      <w:tr w:rsidR="00D95C8A" w:rsidRPr="001567C8" w:rsidTr="00510575">
        <w:trPr>
          <w:trHeight w:val="60"/>
        </w:trPr>
        <w:tc>
          <w:tcPr>
            <w:tcW w:w="3261" w:type="dxa"/>
            <w:tcBorders>
              <w:left w:val="nil"/>
              <w:bottom w:val="nil"/>
              <w:right w:val="nil"/>
            </w:tcBorders>
            <w:shd w:val="clear" w:color="auto" w:fill="auto"/>
            <w:vAlign w:val="bottom"/>
          </w:tcPr>
          <w:p w:rsidR="00D95C8A" w:rsidRPr="001567C8" w:rsidRDefault="00D95C8A" w:rsidP="00510575">
            <w:pPr>
              <w:spacing w:line="140" w:lineRule="exact"/>
              <w:rPr>
                <w:rFonts w:asciiTheme="minorHAnsi" w:hAnsiTheme="minorHAnsi" w:cs="Arial"/>
                <w:sz w:val="20"/>
                <w:szCs w:val="20"/>
                <w:lang w:val="hr-HR"/>
              </w:rPr>
            </w:pPr>
          </w:p>
        </w:tc>
        <w:tc>
          <w:tcPr>
            <w:tcW w:w="1134" w:type="dxa"/>
            <w:tcBorders>
              <w:top w:val="single" w:sz="4" w:space="0" w:color="auto"/>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667" w:type="dxa"/>
            <w:tcBorders>
              <w:top w:val="single" w:sz="4" w:space="0" w:color="auto"/>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134" w:type="dxa"/>
            <w:tcBorders>
              <w:top w:val="single" w:sz="4" w:space="0" w:color="auto"/>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593" w:type="dxa"/>
            <w:tcBorders>
              <w:top w:val="single" w:sz="4" w:space="0" w:color="auto"/>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134" w:type="dxa"/>
            <w:tcBorders>
              <w:top w:val="single" w:sz="4" w:space="0" w:color="auto"/>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r>
      <w:tr w:rsidR="00D95C8A" w:rsidRPr="001567C8" w:rsidTr="00510575">
        <w:trPr>
          <w:trHeight w:val="30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Operativni troškovi</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(149.432)</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(6.120)</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(1.117)</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293</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(156.376)</w:t>
            </w:r>
          </w:p>
        </w:tc>
      </w:tr>
      <w:tr w:rsidR="00D95C8A" w:rsidRPr="001567C8" w:rsidTr="00510575">
        <w:trPr>
          <w:trHeight w:val="60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Gubitak od umanjenja vrijednosti i rezerviranja</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(194.920)</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(272)</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5</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(195.187)</w:t>
            </w:r>
          </w:p>
        </w:tc>
      </w:tr>
      <w:tr w:rsidR="00D95C8A" w:rsidRPr="001567C8" w:rsidTr="00510575">
        <w:trPr>
          <w:trHeight w:val="31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Izdaci za osigurane slučajeve</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(876)</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(876)</w:t>
            </w:r>
          </w:p>
        </w:tc>
      </w:tr>
      <w:tr w:rsidR="00D95C8A" w:rsidRPr="001567C8" w:rsidTr="00510575">
        <w:trPr>
          <w:trHeight w:val="30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Neto promjena pričuva</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(1.481)</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(1.481)</w:t>
            </w:r>
          </w:p>
        </w:tc>
      </w:tr>
      <w:tr w:rsidR="00D95C8A" w:rsidRPr="001567C8" w:rsidTr="00510575">
        <w:trPr>
          <w:trHeight w:val="300"/>
        </w:trPr>
        <w:tc>
          <w:tcPr>
            <w:tcW w:w="3261" w:type="dxa"/>
            <w:tcBorders>
              <w:top w:val="nil"/>
              <w:left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Ostali rashodi</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(267)</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sz w:val="20"/>
                <w:szCs w:val="20"/>
                <w:lang w:val="hr-HR"/>
              </w:rPr>
              <w:t>(267)</w:t>
            </w:r>
          </w:p>
        </w:tc>
      </w:tr>
      <w:tr w:rsidR="00D95C8A" w:rsidRPr="001567C8" w:rsidTr="00510575">
        <w:trPr>
          <w:trHeight w:val="300"/>
        </w:trPr>
        <w:tc>
          <w:tcPr>
            <w:tcW w:w="3261" w:type="dxa"/>
            <w:tcBorders>
              <w:left w:val="nil"/>
              <w:right w:val="nil"/>
            </w:tcBorders>
            <w:shd w:val="clear" w:color="auto" w:fill="auto"/>
            <w:vAlign w:val="bottom"/>
          </w:tcPr>
          <w:p w:rsidR="00D95C8A" w:rsidRPr="001567C8" w:rsidRDefault="00D95C8A"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Troškovi poslovanja</w:t>
            </w:r>
          </w:p>
        </w:tc>
        <w:tc>
          <w:tcPr>
            <w:tcW w:w="1134"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(344.352)</w:t>
            </w:r>
          </w:p>
        </w:tc>
        <w:tc>
          <w:tcPr>
            <w:tcW w:w="1667"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(9.016)</w:t>
            </w:r>
          </w:p>
        </w:tc>
        <w:tc>
          <w:tcPr>
            <w:tcW w:w="1134"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(1.112)</w:t>
            </w:r>
          </w:p>
        </w:tc>
        <w:tc>
          <w:tcPr>
            <w:tcW w:w="1593"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293</w:t>
            </w:r>
          </w:p>
        </w:tc>
        <w:tc>
          <w:tcPr>
            <w:tcW w:w="1134"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(354.187)</w:t>
            </w:r>
          </w:p>
        </w:tc>
      </w:tr>
      <w:tr w:rsidR="00D95C8A" w:rsidRPr="001567C8" w:rsidTr="00510575">
        <w:trPr>
          <w:trHeight w:val="174"/>
        </w:trPr>
        <w:tc>
          <w:tcPr>
            <w:tcW w:w="3261" w:type="dxa"/>
            <w:tcBorders>
              <w:left w:val="nil"/>
              <w:bottom w:val="nil"/>
              <w:right w:val="nil"/>
            </w:tcBorders>
            <w:shd w:val="clear" w:color="auto" w:fill="auto"/>
            <w:vAlign w:val="bottom"/>
          </w:tcPr>
          <w:p w:rsidR="00D95C8A" w:rsidRPr="001567C8" w:rsidRDefault="00D95C8A" w:rsidP="00510575">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r>
      <w:tr w:rsidR="00D95C8A" w:rsidRPr="001567C8" w:rsidTr="00510575">
        <w:trPr>
          <w:trHeight w:val="30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Dobit prije oporezivanja</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160.783</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1.150</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370</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162.303</w:t>
            </w:r>
          </w:p>
        </w:tc>
      </w:tr>
      <w:tr w:rsidR="00D95C8A" w:rsidRPr="001567C8" w:rsidTr="00510575">
        <w:trPr>
          <w:trHeight w:val="300"/>
        </w:trPr>
        <w:tc>
          <w:tcPr>
            <w:tcW w:w="3261" w:type="dxa"/>
            <w:tcBorders>
              <w:top w:val="nil"/>
              <w:left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Porez na dobit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bCs/>
                <w:sz w:val="20"/>
                <w:szCs w:val="20"/>
                <w:lang w:val="hr-HR"/>
              </w:rPr>
              <w:t>-</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bCs/>
                <w:sz w:val="20"/>
                <w:szCs w:val="20"/>
                <w:lang w:val="hr-HR"/>
              </w:rPr>
              <w:t>(59)</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bCs/>
                <w:sz w:val="20"/>
                <w:szCs w:val="20"/>
                <w:lang w:val="hr-HR"/>
              </w:rPr>
              <w:t>(43)</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bCs/>
                <w:sz w:val="20"/>
                <w:szCs w:val="20"/>
                <w:lang w:val="hr-HR"/>
              </w:rPr>
              <w:t>-</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1567C8">
              <w:rPr>
                <w:rFonts w:asciiTheme="minorHAnsi" w:hAnsiTheme="minorHAnsi" w:cs="Arial"/>
                <w:bCs/>
                <w:sz w:val="20"/>
                <w:szCs w:val="20"/>
                <w:lang w:val="hr-HR"/>
              </w:rPr>
              <w:t>(102)</w:t>
            </w:r>
          </w:p>
        </w:tc>
      </w:tr>
      <w:tr w:rsidR="00D95C8A" w:rsidRPr="001567C8" w:rsidTr="00510575">
        <w:trPr>
          <w:trHeight w:val="315"/>
        </w:trPr>
        <w:tc>
          <w:tcPr>
            <w:tcW w:w="3261" w:type="dxa"/>
            <w:tcBorders>
              <w:left w:val="nil"/>
              <w:right w:val="nil"/>
            </w:tcBorders>
            <w:shd w:val="clear" w:color="auto" w:fill="auto"/>
            <w:vAlign w:val="bottom"/>
          </w:tcPr>
          <w:p w:rsidR="00D95C8A" w:rsidRPr="001567C8" w:rsidRDefault="00D95C8A"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Dobit za godinu</w:t>
            </w:r>
          </w:p>
        </w:tc>
        <w:tc>
          <w:tcPr>
            <w:tcW w:w="1134"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160.783</w:t>
            </w:r>
          </w:p>
        </w:tc>
        <w:tc>
          <w:tcPr>
            <w:tcW w:w="1667"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1.091</w:t>
            </w:r>
          </w:p>
        </w:tc>
        <w:tc>
          <w:tcPr>
            <w:tcW w:w="1134"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327</w:t>
            </w:r>
          </w:p>
        </w:tc>
        <w:tc>
          <w:tcPr>
            <w:tcW w:w="1593"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w:t>
            </w:r>
          </w:p>
        </w:tc>
        <w:tc>
          <w:tcPr>
            <w:tcW w:w="1134"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1567C8">
              <w:rPr>
                <w:rFonts w:asciiTheme="minorHAnsi" w:hAnsiTheme="minorHAnsi" w:cs="Arial"/>
                <w:b/>
                <w:bCs/>
                <w:sz w:val="20"/>
                <w:szCs w:val="20"/>
                <w:lang w:val="hr-HR"/>
              </w:rPr>
              <w:t>162.201</w:t>
            </w:r>
          </w:p>
        </w:tc>
      </w:tr>
      <w:tr w:rsidR="00D95C8A" w:rsidRPr="001567C8" w:rsidTr="00510575">
        <w:trPr>
          <w:trHeight w:val="52"/>
        </w:trPr>
        <w:tc>
          <w:tcPr>
            <w:tcW w:w="3261" w:type="dxa"/>
            <w:tcBorders>
              <w:left w:val="nil"/>
              <w:bottom w:val="nil"/>
              <w:right w:val="nil"/>
            </w:tcBorders>
            <w:shd w:val="clear" w:color="auto" w:fill="auto"/>
            <w:vAlign w:val="bottom"/>
          </w:tcPr>
          <w:p w:rsidR="00D95C8A" w:rsidRPr="001567C8" w:rsidRDefault="00D95C8A" w:rsidP="00510575">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r>
      <w:tr w:rsidR="00D95C8A" w:rsidRPr="001567C8" w:rsidTr="00510575">
        <w:trPr>
          <w:trHeight w:val="300"/>
        </w:trPr>
        <w:tc>
          <w:tcPr>
            <w:tcW w:w="3261" w:type="dxa"/>
            <w:tcBorders>
              <w:top w:val="nil"/>
              <w:left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Imovina segmenta</w:t>
            </w:r>
          </w:p>
        </w:tc>
        <w:tc>
          <w:tcPr>
            <w:tcW w:w="1134"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28.055.803</w:t>
            </w:r>
          </w:p>
        </w:tc>
        <w:tc>
          <w:tcPr>
            <w:tcW w:w="1667"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55.213</w:t>
            </w:r>
          </w:p>
        </w:tc>
        <w:tc>
          <w:tcPr>
            <w:tcW w:w="1134"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1.201</w:t>
            </w:r>
          </w:p>
        </w:tc>
        <w:tc>
          <w:tcPr>
            <w:tcW w:w="1593"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(36.656)</w:t>
            </w:r>
          </w:p>
        </w:tc>
        <w:tc>
          <w:tcPr>
            <w:tcW w:w="1134"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28.075.561</w:t>
            </w:r>
          </w:p>
        </w:tc>
      </w:tr>
      <w:tr w:rsidR="00D95C8A" w:rsidRPr="001567C8" w:rsidTr="00510575">
        <w:trPr>
          <w:trHeight w:val="315"/>
        </w:trPr>
        <w:tc>
          <w:tcPr>
            <w:tcW w:w="3261" w:type="dxa"/>
            <w:tcBorders>
              <w:left w:val="nil"/>
              <w:right w:val="nil"/>
            </w:tcBorders>
            <w:shd w:val="clear" w:color="auto" w:fill="auto"/>
            <w:vAlign w:val="bottom"/>
          </w:tcPr>
          <w:p w:rsidR="00D95C8A" w:rsidRPr="001567C8" w:rsidRDefault="00D95C8A"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Ukupna imovina</w:t>
            </w:r>
          </w:p>
        </w:tc>
        <w:tc>
          <w:tcPr>
            <w:tcW w:w="1134"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sz w:val="20"/>
                <w:szCs w:val="20"/>
                <w:lang w:val="hr-HR"/>
              </w:rPr>
            </w:pPr>
            <w:r w:rsidRPr="00CD3A2D">
              <w:rPr>
                <w:rFonts w:asciiTheme="minorHAnsi" w:hAnsiTheme="minorHAnsi" w:cs="Arial"/>
                <w:b/>
                <w:sz w:val="20"/>
                <w:szCs w:val="20"/>
                <w:lang w:val="hr-HR"/>
              </w:rPr>
              <w:t>28.055.803</w:t>
            </w:r>
          </w:p>
        </w:tc>
        <w:tc>
          <w:tcPr>
            <w:tcW w:w="1667"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sz w:val="20"/>
                <w:szCs w:val="20"/>
                <w:lang w:val="hr-HR"/>
              </w:rPr>
            </w:pPr>
            <w:r w:rsidRPr="00CD3A2D">
              <w:rPr>
                <w:rFonts w:asciiTheme="minorHAnsi" w:hAnsiTheme="minorHAnsi" w:cs="Arial"/>
                <w:b/>
                <w:sz w:val="20"/>
                <w:szCs w:val="20"/>
                <w:lang w:val="hr-HR"/>
              </w:rPr>
              <w:t>55.213</w:t>
            </w:r>
          </w:p>
        </w:tc>
        <w:tc>
          <w:tcPr>
            <w:tcW w:w="1134"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sz w:val="20"/>
                <w:szCs w:val="20"/>
                <w:lang w:val="hr-HR"/>
              </w:rPr>
            </w:pPr>
            <w:r w:rsidRPr="00CD3A2D">
              <w:rPr>
                <w:rFonts w:asciiTheme="minorHAnsi" w:hAnsiTheme="minorHAnsi" w:cs="Arial"/>
                <w:b/>
                <w:sz w:val="20"/>
                <w:szCs w:val="20"/>
                <w:lang w:val="hr-HR"/>
              </w:rPr>
              <w:t>1.201</w:t>
            </w:r>
          </w:p>
        </w:tc>
        <w:tc>
          <w:tcPr>
            <w:tcW w:w="1593"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sz w:val="20"/>
                <w:szCs w:val="20"/>
                <w:lang w:val="hr-HR"/>
              </w:rPr>
            </w:pPr>
            <w:r w:rsidRPr="00CD3A2D">
              <w:rPr>
                <w:rFonts w:asciiTheme="minorHAnsi" w:hAnsiTheme="minorHAnsi" w:cs="Arial"/>
                <w:b/>
                <w:sz w:val="20"/>
                <w:szCs w:val="20"/>
                <w:lang w:val="hr-HR"/>
              </w:rPr>
              <w:t>(36.656)</w:t>
            </w:r>
          </w:p>
        </w:tc>
        <w:tc>
          <w:tcPr>
            <w:tcW w:w="1134" w:type="dxa"/>
            <w:tcBorders>
              <w:top w:val="nil"/>
              <w:left w:val="nil"/>
              <w:bottom w:val="single" w:sz="4"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sz w:val="20"/>
                <w:szCs w:val="20"/>
                <w:lang w:val="hr-HR"/>
              </w:rPr>
            </w:pPr>
            <w:r w:rsidRPr="00CD3A2D">
              <w:rPr>
                <w:rFonts w:asciiTheme="minorHAnsi" w:hAnsiTheme="minorHAnsi" w:cs="Arial"/>
                <w:b/>
                <w:sz w:val="20"/>
                <w:szCs w:val="20"/>
                <w:lang w:val="hr-HR"/>
              </w:rPr>
              <w:t>28.075.561</w:t>
            </w:r>
          </w:p>
        </w:tc>
      </w:tr>
      <w:tr w:rsidR="00D95C8A" w:rsidRPr="001567C8" w:rsidTr="00510575">
        <w:trPr>
          <w:trHeight w:val="121"/>
        </w:trPr>
        <w:tc>
          <w:tcPr>
            <w:tcW w:w="3261" w:type="dxa"/>
            <w:tcBorders>
              <w:left w:val="nil"/>
              <w:bottom w:val="nil"/>
              <w:right w:val="nil"/>
            </w:tcBorders>
            <w:shd w:val="clear" w:color="auto" w:fill="auto"/>
            <w:vAlign w:val="bottom"/>
          </w:tcPr>
          <w:p w:rsidR="00D95C8A" w:rsidRPr="001567C8" w:rsidRDefault="00D95C8A" w:rsidP="00510575">
            <w:pPr>
              <w:spacing w:line="140" w:lineRule="exac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140" w:lineRule="exact"/>
              <w:jc w:val="right"/>
              <w:rPr>
                <w:rFonts w:asciiTheme="minorHAnsi" w:hAnsiTheme="minorHAnsi" w:cs="Arial"/>
                <w:sz w:val="20"/>
                <w:szCs w:val="20"/>
                <w:lang w:val="hr-HR"/>
              </w:rPr>
            </w:pPr>
          </w:p>
        </w:tc>
      </w:tr>
      <w:tr w:rsidR="00D95C8A" w:rsidRPr="001567C8" w:rsidTr="00510575">
        <w:trPr>
          <w:trHeight w:val="300"/>
        </w:trPr>
        <w:tc>
          <w:tcPr>
            <w:tcW w:w="3261" w:type="dxa"/>
            <w:tcBorders>
              <w:top w:val="nil"/>
              <w:left w:val="nil"/>
              <w:bottom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Obveze segmenta</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17.786.972</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12.680</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152</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(30)</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17.799.774</w:t>
            </w:r>
          </w:p>
        </w:tc>
      </w:tr>
      <w:tr w:rsidR="00D95C8A" w:rsidRPr="001567C8" w:rsidTr="00510575">
        <w:trPr>
          <w:trHeight w:val="300"/>
        </w:trPr>
        <w:tc>
          <w:tcPr>
            <w:tcW w:w="3261" w:type="dxa"/>
            <w:tcBorders>
              <w:top w:val="nil"/>
              <w:left w:val="nil"/>
              <w:right w:val="nil"/>
            </w:tcBorders>
            <w:shd w:val="clear" w:color="auto" w:fill="auto"/>
            <w:vAlign w:val="bottom"/>
          </w:tcPr>
          <w:p w:rsidR="00D95C8A" w:rsidRPr="001567C8" w:rsidRDefault="00D95C8A" w:rsidP="00510575">
            <w:pPr>
              <w:spacing w:line="300" w:lineRule="exact"/>
              <w:rPr>
                <w:rFonts w:asciiTheme="minorHAnsi" w:hAnsiTheme="minorHAnsi" w:cs="Arial"/>
                <w:sz w:val="20"/>
                <w:szCs w:val="20"/>
                <w:lang w:val="hr-HR"/>
              </w:rPr>
            </w:pPr>
            <w:r w:rsidRPr="001567C8">
              <w:rPr>
                <w:rFonts w:asciiTheme="minorHAnsi" w:hAnsiTheme="minorHAnsi" w:cs="Arial"/>
                <w:sz w:val="20"/>
                <w:szCs w:val="20"/>
                <w:lang w:val="hr-HR"/>
              </w:rPr>
              <w:t>Ukupn</w:t>
            </w:r>
            <w:r w:rsidR="0049467A" w:rsidRPr="001567C8">
              <w:rPr>
                <w:rFonts w:asciiTheme="minorHAnsi" w:hAnsiTheme="minorHAnsi" w:cs="Arial"/>
                <w:sz w:val="20"/>
                <w:szCs w:val="20"/>
                <w:lang w:val="hr-HR"/>
              </w:rPr>
              <w:t>i kapital i rezerve</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10.268.831</w:t>
            </w:r>
          </w:p>
        </w:tc>
        <w:tc>
          <w:tcPr>
            <w:tcW w:w="1667"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5.033</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749</w:t>
            </w:r>
          </w:p>
        </w:tc>
        <w:tc>
          <w:tcPr>
            <w:tcW w:w="1593"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1.174</w:t>
            </w:r>
          </w:p>
        </w:tc>
        <w:tc>
          <w:tcPr>
            <w:tcW w:w="1134" w:type="dxa"/>
            <w:tcBorders>
              <w:top w:val="nil"/>
              <w:left w:val="nil"/>
              <w:bottom w:val="nil"/>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sz w:val="20"/>
                <w:szCs w:val="20"/>
                <w:lang w:val="hr-HR"/>
              </w:rPr>
            </w:pPr>
            <w:r w:rsidRPr="00CD3A2D">
              <w:rPr>
                <w:rFonts w:asciiTheme="minorHAnsi" w:hAnsiTheme="minorHAnsi" w:cs="Arial"/>
                <w:sz w:val="20"/>
                <w:szCs w:val="20"/>
                <w:lang w:val="hr-HR"/>
              </w:rPr>
              <w:t>10.275.787</w:t>
            </w:r>
          </w:p>
        </w:tc>
      </w:tr>
      <w:tr w:rsidR="00D95C8A" w:rsidRPr="001567C8" w:rsidTr="00510575">
        <w:trPr>
          <w:trHeight w:val="315"/>
        </w:trPr>
        <w:tc>
          <w:tcPr>
            <w:tcW w:w="3261" w:type="dxa"/>
            <w:tcBorders>
              <w:left w:val="nil"/>
              <w:right w:val="nil"/>
            </w:tcBorders>
            <w:shd w:val="clear" w:color="auto" w:fill="auto"/>
            <w:vAlign w:val="bottom"/>
          </w:tcPr>
          <w:p w:rsidR="00D95C8A" w:rsidRPr="001567C8" w:rsidRDefault="00D95C8A" w:rsidP="00510575">
            <w:pPr>
              <w:spacing w:line="300" w:lineRule="exact"/>
              <w:rPr>
                <w:rFonts w:asciiTheme="minorHAnsi" w:hAnsiTheme="minorHAnsi" w:cs="Arial"/>
                <w:b/>
                <w:bCs/>
                <w:sz w:val="20"/>
                <w:szCs w:val="20"/>
                <w:lang w:val="hr-HR"/>
              </w:rPr>
            </w:pPr>
            <w:r w:rsidRPr="001567C8">
              <w:rPr>
                <w:rFonts w:asciiTheme="minorHAnsi" w:hAnsiTheme="minorHAnsi" w:cs="Arial"/>
                <w:b/>
                <w:bCs/>
                <w:sz w:val="20"/>
                <w:szCs w:val="20"/>
                <w:lang w:val="hr-HR"/>
              </w:rPr>
              <w:t>Ukupn</w:t>
            </w:r>
            <w:r w:rsidR="0049467A" w:rsidRPr="001567C8">
              <w:rPr>
                <w:rFonts w:asciiTheme="minorHAnsi" w:hAnsiTheme="minorHAnsi" w:cs="Arial"/>
                <w:b/>
                <w:bCs/>
                <w:sz w:val="20"/>
                <w:szCs w:val="20"/>
                <w:lang w:val="hr-HR"/>
              </w:rPr>
              <w:t>e</w:t>
            </w:r>
            <w:r w:rsidRPr="001567C8">
              <w:rPr>
                <w:rFonts w:asciiTheme="minorHAnsi" w:hAnsiTheme="minorHAnsi" w:cs="Arial"/>
                <w:b/>
                <w:bCs/>
                <w:sz w:val="20"/>
                <w:szCs w:val="20"/>
                <w:lang w:val="hr-HR"/>
              </w:rPr>
              <w:t xml:space="preserve"> obveze i </w:t>
            </w:r>
            <w:r w:rsidR="0049467A" w:rsidRPr="001567C8">
              <w:rPr>
                <w:rFonts w:asciiTheme="minorHAnsi" w:hAnsiTheme="minorHAnsi" w:cs="Arial"/>
                <w:b/>
                <w:bCs/>
                <w:sz w:val="20"/>
                <w:szCs w:val="20"/>
                <w:lang w:val="hr-HR"/>
              </w:rPr>
              <w:t>kapital i rezerve</w:t>
            </w:r>
          </w:p>
        </w:tc>
        <w:tc>
          <w:tcPr>
            <w:tcW w:w="1134"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CD3A2D">
              <w:rPr>
                <w:rFonts w:asciiTheme="minorHAnsi" w:hAnsiTheme="minorHAnsi" w:cs="Arial"/>
                <w:b/>
                <w:sz w:val="20"/>
                <w:szCs w:val="20"/>
                <w:lang w:val="hr-HR"/>
              </w:rPr>
              <w:t>28.055.803</w:t>
            </w:r>
          </w:p>
        </w:tc>
        <w:tc>
          <w:tcPr>
            <w:tcW w:w="1667"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CD3A2D">
              <w:rPr>
                <w:rFonts w:asciiTheme="minorHAnsi" w:hAnsiTheme="minorHAnsi" w:cs="Arial"/>
                <w:b/>
                <w:sz w:val="20"/>
                <w:szCs w:val="20"/>
                <w:lang w:val="hr-HR"/>
              </w:rPr>
              <w:t>17.713</w:t>
            </w:r>
          </w:p>
        </w:tc>
        <w:tc>
          <w:tcPr>
            <w:tcW w:w="1134"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CD3A2D">
              <w:rPr>
                <w:rFonts w:asciiTheme="minorHAnsi" w:hAnsiTheme="minorHAnsi" w:cs="Arial"/>
                <w:b/>
                <w:sz w:val="20"/>
                <w:szCs w:val="20"/>
                <w:lang w:val="hr-HR"/>
              </w:rPr>
              <w:t>901</w:t>
            </w:r>
          </w:p>
        </w:tc>
        <w:tc>
          <w:tcPr>
            <w:tcW w:w="1593"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CD3A2D">
              <w:rPr>
                <w:rFonts w:asciiTheme="minorHAnsi" w:hAnsiTheme="minorHAnsi" w:cs="Arial"/>
                <w:b/>
                <w:sz w:val="20"/>
                <w:szCs w:val="20"/>
                <w:lang w:val="hr-HR"/>
              </w:rPr>
              <w:t>1.144</w:t>
            </w:r>
          </w:p>
        </w:tc>
        <w:tc>
          <w:tcPr>
            <w:tcW w:w="1134" w:type="dxa"/>
            <w:tcBorders>
              <w:top w:val="single" w:sz="4" w:space="0" w:color="auto"/>
              <w:left w:val="nil"/>
              <w:bottom w:val="single" w:sz="8" w:space="0" w:color="auto"/>
              <w:right w:val="nil"/>
            </w:tcBorders>
            <w:shd w:val="clear" w:color="auto" w:fill="auto"/>
            <w:noWrap/>
            <w:vAlign w:val="bottom"/>
          </w:tcPr>
          <w:p w:rsidR="00D95C8A" w:rsidRPr="001567C8" w:rsidRDefault="00D95C8A" w:rsidP="00510575">
            <w:pPr>
              <w:spacing w:line="300" w:lineRule="exact"/>
              <w:jc w:val="right"/>
              <w:rPr>
                <w:rFonts w:asciiTheme="minorHAnsi" w:hAnsiTheme="minorHAnsi" w:cs="Arial"/>
                <w:b/>
                <w:bCs/>
                <w:sz w:val="20"/>
                <w:szCs w:val="20"/>
                <w:lang w:val="hr-HR"/>
              </w:rPr>
            </w:pPr>
            <w:r w:rsidRPr="00CD3A2D">
              <w:rPr>
                <w:rFonts w:asciiTheme="minorHAnsi" w:hAnsiTheme="minorHAnsi" w:cs="Arial"/>
                <w:b/>
                <w:sz w:val="20"/>
                <w:szCs w:val="20"/>
                <w:lang w:val="hr-HR"/>
              </w:rPr>
              <w:t>28.075.561</w:t>
            </w:r>
          </w:p>
        </w:tc>
      </w:tr>
    </w:tbl>
    <w:p w:rsidR="00CB00C4" w:rsidRPr="00CD3A2D" w:rsidRDefault="00CB00C4" w:rsidP="00CB00C4">
      <w:pPr>
        <w:jc w:val="both"/>
        <w:rPr>
          <w:rFonts w:asciiTheme="minorHAnsi" w:hAnsiTheme="minorHAnsi" w:cs="Arial"/>
          <w:b/>
          <w:sz w:val="22"/>
          <w:szCs w:val="22"/>
          <w:lang w:val="hr-HR"/>
        </w:rPr>
      </w:pPr>
    </w:p>
    <w:p w:rsidR="00724E3F" w:rsidRPr="001567C8" w:rsidRDefault="00724E3F" w:rsidP="00CB00C4">
      <w:pPr>
        <w:jc w:val="both"/>
        <w:rPr>
          <w:rFonts w:asciiTheme="minorHAnsi" w:hAnsiTheme="minorHAnsi" w:cs="Arial"/>
          <w:sz w:val="22"/>
          <w:szCs w:val="22"/>
          <w:lang w:val="hr-HR"/>
        </w:rPr>
      </w:pPr>
      <w:r w:rsidRPr="001567C8">
        <w:rPr>
          <w:rFonts w:asciiTheme="minorHAnsi" w:hAnsiTheme="minorHAnsi" w:cs="Arial"/>
          <w:sz w:val="22"/>
          <w:szCs w:val="22"/>
          <w:lang w:val="hr-HR"/>
        </w:rPr>
        <w:t>Međusobni odnosi između članica Grupe iskazani su u koloni „Neraspoređeno“.</w:t>
      </w:r>
    </w:p>
    <w:p w:rsidR="004532CA" w:rsidRPr="001567C8" w:rsidRDefault="004532CA" w:rsidP="00E41AD2">
      <w:pPr>
        <w:spacing w:before="120" w:line="300" w:lineRule="exact"/>
        <w:jc w:val="both"/>
        <w:rPr>
          <w:rFonts w:asciiTheme="minorHAnsi" w:hAnsiTheme="minorHAnsi" w:cs="Arial"/>
          <w:b/>
          <w:sz w:val="22"/>
          <w:szCs w:val="22"/>
          <w:lang w:val="hr-HR"/>
        </w:rPr>
      </w:pPr>
    </w:p>
    <w:p w:rsidR="004532CA" w:rsidRPr="001567C8" w:rsidRDefault="004532CA" w:rsidP="00E41AD2">
      <w:pPr>
        <w:spacing w:before="120" w:line="300" w:lineRule="exact"/>
        <w:jc w:val="both"/>
        <w:rPr>
          <w:rFonts w:asciiTheme="minorHAnsi" w:hAnsiTheme="minorHAnsi" w:cs="Arial"/>
          <w:b/>
          <w:sz w:val="22"/>
          <w:szCs w:val="22"/>
          <w:lang w:val="hr-HR"/>
        </w:rPr>
      </w:pPr>
    </w:p>
    <w:p w:rsidR="004532CA" w:rsidRPr="001567C8" w:rsidRDefault="004532CA" w:rsidP="00E41AD2">
      <w:pPr>
        <w:spacing w:before="120" w:line="300" w:lineRule="exact"/>
        <w:jc w:val="both"/>
        <w:rPr>
          <w:rFonts w:asciiTheme="minorHAnsi" w:hAnsiTheme="minorHAnsi" w:cs="Arial"/>
          <w:b/>
          <w:sz w:val="22"/>
          <w:szCs w:val="22"/>
          <w:lang w:val="hr-HR"/>
        </w:rPr>
      </w:pPr>
    </w:p>
    <w:p w:rsidR="007E13BF" w:rsidRPr="001567C8" w:rsidRDefault="007E13BF" w:rsidP="00E41AD2">
      <w:pPr>
        <w:spacing w:before="120" w:line="300" w:lineRule="exact"/>
        <w:jc w:val="both"/>
        <w:rPr>
          <w:rFonts w:asciiTheme="minorHAnsi" w:hAnsiTheme="minorHAnsi" w:cs="Arial"/>
          <w:b/>
          <w:sz w:val="22"/>
          <w:szCs w:val="22"/>
          <w:lang w:val="hr-HR"/>
        </w:rPr>
        <w:sectPr w:rsidR="007E13BF" w:rsidRPr="001567C8" w:rsidSect="0077198A">
          <w:pgSz w:w="11907" w:h="16840" w:code="9"/>
          <w:pgMar w:top="1418" w:right="1134" w:bottom="1134" w:left="1418" w:header="851" w:footer="851" w:gutter="0"/>
          <w:cols w:space="720"/>
          <w:noEndnote/>
        </w:sectPr>
      </w:pPr>
    </w:p>
    <w:p w:rsidR="006B4E35" w:rsidRPr="001567C8" w:rsidRDefault="006B4E35" w:rsidP="006B4E35">
      <w:pPr>
        <w:pStyle w:val="T1"/>
        <w:spacing w:before="0" w:after="0" w:line="240" w:lineRule="auto"/>
        <w:ind w:left="709" w:hanging="709"/>
        <w:rPr>
          <w:rFonts w:asciiTheme="minorHAnsi" w:hAnsiTheme="minorHAnsi" w:cs="Arial"/>
          <w:spacing w:val="-3"/>
          <w:sz w:val="22"/>
          <w:szCs w:val="22"/>
          <w:lang w:val="hr-HR"/>
        </w:rPr>
      </w:pPr>
    </w:p>
    <w:p w:rsidR="00060D6D" w:rsidRPr="001567C8" w:rsidRDefault="00490360" w:rsidP="006B4E35">
      <w:pPr>
        <w:pStyle w:val="T1"/>
        <w:spacing w:before="0" w:after="0" w:line="240" w:lineRule="auto"/>
        <w:ind w:left="709" w:hanging="709"/>
        <w:rPr>
          <w:rFonts w:asciiTheme="minorHAnsi" w:hAnsiTheme="minorHAnsi" w:cs="Arial"/>
          <w:spacing w:val="-3"/>
          <w:sz w:val="22"/>
          <w:szCs w:val="22"/>
          <w:lang w:val="hr-HR"/>
        </w:rPr>
      </w:pPr>
      <w:r w:rsidRPr="001567C8">
        <w:rPr>
          <w:rFonts w:asciiTheme="minorHAnsi" w:hAnsiTheme="minorHAnsi" w:cs="Arial"/>
          <w:spacing w:val="-3"/>
          <w:sz w:val="22"/>
          <w:szCs w:val="22"/>
          <w:lang w:val="hr-HR"/>
        </w:rPr>
        <w:t>3</w:t>
      </w:r>
      <w:r w:rsidR="003A4807" w:rsidRPr="001567C8">
        <w:rPr>
          <w:rFonts w:asciiTheme="minorHAnsi" w:hAnsiTheme="minorHAnsi" w:cs="Arial"/>
          <w:spacing w:val="-3"/>
          <w:sz w:val="22"/>
          <w:szCs w:val="22"/>
          <w:lang w:val="hr-HR"/>
        </w:rPr>
        <w:t>9</w:t>
      </w:r>
      <w:r w:rsidR="00060D6D" w:rsidRPr="001567C8">
        <w:rPr>
          <w:rFonts w:asciiTheme="minorHAnsi" w:hAnsiTheme="minorHAnsi" w:cs="Arial"/>
          <w:spacing w:val="-3"/>
          <w:sz w:val="22"/>
          <w:szCs w:val="22"/>
          <w:lang w:val="hr-HR"/>
        </w:rPr>
        <w:t>.</w:t>
      </w:r>
      <w:r w:rsidR="00060D6D" w:rsidRPr="001567C8">
        <w:rPr>
          <w:rFonts w:asciiTheme="minorHAnsi" w:hAnsiTheme="minorHAnsi" w:cs="Arial"/>
          <w:spacing w:val="-3"/>
          <w:sz w:val="22"/>
          <w:szCs w:val="22"/>
          <w:lang w:val="hr-HR"/>
        </w:rPr>
        <w:tab/>
        <w:t>Upravljanje kapitalom</w:t>
      </w:r>
    </w:p>
    <w:p w:rsidR="006B4E35" w:rsidRPr="001567C8" w:rsidRDefault="006B4E35" w:rsidP="006B4E35">
      <w:pPr>
        <w:pStyle w:val="T1"/>
        <w:tabs>
          <w:tab w:val="right" w:pos="9781"/>
        </w:tabs>
        <w:spacing w:before="0" w:after="0" w:line="240" w:lineRule="auto"/>
        <w:rPr>
          <w:rFonts w:asciiTheme="minorHAnsi" w:hAnsiTheme="minorHAnsi" w:cs="Arial"/>
          <w:b w:val="0"/>
          <w:bCs w:val="0"/>
          <w:sz w:val="22"/>
          <w:szCs w:val="22"/>
          <w:lang w:val="hr-HR"/>
        </w:rPr>
      </w:pPr>
    </w:p>
    <w:p w:rsidR="00060D6D" w:rsidRPr="001567C8" w:rsidRDefault="00060D6D" w:rsidP="00E266C9">
      <w:pPr>
        <w:pStyle w:val="T1"/>
        <w:tabs>
          <w:tab w:val="right" w:pos="9781"/>
        </w:tabs>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Osnovni ciljevi </w:t>
      </w:r>
      <w:r w:rsidR="003A4807" w:rsidRPr="001567C8">
        <w:rPr>
          <w:rFonts w:asciiTheme="minorHAnsi" w:hAnsiTheme="minorHAnsi" w:cs="Arial"/>
          <w:b w:val="0"/>
          <w:bCs w:val="0"/>
          <w:sz w:val="22"/>
          <w:szCs w:val="22"/>
          <w:lang w:val="hr-HR"/>
        </w:rPr>
        <w:t xml:space="preserve">Grupe </w:t>
      </w:r>
      <w:r w:rsidRPr="001567C8">
        <w:rPr>
          <w:rFonts w:asciiTheme="minorHAnsi" w:hAnsiTheme="minorHAnsi" w:cs="Arial"/>
          <w:b w:val="0"/>
          <w:bCs w:val="0"/>
          <w:sz w:val="22"/>
          <w:szCs w:val="22"/>
          <w:lang w:val="hr-HR"/>
        </w:rPr>
        <w:t>u upravljanju kapitalom su osiguravanje pretpostavki neograničenosti poslovanja („going-concern“) i poštivanja regulatornih i ugovornih zahtjeva od strane vjerovnika o održavanju adekvatnosti kapitala.</w:t>
      </w:r>
    </w:p>
    <w:p w:rsidR="006B4E35" w:rsidRPr="001567C8" w:rsidRDefault="006B4E35" w:rsidP="001D233C">
      <w:pPr>
        <w:pStyle w:val="T1"/>
        <w:tabs>
          <w:tab w:val="right" w:pos="9781"/>
        </w:tabs>
        <w:spacing w:before="0" w:after="0" w:line="240" w:lineRule="auto"/>
        <w:rPr>
          <w:rFonts w:asciiTheme="minorHAnsi" w:hAnsiTheme="minorHAnsi" w:cs="Arial"/>
          <w:b w:val="0"/>
          <w:bCs w:val="0"/>
          <w:sz w:val="22"/>
          <w:szCs w:val="22"/>
          <w:lang w:val="hr-HR"/>
        </w:rPr>
      </w:pPr>
    </w:p>
    <w:p w:rsidR="00060D6D" w:rsidRPr="001567C8" w:rsidRDefault="00EC06B1" w:rsidP="009E2748">
      <w:pPr>
        <w:pStyle w:val="T1"/>
        <w:tabs>
          <w:tab w:val="right" w:pos="9781"/>
        </w:tabs>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Grupa </w:t>
      </w:r>
      <w:r w:rsidR="00060D6D" w:rsidRPr="001567C8">
        <w:rPr>
          <w:rFonts w:asciiTheme="minorHAnsi" w:hAnsiTheme="minorHAnsi" w:cs="Arial"/>
          <w:b w:val="0"/>
          <w:bCs w:val="0"/>
          <w:sz w:val="22"/>
          <w:szCs w:val="22"/>
          <w:lang w:val="hr-HR"/>
        </w:rPr>
        <w:t xml:space="preserve">je odredila </w:t>
      </w:r>
      <w:r w:rsidR="00CF17F9" w:rsidRPr="001567C8">
        <w:rPr>
          <w:rFonts w:asciiTheme="minorHAnsi" w:hAnsiTheme="minorHAnsi" w:cs="Arial"/>
          <w:b w:val="0"/>
          <w:bCs w:val="0"/>
          <w:sz w:val="22"/>
          <w:szCs w:val="22"/>
          <w:lang w:val="hr-HR"/>
        </w:rPr>
        <w:t>regulatorni</w:t>
      </w:r>
      <w:r w:rsidR="00060D6D" w:rsidRPr="001567C8">
        <w:rPr>
          <w:rFonts w:asciiTheme="minorHAnsi" w:hAnsiTheme="minorHAnsi" w:cs="Arial"/>
          <w:b w:val="0"/>
          <w:bCs w:val="0"/>
          <w:sz w:val="22"/>
          <w:szCs w:val="22"/>
          <w:lang w:val="hr-HR"/>
        </w:rPr>
        <w:t xml:space="preserve"> kapital kao kategoriju kapitala kojom upravlja.</w:t>
      </w:r>
    </w:p>
    <w:p w:rsidR="006B4E35" w:rsidRPr="001567C8" w:rsidRDefault="006B4E35">
      <w:pPr>
        <w:pStyle w:val="T1"/>
        <w:tabs>
          <w:tab w:val="right" w:pos="9781"/>
        </w:tabs>
        <w:spacing w:before="0" w:after="0" w:line="240" w:lineRule="auto"/>
        <w:rPr>
          <w:rFonts w:asciiTheme="minorHAnsi" w:hAnsiTheme="minorHAnsi" w:cs="Arial"/>
          <w:b w:val="0"/>
          <w:bCs w:val="0"/>
          <w:sz w:val="22"/>
          <w:szCs w:val="22"/>
          <w:lang w:val="hr-HR"/>
        </w:rPr>
      </w:pPr>
    </w:p>
    <w:p w:rsidR="00060D6D" w:rsidRPr="001567C8" w:rsidRDefault="00CF17F9">
      <w:pPr>
        <w:pStyle w:val="T1"/>
        <w:tabs>
          <w:tab w:val="right" w:pos="9781"/>
        </w:tabs>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Regulatorni</w:t>
      </w:r>
      <w:r w:rsidR="00060D6D" w:rsidRPr="001567C8">
        <w:rPr>
          <w:rFonts w:asciiTheme="minorHAnsi" w:hAnsiTheme="minorHAnsi" w:cs="Arial"/>
          <w:b w:val="0"/>
          <w:bCs w:val="0"/>
          <w:sz w:val="22"/>
          <w:szCs w:val="22"/>
          <w:lang w:val="hr-HR"/>
        </w:rPr>
        <w:t xml:space="preserve"> kapital u svakome trenutku mora biti najmanje na razini osnivačkog kapitala, odnosno na razini koja osigurava stopu adekvatnosti kapitala na razini od najmanje </w:t>
      </w:r>
      <w:r w:rsidR="002F6E35" w:rsidRPr="001567C8">
        <w:rPr>
          <w:rFonts w:asciiTheme="minorHAnsi" w:hAnsiTheme="minorHAnsi" w:cs="Arial"/>
          <w:b w:val="0"/>
          <w:bCs w:val="0"/>
          <w:sz w:val="22"/>
          <w:szCs w:val="22"/>
          <w:lang w:val="hr-HR"/>
        </w:rPr>
        <w:t>12</w:t>
      </w:r>
      <w:r w:rsidR="00060D6D" w:rsidRPr="001567C8">
        <w:rPr>
          <w:rFonts w:asciiTheme="minorHAnsi" w:hAnsiTheme="minorHAnsi" w:cs="Arial"/>
          <w:b w:val="0"/>
          <w:bCs w:val="0"/>
          <w:sz w:val="22"/>
          <w:szCs w:val="22"/>
          <w:lang w:val="hr-HR"/>
        </w:rPr>
        <w:t>% te dovoljnoj za pokriće kapitalnih zahtjeva za rizike iz poslovanja.</w:t>
      </w:r>
    </w:p>
    <w:p w:rsidR="006B4E35" w:rsidRPr="001567C8" w:rsidRDefault="006B4E35">
      <w:pPr>
        <w:pStyle w:val="T1"/>
        <w:tabs>
          <w:tab w:val="right" w:pos="9781"/>
        </w:tabs>
        <w:spacing w:before="0" w:after="0" w:line="240" w:lineRule="auto"/>
        <w:rPr>
          <w:rFonts w:asciiTheme="minorHAnsi" w:hAnsiTheme="minorHAnsi" w:cs="Arial"/>
          <w:b w:val="0"/>
          <w:bCs w:val="0"/>
          <w:sz w:val="22"/>
          <w:szCs w:val="22"/>
          <w:lang w:val="hr-HR"/>
        </w:rPr>
      </w:pPr>
    </w:p>
    <w:p w:rsidR="006B4E35" w:rsidRPr="001567C8" w:rsidRDefault="00CF17F9">
      <w:pPr>
        <w:pStyle w:val="T1"/>
        <w:tabs>
          <w:tab w:val="right" w:pos="9781"/>
        </w:tabs>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Regulatorni</w:t>
      </w:r>
      <w:r w:rsidR="00060D6D" w:rsidRPr="001567C8">
        <w:rPr>
          <w:rFonts w:asciiTheme="minorHAnsi" w:hAnsiTheme="minorHAnsi" w:cs="Arial"/>
          <w:b w:val="0"/>
          <w:bCs w:val="0"/>
          <w:sz w:val="22"/>
          <w:szCs w:val="22"/>
          <w:lang w:val="hr-HR"/>
        </w:rPr>
        <w:t xml:space="preserve"> kapital </w:t>
      </w:r>
      <w:r w:rsidR="003A4807" w:rsidRPr="001567C8">
        <w:rPr>
          <w:rFonts w:asciiTheme="minorHAnsi" w:hAnsiTheme="minorHAnsi" w:cs="Arial"/>
          <w:b w:val="0"/>
          <w:bCs w:val="0"/>
          <w:sz w:val="22"/>
          <w:szCs w:val="22"/>
          <w:lang w:val="hr-HR"/>
        </w:rPr>
        <w:t>čini osnovni kapital umanjen za odbitne stavke.</w:t>
      </w:r>
    </w:p>
    <w:p w:rsidR="008E272C" w:rsidRPr="001567C8" w:rsidRDefault="008E272C">
      <w:pPr>
        <w:pStyle w:val="T1"/>
        <w:tabs>
          <w:tab w:val="right" w:pos="9781"/>
        </w:tabs>
        <w:spacing w:before="0" w:after="0" w:line="240" w:lineRule="auto"/>
        <w:rPr>
          <w:rFonts w:asciiTheme="minorHAnsi" w:hAnsiTheme="minorHAnsi" w:cs="Arial"/>
          <w:b w:val="0"/>
          <w:bCs w:val="0"/>
          <w:sz w:val="22"/>
          <w:szCs w:val="22"/>
          <w:lang w:val="hr-HR"/>
        </w:rPr>
      </w:pPr>
    </w:p>
    <w:p w:rsidR="00060D6D" w:rsidRPr="001567C8" w:rsidRDefault="003A4807">
      <w:pPr>
        <w:pStyle w:val="T1"/>
        <w:tabs>
          <w:tab w:val="right" w:pos="9781"/>
        </w:tabs>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Grupa </w:t>
      </w:r>
      <w:r w:rsidR="00060D6D" w:rsidRPr="001567C8">
        <w:rPr>
          <w:rFonts w:asciiTheme="minorHAnsi" w:hAnsiTheme="minorHAnsi" w:cs="Arial"/>
          <w:b w:val="0"/>
          <w:bCs w:val="0"/>
          <w:sz w:val="22"/>
          <w:szCs w:val="22"/>
          <w:lang w:val="hr-HR"/>
        </w:rPr>
        <w:t>je utvrdila mjere ostvarivanja i praćenja politike upravljanja kapitalom kako slijedi:</w:t>
      </w:r>
    </w:p>
    <w:p w:rsidR="00060D6D" w:rsidRPr="001567C8" w:rsidRDefault="00CF17F9">
      <w:pPr>
        <w:pStyle w:val="T1"/>
        <w:numPr>
          <w:ilvl w:val="0"/>
          <w:numId w:val="3"/>
        </w:numPr>
        <w:tabs>
          <w:tab w:val="right" w:pos="9781"/>
        </w:tabs>
        <w:spacing w:before="0" w:after="0" w:line="240" w:lineRule="auto"/>
        <w:ind w:left="714" w:hanging="357"/>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Regulatorni</w:t>
      </w:r>
      <w:r w:rsidR="00060D6D" w:rsidRPr="001567C8">
        <w:rPr>
          <w:rFonts w:asciiTheme="minorHAnsi" w:hAnsiTheme="minorHAnsi" w:cs="Arial"/>
          <w:b w:val="0"/>
          <w:bCs w:val="0"/>
          <w:sz w:val="22"/>
          <w:szCs w:val="22"/>
          <w:lang w:val="hr-HR"/>
        </w:rPr>
        <w:t xml:space="preserve"> kapital na svaki izvještajni datum u visini najmanje jednakoj iznosu osnivačkog kapitala izvještajnog razdoblja.</w:t>
      </w:r>
    </w:p>
    <w:p w:rsidR="00060D6D" w:rsidRPr="001567C8" w:rsidRDefault="00060D6D">
      <w:pPr>
        <w:pStyle w:val="T1"/>
        <w:numPr>
          <w:ilvl w:val="0"/>
          <w:numId w:val="3"/>
        </w:numPr>
        <w:tabs>
          <w:tab w:val="right" w:pos="9781"/>
        </w:tabs>
        <w:spacing w:before="0" w:after="0"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 xml:space="preserve">Stopa adekvatnosti kapitala na izvještajni datum u visini propisanoj za </w:t>
      </w:r>
      <w:r w:rsidR="00340C6F" w:rsidRPr="001567C8">
        <w:rPr>
          <w:rFonts w:asciiTheme="minorHAnsi" w:hAnsiTheme="minorHAnsi" w:cs="Arial"/>
          <w:b w:val="0"/>
          <w:bCs w:val="0"/>
          <w:sz w:val="22"/>
          <w:szCs w:val="22"/>
          <w:lang w:val="hr-HR"/>
        </w:rPr>
        <w:t>banke</w:t>
      </w:r>
      <w:r w:rsidR="003B47D0" w:rsidRPr="001567C8">
        <w:rPr>
          <w:rFonts w:asciiTheme="minorHAnsi" w:hAnsiTheme="minorHAnsi" w:cs="Arial"/>
          <w:b w:val="0"/>
          <w:bCs w:val="0"/>
          <w:sz w:val="22"/>
          <w:szCs w:val="22"/>
          <w:lang w:val="hr-HR"/>
        </w:rPr>
        <w:t xml:space="preserve"> </w:t>
      </w:r>
      <w:r w:rsidRPr="001567C8">
        <w:rPr>
          <w:rFonts w:asciiTheme="minorHAnsi" w:hAnsiTheme="minorHAnsi" w:cs="Arial"/>
          <w:b w:val="0"/>
          <w:bCs w:val="0"/>
          <w:sz w:val="22"/>
          <w:szCs w:val="22"/>
          <w:lang w:val="hr-HR"/>
        </w:rPr>
        <w:t xml:space="preserve">u Republici Hrvatskoj i standardnim ugovornim financijskim klauzulama iz ugovora o zaduživanju HBOR-a na financijskim tržištima i ugovorima zaključenima s posebnim financijskim institucijama. </w:t>
      </w:r>
    </w:p>
    <w:p w:rsidR="00807403" w:rsidRPr="001567C8" w:rsidRDefault="003A4807" w:rsidP="003C6BA3">
      <w:pPr>
        <w:pStyle w:val="T1"/>
        <w:keepNext w:val="0"/>
        <w:spacing w:line="240" w:lineRule="auto"/>
        <w:rPr>
          <w:rFonts w:asciiTheme="minorHAnsi" w:hAnsiTheme="minorHAnsi" w:cs="Arial"/>
          <w:b w:val="0"/>
          <w:bCs w:val="0"/>
          <w:sz w:val="22"/>
          <w:szCs w:val="22"/>
          <w:lang w:val="hr-HR"/>
        </w:rPr>
      </w:pPr>
      <w:r w:rsidRPr="001567C8">
        <w:rPr>
          <w:rFonts w:asciiTheme="minorHAnsi" w:hAnsiTheme="minorHAnsi" w:cs="Arial"/>
          <w:b w:val="0"/>
          <w:bCs w:val="0"/>
          <w:sz w:val="22"/>
          <w:szCs w:val="22"/>
          <w:lang w:val="hr-HR"/>
        </w:rPr>
        <w:t>Od 1. siječnja 2018. godine, Grupa izračunava regulatorni kapital i kapitalne zahtjeve u skladu sa Basel II zahtjevima, dok se do 31.</w:t>
      </w:r>
      <w:r w:rsidR="000C2DB4" w:rsidRPr="001567C8">
        <w:rPr>
          <w:rFonts w:asciiTheme="minorHAnsi" w:hAnsiTheme="minorHAnsi" w:cs="Arial"/>
          <w:b w:val="0"/>
          <w:bCs w:val="0"/>
          <w:sz w:val="22"/>
          <w:szCs w:val="22"/>
          <w:lang w:val="hr-HR"/>
        </w:rPr>
        <w:t xml:space="preserve"> prosinca </w:t>
      </w:r>
      <w:r w:rsidRPr="001567C8">
        <w:rPr>
          <w:rFonts w:asciiTheme="minorHAnsi" w:hAnsiTheme="minorHAnsi" w:cs="Arial"/>
          <w:b w:val="0"/>
          <w:bCs w:val="0"/>
          <w:sz w:val="22"/>
          <w:szCs w:val="22"/>
          <w:lang w:val="hr-HR"/>
        </w:rPr>
        <w:t>2017. godine izračunavao po Basel I zahtjevima. Izračunom prema Basel II regulativi stopa adekvatnosti kapitala je snižena te se u nastavku daje pregled stope adekvatnosti kapitala na dane 3</w:t>
      </w:r>
      <w:r w:rsidR="00AB0953" w:rsidRPr="001567C8">
        <w:rPr>
          <w:rFonts w:asciiTheme="minorHAnsi" w:hAnsiTheme="minorHAnsi" w:cs="Arial"/>
          <w:b w:val="0"/>
          <w:bCs w:val="0"/>
          <w:sz w:val="22"/>
          <w:szCs w:val="22"/>
          <w:lang w:val="hr-HR"/>
        </w:rPr>
        <w:t>1</w:t>
      </w:r>
      <w:r w:rsidRPr="001567C8">
        <w:rPr>
          <w:rFonts w:asciiTheme="minorHAnsi" w:hAnsiTheme="minorHAnsi" w:cs="Arial"/>
          <w:b w:val="0"/>
          <w:bCs w:val="0"/>
          <w:sz w:val="22"/>
          <w:szCs w:val="22"/>
          <w:lang w:val="hr-HR"/>
        </w:rPr>
        <w:t xml:space="preserve">. </w:t>
      </w:r>
      <w:r w:rsidR="00AB0953" w:rsidRPr="001567C8">
        <w:rPr>
          <w:rFonts w:asciiTheme="minorHAnsi" w:hAnsiTheme="minorHAnsi" w:cs="Arial"/>
          <w:b w:val="0"/>
          <w:bCs w:val="0"/>
          <w:sz w:val="22"/>
          <w:szCs w:val="22"/>
          <w:lang w:val="hr-HR"/>
        </w:rPr>
        <w:t>prosinca</w:t>
      </w:r>
      <w:r w:rsidRPr="001567C8">
        <w:rPr>
          <w:rFonts w:asciiTheme="minorHAnsi" w:hAnsiTheme="minorHAnsi" w:cs="Arial"/>
          <w:b w:val="0"/>
          <w:bCs w:val="0"/>
          <w:sz w:val="22"/>
          <w:szCs w:val="22"/>
          <w:lang w:val="hr-HR"/>
        </w:rPr>
        <w:t xml:space="preserve"> 2018. i 31. prosinca 2017. godine.</w:t>
      </w:r>
    </w:p>
    <w:tbl>
      <w:tblPr>
        <w:tblW w:w="5228" w:type="pct"/>
        <w:jc w:val="center"/>
        <w:tblLayout w:type="fixed"/>
        <w:tblLook w:val="01E0" w:firstRow="1" w:lastRow="1" w:firstColumn="1" w:lastColumn="1" w:noHBand="0" w:noVBand="0"/>
      </w:tblPr>
      <w:tblGrid>
        <w:gridCol w:w="4254"/>
        <w:gridCol w:w="1382"/>
        <w:gridCol w:w="1382"/>
        <w:gridCol w:w="1381"/>
        <w:gridCol w:w="1383"/>
      </w:tblGrid>
      <w:tr w:rsidR="002E572F" w:rsidRPr="001567C8" w:rsidTr="003C6BA3">
        <w:trPr>
          <w:trHeight w:val="190"/>
          <w:jc w:val="center"/>
        </w:trPr>
        <w:tc>
          <w:tcPr>
            <w:tcW w:w="2174" w:type="pct"/>
          </w:tcPr>
          <w:p w:rsidR="00F55B39" w:rsidRPr="001567C8" w:rsidRDefault="00F55B39" w:rsidP="007A66E0">
            <w:pPr>
              <w:pStyle w:val="T1"/>
              <w:keepNext w:val="0"/>
              <w:tabs>
                <w:tab w:val="right" w:pos="9781"/>
              </w:tabs>
              <w:spacing w:before="0" w:after="0" w:line="220" w:lineRule="exact"/>
              <w:rPr>
                <w:rFonts w:asciiTheme="minorHAnsi" w:hAnsiTheme="minorHAnsi" w:cs="Arial"/>
                <w:b w:val="0"/>
                <w:bCs w:val="0"/>
                <w:sz w:val="20"/>
                <w:lang w:val="hr-HR"/>
              </w:rPr>
            </w:pPr>
          </w:p>
        </w:tc>
        <w:tc>
          <w:tcPr>
            <w:tcW w:w="706" w:type="pct"/>
            <w:vAlign w:val="bottom"/>
          </w:tcPr>
          <w:p w:rsidR="00F55B39" w:rsidRPr="001567C8" w:rsidRDefault="00F55B39" w:rsidP="007A66E0">
            <w:pPr>
              <w:pStyle w:val="TH"/>
              <w:jc w:val="right"/>
              <w:rPr>
                <w:rFonts w:asciiTheme="minorHAnsi" w:hAnsiTheme="minorHAnsi" w:cs="Arial"/>
                <w:sz w:val="20"/>
                <w:lang w:val="hr-HR"/>
              </w:rPr>
            </w:pPr>
          </w:p>
        </w:tc>
        <w:tc>
          <w:tcPr>
            <w:tcW w:w="706" w:type="pct"/>
            <w:vAlign w:val="bottom"/>
          </w:tcPr>
          <w:p w:rsidR="00F55B39" w:rsidRPr="001567C8" w:rsidRDefault="00EB0614" w:rsidP="008A32EF">
            <w:pPr>
              <w:pStyle w:val="TH"/>
              <w:jc w:val="right"/>
              <w:rPr>
                <w:rFonts w:asciiTheme="minorHAnsi" w:hAnsiTheme="minorHAnsi" w:cs="Arial"/>
                <w:sz w:val="20"/>
                <w:lang w:val="hr-HR"/>
              </w:rPr>
            </w:pPr>
            <w:r w:rsidRPr="001567C8">
              <w:rPr>
                <w:rFonts w:asciiTheme="minorHAnsi" w:hAnsiTheme="minorHAnsi" w:cs="Arial"/>
                <w:sz w:val="20"/>
                <w:lang w:val="hr-HR"/>
              </w:rPr>
              <w:t>Grupa</w:t>
            </w:r>
          </w:p>
        </w:tc>
        <w:tc>
          <w:tcPr>
            <w:tcW w:w="706" w:type="pct"/>
            <w:vAlign w:val="bottom"/>
          </w:tcPr>
          <w:p w:rsidR="00F55B39" w:rsidRPr="001567C8" w:rsidRDefault="00F55B39" w:rsidP="007A66E0">
            <w:pPr>
              <w:pStyle w:val="TH"/>
              <w:jc w:val="right"/>
              <w:rPr>
                <w:rFonts w:asciiTheme="minorHAnsi" w:hAnsiTheme="minorHAnsi" w:cs="Arial"/>
                <w:sz w:val="20"/>
                <w:lang w:val="hr-HR"/>
              </w:rPr>
            </w:pPr>
          </w:p>
        </w:tc>
        <w:tc>
          <w:tcPr>
            <w:tcW w:w="707" w:type="pct"/>
          </w:tcPr>
          <w:p w:rsidR="00F55B39" w:rsidRPr="001567C8" w:rsidRDefault="00EB0614" w:rsidP="008A32EF">
            <w:pPr>
              <w:pStyle w:val="TH"/>
              <w:jc w:val="right"/>
              <w:rPr>
                <w:rFonts w:asciiTheme="minorHAnsi" w:hAnsiTheme="minorHAnsi" w:cs="Arial"/>
                <w:sz w:val="20"/>
                <w:lang w:val="hr-HR"/>
              </w:rPr>
            </w:pPr>
            <w:r w:rsidRPr="001567C8">
              <w:rPr>
                <w:rFonts w:asciiTheme="minorHAnsi" w:hAnsiTheme="minorHAnsi" w:cs="Arial"/>
                <w:sz w:val="20"/>
                <w:lang w:val="hr-HR"/>
              </w:rPr>
              <w:t>Banka</w:t>
            </w:r>
          </w:p>
        </w:tc>
      </w:tr>
      <w:tr w:rsidR="0025397E" w:rsidRPr="001567C8" w:rsidTr="003C6BA3">
        <w:trPr>
          <w:trHeight w:val="190"/>
          <w:jc w:val="center"/>
        </w:trPr>
        <w:tc>
          <w:tcPr>
            <w:tcW w:w="2174" w:type="pct"/>
          </w:tcPr>
          <w:p w:rsidR="0025397E" w:rsidRPr="001567C8" w:rsidRDefault="0025397E" w:rsidP="0025397E">
            <w:pPr>
              <w:pStyle w:val="T1"/>
              <w:keepNext w:val="0"/>
              <w:tabs>
                <w:tab w:val="right" w:pos="9781"/>
              </w:tabs>
              <w:spacing w:before="0" w:after="0" w:line="220" w:lineRule="exact"/>
              <w:rPr>
                <w:rFonts w:asciiTheme="minorHAnsi" w:hAnsiTheme="minorHAnsi" w:cs="Arial"/>
                <w:b w:val="0"/>
                <w:bCs w:val="0"/>
                <w:sz w:val="20"/>
                <w:lang w:val="hr-HR"/>
              </w:rPr>
            </w:pPr>
          </w:p>
        </w:tc>
        <w:tc>
          <w:tcPr>
            <w:tcW w:w="706" w:type="pct"/>
            <w:vAlign w:val="bottom"/>
          </w:tcPr>
          <w:p w:rsidR="0025397E" w:rsidRPr="001567C8" w:rsidRDefault="00AD2EF7" w:rsidP="0025397E">
            <w:pPr>
              <w:pStyle w:val="TH"/>
              <w:jc w:val="right"/>
              <w:rPr>
                <w:rFonts w:asciiTheme="minorHAnsi" w:hAnsiTheme="minorHAnsi" w:cs="Arial"/>
                <w:sz w:val="20"/>
                <w:lang w:val="hr-HR"/>
              </w:rPr>
            </w:pPr>
            <w:r>
              <w:rPr>
                <w:rFonts w:asciiTheme="minorHAnsi" w:hAnsiTheme="minorHAnsi" w:cs="Arial"/>
                <w:sz w:val="20"/>
                <w:lang w:val="hr-HR"/>
              </w:rPr>
              <w:t>31. prosin</w:t>
            </w:r>
            <w:r w:rsidR="0073283D" w:rsidRPr="001567C8">
              <w:rPr>
                <w:rFonts w:asciiTheme="minorHAnsi" w:hAnsiTheme="minorHAnsi" w:cs="Arial"/>
                <w:sz w:val="20"/>
                <w:lang w:val="hr-HR"/>
              </w:rPr>
              <w:t>c</w:t>
            </w:r>
            <w:r>
              <w:rPr>
                <w:rFonts w:asciiTheme="minorHAnsi" w:hAnsiTheme="minorHAnsi" w:cs="Arial"/>
                <w:sz w:val="20"/>
                <w:lang w:val="hr-HR"/>
              </w:rPr>
              <w:t>a</w:t>
            </w:r>
            <w:r w:rsidR="0073283D" w:rsidRPr="001567C8">
              <w:rPr>
                <w:rFonts w:asciiTheme="minorHAnsi" w:hAnsiTheme="minorHAnsi" w:cs="Arial"/>
                <w:sz w:val="20"/>
                <w:lang w:val="hr-HR"/>
              </w:rPr>
              <w:t xml:space="preserve"> </w:t>
            </w:r>
            <w:r w:rsidR="00C2433A" w:rsidRPr="001567C8">
              <w:rPr>
                <w:rFonts w:asciiTheme="minorHAnsi" w:hAnsiTheme="minorHAnsi" w:cs="Arial"/>
                <w:sz w:val="20"/>
                <w:lang w:val="hr-HR"/>
              </w:rPr>
              <w:t>2018</w:t>
            </w:r>
            <w:r w:rsidR="0025397E" w:rsidRPr="001567C8">
              <w:rPr>
                <w:rFonts w:asciiTheme="minorHAnsi" w:hAnsiTheme="minorHAnsi" w:cs="Arial"/>
                <w:sz w:val="20"/>
                <w:lang w:val="hr-HR"/>
              </w:rPr>
              <w:t>.</w:t>
            </w:r>
          </w:p>
        </w:tc>
        <w:tc>
          <w:tcPr>
            <w:tcW w:w="706" w:type="pct"/>
            <w:vAlign w:val="bottom"/>
          </w:tcPr>
          <w:p w:rsidR="0025397E" w:rsidRPr="001567C8" w:rsidRDefault="00AD2EF7" w:rsidP="0025397E">
            <w:pPr>
              <w:pStyle w:val="TH"/>
              <w:jc w:val="right"/>
              <w:rPr>
                <w:rFonts w:asciiTheme="minorHAnsi" w:hAnsiTheme="minorHAnsi" w:cs="Arial"/>
                <w:sz w:val="20"/>
                <w:lang w:val="hr-HR"/>
              </w:rPr>
            </w:pPr>
            <w:r>
              <w:rPr>
                <w:rFonts w:asciiTheme="minorHAnsi" w:hAnsiTheme="minorHAnsi" w:cs="Arial"/>
                <w:sz w:val="20"/>
                <w:lang w:val="hr-HR"/>
              </w:rPr>
              <w:t>31.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C2433A" w:rsidRPr="001567C8">
              <w:rPr>
                <w:rFonts w:asciiTheme="minorHAnsi" w:hAnsiTheme="minorHAnsi" w:cs="Arial"/>
                <w:sz w:val="20"/>
                <w:lang w:val="hr-HR"/>
              </w:rPr>
              <w:t>2017</w:t>
            </w:r>
            <w:r w:rsidR="0025397E" w:rsidRPr="001567C8">
              <w:rPr>
                <w:rFonts w:asciiTheme="minorHAnsi" w:hAnsiTheme="minorHAnsi" w:cs="Arial"/>
                <w:sz w:val="20"/>
                <w:lang w:val="hr-HR"/>
              </w:rPr>
              <w:t>.</w:t>
            </w:r>
          </w:p>
        </w:tc>
        <w:tc>
          <w:tcPr>
            <w:tcW w:w="706" w:type="pct"/>
            <w:vAlign w:val="bottom"/>
          </w:tcPr>
          <w:p w:rsidR="0025397E" w:rsidRPr="001567C8" w:rsidRDefault="00AD2EF7" w:rsidP="0025397E">
            <w:pPr>
              <w:pStyle w:val="TH"/>
              <w:jc w:val="right"/>
              <w:rPr>
                <w:rFonts w:asciiTheme="minorHAnsi" w:hAnsiTheme="minorHAnsi" w:cs="Arial"/>
                <w:sz w:val="20"/>
                <w:lang w:val="hr-HR"/>
              </w:rPr>
            </w:pPr>
            <w:r>
              <w:rPr>
                <w:rFonts w:asciiTheme="minorHAnsi" w:hAnsiTheme="minorHAnsi" w:cs="Arial"/>
                <w:sz w:val="20"/>
                <w:lang w:val="hr-HR"/>
              </w:rPr>
              <w:t>31.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C2433A" w:rsidRPr="001567C8">
              <w:rPr>
                <w:rFonts w:asciiTheme="minorHAnsi" w:hAnsiTheme="minorHAnsi" w:cs="Arial"/>
                <w:sz w:val="20"/>
                <w:lang w:val="hr-HR"/>
              </w:rPr>
              <w:t>2018</w:t>
            </w:r>
            <w:r w:rsidR="0025397E" w:rsidRPr="001567C8">
              <w:rPr>
                <w:rFonts w:asciiTheme="minorHAnsi" w:hAnsiTheme="minorHAnsi" w:cs="Arial"/>
                <w:sz w:val="20"/>
                <w:lang w:val="hr-HR"/>
              </w:rPr>
              <w:t>.</w:t>
            </w:r>
          </w:p>
        </w:tc>
        <w:tc>
          <w:tcPr>
            <w:tcW w:w="707" w:type="pct"/>
            <w:vAlign w:val="bottom"/>
          </w:tcPr>
          <w:p w:rsidR="0025397E" w:rsidRPr="001567C8" w:rsidRDefault="00AD2EF7" w:rsidP="0025397E">
            <w:pPr>
              <w:pStyle w:val="TH"/>
              <w:jc w:val="right"/>
              <w:rPr>
                <w:rFonts w:asciiTheme="minorHAnsi" w:hAnsiTheme="minorHAnsi" w:cs="Arial"/>
                <w:sz w:val="20"/>
                <w:lang w:val="hr-HR"/>
              </w:rPr>
            </w:pPr>
            <w:r>
              <w:rPr>
                <w:rFonts w:asciiTheme="minorHAnsi" w:hAnsiTheme="minorHAnsi" w:cs="Arial"/>
                <w:sz w:val="20"/>
                <w:lang w:val="hr-HR"/>
              </w:rPr>
              <w:t>31. prosin</w:t>
            </w:r>
            <w:r w:rsidRPr="001567C8">
              <w:rPr>
                <w:rFonts w:asciiTheme="minorHAnsi" w:hAnsiTheme="minorHAnsi" w:cs="Arial"/>
                <w:sz w:val="20"/>
                <w:lang w:val="hr-HR"/>
              </w:rPr>
              <w:t>c</w:t>
            </w:r>
            <w:r>
              <w:rPr>
                <w:rFonts w:asciiTheme="minorHAnsi" w:hAnsiTheme="minorHAnsi" w:cs="Arial"/>
                <w:sz w:val="20"/>
                <w:lang w:val="hr-HR"/>
              </w:rPr>
              <w:t>a</w:t>
            </w:r>
            <w:r w:rsidRPr="001567C8">
              <w:rPr>
                <w:rFonts w:asciiTheme="minorHAnsi" w:hAnsiTheme="minorHAnsi" w:cs="Arial"/>
                <w:sz w:val="20"/>
                <w:lang w:val="hr-HR"/>
              </w:rPr>
              <w:t xml:space="preserve"> </w:t>
            </w:r>
            <w:r w:rsidR="00C2433A" w:rsidRPr="001567C8">
              <w:rPr>
                <w:rFonts w:asciiTheme="minorHAnsi" w:hAnsiTheme="minorHAnsi" w:cs="Arial"/>
                <w:sz w:val="20"/>
                <w:lang w:val="hr-HR"/>
              </w:rPr>
              <w:t>2017</w:t>
            </w:r>
            <w:r w:rsidR="0025397E" w:rsidRPr="001567C8">
              <w:rPr>
                <w:rFonts w:asciiTheme="minorHAnsi" w:hAnsiTheme="minorHAnsi" w:cs="Arial"/>
                <w:sz w:val="20"/>
                <w:lang w:val="hr-HR"/>
              </w:rPr>
              <w:t>.</w:t>
            </w:r>
          </w:p>
        </w:tc>
      </w:tr>
      <w:tr w:rsidR="0025397E" w:rsidRPr="001567C8" w:rsidTr="003C6BA3">
        <w:trPr>
          <w:trHeight w:val="185"/>
          <w:jc w:val="center"/>
        </w:trPr>
        <w:tc>
          <w:tcPr>
            <w:tcW w:w="2174" w:type="pct"/>
          </w:tcPr>
          <w:p w:rsidR="0025397E" w:rsidRPr="001567C8" w:rsidRDefault="0025397E" w:rsidP="0025397E">
            <w:pPr>
              <w:pStyle w:val="TH"/>
              <w:tabs>
                <w:tab w:val="right" w:pos="9781"/>
              </w:tabs>
              <w:spacing w:line="220" w:lineRule="exact"/>
              <w:rPr>
                <w:rFonts w:asciiTheme="minorHAnsi" w:hAnsiTheme="minorHAnsi" w:cs="Arial"/>
                <w:b w:val="0"/>
                <w:bCs/>
                <w:sz w:val="20"/>
                <w:lang w:val="hr-HR"/>
              </w:rPr>
            </w:pPr>
          </w:p>
        </w:tc>
        <w:tc>
          <w:tcPr>
            <w:tcW w:w="706" w:type="pct"/>
            <w:vAlign w:val="center"/>
          </w:tcPr>
          <w:p w:rsidR="0025397E" w:rsidRPr="001567C8" w:rsidRDefault="0025397E" w:rsidP="0025397E">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c>
          <w:tcPr>
            <w:tcW w:w="706" w:type="pct"/>
            <w:vAlign w:val="center"/>
          </w:tcPr>
          <w:p w:rsidR="0025397E" w:rsidRPr="001567C8" w:rsidRDefault="0025397E" w:rsidP="0025397E">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c>
          <w:tcPr>
            <w:tcW w:w="706" w:type="pct"/>
            <w:vAlign w:val="center"/>
          </w:tcPr>
          <w:p w:rsidR="0025397E" w:rsidRPr="001567C8" w:rsidRDefault="0025397E" w:rsidP="0025397E">
            <w:pPr>
              <w:pStyle w:val="T1"/>
              <w:spacing w:before="0" w:after="0"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c>
          <w:tcPr>
            <w:tcW w:w="707" w:type="pct"/>
            <w:vAlign w:val="center"/>
          </w:tcPr>
          <w:p w:rsidR="0025397E" w:rsidRPr="001567C8" w:rsidRDefault="0025397E" w:rsidP="0025397E">
            <w:pPr>
              <w:pStyle w:val="T1"/>
              <w:spacing w:before="0" w:after="0"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r>
      <w:tr w:rsidR="00E25365" w:rsidRPr="001567C8" w:rsidTr="003C6BA3">
        <w:trPr>
          <w:trHeight w:val="185"/>
          <w:jc w:val="center"/>
        </w:trPr>
        <w:tc>
          <w:tcPr>
            <w:tcW w:w="2174" w:type="pct"/>
          </w:tcPr>
          <w:p w:rsidR="00E25365" w:rsidRPr="001567C8" w:rsidRDefault="00E25365" w:rsidP="0025397E">
            <w:pPr>
              <w:pStyle w:val="TH"/>
              <w:tabs>
                <w:tab w:val="right" w:pos="9781"/>
              </w:tabs>
              <w:spacing w:line="220" w:lineRule="exact"/>
              <w:rPr>
                <w:rFonts w:asciiTheme="minorHAnsi" w:hAnsiTheme="minorHAnsi" w:cs="Arial"/>
                <w:b w:val="0"/>
                <w:bCs/>
                <w:sz w:val="20"/>
                <w:lang w:val="hr-HR"/>
              </w:rPr>
            </w:pPr>
          </w:p>
        </w:tc>
        <w:tc>
          <w:tcPr>
            <w:tcW w:w="706" w:type="pct"/>
            <w:vAlign w:val="center"/>
          </w:tcPr>
          <w:p w:rsidR="00E25365" w:rsidRPr="001567C8" w:rsidRDefault="00E25365" w:rsidP="0025397E">
            <w:pPr>
              <w:pStyle w:val="TH"/>
              <w:spacing w:line="220" w:lineRule="exact"/>
              <w:jc w:val="right"/>
              <w:rPr>
                <w:rFonts w:asciiTheme="minorHAnsi" w:hAnsiTheme="minorHAnsi" w:cs="Arial"/>
                <w:sz w:val="20"/>
                <w:lang w:val="hr-HR"/>
              </w:rPr>
            </w:pPr>
          </w:p>
        </w:tc>
        <w:tc>
          <w:tcPr>
            <w:tcW w:w="706" w:type="pct"/>
            <w:vAlign w:val="center"/>
          </w:tcPr>
          <w:p w:rsidR="00E25365" w:rsidRPr="001567C8" w:rsidRDefault="00E25365" w:rsidP="0025397E">
            <w:pPr>
              <w:pStyle w:val="TH"/>
              <w:spacing w:line="220" w:lineRule="exact"/>
              <w:jc w:val="right"/>
              <w:rPr>
                <w:rFonts w:asciiTheme="minorHAnsi" w:hAnsiTheme="minorHAnsi" w:cs="Arial"/>
                <w:sz w:val="20"/>
                <w:lang w:val="hr-HR"/>
              </w:rPr>
            </w:pPr>
          </w:p>
        </w:tc>
        <w:tc>
          <w:tcPr>
            <w:tcW w:w="706" w:type="pct"/>
            <w:vAlign w:val="center"/>
          </w:tcPr>
          <w:p w:rsidR="00E25365" w:rsidRPr="001567C8" w:rsidRDefault="00E25365" w:rsidP="0025397E">
            <w:pPr>
              <w:pStyle w:val="T1"/>
              <w:spacing w:before="0" w:after="0" w:line="220" w:lineRule="exact"/>
              <w:jc w:val="right"/>
              <w:rPr>
                <w:rFonts w:asciiTheme="minorHAnsi" w:hAnsiTheme="minorHAnsi" w:cs="Arial"/>
                <w:sz w:val="20"/>
                <w:lang w:val="hr-HR"/>
              </w:rPr>
            </w:pPr>
          </w:p>
        </w:tc>
        <w:tc>
          <w:tcPr>
            <w:tcW w:w="707" w:type="pct"/>
            <w:vAlign w:val="center"/>
          </w:tcPr>
          <w:p w:rsidR="00E25365" w:rsidRPr="001567C8" w:rsidRDefault="00E25365" w:rsidP="0025397E">
            <w:pPr>
              <w:pStyle w:val="T1"/>
              <w:spacing w:before="0" w:after="0" w:line="220" w:lineRule="exact"/>
              <w:jc w:val="right"/>
              <w:rPr>
                <w:rFonts w:asciiTheme="minorHAnsi" w:hAnsiTheme="minorHAnsi" w:cs="Arial"/>
                <w:sz w:val="20"/>
                <w:lang w:val="hr-HR"/>
              </w:rPr>
            </w:pPr>
          </w:p>
        </w:tc>
      </w:tr>
      <w:tr w:rsidR="00C2433A" w:rsidRPr="001567C8" w:rsidTr="003C6BA3">
        <w:trPr>
          <w:trHeight w:val="241"/>
          <w:jc w:val="center"/>
        </w:trPr>
        <w:tc>
          <w:tcPr>
            <w:tcW w:w="2174" w:type="pct"/>
            <w:vAlign w:val="bottom"/>
          </w:tcPr>
          <w:p w:rsidR="00C2433A" w:rsidRPr="001567C8" w:rsidRDefault="00C2433A" w:rsidP="00C2433A">
            <w:pPr>
              <w:pStyle w:val="TT"/>
              <w:tabs>
                <w:tab w:val="right" w:pos="9781"/>
              </w:tabs>
              <w:spacing w:line="220" w:lineRule="exact"/>
              <w:rPr>
                <w:rFonts w:asciiTheme="minorHAnsi" w:hAnsiTheme="minorHAnsi" w:cs="Arial"/>
                <w:b/>
                <w:bCs/>
                <w:sz w:val="20"/>
                <w:lang w:val="hr-HR"/>
              </w:rPr>
            </w:pPr>
            <w:r w:rsidRPr="001567C8">
              <w:rPr>
                <w:rFonts w:asciiTheme="minorHAnsi" w:hAnsiTheme="minorHAnsi" w:cs="Arial"/>
                <w:b/>
                <w:bCs/>
                <w:sz w:val="20"/>
                <w:lang w:val="hr-HR"/>
              </w:rPr>
              <w:t>Ukupni regulatorni kapital</w:t>
            </w:r>
          </w:p>
        </w:tc>
        <w:tc>
          <w:tcPr>
            <w:tcW w:w="706" w:type="pct"/>
            <w:tcBorders>
              <w:top w:val="nil"/>
              <w:left w:val="nil"/>
              <w:bottom w:val="nil"/>
              <w:right w:val="nil"/>
            </w:tcBorders>
            <w:shd w:val="clear" w:color="auto" w:fill="auto"/>
            <w:vAlign w:val="center"/>
          </w:tcPr>
          <w:p w:rsidR="00C2433A" w:rsidRPr="001567C8" w:rsidRDefault="00002051" w:rsidP="00C2433A">
            <w:pPr>
              <w:pStyle w:val="TT"/>
              <w:jc w:val="right"/>
              <w:rPr>
                <w:rFonts w:asciiTheme="minorHAnsi" w:hAnsiTheme="minorHAnsi" w:cs="Arial"/>
                <w:b/>
                <w:sz w:val="20"/>
                <w:lang w:val="hr-HR"/>
              </w:rPr>
            </w:pPr>
            <w:r w:rsidRPr="00CD3A2D">
              <w:rPr>
                <w:rFonts w:ascii="Calibri" w:hAnsi="Calibri"/>
                <w:b/>
                <w:color w:val="000000"/>
                <w:sz w:val="20"/>
                <w:lang w:val="hr-HR"/>
              </w:rPr>
              <w:t>9.816.139</w:t>
            </w:r>
          </w:p>
        </w:tc>
        <w:tc>
          <w:tcPr>
            <w:tcW w:w="706" w:type="pct"/>
            <w:tcBorders>
              <w:top w:val="nil"/>
              <w:left w:val="nil"/>
              <w:bottom w:val="nil"/>
              <w:right w:val="nil"/>
            </w:tcBorders>
            <w:shd w:val="clear" w:color="auto" w:fill="auto"/>
            <w:vAlign w:val="center"/>
          </w:tcPr>
          <w:p w:rsidR="00C2433A" w:rsidRPr="001567C8" w:rsidRDefault="00C2433A" w:rsidP="00C2433A">
            <w:pPr>
              <w:pStyle w:val="TT"/>
              <w:jc w:val="right"/>
              <w:rPr>
                <w:rFonts w:asciiTheme="minorHAnsi" w:hAnsiTheme="minorHAnsi" w:cs="Arial"/>
                <w:b/>
                <w:sz w:val="20"/>
                <w:lang w:val="hr-HR"/>
              </w:rPr>
            </w:pPr>
            <w:r w:rsidRPr="00CD3A2D">
              <w:rPr>
                <w:rFonts w:ascii="Calibri" w:hAnsi="Calibri"/>
                <w:b/>
                <w:color w:val="000000"/>
                <w:sz w:val="20"/>
                <w:lang w:val="hr-HR"/>
              </w:rPr>
              <w:t>10.</w:t>
            </w:r>
            <w:r w:rsidRPr="00CD3A2D">
              <w:rPr>
                <w:rFonts w:ascii="Calibri" w:hAnsi="Calibri"/>
                <w:b/>
                <w:bCs/>
                <w:color w:val="000000"/>
                <w:sz w:val="20"/>
                <w:lang w:val="hr-HR"/>
              </w:rPr>
              <w:t>487</w:t>
            </w:r>
            <w:r w:rsidRPr="00CD3A2D">
              <w:rPr>
                <w:rFonts w:ascii="Calibri" w:hAnsi="Calibri"/>
                <w:b/>
                <w:color w:val="000000"/>
                <w:sz w:val="20"/>
                <w:lang w:val="hr-HR"/>
              </w:rPr>
              <w:t>.346</w:t>
            </w:r>
          </w:p>
        </w:tc>
        <w:tc>
          <w:tcPr>
            <w:tcW w:w="706" w:type="pct"/>
            <w:tcBorders>
              <w:top w:val="nil"/>
              <w:left w:val="nil"/>
              <w:bottom w:val="nil"/>
              <w:right w:val="nil"/>
            </w:tcBorders>
            <w:shd w:val="clear" w:color="auto" w:fill="auto"/>
            <w:vAlign w:val="bottom"/>
          </w:tcPr>
          <w:p w:rsidR="00C2433A" w:rsidRPr="001567C8" w:rsidRDefault="00C2433A" w:rsidP="00EE5455">
            <w:pPr>
              <w:pStyle w:val="TT"/>
              <w:jc w:val="right"/>
              <w:rPr>
                <w:rFonts w:asciiTheme="minorHAnsi" w:hAnsiTheme="minorHAnsi" w:cs="Arial"/>
                <w:b/>
                <w:sz w:val="20"/>
                <w:lang w:val="hr-HR"/>
              </w:rPr>
            </w:pPr>
            <w:r w:rsidRPr="00CD3A2D">
              <w:rPr>
                <w:rFonts w:asciiTheme="minorHAnsi" w:hAnsiTheme="minorHAnsi"/>
                <w:b/>
                <w:sz w:val="20"/>
                <w:lang w:val="hr-HR"/>
              </w:rPr>
              <w:t>9.815.749</w:t>
            </w:r>
          </w:p>
        </w:tc>
        <w:tc>
          <w:tcPr>
            <w:tcW w:w="707" w:type="pct"/>
            <w:tcBorders>
              <w:top w:val="nil"/>
              <w:left w:val="nil"/>
              <w:bottom w:val="nil"/>
              <w:right w:val="nil"/>
            </w:tcBorders>
            <w:shd w:val="clear" w:color="auto" w:fill="auto"/>
            <w:vAlign w:val="center"/>
          </w:tcPr>
          <w:p w:rsidR="00C2433A" w:rsidRPr="001567C8" w:rsidRDefault="00C2433A" w:rsidP="00C2433A">
            <w:pPr>
              <w:pStyle w:val="TT"/>
              <w:jc w:val="right"/>
              <w:rPr>
                <w:rFonts w:asciiTheme="minorHAnsi" w:hAnsiTheme="minorHAnsi" w:cs="Arial"/>
                <w:b/>
                <w:sz w:val="20"/>
                <w:lang w:val="hr-HR"/>
              </w:rPr>
            </w:pPr>
            <w:r w:rsidRPr="00CD3A2D">
              <w:rPr>
                <w:rFonts w:ascii="Calibri" w:hAnsi="Calibri"/>
                <w:b/>
                <w:color w:val="000000"/>
                <w:sz w:val="20"/>
                <w:lang w:val="hr-HR"/>
              </w:rPr>
              <w:t>10.485.928</w:t>
            </w:r>
          </w:p>
        </w:tc>
      </w:tr>
      <w:tr w:rsidR="00C2433A" w:rsidRPr="001567C8" w:rsidTr="003C6BA3">
        <w:trPr>
          <w:trHeight w:val="311"/>
          <w:jc w:val="center"/>
        </w:trPr>
        <w:tc>
          <w:tcPr>
            <w:tcW w:w="2174" w:type="pct"/>
            <w:vAlign w:val="bottom"/>
          </w:tcPr>
          <w:p w:rsidR="00C2433A" w:rsidRPr="001567C8" w:rsidRDefault="00C2433A" w:rsidP="00EE5455">
            <w:pPr>
              <w:pStyle w:val="TT"/>
              <w:tabs>
                <w:tab w:val="right" w:pos="9781"/>
              </w:tabs>
              <w:spacing w:line="220" w:lineRule="exact"/>
              <w:rPr>
                <w:rFonts w:asciiTheme="minorHAnsi" w:hAnsiTheme="minorHAnsi" w:cs="Arial"/>
                <w:b/>
                <w:bCs/>
                <w:sz w:val="20"/>
                <w:lang w:val="hr-HR"/>
              </w:rPr>
            </w:pPr>
            <w:r w:rsidRPr="00CD3A2D">
              <w:rPr>
                <w:rFonts w:asciiTheme="minorHAnsi" w:hAnsiTheme="minorHAnsi"/>
                <w:sz w:val="20"/>
                <w:lang w:val="hr-HR"/>
              </w:rPr>
              <w:t>Iznos izloženosti ponderiran kreditnim rizikom</w:t>
            </w:r>
          </w:p>
        </w:tc>
        <w:tc>
          <w:tcPr>
            <w:tcW w:w="706" w:type="pct"/>
            <w:tcBorders>
              <w:top w:val="nil"/>
              <w:left w:val="nil"/>
              <w:bottom w:val="nil"/>
              <w:right w:val="nil"/>
            </w:tcBorders>
            <w:shd w:val="clear" w:color="auto" w:fill="auto"/>
            <w:vAlign w:val="bottom"/>
          </w:tcPr>
          <w:p w:rsidR="00C2433A" w:rsidRPr="00CD3A2D" w:rsidRDefault="00002051" w:rsidP="00EE5455">
            <w:pPr>
              <w:pStyle w:val="TT"/>
              <w:jc w:val="right"/>
              <w:rPr>
                <w:rFonts w:ascii="Calibri" w:hAnsi="Calibri"/>
                <w:color w:val="000000"/>
                <w:sz w:val="20"/>
                <w:lang w:val="hr-HR"/>
              </w:rPr>
            </w:pPr>
            <w:r w:rsidRPr="00CD3A2D">
              <w:rPr>
                <w:rFonts w:ascii="Calibri" w:hAnsi="Calibri"/>
                <w:color w:val="000000"/>
                <w:sz w:val="20"/>
                <w:lang w:val="hr-HR"/>
              </w:rPr>
              <w:t>15.519.739</w:t>
            </w:r>
          </w:p>
        </w:tc>
        <w:tc>
          <w:tcPr>
            <w:tcW w:w="706" w:type="pct"/>
            <w:tcBorders>
              <w:top w:val="nil"/>
              <w:left w:val="nil"/>
              <w:bottom w:val="nil"/>
              <w:right w:val="nil"/>
            </w:tcBorders>
            <w:shd w:val="clear" w:color="auto" w:fill="auto"/>
            <w:vAlign w:val="bottom"/>
          </w:tcPr>
          <w:p w:rsidR="00C2433A" w:rsidRPr="00CD3A2D" w:rsidRDefault="00C2433A" w:rsidP="00EE5455">
            <w:pPr>
              <w:pStyle w:val="TT"/>
              <w:jc w:val="right"/>
              <w:rPr>
                <w:rFonts w:ascii="Calibri" w:hAnsi="Calibri"/>
                <w:color w:val="000000"/>
                <w:sz w:val="20"/>
                <w:lang w:val="hr-HR"/>
              </w:rPr>
            </w:pPr>
            <w:r w:rsidRPr="00CD3A2D">
              <w:rPr>
                <w:rFonts w:ascii="Calibri" w:hAnsi="Calibri"/>
                <w:color w:val="000000"/>
                <w:sz w:val="20"/>
                <w:lang w:val="hr-HR"/>
              </w:rPr>
              <w:t>n/p</w:t>
            </w:r>
          </w:p>
        </w:tc>
        <w:tc>
          <w:tcPr>
            <w:tcW w:w="706" w:type="pct"/>
            <w:tcBorders>
              <w:top w:val="nil"/>
              <w:left w:val="nil"/>
              <w:bottom w:val="nil"/>
              <w:right w:val="nil"/>
            </w:tcBorders>
            <w:shd w:val="clear" w:color="auto" w:fill="auto"/>
            <w:vAlign w:val="bottom"/>
          </w:tcPr>
          <w:p w:rsidR="00C2433A" w:rsidRPr="00CD3A2D" w:rsidRDefault="00C2433A" w:rsidP="00EE5455">
            <w:pPr>
              <w:pStyle w:val="TT"/>
              <w:jc w:val="right"/>
              <w:rPr>
                <w:rFonts w:asciiTheme="minorHAnsi" w:hAnsiTheme="minorHAnsi"/>
                <w:color w:val="000000"/>
                <w:sz w:val="20"/>
                <w:lang w:val="hr-HR"/>
              </w:rPr>
            </w:pPr>
            <w:r w:rsidRPr="00CD3A2D">
              <w:rPr>
                <w:rFonts w:asciiTheme="minorHAnsi" w:hAnsiTheme="minorHAnsi"/>
                <w:sz w:val="20"/>
                <w:lang w:val="hr-HR"/>
              </w:rPr>
              <w:t>15.504.641</w:t>
            </w:r>
          </w:p>
        </w:tc>
        <w:tc>
          <w:tcPr>
            <w:tcW w:w="707" w:type="pct"/>
            <w:tcBorders>
              <w:top w:val="nil"/>
              <w:left w:val="nil"/>
              <w:bottom w:val="nil"/>
              <w:right w:val="nil"/>
            </w:tcBorders>
            <w:shd w:val="clear" w:color="auto" w:fill="auto"/>
            <w:vAlign w:val="bottom"/>
          </w:tcPr>
          <w:p w:rsidR="00C2433A" w:rsidRPr="00CD3A2D" w:rsidRDefault="00C2433A" w:rsidP="00EE5455">
            <w:pPr>
              <w:pStyle w:val="TT"/>
              <w:jc w:val="right"/>
              <w:rPr>
                <w:rFonts w:ascii="Calibri" w:hAnsi="Calibri"/>
                <w:color w:val="000000"/>
                <w:sz w:val="20"/>
                <w:lang w:val="hr-HR"/>
              </w:rPr>
            </w:pPr>
            <w:r w:rsidRPr="00CD3A2D">
              <w:rPr>
                <w:rFonts w:ascii="Calibri" w:hAnsi="Calibri"/>
                <w:color w:val="000000"/>
                <w:sz w:val="20"/>
                <w:lang w:val="hr-HR"/>
              </w:rPr>
              <w:t>n/p</w:t>
            </w:r>
          </w:p>
        </w:tc>
      </w:tr>
      <w:tr w:rsidR="00002051" w:rsidRPr="001567C8" w:rsidTr="003C6BA3">
        <w:trPr>
          <w:trHeight w:val="311"/>
          <w:jc w:val="center"/>
        </w:trPr>
        <w:tc>
          <w:tcPr>
            <w:tcW w:w="2174" w:type="pct"/>
            <w:vAlign w:val="bottom"/>
          </w:tcPr>
          <w:p w:rsidR="00002051" w:rsidRPr="001567C8" w:rsidRDefault="00002051" w:rsidP="00002051">
            <w:pPr>
              <w:pStyle w:val="TT"/>
              <w:tabs>
                <w:tab w:val="right" w:pos="9781"/>
              </w:tabs>
              <w:spacing w:line="220" w:lineRule="exact"/>
              <w:rPr>
                <w:rFonts w:asciiTheme="minorHAnsi" w:hAnsiTheme="minorHAnsi" w:cs="Arial"/>
                <w:b/>
                <w:bCs/>
                <w:sz w:val="20"/>
                <w:lang w:val="hr-HR"/>
              </w:rPr>
            </w:pPr>
            <w:r w:rsidRPr="00CD3A2D">
              <w:rPr>
                <w:rFonts w:asciiTheme="minorHAnsi" w:hAnsiTheme="minorHAnsi"/>
                <w:sz w:val="20"/>
                <w:lang w:val="hr-HR"/>
              </w:rPr>
              <w:t>Inicijalni kreditni zahtjevi za operativni rizik</w:t>
            </w:r>
          </w:p>
        </w:tc>
        <w:tc>
          <w:tcPr>
            <w:tcW w:w="706" w:type="pct"/>
            <w:tcBorders>
              <w:top w:val="nil"/>
              <w:left w:val="nil"/>
              <w:bottom w:val="nil"/>
              <w:right w:val="nil"/>
            </w:tcBorders>
            <w:shd w:val="clear" w:color="auto" w:fill="auto"/>
            <w:vAlign w:val="center"/>
          </w:tcPr>
          <w:p w:rsidR="00002051" w:rsidRPr="00CD3A2D" w:rsidRDefault="00D40BAC" w:rsidP="00002051">
            <w:pPr>
              <w:pStyle w:val="TT"/>
              <w:jc w:val="right"/>
              <w:rPr>
                <w:rFonts w:ascii="Calibri" w:hAnsi="Calibri"/>
                <w:color w:val="000000"/>
                <w:sz w:val="20"/>
                <w:lang w:val="hr-HR"/>
              </w:rPr>
            </w:pPr>
            <w:r w:rsidRPr="00CD3A2D">
              <w:rPr>
                <w:rFonts w:ascii="Calibri" w:hAnsi="Calibri"/>
                <w:color w:val="000000"/>
                <w:sz w:val="20"/>
                <w:lang w:val="hr-HR"/>
              </w:rPr>
              <w:t>897.363</w:t>
            </w:r>
          </w:p>
        </w:tc>
        <w:tc>
          <w:tcPr>
            <w:tcW w:w="706" w:type="pct"/>
            <w:tcBorders>
              <w:top w:val="nil"/>
              <w:left w:val="nil"/>
              <w:bottom w:val="nil"/>
              <w:right w:val="nil"/>
            </w:tcBorders>
            <w:shd w:val="clear" w:color="auto" w:fill="auto"/>
            <w:vAlign w:val="bottom"/>
          </w:tcPr>
          <w:p w:rsidR="00002051" w:rsidRPr="00CD3A2D" w:rsidRDefault="00002051" w:rsidP="00002051">
            <w:pPr>
              <w:pStyle w:val="TT"/>
              <w:jc w:val="right"/>
              <w:rPr>
                <w:rFonts w:ascii="Calibri" w:hAnsi="Calibri"/>
                <w:color w:val="000000"/>
                <w:sz w:val="20"/>
                <w:lang w:val="hr-HR"/>
              </w:rPr>
            </w:pPr>
            <w:r w:rsidRPr="00CD3A2D">
              <w:rPr>
                <w:rFonts w:ascii="Calibri" w:hAnsi="Calibri"/>
                <w:color w:val="000000"/>
                <w:sz w:val="20"/>
                <w:lang w:val="hr-HR"/>
              </w:rPr>
              <w:t>n/p</w:t>
            </w:r>
          </w:p>
        </w:tc>
        <w:tc>
          <w:tcPr>
            <w:tcW w:w="706" w:type="pct"/>
            <w:tcBorders>
              <w:top w:val="nil"/>
              <w:left w:val="nil"/>
              <w:bottom w:val="nil"/>
              <w:right w:val="nil"/>
            </w:tcBorders>
            <w:shd w:val="clear" w:color="auto" w:fill="auto"/>
            <w:vAlign w:val="bottom"/>
          </w:tcPr>
          <w:p w:rsidR="00002051" w:rsidRPr="00CD3A2D" w:rsidRDefault="00D40BAC" w:rsidP="00002051">
            <w:pPr>
              <w:pStyle w:val="TT"/>
              <w:jc w:val="right"/>
              <w:rPr>
                <w:rFonts w:asciiTheme="minorHAnsi" w:hAnsiTheme="minorHAnsi"/>
                <w:color w:val="000000"/>
                <w:sz w:val="20"/>
                <w:lang w:val="hr-HR"/>
              </w:rPr>
            </w:pPr>
            <w:r w:rsidRPr="00CD3A2D">
              <w:rPr>
                <w:rFonts w:asciiTheme="minorHAnsi" w:hAnsiTheme="minorHAnsi"/>
                <w:color w:val="000000"/>
                <w:sz w:val="20"/>
                <w:lang w:val="hr-HR"/>
              </w:rPr>
              <w:t>877.863</w:t>
            </w:r>
          </w:p>
        </w:tc>
        <w:tc>
          <w:tcPr>
            <w:tcW w:w="707" w:type="pct"/>
            <w:tcBorders>
              <w:top w:val="nil"/>
              <w:left w:val="nil"/>
              <w:bottom w:val="nil"/>
              <w:right w:val="nil"/>
            </w:tcBorders>
            <w:shd w:val="clear" w:color="auto" w:fill="auto"/>
            <w:vAlign w:val="bottom"/>
          </w:tcPr>
          <w:p w:rsidR="00002051" w:rsidRPr="00CD3A2D" w:rsidRDefault="00002051" w:rsidP="00002051">
            <w:pPr>
              <w:pStyle w:val="TT"/>
              <w:jc w:val="right"/>
              <w:rPr>
                <w:rFonts w:ascii="Calibri" w:hAnsi="Calibri"/>
                <w:color w:val="000000"/>
                <w:sz w:val="20"/>
                <w:lang w:val="hr-HR"/>
              </w:rPr>
            </w:pPr>
            <w:r w:rsidRPr="00CD3A2D">
              <w:rPr>
                <w:rFonts w:ascii="Calibri" w:hAnsi="Calibri"/>
                <w:color w:val="000000"/>
                <w:sz w:val="20"/>
                <w:lang w:val="hr-HR"/>
              </w:rPr>
              <w:t>n/p</w:t>
            </w:r>
          </w:p>
        </w:tc>
      </w:tr>
      <w:tr w:rsidR="00002051" w:rsidRPr="001567C8" w:rsidTr="003C6BA3">
        <w:trPr>
          <w:trHeight w:val="311"/>
          <w:jc w:val="center"/>
        </w:trPr>
        <w:tc>
          <w:tcPr>
            <w:tcW w:w="2174" w:type="pct"/>
            <w:vAlign w:val="bottom"/>
          </w:tcPr>
          <w:p w:rsidR="00002051" w:rsidRPr="001567C8" w:rsidRDefault="00002051" w:rsidP="00002051">
            <w:pPr>
              <w:pStyle w:val="TT"/>
              <w:tabs>
                <w:tab w:val="right" w:pos="9781"/>
              </w:tabs>
              <w:spacing w:line="220" w:lineRule="exact"/>
              <w:rPr>
                <w:rFonts w:asciiTheme="minorHAnsi" w:hAnsiTheme="minorHAnsi" w:cs="Arial"/>
                <w:b/>
                <w:bCs/>
                <w:sz w:val="20"/>
                <w:lang w:val="hr-HR"/>
              </w:rPr>
            </w:pPr>
            <w:r w:rsidRPr="00CD3A2D">
              <w:rPr>
                <w:rFonts w:asciiTheme="minorHAnsi" w:hAnsiTheme="minorHAnsi"/>
                <w:sz w:val="20"/>
                <w:lang w:val="hr-HR"/>
              </w:rPr>
              <w:t>Inicijalni kapitalni zahtjev za valutni rizik</w:t>
            </w:r>
          </w:p>
        </w:tc>
        <w:tc>
          <w:tcPr>
            <w:tcW w:w="706" w:type="pct"/>
            <w:tcBorders>
              <w:top w:val="nil"/>
              <w:left w:val="nil"/>
              <w:bottom w:val="nil"/>
              <w:right w:val="nil"/>
            </w:tcBorders>
            <w:shd w:val="clear" w:color="auto" w:fill="auto"/>
            <w:vAlign w:val="center"/>
          </w:tcPr>
          <w:p w:rsidR="00002051" w:rsidRPr="00CD3A2D" w:rsidRDefault="00D40BAC" w:rsidP="00002051">
            <w:pPr>
              <w:pStyle w:val="TT"/>
              <w:jc w:val="right"/>
              <w:rPr>
                <w:rFonts w:ascii="Calibri" w:hAnsi="Calibri"/>
                <w:color w:val="000000"/>
                <w:sz w:val="20"/>
                <w:highlight w:val="yellow"/>
                <w:lang w:val="hr-HR"/>
              </w:rPr>
            </w:pPr>
            <w:r w:rsidRPr="00CD3A2D">
              <w:rPr>
                <w:rFonts w:ascii="Calibri" w:hAnsi="Calibri"/>
                <w:color w:val="000000"/>
                <w:sz w:val="20"/>
                <w:lang w:val="hr-HR"/>
              </w:rPr>
              <w:t>725.300</w:t>
            </w:r>
          </w:p>
        </w:tc>
        <w:tc>
          <w:tcPr>
            <w:tcW w:w="706" w:type="pct"/>
            <w:tcBorders>
              <w:top w:val="nil"/>
              <w:left w:val="nil"/>
              <w:bottom w:val="nil"/>
              <w:right w:val="nil"/>
            </w:tcBorders>
            <w:shd w:val="clear" w:color="auto" w:fill="auto"/>
            <w:vAlign w:val="bottom"/>
          </w:tcPr>
          <w:p w:rsidR="00002051" w:rsidRPr="00CD3A2D" w:rsidRDefault="00002051" w:rsidP="00002051">
            <w:pPr>
              <w:pStyle w:val="TT"/>
              <w:jc w:val="right"/>
              <w:rPr>
                <w:rFonts w:ascii="Calibri" w:hAnsi="Calibri"/>
                <w:color w:val="000000"/>
                <w:sz w:val="20"/>
                <w:lang w:val="hr-HR"/>
              </w:rPr>
            </w:pPr>
            <w:r w:rsidRPr="00CD3A2D">
              <w:rPr>
                <w:rFonts w:ascii="Calibri" w:hAnsi="Calibri"/>
                <w:color w:val="000000"/>
                <w:sz w:val="20"/>
                <w:lang w:val="hr-HR"/>
              </w:rPr>
              <w:t>n/p</w:t>
            </w:r>
          </w:p>
        </w:tc>
        <w:tc>
          <w:tcPr>
            <w:tcW w:w="706" w:type="pct"/>
            <w:tcBorders>
              <w:top w:val="nil"/>
              <w:left w:val="nil"/>
              <w:bottom w:val="nil"/>
              <w:right w:val="nil"/>
            </w:tcBorders>
            <w:shd w:val="clear" w:color="auto" w:fill="auto"/>
            <w:vAlign w:val="bottom"/>
          </w:tcPr>
          <w:p w:rsidR="00002051" w:rsidRPr="00CD3A2D" w:rsidRDefault="00D40BAC" w:rsidP="00002051">
            <w:pPr>
              <w:pStyle w:val="TT"/>
              <w:jc w:val="right"/>
              <w:rPr>
                <w:rFonts w:asciiTheme="minorHAnsi" w:hAnsiTheme="minorHAnsi"/>
                <w:color w:val="000000"/>
                <w:sz w:val="20"/>
                <w:lang w:val="hr-HR"/>
              </w:rPr>
            </w:pPr>
            <w:r w:rsidRPr="00CD3A2D">
              <w:rPr>
                <w:rFonts w:asciiTheme="minorHAnsi" w:hAnsiTheme="minorHAnsi"/>
                <w:color w:val="000000"/>
                <w:sz w:val="20"/>
                <w:lang w:val="hr-HR"/>
              </w:rPr>
              <w:t>706.112</w:t>
            </w:r>
          </w:p>
        </w:tc>
        <w:tc>
          <w:tcPr>
            <w:tcW w:w="707" w:type="pct"/>
            <w:tcBorders>
              <w:top w:val="nil"/>
              <w:left w:val="nil"/>
              <w:bottom w:val="nil"/>
              <w:right w:val="nil"/>
            </w:tcBorders>
            <w:shd w:val="clear" w:color="auto" w:fill="auto"/>
            <w:vAlign w:val="bottom"/>
          </w:tcPr>
          <w:p w:rsidR="00002051" w:rsidRPr="00CD3A2D" w:rsidRDefault="00002051" w:rsidP="00002051">
            <w:pPr>
              <w:pStyle w:val="TT"/>
              <w:jc w:val="right"/>
              <w:rPr>
                <w:rFonts w:ascii="Calibri" w:hAnsi="Calibri"/>
                <w:color w:val="000000"/>
                <w:sz w:val="20"/>
                <w:lang w:val="hr-HR"/>
              </w:rPr>
            </w:pPr>
            <w:r w:rsidRPr="00CD3A2D">
              <w:rPr>
                <w:rFonts w:ascii="Calibri" w:hAnsi="Calibri"/>
                <w:color w:val="000000"/>
                <w:sz w:val="20"/>
                <w:lang w:val="hr-HR"/>
              </w:rPr>
              <w:t>n/p</w:t>
            </w:r>
          </w:p>
        </w:tc>
      </w:tr>
      <w:tr w:rsidR="00C2433A" w:rsidRPr="001567C8" w:rsidTr="003C6BA3">
        <w:trPr>
          <w:trHeight w:val="311"/>
          <w:jc w:val="center"/>
        </w:trPr>
        <w:tc>
          <w:tcPr>
            <w:tcW w:w="2174" w:type="pct"/>
            <w:vAlign w:val="bottom"/>
          </w:tcPr>
          <w:p w:rsidR="00C2433A" w:rsidRPr="001567C8" w:rsidRDefault="00C2433A" w:rsidP="00C2433A">
            <w:pPr>
              <w:pStyle w:val="TT"/>
              <w:tabs>
                <w:tab w:val="right" w:pos="9781"/>
              </w:tabs>
              <w:spacing w:line="220" w:lineRule="exact"/>
              <w:rPr>
                <w:rFonts w:asciiTheme="minorHAnsi" w:hAnsiTheme="minorHAnsi" w:cs="Arial"/>
                <w:bCs/>
                <w:sz w:val="20"/>
                <w:lang w:val="hr-HR"/>
              </w:rPr>
            </w:pPr>
            <w:r w:rsidRPr="001567C8">
              <w:rPr>
                <w:rFonts w:asciiTheme="minorHAnsi" w:hAnsiTheme="minorHAnsi" w:cs="Arial"/>
                <w:bCs/>
                <w:sz w:val="20"/>
                <w:lang w:val="hr-HR"/>
              </w:rPr>
              <w:t>Kreditnim rizikom ponderirana imovina</w:t>
            </w:r>
          </w:p>
        </w:tc>
        <w:tc>
          <w:tcPr>
            <w:tcW w:w="706" w:type="pct"/>
            <w:tcBorders>
              <w:top w:val="nil"/>
              <w:left w:val="nil"/>
              <w:bottom w:val="nil"/>
              <w:right w:val="nil"/>
            </w:tcBorders>
            <w:shd w:val="clear" w:color="auto" w:fill="auto"/>
            <w:vAlign w:val="bottom"/>
          </w:tcPr>
          <w:p w:rsidR="00C2433A" w:rsidRPr="001567C8" w:rsidRDefault="00002051" w:rsidP="00EE5455">
            <w:pPr>
              <w:pStyle w:val="TT"/>
              <w:jc w:val="right"/>
              <w:rPr>
                <w:rFonts w:asciiTheme="minorHAnsi" w:hAnsiTheme="minorHAnsi" w:cs="Arial"/>
                <w:sz w:val="20"/>
                <w:lang w:val="hr-HR"/>
              </w:rPr>
            </w:pPr>
            <w:r w:rsidRPr="00CD3A2D">
              <w:rPr>
                <w:rFonts w:ascii="Calibri" w:hAnsi="Calibri"/>
                <w:color w:val="000000"/>
                <w:sz w:val="20"/>
                <w:lang w:val="hr-HR"/>
              </w:rPr>
              <w:t>n/p</w:t>
            </w:r>
          </w:p>
        </w:tc>
        <w:tc>
          <w:tcPr>
            <w:tcW w:w="706" w:type="pct"/>
            <w:tcBorders>
              <w:top w:val="nil"/>
              <w:left w:val="nil"/>
              <w:bottom w:val="nil"/>
              <w:right w:val="nil"/>
            </w:tcBorders>
            <w:shd w:val="clear" w:color="auto" w:fill="auto"/>
            <w:vAlign w:val="bottom"/>
          </w:tcPr>
          <w:p w:rsidR="00C2433A" w:rsidRPr="001567C8" w:rsidRDefault="00C2433A" w:rsidP="00EE5455">
            <w:pPr>
              <w:pStyle w:val="TT"/>
              <w:jc w:val="right"/>
              <w:rPr>
                <w:rFonts w:asciiTheme="minorHAnsi" w:hAnsiTheme="minorHAnsi" w:cs="Arial"/>
                <w:sz w:val="20"/>
                <w:lang w:val="hr-HR"/>
              </w:rPr>
            </w:pPr>
            <w:r w:rsidRPr="00CD3A2D">
              <w:rPr>
                <w:rFonts w:ascii="Calibri" w:hAnsi="Calibri"/>
                <w:color w:val="000000"/>
                <w:sz w:val="20"/>
                <w:lang w:val="hr-HR"/>
              </w:rPr>
              <w:t>16.159.625</w:t>
            </w:r>
          </w:p>
        </w:tc>
        <w:tc>
          <w:tcPr>
            <w:tcW w:w="706" w:type="pct"/>
            <w:tcBorders>
              <w:top w:val="nil"/>
              <w:left w:val="nil"/>
              <w:bottom w:val="nil"/>
              <w:right w:val="nil"/>
            </w:tcBorders>
            <w:shd w:val="clear" w:color="auto" w:fill="auto"/>
            <w:vAlign w:val="bottom"/>
          </w:tcPr>
          <w:p w:rsidR="00C2433A" w:rsidRPr="001567C8" w:rsidRDefault="00C2433A" w:rsidP="00EE5455">
            <w:pPr>
              <w:pStyle w:val="TT"/>
              <w:jc w:val="right"/>
              <w:rPr>
                <w:rFonts w:asciiTheme="minorHAnsi" w:hAnsiTheme="minorHAnsi" w:cs="Arial"/>
                <w:sz w:val="20"/>
                <w:lang w:val="hr-HR"/>
              </w:rPr>
            </w:pPr>
            <w:r w:rsidRPr="00CD3A2D">
              <w:rPr>
                <w:rFonts w:asciiTheme="minorHAnsi" w:hAnsiTheme="minorHAnsi"/>
                <w:sz w:val="20"/>
                <w:lang w:val="hr-HR"/>
              </w:rPr>
              <w:t>n/p</w:t>
            </w:r>
          </w:p>
        </w:tc>
        <w:tc>
          <w:tcPr>
            <w:tcW w:w="707" w:type="pct"/>
            <w:tcBorders>
              <w:top w:val="nil"/>
              <w:left w:val="nil"/>
              <w:bottom w:val="nil"/>
              <w:right w:val="nil"/>
            </w:tcBorders>
            <w:shd w:val="clear" w:color="auto" w:fill="auto"/>
            <w:vAlign w:val="bottom"/>
          </w:tcPr>
          <w:p w:rsidR="00C2433A" w:rsidRPr="001567C8" w:rsidRDefault="00C2433A" w:rsidP="00EE5455">
            <w:pPr>
              <w:pStyle w:val="TT"/>
              <w:jc w:val="right"/>
              <w:rPr>
                <w:rFonts w:asciiTheme="minorHAnsi" w:hAnsiTheme="minorHAnsi" w:cs="Arial"/>
                <w:sz w:val="20"/>
                <w:lang w:val="hr-HR"/>
              </w:rPr>
            </w:pPr>
            <w:r w:rsidRPr="00CD3A2D">
              <w:rPr>
                <w:rFonts w:ascii="Calibri" w:hAnsi="Calibri"/>
                <w:color w:val="000000"/>
                <w:sz w:val="20"/>
                <w:lang w:val="hr-HR"/>
              </w:rPr>
              <w:t>16.183.382</w:t>
            </w:r>
          </w:p>
        </w:tc>
      </w:tr>
      <w:tr w:rsidR="00C2433A" w:rsidRPr="001567C8" w:rsidTr="003C6BA3">
        <w:trPr>
          <w:trHeight w:val="313"/>
          <w:jc w:val="center"/>
        </w:trPr>
        <w:tc>
          <w:tcPr>
            <w:tcW w:w="2174" w:type="pct"/>
            <w:vAlign w:val="bottom"/>
          </w:tcPr>
          <w:p w:rsidR="00C2433A" w:rsidRPr="001567C8" w:rsidRDefault="00C2433A" w:rsidP="00C2433A">
            <w:pPr>
              <w:pStyle w:val="TT"/>
              <w:tabs>
                <w:tab w:val="right" w:pos="9781"/>
              </w:tabs>
              <w:spacing w:line="220" w:lineRule="exact"/>
              <w:rPr>
                <w:rFonts w:asciiTheme="minorHAnsi" w:hAnsiTheme="minorHAnsi" w:cs="Arial"/>
                <w:bCs/>
                <w:sz w:val="20"/>
                <w:lang w:val="hr-HR"/>
              </w:rPr>
            </w:pPr>
            <w:r w:rsidRPr="001567C8">
              <w:rPr>
                <w:rFonts w:asciiTheme="minorHAnsi" w:hAnsiTheme="minorHAnsi" w:cs="Arial"/>
                <w:bCs/>
                <w:sz w:val="20"/>
                <w:lang w:val="hr-HR"/>
              </w:rPr>
              <w:t>Kapitalni zahtjev za deviznu poziciju (valutni rizik)</w:t>
            </w:r>
          </w:p>
        </w:tc>
        <w:tc>
          <w:tcPr>
            <w:tcW w:w="706" w:type="pct"/>
            <w:tcBorders>
              <w:top w:val="nil"/>
              <w:left w:val="nil"/>
              <w:bottom w:val="nil"/>
              <w:right w:val="nil"/>
            </w:tcBorders>
            <w:shd w:val="clear" w:color="auto" w:fill="auto"/>
            <w:vAlign w:val="bottom"/>
          </w:tcPr>
          <w:p w:rsidR="00C2433A" w:rsidRPr="001567C8" w:rsidRDefault="00002051" w:rsidP="00EE5455">
            <w:pPr>
              <w:pStyle w:val="TT"/>
              <w:jc w:val="right"/>
              <w:rPr>
                <w:rFonts w:asciiTheme="minorHAnsi" w:hAnsiTheme="minorHAnsi" w:cs="Arial"/>
                <w:sz w:val="20"/>
                <w:lang w:val="hr-HR"/>
              </w:rPr>
            </w:pPr>
            <w:r w:rsidRPr="00CD3A2D">
              <w:rPr>
                <w:rFonts w:ascii="Calibri" w:hAnsi="Calibri"/>
                <w:color w:val="000000"/>
                <w:sz w:val="20"/>
                <w:lang w:val="hr-HR"/>
              </w:rPr>
              <w:t>n/p</w:t>
            </w:r>
          </w:p>
        </w:tc>
        <w:tc>
          <w:tcPr>
            <w:tcW w:w="706" w:type="pct"/>
            <w:tcBorders>
              <w:top w:val="nil"/>
              <w:left w:val="nil"/>
              <w:bottom w:val="nil"/>
              <w:right w:val="nil"/>
            </w:tcBorders>
            <w:shd w:val="clear" w:color="auto" w:fill="auto"/>
            <w:vAlign w:val="bottom"/>
          </w:tcPr>
          <w:p w:rsidR="00C2433A" w:rsidRPr="001567C8" w:rsidRDefault="00C2433A" w:rsidP="00EE5455">
            <w:pPr>
              <w:pStyle w:val="TT"/>
              <w:jc w:val="right"/>
              <w:rPr>
                <w:rFonts w:asciiTheme="minorHAnsi" w:hAnsiTheme="minorHAnsi" w:cs="Arial"/>
                <w:sz w:val="20"/>
                <w:lang w:val="hr-HR"/>
              </w:rPr>
            </w:pPr>
            <w:r w:rsidRPr="00CD3A2D">
              <w:rPr>
                <w:rFonts w:ascii="Calibri" w:hAnsi="Calibri"/>
                <w:color w:val="000000"/>
                <w:sz w:val="20"/>
                <w:lang w:val="hr-HR"/>
              </w:rPr>
              <w:t xml:space="preserve"> 129.933 </w:t>
            </w:r>
          </w:p>
        </w:tc>
        <w:tc>
          <w:tcPr>
            <w:tcW w:w="706" w:type="pct"/>
            <w:tcBorders>
              <w:top w:val="nil"/>
              <w:left w:val="nil"/>
              <w:bottom w:val="nil"/>
              <w:right w:val="nil"/>
            </w:tcBorders>
            <w:shd w:val="clear" w:color="auto" w:fill="auto"/>
            <w:vAlign w:val="bottom"/>
          </w:tcPr>
          <w:p w:rsidR="00C2433A" w:rsidRPr="001567C8" w:rsidRDefault="00C2433A" w:rsidP="00EE5455">
            <w:pPr>
              <w:pStyle w:val="TT"/>
              <w:jc w:val="right"/>
              <w:rPr>
                <w:rFonts w:asciiTheme="minorHAnsi" w:hAnsiTheme="minorHAnsi" w:cs="Arial"/>
                <w:sz w:val="20"/>
                <w:lang w:val="hr-HR"/>
              </w:rPr>
            </w:pPr>
            <w:r w:rsidRPr="00CD3A2D">
              <w:rPr>
                <w:rFonts w:asciiTheme="minorHAnsi" w:hAnsiTheme="minorHAnsi"/>
                <w:sz w:val="20"/>
                <w:lang w:val="hr-HR"/>
              </w:rPr>
              <w:t>n/p</w:t>
            </w:r>
          </w:p>
        </w:tc>
        <w:tc>
          <w:tcPr>
            <w:tcW w:w="707" w:type="pct"/>
            <w:tcBorders>
              <w:top w:val="nil"/>
              <w:left w:val="nil"/>
              <w:bottom w:val="nil"/>
              <w:right w:val="nil"/>
            </w:tcBorders>
            <w:shd w:val="clear" w:color="auto" w:fill="auto"/>
            <w:vAlign w:val="bottom"/>
          </w:tcPr>
          <w:p w:rsidR="00C2433A" w:rsidRPr="001567C8" w:rsidRDefault="00C2433A" w:rsidP="00EE5455">
            <w:pPr>
              <w:pStyle w:val="TT"/>
              <w:jc w:val="right"/>
              <w:rPr>
                <w:rFonts w:asciiTheme="minorHAnsi" w:hAnsiTheme="minorHAnsi" w:cs="Arial"/>
                <w:sz w:val="20"/>
                <w:lang w:val="hr-HR"/>
              </w:rPr>
            </w:pPr>
            <w:r w:rsidRPr="00CD3A2D">
              <w:rPr>
                <w:rFonts w:ascii="Calibri" w:hAnsi="Calibri"/>
                <w:color w:val="000000"/>
                <w:sz w:val="20"/>
                <w:lang w:val="hr-HR"/>
              </w:rPr>
              <w:t xml:space="preserve">  113.018 </w:t>
            </w:r>
          </w:p>
        </w:tc>
      </w:tr>
      <w:tr w:rsidR="00C2433A" w:rsidRPr="001567C8" w:rsidTr="003C6BA3">
        <w:trPr>
          <w:trHeight w:val="311"/>
          <w:jc w:val="center"/>
        </w:trPr>
        <w:tc>
          <w:tcPr>
            <w:tcW w:w="2174" w:type="pct"/>
            <w:vAlign w:val="bottom"/>
          </w:tcPr>
          <w:p w:rsidR="00C2433A" w:rsidRPr="001567C8" w:rsidRDefault="00C2433A" w:rsidP="00C2433A">
            <w:pPr>
              <w:pStyle w:val="TT"/>
              <w:tabs>
                <w:tab w:val="right" w:pos="9781"/>
              </w:tabs>
              <w:spacing w:line="220" w:lineRule="exact"/>
              <w:rPr>
                <w:rFonts w:asciiTheme="minorHAnsi" w:hAnsiTheme="minorHAnsi" w:cs="Arial"/>
                <w:b/>
                <w:bCs/>
                <w:sz w:val="20"/>
                <w:lang w:val="hr-HR"/>
              </w:rPr>
            </w:pPr>
            <w:r w:rsidRPr="001567C8">
              <w:rPr>
                <w:rFonts w:asciiTheme="minorHAnsi" w:hAnsiTheme="minorHAnsi" w:cs="Arial"/>
                <w:b/>
                <w:bCs/>
                <w:sz w:val="20"/>
                <w:lang w:val="hr-HR"/>
              </w:rPr>
              <w:t>Ukupno kapitalni zahtjevi</w:t>
            </w:r>
          </w:p>
        </w:tc>
        <w:tc>
          <w:tcPr>
            <w:tcW w:w="706" w:type="pct"/>
            <w:tcBorders>
              <w:top w:val="nil"/>
              <w:left w:val="nil"/>
              <w:bottom w:val="nil"/>
              <w:right w:val="nil"/>
            </w:tcBorders>
            <w:shd w:val="clear" w:color="auto" w:fill="auto"/>
            <w:vAlign w:val="bottom"/>
          </w:tcPr>
          <w:p w:rsidR="00C2433A" w:rsidRPr="001567C8" w:rsidRDefault="00D40BAC" w:rsidP="00EE5455">
            <w:pPr>
              <w:pStyle w:val="TT"/>
              <w:jc w:val="right"/>
              <w:rPr>
                <w:rFonts w:asciiTheme="minorHAnsi" w:hAnsiTheme="minorHAnsi" w:cs="Arial"/>
                <w:b/>
                <w:sz w:val="20"/>
                <w:lang w:val="hr-HR"/>
              </w:rPr>
            </w:pPr>
            <w:r w:rsidRPr="00CD3A2D">
              <w:rPr>
                <w:rFonts w:ascii="Calibri" w:hAnsi="Calibri"/>
                <w:b/>
                <w:color w:val="000000"/>
                <w:sz w:val="20"/>
                <w:lang w:val="hr-HR"/>
              </w:rPr>
              <w:t>17.142.402</w:t>
            </w:r>
          </w:p>
        </w:tc>
        <w:tc>
          <w:tcPr>
            <w:tcW w:w="706" w:type="pct"/>
            <w:tcBorders>
              <w:top w:val="nil"/>
              <w:left w:val="nil"/>
              <w:bottom w:val="nil"/>
              <w:right w:val="nil"/>
            </w:tcBorders>
            <w:shd w:val="clear" w:color="auto" w:fill="auto"/>
            <w:vAlign w:val="bottom"/>
          </w:tcPr>
          <w:p w:rsidR="00C2433A" w:rsidRPr="001567C8" w:rsidRDefault="00C2433A" w:rsidP="00EE5455">
            <w:pPr>
              <w:pStyle w:val="TT"/>
              <w:jc w:val="right"/>
              <w:rPr>
                <w:rFonts w:asciiTheme="minorHAnsi" w:hAnsiTheme="minorHAnsi" w:cs="Arial"/>
                <w:b/>
                <w:sz w:val="20"/>
                <w:lang w:val="hr-HR"/>
              </w:rPr>
            </w:pPr>
            <w:r w:rsidRPr="00CD3A2D">
              <w:rPr>
                <w:rFonts w:ascii="Calibri" w:hAnsi="Calibri"/>
                <w:b/>
                <w:color w:val="000000"/>
                <w:sz w:val="20"/>
                <w:lang w:val="hr-HR"/>
              </w:rPr>
              <w:t>16.289.558</w:t>
            </w:r>
          </w:p>
        </w:tc>
        <w:tc>
          <w:tcPr>
            <w:tcW w:w="706" w:type="pct"/>
            <w:tcBorders>
              <w:top w:val="nil"/>
              <w:left w:val="nil"/>
              <w:bottom w:val="nil"/>
              <w:right w:val="nil"/>
            </w:tcBorders>
            <w:shd w:val="clear" w:color="auto" w:fill="auto"/>
            <w:vAlign w:val="bottom"/>
          </w:tcPr>
          <w:p w:rsidR="00C2433A" w:rsidRPr="001567C8" w:rsidRDefault="00D40BAC" w:rsidP="00EE5455">
            <w:pPr>
              <w:pStyle w:val="TT"/>
              <w:jc w:val="right"/>
              <w:rPr>
                <w:rFonts w:asciiTheme="minorHAnsi" w:hAnsiTheme="minorHAnsi" w:cs="Arial"/>
                <w:b/>
                <w:sz w:val="20"/>
                <w:lang w:val="hr-HR"/>
              </w:rPr>
            </w:pPr>
            <w:r w:rsidRPr="00CD3A2D">
              <w:rPr>
                <w:rFonts w:asciiTheme="minorHAnsi" w:hAnsiTheme="minorHAnsi"/>
                <w:b/>
                <w:sz w:val="20"/>
                <w:lang w:val="hr-HR"/>
              </w:rPr>
              <w:t>17.088.616</w:t>
            </w:r>
          </w:p>
        </w:tc>
        <w:tc>
          <w:tcPr>
            <w:tcW w:w="707" w:type="pct"/>
            <w:tcBorders>
              <w:top w:val="nil"/>
              <w:left w:val="nil"/>
              <w:bottom w:val="nil"/>
              <w:right w:val="nil"/>
            </w:tcBorders>
            <w:shd w:val="clear" w:color="auto" w:fill="auto"/>
            <w:vAlign w:val="bottom"/>
          </w:tcPr>
          <w:p w:rsidR="00C2433A" w:rsidRPr="001567C8" w:rsidRDefault="00C2433A" w:rsidP="00EE5455">
            <w:pPr>
              <w:pStyle w:val="TT"/>
              <w:jc w:val="right"/>
              <w:rPr>
                <w:rFonts w:asciiTheme="minorHAnsi" w:hAnsiTheme="minorHAnsi" w:cs="Arial"/>
                <w:b/>
                <w:sz w:val="20"/>
                <w:lang w:val="hr-HR"/>
              </w:rPr>
            </w:pPr>
            <w:r w:rsidRPr="00CD3A2D">
              <w:rPr>
                <w:rFonts w:ascii="Calibri" w:hAnsi="Calibri"/>
                <w:b/>
                <w:color w:val="000000"/>
                <w:sz w:val="20"/>
                <w:lang w:val="hr-HR"/>
              </w:rPr>
              <w:t>16.296.400</w:t>
            </w:r>
          </w:p>
        </w:tc>
      </w:tr>
      <w:tr w:rsidR="00002051" w:rsidRPr="001567C8" w:rsidTr="003C6BA3">
        <w:trPr>
          <w:trHeight w:val="179"/>
          <w:jc w:val="center"/>
        </w:trPr>
        <w:tc>
          <w:tcPr>
            <w:tcW w:w="2174" w:type="pct"/>
          </w:tcPr>
          <w:p w:rsidR="00002051" w:rsidRPr="001567C8" w:rsidRDefault="00002051" w:rsidP="001822E7">
            <w:pPr>
              <w:pStyle w:val="T1"/>
              <w:keepNext w:val="0"/>
              <w:tabs>
                <w:tab w:val="right" w:pos="9781"/>
              </w:tabs>
              <w:spacing w:before="0" w:after="0" w:line="140" w:lineRule="exact"/>
              <w:rPr>
                <w:rFonts w:asciiTheme="minorHAnsi" w:hAnsiTheme="minorHAnsi" w:cs="Arial"/>
                <w:b w:val="0"/>
                <w:bCs w:val="0"/>
                <w:sz w:val="20"/>
                <w:lang w:val="hr-HR"/>
              </w:rPr>
            </w:pPr>
          </w:p>
        </w:tc>
        <w:tc>
          <w:tcPr>
            <w:tcW w:w="706" w:type="pct"/>
            <w:tcBorders>
              <w:top w:val="single" w:sz="12" w:space="0" w:color="auto"/>
            </w:tcBorders>
            <w:vAlign w:val="bottom"/>
          </w:tcPr>
          <w:p w:rsidR="00002051" w:rsidRPr="001567C8" w:rsidRDefault="00002051" w:rsidP="001822E7">
            <w:pPr>
              <w:pStyle w:val="Thick"/>
              <w:jc w:val="right"/>
              <w:rPr>
                <w:rFonts w:asciiTheme="minorHAnsi" w:hAnsiTheme="minorHAnsi" w:cs="Arial"/>
                <w:sz w:val="20"/>
                <w:lang w:val="hr-HR"/>
              </w:rPr>
            </w:pPr>
          </w:p>
        </w:tc>
        <w:tc>
          <w:tcPr>
            <w:tcW w:w="706" w:type="pct"/>
            <w:tcBorders>
              <w:top w:val="single" w:sz="12" w:space="0" w:color="auto"/>
            </w:tcBorders>
            <w:vAlign w:val="bottom"/>
          </w:tcPr>
          <w:p w:rsidR="00002051" w:rsidRPr="001567C8" w:rsidRDefault="00002051" w:rsidP="001822E7">
            <w:pPr>
              <w:pStyle w:val="Thick"/>
              <w:jc w:val="right"/>
              <w:rPr>
                <w:rFonts w:asciiTheme="minorHAnsi" w:hAnsiTheme="minorHAnsi" w:cs="Arial"/>
                <w:sz w:val="20"/>
                <w:lang w:val="hr-HR"/>
              </w:rPr>
            </w:pPr>
          </w:p>
        </w:tc>
        <w:tc>
          <w:tcPr>
            <w:tcW w:w="706" w:type="pct"/>
            <w:tcBorders>
              <w:top w:val="single" w:sz="12" w:space="0" w:color="auto"/>
            </w:tcBorders>
            <w:vAlign w:val="bottom"/>
          </w:tcPr>
          <w:p w:rsidR="00002051" w:rsidRPr="001567C8" w:rsidRDefault="00002051" w:rsidP="001822E7">
            <w:pPr>
              <w:pStyle w:val="Thick"/>
              <w:jc w:val="right"/>
              <w:rPr>
                <w:rFonts w:asciiTheme="minorHAnsi" w:hAnsiTheme="minorHAnsi" w:cs="Arial"/>
                <w:sz w:val="20"/>
                <w:lang w:val="hr-HR"/>
              </w:rPr>
            </w:pPr>
          </w:p>
        </w:tc>
        <w:tc>
          <w:tcPr>
            <w:tcW w:w="707" w:type="pct"/>
            <w:tcBorders>
              <w:top w:val="single" w:sz="12" w:space="0" w:color="auto"/>
            </w:tcBorders>
            <w:vAlign w:val="bottom"/>
          </w:tcPr>
          <w:p w:rsidR="00002051" w:rsidRPr="001567C8" w:rsidRDefault="00002051" w:rsidP="001822E7">
            <w:pPr>
              <w:pStyle w:val="Thick"/>
              <w:jc w:val="right"/>
              <w:rPr>
                <w:rFonts w:asciiTheme="minorHAnsi" w:hAnsiTheme="minorHAnsi" w:cs="Arial"/>
                <w:sz w:val="20"/>
                <w:lang w:val="hr-HR"/>
              </w:rPr>
            </w:pPr>
          </w:p>
        </w:tc>
      </w:tr>
      <w:tr w:rsidR="001822E7" w:rsidRPr="001567C8" w:rsidTr="003C6BA3">
        <w:trPr>
          <w:trHeight w:val="170"/>
          <w:jc w:val="center"/>
        </w:trPr>
        <w:tc>
          <w:tcPr>
            <w:tcW w:w="2174" w:type="pct"/>
          </w:tcPr>
          <w:p w:rsidR="001822E7" w:rsidRPr="001567C8" w:rsidRDefault="001822E7" w:rsidP="001822E7">
            <w:pPr>
              <w:pStyle w:val="T1"/>
              <w:keepNext w:val="0"/>
              <w:tabs>
                <w:tab w:val="right" w:pos="9781"/>
              </w:tabs>
              <w:spacing w:before="0" w:after="0" w:line="220" w:lineRule="exact"/>
              <w:rPr>
                <w:rFonts w:asciiTheme="minorHAnsi" w:hAnsiTheme="minorHAnsi" w:cs="Arial"/>
                <w:b w:val="0"/>
                <w:bCs w:val="0"/>
                <w:sz w:val="20"/>
                <w:lang w:val="hr-HR"/>
              </w:rPr>
            </w:pPr>
          </w:p>
        </w:tc>
        <w:tc>
          <w:tcPr>
            <w:tcW w:w="706" w:type="pct"/>
            <w:vAlign w:val="bottom"/>
          </w:tcPr>
          <w:p w:rsidR="001822E7" w:rsidRPr="001567C8" w:rsidRDefault="001822E7" w:rsidP="001822E7">
            <w:pPr>
              <w:pStyle w:val="T1"/>
              <w:keepNext w:val="0"/>
              <w:tabs>
                <w:tab w:val="right" w:pos="9781"/>
              </w:tabs>
              <w:spacing w:before="0" w:after="0" w:line="220" w:lineRule="exact"/>
              <w:jc w:val="right"/>
              <w:rPr>
                <w:rFonts w:asciiTheme="minorHAnsi" w:hAnsiTheme="minorHAnsi" w:cs="Arial"/>
                <w:bCs w:val="0"/>
                <w:sz w:val="20"/>
                <w:lang w:val="hr-HR"/>
              </w:rPr>
            </w:pPr>
            <w:r w:rsidRPr="001567C8">
              <w:rPr>
                <w:rFonts w:asciiTheme="minorHAnsi" w:hAnsiTheme="minorHAnsi" w:cs="Arial"/>
                <w:bCs w:val="0"/>
                <w:sz w:val="20"/>
                <w:lang w:val="hr-HR"/>
              </w:rPr>
              <w:t>%</w:t>
            </w:r>
          </w:p>
        </w:tc>
        <w:tc>
          <w:tcPr>
            <w:tcW w:w="706" w:type="pct"/>
            <w:vAlign w:val="bottom"/>
          </w:tcPr>
          <w:p w:rsidR="001822E7" w:rsidRPr="001567C8" w:rsidRDefault="001822E7" w:rsidP="001822E7">
            <w:pPr>
              <w:pStyle w:val="T1"/>
              <w:keepNext w:val="0"/>
              <w:tabs>
                <w:tab w:val="right" w:pos="9781"/>
              </w:tabs>
              <w:spacing w:before="0" w:after="0" w:line="220" w:lineRule="exact"/>
              <w:jc w:val="right"/>
              <w:rPr>
                <w:rFonts w:asciiTheme="minorHAnsi" w:hAnsiTheme="minorHAnsi" w:cs="Arial"/>
                <w:bCs w:val="0"/>
                <w:sz w:val="20"/>
                <w:lang w:val="hr-HR"/>
              </w:rPr>
            </w:pPr>
            <w:r w:rsidRPr="001567C8">
              <w:rPr>
                <w:rFonts w:asciiTheme="minorHAnsi" w:hAnsiTheme="minorHAnsi" w:cs="Arial"/>
                <w:bCs w:val="0"/>
                <w:sz w:val="20"/>
                <w:lang w:val="hr-HR"/>
              </w:rPr>
              <w:t>%</w:t>
            </w:r>
          </w:p>
        </w:tc>
        <w:tc>
          <w:tcPr>
            <w:tcW w:w="706" w:type="pct"/>
            <w:vAlign w:val="bottom"/>
          </w:tcPr>
          <w:p w:rsidR="001822E7" w:rsidRPr="001567C8" w:rsidRDefault="001822E7" w:rsidP="001822E7">
            <w:pPr>
              <w:pStyle w:val="T1"/>
              <w:keepNext w:val="0"/>
              <w:tabs>
                <w:tab w:val="right" w:pos="9781"/>
              </w:tabs>
              <w:spacing w:before="0" w:after="0" w:line="220" w:lineRule="exact"/>
              <w:jc w:val="right"/>
              <w:rPr>
                <w:rFonts w:asciiTheme="minorHAnsi" w:hAnsiTheme="minorHAnsi" w:cs="Arial"/>
                <w:bCs w:val="0"/>
                <w:sz w:val="20"/>
                <w:lang w:val="hr-HR"/>
              </w:rPr>
            </w:pPr>
            <w:r w:rsidRPr="001567C8">
              <w:rPr>
                <w:rFonts w:asciiTheme="minorHAnsi" w:hAnsiTheme="minorHAnsi" w:cs="Arial"/>
                <w:bCs w:val="0"/>
                <w:sz w:val="20"/>
                <w:lang w:val="hr-HR"/>
              </w:rPr>
              <w:t>%</w:t>
            </w:r>
          </w:p>
        </w:tc>
        <w:tc>
          <w:tcPr>
            <w:tcW w:w="707" w:type="pct"/>
            <w:vAlign w:val="bottom"/>
          </w:tcPr>
          <w:p w:rsidR="001822E7" w:rsidRPr="001567C8" w:rsidRDefault="001822E7" w:rsidP="001822E7">
            <w:pPr>
              <w:pStyle w:val="T1"/>
              <w:keepNext w:val="0"/>
              <w:tabs>
                <w:tab w:val="right" w:pos="9781"/>
              </w:tabs>
              <w:spacing w:before="0" w:after="0" w:line="220" w:lineRule="exact"/>
              <w:jc w:val="right"/>
              <w:rPr>
                <w:rFonts w:asciiTheme="minorHAnsi" w:hAnsiTheme="minorHAnsi" w:cs="Arial"/>
                <w:bCs w:val="0"/>
                <w:sz w:val="20"/>
                <w:lang w:val="hr-HR"/>
              </w:rPr>
            </w:pPr>
            <w:r w:rsidRPr="001567C8">
              <w:rPr>
                <w:rFonts w:asciiTheme="minorHAnsi" w:hAnsiTheme="minorHAnsi" w:cs="Arial"/>
                <w:bCs w:val="0"/>
                <w:sz w:val="20"/>
                <w:lang w:val="hr-HR"/>
              </w:rPr>
              <w:t>%</w:t>
            </w:r>
          </w:p>
        </w:tc>
      </w:tr>
      <w:tr w:rsidR="00C2433A" w:rsidRPr="001567C8" w:rsidTr="003C6BA3">
        <w:trPr>
          <w:trHeight w:val="271"/>
          <w:jc w:val="center"/>
        </w:trPr>
        <w:tc>
          <w:tcPr>
            <w:tcW w:w="2174" w:type="pct"/>
            <w:vAlign w:val="bottom"/>
          </w:tcPr>
          <w:p w:rsidR="00C2433A" w:rsidRPr="001567C8" w:rsidRDefault="00C2433A" w:rsidP="00C2433A">
            <w:pPr>
              <w:pStyle w:val="Tot"/>
              <w:tabs>
                <w:tab w:val="right" w:pos="9781"/>
              </w:tabs>
              <w:spacing w:line="220" w:lineRule="exact"/>
              <w:rPr>
                <w:rFonts w:asciiTheme="minorHAnsi" w:hAnsiTheme="minorHAnsi" w:cs="Arial"/>
                <w:b/>
                <w:bCs/>
                <w:sz w:val="20"/>
                <w:lang w:val="hr-HR"/>
              </w:rPr>
            </w:pPr>
            <w:r w:rsidRPr="001567C8">
              <w:rPr>
                <w:rFonts w:asciiTheme="minorHAnsi" w:hAnsiTheme="minorHAnsi" w:cs="Arial"/>
                <w:b/>
                <w:bCs/>
                <w:sz w:val="20"/>
                <w:lang w:val="hr-HR"/>
              </w:rPr>
              <w:t>Stopa adekvatnosti kapitala</w:t>
            </w:r>
          </w:p>
        </w:tc>
        <w:tc>
          <w:tcPr>
            <w:tcW w:w="706" w:type="pct"/>
            <w:tcBorders>
              <w:top w:val="nil"/>
              <w:left w:val="nil"/>
              <w:bottom w:val="single" w:sz="12" w:space="0" w:color="auto"/>
              <w:right w:val="nil"/>
            </w:tcBorders>
            <w:shd w:val="clear" w:color="auto" w:fill="auto"/>
            <w:vAlign w:val="center"/>
          </w:tcPr>
          <w:p w:rsidR="00C2433A" w:rsidRPr="001567C8" w:rsidRDefault="00D40BAC" w:rsidP="00C2433A">
            <w:pPr>
              <w:pStyle w:val="Tot"/>
              <w:jc w:val="right"/>
              <w:rPr>
                <w:rFonts w:asciiTheme="minorHAnsi" w:hAnsiTheme="minorHAnsi" w:cs="Arial"/>
                <w:b/>
                <w:bCs/>
                <w:sz w:val="20"/>
                <w:lang w:val="hr-HR"/>
              </w:rPr>
            </w:pPr>
            <w:r w:rsidRPr="00CD3A2D">
              <w:rPr>
                <w:rFonts w:ascii="Calibri" w:hAnsi="Calibri"/>
                <w:b/>
                <w:bCs/>
                <w:color w:val="000000"/>
                <w:sz w:val="20"/>
                <w:lang w:val="hr-HR"/>
              </w:rPr>
              <w:t>57,26</w:t>
            </w:r>
          </w:p>
        </w:tc>
        <w:tc>
          <w:tcPr>
            <w:tcW w:w="706" w:type="pct"/>
            <w:tcBorders>
              <w:top w:val="nil"/>
              <w:left w:val="nil"/>
              <w:bottom w:val="single" w:sz="12" w:space="0" w:color="auto"/>
              <w:right w:val="nil"/>
            </w:tcBorders>
            <w:shd w:val="clear" w:color="auto" w:fill="auto"/>
            <w:vAlign w:val="center"/>
          </w:tcPr>
          <w:p w:rsidR="00C2433A" w:rsidRPr="001567C8" w:rsidRDefault="00C2433A" w:rsidP="00C2433A">
            <w:pPr>
              <w:pStyle w:val="Tot"/>
              <w:jc w:val="right"/>
              <w:rPr>
                <w:rFonts w:asciiTheme="minorHAnsi" w:hAnsiTheme="minorHAnsi" w:cs="Arial"/>
                <w:b/>
                <w:bCs/>
                <w:sz w:val="20"/>
                <w:lang w:val="hr-HR"/>
              </w:rPr>
            </w:pPr>
            <w:r w:rsidRPr="00CD3A2D">
              <w:rPr>
                <w:rFonts w:ascii="Calibri" w:hAnsi="Calibri"/>
                <w:b/>
                <w:bCs/>
                <w:color w:val="000000"/>
                <w:sz w:val="20"/>
                <w:lang w:val="hr-HR"/>
              </w:rPr>
              <w:t>64,38</w:t>
            </w:r>
          </w:p>
        </w:tc>
        <w:tc>
          <w:tcPr>
            <w:tcW w:w="706" w:type="pct"/>
            <w:tcBorders>
              <w:top w:val="nil"/>
              <w:left w:val="nil"/>
              <w:bottom w:val="single" w:sz="12" w:space="0" w:color="auto"/>
              <w:right w:val="nil"/>
            </w:tcBorders>
            <w:shd w:val="clear" w:color="auto" w:fill="auto"/>
            <w:vAlign w:val="center"/>
          </w:tcPr>
          <w:p w:rsidR="00C2433A" w:rsidRPr="001567C8" w:rsidRDefault="00D40BAC" w:rsidP="00C2433A">
            <w:pPr>
              <w:pStyle w:val="Tot"/>
              <w:jc w:val="right"/>
              <w:rPr>
                <w:rFonts w:asciiTheme="minorHAnsi" w:hAnsiTheme="minorHAnsi" w:cs="Arial"/>
                <w:b/>
                <w:bCs/>
                <w:sz w:val="20"/>
                <w:lang w:val="hr-HR"/>
              </w:rPr>
            </w:pPr>
            <w:r w:rsidRPr="00CD3A2D">
              <w:rPr>
                <w:rFonts w:ascii="Calibri" w:hAnsi="Calibri"/>
                <w:b/>
                <w:bCs/>
                <w:color w:val="000000"/>
                <w:sz w:val="20"/>
                <w:lang w:val="hr-HR"/>
              </w:rPr>
              <w:t>57,44</w:t>
            </w:r>
          </w:p>
        </w:tc>
        <w:tc>
          <w:tcPr>
            <w:tcW w:w="707" w:type="pct"/>
            <w:tcBorders>
              <w:top w:val="nil"/>
              <w:left w:val="nil"/>
              <w:bottom w:val="single" w:sz="12" w:space="0" w:color="auto"/>
              <w:right w:val="nil"/>
            </w:tcBorders>
            <w:shd w:val="clear" w:color="auto" w:fill="auto"/>
            <w:vAlign w:val="center"/>
          </w:tcPr>
          <w:p w:rsidR="00C2433A" w:rsidRPr="001567C8" w:rsidRDefault="00C2433A" w:rsidP="00C2433A">
            <w:pPr>
              <w:pStyle w:val="Tot"/>
              <w:jc w:val="right"/>
              <w:rPr>
                <w:rFonts w:asciiTheme="minorHAnsi" w:hAnsiTheme="minorHAnsi" w:cs="Arial"/>
                <w:b/>
                <w:bCs/>
                <w:sz w:val="20"/>
                <w:lang w:val="hr-HR"/>
              </w:rPr>
            </w:pPr>
            <w:r w:rsidRPr="00CD3A2D">
              <w:rPr>
                <w:rFonts w:ascii="Calibri" w:hAnsi="Calibri"/>
                <w:b/>
                <w:bCs/>
                <w:color w:val="000000"/>
                <w:sz w:val="20"/>
                <w:lang w:val="hr-HR"/>
              </w:rPr>
              <w:t>64,35</w:t>
            </w:r>
          </w:p>
        </w:tc>
      </w:tr>
      <w:tr w:rsidR="00E25365" w:rsidRPr="001567C8" w:rsidTr="003C6BA3">
        <w:trPr>
          <w:trHeight w:hRule="exact" w:val="221"/>
          <w:jc w:val="center"/>
        </w:trPr>
        <w:tc>
          <w:tcPr>
            <w:tcW w:w="2174" w:type="pct"/>
            <w:vAlign w:val="bottom"/>
          </w:tcPr>
          <w:p w:rsidR="00E25365" w:rsidRPr="001567C8" w:rsidRDefault="00E25365" w:rsidP="00C2433A">
            <w:pPr>
              <w:pStyle w:val="Tot"/>
              <w:tabs>
                <w:tab w:val="right" w:pos="9781"/>
              </w:tabs>
              <w:spacing w:line="220" w:lineRule="exact"/>
              <w:rPr>
                <w:rFonts w:asciiTheme="minorHAnsi" w:hAnsiTheme="minorHAnsi" w:cs="Arial"/>
                <w:b/>
                <w:bCs/>
                <w:sz w:val="20"/>
                <w:lang w:val="hr-HR"/>
              </w:rPr>
            </w:pPr>
          </w:p>
        </w:tc>
        <w:tc>
          <w:tcPr>
            <w:tcW w:w="706" w:type="pct"/>
            <w:tcBorders>
              <w:top w:val="single" w:sz="12" w:space="0" w:color="auto"/>
              <w:left w:val="nil"/>
              <w:bottom w:val="nil"/>
              <w:right w:val="nil"/>
            </w:tcBorders>
            <w:shd w:val="clear" w:color="auto" w:fill="auto"/>
            <w:vAlign w:val="center"/>
          </w:tcPr>
          <w:p w:rsidR="00E25365" w:rsidRPr="00CD3A2D" w:rsidRDefault="00E25365" w:rsidP="00C2433A">
            <w:pPr>
              <w:pStyle w:val="Tot"/>
              <w:jc w:val="right"/>
              <w:rPr>
                <w:rFonts w:ascii="Calibri" w:hAnsi="Calibri"/>
                <w:b/>
                <w:bCs/>
                <w:color w:val="000000"/>
                <w:sz w:val="20"/>
                <w:lang w:val="hr-HR"/>
              </w:rPr>
            </w:pPr>
          </w:p>
        </w:tc>
        <w:tc>
          <w:tcPr>
            <w:tcW w:w="706" w:type="pct"/>
            <w:tcBorders>
              <w:top w:val="single" w:sz="12" w:space="0" w:color="auto"/>
              <w:left w:val="nil"/>
              <w:bottom w:val="nil"/>
              <w:right w:val="nil"/>
            </w:tcBorders>
            <w:shd w:val="clear" w:color="auto" w:fill="auto"/>
            <w:vAlign w:val="center"/>
          </w:tcPr>
          <w:p w:rsidR="00E25365" w:rsidRPr="00CD3A2D" w:rsidRDefault="00E25365" w:rsidP="00C2433A">
            <w:pPr>
              <w:pStyle w:val="Tot"/>
              <w:jc w:val="right"/>
              <w:rPr>
                <w:rFonts w:ascii="Calibri" w:hAnsi="Calibri"/>
                <w:b/>
                <w:bCs/>
                <w:color w:val="000000"/>
                <w:sz w:val="20"/>
                <w:lang w:val="hr-HR"/>
              </w:rPr>
            </w:pPr>
          </w:p>
        </w:tc>
        <w:tc>
          <w:tcPr>
            <w:tcW w:w="706" w:type="pct"/>
            <w:tcBorders>
              <w:top w:val="single" w:sz="12" w:space="0" w:color="auto"/>
              <w:left w:val="nil"/>
              <w:bottom w:val="nil"/>
              <w:right w:val="nil"/>
            </w:tcBorders>
            <w:shd w:val="clear" w:color="auto" w:fill="auto"/>
            <w:vAlign w:val="center"/>
          </w:tcPr>
          <w:p w:rsidR="00E25365" w:rsidRPr="00CD3A2D" w:rsidRDefault="00E25365" w:rsidP="00C2433A">
            <w:pPr>
              <w:pStyle w:val="Tot"/>
              <w:jc w:val="right"/>
              <w:rPr>
                <w:rFonts w:ascii="Calibri" w:hAnsi="Calibri"/>
                <w:b/>
                <w:bCs/>
                <w:color w:val="000000"/>
                <w:sz w:val="20"/>
                <w:lang w:val="hr-HR"/>
              </w:rPr>
            </w:pPr>
          </w:p>
        </w:tc>
        <w:tc>
          <w:tcPr>
            <w:tcW w:w="707" w:type="pct"/>
            <w:tcBorders>
              <w:top w:val="single" w:sz="12" w:space="0" w:color="auto"/>
              <w:left w:val="nil"/>
              <w:bottom w:val="nil"/>
              <w:right w:val="nil"/>
            </w:tcBorders>
            <w:shd w:val="clear" w:color="auto" w:fill="auto"/>
            <w:vAlign w:val="center"/>
          </w:tcPr>
          <w:p w:rsidR="00E25365" w:rsidRPr="00CD3A2D" w:rsidRDefault="00E25365" w:rsidP="00C2433A">
            <w:pPr>
              <w:pStyle w:val="Tot"/>
              <w:jc w:val="right"/>
              <w:rPr>
                <w:rFonts w:ascii="Calibri" w:hAnsi="Calibri"/>
                <w:b/>
                <w:bCs/>
                <w:color w:val="000000"/>
                <w:sz w:val="20"/>
                <w:lang w:val="hr-HR"/>
              </w:rPr>
            </w:pPr>
          </w:p>
        </w:tc>
      </w:tr>
      <w:tr w:rsidR="001822E7" w:rsidRPr="001567C8" w:rsidTr="003C6BA3">
        <w:trPr>
          <w:trHeight w:val="180"/>
          <w:jc w:val="center"/>
        </w:trPr>
        <w:tc>
          <w:tcPr>
            <w:tcW w:w="2174" w:type="pct"/>
            <w:vAlign w:val="bottom"/>
          </w:tcPr>
          <w:p w:rsidR="001822E7" w:rsidRPr="001567C8" w:rsidRDefault="001822E7" w:rsidP="001822E7">
            <w:pPr>
              <w:pStyle w:val="T1"/>
              <w:keepNext w:val="0"/>
              <w:tabs>
                <w:tab w:val="right" w:pos="9781"/>
              </w:tabs>
              <w:spacing w:before="0" w:after="0" w:line="220" w:lineRule="exact"/>
              <w:jc w:val="left"/>
              <w:rPr>
                <w:rFonts w:asciiTheme="minorHAnsi" w:hAnsiTheme="minorHAnsi" w:cs="Arial"/>
                <w:b w:val="0"/>
                <w:bCs w:val="0"/>
                <w:sz w:val="20"/>
                <w:lang w:val="hr-HR"/>
              </w:rPr>
            </w:pPr>
          </w:p>
        </w:tc>
        <w:tc>
          <w:tcPr>
            <w:tcW w:w="706" w:type="pct"/>
            <w:vAlign w:val="bottom"/>
          </w:tcPr>
          <w:p w:rsidR="001822E7" w:rsidRPr="001567C8" w:rsidRDefault="001822E7" w:rsidP="001822E7">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c>
          <w:tcPr>
            <w:tcW w:w="706" w:type="pct"/>
            <w:vAlign w:val="bottom"/>
          </w:tcPr>
          <w:p w:rsidR="001822E7" w:rsidRPr="001567C8" w:rsidRDefault="001822E7" w:rsidP="001822E7">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c>
          <w:tcPr>
            <w:tcW w:w="706" w:type="pct"/>
            <w:vAlign w:val="bottom"/>
          </w:tcPr>
          <w:p w:rsidR="001822E7" w:rsidRPr="001567C8" w:rsidRDefault="001822E7" w:rsidP="001822E7">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c>
          <w:tcPr>
            <w:tcW w:w="707" w:type="pct"/>
            <w:vAlign w:val="bottom"/>
          </w:tcPr>
          <w:p w:rsidR="001822E7" w:rsidRPr="001567C8" w:rsidRDefault="001822E7" w:rsidP="001822E7">
            <w:pPr>
              <w:pStyle w:val="TH"/>
              <w:spacing w:line="220" w:lineRule="exact"/>
              <w:jc w:val="right"/>
              <w:rPr>
                <w:rFonts w:asciiTheme="minorHAnsi" w:hAnsiTheme="minorHAnsi" w:cs="Arial"/>
                <w:sz w:val="20"/>
                <w:lang w:val="hr-HR"/>
              </w:rPr>
            </w:pPr>
            <w:r w:rsidRPr="001567C8">
              <w:rPr>
                <w:rFonts w:asciiTheme="minorHAnsi" w:hAnsiTheme="minorHAnsi" w:cs="Arial"/>
                <w:sz w:val="20"/>
                <w:lang w:val="hr-HR"/>
              </w:rPr>
              <w:t>000 kuna</w:t>
            </w:r>
          </w:p>
        </w:tc>
      </w:tr>
      <w:tr w:rsidR="001822E7" w:rsidRPr="001567C8" w:rsidTr="003C6BA3">
        <w:trPr>
          <w:trHeight w:val="703"/>
          <w:jc w:val="center"/>
        </w:trPr>
        <w:tc>
          <w:tcPr>
            <w:tcW w:w="2174" w:type="pct"/>
            <w:vAlign w:val="bottom"/>
          </w:tcPr>
          <w:p w:rsidR="001822E7" w:rsidRPr="001567C8" w:rsidRDefault="001822E7" w:rsidP="001822E7">
            <w:pPr>
              <w:pStyle w:val="Tot"/>
              <w:tabs>
                <w:tab w:val="right" w:pos="9781"/>
              </w:tabs>
              <w:spacing w:line="220" w:lineRule="exact"/>
              <w:rPr>
                <w:rFonts w:asciiTheme="minorHAnsi" w:hAnsiTheme="minorHAnsi" w:cs="Arial"/>
                <w:b/>
                <w:bCs/>
                <w:sz w:val="20"/>
                <w:lang w:val="hr-HR"/>
              </w:rPr>
            </w:pPr>
            <w:r w:rsidRPr="001567C8">
              <w:rPr>
                <w:rFonts w:asciiTheme="minorHAnsi" w:hAnsiTheme="minorHAnsi" w:cs="Arial"/>
                <w:b/>
                <w:bCs/>
                <w:sz w:val="20"/>
                <w:lang w:val="hr-HR"/>
              </w:rPr>
              <w:t>Potreban iznos regulatornog kapitala za pokriće kapitalnih zahtjeva prema regulatornim zahtjevima</w:t>
            </w:r>
          </w:p>
        </w:tc>
        <w:tc>
          <w:tcPr>
            <w:tcW w:w="706" w:type="pct"/>
            <w:tcBorders>
              <w:bottom w:val="single" w:sz="12" w:space="0" w:color="auto"/>
            </w:tcBorders>
            <w:vAlign w:val="bottom"/>
          </w:tcPr>
          <w:p w:rsidR="001822E7" w:rsidRPr="001567C8" w:rsidRDefault="00D40BAC" w:rsidP="001822E7">
            <w:pPr>
              <w:pStyle w:val="Tot"/>
              <w:jc w:val="right"/>
              <w:rPr>
                <w:rFonts w:asciiTheme="minorHAnsi" w:hAnsiTheme="minorHAnsi" w:cs="Arial"/>
                <w:b/>
                <w:bCs/>
                <w:sz w:val="20"/>
                <w:lang w:val="hr-HR"/>
              </w:rPr>
            </w:pPr>
            <w:r w:rsidRPr="001567C8">
              <w:rPr>
                <w:rFonts w:asciiTheme="minorHAnsi" w:hAnsiTheme="minorHAnsi" w:cs="Arial"/>
                <w:b/>
                <w:bCs/>
                <w:sz w:val="20"/>
                <w:lang w:val="hr-HR"/>
              </w:rPr>
              <w:t>2.057.088</w:t>
            </w:r>
          </w:p>
        </w:tc>
        <w:tc>
          <w:tcPr>
            <w:tcW w:w="706" w:type="pct"/>
            <w:tcBorders>
              <w:bottom w:val="single" w:sz="12" w:space="0" w:color="auto"/>
            </w:tcBorders>
            <w:vAlign w:val="bottom"/>
          </w:tcPr>
          <w:p w:rsidR="001822E7" w:rsidRPr="001567C8" w:rsidRDefault="00C2433A" w:rsidP="001822E7">
            <w:pPr>
              <w:pStyle w:val="Tot"/>
              <w:jc w:val="right"/>
              <w:rPr>
                <w:rFonts w:asciiTheme="minorHAnsi" w:hAnsiTheme="minorHAnsi" w:cs="Arial"/>
                <w:b/>
                <w:bCs/>
                <w:sz w:val="20"/>
                <w:lang w:val="hr-HR"/>
              </w:rPr>
            </w:pPr>
            <w:r w:rsidRPr="001567C8">
              <w:rPr>
                <w:rFonts w:asciiTheme="minorHAnsi" w:hAnsiTheme="minorHAnsi" w:cs="Arial"/>
                <w:b/>
                <w:bCs/>
                <w:sz w:val="20"/>
                <w:lang w:val="hr-HR"/>
              </w:rPr>
              <w:t>1.303.165</w:t>
            </w:r>
          </w:p>
        </w:tc>
        <w:tc>
          <w:tcPr>
            <w:tcW w:w="706" w:type="pct"/>
            <w:tcBorders>
              <w:bottom w:val="single" w:sz="12" w:space="0" w:color="auto"/>
            </w:tcBorders>
            <w:vAlign w:val="bottom"/>
          </w:tcPr>
          <w:p w:rsidR="001822E7" w:rsidRPr="001567C8" w:rsidRDefault="00D40BAC" w:rsidP="001822E7">
            <w:pPr>
              <w:pStyle w:val="Tot"/>
              <w:jc w:val="right"/>
              <w:rPr>
                <w:rFonts w:asciiTheme="minorHAnsi" w:hAnsiTheme="minorHAnsi" w:cs="Arial"/>
                <w:b/>
                <w:bCs/>
                <w:sz w:val="20"/>
                <w:lang w:val="hr-HR"/>
              </w:rPr>
            </w:pPr>
            <w:r w:rsidRPr="001567C8">
              <w:rPr>
                <w:rFonts w:asciiTheme="minorHAnsi" w:hAnsiTheme="minorHAnsi" w:cs="Arial"/>
                <w:b/>
                <w:bCs/>
                <w:sz w:val="20"/>
                <w:lang w:val="hr-HR"/>
              </w:rPr>
              <w:t>2.050.634</w:t>
            </w:r>
          </w:p>
        </w:tc>
        <w:tc>
          <w:tcPr>
            <w:tcW w:w="707" w:type="pct"/>
            <w:tcBorders>
              <w:bottom w:val="single" w:sz="12" w:space="0" w:color="auto"/>
            </w:tcBorders>
            <w:vAlign w:val="bottom"/>
          </w:tcPr>
          <w:p w:rsidR="001822E7" w:rsidRPr="001567C8" w:rsidRDefault="00C2433A" w:rsidP="001822E7">
            <w:pPr>
              <w:pStyle w:val="Tot"/>
              <w:jc w:val="right"/>
              <w:rPr>
                <w:rFonts w:asciiTheme="minorHAnsi" w:hAnsiTheme="minorHAnsi" w:cs="Arial"/>
                <w:b/>
                <w:bCs/>
                <w:sz w:val="20"/>
                <w:lang w:val="hr-HR"/>
              </w:rPr>
            </w:pPr>
            <w:r w:rsidRPr="001567C8">
              <w:rPr>
                <w:rFonts w:asciiTheme="minorHAnsi" w:hAnsiTheme="minorHAnsi" w:cs="Arial"/>
                <w:b/>
                <w:bCs/>
                <w:sz w:val="20"/>
                <w:lang w:val="hr-HR"/>
              </w:rPr>
              <w:t>1.303.712</w:t>
            </w:r>
          </w:p>
        </w:tc>
      </w:tr>
    </w:tbl>
    <w:p w:rsidR="00807403" w:rsidRPr="001567C8" w:rsidRDefault="00807403" w:rsidP="00807403">
      <w:pPr>
        <w:pStyle w:val="T1"/>
        <w:spacing w:before="0" w:after="0" w:line="240" w:lineRule="auto"/>
        <w:rPr>
          <w:rFonts w:asciiTheme="minorHAnsi" w:hAnsiTheme="minorHAnsi"/>
          <w:b w:val="0"/>
          <w:sz w:val="22"/>
          <w:szCs w:val="22"/>
          <w:lang w:val="hr-HR"/>
        </w:rPr>
      </w:pPr>
    </w:p>
    <w:p w:rsidR="003F6D66" w:rsidRPr="001567C8" w:rsidRDefault="00060D6D" w:rsidP="00807403">
      <w:pPr>
        <w:pStyle w:val="T1"/>
        <w:spacing w:before="0" w:after="0" w:line="240" w:lineRule="auto"/>
        <w:rPr>
          <w:rFonts w:asciiTheme="minorHAnsi" w:hAnsiTheme="minorHAnsi" w:cs="Arial"/>
          <w:b w:val="0"/>
          <w:sz w:val="22"/>
          <w:szCs w:val="22"/>
          <w:lang w:val="hr-HR"/>
        </w:rPr>
        <w:sectPr w:rsidR="003F6D66" w:rsidRPr="001567C8" w:rsidSect="0077198A">
          <w:pgSz w:w="11907" w:h="16840" w:code="9"/>
          <w:pgMar w:top="1418" w:right="1134" w:bottom="1134" w:left="1418" w:header="851" w:footer="851" w:gutter="0"/>
          <w:cols w:space="720"/>
          <w:noEndnote/>
        </w:sectPr>
      </w:pPr>
      <w:r w:rsidRPr="001567C8">
        <w:rPr>
          <w:rFonts w:asciiTheme="minorHAnsi" w:hAnsiTheme="minorHAnsi"/>
          <w:b w:val="0"/>
          <w:sz w:val="22"/>
          <w:szCs w:val="22"/>
          <w:lang w:val="hr-HR"/>
        </w:rPr>
        <w:t xml:space="preserve">Minimalna adekvatnost kapitala na datume </w:t>
      </w:r>
      <w:r w:rsidR="00485285" w:rsidRPr="001567C8">
        <w:rPr>
          <w:rFonts w:asciiTheme="minorHAnsi" w:hAnsiTheme="minorHAnsi"/>
          <w:b w:val="0"/>
          <w:sz w:val="22"/>
          <w:szCs w:val="22"/>
          <w:lang w:val="hr-HR"/>
        </w:rPr>
        <w:t>izvještaja o financijskom položaju</w:t>
      </w:r>
      <w:r w:rsidRPr="001567C8">
        <w:rPr>
          <w:rFonts w:asciiTheme="minorHAnsi" w:hAnsiTheme="minorHAnsi"/>
          <w:b w:val="0"/>
          <w:sz w:val="22"/>
          <w:szCs w:val="22"/>
          <w:lang w:val="hr-HR"/>
        </w:rPr>
        <w:t xml:space="preserve"> u </w:t>
      </w:r>
      <w:r w:rsidR="003A4807" w:rsidRPr="001567C8">
        <w:rPr>
          <w:rFonts w:asciiTheme="minorHAnsi" w:hAnsiTheme="minorHAnsi"/>
          <w:b w:val="0"/>
          <w:sz w:val="22"/>
          <w:szCs w:val="22"/>
          <w:lang w:val="hr-HR"/>
        </w:rPr>
        <w:t>2018</w:t>
      </w:r>
      <w:r w:rsidRPr="001567C8">
        <w:rPr>
          <w:rFonts w:asciiTheme="minorHAnsi" w:hAnsiTheme="minorHAnsi"/>
          <w:b w:val="0"/>
          <w:sz w:val="22"/>
          <w:szCs w:val="22"/>
          <w:lang w:val="hr-HR"/>
        </w:rPr>
        <w:t>.</w:t>
      </w:r>
      <w:r w:rsidR="00485285" w:rsidRPr="001567C8">
        <w:rPr>
          <w:rFonts w:asciiTheme="minorHAnsi" w:hAnsiTheme="minorHAnsi"/>
          <w:b w:val="0"/>
          <w:sz w:val="22"/>
          <w:szCs w:val="22"/>
          <w:lang w:val="hr-HR"/>
        </w:rPr>
        <w:t xml:space="preserve"> godini</w:t>
      </w:r>
      <w:r w:rsidRPr="001567C8">
        <w:rPr>
          <w:rFonts w:asciiTheme="minorHAnsi" w:hAnsiTheme="minorHAnsi"/>
          <w:b w:val="0"/>
          <w:sz w:val="22"/>
          <w:szCs w:val="22"/>
          <w:lang w:val="hr-HR"/>
        </w:rPr>
        <w:t xml:space="preserve"> bila je </w:t>
      </w:r>
      <w:r w:rsidR="002F6E35" w:rsidRPr="001567C8">
        <w:rPr>
          <w:rFonts w:asciiTheme="minorHAnsi" w:hAnsiTheme="minorHAnsi"/>
          <w:b w:val="0"/>
          <w:sz w:val="22"/>
          <w:szCs w:val="22"/>
          <w:lang w:val="hr-HR"/>
        </w:rPr>
        <w:t>12</w:t>
      </w:r>
      <w:r w:rsidRPr="001567C8">
        <w:rPr>
          <w:rFonts w:asciiTheme="minorHAnsi" w:hAnsiTheme="minorHAnsi"/>
          <w:b w:val="0"/>
          <w:sz w:val="22"/>
          <w:szCs w:val="22"/>
          <w:lang w:val="hr-HR"/>
        </w:rPr>
        <w:t>%</w:t>
      </w:r>
      <w:r w:rsidR="00AF2459" w:rsidRPr="001567C8">
        <w:rPr>
          <w:rFonts w:asciiTheme="minorHAnsi" w:hAnsiTheme="minorHAnsi"/>
          <w:b w:val="0"/>
          <w:sz w:val="22"/>
          <w:szCs w:val="22"/>
          <w:lang w:val="hr-HR"/>
        </w:rPr>
        <w:t xml:space="preserve"> </w:t>
      </w:r>
      <w:r w:rsidR="00A34FB5" w:rsidRPr="001567C8">
        <w:rPr>
          <w:rFonts w:asciiTheme="minorHAnsi" w:eastAsia="Calibri" w:hAnsiTheme="minorHAnsi" w:cs="Arial"/>
          <w:b w:val="0"/>
          <w:bCs w:val="0"/>
          <w:sz w:val="22"/>
          <w:szCs w:val="22"/>
          <w:lang w:val="hr-HR"/>
        </w:rPr>
        <w:t xml:space="preserve">(31. prosinca </w:t>
      </w:r>
      <w:r w:rsidR="003A4807" w:rsidRPr="001567C8">
        <w:rPr>
          <w:rFonts w:asciiTheme="minorHAnsi" w:eastAsia="Calibri" w:hAnsiTheme="minorHAnsi" w:cs="Arial"/>
          <w:b w:val="0"/>
          <w:bCs w:val="0"/>
          <w:sz w:val="22"/>
          <w:szCs w:val="22"/>
          <w:lang w:val="hr-HR"/>
        </w:rPr>
        <w:t>2017</w:t>
      </w:r>
      <w:r w:rsidR="008A29AB" w:rsidRPr="001567C8">
        <w:rPr>
          <w:rFonts w:asciiTheme="minorHAnsi" w:eastAsia="Calibri" w:hAnsiTheme="minorHAnsi" w:cs="Arial"/>
          <w:b w:val="0"/>
          <w:bCs w:val="0"/>
          <w:sz w:val="22"/>
          <w:szCs w:val="22"/>
          <w:lang w:val="hr-HR"/>
        </w:rPr>
        <w:t>.: 8</w:t>
      </w:r>
      <w:r w:rsidR="00497FB0" w:rsidRPr="001567C8">
        <w:rPr>
          <w:rFonts w:asciiTheme="minorHAnsi" w:eastAsia="Calibri" w:hAnsiTheme="minorHAnsi" w:cs="Arial"/>
          <w:b w:val="0"/>
          <w:bCs w:val="0"/>
          <w:sz w:val="22"/>
          <w:szCs w:val="22"/>
          <w:lang w:val="hr-HR"/>
        </w:rPr>
        <w:t>%)</w:t>
      </w:r>
      <w:r w:rsidRPr="001567C8">
        <w:rPr>
          <w:rFonts w:asciiTheme="minorHAnsi" w:hAnsiTheme="minorHAnsi" w:cs="Arial"/>
          <w:b w:val="0"/>
          <w:sz w:val="22"/>
          <w:szCs w:val="22"/>
          <w:lang w:val="hr-HR"/>
        </w:rPr>
        <w:t>.</w:t>
      </w:r>
    </w:p>
    <w:p w:rsidR="00807403" w:rsidRPr="001567C8" w:rsidRDefault="00807403" w:rsidP="00807403">
      <w:pPr>
        <w:pStyle w:val="T1"/>
        <w:tabs>
          <w:tab w:val="left" w:pos="567"/>
        </w:tabs>
        <w:spacing w:before="0" w:after="0" w:line="240" w:lineRule="auto"/>
        <w:ind w:left="709" w:hanging="709"/>
        <w:rPr>
          <w:rFonts w:asciiTheme="minorHAnsi" w:hAnsiTheme="minorHAnsi" w:cs="Arial"/>
          <w:spacing w:val="-3"/>
          <w:sz w:val="22"/>
          <w:szCs w:val="22"/>
          <w:lang w:val="hr-HR"/>
        </w:rPr>
      </w:pPr>
    </w:p>
    <w:p w:rsidR="00C40BDB" w:rsidRPr="001567C8" w:rsidRDefault="003A4807">
      <w:pPr>
        <w:pStyle w:val="NormalWeb"/>
        <w:tabs>
          <w:tab w:val="left" w:pos="567"/>
        </w:tabs>
        <w:spacing w:before="0" w:beforeAutospacing="0" w:after="0" w:afterAutospacing="0"/>
        <w:rPr>
          <w:rFonts w:asciiTheme="minorHAnsi" w:hAnsiTheme="minorHAnsi" w:cs="Arial"/>
          <w:b/>
          <w:sz w:val="22"/>
          <w:szCs w:val="22"/>
          <w:lang w:val="hr-HR"/>
        </w:rPr>
      </w:pPr>
      <w:r w:rsidRPr="001567C8">
        <w:rPr>
          <w:rFonts w:asciiTheme="minorHAnsi" w:hAnsiTheme="minorHAnsi" w:cs="Arial"/>
          <w:b/>
          <w:sz w:val="22"/>
          <w:szCs w:val="22"/>
          <w:lang w:val="hr-HR"/>
        </w:rPr>
        <w:t>40</w:t>
      </w:r>
      <w:r w:rsidR="00C40BDB" w:rsidRPr="001567C8">
        <w:rPr>
          <w:rFonts w:asciiTheme="minorHAnsi" w:hAnsiTheme="minorHAnsi" w:cs="Arial"/>
          <w:b/>
          <w:sz w:val="22"/>
          <w:szCs w:val="22"/>
          <w:lang w:val="hr-HR"/>
        </w:rPr>
        <w:t xml:space="preserve">. </w:t>
      </w:r>
      <w:r w:rsidR="00C40BDB" w:rsidRPr="001567C8">
        <w:rPr>
          <w:rFonts w:asciiTheme="minorHAnsi" w:hAnsiTheme="minorHAnsi" w:cs="Arial"/>
          <w:b/>
          <w:sz w:val="22"/>
          <w:szCs w:val="22"/>
          <w:lang w:val="hr-HR"/>
        </w:rPr>
        <w:tab/>
        <w:t>Zarada po dionici</w:t>
      </w:r>
    </w:p>
    <w:p w:rsidR="00807403" w:rsidRPr="001567C8" w:rsidRDefault="00807403">
      <w:pPr>
        <w:pStyle w:val="NormalWeb"/>
        <w:tabs>
          <w:tab w:val="left" w:pos="567"/>
        </w:tabs>
        <w:spacing w:before="0" w:beforeAutospacing="0" w:after="0" w:afterAutospacing="0"/>
        <w:rPr>
          <w:rFonts w:asciiTheme="minorHAnsi" w:hAnsiTheme="minorHAnsi" w:cs="Arial"/>
          <w:b/>
          <w:sz w:val="22"/>
          <w:szCs w:val="22"/>
          <w:lang w:val="hr-HR"/>
        </w:rPr>
      </w:pPr>
    </w:p>
    <w:p w:rsidR="00C40BDB" w:rsidRPr="001567C8" w:rsidRDefault="00C40BDB">
      <w:pPr>
        <w:pStyle w:val="NormalWeb"/>
        <w:spacing w:before="0" w:beforeAutospacing="0" w:after="0" w:afterAutospacing="0"/>
        <w:jc w:val="both"/>
        <w:rPr>
          <w:rFonts w:asciiTheme="minorHAnsi" w:hAnsiTheme="minorHAnsi" w:cs="Arial"/>
          <w:sz w:val="22"/>
          <w:szCs w:val="22"/>
          <w:lang w:val="hr-HR"/>
        </w:rPr>
      </w:pPr>
      <w:r w:rsidRPr="001567C8">
        <w:rPr>
          <w:rFonts w:asciiTheme="minorHAnsi" w:hAnsiTheme="minorHAnsi" w:cs="Arial"/>
          <w:sz w:val="22"/>
          <w:szCs w:val="22"/>
          <w:lang w:val="hr-HR"/>
        </w:rPr>
        <w:t>Sukladno Zakonu o HBOR-u temeljni kapital Banke čini jedan poslovni udio koji se ne može dijeliti, prenositi niti zalagati i u isključivom je vlasništvu Republike Hrvatske.</w:t>
      </w:r>
    </w:p>
    <w:p w:rsidR="00C40BDB" w:rsidRPr="001567C8" w:rsidRDefault="00C40BDB">
      <w:pPr>
        <w:pStyle w:val="T1"/>
        <w:keepNext w:val="0"/>
        <w:spacing w:before="0" w:after="0" w:line="240" w:lineRule="auto"/>
        <w:rPr>
          <w:rFonts w:asciiTheme="minorHAnsi" w:hAnsiTheme="minorHAnsi" w:cs="Arial"/>
          <w:b w:val="0"/>
          <w:sz w:val="22"/>
          <w:szCs w:val="22"/>
          <w:lang w:val="hr-HR"/>
        </w:rPr>
      </w:pPr>
      <w:r w:rsidRPr="001567C8">
        <w:rPr>
          <w:rFonts w:asciiTheme="minorHAnsi" w:hAnsiTheme="minorHAnsi" w:cs="Arial"/>
          <w:b w:val="0"/>
          <w:sz w:val="22"/>
          <w:szCs w:val="22"/>
          <w:lang w:val="hr-HR"/>
        </w:rPr>
        <w:t>U svrhu izračuna zarade po dionici</w:t>
      </w:r>
      <w:r w:rsidR="00123421" w:rsidRPr="001567C8">
        <w:rPr>
          <w:rFonts w:asciiTheme="minorHAnsi" w:hAnsiTheme="minorHAnsi" w:cs="Arial"/>
          <w:b w:val="0"/>
          <w:sz w:val="22"/>
          <w:szCs w:val="22"/>
          <w:lang w:val="hr-HR"/>
        </w:rPr>
        <w:t>,</w:t>
      </w:r>
      <w:r w:rsidRPr="001567C8">
        <w:rPr>
          <w:rFonts w:asciiTheme="minorHAnsi" w:hAnsiTheme="minorHAnsi" w:cs="Arial"/>
          <w:b w:val="0"/>
          <w:sz w:val="22"/>
          <w:szCs w:val="22"/>
          <w:lang w:val="hr-HR"/>
        </w:rPr>
        <w:t xml:space="preserve"> zarada predstavlja neto dobit poslije oporezivanja.</w:t>
      </w:r>
    </w:p>
    <w:p w:rsidR="00807403" w:rsidRPr="001567C8" w:rsidRDefault="00807403">
      <w:pPr>
        <w:pStyle w:val="T1"/>
        <w:keepNext w:val="0"/>
        <w:spacing w:before="0" w:after="0" w:line="240" w:lineRule="auto"/>
        <w:rPr>
          <w:rFonts w:asciiTheme="minorHAnsi" w:hAnsiTheme="minorHAnsi" w:cs="Arial"/>
          <w:b w:val="0"/>
          <w:sz w:val="22"/>
          <w:szCs w:val="22"/>
          <w:lang w:val="hr-HR"/>
        </w:rPr>
      </w:pPr>
    </w:p>
    <w:p w:rsidR="00C77C61" w:rsidRPr="001567C8" w:rsidRDefault="00BB0B5F">
      <w:pPr>
        <w:rPr>
          <w:rFonts w:ascii="Calibri" w:hAnsi="Calibri"/>
          <w:sz w:val="22"/>
          <w:szCs w:val="22"/>
          <w:lang w:val="hr-HR"/>
        </w:rPr>
      </w:pPr>
      <w:r w:rsidRPr="001567C8">
        <w:rPr>
          <w:rFonts w:ascii="Calibri" w:hAnsi="Calibri"/>
          <w:sz w:val="22"/>
          <w:szCs w:val="22"/>
          <w:lang w:val="hr-HR"/>
        </w:rPr>
        <w:t xml:space="preserve">           </w:t>
      </w:r>
    </w:p>
    <w:p w:rsidR="00C77C61" w:rsidRPr="001567C8" w:rsidRDefault="00C77C61">
      <w:pPr>
        <w:rPr>
          <w:rFonts w:asciiTheme="minorHAnsi" w:hAnsiTheme="minorHAnsi"/>
          <w:sz w:val="22"/>
          <w:szCs w:val="22"/>
          <w:lang w:val="hr-HR"/>
        </w:rPr>
      </w:pPr>
    </w:p>
    <w:p w:rsidR="007F0354" w:rsidRPr="001567C8" w:rsidRDefault="007F0354">
      <w:pPr>
        <w:rPr>
          <w:rFonts w:asciiTheme="minorHAnsi" w:hAnsiTheme="minorHAnsi"/>
          <w:sz w:val="22"/>
          <w:szCs w:val="22"/>
          <w:lang w:val="hr-HR"/>
        </w:rPr>
      </w:pPr>
    </w:p>
    <w:p w:rsidR="00B651F0" w:rsidRPr="001567C8" w:rsidRDefault="00B651F0" w:rsidP="00361B04">
      <w:pPr>
        <w:rPr>
          <w:rFonts w:asciiTheme="minorHAnsi" w:hAnsiTheme="minorHAnsi"/>
          <w:sz w:val="22"/>
          <w:szCs w:val="22"/>
          <w:lang w:val="hr-HR"/>
        </w:rPr>
        <w:sectPr w:rsidR="00B651F0" w:rsidRPr="001567C8" w:rsidSect="0077198A">
          <w:headerReference w:type="default" r:id="rId79"/>
          <w:pgSz w:w="11907" w:h="16840" w:code="9"/>
          <w:pgMar w:top="1418" w:right="1134" w:bottom="1134" w:left="1418" w:header="851" w:footer="851" w:gutter="0"/>
          <w:cols w:space="720"/>
          <w:noEndnote/>
        </w:sectPr>
      </w:pPr>
    </w:p>
    <w:p w:rsidR="00807403" w:rsidRPr="001567C8" w:rsidRDefault="00807403" w:rsidP="007F0E1B">
      <w:pPr>
        <w:rPr>
          <w:rFonts w:asciiTheme="minorHAnsi" w:hAnsiTheme="minorHAnsi"/>
          <w:b/>
          <w:sz w:val="22"/>
          <w:szCs w:val="22"/>
          <w:lang w:val="hr-HR"/>
        </w:rPr>
      </w:pPr>
    </w:p>
    <w:tbl>
      <w:tblPr>
        <w:tblpPr w:leftFromText="181" w:rightFromText="181" w:vertAnchor="text" w:horzAnchor="margin" w:tblpXSpec="center" w:tblpY="1"/>
        <w:tblW w:w="9008" w:type="dxa"/>
        <w:tblLayout w:type="fixed"/>
        <w:tblLook w:val="04A0" w:firstRow="1" w:lastRow="0" w:firstColumn="1" w:lastColumn="0" w:noHBand="0" w:noVBand="1"/>
      </w:tblPr>
      <w:tblGrid>
        <w:gridCol w:w="6387"/>
        <w:gridCol w:w="1403"/>
        <w:gridCol w:w="1218"/>
      </w:tblGrid>
      <w:tr w:rsidR="00CF4603" w:rsidRPr="001567C8" w:rsidTr="00CF4603">
        <w:trPr>
          <w:trHeight w:val="80"/>
        </w:trPr>
        <w:tc>
          <w:tcPr>
            <w:tcW w:w="6387" w:type="dxa"/>
            <w:tcBorders>
              <w:left w:val="nil"/>
              <w:bottom w:val="nil"/>
              <w:right w:val="nil"/>
            </w:tcBorders>
            <w:shd w:val="clear" w:color="auto" w:fill="auto"/>
            <w:vAlign w:val="bottom"/>
          </w:tcPr>
          <w:p w:rsidR="00CF4603" w:rsidRPr="001567C8" w:rsidRDefault="00CF4603" w:rsidP="00CF4603">
            <w:pPr>
              <w:rPr>
                <w:rFonts w:asciiTheme="minorHAnsi" w:hAnsiTheme="minorHAnsi" w:cs="Arial"/>
                <w:b/>
                <w:bCs/>
                <w:sz w:val="18"/>
                <w:szCs w:val="18"/>
                <w:lang w:val="hr-HR"/>
              </w:rPr>
            </w:pPr>
          </w:p>
        </w:tc>
        <w:tc>
          <w:tcPr>
            <w:tcW w:w="1403" w:type="dxa"/>
            <w:tcBorders>
              <w:left w:val="nil"/>
              <w:bottom w:val="nil"/>
              <w:right w:val="nil"/>
            </w:tcBorders>
            <w:shd w:val="clear" w:color="auto" w:fill="auto"/>
            <w:noWrap/>
            <w:vAlign w:val="bottom"/>
          </w:tcPr>
          <w:p w:rsidR="00CF4603" w:rsidRPr="001567C8" w:rsidRDefault="00CF4603"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201</w:t>
            </w:r>
            <w:r w:rsidR="00B9511A" w:rsidRPr="001567C8">
              <w:rPr>
                <w:rFonts w:asciiTheme="minorHAnsi" w:hAnsiTheme="minorHAnsi" w:cs="Arial"/>
                <w:b/>
                <w:bCs/>
                <w:sz w:val="18"/>
                <w:szCs w:val="18"/>
                <w:lang w:val="hr-HR"/>
              </w:rPr>
              <w:t>8</w:t>
            </w:r>
            <w:r w:rsidRPr="001567C8">
              <w:rPr>
                <w:rFonts w:asciiTheme="minorHAnsi" w:hAnsiTheme="minorHAnsi" w:cs="Arial"/>
                <w:b/>
                <w:bCs/>
                <w:sz w:val="18"/>
                <w:szCs w:val="18"/>
                <w:lang w:val="hr-HR"/>
              </w:rPr>
              <w:t>.</w:t>
            </w:r>
          </w:p>
        </w:tc>
        <w:tc>
          <w:tcPr>
            <w:tcW w:w="1218" w:type="dxa"/>
            <w:tcBorders>
              <w:left w:val="nil"/>
              <w:bottom w:val="nil"/>
              <w:right w:val="nil"/>
            </w:tcBorders>
            <w:vAlign w:val="bottom"/>
          </w:tcPr>
          <w:p w:rsidR="00CF4603" w:rsidRPr="001567C8" w:rsidRDefault="00CF4603"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201</w:t>
            </w:r>
            <w:r w:rsidR="00B9511A" w:rsidRPr="001567C8">
              <w:rPr>
                <w:rFonts w:asciiTheme="minorHAnsi" w:hAnsiTheme="minorHAnsi" w:cs="Arial"/>
                <w:b/>
                <w:bCs/>
                <w:sz w:val="18"/>
                <w:szCs w:val="18"/>
                <w:lang w:val="hr-HR"/>
              </w:rPr>
              <w:t>7</w:t>
            </w:r>
            <w:r w:rsidRPr="001567C8">
              <w:rPr>
                <w:rFonts w:asciiTheme="minorHAnsi" w:hAnsiTheme="minorHAnsi" w:cs="Arial"/>
                <w:b/>
                <w:bCs/>
                <w:sz w:val="18"/>
                <w:szCs w:val="18"/>
                <w:lang w:val="hr-HR"/>
              </w:rPr>
              <w:t>.</w:t>
            </w:r>
          </w:p>
        </w:tc>
      </w:tr>
      <w:tr w:rsidR="00CF4603" w:rsidRPr="001567C8" w:rsidTr="00CF4603">
        <w:trPr>
          <w:trHeight w:val="64"/>
        </w:trPr>
        <w:tc>
          <w:tcPr>
            <w:tcW w:w="6387" w:type="dxa"/>
            <w:tcBorders>
              <w:left w:val="nil"/>
              <w:bottom w:val="nil"/>
              <w:right w:val="nil"/>
            </w:tcBorders>
            <w:shd w:val="clear" w:color="auto" w:fill="auto"/>
            <w:vAlign w:val="bottom"/>
          </w:tcPr>
          <w:p w:rsidR="00CF4603" w:rsidRPr="001567C8" w:rsidRDefault="00CF4603" w:rsidP="00CF4603">
            <w:pPr>
              <w:rPr>
                <w:rFonts w:asciiTheme="minorHAnsi" w:hAnsiTheme="minorHAnsi" w:cs="Arial"/>
                <w:b/>
                <w:bCs/>
                <w:sz w:val="18"/>
                <w:szCs w:val="18"/>
                <w:lang w:val="hr-HR"/>
              </w:rPr>
            </w:pPr>
          </w:p>
        </w:tc>
        <w:tc>
          <w:tcPr>
            <w:tcW w:w="1403" w:type="dxa"/>
            <w:tcBorders>
              <w:left w:val="nil"/>
              <w:bottom w:val="nil"/>
              <w:right w:val="nil"/>
            </w:tcBorders>
            <w:shd w:val="clear" w:color="auto" w:fill="auto"/>
            <w:noWrap/>
            <w:vAlign w:val="bottom"/>
          </w:tcPr>
          <w:p w:rsidR="00CF4603" w:rsidRPr="001567C8" w:rsidRDefault="00CF4603"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000 kuna</w:t>
            </w:r>
          </w:p>
        </w:tc>
        <w:tc>
          <w:tcPr>
            <w:tcW w:w="1218" w:type="dxa"/>
            <w:tcBorders>
              <w:left w:val="nil"/>
              <w:bottom w:val="nil"/>
              <w:right w:val="nil"/>
            </w:tcBorders>
            <w:vAlign w:val="bottom"/>
          </w:tcPr>
          <w:p w:rsidR="00CF4603" w:rsidRPr="001567C8" w:rsidRDefault="00CF4603"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000 kuna</w:t>
            </w:r>
          </w:p>
        </w:tc>
      </w:tr>
      <w:tr w:rsidR="00CF4603" w:rsidRPr="001567C8" w:rsidTr="00CF4603">
        <w:trPr>
          <w:trHeight w:val="73"/>
        </w:trPr>
        <w:tc>
          <w:tcPr>
            <w:tcW w:w="6387" w:type="dxa"/>
            <w:tcBorders>
              <w:top w:val="nil"/>
              <w:left w:val="nil"/>
              <w:bottom w:val="nil"/>
              <w:right w:val="nil"/>
            </w:tcBorders>
            <w:shd w:val="clear" w:color="auto" w:fill="auto"/>
            <w:vAlign w:val="bottom"/>
          </w:tcPr>
          <w:p w:rsidR="00CF4603" w:rsidRPr="001567C8" w:rsidRDefault="00CF4603" w:rsidP="00CF4603">
            <w:pPr>
              <w:rPr>
                <w:rFonts w:asciiTheme="minorHAnsi" w:hAnsiTheme="minorHAnsi" w:cs="Arial"/>
                <w:b/>
                <w:sz w:val="18"/>
                <w:szCs w:val="18"/>
                <w:lang w:val="hr-HR"/>
              </w:rPr>
            </w:pPr>
            <w:r w:rsidRPr="001567C8">
              <w:rPr>
                <w:rFonts w:asciiTheme="minorHAnsi" w:hAnsiTheme="minorHAnsi" w:cs="Arial"/>
                <w:b/>
                <w:sz w:val="18"/>
                <w:szCs w:val="18"/>
                <w:lang w:val="hr-HR"/>
              </w:rPr>
              <w:t>Zarađene premije</w:t>
            </w:r>
          </w:p>
        </w:tc>
        <w:tc>
          <w:tcPr>
            <w:tcW w:w="1403" w:type="dxa"/>
            <w:tcBorders>
              <w:top w:val="nil"/>
              <w:left w:val="nil"/>
              <w:bottom w:val="nil"/>
              <w:right w:val="nil"/>
            </w:tcBorders>
            <w:shd w:val="clear" w:color="auto" w:fill="auto"/>
            <w:noWrap/>
            <w:vAlign w:val="bottom"/>
          </w:tcPr>
          <w:p w:rsidR="00CF4603" w:rsidRPr="001567C8" w:rsidRDefault="00CF4603" w:rsidP="00CF4603">
            <w:pPr>
              <w:jc w:val="right"/>
              <w:rPr>
                <w:rFonts w:asciiTheme="minorHAnsi" w:hAnsiTheme="minorHAnsi" w:cs="Arial"/>
                <w:sz w:val="18"/>
                <w:szCs w:val="18"/>
                <w:lang w:val="hr-HR"/>
              </w:rPr>
            </w:pPr>
          </w:p>
        </w:tc>
        <w:tc>
          <w:tcPr>
            <w:tcW w:w="1218" w:type="dxa"/>
            <w:tcBorders>
              <w:top w:val="nil"/>
              <w:left w:val="nil"/>
              <w:bottom w:val="nil"/>
              <w:right w:val="nil"/>
            </w:tcBorders>
            <w:vAlign w:val="bottom"/>
          </w:tcPr>
          <w:p w:rsidR="00CF4603" w:rsidRPr="001567C8" w:rsidRDefault="00CF4603" w:rsidP="00CF4603">
            <w:pPr>
              <w:jc w:val="right"/>
              <w:rPr>
                <w:rFonts w:asciiTheme="minorHAnsi" w:hAnsiTheme="minorHAnsi" w:cs="Arial"/>
                <w:sz w:val="18"/>
                <w:szCs w:val="18"/>
                <w:lang w:val="hr-HR"/>
              </w:rPr>
            </w:pPr>
          </w:p>
        </w:tc>
      </w:tr>
      <w:tr w:rsidR="00B9511A" w:rsidRPr="001567C8" w:rsidTr="003C6BA3">
        <w:trPr>
          <w:trHeight w:val="44"/>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Zaračunana bruto premija</w:t>
            </w:r>
          </w:p>
        </w:tc>
        <w:tc>
          <w:tcPr>
            <w:tcW w:w="1403" w:type="dxa"/>
            <w:tcBorders>
              <w:top w:val="nil"/>
              <w:left w:val="nil"/>
              <w:bottom w:val="nil"/>
              <w:right w:val="nil"/>
            </w:tcBorders>
            <w:shd w:val="clear" w:color="auto" w:fill="auto"/>
            <w:noWrap/>
            <w:vAlign w:val="center"/>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10.461</w:t>
            </w:r>
          </w:p>
        </w:tc>
        <w:tc>
          <w:tcPr>
            <w:tcW w:w="1218"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10.594</w:t>
            </w:r>
          </w:p>
        </w:tc>
      </w:tr>
      <w:tr w:rsidR="00B9511A" w:rsidRPr="001567C8" w:rsidTr="003C6BA3">
        <w:trPr>
          <w:trHeight w:val="122"/>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Ispravak vrijednosti i naplaćeni ispravak premije</w:t>
            </w:r>
          </w:p>
        </w:tc>
        <w:tc>
          <w:tcPr>
            <w:tcW w:w="1403" w:type="dxa"/>
            <w:tcBorders>
              <w:top w:val="nil"/>
              <w:left w:val="nil"/>
              <w:bottom w:val="nil"/>
              <w:right w:val="nil"/>
            </w:tcBorders>
            <w:shd w:val="clear" w:color="auto" w:fill="auto"/>
            <w:noWrap/>
            <w:vAlign w:val="center"/>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(23)</w:t>
            </w:r>
          </w:p>
        </w:tc>
        <w:tc>
          <w:tcPr>
            <w:tcW w:w="1218"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(270)</w:t>
            </w:r>
          </w:p>
        </w:tc>
      </w:tr>
      <w:tr w:rsidR="00B9511A" w:rsidRPr="001567C8" w:rsidTr="003C6BA3">
        <w:trPr>
          <w:trHeight w:val="124"/>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Bruto premije predane u reosiguranje</w:t>
            </w:r>
          </w:p>
        </w:tc>
        <w:tc>
          <w:tcPr>
            <w:tcW w:w="1403" w:type="dxa"/>
            <w:tcBorders>
              <w:top w:val="nil"/>
              <w:left w:val="nil"/>
              <w:bottom w:val="nil"/>
              <w:right w:val="nil"/>
            </w:tcBorders>
            <w:shd w:val="clear" w:color="auto" w:fill="auto"/>
            <w:noWrap/>
            <w:vAlign w:val="center"/>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(4.430)</w:t>
            </w:r>
          </w:p>
        </w:tc>
        <w:tc>
          <w:tcPr>
            <w:tcW w:w="1218" w:type="dxa"/>
            <w:tcBorders>
              <w:top w:val="nil"/>
              <w:left w:val="nil"/>
              <w:bottom w:val="single" w:sz="4" w:space="0" w:color="auto"/>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(3.877)</w:t>
            </w:r>
          </w:p>
        </w:tc>
      </w:tr>
      <w:tr w:rsidR="00B9511A" w:rsidRPr="001567C8" w:rsidTr="003C6BA3">
        <w:trPr>
          <w:trHeight w:val="111"/>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Neto zaračunate premije</w:t>
            </w:r>
          </w:p>
        </w:tc>
        <w:tc>
          <w:tcPr>
            <w:tcW w:w="1403"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sz w:val="17"/>
                <w:szCs w:val="17"/>
                <w:lang w:val="hr-HR"/>
              </w:rPr>
              <w:t>6.008</w:t>
            </w:r>
          </w:p>
        </w:tc>
        <w:tc>
          <w:tcPr>
            <w:tcW w:w="1218" w:type="dxa"/>
            <w:tcBorders>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sz w:val="18"/>
                <w:szCs w:val="18"/>
                <w:lang w:val="hr-HR"/>
              </w:rPr>
              <w:t>6.447</w:t>
            </w:r>
          </w:p>
        </w:tc>
      </w:tr>
      <w:tr w:rsidR="00B9511A" w:rsidRPr="001567C8" w:rsidTr="00CD3A2D">
        <w:trPr>
          <w:trHeight w:hRule="exact" w:val="125"/>
        </w:trPr>
        <w:tc>
          <w:tcPr>
            <w:tcW w:w="6387"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403" w:type="dxa"/>
            <w:tcBorders>
              <w:top w:val="single" w:sz="12" w:space="0" w:color="auto"/>
              <w:left w:val="nil"/>
              <w:bottom w:val="nil"/>
              <w:right w:val="nil"/>
            </w:tcBorders>
            <w:shd w:val="clear" w:color="auto" w:fill="auto"/>
            <w:noWrap/>
          </w:tcPr>
          <w:p w:rsidR="00B9511A" w:rsidRPr="001567C8" w:rsidRDefault="00B9511A" w:rsidP="00B9511A">
            <w:pPr>
              <w:spacing w:line="140" w:lineRule="exact"/>
              <w:jc w:val="right"/>
              <w:rPr>
                <w:rFonts w:asciiTheme="minorHAnsi" w:hAnsiTheme="minorHAnsi" w:cs="Arial"/>
                <w:sz w:val="18"/>
                <w:szCs w:val="18"/>
                <w:lang w:val="hr-HR"/>
              </w:rPr>
            </w:pPr>
          </w:p>
        </w:tc>
        <w:tc>
          <w:tcPr>
            <w:tcW w:w="1218" w:type="dxa"/>
            <w:tcBorders>
              <w:top w:val="single" w:sz="12" w:space="0" w:color="auto"/>
              <w:left w:val="nil"/>
              <w:bottom w:val="nil"/>
              <w:right w:val="nil"/>
            </w:tcBorders>
            <w:shd w:val="clear" w:color="auto" w:fill="auto"/>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00"/>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Promjena bruto pričuva prijenosnih premija</w:t>
            </w:r>
          </w:p>
        </w:tc>
        <w:tc>
          <w:tcPr>
            <w:tcW w:w="1403" w:type="dxa"/>
            <w:tcBorders>
              <w:top w:val="nil"/>
              <w:left w:val="nil"/>
              <w:bottom w:val="nil"/>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(99)</w:t>
            </w:r>
          </w:p>
        </w:tc>
        <w:tc>
          <w:tcPr>
            <w:tcW w:w="1218"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1.184</w:t>
            </w:r>
          </w:p>
        </w:tc>
      </w:tr>
      <w:tr w:rsidR="00B9511A" w:rsidRPr="001567C8" w:rsidTr="003C6BA3">
        <w:trPr>
          <w:trHeight w:val="172"/>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Promjena bruto pričuva prijenosnih premija, udio reosiguranja</w:t>
            </w:r>
          </w:p>
        </w:tc>
        <w:tc>
          <w:tcPr>
            <w:tcW w:w="1403" w:type="dxa"/>
            <w:tcBorders>
              <w:top w:val="nil"/>
              <w:left w:val="nil"/>
              <w:bottom w:val="single" w:sz="4" w:space="0" w:color="auto"/>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485</w:t>
            </w:r>
          </w:p>
        </w:tc>
        <w:tc>
          <w:tcPr>
            <w:tcW w:w="1218" w:type="dxa"/>
            <w:tcBorders>
              <w:top w:val="nil"/>
              <w:left w:val="nil"/>
              <w:bottom w:val="single" w:sz="4" w:space="0" w:color="auto"/>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(750)</w:t>
            </w:r>
          </w:p>
        </w:tc>
      </w:tr>
      <w:tr w:rsidR="00B9511A" w:rsidRPr="001567C8" w:rsidTr="003C6BA3">
        <w:trPr>
          <w:trHeight w:val="128"/>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Neto zarađene premije</w:t>
            </w:r>
          </w:p>
        </w:tc>
        <w:tc>
          <w:tcPr>
            <w:tcW w:w="1403" w:type="dxa"/>
            <w:tcBorders>
              <w:left w:val="nil"/>
              <w:bottom w:val="single" w:sz="12" w:space="0" w:color="auto"/>
              <w:right w:val="nil"/>
            </w:tcBorders>
            <w:shd w:val="clear" w:color="auto" w:fill="auto"/>
            <w:noWrap/>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sz w:val="17"/>
                <w:szCs w:val="17"/>
                <w:lang w:val="hr-HR"/>
              </w:rPr>
              <w:t>6.394</w:t>
            </w:r>
          </w:p>
        </w:tc>
        <w:tc>
          <w:tcPr>
            <w:tcW w:w="1218" w:type="dxa"/>
            <w:tcBorders>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sz w:val="18"/>
                <w:szCs w:val="18"/>
                <w:lang w:val="hr-HR"/>
              </w:rPr>
              <w:t>6.881</w:t>
            </w:r>
          </w:p>
        </w:tc>
      </w:tr>
      <w:tr w:rsidR="00B9511A" w:rsidRPr="001567C8" w:rsidTr="003C6BA3">
        <w:trPr>
          <w:trHeight w:val="38"/>
        </w:trPr>
        <w:tc>
          <w:tcPr>
            <w:tcW w:w="6387"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403" w:type="dxa"/>
            <w:tcBorders>
              <w:top w:val="single" w:sz="12" w:space="0" w:color="auto"/>
              <w:left w:val="nil"/>
              <w:bottom w:val="nil"/>
              <w:right w:val="nil"/>
            </w:tcBorders>
            <w:shd w:val="clear" w:color="auto" w:fill="auto"/>
            <w:noWrap/>
          </w:tcPr>
          <w:p w:rsidR="00B9511A" w:rsidRPr="001567C8" w:rsidRDefault="00B9511A" w:rsidP="00B9511A">
            <w:pPr>
              <w:spacing w:line="140" w:lineRule="exact"/>
              <w:jc w:val="right"/>
              <w:rPr>
                <w:rFonts w:asciiTheme="minorHAnsi" w:hAnsiTheme="minorHAnsi" w:cs="Arial"/>
                <w:sz w:val="18"/>
                <w:szCs w:val="18"/>
                <w:lang w:val="hr-HR"/>
              </w:rPr>
            </w:pPr>
          </w:p>
        </w:tc>
        <w:tc>
          <w:tcPr>
            <w:tcW w:w="1218" w:type="dxa"/>
            <w:tcBorders>
              <w:top w:val="single" w:sz="12" w:space="0" w:color="auto"/>
              <w:left w:val="nil"/>
              <w:bottom w:val="nil"/>
              <w:right w:val="nil"/>
            </w:tcBorders>
            <w:shd w:val="clear" w:color="auto" w:fill="auto"/>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49"/>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Prihodi od provizija i naknada</w:t>
            </w:r>
          </w:p>
        </w:tc>
        <w:tc>
          <w:tcPr>
            <w:tcW w:w="1403" w:type="dxa"/>
            <w:tcBorders>
              <w:top w:val="nil"/>
              <w:left w:val="nil"/>
              <w:bottom w:val="nil"/>
              <w:right w:val="nil"/>
            </w:tcBorders>
            <w:shd w:val="clear" w:color="auto" w:fill="auto"/>
            <w:noWrap/>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2.555</w:t>
            </w:r>
          </w:p>
        </w:tc>
        <w:tc>
          <w:tcPr>
            <w:tcW w:w="1218"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Arial"/>
                <w:sz w:val="18"/>
                <w:szCs w:val="18"/>
                <w:lang w:val="hr-HR"/>
              </w:rPr>
              <w:t>2.586</w:t>
            </w:r>
          </w:p>
        </w:tc>
      </w:tr>
      <w:tr w:rsidR="00B9511A" w:rsidRPr="001567C8" w:rsidTr="003C6BA3">
        <w:trPr>
          <w:trHeight w:val="132"/>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prihodi od ulaganja</w:t>
            </w:r>
          </w:p>
        </w:tc>
        <w:tc>
          <w:tcPr>
            <w:tcW w:w="1403" w:type="dxa"/>
            <w:tcBorders>
              <w:top w:val="nil"/>
              <w:left w:val="nil"/>
              <w:bottom w:val="nil"/>
              <w:right w:val="nil"/>
            </w:tcBorders>
            <w:shd w:val="clear" w:color="auto" w:fill="auto"/>
            <w:noWrap/>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1.257</w:t>
            </w:r>
          </w:p>
        </w:tc>
        <w:tc>
          <w:tcPr>
            <w:tcW w:w="1218"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Arial"/>
                <w:sz w:val="18"/>
                <w:szCs w:val="18"/>
                <w:lang w:val="hr-HR"/>
              </w:rPr>
              <w:t>1.540</w:t>
            </w:r>
          </w:p>
        </w:tc>
      </w:tr>
      <w:tr w:rsidR="00B9511A" w:rsidRPr="001567C8" w:rsidTr="003C6BA3">
        <w:trPr>
          <w:trHeight w:val="125"/>
        </w:trPr>
        <w:tc>
          <w:tcPr>
            <w:tcW w:w="638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Ostali poslovni prihodi</w:t>
            </w:r>
          </w:p>
        </w:tc>
        <w:tc>
          <w:tcPr>
            <w:tcW w:w="1403" w:type="dxa"/>
            <w:tcBorders>
              <w:top w:val="nil"/>
              <w:left w:val="nil"/>
              <w:bottom w:val="single" w:sz="4" w:space="0" w:color="auto"/>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85</w:t>
            </w:r>
          </w:p>
        </w:tc>
        <w:tc>
          <w:tcPr>
            <w:tcW w:w="1218" w:type="dxa"/>
            <w:tcBorders>
              <w:top w:val="nil"/>
              <w:left w:val="nil"/>
              <w:bottom w:val="single" w:sz="4" w:space="0" w:color="auto"/>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82</w:t>
            </w:r>
          </w:p>
        </w:tc>
      </w:tr>
      <w:tr w:rsidR="00B9511A" w:rsidRPr="001567C8" w:rsidTr="003C6BA3">
        <w:trPr>
          <w:trHeight w:val="112"/>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Neto prihodi</w:t>
            </w:r>
          </w:p>
        </w:tc>
        <w:tc>
          <w:tcPr>
            <w:tcW w:w="1403" w:type="dxa"/>
            <w:tcBorders>
              <w:top w:val="single" w:sz="4" w:space="0" w:color="auto"/>
              <w:left w:val="nil"/>
              <w:bottom w:val="single" w:sz="12" w:space="0" w:color="auto"/>
              <w:right w:val="nil"/>
            </w:tcBorders>
            <w:shd w:val="clear" w:color="auto" w:fill="auto"/>
            <w:noWrap/>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sz w:val="17"/>
                <w:szCs w:val="17"/>
                <w:lang w:val="hr-HR"/>
              </w:rPr>
              <w:t>10.291</w:t>
            </w:r>
          </w:p>
        </w:tc>
        <w:tc>
          <w:tcPr>
            <w:tcW w:w="1218" w:type="dxa"/>
            <w:tcBorders>
              <w:top w:val="single" w:sz="4" w:space="0" w:color="auto"/>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sz w:val="18"/>
                <w:szCs w:val="18"/>
                <w:lang w:val="hr-HR"/>
              </w:rPr>
              <w:t>11.089</w:t>
            </w:r>
          </w:p>
        </w:tc>
      </w:tr>
      <w:tr w:rsidR="00B9511A" w:rsidRPr="001567C8" w:rsidTr="00CD3A2D">
        <w:trPr>
          <w:trHeight w:hRule="exact" w:val="125"/>
        </w:trPr>
        <w:tc>
          <w:tcPr>
            <w:tcW w:w="6387"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403" w:type="dxa"/>
            <w:tcBorders>
              <w:top w:val="single" w:sz="12" w:space="0" w:color="auto"/>
              <w:left w:val="nil"/>
              <w:bottom w:val="nil"/>
              <w:right w:val="nil"/>
            </w:tcBorders>
            <w:shd w:val="clear" w:color="auto" w:fill="auto"/>
            <w:noWrap/>
          </w:tcPr>
          <w:p w:rsidR="00B9511A" w:rsidRPr="001567C8" w:rsidRDefault="00B9511A" w:rsidP="00B9511A">
            <w:pPr>
              <w:spacing w:line="140" w:lineRule="exact"/>
              <w:jc w:val="right"/>
              <w:rPr>
                <w:rFonts w:asciiTheme="minorHAnsi" w:hAnsiTheme="minorHAnsi" w:cs="Arial"/>
                <w:sz w:val="18"/>
                <w:szCs w:val="18"/>
                <w:lang w:val="hr-HR"/>
              </w:rPr>
            </w:pPr>
          </w:p>
        </w:tc>
        <w:tc>
          <w:tcPr>
            <w:tcW w:w="1218" w:type="dxa"/>
            <w:tcBorders>
              <w:top w:val="single" w:sz="12" w:space="0" w:color="auto"/>
              <w:left w:val="nil"/>
              <w:bottom w:val="nil"/>
              <w:right w:val="nil"/>
            </w:tcBorders>
            <w:shd w:val="clear" w:color="auto" w:fill="auto"/>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11"/>
        </w:trPr>
        <w:tc>
          <w:tcPr>
            <w:tcW w:w="638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Bruto izdatak za povrat premije</w:t>
            </w:r>
          </w:p>
        </w:tc>
        <w:tc>
          <w:tcPr>
            <w:tcW w:w="1403" w:type="dxa"/>
            <w:tcBorders>
              <w:left w:val="nil"/>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(480)</w:t>
            </w:r>
          </w:p>
        </w:tc>
        <w:tc>
          <w:tcPr>
            <w:tcW w:w="1218" w:type="dxa"/>
            <w:tcBorders>
              <w:top w:val="nil"/>
              <w:left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(464)</w:t>
            </w:r>
          </w:p>
        </w:tc>
      </w:tr>
      <w:tr w:rsidR="00B9511A" w:rsidRPr="001567C8" w:rsidTr="003C6BA3">
        <w:trPr>
          <w:trHeight w:val="152"/>
        </w:trPr>
        <w:tc>
          <w:tcPr>
            <w:tcW w:w="638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Udio reosiguravatelja u povratu premije</w:t>
            </w:r>
          </w:p>
        </w:tc>
        <w:tc>
          <w:tcPr>
            <w:tcW w:w="1403" w:type="dxa"/>
            <w:tcBorders>
              <w:left w:val="nil"/>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222</w:t>
            </w:r>
          </w:p>
        </w:tc>
        <w:tc>
          <w:tcPr>
            <w:tcW w:w="1218" w:type="dxa"/>
            <w:tcBorders>
              <w:top w:val="nil"/>
              <w:left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197</w:t>
            </w:r>
          </w:p>
        </w:tc>
      </w:tr>
      <w:tr w:rsidR="00B9511A" w:rsidRPr="001567C8" w:rsidTr="003C6BA3">
        <w:trPr>
          <w:trHeight w:val="193"/>
        </w:trPr>
        <w:tc>
          <w:tcPr>
            <w:tcW w:w="638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Bruto pričuva za povrate premija</w:t>
            </w:r>
          </w:p>
        </w:tc>
        <w:tc>
          <w:tcPr>
            <w:tcW w:w="1403" w:type="dxa"/>
            <w:tcBorders>
              <w:left w:val="nil"/>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(267)</w:t>
            </w:r>
          </w:p>
        </w:tc>
        <w:tc>
          <w:tcPr>
            <w:tcW w:w="1218" w:type="dxa"/>
            <w:tcBorders>
              <w:top w:val="nil"/>
              <w:left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(288)</w:t>
            </w:r>
          </w:p>
        </w:tc>
      </w:tr>
      <w:tr w:rsidR="00B9511A" w:rsidRPr="001567C8" w:rsidTr="003C6BA3">
        <w:trPr>
          <w:trHeight w:val="89"/>
        </w:trPr>
        <w:tc>
          <w:tcPr>
            <w:tcW w:w="638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Udio reosiguravatelja u pričuvi</w:t>
            </w:r>
          </w:p>
        </w:tc>
        <w:tc>
          <w:tcPr>
            <w:tcW w:w="1403" w:type="dxa"/>
            <w:tcBorders>
              <w:left w:val="nil"/>
              <w:bottom w:val="single" w:sz="4" w:space="0" w:color="auto"/>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121</w:t>
            </w:r>
          </w:p>
        </w:tc>
        <w:tc>
          <w:tcPr>
            <w:tcW w:w="1218" w:type="dxa"/>
            <w:tcBorders>
              <w:top w:val="nil"/>
              <w:left w:val="nil"/>
              <w:bottom w:val="single" w:sz="4" w:space="0" w:color="auto"/>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97</w:t>
            </w:r>
          </w:p>
        </w:tc>
      </w:tr>
      <w:tr w:rsidR="00B9511A" w:rsidRPr="001567C8" w:rsidTr="003C6BA3">
        <w:trPr>
          <w:trHeight w:val="123"/>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Neto izdaci i pričuve za povrat premije</w:t>
            </w:r>
          </w:p>
        </w:tc>
        <w:tc>
          <w:tcPr>
            <w:tcW w:w="1403" w:type="dxa"/>
            <w:tcBorders>
              <w:top w:val="single" w:sz="4" w:space="0" w:color="auto"/>
              <w:left w:val="nil"/>
              <w:bottom w:val="single" w:sz="12" w:space="0" w:color="auto"/>
              <w:right w:val="nil"/>
            </w:tcBorders>
            <w:shd w:val="clear" w:color="auto" w:fill="auto"/>
            <w:noWrap/>
          </w:tcPr>
          <w:p w:rsidR="00B9511A" w:rsidRPr="001567C8" w:rsidRDefault="00B9511A" w:rsidP="00B9511A">
            <w:pPr>
              <w:jc w:val="right"/>
              <w:rPr>
                <w:rFonts w:asciiTheme="minorHAnsi" w:hAnsiTheme="minorHAnsi" w:cs="Arial"/>
                <w:b/>
                <w:sz w:val="18"/>
                <w:szCs w:val="18"/>
                <w:lang w:val="hr-HR"/>
              </w:rPr>
            </w:pPr>
            <w:r w:rsidRPr="001567C8">
              <w:rPr>
                <w:rFonts w:asciiTheme="minorHAnsi" w:hAnsiTheme="minorHAnsi" w:cstheme="minorHAnsi"/>
                <w:b/>
                <w:sz w:val="17"/>
                <w:szCs w:val="17"/>
                <w:lang w:val="hr-HR"/>
              </w:rPr>
              <w:t>(404)</w:t>
            </w:r>
          </w:p>
        </w:tc>
        <w:tc>
          <w:tcPr>
            <w:tcW w:w="1218" w:type="dxa"/>
            <w:tcBorders>
              <w:top w:val="single" w:sz="4" w:space="0" w:color="auto"/>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sz w:val="18"/>
                <w:szCs w:val="18"/>
                <w:lang w:val="hr-HR"/>
              </w:rPr>
            </w:pPr>
            <w:r w:rsidRPr="001567C8">
              <w:rPr>
                <w:rFonts w:asciiTheme="minorHAnsi" w:hAnsiTheme="minorHAnsi" w:cs="Arial"/>
                <w:b/>
                <w:sz w:val="18"/>
                <w:szCs w:val="18"/>
                <w:lang w:val="hr-HR"/>
              </w:rPr>
              <w:t>(458</w:t>
            </w:r>
            <w:r w:rsidRPr="001567C8">
              <w:rPr>
                <w:rFonts w:asciiTheme="minorHAnsi" w:hAnsiTheme="minorHAnsi" w:cs="Arial"/>
                <w:sz w:val="18"/>
                <w:szCs w:val="18"/>
                <w:lang w:val="hr-HR"/>
              </w:rPr>
              <w:t>)</w:t>
            </w:r>
          </w:p>
        </w:tc>
      </w:tr>
      <w:tr w:rsidR="00B9511A" w:rsidRPr="001567C8" w:rsidTr="003C6BA3">
        <w:trPr>
          <w:trHeight w:val="82"/>
        </w:trPr>
        <w:tc>
          <w:tcPr>
            <w:tcW w:w="6387"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403" w:type="dxa"/>
            <w:tcBorders>
              <w:top w:val="single" w:sz="12" w:space="0" w:color="auto"/>
              <w:left w:val="nil"/>
              <w:bottom w:val="nil"/>
              <w:right w:val="nil"/>
            </w:tcBorders>
            <w:shd w:val="clear" w:color="auto" w:fill="auto"/>
            <w:noWrap/>
          </w:tcPr>
          <w:p w:rsidR="00B9511A" w:rsidRPr="001567C8" w:rsidRDefault="00B9511A" w:rsidP="00B9511A">
            <w:pPr>
              <w:spacing w:line="140" w:lineRule="exact"/>
              <w:jc w:val="right"/>
              <w:rPr>
                <w:rFonts w:asciiTheme="minorHAnsi" w:hAnsiTheme="minorHAnsi" w:cs="Arial"/>
                <w:sz w:val="18"/>
                <w:szCs w:val="18"/>
                <w:lang w:val="hr-HR"/>
              </w:rPr>
            </w:pPr>
          </w:p>
        </w:tc>
        <w:tc>
          <w:tcPr>
            <w:tcW w:w="1218" w:type="dxa"/>
            <w:tcBorders>
              <w:top w:val="single" w:sz="12" w:space="0" w:color="auto"/>
              <w:left w:val="nil"/>
              <w:bottom w:val="nil"/>
              <w:right w:val="nil"/>
            </w:tcBorders>
            <w:shd w:val="clear" w:color="auto" w:fill="auto"/>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63"/>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Izdaci za osigurane slučajeve</w:t>
            </w:r>
          </w:p>
        </w:tc>
        <w:tc>
          <w:tcPr>
            <w:tcW w:w="1403" w:type="dxa"/>
            <w:tcBorders>
              <w:top w:val="nil"/>
              <w:left w:val="nil"/>
              <w:bottom w:val="nil"/>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(9.777)</w:t>
            </w:r>
          </w:p>
        </w:tc>
        <w:tc>
          <w:tcPr>
            <w:tcW w:w="1218"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(6.213)</w:t>
            </w:r>
          </w:p>
        </w:tc>
      </w:tr>
      <w:tr w:rsidR="00B9511A" w:rsidRPr="001567C8" w:rsidTr="003C6BA3">
        <w:trPr>
          <w:trHeight w:val="98"/>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Izdaci za osigurane slučajeve, udio reosiguranja</w:t>
            </w:r>
          </w:p>
        </w:tc>
        <w:tc>
          <w:tcPr>
            <w:tcW w:w="1403" w:type="dxa"/>
            <w:tcBorders>
              <w:top w:val="nil"/>
              <w:left w:val="nil"/>
              <w:bottom w:val="nil"/>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6.381</w:t>
            </w:r>
          </w:p>
        </w:tc>
        <w:tc>
          <w:tcPr>
            <w:tcW w:w="1218"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5.337</w:t>
            </w:r>
          </w:p>
        </w:tc>
      </w:tr>
      <w:tr w:rsidR="00B9511A" w:rsidRPr="001567C8" w:rsidTr="003C6BA3">
        <w:trPr>
          <w:trHeight w:val="138"/>
        </w:trPr>
        <w:tc>
          <w:tcPr>
            <w:tcW w:w="638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Promjena pričuva za štete</w:t>
            </w:r>
          </w:p>
        </w:tc>
        <w:tc>
          <w:tcPr>
            <w:tcW w:w="1403" w:type="dxa"/>
            <w:tcBorders>
              <w:top w:val="nil"/>
              <w:left w:val="nil"/>
              <w:bottom w:val="nil"/>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5.379</w:t>
            </w:r>
          </w:p>
        </w:tc>
        <w:tc>
          <w:tcPr>
            <w:tcW w:w="1218"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(3.397)</w:t>
            </w:r>
          </w:p>
        </w:tc>
      </w:tr>
      <w:tr w:rsidR="00B9511A" w:rsidRPr="001567C8" w:rsidTr="003C6BA3">
        <w:trPr>
          <w:trHeight w:val="82"/>
        </w:trPr>
        <w:tc>
          <w:tcPr>
            <w:tcW w:w="638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Promjena pričuva za štete, udio reosiguranja</w:t>
            </w:r>
          </w:p>
        </w:tc>
        <w:tc>
          <w:tcPr>
            <w:tcW w:w="1403" w:type="dxa"/>
            <w:tcBorders>
              <w:top w:val="nil"/>
              <w:left w:val="nil"/>
              <w:bottom w:val="single" w:sz="4" w:space="0" w:color="auto"/>
              <w:right w:val="nil"/>
            </w:tcBorders>
            <w:shd w:val="clear" w:color="auto" w:fill="auto"/>
            <w:noWrap/>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(4.575)</w:t>
            </w:r>
          </w:p>
        </w:tc>
        <w:tc>
          <w:tcPr>
            <w:tcW w:w="1218" w:type="dxa"/>
            <w:tcBorders>
              <w:top w:val="nil"/>
              <w:left w:val="nil"/>
              <w:bottom w:val="single" w:sz="4" w:space="0" w:color="auto"/>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2.107</w:t>
            </w:r>
          </w:p>
        </w:tc>
      </w:tr>
      <w:tr w:rsidR="00B9511A" w:rsidRPr="001567C8" w:rsidTr="003C6BA3">
        <w:trPr>
          <w:trHeight w:val="97"/>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Neto izdaci za osigurane slučajeve</w:t>
            </w:r>
          </w:p>
        </w:tc>
        <w:tc>
          <w:tcPr>
            <w:tcW w:w="1403" w:type="dxa"/>
            <w:tcBorders>
              <w:top w:val="single" w:sz="4" w:space="0" w:color="auto"/>
              <w:left w:val="nil"/>
              <w:bottom w:val="single" w:sz="12" w:space="0" w:color="auto"/>
              <w:right w:val="nil"/>
            </w:tcBorders>
            <w:shd w:val="clear" w:color="auto" w:fill="auto"/>
            <w:noWrap/>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sz w:val="17"/>
                <w:szCs w:val="17"/>
                <w:lang w:val="hr-HR"/>
              </w:rPr>
              <w:t>(2.592)</w:t>
            </w:r>
          </w:p>
        </w:tc>
        <w:tc>
          <w:tcPr>
            <w:tcW w:w="1218" w:type="dxa"/>
            <w:tcBorders>
              <w:top w:val="single" w:sz="4" w:space="0" w:color="auto"/>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sz w:val="18"/>
                <w:szCs w:val="18"/>
                <w:lang w:val="hr-HR"/>
              </w:rPr>
              <w:t>(2.166)</w:t>
            </w:r>
          </w:p>
        </w:tc>
      </w:tr>
      <w:tr w:rsidR="00B9511A" w:rsidRPr="001567C8" w:rsidTr="00CD3A2D">
        <w:trPr>
          <w:trHeight w:hRule="exact" w:val="129"/>
        </w:trPr>
        <w:tc>
          <w:tcPr>
            <w:tcW w:w="6387" w:type="dxa"/>
            <w:tcBorders>
              <w:left w:val="nil"/>
              <w:right w:val="nil"/>
            </w:tcBorders>
            <w:shd w:val="clear" w:color="auto" w:fill="auto"/>
            <w:vAlign w:val="bottom"/>
          </w:tcPr>
          <w:p w:rsidR="00B9511A" w:rsidRPr="001567C8" w:rsidRDefault="00B9511A" w:rsidP="00B9511A">
            <w:pPr>
              <w:spacing w:line="140" w:lineRule="exact"/>
              <w:rPr>
                <w:rFonts w:asciiTheme="minorHAnsi" w:hAnsiTheme="minorHAnsi" w:cs="Arial"/>
                <w:b/>
                <w:bCs/>
                <w:sz w:val="18"/>
                <w:szCs w:val="18"/>
                <w:lang w:val="hr-HR"/>
              </w:rPr>
            </w:pPr>
          </w:p>
        </w:tc>
        <w:tc>
          <w:tcPr>
            <w:tcW w:w="1403" w:type="dxa"/>
            <w:tcBorders>
              <w:top w:val="single" w:sz="12" w:space="0" w:color="auto"/>
              <w:left w:val="nil"/>
              <w:right w:val="nil"/>
            </w:tcBorders>
            <w:shd w:val="clear" w:color="auto" w:fill="auto"/>
            <w:noWrap/>
          </w:tcPr>
          <w:p w:rsidR="00B9511A" w:rsidRPr="001567C8" w:rsidRDefault="00B9511A" w:rsidP="00B9511A">
            <w:pPr>
              <w:spacing w:line="140" w:lineRule="exact"/>
              <w:jc w:val="right"/>
              <w:rPr>
                <w:rFonts w:asciiTheme="minorHAnsi" w:hAnsiTheme="minorHAnsi" w:cs="Arial"/>
                <w:b/>
                <w:bCs/>
                <w:sz w:val="18"/>
                <w:szCs w:val="18"/>
                <w:lang w:val="hr-HR"/>
              </w:rPr>
            </w:pPr>
          </w:p>
        </w:tc>
        <w:tc>
          <w:tcPr>
            <w:tcW w:w="1218" w:type="dxa"/>
            <w:tcBorders>
              <w:top w:val="single" w:sz="12" w:space="0" w:color="auto"/>
              <w:left w:val="nil"/>
              <w:right w:val="nil"/>
            </w:tcBorders>
            <w:shd w:val="clear" w:color="auto" w:fill="auto"/>
          </w:tcPr>
          <w:p w:rsidR="00B9511A" w:rsidRPr="001567C8" w:rsidRDefault="00B9511A" w:rsidP="00B9511A">
            <w:pPr>
              <w:spacing w:line="140" w:lineRule="exact"/>
              <w:jc w:val="right"/>
              <w:rPr>
                <w:rFonts w:asciiTheme="minorHAnsi" w:hAnsiTheme="minorHAnsi" w:cs="Arial"/>
                <w:b/>
                <w:bCs/>
                <w:sz w:val="18"/>
                <w:szCs w:val="18"/>
                <w:lang w:val="hr-HR"/>
              </w:rPr>
            </w:pPr>
          </w:p>
        </w:tc>
      </w:tr>
      <w:tr w:rsidR="00B9511A" w:rsidRPr="001567C8" w:rsidTr="003C6BA3">
        <w:trPr>
          <w:trHeight w:val="155"/>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Troškovi pribave i marketinga</w:t>
            </w:r>
          </w:p>
        </w:tc>
        <w:tc>
          <w:tcPr>
            <w:tcW w:w="1403" w:type="dxa"/>
            <w:tcBorders>
              <w:left w:val="nil"/>
              <w:right w:val="nil"/>
            </w:tcBorders>
            <w:shd w:val="clear" w:color="auto" w:fill="auto"/>
            <w:noWrap/>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(908)</w:t>
            </w: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Arial"/>
                <w:sz w:val="18"/>
                <w:szCs w:val="18"/>
                <w:lang w:val="hr-HR"/>
              </w:rPr>
              <w:t>(886)</w:t>
            </w:r>
          </w:p>
        </w:tc>
      </w:tr>
      <w:tr w:rsidR="00B9511A" w:rsidRPr="001567C8" w:rsidTr="003C6BA3">
        <w:trPr>
          <w:trHeight w:val="90"/>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Administrativni troškovi</w:t>
            </w:r>
          </w:p>
        </w:tc>
        <w:tc>
          <w:tcPr>
            <w:tcW w:w="1403" w:type="dxa"/>
            <w:tcBorders>
              <w:left w:val="nil"/>
              <w:right w:val="nil"/>
            </w:tcBorders>
            <w:shd w:val="clear" w:color="auto" w:fill="auto"/>
            <w:noWrap/>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(5.597)</w:t>
            </w: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Arial"/>
                <w:sz w:val="18"/>
                <w:szCs w:val="18"/>
                <w:lang w:val="hr-HR"/>
              </w:rPr>
              <w:t>(5.949)</w:t>
            </w:r>
          </w:p>
        </w:tc>
      </w:tr>
      <w:tr w:rsidR="00B9511A" w:rsidRPr="001567C8" w:rsidTr="003C6BA3">
        <w:trPr>
          <w:trHeight w:val="140"/>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Ostali poslovni troškovi</w:t>
            </w:r>
          </w:p>
        </w:tc>
        <w:tc>
          <w:tcPr>
            <w:tcW w:w="1403" w:type="dxa"/>
            <w:tcBorders>
              <w:left w:val="nil"/>
              <w:right w:val="nil"/>
            </w:tcBorders>
            <w:shd w:val="clear" w:color="auto" w:fill="auto"/>
            <w:noWrap/>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(183)</w:t>
            </w: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Arial"/>
                <w:sz w:val="18"/>
                <w:szCs w:val="18"/>
                <w:lang w:val="hr-HR"/>
              </w:rPr>
              <w:t>(107)</w:t>
            </w:r>
          </w:p>
        </w:tc>
      </w:tr>
      <w:tr w:rsidR="00B9511A" w:rsidRPr="001567C8" w:rsidTr="003C6BA3">
        <w:trPr>
          <w:trHeight w:val="181"/>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Neto tečajne razlike koje ne proizlaze iz financijskih instrumenata</w:t>
            </w:r>
          </w:p>
        </w:tc>
        <w:tc>
          <w:tcPr>
            <w:tcW w:w="1403" w:type="dxa"/>
            <w:tcBorders>
              <w:left w:val="nil"/>
              <w:bottom w:val="single" w:sz="4" w:space="0" w:color="auto"/>
              <w:right w:val="nil"/>
            </w:tcBorders>
            <w:shd w:val="clear" w:color="auto" w:fill="auto"/>
            <w:noWrap/>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(85)</w:t>
            </w:r>
          </w:p>
        </w:tc>
        <w:tc>
          <w:tcPr>
            <w:tcW w:w="1218" w:type="dxa"/>
            <w:tcBorders>
              <w:left w:val="nil"/>
              <w:bottom w:val="single" w:sz="4" w:space="0" w:color="auto"/>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Arial"/>
                <w:sz w:val="18"/>
                <w:szCs w:val="18"/>
                <w:lang w:val="hr-HR"/>
              </w:rPr>
              <w:t>(4)</w:t>
            </w:r>
          </w:p>
        </w:tc>
      </w:tr>
      <w:tr w:rsidR="00B9511A" w:rsidRPr="001567C8" w:rsidTr="003C6BA3">
        <w:trPr>
          <w:trHeight w:val="73"/>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Dobit prije oporezivanja</w:t>
            </w:r>
          </w:p>
        </w:tc>
        <w:tc>
          <w:tcPr>
            <w:tcW w:w="1403" w:type="dxa"/>
            <w:tcBorders>
              <w:top w:val="single" w:sz="4" w:space="0" w:color="auto"/>
              <w:left w:val="nil"/>
              <w:bottom w:val="single" w:sz="12" w:space="0" w:color="auto"/>
              <w:right w:val="nil"/>
            </w:tcBorders>
            <w:shd w:val="clear" w:color="auto" w:fill="auto"/>
            <w:noWrap/>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sz w:val="17"/>
                <w:szCs w:val="17"/>
                <w:lang w:val="hr-HR"/>
              </w:rPr>
              <w:t>522</w:t>
            </w:r>
          </w:p>
        </w:tc>
        <w:tc>
          <w:tcPr>
            <w:tcW w:w="1218" w:type="dxa"/>
            <w:tcBorders>
              <w:top w:val="single" w:sz="4" w:space="0" w:color="auto"/>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sz w:val="18"/>
                <w:szCs w:val="18"/>
                <w:lang w:val="hr-HR"/>
              </w:rPr>
              <w:t>1.519</w:t>
            </w:r>
          </w:p>
        </w:tc>
      </w:tr>
      <w:tr w:rsidR="00B9511A" w:rsidRPr="001567C8" w:rsidTr="00CD3A2D">
        <w:trPr>
          <w:trHeight w:hRule="exact" w:val="129"/>
        </w:trPr>
        <w:tc>
          <w:tcPr>
            <w:tcW w:w="6387" w:type="dxa"/>
            <w:tcBorders>
              <w:left w:val="nil"/>
              <w:right w:val="nil"/>
            </w:tcBorders>
            <w:shd w:val="clear" w:color="auto" w:fill="auto"/>
            <w:vAlign w:val="bottom"/>
          </w:tcPr>
          <w:p w:rsidR="00B9511A" w:rsidRPr="001567C8" w:rsidRDefault="00B9511A" w:rsidP="00B9511A">
            <w:pPr>
              <w:spacing w:line="140" w:lineRule="exact"/>
              <w:rPr>
                <w:rFonts w:asciiTheme="minorHAnsi" w:hAnsiTheme="minorHAnsi" w:cs="Arial"/>
                <w:bCs/>
                <w:sz w:val="18"/>
                <w:szCs w:val="18"/>
                <w:lang w:val="hr-HR"/>
              </w:rPr>
            </w:pPr>
          </w:p>
        </w:tc>
        <w:tc>
          <w:tcPr>
            <w:tcW w:w="1403" w:type="dxa"/>
            <w:tcBorders>
              <w:top w:val="single" w:sz="12" w:space="0" w:color="auto"/>
              <w:left w:val="nil"/>
              <w:right w:val="nil"/>
            </w:tcBorders>
            <w:shd w:val="clear" w:color="auto" w:fill="auto"/>
            <w:noWrap/>
          </w:tcPr>
          <w:p w:rsidR="00B9511A" w:rsidRPr="001567C8" w:rsidRDefault="00B9511A" w:rsidP="00B9511A">
            <w:pPr>
              <w:spacing w:line="140" w:lineRule="exact"/>
              <w:jc w:val="right"/>
              <w:rPr>
                <w:rFonts w:asciiTheme="minorHAnsi" w:hAnsiTheme="minorHAnsi" w:cs="Arial"/>
                <w:bCs/>
                <w:sz w:val="18"/>
                <w:szCs w:val="18"/>
                <w:lang w:val="hr-HR"/>
              </w:rPr>
            </w:pPr>
          </w:p>
        </w:tc>
        <w:tc>
          <w:tcPr>
            <w:tcW w:w="1218" w:type="dxa"/>
            <w:tcBorders>
              <w:top w:val="single" w:sz="12" w:space="0" w:color="auto"/>
              <w:left w:val="nil"/>
              <w:right w:val="nil"/>
            </w:tcBorders>
            <w:shd w:val="clear" w:color="auto" w:fill="auto"/>
          </w:tcPr>
          <w:p w:rsidR="00B9511A" w:rsidRPr="001567C8" w:rsidRDefault="00B9511A" w:rsidP="00B9511A">
            <w:pPr>
              <w:spacing w:line="140" w:lineRule="exact"/>
              <w:jc w:val="right"/>
              <w:rPr>
                <w:rFonts w:asciiTheme="minorHAnsi" w:hAnsiTheme="minorHAnsi" w:cs="Arial"/>
                <w:bCs/>
                <w:sz w:val="18"/>
                <w:szCs w:val="18"/>
                <w:lang w:val="hr-HR"/>
              </w:rPr>
            </w:pPr>
          </w:p>
        </w:tc>
      </w:tr>
      <w:tr w:rsidR="00B9511A" w:rsidRPr="001567C8" w:rsidTr="003C6BA3">
        <w:trPr>
          <w:trHeight w:val="102"/>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Porez na dobit</w:t>
            </w:r>
          </w:p>
        </w:tc>
        <w:tc>
          <w:tcPr>
            <w:tcW w:w="1403" w:type="dxa"/>
            <w:tcBorders>
              <w:left w:val="nil"/>
              <w:right w:val="nil"/>
            </w:tcBorders>
            <w:shd w:val="clear" w:color="auto" w:fill="auto"/>
            <w:noWrap/>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(41)</w:t>
            </w: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Arial"/>
                <w:sz w:val="18"/>
                <w:szCs w:val="18"/>
                <w:lang w:val="hr-HR"/>
              </w:rPr>
              <w:t>(102)</w:t>
            </w:r>
          </w:p>
        </w:tc>
      </w:tr>
      <w:tr w:rsidR="00B9511A" w:rsidRPr="001567C8" w:rsidTr="003C6BA3">
        <w:trPr>
          <w:trHeight w:val="108"/>
        </w:trPr>
        <w:tc>
          <w:tcPr>
            <w:tcW w:w="6387" w:type="dxa"/>
            <w:tcBorders>
              <w:left w:val="nil"/>
              <w:right w:val="nil"/>
            </w:tcBorders>
            <w:shd w:val="clear" w:color="auto" w:fill="auto"/>
            <w:vAlign w:val="bottom"/>
          </w:tcPr>
          <w:p w:rsidR="00B9511A" w:rsidRPr="001567C8" w:rsidRDefault="00B9511A" w:rsidP="00B9511A">
            <w:pPr>
              <w:spacing w:line="140" w:lineRule="exact"/>
              <w:rPr>
                <w:rFonts w:asciiTheme="minorHAnsi" w:hAnsiTheme="minorHAnsi" w:cs="Arial"/>
                <w:b/>
                <w:bCs/>
                <w:sz w:val="18"/>
                <w:szCs w:val="18"/>
                <w:lang w:val="hr-HR"/>
              </w:rPr>
            </w:pPr>
          </w:p>
        </w:tc>
        <w:tc>
          <w:tcPr>
            <w:tcW w:w="1403" w:type="dxa"/>
            <w:tcBorders>
              <w:left w:val="nil"/>
              <w:bottom w:val="single" w:sz="4" w:space="0" w:color="auto"/>
              <w:right w:val="nil"/>
            </w:tcBorders>
            <w:shd w:val="clear" w:color="auto" w:fill="auto"/>
            <w:noWrap/>
          </w:tcPr>
          <w:p w:rsidR="00B9511A" w:rsidRPr="001567C8" w:rsidRDefault="00B9511A" w:rsidP="00B9511A">
            <w:pPr>
              <w:spacing w:line="140" w:lineRule="exact"/>
              <w:jc w:val="right"/>
              <w:rPr>
                <w:rFonts w:asciiTheme="minorHAnsi" w:hAnsiTheme="minorHAnsi" w:cs="Arial"/>
                <w:b/>
                <w:bCs/>
                <w:sz w:val="18"/>
                <w:szCs w:val="18"/>
                <w:lang w:val="hr-HR"/>
              </w:rPr>
            </w:pPr>
          </w:p>
        </w:tc>
        <w:tc>
          <w:tcPr>
            <w:tcW w:w="1218" w:type="dxa"/>
            <w:tcBorders>
              <w:left w:val="nil"/>
              <w:bottom w:val="single" w:sz="4" w:space="0" w:color="auto"/>
              <w:right w:val="nil"/>
            </w:tcBorders>
            <w:shd w:val="clear" w:color="auto" w:fill="auto"/>
          </w:tcPr>
          <w:p w:rsidR="00B9511A" w:rsidRPr="001567C8" w:rsidRDefault="00B9511A" w:rsidP="00B9511A">
            <w:pPr>
              <w:spacing w:line="140" w:lineRule="exact"/>
              <w:jc w:val="right"/>
              <w:rPr>
                <w:rFonts w:asciiTheme="minorHAnsi" w:hAnsiTheme="minorHAnsi" w:cs="Arial"/>
                <w:b/>
                <w:bCs/>
                <w:sz w:val="18"/>
                <w:szCs w:val="18"/>
                <w:lang w:val="hr-HR"/>
              </w:rPr>
            </w:pPr>
          </w:p>
        </w:tc>
      </w:tr>
      <w:tr w:rsidR="00B9511A" w:rsidRPr="001567C8" w:rsidTr="003C6BA3">
        <w:trPr>
          <w:trHeight w:val="135"/>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 xml:space="preserve">Dobit tekuće </w:t>
            </w:r>
            <w:r w:rsidR="00CF079F" w:rsidRPr="001567C8">
              <w:rPr>
                <w:rFonts w:asciiTheme="minorHAnsi" w:hAnsiTheme="minorHAnsi" w:cs="Arial"/>
                <w:b/>
                <w:bCs/>
                <w:sz w:val="18"/>
                <w:szCs w:val="18"/>
                <w:lang w:val="hr-HR"/>
              </w:rPr>
              <w:t>godine</w:t>
            </w:r>
          </w:p>
        </w:tc>
        <w:tc>
          <w:tcPr>
            <w:tcW w:w="1403" w:type="dxa"/>
            <w:tcBorders>
              <w:top w:val="single" w:sz="4" w:space="0" w:color="auto"/>
              <w:left w:val="nil"/>
              <w:bottom w:val="single" w:sz="12" w:space="0" w:color="auto"/>
              <w:right w:val="nil"/>
            </w:tcBorders>
            <w:shd w:val="clear" w:color="auto" w:fill="auto"/>
            <w:noWrap/>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sz w:val="17"/>
                <w:szCs w:val="17"/>
                <w:lang w:val="hr-HR"/>
              </w:rPr>
              <w:t>481</w:t>
            </w:r>
          </w:p>
        </w:tc>
        <w:tc>
          <w:tcPr>
            <w:tcW w:w="1218" w:type="dxa"/>
            <w:tcBorders>
              <w:top w:val="single" w:sz="4" w:space="0" w:color="auto"/>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sz w:val="18"/>
                <w:szCs w:val="18"/>
                <w:lang w:val="hr-HR"/>
              </w:rPr>
              <w:t>1.417</w:t>
            </w:r>
          </w:p>
        </w:tc>
      </w:tr>
      <w:tr w:rsidR="00B9511A" w:rsidRPr="001567C8" w:rsidTr="003C6BA3">
        <w:trPr>
          <w:trHeight w:val="134"/>
        </w:trPr>
        <w:tc>
          <w:tcPr>
            <w:tcW w:w="6387" w:type="dxa"/>
            <w:tcBorders>
              <w:left w:val="nil"/>
              <w:right w:val="nil"/>
            </w:tcBorders>
            <w:shd w:val="clear" w:color="auto" w:fill="auto"/>
            <w:vAlign w:val="bottom"/>
          </w:tcPr>
          <w:p w:rsidR="00B9511A" w:rsidRPr="001567C8" w:rsidRDefault="00B9511A" w:rsidP="00B9511A">
            <w:pPr>
              <w:spacing w:line="140" w:lineRule="exact"/>
              <w:rPr>
                <w:rFonts w:asciiTheme="minorHAnsi" w:hAnsiTheme="minorHAnsi" w:cs="Arial"/>
                <w:b/>
                <w:bCs/>
                <w:sz w:val="18"/>
                <w:szCs w:val="18"/>
                <w:lang w:val="hr-HR"/>
              </w:rPr>
            </w:pPr>
          </w:p>
        </w:tc>
        <w:tc>
          <w:tcPr>
            <w:tcW w:w="1403" w:type="dxa"/>
            <w:tcBorders>
              <w:top w:val="single" w:sz="12" w:space="0" w:color="auto"/>
              <w:left w:val="nil"/>
              <w:right w:val="nil"/>
            </w:tcBorders>
            <w:shd w:val="clear" w:color="auto" w:fill="auto"/>
            <w:noWrap/>
          </w:tcPr>
          <w:p w:rsidR="00B9511A" w:rsidRPr="001567C8" w:rsidRDefault="00B9511A" w:rsidP="00B9511A">
            <w:pPr>
              <w:spacing w:line="140" w:lineRule="exact"/>
              <w:jc w:val="right"/>
              <w:rPr>
                <w:rFonts w:asciiTheme="minorHAnsi" w:hAnsiTheme="minorHAnsi" w:cs="Arial"/>
                <w:b/>
                <w:bCs/>
                <w:sz w:val="18"/>
                <w:szCs w:val="18"/>
                <w:lang w:val="hr-HR"/>
              </w:rPr>
            </w:pPr>
          </w:p>
        </w:tc>
        <w:tc>
          <w:tcPr>
            <w:tcW w:w="1218" w:type="dxa"/>
            <w:tcBorders>
              <w:top w:val="single" w:sz="12" w:space="0" w:color="auto"/>
              <w:left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b/>
                <w:bCs/>
                <w:sz w:val="18"/>
                <w:szCs w:val="18"/>
                <w:lang w:val="hr-HR"/>
              </w:rPr>
            </w:pPr>
          </w:p>
        </w:tc>
      </w:tr>
      <w:tr w:rsidR="00B9511A" w:rsidRPr="001567C8" w:rsidTr="003C6BA3">
        <w:trPr>
          <w:trHeight w:val="213"/>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Ostala sveobuhvatna dobit</w:t>
            </w:r>
          </w:p>
        </w:tc>
        <w:tc>
          <w:tcPr>
            <w:tcW w:w="1403" w:type="dxa"/>
            <w:tcBorders>
              <w:left w:val="nil"/>
              <w:right w:val="nil"/>
            </w:tcBorders>
            <w:shd w:val="clear" w:color="auto" w:fill="auto"/>
            <w:noWrap/>
          </w:tcPr>
          <w:p w:rsidR="00B9511A" w:rsidRPr="001567C8" w:rsidRDefault="00B9511A" w:rsidP="00B9511A">
            <w:pPr>
              <w:jc w:val="right"/>
              <w:rPr>
                <w:rFonts w:asciiTheme="minorHAnsi" w:hAnsiTheme="minorHAnsi" w:cs="Arial"/>
                <w:b/>
                <w:bCs/>
                <w:sz w:val="18"/>
                <w:szCs w:val="18"/>
                <w:lang w:val="hr-HR"/>
              </w:rPr>
            </w:pPr>
          </w:p>
        </w:tc>
        <w:tc>
          <w:tcPr>
            <w:tcW w:w="1218" w:type="dxa"/>
            <w:tcBorders>
              <w:left w:val="nil"/>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p>
        </w:tc>
      </w:tr>
      <w:tr w:rsidR="00B9511A" w:rsidRPr="001567C8" w:rsidTr="003C6BA3">
        <w:trPr>
          <w:trHeight w:val="241"/>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Stavke koje se kasnije ne prenose u dobit ili gubitak:</w:t>
            </w:r>
          </w:p>
        </w:tc>
        <w:tc>
          <w:tcPr>
            <w:tcW w:w="1403" w:type="dxa"/>
            <w:tcBorders>
              <w:left w:val="nil"/>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p>
        </w:tc>
        <w:tc>
          <w:tcPr>
            <w:tcW w:w="1218" w:type="dxa"/>
            <w:tcBorders>
              <w:left w:val="nil"/>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p>
        </w:tc>
      </w:tr>
      <w:tr w:rsidR="00B9511A" w:rsidRPr="001567C8" w:rsidTr="003C6BA3">
        <w:trPr>
          <w:trHeight w:val="125"/>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Odgođeni porez – usklađenje prethodnog razdoblja</w:t>
            </w:r>
          </w:p>
        </w:tc>
        <w:tc>
          <w:tcPr>
            <w:tcW w:w="1403" w:type="dxa"/>
            <w:tcBorders>
              <w:left w:val="nil"/>
              <w:bottom w:val="single" w:sz="4" w:space="0" w:color="auto"/>
              <w:right w:val="nil"/>
            </w:tcBorders>
            <w:shd w:val="clear" w:color="auto" w:fill="auto"/>
            <w:noWrap/>
            <w:vAlign w:val="bottom"/>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(1</w:t>
            </w:r>
            <w:r w:rsidR="001B4CFA" w:rsidRPr="001567C8">
              <w:rPr>
                <w:rFonts w:asciiTheme="minorHAnsi" w:hAnsiTheme="minorHAnsi" w:cstheme="minorHAnsi"/>
                <w:sz w:val="17"/>
                <w:szCs w:val="17"/>
                <w:lang w:val="hr-HR"/>
              </w:rPr>
              <w:t>7</w:t>
            </w:r>
            <w:r w:rsidRPr="001567C8">
              <w:rPr>
                <w:rFonts w:asciiTheme="minorHAnsi" w:hAnsiTheme="minorHAnsi" w:cstheme="minorHAnsi"/>
                <w:sz w:val="17"/>
                <w:szCs w:val="17"/>
                <w:lang w:val="hr-HR"/>
              </w:rPr>
              <w:t>)</w:t>
            </w:r>
          </w:p>
        </w:tc>
        <w:tc>
          <w:tcPr>
            <w:tcW w:w="1218" w:type="dxa"/>
            <w:tcBorders>
              <w:left w:val="nil"/>
              <w:bottom w:val="single" w:sz="4" w:space="0" w:color="auto"/>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Arial"/>
                <w:bCs/>
                <w:sz w:val="18"/>
                <w:szCs w:val="18"/>
                <w:lang w:val="hr-HR"/>
              </w:rPr>
              <w:t>-</w:t>
            </w:r>
          </w:p>
        </w:tc>
      </w:tr>
      <w:tr w:rsidR="00B9511A" w:rsidRPr="001567C8" w:rsidTr="003C6BA3">
        <w:trPr>
          <w:trHeight w:val="93"/>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Ukupno stavke koje se kasnije ne prenose u dobit ili gubitak</w:t>
            </w:r>
          </w:p>
        </w:tc>
        <w:tc>
          <w:tcPr>
            <w:tcW w:w="1403"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sz w:val="17"/>
                <w:szCs w:val="17"/>
                <w:lang w:val="hr-HR"/>
              </w:rPr>
              <w:t>(1</w:t>
            </w:r>
            <w:r w:rsidR="001B4CFA" w:rsidRPr="001567C8">
              <w:rPr>
                <w:rFonts w:asciiTheme="minorHAnsi" w:hAnsiTheme="minorHAnsi" w:cstheme="minorHAnsi"/>
                <w:b/>
                <w:sz w:val="17"/>
                <w:szCs w:val="17"/>
                <w:lang w:val="hr-HR"/>
              </w:rPr>
              <w:t>7</w:t>
            </w:r>
            <w:r w:rsidRPr="001567C8">
              <w:rPr>
                <w:rFonts w:asciiTheme="minorHAnsi" w:hAnsiTheme="minorHAnsi" w:cstheme="minorHAnsi"/>
                <w:b/>
                <w:sz w:val="17"/>
                <w:szCs w:val="17"/>
                <w:lang w:val="hr-HR"/>
              </w:rPr>
              <w:t>)</w:t>
            </w:r>
          </w:p>
        </w:tc>
        <w:tc>
          <w:tcPr>
            <w:tcW w:w="1218" w:type="dxa"/>
            <w:tcBorders>
              <w:top w:val="single" w:sz="4" w:space="0" w:color="auto"/>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w:t>
            </w:r>
          </w:p>
        </w:tc>
      </w:tr>
      <w:tr w:rsidR="00B9511A" w:rsidRPr="001567C8" w:rsidTr="003C6BA3">
        <w:trPr>
          <w:trHeight w:val="64"/>
        </w:trPr>
        <w:tc>
          <w:tcPr>
            <w:tcW w:w="6387" w:type="dxa"/>
            <w:tcBorders>
              <w:left w:val="nil"/>
              <w:right w:val="nil"/>
            </w:tcBorders>
            <w:shd w:val="clear" w:color="auto" w:fill="auto"/>
            <w:vAlign w:val="bottom"/>
          </w:tcPr>
          <w:p w:rsidR="00B9511A" w:rsidRPr="001567C8" w:rsidRDefault="00B9511A" w:rsidP="00B9511A">
            <w:pPr>
              <w:spacing w:line="140" w:lineRule="exact"/>
              <w:rPr>
                <w:rFonts w:asciiTheme="minorHAnsi" w:hAnsiTheme="minorHAnsi" w:cs="Arial"/>
                <w:bCs/>
                <w:sz w:val="18"/>
                <w:szCs w:val="18"/>
                <w:lang w:val="hr-HR"/>
              </w:rPr>
            </w:pPr>
          </w:p>
        </w:tc>
        <w:tc>
          <w:tcPr>
            <w:tcW w:w="1403" w:type="dxa"/>
            <w:tcBorders>
              <w:top w:val="single" w:sz="12" w:space="0" w:color="auto"/>
              <w:left w:val="nil"/>
              <w:right w:val="nil"/>
            </w:tcBorders>
            <w:shd w:val="clear" w:color="auto" w:fill="auto"/>
            <w:noWrap/>
          </w:tcPr>
          <w:p w:rsidR="00B9511A" w:rsidRPr="001567C8" w:rsidRDefault="00B9511A" w:rsidP="00B9511A">
            <w:pPr>
              <w:spacing w:line="140" w:lineRule="exact"/>
              <w:jc w:val="right"/>
              <w:rPr>
                <w:rFonts w:asciiTheme="minorHAnsi" w:hAnsiTheme="minorHAnsi" w:cs="Arial"/>
                <w:bCs/>
                <w:sz w:val="18"/>
                <w:szCs w:val="18"/>
                <w:lang w:val="hr-HR"/>
              </w:rPr>
            </w:pPr>
          </w:p>
        </w:tc>
        <w:tc>
          <w:tcPr>
            <w:tcW w:w="1218" w:type="dxa"/>
            <w:tcBorders>
              <w:top w:val="single" w:sz="12" w:space="0" w:color="auto"/>
              <w:left w:val="nil"/>
              <w:right w:val="nil"/>
            </w:tcBorders>
            <w:shd w:val="clear" w:color="auto" w:fill="auto"/>
          </w:tcPr>
          <w:p w:rsidR="00B9511A" w:rsidRPr="001567C8" w:rsidRDefault="00B9511A" w:rsidP="00B9511A">
            <w:pPr>
              <w:spacing w:line="140" w:lineRule="exact"/>
              <w:jc w:val="right"/>
              <w:rPr>
                <w:rFonts w:asciiTheme="minorHAnsi" w:hAnsiTheme="minorHAnsi" w:cs="Arial"/>
                <w:bCs/>
                <w:sz w:val="18"/>
                <w:szCs w:val="18"/>
                <w:lang w:val="hr-HR"/>
              </w:rPr>
            </w:pPr>
          </w:p>
        </w:tc>
      </w:tr>
      <w:tr w:rsidR="00B9511A" w:rsidRPr="001567C8" w:rsidTr="003C6BA3">
        <w:trPr>
          <w:trHeight w:val="124"/>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Stavke koje se kasnije mogu uračunati u dobit ili gubitak:</w:t>
            </w:r>
          </w:p>
        </w:tc>
        <w:tc>
          <w:tcPr>
            <w:tcW w:w="1403" w:type="dxa"/>
            <w:tcBorders>
              <w:left w:val="nil"/>
              <w:right w:val="nil"/>
            </w:tcBorders>
            <w:shd w:val="clear" w:color="auto" w:fill="auto"/>
            <w:noWrap/>
          </w:tcPr>
          <w:p w:rsidR="00B9511A" w:rsidRPr="001567C8" w:rsidRDefault="00B9511A" w:rsidP="00B9511A">
            <w:pPr>
              <w:jc w:val="right"/>
              <w:rPr>
                <w:rFonts w:asciiTheme="minorHAnsi" w:hAnsiTheme="minorHAnsi" w:cs="Arial"/>
                <w:b/>
                <w:bCs/>
                <w:sz w:val="18"/>
                <w:szCs w:val="18"/>
                <w:lang w:val="hr-HR"/>
              </w:rPr>
            </w:pP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p>
        </w:tc>
      </w:tr>
      <w:tr w:rsidR="00B9511A" w:rsidRPr="001567C8" w:rsidTr="003C6BA3">
        <w:trPr>
          <w:trHeight w:val="115"/>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Dobici proizašli iz revalorizacije financijske imovine raspoložive za prodaju</w:t>
            </w:r>
          </w:p>
        </w:tc>
        <w:tc>
          <w:tcPr>
            <w:tcW w:w="1403" w:type="dxa"/>
            <w:tcBorders>
              <w:left w:val="nil"/>
              <w:right w:val="nil"/>
            </w:tcBorders>
            <w:shd w:val="clear" w:color="auto" w:fill="auto"/>
            <w:noWrap/>
            <w:vAlign w:val="bottom"/>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969</w:t>
            </w: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CD3A2D">
              <w:rPr>
                <w:rFonts w:asciiTheme="minorHAnsi" w:hAnsiTheme="minorHAnsi"/>
                <w:sz w:val="18"/>
                <w:szCs w:val="18"/>
                <w:lang w:val="hr-HR"/>
              </w:rPr>
              <w:t>2.413</w:t>
            </w:r>
          </w:p>
        </w:tc>
      </w:tr>
      <w:tr w:rsidR="00B9511A" w:rsidRPr="001567C8" w:rsidTr="003C6BA3">
        <w:trPr>
          <w:trHeight w:val="178"/>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Smanjenje fer vrijednosti imovine raspoložive za prodaju</w:t>
            </w:r>
          </w:p>
        </w:tc>
        <w:tc>
          <w:tcPr>
            <w:tcW w:w="1403" w:type="dxa"/>
            <w:tcBorders>
              <w:left w:val="nil"/>
              <w:right w:val="nil"/>
            </w:tcBorders>
            <w:shd w:val="clear" w:color="auto" w:fill="auto"/>
            <w:noWrap/>
            <w:vAlign w:val="bottom"/>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(908)</w:t>
            </w: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CD3A2D">
              <w:rPr>
                <w:rFonts w:asciiTheme="minorHAnsi" w:hAnsiTheme="minorHAnsi"/>
                <w:sz w:val="18"/>
                <w:szCs w:val="18"/>
                <w:lang w:val="hr-HR"/>
              </w:rPr>
              <w:t>(1.429)</w:t>
            </w:r>
          </w:p>
        </w:tc>
      </w:tr>
      <w:tr w:rsidR="00B9511A" w:rsidRPr="001567C8" w:rsidTr="003C6BA3">
        <w:trPr>
          <w:trHeight w:val="178"/>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Prijenos realiziranog gubitka po imovini raspoloživoj za prodaju u IDG</w:t>
            </w:r>
          </w:p>
        </w:tc>
        <w:tc>
          <w:tcPr>
            <w:tcW w:w="1403" w:type="dxa"/>
            <w:tcBorders>
              <w:left w:val="nil"/>
              <w:right w:val="nil"/>
            </w:tcBorders>
            <w:shd w:val="clear" w:color="auto" w:fill="auto"/>
            <w:noWrap/>
            <w:vAlign w:val="bottom"/>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w:t>
            </w: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CD3A2D">
              <w:rPr>
                <w:rFonts w:asciiTheme="minorHAnsi" w:hAnsiTheme="minorHAnsi"/>
                <w:sz w:val="18"/>
                <w:szCs w:val="18"/>
                <w:lang w:val="hr-HR"/>
              </w:rPr>
              <w:t>5</w:t>
            </w:r>
          </w:p>
        </w:tc>
      </w:tr>
      <w:tr w:rsidR="00B9511A" w:rsidRPr="001567C8" w:rsidTr="003C6BA3">
        <w:trPr>
          <w:trHeight w:val="102"/>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Odgođeni porez</w:t>
            </w:r>
          </w:p>
        </w:tc>
        <w:tc>
          <w:tcPr>
            <w:tcW w:w="1403" w:type="dxa"/>
            <w:tcBorders>
              <w:left w:val="nil"/>
              <w:bottom w:val="single" w:sz="4" w:space="0" w:color="auto"/>
              <w:right w:val="nil"/>
            </w:tcBorders>
            <w:shd w:val="clear" w:color="auto" w:fill="auto"/>
            <w:noWrap/>
            <w:vAlign w:val="bottom"/>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sz w:val="17"/>
                <w:szCs w:val="17"/>
                <w:lang w:val="hr-HR"/>
              </w:rPr>
              <w:t>(11)</w:t>
            </w:r>
          </w:p>
        </w:tc>
        <w:tc>
          <w:tcPr>
            <w:tcW w:w="1218" w:type="dxa"/>
            <w:tcBorders>
              <w:left w:val="nil"/>
              <w:bottom w:val="single" w:sz="4" w:space="0" w:color="auto"/>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CD3A2D">
              <w:rPr>
                <w:rFonts w:asciiTheme="minorHAnsi" w:hAnsiTheme="minorHAnsi"/>
                <w:sz w:val="18"/>
                <w:szCs w:val="18"/>
                <w:lang w:val="hr-HR"/>
              </w:rPr>
              <w:t>(178)</w:t>
            </w:r>
          </w:p>
        </w:tc>
      </w:tr>
      <w:tr w:rsidR="00B9511A" w:rsidRPr="001567C8" w:rsidTr="003C6BA3">
        <w:trPr>
          <w:trHeight w:val="213"/>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Ukupno stavke koje se kasnije mogu uračunati u dobit ili gubitak</w:t>
            </w:r>
          </w:p>
        </w:tc>
        <w:tc>
          <w:tcPr>
            <w:tcW w:w="1403" w:type="dxa"/>
            <w:tcBorders>
              <w:top w:val="single" w:sz="4" w:space="0" w:color="auto"/>
              <w:left w:val="nil"/>
              <w:bottom w:val="single" w:sz="12" w:space="0" w:color="auto"/>
              <w:right w:val="nil"/>
            </w:tcBorders>
            <w:shd w:val="clear" w:color="auto" w:fill="auto"/>
            <w:noWrap/>
            <w:vAlign w:val="bottom"/>
          </w:tcPr>
          <w:p w:rsidR="00B9511A" w:rsidRPr="00CD3A2D" w:rsidRDefault="00B9511A" w:rsidP="00B9511A">
            <w:pPr>
              <w:jc w:val="right"/>
              <w:rPr>
                <w:rFonts w:asciiTheme="minorHAnsi" w:hAnsiTheme="minorHAnsi"/>
                <w:b/>
                <w:sz w:val="18"/>
                <w:szCs w:val="18"/>
                <w:lang w:val="hr-HR"/>
              </w:rPr>
            </w:pPr>
            <w:r w:rsidRPr="00CD3A2D">
              <w:rPr>
                <w:rFonts w:asciiTheme="minorHAnsi" w:hAnsiTheme="minorHAnsi"/>
                <w:b/>
                <w:sz w:val="18"/>
                <w:szCs w:val="18"/>
                <w:lang w:val="hr-HR"/>
              </w:rPr>
              <w:t>50</w:t>
            </w:r>
          </w:p>
        </w:tc>
        <w:tc>
          <w:tcPr>
            <w:tcW w:w="1218" w:type="dxa"/>
            <w:tcBorders>
              <w:top w:val="single" w:sz="4" w:space="0" w:color="auto"/>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CD3A2D">
              <w:rPr>
                <w:rFonts w:asciiTheme="minorHAnsi" w:hAnsiTheme="minorHAnsi"/>
                <w:b/>
                <w:sz w:val="18"/>
                <w:szCs w:val="18"/>
                <w:lang w:val="hr-HR"/>
              </w:rPr>
              <w:t>811</w:t>
            </w:r>
          </w:p>
        </w:tc>
      </w:tr>
      <w:tr w:rsidR="00B9511A" w:rsidRPr="001567C8" w:rsidTr="00CD3A2D">
        <w:trPr>
          <w:trHeight w:hRule="exact" w:val="113"/>
        </w:trPr>
        <w:tc>
          <w:tcPr>
            <w:tcW w:w="6387" w:type="dxa"/>
            <w:tcBorders>
              <w:left w:val="nil"/>
              <w:right w:val="nil"/>
            </w:tcBorders>
            <w:shd w:val="clear" w:color="auto" w:fill="auto"/>
            <w:vAlign w:val="bottom"/>
          </w:tcPr>
          <w:p w:rsidR="00B9511A" w:rsidRPr="001567C8" w:rsidRDefault="00B9511A" w:rsidP="00B9511A">
            <w:pPr>
              <w:spacing w:line="140" w:lineRule="exact"/>
              <w:rPr>
                <w:rFonts w:asciiTheme="minorHAnsi" w:hAnsiTheme="minorHAnsi" w:cs="Arial"/>
                <w:b/>
                <w:bCs/>
                <w:sz w:val="18"/>
                <w:szCs w:val="18"/>
                <w:lang w:val="hr-HR"/>
              </w:rPr>
            </w:pPr>
          </w:p>
        </w:tc>
        <w:tc>
          <w:tcPr>
            <w:tcW w:w="1403" w:type="dxa"/>
            <w:tcBorders>
              <w:top w:val="single" w:sz="12" w:space="0" w:color="auto"/>
              <w:left w:val="nil"/>
              <w:right w:val="nil"/>
            </w:tcBorders>
            <w:shd w:val="clear" w:color="auto" w:fill="auto"/>
            <w:noWrap/>
            <w:vAlign w:val="bottom"/>
          </w:tcPr>
          <w:p w:rsidR="00B9511A" w:rsidRPr="00CD3A2D" w:rsidRDefault="00B9511A" w:rsidP="003C6BA3">
            <w:pPr>
              <w:jc w:val="right"/>
              <w:rPr>
                <w:rFonts w:asciiTheme="minorHAnsi" w:hAnsiTheme="minorHAnsi"/>
                <w:b/>
                <w:sz w:val="18"/>
                <w:szCs w:val="18"/>
                <w:lang w:val="hr-HR"/>
              </w:rPr>
            </w:pPr>
          </w:p>
        </w:tc>
        <w:tc>
          <w:tcPr>
            <w:tcW w:w="1218" w:type="dxa"/>
            <w:tcBorders>
              <w:top w:val="single" w:sz="12" w:space="0" w:color="auto"/>
              <w:left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bCs/>
                <w:sz w:val="18"/>
                <w:szCs w:val="18"/>
                <w:lang w:val="hr-HR"/>
              </w:rPr>
            </w:pPr>
          </w:p>
        </w:tc>
      </w:tr>
      <w:tr w:rsidR="00B9511A" w:rsidRPr="001567C8" w:rsidTr="003C6BA3">
        <w:trPr>
          <w:trHeight w:val="94"/>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Ostala sveobuhvatna dobit nakon oporezivanja</w:t>
            </w:r>
          </w:p>
        </w:tc>
        <w:tc>
          <w:tcPr>
            <w:tcW w:w="1403" w:type="dxa"/>
            <w:tcBorders>
              <w:left w:val="nil"/>
              <w:right w:val="nil"/>
            </w:tcBorders>
            <w:shd w:val="clear" w:color="auto" w:fill="auto"/>
            <w:noWrap/>
            <w:vAlign w:val="bottom"/>
          </w:tcPr>
          <w:p w:rsidR="00B9511A" w:rsidRPr="00CD3A2D" w:rsidRDefault="00B9511A" w:rsidP="00B9511A">
            <w:pPr>
              <w:jc w:val="right"/>
              <w:rPr>
                <w:rFonts w:asciiTheme="minorHAnsi" w:hAnsiTheme="minorHAnsi"/>
                <w:b/>
                <w:sz w:val="18"/>
                <w:szCs w:val="18"/>
                <w:lang w:val="hr-HR"/>
              </w:rPr>
            </w:pPr>
            <w:r w:rsidRPr="00CD3A2D">
              <w:rPr>
                <w:rFonts w:asciiTheme="minorHAnsi" w:hAnsiTheme="minorHAnsi"/>
                <w:b/>
                <w:sz w:val="18"/>
                <w:szCs w:val="18"/>
                <w:lang w:val="hr-HR"/>
              </w:rPr>
              <w:t>50</w:t>
            </w: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CD3A2D">
              <w:rPr>
                <w:rFonts w:asciiTheme="minorHAnsi" w:hAnsiTheme="minorHAnsi"/>
                <w:b/>
                <w:sz w:val="18"/>
                <w:szCs w:val="18"/>
                <w:lang w:val="hr-HR"/>
              </w:rPr>
              <w:t>811</w:t>
            </w:r>
          </w:p>
        </w:tc>
      </w:tr>
      <w:tr w:rsidR="00B9511A" w:rsidRPr="001567C8" w:rsidTr="00CD3A2D">
        <w:trPr>
          <w:trHeight w:hRule="exact" w:val="125"/>
        </w:trPr>
        <w:tc>
          <w:tcPr>
            <w:tcW w:w="6387" w:type="dxa"/>
            <w:tcBorders>
              <w:left w:val="nil"/>
              <w:right w:val="nil"/>
            </w:tcBorders>
            <w:shd w:val="clear" w:color="auto" w:fill="auto"/>
            <w:vAlign w:val="bottom"/>
          </w:tcPr>
          <w:p w:rsidR="00B9511A" w:rsidRPr="001567C8" w:rsidRDefault="00B9511A" w:rsidP="00B9511A">
            <w:pPr>
              <w:spacing w:line="140" w:lineRule="exact"/>
              <w:rPr>
                <w:rFonts w:asciiTheme="minorHAnsi" w:hAnsiTheme="minorHAnsi" w:cs="Arial"/>
                <w:b/>
                <w:bCs/>
                <w:sz w:val="18"/>
                <w:szCs w:val="18"/>
                <w:lang w:val="hr-HR"/>
              </w:rPr>
            </w:pPr>
          </w:p>
        </w:tc>
        <w:tc>
          <w:tcPr>
            <w:tcW w:w="1403" w:type="dxa"/>
            <w:tcBorders>
              <w:left w:val="nil"/>
              <w:bottom w:val="single" w:sz="4" w:space="0" w:color="auto"/>
              <w:right w:val="nil"/>
            </w:tcBorders>
            <w:shd w:val="clear" w:color="auto" w:fill="auto"/>
            <w:noWrap/>
            <w:vAlign w:val="bottom"/>
          </w:tcPr>
          <w:p w:rsidR="00B9511A" w:rsidRPr="00CD3A2D" w:rsidRDefault="00B9511A" w:rsidP="003C6BA3">
            <w:pPr>
              <w:jc w:val="right"/>
              <w:rPr>
                <w:rFonts w:asciiTheme="minorHAnsi" w:hAnsiTheme="minorHAnsi"/>
                <w:b/>
                <w:sz w:val="18"/>
                <w:szCs w:val="18"/>
                <w:lang w:val="hr-HR"/>
              </w:rPr>
            </w:pPr>
          </w:p>
        </w:tc>
        <w:tc>
          <w:tcPr>
            <w:tcW w:w="1218" w:type="dxa"/>
            <w:tcBorders>
              <w:left w:val="nil"/>
              <w:bottom w:val="single" w:sz="4" w:space="0" w:color="auto"/>
              <w:right w:val="nil"/>
            </w:tcBorders>
            <w:shd w:val="clear" w:color="auto" w:fill="auto"/>
            <w:vAlign w:val="bottom"/>
          </w:tcPr>
          <w:p w:rsidR="00B9511A" w:rsidRPr="001567C8" w:rsidRDefault="00B9511A" w:rsidP="00B9511A">
            <w:pPr>
              <w:spacing w:line="140" w:lineRule="exact"/>
              <w:jc w:val="right"/>
              <w:rPr>
                <w:rFonts w:asciiTheme="minorHAnsi" w:hAnsiTheme="minorHAnsi" w:cs="Arial"/>
                <w:b/>
                <w:bCs/>
                <w:sz w:val="18"/>
                <w:szCs w:val="18"/>
                <w:lang w:val="hr-HR"/>
              </w:rPr>
            </w:pPr>
          </w:p>
        </w:tc>
      </w:tr>
      <w:tr w:rsidR="00B9511A" w:rsidRPr="001567C8" w:rsidTr="003C6BA3">
        <w:trPr>
          <w:trHeight w:val="123"/>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Ukupna sveobuhvatna dobit prije oporezivanja</w:t>
            </w:r>
          </w:p>
        </w:tc>
        <w:tc>
          <w:tcPr>
            <w:tcW w:w="1403" w:type="dxa"/>
            <w:tcBorders>
              <w:top w:val="single" w:sz="4" w:space="0" w:color="auto"/>
              <w:left w:val="nil"/>
              <w:bottom w:val="single" w:sz="12" w:space="0" w:color="auto"/>
              <w:right w:val="nil"/>
            </w:tcBorders>
            <w:shd w:val="clear" w:color="auto" w:fill="auto"/>
            <w:noWrap/>
            <w:vAlign w:val="bottom"/>
          </w:tcPr>
          <w:p w:rsidR="00B9511A" w:rsidRPr="00CD3A2D" w:rsidRDefault="00B9511A" w:rsidP="00B9511A">
            <w:pPr>
              <w:jc w:val="right"/>
              <w:rPr>
                <w:rFonts w:asciiTheme="minorHAnsi" w:hAnsiTheme="minorHAnsi"/>
                <w:b/>
                <w:sz w:val="18"/>
                <w:szCs w:val="18"/>
                <w:lang w:val="hr-HR"/>
              </w:rPr>
            </w:pPr>
            <w:r w:rsidRPr="00CD3A2D">
              <w:rPr>
                <w:rFonts w:asciiTheme="minorHAnsi" w:hAnsiTheme="minorHAnsi"/>
                <w:b/>
                <w:sz w:val="18"/>
                <w:szCs w:val="18"/>
                <w:lang w:val="hr-HR"/>
              </w:rPr>
              <w:t>51</w:t>
            </w:r>
            <w:r w:rsidR="001B4CFA" w:rsidRPr="00CD3A2D">
              <w:rPr>
                <w:rFonts w:asciiTheme="minorHAnsi" w:hAnsiTheme="minorHAnsi"/>
                <w:b/>
                <w:sz w:val="18"/>
                <w:szCs w:val="18"/>
                <w:lang w:val="hr-HR"/>
              </w:rPr>
              <w:t>4</w:t>
            </w:r>
          </w:p>
        </w:tc>
        <w:tc>
          <w:tcPr>
            <w:tcW w:w="1218" w:type="dxa"/>
            <w:tcBorders>
              <w:top w:val="single" w:sz="4" w:space="0" w:color="auto"/>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
                <w:bCs/>
                <w:sz w:val="18"/>
                <w:szCs w:val="18"/>
                <w:lang w:val="hr-HR"/>
              </w:rPr>
            </w:pPr>
            <w:r w:rsidRPr="00CD3A2D">
              <w:rPr>
                <w:rFonts w:asciiTheme="minorHAnsi" w:hAnsiTheme="minorHAnsi"/>
                <w:b/>
                <w:sz w:val="18"/>
                <w:szCs w:val="18"/>
                <w:lang w:val="hr-HR"/>
              </w:rPr>
              <w:t>2.228</w:t>
            </w:r>
          </w:p>
        </w:tc>
      </w:tr>
      <w:tr w:rsidR="00B9511A" w:rsidRPr="001567C8" w:rsidTr="00CD3A2D">
        <w:trPr>
          <w:trHeight w:hRule="exact" w:val="125"/>
        </w:trPr>
        <w:tc>
          <w:tcPr>
            <w:tcW w:w="6387" w:type="dxa"/>
            <w:tcBorders>
              <w:left w:val="nil"/>
              <w:right w:val="nil"/>
            </w:tcBorders>
            <w:shd w:val="clear" w:color="auto" w:fill="auto"/>
            <w:vAlign w:val="bottom"/>
          </w:tcPr>
          <w:p w:rsidR="00B9511A" w:rsidRPr="001567C8" w:rsidRDefault="00B9511A" w:rsidP="00B9511A">
            <w:pPr>
              <w:spacing w:line="140" w:lineRule="exact"/>
              <w:rPr>
                <w:rFonts w:asciiTheme="minorHAnsi" w:hAnsiTheme="minorHAnsi" w:cs="Arial"/>
                <w:bCs/>
                <w:sz w:val="18"/>
                <w:szCs w:val="18"/>
                <w:lang w:val="hr-HR"/>
              </w:rPr>
            </w:pPr>
          </w:p>
        </w:tc>
        <w:tc>
          <w:tcPr>
            <w:tcW w:w="1403" w:type="dxa"/>
            <w:tcBorders>
              <w:top w:val="single" w:sz="12" w:space="0" w:color="auto"/>
              <w:left w:val="nil"/>
              <w:right w:val="nil"/>
            </w:tcBorders>
            <w:shd w:val="clear" w:color="auto" w:fill="auto"/>
            <w:noWrap/>
            <w:vAlign w:val="bottom"/>
          </w:tcPr>
          <w:p w:rsidR="00B9511A" w:rsidRPr="00CD3A2D" w:rsidRDefault="00B9511A" w:rsidP="003C6BA3">
            <w:pPr>
              <w:jc w:val="right"/>
              <w:rPr>
                <w:rFonts w:asciiTheme="minorHAnsi" w:hAnsiTheme="minorHAnsi"/>
                <w:b/>
                <w:sz w:val="18"/>
                <w:szCs w:val="18"/>
                <w:lang w:val="hr-HR"/>
              </w:rPr>
            </w:pPr>
          </w:p>
        </w:tc>
        <w:tc>
          <w:tcPr>
            <w:tcW w:w="1218" w:type="dxa"/>
            <w:tcBorders>
              <w:top w:val="single" w:sz="12" w:space="0" w:color="auto"/>
              <w:left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bCs/>
                <w:sz w:val="18"/>
                <w:szCs w:val="18"/>
                <w:lang w:val="hr-HR"/>
              </w:rPr>
            </w:pPr>
          </w:p>
        </w:tc>
      </w:tr>
      <w:tr w:rsidR="00B9511A" w:rsidRPr="001567C8" w:rsidTr="003C6BA3">
        <w:trPr>
          <w:trHeight w:val="69"/>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Ukupna sveobuhvatna dobit za raspodjelu:</w:t>
            </w:r>
          </w:p>
        </w:tc>
        <w:tc>
          <w:tcPr>
            <w:tcW w:w="1403" w:type="dxa"/>
            <w:tcBorders>
              <w:left w:val="nil"/>
              <w:right w:val="nil"/>
            </w:tcBorders>
            <w:shd w:val="clear" w:color="auto" w:fill="auto"/>
            <w:noWrap/>
            <w:vAlign w:val="bottom"/>
          </w:tcPr>
          <w:p w:rsidR="00B9511A" w:rsidRPr="00CD3A2D" w:rsidRDefault="00B9511A" w:rsidP="00B9511A">
            <w:pPr>
              <w:jc w:val="right"/>
              <w:rPr>
                <w:rFonts w:asciiTheme="minorHAnsi" w:hAnsiTheme="minorHAnsi"/>
                <w:b/>
                <w:sz w:val="18"/>
                <w:szCs w:val="18"/>
                <w:lang w:val="hr-HR"/>
              </w:rPr>
            </w:pPr>
          </w:p>
        </w:tc>
        <w:tc>
          <w:tcPr>
            <w:tcW w:w="1218" w:type="dxa"/>
            <w:tcBorders>
              <w:left w:val="nil"/>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p>
        </w:tc>
      </w:tr>
      <w:tr w:rsidR="00B9511A" w:rsidRPr="001567C8" w:rsidTr="003C6BA3">
        <w:trPr>
          <w:trHeight w:val="54"/>
        </w:trPr>
        <w:tc>
          <w:tcPr>
            <w:tcW w:w="6387" w:type="dxa"/>
            <w:tcBorders>
              <w:left w:val="nil"/>
              <w:right w:val="nil"/>
            </w:tcBorders>
            <w:shd w:val="clear" w:color="auto" w:fill="auto"/>
            <w:vAlign w:val="bottom"/>
          </w:tcPr>
          <w:p w:rsidR="00B9511A" w:rsidRPr="001567C8" w:rsidRDefault="00B9511A" w:rsidP="00B9511A">
            <w:pPr>
              <w:rPr>
                <w:rFonts w:asciiTheme="minorHAnsi" w:hAnsiTheme="minorHAnsi" w:cs="Arial"/>
                <w:bCs/>
                <w:sz w:val="18"/>
                <w:szCs w:val="18"/>
                <w:lang w:val="hr-HR"/>
              </w:rPr>
            </w:pPr>
            <w:r w:rsidRPr="001567C8">
              <w:rPr>
                <w:rFonts w:asciiTheme="minorHAnsi" w:hAnsiTheme="minorHAnsi" w:cs="Arial"/>
                <w:bCs/>
                <w:sz w:val="18"/>
                <w:szCs w:val="18"/>
                <w:lang w:val="hr-HR"/>
              </w:rPr>
              <w:t>Vlasnicima društva</w:t>
            </w:r>
          </w:p>
        </w:tc>
        <w:tc>
          <w:tcPr>
            <w:tcW w:w="1403" w:type="dxa"/>
            <w:tcBorders>
              <w:left w:val="nil"/>
              <w:bottom w:val="single" w:sz="12" w:space="0" w:color="auto"/>
              <w:right w:val="nil"/>
            </w:tcBorders>
            <w:shd w:val="clear" w:color="auto" w:fill="auto"/>
            <w:noWrap/>
            <w:vAlign w:val="bottom"/>
          </w:tcPr>
          <w:p w:rsidR="00B9511A" w:rsidRPr="00CD3A2D" w:rsidRDefault="00B9511A" w:rsidP="00B9511A">
            <w:pPr>
              <w:jc w:val="right"/>
              <w:rPr>
                <w:rFonts w:asciiTheme="minorHAnsi" w:hAnsiTheme="minorHAnsi"/>
                <w:sz w:val="18"/>
                <w:szCs w:val="18"/>
                <w:lang w:val="hr-HR"/>
              </w:rPr>
            </w:pPr>
            <w:r w:rsidRPr="00CD3A2D">
              <w:rPr>
                <w:rFonts w:asciiTheme="minorHAnsi" w:hAnsiTheme="minorHAnsi"/>
                <w:sz w:val="18"/>
                <w:szCs w:val="18"/>
                <w:lang w:val="hr-HR"/>
              </w:rPr>
              <w:t>51</w:t>
            </w:r>
            <w:r w:rsidR="001B4CFA" w:rsidRPr="00CD3A2D">
              <w:rPr>
                <w:rFonts w:asciiTheme="minorHAnsi" w:hAnsiTheme="minorHAnsi"/>
                <w:sz w:val="18"/>
                <w:szCs w:val="18"/>
                <w:lang w:val="hr-HR"/>
              </w:rPr>
              <w:t>4</w:t>
            </w:r>
          </w:p>
        </w:tc>
        <w:tc>
          <w:tcPr>
            <w:tcW w:w="1218" w:type="dxa"/>
            <w:tcBorders>
              <w:left w:val="nil"/>
              <w:bottom w:val="single" w:sz="12" w:space="0" w:color="auto"/>
              <w:right w:val="nil"/>
            </w:tcBorders>
            <w:shd w:val="clear" w:color="auto" w:fill="auto"/>
          </w:tcPr>
          <w:p w:rsidR="00B9511A" w:rsidRPr="001567C8" w:rsidRDefault="00B9511A" w:rsidP="00B9511A">
            <w:pPr>
              <w:jc w:val="right"/>
              <w:rPr>
                <w:rFonts w:asciiTheme="minorHAnsi" w:hAnsiTheme="minorHAnsi" w:cs="Arial"/>
                <w:bCs/>
                <w:sz w:val="18"/>
                <w:szCs w:val="18"/>
                <w:lang w:val="hr-HR"/>
              </w:rPr>
            </w:pPr>
            <w:r w:rsidRPr="00CD3A2D">
              <w:rPr>
                <w:rFonts w:asciiTheme="minorHAnsi" w:hAnsiTheme="minorHAnsi"/>
                <w:sz w:val="18"/>
                <w:szCs w:val="18"/>
                <w:lang w:val="hr-HR"/>
              </w:rPr>
              <w:t>2.228</w:t>
            </w:r>
          </w:p>
        </w:tc>
      </w:tr>
    </w:tbl>
    <w:p w:rsidR="00335A38" w:rsidRPr="001567C8" w:rsidRDefault="00335A38" w:rsidP="007F0E1B">
      <w:pPr>
        <w:spacing w:before="120" w:line="300" w:lineRule="exact"/>
        <w:rPr>
          <w:rFonts w:asciiTheme="minorHAnsi" w:hAnsiTheme="minorHAnsi"/>
          <w:b/>
          <w:sz w:val="22"/>
          <w:szCs w:val="22"/>
          <w:lang w:val="hr-HR"/>
        </w:rPr>
      </w:pPr>
    </w:p>
    <w:p w:rsidR="00CF079F" w:rsidRPr="00CD3A2D" w:rsidRDefault="00FC4A4E" w:rsidP="00CF079F">
      <w:pPr>
        <w:spacing w:before="120"/>
        <w:jc w:val="both"/>
        <w:rPr>
          <w:rFonts w:ascii="Calibri" w:hAnsi="Calibri" w:cs="Calibri"/>
          <w:sz w:val="20"/>
          <w:szCs w:val="20"/>
          <w:lang w:val="hr-HR"/>
        </w:rPr>
      </w:pPr>
      <w:r w:rsidRPr="00CD3A2D">
        <w:rPr>
          <w:rFonts w:ascii="Calibri" w:hAnsi="Calibri" w:cs="Calibri"/>
          <w:sz w:val="20"/>
          <w:szCs w:val="20"/>
          <w:lang w:val="hr-HR"/>
        </w:rPr>
        <w:t xml:space="preserve">Dobit prije i poslije oporezivanja je u odvojenim financijskim izvještajima Grupe HKO različita u </w:t>
      </w:r>
      <w:r w:rsidR="00CF079F" w:rsidRPr="00CD3A2D">
        <w:rPr>
          <w:rFonts w:ascii="Calibri" w:hAnsi="Calibri" w:cs="Calibri"/>
          <w:sz w:val="20"/>
          <w:szCs w:val="20"/>
          <w:lang w:val="hr-HR"/>
        </w:rPr>
        <w:t xml:space="preserve">odnosu na konsolidirani </w:t>
      </w:r>
      <w:r w:rsidRPr="00CD3A2D">
        <w:rPr>
          <w:rFonts w:ascii="Calibri" w:hAnsi="Calibri" w:cs="Calibri"/>
          <w:sz w:val="20"/>
          <w:szCs w:val="20"/>
          <w:lang w:val="hr-HR"/>
        </w:rPr>
        <w:t>R</w:t>
      </w:r>
      <w:r w:rsidR="00CF079F" w:rsidRPr="00CD3A2D">
        <w:rPr>
          <w:rFonts w:ascii="Calibri" w:hAnsi="Calibri" w:cs="Calibri"/>
          <w:sz w:val="20"/>
          <w:szCs w:val="20"/>
          <w:lang w:val="hr-HR"/>
        </w:rPr>
        <w:t>ačun dobiti i gubitka jer u odvojenim financijskim izvještajima nije primijenjen MSFI 9</w:t>
      </w:r>
      <w:r w:rsidRPr="00CD3A2D">
        <w:rPr>
          <w:rFonts w:ascii="Calibri" w:hAnsi="Calibri" w:cs="Calibri"/>
          <w:sz w:val="20"/>
          <w:szCs w:val="20"/>
          <w:lang w:val="hr-HR"/>
        </w:rPr>
        <w:t>.</w:t>
      </w:r>
    </w:p>
    <w:p w:rsidR="007E056A" w:rsidRPr="00CD3A2D" w:rsidRDefault="007E056A" w:rsidP="007F0E1B">
      <w:pPr>
        <w:spacing w:before="120" w:line="300" w:lineRule="exact"/>
        <w:rPr>
          <w:rFonts w:asciiTheme="minorHAnsi" w:hAnsiTheme="minorHAnsi"/>
          <w:b/>
          <w:sz w:val="20"/>
          <w:szCs w:val="20"/>
          <w:lang w:val="hr-HR"/>
        </w:rPr>
        <w:sectPr w:rsidR="007E056A" w:rsidRPr="00CD3A2D" w:rsidSect="0077198A">
          <w:headerReference w:type="default" r:id="rId80"/>
          <w:pgSz w:w="11907" w:h="16840" w:code="9"/>
          <w:pgMar w:top="1418" w:right="1134" w:bottom="1134" w:left="1418" w:header="851" w:footer="851" w:gutter="0"/>
          <w:cols w:space="720"/>
          <w:noEndnote/>
        </w:sectPr>
      </w:pPr>
    </w:p>
    <w:p w:rsidR="008217AF" w:rsidRPr="001567C8" w:rsidRDefault="008217AF" w:rsidP="00DC6688">
      <w:pPr>
        <w:spacing w:before="120" w:line="300" w:lineRule="exact"/>
        <w:ind w:firstLine="680"/>
        <w:rPr>
          <w:rFonts w:asciiTheme="minorHAnsi" w:hAnsiTheme="minorHAnsi"/>
          <w:b/>
          <w:sz w:val="22"/>
          <w:szCs w:val="22"/>
          <w:lang w:val="hr-HR"/>
        </w:rPr>
      </w:pPr>
    </w:p>
    <w:tbl>
      <w:tblPr>
        <w:tblpPr w:leftFromText="181" w:rightFromText="181" w:vertAnchor="text" w:horzAnchor="margin" w:tblpXSpec="center" w:tblpY="1"/>
        <w:tblW w:w="8472" w:type="dxa"/>
        <w:tblLayout w:type="fixed"/>
        <w:tblLook w:val="04A0" w:firstRow="1" w:lastRow="0" w:firstColumn="1" w:lastColumn="0" w:noHBand="0" w:noVBand="1"/>
      </w:tblPr>
      <w:tblGrid>
        <w:gridCol w:w="6062"/>
        <w:gridCol w:w="1276"/>
        <w:gridCol w:w="1134"/>
      </w:tblGrid>
      <w:tr w:rsidR="00CF4603" w:rsidRPr="001567C8" w:rsidTr="00CF4603">
        <w:trPr>
          <w:trHeight w:val="119"/>
        </w:trPr>
        <w:tc>
          <w:tcPr>
            <w:tcW w:w="6062" w:type="dxa"/>
            <w:tcBorders>
              <w:left w:val="nil"/>
              <w:bottom w:val="nil"/>
              <w:right w:val="nil"/>
            </w:tcBorders>
            <w:shd w:val="clear" w:color="auto" w:fill="auto"/>
            <w:vAlign w:val="bottom"/>
          </w:tcPr>
          <w:p w:rsidR="00CF4603" w:rsidRPr="001567C8" w:rsidRDefault="00CF4603" w:rsidP="00CF4603">
            <w:pPr>
              <w:rPr>
                <w:rFonts w:asciiTheme="minorHAnsi" w:hAnsiTheme="minorHAnsi" w:cs="Arial"/>
                <w:b/>
                <w:bCs/>
                <w:sz w:val="18"/>
                <w:szCs w:val="18"/>
                <w:lang w:val="hr-HR"/>
              </w:rPr>
            </w:pPr>
          </w:p>
        </w:tc>
        <w:tc>
          <w:tcPr>
            <w:tcW w:w="1276" w:type="dxa"/>
            <w:tcBorders>
              <w:left w:val="nil"/>
              <w:bottom w:val="nil"/>
              <w:right w:val="nil"/>
            </w:tcBorders>
            <w:shd w:val="clear" w:color="auto" w:fill="auto"/>
            <w:noWrap/>
            <w:vAlign w:val="bottom"/>
          </w:tcPr>
          <w:p w:rsidR="00CF4603" w:rsidRPr="001567C8" w:rsidRDefault="00B9511A"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2018</w:t>
            </w:r>
            <w:r w:rsidR="00CF4603" w:rsidRPr="001567C8">
              <w:rPr>
                <w:rFonts w:asciiTheme="minorHAnsi" w:hAnsiTheme="minorHAnsi" w:cs="Arial"/>
                <w:b/>
                <w:bCs/>
                <w:sz w:val="18"/>
                <w:szCs w:val="18"/>
                <w:lang w:val="hr-HR"/>
              </w:rPr>
              <w:t>.</w:t>
            </w:r>
          </w:p>
        </w:tc>
        <w:tc>
          <w:tcPr>
            <w:tcW w:w="1134" w:type="dxa"/>
            <w:tcBorders>
              <w:left w:val="nil"/>
              <w:bottom w:val="nil"/>
              <w:right w:val="nil"/>
            </w:tcBorders>
            <w:vAlign w:val="bottom"/>
          </w:tcPr>
          <w:p w:rsidR="00CF4603" w:rsidRPr="001567C8" w:rsidRDefault="00B9511A"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2017</w:t>
            </w:r>
            <w:r w:rsidR="00CF4603" w:rsidRPr="001567C8">
              <w:rPr>
                <w:rFonts w:asciiTheme="minorHAnsi" w:hAnsiTheme="minorHAnsi" w:cs="Arial"/>
                <w:b/>
                <w:bCs/>
                <w:sz w:val="18"/>
                <w:szCs w:val="18"/>
                <w:lang w:val="hr-HR"/>
              </w:rPr>
              <w:t>.</w:t>
            </w:r>
          </w:p>
        </w:tc>
      </w:tr>
      <w:tr w:rsidR="00CF4603" w:rsidRPr="001567C8" w:rsidTr="00CF4603">
        <w:trPr>
          <w:trHeight w:val="95"/>
        </w:trPr>
        <w:tc>
          <w:tcPr>
            <w:tcW w:w="6062" w:type="dxa"/>
            <w:tcBorders>
              <w:left w:val="nil"/>
              <w:bottom w:val="nil"/>
              <w:right w:val="nil"/>
            </w:tcBorders>
            <w:shd w:val="clear" w:color="auto" w:fill="auto"/>
            <w:vAlign w:val="bottom"/>
          </w:tcPr>
          <w:p w:rsidR="00CF4603" w:rsidRPr="001567C8" w:rsidRDefault="00CF4603" w:rsidP="00CF4603">
            <w:pPr>
              <w:rPr>
                <w:rFonts w:asciiTheme="minorHAnsi" w:hAnsiTheme="minorHAnsi" w:cs="Arial"/>
                <w:b/>
                <w:bCs/>
                <w:sz w:val="18"/>
                <w:szCs w:val="18"/>
                <w:lang w:val="hr-HR"/>
              </w:rPr>
            </w:pPr>
          </w:p>
        </w:tc>
        <w:tc>
          <w:tcPr>
            <w:tcW w:w="1276" w:type="dxa"/>
            <w:tcBorders>
              <w:left w:val="nil"/>
              <w:bottom w:val="nil"/>
              <w:right w:val="nil"/>
            </w:tcBorders>
            <w:shd w:val="clear" w:color="auto" w:fill="auto"/>
            <w:noWrap/>
            <w:vAlign w:val="bottom"/>
          </w:tcPr>
          <w:p w:rsidR="00CF4603" w:rsidRPr="001567C8" w:rsidRDefault="00CF4603"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000 kuna</w:t>
            </w:r>
          </w:p>
        </w:tc>
        <w:tc>
          <w:tcPr>
            <w:tcW w:w="1134" w:type="dxa"/>
            <w:tcBorders>
              <w:left w:val="nil"/>
              <w:bottom w:val="nil"/>
              <w:right w:val="nil"/>
            </w:tcBorders>
            <w:vAlign w:val="bottom"/>
          </w:tcPr>
          <w:p w:rsidR="00CF4603" w:rsidRPr="001567C8" w:rsidRDefault="00CF4603"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000 kuna</w:t>
            </w:r>
          </w:p>
        </w:tc>
      </w:tr>
      <w:tr w:rsidR="00CF4603" w:rsidRPr="001567C8" w:rsidTr="00CF4603">
        <w:trPr>
          <w:trHeight w:val="59"/>
        </w:trPr>
        <w:tc>
          <w:tcPr>
            <w:tcW w:w="6062" w:type="dxa"/>
            <w:tcBorders>
              <w:top w:val="nil"/>
              <w:left w:val="nil"/>
              <w:bottom w:val="nil"/>
              <w:right w:val="nil"/>
            </w:tcBorders>
            <w:shd w:val="clear" w:color="auto" w:fill="auto"/>
            <w:vAlign w:val="bottom"/>
          </w:tcPr>
          <w:p w:rsidR="00CF4603" w:rsidRPr="001567C8" w:rsidRDefault="00CF4603" w:rsidP="00CF4603">
            <w:pPr>
              <w:spacing w:line="140" w:lineRule="exact"/>
              <w:rPr>
                <w:rFonts w:asciiTheme="minorHAnsi" w:hAnsiTheme="minorHAnsi" w:cs="Arial"/>
                <w:sz w:val="18"/>
                <w:szCs w:val="18"/>
                <w:lang w:val="hr-HR"/>
              </w:rPr>
            </w:pPr>
          </w:p>
        </w:tc>
        <w:tc>
          <w:tcPr>
            <w:tcW w:w="1276" w:type="dxa"/>
            <w:tcBorders>
              <w:top w:val="nil"/>
              <w:left w:val="nil"/>
              <w:bottom w:val="nil"/>
              <w:right w:val="nil"/>
            </w:tcBorders>
            <w:shd w:val="clear" w:color="auto" w:fill="auto"/>
            <w:noWrap/>
            <w:vAlign w:val="bottom"/>
          </w:tcPr>
          <w:p w:rsidR="00CF4603" w:rsidRPr="001567C8" w:rsidRDefault="00CF4603" w:rsidP="00CF4603">
            <w:pPr>
              <w:spacing w:line="140" w:lineRule="exact"/>
              <w:rPr>
                <w:rFonts w:asciiTheme="minorHAnsi" w:hAnsiTheme="minorHAnsi" w:cs="Arial"/>
                <w:sz w:val="18"/>
                <w:szCs w:val="18"/>
                <w:lang w:val="hr-HR"/>
              </w:rPr>
            </w:pPr>
          </w:p>
        </w:tc>
        <w:tc>
          <w:tcPr>
            <w:tcW w:w="1134" w:type="dxa"/>
            <w:tcBorders>
              <w:top w:val="nil"/>
              <w:left w:val="nil"/>
              <w:bottom w:val="nil"/>
              <w:right w:val="nil"/>
            </w:tcBorders>
            <w:vAlign w:val="bottom"/>
          </w:tcPr>
          <w:p w:rsidR="00CF4603" w:rsidRPr="001567C8" w:rsidRDefault="00CF4603" w:rsidP="00CF4603">
            <w:pPr>
              <w:spacing w:line="140" w:lineRule="exact"/>
              <w:rPr>
                <w:rFonts w:asciiTheme="minorHAnsi" w:hAnsiTheme="minorHAnsi" w:cs="Arial"/>
                <w:sz w:val="18"/>
                <w:szCs w:val="18"/>
                <w:lang w:val="hr-HR"/>
              </w:rPr>
            </w:pPr>
          </w:p>
        </w:tc>
      </w:tr>
      <w:tr w:rsidR="00CF4603" w:rsidRPr="001567C8" w:rsidTr="00CF4603">
        <w:trPr>
          <w:trHeight w:val="109"/>
        </w:trPr>
        <w:tc>
          <w:tcPr>
            <w:tcW w:w="6062" w:type="dxa"/>
            <w:tcBorders>
              <w:top w:val="nil"/>
              <w:left w:val="nil"/>
              <w:bottom w:val="nil"/>
              <w:right w:val="nil"/>
            </w:tcBorders>
            <w:shd w:val="clear" w:color="auto" w:fill="auto"/>
            <w:vAlign w:val="bottom"/>
          </w:tcPr>
          <w:p w:rsidR="00CF4603" w:rsidRPr="001567C8" w:rsidRDefault="00CF4603" w:rsidP="00CF4603">
            <w:pPr>
              <w:rPr>
                <w:rFonts w:asciiTheme="minorHAnsi" w:hAnsiTheme="minorHAnsi" w:cs="Arial"/>
                <w:b/>
                <w:sz w:val="18"/>
                <w:szCs w:val="18"/>
                <w:lang w:val="hr-HR"/>
              </w:rPr>
            </w:pPr>
            <w:r w:rsidRPr="001567C8">
              <w:rPr>
                <w:rFonts w:asciiTheme="minorHAnsi" w:hAnsiTheme="minorHAnsi" w:cs="Arial"/>
                <w:b/>
                <w:sz w:val="18"/>
                <w:szCs w:val="18"/>
                <w:lang w:val="hr-HR"/>
              </w:rPr>
              <w:t>Imovina</w:t>
            </w:r>
          </w:p>
        </w:tc>
        <w:tc>
          <w:tcPr>
            <w:tcW w:w="1276" w:type="dxa"/>
            <w:tcBorders>
              <w:top w:val="nil"/>
              <w:left w:val="nil"/>
              <w:bottom w:val="nil"/>
              <w:right w:val="nil"/>
            </w:tcBorders>
            <w:shd w:val="clear" w:color="auto" w:fill="auto"/>
            <w:noWrap/>
            <w:vAlign w:val="bottom"/>
          </w:tcPr>
          <w:p w:rsidR="00CF4603" w:rsidRPr="001567C8" w:rsidRDefault="00CF4603" w:rsidP="00CF4603">
            <w:pPr>
              <w:jc w:val="right"/>
              <w:rPr>
                <w:rFonts w:asciiTheme="minorHAnsi" w:hAnsiTheme="minorHAnsi" w:cs="Arial"/>
                <w:sz w:val="18"/>
                <w:szCs w:val="18"/>
                <w:lang w:val="hr-HR"/>
              </w:rPr>
            </w:pPr>
          </w:p>
        </w:tc>
        <w:tc>
          <w:tcPr>
            <w:tcW w:w="1134" w:type="dxa"/>
            <w:tcBorders>
              <w:top w:val="nil"/>
              <w:left w:val="nil"/>
              <w:bottom w:val="nil"/>
              <w:right w:val="nil"/>
            </w:tcBorders>
            <w:vAlign w:val="bottom"/>
          </w:tcPr>
          <w:p w:rsidR="00CF4603" w:rsidRPr="001567C8" w:rsidRDefault="00CF4603" w:rsidP="00CF4603">
            <w:pPr>
              <w:jc w:val="right"/>
              <w:rPr>
                <w:rFonts w:asciiTheme="minorHAnsi" w:hAnsiTheme="minorHAnsi" w:cs="Arial"/>
                <w:sz w:val="18"/>
                <w:szCs w:val="18"/>
                <w:lang w:val="hr-HR"/>
              </w:rPr>
            </w:pPr>
          </w:p>
        </w:tc>
      </w:tr>
      <w:tr w:rsidR="00CF4603" w:rsidRPr="001567C8" w:rsidTr="00CF4603">
        <w:trPr>
          <w:trHeight w:val="66"/>
        </w:trPr>
        <w:tc>
          <w:tcPr>
            <w:tcW w:w="6062" w:type="dxa"/>
            <w:tcBorders>
              <w:top w:val="nil"/>
              <w:left w:val="nil"/>
              <w:bottom w:val="nil"/>
              <w:right w:val="nil"/>
            </w:tcBorders>
            <w:shd w:val="clear" w:color="auto" w:fill="auto"/>
            <w:vAlign w:val="bottom"/>
          </w:tcPr>
          <w:p w:rsidR="00CF4603" w:rsidRPr="001567C8" w:rsidRDefault="00CF4603" w:rsidP="00CF4603">
            <w:pPr>
              <w:rPr>
                <w:rFonts w:asciiTheme="minorHAnsi" w:hAnsiTheme="minorHAnsi" w:cs="Arial"/>
                <w:b/>
                <w:sz w:val="18"/>
                <w:szCs w:val="18"/>
                <w:lang w:val="hr-HR"/>
              </w:rPr>
            </w:pPr>
            <w:r w:rsidRPr="001567C8">
              <w:rPr>
                <w:rFonts w:asciiTheme="minorHAnsi" w:hAnsiTheme="minorHAnsi" w:cs="Arial"/>
                <w:b/>
                <w:sz w:val="18"/>
                <w:szCs w:val="18"/>
                <w:lang w:val="hr-HR"/>
              </w:rPr>
              <w:t>Dugotrajna imovina</w:t>
            </w:r>
          </w:p>
        </w:tc>
        <w:tc>
          <w:tcPr>
            <w:tcW w:w="1276" w:type="dxa"/>
            <w:tcBorders>
              <w:top w:val="nil"/>
              <w:left w:val="nil"/>
              <w:bottom w:val="nil"/>
              <w:right w:val="nil"/>
            </w:tcBorders>
            <w:shd w:val="clear" w:color="auto" w:fill="auto"/>
            <w:noWrap/>
            <w:vAlign w:val="bottom"/>
          </w:tcPr>
          <w:p w:rsidR="00CF4603" w:rsidRPr="001567C8" w:rsidRDefault="00CF4603" w:rsidP="00CF4603">
            <w:pPr>
              <w:jc w:val="right"/>
              <w:rPr>
                <w:rFonts w:asciiTheme="minorHAnsi" w:hAnsiTheme="minorHAnsi" w:cs="Arial"/>
                <w:sz w:val="18"/>
                <w:szCs w:val="18"/>
                <w:lang w:val="hr-HR"/>
              </w:rPr>
            </w:pPr>
          </w:p>
        </w:tc>
        <w:tc>
          <w:tcPr>
            <w:tcW w:w="1134" w:type="dxa"/>
            <w:tcBorders>
              <w:top w:val="nil"/>
              <w:left w:val="nil"/>
              <w:bottom w:val="nil"/>
              <w:right w:val="nil"/>
            </w:tcBorders>
            <w:vAlign w:val="bottom"/>
          </w:tcPr>
          <w:p w:rsidR="00CF4603" w:rsidRPr="001567C8" w:rsidRDefault="00CF4603" w:rsidP="00CF4603">
            <w:pPr>
              <w:jc w:val="right"/>
              <w:rPr>
                <w:rFonts w:asciiTheme="minorHAnsi" w:hAnsiTheme="minorHAnsi" w:cs="Arial"/>
                <w:sz w:val="18"/>
                <w:szCs w:val="18"/>
                <w:lang w:val="hr-HR"/>
              </w:rPr>
            </w:pPr>
          </w:p>
        </w:tc>
      </w:tr>
      <w:tr w:rsidR="00B9511A" w:rsidRPr="001567C8" w:rsidTr="003C6BA3">
        <w:trPr>
          <w:trHeight w:val="180"/>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Nekretnine i oprema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50</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41</w:t>
            </w:r>
          </w:p>
        </w:tc>
      </w:tr>
      <w:tr w:rsidR="00B9511A" w:rsidRPr="001567C8" w:rsidTr="003C6BA3">
        <w:trPr>
          <w:trHeight w:val="180"/>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Nematerijalna imovina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18</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2</w:t>
            </w:r>
          </w:p>
        </w:tc>
      </w:tr>
      <w:tr w:rsidR="00B9511A" w:rsidRPr="001567C8" w:rsidTr="003C6BA3">
        <w:trPr>
          <w:trHeight w:val="180"/>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Ulaganja koja se drže do dospijeća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1.366</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1.399</w:t>
            </w:r>
          </w:p>
        </w:tc>
      </w:tr>
      <w:tr w:rsidR="00B9511A" w:rsidRPr="001567C8" w:rsidTr="003C6BA3">
        <w:trPr>
          <w:trHeight w:val="184"/>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Odgođena porezna imovina</w:t>
            </w:r>
          </w:p>
        </w:tc>
        <w:tc>
          <w:tcPr>
            <w:tcW w:w="1276" w:type="dxa"/>
            <w:tcBorders>
              <w:top w:val="nil"/>
              <w:left w:val="nil"/>
              <w:bottom w:val="single" w:sz="4" w:space="0" w:color="auto"/>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w:t>
            </w:r>
          </w:p>
        </w:tc>
        <w:tc>
          <w:tcPr>
            <w:tcW w:w="1134" w:type="dxa"/>
            <w:tcBorders>
              <w:top w:val="nil"/>
              <w:left w:val="nil"/>
              <w:bottom w:val="single" w:sz="4" w:space="0" w:color="auto"/>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231</w:t>
            </w:r>
          </w:p>
        </w:tc>
      </w:tr>
      <w:tr w:rsidR="00B9511A" w:rsidRPr="001567C8" w:rsidTr="003C6BA3">
        <w:trPr>
          <w:trHeight w:val="164"/>
        </w:trPr>
        <w:tc>
          <w:tcPr>
            <w:tcW w:w="6062" w:type="dxa"/>
            <w:tcBorders>
              <w:left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Ukupna dugotrajna imovina</w:t>
            </w:r>
          </w:p>
        </w:tc>
        <w:tc>
          <w:tcPr>
            <w:tcW w:w="1276"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bCs/>
                <w:sz w:val="17"/>
                <w:szCs w:val="17"/>
                <w:lang w:val="hr-HR"/>
              </w:rPr>
              <w:t>1.434</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1.673</w:t>
            </w:r>
          </w:p>
        </w:tc>
      </w:tr>
      <w:tr w:rsidR="00B9511A" w:rsidRPr="001567C8" w:rsidTr="003C6BA3">
        <w:trPr>
          <w:trHeight w:val="60"/>
        </w:trPr>
        <w:tc>
          <w:tcPr>
            <w:tcW w:w="6062"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single" w:sz="12" w:space="0" w:color="auto"/>
              <w:left w:val="nil"/>
              <w:bottom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sz w:val="18"/>
                <w:szCs w:val="18"/>
                <w:lang w:val="hr-HR"/>
              </w:rPr>
            </w:pPr>
          </w:p>
        </w:tc>
        <w:tc>
          <w:tcPr>
            <w:tcW w:w="1134" w:type="dxa"/>
            <w:tcBorders>
              <w:top w:val="single" w:sz="12" w:space="0" w:color="auto"/>
              <w:left w:val="nil"/>
              <w:bottom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48"/>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Kratkotrajna imovina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p>
        </w:tc>
      </w:tr>
      <w:tr w:rsidR="00B9511A" w:rsidRPr="001567C8" w:rsidTr="003C6BA3">
        <w:trPr>
          <w:trHeight w:val="254"/>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Ulaganja raspoloživa za prodaju</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42.569</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44.370</w:t>
            </w:r>
          </w:p>
        </w:tc>
      </w:tr>
      <w:tr w:rsidR="00B9511A" w:rsidRPr="001567C8" w:rsidTr="003C6BA3">
        <w:trPr>
          <w:trHeight w:val="254"/>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Ulaganja po fer vrijednosti kroz IDG</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291</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291</w:t>
            </w:r>
          </w:p>
        </w:tc>
      </w:tr>
      <w:tr w:rsidR="00B9511A" w:rsidRPr="001567C8" w:rsidTr="003C6BA3">
        <w:trPr>
          <w:trHeight w:val="254"/>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Depoziti u bankama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w:t>
            </w:r>
          </w:p>
        </w:tc>
      </w:tr>
      <w:tr w:rsidR="00B9511A" w:rsidRPr="001567C8" w:rsidTr="003C6BA3">
        <w:trPr>
          <w:trHeight w:val="254"/>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Potraživanja iz poslova osiguranja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8.123</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6.631</w:t>
            </w:r>
          </w:p>
        </w:tc>
      </w:tr>
      <w:tr w:rsidR="00B9511A" w:rsidRPr="001567C8" w:rsidTr="003C6BA3">
        <w:trPr>
          <w:trHeight w:val="254"/>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Ostala potraživanja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446</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385</w:t>
            </w:r>
          </w:p>
        </w:tc>
      </w:tr>
      <w:tr w:rsidR="00B9511A" w:rsidRPr="001567C8" w:rsidTr="003C6BA3">
        <w:trPr>
          <w:trHeight w:val="254"/>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Novac i novčani ekvivalenti</w:t>
            </w:r>
          </w:p>
        </w:tc>
        <w:tc>
          <w:tcPr>
            <w:tcW w:w="1276" w:type="dxa"/>
            <w:tcBorders>
              <w:top w:val="nil"/>
              <w:left w:val="nil"/>
              <w:bottom w:val="single" w:sz="4" w:space="0" w:color="auto"/>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3.363</w:t>
            </w:r>
          </w:p>
        </w:tc>
        <w:tc>
          <w:tcPr>
            <w:tcW w:w="1134" w:type="dxa"/>
            <w:tcBorders>
              <w:top w:val="nil"/>
              <w:left w:val="nil"/>
              <w:bottom w:val="single" w:sz="4" w:space="0" w:color="auto"/>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2.534</w:t>
            </w:r>
          </w:p>
        </w:tc>
      </w:tr>
      <w:tr w:rsidR="00B9511A" w:rsidRPr="001567C8" w:rsidTr="003C6BA3">
        <w:trPr>
          <w:trHeight w:val="190"/>
        </w:trPr>
        <w:tc>
          <w:tcPr>
            <w:tcW w:w="6062"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Ukupna kratkotrajna imovina</w:t>
            </w:r>
          </w:p>
        </w:tc>
        <w:tc>
          <w:tcPr>
            <w:tcW w:w="1276"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bCs/>
                <w:sz w:val="17"/>
                <w:szCs w:val="17"/>
                <w:lang w:val="hr-HR"/>
              </w:rPr>
              <w:t>54.792</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54.211</w:t>
            </w:r>
          </w:p>
        </w:tc>
      </w:tr>
      <w:tr w:rsidR="00B9511A" w:rsidRPr="001567C8" w:rsidTr="003C6BA3">
        <w:trPr>
          <w:trHeight w:val="56"/>
        </w:trPr>
        <w:tc>
          <w:tcPr>
            <w:tcW w:w="6062"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single" w:sz="12" w:space="0" w:color="auto"/>
              <w:left w:val="nil"/>
              <w:bottom w:val="single" w:sz="4" w:space="0" w:color="auto"/>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sz w:val="18"/>
                <w:szCs w:val="18"/>
                <w:lang w:val="hr-HR"/>
              </w:rPr>
            </w:pPr>
          </w:p>
        </w:tc>
        <w:tc>
          <w:tcPr>
            <w:tcW w:w="1134" w:type="dxa"/>
            <w:tcBorders>
              <w:top w:val="single" w:sz="12" w:space="0" w:color="auto"/>
              <w:left w:val="nil"/>
              <w:bottom w:val="single" w:sz="4" w:space="0" w:color="auto"/>
              <w:right w:val="nil"/>
            </w:tcBorders>
            <w:shd w:val="clear" w:color="auto" w:fill="auto"/>
            <w:vAlign w:val="bottom"/>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220"/>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Ukupna imovina</w:t>
            </w:r>
          </w:p>
        </w:tc>
        <w:tc>
          <w:tcPr>
            <w:tcW w:w="1276"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bCs/>
                <w:sz w:val="17"/>
                <w:szCs w:val="17"/>
                <w:lang w:val="hr-HR"/>
              </w:rPr>
              <w:t>56.226</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55.884</w:t>
            </w:r>
          </w:p>
        </w:tc>
      </w:tr>
      <w:tr w:rsidR="00B9511A" w:rsidRPr="001567C8" w:rsidTr="003C6BA3">
        <w:trPr>
          <w:trHeight w:val="74"/>
        </w:trPr>
        <w:tc>
          <w:tcPr>
            <w:tcW w:w="6062" w:type="dxa"/>
            <w:tcBorders>
              <w:top w:val="nil"/>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single" w:sz="12" w:space="0" w:color="auto"/>
              <w:left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bCs/>
                <w:sz w:val="18"/>
                <w:szCs w:val="18"/>
                <w:lang w:val="hr-HR"/>
              </w:rPr>
            </w:pPr>
          </w:p>
        </w:tc>
        <w:tc>
          <w:tcPr>
            <w:tcW w:w="1134" w:type="dxa"/>
            <w:tcBorders>
              <w:top w:val="single" w:sz="12" w:space="0" w:color="auto"/>
              <w:left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bCs/>
                <w:sz w:val="18"/>
                <w:szCs w:val="18"/>
                <w:lang w:val="hr-HR"/>
              </w:rPr>
            </w:pPr>
          </w:p>
        </w:tc>
      </w:tr>
      <w:tr w:rsidR="00B9511A" w:rsidRPr="001567C8" w:rsidTr="003C6BA3">
        <w:trPr>
          <w:trHeight w:val="196"/>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Kapital i obveze</w:t>
            </w:r>
          </w:p>
        </w:tc>
        <w:tc>
          <w:tcPr>
            <w:tcW w:w="1276" w:type="dxa"/>
            <w:tcBorders>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bCs/>
                <w:sz w:val="18"/>
                <w:szCs w:val="18"/>
                <w:lang w:val="hr-HR"/>
              </w:rPr>
            </w:pPr>
          </w:p>
        </w:tc>
        <w:tc>
          <w:tcPr>
            <w:tcW w:w="1134" w:type="dxa"/>
            <w:tcBorders>
              <w:left w:val="nil"/>
              <w:bottom w:val="nil"/>
              <w:right w:val="nil"/>
            </w:tcBorders>
            <w:shd w:val="clear" w:color="auto" w:fill="auto"/>
            <w:vAlign w:val="bottom"/>
          </w:tcPr>
          <w:p w:rsidR="00B9511A" w:rsidRPr="001567C8" w:rsidRDefault="00B9511A" w:rsidP="00B9511A">
            <w:pPr>
              <w:jc w:val="right"/>
              <w:rPr>
                <w:rFonts w:asciiTheme="minorHAnsi" w:hAnsiTheme="minorHAnsi" w:cs="Arial"/>
                <w:bCs/>
                <w:sz w:val="18"/>
                <w:szCs w:val="18"/>
                <w:lang w:val="hr-HR"/>
              </w:rPr>
            </w:pPr>
          </w:p>
        </w:tc>
      </w:tr>
      <w:tr w:rsidR="00B9511A" w:rsidRPr="001567C8" w:rsidTr="003C6BA3">
        <w:trPr>
          <w:trHeight w:val="186"/>
        </w:trPr>
        <w:tc>
          <w:tcPr>
            <w:tcW w:w="6062" w:type="dxa"/>
            <w:tcBorders>
              <w:top w:val="nil"/>
              <w:left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Kapital</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p>
        </w:tc>
      </w:tr>
      <w:tr w:rsidR="00B9511A" w:rsidRPr="001567C8" w:rsidTr="003C6BA3">
        <w:trPr>
          <w:trHeight w:val="186"/>
        </w:trPr>
        <w:tc>
          <w:tcPr>
            <w:tcW w:w="6062"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Temeljni kapital</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37.500</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37.500</w:t>
            </w:r>
          </w:p>
        </w:tc>
      </w:tr>
      <w:tr w:rsidR="00B9511A" w:rsidRPr="001567C8" w:rsidTr="003C6BA3">
        <w:trPr>
          <w:trHeight w:val="186"/>
        </w:trPr>
        <w:tc>
          <w:tcPr>
            <w:tcW w:w="6062"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Akumulirani gubitak</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2.237</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1.167</w:t>
            </w:r>
          </w:p>
        </w:tc>
      </w:tr>
      <w:tr w:rsidR="00B9511A" w:rsidRPr="001567C8" w:rsidTr="003C6BA3">
        <w:trPr>
          <w:trHeight w:val="186"/>
        </w:trPr>
        <w:tc>
          <w:tcPr>
            <w:tcW w:w="6062"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Ostale rezerve</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3.049</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2.999</w:t>
            </w:r>
          </w:p>
        </w:tc>
      </w:tr>
      <w:tr w:rsidR="00B9511A" w:rsidRPr="001567C8" w:rsidTr="003C6BA3">
        <w:trPr>
          <w:trHeight w:val="186"/>
        </w:trPr>
        <w:tc>
          <w:tcPr>
            <w:tcW w:w="6062"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 xml:space="preserve">Dobit tekuće </w:t>
            </w:r>
            <w:r w:rsidR="00CF079F" w:rsidRPr="001567C8">
              <w:rPr>
                <w:rFonts w:asciiTheme="minorHAnsi" w:hAnsiTheme="minorHAnsi" w:cs="Arial"/>
                <w:sz w:val="18"/>
                <w:szCs w:val="18"/>
                <w:lang w:val="hr-HR"/>
              </w:rPr>
              <w:t>godine</w:t>
            </w:r>
          </w:p>
        </w:tc>
        <w:tc>
          <w:tcPr>
            <w:tcW w:w="1276" w:type="dxa"/>
            <w:tcBorders>
              <w:top w:val="nil"/>
              <w:left w:val="nil"/>
              <w:bottom w:val="single" w:sz="4" w:space="0" w:color="auto"/>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481</w:t>
            </w:r>
          </w:p>
        </w:tc>
        <w:tc>
          <w:tcPr>
            <w:tcW w:w="1134" w:type="dxa"/>
            <w:tcBorders>
              <w:top w:val="nil"/>
              <w:left w:val="nil"/>
              <w:bottom w:val="single" w:sz="4" w:space="0" w:color="auto"/>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1.417</w:t>
            </w:r>
          </w:p>
        </w:tc>
      </w:tr>
      <w:tr w:rsidR="00B9511A" w:rsidRPr="001567C8" w:rsidTr="003C6BA3">
        <w:trPr>
          <w:trHeight w:val="166"/>
        </w:trPr>
        <w:tc>
          <w:tcPr>
            <w:tcW w:w="6062"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Ukupan kapital</w:t>
            </w:r>
          </w:p>
        </w:tc>
        <w:tc>
          <w:tcPr>
            <w:tcW w:w="1276"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bCs/>
                <w:sz w:val="17"/>
                <w:szCs w:val="17"/>
                <w:lang w:val="hr-HR"/>
              </w:rPr>
              <w:t>43.267</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43.083</w:t>
            </w:r>
          </w:p>
        </w:tc>
      </w:tr>
      <w:tr w:rsidR="00B9511A" w:rsidRPr="001567C8" w:rsidTr="003C6BA3">
        <w:trPr>
          <w:trHeight w:val="96"/>
        </w:trPr>
        <w:tc>
          <w:tcPr>
            <w:tcW w:w="6062"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single" w:sz="12" w:space="0" w:color="auto"/>
              <w:left w:val="nil"/>
              <w:bottom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sz w:val="18"/>
                <w:szCs w:val="18"/>
                <w:lang w:val="hr-HR"/>
              </w:rPr>
            </w:pPr>
          </w:p>
        </w:tc>
        <w:tc>
          <w:tcPr>
            <w:tcW w:w="1134" w:type="dxa"/>
            <w:tcBorders>
              <w:top w:val="single" w:sz="12" w:space="0" w:color="auto"/>
              <w:left w:val="nil"/>
              <w:bottom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64"/>
        </w:trPr>
        <w:tc>
          <w:tcPr>
            <w:tcW w:w="6062" w:type="dxa"/>
            <w:tcBorders>
              <w:top w:val="nil"/>
              <w:left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Tehničke pričuve</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p>
        </w:tc>
      </w:tr>
      <w:tr w:rsidR="00B9511A" w:rsidRPr="001567C8" w:rsidTr="003C6BA3">
        <w:trPr>
          <w:trHeight w:val="164"/>
        </w:trPr>
        <w:tc>
          <w:tcPr>
            <w:tcW w:w="6062"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Bruto tehničke pričuve</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16.969</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16.726</w:t>
            </w:r>
          </w:p>
        </w:tc>
      </w:tr>
      <w:tr w:rsidR="00B9511A" w:rsidRPr="001567C8" w:rsidTr="003C6BA3">
        <w:trPr>
          <w:trHeight w:val="164"/>
        </w:trPr>
        <w:tc>
          <w:tcPr>
            <w:tcW w:w="6062"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Tehničke pričuve – udio reosiguranja</w:t>
            </w:r>
          </w:p>
        </w:tc>
        <w:tc>
          <w:tcPr>
            <w:tcW w:w="1276" w:type="dxa"/>
            <w:tcBorders>
              <w:top w:val="nil"/>
              <w:left w:val="nil"/>
              <w:bottom w:val="single" w:sz="4" w:space="0" w:color="auto"/>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(8.721)</w:t>
            </w:r>
          </w:p>
        </w:tc>
        <w:tc>
          <w:tcPr>
            <w:tcW w:w="1134" w:type="dxa"/>
            <w:tcBorders>
              <w:top w:val="nil"/>
              <w:left w:val="nil"/>
              <w:bottom w:val="single" w:sz="4" w:space="0" w:color="auto"/>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(7.873)</w:t>
            </w:r>
          </w:p>
        </w:tc>
      </w:tr>
      <w:tr w:rsidR="00B9511A" w:rsidRPr="001567C8" w:rsidTr="003C6BA3">
        <w:trPr>
          <w:trHeight w:val="182"/>
        </w:trPr>
        <w:tc>
          <w:tcPr>
            <w:tcW w:w="6062"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p>
        </w:tc>
        <w:tc>
          <w:tcPr>
            <w:tcW w:w="1276"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bCs/>
                <w:sz w:val="17"/>
                <w:szCs w:val="17"/>
                <w:lang w:val="hr-HR"/>
              </w:rPr>
              <w:t>8.248</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8.853</w:t>
            </w:r>
          </w:p>
        </w:tc>
      </w:tr>
      <w:tr w:rsidR="00B9511A" w:rsidRPr="001567C8" w:rsidTr="003C6BA3">
        <w:trPr>
          <w:trHeight w:val="121"/>
        </w:trPr>
        <w:tc>
          <w:tcPr>
            <w:tcW w:w="6062"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single" w:sz="12" w:space="0" w:color="auto"/>
              <w:left w:val="nil"/>
              <w:bottom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sz w:val="18"/>
                <w:szCs w:val="18"/>
                <w:lang w:val="hr-HR"/>
              </w:rPr>
            </w:pPr>
          </w:p>
        </w:tc>
        <w:tc>
          <w:tcPr>
            <w:tcW w:w="1134" w:type="dxa"/>
            <w:tcBorders>
              <w:top w:val="single" w:sz="12" w:space="0" w:color="auto"/>
              <w:left w:val="nil"/>
              <w:bottom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240"/>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Kratkotrajne obveze</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p>
        </w:tc>
      </w:tr>
      <w:tr w:rsidR="00B9511A" w:rsidRPr="001567C8" w:rsidTr="003C6BA3">
        <w:trPr>
          <w:trHeight w:val="145"/>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Obveze iz poslova osiguranja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2.549</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1.183</w:t>
            </w:r>
          </w:p>
        </w:tc>
      </w:tr>
      <w:tr w:rsidR="00B9511A" w:rsidRPr="001567C8" w:rsidTr="003C6BA3">
        <w:trPr>
          <w:trHeight w:val="204"/>
        </w:trPr>
        <w:tc>
          <w:tcPr>
            <w:tcW w:w="6062"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Ostale obveze</w:t>
            </w:r>
          </w:p>
        </w:tc>
        <w:tc>
          <w:tcPr>
            <w:tcW w:w="1276" w:type="dxa"/>
            <w:tcBorders>
              <w:top w:val="nil"/>
              <w:left w:val="nil"/>
              <w:bottom w:val="single" w:sz="4" w:space="0" w:color="auto"/>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sz w:val="17"/>
                <w:szCs w:val="17"/>
                <w:lang w:val="hr-HR"/>
              </w:rPr>
              <w:t>2.162</w:t>
            </w:r>
          </w:p>
        </w:tc>
        <w:tc>
          <w:tcPr>
            <w:tcW w:w="1134" w:type="dxa"/>
            <w:tcBorders>
              <w:top w:val="nil"/>
              <w:left w:val="nil"/>
              <w:bottom w:val="single" w:sz="4" w:space="0" w:color="auto"/>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2.765</w:t>
            </w:r>
          </w:p>
        </w:tc>
      </w:tr>
      <w:tr w:rsidR="00B9511A" w:rsidRPr="001567C8" w:rsidTr="003C6BA3">
        <w:trPr>
          <w:trHeight w:val="144"/>
        </w:trPr>
        <w:tc>
          <w:tcPr>
            <w:tcW w:w="6062"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Ukupno obveze</w:t>
            </w:r>
          </w:p>
        </w:tc>
        <w:tc>
          <w:tcPr>
            <w:tcW w:w="1276"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bCs/>
                <w:sz w:val="17"/>
                <w:szCs w:val="17"/>
                <w:lang w:val="hr-HR"/>
              </w:rPr>
              <w:t>4.711</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3.948</w:t>
            </w:r>
          </w:p>
        </w:tc>
      </w:tr>
      <w:tr w:rsidR="00B9511A" w:rsidRPr="001567C8" w:rsidTr="003C6BA3">
        <w:trPr>
          <w:trHeight w:val="56"/>
        </w:trPr>
        <w:tc>
          <w:tcPr>
            <w:tcW w:w="6062" w:type="dxa"/>
            <w:tcBorders>
              <w:left w:val="nil"/>
              <w:right w:val="nil"/>
            </w:tcBorders>
            <w:shd w:val="clear" w:color="auto" w:fill="auto"/>
            <w:vAlign w:val="bottom"/>
          </w:tcPr>
          <w:p w:rsidR="00B9511A" w:rsidRPr="001567C8" w:rsidRDefault="00B9511A" w:rsidP="00B9511A">
            <w:pPr>
              <w:spacing w:line="140" w:lineRule="exact"/>
              <w:rPr>
                <w:rFonts w:asciiTheme="minorHAnsi" w:hAnsiTheme="minorHAnsi" w:cs="Arial"/>
                <w:b/>
                <w:bCs/>
                <w:sz w:val="18"/>
                <w:szCs w:val="18"/>
                <w:lang w:val="hr-HR"/>
              </w:rPr>
            </w:pPr>
          </w:p>
        </w:tc>
        <w:tc>
          <w:tcPr>
            <w:tcW w:w="1276" w:type="dxa"/>
            <w:tcBorders>
              <w:top w:val="single" w:sz="12" w:space="0" w:color="auto"/>
              <w:left w:val="nil"/>
              <w:bottom w:val="single" w:sz="4" w:space="0" w:color="auto"/>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b/>
                <w:bCs/>
                <w:sz w:val="18"/>
                <w:szCs w:val="18"/>
                <w:lang w:val="hr-HR"/>
              </w:rPr>
            </w:pPr>
          </w:p>
        </w:tc>
        <w:tc>
          <w:tcPr>
            <w:tcW w:w="1134" w:type="dxa"/>
            <w:tcBorders>
              <w:top w:val="single" w:sz="12" w:space="0" w:color="auto"/>
              <w:left w:val="nil"/>
              <w:bottom w:val="single" w:sz="4" w:space="0" w:color="auto"/>
              <w:right w:val="nil"/>
            </w:tcBorders>
            <w:shd w:val="clear" w:color="auto" w:fill="auto"/>
            <w:vAlign w:val="bottom"/>
          </w:tcPr>
          <w:p w:rsidR="00B9511A" w:rsidRPr="001567C8" w:rsidRDefault="00B9511A" w:rsidP="00B9511A">
            <w:pPr>
              <w:spacing w:line="140" w:lineRule="exact"/>
              <w:jc w:val="right"/>
              <w:rPr>
                <w:rFonts w:asciiTheme="minorHAnsi" w:hAnsiTheme="minorHAnsi" w:cs="Arial"/>
                <w:b/>
                <w:bCs/>
                <w:sz w:val="18"/>
                <w:szCs w:val="18"/>
                <w:lang w:val="hr-HR"/>
              </w:rPr>
            </w:pPr>
          </w:p>
        </w:tc>
      </w:tr>
      <w:tr w:rsidR="00B9511A" w:rsidRPr="001567C8" w:rsidTr="003C6BA3">
        <w:trPr>
          <w:trHeight w:val="230"/>
        </w:trPr>
        <w:tc>
          <w:tcPr>
            <w:tcW w:w="6062"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Ukupno kapital i obveze</w:t>
            </w:r>
          </w:p>
        </w:tc>
        <w:tc>
          <w:tcPr>
            <w:tcW w:w="1276"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bCs/>
                <w:sz w:val="17"/>
                <w:szCs w:val="17"/>
                <w:lang w:val="hr-HR"/>
              </w:rPr>
              <w:t>56.226</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55.884</w:t>
            </w:r>
          </w:p>
        </w:tc>
      </w:tr>
    </w:tbl>
    <w:p w:rsidR="00BB3D2C" w:rsidRPr="001567C8" w:rsidRDefault="00BB3D2C" w:rsidP="001E1400">
      <w:pPr>
        <w:spacing w:before="120" w:line="300" w:lineRule="exact"/>
        <w:rPr>
          <w:rFonts w:asciiTheme="minorHAnsi" w:hAnsiTheme="minorHAnsi"/>
          <w:b/>
          <w:sz w:val="22"/>
          <w:szCs w:val="22"/>
          <w:lang w:val="hr-HR"/>
        </w:rPr>
      </w:pPr>
    </w:p>
    <w:p w:rsidR="00BB3D2C" w:rsidRPr="001567C8" w:rsidRDefault="00BB3D2C" w:rsidP="00DC6688">
      <w:pPr>
        <w:rPr>
          <w:rFonts w:asciiTheme="minorHAnsi" w:hAnsiTheme="minorHAnsi"/>
          <w:sz w:val="22"/>
          <w:szCs w:val="22"/>
          <w:lang w:val="hr-HR"/>
        </w:rPr>
      </w:pPr>
    </w:p>
    <w:p w:rsidR="00BB3D2C" w:rsidRPr="001567C8" w:rsidRDefault="00BB3D2C" w:rsidP="00DC6688">
      <w:pPr>
        <w:ind w:firstLine="680"/>
        <w:rPr>
          <w:rFonts w:asciiTheme="minorHAnsi" w:hAnsiTheme="minorHAnsi"/>
          <w:sz w:val="22"/>
          <w:szCs w:val="22"/>
          <w:lang w:val="hr-HR"/>
        </w:rPr>
      </w:pPr>
    </w:p>
    <w:p w:rsidR="00BB3D2C" w:rsidRPr="001567C8" w:rsidRDefault="00BB3D2C" w:rsidP="00DC6688">
      <w:pPr>
        <w:rPr>
          <w:rFonts w:asciiTheme="minorHAnsi" w:hAnsiTheme="minorHAnsi"/>
          <w:sz w:val="22"/>
          <w:szCs w:val="22"/>
          <w:lang w:val="hr-HR"/>
        </w:rPr>
      </w:pPr>
    </w:p>
    <w:p w:rsidR="00BB3D2C" w:rsidRPr="001567C8" w:rsidRDefault="00BB3D2C" w:rsidP="00DC6688">
      <w:pPr>
        <w:rPr>
          <w:rFonts w:asciiTheme="minorHAnsi" w:hAnsiTheme="minorHAnsi"/>
          <w:sz w:val="22"/>
          <w:szCs w:val="22"/>
          <w:lang w:val="hr-HR"/>
        </w:rPr>
      </w:pPr>
    </w:p>
    <w:p w:rsidR="00BB3D2C" w:rsidRPr="001567C8" w:rsidRDefault="00BB3D2C" w:rsidP="00DC6688">
      <w:pPr>
        <w:rPr>
          <w:rFonts w:asciiTheme="minorHAnsi" w:hAnsiTheme="minorHAnsi"/>
          <w:sz w:val="22"/>
          <w:szCs w:val="22"/>
          <w:lang w:val="hr-HR"/>
        </w:rPr>
      </w:pPr>
    </w:p>
    <w:p w:rsidR="00BB3D2C" w:rsidRPr="001567C8" w:rsidRDefault="00BB3D2C" w:rsidP="00DC6688">
      <w:pPr>
        <w:rPr>
          <w:rFonts w:asciiTheme="minorHAnsi" w:hAnsiTheme="minorHAnsi"/>
          <w:sz w:val="22"/>
          <w:szCs w:val="22"/>
          <w:lang w:val="hr-HR"/>
        </w:rPr>
      </w:pPr>
    </w:p>
    <w:p w:rsidR="00BB3D2C" w:rsidRPr="001567C8" w:rsidRDefault="00BB3D2C" w:rsidP="00DC6688">
      <w:pPr>
        <w:rPr>
          <w:rFonts w:asciiTheme="minorHAnsi" w:hAnsiTheme="minorHAnsi"/>
          <w:sz w:val="22"/>
          <w:szCs w:val="22"/>
          <w:lang w:val="hr-HR"/>
        </w:rPr>
      </w:pPr>
    </w:p>
    <w:p w:rsidR="00A22362" w:rsidRPr="001567C8" w:rsidRDefault="00A22362" w:rsidP="00DC6688">
      <w:pPr>
        <w:rPr>
          <w:rFonts w:asciiTheme="minorHAnsi" w:hAnsiTheme="minorHAnsi"/>
          <w:sz w:val="22"/>
          <w:szCs w:val="22"/>
          <w:lang w:val="hr-HR"/>
        </w:rPr>
        <w:sectPr w:rsidR="00A22362" w:rsidRPr="001567C8" w:rsidSect="0077198A">
          <w:headerReference w:type="default" r:id="rId81"/>
          <w:pgSz w:w="11907" w:h="16840" w:code="9"/>
          <w:pgMar w:top="1418" w:right="1134" w:bottom="1134" w:left="1418" w:header="851" w:footer="851" w:gutter="0"/>
          <w:cols w:space="720"/>
          <w:noEndnote/>
        </w:sectPr>
      </w:pPr>
    </w:p>
    <w:p w:rsidR="008217AF" w:rsidRPr="001567C8" w:rsidRDefault="008217AF" w:rsidP="001E1400">
      <w:pPr>
        <w:spacing w:before="120" w:line="300" w:lineRule="exact"/>
        <w:rPr>
          <w:rFonts w:asciiTheme="minorHAnsi" w:hAnsiTheme="minorHAnsi"/>
          <w:b/>
          <w:sz w:val="22"/>
          <w:szCs w:val="22"/>
          <w:lang w:val="hr-HR"/>
        </w:rPr>
      </w:pPr>
    </w:p>
    <w:tbl>
      <w:tblPr>
        <w:tblpPr w:leftFromText="181" w:rightFromText="181" w:vertAnchor="text" w:horzAnchor="margin" w:tblpXSpec="center" w:tblpY="1"/>
        <w:tblW w:w="8647" w:type="dxa"/>
        <w:tblLayout w:type="fixed"/>
        <w:tblLook w:val="04A0" w:firstRow="1" w:lastRow="0" w:firstColumn="1" w:lastColumn="0" w:noHBand="0" w:noVBand="1"/>
      </w:tblPr>
      <w:tblGrid>
        <w:gridCol w:w="6237"/>
        <w:gridCol w:w="1276"/>
        <w:gridCol w:w="1134"/>
      </w:tblGrid>
      <w:tr w:rsidR="00BB3D2C" w:rsidRPr="001567C8" w:rsidTr="00BB3D2C">
        <w:trPr>
          <w:trHeight w:val="66"/>
        </w:trPr>
        <w:tc>
          <w:tcPr>
            <w:tcW w:w="6237" w:type="dxa"/>
            <w:tcBorders>
              <w:left w:val="nil"/>
              <w:right w:val="nil"/>
            </w:tcBorders>
            <w:shd w:val="clear" w:color="auto" w:fill="auto"/>
          </w:tcPr>
          <w:p w:rsidR="00BB3D2C" w:rsidRPr="001567C8" w:rsidRDefault="00BB3D2C" w:rsidP="00BB3D2C">
            <w:pPr>
              <w:spacing w:line="140" w:lineRule="exact"/>
              <w:rPr>
                <w:rFonts w:asciiTheme="minorHAnsi" w:hAnsiTheme="minorHAnsi" w:cs="Arial"/>
                <w:sz w:val="18"/>
                <w:szCs w:val="18"/>
                <w:lang w:val="hr-HR"/>
              </w:rPr>
            </w:pPr>
          </w:p>
        </w:tc>
        <w:tc>
          <w:tcPr>
            <w:tcW w:w="1276" w:type="dxa"/>
            <w:tcBorders>
              <w:left w:val="nil"/>
              <w:right w:val="nil"/>
            </w:tcBorders>
            <w:shd w:val="clear" w:color="auto" w:fill="auto"/>
          </w:tcPr>
          <w:p w:rsidR="00BB3D2C" w:rsidRPr="001567C8" w:rsidRDefault="00BB3D2C" w:rsidP="00BB3D2C">
            <w:pPr>
              <w:spacing w:line="140" w:lineRule="exact"/>
              <w:jc w:val="right"/>
              <w:rPr>
                <w:rFonts w:asciiTheme="minorHAnsi" w:hAnsiTheme="minorHAnsi" w:cs="Arial"/>
                <w:sz w:val="18"/>
                <w:szCs w:val="18"/>
                <w:lang w:val="hr-HR"/>
              </w:rPr>
            </w:pPr>
          </w:p>
        </w:tc>
        <w:tc>
          <w:tcPr>
            <w:tcW w:w="1134" w:type="dxa"/>
            <w:tcBorders>
              <w:left w:val="nil"/>
              <w:right w:val="nil"/>
            </w:tcBorders>
          </w:tcPr>
          <w:p w:rsidR="00BB3D2C" w:rsidRPr="001567C8" w:rsidRDefault="00BB3D2C" w:rsidP="00BB3D2C">
            <w:pPr>
              <w:spacing w:line="140" w:lineRule="exact"/>
              <w:jc w:val="right"/>
              <w:rPr>
                <w:rFonts w:asciiTheme="minorHAnsi" w:hAnsiTheme="minorHAnsi" w:cs="Arial"/>
                <w:sz w:val="18"/>
                <w:szCs w:val="18"/>
                <w:lang w:val="hr-HR"/>
              </w:rPr>
            </w:pPr>
          </w:p>
        </w:tc>
      </w:tr>
      <w:tr w:rsidR="00CF4603" w:rsidRPr="001567C8" w:rsidTr="00CF4603">
        <w:trPr>
          <w:trHeight w:val="119"/>
        </w:trPr>
        <w:tc>
          <w:tcPr>
            <w:tcW w:w="6237" w:type="dxa"/>
            <w:tcBorders>
              <w:left w:val="nil"/>
              <w:bottom w:val="nil"/>
              <w:right w:val="nil"/>
            </w:tcBorders>
            <w:shd w:val="clear" w:color="auto" w:fill="auto"/>
            <w:vAlign w:val="bottom"/>
          </w:tcPr>
          <w:p w:rsidR="00CF4603" w:rsidRPr="001567C8" w:rsidRDefault="00CF4603" w:rsidP="00CF4603">
            <w:pPr>
              <w:rPr>
                <w:rFonts w:asciiTheme="minorHAnsi" w:hAnsiTheme="minorHAnsi" w:cs="Arial"/>
                <w:b/>
                <w:bCs/>
                <w:sz w:val="18"/>
                <w:szCs w:val="18"/>
                <w:lang w:val="hr-HR"/>
              </w:rPr>
            </w:pPr>
          </w:p>
        </w:tc>
        <w:tc>
          <w:tcPr>
            <w:tcW w:w="1276" w:type="dxa"/>
            <w:tcBorders>
              <w:left w:val="nil"/>
              <w:bottom w:val="nil"/>
              <w:right w:val="nil"/>
            </w:tcBorders>
            <w:shd w:val="clear" w:color="auto" w:fill="auto"/>
            <w:noWrap/>
            <w:vAlign w:val="bottom"/>
          </w:tcPr>
          <w:p w:rsidR="00CF4603" w:rsidRPr="001567C8" w:rsidRDefault="00B9511A"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2018</w:t>
            </w:r>
            <w:r w:rsidR="00CF4603" w:rsidRPr="001567C8">
              <w:rPr>
                <w:rFonts w:asciiTheme="minorHAnsi" w:hAnsiTheme="minorHAnsi" w:cs="Arial"/>
                <w:b/>
                <w:bCs/>
                <w:sz w:val="18"/>
                <w:szCs w:val="18"/>
                <w:lang w:val="hr-HR"/>
              </w:rPr>
              <w:t>.</w:t>
            </w:r>
          </w:p>
        </w:tc>
        <w:tc>
          <w:tcPr>
            <w:tcW w:w="1134" w:type="dxa"/>
            <w:tcBorders>
              <w:left w:val="nil"/>
              <w:bottom w:val="nil"/>
              <w:right w:val="nil"/>
            </w:tcBorders>
            <w:shd w:val="clear" w:color="auto" w:fill="auto"/>
            <w:vAlign w:val="bottom"/>
          </w:tcPr>
          <w:p w:rsidR="00CF4603" w:rsidRPr="001567C8" w:rsidRDefault="00B9511A"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2017</w:t>
            </w:r>
            <w:r w:rsidR="00CF4603" w:rsidRPr="001567C8">
              <w:rPr>
                <w:rFonts w:asciiTheme="minorHAnsi" w:hAnsiTheme="minorHAnsi" w:cs="Arial"/>
                <w:b/>
                <w:bCs/>
                <w:sz w:val="18"/>
                <w:szCs w:val="18"/>
                <w:lang w:val="hr-HR"/>
              </w:rPr>
              <w:t>.</w:t>
            </w:r>
          </w:p>
        </w:tc>
      </w:tr>
      <w:tr w:rsidR="00CF4603" w:rsidRPr="001567C8" w:rsidTr="00CF4603">
        <w:trPr>
          <w:trHeight w:val="95"/>
        </w:trPr>
        <w:tc>
          <w:tcPr>
            <w:tcW w:w="6237" w:type="dxa"/>
            <w:tcBorders>
              <w:left w:val="nil"/>
              <w:bottom w:val="nil"/>
              <w:right w:val="nil"/>
            </w:tcBorders>
            <w:shd w:val="clear" w:color="auto" w:fill="auto"/>
            <w:vAlign w:val="bottom"/>
          </w:tcPr>
          <w:p w:rsidR="00CF4603" w:rsidRPr="001567C8" w:rsidRDefault="00CF4603" w:rsidP="00CF4603">
            <w:pPr>
              <w:rPr>
                <w:rFonts w:asciiTheme="minorHAnsi" w:hAnsiTheme="minorHAnsi" w:cs="Arial"/>
                <w:b/>
                <w:bCs/>
                <w:sz w:val="18"/>
                <w:szCs w:val="18"/>
                <w:lang w:val="hr-HR"/>
              </w:rPr>
            </w:pPr>
          </w:p>
        </w:tc>
        <w:tc>
          <w:tcPr>
            <w:tcW w:w="1276" w:type="dxa"/>
            <w:tcBorders>
              <w:left w:val="nil"/>
              <w:bottom w:val="nil"/>
              <w:right w:val="nil"/>
            </w:tcBorders>
            <w:shd w:val="clear" w:color="auto" w:fill="auto"/>
            <w:noWrap/>
            <w:vAlign w:val="bottom"/>
          </w:tcPr>
          <w:p w:rsidR="00CF4603" w:rsidRPr="001567C8" w:rsidRDefault="00CF4603"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000 kuna</w:t>
            </w:r>
          </w:p>
        </w:tc>
        <w:tc>
          <w:tcPr>
            <w:tcW w:w="1134" w:type="dxa"/>
            <w:tcBorders>
              <w:left w:val="nil"/>
              <w:bottom w:val="nil"/>
              <w:right w:val="nil"/>
            </w:tcBorders>
            <w:shd w:val="clear" w:color="auto" w:fill="auto"/>
            <w:vAlign w:val="bottom"/>
          </w:tcPr>
          <w:p w:rsidR="00CF4603" w:rsidRPr="001567C8" w:rsidRDefault="00CF4603" w:rsidP="00CF4603">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000 kuna</w:t>
            </w:r>
          </w:p>
        </w:tc>
      </w:tr>
      <w:tr w:rsidR="00CF4603" w:rsidRPr="001567C8" w:rsidTr="00CF4603">
        <w:trPr>
          <w:trHeight w:val="59"/>
        </w:trPr>
        <w:tc>
          <w:tcPr>
            <w:tcW w:w="6237" w:type="dxa"/>
            <w:tcBorders>
              <w:top w:val="nil"/>
              <w:left w:val="nil"/>
              <w:bottom w:val="nil"/>
              <w:right w:val="nil"/>
            </w:tcBorders>
            <w:shd w:val="clear" w:color="auto" w:fill="auto"/>
            <w:vAlign w:val="bottom"/>
          </w:tcPr>
          <w:p w:rsidR="00CF4603" w:rsidRPr="001567C8" w:rsidRDefault="00CF4603" w:rsidP="00CF4603">
            <w:pPr>
              <w:spacing w:line="140" w:lineRule="exact"/>
              <w:rPr>
                <w:rFonts w:asciiTheme="minorHAnsi" w:hAnsiTheme="minorHAnsi" w:cs="Arial"/>
                <w:sz w:val="18"/>
                <w:szCs w:val="18"/>
                <w:lang w:val="hr-HR"/>
              </w:rPr>
            </w:pPr>
          </w:p>
        </w:tc>
        <w:tc>
          <w:tcPr>
            <w:tcW w:w="1276" w:type="dxa"/>
            <w:tcBorders>
              <w:top w:val="nil"/>
              <w:left w:val="nil"/>
              <w:bottom w:val="nil"/>
              <w:right w:val="nil"/>
            </w:tcBorders>
            <w:shd w:val="clear" w:color="auto" w:fill="auto"/>
            <w:noWrap/>
            <w:vAlign w:val="bottom"/>
          </w:tcPr>
          <w:p w:rsidR="00CF4603" w:rsidRPr="001567C8" w:rsidRDefault="00CF4603" w:rsidP="00CF4603">
            <w:pPr>
              <w:spacing w:line="140" w:lineRule="exac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CF4603" w:rsidRPr="001567C8" w:rsidRDefault="00CF4603" w:rsidP="00CF4603">
            <w:pPr>
              <w:spacing w:line="140" w:lineRule="exact"/>
              <w:rPr>
                <w:rFonts w:asciiTheme="minorHAnsi" w:hAnsiTheme="minorHAnsi" w:cs="Arial"/>
                <w:sz w:val="18"/>
                <w:szCs w:val="18"/>
                <w:lang w:val="hr-HR"/>
              </w:rPr>
            </w:pPr>
          </w:p>
        </w:tc>
      </w:tr>
      <w:tr w:rsidR="00CF4603" w:rsidRPr="001567C8" w:rsidTr="00CF4603">
        <w:trPr>
          <w:trHeight w:val="109"/>
        </w:trPr>
        <w:tc>
          <w:tcPr>
            <w:tcW w:w="6237" w:type="dxa"/>
            <w:tcBorders>
              <w:top w:val="nil"/>
              <w:left w:val="nil"/>
              <w:bottom w:val="nil"/>
              <w:right w:val="nil"/>
            </w:tcBorders>
            <w:shd w:val="clear" w:color="auto" w:fill="auto"/>
            <w:vAlign w:val="bottom"/>
          </w:tcPr>
          <w:p w:rsidR="00CF4603" w:rsidRPr="001567C8" w:rsidRDefault="00CF4603" w:rsidP="00CF4603">
            <w:pPr>
              <w:rPr>
                <w:rFonts w:asciiTheme="minorHAnsi" w:hAnsiTheme="minorHAnsi" w:cs="Arial"/>
                <w:b/>
                <w:sz w:val="18"/>
                <w:szCs w:val="18"/>
                <w:lang w:val="hr-HR"/>
              </w:rPr>
            </w:pPr>
            <w:r w:rsidRPr="001567C8">
              <w:rPr>
                <w:rFonts w:asciiTheme="minorHAnsi" w:hAnsiTheme="minorHAnsi" w:cs="Arial"/>
                <w:b/>
                <w:sz w:val="18"/>
                <w:szCs w:val="18"/>
                <w:lang w:val="hr-HR"/>
              </w:rPr>
              <w:t>Poslovne aktivnosti</w:t>
            </w:r>
          </w:p>
        </w:tc>
        <w:tc>
          <w:tcPr>
            <w:tcW w:w="1276" w:type="dxa"/>
            <w:tcBorders>
              <w:top w:val="nil"/>
              <w:left w:val="nil"/>
              <w:bottom w:val="nil"/>
              <w:right w:val="nil"/>
            </w:tcBorders>
            <w:shd w:val="clear" w:color="auto" w:fill="auto"/>
            <w:noWrap/>
            <w:vAlign w:val="bottom"/>
          </w:tcPr>
          <w:p w:rsidR="00CF4603" w:rsidRPr="001567C8" w:rsidRDefault="00CF4603" w:rsidP="00CF4603">
            <w:pPr>
              <w:jc w:val="righ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CF4603" w:rsidRPr="001567C8" w:rsidRDefault="00CF4603" w:rsidP="00CF4603">
            <w:pPr>
              <w:jc w:val="right"/>
              <w:rPr>
                <w:rFonts w:asciiTheme="minorHAnsi" w:hAnsiTheme="minorHAnsi" w:cs="Arial"/>
                <w:sz w:val="18"/>
                <w:szCs w:val="18"/>
                <w:lang w:val="hr-HR"/>
              </w:rPr>
            </w:pPr>
          </w:p>
        </w:tc>
      </w:tr>
      <w:tr w:rsidR="00B9511A" w:rsidRPr="001567C8" w:rsidTr="003C6BA3">
        <w:trPr>
          <w:trHeight w:val="66"/>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Dobit prije oporezivanja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theme="minorHAnsi"/>
                <w:bCs/>
                <w:sz w:val="17"/>
                <w:szCs w:val="17"/>
                <w:lang w:val="hr-HR"/>
              </w:rPr>
              <w:t>522</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bCs/>
                <w:sz w:val="18"/>
                <w:szCs w:val="18"/>
                <w:lang w:val="hr-HR"/>
              </w:rPr>
            </w:pPr>
            <w:r w:rsidRPr="001567C8">
              <w:rPr>
                <w:rFonts w:asciiTheme="minorHAnsi" w:hAnsiTheme="minorHAnsi" w:cs="Arial"/>
                <w:bCs/>
                <w:sz w:val="18"/>
                <w:szCs w:val="18"/>
                <w:lang w:val="hr-HR"/>
              </w:rPr>
              <w:t>1.520</w:t>
            </w:r>
          </w:p>
        </w:tc>
      </w:tr>
      <w:tr w:rsidR="00B9511A" w:rsidRPr="001567C8" w:rsidTr="003C6BA3">
        <w:trPr>
          <w:trHeight w:val="180"/>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i/>
                <w:sz w:val="18"/>
                <w:szCs w:val="18"/>
                <w:lang w:val="hr-HR"/>
              </w:rPr>
            </w:pPr>
            <w:r w:rsidRPr="001567C8">
              <w:rPr>
                <w:rFonts w:asciiTheme="minorHAnsi" w:hAnsiTheme="minorHAnsi" w:cs="Arial"/>
                <w:i/>
                <w:sz w:val="18"/>
                <w:szCs w:val="18"/>
                <w:lang w:val="hr-HR"/>
              </w:rPr>
              <w:t>Usklađenje na neto novčana sredstva ostvarena i uporabljena za poslovne aktivnosti</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p>
        </w:tc>
      </w:tr>
      <w:tr w:rsidR="00B9511A" w:rsidRPr="001567C8" w:rsidTr="003C6BA3">
        <w:trPr>
          <w:trHeight w:val="180"/>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Amortizacija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45</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58</w:t>
            </w:r>
          </w:p>
        </w:tc>
      </w:tr>
      <w:tr w:rsidR="00B9511A" w:rsidRPr="001567C8" w:rsidTr="003C6BA3">
        <w:trPr>
          <w:trHeight w:val="180"/>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Gubitak od umanjenja vrijednosti i rezerviranja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(32)</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267</w:t>
            </w:r>
          </w:p>
        </w:tc>
      </w:tr>
      <w:tr w:rsidR="00B9511A" w:rsidRPr="001567C8" w:rsidTr="003C6BA3">
        <w:trPr>
          <w:trHeight w:val="18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Porez na dobit</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41</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102</w:t>
            </w:r>
          </w:p>
        </w:tc>
      </w:tr>
      <w:tr w:rsidR="00B9511A" w:rsidRPr="001567C8" w:rsidTr="003C6BA3">
        <w:trPr>
          <w:trHeight w:val="18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Obračunane kamate</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94</w:t>
            </w:r>
          </w:p>
        </w:tc>
        <w:tc>
          <w:tcPr>
            <w:tcW w:w="1134" w:type="dxa"/>
            <w:tcBorders>
              <w:top w:val="nil"/>
              <w:left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37</w:t>
            </w:r>
          </w:p>
        </w:tc>
      </w:tr>
      <w:tr w:rsidR="00B9511A" w:rsidRPr="001567C8" w:rsidTr="003C6BA3">
        <w:trPr>
          <w:trHeight w:val="164"/>
        </w:trPr>
        <w:tc>
          <w:tcPr>
            <w:tcW w:w="6237" w:type="dxa"/>
            <w:tcBorders>
              <w:left w:val="nil"/>
              <w:right w:val="nil"/>
            </w:tcBorders>
            <w:shd w:val="clear" w:color="auto" w:fill="auto"/>
            <w:vAlign w:val="bottom"/>
          </w:tcPr>
          <w:p w:rsidR="00B9511A" w:rsidRPr="001567C8" w:rsidRDefault="00B9511A" w:rsidP="00B9511A">
            <w:pPr>
              <w:rPr>
                <w:rFonts w:asciiTheme="minorHAnsi" w:hAnsiTheme="minorHAnsi" w:cs="Arial"/>
                <w:i/>
                <w:sz w:val="18"/>
                <w:szCs w:val="18"/>
                <w:lang w:val="hr-HR"/>
              </w:rPr>
            </w:pPr>
            <w:r w:rsidRPr="001567C8">
              <w:rPr>
                <w:rFonts w:asciiTheme="minorHAnsi" w:hAnsiTheme="minorHAnsi" w:cs="Arial"/>
                <w:i/>
                <w:sz w:val="18"/>
                <w:szCs w:val="18"/>
                <w:lang w:val="hr-HR"/>
              </w:rPr>
              <w:t>Dobit iz poslovnih aktivnosti prije promjena radnoga kapitala</w:t>
            </w:r>
          </w:p>
        </w:tc>
        <w:tc>
          <w:tcPr>
            <w:tcW w:w="1276" w:type="dxa"/>
            <w:tcBorders>
              <w:left w:val="nil"/>
              <w:right w:val="nil"/>
            </w:tcBorders>
            <w:shd w:val="clear" w:color="auto" w:fill="auto"/>
            <w:noWrap/>
            <w:vAlign w:val="bottom"/>
          </w:tcPr>
          <w:p w:rsidR="00B9511A" w:rsidRPr="001567C8" w:rsidRDefault="00B9511A" w:rsidP="00B9511A">
            <w:pPr>
              <w:jc w:val="right"/>
              <w:rPr>
                <w:rFonts w:asciiTheme="minorHAnsi" w:hAnsiTheme="minorHAnsi" w:cs="Arial"/>
                <w:bCs/>
                <w:i/>
                <w:sz w:val="18"/>
                <w:szCs w:val="18"/>
                <w:lang w:val="hr-HR"/>
              </w:rPr>
            </w:pPr>
            <w:r w:rsidRPr="001567C8">
              <w:rPr>
                <w:rFonts w:asciiTheme="minorHAnsi" w:hAnsiTheme="minorHAnsi" w:cstheme="minorHAnsi"/>
                <w:bCs/>
                <w:i/>
                <w:sz w:val="17"/>
                <w:szCs w:val="17"/>
                <w:lang w:val="hr-HR"/>
              </w:rPr>
              <w:t>670</w:t>
            </w:r>
          </w:p>
        </w:tc>
        <w:tc>
          <w:tcPr>
            <w:tcW w:w="1134" w:type="dxa"/>
            <w:tcBorders>
              <w:left w:val="nil"/>
              <w:right w:val="nil"/>
            </w:tcBorders>
            <w:shd w:val="clear" w:color="auto" w:fill="auto"/>
            <w:vAlign w:val="bottom"/>
          </w:tcPr>
          <w:p w:rsidR="00B9511A" w:rsidRPr="001567C8" w:rsidRDefault="00B9511A" w:rsidP="00B9511A">
            <w:pPr>
              <w:jc w:val="right"/>
              <w:rPr>
                <w:rFonts w:asciiTheme="minorHAnsi" w:hAnsiTheme="minorHAnsi" w:cs="Arial"/>
                <w:bCs/>
                <w:i/>
                <w:sz w:val="18"/>
                <w:szCs w:val="18"/>
                <w:lang w:val="hr-HR"/>
              </w:rPr>
            </w:pPr>
            <w:r w:rsidRPr="001567C8">
              <w:rPr>
                <w:rFonts w:asciiTheme="minorHAnsi" w:hAnsiTheme="minorHAnsi" w:cs="Arial"/>
                <w:bCs/>
                <w:i/>
                <w:sz w:val="18"/>
                <w:szCs w:val="18"/>
                <w:lang w:val="hr-HR"/>
              </w:rPr>
              <w:t>1.984</w:t>
            </w:r>
          </w:p>
        </w:tc>
      </w:tr>
      <w:tr w:rsidR="00B9511A" w:rsidRPr="001567C8" w:rsidTr="003C6BA3">
        <w:trPr>
          <w:trHeight w:val="60"/>
        </w:trPr>
        <w:tc>
          <w:tcPr>
            <w:tcW w:w="6237"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left w:val="nil"/>
              <w:bottom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sz w:val="18"/>
                <w:szCs w:val="18"/>
                <w:lang w:val="hr-HR"/>
              </w:rPr>
            </w:pPr>
          </w:p>
        </w:tc>
        <w:tc>
          <w:tcPr>
            <w:tcW w:w="1134" w:type="dxa"/>
            <w:tcBorders>
              <w:left w:val="nil"/>
              <w:bottom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48"/>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Promjene u poslovnim sredstvima i izvorima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p>
        </w:tc>
      </w:tr>
      <w:tr w:rsidR="00B9511A" w:rsidRPr="001567C8" w:rsidTr="003C6BA3">
        <w:trPr>
          <w:trHeight w:val="25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smanjenje depozita kod drugih banaka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w:t>
            </w:r>
          </w:p>
        </w:tc>
      </w:tr>
      <w:tr w:rsidR="00B9511A" w:rsidRPr="001567C8" w:rsidTr="003C6BA3">
        <w:trPr>
          <w:trHeight w:val="25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(dobitak)</w:t>
            </w:r>
            <w:r w:rsidR="003A13C3" w:rsidRPr="001567C8">
              <w:rPr>
                <w:rFonts w:asciiTheme="minorHAnsi" w:hAnsiTheme="minorHAnsi" w:cs="Arial"/>
                <w:sz w:val="18"/>
                <w:szCs w:val="18"/>
                <w:lang w:val="hr-HR"/>
              </w:rPr>
              <w:t>/gubitak</w:t>
            </w:r>
            <w:r w:rsidRPr="001567C8">
              <w:rPr>
                <w:rFonts w:asciiTheme="minorHAnsi" w:hAnsiTheme="minorHAnsi" w:cs="Arial"/>
                <w:sz w:val="18"/>
                <w:szCs w:val="18"/>
                <w:lang w:val="hr-HR"/>
              </w:rPr>
              <w:t xml:space="preserve"> od ulaganja u imovinu raspoloživu za prodaju</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(15)</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5</w:t>
            </w:r>
          </w:p>
        </w:tc>
      </w:tr>
      <w:tr w:rsidR="00B9511A" w:rsidRPr="001567C8" w:rsidTr="003C6BA3">
        <w:trPr>
          <w:trHeight w:val="25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Smanjenje diskonta po imovini raspoloživoj za prodaju i imovini do dospijeća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223</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408</w:t>
            </w:r>
          </w:p>
        </w:tc>
      </w:tr>
      <w:tr w:rsidR="00B9511A" w:rsidRPr="001567C8" w:rsidTr="003C6BA3">
        <w:trPr>
          <w:trHeight w:val="25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dobitak od imovine po fer vrijednosti u IDG</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(3)</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(7)</w:t>
            </w:r>
          </w:p>
        </w:tc>
      </w:tr>
      <w:tr w:rsidR="00B9511A" w:rsidRPr="001567C8" w:rsidTr="003C6BA3">
        <w:trPr>
          <w:trHeight w:val="25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Potraživanja po premijama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(1.369)</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(5.917)</w:t>
            </w:r>
          </w:p>
        </w:tc>
      </w:tr>
      <w:tr w:rsidR="00B9511A" w:rsidRPr="001567C8" w:rsidTr="003C6BA3">
        <w:trPr>
          <w:trHeight w:val="25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smanjenje/(povećanje) ostale imovine</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5</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1.224</w:t>
            </w:r>
          </w:p>
        </w:tc>
      </w:tr>
      <w:tr w:rsidR="00B9511A" w:rsidRPr="001567C8" w:rsidTr="003C6BA3">
        <w:trPr>
          <w:trHeight w:val="25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smanjenje imovine i obveza iz poslova osiguranja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1.366</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(7)</w:t>
            </w:r>
          </w:p>
        </w:tc>
      </w:tr>
      <w:tr w:rsidR="00B9511A" w:rsidRPr="001567C8" w:rsidTr="003C6BA3">
        <w:trPr>
          <w:trHeight w:val="25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povećanje tehničkih pričuva</w:t>
            </w:r>
          </w:p>
        </w:tc>
        <w:tc>
          <w:tcPr>
            <w:tcW w:w="1276" w:type="dxa"/>
            <w:tcBorders>
              <w:top w:val="nil"/>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(1.044)</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1.046</w:t>
            </w:r>
          </w:p>
        </w:tc>
      </w:tr>
      <w:tr w:rsidR="00B9511A" w:rsidRPr="001567C8" w:rsidTr="003C6BA3">
        <w:trPr>
          <w:trHeight w:val="254"/>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povećanje ostalih obveza</w:t>
            </w:r>
          </w:p>
        </w:tc>
        <w:tc>
          <w:tcPr>
            <w:tcW w:w="1276" w:type="dxa"/>
            <w:tcBorders>
              <w:top w:val="nil"/>
              <w:left w:val="nil"/>
              <w:bottom w:val="single" w:sz="4" w:space="0" w:color="auto"/>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(527)</w:t>
            </w:r>
          </w:p>
        </w:tc>
        <w:tc>
          <w:tcPr>
            <w:tcW w:w="1134" w:type="dxa"/>
            <w:tcBorders>
              <w:top w:val="nil"/>
              <w:left w:val="nil"/>
              <w:bottom w:val="single" w:sz="4" w:space="0" w:color="auto"/>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bCs/>
                <w:sz w:val="18"/>
                <w:szCs w:val="18"/>
                <w:lang w:val="hr-HR"/>
              </w:rPr>
              <w:t>603</w:t>
            </w:r>
          </w:p>
        </w:tc>
      </w:tr>
      <w:tr w:rsidR="00B9511A" w:rsidRPr="001567C8" w:rsidTr="003C6BA3">
        <w:trPr>
          <w:trHeight w:val="190"/>
        </w:trPr>
        <w:tc>
          <w:tcPr>
            <w:tcW w:w="623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Neto novčana sredstva uporabljena za poslovne aktivnosti</w:t>
            </w:r>
          </w:p>
        </w:tc>
        <w:tc>
          <w:tcPr>
            <w:tcW w:w="1276" w:type="dxa"/>
            <w:tcBorders>
              <w:top w:val="single" w:sz="4" w:space="0" w:color="auto"/>
              <w:left w:val="nil"/>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Cs/>
                <w:sz w:val="17"/>
                <w:szCs w:val="17"/>
                <w:lang w:val="hr-HR"/>
              </w:rPr>
              <w:t>(694)</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(661)</w:t>
            </w:r>
          </w:p>
        </w:tc>
      </w:tr>
      <w:tr w:rsidR="00B9511A" w:rsidRPr="001567C8" w:rsidTr="003C6BA3">
        <w:trPr>
          <w:trHeight w:val="74"/>
        </w:trPr>
        <w:tc>
          <w:tcPr>
            <w:tcW w:w="6237" w:type="dxa"/>
            <w:tcBorders>
              <w:top w:val="nil"/>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single" w:sz="12" w:space="0" w:color="auto"/>
              <w:left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bCs/>
                <w:sz w:val="18"/>
                <w:szCs w:val="18"/>
                <w:lang w:val="hr-HR"/>
              </w:rPr>
            </w:pPr>
          </w:p>
        </w:tc>
        <w:tc>
          <w:tcPr>
            <w:tcW w:w="1134" w:type="dxa"/>
            <w:tcBorders>
              <w:top w:val="single" w:sz="12" w:space="0" w:color="auto"/>
              <w:left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bCs/>
                <w:sz w:val="18"/>
                <w:szCs w:val="18"/>
                <w:lang w:val="hr-HR"/>
              </w:rPr>
            </w:pPr>
          </w:p>
        </w:tc>
      </w:tr>
      <w:tr w:rsidR="00B9511A" w:rsidRPr="001567C8" w:rsidTr="003C6BA3">
        <w:trPr>
          <w:trHeight w:val="196"/>
        </w:trPr>
        <w:tc>
          <w:tcPr>
            <w:tcW w:w="6237" w:type="dxa"/>
            <w:tcBorders>
              <w:top w:val="nil"/>
              <w:left w:val="nil"/>
              <w:bottom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Ulagateljske aktivnosti</w:t>
            </w:r>
          </w:p>
        </w:tc>
        <w:tc>
          <w:tcPr>
            <w:tcW w:w="1276" w:type="dxa"/>
            <w:tcBorders>
              <w:left w:val="nil"/>
              <w:bottom w:val="nil"/>
              <w:right w:val="nil"/>
            </w:tcBorders>
            <w:shd w:val="clear" w:color="auto" w:fill="auto"/>
            <w:noWrap/>
            <w:vAlign w:val="bottom"/>
          </w:tcPr>
          <w:p w:rsidR="00B9511A" w:rsidRPr="001567C8" w:rsidRDefault="00B9511A" w:rsidP="00B9511A">
            <w:pPr>
              <w:jc w:val="right"/>
              <w:rPr>
                <w:rFonts w:asciiTheme="minorHAnsi" w:hAnsiTheme="minorHAnsi" w:cs="Arial"/>
                <w:bCs/>
                <w:sz w:val="18"/>
                <w:szCs w:val="18"/>
                <w:lang w:val="hr-HR"/>
              </w:rPr>
            </w:pPr>
          </w:p>
        </w:tc>
        <w:tc>
          <w:tcPr>
            <w:tcW w:w="1134" w:type="dxa"/>
            <w:tcBorders>
              <w:left w:val="nil"/>
              <w:bottom w:val="nil"/>
              <w:right w:val="nil"/>
            </w:tcBorders>
            <w:shd w:val="clear" w:color="auto" w:fill="auto"/>
            <w:vAlign w:val="bottom"/>
          </w:tcPr>
          <w:p w:rsidR="00B9511A" w:rsidRPr="001567C8" w:rsidRDefault="00B9511A" w:rsidP="00B9511A">
            <w:pPr>
              <w:jc w:val="right"/>
              <w:rPr>
                <w:rFonts w:asciiTheme="minorHAnsi" w:hAnsiTheme="minorHAnsi" w:cs="Arial"/>
                <w:bCs/>
                <w:sz w:val="18"/>
                <w:szCs w:val="18"/>
                <w:lang w:val="hr-HR"/>
              </w:rPr>
            </w:pPr>
          </w:p>
        </w:tc>
      </w:tr>
      <w:tr w:rsidR="00B9511A" w:rsidRPr="001567C8" w:rsidTr="003C6BA3">
        <w:trPr>
          <w:trHeight w:val="186"/>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kupovina imovine po fer vrijednosti kroz IDG</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w:t>
            </w:r>
          </w:p>
        </w:tc>
        <w:tc>
          <w:tcPr>
            <w:tcW w:w="1134"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w:t>
            </w:r>
          </w:p>
        </w:tc>
      </w:tr>
      <w:tr w:rsidR="00B9511A" w:rsidRPr="001567C8" w:rsidTr="003C6BA3">
        <w:trPr>
          <w:trHeight w:val="186"/>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prodaja imovine po fer vrijednosti kroz IDG</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w:t>
            </w:r>
          </w:p>
        </w:tc>
        <w:tc>
          <w:tcPr>
            <w:tcW w:w="1134"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w:t>
            </w:r>
          </w:p>
        </w:tc>
      </w:tr>
      <w:tr w:rsidR="00B9511A" w:rsidRPr="001567C8" w:rsidTr="003C6BA3">
        <w:trPr>
          <w:trHeight w:val="186"/>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kupovina imovine raspoložive za prodaju</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(4.526)</w:t>
            </w:r>
          </w:p>
        </w:tc>
        <w:tc>
          <w:tcPr>
            <w:tcW w:w="1134"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(6.590)</w:t>
            </w:r>
          </w:p>
        </w:tc>
      </w:tr>
      <w:tr w:rsidR="00B9511A" w:rsidRPr="001567C8" w:rsidTr="003C6BA3">
        <w:trPr>
          <w:trHeight w:val="186"/>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prodaja imovine raspoložive za prodaju</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5.978</w:t>
            </w:r>
          </w:p>
        </w:tc>
        <w:tc>
          <w:tcPr>
            <w:tcW w:w="1134"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9.120</w:t>
            </w:r>
          </w:p>
        </w:tc>
      </w:tr>
      <w:tr w:rsidR="00B9511A" w:rsidRPr="001567C8" w:rsidTr="003C6BA3">
        <w:trPr>
          <w:trHeight w:val="186"/>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Kupovina imovine koja se drži do dospijeća</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w:t>
            </w:r>
          </w:p>
        </w:tc>
        <w:tc>
          <w:tcPr>
            <w:tcW w:w="1134"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w:t>
            </w:r>
          </w:p>
        </w:tc>
      </w:tr>
      <w:tr w:rsidR="00B9511A" w:rsidRPr="001567C8" w:rsidTr="003C6BA3">
        <w:trPr>
          <w:trHeight w:val="186"/>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Naplata imovine koja se drži do dospijeća, o dospijeću</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w:t>
            </w:r>
          </w:p>
        </w:tc>
        <w:tc>
          <w:tcPr>
            <w:tcW w:w="1134"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w:t>
            </w:r>
          </w:p>
        </w:tc>
      </w:tr>
      <w:tr w:rsidR="00B9511A" w:rsidRPr="001567C8" w:rsidTr="003C6BA3">
        <w:trPr>
          <w:trHeight w:val="186"/>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nabava nekretnina, postrojenja i opreme i nematerijalne imovine</w:t>
            </w:r>
          </w:p>
        </w:tc>
        <w:tc>
          <w:tcPr>
            <w:tcW w:w="1276" w:type="dxa"/>
            <w:tcBorders>
              <w:top w:val="nil"/>
              <w:left w:val="nil"/>
              <w:bottom w:val="single" w:sz="4" w:space="0" w:color="auto"/>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(70)</w:t>
            </w:r>
          </w:p>
        </w:tc>
        <w:tc>
          <w:tcPr>
            <w:tcW w:w="1134" w:type="dxa"/>
            <w:tcBorders>
              <w:top w:val="nil"/>
              <w:left w:val="nil"/>
              <w:bottom w:val="single" w:sz="4" w:space="0" w:color="auto"/>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CD3A2D">
              <w:rPr>
                <w:rFonts w:asciiTheme="minorHAnsi" w:hAnsiTheme="minorHAnsi"/>
                <w:sz w:val="18"/>
                <w:szCs w:val="18"/>
                <w:lang w:val="hr-HR"/>
              </w:rPr>
              <w:t>(10)</w:t>
            </w:r>
          </w:p>
        </w:tc>
      </w:tr>
      <w:tr w:rsidR="00B9511A" w:rsidRPr="001567C8" w:rsidTr="003C6BA3">
        <w:trPr>
          <w:trHeight w:val="166"/>
        </w:trPr>
        <w:tc>
          <w:tcPr>
            <w:tcW w:w="6237" w:type="dxa"/>
            <w:tcBorders>
              <w:left w:val="nil"/>
              <w:right w:val="nil"/>
            </w:tcBorders>
            <w:shd w:val="clear" w:color="auto" w:fill="auto"/>
            <w:vAlign w:val="bottom"/>
          </w:tcPr>
          <w:p w:rsidR="00B9511A" w:rsidRPr="001567C8" w:rsidRDefault="00B9511A" w:rsidP="00B9511A">
            <w:pPr>
              <w:rPr>
                <w:rFonts w:asciiTheme="minorHAnsi" w:hAnsiTheme="minorHAnsi" w:cs="Arial"/>
                <w:b/>
                <w:bCs/>
                <w:sz w:val="18"/>
                <w:szCs w:val="18"/>
                <w:lang w:val="hr-HR"/>
              </w:rPr>
            </w:pPr>
            <w:r w:rsidRPr="001567C8">
              <w:rPr>
                <w:rFonts w:asciiTheme="minorHAnsi" w:hAnsiTheme="minorHAnsi" w:cs="Arial"/>
                <w:b/>
                <w:bCs/>
                <w:sz w:val="18"/>
                <w:szCs w:val="18"/>
                <w:lang w:val="hr-HR"/>
              </w:rPr>
              <w:t>Neto novčana sredstva ostvarena u ulagateljskim aktivnostima</w:t>
            </w:r>
          </w:p>
        </w:tc>
        <w:tc>
          <w:tcPr>
            <w:tcW w:w="1276"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theme="minorHAnsi"/>
                <w:b/>
                <w:bCs/>
                <w:sz w:val="17"/>
                <w:szCs w:val="17"/>
                <w:lang w:val="hr-HR"/>
              </w:rPr>
              <w:t>1.382</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bCs/>
                <w:sz w:val="18"/>
                <w:szCs w:val="18"/>
                <w:lang w:val="hr-HR"/>
              </w:rPr>
            </w:pPr>
            <w:r w:rsidRPr="001567C8">
              <w:rPr>
                <w:rFonts w:asciiTheme="minorHAnsi" w:hAnsiTheme="minorHAnsi" w:cs="Arial"/>
                <w:b/>
                <w:bCs/>
                <w:sz w:val="18"/>
                <w:szCs w:val="18"/>
                <w:lang w:val="hr-HR"/>
              </w:rPr>
              <w:t>2.520</w:t>
            </w:r>
          </w:p>
        </w:tc>
      </w:tr>
      <w:tr w:rsidR="00B9511A" w:rsidRPr="001567C8" w:rsidTr="003C6BA3">
        <w:trPr>
          <w:trHeight w:val="96"/>
        </w:trPr>
        <w:tc>
          <w:tcPr>
            <w:tcW w:w="6237" w:type="dxa"/>
            <w:tcBorders>
              <w:left w:val="nil"/>
              <w:bottom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single" w:sz="12" w:space="0" w:color="auto"/>
              <w:left w:val="nil"/>
              <w:bottom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sz w:val="18"/>
                <w:szCs w:val="18"/>
                <w:lang w:val="hr-HR"/>
              </w:rPr>
            </w:pPr>
          </w:p>
        </w:tc>
        <w:tc>
          <w:tcPr>
            <w:tcW w:w="1134" w:type="dxa"/>
            <w:tcBorders>
              <w:top w:val="single" w:sz="12" w:space="0" w:color="auto"/>
              <w:left w:val="nil"/>
              <w:bottom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64"/>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Učinci promjene tečajeva na novac i novčane ekvivalente</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p>
        </w:tc>
      </w:tr>
      <w:tr w:rsidR="00B9511A" w:rsidRPr="001567C8" w:rsidTr="003C6BA3">
        <w:trPr>
          <w:trHeight w:val="164"/>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 xml:space="preserve">Neto tečajne razlike </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141</w:t>
            </w:r>
          </w:p>
        </w:tc>
        <w:tc>
          <w:tcPr>
            <w:tcW w:w="1134" w:type="dxa"/>
            <w:tcBorders>
              <w:top w:val="nil"/>
              <w:left w:val="nil"/>
              <w:bottom w:val="single" w:sz="4" w:space="0" w:color="auto"/>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124</w:t>
            </w:r>
          </w:p>
        </w:tc>
      </w:tr>
      <w:tr w:rsidR="00B9511A" w:rsidRPr="001567C8" w:rsidTr="003C6BA3">
        <w:trPr>
          <w:trHeight w:val="164"/>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Neto učinak</w:t>
            </w:r>
          </w:p>
        </w:tc>
        <w:tc>
          <w:tcPr>
            <w:tcW w:w="1276" w:type="dxa"/>
            <w:tcBorders>
              <w:top w:val="single" w:sz="4" w:space="0" w:color="auto"/>
              <w:left w:val="nil"/>
              <w:right w:val="nil"/>
            </w:tcBorders>
            <w:shd w:val="clear" w:color="auto" w:fill="auto"/>
            <w:noWrap/>
            <w:vAlign w:val="bottom"/>
          </w:tcPr>
          <w:p w:rsidR="00B9511A" w:rsidRPr="001567C8" w:rsidRDefault="00B9511A" w:rsidP="00B9511A">
            <w:pPr>
              <w:jc w:val="right"/>
              <w:rPr>
                <w:rFonts w:asciiTheme="minorHAnsi" w:hAnsiTheme="minorHAnsi" w:cs="Arial"/>
                <w:b/>
                <w:sz w:val="18"/>
                <w:szCs w:val="18"/>
                <w:lang w:val="hr-HR"/>
              </w:rPr>
            </w:pPr>
            <w:r w:rsidRPr="001567C8">
              <w:rPr>
                <w:rFonts w:asciiTheme="minorHAnsi" w:hAnsiTheme="minorHAnsi" w:cstheme="minorHAnsi"/>
                <w:b/>
                <w:bCs/>
                <w:sz w:val="17"/>
                <w:szCs w:val="17"/>
                <w:lang w:val="hr-HR"/>
              </w:rPr>
              <w:t>141</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sz w:val="18"/>
                <w:szCs w:val="18"/>
                <w:lang w:val="hr-HR"/>
              </w:rPr>
            </w:pPr>
            <w:r w:rsidRPr="001567C8">
              <w:rPr>
                <w:rFonts w:asciiTheme="minorHAnsi" w:hAnsiTheme="minorHAnsi" w:cs="Arial"/>
                <w:b/>
                <w:sz w:val="18"/>
                <w:szCs w:val="18"/>
                <w:lang w:val="hr-HR"/>
              </w:rPr>
              <w:t>124</w:t>
            </w:r>
          </w:p>
        </w:tc>
      </w:tr>
      <w:tr w:rsidR="00B9511A" w:rsidRPr="001567C8" w:rsidTr="003C6BA3">
        <w:trPr>
          <w:trHeight w:val="56"/>
        </w:trPr>
        <w:tc>
          <w:tcPr>
            <w:tcW w:w="6237" w:type="dxa"/>
            <w:tcBorders>
              <w:top w:val="nil"/>
              <w:left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single" w:sz="12" w:space="0" w:color="auto"/>
              <w:left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sz w:val="18"/>
                <w:szCs w:val="18"/>
                <w:lang w:val="hr-HR"/>
              </w:rPr>
            </w:pPr>
          </w:p>
        </w:tc>
        <w:tc>
          <w:tcPr>
            <w:tcW w:w="1134" w:type="dxa"/>
            <w:tcBorders>
              <w:top w:val="single" w:sz="12" w:space="0" w:color="auto"/>
              <w:left w:val="nil"/>
              <w:bottom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64"/>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povećanje novca i novčanih ekvivalenata</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829</w:t>
            </w:r>
          </w:p>
        </w:tc>
        <w:tc>
          <w:tcPr>
            <w:tcW w:w="1134" w:type="dxa"/>
            <w:tcBorders>
              <w:top w:val="nil"/>
              <w:left w:val="nil"/>
              <w:bottom w:val="nil"/>
              <w:right w:val="nil"/>
            </w:tcBorders>
            <w:shd w:val="clear" w:color="auto" w:fill="auto"/>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1.983</w:t>
            </w:r>
          </w:p>
        </w:tc>
      </w:tr>
      <w:tr w:rsidR="00B9511A" w:rsidRPr="001567C8" w:rsidTr="003C6BA3">
        <w:trPr>
          <w:trHeight w:val="66"/>
        </w:trPr>
        <w:tc>
          <w:tcPr>
            <w:tcW w:w="6237" w:type="dxa"/>
            <w:tcBorders>
              <w:top w:val="nil"/>
              <w:left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nil"/>
              <w:left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sz w:val="18"/>
                <w:szCs w:val="18"/>
                <w:lang w:val="hr-HR"/>
              </w:rPr>
            </w:pPr>
          </w:p>
        </w:tc>
        <w:tc>
          <w:tcPr>
            <w:tcW w:w="1134" w:type="dxa"/>
            <w:tcBorders>
              <w:top w:val="nil"/>
              <w:left w:val="nil"/>
              <w:bottom w:val="nil"/>
              <w:right w:val="nil"/>
            </w:tcBorders>
            <w:shd w:val="clear" w:color="auto" w:fill="auto"/>
            <w:vAlign w:val="bottom"/>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64"/>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Stanje na dan 1. siječnja</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2.534</w:t>
            </w:r>
          </w:p>
        </w:tc>
        <w:tc>
          <w:tcPr>
            <w:tcW w:w="1134"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551</w:t>
            </w:r>
          </w:p>
        </w:tc>
      </w:tr>
      <w:tr w:rsidR="00B9511A" w:rsidRPr="001567C8" w:rsidTr="003C6BA3">
        <w:trPr>
          <w:trHeight w:val="164"/>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sz w:val="18"/>
                <w:szCs w:val="18"/>
                <w:lang w:val="hr-HR"/>
              </w:rPr>
            </w:pPr>
            <w:r w:rsidRPr="001567C8">
              <w:rPr>
                <w:rFonts w:asciiTheme="minorHAnsi" w:hAnsiTheme="minorHAnsi" w:cs="Arial"/>
                <w:sz w:val="18"/>
                <w:szCs w:val="18"/>
                <w:lang w:val="hr-HR"/>
              </w:rPr>
              <w:t>Neto povećanje novca</w:t>
            </w:r>
          </w:p>
        </w:tc>
        <w:tc>
          <w:tcPr>
            <w:tcW w:w="1276" w:type="dxa"/>
            <w:tcBorders>
              <w:top w:val="nil"/>
              <w:left w:val="nil"/>
              <w:right w:val="nil"/>
            </w:tcBorders>
            <w:shd w:val="clear" w:color="auto" w:fill="auto"/>
            <w:noWrap/>
            <w:vAlign w:val="bottom"/>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theme="minorHAnsi"/>
                <w:bCs/>
                <w:sz w:val="17"/>
                <w:szCs w:val="17"/>
                <w:lang w:val="hr-HR"/>
              </w:rPr>
              <w:t>829</w:t>
            </w:r>
          </w:p>
        </w:tc>
        <w:tc>
          <w:tcPr>
            <w:tcW w:w="1134" w:type="dxa"/>
            <w:tcBorders>
              <w:top w:val="nil"/>
              <w:left w:val="nil"/>
              <w:bottom w:val="nil"/>
              <w:right w:val="nil"/>
            </w:tcBorders>
            <w:shd w:val="clear" w:color="auto" w:fill="auto"/>
          </w:tcPr>
          <w:p w:rsidR="00B9511A" w:rsidRPr="001567C8" w:rsidRDefault="00B9511A" w:rsidP="00B9511A">
            <w:pPr>
              <w:jc w:val="right"/>
              <w:rPr>
                <w:rFonts w:asciiTheme="minorHAnsi" w:hAnsiTheme="minorHAnsi" w:cs="Arial"/>
                <w:sz w:val="18"/>
                <w:szCs w:val="18"/>
                <w:lang w:val="hr-HR"/>
              </w:rPr>
            </w:pPr>
            <w:r w:rsidRPr="001567C8">
              <w:rPr>
                <w:rFonts w:asciiTheme="minorHAnsi" w:hAnsiTheme="minorHAnsi" w:cs="Arial"/>
                <w:sz w:val="18"/>
                <w:szCs w:val="18"/>
                <w:lang w:val="hr-HR"/>
              </w:rPr>
              <w:t>1.983</w:t>
            </w:r>
          </w:p>
        </w:tc>
      </w:tr>
      <w:tr w:rsidR="00B9511A" w:rsidRPr="001567C8" w:rsidTr="003C6BA3">
        <w:trPr>
          <w:trHeight w:val="66"/>
        </w:trPr>
        <w:tc>
          <w:tcPr>
            <w:tcW w:w="6237" w:type="dxa"/>
            <w:tcBorders>
              <w:top w:val="nil"/>
              <w:left w:val="nil"/>
              <w:right w:val="nil"/>
            </w:tcBorders>
            <w:shd w:val="clear" w:color="auto" w:fill="auto"/>
            <w:vAlign w:val="bottom"/>
          </w:tcPr>
          <w:p w:rsidR="00B9511A" w:rsidRPr="001567C8" w:rsidRDefault="00B9511A" w:rsidP="00B9511A">
            <w:pPr>
              <w:spacing w:line="140" w:lineRule="exact"/>
              <w:rPr>
                <w:rFonts w:asciiTheme="minorHAnsi" w:hAnsiTheme="minorHAnsi" w:cs="Arial"/>
                <w:sz w:val="18"/>
                <w:szCs w:val="18"/>
                <w:lang w:val="hr-HR"/>
              </w:rPr>
            </w:pPr>
          </w:p>
        </w:tc>
        <w:tc>
          <w:tcPr>
            <w:tcW w:w="1276" w:type="dxa"/>
            <w:tcBorders>
              <w:top w:val="nil"/>
              <w:left w:val="nil"/>
              <w:right w:val="nil"/>
            </w:tcBorders>
            <w:shd w:val="clear" w:color="auto" w:fill="auto"/>
            <w:noWrap/>
            <w:vAlign w:val="bottom"/>
          </w:tcPr>
          <w:p w:rsidR="00B9511A" w:rsidRPr="001567C8" w:rsidRDefault="00B9511A" w:rsidP="00B9511A">
            <w:pPr>
              <w:spacing w:line="140" w:lineRule="exact"/>
              <w:jc w:val="right"/>
              <w:rPr>
                <w:rFonts w:asciiTheme="minorHAnsi" w:hAnsiTheme="minorHAnsi" w:cs="Arial"/>
                <w:sz w:val="18"/>
                <w:szCs w:val="18"/>
                <w:lang w:val="hr-HR"/>
              </w:rPr>
            </w:pPr>
          </w:p>
        </w:tc>
        <w:tc>
          <w:tcPr>
            <w:tcW w:w="1134" w:type="dxa"/>
            <w:tcBorders>
              <w:top w:val="nil"/>
              <w:left w:val="nil"/>
              <w:bottom w:val="single" w:sz="4" w:space="0" w:color="auto"/>
              <w:right w:val="nil"/>
            </w:tcBorders>
            <w:shd w:val="clear" w:color="auto" w:fill="auto"/>
            <w:vAlign w:val="bottom"/>
          </w:tcPr>
          <w:p w:rsidR="00B9511A" w:rsidRPr="001567C8" w:rsidRDefault="00B9511A" w:rsidP="00B9511A">
            <w:pPr>
              <w:spacing w:line="140" w:lineRule="exact"/>
              <w:jc w:val="right"/>
              <w:rPr>
                <w:rFonts w:asciiTheme="minorHAnsi" w:hAnsiTheme="minorHAnsi" w:cs="Arial"/>
                <w:sz w:val="18"/>
                <w:szCs w:val="18"/>
                <w:lang w:val="hr-HR"/>
              </w:rPr>
            </w:pPr>
          </w:p>
        </w:tc>
      </w:tr>
      <w:tr w:rsidR="00B9511A" w:rsidRPr="001567C8" w:rsidTr="003C6BA3">
        <w:trPr>
          <w:trHeight w:val="164"/>
        </w:trPr>
        <w:tc>
          <w:tcPr>
            <w:tcW w:w="6237" w:type="dxa"/>
            <w:tcBorders>
              <w:top w:val="nil"/>
              <w:left w:val="nil"/>
              <w:right w:val="nil"/>
            </w:tcBorders>
            <w:shd w:val="clear" w:color="auto" w:fill="auto"/>
            <w:vAlign w:val="bottom"/>
          </w:tcPr>
          <w:p w:rsidR="00B9511A" w:rsidRPr="001567C8" w:rsidRDefault="00B9511A" w:rsidP="00B9511A">
            <w:pPr>
              <w:rPr>
                <w:rFonts w:asciiTheme="minorHAnsi" w:hAnsiTheme="minorHAnsi" w:cs="Arial"/>
                <w:b/>
                <w:sz w:val="18"/>
                <w:szCs w:val="18"/>
                <w:lang w:val="hr-HR"/>
              </w:rPr>
            </w:pPr>
            <w:r w:rsidRPr="001567C8">
              <w:rPr>
                <w:rFonts w:asciiTheme="minorHAnsi" w:hAnsiTheme="minorHAnsi" w:cs="Arial"/>
                <w:b/>
                <w:sz w:val="18"/>
                <w:szCs w:val="18"/>
                <w:lang w:val="hr-HR"/>
              </w:rPr>
              <w:t>Stanje na dan 31. prosinca</w:t>
            </w:r>
          </w:p>
        </w:tc>
        <w:tc>
          <w:tcPr>
            <w:tcW w:w="1276" w:type="dxa"/>
            <w:tcBorders>
              <w:top w:val="single" w:sz="4" w:space="0" w:color="auto"/>
              <w:left w:val="nil"/>
              <w:bottom w:val="single" w:sz="12" w:space="0" w:color="auto"/>
              <w:right w:val="nil"/>
            </w:tcBorders>
            <w:shd w:val="clear" w:color="auto" w:fill="auto"/>
            <w:noWrap/>
            <w:vAlign w:val="bottom"/>
          </w:tcPr>
          <w:p w:rsidR="00B9511A" w:rsidRPr="001567C8" w:rsidRDefault="00B9511A" w:rsidP="00B9511A">
            <w:pPr>
              <w:jc w:val="right"/>
              <w:rPr>
                <w:rFonts w:asciiTheme="minorHAnsi" w:hAnsiTheme="minorHAnsi" w:cs="Arial"/>
                <w:b/>
                <w:sz w:val="18"/>
                <w:szCs w:val="18"/>
                <w:lang w:val="hr-HR"/>
              </w:rPr>
            </w:pPr>
            <w:r w:rsidRPr="001567C8">
              <w:rPr>
                <w:rFonts w:asciiTheme="minorHAnsi" w:hAnsiTheme="minorHAnsi" w:cstheme="minorHAnsi"/>
                <w:b/>
                <w:bCs/>
                <w:sz w:val="17"/>
                <w:szCs w:val="17"/>
                <w:lang w:val="hr-HR"/>
              </w:rPr>
              <w:t>3.363</w:t>
            </w:r>
          </w:p>
        </w:tc>
        <w:tc>
          <w:tcPr>
            <w:tcW w:w="1134" w:type="dxa"/>
            <w:tcBorders>
              <w:top w:val="single" w:sz="4" w:space="0" w:color="auto"/>
              <w:left w:val="nil"/>
              <w:bottom w:val="single" w:sz="12" w:space="0" w:color="auto"/>
              <w:right w:val="nil"/>
            </w:tcBorders>
            <w:shd w:val="clear" w:color="auto" w:fill="auto"/>
            <w:vAlign w:val="bottom"/>
          </w:tcPr>
          <w:p w:rsidR="00B9511A" w:rsidRPr="001567C8" w:rsidRDefault="00B9511A" w:rsidP="00B9511A">
            <w:pPr>
              <w:jc w:val="right"/>
              <w:rPr>
                <w:rFonts w:asciiTheme="minorHAnsi" w:hAnsiTheme="minorHAnsi" w:cs="Arial"/>
                <w:b/>
                <w:sz w:val="18"/>
                <w:szCs w:val="18"/>
                <w:lang w:val="hr-HR"/>
              </w:rPr>
            </w:pPr>
            <w:r w:rsidRPr="001567C8">
              <w:rPr>
                <w:rFonts w:asciiTheme="minorHAnsi" w:hAnsiTheme="minorHAnsi" w:cs="Arial"/>
                <w:b/>
                <w:sz w:val="18"/>
                <w:szCs w:val="18"/>
                <w:lang w:val="hr-HR"/>
              </w:rPr>
              <w:t>2.534</w:t>
            </w:r>
          </w:p>
        </w:tc>
      </w:tr>
    </w:tbl>
    <w:p w:rsidR="00BB3D2C" w:rsidRPr="001567C8" w:rsidRDefault="00BB3D2C" w:rsidP="001E1400">
      <w:pPr>
        <w:spacing w:before="120" w:line="300" w:lineRule="exact"/>
        <w:rPr>
          <w:rFonts w:asciiTheme="minorHAnsi" w:hAnsiTheme="minorHAnsi"/>
          <w:b/>
          <w:sz w:val="22"/>
          <w:szCs w:val="22"/>
          <w:lang w:val="hr-HR"/>
        </w:rPr>
      </w:pPr>
    </w:p>
    <w:p w:rsidR="00BB3D2C" w:rsidRPr="001567C8" w:rsidRDefault="00BB3D2C" w:rsidP="001E1400">
      <w:pPr>
        <w:spacing w:before="120" w:line="300" w:lineRule="exact"/>
        <w:rPr>
          <w:rFonts w:asciiTheme="minorHAnsi" w:hAnsiTheme="minorHAnsi"/>
          <w:b/>
          <w:sz w:val="22"/>
          <w:szCs w:val="22"/>
          <w:lang w:val="hr-HR"/>
        </w:rPr>
      </w:pPr>
    </w:p>
    <w:p w:rsidR="00BB3D2C" w:rsidRPr="001567C8" w:rsidRDefault="00BB3D2C" w:rsidP="001E1400">
      <w:pPr>
        <w:spacing w:before="120" w:line="300" w:lineRule="exact"/>
        <w:rPr>
          <w:rFonts w:asciiTheme="minorHAnsi" w:hAnsiTheme="minorHAnsi"/>
          <w:b/>
          <w:sz w:val="22"/>
          <w:szCs w:val="22"/>
          <w:lang w:val="hr-HR"/>
        </w:rPr>
      </w:pPr>
    </w:p>
    <w:p w:rsidR="00BB3D2C" w:rsidRPr="001567C8" w:rsidRDefault="00BB3D2C" w:rsidP="001E1400">
      <w:pPr>
        <w:spacing w:before="120" w:line="300" w:lineRule="exact"/>
        <w:rPr>
          <w:rFonts w:asciiTheme="minorHAnsi" w:hAnsiTheme="minorHAnsi"/>
          <w:b/>
          <w:sz w:val="22"/>
          <w:szCs w:val="22"/>
          <w:lang w:val="hr-HR"/>
        </w:rPr>
      </w:pPr>
    </w:p>
    <w:p w:rsidR="00BB3D2C" w:rsidRPr="001567C8" w:rsidRDefault="00BB3D2C" w:rsidP="001E1400">
      <w:pPr>
        <w:spacing w:before="120" w:line="300" w:lineRule="exact"/>
        <w:rPr>
          <w:rFonts w:asciiTheme="minorHAnsi" w:hAnsiTheme="minorHAnsi"/>
          <w:b/>
          <w:sz w:val="22"/>
          <w:szCs w:val="22"/>
          <w:lang w:val="hr-HR"/>
        </w:rPr>
        <w:sectPr w:rsidR="00BB3D2C" w:rsidRPr="001567C8" w:rsidSect="0077198A">
          <w:headerReference w:type="default" r:id="rId82"/>
          <w:pgSz w:w="11907" w:h="16840" w:code="9"/>
          <w:pgMar w:top="1418" w:right="1134" w:bottom="1134" w:left="1418" w:header="851" w:footer="851" w:gutter="0"/>
          <w:cols w:space="720"/>
          <w:noEndnote/>
        </w:sectPr>
      </w:pPr>
    </w:p>
    <w:p w:rsidR="00BB3D2C" w:rsidRPr="001567C8" w:rsidRDefault="00BB3D2C" w:rsidP="001E1400">
      <w:pPr>
        <w:spacing w:before="120" w:line="300" w:lineRule="exact"/>
        <w:rPr>
          <w:rFonts w:asciiTheme="minorHAnsi" w:hAnsiTheme="minorHAnsi"/>
          <w:b/>
          <w:sz w:val="22"/>
          <w:szCs w:val="22"/>
          <w:lang w:val="hr-HR"/>
        </w:rPr>
      </w:pPr>
    </w:p>
    <w:tbl>
      <w:tblPr>
        <w:tblpPr w:leftFromText="180" w:rightFromText="180" w:vertAnchor="page" w:horzAnchor="margin" w:tblpXSpec="center" w:tblpY="3044"/>
        <w:tblW w:w="5317" w:type="pct"/>
        <w:tblLayout w:type="fixed"/>
        <w:tblCellMar>
          <w:left w:w="120" w:type="dxa"/>
          <w:right w:w="120" w:type="dxa"/>
        </w:tblCellMar>
        <w:tblLook w:val="0000" w:firstRow="0" w:lastRow="0" w:firstColumn="0" w:lastColumn="0" w:noHBand="0" w:noVBand="0"/>
      </w:tblPr>
      <w:tblGrid>
        <w:gridCol w:w="2626"/>
        <w:gridCol w:w="1244"/>
        <w:gridCol w:w="1397"/>
        <w:gridCol w:w="1138"/>
        <w:gridCol w:w="1138"/>
        <w:gridCol w:w="1281"/>
        <w:gridCol w:w="1124"/>
      </w:tblGrid>
      <w:tr w:rsidR="00B9511A" w:rsidRPr="001567C8" w:rsidTr="003C6BA3">
        <w:trPr>
          <w:trHeight w:val="783"/>
        </w:trPr>
        <w:tc>
          <w:tcPr>
            <w:tcW w:w="1320" w:type="pct"/>
          </w:tcPr>
          <w:p w:rsidR="00B9511A" w:rsidRPr="001567C8" w:rsidRDefault="00B9511A" w:rsidP="00B9511A">
            <w:pPr>
              <w:tabs>
                <w:tab w:val="right" w:pos="1202"/>
              </w:tabs>
              <w:spacing w:line="301" w:lineRule="exact"/>
              <w:outlineLvl w:val="0"/>
              <w:rPr>
                <w:rFonts w:ascii="Calibri" w:eastAsia="Calibri" w:hAnsi="Calibri" w:cs="Calibri"/>
                <w:b/>
                <w:iCs/>
                <w:sz w:val="17"/>
                <w:szCs w:val="17"/>
                <w:lang w:val="hr-HR"/>
              </w:rPr>
            </w:pPr>
          </w:p>
        </w:tc>
        <w:tc>
          <w:tcPr>
            <w:tcW w:w="625"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 xml:space="preserve">Temeljni </w:t>
            </w:r>
          </w:p>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kapital</w:t>
            </w:r>
          </w:p>
        </w:tc>
        <w:tc>
          <w:tcPr>
            <w:tcW w:w="702"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Akumulirani gubitak</w:t>
            </w:r>
          </w:p>
        </w:tc>
        <w:tc>
          <w:tcPr>
            <w:tcW w:w="572"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Ostale rezerve</w:t>
            </w:r>
          </w:p>
        </w:tc>
        <w:tc>
          <w:tcPr>
            <w:tcW w:w="572"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 xml:space="preserve">Neto dobit </w:t>
            </w:r>
          </w:p>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tekuće godine</w:t>
            </w:r>
          </w:p>
        </w:tc>
        <w:tc>
          <w:tcPr>
            <w:tcW w:w="644"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Ukupni kapital koji pripada vlasnicima društva</w:t>
            </w:r>
          </w:p>
        </w:tc>
        <w:tc>
          <w:tcPr>
            <w:tcW w:w="565"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Ukupni kapital</w:t>
            </w:r>
          </w:p>
        </w:tc>
      </w:tr>
      <w:tr w:rsidR="00B9511A" w:rsidRPr="001567C8" w:rsidTr="003C6BA3">
        <w:trPr>
          <w:trHeight w:val="298"/>
        </w:trPr>
        <w:tc>
          <w:tcPr>
            <w:tcW w:w="1320" w:type="pct"/>
          </w:tcPr>
          <w:p w:rsidR="00B9511A" w:rsidRPr="001567C8" w:rsidRDefault="00B9511A" w:rsidP="00B9511A">
            <w:pPr>
              <w:tabs>
                <w:tab w:val="right" w:pos="1202"/>
              </w:tabs>
              <w:spacing w:line="301" w:lineRule="exact"/>
              <w:outlineLvl w:val="0"/>
              <w:rPr>
                <w:rFonts w:ascii="Calibri" w:eastAsia="Calibri" w:hAnsi="Calibri" w:cs="Calibri"/>
                <w:iCs/>
                <w:sz w:val="17"/>
                <w:szCs w:val="17"/>
                <w:lang w:val="hr-HR"/>
              </w:rPr>
            </w:pPr>
          </w:p>
        </w:tc>
        <w:tc>
          <w:tcPr>
            <w:tcW w:w="625" w:type="pct"/>
          </w:tcPr>
          <w:p w:rsidR="00B9511A" w:rsidRPr="001567C8" w:rsidRDefault="00B9511A" w:rsidP="00B9511A">
            <w:pPr>
              <w:keepLines/>
              <w:tabs>
                <w:tab w:val="right" w:pos="1202"/>
              </w:tabs>
              <w:spacing w:line="301" w:lineRule="exact"/>
              <w:jc w:val="right"/>
              <w:outlineLvl w:val="0"/>
              <w:rPr>
                <w:rFonts w:ascii="Calibri" w:eastAsia="Calibri" w:hAnsi="Calibri" w:cs="Calibri"/>
                <w:b/>
                <w:bCs/>
                <w:sz w:val="17"/>
                <w:szCs w:val="17"/>
                <w:lang w:val="hr-HR"/>
              </w:rPr>
            </w:pPr>
            <w:r w:rsidRPr="001567C8">
              <w:rPr>
                <w:rFonts w:ascii="Calibri" w:eastAsia="Calibri" w:hAnsi="Calibri" w:cs="Calibri"/>
                <w:b/>
                <w:bCs/>
                <w:sz w:val="17"/>
                <w:szCs w:val="17"/>
                <w:lang w:val="hr-HR"/>
              </w:rPr>
              <w:t>000 kuna</w:t>
            </w:r>
          </w:p>
        </w:tc>
        <w:tc>
          <w:tcPr>
            <w:tcW w:w="702" w:type="pct"/>
          </w:tcPr>
          <w:p w:rsidR="00B9511A" w:rsidRPr="001567C8" w:rsidRDefault="00B9511A" w:rsidP="00B9511A">
            <w:pPr>
              <w:keepLines/>
              <w:tabs>
                <w:tab w:val="right" w:pos="1202"/>
              </w:tabs>
              <w:spacing w:line="301" w:lineRule="exact"/>
              <w:jc w:val="right"/>
              <w:outlineLvl w:val="0"/>
              <w:rPr>
                <w:rFonts w:ascii="Calibri" w:eastAsia="Calibri" w:hAnsi="Calibri" w:cs="Calibri"/>
                <w:b/>
                <w:bCs/>
                <w:sz w:val="17"/>
                <w:szCs w:val="17"/>
                <w:lang w:val="hr-HR"/>
              </w:rPr>
            </w:pPr>
            <w:r w:rsidRPr="001567C8">
              <w:rPr>
                <w:rFonts w:ascii="Calibri" w:eastAsia="Calibri" w:hAnsi="Calibri" w:cs="Calibri"/>
                <w:b/>
                <w:bCs/>
                <w:sz w:val="17"/>
                <w:szCs w:val="17"/>
                <w:lang w:val="hr-HR"/>
              </w:rPr>
              <w:t>000 kuna</w:t>
            </w:r>
          </w:p>
        </w:tc>
        <w:tc>
          <w:tcPr>
            <w:tcW w:w="572" w:type="pct"/>
          </w:tcPr>
          <w:p w:rsidR="00B9511A" w:rsidRPr="001567C8" w:rsidRDefault="00B9511A" w:rsidP="00B9511A">
            <w:pPr>
              <w:keepLines/>
              <w:tabs>
                <w:tab w:val="right" w:pos="1202"/>
              </w:tabs>
              <w:spacing w:line="301" w:lineRule="exact"/>
              <w:jc w:val="right"/>
              <w:outlineLvl w:val="0"/>
              <w:rPr>
                <w:rFonts w:ascii="Calibri" w:eastAsia="Calibri" w:hAnsi="Calibri" w:cs="Calibri"/>
                <w:b/>
                <w:bCs/>
                <w:sz w:val="17"/>
                <w:szCs w:val="17"/>
                <w:lang w:val="hr-HR"/>
              </w:rPr>
            </w:pPr>
            <w:r w:rsidRPr="001567C8">
              <w:rPr>
                <w:rFonts w:ascii="Calibri" w:eastAsia="Calibri" w:hAnsi="Calibri" w:cs="Calibri"/>
                <w:b/>
                <w:bCs/>
                <w:sz w:val="17"/>
                <w:szCs w:val="17"/>
                <w:lang w:val="hr-HR"/>
              </w:rPr>
              <w:t>000 kuna</w:t>
            </w:r>
          </w:p>
        </w:tc>
        <w:tc>
          <w:tcPr>
            <w:tcW w:w="572" w:type="pct"/>
          </w:tcPr>
          <w:p w:rsidR="00B9511A" w:rsidRPr="001567C8" w:rsidRDefault="00B9511A" w:rsidP="00B9511A">
            <w:pPr>
              <w:keepLines/>
              <w:tabs>
                <w:tab w:val="right" w:pos="1202"/>
              </w:tabs>
              <w:spacing w:line="301" w:lineRule="exact"/>
              <w:jc w:val="right"/>
              <w:outlineLvl w:val="0"/>
              <w:rPr>
                <w:rFonts w:ascii="Calibri" w:eastAsia="Calibri" w:hAnsi="Calibri" w:cs="Calibri"/>
                <w:b/>
                <w:bCs/>
                <w:sz w:val="17"/>
                <w:szCs w:val="17"/>
                <w:lang w:val="hr-HR"/>
              </w:rPr>
            </w:pPr>
            <w:r w:rsidRPr="001567C8">
              <w:rPr>
                <w:rFonts w:ascii="Calibri" w:eastAsia="Calibri" w:hAnsi="Calibri" w:cs="Calibri"/>
                <w:b/>
                <w:bCs/>
                <w:sz w:val="17"/>
                <w:szCs w:val="17"/>
                <w:lang w:val="hr-HR"/>
              </w:rPr>
              <w:t>000 kuna</w:t>
            </w:r>
          </w:p>
        </w:tc>
        <w:tc>
          <w:tcPr>
            <w:tcW w:w="644" w:type="pct"/>
          </w:tcPr>
          <w:p w:rsidR="00B9511A" w:rsidRPr="001567C8" w:rsidRDefault="00B9511A" w:rsidP="00B9511A">
            <w:pPr>
              <w:keepLines/>
              <w:tabs>
                <w:tab w:val="right" w:pos="1202"/>
              </w:tabs>
              <w:spacing w:line="301" w:lineRule="exact"/>
              <w:jc w:val="right"/>
              <w:outlineLvl w:val="0"/>
              <w:rPr>
                <w:rFonts w:ascii="Calibri" w:eastAsia="Calibri" w:hAnsi="Calibri" w:cs="Calibri"/>
                <w:b/>
                <w:bCs/>
                <w:sz w:val="17"/>
                <w:szCs w:val="17"/>
                <w:lang w:val="hr-HR"/>
              </w:rPr>
            </w:pPr>
            <w:r w:rsidRPr="001567C8">
              <w:rPr>
                <w:rFonts w:ascii="Calibri" w:eastAsia="Calibri" w:hAnsi="Calibri" w:cs="Calibri"/>
                <w:b/>
                <w:bCs/>
                <w:sz w:val="17"/>
                <w:szCs w:val="17"/>
                <w:lang w:val="hr-HR"/>
              </w:rPr>
              <w:t>000 kuna</w:t>
            </w:r>
          </w:p>
        </w:tc>
        <w:tc>
          <w:tcPr>
            <w:tcW w:w="565" w:type="pct"/>
          </w:tcPr>
          <w:p w:rsidR="00B9511A" w:rsidRPr="001567C8" w:rsidRDefault="00B9511A" w:rsidP="00B9511A">
            <w:pPr>
              <w:keepLines/>
              <w:tabs>
                <w:tab w:val="right" w:pos="1202"/>
              </w:tabs>
              <w:spacing w:line="301" w:lineRule="exact"/>
              <w:jc w:val="right"/>
              <w:outlineLvl w:val="0"/>
              <w:rPr>
                <w:rFonts w:ascii="Calibri" w:eastAsia="Calibri" w:hAnsi="Calibri" w:cs="Calibri"/>
                <w:b/>
                <w:bCs/>
                <w:sz w:val="17"/>
                <w:szCs w:val="17"/>
                <w:lang w:val="hr-HR"/>
              </w:rPr>
            </w:pPr>
            <w:r w:rsidRPr="001567C8">
              <w:rPr>
                <w:rFonts w:ascii="Calibri" w:eastAsia="Calibri" w:hAnsi="Calibri" w:cs="Calibri"/>
                <w:b/>
                <w:bCs/>
                <w:sz w:val="17"/>
                <w:szCs w:val="17"/>
                <w:lang w:val="hr-HR"/>
              </w:rPr>
              <w:t>000 kuna</w:t>
            </w:r>
          </w:p>
        </w:tc>
      </w:tr>
      <w:tr w:rsidR="00B9511A" w:rsidRPr="001567C8" w:rsidTr="003C6BA3">
        <w:trPr>
          <w:trHeight w:val="132"/>
        </w:trPr>
        <w:tc>
          <w:tcPr>
            <w:tcW w:w="1320" w:type="pct"/>
          </w:tcPr>
          <w:p w:rsidR="00B9511A" w:rsidRPr="001567C8" w:rsidRDefault="00B9511A" w:rsidP="00B9511A">
            <w:pPr>
              <w:tabs>
                <w:tab w:val="right" w:pos="1202"/>
              </w:tabs>
              <w:spacing w:line="140" w:lineRule="exact"/>
              <w:outlineLvl w:val="0"/>
              <w:rPr>
                <w:rFonts w:ascii="Calibri" w:eastAsia="Calibri" w:hAnsi="Calibri" w:cs="Calibri"/>
                <w:iCs/>
                <w:sz w:val="17"/>
                <w:szCs w:val="17"/>
                <w:lang w:val="hr-HR"/>
              </w:rPr>
            </w:pPr>
          </w:p>
        </w:tc>
        <w:tc>
          <w:tcPr>
            <w:tcW w:w="625" w:type="pct"/>
            <w:vAlign w:val="bottom"/>
          </w:tcPr>
          <w:p w:rsidR="00B9511A" w:rsidRPr="001567C8" w:rsidRDefault="00B9511A" w:rsidP="00B9511A">
            <w:pPr>
              <w:tabs>
                <w:tab w:val="right" w:pos="1202"/>
              </w:tabs>
              <w:spacing w:line="140" w:lineRule="exact"/>
              <w:jc w:val="right"/>
              <w:outlineLvl w:val="0"/>
              <w:rPr>
                <w:rFonts w:ascii="Calibri" w:eastAsia="Calibri" w:hAnsi="Calibri" w:cs="Calibri"/>
                <w:b/>
                <w:bCs/>
                <w:sz w:val="17"/>
                <w:szCs w:val="17"/>
                <w:lang w:val="hr-HR"/>
              </w:rPr>
            </w:pPr>
          </w:p>
        </w:tc>
        <w:tc>
          <w:tcPr>
            <w:tcW w:w="702" w:type="pct"/>
            <w:vAlign w:val="bottom"/>
          </w:tcPr>
          <w:p w:rsidR="00B9511A" w:rsidRPr="001567C8" w:rsidRDefault="00B9511A" w:rsidP="00B9511A">
            <w:pPr>
              <w:tabs>
                <w:tab w:val="right" w:pos="1202"/>
              </w:tabs>
              <w:spacing w:line="140" w:lineRule="exact"/>
              <w:jc w:val="right"/>
              <w:outlineLvl w:val="0"/>
              <w:rPr>
                <w:rFonts w:ascii="Calibri" w:eastAsia="Calibri" w:hAnsi="Calibri" w:cs="Calibri"/>
                <w:b/>
                <w:bCs/>
                <w:sz w:val="17"/>
                <w:szCs w:val="17"/>
                <w:lang w:val="hr-HR"/>
              </w:rPr>
            </w:pPr>
          </w:p>
        </w:tc>
        <w:tc>
          <w:tcPr>
            <w:tcW w:w="572" w:type="pct"/>
          </w:tcPr>
          <w:p w:rsidR="00B9511A" w:rsidRPr="001567C8" w:rsidRDefault="00B9511A" w:rsidP="00B9511A">
            <w:pPr>
              <w:tabs>
                <w:tab w:val="right" w:pos="1202"/>
              </w:tabs>
              <w:spacing w:line="140" w:lineRule="exact"/>
              <w:jc w:val="right"/>
              <w:outlineLvl w:val="0"/>
              <w:rPr>
                <w:rFonts w:ascii="Calibri" w:eastAsia="Calibri" w:hAnsi="Calibri" w:cs="Calibri"/>
                <w:b/>
                <w:bCs/>
                <w:sz w:val="17"/>
                <w:szCs w:val="17"/>
                <w:lang w:val="hr-HR"/>
              </w:rPr>
            </w:pPr>
          </w:p>
        </w:tc>
        <w:tc>
          <w:tcPr>
            <w:tcW w:w="572" w:type="pct"/>
            <w:vAlign w:val="bottom"/>
          </w:tcPr>
          <w:p w:rsidR="00B9511A" w:rsidRPr="001567C8" w:rsidRDefault="00B9511A" w:rsidP="00B9511A">
            <w:pPr>
              <w:tabs>
                <w:tab w:val="right" w:pos="1202"/>
              </w:tabs>
              <w:spacing w:line="140" w:lineRule="exact"/>
              <w:jc w:val="right"/>
              <w:outlineLvl w:val="0"/>
              <w:rPr>
                <w:rFonts w:ascii="Calibri" w:eastAsia="Calibri" w:hAnsi="Calibri" w:cs="Calibri"/>
                <w:b/>
                <w:bCs/>
                <w:sz w:val="17"/>
                <w:szCs w:val="17"/>
                <w:lang w:val="hr-HR"/>
              </w:rPr>
            </w:pPr>
          </w:p>
        </w:tc>
        <w:tc>
          <w:tcPr>
            <w:tcW w:w="644" w:type="pct"/>
            <w:vAlign w:val="bottom"/>
          </w:tcPr>
          <w:p w:rsidR="00B9511A" w:rsidRPr="001567C8" w:rsidRDefault="00B9511A" w:rsidP="00B9511A">
            <w:pPr>
              <w:tabs>
                <w:tab w:val="right" w:pos="1202"/>
              </w:tabs>
              <w:spacing w:line="140" w:lineRule="exact"/>
              <w:jc w:val="right"/>
              <w:outlineLvl w:val="0"/>
              <w:rPr>
                <w:rFonts w:ascii="Calibri" w:eastAsia="Calibri" w:hAnsi="Calibri" w:cs="Calibri"/>
                <w:b/>
                <w:bCs/>
                <w:sz w:val="17"/>
                <w:szCs w:val="17"/>
                <w:lang w:val="hr-HR"/>
              </w:rPr>
            </w:pPr>
          </w:p>
        </w:tc>
        <w:tc>
          <w:tcPr>
            <w:tcW w:w="565" w:type="pct"/>
            <w:vAlign w:val="bottom"/>
          </w:tcPr>
          <w:p w:rsidR="00B9511A" w:rsidRPr="001567C8" w:rsidRDefault="00B9511A" w:rsidP="00B9511A">
            <w:pPr>
              <w:tabs>
                <w:tab w:val="right" w:pos="1202"/>
              </w:tabs>
              <w:spacing w:line="140" w:lineRule="exact"/>
              <w:jc w:val="right"/>
              <w:outlineLvl w:val="0"/>
              <w:rPr>
                <w:rFonts w:ascii="Calibri" w:eastAsia="Calibri" w:hAnsi="Calibri" w:cs="Calibri"/>
                <w:b/>
                <w:bCs/>
                <w:sz w:val="17"/>
                <w:szCs w:val="17"/>
                <w:lang w:val="hr-HR"/>
              </w:rPr>
            </w:pPr>
          </w:p>
        </w:tc>
      </w:tr>
      <w:tr w:rsidR="00B9511A" w:rsidRPr="001567C8" w:rsidTr="003C6BA3">
        <w:trPr>
          <w:trHeight w:val="473"/>
        </w:trPr>
        <w:tc>
          <w:tcPr>
            <w:tcW w:w="1320" w:type="pct"/>
            <w:vAlign w:val="bottom"/>
          </w:tcPr>
          <w:p w:rsidR="00B9511A" w:rsidRPr="001567C8" w:rsidRDefault="00B9511A" w:rsidP="00B9511A">
            <w:pPr>
              <w:tabs>
                <w:tab w:val="right" w:pos="1202"/>
              </w:tabs>
              <w:spacing w:line="240" w:lineRule="exac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Stanje 1. siječnja 2017. godine</w:t>
            </w:r>
          </w:p>
        </w:tc>
        <w:tc>
          <w:tcPr>
            <w:tcW w:w="625"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37.500</w:t>
            </w:r>
          </w:p>
        </w:tc>
        <w:tc>
          <w:tcPr>
            <w:tcW w:w="702"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(148)</w:t>
            </w:r>
          </w:p>
        </w:tc>
        <w:tc>
          <w:tcPr>
            <w:tcW w:w="572"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2.188</w:t>
            </w:r>
          </w:p>
        </w:tc>
        <w:tc>
          <w:tcPr>
            <w:tcW w:w="572"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1.315</w:t>
            </w:r>
          </w:p>
        </w:tc>
        <w:tc>
          <w:tcPr>
            <w:tcW w:w="644"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40.855</w:t>
            </w:r>
          </w:p>
        </w:tc>
        <w:tc>
          <w:tcPr>
            <w:tcW w:w="565"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40.855</w:t>
            </w:r>
          </w:p>
        </w:tc>
      </w:tr>
      <w:tr w:rsidR="00B9511A" w:rsidRPr="001567C8" w:rsidTr="003C6BA3">
        <w:trPr>
          <w:trHeight w:val="61"/>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b/>
                <w:iCs/>
                <w:sz w:val="17"/>
                <w:szCs w:val="17"/>
                <w:lang w:val="hr-HR"/>
              </w:rPr>
            </w:pPr>
          </w:p>
        </w:tc>
        <w:tc>
          <w:tcPr>
            <w:tcW w:w="625"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702"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572"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572"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644"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565"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r>
      <w:tr w:rsidR="00B9511A" w:rsidRPr="001567C8" w:rsidTr="003C6BA3">
        <w:trPr>
          <w:trHeight w:val="77"/>
        </w:trPr>
        <w:tc>
          <w:tcPr>
            <w:tcW w:w="1320" w:type="pct"/>
            <w:vAlign w:val="bottom"/>
          </w:tcPr>
          <w:p w:rsidR="00B9511A" w:rsidRPr="001567C8" w:rsidRDefault="00B9511A" w:rsidP="00B9511A">
            <w:pPr>
              <w:tabs>
                <w:tab w:val="right" w:pos="1202"/>
              </w:tabs>
              <w:spacing w:line="240" w:lineRule="exac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 xml:space="preserve">Dobit tekuće </w:t>
            </w:r>
            <w:r w:rsidR="003671C5" w:rsidRPr="001567C8">
              <w:rPr>
                <w:rFonts w:ascii="Calibri" w:eastAsia="Calibri" w:hAnsi="Calibri" w:cs="Calibri"/>
                <w:iCs/>
                <w:sz w:val="17"/>
                <w:szCs w:val="17"/>
                <w:lang w:val="hr-HR"/>
              </w:rPr>
              <w:t>godine</w:t>
            </w:r>
          </w:p>
        </w:tc>
        <w:tc>
          <w:tcPr>
            <w:tcW w:w="625" w:type="pct"/>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702" w:type="pct"/>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572" w:type="pct"/>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572" w:type="pct"/>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1.417</w:t>
            </w:r>
          </w:p>
        </w:tc>
        <w:tc>
          <w:tcPr>
            <w:tcW w:w="644" w:type="pct"/>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1.417</w:t>
            </w:r>
          </w:p>
        </w:tc>
        <w:tc>
          <w:tcPr>
            <w:tcW w:w="565" w:type="pct"/>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1.417</w:t>
            </w:r>
          </w:p>
        </w:tc>
      </w:tr>
      <w:tr w:rsidR="00B9511A" w:rsidRPr="001567C8" w:rsidTr="003C6BA3">
        <w:trPr>
          <w:trHeight w:val="77"/>
        </w:trPr>
        <w:tc>
          <w:tcPr>
            <w:tcW w:w="1320" w:type="pct"/>
            <w:vAlign w:val="bottom"/>
          </w:tcPr>
          <w:p w:rsidR="00B9511A" w:rsidRPr="001567C8" w:rsidRDefault="00B9511A" w:rsidP="00B9511A">
            <w:pPr>
              <w:tabs>
                <w:tab w:val="right" w:pos="1202"/>
              </w:tabs>
              <w:spacing w:line="240" w:lineRule="exac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Ostala sveobuhvatna dobit</w:t>
            </w:r>
          </w:p>
        </w:tc>
        <w:tc>
          <w:tcPr>
            <w:tcW w:w="625"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702"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572"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811</w:t>
            </w:r>
          </w:p>
        </w:tc>
        <w:tc>
          <w:tcPr>
            <w:tcW w:w="572"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644"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811</w:t>
            </w:r>
          </w:p>
        </w:tc>
        <w:tc>
          <w:tcPr>
            <w:tcW w:w="565"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811</w:t>
            </w:r>
          </w:p>
        </w:tc>
      </w:tr>
      <w:tr w:rsidR="00B9511A" w:rsidRPr="001567C8" w:rsidTr="003C6BA3">
        <w:trPr>
          <w:trHeight w:val="132"/>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iCs/>
                <w:sz w:val="17"/>
                <w:szCs w:val="17"/>
                <w:lang w:val="hr-HR"/>
              </w:rPr>
            </w:pPr>
          </w:p>
        </w:tc>
        <w:tc>
          <w:tcPr>
            <w:tcW w:w="62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70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644"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6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r>
      <w:tr w:rsidR="00B9511A" w:rsidRPr="001567C8" w:rsidTr="003C6BA3">
        <w:trPr>
          <w:trHeight w:val="77"/>
        </w:trPr>
        <w:tc>
          <w:tcPr>
            <w:tcW w:w="1320" w:type="pct"/>
            <w:vAlign w:val="bottom"/>
          </w:tcPr>
          <w:p w:rsidR="00B9511A" w:rsidRPr="001567C8" w:rsidRDefault="00B9511A" w:rsidP="00B9511A">
            <w:pPr>
              <w:tabs>
                <w:tab w:val="right" w:pos="1202"/>
              </w:tabs>
              <w:spacing w:line="240" w:lineRule="exac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Ukupna sveobuhvatna dobit</w:t>
            </w:r>
          </w:p>
        </w:tc>
        <w:tc>
          <w:tcPr>
            <w:tcW w:w="625"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702"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572"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811</w:t>
            </w:r>
          </w:p>
        </w:tc>
        <w:tc>
          <w:tcPr>
            <w:tcW w:w="572"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1.417</w:t>
            </w:r>
          </w:p>
        </w:tc>
        <w:tc>
          <w:tcPr>
            <w:tcW w:w="644"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2.228</w:t>
            </w:r>
          </w:p>
        </w:tc>
        <w:tc>
          <w:tcPr>
            <w:tcW w:w="565" w:type="pct"/>
            <w:tcBorders>
              <w:bottom w:val="single" w:sz="4" w:space="0" w:color="auto"/>
            </w:tcBorders>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2.228</w:t>
            </w:r>
          </w:p>
        </w:tc>
      </w:tr>
      <w:tr w:rsidR="00B9511A" w:rsidRPr="001567C8" w:rsidTr="003C6BA3">
        <w:trPr>
          <w:trHeight w:val="132"/>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iCs/>
                <w:sz w:val="17"/>
                <w:szCs w:val="17"/>
                <w:lang w:val="hr-HR"/>
              </w:rPr>
            </w:pPr>
          </w:p>
        </w:tc>
        <w:tc>
          <w:tcPr>
            <w:tcW w:w="62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70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644"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6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r>
      <w:tr w:rsidR="00B9511A" w:rsidRPr="001567C8" w:rsidTr="003C6BA3">
        <w:trPr>
          <w:trHeight w:val="463"/>
        </w:trPr>
        <w:tc>
          <w:tcPr>
            <w:tcW w:w="1320" w:type="pct"/>
          </w:tcPr>
          <w:p w:rsidR="00B9511A" w:rsidRPr="001567C8" w:rsidRDefault="00B9511A" w:rsidP="00B9511A">
            <w:pPr>
              <w:tabs>
                <w:tab w:val="right" w:pos="1202"/>
              </w:tabs>
              <w:spacing w:line="240" w:lineRule="exact"/>
              <w:outlineLvl w:val="0"/>
              <w:rPr>
                <w:rFonts w:ascii="Calibri" w:eastAsia="Calibri" w:hAnsi="Calibri" w:cs="Calibri"/>
                <w:i/>
                <w:iCs/>
                <w:sz w:val="17"/>
                <w:szCs w:val="17"/>
                <w:lang w:val="hr-HR"/>
              </w:rPr>
            </w:pPr>
            <w:r w:rsidRPr="001567C8">
              <w:rPr>
                <w:rFonts w:ascii="Calibri" w:eastAsia="Calibri" w:hAnsi="Calibri" w:cs="Calibri"/>
                <w:iCs/>
                <w:sz w:val="17"/>
                <w:szCs w:val="17"/>
                <w:lang w:val="hr-HR"/>
              </w:rPr>
              <w:t>Prijenos dobiti iz 2016. godine u zadržanu dobit</w:t>
            </w:r>
          </w:p>
        </w:tc>
        <w:tc>
          <w:tcPr>
            <w:tcW w:w="625" w:type="pct"/>
            <w:tcBorders>
              <w:top w:val="nil"/>
              <w:left w:val="nil"/>
              <w:bottom w:val="single" w:sz="4" w:space="0" w:color="auto"/>
              <w:right w:val="nil"/>
            </w:tcBorders>
            <w:shd w:val="clear" w:color="auto" w:fill="auto"/>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702" w:type="pct"/>
            <w:tcBorders>
              <w:top w:val="nil"/>
              <w:left w:val="nil"/>
              <w:bottom w:val="single" w:sz="4" w:space="0" w:color="auto"/>
              <w:right w:val="nil"/>
            </w:tcBorders>
            <w:shd w:val="clear" w:color="auto" w:fill="auto"/>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1.315</w:t>
            </w:r>
          </w:p>
        </w:tc>
        <w:tc>
          <w:tcPr>
            <w:tcW w:w="572" w:type="pct"/>
            <w:tcBorders>
              <w:top w:val="nil"/>
              <w:left w:val="nil"/>
              <w:bottom w:val="single" w:sz="4" w:space="0" w:color="auto"/>
              <w:right w:val="nil"/>
            </w:tcBorders>
            <w:shd w:val="clear" w:color="auto" w:fill="auto"/>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572" w:type="pct"/>
            <w:tcBorders>
              <w:top w:val="nil"/>
              <w:left w:val="nil"/>
              <w:bottom w:val="single" w:sz="4" w:space="0" w:color="auto"/>
              <w:right w:val="nil"/>
            </w:tcBorders>
            <w:shd w:val="clear" w:color="auto" w:fill="auto"/>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(1.315)</w:t>
            </w:r>
          </w:p>
        </w:tc>
        <w:tc>
          <w:tcPr>
            <w:tcW w:w="644" w:type="pct"/>
            <w:tcBorders>
              <w:top w:val="nil"/>
              <w:left w:val="nil"/>
              <w:bottom w:val="single" w:sz="4" w:space="0" w:color="auto"/>
              <w:right w:val="nil"/>
            </w:tcBorders>
            <w:shd w:val="clear" w:color="auto" w:fill="auto"/>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w:t>
            </w:r>
          </w:p>
        </w:tc>
        <w:tc>
          <w:tcPr>
            <w:tcW w:w="565" w:type="pct"/>
            <w:tcBorders>
              <w:top w:val="nil"/>
              <w:left w:val="nil"/>
              <w:bottom w:val="single" w:sz="4" w:space="0" w:color="auto"/>
              <w:right w:val="nil"/>
            </w:tcBorders>
            <w:shd w:val="clear" w:color="auto" w:fill="auto"/>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w:t>
            </w:r>
          </w:p>
        </w:tc>
      </w:tr>
      <w:tr w:rsidR="00B9511A" w:rsidRPr="001567C8" w:rsidTr="003C6BA3">
        <w:trPr>
          <w:trHeight w:val="132"/>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iCs/>
                <w:sz w:val="17"/>
                <w:szCs w:val="17"/>
                <w:lang w:val="hr-HR"/>
              </w:rPr>
            </w:pPr>
          </w:p>
        </w:tc>
        <w:tc>
          <w:tcPr>
            <w:tcW w:w="62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70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644"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6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r>
      <w:tr w:rsidR="00B9511A" w:rsidRPr="001567C8" w:rsidTr="003C6BA3">
        <w:trPr>
          <w:trHeight w:val="275"/>
        </w:trPr>
        <w:tc>
          <w:tcPr>
            <w:tcW w:w="1320" w:type="pct"/>
            <w:vAlign w:val="bottom"/>
          </w:tcPr>
          <w:p w:rsidR="00B9511A" w:rsidRPr="001567C8" w:rsidRDefault="00B9511A" w:rsidP="00EE5455">
            <w:pPr>
              <w:tabs>
                <w:tab w:val="right" w:pos="1202"/>
              </w:tabs>
              <w:spacing w:line="240" w:lineRule="exac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Stanje 31. prosinc</w:t>
            </w:r>
            <w:r w:rsidR="00F55E1F">
              <w:rPr>
                <w:rFonts w:ascii="Calibri" w:eastAsia="Calibri" w:hAnsi="Calibri" w:cs="Calibri"/>
                <w:b/>
                <w:iCs/>
                <w:sz w:val="17"/>
                <w:szCs w:val="17"/>
                <w:lang w:val="hr-HR"/>
              </w:rPr>
              <w:t>a</w:t>
            </w:r>
            <w:r w:rsidRPr="001567C8">
              <w:rPr>
                <w:rFonts w:ascii="Calibri" w:eastAsia="Calibri" w:hAnsi="Calibri" w:cs="Calibri"/>
                <w:b/>
                <w:iCs/>
                <w:sz w:val="17"/>
                <w:szCs w:val="17"/>
                <w:lang w:val="hr-HR"/>
              </w:rPr>
              <w:t xml:space="preserve"> 2017. godine</w:t>
            </w:r>
          </w:p>
        </w:tc>
        <w:tc>
          <w:tcPr>
            <w:tcW w:w="625" w:type="pct"/>
            <w:tcBorders>
              <w:bottom w:val="single" w:sz="12"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37.500</w:t>
            </w:r>
          </w:p>
        </w:tc>
        <w:tc>
          <w:tcPr>
            <w:tcW w:w="702" w:type="pct"/>
            <w:tcBorders>
              <w:bottom w:val="single" w:sz="12"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1.167</w:t>
            </w:r>
          </w:p>
        </w:tc>
        <w:tc>
          <w:tcPr>
            <w:tcW w:w="572" w:type="pct"/>
            <w:tcBorders>
              <w:bottom w:val="single" w:sz="12"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2.999</w:t>
            </w:r>
          </w:p>
        </w:tc>
        <w:tc>
          <w:tcPr>
            <w:tcW w:w="572" w:type="pct"/>
            <w:tcBorders>
              <w:bottom w:val="single" w:sz="12"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1.417</w:t>
            </w:r>
          </w:p>
        </w:tc>
        <w:tc>
          <w:tcPr>
            <w:tcW w:w="644" w:type="pct"/>
            <w:tcBorders>
              <w:bottom w:val="single" w:sz="12"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43.083</w:t>
            </w:r>
          </w:p>
        </w:tc>
        <w:tc>
          <w:tcPr>
            <w:tcW w:w="565" w:type="pct"/>
            <w:tcBorders>
              <w:bottom w:val="single" w:sz="12"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b/>
                <w:iCs/>
                <w:sz w:val="17"/>
                <w:szCs w:val="17"/>
                <w:lang w:val="hr-HR"/>
              </w:rPr>
            </w:pPr>
            <w:r w:rsidRPr="001567C8">
              <w:rPr>
                <w:rFonts w:ascii="Calibri" w:eastAsia="Calibri" w:hAnsi="Calibri" w:cs="Calibri"/>
                <w:b/>
                <w:iCs/>
                <w:sz w:val="17"/>
                <w:szCs w:val="17"/>
                <w:lang w:val="hr-HR"/>
              </w:rPr>
              <w:t>43.083</w:t>
            </w:r>
          </w:p>
        </w:tc>
      </w:tr>
      <w:tr w:rsidR="00B9511A" w:rsidRPr="001567C8" w:rsidTr="003C6BA3">
        <w:trPr>
          <w:trHeight w:val="76"/>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b/>
                <w:iCs/>
                <w:sz w:val="17"/>
                <w:szCs w:val="17"/>
                <w:lang w:val="hr-HR"/>
              </w:rPr>
            </w:pPr>
          </w:p>
        </w:tc>
        <w:tc>
          <w:tcPr>
            <w:tcW w:w="625"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702"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572"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572"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644"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565"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r>
      <w:tr w:rsidR="00B9511A" w:rsidRPr="001567C8" w:rsidTr="003C6BA3">
        <w:trPr>
          <w:trHeight w:val="76"/>
        </w:trPr>
        <w:tc>
          <w:tcPr>
            <w:tcW w:w="1320" w:type="pct"/>
            <w:vAlign w:val="bottom"/>
          </w:tcPr>
          <w:p w:rsidR="00B9511A" w:rsidRPr="001567C8" w:rsidRDefault="00B9511A" w:rsidP="00B9511A">
            <w:pPr>
              <w:tabs>
                <w:tab w:val="right" w:pos="1202"/>
              </w:tabs>
              <w:spacing w:line="240" w:lineRule="exac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 xml:space="preserve">Dobit tekuće </w:t>
            </w:r>
            <w:r w:rsidR="003671C5" w:rsidRPr="001567C8">
              <w:rPr>
                <w:rFonts w:ascii="Calibri" w:eastAsia="Calibri" w:hAnsi="Calibri" w:cs="Calibri"/>
                <w:iCs/>
                <w:sz w:val="17"/>
                <w:szCs w:val="17"/>
                <w:lang w:val="hr-HR"/>
              </w:rPr>
              <w:t>godine</w:t>
            </w:r>
          </w:p>
        </w:tc>
        <w:tc>
          <w:tcPr>
            <w:tcW w:w="625"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702"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572"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572" w:type="pct"/>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481</w:t>
            </w:r>
          </w:p>
        </w:tc>
        <w:tc>
          <w:tcPr>
            <w:tcW w:w="644" w:type="pct"/>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481</w:t>
            </w:r>
          </w:p>
        </w:tc>
        <w:tc>
          <w:tcPr>
            <w:tcW w:w="565" w:type="pct"/>
            <w:tcBorders>
              <w:top w:val="nil"/>
              <w:left w:val="nil"/>
              <w:bottom w:val="nil"/>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481</w:t>
            </w:r>
          </w:p>
        </w:tc>
      </w:tr>
      <w:tr w:rsidR="00B9511A" w:rsidRPr="001567C8" w:rsidTr="003C6BA3">
        <w:trPr>
          <w:trHeight w:val="76"/>
        </w:trPr>
        <w:tc>
          <w:tcPr>
            <w:tcW w:w="1320" w:type="pct"/>
            <w:vAlign w:val="bottom"/>
          </w:tcPr>
          <w:p w:rsidR="00B9511A" w:rsidRPr="001567C8" w:rsidRDefault="00B9511A" w:rsidP="00B9511A">
            <w:pPr>
              <w:tabs>
                <w:tab w:val="right" w:pos="1202"/>
              </w:tabs>
              <w:spacing w:line="240" w:lineRule="exac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Ostala sveobuhvatna dobit</w:t>
            </w:r>
          </w:p>
        </w:tc>
        <w:tc>
          <w:tcPr>
            <w:tcW w:w="625" w:type="pct"/>
            <w:tcBorders>
              <w:bottom w:val="single" w:sz="4"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702" w:type="pct"/>
            <w:tcBorders>
              <w:bottom w:val="single" w:sz="4"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572" w:type="pct"/>
            <w:tcBorders>
              <w:bottom w:val="single" w:sz="4"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50</w:t>
            </w:r>
          </w:p>
        </w:tc>
        <w:tc>
          <w:tcPr>
            <w:tcW w:w="572" w:type="pct"/>
            <w:tcBorders>
              <w:bottom w:val="single" w:sz="4" w:space="0" w:color="auto"/>
            </w:tcBorders>
            <w:vAlign w:val="bottom"/>
          </w:tcPr>
          <w:p w:rsidR="00B9511A" w:rsidRPr="001567C8" w:rsidRDefault="00B9511A" w:rsidP="00B9511A">
            <w:pPr>
              <w:tabs>
                <w:tab w:val="right" w:pos="1202"/>
              </w:tabs>
              <w:spacing w:line="301" w:lineRule="exact"/>
              <w:jc w:val="righ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w:t>
            </w:r>
          </w:p>
        </w:tc>
        <w:tc>
          <w:tcPr>
            <w:tcW w:w="644" w:type="pct"/>
            <w:tcBorders>
              <w:bottom w:val="single" w:sz="4" w:space="0" w:color="auto"/>
            </w:tcBorders>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50</w:t>
            </w:r>
          </w:p>
        </w:tc>
        <w:tc>
          <w:tcPr>
            <w:tcW w:w="565" w:type="pct"/>
            <w:tcBorders>
              <w:top w:val="nil"/>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50</w:t>
            </w:r>
          </w:p>
        </w:tc>
      </w:tr>
      <w:tr w:rsidR="00B9511A" w:rsidRPr="001567C8" w:rsidTr="003C6BA3">
        <w:trPr>
          <w:trHeight w:val="76"/>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iCs/>
                <w:sz w:val="17"/>
                <w:szCs w:val="17"/>
                <w:lang w:val="hr-HR"/>
              </w:rPr>
            </w:pPr>
          </w:p>
        </w:tc>
        <w:tc>
          <w:tcPr>
            <w:tcW w:w="62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70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644"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6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r>
      <w:tr w:rsidR="00B9511A" w:rsidRPr="001567C8" w:rsidTr="003C6BA3">
        <w:trPr>
          <w:trHeight w:val="76"/>
        </w:trPr>
        <w:tc>
          <w:tcPr>
            <w:tcW w:w="1320" w:type="pct"/>
            <w:vAlign w:val="bottom"/>
          </w:tcPr>
          <w:p w:rsidR="00B9511A" w:rsidRPr="001567C8" w:rsidRDefault="00B9511A" w:rsidP="00B9511A">
            <w:pPr>
              <w:tabs>
                <w:tab w:val="right" w:pos="1202"/>
              </w:tabs>
              <w:spacing w:line="240" w:lineRule="exac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Ukupna sveobuhvatna dobit</w:t>
            </w:r>
          </w:p>
        </w:tc>
        <w:tc>
          <w:tcPr>
            <w:tcW w:w="625" w:type="pct"/>
            <w:tcBorders>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w:t>
            </w:r>
          </w:p>
        </w:tc>
        <w:tc>
          <w:tcPr>
            <w:tcW w:w="702" w:type="pct"/>
            <w:tcBorders>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w:t>
            </w:r>
          </w:p>
        </w:tc>
        <w:tc>
          <w:tcPr>
            <w:tcW w:w="572" w:type="pct"/>
            <w:tcBorders>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50</w:t>
            </w:r>
          </w:p>
        </w:tc>
        <w:tc>
          <w:tcPr>
            <w:tcW w:w="572" w:type="pct"/>
            <w:tcBorders>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481</w:t>
            </w:r>
          </w:p>
        </w:tc>
        <w:tc>
          <w:tcPr>
            <w:tcW w:w="644" w:type="pct"/>
            <w:tcBorders>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531</w:t>
            </w:r>
          </w:p>
        </w:tc>
        <w:tc>
          <w:tcPr>
            <w:tcW w:w="565" w:type="pct"/>
            <w:tcBorders>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531</w:t>
            </w:r>
          </w:p>
        </w:tc>
      </w:tr>
      <w:tr w:rsidR="00B9511A" w:rsidRPr="001567C8" w:rsidTr="003C6BA3">
        <w:trPr>
          <w:trHeight w:val="76"/>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iCs/>
                <w:sz w:val="17"/>
                <w:szCs w:val="17"/>
                <w:lang w:val="hr-HR"/>
              </w:rPr>
            </w:pPr>
          </w:p>
        </w:tc>
        <w:tc>
          <w:tcPr>
            <w:tcW w:w="62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70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644"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6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r>
      <w:tr w:rsidR="00B9511A" w:rsidRPr="001567C8" w:rsidTr="003C6BA3">
        <w:trPr>
          <w:trHeight w:val="414"/>
        </w:trPr>
        <w:tc>
          <w:tcPr>
            <w:tcW w:w="1320" w:type="pct"/>
            <w:vAlign w:val="bottom"/>
          </w:tcPr>
          <w:p w:rsidR="00B9511A" w:rsidRPr="001567C8" w:rsidRDefault="00B9511A" w:rsidP="00B9511A">
            <w:pPr>
              <w:tabs>
                <w:tab w:val="right" w:pos="1202"/>
              </w:tabs>
              <w:spacing w:line="240" w:lineRule="exact"/>
              <w:outlineLvl w:val="0"/>
              <w:rPr>
                <w:rFonts w:ascii="Calibri" w:eastAsia="Calibri" w:hAnsi="Calibri" w:cs="Calibri"/>
                <w:iCs/>
                <w:sz w:val="17"/>
                <w:szCs w:val="17"/>
                <w:lang w:val="hr-HR"/>
              </w:rPr>
            </w:pPr>
            <w:r w:rsidRPr="001567C8">
              <w:rPr>
                <w:rFonts w:ascii="Calibri" w:eastAsia="Calibri" w:hAnsi="Calibri" w:cs="Calibri"/>
                <w:iCs/>
                <w:sz w:val="17"/>
                <w:szCs w:val="17"/>
                <w:lang w:val="hr-HR"/>
              </w:rPr>
              <w:t>Usklada stanja 1.1.2018.</w:t>
            </w:r>
          </w:p>
        </w:tc>
        <w:tc>
          <w:tcPr>
            <w:tcW w:w="625" w:type="pct"/>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w:t>
            </w:r>
          </w:p>
        </w:tc>
        <w:tc>
          <w:tcPr>
            <w:tcW w:w="702" w:type="pct"/>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w:t>
            </w:r>
          </w:p>
        </w:tc>
        <w:tc>
          <w:tcPr>
            <w:tcW w:w="572" w:type="pct"/>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w:t>
            </w:r>
          </w:p>
        </w:tc>
        <w:tc>
          <w:tcPr>
            <w:tcW w:w="572" w:type="pct"/>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(347)</w:t>
            </w:r>
          </w:p>
        </w:tc>
        <w:tc>
          <w:tcPr>
            <w:tcW w:w="644" w:type="pct"/>
            <w:vAlign w:val="bottom"/>
          </w:tcPr>
          <w:p w:rsidR="00B9511A" w:rsidRPr="001567C8" w:rsidRDefault="00B9511A" w:rsidP="00B9511A">
            <w:pPr>
              <w:jc w:val="right"/>
              <w:rPr>
                <w:rFonts w:ascii="Calibri" w:eastAsia="Calibri" w:hAnsi="Calibri" w:cs="Calibri"/>
                <w:b/>
                <w:sz w:val="17"/>
                <w:szCs w:val="17"/>
                <w:lang w:val="hr-HR"/>
              </w:rPr>
            </w:pPr>
            <w:r w:rsidRPr="001567C8">
              <w:rPr>
                <w:rFonts w:ascii="Calibri" w:eastAsia="Calibri" w:hAnsi="Calibri" w:cs="Calibri"/>
                <w:b/>
                <w:sz w:val="17"/>
                <w:szCs w:val="17"/>
                <w:lang w:val="hr-HR"/>
              </w:rPr>
              <w:t>(347)</w:t>
            </w:r>
          </w:p>
        </w:tc>
        <w:tc>
          <w:tcPr>
            <w:tcW w:w="565" w:type="pct"/>
            <w:vAlign w:val="bottom"/>
          </w:tcPr>
          <w:p w:rsidR="00B9511A" w:rsidRPr="001567C8" w:rsidRDefault="00B9511A" w:rsidP="00B9511A">
            <w:pPr>
              <w:jc w:val="right"/>
              <w:rPr>
                <w:rFonts w:ascii="Calibri" w:eastAsia="Calibri" w:hAnsi="Calibri" w:cs="Calibri"/>
                <w:b/>
                <w:sz w:val="17"/>
                <w:szCs w:val="17"/>
                <w:lang w:val="hr-HR"/>
              </w:rPr>
            </w:pPr>
            <w:r w:rsidRPr="001567C8">
              <w:rPr>
                <w:rFonts w:ascii="Calibri" w:eastAsia="Calibri" w:hAnsi="Calibri" w:cs="Calibri"/>
                <w:b/>
                <w:sz w:val="17"/>
                <w:szCs w:val="17"/>
                <w:lang w:val="hr-HR"/>
              </w:rPr>
              <w:t>(347)</w:t>
            </w:r>
          </w:p>
        </w:tc>
      </w:tr>
      <w:tr w:rsidR="00B9511A" w:rsidRPr="001567C8" w:rsidTr="003C6BA3">
        <w:trPr>
          <w:trHeight w:val="76"/>
        </w:trPr>
        <w:tc>
          <w:tcPr>
            <w:tcW w:w="1320" w:type="pct"/>
          </w:tcPr>
          <w:p w:rsidR="00B9511A" w:rsidRPr="001567C8" w:rsidRDefault="00B9511A" w:rsidP="00B9511A">
            <w:pPr>
              <w:tabs>
                <w:tab w:val="right" w:pos="1202"/>
              </w:tabs>
              <w:spacing w:line="240" w:lineRule="exact"/>
              <w:outlineLvl w:val="0"/>
              <w:rPr>
                <w:rFonts w:ascii="Calibri" w:eastAsia="Calibri" w:hAnsi="Calibri" w:cs="Calibri"/>
                <w:i/>
                <w:iCs/>
                <w:sz w:val="17"/>
                <w:szCs w:val="17"/>
                <w:lang w:val="hr-HR"/>
              </w:rPr>
            </w:pPr>
            <w:r w:rsidRPr="001567C8">
              <w:rPr>
                <w:rFonts w:ascii="Calibri" w:eastAsia="Calibri" w:hAnsi="Calibri" w:cs="Calibri"/>
                <w:iCs/>
                <w:sz w:val="17"/>
                <w:szCs w:val="17"/>
                <w:lang w:val="hr-HR"/>
              </w:rPr>
              <w:t>Prijenos dobiti iz 2017. godine u zadržanu dobit</w:t>
            </w:r>
          </w:p>
        </w:tc>
        <w:tc>
          <w:tcPr>
            <w:tcW w:w="625" w:type="pct"/>
            <w:tcBorders>
              <w:top w:val="nil"/>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w:t>
            </w:r>
          </w:p>
        </w:tc>
        <w:tc>
          <w:tcPr>
            <w:tcW w:w="702" w:type="pct"/>
            <w:tcBorders>
              <w:top w:val="nil"/>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1.070</w:t>
            </w:r>
          </w:p>
        </w:tc>
        <w:tc>
          <w:tcPr>
            <w:tcW w:w="572" w:type="pct"/>
            <w:tcBorders>
              <w:top w:val="nil"/>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w:t>
            </w:r>
          </w:p>
        </w:tc>
        <w:tc>
          <w:tcPr>
            <w:tcW w:w="572" w:type="pct"/>
            <w:tcBorders>
              <w:top w:val="nil"/>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sz w:val="17"/>
                <w:szCs w:val="17"/>
                <w:lang w:val="hr-HR"/>
              </w:rPr>
            </w:pPr>
            <w:r w:rsidRPr="001567C8">
              <w:rPr>
                <w:rFonts w:ascii="Calibri" w:eastAsia="Calibri" w:hAnsi="Calibri" w:cs="Calibri"/>
                <w:sz w:val="17"/>
                <w:szCs w:val="17"/>
                <w:lang w:val="hr-HR"/>
              </w:rPr>
              <w:t>(1.070)</w:t>
            </w:r>
          </w:p>
        </w:tc>
        <w:tc>
          <w:tcPr>
            <w:tcW w:w="644" w:type="pct"/>
            <w:tcBorders>
              <w:top w:val="nil"/>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w:t>
            </w:r>
          </w:p>
        </w:tc>
        <w:tc>
          <w:tcPr>
            <w:tcW w:w="565" w:type="pct"/>
            <w:tcBorders>
              <w:top w:val="nil"/>
              <w:left w:val="nil"/>
              <w:bottom w:val="single" w:sz="4"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w:t>
            </w:r>
          </w:p>
        </w:tc>
      </w:tr>
      <w:tr w:rsidR="00B9511A" w:rsidRPr="001567C8" w:rsidTr="003C6BA3">
        <w:trPr>
          <w:trHeight w:val="83"/>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iCs/>
                <w:sz w:val="17"/>
                <w:szCs w:val="17"/>
                <w:lang w:val="hr-HR"/>
              </w:rPr>
            </w:pPr>
          </w:p>
        </w:tc>
        <w:tc>
          <w:tcPr>
            <w:tcW w:w="62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70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572"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spacing w:val="-2"/>
                <w:position w:val="4"/>
                <w:sz w:val="17"/>
                <w:szCs w:val="17"/>
                <w:lang w:val="hr-HR"/>
              </w:rPr>
            </w:pPr>
          </w:p>
        </w:tc>
        <w:tc>
          <w:tcPr>
            <w:tcW w:w="644"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b/>
                <w:spacing w:val="-2"/>
                <w:position w:val="4"/>
                <w:sz w:val="17"/>
                <w:szCs w:val="17"/>
                <w:lang w:val="hr-HR"/>
              </w:rPr>
            </w:pPr>
          </w:p>
        </w:tc>
        <w:tc>
          <w:tcPr>
            <w:tcW w:w="565" w:type="pct"/>
            <w:tcBorders>
              <w:top w:val="single" w:sz="4" w:space="0" w:color="auto"/>
            </w:tcBorders>
            <w:vAlign w:val="bottom"/>
          </w:tcPr>
          <w:p w:rsidR="00B9511A" w:rsidRPr="001567C8" w:rsidRDefault="00B9511A" w:rsidP="00B9511A">
            <w:pPr>
              <w:keepNext/>
              <w:keepLines/>
              <w:tabs>
                <w:tab w:val="decimal" w:pos="1015"/>
                <w:tab w:val="decimal" w:pos="1202"/>
              </w:tabs>
              <w:spacing w:line="140" w:lineRule="exact"/>
              <w:jc w:val="right"/>
              <w:rPr>
                <w:rFonts w:ascii="Calibri" w:eastAsia="Calibri" w:hAnsi="Calibri" w:cs="Calibri"/>
                <w:b/>
                <w:spacing w:val="-2"/>
                <w:position w:val="4"/>
                <w:sz w:val="17"/>
                <w:szCs w:val="17"/>
                <w:lang w:val="hr-HR"/>
              </w:rPr>
            </w:pPr>
          </w:p>
        </w:tc>
      </w:tr>
      <w:tr w:rsidR="00B9511A" w:rsidRPr="001567C8" w:rsidTr="003C6BA3">
        <w:trPr>
          <w:trHeight w:val="313"/>
        </w:trPr>
        <w:tc>
          <w:tcPr>
            <w:tcW w:w="1320" w:type="pct"/>
            <w:vAlign w:val="bottom"/>
          </w:tcPr>
          <w:p w:rsidR="00B9511A" w:rsidRPr="001567C8" w:rsidRDefault="00B9511A" w:rsidP="00EE5455">
            <w:pPr>
              <w:tabs>
                <w:tab w:val="right" w:pos="1202"/>
              </w:tabs>
              <w:spacing w:line="240" w:lineRule="exact"/>
              <w:outlineLvl w:val="0"/>
              <w:rPr>
                <w:rFonts w:ascii="Calibri" w:eastAsia="Calibri" w:hAnsi="Calibri" w:cs="Calibri"/>
                <w:iCs/>
                <w:sz w:val="17"/>
                <w:szCs w:val="17"/>
                <w:lang w:val="hr-HR"/>
              </w:rPr>
            </w:pPr>
            <w:r w:rsidRPr="001567C8">
              <w:rPr>
                <w:rFonts w:ascii="Calibri" w:eastAsia="Calibri" w:hAnsi="Calibri" w:cs="Calibri"/>
                <w:b/>
                <w:iCs/>
                <w:sz w:val="17"/>
                <w:szCs w:val="17"/>
                <w:lang w:val="hr-HR"/>
              </w:rPr>
              <w:t>Stanje 31. prosinc</w:t>
            </w:r>
            <w:r w:rsidR="00F55E1F">
              <w:rPr>
                <w:rFonts w:ascii="Calibri" w:eastAsia="Calibri" w:hAnsi="Calibri" w:cs="Calibri"/>
                <w:b/>
                <w:iCs/>
                <w:sz w:val="17"/>
                <w:szCs w:val="17"/>
                <w:lang w:val="hr-HR"/>
              </w:rPr>
              <w:t>a</w:t>
            </w:r>
            <w:r w:rsidRPr="001567C8">
              <w:rPr>
                <w:rFonts w:ascii="Calibri" w:eastAsia="Calibri" w:hAnsi="Calibri" w:cs="Calibri"/>
                <w:b/>
                <w:iCs/>
                <w:sz w:val="17"/>
                <w:szCs w:val="17"/>
                <w:lang w:val="hr-HR"/>
              </w:rPr>
              <w:t xml:space="preserve"> 2018. godine</w:t>
            </w:r>
          </w:p>
        </w:tc>
        <w:tc>
          <w:tcPr>
            <w:tcW w:w="625"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37.500</w:t>
            </w:r>
          </w:p>
        </w:tc>
        <w:tc>
          <w:tcPr>
            <w:tcW w:w="702"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2.237</w:t>
            </w:r>
          </w:p>
        </w:tc>
        <w:tc>
          <w:tcPr>
            <w:tcW w:w="572"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3.049</w:t>
            </w:r>
          </w:p>
        </w:tc>
        <w:tc>
          <w:tcPr>
            <w:tcW w:w="572"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481</w:t>
            </w:r>
          </w:p>
        </w:tc>
        <w:tc>
          <w:tcPr>
            <w:tcW w:w="644"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43.267</w:t>
            </w:r>
          </w:p>
        </w:tc>
        <w:tc>
          <w:tcPr>
            <w:tcW w:w="565" w:type="pct"/>
            <w:tcBorders>
              <w:top w:val="nil"/>
              <w:left w:val="nil"/>
              <w:bottom w:val="single" w:sz="12" w:space="0" w:color="auto"/>
              <w:right w:val="nil"/>
            </w:tcBorders>
            <w:shd w:val="clear" w:color="auto" w:fill="auto"/>
            <w:vAlign w:val="bottom"/>
          </w:tcPr>
          <w:p w:rsidR="00B9511A" w:rsidRPr="001567C8" w:rsidRDefault="00B9511A" w:rsidP="00B9511A">
            <w:pPr>
              <w:jc w:val="right"/>
              <w:rPr>
                <w:rFonts w:ascii="Calibri" w:eastAsia="Calibri" w:hAnsi="Calibri" w:cs="Calibri"/>
                <w:b/>
                <w:bCs/>
                <w:sz w:val="17"/>
                <w:szCs w:val="17"/>
                <w:lang w:val="hr-HR"/>
              </w:rPr>
            </w:pPr>
            <w:r w:rsidRPr="001567C8">
              <w:rPr>
                <w:rFonts w:ascii="Calibri" w:eastAsia="Calibri" w:hAnsi="Calibri" w:cs="Calibri"/>
                <w:b/>
                <w:bCs/>
                <w:sz w:val="17"/>
                <w:szCs w:val="17"/>
                <w:lang w:val="hr-HR"/>
              </w:rPr>
              <w:t>43.267</w:t>
            </w:r>
          </w:p>
        </w:tc>
      </w:tr>
      <w:tr w:rsidR="00B9511A" w:rsidRPr="001567C8" w:rsidTr="003C6BA3">
        <w:trPr>
          <w:trHeight w:val="110"/>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iCs/>
                <w:sz w:val="17"/>
                <w:szCs w:val="17"/>
                <w:lang w:val="hr-HR"/>
              </w:rPr>
            </w:pPr>
          </w:p>
        </w:tc>
        <w:tc>
          <w:tcPr>
            <w:tcW w:w="625"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702"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572"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572"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644"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c>
          <w:tcPr>
            <w:tcW w:w="565" w:type="pct"/>
            <w:tcBorders>
              <w:top w:val="single" w:sz="12" w:space="0" w:color="auto"/>
            </w:tcBorders>
            <w:vAlign w:val="bottom"/>
          </w:tcPr>
          <w:p w:rsidR="00B9511A" w:rsidRPr="001567C8" w:rsidRDefault="00B9511A" w:rsidP="00B9511A">
            <w:pPr>
              <w:keepNext/>
              <w:keepLines/>
              <w:tabs>
                <w:tab w:val="decimal" w:pos="1015"/>
              </w:tabs>
              <w:spacing w:line="140" w:lineRule="exact"/>
              <w:jc w:val="right"/>
              <w:rPr>
                <w:rFonts w:ascii="Calibri" w:eastAsia="Calibri" w:hAnsi="Calibri" w:cs="Calibri"/>
                <w:b/>
                <w:position w:val="4"/>
                <w:sz w:val="17"/>
                <w:szCs w:val="17"/>
                <w:u w:val="thick"/>
                <w:lang w:val="hr-HR"/>
              </w:rPr>
            </w:pPr>
          </w:p>
        </w:tc>
      </w:tr>
      <w:tr w:rsidR="00B9511A" w:rsidRPr="001567C8" w:rsidTr="003C6BA3">
        <w:trPr>
          <w:trHeight w:val="57"/>
        </w:trPr>
        <w:tc>
          <w:tcPr>
            <w:tcW w:w="1320" w:type="pct"/>
          </w:tcPr>
          <w:p w:rsidR="00B9511A" w:rsidRPr="001567C8" w:rsidRDefault="00B9511A" w:rsidP="00B9511A">
            <w:pPr>
              <w:tabs>
                <w:tab w:val="right" w:pos="1202"/>
              </w:tabs>
              <w:spacing w:line="140" w:lineRule="exact"/>
              <w:jc w:val="right"/>
              <w:outlineLvl w:val="0"/>
              <w:rPr>
                <w:rFonts w:ascii="Calibri" w:eastAsia="Calibri" w:hAnsi="Calibri" w:cs="Calibri"/>
                <w:b/>
                <w:iCs/>
                <w:sz w:val="17"/>
                <w:szCs w:val="17"/>
                <w:lang w:val="hr-HR"/>
              </w:rPr>
            </w:pPr>
          </w:p>
        </w:tc>
        <w:tc>
          <w:tcPr>
            <w:tcW w:w="625" w:type="pct"/>
            <w:vAlign w:val="bottom"/>
          </w:tcPr>
          <w:p w:rsidR="00B9511A" w:rsidRPr="001567C8" w:rsidRDefault="00B9511A" w:rsidP="00B9511A">
            <w:pPr>
              <w:keepNext/>
              <w:keepLines/>
              <w:tabs>
                <w:tab w:val="decimal" w:pos="1202"/>
              </w:tabs>
              <w:spacing w:line="140" w:lineRule="exact"/>
              <w:jc w:val="right"/>
              <w:rPr>
                <w:rFonts w:ascii="Calibri" w:eastAsia="Calibri" w:hAnsi="Calibri" w:cs="Calibri"/>
                <w:b/>
                <w:position w:val="4"/>
                <w:sz w:val="17"/>
                <w:szCs w:val="17"/>
                <w:u w:val="thick"/>
                <w:lang w:val="hr-HR"/>
              </w:rPr>
            </w:pPr>
          </w:p>
        </w:tc>
        <w:tc>
          <w:tcPr>
            <w:tcW w:w="702" w:type="pct"/>
            <w:vAlign w:val="bottom"/>
          </w:tcPr>
          <w:p w:rsidR="00B9511A" w:rsidRPr="001567C8" w:rsidRDefault="00B9511A" w:rsidP="00B9511A">
            <w:pPr>
              <w:keepNext/>
              <w:keepLines/>
              <w:tabs>
                <w:tab w:val="decimal" w:pos="1202"/>
              </w:tabs>
              <w:spacing w:line="140" w:lineRule="exact"/>
              <w:jc w:val="right"/>
              <w:rPr>
                <w:rFonts w:ascii="Calibri" w:eastAsia="Calibri" w:hAnsi="Calibri" w:cs="Calibri"/>
                <w:b/>
                <w:position w:val="4"/>
                <w:sz w:val="17"/>
                <w:szCs w:val="17"/>
                <w:u w:val="thick"/>
                <w:lang w:val="hr-HR"/>
              </w:rPr>
            </w:pPr>
          </w:p>
        </w:tc>
        <w:tc>
          <w:tcPr>
            <w:tcW w:w="572" w:type="pct"/>
            <w:vAlign w:val="bottom"/>
          </w:tcPr>
          <w:p w:rsidR="00B9511A" w:rsidRPr="001567C8" w:rsidRDefault="00B9511A" w:rsidP="00B9511A">
            <w:pPr>
              <w:keepNext/>
              <w:keepLines/>
              <w:tabs>
                <w:tab w:val="decimal" w:pos="1202"/>
              </w:tabs>
              <w:spacing w:line="140" w:lineRule="exact"/>
              <w:jc w:val="right"/>
              <w:rPr>
                <w:rFonts w:ascii="Calibri" w:eastAsia="Calibri" w:hAnsi="Calibri" w:cs="Calibri"/>
                <w:b/>
                <w:position w:val="4"/>
                <w:sz w:val="17"/>
                <w:szCs w:val="17"/>
                <w:u w:val="thick"/>
                <w:lang w:val="hr-HR"/>
              </w:rPr>
            </w:pPr>
          </w:p>
        </w:tc>
        <w:tc>
          <w:tcPr>
            <w:tcW w:w="572" w:type="pct"/>
            <w:vAlign w:val="bottom"/>
          </w:tcPr>
          <w:p w:rsidR="00B9511A" w:rsidRPr="001567C8" w:rsidRDefault="00B9511A" w:rsidP="00B9511A">
            <w:pPr>
              <w:keepNext/>
              <w:keepLines/>
              <w:tabs>
                <w:tab w:val="decimal" w:pos="1202"/>
              </w:tabs>
              <w:spacing w:line="140" w:lineRule="exact"/>
              <w:jc w:val="right"/>
              <w:rPr>
                <w:rFonts w:ascii="Calibri" w:eastAsia="Calibri" w:hAnsi="Calibri" w:cs="Calibri"/>
                <w:b/>
                <w:position w:val="4"/>
                <w:sz w:val="17"/>
                <w:szCs w:val="17"/>
                <w:u w:val="thick"/>
                <w:lang w:val="hr-HR"/>
              </w:rPr>
            </w:pPr>
          </w:p>
        </w:tc>
        <w:tc>
          <w:tcPr>
            <w:tcW w:w="644" w:type="pct"/>
            <w:vAlign w:val="bottom"/>
          </w:tcPr>
          <w:p w:rsidR="00B9511A" w:rsidRPr="001567C8" w:rsidRDefault="00B9511A" w:rsidP="00B9511A">
            <w:pPr>
              <w:keepNext/>
              <w:keepLines/>
              <w:tabs>
                <w:tab w:val="decimal" w:pos="1202"/>
              </w:tabs>
              <w:spacing w:line="140" w:lineRule="exact"/>
              <w:jc w:val="right"/>
              <w:rPr>
                <w:rFonts w:ascii="Calibri" w:eastAsia="Calibri" w:hAnsi="Calibri" w:cs="Calibri"/>
                <w:b/>
                <w:position w:val="4"/>
                <w:sz w:val="17"/>
                <w:szCs w:val="17"/>
                <w:u w:val="thick"/>
                <w:lang w:val="hr-HR"/>
              </w:rPr>
            </w:pPr>
          </w:p>
        </w:tc>
        <w:tc>
          <w:tcPr>
            <w:tcW w:w="565" w:type="pct"/>
            <w:vAlign w:val="bottom"/>
          </w:tcPr>
          <w:p w:rsidR="00B9511A" w:rsidRPr="001567C8" w:rsidRDefault="00B9511A" w:rsidP="00B9511A">
            <w:pPr>
              <w:keepNext/>
              <w:keepLines/>
              <w:tabs>
                <w:tab w:val="decimal" w:pos="1202"/>
              </w:tabs>
              <w:spacing w:line="140" w:lineRule="exact"/>
              <w:jc w:val="right"/>
              <w:rPr>
                <w:rFonts w:ascii="Calibri" w:eastAsia="Calibri" w:hAnsi="Calibri" w:cs="Calibri"/>
                <w:b/>
                <w:position w:val="4"/>
                <w:sz w:val="17"/>
                <w:szCs w:val="17"/>
                <w:u w:val="thick"/>
                <w:lang w:val="hr-HR"/>
              </w:rPr>
            </w:pPr>
          </w:p>
        </w:tc>
      </w:tr>
    </w:tbl>
    <w:p w:rsidR="00B9511A" w:rsidRPr="001567C8" w:rsidRDefault="00B9511A" w:rsidP="001E1400">
      <w:pPr>
        <w:spacing w:before="120" w:line="300" w:lineRule="exact"/>
        <w:rPr>
          <w:rFonts w:asciiTheme="minorHAnsi" w:hAnsiTheme="minorHAnsi"/>
          <w:b/>
          <w:sz w:val="22"/>
          <w:szCs w:val="22"/>
          <w:lang w:val="hr-HR"/>
        </w:rPr>
      </w:pPr>
    </w:p>
    <w:sectPr w:rsidR="00B9511A" w:rsidRPr="001567C8" w:rsidSect="0077198A">
      <w:headerReference w:type="default" r:id="rId83"/>
      <w:pgSz w:w="11907" w:h="16840" w:code="9"/>
      <w:pgMar w:top="1418" w:right="1134" w:bottom="1134" w:left="1418" w:header="851" w:footer="851"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028DC" w:rsidRDefault="00C028DC">
      <w:r>
        <w:separator/>
      </w:r>
    </w:p>
  </w:endnote>
  <w:endnote w:type="continuationSeparator" w:id="0">
    <w:p w:rsidR="00C028DC" w:rsidRDefault="00C02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TmsRmn 12pt Italic">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MT">
    <w:altName w:val="Times New Roman"/>
    <w:panose1 w:val="00000000000000000000"/>
    <w:charset w:val="4D"/>
    <w:family w:val="auto"/>
    <w:notTrueType/>
    <w:pitch w:val="default"/>
    <w:sig w:usb0="00000000" w:usb1="00000000" w:usb2="00000000" w:usb3="00000000" w:csb0="00000001" w:csb1="00000000"/>
  </w:font>
  <w:font w:name="FrutigerNextPro-Light">
    <w:altName w:val="Times New Roman"/>
    <w:panose1 w:val="00000000000000000000"/>
    <w:charset w:val="4D"/>
    <w:family w:val="auto"/>
    <w:notTrueType/>
    <w:pitch w:val="default"/>
    <w:sig w:usb0="00000000"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2020603050405020304"/>
    <w:charset w:val="EE"/>
    <w:family w:val="roman"/>
    <w:pitch w:val="variable"/>
    <w:sig w:usb0="E0002EFF" w:usb1="C000785B" w:usb2="00000009" w:usb3="00000000" w:csb0="000001FF" w:csb1="00000000"/>
  </w:font>
  <w:font w:name="Futura Lt BT">
    <w:altName w:val="Segoe UI Semilight"/>
    <w:charset w:val="00"/>
    <w:family w:val="swiss"/>
    <w:pitch w:val="variable"/>
    <w:sig w:usb0="00000087" w:usb1="00000000" w:usb2="00000000" w:usb3="00000000" w:csb0="0000001B" w:csb1="00000000"/>
  </w:font>
  <w:font w:name="Univers for KPMG">
    <w:altName w:val="Calibri"/>
    <w:panose1 w:val="020B0603020202020204"/>
    <w:charset w:val="00"/>
    <w:family w:val="swiss"/>
    <w:pitch w:val="variable"/>
    <w:sig w:usb0="800002AF" w:usb1="5000204A" w:usb2="00000000" w:usb3="00000000" w:csb0="0000009F" w:csb1="00000000"/>
  </w:font>
  <w:font w:name="UniversforKPMG">
    <w:altName w:val="Calibri"/>
    <w:panose1 w:val="00000000000000000000"/>
    <w:charset w:val="00"/>
    <w:family w:val="swiss"/>
    <w:notTrueType/>
    <w:pitch w:val="default"/>
    <w:sig w:usb0="00000007" w:usb1="00000000" w:usb2="00000000" w:usb3="00000000" w:csb0="00000003"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FrutigerLTCom-Ligh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A021AA" w:rsidRDefault="009D5BDD" w:rsidP="008B0750">
    <w:pPr>
      <w:pStyle w:val="Footer"/>
      <w:framePr w:wrap="around"/>
      <w:pBdr>
        <w:top w:val="single" w:sz="4" w:space="1" w:color="auto"/>
      </w:pBdr>
      <w:tabs>
        <w:tab w:val="clear" w:pos="8306"/>
        <w:tab w:val="right" w:pos="9072"/>
      </w:tabs>
      <w:ind w:right="283"/>
      <w:rPr>
        <w:rStyle w:val="PageNumber"/>
        <w:rFonts w:ascii="Arial" w:hAnsi="Arial"/>
        <w:sz w:val="19"/>
        <w:lang w:val="pl-PL"/>
      </w:rPr>
    </w:pPr>
    <w:r w:rsidRPr="004C5202">
      <w:rPr>
        <w:rFonts w:ascii="Arial" w:hAnsi="Arial" w:cs="Arial"/>
        <w:sz w:val="19"/>
        <w:szCs w:val="19"/>
        <w:lang w:val="en-US"/>
      </w:rPr>
      <w:fldChar w:fldCharType="begin"/>
    </w:r>
    <w:r w:rsidRPr="00A021AA">
      <w:rPr>
        <w:rFonts w:ascii="Arial" w:hAnsi="Arial" w:cs="Arial"/>
        <w:sz w:val="19"/>
        <w:szCs w:val="19"/>
        <w:lang w:val="pl-PL"/>
      </w:rPr>
      <w:instrText xml:space="preserve"> PAGE   \* MERGEFORMAT </w:instrText>
    </w:r>
    <w:r w:rsidRPr="004C5202">
      <w:rPr>
        <w:rFonts w:ascii="Arial" w:hAnsi="Arial" w:cs="Arial"/>
        <w:sz w:val="19"/>
        <w:szCs w:val="19"/>
        <w:lang w:val="en-US"/>
      </w:rPr>
      <w:fldChar w:fldCharType="separate"/>
    </w:r>
    <w:r w:rsidRPr="00A021AA">
      <w:rPr>
        <w:rFonts w:ascii="Arial" w:hAnsi="Arial" w:cs="Arial"/>
        <w:noProof/>
        <w:sz w:val="19"/>
        <w:szCs w:val="19"/>
        <w:lang w:val="pl-PL"/>
      </w:rPr>
      <w:t>8</w:t>
    </w:r>
    <w:r w:rsidRPr="004C5202">
      <w:rPr>
        <w:rFonts w:ascii="Arial" w:hAnsi="Arial" w:cs="Arial"/>
        <w:sz w:val="19"/>
        <w:szCs w:val="19"/>
        <w:lang w:val="en-US"/>
      </w:rPr>
      <w:fldChar w:fldCharType="end"/>
    </w:r>
    <w:r w:rsidRPr="00A021AA">
      <w:rPr>
        <w:rFonts w:ascii="Arial" w:hAnsi="Arial" w:cs="Arial"/>
        <w:sz w:val="19"/>
        <w:szCs w:val="19"/>
        <w:lang w:val="pl-PL"/>
      </w:rPr>
      <w:t xml:space="preserve"> Hrvatska banka za obnovu i razvitak</w:t>
    </w:r>
  </w:p>
  <w:p w:rsidR="009D5BDD" w:rsidRPr="00A021AA" w:rsidRDefault="009D5BDD" w:rsidP="00405B72">
    <w:pPr>
      <w:pStyle w:val="Footer"/>
      <w:framePr w:wrap="around"/>
      <w:ind w:right="360"/>
      <w:rPr>
        <w:lang w:val="pl-PL"/>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AB04C8" w:rsidRDefault="009D5BDD">
    <w:pPr>
      <w:pStyle w:val="Footer"/>
      <w:framePr w:wrap="auto" w:vAnchor="margin" w:hAnchor="text" w:xAlign="left" w:yAlign="inline"/>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sidRPr="00840526">
      <w:rPr>
        <w:rStyle w:val="PageNumber"/>
        <w:rFonts w:asciiTheme="minorHAnsi" w:hAnsiTheme="minorHAnsi"/>
        <w:sz w:val="19"/>
        <w:lang w:val="pl-PL"/>
      </w:rPr>
      <w:fldChar w:fldCharType="begin"/>
    </w:r>
    <w:r w:rsidRPr="00840526">
      <w:rPr>
        <w:rStyle w:val="PageNumber"/>
        <w:rFonts w:asciiTheme="minorHAnsi" w:hAnsiTheme="minorHAnsi"/>
        <w:sz w:val="19"/>
        <w:lang w:val="pl-PL"/>
      </w:rPr>
      <w:instrText xml:space="preserve"> PAGE   \* MERGEFORMAT </w:instrText>
    </w:r>
    <w:r w:rsidRPr="00840526">
      <w:rPr>
        <w:rStyle w:val="PageNumber"/>
        <w:rFonts w:asciiTheme="minorHAnsi" w:hAnsiTheme="minorHAnsi"/>
        <w:sz w:val="19"/>
        <w:lang w:val="pl-PL"/>
      </w:rPr>
      <w:fldChar w:fldCharType="separate"/>
    </w:r>
    <w:r w:rsidRPr="00840526">
      <w:rPr>
        <w:rStyle w:val="PageNumber"/>
        <w:rFonts w:asciiTheme="minorHAnsi" w:hAnsiTheme="minorHAnsi"/>
        <w:noProof/>
        <w:sz w:val="19"/>
        <w:lang w:val="pl-PL"/>
      </w:rPr>
      <w:t>1</w:t>
    </w:r>
    <w:r w:rsidRPr="00840526">
      <w:rPr>
        <w:rStyle w:val="PageNumber"/>
        <w:rFonts w:asciiTheme="minorHAnsi" w:hAnsiTheme="minorHAnsi"/>
        <w:noProof/>
        <w:sz w:val="19"/>
        <w:lang w:val="pl-PL"/>
      </w:rPr>
      <w:fldChar w:fldCharType="end"/>
    </w:r>
    <w:r w:rsidRPr="00AB04C8">
      <w:rPr>
        <w:rStyle w:val="PageNumber"/>
        <w:rFonts w:asciiTheme="minorHAnsi" w:hAnsiTheme="minorHAnsi"/>
        <w:sz w:val="19"/>
        <w:lang w:val="pl-PL"/>
      </w:rPr>
      <w:t xml:space="preserve">  Hrvatska banka za obnovu i razvitak</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7A429A" w:rsidRDefault="009D5BDD" w:rsidP="001D3E4E">
    <w:pPr>
      <w:pStyle w:val="Footer"/>
      <w:framePr w:wrap="auto" w:vAnchor="margin" w:hAnchor="text" w:xAlign="left" w:yAlign="inline"/>
      <w:pBdr>
        <w:top w:val="single" w:sz="4" w:space="0" w:color="auto"/>
      </w:pBdr>
      <w:tabs>
        <w:tab w:val="clear" w:pos="4153"/>
        <w:tab w:val="clear" w:pos="8306"/>
        <w:tab w:val="left" w:pos="8916"/>
      </w:tabs>
      <w:ind w:right="4"/>
      <w:rPr>
        <w:rStyle w:val="PageNumber"/>
        <w:rFonts w:asciiTheme="minorHAnsi" w:hAnsiTheme="minorHAnsi"/>
        <w:sz w:val="19"/>
        <w:lang w:val="pl-PL"/>
      </w:rPr>
    </w:pPr>
    <w:r w:rsidRPr="00692941">
      <w:rPr>
        <w:rStyle w:val="PageNumber"/>
        <w:rFonts w:asciiTheme="minorHAnsi" w:hAnsiTheme="minorHAnsi"/>
        <w:sz w:val="19"/>
        <w:lang w:val="pl-PL"/>
      </w:rPr>
      <w:fldChar w:fldCharType="begin"/>
    </w:r>
    <w:r w:rsidRPr="00692941">
      <w:rPr>
        <w:rStyle w:val="PageNumber"/>
        <w:rFonts w:asciiTheme="minorHAnsi" w:hAnsiTheme="minorHAnsi"/>
        <w:sz w:val="19"/>
        <w:lang w:val="pl-PL"/>
      </w:rPr>
      <w:instrText xml:space="preserve"> PAGE   \* MERGEFORMAT </w:instrText>
    </w:r>
    <w:r w:rsidRPr="00692941">
      <w:rPr>
        <w:rStyle w:val="PageNumber"/>
        <w:rFonts w:asciiTheme="minorHAnsi" w:hAnsiTheme="minorHAnsi"/>
        <w:sz w:val="19"/>
        <w:lang w:val="pl-PL"/>
      </w:rPr>
      <w:fldChar w:fldCharType="separate"/>
    </w:r>
    <w:r w:rsidRPr="00692941">
      <w:rPr>
        <w:rStyle w:val="PageNumber"/>
        <w:rFonts w:asciiTheme="minorHAnsi" w:hAnsiTheme="minorHAnsi"/>
        <w:noProof/>
        <w:sz w:val="19"/>
        <w:lang w:val="pl-PL"/>
      </w:rPr>
      <w:t>1</w:t>
    </w:r>
    <w:r w:rsidRPr="00692941">
      <w:rPr>
        <w:rStyle w:val="PageNumber"/>
        <w:rFonts w:asciiTheme="minorHAnsi" w:hAnsiTheme="minorHAnsi"/>
        <w:noProof/>
        <w:sz w:val="19"/>
        <w:lang w:val="pl-PL"/>
      </w:rPr>
      <w:fldChar w:fldCharType="end"/>
    </w:r>
    <w:r w:rsidRPr="007A429A">
      <w:rPr>
        <w:rStyle w:val="PageNumber"/>
        <w:rFonts w:asciiTheme="minorHAnsi" w:hAnsiTheme="minorHAnsi"/>
        <w:sz w:val="19"/>
        <w:lang w:val="pl-PL"/>
      </w:rPr>
      <w:t xml:space="preserve">  Hrvatska banka za obnovu i razvitak</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7A429A" w:rsidRDefault="009D5BDD" w:rsidP="001D3E4E">
    <w:pPr>
      <w:pStyle w:val="Footer"/>
      <w:framePr w:wrap="auto" w:vAnchor="margin" w:hAnchor="text" w:xAlign="left" w:yAlign="inline"/>
      <w:pBdr>
        <w:top w:val="single" w:sz="4" w:space="0" w:color="auto"/>
      </w:pBdr>
      <w:tabs>
        <w:tab w:val="clear" w:pos="4153"/>
        <w:tab w:val="clear" w:pos="8306"/>
        <w:tab w:val="left" w:pos="8916"/>
      </w:tabs>
      <w:ind w:right="4"/>
      <w:rPr>
        <w:rStyle w:val="PageNumber"/>
        <w:rFonts w:asciiTheme="minorHAnsi" w:hAnsiTheme="minorHAnsi"/>
        <w:sz w:val="19"/>
        <w:lang w:val="pl-PL"/>
      </w:rPr>
    </w:pPr>
    <w:r w:rsidRPr="00692941">
      <w:rPr>
        <w:rStyle w:val="PageNumber"/>
        <w:rFonts w:asciiTheme="minorHAnsi" w:hAnsiTheme="minorHAnsi"/>
        <w:sz w:val="19"/>
        <w:lang w:val="pl-PL"/>
      </w:rPr>
      <w:fldChar w:fldCharType="begin"/>
    </w:r>
    <w:r w:rsidRPr="00692941">
      <w:rPr>
        <w:rStyle w:val="PageNumber"/>
        <w:rFonts w:asciiTheme="minorHAnsi" w:hAnsiTheme="minorHAnsi"/>
        <w:sz w:val="19"/>
        <w:lang w:val="pl-PL"/>
      </w:rPr>
      <w:instrText xml:space="preserve"> PAGE   \* MERGEFORMAT </w:instrText>
    </w:r>
    <w:r w:rsidRPr="00692941">
      <w:rPr>
        <w:rStyle w:val="PageNumber"/>
        <w:rFonts w:asciiTheme="minorHAnsi" w:hAnsiTheme="minorHAnsi"/>
        <w:sz w:val="19"/>
        <w:lang w:val="pl-PL"/>
      </w:rPr>
      <w:fldChar w:fldCharType="separate"/>
    </w:r>
    <w:r w:rsidRPr="00692941">
      <w:rPr>
        <w:rStyle w:val="PageNumber"/>
        <w:rFonts w:asciiTheme="minorHAnsi" w:hAnsiTheme="minorHAnsi"/>
        <w:noProof/>
        <w:sz w:val="19"/>
        <w:lang w:val="pl-PL"/>
      </w:rPr>
      <w:t>1</w:t>
    </w:r>
    <w:r w:rsidRPr="00692941">
      <w:rPr>
        <w:rStyle w:val="PageNumber"/>
        <w:rFonts w:asciiTheme="minorHAnsi" w:hAnsiTheme="minorHAnsi"/>
        <w:noProof/>
        <w:sz w:val="19"/>
        <w:lang w:val="pl-PL"/>
      </w:rPr>
      <w:fldChar w:fldCharType="end"/>
    </w:r>
    <w:r>
      <w:rPr>
        <w:rStyle w:val="PageNumber"/>
        <w:rFonts w:asciiTheme="minorHAnsi" w:hAnsiTheme="minorHAnsi"/>
        <w:sz w:val="19"/>
        <w:lang w:val="pl-PL"/>
      </w:rPr>
      <w:t xml:space="preserve">  </w:t>
    </w:r>
    <w:r w:rsidRPr="007A429A">
      <w:rPr>
        <w:rStyle w:val="PageNumber"/>
        <w:rFonts w:asciiTheme="minorHAnsi" w:hAnsiTheme="minorHAnsi"/>
        <w:sz w:val="19"/>
        <w:lang w:val="pl-PL"/>
      </w:rPr>
      <w:t>Hrvatska banka za obnovu i razvitak</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7A429A" w:rsidRDefault="009D5BDD" w:rsidP="001D3E4E">
    <w:pPr>
      <w:pStyle w:val="Footer"/>
      <w:framePr w:wrap="auto" w:vAnchor="margin" w:hAnchor="text" w:xAlign="left" w:yAlign="inline"/>
      <w:pBdr>
        <w:top w:val="single" w:sz="4" w:space="0" w:color="auto"/>
      </w:pBdr>
      <w:tabs>
        <w:tab w:val="clear" w:pos="4153"/>
        <w:tab w:val="clear" w:pos="8306"/>
        <w:tab w:val="left" w:pos="8916"/>
      </w:tabs>
      <w:ind w:right="4"/>
      <w:rPr>
        <w:rStyle w:val="PageNumber"/>
        <w:rFonts w:asciiTheme="minorHAnsi" w:hAnsiTheme="minorHAnsi"/>
        <w:sz w:val="19"/>
        <w:lang w:val="pl-PL"/>
      </w:rPr>
    </w:pPr>
    <w:r w:rsidRPr="00692941">
      <w:rPr>
        <w:rStyle w:val="PageNumber"/>
        <w:rFonts w:asciiTheme="minorHAnsi" w:hAnsiTheme="minorHAnsi"/>
        <w:sz w:val="19"/>
        <w:lang w:val="pl-PL"/>
      </w:rPr>
      <w:fldChar w:fldCharType="begin"/>
    </w:r>
    <w:r w:rsidRPr="00692941">
      <w:rPr>
        <w:rStyle w:val="PageNumber"/>
        <w:rFonts w:asciiTheme="minorHAnsi" w:hAnsiTheme="minorHAnsi"/>
        <w:sz w:val="19"/>
        <w:lang w:val="pl-PL"/>
      </w:rPr>
      <w:instrText xml:space="preserve"> PAGE   \* MERGEFORMAT </w:instrText>
    </w:r>
    <w:r w:rsidRPr="00692941">
      <w:rPr>
        <w:rStyle w:val="PageNumber"/>
        <w:rFonts w:asciiTheme="minorHAnsi" w:hAnsiTheme="minorHAnsi"/>
        <w:sz w:val="19"/>
        <w:lang w:val="pl-PL"/>
      </w:rPr>
      <w:fldChar w:fldCharType="separate"/>
    </w:r>
    <w:r w:rsidRPr="00692941">
      <w:rPr>
        <w:rStyle w:val="PageNumber"/>
        <w:rFonts w:asciiTheme="minorHAnsi" w:hAnsiTheme="minorHAnsi"/>
        <w:noProof/>
        <w:sz w:val="19"/>
        <w:lang w:val="pl-PL"/>
      </w:rPr>
      <w:t>1</w:t>
    </w:r>
    <w:r w:rsidRPr="00692941">
      <w:rPr>
        <w:rStyle w:val="PageNumber"/>
        <w:rFonts w:asciiTheme="minorHAnsi" w:hAnsiTheme="minorHAnsi"/>
        <w:noProof/>
        <w:sz w:val="19"/>
        <w:lang w:val="pl-PL"/>
      </w:rPr>
      <w:fldChar w:fldCharType="end"/>
    </w:r>
    <w:r w:rsidRPr="007A429A">
      <w:rPr>
        <w:rStyle w:val="PageNumber"/>
        <w:rFonts w:asciiTheme="minorHAnsi" w:hAnsiTheme="minorHAnsi"/>
        <w:sz w:val="19"/>
        <w:lang w:val="pl-PL"/>
      </w:rPr>
      <w:t xml:space="preserve">  Hrvatska banka za obnovu i razvitak</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7A429A" w:rsidRDefault="009D5BDD" w:rsidP="001D3E4E">
    <w:pPr>
      <w:pStyle w:val="Footer"/>
      <w:framePr w:wrap="auto" w:vAnchor="margin" w:hAnchor="text" w:xAlign="left" w:yAlign="inline"/>
      <w:pBdr>
        <w:top w:val="single" w:sz="4" w:space="0" w:color="auto"/>
      </w:pBdr>
      <w:tabs>
        <w:tab w:val="clear" w:pos="4153"/>
        <w:tab w:val="clear" w:pos="8306"/>
        <w:tab w:val="left" w:pos="8916"/>
      </w:tabs>
      <w:ind w:right="4"/>
      <w:rPr>
        <w:rStyle w:val="PageNumber"/>
        <w:rFonts w:asciiTheme="minorHAnsi" w:hAnsiTheme="minorHAnsi"/>
        <w:sz w:val="19"/>
        <w:lang w:val="pl-PL"/>
      </w:rPr>
    </w:pPr>
    <w:r w:rsidRPr="00692941">
      <w:rPr>
        <w:rStyle w:val="PageNumber"/>
        <w:rFonts w:asciiTheme="minorHAnsi" w:hAnsiTheme="minorHAnsi"/>
        <w:sz w:val="19"/>
        <w:lang w:val="pl-PL"/>
      </w:rPr>
      <w:fldChar w:fldCharType="begin"/>
    </w:r>
    <w:r w:rsidRPr="00692941">
      <w:rPr>
        <w:rStyle w:val="PageNumber"/>
        <w:rFonts w:asciiTheme="minorHAnsi" w:hAnsiTheme="minorHAnsi"/>
        <w:sz w:val="19"/>
        <w:lang w:val="pl-PL"/>
      </w:rPr>
      <w:instrText xml:space="preserve"> PAGE   \* MERGEFORMAT </w:instrText>
    </w:r>
    <w:r w:rsidRPr="00692941">
      <w:rPr>
        <w:rStyle w:val="PageNumber"/>
        <w:rFonts w:asciiTheme="minorHAnsi" w:hAnsiTheme="minorHAnsi"/>
        <w:sz w:val="19"/>
        <w:lang w:val="pl-PL"/>
      </w:rPr>
      <w:fldChar w:fldCharType="separate"/>
    </w:r>
    <w:r w:rsidRPr="00692941">
      <w:rPr>
        <w:rStyle w:val="PageNumber"/>
        <w:rFonts w:asciiTheme="minorHAnsi" w:hAnsiTheme="minorHAnsi"/>
        <w:noProof/>
        <w:sz w:val="19"/>
        <w:lang w:val="pl-PL"/>
      </w:rPr>
      <w:t>1</w:t>
    </w:r>
    <w:r w:rsidRPr="00692941">
      <w:rPr>
        <w:rStyle w:val="PageNumber"/>
        <w:rFonts w:asciiTheme="minorHAnsi" w:hAnsiTheme="minorHAnsi"/>
        <w:noProof/>
        <w:sz w:val="19"/>
        <w:lang w:val="pl-PL"/>
      </w:rPr>
      <w:fldChar w:fldCharType="end"/>
    </w:r>
    <w:r w:rsidRPr="007A429A">
      <w:rPr>
        <w:rStyle w:val="PageNumber"/>
        <w:rFonts w:asciiTheme="minorHAnsi" w:hAnsiTheme="minorHAnsi"/>
        <w:sz w:val="19"/>
        <w:lang w:val="pl-PL"/>
      </w:rPr>
      <w:t xml:space="preserve">  Hrvatska banka za obnovu i razvitak</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3327E4">
    <w:pPr>
      <w:pStyle w:val="Footer"/>
      <w:framePr w:wrap="auto" w:vAnchor="margin" w:hAnchor="text" w:xAlign="left" w:yAlign="inline"/>
      <w:ind w:right="-5"/>
      <w:rPr>
        <w:lang w:val="pl-P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3327E4" w:rsidRDefault="009D5BDD">
    <w:pPr>
      <w:pStyle w:val="Footer"/>
      <w:framePr w:wrap="auto" w:vAnchor="margin" w:hAnchor="text" w:xAlign="left" w:yAlign="inline"/>
      <w:pBdr>
        <w:top w:val="single" w:sz="4" w:space="1" w:color="auto"/>
      </w:pBdr>
      <w:ind w:right="-5"/>
      <w:rPr>
        <w:rFonts w:asciiTheme="minorHAnsi" w:hAnsiTheme="minorHAnsi" w:cstheme="minorHAnsi"/>
        <w:lang w:val="pl-PL"/>
      </w:rPr>
    </w:pPr>
    <w:r w:rsidRPr="003327E4">
      <w:rPr>
        <w:rFonts w:asciiTheme="minorHAnsi" w:hAnsiTheme="minorHAnsi" w:cstheme="minorHAnsi"/>
        <w:sz w:val="19"/>
        <w:szCs w:val="19"/>
        <w:lang w:val="pl-PL"/>
      </w:rPr>
      <w:fldChar w:fldCharType="begin"/>
    </w:r>
    <w:r w:rsidRPr="003327E4">
      <w:rPr>
        <w:rFonts w:asciiTheme="minorHAnsi" w:hAnsiTheme="minorHAnsi" w:cstheme="minorHAnsi"/>
        <w:sz w:val="19"/>
        <w:szCs w:val="19"/>
        <w:lang w:val="pl-PL"/>
      </w:rPr>
      <w:instrText xml:space="preserve"> PAGE   \* MERGEFORMAT </w:instrText>
    </w:r>
    <w:r w:rsidRPr="003327E4">
      <w:rPr>
        <w:rFonts w:asciiTheme="minorHAnsi" w:hAnsiTheme="minorHAnsi" w:cstheme="minorHAnsi"/>
        <w:sz w:val="19"/>
        <w:szCs w:val="19"/>
        <w:lang w:val="pl-PL"/>
      </w:rPr>
      <w:fldChar w:fldCharType="separate"/>
    </w:r>
    <w:r w:rsidRPr="003327E4">
      <w:rPr>
        <w:rFonts w:asciiTheme="minorHAnsi" w:hAnsiTheme="minorHAnsi" w:cstheme="minorHAnsi"/>
        <w:noProof/>
        <w:sz w:val="19"/>
        <w:szCs w:val="19"/>
        <w:lang w:val="pl-PL"/>
      </w:rPr>
      <w:t>1</w:t>
    </w:r>
    <w:r w:rsidRPr="003327E4">
      <w:rPr>
        <w:rFonts w:asciiTheme="minorHAnsi" w:hAnsiTheme="minorHAnsi" w:cstheme="minorHAnsi"/>
        <w:noProof/>
        <w:sz w:val="19"/>
        <w:szCs w:val="19"/>
        <w:lang w:val="pl-PL"/>
      </w:rPr>
      <w:fldChar w:fldCharType="end"/>
    </w:r>
    <w:r w:rsidRPr="003327E4">
      <w:rPr>
        <w:rFonts w:asciiTheme="minorHAnsi" w:hAnsiTheme="minorHAnsi" w:cstheme="minorHAnsi"/>
        <w:noProof/>
        <w:sz w:val="19"/>
        <w:szCs w:val="19"/>
        <w:lang w:val="pl-PL"/>
      </w:rPr>
      <w:t xml:space="preserve">  </w:t>
    </w:r>
    <w:r w:rsidRPr="003327E4">
      <w:rPr>
        <w:rFonts w:asciiTheme="minorHAnsi" w:hAnsiTheme="minorHAnsi" w:cstheme="minorHAnsi"/>
        <w:sz w:val="19"/>
        <w:szCs w:val="19"/>
        <w:lang w:val="pl-PL"/>
      </w:rPr>
      <w:t>Hrvatska banka za obnovu i razvitak</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3327E4" w:rsidRDefault="009D5BDD" w:rsidP="002F39FB">
    <w:pPr>
      <w:pStyle w:val="Footer"/>
      <w:framePr w:wrap="auto" w:vAnchor="margin" w:hAnchor="text" w:xAlign="left" w:yAlign="inline"/>
      <w:pBdr>
        <w:top w:val="single" w:sz="4" w:space="1" w:color="auto"/>
      </w:pBdr>
      <w:ind w:right="-5"/>
      <w:rPr>
        <w:rFonts w:asciiTheme="minorHAnsi" w:hAnsiTheme="minorHAnsi" w:cstheme="minorHAnsi"/>
        <w:lang w:val="pl-PL"/>
      </w:rPr>
    </w:pPr>
    <w:r w:rsidRPr="003327E4">
      <w:rPr>
        <w:rFonts w:asciiTheme="minorHAnsi" w:hAnsiTheme="minorHAnsi" w:cstheme="minorHAnsi"/>
        <w:sz w:val="19"/>
        <w:szCs w:val="19"/>
        <w:lang w:val="pl-PL"/>
      </w:rPr>
      <w:fldChar w:fldCharType="begin"/>
    </w:r>
    <w:r w:rsidRPr="003327E4">
      <w:rPr>
        <w:rFonts w:asciiTheme="minorHAnsi" w:hAnsiTheme="minorHAnsi" w:cstheme="minorHAnsi"/>
        <w:sz w:val="19"/>
        <w:szCs w:val="19"/>
        <w:lang w:val="pl-PL"/>
      </w:rPr>
      <w:instrText xml:space="preserve"> PAGE   \* MERGEFORMAT </w:instrText>
    </w:r>
    <w:r w:rsidRPr="003327E4">
      <w:rPr>
        <w:rFonts w:asciiTheme="minorHAnsi" w:hAnsiTheme="minorHAnsi" w:cstheme="minorHAnsi"/>
        <w:sz w:val="19"/>
        <w:szCs w:val="19"/>
        <w:lang w:val="pl-PL"/>
      </w:rPr>
      <w:fldChar w:fldCharType="separate"/>
    </w:r>
    <w:r w:rsidRPr="003327E4">
      <w:rPr>
        <w:rFonts w:asciiTheme="minorHAnsi" w:hAnsiTheme="minorHAnsi" w:cstheme="minorHAnsi"/>
        <w:sz w:val="19"/>
        <w:szCs w:val="19"/>
        <w:lang w:val="pl-PL"/>
      </w:rPr>
      <w:t>6</w:t>
    </w:r>
    <w:r w:rsidRPr="003327E4">
      <w:rPr>
        <w:rFonts w:asciiTheme="minorHAnsi" w:hAnsiTheme="minorHAnsi" w:cstheme="minorHAnsi"/>
        <w:noProof/>
        <w:sz w:val="19"/>
        <w:szCs w:val="19"/>
        <w:lang w:val="pl-PL"/>
      </w:rPr>
      <w:fldChar w:fldCharType="end"/>
    </w:r>
    <w:r w:rsidRPr="003327E4">
      <w:rPr>
        <w:rFonts w:asciiTheme="minorHAnsi" w:hAnsiTheme="minorHAnsi" w:cstheme="minorHAnsi"/>
        <w:noProof/>
        <w:sz w:val="19"/>
        <w:szCs w:val="19"/>
        <w:lang w:val="pl-PL"/>
      </w:rPr>
      <w:t xml:space="preserve">  </w:t>
    </w:r>
    <w:r w:rsidRPr="003327E4">
      <w:rPr>
        <w:rFonts w:asciiTheme="minorHAnsi" w:hAnsiTheme="minorHAnsi" w:cstheme="minorHAnsi"/>
        <w:sz w:val="19"/>
        <w:szCs w:val="19"/>
        <w:lang w:val="pl-PL"/>
      </w:rPr>
      <w:t>Hrvatska banka za obnovu i razvitak</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3327E4" w:rsidRDefault="009D5BDD" w:rsidP="002F39FB">
    <w:pPr>
      <w:pStyle w:val="Footer"/>
      <w:framePr w:wrap="auto" w:vAnchor="margin" w:hAnchor="text" w:xAlign="left" w:yAlign="inline"/>
      <w:pBdr>
        <w:top w:val="single" w:sz="4" w:space="1" w:color="auto"/>
      </w:pBdr>
      <w:ind w:right="-5"/>
      <w:rPr>
        <w:rFonts w:asciiTheme="minorHAnsi" w:hAnsiTheme="minorHAnsi" w:cstheme="minorHAnsi"/>
        <w:lang w:val="pl-PL"/>
      </w:rPr>
    </w:pPr>
    <w:r w:rsidRPr="003327E4">
      <w:rPr>
        <w:rFonts w:asciiTheme="minorHAnsi" w:hAnsiTheme="minorHAnsi" w:cstheme="minorHAnsi"/>
        <w:sz w:val="19"/>
        <w:szCs w:val="19"/>
        <w:lang w:val="pl-PL"/>
      </w:rPr>
      <w:fldChar w:fldCharType="begin"/>
    </w:r>
    <w:r w:rsidRPr="003327E4">
      <w:rPr>
        <w:rFonts w:asciiTheme="minorHAnsi" w:hAnsiTheme="minorHAnsi" w:cstheme="minorHAnsi"/>
        <w:sz w:val="19"/>
        <w:szCs w:val="19"/>
        <w:lang w:val="pl-PL"/>
      </w:rPr>
      <w:instrText xml:space="preserve"> PAGE   \* MERGEFORMAT </w:instrText>
    </w:r>
    <w:r w:rsidRPr="003327E4">
      <w:rPr>
        <w:rFonts w:asciiTheme="minorHAnsi" w:hAnsiTheme="minorHAnsi" w:cstheme="minorHAnsi"/>
        <w:sz w:val="19"/>
        <w:szCs w:val="19"/>
        <w:lang w:val="pl-PL"/>
      </w:rPr>
      <w:fldChar w:fldCharType="separate"/>
    </w:r>
    <w:r w:rsidRPr="003327E4">
      <w:rPr>
        <w:rFonts w:asciiTheme="minorHAnsi" w:hAnsiTheme="minorHAnsi" w:cstheme="minorHAnsi"/>
        <w:sz w:val="19"/>
        <w:szCs w:val="19"/>
        <w:lang w:val="pl-PL"/>
      </w:rPr>
      <w:t>6</w:t>
    </w:r>
    <w:r w:rsidRPr="003327E4">
      <w:rPr>
        <w:rFonts w:asciiTheme="minorHAnsi" w:hAnsiTheme="minorHAnsi" w:cstheme="minorHAnsi"/>
        <w:noProof/>
        <w:sz w:val="19"/>
        <w:szCs w:val="19"/>
        <w:lang w:val="pl-PL"/>
      </w:rPr>
      <w:fldChar w:fldCharType="end"/>
    </w:r>
    <w:r w:rsidRPr="003327E4">
      <w:rPr>
        <w:rFonts w:asciiTheme="minorHAnsi" w:hAnsiTheme="minorHAnsi" w:cstheme="minorHAnsi"/>
        <w:noProof/>
        <w:sz w:val="19"/>
        <w:szCs w:val="19"/>
        <w:lang w:val="pl-PL"/>
      </w:rPr>
      <w:t xml:space="preserve">  </w:t>
    </w:r>
    <w:r w:rsidRPr="003327E4">
      <w:rPr>
        <w:rFonts w:asciiTheme="minorHAnsi" w:hAnsiTheme="minorHAnsi" w:cstheme="minorHAnsi"/>
        <w:sz w:val="19"/>
        <w:szCs w:val="19"/>
        <w:lang w:val="pl-PL"/>
      </w:rPr>
      <w:t>Hrvatska banka za obnovu i razvitak</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2F39FB" w:rsidRDefault="009D5BDD" w:rsidP="002F39FB">
    <w:pPr>
      <w:pStyle w:val="Footer"/>
      <w:framePr w:wrap="around"/>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A021AA" w:rsidRDefault="009D5BDD">
    <w:pPr>
      <w:pStyle w:val="Footer"/>
      <w:framePr w:wrap="around"/>
      <w:rPr>
        <w:rStyle w:val="PageNumber"/>
        <w:rFonts w:ascii="Arial" w:hAnsi="Arial" w:cs="Arial"/>
        <w:sz w:val="19"/>
        <w:szCs w:val="19"/>
        <w:lang w:val="pl-PL"/>
      </w:rPr>
    </w:pPr>
    <w:r>
      <w:rPr>
        <w:rStyle w:val="PageNumber"/>
        <w:rFonts w:ascii="Arial" w:hAnsi="Arial" w:cs="Arial"/>
        <w:sz w:val="19"/>
        <w:szCs w:val="19"/>
      </w:rPr>
      <w:fldChar w:fldCharType="begin"/>
    </w:r>
    <w:r w:rsidRPr="00A021AA">
      <w:rPr>
        <w:rStyle w:val="PageNumber"/>
        <w:rFonts w:ascii="Arial" w:hAnsi="Arial" w:cs="Arial"/>
        <w:sz w:val="19"/>
        <w:szCs w:val="19"/>
        <w:lang w:val="pl-PL"/>
      </w:rPr>
      <w:instrText xml:space="preserve">PAGE  </w:instrText>
    </w:r>
    <w:r>
      <w:rPr>
        <w:rStyle w:val="PageNumber"/>
        <w:rFonts w:ascii="Arial" w:hAnsi="Arial" w:cs="Arial"/>
        <w:sz w:val="19"/>
        <w:szCs w:val="19"/>
      </w:rPr>
      <w:fldChar w:fldCharType="separate"/>
    </w:r>
    <w:r>
      <w:rPr>
        <w:rStyle w:val="PageNumber"/>
        <w:rFonts w:ascii="Arial" w:hAnsi="Arial" w:cs="Arial"/>
        <w:noProof/>
        <w:sz w:val="19"/>
        <w:szCs w:val="19"/>
        <w:lang w:val="pl-PL"/>
      </w:rPr>
      <w:t>3</w:t>
    </w:r>
    <w:r>
      <w:rPr>
        <w:rStyle w:val="PageNumber"/>
        <w:rFonts w:ascii="Arial" w:hAnsi="Arial" w:cs="Arial"/>
        <w:sz w:val="19"/>
        <w:szCs w:val="19"/>
      </w:rPr>
      <w:fldChar w:fldCharType="end"/>
    </w:r>
  </w:p>
  <w:p w:rsidR="009D5BDD" w:rsidRDefault="009D5BDD" w:rsidP="007A0959">
    <w:pPr>
      <w:pStyle w:val="Footer"/>
      <w:framePr w:wrap="auto" w:vAnchor="margin" w:hAnchor="text" w:xAlign="left" w:yAlign="inline"/>
      <w:pBdr>
        <w:top w:val="single" w:sz="4" w:space="1" w:color="auto"/>
      </w:pBdr>
      <w:ind w:right="-5"/>
      <w:rPr>
        <w:lang w:val="pl-PL"/>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C901EC" w:rsidRDefault="009D5BDD" w:rsidP="00447AB8">
    <w:pPr>
      <w:pStyle w:val="Footer"/>
      <w:framePr w:wrap="auto" w:vAnchor="margin" w:hAnchor="text" w:xAlign="left" w:yAlign="inline"/>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sidRPr="00923191">
      <w:rPr>
        <w:rStyle w:val="PageNumber"/>
        <w:rFonts w:asciiTheme="minorHAnsi" w:hAnsiTheme="minorHAnsi"/>
        <w:sz w:val="19"/>
        <w:lang w:val="pl-PL"/>
      </w:rPr>
      <w:fldChar w:fldCharType="begin"/>
    </w:r>
    <w:r w:rsidRPr="00923191">
      <w:rPr>
        <w:rStyle w:val="PageNumber"/>
        <w:rFonts w:asciiTheme="minorHAnsi" w:hAnsiTheme="minorHAnsi"/>
        <w:sz w:val="19"/>
        <w:lang w:val="pl-PL"/>
      </w:rPr>
      <w:instrText xml:space="preserve"> PAGE   \* MERGEFORMAT </w:instrText>
    </w:r>
    <w:r w:rsidRPr="00923191">
      <w:rPr>
        <w:rStyle w:val="PageNumber"/>
        <w:rFonts w:asciiTheme="minorHAnsi" w:hAnsiTheme="minorHAnsi"/>
        <w:sz w:val="19"/>
        <w:lang w:val="pl-PL"/>
      </w:rPr>
      <w:fldChar w:fldCharType="separate"/>
    </w:r>
    <w:r w:rsidRPr="00923191">
      <w:rPr>
        <w:rStyle w:val="PageNumber"/>
        <w:rFonts w:asciiTheme="minorHAnsi" w:hAnsiTheme="minorHAnsi"/>
        <w:noProof/>
        <w:sz w:val="19"/>
        <w:lang w:val="pl-PL"/>
      </w:rPr>
      <w:t>1</w:t>
    </w:r>
    <w:r w:rsidRPr="00923191">
      <w:rPr>
        <w:rStyle w:val="PageNumber"/>
        <w:rFonts w:asciiTheme="minorHAnsi" w:hAnsiTheme="minorHAnsi"/>
        <w:noProof/>
        <w:sz w:val="19"/>
        <w:lang w:val="pl-PL"/>
      </w:rPr>
      <w:fldChar w:fldCharType="end"/>
    </w:r>
    <w:r w:rsidRPr="00AB04C8">
      <w:rPr>
        <w:rStyle w:val="PageNumber"/>
        <w:rFonts w:asciiTheme="minorHAnsi" w:hAnsiTheme="minorHAnsi"/>
        <w:sz w:val="19"/>
        <w:lang w:val="pl-PL"/>
      </w:rPr>
      <w:t xml:space="preserve">  Hrvatska banka za obnovu i razvitak</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840526" w:rsidRDefault="009D5BDD" w:rsidP="00840526">
    <w:pPr>
      <w:pStyle w:val="Footer"/>
      <w:framePr w:wrap="auto" w:vAnchor="margin" w:hAnchor="text" w:xAlign="left" w:yAlign="inline"/>
      <w:jc w:val="right"/>
      <w:rPr>
        <w:rStyle w:val="PageNumber"/>
      </w:rPr>
    </w:pPr>
    <w:r w:rsidRPr="00840526">
      <w:rPr>
        <w:rStyle w:val="PageNumber"/>
      </w:rPr>
      <w:fldChar w:fldCharType="begin"/>
    </w:r>
    <w:r w:rsidRPr="00840526">
      <w:rPr>
        <w:rStyle w:val="PageNumber"/>
      </w:rPr>
      <w:instrText xml:space="preserve"> PAGE   \* MERGEFORMAT </w:instrText>
    </w:r>
    <w:r w:rsidRPr="00840526">
      <w:rPr>
        <w:rStyle w:val="PageNumber"/>
      </w:rPr>
      <w:fldChar w:fldCharType="separate"/>
    </w:r>
    <w:r w:rsidRPr="00840526">
      <w:rPr>
        <w:rStyle w:val="PageNumber"/>
        <w:noProof/>
      </w:rPr>
      <w:t>1</w:t>
    </w:r>
    <w:r w:rsidRPr="00840526">
      <w:rPr>
        <w:rStyle w:val="PageNumbe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028DC" w:rsidRDefault="00C028DC">
      <w:r>
        <w:separator/>
      </w:r>
    </w:p>
  </w:footnote>
  <w:footnote w:type="continuationSeparator" w:id="0">
    <w:p w:rsidR="00C028DC" w:rsidRDefault="00C028DC">
      <w:r>
        <w:continuationSeparator/>
      </w:r>
    </w:p>
  </w:footnote>
  <w:footnote w:id="1">
    <w:p w:rsidR="009D5BDD" w:rsidRPr="003C6BA3" w:rsidRDefault="009D5BDD" w:rsidP="003C6BA3">
      <w:pPr>
        <w:pStyle w:val="T1"/>
        <w:keepNext w:val="0"/>
        <w:spacing w:before="0" w:after="0" w:line="240" w:lineRule="auto"/>
        <w:rPr>
          <w:rFonts w:cs="Arial"/>
          <w:i/>
          <w:sz w:val="18"/>
          <w:szCs w:val="18"/>
        </w:rPr>
      </w:pPr>
      <w:r w:rsidRPr="003C6BA3">
        <w:rPr>
          <w:rStyle w:val="FootnoteReference"/>
          <w:b w:val="0"/>
        </w:rPr>
        <w:footnoteRef/>
      </w:r>
      <w:r w:rsidRPr="003C6BA3">
        <w:rPr>
          <w:b w:val="0"/>
        </w:rPr>
        <w:t xml:space="preserve"> </w:t>
      </w:r>
      <w:bookmarkStart w:id="42" w:name="_Hlk2590415"/>
      <w:r w:rsidRPr="00CD1AA0">
        <w:rPr>
          <w:rFonts w:asciiTheme="minorHAnsi" w:hAnsiTheme="minorHAnsi" w:cs="Arial"/>
          <w:b w:val="0"/>
          <w:bCs w:val="0"/>
          <w:i/>
          <w:sz w:val="18"/>
          <w:szCs w:val="18"/>
          <w:lang w:val="hr-HR"/>
        </w:rPr>
        <w:t xml:space="preserve">Učinak </w:t>
      </w:r>
      <w:r>
        <w:rPr>
          <w:rFonts w:asciiTheme="minorHAnsi" w:hAnsiTheme="minorHAnsi" w:cs="Arial"/>
          <w:b w:val="0"/>
          <w:bCs w:val="0"/>
          <w:i/>
          <w:sz w:val="18"/>
          <w:szCs w:val="18"/>
          <w:lang w:val="hr-HR"/>
        </w:rPr>
        <w:t>reklasifikacije financijske imovine</w:t>
      </w:r>
      <w:r w:rsidRPr="00CD1AA0">
        <w:rPr>
          <w:rFonts w:asciiTheme="minorHAnsi" w:hAnsiTheme="minorHAnsi" w:cs="Arial"/>
          <w:b w:val="0"/>
          <w:bCs w:val="0"/>
          <w:i/>
          <w:sz w:val="18"/>
          <w:szCs w:val="18"/>
          <w:lang w:val="hr-HR"/>
        </w:rPr>
        <w:t xml:space="preserve"> koja je po MRS-u 39 bila mjerena kroz ostalu sveobuhvatnu dobit te reklasificirana po MSFI-ju 9 kao financijska imovina po fer vrijednosti kroz  dobit i gubi</w:t>
      </w:r>
      <w:r>
        <w:rPr>
          <w:rFonts w:asciiTheme="minorHAnsi" w:hAnsiTheme="minorHAnsi" w:cs="Arial"/>
          <w:b w:val="0"/>
          <w:bCs w:val="0"/>
          <w:i/>
          <w:sz w:val="18"/>
          <w:szCs w:val="18"/>
          <w:lang w:val="hr-HR"/>
        </w:rPr>
        <w:t>tak</w:t>
      </w:r>
      <w:r w:rsidRPr="00CD1AA0">
        <w:rPr>
          <w:rFonts w:asciiTheme="minorHAnsi" w:hAnsiTheme="minorHAnsi" w:cs="Arial"/>
          <w:b w:val="0"/>
          <w:bCs w:val="0"/>
          <w:i/>
          <w:sz w:val="18"/>
          <w:szCs w:val="18"/>
          <w:lang w:val="hr-HR"/>
        </w:rPr>
        <w:t>, zbog čega je učinak sa Ostalih rezervi iskazan na Zadržanoj dobiti i rezervama.</w:t>
      </w:r>
      <w:bookmarkEnd w:id="42"/>
    </w:p>
  </w:footnote>
  <w:footnote w:id="2">
    <w:p w:rsidR="009D5BDD" w:rsidRPr="003C6BA3" w:rsidRDefault="009D5BDD" w:rsidP="003C6BA3">
      <w:pPr>
        <w:pStyle w:val="FootnoteText"/>
        <w:jc w:val="both"/>
        <w:rPr>
          <w:sz w:val="18"/>
          <w:szCs w:val="18"/>
        </w:rPr>
      </w:pPr>
      <w:r>
        <w:rPr>
          <w:rStyle w:val="FootnoteReference"/>
        </w:rPr>
        <w:footnoteRef/>
      </w:r>
      <w:r>
        <w:t xml:space="preserve"> </w:t>
      </w:r>
      <w:r w:rsidRPr="003C6BA3">
        <w:rPr>
          <w:rFonts w:asciiTheme="minorHAnsi" w:hAnsiTheme="minorHAnsi" w:cstheme="minorHAnsi"/>
          <w:i/>
          <w:sz w:val="18"/>
          <w:szCs w:val="18"/>
        </w:rPr>
        <w:t>Učinak reklasifikacije financijske imovine koja je po MRS-u 39 bila mjerena kroz ostalu sveobuhvatnu dobit te reklasificirana po MSFI-ju 9 kao financijska imovina po fer vrijednosti kroz  dobit i gubitak, zbog čega je učinak sa Ostalih rezervi iskazan na Zadržanoj dobiti i rezervama.</w:t>
      </w:r>
    </w:p>
  </w:footnote>
  <w:footnote w:id="3">
    <w:p w:rsidR="009D5BDD" w:rsidRPr="003C6BA3" w:rsidRDefault="009D5BDD" w:rsidP="00D77C69">
      <w:pPr>
        <w:pStyle w:val="FootnoteText"/>
        <w:ind w:left="142" w:hanging="142"/>
        <w:jc w:val="both"/>
        <w:rPr>
          <w:rFonts w:asciiTheme="minorHAnsi" w:hAnsiTheme="minorHAnsi" w:cstheme="minorHAnsi"/>
          <w:sz w:val="14"/>
          <w:szCs w:val="14"/>
        </w:rPr>
      </w:pPr>
      <w:r w:rsidRPr="003C6BA3">
        <w:rPr>
          <w:rFonts w:asciiTheme="minorHAnsi" w:hAnsiTheme="minorHAnsi" w:cstheme="minorHAnsi"/>
          <w:sz w:val="14"/>
          <w:szCs w:val="14"/>
        </w:rPr>
        <w:footnoteRef/>
      </w:r>
      <w:r w:rsidRPr="003C6BA3">
        <w:rPr>
          <w:rFonts w:asciiTheme="minorHAnsi" w:hAnsiTheme="minorHAnsi" w:cstheme="minorHAnsi"/>
          <w:sz w:val="14"/>
          <w:szCs w:val="14"/>
        </w:rPr>
        <w:t xml:space="preserve"> </w:t>
      </w:r>
      <w:bookmarkStart w:id="46" w:name="_Hlk522271388"/>
      <w:r w:rsidRPr="003C6BA3">
        <w:rPr>
          <w:rFonts w:asciiTheme="minorHAnsi" w:hAnsiTheme="minorHAnsi" w:cstheme="minorHAnsi"/>
          <w:sz w:val="14"/>
          <w:szCs w:val="14"/>
        </w:rPr>
        <w:t>Ostalo se odnosi na donos isključenih kamata i naknada iz izvanbilančne evidencije netirano s prijenosom glavnice kredita na poziciju financijske imovine po fer vrijednosti kroz IDG.</w:t>
      </w:r>
      <w:bookmarkEnd w:id="46"/>
    </w:p>
  </w:footnote>
  <w:footnote w:id="4">
    <w:p w:rsidR="009D5BDD" w:rsidRPr="003C6BA3" w:rsidRDefault="009D5BDD" w:rsidP="00D77C69">
      <w:pPr>
        <w:pStyle w:val="FootnoteText"/>
        <w:ind w:left="142" w:hanging="142"/>
        <w:jc w:val="both"/>
        <w:rPr>
          <w:rFonts w:asciiTheme="minorHAnsi" w:hAnsiTheme="minorHAnsi" w:cstheme="minorHAnsi"/>
          <w:sz w:val="14"/>
          <w:szCs w:val="14"/>
        </w:rPr>
      </w:pPr>
      <w:r w:rsidRPr="003C6BA3">
        <w:rPr>
          <w:rFonts w:asciiTheme="minorHAnsi" w:hAnsiTheme="minorHAnsi" w:cstheme="minorHAnsi"/>
          <w:sz w:val="14"/>
          <w:szCs w:val="14"/>
        </w:rPr>
        <w:footnoteRef/>
      </w:r>
      <w:r w:rsidRPr="003C6BA3">
        <w:rPr>
          <w:rFonts w:asciiTheme="minorHAnsi" w:hAnsiTheme="minorHAnsi" w:cstheme="minorHAnsi"/>
          <w:sz w:val="14"/>
          <w:szCs w:val="14"/>
        </w:rPr>
        <w:t xml:space="preserve"> Z i P: Zajmovi i potraživanja</w:t>
      </w:r>
    </w:p>
  </w:footnote>
  <w:footnote w:id="5">
    <w:p w:rsidR="009D5BDD" w:rsidRPr="003C6BA3" w:rsidRDefault="009D5BDD" w:rsidP="00D77C69">
      <w:pPr>
        <w:pStyle w:val="FootnoteText"/>
        <w:ind w:left="142" w:hanging="142"/>
        <w:jc w:val="both"/>
        <w:rPr>
          <w:rFonts w:asciiTheme="minorHAnsi" w:hAnsiTheme="minorHAnsi" w:cstheme="minorHAnsi"/>
          <w:sz w:val="14"/>
          <w:szCs w:val="14"/>
        </w:rPr>
      </w:pPr>
      <w:r w:rsidRPr="003C6BA3">
        <w:rPr>
          <w:rFonts w:asciiTheme="minorHAnsi" w:hAnsiTheme="minorHAnsi" w:cstheme="minorHAnsi"/>
          <w:sz w:val="14"/>
          <w:szCs w:val="14"/>
        </w:rPr>
        <w:footnoteRef/>
      </w:r>
      <w:r w:rsidRPr="003C6BA3">
        <w:rPr>
          <w:rFonts w:asciiTheme="minorHAnsi" w:hAnsiTheme="minorHAnsi" w:cstheme="minorHAnsi"/>
          <w:sz w:val="14"/>
          <w:szCs w:val="14"/>
        </w:rPr>
        <w:t xml:space="preserve"> AT: Amortizirani trošak</w:t>
      </w:r>
    </w:p>
  </w:footnote>
  <w:footnote w:id="6">
    <w:p w:rsidR="009D5BDD" w:rsidRPr="003C6BA3" w:rsidRDefault="009D5BDD" w:rsidP="00D77C69">
      <w:pPr>
        <w:pStyle w:val="FootnoteText"/>
        <w:jc w:val="both"/>
        <w:rPr>
          <w:rFonts w:asciiTheme="minorHAnsi" w:hAnsiTheme="minorHAnsi" w:cstheme="minorHAnsi"/>
          <w:sz w:val="14"/>
          <w:szCs w:val="14"/>
        </w:rPr>
      </w:pPr>
      <w:r w:rsidRPr="003C6BA3">
        <w:rPr>
          <w:rStyle w:val="FootnoteReference"/>
          <w:rFonts w:asciiTheme="minorHAnsi" w:hAnsiTheme="minorHAnsi" w:cstheme="minorHAnsi"/>
          <w:sz w:val="14"/>
          <w:szCs w:val="14"/>
        </w:rPr>
        <w:footnoteRef/>
      </w:r>
      <w:r w:rsidRPr="003C6BA3">
        <w:rPr>
          <w:rFonts w:asciiTheme="minorHAnsi" w:hAnsiTheme="minorHAnsi" w:cstheme="minorHAnsi"/>
          <w:sz w:val="14"/>
          <w:szCs w:val="14"/>
        </w:rPr>
        <w:t xml:space="preserve"> FV</w:t>
      </w:r>
      <w:r>
        <w:rPr>
          <w:rFonts w:asciiTheme="minorHAnsi" w:hAnsiTheme="minorHAnsi" w:cstheme="minorHAnsi"/>
          <w:sz w:val="14"/>
          <w:szCs w:val="14"/>
        </w:rPr>
        <w:t>R</w:t>
      </w:r>
      <w:r w:rsidRPr="003C6BA3">
        <w:rPr>
          <w:rFonts w:asciiTheme="minorHAnsi" w:hAnsiTheme="minorHAnsi" w:cstheme="minorHAnsi"/>
          <w:sz w:val="14"/>
          <w:szCs w:val="14"/>
        </w:rPr>
        <w:t>DG: Fer vrijednost kroz dobit</w:t>
      </w:r>
      <w:r>
        <w:rPr>
          <w:rFonts w:asciiTheme="minorHAnsi" w:hAnsiTheme="minorHAnsi" w:cstheme="minorHAnsi"/>
          <w:sz w:val="14"/>
          <w:szCs w:val="14"/>
        </w:rPr>
        <w:t xml:space="preserve"> </w:t>
      </w:r>
      <w:r w:rsidRPr="003C6BA3">
        <w:rPr>
          <w:rFonts w:asciiTheme="minorHAnsi" w:hAnsiTheme="minorHAnsi" w:cstheme="minorHAnsi"/>
          <w:sz w:val="14"/>
          <w:szCs w:val="14"/>
        </w:rPr>
        <w:t>i</w:t>
      </w:r>
      <w:r>
        <w:rPr>
          <w:rFonts w:asciiTheme="minorHAnsi" w:hAnsiTheme="minorHAnsi" w:cstheme="minorHAnsi"/>
          <w:sz w:val="14"/>
          <w:szCs w:val="14"/>
        </w:rPr>
        <w:t>li</w:t>
      </w:r>
      <w:r w:rsidRPr="003C6BA3">
        <w:rPr>
          <w:rFonts w:asciiTheme="minorHAnsi" w:hAnsiTheme="minorHAnsi" w:cstheme="minorHAnsi"/>
          <w:sz w:val="14"/>
          <w:szCs w:val="14"/>
        </w:rPr>
        <w:t xml:space="preserve"> gubit</w:t>
      </w:r>
      <w:r>
        <w:rPr>
          <w:rFonts w:asciiTheme="minorHAnsi" w:hAnsiTheme="minorHAnsi" w:cstheme="minorHAnsi"/>
          <w:sz w:val="14"/>
          <w:szCs w:val="14"/>
        </w:rPr>
        <w:t>ak</w:t>
      </w:r>
    </w:p>
  </w:footnote>
  <w:footnote w:id="7">
    <w:p w:rsidR="009D5BDD" w:rsidRPr="003C6BA3" w:rsidRDefault="009D5BDD" w:rsidP="00D77C69">
      <w:pPr>
        <w:pStyle w:val="FootnoteText"/>
        <w:jc w:val="both"/>
        <w:rPr>
          <w:rFonts w:asciiTheme="minorHAnsi" w:hAnsiTheme="minorHAnsi" w:cstheme="minorHAnsi"/>
          <w:sz w:val="14"/>
          <w:szCs w:val="14"/>
        </w:rPr>
      </w:pPr>
      <w:r w:rsidRPr="003C6BA3">
        <w:rPr>
          <w:rStyle w:val="FootnoteReference"/>
          <w:rFonts w:asciiTheme="minorHAnsi" w:hAnsiTheme="minorHAnsi" w:cstheme="minorHAnsi"/>
          <w:sz w:val="14"/>
          <w:szCs w:val="14"/>
        </w:rPr>
        <w:footnoteRef/>
      </w:r>
      <w:r w:rsidRPr="003C6BA3">
        <w:rPr>
          <w:rFonts w:asciiTheme="minorHAnsi" w:hAnsiTheme="minorHAnsi" w:cstheme="minorHAnsi"/>
          <w:sz w:val="14"/>
          <w:szCs w:val="14"/>
        </w:rPr>
        <w:t xml:space="preserve"> FVOSD: Fer vrijednost kroz ostalu sveobuhvatnu dobit</w:t>
      </w:r>
    </w:p>
  </w:footnote>
  <w:footnote w:id="8">
    <w:p w:rsidR="009D5BDD" w:rsidRPr="003C6BA3" w:rsidRDefault="009D5BDD" w:rsidP="00D77C69">
      <w:pPr>
        <w:pStyle w:val="FootnoteText"/>
        <w:rPr>
          <w:rFonts w:asciiTheme="minorHAnsi" w:hAnsiTheme="minorHAnsi" w:cstheme="minorHAnsi"/>
          <w:sz w:val="14"/>
          <w:szCs w:val="14"/>
        </w:rPr>
      </w:pPr>
      <w:r w:rsidRPr="003C6BA3">
        <w:rPr>
          <w:rStyle w:val="FootnoteReference"/>
          <w:rFonts w:asciiTheme="minorHAnsi" w:hAnsiTheme="minorHAnsi" w:cstheme="minorHAnsi"/>
          <w:sz w:val="14"/>
          <w:szCs w:val="14"/>
        </w:rPr>
        <w:footnoteRef/>
      </w:r>
      <w:r w:rsidRPr="003C6BA3">
        <w:rPr>
          <w:rFonts w:asciiTheme="minorHAnsi" w:hAnsiTheme="minorHAnsi" w:cstheme="minorHAnsi"/>
          <w:sz w:val="14"/>
          <w:szCs w:val="14"/>
        </w:rPr>
        <w:t xml:space="preserve"> IRP: Imovina raspoloživa za prodaju</w:t>
      </w:r>
    </w:p>
  </w:footnote>
  <w:footnote w:id="9">
    <w:p w:rsidR="009D5BDD" w:rsidRPr="003C6BA3" w:rsidRDefault="009D5BDD" w:rsidP="00D77C69">
      <w:pPr>
        <w:pStyle w:val="FootnoteText"/>
        <w:ind w:left="142" w:hanging="142"/>
        <w:jc w:val="both"/>
        <w:rPr>
          <w:rFonts w:asciiTheme="minorHAnsi" w:hAnsiTheme="minorHAnsi" w:cstheme="minorHAnsi"/>
          <w:sz w:val="14"/>
          <w:szCs w:val="14"/>
        </w:rPr>
      </w:pPr>
      <w:r w:rsidRPr="003C6BA3">
        <w:rPr>
          <w:rStyle w:val="FootnoteReference"/>
          <w:rFonts w:asciiTheme="minorHAnsi" w:hAnsiTheme="minorHAnsi" w:cstheme="minorHAnsi"/>
          <w:sz w:val="14"/>
          <w:szCs w:val="14"/>
        </w:rPr>
        <w:footnoteRef/>
      </w:r>
      <w:r w:rsidRPr="003C6BA3">
        <w:rPr>
          <w:rFonts w:asciiTheme="minorHAnsi" w:hAnsiTheme="minorHAnsi" w:cstheme="minorHAnsi"/>
          <w:sz w:val="14"/>
          <w:szCs w:val="14"/>
        </w:rPr>
        <w:t xml:space="preserve"> Rezervacija financijske imovine klasificirane kao imovine koja se naknadno mjeri po fer vrijednosti kroz ostalu sveobuhvatnu dobit ne umanjuje knjigovodstvenu vrijednost financijske imovine u Izvještaju o financijskom položaju, već se priznaje na računima ostale sveobuhvatne dobiti.</w:t>
      </w:r>
    </w:p>
  </w:footnote>
  <w:footnote w:id="10">
    <w:p w:rsidR="009D5BDD" w:rsidRPr="003C6BA3" w:rsidRDefault="009D5BDD" w:rsidP="00D77C69">
      <w:pPr>
        <w:pStyle w:val="FootnoteText"/>
        <w:ind w:left="142" w:hanging="142"/>
        <w:jc w:val="both"/>
        <w:rPr>
          <w:rFonts w:asciiTheme="minorHAnsi" w:hAnsiTheme="minorHAnsi" w:cstheme="minorHAnsi"/>
          <w:sz w:val="14"/>
          <w:szCs w:val="14"/>
        </w:rPr>
      </w:pPr>
      <w:r w:rsidRPr="003C6BA3">
        <w:rPr>
          <w:rStyle w:val="FootnoteReference"/>
          <w:rFonts w:asciiTheme="minorHAnsi" w:hAnsiTheme="minorHAnsi" w:cstheme="minorHAnsi"/>
          <w:sz w:val="14"/>
          <w:szCs w:val="14"/>
        </w:rPr>
        <w:footnoteRef/>
      </w:r>
      <w:r w:rsidRPr="003C6BA3">
        <w:rPr>
          <w:rFonts w:asciiTheme="minorHAnsi" w:hAnsiTheme="minorHAnsi" w:cstheme="minorHAnsi"/>
          <w:sz w:val="14"/>
          <w:szCs w:val="14"/>
        </w:rPr>
        <w:t xml:space="preserve"> Učinak svođenja na fer vrijednost financijske imovine koja je po MRS-u 39 bila mjerena kroz ostalu sveobuhvatnu dobit te reklasificirana po MSFI-ju 9 kao financijska imovina po fer vrijednosti kroz </w:t>
      </w:r>
      <w:r>
        <w:rPr>
          <w:rFonts w:asciiTheme="minorHAnsi" w:hAnsiTheme="minorHAnsi" w:cstheme="minorHAnsi"/>
          <w:sz w:val="14"/>
          <w:szCs w:val="14"/>
        </w:rPr>
        <w:t>dobit ili gubitak</w:t>
      </w:r>
      <w:r w:rsidRPr="003C6BA3">
        <w:rPr>
          <w:rFonts w:asciiTheme="minorHAnsi" w:hAnsiTheme="minorHAnsi" w:cstheme="minorHAnsi"/>
          <w:sz w:val="14"/>
          <w:szCs w:val="14"/>
        </w:rPr>
        <w:t>, zbog čega je učinak sa Ostalih rezervi iskazan na Zadržanoj dobiti i rezervama.</w:t>
      </w:r>
    </w:p>
  </w:footnote>
  <w:footnote w:id="11">
    <w:p w:rsidR="009D5BDD" w:rsidRPr="00E476D5" w:rsidRDefault="009D5BDD" w:rsidP="006D419E">
      <w:pPr>
        <w:pStyle w:val="FootnoteText"/>
        <w:ind w:left="142" w:hanging="142"/>
        <w:jc w:val="both"/>
        <w:rPr>
          <w:rFonts w:asciiTheme="minorHAnsi" w:hAnsiTheme="minorHAnsi" w:cstheme="minorHAnsi"/>
          <w:sz w:val="14"/>
          <w:szCs w:val="14"/>
        </w:rPr>
      </w:pPr>
      <w:r w:rsidRPr="00E476D5">
        <w:rPr>
          <w:rFonts w:asciiTheme="minorHAnsi" w:hAnsiTheme="minorHAnsi" w:cstheme="minorHAnsi"/>
          <w:sz w:val="14"/>
          <w:szCs w:val="14"/>
        </w:rPr>
        <w:footnoteRef/>
      </w:r>
      <w:r w:rsidRPr="00E476D5">
        <w:rPr>
          <w:rFonts w:asciiTheme="minorHAnsi" w:hAnsiTheme="minorHAnsi" w:cstheme="minorHAnsi"/>
          <w:sz w:val="14"/>
          <w:szCs w:val="14"/>
        </w:rPr>
        <w:t xml:space="preserve"> Ostalo se odnosi na donos isključenih kamata i naknada iz izvanbilančne evidencije netirano s prijenosom glavnice kredita na poziciju financijske imovine po fer vrijednosti kroz </w:t>
      </w:r>
      <w:r>
        <w:rPr>
          <w:rFonts w:asciiTheme="minorHAnsi" w:hAnsiTheme="minorHAnsi" w:cstheme="minorHAnsi"/>
          <w:sz w:val="14"/>
          <w:szCs w:val="14"/>
        </w:rPr>
        <w:t>R</w:t>
      </w:r>
      <w:r w:rsidRPr="00E476D5">
        <w:rPr>
          <w:rFonts w:asciiTheme="minorHAnsi" w:hAnsiTheme="minorHAnsi" w:cstheme="minorHAnsi"/>
          <w:sz w:val="14"/>
          <w:szCs w:val="14"/>
        </w:rPr>
        <w:t>DG.</w:t>
      </w:r>
    </w:p>
  </w:footnote>
  <w:footnote w:id="12">
    <w:p w:rsidR="009D5BDD" w:rsidRPr="00E476D5" w:rsidRDefault="009D5BDD" w:rsidP="006D419E">
      <w:pPr>
        <w:pStyle w:val="Style2"/>
        <w:shd w:val="clear" w:color="auto" w:fill="auto"/>
        <w:rPr>
          <w:rFonts w:asciiTheme="minorHAnsi" w:hAnsiTheme="minorHAnsi" w:cstheme="minorHAnsi"/>
          <w:sz w:val="14"/>
          <w:szCs w:val="14"/>
        </w:rPr>
      </w:pPr>
      <w:r w:rsidRPr="00E476D5">
        <w:rPr>
          <w:rFonts w:asciiTheme="minorHAnsi" w:hAnsiTheme="minorHAnsi" w:cstheme="minorHAnsi"/>
          <w:sz w:val="14"/>
          <w:szCs w:val="14"/>
          <w:vertAlign w:val="superscript"/>
        </w:rPr>
        <w:footnoteRef/>
      </w:r>
      <w:r w:rsidRPr="00E476D5">
        <w:rPr>
          <w:rFonts w:asciiTheme="minorHAnsi" w:hAnsiTheme="minorHAnsi" w:cstheme="minorHAnsi"/>
          <w:sz w:val="14"/>
          <w:szCs w:val="14"/>
        </w:rPr>
        <w:t xml:space="preserve"> Z i P: Zajmovi i potraživanja</w:t>
      </w:r>
    </w:p>
  </w:footnote>
  <w:footnote w:id="13">
    <w:p w:rsidR="009D5BDD" w:rsidRPr="00E476D5" w:rsidRDefault="009D5BDD" w:rsidP="006D419E">
      <w:pPr>
        <w:pStyle w:val="Style2"/>
        <w:shd w:val="clear" w:color="auto" w:fill="auto"/>
        <w:rPr>
          <w:rFonts w:asciiTheme="minorHAnsi" w:hAnsiTheme="minorHAnsi" w:cstheme="minorHAnsi"/>
          <w:sz w:val="14"/>
          <w:szCs w:val="14"/>
        </w:rPr>
      </w:pPr>
      <w:r w:rsidRPr="00E476D5">
        <w:rPr>
          <w:rFonts w:asciiTheme="minorHAnsi" w:hAnsiTheme="minorHAnsi" w:cstheme="minorHAnsi"/>
          <w:sz w:val="14"/>
          <w:szCs w:val="14"/>
          <w:vertAlign w:val="superscript"/>
        </w:rPr>
        <w:footnoteRef/>
      </w:r>
      <w:r w:rsidRPr="00E476D5">
        <w:rPr>
          <w:rFonts w:asciiTheme="minorHAnsi" w:hAnsiTheme="minorHAnsi" w:cstheme="minorHAnsi"/>
          <w:sz w:val="14"/>
          <w:szCs w:val="14"/>
        </w:rPr>
        <w:t>AT: Amortizirani trošak</w:t>
      </w:r>
    </w:p>
  </w:footnote>
  <w:footnote w:id="14">
    <w:p w:rsidR="009D5BDD" w:rsidRPr="00E476D5" w:rsidRDefault="009D5BDD" w:rsidP="006D419E">
      <w:pPr>
        <w:pStyle w:val="FootnoteText"/>
        <w:rPr>
          <w:rFonts w:asciiTheme="minorHAnsi" w:hAnsiTheme="minorHAnsi" w:cstheme="minorHAnsi"/>
          <w:sz w:val="14"/>
          <w:szCs w:val="14"/>
        </w:rPr>
      </w:pPr>
      <w:r w:rsidRPr="00E476D5">
        <w:rPr>
          <w:rStyle w:val="FootnoteReference"/>
          <w:rFonts w:asciiTheme="minorHAnsi" w:hAnsiTheme="minorHAnsi" w:cstheme="minorHAnsi"/>
          <w:sz w:val="14"/>
          <w:szCs w:val="14"/>
        </w:rPr>
        <w:footnoteRef/>
      </w:r>
      <w:r w:rsidRPr="00E476D5">
        <w:rPr>
          <w:rFonts w:asciiTheme="minorHAnsi" w:hAnsiTheme="minorHAnsi" w:cstheme="minorHAnsi"/>
          <w:sz w:val="14"/>
          <w:szCs w:val="14"/>
        </w:rPr>
        <w:t xml:space="preserve"> FV</w:t>
      </w:r>
      <w:r>
        <w:rPr>
          <w:rFonts w:asciiTheme="minorHAnsi" w:hAnsiTheme="minorHAnsi" w:cstheme="minorHAnsi"/>
          <w:sz w:val="14"/>
          <w:szCs w:val="14"/>
        </w:rPr>
        <w:t>R</w:t>
      </w:r>
      <w:r w:rsidRPr="00E476D5">
        <w:rPr>
          <w:rFonts w:asciiTheme="minorHAnsi" w:hAnsiTheme="minorHAnsi" w:cstheme="minorHAnsi"/>
          <w:sz w:val="14"/>
          <w:szCs w:val="14"/>
        </w:rPr>
        <w:t xml:space="preserve">DG: Fer vrijednost kroz </w:t>
      </w:r>
      <w:r>
        <w:rPr>
          <w:rFonts w:asciiTheme="minorHAnsi" w:hAnsiTheme="minorHAnsi" w:cstheme="minorHAnsi"/>
          <w:sz w:val="14"/>
          <w:szCs w:val="14"/>
        </w:rPr>
        <w:t>dobit</w:t>
      </w:r>
      <w:r w:rsidRPr="00E476D5">
        <w:rPr>
          <w:rFonts w:asciiTheme="minorHAnsi" w:hAnsiTheme="minorHAnsi" w:cstheme="minorHAnsi"/>
          <w:sz w:val="14"/>
          <w:szCs w:val="14"/>
        </w:rPr>
        <w:t xml:space="preserve"> i</w:t>
      </w:r>
      <w:r>
        <w:rPr>
          <w:rFonts w:asciiTheme="minorHAnsi" w:hAnsiTheme="minorHAnsi" w:cstheme="minorHAnsi"/>
          <w:sz w:val="14"/>
          <w:szCs w:val="14"/>
        </w:rPr>
        <w:t>li</w:t>
      </w:r>
      <w:r w:rsidRPr="00E476D5">
        <w:rPr>
          <w:rFonts w:asciiTheme="minorHAnsi" w:hAnsiTheme="minorHAnsi" w:cstheme="minorHAnsi"/>
          <w:sz w:val="14"/>
          <w:szCs w:val="14"/>
        </w:rPr>
        <w:t xml:space="preserve"> </w:t>
      </w:r>
      <w:r>
        <w:rPr>
          <w:rFonts w:asciiTheme="minorHAnsi" w:hAnsiTheme="minorHAnsi" w:cstheme="minorHAnsi"/>
          <w:sz w:val="14"/>
          <w:szCs w:val="14"/>
        </w:rPr>
        <w:t>g</w:t>
      </w:r>
      <w:r w:rsidRPr="00E476D5">
        <w:rPr>
          <w:rFonts w:asciiTheme="minorHAnsi" w:hAnsiTheme="minorHAnsi" w:cstheme="minorHAnsi"/>
          <w:sz w:val="14"/>
          <w:szCs w:val="14"/>
        </w:rPr>
        <w:t>ubit</w:t>
      </w:r>
      <w:r>
        <w:rPr>
          <w:rFonts w:asciiTheme="minorHAnsi" w:hAnsiTheme="minorHAnsi" w:cstheme="minorHAnsi"/>
          <w:sz w:val="14"/>
          <w:szCs w:val="14"/>
        </w:rPr>
        <w:t>ak</w:t>
      </w:r>
    </w:p>
  </w:footnote>
  <w:footnote w:id="15">
    <w:p w:rsidR="009D5BDD" w:rsidRPr="00E476D5" w:rsidRDefault="009D5BDD" w:rsidP="006D419E">
      <w:pPr>
        <w:pStyle w:val="FootnoteText"/>
        <w:rPr>
          <w:rFonts w:asciiTheme="minorHAnsi" w:hAnsiTheme="minorHAnsi" w:cstheme="minorHAnsi"/>
          <w:sz w:val="14"/>
          <w:szCs w:val="14"/>
        </w:rPr>
      </w:pPr>
      <w:r w:rsidRPr="00E476D5">
        <w:rPr>
          <w:rStyle w:val="FootnoteReference"/>
          <w:rFonts w:asciiTheme="minorHAnsi" w:hAnsiTheme="minorHAnsi" w:cstheme="minorHAnsi"/>
          <w:sz w:val="14"/>
          <w:szCs w:val="14"/>
        </w:rPr>
        <w:footnoteRef/>
      </w:r>
      <w:r w:rsidRPr="00E476D5">
        <w:rPr>
          <w:rFonts w:asciiTheme="minorHAnsi" w:hAnsiTheme="minorHAnsi" w:cstheme="minorHAnsi"/>
          <w:sz w:val="14"/>
          <w:szCs w:val="14"/>
        </w:rPr>
        <w:t xml:space="preserve"> FVOSD: Fer vrijednost kroz ostalu sveobuhvatnu dobit</w:t>
      </w:r>
    </w:p>
  </w:footnote>
  <w:footnote w:id="16">
    <w:p w:rsidR="009D5BDD" w:rsidRPr="00E476D5" w:rsidRDefault="009D5BDD" w:rsidP="006D419E">
      <w:pPr>
        <w:pStyle w:val="FootnoteText"/>
        <w:rPr>
          <w:rFonts w:asciiTheme="minorHAnsi" w:hAnsiTheme="minorHAnsi" w:cstheme="minorHAnsi"/>
          <w:sz w:val="14"/>
          <w:szCs w:val="14"/>
        </w:rPr>
      </w:pPr>
      <w:r w:rsidRPr="00E476D5">
        <w:rPr>
          <w:rStyle w:val="FootnoteReference"/>
          <w:rFonts w:asciiTheme="minorHAnsi" w:hAnsiTheme="minorHAnsi" w:cstheme="minorHAnsi"/>
          <w:sz w:val="14"/>
          <w:szCs w:val="14"/>
        </w:rPr>
        <w:footnoteRef/>
      </w:r>
      <w:r w:rsidRPr="00E476D5">
        <w:rPr>
          <w:rFonts w:asciiTheme="minorHAnsi" w:hAnsiTheme="minorHAnsi" w:cstheme="minorHAnsi"/>
          <w:sz w:val="14"/>
          <w:szCs w:val="14"/>
        </w:rPr>
        <w:t xml:space="preserve"> IRP: Imovina raspoloživa za prodaju</w:t>
      </w:r>
    </w:p>
  </w:footnote>
  <w:footnote w:id="17">
    <w:p w:rsidR="009D5BDD" w:rsidRPr="00E476D5" w:rsidRDefault="009D5BDD" w:rsidP="006D419E">
      <w:pPr>
        <w:pStyle w:val="FootnoteText"/>
        <w:ind w:left="142" w:hanging="142"/>
        <w:jc w:val="both"/>
        <w:rPr>
          <w:rFonts w:asciiTheme="minorHAnsi" w:hAnsiTheme="minorHAnsi" w:cstheme="minorHAnsi"/>
          <w:sz w:val="14"/>
          <w:szCs w:val="14"/>
        </w:rPr>
      </w:pPr>
      <w:r w:rsidRPr="00E476D5">
        <w:rPr>
          <w:rStyle w:val="FootnoteReference"/>
          <w:rFonts w:asciiTheme="minorHAnsi" w:hAnsiTheme="minorHAnsi" w:cstheme="minorHAnsi"/>
          <w:sz w:val="14"/>
          <w:szCs w:val="14"/>
        </w:rPr>
        <w:footnoteRef/>
      </w:r>
      <w:r w:rsidRPr="00E476D5">
        <w:rPr>
          <w:rFonts w:asciiTheme="minorHAnsi" w:hAnsiTheme="minorHAnsi" w:cstheme="minorHAnsi"/>
          <w:sz w:val="14"/>
          <w:szCs w:val="14"/>
        </w:rPr>
        <w:t xml:space="preserve"> Rezervacija financijske imovine klasificirane kao imovine koja se naknadno mjeri po fer vrijednosti kroz ostalu sveobuhvatnu dobit ne umanjuje knjigovodstvenu vrijednost financijske imovine u Izvještaju o financijskom položaju, već se priznaje na računima ostale sveobuhvatne dobiti.</w:t>
      </w:r>
    </w:p>
  </w:footnote>
  <w:footnote w:id="18">
    <w:p w:rsidR="009D5BDD" w:rsidRPr="00C21F2D" w:rsidRDefault="009D5BDD" w:rsidP="006D419E">
      <w:pPr>
        <w:pStyle w:val="FootnoteText"/>
        <w:ind w:left="142" w:hanging="142"/>
        <w:rPr>
          <w:sz w:val="15"/>
          <w:szCs w:val="15"/>
        </w:rPr>
      </w:pPr>
      <w:r w:rsidRPr="00E476D5">
        <w:rPr>
          <w:rStyle w:val="FootnoteReference"/>
          <w:rFonts w:asciiTheme="minorHAnsi" w:hAnsiTheme="minorHAnsi" w:cstheme="minorHAnsi"/>
          <w:sz w:val="14"/>
          <w:szCs w:val="14"/>
        </w:rPr>
        <w:footnoteRef/>
      </w:r>
      <w:r w:rsidRPr="00E476D5">
        <w:rPr>
          <w:rFonts w:asciiTheme="minorHAnsi" w:hAnsiTheme="minorHAnsi" w:cstheme="minorHAnsi"/>
          <w:sz w:val="14"/>
          <w:szCs w:val="14"/>
        </w:rPr>
        <w:t xml:space="preserve"> Učinak svođenja na fer vrijednost financijske imovine koja je po MRS-u 39 bila mjerena kroz ostalu sveobuhvatnu dobit te reklasificirana po MSFI-ju 9 kao financijska imovina po fer vrijednosti kroz dobit i</w:t>
      </w:r>
      <w:r>
        <w:rPr>
          <w:rFonts w:asciiTheme="minorHAnsi" w:hAnsiTheme="minorHAnsi" w:cstheme="minorHAnsi"/>
          <w:sz w:val="14"/>
          <w:szCs w:val="14"/>
        </w:rPr>
        <w:t>li</w:t>
      </w:r>
      <w:r w:rsidRPr="00E476D5">
        <w:rPr>
          <w:rFonts w:asciiTheme="minorHAnsi" w:hAnsiTheme="minorHAnsi" w:cstheme="minorHAnsi"/>
          <w:sz w:val="14"/>
          <w:szCs w:val="14"/>
        </w:rPr>
        <w:t xml:space="preserve"> gubi</w:t>
      </w:r>
      <w:r>
        <w:rPr>
          <w:rFonts w:asciiTheme="minorHAnsi" w:hAnsiTheme="minorHAnsi" w:cstheme="minorHAnsi"/>
          <w:sz w:val="14"/>
          <w:szCs w:val="14"/>
        </w:rPr>
        <w:t>tak</w:t>
      </w:r>
      <w:r w:rsidRPr="00E476D5">
        <w:rPr>
          <w:rFonts w:asciiTheme="minorHAnsi" w:hAnsiTheme="minorHAnsi" w:cstheme="minorHAnsi"/>
          <w:sz w:val="14"/>
          <w:szCs w:val="14"/>
        </w:rPr>
        <w:t>, zbog čega je učinak sa Ostalih rezervi iskazan na Zadržanoj dobiti i rezervama.</w:t>
      </w:r>
    </w:p>
  </w:footnote>
  <w:footnote w:id="19">
    <w:p w:rsidR="009D5BDD" w:rsidRPr="00CD3A2D" w:rsidRDefault="009D5BDD" w:rsidP="00CD3A2D">
      <w:pPr>
        <w:pStyle w:val="FootnoteText"/>
        <w:jc w:val="both"/>
        <w:rPr>
          <w:rFonts w:asciiTheme="minorHAnsi" w:hAnsiTheme="minorHAnsi"/>
          <w:i/>
          <w:sz w:val="18"/>
          <w:szCs w:val="18"/>
        </w:rPr>
      </w:pPr>
      <w:r w:rsidRPr="00384142">
        <w:rPr>
          <w:rStyle w:val="FootnoteReference"/>
          <w:rFonts w:asciiTheme="minorHAnsi" w:hAnsiTheme="minorHAnsi"/>
          <w:i/>
          <w:sz w:val="18"/>
          <w:szCs w:val="18"/>
        </w:rPr>
        <w:footnoteRef/>
      </w:r>
      <w:r w:rsidRPr="00384142">
        <w:rPr>
          <w:rFonts w:asciiTheme="minorHAnsi" w:hAnsiTheme="minorHAnsi"/>
          <w:i/>
          <w:sz w:val="18"/>
          <w:szCs w:val="18"/>
        </w:rPr>
        <w:t xml:space="preserve"> </w:t>
      </w:r>
      <w:r w:rsidRPr="00384142">
        <w:rPr>
          <w:rFonts w:asciiTheme="minorHAnsi" w:hAnsiTheme="minorHAnsi"/>
          <w:i/>
          <w:color w:val="222222"/>
          <w:sz w:val="18"/>
          <w:szCs w:val="18"/>
        </w:rPr>
        <w:t>Iako se prihodi od činidbenih garancija priznaju u skladu s načelima MSFI-ja 15, činidbene</w:t>
      </w:r>
      <w:r w:rsidRPr="00CD3A2D">
        <w:rPr>
          <w:rFonts w:asciiTheme="minorHAnsi" w:hAnsiTheme="minorHAnsi"/>
          <w:i/>
          <w:color w:val="222222"/>
          <w:sz w:val="18"/>
          <w:szCs w:val="18"/>
        </w:rPr>
        <w:t xml:space="preserve"> garancije su u opsegu MRS-a 37, a prihod od naknada nije prihod od ugovora s kupcima. Grupa iskazuje prihode od naknada po</w:t>
      </w:r>
      <w:r w:rsidRPr="00384142">
        <w:rPr>
          <w:rFonts w:asciiTheme="minorHAnsi" w:hAnsiTheme="minorHAnsi"/>
          <w:i/>
          <w:color w:val="222222"/>
          <w:sz w:val="18"/>
          <w:szCs w:val="18"/>
        </w:rPr>
        <w:t xml:space="preserve"> činidbenim</w:t>
      </w:r>
      <w:r w:rsidRPr="00CD3A2D">
        <w:rPr>
          <w:rFonts w:asciiTheme="minorHAnsi" w:hAnsiTheme="minorHAnsi"/>
          <w:i/>
          <w:color w:val="222222"/>
          <w:sz w:val="18"/>
          <w:szCs w:val="18"/>
        </w:rPr>
        <w:t xml:space="preserve"> garancijama kao dio ukupnih prihoda od naknada i provizija.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4D4E4A">
    <w:pPr>
      <w:pStyle w:val="PH"/>
      <w:pBdr>
        <w:bottom w:val="single" w:sz="4" w:space="1" w:color="auto"/>
      </w:pBdr>
    </w:pPr>
    <w:r>
      <w:t>Odgovornost za financijske izvještaje</w:t>
    </w:r>
  </w:p>
  <w:p w:rsidR="009D5BDD" w:rsidRDefault="009D5BD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Konsolidirani izvještaj o financijskom položaju</w:t>
    </w:r>
  </w:p>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na dan 31. prosinca 2011.</w:t>
    </w:r>
    <w:r w:rsidRPr="00C87849">
      <w:rPr>
        <w:rFonts w:cs="Arial"/>
        <w:sz w:val="24"/>
        <w:lang w:val="pl-PL"/>
      </w:rPr>
      <w:t xml:space="preserve"> godin</w:t>
    </w:r>
    <w:r>
      <w:rPr>
        <w:rFonts w:cs="Arial"/>
        <w:sz w:val="24"/>
        <w:lang w:val="pl-PL"/>
      </w:rPr>
      <w:t xml:space="preserve">e </w:t>
    </w:r>
  </w:p>
  <w:p w:rsidR="009D5BDD" w:rsidRPr="00D334D3" w:rsidRDefault="009D5BDD" w:rsidP="008B0750">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rsidR="009D5BDD" w:rsidRPr="00AB04C8"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I</w:t>
    </w:r>
    <w:r w:rsidRPr="00AB04C8">
      <w:rPr>
        <w:rFonts w:asciiTheme="minorHAnsi" w:hAnsiTheme="minorHAnsi" w:cs="Arial"/>
        <w:sz w:val="28"/>
        <w:szCs w:val="28"/>
        <w:lang w:val="pl-PL"/>
      </w:rPr>
      <w:t xml:space="preserve">zvještaj o financijskom položaju </w:t>
    </w:r>
  </w:p>
  <w:p w:rsidR="009D5BDD" w:rsidRPr="00AB04C8" w:rsidRDefault="009D5BDD" w:rsidP="003C6BA3">
    <w:pPr>
      <w:pStyle w:val="BodyText3"/>
      <w:pBdr>
        <w:bottom w:val="single" w:sz="4" w:space="1" w:color="auto"/>
      </w:pBdr>
      <w:rPr>
        <w:rFonts w:asciiTheme="minorHAnsi" w:hAnsiTheme="minorHAnsi" w:cs="Arial"/>
        <w:sz w:val="28"/>
        <w:szCs w:val="28"/>
        <w:lang w:val="pl-PL"/>
      </w:rPr>
    </w:pPr>
    <w:r w:rsidRPr="00AB04C8">
      <w:rPr>
        <w:rFonts w:asciiTheme="minorHAnsi" w:hAnsiTheme="minorHAnsi" w:cs="Arial"/>
        <w:sz w:val="28"/>
        <w:szCs w:val="28"/>
        <w:lang w:val="pl-PL"/>
      </w:rPr>
      <w:t xml:space="preserve">na dan 31. prosinca </w:t>
    </w:r>
  </w:p>
  <w:p w:rsidR="009D5BDD" w:rsidRPr="00AB04C8" w:rsidRDefault="009D5BDD" w:rsidP="00AB04C8">
    <w:pPr>
      <w:pStyle w:val="BodyText3"/>
      <w:pBdr>
        <w:bottom w:val="single" w:sz="4" w:space="1" w:color="auto"/>
      </w:pBdr>
      <w:spacing w:line="400" w:lineRule="exact"/>
      <w:rPr>
        <w:rFonts w:asciiTheme="minorHAnsi" w:hAnsiTheme="minorHAnsi" w:cs="Arial"/>
        <w:szCs w:val="22"/>
        <w:lang w:val="pl-PL"/>
      </w:rPr>
    </w:pPr>
    <w:r w:rsidRPr="00AB04C8">
      <w:rPr>
        <w:rFonts w:asciiTheme="minorHAnsi" w:hAnsiTheme="minorHAnsi" w:cs="Arial"/>
        <w:szCs w:val="22"/>
        <w:lang w:val="pl-PL"/>
      </w:rPr>
      <w:t xml:space="preserve"> (Svi iznosi izraženi su u tisućama kuna)</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rsidR="009D5BDD" w:rsidRPr="00AB04C8"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hr-HR"/>
      </w:rPr>
      <w:t>I</w:t>
    </w:r>
    <w:r w:rsidRPr="00AB04C8">
      <w:rPr>
        <w:rFonts w:asciiTheme="minorHAnsi" w:hAnsiTheme="minorHAnsi" w:cs="Arial"/>
        <w:sz w:val="28"/>
        <w:szCs w:val="28"/>
        <w:lang w:val="hr-HR"/>
      </w:rPr>
      <w:t xml:space="preserve">zvještaj o novčanim tokovima </w:t>
    </w:r>
  </w:p>
  <w:p w:rsidR="009D5BDD" w:rsidRPr="00AB04C8" w:rsidRDefault="009D5BDD" w:rsidP="003C6BA3">
    <w:pPr>
      <w:pStyle w:val="PH1"/>
      <w:pBdr>
        <w:bottom w:val="single" w:sz="4" w:space="1" w:color="auto"/>
      </w:pBdr>
      <w:spacing w:line="240" w:lineRule="auto"/>
      <w:rPr>
        <w:rFonts w:asciiTheme="minorHAnsi" w:hAnsiTheme="minorHAnsi" w:cs="Arial"/>
        <w:sz w:val="28"/>
        <w:szCs w:val="28"/>
        <w:lang w:val="pl-PL"/>
      </w:rPr>
    </w:pPr>
    <w:r w:rsidRPr="00AB04C8">
      <w:rPr>
        <w:rFonts w:asciiTheme="minorHAnsi" w:hAnsiTheme="minorHAnsi" w:cs="Arial"/>
        <w:sz w:val="28"/>
        <w:szCs w:val="28"/>
        <w:lang w:val="pl-PL"/>
      </w:rPr>
      <w:t>za godinu koja je završila 31. prosinca</w:t>
    </w:r>
  </w:p>
  <w:p w:rsidR="009D5BDD" w:rsidRPr="00AB04C8" w:rsidRDefault="009D5BDD" w:rsidP="00AB04C8">
    <w:pPr>
      <w:pStyle w:val="BodyText3"/>
      <w:pBdr>
        <w:bottom w:val="single" w:sz="4" w:space="1" w:color="auto"/>
      </w:pBdr>
      <w:spacing w:line="400" w:lineRule="exact"/>
      <w:rPr>
        <w:rFonts w:asciiTheme="minorHAnsi" w:hAnsiTheme="minorHAnsi" w:cs="Arial"/>
        <w:szCs w:val="22"/>
        <w:lang w:val="pl-PL"/>
      </w:rPr>
    </w:pPr>
    <w:r w:rsidRPr="00AB04C8">
      <w:rPr>
        <w:rFonts w:asciiTheme="minorHAnsi" w:hAnsiTheme="minorHAnsi" w:cs="Arial"/>
        <w:szCs w:val="22"/>
        <w:lang w:val="pl-PL"/>
      </w:rPr>
      <w:t>(Svi iznosi izraženi su u tisućama kuna)</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Konsolidirani izvještaj o promjenama na kapitalu</w:t>
    </w:r>
  </w:p>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za godinu koja je završila 31. prosinca 2011.</w:t>
    </w:r>
    <w:r w:rsidRPr="00C87849">
      <w:rPr>
        <w:rFonts w:cs="Arial"/>
        <w:sz w:val="24"/>
        <w:lang w:val="pl-PL"/>
      </w:rPr>
      <w:t xml:space="preserve"> godin</w:t>
    </w:r>
    <w:r>
      <w:rPr>
        <w:rFonts w:cs="Arial"/>
        <w:sz w:val="24"/>
        <w:lang w:val="pl-PL"/>
      </w:rPr>
      <w:t xml:space="preserve">e </w:t>
    </w:r>
  </w:p>
  <w:p w:rsidR="009D5BDD" w:rsidRPr="00D334D3" w:rsidRDefault="009D5BDD" w:rsidP="008B0750">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p w:rsidR="009D5BDD" w:rsidRPr="00A021AA" w:rsidRDefault="009D5BDD">
    <w:pPr>
      <w:pStyle w:val="Header"/>
      <w:rPr>
        <w:lang w:val="pl-PL"/>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CB06AA">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rsidR="009D5BDD" w:rsidRPr="00036301" w:rsidRDefault="009D5BDD" w:rsidP="003C6BA3">
    <w:pPr>
      <w:pStyle w:val="PH"/>
      <w:pBdr>
        <w:bottom w:val="single" w:sz="4" w:space="1" w:color="auto"/>
      </w:pBdr>
      <w:spacing w:line="240" w:lineRule="auto"/>
      <w:rPr>
        <w:rFonts w:asciiTheme="minorHAnsi" w:hAnsiTheme="minorHAnsi" w:cs="Arial"/>
        <w:sz w:val="28"/>
        <w:szCs w:val="28"/>
        <w:lang w:val="hr-HR"/>
      </w:rPr>
    </w:pPr>
    <w:r>
      <w:rPr>
        <w:rFonts w:asciiTheme="minorHAnsi" w:hAnsiTheme="minorHAnsi" w:cs="Arial"/>
        <w:sz w:val="28"/>
        <w:szCs w:val="28"/>
        <w:lang w:val="hr-HR"/>
      </w:rPr>
      <w:t>I</w:t>
    </w:r>
    <w:r w:rsidRPr="00036301">
      <w:rPr>
        <w:rFonts w:asciiTheme="minorHAnsi" w:hAnsiTheme="minorHAnsi" w:cs="Arial"/>
        <w:sz w:val="28"/>
        <w:szCs w:val="28"/>
        <w:lang w:val="hr-HR"/>
      </w:rPr>
      <w:t xml:space="preserve">zvještaj o promjenama na kapitalu </w:t>
    </w:r>
  </w:p>
  <w:p w:rsidR="009D5BDD" w:rsidRPr="00036301" w:rsidRDefault="009D5BDD" w:rsidP="003C6BA3">
    <w:pPr>
      <w:pStyle w:val="PH1"/>
      <w:pBdr>
        <w:bottom w:val="single" w:sz="4" w:space="1" w:color="auto"/>
      </w:pBdr>
      <w:spacing w:line="240" w:lineRule="auto"/>
      <w:rPr>
        <w:rFonts w:asciiTheme="minorHAnsi" w:hAnsiTheme="minorHAnsi" w:cs="Arial"/>
        <w:sz w:val="28"/>
        <w:szCs w:val="28"/>
        <w:lang w:val="hr-HR"/>
      </w:rPr>
    </w:pPr>
    <w:r w:rsidRPr="00036301">
      <w:rPr>
        <w:rFonts w:asciiTheme="minorHAnsi" w:hAnsiTheme="minorHAnsi" w:cs="Arial"/>
        <w:sz w:val="28"/>
        <w:szCs w:val="28"/>
        <w:lang w:val="hr-HR"/>
      </w:rPr>
      <w:t>za godinu koja je završila 31. prosinca</w:t>
    </w:r>
  </w:p>
  <w:p w:rsidR="009D5BDD" w:rsidRPr="00036301" w:rsidRDefault="009D5BDD" w:rsidP="00036301">
    <w:pPr>
      <w:pStyle w:val="BodyText3"/>
      <w:pBdr>
        <w:bottom w:val="single" w:sz="4" w:space="1" w:color="auto"/>
      </w:pBdr>
      <w:spacing w:line="400" w:lineRule="exact"/>
      <w:rPr>
        <w:rFonts w:asciiTheme="minorHAnsi" w:hAnsiTheme="minorHAnsi" w:cs="Arial"/>
        <w:szCs w:val="22"/>
        <w:lang w:val="hr-HR"/>
      </w:rPr>
    </w:pPr>
    <w:r w:rsidRPr="00036301">
      <w:rPr>
        <w:rFonts w:asciiTheme="minorHAnsi" w:hAnsiTheme="minorHAnsi" w:cs="Arial"/>
        <w:szCs w:val="22"/>
        <w:lang w:val="hr-HR"/>
      </w:rPr>
      <w:t>(Svi iznosi izraženi su u tisućama kuna)</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036301" w:rsidRDefault="009D5BDD" w:rsidP="003C6BA3">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rsidR="009D5BDD" w:rsidRPr="00036301" w:rsidRDefault="009D5BDD" w:rsidP="003C6BA3">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Račun dobiti i gubitka</w:t>
    </w:r>
    <w:r w:rsidRPr="00036301">
      <w:rPr>
        <w:rFonts w:asciiTheme="minorHAnsi" w:hAnsiTheme="minorHAnsi" w:cs="Arial"/>
        <w:sz w:val="28"/>
        <w:szCs w:val="28"/>
        <w:lang w:val="pl-PL"/>
      </w:rPr>
      <w:t xml:space="preserve"> </w:t>
    </w:r>
  </w:p>
  <w:p w:rsidR="009D5BDD" w:rsidRPr="00036301" w:rsidRDefault="009D5BDD" w:rsidP="003C6BA3">
    <w:pPr>
      <w:pStyle w:val="PH1"/>
      <w:pBdr>
        <w:bottom w:val="single" w:sz="4" w:space="1" w:color="auto"/>
      </w:pBdr>
      <w:spacing w:line="240" w:lineRule="auto"/>
      <w:rPr>
        <w:rFonts w:asciiTheme="minorHAnsi" w:hAnsiTheme="minorHAnsi" w:cs="Arial"/>
        <w:sz w:val="28"/>
        <w:szCs w:val="28"/>
        <w:lang w:val="pl-PL"/>
      </w:rPr>
    </w:pPr>
    <w:r w:rsidRPr="00036301">
      <w:rPr>
        <w:rFonts w:asciiTheme="minorHAnsi" w:hAnsiTheme="minorHAnsi" w:cs="Arial"/>
        <w:sz w:val="28"/>
        <w:szCs w:val="28"/>
        <w:lang w:val="pl-PL"/>
      </w:rPr>
      <w:t>za godinu koja je završila 31. prosinca</w:t>
    </w:r>
  </w:p>
  <w:p w:rsidR="009D5BDD" w:rsidRPr="00036301" w:rsidRDefault="009D5BDD" w:rsidP="00036301">
    <w:pPr>
      <w:pStyle w:val="BodyText3"/>
      <w:pBdr>
        <w:bottom w:val="single" w:sz="4" w:space="1" w:color="auto"/>
      </w:pBdr>
      <w:spacing w:line="400" w:lineRule="exact"/>
      <w:rPr>
        <w:rFonts w:asciiTheme="minorHAnsi" w:hAnsiTheme="minorHAnsi" w:cs="Arial"/>
        <w:szCs w:val="22"/>
        <w:lang w:val="pl-PL"/>
      </w:rPr>
    </w:pPr>
    <w:r w:rsidRPr="00036301">
      <w:rPr>
        <w:rFonts w:asciiTheme="minorHAnsi" w:hAnsiTheme="minorHAnsi" w:cs="Arial"/>
        <w:szCs w:val="22"/>
        <w:lang w:val="pl-PL"/>
      </w:rPr>
      <w:t>(Svi iznosi izraženi su u tisućama kuna)</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036301" w:rsidRDefault="009D5BDD">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rsidR="009D5BDD" w:rsidRPr="00036301"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I</w:t>
    </w:r>
    <w:r w:rsidRPr="00036301">
      <w:rPr>
        <w:rFonts w:asciiTheme="minorHAnsi" w:hAnsiTheme="minorHAnsi" w:cs="Arial"/>
        <w:sz w:val="28"/>
        <w:szCs w:val="28"/>
        <w:lang w:val="pl-PL"/>
      </w:rPr>
      <w:t xml:space="preserve">zvještaj o dobiti i gubitku te ostaloj sveobuhvatnoj dobiti </w:t>
    </w:r>
  </w:p>
  <w:p w:rsidR="009D5BDD" w:rsidRPr="00036301" w:rsidRDefault="009D5BDD" w:rsidP="003C6BA3">
    <w:pPr>
      <w:pStyle w:val="PH"/>
      <w:pBdr>
        <w:bottom w:val="single" w:sz="4" w:space="1" w:color="auto"/>
      </w:pBdr>
      <w:spacing w:line="240" w:lineRule="auto"/>
      <w:rPr>
        <w:rFonts w:asciiTheme="minorHAnsi" w:hAnsiTheme="minorHAnsi" w:cs="Arial"/>
        <w:sz w:val="28"/>
        <w:szCs w:val="28"/>
        <w:lang w:val="pl-PL"/>
      </w:rPr>
    </w:pPr>
    <w:r w:rsidRPr="00036301">
      <w:rPr>
        <w:rFonts w:asciiTheme="minorHAnsi" w:hAnsiTheme="minorHAnsi" w:cs="Arial"/>
        <w:sz w:val="28"/>
        <w:szCs w:val="28"/>
        <w:lang w:val="pl-PL"/>
      </w:rPr>
      <w:t>za godinu koja je završila 31. prosinca</w:t>
    </w:r>
  </w:p>
  <w:p w:rsidR="009D5BDD" w:rsidRPr="00036301" w:rsidRDefault="009D5BDD" w:rsidP="00036301">
    <w:pPr>
      <w:pStyle w:val="BodyText3"/>
      <w:pBdr>
        <w:bottom w:val="single" w:sz="4" w:space="1" w:color="auto"/>
      </w:pBdr>
      <w:spacing w:line="400" w:lineRule="exact"/>
      <w:rPr>
        <w:rFonts w:asciiTheme="minorHAnsi" w:hAnsiTheme="minorHAnsi" w:cs="Arial"/>
        <w:szCs w:val="22"/>
        <w:lang w:val="pl-PL"/>
      </w:rPr>
    </w:pPr>
    <w:r w:rsidRPr="00036301">
      <w:rPr>
        <w:rFonts w:asciiTheme="minorHAnsi" w:hAnsiTheme="minorHAnsi" w:cs="Arial"/>
        <w:szCs w:val="22"/>
        <w:lang w:val="pl-PL"/>
      </w:rPr>
      <w:t>(Svi iznosi izraženi su u tisućama kuna)</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Nekonsolidirani izvještaj o novčanim tokovima</w:t>
    </w:r>
  </w:p>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za godinu koja je završila 31. prosinca 2011.</w:t>
    </w:r>
    <w:r w:rsidRPr="00C87849">
      <w:rPr>
        <w:rFonts w:cs="Arial"/>
        <w:sz w:val="24"/>
        <w:lang w:val="pl-PL"/>
      </w:rPr>
      <w:t xml:space="preserve"> godin</w:t>
    </w:r>
    <w:r>
      <w:rPr>
        <w:rFonts w:cs="Arial"/>
        <w:sz w:val="24"/>
        <w:lang w:val="pl-PL"/>
      </w:rPr>
      <w:t xml:space="preserve">e </w:t>
    </w:r>
  </w:p>
  <w:p w:rsidR="009D5BDD" w:rsidRPr="00D334D3" w:rsidRDefault="009D5BDD" w:rsidP="008B0750">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p w:rsidR="009D5BDD" w:rsidRPr="00A021AA" w:rsidRDefault="009D5BDD" w:rsidP="00B62016">
    <w:pPr>
      <w:pStyle w:val="Header"/>
      <w:rPr>
        <w:lang w:val="pl-PL"/>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036301" w:rsidRDefault="009D5BDD">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rsidR="009D5BDD" w:rsidRPr="00C61659"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hr-HR"/>
      </w:rPr>
      <w:t>I</w:t>
    </w:r>
    <w:r w:rsidRPr="00C61659">
      <w:rPr>
        <w:rFonts w:asciiTheme="minorHAnsi" w:hAnsiTheme="minorHAnsi" w:cs="Arial"/>
        <w:sz w:val="28"/>
        <w:szCs w:val="28"/>
        <w:lang w:val="hr-HR"/>
      </w:rPr>
      <w:t xml:space="preserve">zvještaj o financijskom položaju </w:t>
    </w:r>
  </w:p>
  <w:p w:rsidR="009D5BDD" w:rsidRPr="00C61659"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na dan</w:t>
    </w:r>
    <w:r w:rsidRPr="00C61659">
      <w:rPr>
        <w:rFonts w:asciiTheme="minorHAnsi" w:hAnsiTheme="minorHAnsi" w:cs="Arial"/>
        <w:sz w:val="28"/>
        <w:szCs w:val="28"/>
        <w:lang w:val="pl-PL"/>
      </w:rPr>
      <w:t xml:space="preserve"> 31. prosinca</w:t>
    </w:r>
  </w:p>
  <w:p w:rsidR="009D5BDD" w:rsidRPr="00C61659" w:rsidRDefault="009D5BDD" w:rsidP="00C61659">
    <w:pPr>
      <w:pStyle w:val="PH"/>
      <w:pBdr>
        <w:bottom w:val="single" w:sz="4" w:space="1" w:color="auto"/>
      </w:pBdr>
      <w:spacing w:line="400" w:lineRule="exact"/>
      <w:rPr>
        <w:rFonts w:asciiTheme="minorHAnsi" w:hAnsiTheme="minorHAnsi" w:cs="Arial"/>
        <w:sz w:val="22"/>
        <w:szCs w:val="22"/>
        <w:lang w:val="pl-PL"/>
      </w:rPr>
    </w:pPr>
    <w:r w:rsidRPr="00C61659">
      <w:rPr>
        <w:rFonts w:asciiTheme="minorHAnsi" w:hAnsiTheme="minorHAnsi" w:cs="Arial"/>
        <w:sz w:val="22"/>
        <w:szCs w:val="22"/>
        <w:lang w:val="pl-PL"/>
      </w:rPr>
      <w:t>(Svi iznosi izraženi su u tisućama kuna)</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036301" w:rsidRDefault="009D5BDD" w:rsidP="00827319">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rsidR="009D5BDD" w:rsidRPr="00C61659" w:rsidRDefault="009D5BDD" w:rsidP="00C61659">
    <w:pPr>
      <w:pStyle w:val="PH"/>
      <w:pBdr>
        <w:bottom w:val="single" w:sz="4" w:space="1" w:color="auto"/>
      </w:pBdr>
      <w:spacing w:line="400" w:lineRule="exact"/>
      <w:rPr>
        <w:rFonts w:asciiTheme="minorHAnsi" w:hAnsiTheme="minorHAnsi" w:cs="Arial"/>
        <w:sz w:val="28"/>
        <w:szCs w:val="28"/>
        <w:lang w:val="pl-PL"/>
      </w:rPr>
    </w:pPr>
    <w:r>
      <w:rPr>
        <w:rFonts w:asciiTheme="minorHAnsi" w:hAnsiTheme="minorHAnsi" w:cs="Arial"/>
        <w:sz w:val="28"/>
        <w:szCs w:val="28"/>
        <w:lang w:val="hr-HR"/>
      </w:rPr>
      <w:t>I</w:t>
    </w:r>
    <w:r w:rsidRPr="00C61659">
      <w:rPr>
        <w:rFonts w:asciiTheme="minorHAnsi" w:hAnsiTheme="minorHAnsi" w:cs="Arial"/>
        <w:sz w:val="28"/>
        <w:szCs w:val="28"/>
        <w:lang w:val="hr-HR"/>
      </w:rPr>
      <w:t xml:space="preserve">zvještaj o novčanim tokovima </w:t>
    </w:r>
  </w:p>
  <w:p w:rsidR="009D5BDD" w:rsidRPr="00C61659" w:rsidRDefault="009D5BDD" w:rsidP="00C61659">
    <w:pPr>
      <w:pStyle w:val="PH"/>
      <w:pBdr>
        <w:bottom w:val="single" w:sz="4" w:space="1" w:color="auto"/>
      </w:pBdr>
      <w:spacing w:line="400" w:lineRule="exact"/>
      <w:rPr>
        <w:rFonts w:asciiTheme="minorHAnsi" w:hAnsiTheme="minorHAnsi" w:cs="Arial"/>
        <w:sz w:val="28"/>
        <w:szCs w:val="28"/>
        <w:lang w:val="pl-PL"/>
      </w:rPr>
    </w:pPr>
    <w:r w:rsidRPr="00C61659">
      <w:rPr>
        <w:rFonts w:asciiTheme="minorHAnsi" w:hAnsiTheme="minorHAnsi" w:cs="Arial"/>
        <w:sz w:val="28"/>
        <w:szCs w:val="28"/>
        <w:lang w:val="pl-PL"/>
      </w:rPr>
      <w:t>za godinu koja je završila 31. prosinca</w:t>
    </w:r>
  </w:p>
  <w:p w:rsidR="009D5BDD" w:rsidRPr="00C61659" w:rsidRDefault="009D5BDD" w:rsidP="00C61659">
    <w:pPr>
      <w:pStyle w:val="PH"/>
      <w:pBdr>
        <w:bottom w:val="single" w:sz="4" w:space="1" w:color="auto"/>
      </w:pBdr>
      <w:spacing w:line="400" w:lineRule="exact"/>
      <w:rPr>
        <w:rFonts w:asciiTheme="minorHAnsi" w:hAnsiTheme="minorHAnsi" w:cs="Arial"/>
        <w:sz w:val="22"/>
        <w:szCs w:val="22"/>
        <w:lang w:val="pl-PL"/>
      </w:rPr>
    </w:pPr>
    <w:r w:rsidRPr="00C61659">
      <w:rPr>
        <w:rFonts w:asciiTheme="minorHAnsi" w:hAnsiTheme="minorHAnsi" w:cs="Arial"/>
        <w:sz w:val="22"/>
        <w:szCs w:val="22"/>
        <w:lang w:val="pl-PL"/>
      </w:rPr>
      <w:t>(Svi iznosi izraženi su u tisućama kuna)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pPr>
      <w:pStyle w:val="Header"/>
      <w:framePr w:wrap="auto" w:vAnchor="text" w:hAnchor="page" w:x="4762" w:y="-311"/>
      <w:rPr>
        <w:rStyle w:val="PageNumber"/>
      </w:rPr>
    </w:pPr>
  </w:p>
  <w:p w:rsidR="009D5BDD" w:rsidRDefault="009D5BDD">
    <w:pPr>
      <w:pStyle w:val="BodyText2"/>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036301" w:rsidRDefault="009D5BDD">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rsidR="009D5BDD" w:rsidRPr="00C61659" w:rsidRDefault="009D5BDD" w:rsidP="003C6BA3">
    <w:pPr>
      <w:pStyle w:val="PH"/>
      <w:pBdr>
        <w:bottom w:val="single" w:sz="4" w:space="1" w:color="auto"/>
      </w:pBdr>
      <w:spacing w:line="240" w:lineRule="auto"/>
      <w:rPr>
        <w:rFonts w:asciiTheme="minorHAnsi" w:hAnsiTheme="minorHAnsi" w:cs="Arial"/>
        <w:sz w:val="28"/>
        <w:szCs w:val="28"/>
        <w:lang w:val="hr-HR"/>
      </w:rPr>
    </w:pPr>
    <w:r>
      <w:rPr>
        <w:rFonts w:asciiTheme="minorHAnsi" w:hAnsiTheme="minorHAnsi" w:cs="Arial"/>
        <w:sz w:val="28"/>
        <w:szCs w:val="28"/>
        <w:lang w:val="hr-HR"/>
      </w:rPr>
      <w:t>I</w:t>
    </w:r>
    <w:r w:rsidRPr="00C61659">
      <w:rPr>
        <w:rFonts w:asciiTheme="minorHAnsi" w:hAnsiTheme="minorHAnsi" w:cs="Arial"/>
        <w:sz w:val="28"/>
        <w:szCs w:val="28"/>
        <w:lang w:val="hr-HR"/>
      </w:rPr>
      <w:t xml:space="preserve">zvještaj o promjenama na kapitalu </w:t>
    </w:r>
  </w:p>
  <w:p w:rsidR="009D5BDD" w:rsidRPr="00C61659" w:rsidRDefault="009D5BDD" w:rsidP="003C6BA3">
    <w:pPr>
      <w:pStyle w:val="PH"/>
      <w:pBdr>
        <w:bottom w:val="single" w:sz="4" w:space="1" w:color="auto"/>
      </w:pBdr>
      <w:spacing w:line="240" w:lineRule="auto"/>
      <w:rPr>
        <w:rFonts w:asciiTheme="minorHAnsi" w:hAnsiTheme="minorHAnsi" w:cs="Arial"/>
        <w:sz w:val="28"/>
        <w:szCs w:val="28"/>
        <w:lang w:val="hr-HR"/>
      </w:rPr>
    </w:pPr>
    <w:r w:rsidRPr="00C61659">
      <w:rPr>
        <w:rFonts w:asciiTheme="minorHAnsi" w:hAnsiTheme="minorHAnsi" w:cs="Arial"/>
        <w:sz w:val="28"/>
        <w:szCs w:val="28"/>
        <w:lang w:val="hr-HR"/>
      </w:rPr>
      <w:t>za godinu koja je završila 31. prosinca</w:t>
    </w:r>
  </w:p>
  <w:p w:rsidR="009D5BDD" w:rsidRPr="00C61659" w:rsidRDefault="009D5BDD" w:rsidP="00C61659">
    <w:pPr>
      <w:pStyle w:val="PH"/>
      <w:pBdr>
        <w:bottom w:val="single" w:sz="4" w:space="1" w:color="auto"/>
      </w:pBdr>
      <w:spacing w:line="400" w:lineRule="exact"/>
      <w:rPr>
        <w:rFonts w:asciiTheme="minorHAnsi" w:hAnsiTheme="minorHAnsi" w:cs="Arial"/>
        <w:sz w:val="22"/>
        <w:szCs w:val="22"/>
        <w:lang w:val="hr-HR"/>
      </w:rPr>
    </w:pPr>
    <w:r w:rsidRPr="00C61659">
      <w:rPr>
        <w:rFonts w:asciiTheme="minorHAnsi" w:hAnsiTheme="minorHAnsi" w:cs="Arial"/>
        <w:sz w:val="22"/>
        <w:szCs w:val="22"/>
        <w:lang w:val="hr-HR"/>
      </w:rPr>
      <w:t>(Svi iznosi izraženi su u tisućama kuna)</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Bilješke uz financijske izvještaje</w:t>
    </w:r>
  </w:p>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za godinu koja je završila 31. prosinca 2011.</w:t>
    </w:r>
    <w:r w:rsidRPr="00C87849">
      <w:rPr>
        <w:rFonts w:cs="Arial"/>
        <w:sz w:val="24"/>
        <w:lang w:val="pl-PL"/>
      </w:rPr>
      <w:t xml:space="preserve"> godin</w:t>
    </w:r>
    <w:r>
      <w:rPr>
        <w:rFonts w:cs="Arial"/>
        <w:sz w:val="24"/>
        <w:lang w:val="pl-PL"/>
      </w:rPr>
      <w:t xml:space="preserve">e </w:t>
    </w:r>
  </w:p>
  <w:p w:rsidR="009D5BDD" w:rsidRPr="00555641" w:rsidRDefault="009D5BDD" w:rsidP="00555641">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3C6BA3">
    <w:pPr>
      <w:pStyle w:val="BodyText3"/>
      <w:pBdr>
        <w:bottom w:val="single" w:sz="4" w:space="1" w:color="auto"/>
      </w:pBdr>
      <w:rPr>
        <w:rFonts w:asciiTheme="minorHAnsi" w:hAnsiTheme="minorHAnsi"/>
        <w:spacing w:val="0"/>
        <w:sz w:val="28"/>
        <w:szCs w:val="28"/>
        <w:lang w:val="hr-HR"/>
      </w:rPr>
    </w:pPr>
    <w:r w:rsidRPr="00196805">
      <w:rPr>
        <w:rFonts w:asciiTheme="minorHAnsi" w:hAnsiTheme="minorHAnsi"/>
        <w:spacing w:val="0"/>
        <w:sz w:val="28"/>
        <w:szCs w:val="28"/>
        <w:lang w:val="hr-HR"/>
      </w:rPr>
      <w:t>Bilješke uz financijske izvještaje koje obuhvaćaju važne</w:t>
    </w:r>
    <w:r>
      <w:rPr>
        <w:rFonts w:asciiTheme="minorHAnsi" w:hAnsiTheme="minorHAnsi"/>
        <w:spacing w:val="0"/>
        <w:sz w:val="28"/>
        <w:szCs w:val="28"/>
        <w:lang w:val="hr-HR"/>
      </w:rPr>
      <w:t xml:space="preserve"> </w:t>
    </w:r>
    <w:r w:rsidRPr="00196805">
      <w:rPr>
        <w:rFonts w:asciiTheme="minorHAnsi" w:hAnsiTheme="minorHAnsi"/>
        <w:spacing w:val="0"/>
        <w:sz w:val="28"/>
        <w:szCs w:val="28"/>
        <w:lang w:val="hr-HR"/>
      </w:rPr>
      <w:t>računovodstven</w:t>
    </w:r>
    <w:r>
      <w:rPr>
        <w:rFonts w:asciiTheme="minorHAnsi" w:hAnsiTheme="minorHAnsi"/>
        <w:spacing w:val="0"/>
        <w:sz w:val="28"/>
        <w:szCs w:val="28"/>
        <w:lang w:val="hr-HR"/>
      </w:rPr>
      <w:t>e</w:t>
    </w:r>
    <w:r w:rsidRPr="00196805">
      <w:rPr>
        <w:rFonts w:asciiTheme="minorHAnsi" w:hAnsiTheme="minorHAnsi"/>
        <w:spacing w:val="0"/>
        <w:sz w:val="28"/>
        <w:szCs w:val="28"/>
        <w:lang w:val="hr-HR"/>
      </w:rPr>
      <w:t xml:space="preserve"> politik</w:t>
    </w:r>
    <w:r>
      <w:rPr>
        <w:rFonts w:asciiTheme="minorHAnsi" w:hAnsiTheme="minorHAnsi"/>
        <w:spacing w:val="0"/>
        <w:sz w:val="28"/>
        <w:szCs w:val="28"/>
        <w:lang w:val="hr-HR"/>
      </w:rPr>
      <w:t>e</w:t>
    </w:r>
    <w:r w:rsidRPr="00196805">
      <w:rPr>
        <w:rFonts w:asciiTheme="minorHAnsi" w:hAnsiTheme="minorHAnsi"/>
        <w:spacing w:val="0"/>
        <w:sz w:val="28"/>
        <w:szCs w:val="28"/>
        <w:lang w:val="hr-HR"/>
      </w:rPr>
      <w:t xml:space="preserve"> i drug</w:t>
    </w:r>
    <w:r>
      <w:rPr>
        <w:rFonts w:asciiTheme="minorHAnsi" w:hAnsiTheme="minorHAnsi"/>
        <w:spacing w:val="0"/>
        <w:sz w:val="28"/>
        <w:szCs w:val="28"/>
        <w:lang w:val="hr-HR"/>
      </w:rPr>
      <w:t>a</w:t>
    </w:r>
    <w:r w:rsidRPr="00196805">
      <w:rPr>
        <w:rFonts w:asciiTheme="minorHAnsi" w:hAnsiTheme="minorHAnsi"/>
        <w:spacing w:val="0"/>
        <w:sz w:val="28"/>
        <w:szCs w:val="28"/>
        <w:lang w:val="hr-HR"/>
      </w:rPr>
      <w:t xml:space="preserve"> objašnj</w:t>
    </w:r>
    <w:r>
      <w:rPr>
        <w:rFonts w:asciiTheme="minorHAnsi" w:hAnsiTheme="minorHAnsi"/>
        <w:spacing w:val="0"/>
        <w:sz w:val="28"/>
        <w:szCs w:val="28"/>
        <w:lang w:val="hr-HR"/>
      </w:rPr>
      <w:t xml:space="preserve">enja </w:t>
    </w:r>
  </w:p>
  <w:p w:rsidR="009D5BDD" w:rsidRDefault="009D5BDD" w:rsidP="003C6BA3">
    <w:pPr>
      <w:pStyle w:val="BodyText3"/>
      <w:pBdr>
        <w:bottom w:val="single" w:sz="4" w:space="1" w:color="auto"/>
      </w:pBdr>
      <w:rPr>
        <w:rFonts w:asciiTheme="minorHAnsi" w:hAnsiTheme="minorHAnsi"/>
        <w:spacing w:val="0"/>
        <w:sz w:val="28"/>
        <w:szCs w:val="28"/>
        <w:lang w:val="hr-HR"/>
      </w:rPr>
    </w:pPr>
    <w:r w:rsidRPr="00196805">
      <w:rPr>
        <w:rFonts w:asciiTheme="minorHAnsi" w:hAnsiTheme="minorHAnsi"/>
        <w:spacing w:val="0"/>
        <w:sz w:val="28"/>
        <w:szCs w:val="28"/>
        <w:lang w:val="hr-HR"/>
      </w:rPr>
      <w:t>za godinu koja je završila 31. prosinca 201</w:t>
    </w:r>
    <w:r>
      <w:rPr>
        <w:rFonts w:asciiTheme="minorHAnsi" w:hAnsiTheme="minorHAnsi"/>
        <w:spacing w:val="0"/>
        <w:sz w:val="28"/>
        <w:szCs w:val="28"/>
        <w:lang w:val="hr-HR"/>
      </w:rPr>
      <w:t>8</w:t>
    </w:r>
    <w:r w:rsidRPr="00196805">
      <w:rPr>
        <w:rFonts w:asciiTheme="minorHAnsi" w:hAnsiTheme="minorHAnsi"/>
        <w:spacing w:val="0"/>
        <w:sz w:val="28"/>
        <w:szCs w:val="28"/>
        <w:lang w:val="hr-HR"/>
      </w:rPr>
      <w:t>.</w:t>
    </w:r>
  </w:p>
  <w:p w:rsidR="009D5BDD" w:rsidRPr="006F02A6" w:rsidRDefault="009D5BDD" w:rsidP="00196805">
    <w:pPr>
      <w:pStyle w:val="BodyText3"/>
      <w:pBdr>
        <w:bottom w:val="single" w:sz="4" w:space="1" w:color="auto"/>
      </w:pBdr>
      <w:spacing w:line="400" w:lineRule="exact"/>
      <w:rPr>
        <w:rFonts w:asciiTheme="minorHAnsi" w:hAnsiTheme="minorHAnsi" w:cs="Arial"/>
        <w:szCs w:val="22"/>
        <w:lang w:val="pl-PL"/>
      </w:rPr>
    </w:pPr>
    <w:r w:rsidRPr="006F02A6">
      <w:rPr>
        <w:rFonts w:asciiTheme="minorHAnsi" w:hAnsiTheme="minorHAnsi" w:cs="Arial"/>
        <w:szCs w:val="22"/>
        <w:lang w:val="pl-PL"/>
      </w:rPr>
      <w:t>(Svi iznosi izraženi su u tisućama kuna)</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3C6BA3">
    <w:pPr>
      <w:pStyle w:val="PH"/>
      <w:pBdr>
        <w:bottom w:val="single" w:sz="4" w:space="1" w:color="auto"/>
      </w:pBdr>
      <w:spacing w:line="240" w:lineRule="auto"/>
      <w:jc w:val="both"/>
      <w:rPr>
        <w:rFonts w:asciiTheme="minorHAnsi" w:hAnsiTheme="minorHAnsi"/>
        <w:sz w:val="28"/>
        <w:szCs w:val="28"/>
        <w:lang w:val="hr-HR"/>
      </w:rPr>
    </w:pPr>
    <w:r w:rsidRPr="003340E3">
      <w:rPr>
        <w:rFonts w:asciiTheme="minorHAnsi" w:hAnsiTheme="minorHAnsi"/>
        <w:sz w:val="28"/>
        <w:szCs w:val="28"/>
        <w:lang w:val="hr-HR"/>
      </w:rPr>
      <w:t xml:space="preserve">Bilješke uz financijske izvještaje koje </w:t>
    </w:r>
    <w:r w:rsidRPr="00356725">
      <w:rPr>
        <w:rFonts w:asciiTheme="minorHAnsi" w:hAnsiTheme="minorHAnsi"/>
        <w:sz w:val="28"/>
        <w:szCs w:val="28"/>
        <w:lang w:val="hr-HR"/>
      </w:rPr>
      <w:t>obuhvaćaju važne</w:t>
    </w:r>
    <w:r>
      <w:rPr>
        <w:rFonts w:asciiTheme="minorHAnsi" w:hAnsiTheme="minorHAnsi"/>
        <w:sz w:val="28"/>
        <w:szCs w:val="28"/>
        <w:lang w:val="hr-HR"/>
      </w:rPr>
      <w:t xml:space="preserve"> </w:t>
    </w:r>
    <w:r w:rsidRPr="003340E3">
      <w:rPr>
        <w:rFonts w:asciiTheme="minorHAnsi" w:hAnsiTheme="minorHAnsi"/>
        <w:sz w:val="28"/>
        <w:szCs w:val="28"/>
        <w:lang w:val="hr-HR"/>
      </w:rPr>
      <w:t>računovodstven</w:t>
    </w:r>
    <w:r>
      <w:rPr>
        <w:rFonts w:asciiTheme="minorHAnsi" w:hAnsiTheme="minorHAnsi"/>
        <w:sz w:val="28"/>
        <w:szCs w:val="28"/>
        <w:lang w:val="hr-HR"/>
      </w:rPr>
      <w:t>e</w:t>
    </w:r>
    <w:r w:rsidRPr="003340E3">
      <w:rPr>
        <w:rFonts w:asciiTheme="minorHAnsi" w:hAnsiTheme="minorHAnsi"/>
        <w:sz w:val="28"/>
        <w:szCs w:val="28"/>
        <w:lang w:val="hr-HR"/>
      </w:rPr>
      <w:t xml:space="preserve"> politik</w:t>
    </w:r>
    <w:r>
      <w:rPr>
        <w:rFonts w:asciiTheme="minorHAnsi" w:hAnsiTheme="minorHAnsi"/>
        <w:sz w:val="28"/>
        <w:szCs w:val="28"/>
        <w:lang w:val="hr-HR"/>
      </w:rPr>
      <w:t>e</w:t>
    </w:r>
    <w:r w:rsidRPr="003340E3">
      <w:rPr>
        <w:rFonts w:asciiTheme="minorHAnsi" w:hAnsiTheme="minorHAnsi"/>
        <w:sz w:val="28"/>
        <w:szCs w:val="28"/>
        <w:lang w:val="hr-HR"/>
      </w:rPr>
      <w:t xml:space="preserve"> i drug</w:t>
    </w:r>
    <w:r>
      <w:rPr>
        <w:rFonts w:asciiTheme="minorHAnsi" w:hAnsiTheme="minorHAnsi"/>
        <w:sz w:val="28"/>
        <w:szCs w:val="28"/>
        <w:lang w:val="hr-HR"/>
      </w:rPr>
      <w:t>a</w:t>
    </w:r>
    <w:r w:rsidRPr="003340E3">
      <w:rPr>
        <w:rFonts w:asciiTheme="minorHAnsi" w:hAnsiTheme="minorHAnsi"/>
        <w:sz w:val="28"/>
        <w:szCs w:val="28"/>
        <w:lang w:val="hr-HR"/>
      </w:rPr>
      <w:t xml:space="preserve"> objašnj</w:t>
    </w:r>
    <w:r>
      <w:rPr>
        <w:rFonts w:asciiTheme="minorHAnsi" w:hAnsiTheme="minorHAnsi"/>
        <w:sz w:val="28"/>
        <w:szCs w:val="28"/>
        <w:lang w:val="hr-HR"/>
      </w:rPr>
      <w:t>enja</w:t>
    </w:r>
    <w:r w:rsidRPr="003340E3">
      <w:rPr>
        <w:rFonts w:asciiTheme="minorHAnsi" w:hAnsiTheme="minorHAnsi"/>
        <w:sz w:val="28"/>
        <w:szCs w:val="28"/>
        <w:lang w:val="hr-HR"/>
      </w:rPr>
      <w:t xml:space="preserve"> </w:t>
    </w:r>
  </w:p>
  <w:p w:rsidR="009D5BDD" w:rsidRPr="00B7170D" w:rsidRDefault="009D5BDD" w:rsidP="003C6BA3">
    <w:pPr>
      <w:pStyle w:val="PH"/>
      <w:pBdr>
        <w:bottom w:val="single" w:sz="4" w:space="1" w:color="auto"/>
      </w:pBdr>
      <w:spacing w:line="240" w:lineRule="auto"/>
      <w:jc w:val="both"/>
      <w:rPr>
        <w:rFonts w:asciiTheme="minorHAnsi" w:hAnsiTheme="minorHAnsi" w:cs="Arial"/>
        <w:sz w:val="28"/>
        <w:szCs w:val="28"/>
        <w:lang w:val="pl-PL"/>
      </w:rPr>
    </w:pPr>
    <w:r w:rsidRPr="003340E3">
      <w:rPr>
        <w:rFonts w:asciiTheme="minorHAnsi" w:hAnsiTheme="minorHAnsi"/>
        <w:sz w:val="28"/>
        <w:szCs w:val="28"/>
        <w:lang w:val="hr-HR"/>
      </w:rPr>
      <w:t>za godinu koja je završila 31. prosinca 201</w:t>
    </w:r>
    <w:r>
      <w:rPr>
        <w:rFonts w:asciiTheme="minorHAnsi" w:hAnsiTheme="minorHAnsi"/>
        <w:sz w:val="28"/>
        <w:szCs w:val="28"/>
        <w:lang w:val="hr-HR"/>
      </w:rPr>
      <w:t>8</w:t>
    </w:r>
    <w:r w:rsidRPr="003340E3">
      <w:rPr>
        <w:rFonts w:asciiTheme="minorHAnsi" w:hAnsiTheme="minorHAnsi"/>
        <w:sz w:val="28"/>
        <w:szCs w:val="28"/>
        <w:lang w:val="hr-HR"/>
      </w:rPr>
      <w:t>. godine</w:t>
    </w:r>
    <w:r>
      <w:rPr>
        <w:rFonts w:asciiTheme="minorHAnsi" w:hAnsiTheme="minorHAnsi"/>
        <w:sz w:val="28"/>
        <w:szCs w:val="28"/>
        <w:lang w:val="hr-HR"/>
      </w:rPr>
      <w:t xml:space="preserve"> (nastavak)</w:t>
    </w:r>
  </w:p>
  <w:p w:rsidR="009D5BDD" w:rsidRPr="00B7170D" w:rsidRDefault="009D5BDD" w:rsidP="00AE70A3">
    <w:pPr>
      <w:pStyle w:val="BodyText3"/>
      <w:pBdr>
        <w:bottom w:val="single" w:sz="4" w:space="1" w:color="auto"/>
      </w:pBdr>
      <w:spacing w:line="400" w:lineRule="exact"/>
      <w:rPr>
        <w:rFonts w:asciiTheme="minorHAnsi" w:hAnsiTheme="minorHAnsi" w:cs="Arial"/>
        <w:szCs w:val="22"/>
        <w:lang w:val="pl-PL"/>
      </w:rPr>
    </w:pPr>
    <w:r w:rsidRPr="00B7170D">
      <w:rPr>
        <w:rFonts w:asciiTheme="minorHAnsi" w:hAnsiTheme="minorHAnsi" w:cs="Arial"/>
        <w:szCs w:val="22"/>
        <w:lang w:val="pl-PL"/>
      </w:rPr>
      <w:t>(Svi iznosi izraženi su u tisućama kuna)</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Bilješke uz financijske izvještaje (nastavak)</w:t>
    </w:r>
  </w:p>
  <w:p w:rsidR="009D5BDD" w:rsidRDefault="009D5BDD" w:rsidP="008B0750">
    <w:pPr>
      <w:pStyle w:val="PH1"/>
      <w:pBdr>
        <w:bottom w:val="single" w:sz="4" w:space="1" w:color="auto"/>
      </w:pBdr>
      <w:spacing w:line="360" w:lineRule="auto"/>
      <w:rPr>
        <w:rFonts w:cs="Arial"/>
        <w:sz w:val="24"/>
        <w:lang w:val="pl-PL"/>
      </w:rPr>
    </w:pPr>
    <w:r>
      <w:rPr>
        <w:rFonts w:cs="Arial"/>
        <w:sz w:val="24"/>
        <w:lang w:val="pl-PL"/>
      </w:rPr>
      <w:t>za godinu koja je završila 31. prosinca 2011.</w:t>
    </w:r>
    <w:r w:rsidRPr="00C87849">
      <w:rPr>
        <w:rFonts w:cs="Arial"/>
        <w:sz w:val="24"/>
        <w:lang w:val="pl-PL"/>
      </w:rPr>
      <w:t xml:space="preserve"> godin</w:t>
    </w:r>
    <w:r>
      <w:rPr>
        <w:rFonts w:cs="Arial"/>
        <w:sz w:val="24"/>
        <w:lang w:val="pl-PL"/>
      </w:rPr>
      <w:t xml:space="preserve">e </w:t>
    </w:r>
  </w:p>
  <w:p w:rsidR="009D5BDD" w:rsidRPr="00555641" w:rsidRDefault="009D5BDD" w:rsidP="00555641">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BE5A5A">
    <w:pPr>
      <w:pStyle w:val="BodyText3"/>
      <w:pBdr>
        <w:bottom w:val="single" w:sz="4" w:space="1" w:color="auto"/>
      </w:pBdr>
      <w:spacing w:line="400" w:lineRule="exact"/>
      <w:rPr>
        <w:rFonts w:asciiTheme="minorHAnsi" w:hAnsiTheme="minorHAnsi"/>
        <w:spacing w:val="0"/>
        <w:sz w:val="28"/>
        <w:szCs w:val="28"/>
        <w:lang w:val="hr-HR"/>
      </w:rPr>
    </w:pPr>
    <w:r w:rsidRPr="003340E3">
      <w:rPr>
        <w:rFonts w:asciiTheme="minorHAnsi" w:hAnsiTheme="minorHAnsi"/>
        <w:spacing w:val="0"/>
        <w:sz w:val="28"/>
        <w:szCs w:val="28"/>
        <w:lang w:val="hr-HR"/>
      </w:rPr>
      <w:t xml:space="preserve">Bilješke uz financijske izvještaje koje </w:t>
    </w:r>
    <w:r w:rsidRPr="00356725">
      <w:rPr>
        <w:rFonts w:asciiTheme="minorHAnsi" w:hAnsiTheme="minorHAnsi"/>
        <w:spacing w:val="0"/>
        <w:sz w:val="28"/>
        <w:szCs w:val="28"/>
        <w:lang w:val="hr-HR"/>
      </w:rPr>
      <w:t>obuhvaćaju važne</w:t>
    </w:r>
    <w:r w:rsidRPr="003340E3">
      <w:rPr>
        <w:rFonts w:asciiTheme="minorHAnsi" w:hAnsiTheme="minorHAnsi"/>
        <w:spacing w:val="0"/>
        <w:sz w:val="28"/>
        <w:szCs w:val="28"/>
        <w:lang w:val="hr-HR"/>
      </w:rPr>
      <w:t xml:space="preserve"> računovodstven</w:t>
    </w:r>
    <w:r>
      <w:rPr>
        <w:rFonts w:asciiTheme="minorHAnsi" w:hAnsiTheme="minorHAnsi"/>
        <w:spacing w:val="0"/>
        <w:sz w:val="28"/>
        <w:szCs w:val="28"/>
        <w:lang w:val="hr-HR"/>
      </w:rPr>
      <w:t>e</w:t>
    </w:r>
    <w:r w:rsidRPr="003340E3">
      <w:rPr>
        <w:rFonts w:asciiTheme="minorHAnsi" w:hAnsiTheme="minorHAnsi"/>
        <w:spacing w:val="0"/>
        <w:sz w:val="28"/>
        <w:szCs w:val="28"/>
        <w:lang w:val="hr-HR"/>
      </w:rPr>
      <w:t xml:space="preserve"> politik</w:t>
    </w:r>
    <w:r>
      <w:rPr>
        <w:rFonts w:asciiTheme="minorHAnsi" w:hAnsiTheme="minorHAnsi"/>
        <w:spacing w:val="0"/>
        <w:sz w:val="28"/>
        <w:szCs w:val="28"/>
        <w:lang w:val="hr-HR"/>
      </w:rPr>
      <w:t>e</w:t>
    </w:r>
    <w:r w:rsidRPr="003340E3">
      <w:rPr>
        <w:rFonts w:asciiTheme="minorHAnsi" w:hAnsiTheme="minorHAnsi"/>
        <w:spacing w:val="0"/>
        <w:sz w:val="28"/>
        <w:szCs w:val="28"/>
        <w:lang w:val="hr-HR"/>
      </w:rPr>
      <w:t xml:space="preserve"> i drug</w:t>
    </w:r>
    <w:r>
      <w:rPr>
        <w:rFonts w:asciiTheme="minorHAnsi" w:hAnsiTheme="minorHAnsi"/>
        <w:spacing w:val="0"/>
        <w:sz w:val="28"/>
        <w:szCs w:val="28"/>
        <w:lang w:val="hr-HR"/>
      </w:rPr>
      <w:t>a</w:t>
    </w:r>
    <w:r w:rsidRPr="003340E3">
      <w:rPr>
        <w:rFonts w:asciiTheme="minorHAnsi" w:hAnsiTheme="minorHAnsi"/>
        <w:spacing w:val="0"/>
        <w:sz w:val="28"/>
        <w:szCs w:val="28"/>
        <w:lang w:val="hr-HR"/>
      </w:rPr>
      <w:t xml:space="preserve"> objašnj</w:t>
    </w:r>
    <w:r>
      <w:rPr>
        <w:rFonts w:asciiTheme="minorHAnsi" w:hAnsiTheme="minorHAnsi"/>
        <w:spacing w:val="0"/>
        <w:sz w:val="28"/>
        <w:szCs w:val="28"/>
        <w:lang w:val="hr-HR"/>
      </w:rPr>
      <w:t>enja</w:t>
    </w:r>
    <w:r w:rsidRPr="003340E3">
      <w:rPr>
        <w:rFonts w:asciiTheme="minorHAnsi" w:hAnsiTheme="minorHAnsi"/>
        <w:spacing w:val="0"/>
        <w:sz w:val="28"/>
        <w:szCs w:val="28"/>
        <w:lang w:val="hr-HR"/>
      </w:rPr>
      <w:t xml:space="preserve"> za godinu koja je završila 31. prosinca 201</w:t>
    </w:r>
    <w:r>
      <w:rPr>
        <w:rFonts w:asciiTheme="minorHAnsi" w:hAnsiTheme="minorHAnsi"/>
        <w:spacing w:val="0"/>
        <w:sz w:val="28"/>
        <w:szCs w:val="28"/>
        <w:lang w:val="hr-HR"/>
      </w:rPr>
      <w:t>8</w:t>
    </w:r>
    <w:r w:rsidRPr="003340E3">
      <w:rPr>
        <w:rFonts w:asciiTheme="minorHAnsi" w:hAnsiTheme="minorHAnsi"/>
        <w:spacing w:val="0"/>
        <w:sz w:val="28"/>
        <w:szCs w:val="28"/>
        <w:lang w:val="hr-HR"/>
      </w:rPr>
      <w:t xml:space="preserve">. godine </w:t>
    </w:r>
    <w:r>
      <w:rPr>
        <w:rFonts w:asciiTheme="minorHAnsi" w:hAnsiTheme="minorHAnsi"/>
        <w:spacing w:val="0"/>
        <w:sz w:val="28"/>
        <w:szCs w:val="28"/>
        <w:lang w:val="hr-HR"/>
      </w:rPr>
      <w:t>(nastavak)</w:t>
    </w:r>
  </w:p>
  <w:p w:rsidR="009D5BDD" w:rsidRPr="00BE5A5A" w:rsidRDefault="009D5BDD" w:rsidP="00BE5A5A">
    <w:pPr>
      <w:pStyle w:val="BodyText3"/>
      <w:pBdr>
        <w:bottom w:val="single" w:sz="4" w:space="1" w:color="auto"/>
      </w:pBdr>
      <w:spacing w:line="400" w:lineRule="exact"/>
      <w:rPr>
        <w:rFonts w:asciiTheme="minorHAnsi" w:hAnsiTheme="minorHAnsi" w:cs="Arial"/>
        <w:szCs w:val="22"/>
        <w:lang w:val="pl-PL"/>
      </w:rPr>
    </w:pPr>
    <w:r w:rsidRPr="00B7170D">
      <w:rPr>
        <w:rFonts w:asciiTheme="minorHAnsi" w:hAnsiTheme="minorHAnsi" w:cs="Arial"/>
        <w:szCs w:val="22"/>
        <w:lang w:val="pl-PL"/>
      </w:rPr>
      <w:t>(Svi iznosi izraženi su u tisućama kuna)</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7F0E1B" w:rsidRDefault="009D5BDD" w:rsidP="007E056A">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Dodatak uz financijske izvještaje – Financijsko poslovanje Grupe HKO </w:t>
    </w:r>
  </w:p>
  <w:p w:rsidR="009D5BDD" w:rsidRPr="007F0E1B" w:rsidRDefault="009D5BDD" w:rsidP="007E056A">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Izvještaj </w:t>
    </w:r>
    <w:r>
      <w:rPr>
        <w:rFonts w:asciiTheme="minorHAnsi" w:hAnsiTheme="minorHAnsi"/>
        <w:sz w:val="28"/>
        <w:szCs w:val="28"/>
        <w:lang w:val="hr-HR"/>
      </w:rPr>
      <w:t>o dobiti i gubitku te ostaloj sveobuhvatnoj dobiti</w:t>
    </w:r>
  </w:p>
  <w:p w:rsidR="009D5BDD" w:rsidRDefault="009D5BDD" w:rsidP="007E056A">
    <w:pPr>
      <w:pStyle w:val="PH"/>
      <w:pBdr>
        <w:bottom w:val="single" w:sz="4" w:space="0" w:color="auto"/>
      </w:pBdr>
      <w:spacing w:line="400" w:lineRule="exact"/>
      <w:rPr>
        <w:rFonts w:asciiTheme="minorHAnsi" w:hAnsiTheme="minorHAnsi"/>
        <w:sz w:val="28"/>
        <w:szCs w:val="28"/>
        <w:lang w:val="hr-HR"/>
      </w:rPr>
    </w:pPr>
    <w:r>
      <w:rPr>
        <w:rFonts w:asciiTheme="minorHAnsi" w:hAnsiTheme="minorHAnsi"/>
        <w:sz w:val="28"/>
        <w:szCs w:val="28"/>
        <w:lang w:val="hr-HR"/>
      </w:rPr>
      <w:t>za godinu koja je završila</w:t>
    </w:r>
    <w:r w:rsidRPr="007F0E1B">
      <w:rPr>
        <w:rFonts w:asciiTheme="minorHAnsi" w:hAnsiTheme="minorHAnsi"/>
        <w:sz w:val="28"/>
        <w:szCs w:val="28"/>
        <w:lang w:val="hr-HR"/>
      </w:rPr>
      <w:t xml:space="preserve"> 31. prosinca </w:t>
    </w:r>
  </w:p>
  <w:p w:rsidR="009D5BDD" w:rsidRPr="007E056A" w:rsidRDefault="009D5BDD" w:rsidP="007E056A">
    <w:pPr>
      <w:pStyle w:val="PH"/>
      <w:pBdr>
        <w:bottom w:val="single" w:sz="4" w:space="0" w:color="auto"/>
      </w:pBdr>
      <w:spacing w:line="400" w:lineRule="exact"/>
      <w:rPr>
        <w:rFonts w:asciiTheme="minorHAnsi" w:hAnsiTheme="minorHAnsi"/>
        <w:sz w:val="28"/>
        <w:szCs w:val="28"/>
        <w:lang w:val="hr-HR"/>
      </w:rPr>
    </w:pPr>
    <w:r w:rsidRPr="00B7170D">
      <w:rPr>
        <w:rFonts w:asciiTheme="minorHAnsi" w:hAnsiTheme="minorHAnsi" w:cs="Arial"/>
        <w:szCs w:val="22"/>
        <w:lang w:val="pl-PL"/>
      </w:rPr>
      <w:t>(Svi iznosi izraženi su u tisućama kuna)</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7F0E1B" w:rsidRDefault="009D5BDD"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Dodatak uz financijske izvještaje – Financijsko poslovanje Grupe HKO </w:t>
    </w:r>
  </w:p>
  <w:p w:rsidR="009D5BDD" w:rsidRPr="007F0E1B" w:rsidRDefault="009D5BDD"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Izvještaj o financijskom položaju</w:t>
    </w:r>
  </w:p>
  <w:p w:rsidR="009D5BDD" w:rsidRPr="007F0E1B" w:rsidRDefault="009D5BDD"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na dan 31. prosinca </w:t>
    </w:r>
  </w:p>
  <w:p w:rsidR="009D5BDD" w:rsidRPr="007F0E1B" w:rsidRDefault="009D5BDD" w:rsidP="007F0E1B">
    <w:pPr>
      <w:pStyle w:val="BodyText3"/>
      <w:pBdr>
        <w:bottom w:val="single" w:sz="4" w:space="0" w:color="auto"/>
      </w:pBdr>
      <w:spacing w:line="400" w:lineRule="exact"/>
      <w:rPr>
        <w:rFonts w:asciiTheme="minorHAnsi" w:hAnsiTheme="minorHAnsi" w:cs="Arial"/>
        <w:szCs w:val="22"/>
        <w:lang w:val="pl-PL"/>
      </w:rPr>
    </w:pPr>
    <w:r w:rsidRPr="007F0E1B">
      <w:rPr>
        <w:rFonts w:asciiTheme="minorHAnsi" w:hAnsiTheme="minorHAnsi" w:cs="Arial"/>
        <w:szCs w:val="22"/>
        <w:lang w:val="pl-PL"/>
      </w:rPr>
      <w:t>(Svi iznosi izraženi su u tisućama kuna)</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7F0E1B" w:rsidRDefault="009D5BDD"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Dodatak uz financijske izvještaje – Financijsko poslovanje Grupe HKO </w:t>
    </w:r>
  </w:p>
  <w:p w:rsidR="009D5BDD" w:rsidRPr="007F0E1B" w:rsidRDefault="009D5BDD"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Izvještaj o novčanim tokovima</w:t>
    </w:r>
  </w:p>
  <w:p w:rsidR="009D5BDD" w:rsidRPr="007F0E1B" w:rsidRDefault="009D5BDD"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za godinu koja je završila 31. prosinca </w:t>
    </w:r>
  </w:p>
  <w:p w:rsidR="009D5BDD" w:rsidRPr="007F0E1B" w:rsidRDefault="009D5BDD" w:rsidP="007F0E1B">
    <w:pPr>
      <w:pStyle w:val="BodyText3"/>
      <w:pBdr>
        <w:bottom w:val="single" w:sz="4" w:space="0" w:color="auto"/>
      </w:pBdr>
      <w:spacing w:line="400" w:lineRule="exact"/>
      <w:rPr>
        <w:rFonts w:asciiTheme="minorHAnsi" w:hAnsiTheme="minorHAnsi" w:cs="Arial"/>
        <w:szCs w:val="22"/>
        <w:lang w:val="pl-PL"/>
      </w:rPr>
    </w:pPr>
    <w:r w:rsidRPr="007F0E1B">
      <w:rPr>
        <w:rFonts w:asciiTheme="minorHAnsi" w:hAnsiTheme="minorHAnsi" w:cs="Arial"/>
        <w:szCs w:val="22"/>
        <w:lang w:val="pl-PL"/>
      </w:rPr>
      <w:t>(Svi iznosi izraženi su u tisućama kuna)</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7F0E1B" w:rsidRDefault="009D5BDD"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Dodatak uz financijske izvještaje – Financijsko poslovanje Grupe HKO </w:t>
    </w:r>
  </w:p>
  <w:p w:rsidR="009D5BDD" w:rsidRPr="007F0E1B" w:rsidRDefault="009D5BDD"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Izvještaj o promjenama na kapitalu</w:t>
    </w:r>
  </w:p>
  <w:p w:rsidR="009D5BDD" w:rsidRPr="007F0E1B" w:rsidRDefault="009D5BDD"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za godinu koja je završila 31. prosinca </w:t>
    </w:r>
  </w:p>
  <w:p w:rsidR="009D5BDD" w:rsidRPr="007F0E1B" w:rsidRDefault="009D5BDD" w:rsidP="007F0E1B">
    <w:pPr>
      <w:pStyle w:val="BodyText3"/>
      <w:pBdr>
        <w:bottom w:val="single" w:sz="4" w:space="0" w:color="auto"/>
      </w:pBdr>
      <w:spacing w:line="400" w:lineRule="exact"/>
      <w:rPr>
        <w:rFonts w:asciiTheme="minorHAnsi" w:hAnsiTheme="minorHAnsi" w:cs="Arial"/>
        <w:szCs w:val="22"/>
        <w:lang w:val="pl-PL"/>
      </w:rPr>
    </w:pPr>
    <w:r w:rsidRPr="007F0E1B">
      <w:rPr>
        <w:rFonts w:asciiTheme="minorHAnsi" w:hAnsiTheme="minorHAnsi" w:cs="Arial"/>
        <w:szCs w:val="22"/>
        <w:lang w:val="pl-PL"/>
      </w:rPr>
      <w:t>(Svi iznosi izraženi su u tisućama kuna)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pPr>
      <w:pStyle w:val="Header"/>
      <w:framePr w:wrap="auto" w:vAnchor="text" w:hAnchor="page" w:x="4762" w:y="-311"/>
      <w:rPr>
        <w:rStyle w:val="PageNumber"/>
      </w:rPr>
    </w:pPr>
  </w:p>
  <w:p w:rsidR="009D5BDD" w:rsidRDefault="009D5BDD">
    <w:pPr>
      <w:pStyle w:val="BodyText2"/>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Pr="002B5198" w:rsidRDefault="009D5BDD" w:rsidP="008342AA">
    <w:pPr>
      <w:pStyle w:val="Header"/>
      <w:pBdr>
        <w:bottom w:val="single" w:sz="4" w:space="1" w:color="auto"/>
      </w:pBdr>
      <w:rPr>
        <w:rFonts w:asciiTheme="minorHAnsi" w:hAnsiTheme="minorHAnsi"/>
        <w:i w:val="0"/>
      </w:rPr>
    </w:pPr>
    <w:r w:rsidRPr="002B5198">
      <w:rPr>
        <w:rFonts w:asciiTheme="minorHAnsi" w:hAnsiTheme="minorHAnsi"/>
        <w:i w:val="0"/>
      </w:rPr>
      <w:t>Sadržaj</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pPr>
      <w:pStyle w:val="Header"/>
      <w:framePr w:wrap="auto" w:vAnchor="text" w:hAnchor="page" w:x="4762" w:y="-311"/>
      <w:rPr>
        <w:rStyle w:val="PageNumber"/>
      </w:rPr>
    </w:pPr>
  </w:p>
  <w:p w:rsidR="009D5BDD" w:rsidRPr="00060FB1" w:rsidRDefault="009D5BDD" w:rsidP="003C6BA3">
    <w:pPr>
      <w:pStyle w:val="PH"/>
      <w:pBdr>
        <w:bottom w:val="single" w:sz="4" w:space="1" w:color="auto"/>
      </w:pBdr>
      <w:ind w:right="4"/>
      <w:rPr>
        <w:rFonts w:asciiTheme="minorHAnsi" w:hAnsiTheme="minorHAnsi"/>
        <w:sz w:val="28"/>
        <w:szCs w:val="28"/>
        <w:lang w:val="hr-HR"/>
      </w:rPr>
    </w:pPr>
    <w:r>
      <w:rPr>
        <w:rFonts w:asciiTheme="minorHAnsi" w:hAnsiTheme="minorHAnsi"/>
        <w:sz w:val="28"/>
        <w:szCs w:val="28"/>
        <w:lang w:val="hr-HR"/>
      </w:rPr>
      <w:t>Odgovornosti Uprave i Nadzornog odbora za pripremu i prihvaćanje godišnjeg izvješća</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8D5A38">
    <w:pPr>
      <w:pStyle w:val="Header"/>
    </w:pPr>
    <w:r>
      <w:rPr>
        <w:noProof/>
        <w:sz w:val="43"/>
        <w:szCs w:val="44"/>
        <w:lang w:eastAsia="hr-HR"/>
      </w:rPr>
      <w:drawing>
        <wp:inline distT="0" distB="0" distL="0" distR="0" wp14:anchorId="1759BD90" wp14:editId="68CA03F8">
          <wp:extent cx="969007" cy="391162"/>
          <wp:effectExtent l="0" t="0" r="2543" b="8888"/>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969007" cy="391162"/>
                  </a:xfrm>
                  <a:prstGeom prst="rect">
                    <a:avLst/>
                  </a:prstGeom>
                  <a:noFill/>
                  <a:ln>
                    <a:noFill/>
                    <a:prstDash/>
                  </a:ln>
                </pic:spPr>
              </pic:pic>
            </a:graphicData>
          </a:graphic>
        </wp:inline>
      </w:drawing>
    </w:r>
  </w:p>
  <w:p w:rsidR="009D5BDD" w:rsidRDefault="009D5BDD" w:rsidP="008D5A38">
    <w:pPr>
      <w:pStyle w:val="Header"/>
    </w:pPr>
  </w:p>
  <w:p w:rsidR="009D5BDD" w:rsidRDefault="009D5BDD" w:rsidP="008D5A38">
    <w:pPr>
      <w:pStyle w:val="Naslovipoglavlja"/>
      <w:outlineLvl w:val="9"/>
    </w:pPr>
    <w:r w:rsidRPr="008D5A38">
      <w:rPr>
        <w:rFonts w:ascii="Univers for KPMG" w:hAnsi="Univers for KPMG"/>
        <w:color w:val="00338D"/>
        <w:szCs w:val="32"/>
      </w:rPr>
      <w:t>Izvješće neovisnog revizora vlasniku Hrvatske banke za obnovu i razvitak</w:t>
    </w:r>
  </w:p>
  <w:p w:rsidR="009D5BDD" w:rsidRPr="00840526" w:rsidRDefault="009D5BDD" w:rsidP="0084052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8D5A38">
    <w:pPr>
      <w:pStyle w:val="Header"/>
    </w:pPr>
    <w:r>
      <w:rPr>
        <w:noProof/>
        <w:sz w:val="43"/>
        <w:szCs w:val="44"/>
        <w:lang w:eastAsia="hr-HR"/>
      </w:rPr>
      <w:drawing>
        <wp:inline distT="0" distB="0" distL="0" distR="0" wp14:anchorId="19F12104" wp14:editId="528C4B47">
          <wp:extent cx="969007" cy="391162"/>
          <wp:effectExtent l="0" t="0" r="2543" b="8888"/>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969007" cy="391162"/>
                  </a:xfrm>
                  <a:prstGeom prst="rect">
                    <a:avLst/>
                  </a:prstGeom>
                  <a:noFill/>
                  <a:ln>
                    <a:noFill/>
                    <a:prstDash/>
                  </a:ln>
                </pic:spPr>
              </pic:pic>
            </a:graphicData>
          </a:graphic>
        </wp:inline>
      </w:drawing>
    </w:r>
  </w:p>
  <w:p w:rsidR="009D5BDD" w:rsidRDefault="009D5BDD" w:rsidP="008D5A38">
    <w:pPr>
      <w:pStyle w:val="Header"/>
    </w:pPr>
  </w:p>
  <w:p w:rsidR="009D5BDD" w:rsidRDefault="009D5BDD" w:rsidP="008D5A38">
    <w:pPr>
      <w:pStyle w:val="Naslovipoglavlja"/>
      <w:outlineLvl w:val="9"/>
    </w:pPr>
    <w:r w:rsidRPr="008D5A38">
      <w:rPr>
        <w:rFonts w:ascii="Univers for KPMG" w:hAnsi="Univers for KPMG"/>
        <w:color w:val="00338D"/>
        <w:szCs w:val="32"/>
      </w:rPr>
      <w:t>Izvješće neovisnog revizora vlasniku Hrvatske banke za obnovu i razvitak</w:t>
    </w:r>
    <w:r>
      <w:rPr>
        <w:rFonts w:ascii="Univers for KPMG" w:hAnsi="Univers for KPMG"/>
        <w:color w:val="00338D"/>
        <w:szCs w:val="32"/>
      </w:rPr>
      <w:t xml:space="preserve"> (nastavak)</w:t>
    </w:r>
  </w:p>
  <w:p w:rsidR="009D5BDD" w:rsidRPr="00840526" w:rsidRDefault="009D5BDD" w:rsidP="0084052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rsidR="009D5BDD" w:rsidRPr="00060FB1"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Račun</w:t>
    </w:r>
    <w:r w:rsidRPr="00060FB1">
      <w:rPr>
        <w:rFonts w:asciiTheme="minorHAnsi" w:hAnsiTheme="minorHAnsi" w:cs="Arial"/>
        <w:sz w:val="28"/>
        <w:szCs w:val="28"/>
        <w:lang w:val="pl-PL"/>
      </w:rPr>
      <w:t xml:space="preserve"> dobiti i gubitk</w:t>
    </w:r>
    <w:r>
      <w:rPr>
        <w:rFonts w:asciiTheme="minorHAnsi" w:hAnsiTheme="minorHAnsi" w:cs="Arial"/>
        <w:sz w:val="28"/>
        <w:szCs w:val="28"/>
        <w:lang w:val="pl-PL"/>
      </w:rPr>
      <w:t>a</w:t>
    </w:r>
    <w:r w:rsidRPr="00060FB1">
      <w:rPr>
        <w:rFonts w:asciiTheme="minorHAnsi" w:hAnsiTheme="minorHAnsi" w:cs="Arial"/>
        <w:sz w:val="28"/>
        <w:szCs w:val="28"/>
        <w:lang w:val="pl-PL"/>
      </w:rPr>
      <w:t xml:space="preserve">  </w:t>
    </w:r>
  </w:p>
  <w:p w:rsidR="009D5BDD" w:rsidRPr="00060FB1" w:rsidRDefault="009D5BDD" w:rsidP="003C6BA3">
    <w:pPr>
      <w:pStyle w:val="PH1"/>
      <w:pBdr>
        <w:bottom w:val="single" w:sz="4" w:space="1" w:color="auto"/>
      </w:pBdr>
      <w:spacing w:line="240" w:lineRule="auto"/>
      <w:rPr>
        <w:rFonts w:asciiTheme="minorHAnsi" w:hAnsiTheme="minorHAnsi" w:cs="Arial"/>
        <w:sz w:val="28"/>
        <w:szCs w:val="28"/>
        <w:lang w:val="pl-PL"/>
      </w:rPr>
    </w:pPr>
    <w:r w:rsidRPr="00060FB1">
      <w:rPr>
        <w:rFonts w:asciiTheme="minorHAnsi" w:hAnsiTheme="minorHAnsi" w:cs="Arial"/>
        <w:sz w:val="28"/>
        <w:szCs w:val="28"/>
        <w:lang w:val="pl-PL"/>
      </w:rPr>
      <w:t>za godinu koja je završila 31. prosinca</w:t>
    </w:r>
  </w:p>
  <w:p w:rsidR="009D5BDD" w:rsidRPr="00060FB1" w:rsidRDefault="009D5BDD" w:rsidP="00B560F9">
    <w:pPr>
      <w:pStyle w:val="BodyText3"/>
      <w:pBdr>
        <w:bottom w:val="single" w:sz="4" w:space="1" w:color="auto"/>
      </w:pBdr>
      <w:spacing w:line="400" w:lineRule="exact"/>
      <w:rPr>
        <w:rFonts w:asciiTheme="minorHAnsi" w:hAnsiTheme="minorHAnsi" w:cs="Arial"/>
        <w:szCs w:val="22"/>
        <w:lang w:val="pl-PL"/>
      </w:rPr>
    </w:pPr>
    <w:r w:rsidRPr="00060FB1">
      <w:rPr>
        <w:rFonts w:asciiTheme="minorHAnsi" w:hAnsiTheme="minorHAnsi" w:cs="Arial"/>
        <w:szCs w:val="22"/>
        <w:lang w:val="pl-PL"/>
      </w:rPr>
      <w:t>(Svi iznosi izraženi su u tisućama kuna)</w:t>
    </w:r>
  </w:p>
  <w:p w:rsidR="009D5BDD" w:rsidRPr="00060FB1" w:rsidRDefault="009D5BDD" w:rsidP="00447AB8">
    <w:pPr>
      <w:pStyle w:val="BodyText3"/>
      <w:spacing w:line="400" w:lineRule="exact"/>
      <w:rPr>
        <w:rFonts w:asciiTheme="minorHAnsi" w:hAnsiTheme="minorHAnsi" w:cs="Arial"/>
        <w:szCs w:val="22"/>
        <w:lang w:val="pl-PL"/>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5BDD"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rsidR="009D5BDD" w:rsidRPr="00060FB1" w:rsidRDefault="009D5BDD"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I</w:t>
    </w:r>
    <w:r w:rsidRPr="00060FB1">
      <w:rPr>
        <w:rFonts w:asciiTheme="minorHAnsi" w:hAnsiTheme="minorHAnsi" w:cs="Arial"/>
        <w:sz w:val="28"/>
        <w:szCs w:val="28"/>
        <w:lang w:val="pl-PL"/>
      </w:rPr>
      <w:t xml:space="preserve">zvještaj o dobiti i gubitku te ostaloj sveobuhvatnoj dobiti </w:t>
    </w:r>
  </w:p>
  <w:p w:rsidR="009D5BDD" w:rsidRPr="00060FB1" w:rsidRDefault="009D5BDD" w:rsidP="003C6BA3">
    <w:pPr>
      <w:pStyle w:val="PH1"/>
      <w:pBdr>
        <w:bottom w:val="single" w:sz="4" w:space="1" w:color="auto"/>
      </w:pBdr>
      <w:spacing w:line="240" w:lineRule="auto"/>
      <w:rPr>
        <w:rFonts w:asciiTheme="minorHAnsi" w:hAnsiTheme="minorHAnsi" w:cs="Arial"/>
        <w:sz w:val="28"/>
        <w:szCs w:val="28"/>
        <w:lang w:val="pl-PL"/>
      </w:rPr>
    </w:pPr>
    <w:r w:rsidRPr="00060FB1">
      <w:rPr>
        <w:rFonts w:asciiTheme="minorHAnsi" w:hAnsiTheme="minorHAnsi" w:cs="Arial"/>
        <w:sz w:val="28"/>
        <w:szCs w:val="28"/>
        <w:lang w:val="pl-PL"/>
      </w:rPr>
      <w:t>za godinu koja je završila 31. prosinca</w:t>
    </w:r>
  </w:p>
  <w:p w:rsidR="009D5BDD" w:rsidRPr="00060FB1" w:rsidRDefault="009D5BDD" w:rsidP="00060FB1">
    <w:pPr>
      <w:pStyle w:val="BodyText3"/>
      <w:pBdr>
        <w:bottom w:val="single" w:sz="4" w:space="1" w:color="auto"/>
      </w:pBdr>
      <w:spacing w:line="400" w:lineRule="exact"/>
      <w:rPr>
        <w:rFonts w:asciiTheme="minorHAnsi" w:hAnsiTheme="minorHAnsi" w:cs="Arial"/>
        <w:szCs w:val="22"/>
        <w:lang w:val="pl-PL"/>
      </w:rPr>
    </w:pPr>
    <w:r w:rsidRPr="00060FB1">
      <w:rPr>
        <w:rFonts w:asciiTheme="minorHAnsi" w:hAnsiTheme="minorHAnsi" w:cs="Arial"/>
        <w:szCs w:val="22"/>
        <w:lang w:val="pl-PL"/>
      </w:rPr>
      <w:t>(Svi iznosi izraženi su u tisućama kuna)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A7C1F"/>
    <w:multiLevelType w:val="hybridMultilevel"/>
    <w:tmpl w:val="1AF81976"/>
    <w:lvl w:ilvl="0" w:tplc="6BC62CD4">
      <w:numFmt w:val="bullet"/>
      <w:lvlText w:val="-"/>
      <w:lvlJc w:val="left"/>
      <w:pPr>
        <w:ind w:left="720" w:hanging="360"/>
      </w:pPr>
      <w:rPr>
        <w:rFonts w:ascii="Times New Roman" w:hAnsi="Times New Roman" w:cs="Times New Roman"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5CD439D"/>
    <w:multiLevelType w:val="hybridMultilevel"/>
    <w:tmpl w:val="D24C31E8"/>
    <w:lvl w:ilvl="0" w:tplc="041A0017">
      <w:start w:val="9"/>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60F2379"/>
    <w:multiLevelType w:val="hybridMultilevel"/>
    <w:tmpl w:val="1F66D4E4"/>
    <w:lvl w:ilvl="0" w:tplc="041A0001">
      <w:start w:val="1"/>
      <w:numFmt w:val="bullet"/>
      <w:lvlText w:val=""/>
      <w:lvlJc w:val="left"/>
      <w:pPr>
        <w:ind w:left="771" w:hanging="360"/>
      </w:pPr>
      <w:rPr>
        <w:rFonts w:ascii="Symbol" w:hAnsi="Symbol" w:hint="default"/>
      </w:rPr>
    </w:lvl>
    <w:lvl w:ilvl="1" w:tplc="041A0003">
      <w:start w:val="1"/>
      <w:numFmt w:val="bullet"/>
      <w:lvlText w:val="o"/>
      <w:lvlJc w:val="left"/>
      <w:pPr>
        <w:ind w:left="1491" w:hanging="360"/>
      </w:pPr>
      <w:rPr>
        <w:rFonts w:ascii="Courier New" w:hAnsi="Courier New" w:cs="Courier New" w:hint="default"/>
      </w:rPr>
    </w:lvl>
    <w:lvl w:ilvl="2" w:tplc="041A0005" w:tentative="1">
      <w:start w:val="1"/>
      <w:numFmt w:val="bullet"/>
      <w:lvlText w:val=""/>
      <w:lvlJc w:val="left"/>
      <w:pPr>
        <w:ind w:left="2211" w:hanging="360"/>
      </w:pPr>
      <w:rPr>
        <w:rFonts w:ascii="Wingdings" w:hAnsi="Wingdings" w:hint="default"/>
      </w:rPr>
    </w:lvl>
    <w:lvl w:ilvl="3" w:tplc="041A0001" w:tentative="1">
      <w:start w:val="1"/>
      <w:numFmt w:val="bullet"/>
      <w:lvlText w:val=""/>
      <w:lvlJc w:val="left"/>
      <w:pPr>
        <w:ind w:left="2931" w:hanging="360"/>
      </w:pPr>
      <w:rPr>
        <w:rFonts w:ascii="Symbol" w:hAnsi="Symbol" w:hint="default"/>
      </w:rPr>
    </w:lvl>
    <w:lvl w:ilvl="4" w:tplc="041A0003" w:tentative="1">
      <w:start w:val="1"/>
      <w:numFmt w:val="bullet"/>
      <w:lvlText w:val="o"/>
      <w:lvlJc w:val="left"/>
      <w:pPr>
        <w:ind w:left="3651" w:hanging="360"/>
      </w:pPr>
      <w:rPr>
        <w:rFonts w:ascii="Courier New" w:hAnsi="Courier New" w:cs="Courier New" w:hint="default"/>
      </w:rPr>
    </w:lvl>
    <w:lvl w:ilvl="5" w:tplc="041A0005" w:tentative="1">
      <w:start w:val="1"/>
      <w:numFmt w:val="bullet"/>
      <w:lvlText w:val=""/>
      <w:lvlJc w:val="left"/>
      <w:pPr>
        <w:ind w:left="4371" w:hanging="360"/>
      </w:pPr>
      <w:rPr>
        <w:rFonts w:ascii="Wingdings" w:hAnsi="Wingdings" w:hint="default"/>
      </w:rPr>
    </w:lvl>
    <w:lvl w:ilvl="6" w:tplc="041A0001" w:tentative="1">
      <w:start w:val="1"/>
      <w:numFmt w:val="bullet"/>
      <w:lvlText w:val=""/>
      <w:lvlJc w:val="left"/>
      <w:pPr>
        <w:ind w:left="5091" w:hanging="360"/>
      </w:pPr>
      <w:rPr>
        <w:rFonts w:ascii="Symbol" w:hAnsi="Symbol" w:hint="default"/>
      </w:rPr>
    </w:lvl>
    <w:lvl w:ilvl="7" w:tplc="041A0003" w:tentative="1">
      <w:start w:val="1"/>
      <w:numFmt w:val="bullet"/>
      <w:lvlText w:val="o"/>
      <w:lvlJc w:val="left"/>
      <w:pPr>
        <w:ind w:left="5811" w:hanging="360"/>
      </w:pPr>
      <w:rPr>
        <w:rFonts w:ascii="Courier New" w:hAnsi="Courier New" w:cs="Courier New" w:hint="default"/>
      </w:rPr>
    </w:lvl>
    <w:lvl w:ilvl="8" w:tplc="041A0005" w:tentative="1">
      <w:start w:val="1"/>
      <w:numFmt w:val="bullet"/>
      <w:lvlText w:val=""/>
      <w:lvlJc w:val="left"/>
      <w:pPr>
        <w:ind w:left="6531" w:hanging="360"/>
      </w:pPr>
      <w:rPr>
        <w:rFonts w:ascii="Wingdings" w:hAnsi="Wingdings" w:hint="default"/>
      </w:rPr>
    </w:lvl>
  </w:abstractNum>
  <w:abstractNum w:abstractNumId="3" w15:restartNumberingAfterBreak="0">
    <w:nsid w:val="0637115B"/>
    <w:multiLevelType w:val="hybridMultilevel"/>
    <w:tmpl w:val="28B2AA32"/>
    <w:lvl w:ilvl="0" w:tplc="B614A01C">
      <w:start w:val="26"/>
      <w:numFmt w:val="bullet"/>
      <w:lvlText w:val="-"/>
      <w:lvlJc w:val="left"/>
      <w:pPr>
        <w:tabs>
          <w:tab w:val="num" w:pos="720"/>
        </w:tabs>
        <w:ind w:left="720" w:hanging="360"/>
      </w:pPr>
      <w:rPr>
        <w:rFonts w:ascii="Arial" w:eastAsia="Times New Roman" w:hAnsi="Aria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7A0397"/>
    <w:multiLevelType w:val="hybridMultilevel"/>
    <w:tmpl w:val="E53CC14C"/>
    <w:lvl w:ilvl="0" w:tplc="54E41676">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AB458B5"/>
    <w:multiLevelType w:val="hybridMultilevel"/>
    <w:tmpl w:val="80781AF8"/>
    <w:lvl w:ilvl="0" w:tplc="F30486C2">
      <w:start w:val="1"/>
      <w:numFmt w:val="decimal"/>
      <w:lvlText w:val="%1."/>
      <w:lvlJc w:val="left"/>
      <w:pPr>
        <w:tabs>
          <w:tab w:val="num" w:pos="720"/>
        </w:tabs>
        <w:ind w:left="720" w:hanging="360"/>
      </w:pPr>
      <w:rPr>
        <w:b w:val="0"/>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6" w15:restartNumberingAfterBreak="0">
    <w:nsid w:val="0AE82946"/>
    <w:multiLevelType w:val="hybridMultilevel"/>
    <w:tmpl w:val="5F84E4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CD033D4"/>
    <w:multiLevelType w:val="hybridMultilevel"/>
    <w:tmpl w:val="21F624DA"/>
    <w:lvl w:ilvl="0" w:tplc="BDD2C8A6">
      <w:numFmt w:val="bullet"/>
      <w:lvlText w:val="-"/>
      <w:lvlJc w:val="left"/>
      <w:pPr>
        <w:ind w:left="720" w:hanging="360"/>
      </w:pPr>
      <w:rPr>
        <w:rFonts w:ascii="Calibri" w:eastAsia="Times New Roman"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DAC4302"/>
    <w:multiLevelType w:val="hybridMultilevel"/>
    <w:tmpl w:val="B81A4A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ED77D0F"/>
    <w:multiLevelType w:val="hybridMultilevel"/>
    <w:tmpl w:val="A8F8B4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5370918"/>
    <w:multiLevelType w:val="hybridMultilevel"/>
    <w:tmpl w:val="1B74A8FC"/>
    <w:lvl w:ilvl="0" w:tplc="89A2892E">
      <w:numFmt w:val="bullet"/>
      <w:lvlText w:val="-"/>
      <w:lvlJc w:val="left"/>
      <w:pPr>
        <w:tabs>
          <w:tab w:val="num" w:pos="1040"/>
        </w:tabs>
        <w:ind w:left="1040" w:hanging="360"/>
      </w:pPr>
      <w:rPr>
        <w:rFonts w:ascii="Arial" w:eastAsia="Times New Roman" w:hAnsi="Arial" w:cs="Arial" w:hint="default"/>
      </w:rPr>
    </w:lvl>
    <w:lvl w:ilvl="1" w:tplc="04090003">
      <w:start w:val="1"/>
      <w:numFmt w:val="bullet"/>
      <w:lvlText w:val="o"/>
      <w:lvlJc w:val="left"/>
      <w:pPr>
        <w:tabs>
          <w:tab w:val="num" w:pos="1760"/>
        </w:tabs>
        <w:ind w:left="1760" w:hanging="360"/>
      </w:pPr>
      <w:rPr>
        <w:rFonts w:ascii="Courier New" w:hAnsi="Courier New" w:cs="Courier New" w:hint="default"/>
      </w:rPr>
    </w:lvl>
    <w:lvl w:ilvl="2" w:tplc="04090005" w:tentative="1">
      <w:start w:val="1"/>
      <w:numFmt w:val="bullet"/>
      <w:lvlText w:val=""/>
      <w:lvlJc w:val="left"/>
      <w:pPr>
        <w:tabs>
          <w:tab w:val="num" w:pos="2480"/>
        </w:tabs>
        <w:ind w:left="2480" w:hanging="360"/>
      </w:pPr>
      <w:rPr>
        <w:rFonts w:ascii="Wingdings" w:hAnsi="Wingdings" w:hint="default"/>
      </w:rPr>
    </w:lvl>
    <w:lvl w:ilvl="3" w:tplc="04090001" w:tentative="1">
      <w:start w:val="1"/>
      <w:numFmt w:val="bullet"/>
      <w:lvlText w:val=""/>
      <w:lvlJc w:val="left"/>
      <w:pPr>
        <w:tabs>
          <w:tab w:val="num" w:pos="3200"/>
        </w:tabs>
        <w:ind w:left="3200" w:hanging="360"/>
      </w:pPr>
      <w:rPr>
        <w:rFonts w:ascii="Symbol" w:hAnsi="Symbol" w:hint="default"/>
      </w:rPr>
    </w:lvl>
    <w:lvl w:ilvl="4" w:tplc="04090003" w:tentative="1">
      <w:start w:val="1"/>
      <w:numFmt w:val="bullet"/>
      <w:lvlText w:val="o"/>
      <w:lvlJc w:val="left"/>
      <w:pPr>
        <w:tabs>
          <w:tab w:val="num" w:pos="3920"/>
        </w:tabs>
        <w:ind w:left="3920" w:hanging="360"/>
      </w:pPr>
      <w:rPr>
        <w:rFonts w:ascii="Courier New" w:hAnsi="Courier New" w:cs="Courier New" w:hint="default"/>
      </w:rPr>
    </w:lvl>
    <w:lvl w:ilvl="5" w:tplc="04090005" w:tentative="1">
      <w:start w:val="1"/>
      <w:numFmt w:val="bullet"/>
      <w:lvlText w:val=""/>
      <w:lvlJc w:val="left"/>
      <w:pPr>
        <w:tabs>
          <w:tab w:val="num" w:pos="4640"/>
        </w:tabs>
        <w:ind w:left="4640" w:hanging="360"/>
      </w:pPr>
      <w:rPr>
        <w:rFonts w:ascii="Wingdings" w:hAnsi="Wingdings" w:hint="default"/>
      </w:rPr>
    </w:lvl>
    <w:lvl w:ilvl="6" w:tplc="04090001" w:tentative="1">
      <w:start w:val="1"/>
      <w:numFmt w:val="bullet"/>
      <w:lvlText w:val=""/>
      <w:lvlJc w:val="left"/>
      <w:pPr>
        <w:tabs>
          <w:tab w:val="num" w:pos="5360"/>
        </w:tabs>
        <w:ind w:left="5360" w:hanging="360"/>
      </w:pPr>
      <w:rPr>
        <w:rFonts w:ascii="Symbol" w:hAnsi="Symbol" w:hint="default"/>
      </w:rPr>
    </w:lvl>
    <w:lvl w:ilvl="7" w:tplc="04090003" w:tentative="1">
      <w:start w:val="1"/>
      <w:numFmt w:val="bullet"/>
      <w:lvlText w:val="o"/>
      <w:lvlJc w:val="left"/>
      <w:pPr>
        <w:tabs>
          <w:tab w:val="num" w:pos="6080"/>
        </w:tabs>
        <w:ind w:left="6080" w:hanging="360"/>
      </w:pPr>
      <w:rPr>
        <w:rFonts w:ascii="Courier New" w:hAnsi="Courier New" w:cs="Courier New" w:hint="default"/>
      </w:rPr>
    </w:lvl>
    <w:lvl w:ilvl="8" w:tplc="04090005" w:tentative="1">
      <w:start w:val="1"/>
      <w:numFmt w:val="bullet"/>
      <w:lvlText w:val=""/>
      <w:lvlJc w:val="left"/>
      <w:pPr>
        <w:tabs>
          <w:tab w:val="num" w:pos="6800"/>
        </w:tabs>
        <w:ind w:left="6800" w:hanging="360"/>
      </w:pPr>
      <w:rPr>
        <w:rFonts w:ascii="Wingdings" w:hAnsi="Wingdings" w:hint="default"/>
      </w:rPr>
    </w:lvl>
  </w:abstractNum>
  <w:abstractNum w:abstractNumId="11" w15:restartNumberingAfterBreak="0">
    <w:nsid w:val="16126978"/>
    <w:multiLevelType w:val="hybridMultilevel"/>
    <w:tmpl w:val="E85CD212"/>
    <w:lvl w:ilvl="0" w:tplc="041A0001">
      <w:start w:val="1"/>
      <w:numFmt w:val="bullet"/>
      <w:lvlText w:val=""/>
      <w:lvlJc w:val="left"/>
      <w:pPr>
        <w:ind w:left="1069" w:hanging="360"/>
      </w:pPr>
      <w:rPr>
        <w:rFonts w:ascii="Symbol" w:hAnsi="Symbol" w:hint="default"/>
      </w:rPr>
    </w:lvl>
    <w:lvl w:ilvl="1" w:tplc="041A0019">
      <w:start w:val="1"/>
      <w:numFmt w:val="lowerLetter"/>
      <w:lvlText w:val="%2."/>
      <w:lvlJc w:val="left"/>
      <w:pPr>
        <w:ind w:left="1789" w:hanging="360"/>
      </w:pPr>
    </w:lvl>
    <w:lvl w:ilvl="2" w:tplc="041A001B">
      <w:start w:val="1"/>
      <w:numFmt w:val="lowerRoman"/>
      <w:lvlText w:val="%3."/>
      <w:lvlJc w:val="right"/>
      <w:pPr>
        <w:ind w:left="2509" w:hanging="180"/>
      </w:pPr>
    </w:lvl>
    <w:lvl w:ilvl="3" w:tplc="041A000F">
      <w:start w:val="1"/>
      <w:numFmt w:val="decimal"/>
      <w:lvlText w:val="%4."/>
      <w:lvlJc w:val="left"/>
      <w:pPr>
        <w:ind w:left="3229" w:hanging="360"/>
      </w:pPr>
    </w:lvl>
    <w:lvl w:ilvl="4" w:tplc="041A0019">
      <w:start w:val="1"/>
      <w:numFmt w:val="lowerLetter"/>
      <w:lvlText w:val="%5."/>
      <w:lvlJc w:val="left"/>
      <w:pPr>
        <w:ind w:left="3949" w:hanging="360"/>
      </w:pPr>
    </w:lvl>
    <w:lvl w:ilvl="5" w:tplc="041A001B">
      <w:start w:val="1"/>
      <w:numFmt w:val="lowerRoman"/>
      <w:lvlText w:val="%6."/>
      <w:lvlJc w:val="right"/>
      <w:pPr>
        <w:ind w:left="4669" w:hanging="180"/>
      </w:pPr>
    </w:lvl>
    <w:lvl w:ilvl="6" w:tplc="041A000F">
      <w:start w:val="1"/>
      <w:numFmt w:val="decimal"/>
      <w:lvlText w:val="%7."/>
      <w:lvlJc w:val="left"/>
      <w:pPr>
        <w:ind w:left="5389" w:hanging="360"/>
      </w:pPr>
    </w:lvl>
    <w:lvl w:ilvl="7" w:tplc="041A0019">
      <w:start w:val="1"/>
      <w:numFmt w:val="lowerLetter"/>
      <w:lvlText w:val="%8."/>
      <w:lvlJc w:val="left"/>
      <w:pPr>
        <w:ind w:left="6109" w:hanging="360"/>
      </w:pPr>
    </w:lvl>
    <w:lvl w:ilvl="8" w:tplc="041A001B">
      <w:start w:val="1"/>
      <w:numFmt w:val="lowerRoman"/>
      <w:lvlText w:val="%9."/>
      <w:lvlJc w:val="right"/>
      <w:pPr>
        <w:ind w:left="6829" w:hanging="180"/>
      </w:pPr>
    </w:lvl>
  </w:abstractNum>
  <w:abstractNum w:abstractNumId="12" w15:restartNumberingAfterBreak="0">
    <w:nsid w:val="183E26C5"/>
    <w:multiLevelType w:val="multilevel"/>
    <w:tmpl w:val="0E94A0FA"/>
    <w:lvl w:ilvl="0">
      <w:numFmt w:val="bullet"/>
      <w:lvlText w:val="-"/>
      <w:lvlJc w:val="left"/>
      <w:pPr>
        <w:ind w:left="720" w:hanging="360"/>
      </w:pPr>
      <w:rPr>
        <w:rFonts w:ascii="Calibri" w:eastAsia="Times New Roman" w:hAnsi="Calibri" w:cs="Calibri"/>
        <w:b/>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19730E80"/>
    <w:multiLevelType w:val="multilevel"/>
    <w:tmpl w:val="DF28BA9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4" w15:restartNumberingAfterBreak="0">
    <w:nsid w:val="1B717D71"/>
    <w:multiLevelType w:val="hybridMultilevel"/>
    <w:tmpl w:val="3C8EA87E"/>
    <w:lvl w:ilvl="0" w:tplc="89A2892E">
      <w:numFmt w:val="bullet"/>
      <w:lvlText w:val="-"/>
      <w:lvlJc w:val="left"/>
      <w:pPr>
        <w:tabs>
          <w:tab w:val="num" w:pos="1040"/>
        </w:tabs>
        <w:ind w:left="1040" w:hanging="360"/>
      </w:pPr>
      <w:rPr>
        <w:rFonts w:ascii="Arial" w:eastAsia="Times New Roman" w:hAnsi="Arial" w:cs="Arial" w:hint="default"/>
      </w:rPr>
    </w:lvl>
    <w:lvl w:ilvl="1" w:tplc="04090003">
      <w:start w:val="1"/>
      <w:numFmt w:val="bullet"/>
      <w:lvlText w:val="o"/>
      <w:lvlJc w:val="left"/>
      <w:pPr>
        <w:tabs>
          <w:tab w:val="num" w:pos="1760"/>
        </w:tabs>
        <w:ind w:left="1760" w:hanging="360"/>
      </w:pPr>
      <w:rPr>
        <w:rFonts w:ascii="Courier New" w:hAnsi="Courier New" w:cs="Courier New" w:hint="default"/>
      </w:rPr>
    </w:lvl>
    <w:lvl w:ilvl="2" w:tplc="04090005" w:tentative="1">
      <w:start w:val="1"/>
      <w:numFmt w:val="bullet"/>
      <w:lvlText w:val=""/>
      <w:lvlJc w:val="left"/>
      <w:pPr>
        <w:tabs>
          <w:tab w:val="num" w:pos="2480"/>
        </w:tabs>
        <w:ind w:left="2480" w:hanging="360"/>
      </w:pPr>
      <w:rPr>
        <w:rFonts w:ascii="Wingdings" w:hAnsi="Wingdings" w:hint="default"/>
      </w:rPr>
    </w:lvl>
    <w:lvl w:ilvl="3" w:tplc="04090001" w:tentative="1">
      <w:start w:val="1"/>
      <w:numFmt w:val="bullet"/>
      <w:lvlText w:val=""/>
      <w:lvlJc w:val="left"/>
      <w:pPr>
        <w:tabs>
          <w:tab w:val="num" w:pos="3200"/>
        </w:tabs>
        <w:ind w:left="3200" w:hanging="360"/>
      </w:pPr>
      <w:rPr>
        <w:rFonts w:ascii="Symbol" w:hAnsi="Symbol" w:hint="default"/>
      </w:rPr>
    </w:lvl>
    <w:lvl w:ilvl="4" w:tplc="04090003" w:tentative="1">
      <w:start w:val="1"/>
      <w:numFmt w:val="bullet"/>
      <w:lvlText w:val="o"/>
      <w:lvlJc w:val="left"/>
      <w:pPr>
        <w:tabs>
          <w:tab w:val="num" w:pos="3920"/>
        </w:tabs>
        <w:ind w:left="3920" w:hanging="360"/>
      </w:pPr>
      <w:rPr>
        <w:rFonts w:ascii="Courier New" w:hAnsi="Courier New" w:cs="Courier New" w:hint="default"/>
      </w:rPr>
    </w:lvl>
    <w:lvl w:ilvl="5" w:tplc="04090005" w:tentative="1">
      <w:start w:val="1"/>
      <w:numFmt w:val="bullet"/>
      <w:lvlText w:val=""/>
      <w:lvlJc w:val="left"/>
      <w:pPr>
        <w:tabs>
          <w:tab w:val="num" w:pos="4640"/>
        </w:tabs>
        <w:ind w:left="4640" w:hanging="360"/>
      </w:pPr>
      <w:rPr>
        <w:rFonts w:ascii="Wingdings" w:hAnsi="Wingdings" w:hint="default"/>
      </w:rPr>
    </w:lvl>
    <w:lvl w:ilvl="6" w:tplc="04090001" w:tentative="1">
      <w:start w:val="1"/>
      <w:numFmt w:val="bullet"/>
      <w:lvlText w:val=""/>
      <w:lvlJc w:val="left"/>
      <w:pPr>
        <w:tabs>
          <w:tab w:val="num" w:pos="5360"/>
        </w:tabs>
        <w:ind w:left="5360" w:hanging="360"/>
      </w:pPr>
      <w:rPr>
        <w:rFonts w:ascii="Symbol" w:hAnsi="Symbol" w:hint="default"/>
      </w:rPr>
    </w:lvl>
    <w:lvl w:ilvl="7" w:tplc="04090003" w:tentative="1">
      <w:start w:val="1"/>
      <w:numFmt w:val="bullet"/>
      <w:lvlText w:val="o"/>
      <w:lvlJc w:val="left"/>
      <w:pPr>
        <w:tabs>
          <w:tab w:val="num" w:pos="6080"/>
        </w:tabs>
        <w:ind w:left="6080" w:hanging="360"/>
      </w:pPr>
      <w:rPr>
        <w:rFonts w:ascii="Courier New" w:hAnsi="Courier New" w:cs="Courier New" w:hint="default"/>
      </w:rPr>
    </w:lvl>
    <w:lvl w:ilvl="8" w:tplc="04090005" w:tentative="1">
      <w:start w:val="1"/>
      <w:numFmt w:val="bullet"/>
      <w:lvlText w:val=""/>
      <w:lvlJc w:val="left"/>
      <w:pPr>
        <w:tabs>
          <w:tab w:val="num" w:pos="6800"/>
        </w:tabs>
        <w:ind w:left="6800" w:hanging="360"/>
      </w:pPr>
      <w:rPr>
        <w:rFonts w:ascii="Wingdings" w:hAnsi="Wingdings" w:hint="default"/>
      </w:rPr>
    </w:lvl>
  </w:abstractNum>
  <w:abstractNum w:abstractNumId="15" w15:restartNumberingAfterBreak="0">
    <w:nsid w:val="1BE72493"/>
    <w:multiLevelType w:val="hybridMultilevel"/>
    <w:tmpl w:val="BF12CC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DDB0ACB"/>
    <w:multiLevelType w:val="hybridMultilevel"/>
    <w:tmpl w:val="D43A6648"/>
    <w:lvl w:ilvl="0" w:tplc="389E5C28">
      <w:numFmt w:val="bullet"/>
      <w:lvlText w:val="-"/>
      <w:lvlJc w:val="left"/>
      <w:pPr>
        <w:ind w:left="1353" w:hanging="360"/>
      </w:pPr>
      <w:rPr>
        <w:rFonts w:ascii="Calibri" w:eastAsia="Times New Roman" w:hAnsi="Calibri" w:cs="Calibri"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E887631"/>
    <w:multiLevelType w:val="hybridMultilevel"/>
    <w:tmpl w:val="767A8A8E"/>
    <w:lvl w:ilvl="0" w:tplc="8572E7F6">
      <w:start w:val="4"/>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F6F0ED6"/>
    <w:multiLevelType w:val="hybridMultilevel"/>
    <w:tmpl w:val="E7381476"/>
    <w:lvl w:ilvl="0" w:tplc="89A2892E">
      <w:numFmt w:val="bullet"/>
      <w:lvlText w:val="-"/>
      <w:lvlJc w:val="left"/>
      <w:pPr>
        <w:tabs>
          <w:tab w:val="num" w:pos="1080"/>
        </w:tabs>
        <w:ind w:left="1080" w:hanging="360"/>
      </w:pPr>
      <w:rPr>
        <w:rFonts w:ascii="Arial" w:eastAsia="Times New Roman" w:hAnsi="Arial" w:cs="Aria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54E41676">
      <w:numFmt w:val="bullet"/>
      <w:lvlText w:val="–"/>
      <w:lvlJc w:val="left"/>
      <w:pPr>
        <w:tabs>
          <w:tab w:val="num" w:pos="2160"/>
        </w:tabs>
        <w:ind w:left="2160" w:hanging="360"/>
      </w:pPr>
      <w:rPr>
        <w:rFonts w:ascii="Times New Roman" w:eastAsia="Times New Roman" w:hAnsi="Times New Roman" w:cs="Times New Roman"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F774466"/>
    <w:multiLevelType w:val="hybridMultilevel"/>
    <w:tmpl w:val="115A2B82"/>
    <w:lvl w:ilvl="0" w:tplc="4CCA37E0">
      <w:start w:val="1"/>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FC87048"/>
    <w:multiLevelType w:val="multilevel"/>
    <w:tmpl w:val="A2DC824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20CD026C"/>
    <w:multiLevelType w:val="singleLevel"/>
    <w:tmpl w:val="BBE868AE"/>
    <w:lvl w:ilvl="0">
      <w:numFmt w:val="bullet"/>
      <w:pStyle w:val="T1PARAGRAPH"/>
      <w:lvlText w:val="-"/>
      <w:lvlJc w:val="left"/>
      <w:pPr>
        <w:tabs>
          <w:tab w:val="num" w:pos="720"/>
        </w:tabs>
        <w:ind w:left="720" w:hanging="720"/>
      </w:pPr>
      <w:rPr>
        <w:rFonts w:hint="default"/>
      </w:rPr>
    </w:lvl>
  </w:abstractNum>
  <w:abstractNum w:abstractNumId="22" w15:restartNumberingAfterBreak="0">
    <w:nsid w:val="22AE1F0A"/>
    <w:multiLevelType w:val="singleLevel"/>
    <w:tmpl w:val="04090001"/>
    <w:lvl w:ilvl="0">
      <w:start w:val="1"/>
      <w:numFmt w:val="bullet"/>
      <w:lvlText w:val=""/>
      <w:lvlJc w:val="left"/>
      <w:pPr>
        <w:ind w:left="360" w:hanging="360"/>
      </w:pPr>
      <w:rPr>
        <w:rFonts w:ascii="Symbol" w:hAnsi="Symbol" w:hint="default"/>
        <w:color w:val="auto"/>
        <w:sz w:val="24"/>
      </w:rPr>
    </w:lvl>
  </w:abstractNum>
  <w:abstractNum w:abstractNumId="23" w15:restartNumberingAfterBreak="0">
    <w:nsid w:val="26CC22CC"/>
    <w:multiLevelType w:val="multilevel"/>
    <w:tmpl w:val="179C3478"/>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4" w15:restartNumberingAfterBreak="0">
    <w:nsid w:val="27731460"/>
    <w:multiLevelType w:val="hybridMultilevel"/>
    <w:tmpl w:val="93B2AF26"/>
    <w:lvl w:ilvl="0" w:tplc="6BC62CD4">
      <w:numFmt w:val="bullet"/>
      <w:lvlText w:val="-"/>
      <w:lvlJc w:val="left"/>
      <w:pPr>
        <w:tabs>
          <w:tab w:val="num" w:pos="1800"/>
        </w:tabs>
        <w:ind w:left="1800" w:hanging="360"/>
      </w:pPr>
      <w:rPr>
        <w:rFonts w:ascii="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9251E38"/>
    <w:multiLevelType w:val="hybridMultilevel"/>
    <w:tmpl w:val="0708FA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96550F6"/>
    <w:multiLevelType w:val="hybridMultilevel"/>
    <w:tmpl w:val="4E1AA2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F9D635F"/>
    <w:multiLevelType w:val="hybridMultilevel"/>
    <w:tmpl w:val="F782CD12"/>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1775E1D"/>
    <w:multiLevelType w:val="multilevel"/>
    <w:tmpl w:val="8AE6149A"/>
    <w:lvl w:ilvl="0">
      <w:numFmt w:val="bullet"/>
      <w:lvlText w:val="-"/>
      <w:lvlJc w:val="left"/>
      <w:pPr>
        <w:ind w:left="643" w:hanging="360"/>
      </w:pPr>
      <w:rPr>
        <w:rFonts w:ascii="Arial" w:hAnsi="Arial" w:cs="Bodoni MT Black"/>
        <w:b w:val="0"/>
        <w:i w:val="0"/>
        <w:color w:val="auto"/>
        <w:sz w:val="20"/>
        <w:szCs w:val="24"/>
      </w:rPr>
    </w:lvl>
    <w:lvl w:ilvl="1">
      <w:numFmt w:val="bullet"/>
      <w:lvlText w:val="o"/>
      <w:lvlJc w:val="left"/>
      <w:pPr>
        <w:ind w:left="1363" w:hanging="360"/>
      </w:pPr>
      <w:rPr>
        <w:rFonts w:ascii="Courier New" w:hAnsi="Courier New" w:cs="Courier New"/>
      </w:rPr>
    </w:lvl>
    <w:lvl w:ilvl="2">
      <w:numFmt w:val="bullet"/>
      <w:lvlText w:val=""/>
      <w:lvlJc w:val="left"/>
      <w:pPr>
        <w:ind w:left="2083" w:hanging="360"/>
      </w:pPr>
      <w:rPr>
        <w:rFonts w:ascii="Wingdings" w:hAnsi="Wingdings"/>
      </w:rPr>
    </w:lvl>
    <w:lvl w:ilvl="3">
      <w:numFmt w:val="bullet"/>
      <w:lvlText w:val=""/>
      <w:lvlJc w:val="left"/>
      <w:pPr>
        <w:ind w:left="2803" w:hanging="360"/>
      </w:pPr>
      <w:rPr>
        <w:rFonts w:ascii="Symbol" w:hAnsi="Symbol"/>
      </w:rPr>
    </w:lvl>
    <w:lvl w:ilvl="4">
      <w:numFmt w:val="bullet"/>
      <w:lvlText w:val="o"/>
      <w:lvlJc w:val="left"/>
      <w:pPr>
        <w:ind w:left="3523" w:hanging="360"/>
      </w:pPr>
      <w:rPr>
        <w:rFonts w:ascii="Courier New" w:hAnsi="Courier New" w:cs="Courier New"/>
      </w:rPr>
    </w:lvl>
    <w:lvl w:ilvl="5">
      <w:numFmt w:val="bullet"/>
      <w:lvlText w:val=""/>
      <w:lvlJc w:val="left"/>
      <w:pPr>
        <w:ind w:left="4243" w:hanging="360"/>
      </w:pPr>
      <w:rPr>
        <w:rFonts w:ascii="Wingdings" w:hAnsi="Wingdings"/>
      </w:rPr>
    </w:lvl>
    <w:lvl w:ilvl="6">
      <w:numFmt w:val="bullet"/>
      <w:lvlText w:val=""/>
      <w:lvlJc w:val="left"/>
      <w:pPr>
        <w:ind w:left="4963" w:hanging="360"/>
      </w:pPr>
      <w:rPr>
        <w:rFonts w:ascii="Symbol" w:hAnsi="Symbol"/>
      </w:rPr>
    </w:lvl>
    <w:lvl w:ilvl="7">
      <w:numFmt w:val="bullet"/>
      <w:lvlText w:val="o"/>
      <w:lvlJc w:val="left"/>
      <w:pPr>
        <w:ind w:left="5683" w:hanging="360"/>
      </w:pPr>
      <w:rPr>
        <w:rFonts w:ascii="Courier New" w:hAnsi="Courier New" w:cs="Courier New"/>
      </w:rPr>
    </w:lvl>
    <w:lvl w:ilvl="8">
      <w:numFmt w:val="bullet"/>
      <w:lvlText w:val=""/>
      <w:lvlJc w:val="left"/>
      <w:pPr>
        <w:ind w:left="6403" w:hanging="360"/>
      </w:pPr>
      <w:rPr>
        <w:rFonts w:ascii="Wingdings" w:hAnsi="Wingdings"/>
      </w:rPr>
    </w:lvl>
  </w:abstractNum>
  <w:abstractNum w:abstractNumId="29" w15:restartNumberingAfterBreak="0">
    <w:nsid w:val="31DE52B1"/>
    <w:multiLevelType w:val="hybridMultilevel"/>
    <w:tmpl w:val="5518E032"/>
    <w:lvl w:ilvl="0" w:tplc="99A4ACE0">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527A39"/>
    <w:multiLevelType w:val="multilevel"/>
    <w:tmpl w:val="6E7035FC"/>
    <w:styleLink w:val="LFO6"/>
    <w:lvl w:ilvl="0">
      <w:start w:val="1"/>
      <w:numFmt w:val="decimal"/>
      <w:pStyle w:val="Bullet"/>
      <w:lvlText w:val="Example %1"/>
      <w:lvlJc w:val="left"/>
      <w:pPr>
        <w:ind w:left="720" w:hanging="720"/>
      </w:pPr>
      <w:rPr>
        <w:b/>
        <w:i w:val="0"/>
        <w:sz w:val="22"/>
      </w:rPr>
    </w:lvl>
    <w:lvl w:ilvl="1">
      <w:numFmt w:val="bullet"/>
      <w:lvlText w:val=""/>
      <w:lvlJc w:val="left"/>
      <w:pPr>
        <w:ind w:left="643" w:hanging="360"/>
      </w:pPr>
      <w:rPr>
        <w:rFonts w:ascii="Wingdings" w:hAnsi="Wingdings"/>
        <w:sz w:val="24"/>
      </w:rPr>
    </w:lvl>
    <w:lvl w:ilvl="2">
      <w:start w:val="1"/>
      <w:numFmt w:val="lowerRoman"/>
      <w:lvlText w:val="%3."/>
      <w:lvlJc w:val="right"/>
      <w:pPr>
        <w:ind w:left="2160" w:hanging="180"/>
      </w:pPr>
    </w:lvl>
    <w:lvl w:ilvl="3">
      <w:numFmt w:val="bullet"/>
      <w:lvlText w:val="•"/>
      <w:lvlJc w:val="left"/>
      <w:pPr>
        <w:ind w:left="3240" w:hanging="720"/>
      </w:pPr>
      <w:rPr>
        <w:rFonts w:ascii="Arial" w:eastAsia="Times New Roman" w:hAnsi="Arial" w:cs="Arial"/>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6046897"/>
    <w:multiLevelType w:val="hybridMultilevel"/>
    <w:tmpl w:val="49D60E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383743D1"/>
    <w:multiLevelType w:val="hybridMultilevel"/>
    <w:tmpl w:val="C9C872B4"/>
    <w:lvl w:ilvl="0" w:tplc="75AA5658">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3" w15:restartNumberingAfterBreak="0">
    <w:nsid w:val="3AF347B4"/>
    <w:multiLevelType w:val="hybridMultilevel"/>
    <w:tmpl w:val="132281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C6F3420"/>
    <w:multiLevelType w:val="hybridMultilevel"/>
    <w:tmpl w:val="F2240A1C"/>
    <w:lvl w:ilvl="0" w:tplc="99A4ACE0">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E42210D"/>
    <w:multiLevelType w:val="hybridMultilevel"/>
    <w:tmpl w:val="652CDBA2"/>
    <w:lvl w:ilvl="0" w:tplc="041A0017">
      <w:start w:val="1"/>
      <w:numFmt w:val="lowerLetter"/>
      <w:lvlText w:val="%1)"/>
      <w:lvlJc w:val="left"/>
      <w:pPr>
        <w:ind w:left="1428" w:hanging="360"/>
      </w:pPr>
    </w:lvl>
    <w:lvl w:ilvl="1" w:tplc="041A0019">
      <w:start w:val="1"/>
      <w:numFmt w:val="lowerLetter"/>
      <w:lvlText w:val="%2."/>
      <w:lvlJc w:val="left"/>
      <w:pPr>
        <w:ind w:left="2148" w:hanging="360"/>
      </w:pPr>
    </w:lvl>
    <w:lvl w:ilvl="2" w:tplc="041A001B">
      <w:start w:val="1"/>
      <w:numFmt w:val="lowerRoman"/>
      <w:lvlText w:val="%3."/>
      <w:lvlJc w:val="right"/>
      <w:pPr>
        <w:ind w:left="2868" w:hanging="180"/>
      </w:pPr>
    </w:lvl>
    <w:lvl w:ilvl="3" w:tplc="041A000F">
      <w:start w:val="1"/>
      <w:numFmt w:val="decimal"/>
      <w:lvlText w:val="%4."/>
      <w:lvlJc w:val="left"/>
      <w:pPr>
        <w:ind w:left="3588" w:hanging="360"/>
      </w:pPr>
    </w:lvl>
    <w:lvl w:ilvl="4" w:tplc="041A0019">
      <w:start w:val="1"/>
      <w:numFmt w:val="lowerLetter"/>
      <w:lvlText w:val="%5."/>
      <w:lvlJc w:val="left"/>
      <w:pPr>
        <w:ind w:left="4308" w:hanging="360"/>
      </w:pPr>
    </w:lvl>
    <w:lvl w:ilvl="5" w:tplc="041A001B">
      <w:start w:val="1"/>
      <w:numFmt w:val="lowerRoman"/>
      <w:lvlText w:val="%6."/>
      <w:lvlJc w:val="right"/>
      <w:pPr>
        <w:ind w:left="5028" w:hanging="180"/>
      </w:pPr>
    </w:lvl>
    <w:lvl w:ilvl="6" w:tplc="041A000F">
      <w:start w:val="1"/>
      <w:numFmt w:val="decimal"/>
      <w:lvlText w:val="%7."/>
      <w:lvlJc w:val="left"/>
      <w:pPr>
        <w:ind w:left="5748" w:hanging="360"/>
      </w:pPr>
    </w:lvl>
    <w:lvl w:ilvl="7" w:tplc="041A0019">
      <w:start w:val="1"/>
      <w:numFmt w:val="lowerLetter"/>
      <w:lvlText w:val="%8."/>
      <w:lvlJc w:val="left"/>
      <w:pPr>
        <w:ind w:left="6468" w:hanging="360"/>
      </w:pPr>
    </w:lvl>
    <w:lvl w:ilvl="8" w:tplc="041A001B">
      <w:start w:val="1"/>
      <w:numFmt w:val="lowerRoman"/>
      <w:lvlText w:val="%9."/>
      <w:lvlJc w:val="right"/>
      <w:pPr>
        <w:ind w:left="7188" w:hanging="180"/>
      </w:pPr>
    </w:lvl>
  </w:abstractNum>
  <w:abstractNum w:abstractNumId="36" w15:restartNumberingAfterBreak="0">
    <w:nsid w:val="3F376449"/>
    <w:multiLevelType w:val="hybridMultilevel"/>
    <w:tmpl w:val="2078E810"/>
    <w:lvl w:ilvl="0" w:tplc="389E5C28">
      <w:numFmt w:val="bullet"/>
      <w:lvlText w:val="-"/>
      <w:lvlJc w:val="left"/>
      <w:pPr>
        <w:ind w:left="720" w:hanging="360"/>
      </w:pPr>
      <w:rPr>
        <w:rFonts w:ascii="Calibri" w:eastAsia="Times New Roman" w:hAnsi="Calibri" w:cs="Calibri"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42283064"/>
    <w:multiLevelType w:val="hybridMultilevel"/>
    <w:tmpl w:val="FF9CB692"/>
    <w:lvl w:ilvl="0" w:tplc="DC1800CE">
      <w:numFmt w:val="bullet"/>
      <w:lvlText w:val=""/>
      <w:lvlJc w:val="left"/>
      <w:pPr>
        <w:ind w:left="1646" w:hanging="360"/>
      </w:pPr>
      <w:rPr>
        <w:rFonts w:ascii="Symbol" w:eastAsia="Times New Roman" w:hAnsi="Symbol" w:hint="default"/>
        <w:color w:val="auto"/>
      </w:rPr>
    </w:lvl>
    <w:lvl w:ilvl="1" w:tplc="54E41676">
      <w:numFmt w:val="bullet"/>
      <w:lvlText w:val="–"/>
      <w:lvlJc w:val="left"/>
      <w:pPr>
        <w:ind w:left="2366" w:hanging="360"/>
      </w:pPr>
      <w:rPr>
        <w:rFonts w:ascii="Times New Roman" w:eastAsia="Times New Roman" w:hAnsi="Times New Roman" w:cs="Times New Roman" w:hint="default"/>
      </w:rPr>
    </w:lvl>
    <w:lvl w:ilvl="2" w:tplc="041A0005">
      <w:start w:val="1"/>
      <w:numFmt w:val="bullet"/>
      <w:lvlText w:val=""/>
      <w:lvlJc w:val="left"/>
      <w:pPr>
        <w:ind w:left="3086" w:hanging="360"/>
      </w:pPr>
      <w:rPr>
        <w:rFonts w:ascii="Wingdings" w:hAnsi="Wingdings" w:hint="default"/>
      </w:rPr>
    </w:lvl>
    <w:lvl w:ilvl="3" w:tplc="041A0001" w:tentative="1">
      <w:start w:val="1"/>
      <w:numFmt w:val="bullet"/>
      <w:lvlText w:val=""/>
      <w:lvlJc w:val="left"/>
      <w:pPr>
        <w:ind w:left="3806" w:hanging="360"/>
      </w:pPr>
      <w:rPr>
        <w:rFonts w:ascii="Symbol" w:hAnsi="Symbol" w:hint="default"/>
      </w:rPr>
    </w:lvl>
    <w:lvl w:ilvl="4" w:tplc="041A0003" w:tentative="1">
      <w:start w:val="1"/>
      <w:numFmt w:val="bullet"/>
      <w:lvlText w:val="o"/>
      <w:lvlJc w:val="left"/>
      <w:pPr>
        <w:ind w:left="4526" w:hanging="360"/>
      </w:pPr>
      <w:rPr>
        <w:rFonts w:ascii="Courier New" w:hAnsi="Courier New" w:cs="Courier New" w:hint="default"/>
      </w:rPr>
    </w:lvl>
    <w:lvl w:ilvl="5" w:tplc="041A0005" w:tentative="1">
      <w:start w:val="1"/>
      <w:numFmt w:val="bullet"/>
      <w:lvlText w:val=""/>
      <w:lvlJc w:val="left"/>
      <w:pPr>
        <w:ind w:left="5246" w:hanging="360"/>
      </w:pPr>
      <w:rPr>
        <w:rFonts w:ascii="Wingdings" w:hAnsi="Wingdings" w:hint="default"/>
      </w:rPr>
    </w:lvl>
    <w:lvl w:ilvl="6" w:tplc="041A0001" w:tentative="1">
      <w:start w:val="1"/>
      <w:numFmt w:val="bullet"/>
      <w:lvlText w:val=""/>
      <w:lvlJc w:val="left"/>
      <w:pPr>
        <w:ind w:left="5966" w:hanging="360"/>
      </w:pPr>
      <w:rPr>
        <w:rFonts w:ascii="Symbol" w:hAnsi="Symbol" w:hint="default"/>
      </w:rPr>
    </w:lvl>
    <w:lvl w:ilvl="7" w:tplc="041A0003" w:tentative="1">
      <w:start w:val="1"/>
      <w:numFmt w:val="bullet"/>
      <w:lvlText w:val="o"/>
      <w:lvlJc w:val="left"/>
      <w:pPr>
        <w:ind w:left="6686" w:hanging="360"/>
      </w:pPr>
      <w:rPr>
        <w:rFonts w:ascii="Courier New" w:hAnsi="Courier New" w:cs="Courier New" w:hint="default"/>
      </w:rPr>
    </w:lvl>
    <w:lvl w:ilvl="8" w:tplc="041A0005" w:tentative="1">
      <w:start w:val="1"/>
      <w:numFmt w:val="bullet"/>
      <w:lvlText w:val=""/>
      <w:lvlJc w:val="left"/>
      <w:pPr>
        <w:ind w:left="7406" w:hanging="360"/>
      </w:pPr>
      <w:rPr>
        <w:rFonts w:ascii="Wingdings" w:hAnsi="Wingdings" w:hint="default"/>
      </w:rPr>
    </w:lvl>
  </w:abstractNum>
  <w:abstractNum w:abstractNumId="38" w15:restartNumberingAfterBreak="0">
    <w:nsid w:val="43ED2906"/>
    <w:multiLevelType w:val="hybridMultilevel"/>
    <w:tmpl w:val="2CA88C12"/>
    <w:lvl w:ilvl="0" w:tplc="04090001">
      <w:start w:val="1"/>
      <w:numFmt w:val="bullet"/>
      <w:lvlText w:val=""/>
      <w:lvlJc w:val="left"/>
      <w:pPr>
        <w:tabs>
          <w:tab w:val="num" w:pos="1040"/>
        </w:tabs>
        <w:ind w:left="1040" w:hanging="360"/>
      </w:pPr>
      <w:rPr>
        <w:rFonts w:ascii="Symbol" w:hAnsi="Symbol" w:hint="default"/>
      </w:rPr>
    </w:lvl>
    <w:lvl w:ilvl="1" w:tplc="04090003">
      <w:start w:val="1"/>
      <w:numFmt w:val="bullet"/>
      <w:lvlText w:val="o"/>
      <w:lvlJc w:val="left"/>
      <w:pPr>
        <w:tabs>
          <w:tab w:val="num" w:pos="1760"/>
        </w:tabs>
        <w:ind w:left="1760" w:hanging="360"/>
      </w:pPr>
      <w:rPr>
        <w:rFonts w:ascii="Courier New" w:hAnsi="Courier New" w:cs="Courier New" w:hint="default"/>
      </w:rPr>
    </w:lvl>
    <w:lvl w:ilvl="2" w:tplc="04090005" w:tentative="1">
      <w:start w:val="1"/>
      <w:numFmt w:val="bullet"/>
      <w:lvlText w:val=""/>
      <w:lvlJc w:val="left"/>
      <w:pPr>
        <w:tabs>
          <w:tab w:val="num" w:pos="2480"/>
        </w:tabs>
        <w:ind w:left="2480" w:hanging="360"/>
      </w:pPr>
      <w:rPr>
        <w:rFonts w:ascii="Wingdings" w:hAnsi="Wingdings" w:hint="default"/>
      </w:rPr>
    </w:lvl>
    <w:lvl w:ilvl="3" w:tplc="04090001" w:tentative="1">
      <w:start w:val="1"/>
      <w:numFmt w:val="bullet"/>
      <w:lvlText w:val=""/>
      <w:lvlJc w:val="left"/>
      <w:pPr>
        <w:tabs>
          <w:tab w:val="num" w:pos="3200"/>
        </w:tabs>
        <w:ind w:left="3200" w:hanging="360"/>
      </w:pPr>
      <w:rPr>
        <w:rFonts w:ascii="Symbol" w:hAnsi="Symbol" w:hint="default"/>
      </w:rPr>
    </w:lvl>
    <w:lvl w:ilvl="4" w:tplc="04090003" w:tentative="1">
      <w:start w:val="1"/>
      <w:numFmt w:val="bullet"/>
      <w:lvlText w:val="o"/>
      <w:lvlJc w:val="left"/>
      <w:pPr>
        <w:tabs>
          <w:tab w:val="num" w:pos="3920"/>
        </w:tabs>
        <w:ind w:left="3920" w:hanging="360"/>
      </w:pPr>
      <w:rPr>
        <w:rFonts w:ascii="Courier New" w:hAnsi="Courier New" w:cs="Courier New" w:hint="default"/>
      </w:rPr>
    </w:lvl>
    <w:lvl w:ilvl="5" w:tplc="04090005" w:tentative="1">
      <w:start w:val="1"/>
      <w:numFmt w:val="bullet"/>
      <w:lvlText w:val=""/>
      <w:lvlJc w:val="left"/>
      <w:pPr>
        <w:tabs>
          <w:tab w:val="num" w:pos="4640"/>
        </w:tabs>
        <w:ind w:left="4640" w:hanging="360"/>
      </w:pPr>
      <w:rPr>
        <w:rFonts w:ascii="Wingdings" w:hAnsi="Wingdings" w:hint="default"/>
      </w:rPr>
    </w:lvl>
    <w:lvl w:ilvl="6" w:tplc="04090001" w:tentative="1">
      <w:start w:val="1"/>
      <w:numFmt w:val="bullet"/>
      <w:lvlText w:val=""/>
      <w:lvlJc w:val="left"/>
      <w:pPr>
        <w:tabs>
          <w:tab w:val="num" w:pos="5360"/>
        </w:tabs>
        <w:ind w:left="5360" w:hanging="360"/>
      </w:pPr>
      <w:rPr>
        <w:rFonts w:ascii="Symbol" w:hAnsi="Symbol" w:hint="default"/>
      </w:rPr>
    </w:lvl>
    <w:lvl w:ilvl="7" w:tplc="04090003" w:tentative="1">
      <w:start w:val="1"/>
      <w:numFmt w:val="bullet"/>
      <w:lvlText w:val="o"/>
      <w:lvlJc w:val="left"/>
      <w:pPr>
        <w:tabs>
          <w:tab w:val="num" w:pos="6080"/>
        </w:tabs>
        <w:ind w:left="6080" w:hanging="360"/>
      </w:pPr>
      <w:rPr>
        <w:rFonts w:ascii="Courier New" w:hAnsi="Courier New" w:cs="Courier New" w:hint="default"/>
      </w:rPr>
    </w:lvl>
    <w:lvl w:ilvl="8" w:tplc="04090005" w:tentative="1">
      <w:start w:val="1"/>
      <w:numFmt w:val="bullet"/>
      <w:lvlText w:val=""/>
      <w:lvlJc w:val="left"/>
      <w:pPr>
        <w:tabs>
          <w:tab w:val="num" w:pos="6800"/>
        </w:tabs>
        <w:ind w:left="6800" w:hanging="360"/>
      </w:pPr>
      <w:rPr>
        <w:rFonts w:ascii="Wingdings" w:hAnsi="Wingdings" w:hint="default"/>
      </w:rPr>
    </w:lvl>
  </w:abstractNum>
  <w:abstractNum w:abstractNumId="39" w15:restartNumberingAfterBreak="0">
    <w:nsid w:val="451A4568"/>
    <w:multiLevelType w:val="multilevel"/>
    <w:tmpl w:val="BDA84A00"/>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0" w15:restartNumberingAfterBreak="0">
    <w:nsid w:val="47AF4B18"/>
    <w:multiLevelType w:val="hybridMultilevel"/>
    <w:tmpl w:val="5EEA9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486F0EB4"/>
    <w:multiLevelType w:val="hybridMultilevel"/>
    <w:tmpl w:val="8390B09A"/>
    <w:lvl w:ilvl="0" w:tplc="8572E7F6">
      <w:start w:val="4"/>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4AD0601E"/>
    <w:multiLevelType w:val="multilevel"/>
    <w:tmpl w:val="717AE15E"/>
    <w:lvl w:ilvl="0">
      <w:start w:val="1"/>
      <w:numFmt w:val="bullet"/>
      <w:lvlText w:val=""/>
      <w:lvlJc w:val="left"/>
      <w:pPr>
        <w:ind w:left="720" w:hanging="360"/>
      </w:pPr>
      <w:rPr>
        <w:rFonts w:ascii="Symbol" w:hAnsi="Symbol" w:hint="default"/>
        <w:color w:val="auto"/>
        <w:sz w:val="2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3" w15:restartNumberingAfterBreak="0">
    <w:nsid w:val="4C6D4680"/>
    <w:multiLevelType w:val="hybridMultilevel"/>
    <w:tmpl w:val="FD347504"/>
    <w:lvl w:ilvl="0" w:tplc="041A0017">
      <w:start w:val="1"/>
      <w:numFmt w:val="lowerLetter"/>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4" w15:restartNumberingAfterBreak="0">
    <w:nsid w:val="4E777516"/>
    <w:multiLevelType w:val="hybridMultilevel"/>
    <w:tmpl w:val="263069B0"/>
    <w:lvl w:ilvl="0" w:tplc="041A0011">
      <w:start w:val="1"/>
      <w:numFmt w:val="decimal"/>
      <w:lvlText w:val="%1)"/>
      <w:lvlJc w:val="left"/>
      <w:pPr>
        <w:ind w:left="720" w:hanging="360"/>
      </w:p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5" w15:restartNumberingAfterBreak="0">
    <w:nsid w:val="51AB422E"/>
    <w:multiLevelType w:val="hybridMultilevel"/>
    <w:tmpl w:val="2870C9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528D3AF7"/>
    <w:multiLevelType w:val="hybridMultilevel"/>
    <w:tmpl w:val="AF223AF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7" w15:restartNumberingAfterBreak="0">
    <w:nsid w:val="54603FBB"/>
    <w:multiLevelType w:val="hybridMultilevel"/>
    <w:tmpl w:val="226E37CA"/>
    <w:lvl w:ilvl="0" w:tplc="38465924">
      <w:start w:val="1"/>
      <w:numFmt w:val="bullet"/>
      <w:lvlText w:val="-"/>
      <w:lvlJc w:val="left"/>
      <w:pPr>
        <w:tabs>
          <w:tab w:val="num" w:pos="720"/>
        </w:tabs>
        <w:ind w:left="720" w:hanging="360"/>
      </w:pPr>
      <w:rPr>
        <w:rFonts w:ascii="Arial" w:eastAsia="Times New Roman" w:hAnsi="Arial" w:cs="Aria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CED4BEA"/>
    <w:multiLevelType w:val="hybridMultilevel"/>
    <w:tmpl w:val="03AE66E0"/>
    <w:lvl w:ilvl="0" w:tplc="63926100">
      <w:start w:val="1"/>
      <w:numFmt w:val="bullet"/>
      <w:lvlText w:val=""/>
      <w:lvlJc w:val="left"/>
      <w:pPr>
        <w:tabs>
          <w:tab w:val="num" w:pos="340"/>
        </w:tabs>
        <w:ind w:left="340" w:hanging="170"/>
      </w:pPr>
      <w:rPr>
        <w:rFonts w:ascii="Symbol" w:hAnsi="Symbol" w:hint="default"/>
      </w:rPr>
    </w:lvl>
    <w:lvl w:ilvl="1" w:tplc="041A0003" w:tentative="1">
      <w:start w:val="1"/>
      <w:numFmt w:val="bullet"/>
      <w:lvlText w:val="o"/>
      <w:lvlJc w:val="left"/>
      <w:pPr>
        <w:tabs>
          <w:tab w:val="num" w:pos="1610"/>
        </w:tabs>
        <w:ind w:left="1610" w:hanging="360"/>
      </w:pPr>
      <w:rPr>
        <w:rFonts w:ascii="Courier New" w:hAnsi="Courier New" w:cs="Courier New" w:hint="default"/>
      </w:rPr>
    </w:lvl>
    <w:lvl w:ilvl="2" w:tplc="041A0005" w:tentative="1">
      <w:start w:val="1"/>
      <w:numFmt w:val="bullet"/>
      <w:lvlText w:val=""/>
      <w:lvlJc w:val="left"/>
      <w:pPr>
        <w:tabs>
          <w:tab w:val="num" w:pos="2330"/>
        </w:tabs>
        <w:ind w:left="2330" w:hanging="360"/>
      </w:pPr>
      <w:rPr>
        <w:rFonts w:ascii="Wingdings" w:hAnsi="Wingdings" w:hint="default"/>
      </w:rPr>
    </w:lvl>
    <w:lvl w:ilvl="3" w:tplc="041A0001" w:tentative="1">
      <w:start w:val="1"/>
      <w:numFmt w:val="bullet"/>
      <w:lvlText w:val=""/>
      <w:lvlJc w:val="left"/>
      <w:pPr>
        <w:tabs>
          <w:tab w:val="num" w:pos="3050"/>
        </w:tabs>
        <w:ind w:left="3050" w:hanging="360"/>
      </w:pPr>
      <w:rPr>
        <w:rFonts w:ascii="Symbol" w:hAnsi="Symbol" w:hint="default"/>
      </w:rPr>
    </w:lvl>
    <w:lvl w:ilvl="4" w:tplc="041A0003" w:tentative="1">
      <w:start w:val="1"/>
      <w:numFmt w:val="bullet"/>
      <w:lvlText w:val="o"/>
      <w:lvlJc w:val="left"/>
      <w:pPr>
        <w:tabs>
          <w:tab w:val="num" w:pos="3770"/>
        </w:tabs>
        <w:ind w:left="3770" w:hanging="360"/>
      </w:pPr>
      <w:rPr>
        <w:rFonts w:ascii="Courier New" w:hAnsi="Courier New" w:cs="Courier New" w:hint="default"/>
      </w:rPr>
    </w:lvl>
    <w:lvl w:ilvl="5" w:tplc="041A0005" w:tentative="1">
      <w:start w:val="1"/>
      <w:numFmt w:val="bullet"/>
      <w:lvlText w:val=""/>
      <w:lvlJc w:val="left"/>
      <w:pPr>
        <w:tabs>
          <w:tab w:val="num" w:pos="4490"/>
        </w:tabs>
        <w:ind w:left="4490" w:hanging="360"/>
      </w:pPr>
      <w:rPr>
        <w:rFonts w:ascii="Wingdings" w:hAnsi="Wingdings" w:hint="default"/>
      </w:rPr>
    </w:lvl>
    <w:lvl w:ilvl="6" w:tplc="041A0001" w:tentative="1">
      <w:start w:val="1"/>
      <w:numFmt w:val="bullet"/>
      <w:lvlText w:val=""/>
      <w:lvlJc w:val="left"/>
      <w:pPr>
        <w:tabs>
          <w:tab w:val="num" w:pos="5210"/>
        </w:tabs>
        <w:ind w:left="5210" w:hanging="360"/>
      </w:pPr>
      <w:rPr>
        <w:rFonts w:ascii="Symbol" w:hAnsi="Symbol" w:hint="default"/>
      </w:rPr>
    </w:lvl>
    <w:lvl w:ilvl="7" w:tplc="041A0003" w:tentative="1">
      <w:start w:val="1"/>
      <w:numFmt w:val="bullet"/>
      <w:lvlText w:val="o"/>
      <w:lvlJc w:val="left"/>
      <w:pPr>
        <w:tabs>
          <w:tab w:val="num" w:pos="5930"/>
        </w:tabs>
        <w:ind w:left="5930" w:hanging="360"/>
      </w:pPr>
      <w:rPr>
        <w:rFonts w:ascii="Courier New" w:hAnsi="Courier New" w:cs="Courier New" w:hint="default"/>
      </w:rPr>
    </w:lvl>
    <w:lvl w:ilvl="8" w:tplc="041A0005" w:tentative="1">
      <w:start w:val="1"/>
      <w:numFmt w:val="bullet"/>
      <w:lvlText w:val=""/>
      <w:lvlJc w:val="left"/>
      <w:pPr>
        <w:tabs>
          <w:tab w:val="num" w:pos="6650"/>
        </w:tabs>
        <w:ind w:left="6650" w:hanging="360"/>
      </w:pPr>
      <w:rPr>
        <w:rFonts w:ascii="Wingdings" w:hAnsi="Wingdings" w:hint="default"/>
      </w:rPr>
    </w:lvl>
  </w:abstractNum>
  <w:abstractNum w:abstractNumId="49" w15:restartNumberingAfterBreak="0">
    <w:nsid w:val="5E4135BF"/>
    <w:multiLevelType w:val="hybridMultilevel"/>
    <w:tmpl w:val="5970848C"/>
    <w:lvl w:ilvl="0" w:tplc="45BA4690">
      <w:start w:val="1"/>
      <w:numFmt w:val="bullet"/>
      <w:lvlText w:val="­"/>
      <w:lvlJc w:val="left"/>
      <w:pPr>
        <w:ind w:left="720" w:hanging="360"/>
      </w:pPr>
      <w:rPr>
        <w:rFonts w:ascii="Courier New" w:hAnsi="Courier Ne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0" w15:restartNumberingAfterBreak="0">
    <w:nsid w:val="62DE2000"/>
    <w:multiLevelType w:val="hybridMultilevel"/>
    <w:tmpl w:val="A6B287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65B50E0F"/>
    <w:multiLevelType w:val="hybridMultilevel"/>
    <w:tmpl w:val="304C2C5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6986058B"/>
    <w:multiLevelType w:val="hybridMultilevel"/>
    <w:tmpl w:val="047E987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3" w15:restartNumberingAfterBreak="0">
    <w:nsid w:val="6E9D5019"/>
    <w:multiLevelType w:val="hybridMultilevel"/>
    <w:tmpl w:val="4F4816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7FCB58C6"/>
    <w:multiLevelType w:val="hybridMultilevel"/>
    <w:tmpl w:val="D8F8249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1"/>
  </w:num>
  <w:num w:numId="2">
    <w:abstractNumId w:val="47"/>
  </w:num>
  <w:num w:numId="3">
    <w:abstractNumId w:val="27"/>
  </w:num>
  <w:num w:numId="4">
    <w:abstractNumId w:val="5"/>
  </w:num>
  <w:num w:numId="5">
    <w:abstractNumId w:val="3"/>
  </w:num>
  <w:num w:numId="6">
    <w:abstractNumId w:val="18"/>
  </w:num>
  <w:num w:numId="7">
    <w:abstractNumId w:val="10"/>
  </w:num>
  <w:num w:numId="8">
    <w:abstractNumId w:val="4"/>
  </w:num>
  <w:num w:numId="9">
    <w:abstractNumId w:val="43"/>
  </w:num>
  <w:num w:numId="10">
    <w:abstractNumId w:val="8"/>
  </w:num>
  <w:num w:numId="11">
    <w:abstractNumId w:val="37"/>
  </w:num>
  <w:num w:numId="12">
    <w:abstractNumId w:val="48"/>
  </w:num>
  <w:num w:numId="13">
    <w:abstractNumId w:val="24"/>
  </w:num>
  <w:num w:numId="14">
    <w:abstractNumId w:val="17"/>
  </w:num>
  <w:num w:numId="15">
    <w:abstractNumId w:val="16"/>
  </w:num>
  <w:num w:numId="1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14"/>
  </w:num>
  <w:num w:numId="19">
    <w:abstractNumId w:val="44"/>
    <w:lvlOverride w:ilvl="0">
      <w:startOverride w:val="1"/>
    </w:lvlOverride>
    <w:lvlOverride w:ilvl="1"/>
    <w:lvlOverride w:ilvl="2"/>
    <w:lvlOverride w:ilvl="3"/>
    <w:lvlOverride w:ilvl="4"/>
    <w:lvlOverride w:ilvl="5"/>
    <w:lvlOverride w:ilvl="6"/>
    <w:lvlOverride w:ilvl="7"/>
    <w:lvlOverride w:ilvl="8"/>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15"/>
  </w:num>
  <w:num w:numId="23">
    <w:abstractNumId w:val="25"/>
  </w:num>
  <w:num w:numId="24">
    <w:abstractNumId w:val="51"/>
  </w:num>
  <w:num w:numId="25">
    <w:abstractNumId w:val="40"/>
  </w:num>
  <w:num w:numId="26">
    <w:abstractNumId w:val="45"/>
  </w:num>
  <w:num w:numId="27">
    <w:abstractNumId w:val="31"/>
  </w:num>
  <w:num w:numId="28">
    <w:abstractNumId w:val="54"/>
  </w:num>
  <w:num w:numId="29">
    <w:abstractNumId w:val="50"/>
  </w:num>
  <w:num w:numId="30">
    <w:abstractNumId w:val="6"/>
  </w:num>
  <w:num w:numId="31">
    <w:abstractNumId w:val="2"/>
  </w:num>
  <w:num w:numId="32">
    <w:abstractNumId w:val="26"/>
  </w:num>
  <w:num w:numId="33">
    <w:abstractNumId w:val="53"/>
  </w:num>
  <w:num w:numId="34">
    <w:abstractNumId w:val="38"/>
  </w:num>
  <w:num w:numId="3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num>
  <w:num w:numId="37">
    <w:abstractNumId w:val="19"/>
  </w:num>
  <w:num w:numId="38">
    <w:abstractNumId w:val="1"/>
  </w:num>
  <w:num w:numId="39">
    <w:abstractNumId w:val="52"/>
  </w:num>
  <w:num w:numId="40">
    <w:abstractNumId w:val="41"/>
  </w:num>
  <w:num w:numId="41">
    <w:abstractNumId w:val="39"/>
  </w:num>
  <w:num w:numId="42">
    <w:abstractNumId w:val="13"/>
  </w:num>
  <w:num w:numId="43">
    <w:abstractNumId w:val="12"/>
  </w:num>
  <w:num w:numId="44">
    <w:abstractNumId w:val="20"/>
  </w:num>
  <w:num w:numId="45">
    <w:abstractNumId w:val="28"/>
  </w:num>
  <w:num w:numId="46">
    <w:abstractNumId w:val="44"/>
  </w:num>
  <w:num w:numId="47">
    <w:abstractNumId w:val="7"/>
  </w:num>
  <w:num w:numId="48">
    <w:abstractNumId w:val="46"/>
  </w:num>
  <w:num w:numId="49">
    <w:abstractNumId w:val="32"/>
  </w:num>
  <w:num w:numId="50">
    <w:abstractNumId w:val="49"/>
  </w:num>
  <w:num w:numId="51">
    <w:abstractNumId w:val="22"/>
  </w:num>
  <w:num w:numId="52">
    <w:abstractNumId w:val="30"/>
  </w:num>
  <w:num w:numId="53">
    <w:abstractNumId w:val="29"/>
  </w:num>
  <w:num w:numId="54">
    <w:abstractNumId w:val="33"/>
  </w:num>
  <w:num w:numId="55">
    <w:abstractNumId w:val="42"/>
  </w:num>
  <w:num w:numId="56">
    <w:abstractNumId w:val="34"/>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680"/>
  <w:hyphenationZone w:val="425"/>
  <w:drawingGridHorizontalSpacing w:val="120"/>
  <w:displayHorizontalDrawingGridEvery w:val="2"/>
  <w:displayVerticalDrawingGridEvery w:val="2"/>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S2DocOpenMode" w:val="AS2DocumentEdit"/>
  </w:docVars>
  <w:rsids>
    <w:rsidRoot w:val="00A6761C"/>
    <w:rsid w:val="0000048D"/>
    <w:rsid w:val="000007F7"/>
    <w:rsid w:val="00000A59"/>
    <w:rsid w:val="00000C3C"/>
    <w:rsid w:val="00000E9B"/>
    <w:rsid w:val="00000F91"/>
    <w:rsid w:val="0000106F"/>
    <w:rsid w:val="0000158A"/>
    <w:rsid w:val="00001C9C"/>
    <w:rsid w:val="00001F26"/>
    <w:rsid w:val="00002051"/>
    <w:rsid w:val="0000210E"/>
    <w:rsid w:val="00002249"/>
    <w:rsid w:val="0000257E"/>
    <w:rsid w:val="00002655"/>
    <w:rsid w:val="00002662"/>
    <w:rsid w:val="00003051"/>
    <w:rsid w:val="00003136"/>
    <w:rsid w:val="0000325C"/>
    <w:rsid w:val="000033EF"/>
    <w:rsid w:val="0000381C"/>
    <w:rsid w:val="00003851"/>
    <w:rsid w:val="00003EA6"/>
    <w:rsid w:val="000040E6"/>
    <w:rsid w:val="0000422D"/>
    <w:rsid w:val="000046C6"/>
    <w:rsid w:val="00004AAF"/>
    <w:rsid w:val="00004E3E"/>
    <w:rsid w:val="00005BE1"/>
    <w:rsid w:val="00005D94"/>
    <w:rsid w:val="0000688A"/>
    <w:rsid w:val="00006F7B"/>
    <w:rsid w:val="00006FCC"/>
    <w:rsid w:val="00007165"/>
    <w:rsid w:val="00007290"/>
    <w:rsid w:val="0000778D"/>
    <w:rsid w:val="000078BF"/>
    <w:rsid w:val="0000793E"/>
    <w:rsid w:val="0000793F"/>
    <w:rsid w:val="00007D74"/>
    <w:rsid w:val="000103F0"/>
    <w:rsid w:val="00010DD5"/>
    <w:rsid w:val="0001101C"/>
    <w:rsid w:val="00011E7A"/>
    <w:rsid w:val="00012023"/>
    <w:rsid w:val="000120C1"/>
    <w:rsid w:val="00012250"/>
    <w:rsid w:val="00012D77"/>
    <w:rsid w:val="00013192"/>
    <w:rsid w:val="000131A2"/>
    <w:rsid w:val="000132C3"/>
    <w:rsid w:val="00013AD1"/>
    <w:rsid w:val="00013E33"/>
    <w:rsid w:val="00013F72"/>
    <w:rsid w:val="00013FA6"/>
    <w:rsid w:val="000148F3"/>
    <w:rsid w:val="00014EE0"/>
    <w:rsid w:val="00015326"/>
    <w:rsid w:val="0001590F"/>
    <w:rsid w:val="00015F4E"/>
    <w:rsid w:val="00016039"/>
    <w:rsid w:val="00016236"/>
    <w:rsid w:val="0001642B"/>
    <w:rsid w:val="000167DF"/>
    <w:rsid w:val="00016B15"/>
    <w:rsid w:val="00016B18"/>
    <w:rsid w:val="00016C98"/>
    <w:rsid w:val="0001704A"/>
    <w:rsid w:val="000179C9"/>
    <w:rsid w:val="00017C0F"/>
    <w:rsid w:val="00017C2D"/>
    <w:rsid w:val="00017D91"/>
    <w:rsid w:val="000200BF"/>
    <w:rsid w:val="000203A0"/>
    <w:rsid w:val="0002085D"/>
    <w:rsid w:val="00020BB4"/>
    <w:rsid w:val="00021182"/>
    <w:rsid w:val="0002177D"/>
    <w:rsid w:val="000217AC"/>
    <w:rsid w:val="00021A51"/>
    <w:rsid w:val="00021BC5"/>
    <w:rsid w:val="00021DAD"/>
    <w:rsid w:val="00021EFC"/>
    <w:rsid w:val="000222F5"/>
    <w:rsid w:val="000226AE"/>
    <w:rsid w:val="00023393"/>
    <w:rsid w:val="00023967"/>
    <w:rsid w:val="00023AE3"/>
    <w:rsid w:val="00023AE8"/>
    <w:rsid w:val="00023C6E"/>
    <w:rsid w:val="0002452D"/>
    <w:rsid w:val="00024C6D"/>
    <w:rsid w:val="00024DC3"/>
    <w:rsid w:val="00024FF3"/>
    <w:rsid w:val="0002528C"/>
    <w:rsid w:val="000254B1"/>
    <w:rsid w:val="00025D3F"/>
    <w:rsid w:val="00026249"/>
    <w:rsid w:val="0002651F"/>
    <w:rsid w:val="00026A01"/>
    <w:rsid w:val="00026B05"/>
    <w:rsid w:val="000272A5"/>
    <w:rsid w:val="00027945"/>
    <w:rsid w:val="00027D49"/>
    <w:rsid w:val="00027DBF"/>
    <w:rsid w:val="00027E56"/>
    <w:rsid w:val="00030139"/>
    <w:rsid w:val="000303E4"/>
    <w:rsid w:val="00030D99"/>
    <w:rsid w:val="0003112D"/>
    <w:rsid w:val="000314C4"/>
    <w:rsid w:val="0003174B"/>
    <w:rsid w:val="00031899"/>
    <w:rsid w:val="00031A55"/>
    <w:rsid w:val="00031CC2"/>
    <w:rsid w:val="00031D93"/>
    <w:rsid w:val="00032C57"/>
    <w:rsid w:val="0003300F"/>
    <w:rsid w:val="00034A3D"/>
    <w:rsid w:val="0003519B"/>
    <w:rsid w:val="000354DE"/>
    <w:rsid w:val="00035C30"/>
    <w:rsid w:val="00036301"/>
    <w:rsid w:val="00036307"/>
    <w:rsid w:val="00036358"/>
    <w:rsid w:val="00036D79"/>
    <w:rsid w:val="00036E60"/>
    <w:rsid w:val="00036F9B"/>
    <w:rsid w:val="00037AE2"/>
    <w:rsid w:val="00037C34"/>
    <w:rsid w:val="00041081"/>
    <w:rsid w:val="0004108F"/>
    <w:rsid w:val="000410F1"/>
    <w:rsid w:val="00041F36"/>
    <w:rsid w:val="00041F40"/>
    <w:rsid w:val="000420D5"/>
    <w:rsid w:val="000420F9"/>
    <w:rsid w:val="000425E4"/>
    <w:rsid w:val="00042609"/>
    <w:rsid w:val="0004275F"/>
    <w:rsid w:val="000427EA"/>
    <w:rsid w:val="000428C8"/>
    <w:rsid w:val="00042ACB"/>
    <w:rsid w:val="00042BD5"/>
    <w:rsid w:val="00042E90"/>
    <w:rsid w:val="00042EA9"/>
    <w:rsid w:val="00042FE5"/>
    <w:rsid w:val="000430CA"/>
    <w:rsid w:val="000438DF"/>
    <w:rsid w:val="000439BC"/>
    <w:rsid w:val="00043BBB"/>
    <w:rsid w:val="00043D93"/>
    <w:rsid w:val="000441AB"/>
    <w:rsid w:val="00044EA5"/>
    <w:rsid w:val="00044F47"/>
    <w:rsid w:val="00044FFA"/>
    <w:rsid w:val="00045666"/>
    <w:rsid w:val="0004577D"/>
    <w:rsid w:val="00045D9F"/>
    <w:rsid w:val="00045F0A"/>
    <w:rsid w:val="00045FCC"/>
    <w:rsid w:val="00046014"/>
    <w:rsid w:val="00046244"/>
    <w:rsid w:val="00046906"/>
    <w:rsid w:val="0004719D"/>
    <w:rsid w:val="0004721B"/>
    <w:rsid w:val="00047865"/>
    <w:rsid w:val="000478F3"/>
    <w:rsid w:val="00047AA3"/>
    <w:rsid w:val="00047B1E"/>
    <w:rsid w:val="00047C26"/>
    <w:rsid w:val="0005030C"/>
    <w:rsid w:val="000503DA"/>
    <w:rsid w:val="00050412"/>
    <w:rsid w:val="00050522"/>
    <w:rsid w:val="00050604"/>
    <w:rsid w:val="00050C04"/>
    <w:rsid w:val="00050C41"/>
    <w:rsid w:val="00050C59"/>
    <w:rsid w:val="00050C61"/>
    <w:rsid w:val="00051334"/>
    <w:rsid w:val="00051C27"/>
    <w:rsid w:val="000521C6"/>
    <w:rsid w:val="00052236"/>
    <w:rsid w:val="00052742"/>
    <w:rsid w:val="00052887"/>
    <w:rsid w:val="00052A6E"/>
    <w:rsid w:val="00052B9B"/>
    <w:rsid w:val="00052DDB"/>
    <w:rsid w:val="00052F45"/>
    <w:rsid w:val="00052FA7"/>
    <w:rsid w:val="00053663"/>
    <w:rsid w:val="00053A61"/>
    <w:rsid w:val="00054100"/>
    <w:rsid w:val="00054111"/>
    <w:rsid w:val="00054673"/>
    <w:rsid w:val="0005483C"/>
    <w:rsid w:val="00054D40"/>
    <w:rsid w:val="00054D9C"/>
    <w:rsid w:val="00054E05"/>
    <w:rsid w:val="00055026"/>
    <w:rsid w:val="00055537"/>
    <w:rsid w:val="000555E2"/>
    <w:rsid w:val="00055EEC"/>
    <w:rsid w:val="00055F35"/>
    <w:rsid w:val="0005617B"/>
    <w:rsid w:val="00056AA7"/>
    <w:rsid w:val="00056F94"/>
    <w:rsid w:val="00056FFC"/>
    <w:rsid w:val="0005740B"/>
    <w:rsid w:val="0006009D"/>
    <w:rsid w:val="000603BC"/>
    <w:rsid w:val="000605D6"/>
    <w:rsid w:val="00060D6D"/>
    <w:rsid w:val="00060F71"/>
    <w:rsid w:val="00060FB1"/>
    <w:rsid w:val="00060FB2"/>
    <w:rsid w:val="000610B3"/>
    <w:rsid w:val="00061B21"/>
    <w:rsid w:val="00061DAE"/>
    <w:rsid w:val="00062253"/>
    <w:rsid w:val="0006249A"/>
    <w:rsid w:val="00062668"/>
    <w:rsid w:val="000629A5"/>
    <w:rsid w:val="00063258"/>
    <w:rsid w:val="000633C4"/>
    <w:rsid w:val="00063624"/>
    <w:rsid w:val="00063832"/>
    <w:rsid w:val="00063BD5"/>
    <w:rsid w:val="000640BE"/>
    <w:rsid w:val="0006450B"/>
    <w:rsid w:val="0006477F"/>
    <w:rsid w:val="00064E08"/>
    <w:rsid w:val="00065006"/>
    <w:rsid w:val="0006537D"/>
    <w:rsid w:val="00065A33"/>
    <w:rsid w:val="00066023"/>
    <w:rsid w:val="00066567"/>
    <w:rsid w:val="00066BAC"/>
    <w:rsid w:val="00066C9D"/>
    <w:rsid w:val="00066E91"/>
    <w:rsid w:val="00067053"/>
    <w:rsid w:val="00067595"/>
    <w:rsid w:val="000675A2"/>
    <w:rsid w:val="0006799C"/>
    <w:rsid w:val="00067F55"/>
    <w:rsid w:val="000700A1"/>
    <w:rsid w:val="00070A66"/>
    <w:rsid w:val="000712B5"/>
    <w:rsid w:val="000718FC"/>
    <w:rsid w:val="00071F00"/>
    <w:rsid w:val="0007284F"/>
    <w:rsid w:val="000730DD"/>
    <w:rsid w:val="0007339D"/>
    <w:rsid w:val="000734E0"/>
    <w:rsid w:val="00073BAB"/>
    <w:rsid w:val="00073BF3"/>
    <w:rsid w:val="00074219"/>
    <w:rsid w:val="000742B5"/>
    <w:rsid w:val="000742CF"/>
    <w:rsid w:val="00074AEF"/>
    <w:rsid w:val="00074D8C"/>
    <w:rsid w:val="00074F4C"/>
    <w:rsid w:val="000752A0"/>
    <w:rsid w:val="0007570C"/>
    <w:rsid w:val="00075C74"/>
    <w:rsid w:val="00075CC4"/>
    <w:rsid w:val="00076000"/>
    <w:rsid w:val="0007650C"/>
    <w:rsid w:val="00076753"/>
    <w:rsid w:val="00076DA8"/>
    <w:rsid w:val="00077625"/>
    <w:rsid w:val="000779B9"/>
    <w:rsid w:val="00077B29"/>
    <w:rsid w:val="00077B53"/>
    <w:rsid w:val="0008045B"/>
    <w:rsid w:val="000808A3"/>
    <w:rsid w:val="000808D0"/>
    <w:rsid w:val="000811A4"/>
    <w:rsid w:val="000814C6"/>
    <w:rsid w:val="000821F8"/>
    <w:rsid w:val="0008223D"/>
    <w:rsid w:val="000822EA"/>
    <w:rsid w:val="000824CF"/>
    <w:rsid w:val="00082742"/>
    <w:rsid w:val="0008287F"/>
    <w:rsid w:val="00083234"/>
    <w:rsid w:val="00083397"/>
    <w:rsid w:val="000835D7"/>
    <w:rsid w:val="00083AAB"/>
    <w:rsid w:val="00083CD0"/>
    <w:rsid w:val="000843FC"/>
    <w:rsid w:val="00084863"/>
    <w:rsid w:val="00084CA5"/>
    <w:rsid w:val="00085453"/>
    <w:rsid w:val="00085C3C"/>
    <w:rsid w:val="00085F73"/>
    <w:rsid w:val="00086053"/>
    <w:rsid w:val="00086480"/>
    <w:rsid w:val="00086784"/>
    <w:rsid w:val="00086AA1"/>
    <w:rsid w:val="00086AB9"/>
    <w:rsid w:val="00086B2B"/>
    <w:rsid w:val="00086EDB"/>
    <w:rsid w:val="00087830"/>
    <w:rsid w:val="00087B89"/>
    <w:rsid w:val="00087BF7"/>
    <w:rsid w:val="00087F15"/>
    <w:rsid w:val="000902B4"/>
    <w:rsid w:val="000905EB"/>
    <w:rsid w:val="000906C1"/>
    <w:rsid w:val="00090A77"/>
    <w:rsid w:val="00090B80"/>
    <w:rsid w:val="00091702"/>
    <w:rsid w:val="0009183B"/>
    <w:rsid w:val="0009186F"/>
    <w:rsid w:val="00091E56"/>
    <w:rsid w:val="00092307"/>
    <w:rsid w:val="00092905"/>
    <w:rsid w:val="0009296E"/>
    <w:rsid w:val="00092F9B"/>
    <w:rsid w:val="00093196"/>
    <w:rsid w:val="00093368"/>
    <w:rsid w:val="00094039"/>
    <w:rsid w:val="00094092"/>
    <w:rsid w:val="000941A4"/>
    <w:rsid w:val="00094590"/>
    <w:rsid w:val="000953F6"/>
    <w:rsid w:val="00095552"/>
    <w:rsid w:val="00095931"/>
    <w:rsid w:val="00095978"/>
    <w:rsid w:val="0009656D"/>
    <w:rsid w:val="00096E9B"/>
    <w:rsid w:val="000975C8"/>
    <w:rsid w:val="000A000C"/>
    <w:rsid w:val="000A0382"/>
    <w:rsid w:val="000A067B"/>
    <w:rsid w:val="000A0EEF"/>
    <w:rsid w:val="000A146F"/>
    <w:rsid w:val="000A1FC5"/>
    <w:rsid w:val="000A200D"/>
    <w:rsid w:val="000A24D9"/>
    <w:rsid w:val="000A2564"/>
    <w:rsid w:val="000A3076"/>
    <w:rsid w:val="000A3B4E"/>
    <w:rsid w:val="000A3D05"/>
    <w:rsid w:val="000A408A"/>
    <w:rsid w:val="000A4169"/>
    <w:rsid w:val="000A46D1"/>
    <w:rsid w:val="000A4DD7"/>
    <w:rsid w:val="000A4DF5"/>
    <w:rsid w:val="000A4F09"/>
    <w:rsid w:val="000A5759"/>
    <w:rsid w:val="000A57C0"/>
    <w:rsid w:val="000A5924"/>
    <w:rsid w:val="000A5A33"/>
    <w:rsid w:val="000A5AA4"/>
    <w:rsid w:val="000A5D78"/>
    <w:rsid w:val="000A5DD5"/>
    <w:rsid w:val="000A6100"/>
    <w:rsid w:val="000A6227"/>
    <w:rsid w:val="000A6A25"/>
    <w:rsid w:val="000A6C50"/>
    <w:rsid w:val="000A732C"/>
    <w:rsid w:val="000A78B9"/>
    <w:rsid w:val="000A79D6"/>
    <w:rsid w:val="000B0146"/>
    <w:rsid w:val="000B036D"/>
    <w:rsid w:val="000B0CCA"/>
    <w:rsid w:val="000B0E7B"/>
    <w:rsid w:val="000B0EC4"/>
    <w:rsid w:val="000B1209"/>
    <w:rsid w:val="000B133B"/>
    <w:rsid w:val="000B153B"/>
    <w:rsid w:val="000B1A08"/>
    <w:rsid w:val="000B25A6"/>
    <w:rsid w:val="000B25B9"/>
    <w:rsid w:val="000B28F6"/>
    <w:rsid w:val="000B3B7B"/>
    <w:rsid w:val="000B3C51"/>
    <w:rsid w:val="000B4050"/>
    <w:rsid w:val="000B4277"/>
    <w:rsid w:val="000B4399"/>
    <w:rsid w:val="000B4539"/>
    <w:rsid w:val="000B4639"/>
    <w:rsid w:val="000B4888"/>
    <w:rsid w:val="000B4B15"/>
    <w:rsid w:val="000B4D55"/>
    <w:rsid w:val="000B54A1"/>
    <w:rsid w:val="000B5B55"/>
    <w:rsid w:val="000B611F"/>
    <w:rsid w:val="000B6CC7"/>
    <w:rsid w:val="000B6FB9"/>
    <w:rsid w:val="000B712B"/>
    <w:rsid w:val="000B727D"/>
    <w:rsid w:val="000B7697"/>
    <w:rsid w:val="000B76E5"/>
    <w:rsid w:val="000B7822"/>
    <w:rsid w:val="000B7AFD"/>
    <w:rsid w:val="000B7D98"/>
    <w:rsid w:val="000C089C"/>
    <w:rsid w:val="000C08C3"/>
    <w:rsid w:val="000C0BBE"/>
    <w:rsid w:val="000C13E3"/>
    <w:rsid w:val="000C1625"/>
    <w:rsid w:val="000C184F"/>
    <w:rsid w:val="000C1A40"/>
    <w:rsid w:val="000C1D93"/>
    <w:rsid w:val="000C2542"/>
    <w:rsid w:val="000C261A"/>
    <w:rsid w:val="000C2A6A"/>
    <w:rsid w:val="000C2CA5"/>
    <w:rsid w:val="000C2DB4"/>
    <w:rsid w:val="000C3172"/>
    <w:rsid w:val="000C3979"/>
    <w:rsid w:val="000C3E5E"/>
    <w:rsid w:val="000C4152"/>
    <w:rsid w:val="000C473F"/>
    <w:rsid w:val="000C4A95"/>
    <w:rsid w:val="000C4C88"/>
    <w:rsid w:val="000C4CFF"/>
    <w:rsid w:val="000C4D1B"/>
    <w:rsid w:val="000C4FBD"/>
    <w:rsid w:val="000C50EE"/>
    <w:rsid w:val="000C59C2"/>
    <w:rsid w:val="000C5BCA"/>
    <w:rsid w:val="000C5D61"/>
    <w:rsid w:val="000C62C5"/>
    <w:rsid w:val="000C6330"/>
    <w:rsid w:val="000C7265"/>
    <w:rsid w:val="000C746B"/>
    <w:rsid w:val="000C76FC"/>
    <w:rsid w:val="000C7771"/>
    <w:rsid w:val="000C7E9A"/>
    <w:rsid w:val="000C7ED9"/>
    <w:rsid w:val="000D0167"/>
    <w:rsid w:val="000D0719"/>
    <w:rsid w:val="000D079C"/>
    <w:rsid w:val="000D0896"/>
    <w:rsid w:val="000D0C7C"/>
    <w:rsid w:val="000D0DC5"/>
    <w:rsid w:val="000D0E56"/>
    <w:rsid w:val="000D1B39"/>
    <w:rsid w:val="000D273E"/>
    <w:rsid w:val="000D2D21"/>
    <w:rsid w:val="000D300D"/>
    <w:rsid w:val="000D3231"/>
    <w:rsid w:val="000D3DE9"/>
    <w:rsid w:val="000D3FF8"/>
    <w:rsid w:val="000D4281"/>
    <w:rsid w:val="000D4785"/>
    <w:rsid w:val="000D50ED"/>
    <w:rsid w:val="000D531F"/>
    <w:rsid w:val="000D5412"/>
    <w:rsid w:val="000D5987"/>
    <w:rsid w:val="000D5B80"/>
    <w:rsid w:val="000D5F77"/>
    <w:rsid w:val="000D650C"/>
    <w:rsid w:val="000D65C9"/>
    <w:rsid w:val="000D6913"/>
    <w:rsid w:val="000D6BA0"/>
    <w:rsid w:val="000D6BCE"/>
    <w:rsid w:val="000D710C"/>
    <w:rsid w:val="000D731A"/>
    <w:rsid w:val="000D7337"/>
    <w:rsid w:val="000D7695"/>
    <w:rsid w:val="000D7F80"/>
    <w:rsid w:val="000E0FE8"/>
    <w:rsid w:val="000E1259"/>
    <w:rsid w:val="000E1619"/>
    <w:rsid w:val="000E16E3"/>
    <w:rsid w:val="000E17CE"/>
    <w:rsid w:val="000E2087"/>
    <w:rsid w:val="000E2130"/>
    <w:rsid w:val="000E24EF"/>
    <w:rsid w:val="000E2870"/>
    <w:rsid w:val="000E2F09"/>
    <w:rsid w:val="000E3105"/>
    <w:rsid w:val="000E335A"/>
    <w:rsid w:val="000E3FCE"/>
    <w:rsid w:val="000E45AD"/>
    <w:rsid w:val="000E45E4"/>
    <w:rsid w:val="000E4BE8"/>
    <w:rsid w:val="000E4F21"/>
    <w:rsid w:val="000E56AF"/>
    <w:rsid w:val="000E5758"/>
    <w:rsid w:val="000E5E71"/>
    <w:rsid w:val="000E6513"/>
    <w:rsid w:val="000E668E"/>
    <w:rsid w:val="000E67C5"/>
    <w:rsid w:val="000E702A"/>
    <w:rsid w:val="000E70B3"/>
    <w:rsid w:val="000E760F"/>
    <w:rsid w:val="000E762F"/>
    <w:rsid w:val="000E79FB"/>
    <w:rsid w:val="000E7E7C"/>
    <w:rsid w:val="000E7FB2"/>
    <w:rsid w:val="000F00D2"/>
    <w:rsid w:val="000F03F2"/>
    <w:rsid w:val="000F04C2"/>
    <w:rsid w:val="000F09E4"/>
    <w:rsid w:val="000F0A79"/>
    <w:rsid w:val="000F0BB2"/>
    <w:rsid w:val="000F216A"/>
    <w:rsid w:val="000F2622"/>
    <w:rsid w:val="000F2BAC"/>
    <w:rsid w:val="000F2D5F"/>
    <w:rsid w:val="000F2FAC"/>
    <w:rsid w:val="000F317A"/>
    <w:rsid w:val="000F3420"/>
    <w:rsid w:val="000F37E2"/>
    <w:rsid w:val="000F3B3A"/>
    <w:rsid w:val="000F3D9C"/>
    <w:rsid w:val="000F3DF4"/>
    <w:rsid w:val="000F3FB9"/>
    <w:rsid w:val="000F454B"/>
    <w:rsid w:val="000F49CB"/>
    <w:rsid w:val="000F4B04"/>
    <w:rsid w:val="000F4F93"/>
    <w:rsid w:val="000F5029"/>
    <w:rsid w:val="000F52B6"/>
    <w:rsid w:val="000F58FE"/>
    <w:rsid w:val="000F6245"/>
    <w:rsid w:val="000F630C"/>
    <w:rsid w:val="000F6A63"/>
    <w:rsid w:val="000F6B6A"/>
    <w:rsid w:val="000F6F95"/>
    <w:rsid w:val="000F7350"/>
    <w:rsid w:val="000F746E"/>
    <w:rsid w:val="000F75B2"/>
    <w:rsid w:val="000F766A"/>
    <w:rsid w:val="000F7AF4"/>
    <w:rsid w:val="000F7C21"/>
    <w:rsid w:val="000F7D10"/>
    <w:rsid w:val="000F7FFA"/>
    <w:rsid w:val="00100293"/>
    <w:rsid w:val="00100331"/>
    <w:rsid w:val="00100879"/>
    <w:rsid w:val="00100BAC"/>
    <w:rsid w:val="00100E72"/>
    <w:rsid w:val="001010B2"/>
    <w:rsid w:val="001011A4"/>
    <w:rsid w:val="00101620"/>
    <w:rsid w:val="001019BC"/>
    <w:rsid w:val="00101E9E"/>
    <w:rsid w:val="00101FFF"/>
    <w:rsid w:val="00102855"/>
    <w:rsid w:val="00102B9F"/>
    <w:rsid w:val="00102C7B"/>
    <w:rsid w:val="00102D01"/>
    <w:rsid w:val="0010316F"/>
    <w:rsid w:val="00103194"/>
    <w:rsid w:val="001033F0"/>
    <w:rsid w:val="0010391B"/>
    <w:rsid w:val="001039FF"/>
    <w:rsid w:val="00103BAC"/>
    <w:rsid w:val="00103C09"/>
    <w:rsid w:val="00103DA1"/>
    <w:rsid w:val="00103DE9"/>
    <w:rsid w:val="00104085"/>
    <w:rsid w:val="001040F5"/>
    <w:rsid w:val="00104234"/>
    <w:rsid w:val="001043A2"/>
    <w:rsid w:val="001045BE"/>
    <w:rsid w:val="00104704"/>
    <w:rsid w:val="00104755"/>
    <w:rsid w:val="00104E6A"/>
    <w:rsid w:val="001052A0"/>
    <w:rsid w:val="001053B9"/>
    <w:rsid w:val="00105908"/>
    <w:rsid w:val="00105C31"/>
    <w:rsid w:val="0010604C"/>
    <w:rsid w:val="0010614F"/>
    <w:rsid w:val="00106D2B"/>
    <w:rsid w:val="001075F4"/>
    <w:rsid w:val="00107C20"/>
    <w:rsid w:val="00107D52"/>
    <w:rsid w:val="00110008"/>
    <w:rsid w:val="00110741"/>
    <w:rsid w:val="00111012"/>
    <w:rsid w:val="001114DA"/>
    <w:rsid w:val="001117B4"/>
    <w:rsid w:val="001119F5"/>
    <w:rsid w:val="0011246C"/>
    <w:rsid w:val="00112988"/>
    <w:rsid w:val="00112E56"/>
    <w:rsid w:val="00113173"/>
    <w:rsid w:val="0011321C"/>
    <w:rsid w:val="00113B10"/>
    <w:rsid w:val="00113C09"/>
    <w:rsid w:val="00114089"/>
    <w:rsid w:val="001141AB"/>
    <w:rsid w:val="00114385"/>
    <w:rsid w:val="00114494"/>
    <w:rsid w:val="0011459D"/>
    <w:rsid w:val="001145C8"/>
    <w:rsid w:val="001147FC"/>
    <w:rsid w:val="00115138"/>
    <w:rsid w:val="0011545F"/>
    <w:rsid w:val="0011591D"/>
    <w:rsid w:val="00115AE4"/>
    <w:rsid w:val="00115B2F"/>
    <w:rsid w:val="00115E79"/>
    <w:rsid w:val="00116266"/>
    <w:rsid w:val="00116337"/>
    <w:rsid w:val="001164E6"/>
    <w:rsid w:val="00116793"/>
    <w:rsid w:val="00116C9D"/>
    <w:rsid w:val="0011726C"/>
    <w:rsid w:val="00117574"/>
    <w:rsid w:val="001175B1"/>
    <w:rsid w:val="00117909"/>
    <w:rsid w:val="00117D38"/>
    <w:rsid w:val="00117DE0"/>
    <w:rsid w:val="00120057"/>
    <w:rsid w:val="00120210"/>
    <w:rsid w:val="001211ED"/>
    <w:rsid w:val="00121224"/>
    <w:rsid w:val="0012145E"/>
    <w:rsid w:val="001214D5"/>
    <w:rsid w:val="0012166C"/>
    <w:rsid w:val="00121942"/>
    <w:rsid w:val="00122141"/>
    <w:rsid w:val="00122326"/>
    <w:rsid w:val="001226BF"/>
    <w:rsid w:val="00122884"/>
    <w:rsid w:val="00122C2F"/>
    <w:rsid w:val="00122E6A"/>
    <w:rsid w:val="0012311C"/>
    <w:rsid w:val="00123421"/>
    <w:rsid w:val="001238E0"/>
    <w:rsid w:val="00123956"/>
    <w:rsid w:val="00123B34"/>
    <w:rsid w:val="00123D93"/>
    <w:rsid w:val="00123EA8"/>
    <w:rsid w:val="0012425D"/>
    <w:rsid w:val="001245B7"/>
    <w:rsid w:val="00124788"/>
    <w:rsid w:val="001259D7"/>
    <w:rsid w:val="00125CF1"/>
    <w:rsid w:val="00125E63"/>
    <w:rsid w:val="001260B4"/>
    <w:rsid w:val="00126121"/>
    <w:rsid w:val="001261E3"/>
    <w:rsid w:val="001264BB"/>
    <w:rsid w:val="00126A86"/>
    <w:rsid w:val="00127557"/>
    <w:rsid w:val="001279E4"/>
    <w:rsid w:val="00127ABA"/>
    <w:rsid w:val="00127D37"/>
    <w:rsid w:val="00127DE7"/>
    <w:rsid w:val="00127EB9"/>
    <w:rsid w:val="00127ECC"/>
    <w:rsid w:val="00130032"/>
    <w:rsid w:val="0013022B"/>
    <w:rsid w:val="0013039E"/>
    <w:rsid w:val="0013076E"/>
    <w:rsid w:val="0013084E"/>
    <w:rsid w:val="001309DE"/>
    <w:rsid w:val="00130C75"/>
    <w:rsid w:val="00130FA8"/>
    <w:rsid w:val="00131376"/>
    <w:rsid w:val="001313FA"/>
    <w:rsid w:val="00131658"/>
    <w:rsid w:val="00131866"/>
    <w:rsid w:val="001319B4"/>
    <w:rsid w:val="001320EA"/>
    <w:rsid w:val="001322F7"/>
    <w:rsid w:val="0013299E"/>
    <w:rsid w:val="001329EB"/>
    <w:rsid w:val="00132F90"/>
    <w:rsid w:val="001339A5"/>
    <w:rsid w:val="00133ADF"/>
    <w:rsid w:val="00133B56"/>
    <w:rsid w:val="00133D9C"/>
    <w:rsid w:val="00133DD6"/>
    <w:rsid w:val="00134DBA"/>
    <w:rsid w:val="00134EB8"/>
    <w:rsid w:val="00134F7B"/>
    <w:rsid w:val="00136265"/>
    <w:rsid w:val="00136332"/>
    <w:rsid w:val="00136347"/>
    <w:rsid w:val="00136A38"/>
    <w:rsid w:val="00136A6E"/>
    <w:rsid w:val="00136B33"/>
    <w:rsid w:val="00136CD9"/>
    <w:rsid w:val="00136D75"/>
    <w:rsid w:val="001372F0"/>
    <w:rsid w:val="001373B5"/>
    <w:rsid w:val="001378C7"/>
    <w:rsid w:val="00137904"/>
    <w:rsid w:val="001379B9"/>
    <w:rsid w:val="0014002D"/>
    <w:rsid w:val="00140B65"/>
    <w:rsid w:val="00140CF2"/>
    <w:rsid w:val="0014123A"/>
    <w:rsid w:val="00141843"/>
    <w:rsid w:val="001418AC"/>
    <w:rsid w:val="00141BEA"/>
    <w:rsid w:val="00141EDA"/>
    <w:rsid w:val="00142910"/>
    <w:rsid w:val="00142C81"/>
    <w:rsid w:val="00142CFB"/>
    <w:rsid w:val="00142D02"/>
    <w:rsid w:val="00142EDC"/>
    <w:rsid w:val="00143164"/>
    <w:rsid w:val="00143606"/>
    <w:rsid w:val="00143B86"/>
    <w:rsid w:val="00143DA7"/>
    <w:rsid w:val="001445BD"/>
    <w:rsid w:val="00144678"/>
    <w:rsid w:val="001448C7"/>
    <w:rsid w:val="00144A2D"/>
    <w:rsid w:val="00144B86"/>
    <w:rsid w:val="00144D98"/>
    <w:rsid w:val="00145444"/>
    <w:rsid w:val="00145879"/>
    <w:rsid w:val="001459AE"/>
    <w:rsid w:val="00145A9A"/>
    <w:rsid w:val="00145D1A"/>
    <w:rsid w:val="00145EBE"/>
    <w:rsid w:val="00145F91"/>
    <w:rsid w:val="00146073"/>
    <w:rsid w:val="001463A8"/>
    <w:rsid w:val="0014671E"/>
    <w:rsid w:val="0014682D"/>
    <w:rsid w:val="0014698E"/>
    <w:rsid w:val="001471C8"/>
    <w:rsid w:val="0014763D"/>
    <w:rsid w:val="00147D58"/>
    <w:rsid w:val="00150415"/>
    <w:rsid w:val="0015064D"/>
    <w:rsid w:val="001507F0"/>
    <w:rsid w:val="00150AA4"/>
    <w:rsid w:val="00150CA8"/>
    <w:rsid w:val="00151133"/>
    <w:rsid w:val="0015147E"/>
    <w:rsid w:val="001519B6"/>
    <w:rsid w:val="00152982"/>
    <w:rsid w:val="00152D5F"/>
    <w:rsid w:val="00152F5A"/>
    <w:rsid w:val="00153649"/>
    <w:rsid w:val="00153D06"/>
    <w:rsid w:val="0015416B"/>
    <w:rsid w:val="0015425F"/>
    <w:rsid w:val="001546C6"/>
    <w:rsid w:val="0015537E"/>
    <w:rsid w:val="00155718"/>
    <w:rsid w:val="00155974"/>
    <w:rsid w:val="00155DE9"/>
    <w:rsid w:val="00155F9C"/>
    <w:rsid w:val="0015650D"/>
    <w:rsid w:val="001566EC"/>
    <w:rsid w:val="0015676E"/>
    <w:rsid w:val="001567C8"/>
    <w:rsid w:val="00156934"/>
    <w:rsid w:val="001570D3"/>
    <w:rsid w:val="001571C8"/>
    <w:rsid w:val="001572CC"/>
    <w:rsid w:val="001578CC"/>
    <w:rsid w:val="001578D2"/>
    <w:rsid w:val="00157A41"/>
    <w:rsid w:val="00157F53"/>
    <w:rsid w:val="00160B98"/>
    <w:rsid w:val="00160C77"/>
    <w:rsid w:val="00160D89"/>
    <w:rsid w:val="00161456"/>
    <w:rsid w:val="00161655"/>
    <w:rsid w:val="00161A3F"/>
    <w:rsid w:val="00162493"/>
    <w:rsid w:val="00162767"/>
    <w:rsid w:val="001627C1"/>
    <w:rsid w:val="0016293D"/>
    <w:rsid w:val="00162C6D"/>
    <w:rsid w:val="00162F34"/>
    <w:rsid w:val="00163179"/>
    <w:rsid w:val="00163209"/>
    <w:rsid w:val="00163416"/>
    <w:rsid w:val="00163BAA"/>
    <w:rsid w:val="00164062"/>
    <w:rsid w:val="00164131"/>
    <w:rsid w:val="001644AF"/>
    <w:rsid w:val="001644E4"/>
    <w:rsid w:val="001645F1"/>
    <w:rsid w:val="001647F7"/>
    <w:rsid w:val="0016497F"/>
    <w:rsid w:val="00164BC9"/>
    <w:rsid w:val="00165006"/>
    <w:rsid w:val="0016502C"/>
    <w:rsid w:val="00165742"/>
    <w:rsid w:val="001657FD"/>
    <w:rsid w:val="0016595F"/>
    <w:rsid w:val="0016598F"/>
    <w:rsid w:val="001664A5"/>
    <w:rsid w:val="001665B6"/>
    <w:rsid w:val="00166902"/>
    <w:rsid w:val="001669CC"/>
    <w:rsid w:val="00166FEF"/>
    <w:rsid w:val="00167225"/>
    <w:rsid w:val="001701D9"/>
    <w:rsid w:val="00170C38"/>
    <w:rsid w:val="00170CCC"/>
    <w:rsid w:val="0017106F"/>
    <w:rsid w:val="00171116"/>
    <w:rsid w:val="00171209"/>
    <w:rsid w:val="0017150D"/>
    <w:rsid w:val="00171616"/>
    <w:rsid w:val="0017192A"/>
    <w:rsid w:val="0017259A"/>
    <w:rsid w:val="00172A99"/>
    <w:rsid w:val="00172B29"/>
    <w:rsid w:val="00172B98"/>
    <w:rsid w:val="00172C27"/>
    <w:rsid w:val="001731F8"/>
    <w:rsid w:val="001732F7"/>
    <w:rsid w:val="001736AF"/>
    <w:rsid w:val="00173757"/>
    <w:rsid w:val="00173C60"/>
    <w:rsid w:val="00173E47"/>
    <w:rsid w:val="00174802"/>
    <w:rsid w:val="0017489A"/>
    <w:rsid w:val="0017496E"/>
    <w:rsid w:val="00174DB1"/>
    <w:rsid w:val="00174E06"/>
    <w:rsid w:val="001758E7"/>
    <w:rsid w:val="00175A27"/>
    <w:rsid w:val="00175EF4"/>
    <w:rsid w:val="0017604D"/>
    <w:rsid w:val="0017610D"/>
    <w:rsid w:val="001763D1"/>
    <w:rsid w:val="0017671F"/>
    <w:rsid w:val="00176954"/>
    <w:rsid w:val="00176B24"/>
    <w:rsid w:val="00176C13"/>
    <w:rsid w:val="00176C87"/>
    <w:rsid w:val="0017780C"/>
    <w:rsid w:val="0017787B"/>
    <w:rsid w:val="001778E3"/>
    <w:rsid w:val="00177B3D"/>
    <w:rsid w:val="0018003B"/>
    <w:rsid w:val="00180416"/>
    <w:rsid w:val="00180524"/>
    <w:rsid w:val="00180686"/>
    <w:rsid w:val="00180849"/>
    <w:rsid w:val="00180AC4"/>
    <w:rsid w:val="00180E89"/>
    <w:rsid w:val="00181AED"/>
    <w:rsid w:val="00182173"/>
    <w:rsid w:val="001822DB"/>
    <w:rsid w:val="001822E7"/>
    <w:rsid w:val="001825D7"/>
    <w:rsid w:val="0018264D"/>
    <w:rsid w:val="00182B7E"/>
    <w:rsid w:val="00182DBD"/>
    <w:rsid w:val="00182DC2"/>
    <w:rsid w:val="00182EE7"/>
    <w:rsid w:val="0018318B"/>
    <w:rsid w:val="00183882"/>
    <w:rsid w:val="00183CB2"/>
    <w:rsid w:val="00183F46"/>
    <w:rsid w:val="00184051"/>
    <w:rsid w:val="00184608"/>
    <w:rsid w:val="00184DC5"/>
    <w:rsid w:val="00184E58"/>
    <w:rsid w:val="00185244"/>
    <w:rsid w:val="00185760"/>
    <w:rsid w:val="00185D1F"/>
    <w:rsid w:val="00185DAF"/>
    <w:rsid w:val="00185E37"/>
    <w:rsid w:val="00186847"/>
    <w:rsid w:val="00186D66"/>
    <w:rsid w:val="001879F4"/>
    <w:rsid w:val="00187AD3"/>
    <w:rsid w:val="00187EAB"/>
    <w:rsid w:val="00187FA4"/>
    <w:rsid w:val="00190007"/>
    <w:rsid w:val="001909CE"/>
    <w:rsid w:val="00191000"/>
    <w:rsid w:val="001917BF"/>
    <w:rsid w:val="00191985"/>
    <w:rsid w:val="00191CE5"/>
    <w:rsid w:val="00191E50"/>
    <w:rsid w:val="00191E8A"/>
    <w:rsid w:val="0019203F"/>
    <w:rsid w:val="00192C66"/>
    <w:rsid w:val="00192E08"/>
    <w:rsid w:val="00192E15"/>
    <w:rsid w:val="001935E7"/>
    <w:rsid w:val="0019400E"/>
    <w:rsid w:val="0019410F"/>
    <w:rsid w:val="001942B2"/>
    <w:rsid w:val="0019459E"/>
    <w:rsid w:val="001952A1"/>
    <w:rsid w:val="001956BB"/>
    <w:rsid w:val="001959A3"/>
    <w:rsid w:val="00195A92"/>
    <w:rsid w:val="00195FC7"/>
    <w:rsid w:val="00196073"/>
    <w:rsid w:val="001960FE"/>
    <w:rsid w:val="00196805"/>
    <w:rsid w:val="00196B86"/>
    <w:rsid w:val="00196D48"/>
    <w:rsid w:val="0019739D"/>
    <w:rsid w:val="001977D9"/>
    <w:rsid w:val="001979EB"/>
    <w:rsid w:val="00197CD0"/>
    <w:rsid w:val="001A0108"/>
    <w:rsid w:val="001A01F1"/>
    <w:rsid w:val="001A048F"/>
    <w:rsid w:val="001A04D7"/>
    <w:rsid w:val="001A06FD"/>
    <w:rsid w:val="001A0B9D"/>
    <w:rsid w:val="001A13C8"/>
    <w:rsid w:val="001A17BD"/>
    <w:rsid w:val="001A1959"/>
    <w:rsid w:val="001A1AA0"/>
    <w:rsid w:val="001A1AAD"/>
    <w:rsid w:val="001A1B79"/>
    <w:rsid w:val="001A1BE7"/>
    <w:rsid w:val="001A1BF3"/>
    <w:rsid w:val="001A1E20"/>
    <w:rsid w:val="001A2115"/>
    <w:rsid w:val="001A246D"/>
    <w:rsid w:val="001A2717"/>
    <w:rsid w:val="001A27B7"/>
    <w:rsid w:val="001A2B60"/>
    <w:rsid w:val="001A2BA8"/>
    <w:rsid w:val="001A2F3F"/>
    <w:rsid w:val="001A2FDF"/>
    <w:rsid w:val="001A32BB"/>
    <w:rsid w:val="001A38DC"/>
    <w:rsid w:val="001A4B7B"/>
    <w:rsid w:val="001A4C1C"/>
    <w:rsid w:val="001A4C41"/>
    <w:rsid w:val="001A530F"/>
    <w:rsid w:val="001A55BE"/>
    <w:rsid w:val="001A5613"/>
    <w:rsid w:val="001A5A32"/>
    <w:rsid w:val="001A5B9C"/>
    <w:rsid w:val="001A5F16"/>
    <w:rsid w:val="001A6196"/>
    <w:rsid w:val="001A6C4B"/>
    <w:rsid w:val="001A7AE9"/>
    <w:rsid w:val="001A7BE4"/>
    <w:rsid w:val="001A7C92"/>
    <w:rsid w:val="001A7CCE"/>
    <w:rsid w:val="001B0375"/>
    <w:rsid w:val="001B0412"/>
    <w:rsid w:val="001B0616"/>
    <w:rsid w:val="001B0786"/>
    <w:rsid w:val="001B0BE3"/>
    <w:rsid w:val="001B0C35"/>
    <w:rsid w:val="001B0DEA"/>
    <w:rsid w:val="001B12CE"/>
    <w:rsid w:val="001B14A2"/>
    <w:rsid w:val="001B14DB"/>
    <w:rsid w:val="001B17B0"/>
    <w:rsid w:val="001B1940"/>
    <w:rsid w:val="001B195A"/>
    <w:rsid w:val="001B1A7D"/>
    <w:rsid w:val="001B1D73"/>
    <w:rsid w:val="001B1F92"/>
    <w:rsid w:val="001B202E"/>
    <w:rsid w:val="001B2AC3"/>
    <w:rsid w:val="001B32E9"/>
    <w:rsid w:val="001B3499"/>
    <w:rsid w:val="001B34CB"/>
    <w:rsid w:val="001B3648"/>
    <w:rsid w:val="001B379D"/>
    <w:rsid w:val="001B3DE9"/>
    <w:rsid w:val="001B3FB1"/>
    <w:rsid w:val="001B3FB2"/>
    <w:rsid w:val="001B3FC6"/>
    <w:rsid w:val="001B4A59"/>
    <w:rsid w:val="001B4B2D"/>
    <w:rsid w:val="001B4B34"/>
    <w:rsid w:val="001B4CFA"/>
    <w:rsid w:val="001B4EF0"/>
    <w:rsid w:val="001B52F6"/>
    <w:rsid w:val="001B54F0"/>
    <w:rsid w:val="001B554A"/>
    <w:rsid w:val="001B5998"/>
    <w:rsid w:val="001B5ACC"/>
    <w:rsid w:val="001B5C49"/>
    <w:rsid w:val="001B5DB5"/>
    <w:rsid w:val="001B6313"/>
    <w:rsid w:val="001B64B4"/>
    <w:rsid w:val="001B687E"/>
    <w:rsid w:val="001B6DBE"/>
    <w:rsid w:val="001B6DEA"/>
    <w:rsid w:val="001B7194"/>
    <w:rsid w:val="001B7259"/>
    <w:rsid w:val="001B7593"/>
    <w:rsid w:val="001B7CBC"/>
    <w:rsid w:val="001B7FC6"/>
    <w:rsid w:val="001C0ABC"/>
    <w:rsid w:val="001C0B2D"/>
    <w:rsid w:val="001C0EB2"/>
    <w:rsid w:val="001C0F14"/>
    <w:rsid w:val="001C1012"/>
    <w:rsid w:val="001C1341"/>
    <w:rsid w:val="001C1357"/>
    <w:rsid w:val="001C16E1"/>
    <w:rsid w:val="001C173B"/>
    <w:rsid w:val="001C1BBC"/>
    <w:rsid w:val="001C20D5"/>
    <w:rsid w:val="001C2F0E"/>
    <w:rsid w:val="001C32D6"/>
    <w:rsid w:val="001C33E1"/>
    <w:rsid w:val="001C3BEE"/>
    <w:rsid w:val="001C3DF0"/>
    <w:rsid w:val="001C3F89"/>
    <w:rsid w:val="001C3FC0"/>
    <w:rsid w:val="001C4057"/>
    <w:rsid w:val="001C43C5"/>
    <w:rsid w:val="001C4440"/>
    <w:rsid w:val="001C4740"/>
    <w:rsid w:val="001C497F"/>
    <w:rsid w:val="001C4CA2"/>
    <w:rsid w:val="001C4F76"/>
    <w:rsid w:val="001C6182"/>
    <w:rsid w:val="001C6462"/>
    <w:rsid w:val="001C65B6"/>
    <w:rsid w:val="001C67CA"/>
    <w:rsid w:val="001C684D"/>
    <w:rsid w:val="001C74CF"/>
    <w:rsid w:val="001C79F4"/>
    <w:rsid w:val="001D016F"/>
    <w:rsid w:val="001D0463"/>
    <w:rsid w:val="001D08CC"/>
    <w:rsid w:val="001D09A1"/>
    <w:rsid w:val="001D0A07"/>
    <w:rsid w:val="001D0A0D"/>
    <w:rsid w:val="001D1577"/>
    <w:rsid w:val="001D1A20"/>
    <w:rsid w:val="001D1B93"/>
    <w:rsid w:val="001D1CC0"/>
    <w:rsid w:val="001D1CD1"/>
    <w:rsid w:val="001D1D9D"/>
    <w:rsid w:val="001D20A1"/>
    <w:rsid w:val="001D21E6"/>
    <w:rsid w:val="001D233C"/>
    <w:rsid w:val="001D3051"/>
    <w:rsid w:val="001D3454"/>
    <w:rsid w:val="001D35E2"/>
    <w:rsid w:val="001D39A9"/>
    <w:rsid w:val="001D3B74"/>
    <w:rsid w:val="001D3E4E"/>
    <w:rsid w:val="001D433E"/>
    <w:rsid w:val="001D451A"/>
    <w:rsid w:val="001D453A"/>
    <w:rsid w:val="001D490E"/>
    <w:rsid w:val="001D49AC"/>
    <w:rsid w:val="001D49CF"/>
    <w:rsid w:val="001D4CE4"/>
    <w:rsid w:val="001D4F35"/>
    <w:rsid w:val="001D5049"/>
    <w:rsid w:val="001D54BB"/>
    <w:rsid w:val="001D54FB"/>
    <w:rsid w:val="001D5509"/>
    <w:rsid w:val="001D5528"/>
    <w:rsid w:val="001D59D2"/>
    <w:rsid w:val="001D5B70"/>
    <w:rsid w:val="001D5BE4"/>
    <w:rsid w:val="001D5E3F"/>
    <w:rsid w:val="001D6041"/>
    <w:rsid w:val="001D6226"/>
    <w:rsid w:val="001D6562"/>
    <w:rsid w:val="001D67C4"/>
    <w:rsid w:val="001D68D4"/>
    <w:rsid w:val="001D69CE"/>
    <w:rsid w:val="001D6ED2"/>
    <w:rsid w:val="001D7BB1"/>
    <w:rsid w:val="001D7BC9"/>
    <w:rsid w:val="001D7EC3"/>
    <w:rsid w:val="001D7F86"/>
    <w:rsid w:val="001E0530"/>
    <w:rsid w:val="001E092F"/>
    <w:rsid w:val="001E09CE"/>
    <w:rsid w:val="001E134E"/>
    <w:rsid w:val="001E1400"/>
    <w:rsid w:val="001E1BAD"/>
    <w:rsid w:val="001E1F52"/>
    <w:rsid w:val="001E2544"/>
    <w:rsid w:val="001E269F"/>
    <w:rsid w:val="001E27A5"/>
    <w:rsid w:val="001E29D6"/>
    <w:rsid w:val="001E2BD3"/>
    <w:rsid w:val="001E2FFE"/>
    <w:rsid w:val="001E30F7"/>
    <w:rsid w:val="001E39B2"/>
    <w:rsid w:val="001E40E4"/>
    <w:rsid w:val="001E435C"/>
    <w:rsid w:val="001E46DE"/>
    <w:rsid w:val="001E49DB"/>
    <w:rsid w:val="001E4B35"/>
    <w:rsid w:val="001E4B4C"/>
    <w:rsid w:val="001E4BBE"/>
    <w:rsid w:val="001E4F65"/>
    <w:rsid w:val="001E5273"/>
    <w:rsid w:val="001E533B"/>
    <w:rsid w:val="001E546B"/>
    <w:rsid w:val="001E54EB"/>
    <w:rsid w:val="001E5A8C"/>
    <w:rsid w:val="001E5ED7"/>
    <w:rsid w:val="001E5EEC"/>
    <w:rsid w:val="001E624A"/>
    <w:rsid w:val="001E67CE"/>
    <w:rsid w:val="001E69FE"/>
    <w:rsid w:val="001E6CD7"/>
    <w:rsid w:val="001E6DF4"/>
    <w:rsid w:val="001E6ECF"/>
    <w:rsid w:val="001E6EFB"/>
    <w:rsid w:val="001E744D"/>
    <w:rsid w:val="001E79CD"/>
    <w:rsid w:val="001E7BD8"/>
    <w:rsid w:val="001E7CC4"/>
    <w:rsid w:val="001E7DAA"/>
    <w:rsid w:val="001E7E78"/>
    <w:rsid w:val="001F0163"/>
    <w:rsid w:val="001F0718"/>
    <w:rsid w:val="001F076C"/>
    <w:rsid w:val="001F077D"/>
    <w:rsid w:val="001F093E"/>
    <w:rsid w:val="001F0A5E"/>
    <w:rsid w:val="001F0C8F"/>
    <w:rsid w:val="001F0CF4"/>
    <w:rsid w:val="001F0D3E"/>
    <w:rsid w:val="001F143E"/>
    <w:rsid w:val="001F17EE"/>
    <w:rsid w:val="001F1B3F"/>
    <w:rsid w:val="001F1FDC"/>
    <w:rsid w:val="001F2011"/>
    <w:rsid w:val="001F2227"/>
    <w:rsid w:val="001F256F"/>
    <w:rsid w:val="001F279E"/>
    <w:rsid w:val="001F2BF8"/>
    <w:rsid w:val="001F2D41"/>
    <w:rsid w:val="001F36E0"/>
    <w:rsid w:val="001F3A17"/>
    <w:rsid w:val="001F3E7E"/>
    <w:rsid w:val="001F40AD"/>
    <w:rsid w:val="001F41D3"/>
    <w:rsid w:val="001F4591"/>
    <w:rsid w:val="001F45E7"/>
    <w:rsid w:val="001F4E32"/>
    <w:rsid w:val="001F4ED6"/>
    <w:rsid w:val="001F53B3"/>
    <w:rsid w:val="001F56C1"/>
    <w:rsid w:val="001F5B41"/>
    <w:rsid w:val="001F5D12"/>
    <w:rsid w:val="001F5EB8"/>
    <w:rsid w:val="001F709B"/>
    <w:rsid w:val="001F76A6"/>
    <w:rsid w:val="001F77D8"/>
    <w:rsid w:val="001F797D"/>
    <w:rsid w:val="002001ED"/>
    <w:rsid w:val="00200438"/>
    <w:rsid w:val="00200476"/>
    <w:rsid w:val="00200540"/>
    <w:rsid w:val="002006B1"/>
    <w:rsid w:val="00200BCA"/>
    <w:rsid w:val="00200CEF"/>
    <w:rsid w:val="00200E08"/>
    <w:rsid w:val="0020119E"/>
    <w:rsid w:val="00201B46"/>
    <w:rsid w:val="00201FD6"/>
    <w:rsid w:val="00202094"/>
    <w:rsid w:val="00202227"/>
    <w:rsid w:val="0020227A"/>
    <w:rsid w:val="00202833"/>
    <w:rsid w:val="0020319F"/>
    <w:rsid w:val="002033AC"/>
    <w:rsid w:val="00203536"/>
    <w:rsid w:val="002036A7"/>
    <w:rsid w:val="00203840"/>
    <w:rsid w:val="00203C30"/>
    <w:rsid w:val="00203C94"/>
    <w:rsid w:val="00203F31"/>
    <w:rsid w:val="002040FC"/>
    <w:rsid w:val="00204650"/>
    <w:rsid w:val="002047A1"/>
    <w:rsid w:val="00204BED"/>
    <w:rsid w:val="00205234"/>
    <w:rsid w:val="00205258"/>
    <w:rsid w:val="00205471"/>
    <w:rsid w:val="00205654"/>
    <w:rsid w:val="00205710"/>
    <w:rsid w:val="00205C90"/>
    <w:rsid w:val="002060B7"/>
    <w:rsid w:val="00206359"/>
    <w:rsid w:val="0020688A"/>
    <w:rsid w:val="00206EE4"/>
    <w:rsid w:val="002071FC"/>
    <w:rsid w:val="002075A1"/>
    <w:rsid w:val="00210207"/>
    <w:rsid w:val="0021039E"/>
    <w:rsid w:val="00210EFE"/>
    <w:rsid w:val="00211469"/>
    <w:rsid w:val="00211700"/>
    <w:rsid w:val="00211726"/>
    <w:rsid w:val="00212181"/>
    <w:rsid w:val="00212480"/>
    <w:rsid w:val="002126B2"/>
    <w:rsid w:val="00212B21"/>
    <w:rsid w:val="002136EF"/>
    <w:rsid w:val="00213C77"/>
    <w:rsid w:val="00213DD6"/>
    <w:rsid w:val="00214040"/>
    <w:rsid w:val="002140F5"/>
    <w:rsid w:val="00214100"/>
    <w:rsid w:val="00214542"/>
    <w:rsid w:val="002147DF"/>
    <w:rsid w:val="002148CF"/>
    <w:rsid w:val="00214D0C"/>
    <w:rsid w:val="002151CC"/>
    <w:rsid w:val="00215818"/>
    <w:rsid w:val="00215C83"/>
    <w:rsid w:val="00215DE4"/>
    <w:rsid w:val="00215DFE"/>
    <w:rsid w:val="00215F46"/>
    <w:rsid w:val="00215F48"/>
    <w:rsid w:val="00216082"/>
    <w:rsid w:val="0021620A"/>
    <w:rsid w:val="0021659A"/>
    <w:rsid w:val="00216835"/>
    <w:rsid w:val="00216A20"/>
    <w:rsid w:val="00216A9F"/>
    <w:rsid w:val="00216D22"/>
    <w:rsid w:val="00216FDE"/>
    <w:rsid w:val="002173AE"/>
    <w:rsid w:val="00217746"/>
    <w:rsid w:val="00217F79"/>
    <w:rsid w:val="00220383"/>
    <w:rsid w:val="002203DC"/>
    <w:rsid w:val="002208A1"/>
    <w:rsid w:val="00220925"/>
    <w:rsid w:val="00220BDD"/>
    <w:rsid w:val="002218B7"/>
    <w:rsid w:val="002218DA"/>
    <w:rsid w:val="002221AF"/>
    <w:rsid w:val="0022229F"/>
    <w:rsid w:val="002224A2"/>
    <w:rsid w:val="0022278C"/>
    <w:rsid w:val="00222859"/>
    <w:rsid w:val="0022294D"/>
    <w:rsid w:val="00222953"/>
    <w:rsid w:val="0022296D"/>
    <w:rsid w:val="00222A56"/>
    <w:rsid w:val="00222FC7"/>
    <w:rsid w:val="002232C7"/>
    <w:rsid w:val="00223825"/>
    <w:rsid w:val="00224391"/>
    <w:rsid w:val="002247A1"/>
    <w:rsid w:val="00224908"/>
    <w:rsid w:val="00224B48"/>
    <w:rsid w:val="00224FED"/>
    <w:rsid w:val="00225028"/>
    <w:rsid w:val="00225339"/>
    <w:rsid w:val="00225A14"/>
    <w:rsid w:val="00225F02"/>
    <w:rsid w:val="00226AB7"/>
    <w:rsid w:val="002270FE"/>
    <w:rsid w:val="00227C76"/>
    <w:rsid w:val="00227F1B"/>
    <w:rsid w:val="0023038D"/>
    <w:rsid w:val="00230A4F"/>
    <w:rsid w:val="00230C4C"/>
    <w:rsid w:val="00230D7A"/>
    <w:rsid w:val="00230DA5"/>
    <w:rsid w:val="00230F48"/>
    <w:rsid w:val="0023108B"/>
    <w:rsid w:val="002311C2"/>
    <w:rsid w:val="00231306"/>
    <w:rsid w:val="002319D0"/>
    <w:rsid w:val="00231FB8"/>
    <w:rsid w:val="0023246D"/>
    <w:rsid w:val="00232518"/>
    <w:rsid w:val="00232525"/>
    <w:rsid w:val="002339B3"/>
    <w:rsid w:val="00233EFE"/>
    <w:rsid w:val="00234007"/>
    <w:rsid w:val="00234263"/>
    <w:rsid w:val="002342F8"/>
    <w:rsid w:val="002344B6"/>
    <w:rsid w:val="0023533C"/>
    <w:rsid w:val="0023534C"/>
    <w:rsid w:val="00235EFD"/>
    <w:rsid w:val="00235F37"/>
    <w:rsid w:val="00236962"/>
    <w:rsid w:val="00236A79"/>
    <w:rsid w:val="00237043"/>
    <w:rsid w:val="00237191"/>
    <w:rsid w:val="00237F21"/>
    <w:rsid w:val="00237FB7"/>
    <w:rsid w:val="002400AC"/>
    <w:rsid w:val="00240141"/>
    <w:rsid w:val="0024054C"/>
    <w:rsid w:val="00240BAD"/>
    <w:rsid w:val="00240C79"/>
    <w:rsid w:val="002411BC"/>
    <w:rsid w:val="002418FF"/>
    <w:rsid w:val="00241BE4"/>
    <w:rsid w:val="00242002"/>
    <w:rsid w:val="0024255C"/>
    <w:rsid w:val="00242883"/>
    <w:rsid w:val="00242EC4"/>
    <w:rsid w:val="00242F75"/>
    <w:rsid w:val="00243032"/>
    <w:rsid w:val="00243043"/>
    <w:rsid w:val="00243552"/>
    <w:rsid w:val="002435B6"/>
    <w:rsid w:val="0024363A"/>
    <w:rsid w:val="00243AF4"/>
    <w:rsid w:val="00243DE3"/>
    <w:rsid w:val="00244647"/>
    <w:rsid w:val="002447A5"/>
    <w:rsid w:val="002451A3"/>
    <w:rsid w:val="00245670"/>
    <w:rsid w:val="002459C4"/>
    <w:rsid w:val="00245AD3"/>
    <w:rsid w:val="002460B3"/>
    <w:rsid w:val="002467C7"/>
    <w:rsid w:val="00246B69"/>
    <w:rsid w:val="00246B85"/>
    <w:rsid w:val="00246E8A"/>
    <w:rsid w:val="00246FF6"/>
    <w:rsid w:val="002472D6"/>
    <w:rsid w:val="00247722"/>
    <w:rsid w:val="00247B45"/>
    <w:rsid w:val="00247D7A"/>
    <w:rsid w:val="00247F48"/>
    <w:rsid w:val="00247F92"/>
    <w:rsid w:val="00250020"/>
    <w:rsid w:val="00250DA0"/>
    <w:rsid w:val="0025175F"/>
    <w:rsid w:val="002517A5"/>
    <w:rsid w:val="002518C9"/>
    <w:rsid w:val="002518CC"/>
    <w:rsid w:val="00251D2F"/>
    <w:rsid w:val="00251E60"/>
    <w:rsid w:val="00252BED"/>
    <w:rsid w:val="00252E3E"/>
    <w:rsid w:val="00252FC2"/>
    <w:rsid w:val="002530DF"/>
    <w:rsid w:val="00253529"/>
    <w:rsid w:val="00253837"/>
    <w:rsid w:val="0025397E"/>
    <w:rsid w:val="00253B6C"/>
    <w:rsid w:val="00254A18"/>
    <w:rsid w:val="00254D58"/>
    <w:rsid w:val="00254FFA"/>
    <w:rsid w:val="0025555F"/>
    <w:rsid w:val="0025557A"/>
    <w:rsid w:val="00255943"/>
    <w:rsid w:val="00255F23"/>
    <w:rsid w:val="0025612B"/>
    <w:rsid w:val="002561B0"/>
    <w:rsid w:val="00256332"/>
    <w:rsid w:val="002565F8"/>
    <w:rsid w:val="00256A4B"/>
    <w:rsid w:val="00256A52"/>
    <w:rsid w:val="00256E45"/>
    <w:rsid w:val="002570BC"/>
    <w:rsid w:val="00257EAC"/>
    <w:rsid w:val="002606D5"/>
    <w:rsid w:val="00260A03"/>
    <w:rsid w:val="00260AF4"/>
    <w:rsid w:val="00261A6C"/>
    <w:rsid w:val="00262167"/>
    <w:rsid w:val="00262411"/>
    <w:rsid w:val="00262556"/>
    <w:rsid w:val="00262945"/>
    <w:rsid w:val="00263493"/>
    <w:rsid w:val="00263B00"/>
    <w:rsid w:val="00263E88"/>
    <w:rsid w:val="00263EB3"/>
    <w:rsid w:val="00263FE8"/>
    <w:rsid w:val="002640BD"/>
    <w:rsid w:val="002646D3"/>
    <w:rsid w:val="00264712"/>
    <w:rsid w:val="0026471B"/>
    <w:rsid w:val="002648E7"/>
    <w:rsid w:val="002648FA"/>
    <w:rsid w:val="00264FD0"/>
    <w:rsid w:val="00265006"/>
    <w:rsid w:val="00265060"/>
    <w:rsid w:val="00265081"/>
    <w:rsid w:val="002651AC"/>
    <w:rsid w:val="002654C5"/>
    <w:rsid w:val="00265925"/>
    <w:rsid w:val="00265A31"/>
    <w:rsid w:val="00265A54"/>
    <w:rsid w:val="00265F56"/>
    <w:rsid w:val="0026660B"/>
    <w:rsid w:val="00266902"/>
    <w:rsid w:val="0026708E"/>
    <w:rsid w:val="002670F1"/>
    <w:rsid w:val="00267179"/>
    <w:rsid w:val="00267ECE"/>
    <w:rsid w:val="00270167"/>
    <w:rsid w:val="00270466"/>
    <w:rsid w:val="00270913"/>
    <w:rsid w:val="002709E7"/>
    <w:rsid w:val="0027106E"/>
    <w:rsid w:val="0027136B"/>
    <w:rsid w:val="0027158D"/>
    <w:rsid w:val="00271707"/>
    <w:rsid w:val="00271C04"/>
    <w:rsid w:val="00272023"/>
    <w:rsid w:val="00272330"/>
    <w:rsid w:val="002724C8"/>
    <w:rsid w:val="00272661"/>
    <w:rsid w:val="002726DD"/>
    <w:rsid w:val="00272826"/>
    <w:rsid w:val="002728DF"/>
    <w:rsid w:val="00272A20"/>
    <w:rsid w:val="00273308"/>
    <w:rsid w:val="0027373F"/>
    <w:rsid w:val="00273910"/>
    <w:rsid w:val="0027391E"/>
    <w:rsid w:val="00273AC1"/>
    <w:rsid w:val="00274BD5"/>
    <w:rsid w:val="00274F9F"/>
    <w:rsid w:val="00275BB7"/>
    <w:rsid w:val="00275C63"/>
    <w:rsid w:val="00275EDD"/>
    <w:rsid w:val="00276106"/>
    <w:rsid w:val="002763F4"/>
    <w:rsid w:val="002763FB"/>
    <w:rsid w:val="0027666D"/>
    <w:rsid w:val="002766CB"/>
    <w:rsid w:val="00276AB9"/>
    <w:rsid w:val="00276E9E"/>
    <w:rsid w:val="00276EFA"/>
    <w:rsid w:val="002776A1"/>
    <w:rsid w:val="0027784D"/>
    <w:rsid w:val="00277ABD"/>
    <w:rsid w:val="00277CE7"/>
    <w:rsid w:val="00277E08"/>
    <w:rsid w:val="00277E13"/>
    <w:rsid w:val="00277FA7"/>
    <w:rsid w:val="00280746"/>
    <w:rsid w:val="00280AE5"/>
    <w:rsid w:val="00280C5A"/>
    <w:rsid w:val="00280D09"/>
    <w:rsid w:val="00280FB5"/>
    <w:rsid w:val="002812CF"/>
    <w:rsid w:val="00281400"/>
    <w:rsid w:val="00281521"/>
    <w:rsid w:val="0028183E"/>
    <w:rsid w:val="00281D79"/>
    <w:rsid w:val="0028252D"/>
    <w:rsid w:val="00282D00"/>
    <w:rsid w:val="00282D92"/>
    <w:rsid w:val="00282DC1"/>
    <w:rsid w:val="00283175"/>
    <w:rsid w:val="002833AB"/>
    <w:rsid w:val="00283CC5"/>
    <w:rsid w:val="00283E49"/>
    <w:rsid w:val="00284095"/>
    <w:rsid w:val="0028416E"/>
    <w:rsid w:val="0028422B"/>
    <w:rsid w:val="00284357"/>
    <w:rsid w:val="002846D1"/>
    <w:rsid w:val="002847AA"/>
    <w:rsid w:val="00284934"/>
    <w:rsid w:val="00285121"/>
    <w:rsid w:val="0028580E"/>
    <w:rsid w:val="002860D0"/>
    <w:rsid w:val="002865E5"/>
    <w:rsid w:val="002867FC"/>
    <w:rsid w:val="00286841"/>
    <w:rsid w:val="00286984"/>
    <w:rsid w:val="00286F16"/>
    <w:rsid w:val="00286F62"/>
    <w:rsid w:val="002870E4"/>
    <w:rsid w:val="002874E4"/>
    <w:rsid w:val="00287582"/>
    <w:rsid w:val="00287B6B"/>
    <w:rsid w:val="00287EE1"/>
    <w:rsid w:val="002906F7"/>
    <w:rsid w:val="00290AD7"/>
    <w:rsid w:val="00290F19"/>
    <w:rsid w:val="002910DA"/>
    <w:rsid w:val="002910E6"/>
    <w:rsid w:val="002911A6"/>
    <w:rsid w:val="002911D9"/>
    <w:rsid w:val="00291332"/>
    <w:rsid w:val="002917C7"/>
    <w:rsid w:val="00292156"/>
    <w:rsid w:val="00292484"/>
    <w:rsid w:val="00292722"/>
    <w:rsid w:val="00292845"/>
    <w:rsid w:val="00292B8B"/>
    <w:rsid w:val="00292F81"/>
    <w:rsid w:val="00293D98"/>
    <w:rsid w:val="00293E87"/>
    <w:rsid w:val="00293E92"/>
    <w:rsid w:val="002944E6"/>
    <w:rsid w:val="00294594"/>
    <w:rsid w:val="00294720"/>
    <w:rsid w:val="00294931"/>
    <w:rsid w:val="00294C7A"/>
    <w:rsid w:val="002958B7"/>
    <w:rsid w:val="00296139"/>
    <w:rsid w:val="00296D74"/>
    <w:rsid w:val="00297284"/>
    <w:rsid w:val="0029774F"/>
    <w:rsid w:val="00297869"/>
    <w:rsid w:val="0029795F"/>
    <w:rsid w:val="0029798E"/>
    <w:rsid w:val="002A018E"/>
    <w:rsid w:val="002A01D6"/>
    <w:rsid w:val="002A0288"/>
    <w:rsid w:val="002A0A58"/>
    <w:rsid w:val="002A0DE0"/>
    <w:rsid w:val="002A0F7A"/>
    <w:rsid w:val="002A11E0"/>
    <w:rsid w:val="002A136C"/>
    <w:rsid w:val="002A1E3F"/>
    <w:rsid w:val="002A1E46"/>
    <w:rsid w:val="002A2964"/>
    <w:rsid w:val="002A2B8B"/>
    <w:rsid w:val="002A2BA1"/>
    <w:rsid w:val="002A310B"/>
    <w:rsid w:val="002A3255"/>
    <w:rsid w:val="002A3926"/>
    <w:rsid w:val="002A3E5E"/>
    <w:rsid w:val="002A430D"/>
    <w:rsid w:val="002A43BD"/>
    <w:rsid w:val="002A532D"/>
    <w:rsid w:val="002A5704"/>
    <w:rsid w:val="002A639C"/>
    <w:rsid w:val="002A6403"/>
    <w:rsid w:val="002A64D6"/>
    <w:rsid w:val="002A65B1"/>
    <w:rsid w:val="002A65F3"/>
    <w:rsid w:val="002A677A"/>
    <w:rsid w:val="002A69F3"/>
    <w:rsid w:val="002A6AFB"/>
    <w:rsid w:val="002A7463"/>
    <w:rsid w:val="002A74A4"/>
    <w:rsid w:val="002A7A46"/>
    <w:rsid w:val="002B0028"/>
    <w:rsid w:val="002B01D2"/>
    <w:rsid w:val="002B04F0"/>
    <w:rsid w:val="002B0657"/>
    <w:rsid w:val="002B0912"/>
    <w:rsid w:val="002B0C68"/>
    <w:rsid w:val="002B0DEE"/>
    <w:rsid w:val="002B0F73"/>
    <w:rsid w:val="002B181F"/>
    <w:rsid w:val="002B1BC7"/>
    <w:rsid w:val="002B2585"/>
    <w:rsid w:val="002B29B1"/>
    <w:rsid w:val="002B29ED"/>
    <w:rsid w:val="002B3067"/>
    <w:rsid w:val="002B33B2"/>
    <w:rsid w:val="002B3935"/>
    <w:rsid w:val="002B4101"/>
    <w:rsid w:val="002B4539"/>
    <w:rsid w:val="002B4A7A"/>
    <w:rsid w:val="002B4ADE"/>
    <w:rsid w:val="002B4B32"/>
    <w:rsid w:val="002B514A"/>
    <w:rsid w:val="002B5198"/>
    <w:rsid w:val="002B55BC"/>
    <w:rsid w:val="002B5DED"/>
    <w:rsid w:val="002B5EA8"/>
    <w:rsid w:val="002B6622"/>
    <w:rsid w:val="002B6682"/>
    <w:rsid w:val="002B6B7C"/>
    <w:rsid w:val="002B7260"/>
    <w:rsid w:val="002B74DB"/>
    <w:rsid w:val="002B758C"/>
    <w:rsid w:val="002B7BAE"/>
    <w:rsid w:val="002B7C24"/>
    <w:rsid w:val="002B7CB5"/>
    <w:rsid w:val="002C045B"/>
    <w:rsid w:val="002C09B6"/>
    <w:rsid w:val="002C0DE8"/>
    <w:rsid w:val="002C0F15"/>
    <w:rsid w:val="002C11F5"/>
    <w:rsid w:val="002C14A8"/>
    <w:rsid w:val="002C18CD"/>
    <w:rsid w:val="002C235E"/>
    <w:rsid w:val="002C2979"/>
    <w:rsid w:val="002C2A53"/>
    <w:rsid w:val="002C2A7D"/>
    <w:rsid w:val="002C30EB"/>
    <w:rsid w:val="002C3A08"/>
    <w:rsid w:val="002C3CD6"/>
    <w:rsid w:val="002C49A9"/>
    <w:rsid w:val="002C4AB9"/>
    <w:rsid w:val="002C4DBA"/>
    <w:rsid w:val="002C4E5A"/>
    <w:rsid w:val="002C5384"/>
    <w:rsid w:val="002C5931"/>
    <w:rsid w:val="002C5BDE"/>
    <w:rsid w:val="002C60FC"/>
    <w:rsid w:val="002C62EA"/>
    <w:rsid w:val="002C7022"/>
    <w:rsid w:val="002C7D26"/>
    <w:rsid w:val="002C7D5D"/>
    <w:rsid w:val="002D00CB"/>
    <w:rsid w:val="002D08AC"/>
    <w:rsid w:val="002D08C1"/>
    <w:rsid w:val="002D0B10"/>
    <w:rsid w:val="002D1427"/>
    <w:rsid w:val="002D151F"/>
    <w:rsid w:val="002D1787"/>
    <w:rsid w:val="002D19D1"/>
    <w:rsid w:val="002D1AF8"/>
    <w:rsid w:val="002D1B42"/>
    <w:rsid w:val="002D1CBB"/>
    <w:rsid w:val="002D1D34"/>
    <w:rsid w:val="002D2122"/>
    <w:rsid w:val="002D22DC"/>
    <w:rsid w:val="002D2365"/>
    <w:rsid w:val="002D336C"/>
    <w:rsid w:val="002D37F7"/>
    <w:rsid w:val="002D3AAA"/>
    <w:rsid w:val="002D3B69"/>
    <w:rsid w:val="002D3E57"/>
    <w:rsid w:val="002D4464"/>
    <w:rsid w:val="002D45E5"/>
    <w:rsid w:val="002D5289"/>
    <w:rsid w:val="002D52ED"/>
    <w:rsid w:val="002D5764"/>
    <w:rsid w:val="002D595E"/>
    <w:rsid w:val="002D5CD2"/>
    <w:rsid w:val="002D5D50"/>
    <w:rsid w:val="002D5ED2"/>
    <w:rsid w:val="002D60B3"/>
    <w:rsid w:val="002D61C2"/>
    <w:rsid w:val="002D667A"/>
    <w:rsid w:val="002D6C9D"/>
    <w:rsid w:val="002D7333"/>
    <w:rsid w:val="002D751A"/>
    <w:rsid w:val="002D7A68"/>
    <w:rsid w:val="002D7EFA"/>
    <w:rsid w:val="002E0671"/>
    <w:rsid w:val="002E0C4B"/>
    <w:rsid w:val="002E0F3F"/>
    <w:rsid w:val="002E1859"/>
    <w:rsid w:val="002E1B74"/>
    <w:rsid w:val="002E1CBB"/>
    <w:rsid w:val="002E255A"/>
    <w:rsid w:val="002E25BF"/>
    <w:rsid w:val="002E2973"/>
    <w:rsid w:val="002E2E33"/>
    <w:rsid w:val="002E30BF"/>
    <w:rsid w:val="002E339C"/>
    <w:rsid w:val="002E3709"/>
    <w:rsid w:val="002E3AC6"/>
    <w:rsid w:val="002E41B5"/>
    <w:rsid w:val="002E44C0"/>
    <w:rsid w:val="002E45EC"/>
    <w:rsid w:val="002E4649"/>
    <w:rsid w:val="002E570E"/>
    <w:rsid w:val="002E572F"/>
    <w:rsid w:val="002E5B21"/>
    <w:rsid w:val="002E5C99"/>
    <w:rsid w:val="002E661E"/>
    <w:rsid w:val="002E667E"/>
    <w:rsid w:val="002E6924"/>
    <w:rsid w:val="002E6D68"/>
    <w:rsid w:val="002E7A85"/>
    <w:rsid w:val="002F0266"/>
    <w:rsid w:val="002F0321"/>
    <w:rsid w:val="002F0790"/>
    <w:rsid w:val="002F079A"/>
    <w:rsid w:val="002F091D"/>
    <w:rsid w:val="002F0CC2"/>
    <w:rsid w:val="002F0FFE"/>
    <w:rsid w:val="002F1F55"/>
    <w:rsid w:val="002F2344"/>
    <w:rsid w:val="002F293C"/>
    <w:rsid w:val="002F2D2A"/>
    <w:rsid w:val="002F30E2"/>
    <w:rsid w:val="002F31C4"/>
    <w:rsid w:val="002F327C"/>
    <w:rsid w:val="002F39FB"/>
    <w:rsid w:val="002F3FA5"/>
    <w:rsid w:val="002F3FEE"/>
    <w:rsid w:val="002F40A9"/>
    <w:rsid w:val="002F43A9"/>
    <w:rsid w:val="002F4479"/>
    <w:rsid w:val="002F44E8"/>
    <w:rsid w:val="002F461E"/>
    <w:rsid w:val="002F48DF"/>
    <w:rsid w:val="002F4D17"/>
    <w:rsid w:val="002F4F8B"/>
    <w:rsid w:val="002F59C0"/>
    <w:rsid w:val="002F5C1B"/>
    <w:rsid w:val="002F5CB8"/>
    <w:rsid w:val="002F5D2A"/>
    <w:rsid w:val="002F5FA1"/>
    <w:rsid w:val="002F6051"/>
    <w:rsid w:val="002F6E35"/>
    <w:rsid w:val="002F7559"/>
    <w:rsid w:val="002F7658"/>
    <w:rsid w:val="002F7A0D"/>
    <w:rsid w:val="002F7F1D"/>
    <w:rsid w:val="002F7F32"/>
    <w:rsid w:val="003004A7"/>
    <w:rsid w:val="00300C4C"/>
    <w:rsid w:val="00300CC1"/>
    <w:rsid w:val="00300D82"/>
    <w:rsid w:val="0030149B"/>
    <w:rsid w:val="0030236E"/>
    <w:rsid w:val="003023D6"/>
    <w:rsid w:val="003025B7"/>
    <w:rsid w:val="003025F3"/>
    <w:rsid w:val="0030261C"/>
    <w:rsid w:val="003027DA"/>
    <w:rsid w:val="00302D15"/>
    <w:rsid w:val="003031A1"/>
    <w:rsid w:val="00303395"/>
    <w:rsid w:val="00304062"/>
    <w:rsid w:val="00304077"/>
    <w:rsid w:val="00304448"/>
    <w:rsid w:val="003048D5"/>
    <w:rsid w:val="00304ACB"/>
    <w:rsid w:val="00304BC7"/>
    <w:rsid w:val="0030564D"/>
    <w:rsid w:val="00305B6C"/>
    <w:rsid w:val="00306295"/>
    <w:rsid w:val="0030644F"/>
    <w:rsid w:val="003064AF"/>
    <w:rsid w:val="0030689F"/>
    <w:rsid w:val="00306B75"/>
    <w:rsid w:val="00306F48"/>
    <w:rsid w:val="00307E33"/>
    <w:rsid w:val="00307E4C"/>
    <w:rsid w:val="0031011B"/>
    <w:rsid w:val="00311091"/>
    <w:rsid w:val="00311177"/>
    <w:rsid w:val="003119F2"/>
    <w:rsid w:val="00311A3F"/>
    <w:rsid w:val="00311C6E"/>
    <w:rsid w:val="00311CB7"/>
    <w:rsid w:val="00311D17"/>
    <w:rsid w:val="00311D2D"/>
    <w:rsid w:val="00311DAC"/>
    <w:rsid w:val="00312074"/>
    <w:rsid w:val="003121F7"/>
    <w:rsid w:val="00312311"/>
    <w:rsid w:val="0031245A"/>
    <w:rsid w:val="00312ABA"/>
    <w:rsid w:val="00312AF7"/>
    <w:rsid w:val="00312D69"/>
    <w:rsid w:val="00313223"/>
    <w:rsid w:val="00313435"/>
    <w:rsid w:val="003146B2"/>
    <w:rsid w:val="00314EA7"/>
    <w:rsid w:val="00315021"/>
    <w:rsid w:val="003151D0"/>
    <w:rsid w:val="00315874"/>
    <w:rsid w:val="00315A43"/>
    <w:rsid w:val="00315D37"/>
    <w:rsid w:val="00315ED1"/>
    <w:rsid w:val="003161E2"/>
    <w:rsid w:val="0031622E"/>
    <w:rsid w:val="0031623B"/>
    <w:rsid w:val="003162E0"/>
    <w:rsid w:val="0031642B"/>
    <w:rsid w:val="00316574"/>
    <w:rsid w:val="00316BF2"/>
    <w:rsid w:val="003171E9"/>
    <w:rsid w:val="003176AA"/>
    <w:rsid w:val="003176EE"/>
    <w:rsid w:val="00317CBA"/>
    <w:rsid w:val="00320250"/>
    <w:rsid w:val="00320750"/>
    <w:rsid w:val="003208AF"/>
    <w:rsid w:val="00320972"/>
    <w:rsid w:val="003209CF"/>
    <w:rsid w:val="00320E22"/>
    <w:rsid w:val="00321784"/>
    <w:rsid w:val="003222BF"/>
    <w:rsid w:val="0032258D"/>
    <w:rsid w:val="00322735"/>
    <w:rsid w:val="00322A33"/>
    <w:rsid w:val="00322BD9"/>
    <w:rsid w:val="00322D3A"/>
    <w:rsid w:val="003230A2"/>
    <w:rsid w:val="00323650"/>
    <w:rsid w:val="00323E14"/>
    <w:rsid w:val="003245CB"/>
    <w:rsid w:val="00324D61"/>
    <w:rsid w:val="00325052"/>
    <w:rsid w:val="003252B2"/>
    <w:rsid w:val="003252D0"/>
    <w:rsid w:val="00325B86"/>
    <w:rsid w:val="00325F78"/>
    <w:rsid w:val="00326397"/>
    <w:rsid w:val="003265DD"/>
    <w:rsid w:val="003269D8"/>
    <w:rsid w:val="00326D9D"/>
    <w:rsid w:val="00326DE2"/>
    <w:rsid w:val="003275C4"/>
    <w:rsid w:val="003275E1"/>
    <w:rsid w:val="00327761"/>
    <w:rsid w:val="003279BB"/>
    <w:rsid w:val="00327A0D"/>
    <w:rsid w:val="00327A4E"/>
    <w:rsid w:val="00327A86"/>
    <w:rsid w:val="00327DD0"/>
    <w:rsid w:val="00330151"/>
    <w:rsid w:val="003303EF"/>
    <w:rsid w:val="00330ACA"/>
    <w:rsid w:val="00330D93"/>
    <w:rsid w:val="00330F11"/>
    <w:rsid w:val="00331971"/>
    <w:rsid w:val="00331E38"/>
    <w:rsid w:val="00331F4B"/>
    <w:rsid w:val="00332064"/>
    <w:rsid w:val="00332156"/>
    <w:rsid w:val="00332382"/>
    <w:rsid w:val="003327E4"/>
    <w:rsid w:val="00332A64"/>
    <w:rsid w:val="00332C0D"/>
    <w:rsid w:val="00332E55"/>
    <w:rsid w:val="00332FF7"/>
    <w:rsid w:val="00333524"/>
    <w:rsid w:val="00333632"/>
    <w:rsid w:val="00333AA8"/>
    <w:rsid w:val="00333CE2"/>
    <w:rsid w:val="00333F95"/>
    <w:rsid w:val="00334040"/>
    <w:rsid w:val="003340E3"/>
    <w:rsid w:val="003342E3"/>
    <w:rsid w:val="00334499"/>
    <w:rsid w:val="00335A38"/>
    <w:rsid w:val="00335CE5"/>
    <w:rsid w:val="00335FA9"/>
    <w:rsid w:val="003360D4"/>
    <w:rsid w:val="00336443"/>
    <w:rsid w:val="003365B5"/>
    <w:rsid w:val="00336641"/>
    <w:rsid w:val="00336C25"/>
    <w:rsid w:val="00336C7E"/>
    <w:rsid w:val="00336CEC"/>
    <w:rsid w:val="003372A0"/>
    <w:rsid w:val="0033734C"/>
    <w:rsid w:val="00337468"/>
    <w:rsid w:val="00337B8F"/>
    <w:rsid w:val="00340048"/>
    <w:rsid w:val="00340692"/>
    <w:rsid w:val="003408C9"/>
    <w:rsid w:val="00340B95"/>
    <w:rsid w:val="00340C6F"/>
    <w:rsid w:val="00341110"/>
    <w:rsid w:val="00341292"/>
    <w:rsid w:val="003414F9"/>
    <w:rsid w:val="00341837"/>
    <w:rsid w:val="003418DF"/>
    <w:rsid w:val="0034234C"/>
    <w:rsid w:val="00342496"/>
    <w:rsid w:val="003429A6"/>
    <w:rsid w:val="003430CF"/>
    <w:rsid w:val="00343152"/>
    <w:rsid w:val="00343F46"/>
    <w:rsid w:val="0034406B"/>
    <w:rsid w:val="0034489C"/>
    <w:rsid w:val="00344AFC"/>
    <w:rsid w:val="00344B41"/>
    <w:rsid w:val="00344C77"/>
    <w:rsid w:val="0034501A"/>
    <w:rsid w:val="0034510D"/>
    <w:rsid w:val="00345BBB"/>
    <w:rsid w:val="00345D53"/>
    <w:rsid w:val="0034632D"/>
    <w:rsid w:val="00346330"/>
    <w:rsid w:val="0034649D"/>
    <w:rsid w:val="003464B2"/>
    <w:rsid w:val="003465AD"/>
    <w:rsid w:val="00346DE6"/>
    <w:rsid w:val="00346E17"/>
    <w:rsid w:val="0034737B"/>
    <w:rsid w:val="00347537"/>
    <w:rsid w:val="00347734"/>
    <w:rsid w:val="00347EC0"/>
    <w:rsid w:val="00347F2F"/>
    <w:rsid w:val="00350483"/>
    <w:rsid w:val="003504A8"/>
    <w:rsid w:val="003504C0"/>
    <w:rsid w:val="0035097D"/>
    <w:rsid w:val="00350D57"/>
    <w:rsid w:val="00351558"/>
    <w:rsid w:val="0035186E"/>
    <w:rsid w:val="00351D22"/>
    <w:rsid w:val="00351E1D"/>
    <w:rsid w:val="00351F3D"/>
    <w:rsid w:val="003522BD"/>
    <w:rsid w:val="00352B9C"/>
    <w:rsid w:val="00353005"/>
    <w:rsid w:val="003530F5"/>
    <w:rsid w:val="0035346C"/>
    <w:rsid w:val="003538F6"/>
    <w:rsid w:val="00353AAD"/>
    <w:rsid w:val="003544FC"/>
    <w:rsid w:val="00354813"/>
    <w:rsid w:val="003548AE"/>
    <w:rsid w:val="00354BD6"/>
    <w:rsid w:val="00354D2D"/>
    <w:rsid w:val="00354EA6"/>
    <w:rsid w:val="00354EDF"/>
    <w:rsid w:val="0035513E"/>
    <w:rsid w:val="00355240"/>
    <w:rsid w:val="00355AEB"/>
    <w:rsid w:val="00355B9D"/>
    <w:rsid w:val="00356246"/>
    <w:rsid w:val="003563BC"/>
    <w:rsid w:val="003566A2"/>
    <w:rsid w:val="00356725"/>
    <w:rsid w:val="00356B37"/>
    <w:rsid w:val="00356B8D"/>
    <w:rsid w:val="00356BB2"/>
    <w:rsid w:val="00357804"/>
    <w:rsid w:val="00357E88"/>
    <w:rsid w:val="0036001B"/>
    <w:rsid w:val="00360586"/>
    <w:rsid w:val="00360D7B"/>
    <w:rsid w:val="00360E92"/>
    <w:rsid w:val="00360F78"/>
    <w:rsid w:val="00361134"/>
    <w:rsid w:val="003613E4"/>
    <w:rsid w:val="00361B04"/>
    <w:rsid w:val="00362876"/>
    <w:rsid w:val="003628B2"/>
    <w:rsid w:val="00362A22"/>
    <w:rsid w:val="00362B2E"/>
    <w:rsid w:val="00362B6E"/>
    <w:rsid w:val="00362CD4"/>
    <w:rsid w:val="00362E73"/>
    <w:rsid w:val="00362EB1"/>
    <w:rsid w:val="003632E0"/>
    <w:rsid w:val="00363369"/>
    <w:rsid w:val="003635DF"/>
    <w:rsid w:val="003637CC"/>
    <w:rsid w:val="00363A37"/>
    <w:rsid w:val="00363C0D"/>
    <w:rsid w:val="00363C9B"/>
    <w:rsid w:val="003644C1"/>
    <w:rsid w:val="00364623"/>
    <w:rsid w:val="00364C8E"/>
    <w:rsid w:val="00364FA9"/>
    <w:rsid w:val="0036575B"/>
    <w:rsid w:val="003657FF"/>
    <w:rsid w:val="003659EA"/>
    <w:rsid w:val="00365AB8"/>
    <w:rsid w:val="00365AF5"/>
    <w:rsid w:val="00366420"/>
    <w:rsid w:val="0036672F"/>
    <w:rsid w:val="003671C5"/>
    <w:rsid w:val="003673CD"/>
    <w:rsid w:val="003679E7"/>
    <w:rsid w:val="00370ACB"/>
    <w:rsid w:val="00370F46"/>
    <w:rsid w:val="00372109"/>
    <w:rsid w:val="00372AEC"/>
    <w:rsid w:val="0037336B"/>
    <w:rsid w:val="003737DA"/>
    <w:rsid w:val="00373E1C"/>
    <w:rsid w:val="00373FC7"/>
    <w:rsid w:val="003741BE"/>
    <w:rsid w:val="003741DF"/>
    <w:rsid w:val="003745B1"/>
    <w:rsid w:val="0037507F"/>
    <w:rsid w:val="00375AA9"/>
    <w:rsid w:val="00375B37"/>
    <w:rsid w:val="00375BCB"/>
    <w:rsid w:val="00375C19"/>
    <w:rsid w:val="00376644"/>
    <w:rsid w:val="00376667"/>
    <w:rsid w:val="00376746"/>
    <w:rsid w:val="0037676F"/>
    <w:rsid w:val="00376919"/>
    <w:rsid w:val="00376DED"/>
    <w:rsid w:val="00377355"/>
    <w:rsid w:val="00377457"/>
    <w:rsid w:val="003777DE"/>
    <w:rsid w:val="00377945"/>
    <w:rsid w:val="00377B31"/>
    <w:rsid w:val="00380463"/>
    <w:rsid w:val="003805E3"/>
    <w:rsid w:val="0038077E"/>
    <w:rsid w:val="00380D0D"/>
    <w:rsid w:val="00381008"/>
    <w:rsid w:val="003816BA"/>
    <w:rsid w:val="0038181B"/>
    <w:rsid w:val="00381A59"/>
    <w:rsid w:val="00381ABE"/>
    <w:rsid w:val="00381D11"/>
    <w:rsid w:val="00381DD9"/>
    <w:rsid w:val="00381EC6"/>
    <w:rsid w:val="0038276B"/>
    <w:rsid w:val="003827A5"/>
    <w:rsid w:val="00382C35"/>
    <w:rsid w:val="00383880"/>
    <w:rsid w:val="0038413E"/>
    <w:rsid w:val="00384142"/>
    <w:rsid w:val="0038459B"/>
    <w:rsid w:val="00384A10"/>
    <w:rsid w:val="00384D19"/>
    <w:rsid w:val="00385523"/>
    <w:rsid w:val="00385539"/>
    <w:rsid w:val="00385623"/>
    <w:rsid w:val="00385CD6"/>
    <w:rsid w:val="00385EC6"/>
    <w:rsid w:val="00386059"/>
    <w:rsid w:val="003861C9"/>
    <w:rsid w:val="003865FC"/>
    <w:rsid w:val="00386942"/>
    <w:rsid w:val="003869BA"/>
    <w:rsid w:val="00387234"/>
    <w:rsid w:val="00387414"/>
    <w:rsid w:val="003875B7"/>
    <w:rsid w:val="00387633"/>
    <w:rsid w:val="003879E5"/>
    <w:rsid w:val="00387AC4"/>
    <w:rsid w:val="00387D59"/>
    <w:rsid w:val="00387F72"/>
    <w:rsid w:val="003900A3"/>
    <w:rsid w:val="0039012F"/>
    <w:rsid w:val="003909F4"/>
    <w:rsid w:val="00390B8D"/>
    <w:rsid w:val="003917C8"/>
    <w:rsid w:val="00391F10"/>
    <w:rsid w:val="00391FCC"/>
    <w:rsid w:val="00392061"/>
    <w:rsid w:val="00392140"/>
    <w:rsid w:val="003921DD"/>
    <w:rsid w:val="00392211"/>
    <w:rsid w:val="00392602"/>
    <w:rsid w:val="00392AD9"/>
    <w:rsid w:val="00392C29"/>
    <w:rsid w:val="00393407"/>
    <w:rsid w:val="0039354B"/>
    <w:rsid w:val="00393B53"/>
    <w:rsid w:val="00393DAF"/>
    <w:rsid w:val="00393DD7"/>
    <w:rsid w:val="003941FB"/>
    <w:rsid w:val="00394243"/>
    <w:rsid w:val="0039430F"/>
    <w:rsid w:val="0039445D"/>
    <w:rsid w:val="003944CE"/>
    <w:rsid w:val="00394C60"/>
    <w:rsid w:val="00394C69"/>
    <w:rsid w:val="00395707"/>
    <w:rsid w:val="003958AF"/>
    <w:rsid w:val="003959F8"/>
    <w:rsid w:val="00395B95"/>
    <w:rsid w:val="0039651D"/>
    <w:rsid w:val="00396A7D"/>
    <w:rsid w:val="00396AA0"/>
    <w:rsid w:val="00396BC8"/>
    <w:rsid w:val="00397014"/>
    <w:rsid w:val="00397BB8"/>
    <w:rsid w:val="00397E47"/>
    <w:rsid w:val="003A04E4"/>
    <w:rsid w:val="003A0BB0"/>
    <w:rsid w:val="003A12C8"/>
    <w:rsid w:val="003A13C3"/>
    <w:rsid w:val="003A1B2E"/>
    <w:rsid w:val="003A1DA0"/>
    <w:rsid w:val="003A1DA9"/>
    <w:rsid w:val="003A1DB6"/>
    <w:rsid w:val="003A2301"/>
    <w:rsid w:val="003A2575"/>
    <w:rsid w:val="003A27EE"/>
    <w:rsid w:val="003A2A41"/>
    <w:rsid w:val="003A2A94"/>
    <w:rsid w:val="003A32BD"/>
    <w:rsid w:val="003A3692"/>
    <w:rsid w:val="003A36A6"/>
    <w:rsid w:val="003A40B5"/>
    <w:rsid w:val="003A4807"/>
    <w:rsid w:val="003A48C1"/>
    <w:rsid w:val="003A4B4D"/>
    <w:rsid w:val="003A4F8D"/>
    <w:rsid w:val="003A55C8"/>
    <w:rsid w:val="003A5699"/>
    <w:rsid w:val="003A58A4"/>
    <w:rsid w:val="003A594B"/>
    <w:rsid w:val="003A5CBB"/>
    <w:rsid w:val="003A6337"/>
    <w:rsid w:val="003A64D5"/>
    <w:rsid w:val="003A68C0"/>
    <w:rsid w:val="003A7269"/>
    <w:rsid w:val="003A73AB"/>
    <w:rsid w:val="003A7778"/>
    <w:rsid w:val="003A79F0"/>
    <w:rsid w:val="003A7AD2"/>
    <w:rsid w:val="003A7CFC"/>
    <w:rsid w:val="003A7D50"/>
    <w:rsid w:val="003B08A4"/>
    <w:rsid w:val="003B0997"/>
    <w:rsid w:val="003B09BA"/>
    <w:rsid w:val="003B0BB5"/>
    <w:rsid w:val="003B0F97"/>
    <w:rsid w:val="003B153C"/>
    <w:rsid w:val="003B1569"/>
    <w:rsid w:val="003B1663"/>
    <w:rsid w:val="003B1AE7"/>
    <w:rsid w:val="003B284A"/>
    <w:rsid w:val="003B3148"/>
    <w:rsid w:val="003B348A"/>
    <w:rsid w:val="003B36BE"/>
    <w:rsid w:val="003B3A3F"/>
    <w:rsid w:val="003B3FD9"/>
    <w:rsid w:val="003B47D0"/>
    <w:rsid w:val="003B5121"/>
    <w:rsid w:val="003B5270"/>
    <w:rsid w:val="003B539E"/>
    <w:rsid w:val="003B53E3"/>
    <w:rsid w:val="003B54FE"/>
    <w:rsid w:val="003B5664"/>
    <w:rsid w:val="003B5B15"/>
    <w:rsid w:val="003B5C38"/>
    <w:rsid w:val="003B5D1C"/>
    <w:rsid w:val="003B5DB1"/>
    <w:rsid w:val="003B6A24"/>
    <w:rsid w:val="003B6DA9"/>
    <w:rsid w:val="003B6FAD"/>
    <w:rsid w:val="003B7586"/>
    <w:rsid w:val="003C0DE6"/>
    <w:rsid w:val="003C11E4"/>
    <w:rsid w:val="003C12A7"/>
    <w:rsid w:val="003C1C42"/>
    <w:rsid w:val="003C1DC5"/>
    <w:rsid w:val="003C1E7E"/>
    <w:rsid w:val="003C211E"/>
    <w:rsid w:val="003C2640"/>
    <w:rsid w:val="003C2CFA"/>
    <w:rsid w:val="003C2F61"/>
    <w:rsid w:val="003C34AA"/>
    <w:rsid w:val="003C3787"/>
    <w:rsid w:val="003C3909"/>
    <w:rsid w:val="003C409B"/>
    <w:rsid w:val="003C42C2"/>
    <w:rsid w:val="003C468B"/>
    <w:rsid w:val="003C4CE2"/>
    <w:rsid w:val="003C4D16"/>
    <w:rsid w:val="003C5052"/>
    <w:rsid w:val="003C51C4"/>
    <w:rsid w:val="003C529B"/>
    <w:rsid w:val="003C52B6"/>
    <w:rsid w:val="003C56FE"/>
    <w:rsid w:val="003C5C41"/>
    <w:rsid w:val="003C5DC0"/>
    <w:rsid w:val="003C6BA3"/>
    <w:rsid w:val="003C6DBD"/>
    <w:rsid w:val="003C6EA4"/>
    <w:rsid w:val="003C702D"/>
    <w:rsid w:val="003C7477"/>
    <w:rsid w:val="003C7989"/>
    <w:rsid w:val="003C7DAE"/>
    <w:rsid w:val="003D0031"/>
    <w:rsid w:val="003D0961"/>
    <w:rsid w:val="003D0D1E"/>
    <w:rsid w:val="003D0E2F"/>
    <w:rsid w:val="003D13CA"/>
    <w:rsid w:val="003D156F"/>
    <w:rsid w:val="003D1674"/>
    <w:rsid w:val="003D1752"/>
    <w:rsid w:val="003D1CEA"/>
    <w:rsid w:val="003D1EA8"/>
    <w:rsid w:val="003D243D"/>
    <w:rsid w:val="003D284F"/>
    <w:rsid w:val="003D2E28"/>
    <w:rsid w:val="003D3EAA"/>
    <w:rsid w:val="003D434E"/>
    <w:rsid w:val="003D4B88"/>
    <w:rsid w:val="003D4CA6"/>
    <w:rsid w:val="003D5B84"/>
    <w:rsid w:val="003D5CDA"/>
    <w:rsid w:val="003D5D0D"/>
    <w:rsid w:val="003D6216"/>
    <w:rsid w:val="003D65E5"/>
    <w:rsid w:val="003D6634"/>
    <w:rsid w:val="003D752E"/>
    <w:rsid w:val="003D78D8"/>
    <w:rsid w:val="003D7C32"/>
    <w:rsid w:val="003E01B9"/>
    <w:rsid w:val="003E0BC3"/>
    <w:rsid w:val="003E0DE7"/>
    <w:rsid w:val="003E0E99"/>
    <w:rsid w:val="003E17D2"/>
    <w:rsid w:val="003E1969"/>
    <w:rsid w:val="003E1BF9"/>
    <w:rsid w:val="003E1C4B"/>
    <w:rsid w:val="003E2018"/>
    <w:rsid w:val="003E2763"/>
    <w:rsid w:val="003E2D7A"/>
    <w:rsid w:val="003E3209"/>
    <w:rsid w:val="003E3A7D"/>
    <w:rsid w:val="003E484F"/>
    <w:rsid w:val="003E4F1F"/>
    <w:rsid w:val="003E5537"/>
    <w:rsid w:val="003E554A"/>
    <w:rsid w:val="003E5589"/>
    <w:rsid w:val="003E5DF8"/>
    <w:rsid w:val="003E60B2"/>
    <w:rsid w:val="003E6272"/>
    <w:rsid w:val="003E662B"/>
    <w:rsid w:val="003E6690"/>
    <w:rsid w:val="003E697B"/>
    <w:rsid w:val="003E6AF7"/>
    <w:rsid w:val="003E70A4"/>
    <w:rsid w:val="003E7191"/>
    <w:rsid w:val="003E7520"/>
    <w:rsid w:val="003E7B78"/>
    <w:rsid w:val="003E7ECF"/>
    <w:rsid w:val="003E7FAD"/>
    <w:rsid w:val="003F0283"/>
    <w:rsid w:val="003F0333"/>
    <w:rsid w:val="003F056C"/>
    <w:rsid w:val="003F062F"/>
    <w:rsid w:val="003F0877"/>
    <w:rsid w:val="003F0C3B"/>
    <w:rsid w:val="003F0EC8"/>
    <w:rsid w:val="003F1975"/>
    <w:rsid w:val="003F1E02"/>
    <w:rsid w:val="003F2011"/>
    <w:rsid w:val="003F28F7"/>
    <w:rsid w:val="003F32F9"/>
    <w:rsid w:val="003F3ACB"/>
    <w:rsid w:val="003F3E11"/>
    <w:rsid w:val="003F43C1"/>
    <w:rsid w:val="003F4836"/>
    <w:rsid w:val="003F4A6A"/>
    <w:rsid w:val="003F5180"/>
    <w:rsid w:val="003F518B"/>
    <w:rsid w:val="003F5605"/>
    <w:rsid w:val="003F5820"/>
    <w:rsid w:val="003F5B46"/>
    <w:rsid w:val="003F5BF6"/>
    <w:rsid w:val="003F5E52"/>
    <w:rsid w:val="003F655D"/>
    <w:rsid w:val="003F66AE"/>
    <w:rsid w:val="003F66EF"/>
    <w:rsid w:val="003F6760"/>
    <w:rsid w:val="003F68AC"/>
    <w:rsid w:val="003F6A9F"/>
    <w:rsid w:val="003F6D66"/>
    <w:rsid w:val="003F6E55"/>
    <w:rsid w:val="003F7209"/>
    <w:rsid w:val="003F790A"/>
    <w:rsid w:val="003F7941"/>
    <w:rsid w:val="003F7EDB"/>
    <w:rsid w:val="003F7F95"/>
    <w:rsid w:val="00400053"/>
    <w:rsid w:val="004005FF"/>
    <w:rsid w:val="00400678"/>
    <w:rsid w:val="004007D5"/>
    <w:rsid w:val="00401178"/>
    <w:rsid w:val="004011D5"/>
    <w:rsid w:val="0040131E"/>
    <w:rsid w:val="004013B0"/>
    <w:rsid w:val="004013EA"/>
    <w:rsid w:val="00401844"/>
    <w:rsid w:val="004018ED"/>
    <w:rsid w:val="00401B5C"/>
    <w:rsid w:val="00401C4F"/>
    <w:rsid w:val="00401FBD"/>
    <w:rsid w:val="0040240D"/>
    <w:rsid w:val="00402862"/>
    <w:rsid w:val="0040295F"/>
    <w:rsid w:val="00402B0E"/>
    <w:rsid w:val="00402D36"/>
    <w:rsid w:val="00403831"/>
    <w:rsid w:val="0040398A"/>
    <w:rsid w:val="00403B48"/>
    <w:rsid w:val="00404ED1"/>
    <w:rsid w:val="0040531D"/>
    <w:rsid w:val="004059CB"/>
    <w:rsid w:val="00405B72"/>
    <w:rsid w:val="00405D14"/>
    <w:rsid w:val="00405EC1"/>
    <w:rsid w:val="00405FE5"/>
    <w:rsid w:val="004062FB"/>
    <w:rsid w:val="004064D3"/>
    <w:rsid w:val="0040655C"/>
    <w:rsid w:val="00406567"/>
    <w:rsid w:val="00406873"/>
    <w:rsid w:val="0040695D"/>
    <w:rsid w:val="00406A00"/>
    <w:rsid w:val="00406C07"/>
    <w:rsid w:val="004077C9"/>
    <w:rsid w:val="00407DF8"/>
    <w:rsid w:val="00407FAE"/>
    <w:rsid w:val="0041036C"/>
    <w:rsid w:val="00410917"/>
    <w:rsid w:val="00410DD2"/>
    <w:rsid w:val="00410E16"/>
    <w:rsid w:val="0041116B"/>
    <w:rsid w:val="00411192"/>
    <w:rsid w:val="00411394"/>
    <w:rsid w:val="004114E2"/>
    <w:rsid w:val="00411BE0"/>
    <w:rsid w:val="00411C42"/>
    <w:rsid w:val="00411D24"/>
    <w:rsid w:val="00411F39"/>
    <w:rsid w:val="004120A5"/>
    <w:rsid w:val="00412383"/>
    <w:rsid w:val="00412526"/>
    <w:rsid w:val="004132DA"/>
    <w:rsid w:val="004134DE"/>
    <w:rsid w:val="004136F2"/>
    <w:rsid w:val="00413B4B"/>
    <w:rsid w:val="00413E09"/>
    <w:rsid w:val="00413E5F"/>
    <w:rsid w:val="00413FE1"/>
    <w:rsid w:val="00414D28"/>
    <w:rsid w:val="00414EE6"/>
    <w:rsid w:val="004152EA"/>
    <w:rsid w:val="004161AC"/>
    <w:rsid w:val="00416577"/>
    <w:rsid w:val="00417132"/>
    <w:rsid w:val="004173CF"/>
    <w:rsid w:val="00417B98"/>
    <w:rsid w:val="004202AB"/>
    <w:rsid w:val="00420757"/>
    <w:rsid w:val="004209DA"/>
    <w:rsid w:val="00420DE9"/>
    <w:rsid w:val="00421882"/>
    <w:rsid w:val="00421ADD"/>
    <w:rsid w:val="004227D8"/>
    <w:rsid w:val="00422F93"/>
    <w:rsid w:val="00423068"/>
    <w:rsid w:val="004230CF"/>
    <w:rsid w:val="00423247"/>
    <w:rsid w:val="00423FA9"/>
    <w:rsid w:val="00424581"/>
    <w:rsid w:val="004248DE"/>
    <w:rsid w:val="0042491E"/>
    <w:rsid w:val="004250B5"/>
    <w:rsid w:val="0042574B"/>
    <w:rsid w:val="00425F19"/>
    <w:rsid w:val="0042625E"/>
    <w:rsid w:val="00426630"/>
    <w:rsid w:val="00426F78"/>
    <w:rsid w:val="00426FC0"/>
    <w:rsid w:val="004278B7"/>
    <w:rsid w:val="00427B29"/>
    <w:rsid w:val="00427C1D"/>
    <w:rsid w:val="00427DA9"/>
    <w:rsid w:val="00427F0D"/>
    <w:rsid w:val="00430007"/>
    <w:rsid w:val="00430531"/>
    <w:rsid w:val="004305FF"/>
    <w:rsid w:val="00430684"/>
    <w:rsid w:val="0043095F"/>
    <w:rsid w:val="00430BE1"/>
    <w:rsid w:val="00431013"/>
    <w:rsid w:val="00431B73"/>
    <w:rsid w:val="00431CF3"/>
    <w:rsid w:val="00431F8D"/>
    <w:rsid w:val="004323EE"/>
    <w:rsid w:val="0043242B"/>
    <w:rsid w:val="00432871"/>
    <w:rsid w:val="00432C25"/>
    <w:rsid w:val="00433376"/>
    <w:rsid w:val="004333D6"/>
    <w:rsid w:val="004334C5"/>
    <w:rsid w:val="004334F6"/>
    <w:rsid w:val="004337D8"/>
    <w:rsid w:val="00433E18"/>
    <w:rsid w:val="00434829"/>
    <w:rsid w:val="00434ACD"/>
    <w:rsid w:val="00434C7E"/>
    <w:rsid w:val="00434D9A"/>
    <w:rsid w:val="00434ED2"/>
    <w:rsid w:val="004350C1"/>
    <w:rsid w:val="004357AE"/>
    <w:rsid w:val="004357BC"/>
    <w:rsid w:val="00435B12"/>
    <w:rsid w:val="00436356"/>
    <w:rsid w:val="004369FA"/>
    <w:rsid w:val="004370B1"/>
    <w:rsid w:val="00437376"/>
    <w:rsid w:val="00437547"/>
    <w:rsid w:val="00437694"/>
    <w:rsid w:val="004379E9"/>
    <w:rsid w:val="00440319"/>
    <w:rsid w:val="0044032E"/>
    <w:rsid w:val="00440381"/>
    <w:rsid w:val="00440892"/>
    <w:rsid w:val="00440A2B"/>
    <w:rsid w:val="00440E96"/>
    <w:rsid w:val="00441207"/>
    <w:rsid w:val="0044120C"/>
    <w:rsid w:val="00441561"/>
    <w:rsid w:val="00441617"/>
    <w:rsid w:val="00441777"/>
    <w:rsid w:val="004418A9"/>
    <w:rsid w:val="004418B3"/>
    <w:rsid w:val="00441961"/>
    <w:rsid w:val="0044235C"/>
    <w:rsid w:val="004424F6"/>
    <w:rsid w:val="00442721"/>
    <w:rsid w:val="00442C98"/>
    <w:rsid w:val="00442F18"/>
    <w:rsid w:val="0044417A"/>
    <w:rsid w:val="004442AB"/>
    <w:rsid w:val="0044475B"/>
    <w:rsid w:val="00444858"/>
    <w:rsid w:val="00444A56"/>
    <w:rsid w:val="0044511E"/>
    <w:rsid w:val="00445F3C"/>
    <w:rsid w:val="0044640A"/>
    <w:rsid w:val="004465CF"/>
    <w:rsid w:val="004467FD"/>
    <w:rsid w:val="00447095"/>
    <w:rsid w:val="0044791D"/>
    <w:rsid w:val="004479A3"/>
    <w:rsid w:val="00447AB8"/>
    <w:rsid w:val="00447D94"/>
    <w:rsid w:val="00450367"/>
    <w:rsid w:val="00450577"/>
    <w:rsid w:val="0045062D"/>
    <w:rsid w:val="004506B7"/>
    <w:rsid w:val="00450857"/>
    <w:rsid w:val="00450D00"/>
    <w:rsid w:val="0045106E"/>
    <w:rsid w:val="004511A3"/>
    <w:rsid w:val="004511F4"/>
    <w:rsid w:val="004513FB"/>
    <w:rsid w:val="00451B65"/>
    <w:rsid w:val="00451DC2"/>
    <w:rsid w:val="004520DA"/>
    <w:rsid w:val="00452CC4"/>
    <w:rsid w:val="00452E5F"/>
    <w:rsid w:val="0045300A"/>
    <w:rsid w:val="004531BA"/>
    <w:rsid w:val="00453249"/>
    <w:rsid w:val="004532CA"/>
    <w:rsid w:val="00453360"/>
    <w:rsid w:val="004536EF"/>
    <w:rsid w:val="00453C05"/>
    <w:rsid w:val="0045411B"/>
    <w:rsid w:val="0045426D"/>
    <w:rsid w:val="004544EA"/>
    <w:rsid w:val="004548CB"/>
    <w:rsid w:val="00454987"/>
    <w:rsid w:val="00454A6A"/>
    <w:rsid w:val="00454DAE"/>
    <w:rsid w:val="00454DFC"/>
    <w:rsid w:val="0045549A"/>
    <w:rsid w:val="004554E7"/>
    <w:rsid w:val="004555AE"/>
    <w:rsid w:val="00455AD1"/>
    <w:rsid w:val="00455CA7"/>
    <w:rsid w:val="00455D2C"/>
    <w:rsid w:val="00455F40"/>
    <w:rsid w:val="004563F9"/>
    <w:rsid w:val="00456974"/>
    <w:rsid w:val="0045705F"/>
    <w:rsid w:val="0045712D"/>
    <w:rsid w:val="00457422"/>
    <w:rsid w:val="004574FB"/>
    <w:rsid w:val="0045769E"/>
    <w:rsid w:val="00457847"/>
    <w:rsid w:val="00457CAD"/>
    <w:rsid w:val="00457CE2"/>
    <w:rsid w:val="00457EBA"/>
    <w:rsid w:val="00460064"/>
    <w:rsid w:val="0046012A"/>
    <w:rsid w:val="00460425"/>
    <w:rsid w:val="00460ADA"/>
    <w:rsid w:val="00460C34"/>
    <w:rsid w:val="00461128"/>
    <w:rsid w:val="00461614"/>
    <w:rsid w:val="00461959"/>
    <w:rsid w:val="00461CB4"/>
    <w:rsid w:val="00462196"/>
    <w:rsid w:val="00462736"/>
    <w:rsid w:val="00462AF6"/>
    <w:rsid w:val="00462B7E"/>
    <w:rsid w:val="00462F01"/>
    <w:rsid w:val="00462F6C"/>
    <w:rsid w:val="00463167"/>
    <w:rsid w:val="00463413"/>
    <w:rsid w:val="0046347C"/>
    <w:rsid w:val="00463A16"/>
    <w:rsid w:val="00463E9C"/>
    <w:rsid w:val="00464AD4"/>
    <w:rsid w:val="00464BD0"/>
    <w:rsid w:val="00464BEC"/>
    <w:rsid w:val="00464F3C"/>
    <w:rsid w:val="00465A79"/>
    <w:rsid w:val="00465AD6"/>
    <w:rsid w:val="00465ADA"/>
    <w:rsid w:val="00465F2B"/>
    <w:rsid w:val="00466101"/>
    <w:rsid w:val="00466201"/>
    <w:rsid w:val="0046642E"/>
    <w:rsid w:val="00466C0C"/>
    <w:rsid w:val="00466D61"/>
    <w:rsid w:val="00466E1A"/>
    <w:rsid w:val="00466F8B"/>
    <w:rsid w:val="004670CB"/>
    <w:rsid w:val="00467519"/>
    <w:rsid w:val="00467537"/>
    <w:rsid w:val="0046795B"/>
    <w:rsid w:val="00467C20"/>
    <w:rsid w:val="00467C78"/>
    <w:rsid w:val="00467D56"/>
    <w:rsid w:val="00470021"/>
    <w:rsid w:val="00470126"/>
    <w:rsid w:val="00470188"/>
    <w:rsid w:val="0047044C"/>
    <w:rsid w:val="00470865"/>
    <w:rsid w:val="00470DAA"/>
    <w:rsid w:val="00471322"/>
    <w:rsid w:val="004718A8"/>
    <w:rsid w:val="00471935"/>
    <w:rsid w:val="0047196D"/>
    <w:rsid w:val="00471DA4"/>
    <w:rsid w:val="00471E90"/>
    <w:rsid w:val="0047248A"/>
    <w:rsid w:val="004725A8"/>
    <w:rsid w:val="004725EF"/>
    <w:rsid w:val="0047295E"/>
    <w:rsid w:val="00472A1A"/>
    <w:rsid w:val="00472BF9"/>
    <w:rsid w:val="00472CC9"/>
    <w:rsid w:val="00472DEA"/>
    <w:rsid w:val="00472F5E"/>
    <w:rsid w:val="00473B39"/>
    <w:rsid w:val="00473ED8"/>
    <w:rsid w:val="00474680"/>
    <w:rsid w:val="00474E64"/>
    <w:rsid w:val="00474F87"/>
    <w:rsid w:val="004751CF"/>
    <w:rsid w:val="004753B8"/>
    <w:rsid w:val="00475902"/>
    <w:rsid w:val="00475EF5"/>
    <w:rsid w:val="00476378"/>
    <w:rsid w:val="0047694E"/>
    <w:rsid w:val="00476982"/>
    <w:rsid w:val="00476AFC"/>
    <w:rsid w:val="004775D6"/>
    <w:rsid w:val="00477B61"/>
    <w:rsid w:val="00477CAA"/>
    <w:rsid w:val="004800C3"/>
    <w:rsid w:val="004801B9"/>
    <w:rsid w:val="0048022A"/>
    <w:rsid w:val="00480612"/>
    <w:rsid w:val="004807ED"/>
    <w:rsid w:val="00481141"/>
    <w:rsid w:val="0048154C"/>
    <w:rsid w:val="00481AFA"/>
    <w:rsid w:val="00481ECD"/>
    <w:rsid w:val="00482250"/>
    <w:rsid w:val="0048239A"/>
    <w:rsid w:val="00482B24"/>
    <w:rsid w:val="00482FC8"/>
    <w:rsid w:val="00483ADC"/>
    <w:rsid w:val="00483C66"/>
    <w:rsid w:val="00483DAD"/>
    <w:rsid w:val="00483DD5"/>
    <w:rsid w:val="00483ED2"/>
    <w:rsid w:val="00483FD0"/>
    <w:rsid w:val="00484529"/>
    <w:rsid w:val="004848D1"/>
    <w:rsid w:val="00484C71"/>
    <w:rsid w:val="00484FD7"/>
    <w:rsid w:val="00485285"/>
    <w:rsid w:val="00485388"/>
    <w:rsid w:val="0048541D"/>
    <w:rsid w:val="00485561"/>
    <w:rsid w:val="004855F9"/>
    <w:rsid w:val="00485740"/>
    <w:rsid w:val="00485AC0"/>
    <w:rsid w:val="00485C41"/>
    <w:rsid w:val="0048617B"/>
    <w:rsid w:val="004862B4"/>
    <w:rsid w:val="004862F5"/>
    <w:rsid w:val="004866D9"/>
    <w:rsid w:val="00486B21"/>
    <w:rsid w:val="00486E0E"/>
    <w:rsid w:val="00487DC8"/>
    <w:rsid w:val="0049016C"/>
    <w:rsid w:val="00490360"/>
    <w:rsid w:val="004904C1"/>
    <w:rsid w:val="004904DD"/>
    <w:rsid w:val="004906F3"/>
    <w:rsid w:val="004909EC"/>
    <w:rsid w:val="00490ADA"/>
    <w:rsid w:val="00490FF7"/>
    <w:rsid w:val="004912DD"/>
    <w:rsid w:val="0049140D"/>
    <w:rsid w:val="004914CD"/>
    <w:rsid w:val="004917F7"/>
    <w:rsid w:val="00491812"/>
    <w:rsid w:val="00491F32"/>
    <w:rsid w:val="00492703"/>
    <w:rsid w:val="00492B4A"/>
    <w:rsid w:val="0049376B"/>
    <w:rsid w:val="00493DDD"/>
    <w:rsid w:val="00493E7B"/>
    <w:rsid w:val="00493F45"/>
    <w:rsid w:val="00494019"/>
    <w:rsid w:val="0049413C"/>
    <w:rsid w:val="0049467A"/>
    <w:rsid w:val="00494695"/>
    <w:rsid w:val="004948F7"/>
    <w:rsid w:val="00494A27"/>
    <w:rsid w:val="00494D15"/>
    <w:rsid w:val="00494DDF"/>
    <w:rsid w:val="00494E8F"/>
    <w:rsid w:val="0049523F"/>
    <w:rsid w:val="00495374"/>
    <w:rsid w:val="0049567B"/>
    <w:rsid w:val="00495980"/>
    <w:rsid w:val="00495D16"/>
    <w:rsid w:val="0049601E"/>
    <w:rsid w:val="00496115"/>
    <w:rsid w:val="00496682"/>
    <w:rsid w:val="00496A62"/>
    <w:rsid w:val="00496AE7"/>
    <w:rsid w:val="00496CC1"/>
    <w:rsid w:val="004973D4"/>
    <w:rsid w:val="00497877"/>
    <w:rsid w:val="00497FB0"/>
    <w:rsid w:val="004A0FE6"/>
    <w:rsid w:val="004A10EE"/>
    <w:rsid w:val="004A12E1"/>
    <w:rsid w:val="004A1562"/>
    <w:rsid w:val="004A15CA"/>
    <w:rsid w:val="004A16C5"/>
    <w:rsid w:val="004A16CF"/>
    <w:rsid w:val="004A194F"/>
    <w:rsid w:val="004A1D29"/>
    <w:rsid w:val="004A1E5E"/>
    <w:rsid w:val="004A21A9"/>
    <w:rsid w:val="004A2A05"/>
    <w:rsid w:val="004A2A5A"/>
    <w:rsid w:val="004A2B10"/>
    <w:rsid w:val="004A2B81"/>
    <w:rsid w:val="004A2C15"/>
    <w:rsid w:val="004A2F07"/>
    <w:rsid w:val="004A3091"/>
    <w:rsid w:val="004A37C9"/>
    <w:rsid w:val="004A3AC2"/>
    <w:rsid w:val="004A3AE9"/>
    <w:rsid w:val="004A3CB9"/>
    <w:rsid w:val="004A4087"/>
    <w:rsid w:val="004A43AF"/>
    <w:rsid w:val="004A47FF"/>
    <w:rsid w:val="004A484F"/>
    <w:rsid w:val="004A4E19"/>
    <w:rsid w:val="004A534D"/>
    <w:rsid w:val="004A55E0"/>
    <w:rsid w:val="004A5896"/>
    <w:rsid w:val="004A5BA5"/>
    <w:rsid w:val="004A6559"/>
    <w:rsid w:val="004A6D53"/>
    <w:rsid w:val="004A748E"/>
    <w:rsid w:val="004A7B8C"/>
    <w:rsid w:val="004B05F3"/>
    <w:rsid w:val="004B06E1"/>
    <w:rsid w:val="004B0707"/>
    <w:rsid w:val="004B0DB3"/>
    <w:rsid w:val="004B15EE"/>
    <w:rsid w:val="004B1ACD"/>
    <w:rsid w:val="004B1C08"/>
    <w:rsid w:val="004B1CEC"/>
    <w:rsid w:val="004B2C3B"/>
    <w:rsid w:val="004B2CA8"/>
    <w:rsid w:val="004B3A46"/>
    <w:rsid w:val="004B414A"/>
    <w:rsid w:val="004B4683"/>
    <w:rsid w:val="004B4AF8"/>
    <w:rsid w:val="004B4EBC"/>
    <w:rsid w:val="004B504B"/>
    <w:rsid w:val="004B50A0"/>
    <w:rsid w:val="004B50C5"/>
    <w:rsid w:val="004B5111"/>
    <w:rsid w:val="004B5160"/>
    <w:rsid w:val="004B55D6"/>
    <w:rsid w:val="004B57AA"/>
    <w:rsid w:val="004B5B8C"/>
    <w:rsid w:val="004B5D84"/>
    <w:rsid w:val="004B6709"/>
    <w:rsid w:val="004B6BDF"/>
    <w:rsid w:val="004B6CB1"/>
    <w:rsid w:val="004B70F1"/>
    <w:rsid w:val="004B74F7"/>
    <w:rsid w:val="004B791E"/>
    <w:rsid w:val="004B7DD9"/>
    <w:rsid w:val="004C010E"/>
    <w:rsid w:val="004C0182"/>
    <w:rsid w:val="004C029B"/>
    <w:rsid w:val="004C0A18"/>
    <w:rsid w:val="004C0EAF"/>
    <w:rsid w:val="004C12A6"/>
    <w:rsid w:val="004C14EB"/>
    <w:rsid w:val="004C1843"/>
    <w:rsid w:val="004C2312"/>
    <w:rsid w:val="004C26CA"/>
    <w:rsid w:val="004C2A22"/>
    <w:rsid w:val="004C2FCF"/>
    <w:rsid w:val="004C32E7"/>
    <w:rsid w:val="004C3671"/>
    <w:rsid w:val="004C3C60"/>
    <w:rsid w:val="004C3FD0"/>
    <w:rsid w:val="004C483E"/>
    <w:rsid w:val="004C49A1"/>
    <w:rsid w:val="004C5202"/>
    <w:rsid w:val="004C5A6B"/>
    <w:rsid w:val="004C64C7"/>
    <w:rsid w:val="004C65BA"/>
    <w:rsid w:val="004C727A"/>
    <w:rsid w:val="004C7AA2"/>
    <w:rsid w:val="004C7BA7"/>
    <w:rsid w:val="004D051B"/>
    <w:rsid w:val="004D0883"/>
    <w:rsid w:val="004D0A9A"/>
    <w:rsid w:val="004D0AC9"/>
    <w:rsid w:val="004D1C0A"/>
    <w:rsid w:val="004D2152"/>
    <w:rsid w:val="004D2357"/>
    <w:rsid w:val="004D2CB4"/>
    <w:rsid w:val="004D2FD4"/>
    <w:rsid w:val="004D3878"/>
    <w:rsid w:val="004D399E"/>
    <w:rsid w:val="004D4A55"/>
    <w:rsid w:val="004D4C11"/>
    <w:rsid w:val="004D4E4A"/>
    <w:rsid w:val="004D4ED0"/>
    <w:rsid w:val="004D5361"/>
    <w:rsid w:val="004D5752"/>
    <w:rsid w:val="004D5876"/>
    <w:rsid w:val="004D5AFD"/>
    <w:rsid w:val="004D5EC4"/>
    <w:rsid w:val="004D6818"/>
    <w:rsid w:val="004D68A9"/>
    <w:rsid w:val="004D6D8E"/>
    <w:rsid w:val="004D7A06"/>
    <w:rsid w:val="004D7B05"/>
    <w:rsid w:val="004D7B0D"/>
    <w:rsid w:val="004E0056"/>
    <w:rsid w:val="004E0354"/>
    <w:rsid w:val="004E085F"/>
    <w:rsid w:val="004E09DD"/>
    <w:rsid w:val="004E0AD9"/>
    <w:rsid w:val="004E0B39"/>
    <w:rsid w:val="004E0BA5"/>
    <w:rsid w:val="004E10ED"/>
    <w:rsid w:val="004E1BE0"/>
    <w:rsid w:val="004E1F50"/>
    <w:rsid w:val="004E2543"/>
    <w:rsid w:val="004E2AD9"/>
    <w:rsid w:val="004E314C"/>
    <w:rsid w:val="004E32CB"/>
    <w:rsid w:val="004E3355"/>
    <w:rsid w:val="004E344D"/>
    <w:rsid w:val="004E376C"/>
    <w:rsid w:val="004E3867"/>
    <w:rsid w:val="004E3944"/>
    <w:rsid w:val="004E3E9F"/>
    <w:rsid w:val="004E4005"/>
    <w:rsid w:val="004E47AD"/>
    <w:rsid w:val="004E49CD"/>
    <w:rsid w:val="004E4B84"/>
    <w:rsid w:val="004E4C7F"/>
    <w:rsid w:val="004E4F37"/>
    <w:rsid w:val="004E50F5"/>
    <w:rsid w:val="004E52D2"/>
    <w:rsid w:val="004E5827"/>
    <w:rsid w:val="004E59A2"/>
    <w:rsid w:val="004E5A28"/>
    <w:rsid w:val="004E5A75"/>
    <w:rsid w:val="004E5AF3"/>
    <w:rsid w:val="004E5EDC"/>
    <w:rsid w:val="004E61B5"/>
    <w:rsid w:val="004E6739"/>
    <w:rsid w:val="004E6938"/>
    <w:rsid w:val="004E73F1"/>
    <w:rsid w:val="004E7FB1"/>
    <w:rsid w:val="004F04E4"/>
    <w:rsid w:val="004F0628"/>
    <w:rsid w:val="004F0C6A"/>
    <w:rsid w:val="004F1576"/>
    <w:rsid w:val="004F1624"/>
    <w:rsid w:val="004F176D"/>
    <w:rsid w:val="004F19C1"/>
    <w:rsid w:val="004F1A54"/>
    <w:rsid w:val="004F2569"/>
    <w:rsid w:val="004F2D73"/>
    <w:rsid w:val="004F31A4"/>
    <w:rsid w:val="004F38C1"/>
    <w:rsid w:val="004F3ADC"/>
    <w:rsid w:val="004F4017"/>
    <w:rsid w:val="004F428D"/>
    <w:rsid w:val="004F49CA"/>
    <w:rsid w:val="004F4B80"/>
    <w:rsid w:val="004F4FE6"/>
    <w:rsid w:val="004F573F"/>
    <w:rsid w:val="004F581F"/>
    <w:rsid w:val="004F59AA"/>
    <w:rsid w:val="004F5B74"/>
    <w:rsid w:val="004F5FAB"/>
    <w:rsid w:val="004F6239"/>
    <w:rsid w:val="004F623F"/>
    <w:rsid w:val="004F65DB"/>
    <w:rsid w:val="004F6A32"/>
    <w:rsid w:val="004F6ABB"/>
    <w:rsid w:val="004F7068"/>
    <w:rsid w:val="004F746C"/>
    <w:rsid w:val="004F7592"/>
    <w:rsid w:val="004F77B6"/>
    <w:rsid w:val="004F7A67"/>
    <w:rsid w:val="004F7EAC"/>
    <w:rsid w:val="00500B03"/>
    <w:rsid w:val="00500DDD"/>
    <w:rsid w:val="00500E34"/>
    <w:rsid w:val="005013EE"/>
    <w:rsid w:val="00501420"/>
    <w:rsid w:val="005015AE"/>
    <w:rsid w:val="00501A33"/>
    <w:rsid w:val="00501EFB"/>
    <w:rsid w:val="0050200A"/>
    <w:rsid w:val="005024A3"/>
    <w:rsid w:val="005024AD"/>
    <w:rsid w:val="005028E4"/>
    <w:rsid w:val="005029C5"/>
    <w:rsid w:val="00502B90"/>
    <w:rsid w:val="00502ED7"/>
    <w:rsid w:val="00503302"/>
    <w:rsid w:val="005033CC"/>
    <w:rsid w:val="00503596"/>
    <w:rsid w:val="005035B3"/>
    <w:rsid w:val="00503ADA"/>
    <w:rsid w:val="00503B3C"/>
    <w:rsid w:val="00503C29"/>
    <w:rsid w:val="005046D0"/>
    <w:rsid w:val="00504B47"/>
    <w:rsid w:val="00504F3D"/>
    <w:rsid w:val="00504F67"/>
    <w:rsid w:val="005052BD"/>
    <w:rsid w:val="0050544A"/>
    <w:rsid w:val="005058AB"/>
    <w:rsid w:val="00505942"/>
    <w:rsid w:val="00505F94"/>
    <w:rsid w:val="00506799"/>
    <w:rsid w:val="00506E4D"/>
    <w:rsid w:val="00506F3C"/>
    <w:rsid w:val="00507029"/>
    <w:rsid w:val="00507248"/>
    <w:rsid w:val="00507556"/>
    <w:rsid w:val="005075B5"/>
    <w:rsid w:val="005076EA"/>
    <w:rsid w:val="00510575"/>
    <w:rsid w:val="00510FE7"/>
    <w:rsid w:val="00511595"/>
    <w:rsid w:val="00511BFA"/>
    <w:rsid w:val="00511D26"/>
    <w:rsid w:val="00511F01"/>
    <w:rsid w:val="00512277"/>
    <w:rsid w:val="005128C1"/>
    <w:rsid w:val="005128F1"/>
    <w:rsid w:val="00512D0D"/>
    <w:rsid w:val="0051307B"/>
    <w:rsid w:val="00513086"/>
    <w:rsid w:val="00513141"/>
    <w:rsid w:val="00513229"/>
    <w:rsid w:val="005133D4"/>
    <w:rsid w:val="00513923"/>
    <w:rsid w:val="00513A7F"/>
    <w:rsid w:val="00513ADF"/>
    <w:rsid w:val="00513CF4"/>
    <w:rsid w:val="00513D18"/>
    <w:rsid w:val="00513E07"/>
    <w:rsid w:val="00513FEC"/>
    <w:rsid w:val="0051416C"/>
    <w:rsid w:val="005147F7"/>
    <w:rsid w:val="00514AD4"/>
    <w:rsid w:val="00514BC6"/>
    <w:rsid w:val="00514DB0"/>
    <w:rsid w:val="00514FFF"/>
    <w:rsid w:val="0051599B"/>
    <w:rsid w:val="00515C0E"/>
    <w:rsid w:val="00515EFA"/>
    <w:rsid w:val="00516032"/>
    <w:rsid w:val="005165FD"/>
    <w:rsid w:val="00516603"/>
    <w:rsid w:val="0051662F"/>
    <w:rsid w:val="00516A96"/>
    <w:rsid w:val="00516CF0"/>
    <w:rsid w:val="00517235"/>
    <w:rsid w:val="0051728E"/>
    <w:rsid w:val="00517408"/>
    <w:rsid w:val="00520112"/>
    <w:rsid w:val="005202CA"/>
    <w:rsid w:val="005202E1"/>
    <w:rsid w:val="00520901"/>
    <w:rsid w:val="00520B8F"/>
    <w:rsid w:val="00520BC7"/>
    <w:rsid w:val="0052110D"/>
    <w:rsid w:val="00521C35"/>
    <w:rsid w:val="00521D16"/>
    <w:rsid w:val="00521FC4"/>
    <w:rsid w:val="00522BE0"/>
    <w:rsid w:val="00522C28"/>
    <w:rsid w:val="00522D8B"/>
    <w:rsid w:val="0052318E"/>
    <w:rsid w:val="00523862"/>
    <w:rsid w:val="005241AE"/>
    <w:rsid w:val="005244A4"/>
    <w:rsid w:val="005245CF"/>
    <w:rsid w:val="00524B3E"/>
    <w:rsid w:val="00524F5A"/>
    <w:rsid w:val="00524F60"/>
    <w:rsid w:val="005251D3"/>
    <w:rsid w:val="005254B8"/>
    <w:rsid w:val="0052597D"/>
    <w:rsid w:val="005260B2"/>
    <w:rsid w:val="005269A0"/>
    <w:rsid w:val="00526DC2"/>
    <w:rsid w:val="00526E37"/>
    <w:rsid w:val="00526EA2"/>
    <w:rsid w:val="00527845"/>
    <w:rsid w:val="00527B27"/>
    <w:rsid w:val="00527FB7"/>
    <w:rsid w:val="00530293"/>
    <w:rsid w:val="00530CA8"/>
    <w:rsid w:val="00530DAC"/>
    <w:rsid w:val="00531094"/>
    <w:rsid w:val="0053143D"/>
    <w:rsid w:val="0053190A"/>
    <w:rsid w:val="0053204C"/>
    <w:rsid w:val="00532129"/>
    <w:rsid w:val="005322C9"/>
    <w:rsid w:val="00532551"/>
    <w:rsid w:val="005329EE"/>
    <w:rsid w:val="00532C6F"/>
    <w:rsid w:val="00532FFD"/>
    <w:rsid w:val="00533C91"/>
    <w:rsid w:val="00533F54"/>
    <w:rsid w:val="00533FEF"/>
    <w:rsid w:val="005348E7"/>
    <w:rsid w:val="00534E0A"/>
    <w:rsid w:val="0053519A"/>
    <w:rsid w:val="005357D9"/>
    <w:rsid w:val="0053595E"/>
    <w:rsid w:val="005365AA"/>
    <w:rsid w:val="00536AA5"/>
    <w:rsid w:val="00536B92"/>
    <w:rsid w:val="00536BE2"/>
    <w:rsid w:val="00536CA5"/>
    <w:rsid w:val="00537613"/>
    <w:rsid w:val="00537719"/>
    <w:rsid w:val="005402AB"/>
    <w:rsid w:val="00540396"/>
    <w:rsid w:val="005406EE"/>
    <w:rsid w:val="00540829"/>
    <w:rsid w:val="00540E91"/>
    <w:rsid w:val="00540F16"/>
    <w:rsid w:val="005413ED"/>
    <w:rsid w:val="00541891"/>
    <w:rsid w:val="00541E76"/>
    <w:rsid w:val="005425CB"/>
    <w:rsid w:val="005429D3"/>
    <w:rsid w:val="005434F2"/>
    <w:rsid w:val="0054364A"/>
    <w:rsid w:val="00543F0E"/>
    <w:rsid w:val="00544137"/>
    <w:rsid w:val="0054413D"/>
    <w:rsid w:val="005447B7"/>
    <w:rsid w:val="0054498F"/>
    <w:rsid w:val="00544DB6"/>
    <w:rsid w:val="00544E18"/>
    <w:rsid w:val="005458CB"/>
    <w:rsid w:val="00545A2D"/>
    <w:rsid w:val="00545C1E"/>
    <w:rsid w:val="00545D2A"/>
    <w:rsid w:val="00545D30"/>
    <w:rsid w:val="005468EF"/>
    <w:rsid w:val="00546AF2"/>
    <w:rsid w:val="00546DB8"/>
    <w:rsid w:val="005479E1"/>
    <w:rsid w:val="00547D3C"/>
    <w:rsid w:val="00547EFC"/>
    <w:rsid w:val="00547F2F"/>
    <w:rsid w:val="00550468"/>
    <w:rsid w:val="00550757"/>
    <w:rsid w:val="00550945"/>
    <w:rsid w:val="00550E3D"/>
    <w:rsid w:val="00551352"/>
    <w:rsid w:val="005528B6"/>
    <w:rsid w:val="00552B18"/>
    <w:rsid w:val="00552B44"/>
    <w:rsid w:val="00553663"/>
    <w:rsid w:val="0055399A"/>
    <w:rsid w:val="00553B23"/>
    <w:rsid w:val="00553F64"/>
    <w:rsid w:val="00554E5D"/>
    <w:rsid w:val="00555641"/>
    <w:rsid w:val="00555A83"/>
    <w:rsid w:val="00556292"/>
    <w:rsid w:val="0055634D"/>
    <w:rsid w:val="0055636A"/>
    <w:rsid w:val="0055659E"/>
    <w:rsid w:val="00556CFA"/>
    <w:rsid w:val="00556D82"/>
    <w:rsid w:val="00556FCB"/>
    <w:rsid w:val="00557347"/>
    <w:rsid w:val="005577D3"/>
    <w:rsid w:val="00557B32"/>
    <w:rsid w:val="00557FBA"/>
    <w:rsid w:val="00560329"/>
    <w:rsid w:val="00560439"/>
    <w:rsid w:val="00560842"/>
    <w:rsid w:val="00560913"/>
    <w:rsid w:val="00560A92"/>
    <w:rsid w:val="005611EB"/>
    <w:rsid w:val="005618CA"/>
    <w:rsid w:val="00561A80"/>
    <w:rsid w:val="005622EE"/>
    <w:rsid w:val="0056310B"/>
    <w:rsid w:val="005632C9"/>
    <w:rsid w:val="005633A9"/>
    <w:rsid w:val="00563AB1"/>
    <w:rsid w:val="0056404B"/>
    <w:rsid w:val="005641A5"/>
    <w:rsid w:val="00564971"/>
    <w:rsid w:val="00564C61"/>
    <w:rsid w:val="00564D80"/>
    <w:rsid w:val="00564FFA"/>
    <w:rsid w:val="005653A0"/>
    <w:rsid w:val="0056583D"/>
    <w:rsid w:val="00565D2B"/>
    <w:rsid w:val="00566579"/>
    <w:rsid w:val="00566DE8"/>
    <w:rsid w:val="00566FD5"/>
    <w:rsid w:val="0056730B"/>
    <w:rsid w:val="005674A8"/>
    <w:rsid w:val="00567596"/>
    <w:rsid w:val="00567775"/>
    <w:rsid w:val="00567974"/>
    <w:rsid w:val="00567B44"/>
    <w:rsid w:val="00567FBA"/>
    <w:rsid w:val="00570B38"/>
    <w:rsid w:val="00570B3C"/>
    <w:rsid w:val="005711A8"/>
    <w:rsid w:val="005717A4"/>
    <w:rsid w:val="00571B15"/>
    <w:rsid w:val="00572057"/>
    <w:rsid w:val="00572060"/>
    <w:rsid w:val="005721A7"/>
    <w:rsid w:val="005725B7"/>
    <w:rsid w:val="00572778"/>
    <w:rsid w:val="00572927"/>
    <w:rsid w:val="00572B43"/>
    <w:rsid w:val="00572E60"/>
    <w:rsid w:val="00572EC0"/>
    <w:rsid w:val="0057384F"/>
    <w:rsid w:val="00573F5D"/>
    <w:rsid w:val="00574288"/>
    <w:rsid w:val="0057461D"/>
    <w:rsid w:val="0057495D"/>
    <w:rsid w:val="00574AFE"/>
    <w:rsid w:val="00574D19"/>
    <w:rsid w:val="00574D85"/>
    <w:rsid w:val="00574E0A"/>
    <w:rsid w:val="00575516"/>
    <w:rsid w:val="0057570D"/>
    <w:rsid w:val="00575D66"/>
    <w:rsid w:val="005766F6"/>
    <w:rsid w:val="00576851"/>
    <w:rsid w:val="00576E95"/>
    <w:rsid w:val="00577947"/>
    <w:rsid w:val="00577E91"/>
    <w:rsid w:val="0058000A"/>
    <w:rsid w:val="005800E5"/>
    <w:rsid w:val="00580652"/>
    <w:rsid w:val="005807DC"/>
    <w:rsid w:val="00580A8A"/>
    <w:rsid w:val="00580B58"/>
    <w:rsid w:val="00580C8B"/>
    <w:rsid w:val="00580CE2"/>
    <w:rsid w:val="0058100E"/>
    <w:rsid w:val="0058166A"/>
    <w:rsid w:val="005817DA"/>
    <w:rsid w:val="005819E0"/>
    <w:rsid w:val="00581D07"/>
    <w:rsid w:val="00582660"/>
    <w:rsid w:val="005829D5"/>
    <w:rsid w:val="005829D6"/>
    <w:rsid w:val="00582B9E"/>
    <w:rsid w:val="00582E67"/>
    <w:rsid w:val="0058306F"/>
    <w:rsid w:val="005845EB"/>
    <w:rsid w:val="00584794"/>
    <w:rsid w:val="00584BA0"/>
    <w:rsid w:val="00584DDC"/>
    <w:rsid w:val="00585171"/>
    <w:rsid w:val="00585556"/>
    <w:rsid w:val="0058564D"/>
    <w:rsid w:val="00585670"/>
    <w:rsid w:val="005856FE"/>
    <w:rsid w:val="005857BE"/>
    <w:rsid w:val="00585A6D"/>
    <w:rsid w:val="00585B0A"/>
    <w:rsid w:val="00585D40"/>
    <w:rsid w:val="0058713F"/>
    <w:rsid w:val="00587652"/>
    <w:rsid w:val="00587B2B"/>
    <w:rsid w:val="00587E5F"/>
    <w:rsid w:val="005900DE"/>
    <w:rsid w:val="00590535"/>
    <w:rsid w:val="005907C8"/>
    <w:rsid w:val="00590975"/>
    <w:rsid w:val="00590C75"/>
    <w:rsid w:val="00591172"/>
    <w:rsid w:val="005912D2"/>
    <w:rsid w:val="00591330"/>
    <w:rsid w:val="00591367"/>
    <w:rsid w:val="00591BB9"/>
    <w:rsid w:val="005927D1"/>
    <w:rsid w:val="00593BB8"/>
    <w:rsid w:val="0059421C"/>
    <w:rsid w:val="005942AE"/>
    <w:rsid w:val="00594B1B"/>
    <w:rsid w:val="00594B4E"/>
    <w:rsid w:val="005959D8"/>
    <w:rsid w:val="00595D79"/>
    <w:rsid w:val="00596409"/>
    <w:rsid w:val="00596526"/>
    <w:rsid w:val="00596A54"/>
    <w:rsid w:val="00596C53"/>
    <w:rsid w:val="00597191"/>
    <w:rsid w:val="005978A0"/>
    <w:rsid w:val="00597954"/>
    <w:rsid w:val="00597C84"/>
    <w:rsid w:val="00597E6E"/>
    <w:rsid w:val="005A047E"/>
    <w:rsid w:val="005A047F"/>
    <w:rsid w:val="005A0701"/>
    <w:rsid w:val="005A122F"/>
    <w:rsid w:val="005A17B7"/>
    <w:rsid w:val="005A18FF"/>
    <w:rsid w:val="005A19DB"/>
    <w:rsid w:val="005A1DB4"/>
    <w:rsid w:val="005A1ED8"/>
    <w:rsid w:val="005A1F26"/>
    <w:rsid w:val="005A1FED"/>
    <w:rsid w:val="005A2121"/>
    <w:rsid w:val="005A291C"/>
    <w:rsid w:val="005A2E7C"/>
    <w:rsid w:val="005A2E83"/>
    <w:rsid w:val="005A2EBF"/>
    <w:rsid w:val="005A2F94"/>
    <w:rsid w:val="005A2FC7"/>
    <w:rsid w:val="005A3220"/>
    <w:rsid w:val="005A364C"/>
    <w:rsid w:val="005A4073"/>
    <w:rsid w:val="005A423B"/>
    <w:rsid w:val="005A4337"/>
    <w:rsid w:val="005A46DB"/>
    <w:rsid w:val="005A46E9"/>
    <w:rsid w:val="005A5451"/>
    <w:rsid w:val="005A55F6"/>
    <w:rsid w:val="005A56CF"/>
    <w:rsid w:val="005A57C7"/>
    <w:rsid w:val="005A5ADE"/>
    <w:rsid w:val="005A5B93"/>
    <w:rsid w:val="005A5C40"/>
    <w:rsid w:val="005A5E3F"/>
    <w:rsid w:val="005A5FE5"/>
    <w:rsid w:val="005A6021"/>
    <w:rsid w:val="005A6171"/>
    <w:rsid w:val="005A6544"/>
    <w:rsid w:val="005A66A4"/>
    <w:rsid w:val="005A7430"/>
    <w:rsid w:val="005A7581"/>
    <w:rsid w:val="005A75CF"/>
    <w:rsid w:val="005A7D2E"/>
    <w:rsid w:val="005A7F26"/>
    <w:rsid w:val="005A7F87"/>
    <w:rsid w:val="005A7FEF"/>
    <w:rsid w:val="005B02C8"/>
    <w:rsid w:val="005B0597"/>
    <w:rsid w:val="005B0CE1"/>
    <w:rsid w:val="005B14C2"/>
    <w:rsid w:val="005B1A16"/>
    <w:rsid w:val="005B2120"/>
    <w:rsid w:val="005B242F"/>
    <w:rsid w:val="005B2850"/>
    <w:rsid w:val="005B288C"/>
    <w:rsid w:val="005B2D47"/>
    <w:rsid w:val="005B3066"/>
    <w:rsid w:val="005B3226"/>
    <w:rsid w:val="005B3374"/>
    <w:rsid w:val="005B3463"/>
    <w:rsid w:val="005B346B"/>
    <w:rsid w:val="005B3CEF"/>
    <w:rsid w:val="005B3DC7"/>
    <w:rsid w:val="005B3FC8"/>
    <w:rsid w:val="005B45ED"/>
    <w:rsid w:val="005B481C"/>
    <w:rsid w:val="005B48E0"/>
    <w:rsid w:val="005B4B24"/>
    <w:rsid w:val="005B52A0"/>
    <w:rsid w:val="005B6020"/>
    <w:rsid w:val="005B6044"/>
    <w:rsid w:val="005B619D"/>
    <w:rsid w:val="005B6383"/>
    <w:rsid w:val="005B65C6"/>
    <w:rsid w:val="005B6A8E"/>
    <w:rsid w:val="005B6DEA"/>
    <w:rsid w:val="005B725F"/>
    <w:rsid w:val="005B7BCD"/>
    <w:rsid w:val="005C0263"/>
    <w:rsid w:val="005C0583"/>
    <w:rsid w:val="005C05CC"/>
    <w:rsid w:val="005C0C4D"/>
    <w:rsid w:val="005C1100"/>
    <w:rsid w:val="005C15F6"/>
    <w:rsid w:val="005C1FB9"/>
    <w:rsid w:val="005C2D7A"/>
    <w:rsid w:val="005C3911"/>
    <w:rsid w:val="005C3A09"/>
    <w:rsid w:val="005C3E92"/>
    <w:rsid w:val="005C4012"/>
    <w:rsid w:val="005C4898"/>
    <w:rsid w:val="005C492C"/>
    <w:rsid w:val="005C4A24"/>
    <w:rsid w:val="005C4FF0"/>
    <w:rsid w:val="005C5E74"/>
    <w:rsid w:val="005C5EE8"/>
    <w:rsid w:val="005C5F5B"/>
    <w:rsid w:val="005C62DD"/>
    <w:rsid w:val="005C6B55"/>
    <w:rsid w:val="005C7200"/>
    <w:rsid w:val="005C7483"/>
    <w:rsid w:val="005C7525"/>
    <w:rsid w:val="005C7C8C"/>
    <w:rsid w:val="005C7E31"/>
    <w:rsid w:val="005D009B"/>
    <w:rsid w:val="005D02BB"/>
    <w:rsid w:val="005D06EF"/>
    <w:rsid w:val="005D09CF"/>
    <w:rsid w:val="005D0A9A"/>
    <w:rsid w:val="005D120B"/>
    <w:rsid w:val="005D12B5"/>
    <w:rsid w:val="005D1444"/>
    <w:rsid w:val="005D14C7"/>
    <w:rsid w:val="005D1719"/>
    <w:rsid w:val="005D1D01"/>
    <w:rsid w:val="005D1FA4"/>
    <w:rsid w:val="005D2018"/>
    <w:rsid w:val="005D237C"/>
    <w:rsid w:val="005D2C68"/>
    <w:rsid w:val="005D316C"/>
    <w:rsid w:val="005D31C1"/>
    <w:rsid w:val="005D3497"/>
    <w:rsid w:val="005D3594"/>
    <w:rsid w:val="005D3AD2"/>
    <w:rsid w:val="005D3B61"/>
    <w:rsid w:val="005D3BA7"/>
    <w:rsid w:val="005D43D4"/>
    <w:rsid w:val="005D4597"/>
    <w:rsid w:val="005D497C"/>
    <w:rsid w:val="005D4A65"/>
    <w:rsid w:val="005D50D9"/>
    <w:rsid w:val="005D5461"/>
    <w:rsid w:val="005D569B"/>
    <w:rsid w:val="005D5FD5"/>
    <w:rsid w:val="005D6236"/>
    <w:rsid w:val="005D6957"/>
    <w:rsid w:val="005D6E2E"/>
    <w:rsid w:val="005D7434"/>
    <w:rsid w:val="005D794D"/>
    <w:rsid w:val="005D79B8"/>
    <w:rsid w:val="005D7F19"/>
    <w:rsid w:val="005E005B"/>
    <w:rsid w:val="005E01D1"/>
    <w:rsid w:val="005E01F3"/>
    <w:rsid w:val="005E0C1C"/>
    <w:rsid w:val="005E0F16"/>
    <w:rsid w:val="005E180A"/>
    <w:rsid w:val="005E1975"/>
    <w:rsid w:val="005E1B12"/>
    <w:rsid w:val="005E1CC2"/>
    <w:rsid w:val="005E1D9A"/>
    <w:rsid w:val="005E200E"/>
    <w:rsid w:val="005E2AAD"/>
    <w:rsid w:val="005E2F9D"/>
    <w:rsid w:val="005E339C"/>
    <w:rsid w:val="005E3486"/>
    <w:rsid w:val="005E3609"/>
    <w:rsid w:val="005E3C17"/>
    <w:rsid w:val="005E432E"/>
    <w:rsid w:val="005E44B0"/>
    <w:rsid w:val="005E4CB6"/>
    <w:rsid w:val="005E5323"/>
    <w:rsid w:val="005E5391"/>
    <w:rsid w:val="005E6363"/>
    <w:rsid w:val="005E6A3F"/>
    <w:rsid w:val="005E6D34"/>
    <w:rsid w:val="005E745F"/>
    <w:rsid w:val="005E75B6"/>
    <w:rsid w:val="005E75BD"/>
    <w:rsid w:val="005E781A"/>
    <w:rsid w:val="005E7934"/>
    <w:rsid w:val="005E7CDB"/>
    <w:rsid w:val="005E7EB2"/>
    <w:rsid w:val="005E7FB8"/>
    <w:rsid w:val="005F03F8"/>
    <w:rsid w:val="005F055D"/>
    <w:rsid w:val="005F07EC"/>
    <w:rsid w:val="005F12DC"/>
    <w:rsid w:val="005F13C7"/>
    <w:rsid w:val="005F1963"/>
    <w:rsid w:val="005F19A8"/>
    <w:rsid w:val="005F1B2D"/>
    <w:rsid w:val="005F1E67"/>
    <w:rsid w:val="005F2001"/>
    <w:rsid w:val="005F2A9E"/>
    <w:rsid w:val="005F2AA0"/>
    <w:rsid w:val="005F2F7A"/>
    <w:rsid w:val="005F34CE"/>
    <w:rsid w:val="005F371D"/>
    <w:rsid w:val="005F3CC4"/>
    <w:rsid w:val="005F3F52"/>
    <w:rsid w:val="005F430E"/>
    <w:rsid w:val="005F446E"/>
    <w:rsid w:val="005F455E"/>
    <w:rsid w:val="005F4584"/>
    <w:rsid w:val="005F47CF"/>
    <w:rsid w:val="005F4B28"/>
    <w:rsid w:val="005F4E6A"/>
    <w:rsid w:val="005F4E88"/>
    <w:rsid w:val="005F549D"/>
    <w:rsid w:val="005F54B7"/>
    <w:rsid w:val="005F5C4E"/>
    <w:rsid w:val="005F5D7B"/>
    <w:rsid w:val="005F5FD6"/>
    <w:rsid w:val="005F626A"/>
    <w:rsid w:val="005F6280"/>
    <w:rsid w:val="005F63C0"/>
    <w:rsid w:val="005F667C"/>
    <w:rsid w:val="005F6739"/>
    <w:rsid w:val="005F69FA"/>
    <w:rsid w:val="005F6E34"/>
    <w:rsid w:val="005F75EC"/>
    <w:rsid w:val="005F779E"/>
    <w:rsid w:val="005F77A3"/>
    <w:rsid w:val="005F780A"/>
    <w:rsid w:val="005F7C73"/>
    <w:rsid w:val="005F7C80"/>
    <w:rsid w:val="005F7EA8"/>
    <w:rsid w:val="006002CE"/>
    <w:rsid w:val="00600713"/>
    <w:rsid w:val="00600855"/>
    <w:rsid w:val="00600D79"/>
    <w:rsid w:val="00601B35"/>
    <w:rsid w:val="00601BB8"/>
    <w:rsid w:val="006023D7"/>
    <w:rsid w:val="00602CF2"/>
    <w:rsid w:val="00603154"/>
    <w:rsid w:val="00603200"/>
    <w:rsid w:val="006032EE"/>
    <w:rsid w:val="0060335A"/>
    <w:rsid w:val="006033F5"/>
    <w:rsid w:val="006039E2"/>
    <w:rsid w:val="00603BFE"/>
    <w:rsid w:val="00603D9D"/>
    <w:rsid w:val="00603F8A"/>
    <w:rsid w:val="006043A3"/>
    <w:rsid w:val="0060456E"/>
    <w:rsid w:val="006047AB"/>
    <w:rsid w:val="006048F8"/>
    <w:rsid w:val="00604FE4"/>
    <w:rsid w:val="00605787"/>
    <w:rsid w:val="006059B2"/>
    <w:rsid w:val="00605B21"/>
    <w:rsid w:val="00605B5D"/>
    <w:rsid w:val="00606236"/>
    <w:rsid w:val="0060641A"/>
    <w:rsid w:val="00606729"/>
    <w:rsid w:val="00606966"/>
    <w:rsid w:val="006069CA"/>
    <w:rsid w:val="00606C89"/>
    <w:rsid w:val="006071FE"/>
    <w:rsid w:val="006077BA"/>
    <w:rsid w:val="00607ACB"/>
    <w:rsid w:val="00607F7B"/>
    <w:rsid w:val="006102E6"/>
    <w:rsid w:val="0061098C"/>
    <w:rsid w:val="00610CB7"/>
    <w:rsid w:val="0061124B"/>
    <w:rsid w:val="00611AA0"/>
    <w:rsid w:val="00611F27"/>
    <w:rsid w:val="0061209E"/>
    <w:rsid w:val="00612371"/>
    <w:rsid w:val="0061263C"/>
    <w:rsid w:val="00612839"/>
    <w:rsid w:val="006128F2"/>
    <w:rsid w:val="00612A54"/>
    <w:rsid w:val="00612DD7"/>
    <w:rsid w:val="00613070"/>
    <w:rsid w:val="006132C5"/>
    <w:rsid w:val="00613479"/>
    <w:rsid w:val="00613726"/>
    <w:rsid w:val="00614000"/>
    <w:rsid w:val="00614087"/>
    <w:rsid w:val="00614474"/>
    <w:rsid w:val="0061467F"/>
    <w:rsid w:val="00614B1D"/>
    <w:rsid w:val="006158A9"/>
    <w:rsid w:val="006159DC"/>
    <w:rsid w:val="00615B54"/>
    <w:rsid w:val="00615B91"/>
    <w:rsid w:val="00615F38"/>
    <w:rsid w:val="00615F92"/>
    <w:rsid w:val="0061646E"/>
    <w:rsid w:val="00616894"/>
    <w:rsid w:val="00616FBA"/>
    <w:rsid w:val="00616FC9"/>
    <w:rsid w:val="00617245"/>
    <w:rsid w:val="006173B2"/>
    <w:rsid w:val="006174F1"/>
    <w:rsid w:val="006178F1"/>
    <w:rsid w:val="00617DE6"/>
    <w:rsid w:val="00617F07"/>
    <w:rsid w:val="00620424"/>
    <w:rsid w:val="006205BA"/>
    <w:rsid w:val="006205DA"/>
    <w:rsid w:val="0062099D"/>
    <w:rsid w:val="00620DEA"/>
    <w:rsid w:val="00620E75"/>
    <w:rsid w:val="006211EF"/>
    <w:rsid w:val="006212E6"/>
    <w:rsid w:val="00621FA4"/>
    <w:rsid w:val="00622533"/>
    <w:rsid w:val="00622803"/>
    <w:rsid w:val="00622AB7"/>
    <w:rsid w:val="00622BEC"/>
    <w:rsid w:val="00623379"/>
    <w:rsid w:val="006233E8"/>
    <w:rsid w:val="006237A7"/>
    <w:rsid w:val="00623AD9"/>
    <w:rsid w:val="00623BEA"/>
    <w:rsid w:val="00623DED"/>
    <w:rsid w:val="00623F6D"/>
    <w:rsid w:val="0062423D"/>
    <w:rsid w:val="006243EF"/>
    <w:rsid w:val="0062441B"/>
    <w:rsid w:val="0062461B"/>
    <w:rsid w:val="0062476A"/>
    <w:rsid w:val="0062550A"/>
    <w:rsid w:val="006255D7"/>
    <w:rsid w:val="00625A83"/>
    <w:rsid w:val="00625F29"/>
    <w:rsid w:val="006269D2"/>
    <w:rsid w:val="00626E5B"/>
    <w:rsid w:val="00627BC3"/>
    <w:rsid w:val="006300DB"/>
    <w:rsid w:val="006303BA"/>
    <w:rsid w:val="00630410"/>
    <w:rsid w:val="0063085E"/>
    <w:rsid w:val="0063097D"/>
    <w:rsid w:val="006309A4"/>
    <w:rsid w:val="00630CE7"/>
    <w:rsid w:val="00630F6B"/>
    <w:rsid w:val="0063129C"/>
    <w:rsid w:val="006314E5"/>
    <w:rsid w:val="0063176D"/>
    <w:rsid w:val="0063177E"/>
    <w:rsid w:val="00631962"/>
    <w:rsid w:val="00631BD7"/>
    <w:rsid w:val="00632348"/>
    <w:rsid w:val="0063236A"/>
    <w:rsid w:val="006324AF"/>
    <w:rsid w:val="006324E4"/>
    <w:rsid w:val="00632649"/>
    <w:rsid w:val="00632655"/>
    <w:rsid w:val="00632C4E"/>
    <w:rsid w:val="0063312A"/>
    <w:rsid w:val="006335A0"/>
    <w:rsid w:val="00633DE2"/>
    <w:rsid w:val="00633E38"/>
    <w:rsid w:val="00633E93"/>
    <w:rsid w:val="00633EC1"/>
    <w:rsid w:val="00634171"/>
    <w:rsid w:val="00634307"/>
    <w:rsid w:val="0063441C"/>
    <w:rsid w:val="00635562"/>
    <w:rsid w:val="00635FDA"/>
    <w:rsid w:val="0063609C"/>
    <w:rsid w:val="00636530"/>
    <w:rsid w:val="0063667F"/>
    <w:rsid w:val="00636B36"/>
    <w:rsid w:val="0063716C"/>
    <w:rsid w:val="006377C3"/>
    <w:rsid w:val="0063797B"/>
    <w:rsid w:val="00637A6E"/>
    <w:rsid w:val="00640224"/>
    <w:rsid w:val="006403CD"/>
    <w:rsid w:val="00640489"/>
    <w:rsid w:val="00640928"/>
    <w:rsid w:val="00640A14"/>
    <w:rsid w:val="00640BB7"/>
    <w:rsid w:val="00640BE0"/>
    <w:rsid w:val="00641D09"/>
    <w:rsid w:val="0064256B"/>
    <w:rsid w:val="00642E18"/>
    <w:rsid w:val="00643086"/>
    <w:rsid w:val="0064323E"/>
    <w:rsid w:val="0064329E"/>
    <w:rsid w:val="00643BD5"/>
    <w:rsid w:val="00643D68"/>
    <w:rsid w:val="00644218"/>
    <w:rsid w:val="00644298"/>
    <w:rsid w:val="00644537"/>
    <w:rsid w:val="006447D6"/>
    <w:rsid w:val="006448BB"/>
    <w:rsid w:val="00644909"/>
    <w:rsid w:val="006449E2"/>
    <w:rsid w:val="00644D8B"/>
    <w:rsid w:val="006451DB"/>
    <w:rsid w:val="00645361"/>
    <w:rsid w:val="006458B2"/>
    <w:rsid w:val="00646193"/>
    <w:rsid w:val="00646593"/>
    <w:rsid w:val="00646644"/>
    <w:rsid w:val="00646C41"/>
    <w:rsid w:val="00647F77"/>
    <w:rsid w:val="0065079C"/>
    <w:rsid w:val="00650BD3"/>
    <w:rsid w:val="00650C9B"/>
    <w:rsid w:val="00650DF9"/>
    <w:rsid w:val="00650F27"/>
    <w:rsid w:val="0065117C"/>
    <w:rsid w:val="00651347"/>
    <w:rsid w:val="0065159E"/>
    <w:rsid w:val="00651922"/>
    <w:rsid w:val="00651AD0"/>
    <w:rsid w:val="00651DF0"/>
    <w:rsid w:val="00652334"/>
    <w:rsid w:val="0065278C"/>
    <w:rsid w:val="006528B1"/>
    <w:rsid w:val="00652F03"/>
    <w:rsid w:val="00652F98"/>
    <w:rsid w:val="006532C5"/>
    <w:rsid w:val="006533FB"/>
    <w:rsid w:val="00653428"/>
    <w:rsid w:val="006537CF"/>
    <w:rsid w:val="006539C3"/>
    <w:rsid w:val="00653A4C"/>
    <w:rsid w:val="00653CBB"/>
    <w:rsid w:val="00653F9B"/>
    <w:rsid w:val="00654944"/>
    <w:rsid w:val="00654D6B"/>
    <w:rsid w:val="00654E1D"/>
    <w:rsid w:val="00654F91"/>
    <w:rsid w:val="0065538D"/>
    <w:rsid w:val="0065564F"/>
    <w:rsid w:val="00655912"/>
    <w:rsid w:val="00655A45"/>
    <w:rsid w:val="00655B96"/>
    <w:rsid w:val="00655EB6"/>
    <w:rsid w:val="006562E8"/>
    <w:rsid w:val="006567DB"/>
    <w:rsid w:val="00657110"/>
    <w:rsid w:val="006574FD"/>
    <w:rsid w:val="00657A59"/>
    <w:rsid w:val="00657D4D"/>
    <w:rsid w:val="006603C5"/>
    <w:rsid w:val="006608C6"/>
    <w:rsid w:val="00660C15"/>
    <w:rsid w:val="0066115E"/>
    <w:rsid w:val="006611D9"/>
    <w:rsid w:val="006615C7"/>
    <w:rsid w:val="0066196A"/>
    <w:rsid w:val="006621B1"/>
    <w:rsid w:val="006622A8"/>
    <w:rsid w:val="006622DD"/>
    <w:rsid w:val="006624BF"/>
    <w:rsid w:val="006625FE"/>
    <w:rsid w:val="006629DA"/>
    <w:rsid w:val="00662A28"/>
    <w:rsid w:val="00662C19"/>
    <w:rsid w:val="00662DE9"/>
    <w:rsid w:val="00663003"/>
    <w:rsid w:val="00663014"/>
    <w:rsid w:val="00663473"/>
    <w:rsid w:val="006639AA"/>
    <w:rsid w:val="00664205"/>
    <w:rsid w:val="00664A75"/>
    <w:rsid w:val="00664D8C"/>
    <w:rsid w:val="00664E05"/>
    <w:rsid w:val="0066607F"/>
    <w:rsid w:val="00666456"/>
    <w:rsid w:val="00666708"/>
    <w:rsid w:val="0066680B"/>
    <w:rsid w:val="006668D6"/>
    <w:rsid w:val="00666E7A"/>
    <w:rsid w:val="0066753C"/>
    <w:rsid w:val="00667C07"/>
    <w:rsid w:val="0067004C"/>
    <w:rsid w:val="006702CC"/>
    <w:rsid w:val="0067051A"/>
    <w:rsid w:val="00670836"/>
    <w:rsid w:val="006708DF"/>
    <w:rsid w:val="006709AA"/>
    <w:rsid w:val="00670C74"/>
    <w:rsid w:val="00670E5B"/>
    <w:rsid w:val="00670E92"/>
    <w:rsid w:val="00670E9D"/>
    <w:rsid w:val="00670F0A"/>
    <w:rsid w:val="00671073"/>
    <w:rsid w:val="006711C0"/>
    <w:rsid w:val="00671450"/>
    <w:rsid w:val="006716CB"/>
    <w:rsid w:val="00671763"/>
    <w:rsid w:val="00671994"/>
    <w:rsid w:val="00671FBF"/>
    <w:rsid w:val="0067209C"/>
    <w:rsid w:val="00672490"/>
    <w:rsid w:val="00672DD5"/>
    <w:rsid w:val="00672F0B"/>
    <w:rsid w:val="00672F5F"/>
    <w:rsid w:val="00673481"/>
    <w:rsid w:val="006734E1"/>
    <w:rsid w:val="006735C2"/>
    <w:rsid w:val="0067384E"/>
    <w:rsid w:val="00673B5B"/>
    <w:rsid w:val="00673DFB"/>
    <w:rsid w:val="00673E8E"/>
    <w:rsid w:val="0067415D"/>
    <w:rsid w:val="0067442D"/>
    <w:rsid w:val="0067449F"/>
    <w:rsid w:val="00674820"/>
    <w:rsid w:val="00674AD9"/>
    <w:rsid w:val="00674B4C"/>
    <w:rsid w:val="00674D64"/>
    <w:rsid w:val="00676433"/>
    <w:rsid w:val="006765E1"/>
    <w:rsid w:val="0067686A"/>
    <w:rsid w:val="006770AC"/>
    <w:rsid w:val="00677A02"/>
    <w:rsid w:val="00677B94"/>
    <w:rsid w:val="00677D5E"/>
    <w:rsid w:val="00680052"/>
    <w:rsid w:val="0068015F"/>
    <w:rsid w:val="00680879"/>
    <w:rsid w:val="00680C4D"/>
    <w:rsid w:val="00680EAD"/>
    <w:rsid w:val="00681688"/>
    <w:rsid w:val="00681B43"/>
    <w:rsid w:val="00681B77"/>
    <w:rsid w:val="00681B99"/>
    <w:rsid w:val="006822F5"/>
    <w:rsid w:val="00682491"/>
    <w:rsid w:val="00682E02"/>
    <w:rsid w:val="00682F5F"/>
    <w:rsid w:val="00683363"/>
    <w:rsid w:val="006834C4"/>
    <w:rsid w:val="0068367D"/>
    <w:rsid w:val="00683723"/>
    <w:rsid w:val="00683BDD"/>
    <w:rsid w:val="006846AA"/>
    <w:rsid w:val="00684952"/>
    <w:rsid w:val="006850E5"/>
    <w:rsid w:val="00685E73"/>
    <w:rsid w:val="0068645B"/>
    <w:rsid w:val="006865D7"/>
    <w:rsid w:val="0068697C"/>
    <w:rsid w:val="00686A37"/>
    <w:rsid w:val="00686C88"/>
    <w:rsid w:val="00686D0C"/>
    <w:rsid w:val="0068706C"/>
    <w:rsid w:val="0068734D"/>
    <w:rsid w:val="006876E0"/>
    <w:rsid w:val="00687776"/>
    <w:rsid w:val="00687DEC"/>
    <w:rsid w:val="006905B7"/>
    <w:rsid w:val="00690820"/>
    <w:rsid w:val="006908AE"/>
    <w:rsid w:val="00690B6B"/>
    <w:rsid w:val="006917A3"/>
    <w:rsid w:val="006918D9"/>
    <w:rsid w:val="00692192"/>
    <w:rsid w:val="00692941"/>
    <w:rsid w:val="00693F01"/>
    <w:rsid w:val="00693F32"/>
    <w:rsid w:val="006945D1"/>
    <w:rsid w:val="00694E0A"/>
    <w:rsid w:val="00694E9F"/>
    <w:rsid w:val="00694ECC"/>
    <w:rsid w:val="00695144"/>
    <w:rsid w:val="00695199"/>
    <w:rsid w:val="00695D06"/>
    <w:rsid w:val="00695FBD"/>
    <w:rsid w:val="0069650C"/>
    <w:rsid w:val="0069692E"/>
    <w:rsid w:val="00696942"/>
    <w:rsid w:val="00696987"/>
    <w:rsid w:val="0069699E"/>
    <w:rsid w:val="00696C65"/>
    <w:rsid w:val="00696FC4"/>
    <w:rsid w:val="00697052"/>
    <w:rsid w:val="006973C9"/>
    <w:rsid w:val="006977CB"/>
    <w:rsid w:val="006979EA"/>
    <w:rsid w:val="00697A44"/>
    <w:rsid w:val="006A0B4F"/>
    <w:rsid w:val="006A0BAB"/>
    <w:rsid w:val="006A0C9F"/>
    <w:rsid w:val="006A0D4C"/>
    <w:rsid w:val="006A0FCD"/>
    <w:rsid w:val="006A11DC"/>
    <w:rsid w:val="006A1B62"/>
    <w:rsid w:val="006A2571"/>
    <w:rsid w:val="006A259F"/>
    <w:rsid w:val="006A272E"/>
    <w:rsid w:val="006A2851"/>
    <w:rsid w:val="006A2C97"/>
    <w:rsid w:val="006A2DD6"/>
    <w:rsid w:val="006A321C"/>
    <w:rsid w:val="006A351B"/>
    <w:rsid w:val="006A3A7C"/>
    <w:rsid w:val="006A3BE6"/>
    <w:rsid w:val="006A3D54"/>
    <w:rsid w:val="006A3EB2"/>
    <w:rsid w:val="006A3F40"/>
    <w:rsid w:val="006A4233"/>
    <w:rsid w:val="006A4314"/>
    <w:rsid w:val="006A4906"/>
    <w:rsid w:val="006A4F3E"/>
    <w:rsid w:val="006A5770"/>
    <w:rsid w:val="006A59E0"/>
    <w:rsid w:val="006A61B1"/>
    <w:rsid w:val="006A649F"/>
    <w:rsid w:val="006A66CE"/>
    <w:rsid w:val="006A6867"/>
    <w:rsid w:val="006A6907"/>
    <w:rsid w:val="006A6B0B"/>
    <w:rsid w:val="006A7AE2"/>
    <w:rsid w:val="006B0186"/>
    <w:rsid w:val="006B0978"/>
    <w:rsid w:val="006B0E92"/>
    <w:rsid w:val="006B10E1"/>
    <w:rsid w:val="006B111D"/>
    <w:rsid w:val="006B1659"/>
    <w:rsid w:val="006B1BF7"/>
    <w:rsid w:val="006B1CBD"/>
    <w:rsid w:val="006B243C"/>
    <w:rsid w:val="006B2848"/>
    <w:rsid w:val="006B2D05"/>
    <w:rsid w:val="006B2E5A"/>
    <w:rsid w:val="006B2FA7"/>
    <w:rsid w:val="006B31E1"/>
    <w:rsid w:val="006B3B96"/>
    <w:rsid w:val="006B3F5D"/>
    <w:rsid w:val="006B4174"/>
    <w:rsid w:val="006B4185"/>
    <w:rsid w:val="006B41B2"/>
    <w:rsid w:val="006B4B2F"/>
    <w:rsid w:val="006B4B78"/>
    <w:rsid w:val="006B4E35"/>
    <w:rsid w:val="006B4F40"/>
    <w:rsid w:val="006B4F58"/>
    <w:rsid w:val="006B5D41"/>
    <w:rsid w:val="006B6B70"/>
    <w:rsid w:val="006B6ECD"/>
    <w:rsid w:val="006B7341"/>
    <w:rsid w:val="006B7527"/>
    <w:rsid w:val="006B76BA"/>
    <w:rsid w:val="006B7928"/>
    <w:rsid w:val="006B7A10"/>
    <w:rsid w:val="006C013A"/>
    <w:rsid w:val="006C0823"/>
    <w:rsid w:val="006C0930"/>
    <w:rsid w:val="006C0DF7"/>
    <w:rsid w:val="006C0F4E"/>
    <w:rsid w:val="006C10C4"/>
    <w:rsid w:val="006C18FB"/>
    <w:rsid w:val="006C1FD2"/>
    <w:rsid w:val="006C25D7"/>
    <w:rsid w:val="006C28B0"/>
    <w:rsid w:val="006C2A7B"/>
    <w:rsid w:val="006C2B50"/>
    <w:rsid w:val="006C2C2C"/>
    <w:rsid w:val="006C307F"/>
    <w:rsid w:val="006C3102"/>
    <w:rsid w:val="006C3187"/>
    <w:rsid w:val="006C3ED3"/>
    <w:rsid w:val="006C476E"/>
    <w:rsid w:val="006C489F"/>
    <w:rsid w:val="006C48AC"/>
    <w:rsid w:val="006C4F3F"/>
    <w:rsid w:val="006C4F5B"/>
    <w:rsid w:val="006C5050"/>
    <w:rsid w:val="006C586F"/>
    <w:rsid w:val="006C6148"/>
    <w:rsid w:val="006C68E9"/>
    <w:rsid w:val="006C6A83"/>
    <w:rsid w:val="006C6FDB"/>
    <w:rsid w:val="006C72C6"/>
    <w:rsid w:val="006C74AC"/>
    <w:rsid w:val="006C7725"/>
    <w:rsid w:val="006C7948"/>
    <w:rsid w:val="006C79B9"/>
    <w:rsid w:val="006C79C4"/>
    <w:rsid w:val="006D0017"/>
    <w:rsid w:val="006D00C8"/>
    <w:rsid w:val="006D0266"/>
    <w:rsid w:val="006D0890"/>
    <w:rsid w:val="006D096E"/>
    <w:rsid w:val="006D102B"/>
    <w:rsid w:val="006D1135"/>
    <w:rsid w:val="006D16C2"/>
    <w:rsid w:val="006D18A4"/>
    <w:rsid w:val="006D1AB6"/>
    <w:rsid w:val="006D1CA8"/>
    <w:rsid w:val="006D1F88"/>
    <w:rsid w:val="006D1FBC"/>
    <w:rsid w:val="006D21D7"/>
    <w:rsid w:val="006D2316"/>
    <w:rsid w:val="006D23EA"/>
    <w:rsid w:val="006D276B"/>
    <w:rsid w:val="006D2AF3"/>
    <w:rsid w:val="006D2C18"/>
    <w:rsid w:val="006D30B2"/>
    <w:rsid w:val="006D33A1"/>
    <w:rsid w:val="006D3482"/>
    <w:rsid w:val="006D377C"/>
    <w:rsid w:val="006D3F23"/>
    <w:rsid w:val="006D419E"/>
    <w:rsid w:val="006D437D"/>
    <w:rsid w:val="006D445E"/>
    <w:rsid w:val="006D4831"/>
    <w:rsid w:val="006D4F00"/>
    <w:rsid w:val="006D5019"/>
    <w:rsid w:val="006D541A"/>
    <w:rsid w:val="006D541E"/>
    <w:rsid w:val="006D5C09"/>
    <w:rsid w:val="006D5C0D"/>
    <w:rsid w:val="006D5FF0"/>
    <w:rsid w:val="006D6176"/>
    <w:rsid w:val="006D765F"/>
    <w:rsid w:val="006D7909"/>
    <w:rsid w:val="006D7D97"/>
    <w:rsid w:val="006E0F23"/>
    <w:rsid w:val="006E1419"/>
    <w:rsid w:val="006E21A3"/>
    <w:rsid w:val="006E21F0"/>
    <w:rsid w:val="006E24CC"/>
    <w:rsid w:val="006E2525"/>
    <w:rsid w:val="006E254D"/>
    <w:rsid w:val="006E259C"/>
    <w:rsid w:val="006E2605"/>
    <w:rsid w:val="006E281B"/>
    <w:rsid w:val="006E2992"/>
    <w:rsid w:val="006E2A56"/>
    <w:rsid w:val="006E2C67"/>
    <w:rsid w:val="006E2D5D"/>
    <w:rsid w:val="006E2FDA"/>
    <w:rsid w:val="006E35BA"/>
    <w:rsid w:val="006E4DBC"/>
    <w:rsid w:val="006E4F6A"/>
    <w:rsid w:val="006E5877"/>
    <w:rsid w:val="006E5BC6"/>
    <w:rsid w:val="006E6023"/>
    <w:rsid w:val="006E62EA"/>
    <w:rsid w:val="006E67C3"/>
    <w:rsid w:val="006E68DA"/>
    <w:rsid w:val="006E71F8"/>
    <w:rsid w:val="006E74F0"/>
    <w:rsid w:val="006E7F3B"/>
    <w:rsid w:val="006E7FC9"/>
    <w:rsid w:val="006F02A6"/>
    <w:rsid w:val="006F086B"/>
    <w:rsid w:val="006F0977"/>
    <w:rsid w:val="006F09AB"/>
    <w:rsid w:val="006F0A92"/>
    <w:rsid w:val="006F133C"/>
    <w:rsid w:val="006F1A88"/>
    <w:rsid w:val="006F1AAD"/>
    <w:rsid w:val="006F1B6F"/>
    <w:rsid w:val="006F2010"/>
    <w:rsid w:val="006F214D"/>
    <w:rsid w:val="006F2AD4"/>
    <w:rsid w:val="006F2C96"/>
    <w:rsid w:val="006F2E39"/>
    <w:rsid w:val="006F3062"/>
    <w:rsid w:val="006F32EC"/>
    <w:rsid w:val="006F33F1"/>
    <w:rsid w:val="006F3430"/>
    <w:rsid w:val="006F38D6"/>
    <w:rsid w:val="006F40FA"/>
    <w:rsid w:val="006F4525"/>
    <w:rsid w:val="006F4588"/>
    <w:rsid w:val="006F4671"/>
    <w:rsid w:val="006F53CF"/>
    <w:rsid w:val="006F58AB"/>
    <w:rsid w:val="006F5976"/>
    <w:rsid w:val="006F59C9"/>
    <w:rsid w:val="006F5FD6"/>
    <w:rsid w:val="006F61ED"/>
    <w:rsid w:val="006F64B4"/>
    <w:rsid w:val="006F65D3"/>
    <w:rsid w:val="006F67F4"/>
    <w:rsid w:val="006F6CC3"/>
    <w:rsid w:val="006F79A2"/>
    <w:rsid w:val="006F7B59"/>
    <w:rsid w:val="006F7DB8"/>
    <w:rsid w:val="00700389"/>
    <w:rsid w:val="00700A08"/>
    <w:rsid w:val="0070117F"/>
    <w:rsid w:val="00701208"/>
    <w:rsid w:val="007012D4"/>
    <w:rsid w:val="007016FD"/>
    <w:rsid w:val="0070185E"/>
    <w:rsid w:val="0070190A"/>
    <w:rsid w:val="00701F69"/>
    <w:rsid w:val="0070211B"/>
    <w:rsid w:val="0070241C"/>
    <w:rsid w:val="00702644"/>
    <w:rsid w:val="0070277B"/>
    <w:rsid w:val="00702923"/>
    <w:rsid w:val="00702987"/>
    <w:rsid w:val="00702B1D"/>
    <w:rsid w:val="00702B29"/>
    <w:rsid w:val="00703202"/>
    <w:rsid w:val="00703A35"/>
    <w:rsid w:val="00703B95"/>
    <w:rsid w:val="00703D1F"/>
    <w:rsid w:val="00703DB6"/>
    <w:rsid w:val="00704774"/>
    <w:rsid w:val="00704BFF"/>
    <w:rsid w:val="00704DB9"/>
    <w:rsid w:val="007050EC"/>
    <w:rsid w:val="007052A5"/>
    <w:rsid w:val="00705333"/>
    <w:rsid w:val="00706D43"/>
    <w:rsid w:val="00707129"/>
    <w:rsid w:val="00707192"/>
    <w:rsid w:val="007073E1"/>
    <w:rsid w:val="0071033A"/>
    <w:rsid w:val="0071073D"/>
    <w:rsid w:val="00710991"/>
    <w:rsid w:val="00710ADD"/>
    <w:rsid w:val="00710AF9"/>
    <w:rsid w:val="00710BEC"/>
    <w:rsid w:val="00710EE9"/>
    <w:rsid w:val="00711060"/>
    <w:rsid w:val="0071111E"/>
    <w:rsid w:val="0071184D"/>
    <w:rsid w:val="00711EE1"/>
    <w:rsid w:val="00712805"/>
    <w:rsid w:val="007129D7"/>
    <w:rsid w:val="00712D3E"/>
    <w:rsid w:val="007131E6"/>
    <w:rsid w:val="00713E22"/>
    <w:rsid w:val="00713EFA"/>
    <w:rsid w:val="007143FB"/>
    <w:rsid w:val="007149E7"/>
    <w:rsid w:val="00714EAD"/>
    <w:rsid w:val="00715211"/>
    <w:rsid w:val="007152ED"/>
    <w:rsid w:val="00715816"/>
    <w:rsid w:val="00715859"/>
    <w:rsid w:val="00715C54"/>
    <w:rsid w:val="00715D78"/>
    <w:rsid w:val="0071600E"/>
    <w:rsid w:val="00716CB7"/>
    <w:rsid w:val="00716D22"/>
    <w:rsid w:val="00716F01"/>
    <w:rsid w:val="007172DF"/>
    <w:rsid w:val="00717632"/>
    <w:rsid w:val="00717AE1"/>
    <w:rsid w:val="00717D89"/>
    <w:rsid w:val="007202A7"/>
    <w:rsid w:val="007205EA"/>
    <w:rsid w:val="00720642"/>
    <w:rsid w:val="007208D2"/>
    <w:rsid w:val="007211C1"/>
    <w:rsid w:val="0072140C"/>
    <w:rsid w:val="007216D3"/>
    <w:rsid w:val="007216DA"/>
    <w:rsid w:val="007216E6"/>
    <w:rsid w:val="007217D2"/>
    <w:rsid w:val="00721ADD"/>
    <w:rsid w:val="00721C7B"/>
    <w:rsid w:val="00722980"/>
    <w:rsid w:val="00722A60"/>
    <w:rsid w:val="00724048"/>
    <w:rsid w:val="007240F0"/>
    <w:rsid w:val="00724174"/>
    <w:rsid w:val="007241FD"/>
    <w:rsid w:val="0072454C"/>
    <w:rsid w:val="00724795"/>
    <w:rsid w:val="00724E3F"/>
    <w:rsid w:val="0072592E"/>
    <w:rsid w:val="007259FE"/>
    <w:rsid w:val="00725A78"/>
    <w:rsid w:val="0072609D"/>
    <w:rsid w:val="00726505"/>
    <w:rsid w:val="00726C85"/>
    <w:rsid w:val="00726E36"/>
    <w:rsid w:val="0072715E"/>
    <w:rsid w:val="00727183"/>
    <w:rsid w:val="00727BF0"/>
    <w:rsid w:val="00730AF7"/>
    <w:rsid w:val="00730FA3"/>
    <w:rsid w:val="0073103F"/>
    <w:rsid w:val="007310D9"/>
    <w:rsid w:val="007316EA"/>
    <w:rsid w:val="00731928"/>
    <w:rsid w:val="00731AD8"/>
    <w:rsid w:val="00732342"/>
    <w:rsid w:val="00732504"/>
    <w:rsid w:val="00732680"/>
    <w:rsid w:val="007327A7"/>
    <w:rsid w:val="0073283D"/>
    <w:rsid w:val="00732D16"/>
    <w:rsid w:val="00732D3C"/>
    <w:rsid w:val="00732DFD"/>
    <w:rsid w:val="0073352D"/>
    <w:rsid w:val="00733F74"/>
    <w:rsid w:val="00733FD4"/>
    <w:rsid w:val="00734892"/>
    <w:rsid w:val="00734B0B"/>
    <w:rsid w:val="00734EF3"/>
    <w:rsid w:val="00734F66"/>
    <w:rsid w:val="00735007"/>
    <w:rsid w:val="00735021"/>
    <w:rsid w:val="00735508"/>
    <w:rsid w:val="00735C8E"/>
    <w:rsid w:val="0073609E"/>
    <w:rsid w:val="00736174"/>
    <w:rsid w:val="007363E1"/>
    <w:rsid w:val="00736470"/>
    <w:rsid w:val="007368B9"/>
    <w:rsid w:val="00736B61"/>
    <w:rsid w:val="0074004A"/>
    <w:rsid w:val="007405FE"/>
    <w:rsid w:val="007409AF"/>
    <w:rsid w:val="00740ED3"/>
    <w:rsid w:val="007413B5"/>
    <w:rsid w:val="007414E5"/>
    <w:rsid w:val="00741D83"/>
    <w:rsid w:val="00742084"/>
    <w:rsid w:val="00742573"/>
    <w:rsid w:val="0074270D"/>
    <w:rsid w:val="00742A8B"/>
    <w:rsid w:val="00742B15"/>
    <w:rsid w:val="00742C2A"/>
    <w:rsid w:val="00742E41"/>
    <w:rsid w:val="00742E46"/>
    <w:rsid w:val="0074300C"/>
    <w:rsid w:val="00743285"/>
    <w:rsid w:val="007433DE"/>
    <w:rsid w:val="00743431"/>
    <w:rsid w:val="00743667"/>
    <w:rsid w:val="007436DE"/>
    <w:rsid w:val="0074393A"/>
    <w:rsid w:val="00744204"/>
    <w:rsid w:val="00744662"/>
    <w:rsid w:val="00745681"/>
    <w:rsid w:val="00745B1D"/>
    <w:rsid w:val="00746028"/>
    <w:rsid w:val="00746291"/>
    <w:rsid w:val="00746C12"/>
    <w:rsid w:val="00746DC8"/>
    <w:rsid w:val="00746F25"/>
    <w:rsid w:val="00746F4B"/>
    <w:rsid w:val="00747356"/>
    <w:rsid w:val="007474DA"/>
    <w:rsid w:val="007474DC"/>
    <w:rsid w:val="0074756C"/>
    <w:rsid w:val="00747FB8"/>
    <w:rsid w:val="0075001A"/>
    <w:rsid w:val="007502BF"/>
    <w:rsid w:val="007505B4"/>
    <w:rsid w:val="00750600"/>
    <w:rsid w:val="00750C94"/>
    <w:rsid w:val="00750CE0"/>
    <w:rsid w:val="00750E62"/>
    <w:rsid w:val="00751618"/>
    <w:rsid w:val="00751E78"/>
    <w:rsid w:val="00752A1A"/>
    <w:rsid w:val="00752CD8"/>
    <w:rsid w:val="00752E76"/>
    <w:rsid w:val="00752F20"/>
    <w:rsid w:val="00752FD7"/>
    <w:rsid w:val="00753212"/>
    <w:rsid w:val="007532DD"/>
    <w:rsid w:val="007534B0"/>
    <w:rsid w:val="00753503"/>
    <w:rsid w:val="00754137"/>
    <w:rsid w:val="00754192"/>
    <w:rsid w:val="00754571"/>
    <w:rsid w:val="007549D2"/>
    <w:rsid w:val="00754B59"/>
    <w:rsid w:val="00754BD4"/>
    <w:rsid w:val="007551DB"/>
    <w:rsid w:val="0075549F"/>
    <w:rsid w:val="007555C3"/>
    <w:rsid w:val="00755C7F"/>
    <w:rsid w:val="00755EAD"/>
    <w:rsid w:val="00756CA8"/>
    <w:rsid w:val="0075764D"/>
    <w:rsid w:val="00760740"/>
    <w:rsid w:val="00760759"/>
    <w:rsid w:val="0076080F"/>
    <w:rsid w:val="007608F0"/>
    <w:rsid w:val="00760910"/>
    <w:rsid w:val="00760F25"/>
    <w:rsid w:val="0076132C"/>
    <w:rsid w:val="00761471"/>
    <w:rsid w:val="00761859"/>
    <w:rsid w:val="007618B9"/>
    <w:rsid w:val="00761EA0"/>
    <w:rsid w:val="00761EB4"/>
    <w:rsid w:val="00762B47"/>
    <w:rsid w:val="00762D32"/>
    <w:rsid w:val="007630A8"/>
    <w:rsid w:val="00764160"/>
    <w:rsid w:val="00764246"/>
    <w:rsid w:val="00764BB4"/>
    <w:rsid w:val="00764D57"/>
    <w:rsid w:val="00765045"/>
    <w:rsid w:val="007652D2"/>
    <w:rsid w:val="007659EC"/>
    <w:rsid w:val="0076601B"/>
    <w:rsid w:val="00766114"/>
    <w:rsid w:val="0076647C"/>
    <w:rsid w:val="00766656"/>
    <w:rsid w:val="00766FCA"/>
    <w:rsid w:val="00767223"/>
    <w:rsid w:val="00767282"/>
    <w:rsid w:val="007672F5"/>
    <w:rsid w:val="00767BBA"/>
    <w:rsid w:val="00767E68"/>
    <w:rsid w:val="00767FEE"/>
    <w:rsid w:val="00770144"/>
    <w:rsid w:val="0077019E"/>
    <w:rsid w:val="00770547"/>
    <w:rsid w:val="00770A80"/>
    <w:rsid w:val="007717A6"/>
    <w:rsid w:val="0077198A"/>
    <w:rsid w:val="00771A03"/>
    <w:rsid w:val="00771E6E"/>
    <w:rsid w:val="007720E0"/>
    <w:rsid w:val="007722BC"/>
    <w:rsid w:val="007727D5"/>
    <w:rsid w:val="00772FBF"/>
    <w:rsid w:val="00773054"/>
    <w:rsid w:val="0077311D"/>
    <w:rsid w:val="0077382E"/>
    <w:rsid w:val="00773A0C"/>
    <w:rsid w:val="00773B30"/>
    <w:rsid w:val="00773FDB"/>
    <w:rsid w:val="007742A7"/>
    <w:rsid w:val="007742F2"/>
    <w:rsid w:val="00774517"/>
    <w:rsid w:val="0077498F"/>
    <w:rsid w:val="0077538B"/>
    <w:rsid w:val="00775415"/>
    <w:rsid w:val="00775E9B"/>
    <w:rsid w:val="00776280"/>
    <w:rsid w:val="00776B98"/>
    <w:rsid w:val="00776C0D"/>
    <w:rsid w:val="00777552"/>
    <w:rsid w:val="00777BAB"/>
    <w:rsid w:val="00780012"/>
    <w:rsid w:val="0078010D"/>
    <w:rsid w:val="0078021F"/>
    <w:rsid w:val="0078024F"/>
    <w:rsid w:val="0078034B"/>
    <w:rsid w:val="00780640"/>
    <w:rsid w:val="007808EA"/>
    <w:rsid w:val="00780915"/>
    <w:rsid w:val="00780935"/>
    <w:rsid w:val="00780C70"/>
    <w:rsid w:val="0078225C"/>
    <w:rsid w:val="007822B2"/>
    <w:rsid w:val="00782774"/>
    <w:rsid w:val="007828B1"/>
    <w:rsid w:val="00782DE0"/>
    <w:rsid w:val="0078374A"/>
    <w:rsid w:val="0078468B"/>
    <w:rsid w:val="007847A4"/>
    <w:rsid w:val="00785177"/>
    <w:rsid w:val="00785FED"/>
    <w:rsid w:val="00786031"/>
    <w:rsid w:val="007860FB"/>
    <w:rsid w:val="0078611A"/>
    <w:rsid w:val="0078613B"/>
    <w:rsid w:val="0078646E"/>
    <w:rsid w:val="00786CB7"/>
    <w:rsid w:val="007870C0"/>
    <w:rsid w:val="00787487"/>
    <w:rsid w:val="0078754E"/>
    <w:rsid w:val="00787613"/>
    <w:rsid w:val="00790106"/>
    <w:rsid w:val="00790396"/>
    <w:rsid w:val="00790AB6"/>
    <w:rsid w:val="00791772"/>
    <w:rsid w:val="00792940"/>
    <w:rsid w:val="00793377"/>
    <w:rsid w:val="007935F8"/>
    <w:rsid w:val="0079360D"/>
    <w:rsid w:val="007937C2"/>
    <w:rsid w:val="0079383F"/>
    <w:rsid w:val="00793B9F"/>
    <w:rsid w:val="00793CCF"/>
    <w:rsid w:val="0079404D"/>
    <w:rsid w:val="0079409D"/>
    <w:rsid w:val="007940B1"/>
    <w:rsid w:val="00794682"/>
    <w:rsid w:val="00794F85"/>
    <w:rsid w:val="00795371"/>
    <w:rsid w:val="00795783"/>
    <w:rsid w:val="00795B4F"/>
    <w:rsid w:val="00795F59"/>
    <w:rsid w:val="007961FA"/>
    <w:rsid w:val="0079627A"/>
    <w:rsid w:val="0079658A"/>
    <w:rsid w:val="00796A39"/>
    <w:rsid w:val="00796F52"/>
    <w:rsid w:val="007972EC"/>
    <w:rsid w:val="00797328"/>
    <w:rsid w:val="0079757D"/>
    <w:rsid w:val="00797B0E"/>
    <w:rsid w:val="00797EE8"/>
    <w:rsid w:val="007A029B"/>
    <w:rsid w:val="007A063E"/>
    <w:rsid w:val="007A068E"/>
    <w:rsid w:val="007A0959"/>
    <w:rsid w:val="007A0AC3"/>
    <w:rsid w:val="007A0B20"/>
    <w:rsid w:val="007A0E0A"/>
    <w:rsid w:val="007A115B"/>
    <w:rsid w:val="007A1538"/>
    <w:rsid w:val="007A1F80"/>
    <w:rsid w:val="007A21E6"/>
    <w:rsid w:val="007A27A9"/>
    <w:rsid w:val="007A2801"/>
    <w:rsid w:val="007A2B9C"/>
    <w:rsid w:val="007A2DA9"/>
    <w:rsid w:val="007A2F79"/>
    <w:rsid w:val="007A31F1"/>
    <w:rsid w:val="007A328E"/>
    <w:rsid w:val="007A3583"/>
    <w:rsid w:val="007A35E6"/>
    <w:rsid w:val="007A429A"/>
    <w:rsid w:val="007A42E0"/>
    <w:rsid w:val="007A45BA"/>
    <w:rsid w:val="007A4981"/>
    <w:rsid w:val="007A4C94"/>
    <w:rsid w:val="007A5871"/>
    <w:rsid w:val="007A6323"/>
    <w:rsid w:val="007A66E0"/>
    <w:rsid w:val="007A6B54"/>
    <w:rsid w:val="007A6D81"/>
    <w:rsid w:val="007A71C2"/>
    <w:rsid w:val="007A7445"/>
    <w:rsid w:val="007A7A7D"/>
    <w:rsid w:val="007A7B13"/>
    <w:rsid w:val="007A7D41"/>
    <w:rsid w:val="007A7EBC"/>
    <w:rsid w:val="007B0886"/>
    <w:rsid w:val="007B0AB8"/>
    <w:rsid w:val="007B13F5"/>
    <w:rsid w:val="007B1C4F"/>
    <w:rsid w:val="007B21AD"/>
    <w:rsid w:val="007B21C0"/>
    <w:rsid w:val="007B24C6"/>
    <w:rsid w:val="007B2E67"/>
    <w:rsid w:val="007B31A9"/>
    <w:rsid w:val="007B3327"/>
    <w:rsid w:val="007B3799"/>
    <w:rsid w:val="007B4416"/>
    <w:rsid w:val="007B44E1"/>
    <w:rsid w:val="007B49A1"/>
    <w:rsid w:val="007B503A"/>
    <w:rsid w:val="007B535C"/>
    <w:rsid w:val="007B56AA"/>
    <w:rsid w:val="007B5C1D"/>
    <w:rsid w:val="007B6195"/>
    <w:rsid w:val="007B67C7"/>
    <w:rsid w:val="007B6EE3"/>
    <w:rsid w:val="007B6F3D"/>
    <w:rsid w:val="007B7302"/>
    <w:rsid w:val="007B73EA"/>
    <w:rsid w:val="007B74CC"/>
    <w:rsid w:val="007B7509"/>
    <w:rsid w:val="007B763A"/>
    <w:rsid w:val="007B7887"/>
    <w:rsid w:val="007B7A7E"/>
    <w:rsid w:val="007C03BD"/>
    <w:rsid w:val="007C0A5A"/>
    <w:rsid w:val="007C12E0"/>
    <w:rsid w:val="007C131F"/>
    <w:rsid w:val="007C1600"/>
    <w:rsid w:val="007C1EB3"/>
    <w:rsid w:val="007C23A4"/>
    <w:rsid w:val="007C2642"/>
    <w:rsid w:val="007C2D35"/>
    <w:rsid w:val="007C3598"/>
    <w:rsid w:val="007C3B1E"/>
    <w:rsid w:val="007C3D48"/>
    <w:rsid w:val="007C40CE"/>
    <w:rsid w:val="007C40D1"/>
    <w:rsid w:val="007C431B"/>
    <w:rsid w:val="007C4629"/>
    <w:rsid w:val="007C5023"/>
    <w:rsid w:val="007C5696"/>
    <w:rsid w:val="007C60B1"/>
    <w:rsid w:val="007C63EA"/>
    <w:rsid w:val="007C6847"/>
    <w:rsid w:val="007C6C8B"/>
    <w:rsid w:val="007C6F34"/>
    <w:rsid w:val="007C6F81"/>
    <w:rsid w:val="007C75B9"/>
    <w:rsid w:val="007C79DC"/>
    <w:rsid w:val="007D02AA"/>
    <w:rsid w:val="007D072D"/>
    <w:rsid w:val="007D113B"/>
    <w:rsid w:val="007D18AF"/>
    <w:rsid w:val="007D1ABB"/>
    <w:rsid w:val="007D1F8F"/>
    <w:rsid w:val="007D24FB"/>
    <w:rsid w:val="007D2717"/>
    <w:rsid w:val="007D2A27"/>
    <w:rsid w:val="007D3295"/>
    <w:rsid w:val="007D3561"/>
    <w:rsid w:val="007D35FC"/>
    <w:rsid w:val="007D376A"/>
    <w:rsid w:val="007D45F7"/>
    <w:rsid w:val="007D4973"/>
    <w:rsid w:val="007D4BC0"/>
    <w:rsid w:val="007D4D37"/>
    <w:rsid w:val="007D4FFE"/>
    <w:rsid w:val="007D5198"/>
    <w:rsid w:val="007D546E"/>
    <w:rsid w:val="007D5579"/>
    <w:rsid w:val="007D5908"/>
    <w:rsid w:val="007D59C6"/>
    <w:rsid w:val="007D5B2D"/>
    <w:rsid w:val="007D5E6A"/>
    <w:rsid w:val="007D6637"/>
    <w:rsid w:val="007D6652"/>
    <w:rsid w:val="007D685D"/>
    <w:rsid w:val="007D6988"/>
    <w:rsid w:val="007D69B3"/>
    <w:rsid w:val="007D6A9A"/>
    <w:rsid w:val="007D6C48"/>
    <w:rsid w:val="007D76F1"/>
    <w:rsid w:val="007D7883"/>
    <w:rsid w:val="007D7CEC"/>
    <w:rsid w:val="007E0361"/>
    <w:rsid w:val="007E056A"/>
    <w:rsid w:val="007E079C"/>
    <w:rsid w:val="007E08B1"/>
    <w:rsid w:val="007E0BE8"/>
    <w:rsid w:val="007E1201"/>
    <w:rsid w:val="007E13BF"/>
    <w:rsid w:val="007E1583"/>
    <w:rsid w:val="007E1B60"/>
    <w:rsid w:val="007E1D43"/>
    <w:rsid w:val="007E1EF6"/>
    <w:rsid w:val="007E29BC"/>
    <w:rsid w:val="007E2B43"/>
    <w:rsid w:val="007E2C05"/>
    <w:rsid w:val="007E2EAD"/>
    <w:rsid w:val="007E3599"/>
    <w:rsid w:val="007E38CF"/>
    <w:rsid w:val="007E393A"/>
    <w:rsid w:val="007E3EE0"/>
    <w:rsid w:val="007E4171"/>
    <w:rsid w:val="007E4AC0"/>
    <w:rsid w:val="007E4BE3"/>
    <w:rsid w:val="007E5689"/>
    <w:rsid w:val="007E5A4E"/>
    <w:rsid w:val="007E5BF1"/>
    <w:rsid w:val="007E5D71"/>
    <w:rsid w:val="007E5E20"/>
    <w:rsid w:val="007E5FB4"/>
    <w:rsid w:val="007E6223"/>
    <w:rsid w:val="007E64DE"/>
    <w:rsid w:val="007E6529"/>
    <w:rsid w:val="007E67FA"/>
    <w:rsid w:val="007E7507"/>
    <w:rsid w:val="007F0237"/>
    <w:rsid w:val="007F0315"/>
    <w:rsid w:val="007F0354"/>
    <w:rsid w:val="007F0686"/>
    <w:rsid w:val="007F0CB6"/>
    <w:rsid w:val="007F0D59"/>
    <w:rsid w:val="007F0E1B"/>
    <w:rsid w:val="007F10FB"/>
    <w:rsid w:val="007F1239"/>
    <w:rsid w:val="007F158C"/>
    <w:rsid w:val="007F1691"/>
    <w:rsid w:val="007F183E"/>
    <w:rsid w:val="007F18DC"/>
    <w:rsid w:val="007F1936"/>
    <w:rsid w:val="007F1D2B"/>
    <w:rsid w:val="007F2131"/>
    <w:rsid w:val="007F2873"/>
    <w:rsid w:val="007F28F4"/>
    <w:rsid w:val="007F2A7F"/>
    <w:rsid w:val="007F31B5"/>
    <w:rsid w:val="007F33C3"/>
    <w:rsid w:val="007F35DD"/>
    <w:rsid w:val="007F360E"/>
    <w:rsid w:val="007F3880"/>
    <w:rsid w:val="007F3E3F"/>
    <w:rsid w:val="007F438E"/>
    <w:rsid w:val="007F47FC"/>
    <w:rsid w:val="007F534C"/>
    <w:rsid w:val="007F57DA"/>
    <w:rsid w:val="007F58D5"/>
    <w:rsid w:val="007F5A5F"/>
    <w:rsid w:val="007F5E6F"/>
    <w:rsid w:val="007F60B7"/>
    <w:rsid w:val="007F62B5"/>
    <w:rsid w:val="007F6417"/>
    <w:rsid w:val="007F685A"/>
    <w:rsid w:val="007F6AFC"/>
    <w:rsid w:val="007F6D35"/>
    <w:rsid w:val="007F6DD2"/>
    <w:rsid w:val="007F6DD3"/>
    <w:rsid w:val="007F6F15"/>
    <w:rsid w:val="007F7F01"/>
    <w:rsid w:val="00800199"/>
    <w:rsid w:val="00800358"/>
    <w:rsid w:val="008006C5"/>
    <w:rsid w:val="00800BED"/>
    <w:rsid w:val="00800C5F"/>
    <w:rsid w:val="0080101D"/>
    <w:rsid w:val="00801081"/>
    <w:rsid w:val="00801B5A"/>
    <w:rsid w:val="00801C19"/>
    <w:rsid w:val="00801DCB"/>
    <w:rsid w:val="00802273"/>
    <w:rsid w:val="00803475"/>
    <w:rsid w:val="0080351F"/>
    <w:rsid w:val="008044E8"/>
    <w:rsid w:val="008048BF"/>
    <w:rsid w:val="00804AA1"/>
    <w:rsid w:val="00804B7A"/>
    <w:rsid w:val="00804C01"/>
    <w:rsid w:val="00804C85"/>
    <w:rsid w:val="00804D05"/>
    <w:rsid w:val="008051F1"/>
    <w:rsid w:val="0080594D"/>
    <w:rsid w:val="008069BD"/>
    <w:rsid w:val="00806E2C"/>
    <w:rsid w:val="0080703A"/>
    <w:rsid w:val="00807215"/>
    <w:rsid w:val="00807403"/>
    <w:rsid w:val="0080749F"/>
    <w:rsid w:val="00807B60"/>
    <w:rsid w:val="00807C67"/>
    <w:rsid w:val="00807C9E"/>
    <w:rsid w:val="00807DFD"/>
    <w:rsid w:val="00807ECE"/>
    <w:rsid w:val="00810453"/>
    <w:rsid w:val="00810A75"/>
    <w:rsid w:val="008112AB"/>
    <w:rsid w:val="008113EF"/>
    <w:rsid w:val="008115A9"/>
    <w:rsid w:val="00811E85"/>
    <w:rsid w:val="00812671"/>
    <w:rsid w:val="0081272D"/>
    <w:rsid w:val="0081297A"/>
    <w:rsid w:val="00812F82"/>
    <w:rsid w:val="0081346C"/>
    <w:rsid w:val="008134BC"/>
    <w:rsid w:val="00813A67"/>
    <w:rsid w:val="00813BA8"/>
    <w:rsid w:val="0081403B"/>
    <w:rsid w:val="008144FE"/>
    <w:rsid w:val="008148FC"/>
    <w:rsid w:val="00814C8E"/>
    <w:rsid w:val="00814CF3"/>
    <w:rsid w:val="008154EC"/>
    <w:rsid w:val="00815B69"/>
    <w:rsid w:val="00815E7F"/>
    <w:rsid w:val="00815E90"/>
    <w:rsid w:val="008163A5"/>
    <w:rsid w:val="00816C78"/>
    <w:rsid w:val="008170F0"/>
    <w:rsid w:val="0081723E"/>
    <w:rsid w:val="008179BA"/>
    <w:rsid w:val="00817AB7"/>
    <w:rsid w:val="00817BAB"/>
    <w:rsid w:val="00817CFB"/>
    <w:rsid w:val="00817ECC"/>
    <w:rsid w:val="00820084"/>
    <w:rsid w:val="008208CA"/>
    <w:rsid w:val="00820AFB"/>
    <w:rsid w:val="00820D88"/>
    <w:rsid w:val="00820F12"/>
    <w:rsid w:val="0082134D"/>
    <w:rsid w:val="008217AF"/>
    <w:rsid w:val="008223A9"/>
    <w:rsid w:val="008226EE"/>
    <w:rsid w:val="0082290F"/>
    <w:rsid w:val="00822BED"/>
    <w:rsid w:val="00822D1B"/>
    <w:rsid w:val="00823254"/>
    <w:rsid w:val="008232EA"/>
    <w:rsid w:val="0082351F"/>
    <w:rsid w:val="008235A1"/>
    <w:rsid w:val="00823AA2"/>
    <w:rsid w:val="00823ABA"/>
    <w:rsid w:val="00823F04"/>
    <w:rsid w:val="00824192"/>
    <w:rsid w:val="00824282"/>
    <w:rsid w:val="008249F9"/>
    <w:rsid w:val="008255FB"/>
    <w:rsid w:val="008256C7"/>
    <w:rsid w:val="008258B4"/>
    <w:rsid w:val="00825A9D"/>
    <w:rsid w:val="00826073"/>
    <w:rsid w:val="008267D3"/>
    <w:rsid w:val="00826815"/>
    <w:rsid w:val="00826D2B"/>
    <w:rsid w:val="00826D8D"/>
    <w:rsid w:val="008270B9"/>
    <w:rsid w:val="00827319"/>
    <w:rsid w:val="00827E38"/>
    <w:rsid w:val="00827E7C"/>
    <w:rsid w:val="00827FE7"/>
    <w:rsid w:val="008301A0"/>
    <w:rsid w:val="00830756"/>
    <w:rsid w:val="00830E5C"/>
    <w:rsid w:val="00830E93"/>
    <w:rsid w:val="00830F63"/>
    <w:rsid w:val="00830FEF"/>
    <w:rsid w:val="0083126A"/>
    <w:rsid w:val="008313A2"/>
    <w:rsid w:val="00831A78"/>
    <w:rsid w:val="00831BAD"/>
    <w:rsid w:val="00831BC7"/>
    <w:rsid w:val="00831E0F"/>
    <w:rsid w:val="008323AF"/>
    <w:rsid w:val="00832597"/>
    <w:rsid w:val="008325DA"/>
    <w:rsid w:val="008329B8"/>
    <w:rsid w:val="00833713"/>
    <w:rsid w:val="008338EC"/>
    <w:rsid w:val="00833AE3"/>
    <w:rsid w:val="00833C94"/>
    <w:rsid w:val="008342AA"/>
    <w:rsid w:val="00834396"/>
    <w:rsid w:val="008343C1"/>
    <w:rsid w:val="0083469F"/>
    <w:rsid w:val="0083476E"/>
    <w:rsid w:val="00834B22"/>
    <w:rsid w:val="00834F40"/>
    <w:rsid w:val="00835502"/>
    <w:rsid w:val="00835597"/>
    <w:rsid w:val="008356C2"/>
    <w:rsid w:val="00835C97"/>
    <w:rsid w:val="0083666F"/>
    <w:rsid w:val="00836973"/>
    <w:rsid w:val="00836B52"/>
    <w:rsid w:val="00837877"/>
    <w:rsid w:val="008378D3"/>
    <w:rsid w:val="008379BA"/>
    <w:rsid w:val="00837A99"/>
    <w:rsid w:val="00837EC6"/>
    <w:rsid w:val="008402AC"/>
    <w:rsid w:val="00840526"/>
    <w:rsid w:val="008406EE"/>
    <w:rsid w:val="008407CE"/>
    <w:rsid w:val="008408A1"/>
    <w:rsid w:val="00840B1D"/>
    <w:rsid w:val="00840BB5"/>
    <w:rsid w:val="008410DB"/>
    <w:rsid w:val="00841758"/>
    <w:rsid w:val="0084191E"/>
    <w:rsid w:val="008419BF"/>
    <w:rsid w:val="00841AEF"/>
    <w:rsid w:val="00841C23"/>
    <w:rsid w:val="00842BC6"/>
    <w:rsid w:val="00842C55"/>
    <w:rsid w:val="00843680"/>
    <w:rsid w:val="00843745"/>
    <w:rsid w:val="0084398C"/>
    <w:rsid w:val="00843E89"/>
    <w:rsid w:val="008442AB"/>
    <w:rsid w:val="008446E7"/>
    <w:rsid w:val="00844C4E"/>
    <w:rsid w:val="008454A7"/>
    <w:rsid w:val="0084551F"/>
    <w:rsid w:val="008457D6"/>
    <w:rsid w:val="00845835"/>
    <w:rsid w:val="00845987"/>
    <w:rsid w:val="00846454"/>
    <w:rsid w:val="0084696D"/>
    <w:rsid w:val="00846984"/>
    <w:rsid w:val="00846D19"/>
    <w:rsid w:val="00847120"/>
    <w:rsid w:val="008471FD"/>
    <w:rsid w:val="008472CF"/>
    <w:rsid w:val="00847A0A"/>
    <w:rsid w:val="00847DC9"/>
    <w:rsid w:val="00847F42"/>
    <w:rsid w:val="00850151"/>
    <w:rsid w:val="0085027A"/>
    <w:rsid w:val="008510B6"/>
    <w:rsid w:val="0085160F"/>
    <w:rsid w:val="00851AC1"/>
    <w:rsid w:val="00851FAE"/>
    <w:rsid w:val="00851FE3"/>
    <w:rsid w:val="00852015"/>
    <w:rsid w:val="008525F9"/>
    <w:rsid w:val="00852754"/>
    <w:rsid w:val="008528D2"/>
    <w:rsid w:val="008528D6"/>
    <w:rsid w:val="00852A5E"/>
    <w:rsid w:val="00852B3B"/>
    <w:rsid w:val="00852EBC"/>
    <w:rsid w:val="00852EC8"/>
    <w:rsid w:val="0085334A"/>
    <w:rsid w:val="008535BB"/>
    <w:rsid w:val="00853A47"/>
    <w:rsid w:val="00853B05"/>
    <w:rsid w:val="00853BF2"/>
    <w:rsid w:val="00853E93"/>
    <w:rsid w:val="00854156"/>
    <w:rsid w:val="0085466D"/>
    <w:rsid w:val="00854A0C"/>
    <w:rsid w:val="00854A27"/>
    <w:rsid w:val="00854C3C"/>
    <w:rsid w:val="0085506D"/>
    <w:rsid w:val="00855431"/>
    <w:rsid w:val="0085561F"/>
    <w:rsid w:val="008557F0"/>
    <w:rsid w:val="00855AC2"/>
    <w:rsid w:val="00856085"/>
    <w:rsid w:val="0085621D"/>
    <w:rsid w:val="008563B7"/>
    <w:rsid w:val="008567ED"/>
    <w:rsid w:val="00856A60"/>
    <w:rsid w:val="00856C3F"/>
    <w:rsid w:val="00857121"/>
    <w:rsid w:val="0085753C"/>
    <w:rsid w:val="008575F9"/>
    <w:rsid w:val="00860050"/>
    <w:rsid w:val="00860069"/>
    <w:rsid w:val="0086023B"/>
    <w:rsid w:val="0086061A"/>
    <w:rsid w:val="0086064A"/>
    <w:rsid w:val="00860781"/>
    <w:rsid w:val="008608B0"/>
    <w:rsid w:val="00860B18"/>
    <w:rsid w:val="00860B7F"/>
    <w:rsid w:val="00861598"/>
    <w:rsid w:val="00861A16"/>
    <w:rsid w:val="00861FD9"/>
    <w:rsid w:val="00861FF7"/>
    <w:rsid w:val="0086222C"/>
    <w:rsid w:val="008629B2"/>
    <w:rsid w:val="00862B27"/>
    <w:rsid w:val="00862C87"/>
    <w:rsid w:val="00862D9D"/>
    <w:rsid w:val="00862E42"/>
    <w:rsid w:val="0086306E"/>
    <w:rsid w:val="008638C6"/>
    <w:rsid w:val="00863D07"/>
    <w:rsid w:val="00863E0E"/>
    <w:rsid w:val="00864C87"/>
    <w:rsid w:val="00864C8A"/>
    <w:rsid w:val="00864FC2"/>
    <w:rsid w:val="008654E4"/>
    <w:rsid w:val="008657D6"/>
    <w:rsid w:val="00865A32"/>
    <w:rsid w:val="00865CF0"/>
    <w:rsid w:val="008661A8"/>
    <w:rsid w:val="00866724"/>
    <w:rsid w:val="00867278"/>
    <w:rsid w:val="0086785E"/>
    <w:rsid w:val="00867990"/>
    <w:rsid w:val="00867992"/>
    <w:rsid w:val="00867CAC"/>
    <w:rsid w:val="00870D2A"/>
    <w:rsid w:val="00870D3E"/>
    <w:rsid w:val="00871351"/>
    <w:rsid w:val="0087136A"/>
    <w:rsid w:val="00871B7D"/>
    <w:rsid w:val="00871D0A"/>
    <w:rsid w:val="00872098"/>
    <w:rsid w:val="008722E6"/>
    <w:rsid w:val="00872B5A"/>
    <w:rsid w:val="00873B11"/>
    <w:rsid w:val="00874003"/>
    <w:rsid w:val="008745E7"/>
    <w:rsid w:val="00874B0A"/>
    <w:rsid w:val="00874E1D"/>
    <w:rsid w:val="00875054"/>
    <w:rsid w:val="008751BC"/>
    <w:rsid w:val="0087527E"/>
    <w:rsid w:val="00875307"/>
    <w:rsid w:val="008762E0"/>
    <w:rsid w:val="00876563"/>
    <w:rsid w:val="00876866"/>
    <w:rsid w:val="00876B93"/>
    <w:rsid w:val="00876E0C"/>
    <w:rsid w:val="00876F8A"/>
    <w:rsid w:val="00876FA7"/>
    <w:rsid w:val="008770A1"/>
    <w:rsid w:val="0087722F"/>
    <w:rsid w:val="0087737F"/>
    <w:rsid w:val="008775BF"/>
    <w:rsid w:val="008776E4"/>
    <w:rsid w:val="00877CBD"/>
    <w:rsid w:val="00877E93"/>
    <w:rsid w:val="00880892"/>
    <w:rsid w:val="008808A9"/>
    <w:rsid w:val="00880961"/>
    <w:rsid w:val="00880DEA"/>
    <w:rsid w:val="00881023"/>
    <w:rsid w:val="0088168E"/>
    <w:rsid w:val="008816BE"/>
    <w:rsid w:val="008816E3"/>
    <w:rsid w:val="00881C5A"/>
    <w:rsid w:val="00882554"/>
    <w:rsid w:val="00882593"/>
    <w:rsid w:val="008825F1"/>
    <w:rsid w:val="00882B16"/>
    <w:rsid w:val="008836AB"/>
    <w:rsid w:val="00883C61"/>
    <w:rsid w:val="008842CA"/>
    <w:rsid w:val="008843FF"/>
    <w:rsid w:val="00884554"/>
    <w:rsid w:val="00884916"/>
    <w:rsid w:val="00884BFA"/>
    <w:rsid w:val="00884CB4"/>
    <w:rsid w:val="00885473"/>
    <w:rsid w:val="00885C80"/>
    <w:rsid w:val="00885D00"/>
    <w:rsid w:val="00885DFD"/>
    <w:rsid w:val="00885EB1"/>
    <w:rsid w:val="00887068"/>
    <w:rsid w:val="00887196"/>
    <w:rsid w:val="00887520"/>
    <w:rsid w:val="008875DB"/>
    <w:rsid w:val="00887940"/>
    <w:rsid w:val="0089065D"/>
    <w:rsid w:val="00890780"/>
    <w:rsid w:val="008909DD"/>
    <w:rsid w:val="00890FB1"/>
    <w:rsid w:val="00891290"/>
    <w:rsid w:val="00891315"/>
    <w:rsid w:val="008913A2"/>
    <w:rsid w:val="00891497"/>
    <w:rsid w:val="00891814"/>
    <w:rsid w:val="00891B45"/>
    <w:rsid w:val="00891CF9"/>
    <w:rsid w:val="00891DA5"/>
    <w:rsid w:val="00891F06"/>
    <w:rsid w:val="00892422"/>
    <w:rsid w:val="00892C25"/>
    <w:rsid w:val="00893111"/>
    <w:rsid w:val="008932AB"/>
    <w:rsid w:val="00893BF5"/>
    <w:rsid w:val="00894150"/>
    <w:rsid w:val="00894766"/>
    <w:rsid w:val="00894996"/>
    <w:rsid w:val="0089499E"/>
    <w:rsid w:val="00894B87"/>
    <w:rsid w:val="00895663"/>
    <w:rsid w:val="0089584D"/>
    <w:rsid w:val="0089592A"/>
    <w:rsid w:val="00895E4F"/>
    <w:rsid w:val="00896057"/>
    <w:rsid w:val="00896359"/>
    <w:rsid w:val="00896986"/>
    <w:rsid w:val="00896C23"/>
    <w:rsid w:val="008972F8"/>
    <w:rsid w:val="0089734C"/>
    <w:rsid w:val="008A0354"/>
    <w:rsid w:val="008A09D5"/>
    <w:rsid w:val="008A0BD3"/>
    <w:rsid w:val="008A0F8E"/>
    <w:rsid w:val="008A118B"/>
    <w:rsid w:val="008A1451"/>
    <w:rsid w:val="008A15B6"/>
    <w:rsid w:val="008A19BA"/>
    <w:rsid w:val="008A1E58"/>
    <w:rsid w:val="008A1EEE"/>
    <w:rsid w:val="008A260B"/>
    <w:rsid w:val="008A264A"/>
    <w:rsid w:val="008A29AB"/>
    <w:rsid w:val="008A2CAF"/>
    <w:rsid w:val="008A2CB1"/>
    <w:rsid w:val="008A2CC2"/>
    <w:rsid w:val="008A319A"/>
    <w:rsid w:val="008A32EF"/>
    <w:rsid w:val="008A35AD"/>
    <w:rsid w:val="008A378D"/>
    <w:rsid w:val="008A3793"/>
    <w:rsid w:val="008A3A21"/>
    <w:rsid w:val="008A3C18"/>
    <w:rsid w:val="008A425C"/>
    <w:rsid w:val="008A4A63"/>
    <w:rsid w:val="008A56A7"/>
    <w:rsid w:val="008A587C"/>
    <w:rsid w:val="008A5B0B"/>
    <w:rsid w:val="008A5C14"/>
    <w:rsid w:val="008A5F37"/>
    <w:rsid w:val="008A6203"/>
    <w:rsid w:val="008A62D2"/>
    <w:rsid w:val="008A6447"/>
    <w:rsid w:val="008A64DC"/>
    <w:rsid w:val="008A68FC"/>
    <w:rsid w:val="008A6A46"/>
    <w:rsid w:val="008A6B2C"/>
    <w:rsid w:val="008A6E22"/>
    <w:rsid w:val="008A756F"/>
    <w:rsid w:val="008A79E2"/>
    <w:rsid w:val="008A7B90"/>
    <w:rsid w:val="008A7F16"/>
    <w:rsid w:val="008B0299"/>
    <w:rsid w:val="008B03A3"/>
    <w:rsid w:val="008B045A"/>
    <w:rsid w:val="008B0553"/>
    <w:rsid w:val="008B0750"/>
    <w:rsid w:val="008B07B3"/>
    <w:rsid w:val="008B0D10"/>
    <w:rsid w:val="008B130D"/>
    <w:rsid w:val="008B1703"/>
    <w:rsid w:val="008B178B"/>
    <w:rsid w:val="008B185B"/>
    <w:rsid w:val="008B2044"/>
    <w:rsid w:val="008B21D0"/>
    <w:rsid w:val="008B2319"/>
    <w:rsid w:val="008B2694"/>
    <w:rsid w:val="008B2790"/>
    <w:rsid w:val="008B2BC8"/>
    <w:rsid w:val="008B2C40"/>
    <w:rsid w:val="008B2D68"/>
    <w:rsid w:val="008B33AC"/>
    <w:rsid w:val="008B3418"/>
    <w:rsid w:val="008B381A"/>
    <w:rsid w:val="008B3ACB"/>
    <w:rsid w:val="008B3CC6"/>
    <w:rsid w:val="008B42C7"/>
    <w:rsid w:val="008B4417"/>
    <w:rsid w:val="008B4552"/>
    <w:rsid w:val="008B45E4"/>
    <w:rsid w:val="008B4DFB"/>
    <w:rsid w:val="008B569A"/>
    <w:rsid w:val="008B56A0"/>
    <w:rsid w:val="008B5B00"/>
    <w:rsid w:val="008B603C"/>
    <w:rsid w:val="008B6AF0"/>
    <w:rsid w:val="008B6F96"/>
    <w:rsid w:val="008B7102"/>
    <w:rsid w:val="008B7337"/>
    <w:rsid w:val="008B7683"/>
    <w:rsid w:val="008B79DE"/>
    <w:rsid w:val="008B7A58"/>
    <w:rsid w:val="008B7B22"/>
    <w:rsid w:val="008B7DD9"/>
    <w:rsid w:val="008C01B9"/>
    <w:rsid w:val="008C044B"/>
    <w:rsid w:val="008C0626"/>
    <w:rsid w:val="008C1241"/>
    <w:rsid w:val="008C1924"/>
    <w:rsid w:val="008C1F75"/>
    <w:rsid w:val="008C23C1"/>
    <w:rsid w:val="008C2A0E"/>
    <w:rsid w:val="008C2CA9"/>
    <w:rsid w:val="008C327F"/>
    <w:rsid w:val="008C3750"/>
    <w:rsid w:val="008C396A"/>
    <w:rsid w:val="008C423E"/>
    <w:rsid w:val="008C4390"/>
    <w:rsid w:val="008C5A08"/>
    <w:rsid w:val="008C5A3D"/>
    <w:rsid w:val="008C5A95"/>
    <w:rsid w:val="008C64F8"/>
    <w:rsid w:val="008C6F0D"/>
    <w:rsid w:val="008C700B"/>
    <w:rsid w:val="008C77BB"/>
    <w:rsid w:val="008C79D8"/>
    <w:rsid w:val="008C7BCF"/>
    <w:rsid w:val="008D0094"/>
    <w:rsid w:val="008D01F5"/>
    <w:rsid w:val="008D040F"/>
    <w:rsid w:val="008D0A1E"/>
    <w:rsid w:val="008D10D1"/>
    <w:rsid w:val="008D11D2"/>
    <w:rsid w:val="008D1424"/>
    <w:rsid w:val="008D163C"/>
    <w:rsid w:val="008D1650"/>
    <w:rsid w:val="008D1B3C"/>
    <w:rsid w:val="008D1C09"/>
    <w:rsid w:val="008D22DC"/>
    <w:rsid w:val="008D2366"/>
    <w:rsid w:val="008D262D"/>
    <w:rsid w:val="008D2B13"/>
    <w:rsid w:val="008D2CFD"/>
    <w:rsid w:val="008D2E88"/>
    <w:rsid w:val="008D3253"/>
    <w:rsid w:val="008D3706"/>
    <w:rsid w:val="008D3A34"/>
    <w:rsid w:val="008D3B0B"/>
    <w:rsid w:val="008D3BC7"/>
    <w:rsid w:val="008D4235"/>
    <w:rsid w:val="008D443A"/>
    <w:rsid w:val="008D463C"/>
    <w:rsid w:val="008D4BB7"/>
    <w:rsid w:val="008D4CF5"/>
    <w:rsid w:val="008D4E79"/>
    <w:rsid w:val="008D514B"/>
    <w:rsid w:val="008D5360"/>
    <w:rsid w:val="008D54F6"/>
    <w:rsid w:val="008D553F"/>
    <w:rsid w:val="008D5669"/>
    <w:rsid w:val="008D56E8"/>
    <w:rsid w:val="008D5964"/>
    <w:rsid w:val="008D5A38"/>
    <w:rsid w:val="008D5A9C"/>
    <w:rsid w:val="008D5E35"/>
    <w:rsid w:val="008D6072"/>
    <w:rsid w:val="008D61BF"/>
    <w:rsid w:val="008D63E8"/>
    <w:rsid w:val="008D65C8"/>
    <w:rsid w:val="008D6725"/>
    <w:rsid w:val="008D67D8"/>
    <w:rsid w:val="008D6D59"/>
    <w:rsid w:val="008D6ED3"/>
    <w:rsid w:val="008D74A3"/>
    <w:rsid w:val="008D7AFA"/>
    <w:rsid w:val="008D7CD7"/>
    <w:rsid w:val="008D7D23"/>
    <w:rsid w:val="008E01FF"/>
    <w:rsid w:val="008E0963"/>
    <w:rsid w:val="008E1444"/>
    <w:rsid w:val="008E1C7A"/>
    <w:rsid w:val="008E1C86"/>
    <w:rsid w:val="008E1CE7"/>
    <w:rsid w:val="008E2071"/>
    <w:rsid w:val="008E211A"/>
    <w:rsid w:val="008E222B"/>
    <w:rsid w:val="008E2698"/>
    <w:rsid w:val="008E272C"/>
    <w:rsid w:val="008E2CB8"/>
    <w:rsid w:val="008E2E2D"/>
    <w:rsid w:val="008E2FC4"/>
    <w:rsid w:val="008E32FA"/>
    <w:rsid w:val="008E33F8"/>
    <w:rsid w:val="008E39DA"/>
    <w:rsid w:val="008E3DB5"/>
    <w:rsid w:val="008E40F3"/>
    <w:rsid w:val="008E41E7"/>
    <w:rsid w:val="008E4877"/>
    <w:rsid w:val="008E4DC9"/>
    <w:rsid w:val="008E56B9"/>
    <w:rsid w:val="008E59CB"/>
    <w:rsid w:val="008E5A0B"/>
    <w:rsid w:val="008E5A7E"/>
    <w:rsid w:val="008E5CB0"/>
    <w:rsid w:val="008E5CC6"/>
    <w:rsid w:val="008E6656"/>
    <w:rsid w:val="008E6C98"/>
    <w:rsid w:val="008E7C04"/>
    <w:rsid w:val="008E7F95"/>
    <w:rsid w:val="008F022F"/>
    <w:rsid w:val="008F03EC"/>
    <w:rsid w:val="008F08B0"/>
    <w:rsid w:val="008F0C20"/>
    <w:rsid w:val="008F0C3E"/>
    <w:rsid w:val="008F0C90"/>
    <w:rsid w:val="008F0EF2"/>
    <w:rsid w:val="008F15AA"/>
    <w:rsid w:val="008F1749"/>
    <w:rsid w:val="008F19CE"/>
    <w:rsid w:val="008F1C0F"/>
    <w:rsid w:val="008F1F08"/>
    <w:rsid w:val="008F2500"/>
    <w:rsid w:val="008F280A"/>
    <w:rsid w:val="008F2883"/>
    <w:rsid w:val="008F2AAC"/>
    <w:rsid w:val="008F3581"/>
    <w:rsid w:val="008F38BD"/>
    <w:rsid w:val="008F391E"/>
    <w:rsid w:val="008F399E"/>
    <w:rsid w:val="008F39D6"/>
    <w:rsid w:val="008F3A61"/>
    <w:rsid w:val="008F3A90"/>
    <w:rsid w:val="008F4432"/>
    <w:rsid w:val="008F49EB"/>
    <w:rsid w:val="008F4BDD"/>
    <w:rsid w:val="008F4CAD"/>
    <w:rsid w:val="008F55DB"/>
    <w:rsid w:val="008F579B"/>
    <w:rsid w:val="008F5870"/>
    <w:rsid w:val="008F5CFE"/>
    <w:rsid w:val="008F5D6E"/>
    <w:rsid w:val="008F6476"/>
    <w:rsid w:val="008F672A"/>
    <w:rsid w:val="008F69AF"/>
    <w:rsid w:val="008F7504"/>
    <w:rsid w:val="008F7666"/>
    <w:rsid w:val="008F7B62"/>
    <w:rsid w:val="008F7CB8"/>
    <w:rsid w:val="008F7E71"/>
    <w:rsid w:val="008F7FF9"/>
    <w:rsid w:val="009003AA"/>
    <w:rsid w:val="009004A4"/>
    <w:rsid w:val="00900703"/>
    <w:rsid w:val="00900ACF"/>
    <w:rsid w:val="00900C58"/>
    <w:rsid w:val="00901174"/>
    <w:rsid w:val="009012E1"/>
    <w:rsid w:val="00901605"/>
    <w:rsid w:val="0090192E"/>
    <w:rsid w:val="009019A4"/>
    <w:rsid w:val="00901DC2"/>
    <w:rsid w:val="009020F6"/>
    <w:rsid w:val="009021CC"/>
    <w:rsid w:val="009023A7"/>
    <w:rsid w:val="00902EE8"/>
    <w:rsid w:val="009034C3"/>
    <w:rsid w:val="00903A2A"/>
    <w:rsid w:val="00903B74"/>
    <w:rsid w:val="00903C86"/>
    <w:rsid w:val="009041FE"/>
    <w:rsid w:val="0090512F"/>
    <w:rsid w:val="009054ED"/>
    <w:rsid w:val="0090565B"/>
    <w:rsid w:val="009056E8"/>
    <w:rsid w:val="00905716"/>
    <w:rsid w:val="009062FD"/>
    <w:rsid w:val="009067BC"/>
    <w:rsid w:val="00906AB8"/>
    <w:rsid w:val="009070F6"/>
    <w:rsid w:val="009071ED"/>
    <w:rsid w:val="009072E2"/>
    <w:rsid w:val="00907426"/>
    <w:rsid w:val="00907552"/>
    <w:rsid w:val="00907620"/>
    <w:rsid w:val="009077C9"/>
    <w:rsid w:val="00907911"/>
    <w:rsid w:val="00907B7A"/>
    <w:rsid w:val="00907DCA"/>
    <w:rsid w:val="00907E6D"/>
    <w:rsid w:val="00907E76"/>
    <w:rsid w:val="0091069C"/>
    <w:rsid w:val="0091071D"/>
    <w:rsid w:val="00911646"/>
    <w:rsid w:val="009116A9"/>
    <w:rsid w:val="00911910"/>
    <w:rsid w:val="00911F1E"/>
    <w:rsid w:val="009120B9"/>
    <w:rsid w:val="00912787"/>
    <w:rsid w:val="00912D40"/>
    <w:rsid w:val="00912F33"/>
    <w:rsid w:val="00912F6F"/>
    <w:rsid w:val="0091366B"/>
    <w:rsid w:val="009146E2"/>
    <w:rsid w:val="009147D9"/>
    <w:rsid w:val="00914A27"/>
    <w:rsid w:val="00914C8D"/>
    <w:rsid w:val="00914FED"/>
    <w:rsid w:val="009157F7"/>
    <w:rsid w:val="00916154"/>
    <w:rsid w:val="00916174"/>
    <w:rsid w:val="00916937"/>
    <w:rsid w:val="00916E72"/>
    <w:rsid w:val="009172CE"/>
    <w:rsid w:val="009173D2"/>
    <w:rsid w:val="00917523"/>
    <w:rsid w:val="0091766A"/>
    <w:rsid w:val="0091766F"/>
    <w:rsid w:val="0091783F"/>
    <w:rsid w:val="00917890"/>
    <w:rsid w:val="009179DA"/>
    <w:rsid w:val="00917A5F"/>
    <w:rsid w:val="00917AD6"/>
    <w:rsid w:val="0092094B"/>
    <w:rsid w:val="00920B4A"/>
    <w:rsid w:val="00920DD1"/>
    <w:rsid w:val="00920EAE"/>
    <w:rsid w:val="00921362"/>
    <w:rsid w:val="00921486"/>
    <w:rsid w:val="00921549"/>
    <w:rsid w:val="0092154F"/>
    <w:rsid w:val="00921643"/>
    <w:rsid w:val="00922E14"/>
    <w:rsid w:val="009230C1"/>
    <w:rsid w:val="00923191"/>
    <w:rsid w:val="00923240"/>
    <w:rsid w:val="00923412"/>
    <w:rsid w:val="0092346C"/>
    <w:rsid w:val="009236E9"/>
    <w:rsid w:val="009239C8"/>
    <w:rsid w:val="00923D6D"/>
    <w:rsid w:val="00923E54"/>
    <w:rsid w:val="00923F39"/>
    <w:rsid w:val="009243F9"/>
    <w:rsid w:val="009246D4"/>
    <w:rsid w:val="00924DC2"/>
    <w:rsid w:val="00925006"/>
    <w:rsid w:val="009257B3"/>
    <w:rsid w:val="00925A39"/>
    <w:rsid w:val="0092643D"/>
    <w:rsid w:val="00926463"/>
    <w:rsid w:val="00926473"/>
    <w:rsid w:val="00926530"/>
    <w:rsid w:val="00926A86"/>
    <w:rsid w:val="00926F6E"/>
    <w:rsid w:val="009272A4"/>
    <w:rsid w:val="00927A3F"/>
    <w:rsid w:val="00927A66"/>
    <w:rsid w:val="00930105"/>
    <w:rsid w:val="00930710"/>
    <w:rsid w:val="00930ABA"/>
    <w:rsid w:val="00930CEE"/>
    <w:rsid w:val="00931335"/>
    <w:rsid w:val="009318F4"/>
    <w:rsid w:val="0093211C"/>
    <w:rsid w:val="00932B27"/>
    <w:rsid w:val="00932FB0"/>
    <w:rsid w:val="0093316D"/>
    <w:rsid w:val="0093354F"/>
    <w:rsid w:val="0093378B"/>
    <w:rsid w:val="009337F7"/>
    <w:rsid w:val="00933AAB"/>
    <w:rsid w:val="00933ABB"/>
    <w:rsid w:val="009340E4"/>
    <w:rsid w:val="00934254"/>
    <w:rsid w:val="00934ABE"/>
    <w:rsid w:val="00934B68"/>
    <w:rsid w:val="00934C56"/>
    <w:rsid w:val="00934D85"/>
    <w:rsid w:val="009354DF"/>
    <w:rsid w:val="00935BE2"/>
    <w:rsid w:val="00935F76"/>
    <w:rsid w:val="00935FF1"/>
    <w:rsid w:val="0093601D"/>
    <w:rsid w:val="009368BC"/>
    <w:rsid w:val="00936991"/>
    <w:rsid w:val="009369EE"/>
    <w:rsid w:val="0093776D"/>
    <w:rsid w:val="00937F4C"/>
    <w:rsid w:val="009401EA"/>
    <w:rsid w:val="00940A24"/>
    <w:rsid w:val="00940C4D"/>
    <w:rsid w:val="00940FEB"/>
    <w:rsid w:val="0094104B"/>
    <w:rsid w:val="00941522"/>
    <w:rsid w:val="009416A5"/>
    <w:rsid w:val="009416AE"/>
    <w:rsid w:val="0094178D"/>
    <w:rsid w:val="00941C38"/>
    <w:rsid w:val="00941C80"/>
    <w:rsid w:val="009424C2"/>
    <w:rsid w:val="009426A0"/>
    <w:rsid w:val="0094285D"/>
    <w:rsid w:val="0094293C"/>
    <w:rsid w:val="0094295E"/>
    <w:rsid w:val="00942978"/>
    <w:rsid w:val="009430B2"/>
    <w:rsid w:val="009430E3"/>
    <w:rsid w:val="00943152"/>
    <w:rsid w:val="009435AA"/>
    <w:rsid w:val="0094365C"/>
    <w:rsid w:val="009436DC"/>
    <w:rsid w:val="009438BC"/>
    <w:rsid w:val="00943986"/>
    <w:rsid w:val="00943C76"/>
    <w:rsid w:val="00943CBF"/>
    <w:rsid w:val="0094415B"/>
    <w:rsid w:val="00944433"/>
    <w:rsid w:val="00944C20"/>
    <w:rsid w:val="009451C0"/>
    <w:rsid w:val="00945521"/>
    <w:rsid w:val="00945933"/>
    <w:rsid w:val="009459ED"/>
    <w:rsid w:val="00945A2D"/>
    <w:rsid w:val="00945ABB"/>
    <w:rsid w:val="00945DC2"/>
    <w:rsid w:val="00946245"/>
    <w:rsid w:val="009463E3"/>
    <w:rsid w:val="0094668E"/>
    <w:rsid w:val="00946B10"/>
    <w:rsid w:val="00946C6C"/>
    <w:rsid w:val="00946F7A"/>
    <w:rsid w:val="009471CB"/>
    <w:rsid w:val="009471F3"/>
    <w:rsid w:val="0094730E"/>
    <w:rsid w:val="009474C0"/>
    <w:rsid w:val="00947857"/>
    <w:rsid w:val="00947892"/>
    <w:rsid w:val="00947F3F"/>
    <w:rsid w:val="009501A5"/>
    <w:rsid w:val="00950753"/>
    <w:rsid w:val="00950882"/>
    <w:rsid w:val="00950A4A"/>
    <w:rsid w:val="0095196C"/>
    <w:rsid w:val="00951CA6"/>
    <w:rsid w:val="00951D84"/>
    <w:rsid w:val="00951DBF"/>
    <w:rsid w:val="0095229A"/>
    <w:rsid w:val="0095234C"/>
    <w:rsid w:val="0095240D"/>
    <w:rsid w:val="009526CC"/>
    <w:rsid w:val="00952D42"/>
    <w:rsid w:val="00953000"/>
    <w:rsid w:val="00953408"/>
    <w:rsid w:val="00953518"/>
    <w:rsid w:val="0095365D"/>
    <w:rsid w:val="00953864"/>
    <w:rsid w:val="00953C63"/>
    <w:rsid w:val="00953DFE"/>
    <w:rsid w:val="0095444A"/>
    <w:rsid w:val="00954BCB"/>
    <w:rsid w:val="00954D5B"/>
    <w:rsid w:val="00954DD4"/>
    <w:rsid w:val="00954DDA"/>
    <w:rsid w:val="0095527C"/>
    <w:rsid w:val="0095572B"/>
    <w:rsid w:val="009558ED"/>
    <w:rsid w:val="009559FE"/>
    <w:rsid w:val="00955ADC"/>
    <w:rsid w:val="00956243"/>
    <w:rsid w:val="00956E23"/>
    <w:rsid w:val="0095706D"/>
    <w:rsid w:val="009576A0"/>
    <w:rsid w:val="009576E0"/>
    <w:rsid w:val="00957A12"/>
    <w:rsid w:val="00957C7E"/>
    <w:rsid w:val="00957FB3"/>
    <w:rsid w:val="009604E4"/>
    <w:rsid w:val="00960670"/>
    <w:rsid w:val="0096096F"/>
    <w:rsid w:val="00960CCF"/>
    <w:rsid w:val="00960E9F"/>
    <w:rsid w:val="00961639"/>
    <w:rsid w:val="0096185A"/>
    <w:rsid w:val="00961CD4"/>
    <w:rsid w:val="0096235E"/>
    <w:rsid w:val="00962B38"/>
    <w:rsid w:val="00963172"/>
    <w:rsid w:val="009633CF"/>
    <w:rsid w:val="009636AC"/>
    <w:rsid w:val="00963D23"/>
    <w:rsid w:val="00963E0D"/>
    <w:rsid w:val="00963F02"/>
    <w:rsid w:val="00964345"/>
    <w:rsid w:val="00964512"/>
    <w:rsid w:val="009646A5"/>
    <w:rsid w:val="0096523A"/>
    <w:rsid w:val="00965621"/>
    <w:rsid w:val="009659A0"/>
    <w:rsid w:val="00965D6A"/>
    <w:rsid w:val="00966834"/>
    <w:rsid w:val="00966C38"/>
    <w:rsid w:val="00966CB3"/>
    <w:rsid w:val="009674B0"/>
    <w:rsid w:val="009674E8"/>
    <w:rsid w:val="0096764B"/>
    <w:rsid w:val="0096780D"/>
    <w:rsid w:val="00967A5B"/>
    <w:rsid w:val="00967A78"/>
    <w:rsid w:val="0097001A"/>
    <w:rsid w:val="009706AD"/>
    <w:rsid w:val="009707A9"/>
    <w:rsid w:val="009707EE"/>
    <w:rsid w:val="00971D47"/>
    <w:rsid w:val="00971D62"/>
    <w:rsid w:val="00971F2D"/>
    <w:rsid w:val="0097205E"/>
    <w:rsid w:val="0097246C"/>
    <w:rsid w:val="009724FA"/>
    <w:rsid w:val="0097276E"/>
    <w:rsid w:val="009735D1"/>
    <w:rsid w:val="009739F5"/>
    <w:rsid w:val="00973F06"/>
    <w:rsid w:val="0097411B"/>
    <w:rsid w:val="0097436D"/>
    <w:rsid w:val="0097548D"/>
    <w:rsid w:val="009755A3"/>
    <w:rsid w:val="00976218"/>
    <w:rsid w:val="00976300"/>
    <w:rsid w:val="0097631E"/>
    <w:rsid w:val="009766C5"/>
    <w:rsid w:val="00976880"/>
    <w:rsid w:val="00976900"/>
    <w:rsid w:val="00976CC7"/>
    <w:rsid w:val="00976E9A"/>
    <w:rsid w:val="0097707A"/>
    <w:rsid w:val="009774CE"/>
    <w:rsid w:val="00977C41"/>
    <w:rsid w:val="00977EBF"/>
    <w:rsid w:val="00980410"/>
    <w:rsid w:val="009808C2"/>
    <w:rsid w:val="0098091D"/>
    <w:rsid w:val="00981028"/>
    <w:rsid w:val="009811E2"/>
    <w:rsid w:val="009811FD"/>
    <w:rsid w:val="009818C1"/>
    <w:rsid w:val="00982200"/>
    <w:rsid w:val="00982A82"/>
    <w:rsid w:val="009834EE"/>
    <w:rsid w:val="0098364D"/>
    <w:rsid w:val="00983E6F"/>
    <w:rsid w:val="00984299"/>
    <w:rsid w:val="00984362"/>
    <w:rsid w:val="0098482C"/>
    <w:rsid w:val="009849D9"/>
    <w:rsid w:val="00984B5E"/>
    <w:rsid w:val="009854DA"/>
    <w:rsid w:val="00985623"/>
    <w:rsid w:val="0098590A"/>
    <w:rsid w:val="00985CA9"/>
    <w:rsid w:val="00985E9F"/>
    <w:rsid w:val="0098605E"/>
    <w:rsid w:val="00986216"/>
    <w:rsid w:val="00986602"/>
    <w:rsid w:val="00986EF8"/>
    <w:rsid w:val="009875AC"/>
    <w:rsid w:val="0098768E"/>
    <w:rsid w:val="009877AD"/>
    <w:rsid w:val="009877C4"/>
    <w:rsid w:val="009879EC"/>
    <w:rsid w:val="0099048E"/>
    <w:rsid w:val="009905D6"/>
    <w:rsid w:val="00990C33"/>
    <w:rsid w:val="00991601"/>
    <w:rsid w:val="00991C40"/>
    <w:rsid w:val="00991DE0"/>
    <w:rsid w:val="00992911"/>
    <w:rsid w:val="00992F14"/>
    <w:rsid w:val="00992FE8"/>
    <w:rsid w:val="00993476"/>
    <w:rsid w:val="0099375F"/>
    <w:rsid w:val="009938D9"/>
    <w:rsid w:val="00993A0D"/>
    <w:rsid w:val="00993F30"/>
    <w:rsid w:val="0099422B"/>
    <w:rsid w:val="00994672"/>
    <w:rsid w:val="00994A3E"/>
    <w:rsid w:val="00994FB8"/>
    <w:rsid w:val="0099631D"/>
    <w:rsid w:val="00996503"/>
    <w:rsid w:val="0099679D"/>
    <w:rsid w:val="009967A0"/>
    <w:rsid w:val="0099684D"/>
    <w:rsid w:val="00996B4C"/>
    <w:rsid w:val="00996D27"/>
    <w:rsid w:val="009974E1"/>
    <w:rsid w:val="00997508"/>
    <w:rsid w:val="009976E9"/>
    <w:rsid w:val="009978A2"/>
    <w:rsid w:val="009A0280"/>
    <w:rsid w:val="009A0766"/>
    <w:rsid w:val="009A07E7"/>
    <w:rsid w:val="009A0B95"/>
    <w:rsid w:val="009A10BD"/>
    <w:rsid w:val="009A10CE"/>
    <w:rsid w:val="009A1D76"/>
    <w:rsid w:val="009A2580"/>
    <w:rsid w:val="009A26E5"/>
    <w:rsid w:val="009A2898"/>
    <w:rsid w:val="009A298C"/>
    <w:rsid w:val="009A2E5A"/>
    <w:rsid w:val="009A2EEE"/>
    <w:rsid w:val="009A32BD"/>
    <w:rsid w:val="009A45A1"/>
    <w:rsid w:val="009A4A3D"/>
    <w:rsid w:val="009A53F0"/>
    <w:rsid w:val="009A5AD9"/>
    <w:rsid w:val="009A630A"/>
    <w:rsid w:val="009A6D67"/>
    <w:rsid w:val="009A6E16"/>
    <w:rsid w:val="009A6F6E"/>
    <w:rsid w:val="009A70A9"/>
    <w:rsid w:val="009A7A3C"/>
    <w:rsid w:val="009A7B6B"/>
    <w:rsid w:val="009A7D80"/>
    <w:rsid w:val="009B0827"/>
    <w:rsid w:val="009B08A1"/>
    <w:rsid w:val="009B08C0"/>
    <w:rsid w:val="009B0B97"/>
    <w:rsid w:val="009B0C05"/>
    <w:rsid w:val="009B0CAA"/>
    <w:rsid w:val="009B0CB6"/>
    <w:rsid w:val="009B0F59"/>
    <w:rsid w:val="009B1215"/>
    <w:rsid w:val="009B145A"/>
    <w:rsid w:val="009B172A"/>
    <w:rsid w:val="009B1A81"/>
    <w:rsid w:val="009B21C6"/>
    <w:rsid w:val="009B2205"/>
    <w:rsid w:val="009B2218"/>
    <w:rsid w:val="009B2435"/>
    <w:rsid w:val="009B2666"/>
    <w:rsid w:val="009B26BB"/>
    <w:rsid w:val="009B2B05"/>
    <w:rsid w:val="009B2C18"/>
    <w:rsid w:val="009B3D06"/>
    <w:rsid w:val="009B3EE8"/>
    <w:rsid w:val="009B3EE9"/>
    <w:rsid w:val="009B3FCB"/>
    <w:rsid w:val="009B491F"/>
    <w:rsid w:val="009B4A2F"/>
    <w:rsid w:val="009B4D86"/>
    <w:rsid w:val="009B4DE9"/>
    <w:rsid w:val="009B50C8"/>
    <w:rsid w:val="009B544C"/>
    <w:rsid w:val="009B5731"/>
    <w:rsid w:val="009B6276"/>
    <w:rsid w:val="009B660B"/>
    <w:rsid w:val="009B6886"/>
    <w:rsid w:val="009B6C89"/>
    <w:rsid w:val="009B7321"/>
    <w:rsid w:val="009B789C"/>
    <w:rsid w:val="009B7D06"/>
    <w:rsid w:val="009B7EFC"/>
    <w:rsid w:val="009B7FA3"/>
    <w:rsid w:val="009C00FF"/>
    <w:rsid w:val="009C01FF"/>
    <w:rsid w:val="009C0265"/>
    <w:rsid w:val="009C0CFC"/>
    <w:rsid w:val="009C0D2E"/>
    <w:rsid w:val="009C1268"/>
    <w:rsid w:val="009C1331"/>
    <w:rsid w:val="009C13E7"/>
    <w:rsid w:val="009C173C"/>
    <w:rsid w:val="009C19C5"/>
    <w:rsid w:val="009C1E8C"/>
    <w:rsid w:val="009C21BC"/>
    <w:rsid w:val="009C2256"/>
    <w:rsid w:val="009C23B6"/>
    <w:rsid w:val="009C2497"/>
    <w:rsid w:val="009C27EE"/>
    <w:rsid w:val="009C28EE"/>
    <w:rsid w:val="009C2CEE"/>
    <w:rsid w:val="009C3211"/>
    <w:rsid w:val="009C322E"/>
    <w:rsid w:val="009C36D3"/>
    <w:rsid w:val="009C3E75"/>
    <w:rsid w:val="009C403D"/>
    <w:rsid w:val="009C4158"/>
    <w:rsid w:val="009C4A80"/>
    <w:rsid w:val="009C4F45"/>
    <w:rsid w:val="009C51FE"/>
    <w:rsid w:val="009C5221"/>
    <w:rsid w:val="009C5835"/>
    <w:rsid w:val="009C5A07"/>
    <w:rsid w:val="009C5D2A"/>
    <w:rsid w:val="009C5FBC"/>
    <w:rsid w:val="009C615A"/>
    <w:rsid w:val="009C6A03"/>
    <w:rsid w:val="009C6BA1"/>
    <w:rsid w:val="009C7667"/>
    <w:rsid w:val="009C79DD"/>
    <w:rsid w:val="009C7C7A"/>
    <w:rsid w:val="009C7D3A"/>
    <w:rsid w:val="009C7EF8"/>
    <w:rsid w:val="009D077F"/>
    <w:rsid w:val="009D0BA8"/>
    <w:rsid w:val="009D0F2E"/>
    <w:rsid w:val="009D0F68"/>
    <w:rsid w:val="009D11FA"/>
    <w:rsid w:val="009D158F"/>
    <w:rsid w:val="009D19E7"/>
    <w:rsid w:val="009D1BF2"/>
    <w:rsid w:val="009D1CC0"/>
    <w:rsid w:val="009D2028"/>
    <w:rsid w:val="009D2664"/>
    <w:rsid w:val="009D31F6"/>
    <w:rsid w:val="009D3297"/>
    <w:rsid w:val="009D364E"/>
    <w:rsid w:val="009D3A35"/>
    <w:rsid w:val="009D3D28"/>
    <w:rsid w:val="009D3F11"/>
    <w:rsid w:val="009D3F50"/>
    <w:rsid w:val="009D41E8"/>
    <w:rsid w:val="009D4880"/>
    <w:rsid w:val="009D48D9"/>
    <w:rsid w:val="009D51C4"/>
    <w:rsid w:val="009D5B5D"/>
    <w:rsid w:val="009D5BDD"/>
    <w:rsid w:val="009D5C6F"/>
    <w:rsid w:val="009D5F56"/>
    <w:rsid w:val="009D675E"/>
    <w:rsid w:val="009D6C5C"/>
    <w:rsid w:val="009D6CEC"/>
    <w:rsid w:val="009D6EFA"/>
    <w:rsid w:val="009E004D"/>
    <w:rsid w:val="009E042E"/>
    <w:rsid w:val="009E10CC"/>
    <w:rsid w:val="009E197B"/>
    <w:rsid w:val="009E19B0"/>
    <w:rsid w:val="009E2748"/>
    <w:rsid w:val="009E2B14"/>
    <w:rsid w:val="009E2EEA"/>
    <w:rsid w:val="009E325B"/>
    <w:rsid w:val="009E3616"/>
    <w:rsid w:val="009E3E2E"/>
    <w:rsid w:val="009E40E4"/>
    <w:rsid w:val="009E4224"/>
    <w:rsid w:val="009E4275"/>
    <w:rsid w:val="009E43B2"/>
    <w:rsid w:val="009E4619"/>
    <w:rsid w:val="009E49D4"/>
    <w:rsid w:val="009E4C79"/>
    <w:rsid w:val="009E4DD8"/>
    <w:rsid w:val="009E4E01"/>
    <w:rsid w:val="009E521E"/>
    <w:rsid w:val="009E526D"/>
    <w:rsid w:val="009E53DC"/>
    <w:rsid w:val="009E58D0"/>
    <w:rsid w:val="009E5ECB"/>
    <w:rsid w:val="009E63E7"/>
    <w:rsid w:val="009E6827"/>
    <w:rsid w:val="009E6929"/>
    <w:rsid w:val="009E6DEC"/>
    <w:rsid w:val="009E6F41"/>
    <w:rsid w:val="009E72A3"/>
    <w:rsid w:val="009E75AF"/>
    <w:rsid w:val="009E75B7"/>
    <w:rsid w:val="009E76A8"/>
    <w:rsid w:val="009E77A9"/>
    <w:rsid w:val="009E77B5"/>
    <w:rsid w:val="009E7DB5"/>
    <w:rsid w:val="009F0899"/>
    <w:rsid w:val="009F0D9C"/>
    <w:rsid w:val="009F0FF3"/>
    <w:rsid w:val="009F1107"/>
    <w:rsid w:val="009F1ACB"/>
    <w:rsid w:val="009F1AFB"/>
    <w:rsid w:val="009F1B48"/>
    <w:rsid w:val="009F1BF1"/>
    <w:rsid w:val="009F1E31"/>
    <w:rsid w:val="009F1EB8"/>
    <w:rsid w:val="009F1F02"/>
    <w:rsid w:val="009F2578"/>
    <w:rsid w:val="009F377C"/>
    <w:rsid w:val="009F37A2"/>
    <w:rsid w:val="009F3A44"/>
    <w:rsid w:val="009F3BE0"/>
    <w:rsid w:val="009F47E0"/>
    <w:rsid w:val="009F485D"/>
    <w:rsid w:val="009F4BB8"/>
    <w:rsid w:val="009F5321"/>
    <w:rsid w:val="009F55BA"/>
    <w:rsid w:val="009F5906"/>
    <w:rsid w:val="009F59EA"/>
    <w:rsid w:val="009F5A71"/>
    <w:rsid w:val="009F6749"/>
    <w:rsid w:val="009F6A13"/>
    <w:rsid w:val="009F768B"/>
    <w:rsid w:val="009F7ACF"/>
    <w:rsid w:val="00A00056"/>
    <w:rsid w:val="00A00921"/>
    <w:rsid w:val="00A00A02"/>
    <w:rsid w:val="00A00CBB"/>
    <w:rsid w:val="00A00E58"/>
    <w:rsid w:val="00A010D4"/>
    <w:rsid w:val="00A019E8"/>
    <w:rsid w:val="00A020E5"/>
    <w:rsid w:val="00A021AA"/>
    <w:rsid w:val="00A0239D"/>
    <w:rsid w:val="00A032E4"/>
    <w:rsid w:val="00A039A1"/>
    <w:rsid w:val="00A03B73"/>
    <w:rsid w:val="00A0465B"/>
    <w:rsid w:val="00A04B95"/>
    <w:rsid w:val="00A04B9D"/>
    <w:rsid w:val="00A0555B"/>
    <w:rsid w:val="00A05D1B"/>
    <w:rsid w:val="00A06233"/>
    <w:rsid w:val="00A063F8"/>
    <w:rsid w:val="00A064CB"/>
    <w:rsid w:val="00A06C10"/>
    <w:rsid w:val="00A071AF"/>
    <w:rsid w:val="00A0749E"/>
    <w:rsid w:val="00A0756A"/>
    <w:rsid w:val="00A078F4"/>
    <w:rsid w:val="00A07B50"/>
    <w:rsid w:val="00A10046"/>
    <w:rsid w:val="00A10A32"/>
    <w:rsid w:val="00A11026"/>
    <w:rsid w:val="00A1107F"/>
    <w:rsid w:val="00A1132D"/>
    <w:rsid w:val="00A119A1"/>
    <w:rsid w:val="00A11D23"/>
    <w:rsid w:val="00A11D55"/>
    <w:rsid w:val="00A12092"/>
    <w:rsid w:val="00A12942"/>
    <w:rsid w:val="00A12967"/>
    <w:rsid w:val="00A1376B"/>
    <w:rsid w:val="00A139CD"/>
    <w:rsid w:val="00A13DED"/>
    <w:rsid w:val="00A1434E"/>
    <w:rsid w:val="00A144CE"/>
    <w:rsid w:val="00A1451D"/>
    <w:rsid w:val="00A14E75"/>
    <w:rsid w:val="00A14ED1"/>
    <w:rsid w:val="00A15100"/>
    <w:rsid w:val="00A154DF"/>
    <w:rsid w:val="00A156A3"/>
    <w:rsid w:val="00A158EF"/>
    <w:rsid w:val="00A1599A"/>
    <w:rsid w:val="00A15E4C"/>
    <w:rsid w:val="00A165A8"/>
    <w:rsid w:val="00A16822"/>
    <w:rsid w:val="00A16827"/>
    <w:rsid w:val="00A170F2"/>
    <w:rsid w:val="00A17483"/>
    <w:rsid w:val="00A17A8B"/>
    <w:rsid w:val="00A17E9E"/>
    <w:rsid w:val="00A20440"/>
    <w:rsid w:val="00A20453"/>
    <w:rsid w:val="00A2052F"/>
    <w:rsid w:val="00A208C3"/>
    <w:rsid w:val="00A20A61"/>
    <w:rsid w:val="00A20EF8"/>
    <w:rsid w:val="00A21229"/>
    <w:rsid w:val="00A21AA7"/>
    <w:rsid w:val="00A21C12"/>
    <w:rsid w:val="00A22362"/>
    <w:rsid w:val="00A226C4"/>
    <w:rsid w:val="00A22A1A"/>
    <w:rsid w:val="00A23019"/>
    <w:rsid w:val="00A23B17"/>
    <w:rsid w:val="00A24850"/>
    <w:rsid w:val="00A24CD3"/>
    <w:rsid w:val="00A24FCB"/>
    <w:rsid w:val="00A251F0"/>
    <w:rsid w:val="00A2523B"/>
    <w:rsid w:val="00A255D7"/>
    <w:rsid w:val="00A26215"/>
    <w:rsid w:val="00A26282"/>
    <w:rsid w:val="00A265BA"/>
    <w:rsid w:val="00A266C7"/>
    <w:rsid w:val="00A26D74"/>
    <w:rsid w:val="00A26E97"/>
    <w:rsid w:val="00A27419"/>
    <w:rsid w:val="00A276F3"/>
    <w:rsid w:val="00A27768"/>
    <w:rsid w:val="00A279F6"/>
    <w:rsid w:val="00A30023"/>
    <w:rsid w:val="00A30978"/>
    <w:rsid w:val="00A30BE1"/>
    <w:rsid w:val="00A30E07"/>
    <w:rsid w:val="00A310B6"/>
    <w:rsid w:val="00A3150E"/>
    <w:rsid w:val="00A31553"/>
    <w:rsid w:val="00A3170A"/>
    <w:rsid w:val="00A31858"/>
    <w:rsid w:val="00A31969"/>
    <w:rsid w:val="00A31C82"/>
    <w:rsid w:val="00A31ED5"/>
    <w:rsid w:val="00A31F10"/>
    <w:rsid w:val="00A3237D"/>
    <w:rsid w:val="00A3252B"/>
    <w:rsid w:val="00A32928"/>
    <w:rsid w:val="00A329AF"/>
    <w:rsid w:val="00A32A36"/>
    <w:rsid w:val="00A32BDA"/>
    <w:rsid w:val="00A3321E"/>
    <w:rsid w:val="00A3349F"/>
    <w:rsid w:val="00A338FE"/>
    <w:rsid w:val="00A34493"/>
    <w:rsid w:val="00A346AC"/>
    <w:rsid w:val="00A34FB5"/>
    <w:rsid w:val="00A35368"/>
    <w:rsid w:val="00A355C0"/>
    <w:rsid w:val="00A35A84"/>
    <w:rsid w:val="00A361F7"/>
    <w:rsid w:val="00A3659D"/>
    <w:rsid w:val="00A367C7"/>
    <w:rsid w:val="00A3686A"/>
    <w:rsid w:val="00A36A11"/>
    <w:rsid w:val="00A36D5E"/>
    <w:rsid w:val="00A37254"/>
    <w:rsid w:val="00A3751E"/>
    <w:rsid w:val="00A37658"/>
    <w:rsid w:val="00A3776A"/>
    <w:rsid w:val="00A37913"/>
    <w:rsid w:val="00A37E65"/>
    <w:rsid w:val="00A4036D"/>
    <w:rsid w:val="00A404C5"/>
    <w:rsid w:val="00A4079D"/>
    <w:rsid w:val="00A41157"/>
    <w:rsid w:val="00A41282"/>
    <w:rsid w:val="00A4143E"/>
    <w:rsid w:val="00A41581"/>
    <w:rsid w:val="00A417A2"/>
    <w:rsid w:val="00A418BF"/>
    <w:rsid w:val="00A41B1A"/>
    <w:rsid w:val="00A42524"/>
    <w:rsid w:val="00A42581"/>
    <w:rsid w:val="00A426C0"/>
    <w:rsid w:val="00A42990"/>
    <w:rsid w:val="00A42F3F"/>
    <w:rsid w:val="00A43460"/>
    <w:rsid w:val="00A43643"/>
    <w:rsid w:val="00A43793"/>
    <w:rsid w:val="00A43C69"/>
    <w:rsid w:val="00A43F3E"/>
    <w:rsid w:val="00A43FF3"/>
    <w:rsid w:val="00A44281"/>
    <w:rsid w:val="00A446FA"/>
    <w:rsid w:val="00A44C51"/>
    <w:rsid w:val="00A44D30"/>
    <w:rsid w:val="00A44E0A"/>
    <w:rsid w:val="00A4531B"/>
    <w:rsid w:val="00A4585E"/>
    <w:rsid w:val="00A45A05"/>
    <w:rsid w:val="00A45C61"/>
    <w:rsid w:val="00A45D30"/>
    <w:rsid w:val="00A45D32"/>
    <w:rsid w:val="00A46059"/>
    <w:rsid w:val="00A460E2"/>
    <w:rsid w:val="00A4620A"/>
    <w:rsid w:val="00A46410"/>
    <w:rsid w:val="00A46488"/>
    <w:rsid w:val="00A466F9"/>
    <w:rsid w:val="00A47678"/>
    <w:rsid w:val="00A476F6"/>
    <w:rsid w:val="00A47793"/>
    <w:rsid w:val="00A479B3"/>
    <w:rsid w:val="00A479EB"/>
    <w:rsid w:val="00A47A80"/>
    <w:rsid w:val="00A47EFB"/>
    <w:rsid w:val="00A501CE"/>
    <w:rsid w:val="00A5030C"/>
    <w:rsid w:val="00A50850"/>
    <w:rsid w:val="00A50AF4"/>
    <w:rsid w:val="00A50B0E"/>
    <w:rsid w:val="00A51061"/>
    <w:rsid w:val="00A514CC"/>
    <w:rsid w:val="00A516CF"/>
    <w:rsid w:val="00A51855"/>
    <w:rsid w:val="00A51987"/>
    <w:rsid w:val="00A51A0F"/>
    <w:rsid w:val="00A52086"/>
    <w:rsid w:val="00A523AF"/>
    <w:rsid w:val="00A523C4"/>
    <w:rsid w:val="00A5242E"/>
    <w:rsid w:val="00A526A4"/>
    <w:rsid w:val="00A5279A"/>
    <w:rsid w:val="00A52AE7"/>
    <w:rsid w:val="00A53120"/>
    <w:rsid w:val="00A53655"/>
    <w:rsid w:val="00A539FA"/>
    <w:rsid w:val="00A53DFB"/>
    <w:rsid w:val="00A54C06"/>
    <w:rsid w:val="00A5527F"/>
    <w:rsid w:val="00A553F7"/>
    <w:rsid w:val="00A554AA"/>
    <w:rsid w:val="00A55760"/>
    <w:rsid w:val="00A558AD"/>
    <w:rsid w:val="00A55920"/>
    <w:rsid w:val="00A55FA1"/>
    <w:rsid w:val="00A56104"/>
    <w:rsid w:val="00A56969"/>
    <w:rsid w:val="00A570F2"/>
    <w:rsid w:val="00A57318"/>
    <w:rsid w:val="00A57387"/>
    <w:rsid w:val="00A57485"/>
    <w:rsid w:val="00A60282"/>
    <w:rsid w:val="00A60442"/>
    <w:rsid w:val="00A6048D"/>
    <w:rsid w:val="00A60516"/>
    <w:rsid w:val="00A6094C"/>
    <w:rsid w:val="00A60A00"/>
    <w:rsid w:val="00A610C4"/>
    <w:rsid w:val="00A6116F"/>
    <w:rsid w:val="00A61383"/>
    <w:rsid w:val="00A616FD"/>
    <w:rsid w:val="00A618A9"/>
    <w:rsid w:val="00A618EB"/>
    <w:rsid w:val="00A62514"/>
    <w:rsid w:val="00A6251E"/>
    <w:rsid w:val="00A62738"/>
    <w:rsid w:val="00A6302B"/>
    <w:rsid w:val="00A63A54"/>
    <w:rsid w:val="00A63BA5"/>
    <w:rsid w:val="00A640CB"/>
    <w:rsid w:val="00A6453C"/>
    <w:rsid w:val="00A64A59"/>
    <w:rsid w:val="00A6540E"/>
    <w:rsid w:val="00A658DC"/>
    <w:rsid w:val="00A659F2"/>
    <w:rsid w:val="00A65A57"/>
    <w:rsid w:val="00A662D6"/>
    <w:rsid w:val="00A6634E"/>
    <w:rsid w:val="00A66400"/>
    <w:rsid w:val="00A667C3"/>
    <w:rsid w:val="00A667FF"/>
    <w:rsid w:val="00A668FE"/>
    <w:rsid w:val="00A66A89"/>
    <w:rsid w:val="00A66AC2"/>
    <w:rsid w:val="00A67257"/>
    <w:rsid w:val="00A672A8"/>
    <w:rsid w:val="00A674B0"/>
    <w:rsid w:val="00A6759C"/>
    <w:rsid w:val="00A6761C"/>
    <w:rsid w:val="00A676A8"/>
    <w:rsid w:val="00A677AE"/>
    <w:rsid w:val="00A70314"/>
    <w:rsid w:val="00A7032F"/>
    <w:rsid w:val="00A70623"/>
    <w:rsid w:val="00A70933"/>
    <w:rsid w:val="00A70DD9"/>
    <w:rsid w:val="00A713A0"/>
    <w:rsid w:val="00A716BC"/>
    <w:rsid w:val="00A718FA"/>
    <w:rsid w:val="00A71EA8"/>
    <w:rsid w:val="00A728B2"/>
    <w:rsid w:val="00A72E2F"/>
    <w:rsid w:val="00A7352E"/>
    <w:rsid w:val="00A73734"/>
    <w:rsid w:val="00A73827"/>
    <w:rsid w:val="00A73BDC"/>
    <w:rsid w:val="00A73C5E"/>
    <w:rsid w:val="00A73CAE"/>
    <w:rsid w:val="00A7410F"/>
    <w:rsid w:val="00A74480"/>
    <w:rsid w:val="00A74B18"/>
    <w:rsid w:val="00A74C52"/>
    <w:rsid w:val="00A75272"/>
    <w:rsid w:val="00A75426"/>
    <w:rsid w:val="00A754BE"/>
    <w:rsid w:val="00A75887"/>
    <w:rsid w:val="00A75CCC"/>
    <w:rsid w:val="00A763C3"/>
    <w:rsid w:val="00A7649D"/>
    <w:rsid w:val="00A76D2C"/>
    <w:rsid w:val="00A76E0F"/>
    <w:rsid w:val="00A76EEF"/>
    <w:rsid w:val="00A7747D"/>
    <w:rsid w:val="00A77DD6"/>
    <w:rsid w:val="00A80157"/>
    <w:rsid w:val="00A8037F"/>
    <w:rsid w:val="00A80519"/>
    <w:rsid w:val="00A807FF"/>
    <w:rsid w:val="00A80926"/>
    <w:rsid w:val="00A80D6D"/>
    <w:rsid w:val="00A81591"/>
    <w:rsid w:val="00A815BE"/>
    <w:rsid w:val="00A818C6"/>
    <w:rsid w:val="00A81A64"/>
    <w:rsid w:val="00A81A80"/>
    <w:rsid w:val="00A81AB7"/>
    <w:rsid w:val="00A81B35"/>
    <w:rsid w:val="00A81BD8"/>
    <w:rsid w:val="00A828F4"/>
    <w:rsid w:val="00A829D2"/>
    <w:rsid w:val="00A82CCC"/>
    <w:rsid w:val="00A82EA8"/>
    <w:rsid w:val="00A82F19"/>
    <w:rsid w:val="00A8310F"/>
    <w:rsid w:val="00A8330A"/>
    <w:rsid w:val="00A83D4A"/>
    <w:rsid w:val="00A8448E"/>
    <w:rsid w:val="00A84741"/>
    <w:rsid w:val="00A84A73"/>
    <w:rsid w:val="00A84C81"/>
    <w:rsid w:val="00A85BD2"/>
    <w:rsid w:val="00A85E26"/>
    <w:rsid w:val="00A85E4D"/>
    <w:rsid w:val="00A85E71"/>
    <w:rsid w:val="00A8639B"/>
    <w:rsid w:val="00A864E2"/>
    <w:rsid w:val="00A86526"/>
    <w:rsid w:val="00A86B60"/>
    <w:rsid w:val="00A86BA1"/>
    <w:rsid w:val="00A873B4"/>
    <w:rsid w:val="00A8758E"/>
    <w:rsid w:val="00A87B10"/>
    <w:rsid w:val="00A87D43"/>
    <w:rsid w:val="00A87FA2"/>
    <w:rsid w:val="00A904D5"/>
    <w:rsid w:val="00A908C0"/>
    <w:rsid w:val="00A90950"/>
    <w:rsid w:val="00A90D04"/>
    <w:rsid w:val="00A9116F"/>
    <w:rsid w:val="00A91927"/>
    <w:rsid w:val="00A92386"/>
    <w:rsid w:val="00A9238D"/>
    <w:rsid w:val="00A929C6"/>
    <w:rsid w:val="00A9324C"/>
    <w:rsid w:val="00A9379C"/>
    <w:rsid w:val="00A937B9"/>
    <w:rsid w:val="00A93ACE"/>
    <w:rsid w:val="00A9423D"/>
    <w:rsid w:val="00A94306"/>
    <w:rsid w:val="00A948F8"/>
    <w:rsid w:val="00A95349"/>
    <w:rsid w:val="00A95B45"/>
    <w:rsid w:val="00A95C5B"/>
    <w:rsid w:val="00A95DD7"/>
    <w:rsid w:val="00A9630F"/>
    <w:rsid w:val="00A96A84"/>
    <w:rsid w:val="00A96B4D"/>
    <w:rsid w:val="00A96C59"/>
    <w:rsid w:val="00A96D88"/>
    <w:rsid w:val="00A96FC8"/>
    <w:rsid w:val="00A96FE0"/>
    <w:rsid w:val="00A97500"/>
    <w:rsid w:val="00A97E13"/>
    <w:rsid w:val="00AA00D4"/>
    <w:rsid w:val="00AA01FD"/>
    <w:rsid w:val="00AA0484"/>
    <w:rsid w:val="00AA0DD8"/>
    <w:rsid w:val="00AA122D"/>
    <w:rsid w:val="00AA1BED"/>
    <w:rsid w:val="00AA21D0"/>
    <w:rsid w:val="00AA2521"/>
    <w:rsid w:val="00AA2742"/>
    <w:rsid w:val="00AA2960"/>
    <w:rsid w:val="00AA2F7F"/>
    <w:rsid w:val="00AA305D"/>
    <w:rsid w:val="00AA3470"/>
    <w:rsid w:val="00AA37BC"/>
    <w:rsid w:val="00AA3823"/>
    <w:rsid w:val="00AA39E7"/>
    <w:rsid w:val="00AA39FC"/>
    <w:rsid w:val="00AA3C5C"/>
    <w:rsid w:val="00AA4463"/>
    <w:rsid w:val="00AA463A"/>
    <w:rsid w:val="00AA4CCD"/>
    <w:rsid w:val="00AA5268"/>
    <w:rsid w:val="00AA57B6"/>
    <w:rsid w:val="00AA59C2"/>
    <w:rsid w:val="00AA5A15"/>
    <w:rsid w:val="00AA5E46"/>
    <w:rsid w:val="00AA5F2C"/>
    <w:rsid w:val="00AA6AA4"/>
    <w:rsid w:val="00AA7226"/>
    <w:rsid w:val="00AA7806"/>
    <w:rsid w:val="00AA7838"/>
    <w:rsid w:val="00AA7AC6"/>
    <w:rsid w:val="00AA7D69"/>
    <w:rsid w:val="00AB04C8"/>
    <w:rsid w:val="00AB05BD"/>
    <w:rsid w:val="00AB06DA"/>
    <w:rsid w:val="00AB0953"/>
    <w:rsid w:val="00AB0E84"/>
    <w:rsid w:val="00AB0F78"/>
    <w:rsid w:val="00AB1164"/>
    <w:rsid w:val="00AB1265"/>
    <w:rsid w:val="00AB1283"/>
    <w:rsid w:val="00AB145B"/>
    <w:rsid w:val="00AB18B9"/>
    <w:rsid w:val="00AB1AFF"/>
    <w:rsid w:val="00AB1CDA"/>
    <w:rsid w:val="00AB2A4A"/>
    <w:rsid w:val="00AB3053"/>
    <w:rsid w:val="00AB31FF"/>
    <w:rsid w:val="00AB346B"/>
    <w:rsid w:val="00AB3A2A"/>
    <w:rsid w:val="00AB3B61"/>
    <w:rsid w:val="00AB3BC7"/>
    <w:rsid w:val="00AB3EA7"/>
    <w:rsid w:val="00AB3FE7"/>
    <w:rsid w:val="00AB4158"/>
    <w:rsid w:val="00AB4763"/>
    <w:rsid w:val="00AB4A37"/>
    <w:rsid w:val="00AB4D47"/>
    <w:rsid w:val="00AB4F94"/>
    <w:rsid w:val="00AB4F98"/>
    <w:rsid w:val="00AB514E"/>
    <w:rsid w:val="00AB52CD"/>
    <w:rsid w:val="00AB54E8"/>
    <w:rsid w:val="00AB58E3"/>
    <w:rsid w:val="00AB5E84"/>
    <w:rsid w:val="00AB634F"/>
    <w:rsid w:val="00AB646D"/>
    <w:rsid w:val="00AB6C90"/>
    <w:rsid w:val="00AB6E3B"/>
    <w:rsid w:val="00AB6E53"/>
    <w:rsid w:val="00AB72CD"/>
    <w:rsid w:val="00AB74B7"/>
    <w:rsid w:val="00AB75D8"/>
    <w:rsid w:val="00AB78D4"/>
    <w:rsid w:val="00AB7DD7"/>
    <w:rsid w:val="00AC0319"/>
    <w:rsid w:val="00AC063D"/>
    <w:rsid w:val="00AC0BC6"/>
    <w:rsid w:val="00AC0D03"/>
    <w:rsid w:val="00AC0D9A"/>
    <w:rsid w:val="00AC0FC6"/>
    <w:rsid w:val="00AC1200"/>
    <w:rsid w:val="00AC17FC"/>
    <w:rsid w:val="00AC18D2"/>
    <w:rsid w:val="00AC1AFD"/>
    <w:rsid w:val="00AC1F82"/>
    <w:rsid w:val="00AC1FCB"/>
    <w:rsid w:val="00AC2014"/>
    <w:rsid w:val="00AC2676"/>
    <w:rsid w:val="00AC28B5"/>
    <w:rsid w:val="00AC2B75"/>
    <w:rsid w:val="00AC376F"/>
    <w:rsid w:val="00AC37A1"/>
    <w:rsid w:val="00AC3B61"/>
    <w:rsid w:val="00AC3EBC"/>
    <w:rsid w:val="00AC4350"/>
    <w:rsid w:val="00AC443D"/>
    <w:rsid w:val="00AC4600"/>
    <w:rsid w:val="00AC4FD9"/>
    <w:rsid w:val="00AC5F42"/>
    <w:rsid w:val="00AC63B0"/>
    <w:rsid w:val="00AC689C"/>
    <w:rsid w:val="00AC6979"/>
    <w:rsid w:val="00AC6CD3"/>
    <w:rsid w:val="00AC6DB4"/>
    <w:rsid w:val="00AC7013"/>
    <w:rsid w:val="00AC737A"/>
    <w:rsid w:val="00AC74D3"/>
    <w:rsid w:val="00AC77AB"/>
    <w:rsid w:val="00AC7FEC"/>
    <w:rsid w:val="00AD0FD8"/>
    <w:rsid w:val="00AD102A"/>
    <w:rsid w:val="00AD159E"/>
    <w:rsid w:val="00AD170D"/>
    <w:rsid w:val="00AD1AB5"/>
    <w:rsid w:val="00AD1FBB"/>
    <w:rsid w:val="00AD23CB"/>
    <w:rsid w:val="00AD2AC2"/>
    <w:rsid w:val="00AD2C37"/>
    <w:rsid w:val="00AD2D73"/>
    <w:rsid w:val="00AD2EF7"/>
    <w:rsid w:val="00AD2FDB"/>
    <w:rsid w:val="00AD31D3"/>
    <w:rsid w:val="00AD34E9"/>
    <w:rsid w:val="00AD363B"/>
    <w:rsid w:val="00AD36B0"/>
    <w:rsid w:val="00AD3755"/>
    <w:rsid w:val="00AD3950"/>
    <w:rsid w:val="00AD3CCF"/>
    <w:rsid w:val="00AD4170"/>
    <w:rsid w:val="00AD4482"/>
    <w:rsid w:val="00AD5390"/>
    <w:rsid w:val="00AD5C0A"/>
    <w:rsid w:val="00AD5C5A"/>
    <w:rsid w:val="00AD6031"/>
    <w:rsid w:val="00AD60BA"/>
    <w:rsid w:val="00AD6365"/>
    <w:rsid w:val="00AD66AD"/>
    <w:rsid w:val="00AD6896"/>
    <w:rsid w:val="00AD6BC1"/>
    <w:rsid w:val="00AD7138"/>
    <w:rsid w:val="00AD741B"/>
    <w:rsid w:val="00AD77D4"/>
    <w:rsid w:val="00AD7A96"/>
    <w:rsid w:val="00AD7D7C"/>
    <w:rsid w:val="00AD7FB6"/>
    <w:rsid w:val="00AE0534"/>
    <w:rsid w:val="00AE1160"/>
    <w:rsid w:val="00AE1761"/>
    <w:rsid w:val="00AE224B"/>
    <w:rsid w:val="00AE2C02"/>
    <w:rsid w:val="00AE2CB9"/>
    <w:rsid w:val="00AE2E7F"/>
    <w:rsid w:val="00AE332E"/>
    <w:rsid w:val="00AE3432"/>
    <w:rsid w:val="00AE35D7"/>
    <w:rsid w:val="00AE36D1"/>
    <w:rsid w:val="00AE39D7"/>
    <w:rsid w:val="00AE4763"/>
    <w:rsid w:val="00AE47A3"/>
    <w:rsid w:val="00AE483A"/>
    <w:rsid w:val="00AE4DCF"/>
    <w:rsid w:val="00AE50B6"/>
    <w:rsid w:val="00AE50CC"/>
    <w:rsid w:val="00AE55AD"/>
    <w:rsid w:val="00AE5F8C"/>
    <w:rsid w:val="00AE6504"/>
    <w:rsid w:val="00AE65CD"/>
    <w:rsid w:val="00AE6945"/>
    <w:rsid w:val="00AE70A3"/>
    <w:rsid w:val="00AE73DA"/>
    <w:rsid w:val="00AE761F"/>
    <w:rsid w:val="00AE7883"/>
    <w:rsid w:val="00AE78CA"/>
    <w:rsid w:val="00AE7979"/>
    <w:rsid w:val="00AE7B3B"/>
    <w:rsid w:val="00AF04C5"/>
    <w:rsid w:val="00AF06FB"/>
    <w:rsid w:val="00AF1589"/>
    <w:rsid w:val="00AF159C"/>
    <w:rsid w:val="00AF1E88"/>
    <w:rsid w:val="00AF2211"/>
    <w:rsid w:val="00AF2411"/>
    <w:rsid w:val="00AF2459"/>
    <w:rsid w:val="00AF27D8"/>
    <w:rsid w:val="00AF28A0"/>
    <w:rsid w:val="00AF2EEB"/>
    <w:rsid w:val="00AF31AE"/>
    <w:rsid w:val="00AF3272"/>
    <w:rsid w:val="00AF3395"/>
    <w:rsid w:val="00AF3556"/>
    <w:rsid w:val="00AF3CCD"/>
    <w:rsid w:val="00AF4F02"/>
    <w:rsid w:val="00AF5255"/>
    <w:rsid w:val="00AF5AC8"/>
    <w:rsid w:val="00AF5CF3"/>
    <w:rsid w:val="00AF6287"/>
    <w:rsid w:val="00AF64CF"/>
    <w:rsid w:val="00AF64D5"/>
    <w:rsid w:val="00AF6758"/>
    <w:rsid w:val="00AF6817"/>
    <w:rsid w:val="00AF6903"/>
    <w:rsid w:val="00AF6984"/>
    <w:rsid w:val="00AF6CBE"/>
    <w:rsid w:val="00AF6D5E"/>
    <w:rsid w:val="00AF7D00"/>
    <w:rsid w:val="00AF7D4A"/>
    <w:rsid w:val="00B004D0"/>
    <w:rsid w:val="00B0075E"/>
    <w:rsid w:val="00B008CB"/>
    <w:rsid w:val="00B00962"/>
    <w:rsid w:val="00B00B80"/>
    <w:rsid w:val="00B00C42"/>
    <w:rsid w:val="00B01338"/>
    <w:rsid w:val="00B0171B"/>
    <w:rsid w:val="00B019A6"/>
    <w:rsid w:val="00B01E80"/>
    <w:rsid w:val="00B02278"/>
    <w:rsid w:val="00B025BF"/>
    <w:rsid w:val="00B03092"/>
    <w:rsid w:val="00B0353F"/>
    <w:rsid w:val="00B03972"/>
    <w:rsid w:val="00B04389"/>
    <w:rsid w:val="00B044CB"/>
    <w:rsid w:val="00B04653"/>
    <w:rsid w:val="00B0466C"/>
    <w:rsid w:val="00B04826"/>
    <w:rsid w:val="00B05208"/>
    <w:rsid w:val="00B05718"/>
    <w:rsid w:val="00B058A3"/>
    <w:rsid w:val="00B06331"/>
    <w:rsid w:val="00B0654C"/>
    <w:rsid w:val="00B06696"/>
    <w:rsid w:val="00B06831"/>
    <w:rsid w:val="00B068BE"/>
    <w:rsid w:val="00B06D8C"/>
    <w:rsid w:val="00B070E9"/>
    <w:rsid w:val="00B071FF"/>
    <w:rsid w:val="00B0739B"/>
    <w:rsid w:val="00B07BA6"/>
    <w:rsid w:val="00B07BD8"/>
    <w:rsid w:val="00B07C50"/>
    <w:rsid w:val="00B1030E"/>
    <w:rsid w:val="00B1037C"/>
    <w:rsid w:val="00B1068A"/>
    <w:rsid w:val="00B10BDC"/>
    <w:rsid w:val="00B10C6B"/>
    <w:rsid w:val="00B10D70"/>
    <w:rsid w:val="00B10F83"/>
    <w:rsid w:val="00B11467"/>
    <w:rsid w:val="00B12133"/>
    <w:rsid w:val="00B128C8"/>
    <w:rsid w:val="00B12EBC"/>
    <w:rsid w:val="00B12F09"/>
    <w:rsid w:val="00B130F7"/>
    <w:rsid w:val="00B13318"/>
    <w:rsid w:val="00B13434"/>
    <w:rsid w:val="00B13477"/>
    <w:rsid w:val="00B13CBF"/>
    <w:rsid w:val="00B13E32"/>
    <w:rsid w:val="00B14A0E"/>
    <w:rsid w:val="00B14CBA"/>
    <w:rsid w:val="00B15083"/>
    <w:rsid w:val="00B15404"/>
    <w:rsid w:val="00B158F8"/>
    <w:rsid w:val="00B15EB2"/>
    <w:rsid w:val="00B15F01"/>
    <w:rsid w:val="00B1614D"/>
    <w:rsid w:val="00B16B2C"/>
    <w:rsid w:val="00B16B54"/>
    <w:rsid w:val="00B16F40"/>
    <w:rsid w:val="00B16FA7"/>
    <w:rsid w:val="00B171D9"/>
    <w:rsid w:val="00B17B65"/>
    <w:rsid w:val="00B20294"/>
    <w:rsid w:val="00B2041C"/>
    <w:rsid w:val="00B2049E"/>
    <w:rsid w:val="00B20536"/>
    <w:rsid w:val="00B20600"/>
    <w:rsid w:val="00B208EA"/>
    <w:rsid w:val="00B20AF9"/>
    <w:rsid w:val="00B20EE3"/>
    <w:rsid w:val="00B20FD3"/>
    <w:rsid w:val="00B210F9"/>
    <w:rsid w:val="00B217C4"/>
    <w:rsid w:val="00B21E4A"/>
    <w:rsid w:val="00B22153"/>
    <w:rsid w:val="00B22A01"/>
    <w:rsid w:val="00B22E57"/>
    <w:rsid w:val="00B22ECC"/>
    <w:rsid w:val="00B22F20"/>
    <w:rsid w:val="00B22FA3"/>
    <w:rsid w:val="00B23042"/>
    <w:rsid w:val="00B23900"/>
    <w:rsid w:val="00B23A5E"/>
    <w:rsid w:val="00B2409C"/>
    <w:rsid w:val="00B24294"/>
    <w:rsid w:val="00B244C7"/>
    <w:rsid w:val="00B24D98"/>
    <w:rsid w:val="00B25D24"/>
    <w:rsid w:val="00B26097"/>
    <w:rsid w:val="00B263A4"/>
    <w:rsid w:val="00B26502"/>
    <w:rsid w:val="00B268C1"/>
    <w:rsid w:val="00B26A26"/>
    <w:rsid w:val="00B273DA"/>
    <w:rsid w:val="00B27452"/>
    <w:rsid w:val="00B27B36"/>
    <w:rsid w:val="00B27B5A"/>
    <w:rsid w:val="00B27D78"/>
    <w:rsid w:val="00B27F4E"/>
    <w:rsid w:val="00B30672"/>
    <w:rsid w:val="00B307E4"/>
    <w:rsid w:val="00B30D58"/>
    <w:rsid w:val="00B30D66"/>
    <w:rsid w:val="00B30DD4"/>
    <w:rsid w:val="00B30EED"/>
    <w:rsid w:val="00B311C0"/>
    <w:rsid w:val="00B31285"/>
    <w:rsid w:val="00B312CE"/>
    <w:rsid w:val="00B3178A"/>
    <w:rsid w:val="00B31AE8"/>
    <w:rsid w:val="00B32008"/>
    <w:rsid w:val="00B32486"/>
    <w:rsid w:val="00B32A69"/>
    <w:rsid w:val="00B32B15"/>
    <w:rsid w:val="00B3300A"/>
    <w:rsid w:val="00B333EB"/>
    <w:rsid w:val="00B334EA"/>
    <w:rsid w:val="00B33F1F"/>
    <w:rsid w:val="00B34008"/>
    <w:rsid w:val="00B35905"/>
    <w:rsid w:val="00B35D15"/>
    <w:rsid w:val="00B36312"/>
    <w:rsid w:val="00B36469"/>
    <w:rsid w:val="00B367E3"/>
    <w:rsid w:val="00B3684F"/>
    <w:rsid w:val="00B36996"/>
    <w:rsid w:val="00B36A36"/>
    <w:rsid w:val="00B36A45"/>
    <w:rsid w:val="00B36B0B"/>
    <w:rsid w:val="00B36B34"/>
    <w:rsid w:val="00B36C58"/>
    <w:rsid w:val="00B36F6D"/>
    <w:rsid w:val="00B375B6"/>
    <w:rsid w:val="00B375EE"/>
    <w:rsid w:val="00B37D1F"/>
    <w:rsid w:val="00B37D6C"/>
    <w:rsid w:val="00B40A51"/>
    <w:rsid w:val="00B40BB9"/>
    <w:rsid w:val="00B412A0"/>
    <w:rsid w:val="00B41927"/>
    <w:rsid w:val="00B42196"/>
    <w:rsid w:val="00B4226A"/>
    <w:rsid w:val="00B4240A"/>
    <w:rsid w:val="00B42ED3"/>
    <w:rsid w:val="00B43267"/>
    <w:rsid w:val="00B4343F"/>
    <w:rsid w:val="00B439D0"/>
    <w:rsid w:val="00B43B31"/>
    <w:rsid w:val="00B43E6F"/>
    <w:rsid w:val="00B44AA7"/>
    <w:rsid w:val="00B44C2A"/>
    <w:rsid w:val="00B451E4"/>
    <w:rsid w:val="00B45458"/>
    <w:rsid w:val="00B4583C"/>
    <w:rsid w:val="00B459A8"/>
    <w:rsid w:val="00B45C4F"/>
    <w:rsid w:val="00B45CF8"/>
    <w:rsid w:val="00B4688F"/>
    <w:rsid w:val="00B46F3C"/>
    <w:rsid w:val="00B4704D"/>
    <w:rsid w:val="00B471DD"/>
    <w:rsid w:val="00B473D9"/>
    <w:rsid w:val="00B47530"/>
    <w:rsid w:val="00B47820"/>
    <w:rsid w:val="00B47F8F"/>
    <w:rsid w:val="00B50694"/>
    <w:rsid w:val="00B50EBC"/>
    <w:rsid w:val="00B5118C"/>
    <w:rsid w:val="00B51DE9"/>
    <w:rsid w:val="00B51E2C"/>
    <w:rsid w:val="00B523A1"/>
    <w:rsid w:val="00B52466"/>
    <w:rsid w:val="00B52585"/>
    <w:rsid w:val="00B526B7"/>
    <w:rsid w:val="00B52779"/>
    <w:rsid w:val="00B53025"/>
    <w:rsid w:val="00B53527"/>
    <w:rsid w:val="00B535A8"/>
    <w:rsid w:val="00B53EFF"/>
    <w:rsid w:val="00B540EB"/>
    <w:rsid w:val="00B541A4"/>
    <w:rsid w:val="00B542E2"/>
    <w:rsid w:val="00B544AA"/>
    <w:rsid w:val="00B546DB"/>
    <w:rsid w:val="00B5474C"/>
    <w:rsid w:val="00B5490B"/>
    <w:rsid w:val="00B54AE3"/>
    <w:rsid w:val="00B54DFC"/>
    <w:rsid w:val="00B556AE"/>
    <w:rsid w:val="00B55764"/>
    <w:rsid w:val="00B55922"/>
    <w:rsid w:val="00B55CF4"/>
    <w:rsid w:val="00B560F9"/>
    <w:rsid w:val="00B56322"/>
    <w:rsid w:val="00B56A6C"/>
    <w:rsid w:val="00B57020"/>
    <w:rsid w:val="00B5735A"/>
    <w:rsid w:val="00B575D6"/>
    <w:rsid w:val="00B57607"/>
    <w:rsid w:val="00B57831"/>
    <w:rsid w:val="00B579B6"/>
    <w:rsid w:val="00B57D67"/>
    <w:rsid w:val="00B57EAA"/>
    <w:rsid w:val="00B57EE7"/>
    <w:rsid w:val="00B600FD"/>
    <w:rsid w:val="00B60745"/>
    <w:rsid w:val="00B60795"/>
    <w:rsid w:val="00B60D28"/>
    <w:rsid w:val="00B60E6D"/>
    <w:rsid w:val="00B61238"/>
    <w:rsid w:val="00B61571"/>
    <w:rsid w:val="00B615D5"/>
    <w:rsid w:val="00B61648"/>
    <w:rsid w:val="00B61849"/>
    <w:rsid w:val="00B62016"/>
    <w:rsid w:val="00B62793"/>
    <w:rsid w:val="00B6295A"/>
    <w:rsid w:val="00B62EA4"/>
    <w:rsid w:val="00B64370"/>
    <w:rsid w:val="00B6467A"/>
    <w:rsid w:val="00B64938"/>
    <w:rsid w:val="00B65175"/>
    <w:rsid w:val="00B651F0"/>
    <w:rsid w:val="00B6541B"/>
    <w:rsid w:val="00B65619"/>
    <w:rsid w:val="00B6569A"/>
    <w:rsid w:val="00B65B83"/>
    <w:rsid w:val="00B65D38"/>
    <w:rsid w:val="00B65E86"/>
    <w:rsid w:val="00B66105"/>
    <w:rsid w:val="00B663D4"/>
    <w:rsid w:val="00B667CE"/>
    <w:rsid w:val="00B66851"/>
    <w:rsid w:val="00B6694F"/>
    <w:rsid w:val="00B702DD"/>
    <w:rsid w:val="00B70511"/>
    <w:rsid w:val="00B70B74"/>
    <w:rsid w:val="00B71614"/>
    <w:rsid w:val="00B7170D"/>
    <w:rsid w:val="00B7183B"/>
    <w:rsid w:val="00B719A3"/>
    <w:rsid w:val="00B71FBC"/>
    <w:rsid w:val="00B721FD"/>
    <w:rsid w:val="00B7237D"/>
    <w:rsid w:val="00B72594"/>
    <w:rsid w:val="00B7283A"/>
    <w:rsid w:val="00B729DA"/>
    <w:rsid w:val="00B72AFE"/>
    <w:rsid w:val="00B72B45"/>
    <w:rsid w:val="00B72C44"/>
    <w:rsid w:val="00B73929"/>
    <w:rsid w:val="00B73E9F"/>
    <w:rsid w:val="00B74302"/>
    <w:rsid w:val="00B74600"/>
    <w:rsid w:val="00B74EF7"/>
    <w:rsid w:val="00B75245"/>
    <w:rsid w:val="00B752EC"/>
    <w:rsid w:val="00B75377"/>
    <w:rsid w:val="00B75776"/>
    <w:rsid w:val="00B76085"/>
    <w:rsid w:val="00B7630E"/>
    <w:rsid w:val="00B76385"/>
    <w:rsid w:val="00B768CE"/>
    <w:rsid w:val="00B7691D"/>
    <w:rsid w:val="00B76DA2"/>
    <w:rsid w:val="00B772F1"/>
    <w:rsid w:val="00B774C9"/>
    <w:rsid w:val="00B77633"/>
    <w:rsid w:val="00B77D91"/>
    <w:rsid w:val="00B8016C"/>
    <w:rsid w:val="00B8018D"/>
    <w:rsid w:val="00B8075B"/>
    <w:rsid w:val="00B8081E"/>
    <w:rsid w:val="00B80FB7"/>
    <w:rsid w:val="00B81041"/>
    <w:rsid w:val="00B81566"/>
    <w:rsid w:val="00B818DB"/>
    <w:rsid w:val="00B82722"/>
    <w:rsid w:val="00B827B2"/>
    <w:rsid w:val="00B82A0F"/>
    <w:rsid w:val="00B8361A"/>
    <w:rsid w:val="00B836EE"/>
    <w:rsid w:val="00B83A24"/>
    <w:rsid w:val="00B83C6A"/>
    <w:rsid w:val="00B83CBB"/>
    <w:rsid w:val="00B83CFC"/>
    <w:rsid w:val="00B842C1"/>
    <w:rsid w:val="00B8477D"/>
    <w:rsid w:val="00B84902"/>
    <w:rsid w:val="00B84994"/>
    <w:rsid w:val="00B84B91"/>
    <w:rsid w:val="00B84DEA"/>
    <w:rsid w:val="00B84FE9"/>
    <w:rsid w:val="00B85773"/>
    <w:rsid w:val="00B857DB"/>
    <w:rsid w:val="00B85B07"/>
    <w:rsid w:val="00B85D36"/>
    <w:rsid w:val="00B861E2"/>
    <w:rsid w:val="00B867F2"/>
    <w:rsid w:val="00B86A1E"/>
    <w:rsid w:val="00B87736"/>
    <w:rsid w:val="00B87B5E"/>
    <w:rsid w:val="00B87DAB"/>
    <w:rsid w:val="00B87EEA"/>
    <w:rsid w:val="00B90079"/>
    <w:rsid w:val="00B90262"/>
    <w:rsid w:val="00B90276"/>
    <w:rsid w:val="00B904CD"/>
    <w:rsid w:val="00B905C7"/>
    <w:rsid w:val="00B907C4"/>
    <w:rsid w:val="00B90AF9"/>
    <w:rsid w:val="00B90B52"/>
    <w:rsid w:val="00B90C40"/>
    <w:rsid w:val="00B918D3"/>
    <w:rsid w:val="00B91D1A"/>
    <w:rsid w:val="00B91D63"/>
    <w:rsid w:val="00B9249D"/>
    <w:rsid w:val="00B92A2F"/>
    <w:rsid w:val="00B92C94"/>
    <w:rsid w:val="00B92D31"/>
    <w:rsid w:val="00B93066"/>
    <w:rsid w:val="00B93232"/>
    <w:rsid w:val="00B9373B"/>
    <w:rsid w:val="00B93A4A"/>
    <w:rsid w:val="00B93E51"/>
    <w:rsid w:val="00B93F6E"/>
    <w:rsid w:val="00B9439B"/>
    <w:rsid w:val="00B9469F"/>
    <w:rsid w:val="00B946A2"/>
    <w:rsid w:val="00B9511A"/>
    <w:rsid w:val="00B95BC7"/>
    <w:rsid w:val="00B95CCF"/>
    <w:rsid w:val="00B96239"/>
    <w:rsid w:val="00B96A99"/>
    <w:rsid w:val="00B96CB8"/>
    <w:rsid w:val="00B96D37"/>
    <w:rsid w:val="00B96F0D"/>
    <w:rsid w:val="00B97252"/>
    <w:rsid w:val="00B97AE3"/>
    <w:rsid w:val="00B97C0F"/>
    <w:rsid w:val="00B97E21"/>
    <w:rsid w:val="00BA0C05"/>
    <w:rsid w:val="00BA1395"/>
    <w:rsid w:val="00BA1769"/>
    <w:rsid w:val="00BA2268"/>
    <w:rsid w:val="00BA2917"/>
    <w:rsid w:val="00BA298D"/>
    <w:rsid w:val="00BA2B5E"/>
    <w:rsid w:val="00BA2C4D"/>
    <w:rsid w:val="00BA2D03"/>
    <w:rsid w:val="00BA2E7B"/>
    <w:rsid w:val="00BA2F74"/>
    <w:rsid w:val="00BA3955"/>
    <w:rsid w:val="00BA3B1B"/>
    <w:rsid w:val="00BA3B23"/>
    <w:rsid w:val="00BA4018"/>
    <w:rsid w:val="00BA4564"/>
    <w:rsid w:val="00BA46CE"/>
    <w:rsid w:val="00BA4B19"/>
    <w:rsid w:val="00BA4F53"/>
    <w:rsid w:val="00BA4F94"/>
    <w:rsid w:val="00BA551B"/>
    <w:rsid w:val="00BA56D3"/>
    <w:rsid w:val="00BA57F6"/>
    <w:rsid w:val="00BA5804"/>
    <w:rsid w:val="00BA5D3B"/>
    <w:rsid w:val="00BA61B3"/>
    <w:rsid w:val="00BA62BF"/>
    <w:rsid w:val="00BA62D4"/>
    <w:rsid w:val="00BA65CE"/>
    <w:rsid w:val="00BA687D"/>
    <w:rsid w:val="00BA6894"/>
    <w:rsid w:val="00BA727D"/>
    <w:rsid w:val="00BA7361"/>
    <w:rsid w:val="00BA75C5"/>
    <w:rsid w:val="00BA760B"/>
    <w:rsid w:val="00BA7C02"/>
    <w:rsid w:val="00BB00FA"/>
    <w:rsid w:val="00BB033B"/>
    <w:rsid w:val="00BB0B2A"/>
    <w:rsid w:val="00BB0B5F"/>
    <w:rsid w:val="00BB0BA9"/>
    <w:rsid w:val="00BB0EC3"/>
    <w:rsid w:val="00BB1087"/>
    <w:rsid w:val="00BB13BA"/>
    <w:rsid w:val="00BB1516"/>
    <w:rsid w:val="00BB168F"/>
    <w:rsid w:val="00BB1722"/>
    <w:rsid w:val="00BB1A92"/>
    <w:rsid w:val="00BB1D8C"/>
    <w:rsid w:val="00BB1E5F"/>
    <w:rsid w:val="00BB256A"/>
    <w:rsid w:val="00BB2C85"/>
    <w:rsid w:val="00BB2DB4"/>
    <w:rsid w:val="00BB2FD7"/>
    <w:rsid w:val="00BB33ED"/>
    <w:rsid w:val="00BB383E"/>
    <w:rsid w:val="00BB3C17"/>
    <w:rsid w:val="00BB3CC2"/>
    <w:rsid w:val="00BB3D2C"/>
    <w:rsid w:val="00BB3DBE"/>
    <w:rsid w:val="00BB40ED"/>
    <w:rsid w:val="00BB4158"/>
    <w:rsid w:val="00BB489F"/>
    <w:rsid w:val="00BB4A60"/>
    <w:rsid w:val="00BB5068"/>
    <w:rsid w:val="00BB554C"/>
    <w:rsid w:val="00BB5613"/>
    <w:rsid w:val="00BB58A3"/>
    <w:rsid w:val="00BB6030"/>
    <w:rsid w:val="00BB630A"/>
    <w:rsid w:val="00BB6A3B"/>
    <w:rsid w:val="00BB6B1E"/>
    <w:rsid w:val="00BB7B86"/>
    <w:rsid w:val="00BB7C9D"/>
    <w:rsid w:val="00BB7D72"/>
    <w:rsid w:val="00BC0657"/>
    <w:rsid w:val="00BC0709"/>
    <w:rsid w:val="00BC09CA"/>
    <w:rsid w:val="00BC0B43"/>
    <w:rsid w:val="00BC0E7A"/>
    <w:rsid w:val="00BC111F"/>
    <w:rsid w:val="00BC11B4"/>
    <w:rsid w:val="00BC12E7"/>
    <w:rsid w:val="00BC1440"/>
    <w:rsid w:val="00BC1610"/>
    <w:rsid w:val="00BC1B13"/>
    <w:rsid w:val="00BC1C7A"/>
    <w:rsid w:val="00BC2157"/>
    <w:rsid w:val="00BC21FF"/>
    <w:rsid w:val="00BC268D"/>
    <w:rsid w:val="00BC2A3A"/>
    <w:rsid w:val="00BC2B33"/>
    <w:rsid w:val="00BC33A9"/>
    <w:rsid w:val="00BC3AF6"/>
    <w:rsid w:val="00BC41C1"/>
    <w:rsid w:val="00BC44E9"/>
    <w:rsid w:val="00BC4AAB"/>
    <w:rsid w:val="00BC4F7A"/>
    <w:rsid w:val="00BC5393"/>
    <w:rsid w:val="00BC5BA3"/>
    <w:rsid w:val="00BC5FFC"/>
    <w:rsid w:val="00BC6674"/>
    <w:rsid w:val="00BC68BE"/>
    <w:rsid w:val="00BC692E"/>
    <w:rsid w:val="00BC6BCF"/>
    <w:rsid w:val="00BC6D35"/>
    <w:rsid w:val="00BC72DD"/>
    <w:rsid w:val="00BC7653"/>
    <w:rsid w:val="00BC7B17"/>
    <w:rsid w:val="00BC7B5E"/>
    <w:rsid w:val="00BC7BA6"/>
    <w:rsid w:val="00BD041F"/>
    <w:rsid w:val="00BD0626"/>
    <w:rsid w:val="00BD0873"/>
    <w:rsid w:val="00BD1156"/>
    <w:rsid w:val="00BD128D"/>
    <w:rsid w:val="00BD1445"/>
    <w:rsid w:val="00BD1740"/>
    <w:rsid w:val="00BD19FF"/>
    <w:rsid w:val="00BD1C41"/>
    <w:rsid w:val="00BD1EC3"/>
    <w:rsid w:val="00BD202A"/>
    <w:rsid w:val="00BD21FD"/>
    <w:rsid w:val="00BD3019"/>
    <w:rsid w:val="00BD3778"/>
    <w:rsid w:val="00BD3BF2"/>
    <w:rsid w:val="00BD3E2F"/>
    <w:rsid w:val="00BD4526"/>
    <w:rsid w:val="00BD455B"/>
    <w:rsid w:val="00BD46B5"/>
    <w:rsid w:val="00BD479E"/>
    <w:rsid w:val="00BD489E"/>
    <w:rsid w:val="00BD5269"/>
    <w:rsid w:val="00BD5339"/>
    <w:rsid w:val="00BD55E1"/>
    <w:rsid w:val="00BD5693"/>
    <w:rsid w:val="00BD56A6"/>
    <w:rsid w:val="00BD5797"/>
    <w:rsid w:val="00BD58B3"/>
    <w:rsid w:val="00BD5C30"/>
    <w:rsid w:val="00BD6012"/>
    <w:rsid w:val="00BD645A"/>
    <w:rsid w:val="00BD66BA"/>
    <w:rsid w:val="00BD6960"/>
    <w:rsid w:val="00BD71F5"/>
    <w:rsid w:val="00BD7D49"/>
    <w:rsid w:val="00BD7E44"/>
    <w:rsid w:val="00BD7E5B"/>
    <w:rsid w:val="00BD7F48"/>
    <w:rsid w:val="00BE0054"/>
    <w:rsid w:val="00BE0CAE"/>
    <w:rsid w:val="00BE0E2D"/>
    <w:rsid w:val="00BE0F94"/>
    <w:rsid w:val="00BE0FDB"/>
    <w:rsid w:val="00BE1566"/>
    <w:rsid w:val="00BE1CAE"/>
    <w:rsid w:val="00BE1CC9"/>
    <w:rsid w:val="00BE1FDF"/>
    <w:rsid w:val="00BE20C8"/>
    <w:rsid w:val="00BE238F"/>
    <w:rsid w:val="00BE24FD"/>
    <w:rsid w:val="00BE2632"/>
    <w:rsid w:val="00BE27B3"/>
    <w:rsid w:val="00BE2CB8"/>
    <w:rsid w:val="00BE2D14"/>
    <w:rsid w:val="00BE2E00"/>
    <w:rsid w:val="00BE31D1"/>
    <w:rsid w:val="00BE35AE"/>
    <w:rsid w:val="00BE3708"/>
    <w:rsid w:val="00BE42D6"/>
    <w:rsid w:val="00BE43DC"/>
    <w:rsid w:val="00BE4660"/>
    <w:rsid w:val="00BE4B71"/>
    <w:rsid w:val="00BE4B81"/>
    <w:rsid w:val="00BE4D7B"/>
    <w:rsid w:val="00BE4E78"/>
    <w:rsid w:val="00BE5A5A"/>
    <w:rsid w:val="00BE5B54"/>
    <w:rsid w:val="00BE608E"/>
    <w:rsid w:val="00BE60C8"/>
    <w:rsid w:val="00BE6292"/>
    <w:rsid w:val="00BE6373"/>
    <w:rsid w:val="00BE64B8"/>
    <w:rsid w:val="00BE64D7"/>
    <w:rsid w:val="00BE6617"/>
    <w:rsid w:val="00BE6665"/>
    <w:rsid w:val="00BE67DC"/>
    <w:rsid w:val="00BE6C2D"/>
    <w:rsid w:val="00BE6C7B"/>
    <w:rsid w:val="00BE708B"/>
    <w:rsid w:val="00BE715A"/>
    <w:rsid w:val="00BE71F1"/>
    <w:rsid w:val="00BF00CB"/>
    <w:rsid w:val="00BF04DB"/>
    <w:rsid w:val="00BF0B5E"/>
    <w:rsid w:val="00BF1041"/>
    <w:rsid w:val="00BF1354"/>
    <w:rsid w:val="00BF1C22"/>
    <w:rsid w:val="00BF1DE6"/>
    <w:rsid w:val="00BF21DF"/>
    <w:rsid w:val="00BF25C0"/>
    <w:rsid w:val="00BF26A6"/>
    <w:rsid w:val="00BF2727"/>
    <w:rsid w:val="00BF2D12"/>
    <w:rsid w:val="00BF2E71"/>
    <w:rsid w:val="00BF2F16"/>
    <w:rsid w:val="00BF32E4"/>
    <w:rsid w:val="00BF3592"/>
    <w:rsid w:val="00BF3750"/>
    <w:rsid w:val="00BF377C"/>
    <w:rsid w:val="00BF3AAD"/>
    <w:rsid w:val="00BF3D33"/>
    <w:rsid w:val="00BF45F7"/>
    <w:rsid w:val="00BF4AD9"/>
    <w:rsid w:val="00BF4C66"/>
    <w:rsid w:val="00BF4D77"/>
    <w:rsid w:val="00BF517F"/>
    <w:rsid w:val="00BF5797"/>
    <w:rsid w:val="00BF5951"/>
    <w:rsid w:val="00BF6068"/>
    <w:rsid w:val="00BF69E2"/>
    <w:rsid w:val="00BF6F4B"/>
    <w:rsid w:val="00BF6FFF"/>
    <w:rsid w:val="00BF7056"/>
    <w:rsid w:val="00BF7063"/>
    <w:rsid w:val="00BF7185"/>
    <w:rsid w:val="00BF7B42"/>
    <w:rsid w:val="00BF7E2B"/>
    <w:rsid w:val="00C00286"/>
    <w:rsid w:val="00C00420"/>
    <w:rsid w:val="00C00888"/>
    <w:rsid w:val="00C00C8A"/>
    <w:rsid w:val="00C00CC9"/>
    <w:rsid w:val="00C00E98"/>
    <w:rsid w:val="00C0105C"/>
    <w:rsid w:val="00C012D8"/>
    <w:rsid w:val="00C01B6A"/>
    <w:rsid w:val="00C01F96"/>
    <w:rsid w:val="00C022C6"/>
    <w:rsid w:val="00C028DC"/>
    <w:rsid w:val="00C02ACF"/>
    <w:rsid w:val="00C02DB5"/>
    <w:rsid w:val="00C02FFC"/>
    <w:rsid w:val="00C0349F"/>
    <w:rsid w:val="00C035EF"/>
    <w:rsid w:val="00C0386E"/>
    <w:rsid w:val="00C0390B"/>
    <w:rsid w:val="00C03B5C"/>
    <w:rsid w:val="00C03BF7"/>
    <w:rsid w:val="00C03D6B"/>
    <w:rsid w:val="00C03F1F"/>
    <w:rsid w:val="00C04A8C"/>
    <w:rsid w:val="00C04E12"/>
    <w:rsid w:val="00C04EB9"/>
    <w:rsid w:val="00C05278"/>
    <w:rsid w:val="00C05320"/>
    <w:rsid w:val="00C05796"/>
    <w:rsid w:val="00C058D3"/>
    <w:rsid w:val="00C058D8"/>
    <w:rsid w:val="00C061AC"/>
    <w:rsid w:val="00C0631F"/>
    <w:rsid w:val="00C0687F"/>
    <w:rsid w:val="00C06B0F"/>
    <w:rsid w:val="00C07091"/>
    <w:rsid w:val="00C07418"/>
    <w:rsid w:val="00C07850"/>
    <w:rsid w:val="00C07A5C"/>
    <w:rsid w:val="00C07BD9"/>
    <w:rsid w:val="00C1006B"/>
    <w:rsid w:val="00C102B6"/>
    <w:rsid w:val="00C10B12"/>
    <w:rsid w:val="00C10D0F"/>
    <w:rsid w:val="00C11194"/>
    <w:rsid w:val="00C11581"/>
    <w:rsid w:val="00C1208B"/>
    <w:rsid w:val="00C12253"/>
    <w:rsid w:val="00C1257D"/>
    <w:rsid w:val="00C125C0"/>
    <w:rsid w:val="00C12CC8"/>
    <w:rsid w:val="00C12E2A"/>
    <w:rsid w:val="00C12E48"/>
    <w:rsid w:val="00C12E90"/>
    <w:rsid w:val="00C13EB1"/>
    <w:rsid w:val="00C13F57"/>
    <w:rsid w:val="00C14073"/>
    <w:rsid w:val="00C1408C"/>
    <w:rsid w:val="00C140E1"/>
    <w:rsid w:val="00C1436D"/>
    <w:rsid w:val="00C14B1F"/>
    <w:rsid w:val="00C14CF2"/>
    <w:rsid w:val="00C14ECF"/>
    <w:rsid w:val="00C154D3"/>
    <w:rsid w:val="00C1617B"/>
    <w:rsid w:val="00C163D2"/>
    <w:rsid w:val="00C16A69"/>
    <w:rsid w:val="00C16DF7"/>
    <w:rsid w:val="00C1755A"/>
    <w:rsid w:val="00C17648"/>
    <w:rsid w:val="00C17BDA"/>
    <w:rsid w:val="00C204AA"/>
    <w:rsid w:val="00C20870"/>
    <w:rsid w:val="00C20AB9"/>
    <w:rsid w:val="00C21201"/>
    <w:rsid w:val="00C2174F"/>
    <w:rsid w:val="00C21E4D"/>
    <w:rsid w:val="00C220B3"/>
    <w:rsid w:val="00C220DD"/>
    <w:rsid w:val="00C222DB"/>
    <w:rsid w:val="00C224AD"/>
    <w:rsid w:val="00C22A70"/>
    <w:rsid w:val="00C22C6A"/>
    <w:rsid w:val="00C22E9C"/>
    <w:rsid w:val="00C239E5"/>
    <w:rsid w:val="00C23A9F"/>
    <w:rsid w:val="00C23BB6"/>
    <w:rsid w:val="00C23D6B"/>
    <w:rsid w:val="00C241BB"/>
    <w:rsid w:val="00C2433A"/>
    <w:rsid w:val="00C24773"/>
    <w:rsid w:val="00C24F6E"/>
    <w:rsid w:val="00C25393"/>
    <w:rsid w:val="00C25848"/>
    <w:rsid w:val="00C26665"/>
    <w:rsid w:val="00C26ADE"/>
    <w:rsid w:val="00C26B48"/>
    <w:rsid w:val="00C276DF"/>
    <w:rsid w:val="00C27B00"/>
    <w:rsid w:val="00C303A6"/>
    <w:rsid w:val="00C30894"/>
    <w:rsid w:val="00C30910"/>
    <w:rsid w:val="00C30F46"/>
    <w:rsid w:val="00C313E6"/>
    <w:rsid w:val="00C31537"/>
    <w:rsid w:val="00C318F4"/>
    <w:rsid w:val="00C3199F"/>
    <w:rsid w:val="00C31B0A"/>
    <w:rsid w:val="00C31EAD"/>
    <w:rsid w:val="00C32888"/>
    <w:rsid w:val="00C32B38"/>
    <w:rsid w:val="00C3327B"/>
    <w:rsid w:val="00C333C1"/>
    <w:rsid w:val="00C334AF"/>
    <w:rsid w:val="00C33570"/>
    <w:rsid w:val="00C3386B"/>
    <w:rsid w:val="00C33AB9"/>
    <w:rsid w:val="00C33CC0"/>
    <w:rsid w:val="00C33F82"/>
    <w:rsid w:val="00C3403A"/>
    <w:rsid w:val="00C34274"/>
    <w:rsid w:val="00C34A57"/>
    <w:rsid w:val="00C35ACC"/>
    <w:rsid w:val="00C35EAB"/>
    <w:rsid w:val="00C360E3"/>
    <w:rsid w:val="00C361E0"/>
    <w:rsid w:val="00C36650"/>
    <w:rsid w:val="00C36962"/>
    <w:rsid w:val="00C3696D"/>
    <w:rsid w:val="00C369D4"/>
    <w:rsid w:val="00C3757A"/>
    <w:rsid w:val="00C37721"/>
    <w:rsid w:val="00C37869"/>
    <w:rsid w:val="00C37E5D"/>
    <w:rsid w:val="00C37E81"/>
    <w:rsid w:val="00C403E1"/>
    <w:rsid w:val="00C404A5"/>
    <w:rsid w:val="00C40A22"/>
    <w:rsid w:val="00C40A4C"/>
    <w:rsid w:val="00C40AF0"/>
    <w:rsid w:val="00C40B38"/>
    <w:rsid w:val="00C40BDB"/>
    <w:rsid w:val="00C40E07"/>
    <w:rsid w:val="00C41143"/>
    <w:rsid w:val="00C4118D"/>
    <w:rsid w:val="00C418B9"/>
    <w:rsid w:val="00C41B1E"/>
    <w:rsid w:val="00C41D8C"/>
    <w:rsid w:val="00C41FEE"/>
    <w:rsid w:val="00C420C7"/>
    <w:rsid w:val="00C421BD"/>
    <w:rsid w:val="00C421FE"/>
    <w:rsid w:val="00C4238C"/>
    <w:rsid w:val="00C4269E"/>
    <w:rsid w:val="00C4284A"/>
    <w:rsid w:val="00C42DD4"/>
    <w:rsid w:val="00C42F01"/>
    <w:rsid w:val="00C43432"/>
    <w:rsid w:val="00C43520"/>
    <w:rsid w:val="00C436DB"/>
    <w:rsid w:val="00C43978"/>
    <w:rsid w:val="00C43A17"/>
    <w:rsid w:val="00C44143"/>
    <w:rsid w:val="00C4415A"/>
    <w:rsid w:val="00C443D2"/>
    <w:rsid w:val="00C4469E"/>
    <w:rsid w:val="00C4477D"/>
    <w:rsid w:val="00C4479A"/>
    <w:rsid w:val="00C44863"/>
    <w:rsid w:val="00C45928"/>
    <w:rsid w:val="00C45960"/>
    <w:rsid w:val="00C45F1F"/>
    <w:rsid w:val="00C46227"/>
    <w:rsid w:val="00C466CA"/>
    <w:rsid w:val="00C46AC7"/>
    <w:rsid w:val="00C4703D"/>
    <w:rsid w:val="00C4731A"/>
    <w:rsid w:val="00C4741E"/>
    <w:rsid w:val="00C47513"/>
    <w:rsid w:val="00C47566"/>
    <w:rsid w:val="00C47861"/>
    <w:rsid w:val="00C47C76"/>
    <w:rsid w:val="00C47D26"/>
    <w:rsid w:val="00C5062D"/>
    <w:rsid w:val="00C507EC"/>
    <w:rsid w:val="00C5081B"/>
    <w:rsid w:val="00C50C31"/>
    <w:rsid w:val="00C50E35"/>
    <w:rsid w:val="00C512E9"/>
    <w:rsid w:val="00C51349"/>
    <w:rsid w:val="00C51BA6"/>
    <w:rsid w:val="00C51F52"/>
    <w:rsid w:val="00C52144"/>
    <w:rsid w:val="00C523CF"/>
    <w:rsid w:val="00C52AC3"/>
    <w:rsid w:val="00C52B2B"/>
    <w:rsid w:val="00C52FDF"/>
    <w:rsid w:val="00C5382F"/>
    <w:rsid w:val="00C53EE9"/>
    <w:rsid w:val="00C53F28"/>
    <w:rsid w:val="00C540B1"/>
    <w:rsid w:val="00C54131"/>
    <w:rsid w:val="00C5416F"/>
    <w:rsid w:val="00C54BF2"/>
    <w:rsid w:val="00C55756"/>
    <w:rsid w:val="00C55ACA"/>
    <w:rsid w:val="00C55B59"/>
    <w:rsid w:val="00C55CA3"/>
    <w:rsid w:val="00C56383"/>
    <w:rsid w:val="00C56759"/>
    <w:rsid w:val="00C57196"/>
    <w:rsid w:val="00C572A4"/>
    <w:rsid w:val="00C57B06"/>
    <w:rsid w:val="00C57D88"/>
    <w:rsid w:val="00C60074"/>
    <w:rsid w:val="00C60157"/>
    <w:rsid w:val="00C60532"/>
    <w:rsid w:val="00C6087D"/>
    <w:rsid w:val="00C61659"/>
    <w:rsid w:val="00C616F1"/>
    <w:rsid w:val="00C617AB"/>
    <w:rsid w:val="00C6192F"/>
    <w:rsid w:val="00C6193E"/>
    <w:rsid w:val="00C6217A"/>
    <w:rsid w:val="00C622B8"/>
    <w:rsid w:val="00C625DE"/>
    <w:rsid w:val="00C63164"/>
    <w:rsid w:val="00C63AB8"/>
    <w:rsid w:val="00C63D62"/>
    <w:rsid w:val="00C63E8D"/>
    <w:rsid w:val="00C64552"/>
    <w:rsid w:val="00C64A2B"/>
    <w:rsid w:val="00C64AD0"/>
    <w:rsid w:val="00C6509D"/>
    <w:rsid w:val="00C6512E"/>
    <w:rsid w:val="00C65321"/>
    <w:rsid w:val="00C65B51"/>
    <w:rsid w:val="00C65BE2"/>
    <w:rsid w:val="00C65EC9"/>
    <w:rsid w:val="00C6618C"/>
    <w:rsid w:val="00C665E7"/>
    <w:rsid w:val="00C66FC3"/>
    <w:rsid w:val="00C679A7"/>
    <w:rsid w:val="00C67BAC"/>
    <w:rsid w:val="00C70279"/>
    <w:rsid w:val="00C70340"/>
    <w:rsid w:val="00C70B80"/>
    <w:rsid w:val="00C717D0"/>
    <w:rsid w:val="00C71B90"/>
    <w:rsid w:val="00C72641"/>
    <w:rsid w:val="00C72B30"/>
    <w:rsid w:val="00C731A3"/>
    <w:rsid w:val="00C73355"/>
    <w:rsid w:val="00C733A3"/>
    <w:rsid w:val="00C739DC"/>
    <w:rsid w:val="00C7405F"/>
    <w:rsid w:val="00C740F5"/>
    <w:rsid w:val="00C746E9"/>
    <w:rsid w:val="00C74A2E"/>
    <w:rsid w:val="00C74D01"/>
    <w:rsid w:val="00C74EB4"/>
    <w:rsid w:val="00C75263"/>
    <w:rsid w:val="00C7526B"/>
    <w:rsid w:val="00C7529F"/>
    <w:rsid w:val="00C75DDC"/>
    <w:rsid w:val="00C77A65"/>
    <w:rsid w:val="00C77C61"/>
    <w:rsid w:val="00C809B5"/>
    <w:rsid w:val="00C81293"/>
    <w:rsid w:val="00C81491"/>
    <w:rsid w:val="00C818E0"/>
    <w:rsid w:val="00C81D85"/>
    <w:rsid w:val="00C8206B"/>
    <w:rsid w:val="00C823DF"/>
    <w:rsid w:val="00C8240E"/>
    <w:rsid w:val="00C82C97"/>
    <w:rsid w:val="00C82F59"/>
    <w:rsid w:val="00C83017"/>
    <w:rsid w:val="00C83089"/>
    <w:rsid w:val="00C8319A"/>
    <w:rsid w:val="00C83374"/>
    <w:rsid w:val="00C83463"/>
    <w:rsid w:val="00C837C7"/>
    <w:rsid w:val="00C8382B"/>
    <w:rsid w:val="00C83994"/>
    <w:rsid w:val="00C83A04"/>
    <w:rsid w:val="00C83C96"/>
    <w:rsid w:val="00C83DD4"/>
    <w:rsid w:val="00C84377"/>
    <w:rsid w:val="00C84BB2"/>
    <w:rsid w:val="00C851BD"/>
    <w:rsid w:val="00C85625"/>
    <w:rsid w:val="00C859AB"/>
    <w:rsid w:val="00C85AA5"/>
    <w:rsid w:val="00C85C11"/>
    <w:rsid w:val="00C85C52"/>
    <w:rsid w:val="00C85EDA"/>
    <w:rsid w:val="00C85F55"/>
    <w:rsid w:val="00C860E7"/>
    <w:rsid w:val="00C860EC"/>
    <w:rsid w:val="00C86561"/>
    <w:rsid w:val="00C86B4A"/>
    <w:rsid w:val="00C86C91"/>
    <w:rsid w:val="00C86CF5"/>
    <w:rsid w:val="00C86FD6"/>
    <w:rsid w:val="00C87086"/>
    <w:rsid w:val="00C87364"/>
    <w:rsid w:val="00C87728"/>
    <w:rsid w:val="00C87849"/>
    <w:rsid w:val="00C87A52"/>
    <w:rsid w:val="00C87ED9"/>
    <w:rsid w:val="00C901EC"/>
    <w:rsid w:val="00C90364"/>
    <w:rsid w:val="00C90A05"/>
    <w:rsid w:val="00C90B9A"/>
    <w:rsid w:val="00C91306"/>
    <w:rsid w:val="00C91FF0"/>
    <w:rsid w:val="00C9220F"/>
    <w:rsid w:val="00C928BB"/>
    <w:rsid w:val="00C92F4C"/>
    <w:rsid w:val="00C92F7F"/>
    <w:rsid w:val="00C9332D"/>
    <w:rsid w:val="00C93348"/>
    <w:rsid w:val="00C9339F"/>
    <w:rsid w:val="00C93F3A"/>
    <w:rsid w:val="00C94854"/>
    <w:rsid w:val="00C94D33"/>
    <w:rsid w:val="00C955EB"/>
    <w:rsid w:val="00C963DE"/>
    <w:rsid w:val="00C963FE"/>
    <w:rsid w:val="00C97DDA"/>
    <w:rsid w:val="00CA02B5"/>
    <w:rsid w:val="00CA065D"/>
    <w:rsid w:val="00CA0A58"/>
    <w:rsid w:val="00CA1414"/>
    <w:rsid w:val="00CA1774"/>
    <w:rsid w:val="00CA1CFC"/>
    <w:rsid w:val="00CA2063"/>
    <w:rsid w:val="00CA2230"/>
    <w:rsid w:val="00CA257F"/>
    <w:rsid w:val="00CA2629"/>
    <w:rsid w:val="00CA29A5"/>
    <w:rsid w:val="00CA29BD"/>
    <w:rsid w:val="00CA2E8F"/>
    <w:rsid w:val="00CA33F1"/>
    <w:rsid w:val="00CA3650"/>
    <w:rsid w:val="00CA39AA"/>
    <w:rsid w:val="00CA3B36"/>
    <w:rsid w:val="00CA3E86"/>
    <w:rsid w:val="00CA4224"/>
    <w:rsid w:val="00CA459D"/>
    <w:rsid w:val="00CA4975"/>
    <w:rsid w:val="00CA4D37"/>
    <w:rsid w:val="00CA4DA8"/>
    <w:rsid w:val="00CA4FCD"/>
    <w:rsid w:val="00CA56E9"/>
    <w:rsid w:val="00CA5708"/>
    <w:rsid w:val="00CA5718"/>
    <w:rsid w:val="00CA5916"/>
    <w:rsid w:val="00CA5AC7"/>
    <w:rsid w:val="00CA5B2E"/>
    <w:rsid w:val="00CA5DBA"/>
    <w:rsid w:val="00CA61B4"/>
    <w:rsid w:val="00CA61C3"/>
    <w:rsid w:val="00CA663B"/>
    <w:rsid w:val="00CA6C35"/>
    <w:rsid w:val="00CA7205"/>
    <w:rsid w:val="00CA72D0"/>
    <w:rsid w:val="00CA79E4"/>
    <w:rsid w:val="00CA7D99"/>
    <w:rsid w:val="00CA7FC9"/>
    <w:rsid w:val="00CB00C4"/>
    <w:rsid w:val="00CB0117"/>
    <w:rsid w:val="00CB06AA"/>
    <w:rsid w:val="00CB0858"/>
    <w:rsid w:val="00CB09C8"/>
    <w:rsid w:val="00CB0A11"/>
    <w:rsid w:val="00CB0C17"/>
    <w:rsid w:val="00CB14B0"/>
    <w:rsid w:val="00CB15AC"/>
    <w:rsid w:val="00CB15D7"/>
    <w:rsid w:val="00CB15E6"/>
    <w:rsid w:val="00CB1651"/>
    <w:rsid w:val="00CB167D"/>
    <w:rsid w:val="00CB1906"/>
    <w:rsid w:val="00CB1D24"/>
    <w:rsid w:val="00CB1ED8"/>
    <w:rsid w:val="00CB1FC0"/>
    <w:rsid w:val="00CB2037"/>
    <w:rsid w:val="00CB20DA"/>
    <w:rsid w:val="00CB21B5"/>
    <w:rsid w:val="00CB22D0"/>
    <w:rsid w:val="00CB2B53"/>
    <w:rsid w:val="00CB2BE2"/>
    <w:rsid w:val="00CB2D82"/>
    <w:rsid w:val="00CB37B1"/>
    <w:rsid w:val="00CB39BB"/>
    <w:rsid w:val="00CB4192"/>
    <w:rsid w:val="00CB42D3"/>
    <w:rsid w:val="00CB4376"/>
    <w:rsid w:val="00CB44AD"/>
    <w:rsid w:val="00CB44FE"/>
    <w:rsid w:val="00CB4757"/>
    <w:rsid w:val="00CB4793"/>
    <w:rsid w:val="00CB4997"/>
    <w:rsid w:val="00CB4B32"/>
    <w:rsid w:val="00CB4C15"/>
    <w:rsid w:val="00CB4C77"/>
    <w:rsid w:val="00CB4DE9"/>
    <w:rsid w:val="00CB4F95"/>
    <w:rsid w:val="00CB54A7"/>
    <w:rsid w:val="00CB54A8"/>
    <w:rsid w:val="00CB5C50"/>
    <w:rsid w:val="00CB5D4F"/>
    <w:rsid w:val="00CB5DCA"/>
    <w:rsid w:val="00CB628C"/>
    <w:rsid w:val="00CB6730"/>
    <w:rsid w:val="00CB6ADA"/>
    <w:rsid w:val="00CB6C8F"/>
    <w:rsid w:val="00CB77DB"/>
    <w:rsid w:val="00CB7C3B"/>
    <w:rsid w:val="00CC03BB"/>
    <w:rsid w:val="00CC0787"/>
    <w:rsid w:val="00CC09CC"/>
    <w:rsid w:val="00CC0F51"/>
    <w:rsid w:val="00CC110C"/>
    <w:rsid w:val="00CC1164"/>
    <w:rsid w:val="00CC152E"/>
    <w:rsid w:val="00CC1B10"/>
    <w:rsid w:val="00CC2017"/>
    <w:rsid w:val="00CC27C7"/>
    <w:rsid w:val="00CC28F2"/>
    <w:rsid w:val="00CC2E73"/>
    <w:rsid w:val="00CC2ED8"/>
    <w:rsid w:val="00CC2FB3"/>
    <w:rsid w:val="00CC32A8"/>
    <w:rsid w:val="00CC3C0B"/>
    <w:rsid w:val="00CC41B5"/>
    <w:rsid w:val="00CC46AA"/>
    <w:rsid w:val="00CC48F4"/>
    <w:rsid w:val="00CC4A8D"/>
    <w:rsid w:val="00CC4DBC"/>
    <w:rsid w:val="00CC515F"/>
    <w:rsid w:val="00CC517F"/>
    <w:rsid w:val="00CC59BA"/>
    <w:rsid w:val="00CC610D"/>
    <w:rsid w:val="00CC618B"/>
    <w:rsid w:val="00CC6242"/>
    <w:rsid w:val="00CC634F"/>
    <w:rsid w:val="00CC7244"/>
    <w:rsid w:val="00CC7301"/>
    <w:rsid w:val="00CC76FA"/>
    <w:rsid w:val="00CC79C7"/>
    <w:rsid w:val="00CC7B4D"/>
    <w:rsid w:val="00CC7DF6"/>
    <w:rsid w:val="00CD012A"/>
    <w:rsid w:val="00CD05F9"/>
    <w:rsid w:val="00CD181D"/>
    <w:rsid w:val="00CD1892"/>
    <w:rsid w:val="00CD2356"/>
    <w:rsid w:val="00CD2903"/>
    <w:rsid w:val="00CD2C13"/>
    <w:rsid w:val="00CD2EFA"/>
    <w:rsid w:val="00CD3435"/>
    <w:rsid w:val="00CD3A2D"/>
    <w:rsid w:val="00CD403E"/>
    <w:rsid w:val="00CD409A"/>
    <w:rsid w:val="00CD4189"/>
    <w:rsid w:val="00CD4201"/>
    <w:rsid w:val="00CD4242"/>
    <w:rsid w:val="00CD42BA"/>
    <w:rsid w:val="00CD4E7F"/>
    <w:rsid w:val="00CD5307"/>
    <w:rsid w:val="00CD664C"/>
    <w:rsid w:val="00CD670B"/>
    <w:rsid w:val="00CD6A1B"/>
    <w:rsid w:val="00CD6C19"/>
    <w:rsid w:val="00CD6F49"/>
    <w:rsid w:val="00CD7120"/>
    <w:rsid w:val="00CD71FF"/>
    <w:rsid w:val="00CD72B2"/>
    <w:rsid w:val="00CD7340"/>
    <w:rsid w:val="00CD78F3"/>
    <w:rsid w:val="00CD7FA3"/>
    <w:rsid w:val="00CD7FEA"/>
    <w:rsid w:val="00CE0020"/>
    <w:rsid w:val="00CE0137"/>
    <w:rsid w:val="00CE0265"/>
    <w:rsid w:val="00CE040E"/>
    <w:rsid w:val="00CE04AF"/>
    <w:rsid w:val="00CE07AE"/>
    <w:rsid w:val="00CE099C"/>
    <w:rsid w:val="00CE0A77"/>
    <w:rsid w:val="00CE0AE3"/>
    <w:rsid w:val="00CE11A7"/>
    <w:rsid w:val="00CE11C6"/>
    <w:rsid w:val="00CE1685"/>
    <w:rsid w:val="00CE1976"/>
    <w:rsid w:val="00CE1ACC"/>
    <w:rsid w:val="00CE2345"/>
    <w:rsid w:val="00CE23C4"/>
    <w:rsid w:val="00CE2693"/>
    <w:rsid w:val="00CE2BEA"/>
    <w:rsid w:val="00CE2DE5"/>
    <w:rsid w:val="00CE2EA4"/>
    <w:rsid w:val="00CE39BE"/>
    <w:rsid w:val="00CE39EA"/>
    <w:rsid w:val="00CE3E5A"/>
    <w:rsid w:val="00CE482C"/>
    <w:rsid w:val="00CE5A26"/>
    <w:rsid w:val="00CE5CC3"/>
    <w:rsid w:val="00CE620F"/>
    <w:rsid w:val="00CE650E"/>
    <w:rsid w:val="00CE6673"/>
    <w:rsid w:val="00CE714F"/>
    <w:rsid w:val="00CE7162"/>
    <w:rsid w:val="00CE7199"/>
    <w:rsid w:val="00CE7207"/>
    <w:rsid w:val="00CE733B"/>
    <w:rsid w:val="00CE741F"/>
    <w:rsid w:val="00CE7587"/>
    <w:rsid w:val="00CE7774"/>
    <w:rsid w:val="00CE78EA"/>
    <w:rsid w:val="00CE7C71"/>
    <w:rsid w:val="00CF02A5"/>
    <w:rsid w:val="00CF04BE"/>
    <w:rsid w:val="00CF079F"/>
    <w:rsid w:val="00CF0A08"/>
    <w:rsid w:val="00CF0F41"/>
    <w:rsid w:val="00CF151A"/>
    <w:rsid w:val="00CF17F9"/>
    <w:rsid w:val="00CF1875"/>
    <w:rsid w:val="00CF1DED"/>
    <w:rsid w:val="00CF247C"/>
    <w:rsid w:val="00CF252D"/>
    <w:rsid w:val="00CF27E6"/>
    <w:rsid w:val="00CF2CF9"/>
    <w:rsid w:val="00CF389D"/>
    <w:rsid w:val="00CF38D1"/>
    <w:rsid w:val="00CF3AF9"/>
    <w:rsid w:val="00CF4149"/>
    <w:rsid w:val="00CF4603"/>
    <w:rsid w:val="00CF47D8"/>
    <w:rsid w:val="00CF528C"/>
    <w:rsid w:val="00CF58C1"/>
    <w:rsid w:val="00CF6293"/>
    <w:rsid w:val="00CF697B"/>
    <w:rsid w:val="00CF6A70"/>
    <w:rsid w:val="00CF6DF8"/>
    <w:rsid w:val="00CF6F46"/>
    <w:rsid w:val="00CF70EA"/>
    <w:rsid w:val="00CF71E3"/>
    <w:rsid w:val="00CF72B9"/>
    <w:rsid w:val="00CF75E8"/>
    <w:rsid w:val="00CF7B4C"/>
    <w:rsid w:val="00CF7BB7"/>
    <w:rsid w:val="00CF7D09"/>
    <w:rsid w:val="00D00B09"/>
    <w:rsid w:val="00D0101E"/>
    <w:rsid w:val="00D015B1"/>
    <w:rsid w:val="00D01901"/>
    <w:rsid w:val="00D01C3A"/>
    <w:rsid w:val="00D01CDE"/>
    <w:rsid w:val="00D01D36"/>
    <w:rsid w:val="00D01DD5"/>
    <w:rsid w:val="00D01DFD"/>
    <w:rsid w:val="00D025C1"/>
    <w:rsid w:val="00D02A57"/>
    <w:rsid w:val="00D02AA3"/>
    <w:rsid w:val="00D02D32"/>
    <w:rsid w:val="00D03AAE"/>
    <w:rsid w:val="00D03C1D"/>
    <w:rsid w:val="00D03E58"/>
    <w:rsid w:val="00D0474D"/>
    <w:rsid w:val="00D04777"/>
    <w:rsid w:val="00D04AFD"/>
    <w:rsid w:val="00D05005"/>
    <w:rsid w:val="00D050FC"/>
    <w:rsid w:val="00D05300"/>
    <w:rsid w:val="00D054EB"/>
    <w:rsid w:val="00D05D83"/>
    <w:rsid w:val="00D066A4"/>
    <w:rsid w:val="00D0686E"/>
    <w:rsid w:val="00D06D09"/>
    <w:rsid w:val="00D06DD2"/>
    <w:rsid w:val="00D07AC7"/>
    <w:rsid w:val="00D10182"/>
    <w:rsid w:val="00D1090B"/>
    <w:rsid w:val="00D10960"/>
    <w:rsid w:val="00D10AAA"/>
    <w:rsid w:val="00D1135D"/>
    <w:rsid w:val="00D11792"/>
    <w:rsid w:val="00D11EF0"/>
    <w:rsid w:val="00D123F6"/>
    <w:rsid w:val="00D12924"/>
    <w:rsid w:val="00D12CA9"/>
    <w:rsid w:val="00D12EEA"/>
    <w:rsid w:val="00D1326E"/>
    <w:rsid w:val="00D132AC"/>
    <w:rsid w:val="00D13339"/>
    <w:rsid w:val="00D1333E"/>
    <w:rsid w:val="00D13D0A"/>
    <w:rsid w:val="00D13FB3"/>
    <w:rsid w:val="00D14B63"/>
    <w:rsid w:val="00D14CB5"/>
    <w:rsid w:val="00D15094"/>
    <w:rsid w:val="00D1529E"/>
    <w:rsid w:val="00D15643"/>
    <w:rsid w:val="00D15DAF"/>
    <w:rsid w:val="00D15DD2"/>
    <w:rsid w:val="00D16C48"/>
    <w:rsid w:val="00D173BE"/>
    <w:rsid w:val="00D20468"/>
    <w:rsid w:val="00D206B4"/>
    <w:rsid w:val="00D20CD4"/>
    <w:rsid w:val="00D20CF4"/>
    <w:rsid w:val="00D20E56"/>
    <w:rsid w:val="00D20EBC"/>
    <w:rsid w:val="00D2115F"/>
    <w:rsid w:val="00D21B59"/>
    <w:rsid w:val="00D21BCA"/>
    <w:rsid w:val="00D21D03"/>
    <w:rsid w:val="00D21EBC"/>
    <w:rsid w:val="00D225D0"/>
    <w:rsid w:val="00D2315B"/>
    <w:rsid w:val="00D23276"/>
    <w:rsid w:val="00D23500"/>
    <w:rsid w:val="00D23502"/>
    <w:rsid w:val="00D2369F"/>
    <w:rsid w:val="00D23E83"/>
    <w:rsid w:val="00D24249"/>
    <w:rsid w:val="00D24328"/>
    <w:rsid w:val="00D243E1"/>
    <w:rsid w:val="00D2507C"/>
    <w:rsid w:val="00D251BF"/>
    <w:rsid w:val="00D25FC0"/>
    <w:rsid w:val="00D261CA"/>
    <w:rsid w:val="00D26615"/>
    <w:rsid w:val="00D26A8E"/>
    <w:rsid w:val="00D26A96"/>
    <w:rsid w:val="00D27121"/>
    <w:rsid w:val="00D27999"/>
    <w:rsid w:val="00D27C1B"/>
    <w:rsid w:val="00D303DC"/>
    <w:rsid w:val="00D307AC"/>
    <w:rsid w:val="00D30CBC"/>
    <w:rsid w:val="00D31147"/>
    <w:rsid w:val="00D31270"/>
    <w:rsid w:val="00D312BE"/>
    <w:rsid w:val="00D31849"/>
    <w:rsid w:val="00D31B88"/>
    <w:rsid w:val="00D31F26"/>
    <w:rsid w:val="00D322F0"/>
    <w:rsid w:val="00D32489"/>
    <w:rsid w:val="00D3248A"/>
    <w:rsid w:val="00D325C1"/>
    <w:rsid w:val="00D32AE8"/>
    <w:rsid w:val="00D32C74"/>
    <w:rsid w:val="00D3316D"/>
    <w:rsid w:val="00D33350"/>
    <w:rsid w:val="00D334D3"/>
    <w:rsid w:val="00D33734"/>
    <w:rsid w:val="00D339F0"/>
    <w:rsid w:val="00D33C4C"/>
    <w:rsid w:val="00D34407"/>
    <w:rsid w:val="00D3488A"/>
    <w:rsid w:val="00D34C60"/>
    <w:rsid w:val="00D3535B"/>
    <w:rsid w:val="00D353C6"/>
    <w:rsid w:val="00D356D7"/>
    <w:rsid w:val="00D35B54"/>
    <w:rsid w:val="00D373F7"/>
    <w:rsid w:val="00D378BC"/>
    <w:rsid w:val="00D37B00"/>
    <w:rsid w:val="00D37D6B"/>
    <w:rsid w:val="00D400FE"/>
    <w:rsid w:val="00D404FB"/>
    <w:rsid w:val="00D40672"/>
    <w:rsid w:val="00D408B5"/>
    <w:rsid w:val="00D4091C"/>
    <w:rsid w:val="00D40969"/>
    <w:rsid w:val="00D40B54"/>
    <w:rsid w:val="00D40BAC"/>
    <w:rsid w:val="00D40EFA"/>
    <w:rsid w:val="00D40FFD"/>
    <w:rsid w:val="00D4122E"/>
    <w:rsid w:val="00D415BF"/>
    <w:rsid w:val="00D41B4D"/>
    <w:rsid w:val="00D41F4A"/>
    <w:rsid w:val="00D41F8B"/>
    <w:rsid w:val="00D421BB"/>
    <w:rsid w:val="00D4253D"/>
    <w:rsid w:val="00D4262C"/>
    <w:rsid w:val="00D4292F"/>
    <w:rsid w:val="00D42EE1"/>
    <w:rsid w:val="00D43145"/>
    <w:rsid w:val="00D435BC"/>
    <w:rsid w:val="00D43BDD"/>
    <w:rsid w:val="00D44168"/>
    <w:rsid w:val="00D441CF"/>
    <w:rsid w:val="00D44280"/>
    <w:rsid w:val="00D4455C"/>
    <w:rsid w:val="00D445EE"/>
    <w:rsid w:val="00D4464E"/>
    <w:rsid w:val="00D446EF"/>
    <w:rsid w:val="00D44709"/>
    <w:rsid w:val="00D447CE"/>
    <w:rsid w:val="00D44B33"/>
    <w:rsid w:val="00D45650"/>
    <w:rsid w:val="00D45D31"/>
    <w:rsid w:val="00D46938"/>
    <w:rsid w:val="00D46AA0"/>
    <w:rsid w:val="00D46F20"/>
    <w:rsid w:val="00D471CE"/>
    <w:rsid w:val="00D473F1"/>
    <w:rsid w:val="00D4764E"/>
    <w:rsid w:val="00D47979"/>
    <w:rsid w:val="00D47984"/>
    <w:rsid w:val="00D47AF1"/>
    <w:rsid w:val="00D47F1D"/>
    <w:rsid w:val="00D50946"/>
    <w:rsid w:val="00D50987"/>
    <w:rsid w:val="00D50A7A"/>
    <w:rsid w:val="00D51914"/>
    <w:rsid w:val="00D52121"/>
    <w:rsid w:val="00D52298"/>
    <w:rsid w:val="00D5249F"/>
    <w:rsid w:val="00D524E3"/>
    <w:rsid w:val="00D5276B"/>
    <w:rsid w:val="00D52BEF"/>
    <w:rsid w:val="00D52C03"/>
    <w:rsid w:val="00D537A4"/>
    <w:rsid w:val="00D53E35"/>
    <w:rsid w:val="00D5429A"/>
    <w:rsid w:val="00D54B0F"/>
    <w:rsid w:val="00D54D28"/>
    <w:rsid w:val="00D54F07"/>
    <w:rsid w:val="00D55300"/>
    <w:rsid w:val="00D55734"/>
    <w:rsid w:val="00D5575E"/>
    <w:rsid w:val="00D55DFB"/>
    <w:rsid w:val="00D55FA3"/>
    <w:rsid w:val="00D564BA"/>
    <w:rsid w:val="00D565E1"/>
    <w:rsid w:val="00D565E3"/>
    <w:rsid w:val="00D5678D"/>
    <w:rsid w:val="00D56A35"/>
    <w:rsid w:val="00D56C3C"/>
    <w:rsid w:val="00D57173"/>
    <w:rsid w:val="00D573BA"/>
    <w:rsid w:val="00D57499"/>
    <w:rsid w:val="00D57A95"/>
    <w:rsid w:val="00D57AB3"/>
    <w:rsid w:val="00D57B08"/>
    <w:rsid w:val="00D57F28"/>
    <w:rsid w:val="00D6049A"/>
    <w:rsid w:val="00D606D9"/>
    <w:rsid w:val="00D60ADA"/>
    <w:rsid w:val="00D60B61"/>
    <w:rsid w:val="00D61114"/>
    <w:rsid w:val="00D61150"/>
    <w:rsid w:val="00D611F4"/>
    <w:rsid w:val="00D617FE"/>
    <w:rsid w:val="00D61CB9"/>
    <w:rsid w:val="00D61D45"/>
    <w:rsid w:val="00D61FD9"/>
    <w:rsid w:val="00D62132"/>
    <w:rsid w:val="00D625FB"/>
    <w:rsid w:val="00D62AE3"/>
    <w:rsid w:val="00D63008"/>
    <w:rsid w:val="00D63311"/>
    <w:rsid w:val="00D6347F"/>
    <w:rsid w:val="00D637DF"/>
    <w:rsid w:val="00D63B63"/>
    <w:rsid w:val="00D63C4F"/>
    <w:rsid w:val="00D63DBD"/>
    <w:rsid w:val="00D63F0A"/>
    <w:rsid w:val="00D64240"/>
    <w:rsid w:val="00D644F2"/>
    <w:rsid w:val="00D64A2E"/>
    <w:rsid w:val="00D64D7D"/>
    <w:rsid w:val="00D6533C"/>
    <w:rsid w:val="00D65436"/>
    <w:rsid w:val="00D6572F"/>
    <w:rsid w:val="00D6580F"/>
    <w:rsid w:val="00D65962"/>
    <w:rsid w:val="00D6625B"/>
    <w:rsid w:val="00D664CA"/>
    <w:rsid w:val="00D6650C"/>
    <w:rsid w:val="00D669EA"/>
    <w:rsid w:val="00D67457"/>
    <w:rsid w:val="00D70122"/>
    <w:rsid w:val="00D70279"/>
    <w:rsid w:val="00D70549"/>
    <w:rsid w:val="00D7068F"/>
    <w:rsid w:val="00D71569"/>
    <w:rsid w:val="00D72836"/>
    <w:rsid w:val="00D7286C"/>
    <w:rsid w:val="00D72880"/>
    <w:rsid w:val="00D73471"/>
    <w:rsid w:val="00D737C9"/>
    <w:rsid w:val="00D73A0D"/>
    <w:rsid w:val="00D745B9"/>
    <w:rsid w:val="00D749C7"/>
    <w:rsid w:val="00D750BD"/>
    <w:rsid w:val="00D75549"/>
    <w:rsid w:val="00D7558C"/>
    <w:rsid w:val="00D75A53"/>
    <w:rsid w:val="00D75A55"/>
    <w:rsid w:val="00D75C49"/>
    <w:rsid w:val="00D7611B"/>
    <w:rsid w:val="00D76171"/>
    <w:rsid w:val="00D7642E"/>
    <w:rsid w:val="00D765B9"/>
    <w:rsid w:val="00D76E39"/>
    <w:rsid w:val="00D76F13"/>
    <w:rsid w:val="00D77B02"/>
    <w:rsid w:val="00D77BAD"/>
    <w:rsid w:val="00D77C69"/>
    <w:rsid w:val="00D77EA0"/>
    <w:rsid w:val="00D8035A"/>
    <w:rsid w:val="00D80421"/>
    <w:rsid w:val="00D80BA1"/>
    <w:rsid w:val="00D80C1F"/>
    <w:rsid w:val="00D80C59"/>
    <w:rsid w:val="00D80FD9"/>
    <w:rsid w:val="00D81149"/>
    <w:rsid w:val="00D81A30"/>
    <w:rsid w:val="00D81AF5"/>
    <w:rsid w:val="00D81BB5"/>
    <w:rsid w:val="00D81C82"/>
    <w:rsid w:val="00D81F13"/>
    <w:rsid w:val="00D82351"/>
    <w:rsid w:val="00D824C9"/>
    <w:rsid w:val="00D826A0"/>
    <w:rsid w:val="00D826B7"/>
    <w:rsid w:val="00D828AD"/>
    <w:rsid w:val="00D82D69"/>
    <w:rsid w:val="00D82F61"/>
    <w:rsid w:val="00D83392"/>
    <w:rsid w:val="00D8371C"/>
    <w:rsid w:val="00D83C67"/>
    <w:rsid w:val="00D83F27"/>
    <w:rsid w:val="00D84155"/>
    <w:rsid w:val="00D84221"/>
    <w:rsid w:val="00D84262"/>
    <w:rsid w:val="00D848A5"/>
    <w:rsid w:val="00D84E18"/>
    <w:rsid w:val="00D84F0C"/>
    <w:rsid w:val="00D850A0"/>
    <w:rsid w:val="00D8560E"/>
    <w:rsid w:val="00D859DE"/>
    <w:rsid w:val="00D865CE"/>
    <w:rsid w:val="00D86808"/>
    <w:rsid w:val="00D872DE"/>
    <w:rsid w:val="00D873B8"/>
    <w:rsid w:val="00D87AED"/>
    <w:rsid w:val="00D87BF5"/>
    <w:rsid w:val="00D87F2E"/>
    <w:rsid w:val="00D90128"/>
    <w:rsid w:val="00D9025F"/>
    <w:rsid w:val="00D90261"/>
    <w:rsid w:val="00D90273"/>
    <w:rsid w:val="00D902FF"/>
    <w:rsid w:val="00D90349"/>
    <w:rsid w:val="00D904D3"/>
    <w:rsid w:val="00D91155"/>
    <w:rsid w:val="00D91848"/>
    <w:rsid w:val="00D91AF0"/>
    <w:rsid w:val="00D91C6E"/>
    <w:rsid w:val="00D93013"/>
    <w:rsid w:val="00D9321E"/>
    <w:rsid w:val="00D933E7"/>
    <w:rsid w:val="00D934E5"/>
    <w:rsid w:val="00D93C6B"/>
    <w:rsid w:val="00D94351"/>
    <w:rsid w:val="00D952AA"/>
    <w:rsid w:val="00D9539D"/>
    <w:rsid w:val="00D9546D"/>
    <w:rsid w:val="00D95A23"/>
    <w:rsid w:val="00D95ADB"/>
    <w:rsid w:val="00D95AE6"/>
    <w:rsid w:val="00D95C8A"/>
    <w:rsid w:val="00D961E4"/>
    <w:rsid w:val="00D968C5"/>
    <w:rsid w:val="00D96964"/>
    <w:rsid w:val="00D96BB6"/>
    <w:rsid w:val="00D97173"/>
    <w:rsid w:val="00D971B2"/>
    <w:rsid w:val="00D979D5"/>
    <w:rsid w:val="00D97D9D"/>
    <w:rsid w:val="00D97DAC"/>
    <w:rsid w:val="00DA02CE"/>
    <w:rsid w:val="00DA0C5A"/>
    <w:rsid w:val="00DA0E4B"/>
    <w:rsid w:val="00DA0EF3"/>
    <w:rsid w:val="00DA13B1"/>
    <w:rsid w:val="00DA17A9"/>
    <w:rsid w:val="00DA180B"/>
    <w:rsid w:val="00DA18E9"/>
    <w:rsid w:val="00DA248C"/>
    <w:rsid w:val="00DA253D"/>
    <w:rsid w:val="00DA25D1"/>
    <w:rsid w:val="00DA2923"/>
    <w:rsid w:val="00DA2B69"/>
    <w:rsid w:val="00DA33CF"/>
    <w:rsid w:val="00DA382A"/>
    <w:rsid w:val="00DA3D9A"/>
    <w:rsid w:val="00DA3DC1"/>
    <w:rsid w:val="00DA450E"/>
    <w:rsid w:val="00DA4DA0"/>
    <w:rsid w:val="00DA543D"/>
    <w:rsid w:val="00DA5B54"/>
    <w:rsid w:val="00DA624A"/>
    <w:rsid w:val="00DA64DC"/>
    <w:rsid w:val="00DA653C"/>
    <w:rsid w:val="00DA71A3"/>
    <w:rsid w:val="00DA71F8"/>
    <w:rsid w:val="00DA727D"/>
    <w:rsid w:val="00DA72F7"/>
    <w:rsid w:val="00DA74FE"/>
    <w:rsid w:val="00DA7722"/>
    <w:rsid w:val="00DA7CCE"/>
    <w:rsid w:val="00DA7DD5"/>
    <w:rsid w:val="00DB02E7"/>
    <w:rsid w:val="00DB057D"/>
    <w:rsid w:val="00DB065F"/>
    <w:rsid w:val="00DB0A55"/>
    <w:rsid w:val="00DB10A8"/>
    <w:rsid w:val="00DB13F9"/>
    <w:rsid w:val="00DB16A7"/>
    <w:rsid w:val="00DB1A0C"/>
    <w:rsid w:val="00DB2031"/>
    <w:rsid w:val="00DB224C"/>
    <w:rsid w:val="00DB2326"/>
    <w:rsid w:val="00DB2385"/>
    <w:rsid w:val="00DB2710"/>
    <w:rsid w:val="00DB2ABF"/>
    <w:rsid w:val="00DB2AD8"/>
    <w:rsid w:val="00DB2B5E"/>
    <w:rsid w:val="00DB2FE0"/>
    <w:rsid w:val="00DB3124"/>
    <w:rsid w:val="00DB360A"/>
    <w:rsid w:val="00DB3706"/>
    <w:rsid w:val="00DB39A2"/>
    <w:rsid w:val="00DB3C9E"/>
    <w:rsid w:val="00DB3DAB"/>
    <w:rsid w:val="00DB451C"/>
    <w:rsid w:val="00DB465E"/>
    <w:rsid w:val="00DB46AC"/>
    <w:rsid w:val="00DB46EA"/>
    <w:rsid w:val="00DB47F6"/>
    <w:rsid w:val="00DB4B98"/>
    <w:rsid w:val="00DB4C26"/>
    <w:rsid w:val="00DB4DB9"/>
    <w:rsid w:val="00DB508C"/>
    <w:rsid w:val="00DB52C9"/>
    <w:rsid w:val="00DB591E"/>
    <w:rsid w:val="00DB5F48"/>
    <w:rsid w:val="00DB635B"/>
    <w:rsid w:val="00DB667A"/>
    <w:rsid w:val="00DB6E98"/>
    <w:rsid w:val="00DB74BF"/>
    <w:rsid w:val="00DB7697"/>
    <w:rsid w:val="00DB7859"/>
    <w:rsid w:val="00DB78D3"/>
    <w:rsid w:val="00DB7F78"/>
    <w:rsid w:val="00DB7F7A"/>
    <w:rsid w:val="00DC03AE"/>
    <w:rsid w:val="00DC06AE"/>
    <w:rsid w:val="00DC0BA4"/>
    <w:rsid w:val="00DC0C9C"/>
    <w:rsid w:val="00DC0E64"/>
    <w:rsid w:val="00DC1062"/>
    <w:rsid w:val="00DC1074"/>
    <w:rsid w:val="00DC12CD"/>
    <w:rsid w:val="00DC1313"/>
    <w:rsid w:val="00DC1752"/>
    <w:rsid w:val="00DC181A"/>
    <w:rsid w:val="00DC206E"/>
    <w:rsid w:val="00DC228C"/>
    <w:rsid w:val="00DC2757"/>
    <w:rsid w:val="00DC293F"/>
    <w:rsid w:val="00DC2C76"/>
    <w:rsid w:val="00DC3415"/>
    <w:rsid w:val="00DC3436"/>
    <w:rsid w:val="00DC3647"/>
    <w:rsid w:val="00DC37C2"/>
    <w:rsid w:val="00DC3882"/>
    <w:rsid w:val="00DC3AB8"/>
    <w:rsid w:val="00DC3B1A"/>
    <w:rsid w:val="00DC3B8A"/>
    <w:rsid w:val="00DC3CD7"/>
    <w:rsid w:val="00DC3CE9"/>
    <w:rsid w:val="00DC427B"/>
    <w:rsid w:val="00DC5458"/>
    <w:rsid w:val="00DC56EC"/>
    <w:rsid w:val="00DC5A34"/>
    <w:rsid w:val="00DC5B56"/>
    <w:rsid w:val="00DC5D26"/>
    <w:rsid w:val="00DC61E0"/>
    <w:rsid w:val="00DC62D8"/>
    <w:rsid w:val="00DC63AA"/>
    <w:rsid w:val="00DC6688"/>
    <w:rsid w:val="00DC6A16"/>
    <w:rsid w:val="00DC729C"/>
    <w:rsid w:val="00DC7AC0"/>
    <w:rsid w:val="00DC7C7B"/>
    <w:rsid w:val="00DD0F23"/>
    <w:rsid w:val="00DD1630"/>
    <w:rsid w:val="00DD167C"/>
    <w:rsid w:val="00DD17CA"/>
    <w:rsid w:val="00DD1871"/>
    <w:rsid w:val="00DD1904"/>
    <w:rsid w:val="00DD1D34"/>
    <w:rsid w:val="00DD1D9D"/>
    <w:rsid w:val="00DD1E37"/>
    <w:rsid w:val="00DD1EDF"/>
    <w:rsid w:val="00DD2401"/>
    <w:rsid w:val="00DD33DF"/>
    <w:rsid w:val="00DD35EB"/>
    <w:rsid w:val="00DD3A7C"/>
    <w:rsid w:val="00DD3EDC"/>
    <w:rsid w:val="00DD4194"/>
    <w:rsid w:val="00DD437D"/>
    <w:rsid w:val="00DD4486"/>
    <w:rsid w:val="00DD4593"/>
    <w:rsid w:val="00DD46D8"/>
    <w:rsid w:val="00DD4B4E"/>
    <w:rsid w:val="00DD4C02"/>
    <w:rsid w:val="00DD552D"/>
    <w:rsid w:val="00DD5549"/>
    <w:rsid w:val="00DD64AE"/>
    <w:rsid w:val="00DD663D"/>
    <w:rsid w:val="00DD6681"/>
    <w:rsid w:val="00DD6D45"/>
    <w:rsid w:val="00DD6D7C"/>
    <w:rsid w:val="00DD7A31"/>
    <w:rsid w:val="00DD7EEF"/>
    <w:rsid w:val="00DE006A"/>
    <w:rsid w:val="00DE0723"/>
    <w:rsid w:val="00DE0751"/>
    <w:rsid w:val="00DE07E5"/>
    <w:rsid w:val="00DE0858"/>
    <w:rsid w:val="00DE0CD9"/>
    <w:rsid w:val="00DE1259"/>
    <w:rsid w:val="00DE1F04"/>
    <w:rsid w:val="00DE29F9"/>
    <w:rsid w:val="00DE357C"/>
    <w:rsid w:val="00DE35B7"/>
    <w:rsid w:val="00DE37A6"/>
    <w:rsid w:val="00DE3FFF"/>
    <w:rsid w:val="00DE4461"/>
    <w:rsid w:val="00DE452B"/>
    <w:rsid w:val="00DE4B29"/>
    <w:rsid w:val="00DE4BB1"/>
    <w:rsid w:val="00DE5217"/>
    <w:rsid w:val="00DE5304"/>
    <w:rsid w:val="00DE53D3"/>
    <w:rsid w:val="00DE5453"/>
    <w:rsid w:val="00DE5B39"/>
    <w:rsid w:val="00DE5C97"/>
    <w:rsid w:val="00DE5FF0"/>
    <w:rsid w:val="00DE62A2"/>
    <w:rsid w:val="00DE6FAF"/>
    <w:rsid w:val="00DE714F"/>
    <w:rsid w:val="00DE76C2"/>
    <w:rsid w:val="00DE7950"/>
    <w:rsid w:val="00DF0731"/>
    <w:rsid w:val="00DF09AF"/>
    <w:rsid w:val="00DF1062"/>
    <w:rsid w:val="00DF117E"/>
    <w:rsid w:val="00DF14BD"/>
    <w:rsid w:val="00DF15FB"/>
    <w:rsid w:val="00DF18DD"/>
    <w:rsid w:val="00DF1D03"/>
    <w:rsid w:val="00DF2035"/>
    <w:rsid w:val="00DF2803"/>
    <w:rsid w:val="00DF2F86"/>
    <w:rsid w:val="00DF309F"/>
    <w:rsid w:val="00DF33AA"/>
    <w:rsid w:val="00DF3478"/>
    <w:rsid w:val="00DF3650"/>
    <w:rsid w:val="00DF3C88"/>
    <w:rsid w:val="00DF4278"/>
    <w:rsid w:val="00DF4478"/>
    <w:rsid w:val="00DF44C6"/>
    <w:rsid w:val="00DF4703"/>
    <w:rsid w:val="00DF49E6"/>
    <w:rsid w:val="00DF4E94"/>
    <w:rsid w:val="00DF4F09"/>
    <w:rsid w:val="00DF4F21"/>
    <w:rsid w:val="00DF53C7"/>
    <w:rsid w:val="00DF5433"/>
    <w:rsid w:val="00DF5551"/>
    <w:rsid w:val="00DF568C"/>
    <w:rsid w:val="00DF57B7"/>
    <w:rsid w:val="00DF633F"/>
    <w:rsid w:val="00DF6554"/>
    <w:rsid w:val="00DF676E"/>
    <w:rsid w:val="00DF6947"/>
    <w:rsid w:val="00DF6959"/>
    <w:rsid w:val="00DF6ACB"/>
    <w:rsid w:val="00DF7B59"/>
    <w:rsid w:val="00E00220"/>
    <w:rsid w:val="00E00678"/>
    <w:rsid w:val="00E00765"/>
    <w:rsid w:val="00E00865"/>
    <w:rsid w:val="00E00E8A"/>
    <w:rsid w:val="00E00F5B"/>
    <w:rsid w:val="00E01F97"/>
    <w:rsid w:val="00E02686"/>
    <w:rsid w:val="00E02994"/>
    <w:rsid w:val="00E02E90"/>
    <w:rsid w:val="00E02F32"/>
    <w:rsid w:val="00E031AD"/>
    <w:rsid w:val="00E0335B"/>
    <w:rsid w:val="00E03C30"/>
    <w:rsid w:val="00E03C50"/>
    <w:rsid w:val="00E03D98"/>
    <w:rsid w:val="00E04033"/>
    <w:rsid w:val="00E041D3"/>
    <w:rsid w:val="00E042FF"/>
    <w:rsid w:val="00E04491"/>
    <w:rsid w:val="00E04A7D"/>
    <w:rsid w:val="00E04B6F"/>
    <w:rsid w:val="00E04ED5"/>
    <w:rsid w:val="00E052E1"/>
    <w:rsid w:val="00E056D3"/>
    <w:rsid w:val="00E05B14"/>
    <w:rsid w:val="00E05C96"/>
    <w:rsid w:val="00E06291"/>
    <w:rsid w:val="00E07579"/>
    <w:rsid w:val="00E077CF"/>
    <w:rsid w:val="00E07F44"/>
    <w:rsid w:val="00E10165"/>
    <w:rsid w:val="00E106DD"/>
    <w:rsid w:val="00E1097B"/>
    <w:rsid w:val="00E110D2"/>
    <w:rsid w:val="00E110D4"/>
    <w:rsid w:val="00E1139F"/>
    <w:rsid w:val="00E118F1"/>
    <w:rsid w:val="00E11992"/>
    <w:rsid w:val="00E11C51"/>
    <w:rsid w:val="00E1227A"/>
    <w:rsid w:val="00E126FB"/>
    <w:rsid w:val="00E12781"/>
    <w:rsid w:val="00E12902"/>
    <w:rsid w:val="00E12B71"/>
    <w:rsid w:val="00E1399A"/>
    <w:rsid w:val="00E139A8"/>
    <w:rsid w:val="00E13DAF"/>
    <w:rsid w:val="00E13E4E"/>
    <w:rsid w:val="00E14C19"/>
    <w:rsid w:val="00E14C95"/>
    <w:rsid w:val="00E14FD4"/>
    <w:rsid w:val="00E15602"/>
    <w:rsid w:val="00E15A52"/>
    <w:rsid w:val="00E15AF4"/>
    <w:rsid w:val="00E15D74"/>
    <w:rsid w:val="00E15F74"/>
    <w:rsid w:val="00E1639E"/>
    <w:rsid w:val="00E16541"/>
    <w:rsid w:val="00E1676B"/>
    <w:rsid w:val="00E1688B"/>
    <w:rsid w:val="00E16E00"/>
    <w:rsid w:val="00E16EF9"/>
    <w:rsid w:val="00E16FDD"/>
    <w:rsid w:val="00E1717C"/>
    <w:rsid w:val="00E17468"/>
    <w:rsid w:val="00E17819"/>
    <w:rsid w:val="00E17BAB"/>
    <w:rsid w:val="00E17E2F"/>
    <w:rsid w:val="00E20418"/>
    <w:rsid w:val="00E20AC8"/>
    <w:rsid w:val="00E21029"/>
    <w:rsid w:val="00E2132D"/>
    <w:rsid w:val="00E21C14"/>
    <w:rsid w:val="00E21D72"/>
    <w:rsid w:val="00E21EEA"/>
    <w:rsid w:val="00E223C4"/>
    <w:rsid w:val="00E22618"/>
    <w:rsid w:val="00E2270E"/>
    <w:rsid w:val="00E2292A"/>
    <w:rsid w:val="00E22E73"/>
    <w:rsid w:val="00E23651"/>
    <w:rsid w:val="00E23FDF"/>
    <w:rsid w:val="00E24051"/>
    <w:rsid w:val="00E24084"/>
    <w:rsid w:val="00E24270"/>
    <w:rsid w:val="00E2447B"/>
    <w:rsid w:val="00E24857"/>
    <w:rsid w:val="00E2497D"/>
    <w:rsid w:val="00E24C1A"/>
    <w:rsid w:val="00E25365"/>
    <w:rsid w:val="00E2586D"/>
    <w:rsid w:val="00E25CB3"/>
    <w:rsid w:val="00E264A4"/>
    <w:rsid w:val="00E265A5"/>
    <w:rsid w:val="00E26678"/>
    <w:rsid w:val="00E266C9"/>
    <w:rsid w:val="00E2685F"/>
    <w:rsid w:val="00E26968"/>
    <w:rsid w:val="00E26A8A"/>
    <w:rsid w:val="00E26CC6"/>
    <w:rsid w:val="00E273EA"/>
    <w:rsid w:val="00E27B5B"/>
    <w:rsid w:val="00E27CB7"/>
    <w:rsid w:val="00E27DD0"/>
    <w:rsid w:val="00E27ED2"/>
    <w:rsid w:val="00E27FBC"/>
    <w:rsid w:val="00E302AB"/>
    <w:rsid w:val="00E30682"/>
    <w:rsid w:val="00E308ED"/>
    <w:rsid w:val="00E30ACF"/>
    <w:rsid w:val="00E30B7A"/>
    <w:rsid w:val="00E30CD2"/>
    <w:rsid w:val="00E30DAD"/>
    <w:rsid w:val="00E30EEC"/>
    <w:rsid w:val="00E30FB1"/>
    <w:rsid w:val="00E310FB"/>
    <w:rsid w:val="00E3172D"/>
    <w:rsid w:val="00E31DE9"/>
    <w:rsid w:val="00E31F2B"/>
    <w:rsid w:val="00E3239E"/>
    <w:rsid w:val="00E330FA"/>
    <w:rsid w:val="00E3322A"/>
    <w:rsid w:val="00E33339"/>
    <w:rsid w:val="00E335D8"/>
    <w:rsid w:val="00E34195"/>
    <w:rsid w:val="00E3474F"/>
    <w:rsid w:val="00E3479F"/>
    <w:rsid w:val="00E34887"/>
    <w:rsid w:val="00E3491D"/>
    <w:rsid w:val="00E34E80"/>
    <w:rsid w:val="00E355A4"/>
    <w:rsid w:val="00E3563F"/>
    <w:rsid w:val="00E356AE"/>
    <w:rsid w:val="00E35778"/>
    <w:rsid w:val="00E36284"/>
    <w:rsid w:val="00E365BF"/>
    <w:rsid w:val="00E36610"/>
    <w:rsid w:val="00E36985"/>
    <w:rsid w:val="00E36E37"/>
    <w:rsid w:val="00E37730"/>
    <w:rsid w:val="00E37FE9"/>
    <w:rsid w:val="00E400AA"/>
    <w:rsid w:val="00E4021F"/>
    <w:rsid w:val="00E41102"/>
    <w:rsid w:val="00E41117"/>
    <w:rsid w:val="00E41413"/>
    <w:rsid w:val="00E417F7"/>
    <w:rsid w:val="00E41AD2"/>
    <w:rsid w:val="00E41C0C"/>
    <w:rsid w:val="00E42075"/>
    <w:rsid w:val="00E422A6"/>
    <w:rsid w:val="00E4239A"/>
    <w:rsid w:val="00E4256E"/>
    <w:rsid w:val="00E4259F"/>
    <w:rsid w:val="00E42754"/>
    <w:rsid w:val="00E42CE3"/>
    <w:rsid w:val="00E435C9"/>
    <w:rsid w:val="00E437FD"/>
    <w:rsid w:val="00E43822"/>
    <w:rsid w:val="00E43BA0"/>
    <w:rsid w:val="00E441A7"/>
    <w:rsid w:val="00E44319"/>
    <w:rsid w:val="00E446A5"/>
    <w:rsid w:val="00E4480D"/>
    <w:rsid w:val="00E44913"/>
    <w:rsid w:val="00E44CDC"/>
    <w:rsid w:val="00E44DBC"/>
    <w:rsid w:val="00E4550D"/>
    <w:rsid w:val="00E45A8D"/>
    <w:rsid w:val="00E45DA3"/>
    <w:rsid w:val="00E462CE"/>
    <w:rsid w:val="00E467A3"/>
    <w:rsid w:val="00E46922"/>
    <w:rsid w:val="00E46FDB"/>
    <w:rsid w:val="00E470D1"/>
    <w:rsid w:val="00E47497"/>
    <w:rsid w:val="00E475ED"/>
    <w:rsid w:val="00E477D2"/>
    <w:rsid w:val="00E47C6B"/>
    <w:rsid w:val="00E47D9B"/>
    <w:rsid w:val="00E47F56"/>
    <w:rsid w:val="00E5067B"/>
    <w:rsid w:val="00E50BB3"/>
    <w:rsid w:val="00E50DC1"/>
    <w:rsid w:val="00E50F2B"/>
    <w:rsid w:val="00E51223"/>
    <w:rsid w:val="00E515DB"/>
    <w:rsid w:val="00E51824"/>
    <w:rsid w:val="00E51BFC"/>
    <w:rsid w:val="00E51FED"/>
    <w:rsid w:val="00E524BC"/>
    <w:rsid w:val="00E52777"/>
    <w:rsid w:val="00E52889"/>
    <w:rsid w:val="00E52961"/>
    <w:rsid w:val="00E52CF8"/>
    <w:rsid w:val="00E5312B"/>
    <w:rsid w:val="00E53272"/>
    <w:rsid w:val="00E53838"/>
    <w:rsid w:val="00E53A77"/>
    <w:rsid w:val="00E53EB6"/>
    <w:rsid w:val="00E5403D"/>
    <w:rsid w:val="00E541D0"/>
    <w:rsid w:val="00E54240"/>
    <w:rsid w:val="00E546A6"/>
    <w:rsid w:val="00E54977"/>
    <w:rsid w:val="00E54E2D"/>
    <w:rsid w:val="00E54EF7"/>
    <w:rsid w:val="00E54F79"/>
    <w:rsid w:val="00E55B13"/>
    <w:rsid w:val="00E55EA9"/>
    <w:rsid w:val="00E56034"/>
    <w:rsid w:val="00E56228"/>
    <w:rsid w:val="00E56883"/>
    <w:rsid w:val="00E568A7"/>
    <w:rsid w:val="00E56BC3"/>
    <w:rsid w:val="00E56BF2"/>
    <w:rsid w:val="00E56E2F"/>
    <w:rsid w:val="00E56EA3"/>
    <w:rsid w:val="00E574ED"/>
    <w:rsid w:val="00E57959"/>
    <w:rsid w:val="00E57AA6"/>
    <w:rsid w:val="00E57FD4"/>
    <w:rsid w:val="00E600BE"/>
    <w:rsid w:val="00E60C1E"/>
    <w:rsid w:val="00E60C4D"/>
    <w:rsid w:val="00E618B7"/>
    <w:rsid w:val="00E61C82"/>
    <w:rsid w:val="00E6214C"/>
    <w:rsid w:val="00E6228B"/>
    <w:rsid w:val="00E62295"/>
    <w:rsid w:val="00E62387"/>
    <w:rsid w:val="00E625E1"/>
    <w:rsid w:val="00E6297D"/>
    <w:rsid w:val="00E63956"/>
    <w:rsid w:val="00E63B0E"/>
    <w:rsid w:val="00E64203"/>
    <w:rsid w:val="00E644AB"/>
    <w:rsid w:val="00E646B5"/>
    <w:rsid w:val="00E65183"/>
    <w:rsid w:val="00E657F3"/>
    <w:rsid w:val="00E6596E"/>
    <w:rsid w:val="00E661AC"/>
    <w:rsid w:val="00E66354"/>
    <w:rsid w:val="00E6643E"/>
    <w:rsid w:val="00E66960"/>
    <w:rsid w:val="00E66AB5"/>
    <w:rsid w:val="00E67581"/>
    <w:rsid w:val="00E675CB"/>
    <w:rsid w:val="00E67850"/>
    <w:rsid w:val="00E67A83"/>
    <w:rsid w:val="00E67E8E"/>
    <w:rsid w:val="00E70343"/>
    <w:rsid w:val="00E703F5"/>
    <w:rsid w:val="00E706B4"/>
    <w:rsid w:val="00E7095E"/>
    <w:rsid w:val="00E70DDD"/>
    <w:rsid w:val="00E712DC"/>
    <w:rsid w:val="00E71691"/>
    <w:rsid w:val="00E71745"/>
    <w:rsid w:val="00E717D1"/>
    <w:rsid w:val="00E71A2A"/>
    <w:rsid w:val="00E71AB9"/>
    <w:rsid w:val="00E71DAA"/>
    <w:rsid w:val="00E72700"/>
    <w:rsid w:val="00E72960"/>
    <w:rsid w:val="00E72D2A"/>
    <w:rsid w:val="00E72D94"/>
    <w:rsid w:val="00E72E38"/>
    <w:rsid w:val="00E73443"/>
    <w:rsid w:val="00E73EB8"/>
    <w:rsid w:val="00E7436A"/>
    <w:rsid w:val="00E747D5"/>
    <w:rsid w:val="00E75071"/>
    <w:rsid w:val="00E7509F"/>
    <w:rsid w:val="00E75508"/>
    <w:rsid w:val="00E75525"/>
    <w:rsid w:val="00E7568A"/>
    <w:rsid w:val="00E75A61"/>
    <w:rsid w:val="00E75F69"/>
    <w:rsid w:val="00E75F8A"/>
    <w:rsid w:val="00E75FCF"/>
    <w:rsid w:val="00E76522"/>
    <w:rsid w:val="00E76896"/>
    <w:rsid w:val="00E76B23"/>
    <w:rsid w:val="00E76B88"/>
    <w:rsid w:val="00E80729"/>
    <w:rsid w:val="00E807DC"/>
    <w:rsid w:val="00E807F2"/>
    <w:rsid w:val="00E81087"/>
    <w:rsid w:val="00E81FB1"/>
    <w:rsid w:val="00E822EA"/>
    <w:rsid w:val="00E822F8"/>
    <w:rsid w:val="00E82873"/>
    <w:rsid w:val="00E82FC6"/>
    <w:rsid w:val="00E8316A"/>
    <w:rsid w:val="00E832C5"/>
    <w:rsid w:val="00E835A2"/>
    <w:rsid w:val="00E84DBF"/>
    <w:rsid w:val="00E850E9"/>
    <w:rsid w:val="00E8523E"/>
    <w:rsid w:val="00E85887"/>
    <w:rsid w:val="00E85FA4"/>
    <w:rsid w:val="00E864E1"/>
    <w:rsid w:val="00E8651B"/>
    <w:rsid w:val="00E869BB"/>
    <w:rsid w:val="00E8722B"/>
    <w:rsid w:val="00E8764A"/>
    <w:rsid w:val="00E87715"/>
    <w:rsid w:val="00E87EE3"/>
    <w:rsid w:val="00E902C7"/>
    <w:rsid w:val="00E903C1"/>
    <w:rsid w:val="00E904C3"/>
    <w:rsid w:val="00E90664"/>
    <w:rsid w:val="00E9079F"/>
    <w:rsid w:val="00E90830"/>
    <w:rsid w:val="00E90BBB"/>
    <w:rsid w:val="00E90C44"/>
    <w:rsid w:val="00E917BD"/>
    <w:rsid w:val="00E921C2"/>
    <w:rsid w:val="00E9229C"/>
    <w:rsid w:val="00E922B1"/>
    <w:rsid w:val="00E92697"/>
    <w:rsid w:val="00E92726"/>
    <w:rsid w:val="00E92C3B"/>
    <w:rsid w:val="00E92FA5"/>
    <w:rsid w:val="00E9318C"/>
    <w:rsid w:val="00E934AB"/>
    <w:rsid w:val="00E9421C"/>
    <w:rsid w:val="00E949DF"/>
    <w:rsid w:val="00E94A3E"/>
    <w:rsid w:val="00E95054"/>
    <w:rsid w:val="00E95701"/>
    <w:rsid w:val="00E95B1A"/>
    <w:rsid w:val="00E95BF5"/>
    <w:rsid w:val="00E95F0A"/>
    <w:rsid w:val="00E9645A"/>
    <w:rsid w:val="00E96698"/>
    <w:rsid w:val="00E966B7"/>
    <w:rsid w:val="00E96823"/>
    <w:rsid w:val="00E96AF3"/>
    <w:rsid w:val="00E97993"/>
    <w:rsid w:val="00E97B1D"/>
    <w:rsid w:val="00E97CC1"/>
    <w:rsid w:val="00E97E3D"/>
    <w:rsid w:val="00E97E77"/>
    <w:rsid w:val="00EA0184"/>
    <w:rsid w:val="00EA0C09"/>
    <w:rsid w:val="00EA14C1"/>
    <w:rsid w:val="00EA1951"/>
    <w:rsid w:val="00EA1B5E"/>
    <w:rsid w:val="00EA1DD3"/>
    <w:rsid w:val="00EA1FE7"/>
    <w:rsid w:val="00EA201F"/>
    <w:rsid w:val="00EA23AE"/>
    <w:rsid w:val="00EA292C"/>
    <w:rsid w:val="00EA2CF1"/>
    <w:rsid w:val="00EA2FBB"/>
    <w:rsid w:val="00EA34AF"/>
    <w:rsid w:val="00EA3678"/>
    <w:rsid w:val="00EA3924"/>
    <w:rsid w:val="00EA4BEC"/>
    <w:rsid w:val="00EA4C68"/>
    <w:rsid w:val="00EA52FB"/>
    <w:rsid w:val="00EA53DA"/>
    <w:rsid w:val="00EA59C5"/>
    <w:rsid w:val="00EA64D3"/>
    <w:rsid w:val="00EA6F7E"/>
    <w:rsid w:val="00EA7564"/>
    <w:rsid w:val="00EB0179"/>
    <w:rsid w:val="00EB0561"/>
    <w:rsid w:val="00EB0579"/>
    <w:rsid w:val="00EB0614"/>
    <w:rsid w:val="00EB0B68"/>
    <w:rsid w:val="00EB1035"/>
    <w:rsid w:val="00EB106B"/>
    <w:rsid w:val="00EB1207"/>
    <w:rsid w:val="00EB1782"/>
    <w:rsid w:val="00EB1B0D"/>
    <w:rsid w:val="00EB1F03"/>
    <w:rsid w:val="00EB1F1C"/>
    <w:rsid w:val="00EB1F7A"/>
    <w:rsid w:val="00EB2829"/>
    <w:rsid w:val="00EB2913"/>
    <w:rsid w:val="00EB29AC"/>
    <w:rsid w:val="00EB2BD5"/>
    <w:rsid w:val="00EB32E8"/>
    <w:rsid w:val="00EB36FF"/>
    <w:rsid w:val="00EB4107"/>
    <w:rsid w:val="00EB4711"/>
    <w:rsid w:val="00EB4A12"/>
    <w:rsid w:val="00EB4C0C"/>
    <w:rsid w:val="00EB5036"/>
    <w:rsid w:val="00EB54EE"/>
    <w:rsid w:val="00EB55E1"/>
    <w:rsid w:val="00EB5BBC"/>
    <w:rsid w:val="00EB62CE"/>
    <w:rsid w:val="00EB6363"/>
    <w:rsid w:val="00EB657A"/>
    <w:rsid w:val="00EB66D5"/>
    <w:rsid w:val="00EB73F1"/>
    <w:rsid w:val="00EB7BE9"/>
    <w:rsid w:val="00EB7C4E"/>
    <w:rsid w:val="00EB7E3C"/>
    <w:rsid w:val="00EC06B1"/>
    <w:rsid w:val="00EC08D2"/>
    <w:rsid w:val="00EC08E0"/>
    <w:rsid w:val="00EC09C9"/>
    <w:rsid w:val="00EC103A"/>
    <w:rsid w:val="00EC1142"/>
    <w:rsid w:val="00EC13DF"/>
    <w:rsid w:val="00EC15CD"/>
    <w:rsid w:val="00EC226D"/>
    <w:rsid w:val="00EC287F"/>
    <w:rsid w:val="00EC2C41"/>
    <w:rsid w:val="00EC33A8"/>
    <w:rsid w:val="00EC3DB5"/>
    <w:rsid w:val="00EC429E"/>
    <w:rsid w:val="00EC435E"/>
    <w:rsid w:val="00EC44BA"/>
    <w:rsid w:val="00EC4760"/>
    <w:rsid w:val="00EC4FD2"/>
    <w:rsid w:val="00EC52B9"/>
    <w:rsid w:val="00EC5335"/>
    <w:rsid w:val="00EC58B2"/>
    <w:rsid w:val="00EC6101"/>
    <w:rsid w:val="00EC611B"/>
    <w:rsid w:val="00EC61BA"/>
    <w:rsid w:val="00EC6303"/>
    <w:rsid w:val="00EC63C1"/>
    <w:rsid w:val="00EC64F1"/>
    <w:rsid w:val="00EC6A56"/>
    <w:rsid w:val="00EC6FBF"/>
    <w:rsid w:val="00EC7209"/>
    <w:rsid w:val="00EC744D"/>
    <w:rsid w:val="00EC7605"/>
    <w:rsid w:val="00EC761F"/>
    <w:rsid w:val="00EC79DE"/>
    <w:rsid w:val="00ED005D"/>
    <w:rsid w:val="00ED01D8"/>
    <w:rsid w:val="00ED047C"/>
    <w:rsid w:val="00ED1858"/>
    <w:rsid w:val="00ED1B06"/>
    <w:rsid w:val="00ED1D44"/>
    <w:rsid w:val="00ED1F2D"/>
    <w:rsid w:val="00ED1FFA"/>
    <w:rsid w:val="00ED22A1"/>
    <w:rsid w:val="00ED2732"/>
    <w:rsid w:val="00ED2BFE"/>
    <w:rsid w:val="00ED2F41"/>
    <w:rsid w:val="00ED395C"/>
    <w:rsid w:val="00ED39B6"/>
    <w:rsid w:val="00ED3AA4"/>
    <w:rsid w:val="00ED3DB5"/>
    <w:rsid w:val="00ED3DCB"/>
    <w:rsid w:val="00ED3ECE"/>
    <w:rsid w:val="00ED4299"/>
    <w:rsid w:val="00ED4A0D"/>
    <w:rsid w:val="00ED4CF5"/>
    <w:rsid w:val="00ED54A8"/>
    <w:rsid w:val="00ED5A6B"/>
    <w:rsid w:val="00ED5D34"/>
    <w:rsid w:val="00ED60D5"/>
    <w:rsid w:val="00ED6177"/>
    <w:rsid w:val="00ED61D5"/>
    <w:rsid w:val="00ED64A6"/>
    <w:rsid w:val="00ED6776"/>
    <w:rsid w:val="00ED6940"/>
    <w:rsid w:val="00ED6B0B"/>
    <w:rsid w:val="00ED6E3F"/>
    <w:rsid w:val="00ED76D4"/>
    <w:rsid w:val="00ED78B8"/>
    <w:rsid w:val="00ED7C6B"/>
    <w:rsid w:val="00ED7D08"/>
    <w:rsid w:val="00EE0080"/>
    <w:rsid w:val="00EE0165"/>
    <w:rsid w:val="00EE01A6"/>
    <w:rsid w:val="00EE0431"/>
    <w:rsid w:val="00EE1812"/>
    <w:rsid w:val="00EE1CDC"/>
    <w:rsid w:val="00EE1F17"/>
    <w:rsid w:val="00EE2576"/>
    <w:rsid w:val="00EE27A4"/>
    <w:rsid w:val="00EE2A9E"/>
    <w:rsid w:val="00EE2B63"/>
    <w:rsid w:val="00EE2E01"/>
    <w:rsid w:val="00EE3E5B"/>
    <w:rsid w:val="00EE46B2"/>
    <w:rsid w:val="00EE5455"/>
    <w:rsid w:val="00EE54D8"/>
    <w:rsid w:val="00EE5512"/>
    <w:rsid w:val="00EE553A"/>
    <w:rsid w:val="00EE562D"/>
    <w:rsid w:val="00EE5907"/>
    <w:rsid w:val="00EE5A45"/>
    <w:rsid w:val="00EE5BB9"/>
    <w:rsid w:val="00EE5C95"/>
    <w:rsid w:val="00EE5CC9"/>
    <w:rsid w:val="00EE5F1F"/>
    <w:rsid w:val="00EE5F64"/>
    <w:rsid w:val="00EE6048"/>
    <w:rsid w:val="00EE64D4"/>
    <w:rsid w:val="00EE67BE"/>
    <w:rsid w:val="00EE7812"/>
    <w:rsid w:val="00EE79D6"/>
    <w:rsid w:val="00EF0174"/>
    <w:rsid w:val="00EF1003"/>
    <w:rsid w:val="00EF111F"/>
    <w:rsid w:val="00EF1173"/>
    <w:rsid w:val="00EF1ECC"/>
    <w:rsid w:val="00EF2027"/>
    <w:rsid w:val="00EF2303"/>
    <w:rsid w:val="00EF247E"/>
    <w:rsid w:val="00EF29BA"/>
    <w:rsid w:val="00EF2E3A"/>
    <w:rsid w:val="00EF30B4"/>
    <w:rsid w:val="00EF348A"/>
    <w:rsid w:val="00EF3C47"/>
    <w:rsid w:val="00EF3D26"/>
    <w:rsid w:val="00EF3DD6"/>
    <w:rsid w:val="00EF3EA9"/>
    <w:rsid w:val="00EF44A3"/>
    <w:rsid w:val="00EF4F7E"/>
    <w:rsid w:val="00EF53CB"/>
    <w:rsid w:val="00EF5933"/>
    <w:rsid w:val="00EF5BFF"/>
    <w:rsid w:val="00EF5D90"/>
    <w:rsid w:val="00EF5FD9"/>
    <w:rsid w:val="00EF6139"/>
    <w:rsid w:val="00EF639C"/>
    <w:rsid w:val="00EF641B"/>
    <w:rsid w:val="00EF6497"/>
    <w:rsid w:val="00EF68AC"/>
    <w:rsid w:val="00EF6F4F"/>
    <w:rsid w:val="00EF71C8"/>
    <w:rsid w:val="00EF720D"/>
    <w:rsid w:val="00EF7418"/>
    <w:rsid w:val="00EF74B4"/>
    <w:rsid w:val="00EF789D"/>
    <w:rsid w:val="00EF7B20"/>
    <w:rsid w:val="00EF7CAC"/>
    <w:rsid w:val="00EF7F08"/>
    <w:rsid w:val="00EF7F44"/>
    <w:rsid w:val="00F0014A"/>
    <w:rsid w:val="00F00D44"/>
    <w:rsid w:val="00F00EE7"/>
    <w:rsid w:val="00F0130D"/>
    <w:rsid w:val="00F014E2"/>
    <w:rsid w:val="00F01838"/>
    <w:rsid w:val="00F01876"/>
    <w:rsid w:val="00F024EE"/>
    <w:rsid w:val="00F026FE"/>
    <w:rsid w:val="00F02794"/>
    <w:rsid w:val="00F0295E"/>
    <w:rsid w:val="00F02C69"/>
    <w:rsid w:val="00F02D4E"/>
    <w:rsid w:val="00F02E55"/>
    <w:rsid w:val="00F0306D"/>
    <w:rsid w:val="00F03230"/>
    <w:rsid w:val="00F0330B"/>
    <w:rsid w:val="00F036C4"/>
    <w:rsid w:val="00F0392E"/>
    <w:rsid w:val="00F04215"/>
    <w:rsid w:val="00F0455D"/>
    <w:rsid w:val="00F04609"/>
    <w:rsid w:val="00F04BD3"/>
    <w:rsid w:val="00F055CB"/>
    <w:rsid w:val="00F056BF"/>
    <w:rsid w:val="00F05EFE"/>
    <w:rsid w:val="00F06109"/>
    <w:rsid w:val="00F062BF"/>
    <w:rsid w:val="00F062D9"/>
    <w:rsid w:val="00F06665"/>
    <w:rsid w:val="00F0689E"/>
    <w:rsid w:val="00F07165"/>
    <w:rsid w:val="00F07202"/>
    <w:rsid w:val="00F072AB"/>
    <w:rsid w:val="00F07BD8"/>
    <w:rsid w:val="00F1026D"/>
    <w:rsid w:val="00F10651"/>
    <w:rsid w:val="00F107F0"/>
    <w:rsid w:val="00F10A77"/>
    <w:rsid w:val="00F10B4A"/>
    <w:rsid w:val="00F10E01"/>
    <w:rsid w:val="00F10EA3"/>
    <w:rsid w:val="00F11517"/>
    <w:rsid w:val="00F11544"/>
    <w:rsid w:val="00F11810"/>
    <w:rsid w:val="00F11F10"/>
    <w:rsid w:val="00F126C6"/>
    <w:rsid w:val="00F12A4D"/>
    <w:rsid w:val="00F12A8B"/>
    <w:rsid w:val="00F12BA7"/>
    <w:rsid w:val="00F135D1"/>
    <w:rsid w:val="00F13784"/>
    <w:rsid w:val="00F13CBB"/>
    <w:rsid w:val="00F13DE9"/>
    <w:rsid w:val="00F13E0B"/>
    <w:rsid w:val="00F14A43"/>
    <w:rsid w:val="00F14DB5"/>
    <w:rsid w:val="00F15254"/>
    <w:rsid w:val="00F1529F"/>
    <w:rsid w:val="00F152F2"/>
    <w:rsid w:val="00F15466"/>
    <w:rsid w:val="00F155CE"/>
    <w:rsid w:val="00F15F83"/>
    <w:rsid w:val="00F15FC3"/>
    <w:rsid w:val="00F1629D"/>
    <w:rsid w:val="00F16379"/>
    <w:rsid w:val="00F17009"/>
    <w:rsid w:val="00F175B3"/>
    <w:rsid w:val="00F1761B"/>
    <w:rsid w:val="00F17773"/>
    <w:rsid w:val="00F17D0A"/>
    <w:rsid w:val="00F17D89"/>
    <w:rsid w:val="00F205B1"/>
    <w:rsid w:val="00F20B85"/>
    <w:rsid w:val="00F21A1E"/>
    <w:rsid w:val="00F21AC7"/>
    <w:rsid w:val="00F21C09"/>
    <w:rsid w:val="00F220B8"/>
    <w:rsid w:val="00F221AA"/>
    <w:rsid w:val="00F22209"/>
    <w:rsid w:val="00F22F75"/>
    <w:rsid w:val="00F23060"/>
    <w:rsid w:val="00F23982"/>
    <w:rsid w:val="00F239E7"/>
    <w:rsid w:val="00F23B5F"/>
    <w:rsid w:val="00F24F7D"/>
    <w:rsid w:val="00F252C2"/>
    <w:rsid w:val="00F2531D"/>
    <w:rsid w:val="00F255EC"/>
    <w:rsid w:val="00F25602"/>
    <w:rsid w:val="00F2564F"/>
    <w:rsid w:val="00F257BD"/>
    <w:rsid w:val="00F2590B"/>
    <w:rsid w:val="00F259F6"/>
    <w:rsid w:val="00F25BAC"/>
    <w:rsid w:val="00F25D85"/>
    <w:rsid w:val="00F25FCD"/>
    <w:rsid w:val="00F26170"/>
    <w:rsid w:val="00F26209"/>
    <w:rsid w:val="00F26876"/>
    <w:rsid w:val="00F26CD9"/>
    <w:rsid w:val="00F26D99"/>
    <w:rsid w:val="00F274CA"/>
    <w:rsid w:val="00F279B8"/>
    <w:rsid w:val="00F27C4B"/>
    <w:rsid w:val="00F27E36"/>
    <w:rsid w:val="00F27F37"/>
    <w:rsid w:val="00F27FA6"/>
    <w:rsid w:val="00F301F7"/>
    <w:rsid w:val="00F30428"/>
    <w:rsid w:val="00F30501"/>
    <w:rsid w:val="00F3057D"/>
    <w:rsid w:val="00F30630"/>
    <w:rsid w:val="00F30CBA"/>
    <w:rsid w:val="00F31188"/>
    <w:rsid w:val="00F312C1"/>
    <w:rsid w:val="00F31416"/>
    <w:rsid w:val="00F3144B"/>
    <w:rsid w:val="00F31FC9"/>
    <w:rsid w:val="00F32055"/>
    <w:rsid w:val="00F321EE"/>
    <w:rsid w:val="00F32AC3"/>
    <w:rsid w:val="00F332EA"/>
    <w:rsid w:val="00F33B55"/>
    <w:rsid w:val="00F33F25"/>
    <w:rsid w:val="00F3479D"/>
    <w:rsid w:val="00F34C24"/>
    <w:rsid w:val="00F34FE6"/>
    <w:rsid w:val="00F357E4"/>
    <w:rsid w:val="00F3581B"/>
    <w:rsid w:val="00F3612F"/>
    <w:rsid w:val="00F37423"/>
    <w:rsid w:val="00F37442"/>
    <w:rsid w:val="00F40076"/>
    <w:rsid w:val="00F406F7"/>
    <w:rsid w:val="00F40D36"/>
    <w:rsid w:val="00F40F0E"/>
    <w:rsid w:val="00F415C5"/>
    <w:rsid w:val="00F41875"/>
    <w:rsid w:val="00F42566"/>
    <w:rsid w:val="00F425F8"/>
    <w:rsid w:val="00F42AE0"/>
    <w:rsid w:val="00F42E94"/>
    <w:rsid w:val="00F4302A"/>
    <w:rsid w:val="00F43DEC"/>
    <w:rsid w:val="00F43E57"/>
    <w:rsid w:val="00F43F13"/>
    <w:rsid w:val="00F44462"/>
    <w:rsid w:val="00F45113"/>
    <w:rsid w:val="00F45153"/>
    <w:rsid w:val="00F453BB"/>
    <w:rsid w:val="00F455BE"/>
    <w:rsid w:val="00F468F8"/>
    <w:rsid w:val="00F47441"/>
    <w:rsid w:val="00F474F0"/>
    <w:rsid w:val="00F47DAD"/>
    <w:rsid w:val="00F5007A"/>
    <w:rsid w:val="00F507EE"/>
    <w:rsid w:val="00F50BC4"/>
    <w:rsid w:val="00F50C01"/>
    <w:rsid w:val="00F50EB8"/>
    <w:rsid w:val="00F510CF"/>
    <w:rsid w:val="00F518B7"/>
    <w:rsid w:val="00F5217A"/>
    <w:rsid w:val="00F5280A"/>
    <w:rsid w:val="00F52A2E"/>
    <w:rsid w:val="00F52F97"/>
    <w:rsid w:val="00F5312F"/>
    <w:rsid w:val="00F533CD"/>
    <w:rsid w:val="00F53683"/>
    <w:rsid w:val="00F536F8"/>
    <w:rsid w:val="00F53DD9"/>
    <w:rsid w:val="00F53F82"/>
    <w:rsid w:val="00F54586"/>
    <w:rsid w:val="00F5480E"/>
    <w:rsid w:val="00F548FA"/>
    <w:rsid w:val="00F54AB2"/>
    <w:rsid w:val="00F554D8"/>
    <w:rsid w:val="00F55B39"/>
    <w:rsid w:val="00F55E1F"/>
    <w:rsid w:val="00F5605B"/>
    <w:rsid w:val="00F56491"/>
    <w:rsid w:val="00F5669C"/>
    <w:rsid w:val="00F5682C"/>
    <w:rsid w:val="00F568AF"/>
    <w:rsid w:val="00F56A24"/>
    <w:rsid w:val="00F57152"/>
    <w:rsid w:val="00F57661"/>
    <w:rsid w:val="00F57719"/>
    <w:rsid w:val="00F57829"/>
    <w:rsid w:val="00F57D0F"/>
    <w:rsid w:val="00F60647"/>
    <w:rsid w:val="00F608BB"/>
    <w:rsid w:val="00F6098D"/>
    <w:rsid w:val="00F60CF7"/>
    <w:rsid w:val="00F60DBC"/>
    <w:rsid w:val="00F61506"/>
    <w:rsid w:val="00F621A8"/>
    <w:rsid w:val="00F62274"/>
    <w:rsid w:val="00F622B6"/>
    <w:rsid w:val="00F62451"/>
    <w:rsid w:val="00F62700"/>
    <w:rsid w:val="00F62CD6"/>
    <w:rsid w:val="00F6380A"/>
    <w:rsid w:val="00F63F33"/>
    <w:rsid w:val="00F63FCB"/>
    <w:rsid w:val="00F64881"/>
    <w:rsid w:val="00F652AB"/>
    <w:rsid w:val="00F654EB"/>
    <w:rsid w:val="00F65829"/>
    <w:rsid w:val="00F65847"/>
    <w:rsid w:val="00F65E52"/>
    <w:rsid w:val="00F65F51"/>
    <w:rsid w:val="00F66750"/>
    <w:rsid w:val="00F667C7"/>
    <w:rsid w:val="00F66C75"/>
    <w:rsid w:val="00F6723F"/>
    <w:rsid w:val="00F6743B"/>
    <w:rsid w:val="00F67463"/>
    <w:rsid w:val="00F675E1"/>
    <w:rsid w:val="00F67C21"/>
    <w:rsid w:val="00F67D27"/>
    <w:rsid w:val="00F67F96"/>
    <w:rsid w:val="00F67FB2"/>
    <w:rsid w:val="00F705A9"/>
    <w:rsid w:val="00F70673"/>
    <w:rsid w:val="00F70719"/>
    <w:rsid w:val="00F70743"/>
    <w:rsid w:val="00F7098D"/>
    <w:rsid w:val="00F70B9F"/>
    <w:rsid w:val="00F70D27"/>
    <w:rsid w:val="00F70F7E"/>
    <w:rsid w:val="00F71353"/>
    <w:rsid w:val="00F71372"/>
    <w:rsid w:val="00F715D4"/>
    <w:rsid w:val="00F7167F"/>
    <w:rsid w:val="00F716B9"/>
    <w:rsid w:val="00F71AF4"/>
    <w:rsid w:val="00F71B89"/>
    <w:rsid w:val="00F723AC"/>
    <w:rsid w:val="00F727EC"/>
    <w:rsid w:val="00F72889"/>
    <w:rsid w:val="00F739C6"/>
    <w:rsid w:val="00F73AE6"/>
    <w:rsid w:val="00F74480"/>
    <w:rsid w:val="00F74A2E"/>
    <w:rsid w:val="00F74A36"/>
    <w:rsid w:val="00F74E36"/>
    <w:rsid w:val="00F75285"/>
    <w:rsid w:val="00F7596B"/>
    <w:rsid w:val="00F762A0"/>
    <w:rsid w:val="00F76471"/>
    <w:rsid w:val="00F76482"/>
    <w:rsid w:val="00F76575"/>
    <w:rsid w:val="00F76605"/>
    <w:rsid w:val="00F77109"/>
    <w:rsid w:val="00F771B7"/>
    <w:rsid w:val="00F77739"/>
    <w:rsid w:val="00F77B18"/>
    <w:rsid w:val="00F77CE5"/>
    <w:rsid w:val="00F77CF7"/>
    <w:rsid w:val="00F77FB7"/>
    <w:rsid w:val="00F80AC7"/>
    <w:rsid w:val="00F80C1B"/>
    <w:rsid w:val="00F81593"/>
    <w:rsid w:val="00F819DB"/>
    <w:rsid w:val="00F81A4C"/>
    <w:rsid w:val="00F81AA7"/>
    <w:rsid w:val="00F81EA9"/>
    <w:rsid w:val="00F82013"/>
    <w:rsid w:val="00F821F8"/>
    <w:rsid w:val="00F8251B"/>
    <w:rsid w:val="00F8275A"/>
    <w:rsid w:val="00F829F3"/>
    <w:rsid w:val="00F82B67"/>
    <w:rsid w:val="00F82BC0"/>
    <w:rsid w:val="00F83288"/>
    <w:rsid w:val="00F83648"/>
    <w:rsid w:val="00F83F0D"/>
    <w:rsid w:val="00F83FD6"/>
    <w:rsid w:val="00F84F06"/>
    <w:rsid w:val="00F8518E"/>
    <w:rsid w:val="00F853A9"/>
    <w:rsid w:val="00F856FB"/>
    <w:rsid w:val="00F85B07"/>
    <w:rsid w:val="00F85B8B"/>
    <w:rsid w:val="00F86024"/>
    <w:rsid w:val="00F861E2"/>
    <w:rsid w:val="00F86574"/>
    <w:rsid w:val="00F867BC"/>
    <w:rsid w:val="00F86EBE"/>
    <w:rsid w:val="00F8735E"/>
    <w:rsid w:val="00F877A1"/>
    <w:rsid w:val="00F87908"/>
    <w:rsid w:val="00F8790F"/>
    <w:rsid w:val="00F87930"/>
    <w:rsid w:val="00F87A6D"/>
    <w:rsid w:val="00F87BEC"/>
    <w:rsid w:val="00F87C4E"/>
    <w:rsid w:val="00F90236"/>
    <w:rsid w:val="00F905B3"/>
    <w:rsid w:val="00F90611"/>
    <w:rsid w:val="00F906A0"/>
    <w:rsid w:val="00F90BE3"/>
    <w:rsid w:val="00F910F1"/>
    <w:rsid w:val="00F912A8"/>
    <w:rsid w:val="00F91646"/>
    <w:rsid w:val="00F917C0"/>
    <w:rsid w:val="00F91859"/>
    <w:rsid w:val="00F92353"/>
    <w:rsid w:val="00F92384"/>
    <w:rsid w:val="00F92B93"/>
    <w:rsid w:val="00F9338B"/>
    <w:rsid w:val="00F936B7"/>
    <w:rsid w:val="00F936F3"/>
    <w:rsid w:val="00F9384C"/>
    <w:rsid w:val="00F93C0E"/>
    <w:rsid w:val="00F9413A"/>
    <w:rsid w:val="00F946A5"/>
    <w:rsid w:val="00F947BE"/>
    <w:rsid w:val="00F948F5"/>
    <w:rsid w:val="00F951BF"/>
    <w:rsid w:val="00F95399"/>
    <w:rsid w:val="00F963DF"/>
    <w:rsid w:val="00F96760"/>
    <w:rsid w:val="00F96790"/>
    <w:rsid w:val="00F971F5"/>
    <w:rsid w:val="00F97236"/>
    <w:rsid w:val="00F97A55"/>
    <w:rsid w:val="00F97AEA"/>
    <w:rsid w:val="00F97E6F"/>
    <w:rsid w:val="00FA04A4"/>
    <w:rsid w:val="00FA04E9"/>
    <w:rsid w:val="00FA05B4"/>
    <w:rsid w:val="00FA0611"/>
    <w:rsid w:val="00FA0F26"/>
    <w:rsid w:val="00FA19E7"/>
    <w:rsid w:val="00FA1BD6"/>
    <w:rsid w:val="00FA1D46"/>
    <w:rsid w:val="00FA211C"/>
    <w:rsid w:val="00FA2156"/>
    <w:rsid w:val="00FA25B0"/>
    <w:rsid w:val="00FA2693"/>
    <w:rsid w:val="00FA28D6"/>
    <w:rsid w:val="00FA2A6D"/>
    <w:rsid w:val="00FA2AFC"/>
    <w:rsid w:val="00FA2B41"/>
    <w:rsid w:val="00FA2BF7"/>
    <w:rsid w:val="00FA2D62"/>
    <w:rsid w:val="00FA32D1"/>
    <w:rsid w:val="00FA366E"/>
    <w:rsid w:val="00FA3B1F"/>
    <w:rsid w:val="00FA4085"/>
    <w:rsid w:val="00FA41A0"/>
    <w:rsid w:val="00FA42FC"/>
    <w:rsid w:val="00FA44F0"/>
    <w:rsid w:val="00FA45C0"/>
    <w:rsid w:val="00FA4960"/>
    <w:rsid w:val="00FA53CE"/>
    <w:rsid w:val="00FA5BC8"/>
    <w:rsid w:val="00FA5DA6"/>
    <w:rsid w:val="00FA5F87"/>
    <w:rsid w:val="00FA66A8"/>
    <w:rsid w:val="00FA6A4C"/>
    <w:rsid w:val="00FA6CB1"/>
    <w:rsid w:val="00FA6F06"/>
    <w:rsid w:val="00FA6F91"/>
    <w:rsid w:val="00FA6FD1"/>
    <w:rsid w:val="00FA768D"/>
    <w:rsid w:val="00FA7BFF"/>
    <w:rsid w:val="00FA7D3E"/>
    <w:rsid w:val="00FB082B"/>
    <w:rsid w:val="00FB0BA8"/>
    <w:rsid w:val="00FB0D22"/>
    <w:rsid w:val="00FB1285"/>
    <w:rsid w:val="00FB1456"/>
    <w:rsid w:val="00FB14C5"/>
    <w:rsid w:val="00FB16FB"/>
    <w:rsid w:val="00FB1832"/>
    <w:rsid w:val="00FB1DB6"/>
    <w:rsid w:val="00FB1E6A"/>
    <w:rsid w:val="00FB1EF5"/>
    <w:rsid w:val="00FB2019"/>
    <w:rsid w:val="00FB2418"/>
    <w:rsid w:val="00FB28E6"/>
    <w:rsid w:val="00FB2E98"/>
    <w:rsid w:val="00FB35D4"/>
    <w:rsid w:val="00FB371A"/>
    <w:rsid w:val="00FB379D"/>
    <w:rsid w:val="00FB38DE"/>
    <w:rsid w:val="00FB39C8"/>
    <w:rsid w:val="00FB3A44"/>
    <w:rsid w:val="00FB3A7C"/>
    <w:rsid w:val="00FB3AD9"/>
    <w:rsid w:val="00FB3B33"/>
    <w:rsid w:val="00FB40C7"/>
    <w:rsid w:val="00FB4460"/>
    <w:rsid w:val="00FB46CB"/>
    <w:rsid w:val="00FB4A2F"/>
    <w:rsid w:val="00FB544A"/>
    <w:rsid w:val="00FB5776"/>
    <w:rsid w:val="00FB5F54"/>
    <w:rsid w:val="00FB68AA"/>
    <w:rsid w:val="00FB6B5D"/>
    <w:rsid w:val="00FB7194"/>
    <w:rsid w:val="00FB7233"/>
    <w:rsid w:val="00FB772F"/>
    <w:rsid w:val="00FB782D"/>
    <w:rsid w:val="00FB7A08"/>
    <w:rsid w:val="00FB7E6C"/>
    <w:rsid w:val="00FC016E"/>
    <w:rsid w:val="00FC049B"/>
    <w:rsid w:val="00FC05A5"/>
    <w:rsid w:val="00FC0BDA"/>
    <w:rsid w:val="00FC0C58"/>
    <w:rsid w:val="00FC0DCC"/>
    <w:rsid w:val="00FC0EAB"/>
    <w:rsid w:val="00FC0FAA"/>
    <w:rsid w:val="00FC12B8"/>
    <w:rsid w:val="00FC168B"/>
    <w:rsid w:val="00FC1B60"/>
    <w:rsid w:val="00FC1F94"/>
    <w:rsid w:val="00FC26DD"/>
    <w:rsid w:val="00FC2882"/>
    <w:rsid w:val="00FC28B8"/>
    <w:rsid w:val="00FC3D21"/>
    <w:rsid w:val="00FC4172"/>
    <w:rsid w:val="00FC46D6"/>
    <w:rsid w:val="00FC46F3"/>
    <w:rsid w:val="00FC471C"/>
    <w:rsid w:val="00FC498F"/>
    <w:rsid w:val="00FC4A4E"/>
    <w:rsid w:val="00FC53FE"/>
    <w:rsid w:val="00FC54DF"/>
    <w:rsid w:val="00FC5690"/>
    <w:rsid w:val="00FC594F"/>
    <w:rsid w:val="00FC5B07"/>
    <w:rsid w:val="00FC6195"/>
    <w:rsid w:val="00FC6340"/>
    <w:rsid w:val="00FC6675"/>
    <w:rsid w:val="00FC72CE"/>
    <w:rsid w:val="00FC73C2"/>
    <w:rsid w:val="00FC73D7"/>
    <w:rsid w:val="00FC7628"/>
    <w:rsid w:val="00FC7AD1"/>
    <w:rsid w:val="00FC7E65"/>
    <w:rsid w:val="00FC7E66"/>
    <w:rsid w:val="00FC7EB8"/>
    <w:rsid w:val="00FD006B"/>
    <w:rsid w:val="00FD0101"/>
    <w:rsid w:val="00FD055C"/>
    <w:rsid w:val="00FD0B2B"/>
    <w:rsid w:val="00FD119F"/>
    <w:rsid w:val="00FD17CC"/>
    <w:rsid w:val="00FD19DE"/>
    <w:rsid w:val="00FD2662"/>
    <w:rsid w:val="00FD2701"/>
    <w:rsid w:val="00FD2732"/>
    <w:rsid w:val="00FD2ED8"/>
    <w:rsid w:val="00FD3017"/>
    <w:rsid w:val="00FD31B1"/>
    <w:rsid w:val="00FD3373"/>
    <w:rsid w:val="00FD3419"/>
    <w:rsid w:val="00FD34E2"/>
    <w:rsid w:val="00FD3A07"/>
    <w:rsid w:val="00FD3BDD"/>
    <w:rsid w:val="00FD410B"/>
    <w:rsid w:val="00FD49B6"/>
    <w:rsid w:val="00FD4F9D"/>
    <w:rsid w:val="00FD5177"/>
    <w:rsid w:val="00FD5219"/>
    <w:rsid w:val="00FD586D"/>
    <w:rsid w:val="00FD59F5"/>
    <w:rsid w:val="00FD5E5D"/>
    <w:rsid w:val="00FD5EE5"/>
    <w:rsid w:val="00FD631E"/>
    <w:rsid w:val="00FD645D"/>
    <w:rsid w:val="00FD6CAC"/>
    <w:rsid w:val="00FD70FC"/>
    <w:rsid w:val="00FD7326"/>
    <w:rsid w:val="00FD76B8"/>
    <w:rsid w:val="00FD77DB"/>
    <w:rsid w:val="00FD7D24"/>
    <w:rsid w:val="00FE01FB"/>
    <w:rsid w:val="00FE0522"/>
    <w:rsid w:val="00FE073A"/>
    <w:rsid w:val="00FE0940"/>
    <w:rsid w:val="00FE0CB5"/>
    <w:rsid w:val="00FE0E21"/>
    <w:rsid w:val="00FE0EC0"/>
    <w:rsid w:val="00FE1BE7"/>
    <w:rsid w:val="00FE23A0"/>
    <w:rsid w:val="00FE24A4"/>
    <w:rsid w:val="00FE29E0"/>
    <w:rsid w:val="00FE2A91"/>
    <w:rsid w:val="00FE2D1C"/>
    <w:rsid w:val="00FE3370"/>
    <w:rsid w:val="00FE33E5"/>
    <w:rsid w:val="00FE43D3"/>
    <w:rsid w:val="00FE4B1A"/>
    <w:rsid w:val="00FE4EA2"/>
    <w:rsid w:val="00FE4EEE"/>
    <w:rsid w:val="00FE50AE"/>
    <w:rsid w:val="00FE5482"/>
    <w:rsid w:val="00FE559F"/>
    <w:rsid w:val="00FE56F8"/>
    <w:rsid w:val="00FE59F7"/>
    <w:rsid w:val="00FE6514"/>
    <w:rsid w:val="00FE65AB"/>
    <w:rsid w:val="00FE65FE"/>
    <w:rsid w:val="00FE683F"/>
    <w:rsid w:val="00FE6882"/>
    <w:rsid w:val="00FE6941"/>
    <w:rsid w:val="00FE71C8"/>
    <w:rsid w:val="00FE7290"/>
    <w:rsid w:val="00FE7704"/>
    <w:rsid w:val="00FE7D41"/>
    <w:rsid w:val="00FE7D46"/>
    <w:rsid w:val="00FF0634"/>
    <w:rsid w:val="00FF067C"/>
    <w:rsid w:val="00FF06FE"/>
    <w:rsid w:val="00FF09D8"/>
    <w:rsid w:val="00FF0B13"/>
    <w:rsid w:val="00FF1053"/>
    <w:rsid w:val="00FF14F1"/>
    <w:rsid w:val="00FF161B"/>
    <w:rsid w:val="00FF1866"/>
    <w:rsid w:val="00FF18E1"/>
    <w:rsid w:val="00FF19E0"/>
    <w:rsid w:val="00FF1D14"/>
    <w:rsid w:val="00FF1D9C"/>
    <w:rsid w:val="00FF1ECE"/>
    <w:rsid w:val="00FF2046"/>
    <w:rsid w:val="00FF206F"/>
    <w:rsid w:val="00FF268F"/>
    <w:rsid w:val="00FF26B6"/>
    <w:rsid w:val="00FF2870"/>
    <w:rsid w:val="00FF2BAC"/>
    <w:rsid w:val="00FF310A"/>
    <w:rsid w:val="00FF321E"/>
    <w:rsid w:val="00FF3DF5"/>
    <w:rsid w:val="00FF3F8B"/>
    <w:rsid w:val="00FF3FC9"/>
    <w:rsid w:val="00FF48B5"/>
    <w:rsid w:val="00FF4C51"/>
    <w:rsid w:val="00FF50C8"/>
    <w:rsid w:val="00FF5490"/>
    <w:rsid w:val="00FF5501"/>
    <w:rsid w:val="00FF5594"/>
    <w:rsid w:val="00FF5922"/>
    <w:rsid w:val="00FF5BE7"/>
    <w:rsid w:val="00FF5C86"/>
    <w:rsid w:val="00FF5D68"/>
    <w:rsid w:val="00FF5E33"/>
    <w:rsid w:val="00FF5F52"/>
    <w:rsid w:val="00FF5F86"/>
    <w:rsid w:val="00FF6B8D"/>
    <w:rsid w:val="00FF70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CF74D7F0-4A7C-4462-B969-C141BA00C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C17BDA"/>
    <w:rPr>
      <w:sz w:val="24"/>
      <w:szCs w:val="24"/>
    </w:rPr>
  </w:style>
  <w:style w:type="paragraph" w:styleId="Heading1">
    <w:name w:val="heading 1"/>
    <w:aliases w:val="h1"/>
    <w:basedOn w:val="Normal"/>
    <w:next w:val="Normal"/>
    <w:link w:val="Heading1Char"/>
    <w:qFormat/>
    <w:rsid w:val="0094668E"/>
    <w:pPr>
      <w:keepNext/>
      <w:tabs>
        <w:tab w:val="left" w:pos="-720"/>
      </w:tabs>
      <w:suppressAutoHyphens/>
      <w:jc w:val="both"/>
      <w:outlineLvl w:val="0"/>
    </w:pPr>
    <w:rPr>
      <w:spacing w:val="-3"/>
      <w:sz w:val="22"/>
      <w:szCs w:val="20"/>
      <w:u w:val="single"/>
      <w:lang w:val="en-GB"/>
    </w:rPr>
  </w:style>
  <w:style w:type="paragraph" w:styleId="Heading2">
    <w:name w:val="heading 2"/>
    <w:basedOn w:val="Normal"/>
    <w:next w:val="Normal"/>
    <w:link w:val="Heading2Char"/>
    <w:qFormat/>
    <w:rsid w:val="0094668E"/>
    <w:pPr>
      <w:keepNext/>
      <w:spacing w:line="280" w:lineRule="atLeast"/>
      <w:jc w:val="center"/>
      <w:outlineLvl w:val="1"/>
    </w:pPr>
    <w:rPr>
      <w:rFonts w:ascii="Arial" w:hAnsi="Arial" w:cs="Arial"/>
      <w:b/>
      <w:bCs/>
    </w:rPr>
  </w:style>
  <w:style w:type="paragraph" w:styleId="Heading3">
    <w:name w:val="heading 3"/>
    <w:basedOn w:val="Normal"/>
    <w:next w:val="Normal"/>
    <w:link w:val="Heading3Char"/>
    <w:qFormat/>
    <w:rsid w:val="0094668E"/>
    <w:pPr>
      <w:keepNext/>
      <w:outlineLvl w:val="2"/>
    </w:pPr>
    <w:rPr>
      <w:rFonts w:ascii="Arial" w:hAnsi="Arial" w:cs="Arial"/>
      <w:b/>
      <w:bCs/>
      <w:lang w:val="pl-PL"/>
    </w:rPr>
  </w:style>
  <w:style w:type="paragraph" w:styleId="Heading4">
    <w:name w:val="heading 4"/>
    <w:basedOn w:val="Normal"/>
    <w:next w:val="Normal"/>
    <w:qFormat/>
    <w:rsid w:val="0094668E"/>
    <w:pPr>
      <w:keepNext/>
      <w:jc w:val="right"/>
      <w:outlineLvl w:val="3"/>
    </w:pPr>
    <w:rPr>
      <w:rFonts w:ascii="Arial" w:hAnsi="Arial" w:cs="Arial"/>
      <w:sz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link w:val="Heading1"/>
    <w:rsid w:val="00FB3B33"/>
    <w:rPr>
      <w:spacing w:val="-3"/>
      <w:sz w:val="22"/>
      <w:u w:val="single"/>
      <w:lang w:val="en-GB"/>
    </w:rPr>
  </w:style>
  <w:style w:type="character" w:customStyle="1" w:styleId="Heading2Char">
    <w:name w:val="Heading 2 Char"/>
    <w:link w:val="Heading2"/>
    <w:rsid w:val="00FB3B33"/>
    <w:rPr>
      <w:rFonts w:ascii="Arial" w:hAnsi="Arial" w:cs="Arial"/>
      <w:b/>
      <w:bCs/>
      <w:sz w:val="24"/>
      <w:szCs w:val="24"/>
    </w:rPr>
  </w:style>
  <w:style w:type="character" w:customStyle="1" w:styleId="Heading3Char">
    <w:name w:val="Heading 3 Char"/>
    <w:basedOn w:val="DefaultParagraphFont"/>
    <w:link w:val="Heading3"/>
    <w:rsid w:val="00FB3B33"/>
    <w:rPr>
      <w:rFonts w:ascii="Arial" w:hAnsi="Arial" w:cs="Arial"/>
      <w:b/>
      <w:bCs/>
      <w:sz w:val="24"/>
      <w:szCs w:val="24"/>
      <w:lang w:val="pl-PL"/>
    </w:rPr>
  </w:style>
  <w:style w:type="paragraph" w:customStyle="1" w:styleId="T1">
    <w:name w:val="T1"/>
    <w:basedOn w:val="Heading1"/>
    <w:link w:val="T1Char"/>
    <w:rsid w:val="0094668E"/>
    <w:pPr>
      <w:tabs>
        <w:tab w:val="clear" w:pos="-720"/>
      </w:tabs>
      <w:suppressAutoHyphens w:val="0"/>
      <w:spacing w:before="240" w:after="120" w:line="360" w:lineRule="auto"/>
      <w:outlineLvl w:val="9"/>
    </w:pPr>
    <w:rPr>
      <w:rFonts w:ascii="Arial" w:hAnsi="Arial"/>
      <w:b/>
      <w:bCs/>
      <w:spacing w:val="0"/>
      <w:sz w:val="19"/>
      <w:u w:val="none"/>
      <w:lang w:val="pl-PL"/>
    </w:rPr>
  </w:style>
  <w:style w:type="character" w:customStyle="1" w:styleId="T1Char">
    <w:name w:val="T1 Char"/>
    <w:link w:val="T1"/>
    <w:rsid w:val="002E1859"/>
    <w:rPr>
      <w:rFonts w:ascii="Arial" w:hAnsi="Arial"/>
      <w:b/>
      <w:bCs/>
      <w:sz w:val="19"/>
      <w:lang w:val="pl-PL" w:eastAsia="en-US" w:bidi="ar-SA"/>
    </w:rPr>
  </w:style>
  <w:style w:type="paragraph" w:customStyle="1" w:styleId="TT">
    <w:name w:val="TT"/>
    <w:basedOn w:val="Normal"/>
    <w:rsid w:val="0094668E"/>
    <w:pPr>
      <w:tabs>
        <w:tab w:val="right" w:pos="1202"/>
      </w:tabs>
      <w:spacing w:line="301" w:lineRule="exact"/>
      <w:outlineLvl w:val="0"/>
    </w:pPr>
    <w:rPr>
      <w:rFonts w:ascii="Arial" w:hAnsi="Arial"/>
      <w:sz w:val="19"/>
      <w:szCs w:val="20"/>
      <w:lang w:val="en-GB"/>
    </w:rPr>
  </w:style>
  <w:style w:type="paragraph" w:customStyle="1" w:styleId="PH">
    <w:name w:val="PH"/>
    <w:basedOn w:val="Header"/>
    <w:rsid w:val="0094668E"/>
    <w:pPr>
      <w:tabs>
        <w:tab w:val="clear" w:pos="4153"/>
        <w:tab w:val="clear" w:pos="8306"/>
      </w:tabs>
      <w:spacing w:line="301" w:lineRule="atLeast"/>
    </w:pPr>
    <w:rPr>
      <w:rFonts w:ascii="Arial" w:hAnsi="Arial"/>
      <w:i w:val="0"/>
      <w:lang w:val="en-GB"/>
    </w:rPr>
  </w:style>
  <w:style w:type="paragraph" w:styleId="Header">
    <w:name w:val="header"/>
    <w:basedOn w:val="Normal"/>
    <w:link w:val="HeaderChar"/>
    <w:rsid w:val="0094668E"/>
    <w:pPr>
      <w:tabs>
        <w:tab w:val="center" w:pos="4153"/>
        <w:tab w:val="right" w:pos="8306"/>
      </w:tabs>
    </w:pPr>
    <w:rPr>
      <w:rFonts w:ascii="TmsRmn 12pt Italic" w:hAnsi="TmsRmn 12pt Italic"/>
      <w:i/>
      <w:szCs w:val="20"/>
    </w:rPr>
  </w:style>
  <w:style w:type="character" w:customStyle="1" w:styleId="HeaderChar">
    <w:name w:val="Header Char"/>
    <w:basedOn w:val="DefaultParagraphFont"/>
    <w:link w:val="Header"/>
    <w:rsid w:val="0074270D"/>
    <w:rPr>
      <w:rFonts w:ascii="TmsRmn 12pt Italic" w:hAnsi="TmsRmn 12pt Italic"/>
      <w:i/>
      <w:sz w:val="24"/>
    </w:rPr>
  </w:style>
  <w:style w:type="paragraph" w:customStyle="1" w:styleId="Thin">
    <w:name w:val="Thin"/>
    <w:basedOn w:val="Normal"/>
    <w:next w:val="Normal"/>
    <w:rsid w:val="0094668E"/>
    <w:pPr>
      <w:keepNext/>
      <w:keepLines/>
      <w:tabs>
        <w:tab w:val="decimal" w:pos="1202"/>
      </w:tabs>
      <w:spacing w:line="100" w:lineRule="exact"/>
    </w:pPr>
    <w:rPr>
      <w:rFonts w:ascii="Arial" w:hAnsi="Arial"/>
      <w:b/>
      <w:position w:val="4"/>
      <w:sz w:val="16"/>
      <w:szCs w:val="20"/>
    </w:rPr>
  </w:style>
  <w:style w:type="paragraph" w:customStyle="1" w:styleId="Tot">
    <w:name w:val="Tot"/>
    <w:basedOn w:val="TT"/>
    <w:rsid w:val="0094668E"/>
    <w:pPr>
      <w:spacing w:line="340" w:lineRule="exact"/>
    </w:pPr>
  </w:style>
  <w:style w:type="paragraph" w:customStyle="1" w:styleId="Thick">
    <w:name w:val="Thick"/>
    <w:basedOn w:val="Thin"/>
    <w:next w:val="Normal"/>
    <w:rsid w:val="0094668E"/>
    <w:rPr>
      <w:u w:val="thick"/>
    </w:rPr>
  </w:style>
  <w:style w:type="paragraph" w:customStyle="1" w:styleId="PH1">
    <w:name w:val="PH1"/>
    <w:basedOn w:val="PH"/>
    <w:rsid w:val="0094668E"/>
    <w:pPr>
      <w:spacing w:line="301" w:lineRule="exact"/>
    </w:pPr>
    <w:rPr>
      <w:sz w:val="19"/>
    </w:rPr>
  </w:style>
  <w:style w:type="paragraph" w:customStyle="1" w:styleId="TH">
    <w:name w:val="TH"/>
    <w:basedOn w:val="Normal"/>
    <w:rsid w:val="0094668E"/>
    <w:pPr>
      <w:tabs>
        <w:tab w:val="right" w:pos="1202"/>
      </w:tabs>
      <w:spacing w:line="240" w:lineRule="atLeast"/>
      <w:outlineLvl w:val="0"/>
    </w:pPr>
    <w:rPr>
      <w:rFonts w:ascii="Arial" w:hAnsi="Arial"/>
      <w:b/>
      <w:sz w:val="19"/>
      <w:szCs w:val="20"/>
      <w:lang w:val="en-GB"/>
    </w:rPr>
  </w:style>
  <w:style w:type="paragraph" w:customStyle="1" w:styleId="accountingpolicytitle">
    <w:name w:val="accounting policy title"/>
    <w:basedOn w:val="Normal"/>
    <w:uiPriority w:val="99"/>
    <w:rsid w:val="0094668E"/>
    <w:pPr>
      <w:jc w:val="both"/>
    </w:pPr>
    <w:rPr>
      <w:rFonts w:ascii="Arial" w:hAnsi="Arial"/>
      <w:b/>
      <w:sz w:val="19"/>
      <w:szCs w:val="20"/>
      <w:lang w:val="pl-PL"/>
    </w:rPr>
  </w:style>
  <w:style w:type="paragraph" w:styleId="BodyText">
    <w:name w:val="Body Text"/>
    <w:aliases w:val="Body Text1,b,heading3,Body Text - Level 2,Body Text x,Szövegtörzs1,body text,contents,body,b-heading 1/heading 2,bd,heading1body-heading2body,bt"/>
    <w:basedOn w:val="Normal"/>
    <w:rsid w:val="0094668E"/>
    <w:pPr>
      <w:tabs>
        <w:tab w:val="left" w:pos="-720"/>
      </w:tabs>
      <w:suppressAutoHyphens/>
      <w:ind w:right="-612"/>
    </w:pPr>
    <w:rPr>
      <w:szCs w:val="20"/>
      <w:lang w:val="en-GB"/>
    </w:rPr>
  </w:style>
  <w:style w:type="paragraph" w:styleId="BodyTextIndent2">
    <w:name w:val="Body Text Indent 2"/>
    <w:basedOn w:val="Normal"/>
    <w:rsid w:val="0094668E"/>
    <w:pPr>
      <w:tabs>
        <w:tab w:val="left" w:pos="-720"/>
      </w:tabs>
      <w:suppressAutoHyphens/>
      <w:ind w:left="709" w:hanging="709"/>
      <w:jc w:val="both"/>
    </w:pPr>
    <w:rPr>
      <w:b/>
      <w:spacing w:val="-3"/>
      <w:szCs w:val="20"/>
      <w:lang w:val="en-GB"/>
    </w:rPr>
  </w:style>
  <w:style w:type="paragraph" w:styleId="BodyText3">
    <w:name w:val="Body Text 3"/>
    <w:basedOn w:val="Normal"/>
    <w:rsid w:val="0094668E"/>
    <w:pPr>
      <w:tabs>
        <w:tab w:val="center" w:pos="4513"/>
      </w:tabs>
      <w:suppressAutoHyphens/>
      <w:jc w:val="both"/>
    </w:pPr>
    <w:rPr>
      <w:spacing w:val="-3"/>
      <w:sz w:val="22"/>
      <w:szCs w:val="20"/>
      <w:lang w:val="en-GB"/>
    </w:rPr>
  </w:style>
  <w:style w:type="paragraph" w:styleId="BodyTextIndent3">
    <w:name w:val="Body Text Indent 3"/>
    <w:basedOn w:val="Normal"/>
    <w:rsid w:val="0094668E"/>
    <w:pPr>
      <w:tabs>
        <w:tab w:val="left" w:pos="-720"/>
      </w:tabs>
      <w:suppressAutoHyphens/>
      <w:ind w:firstLine="4416"/>
      <w:jc w:val="both"/>
    </w:pPr>
    <w:rPr>
      <w:spacing w:val="-2"/>
      <w:sz w:val="20"/>
      <w:szCs w:val="20"/>
      <w:lang w:val="en-GB"/>
    </w:rPr>
  </w:style>
  <w:style w:type="paragraph" w:styleId="BodyText2">
    <w:name w:val="Body Text 2"/>
    <w:basedOn w:val="Normal"/>
    <w:rsid w:val="0094668E"/>
    <w:pPr>
      <w:ind w:right="708"/>
      <w:jc w:val="both"/>
    </w:pPr>
    <w:rPr>
      <w:szCs w:val="20"/>
      <w:lang w:val="en-GB"/>
    </w:rPr>
  </w:style>
  <w:style w:type="paragraph" w:styleId="BodyTextIndent">
    <w:name w:val="Body Text Indent"/>
    <w:basedOn w:val="Normal"/>
    <w:rsid w:val="0094668E"/>
    <w:pPr>
      <w:tabs>
        <w:tab w:val="left" w:pos="-720"/>
      </w:tabs>
      <w:suppressAutoHyphens/>
      <w:ind w:left="709"/>
      <w:jc w:val="both"/>
    </w:pPr>
    <w:rPr>
      <w:b/>
      <w:spacing w:val="-3"/>
      <w:szCs w:val="20"/>
      <w:lang w:val="en-GB"/>
    </w:rPr>
  </w:style>
  <w:style w:type="character" w:styleId="PageNumber">
    <w:name w:val="page number"/>
    <w:basedOn w:val="DefaultParagraphFont"/>
    <w:rsid w:val="0094668E"/>
  </w:style>
  <w:style w:type="paragraph" w:styleId="Footer">
    <w:name w:val="footer"/>
    <w:basedOn w:val="Normal"/>
    <w:link w:val="FooterChar"/>
    <w:uiPriority w:val="99"/>
    <w:rsid w:val="0094668E"/>
    <w:pPr>
      <w:framePr w:wrap="around" w:vAnchor="text" w:hAnchor="margin" w:xAlign="right" w:y="1"/>
      <w:tabs>
        <w:tab w:val="center" w:pos="4153"/>
        <w:tab w:val="right" w:pos="8306"/>
      </w:tabs>
    </w:pPr>
    <w:rPr>
      <w:szCs w:val="20"/>
      <w:lang w:val="en-GB"/>
    </w:rPr>
  </w:style>
  <w:style w:type="character" w:customStyle="1" w:styleId="FooterChar">
    <w:name w:val="Footer Char"/>
    <w:link w:val="Footer"/>
    <w:uiPriority w:val="99"/>
    <w:rsid w:val="008E6656"/>
    <w:rPr>
      <w:sz w:val="24"/>
      <w:lang w:val="en-GB"/>
    </w:rPr>
  </w:style>
  <w:style w:type="paragraph" w:styleId="CommentSubject">
    <w:name w:val="annotation subject"/>
    <w:basedOn w:val="CommentText"/>
    <w:next w:val="CommentText"/>
    <w:semiHidden/>
    <w:rsid w:val="0094668E"/>
    <w:pPr>
      <w:tabs>
        <w:tab w:val="left" w:pos="1134"/>
      </w:tabs>
      <w:spacing w:line="280" w:lineRule="atLeast"/>
    </w:pPr>
    <w:rPr>
      <w:b/>
      <w:bCs/>
    </w:rPr>
  </w:style>
  <w:style w:type="paragraph" w:styleId="CommentText">
    <w:name w:val="annotation text"/>
    <w:basedOn w:val="Normal"/>
    <w:link w:val="CommentTextChar"/>
    <w:rsid w:val="0094668E"/>
    <w:rPr>
      <w:sz w:val="20"/>
      <w:szCs w:val="20"/>
    </w:rPr>
  </w:style>
  <w:style w:type="character" w:customStyle="1" w:styleId="CommentTextChar">
    <w:name w:val="Comment Text Char"/>
    <w:link w:val="CommentText"/>
    <w:rsid w:val="00F72889"/>
    <w:rPr>
      <w:lang w:val="en-US" w:eastAsia="en-US"/>
    </w:rPr>
  </w:style>
  <w:style w:type="paragraph" w:customStyle="1" w:styleId="T2">
    <w:name w:val="T2"/>
    <w:basedOn w:val="T1"/>
    <w:rsid w:val="0094668E"/>
    <w:pPr>
      <w:spacing w:before="0" w:after="0" w:line="301" w:lineRule="atLeast"/>
      <w:jc w:val="left"/>
    </w:pPr>
    <w:rPr>
      <w:b w:val="0"/>
      <w:bCs w:val="0"/>
      <w:lang w:val="en-GB"/>
    </w:rPr>
  </w:style>
  <w:style w:type="character" w:styleId="FootnoteReference">
    <w:name w:val="footnote reference"/>
    <w:uiPriority w:val="99"/>
    <w:rsid w:val="0094668E"/>
    <w:rPr>
      <w:vertAlign w:val="superscript"/>
    </w:rPr>
  </w:style>
  <w:style w:type="paragraph" w:customStyle="1" w:styleId="Notetext">
    <w:name w:val="Note text"/>
    <w:basedOn w:val="Normal"/>
    <w:rsid w:val="0094668E"/>
    <w:pPr>
      <w:widowControl w:val="0"/>
      <w:tabs>
        <w:tab w:val="left" w:pos="0"/>
      </w:tabs>
      <w:spacing w:after="240"/>
    </w:pPr>
    <w:rPr>
      <w:rFonts w:ascii="Arial" w:hAnsi="Arial"/>
      <w:snapToGrid w:val="0"/>
      <w:sz w:val="18"/>
      <w:szCs w:val="20"/>
      <w:lang w:val="en-GB"/>
    </w:rPr>
  </w:style>
  <w:style w:type="paragraph" w:customStyle="1" w:styleId="Notetotable">
    <w:name w:val="Note to table"/>
    <w:basedOn w:val="Normal"/>
    <w:rsid w:val="0094668E"/>
    <w:pPr>
      <w:spacing w:line="240" w:lineRule="atLeast"/>
      <w:ind w:left="357" w:hanging="357"/>
    </w:pPr>
    <w:rPr>
      <w:rFonts w:ascii="Arial" w:hAnsi="Arial"/>
      <w:sz w:val="13"/>
      <w:szCs w:val="20"/>
    </w:rPr>
  </w:style>
  <w:style w:type="paragraph" w:customStyle="1" w:styleId="BodyTextBodyText1">
    <w:name w:val="Body Text.Body Text1"/>
    <w:basedOn w:val="Normal"/>
    <w:rsid w:val="0094668E"/>
    <w:pPr>
      <w:tabs>
        <w:tab w:val="left" w:pos="1134"/>
      </w:tabs>
      <w:spacing w:after="120" w:line="280" w:lineRule="atLeast"/>
    </w:pPr>
    <w:rPr>
      <w:sz w:val="20"/>
      <w:szCs w:val="20"/>
    </w:rPr>
  </w:style>
  <w:style w:type="paragraph" w:customStyle="1" w:styleId="TTH">
    <w:name w:val="TT&amp;H"/>
    <w:basedOn w:val="Normal"/>
    <w:rsid w:val="0094668E"/>
    <w:pPr>
      <w:keepNext/>
      <w:tabs>
        <w:tab w:val="left" w:pos="1134"/>
        <w:tab w:val="right" w:pos="1202"/>
      </w:tabs>
      <w:spacing w:before="120" w:line="301" w:lineRule="exact"/>
      <w:outlineLvl w:val="0"/>
    </w:pPr>
    <w:rPr>
      <w:rFonts w:ascii="Arial" w:hAnsi="Arial"/>
      <w:sz w:val="19"/>
      <w:szCs w:val="20"/>
    </w:rPr>
  </w:style>
  <w:style w:type="paragraph" w:customStyle="1" w:styleId="thin0">
    <w:name w:val="¸thin"/>
    <w:basedOn w:val="Thin"/>
    <w:rsid w:val="0094668E"/>
    <w:pPr>
      <w:tabs>
        <w:tab w:val="left" w:pos="1134"/>
      </w:tabs>
    </w:pPr>
  </w:style>
  <w:style w:type="paragraph" w:styleId="BalloonText">
    <w:name w:val="Balloon Text"/>
    <w:basedOn w:val="Normal"/>
    <w:link w:val="BalloonTextChar"/>
    <w:uiPriority w:val="99"/>
    <w:semiHidden/>
    <w:rsid w:val="0094668E"/>
    <w:pPr>
      <w:tabs>
        <w:tab w:val="left" w:pos="1134"/>
      </w:tabs>
      <w:spacing w:line="280" w:lineRule="atLeast"/>
    </w:pPr>
    <w:rPr>
      <w:rFonts w:ascii="Tahoma" w:hAnsi="Tahoma" w:cs="Tahoma"/>
      <w:sz w:val="16"/>
      <w:szCs w:val="16"/>
    </w:rPr>
  </w:style>
  <w:style w:type="paragraph" w:customStyle="1" w:styleId="FootnotesTitle">
    <w:name w:val="Footnotes Title"/>
    <w:basedOn w:val="Normal"/>
    <w:rsid w:val="0094668E"/>
    <w:pPr>
      <w:widowControl w:val="0"/>
    </w:pPr>
    <w:rPr>
      <w:rFonts w:ascii="Arial" w:hAnsi="Arial"/>
      <w:b/>
      <w:snapToGrid w:val="0"/>
      <w:sz w:val="16"/>
      <w:szCs w:val="20"/>
      <w:lang w:val="en-GB"/>
    </w:rPr>
  </w:style>
  <w:style w:type="paragraph" w:customStyle="1" w:styleId="Noteheading1">
    <w:name w:val="Note heading1"/>
    <w:basedOn w:val="Normal"/>
    <w:autoRedefine/>
    <w:rsid w:val="0094668E"/>
    <w:pPr>
      <w:tabs>
        <w:tab w:val="num" w:pos="720"/>
      </w:tabs>
      <w:spacing w:before="360" w:after="240"/>
      <w:ind w:left="720" w:hanging="360"/>
      <w:jc w:val="both"/>
    </w:pPr>
    <w:rPr>
      <w:rFonts w:ascii="Arial" w:hAnsi="Arial" w:cs="Arial"/>
      <w:b/>
      <w:bCs/>
      <w:sz w:val="19"/>
      <w:szCs w:val="20"/>
    </w:rPr>
  </w:style>
  <w:style w:type="paragraph" w:customStyle="1" w:styleId="performed">
    <w:name w:val="performed"/>
    <w:basedOn w:val="Normal"/>
    <w:rsid w:val="0094668E"/>
    <w:pPr>
      <w:keepNext/>
      <w:keepLines/>
      <w:spacing w:before="120"/>
      <w:jc w:val="center"/>
    </w:pPr>
    <w:rPr>
      <w:sz w:val="22"/>
      <w:szCs w:val="22"/>
    </w:rPr>
  </w:style>
  <w:style w:type="paragraph" w:styleId="NormalIndent">
    <w:name w:val="Normal Indent"/>
    <w:basedOn w:val="Normal"/>
    <w:rsid w:val="0094668E"/>
    <w:pPr>
      <w:spacing w:line="240" w:lineRule="atLeast"/>
      <w:ind w:left="851"/>
      <w:jc w:val="both"/>
    </w:pPr>
    <w:rPr>
      <w:rFonts w:ascii="Arial" w:hAnsi="Arial"/>
      <w:szCs w:val="20"/>
      <w:lang w:val="de-DE"/>
    </w:rPr>
  </w:style>
  <w:style w:type="paragraph" w:customStyle="1" w:styleId="T1PARAGRAPH">
    <w:name w:val="T1PARAGRAPH"/>
    <w:basedOn w:val="BodyText3"/>
    <w:rsid w:val="0094668E"/>
    <w:pPr>
      <w:numPr>
        <w:numId w:val="1"/>
      </w:numPr>
      <w:tabs>
        <w:tab w:val="clear" w:pos="4513"/>
      </w:tabs>
      <w:suppressAutoHyphens w:val="0"/>
      <w:spacing w:after="301" w:line="301" w:lineRule="atLeast"/>
    </w:pPr>
    <w:rPr>
      <w:rFonts w:ascii="Arial" w:hAnsi="Arial" w:cs="Arial"/>
      <w:spacing w:val="0"/>
      <w:sz w:val="19"/>
      <w:lang w:val="hr-HR"/>
    </w:rPr>
  </w:style>
  <w:style w:type="paragraph" w:customStyle="1" w:styleId="T1PARAGRAPH0">
    <w:name w:val="T1 PARAGRAPH"/>
    <w:basedOn w:val="T1"/>
    <w:next w:val="T1"/>
    <w:rsid w:val="0094668E"/>
    <w:pPr>
      <w:spacing w:before="160" w:after="160" w:line="200" w:lineRule="exact"/>
      <w:ind w:left="547"/>
      <w:jc w:val="left"/>
    </w:pPr>
    <w:rPr>
      <w:b w:val="0"/>
      <w:bCs w:val="0"/>
      <w:lang w:val="hr-HR"/>
    </w:rPr>
  </w:style>
  <w:style w:type="character" w:styleId="CommentReference">
    <w:name w:val="annotation reference"/>
    <w:rsid w:val="0094668E"/>
    <w:rPr>
      <w:sz w:val="16"/>
      <w:szCs w:val="16"/>
    </w:rPr>
  </w:style>
  <w:style w:type="paragraph" w:customStyle="1" w:styleId="Italics">
    <w:name w:val="Italics"/>
    <w:basedOn w:val="Normal"/>
    <w:rsid w:val="0094668E"/>
    <w:pPr>
      <w:spacing w:before="120" w:line="240" w:lineRule="atLeast"/>
      <w:jc w:val="both"/>
    </w:pPr>
    <w:rPr>
      <w:rFonts w:ascii="Arial" w:hAnsi="Arial"/>
      <w:i/>
      <w:sz w:val="20"/>
      <w:szCs w:val="20"/>
    </w:rPr>
  </w:style>
  <w:style w:type="paragraph" w:styleId="Caption">
    <w:name w:val="caption"/>
    <w:basedOn w:val="Normal"/>
    <w:next w:val="Normal"/>
    <w:qFormat/>
    <w:rsid w:val="0094668E"/>
    <w:pPr>
      <w:spacing w:before="120" w:after="120" w:line="240" w:lineRule="atLeast"/>
      <w:ind w:left="567"/>
    </w:pPr>
    <w:rPr>
      <w:rFonts w:ascii="Arial" w:hAnsi="Arial"/>
      <w:b/>
      <w:sz w:val="20"/>
      <w:szCs w:val="20"/>
      <w:lang w:val="en-GB"/>
    </w:rPr>
  </w:style>
  <w:style w:type="paragraph" w:styleId="NormalWeb">
    <w:name w:val="Normal (Web)"/>
    <w:basedOn w:val="Normal"/>
    <w:link w:val="NormalWebChar"/>
    <w:rsid w:val="0094668E"/>
    <w:pPr>
      <w:spacing w:before="100" w:beforeAutospacing="1" w:after="100" w:afterAutospacing="1"/>
    </w:pPr>
    <w:rPr>
      <w:lang w:eastAsia="hr-HR"/>
    </w:rPr>
  </w:style>
  <w:style w:type="character" w:customStyle="1" w:styleId="NormalWebChar">
    <w:name w:val="Normal (Web) Char"/>
    <w:basedOn w:val="DefaultParagraphFont"/>
    <w:link w:val="NormalWeb"/>
    <w:rsid w:val="00FB3B33"/>
    <w:rPr>
      <w:sz w:val="24"/>
      <w:szCs w:val="24"/>
      <w:lang w:eastAsia="hr-HR"/>
    </w:rPr>
  </w:style>
  <w:style w:type="character" w:styleId="Strong">
    <w:name w:val="Strong"/>
    <w:uiPriority w:val="22"/>
    <w:qFormat/>
    <w:rsid w:val="0094668E"/>
    <w:rPr>
      <w:b/>
      <w:bCs/>
    </w:rPr>
  </w:style>
  <w:style w:type="paragraph" w:customStyle="1" w:styleId="AuditReport">
    <w:name w:val="Audit Report"/>
    <w:basedOn w:val="Normal"/>
    <w:rsid w:val="00C63E8D"/>
    <w:pPr>
      <w:tabs>
        <w:tab w:val="left" w:pos="284"/>
      </w:tabs>
      <w:spacing w:before="120" w:line="260" w:lineRule="atLeast"/>
      <w:jc w:val="both"/>
    </w:pPr>
    <w:rPr>
      <w:rFonts w:ascii="Arial" w:hAnsi="Arial"/>
      <w:sz w:val="19"/>
      <w:szCs w:val="20"/>
      <w:lang w:val="en-GB"/>
    </w:rPr>
  </w:style>
  <w:style w:type="paragraph" w:customStyle="1" w:styleId="tt0">
    <w:name w:val="tt"/>
    <w:basedOn w:val="Normal"/>
    <w:rsid w:val="0094668E"/>
    <w:pPr>
      <w:spacing w:line="301" w:lineRule="atLeast"/>
    </w:pPr>
    <w:rPr>
      <w:rFonts w:ascii="Arial" w:hAnsi="Arial" w:cs="Arial"/>
      <w:sz w:val="19"/>
      <w:szCs w:val="19"/>
    </w:rPr>
  </w:style>
  <w:style w:type="table" w:styleId="TableGrid">
    <w:name w:val="Table Grid"/>
    <w:basedOn w:val="TableNormal"/>
    <w:rsid w:val="004103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3">
    <w:name w:val="T3"/>
    <w:basedOn w:val="T2"/>
    <w:next w:val="T1"/>
    <w:rsid w:val="00BB40ED"/>
    <w:pPr>
      <w:keepNext w:val="0"/>
      <w:spacing w:after="240" w:line="300" w:lineRule="atLeast"/>
      <w:jc w:val="both"/>
    </w:pPr>
    <w:rPr>
      <w:kern w:val="19"/>
    </w:rPr>
  </w:style>
  <w:style w:type="paragraph" w:customStyle="1" w:styleId="Normaltext">
    <w:name w:val="Normal text"/>
    <w:basedOn w:val="Normal"/>
    <w:rsid w:val="00891DA5"/>
    <w:pPr>
      <w:overflowPunct w:val="0"/>
      <w:autoSpaceDE w:val="0"/>
      <w:autoSpaceDN w:val="0"/>
      <w:adjustRightInd w:val="0"/>
      <w:spacing w:line="240" w:lineRule="atLeast"/>
      <w:ind w:right="568"/>
      <w:jc w:val="both"/>
      <w:textAlignment w:val="baseline"/>
    </w:pPr>
    <w:rPr>
      <w:lang w:val="en-GB"/>
    </w:rPr>
  </w:style>
  <w:style w:type="paragraph" w:styleId="Revision">
    <w:name w:val="Revision"/>
    <w:hidden/>
    <w:uiPriority w:val="99"/>
    <w:semiHidden/>
    <w:rsid w:val="002D22DC"/>
    <w:rPr>
      <w:sz w:val="24"/>
      <w:szCs w:val="24"/>
    </w:rPr>
  </w:style>
  <w:style w:type="paragraph" w:styleId="PlainText">
    <w:name w:val="Plain Text"/>
    <w:basedOn w:val="Normal"/>
    <w:link w:val="PlainTextChar"/>
    <w:uiPriority w:val="99"/>
    <w:unhideWhenUsed/>
    <w:rsid w:val="00746DC8"/>
    <w:rPr>
      <w:rFonts w:ascii="Verdana" w:hAnsi="Verdana"/>
      <w:color w:val="000000"/>
      <w:sz w:val="20"/>
      <w:szCs w:val="21"/>
    </w:rPr>
  </w:style>
  <w:style w:type="character" w:customStyle="1" w:styleId="PlainTextChar">
    <w:name w:val="Plain Text Char"/>
    <w:link w:val="PlainText"/>
    <w:uiPriority w:val="99"/>
    <w:rsid w:val="00746DC8"/>
    <w:rPr>
      <w:rFonts w:ascii="Verdana" w:hAnsi="Verdana"/>
      <w:color w:val="000000"/>
      <w:szCs w:val="21"/>
    </w:rPr>
  </w:style>
  <w:style w:type="paragraph" w:customStyle="1" w:styleId="MACNormal">
    <w:name w:val="MACNormal"/>
    <w:rsid w:val="0027106E"/>
    <w:pPr>
      <w:tabs>
        <w:tab w:val="left" w:pos="-1440"/>
        <w:tab w:val="left" w:pos="-720"/>
      </w:tabs>
      <w:jc w:val="both"/>
    </w:pPr>
    <w:rPr>
      <w:color w:val="000000"/>
      <w:lang w:val="en-GB" w:eastAsia="hr-HR"/>
    </w:rPr>
  </w:style>
  <w:style w:type="paragraph" w:customStyle="1" w:styleId="Legalentity">
    <w:name w:val="Legal entity"/>
    <w:basedOn w:val="Normal"/>
    <w:rsid w:val="000C089C"/>
    <w:pPr>
      <w:widowControl w:val="0"/>
      <w:suppressAutoHyphens/>
      <w:autoSpaceDE w:val="0"/>
      <w:autoSpaceDN w:val="0"/>
      <w:adjustRightInd w:val="0"/>
      <w:spacing w:after="90" w:line="180" w:lineRule="atLeast"/>
      <w:textAlignment w:val="center"/>
    </w:pPr>
    <w:rPr>
      <w:rFonts w:ascii="ArialMT" w:hAnsi="ArialMT"/>
      <w:color w:val="000000"/>
      <w:sz w:val="15"/>
      <w:szCs w:val="20"/>
      <w:lang w:val="en-GB" w:eastAsia="en-GB"/>
    </w:rPr>
  </w:style>
  <w:style w:type="paragraph" w:customStyle="1" w:styleId="Amember">
    <w:name w:val="A member"/>
    <w:basedOn w:val="Normal"/>
    <w:rsid w:val="000C089C"/>
    <w:pPr>
      <w:widowControl w:val="0"/>
      <w:suppressAutoHyphens/>
      <w:autoSpaceDE w:val="0"/>
      <w:autoSpaceDN w:val="0"/>
      <w:adjustRightInd w:val="0"/>
      <w:spacing w:line="160" w:lineRule="atLeast"/>
      <w:textAlignment w:val="center"/>
    </w:pPr>
    <w:rPr>
      <w:rFonts w:ascii="FrutigerNextPro-Light" w:hAnsi="FrutigerNextPro-Light"/>
      <w:color w:val="000000"/>
      <w:sz w:val="14"/>
      <w:szCs w:val="20"/>
      <w:lang w:val="en-GB" w:eastAsia="en-GB"/>
    </w:rPr>
  </w:style>
  <w:style w:type="paragraph" w:customStyle="1" w:styleId="tekst">
    <w:name w:val="tekst"/>
    <w:basedOn w:val="Normal"/>
    <w:rsid w:val="000438DF"/>
    <w:pPr>
      <w:spacing w:before="100" w:beforeAutospacing="1" w:after="100" w:afterAutospacing="1"/>
    </w:pPr>
    <w:rPr>
      <w:lang w:val="hr-HR" w:eastAsia="hr-HR"/>
    </w:rPr>
  </w:style>
  <w:style w:type="character" w:customStyle="1" w:styleId="bold">
    <w:name w:val="bold"/>
    <w:basedOn w:val="DefaultParagraphFont"/>
    <w:rsid w:val="000438DF"/>
  </w:style>
  <w:style w:type="paragraph" w:styleId="ListParagraph">
    <w:name w:val="List Paragraph"/>
    <w:aliases w:val="Lettre d'introduction"/>
    <w:basedOn w:val="Normal"/>
    <w:link w:val="ListParagraphChar"/>
    <w:qFormat/>
    <w:rsid w:val="00BC11B4"/>
    <w:pPr>
      <w:ind w:left="720"/>
      <w:contextualSpacing/>
    </w:pPr>
  </w:style>
  <w:style w:type="character" w:customStyle="1" w:styleId="ListParagraphChar">
    <w:name w:val="List Paragraph Char"/>
    <w:aliases w:val="Lettre d'introduction Char"/>
    <w:link w:val="ListParagraph"/>
    <w:rsid w:val="00FB3B33"/>
    <w:rPr>
      <w:sz w:val="24"/>
      <w:szCs w:val="24"/>
    </w:rPr>
  </w:style>
  <w:style w:type="paragraph" w:customStyle="1" w:styleId="Bodycopy">
    <w:name w:val="Body copy"/>
    <w:rsid w:val="001A2F3F"/>
    <w:pPr>
      <w:spacing w:before="20" w:line="210" w:lineRule="exact"/>
    </w:pPr>
    <w:rPr>
      <w:rFonts w:ascii="Arial" w:eastAsia="PMingLiU" w:hAnsi="Arial" w:cs="Arial"/>
      <w:color w:val="000000"/>
      <w:sz w:val="17"/>
      <w:szCs w:val="17"/>
      <w:lang w:val="hr-HR" w:eastAsia="hr-HR" w:bidi="hr-HR"/>
    </w:rPr>
  </w:style>
  <w:style w:type="paragraph" w:customStyle="1" w:styleId="t-9-8">
    <w:name w:val="t-9-8"/>
    <w:basedOn w:val="Normal"/>
    <w:rsid w:val="007A27A9"/>
    <w:pPr>
      <w:spacing w:before="100" w:beforeAutospacing="1" w:after="100" w:afterAutospacing="1"/>
    </w:pPr>
    <w:rPr>
      <w:rFonts w:eastAsiaTheme="minorHAnsi"/>
      <w:lang w:val="hr-HR" w:eastAsia="hr-HR"/>
    </w:rPr>
  </w:style>
  <w:style w:type="character" w:customStyle="1" w:styleId="HeaderChar1">
    <w:name w:val="Header Char1"/>
    <w:uiPriority w:val="99"/>
    <w:rsid w:val="00C63164"/>
    <w:rPr>
      <w:rFonts w:ascii="Arial" w:eastAsia="Times New Roman" w:hAnsi="Arial" w:cs="Times New Roman"/>
      <w:sz w:val="28"/>
      <w:szCs w:val="20"/>
      <w:lang w:val="x-none"/>
    </w:rPr>
  </w:style>
  <w:style w:type="table" w:customStyle="1" w:styleId="TableGrid2">
    <w:name w:val="Table Grid2"/>
    <w:basedOn w:val="TableNormal"/>
    <w:next w:val="TableGrid"/>
    <w:uiPriority w:val="59"/>
    <w:rsid w:val="004570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23F04"/>
    <w:pPr>
      <w:autoSpaceDE w:val="0"/>
      <w:autoSpaceDN w:val="0"/>
      <w:adjustRightInd w:val="0"/>
    </w:pPr>
    <w:rPr>
      <w:rFonts w:ascii="Arial" w:eastAsiaTheme="minorHAnsi" w:hAnsi="Arial" w:cs="Arial"/>
      <w:color w:val="000000"/>
      <w:sz w:val="24"/>
      <w:szCs w:val="24"/>
      <w:lang w:val="hr-HR"/>
    </w:rPr>
  </w:style>
  <w:style w:type="paragraph" w:customStyle="1" w:styleId="Header1">
    <w:name w:val="Header 1"/>
    <w:basedOn w:val="Header"/>
    <w:uiPriority w:val="99"/>
    <w:rsid w:val="005A1ED8"/>
    <w:pPr>
      <w:tabs>
        <w:tab w:val="clear" w:pos="4153"/>
        <w:tab w:val="clear" w:pos="8306"/>
      </w:tabs>
      <w:spacing w:before="120" w:line="260" w:lineRule="atLeast"/>
    </w:pPr>
    <w:rPr>
      <w:rFonts w:ascii="Arial" w:hAnsi="Arial"/>
      <w:b/>
      <w:i w:val="0"/>
      <w:sz w:val="22"/>
    </w:rPr>
  </w:style>
  <w:style w:type="character" w:customStyle="1" w:styleId="DocumentMapChar">
    <w:name w:val="Document Map Char"/>
    <w:basedOn w:val="DefaultParagraphFont"/>
    <w:link w:val="DocumentMap"/>
    <w:semiHidden/>
    <w:rsid w:val="00FB3B33"/>
    <w:rPr>
      <w:rFonts w:ascii="Tahoma" w:hAnsi="Tahoma" w:cs="Tahoma"/>
      <w:shd w:val="clear" w:color="auto" w:fill="000080"/>
      <w:lang w:val="hr-HR" w:eastAsia="hr-HR"/>
    </w:rPr>
  </w:style>
  <w:style w:type="paragraph" w:styleId="DocumentMap">
    <w:name w:val="Document Map"/>
    <w:basedOn w:val="Normal"/>
    <w:link w:val="DocumentMapChar"/>
    <w:semiHidden/>
    <w:rsid w:val="00FB3B33"/>
    <w:pPr>
      <w:shd w:val="clear" w:color="auto" w:fill="000080"/>
    </w:pPr>
    <w:rPr>
      <w:rFonts w:ascii="Tahoma" w:hAnsi="Tahoma" w:cs="Tahoma"/>
      <w:sz w:val="20"/>
      <w:szCs w:val="20"/>
      <w:lang w:val="hr-HR" w:eastAsia="hr-HR"/>
    </w:rPr>
  </w:style>
  <w:style w:type="paragraph" w:styleId="NoSpacing">
    <w:name w:val="No Spacing"/>
    <w:link w:val="NoSpacingChar"/>
    <w:qFormat/>
    <w:rsid w:val="00FB3B33"/>
    <w:rPr>
      <w:rFonts w:ascii="Calibri" w:hAnsi="Calibri"/>
      <w:sz w:val="22"/>
      <w:szCs w:val="22"/>
      <w:lang w:val="hr-HR"/>
    </w:rPr>
  </w:style>
  <w:style w:type="character" w:customStyle="1" w:styleId="NoSpacingChar">
    <w:name w:val="No Spacing Char"/>
    <w:link w:val="NoSpacing"/>
    <w:uiPriority w:val="1"/>
    <w:rsid w:val="00FB3B33"/>
    <w:rPr>
      <w:rFonts w:ascii="Calibri" w:hAnsi="Calibri"/>
      <w:sz w:val="22"/>
      <w:szCs w:val="22"/>
      <w:lang w:val="hr-HR"/>
    </w:rPr>
  </w:style>
  <w:style w:type="paragraph" w:styleId="TOCHeading">
    <w:name w:val="TOC Heading"/>
    <w:basedOn w:val="Heading1"/>
    <w:next w:val="Normal"/>
    <w:uiPriority w:val="39"/>
    <w:qFormat/>
    <w:rsid w:val="00FB3B33"/>
    <w:pPr>
      <w:keepLines/>
      <w:tabs>
        <w:tab w:val="clear" w:pos="-720"/>
      </w:tabs>
      <w:suppressAutoHyphens w:val="0"/>
      <w:spacing w:before="480" w:line="276" w:lineRule="auto"/>
      <w:jc w:val="left"/>
      <w:outlineLvl w:val="9"/>
    </w:pPr>
    <w:rPr>
      <w:rFonts w:ascii="Cambria" w:hAnsi="Cambria"/>
      <w:b/>
      <w:bCs/>
      <w:color w:val="365F91"/>
      <w:spacing w:val="0"/>
      <w:sz w:val="28"/>
      <w:szCs w:val="28"/>
      <w:u w:val="none"/>
      <w:lang w:val="en-US"/>
    </w:rPr>
  </w:style>
  <w:style w:type="paragraph" w:styleId="TOC1">
    <w:name w:val="toc 1"/>
    <w:basedOn w:val="Normal"/>
    <w:next w:val="Normal"/>
    <w:autoRedefine/>
    <w:uiPriority w:val="39"/>
    <w:rsid w:val="00FB3B33"/>
    <w:pPr>
      <w:tabs>
        <w:tab w:val="right" w:leader="dot" w:pos="9062"/>
      </w:tabs>
      <w:spacing w:line="276" w:lineRule="auto"/>
    </w:pPr>
    <w:rPr>
      <w:rFonts w:ascii="Calibri" w:hAnsi="Calibri" w:cs="Calibri"/>
      <w:b/>
      <w:noProof/>
      <w:sz w:val="28"/>
      <w:szCs w:val="28"/>
      <w:lang w:val="hr-HR" w:eastAsia="hr-HR"/>
    </w:rPr>
  </w:style>
  <w:style w:type="character" w:styleId="Hyperlink">
    <w:name w:val="Hyperlink"/>
    <w:uiPriority w:val="99"/>
    <w:unhideWhenUsed/>
    <w:rsid w:val="00FB3B33"/>
    <w:rPr>
      <w:color w:val="0000FF"/>
      <w:u w:val="single"/>
    </w:rPr>
  </w:style>
  <w:style w:type="character" w:styleId="FollowedHyperlink">
    <w:name w:val="FollowedHyperlink"/>
    <w:rsid w:val="00FB3B33"/>
    <w:rPr>
      <w:color w:val="800080"/>
      <w:u w:val="single"/>
    </w:rPr>
  </w:style>
  <w:style w:type="character" w:customStyle="1" w:styleId="xclaimempty">
    <w:name w:val="xclaimempty"/>
    <w:basedOn w:val="DefaultParagraphFont"/>
    <w:rsid w:val="00FB3B33"/>
  </w:style>
  <w:style w:type="paragraph" w:customStyle="1" w:styleId="ParagrafL">
    <w:name w:val="Paragraf L"/>
    <w:basedOn w:val="Normal"/>
    <w:link w:val="ParagrafLChar"/>
    <w:rsid w:val="00FB3B33"/>
    <w:pPr>
      <w:widowControl w:val="0"/>
      <w:autoSpaceDE w:val="0"/>
      <w:autoSpaceDN w:val="0"/>
      <w:adjustRightInd w:val="0"/>
      <w:spacing w:line="312" w:lineRule="auto"/>
      <w:jc w:val="both"/>
    </w:pPr>
    <w:rPr>
      <w:rFonts w:ascii="Arial" w:hAnsi="Arial" w:cs="Arial"/>
      <w:iCs/>
      <w:sz w:val="20"/>
      <w:szCs w:val="20"/>
      <w:lang w:val="hr-HR" w:eastAsia="hr-HR"/>
    </w:rPr>
  </w:style>
  <w:style w:type="character" w:customStyle="1" w:styleId="ParagrafLChar">
    <w:name w:val="Paragraf L Char"/>
    <w:link w:val="ParagrafL"/>
    <w:rsid w:val="00FB3B33"/>
    <w:rPr>
      <w:rFonts w:ascii="Arial" w:hAnsi="Arial" w:cs="Arial"/>
      <w:iCs/>
      <w:lang w:val="hr-HR" w:eastAsia="hr-HR"/>
    </w:rPr>
  </w:style>
  <w:style w:type="paragraph" w:styleId="TOC2">
    <w:name w:val="toc 2"/>
    <w:basedOn w:val="Normal"/>
    <w:next w:val="Normal"/>
    <w:autoRedefine/>
    <w:uiPriority w:val="39"/>
    <w:rsid w:val="00FB3B33"/>
    <w:pPr>
      <w:tabs>
        <w:tab w:val="right" w:leader="dot" w:pos="9062"/>
      </w:tabs>
      <w:spacing w:after="100"/>
      <w:ind w:left="240"/>
    </w:pPr>
    <w:rPr>
      <w:rFonts w:asciiTheme="minorHAnsi" w:hAnsiTheme="minorHAnsi" w:cstheme="minorHAnsi"/>
      <w:bCs/>
      <w:iCs/>
      <w:noProof/>
      <w:lang w:val="hr-HR" w:eastAsia="x-none"/>
    </w:rPr>
  </w:style>
  <w:style w:type="paragraph" w:customStyle="1" w:styleId="tekstdiv">
    <w:name w:val="tekstdiv"/>
    <w:basedOn w:val="Normal"/>
    <w:rsid w:val="00FB3B33"/>
    <w:pPr>
      <w:spacing w:before="100" w:beforeAutospacing="1" w:after="100" w:afterAutospacing="1"/>
    </w:pPr>
    <w:rPr>
      <w:rFonts w:eastAsia="SimSun"/>
      <w:lang w:val="hr-HR" w:eastAsia="zh-CN"/>
    </w:rPr>
  </w:style>
  <w:style w:type="paragraph" w:styleId="FootnoteText">
    <w:name w:val="footnote text"/>
    <w:basedOn w:val="Normal"/>
    <w:link w:val="FootnoteTextChar"/>
    <w:uiPriority w:val="99"/>
    <w:rsid w:val="00FB3B33"/>
    <w:rPr>
      <w:sz w:val="20"/>
      <w:szCs w:val="20"/>
      <w:lang w:val="hr-HR" w:eastAsia="hr-HR"/>
    </w:rPr>
  </w:style>
  <w:style w:type="character" w:customStyle="1" w:styleId="FootnoteTextChar">
    <w:name w:val="Footnote Text Char"/>
    <w:basedOn w:val="DefaultParagraphFont"/>
    <w:link w:val="FootnoteText"/>
    <w:uiPriority w:val="99"/>
    <w:rsid w:val="00FB3B33"/>
    <w:rPr>
      <w:lang w:val="hr-HR" w:eastAsia="hr-HR"/>
    </w:rPr>
  </w:style>
  <w:style w:type="paragraph" w:styleId="TOC3">
    <w:name w:val="toc 3"/>
    <w:basedOn w:val="Normal"/>
    <w:next w:val="Normal"/>
    <w:autoRedefine/>
    <w:uiPriority w:val="39"/>
    <w:rsid w:val="00FB3B33"/>
    <w:pPr>
      <w:spacing w:after="100"/>
      <w:ind w:left="480"/>
    </w:pPr>
    <w:rPr>
      <w:lang w:val="hr-HR" w:eastAsia="hr-HR"/>
    </w:rPr>
  </w:style>
  <w:style w:type="character" w:customStyle="1" w:styleId="st">
    <w:name w:val="st"/>
    <w:basedOn w:val="DefaultParagraphFont"/>
    <w:rsid w:val="00FB3B33"/>
  </w:style>
  <w:style w:type="paragraph" w:customStyle="1" w:styleId="ColorfulShading-Accent11">
    <w:name w:val="Colorful Shading - Accent 11"/>
    <w:hidden/>
    <w:uiPriority w:val="99"/>
    <w:semiHidden/>
    <w:rsid w:val="00AD4170"/>
    <w:rPr>
      <w:sz w:val="24"/>
      <w:szCs w:val="24"/>
    </w:rPr>
  </w:style>
  <w:style w:type="paragraph" w:customStyle="1" w:styleId="ColorfulList-Accent11">
    <w:name w:val="Colorful List - Accent 11"/>
    <w:basedOn w:val="Normal"/>
    <w:link w:val="ColorfulList-Accent1Char"/>
    <w:uiPriority w:val="34"/>
    <w:qFormat/>
    <w:rsid w:val="00AD4170"/>
    <w:pPr>
      <w:ind w:left="720"/>
      <w:contextualSpacing/>
    </w:pPr>
    <w:rPr>
      <w:lang w:val="x-none" w:eastAsia="x-none"/>
    </w:rPr>
  </w:style>
  <w:style w:type="character" w:customStyle="1" w:styleId="ColorfulList-Accent1Char">
    <w:name w:val="Colorful List - Accent 1 Char"/>
    <w:link w:val="ColorfulList-Accent11"/>
    <w:uiPriority w:val="34"/>
    <w:rsid w:val="00AD4170"/>
    <w:rPr>
      <w:sz w:val="24"/>
      <w:szCs w:val="24"/>
      <w:lang w:val="x-none" w:eastAsia="x-none"/>
    </w:rPr>
  </w:style>
  <w:style w:type="paragraph" w:customStyle="1" w:styleId="MediumGrid21">
    <w:name w:val="Medium Grid 21"/>
    <w:link w:val="MediumGrid2Char"/>
    <w:uiPriority w:val="1"/>
    <w:qFormat/>
    <w:rsid w:val="00AD4170"/>
    <w:rPr>
      <w:rFonts w:ascii="Calibri" w:hAnsi="Calibri"/>
      <w:sz w:val="22"/>
      <w:szCs w:val="22"/>
      <w:lang w:val="hr-HR" w:eastAsia="hr-HR"/>
    </w:rPr>
  </w:style>
  <w:style w:type="character" w:customStyle="1" w:styleId="MediumGrid2Char">
    <w:name w:val="Medium Grid 2 Char"/>
    <w:link w:val="MediumGrid21"/>
    <w:uiPriority w:val="1"/>
    <w:rsid w:val="00AD4170"/>
    <w:rPr>
      <w:rFonts w:ascii="Calibri" w:hAnsi="Calibri"/>
      <w:sz w:val="22"/>
      <w:szCs w:val="22"/>
      <w:lang w:val="hr-HR" w:eastAsia="hr-HR"/>
    </w:rPr>
  </w:style>
  <w:style w:type="paragraph" w:customStyle="1" w:styleId="GridTable31">
    <w:name w:val="Grid Table 31"/>
    <w:basedOn w:val="Heading1"/>
    <w:next w:val="Normal"/>
    <w:uiPriority w:val="39"/>
    <w:qFormat/>
    <w:rsid w:val="00AD4170"/>
    <w:pPr>
      <w:keepLines/>
      <w:tabs>
        <w:tab w:val="clear" w:pos="-720"/>
      </w:tabs>
      <w:suppressAutoHyphens w:val="0"/>
      <w:spacing w:before="480" w:line="276" w:lineRule="auto"/>
      <w:jc w:val="left"/>
      <w:outlineLvl w:val="9"/>
    </w:pPr>
    <w:rPr>
      <w:rFonts w:ascii="Cambria" w:hAnsi="Cambria"/>
      <w:b/>
      <w:bCs/>
      <w:color w:val="365F91"/>
      <w:spacing w:val="0"/>
      <w:sz w:val="28"/>
      <w:szCs w:val="28"/>
      <w:u w:val="none"/>
      <w:lang w:val="en-US" w:eastAsia="x-none"/>
    </w:rPr>
  </w:style>
  <w:style w:type="character" w:styleId="Emphasis">
    <w:name w:val="Emphasis"/>
    <w:uiPriority w:val="20"/>
    <w:qFormat/>
    <w:rsid w:val="00AD4170"/>
    <w:rPr>
      <w:i/>
      <w:iCs/>
    </w:rPr>
  </w:style>
  <w:style w:type="character" w:customStyle="1" w:styleId="CommentTitleChar">
    <w:name w:val="Comment Title Char"/>
    <w:basedOn w:val="DefaultParagraphFont"/>
    <w:link w:val="CommentTitle"/>
    <w:locked/>
    <w:rsid w:val="000B4539"/>
    <w:rPr>
      <w:rFonts w:ascii="Arial Unicode MS" w:eastAsia="Arial Unicode MS" w:hAnsi="Arial Unicode MS" w:cs="Arial Unicode MS"/>
      <w:b/>
      <w:kern w:val="12"/>
      <w:szCs w:val="24"/>
    </w:rPr>
  </w:style>
  <w:style w:type="paragraph" w:customStyle="1" w:styleId="CommentTitle">
    <w:name w:val="Comment Title"/>
    <w:basedOn w:val="Normal"/>
    <w:next w:val="Normal"/>
    <w:link w:val="CommentTitleChar"/>
    <w:qFormat/>
    <w:rsid w:val="000B4539"/>
    <w:pPr>
      <w:keepNext/>
      <w:tabs>
        <w:tab w:val="left" w:pos="907"/>
      </w:tabs>
      <w:suppressAutoHyphens/>
      <w:spacing w:after="260" w:line="240" w:lineRule="atLeast"/>
      <w:outlineLvl w:val="2"/>
    </w:pPr>
    <w:rPr>
      <w:rFonts w:ascii="Arial Unicode MS" w:eastAsia="Arial Unicode MS" w:hAnsi="Arial Unicode MS" w:cs="Arial Unicode MS"/>
      <w:b/>
      <w:kern w:val="12"/>
      <w:sz w:val="20"/>
    </w:rPr>
  </w:style>
  <w:style w:type="character" w:customStyle="1" w:styleId="BalloonTextChar">
    <w:name w:val="Balloon Text Char"/>
    <w:basedOn w:val="DefaultParagraphFont"/>
    <w:link w:val="BalloonText"/>
    <w:uiPriority w:val="99"/>
    <w:semiHidden/>
    <w:rsid w:val="000B4539"/>
    <w:rPr>
      <w:rFonts w:ascii="Tahoma" w:hAnsi="Tahoma" w:cs="Tahoma"/>
      <w:sz w:val="16"/>
      <w:szCs w:val="16"/>
    </w:rPr>
  </w:style>
  <w:style w:type="table" w:styleId="GridTable1Light-Accent5">
    <w:name w:val="Grid Table 1 Light Accent 5"/>
    <w:basedOn w:val="TableNormal"/>
    <w:uiPriority w:val="46"/>
    <w:rsid w:val="009F0899"/>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unhideWhenUsed/>
    <w:rsid w:val="007B61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hr-HR" w:eastAsia="hr-HR"/>
    </w:rPr>
  </w:style>
  <w:style w:type="character" w:customStyle="1" w:styleId="HTMLPreformattedChar">
    <w:name w:val="HTML Preformatted Char"/>
    <w:basedOn w:val="DefaultParagraphFont"/>
    <w:link w:val="HTMLPreformatted"/>
    <w:uiPriority w:val="99"/>
    <w:rsid w:val="007B6195"/>
    <w:rPr>
      <w:rFonts w:ascii="Courier New" w:hAnsi="Courier New" w:cs="Courier New"/>
      <w:lang w:val="hr-HR" w:eastAsia="hr-HR"/>
    </w:rPr>
  </w:style>
  <w:style w:type="table" w:customStyle="1" w:styleId="GridTable5Dark-Accent51">
    <w:name w:val="Grid Table 5 Dark - Accent 51"/>
    <w:basedOn w:val="TableNormal"/>
    <w:next w:val="GridTable5Dark-Accent5"/>
    <w:uiPriority w:val="50"/>
    <w:rsid w:val="008D74A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Nerijeenospominjanje1">
    <w:name w:val="Neriješeno spominjanje1"/>
    <w:basedOn w:val="DefaultParagraphFont"/>
    <w:uiPriority w:val="99"/>
    <w:semiHidden/>
    <w:unhideWhenUsed/>
    <w:rsid w:val="008D74A3"/>
    <w:rPr>
      <w:color w:val="808080"/>
      <w:shd w:val="clear" w:color="auto" w:fill="E6E6E6"/>
    </w:rPr>
  </w:style>
  <w:style w:type="table" w:styleId="GridTable5Dark-Accent5">
    <w:name w:val="Grid Table 5 Dark Accent 5"/>
    <w:basedOn w:val="TableNormal"/>
    <w:uiPriority w:val="50"/>
    <w:rsid w:val="008D74A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CharStyle31">
    <w:name w:val="Char Style 31"/>
    <w:basedOn w:val="DefaultParagraphFont"/>
    <w:link w:val="Style26"/>
    <w:rsid w:val="004077C9"/>
    <w:rPr>
      <w:rFonts w:ascii="Arial" w:eastAsia="Arial" w:hAnsi="Arial" w:cs="Arial"/>
      <w:sz w:val="18"/>
      <w:szCs w:val="18"/>
      <w:shd w:val="clear" w:color="auto" w:fill="FFFFFF"/>
    </w:rPr>
  </w:style>
  <w:style w:type="paragraph" w:customStyle="1" w:styleId="Style26">
    <w:name w:val="Style 26"/>
    <w:basedOn w:val="Normal"/>
    <w:link w:val="CharStyle31"/>
    <w:qFormat/>
    <w:rsid w:val="004077C9"/>
    <w:pPr>
      <w:widowControl w:val="0"/>
      <w:shd w:val="clear" w:color="auto" w:fill="FFFFFF"/>
      <w:spacing w:before="140" w:line="216" w:lineRule="exact"/>
      <w:ind w:hanging="900"/>
    </w:pPr>
    <w:rPr>
      <w:rFonts w:ascii="Arial" w:eastAsia="Arial" w:hAnsi="Arial" w:cs="Arial"/>
      <w:sz w:val="18"/>
      <w:szCs w:val="18"/>
    </w:rPr>
  </w:style>
  <w:style w:type="character" w:customStyle="1" w:styleId="CharStyle65">
    <w:name w:val="Char Style 65"/>
    <w:basedOn w:val="CharStyle31"/>
    <w:semiHidden/>
    <w:unhideWhenUsed/>
    <w:rsid w:val="00D77C69"/>
    <w:rPr>
      <w:rFonts w:ascii="Arial" w:eastAsia="Arial" w:hAnsi="Arial" w:cs="Arial"/>
      <w:color w:val="000000"/>
      <w:spacing w:val="0"/>
      <w:w w:val="100"/>
      <w:position w:val="0"/>
      <w:sz w:val="16"/>
      <w:szCs w:val="16"/>
      <w:shd w:val="clear" w:color="auto" w:fill="FFFFFF"/>
      <w:lang w:val="en-US" w:eastAsia="en-US" w:bidi="en-US"/>
    </w:rPr>
  </w:style>
  <w:style w:type="character" w:customStyle="1" w:styleId="CharStyle118">
    <w:name w:val="Char Style 118"/>
    <w:basedOn w:val="CharStyle31"/>
    <w:semiHidden/>
    <w:unhideWhenUsed/>
    <w:rsid w:val="00D77C69"/>
    <w:rPr>
      <w:rFonts w:ascii="Arial" w:eastAsia="Arial" w:hAnsi="Arial" w:cs="Arial"/>
      <w:i/>
      <w:iCs/>
      <w:color w:val="000000"/>
      <w:spacing w:val="0"/>
      <w:w w:val="100"/>
      <w:position w:val="0"/>
      <w:sz w:val="16"/>
      <w:szCs w:val="16"/>
      <w:shd w:val="clear" w:color="auto" w:fill="FFFFFF"/>
      <w:lang w:val="en-US" w:eastAsia="en-US" w:bidi="en-US"/>
    </w:rPr>
  </w:style>
  <w:style w:type="character" w:customStyle="1" w:styleId="CharStyle3">
    <w:name w:val="Char Style 3"/>
    <w:basedOn w:val="DefaultParagraphFont"/>
    <w:link w:val="Style2"/>
    <w:rsid w:val="00C303A6"/>
    <w:rPr>
      <w:rFonts w:ascii="Arial" w:eastAsia="Arial" w:hAnsi="Arial" w:cs="Arial"/>
      <w:sz w:val="16"/>
      <w:szCs w:val="16"/>
      <w:shd w:val="clear" w:color="auto" w:fill="FFFFFF"/>
    </w:rPr>
  </w:style>
  <w:style w:type="paragraph" w:customStyle="1" w:styleId="Style2">
    <w:name w:val="Style 2"/>
    <w:basedOn w:val="Normal"/>
    <w:link w:val="CharStyle3"/>
    <w:rsid w:val="00C303A6"/>
    <w:pPr>
      <w:widowControl w:val="0"/>
      <w:shd w:val="clear" w:color="auto" w:fill="FFFFFF"/>
      <w:spacing w:line="216" w:lineRule="exact"/>
    </w:pPr>
    <w:rPr>
      <w:rFonts w:ascii="Arial" w:eastAsia="Arial" w:hAnsi="Arial" w:cs="Arial"/>
      <w:sz w:val="16"/>
      <w:szCs w:val="16"/>
    </w:rPr>
  </w:style>
  <w:style w:type="character" w:customStyle="1" w:styleId="CharStyle53">
    <w:name w:val="Char Style 53"/>
    <w:basedOn w:val="DefaultParagraphFont"/>
    <w:link w:val="Style44"/>
    <w:rsid w:val="00E30B7A"/>
    <w:rPr>
      <w:rFonts w:ascii="Arial" w:eastAsia="Arial" w:hAnsi="Arial" w:cs="Arial"/>
      <w:sz w:val="16"/>
      <w:szCs w:val="16"/>
      <w:shd w:val="clear" w:color="auto" w:fill="FFFFFF"/>
    </w:rPr>
  </w:style>
  <w:style w:type="paragraph" w:customStyle="1" w:styleId="Style44">
    <w:name w:val="Style 44"/>
    <w:basedOn w:val="Normal"/>
    <w:link w:val="CharStyle53"/>
    <w:rsid w:val="00E30B7A"/>
    <w:pPr>
      <w:widowControl w:val="0"/>
      <w:shd w:val="clear" w:color="auto" w:fill="FFFFFF"/>
      <w:spacing w:line="326" w:lineRule="exact"/>
      <w:ind w:hanging="380"/>
    </w:pPr>
    <w:rPr>
      <w:rFonts w:ascii="Arial" w:eastAsia="Arial" w:hAnsi="Arial" w:cs="Arial"/>
      <w:sz w:val="16"/>
      <w:szCs w:val="16"/>
    </w:rPr>
  </w:style>
  <w:style w:type="paragraph" w:customStyle="1" w:styleId="sez">
    <w:name w:val="sez"/>
    <w:rsid w:val="00AD3755"/>
    <w:pPr>
      <w:keepLines/>
      <w:widowControl w:val="0"/>
      <w:tabs>
        <w:tab w:val="left" w:pos="0"/>
        <w:tab w:val="left" w:pos="1077"/>
        <w:tab w:val="left" w:pos="2160"/>
        <w:tab w:val="left" w:pos="3237"/>
        <w:tab w:val="left" w:pos="4320"/>
        <w:tab w:val="left" w:pos="5397"/>
        <w:tab w:val="left" w:pos="6480"/>
        <w:tab w:val="left" w:pos="7557"/>
        <w:tab w:val="left" w:pos="8640"/>
        <w:tab w:val="left" w:pos="9717"/>
        <w:tab w:val="left" w:pos="10800"/>
        <w:tab w:val="left" w:pos="11883"/>
        <w:tab w:val="left" w:pos="12960"/>
        <w:tab w:val="left" w:pos="14037"/>
        <w:tab w:val="left" w:pos="15120"/>
        <w:tab w:val="left" w:pos="16197"/>
        <w:tab w:val="left" w:pos="17280"/>
        <w:tab w:val="left" w:pos="18357"/>
        <w:tab w:val="left" w:pos="19440"/>
        <w:tab w:val="left" w:pos="20517"/>
        <w:tab w:val="left" w:pos="21600"/>
        <w:tab w:val="left" w:pos="22677"/>
        <w:tab w:val="left" w:pos="23760"/>
        <w:tab w:val="left" w:pos="24843"/>
        <w:tab w:val="left" w:pos="25920"/>
        <w:tab w:val="left" w:pos="26997"/>
        <w:tab w:val="left" w:pos="28080"/>
        <w:tab w:val="left" w:pos="29157"/>
        <w:tab w:val="left" w:pos="30240"/>
        <w:tab w:val="left" w:pos="31317"/>
      </w:tabs>
      <w:spacing w:before="303" w:after="113" w:line="220" w:lineRule="atLeast"/>
      <w:jc w:val="both"/>
    </w:pPr>
    <w:rPr>
      <w:rFonts w:ascii="Times" w:eastAsiaTheme="minorHAnsi" w:hAnsi="Times" w:cstheme="minorBidi"/>
      <w:b/>
      <w:sz w:val="24"/>
      <w:szCs w:val="22"/>
      <w:lang w:val="en-GB" w:eastAsia="ko-KR"/>
    </w:rPr>
  </w:style>
  <w:style w:type="paragraph" w:customStyle="1" w:styleId="Tabletext">
    <w:name w:val="Tabletext"/>
    <w:basedOn w:val="Normal"/>
    <w:uiPriority w:val="99"/>
    <w:rsid w:val="00A361F7"/>
    <w:pPr>
      <w:ind w:left="153" w:hanging="153"/>
    </w:pPr>
    <w:rPr>
      <w:rFonts w:ascii="Futura Lt BT" w:hAnsi="Futura Lt BT" w:cs="Futura Lt BT"/>
      <w:sz w:val="18"/>
      <w:szCs w:val="18"/>
      <w:lang w:val="en-GB"/>
    </w:rPr>
  </w:style>
  <w:style w:type="character" w:styleId="LineNumber">
    <w:name w:val="line number"/>
    <w:basedOn w:val="DefaultParagraphFont"/>
    <w:semiHidden/>
    <w:unhideWhenUsed/>
    <w:rsid w:val="00CF697B"/>
  </w:style>
  <w:style w:type="paragraph" w:styleId="EndnoteText">
    <w:name w:val="endnote text"/>
    <w:basedOn w:val="Normal"/>
    <w:link w:val="EndnoteTextChar"/>
    <w:semiHidden/>
    <w:unhideWhenUsed/>
    <w:rsid w:val="00C224AD"/>
    <w:rPr>
      <w:sz w:val="20"/>
      <w:szCs w:val="20"/>
    </w:rPr>
  </w:style>
  <w:style w:type="character" w:customStyle="1" w:styleId="EndnoteTextChar">
    <w:name w:val="Endnote Text Char"/>
    <w:basedOn w:val="DefaultParagraphFont"/>
    <w:link w:val="EndnoteText"/>
    <w:semiHidden/>
    <w:rsid w:val="00C224AD"/>
  </w:style>
  <w:style w:type="character" w:styleId="EndnoteReference">
    <w:name w:val="endnote reference"/>
    <w:basedOn w:val="DefaultParagraphFont"/>
    <w:semiHidden/>
    <w:unhideWhenUsed/>
    <w:rsid w:val="00C224AD"/>
    <w:rPr>
      <w:vertAlign w:val="superscript"/>
    </w:rPr>
  </w:style>
  <w:style w:type="character" w:styleId="UnresolvedMention">
    <w:name w:val="Unresolved Mention"/>
    <w:basedOn w:val="DefaultParagraphFont"/>
    <w:uiPriority w:val="99"/>
    <w:semiHidden/>
    <w:unhideWhenUsed/>
    <w:rsid w:val="002B5EA8"/>
    <w:rPr>
      <w:color w:val="605E5C"/>
      <w:shd w:val="clear" w:color="auto" w:fill="E1DFDD"/>
    </w:rPr>
  </w:style>
  <w:style w:type="paragraph" w:customStyle="1" w:styleId="Naslovipoglavlja">
    <w:name w:val="Naslovi poglavlja"/>
    <w:basedOn w:val="Heading1"/>
    <w:rsid w:val="008D5A38"/>
    <w:pPr>
      <w:tabs>
        <w:tab w:val="clear" w:pos="-720"/>
      </w:tabs>
      <w:autoSpaceDN w:val="0"/>
      <w:textAlignment w:val="baseline"/>
    </w:pPr>
    <w:rPr>
      <w:rFonts w:ascii="Arial" w:hAnsi="Arial"/>
      <w:b/>
      <w:spacing w:val="0"/>
      <w:kern w:val="3"/>
      <w:sz w:val="28"/>
      <w:u w:val="none"/>
    </w:rPr>
  </w:style>
  <w:style w:type="paragraph" w:customStyle="1" w:styleId="KAMKNormal">
    <w:name w:val="KAMKNormal"/>
    <w:basedOn w:val="Normal"/>
    <w:link w:val="KAMKNormalChar"/>
    <w:qFormat/>
    <w:rsid w:val="00B24D98"/>
    <w:pPr>
      <w:suppressAutoHyphens/>
      <w:autoSpaceDN w:val="0"/>
      <w:spacing w:before="120" w:after="120"/>
      <w:textAlignment w:val="baseline"/>
    </w:pPr>
    <w:rPr>
      <w:rFonts w:ascii="Tahoma" w:hAnsi="Tahoma"/>
      <w:color w:val="000000"/>
      <w:sz w:val="22"/>
    </w:rPr>
  </w:style>
  <w:style w:type="character" w:customStyle="1" w:styleId="KAMKNormalChar">
    <w:name w:val="KAMKNormal Char"/>
    <w:link w:val="KAMKNormal"/>
    <w:rsid w:val="00B24D98"/>
    <w:rPr>
      <w:rFonts w:ascii="Tahoma" w:hAnsi="Tahoma"/>
      <w:color w:val="000000"/>
      <w:sz w:val="22"/>
      <w:szCs w:val="24"/>
    </w:rPr>
  </w:style>
  <w:style w:type="paragraph" w:customStyle="1" w:styleId="Bullet">
    <w:name w:val="Bullet"/>
    <w:basedOn w:val="Normal"/>
    <w:rsid w:val="00B24D98"/>
    <w:pPr>
      <w:numPr>
        <w:numId w:val="52"/>
      </w:numPr>
      <w:suppressAutoHyphens/>
      <w:autoSpaceDN w:val="0"/>
      <w:textAlignment w:val="baseline"/>
    </w:pPr>
  </w:style>
  <w:style w:type="numbering" w:customStyle="1" w:styleId="LFO6">
    <w:name w:val="LFO6"/>
    <w:basedOn w:val="NoList"/>
    <w:rsid w:val="00B24D98"/>
    <w:pPr>
      <w:numPr>
        <w:numId w:val="52"/>
      </w:numPr>
    </w:pPr>
  </w:style>
  <w:style w:type="paragraph" w:styleId="List">
    <w:name w:val="List"/>
    <w:basedOn w:val="Normal"/>
    <w:rsid w:val="00B24D98"/>
    <w:pPr>
      <w:suppressAutoHyphens/>
      <w:autoSpaceDN w:val="0"/>
      <w:ind w:left="283" w:hanging="283"/>
      <w:textAlignment w:val="baseline"/>
    </w:pPr>
    <w:rPr>
      <w:sz w:val="22"/>
      <w:szCs w:val="20"/>
      <w:lang w:val="en-GB"/>
    </w:rPr>
  </w:style>
  <w:style w:type="paragraph" w:customStyle="1" w:styleId="RNormal">
    <w:name w:val="RNormal"/>
    <w:basedOn w:val="Normal"/>
    <w:rsid w:val="00B24D98"/>
    <w:pPr>
      <w:autoSpaceDN w:val="0"/>
      <w:jc w:val="both"/>
    </w:pPr>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91733">
      <w:bodyDiv w:val="1"/>
      <w:marLeft w:val="0"/>
      <w:marRight w:val="0"/>
      <w:marTop w:val="0"/>
      <w:marBottom w:val="0"/>
      <w:divBdr>
        <w:top w:val="none" w:sz="0" w:space="0" w:color="auto"/>
        <w:left w:val="none" w:sz="0" w:space="0" w:color="auto"/>
        <w:bottom w:val="none" w:sz="0" w:space="0" w:color="auto"/>
        <w:right w:val="none" w:sz="0" w:space="0" w:color="auto"/>
      </w:divBdr>
    </w:div>
    <w:div w:id="20322706">
      <w:bodyDiv w:val="1"/>
      <w:marLeft w:val="0"/>
      <w:marRight w:val="0"/>
      <w:marTop w:val="0"/>
      <w:marBottom w:val="0"/>
      <w:divBdr>
        <w:top w:val="none" w:sz="0" w:space="0" w:color="auto"/>
        <w:left w:val="none" w:sz="0" w:space="0" w:color="auto"/>
        <w:bottom w:val="none" w:sz="0" w:space="0" w:color="auto"/>
        <w:right w:val="none" w:sz="0" w:space="0" w:color="auto"/>
      </w:divBdr>
    </w:div>
    <w:div w:id="49615726">
      <w:bodyDiv w:val="1"/>
      <w:marLeft w:val="0"/>
      <w:marRight w:val="0"/>
      <w:marTop w:val="0"/>
      <w:marBottom w:val="0"/>
      <w:divBdr>
        <w:top w:val="none" w:sz="0" w:space="0" w:color="auto"/>
        <w:left w:val="none" w:sz="0" w:space="0" w:color="auto"/>
        <w:bottom w:val="none" w:sz="0" w:space="0" w:color="auto"/>
        <w:right w:val="none" w:sz="0" w:space="0" w:color="auto"/>
      </w:divBdr>
    </w:div>
    <w:div w:id="143397691">
      <w:bodyDiv w:val="1"/>
      <w:marLeft w:val="0"/>
      <w:marRight w:val="0"/>
      <w:marTop w:val="0"/>
      <w:marBottom w:val="0"/>
      <w:divBdr>
        <w:top w:val="none" w:sz="0" w:space="0" w:color="auto"/>
        <w:left w:val="none" w:sz="0" w:space="0" w:color="auto"/>
        <w:bottom w:val="none" w:sz="0" w:space="0" w:color="auto"/>
        <w:right w:val="none" w:sz="0" w:space="0" w:color="auto"/>
      </w:divBdr>
    </w:div>
    <w:div w:id="147788956">
      <w:bodyDiv w:val="1"/>
      <w:marLeft w:val="0"/>
      <w:marRight w:val="0"/>
      <w:marTop w:val="0"/>
      <w:marBottom w:val="0"/>
      <w:divBdr>
        <w:top w:val="none" w:sz="0" w:space="0" w:color="auto"/>
        <w:left w:val="none" w:sz="0" w:space="0" w:color="auto"/>
        <w:bottom w:val="none" w:sz="0" w:space="0" w:color="auto"/>
        <w:right w:val="none" w:sz="0" w:space="0" w:color="auto"/>
      </w:divBdr>
    </w:div>
    <w:div w:id="179973344">
      <w:bodyDiv w:val="1"/>
      <w:marLeft w:val="0"/>
      <w:marRight w:val="0"/>
      <w:marTop w:val="0"/>
      <w:marBottom w:val="0"/>
      <w:divBdr>
        <w:top w:val="none" w:sz="0" w:space="0" w:color="auto"/>
        <w:left w:val="none" w:sz="0" w:space="0" w:color="auto"/>
        <w:bottom w:val="none" w:sz="0" w:space="0" w:color="auto"/>
        <w:right w:val="none" w:sz="0" w:space="0" w:color="auto"/>
      </w:divBdr>
    </w:div>
    <w:div w:id="209611538">
      <w:bodyDiv w:val="1"/>
      <w:marLeft w:val="0"/>
      <w:marRight w:val="0"/>
      <w:marTop w:val="0"/>
      <w:marBottom w:val="0"/>
      <w:divBdr>
        <w:top w:val="none" w:sz="0" w:space="0" w:color="auto"/>
        <w:left w:val="none" w:sz="0" w:space="0" w:color="auto"/>
        <w:bottom w:val="none" w:sz="0" w:space="0" w:color="auto"/>
        <w:right w:val="none" w:sz="0" w:space="0" w:color="auto"/>
      </w:divBdr>
    </w:div>
    <w:div w:id="223805578">
      <w:bodyDiv w:val="1"/>
      <w:marLeft w:val="0"/>
      <w:marRight w:val="0"/>
      <w:marTop w:val="0"/>
      <w:marBottom w:val="0"/>
      <w:divBdr>
        <w:top w:val="none" w:sz="0" w:space="0" w:color="auto"/>
        <w:left w:val="none" w:sz="0" w:space="0" w:color="auto"/>
        <w:bottom w:val="none" w:sz="0" w:space="0" w:color="auto"/>
        <w:right w:val="none" w:sz="0" w:space="0" w:color="auto"/>
      </w:divBdr>
    </w:div>
    <w:div w:id="224295944">
      <w:bodyDiv w:val="1"/>
      <w:marLeft w:val="0"/>
      <w:marRight w:val="0"/>
      <w:marTop w:val="0"/>
      <w:marBottom w:val="0"/>
      <w:divBdr>
        <w:top w:val="none" w:sz="0" w:space="0" w:color="auto"/>
        <w:left w:val="none" w:sz="0" w:space="0" w:color="auto"/>
        <w:bottom w:val="none" w:sz="0" w:space="0" w:color="auto"/>
        <w:right w:val="none" w:sz="0" w:space="0" w:color="auto"/>
      </w:divBdr>
    </w:div>
    <w:div w:id="226577391">
      <w:bodyDiv w:val="1"/>
      <w:marLeft w:val="0"/>
      <w:marRight w:val="0"/>
      <w:marTop w:val="0"/>
      <w:marBottom w:val="0"/>
      <w:divBdr>
        <w:top w:val="none" w:sz="0" w:space="0" w:color="auto"/>
        <w:left w:val="none" w:sz="0" w:space="0" w:color="auto"/>
        <w:bottom w:val="none" w:sz="0" w:space="0" w:color="auto"/>
        <w:right w:val="none" w:sz="0" w:space="0" w:color="auto"/>
      </w:divBdr>
    </w:div>
    <w:div w:id="247202689">
      <w:bodyDiv w:val="1"/>
      <w:marLeft w:val="0"/>
      <w:marRight w:val="0"/>
      <w:marTop w:val="0"/>
      <w:marBottom w:val="0"/>
      <w:divBdr>
        <w:top w:val="none" w:sz="0" w:space="0" w:color="auto"/>
        <w:left w:val="none" w:sz="0" w:space="0" w:color="auto"/>
        <w:bottom w:val="none" w:sz="0" w:space="0" w:color="auto"/>
        <w:right w:val="none" w:sz="0" w:space="0" w:color="auto"/>
      </w:divBdr>
    </w:div>
    <w:div w:id="295988690">
      <w:bodyDiv w:val="1"/>
      <w:marLeft w:val="0"/>
      <w:marRight w:val="0"/>
      <w:marTop w:val="0"/>
      <w:marBottom w:val="0"/>
      <w:divBdr>
        <w:top w:val="none" w:sz="0" w:space="0" w:color="auto"/>
        <w:left w:val="none" w:sz="0" w:space="0" w:color="auto"/>
        <w:bottom w:val="none" w:sz="0" w:space="0" w:color="auto"/>
        <w:right w:val="none" w:sz="0" w:space="0" w:color="auto"/>
      </w:divBdr>
    </w:div>
    <w:div w:id="326518459">
      <w:bodyDiv w:val="1"/>
      <w:marLeft w:val="0"/>
      <w:marRight w:val="0"/>
      <w:marTop w:val="0"/>
      <w:marBottom w:val="0"/>
      <w:divBdr>
        <w:top w:val="none" w:sz="0" w:space="0" w:color="auto"/>
        <w:left w:val="none" w:sz="0" w:space="0" w:color="auto"/>
        <w:bottom w:val="none" w:sz="0" w:space="0" w:color="auto"/>
        <w:right w:val="none" w:sz="0" w:space="0" w:color="auto"/>
      </w:divBdr>
    </w:div>
    <w:div w:id="376974746">
      <w:bodyDiv w:val="1"/>
      <w:marLeft w:val="0"/>
      <w:marRight w:val="0"/>
      <w:marTop w:val="0"/>
      <w:marBottom w:val="0"/>
      <w:divBdr>
        <w:top w:val="none" w:sz="0" w:space="0" w:color="auto"/>
        <w:left w:val="none" w:sz="0" w:space="0" w:color="auto"/>
        <w:bottom w:val="none" w:sz="0" w:space="0" w:color="auto"/>
        <w:right w:val="none" w:sz="0" w:space="0" w:color="auto"/>
      </w:divBdr>
      <w:divsChild>
        <w:div w:id="81952197">
          <w:marLeft w:val="0"/>
          <w:marRight w:val="0"/>
          <w:marTop w:val="0"/>
          <w:marBottom w:val="0"/>
          <w:divBdr>
            <w:top w:val="none" w:sz="0" w:space="0" w:color="auto"/>
            <w:left w:val="none" w:sz="0" w:space="0" w:color="auto"/>
            <w:bottom w:val="none" w:sz="0" w:space="0" w:color="auto"/>
            <w:right w:val="none" w:sz="0" w:space="0" w:color="auto"/>
          </w:divBdr>
          <w:divsChild>
            <w:div w:id="930701973">
              <w:marLeft w:val="0"/>
              <w:marRight w:val="0"/>
              <w:marTop w:val="0"/>
              <w:marBottom w:val="0"/>
              <w:divBdr>
                <w:top w:val="none" w:sz="0" w:space="0" w:color="auto"/>
                <w:left w:val="none" w:sz="0" w:space="0" w:color="auto"/>
                <w:bottom w:val="none" w:sz="0" w:space="0" w:color="auto"/>
                <w:right w:val="none" w:sz="0" w:space="0" w:color="auto"/>
              </w:divBdr>
              <w:divsChild>
                <w:div w:id="339502629">
                  <w:marLeft w:val="0"/>
                  <w:marRight w:val="0"/>
                  <w:marTop w:val="0"/>
                  <w:marBottom w:val="0"/>
                  <w:divBdr>
                    <w:top w:val="none" w:sz="0" w:space="0" w:color="auto"/>
                    <w:left w:val="none" w:sz="0" w:space="0" w:color="auto"/>
                    <w:bottom w:val="none" w:sz="0" w:space="0" w:color="auto"/>
                    <w:right w:val="none" w:sz="0" w:space="0" w:color="auto"/>
                  </w:divBdr>
                  <w:divsChild>
                    <w:div w:id="380860942">
                      <w:marLeft w:val="0"/>
                      <w:marRight w:val="0"/>
                      <w:marTop w:val="45"/>
                      <w:marBottom w:val="0"/>
                      <w:divBdr>
                        <w:top w:val="none" w:sz="0" w:space="0" w:color="auto"/>
                        <w:left w:val="none" w:sz="0" w:space="0" w:color="auto"/>
                        <w:bottom w:val="none" w:sz="0" w:space="0" w:color="auto"/>
                        <w:right w:val="none" w:sz="0" w:space="0" w:color="auto"/>
                      </w:divBdr>
                      <w:divsChild>
                        <w:div w:id="1659069030">
                          <w:marLeft w:val="0"/>
                          <w:marRight w:val="0"/>
                          <w:marTop w:val="0"/>
                          <w:marBottom w:val="0"/>
                          <w:divBdr>
                            <w:top w:val="none" w:sz="0" w:space="0" w:color="auto"/>
                            <w:left w:val="none" w:sz="0" w:space="0" w:color="auto"/>
                            <w:bottom w:val="none" w:sz="0" w:space="0" w:color="auto"/>
                            <w:right w:val="none" w:sz="0" w:space="0" w:color="auto"/>
                          </w:divBdr>
                          <w:divsChild>
                            <w:div w:id="226887973">
                              <w:marLeft w:val="2070"/>
                              <w:marRight w:val="3960"/>
                              <w:marTop w:val="0"/>
                              <w:marBottom w:val="0"/>
                              <w:divBdr>
                                <w:top w:val="none" w:sz="0" w:space="0" w:color="auto"/>
                                <w:left w:val="none" w:sz="0" w:space="0" w:color="auto"/>
                                <w:bottom w:val="none" w:sz="0" w:space="0" w:color="auto"/>
                                <w:right w:val="none" w:sz="0" w:space="0" w:color="auto"/>
                              </w:divBdr>
                              <w:divsChild>
                                <w:div w:id="1662541984">
                                  <w:marLeft w:val="0"/>
                                  <w:marRight w:val="0"/>
                                  <w:marTop w:val="0"/>
                                  <w:marBottom w:val="0"/>
                                  <w:divBdr>
                                    <w:top w:val="none" w:sz="0" w:space="0" w:color="auto"/>
                                    <w:left w:val="none" w:sz="0" w:space="0" w:color="auto"/>
                                    <w:bottom w:val="none" w:sz="0" w:space="0" w:color="auto"/>
                                    <w:right w:val="none" w:sz="0" w:space="0" w:color="auto"/>
                                  </w:divBdr>
                                  <w:divsChild>
                                    <w:div w:id="298995920">
                                      <w:marLeft w:val="0"/>
                                      <w:marRight w:val="0"/>
                                      <w:marTop w:val="0"/>
                                      <w:marBottom w:val="0"/>
                                      <w:divBdr>
                                        <w:top w:val="none" w:sz="0" w:space="0" w:color="auto"/>
                                        <w:left w:val="none" w:sz="0" w:space="0" w:color="auto"/>
                                        <w:bottom w:val="none" w:sz="0" w:space="0" w:color="auto"/>
                                        <w:right w:val="none" w:sz="0" w:space="0" w:color="auto"/>
                                      </w:divBdr>
                                      <w:divsChild>
                                        <w:div w:id="1969314593">
                                          <w:marLeft w:val="0"/>
                                          <w:marRight w:val="0"/>
                                          <w:marTop w:val="0"/>
                                          <w:marBottom w:val="0"/>
                                          <w:divBdr>
                                            <w:top w:val="none" w:sz="0" w:space="0" w:color="auto"/>
                                            <w:left w:val="none" w:sz="0" w:space="0" w:color="auto"/>
                                            <w:bottom w:val="none" w:sz="0" w:space="0" w:color="auto"/>
                                            <w:right w:val="none" w:sz="0" w:space="0" w:color="auto"/>
                                          </w:divBdr>
                                          <w:divsChild>
                                            <w:div w:id="982664013">
                                              <w:marLeft w:val="0"/>
                                              <w:marRight w:val="0"/>
                                              <w:marTop w:val="90"/>
                                              <w:marBottom w:val="0"/>
                                              <w:divBdr>
                                                <w:top w:val="none" w:sz="0" w:space="0" w:color="auto"/>
                                                <w:left w:val="none" w:sz="0" w:space="0" w:color="auto"/>
                                                <w:bottom w:val="none" w:sz="0" w:space="0" w:color="auto"/>
                                                <w:right w:val="none" w:sz="0" w:space="0" w:color="auto"/>
                                              </w:divBdr>
                                              <w:divsChild>
                                                <w:div w:id="266618513">
                                                  <w:marLeft w:val="0"/>
                                                  <w:marRight w:val="0"/>
                                                  <w:marTop w:val="0"/>
                                                  <w:marBottom w:val="0"/>
                                                  <w:divBdr>
                                                    <w:top w:val="none" w:sz="0" w:space="0" w:color="auto"/>
                                                    <w:left w:val="none" w:sz="0" w:space="0" w:color="auto"/>
                                                    <w:bottom w:val="none" w:sz="0" w:space="0" w:color="auto"/>
                                                    <w:right w:val="none" w:sz="0" w:space="0" w:color="auto"/>
                                                  </w:divBdr>
                                                  <w:divsChild>
                                                    <w:div w:id="1111125597">
                                                      <w:marLeft w:val="0"/>
                                                      <w:marRight w:val="0"/>
                                                      <w:marTop w:val="0"/>
                                                      <w:marBottom w:val="0"/>
                                                      <w:divBdr>
                                                        <w:top w:val="none" w:sz="0" w:space="0" w:color="auto"/>
                                                        <w:left w:val="none" w:sz="0" w:space="0" w:color="auto"/>
                                                        <w:bottom w:val="none" w:sz="0" w:space="0" w:color="auto"/>
                                                        <w:right w:val="none" w:sz="0" w:space="0" w:color="auto"/>
                                                      </w:divBdr>
                                                      <w:divsChild>
                                                        <w:div w:id="2123957283">
                                                          <w:marLeft w:val="0"/>
                                                          <w:marRight w:val="0"/>
                                                          <w:marTop w:val="0"/>
                                                          <w:marBottom w:val="390"/>
                                                          <w:divBdr>
                                                            <w:top w:val="none" w:sz="0" w:space="0" w:color="auto"/>
                                                            <w:left w:val="none" w:sz="0" w:space="0" w:color="auto"/>
                                                            <w:bottom w:val="none" w:sz="0" w:space="0" w:color="auto"/>
                                                            <w:right w:val="none" w:sz="0" w:space="0" w:color="auto"/>
                                                          </w:divBdr>
                                                          <w:divsChild>
                                                            <w:div w:id="1501627679">
                                                              <w:marLeft w:val="0"/>
                                                              <w:marRight w:val="0"/>
                                                              <w:marTop w:val="0"/>
                                                              <w:marBottom w:val="0"/>
                                                              <w:divBdr>
                                                                <w:top w:val="none" w:sz="0" w:space="0" w:color="auto"/>
                                                                <w:left w:val="none" w:sz="0" w:space="0" w:color="auto"/>
                                                                <w:bottom w:val="none" w:sz="0" w:space="0" w:color="auto"/>
                                                                <w:right w:val="none" w:sz="0" w:space="0" w:color="auto"/>
                                                              </w:divBdr>
                                                              <w:divsChild>
                                                                <w:div w:id="495919852">
                                                                  <w:marLeft w:val="0"/>
                                                                  <w:marRight w:val="0"/>
                                                                  <w:marTop w:val="0"/>
                                                                  <w:marBottom w:val="0"/>
                                                                  <w:divBdr>
                                                                    <w:top w:val="none" w:sz="0" w:space="0" w:color="auto"/>
                                                                    <w:left w:val="none" w:sz="0" w:space="0" w:color="auto"/>
                                                                    <w:bottom w:val="none" w:sz="0" w:space="0" w:color="auto"/>
                                                                    <w:right w:val="none" w:sz="0" w:space="0" w:color="auto"/>
                                                                  </w:divBdr>
                                                                  <w:divsChild>
                                                                    <w:div w:id="1872380740">
                                                                      <w:marLeft w:val="0"/>
                                                                      <w:marRight w:val="0"/>
                                                                      <w:marTop w:val="0"/>
                                                                      <w:marBottom w:val="0"/>
                                                                      <w:divBdr>
                                                                        <w:top w:val="none" w:sz="0" w:space="0" w:color="auto"/>
                                                                        <w:left w:val="none" w:sz="0" w:space="0" w:color="auto"/>
                                                                        <w:bottom w:val="none" w:sz="0" w:space="0" w:color="auto"/>
                                                                        <w:right w:val="none" w:sz="0" w:space="0" w:color="auto"/>
                                                                      </w:divBdr>
                                                                      <w:divsChild>
                                                                        <w:div w:id="1158956083">
                                                                          <w:marLeft w:val="0"/>
                                                                          <w:marRight w:val="0"/>
                                                                          <w:marTop w:val="0"/>
                                                                          <w:marBottom w:val="0"/>
                                                                          <w:divBdr>
                                                                            <w:top w:val="none" w:sz="0" w:space="0" w:color="auto"/>
                                                                            <w:left w:val="none" w:sz="0" w:space="0" w:color="auto"/>
                                                                            <w:bottom w:val="none" w:sz="0" w:space="0" w:color="auto"/>
                                                                            <w:right w:val="none" w:sz="0" w:space="0" w:color="auto"/>
                                                                          </w:divBdr>
                                                                          <w:divsChild>
                                                                            <w:div w:id="117844756">
                                                                              <w:marLeft w:val="0"/>
                                                                              <w:marRight w:val="0"/>
                                                                              <w:marTop w:val="0"/>
                                                                              <w:marBottom w:val="0"/>
                                                                              <w:divBdr>
                                                                                <w:top w:val="none" w:sz="0" w:space="0" w:color="auto"/>
                                                                                <w:left w:val="none" w:sz="0" w:space="0" w:color="auto"/>
                                                                                <w:bottom w:val="none" w:sz="0" w:space="0" w:color="auto"/>
                                                                                <w:right w:val="none" w:sz="0" w:space="0" w:color="auto"/>
                                                                              </w:divBdr>
                                                                              <w:divsChild>
                                                                                <w:div w:id="435752017">
                                                                                  <w:marLeft w:val="0"/>
                                                                                  <w:marRight w:val="0"/>
                                                                                  <w:marTop w:val="0"/>
                                                                                  <w:marBottom w:val="0"/>
                                                                                  <w:divBdr>
                                                                                    <w:top w:val="none" w:sz="0" w:space="0" w:color="auto"/>
                                                                                    <w:left w:val="none" w:sz="0" w:space="0" w:color="auto"/>
                                                                                    <w:bottom w:val="none" w:sz="0" w:space="0" w:color="auto"/>
                                                                                    <w:right w:val="none" w:sz="0" w:space="0" w:color="auto"/>
                                                                                  </w:divBdr>
                                                                                  <w:divsChild>
                                                                                    <w:div w:id="1658265689">
                                                                                      <w:marLeft w:val="0"/>
                                                                                      <w:marRight w:val="0"/>
                                                                                      <w:marTop w:val="0"/>
                                                                                      <w:marBottom w:val="0"/>
                                                                                      <w:divBdr>
                                                                                        <w:top w:val="none" w:sz="0" w:space="0" w:color="auto"/>
                                                                                        <w:left w:val="none" w:sz="0" w:space="0" w:color="auto"/>
                                                                                        <w:bottom w:val="none" w:sz="0" w:space="0" w:color="auto"/>
                                                                                        <w:right w:val="none" w:sz="0" w:space="0" w:color="auto"/>
                                                                                      </w:divBdr>
                                                                                      <w:divsChild>
                                                                                        <w:div w:id="150963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0130733">
      <w:bodyDiv w:val="1"/>
      <w:marLeft w:val="0"/>
      <w:marRight w:val="0"/>
      <w:marTop w:val="0"/>
      <w:marBottom w:val="0"/>
      <w:divBdr>
        <w:top w:val="none" w:sz="0" w:space="0" w:color="auto"/>
        <w:left w:val="none" w:sz="0" w:space="0" w:color="auto"/>
        <w:bottom w:val="none" w:sz="0" w:space="0" w:color="auto"/>
        <w:right w:val="none" w:sz="0" w:space="0" w:color="auto"/>
      </w:divBdr>
    </w:div>
    <w:div w:id="393891211">
      <w:bodyDiv w:val="1"/>
      <w:marLeft w:val="0"/>
      <w:marRight w:val="0"/>
      <w:marTop w:val="0"/>
      <w:marBottom w:val="0"/>
      <w:divBdr>
        <w:top w:val="none" w:sz="0" w:space="0" w:color="auto"/>
        <w:left w:val="none" w:sz="0" w:space="0" w:color="auto"/>
        <w:bottom w:val="none" w:sz="0" w:space="0" w:color="auto"/>
        <w:right w:val="none" w:sz="0" w:space="0" w:color="auto"/>
      </w:divBdr>
    </w:div>
    <w:div w:id="404030135">
      <w:bodyDiv w:val="1"/>
      <w:marLeft w:val="0"/>
      <w:marRight w:val="0"/>
      <w:marTop w:val="0"/>
      <w:marBottom w:val="0"/>
      <w:divBdr>
        <w:top w:val="none" w:sz="0" w:space="0" w:color="auto"/>
        <w:left w:val="none" w:sz="0" w:space="0" w:color="auto"/>
        <w:bottom w:val="none" w:sz="0" w:space="0" w:color="auto"/>
        <w:right w:val="none" w:sz="0" w:space="0" w:color="auto"/>
      </w:divBdr>
    </w:div>
    <w:div w:id="405492933">
      <w:bodyDiv w:val="1"/>
      <w:marLeft w:val="0"/>
      <w:marRight w:val="0"/>
      <w:marTop w:val="0"/>
      <w:marBottom w:val="0"/>
      <w:divBdr>
        <w:top w:val="none" w:sz="0" w:space="0" w:color="auto"/>
        <w:left w:val="none" w:sz="0" w:space="0" w:color="auto"/>
        <w:bottom w:val="none" w:sz="0" w:space="0" w:color="auto"/>
        <w:right w:val="none" w:sz="0" w:space="0" w:color="auto"/>
      </w:divBdr>
    </w:div>
    <w:div w:id="432475040">
      <w:bodyDiv w:val="1"/>
      <w:marLeft w:val="0"/>
      <w:marRight w:val="0"/>
      <w:marTop w:val="0"/>
      <w:marBottom w:val="0"/>
      <w:divBdr>
        <w:top w:val="none" w:sz="0" w:space="0" w:color="auto"/>
        <w:left w:val="none" w:sz="0" w:space="0" w:color="auto"/>
        <w:bottom w:val="none" w:sz="0" w:space="0" w:color="auto"/>
        <w:right w:val="none" w:sz="0" w:space="0" w:color="auto"/>
      </w:divBdr>
      <w:divsChild>
        <w:div w:id="1054238958">
          <w:marLeft w:val="0"/>
          <w:marRight w:val="0"/>
          <w:marTop w:val="0"/>
          <w:marBottom w:val="0"/>
          <w:divBdr>
            <w:top w:val="none" w:sz="0" w:space="0" w:color="auto"/>
            <w:left w:val="none" w:sz="0" w:space="0" w:color="auto"/>
            <w:bottom w:val="none" w:sz="0" w:space="0" w:color="auto"/>
            <w:right w:val="none" w:sz="0" w:space="0" w:color="auto"/>
          </w:divBdr>
          <w:divsChild>
            <w:div w:id="1242523230">
              <w:marLeft w:val="0"/>
              <w:marRight w:val="0"/>
              <w:marTop w:val="0"/>
              <w:marBottom w:val="0"/>
              <w:divBdr>
                <w:top w:val="none" w:sz="0" w:space="0" w:color="auto"/>
                <w:left w:val="none" w:sz="0" w:space="0" w:color="auto"/>
                <w:bottom w:val="none" w:sz="0" w:space="0" w:color="auto"/>
                <w:right w:val="none" w:sz="0" w:space="0" w:color="auto"/>
              </w:divBdr>
              <w:divsChild>
                <w:div w:id="972558926">
                  <w:marLeft w:val="0"/>
                  <w:marRight w:val="0"/>
                  <w:marTop w:val="0"/>
                  <w:marBottom w:val="0"/>
                  <w:divBdr>
                    <w:top w:val="none" w:sz="0" w:space="0" w:color="auto"/>
                    <w:left w:val="none" w:sz="0" w:space="0" w:color="auto"/>
                    <w:bottom w:val="none" w:sz="0" w:space="0" w:color="auto"/>
                    <w:right w:val="none" w:sz="0" w:space="0" w:color="auto"/>
                  </w:divBdr>
                  <w:divsChild>
                    <w:div w:id="44188374">
                      <w:marLeft w:val="0"/>
                      <w:marRight w:val="0"/>
                      <w:marTop w:val="45"/>
                      <w:marBottom w:val="0"/>
                      <w:divBdr>
                        <w:top w:val="none" w:sz="0" w:space="0" w:color="auto"/>
                        <w:left w:val="none" w:sz="0" w:space="0" w:color="auto"/>
                        <w:bottom w:val="none" w:sz="0" w:space="0" w:color="auto"/>
                        <w:right w:val="none" w:sz="0" w:space="0" w:color="auto"/>
                      </w:divBdr>
                      <w:divsChild>
                        <w:div w:id="1566992738">
                          <w:marLeft w:val="0"/>
                          <w:marRight w:val="0"/>
                          <w:marTop w:val="0"/>
                          <w:marBottom w:val="0"/>
                          <w:divBdr>
                            <w:top w:val="none" w:sz="0" w:space="0" w:color="auto"/>
                            <w:left w:val="none" w:sz="0" w:space="0" w:color="auto"/>
                            <w:bottom w:val="none" w:sz="0" w:space="0" w:color="auto"/>
                            <w:right w:val="none" w:sz="0" w:space="0" w:color="auto"/>
                          </w:divBdr>
                          <w:divsChild>
                            <w:div w:id="539099655">
                              <w:marLeft w:val="2070"/>
                              <w:marRight w:val="3960"/>
                              <w:marTop w:val="0"/>
                              <w:marBottom w:val="0"/>
                              <w:divBdr>
                                <w:top w:val="none" w:sz="0" w:space="0" w:color="auto"/>
                                <w:left w:val="none" w:sz="0" w:space="0" w:color="auto"/>
                                <w:bottom w:val="none" w:sz="0" w:space="0" w:color="auto"/>
                                <w:right w:val="none" w:sz="0" w:space="0" w:color="auto"/>
                              </w:divBdr>
                              <w:divsChild>
                                <w:div w:id="1638609851">
                                  <w:marLeft w:val="0"/>
                                  <w:marRight w:val="0"/>
                                  <w:marTop w:val="0"/>
                                  <w:marBottom w:val="0"/>
                                  <w:divBdr>
                                    <w:top w:val="none" w:sz="0" w:space="0" w:color="auto"/>
                                    <w:left w:val="none" w:sz="0" w:space="0" w:color="auto"/>
                                    <w:bottom w:val="none" w:sz="0" w:space="0" w:color="auto"/>
                                    <w:right w:val="none" w:sz="0" w:space="0" w:color="auto"/>
                                  </w:divBdr>
                                  <w:divsChild>
                                    <w:div w:id="424377639">
                                      <w:marLeft w:val="0"/>
                                      <w:marRight w:val="0"/>
                                      <w:marTop w:val="0"/>
                                      <w:marBottom w:val="0"/>
                                      <w:divBdr>
                                        <w:top w:val="none" w:sz="0" w:space="0" w:color="auto"/>
                                        <w:left w:val="none" w:sz="0" w:space="0" w:color="auto"/>
                                        <w:bottom w:val="none" w:sz="0" w:space="0" w:color="auto"/>
                                        <w:right w:val="none" w:sz="0" w:space="0" w:color="auto"/>
                                      </w:divBdr>
                                      <w:divsChild>
                                        <w:div w:id="476386499">
                                          <w:marLeft w:val="0"/>
                                          <w:marRight w:val="0"/>
                                          <w:marTop w:val="0"/>
                                          <w:marBottom w:val="0"/>
                                          <w:divBdr>
                                            <w:top w:val="none" w:sz="0" w:space="0" w:color="auto"/>
                                            <w:left w:val="none" w:sz="0" w:space="0" w:color="auto"/>
                                            <w:bottom w:val="none" w:sz="0" w:space="0" w:color="auto"/>
                                            <w:right w:val="none" w:sz="0" w:space="0" w:color="auto"/>
                                          </w:divBdr>
                                          <w:divsChild>
                                            <w:div w:id="763919246">
                                              <w:marLeft w:val="0"/>
                                              <w:marRight w:val="0"/>
                                              <w:marTop w:val="90"/>
                                              <w:marBottom w:val="0"/>
                                              <w:divBdr>
                                                <w:top w:val="none" w:sz="0" w:space="0" w:color="auto"/>
                                                <w:left w:val="none" w:sz="0" w:space="0" w:color="auto"/>
                                                <w:bottom w:val="none" w:sz="0" w:space="0" w:color="auto"/>
                                                <w:right w:val="none" w:sz="0" w:space="0" w:color="auto"/>
                                              </w:divBdr>
                                              <w:divsChild>
                                                <w:div w:id="995649047">
                                                  <w:marLeft w:val="0"/>
                                                  <w:marRight w:val="0"/>
                                                  <w:marTop w:val="0"/>
                                                  <w:marBottom w:val="0"/>
                                                  <w:divBdr>
                                                    <w:top w:val="none" w:sz="0" w:space="0" w:color="auto"/>
                                                    <w:left w:val="none" w:sz="0" w:space="0" w:color="auto"/>
                                                    <w:bottom w:val="none" w:sz="0" w:space="0" w:color="auto"/>
                                                    <w:right w:val="none" w:sz="0" w:space="0" w:color="auto"/>
                                                  </w:divBdr>
                                                  <w:divsChild>
                                                    <w:div w:id="1370834483">
                                                      <w:marLeft w:val="0"/>
                                                      <w:marRight w:val="0"/>
                                                      <w:marTop w:val="0"/>
                                                      <w:marBottom w:val="0"/>
                                                      <w:divBdr>
                                                        <w:top w:val="none" w:sz="0" w:space="0" w:color="auto"/>
                                                        <w:left w:val="none" w:sz="0" w:space="0" w:color="auto"/>
                                                        <w:bottom w:val="none" w:sz="0" w:space="0" w:color="auto"/>
                                                        <w:right w:val="none" w:sz="0" w:space="0" w:color="auto"/>
                                                      </w:divBdr>
                                                      <w:divsChild>
                                                        <w:div w:id="773675520">
                                                          <w:marLeft w:val="0"/>
                                                          <w:marRight w:val="0"/>
                                                          <w:marTop w:val="0"/>
                                                          <w:marBottom w:val="390"/>
                                                          <w:divBdr>
                                                            <w:top w:val="none" w:sz="0" w:space="0" w:color="auto"/>
                                                            <w:left w:val="none" w:sz="0" w:space="0" w:color="auto"/>
                                                            <w:bottom w:val="none" w:sz="0" w:space="0" w:color="auto"/>
                                                            <w:right w:val="none" w:sz="0" w:space="0" w:color="auto"/>
                                                          </w:divBdr>
                                                          <w:divsChild>
                                                            <w:div w:id="1075206091">
                                                              <w:marLeft w:val="0"/>
                                                              <w:marRight w:val="0"/>
                                                              <w:marTop w:val="0"/>
                                                              <w:marBottom w:val="0"/>
                                                              <w:divBdr>
                                                                <w:top w:val="none" w:sz="0" w:space="0" w:color="auto"/>
                                                                <w:left w:val="none" w:sz="0" w:space="0" w:color="auto"/>
                                                                <w:bottom w:val="none" w:sz="0" w:space="0" w:color="auto"/>
                                                                <w:right w:val="none" w:sz="0" w:space="0" w:color="auto"/>
                                                              </w:divBdr>
                                                              <w:divsChild>
                                                                <w:div w:id="2064057456">
                                                                  <w:marLeft w:val="0"/>
                                                                  <w:marRight w:val="0"/>
                                                                  <w:marTop w:val="0"/>
                                                                  <w:marBottom w:val="0"/>
                                                                  <w:divBdr>
                                                                    <w:top w:val="none" w:sz="0" w:space="0" w:color="auto"/>
                                                                    <w:left w:val="none" w:sz="0" w:space="0" w:color="auto"/>
                                                                    <w:bottom w:val="none" w:sz="0" w:space="0" w:color="auto"/>
                                                                    <w:right w:val="none" w:sz="0" w:space="0" w:color="auto"/>
                                                                  </w:divBdr>
                                                                  <w:divsChild>
                                                                    <w:div w:id="442261727">
                                                                      <w:marLeft w:val="0"/>
                                                                      <w:marRight w:val="0"/>
                                                                      <w:marTop w:val="0"/>
                                                                      <w:marBottom w:val="0"/>
                                                                      <w:divBdr>
                                                                        <w:top w:val="none" w:sz="0" w:space="0" w:color="auto"/>
                                                                        <w:left w:val="none" w:sz="0" w:space="0" w:color="auto"/>
                                                                        <w:bottom w:val="none" w:sz="0" w:space="0" w:color="auto"/>
                                                                        <w:right w:val="none" w:sz="0" w:space="0" w:color="auto"/>
                                                                      </w:divBdr>
                                                                      <w:divsChild>
                                                                        <w:div w:id="2078747368">
                                                                          <w:marLeft w:val="0"/>
                                                                          <w:marRight w:val="0"/>
                                                                          <w:marTop w:val="0"/>
                                                                          <w:marBottom w:val="0"/>
                                                                          <w:divBdr>
                                                                            <w:top w:val="none" w:sz="0" w:space="0" w:color="auto"/>
                                                                            <w:left w:val="none" w:sz="0" w:space="0" w:color="auto"/>
                                                                            <w:bottom w:val="none" w:sz="0" w:space="0" w:color="auto"/>
                                                                            <w:right w:val="none" w:sz="0" w:space="0" w:color="auto"/>
                                                                          </w:divBdr>
                                                                          <w:divsChild>
                                                                            <w:div w:id="1685015660">
                                                                              <w:marLeft w:val="0"/>
                                                                              <w:marRight w:val="0"/>
                                                                              <w:marTop w:val="0"/>
                                                                              <w:marBottom w:val="0"/>
                                                                              <w:divBdr>
                                                                                <w:top w:val="none" w:sz="0" w:space="0" w:color="auto"/>
                                                                                <w:left w:val="none" w:sz="0" w:space="0" w:color="auto"/>
                                                                                <w:bottom w:val="none" w:sz="0" w:space="0" w:color="auto"/>
                                                                                <w:right w:val="none" w:sz="0" w:space="0" w:color="auto"/>
                                                                              </w:divBdr>
                                                                              <w:divsChild>
                                                                                <w:div w:id="1371756990">
                                                                                  <w:marLeft w:val="0"/>
                                                                                  <w:marRight w:val="0"/>
                                                                                  <w:marTop w:val="0"/>
                                                                                  <w:marBottom w:val="0"/>
                                                                                  <w:divBdr>
                                                                                    <w:top w:val="none" w:sz="0" w:space="0" w:color="auto"/>
                                                                                    <w:left w:val="none" w:sz="0" w:space="0" w:color="auto"/>
                                                                                    <w:bottom w:val="none" w:sz="0" w:space="0" w:color="auto"/>
                                                                                    <w:right w:val="none" w:sz="0" w:space="0" w:color="auto"/>
                                                                                  </w:divBdr>
                                                                                  <w:divsChild>
                                                                                    <w:div w:id="1033656795">
                                                                                      <w:marLeft w:val="0"/>
                                                                                      <w:marRight w:val="0"/>
                                                                                      <w:marTop w:val="0"/>
                                                                                      <w:marBottom w:val="0"/>
                                                                                      <w:divBdr>
                                                                                        <w:top w:val="none" w:sz="0" w:space="0" w:color="auto"/>
                                                                                        <w:left w:val="none" w:sz="0" w:space="0" w:color="auto"/>
                                                                                        <w:bottom w:val="none" w:sz="0" w:space="0" w:color="auto"/>
                                                                                        <w:right w:val="none" w:sz="0" w:space="0" w:color="auto"/>
                                                                                      </w:divBdr>
                                                                                      <w:divsChild>
                                                                                        <w:div w:id="80990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5948288">
      <w:bodyDiv w:val="1"/>
      <w:marLeft w:val="0"/>
      <w:marRight w:val="0"/>
      <w:marTop w:val="0"/>
      <w:marBottom w:val="0"/>
      <w:divBdr>
        <w:top w:val="none" w:sz="0" w:space="0" w:color="auto"/>
        <w:left w:val="none" w:sz="0" w:space="0" w:color="auto"/>
        <w:bottom w:val="none" w:sz="0" w:space="0" w:color="auto"/>
        <w:right w:val="none" w:sz="0" w:space="0" w:color="auto"/>
      </w:divBdr>
    </w:div>
    <w:div w:id="461269932">
      <w:bodyDiv w:val="1"/>
      <w:marLeft w:val="0"/>
      <w:marRight w:val="0"/>
      <w:marTop w:val="0"/>
      <w:marBottom w:val="0"/>
      <w:divBdr>
        <w:top w:val="none" w:sz="0" w:space="0" w:color="auto"/>
        <w:left w:val="none" w:sz="0" w:space="0" w:color="auto"/>
        <w:bottom w:val="none" w:sz="0" w:space="0" w:color="auto"/>
        <w:right w:val="none" w:sz="0" w:space="0" w:color="auto"/>
      </w:divBdr>
    </w:div>
    <w:div w:id="481701932">
      <w:bodyDiv w:val="1"/>
      <w:marLeft w:val="0"/>
      <w:marRight w:val="0"/>
      <w:marTop w:val="0"/>
      <w:marBottom w:val="0"/>
      <w:divBdr>
        <w:top w:val="none" w:sz="0" w:space="0" w:color="auto"/>
        <w:left w:val="none" w:sz="0" w:space="0" w:color="auto"/>
        <w:bottom w:val="none" w:sz="0" w:space="0" w:color="auto"/>
        <w:right w:val="none" w:sz="0" w:space="0" w:color="auto"/>
      </w:divBdr>
      <w:divsChild>
        <w:div w:id="25910533">
          <w:marLeft w:val="0"/>
          <w:marRight w:val="0"/>
          <w:marTop w:val="0"/>
          <w:marBottom w:val="0"/>
          <w:divBdr>
            <w:top w:val="none" w:sz="0" w:space="0" w:color="auto"/>
            <w:left w:val="none" w:sz="0" w:space="0" w:color="auto"/>
            <w:bottom w:val="none" w:sz="0" w:space="0" w:color="auto"/>
            <w:right w:val="none" w:sz="0" w:space="0" w:color="auto"/>
          </w:divBdr>
          <w:divsChild>
            <w:div w:id="571504718">
              <w:marLeft w:val="0"/>
              <w:marRight w:val="0"/>
              <w:marTop w:val="0"/>
              <w:marBottom w:val="0"/>
              <w:divBdr>
                <w:top w:val="none" w:sz="0" w:space="0" w:color="auto"/>
                <w:left w:val="none" w:sz="0" w:space="0" w:color="auto"/>
                <w:bottom w:val="none" w:sz="0" w:space="0" w:color="auto"/>
                <w:right w:val="none" w:sz="0" w:space="0" w:color="auto"/>
              </w:divBdr>
              <w:divsChild>
                <w:div w:id="1754233832">
                  <w:marLeft w:val="0"/>
                  <w:marRight w:val="0"/>
                  <w:marTop w:val="0"/>
                  <w:marBottom w:val="0"/>
                  <w:divBdr>
                    <w:top w:val="none" w:sz="0" w:space="0" w:color="auto"/>
                    <w:left w:val="none" w:sz="0" w:space="0" w:color="auto"/>
                    <w:bottom w:val="none" w:sz="0" w:space="0" w:color="auto"/>
                    <w:right w:val="none" w:sz="0" w:space="0" w:color="auto"/>
                  </w:divBdr>
                  <w:divsChild>
                    <w:div w:id="2061978775">
                      <w:marLeft w:val="0"/>
                      <w:marRight w:val="0"/>
                      <w:marTop w:val="0"/>
                      <w:marBottom w:val="0"/>
                      <w:divBdr>
                        <w:top w:val="none" w:sz="0" w:space="0" w:color="auto"/>
                        <w:left w:val="none" w:sz="0" w:space="0" w:color="auto"/>
                        <w:bottom w:val="none" w:sz="0" w:space="0" w:color="auto"/>
                        <w:right w:val="none" w:sz="0" w:space="0" w:color="auto"/>
                      </w:divBdr>
                      <w:divsChild>
                        <w:div w:id="64863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9470105">
      <w:bodyDiv w:val="1"/>
      <w:marLeft w:val="0"/>
      <w:marRight w:val="0"/>
      <w:marTop w:val="0"/>
      <w:marBottom w:val="0"/>
      <w:divBdr>
        <w:top w:val="none" w:sz="0" w:space="0" w:color="auto"/>
        <w:left w:val="none" w:sz="0" w:space="0" w:color="auto"/>
        <w:bottom w:val="none" w:sz="0" w:space="0" w:color="auto"/>
        <w:right w:val="none" w:sz="0" w:space="0" w:color="auto"/>
      </w:divBdr>
    </w:div>
    <w:div w:id="578751418">
      <w:bodyDiv w:val="1"/>
      <w:marLeft w:val="0"/>
      <w:marRight w:val="0"/>
      <w:marTop w:val="0"/>
      <w:marBottom w:val="0"/>
      <w:divBdr>
        <w:top w:val="none" w:sz="0" w:space="0" w:color="auto"/>
        <w:left w:val="none" w:sz="0" w:space="0" w:color="auto"/>
        <w:bottom w:val="none" w:sz="0" w:space="0" w:color="auto"/>
        <w:right w:val="none" w:sz="0" w:space="0" w:color="auto"/>
      </w:divBdr>
    </w:div>
    <w:div w:id="642777936">
      <w:bodyDiv w:val="1"/>
      <w:marLeft w:val="0"/>
      <w:marRight w:val="0"/>
      <w:marTop w:val="0"/>
      <w:marBottom w:val="0"/>
      <w:divBdr>
        <w:top w:val="none" w:sz="0" w:space="0" w:color="auto"/>
        <w:left w:val="none" w:sz="0" w:space="0" w:color="auto"/>
        <w:bottom w:val="none" w:sz="0" w:space="0" w:color="auto"/>
        <w:right w:val="none" w:sz="0" w:space="0" w:color="auto"/>
      </w:divBdr>
    </w:div>
    <w:div w:id="689719456">
      <w:bodyDiv w:val="1"/>
      <w:marLeft w:val="0"/>
      <w:marRight w:val="0"/>
      <w:marTop w:val="0"/>
      <w:marBottom w:val="0"/>
      <w:divBdr>
        <w:top w:val="none" w:sz="0" w:space="0" w:color="auto"/>
        <w:left w:val="none" w:sz="0" w:space="0" w:color="auto"/>
        <w:bottom w:val="none" w:sz="0" w:space="0" w:color="auto"/>
        <w:right w:val="none" w:sz="0" w:space="0" w:color="auto"/>
      </w:divBdr>
    </w:div>
    <w:div w:id="717432954">
      <w:bodyDiv w:val="1"/>
      <w:marLeft w:val="0"/>
      <w:marRight w:val="0"/>
      <w:marTop w:val="0"/>
      <w:marBottom w:val="0"/>
      <w:divBdr>
        <w:top w:val="none" w:sz="0" w:space="0" w:color="auto"/>
        <w:left w:val="none" w:sz="0" w:space="0" w:color="auto"/>
        <w:bottom w:val="none" w:sz="0" w:space="0" w:color="auto"/>
        <w:right w:val="none" w:sz="0" w:space="0" w:color="auto"/>
      </w:divBdr>
    </w:div>
    <w:div w:id="723257458">
      <w:bodyDiv w:val="1"/>
      <w:marLeft w:val="0"/>
      <w:marRight w:val="0"/>
      <w:marTop w:val="0"/>
      <w:marBottom w:val="0"/>
      <w:divBdr>
        <w:top w:val="none" w:sz="0" w:space="0" w:color="auto"/>
        <w:left w:val="none" w:sz="0" w:space="0" w:color="auto"/>
        <w:bottom w:val="none" w:sz="0" w:space="0" w:color="auto"/>
        <w:right w:val="none" w:sz="0" w:space="0" w:color="auto"/>
      </w:divBdr>
      <w:divsChild>
        <w:div w:id="610206074">
          <w:marLeft w:val="0"/>
          <w:marRight w:val="0"/>
          <w:marTop w:val="0"/>
          <w:marBottom w:val="0"/>
          <w:divBdr>
            <w:top w:val="none" w:sz="0" w:space="0" w:color="auto"/>
            <w:left w:val="none" w:sz="0" w:space="0" w:color="auto"/>
            <w:bottom w:val="none" w:sz="0" w:space="0" w:color="auto"/>
            <w:right w:val="none" w:sz="0" w:space="0" w:color="auto"/>
          </w:divBdr>
          <w:divsChild>
            <w:div w:id="1503541810">
              <w:marLeft w:val="0"/>
              <w:marRight w:val="0"/>
              <w:marTop w:val="0"/>
              <w:marBottom w:val="0"/>
              <w:divBdr>
                <w:top w:val="none" w:sz="0" w:space="0" w:color="auto"/>
                <w:left w:val="none" w:sz="0" w:space="0" w:color="auto"/>
                <w:bottom w:val="none" w:sz="0" w:space="0" w:color="auto"/>
                <w:right w:val="none" w:sz="0" w:space="0" w:color="auto"/>
              </w:divBdr>
              <w:divsChild>
                <w:div w:id="1745642118">
                  <w:marLeft w:val="0"/>
                  <w:marRight w:val="0"/>
                  <w:marTop w:val="0"/>
                  <w:marBottom w:val="0"/>
                  <w:divBdr>
                    <w:top w:val="none" w:sz="0" w:space="0" w:color="auto"/>
                    <w:left w:val="none" w:sz="0" w:space="0" w:color="auto"/>
                    <w:bottom w:val="none" w:sz="0" w:space="0" w:color="auto"/>
                    <w:right w:val="none" w:sz="0" w:space="0" w:color="auto"/>
                  </w:divBdr>
                  <w:divsChild>
                    <w:div w:id="738865408">
                      <w:marLeft w:val="0"/>
                      <w:marRight w:val="0"/>
                      <w:marTop w:val="0"/>
                      <w:marBottom w:val="0"/>
                      <w:divBdr>
                        <w:top w:val="none" w:sz="0" w:space="0" w:color="auto"/>
                        <w:left w:val="none" w:sz="0" w:space="0" w:color="auto"/>
                        <w:bottom w:val="none" w:sz="0" w:space="0" w:color="auto"/>
                        <w:right w:val="none" w:sz="0" w:space="0" w:color="auto"/>
                      </w:divBdr>
                      <w:divsChild>
                        <w:div w:id="1293169382">
                          <w:marLeft w:val="0"/>
                          <w:marRight w:val="0"/>
                          <w:marTop w:val="0"/>
                          <w:marBottom w:val="3900"/>
                          <w:divBdr>
                            <w:top w:val="none" w:sz="0" w:space="0" w:color="auto"/>
                            <w:left w:val="none" w:sz="0" w:space="0" w:color="auto"/>
                            <w:bottom w:val="none" w:sz="0" w:space="0" w:color="auto"/>
                            <w:right w:val="none" w:sz="0" w:space="0" w:color="auto"/>
                          </w:divBdr>
                        </w:div>
                      </w:divsChild>
                    </w:div>
                  </w:divsChild>
                </w:div>
              </w:divsChild>
            </w:div>
          </w:divsChild>
        </w:div>
      </w:divsChild>
    </w:div>
    <w:div w:id="760763895">
      <w:bodyDiv w:val="1"/>
      <w:marLeft w:val="0"/>
      <w:marRight w:val="0"/>
      <w:marTop w:val="0"/>
      <w:marBottom w:val="0"/>
      <w:divBdr>
        <w:top w:val="none" w:sz="0" w:space="0" w:color="auto"/>
        <w:left w:val="none" w:sz="0" w:space="0" w:color="auto"/>
        <w:bottom w:val="none" w:sz="0" w:space="0" w:color="auto"/>
        <w:right w:val="none" w:sz="0" w:space="0" w:color="auto"/>
      </w:divBdr>
    </w:div>
    <w:div w:id="777331312">
      <w:bodyDiv w:val="1"/>
      <w:marLeft w:val="0"/>
      <w:marRight w:val="0"/>
      <w:marTop w:val="0"/>
      <w:marBottom w:val="0"/>
      <w:divBdr>
        <w:top w:val="none" w:sz="0" w:space="0" w:color="auto"/>
        <w:left w:val="none" w:sz="0" w:space="0" w:color="auto"/>
        <w:bottom w:val="none" w:sz="0" w:space="0" w:color="auto"/>
        <w:right w:val="none" w:sz="0" w:space="0" w:color="auto"/>
      </w:divBdr>
    </w:div>
    <w:div w:id="799343479">
      <w:bodyDiv w:val="1"/>
      <w:marLeft w:val="0"/>
      <w:marRight w:val="0"/>
      <w:marTop w:val="0"/>
      <w:marBottom w:val="0"/>
      <w:divBdr>
        <w:top w:val="none" w:sz="0" w:space="0" w:color="auto"/>
        <w:left w:val="none" w:sz="0" w:space="0" w:color="auto"/>
        <w:bottom w:val="none" w:sz="0" w:space="0" w:color="auto"/>
        <w:right w:val="none" w:sz="0" w:space="0" w:color="auto"/>
      </w:divBdr>
    </w:div>
    <w:div w:id="802119275">
      <w:bodyDiv w:val="1"/>
      <w:marLeft w:val="0"/>
      <w:marRight w:val="0"/>
      <w:marTop w:val="0"/>
      <w:marBottom w:val="0"/>
      <w:divBdr>
        <w:top w:val="none" w:sz="0" w:space="0" w:color="auto"/>
        <w:left w:val="none" w:sz="0" w:space="0" w:color="auto"/>
        <w:bottom w:val="none" w:sz="0" w:space="0" w:color="auto"/>
        <w:right w:val="none" w:sz="0" w:space="0" w:color="auto"/>
      </w:divBdr>
    </w:div>
    <w:div w:id="807623299">
      <w:bodyDiv w:val="1"/>
      <w:marLeft w:val="0"/>
      <w:marRight w:val="0"/>
      <w:marTop w:val="0"/>
      <w:marBottom w:val="0"/>
      <w:divBdr>
        <w:top w:val="none" w:sz="0" w:space="0" w:color="auto"/>
        <w:left w:val="none" w:sz="0" w:space="0" w:color="auto"/>
        <w:bottom w:val="none" w:sz="0" w:space="0" w:color="auto"/>
        <w:right w:val="none" w:sz="0" w:space="0" w:color="auto"/>
      </w:divBdr>
    </w:div>
    <w:div w:id="814446720">
      <w:bodyDiv w:val="1"/>
      <w:marLeft w:val="0"/>
      <w:marRight w:val="0"/>
      <w:marTop w:val="0"/>
      <w:marBottom w:val="0"/>
      <w:divBdr>
        <w:top w:val="none" w:sz="0" w:space="0" w:color="auto"/>
        <w:left w:val="none" w:sz="0" w:space="0" w:color="auto"/>
        <w:bottom w:val="none" w:sz="0" w:space="0" w:color="auto"/>
        <w:right w:val="none" w:sz="0" w:space="0" w:color="auto"/>
      </w:divBdr>
    </w:div>
    <w:div w:id="826747907">
      <w:bodyDiv w:val="1"/>
      <w:marLeft w:val="0"/>
      <w:marRight w:val="0"/>
      <w:marTop w:val="0"/>
      <w:marBottom w:val="0"/>
      <w:divBdr>
        <w:top w:val="none" w:sz="0" w:space="0" w:color="auto"/>
        <w:left w:val="none" w:sz="0" w:space="0" w:color="auto"/>
        <w:bottom w:val="none" w:sz="0" w:space="0" w:color="auto"/>
        <w:right w:val="none" w:sz="0" w:space="0" w:color="auto"/>
      </w:divBdr>
    </w:div>
    <w:div w:id="866334694">
      <w:bodyDiv w:val="1"/>
      <w:marLeft w:val="0"/>
      <w:marRight w:val="0"/>
      <w:marTop w:val="0"/>
      <w:marBottom w:val="0"/>
      <w:divBdr>
        <w:top w:val="none" w:sz="0" w:space="0" w:color="auto"/>
        <w:left w:val="none" w:sz="0" w:space="0" w:color="auto"/>
        <w:bottom w:val="none" w:sz="0" w:space="0" w:color="auto"/>
        <w:right w:val="none" w:sz="0" w:space="0" w:color="auto"/>
      </w:divBdr>
    </w:div>
    <w:div w:id="875654673">
      <w:bodyDiv w:val="1"/>
      <w:marLeft w:val="0"/>
      <w:marRight w:val="0"/>
      <w:marTop w:val="0"/>
      <w:marBottom w:val="0"/>
      <w:divBdr>
        <w:top w:val="none" w:sz="0" w:space="0" w:color="auto"/>
        <w:left w:val="none" w:sz="0" w:space="0" w:color="auto"/>
        <w:bottom w:val="none" w:sz="0" w:space="0" w:color="auto"/>
        <w:right w:val="none" w:sz="0" w:space="0" w:color="auto"/>
      </w:divBdr>
    </w:div>
    <w:div w:id="898788906">
      <w:bodyDiv w:val="1"/>
      <w:marLeft w:val="0"/>
      <w:marRight w:val="0"/>
      <w:marTop w:val="0"/>
      <w:marBottom w:val="0"/>
      <w:divBdr>
        <w:top w:val="none" w:sz="0" w:space="0" w:color="auto"/>
        <w:left w:val="none" w:sz="0" w:space="0" w:color="auto"/>
        <w:bottom w:val="none" w:sz="0" w:space="0" w:color="auto"/>
        <w:right w:val="none" w:sz="0" w:space="0" w:color="auto"/>
      </w:divBdr>
    </w:div>
    <w:div w:id="924459215">
      <w:bodyDiv w:val="1"/>
      <w:marLeft w:val="0"/>
      <w:marRight w:val="0"/>
      <w:marTop w:val="0"/>
      <w:marBottom w:val="0"/>
      <w:divBdr>
        <w:top w:val="none" w:sz="0" w:space="0" w:color="auto"/>
        <w:left w:val="none" w:sz="0" w:space="0" w:color="auto"/>
        <w:bottom w:val="none" w:sz="0" w:space="0" w:color="auto"/>
        <w:right w:val="none" w:sz="0" w:space="0" w:color="auto"/>
      </w:divBdr>
      <w:divsChild>
        <w:div w:id="110981273">
          <w:marLeft w:val="0"/>
          <w:marRight w:val="0"/>
          <w:marTop w:val="0"/>
          <w:marBottom w:val="0"/>
          <w:divBdr>
            <w:top w:val="none" w:sz="0" w:space="0" w:color="auto"/>
            <w:left w:val="none" w:sz="0" w:space="0" w:color="auto"/>
            <w:bottom w:val="none" w:sz="0" w:space="0" w:color="auto"/>
            <w:right w:val="none" w:sz="0" w:space="0" w:color="auto"/>
          </w:divBdr>
          <w:divsChild>
            <w:div w:id="1072309918">
              <w:marLeft w:val="0"/>
              <w:marRight w:val="0"/>
              <w:marTop w:val="0"/>
              <w:marBottom w:val="0"/>
              <w:divBdr>
                <w:top w:val="none" w:sz="0" w:space="0" w:color="auto"/>
                <w:left w:val="none" w:sz="0" w:space="0" w:color="auto"/>
                <w:bottom w:val="none" w:sz="0" w:space="0" w:color="auto"/>
                <w:right w:val="none" w:sz="0" w:space="0" w:color="auto"/>
              </w:divBdr>
              <w:divsChild>
                <w:div w:id="1244491018">
                  <w:marLeft w:val="0"/>
                  <w:marRight w:val="0"/>
                  <w:marTop w:val="0"/>
                  <w:marBottom w:val="0"/>
                  <w:divBdr>
                    <w:top w:val="none" w:sz="0" w:space="0" w:color="auto"/>
                    <w:left w:val="none" w:sz="0" w:space="0" w:color="auto"/>
                    <w:bottom w:val="none" w:sz="0" w:space="0" w:color="auto"/>
                    <w:right w:val="none" w:sz="0" w:space="0" w:color="auto"/>
                  </w:divBdr>
                  <w:divsChild>
                    <w:div w:id="1515999303">
                      <w:marLeft w:val="0"/>
                      <w:marRight w:val="0"/>
                      <w:marTop w:val="0"/>
                      <w:marBottom w:val="0"/>
                      <w:divBdr>
                        <w:top w:val="none" w:sz="0" w:space="0" w:color="auto"/>
                        <w:left w:val="none" w:sz="0" w:space="0" w:color="auto"/>
                        <w:bottom w:val="none" w:sz="0" w:space="0" w:color="auto"/>
                        <w:right w:val="none" w:sz="0" w:space="0" w:color="auto"/>
                      </w:divBdr>
                      <w:divsChild>
                        <w:div w:id="829055575">
                          <w:marLeft w:val="0"/>
                          <w:marRight w:val="0"/>
                          <w:marTop w:val="0"/>
                          <w:marBottom w:val="0"/>
                          <w:divBdr>
                            <w:top w:val="none" w:sz="0" w:space="0" w:color="auto"/>
                            <w:left w:val="none" w:sz="0" w:space="0" w:color="auto"/>
                            <w:bottom w:val="none" w:sz="0" w:space="0" w:color="auto"/>
                            <w:right w:val="none" w:sz="0" w:space="0" w:color="auto"/>
                          </w:divBdr>
                          <w:divsChild>
                            <w:div w:id="1490096117">
                              <w:marLeft w:val="0"/>
                              <w:marRight w:val="0"/>
                              <w:marTop w:val="0"/>
                              <w:marBottom w:val="0"/>
                              <w:divBdr>
                                <w:top w:val="none" w:sz="0" w:space="0" w:color="auto"/>
                                <w:left w:val="none" w:sz="0" w:space="0" w:color="auto"/>
                                <w:bottom w:val="none" w:sz="0" w:space="0" w:color="auto"/>
                                <w:right w:val="none" w:sz="0" w:space="0" w:color="auto"/>
                              </w:divBdr>
                              <w:divsChild>
                                <w:div w:id="170841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0142987">
      <w:bodyDiv w:val="1"/>
      <w:marLeft w:val="0"/>
      <w:marRight w:val="0"/>
      <w:marTop w:val="0"/>
      <w:marBottom w:val="0"/>
      <w:divBdr>
        <w:top w:val="none" w:sz="0" w:space="0" w:color="auto"/>
        <w:left w:val="none" w:sz="0" w:space="0" w:color="auto"/>
        <w:bottom w:val="none" w:sz="0" w:space="0" w:color="auto"/>
        <w:right w:val="none" w:sz="0" w:space="0" w:color="auto"/>
      </w:divBdr>
    </w:div>
    <w:div w:id="968435764">
      <w:bodyDiv w:val="1"/>
      <w:marLeft w:val="0"/>
      <w:marRight w:val="0"/>
      <w:marTop w:val="0"/>
      <w:marBottom w:val="0"/>
      <w:divBdr>
        <w:top w:val="none" w:sz="0" w:space="0" w:color="auto"/>
        <w:left w:val="none" w:sz="0" w:space="0" w:color="auto"/>
        <w:bottom w:val="none" w:sz="0" w:space="0" w:color="auto"/>
        <w:right w:val="none" w:sz="0" w:space="0" w:color="auto"/>
      </w:divBdr>
    </w:div>
    <w:div w:id="1008604777">
      <w:bodyDiv w:val="1"/>
      <w:marLeft w:val="0"/>
      <w:marRight w:val="0"/>
      <w:marTop w:val="0"/>
      <w:marBottom w:val="0"/>
      <w:divBdr>
        <w:top w:val="none" w:sz="0" w:space="0" w:color="auto"/>
        <w:left w:val="none" w:sz="0" w:space="0" w:color="auto"/>
        <w:bottom w:val="none" w:sz="0" w:space="0" w:color="auto"/>
        <w:right w:val="none" w:sz="0" w:space="0" w:color="auto"/>
      </w:divBdr>
    </w:div>
    <w:div w:id="1016544577">
      <w:bodyDiv w:val="1"/>
      <w:marLeft w:val="0"/>
      <w:marRight w:val="0"/>
      <w:marTop w:val="0"/>
      <w:marBottom w:val="0"/>
      <w:divBdr>
        <w:top w:val="none" w:sz="0" w:space="0" w:color="auto"/>
        <w:left w:val="none" w:sz="0" w:space="0" w:color="auto"/>
        <w:bottom w:val="none" w:sz="0" w:space="0" w:color="auto"/>
        <w:right w:val="none" w:sz="0" w:space="0" w:color="auto"/>
      </w:divBdr>
    </w:div>
    <w:div w:id="1035496759">
      <w:bodyDiv w:val="1"/>
      <w:marLeft w:val="0"/>
      <w:marRight w:val="0"/>
      <w:marTop w:val="0"/>
      <w:marBottom w:val="0"/>
      <w:divBdr>
        <w:top w:val="none" w:sz="0" w:space="0" w:color="auto"/>
        <w:left w:val="none" w:sz="0" w:space="0" w:color="auto"/>
        <w:bottom w:val="none" w:sz="0" w:space="0" w:color="auto"/>
        <w:right w:val="none" w:sz="0" w:space="0" w:color="auto"/>
      </w:divBdr>
    </w:div>
    <w:div w:id="1044793280">
      <w:bodyDiv w:val="1"/>
      <w:marLeft w:val="0"/>
      <w:marRight w:val="0"/>
      <w:marTop w:val="0"/>
      <w:marBottom w:val="0"/>
      <w:divBdr>
        <w:top w:val="none" w:sz="0" w:space="0" w:color="auto"/>
        <w:left w:val="none" w:sz="0" w:space="0" w:color="auto"/>
        <w:bottom w:val="none" w:sz="0" w:space="0" w:color="auto"/>
        <w:right w:val="none" w:sz="0" w:space="0" w:color="auto"/>
      </w:divBdr>
    </w:div>
    <w:div w:id="1047531207">
      <w:bodyDiv w:val="1"/>
      <w:marLeft w:val="0"/>
      <w:marRight w:val="0"/>
      <w:marTop w:val="0"/>
      <w:marBottom w:val="0"/>
      <w:divBdr>
        <w:top w:val="none" w:sz="0" w:space="0" w:color="auto"/>
        <w:left w:val="none" w:sz="0" w:space="0" w:color="auto"/>
        <w:bottom w:val="none" w:sz="0" w:space="0" w:color="auto"/>
        <w:right w:val="none" w:sz="0" w:space="0" w:color="auto"/>
      </w:divBdr>
    </w:div>
    <w:div w:id="1093362087">
      <w:bodyDiv w:val="1"/>
      <w:marLeft w:val="0"/>
      <w:marRight w:val="0"/>
      <w:marTop w:val="0"/>
      <w:marBottom w:val="0"/>
      <w:divBdr>
        <w:top w:val="none" w:sz="0" w:space="0" w:color="auto"/>
        <w:left w:val="none" w:sz="0" w:space="0" w:color="auto"/>
        <w:bottom w:val="none" w:sz="0" w:space="0" w:color="auto"/>
        <w:right w:val="none" w:sz="0" w:space="0" w:color="auto"/>
      </w:divBdr>
    </w:div>
    <w:div w:id="1098405866">
      <w:bodyDiv w:val="1"/>
      <w:marLeft w:val="0"/>
      <w:marRight w:val="0"/>
      <w:marTop w:val="0"/>
      <w:marBottom w:val="0"/>
      <w:divBdr>
        <w:top w:val="none" w:sz="0" w:space="0" w:color="auto"/>
        <w:left w:val="none" w:sz="0" w:space="0" w:color="auto"/>
        <w:bottom w:val="none" w:sz="0" w:space="0" w:color="auto"/>
        <w:right w:val="none" w:sz="0" w:space="0" w:color="auto"/>
      </w:divBdr>
    </w:div>
    <w:div w:id="1114054851">
      <w:bodyDiv w:val="1"/>
      <w:marLeft w:val="0"/>
      <w:marRight w:val="0"/>
      <w:marTop w:val="0"/>
      <w:marBottom w:val="0"/>
      <w:divBdr>
        <w:top w:val="none" w:sz="0" w:space="0" w:color="auto"/>
        <w:left w:val="none" w:sz="0" w:space="0" w:color="auto"/>
        <w:bottom w:val="none" w:sz="0" w:space="0" w:color="auto"/>
        <w:right w:val="none" w:sz="0" w:space="0" w:color="auto"/>
      </w:divBdr>
    </w:div>
    <w:div w:id="1115291711">
      <w:bodyDiv w:val="1"/>
      <w:marLeft w:val="0"/>
      <w:marRight w:val="0"/>
      <w:marTop w:val="0"/>
      <w:marBottom w:val="0"/>
      <w:divBdr>
        <w:top w:val="none" w:sz="0" w:space="0" w:color="auto"/>
        <w:left w:val="none" w:sz="0" w:space="0" w:color="auto"/>
        <w:bottom w:val="none" w:sz="0" w:space="0" w:color="auto"/>
        <w:right w:val="none" w:sz="0" w:space="0" w:color="auto"/>
      </w:divBdr>
      <w:divsChild>
        <w:div w:id="1181968546">
          <w:marLeft w:val="0"/>
          <w:marRight w:val="0"/>
          <w:marTop w:val="0"/>
          <w:marBottom w:val="0"/>
          <w:divBdr>
            <w:top w:val="none" w:sz="0" w:space="0" w:color="auto"/>
            <w:left w:val="none" w:sz="0" w:space="0" w:color="auto"/>
            <w:bottom w:val="none" w:sz="0" w:space="0" w:color="auto"/>
            <w:right w:val="none" w:sz="0" w:space="0" w:color="auto"/>
          </w:divBdr>
          <w:divsChild>
            <w:div w:id="1796217860">
              <w:marLeft w:val="0"/>
              <w:marRight w:val="0"/>
              <w:marTop w:val="0"/>
              <w:marBottom w:val="0"/>
              <w:divBdr>
                <w:top w:val="none" w:sz="0" w:space="0" w:color="auto"/>
                <w:left w:val="none" w:sz="0" w:space="0" w:color="auto"/>
                <w:bottom w:val="none" w:sz="0" w:space="0" w:color="auto"/>
                <w:right w:val="none" w:sz="0" w:space="0" w:color="auto"/>
              </w:divBdr>
              <w:divsChild>
                <w:div w:id="1364939931">
                  <w:marLeft w:val="0"/>
                  <w:marRight w:val="0"/>
                  <w:marTop w:val="0"/>
                  <w:marBottom w:val="0"/>
                  <w:divBdr>
                    <w:top w:val="none" w:sz="0" w:space="0" w:color="auto"/>
                    <w:left w:val="none" w:sz="0" w:space="0" w:color="auto"/>
                    <w:bottom w:val="none" w:sz="0" w:space="0" w:color="auto"/>
                    <w:right w:val="none" w:sz="0" w:space="0" w:color="auto"/>
                  </w:divBdr>
                  <w:divsChild>
                    <w:div w:id="825322245">
                      <w:marLeft w:val="0"/>
                      <w:marRight w:val="0"/>
                      <w:marTop w:val="45"/>
                      <w:marBottom w:val="0"/>
                      <w:divBdr>
                        <w:top w:val="none" w:sz="0" w:space="0" w:color="auto"/>
                        <w:left w:val="none" w:sz="0" w:space="0" w:color="auto"/>
                        <w:bottom w:val="none" w:sz="0" w:space="0" w:color="auto"/>
                        <w:right w:val="none" w:sz="0" w:space="0" w:color="auto"/>
                      </w:divBdr>
                      <w:divsChild>
                        <w:div w:id="1053849199">
                          <w:marLeft w:val="0"/>
                          <w:marRight w:val="0"/>
                          <w:marTop w:val="0"/>
                          <w:marBottom w:val="0"/>
                          <w:divBdr>
                            <w:top w:val="none" w:sz="0" w:space="0" w:color="auto"/>
                            <w:left w:val="none" w:sz="0" w:space="0" w:color="auto"/>
                            <w:bottom w:val="none" w:sz="0" w:space="0" w:color="auto"/>
                            <w:right w:val="none" w:sz="0" w:space="0" w:color="auto"/>
                          </w:divBdr>
                          <w:divsChild>
                            <w:div w:id="228926108">
                              <w:marLeft w:val="2070"/>
                              <w:marRight w:val="3960"/>
                              <w:marTop w:val="0"/>
                              <w:marBottom w:val="0"/>
                              <w:divBdr>
                                <w:top w:val="none" w:sz="0" w:space="0" w:color="auto"/>
                                <w:left w:val="none" w:sz="0" w:space="0" w:color="auto"/>
                                <w:bottom w:val="none" w:sz="0" w:space="0" w:color="auto"/>
                                <w:right w:val="none" w:sz="0" w:space="0" w:color="auto"/>
                              </w:divBdr>
                              <w:divsChild>
                                <w:div w:id="1723938043">
                                  <w:marLeft w:val="0"/>
                                  <w:marRight w:val="0"/>
                                  <w:marTop w:val="0"/>
                                  <w:marBottom w:val="0"/>
                                  <w:divBdr>
                                    <w:top w:val="none" w:sz="0" w:space="0" w:color="auto"/>
                                    <w:left w:val="none" w:sz="0" w:space="0" w:color="auto"/>
                                    <w:bottom w:val="none" w:sz="0" w:space="0" w:color="auto"/>
                                    <w:right w:val="none" w:sz="0" w:space="0" w:color="auto"/>
                                  </w:divBdr>
                                  <w:divsChild>
                                    <w:div w:id="2138142144">
                                      <w:marLeft w:val="0"/>
                                      <w:marRight w:val="0"/>
                                      <w:marTop w:val="0"/>
                                      <w:marBottom w:val="0"/>
                                      <w:divBdr>
                                        <w:top w:val="none" w:sz="0" w:space="0" w:color="auto"/>
                                        <w:left w:val="none" w:sz="0" w:space="0" w:color="auto"/>
                                        <w:bottom w:val="none" w:sz="0" w:space="0" w:color="auto"/>
                                        <w:right w:val="none" w:sz="0" w:space="0" w:color="auto"/>
                                      </w:divBdr>
                                      <w:divsChild>
                                        <w:div w:id="1921481636">
                                          <w:marLeft w:val="0"/>
                                          <w:marRight w:val="0"/>
                                          <w:marTop w:val="0"/>
                                          <w:marBottom w:val="0"/>
                                          <w:divBdr>
                                            <w:top w:val="none" w:sz="0" w:space="0" w:color="auto"/>
                                            <w:left w:val="none" w:sz="0" w:space="0" w:color="auto"/>
                                            <w:bottom w:val="none" w:sz="0" w:space="0" w:color="auto"/>
                                            <w:right w:val="none" w:sz="0" w:space="0" w:color="auto"/>
                                          </w:divBdr>
                                          <w:divsChild>
                                            <w:div w:id="2013602234">
                                              <w:marLeft w:val="0"/>
                                              <w:marRight w:val="0"/>
                                              <w:marTop w:val="90"/>
                                              <w:marBottom w:val="0"/>
                                              <w:divBdr>
                                                <w:top w:val="none" w:sz="0" w:space="0" w:color="auto"/>
                                                <w:left w:val="none" w:sz="0" w:space="0" w:color="auto"/>
                                                <w:bottom w:val="none" w:sz="0" w:space="0" w:color="auto"/>
                                                <w:right w:val="none" w:sz="0" w:space="0" w:color="auto"/>
                                              </w:divBdr>
                                              <w:divsChild>
                                                <w:div w:id="1461995238">
                                                  <w:marLeft w:val="0"/>
                                                  <w:marRight w:val="0"/>
                                                  <w:marTop w:val="0"/>
                                                  <w:marBottom w:val="0"/>
                                                  <w:divBdr>
                                                    <w:top w:val="none" w:sz="0" w:space="0" w:color="auto"/>
                                                    <w:left w:val="none" w:sz="0" w:space="0" w:color="auto"/>
                                                    <w:bottom w:val="none" w:sz="0" w:space="0" w:color="auto"/>
                                                    <w:right w:val="none" w:sz="0" w:space="0" w:color="auto"/>
                                                  </w:divBdr>
                                                  <w:divsChild>
                                                    <w:div w:id="787359469">
                                                      <w:marLeft w:val="0"/>
                                                      <w:marRight w:val="0"/>
                                                      <w:marTop w:val="0"/>
                                                      <w:marBottom w:val="0"/>
                                                      <w:divBdr>
                                                        <w:top w:val="none" w:sz="0" w:space="0" w:color="auto"/>
                                                        <w:left w:val="none" w:sz="0" w:space="0" w:color="auto"/>
                                                        <w:bottom w:val="none" w:sz="0" w:space="0" w:color="auto"/>
                                                        <w:right w:val="none" w:sz="0" w:space="0" w:color="auto"/>
                                                      </w:divBdr>
                                                      <w:divsChild>
                                                        <w:div w:id="1517883931">
                                                          <w:marLeft w:val="0"/>
                                                          <w:marRight w:val="0"/>
                                                          <w:marTop w:val="0"/>
                                                          <w:marBottom w:val="390"/>
                                                          <w:divBdr>
                                                            <w:top w:val="none" w:sz="0" w:space="0" w:color="auto"/>
                                                            <w:left w:val="none" w:sz="0" w:space="0" w:color="auto"/>
                                                            <w:bottom w:val="none" w:sz="0" w:space="0" w:color="auto"/>
                                                            <w:right w:val="none" w:sz="0" w:space="0" w:color="auto"/>
                                                          </w:divBdr>
                                                          <w:divsChild>
                                                            <w:div w:id="1537767221">
                                                              <w:marLeft w:val="0"/>
                                                              <w:marRight w:val="0"/>
                                                              <w:marTop w:val="0"/>
                                                              <w:marBottom w:val="0"/>
                                                              <w:divBdr>
                                                                <w:top w:val="none" w:sz="0" w:space="0" w:color="auto"/>
                                                                <w:left w:val="none" w:sz="0" w:space="0" w:color="auto"/>
                                                                <w:bottom w:val="none" w:sz="0" w:space="0" w:color="auto"/>
                                                                <w:right w:val="none" w:sz="0" w:space="0" w:color="auto"/>
                                                              </w:divBdr>
                                                              <w:divsChild>
                                                                <w:div w:id="332074971">
                                                                  <w:marLeft w:val="0"/>
                                                                  <w:marRight w:val="0"/>
                                                                  <w:marTop w:val="0"/>
                                                                  <w:marBottom w:val="0"/>
                                                                  <w:divBdr>
                                                                    <w:top w:val="none" w:sz="0" w:space="0" w:color="auto"/>
                                                                    <w:left w:val="none" w:sz="0" w:space="0" w:color="auto"/>
                                                                    <w:bottom w:val="none" w:sz="0" w:space="0" w:color="auto"/>
                                                                    <w:right w:val="none" w:sz="0" w:space="0" w:color="auto"/>
                                                                  </w:divBdr>
                                                                  <w:divsChild>
                                                                    <w:div w:id="1535382913">
                                                                      <w:marLeft w:val="0"/>
                                                                      <w:marRight w:val="0"/>
                                                                      <w:marTop w:val="0"/>
                                                                      <w:marBottom w:val="0"/>
                                                                      <w:divBdr>
                                                                        <w:top w:val="none" w:sz="0" w:space="0" w:color="auto"/>
                                                                        <w:left w:val="none" w:sz="0" w:space="0" w:color="auto"/>
                                                                        <w:bottom w:val="none" w:sz="0" w:space="0" w:color="auto"/>
                                                                        <w:right w:val="none" w:sz="0" w:space="0" w:color="auto"/>
                                                                      </w:divBdr>
                                                                      <w:divsChild>
                                                                        <w:div w:id="1712924720">
                                                                          <w:marLeft w:val="0"/>
                                                                          <w:marRight w:val="0"/>
                                                                          <w:marTop w:val="0"/>
                                                                          <w:marBottom w:val="0"/>
                                                                          <w:divBdr>
                                                                            <w:top w:val="none" w:sz="0" w:space="0" w:color="auto"/>
                                                                            <w:left w:val="none" w:sz="0" w:space="0" w:color="auto"/>
                                                                            <w:bottom w:val="none" w:sz="0" w:space="0" w:color="auto"/>
                                                                            <w:right w:val="none" w:sz="0" w:space="0" w:color="auto"/>
                                                                          </w:divBdr>
                                                                          <w:divsChild>
                                                                            <w:div w:id="597063047">
                                                                              <w:marLeft w:val="0"/>
                                                                              <w:marRight w:val="0"/>
                                                                              <w:marTop w:val="0"/>
                                                                              <w:marBottom w:val="0"/>
                                                                              <w:divBdr>
                                                                                <w:top w:val="none" w:sz="0" w:space="0" w:color="auto"/>
                                                                                <w:left w:val="none" w:sz="0" w:space="0" w:color="auto"/>
                                                                                <w:bottom w:val="none" w:sz="0" w:space="0" w:color="auto"/>
                                                                                <w:right w:val="none" w:sz="0" w:space="0" w:color="auto"/>
                                                                              </w:divBdr>
                                                                              <w:divsChild>
                                                                                <w:div w:id="986056478">
                                                                                  <w:marLeft w:val="0"/>
                                                                                  <w:marRight w:val="0"/>
                                                                                  <w:marTop w:val="0"/>
                                                                                  <w:marBottom w:val="0"/>
                                                                                  <w:divBdr>
                                                                                    <w:top w:val="none" w:sz="0" w:space="0" w:color="auto"/>
                                                                                    <w:left w:val="none" w:sz="0" w:space="0" w:color="auto"/>
                                                                                    <w:bottom w:val="none" w:sz="0" w:space="0" w:color="auto"/>
                                                                                    <w:right w:val="none" w:sz="0" w:space="0" w:color="auto"/>
                                                                                  </w:divBdr>
                                                                                  <w:divsChild>
                                                                                    <w:div w:id="594242088">
                                                                                      <w:marLeft w:val="0"/>
                                                                                      <w:marRight w:val="0"/>
                                                                                      <w:marTop w:val="0"/>
                                                                                      <w:marBottom w:val="0"/>
                                                                                      <w:divBdr>
                                                                                        <w:top w:val="none" w:sz="0" w:space="0" w:color="auto"/>
                                                                                        <w:left w:val="none" w:sz="0" w:space="0" w:color="auto"/>
                                                                                        <w:bottom w:val="none" w:sz="0" w:space="0" w:color="auto"/>
                                                                                        <w:right w:val="none" w:sz="0" w:space="0" w:color="auto"/>
                                                                                      </w:divBdr>
                                                                                      <w:divsChild>
                                                                                        <w:div w:id="166960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8306466">
      <w:bodyDiv w:val="1"/>
      <w:marLeft w:val="0"/>
      <w:marRight w:val="0"/>
      <w:marTop w:val="0"/>
      <w:marBottom w:val="0"/>
      <w:divBdr>
        <w:top w:val="none" w:sz="0" w:space="0" w:color="auto"/>
        <w:left w:val="none" w:sz="0" w:space="0" w:color="auto"/>
        <w:bottom w:val="none" w:sz="0" w:space="0" w:color="auto"/>
        <w:right w:val="none" w:sz="0" w:space="0" w:color="auto"/>
      </w:divBdr>
    </w:div>
    <w:div w:id="1153528388">
      <w:bodyDiv w:val="1"/>
      <w:marLeft w:val="0"/>
      <w:marRight w:val="0"/>
      <w:marTop w:val="0"/>
      <w:marBottom w:val="0"/>
      <w:divBdr>
        <w:top w:val="none" w:sz="0" w:space="0" w:color="auto"/>
        <w:left w:val="none" w:sz="0" w:space="0" w:color="auto"/>
        <w:bottom w:val="none" w:sz="0" w:space="0" w:color="auto"/>
        <w:right w:val="none" w:sz="0" w:space="0" w:color="auto"/>
      </w:divBdr>
    </w:div>
    <w:div w:id="1226796903">
      <w:bodyDiv w:val="1"/>
      <w:marLeft w:val="0"/>
      <w:marRight w:val="0"/>
      <w:marTop w:val="0"/>
      <w:marBottom w:val="0"/>
      <w:divBdr>
        <w:top w:val="none" w:sz="0" w:space="0" w:color="auto"/>
        <w:left w:val="none" w:sz="0" w:space="0" w:color="auto"/>
        <w:bottom w:val="none" w:sz="0" w:space="0" w:color="auto"/>
        <w:right w:val="none" w:sz="0" w:space="0" w:color="auto"/>
      </w:divBdr>
    </w:div>
    <w:div w:id="1230264005">
      <w:bodyDiv w:val="1"/>
      <w:marLeft w:val="0"/>
      <w:marRight w:val="0"/>
      <w:marTop w:val="0"/>
      <w:marBottom w:val="0"/>
      <w:divBdr>
        <w:top w:val="none" w:sz="0" w:space="0" w:color="auto"/>
        <w:left w:val="none" w:sz="0" w:space="0" w:color="auto"/>
        <w:bottom w:val="none" w:sz="0" w:space="0" w:color="auto"/>
        <w:right w:val="none" w:sz="0" w:space="0" w:color="auto"/>
      </w:divBdr>
    </w:div>
    <w:div w:id="1240557793">
      <w:bodyDiv w:val="1"/>
      <w:marLeft w:val="0"/>
      <w:marRight w:val="0"/>
      <w:marTop w:val="0"/>
      <w:marBottom w:val="0"/>
      <w:divBdr>
        <w:top w:val="none" w:sz="0" w:space="0" w:color="auto"/>
        <w:left w:val="none" w:sz="0" w:space="0" w:color="auto"/>
        <w:bottom w:val="none" w:sz="0" w:space="0" w:color="auto"/>
        <w:right w:val="none" w:sz="0" w:space="0" w:color="auto"/>
      </w:divBdr>
    </w:div>
    <w:div w:id="1248614034">
      <w:bodyDiv w:val="1"/>
      <w:marLeft w:val="0"/>
      <w:marRight w:val="0"/>
      <w:marTop w:val="0"/>
      <w:marBottom w:val="0"/>
      <w:divBdr>
        <w:top w:val="none" w:sz="0" w:space="0" w:color="auto"/>
        <w:left w:val="none" w:sz="0" w:space="0" w:color="auto"/>
        <w:bottom w:val="none" w:sz="0" w:space="0" w:color="auto"/>
        <w:right w:val="none" w:sz="0" w:space="0" w:color="auto"/>
      </w:divBdr>
    </w:div>
    <w:div w:id="1269194338">
      <w:bodyDiv w:val="1"/>
      <w:marLeft w:val="0"/>
      <w:marRight w:val="0"/>
      <w:marTop w:val="0"/>
      <w:marBottom w:val="0"/>
      <w:divBdr>
        <w:top w:val="none" w:sz="0" w:space="0" w:color="auto"/>
        <w:left w:val="none" w:sz="0" w:space="0" w:color="auto"/>
        <w:bottom w:val="none" w:sz="0" w:space="0" w:color="auto"/>
        <w:right w:val="none" w:sz="0" w:space="0" w:color="auto"/>
      </w:divBdr>
    </w:div>
    <w:div w:id="1319386630">
      <w:bodyDiv w:val="1"/>
      <w:marLeft w:val="0"/>
      <w:marRight w:val="0"/>
      <w:marTop w:val="0"/>
      <w:marBottom w:val="0"/>
      <w:divBdr>
        <w:top w:val="none" w:sz="0" w:space="0" w:color="auto"/>
        <w:left w:val="none" w:sz="0" w:space="0" w:color="auto"/>
        <w:bottom w:val="none" w:sz="0" w:space="0" w:color="auto"/>
        <w:right w:val="none" w:sz="0" w:space="0" w:color="auto"/>
      </w:divBdr>
    </w:div>
    <w:div w:id="1324817496">
      <w:bodyDiv w:val="1"/>
      <w:marLeft w:val="0"/>
      <w:marRight w:val="0"/>
      <w:marTop w:val="0"/>
      <w:marBottom w:val="0"/>
      <w:divBdr>
        <w:top w:val="none" w:sz="0" w:space="0" w:color="auto"/>
        <w:left w:val="none" w:sz="0" w:space="0" w:color="auto"/>
        <w:bottom w:val="none" w:sz="0" w:space="0" w:color="auto"/>
        <w:right w:val="none" w:sz="0" w:space="0" w:color="auto"/>
      </w:divBdr>
    </w:div>
    <w:div w:id="1336760618">
      <w:bodyDiv w:val="1"/>
      <w:marLeft w:val="0"/>
      <w:marRight w:val="0"/>
      <w:marTop w:val="0"/>
      <w:marBottom w:val="0"/>
      <w:divBdr>
        <w:top w:val="none" w:sz="0" w:space="0" w:color="auto"/>
        <w:left w:val="none" w:sz="0" w:space="0" w:color="auto"/>
        <w:bottom w:val="none" w:sz="0" w:space="0" w:color="auto"/>
        <w:right w:val="none" w:sz="0" w:space="0" w:color="auto"/>
      </w:divBdr>
    </w:div>
    <w:div w:id="1399474823">
      <w:bodyDiv w:val="1"/>
      <w:marLeft w:val="0"/>
      <w:marRight w:val="0"/>
      <w:marTop w:val="0"/>
      <w:marBottom w:val="0"/>
      <w:divBdr>
        <w:top w:val="none" w:sz="0" w:space="0" w:color="auto"/>
        <w:left w:val="none" w:sz="0" w:space="0" w:color="auto"/>
        <w:bottom w:val="none" w:sz="0" w:space="0" w:color="auto"/>
        <w:right w:val="none" w:sz="0" w:space="0" w:color="auto"/>
      </w:divBdr>
    </w:div>
    <w:div w:id="1434128023">
      <w:bodyDiv w:val="1"/>
      <w:marLeft w:val="0"/>
      <w:marRight w:val="0"/>
      <w:marTop w:val="0"/>
      <w:marBottom w:val="0"/>
      <w:divBdr>
        <w:top w:val="none" w:sz="0" w:space="0" w:color="auto"/>
        <w:left w:val="none" w:sz="0" w:space="0" w:color="auto"/>
        <w:bottom w:val="none" w:sz="0" w:space="0" w:color="auto"/>
        <w:right w:val="none" w:sz="0" w:space="0" w:color="auto"/>
      </w:divBdr>
      <w:divsChild>
        <w:div w:id="801850835">
          <w:marLeft w:val="0"/>
          <w:marRight w:val="0"/>
          <w:marTop w:val="0"/>
          <w:marBottom w:val="0"/>
          <w:divBdr>
            <w:top w:val="none" w:sz="0" w:space="0" w:color="auto"/>
            <w:left w:val="none" w:sz="0" w:space="0" w:color="auto"/>
            <w:bottom w:val="none" w:sz="0" w:space="0" w:color="auto"/>
            <w:right w:val="none" w:sz="0" w:space="0" w:color="auto"/>
          </w:divBdr>
          <w:divsChild>
            <w:div w:id="311447499">
              <w:marLeft w:val="0"/>
              <w:marRight w:val="0"/>
              <w:marTop w:val="0"/>
              <w:marBottom w:val="0"/>
              <w:divBdr>
                <w:top w:val="none" w:sz="0" w:space="0" w:color="auto"/>
                <w:left w:val="none" w:sz="0" w:space="0" w:color="auto"/>
                <w:bottom w:val="none" w:sz="0" w:space="0" w:color="auto"/>
                <w:right w:val="none" w:sz="0" w:space="0" w:color="auto"/>
              </w:divBdr>
              <w:divsChild>
                <w:div w:id="620383601">
                  <w:marLeft w:val="0"/>
                  <w:marRight w:val="0"/>
                  <w:marTop w:val="0"/>
                  <w:marBottom w:val="0"/>
                  <w:divBdr>
                    <w:top w:val="none" w:sz="0" w:space="0" w:color="auto"/>
                    <w:left w:val="none" w:sz="0" w:space="0" w:color="auto"/>
                    <w:bottom w:val="none" w:sz="0" w:space="0" w:color="auto"/>
                    <w:right w:val="none" w:sz="0" w:space="0" w:color="auto"/>
                  </w:divBdr>
                  <w:divsChild>
                    <w:div w:id="1135291836">
                      <w:marLeft w:val="0"/>
                      <w:marRight w:val="0"/>
                      <w:marTop w:val="45"/>
                      <w:marBottom w:val="0"/>
                      <w:divBdr>
                        <w:top w:val="none" w:sz="0" w:space="0" w:color="auto"/>
                        <w:left w:val="none" w:sz="0" w:space="0" w:color="auto"/>
                        <w:bottom w:val="none" w:sz="0" w:space="0" w:color="auto"/>
                        <w:right w:val="none" w:sz="0" w:space="0" w:color="auto"/>
                      </w:divBdr>
                      <w:divsChild>
                        <w:div w:id="1741519312">
                          <w:marLeft w:val="0"/>
                          <w:marRight w:val="0"/>
                          <w:marTop w:val="0"/>
                          <w:marBottom w:val="0"/>
                          <w:divBdr>
                            <w:top w:val="none" w:sz="0" w:space="0" w:color="auto"/>
                            <w:left w:val="none" w:sz="0" w:space="0" w:color="auto"/>
                            <w:bottom w:val="none" w:sz="0" w:space="0" w:color="auto"/>
                            <w:right w:val="none" w:sz="0" w:space="0" w:color="auto"/>
                          </w:divBdr>
                          <w:divsChild>
                            <w:div w:id="1955945034">
                              <w:marLeft w:val="2070"/>
                              <w:marRight w:val="3960"/>
                              <w:marTop w:val="0"/>
                              <w:marBottom w:val="0"/>
                              <w:divBdr>
                                <w:top w:val="none" w:sz="0" w:space="0" w:color="auto"/>
                                <w:left w:val="none" w:sz="0" w:space="0" w:color="auto"/>
                                <w:bottom w:val="none" w:sz="0" w:space="0" w:color="auto"/>
                                <w:right w:val="none" w:sz="0" w:space="0" w:color="auto"/>
                              </w:divBdr>
                              <w:divsChild>
                                <w:div w:id="1609656767">
                                  <w:marLeft w:val="0"/>
                                  <w:marRight w:val="0"/>
                                  <w:marTop w:val="0"/>
                                  <w:marBottom w:val="0"/>
                                  <w:divBdr>
                                    <w:top w:val="none" w:sz="0" w:space="0" w:color="auto"/>
                                    <w:left w:val="none" w:sz="0" w:space="0" w:color="auto"/>
                                    <w:bottom w:val="none" w:sz="0" w:space="0" w:color="auto"/>
                                    <w:right w:val="none" w:sz="0" w:space="0" w:color="auto"/>
                                  </w:divBdr>
                                  <w:divsChild>
                                    <w:div w:id="1436751172">
                                      <w:marLeft w:val="0"/>
                                      <w:marRight w:val="0"/>
                                      <w:marTop w:val="0"/>
                                      <w:marBottom w:val="0"/>
                                      <w:divBdr>
                                        <w:top w:val="none" w:sz="0" w:space="0" w:color="auto"/>
                                        <w:left w:val="none" w:sz="0" w:space="0" w:color="auto"/>
                                        <w:bottom w:val="none" w:sz="0" w:space="0" w:color="auto"/>
                                        <w:right w:val="none" w:sz="0" w:space="0" w:color="auto"/>
                                      </w:divBdr>
                                      <w:divsChild>
                                        <w:div w:id="2017220116">
                                          <w:marLeft w:val="0"/>
                                          <w:marRight w:val="0"/>
                                          <w:marTop w:val="0"/>
                                          <w:marBottom w:val="0"/>
                                          <w:divBdr>
                                            <w:top w:val="none" w:sz="0" w:space="0" w:color="auto"/>
                                            <w:left w:val="none" w:sz="0" w:space="0" w:color="auto"/>
                                            <w:bottom w:val="none" w:sz="0" w:space="0" w:color="auto"/>
                                            <w:right w:val="none" w:sz="0" w:space="0" w:color="auto"/>
                                          </w:divBdr>
                                          <w:divsChild>
                                            <w:div w:id="1264145837">
                                              <w:marLeft w:val="0"/>
                                              <w:marRight w:val="0"/>
                                              <w:marTop w:val="90"/>
                                              <w:marBottom w:val="0"/>
                                              <w:divBdr>
                                                <w:top w:val="none" w:sz="0" w:space="0" w:color="auto"/>
                                                <w:left w:val="none" w:sz="0" w:space="0" w:color="auto"/>
                                                <w:bottom w:val="none" w:sz="0" w:space="0" w:color="auto"/>
                                                <w:right w:val="none" w:sz="0" w:space="0" w:color="auto"/>
                                              </w:divBdr>
                                              <w:divsChild>
                                                <w:div w:id="1996756555">
                                                  <w:marLeft w:val="0"/>
                                                  <w:marRight w:val="0"/>
                                                  <w:marTop w:val="0"/>
                                                  <w:marBottom w:val="0"/>
                                                  <w:divBdr>
                                                    <w:top w:val="none" w:sz="0" w:space="0" w:color="auto"/>
                                                    <w:left w:val="none" w:sz="0" w:space="0" w:color="auto"/>
                                                    <w:bottom w:val="none" w:sz="0" w:space="0" w:color="auto"/>
                                                    <w:right w:val="none" w:sz="0" w:space="0" w:color="auto"/>
                                                  </w:divBdr>
                                                  <w:divsChild>
                                                    <w:div w:id="1154763744">
                                                      <w:marLeft w:val="0"/>
                                                      <w:marRight w:val="0"/>
                                                      <w:marTop w:val="0"/>
                                                      <w:marBottom w:val="0"/>
                                                      <w:divBdr>
                                                        <w:top w:val="none" w:sz="0" w:space="0" w:color="auto"/>
                                                        <w:left w:val="none" w:sz="0" w:space="0" w:color="auto"/>
                                                        <w:bottom w:val="none" w:sz="0" w:space="0" w:color="auto"/>
                                                        <w:right w:val="none" w:sz="0" w:space="0" w:color="auto"/>
                                                      </w:divBdr>
                                                      <w:divsChild>
                                                        <w:div w:id="2029716188">
                                                          <w:marLeft w:val="0"/>
                                                          <w:marRight w:val="0"/>
                                                          <w:marTop w:val="0"/>
                                                          <w:marBottom w:val="390"/>
                                                          <w:divBdr>
                                                            <w:top w:val="none" w:sz="0" w:space="0" w:color="auto"/>
                                                            <w:left w:val="none" w:sz="0" w:space="0" w:color="auto"/>
                                                            <w:bottom w:val="none" w:sz="0" w:space="0" w:color="auto"/>
                                                            <w:right w:val="none" w:sz="0" w:space="0" w:color="auto"/>
                                                          </w:divBdr>
                                                          <w:divsChild>
                                                            <w:div w:id="420105298">
                                                              <w:marLeft w:val="0"/>
                                                              <w:marRight w:val="0"/>
                                                              <w:marTop w:val="0"/>
                                                              <w:marBottom w:val="0"/>
                                                              <w:divBdr>
                                                                <w:top w:val="none" w:sz="0" w:space="0" w:color="auto"/>
                                                                <w:left w:val="none" w:sz="0" w:space="0" w:color="auto"/>
                                                                <w:bottom w:val="none" w:sz="0" w:space="0" w:color="auto"/>
                                                                <w:right w:val="none" w:sz="0" w:space="0" w:color="auto"/>
                                                              </w:divBdr>
                                                              <w:divsChild>
                                                                <w:div w:id="1965426712">
                                                                  <w:marLeft w:val="0"/>
                                                                  <w:marRight w:val="0"/>
                                                                  <w:marTop w:val="0"/>
                                                                  <w:marBottom w:val="0"/>
                                                                  <w:divBdr>
                                                                    <w:top w:val="none" w:sz="0" w:space="0" w:color="auto"/>
                                                                    <w:left w:val="none" w:sz="0" w:space="0" w:color="auto"/>
                                                                    <w:bottom w:val="none" w:sz="0" w:space="0" w:color="auto"/>
                                                                    <w:right w:val="none" w:sz="0" w:space="0" w:color="auto"/>
                                                                  </w:divBdr>
                                                                  <w:divsChild>
                                                                    <w:div w:id="348413238">
                                                                      <w:marLeft w:val="0"/>
                                                                      <w:marRight w:val="0"/>
                                                                      <w:marTop w:val="0"/>
                                                                      <w:marBottom w:val="0"/>
                                                                      <w:divBdr>
                                                                        <w:top w:val="none" w:sz="0" w:space="0" w:color="auto"/>
                                                                        <w:left w:val="none" w:sz="0" w:space="0" w:color="auto"/>
                                                                        <w:bottom w:val="none" w:sz="0" w:space="0" w:color="auto"/>
                                                                        <w:right w:val="none" w:sz="0" w:space="0" w:color="auto"/>
                                                                      </w:divBdr>
                                                                      <w:divsChild>
                                                                        <w:div w:id="1853228667">
                                                                          <w:marLeft w:val="0"/>
                                                                          <w:marRight w:val="0"/>
                                                                          <w:marTop w:val="0"/>
                                                                          <w:marBottom w:val="0"/>
                                                                          <w:divBdr>
                                                                            <w:top w:val="none" w:sz="0" w:space="0" w:color="auto"/>
                                                                            <w:left w:val="none" w:sz="0" w:space="0" w:color="auto"/>
                                                                            <w:bottom w:val="none" w:sz="0" w:space="0" w:color="auto"/>
                                                                            <w:right w:val="none" w:sz="0" w:space="0" w:color="auto"/>
                                                                          </w:divBdr>
                                                                          <w:divsChild>
                                                                            <w:div w:id="873229309">
                                                                              <w:marLeft w:val="0"/>
                                                                              <w:marRight w:val="0"/>
                                                                              <w:marTop w:val="0"/>
                                                                              <w:marBottom w:val="0"/>
                                                                              <w:divBdr>
                                                                                <w:top w:val="none" w:sz="0" w:space="0" w:color="auto"/>
                                                                                <w:left w:val="none" w:sz="0" w:space="0" w:color="auto"/>
                                                                                <w:bottom w:val="none" w:sz="0" w:space="0" w:color="auto"/>
                                                                                <w:right w:val="none" w:sz="0" w:space="0" w:color="auto"/>
                                                                              </w:divBdr>
                                                                              <w:divsChild>
                                                                                <w:div w:id="1748991967">
                                                                                  <w:marLeft w:val="0"/>
                                                                                  <w:marRight w:val="0"/>
                                                                                  <w:marTop w:val="0"/>
                                                                                  <w:marBottom w:val="0"/>
                                                                                  <w:divBdr>
                                                                                    <w:top w:val="none" w:sz="0" w:space="0" w:color="auto"/>
                                                                                    <w:left w:val="none" w:sz="0" w:space="0" w:color="auto"/>
                                                                                    <w:bottom w:val="none" w:sz="0" w:space="0" w:color="auto"/>
                                                                                    <w:right w:val="none" w:sz="0" w:space="0" w:color="auto"/>
                                                                                  </w:divBdr>
                                                                                  <w:divsChild>
                                                                                    <w:div w:id="154881999">
                                                                                      <w:marLeft w:val="0"/>
                                                                                      <w:marRight w:val="0"/>
                                                                                      <w:marTop w:val="0"/>
                                                                                      <w:marBottom w:val="0"/>
                                                                                      <w:divBdr>
                                                                                        <w:top w:val="none" w:sz="0" w:space="0" w:color="auto"/>
                                                                                        <w:left w:val="none" w:sz="0" w:space="0" w:color="auto"/>
                                                                                        <w:bottom w:val="none" w:sz="0" w:space="0" w:color="auto"/>
                                                                                        <w:right w:val="none" w:sz="0" w:space="0" w:color="auto"/>
                                                                                      </w:divBdr>
                                                                                      <w:divsChild>
                                                                                        <w:div w:id="38568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5151885">
      <w:bodyDiv w:val="1"/>
      <w:marLeft w:val="0"/>
      <w:marRight w:val="0"/>
      <w:marTop w:val="0"/>
      <w:marBottom w:val="0"/>
      <w:divBdr>
        <w:top w:val="none" w:sz="0" w:space="0" w:color="auto"/>
        <w:left w:val="none" w:sz="0" w:space="0" w:color="auto"/>
        <w:bottom w:val="none" w:sz="0" w:space="0" w:color="auto"/>
        <w:right w:val="none" w:sz="0" w:space="0" w:color="auto"/>
      </w:divBdr>
    </w:div>
    <w:div w:id="1473062393">
      <w:bodyDiv w:val="1"/>
      <w:marLeft w:val="0"/>
      <w:marRight w:val="0"/>
      <w:marTop w:val="0"/>
      <w:marBottom w:val="0"/>
      <w:divBdr>
        <w:top w:val="none" w:sz="0" w:space="0" w:color="auto"/>
        <w:left w:val="none" w:sz="0" w:space="0" w:color="auto"/>
        <w:bottom w:val="none" w:sz="0" w:space="0" w:color="auto"/>
        <w:right w:val="none" w:sz="0" w:space="0" w:color="auto"/>
      </w:divBdr>
    </w:div>
    <w:div w:id="1484657180">
      <w:bodyDiv w:val="1"/>
      <w:marLeft w:val="0"/>
      <w:marRight w:val="0"/>
      <w:marTop w:val="0"/>
      <w:marBottom w:val="0"/>
      <w:divBdr>
        <w:top w:val="none" w:sz="0" w:space="0" w:color="auto"/>
        <w:left w:val="none" w:sz="0" w:space="0" w:color="auto"/>
        <w:bottom w:val="none" w:sz="0" w:space="0" w:color="auto"/>
        <w:right w:val="none" w:sz="0" w:space="0" w:color="auto"/>
      </w:divBdr>
    </w:div>
    <w:div w:id="1510028195">
      <w:bodyDiv w:val="1"/>
      <w:marLeft w:val="0"/>
      <w:marRight w:val="0"/>
      <w:marTop w:val="0"/>
      <w:marBottom w:val="0"/>
      <w:divBdr>
        <w:top w:val="none" w:sz="0" w:space="0" w:color="auto"/>
        <w:left w:val="none" w:sz="0" w:space="0" w:color="auto"/>
        <w:bottom w:val="none" w:sz="0" w:space="0" w:color="auto"/>
        <w:right w:val="none" w:sz="0" w:space="0" w:color="auto"/>
      </w:divBdr>
    </w:div>
    <w:div w:id="1524317966">
      <w:bodyDiv w:val="1"/>
      <w:marLeft w:val="0"/>
      <w:marRight w:val="0"/>
      <w:marTop w:val="0"/>
      <w:marBottom w:val="0"/>
      <w:divBdr>
        <w:top w:val="none" w:sz="0" w:space="0" w:color="auto"/>
        <w:left w:val="none" w:sz="0" w:space="0" w:color="auto"/>
        <w:bottom w:val="none" w:sz="0" w:space="0" w:color="auto"/>
        <w:right w:val="none" w:sz="0" w:space="0" w:color="auto"/>
      </w:divBdr>
    </w:div>
    <w:div w:id="1548109396">
      <w:bodyDiv w:val="1"/>
      <w:marLeft w:val="0"/>
      <w:marRight w:val="0"/>
      <w:marTop w:val="0"/>
      <w:marBottom w:val="0"/>
      <w:divBdr>
        <w:top w:val="none" w:sz="0" w:space="0" w:color="auto"/>
        <w:left w:val="none" w:sz="0" w:space="0" w:color="auto"/>
        <w:bottom w:val="none" w:sz="0" w:space="0" w:color="auto"/>
        <w:right w:val="none" w:sz="0" w:space="0" w:color="auto"/>
      </w:divBdr>
    </w:div>
    <w:div w:id="1548644537">
      <w:bodyDiv w:val="1"/>
      <w:marLeft w:val="0"/>
      <w:marRight w:val="0"/>
      <w:marTop w:val="0"/>
      <w:marBottom w:val="0"/>
      <w:divBdr>
        <w:top w:val="none" w:sz="0" w:space="0" w:color="auto"/>
        <w:left w:val="none" w:sz="0" w:space="0" w:color="auto"/>
        <w:bottom w:val="none" w:sz="0" w:space="0" w:color="auto"/>
        <w:right w:val="none" w:sz="0" w:space="0" w:color="auto"/>
      </w:divBdr>
      <w:divsChild>
        <w:div w:id="1652904478">
          <w:marLeft w:val="0"/>
          <w:marRight w:val="0"/>
          <w:marTop w:val="0"/>
          <w:marBottom w:val="0"/>
          <w:divBdr>
            <w:top w:val="none" w:sz="0" w:space="0" w:color="auto"/>
            <w:left w:val="none" w:sz="0" w:space="0" w:color="auto"/>
            <w:bottom w:val="none" w:sz="0" w:space="0" w:color="auto"/>
            <w:right w:val="none" w:sz="0" w:space="0" w:color="auto"/>
          </w:divBdr>
          <w:divsChild>
            <w:div w:id="185103871">
              <w:marLeft w:val="0"/>
              <w:marRight w:val="0"/>
              <w:marTop w:val="0"/>
              <w:marBottom w:val="0"/>
              <w:divBdr>
                <w:top w:val="none" w:sz="0" w:space="0" w:color="auto"/>
                <w:left w:val="none" w:sz="0" w:space="0" w:color="auto"/>
                <w:bottom w:val="none" w:sz="0" w:space="0" w:color="auto"/>
                <w:right w:val="none" w:sz="0" w:space="0" w:color="auto"/>
              </w:divBdr>
              <w:divsChild>
                <w:div w:id="758595529">
                  <w:marLeft w:val="0"/>
                  <w:marRight w:val="0"/>
                  <w:marTop w:val="0"/>
                  <w:marBottom w:val="0"/>
                  <w:divBdr>
                    <w:top w:val="none" w:sz="0" w:space="0" w:color="auto"/>
                    <w:left w:val="none" w:sz="0" w:space="0" w:color="auto"/>
                    <w:bottom w:val="none" w:sz="0" w:space="0" w:color="auto"/>
                    <w:right w:val="none" w:sz="0" w:space="0" w:color="auto"/>
                  </w:divBdr>
                  <w:divsChild>
                    <w:div w:id="1241789465">
                      <w:marLeft w:val="0"/>
                      <w:marRight w:val="0"/>
                      <w:marTop w:val="45"/>
                      <w:marBottom w:val="0"/>
                      <w:divBdr>
                        <w:top w:val="none" w:sz="0" w:space="0" w:color="auto"/>
                        <w:left w:val="none" w:sz="0" w:space="0" w:color="auto"/>
                        <w:bottom w:val="none" w:sz="0" w:space="0" w:color="auto"/>
                        <w:right w:val="none" w:sz="0" w:space="0" w:color="auto"/>
                      </w:divBdr>
                      <w:divsChild>
                        <w:div w:id="1171674113">
                          <w:marLeft w:val="0"/>
                          <w:marRight w:val="0"/>
                          <w:marTop w:val="0"/>
                          <w:marBottom w:val="0"/>
                          <w:divBdr>
                            <w:top w:val="none" w:sz="0" w:space="0" w:color="auto"/>
                            <w:left w:val="none" w:sz="0" w:space="0" w:color="auto"/>
                            <w:bottom w:val="none" w:sz="0" w:space="0" w:color="auto"/>
                            <w:right w:val="none" w:sz="0" w:space="0" w:color="auto"/>
                          </w:divBdr>
                          <w:divsChild>
                            <w:div w:id="119155069">
                              <w:marLeft w:val="2070"/>
                              <w:marRight w:val="3960"/>
                              <w:marTop w:val="0"/>
                              <w:marBottom w:val="0"/>
                              <w:divBdr>
                                <w:top w:val="none" w:sz="0" w:space="0" w:color="auto"/>
                                <w:left w:val="none" w:sz="0" w:space="0" w:color="auto"/>
                                <w:bottom w:val="none" w:sz="0" w:space="0" w:color="auto"/>
                                <w:right w:val="none" w:sz="0" w:space="0" w:color="auto"/>
                              </w:divBdr>
                              <w:divsChild>
                                <w:div w:id="530268378">
                                  <w:marLeft w:val="0"/>
                                  <w:marRight w:val="0"/>
                                  <w:marTop w:val="0"/>
                                  <w:marBottom w:val="0"/>
                                  <w:divBdr>
                                    <w:top w:val="none" w:sz="0" w:space="0" w:color="auto"/>
                                    <w:left w:val="none" w:sz="0" w:space="0" w:color="auto"/>
                                    <w:bottom w:val="none" w:sz="0" w:space="0" w:color="auto"/>
                                    <w:right w:val="none" w:sz="0" w:space="0" w:color="auto"/>
                                  </w:divBdr>
                                  <w:divsChild>
                                    <w:div w:id="1519854041">
                                      <w:marLeft w:val="0"/>
                                      <w:marRight w:val="0"/>
                                      <w:marTop w:val="0"/>
                                      <w:marBottom w:val="0"/>
                                      <w:divBdr>
                                        <w:top w:val="none" w:sz="0" w:space="0" w:color="auto"/>
                                        <w:left w:val="none" w:sz="0" w:space="0" w:color="auto"/>
                                        <w:bottom w:val="none" w:sz="0" w:space="0" w:color="auto"/>
                                        <w:right w:val="none" w:sz="0" w:space="0" w:color="auto"/>
                                      </w:divBdr>
                                      <w:divsChild>
                                        <w:div w:id="2066635541">
                                          <w:marLeft w:val="0"/>
                                          <w:marRight w:val="0"/>
                                          <w:marTop w:val="0"/>
                                          <w:marBottom w:val="0"/>
                                          <w:divBdr>
                                            <w:top w:val="none" w:sz="0" w:space="0" w:color="auto"/>
                                            <w:left w:val="none" w:sz="0" w:space="0" w:color="auto"/>
                                            <w:bottom w:val="none" w:sz="0" w:space="0" w:color="auto"/>
                                            <w:right w:val="none" w:sz="0" w:space="0" w:color="auto"/>
                                          </w:divBdr>
                                          <w:divsChild>
                                            <w:div w:id="1355812555">
                                              <w:marLeft w:val="0"/>
                                              <w:marRight w:val="0"/>
                                              <w:marTop w:val="90"/>
                                              <w:marBottom w:val="0"/>
                                              <w:divBdr>
                                                <w:top w:val="none" w:sz="0" w:space="0" w:color="auto"/>
                                                <w:left w:val="none" w:sz="0" w:space="0" w:color="auto"/>
                                                <w:bottom w:val="none" w:sz="0" w:space="0" w:color="auto"/>
                                                <w:right w:val="none" w:sz="0" w:space="0" w:color="auto"/>
                                              </w:divBdr>
                                              <w:divsChild>
                                                <w:div w:id="169410749">
                                                  <w:marLeft w:val="0"/>
                                                  <w:marRight w:val="0"/>
                                                  <w:marTop w:val="0"/>
                                                  <w:marBottom w:val="0"/>
                                                  <w:divBdr>
                                                    <w:top w:val="none" w:sz="0" w:space="0" w:color="auto"/>
                                                    <w:left w:val="none" w:sz="0" w:space="0" w:color="auto"/>
                                                    <w:bottom w:val="none" w:sz="0" w:space="0" w:color="auto"/>
                                                    <w:right w:val="none" w:sz="0" w:space="0" w:color="auto"/>
                                                  </w:divBdr>
                                                  <w:divsChild>
                                                    <w:div w:id="160659982">
                                                      <w:marLeft w:val="0"/>
                                                      <w:marRight w:val="0"/>
                                                      <w:marTop w:val="0"/>
                                                      <w:marBottom w:val="0"/>
                                                      <w:divBdr>
                                                        <w:top w:val="none" w:sz="0" w:space="0" w:color="auto"/>
                                                        <w:left w:val="none" w:sz="0" w:space="0" w:color="auto"/>
                                                        <w:bottom w:val="none" w:sz="0" w:space="0" w:color="auto"/>
                                                        <w:right w:val="none" w:sz="0" w:space="0" w:color="auto"/>
                                                      </w:divBdr>
                                                      <w:divsChild>
                                                        <w:div w:id="1130706815">
                                                          <w:marLeft w:val="0"/>
                                                          <w:marRight w:val="0"/>
                                                          <w:marTop w:val="0"/>
                                                          <w:marBottom w:val="390"/>
                                                          <w:divBdr>
                                                            <w:top w:val="none" w:sz="0" w:space="0" w:color="auto"/>
                                                            <w:left w:val="none" w:sz="0" w:space="0" w:color="auto"/>
                                                            <w:bottom w:val="none" w:sz="0" w:space="0" w:color="auto"/>
                                                            <w:right w:val="none" w:sz="0" w:space="0" w:color="auto"/>
                                                          </w:divBdr>
                                                          <w:divsChild>
                                                            <w:div w:id="1272980321">
                                                              <w:marLeft w:val="0"/>
                                                              <w:marRight w:val="0"/>
                                                              <w:marTop w:val="0"/>
                                                              <w:marBottom w:val="0"/>
                                                              <w:divBdr>
                                                                <w:top w:val="none" w:sz="0" w:space="0" w:color="auto"/>
                                                                <w:left w:val="none" w:sz="0" w:space="0" w:color="auto"/>
                                                                <w:bottom w:val="none" w:sz="0" w:space="0" w:color="auto"/>
                                                                <w:right w:val="none" w:sz="0" w:space="0" w:color="auto"/>
                                                              </w:divBdr>
                                                              <w:divsChild>
                                                                <w:div w:id="676733022">
                                                                  <w:marLeft w:val="0"/>
                                                                  <w:marRight w:val="0"/>
                                                                  <w:marTop w:val="0"/>
                                                                  <w:marBottom w:val="0"/>
                                                                  <w:divBdr>
                                                                    <w:top w:val="none" w:sz="0" w:space="0" w:color="auto"/>
                                                                    <w:left w:val="none" w:sz="0" w:space="0" w:color="auto"/>
                                                                    <w:bottom w:val="none" w:sz="0" w:space="0" w:color="auto"/>
                                                                    <w:right w:val="none" w:sz="0" w:space="0" w:color="auto"/>
                                                                  </w:divBdr>
                                                                  <w:divsChild>
                                                                    <w:div w:id="892278907">
                                                                      <w:marLeft w:val="0"/>
                                                                      <w:marRight w:val="0"/>
                                                                      <w:marTop w:val="0"/>
                                                                      <w:marBottom w:val="0"/>
                                                                      <w:divBdr>
                                                                        <w:top w:val="none" w:sz="0" w:space="0" w:color="auto"/>
                                                                        <w:left w:val="none" w:sz="0" w:space="0" w:color="auto"/>
                                                                        <w:bottom w:val="none" w:sz="0" w:space="0" w:color="auto"/>
                                                                        <w:right w:val="none" w:sz="0" w:space="0" w:color="auto"/>
                                                                      </w:divBdr>
                                                                      <w:divsChild>
                                                                        <w:div w:id="1216626527">
                                                                          <w:marLeft w:val="0"/>
                                                                          <w:marRight w:val="0"/>
                                                                          <w:marTop w:val="0"/>
                                                                          <w:marBottom w:val="0"/>
                                                                          <w:divBdr>
                                                                            <w:top w:val="none" w:sz="0" w:space="0" w:color="auto"/>
                                                                            <w:left w:val="none" w:sz="0" w:space="0" w:color="auto"/>
                                                                            <w:bottom w:val="none" w:sz="0" w:space="0" w:color="auto"/>
                                                                            <w:right w:val="none" w:sz="0" w:space="0" w:color="auto"/>
                                                                          </w:divBdr>
                                                                          <w:divsChild>
                                                                            <w:div w:id="1228422787">
                                                                              <w:marLeft w:val="0"/>
                                                                              <w:marRight w:val="0"/>
                                                                              <w:marTop w:val="0"/>
                                                                              <w:marBottom w:val="0"/>
                                                                              <w:divBdr>
                                                                                <w:top w:val="none" w:sz="0" w:space="0" w:color="auto"/>
                                                                                <w:left w:val="none" w:sz="0" w:space="0" w:color="auto"/>
                                                                                <w:bottom w:val="none" w:sz="0" w:space="0" w:color="auto"/>
                                                                                <w:right w:val="none" w:sz="0" w:space="0" w:color="auto"/>
                                                                              </w:divBdr>
                                                                              <w:divsChild>
                                                                                <w:div w:id="1819303364">
                                                                                  <w:marLeft w:val="0"/>
                                                                                  <w:marRight w:val="0"/>
                                                                                  <w:marTop w:val="0"/>
                                                                                  <w:marBottom w:val="0"/>
                                                                                  <w:divBdr>
                                                                                    <w:top w:val="none" w:sz="0" w:space="0" w:color="auto"/>
                                                                                    <w:left w:val="none" w:sz="0" w:space="0" w:color="auto"/>
                                                                                    <w:bottom w:val="none" w:sz="0" w:space="0" w:color="auto"/>
                                                                                    <w:right w:val="none" w:sz="0" w:space="0" w:color="auto"/>
                                                                                  </w:divBdr>
                                                                                  <w:divsChild>
                                                                                    <w:div w:id="1595747574">
                                                                                      <w:marLeft w:val="0"/>
                                                                                      <w:marRight w:val="0"/>
                                                                                      <w:marTop w:val="0"/>
                                                                                      <w:marBottom w:val="0"/>
                                                                                      <w:divBdr>
                                                                                        <w:top w:val="none" w:sz="0" w:space="0" w:color="auto"/>
                                                                                        <w:left w:val="none" w:sz="0" w:space="0" w:color="auto"/>
                                                                                        <w:bottom w:val="none" w:sz="0" w:space="0" w:color="auto"/>
                                                                                        <w:right w:val="none" w:sz="0" w:space="0" w:color="auto"/>
                                                                                      </w:divBdr>
                                                                                      <w:divsChild>
                                                                                        <w:div w:id="16031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9320597">
      <w:bodyDiv w:val="1"/>
      <w:marLeft w:val="0"/>
      <w:marRight w:val="0"/>
      <w:marTop w:val="0"/>
      <w:marBottom w:val="0"/>
      <w:divBdr>
        <w:top w:val="none" w:sz="0" w:space="0" w:color="auto"/>
        <w:left w:val="none" w:sz="0" w:space="0" w:color="auto"/>
        <w:bottom w:val="none" w:sz="0" w:space="0" w:color="auto"/>
        <w:right w:val="none" w:sz="0" w:space="0" w:color="auto"/>
      </w:divBdr>
    </w:div>
    <w:div w:id="1561673301">
      <w:bodyDiv w:val="1"/>
      <w:marLeft w:val="0"/>
      <w:marRight w:val="0"/>
      <w:marTop w:val="0"/>
      <w:marBottom w:val="0"/>
      <w:divBdr>
        <w:top w:val="none" w:sz="0" w:space="0" w:color="auto"/>
        <w:left w:val="none" w:sz="0" w:space="0" w:color="auto"/>
        <w:bottom w:val="none" w:sz="0" w:space="0" w:color="auto"/>
        <w:right w:val="none" w:sz="0" w:space="0" w:color="auto"/>
      </w:divBdr>
      <w:divsChild>
        <w:div w:id="689180679">
          <w:marLeft w:val="0"/>
          <w:marRight w:val="0"/>
          <w:marTop w:val="0"/>
          <w:marBottom w:val="0"/>
          <w:divBdr>
            <w:top w:val="none" w:sz="0" w:space="0" w:color="auto"/>
            <w:left w:val="none" w:sz="0" w:space="0" w:color="auto"/>
            <w:bottom w:val="none" w:sz="0" w:space="0" w:color="auto"/>
            <w:right w:val="none" w:sz="0" w:space="0" w:color="auto"/>
          </w:divBdr>
          <w:divsChild>
            <w:div w:id="1598055205">
              <w:marLeft w:val="0"/>
              <w:marRight w:val="0"/>
              <w:marTop w:val="0"/>
              <w:marBottom w:val="0"/>
              <w:divBdr>
                <w:top w:val="none" w:sz="0" w:space="0" w:color="auto"/>
                <w:left w:val="none" w:sz="0" w:space="0" w:color="auto"/>
                <w:bottom w:val="none" w:sz="0" w:space="0" w:color="auto"/>
                <w:right w:val="none" w:sz="0" w:space="0" w:color="auto"/>
              </w:divBdr>
              <w:divsChild>
                <w:div w:id="2040006792">
                  <w:marLeft w:val="0"/>
                  <w:marRight w:val="0"/>
                  <w:marTop w:val="0"/>
                  <w:marBottom w:val="0"/>
                  <w:divBdr>
                    <w:top w:val="none" w:sz="0" w:space="0" w:color="auto"/>
                    <w:left w:val="none" w:sz="0" w:space="0" w:color="auto"/>
                    <w:bottom w:val="none" w:sz="0" w:space="0" w:color="auto"/>
                    <w:right w:val="none" w:sz="0" w:space="0" w:color="auto"/>
                  </w:divBdr>
                  <w:divsChild>
                    <w:div w:id="1445998972">
                      <w:marLeft w:val="0"/>
                      <w:marRight w:val="0"/>
                      <w:marTop w:val="45"/>
                      <w:marBottom w:val="0"/>
                      <w:divBdr>
                        <w:top w:val="none" w:sz="0" w:space="0" w:color="auto"/>
                        <w:left w:val="none" w:sz="0" w:space="0" w:color="auto"/>
                        <w:bottom w:val="none" w:sz="0" w:space="0" w:color="auto"/>
                        <w:right w:val="none" w:sz="0" w:space="0" w:color="auto"/>
                      </w:divBdr>
                      <w:divsChild>
                        <w:div w:id="2007325034">
                          <w:marLeft w:val="0"/>
                          <w:marRight w:val="0"/>
                          <w:marTop w:val="0"/>
                          <w:marBottom w:val="0"/>
                          <w:divBdr>
                            <w:top w:val="none" w:sz="0" w:space="0" w:color="auto"/>
                            <w:left w:val="none" w:sz="0" w:space="0" w:color="auto"/>
                            <w:bottom w:val="none" w:sz="0" w:space="0" w:color="auto"/>
                            <w:right w:val="none" w:sz="0" w:space="0" w:color="auto"/>
                          </w:divBdr>
                          <w:divsChild>
                            <w:div w:id="1409956574">
                              <w:marLeft w:val="2070"/>
                              <w:marRight w:val="3960"/>
                              <w:marTop w:val="0"/>
                              <w:marBottom w:val="0"/>
                              <w:divBdr>
                                <w:top w:val="none" w:sz="0" w:space="0" w:color="auto"/>
                                <w:left w:val="none" w:sz="0" w:space="0" w:color="auto"/>
                                <w:bottom w:val="none" w:sz="0" w:space="0" w:color="auto"/>
                                <w:right w:val="none" w:sz="0" w:space="0" w:color="auto"/>
                              </w:divBdr>
                              <w:divsChild>
                                <w:div w:id="1816796541">
                                  <w:marLeft w:val="0"/>
                                  <w:marRight w:val="0"/>
                                  <w:marTop w:val="0"/>
                                  <w:marBottom w:val="0"/>
                                  <w:divBdr>
                                    <w:top w:val="none" w:sz="0" w:space="0" w:color="auto"/>
                                    <w:left w:val="none" w:sz="0" w:space="0" w:color="auto"/>
                                    <w:bottom w:val="none" w:sz="0" w:space="0" w:color="auto"/>
                                    <w:right w:val="none" w:sz="0" w:space="0" w:color="auto"/>
                                  </w:divBdr>
                                  <w:divsChild>
                                    <w:div w:id="102304294">
                                      <w:marLeft w:val="0"/>
                                      <w:marRight w:val="0"/>
                                      <w:marTop w:val="0"/>
                                      <w:marBottom w:val="0"/>
                                      <w:divBdr>
                                        <w:top w:val="none" w:sz="0" w:space="0" w:color="auto"/>
                                        <w:left w:val="none" w:sz="0" w:space="0" w:color="auto"/>
                                        <w:bottom w:val="none" w:sz="0" w:space="0" w:color="auto"/>
                                        <w:right w:val="none" w:sz="0" w:space="0" w:color="auto"/>
                                      </w:divBdr>
                                      <w:divsChild>
                                        <w:div w:id="2072844240">
                                          <w:marLeft w:val="0"/>
                                          <w:marRight w:val="0"/>
                                          <w:marTop w:val="0"/>
                                          <w:marBottom w:val="0"/>
                                          <w:divBdr>
                                            <w:top w:val="none" w:sz="0" w:space="0" w:color="auto"/>
                                            <w:left w:val="none" w:sz="0" w:space="0" w:color="auto"/>
                                            <w:bottom w:val="none" w:sz="0" w:space="0" w:color="auto"/>
                                            <w:right w:val="none" w:sz="0" w:space="0" w:color="auto"/>
                                          </w:divBdr>
                                          <w:divsChild>
                                            <w:div w:id="1876194262">
                                              <w:marLeft w:val="0"/>
                                              <w:marRight w:val="0"/>
                                              <w:marTop w:val="90"/>
                                              <w:marBottom w:val="0"/>
                                              <w:divBdr>
                                                <w:top w:val="none" w:sz="0" w:space="0" w:color="auto"/>
                                                <w:left w:val="none" w:sz="0" w:space="0" w:color="auto"/>
                                                <w:bottom w:val="none" w:sz="0" w:space="0" w:color="auto"/>
                                                <w:right w:val="none" w:sz="0" w:space="0" w:color="auto"/>
                                              </w:divBdr>
                                              <w:divsChild>
                                                <w:div w:id="1065298349">
                                                  <w:marLeft w:val="0"/>
                                                  <w:marRight w:val="0"/>
                                                  <w:marTop w:val="0"/>
                                                  <w:marBottom w:val="0"/>
                                                  <w:divBdr>
                                                    <w:top w:val="none" w:sz="0" w:space="0" w:color="auto"/>
                                                    <w:left w:val="none" w:sz="0" w:space="0" w:color="auto"/>
                                                    <w:bottom w:val="none" w:sz="0" w:space="0" w:color="auto"/>
                                                    <w:right w:val="none" w:sz="0" w:space="0" w:color="auto"/>
                                                  </w:divBdr>
                                                  <w:divsChild>
                                                    <w:div w:id="61950192">
                                                      <w:marLeft w:val="0"/>
                                                      <w:marRight w:val="0"/>
                                                      <w:marTop w:val="0"/>
                                                      <w:marBottom w:val="0"/>
                                                      <w:divBdr>
                                                        <w:top w:val="none" w:sz="0" w:space="0" w:color="auto"/>
                                                        <w:left w:val="none" w:sz="0" w:space="0" w:color="auto"/>
                                                        <w:bottom w:val="none" w:sz="0" w:space="0" w:color="auto"/>
                                                        <w:right w:val="none" w:sz="0" w:space="0" w:color="auto"/>
                                                      </w:divBdr>
                                                      <w:divsChild>
                                                        <w:div w:id="390080998">
                                                          <w:marLeft w:val="0"/>
                                                          <w:marRight w:val="0"/>
                                                          <w:marTop w:val="0"/>
                                                          <w:marBottom w:val="390"/>
                                                          <w:divBdr>
                                                            <w:top w:val="none" w:sz="0" w:space="0" w:color="auto"/>
                                                            <w:left w:val="none" w:sz="0" w:space="0" w:color="auto"/>
                                                            <w:bottom w:val="none" w:sz="0" w:space="0" w:color="auto"/>
                                                            <w:right w:val="none" w:sz="0" w:space="0" w:color="auto"/>
                                                          </w:divBdr>
                                                          <w:divsChild>
                                                            <w:div w:id="2110153532">
                                                              <w:marLeft w:val="0"/>
                                                              <w:marRight w:val="0"/>
                                                              <w:marTop w:val="0"/>
                                                              <w:marBottom w:val="0"/>
                                                              <w:divBdr>
                                                                <w:top w:val="none" w:sz="0" w:space="0" w:color="auto"/>
                                                                <w:left w:val="none" w:sz="0" w:space="0" w:color="auto"/>
                                                                <w:bottom w:val="none" w:sz="0" w:space="0" w:color="auto"/>
                                                                <w:right w:val="none" w:sz="0" w:space="0" w:color="auto"/>
                                                              </w:divBdr>
                                                              <w:divsChild>
                                                                <w:div w:id="833842193">
                                                                  <w:marLeft w:val="0"/>
                                                                  <w:marRight w:val="0"/>
                                                                  <w:marTop w:val="0"/>
                                                                  <w:marBottom w:val="0"/>
                                                                  <w:divBdr>
                                                                    <w:top w:val="none" w:sz="0" w:space="0" w:color="auto"/>
                                                                    <w:left w:val="none" w:sz="0" w:space="0" w:color="auto"/>
                                                                    <w:bottom w:val="none" w:sz="0" w:space="0" w:color="auto"/>
                                                                    <w:right w:val="none" w:sz="0" w:space="0" w:color="auto"/>
                                                                  </w:divBdr>
                                                                  <w:divsChild>
                                                                    <w:div w:id="1119496476">
                                                                      <w:marLeft w:val="0"/>
                                                                      <w:marRight w:val="0"/>
                                                                      <w:marTop w:val="0"/>
                                                                      <w:marBottom w:val="0"/>
                                                                      <w:divBdr>
                                                                        <w:top w:val="none" w:sz="0" w:space="0" w:color="auto"/>
                                                                        <w:left w:val="none" w:sz="0" w:space="0" w:color="auto"/>
                                                                        <w:bottom w:val="none" w:sz="0" w:space="0" w:color="auto"/>
                                                                        <w:right w:val="none" w:sz="0" w:space="0" w:color="auto"/>
                                                                      </w:divBdr>
                                                                      <w:divsChild>
                                                                        <w:div w:id="1756168781">
                                                                          <w:marLeft w:val="0"/>
                                                                          <w:marRight w:val="0"/>
                                                                          <w:marTop w:val="0"/>
                                                                          <w:marBottom w:val="0"/>
                                                                          <w:divBdr>
                                                                            <w:top w:val="none" w:sz="0" w:space="0" w:color="auto"/>
                                                                            <w:left w:val="none" w:sz="0" w:space="0" w:color="auto"/>
                                                                            <w:bottom w:val="none" w:sz="0" w:space="0" w:color="auto"/>
                                                                            <w:right w:val="none" w:sz="0" w:space="0" w:color="auto"/>
                                                                          </w:divBdr>
                                                                          <w:divsChild>
                                                                            <w:div w:id="903298265">
                                                                              <w:marLeft w:val="0"/>
                                                                              <w:marRight w:val="0"/>
                                                                              <w:marTop w:val="0"/>
                                                                              <w:marBottom w:val="0"/>
                                                                              <w:divBdr>
                                                                                <w:top w:val="none" w:sz="0" w:space="0" w:color="auto"/>
                                                                                <w:left w:val="none" w:sz="0" w:space="0" w:color="auto"/>
                                                                                <w:bottom w:val="none" w:sz="0" w:space="0" w:color="auto"/>
                                                                                <w:right w:val="none" w:sz="0" w:space="0" w:color="auto"/>
                                                                              </w:divBdr>
                                                                              <w:divsChild>
                                                                                <w:div w:id="148984909">
                                                                                  <w:marLeft w:val="0"/>
                                                                                  <w:marRight w:val="0"/>
                                                                                  <w:marTop w:val="0"/>
                                                                                  <w:marBottom w:val="0"/>
                                                                                  <w:divBdr>
                                                                                    <w:top w:val="none" w:sz="0" w:space="0" w:color="auto"/>
                                                                                    <w:left w:val="none" w:sz="0" w:space="0" w:color="auto"/>
                                                                                    <w:bottom w:val="none" w:sz="0" w:space="0" w:color="auto"/>
                                                                                    <w:right w:val="none" w:sz="0" w:space="0" w:color="auto"/>
                                                                                  </w:divBdr>
                                                                                  <w:divsChild>
                                                                                    <w:div w:id="979922371">
                                                                                      <w:marLeft w:val="0"/>
                                                                                      <w:marRight w:val="0"/>
                                                                                      <w:marTop w:val="0"/>
                                                                                      <w:marBottom w:val="0"/>
                                                                                      <w:divBdr>
                                                                                        <w:top w:val="none" w:sz="0" w:space="0" w:color="auto"/>
                                                                                        <w:left w:val="none" w:sz="0" w:space="0" w:color="auto"/>
                                                                                        <w:bottom w:val="none" w:sz="0" w:space="0" w:color="auto"/>
                                                                                        <w:right w:val="none" w:sz="0" w:space="0" w:color="auto"/>
                                                                                      </w:divBdr>
                                                                                      <w:divsChild>
                                                                                        <w:div w:id="137345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2275014">
      <w:bodyDiv w:val="1"/>
      <w:marLeft w:val="0"/>
      <w:marRight w:val="0"/>
      <w:marTop w:val="0"/>
      <w:marBottom w:val="0"/>
      <w:divBdr>
        <w:top w:val="none" w:sz="0" w:space="0" w:color="auto"/>
        <w:left w:val="none" w:sz="0" w:space="0" w:color="auto"/>
        <w:bottom w:val="none" w:sz="0" w:space="0" w:color="auto"/>
        <w:right w:val="none" w:sz="0" w:space="0" w:color="auto"/>
      </w:divBdr>
    </w:div>
    <w:div w:id="1579289959">
      <w:bodyDiv w:val="1"/>
      <w:marLeft w:val="0"/>
      <w:marRight w:val="0"/>
      <w:marTop w:val="0"/>
      <w:marBottom w:val="0"/>
      <w:divBdr>
        <w:top w:val="none" w:sz="0" w:space="0" w:color="auto"/>
        <w:left w:val="none" w:sz="0" w:space="0" w:color="auto"/>
        <w:bottom w:val="none" w:sz="0" w:space="0" w:color="auto"/>
        <w:right w:val="none" w:sz="0" w:space="0" w:color="auto"/>
      </w:divBdr>
    </w:div>
    <w:div w:id="1579906306">
      <w:bodyDiv w:val="1"/>
      <w:marLeft w:val="0"/>
      <w:marRight w:val="0"/>
      <w:marTop w:val="0"/>
      <w:marBottom w:val="0"/>
      <w:divBdr>
        <w:top w:val="none" w:sz="0" w:space="0" w:color="auto"/>
        <w:left w:val="none" w:sz="0" w:space="0" w:color="auto"/>
        <w:bottom w:val="none" w:sz="0" w:space="0" w:color="auto"/>
        <w:right w:val="none" w:sz="0" w:space="0" w:color="auto"/>
      </w:divBdr>
    </w:div>
    <w:div w:id="1632250046">
      <w:bodyDiv w:val="1"/>
      <w:marLeft w:val="0"/>
      <w:marRight w:val="0"/>
      <w:marTop w:val="0"/>
      <w:marBottom w:val="0"/>
      <w:divBdr>
        <w:top w:val="none" w:sz="0" w:space="0" w:color="auto"/>
        <w:left w:val="none" w:sz="0" w:space="0" w:color="auto"/>
        <w:bottom w:val="none" w:sz="0" w:space="0" w:color="auto"/>
        <w:right w:val="none" w:sz="0" w:space="0" w:color="auto"/>
      </w:divBdr>
    </w:div>
    <w:div w:id="1660226876">
      <w:bodyDiv w:val="1"/>
      <w:marLeft w:val="0"/>
      <w:marRight w:val="0"/>
      <w:marTop w:val="0"/>
      <w:marBottom w:val="0"/>
      <w:divBdr>
        <w:top w:val="none" w:sz="0" w:space="0" w:color="auto"/>
        <w:left w:val="none" w:sz="0" w:space="0" w:color="auto"/>
        <w:bottom w:val="none" w:sz="0" w:space="0" w:color="auto"/>
        <w:right w:val="none" w:sz="0" w:space="0" w:color="auto"/>
      </w:divBdr>
    </w:div>
    <w:div w:id="1677994823">
      <w:bodyDiv w:val="1"/>
      <w:marLeft w:val="0"/>
      <w:marRight w:val="0"/>
      <w:marTop w:val="0"/>
      <w:marBottom w:val="0"/>
      <w:divBdr>
        <w:top w:val="none" w:sz="0" w:space="0" w:color="auto"/>
        <w:left w:val="none" w:sz="0" w:space="0" w:color="auto"/>
        <w:bottom w:val="none" w:sz="0" w:space="0" w:color="auto"/>
        <w:right w:val="none" w:sz="0" w:space="0" w:color="auto"/>
      </w:divBdr>
    </w:div>
    <w:div w:id="1681933542">
      <w:bodyDiv w:val="1"/>
      <w:marLeft w:val="0"/>
      <w:marRight w:val="0"/>
      <w:marTop w:val="0"/>
      <w:marBottom w:val="0"/>
      <w:divBdr>
        <w:top w:val="none" w:sz="0" w:space="0" w:color="auto"/>
        <w:left w:val="none" w:sz="0" w:space="0" w:color="auto"/>
        <w:bottom w:val="none" w:sz="0" w:space="0" w:color="auto"/>
        <w:right w:val="none" w:sz="0" w:space="0" w:color="auto"/>
      </w:divBdr>
    </w:div>
    <w:div w:id="1691644615">
      <w:bodyDiv w:val="1"/>
      <w:marLeft w:val="0"/>
      <w:marRight w:val="0"/>
      <w:marTop w:val="0"/>
      <w:marBottom w:val="0"/>
      <w:divBdr>
        <w:top w:val="none" w:sz="0" w:space="0" w:color="auto"/>
        <w:left w:val="none" w:sz="0" w:space="0" w:color="auto"/>
        <w:bottom w:val="none" w:sz="0" w:space="0" w:color="auto"/>
        <w:right w:val="none" w:sz="0" w:space="0" w:color="auto"/>
      </w:divBdr>
      <w:divsChild>
        <w:div w:id="585501402">
          <w:marLeft w:val="0"/>
          <w:marRight w:val="0"/>
          <w:marTop w:val="0"/>
          <w:marBottom w:val="0"/>
          <w:divBdr>
            <w:top w:val="none" w:sz="0" w:space="0" w:color="auto"/>
            <w:left w:val="none" w:sz="0" w:space="0" w:color="auto"/>
            <w:bottom w:val="none" w:sz="0" w:space="0" w:color="auto"/>
            <w:right w:val="none" w:sz="0" w:space="0" w:color="auto"/>
          </w:divBdr>
          <w:divsChild>
            <w:div w:id="385304238">
              <w:marLeft w:val="0"/>
              <w:marRight w:val="0"/>
              <w:marTop w:val="0"/>
              <w:marBottom w:val="0"/>
              <w:divBdr>
                <w:top w:val="none" w:sz="0" w:space="0" w:color="auto"/>
                <w:left w:val="none" w:sz="0" w:space="0" w:color="auto"/>
                <w:bottom w:val="none" w:sz="0" w:space="0" w:color="auto"/>
                <w:right w:val="none" w:sz="0" w:space="0" w:color="auto"/>
              </w:divBdr>
              <w:divsChild>
                <w:div w:id="1259631728">
                  <w:marLeft w:val="0"/>
                  <w:marRight w:val="0"/>
                  <w:marTop w:val="0"/>
                  <w:marBottom w:val="0"/>
                  <w:divBdr>
                    <w:top w:val="none" w:sz="0" w:space="0" w:color="auto"/>
                    <w:left w:val="none" w:sz="0" w:space="0" w:color="auto"/>
                    <w:bottom w:val="none" w:sz="0" w:space="0" w:color="auto"/>
                    <w:right w:val="none" w:sz="0" w:space="0" w:color="auto"/>
                  </w:divBdr>
                  <w:divsChild>
                    <w:div w:id="599530570">
                      <w:marLeft w:val="0"/>
                      <w:marRight w:val="0"/>
                      <w:marTop w:val="45"/>
                      <w:marBottom w:val="0"/>
                      <w:divBdr>
                        <w:top w:val="none" w:sz="0" w:space="0" w:color="auto"/>
                        <w:left w:val="none" w:sz="0" w:space="0" w:color="auto"/>
                        <w:bottom w:val="none" w:sz="0" w:space="0" w:color="auto"/>
                        <w:right w:val="none" w:sz="0" w:space="0" w:color="auto"/>
                      </w:divBdr>
                      <w:divsChild>
                        <w:div w:id="193857958">
                          <w:marLeft w:val="0"/>
                          <w:marRight w:val="0"/>
                          <w:marTop w:val="0"/>
                          <w:marBottom w:val="0"/>
                          <w:divBdr>
                            <w:top w:val="none" w:sz="0" w:space="0" w:color="auto"/>
                            <w:left w:val="none" w:sz="0" w:space="0" w:color="auto"/>
                            <w:bottom w:val="none" w:sz="0" w:space="0" w:color="auto"/>
                            <w:right w:val="none" w:sz="0" w:space="0" w:color="auto"/>
                          </w:divBdr>
                          <w:divsChild>
                            <w:div w:id="28382390">
                              <w:marLeft w:val="2070"/>
                              <w:marRight w:val="3960"/>
                              <w:marTop w:val="0"/>
                              <w:marBottom w:val="0"/>
                              <w:divBdr>
                                <w:top w:val="none" w:sz="0" w:space="0" w:color="auto"/>
                                <w:left w:val="none" w:sz="0" w:space="0" w:color="auto"/>
                                <w:bottom w:val="none" w:sz="0" w:space="0" w:color="auto"/>
                                <w:right w:val="none" w:sz="0" w:space="0" w:color="auto"/>
                              </w:divBdr>
                              <w:divsChild>
                                <w:div w:id="930695874">
                                  <w:marLeft w:val="0"/>
                                  <w:marRight w:val="0"/>
                                  <w:marTop w:val="0"/>
                                  <w:marBottom w:val="0"/>
                                  <w:divBdr>
                                    <w:top w:val="none" w:sz="0" w:space="0" w:color="auto"/>
                                    <w:left w:val="none" w:sz="0" w:space="0" w:color="auto"/>
                                    <w:bottom w:val="none" w:sz="0" w:space="0" w:color="auto"/>
                                    <w:right w:val="none" w:sz="0" w:space="0" w:color="auto"/>
                                  </w:divBdr>
                                  <w:divsChild>
                                    <w:div w:id="1561356156">
                                      <w:marLeft w:val="0"/>
                                      <w:marRight w:val="0"/>
                                      <w:marTop w:val="0"/>
                                      <w:marBottom w:val="0"/>
                                      <w:divBdr>
                                        <w:top w:val="none" w:sz="0" w:space="0" w:color="auto"/>
                                        <w:left w:val="none" w:sz="0" w:space="0" w:color="auto"/>
                                        <w:bottom w:val="none" w:sz="0" w:space="0" w:color="auto"/>
                                        <w:right w:val="none" w:sz="0" w:space="0" w:color="auto"/>
                                      </w:divBdr>
                                      <w:divsChild>
                                        <w:div w:id="463542172">
                                          <w:marLeft w:val="0"/>
                                          <w:marRight w:val="0"/>
                                          <w:marTop w:val="0"/>
                                          <w:marBottom w:val="0"/>
                                          <w:divBdr>
                                            <w:top w:val="none" w:sz="0" w:space="0" w:color="auto"/>
                                            <w:left w:val="none" w:sz="0" w:space="0" w:color="auto"/>
                                            <w:bottom w:val="none" w:sz="0" w:space="0" w:color="auto"/>
                                            <w:right w:val="none" w:sz="0" w:space="0" w:color="auto"/>
                                          </w:divBdr>
                                          <w:divsChild>
                                            <w:div w:id="783425252">
                                              <w:marLeft w:val="0"/>
                                              <w:marRight w:val="0"/>
                                              <w:marTop w:val="90"/>
                                              <w:marBottom w:val="0"/>
                                              <w:divBdr>
                                                <w:top w:val="none" w:sz="0" w:space="0" w:color="auto"/>
                                                <w:left w:val="none" w:sz="0" w:space="0" w:color="auto"/>
                                                <w:bottom w:val="none" w:sz="0" w:space="0" w:color="auto"/>
                                                <w:right w:val="none" w:sz="0" w:space="0" w:color="auto"/>
                                              </w:divBdr>
                                              <w:divsChild>
                                                <w:div w:id="75564931">
                                                  <w:marLeft w:val="0"/>
                                                  <w:marRight w:val="0"/>
                                                  <w:marTop w:val="0"/>
                                                  <w:marBottom w:val="0"/>
                                                  <w:divBdr>
                                                    <w:top w:val="none" w:sz="0" w:space="0" w:color="auto"/>
                                                    <w:left w:val="none" w:sz="0" w:space="0" w:color="auto"/>
                                                    <w:bottom w:val="none" w:sz="0" w:space="0" w:color="auto"/>
                                                    <w:right w:val="none" w:sz="0" w:space="0" w:color="auto"/>
                                                  </w:divBdr>
                                                  <w:divsChild>
                                                    <w:div w:id="1442802202">
                                                      <w:marLeft w:val="0"/>
                                                      <w:marRight w:val="0"/>
                                                      <w:marTop w:val="0"/>
                                                      <w:marBottom w:val="0"/>
                                                      <w:divBdr>
                                                        <w:top w:val="none" w:sz="0" w:space="0" w:color="auto"/>
                                                        <w:left w:val="none" w:sz="0" w:space="0" w:color="auto"/>
                                                        <w:bottom w:val="none" w:sz="0" w:space="0" w:color="auto"/>
                                                        <w:right w:val="none" w:sz="0" w:space="0" w:color="auto"/>
                                                      </w:divBdr>
                                                      <w:divsChild>
                                                        <w:div w:id="1308364646">
                                                          <w:marLeft w:val="0"/>
                                                          <w:marRight w:val="0"/>
                                                          <w:marTop w:val="0"/>
                                                          <w:marBottom w:val="390"/>
                                                          <w:divBdr>
                                                            <w:top w:val="none" w:sz="0" w:space="0" w:color="auto"/>
                                                            <w:left w:val="none" w:sz="0" w:space="0" w:color="auto"/>
                                                            <w:bottom w:val="none" w:sz="0" w:space="0" w:color="auto"/>
                                                            <w:right w:val="none" w:sz="0" w:space="0" w:color="auto"/>
                                                          </w:divBdr>
                                                          <w:divsChild>
                                                            <w:div w:id="1943953760">
                                                              <w:marLeft w:val="0"/>
                                                              <w:marRight w:val="0"/>
                                                              <w:marTop w:val="0"/>
                                                              <w:marBottom w:val="0"/>
                                                              <w:divBdr>
                                                                <w:top w:val="none" w:sz="0" w:space="0" w:color="auto"/>
                                                                <w:left w:val="none" w:sz="0" w:space="0" w:color="auto"/>
                                                                <w:bottom w:val="none" w:sz="0" w:space="0" w:color="auto"/>
                                                                <w:right w:val="none" w:sz="0" w:space="0" w:color="auto"/>
                                                              </w:divBdr>
                                                              <w:divsChild>
                                                                <w:div w:id="1892033875">
                                                                  <w:marLeft w:val="0"/>
                                                                  <w:marRight w:val="0"/>
                                                                  <w:marTop w:val="0"/>
                                                                  <w:marBottom w:val="0"/>
                                                                  <w:divBdr>
                                                                    <w:top w:val="none" w:sz="0" w:space="0" w:color="auto"/>
                                                                    <w:left w:val="none" w:sz="0" w:space="0" w:color="auto"/>
                                                                    <w:bottom w:val="none" w:sz="0" w:space="0" w:color="auto"/>
                                                                    <w:right w:val="none" w:sz="0" w:space="0" w:color="auto"/>
                                                                  </w:divBdr>
                                                                  <w:divsChild>
                                                                    <w:div w:id="1077753402">
                                                                      <w:marLeft w:val="0"/>
                                                                      <w:marRight w:val="0"/>
                                                                      <w:marTop w:val="0"/>
                                                                      <w:marBottom w:val="0"/>
                                                                      <w:divBdr>
                                                                        <w:top w:val="none" w:sz="0" w:space="0" w:color="auto"/>
                                                                        <w:left w:val="none" w:sz="0" w:space="0" w:color="auto"/>
                                                                        <w:bottom w:val="none" w:sz="0" w:space="0" w:color="auto"/>
                                                                        <w:right w:val="none" w:sz="0" w:space="0" w:color="auto"/>
                                                                      </w:divBdr>
                                                                      <w:divsChild>
                                                                        <w:div w:id="184098066">
                                                                          <w:marLeft w:val="0"/>
                                                                          <w:marRight w:val="0"/>
                                                                          <w:marTop w:val="0"/>
                                                                          <w:marBottom w:val="0"/>
                                                                          <w:divBdr>
                                                                            <w:top w:val="none" w:sz="0" w:space="0" w:color="auto"/>
                                                                            <w:left w:val="none" w:sz="0" w:space="0" w:color="auto"/>
                                                                            <w:bottom w:val="none" w:sz="0" w:space="0" w:color="auto"/>
                                                                            <w:right w:val="none" w:sz="0" w:space="0" w:color="auto"/>
                                                                          </w:divBdr>
                                                                          <w:divsChild>
                                                                            <w:div w:id="619380826">
                                                                              <w:marLeft w:val="0"/>
                                                                              <w:marRight w:val="0"/>
                                                                              <w:marTop w:val="0"/>
                                                                              <w:marBottom w:val="0"/>
                                                                              <w:divBdr>
                                                                                <w:top w:val="none" w:sz="0" w:space="0" w:color="auto"/>
                                                                                <w:left w:val="none" w:sz="0" w:space="0" w:color="auto"/>
                                                                                <w:bottom w:val="none" w:sz="0" w:space="0" w:color="auto"/>
                                                                                <w:right w:val="none" w:sz="0" w:space="0" w:color="auto"/>
                                                                              </w:divBdr>
                                                                              <w:divsChild>
                                                                                <w:div w:id="1507667598">
                                                                                  <w:marLeft w:val="0"/>
                                                                                  <w:marRight w:val="0"/>
                                                                                  <w:marTop w:val="0"/>
                                                                                  <w:marBottom w:val="0"/>
                                                                                  <w:divBdr>
                                                                                    <w:top w:val="none" w:sz="0" w:space="0" w:color="auto"/>
                                                                                    <w:left w:val="none" w:sz="0" w:space="0" w:color="auto"/>
                                                                                    <w:bottom w:val="none" w:sz="0" w:space="0" w:color="auto"/>
                                                                                    <w:right w:val="none" w:sz="0" w:space="0" w:color="auto"/>
                                                                                  </w:divBdr>
                                                                                  <w:divsChild>
                                                                                    <w:div w:id="1819609625">
                                                                                      <w:marLeft w:val="0"/>
                                                                                      <w:marRight w:val="0"/>
                                                                                      <w:marTop w:val="0"/>
                                                                                      <w:marBottom w:val="0"/>
                                                                                      <w:divBdr>
                                                                                        <w:top w:val="none" w:sz="0" w:space="0" w:color="auto"/>
                                                                                        <w:left w:val="none" w:sz="0" w:space="0" w:color="auto"/>
                                                                                        <w:bottom w:val="none" w:sz="0" w:space="0" w:color="auto"/>
                                                                                        <w:right w:val="none" w:sz="0" w:space="0" w:color="auto"/>
                                                                                      </w:divBdr>
                                                                                      <w:divsChild>
                                                                                        <w:div w:id="74233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9619048">
      <w:bodyDiv w:val="1"/>
      <w:marLeft w:val="0"/>
      <w:marRight w:val="0"/>
      <w:marTop w:val="0"/>
      <w:marBottom w:val="0"/>
      <w:divBdr>
        <w:top w:val="none" w:sz="0" w:space="0" w:color="auto"/>
        <w:left w:val="none" w:sz="0" w:space="0" w:color="auto"/>
        <w:bottom w:val="none" w:sz="0" w:space="0" w:color="auto"/>
        <w:right w:val="none" w:sz="0" w:space="0" w:color="auto"/>
      </w:divBdr>
    </w:div>
    <w:div w:id="1727560830">
      <w:bodyDiv w:val="1"/>
      <w:marLeft w:val="0"/>
      <w:marRight w:val="0"/>
      <w:marTop w:val="0"/>
      <w:marBottom w:val="0"/>
      <w:divBdr>
        <w:top w:val="none" w:sz="0" w:space="0" w:color="auto"/>
        <w:left w:val="none" w:sz="0" w:space="0" w:color="auto"/>
        <w:bottom w:val="none" w:sz="0" w:space="0" w:color="auto"/>
        <w:right w:val="none" w:sz="0" w:space="0" w:color="auto"/>
      </w:divBdr>
    </w:div>
    <w:div w:id="1738166350">
      <w:bodyDiv w:val="1"/>
      <w:marLeft w:val="0"/>
      <w:marRight w:val="0"/>
      <w:marTop w:val="0"/>
      <w:marBottom w:val="0"/>
      <w:divBdr>
        <w:top w:val="none" w:sz="0" w:space="0" w:color="auto"/>
        <w:left w:val="none" w:sz="0" w:space="0" w:color="auto"/>
        <w:bottom w:val="none" w:sz="0" w:space="0" w:color="auto"/>
        <w:right w:val="none" w:sz="0" w:space="0" w:color="auto"/>
      </w:divBdr>
    </w:div>
    <w:div w:id="1738821455">
      <w:bodyDiv w:val="1"/>
      <w:marLeft w:val="0"/>
      <w:marRight w:val="0"/>
      <w:marTop w:val="0"/>
      <w:marBottom w:val="0"/>
      <w:divBdr>
        <w:top w:val="none" w:sz="0" w:space="0" w:color="auto"/>
        <w:left w:val="none" w:sz="0" w:space="0" w:color="auto"/>
        <w:bottom w:val="none" w:sz="0" w:space="0" w:color="auto"/>
        <w:right w:val="none" w:sz="0" w:space="0" w:color="auto"/>
      </w:divBdr>
      <w:divsChild>
        <w:div w:id="910702648">
          <w:marLeft w:val="0"/>
          <w:marRight w:val="0"/>
          <w:marTop w:val="0"/>
          <w:marBottom w:val="0"/>
          <w:divBdr>
            <w:top w:val="none" w:sz="0" w:space="0" w:color="auto"/>
            <w:left w:val="none" w:sz="0" w:space="0" w:color="auto"/>
            <w:bottom w:val="none" w:sz="0" w:space="0" w:color="auto"/>
            <w:right w:val="none" w:sz="0" w:space="0" w:color="auto"/>
          </w:divBdr>
          <w:divsChild>
            <w:div w:id="958530678">
              <w:marLeft w:val="0"/>
              <w:marRight w:val="0"/>
              <w:marTop w:val="0"/>
              <w:marBottom w:val="0"/>
              <w:divBdr>
                <w:top w:val="none" w:sz="0" w:space="0" w:color="auto"/>
                <w:left w:val="none" w:sz="0" w:space="0" w:color="auto"/>
                <w:bottom w:val="none" w:sz="0" w:space="0" w:color="auto"/>
                <w:right w:val="none" w:sz="0" w:space="0" w:color="auto"/>
              </w:divBdr>
              <w:divsChild>
                <w:div w:id="834687036">
                  <w:marLeft w:val="0"/>
                  <w:marRight w:val="0"/>
                  <w:marTop w:val="0"/>
                  <w:marBottom w:val="0"/>
                  <w:divBdr>
                    <w:top w:val="none" w:sz="0" w:space="0" w:color="auto"/>
                    <w:left w:val="none" w:sz="0" w:space="0" w:color="auto"/>
                    <w:bottom w:val="none" w:sz="0" w:space="0" w:color="auto"/>
                    <w:right w:val="none" w:sz="0" w:space="0" w:color="auto"/>
                  </w:divBdr>
                  <w:divsChild>
                    <w:div w:id="2129623590">
                      <w:marLeft w:val="0"/>
                      <w:marRight w:val="0"/>
                      <w:marTop w:val="45"/>
                      <w:marBottom w:val="0"/>
                      <w:divBdr>
                        <w:top w:val="none" w:sz="0" w:space="0" w:color="auto"/>
                        <w:left w:val="none" w:sz="0" w:space="0" w:color="auto"/>
                        <w:bottom w:val="none" w:sz="0" w:space="0" w:color="auto"/>
                        <w:right w:val="none" w:sz="0" w:space="0" w:color="auto"/>
                      </w:divBdr>
                      <w:divsChild>
                        <w:div w:id="453716931">
                          <w:marLeft w:val="0"/>
                          <w:marRight w:val="0"/>
                          <w:marTop w:val="0"/>
                          <w:marBottom w:val="0"/>
                          <w:divBdr>
                            <w:top w:val="none" w:sz="0" w:space="0" w:color="auto"/>
                            <w:left w:val="none" w:sz="0" w:space="0" w:color="auto"/>
                            <w:bottom w:val="none" w:sz="0" w:space="0" w:color="auto"/>
                            <w:right w:val="none" w:sz="0" w:space="0" w:color="auto"/>
                          </w:divBdr>
                          <w:divsChild>
                            <w:div w:id="374934106">
                              <w:marLeft w:val="2070"/>
                              <w:marRight w:val="3960"/>
                              <w:marTop w:val="0"/>
                              <w:marBottom w:val="0"/>
                              <w:divBdr>
                                <w:top w:val="none" w:sz="0" w:space="0" w:color="auto"/>
                                <w:left w:val="none" w:sz="0" w:space="0" w:color="auto"/>
                                <w:bottom w:val="none" w:sz="0" w:space="0" w:color="auto"/>
                                <w:right w:val="none" w:sz="0" w:space="0" w:color="auto"/>
                              </w:divBdr>
                              <w:divsChild>
                                <w:div w:id="1136141282">
                                  <w:marLeft w:val="0"/>
                                  <w:marRight w:val="0"/>
                                  <w:marTop w:val="0"/>
                                  <w:marBottom w:val="0"/>
                                  <w:divBdr>
                                    <w:top w:val="none" w:sz="0" w:space="0" w:color="auto"/>
                                    <w:left w:val="none" w:sz="0" w:space="0" w:color="auto"/>
                                    <w:bottom w:val="none" w:sz="0" w:space="0" w:color="auto"/>
                                    <w:right w:val="none" w:sz="0" w:space="0" w:color="auto"/>
                                  </w:divBdr>
                                  <w:divsChild>
                                    <w:div w:id="67963793">
                                      <w:marLeft w:val="0"/>
                                      <w:marRight w:val="0"/>
                                      <w:marTop w:val="0"/>
                                      <w:marBottom w:val="0"/>
                                      <w:divBdr>
                                        <w:top w:val="none" w:sz="0" w:space="0" w:color="auto"/>
                                        <w:left w:val="none" w:sz="0" w:space="0" w:color="auto"/>
                                        <w:bottom w:val="none" w:sz="0" w:space="0" w:color="auto"/>
                                        <w:right w:val="none" w:sz="0" w:space="0" w:color="auto"/>
                                      </w:divBdr>
                                      <w:divsChild>
                                        <w:div w:id="564337125">
                                          <w:marLeft w:val="0"/>
                                          <w:marRight w:val="0"/>
                                          <w:marTop w:val="0"/>
                                          <w:marBottom w:val="0"/>
                                          <w:divBdr>
                                            <w:top w:val="none" w:sz="0" w:space="0" w:color="auto"/>
                                            <w:left w:val="none" w:sz="0" w:space="0" w:color="auto"/>
                                            <w:bottom w:val="none" w:sz="0" w:space="0" w:color="auto"/>
                                            <w:right w:val="none" w:sz="0" w:space="0" w:color="auto"/>
                                          </w:divBdr>
                                          <w:divsChild>
                                            <w:div w:id="368145500">
                                              <w:marLeft w:val="0"/>
                                              <w:marRight w:val="0"/>
                                              <w:marTop w:val="90"/>
                                              <w:marBottom w:val="0"/>
                                              <w:divBdr>
                                                <w:top w:val="none" w:sz="0" w:space="0" w:color="auto"/>
                                                <w:left w:val="none" w:sz="0" w:space="0" w:color="auto"/>
                                                <w:bottom w:val="none" w:sz="0" w:space="0" w:color="auto"/>
                                                <w:right w:val="none" w:sz="0" w:space="0" w:color="auto"/>
                                              </w:divBdr>
                                              <w:divsChild>
                                                <w:div w:id="1726755317">
                                                  <w:marLeft w:val="0"/>
                                                  <w:marRight w:val="0"/>
                                                  <w:marTop w:val="0"/>
                                                  <w:marBottom w:val="0"/>
                                                  <w:divBdr>
                                                    <w:top w:val="none" w:sz="0" w:space="0" w:color="auto"/>
                                                    <w:left w:val="none" w:sz="0" w:space="0" w:color="auto"/>
                                                    <w:bottom w:val="none" w:sz="0" w:space="0" w:color="auto"/>
                                                    <w:right w:val="none" w:sz="0" w:space="0" w:color="auto"/>
                                                  </w:divBdr>
                                                  <w:divsChild>
                                                    <w:div w:id="1968049863">
                                                      <w:marLeft w:val="0"/>
                                                      <w:marRight w:val="0"/>
                                                      <w:marTop w:val="0"/>
                                                      <w:marBottom w:val="0"/>
                                                      <w:divBdr>
                                                        <w:top w:val="none" w:sz="0" w:space="0" w:color="auto"/>
                                                        <w:left w:val="none" w:sz="0" w:space="0" w:color="auto"/>
                                                        <w:bottom w:val="none" w:sz="0" w:space="0" w:color="auto"/>
                                                        <w:right w:val="none" w:sz="0" w:space="0" w:color="auto"/>
                                                      </w:divBdr>
                                                      <w:divsChild>
                                                        <w:div w:id="1241912067">
                                                          <w:marLeft w:val="0"/>
                                                          <w:marRight w:val="0"/>
                                                          <w:marTop w:val="0"/>
                                                          <w:marBottom w:val="390"/>
                                                          <w:divBdr>
                                                            <w:top w:val="none" w:sz="0" w:space="0" w:color="auto"/>
                                                            <w:left w:val="none" w:sz="0" w:space="0" w:color="auto"/>
                                                            <w:bottom w:val="none" w:sz="0" w:space="0" w:color="auto"/>
                                                            <w:right w:val="none" w:sz="0" w:space="0" w:color="auto"/>
                                                          </w:divBdr>
                                                          <w:divsChild>
                                                            <w:div w:id="295137376">
                                                              <w:marLeft w:val="0"/>
                                                              <w:marRight w:val="0"/>
                                                              <w:marTop w:val="0"/>
                                                              <w:marBottom w:val="0"/>
                                                              <w:divBdr>
                                                                <w:top w:val="none" w:sz="0" w:space="0" w:color="auto"/>
                                                                <w:left w:val="none" w:sz="0" w:space="0" w:color="auto"/>
                                                                <w:bottom w:val="none" w:sz="0" w:space="0" w:color="auto"/>
                                                                <w:right w:val="none" w:sz="0" w:space="0" w:color="auto"/>
                                                              </w:divBdr>
                                                              <w:divsChild>
                                                                <w:div w:id="1924952162">
                                                                  <w:marLeft w:val="0"/>
                                                                  <w:marRight w:val="0"/>
                                                                  <w:marTop w:val="0"/>
                                                                  <w:marBottom w:val="0"/>
                                                                  <w:divBdr>
                                                                    <w:top w:val="none" w:sz="0" w:space="0" w:color="auto"/>
                                                                    <w:left w:val="none" w:sz="0" w:space="0" w:color="auto"/>
                                                                    <w:bottom w:val="none" w:sz="0" w:space="0" w:color="auto"/>
                                                                    <w:right w:val="none" w:sz="0" w:space="0" w:color="auto"/>
                                                                  </w:divBdr>
                                                                  <w:divsChild>
                                                                    <w:div w:id="1767455975">
                                                                      <w:marLeft w:val="0"/>
                                                                      <w:marRight w:val="0"/>
                                                                      <w:marTop w:val="0"/>
                                                                      <w:marBottom w:val="0"/>
                                                                      <w:divBdr>
                                                                        <w:top w:val="none" w:sz="0" w:space="0" w:color="auto"/>
                                                                        <w:left w:val="none" w:sz="0" w:space="0" w:color="auto"/>
                                                                        <w:bottom w:val="none" w:sz="0" w:space="0" w:color="auto"/>
                                                                        <w:right w:val="none" w:sz="0" w:space="0" w:color="auto"/>
                                                                      </w:divBdr>
                                                                      <w:divsChild>
                                                                        <w:div w:id="1309364526">
                                                                          <w:marLeft w:val="0"/>
                                                                          <w:marRight w:val="0"/>
                                                                          <w:marTop w:val="0"/>
                                                                          <w:marBottom w:val="0"/>
                                                                          <w:divBdr>
                                                                            <w:top w:val="none" w:sz="0" w:space="0" w:color="auto"/>
                                                                            <w:left w:val="none" w:sz="0" w:space="0" w:color="auto"/>
                                                                            <w:bottom w:val="none" w:sz="0" w:space="0" w:color="auto"/>
                                                                            <w:right w:val="none" w:sz="0" w:space="0" w:color="auto"/>
                                                                          </w:divBdr>
                                                                          <w:divsChild>
                                                                            <w:div w:id="69349158">
                                                                              <w:marLeft w:val="0"/>
                                                                              <w:marRight w:val="0"/>
                                                                              <w:marTop w:val="0"/>
                                                                              <w:marBottom w:val="0"/>
                                                                              <w:divBdr>
                                                                                <w:top w:val="none" w:sz="0" w:space="0" w:color="auto"/>
                                                                                <w:left w:val="none" w:sz="0" w:space="0" w:color="auto"/>
                                                                                <w:bottom w:val="none" w:sz="0" w:space="0" w:color="auto"/>
                                                                                <w:right w:val="none" w:sz="0" w:space="0" w:color="auto"/>
                                                                              </w:divBdr>
                                                                              <w:divsChild>
                                                                                <w:div w:id="760569859">
                                                                                  <w:marLeft w:val="0"/>
                                                                                  <w:marRight w:val="0"/>
                                                                                  <w:marTop w:val="0"/>
                                                                                  <w:marBottom w:val="0"/>
                                                                                  <w:divBdr>
                                                                                    <w:top w:val="none" w:sz="0" w:space="0" w:color="auto"/>
                                                                                    <w:left w:val="none" w:sz="0" w:space="0" w:color="auto"/>
                                                                                    <w:bottom w:val="none" w:sz="0" w:space="0" w:color="auto"/>
                                                                                    <w:right w:val="none" w:sz="0" w:space="0" w:color="auto"/>
                                                                                  </w:divBdr>
                                                                                  <w:divsChild>
                                                                                    <w:div w:id="1480145758">
                                                                                      <w:marLeft w:val="0"/>
                                                                                      <w:marRight w:val="0"/>
                                                                                      <w:marTop w:val="0"/>
                                                                                      <w:marBottom w:val="0"/>
                                                                                      <w:divBdr>
                                                                                        <w:top w:val="none" w:sz="0" w:space="0" w:color="auto"/>
                                                                                        <w:left w:val="none" w:sz="0" w:space="0" w:color="auto"/>
                                                                                        <w:bottom w:val="none" w:sz="0" w:space="0" w:color="auto"/>
                                                                                        <w:right w:val="none" w:sz="0" w:space="0" w:color="auto"/>
                                                                                      </w:divBdr>
                                                                                      <w:divsChild>
                                                                                        <w:div w:id="141440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52923019">
      <w:bodyDiv w:val="1"/>
      <w:marLeft w:val="0"/>
      <w:marRight w:val="0"/>
      <w:marTop w:val="0"/>
      <w:marBottom w:val="0"/>
      <w:divBdr>
        <w:top w:val="none" w:sz="0" w:space="0" w:color="auto"/>
        <w:left w:val="none" w:sz="0" w:space="0" w:color="auto"/>
        <w:bottom w:val="none" w:sz="0" w:space="0" w:color="auto"/>
        <w:right w:val="none" w:sz="0" w:space="0" w:color="auto"/>
      </w:divBdr>
    </w:div>
    <w:div w:id="1753238948">
      <w:bodyDiv w:val="1"/>
      <w:marLeft w:val="0"/>
      <w:marRight w:val="0"/>
      <w:marTop w:val="0"/>
      <w:marBottom w:val="0"/>
      <w:divBdr>
        <w:top w:val="none" w:sz="0" w:space="0" w:color="auto"/>
        <w:left w:val="none" w:sz="0" w:space="0" w:color="auto"/>
        <w:bottom w:val="none" w:sz="0" w:space="0" w:color="auto"/>
        <w:right w:val="none" w:sz="0" w:space="0" w:color="auto"/>
      </w:divBdr>
    </w:div>
    <w:div w:id="1762339790">
      <w:bodyDiv w:val="1"/>
      <w:marLeft w:val="0"/>
      <w:marRight w:val="0"/>
      <w:marTop w:val="0"/>
      <w:marBottom w:val="0"/>
      <w:divBdr>
        <w:top w:val="none" w:sz="0" w:space="0" w:color="auto"/>
        <w:left w:val="none" w:sz="0" w:space="0" w:color="auto"/>
        <w:bottom w:val="none" w:sz="0" w:space="0" w:color="auto"/>
        <w:right w:val="none" w:sz="0" w:space="0" w:color="auto"/>
      </w:divBdr>
    </w:div>
    <w:div w:id="1801260478">
      <w:bodyDiv w:val="1"/>
      <w:marLeft w:val="0"/>
      <w:marRight w:val="0"/>
      <w:marTop w:val="0"/>
      <w:marBottom w:val="0"/>
      <w:divBdr>
        <w:top w:val="none" w:sz="0" w:space="0" w:color="auto"/>
        <w:left w:val="none" w:sz="0" w:space="0" w:color="auto"/>
        <w:bottom w:val="none" w:sz="0" w:space="0" w:color="auto"/>
        <w:right w:val="none" w:sz="0" w:space="0" w:color="auto"/>
      </w:divBdr>
    </w:div>
    <w:div w:id="1804493673">
      <w:bodyDiv w:val="1"/>
      <w:marLeft w:val="0"/>
      <w:marRight w:val="0"/>
      <w:marTop w:val="0"/>
      <w:marBottom w:val="0"/>
      <w:divBdr>
        <w:top w:val="none" w:sz="0" w:space="0" w:color="auto"/>
        <w:left w:val="none" w:sz="0" w:space="0" w:color="auto"/>
        <w:bottom w:val="none" w:sz="0" w:space="0" w:color="auto"/>
        <w:right w:val="none" w:sz="0" w:space="0" w:color="auto"/>
      </w:divBdr>
    </w:div>
    <w:div w:id="1827165008">
      <w:bodyDiv w:val="1"/>
      <w:marLeft w:val="0"/>
      <w:marRight w:val="0"/>
      <w:marTop w:val="0"/>
      <w:marBottom w:val="0"/>
      <w:divBdr>
        <w:top w:val="none" w:sz="0" w:space="0" w:color="auto"/>
        <w:left w:val="none" w:sz="0" w:space="0" w:color="auto"/>
        <w:bottom w:val="none" w:sz="0" w:space="0" w:color="auto"/>
        <w:right w:val="none" w:sz="0" w:space="0" w:color="auto"/>
      </w:divBdr>
    </w:div>
    <w:div w:id="1857112263">
      <w:bodyDiv w:val="1"/>
      <w:marLeft w:val="0"/>
      <w:marRight w:val="0"/>
      <w:marTop w:val="0"/>
      <w:marBottom w:val="0"/>
      <w:divBdr>
        <w:top w:val="none" w:sz="0" w:space="0" w:color="auto"/>
        <w:left w:val="none" w:sz="0" w:space="0" w:color="auto"/>
        <w:bottom w:val="none" w:sz="0" w:space="0" w:color="auto"/>
        <w:right w:val="none" w:sz="0" w:space="0" w:color="auto"/>
      </w:divBdr>
    </w:div>
    <w:div w:id="1873376177">
      <w:bodyDiv w:val="1"/>
      <w:marLeft w:val="0"/>
      <w:marRight w:val="0"/>
      <w:marTop w:val="0"/>
      <w:marBottom w:val="0"/>
      <w:divBdr>
        <w:top w:val="none" w:sz="0" w:space="0" w:color="auto"/>
        <w:left w:val="none" w:sz="0" w:space="0" w:color="auto"/>
        <w:bottom w:val="none" w:sz="0" w:space="0" w:color="auto"/>
        <w:right w:val="none" w:sz="0" w:space="0" w:color="auto"/>
      </w:divBdr>
    </w:div>
    <w:div w:id="1874541050">
      <w:bodyDiv w:val="1"/>
      <w:marLeft w:val="0"/>
      <w:marRight w:val="0"/>
      <w:marTop w:val="0"/>
      <w:marBottom w:val="0"/>
      <w:divBdr>
        <w:top w:val="none" w:sz="0" w:space="0" w:color="auto"/>
        <w:left w:val="none" w:sz="0" w:space="0" w:color="auto"/>
        <w:bottom w:val="none" w:sz="0" w:space="0" w:color="auto"/>
        <w:right w:val="none" w:sz="0" w:space="0" w:color="auto"/>
      </w:divBdr>
    </w:div>
    <w:div w:id="1900244826">
      <w:bodyDiv w:val="1"/>
      <w:marLeft w:val="0"/>
      <w:marRight w:val="0"/>
      <w:marTop w:val="0"/>
      <w:marBottom w:val="0"/>
      <w:divBdr>
        <w:top w:val="none" w:sz="0" w:space="0" w:color="auto"/>
        <w:left w:val="none" w:sz="0" w:space="0" w:color="auto"/>
        <w:bottom w:val="none" w:sz="0" w:space="0" w:color="auto"/>
        <w:right w:val="none" w:sz="0" w:space="0" w:color="auto"/>
      </w:divBdr>
    </w:div>
    <w:div w:id="1907452447">
      <w:bodyDiv w:val="1"/>
      <w:marLeft w:val="0"/>
      <w:marRight w:val="0"/>
      <w:marTop w:val="0"/>
      <w:marBottom w:val="0"/>
      <w:divBdr>
        <w:top w:val="none" w:sz="0" w:space="0" w:color="auto"/>
        <w:left w:val="none" w:sz="0" w:space="0" w:color="auto"/>
        <w:bottom w:val="none" w:sz="0" w:space="0" w:color="auto"/>
        <w:right w:val="none" w:sz="0" w:space="0" w:color="auto"/>
      </w:divBdr>
    </w:div>
    <w:div w:id="1930656045">
      <w:bodyDiv w:val="1"/>
      <w:marLeft w:val="0"/>
      <w:marRight w:val="0"/>
      <w:marTop w:val="0"/>
      <w:marBottom w:val="0"/>
      <w:divBdr>
        <w:top w:val="none" w:sz="0" w:space="0" w:color="auto"/>
        <w:left w:val="none" w:sz="0" w:space="0" w:color="auto"/>
        <w:bottom w:val="none" w:sz="0" w:space="0" w:color="auto"/>
        <w:right w:val="none" w:sz="0" w:space="0" w:color="auto"/>
      </w:divBdr>
    </w:div>
    <w:div w:id="1959332080">
      <w:bodyDiv w:val="1"/>
      <w:marLeft w:val="0"/>
      <w:marRight w:val="0"/>
      <w:marTop w:val="0"/>
      <w:marBottom w:val="0"/>
      <w:divBdr>
        <w:top w:val="none" w:sz="0" w:space="0" w:color="auto"/>
        <w:left w:val="none" w:sz="0" w:space="0" w:color="auto"/>
        <w:bottom w:val="none" w:sz="0" w:space="0" w:color="auto"/>
        <w:right w:val="none" w:sz="0" w:space="0" w:color="auto"/>
      </w:divBdr>
      <w:divsChild>
        <w:div w:id="1623460504">
          <w:marLeft w:val="0"/>
          <w:marRight w:val="0"/>
          <w:marTop w:val="0"/>
          <w:marBottom w:val="0"/>
          <w:divBdr>
            <w:top w:val="none" w:sz="0" w:space="0" w:color="auto"/>
            <w:left w:val="none" w:sz="0" w:space="0" w:color="auto"/>
            <w:bottom w:val="none" w:sz="0" w:space="0" w:color="auto"/>
            <w:right w:val="none" w:sz="0" w:space="0" w:color="auto"/>
          </w:divBdr>
          <w:divsChild>
            <w:div w:id="1466461314">
              <w:marLeft w:val="0"/>
              <w:marRight w:val="0"/>
              <w:marTop w:val="0"/>
              <w:marBottom w:val="0"/>
              <w:divBdr>
                <w:top w:val="none" w:sz="0" w:space="0" w:color="auto"/>
                <w:left w:val="none" w:sz="0" w:space="0" w:color="auto"/>
                <w:bottom w:val="none" w:sz="0" w:space="0" w:color="auto"/>
                <w:right w:val="none" w:sz="0" w:space="0" w:color="auto"/>
              </w:divBdr>
              <w:divsChild>
                <w:div w:id="1433553707">
                  <w:marLeft w:val="0"/>
                  <w:marRight w:val="0"/>
                  <w:marTop w:val="0"/>
                  <w:marBottom w:val="0"/>
                  <w:divBdr>
                    <w:top w:val="none" w:sz="0" w:space="0" w:color="auto"/>
                    <w:left w:val="none" w:sz="0" w:space="0" w:color="auto"/>
                    <w:bottom w:val="none" w:sz="0" w:space="0" w:color="auto"/>
                    <w:right w:val="none" w:sz="0" w:space="0" w:color="auto"/>
                  </w:divBdr>
                  <w:divsChild>
                    <w:div w:id="1714815278">
                      <w:marLeft w:val="0"/>
                      <w:marRight w:val="0"/>
                      <w:marTop w:val="45"/>
                      <w:marBottom w:val="0"/>
                      <w:divBdr>
                        <w:top w:val="none" w:sz="0" w:space="0" w:color="auto"/>
                        <w:left w:val="none" w:sz="0" w:space="0" w:color="auto"/>
                        <w:bottom w:val="none" w:sz="0" w:space="0" w:color="auto"/>
                        <w:right w:val="none" w:sz="0" w:space="0" w:color="auto"/>
                      </w:divBdr>
                      <w:divsChild>
                        <w:div w:id="1739284993">
                          <w:marLeft w:val="0"/>
                          <w:marRight w:val="0"/>
                          <w:marTop w:val="0"/>
                          <w:marBottom w:val="0"/>
                          <w:divBdr>
                            <w:top w:val="none" w:sz="0" w:space="0" w:color="auto"/>
                            <w:left w:val="none" w:sz="0" w:space="0" w:color="auto"/>
                            <w:bottom w:val="none" w:sz="0" w:space="0" w:color="auto"/>
                            <w:right w:val="none" w:sz="0" w:space="0" w:color="auto"/>
                          </w:divBdr>
                          <w:divsChild>
                            <w:div w:id="2004821284">
                              <w:marLeft w:val="2070"/>
                              <w:marRight w:val="3960"/>
                              <w:marTop w:val="0"/>
                              <w:marBottom w:val="0"/>
                              <w:divBdr>
                                <w:top w:val="none" w:sz="0" w:space="0" w:color="auto"/>
                                <w:left w:val="none" w:sz="0" w:space="0" w:color="auto"/>
                                <w:bottom w:val="none" w:sz="0" w:space="0" w:color="auto"/>
                                <w:right w:val="none" w:sz="0" w:space="0" w:color="auto"/>
                              </w:divBdr>
                              <w:divsChild>
                                <w:div w:id="158084149">
                                  <w:marLeft w:val="0"/>
                                  <w:marRight w:val="0"/>
                                  <w:marTop w:val="0"/>
                                  <w:marBottom w:val="0"/>
                                  <w:divBdr>
                                    <w:top w:val="none" w:sz="0" w:space="0" w:color="auto"/>
                                    <w:left w:val="none" w:sz="0" w:space="0" w:color="auto"/>
                                    <w:bottom w:val="none" w:sz="0" w:space="0" w:color="auto"/>
                                    <w:right w:val="none" w:sz="0" w:space="0" w:color="auto"/>
                                  </w:divBdr>
                                  <w:divsChild>
                                    <w:div w:id="1009983520">
                                      <w:marLeft w:val="0"/>
                                      <w:marRight w:val="0"/>
                                      <w:marTop w:val="0"/>
                                      <w:marBottom w:val="0"/>
                                      <w:divBdr>
                                        <w:top w:val="none" w:sz="0" w:space="0" w:color="auto"/>
                                        <w:left w:val="none" w:sz="0" w:space="0" w:color="auto"/>
                                        <w:bottom w:val="none" w:sz="0" w:space="0" w:color="auto"/>
                                        <w:right w:val="none" w:sz="0" w:space="0" w:color="auto"/>
                                      </w:divBdr>
                                      <w:divsChild>
                                        <w:div w:id="216287665">
                                          <w:marLeft w:val="0"/>
                                          <w:marRight w:val="0"/>
                                          <w:marTop w:val="0"/>
                                          <w:marBottom w:val="0"/>
                                          <w:divBdr>
                                            <w:top w:val="none" w:sz="0" w:space="0" w:color="auto"/>
                                            <w:left w:val="none" w:sz="0" w:space="0" w:color="auto"/>
                                            <w:bottom w:val="none" w:sz="0" w:space="0" w:color="auto"/>
                                            <w:right w:val="none" w:sz="0" w:space="0" w:color="auto"/>
                                          </w:divBdr>
                                          <w:divsChild>
                                            <w:div w:id="235362918">
                                              <w:marLeft w:val="0"/>
                                              <w:marRight w:val="0"/>
                                              <w:marTop w:val="90"/>
                                              <w:marBottom w:val="0"/>
                                              <w:divBdr>
                                                <w:top w:val="none" w:sz="0" w:space="0" w:color="auto"/>
                                                <w:left w:val="none" w:sz="0" w:space="0" w:color="auto"/>
                                                <w:bottom w:val="none" w:sz="0" w:space="0" w:color="auto"/>
                                                <w:right w:val="none" w:sz="0" w:space="0" w:color="auto"/>
                                              </w:divBdr>
                                              <w:divsChild>
                                                <w:div w:id="1362244532">
                                                  <w:marLeft w:val="0"/>
                                                  <w:marRight w:val="0"/>
                                                  <w:marTop w:val="0"/>
                                                  <w:marBottom w:val="0"/>
                                                  <w:divBdr>
                                                    <w:top w:val="none" w:sz="0" w:space="0" w:color="auto"/>
                                                    <w:left w:val="none" w:sz="0" w:space="0" w:color="auto"/>
                                                    <w:bottom w:val="none" w:sz="0" w:space="0" w:color="auto"/>
                                                    <w:right w:val="none" w:sz="0" w:space="0" w:color="auto"/>
                                                  </w:divBdr>
                                                  <w:divsChild>
                                                    <w:div w:id="689792533">
                                                      <w:marLeft w:val="0"/>
                                                      <w:marRight w:val="0"/>
                                                      <w:marTop w:val="0"/>
                                                      <w:marBottom w:val="0"/>
                                                      <w:divBdr>
                                                        <w:top w:val="none" w:sz="0" w:space="0" w:color="auto"/>
                                                        <w:left w:val="none" w:sz="0" w:space="0" w:color="auto"/>
                                                        <w:bottom w:val="none" w:sz="0" w:space="0" w:color="auto"/>
                                                        <w:right w:val="none" w:sz="0" w:space="0" w:color="auto"/>
                                                      </w:divBdr>
                                                      <w:divsChild>
                                                        <w:div w:id="125664920">
                                                          <w:marLeft w:val="0"/>
                                                          <w:marRight w:val="0"/>
                                                          <w:marTop w:val="0"/>
                                                          <w:marBottom w:val="390"/>
                                                          <w:divBdr>
                                                            <w:top w:val="none" w:sz="0" w:space="0" w:color="auto"/>
                                                            <w:left w:val="none" w:sz="0" w:space="0" w:color="auto"/>
                                                            <w:bottom w:val="none" w:sz="0" w:space="0" w:color="auto"/>
                                                            <w:right w:val="none" w:sz="0" w:space="0" w:color="auto"/>
                                                          </w:divBdr>
                                                          <w:divsChild>
                                                            <w:div w:id="64619367">
                                                              <w:marLeft w:val="0"/>
                                                              <w:marRight w:val="0"/>
                                                              <w:marTop w:val="0"/>
                                                              <w:marBottom w:val="0"/>
                                                              <w:divBdr>
                                                                <w:top w:val="none" w:sz="0" w:space="0" w:color="auto"/>
                                                                <w:left w:val="none" w:sz="0" w:space="0" w:color="auto"/>
                                                                <w:bottom w:val="none" w:sz="0" w:space="0" w:color="auto"/>
                                                                <w:right w:val="none" w:sz="0" w:space="0" w:color="auto"/>
                                                              </w:divBdr>
                                                              <w:divsChild>
                                                                <w:div w:id="1497652164">
                                                                  <w:marLeft w:val="0"/>
                                                                  <w:marRight w:val="0"/>
                                                                  <w:marTop w:val="0"/>
                                                                  <w:marBottom w:val="0"/>
                                                                  <w:divBdr>
                                                                    <w:top w:val="none" w:sz="0" w:space="0" w:color="auto"/>
                                                                    <w:left w:val="none" w:sz="0" w:space="0" w:color="auto"/>
                                                                    <w:bottom w:val="none" w:sz="0" w:space="0" w:color="auto"/>
                                                                    <w:right w:val="none" w:sz="0" w:space="0" w:color="auto"/>
                                                                  </w:divBdr>
                                                                  <w:divsChild>
                                                                    <w:div w:id="684869262">
                                                                      <w:marLeft w:val="0"/>
                                                                      <w:marRight w:val="0"/>
                                                                      <w:marTop w:val="0"/>
                                                                      <w:marBottom w:val="0"/>
                                                                      <w:divBdr>
                                                                        <w:top w:val="none" w:sz="0" w:space="0" w:color="auto"/>
                                                                        <w:left w:val="none" w:sz="0" w:space="0" w:color="auto"/>
                                                                        <w:bottom w:val="none" w:sz="0" w:space="0" w:color="auto"/>
                                                                        <w:right w:val="none" w:sz="0" w:space="0" w:color="auto"/>
                                                                      </w:divBdr>
                                                                      <w:divsChild>
                                                                        <w:div w:id="1829858279">
                                                                          <w:marLeft w:val="0"/>
                                                                          <w:marRight w:val="0"/>
                                                                          <w:marTop w:val="0"/>
                                                                          <w:marBottom w:val="0"/>
                                                                          <w:divBdr>
                                                                            <w:top w:val="none" w:sz="0" w:space="0" w:color="auto"/>
                                                                            <w:left w:val="none" w:sz="0" w:space="0" w:color="auto"/>
                                                                            <w:bottom w:val="none" w:sz="0" w:space="0" w:color="auto"/>
                                                                            <w:right w:val="none" w:sz="0" w:space="0" w:color="auto"/>
                                                                          </w:divBdr>
                                                                          <w:divsChild>
                                                                            <w:div w:id="1905800672">
                                                                              <w:marLeft w:val="0"/>
                                                                              <w:marRight w:val="0"/>
                                                                              <w:marTop w:val="0"/>
                                                                              <w:marBottom w:val="0"/>
                                                                              <w:divBdr>
                                                                                <w:top w:val="none" w:sz="0" w:space="0" w:color="auto"/>
                                                                                <w:left w:val="none" w:sz="0" w:space="0" w:color="auto"/>
                                                                                <w:bottom w:val="none" w:sz="0" w:space="0" w:color="auto"/>
                                                                                <w:right w:val="none" w:sz="0" w:space="0" w:color="auto"/>
                                                                              </w:divBdr>
                                                                              <w:divsChild>
                                                                                <w:div w:id="1435974940">
                                                                                  <w:marLeft w:val="0"/>
                                                                                  <w:marRight w:val="0"/>
                                                                                  <w:marTop w:val="0"/>
                                                                                  <w:marBottom w:val="0"/>
                                                                                  <w:divBdr>
                                                                                    <w:top w:val="none" w:sz="0" w:space="0" w:color="auto"/>
                                                                                    <w:left w:val="none" w:sz="0" w:space="0" w:color="auto"/>
                                                                                    <w:bottom w:val="none" w:sz="0" w:space="0" w:color="auto"/>
                                                                                    <w:right w:val="none" w:sz="0" w:space="0" w:color="auto"/>
                                                                                  </w:divBdr>
                                                                                  <w:divsChild>
                                                                                    <w:div w:id="1934820208">
                                                                                      <w:marLeft w:val="0"/>
                                                                                      <w:marRight w:val="0"/>
                                                                                      <w:marTop w:val="0"/>
                                                                                      <w:marBottom w:val="0"/>
                                                                                      <w:divBdr>
                                                                                        <w:top w:val="none" w:sz="0" w:space="0" w:color="auto"/>
                                                                                        <w:left w:val="none" w:sz="0" w:space="0" w:color="auto"/>
                                                                                        <w:bottom w:val="none" w:sz="0" w:space="0" w:color="auto"/>
                                                                                        <w:right w:val="none" w:sz="0" w:space="0" w:color="auto"/>
                                                                                      </w:divBdr>
                                                                                      <w:divsChild>
                                                                                        <w:div w:id="933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0433975">
      <w:bodyDiv w:val="1"/>
      <w:marLeft w:val="0"/>
      <w:marRight w:val="0"/>
      <w:marTop w:val="0"/>
      <w:marBottom w:val="0"/>
      <w:divBdr>
        <w:top w:val="none" w:sz="0" w:space="0" w:color="auto"/>
        <w:left w:val="none" w:sz="0" w:space="0" w:color="auto"/>
        <w:bottom w:val="none" w:sz="0" w:space="0" w:color="auto"/>
        <w:right w:val="none" w:sz="0" w:space="0" w:color="auto"/>
      </w:divBdr>
    </w:div>
    <w:div w:id="1970667881">
      <w:bodyDiv w:val="1"/>
      <w:marLeft w:val="0"/>
      <w:marRight w:val="0"/>
      <w:marTop w:val="0"/>
      <w:marBottom w:val="0"/>
      <w:divBdr>
        <w:top w:val="none" w:sz="0" w:space="0" w:color="auto"/>
        <w:left w:val="none" w:sz="0" w:space="0" w:color="auto"/>
        <w:bottom w:val="none" w:sz="0" w:space="0" w:color="auto"/>
        <w:right w:val="none" w:sz="0" w:space="0" w:color="auto"/>
      </w:divBdr>
      <w:divsChild>
        <w:div w:id="534971245">
          <w:marLeft w:val="0"/>
          <w:marRight w:val="0"/>
          <w:marTop w:val="0"/>
          <w:marBottom w:val="0"/>
          <w:divBdr>
            <w:top w:val="none" w:sz="0" w:space="0" w:color="auto"/>
            <w:left w:val="none" w:sz="0" w:space="0" w:color="auto"/>
            <w:bottom w:val="none" w:sz="0" w:space="0" w:color="auto"/>
            <w:right w:val="none" w:sz="0" w:space="0" w:color="auto"/>
          </w:divBdr>
          <w:divsChild>
            <w:div w:id="172957225">
              <w:marLeft w:val="0"/>
              <w:marRight w:val="0"/>
              <w:marTop w:val="0"/>
              <w:marBottom w:val="0"/>
              <w:divBdr>
                <w:top w:val="none" w:sz="0" w:space="0" w:color="auto"/>
                <w:left w:val="none" w:sz="0" w:space="0" w:color="auto"/>
                <w:bottom w:val="none" w:sz="0" w:space="0" w:color="auto"/>
                <w:right w:val="none" w:sz="0" w:space="0" w:color="auto"/>
              </w:divBdr>
              <w:divsChild>
                <w:div w:id="1055155047">
                  <w:marLeft w:val="0"/>
                  <w:marRight w:val="0"/>
                  <w:marTop w:val="0"/>
                  <w:marBottom w:val="0"/>
                  <w:divBdr>
                    <w:top w:val="none" w:sz="0" w:space="0" w:color="auto"/>
                    <w:left w:val="none" w:sz="0" w:space="0" w:color="auto"/>
                    <w:bottom w:val="none" w:sz="0" w:space="0" w:color="auto"/>
                    <w:right w:val="none" w:sz="0" w:space="0" w:color="auto"/>
                  </w:divBdr>
                  <w:divsChild>
                    <w:div w:id="1474637025">
                      <w:marLeft w:val="0"/>
                      <w:marRight w:val="0"/>
                      <w:marTop w:val="0"/>
                      <w:marBottom w:val="0"/>
                      <w:divBdr>
                        <w:top w:val="none" w:sz="0" w:space="0" w:color="auto"/>
                        <w:left w:val="none" w:sz="0" w:space="0" w:color="auto"/>
                        <w:bottom w:val="none" w:sz="0" w:space="0" w:color="auto"/>
                        <w:right w:val="none" w:sz="0" w:space="0" w:color="auto"/>
                      </w:divBdr>
                      <w:divsChild>
                        <w:div w:id="1052457874">
                          <w:marLeft w:val="0"/>
                          <w:marRight w:val="0"/>
                          <w:marTop w:val="0"/>
                          <w:marBottom w:val="0"/>
                          <w:divBdr>
                            <w:top w:val="none" w:sz="0" w:space="0" w:color="auto"/>
                            <w:left w:val="none" w:sz="0" w:space="0" w:color="auto"/>
                            <w:bottom w:val="none" w:sz="0" w:space="0" w:color="auto"/>
                            <w:right w:val="none" w:sz="0" w:space="0" w:color="auto"/>
                          </w:divBdr>
                          <w:divsChild>
                            <w:div w:id="953708774">
                              <w:marLeft w:val="0"/>
                              <w:marRight w:val="0"/>
                              <w:marTop w:val="0"/>
                              <w:marBottom w:val="0"/>
                              <w:divBdr>
                                <w:top w:val="none" w:sz="0" w:space="0" w:color="auto"/>
                                <w:left w:val="none" w:sz="0" w:space="0" w:color="auto"/>
                                <w:bottom w:val="none" w:sz="0" w:space="0" w:color="auto"/>
                                <w:right w:val="none" w:sz="0" w:space="0" w:color="auto"/>
                              </w:divBdr>
                              <w:divsChild>
                                <w:div w:id="1816920372">
                                  <w:marLeft w:val="0"/>
                                  <w:marRight w:val="0"/>
                                  <w:marTop w:val="0"/>
                                  <w:marBottom w:val="0"/>
                                  <w:divBdr>
                                    <w:top w:val="none" w:sz="0" w:space="0" w:color="auto"/>
                                    <w:left w:val="none" w:sz="0" w:space="0" w:color="auto"/>
                                    <w:bottom w:val="none" w:sz="0" w:space="0" w:color="auto"/>
                                    <w:right w:val="none" w:sz="0" w:space="0" w:color="auto"/>
                                  </w:divBdr>
                                  <w:divsChild>
                                    <w:div w:id="824516162">
                                      <w:marLeft w:val="0"/>
                                      <w:marRight w:val="0"/>
                                      <w:marTop w:val="0"/>
                                      <w:marBottom w:val="0"/>
                                      <w:divBdr>
                                        <w:top w:val="none" w:sz="0" w:space="0" w:color="auto"/>
                                        <w:left w:val="none" w:sz="0" w:space="0" w:color="auto"/>
                                        <w:bottom w:val="none" w:sz="0" w:space="0" w:color="auto"/>
                                        <w:right w:val="none" w:sz="0" w:space="0" w:color="auto"/>
                                      </w:divBdr>
                                      <w:divsChild>
                                        <w:div w:id="238055733">
                                          <w:marLeft w:val="0"/>
                                          <w:marRight w:val="0"/>
                                          <w:marTop w:val="0"/>
                                          <w:marBottom w:val="495"/>
                                          <w:divBdr>
                                            <w:top w:val="none" w:sz="0" w:space="0" w:color="auto"/>
                                            <w:left w:val="none" w:sz="0" w:space="0" w:color="auto"/>
                                            <w:bottom w:val="none" w:sz="0" w:space="0" w:color="auto"/>
                                            <w:right w:val="none" w:sz="0" w:space="0" w:color="auto"/>
                                          </w:divBdr>
                                          <w:divsChild>
                                            <w:div w:id="33156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8528655">
      <w:bodyDiv w:val="1"/>
      <w:marLeft w:val="0"/>
      <w:marRight w:val="0"/>
      <w:marTop w:val="0"/>
      <w:marBottom w:val="0"/>
      <w:divBdr>
        <w:top w:val="none" w:sz="0" w:space="0" w:color="auto"/>
        <w:left w:val="none" w:sz="0" w:space="0" w:color="auto"/>
        <w:bottom w:val="none" w:sz="0" w:space="0" w:color="auto"/>
        <w:right w:val="none" w:sz="0" w:space="0" w:color="auto"/>
      </w:divBdr>
    </w:div>
    <w:div w:id="2003771101">
      <w:bodyDiv w:val="1"/>
      <w:marLeft w:val="0"/>
      <w:marRight w:val="0"/>
      <w:marTop w:val="0"/>
      <w:marBottom w:val="0"/>
      <w:divBdr>
        <w:top w:val="none" w:sz="0" w:space="0" w:color="auto"/>
        <w:left w:val="none" w:sz="0" w:space="0" w:color="auto"/>
        <w:bottom w:val="none" w:sz="0" w:space="0" w:color="auto"/>
        <w:right w:val="none" w:sz="0" w:space="0" w:color="auto"/>
      </w:divBdr>
    </w:div>
    <w:div w:id="2033452617">
      <w:bodyDiv w:val="1"/>
      <w:marLeft w:val="0"/>
      <w:marRight w:val="0"/>
      <w:marTop w:val="0"/>
      <w:marBottom w:val="0"/>
      <w:divBdr>
        <w:top w:val="none" w:sz="0" w:space="0" w:color="auto"/>
        <w:left w:val="none" w:sz="0" w:space="0" w:color="auto"/>
        <w:bottom w:val="none" w:sz="0" w:space="0" w:color="auto"/>
        <w:right w:val="none" w:sz="0" w:space="0" w:color="auto"/>
      </w:divBdr>
    </w:div>
    <w:div w:id="2042705608">
      <w:bodyDiv w:val="1"/>
      <w:marLeft w:val="0"/>
      <w:marRight w:val="0"/>
      <w:marTop w:val="0"/>
      <w:marBottom w:val="0"/>
      <w:divBdr>
        <w:top w:val="none" w:sz="0" w:space="0" w:color="auto"/>
        <w:left w:val="none" w:sz="0" w:space="0" w:color="auto"/>
        <w:bottom w:val="none" w:sz="0" w:space="0" w:color="auto"/>
        <w:right w:val="none" w:sz="0" w:space="0" w:color="auto"/>
      </w:divBdr>
    </w:div>
    <w:div w:id="2053537739">
      <w:bodyDiv w:val="1"/>
      <w:marLeft w:val="0"/>
      <w:marRight w:val="0"/>
      <w:marTop w:val="0"/>
      <w:marBottom w:val="0"/>
      <w:divBdr>
        <w:top w:val="none" w:sz="0" w:space="0" w:color="auto"/>
        <w:left w:val="none" w:sz="0" w:space="0" w:color="auto"/>
        <w:bottom w:val="none" w:sz="0" w:space="0" w:color="auto"/>
        <w:right w:val="none" w:sz="0" w:space="0" w:color="auto"/>
      </w:divBdr>
    </w:div>
    <w:div w:id="2105806786">
      <w:bodyDiv w:val="1"/>
      <w:marLeft w:val="0"/>
      <w:marRight w:val="0"/>
      <w:marTop w:val="0"/>
      <w:marBottom w:val="0"/>
      <w:divBdr>
        <w:top w:val="none" w:sz="0" w:space="0" w:color="auto"/>
        <w:left w:val="none" w:sz="0" w:space="0" w:color="auto"/>
        <w:bottom w:val="none" w:sz="0" w:space="0" w:color="auto"/>
        <w:right w:val="none" w:sz="0" w:space="0" w:color="auto"/>
      </w:divBdr>
    </w:div>
    <w:div w:id="2112166387">
      <w:bodyDiv w:val="1"/>
      <w:marLeft w:val="0"/>
      <w:marRight w:val="0"/>
      <w:marTop w:val="0"/>
      <w:marBottom w:val="0"/>
      <w:divBdr>
        <w:top w:val="none" w:sz="0" w:space="0" w:color="auto"/>
        <w:left w:val="none" w:sz="0" w:space="0" w:color="auto"/>
        <w:bottom w:val="none" w:sz="0" w:space="0" w:color="auto"/>
        <w:right w:val="none" w:sz="0" w:space="0" w:color="auto"/>
      </w:divBdr>
    </w:div>
    <w:div w:id="2121952248">
      <w:bodyDiv w:val="1"/>
      <w:marLeft w:val="0"/>
      <w:marRight w:val="0"/>
      <w:marTop w:val="0"/>
      <w:marBottom w:val="0"/>
      <w:divBdr>
        <w:top w:val="none" w:sz="0" w:space="0" w:color="auto"/>
        <w:left w:val="none" w:sz="0" w:space="0" w:color="auto"/>
        <w:bottom w:val="none" w:sz="0" w:space="0" w:color="auto"/>
        <w:right w:val="none" w:sz="0" w:space="0" w:color="auto"/>
      </w:divBdr>
    </w:div>
    <w:div w:id="2137335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c.europa.eu/croatia/news/zimska-gospodarska-prognoza-2019-rast-se-usporava-zbog-globalnih-neizvjesnosti_hr" TargetMode="External"/><Relationship Id="rId21" Type="http://schemas.openxmlformats.org/officeDocument/2006/relationships/chart" Target="charts/chart3.xml"/><Relationship Id="rId42" Type="http://schemas.openxmlformats.org/officeDocument/2006/relationships/chart" Target="charts/chart22.xml"/><Relationship Id="rId47" Type="http://schemas.openxmlformats.org/officeDocument/2006/relationships/chart" Target="charts/chart27.xml"/><Relationship Id="rId63" Type="http://schemas.openxmlformats.org/officeDocument/2006/relationships/header" Target="header13.xml"/><Relationship Id="rId68" Type="http://schemas.openxmlformats.org/officeDocument/2006/relationships/header" Target="header18.xml"/><Relationship Id="rId84" Type="http://schemas.openxmlformats.org/officeDocument/2006/relationships/fontTable" Target="fontTable.xml"/><Relationship Id="rId16" Type="http://schemas.openxmlformats.org/officeDocument/2006/relationships/image" Target="media/image2.jpeg"/><Relationship Id="rId11" Type="http://schemas.openxmlformats.org/officeDocument/2006/relationships/footer" Target="footer1.xml"/><Relationship Id="rId32" Type="http://schemas.openxmlformats.org/officeDocument/2006/relationships/chart" Target="charts/chart12.xml"/><Relationship Id="rId37" Type="http://schemas.openxmlformats.org/officeDocument/2006/relationships/chart" Target="charts/chart17.xml"/><Relationship Id="rId53" Type="http://schemas.openxmlformats.org/officeDocument/2006/relationships/footer" Target="footer8.xml"/><Relationship Id="rId58" Type="http://schemas.openxmlformats.org/officeDocument/2006/relationships/footer" Target="footer10.xml"/><Relationship Id="rId74" Type="http://schemas.openxmlformats.org/officeDocument/2006/relationships/header" Target="header24.xml"/><Relationship Id="rId79" Type="http://schemas.openxmlformats.org/officeDocument/2006/relationships/header" Target="header25.xml"/><Relationship Id="rId5" Type="http://schemas.openxmlformats.org/officeDocument/2006/relationships/webSettings" Target="webSettings.xml"/><Relationship Id="rId19" Type="http://schemas.openxmlformats.org/officeDocument/2006/relationships/chart" Target="charts/chart1.xml"/><Relationship Id="rId14" Type="http://schemas.openxmlformats.org/officeDocument/2006/relationships/footer" Target="footer3.xml"/><Relationship Id="rId22" Type="http://schemas.openxmlformats.org/officeDocument/2006/relationships/chart" Target="charts/chart4.xm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chart" Target="charts/chart15.xml"/><Relationship Id="rId43" Type="http://schemas.openxmlformats.org/officeDocument/2006/relationships/chart" Target="charts/chart23.xml"/><Relationship Id="rId48" Type="http://schemas.openxmlformats.org/officeDocument/2006/relationships/chart" Target="charts/chart28.xml"/><Relationship Id="rId56" Type="http://schemas.openxmlformats.org/officeDocument/2006/relationships/header" Target="header7.xml"/><Relationship Id="rId64" Type="http://schemas.openxmlformats.org/officeDocument/2006/relationships/header" Target="header14.xml"/><Relationship Id="rId69" Type="http://schemas.openxmlformats.org/officeDocument/2006/relationships/header" Target="header19.xml"/><Relationship Id="rId77" Type="http://schemas.openxmlformats.org/officeDocument/2006/relationships/footer" Target="footer13.xml"/><Relationship Id="rId8" Type="http://schemas.openxmlformats.org/officeDocument/2006/relationships/image" Target="media/image1.png"/><Relationship Id="rId51" Type="http://schemas.openxmlformats.org/officeDocument/2006/relationships/header" Target="header4.xml"/><Relationship Id="rId72" Type="http://schemas.openxmlformats.org/officeDocument/2006/relationships/header" Target="header22.xml"/><Relationship Id="rId80" Type="http://schemas.openxmlformats.org/officeDocument/2006/relationships/header" Target="header26.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chart" Target="charts/chart6.xml"/><Relationship Id="rId33" Type="http://schemas.openxmlformats.org/officeDocument/2006/relationships/chart" Target="charts/chart13.xml"/><Relationship Id="rId38" Type="http://schemas.openxmlformats.org/officeDocument/2006/relationships/chart" Target="charts/chart18.xml"/><Relationship Id="rId46" Type="http://schemas.openxmlformats.org/officeDocument/2006/relationships/chart" Target="charts/chart26.xml"/><Relationship Id="rId59" Type="http://schemas.openxmlformats.org/officeDocument/2006/relationships/header" Target="header9.xml"/><Relationship Id="rId67" Type="http://schemas.openxmlformats.org/officeDocument/2006/relationships/header" Target="header17.xml"/><Relationship Id="rId20" Type="http://schemas.openxmlformats.org/officeDocument/2006/relationships/chart" Target="charts/chart2.xml"/><Relationship Id="rId41" Type="http://schemas.openxmlformats.org/officeDocument/2006/relationships/chart" Target="charts/chart21.xml"/><Relationship Id="rId54" Type="http://schemas.openxmlformats.org/officeDocument/2006/relationships/header" Target="header6.xml"/><Relationship Id="rId62" Type="http://schemas.openxmlformats.org/officeDocument/2006/relationships/header" Target="header12.xml"/><Relationship Id="rId70" Type="http://schemas.openxmlformats.org/officeDocument/2006/relationships/header" Target="header20.xml"/><Relationship Id="rId75" Type="http://schemas.openxmlformats.org/officeDocument/2006/relationships/footer" Target="footer11.xml"/><Relationship Id="rId83" Type="http://schemas.openxmlformats.org/officeDocument/2006/relationships/header" Target="header2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hkosig.hr/" TargetMode="External"/><Relationship Id="rId23" Type="http://schemas.openxmlformats.org/officeDocument/2006/relationships/chart" Target="charts/chart5.xml"/><Relationship Id="rId28" Type="http://schemas.openxmlformats.org/officeDocument/2006/relationships/chart" Target="charts/chart8.xml"/><Relationship Id="rId36" Type="http://schemas.openxmlformats.org/officeDocument/2006/relationships/chart" Target="charts/chart16.xml"/><Relationship Id="rId49" Type="http://schemas.openxmlformats.org/officeDocument/2006/relationships/footer" Target="footer6.xml"/><Relationship Id="rId57" Type="http://schemas.openxmlformats.org/officeDocument/2006/relationships/header" Target="header8.xml"/><Relationship Id="rId10" Type="http://schemas.openxmlformats.org/officeDocument/2006/relationships/header" Target="header2.xml"/><Relationship Id="rId31" Type="http://schemas.openxmlformats.org/officeDocument/2006/relationships/chart" Target="charts/chart11.xml"/><Relationship Id="rId44" Type="http://schemas.openxmlformats.org/officeDocument/2006/relationships/chart" Target="charts/chart24.xml"/><Relationship Id="rId52" Type="http://schemas.openxmlformats.org/officeDocument/2006/relationships/header" Target="header5.xml"/><Relationship Id="rId60" Type="http://schemas.openxmlformats.org/officeDocument/2006/relationships/header" Target="header10.xml"/><Relationship Id="rId65" Type="http://schemas.openxmlformats.org/officeDocument/2006/relationships/header" Target="header15.xml"/><Relationship Id="rId73" Type="http://schemas.openxmlformats.org/officeDocument/2006/relationships/header" Target="header23.xml"/><Relationship Id="rId78" Type="http://schemas.openxmlformats.org/officeDocument/2006/relationships/footer" Target="footer14.xml"/><Relationship Id="rId81" Type="http://schemas.openxmlformats.org/officeDocument/2006/relationships/header" Target="header27.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chart" Target="charts/chart19.xml"/><Relationship Id="rId34" Type="http://schemas.openxmlformats.org/officeDocument/2006/relationships/chart" Target="charts/chart14.xml"/><Relationship Id="rId50" Type="http://schemas.openxmlformats.org/officeDocument/2006/relationships/footer" Target="footer7.xml"/><Relationship Id="rId55" Type="http://schemas.openxmlformats.org/officeDocument/2006/relationships/footer" Target="footer9.xml"/><Relationship Id="rId76" Type="http://schemas.openxmlformats.org/officeDocument/2006/relationships/footer" Target="footer12.xml"/><Relationship Id="rId7" Type="http://schemas.openxmlformats.org/officeDocument/2006/relationships/endnotes" Target="endnotes.xml"/><Relationship Id="rId71" Type="http://schemas.openxmlformats.org/officeDocument/2006/relationships/header" Target="header21.xml"/><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image" Target="media/image3.png"/><Relationship Id="rId40" Type="http://schemas.openxmlformats.org/officeDocument/2006/relationships/chart" Target="charts/chart20.xml"/><Relationship Id="rId45" Type="http://schemas.openxmlformats.org/officeDocument/2006/relationships/chart" Target="charts/chart25.xml"/><Relationship Id="rId66" Type="http://schemas.openxmlformats.org/officeDocument/2006/relationships/header" Target="header16.xml"/><Relationship Id="rId61" Type="http://schemas.openxmlformats.org/officeDocument/2006/relationships/header" Target="header11.xml"/><Relationship Id="rId82" Type="http://schemas.openxmlformats.org/officeDocument/2006/relationships/header" Target="header28.xml"/></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1.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Hbor\Dfsroot\Common\4100%20(Direkcija%20upravlja&#269;kog%20ra&#269;unovodstva)\DURI\FINANCIJSKA%20IZVJE&#352;&#262;A\UPRAVA\2018\31.12.2018\IZVJE&#352;TAJ\grafovi%20i%20prezentacija\podloga%20za%20grafove_Izvje&#353;taj%20o%20fin%20poslovanju_HRV%2031%2012%2018.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4.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3.xml"/><Relationship Id="rId4"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4.xml"/><Relationship Id="rId4" Type="http://schemas.openxmlformats.org/officeDocument/2006/relationships/package" Target="../embeddings/Microsoft_Excel_Worksheet16.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7.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8.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9.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0.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Hbor\Dfsroot\Common\4100%20(Direkcija%20upravlja&#269;kog%20ra&#269;unovodstva)\DURI\FINANCIJSKA%20IZVJE&#352;&#262;A\UPRAVA\2018\30.6.2018\IZVJE&#352;TAJ\Prezentacija%20i%20podloge\podloga%20za%20grafove_Izvje&#353;taj%20o%20fin%20poslovanju_HRV%2030%206%2018.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Hbor\Dfsroot\Common\4100%20(Direkcija%20upravlja&#269;kog%20ra&#269;unovodstva)\DURI\FINANCIJSKA%20IZVJE&#352;&#262;A\UPRAVA\2018\31.12.2018\IZVJE&#352;TAJ\grafovi%20i%20prezentacija\podloga%20za%20grafove_Izvje&#353;taj%20o%20fin%20poslovanju_HRV%2031%2012%2018.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1.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2.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Hbor\Dfsroot\Common\4100%20(Direkcija%20upravlja&#269;kog%20ra&#269;unovodstva)\DURI\FINANCIJSKA%20IZVJE&#352;&#262;A\UPRAVA\2018\31.12.2018\IZVJE&#352;TAJ\grafovi%20i%20prezentacija\podloga%20za%20grafove_Izvje&#353;taj%20o%20fin%20poslovanju_HRV%2031%2012%2018.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2.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a:t>POSLOVNA</a:t>
            </a:r>
            <a:r>
              <a:rPr lang="hr-HR" sz="1400" baseline="0"/>
              <a:t> AKTIVNOST 2018. GODINA </a:t>
            </a:r>
            <a:endParaRPr lang="hr-HR" sz="14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0729164619050459"/>
          <c:y val="0.22904613059813494"/>
          <c:w val="0.37601363703457752"/>
          <c:h val="0.60495133706628568"/>
        </c:manualLayout>
      </c:layout>
      <c:doughnutChart>
        <c:varyColors val="1"/>
        <c:ser>
          <c:idx val="0"/>
          <c:order val="0"/>
          <c:tx>
            <c:strRef>
              <c:f>Sheet1!$B$1</c:f>
              <c:strCache>
                <c:ptCount val="1"/>
                <c:pt idx="0">
                  <c:v>Column1</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1-1F9D-4B7A-B4FE-16E12DA38364}"/>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1F9D-4B7A-B4FE-16E12DA38364}"/>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1F9D-4B7A-B4FE-16E12DA3836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F9D-4B7A-B4FE-16E12DA38364}"/>
              </c:ext>
            </c:extLst>
          </c:dPt>
          <c:dLbls>
            <c:dLbl>
              <c:idx val="0"/>
              <c:layout>
                <c:manualLayout>
                  <c:x val="4.0851060179723224E-2"/>
                  <c:y val="6.9374724714882249E-2"/>
                </c:manualLayout>
              </c:layout>
              <c:tx>
                <c:rich>
                  <a:bodyPr/>
                  <a:lstStyle/>
                  <a:p>
                    <a:fld id="{1D783AF7-440A-4FEF-80A6-5ACB37224AF8}"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F9D-4B7A-B4FE-16E12DA38364}"/>
                </c:ext>
              </c:extLst>
            </c:dLbl>
            <c:dLbl>
              <c:idx val="1"/>
              <c:layout>
                <c:manualLayout>
                  <c:x val="-8.1330220462773647E-2"/>
                  <c:y val="5.4769593537541662E-2"/>
                </c:manualLayout>
              </c:layout>
              <c:tx>
                <c:rich>
                  <a:bodyPr/>
                  <a:lstStyle/>
                  <a:p>
                    <a:fld id="{DA9309D5-6843-4FAE-A71D-EA16849B61F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F9D-4B7A-B4FE-16E12DA38364}"/>
                </c:ext>
              </c:extLst>
            </c:dLbl>
            <c:dLbl>
              <c:idx val="2"/>
              <c:layout>
                <c:manualLayout>
                  <c:x val="-2.2695033433180398E-3"/>
                  <c:y val="-9.4933833820365215E-2"/>
                </c:manualLayout>
              </c:layout>
              <c:tx>
                <c:rich>
                  <a:bodyPr/>
                  <a:lstStyle/>
                  <a:p>
                    <a:fld id="{6840A35D-EC0A-4C3D-93BC-B88362E95A7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F9D-4B7A-B4FE-16E12DA38364}"/>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Kreditiranje</c:v>
                </c:pt>
                <c:pt idx="1">
                  <c:v>Osiguranje izvoza</c:v>
                </c:pt>
                <c:pt idx="2">
                  <c:v>Garancije i ostalo</c:v>
                </c:pt>
              </c:strCache>
            </c:strRef>
          </c:cat>
          <c:val>
            <c:numRef>
              <c:f>Sheet1!$B$2:$B$5</c:f>
              <c:numCache>
                <c:formatCode>General</c:formatCode>
                <c:ptCount val="4"/>
                <c:pt idx="0">
                  <c:v>5.61</c:v>
                </c:pt>
                <c:pt idx="1">
                  <c:v>2.69</c:v>
                </c:pt>
                <c:pt idx="2">
                  <c:v>0.1</c:v>
                </c:pt>
              </c:numCache>
            </c:numRef>
          </c:val>
          <c:extLst>
            <c:ext xmlns:c16="http://schemas.microsoft.com/office/drawing/2014/chart" uri="{C3380CC4-5D6E-409C-BE32-E72D297353CC}">
              <c16:uniqueId val="{00000008-1F9D-4B7A-B4FE-16E12DA38364}"/>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lang="hr-HR" sz="1200" b="1" i="0" u="none" strike="noStrike" kern="1200" cap="all" spc="150" baseline="0">
                <a:solidFill>
                  <a:schemeClr val="tx1">
                    <a:lumMod val="65000"/>
                    <a:lumOff val="35000"/>
                  </a:schemeClr>
                </a:solidFill>
                <a:latin typeface="Calibri"/>
              </a:defRPr>
            </a:pPr>
            <a:r>
              <a:rPr lang="hr-HR" sz="1200" b="1" i="0" u="none" strike="noStrike" kern="1200" cap="all" spc="150" baseline="0">
                <a:solidFill>
                  <a:schemeClr val="tx1">
                    <a:lumMod val="65000"/>
                    <a:lumOff val="35000"/>
                  </a:schemeClr>
                </a:solidFill>
                <a:uFillTx/>
                <a:latin typeface="Calibri"/>
              </a:rPr>
              <a:t>KAMATNI PRIHODI, KAMATNI RASHODI I NKP</a:t>
            </a:r>
          </a:p>
        </c:rich>
      </c:tx>
      <c:layout>
        <c:manualLayout>
          <c:xMode val="edge"/>
          <c:yMode val="edge"/>
          <c:x val="0.13430104451617134"/>
          <c:y val="5.5536982307867182E-2"/>
        </c:manualLayout>
      </c:layout>
      <c:overlay val="0"/>
      <c:spPr>
        <a:noFill/>
        <a:ln>
          <a:noFill/>
        </a:ln>
      </c:spPr>
    </c:title>
    <c:autoTitleDeleted val="0"/>
    <c:plotArea>
      <c:layout>
        <c:manualLayout>
          <c:layoutTarget val="inner"/>
          <c:xMode val="edge"/>
          <c:yMode val="edge"/>
          <c:x val="0.25800126393197742"/>
          <c:y val="0.27837195088929984"/>
          <c:w val="0.68868981960243592"/>
          <c:h val="0.53017417244033871"/>
        </c:manualLayout>
      </c:layout>
      <c:lineChart>
        <c:grouping val="standard"/>
        <c:varyColors val="0"/>
        <c:ser>
          <c:idx val="0"/>
          <c:order val="0"/>
          <c:tx>
            <c:strRef>
              <c:f>IDG_Grupa!$A$48</c:f>
              <c:strCache>
                <c:ptCount val="1"/>
                <c:pt idx="0">
                  <c:v>Kamatni prihodi</c:v>
                </c:pt>
              </c:strCache>
            </c:strRef>
          </c:tx>
          <c:spPr>
            <a:ln>
              <a:solidFill>
                <a:schemeClr val="accent1">
                  <a:lumMod val="75000"/>
                </a:schemeClr>
              </a:solidFill>
            </a:ln>
          </c:spPr>
          <c:marker>
            <c:symbol val="circle"/>
            <c:size val="5"/>
            <c:spPr>
              <a:solidFill>
                <a:schemeClr val="accent1">
                  <a:lumMod val="75000"/>
                </a:schemeClr>
              </a:solidFill>
              <a:ln>
                <a:solidFill>
                  <a:schemeClr val="accent1">
                    <a:lumMod val="75000"/>
                  </a:schemeClr>
                </a:solidFill>
              </a:ln>
            </c:spPr>
          </c:marker>
          <c:dLbls>
            <c:spPr>
              <a:noFill/>
              <a:ln>
                <a:noFill/>
              </a:ln>
              <a:effectLst/>
            </c:spPr>
            <c:txPr>
              <a:bodyPr wrap="square" lIns="38100" tIns="19050" rIns="38100" bIns="19050" anchor="ctr">
                <a:spAutoFit/>
              </a:bodyPr>
              <a:lstStyle/>
              <a:p>
                <a:pPr>
                  <a:defRPr sz="10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IDG_Grupa!$B$43:$D$43</c:f>
              <c:strCache>
                <c:ptCount val="3"/>
                <c:pt idx="0">
                  <c:v>2016.</c:v>
                </c:pt>
                <c:pt idx="1">
                  <c:v>2017.</c:v>
                </c:pt>
                <c:pt idx="2">
                  <c:v>2018.</c:v>
                </c:pt>
              </c:strCache>
            </c:strRef>
          </c:cat>
          <c:val>
            <c:numRef>
              <c:f>IDG_Grupa!$B$48:$D$48</c:f>
              <c:numCache>
                <c:formatCode>#,##0.00</c:formatCode>
                <c:ptCount val="3"/>
                <c:pt idx="0">
                  <c:v>871.98</c:v>
                </c:pt>
                <c:pt idx="1">
                  <c:v>867.83</c:v>
                </c:pt>
                <c:pt idx="2">
                  <c:v>733.08</c:v>
                </c:pt>
              </c:numCache>
            </c:numRef>
          </c:val>
          <c:smooth val="0"/>
          <c:extLst>
            <c:ext xmlns:c16="http://schemas.microsoft.com/office/drawing/2014/chart" uri="{C3380CC4-5D6E-409C-BE32-E72D297353CC}">
              <c16:uniqueId val="{00000000-928A-4A49-8E82-39D950C566BC}"/>
            </c:ext>
          </c:extLst>
        </c:ser>
        <c:ser>
          <c:idx val="1"/>
          <c:order val="1"/>
          <c:tx>
            <c:strRef>
              <c:f>IDG_Grupa!$A$49</c:f>
              <c:strCache>
                <c:ptCount val="1"/>
                <c:pt idx="0">
                  <c:v>Kamatni rashodi</c:v>
                </c:pt>
              </c:strCache>
            </c:strRef>
          </c:tx>
          <c:spPr>
            <a:ln>
              <a:solidFill>
                <a:srgbClr val="FF0000"/>
              </a:solidFill>
            </a:ln>
          </c:spPr>
          <c:marker>
            <c:symbol val="circle"/>
            <c:size val="5"/>
            <c:spPr>
              <a:solidFill>
                <a:srgbClr val="FF0000"/>
              </a:solidFill>
              <a:ln>
                <a:solidFill>
                  <a:srgbClr val="FF0000"/>
                </a:solidFill>
              </a:ln>
            </c:spPr>
          </c:marker>
          <c:dLbls>
            <c:dLbl>
              <c:idx val="1"/>
              <c:layout>
                <c:manualLayout>
                  <c:x val="-6.4269131486111269E-2"/>
                  <c:y val="5.21810395199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8A-4A49-8E82-39D950C566BC}"/>
                </c:ext>
              </c:extLst>
            </c:dLbl>
            <c:dLbl>
              <c:idx val="2"/>
              <c:layout>
                <c:manualLayout>
                  <c:x val="-3.7741535000286909E-2"/>
                  <c:y val="5.10552534977676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8A-4A49-8E82-39D950C566BC}"/>
                </c:ext>
              </c:extLst>
            </c:dLbl>
            <c:spPr>
              <a:noFill/>
              <a:ln>
                <a:noFill/>
              </a:ln>
              <a:effectLst/>
            </c:spPr>
            <c:txPr>
              <a:bodyPr wrap="square" lIns="38100" tIns="19050" rIns="38100" bIns="19050" anchor="ctr">
                <a:spAutoFit/>
              </a:bodyPr>
              <a:lstStyle/>
              <a:p>
                <a:pPr>
                  <a:defRPr sz="10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IDG_Grupa!$B$43:$D$43</c:f>
              <c:strCache>
                <c:ptCount val="3"/>
                <c:pt idx="0">
                  <c:v>2016.</c:v>
                </c:pt>
                <c:pt idx="1">
                  <c:v>2017.</c:v>
                </c:pt>
                <c:pt idx="2">
                  <c:v>2018.</c:v>
                </c:pt>
              </c:strCache>
            </c:strRef>
          </c:cat>
          <c:val>
            <c:numRef>
              <c:f>IDG_Grupa!$B$49:$D$49</c:f>
              <c:numCache>
                <c:formatCode>#,##0.00</c:formatCode>
                <c:ptCount val="3"/>
                <c:pt idx="0">
                  <c:v>452.67</c:v>
                </c:pt>
                <c:pt idx="1">
                  <c:v>390.46</c:v>
                </c:pt>
                <c:pt idx="2">
                  <c:v>356.07</c:v>
                </c:pt>
              </c:numCache>
            </c:numRef>
          </c:val>
          <c:smooth val="0"/>
          <c:extLst>
            <c:ext xmlns:c16="http://schemas.microsoft.com/office/drawing/2014/chart" uri="{C3380CC4-5D6E-409C-BE32-E72D297353CC}">
              <c16:uniqueId val="{00000003-928A-4A49-8E82-39D950C566BC}"/>
            </c:ext>
          </c:extLst>
        </c:ser>
        <c:ser>
          <c:idx val="2"/>
          <c:order val="2"/>
          <c:tx>
            <c:strRef>
              <c:f>IDG_Grupa!$A$50</c:f>
              <c:strCache>
                <c:ptCount val="1"/>
                <c:pt idx="0">
                  <c:v>NKP</c:v>
                </c:pt>
              </c:strCache>
            </c:strRef>
          </c:tx>
          <c:spPr>
            <a:ln>
              <a:solidFill>
                <a:schemeClr val="bg2">
                  <a:lumMod val="50000"/>
                </a:schemeClr>
              </a:solidFill>
            </a:ln>
          </c:spPr>
          <c:marker>
            <c:symbol val="circle"/>
            <c:size val="5"/>
            <c:spPr>
              <a:solidFill>
                <a:schemeClr val="bg2">
                  <a:lumMod val="50000"/>
                </a:schemeClr>
              </a:solidFill>
              <a:ln>
                <a:solidFill>
                  <a:schemeClr val="bg2">
                    <a:lumMod val="50000"/>
                  </a:schemeClr>
                </a:solidFill>
              </a:ln>
            </c:spPr>
          </c:marker>
          <c:dLbls>
            <c:dLbl>
              <c:idx val="0"/>
              <c:layout>
                <c:manualLayout>
                  <c:x val="-6.6114822628535713E-2"/>
                  <c:y val="5.20797237915881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8A-4A49-8E82-39D950C566BC}"/>
                </c:ext>
              </c:extLst>
            </c:dLbl>
            <c:dLbl>
              <c:idx val="1"/>
              <c:layout>
                <c:manualLayout>
                  <c:x val="-6.8041670923361733E-2"/>
                  <c:y val="-5.97660743678718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8A-4A49-8E82-39D950C566BC}"/>
                </c:ext>
              </c:extLst>
            </c:dLbl>
            <c:dLbl>
              <c:idx val="2"/>
              <c:layout>
                <c:manualLayout>
                  <c:x val="-6.1610420919204371E-2"/>
                  <c:y val="-6.92381681435932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8A-4A49-8E82-39D950C566BC}"/>
                </c:ext>
              </c:extLst>
            </c:dLbl>
            <c:spPr>
              <a:noFill/>
              <a:ln>
                <a:noFill/>
              </a:ln>
              <a:effectLst/>
            </c:spPr>
            <c:txPr>
              <a:bodyPr wrap="square" lIns="38100" tIns="19050" rIns="38100" bIns="19050" anchor="ctr">
                <a:spAutoFit/>
              </a:bodyPr>
              <a:lstStyle/>
              <a:p>
                <a:pPr>
                  <a:defRPr sz="10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IDG_Grupa!$B$43:$D$43</c:f>
              <c:strCache>
                <c:ptCount val="3"/>
                <c:pt idx="0">
                  <c:v>2016.</c:v>
                </c:pt>
                <c:pt idx="1">
                  <c:v>2017.</c:v>
                </c:pt>
                <c:pt idx="2">
                  <c:v>2018.</c:v>
                </c:pt>
              </c:strCache>
            </c:strRef>
          </c:cat>
          <c:val>
            <c:numRef>
              <c:f>IDG_Grupa!$B$50:$D$50</c:f>
              <c:numCache>
                <c:formatCode>#,##0.00</c:formatCode>
                <c:ptCount val="3"/>
                <c:pt idx="0">
                  <c:v>419.31</c:v>
                </c:pt>
                <c:pt idx="1">
                  <c:v>477.37000000000006</c:v>
                </c:pt>
                <c:pt idx="2">
                  <c:v>377.01000000000005</c:v>
                </c:pt>
              </c:numCache>
            </c:numRef>
          </c:val>
          <c:smooth val="0"/>
          <c:extLst>
            <c:ext xmlns:c16="http://schemas.microsoft.com/office/drawing/2014/chart" uri="{C3380CC4-5D6E-409C-BE32-E72D297353CC}">
              <c16:uniqueId val="{00000007-928A-4A49-8E82-39D950C566BC}"/>
            </c:ext>
          </c:extLst>
        </c:ser>
        <c:dLbls>
          <c:dLblPos val="t"/>
          <c:showLegendKey val="0"/>
          <c:showVal val="1"/>
          <c:showCatName val="0"/>
          <c:showSerName val="0"/>
          <c:showPercent val="0"/>
          <c:showBubbleSize val="0"/>
        </c:dLbls>
        <c:marker val="1"/>
        <c:smooth val="0"/>
        <c:axId val="669058088"/>
        <c:axId val="669058480"/>
      </c:lineChart>
      <c:catAx>
        <c:axId val="669058088"/>
        <c:scaling>
          <c:orientation val="minMax"/>
        </c:scaling>
        <c:delete val="0"/>
        <c:axPos val="b"/>
        <c:numFmt formatCode="General" sourceLinked="1"/>
        <c:majorTickMark val="none"/>
        <c:minorTickMark val="none"/>
        <c:tickLblPos val="nextTo"/>
        <c:txPr>
          <a:bodyPr/>
          <a:lstStyle/>
          <a:p>
            <a:pPr>
              <a:defRPr sz="1000" b="1">
                <a:solidFill>
                  <a:schemeClr val="tx1">
                    <a:lumMod val="65000"/>
                    <a:lumOff val="35000"/>
                  </a:schemeClr>
                </a:solidFill>
              </a:defRPr>
            </a:pPr>
            <a:endParaRPr lang="sr-Latn-RS"/>
          </a:p>
        </c:txPr>
        <c:crossAx val="669058480"/>
        <c:crosses val="autoZero"/>
        <c:auto val="1"/>
        <c:lblAlgn val="ctr"/>
        <c:lblOffset val="100"/>
        <c:noMultiLvlLbl val="0"/>
      </c:catAx>
      <c:valAx>
        <c:axId val="669058480"/>
        <c:scaling>
          <c:orientation val="minMax"/>
          <c:max val="1000"/>
          <c:min val="200"/>
        </c:scaling>
        <c:delete val="0"/>
        <c:axPos val="l"/>
        <c:majorGridlines>
          <c:spPr>
            <a:ln>
              <a:solidFill>
                <a:schemeClr val="bg1">
                  <a:lumMod val="85000"/>
                </a:schemeClr>
              </a:solidFill>
            </a:ln>
          </c:spPr>
        </c:majorGridlines>
        <c:title>
          <c:tx>
            <c:rich>
              <a:bodyPr/>
              <a:lstStyle/>
              <a:p>
                <a:pPr>
                  <a:defRPr/>
                </a:pPr>
                <a:r>
                  <a:rPr lang="hr-HR"/>
                  <a:t>u milijunima kn</a:t>
                </a:r>
              </a:p>
            </c:rich>
          </c:tx>
          <c:layout>
            <c:manualLayout>
              <c:xMode val="edge"/>
              <c:yMode val="edge"/>
              <c:x val="3.345045771474648E-2"/>
              <c:y val="0.37809591123632924"/>
            </c:manualLayout>
          </c:layout>
          <c:overlay val="0"/>
        </c:title>
        <c:numFmt formatCode="#,##0.00" sourceLinked="1"/>
        <c:majorTickMark val="none"/>
        <c:minorTickMark val="none"/>
        <c:tickLblPos val="nextTo"/>
        <c:txPr>
          <a:bodyPr/>
          <a:lstStyle/>
          <a:p>
            <a:pPr>
              <a:defRPr sz="1000" b="1">
                <a:solidFill>
                  <a:schemeClr val="tx1">
                    <a:lumMod val="65000"/>
                    <a:lumOff val="35000"/>
                  </a:schemeClr>
                </a:solidFill>
              </a:defRPr>
            </a:pPr>
            <a:endParaRPr lang="sr-Latn-RS"/>
          </a:p>
        </c:txPr>
        <c:crossAx val="669058088"/>
        <c:crosses val="autoZero"/>
        <c:crossBetween val="between"/>
        <c:majorUnit val="200"/>
        <c:minorUnit val="50"/>
      </c:valAx>
      <c:spPr>
        <a:solidFill>
          <a:schemeClr val="bg1"/>
        </a:solidFill>
        <a:ln>
          <a:noFill/>
        </a:ln>
      </c:spPr>
    </c:plotArea>
    <c:legend>
      <c:legendPos val="b"/>
      <c:layout>
        <c:manualLayout>
          <c:xMode val="edge"/>
          <c:yMode val="edge"/>
          <c:x val="3.8570607836378258E-2"/>
          <c:y val="0.90580667130037484"/>
          <c:w val="0.9164362863380443"/>
          <c:h val="8.0900208109299931E-2"/>
        </c:manualLayout>
      </c:layout>
      <c:overlay val="0"/>
      <c:txPr>
        <a:bodyPr/>
        <a:lstStyle/>
        <a:p>
          <a:pPr>
            <a:defRPr sz="1000" b="1">
              <a:solidFill>
                <a:schemeClr val="tx1">
                  <a:lumMod val="65000"/>
                  <a:lumOff val="35000"/>
                </a:schemeClr>
              </a:solidFill>
            </a:defRPr>
          </a:pPr>
          <a:endParaRPr lang="sr-Latn-R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US" sz="900" b="0" i="0" u="none" strike="noStrike" kern="1200" baseline="0">
          <a:solidFill>
            <a:srgbClr val="000000"/>
          </a:solidFill>
          <a:latin typeface="Calibri"/>
        </a:defRPr>
      </a:pPr>
      <a:endParaRPr lang="sr-Latn-R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UKUPNA IMOVINA                                                  </a:t>
            </a:r>
            <a:r>
              <a:rPr lang="hr-HR" sz="1200" b="0" dirty="0">
                <a:solidFill>
                  <a:schemeClr val="tx1">
                    <a:lumMod val="65000"/>
                    <a:lumOff val="35000"/>
                  </a:schemeClr>
                </a:solidFill>
                <a:latin typeface="+mj-lt"/>
              </a:rPr>
              <a:t>31. prosinca 2017</a:t>
            </a:r>
            <a:r>
              <a:rPr lang="hr-HR" sz="1200" dirty="0">
                <a:solidFill>
                  <a:schemeClr val="tx1">
                    <a:lumMod val="65000"/>
                    <a:lumOff val="35000"/>
                  </a:schemeClr>
                </a:solidFill>
                <a:latin typeface="+mj-lt"/>
              </a:rPr>
              <a:t>. </a:t>
            </a:r>
            <a:endParaRPr lang="en-US" sz="1200" dirty="0">
              <a:solidFill>
                <a:schemeClr val="tx1">
                  <a:lumMod val="65000"/>
                  <a:lumOff val="35000"/>
                </a:schemeClr>
              </a:solidFill>
              <a:latin typeface="+mj-lt"/>
            </a:endParaRPr>
          </a:p>
        </c:rich>
      </c:tx>
      <c:layout>
        <c:manualLayout>
          <c:xMode val="edge"/>
          <c:yMode val="edge"/>
          <c:x val="0.23639107059450967"/>
          <c:y val="2.9766752693517768E-2"/>
        </c:manualLayout>
      </c:layout>
      <c:overlay val="0"/>
      <c:spPr>
        <a:noFill/>
        <a:ln>
          <a:noFill/>
        </a:ln>
        <a:effectLst/>
      </c:spPr>
      <c:txPr>
        <a:bodyPr rot="0" spcFirstLastPara="1" vertOverflow="ellipsis" vert="horz" wrap="square" anchor="ctr" anchorCtr="1"/>
        <a:lstStyle/>
        <a:p>
          <a:pPr>
            <a:defRPr sz="13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6463549965383481"/>
          <c:y val="0.50480525201355553"/>
          <c:w val="0.61566157301435342"/>
          <c:h val="0.46517087064689067"/>
        </c:manualLayout>
      </c:layout>
      <c:doughnutChart>
        <c:varyColors val="1"/>
        <c:ser>
          <c:idx val="0"/>
          <c:order val="0"/>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FA74-4210-B494-8816F752734A}"/>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FA74-4210-B494-8816F752734A}"/>
              </c:ext>
            </c:extLst>
          </c:dPt>
          <c:dPt>
            <c:idx val="2"/>
            <c:bubble3D val="0"/>
            <c:spPr>
              <a:solidFill>
                <a:sysClr val="window" lastClr="FFFFFF">
                  <a:lumMod val="50000"/>
                </a:sysClr>
              </a:solidFill>
              <a:ln w="19050">
                <a:solidFill>
                  <a:schemeClr val="lt1"/>
                </a:solidFill>
              </a:ln>
              <a:effectLst/>
            </c:spPr>
            <c:extLst>
              <c:ext xmlns:c16="http://schemas.microsoft.com/office/drawing/2014/chart" uri="{C3380CC4-5D6E-409C-BE32-E72D297353CC}">
                <c16:uniqueId val="{00000005-FA74-4210-B494-8816F752734A}"/>
              </c:ext>
            </c:extLst>
          </c:dPt>
          <c:dPt>
            <c:idx val="3"/>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7-FA74-4210-B494-8816F752734A}"/>
              </c:ext>
            </c:extLst>
          </c:dPt>
          <c:dLbls>
            <c:dLbl>
              <c:idx val="0"/>
              <c:layout>
                <c:manualLayout>
                  <c:x val="0.21995865893288372"/>
                  <c:y val="-3.6696417777862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74-4210-B494-8816F752734A}"/>
                </c:ext>
              </c:extLst>
            </c:dLbl>
            <c:dLbl>
              <c:idx val="1"/>
              <c:layout>
                <c:manualLayout>
                  <c:x val="0.30245065075742267"/>
                  <c:y val="5.76123636719323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74-4210-B494-8816F752734A}"/>
                </c:ext>
              </c:extLst>
            </c:dLbl>
            <c:dLbl>
              <c:idx val="2"/>
              <c:layout>
                <c:manualLayout>
                  <c:x val="-0.23979806478754734"/>
                  <c:y val="-2.76004830084527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A74-4210-B494-8816F752734A}"/>
                </c:ext>
              </c:extLst>
            </c:dLbl>
            <c:dLbl>
              <c:idx val="3"/>
              <c:layout>
                <c:manualLayout>
                  <c:x val="-6.7642996034842859E-4"/>
                  <c:y val="-8.3688407333484427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16369373159444678"/>
                      <c:h val="5.6375593715747171E-2"/>
                    </c:manualLayout>
                  </c15:layout>
                </c:ext>
                <c:ext xmlns:c16="http://schemas.microsoft.com/office/drawing/2014/chart" uri="{C3380CC4-5D6E-409C-BE32-E72D297353CC}">
                  <c16:uniqueId val="{00000007-FA74-4210-B494-8816F752734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'Bilanca_Grupa 2'!$A$47:$A$53</c:f>
              <c:strCache>
                <c:ptCount val="4"/>
                <c:pt idx="0">
                  <c:v>Novčana sredstva i depoziti kod banaka</c:v>
                </c:pt>
                <c:pt idx="1">
                  <c:v>Ukupni krediti, neto</c:v>
                </c:pt>
                <c:pt idx="2">
                  <c:v>Imovina raspoloživa za prodaju</c:v>
                </c:pt>
                <c:pt idx="3">
                  <c:v>Ostala imovina*</c:v>
                </c:pt>
              </c:strCache>
            </c:strRef>
          </c:cat>
          <c:val>
            <c:numRef>
              <c:f>'Bilanca_Grupa 2'!$C$47:$C$53</c:f>
              <c:numCache>
                <c:formatCode>0.00%</c:formatCode>
                <c:ptCount val="4"/>
                <c:pt idx="0">
                  <c:v>5.1134422821842204E-2</c:v>
                </c:pt>
                <c:pt idx="1">
                  <c:v>0.8270453020349372</c:v>
                </c:pt>
                <c:pt idx="2">
                  <c:v>0.11830788059080566</c:v>
                </c:pt>
                <c:pt idx="3">
                  <c:v>3.6123945524149832E-3</c:v>
                </c:pt>
              </c:numCache>
            </c:numRef>
          </c:val>
          <c:extLst>
            <c:ext xmlns:c16="http://schemas.microsoft.com/office/drawing/2014/chart" uri="{C3380CC4-5D6E-409C-BE32-E72D297353CC}">
              <c16:uniqueId val="{00000008-FA74-4210-B494-8816F752734A}"/>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t"/>
      <c:layout>
        <c:manualLayout>
          <c:xMode val="edge"/>
          <c:yMode val="edge"/>
          <c:x val="2.1034917963819941E-2"/>
          <c:y val="0.18339824098592888"/>
          <c:w val="0.81581958334299509"/>
          <c:h val="0.18770311551318286"/>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bg2">
                    <a:lumMod val="50000"/>
                  </a:schemeClr>
                </a:solidFill>
                <a:latin typeface="+mj-lt"/>
              </a:rPr>
              <a:t>UKUPNA IMOVINA                                                  </a:t>
            </a:r>
            <a:r>
              <a:rPr lang="hr-HR" sz="1200" b="0" dirty="0">
                <a:solidFill>
                  <a:schemeClr val="bg2">
                    <a:lumMod val="50000"/>
                  </a:schemeClr>
                </a:solidFill>
                <a:latin typeface="+mj-lt"/>
              </a:rPr>
              <a:t>31. prosinca </a:t>
            </a:r>
            <a:r>
              <a:rPr lang="hr-HR" sz="1200" dirty="0">
                <a:solidFill>
                  <a:schemeClr val="bg2">
                    <a:lumMod val="50000"/>
                  </a:schemeClr>
                </a:solidFill>
                <a:latin typeface="+mj-lt"/>
              </a:rPr>
              <a:t>2018. </a:t>
            </a:r>
            <a:endParaRPr lang="en-US" sz="1200" dirty="0">
              <a:solidFill>
                <a:schemeClr val="bg2">
                  <a:lumMod val="50000"/>
                </a:schemeClr>
              </a:solidFill>
              <a:latin typeface="+mj-lt"/>
            </a:endParaRPr>
          </a:p>
        </c:rich>
      </c:tx>
      <c:layout>
        <c:manualLayout>
          <c:xMode val="edge"/>
          <c:yMode val="edge"/>
          <c:x val="0.29517660951239072"/>
          <c:y val="1.7726623776309507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1154965438983378"/>
          <c:y val="0.50368722560344892"/>
          <c:w val="0.6196647820193778"/>
          <c:h val="0.48047637412173944"/>
        </c:manualLayout>
      </c:layout>
      <c:doughnutChart>
        <c:varyColors val="1"/>
        <c:ser>
          <c:idx val="0"/>
          <c:order val="0"/>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C688-4621-865C-4E7B79D1EDB0}"/>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C688-4621-865C-4E7B79D1EDB0}"/>
              </c:ext>
            </c:extLst>
          </c:dPt>
          <c:dPt>
            <c:idx val="2"/>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5-C688-4621-865C-4E7B79D1EDB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688-4621-865C-4E7B79D1EDB0}"/>
              </c:ext>
            </c:extLst>
          </c:dPt>
          <c:dPt>
            <c:idx val="4"/>
            <c:bubble3D val="0"/>
            <c:spPr>
              <a:solidFill>
                <a:srgbClr val="44546A">
                  <a:lumMod val="60000"/>
                  <a:lumOff val="40000"/>
                </a:srgbClr>
              </a:solidFill>
              <a:ln w="19050">
                <a:solidFill>
                  <a:schemeClr val="lt1"/>
                </a:solidFill>
              </a:ln>
              <a:effectLst/>
            </c:spPr>
            <c:extLst>
              <c:ext xmlns:c16="http://schemas.microsoft.com/office/drawing/2014/chart" uri="{C3380CC4-5D6E-409C-BE32-E72D297353CC}">
                <c16:uniqueId val="{00000009-C688-4621-865C-4E7B79D1EDB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688-4621-865C-4E7B79D1EDB0}"/>
              </c:ext>
            </c:extLst>
          </c:dPt>
          <c:dLbls>
            <c:dLbl>
              <c:idx val="0"/>
              <c:layout>
                <c:manualLayout>
                  <c:x val="-6.8159304600953499E-2"/>
                  <c:y val="-8.36995370370371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88-4621-865C-4E7B79D1EDB0}"/>
                </c:ext>
              </c:extLst>
            </c:dLbl>
            <c:dLbl>
              <c:idx val="1"/>
              <c:layout>
                <c:manualLayout>
                  <c:x val="8.9663772619575879E-2"/>
                  <c:y val="0.123319350666800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88-4621-865C-4E7B79D1EDB0}"/>
                </c:ext>
              </c:extLst>
            </c:dLbl>
            <c:dLbl>
              <c:idx val="2"/>
              <c:layout>
                <c:manualLayout>
                  <c:x val="-0.12951433822827627"/>
                  <c:y val="6.99920638919681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688-4621-865C-4E7B79D1EDB0}"/>
                </c:ext>
              </c:extLst>
            </c:dLbl>
            <c:dLbl>
              <c:idx val="3"/>
              <c:layout>
                <c:manualLayout>
                  <c:x val="-0.14279786009784309"/>
                  <c:y val="4.99943313514058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688-4621-865C-4E7B79D1EDB0}"/>
                </c:ext>
              </c:extLst>
            </c:dLbl>
            <c:dLbl>
              <c:idx val="4"/>
              <c:layout>
                <c:manualLayout>
                  <c:x val="-0.18430886594023932"/>
                  <c:y val="1.6664777117135276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17180562023718413"/>
                      <c:h val="6.8692211276831602E-2"/>
                    </c:manualLayout>
                  </c15:layout>
                </c:ext>
                <c:ext xmlns:c16="http://schemas.microsoft.com/office/drawing/2014/chart" uri="{C3380CC4-5D6E-409C-BE32-E72D297353CC}">
                  <c16:uniqueId val="{00000009-C688-4621-865C-4E7B79D1EDB0}"/>
                </c:ext>
              </c:extLst>
            </c:dLbl>
            <c:dLbl>
              <c:idx val="5"/>
              <c:layout>
                <c:manualLayout>
                  <c:x val="-0.17012102155181028"/>
                  <c:y val="-4.1157407407407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688-4621-865C-4E7B79D1EDB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'Bilanca_Grupa 2'!$A$47:$A$54</c:f>
              <c:strCache>
                <c:ptCount val="6"/>
                <c:pt idx="0">
                  <c:v>Novčana sredstva i depoziti kod banaka</c:v>
                </c:pt>
                <c:pt idx="1">
                  <c:v>Ukupni krediti, neto</c:v>
                </c:pt>
                <c:pt idx="2">
                  <c:v>FVRDG</c:v>
                </c:pt>
                <c:pt idx="3">
                  <c:v>FVOSD</c:v>
                </c:pt>
                <c:pt idx="4">
                  <c:v>Ostala imovina**</c:v>
                </c:pt>
                <c:pt idx="5">
                  <c:v>Dužnički vrijednosni papiri po AT</c:v>
                </c:pt>
              </c:strCache>
            </c:strRef>
          </c:cat>
          <c:val>
            <c:numRef>
              <c:f>'Bilanca_Grupa 2'!$E$47:$E$54</c:f>
              <c:numCache>
                <c:formatCode>0.00%</c:formatCode>
                <c:ptCount val="6"/>
                <c:pt idx="0">
                  <c:v>4.4320176582664003E-2</c:v>
                </c:pt>
                <c:pt idx="1">
                  <c:v>0.83565512006695331</c:v>
                </c:pt>
                <c:pt idx="2">
                  <c:v>1.2253879535529987E-2</c:v>
                </c:pt>
                <c:pt idx="3">
                  <c:v>0.10385209519239882</c:v>
                </c:pt>
                <c:pt idx="4">
                  <c:v>3.6687634878309178E-3</c:v>
                </c:pt>
                <c:pt idx="5">
                  <c:v>1E-4</c:v>
                </c:pt>
              </c:numCache>
            </c:numRef>
          </c:val>
          <c:extLst>
            <c:ext xmlns:c16="http://schemas.microsoft.com/office/drawing/2014/chart" uri="{C3380CC4-5D6E-409C-BE32-E72D297353CC}">
              <c16:uniqueId val="{0000000C-C688-4621-865C-4E7B79D1EDB0}"/>
            </c:ext>
          </c:extLst>
        </c:ser>
        <c:dLbls>
          <c:showLegendKey val="0"/>
          <c:showVal val="0"/>
          <c:showCatName val="0"/>
          <c:showSerName val="0"/>
          <c:showPercent val="0"/>
          <c:showBubbleSize val="0"/>
          <c:showLeaderLines val="1"/>
        </c:dLbls>
        <c:firstSliceAng val="306"/>
        <c:holeSize val="75"/>
      </c:doughnutChart>
      <c:spPr>
        <a:noFill/>
        <a:ln>
          <a:noFill/>
        </a:ln>
        <a:effectLst/>
      </c:spPr>
    </c:plotArea>
    <c:legend>
      <c:legendPos val="t"/>
      <c:layout>
        <c:manualLayout>
          <c:xMode val="edge"/>
          <c:yMode val="edge"/>
          <c:x val="2.3151153772559694E-2"/>
          <c:y val="0.1861663018797583"/>
          <c:w val="0.94104387590937721"/>
          <c:h val="0.2820118558735597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UKUPNE</a:t>
            </a:r>
            <a:r>
              <a:rPr lang="hr-HR" sz="1300" b="1" baseline="0" dirty="0">
                <a:solidFill>
                  <a:schemeClr val="tx1">
                    <a:lumMod val="65000"/>
                    <a:lumOff val="35000"/>
                  </a:schemeClr>
                </a:solidFill>
                <a:latin typeface="+mj-lt"/>
              </a:rPr>
              <a:t> OBVEZE I KAPITAL I REZERVE       </a:t>
            </a:r>
          </a:p>
          <a:p>
            <a:pPr>
              <a:defRPr/>
            </a:pPr>
            <a:r>
              <a:rPr lang="hr-HR" sz="1400" b="1" baseline="0" dirty="0">
                <a:solidFill>
                  <a:schemeClr val="tx1">
                    <a:lumMod val="65000"/>
                    <a:lumOff val="35000"/>
                  </a:schemeClr>
                </a:solidFill>
                <a:latin typeface="+mj-lt"/>
              </a:rPr>
              <a:t> </a:t>
            </a:r>
            <a:r>
              <a:rPr lang="hr-HR" sz="1200" baseline="0" dirty="0">
                <a:solidFill>
                  <a:schemeClr val="tx1">
                    <a:lumMod val="65000"/>
                    <a:lumOff val="35000"/>
                  </a:schemeClr>
                </a:solidFill>
                <a:latin typeface="+mj-lt"/>
              </a:rPr>
              <a:t>31. prosinca 2017. </a:t>
            </a:r>
            <a:endParaRPr lang="en-US" sz="1200" dirty="0">
              <a:solidFill>
                <a:schemeClr val="tx1">
                  <a:lumMod val="65000"/>
                  <a:lumOff val="35000"/>
                </a:schemeClr>
              </a:solidFill>
              <a:latin typeface="+mj-lt"/>
            </a:endParaRPr>
          </a:p>
        </c:rich>
      </c:tx>
      <c:layout>
        <c:manualLayout>
          <c:xMode val="edge"/>
          <c:yMode val="edge"/>
          <c:x val="0.10309929546962064"/>
          <c:y val="3.6549768518518523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3420759852453262"/>
          <c:y val="0.48247443322604383"/>
          <c:w val="0.65029072270087351"/>
          <c:h val="0.49154206566518666"/>
        </c:manualLayout>
      </c:layout>
      <c:doughnutChart>
        <c:varyColors val="1"/>
        <c:ser>
          <c:idx val="0"/>
          <c:order val="0"/>
          <c:dPt>
            <c:idx val="0"/>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1-7658-4BB1-BB6D-92E10C74BA0C}"/>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7658-4BB1-BB6D-92E10C74BA0C}"/>
              </c:ext>
            </c:extLst>
          </c:dPt>
          <c:dPt>
            <c:idx val="2"/>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5-7658-4BB1-BB6D-92E10C74BA0C}"/>
              </c:ext>
            </c:extLst>
          </c:dPt>
          <c:dPt>
            <c:idx val="3"/>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7-7658-4BB1-BB6D-92E10C74BA0C}"/>
              </c:ext>
            </c:extLst>
          </c:dPt>
          <c:dLbls>
            <c:dLbl>
              <c:idx val="0"/>
              <c:layout>
                <c:manualLayout>
                  <c:x val="6.2996031746031689E-2"/>
                  <c:y val="-7.04726005188068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58-4BB1-BB6D-92E10C74BA0C}"/>
                </c:ext>
              </c:extLst>
            </c:dLbl>
            <c:dLbl>
              <c:idx val="1"/>
              <c:layout>
                <c:manualLayout>
                  <c:x val="4.6662750626566413E-2"/>
                  <c:y val="0.11740758754863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658-4BB1-BB6D-92E10C74BA0C}"/>
                </c:ext>
              </c:extLst>
            </c:dLbl>
            <c:dLbl>
              <c:idx val="2"/>
              <c:layout>
                <c:manualLayout>
                  <c:x val="-0.11783129699248124"/>
                  <c:y val="5.7829388240380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658-4BB1-BB6D-92E10C74BA0C}"/>
                </c:ext>
              </c:extLst>
            </c:dLbl>
            <c:dLbl>
              <c:idx val="3"/>
              <c:layout>
                <c:manualLayout>
                  <c:x val="-0.12211883876357564"/>
                  <c:y val="-5.04415261565067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658-4BB1-BB6D-92E10C74BA0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'Bilanca_Grupa 2'!$H$47:$H$50</c:f>
              <c:strCache>
                <c:ptCount val="4"/>
                <c:pt idx="0">
                  <c:v>Depoziti</c:v>
                </c:pt>
                <c:pt idx="1">
                  <c:v>Obveze po kreditima i izdanim dugoročnim VP</c:v>
                </c:pt>
                <c:pt idx="2">
                  <c:v>Ostale obveze</c:v>
                </c:pt>
                <c:pt idx="3">
                  <c:v>Ukupni kapital i rezerve</c:v>
                </c:pt>
              </c:strCache>
            </c:strRef>
          </c:cat>
          <c:val>
            <c:numRef>
              <c:f>'Bilanca_Grupa 2'!$J$47:$J$50</c:f>
              <c:numCache>
                <c:formatCode>0.00%</c:formatCode>
                <c:ptCount val="4"/>
                <c:pt idx="0">
                  <c:v>2.2864457342970188E-2</c:v>
                </c:pt>
                <c:pt idx="1">
                  <c:v>0.58946571323955776</c:v>
                </c:pt>
                <c:pt idx="2">
                  <c:v>2.1565375721802168E-2</c:v>
                </c:pt>
                <c:pt idx="3">
                  <c:v>0.36600445369566986</c:v>
                </c:pt>
              </c:numCache>
            </c:numRef>
          </c:val>
          <c:extLst>
            <c:ext xmlns:c16="http://schemas.microsoft.com/office/drawing/2014/chart" uri="{C3380CC4-5D6E-409C-BE32-E72D297353CC}">
              <c16:uniqueId val="{00000008-7658-4BB1-BB6D-92E10C74BA0C}"/>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t"/>
      <c:layout>
        <c:manualLayout>
          <c:xMode val="edge"/>
          <c:yMode val="edge"/>
          <c:x val="2.9757784397829383E-2"/>
          <c:y val="0.2604096617865439"/>
          <c:w val="0.9432406457434579"/>
          <c:h val="0.1451360620198823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UKUPNE</a:t>
            </a:r>
            <a:r>
              <a:rPr lang="hr-HR" sz="1300" b="1" baseline="0" dirty="0">
                <a:solidFill>
                  <a:schemeClr val="tx1">
                    <a:lumMod val="65000"/>
                    <a:lumOff val="35000"/>
                  </a:schemeClr>
                </a:solidFill>
                <a:latin typeface="+mj-lt"/>
              </a:rPr>
              <a:t> OBVEZE I KAPITAL I REZERVE        </a:t>
            </a:r>
          </a:p>
          <a:p>
            <a:pPr>
              <a:defRPr/>
            </a:pPr>
            <a:r>
              <a:rPr lang="hr-HR" sz="1200" baseline="0" dirty="0">
                <a:solidFill>
                  <a:schemeClr val="tx1">
                    <a:lumMod val="65000"/>
                    <a:lumOff val="35000"/>
                  </a:schemeClr>
                </a:solidFill>
                <a:latin typeface="+mj-lt"/>
              </a:rPr>
              <a:t>31.  prosinca 2018.</a:t>
            </a:r>
            <a:endParaRPr lang="en-US" sz="1200" dirty="0">
              <a:solidFill>
                <a:schemeClr val="tx1">
                  <a:lumMod val="65000"/>
                  <a:lumOff val="35000"/>
                </a:schemeClr>
              </a:solidFill>
              <a:latin typeface="+mj-lt"/>
            </a:endParaRPr>
          </a:p>
        </c:rich>
      </c:tx>
      <c:layout>
        <c:manualLayout>
          <c:xMode val="edge"/>
          <c:yMode val="edge"/>
          <c:x val="0.15638563472248895"/>
          <c:y val="3.7054177032702446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7260816010277941"/>
          <c:y val="0.49493369908545282"/>
          <c:w val="0.63099011277921635"/>
          <c:h val="0.47695311131245283"/>
        </c:manualLayout>
      </c:layout>
      <c:doughnutChart>
        <c:varyColors val="1"/>
        <c:ser>
          <c:idx val="0"/>
          <c:order val="0"/>
          <c:dPt>
            <c:idx val="0"/>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1-53BC-4508-AA49-78EB1F223A8D}"/>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53BC-4508-AA49-78EB1F223A8D}"/>
              </c:ext>
            </c:extLst>
          </c:dPt>
          <c:dPt>
            <c:idx val="2"/>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5-53BC-4508-AA49-78EB1F223A8D}"/>
              </c:ext>
            </c:extLst>
          </c:dPt>
          <c:dPt>
            <c:idx val="3"/>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7-53BC-4508-AA49-78EB1F223A8D}"/>
              </c:ext>
            </c:extLst>
          </c:dPt>
          <c:dLbls>
            <c:dLbl>
              <c:idx val="0"/>
              <c:layout>
                <c:manualLayout>
                  <c:x val="3.9590071308888225E-2"/>
                  <c:y val="-7.2072062333821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BC-4508-AA49-78EB1F223A8D}"/>
                </c:ext>
              </c:extLst>
            </c:dLbl>
            <c:dLbl>
              <c:idx val="1"/>
              <c:layout>
                <c:manualLayout>
                  <c:x val="6.9282624790554498E-2"/>
                  <c:y val="0.116688100921425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BC-4508-AA49-78EB1F223A8D}"/>
                </c:ext>
              </c:extLst>
            </c:dLbl>
            <c:dLbl>
              <c:idx val="2"/>
              <c:layout>
                <c:manualLayout>
                  <c:x val="-9.8975178272220743E-2"/>
                  <c:y val="6.17760534289897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3BC-4508-AA49-78EB1F223A8D}"/>
                </c:ext>
              </c:extLst>
            </c:dLbl>
            <c:dLbl>
              <c:idx val="3"/>
              <c:layout>
                <c:manualLayout>
                  <c:x val="-0.11877021392666484"/>
                  <c:y val="-3.77520326510493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BC-4508-AA49-78EB1F223A8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'Bilanca_Grupa 2'!$H$47:$H$50</c:f>
              <c:strCache>
                <c:ptCount val="4"/>
                <c:pt idx="0">
                  <c:v>Depoziti</c:v>
                </c:pt>
                <c:pt idx="1">
                  <c:v>Obveze po kreditima i izdanim dugoročnim VP</c:v>
                </c:pt>
                <c:pt idx="2">
                  <c:v>Ostale obveze</c:v>
                </c:pt>
                <c:pt idx="3">
                  <c:v>Ukupni kapital i rezerve</c:v>
                </c:pt>
              </c:strCache>
            </c:strRef>
          </c:cat>
          <c:val>
            <c:numRef>
              <c:f>'Bilanca_Grupa 2'!$L$47:$L$50</c:f>
              <c:numCache>
                <c:formatCode>0.00%</c:formatCode>
                <c:ptCount val="4"/>
                <c:pt idx="0">
                  <c:v>1.5764367364243626E-2</c:v>
                </c:pt>
                <c:pt idx="1">
                  <c:v>0.58887401364782954</c:v>
                </c:pt>
                <c:pt idx="2">
                  <c:v>2.5726166079698798E-2</c:v>
                </c:pt>
                <c:pt idx="3">
                  <c:v>0.36963545290822797</c:v>
                </c:pt>
              </c:numCache>
            </c:numRef>
          </c:val>
          <c:extLst>
            <c:ext xmlns:c16="http://schemas.microsoft.com/office/drawing/2014/chart" uri="{C3380CC4-5D6E-409C-BE32-E72D297353CC}">
              <c16:uniqueId val="{00000008-53BC-4508-AA49-78EB1F223A8D}"/>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t"/>
      <c:layout>
        <c:manualLayout>
          <c:xMode val="edge"/>
          <c:yMode val="edge"/>
          <c:x val="2.7279259352463198E-2"/>
          <c:y val="0.26324666743421221"/>
          <c:w val="0.939326702118501"/>
          <c:h val="0.1493540103418414"/>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600" b="1" dirty="0">
                <a:solidFill>
                  <a:schemeClr val="tx1">
                    <a:lumMod val="65000"/>
                    <a:lumOff val="35000"/>
                  </a:schemeClr>
                </a:solidFill>
                <a:latin typeface="+mj-lt"/>
              </a:rPr>
              <a:t>UKUPNI PRIHODI</a:t>
            </a:r>
          </a:p>
          <a:p>
            <a:pPr>
              <a:defRPr/>
            </a:pPr>
            <a:r>
              <a:rPr lang="hr-HR" sz="1200" dirty="0">
                <a:solidFill>
                  <a:schemeClr val="tx1">
                    <a:lumMod val="65000"/>
                    <a:lumOff val="35000"/>
                  </a:schemeClr>
                </a:solidFill>
                <a:latin typeface="+mj-lt"/>
              </a:rPr>
              <a:t>1. siječnja - 31. prosinca 2017. </a:t>
            </a:r>
            <a:endParaRPr lang="en-US" sz="1200" dirty="0">
              <a:solidFill>
                <a:schemeClr val="tx1">
                  <a:lumMod val="65000"/>
                  <a:lumOff val="35000"/>
                </a:schemeClr>
              </a:solidFill>
              <a:latin typeface="+mj-lt"/>
            </a:endParaRPr>
          </a:p>
        </c:rich>
      </c:tx>
      <c:layout>
        <c:manualLayout>
          <c:xMode val="edge"/>
          <c:yMode val="edge"/>
          <c:x val="0.26584006014792194"/>
          <c:y val="3.2861711707049483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7750346424088292"/>
          <c:y val="0.42267239011165347"/>
          <c:w val="0.62770414567744248"/>
          <c:h val="0.49426329045028483"/>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C1FA-4B93-BD95-77FA206EC26C}"/>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C1FA-4B93-BD95-77FA206EC26C}"/>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C1FA-4B93-BD95-77FA206EC26C}"/>
              </c:ext>
            </c:extLst>
          </c:dPt>
          <c:dLbls>
            <c:dLbl>
              <c:idx val="0"/>
              <c:layout>
                <c:manualLayout>
                  <c:x val="9.7267959395910347E-2"/>
                  <c:y val="0.161673151750972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FA-4B93-BD95-77FA206EC26C}"/>
                </c:ext>
              </c:extLst>
            </c:dLbl>
            <c:dLbl>
              <c:idx val="1"/>
              <c:layout>
                <c:manualLayout>
                  <c:x val="-0.12413111687330668"/>
                  <c:y val="4.94987570255078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1FA-4B93-BD95-77FA206EC26C}"/>
                </c:ext>
              </c:extLst>
            </c:dLbl>
            <c:dLbl>
              <c:idx val="2"/>
              <c:layout>
                <c:manualLayout>
                  <c:x val="-0.14040947873924597"/>
                  <c:y val="-5.5510430177259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1FA-4B93-BD95-77FA206EC26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'IDG_HBOR '!$A$39:$A$42</c:f>
              <c:strCache>
                <c:ptCount val="3"/>
                <c:pt idx="0">
                  <c:v>Prihodi od kamata</c:v>
                </c:pt>
                <c:pt idx="1">
                  <c:v>Prihodi od naknada</c:v>
                </c:pt>
                <c:pt idx="2">
                  <c:v>Ostali prihodi</c:v>
                </c:pt>
              </c:strCache>
            </c:strRef>
          </c:cat>
          <c:val>
            <c:numRef>
              <c:f>'IDG_HBOR '!$C$39:$C$42</c:f>
              <c:numCache>
                <c:formatCode>0.00%</c:formatCode>
                <c:ptCount val="3"/>
                <c:pt idx="0">
                  <c:v>0.94217716672467811</c:v>
                </c:pt>
                <c:pt idx="1">
                  <c:v>4.9534458753915767E-2</c:v>
                </c:pt>
                <c:pt idx="2">
                  <c:v>8.2883745214061954E-3</c:v>
                </c:pt>
              </c:numCache>
            </c:numRef>
          </c:val>
          <c:extLst>
            <c:ext xmlns:c16="http://schemas.microsoft.com/office/drawing/2014/chart" uri="{C3380CC4-5D6E-409C-BE32-E72D297353CC}">
              <c16:uniqueId val="{00000006-C1FA-4B93-BD95-77FA206EC26C}"/>
            </c:ext>
          </c:extLst>
        </c:ser>
        <c:dLbls>
          <c:showLegendKey val="0"/>
          <c:showVal val="0"/>
          <c:showCatName val="0"/>
          <c:showSerName val="0"/>
          <c:showPercent val="0"/>
          <c:showBubbleSize val="0"/>
          <c:showLeaderLines val="1"/>
        </c:dLbls>
        <c:firstSliceAng val="283"/>
        <c:holeSize val="75"/>
      </c:doughnutChart>
      <c:spPr>
        <a:noFill/>
        <a:ln>
          <a:noFill/>
        </a:ln>
        <a:effectLst/>
      </c:spPr>
    </c:plotArea>
    <c:legend>
      <c:legendPos val="t"/>
      <c:layout>
        <c:manualLayout>
          <c:xMode val="edge"/>
          <c:yMode val="edge"/>
          <c:x val="6.1465109952238001E-2"/>
          <c:y val="0.20457453703703704"/>
          <c:w val="0.47293951877001439"/>
          <c:h val="0.15589440121054907"/>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600" b="1" dirty="0">
                <a:solidFill>
                  <a:schemeClr val="tx1">
                    <a:lumMod val="65000"/>
                    <a:lumOff val="35000"/>
                  </a:schemeClr>
                </a:solidFill>
                <a:latin typeface="+mj-lt"/>
              </a:rPr>
              <a:t>UKUPNI PRIHODI</a:t>
            </a:r>
          </a:p>
          <a:p>
            <a:pPr>
              <a:defRPr/>
            </a:pPr>
            <a:r>
              <a:rPr lang="hr-HR" sz="1200" dirty="0">
                <a:solidFill>
                  <a:schemeClr val="tx1">
                    <a:lumMod val="65000"/>
                    <a:lumOff val="35000"/>
                  </a:schemeClr>
                </a:solidFill>
                <a:latin typeface="+mj-lt"/>
              </a:rPr>
              <a:t>1. siječnja - 31. prosinca 2018. </a:t>
            </a:r>
            <a:endParaRPr lang="en-US" sz="1200" dirty="0">
              <a:solidFill>
                <a:schemeClr val="tx1">
                  <a:lumMod val="65000"/>
                  <a:lumOff val="35000"/>
                </a:schemeClr>
              </a:solidFill>
              <a:latin typeface="+mj-lt"/>
            </a:endParaRPr>
          </a:p>
        </c:rich>
      </c:tx>
      <c:layout>
        <c:manualLayout>
          <c:xMode val="edge"/>
          <c:yMode val="edge"/>
          <c:x val="0.26583994708994707"/>
          <c:y val="4.0164314308616035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2844492264553884"/>
          <c:y val="0.44549599624142189"/>
          <c:w val="0.63184493242692485"/>
          <c:h val="0.49752380561168036"/>
        </c:manualLayout>
      </c:layout>
      <c:doughnutChart>
        <c:varyColors val="1"/>
        <c:ser>
          <c:idx val="0"/>
          <c:order val="0"/>
          <c:spPr>
            <a:solidFill>
              <a:schemeClr val="bg1">
                <a:lumMod val="75000"/>
              </a:schemeClr>
            </a:solidFill>
          </c:spPr>
          <c:dPt>
            <c:idx val="0"/>
            <c:bubble3D val="0"/>
            <c:spPr>
              <a:solidFill>
                <a:srgbClr val="FF0000"/>
              </a:solidFill>
              <a:ln w="19050">
                <a:solidFill>
                  <a:schemeClr val="lt1"/>
                </a:solidFill>
              </a:ln>
              <a:effectLst/>
            </c:spPr>
            <c:extLst>
              <c:ext xmlns:c16="http://schemas.microsoft.com/office/drawing/2014/chart" uri="{C3380CC4-5D6E-409C-BE32-E72D297353CC}">
                <c16:uniqueId val="{00000001-7746-424D-94A3-AA210DC655B5}"/>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7746-424D-94A3-AA210DC655B5}"/>
              </c:ext>
            </c:extLst>
          </c:dPt>
          <c:dPt>
            <c:idx val="2"/>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5-7746-424D-94A3-AA210DC655B5}"/>
              </c:ext>
            </c:extLst>
          </c:dPt>
          <c:dPt>
            <c:idx val="3"/>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7-7746-424D-94A3-AA210DC655B5}"/>
              </c:ext>
            </c:extLst>
          </c:dPt>
          <c:dLbls>
            <c:dLbl>
              <c:idx val="0"/>
              <c:layout>
                <c:manualLayout>
                  <c:x val="0.1063819762127387"/>
                  <c:y val="0.137267617812364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746-424D-94A3-AA210DC655B5}"/>
                </c:ext>
              </c:extLst>
            </c:dLbl>
            <c:dLbl>
              <c:idx val="1"/>
              <c:layout>
                <c:manualLayout>
                  <c:x val="-0.15624852756246013"/>
                  <c:y val="0.123540856031128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746-424D-94A3-AA210DC655B5}"/>
                </c:ext>
              </c:extLst>
            </c:dLbl>
            <c:dLbl>
              <c:idx val="2"/>
              <c:layout>
                <c:manualLayout>
                  <c:x val="-0.18284402161564486"/>
                  <c:y val="7.20654993514915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746-424D-94A3-AA210DC655B5}"/>
                </c:ext>
              </c:extLst>
            </c:dLbl>
            <c:dLbl>
              <c:idx val="3"/>
              <c:layout>
                <c:manualLayout>
                  <c:x val="-0.1695462745890525"/>
                  <c:y val="-1.2582719609482796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46-424D-94A3-AA210DC655B5}"/>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'IDG_HBOR '!$D$39:$D$43</c:f>
              <c:strCache>
                <c:ptCount val="4"/>
                <c:pt idx="0">
                  <c:v>Prihodi od kamata</c:v>
                </c:pt>
                <c:pt idx="1">
                  <c:v>Prihodi od naknada</c:v>
                </c:pt>
                <c:pt idx="2">
                  <c:v>Neto prihodi od financijskih aktivnosti</c:v>
                </c:pt>
                <c:pt idx="3">
                  <c:v>Ostali prihodi</c:v>
                </c:pt>
              </c:strCache>
            </c:strRef>
          </c:cat>
          <c:val>
            <c:numRef>
              <c:f>'IDG_HBOR '!$F$39:$F$43</c:f>
              <c:numCache>
                <c:formatCode>0.00%</c:formatCode>
                <c:ptCount val="4"/>
                <c:pt idx="0">
                  <c:v>0.92475197472353876</c:v>
                </c:pt>
                <c:pt idx="1">
                  <c:v>5.3624012638230648E-2</c:v>
                </c:pt>
                <c:pt idx="2">
                  <c:v>1.2018957345971564E-2</c:v>
                </c:pt>
                <c:pt idx="3">
                  <c:v>9.6050552922590827E-3</c:v>
                </c:pt>
              </c:numCache>
            </c:numRef>
          </c:val>
          <c:extLst>
            <c:ext xmlns:c16="http://schemas.microsoft.com/office/drawing/2014/chart" uri="{C3380CC4-5D6E-409C-BE32-E72D297353CC}">
              <c16:uniqueId val="{00000008-7746-424D-94A3-AA210DC655B5}"/>
            </c:ext>
          </c:extLst>
        </c:ser>
        <c:dLbls>
          <c:showLegendKey val="0"/>
          <c:showVal val="0"/>
          <c:showCatName val="0"/>
          <c:showSerName val="0"/>
          <c:showPercent val="0"/>
          <c:showBubbleSize val="0"/>
          <c:showLeaderLines val="1"/>
        </c:dLbls>
        <c:firstSliceAng val="301"/>
        <c:holeSize val="75"/>
      </c:doughnutChart>
      <c:spPr>
        <a:noFill/>
        <a:ln>
          <a:noFill/>
        </a:ln>
        <a:effectLst/>
      </c:spPr>
    </c:plotArea>
    <c:legend>
      <c:legendPos val="t"/>
      <c:layout>
        <c:manualLayout>
          <c:xMode val="edge"/>
          <c:yMode val="edge"/>
          <c:x val="7.5594288879418756E-2"/>
          <c:y val="0.22395509259259264"/>
          <c:w val="0.84881116047448879"/>
          <c:h val="0.20076711963009844"/>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600" b="1" dirty="0">
                <a:solidFill>
                  <a:schemeClr val="tx1">
                    <a:lumMod val="65000"/>
                    <a:lumOff val="35000"/>
                  </a:schemeClr>
                </a:solidFill>
                <a:latin typeface="+mj-lt"/>
              </a:rPr>
              <a:t>UKUPNI RASHODI</a:t>
            </a:r>
          </a:p>
          <a:p>
            <a:pPr>
              <a:defRPr sz="1400"/>
            </a:pPr>
            <a:r>
              <a:rPr lang="hr-HR" sz="1200" dirty="0">
                <a:solidFill>
                  <a:schemeClr val="tx1">
                    <a:lumMod val="65000"/>
                    <a:lumOff val="35000"/>
                  </a:schemeClr>
                </a:solidFill>
                <a:latin typeface="+mj-lt"/>
              </a:rPr>
              <a:t>1. siječnja - 31. prosinca 2017. </a:t>
            </a:r>
            <a:endParaRPr lang="en-US" sz="1200" dirty="0">
              <a:solidFill>
                <a:schemeClr val="tx1">
                  <a:lumMod val="65000"/>
                  <a:lumOff val="35000"/>
                </a:schemeClr>
              </a:solidFill>
              <a:latin typeface="+mj-lt"/>
            </a:endParaRPr>
          </a:p>
        </c:rich>
      </c:tx>
      <c:layout>
        <c:manualLayout>
          <c:xMode val="edge"/>
          <c:yMode val="edge"/>
          <c:x val="0.3060531702751772"/>
          <c:y val="3.541327876423208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6905687083108734"/>
          <c:y val="0.51426755912456412"/>
          <c:w val="0.66832635000843299"/>
          <c:h val="0.46781862101134175"/>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1B45-4D04-82CE-036A167516AA}"/>
              </c:ext>
            </c:extLst>
          </c:dPt>
          <c:dPt>
            <c:idx val="1"/>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3-1B45-4D04-82CE-036A167516AA}"/>
              </c:ext>
            </c:extLst>
          </c:dPt>
          <c:dPt>
            <c:idx val="2"/>
            <c:bubble3D val="0"/>
            <c:spPr>
              <a:solidFill>
                <a:schemeClr val="bg1">
                  <a:lumMod val="75000"/>
                </a:schemeClr>
              </a:solidFill>
              <a:ln w="19050">
                <a:noFill/>
              </a:ln>
              <a:effectLst/>
            </c:spPr>
            <c:extLst>
              <c:ext xmlns:c16="http://schemas.microsoft.com/office/drawing/2014/chart" uri="{C3380CC4-5D6E-409C-BE32-E72D297353CC}">
                <c16:uniqueId val="{00000005-1B45-4D04-82CE-036A167516AA}"/>
              </c:ext>
            </c:extLst>
          </c:dPt>
          <c:dPt>
            <c:idx val="3"/>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7-1B45-4D04-82CE-036A167516AA}"/>
              </c:ext>
            </c:extLst>
          </c:dPt>
          <c:dPt>
            <c:idx val="4"/>
            <c:bubble3D val="0"/>
            <c:spPr>
              <a:solidFill>
                <a:srgbClr val="1F497D">
                  <a:lumMod val="60000"/>
                  <a:lumOff val="40000"/>
                </a:srgbClr>
              </a:solidFill>
              <a:ln w="19050">
                <a:solidFill>
                  <a:schemeClr val="lt1"/>
                </a:solidFill>
              </a:ln>
              <a:effectLst/>
            </c:spPr>
            <c:extLst>
              <c:ext xmlns:c16="http://schemas.microsoft.com/office/drawing/2014/chart" uri="{C3380CC4-5D6E-409C-BE32-E72D297353CC}">
                <c16:uniqueId val="{00000009-1B45-4D04-82CE-036A167516AA}"/>
              </c:ext>
            </c:extLst>
          </c:dPt>
          <c:dLbls>
            <c:dLbl>
              <c:idx val="0"/>
              <c:layout>
                <c:manualLayout>
                  <c:x val="-0.12522965131590269"/>
                  <c:y val="1.74406564103289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B45-4D04-82CE-036A167516AA}"/>
                </c:ext>
              </c:extLst>
            </c:dLbl>
            <c:dLbl>
              <c:idx val="1"/>
              <c:layout>
                <c:manualLayout>
                  <c:x val="-7.1254398721034895E-2"/>
                  <c:y val="-9.14402646709012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45-4D04-82CE-036A167516AA}"/>
                </c:ext>
              </c:extLst>
            </c:dLbl>
            <c:dLbl>
              <c:idx val="2"/>
              <c:layout>
                <c:manualLayout>
                  <c:x val="0.13611605463201762"/>
                  <c:y val="-5.35121647560037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B45-4D04-82CE-036A167516AA}"/>
                </c:ext>
              </c:extLst>
            </c:dLbl>
            <c:dLbl>
              <c:idx val="3"/>
              <c:layout>
                <c:manualLayout>
                  <c:x val="0.15345394801079507"/>
                  <c:y val="-6.47678997744698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B45-4D04-82CE-036A167516AA}"/>
                </c:ext>
              </c:extLst>
            </c:dLbl>
            <c:dLbl>
              <c:idx val="4"/>
              <c:layout>
                <c:manualLayout>
                  <c:x val="0.1212527713732602"/>
                  <c:y val="6.17760818289536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B45-4D04-82CE-036A167516A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'IDG_HBOR '!$I$39:$I$43</c:f>
              <c:strCache>
                <c:ptCount val="5"/>
                <c:pt idx="0">
                  <c:v>Rashodi od kamata</c:v>
                </c:pt>
                <c:pt idx="1">
                  <c:v>Neto rashodi od financijskih aktivnosti</c:v>
                </c:pt>
                <c:pt idx="2">
                  <c:v>Rashodi od naknada</c:v>
                </c:pt>
                <c:pt idx="3">
                  <c:v>Operativni troškovi</c:v>
                </c:pt>
                <c:pt idx="4">
                  <c:v>Gubitak od umanjenja vrijednosti i rezerviranja</c:v>
                </c:pt>
              </c:strCache>
            </c:strRef>
          </c:cat>
          <c:val>
            <c:numRef>
              <c:f>'IDG_HBOR '!$L$39:$L$43</c:f>
              <c:numCache>
                <c:formatCode>0.00%</c:formatCode>
                <c:ptCount val="5"/>
                <c:pt idx="0">
                  <c:v>0.51472488069814659</c:v>
                </c:pt>
                <c:pt idx="1">
                  <c:v>2.7195549579477445E-2</c:v>
                </c:pt>
                <c:pt idx="2">
                  <c:v>4.1393129267842553E-3</c:v>
                </c:pt>
                <c:pt idx="3">
                  <c:v>0.19698647472909914</c:v>
                </c:pt>
                <c:pt idx="4">
                  <c:v>0.25695378206649266</c:v>
                </c:pt>
              </c:numCache>
            </c:numRef>
          </c:val>
          <c:extLst>
            <c:ext xmlns:c16="http://schemas.microsoft.com/office/drawing/2014/chart" uri="{C3380CC4-5D6E-409C-BE32-E72D297353CC}">
              <c16:uniqueId val="{0000000A-1B45-4D04-82CE-036A167516AA}"/>
            </c:ext>
          </c:extLst>
        </c:ser>
        <c:dLbls>
          <c:showLegendKey val="0"/>
          <c:showVal val="0"/>
          <c:showCatName val="0"/>
          <c:showSerName val="0"/>
          <c:showPercent val="0"/>
          <c:showBubbleSize val="0"/>
          <c:showLeaderLines val="1"/>
        </c:dLbls>
        <c:firstSliceAng val="154"/>
        <c:holeSize val="75"/>
      </c:doughnutChart>
      <c:spPr>
        <a:noFill/>
        <a:ln>
          <a:noFill/>
        </a:ln>
        <a:effectLst/>
      </c:spPr>
    </c:plotArea>
    <c:legend>
      <c:legendPos val="t"/>
      <c:layout>
        <c:manualLayout>
          <c:xMode val="edge"/>
          <c:yMode val="edge"/>
          <c:x val="0"/>
          <c:y val="0.17397824074074075"/>
          <c:w val="0.89969028317153155"/>
          <c:h val="0.2552337962962962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600" b="1" dirty="0">
                <a:solidFill>
                  <a:schemeClr val="tx1">
                    <a:lumMod val="65000"/>
                    <a:lumOff val="35000"/>
                  </a:schemeClr>
                </a:solidFill>
                <a:latin typeface="+mj-lt"/>
              </a:rPr>
              <a:t>UKUPNI RASHODI</a:t>
            </a:r>
          </a:p>
          <a:p>
            <a:pPr>
              <a:defRPr/>
            </a:pPr>
            <a:r>
              <a:rPr lang="hr-HR" sz="1200" dirty="0">
                <a:solidFill>
                  <a:schemeClr val="tx1">
                    <a:lumMod val="65000"/>
                    <a:lumOff val="35000"/>
                  </a:schemeClr>
                </a:solidFill>
                <a:latin typeface="+mj-lt"/>
              </a:rPr>
              <a:t>1. siječnja - 31. prosinca 2018. </a:t>
            </a:r>
            <a:endParaRPr lang="en-US" sz="1200" dirty="0">
              <a:solidFill>
                <a:schemeClr val="tx1">
                  <a:lumMod val="65000"/>
                  <a:lumOff val="35000"/>
                </a:schemeClr>
              </a:solidFill>
              <a:latin typeface="+mj-lt"/>
            </a:endParaRPr>
          </a:p>
        </c:rich>
      </c:tx>
      <c:layout>
        <c:manualLayout>
          <c:xMode val="edge"/>
          <c:yMode val="edge"/>
          <c:x val="0.27450281725351938"/>
          <c:y val="3.6940981497971703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0697715179554677"/>
          <c:y val="0.50243512299460291"/>
          <c:w val="0.66039346929596832"/>
          <c:h val="0.46226572112118203"/>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5A07-45CF-A56D-9BCC778B988C}"/>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5A07-45CF-A56D-9BCC778B988C}"/>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5A07-45CF-A56D-9BCC778B988C}"/>
              </c:ext>
            </c:extLst>
          </c:dPt>
          <c:dPt>
            <c:idx val="3"/>
            <c:bubble3D val="0"/>
            <c:spPr>
              <a:solidFill>
                <a:srgbClr val="1F497D">
                  <a:lumMod val="60000"/>
                  <a:lumOff val="40000"/>
                </a:srgbClr>
              </a:solidFill>
              <a:ln w="19050">
                <a:solidFill>
                  <a:schemeClr val="lt1"/>
                </a:solidFill>
              </a:ln>
              <a:effectLst/>
            </c:spPr>
            <c:extLst>
              <c:ext xmlns:c16="http://schemas.microsoft.com/office/drawing/2014/chart" uri="{C3380CC4-5D6E-409C-BE32-E72D297353CC}">
                <c16:uniqueId val="{00000007-5A07-45CF-A56D-9BCC778B988C}"/>
              </c:ext>
            </c:extLst>
          </c:dPt>
          <c:dLbls>
            <c:dLbl>
              <c:idx val="0"/>
              <c:layout>
                <c:manualLayout>
                  <c:x val="-0.14971969800371115"/>
                  <c:y val="1.04319444444443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07-45CF-A56D-9BCC778B988C}"/>
                </c:ext>
              </c:extLst>
            </c:dLbl>
            <c:dLbl>
              <c:idx val="1"/>
              <c:layout>
                <c:manualLayout>
                  <c:x val="-0.12642996720313388"/>
                  <c:y val="-6.8505787037037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A07-45CF-A56D-9BCC778B988C}"/>
                </c:ext>
              </c:extLst>
            </c:dLbl>
            <c:dLbl>
              <c:idx val="2"/>
              <c:layout>
                <c:manualLayout>
                  <c:x val="9.981313200247411E-3"/>
                  <c:y val="-7.23696759259258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A07-45CF-A56D-9BCC778B988C}"/>
                </c:ext>
              </c:extLst>
            </c:dLbl>
            <c:dLbl>
              <c:idx val="3"/>
              <c:layout>
                <c:manualLayout>
                  <c:x val="0.1330841760032988"/>
                  <c:y val="1.397662037037037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7-5A07-45CF-A56D-9BCC778B988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'IDG_HBOR '!$M$39:$M$43</c:f>
              <c:strCache>
                <c:ptCount val="4"/>
                <c:pt idx="0">
                  <c:v>Rashodi od kamata</c:v>
                </c:pt>
                <c:pt idx="1">
                  <c:v>Rashodi od naknada</c:v>
                </c:pt>
                <c:pt idx="2">
                  <c:v>Operativni troškovi</c:v>
                </c:pt>
                <c:pt idx="3">
                  <c:v>Gubitak od umanjenja vrijednosti i rezerviranja</c:v>
                </c:pt>
              </c:strCache>
            </c:strRef>
          </c:cat>
          <c:val>
            <c:numRef>
              <c:f>'IDG_HBOR '!$O$39:$O$43</c:f>
              <c:numCache>
                <c:formatCode>0.00%</c:formatCode>
                <c:ptCount val="4"/>
                <c:pt idx="0">
                  <c:v>0.60667552647720302</c:v>
                </c:pt>
                <c:pt idx="1">
                  <c:v>6.4404007360457987E-3</c:v>
                </c:pt>
                <c:pt idx="2">
                  <c:v>0.27458597423839709</c:v>
                </c:pt>
                <c:pt idx="3">
                  <c:v>0.11229809854835412</c:v>
                </c:pt>
              </c:numCache>
            </c:numRef>
          </c:val>
          <c:extLst>
            <c:ext xmlns:c16="http://schemas.microsoft.com/office/drawing/2014/chart" uri="{C3380CC4-5D6E-409C-BE32-E72D297353CC}">
              <c16:uniqueId val="{00000008-5A07-45CF-A56D-9BCC778B988C}"/>
            </c:ext>
          </c:extLst>
        </c:ser>
        <c:dLbls>
          <c:showLegendKey val="0"/>
          <c:showVal val="0"/>
          <c:showCatName val="0"/>
          <c:showSerName val="0"/>
          <c:showPercent val="0"/>
          <c:showBubbleSize val="0"/>
          <c:showLeaderLines val="1"/>
        </c:dLbls>
        <c:firstSliceAng val="133"/>
        <c:holeSize val="75"/>
      </c:doughnutChart>
      <c:spPr>
        <a:noFill/>
        <a:ln>
          <a:noFill/>
        </a:ln>
        <a:effectLst/>
      </c:spPr>
    </c:plotArea>
    <c:legend>
      <c:legendPos val="t"/>
      <c:layout>
        <c:manualLayout>
          <c:xMode val="edge"/>
          <c:yMode val="edge"/>
          <c:x val="4.2820293200435199E-2"/>
          <c:y val="0.16339641728232449"/>
          <c:w val="0.92916891268473845"/>
          <c:h val="0.22548389374303374"/>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300" b="1" i="0" u="none" strike="noStrike" kern="1200" cap="none" spc="0" normalizeH="0" baseline="0">
              <a:solidFill>
                <a:schemeClr val="tx1">
                  <a:lumMod val="65000"/>
                  <a:lumOff val="35000"/>
                </a:schemeClr>
              </a:solidFill>
              <a:latin typeface="+mn-lt"/>
              <a:ea typeface="+mj-ea"/>
              <a:cs typeface="+mj-cs"/>
            </a:defRPr>
          </a:pPr>
          <a:endParaRPr lang="sr-Latn-RS"/>
        </a:p>
      </c:txPr>
    </c:title>
    <c:autoTitleDeleted val="0"/>
    <c:plotArea>
      <c:layout>
        <c:manualLayout>
          <c:layoutTarget val="inner"/>
          <c:xMode val="edge"/>
          <c:yMode val="edge"/>
          <c:x val="0.15465502145300508"/>
          <c:y val="0.22677428699339003"/>
          <c:w val="0.8453448798352261"/>
          <c:h val="0.6250410379304594"/>
        </c:manualLayout>
      </c:layout>
      <c:lineChart>
        <c:grouping val="stacked"/>
        <c:varyColors val="0"/>
        <c:ser>
          <c:idx val="0"/>
          <c:order val="0"/>
          <c:tx>
            <c:strRef>
              <c:f>tečajevi!$C$18</c:f>
              <c:strCache>
                <c:ptCount val="1"/>
                <c:pt idx="0">
                  <c:v>EUR</c:v>
                </c:pt>
              </c:strCache>
            </c:strRef>
          </c:tx>
          <c:spPr>
            <a:ln w="22225" cap="rnd">
              <a:solidFill>
                <a:srgbClr val="5B9BD5"/>
              </a:solidFill>
              <a:round/>
            </a:ln>
            <a:effectLst/>
          </c:spPr>
          <c:marker>
            <c:symbol val="circle"/>
            <c:size val="6"/>
            <c:spPr>
              <a:solidFill>
                <a:srgbClr val="5B9BD5"/>
              </a:solidFill>
              <a:ln w="15875">
                <a:solidFill>
                  <a:srgbClr val="5B9BD5"/>
                </a:solidFill>
                <a:round/>
              </a:ln>
              <a:effectLst/>
            </c:spPr>
          </c:marker>
          <c:dLbls>
            <c:dLbl>
              <c:idx val="0"/>
              <c:layout>
                <c:manualLayout>
                  <c:x val="-9.9199999999999997E-2"/>
                  <c:y val="-5.06282459373429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79-4E50-A419-7F49E1753257}"/>
                </c:ext>
              </c:extLst>
            </c:dLbl>
            <c:dLbl>
              <c:idx val="1"/>
              <c:layout>
                <c:manualLayout>
                  <c:x val="-7.723921568627462E-2"/>
                  <c:y val="5.47415615601241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79-4E50-A419-7F49E1753257}"/>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tečajevi!$D$17:$F$17</c:f>
              <c:strCache>
                <c:ptCount val="2"/>
                <c:pt idx="0">
                  <c:v>2017.</c:v>
                </c:pt>
                <c:pt idx="1">
                  <c:v>2018.</c:v>
                </c:pt>
              </c:strCache>
            </c:strRef>
          </c:cat>
          <c:val>
            <c:numRef>
              <c:f>tečajevi!$D$18:$F$18</c:f>
              <c:numCache>
                <c:formatCode>#,##0.000000</c:formatCode>
                <c:ptCount val="2"/>
                <c:pt idx="0">
                  <c:v>7.5136479999999999</c:v>
                </c:pt>
                <c:pt idx="1">
                  <c:v>7.4175750000000003</c:v>
                </c:pt>
              </c:numCache>
            </c:numRef>
          </c:val>
          <c:smooth val="0"/>
          <c:extLst>
            <c:ext xmlns:c16="http://schemas.microsoft.com/office/drawing/2014/chart" uri="{C3380CC4-5D6E-409C-BE32-E72D297353CC}">
              <c16:uniqueId val="{00000002-FF79-4E50-A419-7F49E1753257}"/>
            </c:ext>
          </c:extLst>
        </c:ser>
        <c:dLbls>
          <c:showLegendKey val="0"/>
          <c:showVal val="0"/>
          <c:showCatName val="0"/>
          <c:showSerName val="0"/>
          <c:showPercent val="0"/>
          <c:showBubbleSize val="0"/>
        </c:dLbls>
        <c:marker val="1"/>
        <c:smooth val="0"/>
        <c:axId val="669065144"/>
        <c:axId val="669069064"/>
      </c:lineChart>
      <c:catAx>
        <c:axId val="66906514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sr-Latn-RS"/>
          </a:p>
        </c:txPr>
        <c:crossAx val="669069064"/>
        <c:crosses val="autoZero"/>
        <c:auto val="1"/>
        <c:lblAlgn val="ctr"/>
        <c:lblOffset val="100"/>
        <c:noMultiLvlLbl val="0"/>
      </c:catAx>
      <c:valAx>
        <c:axId val="669069064"/>
        <c:scaling>
          <c:orientation val="minMax"/>
          <c:max val="7.55"/>
          <c:min val="7.35"/>
        </c:scaling>
        <c:delete val="0"/>
        <c:axPos val="l"/>
        <c:majorGridlines>
          <c:spPr>
            <a:ln w="9525" cap="flat" cmpd="sng" algn="ctr">
              <a:solidFill>
                <a:schemeClr val="dk1">
                  <a:lumMod val="15000"/>
                  <a:lumOff val="85000"/>
                  <a:alpha val="54000"/>
                </a:schemeClr>
              </a:solidFill>
              <a:round/>
            </a:ln>
            <a:effectLst/>
          </c:spPr>
        </c:majorGridlines>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sr-Latn-RS"/>
          </a:p>
        </c:txPr>
        <c:crossAx val="669065144"/>
        <c:crosses val="autoZero"/>
        <c:crossBetween val="between"/>
        <c:majorUnit val="5.000000000000001E-2"/>
      </c:valAx>
      <c:spPr>
        <a:solidFill>
          <a:srgbClr val="F8F8F8"/>
        </a:solidFill>
        <a:ln>
          <a:noFill/>
        </a:ln>
        <a:effectLst/>
      </c:spPr>
    </c:plotArea>
    <c:plotVisOnly val="1"/>
    <c:dispBlanksAs val="gap"/>
    <c:showDLblsOverMax val="0"/>
  </c:chart>
  <c:spPr>
    <a:solidFill>
      <a:schemeClr val="lt1"/>
    </a:solidFill>
    <a:ln w="9525" cap="flat" cmpd="sng" algn="ctr">
      <a:solidFill>
        <a:schemeClr val="bg1"/>
      </a:solidFill>
      <a:round/>
    </a:ln>
    <a:effectLst/>
  </c:spPr>
  <c:txPr>
    <a:bodyPr/>
    <a:lstStyle/>
    <a:p>
      <a:pPr>
        <a:defRPr sz="1300" b="1">
          <a:solidFill>
            <a:sysClr val="windowText" lastClr="000000"/>
          </a:solidFill>
        </a:defRPr>
      </a:pPr>
      <a:endParaRPr lang="sr-Latn-R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all" spc="120" normalizeH="0" baseline="0">
                <a:solidFill>
                  <a:schemeClr val="tx1">
                    <a:lumMod val="65000"/>
                    <a:lumOff val="35000"/>
                  </a:schemeClr>
                </a:solidFill>
                <a:latin typeface="+mn-lt"/>
                <a:ea typeface="+mn-ea"/>
                <a:cs typeface="+mn-cs"/>
              </a:defRPr>
            </a:pPr>
            <a:r>
              <a:rPr lang="hr-HR" sz="1400" b="0" i="0">
                <a:effectLst/>
              </a:rPr>
              <a:t>Struktura odobrenih sredstava prema namjeni 2014. – 2018.</a:t>
            </a:r>
          </a:p>
        </c:rich>
      </c:tx>
      <c:overlay val="0"/>
      <c:spPr>
        <a:noFill/>
        <a:ln>
          <a:noFill/>
        </a:ln>
        <a:effectLst/>
      </c:spPr>
      <c:txPr>
        <a:bodyPr rot="0" spcFirstLastPara="1" vertOverflow="ellipsis" vert="horz" wrap="square" anchor="ctr" anchorCtr="1"/>
        <a:lstStyle/>
        <a:p>
          <a:pPr>
            <a:defRPr sz="1400" b="0" i="0" u="none" strike="noStrike" kern="1200" cap="all" spc="120" normalizeH="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stacked"/>
        <c:varyColors val="0"/>
        <c:ser>
          <c:idx val="0"/>
          <c:order val="0"/>
          <c:tx>
            <c:strRef>
              <c:f>Sheet1!$B$1</c:f>
              <c:strCache>
                <c:ptCount val="1"/>
                <c:pt idx="0">
                  <c:v>Obrtna sredstva</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Sheet1!$A$2:$A$6</c:f>
              <c:strCache>
                <c:ptCount val="5"/>
                <c:pt idx="0">
                  <c:v>2014.</c:v>
                </c:pt>
                <c:pt idx="1">
                  <c:v>2015.</c:v>
                </c:pt>
                <c:pt idx="2">
                  <c:v>2016.</c:v>
                </c:pt>
                <c:pt idx="3">
                  <c:v>2017.</c:v>
                </c:pt>
                <c:pt idx="4">
                  <c:v>2018.</c:v>
                </c:pt>
              </c:strCache>
            </c:strRef>
          </c:cat>
          <c:val>
            <c:numRef>
              <c:f>Sheet1!$B$2:$B$6</c:f>
              <c:numCache>
                <c:formatCode>0%</c:formatCode>
                <c:ptCount val="5"/>
                <c:pt idx="0">
                  <c:v>0.33</c:v>
                </c:pt>
                <c:pt idx="1">
                  <c:v>0.18</c:v>
                </c:pt>
                <c:pt idx="2">
                  <c:v>0.25</c:v>
                </c:pt>
                <c:pt idx="3">
                  <c:v>0.24</c:v>
                </c:pt>
                <c:pt idx="4">
                  <c:v>0.14000000000000001</c:v>
                </c:pt>
              </c:numCache>
            </c:numRef>
          </c:val>
          <c:extLst>
            <c:ext xmlns:c16="http://schemas.microsoft.com/office/drawing/2014/chart" uri="{C3380CC4-5D6E-409C-BE32-E72D297353CC}">
              <c16:uniqueId val="{00000000-3F54-47F1-8F0D-EE33B65AFC1F}"/>
            </c:ext>
          </c:extLst>
        </c:ser>
        <c:ser>
          <c:idx val="1"/>
          <c:order val="1"/>
          <c:tx>
            <c:strRef>
              <c:f>Sheet1!$C$1</c:f>
              <c:strCache>
                <c:ptCount val="1"/>
                <c:pt idx="0">
                  <c:v>Investicije</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Sheet1!$A$2:$A$6</c:f>
              <c:strCache>
                <c:ptCount val="5"/>
                <c:pt idx="0">
                  <c:v>2014.</c:v>
                </c:pt>
                <c:pt idx="1">
                  <c:v>2015.</c:v>
                </c:pt>
                <c:pt idx="2">
                  <c:v>2016.</c:v>
                </c:pt>
                <c:pt idx="3">
                  <c:v>2017.</c:v>
                </c:pt>
                <c:pt idx="4">
                  <c:v>2018.</c:v>
                </c:pt>
              </c:strCache>
            </c:strRef>
          </c:cat>
          <c:val>
            <c:numRef>
              <c:f>Sheet1!$C$2:$C$6</c:f>
              <c:numCache>
                <c:formatCode>0%</c:formatCode>
                <c:ptCount val="5"/>
                <c:pt idx="0">
                  <c:v>0.67</c:v>
                </c:pt>
                <c:pt idx="1">
                  <c:v>0.82</c:v>
                </c:pt>
                <c:pt idx="2">
                  <c:v>0.75</c:v>
                </c:pt>
                <c:pt idx="3">
                  <c:v>0.76</c:v>
                </c:pt>
                <c:pt idx="4">
                  <c:v>0.86</c:v>
                </c:pt>
              </c:numCache>
            </c:numRef>
          </c:val>
          <c:extLst>
            <c:ext xmlns:c16="http://schemas.microsoft.com/office/drawing/2014/chart" uri="{C3380CC4-5D6E-409C-BE32-E72D297353CC}">
              <c16:uniqueId val="{00000001-3F54-47F1-8F0D-EE33B65AFC1F}"/>
            </c:ext>
          </c:extLst>
        </c:ser>
        <c:dLbls>
          <c:dLblPos val="ctr"/>
          <c:showLegendKey val="0"/>
          <c:showVal val="1"/>
          <c:showCatName val="0"/>
          <c:showSerName val="0"/>
          <c:showPercent val="0"/>
          <c:showBubbleSize val="0"/>
        </c:dLbls>
        <c:gapWidth val="79"/>
        <c:overlap val="100"/>
        <c:axId val="669051032"/>
        <c:axId val="669054168"/>
      </c:barChart>
      <c:catAx>
        <c:axId val="669051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0" i="0" u="none" strike="noStrike" kern="1200" cap="all" spc="120" normalizeH="0" baseline="0">
                <a:solidFill>
                  <a:schemeClr val="tx1">
                    <a:lumMod val="65000"/>
                    <a:lumOff val="35000"/>
                  </a:schemeClr>
                </a:solidFill>
                <a:latin typeface="+mn-lt"/>
                <a:ea typeface="+mn-ea"/>
                <a:cs typeface="+mn-cs"/>
              </a:defRPr>
            </a:pPr>
            <a:endParaRPr lang="sr-Latn-RS"/>
          </a:p>
        </c:txPr>
        <c:crossAx val="669054168"/>
        <c:crosses val="autoZero"/>
        <c:auto val="1"/>
        <c:lblAlgn val="ctr"/>
        <c:lblOffset val="100"/>
        <c:noMultiLvlLbl val="0"/>
      </c:catAx>
      <c:valAx>
        <c:axId val="669054168"/>
        <c:scaling>
          <c:orientation val="minMax"/>
        </c:scaling>
        <c:delete val="1"/>
        <c:axPos val="l"/>
        <c:numFmt formatCode="0%" sourceLinked="1"/>
        <c:majorTickMark val="none"/>
        <c:minorTickMark val="none"/>
        <c:tickLblPos val="nextTo"/>
        <c:crossAx val="669051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300" b="1" i="0" u="none" strike="noStrike" kern="1200" cap="none" spc="0" normalizeH="0" baseline="0">
              <a:solidFill>
                <a:schemeClr val="tx1">
                  <a:lumMod val="65000"/>
                  <a:lumOff val="35000"/>
                </a:schemeClr>
              </a:solidFill>
              <a:latin typeface="+mn-lt"/>
              <a:ea typeface="+mj-ea"/>
              <a:cs typeface="+mj-cs"/>
            </a:defRPr>
          </a:pPr>
          <a:endParaRPr lang="sr-Latn-RS"/>
        </a:p>
      </c:txPr>
    </c:title>
    <c:autoTitleDeleted val="0"/>
    <c:plotArea>
      <c:layout>
        <c:manualLayout>
          <c:layoutTarget val="inner"/>
          <c:xMode val="edge"/>
          <c:yMode val="edge"/>
          <c:x val="0.14869949943259744"/>
          <c:y val="0.22453190424775499"/>
          <c:w val="0.82237727583485043"/>
          <c:h val="0.62745283929809781"/>
        </c:manualLayout>
      </c:layout>
      <c:lineChart>
        <c:grouping val="stacked"/>
        <c:varyColors val="0"/>
        <c:ser>
          <c:idx val="0"/>
          <c:order val="0"/>
          <c:tx>
            <c:strRef>
              <c:f>tečajevi!$C$19</c:f>
              <c:strCache>
                <c:ptCount val="1"/>
                <c:pt idx="0">
                  <c:v>USD</c:v>
                </c:pt>
              </c:strCache>
            </c:strRef>
          </c:tx>
          <c:spPr>
            <a:ln w="22225" cap="rnd">
              <a:solidFill>
                <a:srgbClr val="0070C0"/>
              </a:solidFill>
              <a:round/>
            </a:ln>
            <a:effectLst/>
          </c:spPr>
          <c:marker>
            <c:symbol val="circle"/>
            <c:size val="6"/>
            <c:spPr>
              <a:solidFill>
                <a:srgbClr val="0070C0"/>
              </a:solidFill>
              <a:ln w="15875">
                <a:solidFill>
                  <a:srgbClr val="0070C0"/>
                </a:solidFill>
                <a:round/>
              </a:ln>
              <a:effectLst/>
            </c:spPr>
          </c:marker>
          <c:dPt>
            <c:idx val="1"/>
            <c:marker>
              <c:symbol val="circle"/>
              <c:size val="6"/>
              <c:spPr>
                <a:solidFill>
                  <a:srgbClr val="5B9BD5"/>
                </a:solidFill>
                <a:ln w="15875">
                  <a:solidFill>
                    <a:srgbClr val="5B9BD5"/>
                  </a:solidFill>
                  <a:round/>
                </a:ln>
                <a:effectLst/>
              </c:spPr>
            </c:marker>
            <c:bubble3D val="0"/>
            <c:spPr>
              <a:ln w="22225" cap="rnd">
                <a:solidFill>
                  <a:srgbClr val="5B9BD5"/>
                </a:solidFill>
                <a:round/>
              </a:ln>
              <a:effectLst/>
            </c:spPr>
            <c:extLst>
              <c:ext xmlns:c16="http://schemas.microsoft.com/office/drawing/2014/chart" uri="{C3380CC4-5D6E-409C-BE32-E72D297353CC}">
                <c16:uniqueId val="{00000001-D725-4463-B5A2-A33D17CFCC59}"/>
              </c:ext>
            </c:extLst>
          </c:dPt>
          <c:dLbls>
            <c:dLbl>
              <c:idx val="0"/>
              <c:layout>
                <c:manualLayout>
                  <c:x val="-0.13720176556179814"/>
                  <c:y val="7.46793774524002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25-4463-B5A2-A33D17CFCC59}"/>
                </c:ext>
              </c:extLst>
            </c:dLbl>
            <c:dLbl>
              <c:idx val="1"/>
              <c:layout>
                <c:manualLayout>
                  <c:x val="-8.1322751322751421E-2"/>
                  <c:y val="6.308020008137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25-4463-B5A2-A33D17CFCC5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65000"/>
                        <a:lumOff val="3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tečajevi!$D$17:$F$17</c:f>
              <c:strCache>
                <c:ptCount val="2"/>
                <c:pt idx="0">
                  <c:v>2017.</c:v>
                </c:pt>
                <c:pt idx="1">
                  <c:v>2018.</c:v>
                </c:pt>
              </c:strCache>
            </c:strRef>
          </c:cat>
          <c:val>
            <c:numRef>
              <c:f>tečajevi!$D$19:$F$19</c:f>
              <c:numCache>
                <c:formatCode>#,##0.000000</c:formatCode>
                <c:ptCount val="2"/>
                <c:pt idx="0">
                  <c:v>6.2697329999999996</c:v>
                </c:pt>
                <c:pt idx="1">
                  <c:v>6.4691919999999996</c:v>
                </c:pt>
              </c:numCache>
            </c:numRef>
          </c:val>
          <c:smooth val="0"/>
          <c:extLst>
            <c:ext xmlns:c16="http://schemas.microsoft.com/office/drawing/2014/chart" uri="{C3380CC4-5D6E-409C-BE32-E72D297353CC}">
              <c16:uniqueId val="{00000003-D725-4463-B5A2-A33D17CFCC59}"/>
            </c:ext>
          </c:extLst>
        </c:ser>
        <c:dLbls>
          <c:showLegendKey val="0"/>
          <c:showVal val="0"/>
          <c:showCatName val="0"/>
          <c:showSerName val="0"/>
          <c:showPercent val="0"/>
          <c:showBubbleSize val="0"/>
        </c:dLbls>
        <c:marker val="1"/>
        <c:smooth val="0"/>
        <c:axId val="669072200"/>
        <c:axId val="669070240"/>
      </c:lineChart>
      <c:catAx>
        <c:axId val="66907220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sr-Latn-RS"/>
          </a:p>
        </c:txPr>
        <c:crossAx val="669070240"/>
        <c:crosses val="autoZero"/>
        <c:auto val="1"/>
        <c:lblAlgn val="ctr"/>
        <c:lblOffset val="100"/>
        <c:noMultiLvlLbl val="0"/>
      </c:catAx>
      <c:valAx>
        <c:axId val="669070240"/>
        <c:scaling>
          <c:orientation val="minMax"/>
          <c:max val="6.5"/>
          <c:min val="6.2"/>
        </c:scaling>
        <c:delete val="0"/>
        <c:axPos val="l"/>
        <c:majorGridlines>
          <c:spPr>
            <a:ln w="9525" cap="flat" cmpd="sng" algn="ctr">
              <a:solidFill>
                <a:schemeClr val="dk1">
                  <a:lumMod val="15000"/>
                  <a:lumOff val="85000"/>
                  <a:alpha val="54000"/>
                </a:schemeClr>
              </a:solidFill>
              <a:round/>
            </a:ln>
            <a:effectLst/>
          </c:spPr>
        </c:majorGridlines>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sr-Latn-RS"/>
          </a:p>
        </c:txPr>
        <c:crossAx val="669072200"/>
        <c:crosses val="autoZero"/>
        <c:crossBetween val="between"/>
        <c:majorUnit val="5.000000000000001E-2"/>
        <c:minorUnit val="1.0000000000000002E-2"/>
      </c:valAx>
      <c:spPr>
        <a:solidFill>
          <a:srgbClr val="F8F8F8"/>
        </a:solidFill>
        <a:ln>
          <a:noFill/>
        </a:ln>
        <a:effectLst/>
      </c:spPr>
    </c:plotArea>
    <c:plotVisOnly val="1"/>
    <c:dispBlanksAs val="gap"/>
    <c:showDLblsOverMax val="0"/>
  </c:chart>
  <c:spPr>
    <a:solidFill>
      <a:schemeClr val="lt1"/>
    </a:solidFill>
    <a:ln w="9525" cap="flat" cmpd="sng" algn="ctr">
      <a:solidFill>
        <a:schemeClr val="bg1"/>
      </a:solidFill>
      <a:round/>
    </a:ln>
    <a:effectLst/>
  </c:spPr>
  <c:txPr>
    <a:bodyPr/>
    <a:lstStyle/>
    <a:p>
      <a:pPr>
        <a:defRPr sz="1300" b="1">
          <a:solidFill>
            <a:sysClr val="windowText" lastClr="000000"/>
          </a:solidFill>
        </a:defRPr>
      </a:pPr>
      <a:endParaRPr lang="sr-Latn-RS"/>
    </a:p>
  </c:txPr>
  <c:externalData r:id="rId4">
    <c:autoUpdate val="0"/>
  </c:externalData>
  <c:userShapes r:id="rId5"/>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UKUPNI PORTFELJ</a:t>
            </a:r>
          </a:p>
          <a:p>
            <a:pPr>
              <a:defRPr/>
            </a:pPr>
            <a:r>
              <a:rPr lang="hr-HR" sz="1200" dirty="0">
                <a:solidFill>
                  <a:schemeClr val="tx1">
                    <a:lumMod val="65000"/>
                    <a:lumOff val="35000"/>
                  </a:schemeClr>
                </a:solidFill>
                <a:latin typeface="+mj-lt"/>
              </a:rPr>
              <a:t>31. prosinca 2017. *</a:t>
            </a:r>
            <a:endParaRPr lang="en-US" sz="1200" dirty="0">
              <a:solidFill>
                <a:schemeClr val="tx1">
                  <a:lumMod val="65000"/>
                  <a:lumOff val="35000"/>
                </a:schemeClr>
              </a:solidFill>
              <a:latin typeface="+mj-lt"/>
            </a:endParaRPr>
          </a:p>
        </c:rich>
      </c:tx>
      <c:layout>
        <c:manualLayout>
          <c:xMode val="edge"/>
          <c:yMode val="edge"/>
          <c:x val="0.2347903863489024"/>
          <c:y val="2.9210410406266207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587116558883748"/>
          <c:y val="0.35418006602634639"/>
          <c:w val="0.65241334523906169"/>
          <c:h val="0.64400367525294078"/>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ED8C-46B1-8AEA-E90F9C443F62}"/>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ED8C-46B1-8AEA-E90F9C443F62}"/>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ED8C-46B1-8AEA-E90F9C443F62}"/>
              </c:ext>
            </c:extLst>
          </c:dPt>
          <c:dLbls>
            <c:dLbl>
              <c:idx val="0"/>
              <c:layout>
                <c:manualLayout>
                  <c:x val="0.17033746583186521"/>
                  <c:y val="2.5559109105482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8C-46B1-8AEA-E90F9C443F62}"/>
                </c:ext>
              </c:extLst>
            </c:dLbl>
            <c:dLbl>
              <c:idx val="1"/>
              <c:layout>
                <c:manualLayout>
                  <c:x val="-0.1681431573630616"/>
                  <c:y val="-4.68510013977029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8C-46B1-8AEA-E90F9C443F62}"/>
                </c:ext>
              </c:extLst>
            </c:dLbl>
            <c:dLbl>
              <c:idx val="2"/>
              <c:layout>
                <c:manualLayout>
                  <c:x val="-1.6929224053178919E-2"/>
                  <c:y val="-0.106789363567701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8C-46B1-8AEA-E90F9C443F62}"/>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'novi portfelj'!$B$40:$B$42</c:f>
              <c:strCache>
                <c:ptCount val="3"/>
                <c:pt idx="0">
                  <c:v>A</c:v>
                </c:pt>
                <c:pt idx="1">
                  <c:v>B</c:v>
                </c:pt>
                <c:pt idx="2">
                  <c:v>C</c:v>
                </c:pt>
              </c:strCache>
            </c:strRef>
          </c:cat>
          <c:val>
            <c:numRef>
              <c:f>'novi portfelj'!$D$40:$D$42</c:f>
              <c:numCache>
                <c:formatCode>0.00%</c:formatCode>
                <c:ptCount val="3"/>
                <c:pt idx="0">
                  <c:v>0.87405741629185285</c:v>
                </c:pt>
                <c:pt idx="1">
                  <c:v>0.10066082053355822</c:v>
                </c:pt>
                <c:pt idx="2">
                  <c:v>2.5181763174588957E-2</c:v>
                </c:pt>
              </c:numCache>
            </c:numRef>
          </c:val>
          <c:extLst>
            <c:ext xmlns:c16="http://schemas.microsoft.com/office/drawing/2014/chart" uri="{C3380CC4-5D6E-409C-BE32-E72D297353CC}">
              <c16:uniqueId val="{00000006-ED8C-46B1-8AEA-E90F9C443F62}"/>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t"/>
      <c:layout>
        <c:manualLayout>
          <c:xMode val="edge"/>
          <c:yMode val="edge"/>
          <c:x val="0.32639806622110379"/>
          <c:y val="0.19629447608058495"/>
          <c:w val="0.28608436456236941"/>
          <c:h val="7.927435130463582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UKUPNI PORTFELJ</a:t>
            </a:r>
          </a:p>
          <a:p>
            <a:pPr>
              <a:defRPr/>
            </a:pPr>
            <a:r>
              <a:rPr lang="hr-HR" sz="1200" dirty="0">
                <a:solidFill>
                  <a:schemeClr val="tx1">
                    <a:lumMod val="65000"/>
                    <a:lumOff val="35000"/>
                  </a:schemeClr>
                </a:solidFill>
                <a:latin typeface="+mj-lt"/>
              </a:rPr>
              <a:t>31. prosinca 2018. </a:t>
            </a:r>
            <a:endParaRPr lang="en-US" sz="1200" dirty="0">
              <a:solidFill>
                <a:schemeClr val="tx1">
                  <a:lumMod val="65000"/>
                  <a:lumOff val="35000"/>
                </a:schemeClr>
              </a:solidFill>
              <a:latin typeface="+mj-lt"/>
            </a:endParaRPr>
          </a:p>
        </c:rich>
      </c:tx>
      <c:layout>
        <c:manualLayout>
          <c:xMode val="edge"/>
          <c:yMode val="edge"/>
          <c:x val="0.32148185244314581"/>
          <c:y val="2.6982125877413221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4952543783961378"/>
          <c:y val="0.36107828787344592"/>
          <c:w val="0.57227300203030629"/>
          <c:h val="0.63892171212655413"/>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E33D-46DF-AD4B-07E1B776BFCA}"/>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E33D-46DF-AD4B-07E1B776BFCA}"/>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E33D-46DF-AD4B-07E1B776BFCA}"/>
              </c:ext>
            </c:extLst>
          </c:dPt>
          <c:dPt>
            <c:idx val="3"/>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7-E33D-46DF-AD4B-07E1B776BFCA}"/>
              </c:ext>
            </c:extLst>
          </c:dPt>
          <c:dPt>
            <c:idx val="4"/>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9-E33D-46DF-AD4B-07E1B776BFCA}"/>
              </c:ext>
            </c:extLst>
          </c:dPt>
          <c:dLbls>
            <c:dLbl>
              <c:idx val="0"/>
              <c:layout>
                <c:manualLayout>
                  <c:x val="0.14136546184738955"/>
                  <c:y val="6.09319717962525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3D-46DF-AD4B-07E1B776BFCA}"/>
                </c:ext>
              </c:extLst>
            </c:dLbl>
            <c:dLbl>
              <c:idx val="1"/>
              <c:layout>
                <c:manualLayout>
                  <c:x val="-0.12592596264974124"/>
                  <c:y val="0.102893518518518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3D-46DF-AD4B-07E1B776BFCA}"/>
                </c:ext>
              </c:extLst>
            </c:dLbl>
            <c:dLbl>
              <c:idx val="2"/>
              <c:layout>
                <c:manualLayout>
                  <c:x val="-0.1555556009202686"/>
                  <c:y val="-7.6435185185185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3D-46DF-AD4B-07E1B776BFCA}"/>
                </c:ext>
              </c:extLst>
            </c:dLbl>
            <c:dLbl>
              <c:idx val="3"/>
              <c:layout>
                <c:manualLayout>
                  <c:x val="-0.12962966743355722"/>
                  <c:y val="-0.10583333333333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33D-46DF-AD4B-07E1B776BFCA}"/>
                </c:ext>
              </c:extLst>
            </c:dLbl>
            <c:dLbl>
              <c:idx val="4"/>
              <c:layout>
                <c:manualLayout>
                  <c:x val="0.23703710616421877"/>
                  <c:y val="-8.23148148148148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33D-46DF-AD4B-07E1B776BFCA}"/>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'novi portfelj'!$B$47:$B$51</c:f>
              <c:strCache>
                <c:ptCount val="5"/>
                <c:pt idx="0">
                  <c:v>Stage 1</c:v>
                </c:pt>
                <c:pt idx="1">
                  <c:v>Stage 2</c:v>
                </c:pt>
                <c:pt idx="2">
                  <c:v>Stage 3</c:v>
                </c:pt>
                <c:pt idx="3">
                  <c:v>POCI</c:v>
                </c:pt>
                <c:pt idx="4">
                  <c:v>Bez Stagea</c:v>
                </c:pt>
              </c:strCache>
            </c:strRef>
          </c:cat>
          <c:val>
            <c:numRef>
              <c:f>'novi portfelj'!$D$47:$D$51</c:f>
              <c:numCache>
                <c:formatCode>0.00%</c:formatCode>
                <c:ptCount val="5"/>
                <c:pt idx="0">
                  <c:v>0.74565291386748467</c:v>
                </c:pt>
                <c:pt idx="1">
                  <c:v>6.9226275187052752E-2</c:v>
                </c:pt>
                <c:pt idx="2">
                  <c:v>0.17606836222439182</c:v>
                </c:pt>
                <c:pt idx="3">
                  <c:v>8.8951990723881297E-3</c:v>
                </c:pt>
                <c:pt idx="4">
                  <c:v>5.7249648682643686E-5</c:v>
                </c:pt>
              </c:numCache>
            </c:numRef>
          </c:val>
          <c:extLst>
            <c:ext xmlns:c16="http://schemas.microsoft.com/office/drawing/2014/chart" uri="{C3380CC4-5D6E-409C-BE32-E72D297353CC}">
              <c16:uniqueId val="{0000000A-E33D-46DF-AD4B-07E1B776BFCA}"/>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t"/>
      <c:layout>
        <c:manualLayout>
          <c:xMode val="edge"/>
          <c:yMode val="edge"/>
          <c:x val="3.4304041952220019E-2"/>
          <c:y val="0.19812462383857377"/>
          <c:w val="0.94405346779872279"/>
          <c:h val="5.686876084648003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300" b="1">
                <a:solidFill>
                  <a:schemeClr val="tx1">
                    <a:lumMod val="65000"/>
                    <a:lumOff val="35000"/>
                  </a:schemeClr>
                </a:solidFill>
                <a:latin typeface="+mj-lt"/>
              </a:rPr>
              <a:t>FVRDG</a:t>
            </a:r>
          </a:p>
          <a:p>
            <a:pPr>
              <a:defRPr/>
            </a:pPr>
            <a:r>
              <a:rPr lang="hr-HR" sz="1200" baseline="0">
                <a:solidFill>
                  <a:schemeClr val="tx1">
                    <a:lumMod val="65000"/>
                    <a:lumOff val="35000"/>
                  </a:schemeClr>
                </a:solidFill>
                <a:latin typeface="+mj-lt"/>
              </a:rPr>
              <a:t> </a:t>
            </a:r>
            <a:r>
              <a:rPr lang="hr-HR" sz="1200">
                <a:solidFill>
                  <a:schemeClr val="tx1">
                    <a:lumMod val="65000"/>
                    <a:lumOff val="35000"/>
                  </a:schemeClr>
                </a:solidFill>
                <a:latin typeface="+mj-lt"/>
              </a:rPr>
              <a:t>31. prosinca 2018.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7795075953557785"/>
          <c:y val="0.4123427526440851"/>
          <c:w val="0.64087800349697477"/>
          <c:h val="0.56088675860783677"/>
        </c:manualLayout>
      </c:layout>
      <c:doughnutChart>
        <c:varyColors val="1"/>
        <c:ser>
          <c:idx val="0"/>
          <c:order val="0"/>
          <c:dPt>
            <c:idx val="0"/>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1-2A26-491B-A852-A96C04A58593}"/>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2A26-491B-A852-A96C04A58593}"/>
              </c:ext>
            </c:extLst>
          </c:dPt>
          <c:dPt>
            <c:idx val="2"/>
            <c:bubble3D val="0"/>
            <c:spPr>
              <a:solidFill>
                <a:schemeClr val="bg1">
                  <a:lumMod val="50000"/>
                </a:schemeClr>
              </a:solidFill>
              <a:ln w="19050">
                <a:noFill/>
              </a:ln>
              <a:effectLst/>
            </c:spPr>
            <c:extLst>
              <c:ext xmlns:c16="http://schemas.microsoft.com/office/drawing/2014/chart" uri="{C3380CC4-5D6E-409C-BE32-E72D297353CC}">
                <c16:uniqueId val="{00000005-2A26-491B-A852-A96C04A5859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'FVIDG FVOSD'!$B$7:$B$9</c:f>
              <c:strCache>
                <c:ptCount val="3"/>
                <c:pt idx="0">
                  <c:v>Mezzanine krediti</c:v>
                </c:pt>
                <c:pt idx="1">
                  <c:v>Ulaganja u investicijske fondove</c:v>
                </c:pt>
                <c:pt idx="2">
                  <c:v>Vlasnički VP</c:v>
                </c:pt>
              </c:strCache>
            </c:strRef>
          </c:cat>
          <c:val>
            <c:numRef>
              <c:f>'FVIDG FVOSD'!$C$6:$C$9</c:f>
              <c:numCache>
                <c:formatCode>General</c:formatCode>
                <c:ptCount val="3"/>
              </c:numCache>
            </c:numRef>
          </c:val>
          <c:extLst>
            <c:ext xmlns:c16="http://schemas.microsoft.com/office/drawing/2014/chart" uri="{C3380CC4-5D6E-409C-BE32-E72D297353CC}">
              <c16:uniqueId val="{00000006-2A26-491B-A852-A96C04A58593}"/>
            </c:ext>
          </c:extLst>
        </c:ser>
        <c:ser>
          <c:idx val="1"/>
          <c:order val="1"/>
          <c:dPt>
            <c:idx val="0"/>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8-2A26-491B-A852-A96C04A58593}"/>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A-2A26-491B-A852-A96C04A58593}"/>
              </c:ext>
            </c:extLst>
          </c:dPt>
          <c:dPt>
            <c:idx val="2"/>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C-2A26-491B-A852-A96C04A58593}"/>
              </c:ext>
            </c:extLst>
          </c:dPt>
          <c:dLbls>
            <c:dLbl>
              <c:idx val="0"/>
              <c:layout>
                <c:manualLayout>
                  <c:x val="0.14143644768069505"/>
                  <c:y val="-8.700379151562317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A26-491B-A852-A96C04A58593}"/>
                </c:ext>
              </c:extLst>
            </c:dLbl>
            <c:dLbl>
              <c:idx val="1"/>
              <c:layout>
                <c:manualLayout>
                  <c:x val="-0.16616027319871948"/>
                  <c:y val="2.420142085052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A26-491B-A852-A96C04A58593}"/>
                </c:ext>
              </c:extLst>
            </c:dLbl>
            <c:dLbl>
              <c:idx val="2"/>
              <c:layout>
                <c:manualLayout>
                  <c:x val="6.8709691636427664E-2"/>
                  <c:y val="-9.37732433079354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A26-491B-A852-A96C04A58593}"/>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'FVIDG FVOSD'!$B$7:$B$9</c:f>
              <c:strCache>
                <c:ptCount val="3"/>
                <c:pt idx="0">
                  <c:v>Mezzanine krediti</c:v>
                </c:pt>
                <c:pt idx="1">
                  <c:v>Ulaganja u investicijske fondove</c:v>
                </c:pt>
                <c:pt idx="2">
                  <c:v>Vlasnički VP</c:v>
                </c:pt>
              </c:strCache>
            </c:strRef>
          </c:cat>
          <c:val>
            <c:numRef>
              <c:f>'FVIDG FVOSD'!$E$7:$E$9</c:f>
              <c:numCache>
                <c:formatCode>0.00%</c:formatCode>
                <c:ptCount val="3"/>
                <c:pt idx="0">
                  <c:v>6.1819270079170987E-3</c:v>
                </c:pt>
                <c:pt idx="1">
                  <c:v>0.9933313784941491</c:v>
                </c:pt>
                <c:pt idx="2">
                  <c:v>4.8669449793381557E-4</c:v>
                </c:pt>
              </c:numCache>
            </c:numRef>
          </c:val>
          <c:extLst>
            <c:ext xmlns:c16="http://schemas.microsoft.com/office/drawing/2014/chart" uri="{C3380CC4-5D6E-409C-BE32-E72D297353CC}">
              <c16:uniqueId val="{0000000D-2A26-491B-A852-A96C04A58593}"/>
            </c:ext>
          </c:extLst>
        </c:ser>
        <c:dLbls>
          <c:showLegendKey val="0"/>
          <c:showVal val="1"/>
          <c:showCatName val="0"/>
          <c:showSerName val="0"/>
          <c:showPercent val="0"/>
          <c:showBubbleSize val="0"/>
          <c:showLeaderLines val="1"/>
        </c:dLbls>
        <c:firstSliceAng val="51"/>
        <c:holeSize val="55"/>
      </c:doughnutChart>
      <c:spPr>
        <a:noFill/>
        <a:ln>
          <a:noFill/>
        </a:ln>
        <a:effectLst/>
      </c:spPr>
    </c:plotArea>
    <c:legend>
      <c:legendPos val="t"/>
      <c:layout>
        <c:manualLayout>
          <c:xMode val="edge"/>
          <c:yMode val="edge"/>
          <c:x val="0.11427321320731802"/>
          <c:y val="0.18655127428598056"/>
          <c:w val="0.72085647630904115"/>
          <c:h val="0.1848827280587980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300" b="1">
                <a:solidFill>
                  <a:schemeClr val="tx1">
                    <a:lumMod val="65000"/>
                    <a:lumOff val="35000"/>
                  </a:schemeClr>
                </a:solidFill>
                <a:latin typeface="+mj-lt"/>
              </a:rPr>
              <a:t>FVOSD</a:t>
            </a:r>
          </a:p>
          <a:p>
            <a:pPr>
              <a:defRPr/>
            </a:pPr>
            <a:r>
              <a:rPr lang="hr-HR" sz="1200">
                <a:latin typeface="+mj-lt"/>
              </a:rPr>
              <a:t> 31. prosinca 2018.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6217328158298825"/>
          <c:y val="0.41431911894888879"/>
          <c:w val="0.62410916150799123"/>
          <c:h val="0.54621092112006697"/>
        </c:manualLayout>
      </c:layout>
      <c:doughnutChart>
        <c:varyColors val="1"/>
        <c:ser>
          <c:idx val="1"/>
          <c:order val="1"/>
          <c:dPt>
            <c:idx val="0"/>
            <c:bubble3D val="0"/>
            <c:spPr>
              <a:solidFill>
                <a:srgbClr val="FF0000"/>
              </a:solidFill>
              <a:ln w="19050">
                <a:solidFill>
                  <a:schemeClr val="lt1"/>
                </a:solidFill>
              </a:ln>
              <a:effectLst/>
            </c:spPr>
            <c:extLst>
              <c:ext xmlns:c16="http://schemas.microsoft.com/office/drawing/2014/chart" uri="{C3380CC4-5D6E-409C-BE32-E72D297353CC}">
                <c16:uniqueId val="{00000001-C955-47FA-B562-9EA0D392AFEE}"/>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C955-47FA-B562-9EA0D392AFEE}"/>
              </c:ext>
            </c:extLst>
          </c:dPt>
          <c:dLbls>
            <c:dLbl>
              <c:idx val="0"/>
              <c:layout>
                <c:manualLayout>
                  <c:x val="0.34876335203161785"/>
                  <c:y val="-8.22614774417186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55-47FA-B562-9EA0D392AFEE}"/>
                </c:ext>
              </c:extLst>
            </c:dLbl>
            <c:dLbl>
              <c:idx val="1"/>
              <c:layout>
                <c:manualLayout>
                  <c:x val="2.2531684134579999E-3"/>
                  <c:y val="-7.48700138061408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55-47FA-B562-9EA0D392AFEE}"/>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'FVIDG FVOSD'!$B$12:$B$13</c:f>
              <c:strCache>
                <c:ptCount val="2"/>
                <c:pt idx="0">
                  <c:v>Dužnički VP</c:v>
                </c:pt>
                <c:pt idx="1">
                  <c:v>Vlasnički VP</c:v>
                </c:pt>
              </c:strCache>
            </c:strRef>
          </c:cat>
          <c:val>
            <c:numRef>
              <c:f>'FVIDG FVOSD'!$E$12:$E$13</c:f>
              <c:numCache>
                <c:formatCode>0.00%</c:formatCode>
                <c:ptCount val="2"/>
                <c:pt idx="0">
                  <c:v>0.99079214289602846</c:v>
                </c:pt>
                <c:pt idx="1">
                  <c:v>9.2078571039715309E-3</c:v>
                </c:pt>
              </c:numCache>
            </c:numRef>
          </c:val>
          <c:extLst>
            <c:ext xmlns:c16="http://schemas.microsoft.com/office/drawing/2014/chart" uri="{C3380CC4-5D6E-409C-BE32-E72D297353CC}">
              <c16:uniqueId val="{00000004-C955-47FA-B562-9EA0D392AFEE}"/>
            </c:ext>
          </c:extLst>
        </c:ser>
        <c:dLbls>
          <c:showLegendKey val="0"/>
          <c:showVal val="1"/>
          <c:showCatName val="0"/>
          <c:showSerName val="0"/>
          <c:showPercent val="0"/>
          <c:showBubbleSize val="0"/>
          <c:showLeaderLines val="1"/>
        </c:dLbls>
        <c:firstSliceAng val="0"/>
        <c:holeSize val="80"/>
        <c:extLst>
          <c:ext xmlns:c15="http://schemas.microsoft.com/office/drawing/2012/chart" uri="{02D57815-91ED-43cb-92C2-25804820EDAC}">
            <c15:filteredPieSeries>
              <c15: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6-C955-47FA-B562-9EA0D392AFE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8-C955-47FA-B562-9EA0D392AFE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'FVIDG FVOSD'!$B$12:$B$13</c15:sqref>
                        </c15:formulaRef>
                      </c:ext>
                    </c:extLst>
                    <c:strCache>
                      <c:ptCount val="2"/>
                      <c:pt idx="0">
                        <c:v>Dužnički VP</c:v>
                      </c:pt>
                      <c:pt idx="1">
                        <c:v>Vlasnički VP</c:v>
                      </c:pt>
                    </c:strCache>
                  </c:strRef>
                </c:cat>
                <c:val>
                  <c:numRef>
                    <c:extLst>
                      <c:ext uri="{02D57815-91ED-43cb-92C2-25804820EDAC}">
                        <c15:formulaRef>
                          <c15:sqref>'FVIDG FVOSD'!$C$12:$C$13</c15:sqref>
                        </c15:formulaRef>
                      </c:ext>
                    </c:extLst>
                    <c:numCache>
                      <c:formatCode>General</c:formatCode>
                      <c:ptCount val="2"/>
                    </c:numCache>
                  </c:numRef>
                </c:val>
                <c:extLst>
                  <c:ext xmlns:c16="http://schemas.microsoft.com/office/drawing/2014/chart" uri="{C3380CC4-5D6E-409C-BE32-E72D297353CC}">
                    <c16:uniqueId val="{00000009-C955-47FA-B562-9EA0D392AFEE}"/>
                  </c:ext>
                </c:extLst>
              </c15:ser>
            </c15:filteredPieSeries>
          </c:ext>
        </c:extLst>
      </c:doughnutChart>
      <c:spPr>
        <a:noFill/>
        <a:ln>
          <a:noFill/>
        </a:ln>
        <a:effectLst/>
      </c:spPr>
    </c:plotArea>
    <c:legend>
      <c:legendPos val="t"/>
      <c:layout>
        <c:manualLayout>
          <c:xMode val="edge"/>
          <c:yMode val="edge"/>
          <c:x val="0.3068552894211577"/>
          <c:y val="0.18441904453091224"/>
          <c:w val="0.30310046573519628"/>
          <c:h val="0.1128172287073065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UKUPNA IMOVINA</a:t>
            </a:r>
          </a:p>
          <a:p>
            <a:pPr>
              <a:defRPr sz="1200"/>
            </a:pPr>
            <a:r>
              <a:rPr lang="hr-HR" sz="1200" dirty="0">
                <a:solidFill>
                  <a:schemeClr val="bg2">
                    <a:lumMod val="50000"/>
                  </a:schemeClr>
                </a:solidFill>
                <a:latin typeface="+mj-lt"/>
              </a:rPr>
              <a:t>31. prosinca </a:t>
            </a:r>
            <a:r>
              <a:rPr lang="hr-HR" sz="1200" dirty="0">
                <a:solidFill>
                  <a:schemeClr val="tx1">
                    <a:lumMod val="65000"/>
                    <a:lumOff val="35000"/>
                  </a:schemeClr>
                </a:solidFill>
                <a:latin typeface="+mj-lt"/>
              </a:rPr>
              <a:t>201</a:t>
            </a:r>
            <a:r>
              <a:rPr lang="hr-HR" sz="1200" dirty="0">
                <a:solidFill>
                  <a:schemeClr val="bg2">
                    <a:lumMod val="50000"/>
                  </a:schemeClr>
                </a:solidFill>
                <a:latin typeface="+mj-lt"/>
              </a:rPr>
              <a:t>7.</a:t>
            </a:r>
            <a:r>
              <a:rPr lang="hr-HR" sz="1200" baseline="0" dirty="0">
                <a:solidFill>
                  <a:schemeClr val="bg2">
                    <a:lumMod val="50000"/>
                  </a:schemeClr>
                </a:solidFill>
                <a:latin typeface="+mj-lt"/>
              </a:rPr>
              <a:t> </a:t>
            </a:r>
            <a:endParaRPr lang="en-US" sz="1200" dirty="0">
              <a:solidFill>
                <a:schemeClr val="bg2">
                  <a:lumMod val="50000"/>
                </a:schemeClr>
              </a:solidFill>
              <a:latin typeface="+mj-lt"/>
            </a:endParaRPr>
          </a:p>
        </c:rich>
      </c:tx>
      <c:layout>
        <c:manualLayout>
          <c:xMode val="edge"/>
          <c:yMode val="edge"/>
          <c:x val="0.272471250372054"/>
          <c:y val="2.6649179569026619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5835556637894488"/>
          <c:y val="0.4716681348256313"/>
          <c:w val="0.7054107927230745"/>
          <c:h val="0.52833186517436859"/>
        </c:manualLayout>
      </c:layout>
      <c:doughnutChart>
        <c:varyColors val="1"/>
        <c:ser>
          <c:idx val="0"/>
          <c:order val="0"/>
          <c:tx>
            <c:strRef>
              <c:f>BILANCA_HBOR!$A$39:$A$45</c:f>
              <c:strCache>
                <c:ptCount val="7"/>
                <c:pt idx="0">
                  <c:v>Novčana sredstva i depoziti kod banaka</c:v>
                </c:pt>
                <c:pt idx="1">
                  <c:v>Ukupni krediti, neto</c:v>
                </c:pt>
                <c:pt idx="2">
                  <c:v>FVIDG</c:v>
                </c:pt>
                <c:pt idx="3">
                  <c:v>FVOSD</c:v>
                </c:pt>
                <c:pt idx="4">
                  <c:v>Imovina raspoloživa za prodaju</c:v>
                </c:pt>
                <c:pt idx="5">
                  <c:v>Ostala imovina*</c:v>
                </c:pt>
                <c:pt idx="6">
                  <c:v>UKUPNA IMOVINA</c:v>
                </c:pt>
              </c:strCache>
            </c:strRef>
          </c:tx>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77B8-4D8C-9949-C788B9D8AD4F}"/>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77B8-4D8C-9949-C788B9D8AD4F}"/>
              </c:ext>
            </c:extLst>
          </c:dPt>
          <c:dPt>
            <c:idx val="2"/>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5-77B8-4D8C-9949-C788B9D8AD4F}"/>
              </c:ext>
            </c:extLst>
          </c:dPt>
          <c:dPt>
            <c:idx val="3"/>
            <c:bubble3D val="0"/>
            <c:spPr>
              <a:solidFill>
                <a:srgbClr val="44546A">
                  <a:lumMod val="60000"/>
                  <a:lumOff val="40000"/>
                </a:srgbClr>
              </a:solidFill>
              <a:ln w="19050">
                <a:solidFill>
                  <a:schemeClr val="lt1"/>
                </a:solidFill>
              </a:ln>
              <a:effectLst/>
            </c:spPr>
            <c:extLst>
              <c:ext xmlns:c16="http://schemas.microsoft.com/office/drawing/2014/chart" uri="{C3380CC4-5D6E-409C-BE32-E72D297353CC}">
                <c16:uniqueId val="{00000007-77B8-4D8C-9949-C788B9D8AD4F}"/>
              </c:ext>
            </c:extLst>
          </c:dPt>
          <c:dPt>
            <c:idx val="4"/>
            <c:bubble3D val="0"/>
            <c:spPr>
              <a:solidFill>
                <a:srgbClr val="44546A">
                  <a:lumMod val="40000"/>
                  <a:lumOff val="60000"/>
                </a:srgbClr>
              </a:solidFill>
              <a:ln w="19050">
                <a:solidFill>
                  <a:schemeClr val="lt1"/>
                </a:solidFill>
              </a:ln>
              <a:effectLst/>
            </c:spPr>
            <c:extLst>
              <c:ext xmlns:c16="http://schemas.microsoft.com/office/drawing/2014/chart" uri="{C3380CC4-5D6E-409C-BE32-E72D297353CC}">
                <c16:uniqueId val="{00000009-77B8-4D8C-9949-C788B9D8AD4F}"/>
              </c:ext>
            </c:extLst>
          </c:dPt>
          <c:dLbls>
            <c:dLbl>
              <c:idx val="0"/>
              <c:layout>
                <c:manualLayout>
                  <c:x val="-0.14682198230375842"/>
                  <c:y val="-8.3129007608226266E-2"/>
                </c:manualLayout>
              </c:layout>
              <c:showLegendKey val="0"/>
              <c:showVal val="1"/>
              <c:showCatName val="0"/>
              <c:showSerName val="0"/>
              <c:showPercent val="0"/>
              <c:showBubbleSize val="0"/>
              <c:extLst>
                <c:ext xmlns:c15="http://schemas.microsoft.com/office/drawing/2012/chart" uri="{CE6537A1-D6FC-4f65-9D91-7224C49458BB}">
                  <c15:layout>
                    <c:manualLayout>
                      <c:w val="0.16373406932380874"/>
                      <c:h val="7.4303797468354429E-2"/>
                    </c:manualLayout>
                  </c15:layout>
                </c:ext>
                <c:ext xmlns:c16="http://schemas.microsoft.com/office/drawing/2014/chart" uri="{C3380CC4-5D6E-409C-BE32-E72D297353CC}">
                  <c16:uniqueId val="{00000001-77B8-4D8C-9949-C788B9D8AD4F}"/>
                </c:ext>
              </c:extLst>
            </c:dLbl>
            <c:dLbl>
              <c:idx val="1"/>
              <c:layout>
                <c:manualLayout>
                  <c:x val="0.1147185467795906"/>
                  <c:y val="0.144913504720626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7B8-4D8C-9949-C788B9D8AD4F}"/>
                </c:ext>
              </c:extLst>
            </c:dLbl>
            <c:dLbl>
              <c:idx val="2"/>
              <c:layout>
                <c:manualLayout>
                  <c:x val="-0.1193609022556391"/>
                  <c:y val="7.20654993514915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7B8-4D8C-9949-C788B9D8AD4F}"/>
                </c:ext>
              </c:extLst>
            </c:dLbl>
            <c:dLbl>
              <c:idx val="3"/>
              <c:layout>
                <c:manualLayout>
                  <c:x val="-0.12850563909774437"/>
                  <c:y val="3.2615380458279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B8-4D8C-9949-C788B9D8AD4F}"/>
                </c:ext>
              </c:extLst>
            </c:dLbl>
            <c:dLbl>
              <c:idx val="4"/>
              <c:layout>
                <c:manualLayout>
                  <c:x val="-0.15618708228905598"/>
                  <c:y val="4.10159965412882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7B8-4D8C-9949-C788B9D8AD4F}"/>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BILANCA_HBOR!$A$39:$A$44</c:f>
              <c:strCache>
                <c:ptCount val="4"/>
                <c:pt idx="0">
                  <c:v>Novčana sredstva i depoziti kod banaka</c:v>
                </c:pt>
                <c:pt idx="1">
                  <c:v>Ukupni krediti, neto</c:v>
                </c:pt>
                <c:pt idx="2">
                  <c:v>Imovina raspoloživa za prodaju</c:v>
                </c:pt>
                <c:pt idx="3">
                  <c:v>Ostala imovina*</c:v>
                </c:pt>
              </c:strCache>
            </c:strRef>
          </c:cat>
          <c:val>
            <c:numRef>
              <c:f>BILANCA_HBOR!$D$39:$D$44</c:f>
              <c:numCache>
                <c:formatCode>0.00%</c:formatCode>
                <c:ptCount val="4"/>
                <c:pt idx="0">
                  <c:v>5.0980189479537218E-2</c:v>
                </c:pt>
                <c:pt idx="1">
                  <c:v>0.82762779888650484</c:v>
                </c:pt>
                <c:pt idx="2">
                  <c:v>0.1168097149252561</c:v>
                </c:pt>
                <c:pt idx="3">
                  <c:v>4.5822967087019448E-3</c:v>
                </c:pt>
              </c:numCache>
            </c:numRef>
          </c:val>
          <c:extLst>
            <c:ext xmlns:c16="http://schemas.microsoft.com/office/drawing/2014/chart" uri="{C3380CC4-5D6E-409C-BE32-E72D297353CC}">
              <c16:uniqueId val="{0000000A-77B8-4D8C-9949-C788B9D8AD4F}"/>
            </c:ext>
          </c:extLst>
        </c:ser>
        <c:dLbls>
          <c:showLegendKey val="0"/>
          <c:showVal val="0"/>
          <c:showCatName val="0"/>
          <c:showSerName val="0"/>
          <c:showPercent val="0"/>
          <c:showBubbleSize val="0"/>
          <c:showLeaderLines val="1"/>
        </c:dLbls>
        <c:firstSliceAng val="283"/>
        <c:holeSize val="75"/>
      </c:doughnutChart>
      <c:spPr>
        <a:noFill/>
        <a:ln>
          <a:noFill/>
        </a:ln>
        <a:effectLst/>
      </c:spPr>
    </c:plotArea>
    <c:legend>
      <c:legendPos val="t"/>
      <c:layout>
        <c:manualLayout>
          <c:xMode val="edge"/>
          <c:yMode val="edge"/>
          <c:x val="5.7188471227140374E-2"/>
          <c:y val="0.19965575010808473"/>
          <c:w val="0.85672790901137352"/>
          <c:h val="0.19599274126342517"/>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bg2">
                    <a:lumMod val="50000"/>
                  </a:schemeClr>
                </a:solidFill>
                <a:latin typeface="+mj-lt"/>
              </a:rPr>
              <a:t>UKUPNA IMOVINA</a:t>
            </a:r>
          </a:p>
          <a:p>
            <a:pPr>
              <a:defRPr/>
            </a:pPr>
            <a:r>
              <a:rPr lang="hr-HR" sz="1200" dirty="0">
                <a:solidFill>
                  <a:schemeClr val="bg2">
                    <a:lumMod val="50000"/>
                  </a:schemeClr>
                </a:solidFill>
                <a:latin typeface="+mj-lt"/>
              </a:rPr>
              <a:t>31.12.2018.</a:t>
            </a:r>
            <a:r>
              <a:rPr lang="hr-HR" sz="1200" baseline="0" dirty="0">
                <a:solidFill>
                  <a:schemeClr val="bg2">
                    <a:lumMod val="50000"/>
                  </a:schemeClr>
                </a:solidFill>
                <a:latin typeface="+mj-lt"/>
              </a:rPr>
              <a:t> </a:t>
            </a:r>
            <a:endParaRPr lang="en-US" sz="1200" dirty="0">
              <a:solidFill>
                <a:schemeClr val="bg2">
                  <a:lumMod val="50000"/>
                </a:schemeClr>
              </a:solidFill>
              <a:latin typeface="+mj-lt"/>
            </a:endParaRPr>
          </a:p>
        </c:rich>
      </c:tx>
      <c:layout>
        <c:manualLayout>
          <c:xMode val="edge"/>
          <c:yMode val="edge"/>
          <c:x val="0.27176169590643273"/>
          <c:y val="1.9135051880674454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7315840399456139"/>
          <c:y val="0.47442252172166005"/>
          <c:w val="0.59895525407461891"/>
          <c:h val="0.52557747827834"/>
        </c:manualLayout>
      </c:layout>
      <c:doughnutChart>
        <c:varyColors val="1"/>
        <c:ser>
          <c:idx val="0"/>
          <c:order val="0"/>
          <c:tx>
            <c:strRef>
              <c:f>BILANCA_HBOR!$A$39:$A$45</c:f>
              <c:strCache>
                <c:ptCount val="7"/>
                <c:pt idx="0">
                  <c:v>Novčana sredstva i depoziti kod banaka</c:v>
                </c:pt>
                <c:pt idx="1">
                  <c:v>Ukupni krediti, neto</c:v>
                </c:pt>
                <c:pt idx="2">
                  <c:v>FVRDG</c:v>
                </c:pt>
                <c:pt idx="3">
                  <c:v>FVOSD</c:v>
                </c:pt>
                <c:pt idx="4">
                  <c:v>Imovina raspoloživa za prodaju</c:v>
                </c:pt>
                <c:pt idx="5">
                  <c:v>Ostala imovina*</c:v>
                </c:pt>
                <c:pt idx="6">
                  <c:v>UKUPNA IMOVINA</c:v>
                </c:pt>
              </c:strCache>
            </c:strRef>
          </c:tx>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9F33-43C0-963A-BFFF26667D5D}"/>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9F33-43C0-963A-BFFF26667D5D}"/>
              </c:ext>
            </c:extLst>
          </c:dPt>
          <c:dPt>
            <c:idx val="2"/>
            <c:bubble3D val="0"/>
            <c:spPr>
              <a:solidFill>
                <a:srgbClr val="44546A">
                  <a:lumMod val="60000"/>
                  <a:lumOff val="40000"/>
                </a:srgbClr>
              </a:solidFill>
              <a:ln w="19050">
                <a:solidFill>
                  <a:schemeClr val="lt1"/>
                </a:solidFill>
              </a:ln>
              <a:effectLst/>
            </c:spPr>
            <c:extLst>
              <c:ext xmlns:c16="http://schemas.microsoft.com/office/drawing/2014/chart" uri="{C3380CC4-5D6E-409C-BE32-E72D297353CC}">
                <c16:uniqueId val="{00000005-9F33-43C0-963A-BFFF26667D5D}"/>
              </c:ext>
            </c:extLst>
          </c:dPt>
          <c:dPt>
            <c:idx val="3"/>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7-9F33-43C0-963A-BFFF26667D5D}"/>
              </c:ext>
            </c:extLst>
          </c:dPt>
          <c:dPt>
            <c:idx val="4"/>
            <c:bubble3D val="0"/>
            <c:spPr>
              <a:solidFill>
                <a:srgbClr val="FFC000">
                  <a:lumMod val="60000"/>
                  <a:lumOff val="40000"/>
                </a:srgbClr>
              </a:solidFill>
              <a:ln w="19050">
                <a:solidFill>
                  <a:schemeClr val="lt1"/>
                </a:solidFill>
              </a:ln>
              <a:effectLst/>
            </c:spPr>
            <c:extLst>
              <c:ext xmlns:c16="http://schemas.microsoft.com/office/drawing/2014/chart" uri="{C3380CC4-5D6E-409C-BE32-E72D297353CC}">
                <c16:uniqueId val="{00000009-9F33-43C0-963A-BFFF26667D5D}"/>
              </c:ext>
            </c:extLst>
          </c:dPt>
          <c:dLbls>
            <c:dLbl>
              <c:idx val="0"/>
              <c:layout>
                <c:manualLayout>
                  <c:x val="-0.13770127618161607"/>
                  <c:y val="-6.520211846087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33-43C0-963A-BFFF26667D5D}"/>
                </c:ext>
              </c:extLst>
            </c:dLbl>
            <c:dLbl>
              <c:idx val="1"/>
              <c:layout>
                <c:manualLayout>
                  <c:x val="0.13012711728731058"/>
                  <c:y val="0.144130998702983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33-43C0-963A-BFFF26667D5D}"/>
                </c:ext>
              </c:extLst>
            </c:dLbl>
            <c:dLbl>
              <c:idx val="2"/>
              <c:layout>
                <c:manualLayout>
                  <c:x val="-0.12362076142294515"/>
                  <c:y val="6.17704280155640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33-43C0-963A-BFFF26667D5D}"/>
                </c:ext>
              </c:extLst>
            </c:dLbl>
            <c:dLbl>
              <c:idx val="3"/>
              <c:layout>
                <c:manualLayout>
                  <c:x val="-0.13663347315167623"/>
                  <c:y val="5.83387375702550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F33-43C0-963A-BFFF26667D5D}"/>
                </c:ext>
              </c:extLst>
            </c:dLbl>
            <c:dLbl>
              <c:idx val="4"/>
              <c:layout>
                <c:manualLayout>
                  <c:x val="-0.15615254074477283"/>
                  <c:y val="2.4021833117163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F33-43C0-963A-BFFF26667D5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BILANCA_HBOR!$A$39:$A$44</c:f>
              <c:strCache>
                <c:ptCount val="5"/>
                <c:pt idx="0">
                  <c:v>Novčana sredstva i depoziti kod banaka</c:v>
                </c:pt>
                <c:pt idx="1">
                  <c:v>Ukupni krediti, neto</c:v>
                </c:pt>
                <c:pt idx="2">
                  <c:v>FVRDG</c:v>
                </c:pt>
                <c:pt idx="3">
                  <c:v>FVOSD</c:v>
                </c:pt>
                <c:pt idx="4">
                  <c:v>Ostala imovina*</c:v>
                </c:pt>
              </c:strCache>
            </c:strRef>
          </c:cat>
          <c:val>
            <c:numRef>
              <c:f>BILANCA_HBOR!$E$39:$E$44</c:f>
              <c:numCache>
                <c:formatCode>0.00%</c:formatCode>
                <c:ptCount val="5"/>
                <c:pt idx="0">
                  <c:v>4.4229681094072451E-2</c:v>
                </c:pt>
                <c:pt idx="1">
                  <c:v>0.83627113272470643</c:v>
                </c:pt>
                <c:pt idx="2">
                  <c:v>1.2162243147064976E-2</c:v>
                </c:pt>
                <c:pt idx="3">
                  <c:v>0.10265367056718776</c:v>
                </c:pt>
                <c:pt idx="4">
                  <c:v>4.5832724669683696E-3</c:v>
                </c:pt>
              </c:numCache>
            </c:numRef>
          </c:val>
          <c:extLst>
            <c:ext xmlns:c16="http://schemas.microsoft.com/office/drawing/2014/chart" uri="{C3380CC4-5D6E-409C-BE32-E72D297353CC}">
              <c16:uniqueId val="{0000000A-9F33-43C0-963A-BFFF26667D5D}"/>
            </c:ext>
          </c:extLst>
        </c:ser>
        <c:dLbls>
          <c:showLegendKey val="0"/>
          <c:showVal val="0"/>
          <c:showCatName val="0"/>
          <c:showSerName val="0"/>
          <c:showPercent val="0"/>
          <c:showBubbleSize val="0"/>
          <c:showLeaderLines val="1"/>
        </c:dLbls>
        <c:firstSliceAng val="285"/>
        <c:holeSize val="75"/>
      </c:doughnutChart>
      <c:spPr>
        <a:noFill/>
        <a:ln>
          <a:noFill/>
        </a:ln>
        <a:effectLst/>
      </c:spPr>
    </c:plotArea>
    <c:legend>
      <c:legendPos val="t"/>
      <c:legendEntry>
        <c:idx val="3"/>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r-Latn-RS"/>
          </a:p>
        </c:txPr>
      </c:legendEntry>
      <c:layout>
        <c:manualLayout>
          <c:xMode val="edge"/>
          <c:yMode val="edge"/>
          <c:x val="2.8498971193415636E-2"/>
          <c:y val="0.18592898832684826"/>
          <c:w val="0.9560677736006683"/>
          <c:h val="0.2856752594033721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UKUPNE</a:t>
            </a:r>
            <a:r>
              <a:rPr lang="hr-HR" sz="1300" b="1" baseline="0" dirty="0">
                <a:solidFill>
                  <a:schemeClr val="tx1">
                    <a:lumMod val="65000"/>
                    <a:lumOff val="35000"/>
                  </a:schemeClr>
                </a:solidFill>
                <a:latin typeface="+mj-lt"/>
              </a:rPr>
              <a:t> OBVEZE I KAPITAL I REZERVE</a:t>
            </a:r>
            <a:endParaRPr lang="hr-HR" sz="1300" b="1" dirty="0">
              <a:solidFill>
                <a:schemeClr val="tx1">
                  <a:lumMod val="65000"/>
                  <a:lumOff val="35000"/>
                </a:schemeClr>
              </a:solidFill>
              <a:latin typeface="+mj-lt"/>
            </a:endParaRPr>
          </a:p>
          <a:p>
            <a:pPr>
              <a:defRPr/>
            </a:pPr>
            <a:r>
              <a:rPr lang="hr-HR" sz="1200" dirty="0">
                <a:solidFill>
                  <a:schemeClr val="tx1">
                    <a:lumMod val="65000"/>
                    <a:lumOff val="35000"/>
                  </a:schemeClr>
                </a:solidFill>
                <a:latin typeface="+mj-lt"/>
              </a:rPr>
              <a:t>31. prosinca 2017.</a:t>
            </a:r>
            <a:r>
              <a:rPr lang="hr-HR" sz="1200" baseline="0" dirty="0">
                <a:solidFill>
                  <a:schemeClr val="tx1">
                    <a:lumMod val="65000"/>
                    <a:lumOff val="35000"/>
                  </a:schemeClr>
                </a:solidFill>
                <a:latin typeface="+mj-lt"/>
              </a:rPr>
              <a:t> </a:t>
            </a:r>
            <a:endParaRPr lang="en-US" sz="1200" dirty="0">
              <a:solidFill>
                <a:schemeClr val="tx1">
                  <a:lumMod val="65000"/>
                  <a:lumOff val="35000"/>
                </a:schemeClr>
              </a:solidFill>
              <a:latin typeface="+mj-lt"/>
            </a:endParaRPr>
          </a:p>
        </c:rich>
      </c:tx>
      <c:layout>
        <c:manualLayout>
          <c:xMode val="edge"/>
          <c:yMode val="edge"/>
          <c:x val="0.10097070113792779"/>
          <c:y val="4.9148856392950878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4170218950644201"/>
          <c:y val="0.464798328780331"/>
          <c:w val="0.67904143903836134"/>
          <c:h val="0.5318003106754513"/>
        </c:manualLayout>
      </c:layout>
      <c:doughnutChart>
        <c:varyColors val="1"/>
        <c:ser>
          <c:idx val="0"/>
          <c:order val="0"/>
          <c:tx>
            <c:strRef>
              <c:f>BILANCA_HBOR!$K$39:$K$42</c:f>
              <c:strCache>
                <c:ptCount val="4"/>
                <c:pt idx="0">
                  <c:v>Depoziti</c:v>
                </c:pt>
                <c:pt idx="1">
                  <c:v>Obveze po kreditima i izdanim dugoročnim VP</c:v>
                </c:pt>
                <c:pt idx="2">
                  <c:v>Ostale obveze</c:v>
                </c:pt>
                <c:pt idx="3">
                  <c:v>Ukupni kapital i rezerve</c:v>
                </c:pt>
              </c:strCache>
            </c:strRef>
          </c:tx>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B13A-4842-8152-D28B429720AC}"/>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B13A-4842-8152-D28B429720AC}"/>
              </c:ext>
            </c:extLst>
          </c:dPt>
          <c:dPt>
            <c:idx val="2"/>
            <c:bubble3D val="0"/>
            <c:spPr>
              <a:solidFill>
                <a:srgbClr val="44546A">
                  <a:lumMod val="60000"/>
                  <a:lumOff val="40000"/>
                </a:srgbClr>
              </a:solidFill>
              <a:ln w="19050">
                <a:solidFill>
                  <a:schemeClr val="lt1"/>
                </a:solidFill>
              </a:ln>
              <a:effectLst/>
            </c:spPr>
            <c:extLst>
              <c:ext xmlns:c16="http://schemas.microsoft.com/office/drawing/2014/chart" uri="{C3380CC4-5D6E-409C-BE32-E72D297353CC}">
                <c16:uniqueId val="{00000005-B13A-4842-8152-D28B429720AC}"/>
              </c:ext>
            </c:extLst>
          </c:dPt>
          <c:dPt>
            <c:idx val="3"/>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7-B13A-4842-8152-D28B429720A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13A-4842-8152-D28B429720A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13A-4842-8152-D28B429720AC}"/>
              </c:ext>
            </c:extLst>
          </c:dPt>
          <c:dPt>
            <c:idx val="6"/>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D-B13A-4842-8152-D28B429720AC}"/>
              </c:ext>
            </c:extLst>
          </c:dPt>
          <c:dLbls>
            <c:dLbl>
              <c:idx val="0"/>
              <c:layout>
                <c:manualLayout>
                  <c:x val="0.24986624696592219"/>
                  <c:y val="-3.2441844291718765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21413845680418228"/>
                      <c:h val="6.407113199589666E-2"/>
                    </c:manualLayout>
                  </c15:layout>
                </c:ext>
                <c:ext xmlns:c16="http://schemas.microsoft.com/office/drawing/2014/chart" uri="{C3380CC4-5D6E-409C-BE32-E72D297353CC}">
                  <c16:uniqueId val="{00000001-B13A-4842-8152-D28B429720AC}"/>
                </c:ext>
              </c:extLst>
            </c:dLbl>
            <c:dLbl>
              <c:idx val="1"/>
              <c:layout>
                <c:manualLayout>
                  <c:x val="0.13389338697423248"/>
                  <c:y val="4.12318930347600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13A-4842-8152-D28B429720AC}"/>
                </c:ext>
              </c:extLst>
            </c:dLbl>
            <c:dLbl>
              <c:idx val="2"/>
              <c:layout>
                <c:manualLayout>
                  <c:x val="-0.16463560292985016"/>
                  <c:y val="-4.78036409493359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13A-4842-8152-D28B429720AC}"/>
                </c:ext>
              </c:extLst>
            </c:dLbl>
            <c:dLbl>
              <c:idx val="3"/>
              <c:layout>
                <c:manualLayout>
                  <c:x val="-0.17536549707602339"/>
                  <c:y val="1.36713683527885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13A-4842-8152-D28B429720AC}"/>
                </c:ext>
              </c:extLst>
            </c:dLbl>
            <c:dLbl>
              <c:idx val="6"/>
              <c:layout>
                <c:manualLayout>
                  <c:x val="-6.5511193644898378E-3"/>
                  <c:y val="-0.178913763738380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13A-4842-8152-D28B429720A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BILANCA_HBOR!$K$39:$K$42</c:f>
              <c:strCache>
                <c:ptCount val="4"/>
                <c:pt idx="0">
                  <c:v>Depoziti</c:v>
                </c:pt>
                <c:pt idx="1">
                  <c:v>Obveze po kreditima i izdanim dugoročnim VP</c:v>
                </c:pt>
                <c:pt idx="2">
                  <c:v>Ostale obveze</c:v>
                </c:pt>
                <c:pt idx="3">
                  <c:v>Ukupni kapital i rezerve</c:v>
                </c:pt>
              </c:strCache>
            </c:strRef>
          </c:cat>
          <c:val>
            <c:numRef>
              <c:f>BILANCA_HBOR!$M$39:$M$42</c:f>
              <c:numCache>
                <c:formatCode>0.00%</c:formatCode>
                <c:ptCount val="4"/>
                <c:pt idx="0">
                  <c:v>2.2980631455884342E-2</c:v>
                </c:pt>
                <c:pt idx="1">
                  <c:v>0.58988088024579577</c:v>
                </c:pt>
                <c:pt idx="2">
                  <c:v>2.1123974365371861E-2</c:v>
                </c:pt>
                <c:pt idx="3">
                  <c:v>0.36601451393294787</c:v>
                </c:pt>
              </c:numCache>
            </c:numRef>
          </c:val>
          <c:extLst>
            <c:ext xmlns:c16="http://schemas.microsoft.com/office/drawing/2014/chart" uri="{C3380CC4-5D6E-409C-BE32-E72D297353CC}">
              <c16:uniqueId val="{0000000E-B13A-4842-8152-D28B429720AC}"/>
            </c:ext>
          </c:extLst>
        </c:ser>
        <c:dLbls>
          <c:showLegendKey val="0"/>
          <c:showVal val="0"/>
          <c:showCatName val="0"/>
          <c:showSerName val="0"/>
          <c:showPercent val="0"/>
          <c:showBubbleSize val="0"/>
          <c:showLeaderLines val="1"/>
        </c:dLbls>
        <c:firstSliceAng val="360"/>
        <c:holeSize val="75"/>
      </c:doughnutChart>
      <c:spPr>
        <a:noFill/>
        <a:ln>
          <a:noFill/>
        </a:ln>
        <a:effectLst/>
      </c:spPr>
    </c:plotArea>
    <c:legend>
      <c:legendPos val="t"/>
      <c:layout>
        <c:manualLayout>
          <c:xMode val="edge"/>
          <c:yMode val="edge"/>
          <c:x val="0"/>
          <c:y val="0.25110263002838928"/>
          <c:w val="1"/>
          <c:h val="0.17381600943155925"/>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UKUPNE OBVEZE I KAPITAL I REZERVE</a:t>
            </a:r>
          </a:p>
          <a:p>
            <a:pPr>
              <a:defRPr/>
            </a:pPr>
            <a:r>
              <a:rPr lang="hr-HR" sz="1200" dirty="0">
                <a:solidFill>
                  <a:schemeClr val="tx1">
                    <a:lumMod val="65000"/>
                    <a:lumOff val="35000"/>
                  </a:schemeClr>
                </a:solidFill>
                <a:latin typeface="+mj-lt"/>
              </a:rPr>
              <a:t>31. prosinca 2018.</a:t>
            </a:r>
            <a:r>
              <a:rPr lang="hr-HR" sz="1200" baseline="0" dirty="0">
                <a:solidFill>
                  <a:schemeClr val="tx1">
                    <a:lumMod val="65000"/>
                    <a:lumOff val="35000"/>
                  </a:schemeClr>
                </a:solidFill>
                <a:latin typeface="+mj-lt"/>
              </a:rPr>
              <a:t> </a:t>
            </a:r>
            <a:endParaRPr lang="en-US" sz="1200" dirty="0">
              <a:solidFill>
                <a:schemeClr val="tx1">
                  <a:lumMod val="65000"/>
                  <a:lumOff val="35000"/>
                </a:schemeClr>
              </a:solidFill>
              <a:latin typeface="+mj-lt"/>
            </a:endParaRPr>
          </a:p>
        </c:rich>
      </c:tx>
      <c:layout>
        <c:manualLayout>
          <c:xMode val="edge"/>
          <c:yMode val="edge"/>
          <c:x val="0.11799722870808073"/>
          <c:y val="1.593482536443595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7007595843409837"/>
          <c:y val="0.44915462551448349"/>
          <c:w val="0.68803980646159579"/>
          <c:h val="0.55084537448551663"/>
        </c:manualLayout>
      </c:layout>
      <c:doughnutChart>
        <c:varyColors val="1"/>
        <c:ser>
          <c:idx val="0"/>
          <c:order val="0"/>
          <c:tx>
            <c:strRef>
              <c:f>BILANCA_HBOR!$K$39:$K$42</c:f>
              <c:strCache>
                <c:ptCount val="4"/>
                <c:pt idx="0">
                  <c:v>Depoziti</c:v>
                </c:pt>
                <c:pt idx="1">
                  <c:v>Obveze po kreditima i izdanim dugoročnim VP</c:v>
                </c:pt>
                <c:pt idx="2">
                  <c:v>Ostale obveze</c:v>
                </c:pt>
                <c:pt idx="3">
                  <c:v>Ukupni kapital i rezerve</c:v>
                </c:pt>
              </c:strCache>
            </c:strRef>
          </c:tx>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F5D8-4B31-A8BD-84B6DACCEDA5}"/>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F5D8-4B31-A8BD-84B6DACCEDA5}"/>
              </c:ext>
            </c:extLst>
          </c:dPt>
          <c:dPt>
            <c:idx val="2"/>
            <c:bubble3D val="0"/>
            <c:spPr>
              <a:solidFill>
                <a:srgbClr val="44546A">
                  <a:lumMod val="60000"/>
                  <a:lumOff val="40000"/>
                </a:srgbClr>
              </a:solidFill>
              <a:ln w="19050">
                <a:solidFill>
                  <a:schemeClr val="lt1"/>
                </a:solidFill>
              </a:ln>
              <a:effectLst/>
            </c:spPr>
            <c:extLst>
              <c:ext xmlns:c16="http://schemas.microsoft.com/office/drawing/2014/chart" uri="{C3380CC4-5D6E-409C-BE32-E72D297353CC}">
                <c16:uniqueId val="{00000005-F5D8-4B31-A8BD-84B6DACCEDA5}"/>
              </c:ext>
            </c:extLst>
          </c:dPt>
          <c:dPt>
            <c:idx val="3"/>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7-F5D8-4B31-A8BD-84B6DACCEDA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5D8-4B31-A8BD-84B6DACCEDA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5D8-4B31-A8BD-84B6DACCEDA5}"/>
              </c:ext>
            </c:extLst>
          </c:dPt>
          <c:dPt>
            <c:idx val="6"/>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D-F5D8-4B31-A8BD-84B6DACCEDA5}"/>
              </c:ext>
            </c:extLst>
          </c:dPt>
          <c:dLbls>
            <c:dLbl>
              <c:idx val="0"/>
              <c:layout>
                <c:manualLayout>
                  <c:x val="0.14213876279375434"/>
                  <c:y val="-5.79236372190262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D8-4B31-A8BD-84B6DACCEDA5}"/>
                </c:ext>
              </c:extLst>
            </c:dLbl>
            <c:dLbl>
              <c:idx val="1"/>
              <c:layout>
                <c:manualLayout>
                  <c:x val="9.2529468397907932E-2"/>
                  <c:y val="9.60873324686554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5D8-4B31-A8BD-84B6DACCEDA5}"/>
                </c:ext>
              </c:extLst>
            </c:dLbl>
            <c:dLbl>
              <c:idx val="2"/>
              <c:layout>
                <c:manualLayout>
                  <c:x val="-0.11566183549738493"/>
                  <c:y val="4.1180285343709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5D8-4B31-A8BD-84B6DACCEDA5}"/>
                </c:ext>
              </c:extLst>
            </c:dLbl>
            <c:dLbl>
              <c:idx val="3"/>
              <c:layout>
                <c:manualLayout>
                  <c:x val="-0.16853581743904664"/>
                  <c:y val="2.4021833117163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5D8-4B31-A8BD-84B6DACCEDA5}"/>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BILANCA_HBOR!$K$39:$K$42</c:f>
              <c:strCache>
                <c:ptCount val="4"/>
                <c:pt idx="0">
                  <c:v>Depoziti</c:v>
                </c:pt>
                <c:pt idx="1">
                  <c:v>Obveze po kreditima i izdanim dugoročnim VP</c:v>
                </c:pt>
                <c:pt idx="2">
                  <c:v>Ostale obveze</c:v>
                </c:pt>
                <c:pt idx="3">
                  <c:v>Ukupni kapital i rezerve</c:v>
                </c:pt>
              </c:strCache>
            </c:strRef>
          </c:cat>
          <c:val>
            <c:numRef>
              <c:f>BILANCA_HBOR!$O$39:$O$42</c:f>
              <c:numCache>
                <c:formatCode>0.00%</c:formatCode>
                <c:ptCount val="4"/>
                <c:pt idx="0">
                  <c:v>1.5775988246596467E-2</c:v>
                </c:pt>
                <c:pt idx="1">
                  <c:v>0.58930810881163342</c:v>
                </c:pt>
                <c:pt idx="2">
                  <c:v>2.5268641082571999E-2</c:v>
                </c:pt>
                <c:pt idx="3">
                  <c:v>0.36964726185919811</c:v>
                </c:pt>
              </c:numCache>
            </c:numRef>
          </c:val>
          <c:extLst>
            <c:ext xmlns:c16="http://schemas.microsoft.com/office/drawing/2014/chart" uri="{C3380CC4-5D6E-409C-BE32-E72D297353CC}">
              <c16:uniqueId val="{0000000E-F5D8-4B31-A8BD-84B6DACCEDA5}"/>
            </c:ext>
          </c:extLst>
        </c:ser>
        <c:dLbls>
          <c:showLegendKey val="0"/>
          <c:showVal val="0"/>
          <c:showCatName val="0"/>
          <c:showSerName val="0"/>
          <c:showPercent val="0"/>
          <c:showBubbleSize val="0"/>
          <c:showLeaderLines val="1"/>
        </c:dLbls>
        <c:firstSliceAng val="353"/>
        <c:holeSize val="75"/>
      </c:doughnutChart>
      <c:spPr>
        <a:noFill/>
        <a:ln>
          <a:noFill/>
        </a:ln>
        <a:effectLst/>
      </c:spPr>
    </c:plotArea>
    <c:legend>
      <c:legendPos val="t"/>
      <c:layout>
        <c:manualLayout>
          <c:xMode val="edge"/>
          <c:yMode val="edge"/>
          <c:x val="2.5273000071281661E-2"/>
          <c:y val="0.24613530167488124"/>
          <c:w val="0.93372578814046991"/>
          <c:h val="0.170695633171361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a:effectLst/>
              </a:rPr>
              <a:t>OSIGURANI PROMET U 2018. GODINI PO DRŽAVAMA</a:t>
            </a:r>
            <a:endParaRPr lang="en-US"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1246167323696888"/>
          <c:y val="0.12759671345429646"/>
          <c:w val="0.37601363703457752"/>
          <c:h val="0.60495133706628568"/>
        </c:manualLayout>
      </c:layout>
      <c:doughnutChart>
        <c:varyColors val="1"/>
        <c:ser>
          <c:idx val="0"/>
          <c:order val="0"/>
          <c:tx>
            <c:strRef>
              <c:f>Sheet1!$B$1</c:f>
              <c:strCache>
                <c:ptCount val="1"/>
                <c:pt idx="0">
                  <c:v>Column1</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1-F6B0-4284-B827-FF9A1400E05E}"/>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F6B0-4284-B827-FF9A1400E05E}"/>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F6B0-4284-B827-FF9A1400E05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6B0-4284-B827-FF9A1400E05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6B0-4284-B827-FF9A1400E05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6B0-4284-B827-FF9A1400E05E}"/>
              </c:ext>
            </c:extLst>
          </c:dPt>
          <c:dPt>
            <c:idx val="6"/>
            <c:bubble3D val="0"/>
            <c:spPr>
              <a:solidFill>
                <a:schemeClr val="bg2">
                  <a:lumMod val="25000"/>
                </a:schemeClr>
              </a:solidFill>
              <a:ln w="19050">
                <a:solidFill>
                  <a:schemeClr val="lt1"/>
                </a:solidFill>
              </a:ln>
              <a:effectLst/>
            </c:spPr>
            <c:extLst>
              <c:ext xmlns:c16="http://schemas.microsoft.com/office/drawing/2014/chart" uri="{C3380CC4-5D6E-409C-BE32-E72D297353CC}">
                <c16:uniqueId val="{0000000D-F6B0-4284-B827-FF9A1400E05E}"/>
              </c:ext>
            </c:extLst>
          </c:dPt>
          <c:dLbls>
            <c:dLbl>
              <c:idx val="0"/>
              <c:layout>
                <c:manualLayout>
                  <c:x val="8.6508893188614155E-2"/>
                  <c:y val="-3.8043478260869595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1197" b="0" i="0" u="none" strike="noStrike" kern="1200" baseline="0">
                      <a:solidFill>
                        <a:schemeClr val="dk1">
                          <a:lumMod val="65000"/>
                          <a:lumOff val="35000"/>
                        </a:schemeClr>
                      </a:solidFill>
                      <a:latin typeface="+mn-lt"/>
                      <a:ea typeface="+mn-ea"/>
                      <a:cs typeface="+mn-cs"/>
                    </a:defRPr>
                  </a:pPr>
                  <a:endParaRPr lang="sr-Latn-RS"/>
                </a:p>
              </c:tx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wedgeRectCallout">
                      <a:avLst/>
                    </a:prstGeom>
                    <a:noFill/>
                    <a:ln>
                      <a:noFill/>
                    </a:ln>
                  </c15:spPr>
                  <c15:layout>
                    <c:manualLayout>
                      <c:w val="6.9964061653922688E-2"/>
                      <c:h val="6.0804233709916694E-2"/>
                    </c:manualLayout>
                  </c15:layout>
                </c:ext>
                <c:ext xmlns:c16="http://schemas.microsoft.com/office/drawing/2014/chart" uri="{C3380CC4-5D6E-409C-BE32-E72D297353CC}">
                  <c16:uniqueId val="{00000001-F6B0-4284-B827-FF9A1400E05E}"/>
                </c:ext>
              </c:extLst>
            </c:dLbl>
            <c:dLbl>
              <c:idx val="1"/>
              <c:layout>
                <c:manualLayout>
                  <c:x val="9.4174332019272972E-2"/>
                  <c:y val="5.0724637681159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B0-4284-B827-FF9A1400E05E}"/>
                </c:ext>
              </c:extLst>
            </c:dLbl>
            <c:dLbl>
              <c:idx val="2"/>
              <c:layout>
                <c:manualLayout>
                  <c:x val="-4.3802014892685065E-2"/>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6B0-4284-B827-FF9A1400E05E}"/>
                </c:ext>
              </c:extLst>
            </c:dLbl>
            <c:dLbl>
              <c:idx val="3"/>
              <c:layout>
                <c:manualLayout>
                  <c:x val="-7.2273324572930356E-2"/>
                  <c:y val="3.98550724637681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6B0-4284-B827-FF9A1400E05E}"/>
                </c:ext>
              </c:extLst>
            </c:dLbl>
            <c:dLbl>
              <c:idx val="4"/>
              <c:layout>
                <c:manualLayout>
                  <c:x val="-7.2273324572930356E-2"/>
                  <c:y val="2.5362318840579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6B0-4284-B827-FF9A1400E05E}"/>
                </c:ext>
              </c:extLst>
            </c:dLbl>
            <c:dLbl>
              <c:idx val="5"/>
              <c:layout>
                <c:manualLayout>
                  <c:x val="-7.2273324572930397E-2"/>
                  <c:y val="-3.98550724637681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6B0-4284-B827-FF9A1400E05E}"/>
                </c:ext>
              </c:extLst>
            </c:dLbl>
            <c:dLbl>
              <c:idx val="6"/>
              <c:layout>
                <c:manualLayout>
                  <c:x val="-7.2273324572930397E-2"/>
                  <c:y val="-2.17391304347826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6B0-4284-B827-FF9A1400E05E}"/>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Sheet1!$A$2:$A$8</c:f>
              <c:strCache>
                <c:ptCount val="7"/>
                <c:pt idx="0">
                  <c:v>Hrvatska</c:v>
                </c:pt>
                <c:pt idx="1">
                  <c:v>Maršalovi otoci </c:v>
                </c:pt>
                <c:pt idx="2">
                  <c:v>Srbija</c:v>
                </c:pt>
                <c:pt idx="3">
                  <c:v>Bosna i Hercegovina</c:v>
                </c:pt>
                <c:pt idx="4">
                  <c:v>Luksemburg</c:v>
                </c:pt>
                <c:pt idx="5">
                  <c:v>Njemačka</c:v>
                </c:pt>
                <c:pt idx="6">
                  <c:v>Ostali </c:v>
                </c:pt>
              </c:strCache>
            </c:strRef>
          </c:cat>
          <c:val>
            <c:numRef>
              <c:f>Sheet1!$B$2:$B$8</c:f>
              <c:numCache>
                <c:formatCode>0%</c:formatCode>
                <c:ptCount val="7"/>
                <c:pt idx="0">
                  <c:v>0.28000000000000003</c:v>
                </c:pt>
                <c:pt idx="1">
                  <c:v>0.24</c:v>
                </c:pt>
                <c:pt idx="2">
                  <c:v>0.09</c:v>
                </c:pt>
                <c:pt idx="3">
                  <c:v>7.0000000000000007E-2</c:v>
                </c:pt>
                <c:pt idx="4">
                  <c:v>0.06</c:v>
                </c:pt>
                <c:pt idx="5">
                  <c:v>0.04</c:v>
                </c:pt>
                <c:pt idx="6">
                  <c:v>0.22</c:v>
                </c:pt>
              </c:numCache>
            </c:numRef>
          </c:val>
          <c:extLst>
            <c:ext xmlns:c16="http://schemas.microsoft.com/office/drawing/2014/chart" uri="{C3380CC4-5D6E-409C-BE32-E72D297353CC}">
              <c16:uniqueId val="{0000000E-F6B0-4284-B827-FF9A1400E05E}"/>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1400575000379288"/>
          <c:y val="0.79387024991441291"/>
          <c:w val="0.80080970370033244"/>
          <c:h val="0.20612975008558712"/>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b="0" i="0" baseline="0">
                <a:effectLst/>
              </a:rPr>
              <a:t>UKUPNI PORTFELJ PO STUPNJEVIMA KREDITNOG RIZIKA 31. PROSINCA 2018.</a:t>
            </a:r>
            <a:endParaRPr lang="en-US"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0729164619050459"/>
          <c:y val="0.22904613059813494"/>
          <c:w val="0.37601363703457752"/>
          <c:h val="0.60495133706628568"/>
        </c:manualLayout>
      </c:layout>
      <c:doughnutChart>
        <c:varyColors val="1"/>
        <c:ser>
          <c:idx val="0"/>
          <c:order val="0"/>
          <c:tx>
            <c:strRef>
              <c:f>Sheet1!$B$1</c:f>
              <c:strCache>
                <c:ptCount val="1"/>
                <c:pt idx="0">
                  <c:v>Column1</c:v>
                </c:pt>
              </c:strCache>
            </c:strRef>
          </c:tx>
          <c:dPt>
            <c:idx val="0"/>
            <c:bubble3D val="0"/>
            <c:spPr>
              <a:solidFill>
                <a:schemeClr val="tx1">
                  <a:lumMod val="75000"/>
                  <a:lumOff val="25000"/>
                </a:schemeClr>
              </a:solidFill>
              <a:ln w="19050">
                <a:solidFill>
                  <a:schemeClr val="lt1"/>
                </a:solidFill>
              </a:ln>
              <a:effectLst/>
            </c:spPr>
            <c:extLst>
              <c:ext xmlns:c16="http://schemas.microsoft.com/office/drawing/2014/chart" uri="{C3380CC4-5D6E-409C-BE32-E72D297353CC}">
                <c16:uniqueId val="{00000001-E2C5-4996-97C7-DA3BB468BDB5}"/>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E2C5-4996-97C7-DA3BB468BDB5}"/>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E2C5-4996-97C7-DA3BB468BDB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2C5-4996-97C7-DA3BB468BDB5}"/>
              </c:ext>
            </c:extLst>
          </c:dPt>
          <c:dLbls>
            <c:dLbl>
              <c:idx val="0"/>
              <c:layout>
                <c:manualLayout>
                  <c:x val="4.0851060179723224E-2"/>
                  <c:y val="6.9374724714882249E-2"/>
                </c:manualLayout>
              </c:layout>
              <c:tx>
                <c:rich>
                  <a:bodyPr/>
                  <a:lstStyle/>
                  <a:p>
                    <a:fld id="{1D783AF7-440A-4FEF-80A6-5ACB37224AF8}"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2C5-4996-97C7-DA3BB468BDB5}"/>
                </c:ext>
              </c:extLst>
            </c:dLbl>
            <c:dLbl>
              <c:idx val="1"/>
              <c:layout>
                <c:manualLayout>
                  <c:x val="-8.1330220462773647E-2"/>
                  <c:y val="5.4769593537541662E-2"/>
                </c:manualLayout>
              </c:layout>
              <c:tx>
                <c:rich>
                  <a:bodyPr/>
                  <a:lstStyle/>
                  <a:p>
                    <a:fld id="{DA9309D5-6843-4FAE-A71D-EA16849B61F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2C5-4996-97C7-DA3BB468BDB5}"/>
                </c:ext>
              </c:extLst>
            </c:dLbl>
            <c:dLbl>
              <c:idx val="2"/>
              <c:layout>
                <c:manualLayout>
                  <c:x val="-0.12995519206508027"/>
                  <c:y val="-0.12784214396071744"/>
                </c:manualLayout>
              </c:layout>
              <c:tx>
                <c:rich>
                  <a:bodyPr/>
                  <a:lstStyle/>
                  <a:p>
                    <a:fld id="{6840A35D-EC0A-4C3D-93BC-B88362E95A7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2C5-4996-97C7-DA3BB468BDB5}"/>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1. stupanj</c:v>
                </c:pt>
                <c:pt idx="1">
                  <c:v>2. stupanj</c:v>
                </c:pt>
                <c:pt idx="2">
                  <c:v>3. stupanj</c:v>
                </c:pt>
              </c:strCache>
            </c:strRef>
          </c:cat>
          <c:val>
            <c:numRef>
              <c:f>Sheet1!$B$2:$B$5</c:f>
              <c:numCache>
                <c:formatCode>General</c:formatCode>
                <c:ptCount val="4"/>
                <c:pt idx="0">
                  <c:v>74.599999999999994</c:v>
                </c:pt>
                <c:pt idx="1">
                  <c:v>6.9</c:v>
                </c:pt>
                <c:pt idx="2">
                  <c:v>18.5</c:v>
                </c:pt>
              </c:numCache>
            </c:numRef>
          </c:val>
          <c:extLst>
            <c:ext xmlns:c16="http://schemas.microsoft.com/office/drawing/2014/chart" uri="{C3380CC4-5D6E-409C-BE32-E72D297353CC}">
              <c16:uniqueId val="{00000008-E2C5-4996-97C7-DA3BB468BDB5}"/>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b="0" i="0" baseline="0">
                <a:effectLst/>
              </a:rPr>
              <a:t>UKUPNI </a:t>
            </a:r>
            <a:r>
              <a:rPr lang="en-US" sz="1400" b="0" i="0" baseline="0">
                <a:effectLst/>
              </a:rPr>
              <a:t>KREDITI</a:t>
            </a:r>
            <a:r>
              <a:rPr lang="hr-HR" sz="1400" b="0" i="0" baseline="0">
                <a:effectLst/>
              </a:rPr>
              <a:t> PO STUPNJEVIMA KREDITNOG RIZIKA 31. PROSINCA 2018.</a:t>
            </a:r>
            <a:endParaRPr lang="en-US" sz="1400">
              <a:effectLst/>
            </a:endParaRPr>
          </a:p>
        </c:rich>
      </c:tx>
      <c:layout>
        <c:manualLayout>
          <c:xMode val="edge"/>
          <c:yMode val="edge"/>
          <c:x val="0.11329031384889043"/>
          <c:y val="3.7021801727684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0729164619050459"/>
          <c:y val="0.22904613059813494"/>
          <c:w val="0.37601363703457752"/>
          <c:h val="0.60495133706628568"/>
        </c:manualLayout>
      </c:layout>
      <c:doughnutChart>
        <c:varyColors val="1"/>
        <c:ser>
          <c:idx val="0"/>
          <c:order val="0"/>
          <c:tx>
            <c:strRef>
              <c:f>Sheet1!$B$1</c:f>
              <c:strCache>
                <c:ptCount val="1"/>
                <c:pt idx="0">
                  <c:v>Column1</c:v>
                </c:pt>
              </c:strCache>
            </c:strRef>
          </c:tx>
          <c:dPt>
            <c:idx val="0"/>
            <c:bubble3D val="0"/>
            <c:spPr>
              <a:solidFill>
                <a:schemeClr val="tx1">
                  <a:lumMod val="75000"/>
                  <a:lumOff val="25000"/>
                </a:schemeClr>
              </a:solidFill>
              <a:ln w="19050">
                <a:solidFill>
                  <a:schemeClr val="lt1"/>
                </a:solidFill>
              </a:ln>
              <a:effectLst/>
            </c:spPr>
            <c:extLst>
              <c:ext xmlns:c16="http://schemas.microsoft.com/office/drawing/2014/chart" uri="{C3380CC4-5D6E-409C-BE32-E72D297353CC}">
                <c16:uniqueId val="{00000001-42D9-420A-88FB-E14324B35EEA}"/>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42D9-420A-88FB-E14324B35EEA}"/>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42D9-420A-88FB-E14324B35EE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2D9-420A-88FB-E14324B35EEA}"/>
              </c:ext>
            </c:extLst>
          </c:dPt>
          <c:dLbls>
            <c:dLbl>
              <c:idx val="0"/>
              <c:layout>
                <c:manualLayout>
                  <c:x val="4.0851060179723224E-2"/>
                  <c:y val="6.9374724714882249E-2"/>
                </c:manualLayout>
              </c:layout>
              <c:tx>
                <c:rich>
                  <a:bodyPr/>
                  <a:lstStyle/>
                  <a:p>
                    <a:fld id="{1D783AF7-440A-4FEF-80A6-5ACB37224AF8}"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2D9-420A-88FB-E14324B35EEA}"/>
                </c:ext>
              </c:extLst>
            </c:dLbl>
            <c:dLbl>
              <c:idx val="1"/>
              <c:layout>
                <c:manualLayout>
                  <c:x val="-8.1330220462773647E-2"/>
                  <c:y val="5.4769593537541662E-2"/>
                </c:manualLayout>
              </c:layout>
              <c:tx>
                <c:rich>
                  <a:bodyPr/>
                  <a:lstStyle/>
                  <a:p>
                    <a:fld id="{DA9309D5-6843-4FAE-A71D-EA16849B61F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2D9-420A-88FB-E14324B35EEA}"/>
                </c:ext>
              </c:extLst>
            </c:dLbl>
            <c:dLbl>
              <c:idx val="2"/>
              <c:layout>
                <c:manualLayout>
                  <c:x val="-0.12995519206508027"/>
                  <c:y val="-0.12784214396071744"/>
                </c:manualLayout>
              </c:layout>
              <c:tx>
                <c:rich>
                  <a:bodyPr/>
                  <a:lstStyle/>
                  <a:p>
                    <a:fld id="{6840A35D-EC0A-4C3D-93BC-B88362E95A7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2D9-420A-88FB-E14324B35EEA}"/>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1. stupanj</c:v>
                </c:pt>
                <c:pt idx="1">
                  <c:v>2. stupanj</c:v>
                </c:pt>
                <c:pt idx="2">
                  <c:v>3. stupanj</c:v>
                </c:pt>
              </c:strCache>
            </c:strRef>
          </c:cat>
          <c:val>
            <c:numRef>
              <c:f>Sheet1!$B$2:$B$5</c:f>
              <c:numCache>
                <c:formatCode>General</c:formatCode>
                <c:ptCount val="4"/>
                <c:pt idx="0">
                  <c:v>76.5</c:v>
                </c:pt>
                <c:pt idx="1">
                  <c:v>6.9</c:v>
                </c:pt>
                <c:pt idx="2">
                  <c:v>16.600000000000001</c:v>
                </c:pt>
              </c:numCache>
            </c:numRef>
          </c:val>
          <c:extLst>
            <c:ext xmlns:c16="http://schemas.microsoft.com/office/drawing/2014/chart" uri="{C3380CC4-5D6E-409C-BE32-E72D297353CC}">
              <c16:uniqueId val="{00000008-42D9-420A-88FB-E14324B35EEA}"/>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i="0">
                <a:effectLst/>
              </a:rPr>
              <a:t>IZLOŽENOST PO ZEMLJAMA PREMA IZNOSU LIMITA NA 31. PROSINCA 2018. </a:t>
            </a:r>
            <a:endParaRPr lang="en-US" sz="1400" i="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0729164619050459"/>
          <c:y val="0.22904613059813494"/>
          <c:w val="0.37601363703457752"/>
          <c:h val="0.60495133706628568"/>
        </c:manualLayout>
      </c:layout>
      <c:doughnutChart>
        <c:varyColors val="1"/>
        <c:ser>
          <c:idx val="0"/>
          <c:order val="0"/>
          <c:tx>
            <c:strRef>
              <c:f>Sheet1!$B$1</c:f>
              <c:strCache>
                <c:ptCount val="1"/>
                <c:pt idx="0">
                  <c:v>Column1</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1-888F-486D-B2F1-034157777CE3}"/>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888F-486D-B2F1-034157777CE3}"/>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888F-486D-B2F1-034157777CE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88F-486D-B2F1-034157777CE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88F-486D-B2F1-034157777CE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88F-486D-B2F1-034157777CE3}"/>
              </c:ext>
            </c:extLst>
          </c:dPt>
          <c:dPt>
            <c:idx val="6"/>
            <c:bubble3D val="0"/>
            <c:spPr>
              <a:solidFill>
                <a:schemeClr val="bg2">
                  <a:lumMod val="25000"/>
                </a:schemeClr>
              </a:solidFill>
              <a:ln w="19050">
                <a:solidFill>
                  <a:schemeClr val="lt1"/>
                </a:solidFill>
              </a:ln>
              <a:effectLst/>
            </c:spPr>
            <c:extLst>
              <c:ext xmlns:c16="http://schemas.microsoft.com/office/drawing/2014/chart" uri="{C3380CC4-5D6E-409C-BE32-E72D297353CC}">
                <c16:uniqueId val="{0000000D-888F-486D-B2F1-034157777CE3}"/>
              </c:ext>
            </c:extLst>
          </c:dPt>
          <c:dLbls>
            <c:dLbl>
              <c:idx val="0"/>
              <c:layout>
                <c:manualLayout>
                  <c:x val="8.6508893188614155E-2"/>
                  <c:y val="-3.8043478260869595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1197" b="0" i="0" u="none" strike="noStrike" kern="1200" baseline="0">
                      <a:solidFill>
                        <a:schemeClr val="dk1">
                          <a:lumMod val="65000"/>
                          <a:lumOff val="35000"/>
                        </a:schemeClr>
                      </a:solidFill>
                      <a:latin typeface="+mn-lt"/>
                      <a:ea typeface="+mn-ea"/>
                      <a:cs typeface="+mn-cs"/>
                    </a:defRPr>
                  </a:pPr>
                  <a:endParaRPr lang="sr-Latn-RS"/>
                </a:p>
              </c:tx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wedgeRectCallout">
                      <a:avLst/>
                    </a:prstGeom>
                    <a:noFill/>
                    <a:ln>
                      <a:noFill/>
                    </a:ln>
                  </c15:spPr>
                  <c15:layout>
                    <c:manualLayout>
                      <c:w val="6.9964061653922688E-2"/>
                      <c:h val="6.0804233709916694E-2"/>
                    </c:manualLayout>
                  </c15:layout>
                </c:ext>
                <c:ext xmlns:c16="http://schemas.microsoft.com/office/drawing/2014/chart" uri="{C3380CC4-5D6E-409C-BE32-E72D297353CC}">
                  <c16:uniqueId val="{00000001-888F-486D-B2F1-034157777CE3}"/>
                </c:ext>
              </c:extLst>
            </c:dLbl>
            <c:dLbl>
              <c:idx val="1"/>
              <c:layout>
                <c:manualLayout>
                  <c:x val="9.4174332019272972E-2"/>
                  <c:y val="5.0724637681159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8F-486D-B2F1-034157777CE3}"/>
                </c:ext>
              </c:extLst>
            </c:dLbl>
            <c:dLbl>
              <c:idx val="2"/>
              <c:layout>
                <c:manualLayout>
                  <c:x val="-4.3802014892685065E-2"/>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88F-486D-B2F1-034157777CE3}"/>
                </c:ext>
              </c:extLst>
            </c:dLbl>
            <c:dLbl>
              <c:idx val="3"/>
              <c:layout>
                <c:manualLayout>
                  <c:x val="-7.2273324572930356E-2"/>
                  <c:y val="3.98550724637681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88F-486D-B2F1-034157777CE3}"/>
                </c:ext>
              </c:extLst>
            </c:dLbl>
            <c:dLbl>
              <c:idx val="4"/>
              <c:layout>
                <c:manualLayout>
                  <c:x val="-7.2273324572930356E-2"/>
                  <c:y val="2.5362318840579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88F-486D-B2F1-034157777CE3}"/>
                </c:ext>
              </c:extLst>
            </c:dLbl>
            <c:dLbl>
              <c:idx val="5"/>
              <c:layout>
                <c:manualLayout>
                  <c:x val="-7.2273324572930397E-2"/>
                  <c:y val="-3.98550724637681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88F-486D-B2F1-034157777CE3}"/>
                </c:ext>
              </c:extLst>
            </c:dLbl>
            <c:dLbl>
              <c:idx val="6"/>
              <c:layout>
                <c:manualLayout>
                  <c:x val="-7.2273324572930397E-2"/>
                  <c:y val="-2.17391304347826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88F-486D-B2F1-034157777CE3}"/>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Sheet1!$A$2:$A$8</c:f>
              <c:strCache>
                <c:ptCount val="7"/>
                <c:pt idx="0">
                  <c:v>Hrvatska</c:v>
                </c:pt>
                <c:pt idx="1">
                  <c:v>Slovenija</c:v>
                </c:pt>
                <c:pt idx="2">
                  <c:v>Srbija</c:v>
                </c:pt>
                <c:pt idx="3">
                  <c:v>Italija</c:v>
                </c:pt>
                <c:pt idx="4">
                  <c:v>Njemačka</c:v>
                </c:pt>
                <c:pt idx="5">
                  <c:v>Bosna i Hercegovina</c:v>
                </c:pt>
                <c:pt idx="6">
                  <c:v>Ostali </c:v>
                </c:pt>
              </c:strCache>
            </c:strRef>
          </c:cat>
          <c:val>
            <c:numRef>
              <c:f>Sheet1!$B$2:$B$8</c:f>
              <c:numCache>
                <c:formatCode>0%</c:formatCode>
                <c:ptCount val="7"/>
                <c:pt idx="0">
                  <c:v>0.48</c:v>
                </c:pt>
                <c:pt idx="1">
                  <c:v>0.08</c:v>
                </c:pt>
                <c:pt idx="2">
                  <c:v>0.06</c:v>
                </c:pt>
                <c:pt idx="3">
                  <c:v>0.05</c:v>
                </c:pt>
                <c:pt idx="4">
                  <c:v>0.04</c:v>
                </c:pt>
                <c:pt idx="5">
                  <c:v>0.04</c:v>
                </c:pt>
                <c:pt idx="6">
                  <c:v>0.25</c:v>
                </c:pt>
              </c:numCache>
            </c:numRef>
          </c:val>
          <c:extLst>
            <c:ext xmlns:c16="http://schemas.microsoft.com/office/drawing/2014/chart" uri="{C3380CC4-5D6E-409C-BE32-E72D297353CC}">
              <c16:uniqueId val="{0000000E-888F-486D-B2F1-034157777CE3}"/>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r>
              <a:rPr lang="hr-HR" sz="1200" baseline="0">
                <a:solidFill>
                  <a:schemeClr val="tx1">
                    <a:lumMod val="65000"/>
                    <a:lumOff val="35000"/>
                  </a:schemeClr>
                </a:solidFill>
                <a:latin typeface="+mn-lt"/>
              </a:rPr>
              <a:t>Ukupna imovina</a:t>
            </a:r>
          </a:p>
        </c:rich>
      </c:tx>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5838265035523411"/>
          <c:y val="0.27788570417551312"/>
          <c:w val="0.70904888184313752"/>
          <c:h val="0.50890481245576791"/>
        </c:manualLayout>
      </c:layout>
      <c:barChart>
        <c:barDir val="col"/>
        <c:grouping val="stacked"/>
        <c:varyColors val="0"/>
        <c:ser>
          <c:idx val="0"/>
          <c:order val="0"/>
          <c:tx>
            <c:strRef>
              <c:f>Bilanca_Grupa!$A$69</c:f>
              <c:strCache>
                <c:ptCount val="1"/>
                <c:pt idx="0">
                  <c:v>Ukupna imovina
u milijunima kuna </c:v>
                </c:pt>
              </c:strCache>
            </c:strRef>
          </c:tx>
          <c:spPr>
            <a:solidFill>
              <a:schemeClr val="tx1">
                <a:lumMod val="65000"/>
                <a:lumOff val="35000"/>
              </a:schemeClr>
            </a:solidFill>
            <a:ln>
              <a:solidFill>
                <a:schemeClr val="bg1">
                  <a:lumMod val="50000"/>
                </a:schemeClr>
              </a:solidFill>
            </a:ln>
            <a:effectLst/>
          </c:spPr>
          <c:invertIfNegative val="0"/>
          <c:dLbls>
            <c:dLbl>
              <c:idx val="0"/>
              <c:layout>
                <c:manualLayout>
                  <c:x val="0"/>
                  <c:y val="-0.2381811748053786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66D-44AD-AED9-3564FCEEB5BA}"/>
                </c:ext>
              </c:extLst>
            </c:dLbl>
            <c:dLbl>
              <c:idx val="1"/>
              <c:layout>
                <c:manualLayout>
                  <c:x val="0"/>
                  <c:y val="-0.2696390658174097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6D-44AD-AED9-3564FCEEB5BA}"/>
                </c:ext>
              </c:extLst>
            </c:dLbl>
            <c:dLbl>
              <c:idx val="2"/>
              <c:layout>
                <c:manualLayout>
                  <c:x val="-1.0856030524085145E-16"/>
                  <c:y val="-0.2395520188623637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6D-44AD-AED9-3564FCEEB5B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65000"/>
                        <a:lumOff val="3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Bilanca_Grupa!$B$68:$D$68</c:f>
              <c:strCache>
                <c:ptCount val="3"/>
                <c:pt idx="0">
                  <c:v>2016.</c:v>
                </c:pt>
                <c:pt idx="1">
                  <c:v>2017.</c:v>
                </c:pt>
                <c:pt idx="2">
                  <c:v>2018.</c:v>
                </c:pt>
              </c:strCache>
            </c:strRef>
          </c:cat>
          <c:val>
            <c:numRef>
              <c:f>Bilanca_Grupa!$B$69:$D$69</c:f>
              <c:numCache>
                <c:formatCode>#,##0.00</c:formatCode>
                <c:ptCount val="3"/>
                <c:pt idx="0">
                  <c:v>27390.82</c:v>
                </c:pt>
                <c:pt idx="1">
                  <c:v>28075.559999999998</c:v>
                </c:pt>
                <c:pt idx="2">
                  <c:v>27218.980000000003</c:v>
                </c:pt>
              </c:numCache>
            </c:numRef>
          </c:val>
          <c:extLst>
            <c:ext xmlns:c16="http://schemas.microsoft.com/office/drawing/2014/chart" uri="{C3380CC4-5D6E-409C-BE32-E72D297353CC}">
              <c16:uniqueId val="{00000003-D66D-44AD-AED9-3564FCEEB5BA}"/>
            </c:ext>
          </c:extLst>
        </c:ser>
        <c:dLbls>
          <c:dLblPos val="ctr"/>
          <c:showLegendKey val="0"/>
          <c:showVal val="1"/>
          <c:showCatName val="0"/>
          <c:showSerName val="0"/>
          <c:showPercent val="0"/>
          <c:showBubbleSize val="0"/>
        </c:dLbls>
        <c:gapWidth val="150"/>
        <c:overlap val="100"/>
        <c:axId val="669051424"/>
        <c:axId val="669050248"/>
      </c:barChart>
      <c:catAx>
        <c:axId val="6690514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1" i="0" u="none" strike="noStrike" kern="1200" cap="all" spc="120" normalizeH="0" baseline="0">
                <a:solidFill>
                  <a:schemeClr val="tx1">
                    <a:lumMod val="65000"/>
                    <a:lumOff val="35000"/>
                  </a:schemeClr>
                </a:solidFill>
                <a:latin typeface="+mn-lt"/>
                <a:ea typeface="+mn-ea"/>
                <a:cs typeface="+mn-cs"/>
              </a:defRPr>
            </a:pPr>
            <a:endParaRPr lang="sr-Latn-RS"/>
          </a:p>
        </c:txPr>
        <c:crossAx val="669050248"/>
        <c:crosses val="autoZero"/>
        <c:auto val="1"/>
        <c:lblAlgn val="ctr"/>
        <c:lblOffset val="100"/>
        <c:noMultiLvlLbl val="0"/>
      </c:catAx>
      <c:valAx>
        <c:axId val="669050248"/>
        <c:scaling>
          <c:orientation val="minMax"/>
          <c:min val="23000"/>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hr-HR" sz="900" dirty="0">
                    <a:solidFill>
                      <a:schemeClr val="tx1">
                        <a:lumMod val="65000"/>
                        <a:lumOff val="35000"/>
                      </a:schemeClr>
                    </a:solidFill>
                  </a:rPr>
                  <a:t>u</a:t>
                </a:r>
                <a:r>
                  <a:rPr lang="hr-HR" sz="900" baseline="0" dirty="0">
                    <a:solidFill>
                      <a:schemeClr val="tx1">
                        <a:lumMod val="65000"/>
                        <a:lumOff val="35000"/>
                      </a:schemeClr>
                    </a:solidFill>
                  </a:rPr>
                  <a:t> milijunima kn</a:t>
                </a:r>
                <a:endParaRPr lang="hr-HR" sz="900" dirty="0">
                  <a:solidFill>
                    <a:schemeClr val="tx1">
                      <a:lumMod val="65000"/>
                      <a:lumOff val="35000"/>
                    </a:schemeClr>
                  </a:solidFill>
                </a:endParaRPr>
              </a:p>
            </c:rich>
          </c:tx>
          <c:layout>
            <c:manualLayout>
              <c:xMode val="edge"/>
              <c:yMode val="edge"/>
              <c:x val="7.5834894598241775E-3"/>
              <c:y val="0.35516752703629884"/>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sr-Latn-RS"/>
            </a:p>
          </c:txPr>
        </c:title>
        <c:numFmt formatCode="#,##0.0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mn-lt"/>
                <a:ea typeface="+mn-ea"/>
                <a:cs typeface="+mn-cs"/>
              </a:defRPr>
            </a:pPr>
            <a:endParaRPr lang="sr-Latn-RS"/>
          </a:p>
        </c:txPr>
        <c:crossAx val="669051424"/>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sr-Latn-R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r>
              <a:rPr lang="hr-HR" sz="1200" b="1" dirty="0">
                <a:solidFill>
                  <a:schemeClr val="tx1">
                    <a:lumMod val="65000"/>
                    <a:lumOff val="35000"/>
                  </a:schemeClr>
                </a:solidFill>
                <a:latin typeface="+mn-lt"/>
              </a:rPr>
              <a:t>BRUTO KREDITI</a:t>
            </a:r>
          </a:p>
        </c:rich>
      </c:tx>
      <c:layout>
        <c:manualLayout>
          <c:xMode val="edge"/>
          <c:yMode val="edge"/>
          <c:x val="0.30841628437981528"/>
          <c:y val="4.2557141577571685E-2"/>
        </c:manualLayout>
      </c:layout>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5838265035523411"/>
          <c:y val="0.27788570417551312"/>
          <c:w val="0.70904888184313752"/>
          <c:h val="0.50890481245576791"/>
        </c:manualLayout>
      </c:layout>
      <c:barChart>
        <c:barDir val="col"/>
        <c:grouping val="stacked"/>
        <c:varyColors val="0"/>
        <c:ser>
          <c:idx val="0"/>
          <c:order val="0"/>
          <c:tx>
            <c:strRef>
              <c:f>Bilanca_Grupa!$A$70</c:f>
              <c:strCache>
                <c:ptCount val="1"/>
                <c:pt idx="0">
                  <c:v>Bruto krediti</c:v>
                </c:pt>
              </c:strCache>
            </c:strRef>
          </c:tx>
          <c:spPr>
            <a:solidFill>
              <a:schemeClr val="tx1">
                <a:lumMod val="65000"/>
                <a:lumOff val="35000"/>
              </a:schemeClr>
            </a:solidFill>
            <a:ln>
              <a:solidFill>
                <a:schemeClr val="bg1">
                  <a:lumMod val="50000"/>
                </a:schemeClr>
              </a:solidFill>
            </a:ln>
            <a:effectLst/>
          </c:spPr>
          <c:invertIfNegative val="0"/>
          <c:dLbls>
            <c:dLbl>
              <c:idx val="0"/>
              <c:layout>
                <c:manualLayout>
                  <c:x val="-5.9215396002961313E-3"/>
                  <c:y val="-0.2651450813871196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C4-4035-9149-AF3884083B16}"/>
                </c:ext>
              </c:extLst>
            </c:dLbl>
            <c:dLbl>
              <c:idx val="1"/>
              <c:layout>
                <c:manualLayout>
                  <c:x val="0"/>
                  <c:y val="-0.278627034677990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C4-4035-9149-AF3884083B16}"/>
                </c:ext>
              </c:extLst>
            </c:dLbl>
            <c:dLbl>
              <c:idx val="2"/>
              <c:layout>
                <c:manualLayout>
                  <c:x val="0"/>
                  <c:y val="-0.2737737358427014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AC4-4035-9149-AF3884083B1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65000"/>
                        <a:lumOff val="3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Bilanca_Grupa!$B$68:$D$68</c:f>
              <c:strCache>
                <c:ptCount val="3"/>
                <c:pt idx="0">
                  <c:v>2016.</c:v>
                </c:pt>
                <c:pt idx="1">
                  <c:v>2017.</c:v>
                </c:pt>
                <c:pt idx="2">
                  <c:v>2018.</c:v>
                </c:pt>
              </c:strCache>
            </c:strRef>
          </c:cat>
          <c:val>
            <c:numRef>
              <c:f>Bilanca_Grupa!$B$70:$D$70</c:f>
              <c:numCache>
                <c:formatCode>#,##0.00</c:formatCode>
                <c:ptCount val="3"/>
                <c:pt idx="0">
                  <c:v>26343.119999999999</c:v>
                </c:pt>
                <c:pt idx="1">
                  <c:v>26332.99</c:v>
                </c:pt>
                <c:pt idx="2">
                  <c:v>26243.119999999999</c:v>
                </c:pt>
              </c:numCache>
            </c:numRef>
          </c:val>
          <c:extLst>
            <c:ext xmlns:c16="http://schemas.microsoft.com/office/drawing/2014/chart" uri="{C3380CC4-5D6E-409C-BE32-E72D297353CC}">
              <c16:uniqueId val="{00000003-3AC4-4035-9149-AF3884083B16}"/>
            </c:ext>
          </c:extLst>
        </c:ser>
        <c:dLbls>
          <c:dLblPos val="ctr"/>
          <c:showLegendKey val="0"/>
          <c:showVal val="1"/>
          <c:showCatName val="0"/>
          <c:showSerName val="0"/>
          <c:showPercent val="0"/>
          <c:showBubbleSize val="0"/>
        </c:dLbls>
        <c:gapWidth val="150"/>
        <c:overlap val="100"/>
        <c:axId val="669052600"/>
        <c:axId val="669056520"/>
      </c:barChart>
      <c:catAx>
        <c:axId val="6690526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1" i="0" u="none" strike="noStrike" kern="1200" cap="all" spc="120" normalizeH="0" baseline="0">
                <a:solidFill>
                  <a:schemeClr val="tx1">
                    <a:lumMod val="65000"/>
                    <a:lumOff val="35000"/>
                  </a:schemeClr>
                </a:solidFill>
                <a:latin typeface="+mn-lt"/>
                <a:ea typeface="+mn-ea"/>
                <a:cs typeface="+mn-cs"/>
              </a:defRPr>
            </a:pPr>
            <a:endParaRPr lang="sr-Latn-RS"/>
          </a:p>
        </c:txPr>
        <c:crossAx val="669056520"/>
        <c:crosses val="autoZero"/>
        <c:auto val="1"/>
        <c:lblAlgn val="ctr"/>
        <c:lblOffset val="100"/>
        <c:noMultiLvlLbl val="0"/>
      </c:catAx>
      <c:valAx>
        <c:axId val="669056520"/>
        <c:scaling>
          <c:orientation val="minMax"/>
          <c:max val="27000"/>
          <c:min val="22000"/>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hr-HR" sz="900" dirty="0">
                    <a:solidFill>
                      <a:schemeClr val="tx1">
                        <a:lumMod val="65000"/>
                        <a:lumOff val="35000"/>
                      </a:schemeClr>
                    </a:solidFill>
                  </a:rPr>
                  <a:t>u</a:t>
                </a:r>
                <a:r>
                  <a:rPr lang="hr-HR" sz="900" baseline="0" dirty="0">
                    <a:solidFill>
                      <a:schemeClr val="tx1">
                        <a:lumMod val="65000"/>
                        <a:lumOff val="35000"/>
                      </a:schemeClr>
                    </a:solidFill>
                  </a:rPr>
                  <a:t> milijunima kn</a:t>
                </a:r>
                <a:endParaRPr lang="hr-HR" sz="900" dirty="0">
                  <a:solidFill>
                    <a:schemeClr val="tx1">
                      <a:lumMod val="65000"/>
                      <a:lumOff val="35000"/>
                    </a:schemeClr>
                  </a:solidFill>
                </a:endParaRPr>
              </a:p>
            </c:rich>
          </c:tx>
          <c:layout>
            <c:manualLayout>
              <c:xMode val="edge"/>
              <c:yMode val="edge"/>
              <c:x val="8.973273788856052E-3"/>
              <c:y val="0.37763722528479177"/>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sr-Latn-RS"/>
            </a:p>
          </c:txPr>
        </c:title>
        <c:numFmt formatCode="#,##0.0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mn-lt"/>
                <a:ea typeface="+mn-ea"/>
                <a:cs typeface="+mn-cs"/>
              </a:defRPr>
            </a:pPr>
            <a:endParaRPr lang="sr-Latn-RS"/>
          </a:p>
        </c:txPr>
        <c:crossAx val="669052600"/>
        <c:crosses val="autoZero"/>
        <c:crossBetween val="between"/>
        <c:majorUnit val="1000"/>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sr-Latn-R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lang="hr-HR" sz="1200" b="1" i="0" u="none" strike="noStrike" kern="1200" cap="all" spc="150" baseline="0">
                <a:solidFill>
                  <a:schemeClr val="tx1">
                    <a:lumMod val="65000"/>
                    <a:lumOff val="35000"/>
                  </a:schemeClr>
                </a:solidFill>
                <a:latin typeface="Calibri"/>
              </a:defRPr>
            </a:pPr>
            <a:r>
              <a:rPr lang="hr-HR" sz="1200" b="1" i="0" u="none" strike="noStrike" kern="1200" cap="all" spc="150" baseline="0">
                <a:solidFill>
                  <a:schemeClr val="tx1">
                    <a:lumMod val="65000"/>
                    <a:lumOff val="35000"/>
                  </a:schemeClr>
                </a:solidFill>
                <a:uFillTx/>
                <a:latin typeface="Calibri"/>
              </a:rPr>
              <a:t>UKUPNI PRIHODI, UKUPNI RASHODI I DOBIT</a:t>
            </a:r>
          </a:p>
        </c:rich>
      </c:tx>
      <c:layout>
        <c:manualLayout>
          <c:xMode val="edge"/>
          <c:yMode val="edge"/>
          <c:x val="0.22348572004601844"/>
          <c:y val="5.9718689682012417E-2"/>
        </c:manualLayout>
      </c:layout>
      <c:overlay val="0"/>
      <c:spPr>
        <a:noFill/>
        <a:ln>
          <a:noFill/>
        </a:ln>
      </c:spPr>
    </c:title>
    <c:autoTitleDeleted val="0"/>
    <c:plotArea>
      <c:layout>
        <c:manualLayout>
          <c:layoutTarget val="inner"/>
          <c:xMode val="edge"/>
          <c:yMode val="edge"/>
          <c:x val="0.23586646279306833"/>
          <c:y val="0.28995853534380084"/>
          <c:w val="0.71073394495412845"/>
          <c:h val="0.52221064934936567"/>
        </c:manualLayout>
      </c:layout>
      <c:lineChart>
        <c:grouping val="standard"/>
        <c:varyColors val="0"/>
        <c:ser>
          <c:idx val="0"/>
          <c:order val="0"/>
          <c:tx>
            <c:strRef>
              <c:f>IDG_Grupa!$A$44</c:f>
              <c:strCache>
                <c:ptCount val="1"/>
                <c:pt idx="0">
                  <c:v>Ukupni prihodi</c:v>
                </c:pt>
              </c:strCache>
            </c:strRef>
          </c:tx>
          <c:spPr>
            <a:ln>
              <a:solidFill>
                <a:schemeClr val="accent1">
                  <a:lumMod val="75000"/>
                </a:schemeClr>
              </a:solidFill>
            </a:ln>
          </c:spPr>
          <c:marker>
            <c:symbol val="circle"/>
            <c:size val="5"/>
            <c:spPr>
              <a:solidFill>
                <a:schemeClr val="accent1">
                  <a:lumMod val="75000"/>
                </a:schemeClr>
              </a:solidFill>
              <a:ln>
                <a:solidFill>
                  <a:schemeClr val="accent1">
                    <a:lumMod val="75000"/>
                  </a:schemeClr>
                </a:solidFill>
              </a:ln>
            </c:spPr>
          </c:marker>
          <c:dLbls>
            <c:spPr>
              <a:noFill/>
              <a:ln>
                <a:noFill/>
              </a:ln>
              <a:effectLst/>
            </c:spPr>
            <c:txPr>
              <a:bodyPr wrap="square" lIns="38100" tIns="19050" rIns="38100" bIns="19050" anchor="ctr">
                <a:spAutoFit/>
              </a:bodyPr>
              <a:lstStyle/>
              <a:p>
                <a:pPr>
                  <a:defRPr sz="10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IDG_Grupa!$B$43:$D$43</c:f>
              <c:strCache>
                <c:ptCount val="3"/>
                <c:pt idx="0">
                  <c:v>2016.</c:v>
                </c:pt>
                <c:pt idx="1">
                  <c:v>2017.</c:v>
                </c:pt>
                <c:pt idx="2">
                  <c:v>2018.</c:v>
                </c:pt>
              </c:strCache>
            </c:strRef>
          </c:cat>
          <c:val>
            <c:numRef>
              <c:f>IDG_Grupa!$B$44:$D$44</c:f>
              <c:numCache>
                <c:formatCode>#,##0.00</c:formatCode>
                <c:ptCount val="3"/>
                <c:pt idx="0">
                  <c:v>933.67</c:v>
                </c:pt>
                <c:pt idx="1">
                  <c:v>930.81</c:v>
                </c:pt>
                <c:pt idx="2">
                  <c:v>801.40000000000009</c:v>
                </c:pt>
              </c:numCache>
            </c:numRef>
          </c:val>
          <c:smooth val="0"/>
          <c:extLst>
            <c:ext xmlns:c16="http://schemas.microsoft.com/office/drawing/2014/chart" uri="{C3380CC4-5D6E-409C-BE32-E72D297353CC}">
              <c16:uniqueId val="{00000000-F0D5-497A-95B3-C6F51BEE6063}"/>
            </c:ext>
          </c:extLst>
        </c:ser>
        <c:ser>
          <c:idx val="1"/>
          <c:order val="1"/>
          <c:tx>
            <c:strRef>
              <c:f>IDG_Grupa!$A$45</c:f>
              <c:strCache>
                <c:ptCount val="1"/>
                <c:pt idx="0">
                  <c:v>Ukupni rashodi</c:v>
                </c:pt>
              </c:strCache>
            </c:strRef>
          </c:tx>
          <c:spPr>
            <a:ln>
              <a:solidFill>
                <a:srgbClr val="FF0000"/>
              </a:solidFill>
            </a:ln>
          </c:spPr>
          <c:marker>
            <c:symbol val="circle"/>
            <c:size val="5"/>
            <c:spPr>
              <a:solidFill>
                <a:srgbClr val="FF0000"/>
              </a:solidFill>
              <a:ln>
                <a:solidFill>
                  <a:srgbClr val="FF0000"/>
                </a:solidFill>
              </a:ln>
            </c:spPr>
          </c:marker>
          <c:dLbls>
            <c:dLbl>
              <c:idx val="0"/>
              <c:layout>
                <c:manualLayout>
                  <c:x val="-0.11605096930716742"/>
                  <c:y val="-4.9457812199706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D5-497A-95B3-C6F51BEE6063}"/>
                </c:ext>
              </c:extLst>
            </c:dLbl>
            <c:dLbl>
              <c:idx val="1"/>
              <c:layout>
                <c:manualLayout>
                  <c:x val="-6.8664380949997245E-2"/>
                  <c:y val="6.00559671918626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D5-497A-95B3-C6F51BEE6063}"/>
                </c:ext>
              </c:extLst>
            </c:dLbl>
            <c:dLbl>
              <c:idx val="2"/>
              <c:layout>
                <c:manualLayout>
                  <c:x val="-4.646815598120476E-2"/>
                  <c:y val="-4.11699235784884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D5-497A-95B3-C6F51BEE6063}"/>
                </c:ext>
              </c:extLst>
            </c:dLbl>
            <c:spPr>
              <a:noFill/>
              <a:ln>
                <a:noFill/>
              </a:ln>
              <a:effectLst/>
            </c:spPr>
            <c:txPr>
              <a:bodyPr wrap="square" lIns="38100" tIns="19050" rIns="38100" bIns="19050" anchor="ctr">
                <a:spAutoFit/>
              </a:bodyPr>
              <a:lstStyle/>
              <a:p>
                <a:pPr>
                  <a:defRPr sz="10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IDG_Grupa!$B$43:$D$43</c:f>
              <c:strCache>
                <c:ptCount val="3"/>
                <c:pt idx="0">
                  <c:v>2016.</c:v>
                </c:pt>
                <c:pt idx="1">
                  <c:v>2017.</c:v>
                </c:pt>
                <c:pt idx="2">
                  <c:v>2018.</c:v>
                </c:pt>
              </c:strCache>
            </c:strRef>
          </c:cat>
          <c:val>
            <c:numRef>
              <c:f>IDG_Grupa!$B$45:$D$45</c:f>
              <c:numCache>
                <c:formatCode>0.00</c:formatCode>
                <c:ptCount val="3"/>
                <c:pt idx="0" formatCode="#,##0.00">
                  <c:v>618.83000000000004</c:v>
                </c:pt>
                <c:pt idx="1">
                  <c:v>768.61</c:v>
                </c:pt>
                <c:pt idx="2" formatCode="_(* #,##0.00_);_(* \(#,##0.00\);_(* &quot;-&quot;_);_(@_)">
                  <c:v>596.66999999999996</c:v>
                </c:pt>
              </c:numCache>
            </c:numRef>
          </c:val>
          <c:smooth val="0"/>
          <c:extLst>
            <c:ext xmlns:c16="http://schemas.microsoft.com/office/drawing/2014/chart" uri="{C3380CC4-5D6E-409C-BE32-E72D297353CC}">
              <c16:uniqueId val="{00000004-F0D5-497A-95B3-C6F51BEE6063}"/>
            </c:ext>
          </c:extLst>
        </c:ser>
        <c:ser>
          <c:idx val="2"/>
          <c:order val="2"/>
          <c:tx>
            <c:strRef>
              <c:f>IDG_Grupa!$A$46</c:f>
              <c:strCache>
                <c:ptCount val="1"/>
                <c:pt idx="0">
                  <c:v>Dobit</c:v>
                </c:pt>
              </c:strCache>
            </c:strRef>
          </c:tx>
          <c:spPr>
            <a:ln>
              <a:solidFill>
                <a:schemeClr val="bg2">
                  <a:lumMod val="50000"/>
                </a:schemeClr>
              </a:solidFill>
            </a:ln>
          </c:spPr>
          <c:marker>
            <c:symbol val="circle"/>
            <c:size val="5"/>
            <c:spPr>
              <a:solidFill>
                <a:schemeClr val="bg2">
                  <a:lumMod val="50000"/>
                </a:schemeClr>
              </a:solidFill>
              <a:ln cap="rnd">
                <a:solidFill>
                  <a:schemeClr val="bg2">
                    <a:lumMod val="50000"/>
                  </a:schemeClr>
                </a:solidFill>
              </a:ln>
            </c:spPr>
          </c:marker>
          <c:dLbls>
            <c:spPr>
              <a:noFill/>
              <a:ln>
                <a:noFill/>
              </a:ln>
              <a:effectLst/>
            </c:spPr>
            <c:txPr>
              <a:bodyPr wrap="square" lIns="38100" tIns="19050" rIns="38100" bIns="19050" anchor="ctr">
                <a:spAutoFit/>
              </a:bodyPr>
              <a:lstStyle/>
              <a:p>
                <a:pPr>
                  <a:defRPr sz="10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IDG_Grupa!$B$43:$D$43</c:f>
              <c:strCache>
                <c:ptCount val="3"/>
                <c:pt idx="0">
                  <c:v>2016.</c:v>
                </c:pt>
                <c:pt idx="1">
                  <c:v>2017.</c:v>
                </c:pt>
                <c:pt idx="2">
                  <c:v>2018.</c:v>
                </c:pt>
              </c:strCache>
            </c:strRef>
          </c:cat>
          <c:val>
            <c:numRef>
              <c:f>IDG_Grupa!$B$46:$D$46</c:f>
              <c:numCache>
                <c:formatCode>#,##0.00</c:formatCode>
                <c:ptCount val="3"/>
                <c:pt idx="0">
                  <c:v>314.83999999999992</c:v>
                </c:pt>
                <c:pt idx="1">
                  <c:v>162.20000000000005</c:v>
                </c:pt>
                <c:pt idx="2">
                  <c:v>204.73</c:v>
                </c:pt>
              </c:numCache>
            </c:numRef>
          </c:val>
          <c:smooth val="0"/>
          <c:extLst>
            <c:ext xmlns:c16="http://schemas.microsoft.com/office/drawing/2014/chart" uri="{C3380CC4-5D6E-409C-BE32-E72D297353CC}">
              <c16:uniqueId val="{00000005-F0D5-497A-95B3-C6F51BEE6063}"/>
            </c:ext>
          </c:extLst>
        </c:ser>
        <c:dLbls>
          <c:dLblPos val="t"/>
          <c:showLegendKey val="0"/>
          <c:showVal val="1"/>
          <c:showCatName val="0"/>
          <c:showSerName val="0"/>
          <c:showPercent val="0"/>
          <c:showBubbleSize val="0"/>
        </c:dLbls>
        <c:marker val="1"/>
        <c:smooth val="0"/>
        <c:axId val="669059656"/>
        <c:axId val="669051816"/>
      </c:lineChart>
      <c:catAx>
        <c:axId val="669059656"/>
        <c:scaling>
          <c:orientation val="minMax"/>
        </c:scaling>
        <c:delete val="0"/>
        <c:axPos val="b"/>
        <c:numFmt formatCode="General" sourceLinked="1"/>
        <c:majorTickMark val="none"/>
        <c:minorTickMark val="none"/>
        <c:tickLblPos val="nextTo"/>
        <c:txPr>
          <a:bodyPr/>
          <a:lstStyle/>
          <a:p>
            <a:pPr>
              <a:defRPr sz="1000" b="1">
                <a:solidFill>
                  <a:schemeClr val="tx1">
                    <a:lumMod val="65000"/>
                    <a:lumOff val="35000"/>
                  </a:schemeClr>
                </a:solidFill>
              </a:defRPr>
            </a:pPr>
            <a:endParaRPr lang="sr-Latn-RS"/>
          </a:p>
        </c:txPr>
        <c:crossAx val="669051816"/>
        <c:crosses val="autoZero"/>
        <c:auto val="1"/>
        <c:lblAlgn val="ctr"/>
        <c:lblOffset val="100"/>
        <c:noMultiLvlLbl val="0"/>
      </c:catAx>
      <c:valAx>
        <c:axId val="669051816"/>
        <c:scaling>
          <c:orientation val="minMax"/>
          <c:max val="1200"/>
          <c:min val="100"/>
        </c:scaling>
        <c:delete val="0"/>
        <c:axPos val="l"/>
        <c:majorGridlines>
          <c:spPr>
            <a:ln>
              <a:solidFill>
                <a:schemeClr val="bg1">
                  <a:lumMod val="85000"/>
                </a:schemeClr>
              </a:solidFill>
            </a:ln>
          </c:spPr>
        </c:majorGridlines>
        <c:title>
          <c:tx>
            <c:rich>
              <a:bodyPr/>
              <a:lstStyle/>
              <a:p>
                <a:pPr>
                  <a:defRPr/>
                </a:pPr>
                <a:r>
                  <a:rPr lang="hr-HR"/>
                  <a:t>u milijunima kn</a:t>
                </a:r>
              </a:p>
            </c:rich>
          </c:tx>
          <c:layout>
            <c:manualLayout>
              <c:xMode val="edge"/>
              <c:yMode val="edge"/>
              <c:x val="1.3579667066746473E-2"/>
              <c:y val="0.41536317404777084"/>
            </c:manualLayout>
          </c:layout>
          <c:overlay val="0"/>
        </c:title>
        <c:numFmt formatCode="#,##0.00" sourceLinked="1"/>
        <c:majorTickMark val="none"/>
        <c:minorTickMark val="none"/>
        <c:tickLblPos val="nextTo"/>
        <c:txPr>
          <a:bodyPr/>
          <a:lstStyle/>
          <a:p>
            <a:pPr>
              <a:defRPr sz="1000" b="1">
                <a:solidFill>
                  <a:schemeClr val="tx1">
                    <a:lumMod val="65000"/>
                    <a:lumOff val="35000"/>
                  </a:schemeClr>
                </a:solidFill>
              </a:defRPr>
            </a:pPr>
            <a:endParaRPr lang="sr-Latn-RS"/>
          </a:p>
        </c:txPr>
        <c:crossAx val="669059656"/>
        <c:crosses val="autoZero"/>
        <c:crossBetween val="between"/>
        <c:majorUnit val="200"/>
        <c:minorUnit val="50"/>
      </c:valAx>
      <c:spPr>
        <a:noFill/>
        <a:ln>
          <a:noFill/>
        </a:ln>
      </c:spPr>
    </c:plotArea>
    <c:legend>
      <c:legendPos val="b"/>
      <c:layout>
        <c:manualLayout>
          <c:xMode val="edge"/>
          <c:yMode val="edge"/>
          <c:x val="1.0479593322527427E-2"/>
          <c:y val="0.89754244524691218"/>
          <c:w val="0.94295506802759188"/>
          <c:h val="8.6545197740112989E-2"/>
        </c:manualLayout>
      </c:layout>
      <c:overlay val="0"/>
      <c:spPr>
        <a:noFill/>
        <a:ln>
          <a:noFill/>
        </a:ln>
      </c:spPr>
      <c:txPr>
        <a:bodyPr/>
        <a:lstStyle/>
        <a:p>
          <a:pPr>
            <a:defRPr sz="1000" b="1">
              <a:solidFill>
                <a:schemeClr val="tx1">
                  <a:lumMod val="65000"/>
                  <a:lumOff val="35000"/>
                </a:schemeClr>
              </a:solidFill>
            </a:defRPr>
          </a:pPr>
          <a:endParaRPr lang="sr-Latn-R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US" sz="900" b="0" i="0" u="none" strike="noStrike" kern="1200" baseline="0">
          <a:solidFill>
            <a:srgbClr val="000000"/>
          </a:solidFill>
          <a:latin typeface="Calibri"/>
        </a:defRPr>
      </a:pPr>
      <a:endParaRPr lang="sr-Latn-R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8.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197"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197"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197"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0.42451</cdr:x>
      <cdr:y>0.49219</cdr:y>
    </cdr:from>
    <cdr:to>
      <cdr:x>0.60421</cdr:x>
      <cdr:y>0.59102</cdr:y>
    </cdr:to>
    <cdr:sp macro="" textlink="">
      <cdr:nvSpPr>
        <cdr:cNvPr id="2" name="Text Box 1">
          <a:extLst xmlns:a="http://schemas.openxmlformats.org/drawingml/2006/main">
            <a:ext uri="{FF2B5EF4-FFF2-40B4-BE49-F238E27FC236}">
              <a16:creationId xmlns:a16="http://schemas.microsoft.com/office/drawing/2014/main" id="{00000000-0008-0000-0000-000017000000}"/>
            </a:ext>
          </a:extLst>
        </cdr:cNvPr>
        <cdr:cNvSpPr txBox="1"/>
      </cdr:nvSpPr>
      <cdr:spPr>
        <a:xfrm xmlns:a="http://schemas.openxmlformats.org/drawingml/2006/main">
          <a:off x="1296062" y="1205167"/>
          <a:ext cx="548639" cy="241970"/>
        </a:xfrm>
        <a:prstGeom xmlns:a="http://schemas.openxmlformats.org/drawingml/2006/main" prst="rect">
          <a:avLst/>
        </a:prstGeom>
        <a:solidFill xmlns:a="http://schemas.openxmlformats.org/drawingml/2006/main">
          <a:schemeClr val="bg1">
            <a:lumMod val="95000"/>
          </a:schemeClr>
        </a:solidFill>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hr-BA" sz="1000" b="1" baseline="0">
              <a:solidFill>
                <a:schemeClr val="tx1">
                  <a:lumMod val="65000"/>
                  <a:lumOff val="35000"/>
                </a:schemeClr>
              </a:solidFill>
            </a:rPr>
            <a:t>2,50</a:t>
          </a:r>
          <a:r>
            <a:rPr lang="hr-BA" sz="1000" b="1">
              <a:solidFill>
                <a:schemeClr val="tx1">
                  <a:lumMod val="65000"/>
                  <a:lumOff val="35000"/>
                </a:schemeClr>
              </a:solidFill>
            </a:rPr>
            <a:t>%</a:t>
          </a:r>
        </a:p>
      </cdr:txBody>
    </cdr:sp>
  </cdr:relSizeAnchor>
  <cdr:relSizeAnchor xmlns:cdr="http://schemas.openxmlformats.org/drawingml/2006/chartDrawing">
    <cdr:from>
      <cdr:x>0.43021</cdr:x>
      <cdr:y>0.52058</cdr:y>
    </cdr:from>
    <cdr:to>
      <cdr:x>0.45066</cdr:x>
      <cdr:y>0.56875</cdr:y>
    </cdr:to>
    <cdr:sp macro="" textlink="">
      <cdr:nvSpPr>
        <cdr:cNvPr id="3" name="Down Arrow 2">
          <a:extLst xmlns:a="http://schemas.openxmlformats.org/drawingml/2006/main">
            <a:ext uri="{FF2B5EF4-FFF2-40B4-BE49-F238E27FC236}">
              <a16:creationId xmlns:a16="http://schemas.microsoft.com/office/drawing/2014/main" id="{00000000-0008-0000-0000-00001F000000}"/>
            </a:ext>
          </a:extLst>
        </cdr:cNvPr>
        <cdr:cNvSpPr/>
      </cdr:nvSpPr>
      <cdr:spPr>
        <a:xfrm xmlns:a="http://schemas.openxmlformats.org/drawingml/2006/main" flipV="1">
          <a:off x="1313462" y="1274680"/>
          <a:ext cx="62435" cy="117947"/>
        </a:xfrm>
        <a:prstGeom xmlns:a="http://schemas.openxmlformats.org/drawingml/2006/main" prst="downArrow">
          <a:avLst/>
        </a:prstGeom>
        <a:solidFill xmlns:a="http://schemas.openxmlformats.org/drawingml/2006/main">
          <a:srgbClr val="FF0000"/>
        </a:solidFill>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sr-Latn-RS" b="1" cap="none" spc="0">
            <a:ln w="11112">
              <a:solidFill>
                <a:schemeClr val="accent2"/>
              </a:solidFill>
              <a:prstDash val="solid"/>
            </a:ln>
            <a:solidFill>
              <a:schemeClr val="accent2">
                <a:lumMod val="40000"/>
                <a:lumOff val="60000"/>
              </a:schemeClr>
            </a:solidFill>
            <a:effectLst/>
          </a:endParaRPr>
        </a:p>
      </cdr:txBody>
    </cdr:sp>
  </cdr:relSizeAnchor>
  <cdr:relSizeAnchor xmlns:cdr="http://schemas.openxmlformats.org/drawingml/2006/chartDrawing">
    <cdr:from>
      <cdr:x>0.67453</cdr:x>
      <cdr:y>0.50019</cdr:y>
    </cdr:from>
    <cdr:to>
      <cdr:x>0.88288</cdr:x>
      <cdr:y>0.59426</cdr:y>
    </cdr:to>
    <cdr:sp macro="" textlink="">
      <cdr:nvSpPr>
        <cdr:cNvPr id="4" name="Text Box 1">
          <a:extLst xmlns:a="http://schemas.openxmlformats.org/drawingml/2006/main">
            <a:ext uri="{FF2B5EF4-FFF2-40B4-BE49-F238E27FC236}">
              <a16:creationId xmlns:a16="http://schemas.microsoft.com/office/drawing/2014/main" id="{00000000-0008-0000-0000-000011000000}"/>
            </a:ext>
          </a:extLst>
        </cdr:cNvPr>
        <cdr:cNvSpPr txBox="1"/>
      </cdr:nvSpPr>
      <cdr:spPr>
        <a:xfrm xmlns:a="http://schemas.openxmlformats.org/drawingml/2006/main">
          <a:off x="2059386" y="1224747"/>
          <a:ext cx="636105" cy="230342"/>
        </a:xfrm>
        <a:prstGeom xmlns:a="http://schemas.openxmlformats.org/drawingml/2006/main" prst="rect">
          <a:avLst/>
        </a:prstGeom>
        <a:solidFill xmlns:a="http://schemas.openxmlformats.org/drawingml/2006/main">
          <a:schemeClr val="bg1">
            <a:lumMod val="95000"/>
          </a:schemeClr>
        </a:solidFill>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hr-BA" sz="1000" b="1" baseline="0">
              <a:solidFill>
                <a:schemeClr val="tx1">
                  <a:lumMod val="65000"/>
                  <a:lumOff val="35000"/>
                </a:schemeClr>
              </a:solidFill>
            </a:rPr>
            <a:t>3,05%</a:t>
          </a:r>
          <a:endParaRPr lang="hr-BA" sz="1000" b="1">
            <a:solidFill>
              <a:schemeClr val="tx1">
                <a:lumMod val="65000"/>
                <a:lumOff val="35000"/>
              </a:schemeClr>
            </a:solidFill>
          </a:endParaRPr>
        </a:p>
      </cdr:txBody>
    </cdr:sp>
  </cdr:relSizeAnchor>
  <cdr:relSizeAnchor xmlns:cdr="http://schemas.openxmlformats.org/drawingml/2006/chartDrawing">
    <cdr:from>
      <cdr:x>0.69819</cdr:x>
      <cdr:y>0.51829</cdr:y>
    </cdr:from>
    <cdr:to>
      <cdr:x>0.71864</cdr:x>
      <cdr:y>0.56646</cdr:y>
    </cdr:to>
    <cdr:sp macro="" textlink="">
      <cdr:nvSpPr>
        <cdr:cNvPr id="6" name="Down Arrow 5">
          <a:extLst xmlns:a="http://schemas.openxmlformats.org/drawingml/2006/main">
            <a:ext uri="{FF2B5EF4-FFF2-40B4-BE49-F238E27FC236}">
              <a16:creationId xmlns:a16="http://schemas.microsoft.com/office/drawing/2014/main" id="{00000000-0008-0000-0000-00001F000000}"/>
            </a:ext>
          </a:extLst>
        </cdr:cNvPr>
        <cdr:cNvSpPr/>
      </cdr:nvSpPr>
      <cdr:spPr>
        <a:xfrm xmlns:a="http://schemas.openxmlformats.org/drawingml/2006/main" rot="10800000" flipV="1">
          <a:off x="2131643" y="1269061"/>
          <a:ext cx="62436" cy="117947"/>
        </a:xfrm>
        <a:prstGeom xmlns:a="http://schemas.openxmlformats.org/drawingml/2006/main" prst="downArrow">
          <a:avLst/>
        </a:prstGeom>
        <a:solidFill xmlns:a="http://schemas.openxmlformats.org/drawingml/2006/main">
          <a:srgbClr val="FF0000"/>
        </a:solidFill>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sr-Latn-RS" b="1" cap="none" spc="0">
            <a:ln w="11112">
              <a:solidFill>
                <a:schemeClr val="accent2"/>
              </a:solidFill>
              <a:prstDash val="solid"/>
            </a:ln>
            <a:solidFill>
              <a:schemeClr val="accent2">
                <a:lumMod val="40000"/>
                <a:lumOff val="60000"/>
              </a:schemeClr>
            </a:solidFill>
            <a:effectLst/>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0.4282</cdr:x>
      <cdr:y>0.44982</cdr:y>
    </cdr:from>
    <cdr:to>
      <cdr:x>0.54648</cdr:x>
      <cdr:y>0.52846</cdr:y>
    </cdr:to>
    <cdr:sp macro="" textlink="">
      <cdr:nvSpPr>
        <cdr:cNvPr id="2" name="Text Box 1">
          <a:extLst xmlns:a="http://schemas.openxmlformats.org/drawingml/2006/main">
            <a:ext uri="{FF2B5EF4-FFF2-40B4-BE49-F238E27FC236}">
              <a16:creationId xmlns:a16="http://schemas.microsoft.com/office/drawing/2014/main" id="{00000000-0008-0000-0000-00001A000000}"/>
            </a:ext>
          </a:extLst>
        </cdr:cNvPr>
        <cdr:cNvSpPr txBox="1"/>
      </cdr:nvSpPr>
      <cdr:spPr>
        <a:xfrm xmlns:a="http://schemas.openxmlformats.org/drawingml/2006/main">
          <a:off x="1836738" y="1271190"/>
          <a:ext cx="507338" cy="222251"/>
        </a:xfrm>
        <a:prstGeom xmlns:a="http://schemas.openxmlformats.org/drawingml/2006/main" prst="rect">
          <a:avLst/>
        </a:prstGeom>
        <a:solidFill xmlns:a="http://schemas.openxmlformats.org/drawingml/2006/main">
          <a:schemeClr val="bg1">
            <a:lumMod val="95000"/>
          </a:schemeClr>
        </a:solidFill>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hr-BA" sz="1000" b="1">
              <a:solidFill>
                <a:schemeClr val="tx1">
                  <a:lumMod val="65000"/>
                  <a:lumOff val="35000"/>
                </a:schemeClr>
              </a:solidFill>
            </a:rPr>
            <a:t>-</a:t>
          </a:r>
        </a:p>
      </cdr:txBody>
    </cdr:sp>
  </cdr:relSizeAnchor>
  <cdr:relSizeAnchor xmlns:cdr="http://schemas.openxmlformats.org/drawingml/2006/chartDrawing">
    <cdr:from>
      <cdr:x>0.6382</cdr:x>
      <cdr:y>0.44631</cdr:y>
    </cdr:from>
    <cdr:to>
      <cdr:x>0.81993</cdr:x>
      <cdr:y>0.52518</cdr:y>
    </cdr:to>
    <cdr:sp macro="" textlink="">
      <cdr:nvSpPr>
        <cdr:cNvPr id="3" name="Text Box 1">
          <a:extLst xmlns:a="http://schemas.openxmlformats.org/drawingml/2006/main">
            <a:ext uri="{FF2B5EF4-FFF2-40B4-BE49-F238E27FC236}">
              <a16:creationId xmlns:a16="http://schemas.microsoft.com/office/drawing/2014/main" id="{00000000-0008-0000-0000-00001D000000}"/>
            </a:ext>
          </a:extLst>
        </cdr:cNvPr>
        <cdr:cNvSpPr txBox="1"/>
      </cdr:nvSpPr>
      <cdr:spPr>
        <a:xfrm xmlns:a="http://schemas.openxmlformats.org/drawingml/2006/main">
          <a:off x="2205608" y="1140769"/>
          <a:ext cx="628079" cy="201600"/>
        </a:xfrm>
        <a:prstGeom xmlns:a="http://schemas.openxmlformats.org/drawingml/2006/main" prst="rect">
          <a:avLst/>
        </a:prstGeom>
        <a:solidFill xmlns:a="http://schemas.openxmlformats.org/drawingml/2006/main">
          <a:schemeClr val="bg1">
            <a:lumMod val="95000"/>
          </a:schemeClr>
        </a:solidFill>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hr-BA" sz="1100" b="1">
              <a:solidFill>
                <a:schemeClr val="tx1">
                  <a:lumMod val="65000"/>
                  <a:lumOff val="35000"/>
                </a:schemeClr>
              </a:solidFill>
            </a:rPr>
            <a:t>  </a:t>
          </a:r>
          <a:r>
            <a:rPr lang="hr-BA" sz="1000" b="1">
              <a:solidFill>
                <a:schemeClr val="tx1">
                  <a:lumMod val="65000"/>
                  <a:lumOff val="35000"/>
                </a:schemeClr>
              </a:solidFill>
            </a:rPr>
            <a:t>0,34%</a:t>
          </a:r>
        </a:p>
      </cdr:txBody>
    </cdr:sp>
  </cdr:relSizeAnchor>
  <cdr:relSizeAnchor xmlns:cdr="http://schemas.openxmlformats.org/drawingml/2006/chartDrawing">
    <cdr:from>
      <cdr:x>0.64641</cdr:x>
      <cdr:y>0.46306</cdr:y>
    </cdr:from>
    <cdr:to>
      <cdr:x>0.66686</cdr:x>
      <cdr:y>0.51123</cdr:y>
    </cdr:to>
    <cdr:sp macro="" textlink="">
      <cdr:nvSpPr>
        <cdr:cNvPr id="7" name="Down Arrow 6">
          <a:extLst xmlns:a="http://schemas.openxmlformats.org/drawingml/2006/main">
            <a:ext uri="{FF2B5EF4-FFF2-40B4-BE49-F238E27FC236}">
              <a16:creationId xmlns:a16="http://schemas.microsoft.com/office/drawing/2014/main" id="{00000000-0008-0000-0000-00001F000000}"/>
            </a:ext>
          </a:extLst>
        </cdr:cNvPr>
        <cdr:cNvSpPr/>
      </cdr:nvSpPr>
      <cdr:spPr>
        <a:xfrm xmlns:a="http://schemas.openxmlformats.org/drawingml/2006/main" rot="10800000" flipV="1">
          <a:off x="2280531" y="1183592"/>
          <a:ext cx="72147" cy="123123"/>
        </a:xfrm>
        <a:prstGeom xmlns:a="http://schemas.openxmlformats.org/drawingml/2006/main" prst="downArrow">
          <a:avLst/>
        </a:prstGeom>
        <a:solidFill xmlns:a="http://schemas.openxmlformats.org/drawingml/2006/main">
          <a:srgbClr val="FF0000"/>
        </a:solidFill>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sr-Latn-RS" b="1" cap="none" spc="0">
            <a:ln w="11112">
              <a:solidFill>
                <a:schemeClr val="accent2"/>
              </a:solidFill>
              <a:prstDash val="solid"/>
            </a:ln>
            <a:solidFill>
              <a:schemeClr val="accent2">
                <a:lumMod val="40000"/>
                <a:lumOff val="60000"/>
              </a:schemeClr>
            </a:solidFill>
            <a:effectLst/>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0.73226</cdr:x>
      <cdr:y>0.09285</cdr:y>
    </cdr:from>
    <cdr:to>
      <cdr:x>1</cdr:x>
      <cdr:y>0.20107</cdr:y>
    </cdr:to>
    <cdr:sp macro="" textlink="">
      <cdr:nvSpPr>
        <cdr:cNvPr id="3" name="Text Box 1"/>
        <cdr:cNvSpPr txBox="1"/>
      </cdr:nvSpPr>
      <cdr:spPr>
        <a:xfrm xmlns:a="http://schemas.openxmlformats.org/drawingml/2006/main">
          <a:off x="2103593" y="211548"/>
          <a:ext cx="769147" cy="246566"/>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BA" sz="1100" b="1" baseline="0">
              <a:solidFill>
                <a:srgbClr val="C00000"/>
              </a:solidFill>
            </a:rPr>
            <a:t>A = 1,28% </a:t>
          </a:r>
        </a:p>
      </cdr:txBody>
    </cdr:sp>
  </cdr:relSizeAnchor>
</c:userShapes>
</file>

<file path=word/drawings/drawing4.xml><?xml version="1.0" encoding="utf-8"?>
<c:userShapes xmlns:c="http://schemas.openxmlformats.org/drawingml/2006/chart">
  <cdr:relSizeAnchor xmlns:cdr="http://schemas.openxmlformats.org/drawingml/2006/chartDrawing">
    <cdr:from>
      <cdr:x>0.71846</cdr:x>
      <cdr:y>0.09184</cdr:y>
    </cdr:from>
    <cdr:to>
      <cdr:x>0.9832</cdr:x>
      <cdr:y>0.19764</cdr:y>
    </cdr:to>
    <cdr:sp macro="" textlink="">
      <cdr:nvSpPr>
        <cdr:cNvPr id="3" name="Text Box 1"/>
        <cdr:cNvSpPr txBox="1"/>
      </cdr:nvSpPr>
      <cdr:spPr>
        <a:xfrm xmlns:a="http://schemas.openxmlformats.org/drawingml/2006/main">
          <a:off x="2063961" y="209241"/>
          <a:ext cx="760529" cy="241053"/>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BA" sz="1100" b="1" baseline="0">
              <a:solidFill>
                <a:srgbClr val="C00000"/>
              </a:solidFill>
            </a:rPr>
            <a:t>D = 3,18%</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E7936C-EBEB-4716-999B-FE1FF2564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64</Pages>
  <Words>68810</Words>
  <Characters>392223</Characters>
  <Application>Microsoft Office Word</Application>
  <DocSecurity>0</DocSecurity>
  <Lines>3268</Lines>
  <Paragraphs>920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HRVATSKA BANKA ZA OBNOVU I RAZVITAK</vt:lpstr>
      <vt:lpstr>HRVATSKA BANKA ZA OBNOVU I RAZVITAK</vt:lpstr>
    </vt:vector>
  </TitlesOfParts>
  <Company>Deloitte &amp; Touche</Company>
  <LinksUpToDate>false</LinksUpToDate>
  <CharactersWithSpaces>460113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HRVATSKA BANKA ZA OBNOVU I RAZVITAK</dc:title>
  <dc:subject/>
  <dc:creator>dantolovic@hbor.hr</dc:creator>
  <cp:keywords/>
  <dc:description/>
  <cp:lastModifiedBy>Andrijevic, Sanja</cp:lastModifiedBy>
  <cp:revision>9</cp:revision>
  <cp:lastPrinted>2019-03-27T12:48:00Z</cp:lastPrinted>
  <dcterms:created xsi:type="dcterms:W3CDTF">2019-03-27T08:51:00Z</dcterms:created>
  <dcterms:modified xsi:type="dcterms:W3CDTF">2019-03-27T12:49:00Z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